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footer13.xml" ContentType="application/vnd.openxmlformats-officedocument.wordprocessingml.footer+xml"/>
  <Override PartName="/word/header2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4.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18.xml" ContentType="application/vnd.openxmlformats-officedocument.wordprocessingml.footer+xml"/>
  <Override PartName="/word/header27.xml" ContentType="application/vnd.openxmlformats-officedocument.wordprocessingml.header+xml"/>
  <Override PartName="/word/footer19.xml" ContentType="application/vnd.openxmlformats-officedocument.wordprocessingml.footer+xml"/>
  <Override PartName="/word/header28.xml" ContentType="application/vnd.openxmlformats-officedocument.wordprocessingml.header+xml"/>
  <Override PartName="/word/footer20.xml" ContentType="application/vnd.openxmlformats-officedocument.wordprocessingml.footer+xml"/>
  <Override PartName="/word/header29.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91869" w14:textId="519B9927" w:rsidR="00C712A4" w:rsidRPr="00C712A4" w:rsidRDefault="00C712A4" w:rsidP="00C712A4">
      <w:pPr>
        <w:contextualSpacing/>
        <w:jc w:val="right"/>
        <w:rPr>
          <w:bCs/>
          <w:lang w:val="fr-FR"/>
        </w:rPr>
      </w:pPr>
      <w:r>
        <w:rPr>
          <w:b/>
          <w:lang w:val="fr-FR"/>
        </w:rPr>
        <w:t xml:space="preserve">Original : </w:t>
      </w:r>
      <w:r>
        <w:rPr>
          <w:bCs/>
          <w:lang w:val="fr-FR"/>
        </w:rPr>
        <w:t>anglais</w:t>
      </w:r>
    </w:p>
    <w:p w14:paraId="373712E0" w14:textId="77777777" w:rsidR="00C712A4" w:rsidRDefault="00C712A4" w:rsidP="001351A2">
      <w:pPr>
        <w:contextualSpacing/>
        <w:jc w:val="center"/>
        <w:rPr>
          <w:b/>
          <w:lang w:val="fr-FR"/>
        </w:rPr>
      </w:pPr>
    </w:p>
    <w:p w14:paraId="3420BB98" w14:textId="424A4B49" w:rsidR="001351A2" w:rsidRPr="004E13E9" w:rsidRDefault="002F7375" w:rsidP="001351A2">
      <w:pPr>
        <w:contextualSpacing/>
        <w:jc w:val="center"/>
        <w:rPr>
          <w:rFonts w:eastAsia="Yu Gothic" w:cs="Times New Roman"/>
          <w:b/>
          <w:kern w:val="2"/>
          <w:lang w:val="fr-FR"/>
          <w14:ligatures w14:val="standardContextual"/>
        </w:rPr>
      </w:pPr>
      <w:r>
        <w:rPr>
          <w:b/>
          <w:lang w:val="fr-FR"/>
        </w:rPr>
        <w:t>Ra</w:t>
      </w:r>
      <w:r w:rsidR="001351A2" w:rsidRPr="004E13E9">
        <w:rPr>
          <w:b/>
          <w:lang w:val="fr-FR"/>
        </w:rPr>
        <w:t>pport de la réunion intersessions de la Sous-commission 2</w:t>
      </w:r>
    </w:p>
    <w:p w14:paraId="66C97E5F" w14:textId="77777777" w:rsidR="001351A2" w:rsidRPr="004E13E9" w:rsidRDefault="001351A2" w:rsidP="001351A2">
      <w:pPr>
        <w:contextualSpacing/>
        <w:jc w:val="center"/>
        <w:rPr>
          <w:rFonts w:eastAsia="Yu Gothic" w:cs="Times New Roman"/>
          <w:kern w:val="2"/>
          <w14:ligatures w14:val="standardContextual"/>
        </w:rPr>
      </w:pPr>
      <w:r w:rsidRPr="004E13E9">
        <w:rPr>
          <w:i/>
          <w:iCs/>
        </w:rPr>
        <w:t>(</w:t>
      </w:r>
      <w:proofErr w:type="spellStart"/>
      <w:r w:rsidRPr="004E13E9">
        <w:rPr>
          <w:i/>
          <w:iCs/>
        </w:rPr>
        <w:t>hybride</w:t>
      </w:r>
      <w:proofErr w:type="spellEnd"/>
      <w:r w:rsidRPr="004E13E9">
        <w:rPr>
          <w:i/>
          <w:iCs/>
        </w:rPr>
        <w:t>, Madrid (</w:t>
      </w:r>
      <w:proofErr w:type="spellStart"/>
      <w:r w:rsidRPr="004E13E9">
        <w:rPr>
          <w:i/>
          <w:iCs/>
        </w:rPr>
        <w:t>Espagne</w:t>
      </w:r>
      <w:proofErr w:type="spellEnd"/>
      <w:r w:rsidRPr="004E13E9">
        <w:rPr>
          <w:i/>
          <w:iCs/>
        </w:rPr>
        <w:t>), 3-5 mars 2026)</w:t>
      </w:r>
    </w:p>
    <w:p w14:paraId="5B01FFA4" w14:textId="77777777" w:rsidR="001351A2" w:rsidRPr="004E13E9" w:rsidRDefault="001351A2" w:rsidP="001351A2">
      <w:pPr>
        <w:contextualSpacing/>
        <w:jc w:val="center"/>
        <w:rPr>
          <w:rFonts w:eastAsia="Yu Gothic" w:cs="Times New Roman"/>
          <w:b/>
          <w:bCs/>
          <w:kern w:val="2"/>
          <w14:ligatures w14:val="standardContextual"/>
        </w:rPr>
      </w:pPr>
    </w:p>
    <w:p w14:paraId="76B91D74" w14:textId="77777777" w:rsidR="001351A2" w:rsidRPr="004E13E9" w:rsidRDefault="001351A2" w:rsidP="00487A5C">
      <w:pPr>
        <w:numPr>
          <w:ilvl w:val="0"/>
          <w:numId w:val="58"/>
        </w:numPr>
        <w:ind w:left="426" w:hanging="426"/>
        <w:contextualSpacing/>
        <w:jc w:val="both"/>
        <w:rPr>
          <w:rFonts w:eastAsia="Yu Gothic" w:cs="Times New Roman"/>
          <w:b/>
          <w:bCs/>
          <w:kern w:val="2"/>
          <w:lang w:val="fr-FR"/>
          <w14:ligatures w14:val="standardContextual"/>
        </w:rPr>
      </w:pPr>
      <w:r w:rsidRPr="004E13E9">
        <w:rPr>
          <w:b/>
          <w:lang w:val="fr-FR"/>
        </w:rPr>
        <w:t>Ouverture et organisation de la réunion</w:t>
      </w:r>
    </w:p>
    <w:p w14:paraId="36ABD40B" w14:textId="77777777" w:rsidR="001351A2" w:rsidRPr="004E13E9" w:rsidRDefault="001351A2" w:rsidP="001351A2">
      <w:pPr>
        <w:ind w:left="426"/>
        <w:contextualSpacing/>
        <w:jc w:val="both"/>
        <w:rPr>
          <w:rFonts w:eastAsia="Yu Gothic" w:cs="Times New Roman"/>
          <w:b/>
          <w:bCs/>
          <w:kern w:val="2"/>
          <w:lang w:val="fr-FR"/>
          <w14:ligatures w14:val="standardContextual"/>
        </w:rPr>
      </w:pPr>
    </w:p>
    <w:p w14:paraId="78F268DC"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La réunion a été ouverte par le Président de la Sous-commission 2, M. Shingo Ota (Japon).</w:t>
      </w:r>
    </w:p>
    <w:p w14:paraId="06ADA8FA" w14:textId="77777777" w:rsidR="001351A2" w:rsidRPr="004E13E9" w:rsidRDefault="001351A2" w:rsidP="001351A2">
      <w:pPr>
        <w:contextualSpacing/>
        <w:jc w:val="both"/>
        <w:rPr>
          <w:rFonts w:eastAsia="Yu Gothic" w:cs="Times New Roman"/>
          <w:kern w:val="2"/>
          <w:lang w:val="fr-FR"/>
          <w14:ligatures w14:val="standardContextual"/>
        </w:rPr>
      </w:pPr>
    </w:p>
    <w:p w14:paraId="4F382568"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Secrétaire exécutif a souhaité la bienvenue aux participants et a expliqué les aspects organisationnels de la réunion.</w:t>
      </w:r>
    </w:p>
    <w:p w14:paraId="37FFF587" w14:textId="77777777" w:rsidR="001351A2" w:rsidRPr="004E13E9" w:rsidRDefault="001351A2" w:rsidP="001351A2">
      <w:pPr>
        <w:contextualSpacing/>
        <w:jc w:val="both"/>
        <w:rPr>
          <w:rFonts w:eastAsia="Yu Gothic" w:cs="Times New Roman"/>
          <w:kern w:val="2"/>
          <w:lang w:val="fr-FR"/>
          <w14:ligatures w14:val="standardContextual"/>
        </w:rPr>
      </w:pPr>
    </w:p>
    <w:p w14:paraId="717B0159" w14:textId="77777777" w:rsidR="001351A2" w:rsidRPr="004E13E9" w:rsidRDefault="001351A2" w:rsidP="001351A2">
      <w:pPr>
        <w:contextualSpacing/>
        <w:jc w:val="both"/>
        <w:rPr>
          <w:rFonts w:eastAsia="Yu Gothic" w:cs="Times New Roman"/>
          <w:kern w:val="2"/>
          <w:lang w:val="fr-FR"/>
          <w14:ligatures w14:val="standardContextual"/>
        </w:rPr>
      </w:pPr>
    </w:p>
    <w:p w14:paraId="16EFB436" w14:textId="77777777" w:rsidR="001351A2" w:rsidRPr="004E13E9" w:rsidRDefault="001351A2" w:rsidP="00487A5C">
      <w:pPr>
        <w:numPr>
          <w:ilvl w:val="0"/>
          <w:numId w:val="58"/>
        </w:numPr>
        <w:ind w:left="426" w:hanging="426"/>
        <w:contextualSpacing/>
        <w:jc w:val="both"/>
        <w:rPr>
          <w:rFonts w:eastAsia="Yu Gothic" w:cs="Times New Roman"/>
          <w:b/>
          <w:bCs/>
          <w:kern w:val="2"/>
          <w14:ligatures w14:val="standardContextual"/>
        </w:rPr>
      </w:pPr>
      <w:proofErr w:type="spellStart"/>
      <w:r w:rsidRPr="004E13E9">
        <w:rPr>
          <w:b/>
        </w:rPr>
        <w:t>Désignation</w:t>
      </w:r>
      <w:proofErr w:type="spellEnd"/>
      <w:r w:rsidRPr="004E13E9">
        <w:rPr>
          <w:b/>
        </w:rPr>
        <w:t xml:space="preserve"> du rapporteur </w:t>
      </w:r>
    </w:p>
    <w:p w14:paraId="04E13F48" w14:textId="77777777" w:rsidR="001351A2" w:rsidRPr="004E13E9" w:rsidRDefault="001351A2" w:rsidP="001351A2">
      <w:pPr>
        <w:contextualSpacing/>
        <w:jc w:val="both"/>
        <w:rPr>
          <w:rFonts w:eastAsia="Yu Gothic" w:cs="Times New Roman"/>
          <w:kern w:val="2"/>
          <w14:ligatures w14:val="standardContextual"/>
        </w:rPr>
      </w:pPr>
    </w:p>
    <w:p w14:paraId="50456175"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M. Alexander Meyer (Japon) a été désigné rapporteur de la réunion.</w:t>
      </w:r>
    </w:p>
    <w:p w14:paraId="148992DF" w14:textId="45830D14" w:rsidR="001351A2" w:rsidRPr="004E13E9" w:rsidRDefault="001351A2" w:rsidP="001351A2">
      <w:pPr>
        <w:contextualSpacing/>
        <w:jc w:val="both"/>
        <w:rPr>
          <w:rFonts w:eastAsia="Yu Gothic" w:cs="Times New Roman"/>
          <w:kern w:val="2"/>
          <w:lang w:val="fr-FR"/>
          <w14:ligatures w14:val="standardContextual"/>
        </w:rPr>
      </w:pPr>
    </w:p>
    <w:p w14:paraId="239D7F29" w14:textId="77777777" w:rsidR="00985A92" w:rsidRPr="004E13E9" w:rsidRDefault="00985A92" w:rsidP="001351A2">
      <w:pPr>
        <w:contextualSpacing/>
        <w:jc w:val="both"/>
        <w:rPr>
          <w:rFonts w:eastAsia="Yu Gothic" w:cs="Times New Roman"/>
          <w:kern w:val="2"/>
          <w:lang w:val="fr-FR"/>
          <w14:ligatures w14:val="standardContextual"/>
        </w:rPr>
      </w:pPr>
    </w:p>
    <w:p w14:paraId="7CD420FE" w14:textId="77777777" w:rsidR="001351A2" w:rsidRPr="004E13E9" w:rsidRDefault="001351A2" w:rsidP="00487A5C">
      <w:pPr>
        <w:numPr>
          <w:ilvl w:val="0"/>
          <w:numId w:val="58"/>
        </w:numPr>
        <w:ind w:left="426" w:hanging="426"/>
        <w:contextualSpacing/>
        <w:jc w:val="both"/>
        <w:rPr>
          <w:rFonts w:eastAsia="Yu Gothic" w:cs="Times New Roman"/>
          <w:b/>
          <w:bCs/>
          <w:kern w:val="2"/>
          <w:lang w:val="fr-FR"/>
          <w14:ligatures w14:val="standardContextual"/>
        </w:rPr>
      </w:pPr>
      <w:r w:rsidRPr="004E13E9">
        <w:rPr>
          <w:b/>
          <w:lang w:val="fr-FR"/>
        </w:rPr>
        <w:t xml:space="preserve">Adoption de l’ordre du jour </w:t>
      </w:r>
    </w:p>
    <w:p w14:paraId="7102A203" w14:textId="77777777" w:rsidR="001351A2" w:rsidRPr="004E13E9" w:rsidRDefault="001351A2" w:rsidP="001351A2">
      <w:pPr>
        <w:contextualSpacing/>
        <w:jc w:val="both"/>
        <w:rPr>
          <w:rFonts w:eastAsia="Yu Gothic" w:cs="Times New Roman"/>
          <w:kern w:val="2"/>
          <w:lang w:val="fr-FR"/>
          <w14:ligatures w14:val="standardContextual"/>
        </w:rPr>
      </w:pPr>
    </w:p>
    <w:p w14:paraId="0D0E431B" w14:textId="382ABB4A"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Après quelques légères modifications, l'ordre du jour a été adopté et figure à l’</w:t>
      </w:r>
      <w:r w:rsidRPr="004E13E9">
        <w:rPr>
          <w:b/>
          <w:bCs/>
          <w:lang w:val="fr-FR"/>
        </w:rPr>
        <w:t>appendice 1</w:t>
      </w:r>
      <w:r w:rsidR="00DB7058" w:rsidRPr="004E13E9">
        <w:rPr>
          <w:rFonts w:eastAsia="Yu Gothic" w:cs="Times New Roman"/>
          <w:kern w:val="2"/>
          <w:lang w:val="fr-FR"/>
          <w14:ligatures w14:val="standardContextual"/>
        </w:rPr>
        <w:t>.</w:t>
      </w:r>
    </w:p>
    <w:p w14:paraId="77311994" w14:textId="77777777" w:rsidR="001351A2" w:rsidRPr="004E13E9" w:rsidRDefault="001351A2" w:rsidP="001351A2">
      <w:pPr>
        <w:contextualSpacing/>
        <w:jc w:val="both"/>
        <w:rPr>
          <w:rFonts w:eastAsia="Yu Gothic" w:cs="Times New Roman"/>
          <w:kern w:val="2"/>
          <w:lang w:val="fr-FR"/>
          <w14:ligatures w14:val="standardContextual"/>
        </w:rPr>
      </w:pPr>
    </w:p>
    <w:p w14:paraId="31AF3A81" w14:textId="77777777" w:rsidR="001351A2" w:rsidRPr="004E13E9" w:rsidRDefault="001351A2" w:rsidP="001351A2">
      <w:pPr>
        <w:contextualSpacing/>
        <w:jc w:val="both"/>
        <w:rPr>
          <w:rFonts w:eastAsia="Yu Mincho" w:cs="Times New Roman"/>
          <w:kern w:val="2"/>
          <w:lang w:val="fr-FR"/>
          <w14:ligatures w14:val="standardContextual"/>
        </w:rPr>
      </w:pPr>
      <w:r w:rsidRPr="004E13E9">
        <w:rPr>
          <w:lang w:val="fr-FR"/>
        </w:rPr>
        <w:t>L'</w:t>
      </w:r>
      <w:r w:rsidRPr="004E13E9">
        <w:rPr>
          <w:b/>
          <w:bCs/>
          <w:lang w:val="fr-FR"/>
        </w:rPr>
        <w:t>appendice 2</w:t>
      </w:r>
      <w:r w:rsidRPr="004E13E9">
        <w:rPr>
          <w:lang w:val="fr-FR"/>
        </w:rPr>
        <w:t xml:space="preserve"> inclut la liste des délégués de chaque CPC participante ainsi que des observateurs.</w:t>
      </w:r>
    </w:p>
    <w:p w14:paraId="2A642488" w14:textId="77777777" w:rsidR="001351A2" w:rsidRPr="004E13E9" w:rsidRDefault="001351A2" w:rsidP="001351A2">
      <w:pPr>
        <w:contextualSpacing/>
        <w:jc w:val="both"/>
        <w:rPr>
          <w:rFonts w:eastAsia="Yu Gothic" w:cs="Times New Roman"/>
          <w:kern w:val="2"/>
          <w:lang w:val="fr-FR"/>
          <w14:ligatures w14:val="standardContextual"/>
        </w:rPr>
      </w:pPr>
    </w:p>
    <w:p w14:paraId="5EDA3BB0" w14:textId="77777777" w:rsidR="001351A2" w:rsidRPr="004E13E9" w:rsidRDefault="001351A2" w:rsidP="001351A2">
      <w:pPr>
        <w:contextualSpacing/>
        <w:jc w:val="both"/>
        <w:rPr>
          <w:rFonts w:eastAsia="Yu Gothic" w:cs="Times New Roman"/>
          <w:kern w:val="2"/>
          <w:lang w:val="fr-FR"/>
          <w14:ligatures w14:val="standardContextual"/>
        </w:rPr>
      </w:pPr>
    </w:p>
    <w:p w14:paraId="7530B74F" w14:textId="77777777" w:rsidR="001351A2" w:rsidRPr="004E13E9" w:rsidRDefault="001351A2" w:rsidP="00487A5C">
      <w:pPr>
        <w:numPr>
          <w:ilvl w:val="0"/>
          <w:numId w:val="58"/>
        </w:numPr>
        <w:ind w:left="426" w:hanging="426"/>
        <w:contextualSpacing/>
        <w:jc w:val="both"/>
        <w:rPr>
          <w:rFonts w:eastAsia="Yu Gothic" w:cs="Times New Roman"/>
          <w:b/>
          <w:bCs/>
          <w:kern w:val="2"/>
          <w:lang w:val="fr-FR"/>
          <w14:ligatures w14:val="standardContextual"/>
        </w:rPr>
      </w:pPr>
      <w:r w:rsidRPr="004E13E9">
        <w:rPr>
          <w:b/>
          <w:lang w:val="fr-FR"/>
        </w:rPr>
        <w:t>Examen des plans annuels de pêche</w:t>
      </w:r>
    </w:p>
    <w:p w14:paraId="68F552E0" w14:textId="77777777" w:rsidR="001351A2" w:rsidRPr="004E13E9" w:rsidRDefault="001351A2" w:rsidP="001351A2">
      <w:pPr>
        <w:contextualSpacing/>
        <w:jc w:val="both"/>
        <w:rPr>
          <w:rFonts w:eastAsia="Yu Gothic" w:cs="Times New Roman"/>
          <w:b/>
          <w:iCs/>
          <w:kern w:val="2"/>
          <w:lang w:val="fr-FR"/>
          <w14:ligatures w14:val="standardContextual"/>
        </w:rPr>
      </w:pPr>
    </w:p>
    <w:p w14:paraId="26793AE9" w14:textId="77777777" w:rsidR="001351A2" w:rsidRPr="004E13E9" w:rsidRDefault="001351A2" w:rsidP="001351A2">
      <w:pPr>
        <w:contextualSpacing/>
        <w:jc w:val="both"/>
        <w:rPr>
          <w:rFonts w:eastAsia="Yu Gothic" w:cs="Times New Roman"/>
          <w:b/>
          <w:bCs/>
          <w:i/>
          <w:iCs/>
          <w:kern w:val="2"/>
          <w:lang w:val="fr-FR"/>
          <w14:ligatures w14:val="standardContextual"/>
        </w:rPr>
      </w:pPr>
      <w:r w:rsidRPr="004E13E9">
        <w:rPr>
          <w:b/>
          <w:i/>
          <w:lang w:val="fr-FR"/>
        </w:rPr>
        <w:t>4.1 Plans de pêche, d’élevage, d'inspection et de gestion de la capacité, ainsi que des plans annuels d'aquaculture pour le thon rouge de l'Atlantique Est et de la Méditerranée pour 2026 soumis par les CPC</w:t>
      </w:r>
    </w:p>
    <w:p w14:paraId="13D5C6D4" w14:textId="77777777" w:rsidR="001351A2" w:rsidRPr="004E13E9" w:rsidRDefault="001351A2" w:rsidP="001351A2">
      <w:pPr>
        <w:contextualSpacing/>
        <w:jc w:val="both"/>
        <w:rPr>
          <w:rFonts w:eastAsia="Yu Gothic" w:cs="Times New Roman"/>
          <w:b/>
          <w:bCs/>
          <w:kern w:val="2"/>
          <w:lang w:val="fr-FR"/>
          <w14:ligatures w14:val="standardContextual"/>
        </w:rPr>
      </w:pPr>
    </w:p>
    <w:p w14:paraId="0B395FC0"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Président a demandé aux CPC de présenter leurs plans de pêche pour 2026 concernant l'Atlantique Est et la Méditerranée, en mettant principalement l'accent sur les différences par rapport à 2025.</w:t>
      </w:r>
    </w:p>
    <w:p w14:paraId="331B0D16" w14:textId="77777777" w:rsidR="001351A2" w:rsidRPr="004E13E9" w:rsidRDefault="001351A2" w:rsidP="001351A2">
      <w:pPr>
        <w:contextualSpacing/>
        <w:jc w:val="both"/>
        <w:rPr>
          <w:rFonts w:eastAsia="Yu Gothic" w:cs="Times New Roman"/>
          <w:kern w:val="2"/>
          <w:lang w:val="fr-FR"/>
          <w14:ligatures w14:val="standardContextual"/>
        </w:rPr>
      </w:pPr>
    </w:p>
    <w:p w14:paraId="2FD1D1A5"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Les plans entérinés figurent à l'</w:t>
      </w:r>
      <w:r w:rsidRPr="004E13E9">
        <w:rPr>
          <w:b/>
          <w:bCs/>
          <w:lang w:val="fr-FR"/>
        </w:rPr>
        <w:t>appendice 3</w:t>
      </w:r>
      <w:r w:rsidRPr="004E13E9">
        <w:rPr>
          <w:lang w:val="fr-FR"/>
        </w:rPr>
        <w:t xml:space="preserve">. </w:t>
      </w:r>
    </w:p>
    <w:p w14:paraId="1F6479D0" w14:textId="77777777" w:rsidR="001351A2" w:rsidRPr="004E13E9" w:rsidRDefault="001351A2" w:rsidP="001351A2">
      <w:pPr>
        <w:contextualSpacing/>
        <w:jc w:val="both"/>
        <w:rPr>
          <w:rFonts w:eastAsia="Yu Gothic" w:cs="Times New Roman"/>
          <w:b/>
          <w:bCs/>
          <w:kern w:val="2"/>
          <w:lang w:val="fr-FR" w:eastAsia="ja-JP"/>
          <w14:ligatures w14:val="standardContextual"/>
        </w:rPr>
      </w:pPr>
    </w:p>
    <w:p w14:paraId="6CA1F65A" w14:textId="77777777" w:rsidR="001351A2" w:rsidRPr="004E13E9" w:rsidRDefault="001351A2" w:rsidP="001351A2">
      <w:pPr>
        <w:contextualSpacing/>
        <w:jc w:val="both"/>
        <w:rPr>
          <w:rFonts w:eastAsia="Yu Gothic" w:cs="Times New Roman"/>
          <w:b/>
          <w:bCs/>
          <w:kern w:val="2"/>
          <w:lang w:val="fr-FR"/>
          <w14:ligatures w14:val="standardContextual"/>
        </w:rPr>
      </w:pPr>
      <w:r w:rsidRPr="004E13E9">
        <w:rPr>
          <w:b/>
          <w:lang w:val="fr-FR"/>
        </w:rPr>
        <w:t>Bref résumé des débats concernant le plan de pêche de chaque CPC :</w:t>
      </w:r>
    </w:p>
    <w:p w14:paraId="1C74DA13" w14:textId="77777777" w:rsidR="001351A2" w:rsidRPr="004E13E9" w:rsidRDefault="001351A2" w:rsidP="001351A2">
      <w:pPr>
        <w:contextualSpacing/>
        <w:jc w:val="both"/>
        <w:rPr>
          <w:rFonts w:eastAsia="Yu Gothic" w:cs="Times New Roman"/>
          <w:b/>
          <w:bCs/>
          <w:kern w:val="2"/>
          <w:lang w:val="fr-FR" w:eastAsia="ja-JP"/>
          <w14:ligatures w14:val="standardContextual"/>
        </w:rPr>
      </w:pPr>
    </w:p>
    <w:p w14:paraId="49DEDCA6" w14:textId="77777777" w:rsidR="001351A2" w:rsidRPr="004E13E9" w:rsidRDefault="001351A2" w:rsidP="001351A2">
      <w:pPr>
        <w:contextualSpacing/>
        <w:jc w:val="both"/>
        <w:rPr>
          <w:rFonts w:eastAsia="Yu Gothic" w:cs="Times New Roman"/>
          <w:b/>
          <w:bCs/>
          <w:i/>
          <w:iCs/>
          <w:kern w:val="2"/>
          <w:lang w:val="fr-FR"/>
          <w14:ligatures w14:val="standardContextual"/>
        </w:rPr>
      </w:pPr>
      <w:r w:rsidRPr="004E13E9">
        <w:rPr>
          <w:b/>
          <w:i/>
          <w:lang w:val="fr-FR"/>
        </w:rPr>
        <w:t>Albanie</w:t>
      </w:r>
      <w:bookmarkStart w:id="0" w:name="_Hlk160604340"/>
    </w:p>
    <w:p w14:paraId="05C3ACAB" w14:textId="77777777" w:rsidR="001351A2" w:rsidRPr="004E13E9" w:rsidRDefault="001351A2" w:rsidP="001351A2">
      <w:pPr>
        <w:contextualSpacing/>
        <w:jc w:val="both"/>
        <w:rPr>
          <w:rFonts w:eastAsia="Yu Gothic" w:cs="Times New Roman"/>
          <w:kern w:val="2"/>
          <w:lang w:val="fr-FR"/>
          <w14:ligatures w14:val="standardContextual"/>
        </w:rPr>
      </w:pPr>
    </w:p>
    <w:p w14:paraId="3EC3BFDD" w14:textId="188D4582"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quota au titre de 2026 s'élève à 457,37 tonnes, réparties comme suit : Deux senneurs (456,3</w:t>
      </w:r>
      <w:r w:rsidR="00DB7058" w:rsidRPr="004E13E9">
        <w:rPr>
          <w:lang w:val="fr-FR"/>
        </w:rPr>
        <w:t>7</w:t>
      </w:r>
      <w:r w:rsidRPr="004E13E9">
        <w:rPr>
          <w:lang w:val="fr-FR"/>
        </w:rPr>
        <w:t xml:space="preserve"> t) et des prises accessoires (1 t). Aucun report n’a été demandé pour 2026.</w:t>
      </w:r>
    </w:p>
    <w:p w14:paraId="76A44D69" w14:textId="77777777" w:rsidR="001351A2" w:rsidRPr="004E13E9" w:rsidRDefault="001351A2" w:rsidP="001351A2">
      <w:pPr>
        <w:contextualSpacing/>
        <w:jc w:val="both"/>
        <w:rPr>
          <w:rFonts w:eastAsia="Yu Gothic" w:cs="Times New Roman"/>
          <w:kern w:val="2"/>
          <w:lang w:val="fr-FR"/>
          <w14:ligatures w14:val="standardContextual"/>
        </w:rPr>
      </w:pPr>
    </w:p>
    <w:p w14:paraId="183AA3F7" w14:textId="4116C3E5"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En réponse aux observations écrites formulées par l'U</w:t>
      </w:r>
      <w:r w:rsidR="00DB7058" w:rsidRPr="004E13E9">
        <w:rPr>
          <w:lang w:val="fr-FR"/>
        </w:rPr>
        <w:t>nion européenne (UE)</w:t>
      </w:r>
      <w:r w:rsidRPr="004E13E9">
        <w:rPr>
          <w:lang w:val="fr-FR"/>
        </w:rPr>
        <w:t xml:space="preserve"> concernant son plan de pêche, l'Albanie a expliqué qu'elle ne prévoyait pas d'importer du thon rouge vivant en provenance d'autres CPC et que l'objectif principal de la ferme était l'engraissement du thon rouge. En ce qui concerne le déploiement d'observateurs, l'Albanie a également précisé qu'elle veillerait à la mise en œuvre du Programme régional d'observateurs (ROP) de l’ICCAT afin de garantir une couverture à 100 % par les observateurs, y compris lors de la remise à l'eau du thon rouge provenant des fermes.</w:t>
      </w:r>
    </w:p>
    <w:p w14:paraId="1CB10716" w14:textId="77777777" w:rsidR="001351A2" w:rsidRPr="004E13E9" w:rsidRDefault="001351A2" w:rsidP="001351A2">
      <w:pPr>
        <w:contextualSpacing/>
        <w:jc w:val="both"/>
        <w:rPr>
          <w:rFonts w:eastAsia="Yu Gothic" w:cs="Times New Roman"/>
          <w:kern w:val="2"/>
          <w:lang w:val="fr-FR"/>
          <w14:ligatures w14:val="standardContextual"/>
        </w:rPr>
      </w:pPr>
    </w:p>
    <w:p w14:paraId="4E698DFD"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Le Président a demandé à l'Albanie de préciser le quota alloué à chaque navire de plus de 24 mètres, conformément à la </w:t>
      </w:r>
      <w:hyperlink r:id="rId8">
        <w:r w:rsidRPr="004E13E9">
          <w:rPr>
            <w:i/>
            <w:iCs/>
            <w:color w:val="0000FF"/>
            <w:lang w:val="fr-FR"/>
          </w:rPr>
          <w:t>Recommandation de l’ICCAT remplaçant la Recommandation 24-05 établissant un plan pluriannuel de gestion du thon rouge dans l’Atlantique Est et la Méditerranée</w:t>
        </w:r>
        <w:r w:rsidRPr="004E13E9">
          <w:rPr>
            <w:color w:val="0000FF"/>
            <w:lang w:val="fr-FR"/>
          </w:rPr>
          <w:t xml:space="preserve"> (Rec. 25-04)</w:t>
        </w:r>
      </w:hyperlink>
      <w:r w:rsidRPr="004E13E9">
        <w:rPr>
          <w:lang w:val="fr-FR"/>
        </w:rPr>
        <w:t>.</w:t>
      </w:r>
    </w:p>
    <w:p w14:paraId="42790930" w14:textId="77777777" w:rsidR="001351A2" w:rsidRPr="004E13E9" w:rsidRDefault="001351A2" w:rsidP="001351A2">
      <w:pPr>
        <w:contextualSpacing/>
        <w:jc w:val="both"/>
        <w:rPr>
          <w:rFonts w:eastAsia="Yu Gothic" w:cs="Times New Roman"/>
          <w:kern w:val="2"/>
          <w:lang w:val="fr-FR"/>
          <w14:ligatures w14:val="standardContextual"/>
        </w:rPr>
      </w:pPr>
    </w:p>
    <w:p w14:paraId="38624DF4"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Une CPC a fait remarquer que la capacité déclarée d’entrée destinée à l’élevage de l'Albanie dépassait son quota et a demandé des éclaircissements. L'Albanie a expliqué que ce chiffre avait été calculé en additionnant son quota pour 2026 et le report de 2025 de thon rouge vivant des fermes. Il a été demandé à l'Albanie d'ajouter cette précision à son plan de pêche.</w:t>
      </w:r>
    </w:p>
    <w:p w14:paraId="0D2D22EC" w14:textId="11212C09" w:rsidR="00DB7058" w:rsidRPr="004E13E9" w:rsidRDefault="00DB7058">
      <w:pPr>
        <w:rPr>
          <w:lang w:val="fr-FR"/>
        </w:rPr>
      </w:pPr>
    </w:p>
    <w:p w14:paraId="1D8DF69E" w14:textId="77777777" w:rsidR="00C712A4" w:rsidRDefault="001351A2" w:rsidP="001351A2">
      <w:pPr>
        <w:contextualSpacing/>
        <w:jc w:val="both"/>
        <w:rPr>
          <w:b/>
          <w:i/>
          <w:lang w:val="fr-FR"/>
        </w:rPr>
      </w:pPr>
      <w:r w:rsidRPr="004E13E9">
        <w:rPr>
          <w:lang w:val="fr-FR"/>
        </w:rPr>
        <w:lastRenderedPageBreak/>
        <w:t>Le plan de pêche révisé de l’Albanie a été entériné par la Sous-commission 2.</w:t>
      </w:r>
      <w:bookmarkEnd w:id="0"/>
    </w:p>
    <w:p w14:paraId="6F1A769B" w14:textId="77777777" w:rsidR="00C712A4" w:rsidRDefault="00C712A4" w:rsidP="001351A2">
      <w:pPr>
        <w:contextualSpacing/>
        <w:jc w:val="both"/>
        <w:rPr>
          <w:b/>
          <w:i/>
          <w:lang w:val="fr-FR"/>
        </w:rPr>
      </w:pPr>
    </w:p>
    <w:p w14:paraId="3DCA5539" w14:textId="6A3ADC18" w:rsidR="001351A2" w:rsidRPr="00C712A4" w:rsidRDefault="00C712A4" w:rsidP="001351A2">
      <w:pPr>
        <w:contextualSpacing/>
        <w:jc w:val="both"/>
        <w:rPr>
          <w:b/>
          <w:i/>
          <w:lang w:val="fr-FR"/>
        </w:rPr>
      </w:pPr>
      <w:r>
        <w:rPr>
          <w:b/>
          <w:i/>
          <w:lang w:val="fr-FR"/>
        </w:rPr>
        <w:t>A</w:t>
      </w:r>
      <w:r w:rsidR="001351A2" w:rsidRPr="004E13E9">
        <w:rPr>
          <w:b/>
          <w:i/>
          <w:lang w:val="fr-FR"/>
        </w:rPr>
        <w:t>lgérie</w:t>
      </w:r>
    </w:p>
    <w:p w14:paraId="163450A3" w14:textId="77777777" w:rsidR="001351A2" w:rsidRPr="004E13E9" w:rsidRDefault="001351A2" w:rsidP="001351A2">
      <w:pPr>
        <w:contextualSpacing/>
        <w:jc w:val="both"/>
        <w:rPr>
          <w:rFonts w:eastAsia="Yu Gothic" w:cs="Times New Roman"/>
          <w:kern w:val="2"/>
          <w:lang w:val="fr-FR"/>
          <w14:ligatures w14:val="standardContextual"/>
        </w:rPr>
      </w:pPr>
    </w:p>
    <w:p w14:paraId="70064A63" w14:textId="4998011D"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L'Algérie a demandé le report à 2026 de 4,64 tonnes (0,23 %) de son quota inutilisé de 2025, ce qui porte son quota ajusté à 2.465,28 </w:t>
      </w:r>
      <w:r w:rsidR="006650F3" w:rsidRPr="004E13E9">
        <w:rPr>
          <w:lang w:val="fr-FR"/>
        </w:rPr>
        <w:t>t</w:t>
      </w:r>
      <w:r w:rsidRPr="004E13E9">
        <w:rPr>
          <w:lang w:val="fr-FR"/>
        </w:rPr>
        <w:t xml:space="preserve">. Ce quota est principalement alloué à un groupe de 41 senneurs de 22 à 42 mètres de long. 40 </w:t>
      </w:r>
      <w:r w:rsidR="006650F3" w:rsidRPr="004E13E9">
        <w:rPr>
          <w:lang w:val="fr-FR"/>
        </w:rPr>
        <w:t xml:space="preserve">t </w:t>
      </w:r>
      <w:r w:rsidRPr="004E13E9">
        <w:rPr>
          <w:lang w:val="fr-FR"/>
        </w:rPr>
        <w:t xml:space="preserve">sont également allouées aux petits navires côtiers et 6 tonnes aux prises accessoires. </w:t>
      </w:r>
    </w:p>
    <w:p w14:paraId="3C60BB9D" w14:textId="77777777" w:rsidR="001351A2" w:rsidRPr="004E13E9" w:rsidRDefault="001351A2" w:rsidP="001351A2">
      <w:pPr>
        <w:contextualSpacing/>
        <w:jc w:val="both"/>
        <w:rPr>
          <w:rFonts w:eastAsia="Yu Gothic" w:cs="Times New Roman"/>
          <w:kern w:val="2"/>
          <w:lang w:val="fr-FR"/>
          <w14:ligatures w14:val="standardContextual"/>
        </w:rPr>
      </w:pPr>
    </w:p>
    <w:p w14:paraId="660A556B" w14:textId="7F15CD32"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En réponse aux observations écrites formulées par l'UE concernant son plan de pêche, l'Algérie a confirmé la présence d'autorités compétentes chargées du suivi, du contrôle et de la surveillance lors de toutes les opérations de mise en cage, conformément aux dispositions de la </w:t>
      </w:r>
      <w:hyperlink r:id="rId9" w:history="1">
        <w:r w:rsidR="00EA163F" w:rsidRPr="004E13E9">
          <w:rPr>
            <w:rStyle w:val="Hyperlink"/>
            <w:u w:val="none"/>
            <w:lang w:val="fr-FR"/>
          </w:rPr>
          <w:t>Rec. 25-04</w:t>
        </w:r>
      </w:hyperlink>
      <w:r w:rsidRPr="004E13E9">
        <w:rPr>
          <w:lang w:val="fr-FR"/>
        </w:rPr>
        <w:t>. Elle a également fourni des précisions sur l'augmentation du nombre de ports désignés et de petits navires, en expliquant que l'Algérie venait de désigner plusieurs ports existants dotés d'installations et d'équipements permettant de surveiller et de contrôler les activités de pêche, y compris celles des petits navires.</w:t>
      </w:r>
    </w:p>
    <w:p w14:paraId="357BCC7A" w14:textId="77777777" w:rsidR="001351A2" w:rsidRPr="004E13E9" w:rsidRDefault="001351A2" w:rsidP="001351A2">
      <w:pPr>
        <w:contextualSpacing/>
        <w:jc w:val="both"/>
        <w:rPr>
          <w:rFonts w:eastAsia="Yu Gothic" w:cs="Times New Roman"/>
          <w:kern w:val="2"/>
          <w:lang w:val="fr-FR"/>
          <w14:ligatures w14:val="standardContextual"/>
        </w:rPr>
      </w:pPr>
    </w:p>
    <w:p w14:paraId="69603FA8"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En réponse à une demande d'éclaircissements, l'Algérie a expliqué que le plan actuel prévoit initialement 90 petits navires côtiers, mais que ce nombre pourrait être revu à la baisse avant le début de la saison de pêche.</w:t>
      </w:r>
    </w:p>
    <w:p w14:paraId="2C76F9FB" w14:textId="77777777" w:rsidR="001351A2" w:rsidRPr="004E13E9" w:rsidRDefault="001351A2" w:rsidP="001351A2">
      <w:pPr>
        <w:contextualSpacing/>
        <w:jc w:val="both"/>
        <w:rPr>
          <w:rFonts w:eastAsia="Yu Gothic" w:cs="Times New Roman"/>
          <w:kern w:val="2"/>
          <w:lang w:val="fr-FR"/>
          <w14:ligatures w14:val="standardContextual"/>
        </w:rPr>
      </w:pPr>
    </w:p>
    <w:p w14:paraId="6B60E5E0"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Il a également été demandé à l'Algérie de corriger certains chiffres figurant dans son plan.</w:t>
      </w:r>
    </w:p>
    <w:p w14:paraId="7F5FBE74" w14:textId="77777777" w:rsidR="001351A2" w:rsidRPr="004E13E9" w:rsidRDefault="001351A2" w:rsidP="001351A2">
      <w:pPr>
        <w:contextualSpacing/>
        <w:jc w:val="both"/>
        <w:rPr>
          <w:rFonts w:eastAsia="Yu Gothic" w:cs="Times New Roman"/>
          <w:kern w:val="2"/>
          <w:lang w:val="fr-FR"/>
          <w14:ligatures w14:val="standardContextual"/>
        </w:rPr>
      </w:pPr>
    </w:p>
    <w:p w14:paraId="171A608E" w14:textId="54478B8E"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plan de pêche révisé de l’Algérie</w:t>
      </w:r>
      <w:r w:rsidR="000926DE">
        <w:rPr>
          <w:lang w:val="fr-FR"/>
        </w:rPr>
        <w:t xml:space="preserve"> </w:t>
      </w:r>
      <w:r w:rsidRPr="004E13E9">
        <w:rPr>
          <w:lang w:val="fr-FR"/>
        </w:rPr>
        <w:t>a été entériné par la Sous-commission 2.</w:t>
      </w:r>
    </w:p>
    <w:p w14:paraId="3DA94D36" w14:textId="77777777" w:rsidR="001351A2" w:rsidRPr="004E13E9" w:rsidRDefault="001351A2" w:rsidP="001351A2">
      <w:pPr>
        <w:contextualSpacing/>
        <w:jc w:val="both"/>
        <w:rPr>
          <w:rFonts w:eastAsia="Yu Gothic" w:cs="Times New Roman"/>
          <w:b/>
          <w:bCs/>
          <w:kern w:val="2"/>
          <w:lang w:val="fr-FR"/>
          <w14:ligatures w14:val="standardContextual"/>
        </w:rPr>
      </w:pPr>
    </w:p>
    <w:p w14:paraId="2303DA20" w14:textId="77777777" w:rsidR="001351A2" w:rsidRPr="004E13E9" w:rsidRDefault="001351A2" w:rsidP="001351A2">
      <w:pPr>
        <w:contextualSpacing/>
        <w:jc w:val="both"/>
        <w:rPr>
          <w:rFonts w:eastAsia="Yu Gothic" w:cs="Times New Roman"/>
          <w:b/>
          <w:bCs/>
          <w:i/>
          <w:iCs/>
          <w:kern w:val="2"/>
          <w:lang w:val="fr-FR"/>
          <w14:ligatures w14:val="standardContextual"/>
        </w:rPr>
      </w:pPr>
      <w:r w:rsidRPr="004E13E9">
        <w:rPr>
          <w:b/>
          <w:i/>
          <w:lang w:val="fr-FR"/>
        </w:rPr>
        <w:t>Chine (</w:t>
      </w:r>
      <w:proofErr w:type="spellStart"/>
      <w:r w:rsidRPr="004E13E9">
        <w:rPr>
          <w:b/>
          <w:i/>
          <w:lang w:val="fr-FR"/>
        </w:rPr>
        <w:t>Rép</w:t>
      </w:r>
      <w:proofErr w:type="spellEnd"/>
      <w:r w:rsidRPr="004E13E9">
        <w:rPr>
          <w:b/>
          <w:i/>
          <w:lang w:val="fr-FR"/>
        </w:rPr>
        <w:t>.)</w:t>
      </w:r>
    </w:p>
    <w:p w14:paraId="65D3B85E" w14:textId="77777777" w:rsidR="001351A2" w:rsidRPr="004E13E9" w:rsidRDefault="001351A2" w:rsidP="001351A2">
      <w:pPr>
        <w:contextualSpacing/>
        <w:jc w:val="both"/>
        <w:rPr>
          <w:rFonts w:eastAsia="Yu Gothic" w:cs="Times New Roman"/>
          <w:kern w:val="2"/>
          <w:lang w:val="fr-FR"/>
          <w14:ligatures w14:val="standardContextual"/>
        </w:rPr>
      </w:pPr>
    </w:p>
    <w:p w14:paraId="0654D794"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La Chine a demandé à reporter 22,4 t de 2025 à 2026, pour un quota total ajusté de 308,55 t, à répartir entre trois palangriers. Les navires pêcheront de septembre jusqu'à la fin de l'année ou jusqu'à épuisement du quota. 0,5 tonne est allouée aux prises accessoires.</w:t>
      </w:r>
    </w:p>
    <w:p w14:paraId="7FDEEBAE" w14:textId="77777777" w:rsidR="001351A2" w:rsidRPr="004E13E9" w:rsidRDefault="001351A2" w:rsidP="001351A2">
      <w:pPr>
        <w:contextualSpacing/>
        <w:jc w:val="both"/>
        <w:rPr>
          <w:rFonts w:eastAsia="Yu Gothic" w:cs="Times New Roman"/>
          <w:kern w:val="2"/>
          <w:lang w:val="fr-FR"/>
          <w14:ligatures w14:val="standardContextual"/>
        </w:rPr>
      </w:pPr>
    </w:p>
    <w:p w14:paraId="260464C7"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Il a été demandé à la Chine de revoir et de clarifier la description de ses périodes d’ouverture de la pêche.</w:t>
      </w:r>
    </w:p>
    <w:p w14:paraId="119AF5CC" w14:textId="77777777" w:rsidR="001351A2" w:rsidRPr="004E13E9" w:rsidRDefault="001351A2" w:rsidP="001351A2">
      <w:pPr>
        <w:contextualSpacing/>
        <w:jc w:val="both"/>
        <w:rPr>
          <w:rFonts w:eastAsia="Yu Gothic" w:cs="Times New Roman"/>
          <w:kern w:val="2"/>
          <w:lang w:val="fr-FR"/>
          <w14:ligatures w14:val="standardContextual"/>
        </w:rPr>
      </w:pPr>
    </w:p>
    <w:p w14:paraId="00D43BE0" w14:textId="2D82B7DF"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plan de pêche révisé de la Chine</w:t>
      </w:r>
      <w:r w:rsidR="00B278C7" w:rsidRPr="004E13E9">
        <w:rPr>
          <w:lang w:val="fr-FR"/>
        </w:rPr>
        <w:t xml:space="preserve"> </w:t>
      </w:r>
      <w:r w:rsidR="000926DE">
        <w:rPr>
          <w:lang w:val="fr-FR"/>
        </w:rPr>
        <w:t>a</w:t>
      </w:r>
      <w:r w:rsidRPr="004E13E9">
        <w:rPr>
          <w:lang w:val="fr-FR"/>
        </w:rPr>
        <w:t xml:space="preserve"> été entériné</w:t>
      </w:r>
      <w:r w:rsidR="002B1AA1" w:rsidRPr="004E13E9">
        <w:rPr>
          <w:rFonts w:eastAsia="Yu Gothic" w:cs="Times New Roman"/>
          <w:kern w:val="2"/>
          <w:lang w:val="fr-FR"/>
          <w14:ligatures w14:val="standardContextual"/>
        </w:rPr>
        <w:t xml:space="preserve"> </w:t>
      </w:r>
      <w:r w:rsidRPr="004E13E9">
        <w:rPr>
          <w:lang w:val="fr-FR"/>
        </w:rPr>
        <w:t>par la Sous-commission 2.</w:t>
      </w:r>
    </w:p>
    <w:p w14:paraId="6909ACA8" w14:textId="77777777" w:rsidR="001351A2" w:rsidRPr="004E13E9" w:rsidRDefault="001351A2" w:rsidP="001351A2">
      <w:pPr>
        <w:contextualSpacing/>
        <w:jc w:val="both"/>
        <w:rPr>
          <w:rFonts w:eastAsia="Yu Gothic" w:cs="Times New Roman"/>
          <w:b/>
          <w:bCs/>
          <w:kern w:val="2"/>
          <w:lang w:val="fr-FR"/>
          <w14:ligatures w14:val="standardContextual"/>
        </w:rPr>
      </w:pPr>
    </w:p>
    <w:p w14:paraId="0F790B00" w14:textId="51000A15" w:rsidR="001351A2" w:rsidRPr="004E13E9" w:rsidRDefault="001351A2" w:rsidP="001351A2">
      <w:pPr>
        <w:contextualSpacing/>
        <w:jc w:val="both"/>
        <w:rPr>
          <w:rFonts w:eastAsia="Yu Gothic" w:cs="Times New Roman"/>
          <w:b/>
          <w:bCs/>
          <w:i/>
          <w:iCs/>
          <w:kern w:val="2"/>
          <w:lang w:val="fr-FR"/>
          <w14:ligatures w14:val="standardContextual"/>
        </w:rPr>
      </w:pPr>
      <w:r w:rsidRPr="004E13E9">
        <w:rPr>
          <w:b/>
          <w:i/>
          <w:lang w:val="fr-FR"/>
        </w:rPr>
        <w:t>Égypte</w:t>
      </w:r>
    </w:p>
    <w:p w14:paraId="31A7C79B" w14:textId="77777777" w:rsidR="001351A2" w:rsidRPr="004E13E9" w:rsidRDefault="001351A2" w:rsidP="001351A2">
      <w:pPr>
        <w:contextualSpacing/>
        <w:jc w:val="both"/>
        <w:rPr>
          <w:rFonts w:eastAsia="Yu Gothic" w:cs="Times New Roman"/>
          <w:i/>
          <w:iCs/>
          <w:kern w:val="2"/>
          <w:lang w:val="fr-FR"/>
          <w14:ligatures w14:val="standardContextual"/>
        </w:rPr>
      </w:pPr>
    </w:p>
    <w:p w14:paraId="0CA15F87"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En 2026, le quota initial de l'Égypte est de 549 t. Après déduction des prises accessoires, le quota disponible s'élève à 543,51 t, qui seront réparties entre deux senneurs. Chacun recevra la moitié du quota disponible. Toutes les prises seront destinées aux cages d'engraissement des fermes. Aucun report n'a été demandé. </w:t>
      </w:r>
    </w:p>
    <w:p w14:paraId="25DA65D5" w14:textId="77777777" w:rsidR="001351A2" w:rsidRPr="004E13E9" w:rsidRDefault="001351A2" w:rsidP="001351A2">
      <w:pPr>
        <w:contextualSpacing/>
        <w:jc w:val="both"/>
        <w:rPr>
          <w:rFonts w:eastAsia="Yu Gothic" w:cs="Times New Roman"/>
          <w:kern w:val="2"/>
          <w:lang w:val="fr-FR"/>
          <w14:ligatures w14:val="standardContextual"/>
        </w:rPr>
      </w:pPr>
    </w:p>
    <w:p w14:paraId="4681612A"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L'Égypte dispose d'une ferme aquacole dédiée au thon rouge qui devait entrer en service en octobre 2025 et dont toutes les infrastructures sont désormais achevées. Ce projet fera appel à des géniteurs importés et à des techniques d'éclosion artificielle. Cependant, des retards ont été constatés dans le pays duquel les géniteurs sont importés. Son ouverture est désormais prévue pour la fin de l'année 2026, à condition que les causes du retard puissent être résolues.</w:t>
      </w:r>
    </w:p>
    <w:p w14:paraId="6C79585B" w14:textId="77777777" w:rsidR="001351A2" w:rsidRPr="004E13E9" w:rsidRDefault="001351A2" w:rsidP="001351A2">
      <w:pPr>
        <w:contextualSpacing/>
        <w:jc w:val="both"/>
        <w:rPr>
          <w:rFonts w:eastAsia="Yu Gothic" w:cs="Times New Roman"/>
          <w:kern w:val="2"/>
          <w:lang w:val="fr-FR"/>
          <w14:ligatures w14:val="standardContextual"/>
        </w:rPr>
      </w:pPr>
    </w:p>
    <w:p w14:paraId="063F7B92"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En réponse à une demande d'éclaircissements, l'Égypte a expliqué qu'elle comptait une seule ferme de thon rouge autorisée, mais qu'aucune activité d'élevage n'y serait menée en 2026.</w:t>
      </w:r>
    </w:p>
    <w:p w14:paraId="4C7441B7" w14:textId="77777777" w:rsidR="001351A2" w:rsidRPr="004E13E9" w:rsidRDefault="001351A2" w:rsidP="001351A2">
      <w:pPr>
        <w:contextualSpacing/>
        <w:jc w:val="both"/>
        <w:rPr>
          <w:rFonts w:eastAsia="Yu Gothic" w:cs="Times New Roman"/>
          <w:kern w:val="2"/>
          <w:lang w:val="fr-FR"/>
          <w14:ligatures w14:val="standardContextual"/>
        </w:rPr>
      </w:pPr>
    </w:p>
    <w:p w14:paraId="2309F3BB" w14:textId="57D9CFA6"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plan de pêche révisé de l’Égypte a été entériné par la Sous-commission 2.</w:t>
      </w:r>
    </w:p>
    <w:p w14:paraId="54C63B8F" w14:textId="19654E78" w:rsidR="001A7CED" w:rsidRPr="004E13E9" w:rsidRDefault="001A7CED">
      <w:pPr>
        <w:rPr>
          <w:b/>
          <w:i/>
          <w:lang w:val="fr-FR"/>
        </w:rPr>
      </w:pPr>
    </w:p>
    <w:p w14:paraId="45D5589C" w14:textId="36040F28" w:rsidR="001351A2" w:rsidRPr="004E13E9" w:rsidRDefault="001351A2" w:rsidP="001351A2">
      <w:pPr>
        <w:contextualSpacing/>
        <w:jc w:val="both"/>
        <w:rPr>
          <w:rFonts w:eastAsia="Yu Gothic" w:cs="Times New Roman"/>
          <w:b/>
          <w:bCs/>
          <w:i/>
          <w:iCs/>
          <w:kern w:val="2"/>
          <w:lang w:val="fr-FR"/>
          <w14:ligatures w14:val="standardContextual"/>
        </w:rPr>
      </w:pPr>
      <w:r w:rsidRPr="004E13E9">
        <w:rPr>
          <w:b/>
          <w:i/>
          <w:lang w:val="fr-FR"/>
        </w:rPr>
        <w:t>Union européenne </w:t>
      </w:r>
    </w:p>
    <w:p w14:paraId="24B52075" w14:textId="77777777" w:rsidR="001351A2" w:rsidRPr="004E13E9" w:rsidRDefault="001351A2" w:rsidP="001351A2">
      <w:pPr>
        <w:contextualSpacing/>
        <w:jc w:val="both"/>
        <w:rPr>
          <w:rFonts w:eastAsia="Yu Gothic" w:cs="Times New Roman"/>
          <w:kern w:val="2"/>
          <w:lang w:val="fr-FR"/>
          <w14:ligatures w14:val="standardContextual"/>
        </w:rPr>
      </w:pPr>
    </w:p>
    <w:p w14:paraId="53AADC6E" w14:textId="24F82931"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La flottille de pêche et la capacité de pêche ont augmenté par rapport à 2025, ce qui reflète l'augmentation des quotas de l'UE. Le quota initial pour 2026 est de 25.164,62 tonnes. En 2025, la sous-consommation de l'UE s'élevait à 1.344,34 t, soit un chiffre supérieur </w:t>
      </w:r>
      <w:r w:rsidR="006D1C27" w:rsidRPr="004E13E9">
        <w:rPr>
          <w:lang w:val="fr-FR"/>
        </w:rPr>
        <w:t xml:space="preserve">au report </w:t>
      </w:r>
      <w:r w:rsidRPr="004E13E9">
        <w:rPr>
          <w:lang w:val="fr-FR"/>
        </w:rPr>
        <w:t xml:space="preserve">maximal </w:t>
      </w:r>
      <w:r w:rsidR="006D1C27" w:rsidRPr="004E13E9">
        <w:rPr>
          <w:lang w:val="fr-FR"/>
        </w:rPr>
        <w:t xml:space="preserve">autorisé </w:t>
      </w:r>
      <w:r w:rsidRPr="004E13E9">
        <w:rPr>
          <w:lang w:val="fr-FR"/>
        </w:rPr>
        <w:t xml:space="preserve">de 5 % (1.075,15 tonnes) prévue par </w:t>
      </w:r>
      <w:r w:rsidR="000F26BB" w:rsidRPr="004E13E9">
        <w:rPr>
          <w:lang w:val="fr-FR"/>
        </w:rPr>
        <w:t xml:space="preserve">la </w:t>
      </w:r>
      <w:hyperlink r:id="rId10" w:history="1">
        <w:r w:rsidRPr="004E13E9">
          <w:rPr>
            <w:rStyle w:val="Hyperlink"/>
            <w:i/>
            <w:iCs/>
            <w:u w:val="none"/>
            <w:lang w:val="fr-FR"/>
          </w:rPr>
          <w:t>Recommandation de l’ICCAT amendant la Recommandation 22-08 établissant un plan pluriannuel de gestion du thon rouge dans l’Atlantique Est et la Méditerranée</w:t>
        </w:r>
        <w:r w:rsidRPr="004E13E9">
          <w:rPr>
            <w:rStyle w:val="Hyperlink"/>
            <w:u w:val="none"/>
            <w:lang w:val="fr-FR"/>
          </w:rPr>
          <w:t xml:space="preserve"> (Rec. 24-05)</w:t>
        </w:r>
      </w:hyperlink>
      <w:r w:rsidRPr="004E13E9">
        <w:rPr>
          <w:lang w:val="fr-FR"/>
        </w:rPr>
        <w:t xml:space="preserve">. La </w:t>
      </w:r>
      <w:hyperlink r:id="rId11" w:history="1">
        <w:r w:rsidRPr="004E13E9">
          <w:rPr>
            <w:rStyle w:val="Hyperlink"/>
            <w:u w:val="none"/>
            <w:lang w:val="fr-FR"/>
          </w:rPr>
          <w:t>Rec. 24-05</w:t>
        </w:r>
      </w:hyperlink>
      <w:r w:rsidRPr="004E13E9">
        <w:rPr>
          <w:lang w:val="fr-FR"/>
        </w:rPr>
        <w:t xml:space="preserve"> a été remplacée par la </w:t>
      </w:r>
      <w:hyperlink r:id="rId12" w:history="1">
        <w:r w:rsidRPr="004E13E9">
          <w:rPr>
            <w:rStyle w:val="Hyperlink"/>
            <w:u w:val="none"/>
            <w:lang w:val="fr-FR"/>
          </w:rPr>
          <w:t>Rec. 25-04</w:t>
        </w:r>
      </w:hyperlink>
      <w:r w:rsidRPr="004E13E9">
        <w:rPr>
          <w:lang w:val="fr-FR"/>
        </w:rPr>
        <w:t xml:space="preserve">, qui autorise un report maximal de 20 %, mais cette nouvelle Recommandation n'a pas encore été transposée dans le droit de l'Union européenne. Par conséquent, l'UE </w:t>
      </w:r>
      <w:r w:rsidRPr="004E13E9">
        <w:rPr>
          <w:lang w:val="fr-FR"/>
        </w:rPr>
        <w:lastRenderedPageBreak/>
        <w:t>a demandé un report de 1.075,15 t (5</w:t>
      </w:r>
      <w:r w:rsidR="00772348" w:rsidRPr="004E13E9">
        <w:rPr>
          <w:lang w:val="fr-FR"/>
        </w:rPr>
        <w:t> </w:t>
      </w:r>
      <w:r w:rsidRPr="004E13E9">
        <w:rPr>
          <w:lang w:val="fr-FR"/>
        </w:rPr>
        <w:t xml:space="preserve">%) de 2025 à 2026, ce qui porte le quota ajusté à 26.239,77 t. Une fois que la </w:t>
      </w:r>
      <w:hyperlink r:id="rId13" w:history="1">
        <w:r w:rsidRPr="004E13E9">
          <w:rPr>
            <w:rStyle w:val="Hyperlink"/>
            <w:u w:val="none"/>
            <w:lang w:val="fr-FR"/>
          </w:rPr>
          <w:t>Rec. 25-04</w:t>
        </w:r>
      </w:hyperlink>
      <w:r w:rsidRPr="004E13E9">
        <w:rPr>
          <w:lang w:val="fr-FR"/>
        </w:rPr>
        <w:t xml:space="preserve"> aura été transposée dans le droit de l'UE, l'UE présentera un plan de pêche révisé comprenant une demande de report plus importante, fondée sur la nouvelle limite.</w:t>
      </w:r>
    </w:p>
    <w:p w14:paraId="5CD73D14" w14:textId="77777777" w:rsidR="001351A2" w:rsidRPr="004E13E9" w:rsidRDefault="001351A2" w:rsidP="001351A2">
      <w:pPr>
        <w:contextualSpacing/>
        <w:jc w:val="both"/>
        <w:rPr>
          <w:rFonts w:eastAsia="Yu Gothic" w:cs="Times New Roman"/>
          <w:kern w:val="2"/>
          <w:lang w:val="fr-FR"/>
          <w14:ligatures w14:val="standardContextual"/>
        </w:rPr>
      </w:pPr>
    </w:p>
    <w:p w14:paraId="484F0F4B"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En 2026, 27 fermes seront opérationnelles, soit une augmentation par rapport à 2025 due à la diversification des sociétés, avec une capacité totale d'entrée de 28.106,90 t.</w:t>
      </w:r>
    </w:p>
    <w:p w14:paraId="1C0A80B9" w14:textId="77777777" w:rsidR="001351A2" w:rsidRPr="004E13E9" w:rsidRDefault="001351A2" w:rsidP="001351A2">
      <w:pPr>
        <w:contextualSpacing/>
        <w:jc w:val="both"/>
        <w:rPr>
          <w:rFonts w:eastAsia="Yu Gothic" w:cs="Times New Roman"/>
          <w:kern w:val="2"/>
          <w:lang w:val="fr-FR"/>
          <w14:ligatures w14:val="standardContextual"/>
        </w:rPr>
      </w:pPr>
    </w:p>
    <w:p w14:paraId="59F8EFD4"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En 2026, l'UE effectuera un minimum de 551 jours d'activités de contrôle et d'inspection en mer et 35 vols de surveillance aérienne.</w:t>
      </w:r>
    </w:p>
    <w:p w14:paraId="3E1581D1" w14:textId="77777777" w:rsidR="001351A2" w:rsidRPr="004E13E9" w:rsidRDefault="001351A2" w:rsidP="001351A2">
      <w:pPr>
        <w:contextualSpacing/>
        <w:jc w:val="both"/>
        <w:rPr>
          <w:rFonts w:eastAsia="Yu Gothic" w:cs="Times New Roman"/>
          <w:kern w:val="2"/>
          <w:lang w:val="fr-FR"/>
          <w14:ligatures w14:val="standardContextual"/>
        </w:rPr>
      </w:pPr>
    </w:p>
    <w:p w14:paraId="5A21F4AF" w14:textId="44EA471A"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Il a été relevé que le plan de pêche de l'UE ne contenait aucune information concernant le projet pilote proposé par l'UE pour l'élevage du thon rouge et de l’albacore dans les eaux des îles Canaries. L'UE a expliqué qu'elle avait commencé à élaborer des plans, mais qu'elle s'était ensuite rendu compte que le projet n'était pas réalisable à l'heure actuelle. L'UE a indiqué qu'elle pourrait envisager de lancer le projet pilote l'année prochaine et que, le cas échéant, elle présenterait les informations pertinentes à la Sous-commission</w:t>
      </w:r>
      <w:r w:rsidR="003553AF" w:rsidRPr="004E13E9">
        <w:rPr>
          <w:lang w:val="fr-FR"/>
        </w:rPr>
        <w:t> </w:t>
      </w:r>
      <w:r w:rsidRPr="004E13E9">
        <w:rPr>
          <w:lang w:val="fr-FR"/>
        </w:rPr>
        <w:t>2.</w:t>
      </w:r>
    </w:p>
    <w:p w14:paraId="63B4BB88" w14:textId="77777777" w:rsidR="001351A2" w:rsidRPr="004E13E9" w:rsidRDefault="001351A2" w:rsidP="001351A2">
      <w:pPr>
        <w:contextualSpacing/>
        <w:jc w:val="both"/>
        <w:rPr>
          <w:rFonts w:eastAsia="Yu Gothic" w:cs="Times New Roman"/>
          <w:kern w:val="2"/>
          <w:lang w:val="fr-FR"/>
          <w14:ligatures w14:val="standardContextual"/>
        </w:rPr>
      </w:pPr>
    </w:p>
    <w:p w14:paraId="278B4812"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Il a été demandé à l'UE d'ajouter une description plus détaillée de son intention de présenter un plan de pêche révisé, assorti d'une demande de report plus importante, une fois que la </w:t>
      </w:r>
      <w:hyperlink r:id="rId14" w:history="1">
        <w:r w:rsidRPr="004E13E9">
          <w:rPr>
            <w:rStyle w:val="Hyperlink"/>
            <w:u w:val="none"/>
            <w:lang w:val="fr-FR"/>
          </w:rPr>
          <w:t>Rec. 25-04</w:t>
        </w:r>
      </w:hyperlink>
      <w:r w:rsidRPr="004E13E9">
        <w:rPr>
          <w:lang w:val="fr-FR"/>
        </w:rPr>
        <w:t xml:space="preserve"> aura été transposée dans le droit de l'UE. L'UE a également été invitée à corriger certains chiffres.</w:t>
      </w:r>
    </w:p>
    <w:p w14:paraId="25589117" w14:textId="77777777" w:rsidR="001351A2" w:rsidRPr="004E13E9" w:rsidRDefault="001351A2" w:rsidP="001351A2">
      <w:pPr>
        <w:contextualSpacing/>
        <w:jc w:val="both"/>
        <w:rPr>
          <w:rFonts w:eastAsia="Yu Gothic" w:cs="Times New Roman"/>
          <w:kern w:val="2"/>
          <w:lang w:val="fr-FR"/>
          <w14:ligatures w14:val="standardContextual"/>
        </w:rPr>
      </w:pPr>
    </w:p>
    <w:p w14:paraId="51C2DBD2" w14:textId="3F62E5AA"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plan de pêche révisé de l’UE a été entériné par la Sous-commission 2.</w:t>
      </w:r>
    </w:p>
    <w:p w14:paraId="045FF9FF" w14:textId="77777777" w:rsidR="001351A2" w:rsidRPr="004E13E9" w:rsidRDefault="001351A2" w:rsidP="001351A2">
      <w:pPr>
        <w:contextualSpacing/>
        <w:jc w:val="both"/>
        <w:rPr>
          <w:rFonts w:eastAsia="Yu Gothic" w:cs="Times New Roman"/>
          <w:b/>
          <w:bCs/>
          <w:i/>
          <w:iCs/>
          <w:kern w:val="2"/>
          <w:lang w:val="fr-FR"/>
          <w14:ligatures w14:val="standardContextual"/>
        </w:rPr>
      </w:pPr>
    </w:p>
    <w:p w14:paraId="71065A17" w14:textId="77777777" w:rsidR="001351A2" w:rsidRPr="004E13E9" w:rsidRDefault="001351A2" w:rsidP="001351A2">
      <w:pPr>
        <w:contextualSpacing/>
        <w:jc w:val="both"/>
        <w:rPr>
          <w:rFonts w:eastAsia="Yu Gothic" w:cs="Times New Roman"/>
          <w:b/>
          <w:bCs/>
          <w:i/>
          <w:iCs/>
          <w:kern w:val="2"/>
          <w:lang w:val="fr-FR"/>
          <w14:ligatures w14:val="standardContextual"/>
        </w:rPr>
      </w:pPr>
      <w:r w:rsidRPr="004E13E9">
        <w:rPr>
          <w:b/>
          <w:i/>
          <w:lang w:val="fr-FR"/>
        </w:rPr>
        <w:t xml:space="preserve">Islande </w:t>
      </w:r>
    </w:p>
    <w:p w14:paraId="1BBB15E0" w14:textId="77777777" w:rsidR="001351A2" w:rsidRPr="004E13E9" w:rsidRDefault="001351A2" w:rsidP="001351A2">
      <w:pPr>
        <w:contextualSpacing/>
        <w:jc w:val="both"/>
        <w:rPr>
          <w:rFonts w:eastAsia="Yu Gothic" w:cs="Times New Roman"/>
          <w:kern w:val="2"/>
          <w:lang w:val="fr-FR"/>
          <w14:ligatures w14:val="standardContextual"/>
        </w:rPr>
      </w:pPr>
    </w:p>
    <w:p w14:paraId="7342ED0B" w14:textId="51D68B19"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L'Islande a demandé de reporter 22,86 t (10,2 %) de 2025 à 2026, pour un quota total ajusté de 276 t, dont 271 t sont allouées aux captures commerciales et 5 t réservées aux prises accessoires. L'Islande peut autoriser jusqu'à trois palangriers à pratiquer la pêche ciblant le thon rouge </w:t>
      </w:r>
      <w:r w:rsidR="003553AF" w:rsidRPr="004E13E9">
        <w:rPr>
          <w:lang w:val="fr-FR"/>
        </w:rPr>
        <w:t>de l’Atlantique</w:t>
      </w:r>
      <w:r w:rsidRPr="004E13E9">
        <w:rPr>
          <w:lang w:val="fr-FR"/>
        </w:rPr>
        <w:t xml:space="preserve">, chaque navire se voyant attribuer un quota individuel. Le quota sera ajusté si nécessaire entre les prises accessoires et les captures à la palangre et tous les ajustements seront déclarés à l’ICCAT. La campagne de pêche se déroulera du 1er août 2026 au 31 décembre 2026. </w:t>
      </w:r>
    </w:p>
    <w:p w14:paraId="698CA173" w14:textId="77777777" w:rsidR="001351A2" w:rsidRPr="004E13E9" w:rsidRDefault="001351A2" w:rsidP="001351A2">
      <w:pPr>
        <w:contextualSpacing/>
        <w:jc w:val="both"/>
        <w:rPr>
          <w:rFonts w:eastAsia="Yu Gothic" w:cs="Times New Roman"/>
          <w:kern w:val="2"/>
          <w:lang w:val="fr-FR"/>
          <w14:ligatures w14:val="standardContextual"/>
        </w:rPr>
      </w:pPr>
    </w:p>
    <w:p w14:paraId="531AACB1" w14:textId="0F12374E"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plan de pêche de l’Islande</w:t>
      </w:r>
      <w:r w:rsidR="00B56197" w:rsidRPr="004E13E9">
        <w:rPr>
          <w:lang w:val="fr-FR"/>
        </w:rPr>
        <w:t xml:space="preserve"> </w:t>
      </w:r>
      <w:r w:rsidRPr="004E13E9">
        <w:rPr>
          <w:lang w:val="fr-FR"/>
        </w:rPr>
        <w:t>a été entériné par la Sous-commission 2.</w:t>
      </w:r>
    </w:p>
    <w:p w14:paraId="415FDC11" w14:textId="77777777" w:rsidR="001351A2" w:rsidRPr="004E13E9" w:rsidRDefault="001351A2" w:rsidP="001351A2">
      <w:pPr>
        <w:contextualSpacing/>
        <w:jc w:val="both"/>
        <w:rPr>
          <w:rFonts w:eastAsia="Yu Gothic" w:cs="Times New Roman"/>
          <w:kern w:val="2"/>
          <w:lang w:val="fr-FR"/>
          <w14:ligatures w14:val="standardContextual"/>
        </w:rPr>
      </w:pPr>
    </w:p>
    <w:p w14:paraId="74348F3F" w14:textId="77777777" w:rsidR="001351A2" w:rsidRPr="004E13E9" w:rsidRDefault="001351A2" w:rsidP="001351A2">
      <w:pPr>
        <w:contextualSpacing/>
        <w:jc w:val="both"/>
        <w:rPr>
          <w:rFonts w:eastAsia="Yu Gothic" w:cs="Times New Roman"/>
          <w:b/>
          <w:bCs/>
          <w:i/>
          <w:iCs/>
          <w:kern w:val="2"/>
          <w:lang w:val="fr-FR"/>
          <w14:ligatures w14:val="standardContextual"/>
        </w:rPr>
      </w:pPr>
      <w:r w:rsidRPr="004E13E9">
        <w:rPr>
          <w:b/>
          <w:i/>
          <w:lang w:val="fr-FR"/>
        </w:rPr>
        <w:t>Japon</w:t>
      </w:r>
    </w:p>
    <w:p w14:paraId="1F68581A" w14:textId="77777777" w:rsidR="001351A2" w:rsidRPr="004E13E9" w:rsidRDefault="001351A2" w:rsidP="001351A2">
      <w:pPr>
        <w:contextualSpacing/>
        <w:jc w:val="both"/>
        <w:rPr>
          <w:rFonts w:eastAsia="Yu Gothic" w:cs="Times New Roman"/>
          <w:kern w:val="2"/>
          <w:lang w:val="fr-FR"/>
          <w14:ligatures w14:val="standardContextual"/>
        </w:rPr>
      </w:pPr>
    </w:p>
    <w:p w14:paraId="0108ACCC"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Le quota initial s'élève à 3.559,41 t, avec une demande de report de 463,75 t (14,89 %) de 2025 à 2026, ce qui porte le quota total disponible à 4.008,16 t. Un quota de 14 t est réservé aux rejets morts et un quota de prises accessoires de 1 tonne est réservé aux navires ne disposant pas de quotas individuels de thon rouge, ce qui donne un quota ajusté de 4.023,16 t. La pêche de thon rouge sera réalisée par une quarantaine de palangriers. </w:t>
      </w:r>
    </w:p>
    <w:p w14:paraId="44D9CF4C" w14:textId="77777777" w:rsidR="001351A2" w:rsidRPr="004E13E9" w:rsidRDefault="001351A2" w:rsidP="001351A2">
      <w:pPr>
        <w:contextualSpacing/>
        <w:jc w:val="both"/>
        <w:rPr>
          <w:rFonts w:eastAsia="Yu Gothic" w:cs="Times New Roman"/>
          <w:kern w:val="2"/>
          <w:lang w:val="fr-FR"/>
          <w14:ligatures w14:val="standardContextual"/>
        </w:rPr>
      </w:pPr>
    </w:p>
    <w:p w14:paraId="72F2717F"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Compte tenu du nombre limité de navires d'inspection dont il dispose, le Japon n'a pas l'intention de déployer ses navires d'inspection dans la zone de la Convention et prendra plutôt d'autres mesures en matière d’application. Tous les produits seront marqués et débarqués au Japon, où ils feront l'objet d'un contrôle à 100 % à leur arrivée.</w:t>
      </w:r>
    </w:p>
    <w:p w14:paraId="59F9071A" w14:textId="77777777" w:rsidR="001351A2" w:rsidRPr="004E13E9" w:rsidRDefault="001351A2" w:rsidP="001351A2">
      <w:pPr>
        <w:contextualSpacing/>
        <w:jc w:val="both"/>
        <w:rPr>
          <w:rFonts w:eastAsia="Yu Gothic" w:cs="Times New Roman"/>
          <w:kern w:val="2"/>
          <w:lang w:val="fr-FR"/>
          <w14:ligatures w14:val="standardContextual"/>
        </w:rPr>
      </w:pPr>
    </w:p>
    <w:p w14:paraId="361C4A02" w14:textId="63545B37" w:rsidR="00EB33F3" w:rsidRPr="004E13E9" w:rsidRDefault="001351A2" w:rsidP="00EB33F3">
      <w:pPr>
        <w:contextualSpacing/>
        <w:jc w:val="both"/>
        <w:rPr>
          <w:lang w:val="fr-FR"/>
        </w:rPr>
      </w:pPr>
      <w:r w:rsidRPr="004E13E9">
        <w:rPr>
          <w:lang w:val="fr-FR"/>
        </w:rPr>
        <w:t>Le plan de pêche révisé du Japon</w:t>
      </w:r>
      <w:r w:rsidR="00EB33F3" w:rsidRPr="004E13E9">
        <w:rPr>
          <w:rFonts w:eastAsia="Yu Gothic" w:cs="Times New Roman"/>
          <w:kern w:val="2"/>
          <w:lang w:val="fr-FR"/>
          <w14:ligatures w14:val="standardContextual"/>
        </w:rPr>
        <w:t xml:space="preserve"> </w:t>
      </w:r>
      <w:r w:rsidRPr="004E13E9">
        <w:rPr>
          <w:lang w:val="fr-FR"/>
        </w:rPr>
        <w:t>a été entériné par la Sous-commission 2.</w:t>
      </w:r>
    </w:p>
    <w:p w14:paraId="0DDF9FBB" w14:textId="77777777" w:rsidR="004C6CF9" w:rsidRPr="004E13E9" w:rsidRDefault="004C6CF9" w:rsidP="00EB33F3">
      <w:pPr>
        <w:contextualSpacing/>
        <w:jc w:val="both"/>
        <w:rPr>
          <w:b/>
          <w:i/>
          <w:lang w:val="fr-FR"/>
        </w:rPr>
      </w:pPr>
    </w:p>
    <w:p w14:paraId="629133D1" w14:textId="3C3E1E46" w:rsidR="001351A2" w:rsidRPr="004E13E9" w:rsidRDefault="001351A2" w:rsidP="001351A2">
      <w:pPr>
        <w:contextualSpacing/>
        <w:jc w:val="both"/>
        <w:rPr>
          <w:rFonts w:eastAsia="Yu Gothic" w:cs="Times New Roman"/>
          <w:b/>
          <w:bCs/>
          <w:i/>
          <w:iCs/>
          <w:kern w:val="2"/>
          <w:lang w:val="fr-FR"/>
          <w14:ligatures w14:val="standardContextual"/>
        </w:rPr>
      </w:pPr>
      <w:r w:rsidRPr="004E13E9">
        <w:rPr>
          <w:b/>
          <w:i/>
          <w:lang w:val="fr-FR"/>
        </w:rPr>
        <w:t>Corée (</w:t>
      </w:r>
      <w:proofErr w:type="spellStart"/>
      <w:r w:rsidRPr="004E13E9">
        <w:rPr>
          <w:b/>
          <w:i/>
          <w:lang w:val="fr-FR"/>
        </w:rPr>
        <w:t>Rép</w:t>
      </w:r>
      <w:proofErr w:type="spellEnd"/>
      <w:r w:rsidRPr="004E13E9">
        <w:rPr>
          <w:b/>
          <w:i/>
          <w:lang w:val="fr-FR"/>
        </w:rPr>
        <w:t>.)</w:t>
      </w:r>
    </w:p>
    <w:p w14:paraId="777DC9B1" w14:textId="77777777" w:rsidR="001351A2" w:rsidRPr="004E13E9" w:rsidRDefault="001351A2" w:rsidP="001351A2">
      <w:pPr>
        <w:contextualSpacing/>
        <w:jc w:val="both"/>
        <w:rPr>
          <w:rFonts w:eastAsia="Yu Gothic" w:cs="Times New Roman"/>
          <w:kern w:val="2"/>
          <w:lang w:val="fr-FR"/>
          <w14:ligatures w14:val="standardContextual"/>
        </w:rPr>
      </w:pPr>
    </w:p>
    <w:p w14:paraId="2FAF734D" w14:textId="772ECA98"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quota ajusté en 2026 est de 440,323 t, dont 368,93 t de quota initial + un transfert de 50 t du Taipei chinois + un report demandé de 21,393 t du quota de 2025</w:t>
      </w:r>
      <w:r w:rsidR="002D61D7" w:rsidRPr="004E13E9">
        <w:rPr>
          <w:lang w:val="fr-FR"/>
        </w:rPr>
        <w:t>. Le quota disponible pour 2026 s'élève à 439,823 t, sachant qu</w:t>
      </w:r>
      <w:r w:rsidR="000230C8" w:rsidRPr="004E13E9">
        <w:rPr>
          <w:lang w:val="fr-FR"/>
        </w:rPr>
        <w:t>e</w:t>
      </w:r>
      <w:r w:rsidR="002D61D7" w:rsidRPr="004E13E9">
        <w:rPr>
          <w:lang w:val="fr-FR"/>
        </w:rPr>
        <w:t xml:space="preserve"> 0,5 tonne est prévue pour les prises accessoires éventuelles.</w:t>
      </w:r>
      <w:r w:rsidRPr="004E13E9">
        <w:rPr>
          <w:lang w:val="fr-FR"/>
        </w:rPr>
        <w:t xml:space="preserve"> Le quota sera alloué à six palangriers. La période d'ouverture de la saison de pêche pour le groupe d'engins de pêche à la palangre s'étendra du 1</w:t>
      </w:r>
      <w:r w:rsidRPr="004E13E9">
        <w:rPr>
          <w:vertAlign w:val="superscript"/>
          <w:lang w:val="fr-FR"/>
        </w:rPr>
        <w:t>er</w:t>
      </w:r>
      <w:r w:rsidR="00EB33F3" w:rsidRPr="004E13E9">
        <w:rPr>
          <w:lang w:val="fr-FR"/>
        </w:rPr>
        <w:t xml:space="preserve"> </w:t>
      </w:r>
      <w:r w:rsidRPr="004E13E9">
        <w:rPr>
          <w:lang w:val="fr-FR"/>
        </w:rPr>
        <w:t xml:space="preserve">septembre au </w:t>
      </w:r>
      <w:r w:rsidR="002D61D7" w:rsidRPr="004E13E9">
        <w:rPr>
          <w:lang w:val="fr-FR"/>
        </w:rPr>
        <w:t>31</w:t>
      </w:r>
      <w:r w:rsidRPr="004E13E9">
        <w:rPr>
          <w:lang w:val="fr-FR"/>
        </w:rPr>
        <w:t xml:space="preserve"> décembre 2026.</w:t>
      </w:r>
    </w:p>
    <w:p w14:paraId="78E72F4E" w14:textId="77777777" w:rsidR="001351A2" w:rsidRPr="004E13E9" w:rsidRDefault="001351A2" w:rsidP="001351A2">
      <w:pPr>
        <w:contextualSpacing/>
        <w:jc w:val="both"/>
        <w:rPr>
          <w:rFonts w:eastAsia="Yu Gothic" w:cs="Times New Roman"/>
          <w:kern w:val="2"/>
          <w:lang w:val="fr-FR"/>
          <w14:ligatures w14:val="standardContextual"/>
        </w:rPr>
      </w:pPr>
    </w:p>
    <w:p w14:paraId="580EB779" w14:textId="3E8D023C"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plan de pêche de la Corée</w:t>
      </w:r>
      <w:r w:rsidR="002C5856" w:rsidRPr="004E13E9">
        <w:rPr>
          <w:rFonts w:eastAsia="Yu Gothic" w:cs="Times New Roman"/>
          <w:kern w:val="2"/>
          <w:lang w:val="fr-FR"/>
          <w14:ligatures w14:val="standardContextual"/>
        </w:rPr>
        <w:t xml:space="preserve"> </w:t>
      </w:r>
      <w:r w:rsidRPr="004E13E9">
        <w:rPr>
          <w:lang w:val="fr-FR"/>
        </w:rPr>
        <w:t>a été entériné par la Sous-commission 2.</w:t>
      </w:r>
    </w:p>
    <w:p w14:paraId="47A18BC7" w14:textId="77777777" w:rsidR="001351A2" w:rsidRPr="004E13E9" w:rsidRDefault="001351A2" w:rsidP="001351A2">
      <w:pPr>
        <w:contextualSpacing/>
        <w:jc w:val="both"/>
        <w:rPr>
          <w:rFonts w:eastAsia="Yu Gothic" w:cs="Times New Roman"/>
          <w:kern w:val="2"/>
          <w:lang w:val="fr-FR"/>
          <w14:ligatures w14:val="standardContextual"/>
        </w:rPr>
      </w:pPr>
    </w:p>
    <w:p w14:paraId="0387406F" w14:textId="62213D5A" w:rsidR="001351A2" w:rsidRPr="00C712A4" w:rsidRDefault="004C6CF9" w:rsidP="00C712A4">
      <w:pPr>
        <w:rPr>
          <w:b/>
          <w:i/>
          <w:lang w:val="fr-FR"/>
        </w:rPr>
      </w:pPr>
      <w:r w:rsidRPr="004E13E9">
        <w:rPr>
          <w:b/>
          <w:i/>
          <w:lang w:val="fr-FR"/>
        </w:rPr>
        <w:br w:type="page"/>
      </w:r>
      <w:r w:rsidR="00C712A4">
        <w:rPr>
          <w:b/>
          <w:i/>
          <w:lang w:val="fr-FR"/>
        </w:rPr>
        <w:lastRenderedPageBreak/>
        <w:t>L</w:t>
      </w:r>
      <w:r w:rsidR="001351A2" w:rsidRPr="004E13E9">
        <w:rPr>
          <w:b/>
          <w:i/>
          <w:lang w:val="fr-FR"/>
        </w:rPr>
        <w:t>ibye</w:t>
      </w:r>
    </w:p>
    <w:p w14:paraId="76BFA65B" w14:textId="77777777" w:rsidR="001351A2" w:rsidRPr="004E13E9" w:rsidRDefault="001351A2" w:rsidP="001351A2">
      <w:pPr>
        <w:contextualSpacing/>
        <w:jc w:val="both"/>
        <w:rPr>
          <w:rFonts w:eastAsia="Yu Gothic" w:cs="Times New Roman"/>
          <w:kern w:val="2"/>
          <w:lang w:val="fr-FR"/>
          <w14:ligatures w14:val="standardContextual"/>
        </w:rPr>
      </w:pPr>
    </w:p>
    <w:p w14:paraId="315DEE91"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Le quota initial pour 2026 est fixé à 2.950 t. La Libye a demandé un report de 18 t de 2025 à 2026, ce qui porte son quota ajusté à 2.968 t. </w:t>
      </w:r>
    </w:p>
    <w:p w14:paraId="7B95EDBD" w14:textId="77777777" w:rsidR="001351A2" w:rsidRPr="004E13E9" w:rsidRDefault="001351A2" w:rsidP="001351A2">
      <w:pPr>
        <w:contextualSpacing/>
        <w:jc w:val="both"/>
        <w:rPr>
          <w:rFonts w:eastAsia="Yu Gothic" w:cs="Times New Roman"/>
          <w:kern w:val="2"/>
          <w:lang w:val="fr-FR"/>
          <w14:ligatures w14:val="standardContextual"/>
        </w:rPr>
      </w:pPr>
    </w:p>
    <w:p w14:paraId="41CE6D49" w14:textId="48CB6DC4"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plan de pêche révisé de la Libye a été entériné par la Sous-commission 2.</w:t>
      </w:r>
    </w:p>
    <w:p w14:paraId="60AC020E" w14:textId="77777777" w:rsidR="001351A2" w:rsidRPr="004E13E9" w:rsidRDefault="001351A2" w:rsidP="001351A2">
      <w:pPr>
        <w:contextualSpacing/>
        <w:jc w:val="both"/>
        <w:rPr>
          <w:rFonts w:eastAsia="Yu Gothic" w:cs="Times New Roman"/>
          <w:b/>
          <w:bCs/>
          <w:i/>
          <w:iCs/>
          <w:kern w:val="2"/>
          <w:lang w:val="fr-FR"/>
          <w14:ligatures w14:val="standardContextual"/>
        </w:rPr>
      </w:pPr>
    </w:p>
    <w:p w14:paraId="41D7C68D" w14:textId="77777777" w:rsidR="001351A2" w:rsidRPr="004E13E9" w:rsidRDefault="001351A2" w:rsidP="001351A2">
      <w:pPr>
        <w:contextualSpacing/>
        <w:jc w:val="both"/>
        <w:rPr>
          <w:rFonts w:eastAsia="Yu Gothic" w:cs="Times New Roman"/>
          <w:b/>
          <w:bCs/>
          <w:i/>
          <w:iCs/>
          <w:kern w:val="2"/>
          <w:lang w:val="fr-FR"/>
          <w14:ligatures w14:val="standardContextual"/>
        </w:rPr>
      </w:pPr>
      <w:r w:rsidRPr="004E13E9">
        <w:rPr>
          <w:b/>
          <w:i/>
          <w:lang w:val="fr-FR"/>
        </w:rPr>
        <w:t>Mauritanie</w:t>
      </w:r>
    </w:p>
    <w:p w14:paraId="0DE8E58B" w14:textId="77777777" w:rsidR="001351A2" w:rsidRPr="004E13E9" w:rsidRDefault="001351A2" w:rsidP="001351A2">
      <w:pPr>
        <w:contextualSpacing/>
        <w:jc w:val="both"/>
        <w:rPr>
          <w:rFonts w:eastAsia="Yu Gothic" w:cs="Times New Roman"/>
          <w:kern w:val="2"/>
          <w:lang w:val="fr-FR"/>
          <w14:ligatures w14:val="standardContextual"/>
        </w:rPr>
      </w:pPr>
    </w:p>
    <w:p w14:paraId="3ABAC290"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La Mauritanie a présenté son plan de pêche. Le quota initial de la Mauritanie pour 2026 s'élève à 55 t, qu'elle a l'intention de transférer intégralement à la Türkiye.</w:t>
      </w:r>
    </w:p>
    <w:p w14:paraId="29C6E994" w14:textId="77777777" w:rsidR="001351A2" w:rsidRPr="004E13E9" w:rsidRDefault="001351A2" w:rsidP="001351A2">
      <w:pPr>
        <w:contextualSpacing/>
        <w:jc w:val="both"/>
        <w:rPr>
          <w:rFonts w:eastAsia="Yu Gothic" w:cs="Times New Roman"/>
          <w:kern w:val="2"/>
          <w:lang w:val="fr-FR"/>
          <w14:ligatures w14:val="standardContextual"/>
        </w:rPr>
      </w:pPr>
    </w:p>
    <w:p w14:paraId="4EFB8F62"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Interrogée sur la possibilité de prises accessoires, la Mauritanie a expliqué qu'elle ne disposait d'aucun navire ciblant les thonidés, que ses navires artisanaux avaient parfois capturé des thonidés tropicaux de manière accidentelle et qu'elle ne s'attendait pas à enregistrer de prises accessoires de thon rouge.</w:t>
      </w:r>
    </w:p>
    <w:p w14:paraId="23B87A6B" w14:textId="77777777" w:rsidR="001351A2" w:rsidRPr="004E13E9" w:rsidRDefault="001351A2" w:rsidP="001351A2">
      <w:pPr>
        <w:contextualSpacing/>
        <w:jc w:val="both"/>
        <w:rPr>
          <w:rFonts w:eastAsia="Yu Gothic" w:cs="Times New Roman"/>
          <w:kern w:val="2"/>
          <w:lang w:val="fr-FR"/>
          <w14:ligatures w14:val="standardContextual"/>
        </w:rPr>
      </w:pPr>
    </w:p>
    <w:p w14:paraId="773D3036"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Il a été demandé à la Mauritanie de supprimer certaines informations erronées figurant dans son plan de pêche.</w:t>
      </w:r>
    </w:p>
    <w:p w14:paraId="016F838E" w14:textId="77777777" w:rsidR="001351A2" w:rsidRPr="004E13E9" w:rsidRDefault="001351A2" w:rsidP="001351A2">
      <w:pPr>
        <w:contextualSpacing/>
        <w:jc w:val="both"/>
        <w:rPr>
          <w:rFonts w:eastAsia="Yu Gothic" w:cs="Times New Roman"/>
          <w:kern w:val="2"/>
          <w:lang w:val="fr-FR"/>
          <w14:ligatures w14:val="standardContextual"/>
        </w:rPr>
      </w:pPr>
    </w:p>
    <w:p w14:paraId="2E167C7C" w14:textId="681B2105"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Le plan de pêche révisé de la Mauritanie a été entériné par la Sous-commission 2. </w:t>
      </w:r>
    </w:p>
    <w:p w14:paraId="6A1BF66D" w14:textId="77777777" w:rsidR="001351A2" w:rsidRPr="004E13E9" w:rsidRDefault="001351A2" w:rsidP="001351A2">
      <w:pPr>
        <w:contextualSpacing/>
        <w:jc w:val="both"/>
        <w:rPr>
          <w:rFonts w:eastAsia="Yu Gothic" w:cs="Times New Roman"/>
          <w:b/>
          <w:bCs/>
          <w:kern w:val="2"/>
          <w:lang w:val="fr-FR"/>
          <w14:ligatures w14:val="standardContextual"/>
        </w:rPr>
      </w:pPr>
    </w:p>
    <w:p w14:paraId="4DC997AA" w14:textId="77777777" w:rsidR="001351A2" w:rsidRPr="004E13E9" w:rsidRDefault="001351A2" w:rsidP="001351A2">
      <w:pPr>
        <w:contextualSpacing/>
        <w:jc w:val="both"/>
        <w:rPr>
          <w:rFonts w:eastAsia="Yu Gothic" w:cs="Times New Roman"/>
          <w:b/>
          <w:bCs/>
          <w:i/>
          <w:iCs/>
          <w:kern w:val="2"/>
          <w:lang w:val="fr-FR"/>
          <w14:ligatures w14:val="standardContextual"/>
        </w:rPr>
      </w:pPr>
      <w:r w:rsidRPr="004E13E9">
        <w:rPr>
          <w:b/>
          <w:i/>
          <w:lang w:val="fr-FR"/>
        </w:rPr>
        <w:t>Maroc</w:t>
      </w:r>
    </w:p>
    <w:p w14:paraId="49CC31AB" w14:textId="77777777" w:rsidR="001351A2" w:rsidRPr="004E13E9" w:rsidRDefault="001351A2" w:rsidP="001351A2">
      <w:pPr>
        <w:contextualSpacing/>
        <w:jc w:val="both"/>
        <w:rPr>
          <w:rFonts w:eastAsia="Yu Gothic" w:cs="Times New Roman"/>
          <w:kern w:val="2"/>
          <w:lang w:val="fr-FR"/>
          <w14:ligatures w14:val="standardContextual"/>
        </w:rPr>
      </w:pPr>
    </w:p>
    <w:p w14:paraId="399A4FF4"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Le quota ajusté pour 2026 s'élève à 4.633,09 t, dont 4.379,47 t de quota initial + un transfert de 55 t de la Namibie + un transfert de 55 t du Panama + un report demandé de 2025 à 2026 de 143,62 t (3,88 %). Le quota ajusté doit être réparti entre 18 madragues, 7 senneurs, 1 palangrier, des petits navires côtiers et des bateaux artisanaux, avec une réserve de 30 t pour les rejets potentiels de poissons morts. Parmi les six fermes d'engraissement de thon rouge autorisées au Maroc, quatre seront opérationnelles en 2026. </w:t>
      </w:r>
    </w:p>
    <w:p w14:paraId="6FFA0D84" w14:textId="77777777" w:rsidR="001351A2" w:rsidRPr="004E13E9" w:rsidRDefault="001351A2" w:rsidP="001351A2">
      <w:pPr>
        <w:contextualSpacing/>
        <w:jc w:val="both"/>
        <w:rPr>
          <w:rFonts w:eastAsia="Yu Gothic" w:cs="Times New Roman"/>
          <w:kern w:val="2"/>
          <w:lang w:val="fr-FR"/>
          <w14:ligatures w14:val="standardContextual"/>
        </w:rPr>
      </w:pPr>
    </w:p>
    <w:p w14:paraId="66E584E6"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Il a été demandé au Maroc de fournir des allocations individuelles pour les navires de plus de 24 mètres de long ou d'ajouter une description de ses intentions en ce sens. Il a également été demandé au Maroc d'indiquer qu'il ne disposera d'aucun plan d'aquaculture en 2026.</w:t>
      </w:r>
    </w:p>
    <w:p w14:paraId="0E2866D1" w14:textId="77777777" w:rsidR="001351A2" w:rsidRPr="004E13E9" w:rsidRDefault="001351A2" w:rsidP="001351A2">
      <w:pPr>
        <w:contextualSpacing/>
        <w:jc w:val="both"/>
        <w:rPr>
          <w:rFonts w:eastAsia="Yu Gothic" w:cs="Times New Roman"/>
          <w:kern w:val="2"/>
          <w:lang w:val="fr-FR"/>
          <w14:ligatures w14:val="standardContextual"/>
        </w:rPr>
      </w:pPr>
    </w:p>
    <w:p w14:paraId="3EFD0BAF" w14:textId="1FF58CB4"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Le plan de pêche révisé du Maroc a été entériné par la Sous-commission 2. </w:t>
      </w:r>
    </w:p>
    <w:p w14:paraId="40603902" w14:textId="77777777" w:rsidR="001351A2" w:rsidRPr="004E13E9" w:rsidRDefault="001351A2" w:rsidP="001351A2">
      <w:pPr>
        <w:contextualSpacing/>
        <w:jc w:val="both"/>
        <w:rPr>
          <w:rFonts w:eastAsia="Yu Gothic" w:cs="Times New Roman"/>
          <w:b/>
          <w:bCs/>
          <w:kern w:val="2"/>
          <w:lang w:val="fr-FR"/>
          <w14:ligatures w14:val="standardContextual"/>
        </w:rPr>
      </w:pPr>
    </w:p>
    <w:p w14:paraId="4677CFBA" w14:textId="77777777" w:rsidR="001351A2" w:rsidRPr="004E13E9" w:rsidRDefault="001351A2" w:rsidP="001351A2">
      <w:pPr>
        <w:contextualSpacing/>
        <w:jc w:val="both"/>
        <w:rPr>
          <w:rFonts w:eastAsia="Yu Gothic" w:cs="Times New Roman"/>
          <w:b/>
          <w:bCs/>
          <w:i/>
          <w:iCs/>
          <w:kern w:val="2"/>
          <w:lang w:val="fr-FR"/>
          <w14:ligatures w14:val="standardContextual"/>
        </w:rPr>
      </w:pPr>
      <w:bookmarkStart w:id="1" w:name="_Hlk161906681"/>
      <w:r w:rsidRPr="004E13E9">
        <w:rPr>
          <w:b/>
          <w:i/>
          <w:lang w:val="fr-FR"/>
        </w:rPr>
        <w:t>Namibie</w:t>
      </w:r>
    </w:p>
    <w:p w14:paraId="7D68EFC7" w14:textId="77777777" w:rsidR="001351A2" w:rsidRPr="004E13E9" w:rsidRDefault="001351A2" w:rsidP="001351A2">
      <w:pPr>
        <w:contextualSpacing/>
        <w:jc w:val="both"/>
        <w:rPr>
          <w:rFonts w:eastAsia="Yu Gothic" w:cs="Times New Roman"/>
          <w:kern w:val="2"/>
          <w:lang w:val="fr-FR"/>
          <w14:ligatures w14:val="standardContextual"/>
        </w:rPr>
      </w:pPr>
    </w:p>
    <w:p w14:paraId="3DC3A3FF"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plan de pêche de la Namibie a été considéré tel qu’il a été présenté, la Namibie n'étant pas présente à la réunion. Le quota initial de la Namibie pour 2026 s'élève à 55 t , qu'elle a l'intention de transférer intégralement au Maroc.</w:t>
      </w:r>
    </w:p>
    <w:p w14:paraId="15774D79" w14:textId="77777777" w:rsidR="001351A2" w:rsidRPr="004E13E9" w:rsidRDefault="001351A2" w:rsidP="001351A2">
      <w:pPr>
        <w:contextualSpacing/>
        <w:jc w:val="both"/>
        <w:rPr>
          <w:rFonts w:eastAsia="Yu Gothic" w:cs="Times New Roman"/>
          <w:kern w:val="2"/>
          <w:lang w:val="fr-FR"/>
          <w14:ligatures w14:val="standardContextual"/>
        </w:rPr>
      </w:pPr>
    </w:p>
    <w:p w14:paraId="1CE3DAA6" w14:textId="349C0C6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Le plan de pêche de la Namibie a été entériné par la Sous-commission 2. </w:t>
      </w:r>
    </w:p>
    <w:p w14:paraId="1F0F3522" w14:textId="4A41A277" w:rsidR="000743EF" w:rsidRPr="004E13E9" w:rsidRDefault="000743EF">
      <w:pPr>
        <w:rPr>
          <w:b/>
          <w:i/>
          <w:lang w:val="fr-FR"/>
        </w:rPr>
      </w:pPr>
    </w:p>
    <w:p w14:paraId="52FB0CD1" w14:textId="1A17D33B" w:rsidR="001351A2" w:rsidRPr="004E13E9" w:rsidRDefault="001351A2" w:rsidP="001351A2">
      <w:pPr>
        <w:contextualSpacing/>
        <w:jc w:val="both"/>
        <w:rPr>
          <w:rFonts w:eastAsia="Yu Gothic" w:cs="Times New Roman"/>
          <w:b/>
          <w:bCs/>
          <w:i/>
          <w:iCs/>
          <w:kern w:val="2"/>
          <w:lang w:val="fr-FR"/>
          <w14:ligatures w14:val="standardContextual"/>
        </w:rPr>
      </w:pPr>
      <w:r w:rsidRPr="004E13E9">
        <w:rPr>
          <w:b/>
          <w:i/>
          <w:lang w:val="fr-FR"/>
        </w:rPr>
        <w:t>Norvège</w:t>
      </w:r>
    </w:p>
    <w:p w14:paraId="0427A178" w14:textId="77777777" w:rsidR="001351A2" w:rsidRPr="004E13E9" w:rsidRDefault="001351A2" w:rsidP="001351A2">
      <w:pPr>
        <w:contextualSpacing/>
        <w:jc w:val="both"/>
        <w:rPr>
          <w:rFonts w:eastAsia="Yu Gothic" w:cs="Times New Roman"/>
          <w:kern w:val="2"/>
          <w:lang w:val="fr-FR"/>
          <w14:ligatures w14:val="standardContextual"/>
        </w:rPr>
      </w:pPr>
    </w:p>
    <w:p w14:paraId="7F6A2F83"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Le quota initial pour 2026 est de 461,38 t. La Norvège a demandé de reporter 20 % (73,6 t) de son quota inutilisé de 2025 à 2026, ce qui porte son quota ajusté à 534,98 t. 440 t seront attribuées aux senneurs et aux palangriers, 40 t aux petits navires côtiers, 8 t à la pêche récréative et 2 t à la pêche avec remise à l'eau. Une quantité de 34,98 t sera allouée aux activités de recherche, dont 30 t seront réservées à la poursuite du projet pilote de stockage de courte durée du thon rouge vivant. Les 4,98 tonnes restantes seront réservées au projet </w:t>
      </w:r>
      <w:proofErr w:type="spellStart"/>
      <w:r w:rsidRPr="004E13E9">
        <w:rPr>
          <w:lang w:val="fr-FR"/>
        </w:rPr>
        <w:t>WelTuna</w:t>
      </w:r>
      <w:proofErr w:type="spellEnd"/>
      <w:r w:rsidRPr="004E13E9">
        <w:rPr>
          <w:lang w:val="fr-FR"/>
        </w:rPr>
        <w:t>. Une réserve de 10 t est prévue pour les prises accessoires.</w:t>
      </w:r>
    </w:p>
    <w:p w14:paraId="27ADBA44" w14:textId="77777777" w:rsidR="001351A2" w:rsidRPr="004E13E9" w:rsidRDefault="001351A2" w:rsidP="001351A2">
      <w:pPr>
        <w:contextualSpacing/>
        <w:jc w:val="both"/>
        <w:rPr>
          <w:rFonts w:eastAsia="Yu Gothic" w:cs="Times New Roman"/>
          <w:kern w:val="2"/>
          <w:lang w:val="fr-FR"/>
          <w14:ligatures w14:val="standardContextual"/>
        </w:rPr>
      </w:pPr>
    </w:p>
    <w:p w14:paraId="33B44853" w14:textId="78257E56" w:rsidR="004C6CF9" w:rsidRPr="004E13E9" w:rsidRDefault="001351A2" w:rsidP="004C6CF9">
      <w:pPr>
        <w:contextualSpacing/>
        <w:jc w:val="both"/>
        <w:rPr>
          <w:lang w:val="fr-FR"/>
        </w:rPr>
      </w:pPr>
      <w:r w:rsidRPr="004E13E9">
        <w:rPr>
          <w:lang w:val="fr-FR"/>
        </w:rPr>
        <w:t xml:space="preserve">La Norvège a l'intention d'autoriser 10 senneurs, dont </w:t>
      </w:r>
      <w:r w:rsidR="00BE0D3A" w:rsidRPr="004E13E9">
        <w:rPr>
          <w:lang w:val="fr-FR"/>
        </w:rPr>
        <w:t>quatre</w:t>
      </w:r>
      <w:r w:rsidRPr="004E13E9">
        <w:rPr>
          <w:lang w:val="fr-FR"/>
        </w:rPr>
        <w:t xml:space="preserve"> navires d'une longueur hors tout supérieure à 40 mètres, avec des quotas maximaux, ainsi que 20 palangriers au plus, bénéficiant du même quota attribué individuellement que les senneurs. Les quotas maximaux exacts peuvent être modifiés au cours de la campagne de pêche. L'augmentation du nombre de navires s'explique par la nécessité de disposer d'une certaine souplesse pour développer davantage la pêche de thon rouge en Norvège, compte tenu des besoins et des conditions spécifiques qui prévalent dans les eaux norvégiennes, ainsi que par l'augmentation du quota attribué à la Norvège. </w:t>
      </w:r>
      <w:bookmarkEnd w:id="1"/>
      <w:r w:rsidR="004C6CF9" w:rsidRPr="004E13E9">
        <w:rPr>
          <w:lang w:val="fr-FR"/>
        </w:rPr>
        <w:br w:type="page"/>
      </w:r>
    </w:p>
    <w:p w14:paraId="49E43A5E" w14:textId="2DE48AF9" w:rsidR="001351A2" w:rsidRPr="004E13E9" w:rsidRDefault="001351A2" w:rsidP="001351A2">
      <w:pPr>
        <w:contextualSpacing/>
        <w:jc w:val="both"/>
        <w:rPr>
          <w:rFonts w:eastAsia="Yu Gothic" w:cs="Times New Roman"/>
          <w:kern w:val="2"/>
          <w:lang w:val="fr-FR"/>
          <w14:ligatures w14:val="standardContextual"/>
        </w:rPr>
      </w:pPr>
      <w:r w:rsidRPr="004E13E9">
        <w:rPr>
          <w:lang w:val="fr-FR"/>
        </w:rPr>
        <w:lastRenderedPageBreak/>
        <w:t>Il a été demandé à la Norvège de corriger certains chiffres figurant dans son plan.</w:t>
      </w:r>
    </w:p>
    <w:p w14:paraId="539FFF5D" w14:textId="77777777" w:rsidR="001351A2" w:rsidRPr="004E13E9" w:rsidRDefault="001351A2" w:rsidP="001351A2">
      <w:pPr>
        <w:contextualSpacing/>
        <w:jc w:val="both"/>
        <w:rPr>
          <w:rFonts w:eastAsia="Yu Gothic" w:cs="Times New Roman"/>
          <w:kern w:val="2"/>
          <w:lang w:val="fr-FR"/>
          <w14:ligatures w14:val="standardContextual"/>
        </w:rPr>
      </w:pPr>
    </w:p>
    <w:p w14:paraId="3C147D1C" w14:textId="1BD74635"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plan de pêche révisé de la Norvège a été entériné par la Sous-commission 2.</w:t>
      </w:r>
    </w:p>
    <w:p w14:paraId="79106B58" w14:textId="77777777" w:rsidR="001351A2" w:rsidRPr="004E13E9" w:rsidRDefault="001351A2" w:rsidP="001351A2">
      <w:pPr>
        <w:contextualSpacing/>
        <w:jc w:val="both"/>
        <w:rPr>
          <w:rFonts w:eastAsia="Yu Gothic" w:cs="Times New Roman"/>
          <w:b/>
          <w:bCs/>
          <w:kern w:val="2"/>
          <w:lang w:val="fr-FR"/>
          <w14:ligatures w14:val="standardContextual"/>
        </w:rPr>
      </w:pPr>
    </w:p>
    <w:p w14:paraId="54E54768" w14:textId="77777777" w:rsidR="001351A2" w:rsidRPr="004E13E9" w:rsidRDefault="001351A2" w:rsidP="001351A2">
      <w:pPr>
        <w:contextualSpacing/>
        <w:jc w:val="both"/>
        <w:rPr>
          <w:rFonts w:eastAsia="Yu Gothic" w:cs="Times New Roman"/>
          <w:b/>
          <w:bCs/>
          <w:i/>
          <w:iCs/>
          <w:kern w:val="2"/>
          <w:lang w:val="fr-FR"/>
          <w14:ligatures w14:val="standardContextual"/>
        </w:rPr>
      </w:pPr>
      <w:r w:rsidRPr="004E13E9">
        <w:rPr>
          <w:b/>
          <w:i/>
          <w:lang w:val="fr-FR"/>
        </w:rPr>
        <w:t>Panama</w:t>
      </w:r>
    </w:p>
    <w:p w14:paraId="7AF1525F" w14:textId="77777777" w:rsidR="001351A2" w:rsidRPr="004E13E9" w:rsidRDefault="001351A2" w:rsidP="001351A2">
      <w:pPr>
        <w:contextualSpacing/>
        <w:jc w:val="both"/>
        <w:rPr>
          <w:rFonts w:eastAsia="Yu Gothic" w:cs="Times New Roman"/>
          <w:kern w:val="2"/>
          <w:lang w:val="fr-FR"/>
          <w14:ligatures w14:val="standardContextual"/>
        </w:rPr>
      </w:pPr>
    </w:p>
    <w:p w14:paraId="16F1EE71"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Panama a présenté son plan de pêche. Le quota initial du Panama pour 2026 s'élève à 55 tonnes, qu'elle a l'intention de transférer intégralement au Maroc. Le transfert de ce quota par le Panama ne signifie pas pour autant que ce pays ne souhaite pas participer à cette pêcherie. Le Panama estime au contraire que le quota qui lui a été attribué est insuffisant pour lui permettre de mener des activités de pêche rentables.</w:t>
      </w:r>
    </w:p>
    <w:p w14:paraId="5A551621" w14:textId="77777777" w:rsidR="001351A2" w:rsidRPr="004E13E9" w:rsidRDefault="001351A2" w:rsidP="001351A2">
      <w:pPr>
        <w:contextualSpacing/>
        <w:jc w:val="both"/>
        <w:rPr>
          <w:rFonts w:eastAsia="Yu Gothic" w:cs="Times New Roman"/>
          <w:kern w:val="2"/>
          <w:lang w:val="fr-FR"/>
          <w14:ligatures w14:val="standardContextual"/>
        </w:rPr>
      </w:pPr>
    </w:p>
    <w:p w14:paraId="0D3EC8DB" w14:textId="7B84A356"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Il a été demandé au Panama de supprimer certaines informations erronées figurant dans la section consacrée au ROP, qui concernent les activités du ROP liées au thon rouge </w:t>
      </w:r>
      <w:r w:rsidR="003553AF" w:rsidRPr="004E13E9">
        <w:rPr>
          <w:lang w:val="fr-FR"/>
        </w:rPr>
        <w:t>de l’Atlantique</w:t>
      </w:r>
      <w:r w:rsidRPr="004E13E9">
        <w:rPr>
          <w:lang w:val="fr-FR"/>
        </w:rPr>
        <w:t xml:space="preserve"> et ne s'appliquent donc </w:t>
      </w:r>
      <w:r w:rsidR="00467249" w:rsidRPr="004E13E9">
        <w:rPr>
          <w:lang w:val="fr-FR"/>
        </w:rPr>
        <w:t xml:space="preserve">actuellement </w:t>
      </w:r>
      <w:r w:rsidRPr="004E13E9">
        <w:rPr>
          <w:lang w:val="fr-FR"/>
        </w:rPr>
        <w:t>pas au Panama</w:t>
      </w:r>
      <w:r w:rsidR="00116ECE" w:rsidRPr="004E13E9">
        <w:rPr>
          <w:lang w:val="fr-FR"/>
        </w:rPr>
        <w:t xml:space="preserve">, </w:t>
      </w:r>
      <w:r w:rsidR="004B270C" w:rsidRPr="004E13E9">
        <w:rPr>
          <w:lang w:val="fr-FR"/>
        </w:rPr>
        <w:t>vu</w:t>
      </w:r>
      <w:r w:rsidR="00116ECE" w:rsidRPr="004E13E9">
        <w:rPr>
          <w:lang w:val="fr-FR"/>
        </w:rPr>
        <w:t xml:space="preserve"> que son quota a été transféré à une autre CPC.</w:t>
      </w:r>
    </w:p>
    <w:p w14:paraId="3CAC3D5F" w14:textId="77777777" w:rsidR="001351A2" w:rsidRPr="004E13E9" w:rsidRDefault="001351A2" w:rsidP="001351A2">
      <w:pPr>
        <w:contextualSpacing/>
        <w:jc w:val="both"/>
        <w:rPr>
          <w:rFonts w:eastAsia="Yu Gothic" w:cs="Times New Roman"/>
          <w:kern w:val="2"/>
          <w:lang w:val="fr-FR"/>
          <w14:ligatures w14:val="standardContextual"/>
        </w:rPr>
      </w:pPr>
    </w:p>
    <w:p w14:paraId="36BB27C0" w14:textId="71603C21"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Le plan de pêche révisé du Panama a été entériné par la Sous-commission 2. </w:t>
      </w:r>
    </w:p>
    <w:p w14:paraId="44F0BA1B" w14:textId="77777777" w:rsidR="001351A2" w:rsidRPr="004E13E9" w:rsidRDefault="001351A2" w:rsidP="001351A2">
      <w:pPr>
        <w:contextualSpacing/>
        <w:jc w:val="both"/>
        <w:rPr>
          <w:rFonts w:eastAsia="Yu Gothic" w:cs="Times New Roman"/>
          <w:b/>
          <w:bCs/>
          <w:kern w:val="2"/>
          <w:lang w:val="fr-FR"/>
          <w14:ligatures w14:val="standardContextual"/>
        </w:rPr>
      </w:pPr>
    </w:p>
    <w:p w14:paraId="119B187D" w14:textId="77777777" w:rsidR="001351A2" w:rsidRPr="004E13E9" w:rsidRDefault="001351A2" w:rsidP="001351A2">
      <w:pPr>
        <w:contextualSpacing/>
        <w:jc w:val="both"/>
        <w:rPr>
          <w:rFonts w:eastAsia="Yu Gothic" w:cs="Times New Roman"/>
          <w:b/>
          <w:bCs/>
          <w:i/>
          <w:iCs/>
          <w:kern w:val="2"/>
          <w:lang w:val="fr-FR"/>
          <w14:ligatures w14:val="standardContextual"/>
        </w:rPr>
      </w:pPr>
      <w:r w:rsidRPr="004E13E9">
        <w:rPr>
          <w:b/>
          <w:i/>
          <w:lang w:val="fr-FR"/>
        </w:rPr>
        <w:t>Sénégal</w:t>
      </w:r>
    </w:p>
    <w:p w14:paraId="06073BF2" w14:textId="77777777" w:rsidR="001351A2" w:rsidRPr="004E13E9" w:rsidRDefault="001351A2" w:rsidP="001351A2">
      <w:pPr>
        <w:contextualSpacing/>
        <w:jc w:val="both"/>
        <w:rPr>
          <w:rFonts w:eastAsia="Yu Gothic" w:cs="Times New Roman"/>
          <w:kern w:val="2"/>
          <w:lang w:val="fr-FR"/>
          <w14:ligatures w14:val="standardContextual"/>
        </w:rPr>
      </w:pPr>
    </w:p>
    <w:p w14:paraId="5E935FCB" w14:textId="7BEE3B28"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Le Sénégal a présenté son plan de pêche. Le quota du Sénégal pour 2026 est de 55 tonnes. Le Sénégal ne dispose d'aucun navire participant à la pêche au thon rouge pour exploiter son quota en 2026 et n'envisage pas d'introduire de navire dans cette pêcherie. Ce quota servira à couvrir les prises accessoires ou accidentelles de thon rouge par ses </w:t>
      </w:r>
      <w:r w:rsidR="002D61D7" w:rsidRPr="004E13E9">
        <w:rPr>
          <w:lang w:val="fr-FR"/>
        </w:rPr>
        <w:t>huit</w:t>
      </w:r>
      <w:r w:rsidRPr="004E13E9">
        <w:rPr>
          <w:lang w:val="fr-FR"/>
        </w:rPr>
        <w:t xml:space="preserve"> senneurs et ses cinq canneurs ciblant les thonidés tropicaux, ainsi que les prises accidentelles de thon rouge par ses pêcheries récréatives et artisanales ciblant les thonidés tropicaux. </w:t>
      </w:r>
    </w:p>
    <w:p w14:paraId="56CEE761" w14:textId="77777777" w:rsidR="001351A2" w:rsidRPr="004E13E9" w:rsidRDefault="001351A2" w:rsidP="001351A2">
      <w:pPr>
        <w:contextualSpacing/>
        <w:jc w:val="both"/>
        <w:rPr>
          <w:rFonts w:eastAsia="Yu Gothic" w:cs="Times New Roman"/>
          <w:kern w:val="2"/>
          <w:lang w:val="fr-FR"/>
          <w14:ligatures w14:val="standardContextual"/>
        </w:rPr>
      </w:pPr>
    </w:p>
    <w:p w14:paraId="5A8F5F03"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Sénégal a été invité à apporter une modification rédactionnelle.</w:t>
      </w:r>
    </w:p>
    <w:p w14:paraId="493CC9B6" w14:textId="77777777" w:rsidR="001351A2" w:rsidRPr="004E13E9" w:rsidRDefault="001351A2" w:rsidP="001351A2">
      <w:pPr>
        <w:contextualSpacing/>
        <w:jc w:val="both"/>
        <w:rPr>
          <w:rFonts w:eastAsia="Yu Gothic" w:cs="Times New Roman"/>
          <w:kern w:val="2"/>
          <w:lang w:val="fr-FR" w:eastAsia="ja-JP"/>
          <w14:ligatures w14:val="standardContextual"/>
        </w:rPr>
      </w:pPr>
    </w:p>
    <w:p w14:paraId="3C1319DE" w14:textId="6F0433AF"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Le plan de pêche révisé du Sénégal a été entériné par la Sous-commission 2. </w:t>
      </w:r>
    </w:p>
    <w:p w14:paraId="3E3B3A6B" w14:textId="77777777" w:rsidR="001351A2" w:rsidRPr="004E13E9" w:rsidRDefault="001351A2" w:rsidP="001351A2">
      <w:pPr>
        <w:contextualSpacing/>
        <w:jc w:val="both"/>
        <w:rPr>
          <w:rFonts w:eastAsia="Yu Gothic" w:cs="Times New Roman"/>
          <w:b/>
          <w:bCs/>
          <w:kern w:val="2"/>
          <w:lang w:val="fr-FR"/>
          <w14:ligatures w14:val="standardContextual"/>
        </w:rPr>
      </w:pPr>
    </w:p>
    <w:p w14:paraId="013CFE61" w14:textId="77777777" w:rsidR="001351A2" w:rsidRPr="004E13E9" w:rsidRDefault="001351A2" w:rsidP="001351A2">
      <w:pPr>
        <w:contextualSpacing/>
        <w:jc w:val="both"/>
        <w:rPr>
          <w:rFonts w:eastAsia="Yu Gothic" w:cs="Times New Roman"/>
          <w:b/>
          <w:bCs/>
          <w:i/>
          <w:iCs/>
          <w:kern w:val="2"/>
          <w:lang w:val="fr-FR"/>
          <w14:ligatures w14:val="standardContextual"/>
        </w:rPr>
      </w:pPr>
      <w:r w:rsidRPr="004E13E9">
        <w:rPr>
          <w:b/>
          <w:i/>
          <w:lang w:val="fr-FR"/>
        </w:rPr>
        <w:t>Syrie</w:t>
      </w:r>
    </w:p>
    <w:p w14:paraId="1BF78B1C" w14:textId="77777777" w:rsidR="001351A2" w:rsidRPr="004E13E9" w:rsidRDefault="001351A2" w:rsidP="001351A2">
      <w:pPr>
        <w:contextualSpacing/>
        <w:jc w:val="both"/>
        <w:rPr>
          <w:rFonts w:eastAsia="Yu Gothic" w:cs="Times New Roman"/>
          <w:kern w:val="2"/>
          <w:lang w:val="fr-FR"/>
          <w14:ligatures w14:val="standardContextual"/>
        </w:rPr>
      </w:pPr>
    </w:p>
    <w:p w14:paraId="02A069AC"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quota pour 2026 est de 238 t. 237 t seront réparties entre les senneurs et 1 tonne est réservée aux prises accessoires. La totalité des prises sera débarquée.</w:t>
      </w:r>
    </w:p>
    <w:p w14:paraId="5F02A8D0" w14:textId="77777777" w:rsidR="001351A2" w:rsidRPr="004E13E9" w:rsidRDefault="001351A2" w:rsidP="001351A2">
      <w:pPr>
        <w:contextualSpacing/>
        <w:jc w:val="both"/>
        <w:rPr>
          <w:rFonts w:eastAsia="Yu Gothic" w:cs="Times New Roman"/>
          <w:kern w:val="2"/>
          <w:lang w:val="fr-FR"/>
          <w14:ligatures w14:val="standardContextual"/>
        </w:rPr>
      </w:pPr>
    </w:p>
    <w:p w14:paraId="15939023" w14:textId="64791A9B" w:rsidR="009E0BC7" w:rsidRPr="004E13E9" w:rsidRDefault="001351A2" w:rsidP="009E0BC7">
      <w:pPr>
        <w:contextualSpacing/>
        <w:jc w:val="both"/>
        <w:rPr>
          <w:lang w:val="fr-FR"/>
        </w:rPr>
      </w:pPr>
      <w:r w:rsidRPr="004E13E9">
        <w:rPr>
          <w:lang w:val="fr-FR"/>
        </w:rPr>
        <w:t>Il a été demandé à la Syrie d'indiquer que chaque senneur se verra attribuer un quota individuel, de fournir les informations manquantes dans le tableau relatif aux mesures prises pour se conformer aux exigences de l’ICCAT, de réviser le tableau de la capacité afin de s'assurer qu'il n'y a pas de surcapacité, et de demander que la saison de pêche pour les senneurs soit prolongée du 15 mai au 1er juillet 2026.</w:t>
      </w:r>
    </w:p>
    <w:p w14:paraId="06D14A6D" w14:textId="77777777" w:rsidR="009F34B6" w:rsidRPr="004E13E9" w:rsidRDefault="009F34B6" w:rsidP="009E0BC7">
      <w:pPr>
        <w:contextualSpacing/>
        <w:jc w:val="both"/>
        <w:rPr>
          <w:lang w:val="fr-FR"/>
        </w:rPr>
      </w:pPr>
    </w:p>
    <w:p w14:paraId="3F50C16E" w14:textId="69BD1320"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Président de la Sous-commission 2 a demandé pourquoi seuls les senneurs se verraient attribuer des quotas, alors que la Syrie avait demandé, lors de la réunion annuelle de 2025, que des quotas supplémentaires soient accordés à ses petits navires côtiers. La Syrie a répondu qu'à l'heure actuelle, aucun navire de pêche côtière n'était autorisé à pêcher le thon rouge, mais qu'elle continuerait d'étudier la possibilité d'une future participation de la pêche côtière artisanale. Ce point a été intégré au plan de pêche révisé.</w:t>
      </w:r>
    </w:p>
    <w:p w14:paraId="18197833" w14:textId="77777777" w:rsidR="001351A2" w:rsidRPr="004E13E9" w:rsidRDefault="001351A2" w:rsidP="001351A2">
      <w:pPr>
        <w:contextualSpacing/>
        <w:jc w:val="both"/>
        <w:rPr>
          <w:rFonts w:eastAsia="Yu Gothic" w:cs="Times New Roman"/>
          <w:kern w:val="2"/>
          <w:lang w:val="fr-FR" w:eastAsia="ja-JP"/>
          <w14:ligatures w14:val="standardContextual"/>
        </w:rPr>
      </w:pPr>
    </w:p>
    <w:p w14:paraId="2424EAD6" w14:textId="7CD8523B"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plan de pêche révisé de la Syrie a été entériné par la Sous-commission 2.</w:t>
      </w:r>
    </w:p>
    <w:p w14:paraId="3751D0F6" w14:textId="77777777" w:rsidR="001351A2" w:rsidRPr="004E13E9" w:rsidRDefault="001351A2" w:rsidP="001351A2">
      <w:pPr>
        <w:contextualSpacing/>
        <w:jc w:val="both"/>
        <w:rPr>
          <w:rFonts w:eastAsia="Yu Gothic" w:cs="Times New Roman"/>
          <w:kern w:val="2"/>
          <w:lang w:val="fr-FR"/>
          <w14:ligatures w14:val="standardContextual"/>
        </w:rPr>
      </w:pPr>
    </w:p>
    <w:p w14:paraId="5FA815A1" w14:textId="77777777" w:rsidR="001351A2" w:rsidRPr="004E13E9" w:rsidRDefault="001351A2" w:rsidP="001351A2">
      <w:pPr>
        <w:contextualSpacing/>
        <w:jc w:val="both"/>
        <w:rPr>
          <w:rFonts w:eastAsia="Yu Gothic" w:cs="Times New Roman"/>
          <w:b/>
          <w:bCs/>
          <w:i/>
          <w:iCs/>
          <w:kern w:val="2"/>
          <w:lang w:val="fr-FR"/>
          <w14:ligatures w14:val="standardContextual"/>
        </w:rPr>
      </w:pPr>
      <w:r w:rsidRPr="004E13E9">
        <w:rPr>
          <w:b/>
          <w:i/>
          <w:lang w:val="fr-FR"/>
        </w:rPr>
        <w:t>Tunisie</w:t>
      </w:r>
    </w:p>
    <w:p w14:paraId="4E529A0E" w14:textId="77777777" w:rsidR="001351A2" w:rsidRPr="004E13E9" w:rsidRDefault="001351A2" w:rsidP="001351A2">
      <w:pPr>
        <w:contextualSpacing/>
        <w:jc w:val="both"/>
        <w:rPr>
          <w:rFonts w:eastAsia="Yu Gothic" w:cs="Times New Roman"/>
          <w:kern w:val="2"/>
          <w:lang w:val="fr-FR"/>
          <w14:ligatures w14:val="standardContextual"/>
        </w:rPr>
      </w:pPr>
    </w:p>
    <w:p w14:paraId="53B4E760" w14:textId="24CDB27B" w:rsidR="009F34B6" w:rsidRPr="004E13E9" w:rsidRDefault="001351A2" w:rsidP="009F34B6">
      <w:pPr>
        <w:contextualSpacing/>
        <w:jc w:val="both"/>
        <w:rPr>
          <w:lang w:val="fr-FR"/>
        </w:rPr>
      </w:pPr>
      <w:r w:rsidRPr="004E13E9">
        <w:rPr>
          <w:lang w:val="fr-FR"/>
        </w:rPr>
        <w:t>La Tunisie a demandé le report de 19,7 t de la sous-consommation de 2025 à 2026, ce qui porte le quota ajusté à 3.528,55 t. Un montant de 3.493,26 t sera attribué à la pêche commerciale pratiquée par les senneurs et 35,28 t seront réservées aux prises accessoires. Les captures seront principalement utilisées pour l'élevage dans les fermes d'engraissement en Méditerranée. Toutefois, certaines d’entre elles peuvent être acheminées vers l'un des douze ports tunisiens agréés pour y être débarquées ou transbordées. Six fermes sont autorisées à exercer des activités d'engraissement en 2026. Trois navires de contrôle participeront au programme d'inspection internationale conjointe pendant la campagne de pêche au thon rouge de 2026.</w:t>
      </w:r>
      <w:r w:rsidR="009F34B6" w:rsidRPr="004E13E9">
        <w:rPr>
          <w:lang w:val="fr-FR"/>
        </w:rPr>
        <w:br w:type="page"/>
      </w:r>
    </w:p>
    <w:p w14:paraId="254E90CC" w14:textId="31E5B09B" w:rsidR="001351A2" w:rsidRPr="004E13E9" w:rsidRDefault="001351A2" w:rsidP="001351A2">
      <w:pPr>
        <w:contextualSpacing/>
        <w:jc w:val="both"/>
        <w:rPr>
          <w:rFonts w:eastAsia="Yu Gothic" w:cs="Times New Roman"/>
          <w:kern w:val="2"/>
          <w:lang w:val="fr-FR"/>
          <w14:ligatures w14:val="standardContextual"/>
        </w:rPr>
      </w:pPr>
      <w:r w:rsidRPr="004E13E9">
        <w:rPr>
          <w:lang w:val="fr-FR"/>
        </w:rPr>
        <w:lastRenderedPageBreak/>
        <w:t>Il a été demandé à la Tunisie d'apporter une modification rédactionnelle et de corriger la description de sa capacité de pêche pour 2026.</w:t>
      </w:r>
    </w:p>
    <w:p w14:paraId="52159D01" w14:textId="77777777" w:rsidR="001351A2" w:rsidRPr="004E13E9" w:rsidRDefault="001351A2" w:rsidP="001351A2">
      <w:pPr>
        <w:contextualSpacing/>
        <w:jc w:val="both"/>
        <w:rPr>
          <w:rFonts w:eastAsia="Yu Gothic" w:cs="Times New Roman"/>
          <w:kern w:val="2"/>
          <w:lang w:val="fr-FR"/>
          <w14:ligatures w14:val="standardContextual"/>
        </w:rPr>
      </w:pPr>
    </w:p>
    <w:p w14:paraId="2235005D" w14:textId="5368DD15"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En réponse à un commentaire écrit de l'UE, la Tunisie a confirmé qu'elle procéderait à des contrôles aléatoires portant d’au moins 10</w:t>
      </w:r>
      <w:r w:rsidR="00F21021" w:rsidRPr="004E13E9">
        <w:rPr>
          <w:lang w:val="fr-FR"/>
        </w:rPr>
        <w:t> </w:t>
      </w:r>
      <w:r w:rsidRPr="004E13E9">
        <w:rPr>
          <w:lang w:val="fr-FR"/>
        </w:rPr>
        <w:t>% du nombre de cages dans chaque ferme une fois les opérations de mise en cage achevées.</w:t>
      </w:r>
    </w:p>
    <w:p w14:paraId="665BB0D2" w14:textId="77777777" w:rsidR="001351A2" w:rsidRPr="004E13E9" w:rsidRDefault="001351A2" w:rsidP="001351A2">
      <w:pPr>
        <w:contextualSpacing/>
        <w:jc w:val="both"/>
        <w:rPr>
          <w:rFonts w:eastAsia="Yu Gothic" w:cs="Times New Roman"/>
          <w:kern w:val="2"/>
          <w:lang w:val="fr-FR"/>
          <w14:ligatures w14:val="standardContextual"/>
        </w:rPr>
      </w:pPr>
    </w:p>
    <w:p w14:paraId="669B5B9A" w14:textId="17F6821F"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plan de pêche révisé de la Tunisie a été entériné par la Sous-commission 2.</w:t>
      </w:r>
    </w:p>
    <w:p w14:paraId="76B1789B" w14:textId="77777777" w:rsidR="001351A2" w:rsidRPr="004E13E9" w:rsidRDefault="001351A2" w:rsidP="001351A2">
      <w:pPr>
        <w:contextualSpacing/>
        <w:jc w:val="both"/>
        <w:rPr>
          <w:rFonts w:eastAsia="Yu Gothic" w:cs="Times New Roman"/>
          <w:b/>
          <w:bCs/>
          <w:kern w:val="2"/>
          <w:lang w:val="fr-FR"/>
          <w14:ligatures w14:val="standardContextual"/>
        </w:rPr>
      </w:pPr>
    </w:p>
    <w:p w14:paraId="116CD343" w14:textId="77777777" w:rsidR="001351A2" w:rsidRPr="004E13E9" w:rsidRDefault="001351A2" w:rsidP="001351A2">
      <w:pPr>
        <w:contextualSpacing/>
        <w:jc w:val="both"/>
        <w:rPr>
          <w:rFonts w:eastAsia="Yu Gothic" w:cs="Times New Roman"/>
          <w:b/>
          <w:bCs/>
          <w:i/>
          <w:iCs/>
          <w:kern w:val="2"/>
          <w:lang w:val="fr-FR"/>
          <w14:ligatures w14:val="standardContextual"/>
        </w:rPr>
      </w:pPr>
      <w:r w:rsidRPr="004E13E9">
        <w:rPr>
          <w:b/>
          <w:i/>
          <w:lang w:val="fr-FR"/>
        </w:rPr>
        <w:t>Türkiye</w:t>
      </w:r>
    </w:p>
    <w:p w14:paraId="16F17C0C" w14:textId="77777777" w:rsidR="001351A2" w:rsidRPr="004E13E9" w:rsidRDefault="001351A2" w:rsidP="001351A2">
      <w:pPr>
        <w:contextualSpacing/>
        <w:jc w:val="both"/>
        <w:rPr>
          <w:rFonts w:eastAsia="Yu Gothic" w:cs="Times New Roman"/>
          <w:kern w:val="2"/>
          <w:lang w:val="fr-FR"/>
          <w14:ligatures w14:val="standardContextual"/>
        </w:rPr>
      </w:pPr>
    </w:p>
    <w:p w14:paraId="49308F82"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quota ajusté de thon rouge alloué de la Türkiye au titre de 2026 s'élève à 3.149,45 t, dont un quota initial de 3.094,45 t et 55 t transférées par la Mauritanie. Le report de la sous-consommation n’a pas été demandé. La majeure partie du quota sera allouée à 48 senneurs. En outre, 3,5 t seront attribuées à la pêche artisanale, côtière, récréative et sportive, et 12 t aux prises accessoires.</w:t>
      </w:r>
    </w:p>
    <w:p w14:paraId="66FE3C13" w14:textId="77777777" w:rsidR="001351A2" w:rsidRPr="004E13E9" w:rsidRDefault="001351A2" w:rsidP="001351A2">
      <w:pPr>
        <w:contextualSpacing/>
        <w:jc w:val="both"/>
        <w:rPr>
          <w:rFonts w:eastAsia="Yu Gothic" w:cs="Times New Roman"/>
          <w:kern w:val="2"/>
          <w:lang w:val="fr-FR"/>
          <w14:ligatures w14:val="standardContextual"/>
        </w:rPr>
      </w:pPr>
    </w:p>
    <w:p w14:paraId="42539A8A"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La Türkiye a été invitée à corriger certains chiffres figurant dans son tableau de la capacité.</w:t>
      </w:r>
    </w:p>
    <w:p w14:paraId="1C5C80B8" w14:textId="77777777" w:rsidR="001351A2" w:rsidRPr="004E13E9" w:rsidRDefault="001351A2" w:rsidP="001351A2">
      <w:pPr>
        <w:contextualSpacing/>
        <w:jc w:val="both"/>
        <w:rPr>
          <w:rFonts w:eastAsia="Yu Gothic" w:cs="Times New Roman"/>
          <w:kern w:val="2"/>
          <w:lang w:val="fr-FR"/>
          <w14:ligatures w14:val="standardContextual"/>
        </w:rPr>
      </w:pPr>
    </w:p>
    <w:p w14:paraId="23C2CB7E" w14:textId="70B9A5EF"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plan de pêche révisé de la Türkiye a été entériné par la Sous-commission 2.</w:t>
      </w:r>
    </w:p>
    <w:p w14:paraId="005557B7" w14:textId="77777777" w:rsidR="001351A2" w:rsidRPr="004E13E9" w:rsidRDefault="001351A2" w:rsidP="001351A2">
      <w:pPr>
        <w:contextualSpacing/>
        <w:jc w:val="both"/>
        <w:rPr>
          <w:rFonts w:eastAsia="Yu Gothic" w:cs="Times New Roman"/>
          <w:kern w:val="2"/>
          <w:lang w:val="fr-FR" w:eastAsia="ja-JP"/>
          <w14:ligatures w14:val="standardContextual"/>
        </w:rPr>
      </w:pPr>
    </w:p>
    <w:p w14:paraId="6512C931" w14:textId="77777777" w:rsidR="001351A2" w:rsidRPr="004E13E9" w:rsidRDefault="001351A2" w:rsidP="001351A2">
      <w:pPr>
        <w:contextualSpacing/>
        <w:jc w:val="both"/>
        <w:rPr>
          <w:rFonts w:eastAsia="Yu Gothic" w:cs="Times New Roman"/>
          <w:b/>
          <w:bCs/>
          <w:i/>
          <w:iCs/>
          <w:kern w:val="2"/>
          <w:lang w:val="fr-FR"/>
          <w14:ligatures w14:val="standardContextual"/>
        </w:rPr>
      </w:pPr>
      <w:r w:rsidRPr="004E13E9">
        <w:rPr>
          <w:b/>
          <w:i/>
          <w:lang w:val="fr-FR"/>
        </w:rPr>
        <w:t>Royaume-Uni </w:t>
      </w:r>
    </w:p>
    <w:p w14:paraId="1CBD591B" w14:textId="77777777" w:rsidR="001351A2" w:rsidRPr="004E13E9" w:rsidRDefault="001351A2" w:rsidP="001351A2">
      <w:pPr>
        <w:contextualSpacing/>
        <w:jc w:val="both"/>
        <w:rPr>
          <w:rFonts w:eastAsia="Yu Gothic" w:cs="Times New Roman"/>
          <w:kern w:val="2"/>
          <w:lang w:val="fr-FR"/>
          <w14:ligatures w14:val="standardContextual"/>
        </w:rPr>
      </w:pPr>
    </w:p>
    <w:p w14:paraId="27101124"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Le quota ajusté, qui comprend un report demandé de 12,6 t (20 %) de 2025 à 2026, s'élève à 243,16 t. En 2026, le Royaume-Uni allouera 5 t au Programme scientifique de marquage des captures et remises à l'eau (CHART), 10 t aux prises accessoires, 20 t aux mortalités accidentelles dans le cadre de sa pêche récréative et 120 t à sa pêche commerciale. </w:t>
      </w:r>
    </w:p>
    <w:p w14:paraId="2E6E4BA0" w14:textId="77777777" w:rsidR="001351A2" w:rsidRPr="004E13E9" w:rsidRDefault="001351A2" w:rsidP="001351A2">
      <w:pPr>
        <w:contextualSpacing/>
        <w:jc w:val="both"/>
        <w:rPr>
          <w:rFonts w:eastAsia="Yu Gothic" w:cs="Times New Roman"/>
          <w:kern w:val="2"/>
          <w:lang w:val="fr-FR"/>
          <w14:ligatures w14:val="standardContextual"/>
        </w:rPr>
      </w:pPr>
    </w:p>
    <w:p w14:paraId="5857FFC8"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Royaume-Uni a expliqué qu'il allait développer ses pêcheries commerciales de thon rouge afin de répondre à la demande du secteur. Le nombre de licences commerciales passera de 15 à 30 afin de répondre à la demande du secteur. Le Royaume-Uni va également développer la pêche récréative et porter le nombre maximal de permis disponibles de 185 à 230. Certaines administrations de la pêche au Royaume-Uni continueront à mettre en œuvre le programme CHART. Par ailleurs, le Royaume-Uni constate une présence croissante de thon rouge dans ses eaux, raison pour laquelle il a augmenté son quota de prises accessoires pour 2026.</w:t>
      </w:r>
    </w:p>
    <w:p w14:paraId="1227DEEB" w14:textId="51B23641" w:rsidR="00FA79C3" w:rsidRPr="004E13E9" w:rsidRDefault="00FA79C3">
      <w:pPr>
        <w:rPr>
          <w:lang w:val="fr-FR"/>
        </w:rPr>
      </w:pPr>
    </w:p>
    <w:p w14:paraId="6BDAE7CC" w14:textId="3C227D26"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Le Royaume-Uni a informé la Sous-commission 2 que son adhésion à l’ICCAT avait été étendue au Bailliage de Jersey en 2025 et que Jersey avait l'intention de développer sa pêche récréative de thon rouge en 2026. En outre, le processus d'extension de l'adhésion du Royaume-Uni à l’ICCAT pour y inclure le bailliage de Guernesey devrait s'achever en 2026. Le gouvernement de Guernesey a fait savoir qu'il avait l'intention d'ouvrir une pêche récréative. Les opérateurs de navires de Jersey et de Guernesey pourront également demander des permis de pêche commerciale du thon rouge.  </w:t>
      </w:r>
    </w:p>
    <w:p w14:paraId="47FB5E84" w14:textId="77777777" w:rsidR="001351A2" w:rsidRPr="004E13E9" w:rsidRDefault="001351A2" w:rsidP="001351A2">
      <w:pPr>
        <w:contextualSpacing/>
        <w:jc w:val="both"/>
        <w:rPr>
          <w:rFonts w:eastAsia="Yu Gothic" w:cs="Times New Roman"/>
          <w:kern w:val="2"/>
          <w:lang w:val="fr-FR"/>
          <w14:ligatures w14:val="standardContextual"/>
        </w:rPr>
      </w:pPr>
    </w:p>
    <w:p w14:paraId="1165CCE4"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Le Royaume-Uni a fait remarquer qu'il aurait pu attribuer davantage de licences et de quotas en 2026, compte tenu de la forte demande. Il a toutefois préféré adopter une approche progressive pour développer la pêche commerciale et récréative, en n'augmentant que progressivement le nombre de licences et de permis disponibles au cours de chaque année du cycle du total admissible des captures (TAC), jusqu'à ce que le quota soit entièrement alloué en 2028. Entre temps, les quotas non alloués serviront de réserve complémentaire pour les navires qui atteignent leur limite de 4 t par navire. </w:t>
      </w:r>
    </w:p>
    <w:p w14:paraId="0971FFA1" w14:textId="77777777" w:rsidR="001351A2" w:rsidRPr="004E13E9" w:rsidRDefault="001351A2" w:rsidP="001351A2">
      <w:pPr>
        <w:contextualSpacing/>
        <w:jc w:val="both"/>
        <w:rPr>
          <w:rFonts w:eastAsia="Yu Gothic" w:cs="Times New Roman"/>
          <w:kern w:val="2"/>
          <w:lang w:val="fr-FR"/>
          <w14:ligatures w14:val="standardContextual"/>
        </w:rPr>
      </w:pPr>
    </w:p>
    <w:p w14:paraId="75686AD3"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Il a été demandé au Royaume-Uni d'apporter une modification rédactionnelle afin d'établir une distinction entre l'élevage de thon rouge et l'aquaculture de thon rouge.</w:t>
      </w:r>
    </w:p>
    <w:p w14:paraId="41D7085A" w14:textId="77777777" w:rsidR="001351A2" w:rsidRPr="004E13E9" w:rsidRDefault="001351A2" w:rsidP="001351A2">
      <w:pPr>
        <w:contextualSpacing/>
        <w:jc w:val="both"/>
        <w:rPr>
          <w:rFonts w:eastAsia="Yu Gothic" w:cs="Times New Roman"/>
          <w:kern w:val="2"/>
          <w:lang w:val="fr-FR"/>
          <w14:ligatures w14:val="standardContextual"/>
        </w:rPr>
      </w:pPr>
    </w:p>
    <w:p w14:paraId="71684D84" w14:textId="304D2A5C"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plan de pêche révisé du Royaume-Uni a été entériné par la Sous-commission 2.</w:t>
      </w:r>
    </w:p>
    <w:p w14:paraId="4972C593" w14:textId="77777777" w:rsidR="001351A2" w:rsidRPr="004E13E9" w:rsidRDefault="001351A2" w:rsidP="001351A2">
      <w:pPr>
        <w:contextualSpacing/>
        <w:jc w:val="both"/>
        <w:rPr>
          <w:rFonts w:eastAsia="Calibri" w:cs="Arial"/>
          <w:b/>
          <w:bCs/>
          <w:lang w:val="fr-FR"/>
        </w:rPr>
      </w:pPr>
    </w:p>
    <w:p w14:paraId="531285B9" w14:textId="77777777" w:rsidR="001351A2" w:rsidRPr="004E13E9" w:rsidRDefault="001351A2" w:rsidP="001351A2">
      <w:pPr>
        <w:contextualSpacing/>
        <w:jc w:val="both"/>
        <w:rPr>
          <w:rFonts w:eastAsia="Calibri" w:cs="Arial"/>
          <w:b/>
          <w:bCs/>
          <w:lang w:val="fr-FR"/>
        </w:rPr>
      </w:pPr>
    </w:p>
    <w:p w14:paraId="08A0E493" w14:textId="2FD6276F" w:rsidR="001351A2" w:rsidRPr="00C712A4" w:rsidRDefault="00C712A4" w:rsidP="00C712A4">
      <w:pPr>
        <w:rPr>
          <w:b/>
          <w:i/>
          <w:lang w:val="fr-FR"/>
        </w:rPr>
      </w:pPr>
      <w:r>
        <w:rPr>
          <w:b/>
          <w:i/>
          <w:lang w:val="fr-FR"/>
        </w:rPr>
        <w:t>T</w:t>
      </w:r>
      <w:r w:rsidR="001351A2" w:rsidRPr="004E13E9">
        <w:rPr>
          <w:b/>
          <w:i/>
          <w:lang w:val="fr-FR"/>
        </w:rPr>
        <w:t>aipei chinois</w:t>
      </w:r>
    </w:p>
    <w:p w14:paraId="1F6D9121" w14:textId="77777777" w:rsidR="001351A2" w:rsidRPr="004E13E9" w:rsidRDefault="001351A2" w:rsidP="001351A2">
      <w:pPr>
        <w:contextualSpacing/>
        <w:jc w:val="both"/>
        <w:rPr>
          <w:rFonts w:eastAsia="Yu Gothic" w:cs="Times New Roman"/>
          <w:kern w:val="2"/>
          <w:lang w:val="fr-FR"/>
          <w14:ligatures w14:val="standardContextual"/>
        </w:rPr>
      </w:pPr>
    </w:p>
    <w:p w14:paraId="49655B88"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 xml:space="preserve">Le quota initial est de 101 t, dont 50 t ont été transférées à la République de Corée et pour lesquelles un report de 20,2 t a été demandé, ce qui donne un quota ajusté de 71,2 t. 1 t du quota ajusté est réservée aux </w:t>
      </w:r>
      <w:r w:rsidRPr="004E13E9">
        <w:rPr>
          <w:lang w:val="fr-FR"/>
        </w:rPr>
        <w:lastRenderedPageBreak/>
        <w:t>prises accessoires. Le Taipei chinois a achevé la procédure législative visant à reprendre sa pêche au thon rouge et a autorisé un grand palangrier thonier issu de sa flottille actuelle de palangriers de l'Atlantique à pêcher et à conserver le thon rouge au cours de la campagne de pêche 2026 (du 1er août 2026 au 31 janvier 2027).</w:t>
      </w:r>
    </w:p>
    <w:p w14:paraId="50754141" w14:textId="77777777" w:rsidR="001351A2" w:rsidRPr="004E13E9" w:rsidRDefault="001351A2" w:rsidP="001351A2">
      <w:pPr>
        <w:contextualSpacing/>
        <w:jc w:val="both"/>
        <w:rPr>
          <w:rFonts w:eastAsia="Yu Gothic" w:cs="Times New Roman"/>
          <w:kern w:val="2"/>
          <w:lang w:val="fr-FR"/>
          <w14:ligatures w14:val="standardContextual"/>
        </w:rPr>
      </w:pPr>
    </w:p>
    <w:p w14:paraId="3D553414" w14:textId="77777777"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En réponse à une question du Président, le Taipei chinois a confirmé que, puisqu'il prévoit d'exploiter un palangrier, que ce palangrier ne devrait effectuer qu'une seule sortie de pêche et qu'un observateur sera présent à bord, le taux de couverture par les observateurs devrait atteindre 100 %.</w:t>
      </w:r>
    </w:p>
    <w:p w14:paraId="08BBB876" w14:textId="77777777" w:rsidR="001351A2" w:rsidRPr="004E13E9" w:rsidRDefault="001351A2" w:rsidP="001351A2">
      <w:pPr>
        <w:contextualSpacing/>
        <w:jc w:val="both"/>
        <w:rPr>
          <w:rFonts w:eastAsia="Yu Gothic" w:cs="Times New Roman"/>
          <w:kern w:val="2"/>
          <w:lang w:val="fr-FR"/>
          <w14:ligatures w14:val="standardContextual"/>
        </w:rPr>
      </w:pPr>
    </w:p>
    <w:p w14:paraId="24A04E80" w14:textId="1E217FF8" w:rsidR="001351A2" w:rsidRPr="004E13E9" w:rsidRDefault="001351A2" w:rsidP="001351A2">
      <w:pPr>
        <w:contextualSpacing/>
        <w:jc w:val="both"/>
        <w:rPr>
          <w:rFonts w:eastAsia="Yu Gothic" w:cs="Times New Roman"/>
          <w:kern w:val="2"/>
          <w:lang w:val="fr-FR"/>
          <w14:ligatures w14:val="standardContextual"/>
        </w:rPr>
      </w:pPr>
      <w:r w:rsidRPr="004E13E9">
        <w:rPr>
          <w:lang w:val="fr-FR"/>
        </w:rPr>
        <w:t>Le plan de pêche du Taipei chinois a été entériné par la Sous-commission 2.</w:t>
      </w:r>
    </w:p>
    <w:p w14:paraId="34F050DA" w14:textId="77777777" w:rsidR="001351A2" w:rsidRPr="004E13E9" w:rsidRDefault="001351A2" w:rsidP="001351A2">
      <w:pPr>
        <w:contextualSpacing/>
        <w:jc w:val="both"/>
        <w:rPr>
          <w:rFonts w:eastAsia="Yu Gothic" w:cs="Times New Roman"/>
          <w:b/>
          <w:bCs/>
          <w:kern w:val="2"/>
          <w:lang w:val="fr-FR"/>
          <w14:ligatures w14:val="standardContextual"/>
        </w:rPr>
      </w:pPr>
    </w:p>
    <w:p w14:paraId="2B977A13" w14:textId="77777777" w:rsidR="0082292C" w:rsidRPr="004E13E9" w:rsidRDefault="0082292C" w:rsidP="0082292C">
      <w:pPr>
        <w:jc w:val="both"/>
        <w:rPr>
          <w:rFonts w:eastAsia="Yu Gothic" w:cs="Times New Roman"/>
          <w:b/>
          <w:bCs/>
          <w:lang w:val="fr-FR"/>
        </w:rPr>
      </w:pPr>
      <w:r w:rsidRPr="004E13E9">
        <w:rPr>
          <w:rFonts w:eastAsia="MS Mincho" w:cs="Times New Roman"/>
          <w:b/>
          <w:lang w:val="fr-FR"/>
        </w:rPr>
        <w:t>Discussion générale</w:t>
      </w:r>
    </w:p>
    <w:p w14:paraId="6D32FE12" w14:textId="77777777" w:rsidR="0082292C" w:rsidRPr="004E13E9" w:rsidRDefault="0082292C" w:rsidP="0082292C">
      <w:pPr>
        <w:jc w:val="both"/>
        <w:rPr>
          <w:rFonts w:eastAsia="Yu Gothic" w:cs="Times New Roman"/>
          <w:b/>
          <w:bCs/>
          <w:lang w:val="fr-FR"/>
        </w:rPr>
      </w:pPr>
    </w:p>
    <w:p w14:paraId="5849EA34" w14:textId="77777777" w:rsidR="0082292C" w:rsidRPr="004E13E9" w:rsidRDefault="0082292C" w:rsidP="0082292C">
      <w:pPr>
        <w:jc w:val="both"/>
        <w:rPr>
          <w:rFonts w:eastAsia="Yu Gothic" w:cs="Times New Roman"/>
          <w:lang w:val="fr-FR"/>
        </w:rPr>
      </w:pPr>
      <w:r w:rsidRPr="004E13E9">
        <w:rPr>
          <w:rFonts w:eastAsia="MS Mincho" w:cs="Times New Roman"/>
          <w:lang w:val="fr-FR"/>
        </w:rPr>
        <w:t>Tout en examinant les plans de pêche des CPC, les membres de la Sous-commission 2 ont également tenu des discussions générales sur un certain nombre de points.</w:t>
      </w:r>
    </w:p>
    <w:p w14:paraId="26AABBDC" w14:textId="77777777" w:rsidR="0082292C" w:rsidRPr="004E13E9" w:rsidRDefault="0082292C" w:rsidP="0082292C">
      <w:pPr>
        <w:jc w:val="both"/>
        <w:rPr>
          <w:rFonts w:eastAsia="Yu Gothic" w:cs="Times New Roman"/>
          <w:lang w:val="fr-FR"/>
        </w:rPr>
      </w:pPr>
    </w:p>
    <w:p w14:paraId="7EF5C122" w14:textId="77777777" w:rsidR="0082292C" w:rsidRPr="004E13E9" w:rsidRDefault="0082292C" w:rsidP="0082292C">
      <w:pPr>
        <w:jc w:val="both"/>
        <w:rPr>
          <w:rFonts w:eastAsia="Yu Gothic" w:cs="Times New Roman"/>
          <w:i/>
          <w:iCs/>
          <w:lang w:val="fr-FR"/>
        </w:rPr>
      </w:pPr>
      <w:r w:rsidRPr="004E13E9">
        <w:rPr>
          <w:rFonts w:eastAsia="MS Mincho" w:cs="Times New Roman"/>
          <w:i/>
          <w:lang w:val="fr-FR"/>
        </w:rPr>
        <w:t>Capacité d’élevage</w:t>
      </w:r>
    </w:p>
    <w:p w14:paraId="34FF29DE" w14:textId="77777777" w:rsidR="0082292C" w:rsidRPr="004E13E9" w:rsidRDefault="0082292C" w:rsidP="0082292C">
      <w:pPr>
        <w:jc w:val="both"/>
        <w:rPr>
          <w:rFonts w:eastAsia="Yu Gothic" w:cs="Times New Roman"/>
          <w:lang w:val="fr-FR"/>
        </w:rPr>
      </w:pPr>
    </w:p>
    <w:p w14:paraId="3BF5EE82" w14:textId="77777777" w:rsidR="0082292C" w:rsidRPr="004E13E9" w:rsidRDefault="0082292C" w:rsidP="0082292C">
      <w:pPr>
        <w:jc w:val="both"/>
        <w:rPr>
          <w:rFonts w:eastAsia="Yu Gothic" w:cs="Times New Roman"/>
          <w:lang w:val="fr-FR"/>
        </w:rPr>
      </w:pPr>
      <w:r w:rsidRPr="004E13E9">
        <w:rPr>
          <w:rFonts w:eastAsia="MS Mincho" w:cs="Times New Roman"/>
          <w:lang w:val="fr-FR"/>
        </w:rPr>
        <w:t xml:space="preserve">Les membres de la Sous-commission 2 ont examiné les obligations en matière de déclaration et les définitions relatives à la capacité d’élevage. Le Japon a fait remarquer que plusieurs CPC avaient indiqué à la fois la « capacité » et la « capacité d'entrée » dans leurs tableaux relatifs à la capacité d’élevage. Le Japon a fait remarquer que la </w:t>
      </w:r>
      <w:hyperlink r:id="rId15" w:history="1">
        <w:r w:rsidRPr="004E13E9">
          <w:rPr>
            <w:rFonts w:eastAsia="MS Mincho" w:cs="Times New Roman"/>
            <w:color w:val="0000FF"/>
            <w:lang w:val="fr-FR"/>
          </w:rPr>
          <w:t>Rec. 25-04</w:t>
        </w:r>
      </w:hyperlink>
      <w:r w:rsidRPr="004E13E9">
        <w:rPr>
          <w:rFonts w:eastAsia="MS Mincho" w:cs="Times New Roman"/>
          <w:lang w:val="fr-FR"/>
        </w:rPr>
        <w:t xml:space="preserve"> ne donnait de définition pour aucun de ces deux termes et qu'elle ne fournissait qu'une définition de la « capacité d'élevage d'intrants ». Le Japon a estimé que le terme « capacité » figurant dans le modèle du plan de gestion de l’élevage désignait la capacité d’élevage maximale et que le terme « capacité d'entrée» désignait la quantité prévue d'entrée de spécimens sauvages pendant cette campagne de pêche.</w:t>
      </w:r>
    </w:p>
    <w:p w14:paraId="64CBC84B" w14:textId="77777777" w:rsidR="0082292C" w:rsidRPr="004E13E9" w:rsidRDefault="0082292C" w:rsidP="0082292C">
      <w:pPr>
        <w:jc w:val="both"/>
        <w:rPr>
          <w:rFonts w:eastAsia="Yu Gothic" w:cs="Times New Roman"/>
          <w:lang w:val="fr-FR"/>
        </w:rPr>
      </w:pPr>
    </w:p>
    <w:p w14:paraId="78CFC1A1" w14:textId="77777777" w:rsidR="0082292C" w:rsidRPr="004E13E9" w:rsidRDefault="0082292C" w:rsidP="0082292C">
      <w:pPr>
        <w:jc w:val="both"/>
        <w:rPr>
          <w:rFonts w:eastAsia="Yu Gothic" w:cs="Times New Roman"/>
          <w:lang w:val="fr-FR"/>
        </w:rPr>
      </w:pPr>
      <w:r w:rsidRPr="004E13E9">
        <w:rPr>
          <w:rFonts w:eastAsia="MS Mincho" w:cs="Times New Roman"/>
          <w:lang w:val="fr-FR"/>
        </w:rPr>
        <w:t xml:space="preserve">Le Président et plusieurs CPC ont partagé le point de vue du Japon. </w:t>
      </w:r>
    </w:p>
    <w:p w14:paraId="55443C44" w14:textId="77777777" w:rsidR="0082292C" w:rsidRPr="004E13E9" w:rsidRDefault="0082292C" w:rsidP="0082292C">
      <w:pPr>
        <w:jc w:val="both"/>
        <w:rPr>
          <w:rFonts w:eastAsia="Yu Gothic" w:cs="Times New Roman"/>
          <w:lang w:val="fr-FR"/>
        </w:rPr>
      </w:pPr>
    </w:p>
    <w:p w14:paraId="261E47C8" w14:textId="64A52B4B" w:rsidR="003D3F9E" w:rsidRPr="004E13E9" w:rsidRDefault="0082292C" w:rsidP="003D3F9E">
      <w:pPr>
        <w:jc w:val="both"/>
        <w:rPr>
          <w:rFonts w:eastAsia="MS Mincho" w:cs="Times New Roman"/>
          <w:lang w:val="fr-FR"/>
        </w:rPr>
      </w:pPr>
      <w:r w:rsidRPr="004E13E9">
        <w:rPr>
          <w:rFonts w:eastAsia="MS Mincho" w:cs="Times New Roman"/>
          <w:lang w:val="fr-FR"/>
        </w:rPr>
        <w:t xml:space="preserve">Le Président a souligné que, bien que les CPC puissent mentionner à la fois la « capacité » et la « capacité </w:t>
      </w:r>
      <w:proofErr w:type="gramStart"/>
      <w:r w:rsidRPr="004E13E9">
        <w:rPr>
          <w:rFonts w:eastAsia="MS Mincho" w:cs="Times New Roman"/>
          <w:lang w:val="fr-FR"/>
        </w:rPr>
        <w:t>d'entrée»</w:t>
      </w:r>
      <w:proofErr w:type="gramEnd"/>
      <w:r w:rsidRPr="004E13E9">
        <w:rPr>
          <w:rFonts w:eastAsia="MS Mincho" w:cs="Times New Roman"/>
          <w:lang w:val="fr-FR"/>
        </w:rPr>
        <w:t xml:space="preserve"> dans leurs plans de gestion de l’élevage, l'obligation prévue par la </w:t>
      </w:r>
      <w:hyperlink r:id="rId16" w:history="1">
        <w:r w:rsidRPr="004E13E9">
          <w:rPr>
            <w:rFonts w:eastAsia="MS Mincho" w:cs="Times New Roman"/>
            <w:color w:val="0000FF"/>
            <w:lang w:val="fr-FR"/>
          </w:rPr>
          <w:t>Rec. 25-04</w:t>
        </w:r>
      </w:hyperlink>
      <w:r w:rsidRPr="004E13E9">
        <w:rPr>
          <w:rFonts w:eastAsia="MS Mincho" w:cs="Times New Roman"/>
          <w:lang w:val="fr-FR"/>
        </w:rPr>
        <w:t xml:space="preserve"> consiste uniquement à indiquer la capacité totale d'entrée de spécimens sauvages, c'est-à-dire la « capacité </w:t>
      </w:r>
      <w:proofErr w:type="gramStart"/>
      <w:r w:rsidRPr="004E13E9">
        <w:rPr>
          <w:rFonts w:eastAsia="MS Mincho" w:cs="Times New Roman"/>
          <w:lang w:val="fr-FR"/>
        </w:rPr>
        <w:t>d'entrée»</w:t>
      </w:r>
      <w:proofErr w:type="gramEnd"/>
      <w:r w:rsidRPr="004E13E9">
        <w:rPr>
          <w:rFonts w:eastAsia="MS Mincho" w:cs="Times New Roman"/>
          <w:lang w:val="fr-FR"/>
        </w:rPr>
        <w:t>. Il a expliqué que les CPC doivent s'assurer que leur capacité totale d'entrée est proportionnelle au quota dont elles disposent et que, si la capacité d'entrée d'une CPC est supérieure à son quota, cela devrait signifier que cette CPC importera du poisson vivant provenant d'autres CPC.</w:t>
      </w:r>
    </w:p>
    <w:p w14:paraId="1268D301" w14:textId="77777777" w:rsidR="009F34B6" w:rsidRPr="004E13E9" w:rsidRDefault="009F34B6" w:rsidP="003D3F9E">
      <w:pPr>
        <w:jc w:val="both"/>
        <w:rPr>
          <w:rFonts w:eastAsia="MS Mincho" w:cs="Times New Roman"/>
          <w:lang w:val="fr-FR"/>
        </w:rPr>
      </w:pPr>
    </w:p>
    <w:p w14:paraId="36EDC435" w14:textId="712B530F" w:rsidR="0082292C" w:rsidRPr="004E13E9" w:rsidRDefault="0082292C" w:rsidP="0082292C">
      <w:pPr>
        <w:jc w:val="both"/>
        <w:rPr>
          <w:rFonts w:eastAsia="Yu Gothic" w:cs="Times New Roman"/>
          <w:lang w:val="fr-FR"/>
        </w:rPr>
      </w:pPr>
      <w:r w:rsidRPr="004E13E9">
        <w:rPr>
          <w:rFonts w:eastAsia="MS Mincho" w:cs="Times New Roman"/>
          <w:lang w:val="fr-FR"/>
        </w:rPr>
        <w:t xml:space="preserve">Le Président a fait remarquer qu'il pourrait être nécessaire de fournir des définitions plus précises des deux types de capacité d’élevage lors de l'examen d'éventuelles modifications de la </w:t>
      </w:r>
      <w:hyperlink r:id="rId17" w:history="1">
        <w:r w:rsidRPr="004E13E9">
          <w:rPr>
            <w:rFonts w:eastAsia="MS Mincho" w:cs="Times New Roman"/>
            <w:color w:val="0000FF"/>
            <w:lang w:val="fr-FR"/>
          </w:rPr>
          <w:t>Rec. 25-04</w:t>
        </w:r>
      </w:hyperlink>
      <w:r w:rsidRPr="004E13E9">
        <w:rPr>
          <w:rFonts w:eastAsia="MS Mincho" w:cs="Times New Roman"/>
          <w:lang w:val="fr-FR"/>
        </w:rPr>
        <w:t>.</w:t>
      </w:r>
    </w:p>
    <w:p w14:paraId="5A8CE744" w14:textId="77777777" w:rsidR="0082292C" w:rsidRPr="004E13E9" w:rsidRDefault="0082292C" w:rsidP="0082292C">
      <w:pPr>
        <w:jc w:val="both"/>
        <w:rPr>
          <w:rFonts w:eastAsia="Yu Gothic" w:cs="Times New Roman"/>
          <w:lang w:val="fr-FR"/>
        </w:rPr>
      </w:pPr>
    </w:p>
    <w:p w14:paraId="6A90F684" w14:textId="77777777" w:rsidR="0082292C" w:rsidRPr="004E13E9" w:rsidRDefault="0082292C" w:rsidP="0082292C">
      <w:pPr>
        <w:jc w:val="both"/>
        <w:rPr>
          <w:rFonts w:eastAsia="Yu Gothic" w:cs="Times New Roman"/>
          <w:i/>
          <w:iCs/>
          <w:lang w:val="fr-FR"/>
        </w:rPr>
      </w:pPr>
      <w:r w:rsidRPr="004E13E9">
        <w:rPr>
          <w:rFonts w:eastAsia="MS Mincho" w:cs="Times New Roman"/>
          <w:i/>
          <w:lang w:val="fr-FR"/>
        </w:rPr>
        <w:t>Obligation de présenter un plan de pêche même en cas de transfert de la totalité du quota</w:t>
      </w:r>
    </w:p>
    <w:p w14:paraId="564E057C" w14:textId="77777777" w:rsidR="0082292C" w:rsidRPr="004E13E9" w:rsidRDefault="0082292C" w:rsidP="0082292C">
      <w:pPr>
        <w:jc w:val="both"/>
        <w:rPr>
          <w:rFonts w:eastAsia="Yu Gothic" w:cs="Times New Roman"/>
          <w:lang w:val="fr-FR"/>
        </w:rPr>
      </w:pPr>
    </w:p>
    <w:p w14:paraId="0A355698" w14:textId="77777777" w:rsidR="0082292C" w:rsidRPr="004E13E9" w:rsidRDefault="0082292C" w:rsidP="0082292C">
      <w:pPr>
        <w:jc w:val="both"/>
        <w:rPr>
          <w:rFonts w:eastAsia="Yu Gothic" w:cs="Times New Roman"/>
          <w:lang w:val="fr-FR"/>
        </w:rPr>
      </w:pPr>
      <w:r w:rsidRPr="004E13E9">
        <w:rPr>
          <w:rFonts w:eastAsia="MS Mincho" w:cs="Times New Roman"/>
          <w:lang w:val="fr-FR"/>
        </w:rPr>
        <w:t xml:space="preserve">Les membres de la Sous-commission 2 ne savaient pas au départ si une CPC ayant reçu un quota était tenue de présenter un plan de pêche si elle avait l'intention de transférer la totalité de son quota et ne comptait pas le pêcher lui-même. À l'issue des discussions, les membres de la Sous-commission 2 ont convenu que toutes les CPC auxquelles un quota a été alloué doivent présenter un plan de pêche, même si elles comptent transférer la totalité de leur quota, en soulignant que cela est clairement stipulé au paragraphe 10 de la </w:t>
      </w:r>
      <w:hyperlink r:id="rId18" w:history="1">
        <w:r w:rsidRPr="004E13E9">
          <w:rPr>
            <w:rFonts w:eastAsia="MS Mincho" w:cs="Times New Roman"/>
            <w:color w:val="0000FF"/>
            <w:lang w:val="fr-FR"/>
          </w:rPr>
          <w:t>Rec. 25-04</w:t>
        </w:r>
      </w:hyperlink>
      <w:r w:rsidRPr="004E13E9">
        <w:rPr>
          <w:rFonts w:eastAsia="MS Mincho" w:cs="Times New Roman"/>
          <w:lang w:val="fr-FR"/>
        </w:rPr>
        <w:t>. Il a été souligné que cela revêtait également de l'importance du point de vue de la garantie de la transparence.</w:t>
      </w:r>
    </w:p>
    <w:p w14:paraId="3B47B1F4" w14:textId="77777777" w:rsidR="0082292C" w:rsidRPr="004E13E9" w:rsidRDefault="0082292C" w:rsidP="0082292C">
      <w:pPr>
        <w:jc w:val="both"/>
        <w:rPr>
          <w:rFonts w:eastAsia="Yu Gothic" w:cs="Times New Roman"/>
          <w:lang w:val="fr-FR"/>
        </w:rPr>
      </w:pPr>
    </w:p>
    <w:p w14:paraId="4882A1FA" w14:textId="77777777" w:rsidR="0082292C" w:rsidRPr="004E13E9" w:rsidRDefault="0082292C" w:rsidP="0082292C">
      <w:pPr>
        <w:jc w:val="both"/>
        <w:rPr>
          <w:rFonts w:eastAsia="Yu Gothic" w:cs="Times New Roman"/>
          <w:lang w:val="fr-FR"/>
        </w:rPr>
      </w:pPr>
      <w:r w:rsidRPr="004E13E9">
        <w:rPr>
          <w:rFonts w:eastAsia="MS Mincho" w:cs="Times New Roman"/>
          <w:lang w:val="fr-FR"/>
        </w:rPr>
        <w:t xml:space="preserve">Plusieurs CPC ont fait remarquer qu'une situation dans laquelle une CPC sollicite une allocation puis transfère la totalité de son quota est inhabituelle et n'avait pas été envisagée lors de la rédaction de la </w:t>
      </w:r>
      <w:hyperlink r:id="rId19" w:history="1">
        <w:r w:rsidRPr="004E13E9">
          <w:rPr>
            <w:rFonts w:eastAsia="MS Mincho" w:cs="Times New Roman"/>
            <w:color w:val="0000FF"/>
            <w:lang w:val="fr-FR"/>
          </w:rPr>
          <w:t>Rec. 25-04</w:t>
        </w:r>
      </w:hyperlink>
      <w:r w:rsidRPr="004E13E9">
        <w:rPr>
          <w:rFonts w:eastAsia="MS Mincho" w:cs="Times New Roman"/>
          <w:lang w:val="fr-FR"/>
        </w:rPr>
        <w:t>.</w:t>
      </w:r>
    </w:p>
    <w:p w14:paraId="568CC079" w14:textId="77777777" w:rsidR="0082292C" w:rsidRPr="004E13E9" w:rsidRDefault="0082292C" w:rsidP="0082292C">
      <w:pPr>
        <w:jc w:val="both"/>
        <w:rPr>
          <w:rFonts w:eastAsia="Yu Gothic" w:cs="Times New Roman"/>
          <w:lang w:val="fr-FR"/>
        </w:rPr>
      </w:pPr>
    </w:p>
    <w:p w14:paraId="70C0B4D3" w14:textId="332405B5" w:rsidR="0082292C" w:rsidRPr="00C712A4" w:rsidRDefault="00C712A4" w:rsidP="00C712A4">
      <w:pPr>
        <w:rPr>
          <w:rFonts w:eastAsia="MS Mincho" w:cs="Times New Roman"/>
          <w:i/>
          <w:lang w:val="fr-FR"/>
        </w:rPr>
      </w:pPr>
      <w:r>
        <w:rPr>
          <w:rFonts w:eastAsia="MS Mincho" w:cs="Times New Roman"/>
          <w:i/>
          <w:lang w:val="fr-FR"/>
        </w:rPr>
        <w:t>C</w:t>
      </w:r>
      <w:r w:rsidR="0082292C" w:rsidRPr="004E13E9">
        <w:rPr>
          <w:rFonts w:eastAsia="MS Mincho" w:cs="Times New Roman"/>
          <w:i/>
          <w:lang w:val="fr-FR"/>
        </w:rPr>
        <w:t>aptures exceptionnelles de thon rouge par le Sénégal en 2024</w:t>
      </w:r>
    </w:p>
    <w:p w14:paraId="2BE5FECF" w14:textId="77777777" w:rsidR="0082292C" w:rsidRPr="004E13E9" w:rsidRDefault="0082292C" w:rsidP="0082292C">
      <w:pPr>
        <w:jc w:val="both"/>
        <w:rPr>
          <w:rFonts w:eastAsia="Yu Gothic" w:cs="Times New Roman"/>
          <w:lang w:val="fr-FR"/>
        </w:rPr>
      </w:pPr>
    </w:p>
    <w:p w14:paraId="316D244A" w14:textId="77777777" w:rsidR="0082292C" w:rsidRPr="004E13E9" w:rsidRDefault="0082292C" w:rsidP="0082292C">
      <w:pPr>
        <w:jc w:val="both"/>
        <w:rPr>
          <w:rFonts w:eastAsia="Yu Gothic" w:cs="Times New Roman"/>
          <w:lang w:val="fr-FR"/>
        </w:rPr>
      </w:pPr>
      <w:r w:rsidRPr="004E13E9">
        <w:rPr>
          <w:rFonts w:eastAsia="MS Mincho" w:cs="Times New Roman"/>
          <w:lang w:val="fr-FR"/>
        </w:rPr>
        <w:t>Lors de l'examen du plan de pêche du Sénégal, les membres de la Sous-commission 2 ont rappelé les captures exceptionnelles de thon rouge réalisées par le Sénégal en 2024. Certaines CPC ont demandé au Sénégal de fournir davantage d'informations sur les mesures de suivi prises depuis la dernière réunion intersessions de la Sous-commission 2.</w:t>
      </w:r>
    </w:p>
    <w:p w14:paraId="43160399" w14:textId="77777777" w:rsidR="0082292C" w:rsidRPr="004E13E9" w:rsidRDefault="0082292C" w:rsidP="0082292C">
      <w:pPr>
        <w:jc w:val="both"/>
        <w:rPr>
          <w:rFonts w:eastAsia="Yu Gothic" w:cs="Times New Roman"/>
          <w:lang w:val="fr-FR"/>
        </w:rPr>
      </w:pPr>
    </w:p>
    <w:p w14:paraId="3E94E0D2" w14:textId="08E99E06" w:rsidR="0082292C" w:rsidRPr="004E13E9" w:rsidRDefault="0082292C" w:rsidP="0082292C">
      <w:pPr>
        <w:jc w:val="both"/>
        <w:rPr>
          <w:rFonts w:eastAsia="Yu Gothic" w:cs="Times New Roman"/>
          <w:lang w:val="fr-FR"/>
        </w:rPr>
      </w:pPr>
      <w:r w:rsidRPr="004E13E9">
        <w:rPr>
          <w:rFonts w:eastAsia="MS Mincho" w:cs="Times New Roman"/>
          <w:lang w:val="fr-FR"/>
        </w:rPr>
        <w:t xml:space="preserve">En réponse, le Sénégal a rédigé et présenté </w:t>
      </w:r>
      <w:r w:rsidR="004C7658" w:rsidRPr="004E13E9">
        <w:rPr>
          <w:rFonts w:eastAsia="MS Mincho" w:cs="Times New Roman"/>
          <w:lang w:val="fr-FR"/>
        </w:rPr>
        <w:t xml:space="preserve">le </w:t>
      </w:r>
      <w:r w:rsidR="00372C71" w:rsidRPr="004E13E9">
        <w:rPr>
          <w:rFonts w:eastAsia="MS Mincho" w:cs="Times New Roman"/>
          <w:lang w:val="fr-FR"/>
        </w:rPr>
        <w:t xml:space="preserve">« Rapport sur les captures exceptionnelles de thon rouge du Sénégal » </w:t>
      </w:r>
      <w:r w:rsidRPr="004E13E9">
        <w:rPr>
          <w:rFonts w:eastAsia="MS Mincho" w:cs="Times New Roman"/>
          <w:lang w:val="fr-FR"/>
        </w:rPr>
        <w:t xml:space="preserve">décrivant les mesures qu'il a prises. La sanction maximale prévue par la législation sénégalaise a été infligée au propriétaire du navire et a été intégralement acquittée. Les prises ont été saisies et le propriétaire du navire a pris en charge les frais de stockage et de découpe de ces produits pour toute la durée de leur entreposage, ainsi que les frais de livraison au ministère de la Famille et de la Solidarité en vue de leur distribution sous forme de dons à des organisations caritatives et d'intérêt général. Tout le thon rouge capturé a été donné, principalement à des associations caritatives et, pour une partie, à la recherche. Le Sénégal a également réalisé un échantillonnage biologique sur les thons rouges capturés et a transmis un rapport sur ces échantillons au Groupe d’espèces sur le thon rouge du Comité permanent de la recherche et des statistiques (SCRS). La collecte, l'échantillonnage scientifique et la distribution de ces produits ont été effectués de janvier à octobre 2025. </w:t>
      </w:r>
    </w:p>
    <w:p w14:paraId="7081A2C4" w14:textId="77777777" w:rsidR="0082292C" w:rsidRPr="004E13E9" w:rsidRDefault="0082292C" w:rsidP="0082292C">
      <w:pPr>
        <w:jc w:val="both"/>
        <w:rPr>
          <w:rFonts w:eastAsia="Yu Gothic" w:cs="Times New Roman"/>
          <w:lang w:val="fr-FR"/>
        </w:rPr>
      </w:pPr>
    </w:p>
    <w:p w14:paraId="382ACE9E" w14:textId="77777777" w:rsidR="002D61D7" w:rsidRPr="004E13E9" w:rsidRDefault="002D61D7" w:rsidP="002D61D7">
      <w:pPr>
        <w:jc w:val="both"/>
        <w:rPr>
          <w:rFonts w:eastAsia="Yu Gothic" w:cs="Times New Roman"/>
          <w:lang w:val="fr-FR"/>
        </w:rPr>
      </w:pPr>
      <w:r w:rsidRPr="004E13E9">
        <w:rPr>
          <w:rFonts w:eastAsia="MS Mincho" w:cs="Times New Roman"/>
          <w:lang w:val="fr-FR"/>
        </w:rPr>
        <w:t xml:space="preserve">Le Sénégal a estimé avoir respecté toutes les orientations qui lui avaient été formulées et que les mesures qu'il a prises sont suffisantes pour résoudre cette question au sein de la Sous-commission 2. De plus, le Sénégal estime que, puisqu'il n'avait pas bénéficié d'une allocation au titre de la </w:t>
      </w:r>
      <w:hyperlink r:id="rId20" w:history="1">
        <w:r w:rsidRPr="004E13E9">
          <w:rPr>
            <w:rFonts w:eastAsia="MS Mincho" w:cs="Times New Roman"/>
            <w:color w:val="0000FF"/>
            <w:lang w:val="fr-FR"/>
          </w:rPr>
          <w:t>Rec. 24-05</w:t>
        </w:r>
      </w:hyperlink>
      <w:r w:rsidRPr="004E13E9">
        <w:rPr>
          <w:rFonts w:eastAsia="MS Mincho" w:cs="Times New Roman"/>
          <w:lang w:val="fr-FR"/>
        </w:rPr>
        <w:t>, raison pour laquelle un plan de pêche ne lui avait pas été exigé en 2024, les dispositions relatives au remboursement de la surconsommation ne s'appliquaient pas à ce cas.</w:t>
      </w:r>
      <w:r w:rsidRPr="004E13E9">
        <w:rPr>
          <w:rFonts w:eastAsia="Yu Gothic" w:cs="Times New Roman"/>
          <w:lang w:val="fr-FR"/>
        </w:rPr>
        <w:t xml:space="preserve"> Le Sénégal a conclu que le remboursement pour ce cas spécifique manque de base juridique.</w:t>
      </w:r>
    </w:p>
    <w:p w14:paraId="33D0F289" w14:textId="77777777" w:rsidR="002D61D7" w:rsidRPr="004E13E9" w:rsidRDefault="002D61D7" w:rsidP="0082292C">
      <w:pPr>
        <w:jc w:val="both"/>
        <w:rPr>
          <w:rFonts w:eastAsia="Yu Gothic" w:cs="Times New Roman"/>
          <w:lang w:val="fr-FR"/>
        </w:rPr>
      </w:pPr>
    </w:p>
    <w:p w14:paraId="14F9248D" w14:textId="77777777" w:rsidR="0082292C" w:rsidRPr="004E13E9" w:rsidRDefault="0082292C" w:rsidP="0082292C">
      <w:pPr>
        <w:jc w:val="both"/>
        <w:rPr>
          <w:rFonts w:eastAsia="Yu Gothic" w:cs="Times New Roman"/>
          <w:lang w:val="fr-FR"/>
        </w:rPr>
      </w:pPr>
      <w:r w:rsidRPr="004E13E9">
        <w:rPr>
          <w:rFonts w:eastAsia="MS Mincho" w:cs="Times New Roman"/>
          <w:lang w:val="fr-FR"/>
        </w:rPr>
        <w:t>L'Union européenne et les États-Unis ont remercié le Sénégal de leur avoir fourni les informations complémentaires demandées. Ils ont toutefois contesté l'argument selon lequel, le Sénégal n'ayant pas reçu de quota, il n'était pas tenu de rembourser la surconsommation. Ils ont fait remarquer que si les dispositions relatives au remboursement ne s'appliquaient pas aux CPC ne disposant pas de quota, ces dernières n'auraient aucune incitation à adhérer à la Sous-commission 2 et à solliciter un quota dans le cadre de celui-ci.</w:t>
      </w:r>
    </w:p>
    <w:p w14:paraId="34FBF5E3" w14:textId="77777777" w:rsidR="0082292C" w:rsidRPr="004E13E9" w:rsidRDefault="0082292C" w:rsidP="0082292C">
      <w:pPr>
        <w:jc w:val="both"/>
        <w:rPr>
          <w:rFonts w:eastAsia="Yu Gothic" w:cs="Times New Roman"/>
          <w:lang w:val="fr-FR"/>
        </w:rPr>
      </w:pPr>
    </w:p>
    <w:p w14:paraId="4114D5F0" w14:textId="77777777" w:rsidR="0082292C" w:rsidRPr="004E13E9" w:rsidRDefault="0082292C" w:rsidP="0082292C">
      <w:pPr>
        <w:jc w:val="both"/>
        <w:rPr>
          <w:rFonts w:eastAsia="Yu Gothic" w:cs="Times New Roman"/>
          <w:lang w:val="fr-FR"/>
        </w:rPr>
      </w:pPr>
      <w:r w:rsidRPr="004E13E9">
        <w:rPr>
          <w:rFonts w:eastAsia="MS Mincho" w:cs="Times New Roman"/>
          <w:lang w:val="fr-FR"/>
        </w:rPr>
        <w:t>Les membres de la Sous-commission 2 ne sont pas parvenus à un consensus sur la question de savoir si les dispositions relatives au remboursement s'appliquent ou non aux CPC qui ne disposent pas de quota.</w:t>
      </w:r>
    </w:p>
    <w:p w14:paraId="5760352C" w14:textId="77777777" w:rsidR="0082292C" w:rsidRPr="004E13E9" w:rsidRDefault="0082292C" w:rsidP="0082292C">
      <w:pPr>
        <w:jc w:val="both"/>
        <w:rPr>
          <w:rFonts w:eastAsia="Yu Gothic" w:cs="Times New Roman"/>
          <w:lang w:val="fr-FR"/>
        </w:rPr>
      </w:pPr>
    </w:p>
    <w:p w14:paraId="20E4C2C9" w14:textId="77777777" w:rsidR="0082292C" w:rsidRPr="004E13E9" w:rsidRDefault="0082292C" w:rsidP="0082292C">
      <w:pPr>
        <w:jc w:val="both"/>
        <w:rPr>
          <w:rFonts w:eastAsia="Yu Gothic" w:cs="Times New Roman"/>
          <w:lang w:val="fr-FR"/>
        </w:rPr>
      </w:pPr>
      <w:r w:rsidRPr="004E13E9">
        <w:rPr>
          <w:rFonts w:eastAsia="MS Mincho" w:cs="Times New Roman"/>
          <w:lang w:val="fr-FR"/>
        </w:rPr>
        <w:t>Le Président a suggéré que si certaines CPC estimaient que les dispositions relatives au remboursement devaient être affinées et clarifiées davantage, elles pourraient élaborer une proposition concrète à cet effet. Le Président a suggéré que cette proposition couvre les dispositions relatives au remboursement de manière générale pour l'ensemble des espèces relevant de l'ICCAT, et non pas uniquement pour le thon rouge, et qu'elle soit soumise à un organe autre que la Sous-commission 2, tel que le Groupe de travail permanent sur l’amélioration des statistiques et des mesures de conservation de l’ICCAT (PWG), le Comité d’application (COC) ou la Commission.</w:t>
      </w:r>
    </w:p>
    <w:p w14:paraId="2BE069E8" w14:textId="16BA6AC7" w:rsidR="00372C71" w:rsidRPr="004E13E9" w:rsidRDefault="00372C71">
      <w:pPr>
        <w:rPr>
          <w:rFonts w:eastAsia="MS Mincho" w:cs="Times New Roman"/>
          <w:lang w:val="fr-FR"/>
        </w:rPr>
      </w:pPr>
    </w:p>
    <w:p w14:paraId="4C6DD641" w14:textId="2081BA9A" w:rsidR="0082292C" w:rsidRPr="004E13E9" w:rsidRDefault="0082292C" w:rsidP="0082292C">
      <w:pPr>
        <w:jc w:val="both"/>
        <w:rPr>
          <w:rFonts w:eastAsia="Yu Gothic" w:cs="Times New Roman"/>
          <w:lang w:val="fr-FR"/>
        </w:rPr>
      </w:pPr>
      <w:r w:rsidRPr="004E13E9">
        <w:rPr>
          <w:rFonts w:eastAsia="MS Mincho" w:cs="Times New Roman"/>
          <w:lang w:val="fr-FR"/>
        </w:rPr>
        <w:t>L'UE a accueilli favorablement cette suggestion et a indiqué qu'elle envisagerait d'élaborer cette proposition.</w:t>
      </w:r>
    </w:p>
    <w:p w14:paraId="0EB07A90" w14:textId="77777777" w:rsidR="0082292C" w:rsidRPr="004E13E9" w:rsidRDefault="0082292C" w:rsidP="0082292C">
      <w:pPr>
        <w:jc w:val="both"/>
        <w:rPr>
          <w:rFonts w:eastAsia="Yu Gothic" w:cs="Times New Roman"/>
          <w:lang w:val="fr-FR"/>
        </w:rPr>
      </w:pPr>
    </w:p>
    <w:p w14:paraId="235A99B7" w14:textId="77777777" w:rsidR="0082292C" w:rsidRPr="004E13E9" w:rsidRDefault="0082292C" w:rsidP="0082292C">
      <w:pPr>
        <w:jc w:val="both"/>
        <w:rPr>
          <w:rFonts w:eastAsia="Yu Gothic" w:cs="Times New Roman"/>
          <w:b/>
          <w:bCs/>
          <w:i/>
          <w:iCs/>
          <w:lang w:val="fr-FR"/>
        </w:rPr>
      </w:pPr>
      <w:r w:rsidRPr="004E13E9">
        <w:rPr>
          <w:rFonts w:eastAsia="MS Mincho" w:cs="Times New Roman"/>
          <w:b/>
          <w:i/>
          <w:lang w:val="fr-FR"/>
        </w:rPr>
        <w:t>4.2 Atlantique Ouest</w:t>
      </w:r>
    </w:p>
    <w:p w14:paraId="65C7CC2F" w14:textId="77777777" w:rsidR="0082292C" w:rsidRPr="004E13E9" w:rsidRDefault="0082292C" w:rsidP="0082292C">
      <w:pPr>
        <w:spacing w:after="160"/>
        <w:contextualSpacing/>
        <w:jc w:val="both"/>
        <w:rPr>
          <w:rFonts w:eastAsia="Yu Gothic" w:cs="Times New Roman"/>
          <w:sz w:val="8"/>
          <w:szCs w:val="8"/>
          <w:lang w:val="fr-FR"/>
        </w:rPr>
      </w:pPr>
    </w:p>
    <w:p w14:paraId="3CF10496" w14:textId="77777777" w:rsidR="0082292C" w:rsidRPr="004E13E9" w:rsidRDefault="0082292C" w:rsidP="0082292C">
      <w:pPr>
        <w:spacing w:after="160"/>
        <w:contextualSpacing/>
        <w:jc w:val="both"/>
        <w:rPr>
          <w:rFonts w:eastAsia="Yu Gothic" w:cs="Times New Roman"/>
          <w:bCs/>
          <w:i/>
          <w:iCs/>
          <w:lang w:val="fr-FR"/>
        </w:rPr>
      </w:pPr>
      <w:r w:rsidRPr="004E13E9">
        <w:rPr>
          <w:rFonts w:eastAsia="MS Mincho" w:cs="Times New Roman"/>
          <w:bCs/>
          <w:i/>
          <w:lang w:val="fr-FR"/>
        </w:rPr>
        <w:t>Projet de modèle de plan de pêche/gestion du thon rouge de l'Atlantique Ouest</w:t>
      </w:r>
    </w:p>
    <w:p w14:paraId="0549BC59" w14:textId="77777777" w:rsidR="0082292C" w:rsidRPr="004E13E9" w:rsidRDefault="0082292C" w:rsidP="0082292C">
      <w:pPr>
        <w:spacing w:after="160"/>
        <w:contextualSpacing/>
        <w:jc w:val="both"/>
        <w:rPr>
          <w:rFonts w:eastAsia="Yu Gothic" w:cs="Times New Roman"/>
          <w:lang w:val="fr-FR"/>
        </w:rPr>
      </w:pPr>
    </w:p>
    <w:p w14:paraId="78CB4B3D" w14:textId="3E4BFBC0" w:rsidR="0082292C" w:rsidRPr="004E13E9" w:rsidRDefault="0082292C" w:rsidP="0082292C">
      <w:pPr>
        <w:spacing w:after="160"/>
        <w:contextualSpacing/>
        <w:jc w:val="both"/>
        <w:rPr>
          <w:rFonts w:eastAsia="Yu Gothic" w:cs="Times New Roman"/>
          <w:lang w:val="fr-FR"/>
        </w:rPr>
      </w:pPr>
      <w:r w:rsidRPr="004E13E9">
        <w:rPr>
          <w:rFonts w:eastAsia="MS Mincho" w:cs="Times New Roman"/>
          <w:lang w:val="fr-FR"/>
        </w:rPr>
        <w:t xml:space="preserve">Le Président a présenté un projet de modèle pour le plan de pêche et de gestion du thon rouge de l'Atlantique Ouest et a expliqué la manière dont celui-ci avait été élaboré. </w:t>
      </w:r>
      <w:r w:rsidR="00467EBF" w:rsidRPr="004E13E9">
        <w:rPr>
          <w:rFonts w:eastAsia="MS Mincho" w:cs="Times New Roman"/>
          <w:lang w:val="fr-FR"/>
        </w:rPr>
        <w:t xml:space="preserve">Dans </w:t>
      </w:r>
      <w:r w:rsidR="0098146C" w:rsidRPr="004E13E9">
        <w:rPr>
          <w:rFonts w:eastAsia="MS Mincho" w:cs="Times New Roman"/>
          <w:lang w:val="fr-FR"/>
        </w:rPr>
        <w:t>sa présentation</w:t>
      </w:r>
      <w:r w:rsidR="00467EBF" w:rsidRPr="004E13E9">
        <w:rPr>
          <w:rFonts w:eastAsia="MS Mincho" w:cs="Times New Roman"/>
          <w:lang w:val="fr-FR"/>
        </w:rPr>
        <w:t xml:space="preserve">, le </w:t>
      </w:r>
      <w:r w:rsidR="0063794F" w:rsidRPr="004E13E9">
        <w:rPr>
          <w:rFonts w:eastAsia="MS Mincho" w:cs="Times New Roman"/>
          <w:lang w:val="fr-FR"/>
        </w:rPr>
        <w:t xml:space="preserve">Président </w:t>
      </w:r>
      <w:r w:rsidR="00467EBF" w:rsidRPr="004E13E9">
        <w:rPr>
          <w:rFonts w:eastAsia="MS Mincho" w:cs="Times New Roman"/>
          <w:lang w:val="fr-FR"/>
        </w:rPr>
        <w:t xml:space="preserve">a confirmé que la Commission avait convenu, lors de la réunion annuelle de 2025, que les plans de pêche du </w:t>
      </w:r>
      <w:r w:rsidR="0063794F" w:rsidRPr="004E13E9">
        <w:rPr>
          <w:rFonts w:eastAsia="MS Mincho" w:cs="Times New Roman"/>
          <w:lang w:val="fr-FR"/>
        </w:rPr>
        <w:t>thon rouge de l’Ouest</w:t>
      </w:r>
      <w:r w:rsidR="00467EBF" w:rsidRPr="004E13E9">
        <w:rPr>
          <w:rFonts w:eastAsia="MS Mincho" w:cs="Times New Roman"/>
          <w:lang w:val="fr-FR"/>
        </w:rPr>
        <w:t xml:space="preserve"> auraient un caractère </w:t>
      </w:r>
      <w:r w:rsidR="00413BF6" w:rsidRPr="004E13E9">
        <w:rPr>
          <w:rFonts w:eastAsia="MS Mincho" w:cs="Times New Roman"/>
          <w:lang w:val="fr-FR"/>
        </w:rPr>
        <w:t>rétroactif</w:t>
      </w:r>
      <w:r w:rsidR="00467EBF" w:rsidRPr="004E13E9">
        <w:rPr>
          <w:rFonts w:eastAsia="MS Mincho" w:cs="Times New Roman"/>
          <w:lang w:val="fr-FR"/>
        </w:rPr>
        <w:t xml:space="preserve"> (c'est-à-dire qu'un plan soumis en 2026 porterait sur la campagne de pêche précédente). </w:t>
      </w:r>
      <w:r w:rsidRPr="004E13E9">
        <w:rPr>
          <w:rFonts w:eastAsia="MS Mincho" w:cs="Times New Roman"/>
          <w:lang w:val="fr-FR"/>
        </w:rPr>
        <w:t>Le Secrétariat de l’ICCAT avait élaboré un projet de modèle en concertation avec le Président et l'avait transmis aux membres de la Sous-commission 2 afin qu'ils formulent leurs observations. Le Secrétariat de l’ICCAT a reçu, dans les délais impartis, des contributions du Canada, du Japon et des États-Unis. Le Président a ensuite révisé le projet de modèle, en s'efforçant d'en tenir compte autant que possible. Il restait toutefois deux points, concernant l'intégration des réserves de prises accessoires et la pêche sportive, qui nécessitaient un examen plus approfondi.</w:t>
      </w:r>
    </w:p>
    <w:p w14:paraId="5916756F" w14:textId="0566392D" w:rsidR="002D245C" w:rsidRPr="004E13E9" w:rsidRDefault="002D245C">
      <w:pPr>
        <w:rPr>
          <w:rFonts w:eastAsia="MS Mincho" w:cs="Times New Roman"/>
          <w:lang w:val="fr-FR"/>
        </w:rPr>
      </w:pPr>
    </w:p>
    <w:p w14:paraId="1F7D6CE5" w14:textId="089F0F31" w:rsidR="0082292C" w:rsidRPr="004E13E9" w:rsidRDefault="0082292C" w:rsidP="0082292C">
      <w:pPr>
        <w:spacing w:after="160"/>
        <w:contextualSpacing/>
        <w:jc w:val="both"/>
        <w:rPr>
          <w:rFonts w:eastAsia="Yu Gothic" w:cs="Times New Roman"/>
          <w:lang w:val="fr-FR"/>
        </w:rPr>
      </w:pPr>
      <w:r w:rsidRPr="004E13E9">
        <w:rPr>
          <w:rFonts w:eastAsia="MS Mincho" w:cs="Times New Roman"/>
          <w:lang w:val="fr-FR"/>
        </w:rPr>
        <w:t xml:space="preserve">Le Président a expliqué que la section relative à la réserve pour les prises accessoires fait référence à toute prise accessoire de thon rouge par d'autres pêcheries, comme c'est le cas dans les plans de pêche pour l'Atlantique Est et la Méditerranée. Il a suggéré d'ajouter « le cas échéant » pour préciser que la description </w:t>
      </w:r>
      <w:r w:rsidRPr="004E13E9">
        <w:rPr>
          <w:rFonts w:eastAsia="MS Mincho" w:cs="Times New Roman"/>
          <w:lang w:val="fr-FR"/>
        </w:rPr>
        <w:lastRenderedPageBreak/>
        <w:t xml:space="preserve">de la réserve de prises accessoires est volontaire et non obligatoire. Les membres de la Sous-commission 2 ont approuvé la formulation proposée par le Président. </w:t>
      </w:r>
    </w:p>
    <w:p w14:paraId="29C753ED" w14:textId="77777777" w:rsidR="0082292C" w:rsidRPr="004E13E9" w:rsidRDefault="0082292C" w:rsidP="0082292C">
      <w:pPr>
        <w:spacing w:after="160"/>
        <w:contextualSpacing/>
        <w:jc w:val="both"/>
        <w:rPr>
          <w:rFonts w:eastAsia="Yu Gothic" w:cs="Times New Roman"/>
          <w:lang w:val="fr-FR"/>
        </w:rPr>
      </w:pPr>
    </w:p>
    <w:p w14:paraId="5EEB708E" w14:textId="77777777" w:rsidR="0082292C" w:rsidRPr="004E13E9" w:rsidRDefault="0082292C" w:rsidP="0082292C">
      <w:pPr>
        <w:spacing w:after="160"/>
        <w:contextualSpacing/>
        <w:jc w:val="both"/>
        <w:rPr>
          <w:rFonts w:eastAsia="Yu Gothic" w:cs="Times New Roman"/>
          <w:lang w:val="fr-FR"/>
        </w:rPr>
      </w:pPr>
      <w:r w:rsidRPr="004E13E9">
        <w:rPr>
          <w:rFonts w:eastAsia="MS Mincho" w:cs="Times New Roman"/>
          <w:lang w:val="fr-FR"/>
        </w:rPr>
        <w:t xml:space="preserve">Le Président a expliqué qu'une CPC avait estimé qu'il n'était pas nécessaire d'inclure la pêche sportive du thon rouge dans le plan, étant donné qu'il n'existait pas de pêche de ce type dans l'Atlantique Ouest. Le Président a proposé de maintenir la pêche sportive dans le modèle afin d'éviter d’interpréter à tort que la pêche sportive est exclue des plans de pêche. Les membres de la Sous-commission 2 ont approuvé la suggestion du Président. </w:t>
      </w:r>
    </w:p>
    <w:p w14:paraId="0949E00A" w14:textId="77777777" w:rsidR="0082292C" w:rsidRPr="004E13E9" w:rsidRDefault="0082292C" w:rsidP="0082292C">
      <w:pPr>
        <w:spacing w:after="160"/>
        <w:contextualSpacing/>
        <w:jc w:val="both"/>
        <w:rPr>
          <w:rFonts w:eastAsia="Yu Gothic" w:cs="Times New Roman"/>
          <w:lang w:val="fr-FR"/>
        </w:rPr>
      </w:pPr>
    </w:p>
    <w:p w14:paraId="72249B0C" w14:textId="30DD3C45" w:rsidR="0082292C" w:rsidRPr="004E13E9" w:rsidRDefault="0082292C" w:rsidP="0082292C">
      <w:pPr>
        <w:spacing w:after="160"/>
        <w:contextualSpacing/>
        <w:jc w:val="both"/>
        <w:rPr>
          <w:rFonts w:eastAsia="Yu Gothic" w:cs="Times New Roman"/>
          <w:lang w:val="fr-FR"/>
        </w:rPr>
      </w:pPr>
      <w:r w:rsidRPr="004E13E9">
        <w:rPr>
          <w:rFonts w:eastAsia="MS Mincho" w:cs="Times New Roman"/>
          <w:lang w:val="fr-FR"/>
        </w:rPr>
        <w:t>Les membres de la Sous-commission 2 ont approuvé le modèle révisé, qui figure à l'</w:t>
      </w:r>
      <w:r w:rsidRPr="004E13E9">
        <w:rPr>
          <w:rFonts w:eastAsia="MS Mincho" w:cs="Times New Roman"/>
          <w:b/>
          <w:bCs/>
          <w:lang w:val="fr-FR"/>
        </w:rPr>
        <w:t>appendice 4</w:t>
      </w:r>
      <w:r w:rsidRPr="004E13E9">
        <w:rPr>
          <w:rFonts w:eastAsia="MS Mincho" w:cs="Times New Roman"/>
          <w:lang w:val="fr-FR"/>
        </w:rPr>
        <w:t>.</w:t>
      </w:r>
      <w:r w:rsidR="003279E8" w:rsidRPr="004E13E9">
        <w:rPr>
          <w:rFonts w:eastAsia="MS Mincho" w:cs="Times New Roman"/>
          <w:lang w:val="fr-FR"/>
        </w:rPr>
        <w:t xml:space="preserve"> Ce modèle sera publié sur le site web de l’ICCAT sous la référence CP62-WBFTPlan.</w:t>
      </w:r>
    </w:p>
    <w:p w14:paraId="015D1D24" w14:textId="77777777" w:rsidR="0082292C" w:rsidRPr="004E13E9" w:rsidRDefault="0082292C" w:rsidP="0082292C">
      <w:pPr>
        <w:spacing w:after="160"/>
        <w:contextualSpacing/>
        <w:jc w:val="both"/>
        <w:rPr>
          <w:rFonts w:eastAsia="Yu Gothic" w:cs="Times New Roman"/>
          <w:lang w:val="fr-FR"/>
        </w:rPr>
      </w:pPr>
    </w:p>
    <w:p w14:paraId="117F30A5" w14:textId="62C10919" w:rsidR="0082292C" w:rsidRPr="004E13E9" w:rsidRDefault="0082292C" w:rsidP="0082292C">
      <w:pPr>
        <w:spacing w:after="160"/>
        <w:contextualSpacing/>
        <w:jc w:val="both"/>
        <w:rPr>
          <w:rFonts w:eastAsia="Yu Gothic" w:cs="Times New Roman"/>
          <w:bCs/>
          <w:i/>
          <w:iCs/>
          <w:lang w:val="fr-FR"/>
        </w:rPr>
      </w:pPr>
      <w:r w:rsidRPr="004E13E9">
        <w:rPr>
          <w:rFonts w:eastAsia="MS Mincho" w:cs="Times New Roman"/>
          <w:bCs/>
          <w:i/>
          <w:lang w:val="fr-FR"/>
        </w:rPr>
        <w:t>Lettre de la délégation des États-Unis concernant les captures récréatives de thon rouge de l'Atlantique Ouest</w:t>
      </w:r>
    </w:p>
    <w:p w14:paraId="5779E535" w14:textId="77777777" w:rsidR="0082292C" w:rsidRPr="004E13E9" w:rsidRDefault="0082292C" w:rsidP="0082292C">
      <w:pPr>
        <w:spacing w:after="160"/>
        <w:contextualSpacing/>
        <w:jc w:val="both"/>
        <w:rPr>
          <w:rFonts w:eastAsia="Yu Gothic" w:cs="Times New Roman"/>
          <w:lang w:val="fr-FR"/>
        </w:rPr>
      </w:pPr>
    </w:p>
    <w:p w14:paraId="7A5B1617" w14:textId="690ED373" w:rsidR="0082292C" w:rsidRPr="004E13E9" w:rsidRDefault="0082292C" w:rsidP="0082292C">
      <w:pPr>
        <w:spacing w:after="160"/>
        <w:contextualSpacing/>
        <w:jc w:val="both"/>
        <w:rPr>
          <w:rFonts w:eastAsia="MS Mincho" w:cs="Times New Roman"/>
          <w:lang w:val="fr-FR"/>
        </w:rPr>
      </w:pPr>
      <w:r w:rsidRPr="004E13E9">
        <w:rPr>
          <w:rFonts w:eastAsia="MS Mincho" w:cs="Times New Roman"/>
          <w:lang w:val="fr-FR"/>
        </w:rPr>
        <w:t xml:space="preserve">Le Président a présenté le document « Lettre de la délégation des États-Unis concernant les captures récréatives de thon rouge de l'Atlantique Ouest et commentaires à ce sujet » contenant une lettre de la délégation américaine, afin de faire part de son opinion selon laquelle les pêcheurs de l'Ouest ne sont pas tenus de décompter leurs prises récréatives de thon rouge de leur quota, ainsi que les commentaires reçus du Canada, de l'Union européenne, du Japon et du Royaume-Uni en réponse à cette lettre. Des déclarations écrites ont également été présentées par le Pew Charitable Trusts (Pew), </w:t>
      </w:r>
      <w:proofErr w:type="spellStart"/>
      <w:r w:rsidRPr="004E13E9">
        <w:rPr>
          <w:rFonts w:eastAsia="MS Mincho" w:cs="Times New Roman"/>
          <w:lang w:val="fr-FR"/>
        </w:rPr>
        <w:t>Sciaena</w:t>
      </w:r>
      <w:proofErr w:type="spellEnd"/>
      <w:r w:rsidRPr="004E13E9">
        <w:rPr>
          <w:rFonts w:eastAsia="MS Mincho" w:cs="Times New Roman"/>
          <w:lang w:val="fr-FR"/>
        </w:rPr>
        <w:t xml:space="preserve"> et </w:t>
      </w:r>
      <w:proofErr w:type="spellStart"/>
      <w:r w:rsidR="0083175D" w:rsidRPr="004E13E9">
        <w:rPr>
          <w:rFonts w:eastAsia="MS Mincho" w:cs="Times New Roman"/>
          <w:lang w:val="fr-FR"/>
        </w:rPr>
        <w:t>Ecology</w:t>
      </w:r>
      <w:proofErr w:type="spellEnd"/>
      <w:r w:rsidR="0083175D" w:rsidRPr="004E13E9">
        <w:rPr>
          <w:rFonts w:eastAsia="MS Mincho" w:cs="Times New Roman"/>
          <w:lang w:val="fr-FR"/>
        </w:rPr>
        <w:t xml:space="preserve"> Action Centre (EAC).</w:t>
      </w:r>
      <w:r w:rsidRPr="004E13E9">
        <w:rPr>
          <w:rFonts w:eastAsia="MS Mincho" w:cs="Times New Roman"/>
          <w:lang w:val="fr-FR"/>
        </w:rPr>
        <w:t xml:space="preserve"> </w:t>
      </w:r>
    </w:p>
    <w:p w14:paraId="136B6984" w14:textId="77777777" w:rsidR="0082292C" w:rsidRPr="004E13E9" w:rsidRDefault="0082292C" w:rsidP="0082292C">
      <w:pPr>
        <w:spacing w:after="160"/>
        <w:contextualSpacing/>
        <w:jc w:val="both"/>
        <w:rPr>
          <w:rFonts w:eastAsia="Yu Gothic" w:cs="Times New Roman"/>
          <w:lang w:val="fr-FR"/>
        </w:rPr>
      </w:pPr>
    </w:p>
    <w:p w14:paraId="7106BCC8" w14:textId="112389CA" w:rsidR="00D0554E" w:rsidRPr="004E13E9" w:rsidRDefault="0082292C" w:rsidP="00D0554E">
      <w:pPr>
        <w:spacing w:after="160"/>
        <w:contextualSpacing/>
        <w:jc w:val="both"/>
        <w:rPr>
          <w:rFonts w:eastAsia="MS Mincho" w:cs="Times New Roman"/>
          <w:lang w:val="fr-FR"/>
        </w:rPr>
      </w:pPr>
      <w:r w:rsidRPr="004E13E9">
        <w:rPr>
          <w:rFonts w:eastAsia="MS Mincho" w:cs="Times New Roman"/>
          <w:lang w:val="fr-FR"/>
        </w:rPr>
        <w:t xml:space="preserve">Les États-Unis ont fait valoir que, alors que la </w:t>
      </w:r>
      <w:hyperlink r:id="rId21" w:history="1">
        <w:r w:rsidRPr="004E13E9">
          <w:rPr>
            <w:rFonts w:eastAsia="MS Mincho" w:cs="Times New Roman"/>
            <w:color w:val="0000FF"/>
            <w:lang w:val="fr-FR"/>
          </w:rPr>
          <w:t>Rec. 25-04</w:t>
        </w:r>
      </w:hyperlink>
      <w:r w:rsidRPr="004E13E9">
        <w:rPr>
          <w:rFonts w:eastAsia="MS Mincho" w:cs="Times New Roman"/>
          <w:lang w:val="fr-FR"/>
        </w:rPr>
        <w:t>, relative à la gestion du thon rouge de l'Atlantique Est et de la Méditerranée, stipule expressément, au paragraphe 42, que « les prises mortes des pêcheries récréatives et sportives devront être décomptées du quota alloué à la CPC conformément au paragraphe</w:t>
      </w:r>
      <w:r w:rsidR="00D0554E" w:rsidRPr="004E13E9">
        <w:rPr>
          <w:rFonts w:eastAsia="MS Mincho" w:cs="Times New Roman"/>
          <w:lang w:val="fr-FR"/>
        </w:rPr>
        <w:t> </w:t>
      </w:r>
      <w:r w:rsidRPr="004E13E9">
        <w:rPr>
          <w:rFonts w:eastAsia="MS Mincho" w:cs="Times New Roman"/>
          <w:lang w:val="fr-FR"/>
        </w:rPr>
        <w:t xml:space="preserve">4 », la </w:t>
      </w:r>
      <w:hyperlink r:id="rId22" w:history="1">
        <w:r w:rsidRPr="004E13E9">
          <w:rPr>
            <w:rFonts w:eastAsia="MS Mincho" w:cs="Times New Roman"/>
            <w:i/>
            <w:iCs/>
            <w:color w:val="0000FF"/>
            <w:lang w:val="fr-FR"/>
          </w:rPr>
          <w:t>Recommandation de l’ICCAT remplaçant la Recommandation 22-10 concernant un plan de conservation et de gestion du thon rouge de l’Atlantique Ouest</w:t>
        </w:r>
        <w:r w:rsidRPr="004E13E9">
          <w:rPr>
            <w:rFonts w:eastAsia="MS Mincho" w:cs="Times New Roman"/>
            <w:color w:val="0000FF"/>
            <w:lang w:val="fr-FR"/>
          </w:rPr>
          <w:t xml:space="preserve"> (Rec. 25-05)</w:t>
        </w:r>
      </w:hyperlink>
      <w:r w:rsidRPr="004E13E9">
        <w:rPr>
          <w:rFonts w:eastAsia="MS Mincho" w:cs="Times New Roman"/>
          <w:lang w:val="fr-FR"/>
        </w:rPr>
        <w:t xml:space="preserve">, concernant la gestion du thon rouge de l'Atlantique Ouest, ne contient aucune disposition obligeant les pêcheurs de l'Ouest à faire de même. Les États-Unis ont déclaré qu'il serait juridiquement erroné de considérer que les pêcheurs de l'Ouest sont tenus de décompter leurs prises récréatives du quota en l'absence de dispositions expresses à cet effet. Les États-Unis ont également souligné qu'ils avaient consacré d'importants efforts et ressources à la collecte, à la compilation et à la déclaration à l'ICCAT des données relatives à leur pêche récréative, tout en laissant entendre que la déclaration sur la pêche récréative émanant d'autres CPC était inexistante ou, au mieux, sporadique. Les États-Unis ont souligné que les CPC ne peuvent imposer à d'autres CPC de nouvelles </w:t>
      </w:r>
      <w:r w:rsidR="00A009B9" w:rsidRPr="004E13E9">
        <w:rPr>
          <w:rFonts w:eastAsia="MS Mincho" w:cs="Times New Roman"/>
          <w:lang w:val="fr-FR"/>
        </w:rPr>
        <w:t>exigences</w:t>
      </w:r>
      <w:r w:rsidRPr="004E13E9">
        <w:rPr>
          <w:rFonts w:eastAsia="MS Mincho" w:cs="Times New Roman"/>
          <w:lang w:val="fr-FR"/>
        </w:rPr>
        <w:t xml:space="preserve"> qui n'ont pas fait l'objet de discussions et qui n'ont pas été adoptées par consensus. Les États-Unis ont toutefois laissé entendre qu'ils pourraient envisager d'ajouter une disposition à la </w:t>
      </w:r>
      <w:hyperlink r:id="rId23" w:history="1">
        <w:r w:rsidRPr="004E13E9">
          <w:rPr>
            <w:rFonts w:eastAsia="MS Mincho" w:cs="Times New Roman"/>
            <w:color w:val="0000FF"/>
            <w:lang w:val="fr-FR"/>
          </w:rPr>
          <w:t>Rec. 25-05</w:t>
        </w:r>
      </w:hyperlink>
      <w:r w:rsidRPr="004E13E9">
        <w:rPr>
          <w:rFonts w:eastAsia="MS Mincho" w:cs="Times New Roman"/>
          <w:lang w:val="fr-FR"/>
        </w:rPr>
        <w:t xml:space="preserve"> afin d'exiger des pêcheurs de l'Ouest qu'ils décomptent leurs prises récréatives du quota, mais uniquement à des conditions garantissant une plus grande équité, telles qu'une augmentation du quota des pêcheurs de l'Ouest proportionnelle à la biomasse (B) durable dans l'Atlantique Ouest et l’utilisation des meilleures données scientifiques disponibles, y compris le marquage-recapture de spécimens étroitement apparentés (CKMR).</w:t>
      </w:r>
    </w:p>
    <w:p w14:paraId="099D3310" w14:textId="77777777" w:rsidR="002D245C" w:rsidRPr="004E13E9" w:rsidRDefault="002D245C" w:rsidP="00D0554E">
      <w:pPr>
        <w:spacing w:after="160"/>
        <w:contextualSpacing/>
        <w:jc w:val="both"/>
        <w:rPr>
          <w:rFonts w:eastAsia="MS Mincho" w:cs="Times New Roman"/>
          <w:lang w:val="fr-FR"/>
        </w:rPr>
      </w:pPr>
    </w:p>
    <w:p w14:paraId="59541D39" w14:textId="39F7C329" w:rsidR="0082292C" w:rsidRPr="004E13E9" w:rsidRDefault="0082292C" w:rsidP="0082292C">
      <w:pPr>
        <w:spacing w:after="160"/>
        <w:contextualSpacing/>
        <w:jc w:val="both"/>
        <w:rPr>
          <w:rFonts w:eastAsia="Yu Gothic" w:cs="Times New Roman"/>
          <w:lang w:val="fr-FR"/>
        </w:rPr>
      </w:pPr>
      <w:r w:rsidRPr="004E13E9">
        <w:rPr>
          <w:rFonts w:eastAsia="MS Mincho" w:cs="Times New Roman"/>
          <w:lang w:val="fr-FR"/>
        </w:rPr>
        <w:t xml:space="preserve">Le Président a suggéré que, si les États-Unis estimaient que certaines CPC n'avaient pas déclaré leurs prises récréatives, elles devraient présenter les preuves pertinentes et porter cette question à l'attention du Comité d’application. Les États-Unis ont répondu en citant certains chiffres tirés du tableau des captures du SCRS, soulignant que les pêcheurs de l'Est avaient rarement déclaré leurs prises récréatives alors qu'il y a tant de bateaux de pêche récréative. </w:t>
      </w:r>
    </w:p>
    <w:p w14:paraId="0AF1F7F7" w14:textId="77777777" w:rsidR="0082292C" w:rsidRPr="004E13E9" w:rsidRDefault="0082292C" w:rsidP="0082292C">
      <w:pPr>
        <w:spacing w:after="160"/>
        <w:contextualSpacing/>
        <w:jc w:val="both"/>
        <w:rPr>
          <w:rFonts w:eastAsia="Yu Gothic" w:cs="Times New Roman"/>
          <w:lang w:val="fr-FR"/>
        </w:rPr>
      </w:pPr>
    </w:p>
    <w:p w14:paraId="7FC2738D" w14:textId="7AD80535" w:rsidR="0082292C" w:rsidRPr="004E13E9" w:rsidRDefault="0082292C" w:rsidP="0082292C">
      <w:pPr>
        <w:spacing w:after="160"/>
        <w:contextualSpacing/>
        <w:jc w:val="both"/>
        <w:rPr>
          <w:rFonts w:eastAsia="Yu Gothic" w:cs="Times New Roman"/>
          <w:lang w:val="fr-FR"/>
        </w:rPr>
      </w:pPr>
      <w:r w:rsidRPr="004E13E9">
        <w:rPr>
          <w:rFonts w:eastAsia="MS Mincho" w:cs="Times New Roman"/>
          <w:lang w:val="fr-FR"/>
        </w:rPr>
        <w:t>L'UE a déclaré que toutes les captures et toutes les mortalités devaient être pris en compte dans le quota d'une CPC. L'UE a en outre souligné que les captures récréatives de thon rouge de l'Atlantique par les États-Unis représentent une part importante des captures dans l'Atlantique Ouest. L'UE a également souligné l'importance de tenir compte de l'ensemble des mortalités et a fait remarquer que toute capture non imputée aurait un impact considérable et entraînerait une circonstance exceptionnelle pour le stock occidental, étant donné que le TAC actuel se situe à la limite de ce qui est scientifiquement envisageable</w:t>
      </w:r>
      <w:r w:rsidR="003362D7" w:rsidRPr="004E13E9">
        <w:rPr>
          <w:rFonts w:eastAsia="MS Mincho" w:cs="Times New Roman"/>
          <w:lang w:val="fr-FR"/>
        </w:rPr>
        <w:t>.</w:t>
      </w:r>
      <w:r w:rsidR="005D6582" w:rsidRPr="004E13E9">
        <w:rPr>
          <w:rFonts w:eastAsia="MS Mincho" w:cs="Times New Roman"/>
          <w:lang w:val="fr-FR"/>
        </w:rPr>
        <w:t xml:space="preserve"> </w:t>
      </w:r>
    </w:p>
    <w:p w14:paraId="61D7EA99" w14:textId="77777777" w:rsidR="0082292C" w:rsidRPr="004E13E9" w:rsidRDefault="0082292C" w:rsidP="0082292C">
      <w:pPr>
        <w:spacing w:after="160"/>
        <w:contextualSpacing/>
        <w:jc w:val="both"/>
        <w:rPr>
          <w:rFonts w:eastAsia="Yu Gothic" w:cs="Times New Roman"/>
          <w:lang w:val="fr-FR"/>
        </w:rPr>
      </w:pPr>
    </w:p>
    <w:p w14:paraId="334FCB85" w14:textId="77777777" w:rsidR="0082292C" w:rsidRPr="004E13E9" w:rsidRDefault="0082292C" w:rsidP="0082292C">
      <w:pPr>
        <w:spacing w:after="160"/>
        <w:contextualSpacing/>
        <w:jc w:val="both"/>
        <w:rPr>
          <w:rFonts w:eastAsia="Yu Gothic" w:cs="Times New Roman"/>
          <w:lang w:val="fr-FR"/>
        </w:rPr>
      </w:pPr>
      <w:r w:rsidRPr="004E13E9">
        <w:rPr>
          <w:rFonts w:eastAsia="MS Mincho" w:cs="Times New Roman"/>
          <w:lang w:val="fr-FR"/>
        </w:rPr>
        <w:t xml:space="preserve">Le Japon s'est rallié à l'avis de l'UE selon lequel toute mortalité doit être prise en compte dans le TAC, soulignant que la </w:t>
      </w:r>
      <w:bookmarkStart w:id="2" w:name="_Hlk223884340"/>
      <w:r w:rsidRPr="004E13E9">
        <w:rPr>
          <w:rFonts w:eastAsia="MS Mincho" w:cs="Times New Roman"/>
          <w:lang w:val="fr-FR"/>
        </w:rPr>
        <w:fldChar w:fldCharType="begin"/>
      </w:r>
      <w:r w:rsidRPr="004E13E9">
        <w:rPr>
          <w:rFonts w:eastAsia="MS Mincho" w:cs="Times New Roman"/>
          <w:lang w:val="fr-FR"/>
        </w:rPr>
        <w:instrText>HYPERLINK "https://iccat.int/Documents/Recs/compendiopdf-f/2025-05-f.pdf"</w:instrText>
      </w:r>
      <w:r w:rsidRPr="004E13E9">
        <w:rPr>
          <w:rFonts w:eastAsia="MS Mincho" w:cs="Times New Roman"/>
          <w:lang w:val="fr-FR"/>
        </w:rPr>
      </w:r>
      <w:r w:rsidRPr="004E13E9">
        <w:rPr>
          <w:rFonts w:eastAsia="MS Mincho" w:cs="Times New Roman"/>
          <w:lang w:val="fr-FR"/>
        </w:rPr>
        <w:fldChar w:fldCharType="separate"/>
      </w:r>
      <w:r w:rsidRPr="004E13E9">
        <w:rPr>
          <w:rFonts w:eastAsia="MS Mincho" w:cs="Times New Roman"/>
          <w:color w:val="0000FF"/>
          <w:lang w:val="fr-FR"/>
        </w:rPr>
        <w:t>Rec. 25-05</w:t>
      </w:r>
      <w:r w:rsidRPr="004E13E9">
        <w:rPr>
          <w:rFonts w:eastAsia="MS Mincho" w:cs="Times New Roman"/>
          <w:lang w:val="fr-FR"/>
        </w:rPr>
        <w:fldChar w:fldCharType="end"/>
      </w:r>
      <w:bookmarkEnd w:id="2"/>
      <w:r w:rsidRPr="004E13E9">
        <w:rPr>
          <w:rFonts w:eastAsia="MS Mincho" w:cs="Times New Roman"/>
          <w:lang w:val="fr-FR"/>
        </w:rPr>
        <w:t xml:space="preserve">stipule clairement que le TAC inclut les rejets de poissons morts. Le Japon a reconnu que la </w:t>
      </w:r>
      <w:hyperlink r:id="rId24" w:history="1">
        <w:r w:rsidRPr="004E13E9">
          <w:rPr>
            <w:rFonts w:eastAsia="MS Mincho" w:cs="Times New Roman"/>
            <w:color w:val="0000FF"/>
            <w:lang w:val="fr-FR"/>
          </w:rPr>
          <w:t>Rec. 25-05</w:t>
        </w:r>
      </w:hyperlink>
      <w:r w:rsidRPr="004E13E9">
        <w:rPr>
          <w:rFonts w:eastAsia="MS Mincho" w:cs="Times New Roman"/>
          <w:lang w:val="fr-FR"/>
        </w:rPr>
        <w:t xml:space="preserve"> ne précise pas expressément que les captures récréatives doivent être décomptées du quota d'une CPC, comme l'ont fait remarquer les États-Unis, mais a souligné qu'il n'existe </w:t>
      </w:r>
      <w:r w:rsidRPr="004E13E9">
        <w:rPr>
          <w:rFonts w:eastAsia="MS Mincho" w:cs="Times New Roman"/>
          <w:lang w:val="fr-FR"/>
        </w:rPr>
        <w:lastRenderedPageBreak/>
        <w:t>pas non plus de disposition spécifique excluant les captures récréatives du quota d'une CPC. Le Japon a également souligné que le TAC actuel est supérieur de 20 % à celui recommandé par la procédure de gestion (MP) et que toute nouvelle augmentation du volume des captures résultant du fait que les États-Unis ne déduisent pas les captures récréatives de leur quota constituerait une circonstance exceptionnelle. En ce qui concerne l'affirmation des États-Unis selon laquelle certaines CPC n'auraient pas déclaré leurs captures récréatives, le Japon a souligné qu'une telle situation constituerait une non-application et devrait être traitée comme telle. Cela ne doit pas servir de prétexte aux États-Unis pour faire de même ou pour ne pas décompter les prises récréatives de leur quota.</w:t>
      </w:r>
    </w:p>
    <w:p w14:paraId="173F824A" w14:textId="77777777" w:rsidR="0082292C" w:rsidRPr="004E13E9" w:rsidRDefault="0082292C" w:rsidP="0082292C">
      <w:pPr>
        <w:spacing w:after="160"/>
        <w:contextualSpacing/>
        <w:jc w:val="both"/>
        <w:rPr>
          <w:rFonts w:eastAsia="Yu Gothic" w:cs="Times New Roman"/>
          <w:lang w:val="fr-FR"/>
        </w:rPr>
      </w:pPr>
    </w:p>
    <w:p w14:paraId="7A76039B" w14:textId="77777777" w:rsidR="0082292C" w:rsidRPr="004E13E9" w:rsidRDefault="0082292C" w:rsidP="0082292C">
      <w:pPr>
        <w:spacing w:after="160"/>
        <w:contextualSpacing/>
        <w:jc w:val="both"/>
        <w:rPr>
          <w:rFonts w:eastAsia="Yu Gothic" w:cs="Times New Roman"/>
          <w:lang w:val="fr-FR"/>
        </w:rPr>
      </w:pPr>
      <w:r w:rsidRPr="004E13E9">
        <w:rPr>
          <w:rFonts w:eastAsia="MS Mincho" w:cs="Times New Roman"/>
          <w:lang w:val="fr-FR"/>
        </w:rPr>
        <w:t xml:space="preserve">Le Royaume-Uni a déclaré que, selon son interprétation de la </w:t>
      </w:r>
      <w:hyperlink r:id="rId25" w:history="1">
        <w:r w:rsidRPr="004E13E9">
          <w:rPr>
            <w:rFonts w:eastAsia="MS Mincho" w:cs="Times New Roman"/>
            <w:color w:val="0000FF"/>
            <w:lang w:val="fr-FR"/>
          </w:rPr>
          <w:t>Rec. 25-05</w:t>
        </w:r>
      </w:hyperlink>
      <w:r w:rsidRPr="004E13E9">
        <w:rPr>
          <w:rFonts w:eastAsia="MS Mincho" w:cs="Times New Roman"/>
          <w:lang w:val="fr-FR"/>
        </w:rPr>
        <w:t xml:space="preserve">, toutes les mortalités liées à la pêche devaient être déclarées et imputées sur les quotas nationaux. En outre, toute exclusion des mortalités liées à la pêche ou de certaines activités de pêche spécifiques des exigences et des Recommandations de l’ICCAT devrait être expressément mentionnée dans ces Recommandations. De plus, toutes les pêcheries doivent être gérées dans le cadre des quotas nationaux et les informations pertinentes doivent figurer dans les plans de pêche que doivent présenter les CPC. </w:t>
      </w:r>
    </w:p>
    <w:p w14:paraId="1C755064" w14:textId="77777777" w:rsidR="0082292C" w:rsidRPr="004E13E9" w:rsidRDefault="0082292C" w:rsidP="0082292C">
      <w:pPr>
        <w:spacing w:after="160"/>
        <w:contextualSpacing/>
        <w:jc w:val="both"/>
        <w:rPr>
          <w:rFonts w:eastAsia="Yu Gothic" w:cs="Times New Roman"/>
          <w:lang w:val="fr-FR"/>
        </w:rPr>
      </w:pPr>
    </w:p>
    <w:p w14:paraId="5B99C233" w14:textId="77777777" w:rsidR="0082292C" w:rsidRPr="004E13E9" w:rsidRDefault="0082292C" w:rsidP="0082292C">
      <w:pPr>
        <w:spacing w:after="160"/>
        <w:contextualSpacing/>
        <w:jc w:val="both"/>
        <w:rPr>
          <w:rFonts w:eastAsia="Yu Gothic" w:cs="Times New Roman"/>
          <w:lang w:val="fr-FR"/>
        </w:rPr>
      </w:pPr>
      <w:r w:rsidRPr="004E13E9">
        <w:rPr>
          <w:rFonts w:eastAsia="MS Mincho" w:cs="Times New Roman"/>
          <w:lang w:val="fr-FR"/>
        </w:rPr>
        <w:t>Le Canada a indiqué qu'il avait fait part de son point de vue dans sa réponse écrite adressée aux États-Unis et qu'il avait choisi de ne pas réitérer sa position oralement.</w:t>
      </w:r>
    </w:p>
    <w:p w14:paraId="34BC0F5F" w14:textId="77777777" w:rsidR="0082292C" w:rsidRPr="004E13E9" w:rsidRDefault="0082292C" w:rsidP="0082292C">
      <w:pPr>
        <w:spacing w:after="160"/>
        <w:contextualSpacing/>
        <w:jc w:val="both"/>
        <w:rPr>
          <w:rFonts w:eastAsia="Yu Gothic" w:cs="Times New Roman"/>
          <w:lang w:val="fr-FR"/>
        </w:rPr>
      </w:pPr>
    </w:p>
    <w:p w14:paraId="2DA6781E" w14:textId="77777777" w:rsidR="0082292C" w:rsidRPr="004E13E9" w:rsidRDefault="0082292C" w:rsidP="0082292C">
      <w:pPr>
        <w:spacing w:after="160"/>
        <w:contextualSpacing/>
        <w:jc w:val="both"/>
        <w:rPr>
          <w:rFonts w:eastAsia="Yu Gothic" w:cs="Times New Roman"/>
          <w:lang w:val="fr-FR"/>
        </w:rPr>
      </w:pPr>
      <w:r w:rsidRPr="004E13E9">
        <w:rPr>
          <w:rFonts w:eastAsia="MS Mincho" w:cs="Times New Roman"/>
          <w:lang w:val="fr-FR"/>
        </w:rPr>
        <w:t xml:space="preserve">Le WWF a apporté son soutien aux déclarations écrites présentées par le Canada, l'Union européenne, le Japon et le Royaume-Uni. Le WWF a souligné que la MP sur laquelle repose la </w:t>
      </w:r>
      <w:hyperlink r:id="rId26" w:history="1">
        <w:r w:rsidRPr="004E13E9">
          <w:rPr>
            <w:rFonts w:eastAsia="MS Mincho" w:cs="Times New Roman"/>
            <w:color w:val="0000FF"/>
            <w:lang w:val="fr-FR"/>
          </w:rPr>
          <w:t>Rec. 25-05</w:t>
        </w:r>
      </w:hyperlink>
      <w:r w:rsidRPr="004E13E9">
        <w:rPr>
          <w:rFonts w:eastAsia="MS Mincho" w:cs="Times New Roman"/>
          <w:color w:val="0000FF"/>
          <w:lang w:val="fr-FR"/>
        </w:rPr>
        <w:t xml:space="preserve"> </w:t>
      </w:r>
      <w:r w:rsidRPr="004E13E9">
        <w:rPr>
          <w:rFonts w:eastAsia="MS Mincho" w:cs="Times New Roman"/>
          <w:lang w:val="fr-FR"/>
        </w:rPr>
        <w:t>a été élaborée dans le cadre d'un processus d’évaluation de stratégie de gestion (MSE) qui part explicitement du principe que la mortalité totale des poissons englobe toutes les sources de ponctions, y compris les captures débarquées et rejetées issues de la pêche commerciale et récréative. Le fait de ne pas déduire la mortalité liée à la pêche récréative du quota ferait augmenter la mortalité totale des poissons au-delà des niveaux postulés par la MP, d'autant plus que les captures récréatives des États-Unis représentent une part importante du TAC global de la zone occidentale, et conduirait à une situation qui sortirait du cadre scientifique adopté par la Commission. Cela risquerait de déclencher des circonstances exceptionnelles.</w:t>
      </w:r>
    </w:p>
    <w:p w14:paraId="665AF11C" w14:textId="77777777" w:rsidR="0082292C" w:rsidRPr="004E13E9" w:rsidRDefault="0082292C" w:rsidP="0082292C">
      <w:pPr>
        <w:spacing w:after="160"/>
        <w:contextualSpacing/>
        <w:jc w:val="both"/>
        <w:rPr>
          <w:rFonts w:eastAsia="Yu Gothic" w:cs="Times New Roman"/>
          <w:lang w:val="fr-FR"/>
        </w:rPr>
      </w:pPr>
    </w:p>
    <w:p w14:paraId="49E0B3AF" w14:textId="77777777" w:rsidR="0082292C" w:rsidRPr="004E13E9" w:rsidRDefault="0082292C" w:rsidP="0082292C">
      <w:pPr>
        <w:spacing w:after="160"/>
        <w:contextualSpacing/>
        <w:jc w:val="both"/>
        <w:rPr>
          <w:rFonts w:eastAsia="Yu Gothic" w:cs="Times New Roman"/>
          <w:lang w:val="fr-FR"/>
        </w:rPr>
      </w:pPr>
      <w:r w:rsidRPr="004E13E9">
        <w:rPr>
          <w:rFonts w:eastAsia="MS Mincho" w:cs="Times New Roman"/>
          <w:lang w:val="fr-FR"/>
        </w:rPr>
        <w:t xml:space="preserve">Pew a convenu que la </w:t>
      </w:r>
      <w:hyperlink r:id="rId27" w:history="1">
        <w:r w:rsidRPr="004E13E9">
          <w:rPr>
            <w:rFonts w:eastAsia="MS Mincho" w:cs="Times New Roman"/>
            <w:color w:val="0000FF"/>
            <w:lang w:val="fr-FR"/>
          </w:rPr>
          <w:t>Rec. 25-05</w:t>
        </w:r>
      </w:hyperlink>
      <w:r w:rsidRPr="004E13E9">
        <w:rPr>
          <w:rFonts w:eastAsia="MS Mincho" w:cs="Times New Roman"/>
          <w:color w:val="0000FF"/>
          <w:lang w:val="fr-FR"/>
        </w:rPr>
        <w:t xml:space="preserve"> </w:t>
      </w:r>
      <w:r w:rsidRPr="004E13E9">
        <w:rPr>
          <w:rFonts w:eastAsia="MS Mincho" w:cs="Times New Roman"/>
          <w:lang w:val="fr-FR"/>
        </w:rPr>
        <w:t xml:space="preserve">s'applique à toutes les captures, y compris celles réalisées dans le cadre de la pêche récréative. Le fait d'exclure les captures récréatives pourrait </w:t>
      </w:r>
      <w:proofErr w:type="gramStart"/>
      <w:r w:rsidRPr="004E13E9">
        <w:rPr>
          <w:rFonts w:eastAsia="MS Mincho" w:cs="Times New Roman"/>
          <w:lang w:val="fr-FR"/>
        </w:rPr>
        <w:t>avoir</w:t>
      </w:r>
      <w:proofErr w:type="gramEnd"/>
      <w:r w:rsidRPr="004E13E9">
        <w:rPr>
          <w:rFonts w:eastAsia="MS Mincho" w:cs="Times New Roman"/>
          <w:lang w:val="fr-FR"/>
        </w:rPr>
        <w:t xml:space="preserve"> des répercussions négatives sur l'ensemble des pêcheries et </w:t>
      </w:r>
      <w:proofErr w:type="gramStart"/>
      <w:r w:rsidRPr="004E13E9">
        <w:rPr>
          <w:rFonts w:eastAsia="MS Mincho" w:cs="Times New Roman"/>
          <w:lang w:val="fr-FR"/>
        </w:rPr>
        <w:t>avoir</w:t>
      </w:r>
      <w:proofErr w:type="gramEnd"/>
      <w:r w:rsidRPr="004E13E9">
        <w:rPr>
          <w:rFonts w:eastAsia="MS Mincho" w:cs="Times New Roman"/>
          <w:lang w:val="fr-FR"/>
        </w:rPr>
        <w:t xml:space="preserve"> des conséquences sur la réglementation et les marchés concernés. Pew a déclaré que le TAC basé sur la MP inclut clairement les captures récréatives américaines ; par conséquent, toute tentative visant à exclure ces captures entraînerait une réduction du TAC occidental, ce qui se traduirait également par une diminution des allocations aux autres pêcheurs de l’Ouest. Pew a exhorté les CPC à réaffirmer que le TAC prévu dans la </w:t>
      </w:r>
      <w:hyperlink r:id="rId28" w:history="1">
        <w:r w:rsidRPr="004E13E9">
          <w:rPr>
            <w:rFonts w:eastAsia="MS Mincho" w:cs="Times New Roman"/>
            <w:color w:val="0000FF"/>
            <w:lang w:val="fr-FR"/>
          </w:rPr>
          <w:t>Rec. 25-05</w:t>
        </w:r>
      </w:hyperlink>
      <w:r w:rsidRPr="004E13E9">
        <w:rPr>
          <w:rFonts w:eastAsia="MS Mincho" w:cs="Times New Roman"/>
          <w:lang w:val="fr-FR"/>
        </w:rPr>
        <w:t xml:space="preserve"> s'applique à tous les thons rouges capturés dans l'Atlantique Ouest, y compris les captures récréatives de toutes les Parties, y compris les États-Unis.</w:t>
      </w:r>
    </w:p>
    <w:p w14:paraId="5A770D57" w14:textId="6EBCB21E" w:rsidR="00D0554E" w:rsidRPr="004E13E9" w:rsidRDefault="00D0554E">
      <w:pPr>
        <w:rPr>
          <w:rFonts w:eastAsia="MS Mincho" w:cs="Times New Roman"/>
          <w:lang w:val="fr-FR"/>
        </w:rPr>
      </w:pPr>
    </w:p>
    <w:p w14:paraId="3A4C284E" w14:textId="0A758B8B" w:rsidR="0082292C" w:rsidRPr="004E13E9" w:rsidRDefault="0082292C" w:rsidP="0082292C">
      <w:pPr>
        <w:spacing w:after="160"/>
        <w:contextualSpacing/>
        <w:jc w:val="both"/>
        <w:rPr>
          <w:rFonts w:eastAsia="Yu Gothic" w:cs="Times New Roman"/>
          <w:lang w:val="fr-FR"/>
        </w:rPr>
      </w:pPr>
      <w:r w:rsidRPr="004E13E9">
        <w:rPr>
          <w:rFonts w:eastAsia="MS Mincho" w:cs="Times New Roman"/>
          <w:lang w:val="fr-FR"/>
        </w:rPr>
        <w:t>En réponse à une demande d'éclaircissements, le Président du SCRS, le Dr Craig Brown, a confirmé que le TAC recommandé, calculé au moyen de la MP, reposait sur des niveaux de capture incluant les prises récréatives américaines.</w:t>
      </w:r>
    </w:p>
    <w:p w14:paraId="16B318D9" w14:textId="77777777" w:rsidR="0082292C" w:rsidRPr="004E13E9" w:rsidRDefault="0082292C" w:rsidP="0082292C">
      <w:pPr>
        <w:spacing w:after="160"/>
        <w:contextualSpacing/>
        <w:jc w:val="both"/>
        <w:rPr>
          <w:rFonts w:eastAsia="Yu Gothic" w:cs="Times New Roman"/>
          <w:lang w:val="fr-FR"/>
        </w:rPr>
      </w:pPr>
    </w:p>
    <w:p w14:paraId="6FCCEE82" w14:textId="078AEDAC" w:rsidR="0082292C" w:rsidRPr="004E13E9" w:rsidRDefault="0082292C" w:rsidP="0082292C">
      <w:pPr>
        <w:spacing w:after="160"/>
        <w:contextualSpacing/>
        <w:jc w:val="both"/>
        <w:rPr>
          <w:rFonts w:eastAsia="Yu Gothic" w:cs="Times New Roman"/>
          <w:lang w:val="fr-FR"/>
        </w:rPr>
      </w:pPr>
      <w:r w:rsidRPr="004E13E9">
        <w:rPr>
          <w:rFonts w:eastAsia="MS Mincho" w:cs="Times New Roman"/>
          <w:lang w:val="fr-FR"/>
        </w:rPr>
        <w:t xml:space="preserve">Le Président </w:t>
      </w:r>
      <w:r w:rsidR="00EA0B6B" w:rsidRPr="004E13E9">
        <w:rPr>
          <w:rFonts w:eastAsia="MS Mincho" w:cs="Times New Roman"/>
          <w:lang w:val="fr-FR"/>
        </w:rPr>
        <w:t xml:space="preserve">de la Sous-commission 2 </w:t>
      </w:r>
      <w:r w:rsidRPr="004E13E9">
        <w:rPr>
          <w:rFonts w:eastAsia="MS Mincho" w:cs="Times New Roman"/>
          <w:lang w:val="fr-FR"/>
        </w:rPr>
        <w:t xml:space="preserve">a noté que les États-Unis avaient indiqué dans leur lettre qu'ils ne décompteraient pas leurs prises récréatives de leur quota actuel à compter du 1er janvier 2026. Le Président a demandé si les États-Unis avaient déjà modifié la réglementation nationale applicable. Les États-Unis ont précisé qu'ils étaient </w:t>
      </w:r>
      <w:r w:rsidR="0023228C" w:rsidRPr="004E13E9">
        <w:rPr>
          <w:rFonts w:eastAsia="MS Mincho" w:cs="Times New Roman"/>
          <w:lang w:val="fr-FR"/>
        </w:rPr>
        <w:t xml:space="preserve">encore </w:t>
      </w:r>
      <w:r w:rsidRPr="004E13E9">
        <w:rPr>
          <w:rFonts w:eastAsia="MS Mincho" w:cs="Times New Roman"/>
          <w:lang w:val="fr-FR"/>
        </w:rPr>
        <w:t xml:space="preserve">en train </w:t>
      </w:r>
      <w:r w:rsidR="00DE3219" w:rsidRPr="004E13E9">
        <w:rPr>
          <w:rFonts w:eastAsia="MS Mincho" w:cs="Times New Roman"/>
          <w:lang w:val="fr-FR"/>
        </w:rPr>
        <w:t>d</w:t>
      </w:r>
      <w:r w:rsidR="00F26104" w:rsidRPr="004E13E9">
        <w:rPr>
          <w:rFonts w:eastAsia="MS Mincho" w:cs="Times New Roman"/>
          <w:lang w:val="fr-FR"/>
        </w:rPr>
        <w:t>’examiner toute modification réglementaire pertinente.</w:t>
      </w:r>
    </w:p>
    <w:p w14:paraId="4405B568" w14:textId="1E9C1A66" w:rsidR="00EA0B6B" w:rsidRPr="004E13E9" w:rsidRDefault="00EA0B6B">
      <w:pPr>
        <w:rPr>
          <w:rFonts w:eastAsia="MS Mincho" w:cs="Times New Roman"/>
          <w:lang w:val="fr-FR"/>
        </w:rPr>
      </w:pPr>
    </w:p>
    <w:p w14:paraId="6A7EA0AC" w14:textId="225F7B30" w:rsidR="0082292C" w:rsidRPr="004E13E9" w:rsidRDefault="0082292C" w:rsidP="0082292C">
      <w:pPr>
        <w:spacing w:after="160"/>
        <w:contextualSpacing/>
        <w:jc w:val="both"/>
        <w:rPr>
          <w:rFonts w:eastAsia="Yu Gothic" w:cs="Times New Roman"/>
          <w:lang w:val="fr-FR"/>
        </w:rPr>
      </w:pPr>
      <w:r w:rsidRPr="004E13E9">
        <w:rPr>
          <w:rFonts w:eastAsia="MS Mincho" w:cs="Times New Roman"/>
          <w:lang w:val="fr-FR"/>
        </w:rPr>
        <w:t>Les membres de la Sous-commission 2 ont poursuivi leurs discussions sur la survenance éventuelle de circonstances exceptionnelles dans le cadre de leurs délibérations au titre du point 8 de l'ordre du jour (BFT MP/MSE).</w:t>
      </w:r>
    </w:p>
    <w:p w14:paraId="6828CA77" w14:textId="77777777" w:rsidR="00C712A4" w:rsidRDefault="00C712A4" w:rsidP="00C712A4">
      <w:pPr>
        <w:rPr>
          <w:rFonts w:eastAsia="MS Mincho" w:cs="Times New Roman"/>
          <w:b/>
          <w:lang w:val="fr-FR"/>
        </w:rPr>
      </w:pPr>
    </w:p>
    <w:p w14:paraId="2203A6EC" w14:textId="77777777" w:rsidR="00C712A4" w:rsidRDefault="00C712A4" w:rsidP="00C712A4">
      <w:pPr>
        <w:rPr>
          <w:rFonts w:eastAsia="MS Mincho" w:cs="Times New Roman"/>
          <w:b/>
          <w:lang w:val="fr-FR"/>
        </w:rPr>
      </w:pPr>
    </w:p>
    <w:p w14:paraId="0044CCCC" w14:textId="7FEC2991" w:rsidR="0082292C" w:rsidRPr="00C712A4" w:rsidRDefault="00D0554E" w:rsidP="00C712A4">
      <w:pPr>
        <w:rPr>
          <w:rFonts w:eastAsia="MS Mincho" w:cs="Times New Roman"/>
          <w:b/>
          <w:lang w:val="fr-FR"/>
        </w:rPr>
      </w:pPr>
      <w:r w:rsidRPr="004E13E9">
        <w:rPr>
          <w:rFonts w:eastAsia="MS Mincho" w:cs="Times New Roman"/>
          <w:b/>
          <w:lang w:val="fr-FR"/>
        </w:rPr>
        <w:t>5.</w:t>
      </w:r>
      <w:r w:rsidRPr="004E13E9">
        <w:rPr>
          <w:rFonts w:eastAsia="MS Mincho" w:cs="Times New Roman"/>
          <w:b/>
          <w:lang w:val="fr-FR"/>
        </w:rPr>
        <w:tab/>
      </w:r>
      <w:r w:rsidR="0082292C" w:rsidRPr="004E13E9">
        <w:rPr>
          <w:rFonts w:eastAsia="MS Mincho" w:cs="Times New Roman"/>
          <w:b/>
          <w:lang w:val="fr-FR"/>
        </w:rPr>
        <w:t xml:space="preserve">Détermination des mesures à prendre en ce qui concerne les plans présentés au point 4 </w:t>
      </w:r>
    </w:p>
    <w:p w14:paraId="6A715AFD" w14:textId="77777777" w:rsidR="0082292C" w:rsidRPr="004E13E9" w:rsidRDefault="0082292C" w:rsidP="0082292C">
      <w:pPr>
        <w:jc w:val="both"/>
        <w:rPr>
          <w:rFonts w:eastAsia="Yu Gothic" w:cs="Times New Roman"/>
          <w:lang w:val="fr-FR"/>
        </w:rPr>
      </w:pPr>
    </w:p>
    <w:p w14:paraId="19BC948D" w14:textId="77777777" w:rsidR="0082292C" w:rsidRPr="004E13E9" w:rsidRDefault="0082292C" w:rsidP="0082292C">
      <w:pPr>
        <w:jc w:val="both"/>
        <w:rPr>
          <w:rFonts w:eastAsia="Yu Gothic" w:cs="Times New Roman"/>
          <w:lang w:val="fr-FR"/>
        </w:rPr>
      </w:pPr>
      <w:r w:rsidRPr="004E13E9">
        <w:rPr>
          <w:rFonts w:eastAsia="MS Mincho" w:cs="Times New Roman"/>
          <w:lang w:val="fr-FR"/>
        </w:rPr>
        <w:t>Les mesures à prendre concernant les plans de pêche des CPC ont été examinées dans le cadre de l'examen de ces plans par la Sous-commission 2, au titre du point 4.1.</w:t>
      </w:r>
    </w:p>
    <w:p w14:paraId="729B91A7" w14:textId="2140F459" w:rsidR="0082292C" w:rsidRDefault="0082292C" w:rsidP="0082292C">
      <w:pPr>
        <w:jc w:val="both"/>
        <w:rPr>
          <w:rFonts w:eastAsia="Yu Gothic" w:cs="Times New Roman"/>
          <w:lang w:val="fr-FR"/>
        </w:rPr>
      </w:pPr>
    </w:p>
    <w:p w14:paraId="6372F320" w14:textId="77777777" w:rsidR="00C712A4" w:rsidRPr="004E13E9" w:rsidRDefault="00C712A4" w:rsidP="0082292C">
      <w:pPr>
        <w:jc w:val="both"/>
        <w:rPr>
          <w:rFonts w:eastAsia="Yu Gothic" w:cs="Times New Roman"/>
          <w:lang w:val="fr-FR"/>
        </w:rPr>
      </w:pPr>
    </w:p>
    <w:p w14:paraId="552FA8DB" w14:textId="77777777" w:rsidR="0082292C" w:rsidRPr="004E13E9" w:rsidRDefault="0082292C" w:rsidP="0082292C">
      <w:pPr>
        <w:jc w:val="both"/>
        <w:rPr>
          <w:rFonts w:eastAsia="Yu Gothic" w:cs="Times New Roman"/>
          <w:lang w:val="fr-FR"/>
        </w:rPr>
      </w:pPr>
    </w:p>
    <w:p w14:paraId="206DB6B2" w14:textId="2721CCE6" w:rsidR="0082292C" w:rsidRPr="004E13E9" w:rsidRDefault="00D0554E" w:rsidP="00D0554E">
      <w:pPr>
        <w:spacing w:after="160" w:line="254" w:lineRule="auto"/>
        <w:ind w:left="426" w:hanging="426"/>
        <w:contextualSpacing/>
        <w:jc w:val="both"/>
        <w:rPr>
          <w:rFonts w:eastAsia="Yu Gothic" w:cs="Times New Roman"/>
          <w:b/>
          <w:bCs/>
          <w:lang w:val="fr-FR"/>
        </w:rPr>
      </w:pPr>
      <w:r w:rsidRPr="004E13E9">
        <w:rPr>
          <w:rFonts w:eastAsia="MS Mincho" w:cs="Times New Roman"/>
          <w:b/>
          <w:lang w:val="fr-FR"/>
        </w:rPr>
        <w:lastRenderedPageBreak/>
        <w:t>6.</w:t>
      </w:r>
      <w:r w:rsidRPr="004E13E9">
        <w:rPr>
          <w:rFonts w:eastAsia="MS Mincho" w:cs="Times New Roman"/>
          <w:b/>
          <w:lang w:val="fr-FR"/>
        </w:rPr>
        <w:tab/>
      </w:r>
      <w:r w:rsidR="0082292C" w:rsidRPr="004E13E9">
        <w:rPr>
          <w:rFonts w:eastAsia="MS Mincho" w:cs="Times New Roman"/>
          <w:b/>
          <w:lang w:val="fr-FR"/>
        </w:rPr>
        <w:t>Examen de toute mise à jour relative aux programmes pilotes en cours</w:t>
      </w:r>
    </w:p>
    <w:p w14:paraId="2C069C0A" w14:textId="77777777" w:rsidR="0082292C" w:rsidRPr="004E13E9" w:rsidRDefault="0082292C" w:rsidP="0082292C">
      <w:pPr>
        <w:tabs>
          <w:tab w:val="left" w:pos="426"/>
        </w:tabs>
        <w:jc w:val="both"/>
        <w:rPr>
          <w:rFonts w:eastAsia="Yu Gothic" w:cs="Times New Roman"/>
          <w:b/>
          <w:bCs/>
          <w:lang w:val="fr-FR"/>
        </w:rPr>
      </w:pPr>
    </w:p>
    <w:p w14:paraId="149CE927" w14:textId="77777777" w:rsidR="0082292C" w:rsidRPr="004E13E9" w:rsidRDefault="0082292C" w:rsidP="0082292C">
      <w:pPr>
        <w:jc w:val="both"/>
        <w:rPr>
          <w:rFonts w:eastAsia="Yu Gothic" w:cs="Times New Roman"/>
          <w:b/>
          <w:bCs/>
          <w:i/>
          <w:iCs/>
          <w:lang w:val="fr-FR"/>
        </w:rPr>
      </w:pPr>
      <w:r w:rsidRPr="004E13E9">
        <w:rPr>
          <w:rFonts w:eastAsia="MS Mincho" w:cs="Times New Roman"/>
          <w:b/>
          <w:i/>
          <w:lang w:val="fr-FR"/>
        </w:rPr>
        <w:t>6.1 Élevage avec des alevins éclos artificiellement</w:t>
      </w:r>
    </w:p>
    <w:p w14:paraId="62A93583" w14:textId="77777777" w:rsidR="0082292C" w:rsidRPr="004E13E9" w:rsidRDefault="0082292C" w:rsidP="0082292C">
      <w:pPr>
        <w:jc w:val="both"/>
        <w:rPr>
          <w:rFonts w:eastAsia="Yu Gothic" w:cs="Times New Roman"/>
          <w:i/>
          <w:iCs/>
          <w:lang w:val="fr-FR"/>
        </w:rPr>
      </w:pPr>
    </w:p>
    <w:p w14:paraId="1076D336" w14:textId="0F739DD3" w:rsidR="0082292C" w:rsidRPr="004E13E9" w:rsidRDefault="0082292C" w:rsidP="0082292C">
      <w:pPr>
        <w:jc w:val="both"/>
        <w:rPr>
          <w:rFonts w:eastAsia="Yu Gothic" w:cs="Times New Roman"/>
          <w:lang w:val="fr-FR"/>
        </w:rPr>
      </w:pPr>
      <w:r w:rsidRPr="004E13E9">
        <w:rPr>
          <w:rFonts w:eastAsia="MS Mincho" w:cs="Times New Roman"/>
          <w:lang w:val="fr-FR"/>
        </w:rPr>
        <w:t>L'Égypte a présenté ses projets en matière d'aquaculture dans le cadre de son plan global de pêche, au titre du point 4 de l'ordre du jour. Aucune autre information n'a été présentée.</w:t>
      </w:r>
      <w:r w:rsidR="00377102" w:rsidRPr="004E13E9">
        <w:rPr>
          <w:rFonts w:eastAsia="MS Mincho" w:cs="Times New Roman"/>
          <w:lang w:val="fr-FR"/>
        </w:rPr>
        <w:t xml:space="preserve"> Interrogée sur ses intentions visant à proposer les modifications nécessaires pour mettre à jour le système eBCD en conséquence afin de </w:t>
      </w:r>
      <w:r w:rsidR="00D87915" w:rsidRPr="004E13E9">
        <w:rPr>
          <w:rFonts w:eastAsia="MS Mincho" w:cs="Times New Roman"/>
          <w:lang w:val="fr-FR"/>
        </w:rPr>
        <w:t>traiter</w:t>
      </w:r>
      <w:r w:rsidR="00377102" w:rsidRPr="004E13E9">
        <w:rPr>
          <w:rFonts w:eastAsia="MS Mincho" w:cs="Times New Roman"/>
          <w:lang w:val="fr-FR"/>
        </w:rPr>
        <w:t xml:space="preserve"> cette activité, l'Égypte a confirmé qu'elle actualiserait sa proposition précédente et la soumettrait à nouveau pour examen lors de la réunion du </w:t>
      </w:r>
      <w:r w:rsidR="001C76E2" w:rsidRPr="004E13E9">
        <w:rPr>
          <w:rFonts w:eastAsia="MS Mincho" w:cs="Times New Roman"/>
          <w:lang w:val="fr-FR"/>
        </w:rPr>
        <w:t xml:space="preserve">Groupe </w:t>
      </w:r>
      <w:r w:rsidR="00377102" w:rsidRPr="004E13E9">
        <w:rPr>
          <w:rFonts w:eastAsia="MS Mincho" w:cs="Times New Roman"/>
          <w:lang w:val="fr-FR"/>
        </w:rPr>
        <w:t>de travail IMM de 2026.</w:t>
      </w:r>
    </w:p>
    <w:p w14:paraId="39917252" w14:textId="77777777" w:rsidR="0082292C" w:rsidRPr="004E13E9" w:rsidRDefault="0082292C" w:rsidP="0082292C">
      <w:pPr>
        <w:jc w:val="both"/>
        <w:rPr>
          <w:rFonts w:eastAsia="Yu Gothic" w:cs="Times New Roman"/>
          <w:lang w:val="fr-FR"/>
        </w:rPr>
      </w:pPr>
    </w:p>
    <w:p w14:paraId="4CFE1764" w14:textId="77777777" w:rsidR="0082292C" w:rsidRPr="004E13E9" w:rsidRDefault="0082292C" w:rsidP="0082292C">
      <w:pPr>
        <w:jc w:val="both"/>
        <w:rPr>
          <w:rFonts w:eastAsia="Yu Gothic" w:cs="Times New Roman"/>
          <w:b/>
          <w:bCs/>
          <w:i/>
          <w:iCs/>
          <w:lang w:val="fr-FR"/>
        </w:rPr>
      </w:pPr>
      <w:r w:rsidRPr="004E13E9">
        <w:rPr>
          <w:rFonts w:eastAsia="MS Mincho" w:cs="Times New Roman"/>
          <w:b/>
          <w:i/>
          <w:lang w:val="fr-FR"/>
        </w:rPr>
        <w:t>6.2 Taux de croissance</w:t>
      </w:r>
    </w:p>
    <w:p w14:paraId="4AD426AD" w14:textId="77777777" w:rsidR="0082292C" w:rsidRPr="004E13E9" w:rsidRDefault="0082292C" w:rsidP="0082292C">
      <w:pPr>
        <w:shd w:val="clear" w:color="auto" w:fill="FFFFFF"/>
        <w:jc w:val="both"/>
        <w:rPr>
          <w:rFonts w:eastAsia="Times New Roman" w:cs="Times New Roman"/>
          <w:lang w:val="fr-FR" w:eastAsia="fr-FR"/>
        </w:rPr>
      </w:pPr>
    </w:p>
    <w:p w14:paraId="47DCA266" w14:textId="77777777" w:rsidR="0082292C" w:rsidRPr="004E13E9" w:rsidRDefault="0082292C" w:rsidP="0082292C">
      <w:pPr>
        <w:shd w:val="clear" w:color="auto" w:fill="FFFFFF"/>
        <w:jc w:val="both"/>
        <w:rPr>
          <w:rFonts w:eastAsia="Yu Gothic" w:cs="Times New Roman"/>
          <w:lang w:val="fr-FR"/>
        </w:rPr>
      </w:pPr>
      <w:r w:rsidRPr="004E13E9">
        <w:rPr>
          <w:rFonts w:eastAsia="MS Mincho" w:cs="Times New Roman"/>
          <w:lang w:val="fr-FR"/>
        </w:rPr>
        <w:t xml:space="preserve">Le Japon a présenté ses mesures et ses propositions concernant les taux de croissance et le suivi, sur la base de l'analyse et des recommandations du SCRS. Le Japon a rappelé que, lors de sa réunion plénière de 2025, le SCRS avait réaffirmé que l'intervalle de confiance (IC) supérieur de 75 %, correspondant au 87,5e centile, constituait un critère d’application plus approprié, et qu'un IC de 95 % tenait compte d'une croissance individuelle irréaliste et ne devait donc pas être utilisé. En outre, le SCRS a réaffirmé que la mesure de la taille obtenue avec l'intelligence artificielle (IA) est réalisable lors du premier transfert, qu'elle réduit considérablement le temps de traitement et augmente la taille de l'échantillon, et que des caméras stéréoscopiques devraient également être utilisées lors de ce premier transfert. Le SCRS a donc recommandé de passer à un échantillonnage à 100 % avec l'IA et d'utiliser un IC de 75 % comme indicateur de croissance atypique. </w:t>
      </w:r>
    </w:p>
    <w:p w14:paraId="764EFDF1" w14:textId="77777777" w:rsidR="0082292C" w:rsidRPr="004E13E9" w:rsidRDefault="0082292C" w:rsidP="0082292C">
      <w:pPr>
        <w:shd w:val="clear" w:color="auto" w:fill="FFFFFF"/>
        <w:jc w:val="both"/>
        <w:rPr>
          <w:rFonts w:eastAsia="Yu Gothic" w:cs="Times New Roman"/>
          <w:lang w:val="fr-FR"/>
        </w:rPr>
      </w:pPr>
    </w:p>
    <w:p w14:paraId="4F70ED0D" w14:textId="77777777" w:rsidR="0082292C" w:rsidRPr="004E13E9" w:rsidRDefault="0082292C" w:rsidP="0082292C">
      <w:pPr>
        <w:shd w:val="clear" w:color="auto" w:fill="FFFFFF"/>
        <w:jc w:val="both"/>
        <w:rPr>
          <w:rFonts w:eastAsia="Yu Gothic" w:cs="Times New Roman"/>
          <w:lang w:val="fr-FR"/>
        </w:rPr>
      </w:pPr>
      <w:r w:rsidRPr="004E13E9">
        <w:rPr>
          <w:rFonts w:eastAsia="MS Mincho" w:cs="Times New Roman"/>
          <w:lang w:val="fr-FR"/>
        </w:rPr>
        <w:t>Le Japon a déclaré que, sur la base de l'analyse et des recommandations du SCRS, il utiliserait un tableau de croissance avec un IC de 75 % pour le contrôle des importations, renforcerait les contrôles des importations fondés sur les risques et signalerait tout écart significatif au SCRS. Par ailleurs, le Japon a proposé de mettre au point, dans le cadre du Programme électronique de documentation des captures de thon rouge (eBCD), des fonctions permettant de calculer automatiquement le taux de croissance au niveau des cages, et de s'orienter vers une surveillance au moyen de caméras stéréoscopiques à 100 % assistée par l'IA ; il a également indiqué qu'il était en train d'élaborer des propositions concrètes à cette fin.</w:t>
      </w:r>
    </w:p>
    <w:p w14:paraId="3A42F825" w14:textId="77777777" w:rsidR="0082292C" w:rsidRPr="004E13E9" w:rsidRDefault="0082292C" w:rsidP="0082292C">
      <w:pPr>
        <w:shd w:val="clear" w:color="auto" w:fill="FFFFFF"/>
        <w:jc w:val="both"/>
        <w:rPr>
          <w:rFonts w:eastAsia="Yu Gothic" w:cs="Times New Roman"/>
          <w:lang w:val="fr-FR"/>
        </w:rPr>
      </w:pPr>
    </w:p>
    <w:p w14:paraId="363676EA" w14:textId="77777777" w:rsidR="0082292C" w:rsidRPr="004E13E9" w:rsidRDefault="0082292C" w:rsidP="0082292C">
      <w:pPr>
        <w:shd w:val="clear" w:color="auto" w:fill="FFFFFF"/>
        <w:jc w:val="both"/>
        <w:rPr>
          <w:rFonts w:eastAsia="Yu Gothic" w:cs="Times New Roman"/>
          <w:lang w:val="fr-FR"/>
        </w:rPr>
      </w:pPr>
      <w:r w:rsidRPr="004E13E9">
        <w:rPr>
          <w:rFonts w:eastAsia="MS Mincho" w:cs="Times New Roman"/>
          <w:lang w:val="fr-FR"/>
        </w:rPr>
        <w:t xml:space="preserve">Le Maroc a salué les travaux menés par le Japon concernant les taux de croissance du thon rouge, en particulier l'utilisation de l'intervalle de confiance de 75 % pour identifier les cas de croissance atypique. Le Maroc a également souligné que le recours accru à l'IA pour la mesure automatisée de la taille à partir de l'analyse vidéo pourrait renforcer les contrôles de la mise en cage dans les fermes, tout en améliorant la qualité des données scientifiques. Dans le même temps, le Maroc a mis en garde contre la généralisation d'une telle approche au sein de l'eBCD, car cela pourrait imposer des contraintes techniques et financières considérables aux CPC. Le Maroc a plutôt préconisé une mise en œuvre progressive, tenant compte des capacités des CPC. </w:t>
      </w:r>
    </w:p>
    <w:p w14:paraId="67729E57" w14:textId="7B7BA422" w:rsidR="00D0554E" w:rsidRPr="004E13E9" w:rsidRDefault="00D0554E">
      <w:pPr>
        <w:rPr>
          <w:rFonts w:eastAsia="MS Mincho" w:cs="Times New Roman"/>
          <w:lang w:val="fr-FR"/>
        </w:rPr>
      </w:pPr>
    </w:p>
    <w:p w14:paraId="6471E9B2" w14:textId="400DAB54" w:rsidR="0082292C" w:rsidRPr="004E13E9" w:rsidRDefault="0082292C" w:rsidP="0082292C">
      <w:pPr>
        <w:shd w:val="clear" w:color="auto" w:fill="FFFFFF"/>
        <w:jc w:val="both"/>
        <w:rPr>
          <w:rFonts w:eastAsia="Yu Gothic" w:cs="Times New Roman"/>
          <w:lang w:val="fr-FR"/>
        </w:rPr>
      </w:pPr>
      <w:r w:rsidRPr="004E13E9">
        <w:rPr>
          <w:rFonts w:eastAsia="MS Mincho" w:cs="Times New Roman"/>
          <w:lang w:val="fr-FR"/>
        </w:rPr>
        <w:t>L'UE a estimé que les taux de croissance présentés par le Japon étaient cohérents, réalistes et adaptés pour empêcher l'entrée sur les marchés de thon rouge issu de la pêche illégale. L'UE a également encouragé le développement de l'utilisation de l'IA avec des caméras stéréoscopiques, tout en appelant à des améliorations et des ajustements supplémentaires.</w:t>
      </w:r>
    </w:p>
    <w:p w14:paraId="011F4CC7" w14:textId="77777777" w:rsidR="0082292C" w:rsidRPr="004E13E9" w:rsidRDefault="0082292C" w:rsidP="0082292C">
      <w:pPr>
        <w:shd w:val="clear" w:color="auto" w:fill="FFFFFF"/>
        <w:jc w:val="both"/>
        <w:rPr>
          <w:rFonts w:eastAsia="Yu Gothic" w:cs="Times New Roman"/>
          <w:lang w:val="fr-FR"/>
        </w:rPr>
      </w:pPr>
    </w:p>
    <w:p w14:paraId="28D10C1E" w14:textId="77777777" w:rsidR="0082292C" w:rsidRPr="004E13E9" w:rsidRDefault="0082292C" w:rsidP="0082292C">
      <w:pPr>
        <w:shd w:val="clear" w:color="auto" w:fill="FFFFFF"/>
        <w:jc w:val="both"/>
        <w:rPr>
          <w:rFonts w:eastAsia="Yu Gothic" w:cs="Times New Roman"/>
          <w:lang w:val="fr-FR"/>
        </w:rPr>
      </w:pPr>
      <w:r w:rsidRPr="004E13E9">
        <w:rPr>
          <w:rFonts w:eastAsia="MS Mincho" w:cs="Times New Roman"/>
          <w:lang w:val="fr-FR"/>
        </w:rPr>
        <w:t>Les États-Unis ont salué les conclusions du Japon et se sont déclarés favorables à la présentation de propositions plus concrètes.</w:t>
      </w:r>
    </w:p>
    <w:p w14:paraId="1DFC1D87" w14:textId="580FA0C9" w:rsidR="000B1E36" w:rsidRPr="004E13E9" w:rsidRDefault="000B1E36">
      <w:pPr>
        <w:rPr>
          <w:rFonts w:eastAsia="MS Mincho" w:cs="Times New Roman"/>
          <w:lang w:val="fr-FR"/>
        </w:rPr>
      </w:pPr>
    </w:p>
    <w:p w14:paraId="557402A6" w14:textId="094B0499" w:rsidR="0082292C" w:rsidRPr="004E13E9" w:rsidRDefault="0082292C" w:rsidP="0082292C">
      <w:pPr>
        <w:shd w:val="clear" w:color="auto" w:fill="FFFFFF"/>
        <w:jc w:val="both"/>
        <w:rPr>
          <w:rFonts w:eastAsia="Yu Gothic" w:cs="Times New Roman"/>
          <w:lang w:val="fr-FR"/>
        </w:rPr>
      </w:pPr>
      <w:r w:rsidRPr="004E13E9">
        <w:rPr>
          <w:rFonts w:eastAsia="MS Mincho" w:cs="Times New Roman"/>
          <w:lang w:val="fr-FR"/>
        </w:rPr>
        <w:t>Les membres de la Sous-commission 2 ont convenu d'organiser des discussions de suivi au sein du Groupe de travail sur les mesures de contrôle intégré (IMM) ou du Groupe de travail permanent sur les systèmes de documentation des captures (CDS WG).</w:t>
      </w:r>
    </w:p>
    <w:p w14:paraId="3880B481" w14:textId="14D118F4" w:rsidR="002D245C" w:rsidRPr="004E13E9" w:rsidRDefault="002D245C">
      <w:pPr>
        <w:rPr>
          <w:rFonts w:eastAsia="MS Mincho" w:cs="Times New Roman"/>
          <w:b/>
          <w:i/>
          <w:lang w:val="fr-FR"/>
        </w:rPr>
      </w:pPr>
    </w:p>
    <w:p w14:paraId="6A9EA87D" w14:textId="2E138FEB" w:rsidR="0082292C" w:rsidRPr="00C712A4" w:rsidRDefault="00C712A4" w:rsidP="00C712A4">
      <w:pPr>
        <w:rPr>
          <w:rFonts w:eastAsia="MS Mincho" w:cs="Times New Roman"/>
          <w:b/>
          <w:i/>
          <w:lang w:val="fr-FR"/>
        </w:rPr>
      </w:pPr>
      <w:r>
        <w:rPr>
          <w:rFonts w:eastAsia="MS Mincho" w:cs="Times New Roman"/>
          <w:b/>
          <w:i/>
          <w:lang w:val="fr-FR"/>
        </w:rPr>
        <w:t>6</w:t>
      </w:r>
      <w:r w:rsidR="0082292C" w:rsidRPr="004E13E9">
        <w:rPr>
          <w:rFonts w:eastAsia="MS Mincho" w:cs="Times New Roman"/>
          <w:b/>
          <w:i/>
          <w:lang w:val="fr-FR"/>
        </w:rPr>
        <w:t>.3</w:t>
      </w:r>
      <w:r w:rsidR="001E2D1B" w:rsidRPr="004E13E9">
        <w:rPr>
          <w:rFonts w:eastAsia="MS Mincho" w:cs="Times New Roman"/>
          <w:b/>
          <w:i/>
          <w:lang w:val="fr-FR"/>
        </w:rPr>
        <w:t xml:space="preserve"> </w:t>
      </w:r>
      <w:r w:rsidR="0082292C" w:rsidRPr="004E13E9">
        <w:rPr>
          <w:rFonts w:eastAsia="MS Mincho" w:cs="Times New Roman"/>
          <w:b/>
          <w:i/>
          <w:lang w:val="fr-FR"/>
        </w:rPr>
        <w:t>Autres</w:t>
      </w:r>
    </w:p>
    <w:p w14:paraId="63B2C316" w14:textId="77777777" w:rsidR="0082292C" w:rsidRPr="004E13E9" w:rsidRDefault="0082292C" w:rsidP="0082292C">
      <w:pPr>
        <w:jc w:val="both"/>
        <w:rPr>
          <w:rFonts w:eastAsia="Yu Gothic" w:cs="Times New Roman"/>
          <w:lang w:val="fr-FR"/>
        </w:rPr>
      </w:pPr>
    </w:p>
    <w:p w14:paraId="5BF3109C" w14:textId="6ED25A23" w:rsidR="0082292C" w:rsidRPr="004E13E9" w:rsidRDefault="0082292C" w:rsidP="0082292C">
      <w:pPr>
        <w:jc w:val="both"/>
        <w:rPr>
          <w:rFonts w:eastAsia="Yu Gothic" w:cs="Times New Roman"/>
          <w:lang w:val="fr-FR"/>
        </w:rPr>
      </w:pPr>
      <w:r w:rsidRPr="004E13E9">
        <w:rPr>
          <w:rFonts w:eastAsia="MS Mincho" w:cs="Times New Roman"/>
          <w:lang w:val="fr-FR"/>
        </w:rPr>
        <w:t xml:space="preserve">La Norvège a </w:t>
      </w:r>
      <w:r w:rsidR="002765DC" w:rsidRPr="004E13E9">
        <w:rPr>
          <w:rFonts w:eastAsia="MS Mincho" w:cs="Times New Roman"/>
          <w:lang w:val="fr-FR"/>
        </w:rPr>
        <w:t xml:space="preserve">fait le point sur l’état d’avancement de </w:t>
      </w:r>
      <w:r w:rsidRPr="004E13E9">
        <w:rPr>
          <w:rFonts w:eastAsia="MS Mincho" w:cs="Times New Roman"/>
          <w:lang w:val="fr-FR"/>
        </w:rPr>
        <w:t xml:space="preserve">son projet pilote de stockage de courte durée du thon rouge, intitulé « Rapport sur le projet pilote norvégien de stockage de courte durée de thon rouge vivant en 2025 ». En 2025, le projet pilote a été mené du 18 au 30 octobre, mais aucun thon rouge vivant n'a pu être capturé, transféré ou stocké. Néanmoins, cet essai a permis d'acquérir une expérience opérationnelle essentielle et a conduit à des améliorations significatives dans toutes les composants clés nécessaires au </w:t>
      </w:r>
      <w:r w:rsidRPr="004E13E9">
        <w:rPr>
          <w:rFonts w:eastAsia="MS Mincho" w:cs="Times New Roman"/>
          <w:lang w:val="fr-FR"/>
        </w:rPr>
        <w:lastRenderedPageBreak/>
        <w:t xml:space="preserve">stockage futur de spécimens vivants dans les conditions norvégiennes. La senne a été modifiée afin d'améliorer son adéquation et son respect réglementaire, et des véhicules télécommandés (ROV) ont été utilisés pour détecter les thons et documenter les opérations, les plongeurs n'étant pas autorisés. Le canal de transfert a été reconçu afin d'améliorer la visibilité et les mécanismes de contrôle, conformément aux normes de l’ICCAT. Le projet a également finalisé le développement d'un dispositif </w:t>
      </w:r>
      <w:proofErr w:type="spellStart"/>
      <w:r w:rsidRPr="004E13E9">
        <w:rPr>
          <w:rFonts w:eastAsia="MS Mincho" w:cs="Times New Roman"/>
          <w:lang w:val="fr-FR"/>
        </w:rPr>
        <w:t>lupara</w:t>
      </w:r>
      <w:proofErr w:type="spellEnd"/>
      <w:r w:rsidRPr="004E13E9">
        <w:rPr>
          <w:rFonts w:eastAsia="MS Mincho" w:cs="Times New Roman"/>
          <w:lang w:val="fr-FR"/>
        </w:rPr>
        <w:t xml:space="preserve"> adapté aux conditions norvégiennes et obtenu les licences nécessaires pour tester des méthodes de mise à mort sans cruauté qui garantissent à la fois la qualité de la viande et le bien-être des poissons. La Norvège prévoit de poursuivre le projet pilote en 2026 et entend concentrer ses efforts de recherche sur la phase de mise à mort, faire progresser les développements techniques et étudier les solutions possibles en matière de surveillance électronique à distance.</w:t>
      </w:r>
    </w:p>
    <w:p w14:paraId="16D126E9" w14:textId="77777777" w:rsidR="0082292C" w:rsidRPr="004E13E9" w:rsidRDefault="0082292C" w:rsidP="0082292C">
      <w:pPr>
        <w:jc w:val="both"/>
        <w:rPr>
          <w:rFonts w:eastAsia="Yu Gothic" w:cs="Times New Roman"/>
          <w:lang w:val="fr-FR"/>
        </w:rPr>
      </w:pPr>
    </w:p>
    <w:p w14:paraId="70CE843F" w14:textId="77777777" w:rsidR="0082292C" w:rsidRPr="004E13E9" w:rsidRDefault="0082292C" w:rsidP="0082292C">
      <w:pPr>
        <w:jc w:val="both"/>
        <w:rPr>
          <w:rFonts w:eastAsia="Yu Gothic" w:cs="Times New Roman"/>
          <w:lang w:val="fr-FR"/>
        </w:rPr>
      </w:pPr>
    </w:p>
    <w:p w14:paraId="3DB4494B" w14:textId="1A5348EC" w:rsidR="0082292C" w:rsidRPr="004E13E9" w:rsidRDefault="0065770A" w:rsidP="0065770A">
      <w:pPr>
        <w:spacing w:after="160" w:line="254" w:lineRule="auto"/>
        <w:ind w:left="426" w:hanging="426"/>
        <w:contextualSpacing/>
        <w:jc w:val="both"/>
        <w:rPr>
          <w:rFonts w:eastAsia="Yu Gothic" w:cs="Times New Roman"/>
          <w:b/>
          <w:bCs/>
          <w:lang w:val="fr-FR"/>
        </w:rPr>
      </w:pPr>
      <w:r w:rsidRPr="004E13E9">
        <w:rPr>
          <w:rFonts w:eastAsia="MS Mincho" w:cs="Times New Roman"/>
          <w:b/>
          <w:bCs/>
          <w:lang w:val="fr-FR"/>
        </w:rPr>
        <w:t xml:space="preserve">7. </w:t>
      </w:r>
      <w:r w:rsidRPr="004E13E9">
        <w:rPr>
          <w:rFonts w:eastAsia="MS Mincho" w:cs="Times New Roman"/>
          <w:b/>
          <w:bCs/>
          <w:lang w:val="fr-FR"/>
        </w:rPr>
        <w:tab/>
      </w:r>
      <w:r w:rsidR="0082292C" w:rsidRPr="004E13E9">
        <w:rPr>
          <w:rFonts w:eastAsia="MS Mincho" w:cs="Times New Roman"/>
          <w:b/>
          <w:bCs/>
          <w:lang w:val="fr-FR"/>
        </w:rPr>
        <w:t xml:space="preserve">Clarifications demandées en ce qui concerne la </w:t>
      </w:r>
      <w:hyperlink r:id="rId29" w:history="1">
        <w:r w:rsidR="0082292C" w:rsidRPr="004E13E9">
          <w:rPr>
            <w:rFonts w:eastAsia="MS Mincho" w:cs="Times New Roman"/>
            <w:b/>
            <w:bCs/>
            <w:i/>
            <w:iCs/>
            <w:color w:val="0000FF"/>
            <w:lang w:val="fr-FR"/>
          </w:rPr>
          <w:t>Recommandation de l’ICCAT remplaçant la Recommandation 24-05 établissant un plan pluriannuel de gestion du thon rouge dans l’Atlantique Est et la Méditerranée</w:t>
        </w:r>
        <w:r w:rsidR="0082292C" w:rsidRPr="004E13E9">
          <w:rPr>
            <w:rFonts w:eastAsia="MS Mincho" w:cs="Times New Roman"/>
            <w:b/>
            <w:bCs/>
            <w:color w:val="0000FF"/>
            <w:lang w:val="fr-FR"/>
          </w:rPr>
          <w:t xml:space="preserve"> (Rec. 25</w:t>
        </w:r>
        <w:r w:rsidR="0082292C" w:rsidRPr="004E13E9">
          <w:rPr>
            <w:rFonts w:eastAsia="MS Mincho" w:cs="Times New Roman"/>
            <w:b/>
            <w:bCs/>
            <w:color w:val="0000FF"/>
            <w:lang w:val="fr-FR"/>
          </w:rPr>
          <w:noBreakHyphen/>
          <w:t>04)</w:t>
        </w:r>
      </w:hyperlink>
      <w:r w:rsidR="0082292C" w:rsidRPr="004E13E9">
        <w:rPr>
          <w:rFonts w:eastAsia="MS Mincho" w:cs="Times New Roman"/>
          <w:b/>
          <w:lang w:val="fr-FR"/>
        </w:rPr>
        <w:t xml:space="preserve"> </w:t>
      </w:r>
    </w:p>
    <w:p w14:paraId="486C8502" w14:textId="77777777" w:rsidR="0082292C" w:rsidRPr="004E13E9" w:rsidRDefault="0082292C" w:rsidP="0082292C">
      <w:pPr>
        <w:ind w:left="426"/>
        <w:contextualSpacing/>
        <w:jc w:val="both"/>
        <w:rPr>
          <w:rFonts w:eastAsia="Yu Gothic" w:cs="Times New Roman"/>
          <w:b/>
          <w:bCs/>
          <w:lang w:val="fr-FR"/>
        </w:rPr>
      </w:pPr>
    </w:p>
    <w:p w14:paraId="1809F1D3" w14:textId="77777777" w:rsidR="0082292C" w:rsidRPr="004E13E9" w:rsidRDefault="0082292C" w:rsidP="0082292C">
      <w:pPr>
        <w:jc w:val="both"/>
        <w:rPr>
          <w:rFonts w:eastAsia="Yu Gothic" w:cs="Times New Roman"/>
          <w:b/>
          <w:bCs/>
          <w:i/>
          <w:iCs/>
          <w:lang w:val="fr-FR"/>
        </w:rPr>
      </w:pPr>
      <w:r w:rsidRPr="004E13E9">
        <w:rPr>
          <w:rFonts w:eastAsia="MS Mincho" w:cs="Times New Roman"/>
          <w:b/>
          <w:i/>
          <w:lang w:val="fr-FR"/>
        </w:rPr>
        <w:t xml:space="preserve">Demandes d’éclaircissement provenant du Programme régional d’observateurs de l’ICCAT pour le thon rouge (ROP-BFT) </w:t>
      </w:r>
    </w:p>
    <w:p w14:paraId="508EF994" w14:textId="77777777" w:rsidR="0082292C" w:rsidRPr="004E13E9" w:rsidRDefault="0082292C" w:rsidP="0082292C">
      <w:pPr>
        <w:jc w:val="both"/>
        <w:rPr>
          <w:rFonts w:eastAsia="Yu Gothic" w:cs="Times New Roman"/>
          <w:lang w:val="fr-FR"/>
        </w:rPr>
      </w:pPr>
    </w:p>
    <w:p w14:paraId="18097903" w14:textId="6B0484A1" w:rsidR="0082292C" w:rsidRPr="004E13E9" w:rsidRDefault="0082292C" w:rsidP="0082292C">
      <w:pPr>
        <w:jc w:val="both"/>
        <w:rPr>
          <w:rFonts w:eastAsia="Yu Gothic" w:cs="Times New Roman"/>
          <w:lang w:val="fr-FR"/>
        </w:rPr>
      </w:pPr>
      <w:r w:rsidRPr="004E13E9">
        <w:rPr>
          <w:rFonts w:eastAsia="MS Mincho" w:cs="Times New Roman"/>
          <w:lang w:val="fr-FR"/>
        </w:rPr>
        <w:t xml:space="preserve">La Sous-commission 2 a examiné le document intitulé « Demandes d’éclaircissement en ce qui concerne la </w:t>
      </w:r>
      <w:hyperlink r:id="rId30" w:history="1">
        <w:r w:rsidRPr="004E13E9">
          <w:rPr>
            <w:rFonts w:eastAsia="MS Mincho" w:cs="Times New Roman"/>
            <w:color w:val="0000FF"/>
            <w:lang w:val="fr-FR"/>
          </w:rPr>
          <w:t>Rec. 25-04</w:t>
        </w:r>
      </w:hyperlink>
      <w:r w:rsidRPr="004E13E9">
        <w:rPr>
          <w:rFonts w:eastAsia="MS Mincho" w:cs="Times New Roman"/>
          <w:lang w:val="fr-FR"/>
        </w:rPr>
        <w:t xml:space="preserve"> soumises par le Consortium chargé de la mise en œuvre du Programme d’observateurs régionaux de l’ICCAT pour le thon rouge (ROP-BFT) ».</w:t>
      </w:r>
    </w:p>
    <w:p w14:paraId="3E741E30" w14:textId="77777777" w:rsidR="0082292C" w:rsidRPr="004E13E9" w:rsidRDefault="0082292C" w:rsidP="0082292C">
      <w:pPr>
        <w:jc w:val="both"/>
        <w:rPr>
          <w:rFonts w:eastAsia="Yu Gothic" w:cs="Times New Roman"/>
          <w:lang w:val="fr-FR"/>
        </w:rPr>
      </w:pPr>
    </w:p>
    <w:p w14:paraId="07B6F6D3" w14:textId="77777777" w:rsidR="0082292C" w:rsidRPr="004E13E9" w:rsidRDefault="0082292C" w:rsidP="0082292C">
      <w:pPr>
        <w:jc w:val="both"/>
        <w:rPr>
          <w:rFonts w:eastAsia="Yu Gothic" w:cs="Times New Roman"/>
          <w:i/>
          <w:iCs/>
          <w:lang w:val="fr-FR"/>
        </w:rPr>
      </w:pPr>
      <w:r w:rsidRPr="004E13E9">
        <w:rPr>
          <w:rFonts w:eastAsia="MS Mincho" w:cs="Times New Roman"/>
          <w:i/>
          <w:lang w:val="fr-FR"/>
        </w:rPr>
        <w:t>Rôle de l’observateur dans le suivi des transferts ultérieurs</w:t>
      </w:r>
    </w:p>
    <w:p w14:paraId="1127B8E6" w14:textId="77777777" w:rsidR="0082292C" w:rsidRPr="004E13E9" w:rsidRDefault="0082292C" w:rsidP="0082292C">
      <w:pPr>
        <w:jc w:val="both"/>
        <w:rPr>
          <w:rFonts w:eastAsia="Yu Gothic" w:cs="Times New Roman"/>
          <w:i/>
          <w:iCs/>
          <w:lang w:val="fr-FR"/>
        </w:rPr>
      </w:pPr>
      <w:r w:rsidRPr="004E13E9">
        <w:rPr>
          <w:rFonts w:eastAsia="MS Mincho" w:cs="Times New Roman"/>
          <w:i/>
          <w:lang w:val="fr-FR"/>
        </w:rPr>
        <w:t>(Rec. 25-04 : paragraphes 2k) et 2l); paragraphe 101 – deuxième tiret, annexe 6 paragraphes viii–xvi)</w:t>
      </w:r>
    </w:p>
    <w:p w14:paraId="3BED0488" w14:textId="77777777" w:rsidR="0082292C" w:rsidRPr="004E13E9" w:rsidRDefault="0082292C" w:rsidP="0082292C">
      <w:pPr>
        <w:jc w:val="both"/>
        <w:rPr>
          <w:rFonts w:eastAsia="Yu Gothic" w:cs="Times New Roman"/>
          <w:lang w:val="fr-FR"/>
        </w:rPr>
      </w:pPr>
    </w:p>
    <w:p w14:paraId="0ED398FF" w14:textId="77777777" w:rsidR="0082292C" w:rsidRPr="004E13E9" w:rsidRDefault="0082292C" w:rsidP="0082292C">
      <w:pPr>
        <w:jc w:val="both"/>
        <w:rPr>
          <w:rFonts w:eastAsia="Yu Gothic" w:cs="Times New Roman"/>
          <w:lang w:val="fr-FR"/>
        </w:rPr>
      </w:pPr>
      <w:r w:rsidRPr="004E13E9">
        <w:rPr>
          <w:rFonts w:eastAsia="MS Mincho" w:cs="Times New Roman"/>
          <w:lang w:val="fr-FR"/>
        </w:rPr>
        <w:t xml:space="preserve">La Sous-commission 2 a noté qu'il arrive que des thons rouges soient transférés simultanément d'un senneur à deux cages de transport. Dans ce cas, deux cages sont fixées au senneur en formation consécutive, et la porte entre la première et la deuxième cage reste ouverte pendant toute la durée de l'opération de transfert. Pendant l'opération de transfert, les thons rouges pénètrent dans la première cage depuis le senneur et peuvent rester dans cette première cage ou nager jusqu'à la deuxième cage. </w:t>
      </w:r>
    </w:p>
    <w:p w14:paraId="66A11BF7" w14:textId="77777777" w:rsidR="0082292C" w:rsidRPr="004E13E9" w:rsidRDefault="0082292C" w:rsidP="0082292C">
      <w:pPr>
        <w:jc w:val="both"/>
        <w:rPr>
          <w:rFonts w:eastAsia="Yu Gothic" w:cs="Times New Roman"/>
          <w:lang w:val="fr-FR"/>
        </w:rPr>
      </w:pPr>
    </w:p>
    <w:p w14:paraId="4DBACED0" w14:textId="77777777" w:rsidR="0082292C" w:rsidRPr="004E13E9" w:rsidRDefault="0082292C" w:rsidP="0082292C">
      <w:pPr>
        <w:jc w:val="both"/>
        <w:rPr>
          <w:rFonts w:eastAsia="Yu Gothic" w:cs="Times New Roman"/>
          <w:lang w:val="fr-FR"/>
        </w:rPr>
      </w:pPr>
      <w:r w:rsidRPr="004E13E9">
        <w:rPr>
          <w:rFonts w:eastAsia="MS Mincho" w:cs="Times New Roman"/>
          <w:lang w:val="fr-FR"/>
        </w:rPr>
        <w:t>Les membres de la Sous-commission 2 ont convenu qu'un tel cas diffère, sur le plan logistique, d'un cas où un premier transfert a lieu entre un senneur et une cage de transport, suivi d'un deuxième transfert d'une cage de transport à une autre. Les membres de la Sous-commission 2 ont noté que les CPC avaient des points de vue divergents quant à savoir si un tel cas devait être considéré comme deux premiers transferts simultanés ou comme un premier transfert suivi d'un deuxième transfert, et que les CPC avaient appliqué ces différentes interprétations jusqu'à présent.</w:t>
      </w:r>
    </w:p>
    <w:p w14:paraId="3A03C272" w14:textId="3C998358" w:rsidR="0065770A" w:rsidRPr="004E13E9" w:rsidRDefault="0065770A">
      <w:pPr>
        <w:rPr>
          <w:rFonts w:eastAsia="MS Mincho" w:cs="Times New Roman"/>
          <w:lang w:val="fr-FR"/>
        </w:rPr>
      </w:pPr>
    </w:p>
    <w:p w14:paraId="256EDD8B" w14:textId="5EB8821B" w:rsidR="0082292C" w:rsidRPr="004E13E9" w:rsidRDefault="0082292C" w:rsidP="0082292C">
      <w:pPr>
        <w:jc w:val="both"/>
        <w:rPr>
          <w:rFonts w:eastAsia="Yu Gothic" w:cs="Times New Roman"/>
          <w:lang w:val="fr-FR"/>
        </w:rPr>
      </w:pPr>
      <w:r w:rsidRPr="004E13E9">
        <w:rPr>
          <w:rFonts w:eastAsia="MS Mincho" w:cs="Times New Roman"/>
          <w:lang w:val="fr-FR"/>
        </w:rPr>
        <w:t xml:space="preserve">Les membres de la Sous-commission 2 ont convenu que, à titre de solution provisoire, les CPC pouvaient continuer à appliquer leur propre interprétation quant à savoir si un tel cas constituerait deux premiers transferts simultanés ou un premier et un deuxième transfert, </w:t>
      </w:r>
      <w:r w:rsidR="004B6327" w:rsidRPr="004E13E9">
        <w:rPr>
          <w:rFonts w:eastAsia="MS Mincho" w:cs="Times New Roman"/>
          <w:lang w:val="fr-FR"/>
        </w:rPr>
        <w:t>à</w:t>
      </w:r>
      <w:r w:rsidR="00666C35" w:rsidRPr="004E13E9">
        <w:rPr>
          <w:rFonts w:eastAsia="MS Mincho" w:cs="Times New Roman"/>
          <w:lang w:val="fr-FR"/>
        </w:rPr>
        <w:t xml:space="preserve"> l’indiqu</w:t>
      </w:r>
      <w:r w:rsidR="004B6327" w:rsidRPr="004E13E9">
        <w:rPr>
          <w:rFonts w:eastAsia="MS Mincho" w:cs="Times New Roman"/>
          <w:lang w:val="fr-FR"/>
        </w:rPr>
        <w:t xml:space="preserve">er </w:t>
      </w:r>
      <w:r w:rsidR="00666C35" w:rsidRPr="004E13E9">
        <w:rPr>
          <w:rFonts w:eastAsia="MS Mincho" w:cs="Times New Roman"/>
          <w:lang w:val="fr-FR"/>
        </w:rPr>
        <w:t>dans l'autorisation délivrée par les autorités de</w:t>
      </w:r>
      <w:r w:rsidR="004B6327" w:rsidRPr="004E13E9">
        <w:rPr>
          <w:rFonts w:eastAsia="MS Mincho" w:cs="Times New Roman"/>
          <w:lang w:val="fr-FR"/>
        </w:rPr>
        <w:t>s</w:t>
      </w:r>
      <w:r w:rsidR="00666C35" w:rsidRPr="004E13E9">
        <w:rPr>
          <w:rFonts w:eastAsia="MS Mincho" w:cs="Times New Roman"/>
          <w:lang w:val="fr-FR"/>
        </w:rPr>
        <w:t xml:space="preserve"> CPC</w:t>
      </w:r>
      <w:r w:rsidR="004B6327" w:rsidRPr="004E13E9">
        <w:rPr>
          <w:rFonts w:eastAsia="MS Mincho" w:cs="Times New Roman"/>
          <w:lang w:val="fr-FR"/>
        </w:rPr>
        <w:t xml:space="preserve"> </w:t>
      </w:r>
      <w:r w:rsidRPr="004E13E9">
        <w:rPr>
          <w:rFonts w:eastAsia="MS Mincho" w:cs="Times New Roman"/>
          <w:lang w:val="fr-FR"/>
        </w:rPr>
        <w:t>et à donner des instructions en conséquence à l'observateur régional. Si les deux transferts sont considérés comme des premiers transferts simultanés, l'observateur régional doit observer les deux transferts.</w:t>
      </w:r>
    </w:p>
    <w:p w14:paraId="2935D71E" w14:textId="77777777" w:rsidR="0082292C" w:rsidRPr="004E13E9" w:rsidRDefault="0082292C" w:rsidP="0082292C">
      <w:pPr>
        <w:jc w:val="both"/>
        <w:rPr>
          <w:rFonts w:eastAsia="Yu Gothic" w:cs="Times New Roman"/>
          <w:lang w:val="fr-FR"/>
        </w:rPr>
      </w:pPr>
    </w:p>
    <w:p w14:paraId="75A0D49D" w14:textId="174A38DC" w:rsidR="002D245C" w:rsidRDefault="0082292C" w:rsidP="00471DEF">
      <w:pPr>
        <w:jc w:val="both"/>
        <w:rPr>
          <w:rFonts w:eastAsia="MS Mincho" w:cs="Times New Roman"/>
          <w:lang w:val="fr-FR"/>
        </w:rPr>
      </w:pPr>
      <w:r w:rsidRPr="004E13E9">
        <w:rPr>
          <w:rFonts w:eastAsia="MS Mincho" w:cs="Times New Roman"/>
          <w:lang w:val="fr-FR"/>
        </w:rPr>
        <w:t>Les membres de la Sous-commission 2 ont convenu de tenir des discussions à ce sujet lors de la réunion du Groupe de travail IMM.</w:t>
      </w:r>
    </w:p>
    <w:p w14:paraId="21AA0F96" w14:textId="77777777" w:rsidR="009E4700" w:rsidRPr="004E13E9" w:rsidRDefault="009E4700" w:rsidP="00471DEF">
      <w:pPr>
        <w:jc w:val="both"/>
        <w:rPr>
          <w:rFonts w:eastAsia="MS Mincho" w:cs="Times New Roman"/>
          <w:i/>
          <w:lang w:val="fr-FR"/>
        </w:rPr>
      </w:pPr>
    </w:p>
    <w:p w14:paraId="27298918" w14:textId="68C0CE2C" w:rsidR="0082292C" w:rsidRPr="00C712A4" w:rsidRDefault="0082292C" w:rsidP="00C712A4">
      <w:pPr>
        <w:rPr>
          <w:rFonts w:eastAsia="MS Mincho" w:cs="Times New Roman"/>
          <w:i/>
          <w:lang w:val="fr-FR"/>
        </w:rPr>
      </w:pPr>
      <w:r w:rsidRPr="004E13E9">
        <w:rPr>
          <w:rFonts w:eastAsia="MS Mincho" w:cs="Times New Roman"/>
          <w:i/>
          <w:lang w:val="fr-FR"/>
        </w:rPr>
        <w:t>Standards minimum applicables aux procédures d’enregistrement vidéo : Affichage du numéro de la cage</w:t>
      </w:r>
    </w:p>
    <w:p w14:paraId="7F7D153D" w14:textId="77777777" w:rsidR="0082292C" w:rsidRPr="004E13E9" w:rsidRDefault="0082292C" w:rsidP="0082292C">
      <w:pPr>
        <w:jc w:val="both"/>
        <w:rPr>
          <w:rFonts w:eastAsia="Yu Gothic" w:cs="Times New Roman"/>
          <w:i/>
          <w:iCs/>
          <w:lang w:val="fr-FR"/>
        </w:rPr>
      </w:pPr>
      <w:r w:rsidRPr="004E13E9">
        <w:rPr>
          <w:rFonts w:eastAsia="MS Mincho" w:cs="Times New Roman"/>
          <w:i/>
          <w:lang w:val="fr-FR"/>
        </w:rPr>
        <w:t>(Rec. 25-04: Annexe 8 paragraphe 1a)</w:t>
      </w:r>
    </w:p>
    <w:p w14:paraId="7CA4B5D9" w14:textId="77777777" w:rsidR="0082292C" w:rsidRPr="004E13E9" w:rsidRDefault="0082292C" w:rsidP="0082292C">
      <w:pPr>
        <w:jc w:val="both"/>
        <w:rPr>
          <w:rFonts w:eastAsia="Yu Gothic" w:cs="Times New Roman"/>
          <w:lang w:val="fr-FR"/>
        </w:rPr>
      </w:pPr>
    </w:p>
    <w:p w14:paraId="55E14D3A" w14:textId="77777777" w:rsidR="0082292C" w:rsidRPr="004E13E9" w:rsidRDefault="0082292C" w:rsidP="0082292C">
      <w:pPr>
        <w:jc w:val="both"/>
        <w:rPr>
          <w:rFonts w:eastAsia="Yu Gothic" w:cs="Times New Roman"/>
          <w:lang w:val="fr-FR"/>
        </w:rPr>
      </w:pPr>
      <w:r w:rsidRPr="004E13E9">
        <w:rPr>
          <w:rFonts w:eastAsia="MS Mincho" w:cs="Times New Roman"/>
          <w:lang w:val="fr-FR"/>
        </w:rPr>
        <w:t>Les membres de la Sous-commission 2 ont convenu que les numéros des cages donatrice et réceptrice devaient apparaître et être identifiables sur l'enregistrement vidéo.</w:t>
      </w:r>
    </w:p>
    <w:p w14:paraId="3F5C8C9A" w14:textId="77777777" w:rsidR="0082292C" w:rsidRPr="004E13E9" w:rsidRDefault="0082292C" w:rsidP="0082292C">
      <w:pPr>
        <w:jc w:val="both"/>
        <w:rPr>
          <w:rFonts w:eastAsia="Yu Gothic" w:cs="Times New Roman"/>
          <w:lang w:val="fr-FR"/>
        </w:rPr>
      </w:pPr>
    </w:p>
    <w:p w14:paraId="20E41403" w14:textId="77777777" w:rsidR="00C712A4" w:rsidRDefault="00C712A4" w:rsidP="0082292C">
      <w:pPr>
        <w:jc w:val="both"/>
        <w:rPr>
          <w:rFonts w:eastAsia="MS Mincho" w:cs="Times New Roman"/>
          <w:i/>
          <w:lang w:val="fr-FR"/>
        </w:rPr>
      </w:pPr>
    </w:p>
    <w:p w14:paraId="064DB85E" w14:textId="77777777" w:rsidR="00C712A4" w:rsidRDefault="00C712A4" w:rsidP="0082292C">
      <w:pPr>
        <w:jc w:val="both"/>
        <w:rPr>
          <w:rFonts w:eastAsia="MS Mincho" w:cs="Times New Roman"/>
          <w:i/>
          <w:lang w:val="fr-FR"/>
        </w:rPr>
      </w:pPr>
    </w:p>
    <w:p w14:paraId="0800DAE8" w14:textId="77777777" w:rsidR="00C712A4" w:rsidRDefault="00C712A4" w:rsidP="0082292C">
      <w:pPr>
        <w:jc w:val="both"/>
        <w:rPr>
          <w:rFonts w:eastAsia="MS Mincho" w:cs="Times New Roman"/>
          <w:i/>
          <w:lang w:val="fr-FR"/>
        </w:rPr>
      </w:pPr>
    </w:p>
    <w:p w14:paraId="5C8AC450" w14:textId="6EA69722" w:rsidR="0082292C" w:rsidRPr="004E13E9" w:rsidRDefault="0082292C" w:rsidP="0082292C">
      <w:pPr>
        <w:jc w:val="both"/>
        <w:rPr>
          <w:rFonts w:eastAsia="Yu Gothic" w:cs="Times New Roman"/>
          <w:i/>
          <w:iCs/>
          <w:lang w:val="fr-FR"/>
        </w:rPr>
      </w:pPr>
      <w:r w:rsidRPr="004E13E9">
        <w:rPr>
          <w:rFonts w:eastAsia="MS Mincho" w:cs="Times New Roman"/>
          <w:i/>
          <w:lang w:val="fr-FR"/>
        </w:rPr>
        <w:lastRenderedPageBreak/>
        <w:t>Estimations des observateurs concernant le thon mis en cage et transféré durant les séparations préalables à la libération</w:t>
      </w:r>
    </w:p>
    <w:p w14:paraId="529A1F22" w14:textId="77777777" w:rsidR="0082292C" w:rsidRPr="004E13E9" w:rsidRDefault="0082292C" w:rsidP="0082292C">
      <w:pPr>
        <w:jc w:val="both"/>
        <w:rPr>
          <w:rFonts w:eastAsia="Yu Gothic" w:cs="Times New Roman"/>
          <w:i/>
          <w:iCs/>
          <w:lang w:val="fr-FR"/>
        </w:rPr>
      </w:pPr>
      <w:r w:rsidRPr="004E13E9">
        <w:rPr>
          <w:rFonts w:eastAsia="MS Mincho" w:cs="Times New Roman"/>
          <w:i/>
          <w:lang w:val="fr-FR"/>
        </w:rPr>
        <w:t>(Rec. 25-04: Annexe 6, , paragraphe xx)</w:t>
      </w:r>
    </w:p>
    <w:p w14:paraId="7DA92EAB" w14:textId="77777777" w:rsidR="0082292C" w:rsidRPr="004E13E9" w:rsidRDefault="0082292C" w:rsidP="0082292C">
      <w:pPr>
        <w:jc w:val="both"/>
        <w:rPr>
          <w:rFonts w:eastAsia="Yu Gothic" w:cs="Times New Roman"/>
          <w:lang w:val="fr-FR"/>
        </w:rPr>
      </w:pPr>
    </w:p>
    <w:p w14:paraId="5E7055B9" w14:textId="77777777" w:rsidR="0082292C" w:rsidRPr="004E13E9" w:rsidRDefault="0082292C" w:rsidP="0082292C">
      <w:pPr>
        <w:jc w:val="both"/>
        <w:rPr>
          <w:rFonts w:eastAsia="Yu Gothic" w:cs="Times New Roman"/>
          <w:lang w:val="fr-FR"/>
        </w:rPr>
      </w:pPr>
      <w:r w:rsidRPr="004E13E9">
        <w:rPr>
          <w:rFonts w:eastAsia="MS Mincho" w:cs="Times New Roman"/>
          <w:lang w:val="fr-FR"/>
        </w:rPr>
        <w:t>Les membres de la Sous-commission 2 ont convenu que l'observateur régional ne devait pas signer la déclaration de mise en cage, l'eBCD ou l'ordre de remise à l'eau si l'écart entre les estimations de l'observateur et celles de la ferme concernant les mises en cage et les séparations préalables à la libération dépassait 10 %.</w:t>
      </w:r>
    </w:p>
    <w:p w14:paraId="169580F0" w14:textId="77777777" w:rsidR="0082292C" w:rsidRPr="004E13E9" w:rsidRDefault="0082292C" w:rsidP="0082292C">
      <w:pPr>
        <w:jc w:val="both"/>
        <w:rPr>
          <w:rFonts w:eastAsia="Yu Gothic" w:cs="Times New Roman"/>
          <w:lang w:val="fr-FR"/>
        </w:rPr>
      </w:pPr>
    </w:p>
    <w:p w14:paraId="00802BCB" w14:textId="77777777" w:rsidR="0082292C" w:rsidRPr="004E13E9" w:rsidRDefault="0082292C" w:rsidP="0082292C">
      <w:pPr>
        <w:jc w:val="both"/>
        <w:rPr>
          <w:rFonts w:eastAsia="Yu Gothic" w:cs="Times New Roman"/>
          <w:i/>
          <w:iCs/>
          <w:lang w:val="fr-FR"/>
        </w:rPr>
      </w:pPr>
      <w:r w:rsidRPr="004E13E9">
        <w:rPr>
          <w:rFonts w:eastAsia="MS Mincho" w:cs="Times New Roman"/>
          <w:i/>
          <w:lang w:val="fr-FR"/>
        </w:rPr>
        <w:t>Opérations de séparation avant la libération</w:t>
      </w:r>
    </w:p>
    <w:p w14:paraId="501CAB7D" w14:textId="77777777" w:rsidR="0082292C" w:rsidRPr="004E13E9" w:rsidRDefault="0082292C" w:rsidP="0082292C">
      <w:pPr>
        <w:jc w:val="both"/>
        <w:rPr>
          <w:rFonts w:eastAsia="Yu Gothic" w:cs="Times New Roman"/>
          <w:i/>
          <w:iCs/>
          <w:lang w:val="fr-FR"/>
        </w:rPr>
      </w:pPr>
      <w:r w:rsidRPr="004E13E9">
        <w:rPr>
          <w:rFonts w:eastAsia="MS Mincho" w:cs="Times New Roman"/>
          <w:i/>
          <w:lang w:val="fr-FR"/>
        </w:rPr>
        <w:t>(Rec. 25-</w:t>
      </w:r>
      <w:proofErr w:type="gramStart"/>
      <w:r w:rsidRPr="004E13E9">
        <w:rPr>
          <w:rFonts w:eastAsia="MS Mincho" w:cs="Times New Roman"/>
          <w:i/>
          <w:lang w:val="fr-FR"/>
        </w:rPr>
        <w:t>04:</w:t>
      </w:r>
      <w:proofErr w:type="gramEnd"/>
      <w:r w:rsidRPr="004E13E9">
        <w:rPr>
          <w:rFonts w:eastAsia="MS Mincho" w:cs="Times New Roman"/>
          <w:i/>
          <w:lang w:val="fr-FR"/>
        </w:rPr>
        <w:t xml:space="preserve"> Annexe </w:t>
      </w:r>
      <w:proofErr w:type="gramStart"/>
      <w:r w:rsidRPr="004E13E9">
        <w:rPr>
          <w:rFonts w:eastAsia="MS Mincho" w:cs="Times New Roman"/>
          <w:i/>
          <w:lang w:val="fr-FR"/>
        </w:rPr>
        <w:t>6,paragraphe</w:t>
      </w:r>
      <w:proofErr w:type="gramEnd"/>
      <w:r w:rsidRPr="004E13E9">
        <w:rPr>
          <w:rFonts w:eastAsia="MS Mincho" w:cs="Times New Roman"/>
          <w:i/>
          <w:lang w:val="fr-FR"/>
        </w:rPr>
        <w:t xml:space="preserve"> </w:t>
      </w:r>
      <w:proofErr w:type="gramStart"/>
      <w:r w:rsidRPr="004E13E9">
        <w:rPr>
          <w:rFonts w:eastAsia="MS Mincho" w:cs="Times New Roman"/>
          <w:i/>
          <w:lang w:val="fr-FR"/>
        </w:rPr>
        <w:t>xxii;</w:t>
      </w:r>
      <w:proofErr w:type="gramEnd"/>
      <w:r w:rsidRPr="004E13E9">
        <w:rPr>
          <w:rFonts w:eastAsia="MS Mincho" w:cs="Times New Roman"/>
          <w:i/>
          <w:lang w:val="fr-FR"/>
        </w:rPr>
        <w:t xml:space="preserve"> annexe 10 </w:t>
      </w:r>
      <w:proofErr w:type="gramStart"/>
      <w:r w:rsidRPr="004E13E9">
        <w:rPr>
          <w:rFonts w:eastAsia="MS Mincho" w:cs="Times New Roman"/>
          <w:i/>
          <w:lang w:val="fr-FR"/>
        </w:rPr>
        <w:t>paragraphe</w:t>
      </w:r>
      <w:proofErr w:type="gramEnd"/>
      <w:r w:rsidRPr="004E13E9">
        <w:rPr>
          <w:rFonts w:eastAsia="MS Mincho" w:cs="Times New Roman"/>
          <w:i/>
          <w:lang w:val="fr-FR"/>
        </w:rPr>
        <w:t xml:space="preserve"> 3)</w:t>
      </w:r>
    </w:p>
    <w:p w14:paraId="76EBC2B5" w14:textId="77777777" w:rsidR="0082292C" w:rsidRPr="004E13E9" w:rsidRDefault="0082292C" w:rsidP="0082292C">
      <w:pPr>
        <w:jc w:val="both"/>
        <w:rPr>
          <w:rFonts w:eastAsia="Yu Gothic" w:cs="Times New Roman"/>
          <w:lang w:val="fr-FR"/>
        </w:rPr>
      </w:pPr>
    </w:p>
    <w:p w14:paraId="4D999F6D" w14:textId="77777777" w:rsidR="0082292C" w:rsidRPr="004E13E9" w:rsidRDefault="0082292C" w:rsidP="0082292C">
      <w:pPr>
        <w:jc w:val="both"/>
        <w:rPr>
          <w:rFonts w:eastAsia="Yu Gothic" w:cs="Times New Roman"/>
          <w:lang w:val="fr-FR"/>
        </w:rPr>
      </w:pPr>
      <w:r w:rsidRPr="004E13E9">
        <w:rPr>
          <w:rFonts w:eastAsia="MS Mincho" w:cs="Times New Roman"/>
          <w:lang w:val="fr-FR"/>
        </w:rPr>
        <w:t>Les membres de la Sous-commission 2 ont convenu que l'estimation finale de la quantité de thon rouge présente dans la cage de remorquage est celle qui doit être comparée à la quantité indiquée dans le rapport de libération.</w:t>
      </w:r>
    </w:p>
    <w:p w14:paraId="1985F43D" w14:textId="77777777" w:rsidR="0082292C" w:rsidRPr="004E13E9" w:rsidRDefault="0082292C" w:rsidP="0082292C">
      <w:pPr>
        <w:jc w:val="both"/>
        <w:rPr>
          <w:rFonts w:eastAsia="Yu Gothic" w:cs="Times New Roman"/>
          <w:lang w:val="fr-FR"/>
        </w:rPr>
      </w:pPr>
    </w:p>
    <w:p w14:paraId="42F78141" w14:textId="77777777" w:rsidR="0082292C" w:rsidRPr="004E13E9" w:rsidRDefault="0082292C" w:rsidP="0082292C">
      <w:pPr>
        <w:jc w:val="both"/>
        <w:rPr>
          <w:rFonts w:eastAsia="Yu Gothic" w:cs="Times New Roman"/>
          <w:i/>
          <w:iCs/>
          <w:lang w:val="fr-FR"/>
        </w:rPr>
      </w:pPr>
      <w:r w:rsidRPr="004E13E9">
        <w:rPr>
          <w:rFonts w:eastAsia="MS Mincho" w:cs="Times New Roman"/>
          <w:i/>
          <w:lang w:val="fr-FR"/>
        </w:rPr>
        <w:t>Exigences en matière d'enregistrement dans le carnet de pêche</w:t>
      </w:r>
    </w:p>
    <w:p w14:paraId="2C268430" w14:textId="77777777" w:rsidR="0082292C" w:rsidRPr="004E13E9" w:rsidRDefault="0082292C" w:rsidP="0082292C">
      <w:pPr>
        <w:jc w:val="both"/>
        <w:rPr>
          <w:rFonts w:eastAsia="Yu Gothic" w:cs="Times New Roman"/>
          <w:i/>
          <w:iCs/>
          <w:lang w:val="fr-FR"/>
        </w:rPr>
      </w:pPr>
      <w:r w:rsidRPr="004E13E9">
        <w:rPr>
          <w:rFonts w:eastAsia="MS Mincho" w:cs="Times New Roman"/>
          <w:i/>
          <w:lang w:val="fr-FR"/>
        </w:rPr>
        <w:t>(Rec. 25-</w:t>
      </w:r>
      <w:proofErr w:type="gramStart"/>
      <w:r w:rsidRPr="004E13E9">
        <w:rPr>
          <w:rFonts w:eastAsia="MS Mincho" w:cs="Times New Roman"/>
          <w:i/>
          <w:lang w:val="fr-FR"/>
        </w:rPr>
        <w:t>04:</w:t>
      </w:r>
      <w:proofErr w:type="gramEnd"/>
      <w:r w:rsidRPr="004E13E9">
        <w:rPr>
          <w:rFonts w:eastAsia="MS Mincho" w:cs="Times New Roman"/>
          <w:i/>
          <w:lang w:val="fr-FR"/>
        </w:rPr>
        <w:t xml:space="preserve"> paragraphe </w:t>
      </w:r>
      <w:proofErr w:type="gramStart"/>
      <w:r w:rsidRPr="004E13E9">
        <w:rPr>
          <w:rFonts w:eastAsia="MS Mincho" w:cs="Times New Roman"/>
          <w:i/>
          <w:lang w:val="fr-FR"/>
        </w:rPr>
        <w:t>74;</w:t>
      </w:r>
      <w:proofErr w:type="gramEnd"/>
      <w:r w:rsidRPr="004E13E9">
        <w:rPr>
          <w:rFonts w:eastAsia="MS Mincho" w:cs="Times New Roman"/>
          <w:i/>
          <w:lang w:val="fr-FR"/>
        </w:rPr>
        <w:t xml:space="preserve"> annexe 2 </w:t>
      </w:r>
      <w:proofErr w:type="gramStart"/>
      <w:r w:rsidRPr="004E13E9">
        <w:rPr>
          <w:rFonts w:eastAsia="MS Mincho" w:cs="Times New Roman"/>
          <w:i/>
          <w:lang w:val="fr-FR"/>
        </w:rPr>
        <w:t>paragraphe</w:t>
      </w:r>
      <w:proofErr w:type="gramEnd"/>
      <w:r w:rsidRPr="004E13E9">
        <w:rPr>
          <w:rFonts w:eastAsia="MS Mincho" w:cs="Times New Roman"/>
          <w:i/>
          <w:lang w:val="fr-FR"/>
        </w:rPr>
        <w:t xml:space="preserve"> 2)</w:t>
      </w:r>
    </w:p>
    <w:p w14:paraId="5CA9FCA7" w14:textId="77777777" w:rsidR="0082292C" w:rsidRPr="004E13E9" w:rsidRDefault="0082292C" w:rsidP="0082292C">
      <w:pPr>
        <w:jc w:val="both"/>
        <w:rPr>
          <w:rFonts w:eastAsia="Yu Gothic" w:cs="Times New Roman"/>
          <w:lang w:val="fr-FR"/>
        </w:rPr>
      </w:pPr>
    </w:p>
    <w:p w14:paraId="004E7CFF" w14:textId="77777777" w:rsidR="0082292C" w:rsidRPr="004E13E9" w:rsidRDefault="0082292C" w:rsidP="0082292C">
      <w:pPr>
        <w:jc w:val="both"/>
        <w:rPr>
          <w:rFonts w:eastAsia="Yu Gothic" w:cs="Times New Roman"/>
          <w:lang w:val="fr-FR"/>
        </w:rPr>
      </w:pPr>
      <w:r w:rsidRPr="004E13E9">
        <w:rPr>
          <w:rFonts w:eastAsia="MS Mincho" w:cs="Times New Roman"/>
          <w:lang w:val="fr-FR"/>
        </w:rPr>
        <w:t>Les membres de la Sous-commission 2 ont convenu que le capitaine devait estimer et consigner le nombre et le poids vif des prises de thon rouge avant minuit le jour même de l'opération de pêche. Les membres de la Sous-commission 2 ont convenu que ces estimations pourraient être modifiées ultérieurement sur la base des estimations actualisées réalisées dans le cadre de l'opération de transfert.</w:t>
      </w:r>
    </w:p>
    <w:p w14:paraId="5E1DEC72" w14:textId="77777777" w:rsidR="0082292C" w:rsidRPr="004E13E9" w:rsidRDefault="0082292C" w:rsidP="0082292C">
      <w:pPr>
        <w:jc w:val="both"/>
        <w:rPr>
          <w:rFonts w:eastAsia="Yu Gothic" w:cs="Times New Roman"/>
          <w:lang w:val="fr-FR"/>
        </w:rPr>
      </w:pPr>
    </w:p>
    <w:p w14:paraId="3D04B8E4" w14:textId="77777777" w:rsidR="0082292C" w:rsidRPr="004E13E9" w:rsidRDefault="0082292C" w:rsidP="0082292C">
      <w:pPr>
        <w:jc w:val="both"/>
        <w:rPr>
          <w:rFonts w:eastAsia="Yu Gothic" w:cs="Times New Roman"/>
          <w:i/>
          <w:iCs/>
          <w:lang w:val="fr-FR"/>
        </w:rPr>
      </w:pPr>
      <w:r w:rsidRPr="004E13E9">
        <w:rPr>
          <w:rFonts w:eastAsia="MS Mincho" w:cs="Times New Roman"/>
          <w:i/>
          <w:lang w:val="fr-FR"/>
        </w:rPr>
        <w:t>Transferts inverses de la cage vers la madrague</w:t>
      </w:r>
    </w:p>
    <w:p w14:paraId="7935E522" w14:textId="77777777" w:rsidR="0082292C" w:rsidRPr="004E13E9" w:rsidRDefault="0082292C" w:rsidP="0082292C">
      <w:pPr>
        <w:jc w:val="both"/>
        <w:rPr>
          <w:rFonts w:eastAsia="Yu Gothic" w:cs="Times New Roman"/>
          <w:i/>
          <w:iCs/>
          <w:lang w:val="fr-FR"/>
        </w:rPr>
      </w:pPr>
      <w:r w:rsidRPr="004E13E9">
        <w:rPr>
          <w:rFonts w:eastAsia="MS Mincho" w:cs="Times New Roman"/>
          <w:i/>
          <w:lang w:val="fr-FR"/>
        </w:rPr>
        <w:t>(Rec. 25-04: paragraphe 2i) – deuxième tiret; annexe 4)</w:t>
      </w:r>
    </w:p>
    <w:p w14:paraId="23A42F2E" w14:textId="77777777" w:rsidR="0082292C" w:rsidRPr="004E13E9" w:rsidRDefault="0082292C" w:rsidP="0082292C">
      <w:pPr>
        <w:jc w:val="both"/>
        <w:rPr>
          <w:rFonts w:eastAsia="Yu Gothic" w:cs="Times New Roman"/>
          <w:lang w:val="fr-FR"/>
        </w:rPr>
      </w:pPr>
    </w:p>
    <w:p w14:paraId="6CB2CBDA" w14:textId="77777777" w:rsidR="0082292C" w:rsidRPr="004E13E9" w:rsidRDefault="0082292C" w:rsidP="0082292C">
      <w:pPr>
        <w:jc w:val="both"/>
        <w:rPr>
          <w:rFonts w:eastAsia="Yu Gothic" w:cs="Times New Roman"/>
          <w:lang w:val="fr-FR"/>
        </w:rPr>
      </w:pPr>
      <w:r w:rsidRPr="004E13E9">
        <w:rPr>
          <w:rFonts w:eastAsia="MS Mincho" w:cs="Times New Roman"/>
          <w:lang w:val="fr-FR"/>
        </w:rPr>
        <w:t xml:space="preserve">Les membres de la Sous-commission 2 ont fait remarquer que la </w:t>
      </w:r>
      <w:hyperlink r:id="rId31" w:history="1">
        <w:r w:rsidRPr="004E13E9">
          <w:rPr>
            <w:rFonts w:eastAsia="MS Mincho" w:cs="Times New Roman"/>
            <w:color w:val="0000FF"/>
            <w:lang w:val="fr-FR"/>
          </w:rPr>
          <w:t>Rec. 25-04</w:t>
        </w:r>
      </w:hyperlink>
      <w:r w:rsidRPr="004E13E9">
        <w:rPr>
          <w:rFonts w:eastAsia="MS Mincho" w:cs="Times New Roman"/>
          <w:lang w:val="fr-FR"/>
        </w:rPr>
        <w:t xml:space="preserve"> ne prévoit pas de transfert inverse des poissons de la cage reliée vers la madrague. </w:t>
      </w:r>
    </w:p>
    <w:p w14:paraId="224369BA" w14:textId="77777777" w:rsidR="0082292C" w:rsidRPr="004E13E9" w:rsidRDefault="0082292C" w:rsidP="0082292C">
      <w:pPr>
        <w:jc w:val="both"/>
        <w:rPr>
          <w:rFonts w:eastAsia="Yu Gothic" w:cs="Times New Roman"/>
          <w:lang w:val="fr-FR"/>
        </w:rPr>
      </w:pPr>
    </w:p>
    <w:p w14:paraId="0F3BBE0B" w14:textId="62731D2A" w:rsidR="0082292C" w:rsidRPr="004E13E9" w:rsidRDefault="0082292C" w:rsidP="0082292C">
      <w:pPr>
        <w:jc w:val="both"/>
        <w:rPr>
          <w:rFonts w:eastAsia="Yu Gothic" w:cs="Times New Roman"/>
          <w:lang w:val="fr-FR"/>
        </w:rPr>
      </w:pPr>
      <w:r w:rsidRPr="004E13E9">
        <w:rPr>
          <w:rFonts w:eastAsia="MS Mincho" w:cs="Times New Roman"/>
          <w:lang w:val="fr-FR"/>
        </w:rPr>
        <w:t xml:space="preserve">Les membres de la Sous-commission 2 ont convenu que, pour la prochaine saison de pêche, l'observateur régional devrait suivre la pratique antérieure, qui consiste à établir une déclaration de transfert </w:t>
      </w:r>
      <w:r w:rsidR="004A6643" w:rsidRPr="004E13E9">
        <w:rPr>
          <w:rFonts w:eastAsia="MS Mincho" w:cs="Times New Roman"/>
          <w:lang w:val="fr-FR"/>
        </w:rPr>
        <w:t xml:space="preserve">personnalisée </w:t>
      </w:r>
      <w:r w:rsidRPr="004E13E9">
        <w:rPr>
          <w:rFonts w:eastAsia="MS Mincho" w:cs="Times New Roman"/>
          <w:lang w:val="fr-FR"/>
        </w:rPr>
        <w:t xml:space="preserve">pour une telle opération et à signer cette déclaration afin de confirmer que l'opération a bien eu lieu, sans pour autant confirmer que celle-ci était conforme aux mesures de l’ICCAT. Ils ont convenu que l'observateur ne devait pas signaler de non-application potentielle (PNC) pour cette opération, car la </w:t>
      </w:r>
      <w:hyperlink r:id="rId32" w:history="1">
        <w:r w:rsidRPr="004E13E9">
          <w:rPr>
            <w:rFonts w:eastAsia="MS Mincho" w:cs="Times New Roman"/>
            <w:color w:val="0000FF"/>
            <w:lang w:val="fr-FR"/>
          </w:rPr>
          <w:t>Rec. 25-04</w:t>
        </w:r>
      </w:hyperlink>
      <w:r w:rsidRPr="004E13E9">
        <w:rPr>
          <w:rFonts w:eastAsia="MS Mincho" w:cs="Times New Roman"/>
          <w:lang w:val="fr-FR"/>
        </w:rPr>
        <w:t xml:space="preserve"> ne contient aucune disposition claire à ce sujet.</w:t>
      </w:r>
    </w:p>
    <w:p w14:paraId="01F66BB0" w14:textId="77777777" w:rsidR="0082292C" w:rsidRPr="004E13E9" w:rsidRDefault="0082292C" w:rsidP="0082292C">
      <w:pPr>
        <w:jc w:val="both"/>
        <w:rPr>
          <w:rFonts w:eastAsia="Yu Gothic" w:cs="Times New Roman"/>
          <w:lang w:val="fr-FR"/>
        </w:rPr>
      </w:pPr>
    </w:p>
    <w:p w14:paraId="658E018C" w14:textId="77777777" w:rsidR="0082292C" w:rsidRPr="004E13E9" w:rsidRDefault="0082292C" w:rsidP="0082292C">
      <w:pPr>
        <w:jc w:val="both"/>
        <w:rPr>
          <w:rFonts w:eastAsia="Yu Gothic" w:cs="Times New Roman"/>
          <w:lang w:val="fr-FR"/>
        </w:rPr>
      </w:pPr>
      <w:r w:rsidRPr="004E13E9">
        <w:rPr>
          <w:rFonts w:eastAsia="MS Mincho" w:cs="Times New Roman"/>
          <w:lang w:val="fr-FR"/>
        </w:rPr>
        <w:t xml:space="preserve">Les membres de la Sous-commission 2 ont convenu d'examiner, lors de la réunion annuelle, la possibilité de modifier la </w:t>
      </w:r>
      <w:bookmarkStart w:id="3" w:name="_Hlk224040940"/>
      <w:r w:rsidRPr="004E13E9">
        <w:rPr>
          <w:rFonts w:eastAsia="MS Mincho" w:cs="Times New Roman"/>
          <w:lang w:val="fr-FR"/>
        </w:rPr>
        <w:fldChar w:fldCharType="begin"/>
      </w:r>
      <w:r w:rsidRPr="004E13E9">
        <w:rPr>
          <w:rFonts w:eastAsia="MS Mincho" w:cs="Times New Roman"/>
          <w:lang w:val="fr-FR"/>
        </w:rPr>
        <w:instrText>HYPERLINK "https://www.iccat.int/Documents/Recs/compendiopdf-f/2025-04-f.pdf"</w:instrText>
      </w:r>
      <w:r w:rsidRPr="004E13E9">
        <w:rPr>
          <w:rFonts w:eastAsia="MS Mincho" w:cs="Times New Roman"/>
          <w:lang w:val="fr-FR"/>
        </w:rPr>
      </w:r>
      <w:r w:rsidRPr="004E13E9">
        <w:rPr>
          <w:rFonts w:eastAsia="MS Mincho" w:cs="Times New Roman"/>
          <w:lang w:val="fr-FR"/>
        </w:rPr>
        <w:fldChar w:fldCharType="separate"/>
      </w:r>
      <w:r w:rsidRPr="004E13E9">
        <w:rPr>
          <w:rFonts w:eastAsia="MS Mincho" w:cs="Times New Roman"/>
          <w:color w:val="0000FF"/>
          <w:lang w:val="fr-FR"/>
        </w:rPr>
        <w:t>Rec. 25-04</w:t>
      </w:r>
      <w:r w:rsidRPr="004E13E9">
        <w:rPr>
          <w:rFonts w:eastAsia="MS Mincho" w:cs="Times New Roman"/>
          <w:lang w:val="fr-FR"/>
        </w:rPr>
        <w:fldChar w:fldCharType="end"/>
      </w:r>
      <w:bookmarkEnd w:id="3"/>
      <w:r w:rsidRPr="004E13E9">
        <w:rPr>
          <w:rFonts w:eastAsia="MS Mincho" w:cs="Times New Roman"/>
          <w:lang w:val="fr-FR"/>
        </w:rPr>
        <w:t>afin d'y inclure ces transferts inverses de la cage vers la madrague.</w:t>
      </w:r>
    </w:p>
    <w:p w14:paraId="13DE4410" w14:textId="77777777" w:rsidR="0082292C" w:rsidRPr="004E13E9" w:rsidRDefault="0082292C" w:rsidP="0082292C">
      <w:pPr>
        <w:jc w:val="both"/>
        <w:rPr>
          <w:rFonts w:eastAsia="Yu Gothic" w:cs="Times New Roman"/>
          <w:lang w:val="fr-FR"/>
        </w:rPr>
      </w:pPr>
    </w:p>
    <w:p w14:paraId="50E5C904" w14:textId="3D476F06" w:rsidR="0082292C" w:rsidRPr="004E13E9" w:rsidRDefault="0082292C" w:rsidP="0082292C">
      <w:pPr>
        <w:jc w:val="both"/>
        <w:rPr>
          <w:rFonts w:eastAsia="Yu Gothic" w:cs="Times New Roman"/>
          <w:i/>
          <w:iCs/>
          <w:lang w:val="fr-FR"/>
        </w:rPr>
      </w:pPr>
      <w:r w:rsidRPr="004E13E9">
        <w:rPr>
          <w:rFonts w:eastAsia="MS Mincho" w:cs="Times New Roman"/>
          <w:i/>
          <w:lang w:val="fr-FR"/>
        </w:rPr>
        <w:t>Libérations depuis les fermes</w:t>
      </w:r>
    </w:p>
    <w:p w14:paraId="1A5D88EE" w14:textId="77777777" w:rsidR="0082292C" w:rsidRPr="004E13E9" w:rsidRDefault="0082292C" w:rsidP="0082292C">
      <w:pPr>
        <w:jc w:val="both"/>
        <w:rPr>
          <w:rFonts w:eastAsia="Yu Gothic" w:cs="Times New Roman"/>
          <w:i/>
          <w:iCs/>
          <w:lang w:val="fr-FR"/>
        </w:rPr>
      </w:pPr>
      <w:r w:rsidRPr="004E13E9">
        <w:rPr>
          <w:rFonts w:eastAsia="MS Mincho" w:cs="Times New Roman"/>
          <w:i/>
          <w:lang w:val="fr-FR"/>
        </w:rPr>
        <w:t>(Rec. 25-04: Annexe 10 paragraphe 9)</w:t>
      </w:r>
    </w:p>
    <w:p w14:paraId="115ACA36" w14:textId="77777777" w:rsidR="0082292C" w:rsidRPr="004E13E9" w:rsidRDefault="0082292C" w:rsidP="0082292C">
      <w:pPr>
        <w:jc w:val="both"/>
        <w:rPr>
          <w:rFonts w:eastAsia="Yu Gothic" w:cs="Times New Roman"/>
          <w:lang w:val="fr-FR"/>
        </w:rPr>
      </w:pPr>
    </w:p>
    <w:p w14:paraId="630C327C" w14:textId="77777777" w:rsidR="0082292C" w:rsidRPr="004E13E9" w:rsidRDefault="0082292C" w:rsidP="0082292C">
      <w:pPr>
        <w:jc w:val="both"/>
        <w:rPr>
          <w:rFonts w:eastAsia="Yu Gothic" w:cs="Times New Roman"/>
          <w:lang w:val="fr-FR"/>
        </w:rPr>
      </w:pPr>
      <w:r w:rsidRPr="004E13E9">
        <w:rPr>
          <w:rFonts w:eastAsia="MS Mincho" w:cs="Times New Roman"/>
          <w:lang w:val="fr-FR"/>
        </w:rPr>
        <w:t xml:space="preserve">Les membres de la Sous-commission 2 ont convenu que les libérations devaient être effectuées à la distance minimale prévue par la </w:t>
      </w:r>
      <w:hyperlink r:id="rId33" w:history="1">
        <w:r w:rsidRPr="004E13E9">
          <w:rPr>
            <w:rFonts w:eastAsia="MS Mincho" w:cs="Times New Roman"/>
            <w:color w:val="0000FF"/>
            <w:lang w:val="fr-FR"/>
          </w:rPr>
          <w:t>Rec. 25-04</w:t>
        </w:r>
      </w:hyperlink>
      <w:r w:rsidRPr="004E13E9">
        <w:rPr>
          <w:rFonts w:eastAsia="MS Mincho" w:cs="Times New Roman"/>
          <w:lang w:val="fr-FR"/>
        </w:rPr>
        <w:t xml:space="preserve"> et que toute libération directe depuis la ferme serait considérée comme une non-application.</w:t>
      </w:r>
    </w:p>
    <w:p w14:paraId="65F9BA14" w14:textId="77777777" w:rsidR="0082292C" w:rsidRPr="004E13E9" w:rsidRDefault="0082292C" w:rsidP="0082292C">
      <w:pPr>
        <w:jc w:val="both"/>
        <w:rPr>
          <w:rFonts w:eastAsia="Yu Gothic" w:cs="Times New Roman"/>
          <w:lang w:val="fr-FR"/>
        </w:rPr>
      </w:pPr>
    </w:p>
    <w:p w14:paraId="386474D9" w14:textId="77777777" w:rsidR="0082292C" w:rsidRPr="004E13E9" w:rsidRDefault="0082292C" w:rsidP="0082292C">
      <w:pPr>
        <w:jc w:val="both"/>
        <w:rPr>
          <w:rFonts w:eastAsia="Yu Gothic" w:cs="Times New Roman"/>
          <w:i/>
          <w:iCs/>
          <w:lang w:val="fr-FR"/>
        </w:rPr>
      </w:pPr>
      <w:r w:rsidRPr="004E13E9">
        <w:rPr>
          <w:rFonts w:eastAsia="MS Mincho" w:cs="Times New Roman"/>
          <w:i/>
          <w:lang w:val="fr-FR"/>
        </w:rPr>
        <w:t>Scellés dans les fermes pendant le déploiement couvrant la mise à mort</w:t>
      </w:r>
    </w:p>
    <w:p w14:paraId="00E36BAC" w14:textId="77777777" w:rsidR="0082292C" w:rsidRPr="004E13E9" w:rsidRDefault="0082292C" w:rsidP="0082292C">
      <w:pPr>
        <w:jc w:val="both"/>
        <w:rPr>
          <w:rFonts w:eastAsia="Yu Gothic" w:cs="Times New Roman"/>
          <w:i/>
          <w:iCs/>
          <w:lang w:val="fr-FR"/>
        </w:rPr>
      </w:pPr>
      <w:r w:rsidRPr="004E13E9">
        <w:rPr>
          <w:rFonts w:eastAsia="MS Mincho" w:cs="Times New Roman"/>
          <w:i/>
          <w:lang w:val="fr-FR"/>
        </w:rPr>
        <w:t>(Rec. 25-04: paragraphe 159)</w:t>
      </w:r>
    </w:p>
    <w:p w14:paraId="2FA659DC" w14:textId="77777777" w:rsidR="0082292C" w:rsidRPr="004E13E9" w:rsidRDefault="0082292C" w:rsidP="0082292C">
      <w:pPr>
        <w:jc w:val="both"/>
        <w:rPr>
          <w:rFonts w:eastAsia="Yu Gothic" w:cs="Times New Roman"/>
          <w:lang w:val="fr-FR"/>
        </w:rPr>
      </w:pPr>
    </w:p>
    <w:p w14:paraId="1BD2257E" w14:textId="77777777" w:rsidR="0082292C" w:rsidRPr="004E13E9" w:rsidRDefault="0082292C" w:rsidP="0082292C">
      <w:pPr>
        <w:jc w:val="both"/>
        <w:rPr>
          <w:rFonts w:eastAsia="Yu Gothic" w:cs="Times New Roman"/>
          <w:lang w:val="fr-FR"/>
        </w:rPr>
      </w:pPr>
      <w:r w:rsidRPr="004E13E9">
        <w:rPr>
          <w:rFonts w:eastAsia="MS Mincho" w:cs="Times New Roman"/>
          <w:lang w:val="fr-FR"/>
        </w:rPr>
        <w:t>Les membres de la Sous-commission 2 ont convenu que les autorités compétentes des CPC devaient fournir les scellés à leurs fermes et qu'il n'était pas nécessaire de les remettre aux observateurs régionaux.</w:t>
      </w:r>
    </w:p>
    <w:p w14:paraId="15BD1FA3" w14:textId="77777777" w:rsidR="00C712A4" w:rsidRDefault="00C712A4" w:rsidP="00C712A4">
      <w:pPr>
        <w:rPr>
          <w:lang w:val="fr-FR"/>
        </w:rPr>
      </w:pPr>
    </w:p>
    <w:p w14:paraId="2E0CEAFF" w14:textId="41FCAE72" w:rsidR="003820D9" w:rsidRPr="004E13E9" w:rsidRDefault="003820D9" w:rsidP="00C712A4">
      <w:pPr>
        <w:rPr>
          <w:lang w:val="fr-FR"/>
        </w:rPr>
      </w:pPr>
      <w:r w:rsidRPr="004E13E9">
        <w:rPr>
          <w:lang w:val="fr-FR"/>
        </w:rPr>
        <w:t xml:space="preserve">Le résumé des réponses des CPC et la conclusion finale de la Sous-commission 2 concernant les </w:t>
      </w:r>
      <w:r w:rsidR="005F26D9" w:rsidRPr="004E13E9">
        <w:rPr>
          <w:lang w:val="fr-FR"/>
        </w:rPr>
        <w:t>demandes d’</w:t>
      </w:r>
      <w:r w:rsidR="00C250F8" w:rsidRPr="004E13E9">
        <w:rPr>
          <w:lang w:val="fr-FR"/>
        </w:rPr>
        <w:t>éclaircissements</w:t>
      </w:r>
      <w:r w:rsidRPr="004E13E9">
        <w:rPr>
          <w:lang w:val="fr-FR"/>
        </w:rPr>
        <w:t xml:space="preserve"> </w:t>
      </w:r>
      <w:r w:rsidR="00DF6927" w:rsidRPr="004E13E9">
        <w:rPr>
          <w:lang w:val="fr-FR"/>
        </w:rPr>
        <w:t xml:space="preserve">en ce qui concerne la </w:t>
      </w:r>
      <w:hyperlink r:id="rId34" w:history="1">
        <w:r w:rsidR="00DF6927" w:rsidRPr="004E13E9">
          <w:rPr>
            <w:rStyle w:val="Hyperlink"/>
            <w:u w:val="none"/>
            <w:lang w:val="fr-FR"/>
          </w:rPr>
          <w:t>Rec. 25-04</w:t>
        </w:r>
      </w:hyperlink>
      <w:r w:rsidR="00DF6927" w:rsidRPr="004E13E9">
        <w:rPr>
          <w:lang w:val="fr-FR"/>
        </w:rPr>
        <w:t xml:space="preserve"> soumises par le Consortium chargé de la mise en œuvre du Programme d’observateurs régionaux de l’ICCAT pour le thon rouge (ROP-BFT)</w:t>
      </w:r>
      <w:r w:rsidRPr="004E13E9">
        <w:rPr>
          <w:lang w:val="fr-FR"/>
        </w:rPr>
        <w:t xml:space="preserve"> figur</w:t>
      </w:r>
      <w:r w:rsidR="00DF6927" w:rsidRPr="004E13E9">
        <w:rPr>
          <w:lang w:val="fr-FR"/>
        </w:rPr>
        <w:t>e</w:t>
      </w:r>
      <w:r w:rsidRPr="004E13E9">
        <w:rPr>
          <w:lang w:val="fr-FR"/>
        </w:rPr>
        <w:t xml:space="preserve"> à l’</w:t>
      </w:r>
      <w:r w:rsidRPr="004E13E9">
        <w:rPr>
          <w:b/>
          <w:bCs/>
          <w:lang w:val="fr-FR"/>
        </w:rPr>
        <w:t>appendice 5</w:t>
      </w:r>
      <w:r w:rsidR="00DB110A" w:rsidRPr="004E13E9">
        <w:rPr>
          <w:lang w:val="fr-FR"/>
        </w:rPr>
        <w:t>.</w:t>
      </w:r>
    </w:p>
    <w:p w14:paraId="0C04C52C" w14:textId="77777777" w:rsidR="003820D9" w:rsidRDefault="003820D9" w:rsidP="0082292C">
      <w:pPr>
        <w:jc w:val="both"/>
        <w:rPr>
          <w:rFonts w:eastAsia="Yu Gothic" w:cs="Times New Roman"/>
          <w:lang w:val="fr-FR"/>
        </w:rPr>
      </w:pPr>
    </w:p>
    <w:p w14:paraId="4DB5C41C" w14:textId="77777777" w:rsidR="00C712A4" w:rsidRDefault="00C712A4" w:rsidP="0082292C">
      <w:pPr>
        <w:jc w:val="both"/>
        <w:rPr>
          <w:rFonts w:eastAsia="Yu Gothic" w:cs="Times New Roman"/>
          <w:lang w:val="fr-FR"/>
        </w:rPr>
      </w:pPr>
    </w:p>
    <w:p w14:paraId="693DC716" w14:textId="77777777" w:rsidR="00C712A4" w:rsidRPr="004E13E9" w:rsidRDefault="00C712A4" w:rsidP="0082292C">
      <w:pPr>
        <w:jc w:val="both"/>
        <w:rPr>
          <w:rFonts w:eastAsia="Yu Gothic" w:cs="Times New Roman"/>
          <w:lang w:val="fr-FR"/>
        </w:rPr>
      </w:pPr>
    </w:p>
    <w:p w14:paraId="2FF0C2D1" w14:textId="77777777" w:rsidR="0082292C" w:rsidRPr="004E13E9" w:rsidRDefault="0082292C" w:rsidP="0082292C">
      <w:pPr>
        <w:jc w:val="both"/>
        <w:rPr>
          <w:rFonts w:eastAsia="Yu Gothic" w:cs="Times New Roman"/>
          <w:b/>
          <w:bCs/>
          <w:i/>
          <w:iCs/>
          <w:lang w:val="fr-FR"/>
        </w:rPr>
      </w:pPr>
      <w:r w:rsidRPr="004E13E9">
        <w:rPr>
          <w:rFonts w:eastAsia="MS Mincho" w:cs="Times New Roman"/>
          <w:b/>
          <w:i/>
          <w:lang w:val="fr-FR"/>
        </w:rPr>
        <w:lastRenderedPageBreak/>
        <w:t>Demandes d'éclaircissements du Secrétariat de l’ICCAT</w:t>
      </w:r>
    </w:p>
    <w:p w14:paraId="426E8851" w14:textId="77777777" w:rsidR="0082292C" w:rsidRPr="004E13E9" w:rsidRDefault="0082292C" w:rsidP="0082292C">
      <w:pPr>
        <w:jc w:val="both"/>
        <w:rPr>
          <w:rFonts w:eastAsia="Yu Gothic" w:cs="Times New Roman"/>
          <w:lang w:val="fr-FR"/>
        </w:rPr>
      </w:pPr>
    </w:p>
    <w:p w14:paraId="257074B4" w14:textId="6C55795F" w:rsidR="0082292C" w:rsidRPr="004E13E9" w:rsidRDefault="0082292C" w:rsidP="0082292C">
      <w:pPr>
        <w:jc w:val="both"/>
        <w:rPr>
          <w:rFonts w:eastAsia="Yu Gothic" w:cs="Times New Roman"/>
          <w:lang w:val="fr-FR"/>
        </w:rPr>
      </w:pPr>
      <w:r w:rsidRPr="004E13E9">
        <w:rPr>
          <w:rFonts w:eastAsia="MS Mincho" w:cs="Times New Roman"/>
          <w:lang w:val="fr-FR"/>
        </w:rPr>
        <w:t xml:space="preserve">Les membres de la Sous-commission 2 ont examiné le document intitulé </w:t>
      </w:r>
      <w:r w:rsidR="002F41E7" w:rsidRPr="004E13E9">
        <w:rPr>
          <w:rFonts w:eastAsia="MS Mincho" w:cs="Times New Roman"/>
          <w:lang w:val="fr-FR"/>
        </w:rPr>
        <w:t>« </w:t>
      </w:r>
      <w:r w:rsidRPr="004E13E9">
        <w:rPr>
          <w:rFonts w:eastAsia="MS Mincho" w:cs="Times New Roman"/>
          <w:lang w:val="fr-FR"/>
        </w:rPr>
        <w:t xml:space="preserve">Demandes de précisions concernant les Recommandations </w:t>
      </w:r>
      <w:hyperlink r:id="rId35" w:history="1">
        <w:r w:rsidRPr="004E13E9">
          <w:rPr>
            <w:rFonts w:eastAsia="MS Mincho" w:cs="Times New Roman"/>
            <w:color w:val="0000FF"/>
            <w:lang w:val="fr-FR"/>
          </w:rPr>
          <w:t>24-05</w:t>
        </w:r>
      </w:hyperlink>
      <w:r w:rsidRPr="004E13E9">
        <w:rPr>
          <w:rFonts w:eastAsia="MS Mincho" w:cs="Times New Roman"/>
          <w:lang w:val="fr-FR"/>
        </w:rPr>
        <w:t xml:space="preserve"> et </w:t>
      </w:r>
      <w:hyperlink r:id="rId36" w:history="1">
        <w:r w:rsidRPr="004E13E9">
          <w:rPr>
            <w:rFonts w:eastAsia="MS Mincho" w:cs="Times New Roman"/>
            <w:color w:val="0000FF"/>
            <w:lang w:val="fr-FR"/>
          </w:rPr>
          <w:t>25-04</w:t>
        </w:r>
      </w:hyperlink>
      <w:r w:rsidR="002F41E7" w:rsidRPr="004E13E9">
        <w:rPr>
          <w:lang w:val="fr-FR"/>
        </w:rPr>
        <w:t> »</w:t>
      </w:r>
      <w:r w:rsidRPr="004E13E9">
        <w:rPr>
          <w:rFonts w:eastAsia="MS Mincho" w:cs="Times New Roman"/>
          <w:lang w:val="fr-FR"/>
        </w:rPr>
        <w:t xml:space="preserve"> et ont rédigé une version révisée incluant les conclusions de la Sous-commission 2. Le résumé des réponses figure à l'</w:t>
      </w:r>
      <w:r w:rsidRPr="004E13E9">
        <w:rPr>
          <w:rFonts w:eastAsia="MS Mincho" w:cs="Times New Roman"/>
          <w:b/>
          <w:bCs/>
          <w:lang w:val="fr-FR"/>
        </w:rPr>
        <w:t>appendice 6</w:t>
      </w:r>
      <w:r w:rsidRPr="004E13E9">
        <w:rPr>
          <w:rFonts w:eastAsia="MS Mincho" w:cs="Times New Roman"/>
          <w:lang w:val="fr-FR"/>
        </w:rPr>
        <w:t>.</w:t>
      </w:r>
    </w:p>
    <w:p w14:paraId="6639D8BB" w14:textId="77777777" w:rsidR="0082292C" w:rsidRPr="004E13E9" w:rsidRDefault="0082292C" w:rsidP="0082292C">
      <w:pPr>
        <w:jc w:val="both"/>
        <w:rPr>
          <w:rFonts w:eastAsia="Yu Gothic" w:cs="Times New Roman"/>
          <w:lang w:val="fr-FR"/>
        </w:rPr>
      </w:pPr>
    </w:p>
    <w:p w14:paraId="543C78BD" w14:textId="77777777" w:rsidR="0082292C" w:rsidRPr="004E13E9" w:rsidRDefault="0082292C" w:rsidP="0082292C">
      <w:pPr>
        <w:jc w:val="both"/>
        <w:rPr>
          <w:rFonts w:eastAsia="Yu Gothic" w:cs="Times New Roman"/>
          <w:lang w:val="fr-FR"/>
        </w:rPr>
      </w:pPr>
    </w:p>
    <w:p w14:paraId="2EF0DFB3" w14:textId="69317445" w:rsidR="0082292C" w:rsidRPr="004E13E9" w:rsidRDefault="00816B7D" w:rsidP="00816B7D">
      <w:pPr>
        <w:spacing w:after="160" w:line="254" w:lineRule="auto"/>
        <w:ind w:left="426" w:hanging="426"/>
        <w:contextualSpacing/>
        <w:jc w:val="both"/>
        <w:rPr>
          <w:rFonts w:eastAsia="Yu Gothic" w:cs="Times New Roman"/>
          <w:b/>
          <w:bCs/>
          <w:lang w:val="fr-FR"/>
        </w:rPr>
      </w:pPr>
      <w:r w:rsidRPr="004E13E9">
        <w:rPr>
          <w:rFonts w:eastAsia="MS Mincho" w:cs="Times New Roman"/>
          <w:b/>
          <w:lang w:val="fr-FR"/>
        </w:rPr>
        <w:t xml:space="preserve">8. </w:t>
      </w:r>
      <w:r w:rsidRPr="004E13E9">
        <w:rPr>
          <w:rFonts w:eastAsia="MS Mincho" w:cs="Times New Roman"/>
          <w:b/>
          <w:lang w:val="fr-FR"/>
        </w:rPr>
        <w:tab/>
      </w:r>
      <w:r w:rsidR="0082292C" w:rsidRPr="004E13E9">
        <w:rPr>
          <w:rFonts w:eastAsia="MS Mincho" w:cs="Times New Roman"/>
          <w:b/>
          <w:lang w:val="fr-FR"/>
        </w:rPr>
        <w:t>Discussion sur la procédure de gestion (MP) / évaluation de la stratégie de gestion (MSE) du thon rouge</w:t>
      </w:r>
    </w:p>
    <w:p w14:paraId="69C2A539" w14:textId="77777777" w:rsidR="0082292C" w:rsidRPr="004E13E9" w:rsidRDefault="0082292C" w:rsidP="0082292C">
      <w:pPr>
        <w:tabs>
          <w:tab w:val="left" w:pos="426"/>
        </w:tabs>
        <w:jc w:val="both"/>
        <w:rPr>
          <w:rFonts w:eastAsia="Yu Gothic" w:cs="Times New Roman"/>
          <w:lang w:val="fr-FR"/>
        </w:rPr>
      </w:pPr>
    </w:p>
    <w:p w14:paraId="6B497BAF" w14:textId="77777777" w:rsidR="0082292C" w:rsidRPr="004E13E9" w:rsidRDefault="0082292C" w:rsidP="0082292C">
      <w:pPr>
        <w:jc w:val="both"/>
        <w:rPr>
          <w:rFonts w:eastAsia="Yu Gothic" w:cs="Times New Roman"/>
          <w:b/>
          <w:bCs/>
          <w:i/>
          <w:iCs/>
          <w:lang w:val="fr-FR"/>
        </w:rPr>
      </w:pPr>
      <w:r w:rsidRPr="004E13E9">
        <w:rPr>
          <w:rFonts w:eastAsia="MS Mincho" w:cs="Times New Roman"/>
          <w:b/>
          <w:i/>
          <w:lang w:val="fr-FR"/>
        </w:rPr>
        <w:t>8.1 Mises à jour concernant les travaux du SCRS sur le thon rouge</w:t>
      </w:r>
    </w:p>
    <w:p w14:paraId="7D1ACBB3" w14:textId="77777777" w:rsidR="0082292C" w:rsidRPr="004E13E9" w:rsidRDefault="0082292C" w:rsidP="0082292C">
      <w:pPr>
        <w:tabs>
          <w:tab w:val="left" w:pos="426"/>
        </w:tabs>
        <w:jc w:val="both"/>
        <w:rPr>
          <w:rFonts w:eastAsia="Yu Gothic" w:cs="Times New Roman"/>
          <w:lang w:val="fr-FR"/>
        </w:rPr>
      </w:pPr>
    </w:p>
    <w:p w14:paraId="08059E39" w14:textId="50568322" w:rsidR="0082292C" w:rsidRPr="004E13E9" w:rsidRDefault="0082292C" w:rsidP="0082292C">
      <w:pPr>
        <w:tabs>
          <w:tab w:val="left" w:pos="426"/>
        </w:tabs>
        <w:jc w:val="both"/>
        <w:rPr>
          <w:rFonts w:eastAsia="Yu Gothic" w:cs="Times New Roman"/>
          <w:lang w:val="fr-FR"/>
        </w:rPr>
      </w:pPr>
      <w:r w:rsidRPr="004E13E9">
        <w:rPr>
          <w:rFonts w:eastAsia="MS Mincho" w:cs="Times New Roman"/>
          <w:lang w:val="fr-FR"/>
        </w:rPr>
        <w:t xml:space="preserve">Le Président du SCRS a fait le point sur les travaux du SCRS sur la MSE concernant le thon rouge. Conformément à la feuille de route de l'ICCAT relative à la MSE, le SCRS doit, en 2026, procéder à un bilan de situation, entamer la révision de la MP, présenter ses travaux à la Sous-commission 2 et vérifier l'existence de circonstances exceptionnelles. La Commission doit examiner les progrès réalisés par le SCRS concernant le bilan de situation et la révision de la MP. En 2027, le SCRS doit poursuivre sa révision de la MP, présenter ses travaux à la Sous-commission 2 afin de recueillir ses commentaires, et vérifier s'il existe des circonstances exceptionnelles. La Commission doit examiner les progrès réalisés par le SCRS dans le cadre de la révision de la MP. En 2028, le SCRS devra finaliser toute révision de la MP, présenter ses travaux à la Sous-commission 2 pour obtenir un avis définitif, fournir </w:t>
      </w:r>
      <w:r w:rsidR="00C554C7" w:rsidRPr="004E13E9">
        <w:rPr>
          <w:rFonts w:eastAsia="MS Mincho" w:cs="Times New Roman"/>
          <w:lang w:val="fr-FR"/>
        </w:rPr>
        <w:t>un avis sur l</w:t>
      </w:r>
      <w:r w:rsidRPr="004E13E9">
        <w:rPr>
          <w:rFonts w:eastAsia="MS Mincho" w:cs="Times New Roman"/>
          <w:lang w:val="fr-FR"/>
        </w:rPr>
        <w:t xml:space="preserve">es TAC pour la période 2029-2031 sur la base de la MP actuelle ou d'une MP alternative, et vérifier l'existence de circonstances exceptionnelles. La Commission doit adopter les TAC pour 2029-2031 sur la base de la MP actuelle ou d'une MP </w:t>
      </w:r>
      <w:r w:rsidR="00471DEF" w:rsidRPr="004E13E9">
        <w:rPr>
          <w:rFonts w:eastAsia="MS Mincho" w:cs="Times New Roman"/>
          <w:lang w:val="fr-FR"/>
        </w:rPr>
        <w:t>mise à jour/</w:t>
      </w:r>
      <w:r w:rsidRPr="004E13E9">
        <w:rPr>
          <w:rFonts w:eastAsia="MS Mincho" w:cs="Times New Roman"/>
          <w:lang w:val="fr-FR"/>
        </w:rPr>
        <w:t>alternative.</w:t>
      </w:r>
    </w:p>
    <w:p w14:paraId="5A939E7D" w14:textId="77777777" w:rsidR="0082292C" w:rsidRPr="004E13E9" w:rsidRDefault="0082292C" w:rsidP="0082292C">
      <w:pPr>
        <w:tabs>
          <w:tab w:val="left" w:pos="426"/>
        </w:tabs>
        <w:jc w:val="both"/>
        <w:rPr>
          <w:rFonts w:eastAsia="Yu Gothic" w:cs="Times New Roman"/>
          <w:lang w:val="fr-FR"/>
        </w:rPr>
      </w:pPr>
    </w:p>
    <w:p w14:paraId="6C33FA93" w14:textId="77777777" w:rsidR="0082292C" w:rsidRPr="004E13E9" w:rsidRDefault="0082292C" w:rsidP="0082292C">
      <w:pPr>
        <w:tabs>
          <w:tab w:val="left" w:pos="426"/>
        </w:tabs>
        <w:jc w:val="both"/>
        <w:rPr>
          <w:rFonts w:eastAsia="Yu Gothic" w:cs="Times New Roman"/>
          <w:lang w:val="fr-FR"/>
        </w:rPr>
      </w:pPr>
      <w:r w:rsidRPr="004E13E9">
        <w:rPr>
          <w:rFonts w:eastAsia="MS Mincho" w:cs="Times New Roman"/>
          <w:lang w:val="fr-FR"/>
        </w:rPr>
        <w:t>Le Président du SCRS a expliqué que, conformément au plan de travail du SCRS, les principales priorités du SCRS pour 2026 et au-delà consistent à réaliser une évaluation de l'état des stocks (« bilan de situation »), à examiner et à affiner le cadre de la MSE, ainsi qu'à élaborer des procédures de gestion potentielles (CMP). Ce travail vise à étayer l’avis concernant le TAC pour la période 2029-2031. Lors de la présente réunion intersessions de la Sous-commission 2, le SCRS souhaite engager un dialogue sur son plan de travail et recueillir les commentaires de la Sous-commission 2, notamment sur les objectifs de gestion, la structure et le fonctionnement du modèle opérationnel (OM) ainsi que la structure de la MP.</w:t>
      </w:r>
    </w:p>
    <w:p w14:paraId="2120B917" w14:textId="77777777" w:rsidR="0082292C" w:rsidRPr="004E13E9" w:rsidRDefault="0082292C" w:rsidP="0082292C">
      <w:pPr>
        <w:tabs>
          <w:tab w:val="left" w:pos="426"/>
        </w:tabs>
        <w:jc w:val="both"/>
        <w:rPr>
          <w:rFonts w:eastAsia="Yu Gothic" w:cs="Times New Roman"/>
          <w:lang w:val="fr-FR"/>
        </w:rPr>
      </w:pPr>
    </w:p>
    <w:p w14:paraId="7F69592E" w14:textId="77777777" w:rsidR="0082292C" w:rsidRPr="004E13E9" w:rsidRDefault="0082292C" w:rsidP="0082292C">
      <w:pPr>
        <w:tabs>
          <w:tab w:val="left" w:pos="426"/>
        </w:tabs>
        <w:jc w:val="both"/>
        <w:rPr>
          <w:rFonts w:eastAsia="Yu Gothic" w:cs="Times New Roman"/>
          <w:lang w:val="fr-FR"/>
        </w:rPr>
      </w:pPr>
      <w:r w:rsidRPr="004E13E9">
        <w:rPr>
          <w:rFonts w:eastAsia="MS Mincho" w:cs="Times New Roman"/>
          <w:lang w:val="fr-FR"/>
        </w:rPr>
        <w:t>Le Président du SCRS a expliqué que le « bilan de situation » du thon rouge de 2026 est une évaluation ciblée visant à fournir une estimation ponctuelle de la mortalité par pêche et, dans la mesure du possible, de la biomasse du stock. Les principaux objectifs consistent à effectuer un scénario de continuité , à valider les données et à intégrer les dernières connaissances scientifiques. Le « bilan de situation » facilitera les révisions de la MSE en identifiant les améliorations à apporter au modèle, en élaborant un cadre de travail préliminaire et en permettant de définir la portée des données. Les révisions prévues de la MSE comprennent l'affinement du modèle, le reconditionnement des OM, ainsi que le développement et le « recalibrage» de la MP.</w:t>
      </w:r>
    </w:p>
    <w:p w14:paraId="323A29E1" w14:textId="1CB04E6A" w:rsidR="00DF6927" w:rsidRPr="004E13E9" w:rsidRDefault="00DF6927">
      <w:pPr>
        <w:rPr>
          <w:rFonts w:eastAsia="MS Mincho" w:cs="Times New Roman"/>
          <w:lang w:val="fr-FR"/>
        </w:rPr>
      </w:pPr>
    </w:p>
    <w:p w14:paraId="1B7A0585" w14:textId="2D6AD6BD" w:rsidR="0082292C" w:rsidRPr="004E13E9" w:rsidRDefault="0082292C" w:rsidP="0082292C">
      <w:pPr>
        <w:tabs>
          <w:tab w:val="left" w:pos="426"/>
        </w:tabs>
        <w:jc w:val="both"/>
        <w:rPr>
          <w:rFonts w:eastAsia="Yu Gothic" w:cs="Times New Roman"/>
          <w:lang w:val="fr-FR"/>
        </w:rPr>
      </w:pPr>
      <w:r w:rsidRPr="004E13E9">
        <w:rPr>
          <w:rFonts w:eastAsia="MS Mincho" w:cs="Times New Roman"/>
          <w:lang w:val="fr-FR"/>
        </w:rPr>
        <w:t xml:space="preserve">Le Président du SCRS a expliqué qu'en septembre 2026, le SCRS prévoit de finaliser </w:t>
      </w:r>
      <w:r w:rsidR="00120A8B" w:rsidRPr="004E13E9">
        <w:rPr>
          <w:rFonts w:eastAsia="MS Mincho" w:cs="Times New Roman"/>
          <w:lang w:val="fr-FR"/>
        </w:rPr>
        <w:t>la vérification de l'état,</w:t>
      </w:r>
      <w:r w:rsidRPr="004E13E9">
        <w:rPr>
          <w:rFonts w:eastAsia="MS Mincho" w:cs="Times New Roman"/>
          <w:lang w:val="fr-FR"/>
        </w:rPr>
        <w:t xml:space="preserve"> d'approuver les postulats structurels de la MSE et la « date butoir» des données de la MSE, de mener à bien la mise à jour annuelle de l'indice jusqu'en 2025, de </w:t>
      </w:r>
      <w:r w:rsidR="000D6E00" w:rsidRPr="004E13E9">
        <w:rPr>
          <w:rFonts w:eastAsia="MS Mincho" w:cs="Times New Roman"/>
          <w:lang w:val="fr-FR"/>
        </w:rPr>
        <w:t>déterminer si d</w:t>
      </w:r>
      <w:r w:rsidRPr="004E13E9">
        <w:rPr>
          <w:rFonts w:eastAsia="MS Mincho" w:cs="Times New Roman"/>
          <w:lang w:val="fr-FR"/>
        </w:rPr>
        <w:t xml:space="preserve">es circonstances exceptionnelles </w:t>
      </w:r>
      <w:r w:rsidR="000D6E00" w:rsidRPr="004E13E9">
        <w:rPr>
          <w:rFonts w:eastAsia="MS Mincho" w:cs="Times New Roman"/>
          <w:lang w:val="fr-FR"/>
        </w:rPr>
        <w:t>s</w:t>
      </w:r>
      <w:r w:rsidR="0089560E" w:rsidRPr="004E13E9">
        <w:rPr>
          <w:rFonts w:eastAsia="MS Mincho" w:cs="Times New Roman"/>
          <w:lang w:val="fr-FR"/>
        </w:rPr>
        <w:t xml:space="preserve">e sont produites </w:t>
      </w:r>
      <w:r w:rsidRPr="004E13E9">
        <w:rPr>
          <w:rFonts w:eastAsia="MS Mincho" w:cs="Times New Roman"/>
          <w:lang w:val="fr-FR"/>
        </w:rPr>
        <w:t>et de préparer les réponses à adresser à la Commission. À cette fin, il est essentiel de continuer à soutenir le Programme de recherche sur le thon rouge englobant tout l'Atlantique (GBYP), notamment dans les domaines suivants</w:t>
      </w:r>
      <w:r w:rsidR="00652E86" w:rsidRPr="004E13E9">
        <w:rPr>
          <w:rFonts w:eastAsia="MS Mincho" w:cs="Times New Roman"/>
          <w:lang w:val="fr-FR"/>
        </w:rPr>
        <w:t xml:space="preserve"> : </w:t>
      </w:r>
      <w:r w:rsidRPr="004E13E9">
        <w:rPr>
          <w:rFonts w:eastAsia="MS Mincho" w:cs="Times New Roman"/>
          <w:lang w:val="fr-FR"/>
        </w:rPr>
        <w:t>aide à l'évaluation des stocks, soutien à la révision de la MSE, base de données sur le marquage et le marquage électronique, études biologiques et prospections aériennes dans les Baléares. Le Président du SCRS a également présenté les activités prévues par le SCRS pour 2027</w:t>
      </w:r>
      <w:r w:rsidR="0089560E" w:rsidRPr="004E13E9">
        <w:rPr>
          <w:rFonts w:eastAsia="MS Mincho" w:cs="Times New Roman"/>
          <w:lang w:val="fr-FR"/>
        </w:rPr>
        <w:t xml:space="preserve"> jusqu</w:t>
      </w:r>
      <w:r w:rsidR="00C27C36" w:rsidRPr="004E13E9">
        <w:rPr>
          <w:rFonts w:eastAsia="MS Mincho" w:cs="Times New Roman"/>
          <w:lang w:val="fr-FR"/>
        </w:rPr>
        <w:t>’en</w:t>
      </w:r>
      <w:r w:rsidR="0089560E" w:rsidRPr="004E13E9">
        <w:rPr>
          <w:rFonts w:eastAsia="MS Mincho" w:cs="Times New Roman"/>
          <w:lang w:val="fr-FR"/>
        </w:rPr>
        <w:t xml:space="preserve"> </w:t>
      </w:r>
      <w:r w:rsidRPr="004E13E9">
        <w:rPr>
          <w:rFonts w:eastAsia="MS Mincho" w:cs="Times New Roman"/>
          <w:lang w:val="fr-FR"/>
        </w:rPr>
        <w:t>2029.</w:t>
      </w:r>
    </w:p>
    <w:p w14:paraId="094ABA13" w14:textId="020B9434" w:rsidR="006C6F60" w:rsidRPr="004E13E9" w:rsidRDefault="006C6F60">
      <w:pPr>
        <w:rPr>
          <w:rFonts w:eastAsia="MS Mincho" w:cs="Times New Roman"/>
          <w:lang w:val="fr-FR"/>
        </w:rPr>
      </w:pPr>
    </w:p>
    <w:p w14:paraId="33538D7F" w14:textId="12D127AC" w:rsidR="00FD3D67" w:rsidRPr="004E13E9" w:rsidRDefault="0082292C" w:rsidP="00FD3D67">
      <w:pPr>
        <w:tabs>
          <w:tab w:val="left" w:pos="426"/>
        </w:tabs>
        <w:jc w:val="both"/>
        <w:rPr>
          <w:rFonts w:eastAsia="MS Mincho" w:cs="Times New Roman"/>
          <w:lang w:val="fr-FR"/>
        </w:rPr>
      </w:pPr>
      <w:r w:rsidRPr="004E13E9">
        <w:rPr>
          <w:rFonts w:eastAsia="MS Mincho" w:cs="Times New Roman"/>
          <w:lang w:val="fr-FR"/>
        </w:rPr>
        <w:t>Le Président du SCRS a invité la Sous-commission 2 à faire part de ses commentaires et a souligné l'importance pour le SCRS de recevoir des retours d'information et des orientations concernant la révision de la MSE lors de cette réunion, étant donné que l'élaboration du cadre de la MSE et des OM sera déjà bien avancée avant la prochaine réunion intersessions de la Sous-commission 2 en 2027.</w:t>
      </w:r>
    </w:p>
    <w:p w14:paraId="78ED4E79" w14:textId="77777777" w:rsidR="006C6F60" w:rsidRPr="004E13E9" w:rsidRDefault="006C6F60" w:rsidP="00FD3D67">
      <w:pPr>
        <w:tabs>
          <w:tab w:val="left" w:pos="426"/>
        </w:tabs>
        <w:jc w:val="both"/>
        <w:rPr>
          <w:rFonts w:eastAsia="MS Mincho" w:cs="Times New Roman"/>
          <w:lang w:val="fr-FR"/>
        </w:rPr>
      </w:pPr>
    </w:p>
    <w:p w14:paraId="0FCA73A7" w14:textId="48064360" w:rsidR="0082292C" w:rsidRPr="004E13E9" w:rsidRDefault="0082292C" w:rsidP="0082292C">
      <w:pPr>
        <w:tabs>
          <w:tab w:val="left" w:pos="426"/>
        </w:tabs>
        <w:jc w:val="both"/>
        <w:rPr>
          <w:rFonts w:eastAsia="Yu Gothic" w:cs="Times New Roman"/>
          <w:lang w:val="fr-FR"/>
        </w:rPr>
      </w:pPr>
      <w:r w:rsidRPr="004E13E9">
        <w:rPr>
          <w:rFonts w:eastAsia="MS Mincho" w:cs="Times New Roman"/>
          <w:lang w:val="fr-FR"/>
        </w:rPr>
        <w:t xml:space="preserve">Le Président de la Sous-commission 2 a fait remarquer que le Président du SCRS avait évoqué les CMP à plusieurs reprises dans sa présentation. Il a déclaré que, selon lui, à ce stade, il est prévu que l'ICCAT examine la MP actuelle pour le thon rouge et, éventuellement, le modifie ou l'ajuste, alors que la </w:t>
      </w:r>
      <w:r w:rsidRPr="004E13E9">
        <w:rPr>
          <w:rFonts w:eastAsia="MS Mincho" w:cs="Times New Roman"/>
          <w:lang w:val="fr-FR"/>
        </w:rPr>
        <w:lastRenderedPageBreak/>
        <w:t xml:space="preserve">présentation du Président du SCRS laissait entendre que le SCRS avait l'intention d'élaborer de nouvelles CMP à partir de zéro afin de remplacer la MP actuelle. </w:t>
      </w:r>
    </w:p>
    <w:p w14:paraId="64C37F91" w14:textId="77777777" w:rsidR="0082292C" w:rsidRPr="004E13E9" w:rsidRDefault="0082292C" w:rsidP="0082292C">
      <w:pPr>
        <w:tabs>
          <w:tab w:val="left" w:pos="426"/>
        </w:tabs>
        <w:jc w:val="both"/>
        <w:rPr>
          <w:rFonts w:eastAsia="Yu Gothic" w:cs="Times New Roman"/>
          <w:lang w:val="fr-FR"/>
        </w:rPr>
      </w:pPr>
    </w:p>
    <w:p w14:paraId="3B01DCD4" w14:textId="77777777" w:rsidR="0082292C" w:rsidRPr="004E13E9" w:rsidRDefault="0082292C" w:rsidP="0082292C">
      <w:pPr>
        <w:tabs>
          <w:tab w:val="left" w:pos="426"/>
        </w:tabs>
        <w:jc w:val="both"/>
        <w:rPr>
          <w:rFonts w:eastAsia="Yu Gothic" w:cs="Times New Roman"/>
          <w:lang w:val="fr-FR"/>
        </w:rPr>
      </w:pPr>
      <w:r w:rsidRPr="004E13E9">
        <w:rPr>
          <w:rFonts w:eastAsia="MS Mincho" w:cs="Times New Roman"/>
          <w:lang w:val="fr-FR"/>
        </w:rPr>
        <w:t>Le Président du SCRS a précisé que l'objectif avait toujours été de procéder à un bilan de situation, qui permettrait au SCRS d'évaluer les performances de la MP et de déterminer s'il serait nécessaire, par exemple, de reconditionner ou de restructurer la MSE et de mettre à jour les OM. Il a souligné qu'il existe suffisamment de nouvelles données pour indiquer clairement que les hypothèses initiales sur lesquelles reposaient la MSE et la fourchette des OM s'appuyaient sur des pratiques historiques, n'étaient guère étayées par des données et devaient être révisées. Il sera donc probablement nécessaire de réexaminer non seulement la MP, mais aussi la MSE. Au minimum, il faudrait probablement recalibrer la MP, mais même une MP recalibrée pourrait ne pas offrir les meilleures performances ; il pourrait donc s'avérer nécessaire de développer plusieurs nouvelles CMP.</w:t>
      </w:r>
    </w:p>
    <w:p w14:paraId="51819438" w14:textId="77777777" w:rsidR="0082292C" w:rsidRPr="004E13E9" w:rsidRDefault="0082292C" w:rsidP="0082292C">
      <w:pPr>
        <w:tabs>
          <w:tab w:val="left" w:pos="426"/>
        </w:tabs>
        <w:jc w:val="both"/>
        <w:rPr>
          <w:rFonts w:eastAsia="Yu Gothic" w:cs="Times New Roman"/>
          <w:lang w:val="fr-FR"/>
        </w:rPr>
      </w:pPr>
    </w:p>
    <w:p w14:paraId="73201510" w14:textId="77777777" w:rsidR="0082292C" w:rsidRPr="004E13E9" w:rsidRDefault="0082292C" w:rsidP="0082292C">
      <w:pPr>
        <w:tabs>
          <w:tab w:val="left" w:pos="426"/>
        </w:tabs>
        <w:jc w:val="both"/>
        <w:rPr>
          <w:rFonts w:eastAsia="Yu Gothic" w:cs="Times New Roman"/>
          <w:lang w:val="fr-FR"/>
        </w:rPr>
      </w:pPr>
      <w:r w:rsidRPr="004E13E9">
        <w:rPr>
          <w:rFonts w:eastAsia="MS Mincho" w:cs="Times New Roman"/>
          <w:lang w:val="fr-FR"/>
        </w:rPr>
        <w:t>Plusieurs CPC ont fait part de leurs préoccupations à la suite des explications fournies par le Président du SCRS. Elles ont estimé qu'il serait prématuré d'envisager une modification de la MP, voire de la MSE, à ce stade, et ont souligné que la première étape devait consister à dresser un bilan de situation de la MP actuelle. Elles ont également souligné que l'une des raisons justifiant l'adoption d'une MP et d'une MSE réside dans la stabilité qu'elles sont censées apporter, mais que le fait de devoir renégocier et redéfinir une nouvelle MP à peu d’années d’intervalle annulerait cet avantage.</w:t>
      </w:r>
    </w:p>
    <w:p w14:paraId="30D4F628" w14:textId="77777777" w:rsidR="0082292C" w:rsidRPr="004E13E9" w:rsidRDefault="0082292C" w:rsidP="0082292C">
      <w:pPr>
        <w:tabs>
          <w:tab w:val="left" w:pos="426"/>
        </w:tabs>
        <w:jc w:val="both"/>
        <w:rPr>
          <w:rFonts w:eastAsia="Yu Gothic" w:cs="Times New Roman"/>
          <w:lang w:val="fr-FR"/>
        </w:rPr>
      </w:pPr>
    </w:p>
    <w:p w14:paraId="74F4335F" w14:textId="77777777" w:rsidR="0082292C" w:rsidRPr="004E13E9" w:rsidRDefault="0082292C" w:rsidP="0082292C">
      <w:pPr>
        <w:tabs>
          <w:tab w:val="left" w:pos="426"/>
        </w:tabs>
        <w:jc w:val="both"/>
        <w:rPr>
          <w:rFonts w:eastAsia="Yu Gothic" w:cs="Times New Roman"/>
          <w:lang w:val="fr-FR"/>
        </w:rPr>
      </w:pPr>
      <w:r w:rsidRPr="004E13E9">
        <w:rPr>
          <w:rFonts w:eastAsia="MS Mincho" w:cs="Times New Roman"/>
          <w:lang w:val="fr-FR"/>
        </w:rPr>
        <w:t>Le Président du SCRS comprenait les craintes des CPC et a fourni des précisions supplémentaires. Il a tout d'abord précisé que sa présentation s'appuyait sur le plan de travail du SCRS, qui avait également été examiné par le Groupe d’espèces sur le thon rouge. Il a ensuite souligné que le processus de MSE pour le thon rouge était l'un des premiers du genre au sein du SCRS, et a expliqué que cette structure reposait sur des hypothèses antérieures concernant l'ampleur de la biomasse potentielle des stocks tant de l'Est que de l'Ouest. Cependant, on dispose désormais de bien plus d'informations, issues de la génétique et d'autres sources, concernant les niveaux relatifs de population et les mouvements entre les zones, qui laissent penser que la MP n'est peut-être pas la plus performante. Par exemple, l'année dernière, le SCRS a retenu les résultats du CKMR concernant le stock occidental comme étant les données scientifiques les plus fiables disponibles pour la biomasse ; ces résultats indiquent que les postulats historiques selon lesquels le stock occidental se situait bien en deçà de la B</w:t>
      </w:r>
      <w:r w:rsidRPr="004E13E9">
        <w:rPr>
          <w:rFonts w:eastAsia="MS Mincho" w:cs="Times New Roman"/>
          <w:vertAlign w:val="subscript"/>
          <w:lang w:val="fr-FR"/>
        </w:rPr>
        <w:t>PME</w:t>
      </w:r>
      <w:r w:rsidRPr="004E13E9">
        <w:rPr>
          <w:rFonts w:eastAsia="MS Mincho" w:cs="Times New Roman"/>
          <w:lang w:val="fr-FR"/>
        </w:rPr>
        <w:t xml:space="preserve"> étaient très peu probables et ne concordaient pas avec les nouvelles données. Le SCRS a reconnu que la MP pouvait tout simplement être recalibrée en mettant à jour les données contenues dans les anciens OM, mais comme ces derniers ne correspondent pas aux données actuelles, cela ne constituerait pas la meilleure pratique scientifique et risquerait de ne pas permettre d'obtenir une production maximale ni d'optimiser les performances. </w:t>
      </w:r>
    </w:p>
    <w:p w14:paraId="5763B15B" w14:textId="77777777" w:rsidR="0082292C" w:rsidRPr="004E13E9" w:rsidRDefault="0082292C" w:rsidP="0082292C">
      <w:pPr>
        <w:tabs>
          <w:tab w:val="left" w:pos="426"/>
        </w:tabs>
        <w:jc w:val="both"/>
        <w:rPr>
          <w:rFonts w:eastAsia="Yu Gothic" w:cs="Times New Roman"/>
          <w:lang w:val="fr-FR"/>
        </w:rPr>
      </w:pPr>
    </w:p>
    <w:p w14:paraId="2697D4FD" w14:textId="6C5347F9" w:rsidR="0082292C" w:rsidRPr="004E13E9" w:rsidRDefault="0082292C" w:rsidP="0082292C">
      <w:pPr>
        <w:tabs>
          <w:tab w:val="left" w:pos="426"/>
        </w:tabs>
        <w:jc w:val="both"/>
        <w:rPr>
          <w:rFonts w:eastAsia="Yu Gothic" w:cs="Times New Roman"/>
          <w:lang w:val="fr-FR"/>
        </w:rPr>
      </w:pPr>
      <w:r w:rsidRPr="004E13E9">
        <w:rPr>
          <w:rFonts w:eastAsia="MS Mincho" w:cs="Times New Roman"/>
          <w:lang w:val="fr-FR"/>
        </w:rPr>
        <w:t>Le rapporteur du Groupe d’espèces sur le thon rouge</w:t>
      </w:r>
      <w:r w:rsidR="00734E1F" w:rsidRPr="004E13E9">
        <w:rPr>
          <w:rFonts w:eastAsia="MS Mincho" w:cs="Times New Roman"/>
          <w:lang w:val="fr-FR"/>
        </w:rPr>
        <w:t xml:space="preserve"> de l’Ouest</w:t>
      </w:r>
      <w:r w:rsidRPr="004E13E9">
        <w:rPr>
          <w:rFonts w:eastAsia="MS Mincho" w:cs="Times New Roman"/>
          <w:lang w:val="fr-FR"/>
        </w:rPr>
        <w:t xml:space="preserve">, le Dr John Walter, a ajouté quelques remarques complémentaires. Il a souligné que le Groupe d’espèces sur le thon rouge ne souhaitait pas non plus que la révision de la MP soit un processus difficile et chronophage. Cependant, de nouvelles informations ont été fournies depuis l'élaboration de la MP initiale, qui laissent entendre qu'il pourrait être nécessaire de réviser certains des indices sur lesquels le Groupe d’espèces sur le thon rouge travaille actuellement, et éventuellement de modifier certains aspects de la structure de la MP. Ce bilan de situation constituerait la première étape pour mettre en lumière les éventuels problèmes à résoudre. Le rapporteur du Groupe d’espèces sur le thon rouge </w:t>
      </w:r>
      <w:r w:rsidR="00734E1F" w:rsidRPr="004E13E9">
        <w:rPr>
          <w:rFonts w:eastAsia="MS Mincho" w:cs="Times New Roman"/>
          <w:lang w:val="fr-FR"/>
        </w:rPr>
        <w:t xml:space="preserve">de l’Ouest </w:t>
      </w:r>
      <w:r w:rsidRPr="004E13E9">
        <w:rPr>
          <w:rFonts w:eastAsia="MS Mincho" w:cs="Times New Roman"/>
          <w:lang w:val="fr-FR"/>
        </w:rPr>
        <w:t>a également déclaré qu'il ne s'attendait pas à ce que des modifications radicales de la MP soient nécessaires et a expliqué que l'objectif du Groupe d’espèces et du SCRS en présentant leurs projets à la Sous-commission n° 2 était de recueillir ses commentaires à un stade précoce.</w:t>
      </w:r>
    </w:p>
    <w:p w14:paraId="29D2BB17" w14:textId="77777777" w:rsidR="0082292C" w:rsidRPr="004E13E9" w:rsidRDefault="0082292C" w:rsidP="0082292C">
      <w:pPr>
        <w:tabs>
          <w:tab w:val="left" w:pos="426"/>
        </w:tabs>
        <w:jc w:val="both"/>
        <w:rPr>
          <w:rFonts w:eastAsia="Yu Gothic" w:cs="Times New Roman"/>
          <w:lang w:val="fr-FR"/>
        </w:rPr>
      </w:pPr>
    </w:p>
    <w:p w14:paraId="14601848" w14:textId="77777777" w:rsidR="0082292C" w:rsidRPr="004E13E9" w:rsidRDefault="0082292C" w:rsidP="0082292C">
      <w:pPr>
        <w:tabs>
          <w:tab w:val="left" w:pos="426"/>
        </w:tabs>
        <w:jc w:val="both"/>
        <w:rPr>
          <w:rFonts w:eastAsia="Yu Gothic" w:cs="Times New Roman"/>
          <w:lang w:val="fr-FR"/>
        </w:rPr>
      </w:pPr>
      <w:r w:rsidRPr="004E13E9">
        <w:rPr>
          <w:rFonts w:eastAsia="MS Mincho" w:cs="Times New Roman"/>
          <w:lang w:val="fr-FR"/>
        </w:rPr>
        <w:t>Les CPC qui avaient fait part de leurs préoccupations ont souligné qu'aucun élément clair ne leur avait encore été présenté pour démontrer que la MP actuelle n’était pas appropriée, et ont exprimé leur préférence pour un léger recalibrage de la MP. Elles ont reconnu l'importance d’utiliser les meilleures données scientifiques disponibles, mais ont souligné qu'on pouvait toujours plaider en faveur d'un cadre scientifique ou de données plus performants, et qu'il serait inopportun et peu réaliste de réviser ou de remplacer fréquemment la MP. De plus, cela risquerait de rendre le processus trop technique et d'empêcher les gestionnaires de s'approprier les décisions relatives à la MP et la MSE.</w:t>
      </w:r>
    </w:p>
    <w:p w14:paraId="2ECE93AC" w14:textId="42E874B6" w:rsidR="00FD3D67" w:rsidRPr="004E13E9" w:rsidRDefault="00FD3D67">
      <w:pPr>
        <w:rPr>
          <w:rFonts w:eastAsia="MS Mincho" w:cs="Times New Roman"/>
          <w:lang w:val="fr-FR"/>
        </w:rPr>
      </w:pPr>
    </w:p>
    <w:p w14:paraId="49383015" w14:textId="4159D85F" w:rsidR="0082292C" w:rsidRPr="004E13E9" w:rsidRDefault="0082292C" w:rsidP="0082292C">
      <w:pPr>
        <w:tabs>
          <w:tab w:val="left" w:pos="426"/>
        </w:tabs>
        <w:jc w:val="both"/>
        <w:rPr>
          <w:rFonts w:eastAsia="Yu Gothic" w:cs="Times New Roman"/>
          <w:lang w:val="fr-FR"/>
        </w:rPr>
      </w:pPr>
      <w:r w:rsidRPr="004E13E9">
        <w:rPr>
          <w:rFonts w:eastAsia="MS Mincho" w:cs="Times New Roman"/>
          <w:lang w:val="fr-FR"/>
        </w:rPr>
        <w:t xml:space="preserve">D'autres CPC ont estimé que le plan du SCRS correspondait à une pratique courante et que de nouvelles données justifiaient la nécessité de réexaminer la MP actuelle et, éventuellement, d'élaborer de nouvelles </w:t>
      </w:r>
      <w:r w:rsidRPr="004E13E9">
        <w:rPr>
          <w:rFonts w:eastAsia="MS Mincho" w:cs="Times New Roman"/>
          <w:lang w:val="fr-FR"/>
        </w:rPr>
        <w:lastRenderedPageBreak/>
        <w:t>CMP. Elles ont estimé qu'il serait raisonnable de laisser au moins au SCRS la possibilité d'étudier d'autres CMP et de comparer leurs performances à celles de la MP actuelle.</w:t>
      </w:r>
    </w:p>
    <w:p w14:paraId="0B997517" w14:textId="77777777" w:rsidR="0082292C" w:rsidRPr="004E13E9" w:rsidRDefault="0082292C" w:rsidP="0082292C">
      <w:pPr>
        <w:tabs>
          <w:tab w:val="left" w:pos="426"/>
        </w:tabs>
        <w:jc w:val="both"/>
        <w:rPr>
          <w:rFonts w:eastAsia="Yu Gothic" w:cs="Times New Roman"/>
          <w:lang w:val="fr-FR"/>
        </w:rPr>
      </w:pPr>
    </w:p>
    <w:p w14:paraId="192DB692" w14:textId="15AC07A2" w:rsidR="0082292C" w:rsidRPr="004E13E9" w:rsidRDefault="0082292C" w:rsidP="0082292C">
      <w:pPr>
        <w:tabs>
          <w:tab w:val="left" w:pos="426"/>
        </w:tabs>
        <w:jc w:val="both"/>
        <w:rPr>
          <w:rFonts w:eastAsia="Yu Gothic" w:cs="Times New Roman"/>
          <w:lang w:val="fr-FR"/>
        </w:rPr>
      </w:pPr>
      <w:r w:rsidRPr="004E13E9">
        <w:rPr>
          <w:rFonts w:eastAsia="MS Mincho" w:cs="Times New Roman"/>
          <w:lang w:val="fr-FR"/>
        </w:rPr>
        <w:t xml:space="preserve">Le </w:t>
      </w:r>
      <w:r w:rsidR="00734E1F" w:rsidRPr="004E13E9">
        <w:rPr>
          <w:rFonts w:eastAsia="MS Mincho" w:cs="Times New Roman"/>
          <w:lang w:val="fr-FR"/>
        </w:rPr>
        <w:t>rapporteur du Groupe d’espèces sur le thon rouge de l’Ouest</w:t>
      </w:r>
      <w:r w:rsidRPr="004E13E9">
        <w:rPr>
          <w:rFonts w:eastAsia="MS Mincho" w:cs="Times New Roman"/>
          <w:lang w:val="fr-FR"/>
        </w:rPr>
        <w:t xml:space="preserve"> a assuré aux membres de la Sous-commission 2 que le Groupe d’espèces continuerait à travailler en toute transparence et à aider les gestionnaires à comprendre les implications des travaux qu'elle présente. Il les a exhortés à ne pas craindre d'intégrer ces nouvelles données et à y voir une occasion de mettre à profit les dernières avancées scientifiques.</w:t>
      </w:r>
    </w:p>
    <w:p w14:paraId="09C1AFE5" w14:textId="77777777" w:rsidR="0082292C" w:rsidRPr="004E13E9" w:rsidRDefault="0082292C" w:rsidP="0082292C">
      <w:pPr>
        <w:tabs>
          <w:tab w:val="left" w:pos="426"/>
        </w:tabs>
        <w:jc w:val="both"/>
        <w:rPr>
          <w:rFonts w:eastAsia="Yu Gothic" w:cs="Times New Roman"/>
          <w:lang w:val="fr-FR"/>
        </w:rPr>
      </w:pPr>
    </w:p>
    <w:p w14:paraId="6685A826" w14:textId="77777777" w:rsidR="0082292C" w:rsidRPr="004E13E9" w:rsidRDefault="0082292C" w:rsidP="0082292C">
      <w:pPr>
        <w:tabs>
          <w:tab w:val="left" w:pos="426"/>
        </w:tabs>
        <w:jc w:val="both"/>
        <w:rPr>
          <w:rFonts w:eastAsia="Yu Gothic" w:cs="Times New Roman"/>
          <w:lang w:val="fr-FR"/>
        </w:rPr>
      </w:pPr>
      <w:r w:rsidRPr="004E13E9">
        <w:rPr>
          <w:rFonts w:eastAsia="MS Mincho" w:cs="Times New Roman"/>
          <w:lang w:val="fr-FR"/>
        </w:rPr>
        <w:t>Le Président de la Sous-commission 2 a fait remarquer que les frustrations exprimées par les CPC s'expliquent probablement par le fait qu'elles ont l'impression que le Groupe d’espèces sur le thon rouge et le SCRS voient trop loin et préjugent de l'issue du processus, au lieu de procéder étape par étape conformément au calendrier convenu. Il a averti que cela risquait de susciter la méfiance des gestionnaires à l'égard de la MSE.</w:t>
      </w:r>
    </w:p>
    <w:p w14:paraId="3090B058" w14:textId="77777777" w:rsidR="0082292C" w:rsidRPr="004E13E9" w:rsidRDefault="0082292C" w:rsidP="0082292C">
      <w:pPr>
        <w:tabs>
          <w:tab w:val="left" w:pos="426"/>
        </w:tabs>
        <w:jc w:val="both"/>
        <w:rPr>
          <w:rFonts w:eastAsia="Yu Gothic" w:cs="Times New Roman"/>
          <w:lang w:val="fr-FR"/>
        </w:rPr>
      </w:pPr>
    </w:p>
    <w:p w14:paraId="39C9E115" w14:textId="77777777" w:rsidR="0082292C" w:rsidRPr="004E13E9" w:rsidRDefault="0082292C" w:rsidP="0082292C">
      <w:pPr>
        <w:tabs>
          <w:tab w:val="left" w:pos="426"/>
        </w:tabs>
        <w:jc w:val="both"/>
        <w:rPr>
          <w:rFonts w:eastAsia="Yu Gothic" w:cs="Times New Roman"/>
          <w:lang w:val="fr-FR"/>
        </w:rPr>
      </w:pPr>
      <w:r w:rsidRPr="004E13E9">
        <w:rPr>
          <w:rFonts w:eastAsia="MS Mincho" w:cs="Times New Roman"/>
          <w:lang w:val="fr-FR"/>
        </w:rPr>
        <w:t xml:space="preserve">Le Président de la Sous-commission 2 a confirmé que, conformément au calendrier convenu dans la feuille de route de la MSE, le SCRS doit procéder à un bilan de situation de la MP en 2026. Dans ce cadre, le SCRS pourrait envisager d'utiliser de nouvelles données et informations scientifiques, s'il estime que celles-ci sont plus pertinentes. Le SCRS pourrait conclure que la MP n'est pas nécessairement aussi performante que souhaité et aimerait recommander une révision de la MP actuelle ou l'élaboration de nouvelles CMP. Le SCRS a pour mandat d'effectuer ce travail et de formuler ces recommandations, mais il devrait présenter ses conclusions et ses recommandations à la Commission, sans préjuger des mesures qui pourraient être prises à l'avenir. La Commission examinera les conclusions et décidera des mesures à prendre. </w:t>
      </w:r>
    </w:p>
    <w:p w14:paraId="10CCB68D" w14:textId="77777777" w:rsidR="0082292C" w:rsidRPr="004E13E9" w:rsidRDefault="0082292C" w:rsidP="0082292C">
      <w:pPr>
        <w:tabs>
          <w:tab w:val="left" w:pos="426"/>
        </w:tabs>
        <w:jc w:val="both"/>
        <w:rPr>
          <w:rFonts w:eastAsia="Yu Gothic" w:cs="Times New Roman"/>
          <w:lang w:val="fr-FR"/>
        </w:rPr>
      </w:pPr>
    </w:p>
    <w:p w14:paraId="1884037C" w14:textId="77777777" w:rsidR="0082292C" w:rsidRPr="004E13E9" w:rsidRDefault="0082292C" w:rsidP="0082292C">
      <w:pPr>
        <w:tabs>
          <w:tab w:val="left" w:pos="426"/>
        </w:tabs>
        <w:jc w:val="both"/>
        <w:rPr>
          <w:rFonts w:eastAsia="Yu Gothic" w:cs="Times New Roman"/>
          <w:lang w:val="fr-FR"/>
        </w:rPr>
      </w:pPr>
      <w:r w:rsidRPr="004E13E9">
        <w:rPr>
          <w:rFonts w:eastAsia="MS Mincho" w:cs="Times New Roman"/>
          <w:lang w:val="fr-FR"/>
        </w:rPr>
        <w:t>Les membres de la Sous-commission 2 ont également demandé au SCRS d'évaluer les points suivants concernant la MP : 1) l'impact de l'adoption par la Commission d'un TAC supérieur de 20 % à celui recommandé par la MP, et 2) l'impact du fait que les captures récréatives des États-Unis ne sont pas décomptées de leur quota, ainsi que la survenue éventuelle de circonstances exceptionnelles.</w:t>
      </w:r>
    </w:p>
    <w:p w14:paraId="4D6D44EF"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73FA5ECF" w14:textId="77777777" w:rsidR="00C52BC0" w:rsidRPr="004E13E9" w:rsidRDefault="00C52BC0" w:rsidP="00C52BC0">
      <w:pPr>
        <w:tabs>
          <w:tab w:val="left" w:pos="426"/>
        </w:tabs>
        <w:jc w:val="both"/>
        <w:rPr>
          <w:rFonts w:eastAsia="Yu Gothic" w:cs="Times New Roman"/>
          <w:b/>
          <w:bCs/>
          <w:i/>
          <w:iCs/>
          <w:kern w:val="2"/>
          <w:lang w:val="fr-FR"/>
          <w14:ligatures w14:val="standardContextual"/>
        </w:rPr>
      </w:pPr>
      <w:r w:rsidRPr="004E13E9">
        <w:rPr>
          <w:b/>
          <w:i/>
          <w:lang w:val="fr-FR"/>
        </w:rPr>
        <w:t>8.2 Examen des objectifs de gestion du thon rouge</w:t>
      </w:r>
    </w:p>
    <w:p w14:paraId="6714312B"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0CAF3623" w14:textId="62F3AEC1" w:rsidR="00C52BC0" w:rsidRPr="004E13E9" w:rsidRDefault="00827783" w:rsidP="00C52BC0">
      <w:pPr>
        <w:tabs>
          <w:tab w:val="left" w:pos="426"/>
        </w:tabs>
        <w:jc w:val="both"/>
        <w:rPr>
          <w:rFonts w:eastAsia="Yu Gothic" w:cs="Times New Roman"/>
          <w:i/>
          <w:iCs/>
          <w:kern w:val="2"/>
          <w:lang w:val="fr-FR"/>
          <w14:ligatures w14:val="standardContextual"/>
        </w:rPr>
      </w:pPr>
      <w:r w:rsidRPr="004E13E9">
        <w:rPr>
          <w:i/>
          <w:lang w:val="fr-FR"/>
        </w:rPr>
        <w:t>Document de discussion</w:t>
      </w:r>
      <w:r w:rsidR="00C52BC0" w:rsidRPr="004E13E9">
        <w:rPr>
          <w:i/>
          <w:lang w:val="fr-FR"/>
        </w:rPr>
        <w:t xml:space="preserve"> des États-Unis</w:t>
      </w:r>
    </w:p>
    <w:p w14:paraId="38BC8554"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3353AC3A" w14:textId="78D2C3F5" w:rsidR="00C52BC0" w:rsidRPr="004E13E9" w:rsidRDefault="00C52BC0" w:rsidP="00C52BC0">
      <w:pPr>
        <w:tabs>
          <w:tab w:val="left" w:pos="426"/>
        </w:tabs>
        <w:jc w:val="both"/>
        <w:rPr>
          <w:lang w:val="fr-FR"/>
        </w:rPr>
      </w:pPr>
      <w:r w:rsidRPr="004E13E9">
        <w:rPr>
          <w:lang w:val="fr-FR"/>
        </w:rPr>
        <w:t xml:space="preserve">Les États-Unis ont présenté le « Document de discussion sur le point 8 de l'ordre du jour : « Discussion sur la procédure de gestion (MP) / l'évaluation de la stratégie de gestion (MSE) pour le thon rouge » qui contenait leurs recommandations pour l’examen par le SCRS de la MSE, à partir de 2026, en vue de mieux atteindre les objectifs de production de la MP. Les États-Unis ont expliqué que la MP est en retard par rapport à l'état actuel des connaissances scientifiques et ne permet pas d'atteindre pleinement les objectifs de production, en particulier dans la zone de gestion occidentale, et elle peut être améliorée par l'incorporation des progrès scientifiques récents afin de mieux estimer les productions durables. L'état actuel de la science du thon rouge s'est fondamentalement amélioré par rapport aux années précédant l'adoption de la MP en 2022, y compris l'estimation de la mortalité naturelle à partir des données de marquage acoustique à long terme, l'étude du frai et de l'âge à maturité du thon rouge à partir des prospections palangrières et larvaires dans la </w:t>
      </w:r>
      <w:proofErr w:type="spellStart"/>
      <w:r w:rsidRPr="004E13E9">
        <w:rPr>
          <w:lang w:val="fr-FR"/>
        </w:rPr>
        <w:t>Slope</w:t>
      </w:r>
      <w:proofErr w:type="spellEnd"/>
      <w:r w:rsidRPr="004E13E9">
        <w:rPr>
          <w:lang w:val="fr-FR"/>
        </w:rPr>
        <w:t xml:space="preserve"> </w:t>
      </w:r>
      <w:proofErr w:type="spellStart"/>
      <w:r w:rsidRPr="004E13E9">
        <w:rPr>
          <w:lang w:val="fr-FR"/>
        </w:rPr>
        <w:t>Sea</w:t>
      </w:r>
      <w:proofErr w:type="spellEnd"/>
      <w:r w:rsidRPr="004E13E9">
        <w:rPr>
          <w:lang w:val="fr-FR"/>
        </w:rPr>
        <w:t>, et les nouveaux développements de la recherche sur la CKMR du thon rouge de l'Atlantique Ouest. À la lumière de ces progrès, les États-Unis ont présenté quatre recommandations :</w:t>
      </w:r>
    </w:p>
    <w:p w14:paraId="2C02F634" w14:textId="77777777" w:rsidR="00C52BC0" w:rsidRPr="004E13E9" w:rsidRDefault="00C52BC0" w:rsidP="00C52BC0">
      <w:pPr>
        <w:tabs>
          <w:tab w:val="left" w:pos="426"/>
        </w:tabs>
        <w:jc w:val="both"/>
        <w:rPr>
          <w:rFonts w:eastAsia="Yu Gothic" w:cs="Times New Roman"/>
          <w:kern w:val="2"/>
          <w:sz w:val="8"/>
          <w:szCs w:val="8"/>
          <w:lang w:val="fr-FR"/>
          <w14:ligatures w14:val="standardContextual"/>
        </w:rPr>
      </w:pPr>
    </w:p>
    <w:p w14:paraId="3F8E8605" w14:textId="29285CE3" w:rsidR="00C61F56" w:rsidRPr="00C712A4" w:rsidRDefault="00C52BC0" w:rsidP="00487A5C">
      <w:pPr>
        <w:pStyle w:val="ListParagraph"/>
        <w:widowControl w:val="0"/>
        <w:numPr>
          <w:ilvl w:val="0"/>
          <w:numId w:val="59"/>
        </w:numPr>
        <w:tabs>
          <w:tab w:val="left" w:pos="426"/>
        </w:tabs>
        <w:spacing w:after="0" w:line="240" w:lineRule="auto"/>
        <w:jc w:val="both"/>
        <w:rPr>
          <w:rFonts w:ascii="Cambria" w:eastAsia="Yu Gothic" w:hAnsi="Cambria"/>
          <w:kern w:val="2"/>
          <w:sz w:val="20"/>
          <w:szCs w:val="20"/>
          <w14:ligatures w14:val="standardContextual"/>
        </w:rPr>
      </w:pPr>
      <w:r w:rsidRPr="004E13E9">
        <w:rPr>
          <w:rFonts w:ascii="Cambria" w:hAnsi="Cambria"/>
          <w:sz w:val="20"/>
          <w:szCs w:val="20"/>
        </w:rPr>
        <w:t>Le SCRS devrait utiliser les dernières données de mélange et de mouvement afin d'évaluer la distribution du thon rouge dans l'Atlantique et de formuler un avis sur les productions soutenables basées sur la disponibilité de la biomasse totale de thon rouge dans chaque zone de gestion.</w:t>
      </w:r>
    </w:p>
    <w:p w14:paraId="2DF4E36F" w14:textId="77777777" w:rsidR="00C712A4" w:rsidRPr="00C712A4" w:rsidRDefault="00C712A4" w:rsidP="00C712A4">
      <w:pPr>
        <w:pStyle w:val="ListParagraph"/>
        <w:widowControl w:val="0"/>
        <w:tabs>
          <w:tab w:val="left" w:pos="426"/>
        </w:tabs>
        <w:spacing w:after="0" w:line="240" w:lineRule="auto"/>
        <w:jc w:val="both"/>
        <w:rPr>
          <w:rFonts w:ascii="Cambria" w:eastAsia="Yu Gothic" w:hAnsi="Cambria"/>
          <w:kern w:val="2"/>
          <w:sz w:val="20"/>
          <w:szCs w:val="20"/>
          <w14:ligatures w14:val="standardContextual"/>
        </w:rPr>
      </w:pPr>
    </w:p>
    <w:p w14:paraId="4E3388EF" w14:textId="6AD66FDE" w:rsidR="00C52BC0" w:rsidRPr="004E13E9" w:rsidRDefault="00C52BC0" w:rsidP="00487A5C">
      <w:pPr>
        <w:pStyle w:val="ListParagraph"/>
        <w:widowControl w:val="0"/>
        <w:numPr>
          <w:ilvl w:val="0"/>
          <w:numId w:val="59"/>
        </w:numPr>
        <w:tabs>
          <w:tab w:val="left" w:pos="426"/>
        </w:tabs>
        <w:spacing w:after="0" w:line="240" w:lineRule="auto"/>
        <w:jc w:val="both"/>
        <w:rPr>
          <w:rFonts w:ascii="Cambria" w:eastAsia="Yu Gothic" w:hAnsi="Cambria"/>
          <w:kern w:val="2"/>
          <w:sz w:val="20"/>
          <w:szCs w:val="20"/>
          <w14:ligatures w14:val="standardContextual"/>
        </w:rPr>
      </w:pPr>
      <w:r w:rsidRPr="004E13E9">
        <w:rPr>
          <w:rFonts w:ascii="Cambria" w:hAnsi="Cambria"/>
          <w:sz w:val="20"/>
          <w:szCs w:val="20"/>
        </w:rPr>
        <w:t>Le SCRS devrait estimer les productions soutenables pour les zones de gestion des stocks de l'Est et de l'Ouest plutôt que de baser les niveaux projetés du TAC sur les TAC antérieurs pour les stocks de l'Est et de l'Ouest.</w:t>
      </w:r>
    </w:p>
    <w:p w14:paraId="2A1916A3" w14:textId="77777777" w:rsidR="00C52BC0" w:rsidRPr="004E13E9" w:rsidRDefault="00C52BC0" w:rsidP="00C52BC0">
      <w:pPr>
        <w:pStyle w:val="ListParagraph"/>
        <w:rPr>
          <w:rFonts w:ascii="Cambria" w:eastAsia="Yu Gothic" w:hAnsi="Cambria"/>
          <w:kern w:val="2"/>
          <w:sz w:val="20"/>
          <w:szCs w:val="20"/>
          <w14:ligatures w14:val="standardContextual"/>
        </w:rPr>
      </w:pPr>
    </w:p>
    <w:p w14:paraId="31187760" w14:textId="59B836B8" w:rsidR="00FD3D67" w:rsidRPr="004E13E9" w:rsidRDefault="00C52BC0" w:rsidP="00487A5C">
      <w:pPr>
        <w:pStyle w:val="ListParagraph"/>
        <w:widowControl w:val="0"/>
        <w:numPr>
          <w:ilvl w:val="0"/>
          <w:numId w:val="59"/>
        </w:numPr>
        <w:tabs>
          <w:tab w:val="left" w:pos="426"/>
        </w:tabs>
        <w:spacing w:after="0" w:line="240" w:lineRule="auto"/>
        <w:jc w:val="both"/>
        <w:rPr>
          <w:rFonts w:ascii="Cambria" w:hAnsi="Cambria"/>
        </w:rPr>
      </w:pPr>
      <w:r w:rsidRPr="004E13E9">
        <w:rPr>
          <w:rFonts w:ascii="Cambria" w:hAnsi="Cambria"/>
          <w:sz w:val="20"/>
          <w:szCs w:val="20"/>
        </w:rPr>
        <w:t>Le SCRS devrait envisager une MP qui utilise la gestion spatiale de la mortalité par pêche pour garantir que la fraction nécessaire de chaque population puisse atteindre ses voies de migration complètes.</w:t>
      </w:r>
      <w:bookmarkStart w:id="4" w:name="_Hlk224032244"/>
    </w:p>
    <w:p w14:paraId="389A5C7E" w14:textId="77777777" w:rsidR="00C61F56" w:rsidRDefault="00C61F56" w:rsidP="00C61F56">
      <w:pPr>
        <w:widowControl w:val="0"/>
        <w:tabs>
          <w:tab w:val="left" w:pos="426"/>
        </w:tabs>
        <w:jc w:val="both"/>
        <w:rPr>
          <w:lang w:val="fr-FR"/>
        </w:rPr>
      </w:pPr>
    </w:p>
    <w:p w14:paraId="13957DDB" w14:textId="77777777" w:rsidR="00C712A4" w:rsidRPr="004E13E9" w:rsidRDefault="00C712A4" w:rsidP="00C61F56">
      <w:pPr>
        <w:widowControl w:val="0"/>
        <w:tabs>
          <w:tab w:val="left" w:pos="426"/>
        </w:tabs>
        <w:jc w:val="both"/>
        <w:rPr>
          <w:lang w:val="fr-FR"/>
        </w:rPr>
      </w:pPr>
    </w:p>
    <w:p w14:paraId="482A03AB" w14:textId="15C491C2" w:rsidR="00C52BC0" w:rsidRPr="004E13E9" w:rsidRDefault="00C52BC0" w:rsidP="00487A5C">
      <w:pPr>
        <w:pStyle w:val="ListParagraph"/>
        <w:widowControl w:val="0"/>
        <w:numPr>
          <w:ilvl w:val="0"/>
          <w:numId w:val="59"/>
        </w:numPr>
        <w:tabs>
          <w:tab w:val="left" w:pos="426"/>
        </w:tabs>
        <w:spacing w:after="0" w:line="240" w:lineRule="auto"/>
        <w:jc w:val="both"/>
        <w:rPr>
          <w:rFonts w:ascii="Cambria" w:eastAsia="Yu Gothic" w:hAnsi="Cambria"/>
          <w:kern w:val="2"/>
          <w:sz w:val="20"/>
          <w:szCs w:val="20"/>
          <w14:ligatures w14:val="standardContextual"/>
        </w:rPr>
      </w:pPr>
      <w:r w:rsidRPr="004E13E9">
        <w:rPr>
          <w:rFonts w:ascii="Cambria" w:hAnsi="Cambria"/>
          <w:sz w:val="20"/>
          <w:szCs w:val="20"/>
        </w:rPr>
        <w:lastRenderedPageBreak/>
        <w:t>Le SCRS devrait concevoir des révisions de la MSE afin de soutenir explicitement l'incorporation de l'information basée sur la génomique étant donné son importance dans l'estimation de l'abondance.</w:t>
      </w:r>
    </w:p>
    <w:bookmarkEnd w:id="4"/>
    <w:p w14:paraId="0EDB881F"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1701CE4D"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Les membres de la Sous-commission 2 ont examiné une à une les recommandations des États-Unis.</w:t>
      </w:r>
    </w:p>
    <w:p w14:paraId="3B542CED"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274C487B" w14:textId="77777777" w:rsidR="00C52BC0" w:rsidRPr="004E13E9" w:rsidRDefault="00C52BC0" w:rsidP="00C52BC0">
      <w:pPr>
        <w:tabs>
          <w:tab w:val="left" w:pos="426"/>
        </w:tabs>
        <w:jc w:val="both"/>
        <w:rPr>
          <w:rFonts w:eastAsia="Yu Gothic" w:cs="Times New Roman"/>
          <w:i/>
          <w:iCs/>
          <w:kern w:val="2"/>
          <w:lang w:val="fr-FR"/>
          <w14:ligatures w14:val="standardContextual"/>
        </w:rPr>
      </w:pPr>
      <w:r w:rsidRPr="004E13E9">
        <w:rPr>
          <w:i/>
          <w:lang w:val="fr-FR"/>
        </w:rPr>
        <w:t>Recommandation nº1 des États-Unis</w:t>
      </w:r>
    </w:p>
    <w:p w14:paraId="34855BFE"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7B26F9C9"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Les membres de la Sous-commission 2 ont entériné la première recommandation des États-Unis.</w:t>
      </w:r>
    </w:p>
    <w:p w14:paraId="21497E0C"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1B7546BD" w14:textId="77777777" w:rsidR="00C52BC0" w:rsidRPr="004E13E9" w:rsidRDefault="00C52BC0" w:rsidP="00C52BC0">
      <w:pPr>
        <w:tabs>
          <w:tab w:val="left" w:pos="426"/>
        </w:tabs>
        <w:jc w:val="both"/>
        <w:rPr>
          <w:rFonts w:eastAsia="Yu Gothic" w:cs="Times New Roman"/>
          <w:i/>
          <w:iCs/>
          <w:kern w:val="2"/>
          <w:lang w:val="fr-FR"/>
          <w14:ligatures w14:val="standardContextual"/>
        </w:rPr>
      </w:pPr>
      <w:r w:rsidRPr="004E13E9">
        <w:rPr>
          <w:i/>
          <w:lang w:val="fr-FR"/>
        </w:rPr>
        <w:t>Recommandation nº2 des États-Unis</w:t>
      </w:r>
    </w:p>
    <w:p w14:paraId="7D2772DC"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6D6E5695"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Plusieurs CPC ont déclaré qu'elles ne soutenaient pas la deuxième recommandation des États-Unis, soulignant qu'elle anticiperait le processus de la MSE et serait trop prescriptive à l'égard du SCRS et que la MP adoptée ne permet pas d'apporter des modifications </w:t>
      </w:r>
      <w:r w:rsidRPr="004E13E9">
        <w:rPr>
          <w:i/>
          <w:iCs/>
          <w:lang w:val="fr-FR"/>
        </w:rPr>
        <w:t>ad hoc</w:t>
      </w:r>
      <w:r w:rsidRPr="004E13E9">
        <w:rPr>
          <w:lang w:val="fr-FR"/>
        </w:rPr>
        <w:t xml:space="preserve"> au TAC.</w:t>
      </w:r>
    </w:p>
    <w:p w14:paraId="3CFC8B4A"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3F7864C8"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Royaume-Uni a souligné que la deuxième recommandation des États-Unis entraînerait une évolution vers l'objectif de maximisation de la production, mais il existe un compromis entre cet objectif et un autre objectif consistant à garantir la stabilité de la production. Le Royaume-Uni a averti qu'un tel compromis doit d'abord être soigneusement testé dans le cadre du processus de la MSE.</w:t>
      </w:r>
    </w:p>
    <w:p w14:paraId="08BF30C4"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29BE7618" w14:textId="24F2A3B8"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Les États-Unis ont déclaré que la MP actuelle </w:t>
      </w:r>
      <w:r w:rsidR="00DD3F2E" w:rsidRPr="004E13E9">
        <w:rPr>
          <w:lang w:val="fr-FR"/>
        </w:rPr>
        <w:t xml:space="preserve">postule que </w:t>
      </w:r>
      <w:r w:rsidRPr="004E13E9">
        <w:rPr>
          <w:lang w:val="fr-FR"/>
        </w:rPr>
        <w:t>le stock occidental</w:t>
      </w:r>
      <w:r w:rsidR="00DD3F2E" w:rsidRPr="004E13E9">
        <w:rPr>
          <w:lang w:val="fr-FR"/>
        </w:rPr>
        <w:t xml:space="preserve"> est</w:t>
      </w:r>
      <w:r w:rsidRPr="004E13E9">
        <w:rPr>
          <w:lang w:val="fr-FR"/>
        </w:rPr>
        <w:t xml:space="preserve"> sous pression, alors qu'en fait, les études sur la CKMR montrent que le stock s'est considérablement rétabli et qu'il pourrait même être entièrement reconstitué. Les États-Unis ont souligné que le TAC occidental avait subi d'importantes réductions dans le passé et qu'il avait connu des augmentations presque négligeables depuis lors, en dépit d'une forte gestion occidentale, et ont estimé que cela était dû à l'intensification incontrôlée et non gérée des pêcheries orientales, qui a coupé l'approvisionnement de poissons de l'Est vers l’Ouest. Les États-Unis ont souligné que leur recommandation consistait simplement à demander au SCRS d'examiner de près les ratios de capture Est-Ouest afin de remédier à l'iniquité des positions de départ du TAC de la MP précédente. </w:t>
      </w:r>
    </w:p>
    <w:p w14:paraId="0AC5349D"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4A801FDC"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Il n'y a pas eu de consensus parmi les membres de la Sous-commission 2 pour soutenir la deuxième recommandation des États-Unis.</w:t>
      </w:r>
    </w:p>
    <w:p w14:paraId="305316EF"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7EA3AAC2" w14:textId="77777777" w:rsidR="00C52BC0" w:rsidRPr="004E13E9" w:rsidRDefault="00C52BC0" w:rsidP="00C52BC0">
      <w:pPr>
        <w:tabs>
          <w:tab w:val="left" w:pos="426"/>
        </w:tabs>
        <w:jc w:val="both"/>
        <w:rPr>
          <w:rFonts w:eastAsia="Yu Gothic" w:cs="Times New Roman"/>
          <w:i/>
          <w:iCs/>
          <w:kern w:val="2"/>
          <w:lang w:val="fr-FR"/>
          <w14:ligatures w14:val="standardContextual"/>
        </w:rPr>
      </w:pPr>
      <w:r w:rsidRPr="004E13E9">
        <w:rPr>
          <w:i/>
          <w:lang w:val="fr-FR"/>
        </w:rPr>
        <w:t>Recommandation nº 3 des États-Unis</w:t>
      </w:r>
    </w:p>
    <w:p w14:paraId="67DACFCE"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50631170"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Japon ne s'est pas opposé à la troisième recommandation des États-Unis, mais a mis en doute la faisabilité des travaux proposés.</w:t>
      </w:r>
    </w:p>
    <w:p w14:paraId="03A0DC58"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4D31C999"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L'UE n'a pas soutenu la troisième recommandation des États-Unis, soulignant que recommander des changements aussi radicaux anticiperait à nouveau le processus de la MSE et que ce n'était donc pas le bon moment pour de telles discussions. L'UE a également suggéré que le concept de schémas migratoires complets mentionné par les États-Unis n'était pas clair et s'est demandé s'il était possible d'évaluer ce concept ou même s'il était utile de l'évaluer. En outre, l'UE a noté que les mesures actuelles protègent les juvéniles, ce qui s'est avéré être une approche efficace. </w:t>
      </w:r>
    </w:p>
    <w:p w14:paraId="0A0FE42D"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1EB153EA"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Les États-Unis ont souligné que la Commission a accepté de revoir la MSE pour le thon rouge dans le cadre de la feuille de route de la MSE adoptée et ont déclaré qu'il est donc opportun et approprié pour la Sous-commission 2 de tenir ces discussions. Les États-Unis ont également expliqué qu'ils ne proposent pas de changements radicaux à la MP, comme l'ont suggéré certaines CPC, mais qu'ils recommandent plutôt que le SCRS prenne en considération les nouvelles informations scientifiques.</w:t>
      </w:r>
    </w:p>
    <w:p w14:paraId="3517D53D" w14:textId="77777777" w:rsidR="00C712A4" w:rsidRDefault="00C712A4" w:rsidP="00C712A4">
      <w:pPr>
        <w:rPr>
          <w:lang w:val="fr-FR"/>
        </w:rPr>
      </w:pPr>
    </w:p>
    <w:p w14:paraId="02B3E9FE" w14:textId="305B2E9C" w:rsidR="00C52BC0" w:rsidRPr="00C712A4" w:rsidRDefault="00C712A4" w:rsidP="00C712A4">
      <w:pPr>
        <w:jc w:val="both"/>
        <w:rPr>
          <w:lang w:val="fr-FR"/>
        </w:rPr>
      </w:pPr>
      <w:r>
        <w:rPr>
          <w:lang w:val="fr-FR"/>
        </w:rPr>
        <w:t>L</w:t>
      </w:r>
      <w:r w:rsidR="00C52BC0" w:rsidRPr="004E13E9">
        <w:rPr>
          <w:lang w:val="fr-FR"/>
        </w:rPr>
        <w:t xml:space="preserve">e Président de la Sous-commission 2 a expliqué que le SCRS peut envisager d'utiliser des informations nouvelles et actualisées comme il l'entend et a fait remarquer que la préoccupation d'autres CPC à l'égard des deuxième et </w:t>
      </w:r>
      <w:proofErr w:type="gramStart"/>
      <w:r w:rsidR="00C52BC0" w:rsidRPr="004E13E9">
        <w:rPr>
          <w:lang w:val="fr-FR"/>
        </w:rPr>
        <w:t>troisième recommandations</w:t>
      </w:r>
      <w:proofErr w:type="gramEnd"/>
      <w:r w:rsidR="00C52BC0" w:rsidRPr="004E13E9">
        <w:rPr>
          <w:lang w:val="fr-FR"/>
        </w:rPr>
        <w:t xml:space="preserve"> est qu'elles anticiperaient l'examen de ces informations par le SCRS. Il a souligné que la Sous-commission 2 ne devrait discuter de la formulation de telles recommandations que si le SCRS a effectué des analyses pertinentes et formulé des recommandations à ce sujet.</w:t>
      </w:r>
    </w:p>
    <w:p w14:paraId="55323CA6" w14:textId="1D4FC7CB" w:rsidR="00C14CCB" w:rsidRPr="004E13E9" w:rsidRDefault="00C14CCB">
      <w:pPr>
        <w:rPr>
          <w:lang w:val="fr-FR"/>
        </w:rPr>
      </w:pPr>
    </w:p>
    <w:p w14:paraId="4C245E55" w14:textId="54156E38"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lastRenderedPageBreak/>
        <w:t>Il n'y a pas eu de consensus parmi les membres de la Sous-commission 2 pour soutenir la troisième recommandation des États-Unis.</w:t>
      </w:r>
    </w:p>
    <w:p w14:paraId="2A43C6C3"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052CDF31" w14:textId="77777777" w:rsidR="00C52BC0" w:rsidRPr="004E13E9" w:rsidRDefault="00C52BC0" w:rsidP="00C52BC0">
      <w:pPr>
        <w:tabs>
          <w:tab w:val="left" w:pos="426"/>
        </w:tabs>
        <w:jc w:val="both"/>
        <w:rPr>
          <w:rFonts w:eastAsia="Yu Gothic" w:cs="Times New Roman"/>
          <w:i/>
          <w:iCs/>
          <w:kern w:val="2"/>
          <w:lang w:val="fr-FR"/>
          <w14:ligatures w14:val="standardContextual"/>
        </w:rPr>
      </w:pPr>
      <w:r w:rsidRPr="004E13E9">
        <w:rPr>
          <w:i/>
          <w:lang w:val="fr-FR"/>
        </w:rPr>
        <w:t>Recommandation nº 4 des États-Unis</w:t>
      </w:r>
    </w:p>
    <w:p w14:paraId="257AFEB2"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7A89A65D"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Canada a exprimé son soutien à la quatrième recommandation des États-Unis.</w:t>
      </w:r>
    </w:p>
    <w:p w14:paraId="0DC0245E"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1F3FD0E4"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L'UE a reconnu que la CKMR et d'autres travaux génétiques pourraient potentiellement contribuer à des améliorations significatives de la compréhension scientifique et de la gestion des stocks de thon rouge. Dans le même temps, l'UE a souligné que certaines CPC, en particulier celles qui n'ont pas été impliquées dans les études de la CKMR, peuvent ne pas encore avoir une connaissance détaillée des concepts clés sous-jacents de ces approches et ne peuvent donc pas évaluer pleinement des aspects tels que leurs avantages et leurs inconvénients, leur faisabilité dans le contexte des pêcheries de l'ICCAT, et les exigences en matière de ressources. Dans ce contexte, l'UE a jugé prématurée la recommandation proposée par les États-Unis et a préconisé d'avancer de manière plus progressive, le SCRS aidant les gestionnaires à mieux comprendre ces approches et renforçant leur confiance en elles.</w:t>
      </w:r>
    </w:p>
    <w:p w14:paraId="6E3D6AC8"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45365E16"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a observé que tous les membres de la Sous-commission 2 sont probablement favorables à l'intention sous-jacente de la quatrième recommandation des États-Unis, à savoir que le SCRS devrait incorporer de nouvelles informations scientifiques, y compris la CKMR. Toutefois, certains pourraient estimer que la formulation actuelle anticipe les discussions du SCRS et qu’elle est trop prescriptive.</w:t>
      </w:r>
    </w:p>
    <w:p w14:paraId="51C44D54"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72D77976"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Les membres de la Sous-commission 2 ont entériné une recommandation révisée qui soutient la prise en compte par le SCRS de l'information génétique dans le processus de la MSE pour le thon rouge et demande au SCRS d'aider la Commission à mieux comprendre ces approches et à renforcer la confiance dans l'inclusion de leurs résultats dans les processus scientifiques de l'ICCAT.</w:t>
      </w:r>
    </w:p>
    <w:p w14:paraId="4F5B9DED"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08C662E5" w14:textId="77777777" w:rsidR="00C52BC0" w:rsidRPr="004E13E9" w:rsidRDefault="00C52BC0" w:rsidP="00C52BC0">
      <w:pPr>
        <w:tabs>
          <w:tab w:val="left" w:pos="426"/>
        </w:tabs>
        <w:jc w:val="both"/>
        <w:rPr>
          <w:rFonts w:eastAsia="Yu Gothic" w:cs="Times New Roman"/>
          <w:i/>
          <w:iCs/>
          <w:kern w:val="2"/>
          <w:lang w:val="fr-FR"/>
          <w14:ligatures w14:val="standardContextual"/>
        </w:rPr>
      </w:pPr>
      <w:r w:rsidRPr="004E13E9">
        <w:rPr>
          <w:i/>
          <w:lang w:val="fr-FR"/>
        </w:rPr>
        <w:t>Conclusions de la Sous-commission 2</w:t>
      </w:r>
    </w:p>
    <w:p w14:paraId="3DCC9DD8"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6DD03937" w14:textId="77777777" w:rsidR="00C52BC0" w:rsidRPr="004E13E9" w:rsidRDefault="00C52BC0" w:rsidP="00C52BC0">
      <w:pPr>
        <w:tabs>
          <w:tab w:val="left" w:pos="426"/>
        </w:tabs>
        <w:jc w:val="both"/>
        <w:rPr>
          <w:lang w:val="fr-FR"/>
        </w:rPr>
      </w:pPr>
      <w:r w:rsidRPr="004E13E9">
        <w:rPr>
          <w:lang w:val="fr-FR"/>
        </w:rPr>
        <w:t>En conclusion, les membres de la Sous-commission 2 ont recommandé ce qui suit :</w:t>
      </w:r>
    </w:p>
    <w:p w14:paraId="682FD356"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0DCB7ADD" w14:textId="77777777" w:rsidR="00C52BC0" w:rsidRPr="004E13E9" w:rsidRDefault="00C52BC0" w:rsidP="00487A5C">
      <w:pPr>
        <w:pStyle w:val="ListParagraph"/>
        <w:widowControl w:val="0"/>
        <w:numPr>
          <w:ilvl w:val="0"/>
          <w:numId w:val="60"/>
        </w:numPr>
        <w:tabs>
          <w:tab w:val="left" w:pos="426"/>
        </w:tabs>
        <w:spacing w:after="0" w:line="240" w:lineRule="auto"/>
        <w:jc w:val="both"/>
        <w:rPr>
          <w:rFonts w:ascii="Cambria" w:eastAsia="Yu Gothic" w:hAnsi="Cambria"/>
          <w:kern w:val="2"/>
          <w:sz w:val="20"/>
          <w:szCs w:val="20"/>
          <w14:ligatures w14:val="standardContextual"/>
        </w:rPr>
      </w:pPr>
      <w:r w:rsidRPr="004E13E9">
        <w:rPr>
          <w:rFonts w:ascii="Cambria" w:hAnsi="Cambria"/>
          <w:sz w:val="20"/>
          <w:szCs w:val="20"/>
        </w:rPr>
        <w:t>Le SCRS devrait utiliser les dernières données de mélange et de mouvement afin d'évaluer la distribution du thon rouge dans l'Atlantique et de formuler un avis sur les productions soutenables basées sur la disponibilité de la biomasse totale de thon rouge dans chaque zone de gestion.</w:t>
      </w:r>
    </w:p>
    <w:p w14:paraId="523523FC" w14:textId="77777777" w:rsidR="00C52BC0" w:rsidRPr="004E13E9" w:rsidRDefault="00C52BC0" w:rsidP="00C52BC0">
      <w:pPr>
        <w:pStyle w:val="ListParagraph"/>
        <w:tabs>
          <w:tab w:val="left" w:pos="426"/>
        </w:tabs>
        <w:rPr>
          <w:rFonts w:ascii="Cambria" w:eastAsia="Yu Gothic" w:hAnsi="Cambria"/>
          <w:kern w:val="2"/>
          <w:sz w:val="20"/>
          <w:szCs w:val="20"/>
          <w14:ligatures w14:val="standardContextual"/>
        </w:rPr>
      </w:pPr>
    </w:p>
    <w:p w14:paraId="5BB2611F" w14:textId="6B3453EE" w:rsidR="00C52BC0" w:rsidRPr="004E13E9" w:rsidRDefault="00C52BC0" w:rsidP="00487A5C">
      <w:pPr>
        <w:pStyle w:val="ListParagraph"/>
        <w:widowControl w:val="0"/>
        <w:numPr>
          <w:ilvl w:val="0"/>
          <w:numId w:val="60"/>
        </w:numPr>
        <w:tabs>
          <w:tab w:val="left" w:pos="426"/>
        </w:tabs>
        <w:spacing w:after="0" w:line="240" w:lineRule="auto"/>
        <w:jc w:val="both"/>
        <w:rPr>
          <w:rFonts w:ascii="Cambria" w:eastAsia="Yu Gothic" w:hAnsi="Cambria"/>
          <w:kern w:val="2"/>
          <w:sz w:val="20"/>
          <w:szCs w:val="20"/>
          <w14:ligatures w14:val="standardContextual"/>
        </w:rPr>
      </w:pPr>
      <w:bookmarkStart w:id="5" w:name="_Hlk224032234"/>
      <w:r w:rsidRPr="004E13E9">
        <w:rPr>
          <w:rFonts w:ascii="Cambria" w:hAnsi="Cambria"/>
          <w:sz w:val="20"/>
          <w:szCs w:val="20"/>
        </w:rPr>
        <w:t xml:space="preserve">Le SCRS devrait examiner l'opportunité et la faisabilité d'inclure des informations basées sur la génétique dans le cadre de la MSE pour le thon rouge de l’Atlantique (ABFT) et aider la Commission à mieux comprendre les concepts clés sous-jacents, leurs avantages et leurs inconvénients, </w:t>
      </w:r>
      <w:r w:rsidR="00292C2F" w:rsidRPr="004E13E9">
        <w:rPr>
          <w:rFonts w:ascii="Cambria" w:hAnsi="Cambria"/>
          <w:sz w:val="20"/>
          <w:szCs w:val="20"/>
        </w:rPr>
        <w:t>lui</w:t>
      </w:r>
      <w:r w:rsidR="008125D2" w:rsidRPr="004E13E9">
        <w:rPr>
          <w:rFonts w:ascii="Cambria" w:hAnsi="Cambria"/>
          <w:sz w:val="20"/>
          <w:szCs w:val="20"/>
        </w:rPr>
        <w:t xml:space="preserve"> </w:t>
      </w:r>
      <w:r w:rsidR="00E86197" w:rsidRPr="004E13E9">
        <w:rPr>
          <w:rFonts w:ascii="Cambria" w:hAnsi="Cambria"/>
          <w:sz w:val="20"/>
          <w:szCs w:val="20"/>
        </w:rPr>
        <w:t>apporter</w:t>
      </w:r>
      <w:r w:rsidR="00642F18" w:rsidRPr="004E13E9">
        <w:rPr>
          <w:rFonts w:ascii="Cambria" w:hAnsi="Cambria"/>
          <w:sz w:val="20"/>
          <w:szCs w:val="20"/>
        </w:rPr>
        <w:t xml:space="preserve"> des informations</w:t>
      </w:r>
      <w:r w:rsidR="008125D2" w:rsidRPr="004E13E9">
        <w:rPr>
          <w:rFonts w:ascii="Cambria" w:hAnsi="Cambria"/>
          <w:sz w:val="20"/>
          <w:szCs w:val="20"/>
        </w:rPr>
        <w:t xml:space="preserve"> et </w:t>
      </w:r>
      <w:r w:rsidRPr="004E13E9">
        <w:rPr>
          <w:rFonts w:ascii="Cambria" w:hAnsi="Cambria"/>
          <w:sz w:val="20"/>
          <w:szCs w:val="20"/>
        </w:rPr>
        <w:t xml:space="preserve">renforcer </w:t>
      </w:r>
      <w:r w:rsidR="008125D2" w:rsidRPr="004E13E9">
        <w:rPr>
          <w:rFonts w:ascii="Cambria" w:hAnsi="Cambria"/>
          <w:sz w:val="20"/>
          <w:szCs w:val="20"/>
        </w:rPr>
        <w:t xml:space="preserve">ainsi </w:t>
      </w:r>
      <w:r w:rsidRPr="004E13E9">
        <w:rPr>
          <w:rFonts w:ascii="Cambria" w:hAnsi="Cambria"/>
          <w:sz w:val="20"/>
          <w:szCs w:val="20"/>
        </w:rPr>
        <w:t>la confiance dans l'inclusion des résultats des approches basées sur la génétique dans les processus scientifiques de l'ICCAT.</w:t>
      </w:r>
    </w:p>
    <w:bookmarkEnd w:id="5"/>
    <w:p w14:paraId="0BE1B9A7" w14:textId="64595F6E" w:rsidR="007779D6" w:rsidRPr="004E13E9" w:rsidRDefault="007779D6">
      <w:pPr>
        <w:rPr>
          <w:b/>
          <w:i/>
          <w:lang w:val="fr-FR"/>
        </w:rPr>
      </w:pPr>
    </w:p>
    <w:p w14:paraId="1CC53705" w14:textId="46F04DB3" w:rsidR="00C52BC0" w:rsidRPr="004E13E9" w:rsidRDefault="00C52BC0" w:rsidP="00C52BC0">
      <w:pPr>
        <w:tabs>
          <w:tab w:val="left" w:pos="426"/>
        </w:tabs>
        <w:jc w:val="both"/>
        <w:rPr>
          <w:rFonts w:eastAsia="Yu Gothic" w:cs="Times New Roman"/>
          <w:b/>
          <w:bCs/>
          <w:i/>
          <w:iCs/>
          <w:kern w:val="2"/>
          <w:lang w:val="fr-FR"/>
          <w14:ligatures w14:val="standardContextual"/>
        </w:rPr>
      </w:pPr>
      <w:r w:rsidRPr="004E13E9">
        <w:rPr>
          <w:b/>
          <w:i/>
          <w:lang w:val="fr-FR"/>
        </w:rPr>
        <w:t>8.3 Mises à jour sur la nouvelle MSE pour le germon du Nord</w:t>
      </w:r>
    </w:p>
    <w:p w14:paraId="54DC7C01"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298E0D41"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 Président du SCRS a présenté une mise à jour sur le développement d'une nouvelle MSE pour le germon de l'Atlantique Nord et les possibles MP. Selon la feuille de route de la MSE de l'ICCAT, en 2026, le SCRS doit présenter les progrès réalisés à la Sous-commission 2 lors de cette réunion intersessions et exécuter les MP actuelles et alternatives afin de fournir un avis sur le TAC pour 2027-2029. La Sous-commission 2 doit fournir des informations en retour lors de cette réunion sur la manière de finaliser la MSE (objectifs, indicateurs de performance, MP, calibrage) et la Commission doit adopter le TAC 2027-2029 lors de la réunion annuelle sur la base de la MP actuelle ou alternative. En 2027, le SCRS doit vérifier s'il existe des circonstances exceptionnelles et effectuer toute analyse en attente à la demande de la Commission ou du SCRS. En 2028, le SCRS doit vérifier s’il existe des circonstances exceptionnelles et réaliser un test d’intégration au moyen de l'utilisation de l'indice juvénile conjoint dans la MP. En 2029, le SCRS doit réaliser une évaluation de référence (vérification de l'état) et exécuter la MP afin de fournir un avis sur le TAC pour 2030-2032. La Commission doit adopter le TAC 2030-2032 lors de la réunion annuelle sur la base de la MP. Le mandat confiant au SCRS la réalisation de ces travaux est défini au paragraphe 18 de la </w:t>
      </w:r>
      <w:hyperlink r:id="rId37" w:history="1">
        <w:r w:rsidRPr="004E13E9">
          <w:rPr>
            <w:rStyle w:val="Hyperlink"/>
            <w:i/>
            <w:iCs/>
            <w:u w:val="none"/>
            <w:lang w:val="fr-FR"/>
          </w:rPr>
          <w:t>R</w:t>
        </w:r>
        <w:r w:rsidRPr="004E13E9">
          <w:rPr>
            <w:rStyle w:val="Hyperlink"/>
            <w:i/>
            <w:u w:val="none"/>
            <w:lang w:val="fr-FR"/>
          </w:rPr>
          <w:t>ecommandation de l'ICCAT sur des mesures de conservation et de gestion, incluant une procédure de gestion et un protocole de circonstances exceptionnelles, pour le germon de l’Atlantique Nord (</w:t>
        </w:r>
        <w:r w:rsidRPr="004E13E9">
          <w:rPr>
            <w:rStyle w:val="Hyperlink"/>
            <w:u w:val="none"/>
            <w:lang w:val="fr-FR"/>
          </w:rPr>
          <w:t>Rec. 21-04)</w:t>
        </w:r>
      </w:hyperlink>
      <w:r w:rsidRPr="004E13E9">
        <w:rPr>
          <w:lang w:val="fr-FR"/>
        </w:rPr>
        <w:t xml:space="preserve">. </w:t>
      </w:r>
    </w:p>
    <w:p w14:paraId="0A1878E6" w14:textId="18B080A1" w:rsidR="00C14CCB" w:rsidRPr="004E13E9" w:rsidRDefault="00C14CCB">
      <w:pPr>
        <w:rPr>
          <w:lang w:val="fr-FR"/>
        </w:rPr>
      </w:pPr>
    </w:p>
    <w:p w14:paraId="7C04502B" w14:textId="6B251EB8"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lastRenderedPageBreak/>
        <w:t>Le Président du SCRS a présenté les principales caractéristiques et les résultats de l'actuelle MP. La MP actuelle est basée sur un modèle et utilise les captures et les captures par unité d'effort (CPUE) pour déterminer le statut et une règle de contrôle de l’exploitation (HCR) pour fixer le TAC. À titre de sauvegarde, le TAC maximal est limité à 50.000 t et la variation maximale est limitée à +25% / -20%. La MP a produit trois augmentations consécutives du TAC et le TAC actuel de 47.251 t est bien supérieur aux niveaux de capture récents.</w:t>
      </w:r>
    </w:p>
    <w:p w14:paraId="4C847B74"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1180F878"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 Président du SCRS a expliqué que le nouveau cadre de la MSE est basé sur l'évaluation du stock de germon de l’Atlantique de 2023 (incluant la MSE) (Anon., 2023) (la MSE précédente utilisait l'évaluation de 2013), et que la nouvelle plateforme de modèle est alignée sur les pratiques actuelles du SCRS en matière de MSE pour d'autres stocks. Les OM comprennent désormais plus de 10 années supplémentaires de données halieutiques et biologiques et des axes d'incertitude élargis reflétant d'autres dynamiques des stocks et des pêcheries. Un certain nombre de possibles MP </w:t>
      </w:r>
      <w:proofErr w:type="gramStart"/>
      <w:r w:rsidRPr="004E13E9">
        <w:rPr>
          <w:lang w:val="fr-FR"/>
        </w:rPr>
        <w:t>sont</w:t>
      </w:r>
      <w:proofErr w:type="gramEnd"/>
      <w:r w:rsidRPr="004E13E9">
        <w:rPr>
          <w:lang w:val="fr-FR"/>
        </w:rPr>
        <w:t xml:space="preserve"> à l'étude. Pour les CMP basées sur des modèles, d'autres HCR, d'autres clauses de stabilité et des limites biologiques maintenues à B</w:t>
      </w:r>
      <w:r w:rsidRPr="004E13E9">
        <w:rPr>
          <w:vertAlign w:val="subscript"/>
          <w:lang w:val="fr-FR"/>
        </w:rPr>
        <w:t>LIM</w:t>
      </w:r>
      <w:r w:rsidRPr="004E13E9">
        <w:rPr>
          <w:lang w:val="fr-FR"/>
        </w:rPr>
        <w:t xml:space="preserve"> = 0,4 × B</w:t>
      </w:r>
      <w:r w:rsidRPr="004E13E9">
        <w:rPr>
          <w:vertAlign w:val="subscript"/>
          <w:lang w:val="fr-FR"/>
        </w:rPr>
        <w:t>PME</w:t>
      </w:r>
      <w:r w:rsidRPr="004E13E9">
        <w:rPr>
          <w:lang w:val="fr-FR"/>
        </w:rPr>
        <w:t xml:space="preserve"> et F</w:t>
      </w:r>
      <w:r w:rsidRPr="004E13E9">
        <w:rPr>
          <w:vertAlign w:val="subscript"/>
          <w:lang w:val="fr-FR"/>
        </w:rPr>
        <w:t>LIM</w:t>
      </w:r>
      <w:r w:rsidRPr="004E13E9">
        <w:rPr>
          <w:lang w:val="fr-FR"/>
        </w:rPr>
        <w:t xml:space="preserve"> = 0,1 × F</w:t>
      </w:r>
      <w:r w:rsidRPr="004E13E9">
        <w:rPr>
          <w:vertAlign w:val="subscript"/>
          <w:lang w:val="fr-FR"/>
        </w:rPr>
        <w:t>PME</w:t>
      </w:r>
      <w:r w:rsidRPr="004E13E9">
        <w:rPr>
          <w:lang w:val="fr-FR"/>
        </w:rPr>
        <w:t xml:space="preserve"> sont en cours d'examen. Pour les CMP empiriques, on étudie actuellement les MP basées sur la CPUE, différentes options concernant les limites de variation du TAC entre les cycles de gestion, ainsi que les approches de captures pseudo-constantes.</w:t>
      </w:r>
    </w:p>
    <w:p w14:paraId="1BC8D994"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034FCF45"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 Président du SCRS a présenté les prochaines étapes en vue d'une décision en 2026. Les MP alternatives seront testées en utilisant les mêmes statistiques de performance que dans la première MSE (annexe 4 de la </w:t>
      </w:r>
      <w:hyperlink r:id="rId38" w:history="1">
        <w:r w:rsidRPr="004E13E9">
          <w:rPr>
            <w:rStyle w:val="Hyperlink"/>
            <w:u w:val="none"/>
            <w:lang w:val="fr-FR"/>
          </w:rPr>
          <w:t>Rec. 21-04</w:t>
        </w:r>
      </w:hyperlink>
      <w:r w:rsidRPr="004E13E9">
        <w:rPr>
          <w:lang w:val="fr-FR"/>
        </w:rPr>
        <w:t>). Les MP ne seront pas calibrées sur une probabilité de 60% de se situer dans le quadrant vert du diagramme de Kobe (PGK), comme dans la première MSE. Les résultats seront communiqués de la même manière que lors de la première MSE, mais avec un outil de visualisation amélioré. Si la Sous-commission 2 le souhaite, des réunions intersessions supplémentaires sur la nouvelle MSE pourraient être tenues afin d'aider à prendre une décision en novembre (p. ex., une réunion en ligne d'une journée après la réunion annuelle du SCRS, ou d'autres).</w:t>
      </w:r>
    </w:p>
    <w:p w14:paraId="27CF4F01"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57169109"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 Président de la Sous-commission 2 a fait remarquer que, selon la présentation du Président du SCRS, la MP ne sera pas calibrée pour atteindre 60% de PGK. Il a demandé pourquoi, car il s'agit de l'un des objectifs de gestion énoncés dans la </w:t>
      </w:r>
      <w:hyperlink r:id="rId39" w:history="1">
        <w:r w:rsidRPr="004E13E9">
          <w:rPr>
            <w:rStyle w:val="Hyperlink"/>
            <w:u w:val="none"/>
            <w:lang w:val="fr-FR"/>
          </w:rPr>
          <w:t>Rec. 21-04</w:t>
        </w:r>
      </w:hyperlink>
      <w:r w:rsidRPr="004E13E9">
        <w:rPr>
          <w:lang w:val="fr-FR"/>
        </w:rPr>
        <w:t xml:space="preserve">. </w:t>
      </w:r>
    </w:p>
    <w:p w14:paraId="17C6F58A"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46C67EDB"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 Président du SCRS a précisé qu'il voulait dire que la MP serait calibrée à 60% ou plus, puisque l'objectif de gestion exige « une probabilité d'au moins 60% », et a expliqué qu'avec une approche fondée sur des modèles, il est difficile de calibrer la MP exactement à 60%. Le Président du SCRS a ensuite précisé que sa présentation comprenait une matrice des différentes HCR et de leurs performances par rapport à divers B seuils et F cibles, ce qui montre que, même s’il n’est pas possible d’effectuer un calibrage précis, on peut néanmoins observer l’évolution de la forme de chaque HCR afin d’améliorer les performances. Le Président du SCRS a ajouté que le SCRS étudiait également des MP empiriques, qui pourraient s'appuyer sur des indices. </w:t>
      </w:r>
    </w:p>
    <w:p w14:paraId="18D83346" w14:textId="67E2D35D" w:rsidR="00685078" w:rsidRPr="004E13E9" w:rsidRDefault="00685078">
      <w:pPr>
        <w:rPr>
          <w:lang w:val="fr-FR"/>
        </w:rPr>
      </w:pPr>
    </w:p>
    <w:p w14:paraId="627B1623" w14:textId="798C5CFC"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 Coordinateur du Groupe d'espèces sur le germon du SCRS, le Dr Haritz Arrizabalaga, a apporté des précisions supplémentaires. Il a précisé que, s'il est vrai que les MP basées sur des modèles sont plus difficiles à calibrer, il est possible de trouver une combinaison qui permette d'atteindre 60%. Il a expliqué que l'objectif de gestion visait 60% ou plus ; le Groupe d'espèces sur le germon a donc pris en compte la PGK dans le cadre de ce compromis, mais il pourrait également calibrer tout autre pourcentage que souhaiterait la Sous-commission 2. </w:t>
      </w:r>
    </w:p>
    <w:p w14:paraId="270D2518"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3E54BE2B"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de la Sous-commission 2 a expliqué que, du point de vue d'un gestionnaire, lorsque la Commission examine les objectifs de gestion, par exemple en matière de durabilité, elle consacre beaucoup de temps à débattre des différentes PGK (p. ex. 60%, 65% ou 70%), en tenant compte de l'impact potentiel sur le niveau du TAC. Il a reconnu la difficulté de calibrer le pourcentage exactement à 60%, mais a souligné que si le résultat de la simulation s'élevait, par exemple, à 65%, cet écart de 5% serait décevant par sa grande taille aux yeux des gestionnaires et des parties prenantes, car il se traduirait par un niveau de TAC inférieur. Il a conseillé au SCRS de garder cela à l'esprit.</w:t>
      </w:r>
    </w:p>
    <w:p w14:paraId="54105727"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11EC63B7"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 Président du SCRS a pris acte de l'argument avancé par le Président de la Sous-commission 2, tout en soulignant qu'il y avait de multiples objectifs de gestion à atteindre et des compromis à prendre en compte. Il a expliqué que le SCRS adopterait une approche générale visant à atteindre l'objectif minimal de 60% de </w:t>
      </w:r>
      <w:r w:rsidRPr="004E13E9">
        <w:rPr>
          <w:lang w:val="fr-FR"/>
        </w:rPr>
        <w:lastRenderedPageBreak/>
        <w:t>PGK, tout en respectant le seuil minimal acceptable pour éviter B</w:t>
      </w:r>
      <w:r w:rsidRPr="004E13E9">
        <w:rPr>
          <w:vertAlign w:val="subscript"/>
          <w:lang w:val="fr-FR"/>
        </w:rPr>
        <w:t>Lim</w:t>
      </w:r>
      <w:r w:rsidRPr="004E13E9">
        <w:rPr>
          <w:lang w:val="fr-FR"/>
        </w:rPr>
        <w:t xml:space="preserve"> et en s'efforçant de maximiser la capture.</w:t>
      </w:r>
    </w:p>
    <w:p w14:paraId="34BA1037"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610CD250"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L'UE a noté que le Président du SCRS avait évoqué des projets visant à élaborer et à tester des CMP, dans l'optique d'adopter éventuellement une nouvelle MP. L'UE a demandé au Président du SCRS d'en expliquer la raison, notamment s'il existe ou non des problèmes avec la MP actuelle.</w:t>
      </w:r>
    </w:p>
    <w:p w14:paraId="43ED3A14"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7ED9E422"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du SCRS a expliqué qu'il s'agissait de la première MSE menée au sein de l’ICCAT qui ait abouti à une MP testée. Elle reposait sur un modèle sous-jacent qui avait déjà été utilisé pour des évaluations des stocks et qui ne dispose pas des capacités des modèles actuellement utilisés pour d'autres MSE de l'ICCAT. Le modèle ne respectait pas non plus les meilleures pratiques qui se sont développées au fil du temps et qui sont désormais en vigueur à l’ICCAT. Le Président du SCRS a expliqué qu'au départ, les scientifiques du SCRS ne s'attendaient pas à ce que l'utilisation du modèle présente un risque pour le stock à court terme, mais qu'ils avaient tout de même recommandé la mise au point d'une autre MSE reposant sur une structure de modèle sous-jacent différente. Il a également souligné que l'on dispose désormais de données récentes couvrant une période de dix ans ou plus. Le Président du SCRS a donc estimé que le maintien de l'ancien modèle pouvait comporter certains risques et qu'un nouveau modèle pourrait offrir de meilleures performances. Il a également ajouté que ce travail figurait dans le plan de travail du SCRS et que la Commission en avait été informée depuis un certain temps.</w:t>
      </w:r>
    </w:p>
    <w:p w14:paraId="0811E883"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32119C51"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L'UE a pris note des explications fournies par le Président du SCRS, mais a souligné que, même s'il y a toujours matière à amélioration, la MP actuelle pourrait tout de même être adaptée à l'usage prévu. L'UE a préconisé une approche plus progressive et a suggéré que la première étape de la révision de la MP actuelle consisterait à effectuer un bilan de la situation, et que la deuxième étape consisterait à élaborer de nouvelles CMP, si ce bilan mettait en évidence des problèmes dans la MP actuelle.</w:t>
      </w:r>
    </w:p>
    <w:p w14:paraId="68A6A824"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60AF41D8" w14:textId="6DB10E78" w:rsidR="00763339" w:rsidRPr="004E13E9" w:rsidRDefault="00763339" w:rsidP="00763339">
      <w:pPr>
        <w:tabs>
          <w:tab w:val="left" w:pos="426"/>
        </w:tabs>
        <w:jc w:val="both"/>
        <w:rPr>
          <w:rFonts w:eastAsia="Yu Gothic" w:cs="Times New Roman"/>
          <w:lang w:val="fr-FR"/>
        </w:rPr>
      </w:pPr>
      <w:r w:rsidRPr="004E13E9">
        <w:rPr>
          <w:rFonts w:eastAsia="Yu Gothic" w:cs="Times New Roman"/>
          <w:lang w:val="fr-FR"/>
        </w:rPr>
        <w:t xml:space="preserve">Le </w:t>
      </w:r>
      <w:r w:rsidR="002455C2" w:rsidRPr="004E13E9">
        <w:rPr>
          <w:rFonts w:eastAsia="Yu Gothic" w:cs="Times New Roman"/>
          <w:lang w:val="fr-FR"/>
        </w:rPr>
        <w:t xml:space="preserve">Président </w:t>
      </w:r>
      <w:r w:rsidRPr="004E13E9">
        <w:rPr>
          <w:rFonts w:eastAsia="Yu Gothic" w:cs="Times New Roman"/>
          <w:lang w:val="fr-FR"/>
        </w:rPr>
        <w:t>d</w:t>
      </w:r>
      <w:r w:rsidR="002455C2" w:rsidRPr="004E13E9">
        <w:rPr>
          <w:rFonts w:eastAsia="Yu Gothic" w:cs="Times New Roman"/>
          <w:lang w:val="fr-FR"/>
        </w:rPr>
        <w:t xml:space="preserve">e la Sous-commission </w:t>
      </w:r>
      <w:r w:rsidRPr="004E13E9">
        <w:rPr>
          <w:rFonts w:eastAsia="Yu Gothic" w:cs="Times New Roman"/>
          <w:lang w:val="fr-FR"/>
        </w:rPr>
        <w:t xml:space="preserve">2 a indiqué que le paragraphe 18 de la </w:t>
      </w:r>
      <w:hyperlink r:id="rId40" w:history="1">
        <w:r w:rsidR="009A589C" w:rsidRPr="004E13E9">
          <w:rPr>
            <w:rStyle w:val="Hyperlink"/>
            <w:rFonts w:eastAsia="Yu Gothic" w:cs="Times New Roman"/>
            <w:u w:val="none"/>
            <w:lang w:val="fr-FR"/>
          </w:rPr>
          <w:t xml:space="preserve">Rec. </w:t>
        </w:r>
        <w:r w:rsidRPr="004E13E9">
          <w:rPr>
            <w:rStyle w:val="Hyperlink"/>
            <w:rFonts w:eastAsia="Yu Gothic" w:cs="Times New Roman"/>
            <w:u w:val="none"/>
            <w:lang w:val="fr-FR"/>
          </w:rPr>
          <w:t>21-04</w:t>
        </w:r>
      </w:hyperlink>
      <w:r w:rsidRPr="004E13E9">
        <w:rPr>
          <w:rFonts w:eastAsia="Yu Gothic" w:cs="Times New Roman"/>
          <w:lang w:val="fr-FR"/>
        </w:rPr>
        <w:t xml:space="preserve"> stipule que « </w:t>
      </w:r>
      <w:r w:rsidR="00596EC6" w:rsidRPr="004E13E9">
        <w:rPr>
          <w:rFonts w:eastAsia="Yu Gothic" w:cs="Times New Roman"/>
          <w:lang w:val="fr-FR"/>
        </w:rPr>
        <w:t>Le SCRS devra poursuivre le développement d'un nouveau cadre de MSE afin de soutenir l’éventuelle adoption d’une nouvelle MP par la Commission au plus tard en 2026 et de l’établissement d'un TAC pour la période de gestion 2027-2030</w:t>
      </w:r>
      <w:r w:rsidRPr="004E13E9">
        <w:rPr>
          <w:rFonts w:eastAsia="Yu Gothic" w:cs="Times New Roman"/>
          <w:lang w:val="fr-FR"/>
        </w:rPr>
        <w:t xml:space="preserve"> », et que cela constituait le </w:t>
      </w:r>
      <w:r w:rsidR="00B52B33" w:rsidRPr="004E13E9">
        <w:rPr>
          <w:rFonts w:eastAsia="Yu Gothic" w:cs="Times New Roman"/>
          <w:lang w:val="fr-FR"/>
        </w:rPr>
        <w:t xml:space="preserve">critère </w:t>
      </w:r>
      <w:r w:rsidRPr="004E13E9">
        <w:rPr>
          <w:rFonts w:eastAsia="Yu Gothic" w:cs="Times New Roman"/>
          <w:lang w:val="fr-FR"/>
        </w:rPr>
        <w:t>principal du plan de travail du SCRS.</w:t>
      </w:r>
    </w:p>
    <w:p w14:paraId="27C48763" w14:textId="77777777" w:rsidR="00676ABD" w:rsidRPr="004E13E9" w:rsidRDefault="00676ABD" w:rsidP="00C52BC0">
      <w:pPr>
        <w:tabs>
          <w:tab w:val="left" w:pos="426"/>
        </w:tabs>
        <w:jc w:val="both"/>
        <w:rPr>
          <w:rFonts w:eastAsia="Yu Gothic" w:cs="Times New Roman"/>
          <w:kern w:val="2"/>
          <w:lang w:val="fr-FR"/>
          <w14:ligatures w14:val="standardContextual"/>
        </w:rPr>
      </w:pPr>
    </w:p>
    <w:p w14:paraId="5C8D4950" w14:textId="70CE22EA"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 </w:t>
      </w:r>
      <w:r w:rsidR="00B52B33" w:rsidRPr="004E13E9">
        <w:rPr>
          <w:lang w:val="fr-FR"/>
        </w:rPr>
        <w:t>Président de la Sous-commission 2</w:t>
      </w:r>
      <w:r w:rsidRPr="004E13E9">
        <w:rPr>
          <w:lang w:val="fr-FR"/>
        </w:rPr>
        <w:t xml:space="preserve"> a reconnu qu'il n'existait pas de consensus parmi les membres de la Sous-commission 2 quant à la définition du terme « examen » dans ce contexte, mais a souligné que le SCRS avait bien l'intention de suivre l'approche suggérée par l'UE, consistant à vérifier les performances de la MP actuelle avant d'étudier les améliorations possibles. Le Japon a toutefois expliqué que, cette année, le SCRS devait non seulement réexaminer la MP, mais aussi calculer un TAC recommandé en appliquant la MP ; c'est pourquoi le SCRS doit faire avancer les travaux visant à évaluer l'état de la MP actuelle tout en travaillant, dans une certaine mesure en parallèle, sur les améliorations possibles.</w:t>
      </w:r>
    </w:p>
    <w:p w14:paraId="334272E8"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173EF6E4"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 Président du SCRS a expliqué que le SCRS avait l'intention à la fois de vérifier l'état de la MP actuelle et de tester ses performances par rapport à d'autres CMP. Si la MP actuelle ne donne pas les résultats escomptés ou s'avère moins performante que les alternatives, le SCRS peut proposer à la Commission des pistes d'amélioration. </w:t>
      </w:r>
    </w:p>
    <w:p w14:paraId="1205FB3B" w14:textId="748D96F5" w:rsidR="00685078" w:rsidRPr="004E13E9" w:rsidRDefault="00685078">
      <w:pPr>
        <w:rPr>
          <w:lang w:val="fr-FR"/>
        </w:rPr>
      </w:pPr>
    </w:p>
    <w:p w14:paraId="362EAD5D" w14:textId="3933C47E"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Les membres de la Sous-commission 2 ont demandé au SCRS de poursuivre ses travaux d'examen et de mise à l'essai de la MP actuelle et d’autres CMP, et de présenter à la Sous-commission 2 ses résultats et recommandations, qui pourraient porter sur la MP actuelle, sur des modifications à apporter à la MP actuelle ou sur l'élaboration éventuelle d'une nouvelle MP. </w:t>
      </w:r>
    </w:p>
    <w:p w14:paraId="37BD8D92"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7DECEA22" w14:textId="23D55195" w:rsidR="00C52BC0" w:rsidRPr="004E13E9" w:rsidRDefault="00C52BC0" w:rsidP="00C52BC0">
      <w:pPr>
        <w:tabs>
          <w:tab w:val="left" w:pos="426"/>
        </w:tabs>
        <w:jc w:val="both"/>
        <w:rPr>
          <w:rFonts w:eastAsia="Yu Gothic" w:cs="Times New Roman"/>
          <w:lang w:val="fr-FR"/>
        </w:rPr>
      </w:pPr>
      <w:r w:rsidRPr="004E13E9">
        <w:rPr>
          <w:lang w:val="fr-FR"/>
        </w:rPr>
        <w:t xml:space="preserve">Les membres de la Sous-commission 2 ont demandé au SCRS d'étudier les points suivants s'il envisageait d'apporter des modifications à la MP actuelle ou d'élaborer de nouvelles CMP : diverses options pour l'intégration d'une limite de sécurité, telle qu'une probabilité ne dépassant pas </w:t>
      </w:r>
      <w:r w:rsidR="00E73D88" w:rsidRPr="004E13E9">
        <w:rPr>
          <w:lang w:val="fr-FR"/>
        </w:rPr>
        <w:t>5-</w:t>
      </w:r>
      <w:r w:rsidRPr="004E13E9">
        <w:rPr>
          <w:lang w:val="fr-FR"/>
        </w:rPr>
        <w:t>15% de franchir B</w:t>
      </w:r>
      <w:r w:rsidRPr="004E13E9">
        <w:rPr>
          <w:vertAlign w:val="subscript"/>
          <w:lang w:val="fr-FR"/>
        </w:rPr>
        <w:t>Lim</w:t>
      </w:r>
      <w:r w:rsidRPr="004E13E9">
        <w:rPr>
          <w:lang w:val="fr-FR"/>
        </w:rPr>
        <w:t xml:space="preserve"> ; diverses options pour une limite de stabilité plus basse, telle qu’une variation interannuelle de ±</w:t>
      </w:r>
      <w:r w:rsidR="009A4092" w:rsidRPr="004E13E9">
        <w:rPr>
          <w:lang w:val="fr-FR"/>
        </w:rPr>
        <w:t>10-</w:t>
      </w:r>
      <w:r w:rsidRPr="004E13E9">
        <w:rPr>
          <w:lang w:val="fr-FR"/>
        </w:rPr>
        <w:t>15% ; l’exclusion des HCR</w:t>
      </w:r>
      <w:r w:rsidR="009A4092" w:rsidRPr="004E13E9">
        <w:rPr>
          <w:lang w:val="fr-FR"/>
        </w:rPr>
        <w:t xml:space="preserve"> dans des CMP basées sur des modèles</w:t>
      </w:r>
      <w:r w:rsidRPr="004E13E9">
        <w:rPr>
          <w:lang w:val="fr-FR"/>
        </w:rPr>
        <w:t xml:space="preserve"> incluant une B seuil inférieure à B</w:t>
      </w:r>
      <w:r w:rsidRPr="004E13E9">
        <w:rPr>
          <w:vertAlign w:val="subscript"/>
          <w:lang w:val="fr-FR"/>
        </w:rPr>
        <w:t xml:space="preserve">PME </w:t>
      </w:r>
      <w:r w:rsidRPr="004E13E9">
        <w:rPr>
          <w:lang w:val="fr-FR"/>
        </w:rPr>
        <w:t>; tester la robustesse de la MP face aux effets du changement climatique ; tester la robustesse de la MP face à un scénario dans lequel le TAC est pleinement utilisé ; et utiliser des outils de visualisation supplémentaires, tels que des diagrammes en boîte, pour présenter les résultats.</w:t>
      </w:r>
    </w:p>
    <w:p w14:paraId="04DF213A" w14:textId="77777777" w:rsidR="00C52BC0" w:rsidRPr="004E13E9" w:rsidRDefault="00C52BC0" w:rsidP="00C52BC0">
      <w:pPr>
        <w:tabs>
          <w:tab w:val="left" w:pos="426"/>
        </w:tabs>
        <w:jc w:val="both"/>
        <w:rPr>
          <w:rFonts w:eastAsia="Yu Gothic" w:cs="Times New Roman"/>
          <w:lang w:val="fr-FR"/>
        </w:rPr>
      </w:pPr>
    </w:p>
    <w:p w14:paraId="4C080CA2" w14:textId="73271BE8" w:rsidR="00C52BC0" w:rsidRPr="004E13E9" w:rsidRDefault="00C52BC0" w:rsidP="00C52BC0">
      <w:pPr>
        <w:tabs>
          <w:tab w:val="left" w:pos="426"/>
        </w:tabs>
        <w:jc w:val="both"/>
        <w:rPr>
          <w:lang w:val="fr-FR"/>
        </w:rPr>
      </w:pPr>
      <w:r w:rsidRPr="004E13E9">
        <w:rPr>
          <w:lang w:val="fr-FR"/>
        </w:rPr>
        <w:lastRenderedPageBreak/>
        <w:t xml:space="preserve">Les membres de la Sous-commission 2 ont demandé au SCRS de s'efforcer de limiter le nombre de CMP </w:t>
      </w:r>
      <w:r w:rsidR="00E77484" w:rsidRPr="004E13E9">
        <w:rPr>
          <w:lang w:val="fr-FR"/>
        </w:rPr>
        <w:t xml:space="preserve">basées sur des modèles </w:t>
      </w:r>
      <w:r w:rsidRPr="004E13E9">
        <w:rPr>
          <w:lang w:val="fr-FR"/>
        </w:rPr>
        <w:t>qu'il recommande</w:t>
      </w:r>
      <w:r w:rsidR="001D746A" w:rsidRPr="004E13E9">
        <w:rPr>
          <w:lang w:val="fr-FR"/>
        </w:rPr>
        <w:t xml:space="preserve">, sur la base des commentaires formulés ci-dessus, et de ne présenter </w:t>
      </w:r>
      <w:r w:rsidR="0014582E" w:rsidRPr="004E13E9">
        <w:rPr>
          <w:lang w:val="fr-FR"/>
        </w:rPr>
        <w:t xml:space="preserve">à la Sous-commission </w:t>
      </w:r>
      <w:r w:rsidR="001D746A" w:rsidRPr="004E13E9">
        <w:rPr>
          <w:lang w:val="fr-FR"/>
        </w:rPr>
        <w:t xml:space="preserve">2 que six CMP au maximum pour chacun des types de CMP empiriques. L'UE a toutefois rappelé qu'il incombe en dernier ressort aux </w:t>
      </w:r>
      <w:r w:rsidR="000D738A" w:rsidRPr="004E13E9">
        <w:rPr>
          <w:lang w:val="fr-FR"/>
        </w:rPr>
        <w:t>gestionnaires</w:t>
      </w:r>
      <w:r w:rsidR="001D746A" w:rsidRPr="004E13E9">
        <w:rPr>
          <w:lang w:val="fr-FR"/>
        </w:rPr>
        <w:t xml:space="preserve"> de réduire le nombre de CMP.</w:t>
      </w:r>
    </w:p>
    <w:p w14:paraId="49C3EAD8" w14:textId="77777777" w:rsidR="008A5CDD" w:rsidRPr="004E13E9" w:rsidRDefault="008A5CDD" w:rsidP="00C52BC0">
      <w:pPr>
        <w:tabs>
          <w:tab w:val="left" w:pos="426"/>
        </w:tabs>
        <w:jc w:val="both"/>
        <w:rPr>
          <w:rFonts w:eastAsia="Yu Gothic" w:cs="Times New Roman"/>
          <w:kern w:val="2"/>
          <w:lang w:val="fr-FR"/>
          <w14:ligatures w14:val="standardContextual"/>
        </w:rPr>
      </w:pPr>
    </w:p>
    <w:p w14:paraId="6BD99291" w14:textId="38E024E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Les membres de la Sous-commission 2 ont convenu d'examiner les travaux et les recommandations du SCRS </w:t>
      </w:r>
      <w:r w:rsidR="00021CD2" w:rsidRPr="004E13E9">
        <w:rPr>
          <w:lang w:val="fr-FR"/>
        </w:rPr>
        <w:t>pendant la période inter</w:t>
      </w:r>
      <w:r w:rsidRPr="004E13E9">
        <w:rPr>
          <w:lang w:val="fr-FR"/>
        </w:rPr>
        <w:t>sessions, lors d'une réunion en ligne d'une journée.</w:t>
      </w:r>
    </w:p>
    <w:p w14:paraId="5A05E912" w14:textId="57F3C746" w:rsidR="00C14CCB" w:rsidRPr="004E13E9" w:rsidRDefault="00C14CCB">
      <w:pPr>
        <w:rPr>
          <w:rFonts w:eastAsia="Yu Gothic" w:cs="Times New Roman"/>
          <w:kern w:val="2"/>
          <w:lang w:val="fr-FR"/>
          <w14:ligatures w14:val="standardContextual"/>
        </w:rPr>
      </w:pPr>
    </w:p>
    <w:p w14:paraId="2FCB2E02" w14:textId="77777777" w:rsidR="00C52BC0" w:rsidRPr="004E13E9" w:rsidRDefault="00C52BC0" w:rsidP="00C52BC0">
      <w:pPr>
        <w:ind w:left="426" w:hanging="426"/>
        <w:contextualSpacing/>
        <w:jc w:val="both"/>
        <w:rPr>
          <w:rFonts w:eastAsia="Yu Gothic" w:cs="Times New Roman"/>
          <w:b/>
          <w:bCs/>
          <w:kern w:val="2"/>
          <w:lang w:val="fr-FR"/>
          <w14:ligatures w14:val="standardContextual"/>
        </w:rPr>
      </w:pPr>
      <w:r w:rsidRPr="004E13E9">
        <w:rPr>
          <w:b/>
          <w:lang w:val="fr-FR"/>
        </w:rPr>
        <w:t>9.</w:t>
      </w:r>
      <w:r w:rsidRPr="004E13E9">
        <w:rPr>
          <w:b/>
          <w:lang w:val="fr-FR"/>
        </w:rPr>
        <w:tab/>
        <w:t>Discussion sur l’allocation du thon rouge de l’Atlantique Est et de la Méditerranée</w:t>
      </w:r>
    </w:p>
    <w:p w14:paraId="20B0CDBB" w14:textId="77777777" w:rsidR="00C52BC0" w:rsidRPr="004E13E9" w:rsidRDefault="00C52BC0" w:rsidP="00C52BC0">
      <w:pPr>
        <w:jc w:val="both"/>
        <w:rPr>
          <w:rFonts w:eastAsia="Yu Gothic" w:cs="Times New Roman"/>
          <w:b/>
          <w:i/>
          <w:kern w:val="2"/>
          <w:lang w:val="fr-FR"/>
          <w14:ligatures w14:val="standardContextual"/>
        </w:rPr>
      </w:pPr>
    </w:p>
    <w:p w14:paraId="39D151F4" w14:textId="77777777" w:rsidR="00C52BC0" w:rsidRPr="004E13E9" w:rsidRDefault="00C52BC0" w:rsidP="00C52BC0">
      <w:pPr>
        <w:jc w:val="both"/>
        <w:rPr>
          <w:rFonts w:eastAsia="Yu Gothic" w:cs="Times New Roman"/>
          <w:b/>
          <w:bCs/>
          <w:i/>
          <w:iCs/>
          <w:kern w:val="2"/>
          <w:lang w:val="fr-FR"/>
          <w14:ligatures w14:val="standardContextual"/>
        </w:rPr>
      </w:pPr>
      <w:r w:rsidRPr="004E13E9">
        <w:rPr>
          <w:b/>
          <w:i/>
          <w:lang w:val="fr-FR"/>
        </w:rPr>
        <w:t>9.1 Examen des discussions tenues lors de la réunion annuelle de 2025 par le Président de la Sous-commission 2</w:t>
      </w:r>
    </w:p>
    <w:p w14:paraId="2E41E15F"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306FCA49" w14:textId="77777777" w:rsidR="00C52BC0" w:rsidRPr="004E13E9" w:rsidRDefault="00C52BC0" w:rsidP="00C52BC0">
      <w:pPr>
        <w:tabs>
          <w:tab w:val="left" w:pos="426"/>
        </w:tabs>
        <w:jc w:val="both"/>
        <w:rPr>
          <w:rFonts w:eastAsia="Yu Gothic" w:cs="Times New Roman"/>
          <w:b/>
          <w:bCs/>
          <w:i/>
          <w:iCs/>
          <w:kern w:val="2"/>
          <w:lang w:val="fr-FR"/>
          <w14:ligatures w14:val="standardContextual"/>
        </w:rPr>
      </w:pPr>
      <w:r w:rsidRPr="004E13E9">
        <w:rPr>
          <w:b/>
          <w:i/>
          <w:lang w:val="fr-FR"/>
        </w:rPr>
        <w:t>Document du Président</w:t>
      </w:r>
    </w:p>
    <w:p w14:paraId="4BB02504" w14:textId="77777777" w:rsidR="00C52BC0" w:rsidRPr="004E13E9" w:rsidRDefault="00C52BC0" w:rsidP="00C52BC0">
      <w:pPr>
        <w:jc w:val="both"/>
        <w:rPr>
          <w:rFonts w:eastAsia="Yu Gothic" w:cs="Times New Roman"/>
          <w:i/>
          <w:iCs/>
          <w:kern w:val="2"/>
          <w:lang w:val="fr-FR"/>
          <w14:ligatures w14:val="standardContextual"/>
        </w:rPr>
      </w:pPr>
    </w:p>
    <w:p w14:paraId="3F88E3C5" w14:textId="3E66913C" w:rsidR="00C52BC0" w:rsidRPr="004E13E9" w:rsidRDefault="00C52BC0" w:rsidP="00C52BC0">
      <w:pPr>
        <w:jc w:val="both"/>
        <w:rPr>
          <w:rFonts w:eastAsia="Yu Gothic" w:cs="Times New Roman"/>
          <w:i/>
          <w:iCs/>
          <w:kern w:val="2"/>
          <w:lang w:val="fr-FR"/>
          <w14:ligatures w14:val="standardContextual"/>
        </w:rPr>
      </w:pPr>
      <w:r w:rsidRPr="004E13E9">
        <w:rPr>
          <w:i/>
          <w:lang w:val="fr-FR"/>
        </w:rPr>
        <w:t>Document de discussion du Président</w:t>
      </w:r>
    </w:p>
    <w:p w14:paraId="0196C3D4"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0FE34587" w14:textId="229CE9D5"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a présenté son document intitulé « Examen des discussions tenues sur l’allocation lors de la réunion annuelle de 2025 ». Le Président a rappelé aux membres de la Sous-commission 2  que la réunion annuelle de 2025 avait approuvé le TAC ainsi que les allocations de thon rouge de la zone orientale pour les CPC, et que, lors des sessions de la Sous-commission 2 et des séances plénières, les CPC avaient soulevé divers points. Il a expliqué que son document passe en revue certains points qui n’avaient pas été pleinement abordés faute de temps et vérifie certains faits évoqués au cours des séances, notamment la contribution à l’exécution, la contribution à la science (autre que les indices de la MP), les sacrifices consentis par le passé, l’utilisation de l’allocation (sous-consommation et surconsommation), la contribution socio-économique, ainsi que la difficulté de démarrer la pêche avec 50 ou 55 t.</w:t>
      </w:r>
    </w:p>
    <w:p w14:paraId="1CEF17A6"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1B6B04D9"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 Président a expliqué qu’à la réunion annuelle de 2025, plusieurs CPC avaient préconisé que la contribution des CPC à l'exécution conjointe soit prise en compte dans l’allocation et que cette contribution puisse être quantifiée, par exemple, en fonction du nombre de navires d'inspection déployés. Le Président a accepté la possibilité d'une telle quantification, mais a souligné qu'en vertu des dispositions du paragraphe 234 de la </w:t>
      </w:r>
      <w:hyperlink r:id="rId41" w:history="1">
        <w:r w:rsidRPr="004E13E9">
          <w:rPr>
            <w:rStyle w:val="Hyperlink"/>
            <w:u w:val="none"/>
            <w:lang w:val="fr-FR"/>
          </w:rPr>
          <w:t>Rec. 25-04</w:t>
        </w:r>
      </w:hyperlink>
      <w:r w:rsidRPr="004E13E9">
        <w:rPr>
          <w:lang w:val="fr-FR"/>
        </w:rPr>
        <w:t>, les CPC disposant de plus de 15 navires doivent envoyer des navires d'inspection, ce qui signifie que les détenteurs de grands quotas doivent, en principe, envoyer des navires d'inspection, tandis que les détenteurs de petits quotas n'ont aucune obligation de le faire. De plus, les détenteurs de petits quotas pourraient ne pas vouloir assumer la charge financière liée à l’envoi d’un navire chargé de l’exécution en raison de l’utilisation d’une petite quantité du quota. Le Président a indiqué que si le nombre de navires d'inspection déployés est un critère pour concéder une allocation supplémentaire, l’écart entre les détenteurs de grands quotas et les détenteurs de petits quotas se creuserait. Même parmi les détenteurs de grands quotas, les écarts vont vraisemblablement s'accentuer. Il serait donc injuste que la contribution à l'exécution conjointe devienne un critère supplémentaire à prendre en compte dans les négociations sur l’allocation.</w:t>
      </w:r>
    </w:p>
    <w:p w14:paraId="73A5CA3D"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3A4C80B5"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a expliqué que, lors de la réunion annuelle de 2025, plusieurs CPC avaient également plaidé pour que la contribution des CPC à la science, au-delà de la simple fourniture d’indices de la MP, soit prise en compte dans l’allocation. Le Président a précisé qu’en incluant la « fourniture d'indices de MP » comme critère pour concéder des allocations supplémentaires, son intention n’était pas de récompenser les efforts des CPC qui fournissaient ces indices. Il s'agissait plutôt de stabiliser la mise en œuvre de la MP. Le GBYP est un exemple de l’importante contribution scientifique. La contribution financière de l'UE (80%) au GBYP est disproportionnellement plus élevée que son pourcentage de quota (52%). Cela signifie que des allocations supplémentaires devraient être accordées à l'UE, ce qui pourrait ne pas être acceptable pour les autres membres de la Sous-commission 2. D'autre part, si l'on tient compte du nombre de participants au Groupe d’espèces sur le thon rouge et des documents qui y sont soumis, les CPC développées seraient probablement en position de force, ce qui pourrait ne pas être acceptable pour les CPC en développement. Le Président a fait remarquer que si l'on tient compte de la contribution à la science lors de l’allocation, l'écart entre les détenteurs de grands quotas et les détenteurs de petits quotas risque de s'accroître, et que la Sous-commission 2 doit trouver un moyen juste et équitable de quantifier cette contribution.</w:t>
      </w:r>
    </w:p>
    <w:p w14:paraId="23F26943"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25BCEA16" w14:textId="670FEDA0"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 Président a expliqué que, lors de la réunion annuelle de 2025, de nombreuses CPC avaient déclaré avoir consenti d'importants sacrifices par le passé et qu'elles devraient être récompensées lorsque le TAC </w:t>
      </w:r>
      <w:r w:rsidRPr="004E13E9">
        <w:rPr>
          <w:lang w:val="fr-FR"/>
        </w:rPr>
        <w:lastRenderedPageBreak/>
        <w:t>augmentera. Il a signalé que ce sacrifice pourrait probablement être classé dans les catégories suivantes : (1) réduction de l'allocation lorsque le TAC a été réduit entre 2007 et 2012 ; (2) réduction du pourcentage ; et (3) réduction des captures lorsqu'une CPC devient membre de la Sous-commission 2. En ce qui concerne le point (1), les détenteurs de grands quotas ont consenti des sacrifices plus importants que les détenteurs de petits quotas lorsque le TAC a été réduit entre 2007 et 2012 ; la Commission a pris note de la position de l'Algérie concernant sa situation historique et pourrait en tenir compte lors de la fixation du TAC en 2029. En ce qui concerne le point (2), parmi les détenteurs de grands quotas, ce sont le Japon et l'UE qui ont fait les plus grands sacrifices si l'on compare leur pourcentage initial/maximal à leur part actuelle, tandis que parmi les détenteurs de petits quotas, ce sont le Taipei chinois et la Corée (</w:t>
      </w:r>
      <w:proofErr w:type="spellStart"/>
      <w:r w:rsidRPr="004E13E9">
        <w:rPr>
          <w:lang w:val="fr-FR"/>
        </w:rPr>
        <w:t>Rép</w:t>
      </w:r>
      <w:proofErr w:type="spellEnd"/>
      <w:r w:rsidRPr="004E13E9">
        <w:rPr>
          <w:lang w:val="fr-FR"/>
        </w:rPr>
        <w:t>.) qui ont fait les plus grands sacrifices. En ce qui concerne le point (3), lorsque l'on compare le quota initial de chaque CPC à la moyenne des captures des cinq années précédentes, c'est le Maroc qui a fait le plus grand sacrifice, suivi de la Türkiye</w:t>
      </w:r>
      <w:r w:rsidR="00673DED" w:rsidRPr="004E13E9">
        <w:rPr>
          <w:lang w:val="fr-FR"/>
        </w:rPr>
        <w:t xml:space="preserve"> ; </w:t>
      </w:r>
      <w:r w:rsidRPr="004E13E9">
        <w:rPr>
          <w:lang w:val="fr-FR"/>
        </w:rPr>
        <w:t>en revanche, si l'on compare le quota initial aux captures de 1993 et 1994, en prenant la valeur la plus élevée des deux, c'est la Türkiye qui a fait le plus grand sacrifice, suivie du Maroc.</w:t>
      </w:r>
    </w:p>
    <w:p w14:paraId="5B6D110D"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02340F5F"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 Président a expliqué que, lors de la réunion annuelle de 2025, plusieurs CPC avaient fait valoir que la sous-utilisation ne devait pas être sanctionnée. Il a souligné que la sous-utilisation devrait être prise en compte lorsque l'état du stock n'est pas satisfaisant, mais que le stock oriental s'était déjà rétabli. Le Président a également expliqué que certaines CPC ont déclaré que la surutilisation (quota initial plus report et/ou transfert provenant d'autres CPC) devrait être un critère pour concéder une allocation supplémentaire, car elle indique la volonté et la capacité de cette CPC à utiliser plus que le quota actuel. Il a souligné que d'autres CPC souhaitent bénéficier de transferts mais ne le peuvent pas, et a fait valoir que si la surutilisation est employée comme un critère pour concéder une allocation supplémentaire, cela serait injuste. Le Président a également fait savoir qu’en vertu de la réglementation en vigueur, les CPC peuvent transférer des quotas, mais ne peuvent pas les vendre. </w:t>
      </w:r>
    </w:p>
    <w:p w14:paraId="223E555A"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4C5D2D1F"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 Président a expliqué que, lors de la réunion annuelle de 2025, plusieurs CPC avaient fait valoir que la contribution socio-économique devrait être prise en compte dans l’allocation. Il a fait remarquer que la réunion intersessions de la Sous-commission 2, en mars 2024, avait abordé ce point et que le paragraphe III.C.11 de la </w:t>
      </w:r>
      <w:hyperlink r:id="rId42" w:history="1">
        <w:r w:rsidRPr="004E13E9">
          <w:rPr>
            <w:rStyle w:val="Hyperlink"/>
            <w:i/>
            <w:iCs/>
            <w:u w:val="none"/>
            <w:lang w:val="fr-FR"/>
          </w:rPr>
          <w:t>Résolution de l’ICCAT portant sur les critères pour l’allocation de possibilités de pêche</w:t>
        </w:r>
        <w:r w:rsidRPr="004E13E9">
          <w:rPr>
            <w:rStyle w:val="Hyperlink"/>
            <w:u w:val="none"/>
            <w:lang w:val="fr-FR"/>
          </w:rPr>
          <w:t xml:space="preserve"> (Rés. 15-13)</w:t>
        </w:r>
      </w:hyperlink>
      <w:r w:rsidRPr="004E13E9">
        <w:rPr>
          <w:lang w:val="fr-FR"/>
        </w:rPr>
        <w:t xml:space="preserve"> stipule que l'un des critères est la contribution socio-économique des pêcheries des stocks réglementés par l'ICCAT aux États en développement, en particulier aux petits États insulaires en développement et aux territoires en développement de la région. Le Président partageait l’opinion selon laquelle cette contribution est un facteur important à prendre en considération, mais que si les CPC souhaitent en tenir compte, elles doivent expliquer comment la quantifier.</w:t>
      </w:r>
    </w:p>
    <w:p w14:paraId="2D98DD6C"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5C7345EF"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a expliqué que, lors de la réunion annuelle de 2025, certaines CPC avaient fait valoir qu’il était difficile de pêcher avec un quota de seulement 50 ou 55 t. Il a souligné que plusieurs CPC avaient effectué des captures dans le cadre de quotas similaires. En outre, les CPC peuvent utiliser le nombre de navires de pêche dont la capacité totale est proportionnelle au quota. Une exemption est également prévue pour les CPC qui possèdent quelques navires participant à des opérations de pêche conjointe avec une autre CPC. Le Président a expliqué qu'un autre point soulevé lors de la réunion annuelle de 2025 concernait la question de savoir si les accords d'affrètement, qui avaient été progressivement supprimés en 2006, devaient être autorisés. Le Président a signalé que la Commission pourrait envisager de réintroduire un accord d'affrètement si une exigence stricte d'élimination progressive est établie avec la présentation d'un calendrier de développement de la pêcherie.</w:t>
      </w:r>
    </w:p>
    <w:p w14:paraId="38177F25" w14:textId="6D49A69A" w:rsidR="00685078" w:rsidRPr="004E13E9" w:rsidRDefault="00685078">
      <w:pPr>
        <w:rPr>
          <w:lang w:val="fr-FR"/>
        </w:rPr>
      </w:pPr>
    </w:p>
    <w:p w14:paraId="62960281" w14:textId="2D192119"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Les membres de la Sous-commission 2 ont discuté du document du Président. Le Président a proposé de demander aux CPC de formuler des commentaires généraux et de commenter ensuite chacun des principaux éléments de son document.</w:t>
      </w:r>
    </w:p>
    <w:p w14:paraId="2FEAED20"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6297AB6E" w14:textId="47D50434" w:rsidR="00C52BC0" w:rsidRPr="00C712A4" w:rsidRDefault="00C712A4" w:rsidP="00C712A4">
      <w:pPr>
        <w:rPr>
          <w:i/>
          <w:lang w:val="fr-FR"/>
        </w:rPr>
      </w:pPr>
      <w:r>
        <w:rPr>
          <w:i/>
          <w:lang w:val="fr-FR"/>
        </w:rPr>
        <w:t>C</w:t>
      </w:r>
      <w:r w:rsidR="00C52BC0" w:rsidRPr="004E13E9">
        <w:rPr>
          <w:i/>
          <w:lang w:val="fr-FR"/>
        </w:rPr>
        <w:t>ommentaires généraux</w:t>
      </w:r>
    </w:p>
    <w:p w14:paraId="6F988DC0"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4A82E314"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La Türkiye a exprimé son soutien à la tenue de discussions visant à trouver des solutions justes et équitables en matière d’allocation. La Türkiye a maintenu sa position et ses arguments concernant le respect de ses droits de pêche historiques et de ses prises historiques pour la période de référence 1993-1994. La Türkiye a également souligné l'importance des contributions volontaires à la science et à l’application pour le succès à long terme de la Commission et a demandé que les propositions d'allocation prévoient des incitations significatives en faveur de contributions volontaires substantielles dans ces domaines.</w:t>
      </w:r>
    </w:p>
    <w:p w14:paraId="1A4E5880"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4AA5DEFF"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lastRenderedPageBreak/>
        <w:t xml:space="preserve">Le Japon a déclaré que le document du Président réaffirmait à quel point il est difficile d'élaborer des critères d'allocation susceptibles de satisfaire toutes les CPC. </w:t>
      </w:r>
    </w:p>
    <w:p w14:paraId="5868B4D3"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43EDFAD6"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L'Islande a estimé que des progrès avaient été réalisés lors des discussions sur l’allocation menées lors de la réunion annuelle de 2025, mais a jugé qu'aucun accord n'avait finalement été trouvé sur les propositions d’allocation, principalement en raison de l'introduction de mesures de sanction en cas de sous-utilisation. L'Islande a estimé que les mesures punitives allaient dans la mauvaise direction et a exhorté les membres de la Sous-commission 2 à se concentrer plutôt sur des mesures d'accompagnement destinées aux CPC qui ont besoin d'aide. Cela pourrait faciliter les progrès dans le respect des principes de coopération et garantir que les intérêts des membres de la Sous-commission 2 soient dûment pris en compte. L'Islande a également pris note et s'est félicitée des discussions concernant la réintroduction éventuelle d'une sorte d’accord d'affrètement, qui serait particulièrement pertinent pour les CPC disposant de petits quotas et cherchant à développer et à exploiter pleinement leurs ressources halieutiques. </w:t>
      </w:r>
    </w:p>
    <w:p w14:paraId="1BBCCB12"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34C73786"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L'UE a fait remarquer que la Sous-commission 2 menait depuis plusieurs années déjà des discussions approfondies sur les critères d'allocation, sans pour autant réaliser de progrès notables, et s'est interrogée sur la nécessité de reprendre ces discussions. L'UE a également fait remarquer que de nombreux éléments importants issus des discussions précédentes n'avaient pas été repris dans le document. De plus, l'UE estimait que, même si la Sous-commission 2 parvenait à s'entendre sur des critères d'allocation, elle aurait beaucoup de mal à s'accorder sur la pondération de chacun d'entre eux. L'UE a déclaré qu'elle s'abstiendrait de réitérer les arguments et les fondements qui sous-tendent et justifient son pourcentage initial, soulignant qu'elle l'avait déjà fait à plusieurs reprises par le passé, dans de nombreux documents et interventions. Elle a toutefois critiqué l'idée avancée dans le document selon laquelle certains critères ne devraient pas ou ne pourraient pas être utilisés au motif qu'ils profiteraient d'une manière ou d'une autre à l'UE. L'UE a estimé qu'il était intellectuellement malhonnête et politiquement inacceptable de faire abstraction de ces arguments valables qui justifient le pourcentage de l'UE et la réalité du rôle important qu'elle joue dans la pêcherie du thon rouge. Par ailleurs, l'UE a remis en question la pratique consistant à attribuer automatiquement des quotas aux nouveaux arrivants, soulignant que de nombreuses CPC ont insisté sur leur besoin d'un quota ou d’un quota supérieur pour ensuite transférer l'intégralité de leur quota à une autre CPC. L'UE a déclaré que ces demandes théoriques de quotas manquaient de crédibilité et qu'elle se concentrerait, lors des futures discussions sur l'allocation des quotas, sur l'activité de pêche effective et sur la question de savoir si les CPC utilisent les quotas qu'elles ont demandés.</w:t>
      </w:r>
    </w:p>
    <w:p w14:paraId="59A9DC2E"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6470BC02"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a expliqué que la discussion sur l’allocation avait été inscrite à l'ordre du jour à la demande de plusieurs CPC. Il a également rappelé que son document avait pour seul objectif d'aborder les points qui n'avaient pas été pleinement traités lors de la réunion annuelle, et que les autres points avaient été écartés afin d'éviter toute répétition et toute redondance.</w:t>
      </w:r>
    </w:p>
    <w:p w14:paraId="53E976C3"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3E7DEF1B"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L'Égypte a précisé qu'elle faisait partie des CPC qui avaient souhaité aborder la question de l’allocation lors de cette réunion. L'Égypte a expliqué que ses objectifs étaient d'assurer une plus grande transparence et de rationaliser les délibérations futures afin d'éviter une situation similaire à celle de la réunion annuelle de 2025, au cours de laquelle il avait fallu beaucoup de temps pour parvenir à un consensus. </w:t>
      </w:r>
    </w:p>
    <w:p w14:paraId="4D7EC069" w14:textId="0F271D4A" w:rsidR="00685078" w:rsidRPr="004E13E9" w:rsidRDefault="00685078">
      <w:pPr>
        <w:rPr>
          <w:lang w:val="fr-FR"/>
        </w:rPr>
      </w:pPr>
    </w:p>
    <w:p w14:paraId="4D724BC9" w14:textId="787577B8"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Sénégal a suggéré que les points de discussion soulevés dans le document du Président se concentrent sur les pêcheurs existants et les nouveaux arrivants défavorisés. Le Sénégal estimait également qu'il devrait bénéficier d'un traitement particulier par rapport aux autres nouveaux arrivants, étant donné que son quota est affecté aux prises accessoires de thon rouge.</w:t>
      </w:r>
    </w:p>
    <w:p w14:paraId="1770AE7C" w14:textId="520F1A3A" w:rsidR="00045053" w:rsidRPr="004E13E9" w:rsidRDefault="00045053">
      <w:pPr>
        <w:rPr>
          <w:lang w:val="fr-FR"/>
        </w:rPr>
      </w:pPr>
    </w:p>
    <w:p w14:paraId="028A3265" w14:textId="68E43FCE"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a souligné que, que le thon rouge soit capturé à des fins commerciales ou en tant que prise accessoire, cela entraîne dans tous les cas la mortalité du thon rouge. Le Président a suggéré que, si le Sénégal estimait que sa situation méritait une attention particulière, il devrait rédiger un document contenant une proposition et des données à l'appui.</w:t>
      </w:r>
    </w:p>
    <w:p w14:paraId="0ABBF83A"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682E9100"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L'Algérie a fait remarquer que la Sous-commission 2 avait déjà mené des discussions approfondies sur les critères d'allocation et a souligné que l'objectif de ces discussions, ainsi que de la présente discussion, était de tenter de trouver un mécanisme permettant de répartir le TAC de manière appropriée. Cela ne signifie pas pour autant un retour à l'ancien système d’allocation. La Sous-commission 2 pourrait plutôt procéder à des ajustements ou à des corrections et, éventuellement, définir de nouveaux critères, lesquels pourraient être pris en compte lors de l'allocation d'un TAC accru. </w:t>
      </w:r>
    </w:p>
    <w:p w14:paraId="5D7DAC38"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3944BB3C"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 Président a reconnu que la Sous-commission 2 n'avait pas nécessairement besoin de conserver la </w:t>
      </w:r>
      <w:hyperlink r:id="rId43" w:history="1">
        <w:r w:rsidRPr="004E13E9">
          <w:rPr>
            <w:rStyle w:val="Hyperlink"/>
            <w:u w:val="none"/>
            <w:lang w:val="fr-FR"/>
          </w:rPr>
          <w:t>Rés. 15-13</w:t>
        </w:r>
      </w:hyperlink>
      <w:r w:rsidRPr="004E13E9">
        <w:rPr>
          <w:lang w:val="fr-FR"/>
        </w:rPr>
        <w:t xml:space="preserve"> telle quelle et qu'elle pouvait tout à fait établir de nouveaux critères, pour autant qu'un consensus se dégage en ce sens.</w:t>
      </w:r>
    </w:p>
    <w:p w14:paraId="649D394C" w14:textId="6C6910DF" w:rsidR="00C14CCB" w:rsidRPr="004E13E9" w:rsidRDefault="00C14CCB">
      <w:pPr>
        <w:rPr>
          <w:i/>
          <w:lang w:val="fr-FR"/>
        </w:rPr>
      </w:pPr>
    </w:p>
    <w:p w14:paraId="662A393E" w14:textId="6A9B5874" w:rsidR="00C52BC0" w:rsidRPr="004E13E9" w:rsidRDefault="00C52BC0" w:rsidP="00C52BC0">
      <w:pPr>
        <w:tabs>
          <w:tab w:val="left" w:pos="426"/>
        </w:tabs>
        <w:jc w:val="both"/>
        <w:rPr>
          <w:rFonts w:eastAsia="Yu Gothic" w:cs="Times New Roman"/>
          <w:i/>
          <w:iCs/>
          <w:kern w:val="2"/>
          <w:lang w:val="fr-FR"/>
          <w14:ligatures w14:val="standardContextual"/>
        </w:rPr>
      </w:pPr>
      <w:r w:rsidRPr="004E13E9">
        <w:rPr>
          <w:i/>
          <w:lang w:val="fr-FR"/>
        </w:rPr>
        <w:t>Contribution à l'exécution</w:t>
      </w:r>
    </w:p>
    <w:p w14:paraId="7CE2F95A"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2A84FF3D"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a estimé qu'il serait difficile de parvenir à un consensus sur l'inclusion de la contribution à l'exécution comme un critère d’allocation. Il estimait que l'on ne pouvait progresser qu'en s'appuyant sur des propositions concrètes qui quantifient ces contributions.</w:t>
      </w:r>
    </w:p>
    <w:p w14:paraId="4B407F48"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045FC8DF"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La Tunisie a souligné l'importance de prendre en compte les contributions à l’exécution dans le cadre des allocations, en mettant en avant le coût et la complexité logistique des opérations conjointes d’exécution, ainsi que leurs avantages pour la gestion du stock de thon rouge.</w:t>
      </w:r>
    </w:p>
    <w:p w14:paraId="69A9D313"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3313655B"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L'Algérie a souligné l'importance des contributions des CPC à l’exécution, en mettant en avant le coût financier considérable que représente le déploiement de navires d'inspection pendant la saison de pêche. L'Algérie a encouragé les autres CPC à contribuer davantage à l’exécution.</w:t>
      </w:r>
    </w:p>
    <w:p w14:paraId="0A242BA7"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28AB661C"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L'Égypte a souligné que les obligations prévues dans la </w:t>
      </w:r>
      <w:hyperlink r:id="rId44" w:history="1">
        <w:r w:rsidRPr="004E13E9">
          <w:rPr>
            <w:rStyle w:val="Hyperlink"/>
            <w:u w:val="none"/>
            <w:lang w:val="fr-FR"/>
          </w:rPr>
          <w:t>Rec. 25-04</w:t>
        </w:r>
      </w:hyperlink>
      <w:r w:rsidRPr="004E13E9">
        <w:rPr>
          <w:rStyle w:val="Hyperlink"/>
          <w:u w:val="none"/>
          <w:lang w:val="fr-FR"/>
        </w:rPr>
        <w:t xml:space="preserve"> </w:t>
      </w:r>
      <w:r w:rsidRPr="004E13E9">
        <w:rPr>
          <w:lang w:val="fr-FR"/>
        </w:rPr>
        <w:t>concernant l'exécution ne s'appliquent qu'aux pêcheurs d'une certaine taille. Si la contribution à l’exécution était récompensée lors de l’allocation, cela créerait un cercle vicieux qui récompenserait les détenteurs de quotas pour s'être acquittés de leur obligation légale, tout en désavantageant structurellement les détenteurs de petits quotas.</w:t>
      </w:r>
    </w:p>
    <w:p w14:paraId="5278FBBD"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065E6B03"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La Norvège s'est ralliée à l'argument de l'Égypte et a souscrit à la conclusion du document du Président.</w:t>
      </w:r>
    </w:p>
    <w:p w14:paraId="6F3C1466"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6EE783BD"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L'UE a reconnu que le fait de récompenser certaines CPC pour avoir respecté des obligations qui ne s'appliquent qu'à elles pourrait créer un déséquilibre structurel, et comprenait pourquoi cela pourrait ne pas séduire d’autres CPC. Toutefois, l'UE a souligné qu'il existe également des exemples de CPC qui vont au-delà de ce qui leur est légalement imposé, ce qui pourrait être quantifié et pris en compte dans les allocations. </w:t>
      </w:r>
    </w:p>
    <w:p w14:paraId="42B5DF13"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563BA7A7"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 Royaume-Uni s'est déclaré globalement d'accord avec les conclusions du document du Président concernant la contribution à l’exécution. Le Royaume-Uni a reconnu la nécessité d'élaborer des indicateurs quantitatifs, tout en admettant la difficulté d'une telle entreprise, et s'est déclaré disposé à examiner toute proposition que d'autres CPC pourraient présenter. Le Royaume-Uni a reconnu qu'il existait un risque d'aggraver les inégalités en récompensant les CPC qui ont apporté une contribution particulière à l’exécution tant par le passé qu'à ce jour. Le Royaume-Uni a précisé que l'atteinte d'une égalité totale ne devait pas nécessairement être l'objectif principal, mais qu'il fallait à tout prix éviter que les inégalités ne s'aggravent. </w:t>
      </w:r>
    </w:p>
    <w:p w14:paraId="1E348D8B" w14:textId="7EAC0CAB" w:rsidR="00685078" w:rsidRPr="004E13E9" w:rsidRDefault="00685078">
      <w:pPr>
        <w:rPr>
          <w:lang w:val="fr-FR"/>
        </w:rPr>
      </w:pPr>
    </w:p>
    <w:p w14:paraId="72EFC19B" w14:textId="648A06D2"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Maroc a fait valoir qu'il disposait d'un certain nombre de navires qui ne peuvent pas participer aux inspections et a suggéré de tenir compte également du fait que la majeure partie de son quota est allouée aux madragues.</w:t>
      </w:r>
    </w:p>
    <w:p w14:paraId="72E35230"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6E2A6598" w14:textId="77777777" w:rsidR="00C712A4" w:rsidRDefault="00C52BC0" w:rsidP="00C52BC0">
      <w:pPr>
        <w:tabs>
          <w:tab w:val="left" w:pos="426"/>
        </w:tabs>
        <w:jc w:val="both"/>
        <w:rPr>
          <w:lang w:val="fr-FR"/>
        </w:rPr>
      </w:pPr>
      <w:r w:rsidRPr="004E13E9">
        <w:rPr>
          <w:lang w:val="fr-FR"/>
        </w:rPr>
        <w:t xml:space="preserve">L'Égypte a fait remarquer que certaines CPC ont encouragé d'autres CPC à participer à des opérations conjointes d’exécution, bien que la </w:t>
      </w:r>
      <w:hyperlink r:id="rId45" w:history="1">
        <w:r w:rsidRPr="004E13E9">
          <w:rPr>
            <w:rStyle w:val="Hyperlink"/>
            <w:u w:val="none"/>
            <w:lang w:val="fr-FR"/>
          </w:rPr>
          <w:t>Rec. 25-04</w:t>
        </w:r>
      </w:hyperlink>
      <w:r w:rsidRPr="004E13E9">
        <w:rPr>
          <w:lang w:val="fr-FR"/>
        </w:rPr>
        <w:t xml:space="preserve"> ne l’exige pas. L'Égypte s'est interrogée sur le bien-fondé d'une telle proposition et sur la faisabilité de sa mise en œuvre.</w:t>
      </w:r>
    </w:p>
    <w:p w14:paraId="6BAC0DFC" w14:textId="77777777" w:rsidR="00C712A4" w:rsidRDefault="00C712A4" w:rsidP="00C52BC0">
      <w:pPr>
        <w:tabs>
          <w:tab w:val="left" w:pos="426"/>
        </w:tabs>
        <w:jc w:val="both"/>
        <w:rPr>
          <w:lang w:val="fr-FR"/>
        </w:rPr>
      </w:pPr>
    </w:p>
    <w:p w14:paraId="0BCDEAA3" w14:textId="6B886C35" w:rsidR="00C52BC0" w:rsidRPr="00C712A4" w:rsidRDefault="00C712A4" w:rsidP="00C52BC0">
      <w:pPr>
        <w:tabs>
          <w:tab w:val="left" w:pos="426"/>
        </w:tabs>
        <w:jc w:val="both"/>
        <w:rPr>
          <w:lang w:val="fr-FR"/>
        </w:rPr>
      </w:pPr>
      <w:r>
        <w:rPr>
          <w:lang w:val="fr-FR"/>
        </w:rPr>
        <w:t>L</w:t>
      </w:r>
      <w:r w:rsidR="00C52BC0" w:rsidRPr="004E13E9">
        <w:rPr>
          <w:lang w:val="fr-FR"/>
        </w:rPr>
        <w:t>e Président a fait remarquer que les CPC disposant de petits quotas sont moins incitées à participer à des opérations conjointes d’exécution, étant donné que la charge importante que cela représente est très disproportionnée par rapport aux avantages qu'elles tirent de leur faible allocation.</w:t>
      </w:r>
    </w:p>
    <w:p w14:paraId="75AF2456"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5B11EF20" w14:textId="77777777" w:rsidR="00C52BC0" w:rsidRPr="004E13E9" w:rsidRDefault="00C52BC0" w:rsidP="00C52BC0">
      <w:pPr>
        <w:tabs>
          <w:tab w:val="left" w:pos="426"/>
        </w:tabs>
        <w:jc w:val="both"/>
        <w:rPr>
          <w:rFonts w:eastAsia="Yu Gothic" w:cs="Times New Roman"/>
          <w:i/>
          <w:iCs/>
          <w:kern w:val="2"/>
          <w:lang w:val="fr-FR"/>
          <w14:ligatures w14:val="standardContextual"/>
        </w:rPr>
      </w:pPr>
      <w:r w:rsidRPr="004E13E9">
        <w:rPr>
          <w:i/>
          <w:lang w:val="fr-FR"/>
        </w:rPr>
        <w:t>Contribution à la science (autre que les indices de MP)</w:t>
      </w:r>
    </w:p>
    <w:p w14:paraId="5A0F9071"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22251585"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Tout comme la contribution à l'exécution, le Président a estimé qu'il serait difficile de parvenir à un consensus sur l'inclusion de la contribution à la science comme un critère d’allocation. Une fois de plus, il estimait que l'on ne pouvait progresser qu'en s'appuyant sur des propositions concrètes qui quantifient ces contributions.</w:t>
      </w:r>
    </w:p>
    <w:p w14:paraId="03B75A53"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2C10CED0"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 Maroc a souligné l'importance des contributions à la science, notamment celles apportées par les CPC en développement et les contributions à l'évaluation des stocks lorsque le stock était en mauvaise santé. </w:t>
      </w:r>
    </w:p>
    <w:p w14:paraId="1907F6BC" w14:textId="71870408" w:rsidR="00C14CCB" w:rsidRPr="004E13E9" w:rsidRDefault="00C14CCB">
      <w:pPr>
        <w:rPr>
          <w:lang w:val="fr-FR"/>
        </w:rPr>
      </w:pPr>
    </w:p>
    <w:p w14:paraId="31DB813C" w14:textId="601176D0"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L'Égypte a souscrit à l'avis exprimé dans le document du Président selon lequel la quantification de la contribution à la science à l'aide d'indicateurs tels que le nombre de participants au SCRS ou de documents soumis créerait une disparité entre les CPC développées et les CPC en développement. Cela constituerait un préjugé inhérent à l'égard des CPC en développement, qui, bien qu'elles manquent parfois de moyens, fournissent néanmoins des données précieuses. </w:t>
      </w:r>
    </w:p>
    <w:p w14:paraId="4CF9AD4B"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2179EF90"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L'UE a souligné qu'elle avait réalisé d'importants investissements dans les travaux scientifiques de l'ICCAT concernant le thon rouge. L'UE a notamment souligné qu'elle avait financé à hauteur de 80% le programme de recherche qui sous-tend la gestion de ce stock, dans l'intérêt de tous. L'UE a estimé qu'il serait injuste de ne pas reconnaître ces contributions.</w:t>
      </w:r>
    </w:p>
    <w:p w14:paraId="5DE82E91"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2F4F66EA"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La Norvège s'est déclarée d'accord avec les conclusions du document du Président concernant la contribution à la science. Par ailleurs, la Norvège a souligné qu’elle apportait des contributions scientifiques dans divers domaines, non seulement à la MP, mais aussi au GBYP, auquel elle contribue six fois plus que ne le prévoit son quota.</w:t>
      </w:r>
    </w:p>
    <w:p w14:paraId="142BEA9D"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73D44713" w14:textId="77777777" w:rsidR="00C52BC0" w:rsidRPr="004E13E9" w:rsidRDefault="00C52BC0" w:rsidP="00C52BC0">
      <w:pPr>
        <w:tabs>
          <w:tab w:val="left" w:pos="426"/>
        </w:tabs>
        <w:jc w:val="both"/>
        <w:rPr>
          <w:rFonts w:eastAsia="Yu Gothic" w:cs="Times New Roman"/>
          <w:i/>
          <w:iCs/>
          <w:kern w:val="2"/>
          <w:lang w:val="fr-FR"/>
          <w14:ligatures w14:val="standardContextual"/>
        </w:rPr>
      </w:pPr>
      <w:r w:rsidRPr="004E13E9">
        <w:rPr>
          <w:i/>
          <w:lang w:val="fr-FR"/>
        </w:rPr>
        <w:t>Sacrifice consenti par le passé</w:t>
      </w:r>
    </w:p>
    <w:p w14:paraId="31B78D07"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69AA1963"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a souligné la complexité de la définition et de la quantification des sacrifices consentis par le passé. Il a mis en avant que toutes les CPC estiment avoir consenti d'importants sacrifices par le passé et qu'elles pourraient probablement toutes avancer des arguments différents pour étayer leurs positions en s'appuyant sur certains chiffres, certaines périodes, etc. Il a encouragé toutes les CPC ayant des idées sur la manière dont on pourrait quantifier les sacrifices consentis par le passé à élaborer des propositions à cet effet.</w:t>
      </w:r>
    </w:p>
    <w:p w14:paraId="3D9CCE9F"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43AF7391"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La Norvège a fait remarquer qu'entre 2007 et 2014, elle disposait d'un quota mais s'était abstenue de pêcher en raison de l'état du stock. En conséquence, la Norvège a perdu un temps précieux et une expérience précieuse pour le développement de sa pêcherie de thon rouge. La Norvège a demandé si le Président avait pris en compte ces sacrifices lorsqu'il avait examiné les sacrifices consentis par les détenteurs de petits quotas.</w:t>
      </w:r>
    </w:p>
    <w:p w14:paraId="3CF1584B"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11D50E30"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a précisé qu'il n'avait pas inclus ces cas, car ils relevaient d'une initiative volontaire et non d'une obligation, mais qu'il estimait néanmoins que les autres CPC devraient reconnaître la valeur de ces efforts.</w:t>
      </w:r>
    </w:p>
    <w:p w14:paraId="358E1238"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37D4C7B1" w14:textId="619156B9" w:rsidR="00685078" w:rsidRPr="004E13E9" w:rsidRDefault="00C52BC0" w:rsidP="00685078">
      <w:pPr>
        <w:tabs>
          <w:tab w:val="left" w:pos="426"/>
        </w:tabs>
        <w:jc w:val="both"/>
        <w:rPr>
          <w:lang w:val="fr-FR"/>
        </w:rPr>
      </w:pPr>
      <w:r w:rsidRPr="004E13E9">
        <w:rPr>
          <w:lang w:val="fr-FR"/>
        </w:rPr>
        <w:t>L'Algérie a souligné qu'entre 2007 et 2014, son quota avait été réduit de 92%, soit la baisse la plus importante parmi les CPC au cours de cette période, et qu'elle subissait cette situation depuis 14 ans.</w:t>
      </w:r>
    </w:p>
    <w:p w14:paraId="11CAF8EE" w14:textId="77777777" w:rsidR="00C14CCB" w:rsidRPr="004E13E9" w:rsidRDefault="00C14CCB" w:rsidP="00685078">
      <w:pPr>
        <w:tabs>
          <w:tab w:val="left" w:pos="426"/>
        </w:tabs>
        <w:jc w:val="both"/>
        <w:rPr>
          <w:lang w:val="fr-FR"/>
        </w:rPr>
      </w:pPr>
    </w:p>
    <w:p w14:paraId="4100E155" w14:textId="77777777" w:rsidR="00C712A4" w:rsidRDefault="00C52BC0" w:rsidP="00C52BC0">
      <w:pPr>
        <w:tabs>
          <w:tab w:val="left" w:pos="426"/>
        </w:tabs>
        <w:jc w:val="both"/>
        <w:rPr>
          <w:lang w:val="fr-FR"/>
        </w:rPr>
      </w:pPr>
      <w:r w:rsidRPr="004E13E9">
        <w:rPr>
          <w:lang w:val="fr-FR"/>
        </w:rPr>
        <w:t xml:space="preserve">Le Président a expliqué que ce chiffre figure dans le tableau 1 du document, mais que ce tableau a pour objectif de comparer la réduction moyenne observée chez les détenteurs de grands quotas et celle observée chez les détenteurs de petits quotas pendant la période au cours de laquelle le TAC a été réduit. Le Président a reconnu que l'Algérie avait subi la plus forte réduction de quota au cours de cette période et a souligné qu'il avait inclus dans le document plusieurs phrases concernant ce sacrifice, notamment que « la Commission prend note de la position de l'Algérie concernant sa situation historique et pourrait en tenir compte lors de la fixation des TAC pour 2029, 2030 et 2031 », comme indiqué dans la </w:t>
      </w:r>
      <w:hyperlink r:id="rId46" w:history="1">
        <w:r w:rsidRPr="004E13E9">
          <w:rPr>
            <w:rStyle w:val="Hyperlink"/>
            <w:u w:val="none"/>
            <w:lang w:val="fr-FR"/>
          </w:rPr>
          <w:t>Rec. 25-04</w:t>
        </w:r>
      </w:hyperlink>
      <w:r w:rsidRPr="004E13E9">
        <w:rPr>
          <w:lang w:val="fr-FR"/>
        </w:rPr>
        <w:t xml:space="preserve">. </w:t>
      </w:r>
    </w:p>
    <w:p w14:paraId="4F5A41F2" w14:textId="77777777" w:rsidR="00C712A4" w:rsidRDefault="00C712A4" w:rsidP="00C52BC0">
      <w:pPr>
        <w:tabs>
          <w:tab w:val="left" w:pos="426"/>
        </w:tabs>
        <w:jc w:val="both"/>
        <w:rPr>
          <w:lang w:val="fr-FR"/>
        </w:rPr>
      </w:pPr>
    </w:p>
    <w:p w14:paraId="1F5B3F6A" w14:textId="59D15943" w:rsidR="00C52BC0" w:rsidRPr="00C712A4" w:rsidRDefault="00C52BC0" w:rsidP="00C52BC0">
      <w:pPr>
        <w:tabs>
          <w:tab w:val="left" w:pos="426"/>
        </w:tabs>
        <w:jc w:val="both"/>
        <w:rPr>
          <w:lang w:val="fr-FR"/>
        </w:rPr>
      </w:pPr>
      <w:r w:rsidRPr="004E13E9">
        <w:rPr>
          <w:lang w:val="fr-FR"/>
        </w:rPr>
        <w:t xml:space="preserve">Le Panama a formulé des observations sur le tableau 7, qui quantifiait le sacrifice passé comme étant la réduction des captures de chaque CPC lors de son adhésion à la Sous-commission 2 et comparait le quota initial de chaque CPC à ses captures de 1993 ou 1994. Le Panama a fait remarquer que son quota initial ne représentait que 4% de ses captures de 1994, alors que d'autres CPC avaient reçu des quotas initiaux bien plus élevés en tant que pourcentage de leurs captures de 1993 ou 1994, certains dépassant même les 80%. Le Panama a également contesté la note de bas de page figurant sous le tableau, qui précise : « La légitimité des chiffres de captures du Panama (1994) n'a pas été confirmée ». Le Panama a indiqué qu'il avait rédigé un document retraçant les séries historiques de ses captures, y compris pour l'année 1994 et les années </w:t>
      </w:r>
      <w:r w:rsidRPr="004E13E9">
        <w:rPr>
          <w:lang w:val="fr-FR"/>
        </w:rPr>
        <w:lastRenderedPageBreak/>
        <w:t>suivantes, et que ce document avait été examiné par le SCRS, qui y avait apporté quelques ajustements prudents afin d'éviter toute surestimation.</w:t>
      </w:r>
    </w:p>
    <w:p w14:paraId="02BA8D3A" w14:textId="12CCA448" w:rsidR="00C14CCB" w:rsidRPr="004E13E9" w:rsidRDefault="00C14CCB">
      <w:pPr>
        <w:rPr>
          <w:lang w:val="fr-FR"/>
        </w:rPr>
      </w:pPr>
    </w:p>
    <w:p w14:paraId="315B5BE4" w14:textId="32BC73FD"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a expliqué qu'il avait ajouté cette note de bas de page car, lors de la réunion annuelle, un certain nombre de CPC avaient effectivement contesté la légitimité des chiffres de captures du Panama pour 1994. Par ailleurs, le Président a rappelé au Panama qu’il lui avait demandé de fournir, lors de la réunion annuelle, le document attestant de ses captures afin de faciliter la poursuite des discussions, mais que le Panama ne l’avait pas fait.</w:t>
      </w:r>
    </w:p>
    <w:p w14:paraId="18E10416"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0B6673B2" w14:textId="571EC0E0" w:rsidR="00C52BC0" w:rsidRPr="004E13E9" w:rsidRDefault="00C53B2B" w:rsidP="00C52BC0">
      <w:pPr>
        <w:tabs>
          <w:tab w:val="left" w:pos="426"/>
        </w:tabs>
        <w:jc w:val="both"/>
        <w:rPr>
          <w:rFonts w:eastAsia="Yu Gothic" w:cs="Times New Roman"/>
          <w:kern w:val="2"/>
          <w:lang w:val="fr-FR"/>
          <w14:ligatures w14:val="standardContextual"/>
        </w:rPr>
      </w:pPr>
      <w:r w:rsidRPr="004E13E9">
        <w:rPr>
          <w:lang w:val="fr-FR"/>
        </w:rPr>
        <w:t>En réponse aux commentaires du Président, l</w:t>
      </w:r>
      <w:r w:rsidR="00C52BC0" w:rsidRPr="004E13E9">
        <w:rPr>
          <w:lang w:val="fr-FR"/>
        </w:rPr>
        <w:t xml:space="preserve">e Panama </w:t>
      </w:r>
      <w:r w:rsidR="008A3586" w:rsidRPr="004E13E9">
        <w:rPr>
          <w:lang w:val="fr-FR"/>
        </w:rPr>
        <w:t xml:space="preserve">a déclaré que seule une CPC avait exprimé son désaccord quant à la légitimité des chiffres de capture du Panama pour l'année 1994 lors de la réunion de la Commission et </w:t>
      </w:r>
      <w:r w:rsidR="00C52BC0" w:rsidRPr="004E13E9">
        <w:rPr>
          <w:lang w:val="fr-FR"/>
        </w:rPr>
        <w:t>a fait part de son intention de présenter le document du SCRS susmentionné lors de la réunion annuelle de 2026 et d'organiser un débat sur la légitimité de ses captures de 1994.</w:t>
      </w:r>
    </w:p>
    <w:p w14:paraId="747133E0"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35E00BC4" w14:textId="4582FC2E" w:rsidR="00C52BC0" w:rsidRPr="00196A26" w:rsidRDefault="00C52BC0" w:rsidP="00C52BC0">
      <w:pPr>
        <w:tabs>
          <w:tab w:val="left" w:pos="426"/>
        </w:tabs>
        <w:jc w:val="both"/>
        <w:rPr>
          <w:rFonts w:eastAsia="Yu Gothic" w:cs="Times New Roman"/>
          <w:kern w:val="2"/>
          <w:lang w:val="fr-FR"/>
          <w14:ligatures w14:val="standardContextual"/>
        </w:rPr>
      </w:pPr>
      <w:r w:rsidRPr="00196A26">
        <w:rPr>
          <w:lang w:val="fr-FR"/>
        </w:rPr>
        <w:t>À la demande d</w:t>
      </w:r>
      <w:r w:rsidR="008E4DCB" w:rsidRPr="00196A26">
        <w:rPr>
          <w:lang w:val="fr-FR"/>
        </w:rPr>
        <w:t>’une CPC</w:t>
      </w:r>
      <w:r w:rsidRPr="00196A26">
        <w:rPr>
          <w:lang w:val="fr-FR"/>
        </w:rPr>
        <w:t>, le Secrétariat a mis ce document à disposition sous la forme d’un document de réunion de la Sous-commission 2 (« Suite donnée à la Recommandation de 1997 de la Commission sur les prises non déclarées et NEI</w:t>
      </w:r>
      <w:r w:rsidR="00196A26">
        <w:rPr>
          <w:lang w:val="fr-FR"/>
        </w:rPr>
        <w:t> »</w:t>
      </w:r>
      <w:r w:rsidRPr="00196A26">
        <w:rPr>
          <w:lang w:val="fr-FR"/>
        </w:rPr>
        <w:t xml:space="preserve">) afin que les CPC puissent comprendre </w:t>
      </w:r>
      <w:r w:rsidR="00850623" w:rsidRPr="00196A26">
        <w:rPr>
          <w:lang w:val="fr-FR"/>
        </w:rPr>
        <w:t>son</w:t>
      </w:r>
      <w:r w:rsidRPr="00196A26">
        <w:rPr>
          <w:lang w:val="fr-FR"/>
        </w:rPr>
        <w:t xml:space="preserve"> </w:t>
      </w:r>
      <w:r w:rsidR="00A418E0" w:rsidRPr="00196A26">
        <w:rPr>
          <w:lang w:val="fr-FR"/>
        </w:rPr>
        <w:t xml:space="preserve">contenu </w:t>
      </w:r>
      <w:r w:rsidR="00D3188C" w:rsidRPr="00196A26">
        <w:rPr>
          <w:lang w:val="fr-FR"/>
        </w:rPr>
        <w:t xml:space="preserve">et le </w:t>
      </w:r>
      <w:r w:rsidRPr="00196A26">
        <w:rPr>
          <w:lang w:val="fr-FR"/>
        </w:rPr>
        <w:t xml:space="preserve">contexte </w:t>
      </w:r>
      <w:r w:rsidR="00D3188C" w:rsidRPr="00196A26">
        <w:rPr>
          <w:lang w:val="fr-FR"/>
        </w:rPr>
        <w:t>du désaccord.</w:t>
      </w:r>
    </w:p>
    <w:p w14:paraId="6F302D8D"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265061C7"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La Tunisie a souligné que son quota avait été réduit de plus de 61% entre 2007 et 2011 et qu'il s'agissait là d'une baisse particulièrement importante, compte tenu du fait qu'elle est un grand pêcheur. Par ailleurs, la Tunisie a mis en avant que son secteur de la pêche continue de subir de graves difficultés en raison de cette réduction et que ce secteur revêt une grande importance socio-économique pour la Tunisie, en tant que CPC côtière en développement. </w:t>
      </w:r>
    </w:p>
    <w:p w14:paraId="74C3C3F7"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1541CF2C" w14:textId="4142D85E"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Maroc a remercié le Président d'avoir reconnu, dans son document, les sacrifices qu’il avait consentis en tant que grand pêcheur, soulignant que son pourcentage de quota a été ramené de 11,9% historiquement à 9,07</w:t>
      </w:r>
      <w:r w:rsidR="00F638AF" w:rsidRPr="004E13E9">
        <w:rPr>
          <w:lang w:val="fr-FR"/>
        </w:rPr>
        <w:t> </w:t>
      </w:r>
      <w:r w:rsidRPr="004E13E9">
        <w:rPr>
          <w:lang w:val="fr-FR"/>
        </w:rPr>
        <w:t xml:space="preserve">% actuellement. Le Maroc a indiqué que, de ce fait, il a dû réduire considérablement sa capacité de pêche, en diminuant de près de moitié le nombre de madragues, ce qui a </w:t>
      </w:r>
      <w:proofErr w:type="gramStart"/>
      <w:r w:rsidRPr="004E13E9">
        <w:rPr>
          <w:lang w:val="fr-FR"/>
        </w:rPr>
        <w:t>eu</w:t>
      </w:r>
      <w:proofErr w:type="gramEnd"/>
      <w:r w:rsidRPr="004E13E9">
        <w:rPr>
          <w:lang w:val="fr-FR"/>
        </w:rPr>
        <w:t xml:space="preserve"> des répercussions économiques directes sur les opérateurs des pêcheries, ainsi que des conséquences sociales, telles que des pertes d'emplois.</w:t>
      </w:r>
    </w:p>
    <w:p w14:paraId="18B588F4"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0753B470"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L'Égypte a reconnu les réductions en pourcentage importantes consenties par certains détenteurs de grands quotas pendant la période de rétablissement du stock, mais a souligné que les sacrifices récemment consentis ne devaient pas non plus être ignorés. L'Égypte a fait valoir qu'elle avait été pénalisée lors des dernières allocations, non seulement en se voyant privée de toute augmentation de son pourcentage, mais aussi en acceptant une réduction de celui-ci au nom du consensus.</w:t>
      </w:r>
    </w:p>
    <w:p w14:paraId="313DDE37"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2D82C04B"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L'UE a partagé l'avis du Président selon lequel chaque CPC aura sa propre conception de ce qui constitue un « sacrifice » et sera en mesure d'élaborer son propre discours en s'appuyant sur des données et des périodes différentes. L'UE a donc estimé qu'il ne serait pas possible de parvenir à un accord sur ce point.</w:t>
      </w:r>
    </w:p>
    <w:p w14:paraId="4686E82A" w14:textId="694E5F0B" w:rsidR="00084114" w:rsidRPr="004E13E9" w:rsidRDefault="00084114">
      <w:pPr>
        <w:rPr>
          <w:lang w:val="fr-FR"/>
        </w:rPr>
      </w:pPr>
    </w:p>
    <w:p w14:paraId="08614727" w14:textId="5F2FC434"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La Corée (</w:t>
      </w:r>
      <w:proofErr w:type="spellStart"/>
      <w:r w:rsidRPr="004E13E9">
        <w:rPr>
          <w:lang w:val="fr-FR"/>
        </w:rPr>
        <w:t>Rép</w:t>
      </w:r>
      <w:proofErr w:type="spellEnd"/>
      <w:r w:rsidRPr="004E13E9">
        <w:rPr>
          <w:lang w:val="fr-FR"/>
        </w:rPr>
        <w:t>.) a souscrit à l'avis du Président selon lequel l'ampleur des sacrifices consentis par chaque CPC varie en fonction de la manière dont la question est examinée, comme le choix du moment de référence. La Corée (</w:t>
      </w:r>
      <w:proofErr w:type="spellStart"/>
      <w:r w:rsidRPr="004E13E9">
        <w:rPr>
          <w:lang w:val="fr-FR"/>
        </w:rPr>
        <w:t>Rép</w:t>
      </w:r>
      <w:proofErr w:type="spellEnd"/>
      <w:r w:rsidRPr="004E13E9">
        <w:rPr>
          <w:lang w:val="fr-FR"/>
        </w:rPr>
        <w:t xml:space="preserve">.) estimait donc qu'il serait difficile de considérer les sacrifices passés comme un critère objectif. </w:t>
      </w:r>
    </w:p>
    <w:p w14:paraId="16F35765"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4A40ED6D" w14:textId="77777777" w:rsidR="00C712A4" w:rsidRDefault="00C52BC0" w:rsidP="00C52BC0">
      <w:pPr>
        <w:tabs>
          <w:tab w:val="left" w:pos="426"/>
        </w:tabs>
        <w:jc w:val="both"/>
        <w:rPr>
          <w:lang w:val="fr-FR"/>
        </w:rPr>
      </w:pPr>
      <w:r w:rsidRPr="004E13E9">
        <w:rPr>
          <w:lang w:val="fr-FR"/>
        </w:rPr>
        <w:t>Le Japon a fait remarquer que les discussions de la Sous-commission 2 concernant les sacrifices consentis par le passé se sont souvent articulées autour de l’idée que ces sacrifices devaient être compensés lorsque le TAC serait augmenté. Le Japon a toutefois fait remarquer que, selon les simulations du SCRS, le TAC pourrait être réduit en 2028.</w:t>
      </w:r>
    </w:p>
    <w:p w14:paraId="5779CFCF" w14:textId="77777777" w:rsidR="00C712A4" w:rsidRDefault="00C712A4" w:rsidP="00C52BC0">
      <w:pPr>
        <w:tabs>
          <w:tab w:val="left" w:pos="426"/>
        </w:tabs>
        <w:jc w:val="both"/>
        <w:rPr>
          <w:lang w:val="fr-FR"/>
        </w:rPr>
      </w:pPr>
    </w:p>
    <w:p w14:paraId="2B98F6DA" w14:textId="37E140A5" w:rsidR="00C52BC0" w:rsidRPr="00C712A4" w:rsidRDefault="00C52BC0" w:rsidP="00C52BC0">
      <w:pPr>
        <w:tabs>
          <w:tab w:val="left" w:pos="426"/>
        </w:tabs>
        <w:jc w:val="both"/>
        <w:rPr>
          <w:lang w:val="fr-FR"/>
        </w:rPr>
      </w:pPr>
      <w:r w:rsidRPr="004E13E9">
        <w:rPr>
          <w:lang w:val="fr-FR"/>
        </w:rPr>
        <w:t xml:space="preserve">Le Président a rappelé que la Sous-commission 2 avait déjà discuté de la réponse à apporter à une réduction du TAC, mais qu'elle n'était pas parvenue à un accord. Il a expliqué qu'il existait deux opinions : appliquer une réduction au prorata ou appliquer une réduction disproportionnée, selon laquelle les détenteurs de grands quotas subiraient une réduction plus importante. Le Président a suggéré qu'il serait peut-être prudent que la Sous-commission 2 mène également des discussions préparatoires en vue d'une éventuelle réduction du TAC en 2028. </w:t>
      </w:r>
    </w:p>
    <w:p w14:paraId="24F37563" w14:textId="5F217BCB" w:rsidR="009743C2" w:rsidRPr="004E13E9" w:rsidRDefault="009743C2">
      <w:pPr>
        <w:rPr>
          <w:i/>
          <w:lang w:val="fr-FR"/>
        </w:rPr>
      </w:pPr>
    </w:p>
    <w:p w14:paraId="6D68F4D2" w14:textId="211104D7" w:rsidR="00C52BC0" w:rsidRPr="004E13E9" w:rsidRDefault="00C52BC0" w:rsidP="00C52BC0">
      <w:pPr>
        <w:tabs>
          <w:tab w:val="left" w:pos="426"/>
        </w:tabs>
        <w:jc w:val="both"/>
        <w:rPr>
          <w:rFonts w:eastAsia="Yu Gothic" w:cs="Times New Roman"/>
          <w:i/>
          <w:iCs/>
          <w:kern w:val="2"/>
          <w:lang w:val="fr-FR"/>
          <w14:ligatures w14:val="standardContextual"/>
        </w:rPr>
      </w:pPr>
      <w:r w:rsidRPr="004E13E9">
        <w:rPr>
          <w:i/>
          <w:lang w:val="fr-FR"/>
        </w:rPr>
        <w:lastRenderedPageBreak/>
        <w:t>Utilisation de l'allocation (sous-utilisation et surutilisation)</w:t>
      </w:r>
    </w:p>
    <w:p w14:paraId="6E850FE7"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63FC1FA4" w14:textId="2AEB232B" w:rsidR="00C14CCB" w:rsidRPr="004E13E9" w:rsidRDefault="00C52BC0" w:rsidP="00575566">
      <w:pPr>
        <w:tabs>
          <w:tab w:val="left" w:pos="426"/>
        </w:tabs>
        <w:jc w:val="both"/>
        <w:rPr>
          <w:lang w:val="fr-FR"/>
        </w:rPr>
      </w:pPr>
      <w:r w:rsidRPr="004E13E9">
        <w:rPr>
          <w:lang w:val="fr-FR"/>
        </w:rPr>
        <w:t>Le Président a noté que certaines CPC ont déclaré que la non-utilisation ne devrait pas être sanctionnée, tandis que d'autres CPC ont indiqué que, dans le cadre des prochaines discussions sur le TAC et l’allocation, elles examineraient l'utilisation réelle au cours de la période triennale précédente.</w:t>
      </w:r>
    </w:p>
    <w:p w14:paraId="3528AC84" w14:textId="77777777" w:rsidR="009743C2" w:rsidRPr="004E13E9" w:rsidRDefault="009743C2" w:rsidP="00575566">
      <w:pPr>
        <w:tabs>
          <w:tab w:val="left" w:pos="426"/>
        </w:tabs>
        <w:jc w:val="both"/>
        <w:rPr>
          <w:lang w:val="fr-FR"/>
        </w:rPr>
      </w:pPr>
    </w:p>
    <w:p w14:paraId="2517E1C3" w14:textId="68B7887D"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L'Égypte a réitéré le point qu'elle avait soulevé lors de la réunion annuelle de 2025, à savoir que l'utilisation ne devrait pas être évaluée sur la base d'une seule année, ni même sur une période de deux ou trois ans, mais plutôt sur une base pluriannuelle ou selon une moyenne mobile. L'Égypte a également demandé que l'on évite d'appliquer le concept de « c'est à prendre ou à laisser ».</w:t>
      </w:r>
    </w:p>
    <w:p w14:paraId="203CBEAC"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556B953D"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L'UE a réaffirmé que l'utilisation réelle devait constituer un critère essentiel, en particulier dans le cas où le TAC serait réduit. L'UE a souligné que lorsqu'une CPC n'utilise pas son quota ou le transfère, cela signifie que ce quota ne contribue ni à son secteur de la pêche ni au développement de sa pêcherie de thon rouge. L'UE a en outre noté qu'en vertu de la </w:t>
      </w:r>
      <w:hyperlink r:id="rId47" w:history="1">
        <w:r w:rsidRPr="004E13E9">
          <w:rPr>
            <w:rStyle w:val="Hyperlink"/>
            <w:u w:val="none"/>
            <w:lang w:val="fr-FR"/>
          </w:rPr>
          <w:t>Rec. 25-04</w:t>
        </w:r>
      </w:hyperlink>
      <w:r w:rsidRPr="004E13E9">
        <w:rPr>
          <w:lang w:val="fr-FR"/>
        </w:rPr>
        <w:t>, le report interannuel autorisé du quota non utilisé a été porté à 20%, ce qui offre aux CPC une plus grande flexibilité qu'auparavant. L'UE a également reconnu que l'évaluation de la sous-utilisation n'a pas besoin d’être strictement chiffrée, car il peut exister des circonstances ou des raisons particulières expliquant pourquoi une CPC n'est pas en mesure d'utiliser davantage son quota. L'UE a toutefois souligné que les quotas sont alloués pour être utilisés.</w:t>
      </w:r>
    </w:p>
    <w:p w14:paraId="1B492D50"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615C1BF8"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L'Algérie a convenu qu’en principe le quota est alloué aux CPC afin qu'elles l’utilisent pour leurs propres activités de pêche, et non pour qu'elles le </w:t>
      </w:r>
      <w:proofErr w:type="spellStart"/>
      <w:r w:rsidRPr="004E13E9">
        <w:rPr>
          <w:lang w:val="fr-FR"/>
        </w:rPr>
        <w:t>transfèrent</w:t>
      </w:r>
      <w:proofErr w:type="spellEnd"/>
      <w:r w:rsidRPr="004E13E9">
        <w:rPr>
          <w:lang w:val="fr-FR"/>
        </w:rPr>
        <w:t xml:space="preserve"> à des tiers. L'Algérie a également fait valoir qu'il était difficile de faire la distinction entre le transfert d'un quota et sa vente.</w:t>
      </w:r>
    </w:p>
    <w:p w14:paraId="25A9E4FE"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01C2AD55" w14:textId="77777777" w:rsidR="00C52BC0" w:rsidRPr="004E13E9" w:rsidRDefault="00C52BC0" w:rsidP="00C52BC0">
      <w:pPr>
        <w:tabs>
          <w:tab w:val="left" w:pos="426"/>
        </w:tabs>
        <w:jc w:val="both"/>
        <w:rPr>
          <w:rFonts w:eastAsia="Yu Gothic" w:cs="Times New Roman"/>
          <w:lang w:val="fr-FR"/>
        </w:rPr>
      </w:pPr>
      <w:r w:rsidRPr="004E13E9">
        <w:rPr>
          <w:lang w:val="fr-FR"/>
        </w:rPr>
        <w:t xml:space="preserve">Le Royaume-Uni estimait que les quotas devaient être optimisés afin de garantir la meilleure utilisation possible des possibilités de pêche disponibles. Le Royaume-Uni a suggéré que, lorsqu'une CPC dispose d'un quota important, dépassant peut-être un seuil convenu, mais qu'elle ne l'utilise systématiquement pas d'une année sur l'autre, et qu'il existe un besoin avéré ailleurs, il pourrait être utile d'envisager une redistribution prudente, fondée sur un dialogue avec cette CPC et un examen équitable de son cas particulier. Le Royaume-Uni a rappelé à la Sous-commission 2 qu'il avait présenté, lors de la réunion intersessions de 2024 de la Sous-commission 2, une proposition concernant la manière de redistribuer le quota inutilisé. En ce qui concerne les petits pêcheurs, le Royaume-Uni a appelé à faire preuve d'une attention particulière. Le Royaume-Uni a expliqué que de nombreux petits pêcheurs s'efforcent de développer leurs pêcheries et que, pour certains, cela peut prendre du temps. Le Royaume-Uni a fait valoir qu'il pourrait ne pas être possible dans la pratique, ni approprié, pour ces CPC de passer immédiatement à une utilisation à 100% de leur quota, mais cela ne signifie pas pour autant qu’elles n'ont pas l'intention d'utiliser l'intégralité de leur quota. Le Royaume-Uni estimait qu'il serait injuste de pénaliser une expansion aussi prudente et mesurée. </w:t>
      </w:r>
    </w:p>
    <w:p w14:paraId="24804D2E" w14:textId="77777777" w:rsidR="00C52BC0" w:rsidRPr="004E13E9" w:rsidRDefault="00C52BC0" w:rsidP="00C52BC0">
      <w:pPr>
        <w:tabs>
          <w:tab w:val="left" w:pos="426"/>
        </w:tabs>
        <w:jc w:val="both"/>
        <w:rPr>
          <w:rFonts w:eastAsia="Yu Gothic" w:cs="Times New Roman"/>
          <w:lang w:val="fr-FR"/>
        </w:rPr>
      </w:pPr>
    </w:p>
    <w:p w14:paraId="708BB01C" w14:textId="50EEC96B" w:rsidR="002678F5" w:rsidRPr="004E13E9" w:rsidRDefault="00C52BC0" w:rsidP="002678F5">
      <w:pPr>
        <w:tabs>
          <w:tab w:val="left" w:pos="426"/>
        </w:tabs>
        <w:jc w:val="both"/>
        <w:rPr>
          <w:lang w:val="fr-FR"/>
        </w:rPr>
      </w:pPr>
      <w:r w:rsidRPr="004E13E9">
        <w:rPr>
          <w:lang w:val="fr-FR"/>
        </w:rPr>
        <w:t>Le Président a pris note de l'argument avancé par le Royaume-Uni concernant les petits pêcheurs et a fait remarquer qu'il fallait distinguer deux types de petits pêcheurs : ceux qui s'efforcent d'utiliser leur quota mais ont du mal à le consommer dans son intégralité en raison de difficultés techniques ou d'autres raisons, et ceux qui renoncent d'emblée à utiliser leur quota et le transfèrent intégralement à d'autres.</w:t>
      </w:r>
    </w:p>
    <w:p w14:paraId="0D2F6A7B" w14:textId="77777777" w:rsidR="00575566" w:rsidRPr="004E13E9" w:rsidRDefault="00575566" w:rsidP="002678F5">
      <w:pPr>
        <w:tabs>
          <w:tab w:val="left" w:pos="426"/>
        </w:tabs>
        <w:jc w:val="both"/>
        <w:rPr>
          <w:lang w:val="fr-FR"/>
        </w:rPr>
      </w:pPr>
    </w:p>
    <w:p w14:paraId="2BA53504" w14:textId="0AC6327E" w:rsidR="00C52BC0" w:rsidRPr="004E13E9" w:rsidRDefault="00C52BC0" w:rsidP="00C52BC0">
      <w:pPr>
        <w:tabs>
          <w:tab w:val="left" w:pos="426"/>
        </w:tabs>
        <w:jc w:val="both"/>
        <w:rPr>
          <w:rFonts w:eastAsia="Yu Gothic" w:cs="Times New Roman"/>
          <w:lang w:val="fr-FR"/>
        </w:rPr>
      </w:pPr>
      <w:r w:rsidRPr="004E13E9">
        <w:rPr>
          <w:lang w:val="fr-FR"/>
        </w:rPr>
        <w:t xml:space="preserve">Le Japon a réaffirmé sa position selon laquelle le TAC devrait être alloué aux CPC qui l'utiliseront, tout en reconnaissant le bien-fondé de l'argument avancé par le Royaume-Uni concernant les petits pêcheurs. Le Japon a également rappelé à la Sous-commission 2 que le paragraphe 27 de la </w:t>
      </w:r>
      <w:hyperlink r:id="rId48" w:history="1">
        <w:r w:rsidRPr="004E13E9">
          <w:rPr>
            <w:rStyle w:val="Hyperlink"/>
            <w:u w:val="none"/>
            <w:lang w:val="fr-FR"/>
          </w:rPr>
          <w:t>Rés. 15-13</w:t>
        </w:r>
      </w:hyperlink>
      <w:r w:rsidRPr="004E13E9">
        <w:rPr>
          <w:lang w:val="fr-FR"/>
        </w:rPr>
        <w:t xml:space="preserve"> stipule qu’« Aucun participant en instance de qualification n’effectuera le commerce ni la vente de son allocation de quota, ni d’une part de celle-ci. », et a souligné l’importance de cette disposition.</w:t>
      </w:r>
    </w:p>
    <w:p w14:paraId="7BEFB33D"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35BC34BB" w14:textId="0B7A90B4" w:rsidR="00C52BC0" w:rsidRPr="00C712A4" w:rsidRDefault="00C52BC0" w:rsidP="00C712A4">
      <w:pPr>
        <w:rPr>
          <w:i/>
          <w:lang w:val="fr-FR"/>
        </w:rPr>
      </w:pPr>
      <w:r w:rsidRPr="004E13E9">
        <w:rPr>
          <w:i/>
          <w:lang w:val="fr-FR"/>
        </w:rPr>
        <w:t>Contribution socio-économique</w:t>
      </w:r>
    </w:p>
    <w:p w14:paraId="103FB04B"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765AF639"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a fait remarquer que de nombreuses CPC avaient souligné l'importance de la contribution socio-économique, mais il a réaffirmé la nécessité de présenter des propositions concrètes sur la manière de quantifier ce critère.</w:t>
      </w:r>
    </w:p>
    <w:p w14:paraId="1AA4E5C4"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430F49D3"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L'Algérie a suggéré que le nombre de senneurs ciblant les stocks de petits pélagiques pourrait constituer un moyen de quantifier ce critère, soulignant que les exploitants de ces navires constatent un déclin de ces stocks, en particulier dans les eaux côtières traversées par le thon rouge, et en subissent les conséquences.</w:t>
      </w:r>
    </w:p>
    <w:p w14:paraId="76BA701F" w14:textId="3F1ED5CB" w:rsidR="009743C2" w:rsidRPr="004E13E9" w:rsidRDefault="009743C2">
      <w:pPr>
        <w:rPr>
          <w:lang w:val="fr-FR"/>
        </w:rPr>
      </w:pPr>
    </w:p>
    <w:p w14:paraId="79281186" w14:textId="523FDAD1"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lastRenderedPageBreak/>
        <w:t>Le Président a souligné que l'Algérie devait proposer un indicateur plus précis, tel qu'une réduction des captures de ces navires ou une diminution du nombre de navires ciblant les petits poissons pélagiques sur une période donnée.</w:t>
      </w:r>
    </w:p>
    <w:p w14:paraId="11352EA1"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04A4A30F" w14:textId="696C3A30" w:rsidR="00575566" w:rsidRPr="004E13E9" w:rsidRDefault="00C52BC0" w:rsidP="00575566">
      <w:pPr>
        <w:tabs>
          <w:tab w:val="left" w:pos="426"/>
        </w:tabs>
        <w:jc w:val="both"/>
        <w:rPr>
          <w:lang w:val="fr-FR"/>
        </w:rPr>
      </w:pPr>
      <w:r w:rsidRPr="004E13E9">
        <w:rPr>
          <w:lang w:val="fr-FR"/>
        </w:rPr>
        <w:t>Le Maroc a suggéré qu'une façon de quantifier les facteurs socio-économiques serait de prendre en compte la taille des flottilles des CPC en développement.</w:t>
      </w:r>
    </w:p>
    <w:p w14:paraId="61A9D1FA" w14:textId="77777777" w:rsidR="009743C2" w:rsidRPr="004E13E9" w:rsidRDefault="009743C2" w:rsidP="00575566">
      <w:pPr>
        <w:tabs>
          <w:tab w:val="left" w:pos="426"/>
        </w:tabs>
        <w:jc w:val="both"/>
        <w:rPr>
          <w:lang w:val="fr-FR"/>
        </w:rPr>
      </w:pPr>
    </w:p>
    <w:p w14:paraId="39E664AF" w14:textId="4537B196"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a fait remarquer que cela pourrait ne pas convenir à la Sous-commission 2, car cela profiterait principalement aux grands pêcheurs.</w:t>
      </w:r>
    </w:p>
    <w:p w14:paraId="56B170C7"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70406F03"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a réaffirmé la nécessité pour les CPC de présenter des propositions concrètes et écrites sur la manière de quantifier la contribution socio-économique, si elles souhaitent que celle-ci constitue un critère d'allocation. Il a souligné qu'il ne serait pas possible d'avancer en se basant uniquement sur des explications orales.</w:t>
      </w:r>
    </w:p>
    <w:p w14:paraId="72EFB56E"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71103A2A"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L'UE a convenu avec le Président qu'il incombe aux CPC d’élaborer des propositions concrètes qui soient réalistes et applicables pour tous les membres de la Sous-commission 2. Dans le même temps, l'UE a souligné qu'il serait injuste d'exclure automatiquement certains éléments ou critères au seul motif que cela profiterait à une certaine catégorie de CPC. En ce qui concerne la contribution socio-économique, l'UE a souligné que, bien qu'elle détienne un quota important, elle possède également le plus long littoral de toutes les CPC et compte donc de nombreuses communautés côtières qui en dépendent.</w:t>
      </w:r>
    </w:p>
    <w:p w14:paraId="16944B2E"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5214E92B"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a expliqué que les membres de la Sous-commission 2 étaient libres de formuler des propositions s'ils le souhaitaient et qu'il n'avait pas le pouvoir de les en empêcher. Il a toutefois précisé qu'en tant que Président, son rôle consistait à rechercher un consensus, et qu'il ferait donc part de son avis lorsqu'il estimerait qu'une proposition a peu de chances de faire l'objet d'un consensus.</w:t>
      </w:r>
    </w:p>
    <w:p w14:paraId="0741FF13"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09E33753" w14:textId="77777777" w:rsidR="00C52BC0" w:rsidRPr="004E13E9" w:rsidRDefault="00C52BC0" w:rsidP="00C52BC0">
      <w:pPr>
        <w:tabs>
          <w:tab w:val="left" w:pos="426"/>
        </w:tabs>
        <w:jc w:val="both"/>
        <w:rPr>
          <w:rFonts w:eastAsia="Yu Gothic" w:cs="Times New Roman"/>
          <w:i/>
          <w:iCs/>
          <w:kern w:val="2"/>
          <w:lang w:val="fr-FR"/>
          <w14:ligatures w14:val="standardContextual"/>
        </w:rPr>
      </w:pPr>
      <w:r w:rsidRPr="004E13E9">
        <w:rPr>
          <w:i/>
          <w:lang w:val="fr-FR"/>
        </w:rPr>
        <w:t>Difficulté à commencer à pêcher avec 50 ou 55 t</w:t>
      </w:r>
    </w:p>
    <w:p w14:paraId="6CCE2033"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3AB63572"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a rappelé que certaines CPC ont indiqué qu’il était difficile de commencer à pêcher avec une allocation de seulement 50 ou 55 t, alors que d’autres CPC ont bel et bien commencé à pêcher avec une quantité similaire.</w:t>
      </w:r>
    </w:p>
    <w:p w14:paraId="7B2D260F"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0E1A10E0"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L'Islande a fait part de son intention d'élaborer une proposition visant à réintroduire les accords d'affrètement.</w:t>
      </w:r>
    </w:p>
    <w:p w14:paraId="19062BEE"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1CD0190A"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 xml:space="preserve">Le Japon attendait avec intérêt que des propositions concrètes concernant la réintroduction des accords d'affrètement soient présentées, mais a rappelé aux CPC de tenir compte du paragraphe 1 de la </w:t>
      </w:r>
      <w:hyperlink r:id="rId49" w:history="1">
        <w:r w:rsidRPr="004E13E9">
          <w:rPr>
            <w:rStyle w:val="Hyperlink"/>
            <w:i/>
            <w:u w:val="none"/>
            <w:lang w:val="fr-FR"/>
          </w:rPr>
          <w:t>Recommandation de l’ICCAT concernant l’affrètement de navires de pêche</w:t>
        </w:r>
        <w:r w:rsidRPr="004E13E9">
          <w:rPr>
            <w:rStyle w:val="Hyperlink"/>
            <w:u w:val="none"/>
            <w:lang w:val="fr-FR"/>
          </w:rPr>
          <w:t xml:space="preserve"> (Rec. 13-14)</w:t>
        </w:r>
      </w:hyperlink>
      <w:r w:rsidRPr="004E13E9">
        <w:rPr>
          <w:lang w:val="fr-FR"/>
        </w:rPr>
        <w:t>, qui stipule que « Les accords d’affrètement peuvent être autorisés, principalement en tant que démarche initiale du développement de la pêcherie de la nation affréteuse », lors de l'élaboration de telles propositions.</w:t>
      </w:r>
    </w:p>
    <w:p w14:paraId="4BFE3827" w14:textId="6D4886FD" w:rsidR="002678F5" w:rsidRPr="004E13E9" w:rsidRDefault="002678F5">
      <w:pPr>
        <w:rPr>
          <w:b/>
          <w:i/>
          <w:lang w:val="fr-FR"/>
        </w:rPr>
      </w:pPr>
    </w:p>
    <w:p w14:paraId="7314724F" w14:textId="0974416A" w:rsidR="00C52BC0" w:rsidRPr="004E13E9" w:rsidRDefault="00C52BC0" w:rsidP="00C52BC0">
      <w:pPr>
        <w:jc w:val="both"/>
        <w:rPr>
          <w:rFonts w:eastAsia="Yu Gothic" w:cs="Times New Roman"/>
          <w:b/>
          <w:bCs/>
          <w:i/>
          <w:iCs/>
          <w:kern w:val="2"/>
          <w:lang w:val="fr-FR"/>
          <w14:ligatures w14:val="standardContextual"/>
        </w:rPr>
      </w:pPr>
      <w:r w:rsidRPr="004E13E9">
        <w:rPr>
          <w:b/>
          <w:i/>
          <w:lang w:val="fr-FR"/>
        </w:rPr>
        <w:t>9.2 Présentation par les CPC sur l’allocation</w:t>
      </w:r>
    </w:p>
    <w:p w14:paraId="72722853"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2081DA16" w14:textId="77777777"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Les CPC n’ont réalisé aucune présentation.</w:t>
      </w:r>
    </w:p>
    <w:p w14:paraId="3098410E"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5C047F5D"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3397055A" w14:textId="4CB3166C" w:rsidR="00C52BC0" w:rsidRPr="00C712A4" w:rsidRDefault="00C52BC0" w:rsidP="00C712A4">
      <w:pPr>
        <w:tabs>
          <w:tab w:val="left" w:pos="426"/>
        </w:tabs>
        <w:rPr>
          <w:b/>
          <w:lang w:val="fr-FR"/>
        </w:rPr>
      </w:pPr>
      <w:r w:rsidRPr="004E13E9">
        <w:rPr>
          <w:b/>
          <w:lang w:val="fr-FR"/>
        </w:rPr>
        <w:t>10.</w:t>
      </w:r>
      <w:r w:rsidRPr="004E13E9">
        <w:rPr>
          <w:b/>
          <w:lang w:val="fr-FR"/>
        </w:rPr>
        <w:tab/>
        <w:t>Autres questions</w:t>
      </w:r>
    </w:p>
    <w:p w14:paraId="43B51D1F"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162AF66C" w14:textId="77777777" w:rsidR="00C52BC0" w:rsidRPr="004E13E9" w:rsidRDefault="00C52BC0" w:rsidP="00C52BC0">
      <w:pPr>
        <w:tabs>
          <w:tab w:val="left" w:pos="426"/>
        </w:tabs>
        <w:jc w:val="both"/>
        <w:rPr>
          <w:rFonts w:eastAsia="Yu Gothic" w:cs="Times New Roman"/>
          <w:b/>
          <w:bCs/>
          <w:i/>
          <w:iCs/>
          <w:kern w:val="2"/>
          <w:lang w:val="fr-FR"/>
          <w14:ligatures w14:val="standardContextual"/>
        </w:rPr>
      </w:pPr>
      <w:r w:rsidRPr="004E13E9">
        <w:rPr>
          <w:b/>
          <w:i/>
          <w:lang w:val="fr-FR"/>
        </w:rPr>
        <w:t>Examen des demandes adressées par la Commission au SCRS</w:t>
      </w:r>
    </w:p>
    <w:p w14:paraId="093C3DA4"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67157D17" w14:textId="2C354AAC" w:rsidR="00C52BC0" w:rsidRPr="004E13E9" w:rsidRDefault="00C52BC0" w:rsidP="00C52BC0">
      <w:pPr>
        <w:tabs>
          <w:tab w:val="left" w:pos="426"/>
        </w:tabs>
        <w:jc w:val="both"/>
        <w:rPr>
          <w:rFonts w:eastAsia="Yu Gothic" w:cs="Times New Roman"/>
          <w:kern w:val="2"/>
          <w:lang w:val="fr-FR"/>
          <w14:ligatures w14:val="standardContextual"/>
        </w:rPr>
      </w:pPr>
      <w:r w:rsidRPr="004E13E9">
        <w:rPr>
          <w:lang w:val="fr-FR"/>
        </w:rPr>
        <w:t>Le Président a présenté le document intitulé « Examen des demandes adressées par la Commission au SCRS ». Il a expliqué que, lors de la réunion annuelle, la Commission avait convenu d'essayer de réduire le nombre de demandes qu'elle adressait au SCRS ; il avait donc passé en revue les demandes de la Sous-commission 2 au SCRS et formulé des suggestions quant aux demandes qui devraient être maintenues et quant à celles qui pouvaient être supprimées.</w:t>
      </w:r>
    </w:p>
    <w:p w14:paraId="3E6CC441"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5A3A6F99" w14:textId="75AE2F17" w:rsidR="00575566" w:rsidRPr="004E13E9" w:rsidRDefault="00C52BC0" w:rsidP="009743C2">
      <w:pPr>
        <w:tabs>
          <w:tab w:val="left" w:pos="426"/>
        </w:tabs>
        <w:jc w:val="both"/>
        <w:rPr>
          <w:lang w:val="fr-FR"/>
        </w:rPr>
      </w:pPr>
      <w:r w:rsidRPr="004E13E9">
        <w:rPr>
          <w:lang w:val="fr-FR"/>
        </w:rPr>
        <w:t>Les membres de la Sous-commission 2 ont examiné et entériné le document du Président, qui figure à l'</w:t>
      </w:r>
      <w:r w:rsidRPr="004E13E9">
        <w:rPr>
          <w:b/>
          <w:bCs/>
          <w:lang w:val="fr-FR"/>
        </w:rPr>
        <w:t>appendice 7</w:t>
      </w:r>
      <w:r w:rsidRPr="004E13E9">
        <w:rPr>
          <w:lang w:val="fr-FR"/>
        </w:rPr>
        <w:t>.</w:t>
      </w:r>
    </w:p>
    <w:p w14:paraId="56C23EA1" w14:textId="77777777" w:rsidR="005B0BF4" w:rsidRPr="004E13E9" w:rsidRDefault="005B0BF4" w:rsidP="009743C2">
      <w:pPr>
        <w:tabs>
          <w:tab w:val="left" w:pos="426"/>
        </w:tabs>
        <w:jc w:val="both"/>
        <w:rPr>
          <w:b/>
          <w:i/>
          <w:lang w:val="fr-FR"/>
        </w:rPr>
      </w:pPr>
    </w:p>
    <w:p w14:paraId="778A336D" w14:textId="126F7DD1" w:rsidR="00C52BC0" w:rsidRPr="004E13E9" w:rsidRDefault="00C52BC0" w:rsidP="00C52BC0">
      <w:pPr>
        <w:jc w:val="both"/>
        <w:rPr>
          <w:rFonts w:eastAsia="Yu Gothic" w:cs="Times New Roman"/>
          <w:b/>
          <w:bCs/>
          <w:i/>
          <w:iCs/>
          <w:kern w:val="2"/>
          <w:lang w:val="fr-FR"/>
          <w14:ligatures w14:val="standardContextual"/>
        </w:rPr>
      </w:pPr>
      <w:r w:rsidRPr="004E13E9">
        <w:rPr>
          <w:b/>
          <w:i/>
          <w:lang w:val="fr-FR"/>
        </w:rPr>
        <w:t>Projet pilote potentiel concernant l'utilisation d’un système de surveillance électronique (EMS) dans le cadre de la pêcherie à la senne en Norvège</w:t>
      </w:r>
    </w:p>
    <w:p w14:paraId="0BE3C846" w14:textId="77777777" w:rsidR="00C52BC0" w:rsidRPr="004E13E9" w:rsidRDefault="00C52BC0" w:rsidP="00C52BC0">
      <w:pPr>
        <w:jc w:val="both"/>
        <w:rPr>
          <w:rFonts w:eastAsia="Yu Gothic" w:cs="Times New Roman"/>
          <w:b/>
          <w:bCs/>
          <w:i/>
          <w:iCs/>
          <w:kern w:val="2"/>
          <w:lang w:val="fr-FR"/>
          <w14:ligatures w14:val="standardContextual"/>
        </w:rPr>
      </w:pPr>
    </w:p>
    <w:p w14:paraId="3C86D9A8" w14:textId="55149EEF" w:rsidR="00C52BC0" w:rsidRPr="004E13E9" w:rsidRDefault="00C52BC0" w:rsidP="00C52BC0">
      <w:pPr>
        <w:jc w:val="both"/>
        <w:rPr>
          <w:rFonts w:eastAsia="Yu Gothic" w:cs="Times New Roman"/>
          <w:kern w:val="2"/>
          <w:lang w:val="fr-FR"/>
          <w14:ligatures w14:val="standardContextual"/>
        </w:rPr>
      </w:pPr>
      <w:r w:rsidRPr="004E13E9">
        <w:rPr>
          <w:lang w:val="fr-FR"/>
        </w:rPr>
        <w:t xml:space="preserve">La Norvège a présenté un « Document de discussion sur un projet pilote concernant l'utilisation du système de surveillance électronique (EMS) dans le cadre de la pêcherie à la senne en Norvège ». La Norvège a expliqué que l'exigence d'une couverture à 100% par des observateurs du ROP sur tous les senneurs autorisés à pêcher le thon rouge en vertu du paragraphe 101 de la </w:t>
      </w:r>
      <w:hyperlink r:id="rId50" w:history="1">
        <w:r w:rsidRPr="004E13E9">
          <w:rPr>
            <w:rStyle w:val="Hyperlink"/>
            <w:u w:val="none"/>
            <w:lang w:val="fr-FR"/>
          </w:rPr>
          <w:t>Rec. 25-04</w:t>
        </w:r>
      </w:hyperlink>
      <w:r w:rsidRPr="004E13E9">
        <w:rPr>
          <w:lang w:val="fr-FR"/>
        </w:rPr>
        <w:t xml:space="preserve"> a été conçue pour la pêcherie en Méditerranée, qui est prévisible, très concentrée et soutenue par des navires spécialisés et des opérations d'élevage. Toutefois, la pêcherie à la senne en Norvège fonctionne très différemment : elle se pratique en fin de saison, avec des fenêtres météorologiques courtes, des poissons dispersés et une disponibilité imprévisible, des navires pélagiques non spécialisés combinant plusieurs pêcheries, des débarquements directs, aucun élevage, un effort global faible et une faible utilisation des quotas. C'est la raison pour laquelle l'obligation de présence d'un observateur physique à chaque sortie de pêche </w:t>
      </w:r>
      <w:proofErr w:type="gramStart"/>
      <w:r w:rsidRPr="004E13E9">
        <w:rPr>
          <w:lang w:val="fr-FR"/>
        </w:rPr>
        <w:t>a</w:t>
      </w:r>
      <w:proofErr w:type="gramEnd"/>
      <w:r w:rsidRPr="004E13E9">
        <w:rPr>
          <w:lang w:val="fr-FR"/>
        </w:rPr>
        <w:t xml:space="preserve"> des répercussions opérationnelles et financières disproportionnées sur la pêcherie norvégienne, en particulier lorsque les sorties ne donnent lieu à aucune capture.</w:t>
      </w:r>
    </w:p>
    <w:p w14:paraId="1C58CCAA" w14:textId="77777777" w:rsidR="00C52BC0" w:rsidRPr="004E13E9" w:rsidRDefault="00C52BC0" w:rsidP="00C52BC0">
      <w:pPr>
        <w:jc w:val="both"/>
        <w:rPr>
          <w:rFonts w:eastAsia="Yu Gothic" w:cs="Times New Roman"/>
          <w:kern w:val="2"/>
          <w:lang w:val="fr-FR"/>
          <w14:ligatures w14:val="standardContextual"/>
        </w:rPr>
      </w:pPr>
    </w:p>
    <w:p w14:paraId="15B045F1" w14:textId="77777777" w:rsidR="00C52BC0" w:rsidRPr="004E13E9" w:rsidRDefault="00C52BC0" w:rsidP="00C52BC0">
      <w:pPr>
        <w:jc w:val="both"/>
        <w:rPr>
          <w:rFonts w:eastAsia="Yu Gothic" w:cs="Times New Roman"/>
          <w:kern w:val="2"/>
          <w:lang w:val="fr-FR"/>
          <w14:ligatures w14:val="standardContextual"/>
        </w:rPr>
      </w:pPr>
      <w:r w:rsidRPr="004E13E9">
        <w:rPr>
          <w:lang w:val="fr-FR"/>
        </w:rPr>
        <w:t>Compte tenu de ces facteurs, la Norvège souhaitait discuter de la possibilité de mener un projet pilote concernant l'utilisation de l'EMS dans le cadre de la pêcherie à la senne dans la zone économique exclusive norvégienne. La Norvège a souligné qu'un EMS permettrait de disposer d'une documentation continue et vérifiable des activités de pêche, d'assurer une traçabilité totale de la manipulation des captures, de réduire la nécessité d'avoir un observateur à bord lors de sorties imprévisibles organisées à très court terme, et d'offrir une alternative économique et fiable pour une pêche à faible effort et à faible impact.</w:t>
      </w:r>
    </w:p>
    <w:p w14:paraId="2677DA29" w14:textId="77777777" w:rsidR="00C52BC0" w:rsidRPr="004E13E9" w:rsidRDefault="00C52BC0" w:rsidP="00C52BC0">
      <w:pPr>
        <w:jc w:val="both"/>
        <w:rPr>
          <w:rFonts w:eastAsia="Yu Gothic" w:cs="Times New Roman"/>
          <w:kern w:val="2"/>
          <w:lang w:val="fr-FR"/>
          <w14:ligatures w14:val="standardContextual"/>
        </w:rPr>
      </w:pPr>
    </w:p>
    <w:p w14:paraId="5EF925CB" w14:textId="77777777" w:rsidR="00C52BC0" w:rsidRPr="004E13E9" w:rsidRDefault="00C52BC0" w:rsidP="00C52BC0">
      <w:pPr>
        <w:jc w:val="both"/>
        <w:rPr>
          <w:rFonts w:eastAsia="Yu Gothic" w:cs="Times New Roman"/>
          <w:kern w:val="2"/>
          <w:lang w:val="fr-FR"/>
          <w14:ligatures w14:val="standardContextual"/>
        </w:rPr>
      </w:pPr>
      <w:r w:rsidRPr="004E13E9">
        <w:rPr>
          <w:lang w:val="fr-FR"/>
        </w:rPr>
        <w:t xml:space="preserve">La Norvège a suggéré que la phase initiale d'un tel projet pilote puisse être intégrée à son projet pilote de stockage de courte durée du thon rouge vivant, dans le cadre duquel un observateur régional est déjà présent à bord. La deuxième phase consisterait à tirer parti de l'expérience acquise lors de la première phase et, éventuellement, à proposer des mesures alternatives pour les observateurs, qui seraient intégrées dans la </w:t>
      </w:r>
      <w:hyperlink r:id="rId51" w:history="1">
        <w:r w:rsidRPr="004E13E9">
          <w:rPr>
            <w:rStyle w:val="Hyperlink"/>
            <w:u w:val="none"/>
            <w:lang w:val="fr-FR"/>
          </w:rPr>
          <w:t>Rec. 25-04</w:t>
        </w:r>
      </w:hyperlink>
      <w:r w:rsidRPr="004E13E9">
        <w:rPr>
          <w:lang w:val="fr-FR"/>
        </w:rPr>
        <w:t>. La Norvège a fait part de son intention de soumettre une proposition relative à un tel projet pilote au Groupe de travail sur les systèmes de surveillance électronique (EMS WG) afin de recueillir ses commentaires. En fonction des discussions au sein de l’EMS WG, la Norvège pourrait également présenter une proposition actualisée à la Sous-commission 2 lors de la réunion annuelle de 2026.</w:t>
      </w:r>
    </w:p>
    <w:p w14:paraId="172BC0DA" w14:textId="77777777" w:rsidR="00C52BC0" w:rsidRPr="004E13E9" w:rsidRDefault="00C52BC0" w:rsidP="00C52BC0">
      <w:pPr>
        <w:jc w:val="both"/>
        <w:rPr>
          <w:rFonts w:eastAsia="Yu Gothic" w:cs="Times New Roman"/>
          <w:kern w:val="2"/>
          <w:lang w:val="fr-FR"/>
          <w14:ligatures w14:val="standardContextual"/>
        </w:rPr>
      </w:pPr>
    </w:p>
    <w:p w14:paraId="04923873" w14:textId="77777777" w:rsidR="00C52BC0" w:rsidRPr="004E13E9" w:rsidRDefault="00C52BC0" w:rsidP="00C52BC0">
      <w:pPr>
        <w:jc w:val="both"/>
        <w:rPr>
          <w:rFonts w:eastAsia="Yu Gothic" w:cs="Times New Roman"/>
          <w:kern w:val="2"/>
          <w:lang w:val="fr-FR"/>
          <w14:ligatures w14:val="standardContextual"/>
        </w:rPr>
      </w:pPr>
      <w:r w:rsidRPr="004E13E9">
        <w:rPr>
          <w:lang w:val="fr-FR"/>
        </w:rPr>
        <w:t>Le Japon a fait remarquer que l'un des problèmes liés à la mise en place de l'EMS, bien qu'il concerne la Méditerranée, réside dans la nécessité pour l'observateur régional de signer l'eBCD, et a suggéré à la Norvège de tenir compte de cet aspect.</w:t>
      </w:r>
    </w:p>
    <w:p w14:paraId="788C51AA" w14:textId="77777777" w:rsidR="00C52BC0" w:rsidRPr="004E13E9" w:rsidRDefault="00C52BC0" w:rsidP="00C52BC0">
      <w:pPr>
        <w:jc w:val="both"/>
        <w:rPr>
          <w:rFonts w:eastAsia="Yu Gothic" w:cs="Times New Roman"/>
          <w:kern w:val="2"/>
          <w:lang w:val="fr-FR"/>
          <w14:ligatures w14:val="standardContextual"/>
        </w:rPr>
      </w:pPr>
    </w:p>
    <w:p w14:paraId="3A25E84F" w14:textId="77777777" w:rsidR="00C52BC0" w:rsidRPr="004E13E9" w:rsidRDefault="00C52BC0" w:rsidP="00C52BC0">
      <w:pPr>
        <w:jc w:val="both"/>
        <w:rPr>
          <w:rFonts w:eastAsia="Yu Gothic" w:cs="Times New Roman"/>
          <w:kern w:val="2"/>
          <w:lang w:val="fr-FR"/>
          <w14:ligatures w14:val="standardContextual"/>
        </w:rPr>
      </w:pPr>
      <w:r w:rsidRPr="004E13E9">
        <w:rPr>
          <w:lang w:val="fr-FR"/>
        </w:rPr>
        <w:t xml:space="preserve">L'Algérie a suggéré que, étant donné que les opérations de pêche à la senne dans les eaux norvégiennes diffèrent considérablement de celles menées en Méditerranée, où les poissons sont souvent transférés dans des cages plutôt que débarqués, la solution pourrait consister à prévoir une exception dans la </w:t>
      </w:r>
      <w:hyperlink r:id="rId52" w:history="1">
        <w:r w:rsidRPr="004E13E9">
          <w:rPr>
            <w:rStyle w:val="Hyperlink"/>
            <w:u w:val="none"/>
            <w:lang w:val="fr-FR"/>
          </w:rPr>
          <w:t>Rec. 25-04</w:t>
        </w:r>
      </w:hyperlink>
      <w:r w:rsidRPr="004E13E9">
        <w:rPr>
          <w:rStyle w:val="Hyperlink"/>
          <w:u w:val="none"/>
          <w:lang w:val="fr-FR"/>
        </w:rPr>
        <w:t xml:space="preserve"> </w:t>
      </w:r>
      <w:r w:rsidRPr="004E13E9">
        <w:rPr>
          <w:lang w:val="fr-FR"/>
        </w:rPr>
        <w:t xml:space="preserve">pour les senneurs qui débarquent leurs prises, ou de mener à bien le projet pilote proposé, puis de généraliser l'utilisation du système EMS à la place des observateurs régionaux dans d'autres situations similaires où des senneurs mènent des activités de débarquement. </w:t>
      </w:r>
    </w:p>
    <w:p w14:paraId="5B4DFAC9" w14:textId="77777777" w:rsidR="00C52BC0" w:rsidRPr="004E13E9" w:rsidRDefault="00C52BC0" w:rsidP="00C52BC0">
      <w:pPr>
        <w:jc w:val="both"/>
        <w:rPr>
          <w:rFonts w:eastAsia="Yu Gothic" w:cs="Times New Roman"/>
          <w:kern w:val="2"/>
          <w:lang w:val="fr-FR"/>
          <w14:ligatures w14:val="standardContextual"/>
        </w:rPr>
      </w:pPr>
    </w:p>
    <w:p w14:paraId="599AD3EC" w14:textId="1E6D2E56" w:rsidR="00C52BC0" w:rsidRPr="00C712A4" w:rsidRDefault="00C52BC0" w:rsidP="00C712A4">
      <w:pPr>
        <w:jc w:val="both"/>
        <w:rPr>
          <w:lang w:val="fr-FR"/>
        </w:rPr>
      </w:pPr>
      <w:r w:rsidRPr="004E13E9">
        <w:rPr>
          <w:lang w:val="fr-FR"/>
        </w:rPr>
        <w:t>La Norvège a remercié les membres de la Sous-commission 2 pour leurs observations et a souligné que cette discussion mettait en évidence les situations et les difficultés diverses auxquelles sont confrontées les différentes CPC lorsqu'elles s'efforcent de développer leurs pêcheries. Dans le cas de la Norvège, celle-ci s'est conformée aux mesures en vigueur et, forte de cette expérience, elle a constaté que bon nombre de ces mesures ne sont pas adaptées à la pêcherie norvégienne et s'avèrent très inefficaces et coûteuses.</w:t>
      </w:r>
    </w:p>
    <w:p w14:paraId="23C0FBF3" w14:textId="77777777" w:rsidR="00C52BC0" w:rsidRPr="004E13E9" w:rsidRDefault="00C52BC0" w:rsidP="00C52BC0">
      <w:pPr>
        <w:jc w:val="both"/>
        <w:rPr>
          <w:rFonts w:eastAsia="Yu Gothic" w:cs="Times New Roman"/>
          <w:kern w:val="2"/>
          <w:lang w:val="fr-FR"/>
          <w14:ligatures w14:val="standardContextual"/>
        </w:rPr>
      </w:pPr>
    </w:p>
    <w:p w14:paraId="3D8E4C61" w14:textId="77777777" w:rsidR="00C52BC0" w:rsidRPr="004E13E9" w:rsidRDefault="00C52BC0" w:rsidP="00C52BC0">
      <w:pPr>
        <w:jc w:val="both"/>
        <w:rPr>
          <w:rFonts w:eastAsia="Yu Gothic" w:cs="Times New Roman"/>
          <w:b/>
          <w:bCs/>
          <w:i/>
          <w:iCs/>
          <w:kern w:val="2"/>
          <w:lang w:val="fr-FR"/>
          <w14:ligatures w14:val="standardContextual"/>
        </w:rPr>
      </w:pPr>
      <w:r w:rsidRPr="004E13E9">
        <w:rPr>
          <w:b/>
          <w:i/>
          <w:lang w:val="fr-FR"/>
        </w:rPr>
        <w:t>Autres questions</w:t>
      </w:r>
    </w:p>
    <w:p w14:paraId="1714FA6F" w14:textId="77777777" w:rsidR="00C52BC0" w:rsidRPr="004E13E9" w:rsidRDefault="00C52BC0" w:rsidP="00C52BC0">
      <w:pPr>
        <w:jc w:val="both"/>
        <w:rPr>
          <w:rFonts w:eastAsia="Yu Gothic" w:cs="Times New Roman"/>
          <w:kern w:val="2"/>
          <w:lang w:val="fr-FR"/>
          <w14:ligatures w14:val="standardContextual"/>
        </w:rPr>
      </w:pPr>
    </w:p>
    <w:p w14:paraId="1AD83BF5" w14:textId="1E75A975" w:rsidR="00C52BC0" w:rsidRPr="004E13E9" w:rsidRDefault="00C52BC0" w:rsidP="00C52BC0">
      <w:pPr>
        <w:jc w:val="both"/>
        <w:rPr>
          <w:rFonts w:eastAsia="Yu Gothic" w:cs="Times New Roman"/>
          <w:kern w:val="2"/>
          <w:lang w:val="fr-FR"/>
          <w14:ligatures w14:val="standardContextual"/>
        </w:rPr>
      </w:pPr>
      <w:r w:rsidRPr="004E13E9">
        <w:rPr>
          <w:lang w:val="fr-FR"/>
        </w:rPr>
        <w:t>Le Secrétariat a précisé qu’un document intitulé « Liste des codes de PNC mis à jour et des références du Consortium chargé de la mise en œuvre du Programme d’observateurs régionaux de l’ICCAT pour le thon rouge (ROP-BFT) » avait été soumis à la réunion à titre d’information pour la Sous-commission 2.</w:t>
      </w:r>
    </w:p>
    <w:p w14:paraId="7480F25A" w14:textId="77777777" w:rsidR="00C52BC0" w:rsidRPr="004E13E9" w:rsidRDefault="00C52BC0" w:rsidP="00C52BC0">
      <w:pPr>
        <w:jc w:val="both"/>
        <w:rPr>
          <w:rFonts w:eastAsia="Yu Gothic" w:cs="Times New Roman"/>
          <w:kern w:val="2"/>
          <w:lang w:val="fr-FR"/>
          <w14:ligatures w14:val="standardContextual"/>
        </w:rPr>
      </w:pPr>
    </w:p>
    <w:p w14:paraId="1776E500" w14:textId="23766711" w:rsidR="00575566" w:rsidRDefault="00575566">
      <w:pPr>
        <w:rPr>
          <w:b/>
          <w:lang w:val="fr-FR"/>
        </w:rPr>
      </w:pPr>
    </w:p>
    <w:p w14:paraId="103EC254" w14:textId="77777777" w:rsidR="00C712A4" w:rsidRDefault="00C712A4">
      <w:pPr>
        <w:rPr>
          <w:b/>
          <w:lang w:val="fr-FR"/>
        </w:rPr>
      </w:pPr>
    </w:p>
    <w:p w14:paraId="0B8D185C" w14:textId="77777777" w:rsidR="00C712A4" w:rsidRPr="004E13E9" w:rsidRDefault="00C712A4">
      <w:pPr>
        <w:rPr>
          <w:b/>
          <w:lang w:val="fr-FR"/>
        </w:rPr>
      </w:pPr>
    </w:p>
    <w:p w14:paraId="1CA5714D" w14:textId="0ED83506" w:rsidR="00C52BC0" w:rsidRPr="004E13E9" w:rsidRDefault="00C52BC0" w:rsidP="00C52BC0">
      <w:pPr>
        <w:ind w:left="426" w:hanging="426"/>
        <w:contextualSpacing/>
        <w:jc w:val="both"/>
        <w:rPr>
          <w:rFonts w:eastAsia="Yu Gothic" w:cs="Times New Roman"/>
          <w:b/>
          <w:bCs/>
          <w:kern w:val="2"/>
          <w:lang w:val="fr-FR"/>
          <w14:ligatures w14:val="standardContextual"/>
        </w:rPr>
      </w:pPr>
      <w:r w:rsidRPr="004E13E9">
        <w:rPr>
          <w:b/>
          <w:lang w:val="fr-FR"/>
        </w:rPr>
        <w:lastRenderedPageBreak/>
        <w:t>11.</w:t>
      </w:r>
      <w:r w:rsidRPr="004E13E9">
        <w:rPr>
          <w:b/>
          <w:lang w:val="fr-FR"/>
        </w:rPr>
        <w:tab/>
        <w:t>Adoption du rapport et clôture</w:t>
      </w:r>
    </w:p>
    <w:p w14:paraId="11F85611" w14:textId="77777777" w:rsidR="00C52BC0" w:rsidRPr="004E13E9" w:rsidRDefault="00C52BC0" w:rsidP="00C52BC0">
      <w:pPr>
        <w:tabs>
          <w:tab w:val="left" w:pos="426"/>
        </w:tabs>
        <w:jc w:val="both"/>
        <w:rPr>
          <w:rFonts w:eastAsia="Yu Gothic" w:cs="Times New Roman"/>
          <w:kern w:val="2"/>
          <w:lang w:val="fr-FR"/>
          <w14:ligatures w14:val="standardContextual"/>
        </w:rPr>
      </w:pPr>
    </w:p>
    <w:p w14:paraId="7F0A7B66" w14:textId="77777777" w:rsidR="00C52BC0" w:rsidRPr="004E13E9" w:rsidRDefault="00C52BC0" w:rsidP="00C52BC0">
      <w:pPr>
        <w:jc w:val="both"/>
        <w:rPr>
          <w:rFonts w:eastAsia="Yu Gothic" w:cs="Times New Roman"/>
          <w:kern w:val="2"/>
          <w:lang w:val="fr-FR"/>
          <w14:ligatures w14:val="standardContextual"/>
        </w:rPr>
      </w:pPr>
      <w:r w:rsidRPr="004E13E9">
        <w:rPr>
          <w:lang w:val="fr-FR"/>
        </w:rPr>
        <w:t>Le Président a confirmé que le projet de rapport serait distribué après la réunion et adopté par correspondance.</w:t>
      </w:r>
    </w:p>
    <w:p w14:paraId="502D0538" w14:textId="77777777" w:rsidR="00C52BC0" w:rsidRPr="004E13E9" w:rsidRDefault="00C52BC0" w:rsidP="00C52BC0">
      <w:pPr>
        <w:jc w:val="both"/>
        <w:rPr>
          <w:rFonts w:eastAsia="Yu Gothic" w:cs="Times New Roman"/>
          <w:kern w:val="2"/>
          <w:lang w:val="fr-FR"/>
          <w14:ligatures w14:val="standardContextual"/>
        </w:rPr>
      </w:pPr>
    </w:p>
    <w:p w14:paraId="6A2E1746" w14:textId="77777777" w:rsidR="00C52BC0" w:rsidRPr="004E13E9" w:rsidRDefault="00C52BC0" w:rsidP="00C52BC0">
      <w:pPr>
        <w:jc w:val="both"/>
        <w:rPr>
          <w:rFonts w:eastAsia="Yu Gothic" w:cs="Times New Roman"/>
          <w:kern w:val="2"/>
          <w:lang w:val="fr-FR"/>
          <w14:ligatures w14:val="standardContextual"/>
        </w:rPr>
      </w:pPr>
      <w:bookmarkStart w:id="6" w:name="_Hlk223604474"/>
      <w:r w:rsidRPr="004E13E9">
        <w:rPr>
          <w:lang w:val="fr-FR"/>
        </w:rPr>
        <w:t>Le Président a remercié les membres de la Sous-commission 2 et les observateurs pour leur coopération et leur participation active, le Secrétariat de l'ICCAT pour l'organisation de la réunion, l’UE pour avoir coparrainé la réunion et les interprètes et les techniciens pour avoir facilité la discussion.</w:t>
      </w:r>
    </w:p>
    <w:p w14:paraId="053FC1C8" w14:textId="77777777" w:rsidR="00C52BC0" w:rsidRPr="004E13E9" w:rsidRDefault="00C52BC0" w:rsidP="00C52BC0">
      <w:pPr>
        <w:jc w:val="both"/>
        <w:rPr>
          <w:rFonts w:eastAsia="Yu Gothic" w:cs="Times New Roman"/>
          <w:kern w:val="2"/>
          <w:lang w:val="fr-FR"/>
          <w14:ligatures w14:val="standardContextual"/>
        </w:rPr>
      </w:pPr>
    </w:p>
    <w:p w14:paraId="79F9D7F7" w14:textId="77777777" w:rsidR="00C52BC0" w:rsidRPr="004E13E9" w:rsidRDefault="00C52BC0" w:rsidP="00C52BC0">
      <w:pPr>
        <w:jc w:val="both"/>
        <w:rPr>
          <w:rFonts w:eastAsia="Yu Gothic" w:cs="Times New Roman"/>
          <w:kern w:val="2"/>
          <w:lang w:val="fr-FR"/>
          <w14:ligatures w14:val="standardContextual"/>
        </w:rPr>
      </w:pPr>
      <w:r w:rsidRPr="004E13E9">
        <w:rPr>
          <w:lang w:val="fr-FR"/>
        </w:rPr>
        <w:t xml:space="preserve">Dans la perspective de la réunion annuelle, le Président a fait remarquer qu'un certain nombre de questions en suspens nécessitaient un examen plus approfondi, notamment plusieurs points qui pourraient nécessiter des amendements de la </w:t>
      </w:r>
      <w:hyperlink r:id="rId53" w:history="1">
        <w:r w:rsidRPr="004E13E9">
          <w:rPr>
            <w:rStyle w:val="Hyperlink"/>
            <w:u w:val="none"/>
            <w:lang w:val="fr-FR"/>
          </w:rPr>
          <w:t>Rec. 25-04</w:t>
        </w:r>
      </w:hyperlink>
      <w:r w:rsidRPr="004E13E9">
        <w:rPr>
          <w:lang w:val="fr-FR"/>
        </w:rPr>
        <w:t xml:space="preserve">. Le Président a encouragé les membres de la Sous-commission 2 à élaborer des propositions concrètes et à les soumettre dans les délais impartis. Il a également indiqué que s'il y avait plusieurs propositions visant à amender la </w:t>
      </w:r>
      <w:hyperlink r:id="rId54" w:history="1">
        <w:r w:rsidRPr="004E13E9">
          <w:rPr>
            <w:rStyle w:val="Hyperlink"/>
            <w:u w:val="none"/>
            <w:lang w:val="fr-FR"/>
          </w:rPr>
          <w:t>Rec. 25-04</w:t>
        </w:r>
      </w:hyperlink>
      <w:r w:rsidRPr="004E13E9">
        <w:rPr>
          <w:lang w:val="fr-FR"/>
        </w:rPr>
        <w:t>, il pourrait les regrouper dans un document unique.</w:t>
      </w:r>
    </w:p>
    <w:bookmarkEnd w:id="6"/>
    <w:p w14:paraId="00DF156C" w14:textId="77777777" w:rsidR="00C52BC0" w:rsidRPr="004E13E9" w:rsidRDefault="00C52BC0" w:rsidP="00C52BC0">
      <w:pPr>
        <w:jc w:val="both"/>
        <w:rPr>
          <w:rFonts w:eastAsia="Yu Gothic" w:cs="Times New Roman"/>
          <w:kern w:val="2"/>
          <w:lang w:val="fr-FR"/>
          <w14:ligatures w14:val="standardContextual"/>
        </w:rPr>
      </w:pPr>
    </w:p>
    <w:p w14:paraId="094578ED" w14:textId="77777777" w:rsidR="00C52BC0" w:rsidRPr="004E13E9" w:rsidRDefault="00C52BC0" w:rsidP="00C52BC0">
      <w:pPr>
        <w:jc w:val="both"/>
        <w:rPr>
          <w:rFonts w:eastAsia="Yu Gothic" w:cs="Times New Roman"/>
          <w:kern w:val="2"/>
          <w:lang w:val="fr-FR"/>
          <w14:ligatures w14:val="standardContextual"/>
        </w:rPr>
      </w:pPr>
      <w:r w:rsidRPr="004E13E9">
        <w:rPr>
          <w:lang w:val="fr-FR"/>
        </w:rPr>
        <w:t>Le Président a levé la réunion.</w:t>
      </w:r>
    </w:p>
    <w:p w14:paraId="493CC16A" w14:textId="77777777" w:rsidR="00C52BC0" w:rsidRPr="004E13E9" w:rsidRDefault="00C52BC0" w:rsidP="00C52BC0">
      <w:pPr>
        <w:jc w:val="both"/>
        <w:rPr>
          <w:rFonts w:eastAsia="Yu Gothic" w:cs="Times New Roman"/>
          <w:kern w:val="2"/>
          <w:lang w:val="fr-FR"/>
          <w14:ligatures w14:val="standardContextual"/>
        </w:rPr>
      </w:pPr>
    </w:p>
    <w:p w14:paraId="44D9F3FF" w14:textId="77777777" w:rsidR="001F72C4" w:rsidRPr="004E13E9" w:rsidRDefault="001F72C4">
      <w:pPr>
        <w:rPr>
          <w:b/>
          <w:lang w:val="fr-FR"/>
        </w:rPr>
      </w:pPr>
    </w:p>
    <w:p w14:paraId="582D96FD" w14:textId="77777777" w:rsidR="001F72C4" w:rsidRPr="004E13E9" w:rsidRDefault="001F72C4">
      <w:pPr>
        <w:rPr>
          <w:b/>
          <w:lang w:val="fr-FR"/>
        </w:rPr>
      </w:pPr>
    </w:p>
    <w:p w14:paraId="637D6635" w14:textId="375051F8" w:rsidR="001F72C4" w:rsidRPr="004E13E9" w:rsidRDefault="001F72C4" w:rsidP="001F72C4">
      <w:pPr>
        <w:spacing w:after="160" w:line="259" w:lineRule="auto"/>
        <w:rPr>
          <w:rFonts w:eastAsia="Yu Gothic" w:cs="Times New Roman"/>
          <w:b/>
          <w:bCs/>
          <w:kern w:val="2"/>
          <w14:ligatures w14:val="standardContextual"/>
        </w:rPr>
      </w:pPr>
      <w:r w:rsidRPr="004E13E9">
        <w:rPr>
          <w:rFonts w:eastAsia="Yu Gothic" w:cs="Times New Roman"/>
          <w:b/>
          <w:bCs/>
          <w:kern w:val="2"/>
          <w14:ligatures w14:val="standardContextual"/>
        </w:rPr>
        <w:t>Bibliographie</w:t>
      </w:r>
    </w:p>
    <w:p w14:paraId="537CAFC4" w14:textId="5CC6E5C1" w:rsidR="001F72C4" w:rsidRPr="004E13E9" w:rsidRDefault="001F72C4" w:rsidP="001F72C4">
      <w:pPr>
        <w:ind w:left="426" w:hanging="426"/>
        <w:rPr>
          <w:b/>
          <w:lang w:val="fr-FR"/>
        </w:rPr>
      </w:pPr>
      <w:r w:rsidRPr="004E13E9">
        <w:rPr>
          <w:rFonts w:eastAsia="Yu Gothic" w:cs="Times New Roman"/>
          <w:kern w:val="2"/>
          <w14:ligatures w14:val="standardContextual"/>
        </w:rPr>
        <w:t xml:space="preserve">Anonymous. 2023. Report of the 2023 ICCAT Atlantic Albacore Stock Assessment Meeting (including MSE). 2023. </w:t>
      </w:r>
      <w:r w:rsidRPr="004E13E9">
        <w:rPr>
          <w:rFonts w:eastAsia="Yu Gothic" w:cs="Times New Roman"/>
          <w:kern w:val="2"/>
          <w:lang w:val="fr-FR"/>
          <w14:ligatures w14:val="standardContextual"/>
        </w:rPr>
        <w:t xml:space="preserve">Collect. Vol. </w:t>
      </w:r>
      <w:proofErr w:type="spellStart"/>
      <w:r w:rsidRPr="004E13E9">
        <w:rPr>
          <w:rFonts w:eastAsia="Yu Gothic" w:cs="Times New Roman"/>
          <w:kern w:val="2"/>
          <w:lang w:val="fr-FR"/>
          <w14:ligatures w14:val="standardContextual"/>
        </w:rPr>
        <w:t>Sci</w:t>
      </w:r>
      <w:proofErr w:type="spellEnd"/>
      <w:r w:rsidRPr="004E13E9">
        <w:rPr>
          <w:rFonts w:eastAsia="Yu Gothic" w:cs="Times New Roman"/>
          <w:kern w:val="2"/>
          <w:lang w:val="fr-FR"/>
          <w14:ligatures w14:val="standardContextual"/>
        </w:rPr>
        <w:t>. Pap. ICCAT, 80(3): 175-278.</w:t>
      </w:r>
    </w:p>
    <w:p w14:paraId="1C1CC3DA" w14:textId="2B7CD7A3" w:rsidR="00863934" w:rsidRPr="004E13E9" w:rsidRDefault="00863934">
      <w:pPr>
        <w:rPr>
          <w:b/>
          <w:lang w:val="fr-FR"/>
        </w:rPr>
      </w:pPr>
      <w:r w:rsidRPr="004E13E9">
        <w:rPr>
          <w:b/>
          <w:lang w:val="fr-FR"/>
        </w:rPr>
        <w:br w:type="page"/>
      </w:r>
    </w:p>
    <w:p w14:paraId="51C7D3B7" w14:textId="77777777" w:rsidR="00863934" w:rsidRPr="004E13E9" w:rsidRDefault="00863934" w:rsidP="00863934">
      <w:pPr>
        <w:spacing w:line="259" w:lineRule="auto"/>
        <w:ind w:left="426" w:hanging="426"/>
        <w:jc w:val="right"/>
        <w:rPr>
          <w:rFonts w:eastAsiaTheme="minorEastAsia"/>
          <w:b/>
          <w:bCs/>
          <w:kern w:val="2"/>
          <w:lang w:val="fr-FR" w:eastAsia="ja-JP"/>
          <w14:ligatures w14:val="standardContextual"/>
        </w:rPr>
      </w:pPr>
      <w:r w:rsidRPr="004E13E9">
        <w:rPr>
          <w:rFonts w:eastAsiaTheme="minorEastAsia"/>
          <w:b/>
          <w:bCs/>
          <w:kern w:val="2"/>
          <w:lang w:val="fr-FR" w:eastAsia="ja-JP"/>
          <w14:ligatures w14:val="standardContextual"/>
        </w:rPr>
        <w:lastRenderedPageBreak/>
        <w:t>Appendice 1</w:t>
      </w:r>
    </w:p>
    <w:p w14:paraId="7A1200DF" w14:textId="77777777" w:rsidR="00863934" w:rsidRPr="004E13E9" w:rsidRDefault="00863934" w:rsidP="00863934">
      <w:pPr>
        <w:spacing w:line="259" w:lineRule="auto"/>
        <w:ind w:left="426" w:hanging="426"/>
        <w:jc w:val="both"/>
        <w:rPr>
          <w:rFonts w:eastAsiaTheme="minorEastAsia"/>
          <w:kern w:val="2"/>
          <w:lang w:val="fr-FR" w:eastAsia="ja-JP"/>
          <w14:ligatures w14:val="standardContextual"/>
        </w:rPr>
      </w:pPr>
    </w:p>
    <w:p w14:paraId="1FB872B6" w14:textId="4DF22A5C" w:rsidR="00863934" w:rsidRPr="004E13E9" w:rsidRDefault="00863934" w:rsidP="00863934">
      <w:pPr>
        <w:spacing w:line="259" w:lineRule="auto"/>
        <w:ind w:left="426" w:hanging="426"/>
        <w:jc w:val="center"/>
        <w:rPr>
          <w:rFonts w:eastAsiaTheme="minorEastAsia"/>
          <w:kern w:val="2"/>
          <w:lang w:val="fr-FR" w:eastAsia="ja-JP"/>
          <w14:ligatures w14:val="standardContextual"/>
        </w:rPr>
      </w:pPr>
      <w:r w:rsidRPr="004E13E9">
        <w:rPr>
          <w:rFonts w:eastAsiaTheme="minorEastAsia"/>
          <w:b/>
          <w:bCs/>
          <w:kern w:val="2"/>
          <w:lang w:val="fr-FR" w:eastAsia="ja-JP"/>
          <w14:ligatures w14:val="standardContextual"/>
        </w:rPr>
        <w:t>Ordre du jour</w:t>
      </w:r>
    </w:p>
    <w:p w14:paraId="5B25BCC6" w14:textId="77777777" w:rsidR="009850C1" w:rsidRPr="004E13E9" w:rsidRDefault="009850C1">
      <w:pPr>
        <w:jc w:val="right"/>
        <w:rPr>
          <w:b/>
          <w:lang w:val="fr-FR"/>
        </w:rPr>
      </w:pPr>
    </w:p>
    <w:p w14:paraId="623AC1DC"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r w:rsidRPr="004E13E9">
        <w:rPr>
          <w:rFonts w:eastAsia="Times New Roman" w:cs="Times New Roman"/>
          <w:bCs/>
          <w:iCs/>
          <w:lang w:val="fr-FR"/>
        </w:rPr>
        <w:t xml:space="preserve">1. </w:t>
      </w:r>
      <w:r w:rsidRPr="004E13E9">
        <w:rPr>
          <w:rFonts w:eastAsia="Times New Roman" w:cs="Times New Roman"/>
          <w:bCs/>
          <w:iCs/>
          <w:lang w:val="fr-FR"/>
        </w:rPr>
        <w:tab/>
        <w:t xml:space="preserve">Ouverture et organisation de la réunion </w:t>
      </w:r>
    </w:p>
    <w:p w14:paraId="032BF895"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p>
    <w:p w14:paraId="48EC0F92"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r w:rsidRPr="004E13E9">
        <w:rPr>
          <w:rFonts w:eastAsia="Times New Roman" w:cs="Times New Roman"/>
          <w:bCs/>
          <w:iCs/>
          <w:lang w:val="fr-FR"/>
        </w:rPr>
        <w:t xml:space="preserve">2. </w:t>
      </w:r>
      <w:r w:rsidRPr="004E13E9">
        <w:rPr>
          <w:rFonts w:eastAsia="Times New Roman" w:cs="Times New Roman"/>
          <w:bCs/>
          <w:iCs/>
          <w:lang w:val="fr-FR"/>
        </w:rPr>
        <w:tab/>
        <w:t xml:space="preserve">Désignation du rapporteur </w:t>
      </w:r>
    </w:p>
    <w:p w14:paraId="231E2AA9"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p>
    <w:p w14:paraId="57575EF9"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r w:rsidRPr="004E13E9">
        <w:rPr>
          <w:rFonts w:eastAsia="Times New Roman" w:cs="Times New Roman"/>
          <w:bCs/>
          <w:iCs/>
          <w:lang w:val="fr-FR"/>
        </w:rPr>
        <w:t>3.</w:t>
      </w:r>
      <w:r w:rsidRPr="004E13E9">
        <w:rPr>
          <w:rFonts w:eastAsia="Times New Roman" w:cs="Times New Roman"/>
          <w:bCs/>
          <w:iCs/>
          <w:lang w:val="fr-FR"/>
        </w:rPr>
        <w:tab/>
        <w:t xml:space="preserve">Adoption de l’ordre du jour </w:t>
      </w:r>
    </w:p>
    <w:p w14:paraId="4DE35E88"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p>
    <w:p w14:paraId="26AE6CB6"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r w:rsidRPr="004E13E9">
        <w:rPr>
          <w:rFonts w:eastAsia="Times New Roman" w:cs="Times New Roman"/>
          <w:bCs/>
          <w:iCs/>
          <w:lang w:val="fr-FR"/>
        </w:rPr>
        <w:t>4.</w:t>
      </w:r>
      <w:r w:rsidRPr="004E13E9">
        <w:rPr>
          <w:rFonts w:eastAsia="Times New Roman" w:cs="Times New Roman"/>
          <w:bCs/>
          <w:iCs/>
          <w:lang w:val="fr-FR"/>
        </w:rPr>
        <w:tab/>
        <w:t>Examen des plans annuels de pêche</w:t>
      </w:r>
    </w:p>
    <w:p w14:paraId="0C8D4BC6" w14:textId="77777777" w:rsidR="00CC42F1" w:rsidRPr="004E13E9" w:rsidRDefault="00CC42F1" w:rsidP="00CC42F1">
      <w:pPr>
        <w:widowControl w:val="0"/>
        <w:autoSpaceDE w:val="0"/>
        <w:autoSpaceDN w:val="0"/>
        <w:adjustRightInd w:val="0"/>
        <w:ind w:left="426" w:hanging="86"/>
        <w:rPr>
          <w:rFonts w:eastAsia="Times New Roman" w:cs="Times New Roman"/>
          <w:bCs/>
          <w:iCs/>
          <w:lang w:val="fr-FR"/>
        </w:rPr>
      </w:pPr>
    </w:p>
    <w:p w14:paraId="23A0B39D" w14:textId="77777777" w:rsidR="00CC42F1" w:rsidRPr="004E13E9" w:rsidRDefault="00CC42F1" w:rsidP="00CC42F1">
      <w:pPr>
        <w:widowControl w:val="0"/>
        <w:autoSpaceDE w:val="0"/>
        <w:autoSpaceDN w:val="0"/>
        <w:adjustRightInd w:val="0"/>
        <w:ind w:left="851" w:hanging="425"/>
        <w:jc w:val="both"/>
        <w:rPr>
          <w:rFonts w:eastAsia="Times New Roman" w:cs="Times New Roman"/>
          <w:bCs/>
          <w:iCs/>
          <w:lang w:val="fr-FR"/>
        </w:rPr>
      </w:pPr>
      <w:r w:rsidRPr="004E13E9">
        <w:rPr>
          <w:rFonts w:eastAsia="Times New Roman" w:cs="Times New Roman"/>
          <w:bCs/>
          <w:iCs/>
          <w:lang w:val="fr-FR"/>
        </w:rPr>
        <w:t>4.1</w:t>
      </w:r>
      <w:r w:rsidRPr="004E13E9">
        <w:rPr>
          <w:rFonts w:eastAsia="Times New Roman" w:cs="Times New Roman"/>
          <w:bCs/>
          <w:iCs/>
          <w:lang w:val="fr-FR"/>
        </w:rPr>
        <w:tab/>
        <w:t xml:space="preserve">Atlantique Est et Méditerranée : </w:t>
      </w:r>
      <w:r w:rsidRPr="004E13E9">
        <w:rPr>
          <w:rFonts w:eastAsia="Times New Roman" w:cs="Times New Roman"/>
          <w:lang w:val="fr-FR"/>
        </w:rPr>
        <w:t xml:space="preserve">plans de pêche, </w:t>
      </w:r>
      <w:r w:rsidRPr="004E13E9">
        <w:rPr>
          <w:rFonts w:eastAsia="Yu Mincho" w:cs="Times New Roman"/>
          <w:lang w:val="fr-FR"/>
        </w:rPr>
        <w:t>des plans d'inspection et de gestion de la capacité de pêche et d'élevage, des plans de gestion de l'élevage ainsi que des plans annuels d'aquaculture</w:t>
      </w:r>
      <w:r w:rsidRPr="004E13E9">
        <w:rPr>
          <w:rFonts w:eastAsia="Times New Roman" w:cs="Times New Roman"/>
          <w:bCs/>
          <w:iCs/>
          <w:lang w:val="fr-FR"/>
        </w:rPr>
        <w:t xml:space="preserve"> pour 2026 soumis par les CPC</w:t>
      </w:r>
    </w:p>
    <w:p w14:paraId="671748DA" w14:textId="77777777" w:rsidR="00CC42F1" w:rsidRPr="004E13E9" w:rsidRDefault="00CC42F1" w:rsidP="00CC42F1">
      <w:pPr>
        <w:widowControl w:val="0"/>
        <w:autoSpaceDE w:val="0"/>
        <w:autoSpaceDN w:val="0"/>
        <w:adjustRightInd w:val="0"/>
        <w:ind w:left="851" w:hanging="425"/>
        <w:jc w:val="both"/>
        <w:rPr>
          <w:rFonts w:eastAsia="Times New Roman" w:cs="Times New Roman"/>
          <w:bCs/>
          <w:iCs/>
          <w:lang w:val="fr-FR"/>
        </w:rPr>
      </w:pPr>
      <w:r w:rsidRPr="004E13E9">
        <w:rPr>
          <w:rFonts w:eastAsia="Times New Roman" w:cs="Times New Roman"/>
          <w:bCs/>
          <w:iCs/>
          <w:lang w:val="fr-FR"/>
        </w:rPr>
        <w:t xml:space="preserve">4.2 </w:t>
      </w:r>
      <w:r w:rsidRPr="004E13E9">
        <w:rPr>
          <w:rFonts w:eastAsia="Times New Roman" w:cs="Times New Roman"/>
          <w:bCs/>
          <w:iCs/>
          <w:lang w:val="fr-FR"/>
        </w:rPr>
        <w:tab/>
        <w:t>Atlantique Ouest</w:t>
      </w:r>
    </w:p>
    <w:p w14:paraId="0352C397"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p>
    <w:p w14:paraId="19263D04"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r w:rsidRPr="004E13E9">
        <w:rPr>
          <w:rFonts w:eastAsia="Times New Roman" w:cs="Times New Roman"/>
          <w:bCs/>
          <w:iCs/>
          <w:lang w:val="fr-FR"/>
        </w:rPr>
        <w:t>5.</w:t>
      </w:r>
      <w:r w:rsidRPr="004E13E9">
        <w:rPr>
          <w:rFonts w:eastAsia="Times New Roman" w:cs="Times New Roman"/>
          <w:bCs/>
          <w:iCs/>
          <w:lang w:val="fr-FR"/>
        </w:rPr>
        <w:tab/>
        <w:t>Détermination des mesures à prendre en ce qui concerne les plans présentés au point 4</w:t>
      </w:r>
    </w:p>
    <w:p w14:paraId="6AFF8F08"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p>
    <w:p w14:paraId="691F08CF"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r w:rsidRPr="004E13E9">
        <w:rPr>
          <w:rFonts w:eastAsia="Times New Roman" w:cs="Times New Roman"/>
          <w:bCs/>
          <w:iCs/>
          <w:lang w:val="fr-FR"/>
        </w:rPr>
        <w:t>6.</w:t>
      </w:r>
      <w:r w:rsidRPr="004E13E9">
        <w:rPr>
          <w:rFonts w:eastAsia="Times New Roman" w:cs="Times New Roman"/>
          <w:bCs/>
          <w:iCs/>
          <w:lang w:val="fr-FR"/>
        </w:rPr>
        <w:tab/>
        <w:t>Examen de toute mise à jour relative aux projets pilotes en cours</w:t>
      </w:r>
    </w:p>
    <w:p w14:paraId="66A1E468" w14:textId="77777777" w:rsidR="00CC42F1" w:rsidRPr="004E13E9" w:rsidRDefault="00CC42F1" w:rsidP="00CC42F1">
      <w:pPr>
        <w:widowControl w:val="0"/>
        <w:autoSpaceDE w:val="0"/>
        <w:autoSpaceDN w:val="0"/>
        <w:adjustRightInd w:val="0"/>
        <w:ind w:left="851" w:hanging="425"/>
        <w:jc w:val="both"/>
        <w:rPr>
          <w:rFonts w:eastAsia="Times New Roman" w:cs="Times New Roman"/>
          <w:bCs/>
          <w:iCs/>
          <w:lang w:val="fr-FR"/>
        </w:rPr>
      </w:pPr>
    </w:p>
    <w:p w14:paraId="6BC4699B" w14:textId="77777777" w:rsidR="00CC42F1" w:rsidRPr="004E13E9" w:rsidRDefault="00CC42F1" w:rsidP="00CC42F1">
      <w:pPr>
        <w:widowControl w:val="0"/>
        <w:autoSpaceDE w:val="0"/>
        <w:autoSpaceDN w:val="0"/>
        <w:adjustRightInd w:val="0"/>
        <w:ind w:left="851" w:hanging="425"/>
        <w:jc w:val="both"/>
        <w:rPr>
          <w:rFonts w:eastAsia="Times New Roman" w:cs="Times New Roman"/>
          <w:bCs/>
          <w:iCs/>
          <w:lang w:val="fr-FR"/>
        </w:rPr>
      </w:pPr>
      <w:r w:rsidRPr="004E13E9">
        <w:rPr>
          <w:rFonts w:eastAsia="Times New Roman" w:cs="Times New Roman"/>
          <w:bCs/>
          <w:iCs/>
          <w:lang w:val="fr-FR"/>
        </w:rPr>
        <w:t xml:space="preserve">6.1 </w:t>
      </w:r>
      <w:r w:rsidRPr="004E13E9">
        <w:rPr>
          <w:rFonts w:eastAsia="Times New Roman" w:cs="Times New Roman"/>
          <w:bCs/>
          <w:iCs/>
          <w:lang w:val="fr-FR"/>
        </w:rPr>
        <w:tab/>
        <w:t>Élevage avec des alevins éclos artificiellement</w:t>
      </w:r>
    </w:p>
    <w:p w14:paraId="69145ADD" w14:textId="77777777" w:rsidR="00CC42F1" w:rsidRPr="004E13E9" w:rsidRDefault="00CC42F1" w:rsidP="00CC42F1">
      <w:pPr>
        <w:widowControl w:val="0"/>
        <w:autoSpaceDE w:val="0"/>
        <w:autoSpaceDN w:val="0"/>
        <w:adjustRightInd w:val="0"/>
        <w:ind w:left="851" w:hanging="425"/>
        <w:jc w:val="both"/>
        <w:rPr>
          <w:rFonts w:eastAsia="Times New Roman" w:cs="Times New Roman"/>
          <w:bCs/>
          <w:iCs/>
          <w:lang w:val="fr-FR"/>
        </w:rPr>
      </w:pPr>
      <w:r w:rsidRPr="004E13E9">
        <w:rPr>
          <w:rFonts w:eastAsia="Times New Roman" w:cs="Times New Roman"/>
          <w:bCs/>
          <w:iCs/>
          <w:lang w:val="fr-FR"/>
        </w:rPr>
        <w:t xml:space="preserve">6.2 </w:t>
      </w:r>
      <w:r w:rsidRPr="004E13E9">
        <w:rPr>
          <w:rFonts w:eastAsia="Times New Roman" w:cs="Times New Roman"/>
          <w:bCs/>
          <w:iCs/>
          <w:lang w:val="fr-FR"/>
        </w:rPr>
        <w:tab/>
        <w:t>Taux de croissance</w:t>
      </w:r>
    </w:p>
    <w:p w14:paraId="4CEEBE5B" w14:textId="77777777" w:rsidR="00CC42F1" w:rsidRPr="004E13E9" w:rsidRDefault="00CC42F1" w:rsidP="00CC42F1">
      <w:pPr>
        <w:widowControl w:val="0"/>
        <w:autoSpaceDE w:val="0"/>
        <w:autoSpaceDN w:val="0"/>
        <w:adjustRightInd w:val="0"/>
        <w:ind w:left="851" w:hanging="425"/>
        <w:jc w:val="both"/>
        <w:rPr>
          <w:rFonts w:eastAsia="Times New Roman" w:cs="Times New Roman"/>
          <w:bCs/>
          <w:iCs/>
          <w:lang w:val="fr-FR"/>
        </w:rPr>
      </w:pPr>
      <w:r w:rsidRPr="004E13E9">
        <w:rPr>
          <w:rFonts w:eastAsia="Times New Roman" w:cs="Times New Roman"/>
          <w:bCs/>
          <w:iCs/>
          <w:lang w:val="fr-FR"/>
        </w:rPr>
        <w:t xml:space="preserve">6.3 </w:t>
      </w:r>
      <w:r w:rsidRPr="004E13E9">
        <w:rPr>
          <w:rFonts w:eastAsia="Times New Roman" w:cs="Times New Roman"/>
          <w:bCs/>
          <w:iCs/>
          <w:lang w:val="fr-FR"/>
        </w:rPr>
        <w:tab/>
        <w:t>Autres</w:t>
      </w:r>
    </w:p>
    <w:p w14:paraId="7E097C60"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p>
    <w:p w14:paraId="4CF56E7A"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r w:rsidRPr="004E13E9">
        <w:rPr>
          <w:rFonts w:eastAsia="Times New Roman" w:cs="Times New Roman"/>
          <w:bCs/>
          <w:iCs/>
          <w:lang w:val="fr-FR"/>
        </w:rPr>
        <w:t>7.</w:t>
      </w:r>
      <w:r w:rsidRPr="004E13E9">
        <w:rPr>
          <w:rFonts w:eastAsia="Times New Roman" w:cs="Times New Roman"/>
          <w:bCs/>
          <w:iCs/>
          <w:lang w:val="fr-FR"/>
        </w:rPr>
        <w:tab/>
        <w:t xml:space="preserve">Clarifications demandées en ce qui concerne la </w:t>
      </w:r>
      <w:hyperlink r:id="rId55" w:history="1">
        <w:r w:rsidRPr="004E13E9">
          <w:rPr>
            <w:rFonts w:eastAsia="Times New Roman" w:cs="Times New Roman"/>
            <w:bCs/>
            <w:i/>
            <w:iCs/>
            <w:color w:val="0000FF"/>
            <w:lang w:val="fr-FR"/>
          </w:rPr>
          <w:t>Recommandation de l’ICCAT remplaçant la Recommandation 24-05 établissant un plan pluriannuel de gestion du thon rouge dans l’Atlantique Est et la Méditerranée</w:t>
        </w:r>
        <w:r w:rsidRPr="004E13E9">
          <w:rPr>
            <w:rFonts w:eastAsia="Times New Roman" w:cs="Times New Roman"/>
            <w:bCs/>
            <w:iCs/>
            <w:color w:val="0000FF"/>
            <w:lang w:val="fr-FR"/>
          </w:rPr>
          <w:t xml:space="preserve"> (Rec. 25-04</w:t>
        </w:r>
      </w:hyperlink>
      <w:r w:rsidRPr="004E13E9">
        <w:rPr>
          <w:rFonts w:eastAsia="Times New Roman" w:cs="Times New Roman"/>
          <w:bCs/>
          <w:iCs/>
          <w:lang w:val="fr-FR"/>
        </w:rPr>
        <w:t>)</w:t>
      </w:r>
    </w:p>
    <w:p w14:paraId="7E9C250B"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p>
    <w:p w14:paraId="47461852"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r w:rsidRPr="004E13E9">
        <w:rPr>
          <w:rFonts w:eastAsia="Times New Roman" w:cs="Times New Roman"/>
          <w:bCs/>
          <w:iCs/>
          <w:lang w:val="fr-FR"/>
        </w:rPr>
        <w:t>8.</w:t>
      </w:r>
      <w:r w:rsidRPr="004E13E9">
        <w:rPr>
          <w:rFonts w:eastAsia="Times New Roman" w:cs="Times New Roman"/>
          <w:bCs/>
          <w:iCs/>
          <w:lang w:val="fr-FR"/>
        </w:rPr>
        <w:tab/>
        <w:t>Discussion sur la procédure de gestion (MP)/l’évaluation de la stratégie de gestion (MSE) pour le thon rouge</w:t>
      </w:r>
    </w:p>
    <w:p w14:paraId="671FEF68"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p>
    <w:p w14:paraId="4F305F04" w14:textId="77777777" w:rsidR="00CC42F1" w:rsidRPr="004E13E9" w:rsidRDefault="00CC42F1" w:rsidP="00CC42F1">
      <w:pPr>
        <w:widowControl w:val="0"/>
        <w:autoSpaceDE w:val="0"/>
        <w:autoSpaceDN w:val="0"/>
        <w:adjustRightInd w:val="0"/>
        <w:ind w:left="851" w:hanging="425"/>
        <w:jc w:val="both"/>
        <w:rPr>
          <w:rFonts w:eastAsia="Times New Roman" w:cs="Times New Roman"/>
          <w:bCs/>
          <w:iCs/>
          <w:lang w:val="fr-FR"/>
        </w:rPr>
      </w:pPr>
      <w:r w:rsidRPr="004E13E9">
        <w:rPr>
          <w:rFonts w:eastAsia="Times New Roman" w:cs="Times New Roman"/>
          <w:bCs/>
          <w:iCs/>
          <w:lang w:val="fr-FR"/>
        </w:rPr>
        <w:t>8.1</w:t>
      </w:r>
      <w:r w:rsidRPr="004E13E9">
        <w:rPr>
          <w:rFonts w:eastAsia="Times New Roman" w:cs="Times New Roman"/>
          <w:bCs/>
          <w:iCs/>
          <w:lang w:val="fr-FR"/>
        </w:rPr>
        <w:tab/>
        <w:t>Mises à jour sur les travaux du SCRS concernant le thon rouge</w:t>
      </w:r>
    </w:p>
    <w:p w14:paraId="0DBA0E6C" w14:textId="77777777" w:rsidR="00CC42F1" w:rsidRPr="004E13E9" w:rsidRDefault="00CC42F1" w:rsidP="00CC42F1">
      <w:pPr>
        <w:widowControl w:val="0"/>
        <w:autoSpaceDE w:val="0"/>
        <w:autoSpaceDN w:val="0"/>
        <w:adjustRightInd w:val="0"/>
        <w:ind w:left="851" w:hanging="425"/>
        <w:jc w:val="both"/>
        <w:rPr>
          <w:rFonts w:eastAsia="Times New Roman" w:cs="Times New Roman"/>
          <w:bCs/>
          <w:iCs/>
          <w:lang w:val="fr-FR"/>
        </w:rPr>
      </w:pPr>
      <w:r w:rsidRPr="004E13E9">
        <w:rPr>
          <w:rFonts w:eastAsia="Times New Roman" w:cs="Times New Roman"/>
          <w:bCs/>
          <w:iCs/>
          <w:lang w:val="fr-FR"/>
        </w:rPr>
        <w:t xml:space="preserve">8.2 </w:t>
      </w:r>
      <w:r w:rsidRPr="004E13E9">
        <w:rPr>
          <w:rFonts w:eastAsia="Times New Roman" w:cs="Times New Roman"/>
          <w:bCs/>
          <w:iCs/>
          <w:lang w:val="fr-FR"/>
        </w:rPr>
        <w:tab/>
        <w:t>Examen des objectifs de gestion du thon rouge</w:t>
      </w:r>
    </w:p>
    <w:p w14:paraId="35C80347" w14:textId="77777777" w:rsidR="00CC42F1" w:rsidRPr="004E13E9" w:rsidRDefault="00CC42F1" w:rsidP="00CC42F1">
      <w:pPr>
        <w:widowControl w:val="0"/>
        <w:autoSpaceDE w:val="0"/>
        <w:autoSpaceDN w:val="0"/>
        <w:adjustRightInd w:val="0"/>
        <w:ind w:left="851" w:hanging="425"/>
        <w:jc w:val="both"/>
        <w:rPr>
          <w:rFonts w:eastAsia="Times New Roman" w:cs="Times New Roman"/>
          <w:bCs/>
          <w:iCs/>
          <w:lang w:val="fr-FR"/>
        </w:rPr>
      </w:pPr>
      <w:r w:rsidRPr="004E13E9">
        <w:rPr>
          <w:rFonts w:eastAsia="Times New Roman" w:cs="Times New Roman"/>
          <w:bCs/>
          <w:iCs/>
          <w:lang w:val="fr-FR"/>
        </w:rPr>
        <w:t xml:space="preserve">8.3 </w:t>
      </w:r>
      <w:r w:rsidRPr="004E13E9">
        <w:rPr>
          <w:rFonts w:eastAsia="Times New Roman" w:cs="Times New Roman"/>
          <w:bCs/>
          <w:iCs/>
          <w:lang w:val="fr-FR"/>
        </w:rPr>
        <w:tab/>
        <w:t>Mises à jour sur la nouvelle MSE pour le germon du Nord</w:t>
      </w:r>
    </w:p>
    <w:p w14:paraId="55327D8E"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p>
    <w:p w14:paraId="0D07845C"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r w:rsidRPr="004E13E9">
        <w:rPr>
          <w:rFonts w:eastAsia="Times New Roman" w:cs="Times New Roman"/>
          <w:bCs/>
          <w:iCs/>
          <w:lang w:val="fr-FR"/>
        </w:rPr>
        <w:t>9.</w:t>
      </w:r>
      <w:r w:rsidRPr="004E13E9">
        <w:rPr>
          <w:rFonts w:eastAsia="Times New Roman" w:cs="Times New Roman"/>
          <w:bCs/>
          <w:iCs/>
          <w:lang w:val="fr-FR"/>
        </w:rPr>
        <w:tab/>
        <w:t>Discussion sur l’allocation du thon rouge de l’Atlantique Est et de la Méditerranée</w:t>
      </w:r>
    </w:p>
    <w:p w14:paraId="746D73BE"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p>
    <w:p w14:paraId="25FE3450" w14:textId="77777777" w:rsidR="00CC42F1" w:rsidRPr="004E13E9" w:rsidRDefault="00CC42F1" w:rsidP="00CC42F1">
      <w:pPr>
        <w:widowControl w:val="0"/>
        <w:autoSpaceDE w:val="0"/>
        <w:autoSpaceDN w:val="0"/>
        <w:adjustRightInd w:val="0"/>
        <w:ind w:left="851" w:hanging="425"/>
        <w:jc w:val="both"/>
        <w:rPr>
          <w:rFonts w:eastAsia="Times New Roman" w:cs="Times New Roman"/>
          <w:bCs/>
          <w:iCs/>
          <w:lang w:val="fr-FR"/>
        </w:rPr>
      </w:pPr>
      <w:r w:rsidRPr="004E13E9">
        <w:rPr>
          <w:rFonts w:eastAsia="Times New Roman" w:cs="Times New Roman"/>
          <w:bCs/>
          <w:iCs/>
          <w:lang w:val="fr-FR"/>
        </w:rPr>
        <w:t>9.1</w:t>
      </w:r>
      <w:r w:rsidRPr="004E13E9">
        <w:rPr>
          <w:rFonts w:eastAsia="Times New Roman" w:cs="Times New Roman"/>
          <w:bCs/>
          <w:iCs/>
          <w:lang w:val="fr-FR"/>
        </w:rPr>
        <w:tab/>
        <w:t>Examen des discussions tenues lors de la réunion annuelle de 2025 par le Président de la Sous-commission 2</w:t>
      </w:r>
    </w:p>
    <w:p w14:paraId="2429B74F" w14:textId="77777777" w:rsidR="00CC42F1" w:rsidRPr="004E13E9" w:rsidRDefault="00CC42F1" w:rsidP="00CC42F1">
      <w:pPr>
        <w:widowControl w:val="0"/>
        <w:autoSpaceDE w:val="0"/>
        <w:autoSpaceDN w:val="0"/>
        <w:adjustRightInd w:val="0"/>
        <w:ind w:left="851" w:hanging="425"/>
        <w:jc w:val="both"/>
        <w:rPr>
          <w:rFonts w:eastAsia="Times New Roman" w:cs="Times New Roman"/>
          <w:bCs/>
          <w:iCs/>
          <w:lang w:val="fr-FR"/>
        </w:rPr>
      </w:pPr>
      <w:r w:rsidRPr="004E13E9">
        <w:rPr>
          <w:rFonts w:eastAsia="Times New Roman" w:cs="Times New Roman"/>
          <w:bCs/>
          <w:iCs/>
          <w:lang w:val="fr-FR"/>
        </w:rPr>
        <w:t xml:space="preserve">9.2 </w:t>
      </w:r>
      <w:r w:rsidRPr="004E13E9">
        <w:rPr>
          <w:rFonts w:eastAsia="Times New Roman" w:cs="Times New Roman"/>
          <w:bCs/>
          <w:iCs/>
          <w:lang w:val="fr-FR"/>
        </w:rPr>
        <w:tab/>
        <w:t>Présentation par les CPC sur l'allocation (le cas échéant)</w:t>
      </w:r>
    </w:p>
    <w:p w14:paraId="6F6A07CB"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p>
    <w:p w14:paraId="51B9FC7E"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r w:rsidRPr="004E13E9">
        <w:rPr>
          <w:rFonts w:eastAsia="Times New Roman" w:cs="Times New Roman"/>
          <w:bCs/>
          <w:iCs/>
          <w:lang w:val="fr-FR"/>
        </w:rPr>
        <w:t xml:space="preserve">10. </w:t>
      </w:r>
      <w:r w:rsidRPr="004E13E9">
        <w:rPr>
          <w:rFonts w:eastAsia="Times New Roman" w:cs="Times New Roman"/>
          <w:bCs/>
          <w:iCs/>
          <w:lang w:val="fr-FR"/>
        </w:rPr>
        <w:tab/>
        <w:t>Autres questions</w:t>
      </w:r>
    </w:p>
    <w:p w14:paraId="67185074"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p>
    <w:p w14:paraId="2AD35473" w14:textId="77777777" w:rsidR="00CC42F1" w:rsidRPr="004E13E9" w:rsidRDefault="00CC42F1" w:rsidP="00CC42F1">
      <w:pPr>
        <w:widowControl w:val="0"/>
        <w:autoSpaceDE w:val="0"/>
        <w:autoSpaceDN w:val="0"/>
        <w:adjustRightInd w:val="0"/>
        <w:ind w:left="426" w:hanging="426"/>
        <w:jc w:val="both"/>
        <w:rPr>
          <w:rFonts w:eastAsia="Times New Roman" w:cs="Times New Roman"/>
          <w:bCs/>
          <w:iCs/>
          <w:lang w:val="fr-FR"/>
        </w:rPr>
      </w:pPr>
      <w:r w:rsidRPr="004E13E9">
        <w:rPr>
          <w:rFonts w:eastAsia="Times New Roman" w:cs="Times New Roman"/>
          <w:bCs/>
          <w:iCs/>
          <w:lang w:val="fr-FR"/>
        </w:rPr>
        <w:t xml:space="preserve">11. </w:t>
      </w:r>
      <w:r w:rsidRPr="004E13E9">
        <w:rPr>
          <w:rFonts w:eastAsia="Times New Roman" w:cs="Times New Roman"/>
          <w:bCs/>
          <w:iCs/>
          <w:lang w:val="fr-FR"/>
        </w:rPr>
        <w:tab/>
        <w:t>Adoption du rapport et clôture</w:t>
      </w:r>
    </w:p>
    <w:p w14:paraId="085B7F3F" w14:textId="77777777" w:rsidR="00CC42F1" w:rsidRPr="004E13E9" w:rsidRDefault="00CC42F1" w:rsidP="00CC42F1">
      <w:pPr>
        <w:jc w:val="center"/>
        <w:rPr>
          <w:b/>
          <w:bCs/>
          <w:lang w:val="fr-FR"/>
        </w:rPr>
      </w:pPr>
    </w:p>
    <w:p w14:paraId="01E57BE0" w14:textId="5AAF3AB0" w:rsidR="00421EC6" w:rsidRPr="004E13E9" w:rsidRDefault="00421EC6">
      <w:pPr>
        <w:rPr>
          <w:b/>
          <w:lang w:val="fr-FR"/>
        </w:rPr>
      </w:pPr>
      <w:r w:rsidRPr="004E13E9">
        <w:rPr>
          <w:b/>
          <w:lang w:val="fr-FR"/>
        </w:rPr>
        <w:br w:type="page"/>
      </w:r>
    </w:p>
    <w:p w14:paraId="0F006833" w14:textId="77777777" w:rsidR="009476A8" w:rsidRPr="004E13E9" w:rsidRDefault="009476A8" w:rsidP="009476A8">
      <w:pPr>
        <w:jc w:val="right"/>
        <w:rPr>
          <w:b/>
          <w:lang w:val="fr-FR" w:eastAsia="en-GB"/>
        </w:rPr>
      </w:pPr>
      <w:r w:rsidRPr="004E13E9">
        <w:rPr>
          <w:b/>
          <w:lang w:val="fr-FR" w:eastAsia="en-GB"/>
        </w:rPr>
        <w:lastRenderedPageBreak/>
        <w:t>Appendice 2</w:t>
      </w:r>
    </w:p>
    <w:p w14:paraId="1DAA38A9" w14:textId="77777777" w:rsidR="009476A8" w:rsidRPr="004E13E9" w:rsidRDefault="009476A8" w:rsidP="009476A8">
      <w:pPr>
        <w:jc w:val="center"/>
        <w:rPr>
          <w:b/>
          <w:lang w:val="fr-FR" w:eastAsia="en-GB"/>
        </w:rPr>
      </w:pPr>
    </w:p>
    <w:p w14:paraId="264C647E" w14:textId="77777777" w:rsidR="009476A8" w:rsidRPr="004E13E9" w:rsidRDefault="009476A8" w:rsidP="009476A8">
      <w:pPr>
        <w:jc w:val="center"/>
        <w:rPr>
          <w:b/>
          <w:lang w:val="fr-FR" w:eastAsia="en-GB"/>
        </w:rPr>
      </w:pPr>
      <w:r w:rsidRPr="004E13E9">
        <w:rPr>
          <w:b/>
          <w:lang w:val="fr-FR" w:eastAsia="en-GB"/>
        </w:rPr>
        <w:t>Liste des participants</w:t>
      </w:r>
      <w:r w:rsidRPr="004E13E9">
        <w:rPr>
          <w:b/>
          <w:vertAlign w:val="superscript"/>
          <w:lang w:val="en-GB" w:eastAsia="en-GB"/>
        </w:rPr>
        <w:footnoteReference w:id="1"/>
      </w:r>
    </w:p>
    <w:p w14:paraId="5BB7F8FC" w14:textId="77777777" w:rsidR="009476A8" w:rsidRPr="004E13E9" w:rsidRDefault="009476A8" w:rsidP="009476A8">
      <w:pPr>
        <w:jc w:val="center"/>
        <w:rPr>
          <w:b/>
          <w:sz w:val="8"/>
          <w:szCs w:val="8"/>
          <w:lang w:val="fr-FR" w:eastAsia="en-GB"/>
        </w:rPr>
      </w:pPr>
    </w:p>
    <w:p w14:paraId="3BD7B2C4" w14:textId="77777777" w:rsidR="009476A8" w:rsidRPr="004E13E9" w:rsidRDefault="009476A8" w:rsidP="009476A8">
      <w:pPr>
        <w:jc w:val="both"/>
        <w:rPr>
          <w:lang w:val="fr-FR" w:eastAsia="en-GB"/>
        </w:rPr>
      </w:pPr>
      <w:r w:rsidRPr="004E13E9">
        <w:rPr>
          <w:b/>
          <w:i/>
          <w:lang w:val="fr-FR" w:eastAsia="en-GB"/>
        </w:rPr>
        <w:t>PARTIES CONTRACTANTES</w:t>
      </w:r>
    </w:p>
    <w:p w14:paraId="5CF1CD29" w14:textId="77777777" w:rsidR="009476A8" w:rsidRPr="004E13E9" w:rsidRDefault="009476A8" w:rsidP="009476A8">
      <w:pPr>
        <w:rPr>
          <w:b/>
          <w:lang w:val="fr-FR" w:eastAsia="en-GB"/>
        </w:rPr>
      </w:pPr>
    </w:p>
    <w:p w14:paraId="4358946E" w14:textId="77777777" w:rsidR="009476A8" w:rsidRPr="004E13E9" w:rsidRDefault="009476A8" w:rsidP="009476A8">
      <w:pPr>
        <w:rPr>
          <w:b/>
          <w:sz w:val="18"/>
          <w:lang w:eastAsia="en-GB"/>
        </w:rPr>
      </w:pPr>
      <w:r w:rsidRPr="004E13E9">
        <w:rPr>
          <w:b/>
          <w:lang w:eastAsia="en-GB"/>
        </w:rPr>
        <w:t>ALBANIE</w:t>
      </w:r>
    </w:p>
    <w:p w14:paraId="00C621E4" w14:textId="4FEE263D" w:rsidR="00D41BB9" w:rsidRPr="004E13E9" w:rsidRDefault="00E95051">
      <w:r w:rsidRPr="004E13E9">
        <w:rPr>
          <w:b/>
          <w:sz w:val="18"/>
        </w:rPr>
        <w:t>Kule</w:t>
      </w:r>
      <w:r w:rsidRPr="004E13E9">
        <w:rPr>
          <w:sz w:val="18"/>
        </w:rPr>
        <w:t>, Marco *</w:t>
      </w:r>
      <w:r w:rsidR="009523C8" w:rsidRPr="004E13E9">
        <w:rPr>
          <w:sz w:val="18"/>
        </w:rPr>
        <w:t xml:space="preserve"> (</w:t>
      </w:r>
      <w:proofErr w:type="spellStart"/>
      <w:r w:rsidR="00D40F91" w:rsidRPr="004E13E9">
        <w:rPr>
          <w:sz w:val="18"/>
        </w:rPr>
        <w:t>en</w:t>
      </w:r>
      <w:proofErr w:type="spellEnd"/>
      <w:r w:rsidR="00D40F91" w:rsidRPr="004E13E9">
        <w:rPr>
          <w:sz w:val="18"/>
        </w:rPr>
        <w:t xml:space="preserve"> </w:t>
      </w:r>
      <w:proofErr w:type="spellStart"/>
      <w:r w:rsidR="00D40F91" w:rsidRPr="004E13E9">
        <w:rPr>
          <w:sz w:val="18"/>
        </w:rPr>
        <w:t>ligne</w:t>
      </w:r>
      <w:proofErr w:type="spellEnd"/>
      <w:r w:rsidR="009523C8" w:rsidRPr="004E13E9">
        <w:rPr>
          <w:sz w:val="18"/>
        </w:rPr>
        <w:t>)</w:t>
      </w:r>
    </w:p>
    <w:p w14:paraId="4C0EDB87" w14:textId="77777777" w:rsidR="00D41BB9" w:rsidRPr="004E13E9" w:rsidRDefault="00E95051">
      <w:pPr>
        <w:jc w:val="both"/>
      </w:pPr>
      <w:r w:rsidRPr="004E13E9">
        <w:rPr>
          <w:sz w:val="18"/>
        </w:rPr>
        <w:t xml:space="preserve">Head of Sector, Sector of Fisheries and Aquaculture Development Programs, Directorate of Fisheries and Aquaculture Policies and </w:t>
      </w:r>
      <w:proofErr w:type="spellStart"/>
      <w:r w:rsidRPr="004E13E9">
        <w:rPr>
          <w:sz w:val="18"/>
        </w:rPr>
        <w:t>Programmes</w:t>
      </w:r>
      <w:proofErr w:type="spellEnd"/>
      <w:r w:rsidRPr="004E13E9">
        <w:rPr>
          <w:sz w:val="18"/>
        </w:rPr>
        <w:t xml:space="preserve">, Ministry of Agriculture and Rural Development, </w:t>
      </w:r>
      <w:proofErr w:type="spellStart"/>
      <w:r w:rsidRPr="004E13E9">
        <w:rPr>
          <w:sz w:val="18"/>
        </w:rPr>
        <w:t>Bulevardi</w:t>
      </w:r>
      <w:proofErr w:type="spellEnd"/>
      <w:r w:rsidRPr="004E13E9">
        <w:rPr>
          <w:sz w:val="18"/>
        </w:rPr>
        <w:t xml:space="preserve"> “</w:t>
      </w:r>
      <w:proofErr w:type="spellStart"/>
      <w:r w:rsidRPr="004E13E9">
        <w:rPr>
          <w:sz w:val="18"/>
        </w:rPr>
        <w:t>Dëshmorët</w:t>
      </w:r>
      <w:proofErr w:type="spellEnd"/>
      <w:r w:rsidRPr="004E13E9">
        <w:rPr>
          <w:sz w:val="18"/>
        </w:rPr>
        <w:t xml:space="preserve"> e </w:t>
      </w:r>
      <w:proofErr w:type="spellStart"/>
      <w:r w:rsidRPr="004E13E9">
        <w:rPr>
          <w:sz w:val="18"/>
        </w:rPr>
        <w:t>Kombit</w:t>
      </w:r>
      <w:proofErr w:type="spellEnd"/>
      <w:r w:rsidRPr="004E13E9">
        <w:rPr>
          <w:sz w:val="18"/>
        </w:rPr>
        <w:t xml:space="preserve">”, Nr.2, </w:t>
      </w:r>
      <w:proofErr w:type="spellStart"/>
      <w:r w:rsidRPr="004E13E9">
        <w:rPr>
          <w:sz w:val="18"/>
        </w:rPr>
        <w:t>Tiranë</w:t>
      </w:r>
      <w:proofErr w:type="spellEnd"/>
      <w:r w:rsidRPr="004E13E9">
        <w:rPr>
          <w:sz w:val="18"/>
        </w:rPr>
        <w:t xml:space="preserve">, </w:t>
      </w:r>
      <w:proofErr w:type="spellStart"/>
      <w:r w:rsidRPr="004E13E9">
        <w:rPr>
          <w:sz w:val="18"/>
        </w:rPr>
        <w:t>Shqipëri</w:t>
      </w:r>
      <w:proofErr w:type="spellEnd"/>
    </w:p>
    <w:p w14:paraId="7108B09E" w14:textId="77777777" w:rsidR="00D41BB9" w:rsidRPr="004E13E9" w:rsidRDefault="00E95051">
      <w:pPr>
        <w:jc w:val="both"/>
        <w:rPr>
          <w:lang w:val="pt-PT"/>
        </w:rPr>
      </w:pPr>
      <w:r w:rsidRPr="004E13E9">
        <w:rPr>
          <w:sz w:val="18"/>
          <w:lang w:val="pt-PT"/>
        </w:rPr>
        <w:t>Tel: +355 4 2226911, E-Mail: marco.kule@bujqesia.gov.al</w:t>
      </w:r>
    </w:p>
    <w:p w14:paraId="756C9C40" w14:textId="77777777" w:rsidR="00D41BB9" w:rsidRPr="004E13E9" w:rsidRDefault="00D41BB9">
      <w:pPr>
        <w:rPr>
          <w:lang w:val="pt-PT"/>
        </w:rPr>
      </w:pPr>
    </w:p>
    <w:p w14:paraId="72C7DA09" w14:textId="025B6F9C" w:rsidR="00D40F91" w:rsidRPr="004E13E9" w:rsidRDefault="00D40F91" w:rsidP="00D40F91">
      <w:pPr>
        <w:rPr>
          <w:lang w:val="fr-FR" w:eastAsia="en-GB"/>
        </w:rPr>
      </w:pPr>
      <w:r w:rsidRPr="004E13E9">
        <w:rPr>
          <w:b/>
          <w:lang w:val="fr-FR" w:eastAsia="en-GB"/>
        </w:rPr>
        <w:t>ALGÉRIE</w:t>
      </w:r>
    </w:p>
    <w:p w14:paraId="0F6C6AB4" w14:textId="77777777" w:rsidR="00D41BB9" w:rsidRPr="004E13E9" w:rsidRDefault="00E95051">
      <w:pPr>
        <w:rPr>
          <w:lang w:val="fr-FR"/>
        </w:rPr>
      </w:pPr>
      <w:r w:rsidRPr="004E13E9">
        <w:rPr>
          <w:b/>
          <w:sz w:val="18"/>
          <w:lang w:val="fr-FR"/>
        </w:rPr>
        <w:t>Ouchelli</w:t>
      </w:r>
      <w:r w:rsidRPr="004E13E9">
        <w:rPr>
          <w:sz w:val="18"/>
          <w:lang w:val="fr-FR"/>
        </w:rPr>
        <w:t>, Amar *</w:t>
      </w:r>
    </w:p>
    <w:p w14:paraId="4D4645B8" w14:textId="77777777" w:rsidR="00D41BB9" w:rsidRPr="004E13E9" w:rsidRDefault="00E95051">
      <w:pPr>
        <w:jc w:val="both"/>
        <w:rPr>
          <w:lang w:val="fr-FR"/>
        </w:rPr>
      </w:pPr>
      <w:r w:rsidRPr="004E13E9">
        <w:rPr>
          <w:sz w:val="18"/>
          <w:lang w:val="fr-FR"/>
        </w:rPr>
        <w:t>Sous-directeur de la Grande Pêche et de la Pêche Spécialisée, ministère de la Pêche et des Productions halieutiques, Route des quatre canons, 16000 Alger</w:t>
      </w:r>
    </w:p>
    <w:p w14:paraId="1BED84E1" w14:textId="77777777" w:rsidR="00D41BB9" w:rsidRPr="004E13E9" w:rsidRDefault="00E95051">
      <w:pPr>
        <w:jc w:val="both"/>
        <w:rPr>
          <w:lang w:val="fr-FR"/>
        </w:rPr>
      </w:pPr>
      <w:r w:rsidRPr="004E13E9">
        <w:rPr>
          <w:sz w:val="18"/>
          <w:lang w:val="fr-FR"/>
        </w:rPr>
        <w:t>Tel: +213 550 386 938, Fax: +213 234 95597, E-Mail: amarouchelli.dz@gmail.com; amar.ouchelli@mpeche.gov.dz</w:t>
      </w:r>
    </w:p>
    <w:p w14:paraId="020F67D6" w14:textId="77777777" w:rsidR="00D41BB9" w:rsidRPr="004E13E9" w:rsidRDefault="00D41BB9">
      <w:pPr>
        <w:rPr>
          <w:lang w:val="fr-FR"/>
        </w:rPr>
      </w:pPr>
    </w:p>
    <w:p w14:paraId="240F23C8" w14:textId="25FE3432" w:rsidR="00D41BB9" w:rsidRPr="004E13E9" w:rsidRDefault="00E95051">
      <w:pPr>
        <w:rPr>
          <w:lang w:val="fr-FR"/>
        </w:rPr>
      </w:pPr>
      <w:r w:rsidRPr="004E13E9">
        <w:rPr>
          <w:b/>
          <w:sz w:val="18"/>
          <w:lang w:val="fr-FR"/>
        </w:rPr>
        <w:t>Melikechi</w:t>
      </w:r>
      <w:r w:rsidRPr="004E13E9">
        <w:rPr>
          <w:sz w:val="18"/>
          <w:lang w:val="fr-FR"/>
        </w:rPr>
        <w:t>, Hamza</w:t>
      </w:r>
      <w:r w:rsidR="009523C8" w:rsidRPr="004E13E9">
        <w:rPr>
          <w:sz w:val="18"/>
          <w:lang w:val="fr-FR"/>
        </w:rPr>
        <w:t xml:space="preserve"> </w:t>
      </w:r>
      <w:r w:rsidR="009523C8" w:rsidRPr="004E13E9">
        <w:rPr>
          <w:sz w:val="18"/>
          <w:vertAlign w:val="superscript"/>
          <w:lang w:val="fr-FR"/>
        </w:rPr>
        <w:t>1</w:t>
      </w:r>
      <w:r w:rsidR="009523C8" w:rsidRPr="004E13E9">
        <w:rPr>
          <w:sz w:val="18"/>
          <w:lang w:val="fr-FR"/>
        </w:rPr>
        <w:t xml:space="preserve"> (</w:t>
      </w:r>
      <w:r w:rsidR="00D40F91" w:rsidRPr="004E13E9">
        <w:rPr>
          <w:sz w:val="18"/>
          <w:lang w:val="fr-FR"/>
        </w:rPr>
        <w:t>en ligne</w:t>
      </w:r>
      <w:r w:rsidR="009523C8" w:rsidRPr="004E13E9">
        <w:rPr>
          <w:sz w:val="18"/>
          <w:lang w:val="fr-FR"/>
        </w:rPr>
        <w:t>)</w:t>
      </w:r>
    </w:p>
    <w:p w14:paraId="73DC7B7C" w14:textId="77777777" w:rsidR="00D41BB9" w:rsidRPr="004E13E9" w:rsidRDefault="00E95051">
      <w:pPr>
        <w:jc w:val="both"/>
        <w:rPr>
          <w:lang w:val="es-ES"/>
        </w:rPr>
      </w:pPr>
      <w:r w:rsidRPr="004E13E9">
        <w:rPr>
          <w:sz w:val="18"/>
          <w:lang w:val="es-ES"/>
        </w:rPr>
        <w:t>16000</w:t>
      </w:r>
    </w:p>
    <w:p w14:paraId="6C7A2DFE" w14:textId="77777777" w:rsidR="00D41BB9" w:rsidRPr="004E13E9" w:rsidRDefault="00D41BB9">
      <w:pPr>
        <w:rPr>
          <w:lang w:val="es-ES"/>
        </w:rPr>
      </w:pPr>
    </w:p>
    <w:p w14:paraId="2643637C" w14:textId="77777777" w:rsidR="00D41BB9" w:rsidRPr="004E13E9" w:rsidRDefault="00E95051">
      <w:pPr>
        <w:rPr>
          <w:lang w:val="es-ES"/>
        </w:rPr>
      </w:pPr>
      <w:r w:rsidRPr="004E13E9">
        <w:rPr>
          <w:b/>
          <w:sz w:val="18"/>
          <w:lang w:val="es-ES"/>
        </w:rPr>
        <w:t>Mesbah</w:t>
      </w:r>
      <w:r w:rsidRPr="004E13E9">
        <w:rPr>
          <w:sz w:val="18"/>
          <w:lang w:val="es-ES"/>
        </w:rPr>
        <w:t>, Reda</w:t>
      </w:r>
    </w:p>
    <w:p w14:paraId="024C496B" w14:textId="3235CC80" w:rsidR="00D41BB9" w:rsidRPr="004E13E9" w:rsidRDefault="00E95051">
      <w:pPr>
        <w:jc w:val="both"/>
        <w:rPr>
          <w:lang w:val="es-ES"/>
        </w:rPr>
      </w:pPr>
      <w:r w:rsidRPr="004E13E9">
        <w:rPr>
          <w:sz w:val="18"/>
          <w:lang w:val="es-ES"/>
        </w:rPr>
        <w:t xml:space="preserve">Secretario Diplomático encargado de Organismos Internacionales en Madrid, Embajada de Argelia en Madrid, C/ General Oraá, </w:t>
      </w:r>
      <w:proofErr w:type="spellStart"/>
      <w:r w:rsidRPr="004E13E9">
        <w:rPr>
          <w:sz w:val="18"/>
          <w:lang w:val="es-ES"/>
        </w:rPr>
        <w:t>nº</w:t>
      </w:r>
      <w:proofErr w:type="spellEnd"/>
      <w:r w:rsidRPr="004E13E9">
        <w:rPr>
          <w:sz w:val="18"/>
          <w:lang w:val="es-ES"/>
        </w:rPr>
        <w:t xml:space="preserve"> 12, 28006 Madrid, E</w:t>
      </w:r>
      <w:r w:rsidR="009523C8" w:rsidRPr="004E13E9">
        <w:rPr>
          <w:sz w:val="18"/>
          <w:lang w:val="es-ES"/>
        </w:rPr>
        <w:t>spaña</w:t>
      </w:r>
    </w:p>
    <w:p w14:paraId="43A93848" w14:textId="77777777" w:rsidR="00D41BB9" w:rsidRPr="004E13E9" w:rsidRDefault="00E95051">
      <w:pPr>
        <w:jc w:val="both"/>
        <w:rPr>
          <w:lang w:val="pt-PT"/>
        </w:rPr>
      </w:pPr>
      <w:r w:rsidRPr="004E13E9">
        <w:rPr>
          <w:sz w:val="18"/>
          <w:lang w:val="pt-PT"/>
        </w:rPr>
        <w:t>Tel: +34 91 562 98 77; +34 624 00 44 91, E-Mail: organizacionesinternacionales@emb-argelia.es</w:t>
      </w:r>
    </w:p>
    <w:p w14:paraId="4DE0F4A7" w14:textId="77777777" w:rsidR="00D41BB9" w:rsidRPr="004E13E9" w:rsidRDefault="00D41BB9">
      <w:pPr>
        <w:rPr>
          <w:lang w:val="pt-PT"/>
        </w:rPr>
      </w:pPr>
    </w:p>
    <w:p w14:paraId="4A169AFC" w14:textId="34308CBC" w:rsidR="00D41BB9" w:rsidRPr="004E13E9" w:rsidRDefault="00E95051">
      <w:pPr>
        <w:rPr>
          <w:lang w:val="fr-FR"/>
        </w:rPr>
      </w:pPr>
      <w:proofErr w:type="spellStart"/>
      <w:r w:rsidRPr="004E13E9">
        <w:rPr>
          <w:b/>
          <w:sz w:val="18"/>
          <w:lang w:val="fr-FR"/>
        </w:rPr>
        <w:t>Tamourt</w:t>
      </w:r>
      <w:proofErr w:type="spellEnd"/>
      <w:r w:rsidRPr="004E13E9">
        <w:rPr>
          <w:sz w:val="18"/>
          <w:lang w:val="fr-FR"/>
        </w:rPr>
        <w:t xml:space="preserve">, </w:t>
      </w:r>
      <w:proofErr w:type="spellStart"/>
      <w:r w:rsidRPr="004E13E9">
        <w:rPr>
          <w:sz w:val="18"/>
          <w:lang w:val="fr-FR"/>
        </w:rPr>
        <w:t>Amira</w:t>
      </w:r>
      <w:proofErr w:type="spellEnd"/>
      <w:r w:rsidR="009523C8" w:rsidRPr="004E13E9">
        <w:rPr>
          <w:sz w:val="18"/>
          <w:lang w:val="fr-FR"/>
        </w:rPr>
        <w:t xml:space="preserve"> </w:t>
      </w:r>
      <w:r w:rsidR="009523C8" w:rsidRPr="004E13E9">
        <w:rPr>
          <w:sz w:val="18"/>
          <w:vertAlign w:val="superscript"/>
          <w:lang w:val="fr-FR"/>
        </w:rPr>
        <w:t>1</w:t>
      </w:r>
      <w:r w:rsidR="009523C8" w:rsidRPr="004E13E9">
        <w:rPr>
          <w:sz w:val="18"/>
          <w:lang w:val="fr-FR"/>
        </w:rPr>
        <w:t xml:space="preserve"> (</w:t>
      </w:r>
      <w:r w:rsidR="00D40F91" w:rsidRPr="004E13E9">
        <w:rPr>
          <w:sz w:val="18"/>
          <w:lang w:val="fr-FR"/>
        </w:rPr>
        <w:t>en ligne</w:t>
      </w:r>
      <w:r w:rsidR="009523C8" w:rsidRPr="004E13E9">
        <w:rPr>
          <w:sz w:val="18"/>
          <w:lang w:val="fr-FR"/>
        </w:rPr>
        <w:t>)</w:t>
      </w:r>
    </w:p>
    <w:p w14:paraId="60449A19" w14:textId="77777777" w:rsidR="00D41BB9" w:rsidRPr="004E13E9" w:rsidRDefault="00E95051">
      <w:pPr>
        <w:jc w:val="both"/>
        <w:rPr>
          <w:lang w:val="fr-FR"/>
        </w:rPr>
      </w:pPr>
      <w:r w:rsidRPr="004E13E9">
        <w:rPr>
          <w:sz w:val="18"/>
          <w:lang w:val="fr-FR"/>
        </w:rPr>
        <w:t>ministère de la Pêche &amp; des Ressources Halieutiques, 16100 Alger</w:t>
      </w:r>
    </w:p>
    <w:p w14:paraId="42D8A825" w14:textId="77777777" w:rsidR="00D41BB9" w:rsidRPr="004E13E9" w:rsidRDefault="00D41BB9">
      <w:pPr>
        <w:rPr>
          <w:lang w:val="fr-FR"/>
        </w:rPr>
      </w:pPr>
    </w:p>
    <w:p w14:paraId="0CB75EF9" w14:textId="13F03CDC" w:rsidR="00D41BB9" w:rsidRPr="004E13E9" w:rsidRDefault="00E95051">
      <w:pPr>
        <w:rPr>
          <w:lang w:val="fr-FR"/>
        </w:rPr>
      </w:pPr>
      <w:r w:rsidRPr="004E13E9">
        <w:rPr>
          <w:b/>
          <w:lang w:val="fr-FR"/>
        </w:rPr>
        <w:t>BELIZE</w:t>
      </w:r>
    </w:p>
    <w:p w14:paraId="71C32D87" w14:textId="51BC73E6" w:rsidR="00D41BB9" w:rsidRPr="004E13E9" w:rsidRDefault="00E95051">
      <w:pPr>
        <w:rPr>
          <w:lang w:val="fr-FR"/>
        </w:rPr>
      </w:pPr>
      <w:r w:rsidRPr="004E13E9">
        <w:rPr>
          <w:b/>
          <w:sz w:val="18"/>
          <w:lang w:val="fr-FR"/>
        </w:rPr>
        <w:t>Howe</w:t>
      </w:r>
      <w:r w:rsidRPr="004E13E9">
        <w:rPr>
          <w:sz w:val="18"/>
          <w:lang w:val="fr-FR"/>
        </w:rPr>
        <w:t>, Ernie</w:t>
      </w:r>
      <w:r w:rsidR="009523C8" w:rsidRPr="004E13E9">
        <w:rPr>
          <w:sz w:val="18"/>
          <w:lang w:val="fr-FR"/>
        </w:rPr>
        <w:t xml:space="preserve"> (</w:t>
      </w:r>
      <w:r w:rsidR="00D40F91" w:rsidRPr="004E13E9">
        <w:rPr>
          <w:sz w:val="18"/>
          <w:lang w:val="fr-FR"/>
        </w:rPr>
        <w:t>en ligne</w:t>
      </w:r>
      <w:r w:rsidR="009523C8" w:rsidRPr="004E13E9">
        <w:rPr>
          <w:sz w:val="18"/>
          <w:lang w:val="fr-FR"/>
        </w:rPr>
        <w:t>)</w:t>
      </w:r>
    </w:p>
    <w:p w14:paraId="67B68149" w14:textId="77777777" w:rsidR="00D41BB9" w:rsidRPr="004E13E9" w:rsidRDefault="00E95051">
      <w:pPr>
        <w:jc w:val="both"/>
      </w:pPr>
      <w:r w:rsidRPr="004E13E9">
        <w:rPr>
          <w:sz w:val="18"/>
        </w:rPr>
        <w:t>High Seas Fisheries Officer, Belize High Seas Fisheries Unit, Ministry of Finance, Government of Belize, Keystone Building, Suite 501, 304 Newtown Barracks, Belize City</w:t>
      </w:r>
    </w:p>
    <w:p w14:paraId="5F8AC76D" w14:textId="77777777" w:rsidR="00D41BB9" w:rsidRPr="004E13E9" w:rsidRDefault="00E95051">
      <w:pPr>
        <w:jc w:val="both"/>
        <w:rPr>
          <w:lang w:val="fr-FR"/>
        </w:rPr>
      </w:pPr>
      <w:r w:rsidRPr="004E13E9">
        <w:rPr>
          <w:sz w:val="18"/>
          <w:lang w:val="fr-FR"/>
        </w:rPr>
        <w:t>Tel: +501 223 4918, Fax: +501 223 5087, E-Mail: ernie.howe@bhsfu.gov.bz</w:t>
      </w:r>
    </w:p>
    <w:p w14:paraId="6A118EBD" w14:textId="77777777" w:rsidR="00D41BB9" w:rsidRPr="004E13E9" w:rsidRDefault="00D41BB9">
      <w:pPr>
        <w:rPr>
          <w:lang w:val="fr-FR"/>
        </w:rPr>
      </w:pPr>
    </w:p>
    <w:p w14:paraId="3E9DE950" w14:textId="0E58D19B" w:rsidR="00D41BB9" w:rsidRPr="004E13E9" w:rsidRDefault="00E95051">
      <w:pPr>
        <w:rPr>
          <w:lang w:val="fr-FR"/>
        </w:rPr>
      </w:pPr>
      <w:r w:rsidRPr="004E13E9">
        <w:rPr>
          <w:b/>
          <w:lang w:val="fr-FR"/>
        </w:rPr>
        <w:t>CANADA</w:t>
      </w:r>
    </w:p>
    <w:p w14:paraId="4B0C772E" w14:textId="1EE46D33" w:rsidR="00D41BB9" w:rsidRPr="004E13E9" w:rsidRDefault="00E95051">
      <w:pPr>
        <w:rPr>
          <w:lang w:val="fr-FR"/>
        </w:rPr>
      </w:pPr>
      <w:r w:rsidRPr="004E13E9">
        <w:rPr>
          <w:b/>
          <w:sz w:val="18"/>
          <w:lang w:val="fr-FR"/>
        </w:rPr>
        <w:t>Waddell</w:t>
      </w:r>
      <w:r w:rsidRPr="004E13E9">
        <w:rPr>
          <w:sz w:val="18"/>
          <w:lang w:val="fr-FR"/>
        </w:rPr>
        <w:t>, Mark *</w:t>
      </w:r>
      <w:r w:rsidR="009523C8" w:rsidRPr="004E13E9">
        <w:rPr>
          <w:sz w:val="18"/>
          <w:lang w:val="fr-FR"/>
        </w:rPr>
        <w:t xml:space="preserve"> </w:t>
      </w:r>
      <w:r w:rsidR="009523C8" w:rsidRPr="004E13E9">
        <w:rPr>
          <w:sz w:val="18"/>
          <w:vertAlign w:val="superscript"/>
          <w:lang w:val="fr-FR"/>
        </w:rPr>
        <w:t>1</w:t>
      </w:r>
      <w:r w:rsidR="009523C8" w:rsidRPr="004E13E9">
        <w:rPr>
          <w:sz w:val="18"/>
          <w:lang w:val="fr-FR"/>
        </w:rPr>
        <w:t xml:space="preserve"> (</w:t>
      </w:r>
      <w:r w:rsidR="00D40F91" w:rsidRPr="004E13E9">
        <w:rPr>
          <w:sz w:val="18"/>
          <w:lang w:val="fr-FR"/>
        </w:rPr>
        <w:t>en ligne</w:t>
      </w:r>
      <w:r w:rsidR="009523C8" w:rsidRPr="004E13E9">
        <w:rPr>
          <w:sz w:val="18"/>
          <w:lang w:val="fr-FR"/>
        </w:rPr>
        <w:t>)</w:t>
      </w:r>
    </w:p>
    <w:p w14:paraId="384506BD" w14:textId="3AA167BE" w:rsidR="00D41BB9" w:rsidRPr="004E13E9" w:rsidRDefault="00E95051">
      <w:pPr>
        <w:jc w:val="both"/>
      </w:pPr>
      <w:r w:rsidRPr="004E13E9">
        <w:rPr>
          <w:sz w:val="18"/>
        </w:rPr>
        <w:t>Director General, Fisheries and Oceans Canada, Ottawa ON</w:t>
      </w:r>
      <w:r w:rsidR="009523C8" w:rsidRPr="004E13E9">
        <w:rPr>
          <w:sz w:val="18"/>
        </w:rPr>
        <w:t xml:space="preserve"> </w:t>
      </w:r>
      <w:r w:rsidRPr="004E13E9">
        <w:rPr>
          <w:sz w:val="18"/>
        </w:rPr>
        <w:t>K1A0E6</w:t>
      </w:r>
    </w:p>
    <w:p w14:paraId="4B205122" w14:textId="77777777" w:rsidR="00D41BB9" w:rsidRPr="004E13E9" w:rsidRDefault="00D41BB9"/>
    <w:p w14:paraId="31D56257" w14:textId="2FE61E71" w:rsidR="00D41BB9" w:rsidRPr="004E13E9" w:rsidRDefault="00E95051">
      <w:r w:rsidRPr="004E13E9">
        <w:rPr>
          <w:b/>
          <w:sz w:val="18"/>
        </w:rPr>
        <w:t>Atkinson</w:t>
      </w:r>
      <w:r w:rsidRPr="004E13E9">
        <w:rPr>
          <w:sz w:val="18"/>
        </w:rPr>
        <w:t>, Troy</w:t>
      </w:r>
      <w:r w:rsidR="009523C8" w:rsidRPr="004E13E9">
        <w:rPr>
          <w:sz w:val="18"/>
        </w:rPr>
        <w:t xml:space="preserve"> (</w:t>
      </w:r>
      <w:proofErr w:type="spellStart"/>
      <w:r w:rsidR="00D40F91" w:rsidRPr="004E13E9">
        <w:rPr>
          <w:sz w:val="18"/>
        </w:rPr>
        <w:t>en</w:t>
      </w:r>
      <w:proofErr w:type="spellEnd"/>
      <w:r w:rsidR="00D40F91" w:rsidRPr="004E13E9">
        <w:rPr>
          <w:sz w:val="18"/>
        </w:rPr>
        <w:t xml:space="preserve"> </w:t>
      </w:r>
      <w:proofErr w:type="spellStart"/>
      <w:r w:rsidR="00D40F91" w:rsidRPr="004E13E9">
        <w:rPr>
          <w:sz w:val="18"/>
        </w:rPr>
        <w:t>ligne</w:t>
      </w:r>
      <w:proofErr w:type="spellEnd"/>
      <w:r w:rsidR="009523C8" w:rsidRPr="004E13E9">
        <w:rPr>
          <w:sz w:val="18"/>
        </w:rPr>
        <w:t>)</w:t>
      </w:r>
    </w:p>
    <w:p w14:paraId="622A670A" w14:textId="238F5693" w:rsidR="00D41BB9" w:rsidRPr="004E13E9" w:rsidRDefault="00E95051">
      <w:pPr>
        <w:jc w:val="both"/>
      </w:pPr>
      <w:r w:rsidRPr="004E13E9">
        <w:rPr>
          <w:sz w:val="18"/>
        </w:rPr>
        <w:t xml:space="preserve">Nova Scotia </w:t>
      </w:r>
      <w:proofErr w:type="spellStart"/>
      <w:r w:rsidRPr="004E13E9">
        <w:rPr>
          <w:sz w:val="18"/>
        </w:rPr>
        <w:t>Swordfisherman's</w:t>
      </w:r>
      <w:proofErr w:type="spellEnd"/>
      <w:r w:rsidRPr="004E13E9">
        <w:rPr>
          <w:sz w:val="18"/>
        </w:rPr>
        <w:t xml:space="preserve"> Association, 384 St George Blvd, Halifax, NS</w:t>
      </w:r>
      <w:r w:rsidR="009523C8" w:rsidRPr="004E13E9">
        <w:rPr>
          <w:sz w:val="18"/>
        </w:rPr>
        <w:t xml:space="preserve"> </w:t>
      </w:r>
      <w:r w:rsidRPr="004E13E9">
        <w:rPr>
          <w:sz w:val="18"/>
        </w:rPr>
        <w:t>B4B1T2</w:t>
      </w:r>
    </w:p>
    <w:p w14:paraId="0FBFD6C2" w14:textId="77777777" w:rsidR="00D41BB9" w:rsidRPr="004E13E9" w:rsidRDefault="00E95051">
      <w:pPr>
        <w:jc w:val="both"/>
        <w:rPr>
          <w:lang w:val="pt-PT"/>
        </w:rPr>
      </w:pPr>
      <w:r w:rsidRPr="004E13E9">
        <w:rPr>
          <w:sz w:val="18"/>
          <w:lang w:val="pt-PT"/>
        </w:rPr>
        <w:t>Tel: +1 902 499 7390, E-Mail: atkinsontroy215@gmail.com</w:t>
      </w:r>
    </w:p>
    <w:p w14:paraId="4D9E8813" w14:textId="77777777" w:rsidR="00D41BB9" w:rsidRPr="004E13E9" w:rsidRDefault="00D41BB9">
      <w:pPr>
        <w:rPr>
          <w:lang w:val="pt-PT"/>
        </w:rPr>
      </w:pPr>
    </w:p>
    <w:p w14:paraId="55D71233" w14:textId="3FB2B2F6" w:rsidR="00D41BB9" w:rsidRPr="00C712A4" w:rsidRDefault="00E95051">
      <w:pPr>
        <w:rPr>
          <w:lang w:val="fr-FR"/>
        </w:rPr>
      </w:pPr>
      <w:r w:rsidRPr="00C712A4">
        <w:rPr>
          <w:b/>
          <w:sz w:val="18"/>
          <w:lang w:val="fr-FR"/>
        </w:rPr>
        <w:t>Duprey</w:t>
      </w:r>
      <w:r w:rsidRPr="00C712A4">
        <w:rPr>
          <w:sz w:val="18"/>
          <w:lang w:val="fr-FR"/>
        </w:rPr>
        <w:t>, Nicholas</w:t>
      </w:r>
      <w:r w:rsidR="009523C8" w:rsidRPr="00C712A4">
        <w:rPr>
          <w:sz w:val="18"/>
          <w:lang w:val="fr-FR"/>
        </w:rPr>
        <w:t xml:space="preserve"> (</w:t>
      </w:r>
      <w:r w:rsidR="00D40F91" w:rsidRPr="00C712A4">
        <w:rPr>
          <w:sz w:val="18"/>
          <w:lang w:val="fr-FR"/>
        </w:rPr>
        <w:t>en ligne</w:t>
      </w:r>
      <w:r w:rsidR="009523C8" w:rsidRPr="00C712A4">
        <w:rPr>
          <w:sz w:val="18"/>
          <w:lang w:val="fr-FR"/>
        </w:rPr>
        <w:t>)</w:t>
      </w:r>
    </w:p>
    <w:p w14:paraId="36E20B70" w14:textId="09D1DA7D" w:rsidR="00D41BB9" w:rsidRPr="004E13E9" w:rsidRDefault="00E95051">
      <w:pPr>
        <w:jc w:val="both"/>
      </w:pPr>
      <w:r w:rsidRPr="004E13E9">
        <w:rPr>
          <w:sz w:val="18"/>
        </w:rPr>
        <w:t>Senior Science Advisor, Fisheries and Oceans Canada, 200-401 Burrard Street, Vancouver, BC</w:t>
      </w:r>
      <w:r w:rsidR="009523C8" w:rsidRPr="004E13E9">
        <w:rPr>
          <w:sz w:val="18"/>
        </w:rPr>
        <w:t xml:space="preserve"> </w:t>
      </w:r>
      <w:r w:rsidRPr="004E13E9">
        <w:rPr>
          <w:sz w:val="18"/>
        </w:rPr>
        <w:t>V6C 3R2</w:t>
      </w:r>
    </w:p>
    <w:p w14:paraId="18DDAA85" w14:textId="77777777" w:rsidR="00D41BB9" w:rsidRPr="004E13E9" w:rsidRDefault="00E95051">
      <w:pPr>
        <w:jc w:val="both"/>
        <w:rPr>
          <w:lang w:val="pt-PT"/>
        </w:rPr>
      </w:pPr>
      <w:r w:rsidRPr="004E13E9">
        <w:rPr>
          <w:sz w:val="18"/>
          <w:lang w:val="pt-PT"/>
        </w:rPr>
        <w:t>Tel: +1 604 499 0469, E-Mail: nicholas.duprey@dfo-mpo.gc.ca</w:t>
      </w:r>
    </w:p>
    <w:p w14:paraId="0AE37A33" w14:textId="77777777" w:rsidR="00D41BB9" w:rsidRPr="004E13E9" w:rsidRDefault="00D41BB9">
      <w:pPr>
        <w:rPr>
          <w:lang w:val="pt-PT"/>
        </w:rPr>
      </w:pPr>
    </w:p>
    <w:p w14:paraId="53D3ADC0" w14:textId="1BBE2329" w:rsidR="00D41BB9" w:rsidRPr="004E13E9" w:rsidRDefault="00E95051">
      <w:pPr>
        <w:rPr>
          <w:lang w:val="fr-FR"/>
        </w:rPr>
      </w:pPr>
      <w:r w:rsidRPr="004E13E9">
        <w:rPr>
          <w:b/>
          <w:sz w:val="18"/>
          <w:lang w:val="fr-FR"/>
        </w:rPr>
        <w:t>Elsworth</w:t>
      </w:r>
      <w:r w:rsidRPr="004E13E9">
        <w:rPr>
          <w:sz w:val="18"/>
          <w:lang w:val="fr-FR"/>
        </w:rPr>
        <w:t>, Samuel G.</w:t>
      </w:r>
      <w:r w:rsidR="009523C8" w:rsidRPr="004E13E9">
        <w:rPr>
          <w:sz w:val="18"/>
          <w:lang w:val="fr-FR"/>
        </w:rPr>
        <w:t xml:space="preserve"> </w:t>
      </w:r>
      <w:r w:rsidR="009523C8" w:rsidRPr="004E13E9">
        <w:rPr>
          <w:sz w:val="18"/>
          <w:vertAlign w:val="superscript"/>
          <w:lang w:val="fr-FR"/>
        </w:rPr>
        <w:t xml:space="preserve">1 </w:t>
      </w:r>
      <w:r w:rsidR="009523C8" w:rsidRPr="004E13E9">
        <w:rPr>
          <w:sz w:val="18"/>
          <w:lang w:val="fr-FR"/>
        </w:rPr>
        <w:t>(</w:t>
      </w:r>
      <w:r w:rsidR="00D40F91" w:rsidRPr="004E13E9">
        <w:rPr>
          <w:sz w:val="18"/>
          <w:lang w:val="fr-FR"/>
        </w:rPr>
        <w:t>en ligne</w:t>
      </w:r>
      <w:r w:rsidR="009523C8" w:rsidRPr="004E13E9">
        <w:rPr>
          <w:sz w:val="18"/>
          <w:lang w:val="fr-FR"/>
        </w:rPr>
        <w:t>)</w:t>
      </w:r>
    </w:p>
    <w:p w14:paraId="7ABD7391" w14:textId="67A72D06" w:rsidR="00D41BB9" w:rsidRPr="004E13E9" w:rsidRDefault="00E95051">
      <w:pPr>
        <w:jc w:val="both"/>
      </w:pPr>
      <w:proofErr w:type="gramStart"/>
      <w:r w:rsidRPr="004E13E9">
        <w:rPr>
          <w:sz w:val="18"/>
        </w:rPr>
        <w:t>South West</w:t>
      </w:r>
      <w:proofErr w:type="gramEnd"/>
      <w:r w:rsidRPr="004E13E9">
        <w:rPr>
          <w:sz w:val="18"/>
        </w:rPr>
        <w:t xml:space="preserve"> Nova Tuna Association, Bridgewater, NS</w:t>
      </w:r>
      <w:r w:rsidR="009523C8" w:rsidRPr="004E13E9">
        <w:rPr>
          <w:sz w:val="18"/>
        </w:rPr>
        <w:t xml:space="preserve"> </w:t>
      </w:r>
      <w:r w:rsidRPr="004E13E9">
        <w:rPr>
          <w:sz w:val="18"/>
        </w:rPr>
        <w:t>B4V 2M5</w:t>
      </w:r>
    </w:p>
    <w:p w14:paraId="51077331" w14:textId="77777777" w:rsidR="00D41BB9" w:rsidRPr="004E13E9" w:rsidRDefault="00D41BB9"/>
    <w:p w14:paraId="25DAFFD6" w14:textId="0603B492" w:rsidR="00D41BB9" w:rsidRPr="004E13E9" w:rsidRDefault="00E95051">
      <w:r w:rsidRPr="004E13E9">
        <w:rPr>
          <w:b/>
          <w:sz w:val="18"/>
        </w:rPr>
        <w:t>MacMillan</w:t>
      </w:r>
      <w:r w:rsidRPr="004E13E9">
        <w:rPr>
          <w:sz w:val="18"/>
        </w:rPr>
        <w:t>, Robert</w:t>
      </w:r>
      <w:r w:rsidR="009523C8" w:rsidRPr="004E13E9">
        <w:rPr>
          <w:sz w:val="18"/>
        </w:rPr>
        <w:t xml:space="preserve"> (</w:t>
      </w:r>
      <w:proofErr w:type="spellStart"/>
      <w:r w:rsidR="00D40F91" w:rsidRPr="004E13E9">
        <w:rPr>
          <w:sz w:val="18"/>
        </w:rPr>
        <w:t>en</w:t>
      </w:r>
      <w:proofErr w:type="spellEnd"/>
      <w:r w:rsidR="00D40F91" w:rsidRPr="004E13E9">
        <w:rPr>
          <w:sz w:val="18"/>
        </w:rPr>
        <w:t xml:space="preserve"> </w:t>
      </w:r>
      <w:proofErr w:type="spellStart"/>
      <w:r w:rsidR="00D40F91" w:rsidRPr="004E13E9">
        <w:rPr>
          <w:sz w:val="18"/>
        </w:rPr>
        <w:t>ligne</w:t>
      </w:r>
      <w:proofErr w:type="spellEnd"/>
      <w:r w:rsidR="009523C8" w:rsidRPr="004E13E9">
        <w:rPr>
          <w:sz w:val="18"/>
        </w:rPr>
        <w:t>)</w:t>
      </w:r>
    </w:p>
    <w:p w14:paraId="5D9570D5" w14:textId="60CA4424" w:rsidR="00D41BB9" w:rsidRPr="004E13E9" w:rsidRDefault="00E95051">
      <w:pPr>
        <w:jc w:val="both"/>
      </w:pPr>
      <w:r w:rsidRPr="004E13E9">
        <w:rPr>
          <w:sz w:val="18"/>
        </w:rPr>
        <w:t>Government of Prince Edward Island, Department of Fisheries and Communities, 548 Main Street, Montague, P.E.I</w:t>
      </w:r>
      <w:r w:rsidR="009523C8" w:rsidRPr="004E13E9">
        <w:rPr>
          <w:sz w:val="18"/>
        </w:rPr>
        <w:t xml:space="preserve"> </w:t>
      </w:r>
      <w:r w:rsidRPr="004E13E9">
        <w:rPr>
          <w:sz w:val="18"/>
        </w:rPr>
        <w:t xml:space="preserve">C0A </w:t>
      </w:r>
      <w:proofErr w:type="gramStart"/>
      <w:r w:rsidRPr="004E13E9">
        <w:rPr>
          <w:sz w:val="18"/>
        </w:rPr>
        <w:t>1RD</w:t>
      </w:r>
      <w:proofErr w:type="gramEnd"/>
    </w:p>
    <w:p w14:paraId="49168F25" w14:textId="77777777" w:rsidR="00D41BB9" w:rsidRPr="004E13E9" w:rsidRDefault="00E95051">
      <w:pPr>
        <w:jc w:val="both"/>
        <w:rPr>
          <w:lang w:val="pt-PT"/>
        </w:rPr>
      </w:pPr>
      <w:r w:rsidRPr="004E13E9">
        <w:rPr>
          <w:sz w:val="18"/>
          <w:lang w:val="pt-PT"/>
        </w:rPr>
        <w:t>Tel: +1 902 314 0809, E-Mail: rjmacmillan@gov.pe.ca</w:t>
      </w:r>
    </w:p>
    <w:p w14:paraId="017E4A46" w14:textId="77777777" w:rsidR="00D41BB9" w:rsidRPr="004E13E9" w:rsidRDefault="00D41BB9">
      <w:pPr>
        <w:rPr>
          <w:lang w:val="pt-PT"/>
        </w:rPr>
      </w:pPr>
    </w:p>
    <w:p w14:paraId="64F40C03" w14:textId="590A5669" w:rsidR="00D41BB9" w:rsidRPr="00C712A4" w:rsidRDefault="00E95051">
      <w:pPr>
        <w:rPr>
          <w:lang w:val="fr-FR"/>
        </w:rPr>
      </w:pPr>
      <w:r w:rsidRPr="00C712A4">
        <w:rPr>
          <w:b/>
          <w:sz w:val="18"/>
          <w:lang w:val="fr-FR"/>
        </w:rPr>
        <w:t>Sheppard</w:t>
      </w:r>
      <w:r w:rsidRPr="00C712A4">
        <w:rPr>
          <w:sz w:val="18"/>
          <w:lang w:val="fr-FR"/>
        </w:rPr>
        <w:t>, Taylor</w:t>
      </w:r>
      <w:r w:rsidR="009523C8" w:rsidRPr="00C712A4">
        <w:rPr>
          <w:sz w:val="18"/>
          <w:lang w:val="fr-FR"/>
        </w:rPr>
        <w:t xml:space="preserve"> (</w:t>
      </w:r>
      <w:r w:rsidR="00D40F91" w:rsidRPr="00C712A4">
        <w:rPr>
          <w:sz w:val="18"/>
          <w:lang w:val="fr-FR"/>
        </w:rPr>
        <w:t>en ligne</w:t>
      </w:r>
      <w:r w:rsidR="009523C8" w:rsidRPr="00C712A4">
        <w:rPr>
          <w:sz w:val="18"/>
          <w:lang w:val="fr-FR"/>
        </w:rPr>
        <w:t>)</w:t>
      </w:r>
    </w:p>
    <w:p w14:paraId="017DABDB" w14:textId="3A1858B8" w:rsidR="00D41BB9" w:rsidRPr="004E13E9" w:rsidRDefault="00E95051">
      <w:pPr>
        <w:jc w:val="both"/>
      </w:pPr>
      <w:r w:rsidRPr="004E13E9">
        <w:rPr>
          <w:sz w:val="18"/>
        </w:rPr>
        <w:t>30 Strawberry March Rd, St. John's, NL</w:t>
      </w:r>
      <w:r w:rsidR="009523C8" w:rsidRPr="004E13E9">
        <w:rPr>
          <w:sz w:val="18"/>
        </w:rPr>
        <w:t xml:space="preserve"> </w:t>
      </w:r>
      <w:r w:rsidRPr="004E13E9">
        <w:rPr>
          <w:sz w:val="18"/>
        </w:rPr>
        <w:t>A1B4J6</w:t>
      </w:r>
    </w:p>
    <w:p w14:paraId="4D36AA8D" w14:textId="77777777" w:rsidR="00D41BB9" w:rsidRPr="004E13E9" w:rsidRDefault="00E95051">
      <w:pPr>
        <w:jc w:val="both"/>
        <w:rPr>
          <w:lang w:val="pt-PT"/>
        </w:rPr>
      </w:pPr>
      <w:r w:rsidRPr="004E13E9">
        <w:rPr>
          <w:sz w:val="18"/>
          <w:lang w:val="pt-PT"/>
        </w:rPr>
        <w:t>Tel: +1 709 765 1715, E-Mail: taylorsheppard@gov.nl.ca</w:t>
      </w:r>
    </w:p>
    <w:p w14:paraId="35513EFC" w14:textId="77777777" w:rsidR="00AA6FD5" w:rsidRPr="004E13E9" w:rsidRDefault="00AA6FD5">
      <w:pPr>
        <w:rPr>
          <w:b/>
          <w:lang w:val="pt-PT"/>
        </w:rPr>
      </w:pPr>
      <w:r w:rsidRPr="004E13E9">
        <w:rPr>
          <w:b/>
          <w:lang w:val="pt-PT"/>
        </w:rPr>
        <w:br w:type="page"/>
      </w:r>
    </w:p>
    <w:p w14:paraId="3982DB3C" w14:textId="77777777" w:rsidR="00AA6FD5" w:rsidRPr="004E13E9" w:rsidRDefault="00AA6FD5" w:rsidP="00AA6FD5">
      <w:pPr>
        <w:rPr>
          <w:lang w:val="fr-FR" w:eastAsia="en-GB"/>
        </w:rPr>
      </w:pPr>
      <w:r w:rsidRPr="004E13E9">
        <w:rPr>
          <w:b/>
          <w:lang w:val="fr-FR" w:eastAsia="en-GB"/>
        </w:rPr>
        <w:lastRenderedPageBreak/>
        <w:t>CHINE, (R.P.)</w:t>
      </w:r>
    </w:p>
    <w:p w14:paraId="487785A1" w14:textId="67179EAD" w:rsidR="00D41BB9" w:rsidRPr="004E13E9" w:rsidRDefault="00E95051">
      <w:pPr>
        <w:rPr>
          <w:lang w:val="fr-FR"/>
        </w:rPr>
      </w:pPr>
      <w:r w:rsidRPr="004E13E9">
        <w:rPr>
          <w:b/>
          <w:sz w:val="18"/>
          <w:lang w:val="fr-FR"/>
        </w:rPr>
        <w:t>Fang</w:t>
      </w:r>
      <w:r w:rsidRPr="004E13E9">
        <w:rPr>
          <w:sz w:val="18"/>
          <w:lang w:val="fr-FR"/>
        </w:rPr>
        <w:t xml:space="preserve">, </w:t>
      </w:r>
      <w:proofErr w:type="spellStart"/>
      <w:r w:rsidRPr="004E13E9">
        <w:rPr>
          <w:sz w:val="18"/>
          <w:lang w:val="fr-FR"/>
        </w:rPr>
        <w:t>Lianyong</w:t>
      </w:r>
      <w:proofErr w:type="spellEnd"/>
      <w:r w:rsidR="009523C8" w:rsidRPr="004E13E9">
        <w:rPr>
          <w:sz w:val="18"/>
          <w:lang w:val="fr-FR"/>
        </w:rPr>
        <w:t xml:space="preserve"> (</w:t>
      </w:r>
      <w:r w:rsidR="00D40F91" w:rsidRPr="004E13E9">
        <w:rPr>
          <w:sz w:val="18"/>
          <w:lang w:val="fr-FR"/>
        </w:rPr>
        <w:t>en ligne</w:t>
      </w:r>
      <w:r w:rsidR="009523C8" w:rsidRPr="004E13E9">
        <w:rPr>
          <w:sz w:val="18"/>
          <w:lang w:val="fr-FR"/>
        </w:rPr>
        <w:t>)</w:t>
      </w:r>
    </w:p>
    <w:p w14:paraId="2C4E536C" w14:textId="64102EAF" w:rsidR="00D41BB9" w:rsidRPr="004E13E9" w:rsidRDefault="00E95051">
      <w:pPr>
        <w:jc w:val="both"/>
      </w:pPr>
      <w:r w:rsidRPr="004E13E9">
        <w:rPr>
          <w:sz w:val="18"/>
        </w:rPr>
        <w:t xml:space="preserve">Director assistant, China Overseas Fisheries Association, Room 1216, </w:t>
      </w:r>
      <w:proofErr w:type="spellStart"/>
      <w:r w:rsidRPr="004E13E9">
        <w:rPr>
          <w:sz w:val="18"/>
        </w:rPr>
        <w:t>Jingchao</w:t>
      </w:r>
      <w:proofErr w:type="spellEnd"/>
      <w:r w:rsidRPr="004E13E9">
        <w:rPr>
          <w:sz w:val="18"/>
        </w:rPr>
        <w:t xml:space="preserve"> </w:t>
      </w:r>
      <w:proofErr w:type="spellStart"/>
      <w:r w:rsidRPr="004E13E9">
        <w:rPr>
          <w:sz w:val="18"/>
        </w:rPr>
        <w:t>Massion</w:t>
      </w:r>
      <w:proofErr w:type="spellEnd"/>
      <w:r w:rsidRPr="004E13E9">
        <w:rPr>
          <w:sz w:val="18"/>
        </w:rPr>
        <w:t xml:space="preserve">, </w:t>
      </w:r>
      <w:proofErr w:type="spellStart"/>
      <w:r w:rsidRPr="004E13E9">
        <w:rPr>
          <w:sz w:val="18"/>
        </w:rPr>
        <w:t>Nongzhanguannan</w:t>
      </w:r>
      <w:proofErr w:type="spellEnd"/>
      <w:r w:rsidRPr="004E13E9">
        <w:rPr>
          <w:sz w:val="18"/>
        </w:rPr>
        <w:t xml:space="preserve"> Road, </w:t>
      </w:r>
      <w:proofErr w:type="spellStart"/>
      <w:r w:rsidRPr="004E13E9">
        <w:rPr>
          <w:sz w:val="18"/>
        </w:rPr>
        <w:t>Cahoyang</w:t>
      </w:r>
      <w:proofErr w:type="spellEnd"/>
      <w:r w:rsidRPr="004E13E9">
        <w:rPr>
          <w:sz w:val="18"/>
        </w:rPr>
        <w:t xml:space="preserve"> District, 100126 Beijing</w:t>
      </w:r>
    </w:p>
    <w:p w14:paraId="53E31938" w14:textId="77777777" w:rsidR="00D41BB9" w:rsidRPr="004E13E9" w:rsidRDefault="00E95051">
      <w:pPr>
        <w:jc w:val="both"/>
        <w:rPr>
          <w:lang w:val="fr-FR"/>
        </w:rPr>
      </w:pPr>
      <w:r w:rsidRPr="004E13E9">
        <w:rPr>
          <w:sz w:val="18"/>
          <w:lang w:val="fr-FR"/>
        </w:rPr>
        <w:t>Tel: +86 10 65853488, Fax: +86 10 65850551, E-Mail: fanglianyong@cofa.net.cn</w:t>
      </w:r>
    </w:p>
    <w:p w14:paraId="4A4B6205" w14:textId="77777777" w:rsidR="00D41BB9" w:rsidRPr="004E13E9" w:rsidRDefault="00D41BB9">
      <w:pPr>
        <w:rPr>
          <w:lang w:val="fr-FR"/>
        </w:rPr>
      </w:pPr>
    </w:p>
    <w:p w14:paraId="48FC2A24" w14:textId="7D002B89" w:rsidR="00D41BB9" w:rsidRPr="004E13E9" w:rsidRDefault="00E95051">
      <w:pPr>
        <w:rPr>
          <w:lang w:val="fr-FR"/>
        </w:rPr>
      </w:pPr>
      <w:r w:rsidRPr="004E13E9">
        <w:rPr>
          <w:b/>
          <w:sz w:val="18"/>
          <w:lang w:val="fr-FR"/>
        </w:rPr>
        <w:t>Li</w:t>
      </w:r>
      <w:r w:rsidRPr="004E13E9">
        <w:rPr>
          <w:sz w:val="18"/>
          <w:lang w:val="fr-FR"/>
        </w:rPr>
        <w:t xml:space="preserve">, </w:t>
      </w:r>
      <w:proofErr w:type="spellStart"/>
      <w:r w:rsidRPr="004E13E9">
        <w:rPr>
          <w:sz w:val="18"/>
          <w:lang w:val="fr-FR"/>
        </w:rPr>
        <w:t>Mingfeng</w:t>
      </w:r>
      <w:proofErr w:type="spellEnd"/>
      <w:r w:rsidR="009523C8" w:rsidRPr="004E13E9">
        <w:rPr>
          <w:sz w:val="18"/>
          <w:lang w:val="fr-FR"/>
        </w:rPr>
        <w:t xml:space="preserve"> (</w:t>
      </w:r>
      <w:r w:rsidR="00D40F91" w:rsidRPr="004E13E9">
        <w:rPr>
          <w:sz w:val="18"/>
          <w:lang w:val="fr-FR"/>
        </w:rPr>
        <w:t>en ligne</w:t>
      </w:r>
      <w:r w:rsidR="009523C8" w:rsidRPr="004E13E9">
        <w:rPr>
          <w:sz w:val="18"/>
          <w:lang w:val="fr-FR"/>
        </w:rPr>
        <w:t>)</w:t>
      </w:r>
    </w:p>
    <w:p w14:paraId="0CE97622" w14:textId="36233179" w:rsidR="00D41BB9" w:rsidRPr="004E13E9" w:rsidRDefault="00E95051">
      <w:pPr>
        <w:jc w:val="both"/>
      </w:pPr>
      <w:r w:rsidRPr="004E13E9">
        <w:rPr>
          <w:sz w:val="18"/>
        </w:rPr>
        <w:t xml:space="preserve">Building 19, Block18, 188 West Road, South 4th Ring Road, </w:t>
      </w:r>
      <w:proofErr w:type="spellStart"/>
      <w:r w:rsidRPr="004E13E9">
        <w:rPr>
          <w:sz w:val="18"/>
        </w:rPr>
        <w:t>Fengtai</w:t>
      </w:r>
      <w:proofErr w:type="spellEnd"/>
      <w:r w:rsidRPr="004E13E9">
        <w:rPr>
          <w:sz w:val="18"/>
        </w:rPr>
        <w:t xml:space="preserve"> District, 100160 Beijing</w:t>
      </w:r>
    </w:p>
    <w:p w14:paraId="73659BAA" w14:textId="77777777" w:rsidR="00D41BB9" w:rsidRPr="004E13E9" w:rsidRDefault="00E95051">
      <w:pPr>
        <w:jc w:val="both"/>
        <w:rPr>
          <w:lang w:val="fr-FR"/>
        </w:rPr>
      </w:pPr>
      <w:r w:rsidRPr="004E13E9">
        <w:rPr>
          <w:sz w:val="18"/>
          <w:lang w:val="fr-FR"/>
        </w:rPr>
        <w:t>Tel: +86 580 368 0260; +86 580 807 0781, Fax: +86 580 368 0256, E-Mail: limingfeng@cofc.com.cn; limingfeng8805@126.com</w:t>
      </w:r>
    </w:p>
    <w:p w14:paraId="1C11B422" w14:textId="77777777" w:rsidR="00D41BB9" w:rsidRPr="004E13E9" w:rsidRDefault="00D41BB9">
      <w:pPr>
        <w:rPr>
          <w:lang w:val="fr-FR"/>
        </w:rPr>
      </w:pPr>
    </w:p>
    <w:p w14:paraId="1FE42645" w14:textId="77777777" w:rsidR="00A05C11" w:rsidRPr="004E13E9" w:rsidRDefault="00A05C11" w:rsidP="00A05C11">
      <w:pPr>
        <w:rPr>
          <w:lang w:eastAsia="en-GB"/>
        </w:rPr>
      </w:pPr>
      <w:r w:rsidRPr="004E13E9">
        <w:rPr>
          <w:b/>
          <w:lang w:val="fr-FR" w:eastAsia="en-GB"/>
        </w:rPr>
        <w:t xml:space="preserve">CORÉE (RÉP. </w:t>
      </w:r>
      <w:r w:rsidRPr="004E13E9">
        <w:rPr>
          <w:b/>
          <w:lang w:eastAsia="en-GB"/>
        </w:rPr>
        <w:t>DE)</w:t>
      </w:r>
    </w:p>
    <w:p w14:paraId="7F725F94" w14:textId="77777777" w:rsidR="002D1AFF" w:rsidRPr="004E13E9" w:rsidRDefault="002D1AFF" w:rsidP="002D1AFF">
      <w:r w:rsidRPr="004E13E9">
        <w:rPr>
          <w:b/>
          <w:sz w:val="18"/>
        </w:rPr>
        <w:t>Kim</w:t>
      </w:r>
      <w:r w:rsidRPr="004E13E9">
        <w:rPr>
          <w:sz w:val="18"/>
        </w:rPr>
        <w:t xml:space="preserve">, </w:t>
      </w:r>
      <w:proofErr w:type="spellStart"/>
      <w:r w:rsidRPr="004E13E9">
        <w:rPr>
          <w:sz w:val="18"/>
        </w:rPr>
        <w:t>RoYun</w:t>
      </w:r>
      <w:proofErr w:type="spellEnd"/>
      <w:r w:rsidRPr="004E13E9">
        <w:rPr>
          <w:sz w:val="18"/>
        </w:rPr>
        <w:t xml:space="preserve"> *</w:t>
      </w:r>
    </w:p>
    <w:p w14:paraId="61C9B4F0" w14:textId="77777777" w:rsidR="002D1AFF" w:rsidRPr="004E13E9" w:rsidRDefault="002D1AFF" w:rsidP="002D1AFF">
      <w:pPr>
        <w:jc w:val="both"/>
      </w:pPr>
      <w:r w:rsidRPr="004E13E9">
        <w:rPr>
          <w:sz w:val="18"/>
        </w:rPr>
        <w:t xml:space="preserve">Deputy Director, Ministry of Oceans and Fisheries (MOF), International Cooperation Division, Marine Policy Office, 14, </w:t>
      </w:r>
      <w:proofErr w:type="spellStart"/>
      <w:r w:rsidRPr="004E13E9">
        <w:rPr>
          <w:sz w:val="18"/>
        </w:rPr>
        <w:t>Jungang-daero</w:t>
      </w:r>
      <w:proofErr w:type="spellEnd"/>
      <w:r w:rsidRPr="004E13E9">
        <w:rPr>
          <w:sz w:val="18"/>
        </w:rPr>
        <w:t xml:space="preserve"> 361beon-gil, Dong-</w:t>
      </w:r>
      <w:proofErr w:type="spellStart"/>
      <w:r w:rsidRPr="004E13E9">
        <w:rPr>
          <w:sz w:val="18"/>
        </w:rPr>
        <w:t>gu</w:t>
      </w:r>
      <w:proofErr w:type="spellEnd"/>
      <w:r w:rsidRPr="004E13E9">
        <w:rPr>
          <w:sz w:val="18"/>
        </w:rPr>
        <w:t>, 48789 Busan</w:t>
      </w:r>
    </w:p>
    <w:p w14:paraId="122F44EA" w14:textId="77777777" w:rsidR="002D1AFF" w:rsidRPr="004E13E9" w:rsidRDefault="002D1AFF" w:rsidP="002D1AFF">
      <w:pPr>
        <w:jc w:val="both"/>
        <w:rPr>
          <w:lang w:val="fr-FR"/>
        </w:rPr>
      </w:pPr>
      <w:r w:rsidRPr="004E13E9">
        <w:rPr>
          <w:sz w:val="18"/>
          <w:lang w:val="fr-FR"/>
        </w:rPr>
        <w:t>Tel: +82 442 005 395; +82 10 2381 8065, Fax: +82 44 200 5349, E-Mail: 100ro@korea.kr</w:t>
      </w:r>
    </w:p>
    <w:p w14:paraId="3A7383CC" w14:textId="77777777" w:rsidR="002D1AFF" w:rsidRPr="004E13E9" w:rsidRDefault="002D1AFF" w:rsidP="002D1AFF">
      <w:pPr>
        <w:rPr>
          <w:lang w:val="fr-FR"/>
        </w:rPr>
      </w:pPr>
    </w:p>
    <w:p w14:paraId="7C940B30" w14:textId="77777777" w:rsidR="002D1AFF" w:rsidRPr="004E13E9" w:rsidRDefault="002D1AFF" w:rsidP="002D1AFF">
      <w:pPr>
        <w:rPr>
          <w:lang w:val="fr-FR"/>
        </w:rPr>
      </w:pPr>
      <w:r w:rsidRPr="004E13E9">
        <w:rPr>
          <w:b/>
          <w:sz w:val="18"/>
          <w:lang w:val="fr-FR"/>
        </w:rPr>
        <w:t>Baek</w:t>
      </w:r>
      <w:r w:rsidRPr="004E13E9">
        <w:rPr>
          <w:sz w:val="18"/>
          <w:lang w:val="fr-FR"/>
        </w:rPr>
        <w:t xml:space="preserve">, </w:t>
      </w:r>
      <w:proofErr w:type="spellStart"/>
      <w:r w:rsidRPr="004E13E9">
        <w:rPr>
          <w:sz w:val="18"/>
          <w:lang w:val="fr-FR"/>
        </w:rPr>
        <w:t>Sangjin</w:t>
      </w:r>
      <w:proofErr w:type="spellEnd"/>
      <w:r w:rsidRPr="004E13E9">
        <w:rPr>
          <w:sz w:val="18"/>
          <w:lang w:val="fr-FR"/>
        </w:rPr>
        <w:t xml:space="preserve"> (en ligne)</w:t>
      </w:r>
    </w:p>
    <w:p w14:paraId="567E27B9" w14:textId="77777777" w:rsidR="002D1AFF" w:rsidRPr="00C712A4" w:rsidRDefault="002D1AFF" w:rsidP="002D1AFF">
      <w:pPr>
        <w:jc w:val="both"/>
        <w:rPr>
          <w:lang w:val="it-IT"/>
        </w:rPr>
      </w:pPr>
      <w:r w:rsidRPr="004E13E9">
        <w:rPr>
          <w:sz w:val="18"/>
        </w:rPr>
        <w:t xml:space="preserve">Assistant Manager, Korea Overseas Fisheries Association, 6th fl. </w:t>
      </w:r>
      <w:proofErr w:type="spellStart"/>
      <w:r w:rsidRPr="00C712A4">
        <w:rPr>
          <w:sz w:val="18"/>
          <w:lang w:val="it-IT"/>
        </w:rPr>
        <w:t>Samho</w:t>
      </w:r>
      <w:proofErr w:type="spellEnd"/>
      <w:r w:rsidRPr="00C712A4">
        <w:rPr>
          <w:sz w:val="18"/>
          <w:lang w:val="it-IT"/>
        </w:rPr>
        <w:t xml:space="preserve"> Center </w:t>
      </w:r>
      <w:proofErr w:type="spellStart"/>
      <w:r w:rsidRPr="00C712A4">
        <w:rPr>
          <w:sz w:val="18"/>
          <w:lang w:val="it-IT"/>
        </w:rPr>
        <w:t>Bldg</w:t>
      </w:r>
      <w:proofErr w:type="spellEnd"/>
      <w:r w:rsidRPr="00C712A4">
        <w:rPr>
          <w:sz w:val="18"/>
          <w:lang w:val="it-IT"/>
        </w:rPr>
        <w:t xml:space="preserve">. "A" 83, </w:t>
      </w:r>
      <w:proofErr w:type="spellStart"/>
      <w:r w:rsidRPr="00C712A4">
        <w:rPr>
          <w:sz w:val="18"/>
          <w:lang w:val="it-IT"/>
        </w:rPr>
        <w:t>Nonhyeon</w:t>
      </w:r>
      <w:proofErr w:type="spellEnd"/>
      <w:r w:rsidRPr="00C712A4">
        <w:rPr>
          <w:sz w:val="18"/>
          <w:lang w:val="it-IT"/>
        </w:rPr>
        <w:t xml:space="preserve">-ro, 06775 Seoul </w:t>
      </w:r>
      <w:proofErr w:type="spellStart"/>
      <w:r w:rsidRPr="00C712A4">
        <w:rPr>
          <w:sz w:val="18"/>
          <w:lang w:val="it-IT"/>
        </w:rPr>
        <w:t>Seocho-gu</w:t>
      </w:r>
      <w:proofErr w:type="spellEnd"/>
    </w:p>
    <w:p w14:paraId="40C6C4A4" w14:textId="77777777" w:rsidR="002D1AFF" w:rsidRPr="00C712A4" w:rsidRDefault="002D1AFF" w:rsidP="002D1AFF">
      <w:pPr>
        <w:jc w:val="both"/>
        <w:rPr>
          <w:lang w:val="it-IT"/>
        </w:rPr>
      </w:pPr>
      <w:r w:rsidRPr="00C712A4">
        <w:rPr>
          <w:sz w:val="18"/>
          <w:lang w:val="it-IT"/>
        </w:rPr>
        <w:t>Tel: +82 258 91614, Fax: +82 258 91610, E-Mail: sjbaek@kosfa.org</w:t>
      </w:r>
    </w:p>
    <w:p w14:paraId="247298A7" w14:textId="77777777" w:rsidR="002D1AFF" w:rsidRPr="00C712A4" w:rsidRDefault="002D1AFF" w:rsidP="002D1AFF">
      <w:pPr>
        <w:rPr>
          <w:lang w:val="it-IT"/>
        </w:rPr>
      </w:pPr>
    </w:p>
    <w:p w14:paraId="5B5706AC" w14:textId="77777777" w:rsidR="002D1AFF" w:rsidRPr="004E13E9" w:rsidRDefault="002D1AFF" w:rsidP="002D1AFF">
      <w:proofErr w:type="gramStart"/>
      <w:r w:rsidRPr="004E13E9">
        <w:rPr>
          <w:b/>
          <w:sz w:val="18"/>
        </w:rPr>
        <w:t>Kim</w:t>
      </w:r>
      <w:r w:rsidRPr="004E13E9">
        <w:rPr>
          <w:sz w:val="18"/>
        </w:rPr>
        <w:t>,</w:t>
      </w:r>
      <w:proofErr w:type="gramEnd"/>
      <w:r w:rsidRPr="004E13E9">
        <w:rPr>
          <w:sz w:val="18"/>
        </w:rPr>
        <w:t xml:space="preserve"> Soomin</w:t>
      </w:r>
    </w:p>
    <w:p w14:paraId="34A7E3AE" w14:textId="77777777" w:rsidR="002D1AFF" w:rsidRPr="004E13E9" w:rsidRDefault="002D1AFF" w:rsidP="002D1AFF">
      <w:pPr>
        <w:jc w:val="both"/>
      </w:pPr>
      <w:r w:rsidRPr="004E13E9">
        <w:rPr>
          <w:sz w:val="18"/>
        </w:rPr>
        <w:t xml:space="preserve">Policy Analyst, Korea Overseas Fisheries Cooperation Center, 6th FL, S Building, 253, </w:t>
      </w:r>
      <w:proofErr w:type="spellStart"/>
      <w:r w:rsidRPr="004E13E9">
        <w:rPr>
          <w:sz w:val="18"/>
        </w:rPr>
        <w:t>Hannuri-daero</w:t>
      </w:r>
      <w:proofErr w:type="spellEnd"/>
      <w:r w:rsidRPr="004E13E9">
        <w:rPr>
          <w:sz w:val="18"/>
        </w:rPr>
        <w:t>, 30127 Sejong</w:t>
      </w:r>
    </w:p>
    <w:p w14:paraId="27D652F8" w14:textId="77777777" w:rsidR="002D1AFF" w:rsidRPr="004E13E9" w:rsidRDefault="002D1AFF" w:rsidP="002D1AFF">
      <w:pPr>
        <w:jc w:val="both"/>
        <w:rPr>
          <w:lang w:val="fr-FR"/>
        </w:rPr>
      </w:pPr>
      <w:r w:rsidRPr="004E13E9">
        <w:rPr>
          <w:sz w:val="18"/>
          <w:lang w:val="fr-FR"/>
        </w:rPr>
        <w:t>Tel: +82 44 868 7363, Fax: +82 44 868 7840, E-Mail: soominkim@kofci.org</w:t>
      </w:r>
    </w:p>
    <w:p w14:paraId="6439B5E1" w14:textId="77777777" w:rsidR="002D1AFF" w:rsidRPr="004E13E9" w:rsidRDefault="002D1AFF" w:rsidP="002D1AFF">
      <w:pPr>
        <w:rPr>
          <w:lang w:val="fr-FR"/>
        </w:rPr>
      </w:pPr>
    </w:p>
    <w:p w14:paraId="15036503" w14:textId="77777777" w:rsidR="002D1AFF" w:rsidRPr="004E13E9" w:rsidRDefault="002D1AFF" w:rsidP="002D1AFF">
      <w:pPr>
        <w:rPr>
          <w:lang w:val="fr-FR"/>
        </w:rPr>
      </w:pPr>
      <w:r w:rsidRPr="004E13E9">
        <w:rPr>
          <w:b/>
          <w:sz w:val="18"/>
          <w:lang w:val="fr-FR"/>
        </w:rPr>
        <w:t>Kim</w:t>
      </w:r>
      <w:r w:rsidRPr="004E13E9">
        <w:rPr>
          <w:sz w:val="18"/>
          <w:lang w:val="fr-FR"/>
        </w:rPr>
        <w:t>, Jiwon (en ligne)</w:t>
      </w:r>
    </w:p>
    <w:p w14:paraId="3E46E9A0" w14:textId="77777777" w:rsidR="002D1AFF" w:rsidRPr="004E13E9" w:rsidRDefault="002D1AFF" w:rsidP="002D1AFF">
      <w:pPr>
        <w:jc w:val="both"/>
      </w:pPr>
      <w:r w:rsidRPr="004E13E9">
        <w:rPr>
          <w:sz w:val="18"/>
        </w:rPr>
        <w:t xml:space="preserve">6th fl. </w:t>
      </w:r>
      <w:proofErr w:type="spellStart"/>
      <w:r w:rsidRPr="004E13E9">
        <w:rPr>
          <w:sz w:val="18"/>
        </w:rPr>
        <w:t>Samho</w:t>
      </w:r>
      <w:proofErr w:type="spellEnd"/>
      <w:r w:rsidRPr="004E13E9">
        <w:rPr>
          <w:sz w:val="18"/>
        </w:rPr>
        <w:t xml:space="preserve"> Center </w:t>
      </w:r>
      <w:proofErr w:type="spellStart"/>
      <w:r w:rsidRPr="004E13E9">
        <w:rPr>
          <w:sz w:val="18"/>
        </w:rPr>
        <w:t>Bldg</w:t>
      </w:r>
      <w:proofErr w:type="spellEnd"/>
      <w:r w:rsidRPr="004E13E9">
        <w:rPr>
          <w:sz w:val="18"/>
        </w:rPr>
        <w:t xml:space="preserve"> "A" 83, </w:t>
      </w:r>
      <w:proofErr w:type="spellStart"/>
      <w:r w:rsidRPr="004E13E9">
        <w:rPr>
          <w:sz w:val="18"/>
        </w:rPr>
        <w:t>Nonhyeon-ro</w:t>
      </w:r>
      <w:proofErr w:type="spellEnd"/>
      <w:r w:rsidRPr="004E13E9">
        <w:rPr>
          <w:sz w:val="18"/>
        </w:rPr>
        <w:t xml:space="preserve">, </w:t>
      </w:r>
      <w:proofErr w:type="spellStart"/>
      <w:r w:rsidRPr="004E13E9">
        <w:rPr>
          <w:sz w:val="18"/>
        </w:rPr>
        <w:t>Seochog-gu</w:t>
      </w:r>
      <w:proofErr w:type="spellEnd"/>
      <w:r w:rsidRPr="004E13E9">
        <w:rPr>
          <w:sz w:val="18"/>
        </w:rPr>
        <w:t>, 06775 Seoul</w:t>
      </w:r>
    </w:p>
    <w:p w14:paraId="417D682E" w14:textId="77777777" w:rsidR="002D1AFF" w:rsidRPr="004E13E9" w:rsidRDefault="002D1AFF" w:rsidP="002D1AFF">
      <w:pPr>
        <w:jc w:val="both"/>
        <w:rPr>
          <w:lang w:val="pt-PT"/>
        </w:rPr>
      </w:pPr>
      <w:r w:rsidRPr="004E13E9">
        <w:rPr>
          <w:sz w:val="18"/>
          <w:lang w:val="pt-PT"/>
        </w:rPr>
        <w:t>Tel: +82 2 589 1615, E-Mail: jwkim@kosfa.org</w:t>
      </w:r>
    </w:p>
    <w:p w14:paraId="70F272AE" w14:textId="77777777" w:rsidR="002D1AFF" w:rsidRPr="004E13E9" w:rsidRDefault="002D1AFF">
      <w:pPr>
        <w:rPr>
          <w:lang w:val="pt-PT"/>
        </w:rPr>
      </w:pPr>
    </w:p>
    <w:p w14:paraId="73A1C2A7" w14:textId="77777777" w:rsidR="00494174" w:rsidRPr="004E13E9" w:rsidRDefault="00494174" w:rsidP="00494174">
      <w:pPr>
        <w:rPr>
          <w:b/>
          <w:sz w:val="18"/>
          <w:lang w:eastAsia="en-GB"/>
        </w:rPr>
      </w:pPr>
      <w:r w:rsidRPr="004E13E9">
        <w:rPr>
          <w:b/>
          <w:lang w:eastAsia="en-GB"/>
        </w:rPr>
        <w:t>ÉGYPTE</w:t>
      </w:r>
    </w:p>
    <w:p w14:paraId="667240F3" w14:textId="77777777" w:rsidR="00253DCB" w:rsidRPr="004E13E9" w:rsidRDefault="00253DCB" w:rsidP="00253DCB">
      <w:r w:rsidRPr="004E13E9">
        <w:rPr>
          <w:b/>
          <w:sz w:val="18"/>
        </w:rPr>
        <w:t>Hammam</w:t>
      </w:r>
      <w:r w:rsidRPr="004E13E9">
        <w:rPr>
          <w:sz w:val="18"/>
        </w:rPr>
        <w:t>, Doaa</w:t>
      </w:r>
    </w:p>
    <w:p w14:paraId="483294F0" w14:textId="77777777" w:rsidR="00253DCB" w:rsidRPr="004E13E9" w:rsidRDefault="00253DCB" w:rsidP="00253DCB">
      <w:pPr>
        <w:jc w:val="both"/>
      </w:pPr>
      <w:r w:rsidRPr="004E13E9">
        <w:rPr>
          <w:sz w:val="18"/>
        </w:rPr>
        <w:t>Lakes and Fish Resources Protection and Development Agency, 210, area B - City, 5th District Road 90, 11311 New Cairo</w:t>
      </w:r>
    </w:p>
    <w:p w14:paraId="5788977F" w14:textId="77777777" w:rsidR="00253DCB" w:rsidRPr="004E13E9" w:rsidRDefault="00253DCB" w:rsidP="00253DCB">
      <w:pPr>
        <w:jc w:val="both"/>
      </w:pPr>
      <w:r w:rsidRPr="004E13E9">
        <w:rPr>
          <w:sz w:val="18"/>
        </w:rPr>
        <w:t>Tel: +201 117 507 513, Fax: +202 281 17007, E-Mail: gafrd_eg@hotmail.com</w:t>
      </w:r>
    </w:p>
    <w:p w14:paraId="20AC6E26" w14:textId="77777777" w:rsidR="00253DCB" w:rsidRPr="004E13E9" w:rsidRDefault="00253DCB">
      <w:pPr>
        <w:rPr>
          <w:b/>
          <w:sz w:val="18"/>
        </w:rPr>
      </w:pPr>
    </w:p>
    <w:p w14:paraId="7E3ED649" w14:textId="4BD79E5B" w:rsidR="00D41BB9" w:rsidRPr="004E13E9" w:rsidRDefault="00E95051">
      <w:r w:rsidRPr="004E13E9">
        <w:rPr>
          <w:b/>
          <w:sz w:val="18"/>
        </w:rPr>
        <w:t>Abdelaziz</w:t>
      </w:r>
      <w:r w:rsidRPr="004E13E9">
        <w:rPr>
          <w:sz w:val="18"/>
        </w:rPr>
        <w:t>, Mai Atia Mostafa</w:t>
      </w:r>
      <w:r w:rsidR="009523C8" w:rsidRPr="004E13E9">
        <w:rPr>
          <w:sz w:val="18"/>
        </w:rPr>
        <w:t xml:space="preserve"> (</w:t>
      </w:r>
      <w:proofErr w:type="spellStart"/>
      <w:r w:rsidR="00D40F91" w:rsidRPr="004E13E9">
        <w:rPr>
          <w:sz w:val="18"/>
        </w:rPr>
        <w:t>en</w:t>
      </w:r>
      <w:proofErr w:type="spellEnd"/>
      <w:r w:rsidR="00D40F91" w:rsidRPr="004E13E9">
        <w:rPr>
          <w:sz w:val="18"/>
        </w:rPr>
        <w:t xml:space="preserve"> </w:t>
      </w:r>
      <w:proofErr w:type="spellStart"/>
      <w:r w:rsidR="00D40F91" w:rsidRPr="004E13E9">
        <w:rPr>
          <w:sz w:val="18"/>
        </w:rPr>
        <w:t>ligne</w:t>
      </w:r>
      <w:proofErr w:type="spellEnd"/>
      <w:r w:rsidR="009523C8" w:rsidRPr="004E13E9">
        <w:rPr>
          <w:sz w:val="18"/>
        </w:rPr>
        <w:t>)</w:t>
      </w:r>
    </w:p>
    <w:p w14:paraId="4BAFA9ED" w14:textId="77777777" w:rsidR="00D41BB9" w:rsidRPr="004E13E9" w:rsidRDefault="00E95051">
      <w:pPr>
        <w:jc w:val="both"/>
      </w:pPr>
      <w:r w:rsidRPr="004E13E9">
        <w:rPr>
          <w:sz w:val="18"/>
        </w:rPr>
        <w:t>Production Research Specialist, Manager of Bilateral Agreements Department, 210, area B - City, 5th District Road 90, 11311 New Cairo</w:t>
      </w:r>
    </w:p>
    <w:p w14:paraId="2D16C93B" w14:textId="77777777" w:rsidR="00D41BB9" w:rsidRPr="004E13E9" w:rsidRDefault="00E95051">
      <w:pPr>
        <w:jc w:val="both"/>
        <w:rPr>
          <w:lang w:val="fr-FR"/>
        </w:rPr>
      </w:pPr>
      <w:r w:rsidRPr="004E13E9">
        <w:rPr>
          <w:sz w:val="18"/>
          <w:lang w:val="fr-FR"/>
        </w:rPr>
        <w:t>Tel: +201 003 878 312, Fax: +202 281 117 007, E-Mail: janahesham08@gmail.com</w:t>
      </w:r>
    </w:p>
    <w:p w14:paraId="5E32B7FF" w14:textId="77777777" w:rsidR="00D41BB9" w:rsidRPr="004E13E9" w:rsidRDefault="00D41BB9">
      <w:pPr>
        <w:rPr>
          <w:lang w:val="fr-FR"/>
        </w:rPr>
      </w:pPr>
    </w:p>
    <w:p w14:paraId="5AC98A20" w14:textId="02242C57" w:rsidR="00D41BB9" w:rsidRPr="004E13E9" w:rsidRDefault="00E95051">
      <w:pPr>
        <w:rPr>
          <w:lang w:val="fr-FR"/>
        </w:rPr>
      </w:pPr>
      <w:r w:rsidRPr="004E13E9">
        <w:rPr>
          <w:b/>
          <w:sz w:val="18"/>
          <w:lang w:val="fr-FR"/>
        </w:rPr>
        <w:t>Badr</w:t>
      </w:r>
      <w:r w:rsidRPr="004E13E9">
        <w:rPr>
          <w:sz w:val="18"/>
          <w:lang w:val="fr-FR"/>
        </w:rPr>
        <w:t>, Fatma Elzahraa</w:t>
      </w:r>
      <w:r w:rsidR="009523C8" w:rsidRPr="004E13E9">
        <w:rPr>
          <w:sz w:val="18"/>
          <w:lang w:val="fr-FR"/>
        </w:rPr>
        <w:t xml:space="preserve"> (</w:t>
      </w:r>
      <w:r w:rsidR="00D40F91" w:rsidRPr="004E13E9">
        <w:rPr>
          <w:sz w:val="18"/>
          <w:lang w:val="fr-FR"/>
        </w:rPr>
        <w:t>en ligne</w:t>
      </w:r>
      <w:r w:rsidR="009523C8" w:rsidRPr="004E13E9">
        <w:rPr>
          <w:sz w:val="18"/>
          <w:lang w:val="fr-FR"/>
        </w:rPr>
        <w:t>)</w:t>
      </w:r>
    </w:p>
    <w:p w14:paraId="00C4DB53" w14:textId="77777777" w:rsidR="00D41BB9" w:rsidRPr="004E13E9" w:rsidRDefault="00E95051">
      <w:pPr>
        <w:jc w:val="both"/>
      </w:pPr>
      <w:r w:rsidRPr="004E13E9">
        <w:rPr>
          <w:sz w:val="18"/>
        </w:rPr>
        <w:t>Fish Production Specialist, Agreements Administration, Lakes and Fish Resources Protection and Development Agency, 210, area B - City, 5th District Road 90, 11311 New Cairo</w:t>
      </w:r>
    </w:p>
    <w:p w14:paraId="1B1EAFA2" w14:textId="77777777" w:rsidR="00D41BB9" w:rsidRPr="004E13E9" w:rsidRDefault="00E95051">
      <w:pPr>
        <w:jc w:val="both"/>
        <w:rPr>
          <w:lang w:val="es-ES"/>
        </w:rPr>
      </w:pPr>
      <w:r w:rsidRPr="004E13E9">
        <w:rPr>
          <w:sz w:val="18"/>
          <w:lang w:val="es-ES"/>
        </w:rPr>
        <w:t>Tel: +201 092 348 338, Fax: +202 228 117 008, E-Mail: fatima.elzahraa.medo@gmail.com</w:t>
      </w:r>
    </w:p>
    <w:p w14:paraId="0344A157" w14:textId="77777777" w:rsidR="00D41BB9" w:rsidRPr="004E13E9" w:rsidRDefault="00D41BB9">
      <w:pPr>
        <w:rPr>
          <w:lang w:val="es-ES"/>
        </w:rPr>
      </w:pPr>
    </w:p>
    <w:p w14:paraId="7EA80232" w14:textId="77777777" w:rsidR="00D41BB9" w:rsidRPr="004E13E9" w:rsidRDefault="00E95051">
      <w:pPr>
        <w:rPr>
          <w:lang w:val="es-ES"/>
        </w:rPr>
      </w:pPr>
      <w:r w:rsidRPr="004E13E9">
        <w:rPr>
          <w:b/>
          <w:sz w:val="18"/>
          <w:lang w:val="es-ES"/>
        </w:rPr>
        <w:t>Montaser</w:t>
      </w:r>
      <w:r w:rsidRPr="004E13E9">
        <w:rPr>
          <w:sz w:val="18"/>
          <w:lang w:val="es-ES"/>
        </w:rPr>
        <w:t>, Aly</w:t>
      </w:r>
    </w:p>
    <w:p w14:paraId="0E694362" w14:textId="5DD5C730" w:rsidR="00D41BB9" w:rsidRPr="004E13E9" w:rsidRDefault="00E95051">
      <w:pPr>
        <w:jc w:val="both"/>
        <w:rPr>
          <w:lang w:val="es-ES"/>
        </w:rPr>
      </w:pPr>
      <w:r w:rsidRPr="004E13E9">
        <w:rPr>
          <w:sz w:val="18"/>
          <w:lang w:val="es-ES"/>
        </w:rPr>
        <w:t>Embajada de Egipto, Calle Velázquez, 69, 28006 Madrid</w:t>
      </w:r>
      <w:r w:rsidR="009523C8" w:rsidRPr="004E13E9">
        <w:rPr>
          <w:sz w:val="18"/>
          <w:lang w:val="es-ES"/>
        </w:rPr>
        <w:t>, España</w:t>
      </w:r>
    </w:p>
    <w:p w14:paraId="774ACCF5" w14:textId="77777777" w:rsidR="00D41BB9" w:rsidRPr="004E13E9" w:rsidRDefault="00E95051">
      <w:pPr>
        <w:jc w:val="both"/>
        <w:rPr>
          <w:lang w:val="pt-PT"/>
        </w:rPr>
      </w:pPr>
      <w:r w:rsidRPr="004E13E9">
        <w:rPr>
          <w:sz w:val="18"/>
          <w:lang w:val="pt-PT"/>
        </w:rPr>
        <w:t>Tel: +34 689 566 858, E-Mail: ali.montaser2011@gmail.com</w:t>
      </w:r>
    </w:p>
    <w:p w14:paraId="0BA5C25A" w14:textId="77777777" w:rsidR="00D41BB9" w:rsidRPr="004E13E9" w:rsidRDefault="00D41BB9">
      <w:pPr>
        <w:rPr>
          <w:lang w:val="pt-PT"/>
        </w:rPr>
      </w:pPr>
    </w:p>
    <w:p w14:paraId="711DA72C" w14:textId="7C34CDFB" w:rsidR="00D41BB9" w:rsidRPr="004E13E9" w:rsidRDefault="00E95051">
      <w:pPr>
        <w:rPr>
          <w:lang w:val="pt-PT"/>
        </w:rPr>
      </w:pPr>
      <w:r w:rsidRPr="004E13E9">
        <w:rPr>
          <w:b/>
          <w:sz w:val="18"/>
          <w:lang w:val="pt-PT"/>
        </w:rPr>
        <w:t>Nasr</w:t>
      </w:r>
      <w:r w:rsidRPr="004E13E9">
        <w:rPr>
          <w:sz w:val="18"/>
          <w:lang w:val="pt-PT"/>
        </w:rPr>
        <w:t>, Marwa Abdelfatah</w:t>
      </w:r>
      <w:r w:rsidR="009523C8" w:rsidRPr="004E13E9">
        <w:rPr>
          <w:sz w:val="18"/>
          <w:lang w:val="pt-PT"/>
        </w:rPr>
        <w:t xml:space="preserve"> (</w:t>
      </w:r>
      <w:r w:rsidR="00D40F91" w:rsidRPr="004E13E9">
        <w:rPr>
          <w:sz w:val="18"/>
          <w:lang w:val="pt-PT"/>
        </w:rPr>
        <w:t>en ligne</w:t>
      </w:r>
      <w:r w:rsidR="009523C8" w:rsidRPr="004E13E9">
        <w:rPr>
          <w:sz w:val="18"/>
          <w:lang w:val="pt-PT"/>
        </w:rPr>
        <w:t>)</w:t>
      </w:r>
    </w:p>
    <w:p w14:paraId="19A330D5" w14:textId="77777777" w:rsidR="00D41BB9" w:rsidRPr="004E13E9" w:rsidRDefault="00E95051">
      <w:pPr>
        <w:jc w:val="both"/>
      </w:pPr>
      <w:r w:rsidRPr="004E13E9">
        <w:rPr>
          <w:sz w:val="18"/>
        </w:rPr>
        <w:t xml:space="preserve">Lakes &amp; Fish Resources Protection &amp; Development Agency Plot No, 210 Second Sector, City Center, Northern 90 </w:t>
      </w:r>
      <w:proofErr w:type="spellStart"/>
      <w:r w:rsidRPr="004E13E9">
        <w:rPr>
          <w:sz w:val="18"/>
        </w:rPr>
        <w:t>th</w:t>
      </w:r>
      <w:proofErr w:type="spellEnd"/>
      <w:r w:rsidRPr="004E13E9">
        <w:rPr>
          <w:sz w:val="18"/>
        </w:rPr>
        <w:t xml:space="preserve"> St., Fifth Settlement, New Cairo</w:t>
      </w:r>
    </w:p>
    <w:p w14:paraId="249519F2" w14:textId="77777777" w:rsidR="00D41BB9" w:rsidRPr="004E13E9" w:rsidRDefault="00E95051">
      <w:pPr>
        <w:jc w:val="both"/>
        <w:rPr>
          <w:lang w:val="pt-PT"/>
        </w:rPr>
      </w:pPr>
      <w:r w:rsidRPr="004E13E9">
        <w:rPr>
          <w:sz w:val="18"/>
          <w:lang w:val="pt-PT"/>
        </w:rPr>
        <w:t>Tel: +20 111 500 1400, E-Mail: marwanasr899@gmail.com</w:t>
      </w:r>
    </w:p>
    <w:p w14:paraId="07112618" w14:textId="77777777" w:rsidR="00D41BB9" w:rsidRPr="004E13E9" w:rsidRDefault="00D41BB9">
      <w:pPr>
        <w:rPr>
          <w:lang w:val="pt-PT"/>
        </w:rPr>
      </w:pPr>
    </w:p>
    <w:p w14:paraId="37EF1DA4" w14:textId="77777777" w:rsidR="00D41BB9" w:rsidRPr="004E13E9" w:rsidRDefault="00E95051">
      <w:proofErr w:type="spellStart"/>
      <w:r w:rsidRPr="004E13E9">
        <w:rPr>
          <w:b/>
          <w:sz w:val="18"/>
        </w:rPr>
        <w:t>Yussri</w:t>
      </w:r>
      <w:proofErr w:type="spellEnd"/>
      <w:r w:rsidRPr="004E13E9">
        <w:rPr>
          <w:b/>
          <w:sz w:val="18"/>
        </w:rPr>
        <w:t xml:space="preserve"> Mohamed</w:t>
      </w:r>
      <w:r w:rsidRPr="004E13E9">
        <w:rPr>
          <w:sz w:val="18"/>
        </w:rPr>
        <w:t>, Bassam</w:t>
      </w:r>
    </w:p>
    <w:p w14:paraId="6B50FBE2" w14:textId="77777777" w:rsidR="00D41BB9" w:rsidRPr="004E13E9" w:rsidRDefault="00E95051">
      <w:pPr>
        <w:jc w:val="both"/>
      </w:pPr>
      <w:r w:rsidRPr="004E13E9">
        <w:rPr>
          <w:sz w:val="18"/>
        </w:rPr>
        <w:t>Head of Planning and Follow-Up Branch, National Company for Fisheries and Aquaculture, 6 A, Al-Khalifa Al-Ma'mun Street, Heliopolis, Cairo</w:t>
      </w:r>
    </w:p>
    <w:p w14:paraId="1CDC0F1B" w14:textId="77777777" w:rsidR="00D41BB9" w:rsidRPr="004E13E9" w:rsidRDefault="00E95051">
      <w:pPr>
        <w:jc w:val="both"/>
        <w:rPr>
          <w:lang w:val="pt-PT"/>
        </w:rPr>
      </w:pPr>
      <w:r w:rsidRPr="004E13E9">
        <w:rPr>
          <w:sz w:val="18"/>
          <w:lang w:val="pt-PT"/>
        </w:rPr>
        <w:t>Tel: +20 122 484 2868, E-Mail: bassam.f22.1982@gmail.com</w:t>
      </w:r>
    </w:p>
    <w:p w14:paraId="413C37FB" w14:textId="77777777" w:rsidR="00D41BB9" w:rsidRPr="004E13E9" w:rsidRDefault="00D41BB9">
      <w:pPr>
        <w:rPr>
          <w:lang w:val="pt-PT"/>
        </w:rPr>
      </w:pPr>
    </w:p>
    <w:p w14:paraId="04CF75D1" w14:textId="5B3B3134" w:rsidR="00706B75" w:rsidRPr="004E13E9" w:rsidRDefault="00706B75" w:rsidP="00706B75">
      <w:r w:rsidRPr="004E13E9">
        <w:rPr>
          <w:b/>
        </w:rPr>
        <w:t>ÉTATS-UNIS</w:t>
      </w:r>
    </w:p>
    <w:p w14:paraId="25E77984" w14:textId="77777777" w:rsidR="00706B75" w:rsidRPr="004E13E9" w:rsidRDefault="00706B75" w:rsidP="00706B75">
      <w:r w:rsidRPr="004E13E9">
        <w:rPr>
          <w:b/>
          <w:sz w:val="18"/>
        </w:rPr>
        <w:t>Lawler</w:t>
      </w:r>
      <w:r w:rsidRPr="004E13E9">
        <w:rPr>
          <w:sz w:val="18"/>
        </w:rPr>
        <w:t>, Andrew *</w:t>
      </w:r>
    </w:p>
    <w:p w14:paraId="3C2D8556" w14:textId="77777777" w:rsidR="00706B75" w:rsidRPr="004E13E9" w:rsidRDefault="00706B75" w:rsidP="00706B75">
      <w:pPr>
        <w:jc w:val="both"/>
      </w:pPr>
      <w:r w:rsidRPr="004E13E9">
        <w:rPr>
          <w:sz w:val="18"/>
        </w:rPr>
        <w:t>Principal Deputy Assistant Secretary for International Fisheries, National Oceanic and Atmospheric Administration - NOAA, U.S. Department of Commerce, 1401 Constitution Ave, NW., Washington DC 20230</w:t>
      </w:r>
    </w:p>
    <w:p w14:paraId="33A9DCAF" w14:textId="27879B83" w:rsidR="00803307" w:rsidRPr="004E13E9" w:rsidRDefault="00706B75" w:rsidP="00803307">
      <w:pPr>
        <w:jc w:val="both"/>
        <w:rPr>
          <w:b/>
          <w:sz w:val="18"/>
          <w:lang w:val="pt-PT"/>
        </w:rPr>
      </w:pPr>
      <w:r w:rsidRPr="004E13E9">
        <w:rPr>
          <w:sz w:val="18"/>
          <w:lang w:val="pt-PT"/>
        </w:rPr>
        <w:t>Tel: +1 202 569 2010, E-Mail: andrew.lawler@noaa.gov</w:t>
      </w:r>
      <w:r w:rsidR="00803307" w:rsidRPr="004E13E9">
        <w:rPr>
          <w:b/>
          <w:sz w:val="18"/>
          <w:lang w:val="pt-PT"/>
        </w:rPr>
        <w:br w:type="page"/>
      </w:r>
    </w:p>
    <w:p w14:paraId="6DBBC651" w14:textId="5CDD5F9C" w:rsidR="00706B75" w:rsidRPr="00C712A4" w:rsidRDefault="00706B75" w:rsidP="00706B75">
      <w:pPr>
        <w:rPr>
          <w:lang w:val="fr-FR"/>
        </w:rPr>
      </w:pPr>
      <w:r w:rsidRPr="00C712A4">
        <w:rPr>
          <w:b/>
          <w:sz w:val="18"/>
          <w:lang w:val="fr-FR"/>
        </w:rPr>
        <w:lastRenderedPageBreak/>
        <w:t>Baker</w:t>
      </w:r>
      <w:r w:rsidRPr="00C712A4">
        <w:rPr>
          <w:sz w:val="18"/>
          <w:lang w:val="fr-FR"/>
        </w:rPr>
        <w:t>, Colleen (en ligne)</w:t>
      </w:r>
    </w:p>
    <w:p w14:paraId="57B41274" w14:textId="77777777" w:rsidR="00706B75" w:rsidRPr="004E13E9" w:rsidRDefault="00706B75" w:rsidP="00706B75">
      <w:pPr>
        <w:jc w:val="both"/>
      </w:pPr>
      <w:r w:rsidRPr="004E13E9">
        <w:rPr>
          <w:sz w:val="18"/>
        </w:rPr>
        <w:t>Foreign Affairs Officer, Office of Marine Conservation (OES/OMC), Bureau of Oceans and International Environmental and Scientific Affairs, U.S. Department of State, Washington DC 20520</w:t>
      </w:r>
    </w:p>
    <w:p w14:paraId="3234BDE3" w14:textId="77777777" w:rsidR="00706B75" w:rsidRPr="004E13E9" w:rsidRDefault="00706B75" w:rsidP="00706B75">
      <w:pPr>
        <w:jc w:val="both"/>
        <w:rPr>
          <w:lang w:val="pt-PT"/>
        </w:rPr>
      </w:pPr>
      <w:r w:rsidRPr="004E13E9">
        <w:rPr>
          <w:sz w:val="18"/>
          <w:lang w:val="pt-PT"/>
        </w:rPr>
        <w:t>Tel: +1 609 206 9830; +1 202 538 1070, E-Mail: bakerca2@fan.gov</w:t>
      </w:r>
    </w:p>
    <w:p w14:paraId="2C658DD3" w14:textId="77777777" w:rsidR="00706B75" w:rsidRPr="004E13E9" w:rsidRDefault="00706B75" w:rsidP="00706B75">
      <w:pPr>
        <w:rPr>
          <w:lang w:val="pt-PT"/>
        </w:rPr>
      </w:pPr>
    </w:p>
    <w:p w14:paraId="4EFEA1C1" w14:textId="77777777" w:rsidR="00706B75" w:rsidRPr="004E13E9" w:rsidRDefault="00706B75" w:rsidP="00706B75">
      <w:pPr>
        <w:rPr>
          <w:lang w:val="fr-FR"/>
        </w:rPr>
      </w:pPr>
      <w:r w:rsidRPr="004E13E9">
        <w:rPr>
          <w:b/>
          <w:sz w:val="18"/>
          <w:lang w:val="fr-FR"/>
        </w:rPr>
        <w:t>Bogan</w:t>
      </w:r>
      <w:r w:rsidRPr="004E13E9">
        <w:rPr>
          <w:sz w:val="18"/>
          <w:lang w:val="fr-FR"/>
        </w:rPr>
        <w:t xml:space="preserve">, Raymond D. </w:t>
      </w:r>
      <w:r w:rsidRPr="004E13E9">
        <w:rPr>
          <w:sz w:val="18"/>
          <w:vertAlign w:val="superscript"/>
          <w:lang w:val="fr-FR"/>
        </w:rPr>
        <w:t xml:space="preserve">1 </w:t>
      </w:r>
      <w:r w:rsidRPr="004E13E9">
        <w:rPr>
          <w:sz w:val="18"/>
          <w:lang w:val="fr-FR"/>
        </w:rPr>
        <w:t>(en ligne)</w:t>
      </w:r>
    </w:p>
    <w:p w14:paraId="19905B9B" w14:textId="77777777" w:rsidR="00706B75" w:rsidRPr="004E13E9" w:rsidRDefault="00706B75" w:rsidP="00706B75">
      <w:pPr>
        <w:jc w:val="both"/>
      </w:pPr>
      <w:r w:rsidRPr="004E13E9">
        <w:rPr>
          <w:sz w:val="18"/>
        </w:rPr>
        <w:t xml:space="preserve">Partner, Sinn, Fitzsimmons, </w:t>
      </w:r>
      <w:proofErr w:type="spellStart"/>
      <w:r w:rsidRPr="004E13E9">
        <w:rPr>
          <w:sz w:val="18"/>
        </w:rPr>
        <w:t>Cantoli</w:t>
      </w:r>
      <w:proofErr w:type="spellEnd"/>
      <w:r w:rsidRPr="004E13E9">
        <w:rPr>
          <w:sz w:val="18"/>
        </w:rPr>
        <w:t>, Bogan &amp; West, Sea Girt New Jersey 08750</w:t>
      </w:r>
    </w:p>
    <w:p w14:paraId="521711C3" w14:textId="77777777" w:rsidR="00706B75" w:rsidRPr="004E13E9" w:rsidRDefault="00706B75" w:rsidP="00706B75"/>
    <w:p w14:paraId="5A11587B" w14:textId="77777777" w:rsidR="00706B75" w:rsidRPr="004E13E9" w:rsidRDefault="00706B75" w:rsidP="00706B75">
      <w:r w:rsidRPr="004E13E9">
        <w:rPr>
          <w:b/>
          <w:sz w:val="18"/>
        </w:rPr>
        <w:t>Díaz</w:t>
      </w:r>
      <w:r w:rsidRPr="004E13E9">
        <w:rPr>
          <w:sz w:val="18"/>
        </w:rPr>
        <w:t>, Guillermo (</w:t>
      </w:r>
      <w:proofErr w:type="spellStart"/>
      <w:r w:rsidRPr="004E13E9">
        <w:rPr>
          <w:sz w:val="18"/>
        </w:rPr>
        <w:t>en</w:t>
      </w:r>
      <w:proofErr w:type="spellEnd"/>
      <w:r w:rsidRPr="004E13E9">
        <w:rPr>
          <w:sz w:val="18"/>
        </w:rPr>
        <w:t xml:space="preserve"> </w:t>
      </w:r>
      <w:proofErr w:type="spellStart"/>
      <w:r w:rsidRPr="004E13E9">
        <w:rPr>
          <w:sz w:val="18"/>
        </w:rPr>
        <w:t>ligne</w:t>
      </w:r>
      <w:proofErr w:type="spellEnd"/>
      <w:r w:rsidRPr="004E13E9">
        <w:rPr>
          <w:sz w:val="18"/>
        </w:rPr>
        <w:t>)</w:t>
      </w:r>
    </w:p>
    <w:p w14:paraId="667C3D13" w14:textId="77777777" w:rsidR="00706B75" w:rsidRPr="004E13E9" w:rsidRDefault="00706B75" w:rsidP="00706B75">
      <w:pPr>
        <w:jc w:val="both"/>
      </w:pPr>
      <w:r w:rsidRPr="004E13E9">
        <w:rPr>
          <w:sz w:val="18"/>
        </w:rPr>
        <w:t>NOAA-Fisheries, Southeast Fisheries Science Center, 75 Virginia Beach Drive, Miami, Florida 33149</w:t>
      </w:r>
    </w:p>
    <w:p w14:paraId="473FEC4D" w14:textId="77777777" w:rsidR="00706B75" w:rsidRPr="004E13E9" w:rsidRDefault="00706B75" w:rsidP="00706B75">
      <w:pPr>
        <w:jc w:val="both"/>
        <w:rPr>
          <w:lang w:val="pt-PT"/>
        </w:rPr>
      </w:pPr>
      <w:r w:rsidRPr="004E13E9">
        <w:rPr>
          <w:sz w:val="18"/>
          <w:lang w:val="pt-PT"/>
        </w:rPr>
        <w:t>Tel: +1 305 361 4227; +1 305 898 4035, E-Mail: guillermo.diaz@noaa.gov</w:t>
      </w:r>
    </w:p>
    <w:p w14:paraId="7A591D1C" w14:textId="77777777" w:rsidR="00706B75" w:rsidRPr="004E13E9" w:rsidRDefault="00706B75" w:rsidP="00706B75">
      <w:pPr>
        <w:rPr>
          <w:lang w:val="pt-PT"/>
        </w:rPr>
      </w:pPr>
    </w:p>
    <w:p w14:paraId="47BEC4E4" w14:textId="77777777" w:rsidR="00706B75" w:rsidRPr="00C712A4" w:rsidRDefault="00706B75" w:rsidP="00706B75">
      <w:pPr>
        <w:rPr>
          <w:lang w:val="fr-FR"/>
        </w:rPr>
      </w:pPr>
      <w:r w:rsidRPr="00C712A4">
        <w:rPr>
          <w:b/>
          <w:sz w:val="18"/>
          <w:lang w:val="fr-FR"/>
        </w:rPr>
        <w:t>Golet</w:t>
      </w:r>
      <w:r w:rsidRPr="00C712A4">
        <w:rPr>
          <w:sz w:val="18"/>
          <w:lang w:val="fr-FR"/>
        </w:rPr>
        <w:t>, Walter (en ligne)</w:t>
      </w:r>
    </w:p>
    <w:p w14:paraId="7C943345" w14:textId="77777777" w:rsidR="00706B75" w:rsidRPr="004E13E9" w:rsidRDefault="00706B75" w:rsidP="00706B75">
      <w:pPr>
        <w:jc w:val="both"/>
      </w:pPr>
      <w:r w:rsidRPr="004E13E9">
        <w:rPr>
          <w:sz w:val="18"/>
        </w:rPr>
        <w:t>Research Assistant Professor, University of Maine School of Marine Sciences, 360 Aubert Hall, Orono, ME 04469-5706</w:t>
      </w:r>
    </w:p>
    <w:p w14:paraId="5C7FD31A" w14:textId="77777777" w:rsidR="00706B75" w:rsidRPr="004E13E9" w:rsidRDefault="00706B75" w:rsidP="00706B75">
      <w:pPr>
        <w:jc w:val="both"/>
        <w:rPr>
          <w:lang w:val="pt-PT"/>
        </w:rPr>
      </w:pPr>
      <w:r w:rsidRPr="004E13E9">
        <w:rPr>
          <w:sz w:val="18"/>
          <w:lang w:val="pt-PT"/>
        </w:rPr>
        <w:t>Tel: +1 207 581 4383, E-Mail: walter.golet@maine.edu</w:t>
      </w:r>
    </w:p>
    <w:p w14:paraId="2ED28229" w14:textId="77777777" w:rsidR="00706B75" w:rsidRPr="004E13E9" w:rsidRDefault="00706B75" w:rsidP="00706B75">
      <w:pPr>
        <w:rPr>
          <w:lang w:val="pt-PT"/>
        </w:rPr>
      </w:pPr>
    </w:p>
    <w:p w14:paraId="5CD82015" w14:textId="77777777" w:rsidR="00706B75" w:rsidRPr="004E13E9" w:rsidRDefault="00706B75" w:rsidP="00706B75">
      <w:r w:rsidRPr="004E13E9">
        <w:rPr>
          <w:b/>
          <w:sz w:val="18"/>
        </w:rPr>
        <w:t>Harris</w:t>
      </w:r>
      <w:r w:rsidRPr="004E13E9">
        <w:rPr>
          <w:sz w:val="18"/>
        </w:rPr>
        <w:t>, Madison</w:t>
      </w:r>
    </w:p>
    <w:p w14:paraId="6A53A084" w14:textId="77777777" w:rsidR="00706B75" w:rsidRPr="004E13E9" w:rsidRDefault="00706B75" w:rsidP="00706B75">
      <w:pPr>
        <w:jc w:val="both"/>
      </w:pPr>
      <w:r w:rsidRPr="004E13E9">
        <w:rPr>
          <w:sz w:val="18"/>
        </w:rPr>
        <w:t>Foreign Affairs Specialist, Office of International Affairs, Trade, and Commerce (F/IATC), NOAA, National Marine Fisheries Service, National Oceanic and Atmospheric Administration, U.S. Department of Commerce, 1315 East-West Highway, Silver Spring, Maryland 20910</w:t>
      </w:r>
    </w:p>
    <w:p w14:paraId="2541CE75" w14:textId="77777777" w:rsidR="00706B75" w:rsidRPr="004E13E9" w:rsidRDefault="00706B75" w:rsidP="00706B75">
      <w:pPr>
        <w:jc w:val="both"/>
        <w:rPr>
          <w:lang w:val="pt-PT"/>
        </w:rPr>
      </w:pPr>
      <w:r w:rsidRPr="004E13E9">
        <w:rPr>
          <w:sz w:val="18"/>
          <w:lang w:val="pt-PT"/>
        </w:rPr>
        <w:t>Tel: +1 202 480 4592, E-Mail: madison.harris@noaa.gov</w:t>
      </w:r>
    </w:p>
    <w:p w14:paraId="689A248F" w14:textId="77777777" w:rsidR="00706B75" w:rsidRPr="004E13E9" w:rsidRDefault="00706B75" w:rsidP="00706B75">
      <w:pPr>
        <w:rPr>
          <w:lang w:val="pt-PT"/>
        </w:rPr>
      </w:pPr>
    </w:p>
    <w:p w14:paraId="7C797BC7" w14:textId="77777777" w:rsidR="00706B75" w:rsidRPr="004E13E9" w:rsidRDefault="00706B75" w:rsidP="00706B75">
      <w:pPr>
        <w:rPr>
          <w:lang w:val="fr-FR"/>
        </w:rPr>
      </w:pPr>
      <w:proofErr w:type="spellStart"/>
      <w:r w:rsidRPr="004E13E9">
        <w:rPr>
          <w:b/>
          <w:sz w:val="18"/>
          <w:lang w:val="fr-FR"/>
        </w:rPr>
        <w:t>Hemilright</w:t>
      </w:r>
      <w:proofErr w:type="spellEnd"/>
      <w:r w:rsidRPr="004E13E9">
        <w:rPr>
          <w:sz w:val="18"/>
          <w:lang w:val="fr-FR"/>
        </w:rPr>
        <w:t>, Francis Dewey (en ligne)</w:t>
      </w:r>
    </w:p>
    <w:p w14:paraId="5B8E8ED5" w14:textId="77777777" w:rsidR="00706B75" w:rsidRPr="004E13E9" w:rsidRDefault="00706B75" w:rsidP="00706B75">
      <w:pPr>
        <w:jc w:val="both"/>
      </w:pPr>
      <w:r w:rsidRPr="004E13E9">
        <w:rPr>
          <w:sz w:val="18"/>
        </w:rPr>
        <w:t>Owner/Operator, F/V TARBABY, P.O. Box 667, Wanchese, North Carolina 27981</w:t>
      </w:r>
    </w:p>
    <w:p w14:paraId="070A5FDE" w14:textId="77777777" w:rsidR="00706B75" w:rsidRPr="004E13E9" w:rsidRDefault="00706B75" w:rsidP="00706B75">
      <w:pPr>
        <w:jc w:val="both"/>
        <w:rPr>
          <w:lang w:val="pt-PT"/>
        </w:rPr>
      </w:pPr>
      <w:r w:rsidRPr="004E13E9">
        <w:rPr>
          <w:sz w:val="18"/>
          <w:lang w:val="pt-PT"/>
        </w:rPr>
        <w:t>Tel: +1 252 473 0135, E-Mail: dewey.hemilright@gmail.com</w:t>
      </w:r>
    </w:p>
    <w:p w14:paraId="340C7D00" w14:textId="77777777" w:rsidR="00706B75" w:rsidRPr="004E13E9" w:rsidRDefault="00706B75" w:rsidP="00706B75">
      <w:pPr>
        <w:rPr>
          <w:lang w:val="pt-PT"/>
        </w:rPr>
      </w:pPr>
    </w:p>
    <w:p w14:paraId="5E242910" w14:textId="77777777" w:rsidR="00706B75" w:rsidRPr="00C712A4" w:rsidRDefault="00706B75" w:rsidP="00706B75">
      <w:pPr>
        <w:rPr>
          <w:lang w:val="fr-FR"/>
        </w:rPr>
      </w:pPr>
      <w:r w:rsidRPr="00C712A4">
        <w:rPr>
          <w:b/>
          <w:sz w:val="18"/>
          <w:lang w:val="fr-FR"/>
        </w:rPr>
        <w:t>Htun</w:t>
      </w:r>
      <w:r w:rsidRPr="00C712A4">
        <w:rPr>
          <w:sz w:val="18"/>
          <w:lang w:val="fr-FR"/>
        </w:rPr>
        <w:t>, Emma (en ligne)</w:t>
      </w:r>
    </w:p>
    <w:p w14:paraId="2C483044" w14:textId="77777777" w:rsidR="00706B75" w:rsidRPr="004E13E9" w:rsidRDefault="00706B75" w:rsidP="00706B75">
      <w:pPr>
        <w:jc w:val="both"/>
      </w:pPr>
      <w:r w:rsidRPr="004E13E9">
        <w:rPr>
          <w:sz w:val="18"/>
        </w:rPr>
        <w:t>Attorney-Advisor, Office of the General Counsel for Fisheries, National Oceanic and Atmospheric Administration, U.S. Department of Commerce, MD 20910</w:t>
      </w:r>
    </w:p>
    <w:p w14:paraId="6870784B" w14:textId="77777777" w:rsidR="00706B75" w:rsidRPr="004E13E9" w:rsidRDefault="00706B75" w:rsidP="00706B75"/>
    <w:p w14:paraId="3DC3BC0C" w14:textId="77777777" w:rsidR="00706B75" w:rsidRPr="004E13E9" w:rsidRDefault="00706B75" w:rsidP="00706B75">
      <w:r w:rsidRPr="004E13E9">
        <w:rPr>
          <w:b/>
          <w:sz w:val="18"/>
        </w:rPr>
        <w:t>Keller</w:t>
      </w:r>
      <w:r w:rsidRPr="004E13E9">
        <w:rPr>
          <w:sz w:val="18"/>
        </w:rPr>
        <w:t>, Bryan (</w:t>
      </w:r>
      <w:proofErr w:type="spellStart"/>
      <w:r w:rsidRPr="004E13E9">
        <w:rPr>
          <w:sz w:val="18"/>
        </w:rPr>
        <w:t>en</w:t>
      </w:r>
      <w:proofErr w:type="spellEnd"/>
      <w:r w:rsidRPr="004E13E9">
        <w:rPr>
          <w:sz w:val="18"/>
        </w:rPr>
        <w:t xml:space="preserve"> </w:t>
      </w:r>
      <w:proofErr w:type="spellStart"/>
      <w:r w:rsidRPr="004E13E9">
        <w:rPr>
          <w:sz w:val="18"/>
        </w:rPr>
        <w:t>ligne</w:t>
      </w:r>
      <w:proofErr w:type="spellEnd"/>
      <w:r w:rsidRPr="004E13E9">
        <w:rPr>
          <w:sz w:val="18"/>
        </w:rPr>
        <w:t>)</w:t>
      </w:r>
    </w:p>
    <w:p w14:paraId="1911FA4B" w14:textId="77777777" w:rsidR="00706B75" w:rsidRPr="004E13E9" w:rsidRDefault="00706B75" w:rsidP="00706B75">
      <w:pPr>
        <w:jc w:val="both"/>
      </w:pPr>
      <w:r w:rsidRPr="004E13E9">
        <w:rPr>
          <w:sz w:val="18"/>
        </w:rPr>
        <w:t>Foreign Affairs Specialist, Office of International Affairs, Trade and Commerce (F/IATC), NOAA, National Marine Fisheries Service, 1315 East-West Highway, Silver Spring, Maryland 20910</w:t>
      </w:r>
    </w:p>
    <w:p w14:paraId="61BBD23B" w14:textId="77777777" w:rsidR="00706B75" w:rsidRPr="004E13E9" w:rsidRDefault="00706B75" w:rsidP="00706B75">
      <w:pPr>
        <w:jc w:val="both"/>
        <w:rPr>
          <w:lang w:val="pt-PT"/>
        </w:rPr>
      </w:pPr>
      <w:r w:rsidRPr="004E13E9">
        <w:rPr>
          <w:sz w:val="18"/>
          <w:lang w:val="pt-PT"/>
        </w:rPr>
        <w:t>Tel: +1 202 897 9208; +1 301 427 7725, E-Mail: bryan.keller@noaa.gov</w:t>
      </w:r>
    </w:p>
    <w:p w14:paraId="7D7D0A1B" w14:textId="77777777" w:rsidR="00706B75" w:rsidRPr="004E13E9" w:rsidRDefault="00706B75" w:rsidP="00706B75">
      <w:pPr>
        <w:rPr>
          <w:lang w:val="pt-PT"/>
        </w:rPr>
      </w:pPr>
    </w:p>
    <w:p w14:paraId="40F9A47F" w14:textId="77777777" w:rsidR="00706B75" w:rsidRPr="00C712A4" w:rsidRDefault="00706B75" w:rsidP="00706B75">
      <w:pPr>
        <w:rPr>
          <w:lang w:val="it-IT"/>
        </w:rPr>
      </w:pPr>
      <w:r w:rsidRPr="00C712A4">
        <w:rPr>
          <w:b/>
          <w:sz w:val="18"/>
          <w:lang w:val="it-IT"/>
        </w:rPr>
        <w:t>McLaughlin</w:t>
      </w:r>
      <w:r w:rsidRPr="00C712A4">
        <w:rPr>
          <w:sz w:val="18"/>
          <w:lang w:val="it-IT"/>
        </w:rPr>
        <w:t>, Sarah</w:t>
      </w:r>
    </w:p>
    <w:p w14:paraId="44286B30" w14:textId="77777777" w:rsidR="00706B75" w:rsidRPr="004E13E9" w:rsidRDefault="00706B75" w:rsidP="00706B75">
      <w:pPr>
        <w:jc w:val="both"/>
      </w:pPr>
      <w:r w:rsidRPr="004E13E9">
        <w:rPr>
          <w:sz w:val="18"/>
        </w:rPr>
        <w:t>Senior Highly Migratory Species Policy Advisor, Management Division, Greater Atlantic Regional Office, NOAA - National Marine Fisheries Service (NMFS), National Oceanic and Atmospheric Administration, U.S. Department of Commerce, 55 Great Republic Drive, Gloucester, Massachusetts 01930</w:t>
      </w:r>
    </w:p>
    <w:p w14:paraId="5DA4DC1D" w14:textId="77777777" w:rsidR="00706B75" w:rsidRPr="004E13E9" w:rsidRDefault="00706B75" w:rsidP="00706B75">
      <w:pPr>
        <w:jc w:val="both"/>
        <w:rPr>
          <w:lang w:val="pt-PT"/>
        </w:rPr>
      </w:pPr>
      <w:r w:rsidRPr="004E13E9">
        <w:rPr>
          <w:sz w:val="18"/>
          <w:lang w:val="pt-PT"/>
        </w:rPr>
        <w:t>Tel: +978 281 9260, E-Mail: sarah.mclaughlin@noaa.gov</w:t>
      </w:r>
    </w:p>
    <w:p w14:paraId="189D2FE9" w14:textId="77777777" w:rsidR="00706B75" w:rsidRPr="004E13E9" w:rsidRDefault="00706B75" w:rsidP="00706B75">
      <w:pPr>
        <w:rPr>
          <w:lang w:val="pt-PT"/>
        </w:rPr>
      </w:pPr>
    </w:p>
    <w:p w14:paraId="6143BC48" w14:textId="77777777" w:rsidR="00706B75" w:rsidRPr="00C712A4" w:rsidRDefault="00706B75" w:rsidP="00706B75">
      <w:pPr>
        <w:rPr>
          <w:lang w:val="fr-FR"/>
        </w:rPr>
      </w:pPr>
      <w:r w:rsidRPr="00C712A4">
        <w:rPr>
          <w:b/>
          <w:sz w:val="18"/>
          <w:lang w:val="fr-FR"/>
        </w:rPr>
        <w:t>Perry</w:t>
      </w:r>
      <w:r w:rsidRPr="00C712A4">
        <w:rPr>
          <w:sz w:val="18"/>
          <w:lang w:val="fr-FR"/>
        </w:rPr>
        <w:t>, Ruth (en ligne)</w:t>
      </w:r>
    </w:p>
    <w:p w14:paraId="7E9B10A9" w14:textId="77777777" w:rsidR="00706B75" w:rsidRPr="004E13E9" w:rsidRDefault="00706B75" w:rsidP="00706B75">
      <w:pPr>
        <w:jc w:val="both"/>
      </w:pPr>
      <w:r w:rsidRPr="004E13E9">
        <w:rPr>
          <w:sz w:val="18"/>
        </w:rPr>
        <w:t>2201 C. St NW, Washington DC 20520</w:t>
      </w:r>
    </w:p>
    <w:p w14:paraId="1DDB22ED" w14:textId="77777777" w:rsidR="00706B75" w:rsidRPr="004E13E9" w:rsidRDefault="00706B75" w:rsidP="00706B75">
      <w:pPr>
        <w:jc w:val="both"/>
        <w:rPr>
          <w:lang w:val="pt-PT"/>
        </w:rPr>
      </w:pPr>
      <w:r w:rsidRPr="004E13E9">
        <w:rPr>
          <w:sz w:val="18"/>
          <w:lang w:val="pt-PT"/>
        </w:rPr>
        <w:t>Tel: +1 703 785 7023, E-Mail: PerryRL@state.gov</w:t>
      </w:r>
    </w:p>
    <w:p w14:paraId="7AD79790" w14:textId="77777777" w:rsidR="00706B75" w:rsidRPr="004E13E9" w:rsidRDefault="00706B75" w:rsidP="00706B75">
      <w:pPr>
        <w:rPr>
          <w:lang w:val="pt-PT"/>
        </w:rPr>
      </w:pPr>
    </w:p>
    <w:p w14:paraId="3BDE7BBB" w14:textId="77777777" w:rsidR="00706B75" w:rsidRPr="00C712A4" w:rsidRDefault="00706B75" w:rsidP="00706B75">
      <w:pPr>
        <w:rPr>
          <w:lang w:val="fr-FR"/>
        </w:rPr>
      </w:pPr>
      <w:proofErr w:type="spellStart"/>
      <w:r w:rsidRPr="00C712A4">
        <w:rPr>
          <w:b/>
          <w:sz w:val="18"/>
          <w:lang w:val="fr-FR"/>
        </w:rPr>
        <w:t>Schalit</w:t>
      </w:r>
      <w:proofErr w:type="spellEnd"/>
      <w:r w:rsidRPr="00C712A4">
        <w:rPr>
          <w:sz w:val="18"/>
          <w:lang w:val="fr-FR"/>
        </w:rPr>
        <w:t>, David (en ligne)</w:t>
      </w:r>
    </w:p>
    <w:p w14:paraId="613D77B1" w14:textId="77777777" w:rsidR="00706B75" w:rsidRPr="004E13E9" w:rsidRDefault="00706B75" w:rsidP="00706B75">
      <w:pPr>
        <w:jc w:val="both"/>
      </w:pPr>
      <w:r w:rsidRPr="004E13E9">
        <w:rPr>
          <w:sz w:val="18"/>
        </w:rPr>
        <w:t>President, American Bluefin Tuna Association, P.O. Box 854, Norwell, Massachusetts 02061</w:t>
      </w:r>
    </w:p>
    <w:p w14:paraId="0E25BB70" w14:textId="77777777" w:rsidR="00706B75" w:rsidRPr="004E13E9" w:rsidRDefault="00706B75" w:rsidP="00706B75">
      <w:pPr>
        <w:jc w:val="both"/>
        <w:rPr>
          <w:lang w:val="pt-PT"/>
        </w:rPr>
      </w:pPr>
      <w:r w:rsidRPr="004E13E9">
        <w:rPr>
          <w:sz w:val="18"/>
          <w:lang w:val="pt-PT"/>
        </w:rPr>
        <w:t>Tel: +1 917 573 7922, E-Mail: dschalit@gmail.com</w:t>
      </w:r>
    </w:p>
    <w:p w14:paraId="58946E02" w14:textId="77777777" w:rsidR="00706B75" w:rsidRPr="004E13E9" w:rsidRDefault="00706B75" w:rsidP="00706B75">
      <w:pPr>
        <w:rPr>
          <w:lang w:val="pt-PT"/>
        </w:rPr>
      </w:pPr>
    </w:p>
    <w:p w14:paraId="514D3704" w14:textId="77777777" w:rsidR="00706B75" w:rsidRPr="004E13E9" w:rsidRDefault="00706B75" w:rsidP="00706B75">
      <w:pPr>
        <w:rPr>
          <w:lang w:val="fr-FR"/>
        </w:rPr>
      </w:pPr>
      <w:proofErr w:type="spellStart"/>
      <w:r w:rsidRPr="004E13E9">
        <w:rPr>
          <w:b/>
          <w:sz w:val="18"/>
          <w:lang w:val="fr-FR"/>
        </w:rPr>
        <w:t>Sissenwine</w:t>
      </w:r>
      <w:proofErr w:type="spellEnd"/>
      <w:r w:rsidRPr="004E13E9">
        <w:rPr>
          <w:sz w:val="18"/>
          <w:lang w:val="fr-FR"/>
        </w:rPr>
        <w:t>, Michael P. (en ligne)</w:t>
      </w:r>
    </w:p>
    <w:p w14:paraId="1A446AB3" w14:textId="77777777" w:rsidR="00706B75" w:rsidRPr="004E13E9" w:rsidRDefault="00706B75" w:rsidP="00706B75">
      <w:pPr>
        <w:jc w:val="both"/>
      </w:pPr>
      <w:r w:rsidRPr="004E13E9">
        <w:rPr>
          <w:sz w:val="18"/>
        </w:rPr>
        <w:t>Visiting Scholar, Marine Policy Center, Woods Hole Oceanographic Institution, 39 Mill Pond Way, East Falmouth Massachusetts 02536</w:t>
      </w:r>
    </w:p>
    <w:p w14:paraId="4DBE0B20" w14:textId="77777777" w:rsidR="00706B75" w:rsidRPr="004E13E9" w:rsidRDefault="00706B75" w:rsidP="00706B75">
      <w:pPr>
        <w:jc w:val="both"/>
        <w:rPr>
          <w:lang w:val="pt-PT"/>
        </w:rPr>
      </w:pPr>
      <w:r w:rsidRPr="004E13E9">
        <w:rPr>
          <w:sz w:val="18"/>
          <w:lang w:val="pt-PT"/>
        </w:rPr>
        <w:t>Tel: +1 508 566 3144, E-Mail: m.sissenwine@gmail.com</w:t>
      </w:r>
    </w:p>
    <w:p w14:paraId="0EBDAA03" w14:textId="77777777" w:rsidR="00706B75" w:rsidRPr="004E13E9" w:rsidRDefault="00706B75" w:rsidP="00706B75">
      <w:pPr>
        <w:rPr>
          <w:lang w:val="pt-PT"/>
        </w:rPr>
      </w:pPr>
    </w:p>
    <w:p w14:paraId="1D2FF156" w14:textId="77777777" w:rsidR="00706B75" w:rsidRPr="004E13E9" w:rsidRDefault="00706B75" w:rsidP="00706B75">
      <w:r w:rsidRPr="004E13E9">
        <w:rPr>
          <w:b/>
          <w:sz w:val="18"/>
        </w:rPr>
        <w:t>Walter</w:t>
      </w:r>
      <w:r w:rsidRPr="004E13E9">
        <w:rPr>
          <w:sz w:val="18"/>
        </w:rPr>
        <w:t>, John</w:t>
      </w:r>
    </w:p>
    <w:p w14:paraId="534A2537" w14:textId="77777777" w:rsidR="00706B75" w:rsidRPr="004E13E9" w:rsidRDefault="00706B75" w:rsidP="00706B75">
      <w:pPr>
        <w:jc w:val="both"/>
      </w:pPr>
      <w:r w:rsidRPr="004E13E9">
        <w:rPr>
          <w:sz w:val="18"/>
        </w:rPr>
        <w:t>Deputy Director, Southeast Fisheries Science Center, National Marine Fisheries Service, National Oceanic and Atmospheric Administration, U.S. Department of Commerce, 75 Virginia Beach Drive, Miami, Florida 33149</w:t>
      </w:r>
    </w:p>
    <w:p w14:paraId="5E8298ED" w14:textId="77777777" w:rsidR="00706B75" w:rsidRPr="004E13E9" w:rsidRDefault="00706B75" w:rsidP="00706B75">
      <w:pPr>
        <w:jc w:val="both"/>
        <w:rPr>
          <w:lang w:val="fr-FR"/>
        </w:rPr>
      </w:pPr>
      <w:r w:rsidRPr="004E13E9">
        <w:rPr>
          <w:sz w:val="18"/>
          <w:lang w:val="fr-FR"/>
        </w:rPr>
        <w:t>Tel: +305 365 4114; +1 804 815 0881, Fax: +1 305 361 4562, E-Mail: john.f.walter@noaa.gov</w:t>
      </w:r>
    </w:p>
    <w:p w14:paraId="70537B4E" w14:textId="77777777" w:rsidR="00D41BB9" w:rsidRPr="004E13E9" w:rsidRDefault="00D41BB9">
      <w:pPr>
        <w:rPr>
          <w:lang w:val="fr-FR"/>
        </w:rPr>
      </w:pPr>
    </w:p>
    <w:p w14:paraId="7E9F2C4F" w14:textId="77777777" w:rsidR="00BC556C" w:rsidRPr="004E13E9" w:rsidRDefault="00BC556C" w:rsidP="00BC556C">
      <w:pPr>
        <w:rPr>
          <w:lang w:val="fr-FR" w:eastAsia="en-GB"/>
        </w:rPr>
      </w:pPr>
      <w:r w:rsidRPr="004E13E9">
        <w:rPr>
          <w:b/>
          <w:lang w:val="fr-FR" w:eastAsia="en-GB"/>
        </w:rPr>
        <w:t>FRANCE (SAINT PIERRE ET MIQUELON)</w:t>
      </w:r>
    </w:p>
    <w:p w14:paraId="329D2506" w14:textId="632F16EA" w:rsidR="00D41BB9" w:rsidRPr="004E13E9" w:rsidRDefault="00E95051">
      <w:pPr>
        <w:rPr>
          <w:lang w:val="fr-FR"/>
        </w:rPr>
      </w:pPr>
      <w:r w:rsidRPr="004E13E9">
        <w:rPr>
          <w:b/>
          <w:sz w:val="18"/>
          <w:lang w:val="fr-FR"/>
        </w:rPr>
        <w:t>Couston</w:t>
      </w:r>
      <w:r w:rsidRPr="004E13E9">
        <w:rPr>
          <w:sz w:val="18"/>
          <w:lang w:val="fr-FR"/>
        </w:rPr>
        <w:t>, Constance</w:t>
      </w:r>
      <w:r w:rsidR="008D6E32" w:rsidRPr="004E13E9">
        <w:rPr>
          <w:sz w:val="18"/>
          <w:lang w:val="fr-FR"/>
        </w:rPr>
        <w:t xml:space="preserve"> (</w:t>
      </w:r>
      <w:r w:rsidR="00D40F91" w:rsidRPr="004E13E9">
        <w:rPr>
          <w:sz w:val="18"/>
          <w:lang w:val="fr-FR"/>
        </w:rPr>
        <w:t>en ligne</w:t>
      </w:r>
      <w:r w:rsidR="008D6E32" w:rsidRPr="004E13E9">
        <w:rPr>
          <w:sz w:val="18"/>
          <w:lang w:val="fr-FR"/>
        </w:rPr>
        <w:t>)</w:t>
      </w:r>
    </w:p>
    <w:p w14:paraId="51A21EF6" w14:textId="77777777" w:rsidR="00D41BB9" w:rsidRPr="004E13E9" w:rsidRDefault="00E95051">
      <w:pPr>
        <w:jc w:val="both"/>
        <w:rPr>
          <w:lang w:val="fr-FR"/>
        </w:rPr>
      </w:pPr>
      <w:r w:rsidRPr="004E13E9">
        <w:rPr>
          <w:sz w:val="18"/>
          <w:lang w:val="fr-FR"/>
        </w:rPr>
        <w:t xml:space="preserve">Deputy Head of Maritime </w:t>
      </w:r>
      <w:proofErr w:type="spellStart"/>
      <w:r w:rsidRPr="004E13E9">
        <w:rPr>
          <w:sz w:val="18"/>
          <w:lang w:val="fr-FR"/>
        </w:rPr>
        <w:t>Affairs</w:t>
      </w:r>
      <w:proofErr w:type="spellEnd"/>
      <w:r w:rsidRPr="004E13E9">
        <w:rPr>
          <w:sz w:val="18"/>
          <w:lang w:val="fr-FR"/>
        </w:rPr>
        <w:t xml:space="preserve">, Direction des Territoires, de l'Alimentation et de la Mer, 1, rue </w:t>
      </w:r>
      <w:proofErr w:type="spellStart"/>
      <w:r w:rsidRPr="004E13E9">
        <w:rPr>
          <w:sz w:val="18"/>
          <w:lang w:val="fr-FR"/>
        </w:rPr>
        <w:t>Gloanec</w:t>
      </w:r>
      <w:proofErr w:type="spellEnd"/>
      <w:r w:rsidRPr="004E13E9">
        <w:rPr>
          <w:sz w:val="18"/>
          <w:lang w:val="fr-FR"/>
        </w:rPr>
        <w:t xml:space="preserve"> BP 4217, 97500 Saint-Pierre et Miquelon</w:t>
      </w:r>
    </w:p>
    <w:p w14:paraId="27F8769D" w14:textId="2B5BCD2D" w:rsidR="00BC556C" w:rsidRPr="004E13E9" w:rsidRDefault="00E95051" w:rsidP="00BC556C">
      <w:pPr>
        <w:jc w:val="both"/>
        <w:rPr>
          <w:b/>
          <w:lang w:val="pt-PT"/>
        </w:rPr>
      </w:pPr>
      <w:r w:rsidRPr="004E13E9">
        <w:rPr>
          <w:sz w:val="18"/>
          <w:lang w:val="pt-PT"/>
        </w:rPr>
        <w:t>Tel: +33 508 411 530, E-Mail: constance.couston@equipement-agriculture.gouv.fr</w:t>
      </w:r>
      <w:r w:rsidR="00BC556C" w:rsidRPr="004E13E9">
        <w:rPr>
          <w:b/>
          <w:lang w:val="pt-PT"/>
        </w:rPr>
        <w:br w:type="page"/>
      </w:r>
    </w:p>
    <w:p w14:paraId="2CEB97D5" w14:textId="66DBCC9C" w:rsidR="00D41BB9" w:rsidRPr="004E13E9" w:rsidRDefault="00E95051">
      <w:pPr>
        <w:rPr>
          <w:lang w:val="fr-FR"/>
        </w:rPr>
      </w:pPr>
      <w:r w:rsidRPr="004E13E9">
        <w:rPr>
          <w:b/>
          <w:lang w:val="fr-FR"/>
        </w:rPr>
        <w:lastRenderedPageBreak/>
        <w:t>R</w:t>
      </w:r>
      <w:r w:rsidR="007E1D22" w:rsidRPr="004E13E9">
        <w:rPr>
          <w:b/>
          <w:lang w:val="fr-FR"/>
        </w:rPr>
        <w:t>É</w:t>
      </w:r>
      <w:r w:rsidRPr="004E13E9">
        <w:rPr>
          <w:b/>
          <w:lang w:val="fr-FR"/>
        </w:rPr>
        <w:t>P. DE GUINÉE</w:t>
      </w:r>
    </w:p>
    <w:p w14:paraId="652C96DA" w14:textId="2AF1202C" w:rsidR="00D41BB9" w:rsidRPr="004E13E9" w:rsidRDefault="00E95051">
      <w:pPr>
        <w:rPr>
          <w:lang w:val="fr-FR"/>
        </w:rPr>
      </w:pPr>
      <w:r w:rsidRPr="004E13E9">
        <w:rPr>
          <w:b/>
          <w:sz w:val="18"/>
          <w:lang w:val="fr-FR"/>
        </w:rPr>
        <w:t>Soumah</w:t>
      </w:r>
      <w:r w:rsidRPr="004E13E9">
        <w:rPr>
          <w:sz w:val="18"/>
          <w:lang w:val="fr-FR"/>
        </w:rPr>
        <w:t>, Mohamed</w:t>
      </w:r>
      <w:r w:rsidR="008D6E32" w:rsidRPr="004E13E9">
        <w:rPr>
          <w:sz w:val="18"/>
          <w:lang w:val="fr-FR"/>
        </w:rPr>
        <w:t xml:space="preserve"> (</w:t>
      </w:r>
      <w:r w:rsidR="00D40F91" w:rsidRPr="004E13E9">
        <w:rPr>
          <w:sz w:val="18"/>
          <w:lang w:val="fr-FR"/>
        </w:rPr>
        <w:t>en ligne</w:t>
      </w:r>
      <w:r w:rsidR="008D6E32" w:rsidRPr="004E13E9">
        <w:rPr>
          <w:sz w:val="18"/>
          <w:lang w:val="fr-FR"/>
        </w:rPr>
        <w:t>)</w:t>
      </w:r>
    </w:p>
    <w:p w14:paraId="7AA4062E" w14:textId="6B0EA0C6" w:rsidR="00D41BB9" w:rsidRPr="004E13E9" w:rsidRDefault="00E95051">
      <w:pPr>
        <w:jc w:val="both"/>
        <w:rPr>
          <w:lang w:val="fr-FR"/>
        </w:rPr>
      </w:pPr>
      <w:r w:rsidRPr="004E13E9">
        <w:rPr>
          <w:sz w:val="18"/>
          <w:lang w:val="fr-FR"/>
        </w:rPr>
        <w:t xml:space="preserve">Responsable de Système d'Information Halieutique, Chef de Service Informatique du Centre National des Sciences Halieutiques de </w:t>
      </w:r>
      <w:proofErr w:type="spellStart"/>
      <w:r w:rsidRPr="004E13E9">
        <w:rPr>
          <w:sz w:val="18"/>
          <w:lang w:val="fr-FR"/>
        </w:rPr>
        <w:t>Boussoura</w:t>
      </w:r>
      <w:proofErr w:type="spellEnd"/>
      <w:r w:rsidRPr="004E13E9">
        <w:rPr>
          <w:sz w:val="18"/>
          <w:lang w:val="fr-FR"/>
        </w:rPr>
        <w:t xml:space="preserve"> (CNSHB), 814, Rue MA 500, Corniche Sud </w:t>
      </w:r>
      <w:proofErr w:type="spellStart"/>
      <w:r w:rsidRPr="004E13E9">
        <w:rPr>
          <w:sz w:val="18"/>
          <w:lang w:val="fr-FR"/>
        </w:rPr>
        <w:t>Madina</w:t>
      </w:r>
      <w:proofErr w:type="spellEnd"/>
      <w:r w:rsidRPr="004E13E9">
        <w:rPr>
          <w:sz w:val="18"/>
          <w:lang w:val="fr-FR"/>
        </w:rPr>
        <w:t xml:space="preserve">, </w:t>
      </w:r>
      <w:proofErr w:type="spellStart"/>
      <w:r w:rsidRPr="004E13E9">
        <w:rPr>
          <w:sz w:val="18"/>
          <w:lang w:val="fr-FR"/>
        </w:rPr>
        <w:t>Boussoura</w:t>
      </w:r>
      <w:proofErr w:type="spellEnd"/>
      <w:r w:rsidRPr="004E13E9">
        <w:rPr>
          <w:sz w:val="18"/>
          <w:lang w:val="fr-FR"/>
        </w:rPr>
        <w:t>, BP: 3738 Conakry</w:t>
      </w:r>
    </w:p>
    <w:p w14:paraId="018DFC84" w14:textId="77777777" w:rsidR="00D41BB9" w:rsidRPr="004E13E9" w:rsidRDefault="00E95051">
      <w:pPr>
        <w:jc w:val="both"/>
        <w:rPr>
          <w:lang w:val="pt-PT"/>
        </w:rPr>
      </w:pPr>
      <w:r w:rsidRPr="004E13E9">
        <w:rPr>
          <w:sz w:val="18"/>
          <w:lang w:val="pt-PT"/>
        </w:rPr>
        <w:t>Tel: +224 622 01 70 85, E-Mail: soumahmohamed2009@gmail.com</w:t>
      </w:r>
    </w:p>
    <w:p w14:paraId="3F1CF359" w14:textId="77777777" w:rsidR="00D41BB9" w:rsidRPr="004E13E9" w:rsidRDefault="00D41BB9">
      <w:pPr>
        <w:rPr>
          <w:lang w:val="pt-PT"/>
        </w:rPr>
      </w:pPr>
    </w:p>
    <w:p w14:paraId="54B07B4B" w14:textId="0858E26E" w:rsidR="00D41BB9" w:rsidRPr="00C712A4" w:rsidRDefault="00E95051">
      <w:pPr>
        <w:rPr>
          <w:lang w:val="it-IT"/>
        </w:rPr>
      </w:pPr>
      <w:r w:rsidRPr="00C712A4">
        <w:rPr>
          <w:b/>
          <w:lang w:val="it-IT"/>
        </w:rPr>
        <w:t>ISLANDE</w:t>
      </w:r>
    </w:p>
    <w:p w14:paraId="1176C903" w14:textId="77777777" w:rsidR="00D41BB9" w:rsidRPr="00C712A4" w:rsidRDefault="00E95051">
      <w:pPr>
        <w:rPr>
          <w:lang w:val="it-IT"/>
        </w:rPr>
      </w:pPr>
      <w:r w:rsidRPr="00C712A4">
        <w:rPr>
          <w:b/>
          <w:sz w:val="18"/>
          <w:lang w:val="it-IT"/>
        </w:rPr>
        <w:t>Bragi Bragason</w:t>
      </w:r>
      <w:r w:rsidRPr="00C712A4">
        <w:rPr>
          <w:sz w:val="18"/>
          <w:lang w:val="it-IT"/>
        </w:rPr>
        <w:t>, Agnar *</w:t>
      </w:r>
    </w:p>
    <w:p w14:paraId="150A26A0" w14:textId="77777777" w:rsidR="00D41BB9" w:rsidRPr="004E13E9" w:rsidRDefault="00E95051">
      <w:pPr>
        <w:jc w:val="both"/>
      </w:pPr>
      <w:r w:rsidRPr="004E13E9">
        <w:rPr>
          <w:sz w:val="18"/>
        </w:rPr>
        <w:t xml:space="preserve">Ministry of Industries, Department of Resources, </w:t>
      </w:r>
      <w:proofErr w:type="spellStart"/>
      <w:r w:rsidRPr="004E13E9">
        <w:rPr>
          <w:sz w:val="18"/>
        </w:rPr>
        <w:t>Skúlagata</w:t>
      </w:r>
      <w:proofErr w:type="spellEnd"/>
      <w:r w:rsidRPr="004E13E9">
        <w:rPr>
          <w:sz w:val="18"/>
        </w:rPr>
        <w:t xml:space="preserve"> 4, IS-101 Reykjavík</w:t>
      </w:r>
    </w:p>
    <w:p w14:paraId="417873E2" w14:textId="77777777" w:rsidR="00D41BB9" w:rsidRPr="004E13E9" w:rsidRDefault="00E95051">
      <w:pPr>
        <w:jc w:val="both"/>
        <w:rPr>
          <w:lang w:val="pt-PT"/>
        </w:rPr>
      </w:pPr>
      <w:r w:rsidRPr="004E13E9">
        <w:rPr>
          <w:sz w:val="18"/>
          <w:lang w:val="pt-PT"/>
        </w:rPr>
        <w:t>Tel: +354 8461977; +354 545 9700, E-Mail: agnar.bragi.bragason@atrn.is</w:t>
      </w:r>
    </w:p>
    <w:p w14:paraId="450281F0" w14:textId="77777777" w:rsidR="00D41BB9" w:rsidRPr="004E13E9" w:rsidRDefault="00D41BB9">
      <w:pPr>
        <w:rPr>
          <w:lang w:val="pt-PT"/>
        </w:rPr>
      </w:pPr>
    </w:p>
    <w:p w14:paraId="0C3FB00E" w14:textId="551C4B28" w:rsidR="00D41BB9" w:rsidRPr="004E13E9" w:rsidRDefault="00E95051">
      <w:r w:rsidRPr="004E13E9">
        <w:rPr>
          <w:b/>
        </w:rPr>
        <w:t>JAPON</w:t>
      </w:r>
    </w:p>
    <w:p w14:paraId="0251B0BA" w14:textId="77777777" w:rsidR="00D41BB9" w:rsidRPr="004E13E9" w:rsidRDefault="00E95051">
      <w:r w:rsidRPr="004E13E9">
        <w:rPr>
          <w:b/>
          <w:sz w:val="18"/>
        </w:rPr>
        <w:t>Ota</w:t>
      </w:r>
      <w:r w:rsidRPr="004E13E9">
        <w:rPr>
          <w:sz w:val="18"/>
        </w:rPr>
        <w:t>, Shingo *</w:t>
      </w:r>
    </w:p>
    <w:p w14:paraId="12F5866C" w14:textId="344FDDA4" w:rsidR="00D41BB9" w:rsidRPr="004E13E9" w:rsidRDefault="00E95051">
      <w:pPr>
        <w:jc w:val="both"/>
      </w:pPr>
      <w:r w:rsidRPr="004E13E9">
        <w:rPr>
          <w:sz w:val="18"/>
        </w:rPr>
        <w:t>Japan's Commissioner to ICCAT, Special Advisor to the Minister of Agriculture, Forestry and Fisheries, 1-2-1 Kasumigaseki, Chiyoda-Ku, Tokyo</w:t>
      </w:r>
      <w:r w:rsidR="009523C8" w:rsidRPr="004E13E9">
        <w:rPr>
          <w:sz w:val="18"/>
        </w:rPr>
        <w:t xml:space="preserve"> </w:t>
      </w:r>
      <w:r w:rsidRPr="004E13E9">
        <w:rPr>
          <w:sz w:val="18"/>
        </w:rPr>
        <w:t>100-8907</w:t>
      </w:r>
    </w:p>
    <w:p w14:paraId="70328F36" w14:textId="77777777" w:rsidR="00D41BB9" w:rsidRPr="004E13E9" w:rsidRDefault="00E95051">
      <w:pPr>
        <w:jc w:val="both"/>
        <w:rPr>
          <w:lang w:val="fr-FR"/>
        </w:rPr>
      </w:pPr>
      <w:r w:rsidRPr="004E13E9">
        <w:rPr>
          <w:sz w:val="18"/>
          <w:lang w:val="fr-FR"/>
        </w:rPr>
        <w:t>Tel: +81 3 3502 8460, Fax: +81 3 3504 2649, E-Mail: shingo_ota810@maff.go.jp</w:t>
      </w:r>
    </w:p>
    <w:p w14:paraId="5EAD0161" w14:textId="77777777" w:rsidR="00D41BB9" w:rsidRPr="004E13E9" w:rsidRDefault="00D41BB9">
      <w:pPr>
        <w:rPr>
          <w:lang w:val="fr-FR"/>
        </w:rPr>
      </w:pPr>
    </w:p>
    <w:p w14:paraId="2E1ABC55" w14:textId="6B6B5192" w:rsidR="00D41BB9" w:rsidRPr="004E13E9" w:rsidRDefault="00E95051">
      <w:pPr>
        <w:rPr>
          <w:lang w:val="fr-FR"/>
        </w:rPr>
      </w:pPr>
      <w:r w:rsidRPr="004E13E9">
        <w:rPr>
          <w:b/>
          <w:sz w:val="18"/>
          <w:lang w:val="fr-FR"/>
        </w:rPr>
        <w:t>Butterworth</w:t>
      </w:r>
      <w:r w:rsidRPr="004E13E9">
        <w:rPr>
          <w:sz w:val="18"/>
          <w:lang w:val="fr-FR"/>
        </w:rPr>
        <w:t>, Douglas S.</w:t>
      </w:r>
      <w:r w:rsidR="008D6E32" w:rsidRPr="004E13E9">
        <w:rPr>
          <w:sz w:val="18"/>
          <w:lang w:val="fr-FR"/>
        </w:rPr>
        <w:t xml:space="preserve"> (</w:t>
      </w:r>
      <w:r w:rsidR="00D40F91" w:rsidRPr="004E13E9">
        <w:rPr>
          <w:sz w:val="18"/>
          <w:lang w:val="fr-FR"/>
        </w:rPr>
        <w:t>en ligne</w:t>
      </w:r>
      <w:r w:rsidR="008D6E32" w:rsidRPr="004E13E9">
        <w:rPr>
          <w:sz w:val="18"/>
          <w:lang w:val="fr-FR"/>
        </w:rPr>
        <w:t>)</w:t>
      </w:r>
    </w:p>
    <w:p w14:paraId="52B7D767" w14:textId="19EE63C4" w:rsidR="00D41BB9" w:rsidRPr="004E13E9" w:rsidRDefault="00E95051">
      <w:pPr>
        <w:jc w:val="both"/>
      </w:pPr>
      <w:r w:rsidRPr="004E13E9">
        <w:rPr>
          <w:sz w:val="18"/>
        </w:rPr>
        <w:t>Emeritus Professor, Department of Mathematics and Applied Mathematics, University of Cape Town, Rondebosch, 7701 Cape Town, S</w:t>
      </w:r>
      <w:r w:rsidR="008D6E32" w:rsidRPr="004E13E9">
        <w:rPr>
          <w:sz w:val="18"/>
        </w:rPr>
        <w:t>outh Africa</w:t>
      </w:r>
    </w:p>
    <w:p w14:paraId="71CF720B" w14:textId="77777777" w:rsidR="00D41BB9" w:rsidRPr="004E13E9" w:rsidRDefault="00E95051">
      <w:pPr>
        <w:jc w:val="both"/>
        <w:rPr>
          <w:lang w:val="pt-PT"/>
        </w:rPr>
      </w:pPr>
      <w:r w:rsidRPr="004E13E9">
        <w:rPr>
          <w:sz w:val="18"/>
          <w:lang w:val="pt-PT"/>
        </w:rPr>
        <w:t>Tel: +27 21 650 2343, E-Mail: doug.butterworth@uct.ac.za</w:t>
      </w:r>
    </w:p>
    <w:p w14:paraId="3E56F1DA" w14:textId="77777777" w:rsidR="00D41BB9" w:rsidRPr="004E13E9" w:rsidRDefault="00D41BB9">
      <w:pPr>
        <w:rPr>
          <w:lang w:val="pt-PT"/>
        </w:rPr>
      </w:pPr>
    </w:p>
    <w:p w14:paraId="28891ABA" w14:textId="77777777" w:rsidR="00D41BB9" w:rsidRPr="00C712A4" w:rsidRDefault="00E95051">
      <w:pPr>
        <w:rPr>
          <w:lang w:val="it-IT"/>
        </w:rPr>
      </w:pPr>
      <w:proofErr w:type="spellStart"/>
      <w:r w:rsidRPr="00C712A4">
        <w:rPr>
          <w:b/>
          <w:sz w:val="18"/>
          <w:lang w:val="it-IT"/>
        </w:rPr>
        <w:t>Fukugama</w:t>
      </w:r>
      <w:proofErr w:type="spellEnd"/>
      <w:r w:rsidRPr="00C712A4">
        <w:rPr>
          <w:sz w:val="18"/>
          <w:lang w:val="it-IT"/>
        </w:rPr>
        <w:t>, Chika</w:t>
      </w:r>
    </w:p>
    <w:p w14:paraId="2ED325F1" w14:textId="6D574B5E" w:rsidR="00D41BB9" w:rsidRPr="004E13E9" w:rsidRDefault="00E95051">
      <w:pPr>
        <w:jc w:val="both"/>
      </w:pPr>
      <w:r w:rsidRPr="004E13E9">
        <w:rPr>
          <w:sz w:val="18"/>
        </w:rPr>
        <w:t>Assistant Director, International Affairs Division, Fisheries Agency of Japan, Ministry of Agriculture, Forestry and Fisheries, 1-2-1, Kasumigaseki, Chiyoda-</w:t>
      </w:r>
      <w:proofErr w:type="spellStart"/>
      <w:r w:rsidRPr="004E13E9">
        <w:rPr>
          <w:sz w:val="18"/>
        </w:rPr>
        <w:t>ku</w:t>
      </w:r>
      <w:proofErr w:type="spellEnd"/>
      <w:r w:rsidRPr="004E13E9">
        <w:rPr>
          <w:sz w:val="18"/>
        </w:rPr>
        <w:t>, Tokyo</w:t>
      </w:r>
      <w:r w:rsidR="009523C8" w:rsidRPr="004E13E9">
        <w:rPr>
          <w:sz w:val="18"/>
        </w:rPr>
        <w:t xml:space="preserve"> </w:t>
      </w:r>
      <w:r w:rsidRPr="004E13E9">
        <w:rPr>
          <w:sz w:val="18"/>
        </w:rPr>
        <w:t>100-8907</w:t>
      </w:r>
    </w:p>
    <w:p w14:paraId="75635641" w14:textId="77777777" w:rsidR="00D41BB9" w:rsidRPr="00C712A4" w:rsidRDefault="00E95051">
      <w:pPr>
        <w:jc w:val="both"/>
        <w:rPr>
          <w:lang w:val="it-IT"/>
        </w:rPr>
      </w:pPr>
      <w:r w:rsidRPr="00C712A4">
        <w:rPr>
          <w:sz w:val="18"/>
          <w:lang w:val="it-IT"/>
        </w:rPr>
        <w:t>Tel: +81 3 3502 8460, Fax: +81 3 3504 2649, E-Mail: chika_fukugama740@maff.go.jp</w:t>
      </w:r>
    </w:p>
    <w:p w14:paraId="7EF0F54B" w14:textId="77777777" w:rsidR="00D41BB9" w:rsidRPr="00C712A4" w:rsidRDefault="00D41BB9">
      <w:pPr>
        <w:rPr>
          <w:lang w:val="it-IT"/>
        </w:rPr>
      </w:pPr>
    </w:p>
    <w:p w14:paraId="7CFF3DD8" w14:textId="77777777" w:rsidR="00D41BB9" w:rsidRPr="00C712A4" w:rsidRDefault="00E95051">
      <w:pPr>
        <w:rPr>
          <w:lang w:val="it-IT"/>
        </w:rPr>
      </w:pPr>
      <w:proofErr w:type="spellStart"/>
      <w:r w:rsidRPr="00C712A4">
        <w:rPr>
          <w:b/>
          <w:sz w:val="18"/>
          <w:lang w:val="it-IT"/>
        </w:rPr>
        <w:t>Iioka</w:t>
      </w:r>
      <w:proofErr w:type="spellEnd"/>
      <w:r w:rsidRPr="00C712A4">
        <w:rPr>
          <w:b/>
          <w:sz w:val="18"/>
          <w:lang w:val="it-IT"/>
        </w:rPr>
        <w:t xml:space="preserve"> (Yokoyama)</w:t>
      </w:r>
      <w:r w:rsidRPr="00C712A4">
        <w:rPr>
          <w:sz w:val="18"/>
          <w:lang w:val="it-IT"/>
        </w:rPr>
        <w:t>, Mako</w:t>
      </w:r>
    </w:p>
    <w:p w14:paraId="66F4948F" w14:textId="358F23F3" w:rsidR="00D41BB9" w:rsidRPr="004E13E9" w:rsidRDefault="00E95051">
      <w:pPr>
        <w:jc w:val="both"/>
      </w:pPr>
      <w:r w:rsidRPr="004E13E9">
        <w:rPr>
          <w:sz w:val="18"/>
        </w:rPr>
        <w:t>Assistant Director, International Affairs Division, Fisheries Agency of Japan, Ministry of Agriculture, Forestry and Fisheries, 1-2-1 Kasumigaseki, Chiyoda-Ku, Tokyo</w:t>
      </w:r>
      <w:r w:rsidR="009523C8" w:rsidRPr="004E13E9">
        <w:rPr>
          <w:sz w:val="18"/>
        </w:rPr>
        <w:t xml:space="preserve"> </w:t>
      </w:r>
      <w:r w:rsidRPr="004E13E9">
        <w:rPr>
          <w:sz w:val="18"/>
        </w:rPr>
        <w:t>100-8907</w:t>
      </w:r>
    </w:p>
    <w:p w14:paraId="4FF40CFD" w14:textId="77777777" w:rsidR="00D41BB9" w:rsidRPr="004E13E9" w:rsidRDefault="00E95051">
      <w:pPr>
        <w:jc w:val="both"/>
      </w:pPr>
      <w:r w:rsidRPr="004E13E9">
        <w:rPr>
          <w:sz w:val="18"/>
        </w:rPr>
        <w:t>Tel: +81 3 3502 8204, Fax: +81 3 3504 2649, E-Mail: mako_iioka540@maff.go.jp</w:t>
      </w:r>
    </w:p>
    <w:p w14:paraId="60A313FC" w14:textId="77777777" w:rsidR="00D41BB9" w:rsidRPr="004E13E9" w:rsidRDefault="00D41BB9"/>
    <w:p w14:paraId="6B428EB9" w14:textId="72217593" w:rsidR="00D41BB9" w:rsidRPr="004E13E9" w:rsidRDefault="00E95051">
      <w:proofErr w:type="spellStart"/>
      <w:r w:rsidRPr="004E13E9">
        <w:rPr>
          <w:b/>
          <w:sz w:val="18"/>
        </w:rPr>
        <w:t>Katsuyama</w:t>
      </w:r>
      <w:proofErr w:type="spellEnd"/>
      <w:r w:rsidRPr="004E13E9">
        <w:rPr>
          <w:sz w:val="18"/>
        </w:rPr>
        <w:t>, Kiyoshi</w:t>
      </w:r>
      <w:r w:rsidR="008D6E32" w:rsidRPr="004E13E9">
        <w:rPr>
          <w:sz w:val="18"/>
        </w:rPr>
        <w:t xml:space="preserve"> </w:t>
      </w:r>
      <w:r w:rsidR="008D6E32" w:rsidRPr="004E13E9">
        <w:rPr>
          <w:sz w:val="18"/>
          <w:vertAlign w:val="superscript"/>
        </w:rPr>
        <w:t>1</w:t>
      </w:r>
    </w:p>
    <w:p w14:paraId="736A49C9" w14:textId="22096DED" w:rsidR="00D41BB9" w:rsidRPr="004E13E9" w:rsidRDefault="00E95051">
      <w:pPr>
        <w:jc w:val="both"/>
      </w:pPr>
      <w:r w:rsidRPr="004E13E9">
        <w:rPr>
          <w:sz w:val="18"/>
        </w:rPr>
        <w:t>Adviser, Japan Tuna Fisheries Co-operative Association, Tokyo</w:t>
      </w:r>
      <w:r w:rsidR="009523C8" w:rsidRPr="004E13E9">
        <w:rPr>
          <w:sz w:val="18"/>
        </w:rPr>
        <w:t xml:space="preserve"> </w:t>
      </w:r>
      <w:r w:rsidRPr="004E13E9">
        <w:rPr>
          <w:sz w:val="18"/>
        </w:rPr>
        <w:t>135-0034</w:t>
      </w:r>
    </w:p>
    <w:p w14:paraId="34468F2F" w14:textId="77777777" w:rsidR="008D6E32" w:rsidRPr="004E13E9" w:rsidRDefault="008D6E32">
      <w:pPr>
        <w:rPr>
          <w:b/>
          <w:sz w:val="18"/>
        </w:rPr>
      </w:pPr>
    </w:p>
    <w:p w14:paraId="6EA36597" w14:textId="25010C6E" w:rsidR="00D41BB9" w:rsidRPr="004E13E9" w:rsidRDefault="00E95051">
      <w:r w:rsidRPr="004E13E9">
        <w:rPr>
          <w:b/>
          <w:sz w:val="18"/>
        </w:rPr>
        <w:t>Kawano</w:t>
      </w:r>
      <w:r w:rsidRPr="004E13E9">
        <w:rPr>
          <w:sz w:val="18"/>
        </w:rPr>
        <w:t>, Masataka</w:t>
      </w:r>
    </w:p>
    <w:p w14:paraId="0D7D3151" w14:textId="2AEECCAE" w:rsidR="00D41BB9" w:rsidRPr="004E13E9" w:rsidRDefault="00E95051">
      <w:pPr>
        <w:jc w:val="both"/>
      </w:pPr>
      <w:r w:rsidRPr="004E13E9">
        <w:rPr>
          <w:sz w:val="18"/>
        </w:rPr>
        <w:t>Technical Official, International Affairs Division, Fisheries Agency of Japan, Ministry of Agriculture, Forestry and Fisheries, 1-2-1, Kasumigaseki, Chiyoda-</w:t>
      </w:r>
      <w:proofErr w:type="spellStart"/>
      <w:r w:rsidRPr="004E13E9">
        <w:rPr>
          <w:sz w:val="18"/>
        </w:rPr>
        <w:t>ku</w:t>
      </w:r>
      <w:proofErr w:type="spellEnd"/>
      <w:r w:rsidRPr="004E13E9">
        <w:rPr>
          <w:sz w:val="18"/>
        </w:rPr>
        <w:t>, Tokyo</w:t>
      </w:r>
      <w:r w:rsidR="009523C8" w:rsidRPr="004E13E9">
        <w:rPr>
          <w:sz w:val="18"/>
        </w:rPr>
        <w:t xml:space="preserve"> </w:t>
      </w:r>
      <w:r w:rsidRPr="004E13E9">
        <w:rPr>
          <w:sz w:val="18"/>
        </w:rPr>
        <w:t>100-8907</w:t>
      </w:r>
    </w:p>
    <w:p w14:paraId="16D9B3CA" w14:textId="77777777" w:rsidR="00D41BB9" w:rsidRPr="004E13E9" w:rsidRDefault="00E95051">
      <w:pPr>
        <w:jc w:val="both"/>
        <w:rPr>
          <w:lang w:val="fr-FR"/>
        </w:rPr>
      </w:pPr>
      <w:r w:rsidRPr="004E13E9">
        <w:rPr>
          <w:sz w:val="18"/>
          <w:lang w:val="fr-FR"/>
        </w:rPr>
        <w:t>Tel: +81 3 3502 8460, Fax: +81 3 3504 2649, E-Mail: masataka_kawano320@maff.go.jp</w:t>
      </w:r>
    </w:p>
    <w:p w14:paraId="38D30B2C" w14:textId="77777777" w:rsidR="00D41BB9" w:rsidRPr="004E13E9" w:rsidRDefault="00D41BB9">
      <w:pPr>
        <w:rPr>
          <w:lang w:val="fr-FR"/>
        </w:rPr>
      </w:pPr>
    </w:p>
    <w:p w14:paraId="13607912" w14:textId="21B69A9F" w:rsidR="00D41BB9" w:rsidRPr="004E13E9" w:rsidRDefault="00E95051">
      <w:pPr>
        <w:rPr>
          <w:lang w:val="fr-FR"/>
        </w:rPr>
      </w:pPr>
      <w:r w:rsidRPr="004E13E9">
        <w:rPr>
          <w:b/>
          <w:sz w:val="18"/>
          <w:lang w:val="fr-FR"/>
        </w:rPr>
        <w:t>Meyer</w:t>
      </w:r>
      <w:r w:rsidRPr="004E13E9">
        <w:rPr>
          <w:sz w:val="18"/>
          <w:lang w:val="fr-FR"/>
        </w:rPr>
        <w:t>, Alex</w:t>
      </w:r>
      <w:r w:rsidR="008D6E32" w:rsidRPr="004E13E9">
        <w:rPr>
          <w:sz w:val="18"/>
          <w:lang w:val="fr-FR"/>
        </w:rPr>
        <w:t xml:space="preserve"> (</w:t>
      </w:r>
      <w:r w:rsidR="00D40F91" w:rsidRPr="004E13E9">
        <w:rPr>
          <w:sz w:val="18"/>
          <w:lang w:val="fr-FR"/>
        </w:rPr>
        <w:t>en ligne</w:t>
      </w:r>
      <w:r w:rsidR="008D6E32" w:rsidRPr="004E13E9">
        <w:rPr>
          <w:sz w:val="18"/>
          <w:lang w:val="fr-FR"/>
        </w:rPr>
        <w:t>)</w:t>
      </w:r>
    </w:p>
    <w:p w14:paraId="77115218" w14:textId="74757529" w:rsidR="00D41BB9" w:rsidRPr="004E13E9" w:rsidRDefault="00E95051">
      <w:pPr>
        <w:jc w:val="both"/>
        <w:rPr>
          <w:lang w:val="fr-FR"/>
        </w:rPr>
      </w:pPr>
      <w:r w:rsidRPr="004E13E9">
        <w:rPr>
          <w:sz w:val="18"/>
          <w:lang w:val="fr-FR"/>
        </w:rPr>
        <w:t>Communication Consultant &amp; Rapporteur, Shinagawa-</w:t>
      </w:r>
      <w:proofErr w:type="spellStart"/>
      <w:r w:rsidRPr="004E13E9">
        <w:rPr>
          <w:sz w:val="18"/>
          <w:lang w:val="fr-FR"/>
        </w:rPr>
        <w:t>ku</w:t>
      </w:r>
      <w:proofErr w:type="spellEnd"/>
      <w:r w:rsidRPr="004E13E9">
        <w:rPr>
          <w:sz w:val="18"/>
          <w:lang w:val="fr-FR"/>
        </w:rPr>
        <w:t>, Tokyo</w:t>
      </w:r>
      <w:r w:rsidR="009523C8" w:rsidRPr="004E13E9">
        <w:rPr>
          <w:sz w:val="18"/>
          <w:lang w:val="fr-FR"/>
        </w:rPr>
        <w:t xml:space="preserve"> </w:t>
      </w:r>
      <w:r w:rsidRPr="004E13E9">
        <w:rPr>
          <w:sz w:val="18"/>
          <w:lang w:val="fr-FR"/>
        </w:rPr>
        <w:t>1410001</w:t>
      </w:r>
    </w:p>
    <w:p w14:paraId="6E876983" w14:textId="77777777" w:rsidR="00D41BB9" w:rsidRPr="004E13E9" w:rsidRDefault="00E95051">
      <w:pPr>
        <w:jc w:val="both"/>
        <w:rPr>
          <w:lang w:val="pt-PT"/>
        </w:rPr>
      </w:pPr>
      <w:r w:rsidRPr="004E13E9">
        <w:rPr>
          <w:sz w:val="18"/>
          <w:lang w:val="pt-PT"/>
        </w:rPr>
        <w:t>Tel: +81 336 432 5691, E-Mail: meyer@urbanconnections.jp</w:t>
      </w:r>
    </w:p>
    <w:p w14:paraId="5BE7BE19" w14:textId="77777777" w:rsidR="00D41BB9" w:rsidRPr="004E13E9" w:rsidRDefault="00D41BB9">
      <w:pPr>
        <w:rPr>
          <w:lang w:val="pt-PT"/>
        </w:rPr>
      </w:pPr>
    </w:p>
    <w:p w14:paraId="6474BA7E" w14:textId="1566DD71" w:rsidR="00D41BB9" w:rsidRPr="004E13E9" w:rsidRDefault="00E95051">
      <w:pPr>
        <w:rPr>
          <w:lang w:val="pt-PT"/>
        </w:rPr>
      </w:pPr>
      <w:r w:rsidRPr="004E13E9">
        <w:rPr>
          <w:b/>
          <w:sz w:val="18"/>
          <w:lang w:val="pt-PT"/>
        </w:rPr>
        <w:t>Miura</w:t>
      </w:r>
      <w:r w:rsidRPr="004E13E9">
        <w:rPr>
          <w:sz w:val="18"/>
          <w:lang w:val="pt-PT"/>
        </w:rPr>
        <w:t>, Nozomu</w:t>
      </w:r>
      <w:r w:rsidR="008D6E32" w:rsidRPr="004E13E9">
        <w:rPr>
          <w:sz w:val="18"/>
          <w:lang w:val="pt-PT"/>
        </w:rPr>
        <w:t xml:space="preserve"> (</w:t>
      </w:r>
      <w:r w:rsidR="00D40F91" w:rsidRPr="004E13E9">
        <w:rPr>
          <w:sz w:val="18"/>
          <w:lang w:val="pt-PT"/>
        </w:rPr>
        <w:t>en ligne</w:t>
      </w:r>
      <w:r w:rsidR="008D6E32" w:rsidRPr="004E13E9">
        <w:rPr>
          <w:sz w:val="18"/>
          <w:lang w:val="pt-PT"/>
        </w:rPr>
        <w:t>)</w:t>
      </w:r>
    </w:p>
    <w:p w14:paraId="6D2365D0" w14:textId="39C10E8E" w:rsidR="00D41BB9" w:rsidRPr="004E13E9" w:rsidRDefault="00E95051">
      <w:pPr>
        <w:jc w:val="both"/>
        <w:rPr>
          <w:lang w:val="pt-PT"/>
        </w:rPr>
      </w:pPr>
      <w:r w:rsidRPr="004E13E9">
        <w:rPr>
          <w:sz w:val="18"/>
          <w:lang w:val="pt-PT"/>
        </w:rPr>
        <w:t>Assistant Director, International Division, Japan Tuna Fisheries Co-operative Association, 2-31-1 Eitai Koto-ku, Tokyo</w:t>
      </w:r>
      <w:r w:rsidR="009523C8" w:rsidRPr="004E13E9">
        <w:rPr>
          <w:sz w:val="18"/>
          <w:lang w:val="pt-PT"/>
        </w:rPr>
        <w:t xml:space="preserve"> </w:t>
      </w:r>
      <w:r w:rsidRPr="004E13E9">
        <w:rPr>
          <w:sz w:val="18"/>
          <w:lang w:val="pt-PT"/>
        </w:rPr>
        <w:t>135-0034</w:t>
      </w:r>
    </w:p>
    <w:p w14:paraId="0205C7F0" w14:textId="77777777" w:rsidR="00D41BB9" w:rsidRPr="004E13E9" w:rsidRDefault="00E95051">
      <w:pPr>
        <w:jc w:val="both"/>
        <w:rPr>
          <w:lang w:val="pt-PT"/>
        </w:rPr>
      </w:pPr>
      <w:r w:rsidRPr="004E13E9">
        <w:rPr>
          <w:sz w:val="18"/>
          <w:lang w:val="pt-PT"/>
        </w:rPr>
        <w:t>Tel: +81 3 5646 2382, Fax: +81 3 5646 2652, E-Mail: miura@japantuna.or.jp; gyojyo@japantuna.or.jp</w:t>
      </w:r>
    </w:p>
    <w:p w14:paraId="32D400E7" w14:textId="77777777" w:rsidR="00D41BB9" w:rsidRPr="004E13E9" w:rsidRDefault="00D41BB9">
      <w:pPr>
        <w:rPr>
          <w:lang w:val="pt-PT"/>
        </w:rPr>
      </w:pPr>
    </w:p>
    <w:p w14:paraId="0A337909" w14:textId="7E8118D4" w:rsidR="00D41BB9" w:rsidRPr="004E13E9" w:rsidRDefault="00E95051">
      <w:r w:rsidRPr="004E13E9">
        <w:rPr>
          <w:b/>
          <w:sz w:val="18"/>
        </w:rPr>
        <w:t>Nakatsuka</w:t>
      </w:r>
      <w:r w:rsidRPr="004E13E9">
        <w:rPr>
          <w:sz w:val="18"/>
        </w:rPr>
        <w:t>, Shuya</w:t>
      </w:r>
      <w:r w:rsidR="008D6E32" w:rsidRPr="004E13E9">
        <w:rPr>
          <w:sz w:val="18"/>
        </w:rPr>
        <w:t xml:space="preserve"> (</w:t>
      </w:r>
      <w:proofErr w:type="spellStart"/>
      <w:r w:rsidR="00D40F91" w:rsidRPr="004E13E9">
        <w:rPr>
          <w:sz w:val="18"/>
        </w:rPr>
        <w:t>en</w:t>
      </w:r>
      <w:proofErr w:type="spellEnd"/>
      <w:r w:rsidR="00D40F91" w:rsidRPr="004E13E9">
        <w:rPr>
          <w:sz w:val="18"/>
        </w:rPr>
        <w:t xml:space="preserve"> </w:t>
      </w:r>
      <w:proofErr w:type="spellStart"/>
      <w:r w:rsidR="00D40F91" w:rsidRPr="004E13E9">
        <w:rPr>
          <w:sz w:val="18"/>
        </w:rPr>
        <w:t>ligne</w:t>
      </w:r>
      <w:proofErr w:type="spellEnd"/>
      <w:r w:rsidR="008D6E32" w:rsidRPr="004E13E9">
        <w:rPr>
          <w:sz w:val="18"/>
        </w:rPr>
        <w:t>)</w:t>
      </w:r>
    </w:p>
    <w:p w14:paraId="73B713F3" w14:textId="77777777" w:rsidR="00D41BB9" w:rsidRPr="004E13E9" w:rsidRDefault="00E95051">
      <w:pPr>
        <w:jc w:val="both"/>
      </w:pPr>
      <w:r w:rsidRPr="004E13E9">
        <w:rPr>
          <w:sz w:val="18"/>
        </w:rPr>
        <w:t xml:space="preserve">Deputy Director, Highly Migratory Resources Division, Fisheries Resources Institute, Japan Fisheries Research and Education Agency, 2-12-4, </w:t>
      </w:r>
      <w:proofErr w:type="spellStart"/>
      <w:r w:rsidRPr="004E13E9">
        <w:rPr>
          <w:sz w:val="18"/>
        </w:rPr>
        <w:t>Fukuura</w:t>
      </w:r>
      <w:proofErr w:type="spellEnd"/>
      <w:r w:rsidRPr="004E13E9">
        <w:rPr>
          <w:sz w:val="18"/>
        </w:rPr>
        <w:t>, Kanazawa Kanagawa, 236-8648</w:t>
      </w:r>
    </w:p>
    <w:p w14:paraId="51854EA2" w14:textId="77777777" w:rsidR="00D41BB9" w:rsidRPr="004E13E9" w:rsidRDefault="00E95051">
      <w:pPr>
        <w:jc w:val="both"/>
        <w:rPr>
          <w:lang w:val="pt-PT"/>
        </w:rPr>
      </w:pPr>
      <w:r w:rsidRPr="004E13E9">
        <w:rPr>
          <w:sz w:val="18"/>
          <w:lang w:val="pt-PT"/>
        </w:rPr>
        <w:t>Tel: +81 45 788 7950, E-Mail: nakatsuka_shuya49@fra.go.jp</w:t>
      </w:r>
    </w:p>
    <w:p w14:paraId="02267259" w14:textId="77777777" w:rsidR="00D41BB9" w:rsidRPr="004E13E9" w:rsidRDefault="00D41BB9">
      <w:pPr>
        <w:rPr>
          <w:lang w:val="pt-PT"/>
        </w:rPr>
      </w:pPr>
    </w:p>
    <w:p w14:paraId="17FD7D7A" w14:textId="77777777" w:rsidR="00D41BB9" w:rsidRPr="004E13E9" w:rsidRDefault="00E95051">
      <w:r w:rsidRPr="004E13E9">
        <w:rPr>
          <w:b/>
          <w:sz w:val="18"/>
        </w:rPr>
        <w:t>Tominaga</w:t>
      </w:r>
      <w:r w:rsidRPr="004E13E9">
        <w:rPr>
          <w:sz w:val="18"/>
        </w:rPr>
        <w:t>, Haruo</w:t>
      </w:r>
    </w:p>
    <w:p w14:paraId="72C36D30" w14:textId="5595ED56" w:rsidR="00D41BB9" w:rsidRPr="004E13E9" w:rsidRDefault="00E95051">
      <w:pPr>
        <w:jc w:val="both"/>
      </w:pPr>
      <w:r w:rsidRPr="004E13E9">
        <w:rPr>
          <w:sz w:val="18"/>
        </w:rPr>
        <w:t>Director, International Fisheries Coordination, International Affairs Division, Fisheries Agency of Japan, Ministry of Agriculture, Forestry and Fisheries, 1-2-1 Kasumigaseki, Chiyoda-</w:t>
      </w:r>
      <w:proofErr w:type="spellStart"/>
      <w:r w:rsidRPr="004E13E9">
        <w:rPr>
          <w:sz w:val="18"/>
        </w:rPr>
        <w:t>ku</w:t>
      </w:r>
      <w:proofErr w:type="spellEnd"/>
      <w:r w:rsidRPr="004E13E9">
        <w:rPr>
          <w:sz w:val="18"/>
        </w:rPr>
        <w:t>, Tokyo</w:t>
      </w:r>
      <w:r w:rsidR="009523C8" w:rsidRPr="004E13E9">
        <w:rPr>
          <w:sz w:val="18"/>
        </w:rPr>
        <w:t xml:space="preserve"> </w:t>
      </w:r>
      <w:r w:rsidRPr="004E13E9">
        <w:rPr>
          <w:sz w:val="18"/>
        </w:rPr>
        <w:t>100-8907</w:t>
      </w:r>
    </w:p>
    <w:p w14:paraId="4E40C04D" w14:textId="77777777" w:rsidR="00D41BB9" w:rsidRPr="004E13E9" w:rsidRDefault="00E95051">
      <w:pPr>
        <w:jc w:val="both"/>
        <w:rPr>
          <w:lang w:val="fr-FR"/>
        </w:rPr>
      </w:pPr>
      <w:r w:rsidRPr="004E13E9">
        <w:rPr>
          <w:sz w:val="18"/>
          <w:lang w:val="fr-FR"/>
        </w:rPr>
        <w:t>Tel: +81 3 3591 1086, Fax: +81 3 3504 2649, E-Mail: haruo_tominaga170@maff.go.jp</w:t>
      </w:r>
    </w:p>
    <w:p w14:paraId="251E192D" w14:textId="77777777" w:rsidR="00D41BB9" w:rsidRPr="004E13E9" w:rsidRDefault="00D41BB9">
      <w:pPr>
        <w:rPr>
          <w:lang w:val="fr-FR"/>
        </w:rPr>
      </w:pPr>
    </w:p>
    <w:p w14:paraId="4754D780" w14:textId="77777777" w:rsidR="00D41BB9" w:rsidRPr="004E13E9" w:rsidRDefault="00D41BB9">
      <w:pPr>
        <w:rPr>
          <w:lang w:val="fr-FR"/>
        </w:rPr>
      </w:pPr>
    </w:p>
    <w:p w14:paraId="60476CE5" w14:textId="77777777" w:rsidR="000C4DA2" w:rsidRPr="004E13E9" w:rsidRDefault="000C4DA2">
      <w:pPr>
        <w:rPr>
          <w:b/>
          <w:lang w:val="fr-FR" w:eastAsia="en-GB"/>
        </w:rPr>
      </w:pPr>
      <w:r w:rsidRPr="004E13E9">
        <w:rPr>
          <w:b/>
          <w:lang w:val="fr-FR" w:eastAsia="en-GB"/>
        </w:rPr>
        <w:br w:type="page"/>
      </w:r>
    </w:p>
    <w:p w14:paraId="441570BC" w14:textId="73B7766F" w:rsidR="000C4DA2" w:rsidRPr="004E13E9" w:rsidRDefault="000C4DA2" w:rsidP="000C4DA2">
      <w:pPr>
        <w:rPr>
          <w:b/>
          <w:sz w:val="18"/>
          <w:lang w:val="fr-FR" w:eastAsia="en-GB"/>
        </w:rPr>
      </w:pPr>
      <w:r w:rsidRPr="004E13E9">
        <w:rPr>
          <w:b/>
          <w:lang w:val="fr-FR" w:eastAsia="en-GB"/>
        </w:rPr>
        <w:lastRenderedPageBreak/>
        <w:t>LIBYE</w:t>
      </w:r>
    </w:p>
    <w:p w14:paraId="46723930" w14:textId="05C09EA0" w:rsidR="00D41BB9" w:rsidRPr="004E13E9" w:rsidRDefault="00E95051">
      <w:pPr>
        <w:rPr>
          <w:lang w:val="fr-FR"/>
        </w:rPr>
      </w:pPr>
      <w:proofErr w:type="spellStart"/>
      <w:r w:rsidRPr="004E13E9">
        <w:rPr>
          <w:b/>
          <w:sz w:val="18"/>
          <w:lang w:val="fr-FR"/>
        </w:rPr>
        <w:t>Gafari</w:t>
      </w:r>
      <w:proofErr w:type="spellEnd"/>
      <w:r w:rsidRPr="004E13E9">
        <w:rPr>
          <w:sz w:val="18"/>
          <w:lang w:val="fr-FR"/>
        </w:rPr>
        <w:t>, Hasan Fouzi *</w:t>
      </w:r>
      <w:r w:rsidR="008D6E32" w:rsidRPr="004E13E9">
        <w:rPr>
          <w:sz w:val="18"/>
          <w:lang w:val="fr-FR"/>
        </w:rPr>
        <w:t xml:space="preserve"> (</w:t>
      </w:r>
      <w:r w:rsidR="00D40F91" w:rsidRPr="004E13E9">
        <w:rPr>
          <w:sz w:val="18"/>
          <w:lang w:val="fr-FR"/>
        </w:rPr>
        <w:t>en ligne</w:t>
      </w:r>
      <w:r w:rsidR="008D6E32" w:rsidRPr="004E13E9">
        <w:rPr>
          <w:sz w:val="18"/>
          <w:lang w:val="fr-FR"/>
        </w:rPr>
        <w:t>)</w:t>
      </w:r>
    </w:p>
    <w:p w14:paraId="2708C5F9" w14:textId="77777777" w:rsidR="00D41BB9" w:rsidRPr="004E13E9" w:rsidRDefault="00E95051">
      <w:pPr>
        <w:jc w:val="both"/>
      </w:pPr>
      <w:r w:rsidRPr="004E13E9">
        <w:rPr>
          <w:sz w:val="18"/>
        </w:rPr>
        <w:t xml:space="preserve">Director - Libyan Commissioner to ICCAT, Ministry of Marine Wealth, </w:t>
      </w:r>
      <w:proofErr w:type="spellStart"/>
      <w:r w:rsidRPr="004E13E9">
        <w:rPr>
          <w:sz w:val="18"/>
        </w:rPr>
        <w:t>Adminstration</w:t>
      </w:r>
      <w:proofErr w:type="spellEnd"/>
      <w:r w:rsidRPr="004E13E9">
        <w:rPr>
          <w:sz w:val="18"/>
        </w:rPr>
        <w:t xml:space="preserve"> of Fishing Ports, </w:t>
      </w:r>
      <w:proofErr w:type="spellStart"/>
      <w:r w:rsidRPr="004E13E9">
        <w:rPr>
          <w:sz w:val="18"/>
        </w:rPr>
        <w:t>Aldahra</w:t>
      </w:r>
      <w:proofErr w:type="spellEnd"/>
      <w:r w:rsidRPr="004E13E9">
        <w:rPr>
          <w:sz w:val="18"/>
        </w:rPr>
        <w:t xml:space="preserve"> Street, P.O. Box 80876, </w:t>
      </w:r>
      <w:proofErr w:type="spellStart"/>
      <w:r w:rsidRPr="004E13E9">
        <w:rPr>
          <w:sz w:val="18"/>
        </w:rPr>
        <w:t>Tajura</w:t>
      </w:r>
      <w:proofErr w:type="spellEnd"/>
      <w:r w:rsidRPr="004E13E9">
        <w:rPr>
          <w:sz w:val="18"/>
        </w:rPr>
        <w:t>, Tripoli</w:t>
      </w:r>
    </w:p>
    <w:p w14:paraId="169FABA4" w14:textId="77777777" w:rsidR="00D41BB9" w:rsidRPr="004E13E9" w:rsidRDefault="00E95051">
      <w:pPr>
        <w:jc w:val="both"/>
        <w:rPr>
          <w:lang w:val="pt-PT"/>
        </w:rPr>
      </w:pPr>
      <w:r w:rsidRPr="004E13E9">
        <w:rPr>
          <w:sz w:val="18"/>
          <w:lang w:val="pt-PT"/>
        </w:rPr>
        <w:t>Tel: +218 916 274 377, E-Mail: gafrihasan@gmail.com</w:t>
      </w:r>
    </w:p>
    <w:p w14:paraId="06885F50" w14:textId="77777777" w:rsidR="00D41BB9" w:rsidRPr="004E13E9" w:rsidRDefault="00D41BB9">
      <w:pPr>
        <w:rPr>
          <w:lang w:val="pt-PT"/>
        </w:rPr>
      </w:pPr>
    </w:p>
    <w:p w14:paraId="38BD4466" w14:textId="058ADB29" w:rsidR="00D41BB9" w:rsidRPr="00C712A4" w:rsidRDefault="00E95051">
      <w:r w:rsidRPr="00C712A4">
        <w:rPr>
          <w:b/>
          <w:sz w:val="18"/>
        </w:rPr>
        <w:t>El Rabeie</w:t>
      </w:r>
      <w:r w:rsidRPr="00C712A4">
        <w:rPr>
          <w:sz w:val="18"/>
        </w:rPr>
        <w:t>, Mohamed Noor Hilal M.</w:t>
      </w:r>
      <w:r w:rsidR="008D6E32" w:rsidRPr="00C712A4">
        <w:rPr>
          <w:sz w:val="18"/>
        </w:rPr>
        <w:t xml:space="preserve"> (</w:t>
      </w:r>
      <w:proofErr w:type="spellStart"/>
      <w:r w:rsidR="00D40F91" w:rsidRPr="00C712A4">
        <w:rPr>
          <w:sz w:val="18"/>
        </w:rPr>
        <w:t>en</w:t>
      </w:r>
      <w:proofErr w:type="spellEnd"/>
      <w:r w:rsidR="00D40F91" w:rsidRPr="00C712A4">
        <w:rPr>
          <w:sz w:val="18"/>
        </w:rPr>
        <w:t xml:space="preserve"> </w:t>
      </w:r>
      <w:proofErr w:type="spellStart"/>
      <w:r w:rsidR="00D40F91" w:rsidRPr="00C712A4">
        <w:rPr>
          <w:sz w:val="18"/>
        </w:rPr>
        <w:t>ligne</w:t>
      </w:r>
      <w:proofErr w:type="spellEnd"/>
      <w:r w:rsidR="008D6E32" w:rsidRPr="00C712A4">
        <w:rPr>
          <w:sz w:val="18"/>
        </w:rPr>
        <w:t>)</w:t>
      </w:r>
    </w:p>
    <w:p w14:paraId="4FF5C9B5" w14:textId="77777777" w:rsidR="00D41BB9" w:rsidRPr="004E13E9" w:rsidRDefault="00E95051">
      <w:pPr>
        <w:jc w:val="both"/>
      </w:pPr>
      <w:r w:rsidRPr="004E13E9">
        <w:rPr>
          <w:sz w:val="18"/>
        </w:rPr>
        <w:t xml:space="preserve">Libyan Vice </w:t>
      </w:r>
      <w:proofErr w:type="spellStart"/>
      <w:r w:rsidRPr="004E13E9">
        <w:rPr>
          <w:sz w:val="18"/>
        </w:rPr>
        <w:t>commisioner</w:t>
      </w:r>
      <w:proofErr w:type="spellEnd"/>
      <w:r w:rsidRPr="004E13E9">
        <w:rPr>
          <w:sz w:val="18"/>
        </w:rPr>
        <w:t xml:space="preserve"> to ICCAT, Ministry of Marine Wealth, </w:t>
      </w:r>
      <w:proofErr w:type="spellStart"/>
      <w:r w:rsidRPr="004E13E9">
        <w:rPr>
          <w:sz w:val="18"/>
        </w:rPr>
        <w:t>Adminstration</w:t>
      </w:r>
      <w:proofErr w:type="spellEnd"/>
      <w:r w:rsidRPr="004E13E9">
        <w:rPr>
          <w:sz w:val="18"/>
        </w:rPr>
        <w:t xml:space="preserve"> of Fishing Ports, </w:t>
      </w:r>
      <w:proofErr w:type="spellStart"/>
      <w:r w:rsidRPr="004E13E9">
        <w:rPr>
          <w:sz w:val="18"/>
        </w:rPr>
        <w:t>Aldahra</w:t>
      </w:r>
      <w:proofErr w:type="spellEnd"/>
      <w:r w:rsidRPr="004E13E9">
        <w:rPr>
          <w:sz w:val="18"/>
        </w:rPr>
        <w:t xml:space="preserve"> Street, Tripoli</w:t>
      </w:r>
    </w:p>
    <w:p w14:paraId="2347F7A0" w14:textId="77777777" w:rsidR="00D41BB9" w:rsidRPr="004E13E9" w:rsidRDefault="00E95051">
      <w:pPr>
        <w:jc w:val="both"/>
        <w:rPr>
          <w:lang w:val="pt-PT"/>
        </w:rPr>
      </w:pPr>
      <w:r w:rsidRPr="004E13E9">
        <w:rPr>
          <w:sz w:val="18"/>
          <w:lang w:val="pt-PT"/>
        </w:rPr>
        <w:t>Tel: +218 913 462 440, E-Mail: elrabeie.mohamed@gmail.com</w:t>
      </w:r>
    </w:p>
    <w:p w14:paraId="1AF38AEC" w14:textId="77777777" w:rsidR="00D41BB9" w:rsidRPr="004E13E9" w:rsidRDefault="00D41BB9">
      <w:pPr>
        <w:rPr>
          <w:lang w:val="pt-PT"/>
        </w:rPr>
      </w:pPr>
    </w:p>
    <w:p w14:paraId="22ADDF56" w14:textId="260EBEB0" w:rsidR="000C4DA2" w:rsidRPr="004E13E9" w:rsidRDefault="000C4DA2" w:rsidP="000C4DA2">
      <w:pPr>
        <w:rPr>
          <w:lang w:val="fr-FR"/>
        </w:rPr>
      </w:pPr>
      <w:r w:rsidRPr="004E13E9">
        <w:rPr>
          <w:b/>
          <w:lang w:val="fr-FR"/>
        </w:rPr>
        <w:t>MAROC</w:t>
      </w:r>
    </w:p>
    <w:p w14:paraId="035DB020" w14:textId="77777777" w:rsidR="000C4DA2" w:rsidRPr="004E13E9" w:rsidRDefault="000C4DA2" w:rsidP="000C4DA2">
      <w:pPr>
        <w:rPr>
          <w:lang w:val="fr-FR"/>
        </w:rPr>
      </w:pPr>
      <w:r w:rsidRPr="004E13E9">
        <w:rPr>
          <w:b/>
          <w:sz w:val="18"/>
          <w:lang w:val="fr-FR"/>
        </w:rPr>
        <w:t>Aouraghe</w:t>
      </w:r>
      <w:r w:rsidRPr="004E13E9">
        <w:rPr>
          <w:sz w:val="18"/>
          <w:lang w:val="fr-FR"/>
        </w:rPr>
        <w:t>, Abdelhakim</w:t>
      </w:r>
    </w:p>
    <w:p w14:paraId="3C3A72D9" w14:textId="77777777" w:rsidR="000C4DA2" w:rsidRPr="004E13E9" w:rsidRDefault="000C4DA2" w:rsidP="000C4DA2">
      <w:pPr>
        <w:jc w:val="both"/>
        <w:rPr>
          <w:lang w:val="fr-FR"/>
        </w:rPr>
      </w:pPr>
      <w:r w:rsidRPr="004E13E9">
        <w:rPr>
          <w:sz w:val="18"/>
          <w:lang w:val="fr-FR"/>
        </w:rPr>
        <w:t>Directeur de contrôle des activités de la pêche Maritime (DCAPM), Secrétariat d’Etat chargé de la Pêche Maritime, Nouveau Quartier Administratif; BP 476, 10090 Haut Agdal Rabat</w:t>
      </w:r>
    </w:p>
    <w:p w14:paraId="2954C3A7" w14:textId="77777777" w:rsidR="000C4DA2" w:rsidRPr="004E13E9" w:rsidRDefault="000C4DA2" w:rsidP="000C4DA2">
      <w:pPr>
        <w:rPr>
          <w:b/>
          <w:sz w:val="18"/>
          <w:lang w:val="pt-PT"/>
        </w:rPr>
      </w:pPr>
      <w:r w:rsidRPr="004E13E9">
        <w:rPr>
          <w:sz w:val="18"/>
          <w:lang w:val="pt-PT"/>
        </w:rPr>
        <w:t>Tel: +212 661 296 395, E-Mail: aouraghe@mpm.gov.ma</w:t>
      </w:r>
    </w:p>
    <w:p w14:paraId="33E2A8D2" w14:textId="77777777" w:rsidR="000C4DA2" w:rsidRPr="004E13E9" w:rsidRDefault="000C4DA2" w:rsidP="000C4DA2">
      <w:pPr>
        <w:rPr>
          <w:b/>
          <w:sz w:val="18"/>
          <w:lang w:val="pt-PT"/>
        </w:rPr>
      </w:pPr>
    </w:p>
    <w:p w14:paraId="19736140" w14:textId="77777777" w:rsidR="000C4DA2" w:rsidRPr="004E13E9" w:rsidRDefault="000C4DA2" w:rsidP="000C4DA2">
      <w:pPr>
        <w:rPr>
          <w:lang w:val="fr-FR"/>
        </w:rPr>
      </w:pPr>
      <w:r w:rsidRPr="004E13E9">
        <w:rPr>
          <w:b/>
          <w:sz w:val="18"/>
          <w:lang w:val="fr-FR"/>
        </w:rPr>
        <w:t>Abid</w:t>
      </w:r>
      <w:r w:rsidRPr="004E13E9">
        <w:rPr>
          <w:sz w:val="18"/>
          <w:lang w:val="fr-FR"/>
        </w:rPr>
        <w:t>, Noureddine</w:t>
      </w:r>
    </w:p>
    <w:p w14:paraId="7A66895F" w14:textId="77777777" w:rsidR="000C4DA2" w:rsidRPr="004E13E9" w:rsidRDefault="000C4DA2" w:rsidP="000C4DA2">
      <w:pPr>
        <w:jc w:val="both"/>
        <w:rPr>
          <w:lang w:val="fr-FR"/>
        </w:rPr>
      </w:pPr>
      <w:r w:rsidRPr="004E13E9">
        <w:rPr>
          <w:sz w:val="18"/>
          <w:lang w:val="fr-FR"/>
        </w:rPr>
        <w:t>Chercheur et ingénieur halieute au Centre régional de recherche halieutique de Tanger, Responsable du programme de suivi et d'étude des ressources des grands pélagiques, Centre régional de l'INRH à Tanger/M'</w:t>
      </w:r>
      <w:proofErr w:type="spellStart"/>
      <w:r w:rsidRPr="004E13E9">
        <w:rPr>
          <w:sz w:val="18"/>
          <w:lang w:val="fr-FR"/>
        </w:rPr>
        <w:t>dig</w:t>
      </w:r>
      <w:proofErr w:type="spellEnd"/>
      <w:r w:rsidRPr="004E13E9">
        <w:rPr>
          <w:sz w:val="18"/>
          <w:lang w:val="fr-FR"/>
        </w:rPr>
        <w:t xml:space="preserve">, B.P. 5268, 90000 </w:t>
      </w:r>
      <w:proofErr w:type="spellStart"/>
      <w:r w:rsidRPr="004E13E9">
        <w:rPr>
          <w:sz w:val="18"/>
          <w:lang w:val="fr-FR"/>
        </w:rPr>
        <w:t>Drabed</w:t>
      </w:r>
      <w:proofErr w:type="spellEnd"/>
      <w:r w:rsidRPr="004E13E9">
        <w:rPr>
          <w:sz w:val="18"/>
          <w:lang w:val="fr-FR"/>
        </w:rPr>
        <w:t>, Tanger</w:t>
      </w:r>
    </w:p>
    <w:p w14:paraId="4AB0F966" w14:textId="77777777" w:rsidR="000C4DA2" w:rsidRPr="004E13E9" w:rsidRDefault="000C4DA2" w:rsidP="000C4DA2">
      <w:pPr>
        <w:jc w:val="both"/>
        <w:rPr>
          <w:lang w:val="fr-FR"/>
        </w:rPr>
      </w:pPr>
      <w:r w:rsidRPr="004E13E9">
        <w:rPr>
          <w:sz w:val="18"/>
          <w:lang w:val="fr-FR"/>
        </w:rPr>
        <w:t>Tel: +212 53932 5134; +212 663 708 819, Fax: +212 53932 5139, E-Mail: nabid@inrh.ma</w:t>
      </w:r>
    </w:p>
    <w:p w14:paraId="025C8983" w14:textId="77777777" w:rsidR="000C4DA2" w:rsidRPr="004E13E9" w:rsidRDefault="000C4DA2" w:rsidP="000C4DA2">
      <w:pPr>
        <w:rPr>
          <w:lang w:val="fr-FR"/>
        </w:rPr>
      </w:pPr>
    </w:p>
    <w:p w14:paraId="331416B2" w14:textId="77777777" w:rsidR="000C4DA2" w:rsidRPr="004E13E9" w:rsidRDefault="000C4DA2" w:rsidP="000C4DA2">
      <w:pPr>
        <w:rPr>
          <w:lang w:val="fr-FR"/>
        </w:rPr>
      </w:pPr>
      <w:r w:rsidRPr="004E13E9">
        <w:rPr>
          <w:b/>
          <w:sz w:val="18"/>
          <w:lang w:val="fr-FR"/>
        </w:rPr>
        <w:t>Ben Bari</w:t>
      </w:r>
      <w:r w:rsidRPr="004E13E9">
        <w:rPr>
          <w:sz w:val="18"/>
          <w:lang w:val="fr-FR"/>
        </w:rPr>
        <w:t>, Mohamed (en ligne)</w:t>
      </w:r>
    </w:p>
    <w:p w14:paraId="24B775AC" w14:textId="77777777" w:rsidR="000C4DA2" w:rsidRPr="004E13E9" w:rsidRDefault="000C4DA2" w:rsidP="000C4DA2">
      <w:pPr>
        <w:jc w:val="both"/>
        <w:rPr>
          <w:lang w:val="fr-FR"/>
        </w:rPr>
      </w:pPr>
      <w:r w:rsidRPr="004E13E9">
        <w:rPr>
          <w:sz w:val="18"/>
          <w:lang w:val="fr-FR"/>
        </w:rPr>
        <w:t>Expert MCS Auprès du Secrétariat d'Etat chargé de la Pêche Maritime, Nouveau Quartier Administratif; BP 476, 10090 Haut Agdal Rabat</w:t>
      </w:r>
    </w:p>
    <w:p w14:paraId="2D2A0B25" w14:textId="77777777" w:rsidR="000C4DA2" w:rsidRPr="004E13E9" w:rsidRDefault="000C4DA2" w:rsidP="000C4DA2">
      <w:pPr>
        <w:jc w:val="both"/>
        <w:rPr>
          <w:lang w:val="fr-FR"/>
        </w:rPr>
      </w:pPr>
      <w:r w:rsidRPr="004E13E9">
        <w:rPr>
          <w:sz w:val="18"/>
          <w:lang w:val="fr-FR"/>
        </w:rPr>
        <w:t>Tel: +212 537 688 196, Fax: +212 537 688 382, E-Mail: benbari@mpm.gov.ma</w:t>
      </w:r>
    </w:p>
    <w:p w14:paraId="40FA651B" w14:textId="77777777" w:rsidR="000C4DA2" w:rsidRPr="004E13E9" w:rsidRDefault="000C4DA2" w:rsidP="000C4DA2">
      <w:pPr>
        <w:rPr>
          <w:lang w:val="fr-FR"/>
        </w:rPr>
      </w:pPr>
    </w:p>
    <w:p w14:paraId="61058E67" w14:textId="77777777" w:rsidR="000C4DA2" w:rsidRPr="004E13E9" w:rsidRDefault="000C4DA2" w:rsidP="000C4DA2">
      <w:pPr>
        <w:rPr>
          <w:lang w:val="fr-FR"/>
        </w:rPr>
      </w:pPr>
      <w:r w:rsidRPr="004E13E9">
        <w:rPr>
          <w:b/>
          <w:sz w:val="18"/>
          <w:lang w:val="fr-FR"/>
        </w:rPr>
        <w:t>Fernández Oualit</w:t>
      </w:r>
      <w:r w:rsidRPr="004E13E9">
        <w:rPr>
          <w:sz w:val="18"/>
          <w:lang w:val="fr-FR"/>
        </w:rPr>
        <w:t xml:space="preserve">, Dina </w:t>
      </w:r>
      <w:r w:rsidRPr="004E13E9">
        <w:rPr>
          <w:sz w:val="18"/>
          <w:vertAlign w:val="superscript"/>
          <w:lang w:val="fr-FR"/>
        </w:rPr>
        <w:t>1</w:t>
      </w:r>
    </w:p>
    <w:p w14:paraId="2D34FE34" w14:textId="77777777" w:rsidR="000C4DA2" w:rsidRPr="004E13E9" w:rsidRDefault="000C4DA2" w:rsidP="000C4DA2">
      <w:pPr>
        <w:jc w:val="both"/>
        <w:rPr>
          <w:lang w:val="fr-FR"/>
        </w:rPr>
      </w:pPr>
      <w:r w:rsidRPr="004E13E9">
        <w:rPr>
          <w:sz w:val="18"/>
          <w:lang w:val="fr-FR"/>
        </w:rPr>
        <w:t>Représentante du groupe YLARAHOLDING</w:t>
      </w:r>
    </w:p>
    <w:p w14:paraId="6508E33C" w14:textId="77777777" w:rsidR="000C4DA2" w:rsidRPr="004E13E9" w:rsidRDefault="000C4DA2" w:rsidP="000C4DA2">
      <w:pPr>
        <w:rPr>
          <w:lang w:val="fr-FR"/>
        </w:rPr>
      </w:pPr>
    </w:p>
    <w:p w14:paraId="2102668A" w14:textId="77777777" w:rsidR="000C4DA2" w:rsidRPr="004E13E9" w:rsidRDefault="000C4DA2" w:rsidP="000C4DA2">
      <w:pPr>
        <w:rPr>
          <w:lang w:val="fr-FR"/>
        </w:rPr>
      </w:pPr>
      <w:r w:rsidRPr="004E13E9">
        <w:rPr>
          <w:b/>
          <w:sz w:val="18"/>
          <w:lang w:val="fr-FR"/>
        </w:rPr>
        <w:t>Haoujar</w:t>
      </w:r>
      <w:r w:rsidRPr="004E13E9">
        <w:rPr>
          <w:sz w:val="18"/>
          <w:lang w:val="fr-FR"/>
        </w:rPr>
        <w:t>, Bouchra</w:t>
      </w:r>
    </w:p>
    <w:p w14:paraId="74248BA1" w14:textId="77777777" w:rsidR="000C4DA2" w:rsidRPr="004E13E9" w:rsidRDefault="000C4DA2" w:rsidP="000C4DA2">
      <w:pPr>
        <w:jc w:val="both"/>
        <w:rPr>
          <w:lang w:val="fr-FR"/>
        </w:rPr>
      </w:pPr>
      <w:r w:rsidRPr="004E13E9">
        <w:rPr>
          <w:sz w:val="18"/>
          <w:lang w:val="fr-FR"/>
        </w:rPr>
        <w:t>Cheffe de Service des Espèces Marines Migratrices et des Espaces Protégés, Secrétariat d’Etat chargé de la Pêche Maritime, Nouveau Quartier Administratif, BP 476, 10150 Haut Agdal, Rabat</w:t>
      </w:r>
    </w:p>
    <w:p w14:paraId="390D94FA" w14:textId="77777777" w:rsidR="000C4DA2" w:rsidRPr="004E13E9" w:rsidRDefault="000C4DA2" w:rsidP="000C4DA2">
      <w:pPr>
        <w:jc w:val="both"/>
        <w:rPr>
          <w:lang w:val="it-IT"/>
        </w:rPr>
      </w:pPr>
      <w:r w:rsidRPr="004E13E9">
        <w:rPr>
          <w:sz w:val="18"/>
          <w:lang w:val="it-IT"/>
        </w:rPr>
        <w:t>Tel: +212 253 768 8115, Fax: +212 537 688 089, E-Mail: haoujar@mpm.gov.ma</w:t>
      </w:r>
    </w:p>
    <w:p w14:paraId="59190D77" w14:textId="77777777" w:rsidR="000C4DA2" w:rsidRPr="004E13E9" w:rsidRDefault="000C4DA2" w:rsidP="000C4DA2">
      <w:pPr>
        <w:rPr>
          <w:lang w:val="it-IT"/>
        </w:rPr>
      </w:pPr>
    </w:p>
    <w:p w14:paraId="3126757C" w14:textId="77777777" w:rsidR="000C4DA2" w:rsidRPr="004E13E9" w:rsidRDefault="000C4DA2" w:rsidP="000C4DA2">
      <w:pPr>
        <w:rPr>
          <w:lang w:val="it-IT"/>
        </w:rPr>
      </w:pPr>
      <w:r w:rsidRPr="004E13E9">
        <w:rPr>
          <w:b/>
          <w:sz w:val="18"/>
          <w:lang w:val="it-IT"/>
        </w:rPr>
        <w:t>Hassouni</w:t>
      </w:r>
      <w:r w:rsidRPr="004E13E9">
        <w:rPr>
          <w:sz w:val="18"/>
          <w:lang w:val="it-IT"/>
        </w:rPr>
        <w:t>, Fatima Zohra</w:t>
      </w:r>
    </w:p>
    <w:p w14:paraId="2B75D510" w14:textId="77777777" w:rsidR="000C4DA2" w:rsidRPr="004E13E9" w:rsidRDefault="000C4DA2" w:rsidP="000C4DA2">
      <w:pPr>
        <w:jc w:val="both"/>
        <w:rPr>
          <w:lang w:val="fr-FR"/>
        </w:rPr>
      </w:pPr>
      <w:r w:rsidRPr="004E13E9">
        <w:rPr>
          <w:sz w:val="18"/>
          <w:lang w:val="fr-FR"/>
        </w:rPr>
        <w:t>Cheffe de la Division de Durabilité et d'Aménagement des Ressources Halieutiques, Secrétariat d’Etat chargé de la Pêche Maritime, Nouveau Quartier Administratif, B.P.: 476, 10150 Haut Agdal Rabat</w:t>
      </w:r>
    </w:p>
    <w:p w14:paraId="627B976F" w14:textId="77777777" w:rsidR="000C4DA2" w:rsidRPr="004E13E9" w:rsidRDefault="000C4DA2" w:rsidP="000C4DA2">
      <w:pPr>
        <w:jc w:val="both"/>
        <w:rPr>
          <w:lang w:val="fr-FR"/>
        </w:rPr>
      </w:pPr>
      <w:r w:rsidRPr="004E13E9">
        <w:rPr>
          <w:sz w:val="18"/>
          <w:lang w:val="fr-FR"/>
        </w:rPr>
        <w:t>Tel: +212 537 688 122/21, Fax: +212 537 688 089, E-Mail: hassouni@mpm.gov.ma</w:t>
      </w:r>
    </w:p>
    <w:p w14:paraId="3A6D683F" w14:textId="77777777" w:rsidR="000C4DA2" w:rsidRPr="004E13E9" w:rsidRDefault="000C4DA2" w:rsidP="000C4DA2">
      <w:pPr>
        <w:rPr>
          <w:lang w:val="fr-FR"/>
        </w:rPr>
      </w:pPr>
    </w:p>
    <w:p w14:paraId="12451A72" w14:textId="77777777" w:rsidR="000C4DA2" w:rsidRPr="004E13E9" w:rsidRDefault="000C4DA2" w:rsidP="000C4DA2">
      <w:pPr>
        <w:rPr>
          <w:lang w:val="fr-FR"/>
        </w:rPr>
      </w:pPr>
      <w:r w:rsidRPr="004E13E9">
        <w:rPr>
          <w:b/>
          <w:sz w:val="18"/>
          <w:lang w:val="fr-FR"/>
        </w:rPr>
        <w:t>Hmidane</w:t>
      </w:r>
      <w:r w:rsidRPr="004E13E9">
        <w:rPr>
          <w:sz w:val="18"/>
          <w:lang w:val="fr-FR"/>
        </w:rPr>
        <w:t>, Abdellatif</w:t>
      </w:r>
    </w:p>
    <w:p w14:paraId="00144DED" w14:textId="77777777" w:rsidR="000C4DA2" w:rsidRPr="004E13E9" w:rsidRDefault="000C4DA2" w:rsidP="000C4DA2">
      <w:pPr>
        <w:jc w:val="both"/>
        <w:rPr>
          <w:lang w:val="fr-FR"/>
        </w:rPr>
      </w:pPr>
      <w:r w:rsidRPr="004E13E9">
        <w:rPr>
          <w:sz w:val="18"/>
          <w:lang w:val="fr-FR"/>
        </w:rPr>
        <w:t>Chef du Service de la Coordination de la Lutte contre la Pêche INN / DCAPM, Secrétariat d’Etat chargé de la Pêche Maritime, Nouveau Quartier Administratif; BP 476, 10090 Haut Agdal Rabat</w:t>
      </w:r>
    </w:p>
    <w:p w14:paraId="25FE2DA7" w14:textId="77777777" w:rsidR="000C4DA2" w:rsidRPr="004E13E9" w:rsidRDefault="000C4DA2" w:rsidP="000C4DA2">
      <w:pPr>
        <w:jc w:val="both"/>
        <w:rPr>
          <w:lang w:val="it-IT"/>
        </w:rPr>
      </w:pPr>
      <w:r w:rsidRPr="004E13E9">
        <w:rPr>
          <w:sz w:val="18"/>
          <w:lang w:val="it-IT"/>
        </w:rPr>
        <w:t>Tel: +212 537 688 356, Fax: +212 537 688 382, E-Mail: hmidane@mpm.gov.ma</w:t>
      </w:r>
    </w:p>
    <w:p w14:paraId="232A2E1F" w14:textId="77777777" w:rsidR="000C4DA2" w:rsidRPr="004E13E9" w:rsidRDefault="000C4DA2" w:rsidP="000C4DA2">
      <w:pPr>
        <w:rPr>
          <w:lang w:val="it-IT"/>
        </w:rPr>
      </w:pPr>
    </w:p>
    <w:p w14:paraId="24382332" w14:textId="77777777" w:rsidR="000C4DA2" w:rsidRPr="004E13E9" w:rsidRDefault="000C4DA2" w:rsidP="000C4DA2">
      <w:pPr>
        <w:rPr>
          <w:lang w:val="it-IT"/>
        </w:rPr>
      </w:pPr>
      <w:r w:rsidRPr="004E13E9">
        <w:rPr>
          <w:b/>
          <w:sz w:val="18"/>
          <w:lang w:val="it-IT"/>
        </w:rPr>
        <w:t>Moustatir</w:t>
      </w:r>
      <w:r w:rsidRPr="004E13E9">
        <w:rPr>
          <w:sz w:val="18"/>
          <w:lang w:val="it-IT"/>
        </w:rPr>
        <w:t>, Abdellah</w:t>
      </w:r>
    </w:p>
    <w:p w14:paraId="18AAF707" w14:textId="77777777" w:rsidR="000C4DA2" w:rsidRPr="004E13E9" w:rsidRDefault="000C4DA2" w:rsidP="000C4DA2">
      <w:pPr>
        <w:jc w:val="both"/>
        <w:rPr>
          <w:lang w:val="fr-FR"/>
        </w:rPr>
      </w:pPr>
      <w:r w:rsidRPr="004E13E9">
        <w:rPr>
          <w:sz w:val="18"/>
          <w:lang w:val="fr-FR"/>
        </w:rPr>
        <w:t>Directeur des Pêches Maritimes, Secrétariat d’Etat chargé de la Pêche Maritime, Nouveau Quartier Administratif; B.P. 476, Haut Agdal Rabat</w:t>
      </w:r>
    </w:p>
    <w:p w14:paraId="71D3946B" w14:textId="77777777" w:rsidR="000C4DA2" w:rsidRPr="004E13E9" w:rsidRDefault="000C4DA2" w:rsidP="000C4DA2">
      <w:pPr>
        <w:jc w:val="both"/>
        <w:rPr>
          <w:lang w:val="pt-PT"/>
        </w:rPr>
      </w:pPr>
      <w:r w:rsidRPr="004E13E9">
        <w:rPr>
          <w:sz w:val="18"/>
          <w:lang w:val="pt-PT"/>
        </w:rPr>
        <w:t>Tel: +212 537 688 244-46, E-Mail: a.moustatir@mpm.gov.ma</w:t>
      </w:r>
    </w:p>
    <w:p w14:paraId="5CF1B4A5" w14:textId="77777777" w:rsidR="000C4DA2" w:rsidRPr="004E13E9" w:rsidRDefault="000C4DA2" w:rsidP="000C4DA2">
      <w:pPr>
        <w:rPr>
          <w:lang w:val="pt-PT"/>
        </w:rPr>
      </w:pPr>
    </w:p>
    <w:p w14:paraId="3FAC0DCF" w14:textId="77777777" w:rsidR="000C4DA2" w:rsidRPr="004E13E9" w:rsidRDefault="000C4DA2" w:rsidP="000C4DA2">
      <w:pPr>
        <w:rPr>
          <w:lang w:val="fr-FR"/>
        </w:rPr>
      </w:pPr>
      <w:r w:rsidRPr="004E13E9">
        <w:rPr>
          <w:b/>
          <w:sz w:val="18"/>
          <w:lang w:val="fr-FR"/>
        </w:rPr>
        <w:t>Sabbane</w:t>
      </w:r>
      <w:r w:rsidRPr="004E13E9">
        <w:rPr>
          <w:sz w:val="18"/>
          <w:lang w:val="fr-FR"/>
        </w:rPr>
        <w:t>, Kamal</w:t>
      </w:r>
    </w:p>
    <w:p w14:paraId="469A9F4E" w14:textId="77777777" w:rsidR="000C4DA2" w:rsidRPr="004E13E9" w:rsidRDefault="000C4DA2" w:rsidP="000C4DA2">
      <w:pPr>
        <w:jc w:val="both"/>
        <w:rPr>
          <w:lang w:val="fr-FR"/>
        </w:rPr>
      </w:pPr>
      <w:r w:rsidRPr="004E13E9">
        <w:rPr>
          <w:sz w:val="18"/>
          <w:lang w:val="fr-FR"/>
        </w:rPr>
        <w:t>Chef du Service du Suivi et du Contrôle par Outil informatique / DCAPM, Secrétariat d’Etat chargé de la Pêche Maritime, Département de la Pêche Maritime, Nouveau Quartier Administratif; BP 476, 10090 Haut Agdal, Rabat</w:t>
      </w:r>
    </w:p>
    <w:p w14:paraId="34DE5CC3" w14:textId="77777777" w:rsidR="000C4DA2" w:rsidRPr="004E13E9" w:rsidRDefault="000C4DA2" w:rsidP="000C4DA2">
      <w:pPr>
        <w:jc w:val="both"/>
        <w:rPr>
          <w:lang w:val="fr-FR"/>
        </w:rPr>
      </w:pPr>
      <w:r w:rsidRPr="004E13E9">
        <w:rPr>
          <w:sz w:val="18"/>
          <w:lang w:val="fr-FR"/>
        </w:rPr>
        <w:t>Tel: +212 537 688 528, Fax: +212 537 688 382, E-Mail: sabbane@mpm.gov.ma</w:t>
      </w:r>
    </w:p>
    <w:p w14:paraId="076E0476" w14:textId="77777777" w:rsidR="000C4DA2" w:rsidRPr="004E13E9" w:rsidRDefault="000C4DA2">
      <w:pPr>
        <w:rPr>
          <w:lang w:val="fr-FR"/>
        </w:rPr>
      </w:pPr>
    </w:p>
    <w:p w14:paraId="4D552638" w14:textId="77777777" w:rsidR="00EE39CD" w:rsidRPr="004E13E9" w:rsidRDefault="00EE39CD" w:rsidP="00EE39CD">
      <w:pPr>
        <w:rPr>
          <w:lang w:val="fr-FR" w:eastAsia="en-GB"/>
        </w:rPr>
      </w:pPr>
      <w:r w:rsidRPr="004E13E9">
        <w:rPr>
          <w:b/>
          <w:lang w:val="fr-FR" w:eastAsia="en-GB"/>
        </w:rPr>
        <w:t>MAURITANIE</w:t>
      </w:r>
    </w:p>
    <w:p w14:paraId="0A0AD1B7" w14:textId="028438FC" w:rsidR="00D41BB9" w:rsidRPr="004E13E9" w:rsidRDefault="00E95051">
      <w:pPr>
        <w:rPr>
          <w:lang w:val="fr-FR"/>
        </w:rPr>
      </w:pPr>
      <w:r w:rsidRPr="004E13E9">
        <w:rPr>
          <w:b/>
          <w:sz w:val="18"/>
          <w:lang w:val="fr-FR"/>
        </w:rPr>
        <w:t>Camara</w:t>
      </w:r>
      <w:r w:rsidRPr="004E13E9">
        <w:rPr>
          <w:sz w:val="18"/>
          <w:lang w:val="fr-FR"/>
        </w:rPr>
        <w:t>, Lamine *</w:t>
      </w:r>
      <w:r w:rsidR="008D6E32" w:rsidRPr="004E13E9">
        <w:rPr>
          <w:sz w:val="18"/>
          <w:lang w:val="fr-FR"/>
        </w:rPr>
        <w:t xml:space="preserve"> (</w:t>
      </w:r>
      <w:r w:rsidR="00D40F91" w:rsidRPr="004E13E9">
        <w:rPr>
          <w:sz w:val="18"/>
          <w:lang w:val="fr-FR"/>
        </w:rPr>
        <w:t>en ligne</w:t>
      </w:r>
      <w:r w:rsidR="008D6E32" w:rsidRPr="004E13E9">
        <w:rPr>
          <w:sz w:val="18"/>
          <w:lang w:val="fr-FR"/>
        </w:rPr>
        <w:t>)</w:t>
      </w:r>
    </w:p>
    <w:p w14:paraId="5C1C1379" w14:textId="77777777" w:rsidR="00D41BB9" w:rsidRPr="004E13E9" w:rsidRDefault="00E95051">
      <w:pPr>
        <w:jc w:val="both"/>
        <w:rPr>
          <w:lang w:val="fr-FR"/>
        </w:rPr>
      </w:pPr>
      <w:r w:rsidRPr="004E13E9">
        <w:rPr>
          <w:sz w:val="18"/>
          <w:lang w:val="fr-FR"/>
        </w:rPr>
        <w:t>Directeur/DARE/MPEM, Direction de l'Aménagement des Ressources et des Études, ministère des Pêches et de l'Economie Maritime, BP : 137, NKTT/R.I., Nouakchott</w:t>
      </w:r>
    </w:p>
    <w:p w14:paraId="3C23F96D" w14:textId="77777777" w:rsidR="00D41BB9" w:rsidRPr="004E13E9" w:rsidRDefault="00E95051">
      <w:pPr>
        <w:jc w:val="both"/>
        <w:rPr>
          <w:lang w:val="pt-PT"/>
        </w:rPr>
      </w:pPr>
      <w:r w:rsidRPr="004E13E9">
        <w:rPr>
          <w:sz w:val="18"/>
          <w:lang w:val="pt-PT"/>
        </w:rPr>
        <w:t>Tel: +222 45 29 54 41; +222 46 41 54 98, E-Mail: laminecam2000@yahoo.fr</w:t>
      </w:r>
    </w:p>
    <w:p w14:paraId="4B2496B9" w14:textId="77777777" w:rsidR="00D41BB9" w:rsidRPr="004E13E9" w:rsidRDefault="00D41BB9">
      <w:pPr>
        <w:rPr>
          <w:lang w:val="pt-PT"/>
        </w:rPr>
      </w:pPr>
    </w:p>
    <w:p w14:paraId="515E0DE1" w14:textId="77777777" w:rsidR="00EE39CD" w:rsidRPr="004E13E9" w:rsidRDefault="00EE39CD">
      <w:pPr>
        <w:rPr>
          <w:b/>
          <w:sz w:val="18"/>
          <w:lang w:val="pt-PT"/>
        </w:rPr>
      </w:pPr>
      <w:r w:rsidRPr="004E13E9">
        <w:rPr>
          <w:b/>
          <w:sz w:val="18"/>
          <w:lang w:val="pt-PT"/>
        </w:rPr>
        <w:br w:type="page"/>
      </w:r>
    </w:p>
    <w:p w14:paraId="55B72606" w14:textId="38EC03E4" w:rsidR="00D41BB9" w:rsidRPr="004E13E9" w:rsidRDefault="00E95051">
      <w:pPr>
        <w:rPr>
          <w:lang w:val="fr-FR"/>
        </w:rPr>
      </w:pPr>
      <w:r w:rsidRPr="004E13E9">
        <w:rPr>
          <w:b/>
          <w:sz w:val="18"/>
          <w:lang w:val="fr-FR"/>
        </w:rPr>
        <w:lastRenderedPageBreak/>
        <w:t>Ndeilla</w:t>
      </w:r>
      <w:r w:rsidRPr="004E13E9">
        <w:rPr>
          <w:sz w:val="18"/>
          <w:lang w:val="fr-FR"/>
        </w:rPr>
        <w:t>, Sidi Mohamed</w:t>
      </w:r>
    </w:p>
    <w:p w14:paraId="6E3AA6D1" w14:textId="77777777" w:rsidR="00D41BB9" w:rsidRPr="004E13E9" w:rsidRDefault="00E95051">
      <w:pPr>
        <w:jc w:val="both"/>
        <w:rPr>
          <w:lang w:val="fr-FR"/>
        </w:rPr>
      </w:pPr>
      <w:r w:rsidRPr="004E13E9">
        <w:rPr>
          <w:sz w:val="18"/>
          <w:lang w:val="fr-FR"/>
        </w:rPr>
        <w:t>Chef Service Statistiques et des Etudes, ministère de la pêche, des infrastructures maritimes et portuaires (MPIMP), Direction de l'Aménagement des Ressources et des Etudes (DARE), BP: 137, Nouakchott</w:t>
      </w:r>
    </w:p>
    <w:p w14:paraId="5B1E9CAE" w14:textId="77777777" w:rsidR="00D41BB9" w:rsidRPr="004E13E9" w:rsidRDefault="00E95051">
      <w:pPr>
        <w:jc w:val="both"/>
        <w:rPr>
          <w:lang w:val="pt-PT"/>
        </w:rPr>
      </w:pPr>
      <w:r w:rsidRPr="004E13E9">
        <w:rPr>
          <w:sz w:val="18"/>
          <w:lang w:val="pt-PT"/>
        </w:rPr>
        <w:t>Tel: +222 362 25863, E-Mail: sidimedndeila@gmail.com</w:t>
      </w:r>
    </w:p>
    <w:p w14:paraId="406DA9AF" w14:textId="77777777" w:rsidR="00D41BB9" w:rsidRPr="004E13E9" w:rsidRDefault="00D41BB9">
      <w:pPr>
        <w:rPr>
          <w:lang w:val="pt-PT"/>
        </w:rPr>
      </w:pPr>
    </w:p>
    <w:p w14:paraId="5477B852" w14:textId="77777777" w:rsidR="005E7B7B" w:rsidRPr="004E13E9" w:rsidRDefault="005E7B7B">
      <w:pPr>
        <w:rPr>
          <w:b/>
          <w:sz w:val="18"/>
          <w:lang w:val="es-ES"/>
        </w:rPr>
      </w:pPr>
      <w:r w:rsidRPr="004E13E9">
        <w:rPr>
          <w:b/>
          <w:lang w:val="es-ES" w:eastAsia="en-GB"/>
        </w:rPr>
        <w:t>MEXIQUE</w:t>
      </w:r>
    </w:p>
    <w:p w14:paraId="68A324CE" w14:textId="2A352922" w:rsidR="00D41BB9" w:rsidRPr="004E13E9" w:rsidRDefault="00E95051">
      <w:pPr>
        <w:rPr>
          <w:lang w:val="es-ES"/>
        </w:rPr>
      </w:pPr>
      <w:r w:rsidRPr="004E13E9">
        <w:rPr>
          <w:b/>
          <w:sz w:val="18"/>
          <w:lang w:val="es-ES"/>
        </w:rPr>
        <w:t>Mestas Rodríguez</w:t>
      </w:r>
      <w:r w:rsidRPr="004E13E9">
        <w:rPr>
          <w:sz w:val="18"/>
          <w:lang w:val="es-ES"/>
        </w:rPr>
        <w:t>, Jessica María</w:t>
      </w:r>
      <w:r w:rsidR="008D6E32" w:rsidRPr="004E13E9">
        <w:rPr>
          <w:sz w:val="18"/>
          <w:lang w:val="es-ES"/>
        </w:rPr>
        <w:t xml:space="preserve"> </w:t>
      </w:r>
      <w:r w:rsidR="008D6E32" w:rsidRPr="004E13E9">
        <w:rPr>
          <w:sz w:val="18"/>
          <w:vertAlign w:val="superscript"/>
          <w:lang w:val="es-ES"/>
        </w:rPr>
        <w:t xml:space="preserve">1 </w:t>
      </w:r>
      <w:r w:rsidR="008D6E32" w:rsidRPr="004E13E9">
        <w:rPr>
          <w:sz w:val="18"/>
          <w:lang w:val="es-ES"/>
        </w:rPr>
        <w:t>(</w:t>
      </w:r>
      <w:r w:rsidR="00D40F91" w:rsidRPr="004E13E9">
        <w:rPr>
          <w:sz w:val="18"/>
          <w:lang w:val="es-ES"/>
        </w:rPr>
        <w:t xml:space="preserve">en </w:t>
      </w:r>
      <w:proofErr w:type="spellStart"/>
      <w:r w:rsidR="00D40F91" w:rsidRPr="004E13E9">
        <w:rPr>
          <w:sz w:val="18"/>
          <w:lang w:val="es-ES"/>
        </w:rPr>
        <w:t>ligne</w:t>
      </w:r>
      <w:proofErr w:type="spellEnd"/>
      <w:r w:rsidR="008D6E32" w:rsidRPr="004E13E9">
        <w:rPr>
          <w:sz w:val="18"/>
          <w:lang w:val="es-ES"/>
        </w:rPr>
        <w:t>)</w:t>
      </w:r>
    </w:p>
    <w:p w14:paraId="55C7EDDE" w14:textId="0F0F8393" w:rsidR="00D41BB9" w:rsidRPr="004E13E9" w:rsidRDefault="00E95051">
      <w:pPr>
        <w:jc w:val="both"/>
        <w:rPr>
          <w:lang w:val="es-ES"/>
        </w:rPr>
      </w:pPr>
      <w:r w:rsidRPr="004E13E9">
        <w:rPr>
          <w:sz w:val="18"/>
          <w:lang w:val="es-ES"/>
        </w:rPr>
        <w:t>Jefe de Departamento de Negocios Comerciales Internacionales, CONAPESCA, 82100 Mazatl</w:t>
      </w:r>
      <w:r w:rsidR="008D6E32" w:rsidRPr="004E13E9">
        <w:rPr>
          <w:sz w:val="18"/>
          <w:lang w:val="es-ES"/>
        </w:rPr>
        <w:t>á</w:t>
      </w:r>
      <w:r w:rsidRPr="004E13E9">
        <w:rPr>
          <w:sz w:val="18"/>
          <w:lang w:val="es-ES"/>
        </w:rPr>
        <w:t>n, Sinaloa</w:t>
      </w:r>
    </w:p>
    <w:p w14:paraId="71FD413A" w14:textId="77777777" w:rsidR="00D41BB9" w:rsidRPr="004E13E9" w:rsidRDefault="00D41BB9">
      <w:pPr>
        <w:rPr>
          <w:lang w:val="es-ES"/>
        </w:rPr>
      </w:pPr>
    </w:p>
    <w:p w14:paraId="1BBC3746" w14:textId="06AEF7F5" w:rsidR="00D41BB9" w:rsidRPr="004E13E9" w:rsidRDefault="00E95051">
      <w:pPr>
        <w:rPr>
          <w:lang w:val="es-ES"/>
        </w:rPr>
      </w:pPr>
      <w:r w:rsidRPr="004E13E9">
        <w:rPr>
          <w:b/>
          <w:sz w:val="18"/>
          <w:lang w:val="es-ES"/>
        </w:rPr>
        <w:t>Soler Benítez</w:t>
      </w:r>
      <w:r w:rsidRPr="004E13E9">
        <w:rPr>
          <w:sz w:val="18"/>
          <w:lang w:val="es-ES"/>
        </w:rPr>
        <w:t>, Bertha Alicia</w:t>
      </w:r>
      <w:r w:rsidR="008D6E32" w:rsidRPr="004E13E9">
        <w:rPr>
          <w:sz w:val="18"/>
          <w:lang w:val="es-ES"/>
        </w:rPr>
        <w:t xml:space="preserve"> </w:t>
      </w:r>
      <w:r w:rsidR="008D6E32" w:rsidRPr="004E13E9">
        <w:rPr>
          <w:sz w:val="18"/>
          <w:vertAlign w:val="superscript"/>
          <w:lang w:val="es-ES"/>
        </w:rPr>
        <w:t xml:space="preserve">1 </w:t>
      </w:r>
      <w:r w:rsidR="008D6E32" w:rsidRPr="004E13E9">
        <w:rPr>
          <w:sz w:val="18"/>
          <w:lang w:val="es-ES"/>
        </w:rPr>
        <w:t>(</w:t>
      </w:r>
      <w:r w:rsidR="00D40F91" w:rsidRPr="004E13E9">
        <w:rPr>
          <w:sz w:val="18"/>
          <w:lang w:val="es-ES"/>
        </w:rPr>
        <w:t xml:space="preserve">en </w:t>
      </w:r>
      <w:proofErr w:type="spellStart"/>
      <w:r w:rsidR="00D40F91" w:rsidRPr="004E13E9">
        <w:rPr>
          <w:sz w:val="18"/>
          <w:lang w:val="es-ES"/>
        </w:rPr>
        <w:t>ligne</w:t>
      </w:r>
      <w:proofErr w:type="spellEnd"/>
      <w:r w:rsidR="008D6E32" w:rsidRPr="004E13E9">
        <w:rPr>
          <w:sz w:val="18"/>
          <w:lang w:val="es-ES"/>
        </w:rPr>
        <w:t>)</w:t>
      </w:r>
    </w:p>
    <w:p w14:paraId="1EA12CCF" w14:textId="77777777" w:rsidR="00D41BB9" w:rsidRPr="004E13E9" w:rsidRDefault="00E95051">
      <w:pPr>
        <w:jc w:val="both"/>
        <w:rPr>
          <w:lang w:val="es-ES"/>
        </w:rPr>
      </w:pPr>
      <w:r w:rsidRPr="004E13E9">
        <w:rPr>
          <w:sz w:val="18"/>
          <w:lang w:val="es-ES"/>
        </w:rPr>
        <w:t>Comisión Nacional de Acuacultura y Pesca (CONAPESCA), 82100 Mazatlán, Sinaloa</w:t>
      </w:r>
    </w:p>
    <w:p w14:paraId="42C6E7DF" w14:textId="77777777" w:rsidR="00D41BB9" w:rsidRPr="004E13E9" w:rsidRDefault="00D41BB9">
      <w:pPr>
        <w:rPr>
          <w:lang w:val="es-ES"/>
        </w:rPr>
      </w:pPr>
    </w:p>
    <w:p w14:paraId="2F67DD02" w14:textId="77777777" w:rsidR="0037109F" w:rsidRPr="004E13E9" w:rsidRDefault="0037109F">
      <w:pPr>
        <w:rPr>
          <w:b/>
          <w:sz w:val="18"/>
        </w:rPr>
      </w:pPr>
      <w:r w:rsidRPr="004E13E9">
        <w:rPr>
          <w:b/>
          <w:lang w:val="en-GB" w:eastAsia="en-GB"/>
        </w:rPr>
        <w:t>NORVÈGE</w:t>
      </w:r>
    </w:p>
    <w:p w14:paraId="769A0915" w14:textId="0BE01A91" w:rsidR="00D41BB9" w:rsidRPr="004E13E9" w:rsidRDefault="00E95051">
      <w:r w:rsidRPr="004E13E9">
        <w:rPr>
          <w:b/>
          <w:sz w:val="18"/>
        </w:rPr>
        <w:t>Sørdahl</w:t>
      </w:r>
      <w:r w:rsidRPr="004E13E9">
        <w:rPr>
          <w:sz w:val="18"/>
        </w:rPr>
        <w:t>, Elisabeth *</w:t>
      </w:r>
      <w:r w:rsidR="008D6E32" w:rsidRPr="004E13E9">
        <w:rPr>
          <w:sz w:val="18"/>
        </w:rPr>
        <w:t xml:space="preserve"> </w:t>
      </w:r>
      <w:r w:rsidR="008D6E32" w:rsidRPr="004E13E9">
        <w:rPr>
          <w:sz w:val="18"/>
          <w:vertAlign w:val="superscript"/>
        </w:rPr>
        <w:t>1</w:t>
      </w:r>
    </w:p>
    <w:p w14:paraId="0E5B685D" w14:textId="77777777" w:rsidR="00D41BB9" w:rsidRPr="004E13E9" w:rsidRDefault="00E95051">
      <w:pPr>
        <w:jc w:val="both"/>
      </w:pPr>
      <w:r w:rsidRPr="004E13E9">
        <w:rPr>
          <w:sz w:val="18"/>
        </w:rPr>
        <w:t>Senior Adviser, Ministry of Trade, Industry and Fisheries, Department for Fisheries, 0032 Oslo</w:t>
      </w:r>
    </w:p>
    <w:p w14:paraId="63BF6377" w14:textId="77777777" w:rsidR="00D41BB9" w:rsidRPr="004E13E9" w:rsidRDefault="00D41BB9"/>
    <w:p w14:paraId="4057C876" w14:textId="20606039" w:rsidR="00D41BB9" w:rsidRPr="004E13E9" w:rsidRDefault="00E95051">
      <w:pPr>
        <w:rPr>
          <w:lang w:val="fr-FR"/>
        </w:rPr>
      </w:pPr>
      <w:proofErr w:type="spellStart"/>
      <w:r w:rsidRPr="004E13E9">
        <w:rPr>
          <w:b/>
          <w:sz w:val="18"/>
          <w:lang w:val="fr-FR"/>
        </w:rPr>
        <w:t>Dingsør</w:t>
      </w:r>
      <w:proofErr w:type="spellEnd"/>
      <w:r w:rsidRPr="004E13E9">
        <w:rPr>
          <w:sz w:val="18"/>
          <w:lang w:val="fr-FR"/>
        </w:rPr>
        <w:t>, Gjert Endre</w:t>
      </w:r>
      <w:r w:rsidR="008D6E32" w:rsidRPr="004E13E9">
        <w:rPr>
          <w:sz w:val="18"/>
          <w:lang w:val="fr-FR"/>
        </w:rPr>
        <w:t xml:space="preserve"> (</w:t>
      </w:r>
      <w:r w:rsidR="00D40F91" w:rsidRPr="004E13E9">
        <w:rPr>
          <w:sz w:val="18"/>
          <w:lang w:val="fr-FR"/>
        </w:rPr>
        <w:t>en ligne</w:t>
      </w:r>
      <w:r w:rsidR="008D6E32" w:rsidRPr="004E13E9">
        <w:rPr>
          <w:sz w:val="18"/>
          <w:lang w:val="fr-FR"/>
        </w:rPr>
        <w:t>)</w:t>
      </w:r>
    </w:p>
    <w:p w14:paraId="02B236DB" w14:textId="77777777" w:rsidR="00D41BB9" w:rsidRPr="004E13E9" w:rsidRDefault="00E95051">
      <w:pPr>
        <w:jc w:val="both"/>
      </w:pPr>
      <w:proofErr w:type="spellStart"/>
      <w:r w:rsidRPr="004E13E9">
        <w:rPr>
          <w:sz w:val="18"/>
        </w:rPr>
        <w:t>Bradbenken</w:t>
      </w:r>
      <w:proofErr w:type="spellEnd"/>
      <w:r w:rsidRPr="004E13E9">
        <w:rPr>
          <w:sz w:val="18"/>
        </w:rPr>
        <w:t xml:space="preserve"> 1, 5003 Bergen Vestland</w:t>
      </w:r>
    </w:p>
    <w:p w14:paraId="09EF16D3" w14:textId="77777777" w:rsidR="00D41BB9" w:rsidRPr="004E13E9" w:rsidRDefault="00E95051">
      <w:pPr>
        <w:jc w:val="both"/>
      </w:pPr>
      <w:r w:rsidRPr="004E13E9">
        <w:rPr>
          <w:sz w:val="18"/>
        </w:rPr>
        <w:t>Tel: +47 474 15494, E-Mail: gjert@fiskebat.no</w:t>
      </w:r>
    </w:p>
    <w:p w14:paraId="344B5706" w14:textId="77777777" w:rsidR="00D41BB9" w:rsidRPr="004E13E9" w:rsidRDefault="00D41BB9"/>
    <w:p w14:paraId="49565EC1" w14:textId="77777777" w:rsidR="00D41BB9" w:rsidRPr="004E13E9" w:rsidRDefault="00E95051">
      <w:r w:rsidRPr="004E13E9">
        <w:rPr>
          <w:b/>
          <w:sz w:val="18"/>
        </w:rPr>
        <w:t>Holte-Nilssen</w:t>
      </w:r>
      <w:r w:rsidRPr="004E13E9">
        <w:rPr>
          <w:sz w:val="18"/>
        </w:rPr>
        <w:t>, Victor Fuglaas</w:t>
      </w:r>
    </w:p>
    <w:p w14:paraId="117DFE0D" w14:textId="77777777" w:rsidR="00D41BB9" w:rsidRPr="004E13E9" w:rsidRDefault="00E95051">
      <w:pPr>
        <w:jc w:val="both"/>
      </w:pPr>
      <w:r w:rsidRPr="004E13E9">
        <w:rPr>
          <w:sz w:val="18"/>
        </w:rPr>
        <w:t xml:space="preserve">FISKERIDIREKTORATET, </w:t>
      </w:r>
      <w:proofErr w:type="spellStart"/>
      <w:r w:rsidRPr="004E13E9">
        <w:rPr>
          <w:sz w:val="18"/>
        </w:rPr>
        <w:t>Seksjon</w:t>
      </w:r>
      <w:proofErr w:type="spellEnd"/>
      <w:r w:rsidRPr="004E13E9">
        <w:rPr>
          <w:sz w:val="18"/>
        </w:rPr>
        <w:t xml:space="preserve"> </w:t>
      </w:r>
      <w:proofErr w:type="spellStart"/>
      <w:r w:rsidRPr="004E13E9">
        <w:rPr>
          <w:sz w:val="18"/>
        </w:rPr>
        <w:t>fiskeriregulering</w:t>
      </w:r>
      <w:proofErr w:type="spellEnd"/>
      <w:r w:rsidRPr="004E13E9">
        <w:rPr>
          <w:sz w:val="18"/>
        </w:rPr>
        <w:t>, 5121 Ulset Vestland</w:t>
      </w:r>
    </w:p>
    <w:p w14:paraId="2987F21F" w14:textId="77777777" w:rsidR="00D41BB9" w:rsidRPr="004E13E9" w:rsidRDefault="00E95051">
      <w:pPr>
        <w:jc w:val="both"/>
        <w:rPr>
          <w:lang w:val="pt-PT"/>
        </w:rPr>
      </w:pPr>
      <w:r w:rsidRPr="004E13E9">
        <w:rPr>
          <w:sz w:val="18"/>
          <w:lang w:val="pt-PT"/>
        </w:rPr>
        <w:t>Tel: +47 55 23 80 00; +47 495 913, E-Mail: vihni@fiskeridir.no</w:t>
      </w:r>
    </w:p>
    <w:p w14:paraId="5F6047FB" w14:textId="77777777" w:rsidR="00D41BB9" w:rsidRPr="004E13E9" w:rsidRDefault="00D41BB9">
      <w:pPr>
        <w:rPr>
          <w:lang w:val="pt-PT"/>
        </w:rPr>
      </w:pPr>
    </w:p>
    <w:p w14:paraId="0BB65548" w14:textId="4B3316B1" w:rsidR="00D41BB9" w:rsidRPr="00C712A4" w:rsidRDefault="00E95051">
      <w:pPr>
        <w:rPr>
          <w:lang w:val="fr-FR"/>
        </w:rPr>
      </w:pPr>
      <w:proofErr w:type="spellStart"/>
      <w:r w:rsidRPr="00C712A4">
        <w:rPr>
          <w:b/>
          <w:sz w:val="18"/>
          <w:lang w:val="fr-FR"/>
        </w:rPr>
        <w:t>Humborstad</w:t>
      </w:r>
      <w:proofErr w:type="spellEnd"/>
      <w:r w:rsidRPr="00C712A4">
        <w:rPr>
          <w:sz w:val="18"/>
          <w:lang w:val="fr-FR"/>
        </w:rPr>
        <w:t xml:space="preserve">, </w:t>
      </w:r>
      <w:proofErr w:type="spellStart"/>
      <w:r w:rsidRPr="00C712A4">
        <w:rPr>
          <w:sz w:val="18"/>
          <w:lang w:val="fr-FR"/>
        </w:rPr>
        <w:t>Odd</w:t>
      </w:r>
      <w:proofErr w:type="spellEnd"/>
      <w:r w:rsidRPr="00C712A4">
        <w:rPr>
          <w:sz w:val="18"/>
          <w:lang w:val="fr-FR"/>
        </w:rPr>
        <w:t>-Børre</w:t>
      </w:r>
      <w:r w:rsidR="008D6E32" w:rsidRPr="00C712A4">
        <w:rPr>
          <w:sz w:val="18"/>
          <w:lang w:val="fr-FR"/>
        </w:rPr>
        <w:t xml:space="preserve"> (</w:t>
      </w:r>
      <w:r w:rsidR="00D40F91" w:rsidRPr="00C712A4">
        <w:rPr>
          <w:sz w:val="18"/>
          <w:lang w:val="fr-FR"/>
        </w:rPr>
        <w:t>en ligne</w:t>
      </w:r>
      <w:r w:rsidR="008D6E32" w:rsidRPr="00C712A4">
        <w:rPr>
          <w:sz w:val="18"/>
          <w:lang w:val="fr-FR"/>
        </w:rPr>
        <w:t>)</w:t>
      </w:r>
    </w:p>
    <w:p w14:paraId="6CF2709D" w14:textId="77777777" w:rsidR="00D41BB9" w:rsidRPr="004E13E9" w:rsidRDefault="00E95051">
      <w:pPr>
        <w:jc w:val="both"/>
      </w:pPr>
      <w:r w:rsidRPr="004E13E9">
        <w:rPr>
          <w:sz w:val="18"/>
        </w:rPr>
        <w:t>Institute of Marine Research, P.O. Box 1870 Nordnes, NO-5817 Bergen</w:t>
      </w:r>
    </w:p>
    <w:p w14:paraId="2BD71F7D" w14:textId="77777777" w:rsidR="00D41BB9" w:rsidRPr="004E13E9" w:rsidRDefault="00E95051">
      <w:pPr>
        <w:jc w:val="both"/>
        <w:rPr>
          <w:lang w:val="pt-PT"/>
        </w:rPr>
      </w:pPr>
      <w:r w:rsidRPr="004E13E9">
        <w:rPr>
          <w:sz w:val="18"/>
          <w:lang w:val="pt-PT"/>
        </w:rPr>
        <w:t>Tel: +47 924 60009, E-Mail: oddb@hi.no</w:t>
      </w:r>
    </w:p>
    <w:p w14:paraId="76DFB9FA" w14:textId="77777777" w:rsidR="00D41BB9" w:rsidRPr="004E13E9" w:rsidRDefault="00D41BB9">
      <w:pPr>
        <w:rPr>
          <w:lang w:val="pt-PT"/>
        </w:rPr>
      </w:pPr>
    </w:p>
    <w:p w14:paraId="7FEE952A" w14:textId="2AE73B5C" w:rsidR="00D41BB9" w:rsidRPr="004E13E9" w:rsidRDefault="00E95051">
      <w:proofErr w:type="spellStart"/>
      <w:r w:rsidRPr="004E13E9">
        <w:rPr>
          <w:b/>
          <w:sz w:val="18"/>
        </w:rPr>
        <w:t>Mjorlund</w:t>
      </w:r>
      <w:proofErr w:type="spellEnd"/>
      <w:r w:rsidRPr="004E13E9">
        <w:rPr>
          <w:sz w:val="18"/>
        </w:rPr>
        <w:t>, Rune</w:t>
      </w:r>
      <w:r w:rsidR="008D6E32" w:rsidRPr="004E13E9">
        <w:rPr>
          <w:sz w:val="18"/>
        </w:rPr>
        <w:t xml:space="preserve"> </w:t>
      </w:r>
      <w:r w:rsidR="008D6E32" w:rsidRPr="004E13E9">
        <w:rPr>
          <w:sz w:val="18"/>
          <w:vertAlign w:val="superscript"/>
        </w:rPr>
        <w:t>1</w:t>
      </w:r>
    </w:p>
    <w:p w14:paraId="7EDD7B71" w14:textId="77777777" w:rsidR="00D41BB9" w:rsidRPr="004E13E9" w:rsidRDefault="00E95051">
      <w:pPr>
        <w:jc w:val="both"/>
      </w:pPr>
      <w:r w:rsidRPr="004E13E9">
        <w:rPr>
          <w:sz w:val="18"/>
        </w:rPr>
        <w:t>Senior Adviser, Directorate of Fisheries, Department of Coastal Management, Environment and Statistics, 5804 Bergen</w:t>
      </w:r>
    </w:p>
    <w:p w14:paraId="11D5A2C0" w14:textId="77777777" w:rsidR="00D41BB9" w:rsidRPr="004E13E9" w:rsidRDefault="00D41BB9"/>
    <w:p w14:paraId="4BD16D9A" w14:textId="77777777" w:rsidR="00D41BB9" w:rsidRPr="004E13E9" w:rsidRDefault="00E95051">
      <w:r w:rsidRPr="004E13E9">
        <w:rPr>
          <w:b/>
          <w:sz w:val="18"/>
        </w:rPr>
        <w:t>Munch-Ellingsen</w:t>
      </w:r>
      <w:r w:rsidRPr="004E13E9">
        <w:rPr>
          <w:sz w:val="18"/>
        </w:rPr>
        <w:t>, Sofie</w:t>
      </w:r>
    </w:p>
    <w:p w14:paraId="3C667C38" w14:textId="77777777" w:rsidR="00D41BB9" w:rsidRPr="004E13E9" w:rsidRDefault="00E95051">
      <w:pPr>
        <w:jc w:val="both"/>
      </w:pPr>
      <w:r w:rsidRPr="004E13E9">
        <w:rPr>
          <w:sz w:val="18"/>
        </w:rPr>
        <w:t>Higher Executive Officer, Ministry of Trade, Industry and Fisheries, Department for Fisheries, Kongens gate 8, 0153, (P.O. Box 8090 Dep), 0032 Oslo</w:t>
      </w:r>
    </w:p>
    <w:p w14:paraId="42B850ED" w14:textId="77777777" w:rsidR="00D41BB9" w:rsidRPr="004E13E9" w:rsidRDefault="00E95051">
      <w:pPr>
        <w:jc w:val="both"/>
        <w:rPr>
          <w:lang w:val="pt-PT"/>
        </w:rPr>
      </w:pPr>
      <w:r w:rsidRPr="004E13E9">
        <w:rPr>
          <w:sz w:val="18"/>
          <w:lang w:val="pt-PT"/>
        </w:rPr>
        <w:t>Tel: +47 950 05084, E-Mail: sofie.munch-ellingsen@nfd.dep.no</w:t>
      </w:r>
    </w:p>
    <w:p w14:paraId="3405731C" w14:textId="77777777" w:rsidR="00D41BB9" w:rsidRPr="004E13E9" w:rsidRDefault="00D41BB9">
      <w:pPr>
        <w:rPr>
          <w:lang w:val="pt-PT"/>
        </w:rPr>
      </w:pPr>
    </w:p>
    <w:p w14:paraId="501DB8EF" w14:textId="0AC8D830" w:rsidR="00D41BB9" w:rsidRPr="004E13E9" w:rsidRDefault="00E95051">
      <w:pPr>
        <w:rPr>
          <w:lang w:val="es-ES"/>
        </w:rPr>
      </w:pPr>
      <w:r w:rsidRPr="004E13E9">
        <w:rPr>
          <w:b/>
          <w:lang w:val="es-ES"/>
        </w:rPr>
        <w:t>PANAMA</w:t>
      </w:r>
    </w:p>
    <w:p w14:paraId="35FFCB87" w14:textId="77777777" w:rsidR="008D6E32" w:rsidRPr="004E13E9" w:rsidRDefault="008D6E32" w:rsidP="008D6E32">
      <w:pPr>
        <w:rPr>
          <w:lang w:val="es-ES"/>
        </w:rPr>
      </w:pPr>
      <w:r w:rsidRPr="004E13E9">
        <w:rPr>
          <w:b/>
          <w:sz w:val="18"/>
          <w:lang w:val="es-ES"/>
        </w:rPr>
        <w:t>Vergara</w:t>
      </w:r>
      <w:r w:rsidRPr="004E13E9">
        <w:rPr>
          <w:sz w:val="18"/>
          <w:lang w:val="es-ES"/>
        </w:rPr>
        <w:t>, Yarkelia</w:t>
      </w:r>
    </w:p>
    <w:p w14:paraId="312FCE43" w14:textId="77777777" w:rsidR="008D6E32" w:rsidRPr="004E13E9" w:rsidRDefault="008D6E32" w:rsidP="008D6E32">
      <w:pPr>
        <w:jc w:val="both"/>
        <w:rPr>
          <w:lang w:val="es-ES"/>
        </w:rPr>
      </w:pPr>
      <w:r w:rsidRPr="004E13E9">
        <w:rPr>
          <w:sz w:val="18"/>
          <w:lang w:val="es-ES"/>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1208C07A" w14:textId="77777777" w:rsidR="008D6E32" w:rsidRPr="004E13E9" w:rsidRDefault="008D6E32" w:rsidP="008D6E32">
      <w:pPr>
        <w:jc w:val="both"/>
        <w:rPr>
          <w:lang w:val="es-ES"/>
        </w:rPr>
      </w:pPr>
      <w:r w:rsidRPr="004E13E9">
        <w:rPr>
          <w:sz w:val="18"/>
          <w:lang w:val="es-ES"/>
        </w:rPr>
        <w:t>Tel: +507 511 6008 (ext. 359), E-Mail: yvergara@arap.gob.pa; hsfs@arap.gob.pa</w:t>
      </w:r>
    </w:p>
    <w:p w14:paraId="5D565569" w14:textId="77777777" w:rsidR="008D6E32" w:rsidRPr="004E13E9" w:rsidRDefault="008D6E32">
      <w:pPr>
        <w:rPr>
          <w:b/>
          <w:sz w:val="18"/>
          <w:lang w:val="es-ES"/>
        </w:rPr>
      </w:pPr>
    </w:p>
    <w:p w14:paraId="1F4C98C5" w14:textId="3BCDB2EF" w:rsidR="00D41BB9" w:rsidRPr="004E13E9" w:rsidRDefault="00E95051">
      <w:pPr>
        <w:rPr>
          <w:lang w:val="es-ES"/>
        </w:rPr>
      </w:pPr>
      <w:r w:rsidRPr="004E13E9">
        <w:rPr>
          <w:b/>
          <w:sz w:val="18"/>
          <w:lang w:val="es-ES"/>
        </w:rPr>
        <w:t>Díaz de Santamaría</w:t>
      </w:r>
      <w:r w:rsidRPr="004E13E9">
        <w:rPr>
          <w:sz w:val="18"/>
          <w:lang w:val="es-ES"/>
        </w:rPr>
        <w:t>, María Patricia</w:t>
      </w:r>
    </w:p>
    <w:p w14:paraId="588D7F47" w14:textId="3D088B40" w:rsidR="00D41BB9" w:rsidRPr="004E13E9" w:rsidRDefault="00E95051">
      <w:pPr>
        <w:jc w:val="both"/>
        <w:rPr>
          <w:lang w:val="es-ES"/>
        </w:rPr>
      </w:pPr>
      <w:r w:rsidRPr="004E13E9">
        <w:rPr>
          <w:sz w:val="18"/>
          <w:lang w:val="es-ES"/>
        </w:rPr>
        <w:t>Delegada representante de la Industria, FIPESCA - Fundación Internacional de Pesca, Zona de Libre Proceso de Corozal, Edificio 297, Corozal</w:t>
      </w:r>
    </w:p>
    <w:p w14:paraId="4758AC19" w14:textId="77777777" w:rsidR="00D41BB9" w:rsidRPr="004E13E9" w:rsidRDefault="00E95051">
      <w:pPr>
        <w:jc w:val="both"/>
        <w:rPr>
          <w:lang w:val="pt-PT"/>
        </w:rPr>
      </w:pPr>
      <w:r w:rsidRPr="004E13E9">
        <w:rPr>
          <w:sz w:val="18"/>
          <w:lang w:val="pt-PT"/>
        </w:rPr>
        <w:t>Tel: +507 378 6640; +507 657 32047, E-Mail: mpdiaz@fipesca.com</w:t>
      </w:r>
    </w:p>
    <w:p w14:paraId="2FCF04BD" w14:textId="77777777" w:rsidR="00D41BB9" w:rsidRPr="004E13E9" w:rsidRDefault="00D41BB9">
      <w:pPr>
        <w:rPr>
          <w:lang w:val="pt-PT"/>
        </w:rPr>
      </w:pPr>
    </w:p>
    <w:p w14:paraId="33F58F57" w14:textId="7B9FFC5E" w:rsidR="00D41BB9" w:rsidRPr="00C712A4" w:rsidRDefault="00E95051">
      <w:pPr>
        <w:rPr>
          <w:lang w:val="fr-FR"/>
        </w:rPr>
      </w:pPr>
      <w:r w:rsidRPr="00C712A4">
        <w:rPr>
          <w:b/>
          <w:sz w:val="18"/>
          <w:lang w:val="fr-FR"/>
        </w:rPr>
        <w:t>Peña</w:t>
      </w:r>
      <w:r w:rsidRPr="00C712A4">
        <w:rPr>
          <w:sz w:val="18"/>
          <w:lang w:val="fr-FR"/>
        </w:rPr>
        <w:t>, Alexis</w:t>
      </w:r>
      <w:r w:rsidR="008D6E32" w:rsidRPr="00C712A4">
        <w:rPr>
          <w:sz w:val="18"/>
          <w:lang w:val="fr-FR"/>
        </w:rPr>
        <w:t xml:space="preserve"> (</w:t>
      </w:r>
      <w:r w:rsidR="00D40F91" w:rsidRPr="00C712A4">
        <w:rPr>
          <w:sz w:val="18"/>
          <w:lang w:val="fr-FR"/>
        </w:rPr>
        <w:t>en ligne</w:t>
      </w:r>
      <w:r w:rsidR="008D6E32" w:rsidRPr="00C712A4">
        <w:rPr>
          <w:sz w:val="18"/>
          <w:lang w:val="fr-FR"/>
        </w:rPr>
        <w:t>)</w:t>
      </w:r>
    </w:p>
    <w:p w14:paraId="6E88DDC9" w14:textId="26300DA2" w:rsidR="00D41BB9" w:rsidRPr="004E13E9" w:rsidRDefault="00E95051">
      <w:pPr>
        <w:jc w:val="both"/>
        <w:rPr>
          <w:lang w:val="es-ES"/>
        </w:rPr>
      </w:pPr>
      <w:r w:rsidRPr="004E13E9">
        <w:rPr>
          <w:sz w:val="18"/>
          <w:lang w:val="es-ES"/>
        </w:rPr>
        <w:t>Secretario General, Autoridad de los Recursos Acuáticos de Panamá - ARAP, Edificio Riviera, Ave, Justo Arosemena, Calle 45 Bella Vista</w:t>
      </w:r>
    </w:p>
    <w:p w14:paraId="13B1586A" w14:textId="77777777" w:rsidR="00D41BB9" w:rsidRPr="004E13E9" w:rsidRDefault="00E95051">
      <w:pPr>
        <w:jc w:val="both"/>
        <w:rPr>
          <w:lang w:val="pt-PT"/>
        </w:rPr>
      </w:pPr>
      <w:r w:rsidRPr="004E13E9">
        <w:rPr>
          <w:sz w:val="18"/>
          <w:lang w:val="pt-PT"/>
        </w:rPr>
        <w:t>Tel: + 507 5116006, E-Mail: alexisp@arap.gob.pa</w:t>
      </w:r>
    </w:p>
    <w:p w14:paraId="04982885" w14:textId="77777777" w:rsidR="00D41BB9" w:rsidRPr="004E13E9" w:rsidRDefault="00D41BB9">
      <w:pPr>
        <w:rPr>
          <w:lang w:val="pt-PT"/>
        </w:rPr>
      </w:pPr>
    </w:p>
    <w:p w14:paraId="527B5B5B" w14:textId="77777777" w:rsidR="00D40F3B" w:rsidRPr="004E13E9" w:rsidRDefault="00D40F3B" w:rsidP="00D40F3B">
      <w:pPr>
        <w:rPr>
          <w:lang w:val="fr-FR" w:eastAsia="en-GB"/>
        </w:rPr>
      </w:pPr>
      <w:r w:rsidRPr="004E13E9">
        <w:rPr>
          <w:b/>
          <w:lang w:val="fr-FR" w:eastAsia="en-GB"/>
        </w:rPr>
        <w:t>ROYAUME-UNI DE GRANDE-BRETAGNE ET D'IRLANDE DU NORD</w:t>
      </w:r>
    </w:p>
    <w:p w14:paraId="5DD12234" w14:textId="77777777" w:rsidR="00B671AF" w:rsidRPr="004E13E9" w:rsidRDefault="00B671AF" w:rsidP="00B671AF">
      <w:r w:rsidRPr="004E13E9">
        <w:rPr>
          <w:b/>
          <w:sz w:val="18"/>
        </w:rPr>
        <w:t>Owen</w:t>
      </w:r>
      <w:r w:rsidRPr="004E13E9">
        <w:rPr>
          <w:sz w:val="18"/>
        </w:rPr>
        <w:t>, Marc *</w:t>
      </w:r>
    </w:p>
    <w:p w14:paraId="3B1A0F24" w14:textId="77777777" w:rsidR="00B671AF" w:rsidRPr="004E13E9" w:rsidRDefault="00B671AF" w:rsidP="00B671AF">
      <w:pPr>
        <w:jc w:val="both"/>
      </w:pPr>
      <w:r w:rsidRPr="004E13E9">
        <w:rPr>
          <w:sz w:val="18"/>
        </w:rPr>
        <w:t xml:space="preserve">Team Lead, International Fisheries, Department for Environment, Food and Rural Affairs, Defra, First Floor, Seacole Wing, 2 </w:t>
      </w:r>
      <w:proofErr w:type="spellStart"/>
      <w:r w:rsidRPr="004E13E9">
        <w:rPr>
          <w:sz w:val="18"/>
        </w:rPr>
        <w:t>Marsham</w:t>
      </w:r>
      <w:proofErr w:type="spellEnd"/>
      <w:r w:rsidRPr="004E13E9">
        <w:rPr>
          <w:sz w:val="18"/>
        </w:rPr>
        <w:t xml:space="preserve"> Street, London SW1P 4DF</w:t>
      </w:r>
    </w:p>
    <w:p w14:paraId="71C3A148" w14:textId="77777777" w:rsidR="00B671AF" w:rsidRPr="004E13E9" w:rsidRDefault="00B671AF" w:rsidP="00B671AF">
      <w:pPr>
        <w:jc w:val="both"/>
        <w:rPr>
          <w:lang w:val="pt-PT"/>
        </w:rPr>
      </w:pPr>
      <w:r w:rsidRPr="004E13E9">
        <w:rPr>
          <w:sz w:val="18"/>
          <w:lang w:val="pt-PT"/>
        </w:rPr>
        <w:t>Tel: +44 755 732 5524, E-Mail: marc.owen@defra.gov.uk</w:t>
      </w:r>
    </w:p>
    <w:p w14:paraId="790F32C0" w14:textId="77777777" w:rsidR="00B671AF" w:rsidRPr="004E13E9" w:rsidRDefault="00B671AF" w:rsidP="00B671AF">
      <w:pPr>
        <w:rPr>
          <w:lang w:val="pt-PT"/>
        </w:rPr>
      </w:pPr>
    </w:p>
    <w:p w14:paraId="571AE9A8" w14:textId="77777777" w:rsidR="00B671AF" w:rsidRPr="00C712A4" w:rsidRDefault="00B671AF" w:rsidP="00B671AF">
      <w:pPr>
        <w:rPr>
          <w:lang w:val="fr-FR"/>
        </w:rPr>
      </w:pPr>
      <w:r w:rsidRPr="00C712A4">
        <w:rPr>
          <w:b/>
          <w:sz w:val="18"/>
          <w:lang w:val="fr-FR"/>
        </w:rPr>
        <w:t>Fischer</w:t>
      </w:r>
      <w:r w:rsidRPr="00C712A4">
        <w:rPr>
          <w:sz w:val="18"/>
          <w:lang w:val="fr-FR"/>
        </w:rPr>
        <w:t>, Simon (en ligne)</w:t>
      </w:r>
    </w:p>
    <w:p w14:paraId="3E82C040" w14:textId="77777777" w:rsidR="00B671AF" w:rsidRPr="004E13E9" w:rsidRDefault="00B671AF" w:rsidP="00B671AF">
      <w:pPr>
        <w:jc w:val="both"/>
      </w:pPr>
      <w:r w:rsidRPr="004E13E9">
        <w:rPr>
          <w:sz w:val="18"/>
        </w:rPr>
        <w:t>Centre for Environment, Fisheries and Aquaculture Science (CEFAS), Lowestoft Laboratory, Pakefield Road, Lowestoft, Suffolk NR33 0HT</w:t>
      </w:r>
    </w:p>
    <w:p w14:paraId="39163882" w14:textId="77777777" w:rsidR="00B671AF" w:rsidRPr="004E13E9" w:rsidRDefault="00B671AF" w:rsidP="00B671AF">
      <w:pPr>
        <w:jc w:val="both"/>
        <w:rPr>
          <w:lang w:val="pt-PT"/>
        </w:rPr>
      </w:pPr>
      <w:r w:rsidRPr="004E13E9">
        <w:rPr>
          <w:sz w:val="18"/>
          <w:lang w:val="pt-PT"/>
        </w:rPr>
        <w:t>Tel: +44 757 893 1960, E-Mail: simon.fischer@cefas.co.uk</w:t>
      </w:r>
    </w:p>
    <w:p w14:paraId="782C19E6" w14:textId="77777777" w:rsidR="00D40F3B" w:rsidRPr="004E13E9" w:rsidRDefault="00D40F3B">
      <w:pPr>
        <w:rPr>
          <w:b/>
          <w:sz w:val="18"/>
          <w:lang w:val="pt-PT"/>
        </w:rPr>
      </w:pPr>
      <w:r w:rsidRPr="004E13E9">
        <w:rPr>
          <w:b/>
          <w:sz w:val="18"/>
          <w:lang w:val="pt-PT"/>
        </w:rPr>
        <w:br w:type="page"/>
      </w:r>
    </w:p>
    <w:p w14:paraId="42E3061C" w14:textId="3D476CF7" w:rsidR="00B671AF" w:rsidRPr="004E13E9" w:rsidRDefault="00B671AF" w:rsidP="00B671AF">
      <w:pPr>
        <w:rPr>
          <w:lang w:val="fr-FR"/>
        </w:rPr>
      </w:pPr>
      <w:r w:rsidRPr="004E13E9">
        <w:rPr>
          <w:b/>
          <w:sz w:val="18"/>
          <w:lang w:val="fr-FR"/>
        </w:rPr>
        <w:lastRenderedPageBreak/>
        <w:t>Floyd</w:t>
      </w:r>
      <w:r w:rsidRPr="004E13E9">
        <w:rPr>
          <w:sz w:val="18"/>
          <w:lang w:val="fr-FR"/>
        </w:rPr>
        <w:t>, Robert James (en ligne)</w:t>
      </w:r>
    </w:p>
    <w:p w14:paraId="1A6E2D20" w14:textId="77777777" w:rsidR="00B671AF" w:rsidRPr="004E13E9" w:rsidRDefault="00B671AF" w:rsidP="00B671AF">
      <w:pPr>
        <w:jc w:val="both"/>
      </w:pPr>
      <w:r w:rsidRPr="004E13E9">
        <w:rPr>
          <w:sz w:val="18"/>
        </w:rPr>
        <w:t>Welsh Government, CP2, Cardiff, Wales CF10 3NQ</w:t>
      </w:r>
    </w:p>
    <w:p w14:paraId="0FC5ED02" w14:textId="77777777" w:rsidR="00B671AF" w:rsidRPr="004E13E9" w:rsidRDefault="00B671AF" w:rsidP="00B671AF">
      <w:pPr>
        <w:jc w:val="both"/>
        <w:rPr>
          <w:lang w:val="pt-PT"/>
        </w:rPr>
      </w:pPr>
      <w:r w:rsidRPr="004E13E9">
        <w:rPr>
          <w:sz w:val="18"/>
          <w:lang w:val="pt-PT"/>
        </w:rPr>
        <w:t>Tel: +44 300 062 5019, E-Mail: Robert.Floyd@gov.wales</w:t>
      </w:r>
    </w:p>
    <w:p w14:paraId="37222B09" w14:textId="77777777" w:rsidR="00B671AF" w:rsidRPr="004E13E9" w:rsidRDefault="00B671AF" w:rsidP="00B671AF">
      <w:pPr>
        <w:rPr>
          <w:lang w:val="pt-PT"/>
        </w:rPr>
      </w:pPr>
    </w:p>
    <w:p w14:paraId="34D9D2C9" w14:textId="77777777" w:rsidR="00B671AF" w:rsidRPr="00C712A4" w:rsidRDefault="00B671AF" w:rsidP="00B671AF">
      <w:pPr>
        <w:rPr>
          <w:lang w:val="fr-FR"/>
        </w:rPr>
      </w:pPr>
      <w:r w:rsidRPr="00C712A4">
        <w:rPr>
          <w:b/>
          <w:sz w:val="18"/>
          <w:lang w:val="fr-FR"/>
        </w:rPr>
        <w:t>Keedy</w:t>
      </w:r>
      <w:r w:rsidRPr="00C712A4">
        <w:rPr>
          <w:sz w:val="18"/>
          <w:lang w:val="fr-FR"/>
        </w:rPr>
        <w:t>, Jess (en ligne)</w:t>
      </w:r>
    </w:p>
    <w:p w14:paraId="23782CAF" w14:textId="77777777" w:rsidR="00B671AF" w:rsidRPr="004E13E9" w:rsidRDefault="00B671AF" w:rsidP="00B671AF">
      <w:pPr>
        <w:jc w:val="both"/>
      </w:pPr>
      <w:r w:rsidRPr="004E13E9">
        <w:rPr>
          <w:sz w:val="18"/>
        </w:rPr>
        <w:t xml:space="preserve">Joint Head, International Fisheries, Marine &amp; Fisheries, Department for Environment, Food and Rural Affairs (Defra), Marine &amp; Fisheries Directorate, First Floor, Seacole Wing, 2 </w:t>
      </w:r>
      <w:proofErr w:type="spellStart"/>
      <w:r w:rsidRPr="004E13E9">
        <w:rPr>
          <w:sz w:val="18"/>
        </w:rPr>
        <w:t>Marsham</w:t>
      </w:r>
      <w:proofErr w:type="spellEnd"/>
      <w:r w:rsidRPr="004E13E9">
        <w:rPr>
          <w:sz w:val="18"/>
        </w:rPr>
        <w:t xml:space="preserve"> Street, London SW1P 3JR</w:t>
      </w:r>
    </w:p>
    <w:p w14:paraId="5456E9E0" w14:textId="77777777" w:rsidR="00B671AF" w:rsidRPr="004E13E9" w:rsidRDefault="00B671AF" w:rsidP="00B671AF">
      <w:pPr>
        <w:jc w:val="both"/>
        <w:rPr>
          <w:lang w:val="pt-PT"/>
        </w:rPr>
      </w:pPr>
      <w:r w:rsidRPr="004E13E9">
        <w:rPr>
          <w:sz w:val="18"/>
          <w:lang w:val="pt-PT"/>
        </w:rPr>
        <w:t>Tel: +44 755 724 5171; +44 208 026 63350, E-Mail: jess.keedy@defra.gov.uk</w:t>
      </w:r>
    </w:p>
    <w:p w14:paraId="255707F9" w14:textId="77777777" w:rsidR="00B671AF" w:rsidRPr="004E13E9" w:rsidRDefault="00B671AF" w:rsidP="00B671AF">
      <w:pPr>
        <w:rPr>
          <w:lang w:val="pt-PT"/>
        </w:rPr>
      </w:pPr>
    </w:p>
    <w:p w14:paraId="16D9ADE2" w14:textId="77777777" w:rsidR="00B671AF" w:rsidRPr="00C712A4" w:rsidRDefault="00B671AF" w:rsidP="00B671AF">
      <w:pPr>
        <w:rPr>
          <w:lang w:val="fr-FR"/>
        </w:rPr>
      </w:pPr>
      <w:r w:rsidRPr="00C712A4">
        <w:rPr>
          <w:b/>
          <w:sz w:val="18"/>
          <w:lang w:val="fr-FR"/>
        </w:rPr>
        <w:t>Kirby</w:t>
      </w:r>
      <w:r w:rsidRPr="00C712A4">
        <w:rPr>
          <w:sz w:val="18"/>
          <w:lang w:val="fr-FR"/>
        </w:rPr>
        <w:t>, Edward (en ligne)</w:t>
      </w:r>
    </w:p>
    <w:p w14:paraId="37F06316" w14:textId="77777777" w:rsidR="00B671AF" w:rsidRPr="004E13E9" w:rsidRDefault="00B671AF" w:rsidP="00B671AF">
      <w:pPr>
        <w:jc w:val="both"/>
      </w:pPr>
      <w:r w:rsidRPr="004E13E9">
        <w:rPr>
          <w:sz w:val="18"/>
        </w:rPr>
        <w:t xml:space="preserve">Department for Environment, Food and Rural Affairs, Defra, 2 </w:t>
      </w:r>
      <w:proofErr w:type="spellStart"/>
      <w:r w:rsidRPr="004E13E9">
        <w:rPr>
          <w:sz w:val="18"/>
        </w:rPr>
        <w:t>Marsham</w:t>
      </w:r>
      <w:proofErr w:type="spellEnd"/>
      <w:r w:rsidRPr="004E13E9">
        <w:rPr>
          <w:sz w:val="18"/>
        </w:rPr>
        <w:t xml:space="preserve"> Street, London SW1P 4DF</w:t>
      </w:r>
    </w:p>
    <w:p w14:paraId="1C160E5F" w14:textId="77777777" w:rsidR="00B671AF" w:rsidRPr="004E13E9" w:rsidRDefault="00B671AF" w:rsidP="00B671AF">
      <w:pPr>
        <w:jc w:val="both"/>
        <w:rPr>
          <w:lang w:val="pt-PT"/>
        </w:rPr>
      </w:pPr>
      <w:r w:rsidRPr="004E13E9">
        <w:rPr>
          <w:sz w:val="18"/>
          <w:lang w:val="pt-PT"/>
        </w:rPr>
        <w:t>Tel: +44 747 162 7545, E-Mail: edward.kirby@defra.gov.uk</w:t>
      </w:r>
    </w:p>
    <w:p w14:paraId="15322203" w14:textId="77777777" w:rsidR="00B671AF" w:rsidRPr="004E13E9" w:rsidRDefault="00B671AF" w:rsidP="00B671AF">
      <w:pPr>
        <w:rPr>
          <w:lang w:val="pt-PT"/>
        </w:rPr>
      </w:pPr>
    </w:p>
    <w:p w14:paraId="3F4F9C37" w14:textId="77777777" w:rsidR="00B671AF" w:rsidRPr="004E13E9" w:rsidRDefault="00B671AF" w:rsidP="00B671AF">
      <w:pPr>
        <w:rPr>
          <w:lang w:val="pt-PT"/>
        </w:rPr>
      </w:pPr>
      <w:r w:rsidRPr="004E13E9">
        <w:rPr>
          <w:b/>
          <w:sz w:val="18"/>
          <w:lang w:val="pt-PT"/>
        </w:rPr>
        <w:t>Murphy</w:t>
      </w:r>
      <w:r w:rsidRPr="004E13E9">
        <w:rPr>
          <w:sz w:val="18"/>
          <w:lang w:val="pt-PT"/>
        </w:rPr>
        <w:t>, Paul (en ligne)</w:t>
      </w:r>
    </w:p>
    <w:p w14:paraId="6C28BCA0" w14:textId="77777777" w:rsidR="00B671AF" w:rsidRPr="004E13E9" w:rsidRDefault="00B671AF" w:rsidP="00B671AF">
      <w:pPr>
        <w:jc w:val="both"/>
        <w:rPr>
          <w:lang w:val="pt-PT"/>
        </w:rPr>
      </w:pPr>
      <w:r w:rsidRPr="004E13E9">
        <w:rPr>
          <w:sz w:val="18"/>
          <w:lang w:val="pt-PT"/>
        </w:rPr>
        <w:t>Principal Fisheries Manager, Marine Management Organisation (MMO) Chi Gallos Hayle Marine Renewables Business Park, Lancaster House, Hampshire Court, London NE4 7YH</w:t>
      </w:r>
    </w:p>
    <w:p w14:paraId="71D92D60" w14:textId="77777777" w:rsidR="00B671AF" w:rsidRPr="004E13E9" w:rsidRDefault="00B671AF" w:rsidP="00B671AF">
      <w:pPr>
        <w:jc w:val="both"/>
        <w:rPr>
          <w:lang w:val="pt-PT"/>
        </w:rPr>
      </w:pPr>
      <w:r w:rsidRPr="004E13E9">
        <w:rPr>
          <w:sz w:val="18"/>
          <w:lang w:val="pt-PT"/>
        </w:rPr>
        <w:t>Tel: +44 208 720 3844, E-Mail: paul.murphy@marinemanagement.org.uk</w:t>
      </w:r>
    </w:p>
    <w:p w14:paraId="33AEA167" w14:textId="77777777" w:rsidR="00B671AF" w:rsidRPr="004E13E9" w:rsidRDefault="00B671AF" w:rsidP="00B671AF">
      <w:pPr>
        <w:rPr>
          <w:lang w:val="pt-PT"/>
        </w:rPr>
      </w:pPr>
    </w:p>
    <w:p w14:paraId="4D72CB0D" w14:textId="77777777" w:rsidR="00B671AF" w:rsidRPr="004E13E9" w:rsidRDefault="00B671AF" w:rsidP="00B671AF">
      <w:r w:rsidRPr="004E13E9">
        <w:rPr>
          <w:b/>
          <w:sz w:val="18"/>
        </w:rPr>
        <w:t>Peel</w:t>
      </w:r>
      <w:r w:rsidRPr="004E13E9">
        <w:rPr>
          <w:sz w:val="18"/>
        </w:rPr>
        <w:t>, Michael</w:t>
      </w:r>
    </w:p>
    <w:p w14:paraId="47E49B5F" w14:textId="77777777" w:rsidR="00B671AF" w:rsidRPr="004E13E9" w:rsidRDefault="00B671AF" w:rsidP="00B671AF">
      <w:pPr>
        <w:jc w:val="both"/>
      </w:pPr>
      <w:r w:rsidRPr="004E13E9">
        <w:rPr>
          <w:sz w:val="18"/>
        </w:rPr>
        <w:t xml:space="preserve">Department for Environment, Food and Rural Affairs - Defra, 2 </w:t>
      </w:r>
      <w:proofErr w:type="spellStart"/>
      <w:r w:rsidRPr="004E13E9">
        <w:rPr>
          <w:sz w:val="18"/>
        </w:rPr>
        <w:t>Marsham</w:t>
      </w:r>
      <w:proofErr w:type="spellEnd"/>
      <w:r w:rsidRPr="004E13E9">
        <w:rPr>
          <w:sz w:val="18"/>
        </w:rPr>
        <w:t xml:space="preserve"> Street, London SW1P 4DF</w:t>
      </w:r>
    </w:p>
    <w:p w14:paraId="282969B3" w14:textId="77777777" w:rsidR="00B671AF" w:rsidRPr="004E13E9" w:rsidRDefault="00B671AF" w:rsidP="00B671AF">
      <w:pPr>
        <w:jc w:val="both"/>
        <w:rPr>
          <w:lang w:val="pt-PT"/>
        </w:rPr>
      </w:pPr>
      <w:r w:rsidRPr="004E13E9">
        <w:rPr>
          <w:sz w:val="18"/>
          <w:lang w:val="pt-PT"/>
        </w:rPr>
        <w:t>Tel: +44 798 418 9608, E-Mail: michael.peel@defra.gov.uk</w:t>
      </w:r>
    </w:p>
    <w:p w14:paraId="57C8B7DD" w14:textId="77777777" w:rsidR="00B671AF" w:rsidRPr="004E13E9" w:rsidRDefault="00B671AF" w:rsidP="00B671AF">
      <w:pPr>
        <w:rPr>
          <w:lang w:val="pt-PT"/>
        </w:rPr>
      </w:pPr>
    </w:p>
    <w:p w14:paraId="4A429032" w14:textId="77777777" w:rsidR="00B671AF" w:rsidRPr="00C712A4" w:rsidRDefault="00B671AF" w:rsidP="00B671AF">
      <w:pPr>
        <w:rPr>
          <w:lang w:val="fr-FR"/>
        </w:rPr>
      </w:pPr>
      <w:r w:rsidRPr="00C712A4">
        <w:rPr>
          <w:b/>
          <w:sz w:val="18"/>
          <w:lang w:val="fr-FR"/>
        </w:rPr>
        <w:t>Reeves</w:t>
      </w:r>
      <w:r w:rsidRPr="00C712A4">
        <w:rPr>
          <w:sz w:val="18"/>
          <w:lang w:val="fr-FR"/>
        </w:rPr>
        <w:t>, Stuart (en ligne)</w:t>
      </w:r>
    </w:p>
    <w:p w14:paraId="76A2B21E" w14:textId="77777777" w:rsidR="00B671AF" w:rsidRPr="004E13E9" w:rsidRDefault="00B671AF" w:rsidP="00B671AF">
      <w:pPr>
        <w:jc w:val="both"/>
      </w:pPr>
      <w:r w:rsidRPr="004E13E9">
        <w:rPr>
          <w:sz w:val="18"/>
        </w:rPr>
        <w:t>Principal fisheries scientist &amp; advisor, Centre for Environment, Fisheries and Aquaculture Science (Cefas), Pakefield Road, Lowestoft Suffolk NR33 0HT</w:t>
      </w:r>
    </w:p>
    <w:p w14:paraId="5A980E93" w14:textId="77777777" w:rsidR="00B671AF" w:rsidRPr="004E13E9" w:rsidRDefault="00B671AF" w:rsidP="00B671AF">
      <w:pPr>
        <w:jc w:val="both"/>
        <w:rPr>
          <w:lang w:val="pt-PT"/>
        </w:rPr>
      </w:pPr>
      <w:r w:rsidRPr="004E13E9">
        <w:rPr>
          <w:sz w:val="18"/>
          <w:lang w:val="pt-PT"/>
        </w:rPr>
        <w:t>Tel: +44 150 252 4251, E-Mail: stuart.reeves@cefas.gov.uk; stuart.reeves@cefas.co.uk</w:t>
      </w:r>
    </w:p>
    <w:p w14:paraId="167409FA" w14:textId="77777777" w:rsidR="00B671AF" w:rsidRPr="004E13E9" w:rsidRDefault="00B671AF" w:rsidP="00B671AF">
      <w:pPr>
        <w:rPr>
          <w:lang w:val="pt-PT"/>
        </w:rPr>
      </w:pPr>
    </w:p>
    <w:p w14:paraId="7CAF76DC" w14:textId="77777777" w:rsidR="00B671AF" w:rsidRPr="00C712A4" w:rsidRDefault="00B671AF" w:rsidP="00B671AF">
      <w:pPr>
        <w:rPr>
          <w:lang w:val="fr-FR"/>
        </w:rPr>
      </w:pPr>
      <w:r w:rsidRPr="00C712A4">
        <w:rPr>
          <w:b/>
          <w:sz w:val="18"/>
          <w:lang w:val="fr-FR"/>
        </w:rPr>
        <w:t>Sampson</w:t>
      </w:r>
      <w:r w:rsidRPr="00C712A4">
        <w:rPr>
          <w:sz w:val="18"/>
          <w:lang w:val="fr-FR"/>
        </w:rPr>
        <w:t>, Harry (en ligne)</w:t>
      </w:r>
    </w:p>
    <w:p w14:paraId="726FDB37" w14:textId="77777777" w:rsidR="00B671AF" w:rsidRPr="004E13E9" w:rsidRDefault="00B671AF" w:rsidP="00B671AF">
      <w:pPr>
        <w:jc w:val="both"/>
      </w:pPr>
      <w:r w:rsidRPr="004E13E9">
        <w:rPr>
          <w:sz w:val="18"/>
        </w:rPr>
        <w:t>Senior International Fisheries Policy Officer, Department for Environment, Food and Rural Affairs (Defra), Marine &amp; Fisheries Directorate, Nobel House 17 Smith Square, London SW1P 3JR</w:t>
      </w:r>
    </w:p>
    <w:p w14:paraId="4839D294" w14:textId="77777777" w:rsidR="00B671AF" w:rsidRPr="004E13E9" w:rsidRDefault="00B671AF" w:rsidP="00B671AF">
      <w:pPr>
        <w:jc w:val="both"/>
        <w:rPr>
          <w:lang w:val="pt-PT"/>
        </w:rPr>
      </w:pPr>
      <w:r w:rsidRPr="004E13E9">
        <w:rPr>
          <w:sz w:val="18"/>
          <w:lang w:val="pt-PT"/>
        </w:rPr>
        <w:t>Tel: +44 208 026 4403; +44 755 742 8543, E-Mail: harry.sampson@defra.gov.uk; trfmo@defra.gov.uk</w:t>
      </w:r>
    </w:p>
    <w:p w14:paraId="6D504C82" w14:textId="77777777" w:rsidR="00B671AF" w:rsidRPr="004E13E9" w:rsidRDefault="00B671AF" w:rsidP="00B671AF">
      <w:pPr>
        <w:rPr>
          <w:lang w:val="pt-PT"/>
        </w:rPr>
      </w:pPr>
    </w:p>
    <w:p w14:paraId="3C9401C6" w14:textId="77777777" w:rsidR="00B671AF" w:rsidRPr="004E13E9" w:rsidRDefault="00B671AF" w:rsidP="00B671AF">
      <w:r w:rsidRPr="004E13E9">
        <w:rPr>
          <w:b/>
          <w:sz w:val="18"/>
        </w:rPr>
        <w:t>Wright</w:t>
      </w:r>
      <w:r w:rsidRPr="004E13E9">
        <w:rPr>
          <w:sz w:val="18"/>
        </w:rPr>
        <w:t>, Serena (</w:t>
      </w:r>
      <w:proofErr w:type="spellStart"/>
      <w:r w:rsidRPr="004E13E9">
        <w:rPr>
          <w:sz w:val="18"/>
        </w:rPr>
        <w:t>en</w:t>
      </w:r>
      <w:proofErr w:type="spellEnd"/>
      <w:r w:rsidRPr="004E13E9">
        <w:rPr>
          <w:sz w:val="18"/>
        </w:rPr>
        <w:t xml:space="preserve"> </w:t>
      </w:r>
      <w:proofErr w:type="spellStart"/>
      <w:r w:rsidRPr="004E13E9">
        <w:rPr>
          <w:sz w:val="18"/>
        </w:rPr>
        <w:t>ligne</w:t>
      </w:r>
      <w:proofErr w:type="spellEnd"/>
      <w:r w:rsidRPr="004E13E9">
        <w:rPr>
          <w:sz w:val="18"/>
        </w:rPr>
        <w:t>)</w:t>
      </w:r>
    </w:p>
    <w:p w14:paraId="1514EE29" w14:textId="77777777" w:rsidR="00B671AF" w:rsidRPr="004E13E9" w:rsidRDefault="00B671AF" w:rsidP="00B671AF">
      <w:pPr>
        <w:jc w:val="both"/>
      </w:pPr>
      <w:r w:rsidRPr="004E13E9">
        <w:rPr>
          <w:sz w:val="18"/>
        </w:rPr>
        <w:t xml:space="preserve">Fisheries Scientist, Centre for Environment, Fisheries and Aquaculture Science (Cefas), ICCAT Tagging </w:t>
      </w:r>
      <w:proofErr w:type="spellStart"/>
      <w:r w:rsidRPr="004E13E9">
        <w:rPr>
          <w:sz w:val="18"/>
        </w:rPr>
        <w:t>Programme</w:t>
      </w:r>
      <w:proofErr w:type="spellEnd"/>
      <w:r w:rsidRPr="004E13E9">
        <w:rPr>
          <w:sz w:val="18"/>
        </w:rPr>
        <w:t>, St. Helena, Pakefield Road, Lowestoft NR33 0NG</w:t>
      </w:r>
    </w:p>
    <w:p w14:paraId="5F015D94" w14:textId="77777777" w:rsidR="00B671AF" w:rsidRPr="004E13E9" w:rsidRDefault="00B671AF" w:rsidP="00B671AF">
      <w:pPr>
        <w:jc w:val="both"/>
        <w:rPr>
          <w:lang w:val="pt-PT"/>
        </w:rPr>
      </w:pPr>
      <w:r w:rsidRPr="004E13E9">
        <w:rPr>
          <w:sz w:val="18"/>
          <w:lang w:val="pt-PT"/>
        </w:rPr>
        <w:t>Tel: +44 1502 52 1338; +44 797 593 0487, E-Mail: serena.wright@cefas.co.uk</w:t>
      </w:r>
    </w:p>
    <w:p w14:paraId="6836FA35" w14:textId="77777777" w:rsidR="00FC16BE" w:rsidRPr="004E13E9" w:rsidRDefault="00FC16BE">
      <w:pPr>
        <w:rPr>
          <w:lang w:val="pt-PT"/>
        </w:rPr>
      </w:pPr>
    </w:p>
    <w:p w14:paraId="164D8C89" w14:textId="77777777" w:rsidR="00AA6360" w:rsidRPr="004E13E9" w:rsidRDefault="00AA6360" w:rsidP="00AA6360">
      <w:pPr>
        <w:rPr>
          <w:lang w:val="fr-FR" w:eastAsia="en-GB"/>
        </w:rPr>
      </w:pPr>
      <w:r w:rsidRPr="004E13E9">
        <w:rPr>
          <w:b/>
          <w:lang w:val="fr-FR" w:eastAsia="en-GB"/>
        </w:rPr>
        <w:t>SÉNÉGAL</w:t>
      </w:r>
    </w:p>
    <w:p w14:paraId="163BCA4F" w14:textId="77777777" w:rsidR="00D41BB9" w:rsidRPr="004E13E9" w:rsidRDefault="00E95051">
      <w:pPr>
        <w:rPr>
          <w:lang w:val="fr-FR"/>
        </w:rPr>
      </w:pPr>
      <w:r w:rsidRPr="004E13E9">
        <w:rPr>
          <w:b/>
          <w:sz w:val="18"/>
          <w:lang w:val="fr-FR"/>
        </w:rPr>
        <w:t>Diouf</w:t>
      </w:r>
      <w:r w:rsidRPr="004E13E9">
        <w:rPr>
          <w:sz w:val="18"/>
          <w:lang w:val="fr-FR"/>
        </w:rPr>
        <w:t>, Ibrahima</w:t>
      </w:r>
    </w:p>
    <w:p w14:paraId="0ECD00EF" w14:textId="77777777" w:rsidR="00D41BB9" w:rsidRPr="004E13E9" w:rsidRDefault="00E95051">
      <w:pPr>
        <w:jc w:val="both"/>
        <w:rPr>
          <w:lang w:val="fr-FR"/>
        </w:rPr>
      </w:pPr>
      <w:r w:rsidRPr="004E13E9">
        <w:rPr>
          <w:sz w:val="18"/>
          <w:lang w:val="fr-FR"/>
        </w:rPr>
        <w:t>Ingénieur des Pêches, Direction des Pêches Maritimes, Chef de la Division de la pêche industrielle, Sphère ministérielle Ousmane Tanor DIENG, Immeuble D, 2e étage, Diamniadio, BP 289 Dakar</w:t>
      </w:r>
    </w:p>
    <w:p w14:paraId="69A98832" w14:textId="77777777" w:rsidR="00D41BB9" w:rsidRPr="004E13E9" w:rsidRDefault="00E95051">
      <w:pPr>
        <w:jc w:val="both"/>
        <w:rPr>
          <w:lang w:val="fr-FR"/>
        </w:rPr>
      </w:pPr>
      <w:r w:rsidRPr="004E13E9">
        <w:rPr>
          <w:sz w:val="18"/>
          <w:lang w:val="fr-FR"/>
        </w:rPr>
        <w:t>Tel: +221 541 4764, Fax: +221 338 602 465, E-Mail: ivesdiouf@gmail.com</w:t>
      </w:r>
    </w:p>
    <w:p w14:paraId="27DAC8EC" w14:textId="77777777" w:rsidR="00D41BB9" w:rsidRPr="004E13E9" w:rsidRDefault="00D41BB9">
      <w:pPr>
        <w:rPr>
          <w:lang w:val="fr-FR"/>
        </w:rPr>
      </w:pPr>
    </w:p>
    <w:p w14:paraId="0F5AC8A6" w14:textId="2B00BDD2" w:rsidR="00D41BB9" w:rsidRPr="004E13E9" w:rsidRDefault="00E95051">
      <w:pPr>
        <w:rPr>
          <w:lang w:val="fr-FR"/>
        </w:rPr>
      </w:pPr>
      <w:r w:rsidRPr="004E13E9">
        <w:rPr>
          <w:b/>
          <w:sz w:val="18"/>
          <w:lang w:val="fr-FR"/>
        </w:rPr>
        <w:t>Kwabena</w:t>
      </w:r>
      <w:r w:rsidRPr="004E13E9">
        <w:rPr>
          <w:sz w:val="18"/>
          <w:lang w:val="fr-FR"/>
        </w:rPr>
        <w:t>, Adams Blegnan</w:t>
      </w:r>
      <w:r w:rsidR="008D6E32" w:rsidRPr="004E13E9">
        <w:rPr>
          <w:sz w:val="18"/>
          <w:lang w:val="fr-FR"/>
        </w:rPr>
        <w:t xml:space="preserve"> </w:t>
      </w:r>
      <w:r w:rsidR="008D6E32" w:rsidRPr="004E13E9">
        <w:rPr>
          <w:sz w:val="18"/>
          <w:vertAlign w:val="superscript"/>
          <w:lang w:val="fr-FR"/>
        </w:rPr>
        <w:t xml:space="preserve">1 </w:t>
      </w:r>
      <w:r w:rsidR="008D6E32" w:rsidRPr="004E13E9">
        <w:rPr>
          <w:sz w:val="18"/>
          <w:lang w:val="fr-FR"/>
        </w:rPr>
        <w:t>(</w:t>
      </w:r>
      <w:r w:rsidR="00D40F91" w:rsidRPr="004E13E9">
        <w:rPr>
          <w:sz w:val="18"/>
          <w:lang w:val="fr-FR"/>
        </w:rPr>
        <w:t>en ligne</w:t>
      </w:r>
      <w:r w:rsidR="008D6E32" w:rsidRPr="004E13E9">
        <w:rPr>
          <w:sz w:val="18"/>
          <w:lang w:val="fr-FR"/>
        </w:rPr>
        <w:t>)</w:t>
      </w:r>
    </w:p>
    <w:p w14:paraId="28D043A6" w14:textId="77777777" w:rsidR="00D41BB9" w:rsidRPr="004E13E9" w:rsidRDefault="00E95051">
      <w:pPr>
        <w:jc w:val="both"/>
        <w:rPr>
          <w:lang w:val="fr-FR"/>
        </w:rPr>
      </w:pPr>
      <w:r w:rsidRPr="004E13E9">
        <w:rPr>
          <w:sz w:val="18"/>
          <w:lang w:val="fr-FR"/>
        </w:rPr>
        <w:t>Responsable des opérations, CAPSEN SA, 10200</w:t>
      </w:r>
    </w:p>
    <w:p w14:paraId="58C00BBF" w14:textId="77777777" w:rsidR="00D41BB9" w:rsidRPr="004E13E9" w:rsidRDefault="00D41BB9">
      <w:pPr>
        <w:rPr>
          <w:lang w:val="fr-FR"/>
        </w:rPr>
      </w:pPr>
    </w:p>
    <w:p w14:paraId="5A8F936C" w14:textId="5D5E7639" w:rsidR="00D41BB9" w:rsidRPr="004E13E9" w:rsidRDefault="00E95051">
      <w:pPr>
        <w:rPr>
          <w:lang w:val="fr-FR"/>
        </w:rPr>
      </w:pPr>
      <w:r w:rsidRPr="004E13E9">
        <w:rPr>
          <w:b/>
          <w:sz w:val="18"/>
          <w:lang w:val="fr-FR"/>
        </w:rPr>
        <w:t>Niang</w:t>
      </w:r>
      <w:r w:rsidRPr="004E13E9">
        <w:rPr>
          <w:sz w:val="18"/>
          <w:lang w:val="fr-FR"/>
        </w:rPr>
        <w:t>, Magatte</w:t>
      </w:r>
      <w:r w:rsidR="008D6E32" w:rsidRPr="004E13E9">
        <w:rPr>
          <w:sz w:val="18"/>
          <w:lang w:val="fr-FR"/>
        </w:rPr>
        <w:t xml:space="preserve"> (</w:t>
      </w:r>
      <w:r w:rsidR="00D40F91" w:rsidRPr="004E13E9">
        <w:rPr>
          <w:sz w:val="18"/>
          <w:lang w:val="fr-FR"/>
        </w:rPr>
        <w:t>en ligne</w:t>
      </w:r>
      <w:r w:rsidR="008D6E32" w:rsidRPr="004E13E9">
        <w:rPr>
          <w:sz w:val="18"/>
          <w:lang w:val="fr-FR"/>
        </w:rPr>
        <w:t>)</w:t>
      </w:r>
    </w:p>
    <w:p w14:paraId="51178BCC" w14:textId="77777777" w:rsidR="00D41BB9" w:rsidRPr="004E13E9" w:rsidRDefault="00E95051">
      <w:pPr>
        <w:jc w:val="both"/>
        <w:rPr>
          <w:lang w:val="fr-FR"/>
        </w:rPr>
      </w:pPr>
      <w:r w:rsidRPr="004E13E9">
        <w:rPr>
          <w:sz w:val="18"/>
          <w:lang w:val="fr-FR"/>
        </w:rPr>
        <w:t>Chef du Bureau des observateurs de la Direction de la Protection et de Ia Surveillance des Pêches (DPSP), Fenêtre Mermoz, Corniche Ouest, BP: 3656 Dakar</w:t>
      </w:r>
    </w:p>
    <w:p w14:paraId="0F5AEABA" w14:textId="77777777" w:rsidR="00D41BB9" w:rsidRPr="004E13E9" w:rsidRDefault="00E95051">
      <w:pPr>
        <w:jc w:val="both"/>
        <w:rPr>
          <w:lang w:val="pt-PT"/>
        </w:rPr>
      </w:pPr>
      <w:r w:rsidRPr="004E13E9">
        <w:rPr>
          <w:sz w:val="18"/>
          <w:lang w:val="pt-PT"/>
        </w:rPr>
        <w:t>Tel: +221 775 854 440, E-Mail: niangmagatte966@gmail.com</w:t>
      </w:r>
    </w:p>
    <w:p w14:paraId="2DEB9E57" w14:textId="77777777" w:rsidR="00D41BB9" w:rsidRPr="004E13E9" w:rsidRDefault="00D41BB9">
      <w:pPr>
        <w:rPr>
          <w:lang w:val="pt-PT"/>
        </w:rPr>
      </w:pPr>
    </w:p>
    <w:p w14:paraId="43262EFF" w14:textId="77777777" w:rsidR="00D41BB9" w:rsidRPr="00C712A4" w:rsidRDefault="00E95051">
      <w:pPr>
        <w:rPr>
          <w:lang w:val="es-ES"/>
        </w:rPr>
      </w:pPr>
      <w:proofErr w:type="spellStart"/>
      <w:r w:rsidRPr="00C712A4">
        <w:rPr>
          <w:b/>
          <w:sz w:val="18"/>
          <w:lang w:val="es-ES"/>
        </w:rPr>
        <w:t>Sèye</w:t>
      </w:r>
      <w:proofErr w:type="spellEnd"/>
      <w:r w:rsidRPr="00C712A4">
        <w:rPr>
          <w:sz w:val="18"/>
          <w:lang w:val="es-ES"/>
        </w:rPr>
        <w:t>, Mamadou</w:t>
      </w:r>
    </w:p>
    <w:p w14:paraId="2AE5B9BD" w14:textId="77777777" w:rsidR="00D41BB9" w:rsidRPr="004E13E9" w:rsidRDefault="00E95051">
      <w:pPr>
        <w:jc w:val="both"/>
        <w:rPr>
          <w:lang w:val="fr-FR"/>
        </w:rPr>
      </w:pPr>
      <w:r w:rsidRPr="004E13E9">
        <w:rPr>
          <w:sz w:val="18"/>
          <w:lang w:val="fr-FR"/>
        </w:rPr>
        <w:t>Ingénieur des Pêches, Chef de la Division Gestion et Aménagement des Pêcheries, Direction des Pêches maritimes, Sphère ministérielle Ousmane Tanor Dieng, Bâtiment D, 2è étage, Diamniadio, BP 289 Dakar</w:t>
      </w:r>
    </w:p>
    <w:p w14:paraId="4A135DFA" w14:textId="77777777" w:rsidR="00D41BB9" w:rsidRPr="004E13E9" w:rsidRDefault="00E95051">
      <w:pPr>
        <w:jc w:val="both"/>
        <w:rPr>
          <w:lang w:val="fr-FR"/>
        </w:rPr>
      </w:pPr>
      <w:r w:rsidRPr="004E13E9">
        <w:rPr>
          <w:sz w:val="18"/>
          <w:lang w:val="fr-FR"/>
        </w:rPr>
        <w:t>Tel: +221 77 841 83 94, Fax: +221 821 47 58, E-Mail: mdseye@gmail.com; mdseye1@gmail.com; mdouseye@yahoo.fr</w:t>
      </w:r>
    </w:p>
    <w:p w14:paraId="64092340" w14:textId="77777777" w:rsidR="00D41BB9" w:rsidRPr="004E13E9" w:rsidRDefault="00D41BB9">
      <w:pPr>
        <w:rPr>
          <w:lang w:val="fr-FR"/>
        </w:rPr>
      </w:pPr>
    </w:p>
    <w:p w14:paraId="4D9A2983" w14:textId="77777777" w:rsidR="00D41BB9" w:rsidRPr="004E13E9" w:rsidRDefault="00E95051">
      <w:pPr>
        <w:rPr>
          <w:lang w:val="fr-FR"/>
        </w:rPr>
      </w:pPr>
      <w:r w:rsidRPr="004E13E9">
        <w:rPr>
          <w:b/>
          <w:sz w:val="18"/>
          <w:lang w:val="fr-FR"/>
        </w:rPr>
        <w:t>Sow</w:t>
      </w:r>
      <w:r w:rsidRPr="004E13E9">
        <w:rPr>
          <w:sz w:val="18"/>
          <w:lang w:val="fr-FR"/>
        </w:rPr>
        <w:t xml:space="preserve">, </w:t>
      </w:r>
      <w:proofErr w:type="spellStart"/>
      <w:r w:rsidRPr="004E13E9">
        <w:rPr>
          <w:sz w:val="18"/>
          <w:lang w:val="fr-FR"/>
        </w:rPr>
        <w:t>Fambaye</w:t>
      </w:r>
      <w:proofErr w:type="spellEnd"/>
      <w:r w:rsidRPr="004E13E9">
        <w:rPr>
          <w:sz w:val="18"/>
          <w:lang w:val="fr-FR"/>
        </w:rPr>
        <w:t xml:space="preserve"> Ngom</w:t>
      </w:r>
    </w:p>
    <w:p w14:paraId="2E376992" w14:textId="77777777" w:rsidR="00D41BB9" w:rsidRPr="004E13E9" w:rsidRDefault="00E95051">
      <w:pPr>
        <w:jc w:val="both"/>
        <w:rPr>
          <w:lang w:val="fr-FR"/>
        </w:rPr>
      </w:pPr>
      <w:r w:rsidRPr="004E13E9">
        <w:rPr>
          <w:sz w:val="18"/>
          <w:lang w:val="fr-FR"/>
        </w:rPr>
        <w:t>Chercheur Biologiste des Pêches, Centre de Recherches Océanographiques de Dakar Thiaroye, CRODT/ISRA, LNERV - Route du Front de Terre - BP 2241, Dakar</w:t>
      </w:r>
    </w:p>
    <w:p w14:paraId="1ED9DDDB" w14:textId="77777777" w:rsidR="00D41BB9" w:rsidRPr="004E13E9" w:rsidRDefault="00E95051">
      <w:pPr>
        <w:jc w:val="both"/>
        <w:rPr>
          <w:lang w:val="fr-FR"/>
        </w:rPr>
      </w:pPr>
      <w:r w:rsidRPr="004E13E9">
        <w:rPr>
          <w:sz w:val="18"/>
          <w:lang w:val="fr-FR"/>
        </w:rPr>
        <w:t>Tel: +221 3 0108 1104; +221 77 502 67 79, Fax: +221 33 832 8262, E-Mail: ngomfambaye2015@gmail.com</w:t>
      </w:r>
    </w:p>
    <w:p w14:paraId="2720EFE7" w14:textId="77777777" w:rsidR="00D41BB9" w:rsidRPr="004E13E9" w:rsidRDefault="00D41BB9">
      <w:pPr>
        <w:rPr>
          <w:lang w:val="fr-FR"/>
        </w:rPr>
      </w:pPr>
    </w:p>
    <w:p w14:paraId="1A347F85" w14:textId="77777777" w:rsidR="00AA6360" w:rsidRPr="004E13E9" w:rsidRDefault="00AA6360">
      <w:pPr>
        <w:rPr>
          <w:b/>
          <w:lang w:val="fr-FR"/>
        </w:rPr>
      </w:pPr>
      <w:r w:rsidRPr="004E13E9">
        <w:rPr>
          <w:b/>
          <w:lang w:val="fr-FR"/>
        </w:rPr>
        <w:br w:type="page"/>
      </w:r>
    </w:p>
    <w:p w14:paraId="35A0467D" w14:textId="52FEF61C" w:rsidR="00D41BB9" w:rsidRPr="004E13E9" w:rsidRDefault="00E95051">
      <w:pPr>
        <w:rPr>
          <w:lang w:val="fr-FR"/>
        </w:rPr>
      </w:pPr>
      <w:r w:rsidRPr="004E13E9">
        <w:rPr>
          <w:b/>
          <w:lang w:val="fr-FR"/>
        </w:rPr>
        <w:lastRenderedPageBreak/>
        <w:t>RÉPUBLIQUE ARABE SYRIENNE</w:t>
      </w:r>
    </w:p>
    <w:p w14:paraId="60BCED85" w14:textId="77777777" w:rsidR="00D41BB9" w:rsidRPr="00C712A4" w:rsidRDefault="00E95051">
      <w:proofErr w:type="spellStart"/>
      <w:r w:rsidRPr="00C712A4">
        <w:rPr>
          <w:b/>
          <w:sz w:val="18"/>
        </w:rPr>
        <w:t>Gharqan</w:t>
      </w:r>
      <w:proofErr w:type="spellEnd"/>
      <w:r w:rsidRPr="00C712A4">
        <w:rPr>
          <w:sz w:val="18"/>
        </w:rPr>
        <w:t>, Ziyad</w:t>
      </w:r>
    </w:p>
    <w:p w14:paraId="4AF0E56D" w14:textId="77777777" w:rsidR="00D41BB9" w:rsidRPr="004E13E9" w:rsidRDefault="00E95051">
      <w:pPr>
        <w:jc w:val="both"/>
      </w:pPr>
      <w:r w:rsidRPr="004E13E9">
        <w:rPr>
          <w:sz w:val="18"/>
        </w:rPr>
        <w:t xml:space="preserve">Representative of the Director General, Director of International Cooperation, Al Salam ST, </w:t>
      </w:r>
      <w:proofErr w:type="spellStart"/>
      <w:r w:rsidRPr="004E13E9">
        <w:rPr>
          <w:sz w:val="18"/>
        </w:rPr>
        <w:t>Binnish</w:t>
      </w:r>
      <w:proofErr w:type="spellEnd"/>
      <w:r w:rsidRPr="004E13E9">
        <w:rPr>
          <w:sz w:val="18"/>
        </w:rPr>
        <w:t>, Idleb</w:t>
      </w:r>
    </w:p>
    <w:p w14:paraId="169E65D6" w14:textId="77777777" w:rsidR="00D41BB9" w:rsidRPr="004E13E9" w:rsidRDefault="00E95051">
      <w:pPr>
        <w:jc w:val="both"/>
        <w:rPr>
          <w:lang w:val="pt-PT"/>
        </w:rPr>
      </w:pPr>
      <w:r w:rsidRPr="004E13E9">
        <w:rPr>
          <w:sz w:val="18"/>
          <w:lang w:val="pt-PT"/>
        </w:rPr>
        <w:t>Tel: +963 968 059 005, E-Mail: ziadgharqan@gmail.com</w:t>
      </w:r>
    </w:p>
    <w:p w14:paraId="55B5710C" w14:textId="77777777" w:rsidR="00D41BB9" w:rsidRPr="004E13E9" w:rsidRDefault="00D41BB9">
      <w:pPr>
        <w:rPr>
          <w:lang w:val="pt-PT"/>
        </w:rPr>
      </w:pPr>
    </w:p>
    <w:p w14:paraId="2CBEBCF1" w14:textId="77777777" w:rsidR="00D41BB9" w:rsidRPr="004E13E9" w:rsidRDefault="00E95051">
      <w:r w:rsidRPr="004E13E9">
        <w:rPr>
          <w:b/>
          <w:sz w:val="18"/>
        </w:rPr>
        <w:t>Hamwi</w:t>
      </w:r>
      <w:r w:rsidRPr="004E13E9">
        <w:rPr>
          <w:sz w:val="18"/>
        </w:rPr>
        <w:t>, Ahmed Fadel</w:t>
      </w:r>
    </w:p>
    <w:p w14:paraId="73AAACB3" w14:textId="77777777" w:rsidR="00D41BB9" w:rsidRPr="004E13E9" w:rsidRDefault="00E95051">
      <w:pPr>
        <w:jc w:val="both"/>
      </w:pPr>
      <w:r w:rsidRPr="004E13E9">
        <w:rPr>
          <w:sz w:val="18"/>
        </w:rPr>
        <w:t>E-Mail: ahmadfadl333777@gmail.com</w:t>
      </w:r>
    </w:p>
    <w:p w14:paraId="75B04DF4" w14:textId="77777777" w:rsidR="00D41BB9" w:rsidRPr="004E13E9" w:rsidRDefault="00D41BB9"/>
    <w:p w14:paraId="07AB7E75" w14:textId="77777777" w:rsidR="00D41BB9" w:rsidRPr="004E13E9" w:rsidRDefault="00E95051">
      <w:proofErr w:type="spellStart"/>
      <w:r w:rsidRPr="004E13E9">
        <w:rPr>
          <w:b/>
          <w:sz w:val="18"/>
        </w:rPr>
        <w:t>Jablawi</w:t>
      </w:r>
      <w:proofErr w:type="spellEnd"/>
      <w:r w:rsidRPr="004E13E9">
        <w:rPr>
          <w:sz w:val="18"/>
        </w:rPr>
        <w:t>, Samer</w:t>
      </w:r>
    </w:p>
    <w:p w14:paraId="591F08DF" w14:textId="77777777" w:rsidR="00D41BB9" w:rsidRPr="004E13E9" w:rsidRDefault="00E95051">
      <w:pPr>
        <w:jc w:val="both"/>
      </w:pPr>
      <w:r w:rsidRPr="004E13E9">
        <w:rPr>
          <w:sz w:val="18"/>
        </w:rPr>
        <w:t>Deputy Director-General</w:t>
      </w:r>
    </w:p>
    <w:p w14:paraId="16A43FF6" w14:textId="77777777" w:rsidR="00D41BB9" w:rsidRPr="00C712A4" w:rsidRDefault="00E95051">
      <w:pPr>
        <w:jc w:val="both"/>
        <w:rPr>
          <w:lang w:val="it-IT"/>
        </w:rPr>
      </w:pPr>
      <w:r w:rsidRPr="00C712A4">
        <w:rPr>
          <w:sz w:val="18"/>
          <w:lang w:val="it-IT"/>
        </w:rPr>
        <w:t>E-Mail: samerjablawi@gmail.com</w:t>
      </w:r>
    </w:p>
    <w:p w14:paraId="2DEBD01E" w14:textId="77777777" w:rsidR="0064645B" w:rsidRPr="00C712A4" w:rsidRDefault="0064645B">
      <w:pPr>
        <w:rPr>
          <w:b/>
          <w:sz w:val="18"/>
          <w:lang w:val="it-IT"/>
        </w:rPr>
      </w:pPr>
    </w:p>
    <w:p w14:paraId="62A23028" w14:textId="07D267FB" w:rsidR="00D41BB9" w:rsidRPr="00C712A4" w:rsidRDefault="00E95051">
      <w:pPr>
        <w:rPr>
          <w:lang w:val="it-IT"/>
        </w:rPr>
      </w:pPr>
      <w:proofErr w:type="spellStart"/>
      <w:r w:rsidRPr="00C712A4">
        <w:rPr>
          <w:b/>
          <w:sz w:val="18"/>
          <w:lang w:val="it-IT"/>
        </w:rPr>
        <w:t>Saood</w:t>
      </w:r>
      <w:proofErr w:type="spellEnd"/>
      <w:r w:rsidRPr="00C712A4">
        <w:rPr>
          <w:sz w:val="18"/>
          <w:lang w:val="it-IT"/>
        </w:rPr>
        <w:t>, Ahmad</w:t>
      </w:r>
    </w:p>
    <w:p w14:paraId="031E4F91" w14:textId="77777777" w:rsidR="00D41BB9" w:rsidRPr="004E13E9" w:rsidRDefault="00E95051">
      <w:pPr>
        <w:jc w:val="both"/>
      </w:pPr>
      <w:r w:rsidRPr="004E13E9">
        <w:rPr>
          <w:sz w:val="18"/>
        </w:rPr>
        <w:t>Administration Accountant, The General Commission for Fisheries and Aquaculture</w:t>
      </w:r>
    </w:p>
    <w:p w14:paraId="3CDF29C5" w14:textId="77777777" w:rsidR="00D41BB9" w:rsidRPr="004E13E9" w:rsidRDefault="00E95051">
      <w:pPr>
        <w:jc w:val="both"/>
        <w:rPr>
          <w:lang w:val="pt-PT"/>
        </w:rPr>
      </w:pPr>
      <w:r w:rsidRPr="004E13E9">
        <w:rPr>
          <w:sz w:val="18"/>
          <w:lang w:val="pt-PT"/>
        </w:rPr>
        <w:t>E-Mail: ahmaddsa948@gmail.com</w:t>
      </w:r>
    </w:p>
    <w:p w14:paraId="585237F8" w14:textId="77777777" w:rsidR="00D41BB9" w:rsidRPr="004E13E9" w:rsidRDefault="00D41BB9">
      <w:pPr>
        <w:rPr>
          <w:lang w:val="pt-PT"/>
        </w:rPr>
      </w:pPr>
    </w:p>
    <w:p w14:paraId="1C9928B2" w14:textId="77777777" w:rsidR="0080215F" w:rsidRPr="004E13E9" w:rsidRDefault="0080215F">
      <w:pPr>
        <w:rPr>
          <w:b/>
          <w:sz w:val="18"/>
          <w:lang w:val="pt-PT"/>
        </w:rPr>
      </w:pPr>
      <w:r w:rsidRPr="004E13E9">
        <w:rPr>
          <w:b/>
          <w:lang w:val="pt-PT" w:eastAsia="en-GB"/>
        </w:rPr>
        <w:t>TUNISIE</w:t>
      </w:r>
    </w:p>
    <w:p w14:paraId="7E4ED8F9" w14:textId="697A86FB" w:rsidR="00D41BB9" w:rsidRPr="004E13E9" w:rsidRDefault="00E95051">
      <w:pPr>
        <w:rPr>
          <w:lang w:val="pt-PT"/>
        </w:rPr>
      </w:pPr>
      <w:r w:rsidRPr="004E13E9">
        <w:rPr>
          <w:b/>
          <w:sz w:val="18"/>
          <w:lang w:val="pt-PT"/>
        </w:rPr>
        <w:t>Cheikhsboui</w:t>
      </w:r>
      <w:r w:rsidRPr="004E13E9">
        <w:rPr>
          <w:sz w:val="18"/>
          <w:lang w:val="pt-PT"/>
        </w:rPr>
        <w:t>, Ali *</w:t>
      </w:r>
    </w:p>
    <w:p w14:paraId="31E6CC68" w14:textId="77777777" w:rsidR="00D41BB9" w:rsidRPr="004E13E9" w:rsidRDefault="00E95051">
      <w:pPr>
        <w:jc w:val="both"/>
        <w:rPr>
          <w:lang w:val="fr-FR"/>
        </w:rPr>
      </w:pPr>
      <w:r w:rsidRPr="004E13E9">
        <w:rPr>
          <w:sz w:val="18"/>
          <w:lang w:val="fr-FR"/>
        </w:rPr>
        <w:t>Directeur Général de la Pêche et de l'Aquaculture - DGPA, ministère de l'Agriculture, des Ressources Hydrauliques et de la Pêche, Direction Générale de la Pêche et de l'Aquaculture, 30 Rue Alain Savary, 1002 Tunis</w:t>
      </w:r>
    </w:p>
    <w:p w14:paraId="7E3C86AC" w14:textId="77777777" w:rsidR="00D41BB9" w:rsidRPr="004E13E9" w:rsidRDefault="00E95051">
      <w:pPr>
        <w:jc w:val="both"/>
        <w:rPr>
          <w:lang w:val="pt-PT"/>
        </w:rPr>
      </w:pPr>
      <w:r w:rsidRPr="004E13E9">
        <w:rPr>
          <w:sz w:val="18"/>
          <w:lang w:val="pt-PT"/>
        </w:rPr>
        <w:t>Tel: +216 71 892 253, E-Mail: ali.cheikhsboui@gmail.com; bft@iresa.agrinet.tn; ali.cheikhsboui@iresa.agrinet.tn</w:t>
      </w:r>
    </w:p>
    <w:p w14:paraId="73076CF7" w14:textId="77777777" w:rsidR="00D41BB9" w:rsidRPr="004E13E9" w:rsidRDefault="00D41BB9">
      <w:pPr>
        <w:rPr>
          <w:lang w:val="pt-PT"/>
        </w:rPr>
      </w:pPr>
    </w:p>
    <w:p w14:paraId="7EEC42ED" w14:textId="1300A823" w:rsidR="00D41BB9" w:rsidRPr="004E13E9" w:rsidRDefault="00E95051">
      <w:pPr>
        <w:rPr>
          <w:lang w:val="fr-FR"/>
        </w:rPr>
      </w:pPr>
      <w:r w:rsidRPr="004E13E9">
        <w:rPr>
          <w:b/>
          <w:sz w:val="18"/>
          <w:lang w:val="fr-FR"/>
        </w:rPr>
        <w:t>Ben Hmida</w:t>
      </w:r>
      <w:r w:rsidRPr="004E13E9">
        <w:rPr>
          <w:sz w:val="18"/>
          <w:lang w:val="fr-FR"/>
        </w:rPr>
        <w:t xml:space="preserve">, </w:t>
      </w:r>
      <w:proofErr w:type="spellStart"/>
      <w:r w:rsidRPr="004E13E9">
        <w:rPr>
          <w:sz w:val="18"/>
          <w:lang w:val="fr-FR"/>
        </w:rPr>
        <w:t>Jaouhar</w:t>
      </w:r>
      <w:proofErr w:type="spellEnd"/>
      <w:r w:rsidR="008D6E32" w:rsidRPr="004E13E9">
        <w:rPr>
          <w:sz w:val="18"/>
          <w:lang w:val="fr-FR"/>
        </w:rPr>
        <w:t xml:space="preserve"> </w:t>
      </w:r>
      <w:r w:rsidR="008D6E32" w:rsidRPr="004E13E9">
        <w:rPr>
          <w:sz w:val="18"/>
          <w:vertAlign w:val="superscript"/>
          <w:lang w:val="fr-FR"/>
        </w:rPr>
        <w:t>1</w:t>
      </w:r>
    </w:p>
    <w:p w14:paraId="48D08066" w14:textId="77777777" w:rsidR="00D41BB9" w:rsidRPr="004E13E9" w:rsidRDefault="00E95051">
      <w:pPr>
        <w:jc w:val="both"/>
        <w:rPr>
          <w:lang w:val="fr-FR"/>
        </w:rPr>
      </w:pPr>
      <w:r w:rsidRPr="004E13E9">
        <w:rPr>
          <w:sz w:val="18"/>
          <w:lang w:val="fr-FR"/>
        </w:rPr>
        <w:t>Fédération de la Pêche du Thon en Tunisie, 3065 Sfax</w:t>
      </w:r>
    </w:p>
    <w:p w14:paraId="01DA9E1A" w14:textId="77777777" w:rsidR="00D41BB9" w:rsidRPr="004E13E9" w:rsidRDefault="00D41BB9">
      <w:pPr>
        <w:rPr>
          <w:lang w:val="fr-FR"/>
        </w:rPr>
      </w:pPr>
    </w:p>
    <w:p w14:paraId="3AF00524" w14:textId="5908875F" w:rsidR="00D41BB9" w:rsidRPr="004E13E9" w:rsidRDefault="00E95051">
      <w:pPr>
        <w:rPr>
          <w:lang w:val="fr-FR"/>
        </w:rPr>
      </w:pPr>
      <w:r w:rsidRPr="004E13E9">
        <w:rPr>
          <w:b/>
          <w:sz w:val="18"/>
          <w:lang w:val="fr-FR"/>
        </w:rPr>
        <w:t>Gargouri</w:t>
      </w:r>
      <w:r w:rsidRPr="004E13E9">
        <w:rPr>
          <w:sz w:val="18"/>
          <w:lang w:val="fr-FR"/>
        </w:rPr>
        <w:t>, Molka</w:t>
      </w:r>
      <w:r w:rsidR="008D6E32" w:rsidRPr="004E13E9">
        <w:rPr>
          <w:sz w:val="18"/>
          <w:lang w:val="fr-FR"/>
        </w:rPr>
        <w:t xml:space="preserve"> </w:t>
      </w:r>
      <w:r w:rsidR="008D6E32" w:rsidRPr="004E13E9">
        <w:rPr>
          <w:sz w:val="18"/>
          <w:vertAlign w:val="superscript"/>
          <w:lang w:val="fr-FR"/>
        </w:rPr>
        <w:t>1</w:t>
      </w:r>
    </w:p>
    <w:p w14:paraId="25020AAD" w14:textId="77777777" w:rsidR="00D41BB9" w:rsidRPr="004E13E9" w:rsidRDefault="00E95051">
      <w:pPr>
        <w:jc w:val="both"/>
        <w:rPr>
          <w:lang w:val="fr-FR"/>
        </w:rPr>
      </w:pPr>
      <w:r w:rsidRPr="004E13E9">
        <w:rPr>
          <w:sz w:val="18"/>
          <w:lang w:val="fr-FR"/>
        </w:rPr>
        <w:t>Société Tunisia Tuna, 5121 Mahdia</w:t>
      </w:r>
    </w:p>
    <w:p w14:paraId="5A605C19" w14:textId="77777777" w:rsidR="00D41BB9" w:rsidRPr="004E13E9" w:rsidRDefault="00D41BB9">
      <w:pPr>
        <w:rPr>
          <w:lang w:val="fr-FR"/>
        </w:rPr>
      </w:pPr>
    </w:p>
    <w:p w14:paraId="3DBA0F56" w14:textId="3812C37C" w:rsidR="00D41BB9" w:rsidRPr="004E13E9" w:rsidRDefault="00E95051">
      <w:pPr>
        <w:rPr>
          <w:lang w:val="fr-FR"/>
        </w:rPr>
      </w:pPr>
      <w:r w:rsidRPr="004E13E9">
        <w:rPr>
          <w:b/>
          <w:sz w:val="18"/>
          <w:lang w:val="fr-FR"/>
        </w:rPr>
        <w:t>Hayouni ep Habbassi</w:t>
      </w:r>
      <w:r w:rsidRPr="004E13E9">
        <w:rPr>
          <w:sz w:val="18"/>
          <w:lang w:val="fr-FR"/>
        </w:rPr>
        <w:t>, Dhekra</w:t>
      </w:r>
      <w:r w:rsidR="008D6E32" w:rsidRPr="004E13E9">
        <w:rPr>
          <w:sz w:val="18"/>
          <w:lang w:val="fr-FR"/>
        </w:rPr>
        <w:t xml:space="preserve"> (</w:t>
      </w:r>
      <w:r w:rsidR="00D40F91" w:rsidRPr="004E13E9">
        <w:rPr>
          <w:sz w:val="18"/>
          <w:lang w:val="fr-FR"/>
        </w:rPr>
        <w:t>en ligne</w:t>
      </w:r>
      <w:r w:rsidR="008D6E32" w:rsidRPr="004E13E9">
        <w:rPr>
          <w:sz w:val="18"/>
          <w:lang w:val="fr-FR"/>
        </w:rPr>
        <w:t>)</w:t>
      </w:r>
    </w:p>
    <w:p w14:paraId="25EB316F" w14:textId="77777777" w:rsidR="00D41BB9" w:rsidRPr="004E13E9" w:rsidRDefault="00E95051">
      <w:pPr>
        <w:jc w:val="both"/>
        <w:rPr>
          <w:lang w:val="fr-FR"/>
        </w:rPr>
      </w:pPr>
      <w:r w:rsidRPr="004E13E9">
        <w:rPr>
          <w:sz w:val="18"/>
          <w:lang w:val="fr-FR"/>
        </w:rPr>
        <w:t>Ingénieur en chef, Direction de la préservation des ressources halieutiques, Direction Générale de la Pêche et de l'Aquaculture, 32 Rue Alain Savary, 1002 Tunis</w:t>
      </w:r>
    </w:p>
    <w:p w14:paraId="4AD424F9" w14:textId="77777777" w:rsidR="00D41BB9" w:rsidRPr="004E13E9" w:rsidRDefault="00E95051">
      <w:pPr>
        <w:jc w:val="both"/>
        <w:rPr>
          <w:lang w:val="fr-FR"/>
        </w:rPr>
      </w:pPr>
      <w:r w:rsidRPr="004E13E9">
        <w:rPr>
          <w:sz w:val="18"/>
          <w:lang w:val="fr-FR"/>
        </w:rPr>
        <w:t>Tel: +216 718 90784; +216 201 08565, Fax: +216 717 99401, E-Mail: hayouni.dhekra@gmail.com</w:t>
      </w:r>
    </w:p>
    <w:p w14:paraId="479B4065" w14:textId="77777777" w:rsidR="00D41BB9" w:rsidRPr="004E13E9" w:rsidRDefault="00D41BB9">
      <w:pPr>
        <w:rPr>
          <w:lang w:val="fr-FR"/>
        </w:rPr>
      </w:pPr>
    </w:p>
    <w:p w14:paraId="2A0237A9" w14:textId="7CEACF48" w:rsidR="00D41BB9" w:rsidRPr="004E13E9" w:rsidRDefault="00E95051">
      <w:pPr>
        <w:rPr>
          <w:lang w:val="fr-FR"/>
        </w:rPr>
      </w:pPr>
      <w:r w:rsidRPr="004E13E9">
        <w:rPr>
          <w:b/>
          <w:sz w:val="18"/>
          <w:lang w:val="fr-FR"/>
        </w:rPr>
        <w:t>Samet</w:t>
      </w:r>
      <w:r w:rsidRPr="004E13E9">
        <w:rPr>
          <w:sz w:val="18"/>
          <w:lang w:val="fr-FR"/>
        </w:rPr>
        <w:t>, Amor</w:t>
      </w:r>
      <w:r w:rsidR="008D6E32" w:rsidRPr="004E13E9">
        <w:rPr>
          <w:sz w:val="18"/>
          <w:lang w:val="fr-FR"/>
        </w:rPr>
        <w:t xml:space="preserve"> </w:t>
      </w:r>
      <w:r w:rsidR="008D6E32" w:rsidRPr="004E13E9">
        <w:rPr>
          <w:sz w:val="18"/>
          <w:vertAlign w:val="superscript"/>
          <w:lang w:val="fr-FR"/>
        </w:rPr>
        <w:t xml:space="preserve">1 </w:t>
      </w:r>
      <w:r w:rsidR="008D6E32" w:rsidRPr="004E13E9">
        <w:rPr>
          <w:sz w:val="18"/>
          <w:lang w:val="fr-FR"/>
        </w:rPr>
        <w:t>(</w:t>
      </w:r>
      <w:r w:rsidR="00D40F91" w:rsidRPr="004E13E9">
        <w:rPr>
          <w:sz w:val="18"/>
          <w:lang w:val="fr-FR"/>
        </w:rPr>
        <w:t>en ligne</w:t>
      </w:r>
      <w:r w:rsidR="008D6E32" w:rsidRPr="004E13E9">
        <w:rPr>
          <w:sz w:val="18"/>
          <w:lang w:val="fr-FR"/>
        </w:rPr>
        <w:t>)</w:t>
      </w:r>
    </w:p>
    <w:p w14:paraId="321E277C" w14:textId="79C62534" w:rsidR="00D41BB9" w:rsidRPr="004E13E9" w:rsidRDefault="00E95051">
      <w:pPr>
        <w:jc w:val="both"/>
        <w:rPr>
          <w:lang w:val="fr-FR"/>
        </w:rPr>
      </w:pPr>
      <w:r w:rsidRPr="004E13E9">
        <w:rPr>
          <w:sz w:val="18"/>
          <w:lang w:val="fr-FR"/>
        </w:rPr>
        <w:t>Directeur de Tunisia Tuna, 3041</w:t>
      </w:r>
      <w:r w:rsidR="009523C8" w:rsidRPr="004E13E9">
        <w:rPr>
          <w:sz w:val="18"/>
          <w:lang w:val="fr-FR"/>
        </w:rPr>
        <w:t xml:space="preserve"> </w:t>
      </w:r>
      <w:r w:rsidRPr="004E13E9">
        <w:rPr>
          <w:sz w:val="18"/>
          <w:lang w:val="fr-FR"/>
        </w:rPr>
        <w:t>Sfax</w:t>
      </w:r>
    </w:p>
    <w:p w14:paraId="49DD98C3" w14:textId="77777777" w:rsidR="00D41BB9" w:rsidRPr="004E13E9" w:rsidRDefault="00D41BB9">
      <w:pPr>
        <w:rPr>
          <w:lang w:val="fr-FR"/>
        </w:rPr>
      </w:pPr>
    </w:p>
    <w:p w14:paraId="553A4D13" w14:textId="4B491AF0" w:rsidR="00D41BB9" w:rsidRPr="004E13E9" w:rsidRDefault="00E95051">
      <w:pPr>
        <w:rPr>
          <w:lang w:val="fr-FR"/>
        </w:rPr>
      </w:pPr>
      <w:r w:rsidRPr="004E13E9">
        <w:rPr>
          <w:b/>
          <w:sz w:val="18"/>
          <w:lang w:val="fr-FR"/>
        </w:rPr>
        <w:t>Samet</w:t>
      </w:r>
      <w:r w:rsidRPr="004E13E9">
        <w:rPr>
          <w:sz w:val="18"/>
          <w:lang w:val="fr-FR"/>
        </w:rPr>
        <w:t>, Ahmed</w:t>
      </w:r>
      <w:r w:rsidR="008D6E32" w:rsidRPr="004E13E9">
        <w:rPr>
          <w:sz w:val="18"/>
          <w:lang w:val="fr-FR"/>
        </w:rPr>
        <w:t xml:space="preserve"> </w:t>
      </w:r>
      <w:r w:rsidR="008D6E32" w:rsidRPr="004E13E9">
        <w:rPr>
          <w:sz w:val="18"/>
          <w:vertAlign w:val="superscript"/>
          <w:lang w:val="fr-FR"/>
        </w:rPr>
        <w:t>1</w:t>
      </w:r>
    </w:p>
    <w:p w14:paraId="38ABC2BF" w14:textId="77777777" w:rsidR="00D41BB9" w:rsidRPr="004E13E9" w:rsidRDefault="00E95051">
      <w:pPr>
        <w:jc w:val="both"/>
        <w:rPr>
          <w:lang w:val="fr-FR"/>
        </w:rPr>
      </w:pPr>
      <w:r w:rsidRPr="004E13E9">
        <w:rPr>
          <w:sz w:val="18"/>
          <w:lang w:val="fr-FR"/>
        </w:rPr>
        <w:t>Société Tunisia Tuna, 5121 Mahdia</w:t>
      </w:r>
    </w:p>
    <w:p w14:paraId="305AE1FE" w14:textId="77777777" w:rsidR="00D41BB9" w:rsidRPr="004E13E9" w:rsidRDefault="00D41BB9">
      <w:pPr>
        <w:rPr>
          <w:lang w:val="fr-FR"/>
        </w:rPr>
      </w:pPr>
    </w:p>
    <w:p w14:paraId="299CA77D" w14:textId="77777777" w:rsidR="00D41BB9" w:rsidRPr="004E13E9" w:rsidRDefault="00E95051">
      <w:pPr>
        <w:rPr>
          <w:lang w:val="fr-FR"/>
        </w:rPr>
      </w:pPr>
      <w:r w:rsidRPr="004E13E9">
        <w:rPr>
          <w:b/>
          <w:sz w:val="18"/>
          <w:lang w:val="fr-FR"/>
        </w:rPr>
        <w:t>Toumi</w:t>
      </w:r>
      <w:r w:rsidRPr="004E13E9">
        <w:rPr>
          <w:sz w:val="18"/>
          <w:lang w:val="fr-FR"/>
        </w:rPr>
        <w:t xml:space="preserve">, </w:t>
      </w:r>
      <w:proofErr w:type="spellStart"/>
      <w:r w:rsidRPr="004E13E9">
        <w:rPr>
          <w:sz w:val="18"/>
          <w:lang w:val="fr-FR"/>
        </w:rPr>
        <w:t>Néji</w:t>
      </w:r>
      <w:proofErr w:type="spellEnd"/>
    </w:p>
    <w:p w14:paraId="79D2348F" w14:textId="77777777" w:rsidR="00D41BB9" w:rsidRPr="004E13E9" w:rsidRDefault="00E95051">
      <w:pPr>
        <w:jc w:val="both"/>
        <w:rPr>
          <w:lang w:val="fr-FR"/>
        </w:rPr>
      </w:pPr>
      <w:r w:rsidRPr="004E13E9">
        <w:rPr>
          <w:sz w:val="18"/>
          <w:lang w:val="fr-FR"/>
        </w:rPr>
        <w:t xml:space="preserve">Directeur de la Ste TUNA FARMS of Tunisia, Port de pêche de </w:t>
      </w:r>
      <w:proofErr w:type="spellStart"/>
      <w:r w:rsidRPr="004E13E9">
        <w:rPr>
          <w:sz w:val="18"/>
          <w:lang w:val="fr-FR"/>
        </w:rPr>
        <w:t>Hergla</w:t>
      </w:r>
      <w:proofErr w:type="spellEnd"/>
      <w:r w:rsidRPr="004E13E9">
        <w:rPr>
          <w:sz w:val="18"/>
          <w:lang w:val="fr-FR"/>
        </w:rPr>
        <w:t xml:space="preserve">, 4012, 4012 </w:t>
      </w:r>
      <w:proofErr w:type="spellStart"/>
      <w:r w:rsidRPr="004E13E9">
        <w:rPr>
          <w:sz w:val="18"/>
          <w:lang w:val="fr-FR"/>
        </w:rPr>
        <w:t>Hergla</w:t>
      </w:r>
      <w:proofErr w:type="spellEnd"/>
      <w:r w:rsidRPr="004E13E9">
        <w:rPr>
          <w:sz w:val="18"/>
          <w:lang w:val="fr-FR"/>
        </w:rPr>
        <w:t>, Sousse</w:t>
      </w:r>
    </w:p>
    <w:p w14:paraId="10373D1A" w14:textId="77777777" w:rsidR="00D41BB9" w:rsidRPr="004E13E9" w:rsidRDefault="00E95051">
      <w:pPr>
        <w:jc w:val="both"/>
        <w:rPr>
          <w:lang w:val="fr-FR"/>
        </w:rPr>
      </w:pPr>
      <w:r w:rsidRPr="004E13E9">
        <w:rPr>
          <w:sz w:val="18"/>
          <w:lang w:val="fr-FR"/>
        </w:rPr>
        <w:t>Tel: + 216 22 25 32 83, Fax: + 216 73 251 800, E-Mail: neji.tft@planet.tn; ntoumi@ebcon.com.mt</w:t>
      </w:r>
    </w:p>
    <w:p w14:paraId="322FB855" w14:textId="77777777" w:rsidR="00D41BB9" w:rsidRPr="004E13E9" w:rsidRDefault="00D41BB9">
      <w:pPr>
        <w:rPr>
          <w:lang w:val="fr-FR"/>
        </w:rPr>
      </w:pPr>
    </w:p>
    <w:p w14:paraId="6BBF5CF5" w14:textId="59833468" w:rsidR="00D41BB9" w:rsidRPr="004E13E9" w:rsidRDefault="00E95051">
      <w:pPr>
        <w:rPr>
          <w:lang w:val="fr-FR"/>
        </w:rPr>
      </w:pPr>
      <w:r w:rsidRPr="004E13E9">
        <w:rPr>
          <w:b/>
          <w:sz w:val="18"/>
          <w:lang w:val="fr-FR"/>
        </w:rPr>
        <w:t>Zarrad</w:t>
      </w:r>
      <w:r w:rsidRPr="004E13E9">
        <w:rPr>
          <w:sz w:val="18"/>
          <w:lang w:val="fr-FR"/>
        </w:rPr>
        <w:t>, Rafik</w:t>
      </w:r>
      <w:r w:rsidR="008D6E32" w:rsidRPr="004E13E9">
        <w:rPr>
          <w:sz w:val="18"/>
          <w:lang w:val="fr-FR"/>
        </w:rPr>
        <w:t xml:space="preserve"> (</w:t>
      </w:r>
      <w:r w:rsidR="00D40F91" w:rsidRPr="004E13E9">
        <w:rPr>
          <w:sz w:val="18"/>
          <w:lang w:val="fr-FR"/>
        </w:rPr>
        <w:t>en ligne</w:t>
      </w:r>
      <w:r w:rsidR="008D6E32" w:rsidRPr="004E13E9">
        <w:rPr>
          <w:sz w:val="18"/>
          <w:lang w:val="fr-FR"/>
        </w:rPr>
        <w:t>)</w:t>
      </w:r>
    </w:p>
    <w:p w14:paraId="275E192B" w14:textId="77777777" w:rsidR="00D41BB9" w:rsidRPr="004E13E9" w:rsidRDefault="00E95051">
      <w:pPr>
        <w:jc w:val="both"/>
        <w:rPr>
          <w:lang w:val="fr-FR"/>
        </w:rPr>
      </w:pPr>
      <w:r w:rsidRPr="004E13E9">
        <w:rPr>
          <w:sz w:val="18"/>
          <w:lang w:val="fr-FR"/>
        </w:rPr>
        <w:t>Maître de Conférences, Coordinateur du groupe Grands pélagiques, Laboratoire Sciences Halieutiques-Institut National des Sciences et Technologies de la Mer-INSTM, Centre Mahdia</w:t>
      </w:r>
    </w:p>
    <w:p w14:paraId="5FF84B54" w14:textId="77777777" w:rsidR="00D41BB9" w:rsidRPr="004E13E9" w:rsidRDefault="00E95051">
      <w:pPr>
        <w:jc w:val="both"/>
        <w:rPr>
          <w:lang w:val="pt-PT"/>
        </w:rPr>
      </w:pPr>
      <w:r w:rsidRPr="004E13E9">
        <w:rPr>
          <w:sz w:val="18"/>
          <w:lang w:val="pt-PT"/>
        </w:rPr>
        <w:t>Tel: +216 73 688 604, E-Mail: rafik.zarrad@gmail.com; rafik.zarrad@instm.rnrt.tn</w:t>
      </w:r>
    </w:p>
    <w:p w14:paraId="536EC502" w14:textId="77777777" w:rsidR="00D41BB9" w:rsidRPr="004E13E9" w:rsidRDefault="00D41BB9">
      <w:pPr>
        <w:rPr>
          <w:lang w:val="pt-PT"/>
        </w:rPr>
      </w:pPr>
    </w:p>
    <w:p w14:paraId="5B88C25B" w14:textId="77777777" w:rsidR="00D41BB9" w:rsidRPr="004E13E9" w:rsidRDefault="00E95051">
      <w:pPr>
        <w:rPr>
          <w:lang w:val="fr-FR"/>
        </w:rPr>
      </w:pPr>
      <w:r w:rsidRPr="004E13E9">
        <w:rPr>
          <w:b/>
          <w:lang w:val="fr-FR"/>
        </w:rPr>
        <w:t>TÜRKIYE</w:t>
      </w:r>
    </w:p>
    <w:p w14:paraId="2894F4BA" w14:textId="22D5B8D6" w:rsidR="00D41BB9" w:rsidRPr="004E13E9" w:rsidRDefault="00E95051">
      <w:pPr>
        <w:rPr>
          <w:lang w:val="fr-FR"/>
        </w:rPr>
      </w:pPr>
      <w:r w:rsidRPr="004E13E9">
        <w:rPr>
          <w:b/>
          <w:sz w:val="18"/>
          <w:lang w:val="fr-FR"/>
        </w:rPr>
        <w:t>Günes</w:t>
      </w:r>
      <w:r w:rsidRPr="004E13E9">
        <w:rPr>
          <w:sz w:val="18"/>
          <w:lang w:val="fr-FR"/>
        </w:rPr>
        <w:t>, Erdinç *</w:t>
      </w:r>
      <w:r w:rsidR="008D6E32" w:rsidRPr="004E13E9">
        <w:rPr>
          <w:sz w:val="18"/>
          <w:lang w:val="fr-FR"/>
        </w:rPr>
        <w:t xml:space="preserve"> (</w:t>
      </w:r>
      <w:r w:rsidR="00D40F91" w:rsidRPr="004E13E9">
        <w:rPr>
          <w:sz w:val="18"/>
          <w:lang w:val="fr-FR"/>
        </w:rPr>
        <w:t>en ligne</w:t>
      </w:r>
      <w:r w:rsidR="008D6E32" w:rsidRPr="004E13E9">
        <w:rPr>
          <w:sz w:val="18"/>
          <w:lang w:val="fr-FR"/>
        </w:rPr>
        <w:t>)</w:t>
      </w:r>
    </w:p>
    <w:p w14:paraId="757D4AF9" w14:textId="77777777" w:rsidR="00D41BB9" w:rsidRPr="004E13E9" w:rsidRDefault="00E95051">
      <w:pPr>
        <w:jc w:val="both"/>
        <w:rPr>
          <w:lang w:val="pt-PT"/>
        </w:rPr>
      </w:pPr>
      <w:r w:rsidRPr="004E13E9">
        <w:rPr>
          <w:sz w:val="18"/>
        </w:rPr>
        <w:t xml:space="preserve">Deputy Director General, Ministry of Agriculture and Forestry (MoAF), General Directorate of Fisheries and Aquaculture, </w:t>
      </w:r>
      <w:proofErr w:type="spellStart"/>
      <w:r w:rsidRPr="004E13E9">
        <w:rPr>
          <w:sz w:val="18"/>
        </w:rPr>
        <w:t>Üniversiteler</w:t>
      </w:r>
      <w:proofErr w:type="spellEnd"/>
      <w:r w:rsidRPr="004E13E9">
        <w:rPr>
          <w:sz w:val="18"/>
        </w:rPr>
        <w:t xml:space="preserve"> Mah. </w:t>
      </w:r>
      <w:r w:rsidRPr="004E13E9">
        <w:rPr>
          <w:sz w:val="18"/>
          <w:lang w:val="pt-PT"/>
        </w:rPr>
        <w:t>Dumlupınar Bulvarı, No: 161 / 1-0, 06100 Lodumlu, Ankara</w:t>
      </w:r>
    </w:p>
    <w:p w14:paraId="62B236A1" w14:textId="77777777" w:rsidR="00D41BB9" w:rsidRPr="004E13E9" w:rsidRDefault="00E95051">
      <w:pPr>
        <w:jc w:val="both"/>
        <w:rPr>
          <w:lang w:val="pt-PT"/>
        </w:rPr>
      </w:pPr>
      <w:r w:rsidRPr="004E13E9">
        <w:rPr>
          <w:sz w:val="18"/>
          <w:lang w:val="pt-PT"/>
        </w:rPr>
        <w:t>Tel: +90 312 258 3017, E-Mail: erdinc.gunes@tarimorman.gov.tr; erdincgunes67@gmail.com</w:t>
      </w:r>
    </w:p>
    <w:p w14:paraId="69E6A836" w14:textId="77777777" w:rsidR="00D41BB9" w:rsidRPr="004E13E9" w:rsidRDefault="00D41BB9">
      <w:pPr>
        <w:rPr>
          <w:lang w:val="pt-PT"/>
        </w:rPr>
      </w:pPr>
    </w:p>
    <w:p w14:paraId="50D004C5" w14:textId="77777777" w:rsidR="00D41BB9" w:rsidRPr="004E13E9" w:rsidRDefault="00E95051">
      <w:proofErr w:type="spellStart"/>
      <w:r w:rsidRPr="004E13E9">
        <w:rPr>
          <w:b/>
          <w:sz w:val="18"/>
        </w:rPr>
        <w:t>Gökçinar</w:t>
      </w:r>
      <w:proofErr w:type="spellEnd"/>
      <w:r w:rsidRPr="004E13E9">
        <w:rPr>
          <w:sz w:val="18"/>
        </w:rPr>
        <w:t>, Niyazi Can</w:t>
      </w:r>
    </w:p>
    <w:p w14:paraId="5753DBA5" w14:textId="77777777" w:rsidR="00D41BB9" w:rsidRPr="004E13E9" w:rsidRDefault="00E95051">
      <w:pPr>
        <w:jc w:val="both"/>
        <w:rPr>
          <w:lang w:val="pt-PT"/>
        </w:rPr>
      </w:pPr>
      <w:r w:rsidRPr="004E13E9">
        <w:rPr>
          <w:sz w:val="18"/>
        </w:rPr>
        <w:t xml:space="preserve">Senior Fisheries Officer, Ministry of Agriculture and Forestry, General Directorate of Fisheries and Aquaculture, </w:t>
      </w:r>
      <w:proofErr w:type="spellStart"/>
      <w:r w:rsidRPr="004E13E9">
        <w:rPr>
          <w:sz w:val="18"/>
        </w:rPr>
        <w:t>Üniversiteler</w:t>
      </w:r>
      <w:proofErr w:type="spellEnd"/>
      <w:r w:rsidRPr="004E13E9">
        <w:rPr>
          <w:sz w:val="18"/>
        </w:rPr>
        <w:t xml:space="preserve"> Mah. </w:t>
      </w:r>
      <w:r w:rsidRPr="004E13E9">
        <w:rPr>
          <w:sz w:val="18"/>
          <w:lang w:val="pt-PT"/>
        </w:rPr>
        <w:t>Dumlupınar Bulvarı, No: 161 / 1-0, 06800 Lodumlu, Ankara</w:t>
      </w:r>
    </w:p>
    <w:p w14:paraId="471E403A" w14:textId="77777777" w:rsidR="00D41BB9" w:rsidRPr="004E13E9" w:rsidRDefault="00E95051">
      <w:pPr>
        <w:jc w:val="both"/>
        <w:rPr>
          <w:lang w:val="pt-PT"/>
        </w:rPr>
      </w:pPr>
      <w:r w:rsidRPr="004E13E9">
        <w:rPr>
          <w:sz w:val="18"/>
          <w:lang w:val="pt-PT"/>
        </w:rPr>
        <w:t>Tel: +90 312 258 3077, Fax: +90 312 258 3039, E-Mail: niyazican.gokcinar@tarimorman.gov.tr; niyazicangokcinar@hotmail.com</w:t>
      </w:r>
    </w:p>
    <w:p w14:paraId="6E92D180" w14:textId="77777777" w:rsidR="00D41BB9" w:rsidRPr="004E13E9" w:rsidRDefault="00D41BB9">
      <w:pPr>
        <w:rPr>
          <w:lang w:val="pt-PT"/>
        </w:rPr>
      </w:pPr>
    </w:p>
    <w:p w14:paraId="117C12F0" w14:textId="0AF7169D" w:rsidR="00D41BB9" w:rsidRPr="004E13E9" w:rsidRDefault="00E95051">
      <w:pPr>
        <w:rPr>
          <w:lang w:val="pt-PT"/>
        </w:rPr>
      </w:pPr>
      <w:r w:rsidRPr="004E13E9">
        <w:rPr>
          <w:b/>
          <w:sz w:val="18"/>
          <w:lang w:val="pt-PT"/>
        </w:rPr>
        <w:t>Mavruk</w:t>
      </w:r>
      <w:r w:rsidRPr="004E13E9">
        <w:rPr>
          <w:sz w:val="18"/>
          <w:lang w:val="pt-PT"/>
        </w:rPr>
        <w:t>, Sinan</w:t>
      </w:r>
      <w:r w:rsidR="008D6E32" w:rsidRPr="004E13E9">
        <w:rPr>
          <w:sz w:val="18"/>
          <w:lang w:val="pt-PT"/>
        </w:rPr>
        <w:t xml:space="preserve"> (</w:t>
      </w:r>
      <w:r w:rsidR="00D40F91" w:rsidRPr="004E13E9">
        <w:rPr>
          <w:sz w:val="18"/>
          <w:lang w:val="pt-PT"/>
        </w:rPr>
        <w:t>en ligne</w:t>
      </w:r>
      <w:r w:rsidR="008D6E32" w:rsidRPr="004E13E9">
        <w:rPr>
          <w:sz w:val="18"/>
          <w:lang w:val="pt-PT"/>
        </w:rPr>
        <w:t>)</w:t>
      </w:r>
    </w:p>
    <w:p w14:paraId="5FEF4958" w14:textId="77777777" w:rsidR="00D41BB9" w:rsidRPr="004E13E9" w:rsidRDefault="00E95051">
      <w:pPr>
        <w:jc w:val="both"/>
        <w:rPr>
          <w:lang w:val="pt-PT"/>
        </w:rPr>
      </w:pPr>
      <w:r w:rsidRPr="004E13E9">
        <w:rPr>
          <w:sz w:val="18"/>
          <w:lang w:val="pt-PT"/>
        </w:rPr>
        <w:t>Cukurova Universiity, Fisheries Faculty, 01330 Adana</w:t>
      </w:r>
    </w:p>
    <w:p w14:paraId="79DD8BBC" w14:textId="77777777" w:rsidR="00D41BB9" w:rsidRPr="004E13E9" w:rsidRDefault="00E95051">
      <w:pPr>
        <w:jc w:val="both"/>
        <w:rPr>
          <w:lang w:val="pt-PT"/>
        </w:rPr>
      </w:pPr>
      <w:r w:rsidRPr="004E13E9">
        <w:rPr>
          <w:sz w:val="18"/>
          <w:lang w:val="pt-PT"/>
        </w:rPr>
        <w:t>Tel: +90 530 441 9904, E-Mail: smavruk@cu.edu.tr; sinan.mavruk@gmail.com</w:t>
      </w:r>
    </w:p>
    <w:p w14:paraId="335C513A" w14:textId="77777777" w:rsidR="0080215F" w:rsidRPr="004E13E9" w:rsidRDefault="0080215F">
      <w:pPr>
        <w:rPr>
          <w:b/>
          <w:sz w:val="18"/>
          <w:lang w:val="pt-PT"/>
        </w:rPr>
      </w:pPr>
      <w:r w:rsidRPr="004E13E9">
        <w:rPr>
          <w:b/>
          <w:sz w:val="18"/>
          <w:lang w:val="pt-PT"/>
        </w:rPr>
        <w:br w:type="page"/>
      </w:r>
    </w:p>
    <w:p w14:paraId="05628AF6" w14:textId="3ABB0284" w:rsidR="00D41BB9" w:rsidRPr="004E13E9" w:rsidRDefault="00E95051">
      <w:pPr>
        <w:rPr>
          <w:lang w:val="pt-PT"/>
        </w:rPr>
      </w:pPr>
      <w:r w:rsidRPr="004E13E9">
        <w:rPr>
          <w:b/>
          <w:sz w:val="18"/>
          <w:lang w:val="pt-PT"/>
        </w:rPr>
        <w:lastRenderedPageBreak/>
        <w:t>Topçu</w:t>
      </w:r>
      <w:r w:rsidRPr="004E13E9">
        <w:rPr>
          <w:sz w:val="18"/>
          <w:lang w:val="pt-PT"/>
        </w:rPr>
        <w:t>, Burcu Bilgin</w:t>
      </w:r>
    </w:p>
    <w:p w14:paraId="3079C534" w14:textId="77777777" w:rsidR="00D41BB9" w:rsidRPr="004E13E9" w:rsidRDefault="00E95051">
      <w:pPr>
        <w:jc w:val="both"/>
        <w:rPr>
          <w:lang w:val="pt-PT"/>
        </w:rPr>
      </w:pPr>
      <w:r w:rsidRPr="004E13E9">
        <w:rPr>
          <w:sz w:val="18"/>
        </w:rPr>
        <w:t xml:space="preserve">Senior Fisheries Officer, Ministry of Agriculture and Forestry, General Directorate of Fisheries and Aquaculture, </w:t>
      </w:r>
      <w:proofErr w:type="spellStart"/>
      <w:r w:rsidRPr="004E13E9">
        <w:rPr>
          <w:sz w:val="18"/>
        </w:rPr>
        <w:t>Üniversiteler</w:t>
      </w:r>
      <w:proofErr w:type="spellEnd"/>
      <w:r w:rsidRPr="004E13E9">
        <w:rPr>
          <w:sz w:val="18"/>
        </w:rPr>
        <w:t xml:space="preserve"> Mah. </w:t>
      </w:r>
      <w:r w:rsidRPr="004E13E9">
        <w:rPr>
          <w:sz w:val="18"/>
          <w:lang w:val="pt-PT"/>
        </w:rPr>
        <w:t>Dumlupınar Bulvarı, No: 161 / 1-6, 06800 Lodumlu, Ankara</w:t>
      </w:r>
    </w:p>
    <w:p w14:paraId="4A8F1A75" w14:textId="77777777" w:rsidR="00D41BB9" w:rsidRPr="004E13E9" w:rsidRDefault="00E95051">
      <w:pPr>
        <w:jc w:val="both"/>
        <w:rPr>
          <w:lang w:val="pt-PT"/>
        </w:rPr>
      </w:pPr>
      <w:r w:rsidRPr="004E13E9">
        <w:rPr>
          <w:sz w:val="18"/>
          <w:lang w:val="pt-PT"/>
        </w:rPr>
        <w:t>Tel: +90 532 207 0632; +90 312 258 3077, Fax: +90 312 258 30 39, E-Mail: burcu.bilgin@tarimorman.gov.tr; bilginburcu@gmail.com</w:t>
      </w:r>
    </w:p>
    <w:p w14:paraId="6EF6C7AD" w14:textId="77777777" w:rsidR="00D41BB9" w:rsidRPr="004E13E9" w:rsidRDefault="00D41BB9">
      <w:pPr>
        <w:rPr>
          <w:lang w:val="pt-PT"/>
        </w:rPr>
      </w:pPr>
    </w:p>
    <w:p w14:paraId="0C573B80" w14:textId="492F4ABF" w:rsidR="00D41BB9" w:rsidRPr="00C712A4" w:rsidRDefault="00E95051">
      <w:r w:rsidRPr="00C712A4">
        <w:rPr>
          <w:b/>
          <w:sz w:val="18"/>
        </w:rPr>
        <w:t>Yalim</w:t>
      </w:r>
      <w:r w:rsidRPr="00C712A4">
        <w:rPr>
          <w:sz w:val="18"/>
        </w:rPr>
        <w:t>, Fatma Banu</w:t>
      </w:r>
      <w:r w:rsidR="008D6E32" w:rsidRPr="00C712A4">
        <w:rPr>
          <w:sz w:val="18"/>
        </w:rPr>
        <w:t xml:space="preserve"> (</w:t>
      </w:r>
      <w:proofErr w:type="spellStart"/>
      <w:r w:rsidR="00D40F91" w:rsidRPr="00C712A4">
        <w:rPr>
          <w:sz w:val="18"/>
        </w:rPr>
        <w:t>en</w:t>
      </w:r>
      <w:proofErr w:type="spellEnd"/>
      <w:r w:rsidR="00D40F91" w:rsidRPr="00C712A4">
        <w:rPr>
          <w:sz w:val="18"/>
        </w:rPr>
        <w:t xml:space="preserve"> </w:t>
      </w:r>
      <w:proofErr w:type="spellStart"/>
      <w:r w:rsidR="00D40F91" w:rsidRPr="00C712A4">
        <w:rPr>
          <w:sz w:val="18"/>
        </w:rPr>
        <w:t>ligne</w:t>
      </w:r>
      <w:proofErr w:type="spellEnd"/>
      <w:r w:rsidR="008D6E32" w:rsidRPr="00C712A4">
        <w:rPr>
          <w:sz w:val="18"/>
        </w:rPr>
        <w:t>)</w:t>
      </w:r>
    </w:p>
    <w:p w14:paraId="09925686" w14:textId="77777777" w:rsidR="00D41BB9" w:rsidRPr="004E13E9" w:rsidRDefault="00E95051">
      <w:pPr>
        <w:jc w:val="both"/>
      </w:pPr>
      <w:r w:rsidRPr="004E13E9">
        <w:rPr>
          <w:sz w:val="18"/>
        </w:rPr>
        <w:t xml:space="preserve">Ministry of </w:t>
      </w:r>
      <w:proofErr w:type="spellStart"/>
      <w:r w:rsidRPr="004E13E9">
        <w:rPr>
          <w:sz w:val="18"/>
        </w:rPr>
        <w:t>Agrıculture</w:t>
      </w:r>
      <w:proofErr w:type="spellEnd"/>
      <w:r w:rsidRPr="004E13E9">
        <w:rPr>
          <w:sz w:val="18"/>
        </w:rPr>
        <w:t xml:space="preserve"> and Forestry Mediterranean Fisheries Research Production and Training Institute, 07190 Antalya</w:t>
      </w:r>
    </w:p>
    <w:p w14:paraId="4E0E0EEC" w14:textId="77777777" w:rsidR="00D41BB9" w:rsidRPr="00C712A4" w:rsidRDefault="00E95051">
      <w:pPr>
        <w:jc w:val="both"/>
        <w:rPr>
          <w:lang w:val="it-IT"/>
        </w:rPr>
      </w:pPr>
      <w:r w:rsidRPr="00C712A4">
        <w:rPr>
          <w:sz w:val="18"/>
          <w:lang w:val="it-IT"/>
        </w:rPr>
        <w:t>Tel: +90 533 633 0801; +90 242 251 0585, Fax: +90 242 251 0584, E-Mail: banuyalim@yahoo.com; fatmabanu.yalim@tarimorman.gov.tr</w:t>
      </w:r>
    </w:p>
    <w:p w14:paraId="0C5F4F13" w14:textId="77777777" w:rsidR="00D41BB9" w:rsidRPr="00C712A4" w:rsidRDefault="00D41BB9">
      <w:pPr>
        <w:rPr>
          <w:lang w:val="it-IT"/>
        </w:rPr>
      </w:pPr>
    </w:p>
    <w:p w14:paraId="3F694F7D" w14:textId="77777777" w:rsidR="00D41BB9" w:rsidRPr="00C712A4" w:rsidRDefault="00E95051">
      <w:pPr>
        <w:rPr>
          <w:lang w:val="it-IT"/>
        </w:rPr>
      </w:pPr>
      <w:r w:rsidRPr="00C712A4">
        <w:rPr>
          <w:b/>
          <w:sz w:val="18"/>
          <w:lang w:val="it-IT"/>
        </w:rPr>
        <w:t>Yildirim</w:t>
      </w:r>
      <w:r w:rsidRPr="00C712A4">
        <w:rPr>
          <w:sz w:val="18"/>
          <w:lang w:val="it-IT"/>
        </w:rPr>
        <w:t>, Burak Rahmi</w:t>
      </w:r>
    </w:p>
    <w:p w14:paraId="461B421B" w14:textId="77777777" w:rsidR="00D41BB9" w:rsidRPr="004E13E9" w:rsidRDefault="00E95051">
      <w:pPr>
        <w:jc w:val="both"/>
      </w:pPr>
      <w:r w:rsidRPr="004E13E9">
        <w:rPr>
          <w:sz w:val="18"/>
        </w:rPr>
        <w:t>Ministry of Agriculture and Forestry, General Directorate of EU and External Relations</w:t>
      </w:r>
    </w:p>
    <w:p w14:paraId="1EC3DB87" w14:textId="77777777" w:rsidR="00D41BB9" w:rsidRPr="00C712A4" w:rsidRDefault="00E95051">
      <w:pPr>
        <w:jc w:val="both"/>
        <w:rPr>
          <w:lang w:val="it-IT"/>
        </w:rPr>
      </w:pPr>
      <w:r w:rsidRPr="00C712A4">
        <w:rPr>
          <w:sz w:val="18"/>
          <w:lang w:val="it-IT"/>
        </w:rPr>
        <w:t>E-Mail: burak.yildirim@tarimorman.gov.tr</w:t>
      </w:r>
    </w:p>
    <w:p w14:paraId="5AC99C17" w14:textId="77777777" w:rsidR="00D41BB9" w:rsidRPr="00C712A4" w:rsidRDefault="00D41BB9">
      <w:pPr>
        <w:rPr>
          <w:lang w:val="it-IT"/>
        </w:rPr>
      </w:pPr>
    </w:p>
    <w:p w14:paraId="1EBEEFAB" w14:textId="367A02CD" w:rsidR="006C71FD" w:rsidRPr="004E13E9" w:rsidRDefault="006C71FD" w:rsidP="006C71FD">
      <w:pPr>
        <w:rPr>
          <w:lang w:val="fr-FR"/>
        </w:rPr>
      </w:pPr>
      <w:r w:rsidRPr="004E13E9">
        <w:rPr>
          <w:b/>
          <w:lang w:val="fr-FR"/>
        </w:rPr>
        <w:t>UNION EUROPÉENNE</w:t>
      </w:r>
    </w:p>
    <w:p w14:paraId="1DFD23C1" w14:textId="77777777" w:rsidR="006C71FD" w:rsidRPr="004E13E9" w:rsidRDefault="006C71FD" w:rsidP="006C71FD">
      <w:pPr>
        <w:rPr>
          <w:lang w:val="fr-FR"/>
        </w:rPr>
      </w:pPr>
      <w:r w:rsidRPr="004E13E9">
        <w:rPr>
          <w:b/>
          <w:sz w:val="18"/>
          <w:lang w:val="fr-FR"/>
        </w:rPr>
        <w:t>Billiet</w:t>
      </w:r>
      <w:r w:rsidRPr="004E13E9">
        <w:rPr>
          <w:sz w:val="18"/>
          <w:lang w:val="fr-FR"/>
        </w:rPr>
        <w:t>, Stijn * (en ligne)</w:t>
      </w:r>
    </w:p>
    <w:p w14:paraId="1351522C" w14:textId="77777777" w:rsidR="006C71FD" w:rsidRPr="004E13E9" w:rsidRDefault="006C71FD" w:rsidP="006C71FD">
      <w:pPr>
        <w:jc w:val="both"/>
        <w:rPr>
          <w:lang w:val="fr-FR"/>
        </w:rPr>
      </w:pPr>
      <w:r w:rsidRPr="004E13E9">
        <w:rPr>
          <w:sz w:val="18"/>
          <w:lang w:val="fr-FR"/>
        </w:rPr>
        <w:t xml:space="preserve">Head of EU Unit, </w:t>
      </w:r>
      <w:proofErr w:type="spellStart"/>
      <w:r w:rsidRPr="004E13E9">
        <w:rPr>
          <w:sz w:val="18"/>
          <w:lang w:val="fr-FR"/>
        </w:rPr>
        <w:t>European</w:t>
      </w:r>
      <w:proofErr w:type="spellEnd"/>
      <w:r w:rsidRPr="004E13E9">
        <w:rPr>
          <w:sz w:val="18"/>
          <w:lang w:val="fr-FR"/>
        </w:rPr>
        <w:t xml:space="preserve"> Commission, DG Mare B 2, Rue Joseph II - 99, 1049 Brussels, </w:t>
      </w:r>
      <w:proofErr w:type="spellStart"/>
      <w:r w:rsidRPr="004E13E9">
        <w:rPr>
          <w:sz w:val="18"/>
          <w:lang w:val="fr-FR"/>
        </w:rPr>
        <w:t>Belgium</w:t>
      </w:r>
      <w:proofErr w:type="spellEnd"/>
    </w:p>
    <w:p w14:paraId="31CA1829" w14:textId="77777777" w:rsidR="006C71FD" w:rsidRPr="004E13E9" w:rsidRDefault="006C71FD" w:rsidP="006C71FD">
      <w:pPr>
        <w:jc w:val="both"/>
        <w:rPr>
          <w:lang w:val="fr-FR"/>
        </w:rPr>
      </w:pPr>
      <w:r w:rsidRPr="004E13E9">
        <w:rPr>
          <w:sz w:val="18"/>
          <w:lang w:val="fr-FR"/>
        </w:rPr>
        <w:t>Tel: +32 229 57641, E-Mail: stijn.billiet@ec.europa.eu</w:t>
      </w:r>
    </w:p>
    <w:p w14:paraId="310D9CE2" w14:textId="77777777" w:rsidR="006C71FD" w:rsidRPr="004E13E9" w:rsidRDefault="006C71FD" w:rsidP="006C71FD">
      <w:pPr>
        <w:rPr>
          <w:lang w:val="fr-FR"/>
        </w:rPr>
      </w:pPr>
    </w:p>
    <w:p w14:paraId="72486895" w14:textId="77777777" w:rsidR="006C71FD" w:rsidRPr="004E13E9" w:rsidRDefault="006C71FD" w:rsidP="006C71FD">
      <w:proofErr w:type="spellStart"/>
      <w:r w:rsidRPr="004E13E9">
        <w:rPr>
          <w:b/>
          <w:sz w:val="18"/>
        </w:rPr>
        <w:t>Bengyuzova</w:t>
      </w:r>
      <w:proofErr w:type="spellEnd"/>
      <w:r w:rsidRPr="004E13E9">
        <w:rPr>
          <w:sz w:val="18"/>
        </w:rPr>
        <w:t>, Anjelina</w:t>
      </w:r>
    </w:p>
    <w:p w14:paraId="5EE11E34" w14:textId="77777777" w:rsidR="006C71FD" w:rsidRPr="004E13E9" w:rsidRDefault="006C71FD" w:rsidP="006C71FD">
      <w:pPr>
        <w:jc w:val="both"/>
      </w:pPr>
      <w:r w:rsidRPr="004E13E9">
        <w:rPr>
          <w:sz w:val="18"/>
        </w:rPr>
        <w:t>Council of the European Union, General Secretariat Directorate-General Agriculture, Fisheries, Social Affairs and Health - LIFE Fisheries - LIFE, 1048 Brussels, Belgium</w:t>
      </w:r>
    </w:p>
    <w:p w14:paraId="7D509750" w14:textId="77777777" w:rsidR="006C71FD" w:rsidRPr="004E13E9" w:rsidRDefault="006C71FD" w:rsidP="006C71FD"/>
    <w:p w14:paraId="17C9E3E2" w14:textId="15B466E9" w:rsidR="006C71FD" w:rsidRPr="004E13E9" w:rsidRDefault="006C71FD" w:rsidP="006C71FD">
      <w:proofErr w:type="spellStart"/>
      <w:r w:rsidRPr="004E13E9">
        <w:rPr>
          <w:b/>
          <w:sz w:val="18"/>
        </w:rPr>
        <w:t>Demaille</w:t>
      </w:r>
      <w:proofErr w:type="spellEnd"/>
      <w:r w:rsidRPr="004E13E9">
        <w:rPr>
          <w:sz w:val="18"/>
        </w:rPr>
        <w:t>, Ana</w:t>
      </w:r>
      <w:r w:rsidR="00333E77" w:rsidRPr="004E13E9">
        <w:rPr>
          <w:sz w:val="18"/>
        </w:rPr>
        <w:t>ï</w:t>
      </w:r>
      <w:r w:rsidRPr="004E13E9">
        <w:rPr>
          <w:sz w:val="18"/>
        </w:rPr>
        <w:t>s</w:t>
      </w:r>
    </w:p>
    <w:p w14:paraId="3738067B" w14:textId="77777777" w:rsidR="006C71FD" w:rsidRPr="004E13E9" w:rsidRDefault="006C71FD" w:rsidP="006C71FD">
      <w:pPr>
        <w:jc w:val="both"/>
      </w:pPr>
      <w:r w:rsidRPr="004E13E9">
        <w:rPr>
          <w:sz w:val="18"/>
        </w:rPr>
        <w:t>Directorate-General for Maritime Affairs and Fisheries - DG MARE, Fisheries Control and Inspections, Rue Joseph II 99, 1000 Brussels, Belgium</w:t>
      </w:r>
    </w:p>
    <w:p w14:paraId="7B5D6B0E" w14:textId="77777777" w:rsidR="006C71FD" w:rsidRPr="00C712A4" w:rsidRDefault="006C71FD" w:rsidP="006C71FD">
      <w:pPr>
        <w:jc w:val="both"/>
        <w:rPr>
          <w:lang w:val="it-IT"/>
        </w:rPr>
      </w:pPr>
      <w:r w:rsidRPr="00C712A4">
        <w:rPr>
          <w:sz w:val="18"/>
          <w:lang w:val="it-IT"/>
        </w:rPr>
        <w:t>E-Mail: Anais.DEMAILLE@ec.europa.eu</w:t>
      </w:r>
    </w:p>
    <w:p w14:paraId="569C40E3" w14:textId="77777777" w:rsidR="006C71FD" w:rsidRPr="00C712A4" w:rsidRDefault="006C71FD" w:rsidP="006C71FD">
      <w:pPr>
        <w:rPr>
          <w:b/>
          <w:sz w:val="18"/>
          <w:lang w:val="it-IT"/>
        </w:rPr>
      </w:pPr>
    </w:p>
    <w:p w14:paraId="43722D11" w14:textId="77777777" w:rsidR="006C71FD" w:rsidRPr="004E13E9" w:rsidRDefault="006C71FD" w:rsidP="006C71FD">
      <w:pPr>
        <w:rPr>
          <w:lang w:val="fr-FR"/>
        </w:rPr>
      </w:pPr>
      <w:r w:rsidRPr="004E13E9">
        <w:rPr>
          <w:b/>
          <w:sz w:val="18"/>
          <w:lang w:val="fr-FR"/>
        </w:rPr>
        <w:t>Howard</w:t>
      </w:r>
      <w:r w:rsidRPr="004E13E9">
        <w:rPr>
          <w:sz w:val="18"/>
          <w:lang w:val="fr-FR"/>
        </w:rPr>
        <w:t>, Séamus (en ligne)</w:t>
      </w:r>
    </w:p>
    <w:p w14:paraId="0E37AE89" w14:textId="77777777" w:rsidR="006C71FD" w:rsidRPr="004E13E9" w:rsidRDefault="006C71FD" w:rsidP="006C71FD">
      <w:pPr>
        <w:jc w:val="both"/>
        <w:rPr>
          <w:lang w:val="fr-FR"/>
        </w:rPr>
      </w:pPr>
      <w:proofErr w:type="spellStart"/>
      <w:r w:rsidRPr="004E13E9">
        <w:rPr>
          <w:sz w:val="18"/>
          <w:lang w:val="fr-FR"/>
        </w:rPr>
        <w:t>European</w:t>
      </w:r>
      <w:proofErr w:type="spellEnd"/>
      <w:r w:rsidRPr="004E13E9">
        <w:rPr>
          <w:sz w:val="18"/>
          <w:lang w:val="fr-FR"/>
        </w:rPr>
        <w:t xml:space="preserve"> Commission, DG MARE, Rue Joseph II 99, 1000 Brussels, </w:t>
      </w:r>
      <w:proofErr w:type="spellStart"/>
      <w:r w:rsidRPr="004E13E9">
        <w:rPr>
          <w:sz w:val="18"/>
          <w:lang w:val="fr-FR"/>
        </w:rPr>
        <w:t>Belgium</w:t>
      </w:r>
      <w:proofErr w:type="spellEnd"/>
    </w:p>
    <w:p w14:paraId="092F6A95" w14:textId="77777777" w:rsidR="006C71FD" w:rsidRPr="004E13E9" w:rsidRDefault="006C71FD" w:rsidP="006C71FD">
      <w:pPr>
        <w:jc w:val="both"/>
        <w:rPr>
          <w:lang w:val="fr-FR"/>
        </w:rPr>
      </w:pPr>
      <w:r w:rsidRPr="004E13E9">
        <w:rPr>
          <w:sz w:val="18"/>
          <w:lang w:val="fr-FR"/>
        </w:rPr>
        <w:t>Tel: +32 229 50083; +32 488 258 038, E-Mail: seamus.howard@ec.europa.eu</w:t>
      </w:r>
    </w:p>
    <w:p w14:paraId="7B187B11" w14:textId="77777777" w:rsidR="006C71FD" w:rsidRPr="004E13E9" w:rsidRDefault="006C71FD" w:rsidP="006C71FD">
      <w:pPr>
        <w:rPr>
          <w:lang w:val="fr-FR"/>
        </w:rPr>
      </w:pPr>
    </w:p>
    <w:p w14:paraId="75362A11" w14:textId="77777777" w:rsidR="006C71FD" w:rsidRPr="004E13E9" w:rsidRDefault="006C71FD" w:rsidP="006C71FD">
      <w:pPr>
        <w:rPr>
          <w:lang w:val="fr-FR"/>
        </w:rPr>
      </w:pPr>
      <w:proofErr w:type="spellStart"/>
      <w:r w:rsidRPr="004E13E9">
        <w:rPr>
          <w:b/>
          <w:sz w:val="18"/>
          <w:lang w:val="fr-FR"/>
        </w:rPr>
        <w:t>Jonusas</w:t>
      </w:r>
      <w:proofErr w:type="spellEnd"/>
      <w:r w:rsidRPr="004E13E9">
        <w:rPr>
          <w:sz w:val="18"/>
          <w:lang w:val="fr-FR"/>
        </w:rPr>
        <w:t>, Stanislovas (en ligne)</w:t>
      </w:r>
    </w:p>
    <w:p w14:paraId="39F8C7C9" w14:textId="77777777" w:rsidR="006C71FD" w:rsidRPr="004E13E9" w:rsidRDefault="006C71FD" w:rsidP="006C71FD">
      <w:pPr>
        <w:jc w:val="both"/>
      </w:pPr>
      <w:r w:rsidRPr="004E13E9">
        <w:rPr>
          <w:sz w:val="18"/>
        </w:rPr>
        <w:t>Unit C3: Scientific Advice and Data Collection DG MARE - Fisheries Policy Atlantic, North Sea, Baltic and Outermost Regions European Commission, J-99 02/38 Rue Joseph II, 99, 1049 Brussels, Belgium</w:t>
      </w:r>
    </w:p>
    <w:p w14:paraId="18153C5E" w14:textId="77777777" w:rsidR="006C71FD" w:rsidRPr="004E13E9" w:rsidRDefault="006C71FD" w:rsidP="006C71FD">
      <w:pPr>
        <w:jc w:val="both"/>
        <w:rPr>
          <w:lang w:val="pt-PT"/>
        </w:rPr>
      </w:pPr>
      <w:r w:rsidRPr="004E13E9">
        <w:rPr>
          <w:sz w:val="18"/>
          <w:lang w:val="pt-PT"/>
        </w:rPr>
        <w:t>Tel: +3222 980 155, E-Mail: Stanislovas.Jonusas@ec.europa.eu</w:t>
      </w:r>
    </w:p>
    <w:p w14:paraId="01B9AD88" w14:textId="77777777" w:rsidR="006C71FD" w:rsidRPr="004E13E9" w:rsidRDefault="006C71FD" w:rsidP="006C71FD">
      <w:pPr>
        <w:rPr>
          <w:lang w:val="pt-PT"/>
        </w:rPr>
      </w:pPr>
    </w:p>
    <w:p w14:paraId="4B42E38B" w14:textId="77777777" w:rsidR="006C71FD" w:rsidRPr="00C712A4" w:rsidRDefault="006C71FD" w:rsidP="006C71FD">
      <w:pPr>
        <w:rPr>
          <w:lang w:val="fr-FR"/>
        </w:rPr>
      </w:pPr>
      <w:r w:rsidRPr="00C712A4">
        <w:rPr>
          <w:b/>
          <w:sz w:val="18"/>
          <w:lang w:val="fr-FR"/>
        </w:rPr>
        <w:t>Khalil</w:t>
      </w:r>
      <w:r w:rsidRPr="00C712A4">
        <w:rPr>
          <w:sz w:val="18"/>
          <w:lang w:val="fr-FR"/>
        </w:rPr>
        <w:t>, Samira (en ligne)</w:t>
      </w:r>
    </w:p>
    <w:p w14:paraId="60201A9F" w14:textId="77777777" w:rsidR="006C71FD" w:rsidRPr="004E13E9" w:rsidRDefault="006C71FD" w:rsidP="006C71FD">
      <w:pPr>
        <w:jc w:val="both"/>
      </w:pPr>
      <w:r w:rsidRPr="004E13E9">
        <w:rPr>
          <w:sz w:val="18"/>
        </w:rPr>
        <w:t>European Commission, DG Maritime Affairs and Fisheries, Unit B-1 "International Affairs, Law of the Sea and RFOs", Joseph II - 99 3/74, 1049 Brussels, Belgium</w:t>
      </w:r>
    </w:p>
    <w:p w14:paraId="4AAA2F69" w14:textId="77777777" w:rsidR="006C71FD" w:rsidRPr="004E13E9" w:rsidRDefault="006C71FD" w:rsidP="006C71FD">
      <w:pPr>
        <w:jc w:val="both"/>
        <w:rPr>
          <w:lang w:val="pt-PT"/>
        </w:rPr>
      </w:pPr>
      <w:r w:rsidRPr="004E13E9">
        <w:rPr>
          <w:sz w:val="18"/>
          <w:lang w:val="pt-PT"/>
        </w:rPr>
        <w:t>Tel: +32 2 298 03 39; +32 229 11111, E-Mail: samira.khalil@ec.europa.eu</w:t>
      </w:r>
    </w:p>
    <w:p w14:paraId="7DE9AD53" w14:textId="77777777" w:rsidR="006C71FD" w:rsidRPr="004E13E9" w:rsidRDefault="006C71FD" w:rsidP="006C71FD">
      <w:pPr>
        <w:rPr>
          <w:lang w:val="pt-PT"/>
        </w:rPr>
      </w:pPr>
    </w:p>
    <w:p w14:paraId="08AB55B9" w14:textId="77777777" w:rsidR="006C71FD" w:rsidRPr="004E13E9" w:rsidRDefault="006C71FD" w:rsidP="006C71FD">
      <w:r w:rsidRPr="004E13E9">
        <w:rPr>
          <w:b/>
          <w:sz w:val="18"/>
        </w:rPr>
        <w:t>Miranda</w:t>
      </w:r>
      <w:r w:rsidRPr="004E13E9">
        <w:rPr>
          <w:sz w:val="18"/>
        </w:rPr>
        <w:t>, Fernando (</w:t>
      </w:r>
      <w:proofErr w:type="spellStart"/>
      <w:r w:rsidRPr="004E13E9">
        <w:rPr>
          <w:sz w:val="18"/>
        </w:rPr>
        <w:t>en</w:t>
      </w:r>
      <w:proofErr w:type="spellEnd"/>
      <w:r w:rsidRPr="004E13E9">
        <w:rPr>
          <w:sz w:val="18"/>
        </w:rPr>
        <w:t xml:space="preserve"> </w:t>
      </w:r>
      <w:proofErr w:type="spellStart"/>
      <w:r w:rsidRPr="004E13E9">
        <w:rPr>
          <w:sz w:val="18"/>
        </w:rPr>
        <w:t>ligne</w:t>
      </w:r>
      <w:proofErr w:type="spellEnd"/>
      <w:r w:rsidRPr="004E13E9">
        <w:rPr>
          <w:sz w:val="18"/>
        </w:rPr>
        <w:t>)</w:t>
      </w:r>
    </w:p>
    <w:p w14:paraId="30044465" w14:textId="77777777" w:rsidR="006C71FD" w:rsidRPr="004E13E9" w:rsidRDefault="006C71FD" w:rsidP="006C71FD">
      <w:pPr>
        <w:jc w:val="both"/>
      </w:pPr>
      <w:r w:rsidRPr="004E13E9">
        <w:rPr>
          <w:sz w:val="18"/>
        </w:rPr>
        <w:t>Directorate-General for Maritime Affairs and Fisheries - DG MARE, Fisheries Control and Inspections, Rue Joseph II St, 99 01/090, B-1049 Brussels, Belgium</w:t>
      </w:r>
    </w:p>
    <w:p w14:paraId="2EC09449" w14:textId="77777777" w:rsidR="006C71FD" w:rsidRPr="004E13E9" w:rsidRDefault="006C71FD" w:rsidP="006C71FD">
      <w:pPr>
        <w:jc w:val="both"/>
        <w:rPr>
          <w:lang w:val="pt-PT"/>
        </w:rPr>
      </w:pPr>
      <w:r w:rsidRPr="004E13E9">
        <w:rPr>
          <w:sz w:val="18"/>
          <w:lang w:val="pt-PT"/>
        </w:rPr>
        <w:t>Tel: +322 299 3922, E-Mail: fernando.miranda@ec.europa.eu</w:t>
      </w:r>
    </w:p>
    <w:p w14:paraId="2D0573D6" w14:textId="77777777" w:rsidR="006C71FD" w:rsidRPr="004E13E9" w:rsidRDefault="006C71FD" w:rsidP="006C71FD">
      <w:pPr>
        <w:rPr>
          <w:lang w:val="pt-PT"/>
        </w:rPr>
      </w:pPr>
    </w:p>
    <w:p w14:paraId="45399EE0" w14:textId="77777777" w:rsidR="006C71FD" w:rsidRPr="00C712A4" w:rsidRDefault="006C71FD" w:rsidP="006C71FD">
      <w:pPr>
        <w:rPr>
          <w:lang w:val="it-IT"/>
        </w:rPr>
      </w:pPr>
      <w:proofErr w:type="spellStart"/>
      <w:r w:rsidRPr="00C712A4">
        <w:rPr>
          <w:b/>
          <w:sz w:val="18"/>
          <w:lang w:val="it-IT"/>
        </w:rPr>
        <w:t>Rull</w:t>
      </w:r>
      <w:proofErr w:type="spellEnd"/>
      <w:r w:rsidRPr="00C712A4">
        <w:rPr>
          <w:b/>
          <w:sz w:val="18"/>
          <w:lang w:val="it-IT"/>
        </w:rPr>
        <w:t xml:space="preserve"> del Águila</w:t>
      </w:r>
      <w:r w:rsidRPr="00C712A4">
        <w:rPr>
          <w:sz w:val="18"/>
          <w:lang w:val="it-IT"/>
        </w:rPr>
        <w:t>, Laura</w:t>
      </w:r>
    </w:p>
    <w:p w14:paraId="4E90D1D0" w14:textId="77777777" w:rsidR="006C71FD" w:rsidRPr="004E13E9" w:rsidRDefault="006C71FD" w:rsidP="006C71FD">
      <w:pPr>
        <w:jc w:val="both"/>
      </w:pPr>
      <w:r w:rsidRPr="004E13E9">
        <w:rPr>
          <w:sz w:val="18"/>
        </w:rPr>
        <w:t>Inspection Officer-Fisheries control, European Commission-DG MARE, Rue Joseph II 99, 1000 Brussels, Belgium</w:t>
      </w:r>
    </w:p>
    <w:p w14:paraId="24CDFB9F" w14:textId="77777777" w:rsidR="006C71FD" w:rsidRPr="004E13E9" w:rsidRDefault="006C71FD" w:rsidP="006C71FD">
      <w:pPr>
        <w:jc w:val="both"/>
        <w:rPr>
          <w:lang w:val="pt-PT"/>
        </w:rPr>
      </w:pPr>
      <w:r w:rsidRPr="004E13E9">
        <w:rPr>
          <w:sz w:val="18"/>
          <w:lang w:val="pt-PT"/>
        </w:rPr>
        <w:t>Tel: +32 229 84599, E-Mail: Laura.RULL-DEL-AGUILA@ec.europa.eu</w:t>
      </w:r>
    </w:p>
    <w:p w14:paraId="0D3ABB30" w14:textId="77777777" w:rsidR="006C71FD" w:rsidRPr="004E13E9" w:rsidRDefault="006C71FD" w:rsidP="006C71FD">
      <w:pPr>
        <w:rPr>
          <w:lang w:val="pt-PT"/>
        </w:rPr>
      </w:pPr>
    </w:p>
    <w:p w14:paraId="212BCB4C" w14:textId="77777777" w:rsidR="006C71FD" w:rsidRPr="004E13E9" w:rsidRDefault="006C71FD" w:rsidP="006C71FD">
      <w:pPr>
        <w:rPr>
          <w:lang w:val="es-ES"/>
        </w:rPr>
      </w:pPr>
      <w:r w:rsidRPr="004E13E9">
        <w:rPr>
          <w:b/>
          <w:sz w:val="18"/>
          <w:lang w:val="es-ES"/>
        </w:rPr>
        <w:t>Van-</w:t>
      </w:r>
      <w:proofErr w:type="spellStart"/>
      <w:r w:rsidRPr="004E13E9">
        <w:rPr>
          <w:b/>
          <w:sz w:val="18"/>
          <w:lang w:val="es-ES"/>
        </w:rPr>
        <w:t>Havre</w:t>
      </w:r>
      <w:proofErr w:type="spellEnd"/>
      <w:r w:rsidRPr="004E13E9">
        <w:rPr>
          <w:sz w:val="18"/>
          <w:lang w:val="es-ES"/>
        </w:rPr>
        <w:t xml:space="preserve">, Olivia (en </w:t>
      </w:r>
      <w:proofErr w:type="spellStart"/>
      <w:r w:rsidRPr="004E13E9">
        <w:rPr>
          <w:sz w:val="18"/>
          <w:lang w:val="es-ES"/>
        </w:rPr>
        <w:t>ligne</w:t>
      </w:r>
      <w:proofErr w:type="spellEnd"/>
      <w:r w:rsidRPr="004E13E9">
        <w:rPr>
          <w:sz w:val="18"/>
          <w:lang w:val="es-ES"/>
        </w:rPr>
        <w:t>)</w:t>
      </w:r>
    </w:p>
    <w:p w14:paraId="2822F88E" w14:textId="77777777" w:rsidR="006C71FD" w:rsidRPr="004E13E9" w:rsidRDefault="006C71FD" w:rsidP="006C71FD">
      <w:pPr>
        <w:jc w:val="both"/>
        <w:rPr>
          <w:lang w:val="fr-FR"/>
        </w:rPr>
      </w:pPr>
      <w:proofErr w:type="spellStart"/>
      <w:r w:rsidRPr="004E13E9">
        <w:rPr>
          <w:sz w:val="18"/>
          <w:lang w:val="fr-FR"/>
        </w:rPr>
        <w:t>European</w:t>
      </w:r>
      <w:proofErr w:type="spellEnd"/>
      <w:r w:rsidRPr="004E13E9">
        <w:rPr>
          <w:sz w:val="18"/>
          <w:lang w:val="fr-FR"/>
        </w:rPr>
        <w:t xml:space="preserve"> Commission - DG MARE, Rue Joseph II 99, 1000 </w:t>
      </w:r>
      <w:proofErr w:type="spellStart"/>
      <w:r w:rsidRPr="004E13E9">
        <w:rPr>
          <w:sz w:val="18"/>
          <w:lang w:val="fr-FR"/>
        </w:rPr>
        <w:t>brussels</w:t>
      </w:r>
      <w:proofErr w:type="spellEnd"/>
      <w:r w:rsidRPr="004E13E9">
        <w:rPr>
          <w:sz w:val="18"/>
          <w:lang w:val="fr-FR"/>
        </w:rPr>
        <w:t xml:space="preserve">, </w:t>
      </w:r>
      <w:proofErr w:type="spellStart"/>
      <w:r w:rsidRPr="004E13E9">
        <w:rPr>
          <w:sz w:val="18"/>
          <w:lang w:val="fr-FR"/>
        </w:rPr>
        <w:t>Belgium</w:t>
      </w:r>
      <w:proofErr w:type="spellEnd"/>
    </w:p>
    <w:p w14:paraId="60A6202C" w14:textId="77777777" w:rsidR="006C71FD" w:rsidRPr="004E13E9" w:rsidRDefault="006C71FD" w:rsidP="006C71FD">
      <w:pPr>
        <w:jc w:val="both"/>
        <w:rPr>
          <w:lang w:val="fr-FR"/>
        </w:rPr>
      </w:pPr>
      <w:r w:rsidRPr="004E13E9">
        <w:rPr>
          <w:sz w:val="18"/>
          <w:lang w:val="fr-FR"/>
        </w:rPr>
        <w:t>Tel: +32 229 64766, E-Mail: olivia.van-havre@ec.europa.eu</w:t>
      </w:r>
    </w:p>
    <w:p w14:paraId="602D27DA" w14:textId="77777777" w:rsidR="006C71FD" w:rsidRPr="004E13E9" w:rsidRDefault="006C71FD" w:rsidP="006C71FD">
      <w:pPr>
        <w:rPr>
          <w:lang w:val="fr-FR"/>
        </w:rPr>
      </w:pPr>
    </w:p>
    <w:p w14:paraId="3F5EB74E" w14:textId="7FACAA0A" w:rsidR="006C71FD" w:rsidRPr="004E13E9" w:rsidRDefault="006C71FD" w:rsidP="006C71FD">
      <w:pPr>
        <w:rPr>
          <w:lang w:val="fr-FR"/>
        </w:rPr>
      </w:pPr>
      <w:proofErr w:type="spellStart"/>
      <w:r w:rsidRPr="004E13E9">
        <w:rPr>
          <w:b/>
          <w:sz w:val="18"/>
          <w:lang w:val="fr-FR"/>
        </w:rPr>
        <w:t>Varsamos</w:t>
      </w:r>
      <w:proofErr w:type="spellEnd"/>
      <w:r w:rsidRPr="004E13E9">
        <w:rPr>
          <w:sz w:val="18"/>
          <w:lang w:val="fr-FR"/>
        </w:rPr>
        <w:t>, Stamatis (en ligne)</w:t>
      </w:r>
    </w:p>
    <w:p w14:paraId="2FAAEE66" w14:textId="77777777" w:rsidR="006C71FD" w:rsidRPr="004E13E9" w:rsidRDefault="006C71FD" w:rsidP="006C71FD">
      <w:pPr>
        <w:jc w:val="both"/>
      </w:pPr>
      <w:r w:rsidRPr="004E13E9">
        <w:rPr>
          <w:sz w:val="18"/>
        </w:rPr>
        <w:t>Directorate-General for Maritime Affairs and Fisheries - DG MARE, Fisheries Control and Inspections, Rue Joseph II 99, B-1049 Brussels, Belgium</w:t>
      </w:r>
    </w:p>
    <w:p w14:paraId="4B888856" w14:textId="77777777" w:rsidR="006C71FD" w:rsidRPr="004E13E9" w:rsidRDefault="006C71FD" w:rsidP="006C71FD">
      <w:pPr>
        <w:jc w:val="both"/>
        <w:rPr>
          <w:lang w:val="pt-PT"/>
        </w:rPr>
      </w:pPr>
      <w:r w:rsidRPr="004E13E9">
        <w:rPr>
          <w:sz w:val="18"/>
          <w:lang w:val="pt-PT"/>
        </w:rPr>
        <w:t>Tel: +32 229 89465, E-Mail: stamatios.varsamos@ec.europa.eu</w:t>
      </w:r>
    </w:p>
    <w:p w14:paraId="4FE31772" w14:textId="77777777" w:rsidR="006C71FD" w:rsidRPr="004E13E9" w:rsidRDefault="006C71FD" w:rsidP="006C71FD">
      <w:pPr>
        <w:rPr>
          <w:lang w:val="pt-PT"/>
        </w:rPr>
      </w:pPr>
    </w:p>
    <w:p w14:paraId="0FCA2BAE" w14:textId="77777777" w:rsidR="0080215F" w:rsidRPr="004E13E9" w:rsidRDefault="0080215F">
      <w:pPr>
        <w:rPr>
          <w:b/>
          <w:sz w:val="18"/>
          <w:lang w:val="pt-PT"/>
        </w:rPr>
      </w:pPr>
      <w:r w:rsidRPr="004E13E9">
        <w:rPr>
          <w:b/>
          <w:sz w:val="18"/>
          <w:lang w:val="pt-PT"/>
        </w:rPr>
        <w:br w:type="page"/>
      </w:r>
    </w:p>
    <w:p w14:paraId="56073FD6" w14:textId="77A4FEA6" w:rsidR="006C71FD" w:rsidRPr="004E13E9" w:rsidRDefault="006C71FD" w:rsidP="006C71FD">
      <w:pPr>
        <w:rPr>
          <w:lang w:val="es-ES"/>
        </w:rPr>
      </w:pPr>
      <w:r w:rsidRPr="004E13E9">
        <w:rPr>
          <w:b/>
          <w:sz w:val="18"/>
          <w:lang w:val="es-ES"/>
        </w:rPr>
        <w:lastRenderedPageBreak/>
        <w:t>Acacio Mañas</w:t>
      </w:r>
      <w:r w:rsidRPr="004E13E9">
        <w:rPr>
          <w:sz w:val="18"/>
          <w:lang w:val="es-ES"/>
        </w:rPr>
        <w:t>, Juan</w:t>
      </w:r>
    </w:p>
    <w:p w14:paraId="6F28E342" w14:textId="77777777" w:rsidR="006C71FD" w:rsidRPr="004E13E9" w:rsidRDefault="006C71FD" w:rsidP="006C71FD">
      <w:pPr>
        <w:jc w:val="both"/>
        <w:rPr>
          <w:lang w:val="es-ES"/>
        </w:rPr>
      </w:pPr>
      <w:r w:rsidRPr="004E13E9">
        <w:rPr>
          <w:sz w:val="18"/>
          <w:lang w:val="es-ES"/>
        </w:rPr>
        <w:t xml:space="preserve">Head </w:t>
      </w:r>
      <w:proofErr w:type="spellStart"/>
      <w:r w:rsidRPr="004E13E9">
        <w:rPr>
          <w:sz w:val="18"/>
          <w:lang w:val="es-ES"/>
        </w:rPr>
        <w:t>of</w:t>
      </w:r>
      <w:proofErr w:type="spellEnd"/>
      <w:r w:rsidRPr="004E13E9">
        <w:rPr>
          <w:sz w:val="18"/>
          <w:lang w:val="es-ES"/>
        </w:rPr>
        <w:t xml:space="preserve"> </w:t>
      </w:r>
      <w:proofErr w:type="spellStart"/>
      <w:r w:rsidRPr="004E13E9">
        <w:rPr>
          <w:sz w:val="18"/>
          <w:lang w:val="es-ES"/>
        </w:rPr>
        <w:t>technical</w:t>
      </w:r>
      <w:proofErr w:type="spellEnd"/>
      <w:r w:rsidRPr="004E13E9">
        <w:rPr>
          <w:sz w:val="18"/>
          <w:lang w:val="es-ES"/>
        </w:rPr>
        <w:t xml:space="preserve"> </w:t>
      </w:r>
      <w:proofErr w:type="spellStart"/>
      <w:r w:rsidRPr="004E13E9">
        <w:rPr>
          <w:sz w:val="18"/>
          <w:lang w:val="es-ES"/>
        </w:rPr>
        <w:t>service</w:t>
      </w:r>
      <w:proofErr w:type="spellEnd"/>
      <w:r w:rsidRPr="004E13E9">
        <w:rPr>
          <w:sz w:val="18"/>
          <w:lang w:val="es-ES"/>
        </w:rPr>
        <w:t>, Secretaría General de Pesca, Ministerio de Agricultura, Pesca y Alimentación de España, Subdirección General de Acuerdos y Organizaciones Regionales de Pesca, 28008 Madrid, España</w:t>
      </w:r>
    </w:p>
    <w:p w14:paraId="0EA3581C" w14:textId="77777777" w:rsidR="006C71FD" w:rsidRPr="004E13E9" w:rsidRDefault="006C71FD" w:rsidP="006C71FD">
      <w:pPr>
        <w:rPr>
          <w:lang w:val="es-ES"/>
        </w:rPr>
      </w:pPr>
    </w:p>
    <w:p w14:paraId="2B77EAD6" w14:textId="77777777" w:rsidR="006C71FD" w:rsidRPr="004E13E9" w:rsidRDefault="006C71FD" w:rsidP="006C71FD">
      <w:pPr>
        <w:rPr>
          <w:lang w:val="es-ES"/>
        </w:rPr>
      </w:pPr>
      <w:r w:rsidRPr="004E13E9">
        <w:rPr>
          <w:b/>
          <w:sz w:val="18"/>
          <w:lang w:val="es-ES"/>
        </w:rPr>
        <w:t>Ansell</w:t>
      </w:r>
      <w:r w:rsidRPr="004E13E9">
        <w:rPr>
          <w:sz w:val="18"/>
          <w:lang w:val="es-ES"/>
        </w:rPr>
        <w:t xml:space="preserve">, Neil </w:t>
      </w:r>
      <w:r w:rsidRPr="004E13E9">
        <w:rPr>
          <w:sz w:val="18"/>
          <w:vertAlign w:val="superscript"/>
          <w:lang w:val="es-ES"/>
        </w:rPr>
        <w:t>1</w:t>
      </w:r>
    </w:p>
    <w:p w14:paraId="3278E437" w14:textId="77777777" w:rsidR="006C71FD" w:rsidRPr="004E13E9" w:rsidRDefault="006C71FD" w:rsidP="006C71FD">
      <w:pPr>
        <w:jc w:val="both"/>
        <w:rPr>
          <w:lang w:val="es-ES"/>
        </w:rPr>
      </w:pPr>
      <w:proofErr w:type="spellStart"/>
      <w:r w:rsidRPr="004E13E9">
        <w:rPr>
          <w:sz w:val="18"/>
          <w:lang w:val="es-ES"/>
        </w:rPr>
        <w:t>European</w:t>
      </w:r>
      <w:proofErr w:type="spellEnd"/>
      <w:r w:rsidRPr="004E13E9">
        <w:rPr>
          <w:sz w:val="18"/>
          <w:lang w:val="es-ES"/>
        </w:rPr>
        <w:t xml:space="preserve"> Fisheries Control Agency, 36201 Vigo, España</w:t>
      </w:r>
    </w:p>
    <w:p w14:paraId="62D7EEF7" w14:textId="77777777" w:rsidR="006C71FD" w:rsidRPr="004E13E9" w:rsidRDefault="006C71FD" w:rsidP="006C71FD">
      <w:pPr>
        <w:rPr>
          <w:lang w:val="es-ES"/>
        </w:rPr>
      </w:pPr>
    </w:p>
    <w:p w14:paraId="10F76388" w14:textId="77777777" w:rsidR="006C71FD" w:rsidRPr="004E13E9" w:rsidRDefault="006C71FD" w:rsidP="006C71FD">
      <w:pPr>
        <w:rPr>
          <w:lang w:val="es-ES"/>
        </w:rPr>
      </w:pPr>
      <w:proofErr w:type="spellStart"/>
      <w:r w:rsidRPr="004E13E9">
        <w:rPr>
          <w:b/>
          <w:sz w:val="18"/>
          <w:lang w:val="es-ES"/>
        </w:rPr>
        <w:t>Avignon</w:t>
      </w:r>
      <w:proofErr w:type="spellEnd"/>
      <w:r w:rsidRPr="004E13E9">
        <w:rPr>
          <w:sz w:val="18"/>
          <w:lang w:val="es-ES"/>
        </w:rPr>
        <w:t>, Frédérique</w:t>
      </w:r>
    </w:p>
    <w:p w14:paraId="7DB21E29" w14:textId="77777777" w:rsidR="006C71FD" w:rsidRPr="004E13E9" w:rsidRDefault="006C71FD" w:rsidP="006C71FD">
      <w:pPr>
        <w:jc w:val="both"/>
        <w:rPr>
          <w:lang w:val="fr-FR"/>
        </w:rPr>
      </w:pPr>
      <w:r w:rsidRPr="004E13E9">
        <w:rPr>
          <w:sz w:val="18"/>
          <w:lang w:val="fr-FR"/>
        </w:rPr>
        <w:t>Direction générale des affaires maritimes, de la pêche et de l'aquaculture, 1 place Carpeaux, 92800 Ile de France, France</w:t>
      </w:r>
    </w:p>
    <w:p w14:paraId="353C0F38" w14:textId="77777777" w:rsidR="006C71FD" w:rsidRPr="004E13E9" w:rsidRDefault="006C71FD" w:rsidP="006C71FD">
      <w:pPr>
        <w:jc w:val="both"/>
        <w:rPr>
          <w:lang w:val="pt-PT"/>
        </w:rPr>
      </w:pPr>
      <w:r w:rsidRPr="004E13E9">
        <w:rPr>
          <w:sz w:val="18"/>
          <w:lang w:val="pt-PT"/>
        </w:rPr>
        <w:t>Tel: +33 660 883 604, E-Mail: frederique.avignon@mer.gouv.fr</w:t>
      </w:r>
    </w:p>
    <w:p w14:paraId="5C20A8CA" w14:textId="77777777" w:rsidR="006C71FD" w:rsidRPr="004E13E9" w:rsidRDefault="006C71FD" w:rsidP="006C71FD">
      <w:pPr>
        <w:rPr>
          <w:lang w:val="pt-PT"/>
        </w:rPr>
      </w:pPr>
    </w:p>
    <w:p w14:paraId="6BF8383A" w14:textId="77777777" w:rsidR="006C71FD" w:rsidRPr="00C712A4" w:rsidRDefault="006C71FD" w:rsidP="006C71FD">
      <w:pPr>
        <w:rPr>
          <w:lang w:val="fr-FR"/>
        </w:rPr>
      </w:pPr>
      <w:r w:rsidRPr="00C712A4">
        <w:rPr>
          <w:b/>
          <w:sz w:val="18"/>
          <w:lang w:val="fr-FR"/>
        </w:rPr>
        <w:t>Bošnjak</w:t>
      </w:r>
      <w:r w:rsidRPr="00C712A4">
        <w:rPr>
          <w:sz w:val="18"/>
          <w:lang w:val="fr-FR"/>
        </w:rPr>
        <w:t>, Marija (en ligne)</w:t>
      </w:r>
    </w:p>
    <w:p w14:paraId="2C920A06" w14:textId="77777777" w:rsidR="006C71FD" w:rsidRPr="004E13E9" w:rsidRDefault="006C71FD" w:rsidP="006C71FD">
      <w:pPr>
        <w:jc w:val="both"/>
      </w:pPr>
      <w:r w:rsidRPr="004E13E9">
        <w:rPr>
          <w:sz w:val="18"/>
        </w:rPr>
        <w:t xml:space="preserve">Head of Unit for Aquaculture, Ministry of Agriculture, Forestry and Fisheries, </w:t>
      </w:r>
      <w:proofErr w:type="spellStart"/>
      <w:r w:rsidRPr="004E13E9">
        <w:rPr>
          <w:sz w:val="18"/>
        </w:rPr>
        <w:t>Trg</w:t>
      </w:r>
      <w:proofErr w:type="spellEnd"/>
      <w:r w:rsidRPr="004E13E9">
        <w:rPr>
          <w:sz w:val="18"/>
        </w:rPr>
        <w:t xml:space="preserve"> </w:t>
      </w:r>
      <w:proofErr w:type="spellStart"/>
      <w:r w:rsidRPr="004E13E9">
        <w:rPr>
          <w:sz w:val="18"/>
        </w:rPr>
        <w:t>hrvatske</w:t>
      </w:r>
      <w:proofErr w:type="spellEnd"/>
      <w:r w:rsidRPr="004E13E9">
        <w:rPr>
          <w:sz w:val="18"/>
        </w:rPr>
        <w:t xml:space="preserve"> </w:t>
      </w:r>
      <w:proofErr w:type="spellStart"/>
      <w:r w:rsidRPr="004E13E9">
        <w:rPr>
          <w:sz w:val="18"/>
        </w:rPr>
        <w:t>bratske</w:t>
      </w:r>
      <w:proofErr w:type="spellEnd"/>
      <w:r w:rsidRPr="004E13E9">
        <w:rPr>
          <w:sz w:val="18"/>
        </w:rPr>
        <w:t xml:space="preserve"> </w:t>
      </w:r>
      <w:proofErr w:type="spellStart"/>
      <w:r w:rsidRPr="004E13E9">
        <w:rPr>
          <w:sz w:val="18"/>
        </w:rPr>
        <w:t>zajednice</w:t>
      </w:r>
      <w:proofErr w:type="spellEnd"/>
      <w:r w:rsidRPr="004E13E9">
        <w:rPr>
          <w:sz w:val="18"/>
        </w:rPr>
        <w:t xml:space="preserve"> 8, 21000 Split, Croatia</w:t>
      </w:r>
    </w:p>
    <w:p w14:paraId="799752E1" w14:textId="77777777" w:rsidR="006C71FD" w:rsidRPr="004E13E9" w:rsidRDefault="006C71FD" w:rsidP="006C71FD">
      <w:pPr>
        <w:jc w:val="both"/>
        <w:rPr>
          <w:lang w:val="fr-FR"/>
        </w:rPr>
      </w:pPr>
      <w:r w:rsidRPr="004E13E9">
        <w:rPr>
          <w:sz w:val="18"/>
          <w:lang w:val="fr-FR"/>
        </w:rPr>
        <w:t>Tel: +385 21 444 062, Fax: +385 21 444 027, E-Mail: marija.bosnjak@mps.hr</w:t>
      </w:r>
    </w:p>
    <w:p w14:paraId="3D53859D" w14:textId="77777777" w:rsidR="006C71FD" w:rsidRPr="004E13E9" w:rsidRDefault="006C71FD" w:rsidP="006C71FD">
      <w:pPr>
        <w:rPr>
          <w:lang w:val="fr-FR"/>
        </w:rPr>
      </w:pPr>
    </w:p>
    <w:p w14:paraId="4839A5E3" w14:textId="77777777" w:rsidR="006C71FD" w:rsidRPr="004E13E9" w:rsidRDefault="006C71FD" w:rsidP="006C71FD">
      <w:pPr>
        <w:rPr>
          <w:lang w:val="fr-FR"/>
        </w:rPr>
      </w:pPr>
      <w:proofErr w:type="spellStart"/>
      <w:r w:rsidRPr="004E13E9">
        <w:rPr>
          <w:b/>
          <w:sz w:val="18"/>
          <w:lang w:val="fr-FR"/>
        </w:rPr>
        <w:t>Brocquevieille</w:t>
      </w:r>
      <w:proofErr w:type="spellEnd"/>
      <w:r w:rsidRPr="004E13E9">
        <w:rPr>
          <w:sz w:val="18"/>
          <w:lang w:val="fr-FR"/>
        </w:rPr>
        <w:t>, Clarisse (en ligne)</w:t>
      </w:r>
    </w:p>
    <w:p w14:paraId="669DC4BD" w14:textId="77777777" w:rsidR="006C71FD" w:rsidRPr="004E13E9" w:rsidRDefault="006C71FD" w:rsidP="006C71FD">
      <w:pPr>
        <w:jc w:val="both"/>
        <w:rPr>
          <w:lang w:val="fr-FR"/>
        </w:rPr>
      </w:pPr>
      <w:r w:rsidRPr="004E13E9">
        <w:rPr>
          <w:sz w:val="18"/>
          <w:lang w:val="fr-FR"/>
        </w:rPr>
        <w:t>Op du Levant, France</w:t>
      </w:r>
    </w:p>
    <w:p w14:paraId="4D91673E" w14:textId="77777777" w:rsidR="006C71FD" w:rsidRPr="004E13E9" w:rsidRDefault="006C71FD" w:rsidP="006C71FD">
      <w:pPr>
        <w:jc w:val="both"/>
        <w:rPr>
          <w:lang w:val="fr-FR"/>
        </w:rPr>
      </w:pPr>
      <w:r w:rsidRPr="004E13E9">
        <w:rPr>
          <w:sz w:val="18"/>
          <w:lang w:val="fr-FR"/>
        </w:rPr>
        <w:t>E-Mail: observatoire@opdulevant.fr</w:t>
      </w:r>
    </w:p>
    <w:p w14:paraId="5E329488" w14:textId="77777777" w:rsidR="006C71FD" w:rsidRPr="004E13E9" w:rsidRDefault="006C71FD" w:rsidP="006C71FD">
      <w:pPr>
        <w:rPr>
          <w:lang w:val="fr-FR"/>
        </w:rPr>
      </w:pPr>
    </w:p>
    <w:p w14:paraId="55790B88" w14:textId="77777777" w:rsidR="006C71FD" w:rsidRPr="004E13E9" w:rsidRDefault="006C71FD" w:rsidP="006C71FD">
      <w:pPr>
        <w:rPr>
          <w:lang w:val="es-ES"/>
        </w:rPr>
      </w:pPr>
      <w:r w:rsidRPr="004E13E9">
        <w:rPr>
          <w:b/>
          <w:sz w:val="18"/>
          <w:lang w:val="es-ES"/>
        </w:rPr>
        <w:t>Brull Cuevas</w:t>
      </w:r>
      <w:r w:rsidRPr="004E13E9">
        <w:rPr>
          <w:sz w:val="18"/>
          <w:lang w:val="es-ES"/>
        </w:rPr>
        <w:t xml:space="preserve">, </w:t>
      </w:r>
      <w:proofErr w:type="spellStart"/>
      <w:r w:rsidRPr="004E13E9">
        <w:rPr>
          <w:sz w:val="18"/>
          <w:lang w:val="es-ES"/>
        </w:rPr>
        <w:t>Mª</w:t>
      </w:r>
      <w:proofErr w:type="spellEnd"/>
      <w:r w:rsidRPr="004E13E9">
        <w:rPr>
          <w:sz w:val="18"/>
          <w:lang w:val="es-ES"/>
        </w:rPr>
        <w:t xml:space="preserve"> Carmen</w:t>
      </w:r>
    </w:p>
    <w:p w14:paraId="1FBC505A" w14:textId="77777777" w:rsidR="006C71FD" w:rsidRPr="004E13E9" w:rsidRDefault="006C71FD" w:rsidP="006C71FD">
      <w:pPr>
        <w:jc w:val="both"/>
        <w:rPr>
          <w:lang w:val="es-ES"/>
        </w:rPr>
      </w:pPr>
      <w:r w:rsidRPr="004E13E9">
        <w:rPr>
          <w:sz w:val="18"/>
          <w:lang w:val="es-ES"/>
        </w:rPr>
        <w:t>Asociación de Armadores de Pesca de Atún con artes de Cerco - AAPAC, C/ Uruguay s/n parcela 8/27, nave 31 Polígono Industrial Oeste, 30820 Alcantarilla, Murcia, España</w:t>
      </w:r>
    </w:p>
    <w:p w14:paraId="16634E69" w14:textId="77777777" w:rsidR="006C71FD" w:rsidRPr="004E13E9" w:rsidRDefault="006C71FD" w:rsidP="006C71FD">
      <w:pPr>
        <w:jc w:val="both"/>
        <w:rPr>
          <w:lang w:val="pt-PT"/>
        </w:rPr>
      </w:pPr>
      <w:r w:rsidRPr="004E13E9">
        <w:rPr>
          <w:sz w:val="18"/>
          <w:lang w:val="pt-PT"/>
        </w:rPr>
        <w:t>Tel: +34 639 185 342, E-Mail: mcarmen.brull@grfeh.com; carme@panchilleta.es</w:t>
      </w:r>
    </w:p>
    <w:p w14:paraId="7AC3D115" w14:textId="77777777" w:rsidR="006C71FD" w:rsidRPr="004E13E9" w:rsidRDefault="006C71FD" w:rsidP="006C71FD">
      <w:pPr>
        <w:rPr>
          <w:lang w:val="pt-PT"/>
        </w:rPr>
      </w:pPr>
    </w:p>
    <w:p w14:paraId="453902A6" w14:textId="77777777" w:rsidR="006C71FD" w:rsidRPr="004E13E9" w:rsidRDefault="006C71FD" w:rsidP="006C71FD">
      <w:pPr>
        <w:rPr>
          <w:lang w:val="it-IT"/>
        </w:rPr>
      </w:pPr>
      <w:r w:rsidRPr="004E13E9">
        <w:rPr>
          <w:b/>
          <w:sz w:val="18"/>
          <w:lang w:val="it-IT"/>
        </w:rPr>
        <w:t>Conte</w:t>
      </w:r>
      <w:r w:rsidRPr="004E13E9">
        <w:rPr>
          <w:sz w:val="18"/>
          <w:lang w:val="it-IT"/>
        </w:rPr>
        <w:t>, Fabio</w:t>
      </w:r>
    </w:p>
    <w:p w14:paraId="37276310" w14:textId="77777777" w:rsidR="006C71FD" w:rsidRPr="004E13E9" w:rsidRDefault="006C71FD" w:rsidP="006C71FD">
      <w:pPr>
        <w:jc w:val="both"/>
        <w:rPr>
          <w:lang w:val="it-IT"/>
        </w:rPr>
      </w:pPr>
      <w:r w:rsidRPr="004E13E9">
        <w:rPr>
          <w:sz w:val="18"/>
          <w:lang w:val="it-IT"/>
        </w:rPr>
        <w:t>Dipartimento delle Politiche Europee e Internazionali, Ministero dell’agricoltura, della sovranità alimentare e delle foreste - Dipartimento delle politiche competitive, della qualità agroalimentare, della pesca e dell’ippica, Direzione Generale della Pesca Marittima e dell'Acquacoltura - PEMAC III, Via XX Settembre, 20, 00187 Rome, Italy</w:t>
      </w:r>
    </w:p>
    <w:p w14:paraId="7D101E99" w14:textId="77777777" w:rsidR="006C71FD" w:rsidRPr="004E13E9" w:rsidRDefault="006C71FD" w:rsidP="006C71FD">
      <w:pPr>
        <w:jc w:val="both"/>
        <w:rPr>
          <w:lang w:val="fr-FR"/>
        </w:rPr>
      </w:pPr>
      <w:r w:rsidRPr="004E13E9">
        <w:rPr>
          <w:sz w:val="18"/>
          <w:lang w:val="fr-FR"/>
        </w:rPr>
        <w:t>Tel: +39 06 4665 2838, Fax: +39 06 4665 2899, E-Mail: f.conte@masaf.gov.it</w:t>
      </w:r>
    </w:p>
    <w:p w14:paraId="4336FA2B" w14:textId="77777777" w:rsidR="006C71FD" w:rsidRPr="004E13E9" w:rsidRDefault="006C71FD" w:rsidP="006C71FD">
      <w:pPr>
        <w:rPr>
          <w:b/>
          <w:sz w:val="18"/>
          <w:lang w:val="fr-FR"/>
        </w:rPr>
      </w:pPr>
    </w:p>
    <w:p w14:paraId="2F2813B9" w14:textId="77777777" w:rsidR="006C71FD" w:rsidRPr="004E13E9" w:rsidRDefault="006C71FD" w:rsidP="006C71FD">
      <w:pPr>
        <w:rPr>
          <w:lang w:val="fr-FR"/>
        </w:rPr>
      </w:pPr>
      <w:r w:rsidRPr="004E13E9">
        <w:rPr>
          <w:b/>
          <w:sz w:val="18"/>
          <w:lang w:val="fr-FR"/>
        </w:rPr>
        <w:t>Croke</w:t>
      </w:r>
      <w:r w:rsidRPr="004E13E9">
        <w:rPr>
          <w:sz w:val="18"/>
          <w:lang w:val="fr-FR"/>
        </w:rPr>
        <w:t>, Elaine (en ligne)</w:t>
      </w:r>
    </w:p>
    <w:p w14:paraId="2F895A5A" w14:textId="77777777" w:rsidR="006C71FD" w:rsidRPr="004E13E9" w:rsidRDefault="006C71FD" w:rsidP="006C71FD">
      <w:pPr>
        <w:jc w:val="both"/>
      </w:pPr>
      <w:r w:rsidRPr="004E13E9">
        <w:rPr>
          <w:sz w:val="18"/>
        </w:rPr>
        <w:t>IE Department of Agriculture, Food and The Marine, Ireland</w:t>
      </w:r>
    </w:p>
    <w:p w14:paraId="435C06BC" w14:textId="77777777" w:rsidR="006C71FD" w:rsidRPr="00C712A4" w:rsidRDefault="006C71FD" w:rsidP="006C71FD">
      <w:pPr>
        <w:jc w:val="both"/>
        <w:rPr>
          <w:lang w:val="it-IT"/>
        </w:rPr>
      </w:pPr>
      <w:r w:rsidRPr="00C712A4">
        <w:rPr>
          <w:sz w:val="18"/>
          <w:lang w:val="it-IT"/>
        </w:rPr>
        <w:t>E-Mail: elaine.croke@agriculture.gov.ie</w:t>
      </w:r>
    </w:p>
    <w:p w14:paraId="3C7B448C" w14:textId="77777777" w:rsidR="006C71FD" w:rsidRPr="00C712A4" w:rsidRDefault="006C71FD" w:rsidP="006C71FD">
      <w:pPr>
        <w:rPr>
          <w:lang w:val="it-IT"/>
        </w:rPr>
      </w:pPr>
    </w:p>
    <w:p w14:paraId="60017810" w14:textId="77777777" w:rsidR="006C71FD" w:rsidRPr="004E13E9" w:rsidRDefault="006C71FD" w:rsidP="006C71FD">
      <w:pPr>
        <w:rPr>
          <w:lang w:val="fr-FR"/>
        </w:rPr>
      </w:pPr>
      <w:r w:rsidRPr="004E13E9">
        <w:rPr>
          <w:b/>
          <w:sz w:val="18"/>
          <w:lang w:val="fr-FR"/>
        </w:rPr>
        <w:t>Dessein</w:t>
      </w:r>
      <w:r w:rsidRPr="004E13E9">
        <w:rPr>
          <w:sz w:val="18"/>
          <w:lang w:val="fr-FR"/>
        </w:rPr>
        <w:t>, Aurelie (en ligne)</w:t>
      </w:r>
    </w:p>
    <w:p w14:paraId="3367E969" w14:textId="77777777" w:rsidR="006C71FD" w:rsidRPr="004E13E9" w:rsidRDefault="006C71FD" w:rsidP="006C71FD">
      <w:pPr>
        <w:jc w:val="both"/>
        <w:rPr>
          <w:lang w:val="fr-FR"/>
        </w:rPr>
      </w:pPr>
      <w:r w:rsidRPr="004E13E9">
        <w:rPr>
          <w:sz w:val="18"/>
          <w:lang w:val="fr-FR"/>
        </w:rPr>
        <w:t>Armement SCANNAPIECO, 7 quai commandant Samary, 34200 Sète, France</w:t>
      </w:r>
    </w:p>
    <w:p w14:paraId="347234B1" w14:textId="77777777" w:rsidR="006C71FD" w:rsidRPr="004E13E9" w:rsidRDefault="006C71FD" w:rsidP="006C71FD">
      <w:pPr>
        <w:jc w:val="both"/>
        <w:rPr>
          <w:lang w:val="pt-PT"/>
        </w:rPr>
      </w:pPr>
      <w:r w:rsidRPr="004E13E9">
        <w:rPr>
          <w:sz w:val="18"/>
          <w:lang w:val="pt-PT"/>
        </w:rPr>
        <w:t>Tel: +33 669 251 166, E-Mail: adessein@orange.fr</w:t>
      </w:r>
    </w:p>
    <w:p w14:paraId="1C5C3216" w14:textId="77777777" w:rsidR="006C71FD" w:rsidRPr="004E13E9" w:rsidRDefault="006C71FD" w:rsidP="006C71FD">
      <w:pPr>
        <w:rPr>
          <w:lang w:val="pt-PT"/>
        </w:rPr>
      </w:pPr>
    </w:p>
    <w:p w14:paraId="17FA29EC" w14:textId="77777777" w:rsidR="006C71FD" w:rsidRPr="00C712A4" w:rsidRDefault="006C71FD" w:rsidP="006C71FD">
      <w:pPr>
        <w:rPr>
          <w:lang w:val="fr-FR"/>
        </w:rPr>
      </w:pPr>
      <w:r w:rsidRPr="00C712A4">
        <w:rPr>
          <w:b/>
          <w:sz w:val="18"/>
          <w:lang w:val="fr-FR"/>
        </w:rPr>
        <w:t>Duarte</w:t>
      </w:r>
      <w:r w:rsidRPr="00C712A4">
        <w:rPr>
          <w:sz w:val="18"/>
          <w:lang w:val="fr-FR"/>
        </w:rPr>
        <w:t>, Rafael (en ligne)</w:t>
      </w:r>
    </w:p>
    <w:p w14:paraId="7326F17D" w14:textId="77777777" w:rsidR="006C71FD" w:rsidRPr="004E13E9" w:rsidRDefault="006C71FD" w:rsidP="006C71FD">
      <w:pPr>
        <w:jc w:val="both"/>
        <w:rPr>
          <w:lang w:val="es-ES"/>
        </w:rPr>
      </w:pPr>
      <w:r w:rsidRPr="004E13E9">
        <w:rPr>
          <w:sz w:val="18"/>
          <w:lang w:val="es-ES"/>
        </w:rPr>
        <w:t>EFCA, Avenida García Barbón 4, 36201 Vigo, España</w:t>
      </w:r>
    </w:p>
    <w:p w14:paraId="380B2F70" w14:textId="77777777" w:rsidR="006C71FD" w:rsidRPr="00C712A4" w:rsidRDefault="006C71FD" w:rsidP="006C71FD">
      <w:pPr>
        <w:jc w:val="both"/>
        <w:rPr>
          <w:lang w:val="it-IT"/>
        </w:rPr>
      </w:pPr>
      <w:r w:rsidRPr="00C712A4">
        <w:rPr>
          <w:sz w:val="18"/>
          <w:lang w:val="it-IT"/>
        </w:rPr>
        <w:t>E-Mail: rafael.duarte@efca.europa.eu</w:t>
      </w:r>
    </w:p>
    <w:p w14:paraId="2027AC3D" w14:textId="77777777" w:rsidR="006C71FD" w:rsidRPr="00C712A4" w:rsidRDefault="006C71FD" w:rsidP="006C71FD">
      <w:pPr>
        <w:rPr>
          <w:lang w:val="it-IT"/>
        </w:rPr>
      </w:pPr>
    </w:p>
    <w:p w14:paraId="2D075DC1" w14:textId="77777777" w:rsidR="006C71FD" w:rsidRPr="00C712A4" w:rsidRDefault="006C71FD" w:rsidP="006C71FD">
      <w:r w:rsidRPr="00C712A4">
        <w:rPr>
          <w:b/>
          <w:sz w:val="18"/>
        </w:rPr>
        <w:t>Eliasen</w:t>
      </w:r>
      <w:r w:rsidRPr="00C712A4">
        <w:rPr>
          <w:sz w:val="18"/>
        </w:rPr>
        <w:t>, Peter Jørgen (</w:t>
      </w:r>
      <w:proofErr w:type="spellStart"/>
      <w:r w:rsidRPr="00C712A4">
        <w:rPr>
          <w:sz w:val="18"/>
        </w:rPr>
        <w:t>en</w:t>
      </w:r>
      <w:proofErr w:type="spellEnd"/>
      <w:r w:rsidRPr="00C712A4">
        <w:rPr>
          <w:sz w:val="18"/>
        </w:rPr>
        <w:t xml:space="preserve"> </w:t>
      </w:r>
      <w:proofErr w:type="spellStart"/>
      <w:r w:rsidRPr="00C712A4">
        <w:rPr>
          <w:sz w:val="18"/>
        </w:rPr>
        <w:t>ligne</w:t>
      </w:r>
      <w:proofErr w:type="spellEnd"/>
      <w:r w:rsidRPr="00C712A4">
        <w:rPr>
          <w:sz w:val="18"/>
        </w:rPr>
        <w:t>)</w:t>
      </w:r>
    </w:p>
    <w:p w14:paraId="0EA4746E" w14:textId="77777777" w:rsidR="006C71FD" w:rsidRPr="004E13E9" w:rsidRDefault="006C71FD" w:rsidP="006C71FD">
      <w:pPr>
        <w:jc w:val="both"/>
      </w:pPr>
      <w:r w:rsidRPr="004E13E9">
        <w:rPr>
          <w:sz w:val="18"/>
        </w:rPr>
        <w:t xml:space="preserve">Senior Consultant, Ministry of Food, Agriculture and Fisheries, Sustainable Fisheries, Fisheries Policy, </w:t>
      </w:r>
      <w:proofErr w:type="spellStart"/>
      <w:r w:rsidRPr="004E13E9">
        <w:rPr>
          <w:sz w:val="18"/>
        </w:rPr>
        <w:t>Holbergsgade</w:t>
      </w:r>
      <w:proofErr w:type="spellEnd"/>
      <w:r w:rsidRPr="004E13E9">
        <w:rPr>
          <w:sz w:val="18"/>
        </w:rPr>
        <w:t xml:space="preserve"> 6, 1057 </w:t>
      </w:r>
      <w:proofErr w:type="spellStart"/>
      <w:r w:rsidRPr="004E13E9">
        <w:rPr>
          <w:sz w:val="18"/>
        </w:rPr>
        <w:t>Koebenhavn</w:t>
      </w:r>
      <w:proofErr w:type="spellEnd"/>
      <w:r w:rsidRPr="004E13E9">
        <w:rPr>
          <w:sz w:val="18"/>
        </w:rPr>
        <w:t xml:space="preserve"> </w:t>
      </w:r>
      <w:proofErr w:type="spellStart"/>
      <w:r w:rsidRPr="004E13E9">
        <w:rPr>
          <w:sz w:val="18"/>
        </w:rPr>
        <w:t>Hovedstadsregionen</w:t>
      </w:r>
      <w:proofErr w:type="spellEnd"/>
      <w:r w:rsidRPr="004E13E9">
        <w:rPr>
          <w:sz w:val="18"/>
        </w:rPr>
        <w:t>, Denmark</w:t>
      </w:r>
    </w:p>
    <w:p w14:paraId="56136618" w14:textId="77777777" w:rsidR="006C71FD" w:rsidRPr="004E13E9" w:rsidRDefault="006C71FD" w:rsidP="006C71FD">
      <w:pPr>
        <w:jc w:val="both"/>
        <w:rPr>
          <w:lang w:val="pt-PT"/>
        </w:rPr>
      </w:pPr>
      <w:r w:rsidRPr="004E13E9">
        <w:rPr>
          <w:sz w:val="18"/>
          <w:lang w:val="pt-PT"/>
        </w:rPr>
        <w:t>Tel: +452 261 5937, E-Mail: pejoel@fvm.dk</w:t>
      </w:r>
    </w:p>
    <w:p w14:paraId="41408128" w14:textId="77777777" w:rsidR="006C71FD" w:rsidRPr="004E13E9" w:rsidRDefault="006C71FD" w:rsidP="006C71FD">
      <w:pPr>
        <w:rPr>
          <w:lang w:val="pt-PT"/>
        </w:rPr>
      </w:pPr>
    </w:p>
    <w:p w14:paraId="62A7BE96" w14:textId="77777777" w:rsidR="006C71FD" w:rsidRPr="004E13E9" w:rsidRDefault="006C71FD" w:rsidP="006C71FD">
      <w:pPr>
        <w:rPr>
          <w:lang w:val="fr-FR"/>
        </w:rPr>
      </w:pPr>
      <w:proofErr w:type="spellStart"/>
      <w:r w:rsidRPr="004E13E9">
        <w:rPr>
          <w:b/>
          <w:sz w:val="18"/>
          <w:lang w:val="fr-FR"/>
        </w:rPr>
        <w:t>Fily</w:t>
      </w:r>
      <w:proofErr w:type="spellEnd"/>
      <w:r w:rsidRPr="004E13E9">
        <w:rPr>
          <w:sz w:val="18"/>
          <w:lang w:val="fr-FR"/>
        </w:rPr>
        <w:t>, Théotime (en ligne)</w:t>
      </w:r>
    </w:p>
    <w:p w14:paraId="58475F46" w14:textId="77777777" w:rsidR="006C71FD" w:rsidRPr="004E13E9" w:rsidRDefault="006C71FD" w:rsidP="006C71FD">
      <w:pPr>
        <w:jc w:val="both"/>
        <w:rPr>
          <w:lang w:val="fr-FR"/>
        </w:rPr>
      </w:pPr>
      <w:r w:rsidRPr="004E13E9">
        <w:rPr>
          <w:sz w:val="18"/>
          <w:lang w:val="fr-FR"/>
        </w:rPr>
        <w:t>CNPMEM, 134 Avenue de Malakoff, 75017 Paris, France</w:t>
      </w:r>
    </w:p>
    <w:p w14:paraId="451EF804" w14:textId="77777777" w:rsidR="006C71FD" w:rsidRPr="004E13E9" w:rsidRDefault="006C71FD" w:rsidP="006C71FD">
      <w:pPr>
        <w:jc w:val="both"/>
        <w:rPr>
          <w:lang w:val="pt-PT"/>
        </w:rPr>
      </w:pPr>
      <w:r w:rsidRPr="004E13E9">
        <w:rPr>
          <w:sz w:val="18"/>
          <w:lang w:val="pt-PT"/>
        </w:rPr>
        <w:t>Tel: +33 06 07 17 74 82; +33 788 196 894, E-Mail: tfily@comite-peches.fr; theotime.fily@ird.fr</w:t>
      </w:r>
    </w:p>
    <w:p w14:paraId="501D8765" w14:textId="77777777" w:rsidR="006C71FD" w:rsidRPr="004E13E9" w:rsidRDefault="006C71FD" w:rsidP="006C71FD">
      <w:pPr>
        <w:rPr>
          <w:lang w:val="pt-PT"/>
        </w:rPr>
      </w:pPr>
    </w:p>
    <w:p w14:paraId="17E014A5" w14:textId="77777777" w:rsidR="006C71FD" w:rsidRPr="004E13E9" w:rsidRDefault="006C71FD" w:rsidP="006C71FD">
      <w:r w:rsidRPr="004E13E9">
        <w:rPr>
          <w:b/>
          <w:sz w:val="18"/>
        </w:rPr>
        <w:t>Gatt</w:t>
      </w:r>
      <w:r w:rsidRPr="004E13E9">
        <w:rPr>
          <w:sz w:val="18"/>
        </w:rPr>
        <w:t>, Mark</w:t>
      </w:r>
    </w:p>
    <w:p w14:paraId="0A84C773" w14:textId="77777777" w:rsidR="006C71FD" w:rsidRPr="004E13E9" w:rsidRDefault="006C71FD" w:rsidP="006C71FD">
      <w:pPr>
        <w:jc w:val="both"/>
      </w:pPr>
      <w:r w:rsidRPr="004E13E9">
        <w:rPr>
          <w:sz w:val="18"/>
        </w:rPr>
        <w:t xml:space="preserve">Ministry for Agriculture, Fisheries, Food and Animal Rights Fort San Lucjan, </w:t>
      </w:r>
      <w:proofErr w:type="spellStart"/>
      <w:r w:rsidRPr="004E13E9">
        <w:rPr>
          <w:sz w:val="18"/>
        </w:rPr>
        <w:t>Triq</w:t>
      </w:r>
      <w:proofErr w:type="spellEnd"/>
      <w:r w:rsidRPr="004E13E9">
        <w:rPr>
          <w:sz w:val="18"/>
        </w:rPr>
        <w:t xml:space="preserve"> il-</w:t>
      </w:r>
      <w:proofErr w:type="spellStart"/>
      <w:r w:rsidRPr="004E13E9">
        <w:rPr>
          <w:sz w:val="18"/>
        </w:rPr>
        <w:t>Qajjenza</w:t>
      </w:r>
      <w:proofErr w:type="spellEnd"/>
      <w:r w:rsidRPr="004E13E9">
        <w:rPr>
          <w:sz w:val="18"/>
        </w:rPr>
        <w:t xml:space="preserve">, Department of Fisheries and Aquaculture, Malta Aquaculture Research Centre, QRM 3303 </w:t>
      </w:r>
      <w:proofErr w:type="spellStart"/>
      <w:r w:rsidRPr="004E13E9">
        <w:rPr>
          <w:sz w:val="18"/>
        </w:rPr>
        <w:t>Qormi</w:t>
      </w:r>
      <w:proofErr w:type="spellEnd"/>
      <w:r w:rsidRPr="004E13E9">
        <w:rPr>
          <w:sz w:val="18"/>
        </w:rPr>
        <w:t>, Malta</w:t>
      </w:r>
    </w:p>
    <w:p w14:paraId="22E44186" w14:textId="77777777" w:rsidR="006C71FD" w:rsidRPr="004E13E9" w:rsidRDefault="006C71FD" w:rsidP="006C71FD"/>
    <w:p w14:paraId="29B274BE" w14:textId="77777777" w:rsidR="006C71FD" w:rsidRPr="004E13E9" w:rsidRDefault="006C71FD" w:rsidP="006C71FD">
      <w:pPr>
        <w:rPr>
          <w:lang w:val="es-ES"/>
        </w:rPr>
      </w:pPr>
      <w:r w:rsidRPr="004E13E9">
        <w:rPr>
          <w:b/>
          <w:sz w:val="18"/>
          <w:lang w:val="es-ES"/>
        </w:rPr>
        <w:t>Gómez Martín</w:t>
      </w:r>
      <w:r w:rsidRPr="004E13E9">
        <w:rPr>
          <w:sz w:val="18"/>
          <w:lang w:val="es-ES"/>
        </w:rPr>
        <w:t xml:space="preserve">, Belén (en </w:t>
      </w:r>
      <w:proofErr w:type="spellStart"/>
      <w:r w:rsidRPr="004E13E9">
        <w:rPr>
          <w:sz w:val="18"/>
          <w:lang w:val="es-ES"/>
        </w:rPr>
        <w:t>ligne</w:t>
      </w:r>
      <w:proofErr w:type="spellEnd"/>
      <w:r w:rsidRPr="004E13E9">
        <w:rPr>
          <w:sz w:val="18"/>
          <w:lang w:val="es-ES"/>
        </w:rPr>
        <w:t>)</w:t>
      </w:r>
    </w:p>
    <w:p w14:paraId="3E35664E" w14:textId="77777777" w:rsidR="006C71FD" w:rsidRPr="004E13E9" w:rsidRDefault="006C71FD" w:rsidP="006C71FD">
      <w:pPr>
        <w:jc w:val="both"/>
        <w:rPr>
          <w:lang w:val="es-ES"/>
        </w:rPr>
      </w:pPr>
      <w:r w:rsidRPr="004E13E9">
        <w:rPr>
          <w:sz w:val="18"/>
          <w:lang w:val="es-ES"/>
        </w:rPr>
        <w:t>Inspectora de Pesca Marítima. Servicio BFT y Mediterráneo, Secretaría General de Pesca, Ministerio de Agricultura, Pesca y Alimentación de España, Subdirección General de Control e Inspección y Lucha contra la Pesca Ilegal, C/ Velázquez, 147, 28002 Madrid, España</w:t>
      </w:r>
    </w:p>
    <w:p w14:paraId="21A28A8A" w14:textId="77777777" w:rsidR="006C71FD" w:rsidRPr="004E13E9" w:rsidRDefault="006C71FD" w:rsidP="006C71FD">
      <w:pPr>
        <w:jc w:val="both"/>
        <w:rPr>
          <w:lang w:val="pt-PT"/>
        </w:rPr>
      </w:pPr>
      <w:r w:rsidRPr="004E13E9">
        <w:rPr>
          <w:sz w:val="18"/>
          <w:lang w:val="pt-PT"/>
        </w:rPr>
        <w:t>Tel: +34 913 476 108; +34 664 538 544, E-Mail: bgmartin@mapa.es</w:t>
      </w:r>
    </w:p>
    <w:p w14:paraId="73A99F8E" w14:textId="77777777" w:rsidR="006C71FD" w:rsidRPr="004E13E9" w:rsidRDefault="006C71FD" w:rsidP="006C71FD">
      <w:pPr>
        <w:rPr>
          <w:lang w:val="pt-PT"/>
        </w:rPr>
      </w:pPr>
    </w:p>
    <w:p w14:paraId="6476195D" w14:textId="77777777" w:rsidR="0080215F" w:rsidRPr="004E13E9" w:rsidRDefault="0080215F">
      <w:pPr>
        <w:rPr>
          <w:b/>
          <w:sz w:val="18"/>
          <w:lang w:val="pt-PT"/>
        </w:rPr>
      </w:pPr>
      <w:r w:rsidRPr="004E13E9">
        <w:rPr>
          <w:b/>
          <w:sz w:val="18"/>
          <w:lang w:val="pt-PT"/>
        </w:rPr>
        <w:br w:type="page"/>
      </w:r>
    </w:p>
    <w:p w14:paraId="4D5AF91B" w14:textId="2A429F7E" w:rsidR="006C71FD" w:rsidRPr="00C712A4" w:rsidRDefault="006C71FD" w:rsidP="006C71FD">
      <w:pPr>
        <w:rPr>
          <w:lang w:val="fr-FR"/>
        </w:rPr>
      </w:pPr>
      <w:r w:rsidRPr="00C712A4">
        <w:rPr>
          <w:b/>
          <w:sz w:val="18"/>
          <w:lang w:val="fr-FR"/>
        </w:rPr>
        <w:lastRenderedPageBreak/>
        <w:t>González Navarro</w:t>
      </w:r>
      <w:r w:rsidRPr="00C712A4">
        <w:rPr>
          <w:sz w:val="18"/>
          <w:lang w:val="fr-FR"/>
        </w:rPr>
        <w:t>, Jos</w:t>
      </w:r>
      <w:r w:rsidR="0080215F" w:rsidRPr="00C712A4">
        <w:rPr>
          <w:sz w:val="18"/>
          <w:lang w:val="fr-FR"/>
        </w:rPr>
        <w:t>é</w:t>
      </w:r>
      <w:r w:rsidRPr="00C712A4">
        <w:rPr>
          <w:sz w:val="18"/>
          <w:lang w:val="fr-FR"/>
        </w:rPr>
        <w:t xml:space="preserve"> Manuel (en ligne)</w:t>
      </w:r>
    </w:p>
    <w:p w14:paraId="361357A7" w14:textId="77777777" w:rsidR="006C71FD" w:rsidRPr="004E13E9" w:rsidRDefault="006C71FD" w:rsidP="006C71FD">
      <w:pPr>
        <w:jc w:val="both"/>
        <w:rPr>
          <w:lang w:val="es-ES"/>
        </w:rPr>
      </w:pPr>
      <w:r w:rsidRPr="004E13E9">
        <w:rPr>
          <w:sz w:val="18"/>
          <w:lang w:val="es-ES"/>
        </w:rPr>
        <w:t xml:space="preserve">Canarias </w:t>
      </w:r>
      <w:proofErr w:type="spellStart"/>
      <w:r w:rsidRPr="004E13E9">
        <w:rPr>
          <w:sz w:val="18"/>
          <w:lang w:val="es-ES"/>
        </w:rPr>
        <w:t>Seafood</w:t>
      </w:r>
      <w:proofErr w:type="spellEnd"/>
      <w:r w:rsidRPr="004E13E9">
        <w:rPr>
          <w:sz w:val="18"/>
          <w:lang w:val="es-ES"/>
        </w:rPr>
        <w:t>, España</w:t>
      </w:r>
    </w:p>
    <w:p w14:paraId="1F166927" w14:textId="77777777" w:rsidR="006C71FD" w:rsidRPr="004E13E9" w:rsidRDefault="006C71FD" w:rsidP="006C71FD">
      <w:pPr>
        <w:jc w:val="both"/>
        <w:rPr>
          <w:lang w:val="es-ES"/>
        </w:rPr>
      </w:pPr>
      <w:r w:rsidRPr="004E13E9">
        <w:rPr>
          <w:sz w:val="18"/>
          <w:lang w:val="es-ES"/>
        </w:rPr>
        <w:t>E-Mail: jm.gonzalez@canariasseafood.com</w:t>
      </w:r>
    </w:p>
    <w:p w14:paraId="39CCBB95" w14:textId="77777777" w:rsidR="006C71FD" w:rsidRPr="004E13E9" w:rsidRDefault="006C71FD" w:rsidP="006C71FD">
      <w:pPr>
        <w:rPr>
          <w:lang w:val="es-ES"/>
        </w:rPr>
      </w:pPr>
    </w:p>
    <w:p w14:paraId="7E4528BA" w14:textId="77777777" w:rsidR="006C71FD" w:rsidRPr="004E13E9" w:rsidRDefault="006C71FD" w:rsidP="006C71FD">
      <w:r w:rsidRPr="004E13E9">
        <w:rPr>
          <w:b/>
          <w:sz w:val="18"/>
        </w:rPr>
        <w:t>Harmey</w:t>
      </w:r>
      <w:r w:rsidRPr="004E13E9">
        <w:rPr>
          <w:sz w:val="18"/>
        </w:rPr>
        <w:t>, Eileen (</w:t>
      </w:r>
      <w:proofErr w:type="spellStart"/>
      <w:r w:rsidRPr="004E13E9">
        <w:rPr>
          <w:sz w:val="18"/>
        </w:rPr>
        <w:t>en</w:t>
      </w:r>
      <w:proofErr w:type="spellEnd"/>
      <w:r w:rsidRPr="004E13E9">
        <w:rPr>
          <w:sz w:val="18"/>
        </w:rPr>
        <w:t xml:space="preserve"> </w:t>
      </w:r>
      <w:proofErr w:type="spellStart"/>
      <w:r w:rsidRPr="004E13E9">
        <w:rPr>
          <w:sz w:val="18"/>
        </w:rPr>
        <w:t>ligne</w:t>
      </w:r>
      <w:proofErr w:type="spellEnd"/>
      <w:r w:rsidRPr="004E13E9">
        <w:rPr>
          <w:sz w:val="18"/>
        </w:rPr>
        <w:t>)</w:t>
      </w:r>
    </w:p>
    <w:p w14:paraId="3E387376" w14:textId="77777777" w:rsidR="006C71FD" w:rsidRPr="004E13E9" w:rsidRDefault="006C71FD" w:rsidP="006C71FD">
      <w:pPr>
        <w:jc w:val="both"/>
      </w:pPr>
      <w:r w:rsidRPr="004E13E9">
        <w:rPr>
          <w:sz w:val="18"/>
        </w:rPr>
        <w:t xml:space="preserve">HEO, Department of Agriculture, Food and the Marine, Sea Fisheries Policy &amp; Management Division, Government Buildings, National Seafood Centre, </w:t>
      </w:r>
      <w:proofErr w:type="spellStart"/>
      <w:r w:rsidRPr="004E13E9">
        <w:rPr>
          <w:sz w:val="18"/>
        </w:rPr>
        <w:t>Clogheen</w:t>
      </w:r>
      <w:proofErr w:type="spellEnd"/>
      <w:r w:rsidRPr="004E13E9">
        <w:rPr>
          <w:sz w:val="18"/>
        </w:rPr>
        <w:t>, Clonakilty, P85 TX47 Cork, Ireland</w:t>
      </w:r>
    </w:p>
    <w:p w14:paraId="16B25481" w14:textId="77777777" w:rsidR="006C71FD" w:rsidRPr="004E13E9" w:rsidRDefault="006C71FD" w:rsidP="006C71FD">
      <w:pPr>
        <w:jc w:val="both"/>
        <w:rPr>
          <w:lang w:val="pt-PT"/>
        </w:rPr>
      </w:pPr>
      <w:r w:rsidRPr="004E13E9">
        <w:rPr>
          <w:sz w:val="18"/>
          <w:lang w:val="pt-PT"/>
        </w:rPr>
        <w:t>Tel: +353 871 271 521, E-Mail: eileen.harmey@agriculture.gov.ie</w:t>
      </w:r>
    </w:p>
    <w:p w14:paraId="52609C26" w14:textId="77777777" w:rsidR="006C71FD" w:rsidRPr="004E13E9" w:rsidRDefault="006C71FD" w:rsidP="006C71FD">
      <w:pPr>
        <w:rPr>
          <w:lang w:val="pt-PT"/>
        </w:rPr>
      </w:pPr>
    </w:p>
    <w:p w14:paraId="5F533BFD" w14:textId="77777777" w:rsidR="006C71FD" w:rsidRPr="00C712A4" w:rsidRDefault="006C71FD" w:rsidP="006C71FD">
      <w:pPr>
        <w:rPr>
          <w:lang w:val="fr-FR"/>
        </w:rPr>
      </w:pPr>
      <w:r w:rsidRPr="00C712A4">
        <w:rPr>
          <w:b/>
          <w:sz w:val="18"/>
          <w:lang w:val="fr-FR"/>
        </w:rPr>
        <w:t>Johansson</w:t>
      </w:r>
      <w:r w:rsidRPr="00C712A4">
        <w:rPr>
          <w:sz w:val="18"/>
          <w:lang w:val="fr-FR"/>
        </w:rPr>
        <w:t>, Magnus (en ligne)</w:t>
      </w:r>
    </w:p>
    <w:p w14:paraId="17313F1D" w14:textId="77777777" w:rsidR="006C71FD" w:rsidRPr="004E13E9" w:rsidRDefault="006C71FD" w:rsidP="006C71FD">
      <w:pPr>
        <w:jc w:val="both"/>
      </w:pPr>
      <w:r w:rsidRPr="004E13E9">
        <w:rPr>
          <w:sz w:val="18"/>
        </w:rPr>
        <w:t>Ministry of Rural Affairs and Infrastructure, 10333 Stockholm, Sweden</w:t>
      </w:r>
    </w:p>
    <w:p w14:paraId="574F0C15" w14:textId="77777777" w:rsidR="006C71FD" w:rsidRPr="004E13E9" w:rsidRDefault="006C71FD" w:rsidP="006C71FD">
      <w:pPr>
        <w:jc w:val="both"/>
        <w:rPr>
          <w:lang w:val="pt-PT"/>
        </w:rPr>
      </w:pPr>
      <w:r w:rsidRPr="004E13E9">
        <w:rPr>
          <w:sz w:val="18"/>
          <w:lang w:val="pt-PT"/>
        </w:rPr>
        <w:t>Tel: +46 840 58869, E-Mail: magnus.johansson@regeringskansliet.se</w:t>
      </w:r>
    </w:p>
    <w:p w14:paraId="0E8F6596" w14:textId="77777777" w:rsidR="006C71FD" w:rsidRPr="004E13E9" w:rsidRDefault="006C71FD" w:rsidP="006C71FD">
      <w:pPr>
        <w:rPr>
          <w:lang w:val="pt-PT"/>
        </w:rPr>
      </w:pPr>
    </w:p>
    <w:p w14:paraId="2E38EACF" w14:textId="77777777" w:rsidR="006C71FD" w:rsidRPr="00C712A4" w:rsidRDefault="006C71FD" w:rsidP="006C71FD">
      <w:proofErr w:type="spellStart"/>
      <w:r w:rsidRPr="00C712A4">
        <w:rPr>
          <w:b/>
          <w:sz w:val="18"/>
        </w:rPr>
        <w:t>Jurasic</w:t>
      </w:r>
      <w:proofErr w:type="spellEnd"/>
      <w:r w:rsidRPr="00C712A4">
        <w:rPr>
          <w:sz w:val="18"/>
        </w:rPr>
        <w:t>, Mario (</w:t>
      </w:r>
      <w:proofErr w:type="spellStart"/>
      <w:r w:rsidRPr="00C712A4">
        <w:rPr>
          <w:sz w:val="18"/>
        </w:rPr>
        <w:t>en</w:t>
      </w:r>
      <w:proofErr w:type="spellEnd"/>
      <w:r w:rsidRPr="00C712A4">
        <w:rPr>
          <w:sz w:val="18"/>
        </w:rPr>
        <w:t xml:space="preserve"> </w:t>
      </w:r>
      <w:proofErr w:type="spellStart"/>
      <w:r w:rsidRPr="00C712A4">
        <w:rPr>
          <w:sz w:val="18"/>
        </w:rPr>
        <w:t>ligne</w:t>
      </w:r>
      <w:proofErr w:type="spellEnd"/>
      <w:r w:rsidRPr="00C712A4">
        <w:rPr>
          <w:sz w:val="18"/>
        </w:rPr>
        <w:t>)</w:t>
      </w:r>
    </w:p>
    <w:p w14:paraId="5894CD55" w14:textId="77777777" w:rsidR="006C71FD" w:rsidRPr="00C712A4" w:rsidRDefault="006C71FD" w:rsidP="006C71FD">
      <w:pPr>
        <w:jc w:val="both"/>
      </w:pPr>
      <w:r w:rsidRPr="00C712A4">
        <w:rPr>
          <w:sz w:val="18"/>
        </w:rPr>
        <w:t xml:space="preserve">Alexandera von </w:t>
      </w:r>
      <w:proofErr w:type="spellStart"/>
      <w:r w:rsidRPr="00C712A4">
        <w:rPr>
          <w:sz w:val="18"/>
        </w:rPr>
        <w:t>Humboldta</w:t>
      </w:r>
      <w:proofErr w:type="spellEnd"/>
      <w:r w:rsidRPr="00C712A4">
        <w:rPr>
          <w:sz w:val="18"/>
        </w:rPr>
        <w:t xml:space="preserve"> 4b, 10000 Zagreb, Croatia</w:t>
      </w:r>
    </w:p>
    <w:p w14:paraId="5F961051" w14:textId="77777777" w:rsidR="006C71FD" w:rsidRPr="004E13E9" w:rsidRDefault="006C71FD" w:rsidP="006C71FD">
      <w:pPr>
        <w:jc w:val="both"/>
        <w:rPr>
          <w:lang w:val="pt-PT"/>
        </w:rPr>
      </w:pPr>
      <w:r w:rsidRPr="004E13E9">
        <w:rPr>
          <w:sz w:val="18"/>
          <w:lang w:val="pt-PT"/>
        </w:rPr>
        <w:t>Tel: +385 143 3294, E-Mail: mario.jurasic@mps.hr</w:t>
      </w:r>
    </w:p>
    <w:p w14:paraId="1AFCD67C" w14:textId="77777777" w:rsidR="006C71FD" w:rsidRPr="004E13E9" w:rsidRDefault="006C71FD" w:rsidP="006C71FD">
      <w:pPr>
        <w:rPr>
          <w:lang w:val="pt-PT"/>
        </w:rPr>
      </w:pPr>
    </w:p>
    <w:p w14:paraId="70BD0B77" w14:textId="77777777" w:rsidR="006C71FD" w:rsidRPr="004E13E9" w:rsidRDefault="006C71FD" w:rsidP="006C71FD">
      <w:r w:rsidRPr="004E13E9">
        <w:rPr>
          <w:b/>
          <w:sz w:val="18"/>
        </w:rPr>
        <w:t>Koutsis</w:t>
      </w:r>
      <w:r w:rsidRPr="004E13E9">
        <w:rPr>
          <w:sz w:val="18"/>
        </w:rPr>
        <w:t>, Kostas (</w:t>
      </w:r>
      <w:proofErr w:type="spellStart"/>
      <w:r w:rsidRPr="004E13E9">
        <w:rPr>
          <w:sz w:val="18"/>
        </w:rPr>
        <w:t>en</w:t>
      </w:r>
      <w:proofErr w:type="spellEnd"/>
      <w:r w:rsidRPr="004E13E9">
        <w:rPr>
          <w:sz w:val="18"/>
        </w:rPr>
        <w:t xml:space="preserve"> </w:t>
      </w:r>
      <w:proofErr w:type="spellStart"/>
      <w:r w:rsidRPr="004E13E9">
        <w:rPr>
          <w:sz w:val="18"/>
        </w:rPr>
        <w:t>ligne</w:t>
      </w:r>
      <w:proofErr w:type="spellEnd"/>
      <w:r w:rsidRPr="004E13E9">
        <w:rPr>
          <w:sz w:val="18"/>
        </w:rPr>
        <w:t>)</w:t>
      </w:r>
    </w:p>
    <w:p w14:paraId="1F6DCBD1" w14:textId="77777777" w:rsidR="006C71FD" w:rsidRPr="004E13E9" w:rsidRDefault="006C71FD" w:rsidP="006C71FD">
      <w:pPr>
        <w:jc w:val="both"/>
      </w:pPr>
      <w:r w:rsidRPr="004E13E9">
        <w:rPr>
          <w:sz w:val="18"/>
        </w:rPr>
        <w:t xml:space="preserve">Head of Dept., Ministry of Rural Development and Food, General Directorate of Fisheries, 150, </w:t>
      </w:r>
      <w:proofErr w:type="spellStart"/>
      <w:r w:rsidRPr="004E13E9">
        <w:rPr>
          <w:sz w:val="18"/>
        </w:rPr>
        <w:t>Syggroy</w:t>
      </w:r>
      <w:proofErr w:type="spellEnd"/>
      <w:r w:rsidRPr="004E13E9">
        <w:rPr>
          <w:sz w:val="18"/>
        </w:rPr>
        <w:t xml:space="preserve"> Avenue - GR17671 Athens, 17671, Greece</w:t>
      </w:r>
    </w:p>
    <w:p w14:paraId="5230E6DE" w14:textId="77777777" w:rsidR="006C71FD" w:rsidRPr="004E13E9" w:rsidRDefault="006C71FD" w:rsidP="006C71FD">
      <w:pPr>
        <w:jc w:val="both"/>
        <w:rPr>
          <w:lang w:val="pt-PT"/>
        </w:rPr>
      </w:pPr>
      <w:r w:rsidRPr="004E13E9">
        <w:rPr>
          <w:sz w:val="18"/>
          <w:lang w:val="pt-PT"/>
        </w:rPr>
        <w:t>Tel: +302 109 287 117, E-Mail: kkoutsis@minagric.gr</w:t>
      </w:r>
    </w:p>
    <w:p w14:paraId="3915B99A" w14:textId="77777777" w:rsidR="006C71FD" w:rsidRPr="004E13E9" w:rsidRDefault="006C71FD" w:rsidP="006C71FD">
      <w:pPr>
        <w:rPr>
          <w:lang w:val="pt-PT"/>
        </w:rPr>
      </w:pPr>
    </w:p>
    <w:p w14:paraId="117E1274" w14:textId="77777777" w:rsidR="006C71FD" w:rsidRPr="004E13E9" w:rsidRDefault="006C71FD" w:rsidP="006C71FD">
      <w:pPr>
        <w:rPr>
          <w:lang w:val="it-IT"/>
        </w:rPr>
      </w:pPr>
      <w:r w:rsidRPr="004E13E9">
        <w:rPr>
          <w:b/>
          <w:sz w:val="18"/>
          <w:lang w:val="it-IT"/>
        </w:rPr>
        <w:t>Lanza</w:t>
      </w:r>
      <w:r w:rsidRPr="004E13E9">
        <w:rPr>
          <w:sz w:val="18"/>
          <w:lang w:val="it-IT"/>
        </w:rPr>
        <w:t>, Alfredo</w:t>
      </w:r>
    </w:p>
    <w:p w14:paraId="2C96A6E3" w14:textId="77777777" w:rsidR="006C71FD" w:rsidRPr="004E13E9" w:rsidRDefault="006C71FD" w:rsidP="006C71FD">
      <w:pPr>
        <w:jc w:val="both"/>
        <w:rPr>
          <w:lang w:val="it-IT"/>
        </w:rPr>
      </w:pPr>
      <w:r w:rsidRPr="004E13E9">
        <w:rPr>
          <w:sz w:val="18"/>
          <w:lang w:val="it-IT"/>
        </w:rPr>
        <w:t>Ministero dell’agricoltura, della sovranità alimentare e delle foreste - Dipartimento delle politiche competitive, della qualità agroalimentare, della pesca e dell’ippica, Direzione Generali della Pesca Maritima e dell'acquacoltura - PEMAC VI, Via XX Settembre, 20, 00187 Roma, Italy</w:t>
      </w:r>
    </w:p>
    <w:p w14:paraId="2A8D1587" w14:textId="77777777" w:rsidR="006C71FD" w:rsidRPr="004E13E9" w:rsidRDefault="006C71FD" w:rsidP="006C71FD">
      <w:pPr>
        <w:jc w:val="both"/>
        <w:rPr>
          <w:lang w:val="pt-PT"/>
        </w:rPr>
      </w:pPr>
      <w:r w:rsidRPr="004E13E9">
        <w:rPr>
          <w:sz w:val="18"/>
          <w:lang w:val="pt-PT"/>
        </w:rPr>
        <w:t>Tel: +39 331 464 1576; +39 646 652 843, E-Mail: a.lanza@masaf.gov.it</w:t>
      </w:r>
    </w:p>
    <w:p w14:paraId="017FA554" w14:textId="77777777" w:rsidR="006C71FD" w:rsidRPr="004E13E9" w:rsidRDefault="006C71FD" w:rsidP="006C71FD">
      <w:pPr>
        <w:rPr>
          <w:lang w:val="pt-PT"/>
        </w:rPr>
      </w:pPr>
    </w:p>
    <w:p w14:paraId="18F62D5B" w14:textId="77777777" w:rsidR="006C71FD" w:rsidRPr="004E13E9" w:rsidRDefault="006C71FD" w:rsidP="006C71FD">
      <w:pPr>
        <w:rPr>
          <w:lang w:val="it-IT"/>
        </w:rPr>
      </w:pPr>
      <w:proofErr w:type="spellStart"/>
      <w:r w:rsidRPr="004E13E9">
        <w:rPr>
          <w:b/>
          <w:sz w:val="18"/>
          <w:lang w:val="it-IT"/>
        </w:rPr>
        <w:t>Magnolo</w:t>
      </w:r>
      <w:proofErr w:type="spellEnd"/>
      <w:r w:rsidRPr="004E13E9">
        <w:rPr>
          <w:sz w:val="18"/>
          <w:lang w:val="it-IT"/>
        </w:rPr>
        <w:t xml:space="preserve">, Lorenzo Giovanni (en </w:t>
      </w:r>
      <w:proofErr w:type="spellStart"/>
      <w:r w:rsidRPr="004E13E9">
        <w:rPr>
          <w:sz w:val="18"/>
          <w:lang w:val="it-IT"/>
        </w:rPr>
        <w:t>ligne</w:t>
      </w:r>
      <w:proofErr w:type="spellEnd"/>
      <w:r w:rsidRPr="004E13E9">
        <w:rPr>
          <w:sz w:val="18"/>
          <w:lang w:val="it-IT"/>
        </w:rPr>
        <w:t>)</w:t>
      </w:r>
    </w:p>
    <w:p w14:paraId="3736CB7C" w14:textId="77777777" w:rsidR="006C71FD" w:rsidRPr="004E13E9" w:rsidRDefault="006C71FD" w:rsidP="006C71FD">
      <w:pPr>
        <w:jc w:val="both"/>
      </w:pPr>
      <w:r w:rsidRPr="004E13E9">
        <w:rPr>
          <w:sz w:val="18"/>
        </w:rPr>
        <w:t>Permanent Representation of Italy to the EU, MASAF - DG PESCA, 00187 Rome, Italy</w:t>
      </w:r>
    </w:p>
    <w:p w14:paraId="4C2927B4" w14:textId="77777777" w:rsidR="006C71FD" w:rsidRPr="004E13E9" w:rsidRDefault="006C71FD" w:rsidP="006C71FD">
      <w:pPr>
        <w:jc w:val="both"/>
        <w:rPr>
          <w:lang w:val="pt-PT"/>
        </w:rPr>
      </w:pPr>
      <w:r w:rsidRPr="004E13E9">
        <w:rPr>
          <w:sz w:val="18"/>
          <w:lang w:val="pt-PT"/>
        </w:rPr>
        <w:t>Tel: +32 222 00597, E-Mail: l.magnolo@esteri.it</w:t>
      </w:r>
    </w:p>
    <w:p w14:paraId="2AB77B10" w14:textId="77777777" w:rsidR="006C71FD" w:rsidRPr="004E13E9" w:rsidRDefault="006C71FD" w:rsidP="006C71FD">
      <w:pPr>
        <w:rPr>
          <w:b/>
          <w:sz w:val="18"/>
          <w:lang w:val="pt-PT"/>
        </w:rPr>
      </w:pPr>
    </w:p>
    <w:p w14:paraId="5BF8D540" w14:textId="77777777" w:rsidR="006C71FD" w:rsidRPr="00C712A4" w:rsidRDefault="006C71FD" w:rsidP="006C71FD">
      <w:pPr>
        <w:rPr>
          <w:lang w:val="it-IT"/>
        </w:rPr>
      </w:pPr>
      <w:r w:rsidRPr="00C712A4">
        <w:rPr>
          <w:b/>
          <w:sz w:val="18"/>
          <w:lang w:val="it-IT"/>
        </w:rPr>
        <w:t>Martínez Cañabate</w:t>
      </w:r>
      <w:r w:rsidRPr="00C712A4">
        <w:rPr>
          <w:sz w:val="18"/>
          <w:lang w:val="it-IT"/>
        </w:rPr>
        <w:t xml:space="preserve">, David Ángel </w:t>
      </w:r>
      <w:r w:rsidRPr="00C712A4">
        <w:rPr>
          <w:sz w:val="18"/>
          <w:vertAlign w:val="superscript"/>
          <w:lang w:val="it-IT"/>
        </w:rPr>
        <w:t>1</w:t>
      </w:r>
    </w:p>
    <w:p w14:paraId="7419DA2E" w14:textId="77777777" w:rsidR="006C71FD" w:rsidRPr="004E13E9" w:rsidRDefault="006C71FD" w:rsidP="006C71FD">
      <w:pPr>
        <w:jc w:val="both"/>
        <w:rPr>
          <w:lang w:val="es-ES"/>
        </w:rPr>
      </w:pPr>
      <w:r w:rsidRPr="004E13E9">
        <w:rPr>
          <w:sz w:val="18"/>
          <w:lang w:val="es-ES"/>
        </w:rPr>
        <w:t>30593 Cartagena, Murcia, España</w:t>
      </w:r>
    </w:p>
    <w:p w14:paraId="1ED40010" w14:textId="77777777" w:rsidR="006C71FD" w:rsidRPr="004E13E9" w:rsidRDefault="006C71FD" w:rsidP="006C71FD">
      <w:pPr>
        <w:rPr>
          <w:lang w:val="es-ES"/>
        </w:rPr>
      </w:pPr>
    </w:p>
    <w:p w14:paraId="46132846" w14:textId="77777777" w:rsidR="006C71FD" w:rsidRPr="004E13E9" w:rsidRDefault="006C71FD" w:rsidP="006C71FD">
      <w:pPr>
        <w:rPr>
          <w:lang w:val="es-ES"/>
        </w:rPr>
      </w:pPr>
      <w:r w:rsidRPr="004E13E9">
        <w:rPr>
          <w:b/>
          <w:sz w:val="18"/>
          <w:lang w:val="es-ES"/>
        </w:rPr>
        <w:t>Molina Schmid</w:t>
      </w:r>
      <w:r w:rsidRPr="004E13E9">
        <w:rPr>
          <w:sz w:val="18"/>
          <w:lang w:val="es-ES"/>
        </w:rPr>
        <w:t>, Teresa</w:t>
      </w:r>
    </w:p>
    <w:p w14:paraId="67FCE3B0" w14:textId="77777777" w:rsidR="006C71FD" w:rsidRPr="004E13E9" w:rsidRDefault="006C71FD" w:rsidP="006C71FD">
      <w:pPr>
        <w:jc w:val="both"/>
        <w:rPr>
          <w:lang w:val="es-ES"/>
        </w:rPr>
      </w:pPr>
      <w:r w:rsidRPr="004E13E9">
        <w:rPr>
          <w:sz w:val="18"/>
          <w:lang w:val="es-ES"/>
        </w:rPr>
        <w:t>Subdirectora General, Subdirección General de Acuerdos y Organizaciones Regionales de Pesca, Dirección General de Recursos Pesqueros, Ministerio de Agricultura, Pesca y Alimentación, Secretaría General de Pesca, C/ Velázquez 144, 2ª Planta, 28006 Madrid, España</w:t>
      </w:r>
    </w:p>
    <w:p w14:paraId="6BB7C41B" w14:textId="77777777" w:rsidR="006C71FD" w:rsidRPr="004E13E9" w:rsidRDefault="006C71FD" w:rsidP="006C71FD">
      <w:pPr>
        <w:jc w:val="both"/>
        <w:rPr>
          <w:lang w:val="pt-PT"/>
        </w:rPr>
      </w:pPr>
      <w:r w:rsidRPr="004E13E9">
        <w:rPr>
          <w:sz w:val="18"/>
          <w:lang w:val="pt-PT"/>
        </w:rPr>
        <w:t>Tel: +34 91 347 60 40; +34 656 333 130, E-Mail: tmolina@mapa.es</w:t>
      </w:r>
    </w:p>
    <w:p w14:paraId="03EB329A" w14:textId="77777777" w:rsidR="006C71FD" w:rsidRPr="004E13E9" w:rsidRDefault="006C71FD" w:rsidP="006C71FD">
      <w:pPr>
        <w:rPr>
          <w:lang w:val="pt-PT"/>
        </w:rPr>
      </w:pPr>
    </w:p>
    <w:p w14:paraId="7100FBE9" w14:textId="77777777" w:rsidR="006C71FD" w:rsidRPr="004E13E9" w:rsidRDefault="006C71FD" w:rsidP="006C71FD">
      <w:pPr>
        <w:rPr>
          <w:lang w:val="es-ES"/>
        </w:rPr>
      </w:pPr>
      <w:r w:rsidRPr="004E13E9">
        <w:rPr>
          <w:b/>
          <w:sz w:val="18"/>
          <w:lang w:val="es-ES"/>
        </w:rPr>
        <w:t>Munilla Garrido</w:t>
      </w:r>
      <w:r w:rsidRPr="004E13E9">
        <w:rPr>
          <w:sz w:val="18"/>
          <w:lang w:val="es-ES"/>
        </w:rPr>
        <w:t xml:space="preserve">, Elena Isabel (en </w:t>
      </w:r>
      <w:proofErr w:type="spellStart"/>
      <w:r w:rsidRPr="004E13E9">
        <w:rPr>
          <w:sz w:val="18"/>
          <w:lang w:val="es-ES"/>
        </w:rPr>
        <w:t>ligne</w:t>
      </w:r>
      <w:proofErr w:type="spellEnd"/>
      <w:r w:rsidRPr="004E13E9">
        <w:rPr>
          <w:sz w:val="18"/>
          <w:lang w:val="es-ES"/>
        </w:rPr>
        <w:t>)</w:t>
      </w:r>
    </w:p>
    <w:p w14:paraId="4DCCFBCD" w14:textId="77777777" w:rsidR="006C71FD" w:rsidRPr="004E13E9" w:rsidRDefault="006C71FD" w:rsidP="006C71FD">
      <w:pPr>
        <w:jc w:val="both"/>
        <w:rPr>
          <w:lang w:val="es-ES"/>
        </w:rPr>
      </w:pPr>
      <w:r w:rsidRPr="004E13E9">
        <w:rPr>
          <w:sz w:val="18"/>
          <w:lang w:val="es-ES"/>
        </w:rPr>
        <w:t>ESN, España</w:t>
      </w:r>
    </w:p>
    <w:p w14:paraId="4BE4BF83" w14:textId="77777777" w:rsidR="006C71FD" w:rsidRPr="004E13E9" w:rsidRDefault="006C71FD" w:rsidP="006C71FD">
      <w:pPr>
        <w:jc w:val="both"/>
        <w:rPr>
          <w:lang w:val="es-ES"/>
        </w:rPr>
      </w:pPr>
      <w:r w:rsidRPr="004E13E9">
        <w:rPr>
          <w:sz w:val="18"/>
          <w:lang w:val="es-ES"/>
        </w:rPr>
        <w:t>E-Mail: Elena-Isabel.MUNILLA-GARRIDO@ec.europa.eu</w:t>
      </w:r>
    </w:p>
    <w:p w14:paraId="2193EED7" w14:textId="77777777" w:rsidR="006C71FD" w:rsidRPr="004E13E9" w:rsidRDefault="006C71FD" w:rsidP="006C71FD">
      <w:pPr>
        <w:rPr>
          <w:lang w:val="es-ES"/>
        </w:rPr>
      </w:pPr>
    </w:p>
    <w:p w14:paraId="433E774F" w14:textId="77777777" w:rsidR="006C71FD" w:rsidRPr="004E13E9" w:rsidRDefault="006C71FD" w:rsidP="006C71FD">
      <w:pPr>
        <w:rPr>
          <w:lang w:val="es-ES"/>
        </w:rPr>
      </w:pPr>
      <w:r w:rsidRPr="004E13E9">
        <w:rPr>
          <w:b/>
          <w:sz w:val="18"/>
          <w:lang w:val="es-ES"/>
        </w:rPr>
        <w:t>Navarro Cid</w:t>
      </w:r>
      <w:r w:rsidRPr="004E13E9">
        <w:rPr>
          <w:sz w:val="18"/>
          <w:lang w:val="es-ES"/>
        </w:rPr>
        <w:t xml:space="preserve">, Juan José </w:t>
      </w:r>
      <w:r w:rsidRPr="004E13E9">
        <w:rPr>
          <w:sz w:val="18"/>
          <w:vertAlign w:val="superscript"/>
          <w:lang w:val="es-ES"/>
        </w:rPr>
        <w:t>1</w:t>
      </w:r>
    </w:p>
    <w:p w14:paraId="4E73FD4C" w14:textId="77777777" w:rsidR="006C71FD" w:rsidRPr="004E13E9" w:rsidRDefault="006C71FD" w:rsidP="006C71FD">
      <w:pPr>
        <w:jc w:val="both"/>
        <w:rPr>
          <w:lang w:val="es-ES"/>
        </w:rPr>
      </w:pPr>
      <w:r w:rsidRPr="004E13E9">
        <w:rPr>
          <w:sz w:val="18"/>
          <w:lang w:val="es-ES"/>
        </w:rPr>
        <w:t xml:space="preserve">Grupo </w:t>
      </w:r>
      <w:proofErr w:type="spellStart"/>
      <w:r w:rsidRPr="004E13E9">
        <w:rPr>
          <w:sz w:val="18"/>
          <w:lang w:val="es-ES"/>
        </w:rPr>
        <w:t>Balfegó</w:t>
      </w:r>
      <w:proofErr w:type="spellEnd"/>
      <w:r w:rsidRPr="004E13E9">
        <w:rPr>
          <w:sz w:val="18"/>
          <w:lang w:val="es-ES"/>
        </w:rPr>
        <w:t xml:space="preserve">, 43860 </w:t>
      </w:r>
      <w:proofErr w:type="spellStart"/>
      <w:r w:rsidRPr="004E13E9">
        <w:rPr>
          <w:sz w:val="18"/>
          <w:lang w:val="es-ES"/>
        </w:rPr>
        <w:t>L'Ametlla</w:t>
      </w:r>
      <w:proofErr w:type="spellEnd"/>
      <w:r w:rsidRPr="004E13E9">
        <w:rPr>
          <w:sz w:val="18"/>
          <w:lang w:val="es-ES"/>
        </w:rPr>
        <w:t xml:space="preserve"> de Mar, Tarragona, España</w:t>
      </w:r>
    </w:p>
    <w:p w14:paraId="52C92027" w14:textId="77777777" w:rsidR="006C71FD" w:rsidRPr="004E13E9" w:rsidRDefault="006C71FD" w:rsidP="006C71FD">
      <w:pPr>
        <w:rPr>
          <w:lang w:val="es-ES"/>
        </w:rPr>
      </w:pPr>
    </w:p>
    <w:p w14:paraId="08E36651" w14:textId="77777777" w:rsidR="006C71FD" w:rsidRPr="004E13E9" w:rsidRDefault="006C71FD" w:rsidP="006C71FD">
      <w:r w:rsidRPr="004E13E9">
        <w:rPr>
          <w:b/>
          <w:sz w:val="18"/>
        </w:rPr>
        <w:t>Oikonomou</w:t>
      </w:r>
      <w:r w:rsidRPr="004E13E9">
        <w:rPr>
          <w:sz w:val="18"/>
        </w:rPr>
        <w:t>, Maria (</w:t>
      </w:r>
      <w:proofErr w:type="spellStart"/>
      <w:r w:rsidRPr="004E13E9">
        <w:rPr>
          <w:sz w:val="18"/>
        </w:rPr>
        <w:t>en</w:t>
      </w:r>
      <w:proofErr w:type="spellEnd"/>
      <w:r w:rsidRPr="004E13E9">
        <w:rPr>
          <w:sz w:val="18"/>
        </w:rPr>
        <w:t xml:space="preserve"> </w:t>
      </w:r>
      <w:proofErr w:type="spellStart"/>
      <w:r w:rsidRPr="004E13E9">
        <w:rPr>
          <w:sz w:val="18"/>
        </w:rPr>
        <w:t>ligne</w:t>
      </w:r>
      <w:proofErr w:type="spellEnd"/>
      <w:r w:rsidRPr="004E13E9">
        <w:rPr>
          <w:sz w:val="18"/>
        </w:rPr>
        <w:t>)</w:t>
      </w:r>
    </w:p>
    <w:p w14:paraId="16D8E55B" w14:textId="77777777" w:rsidR="006C71FD" w:rsidRPr="004E13E9" w:rsidRDefault="006C71FD" w:rsidP="006C71FD">
      <w:pPr>
        <w:jc w:val="both"/>
      </w:pPr>
      <w:r w:rsidRPr="004E13E9">
        <w:rPr>
          <w:sz w:val="18"/>
        </w:rPr>
        <w:t xml:space="preserve">Ministry of Rural Development &amp; Food, Directorate General for Fisheries, 150, </w:t>
      </w:r>
      <w:proofErr w:type="spellStart"/>
      <w:r w:rsidRPr="004E13E9">
        <w:rPr>
          <w:sz w:val="18"/>
        </w:rPr>
        <w:t>Syngrou</w:t>
      </w:r>
      <w:proofErr w:type="spellEnd"/>
      <w:r w:rsidRPr="004E13E9">
        <w:rPr>
          <w:sz w:val="18"/>
        </w:rPr>
        <w:t xml:space="preserve"> A. 176 71 Kallithea, 176 71 Athens, Greece</w:t>
      </w:r>
    </w:p>
    <w:p w14:paraId="19E382D1" w14:textId="77777777" w:rsidR="006C71FD" w:rsidRPr="004E13E9" w:rsidRDefault="006C71FD" w:rsidP="006C71FD">
      <w:pPr>
        <w:jc w:val="both"/>
        <w:rPr>
          <w:lang w:val="pt-PT"/>
        </w:rPr>
      </w:pPr>
      <w:r w:rsidRPr="004E13E9">
        <w:rPr>
          <w:sz w:val="18"/>
          <w:lang w:val="pt-PT"/>
        </w:rPr>
        <w:t>Tel: +302 109 287 186, E-Mail: moikonom@minagric.gr</w:t>
      </w:r>
    </w:p>
    <w:p w14:paraId="481E4C97" w14:textId="77777777" w:rsidR="006C71FD" w:rsidRPr="004E13E9" w:rsidRDefault="006C71FD" w:rsidP="006C71FD">
      <w:pPr>
        <w:rPr>
          <w:lang w:val="pt-PT"/>
        </w:rPr>
      </w:pPr>
    </w:p>
    <w:p w14:paraId="4D6D0D54" w14:textId="77777777" w:rsidR="006C71FD" w:rsidRPr="00C712A4" w:rsidRDefault="006C71FD" w:rsidP="006C71FD">
      <w:pPr>
        <w:rPr>
          <w:lang w:val="it-IT"/>
        </w:rPr>
      </w:pPr>
      <w:r w:rsidRPr="00C712A4">
        <w:rPr>
          <w:b/>
          <w:sz w:val="18"/>
          <w:lang w:val="it-IT"/>
        </w:rPr>
        <w:t>Orozco</w:t>
      </w:r>
      <w:r w:rsidRPr="00C712A4">
        <w:rPr>
          <w:sz w:val="18"/>
          <w:lang w:val="it-IT"/>
        </w:rPr>
        <w:t>, Lucie</w:t>
      </w:r>
    </w:p>
    <w:p w14:paraId="6BA52C80" w14:textId="77777777" w:rsidR="006C71FD" w:rsidRPr="004E13E9" w:rsidRDefault="006C71FD" w:rsidP="006C71FD">
      <w:pPr>
        <w:jc w:val="both"/>
        <w:rPr>
          <w:lang w:val="fr-FR"/>
        </w:rPr>
      </w:pPr>
      <w:r w:rsidRPr="004E13E9">
        <w:rPr>
          <w:sz w:val="18"/>
          <w:lang w:val="fr-FR"/>
        </w:rPr>
        <w:t>Chargée de mission affaires thonières, Direction générale de affaires maritimes, de la pêche et de l'aquaculture (DGAMPA), Bureau des Affaires Européennes et Internationales (BAEI), 92055 La Défense, Ile de France, France</w:t>
      </w:r>
    </w:p>
    <w:p w14:paraId="3AA9144D" w14:textId="77777777" w:rsidR="006C71FD" w:rsidRPr="004E13E9" w:rsidRDefault="006C71FD" w:rsidP="006C71FD">
      <w:pPr>
        <w:rPr>
          <w:lang w:val="fr-FR"/>
        </w:rPr>
      </w:pPr>
    </w:p>
    <w:p w14:paraId="037C93BC" w14:textId="77777777" w:rsidR="006C71FD" w:rsidRPr="004E13E9" w:rsidRDefault="006C71FD" w:rsidP="006C71FD">
      <w:r w:rsidRPr="004E13E9">
        <w:rPr>
          <w:b/>
          <w:sz w:val="18"/>
        </w:rPr>
        <w:t>Pappalardo</w:t>
      </w:r>
      <w:r w:rsidRPr="004E13E9">
        <w:rPr>
          <w:sz w:val="18"/>
        </w:rPr>
        <w:t>, Luigi</w:t>
      </w:r>
    </w:p>
    <w:p w14:paraId="5D3C4AE4" w14:textId="77777777" w:rsidR="006C71FD" w:rsidRPr="004E13E9" w:rsidRDefault="006C71FD" w:rsidP="006C71FD">
      <w:pPr>
        <w:jc w:val="both"/>
      </w:pPr>
      <w:r w:rsidRPr="004E13E9">
        <w:rPr>
          <w:sz w:val="18"/>
        </w:rPr>
        <w:t>Technical Assistance, Ministry of Agriculture, Food Sovereignty and Forests - MASAF, 84043 Salerno Agropoli, Italy</w:t>
      </w:r>
    </w:p>
    <w:p w14:paraId="6D12047C" w14:textId="77777777" w:rsidR="006C71FD" w:rsidRPr="004E13E9" w:rsidRDefault="006C71FD" w:rsidP="006C71FD">
      <w:pPr>
        <w:jc w:val="both"/>
        <w:rPr>
          <w:lang w:val="pt-PT"/>
        </w:rPr>
      </w:pPr>
      <w:r w:rsidRPr="004E13E9">
        <w:rPr>
          <w:sz w:val="18"/>
          <w:lang w:val="pt-PT"/>
        </w:rPr>
        <w:t>Tel: +39 345 689 2473, E-Mail: luigi.pappalardo@feampa.eu</w:t>
      </w:r>
    </w:p>
    <w:p w14:paraId="67430C52" w14:textId="77777777" w:rsidR="006C71FD" w:rsidRPr="004E13E9" w:rsidRDefault="006C71FD" w:rsidP="006C71FD">
      <w:pPr>
        <w:rPr>
          <w:lang w:val="pt-PT"/>
        </w:rPr>
      </w:pPr>
    </w:p>
    <w:p w14:paraId="6D6318C4" w14:textId="77777777" w:rsidR="00462960" w:rsidRPr="004E13E9" w:rsidRDefault="00462960">
      <w:pPr>
        <w:rPr>
          <w:b/>
          <w:sz w:val="18"/>
          <w:lang w:val="pt-PT"/>
        </w:rPr>
      </w:pPr>
      <w:r w:rsidRPr="004E13E9">
        <w:rPr>
          <w:b/>
          <w:sz w:val="18"/>
          <w:lang w:val="pt-PT"/>
        </w:rPr>
        <w:br w:type="page"/>
      </w:r>
    </w:p>
    <w:p w14:paraId="123C889F" w14:textId="0A800C43" w:rsidR="006C71FD" w:rsidRPr="00C712A4" w:rsidRDefault="006C71FD" w:rsidP="006C71FD">
      <w:pPr>
        <w:rPr>
          <w:lang w:val="it-IT"/>
        </w:rPr>
      </w:pPr>
      <w:r w:rsidRPr="00C712A4">
        <w:rPr>
          <w:b/>
          <w:sz w:val="18"/>
          <w:lang w:val="it-IT"/>
        </w:rPr>
        <w:lastRenderedPageBreak/>
        <w:t>Platero García</w:t>
      </w:r>
      <w:r w:rsidRPr="00C712A4">
        <w:rPr>
          <w:sz w:val="18"/>
          <w:lang w:val="it-IT"/>
        </w:rPr>
        <w:t>, Rocío</w:t>
      </w:r>
    </w:p>
    <w:p w14:paraId="375205A4" w14:textId="77777777" w:rsidR="006C71FD" w:rsidRPr="004E13E9" w:rsidRDefault="006C71FD" w:rsidP="006C71FD">
      <w:pPr>
        <w:jc w:val="both"/>
        <w:rPr>
          <w:lang w:val="es-ES"/>
        </w:rPr>
      </w:pPr>
      <w:r w:rsidRPr="004E13E9">
        <w:rPr>
          <w:sz w:val="18"/>
          <w:lang w:val="es-ES"/>
        </w:rPr>
        <w:t>Inspectora de Pesca Marítima. Servicio BFT y Mediterráneo, Secretaría General de Pesca, Ministerio de Agricultura, Pesca y Alimentación de España, Subdirección General de Control e Inspección y Lucha contra la Pesca Ilegal, C/ Velázquez, 147, 28002 Madrid, España</w:t>
      </w:r>
    </w:p>
    <w:p w14:paraId="60AF4229" w14:textId="77777777" w:rsidR="006C71FD" w:rsidRPr="004E13E9" w:rsidRDefault="006C71FD" w:rsidP="006C71FD">
      <w:pPr>
        <w:jc w:val="both"/>
        <w:rPr>
          <w:lang w:val="pt-PT"/>
        </w:rPr>
      </w:pPr>
      <w:r w:rsidRPr="004E13E9">
        <w:rPr>
          <w:sz w:val="18"/>
          <w:lang w:val="pt-PT"/>
        </w:rPr>
        <w:t>Tel: +34 670 329 707, E-Mail: rplatero@mapa.es</w:t>
      </w:r>
    </w:p>
    <w:p w14:paraId="3E8A1A14" w14:textId="77777777" w:rsidR="006C71FD" w:rsidRPr="004E13E9" w:rsidRDefault="006C71FD" w:rsidP="006C71FD">
      <w:pPr>
        <w:rPr>
          <w:lang w:val="pt-PT"/>
        </w:rPr>
      </w:pPr>
    </w:p>
    <w:p w14:paraId="53173C6B" w14:textId="77777777" w:rsidR="006C71FD" w:rsidRPr="00C712A4" w:rsidRDefault="006C71FD" w:rsidP="006C71FD">
      <w:pPr>
        <w:rPr>
          <w:lang w:val="fr-FR"/>
        </w:rPr>
      </w:pPr>
      <w:r w:rsidRPr="00C712A4">
        <w:rPr>
          <w:b/>
          <w:sz w:val="18"/>
          <w:lang w:val="fr-FR"/>
        </w:rPr>
        <w:t>Riesco Malho</w:t>
      </w:r>
      <w:r w:rsidRPr="00C712A4">
        <w:rPr>
          <w:sz w:val="18"/>
          <w:lang w:val="fr-FR"/>
        </w:rPr>
        <w:t xml:space="preserve">, </w:t>
      </w:r>
      <w:proofErr w:type="spellStart"/>
      <w:r w:rsidRPr="00C712A4">
        <w:rPr>
          <w:sz w:val="18"/>
          <w:lang w:val="fr-FR"/>
        </w:rPr>
        <w:t>Héctor</w:t>
      </w:r>
      <w:proofErr w:type="spellEnd"/>
    </w:p>
    <w:p w14:paraId="3D75B5D4" w14:textId="77777777" w:rsidR="006C71FD" w:rsidRPr="004E13E9" w:rsidRDefault="006C71FD" w:rsidP="006C71FD">
      <w:pPr>
        <w:jc w:val="both"/>
        <w:rPr>
          <w:lang w:val="es-ES"/>
        </w:rPr>
      </w:pPr>
      <w:r w:rsidRPr="004E13E9">
        <w:rPr>
          <w:sz w:val="18"/>
          <w:lang w:val="es-ES"/>
        </w:rPr>
        <w:t>Subdirección General de Control e Inspección y Lucha contra la Pesca Ilegal, España</w:t>
      </w:r>
    </w:p>
    <w:p w14:paraId="67CD6180" w14:textId="77777777" w:rsidR="006C71FD" w:rsidRPr="004E13E9" w:rsidRDefault="006C71FD" w:rsidP="006C71FD">
      <w:pPr>
        <w:jc w:val="both"/>
        <w:rPr>
          <w:lang w:val="pt-PT"/>
        </w:rPr>
      </w:pPr>
      <w:r w:rsidRPr="004E13E9">
        <w:rPr>
          <w:sz w:val="18"/>
          <w:lang w:val="pt-PT"/>
        </w:rPr>
        <w:t>Tel: +34 654 914 557, E-Mail: hriesco@mapa.es</w:t>
      </w:r>
    </w:p>
    <w:p w14:paraId="4D226363" w14:textId="77777777" w:rsidR="006C71FD" w:rsidRPr="004E13E9" w:rsidRDefault="006C71FD" w:rsidP="006C71FD">
      <w:pPr>
        <w:rPr>
          <w:lang w:val="pt-PT"/>
        </w:rPr>
      </w:pPr>
    </w:p>
    <w:p w14:paraId="3B4B986B" w14:textId="77777777" w:rsidR="006C71FD" w:rsidRPr="00C712A4" w:rsidRDefault="006C71FD" w:rsidP="006C71FD">
      <w:pPr>
        <w:rPr>
          <w:lang w:val="fr-FR"/>
        </w:rPr>
      </w:pPr>
      <w:proofErr w:type="spellStart"/>
      <w:r w:rsidRPr="00C712A4">
        <w:rPr>
          <w:b/>
          <w:sz w:val="18"/>
          <w:lang w:val="fr-FR"/>
        </w:rPr>
        <w:t>Runjak</w:t>
      </w:r>
      <w:proofErr w:type="spellEnd"/>
      <w:r w:rsidRPr="00C712A4">
        <w:rPr>
          <w:sz w:val="18"/>
          <w:lang w:val="fr-FR"/>
        </w:rPr>
        <w:t>, Josipa (en ligne)</w:t>
      </w:r>
    </w:p>
    <w:p w14:paraId="5E231756" w14:textId="77777777" w:rsidR="006C71FD" w:rsidRPr="004E13E9" w:rsidRDefault="006C71FD" w:rsidP="006C71FD">
      <w:pPr>
        <w:jc w:val="both"/>
      </w:pPr>
      <w:r w:rsidRPr="004E13E9">
        <w:rPr>
          <w:sz w:val="18"/>
        </w:rPr>
        <w:t xml:space="preserve">Head of Department, Ministry of Agriculture, Forestry and Fisheries, Directorate of Fisheries, Department for Resource Management, </w:t>
      </w:r>
      <w:proofErr w:type="spellStart"/>
      <w:r w:rsidRPr="004E13E9">
        <w:rPr>
          <w:sz w:val="18"/>
        </w:rPr>
        <w:t>Ulica</w:t>
      </w:r>
      <w:proofErr w:type="spellEnd"/>
      <w:r w:rsidRPr="004E13E9">
        <w:rPr>
          <w:sz w:val="18"/>
        </w:rPr>
        <w:t xml:space="preserve"> </w:t>
      </w:r>
      <w:proofErr w:type="spellStart"/>
      <w:r w:rsidRPr="004E13E9">
        <w:rPr>
          <w:sz w:val="18"/>
        </w:rPr>
        <w:t>grada</w:t>
      </w:r>
      <w:proofErr w:type="spellEnd"/>
      <w:r w:rsidRPr="004E13E9">
        <w:rPr>
          <w:sz w:val="18"/>
        </w:rPr>
        <w:t xml:space="preserve"> </w:t>
      </w:r>
      <w:proofErr w:type="spellStart"/>
      <w:r w:rsidRPr="004E13E9">
        <w:rPr>
          <w:sz w:val="18"/>
        </w:rPr>
        <w:t>Vukovara</w:t>
      </w:r>
      <w:proofErr w:type="spellEnd"/>
      <w:r w:rsidRPr="004E13E9">
        <w:rPr>
          <w:sz w:val="18"/>
        </w:rPr>
        <w:t xml:space="preserve"> 78, 51001 Rijeka, Croatia</w:t>
      </w:r>
    </w:p>
    <w:p w14:paraId="03432F9D" w14:textId="77777777" w:rsidR="006C71FD" w:rsidRPr="004E13E9" w:rsidRDefault="006C71FD" w:rsidP="006C71FD">
      <w:pPr>
        <w:jc w:val="both"/>
        <w:rPr>
          <w:lang w:val="pt-PT"/>
        </w:rPr>
      </w:pPr>
      <w:r w:rsidRPr="004E13E9">
        <w:rPr>
          <w:sz w:val="18"/>
          <w:lang w:val="pt-PT"/>
        </w:rPr>
        <w:t>Tel: +385 164 43178, E-Mail: josipa.runjak@mps.hr</w:t>
      </w:r>
    </w:p>
    <w:p w14:paraId="438646B1" w14:textId="77777777" w:rsidR="006C71FD" w:rsidRPr="004E13E9" w:rsidRDefault="006C71FD" w:rsidP="006C71FD">
      <w:pPr>
        <w:rPr>
          <w:lang w:val="pt-PT"/>
        </w:rPr>
      </w:pPr>
    </w:p>
    <w:p w14:paraId="1152D809" w14:textId="77777777" w:rsidR="006C71FD" w:rsidRPr="00C712A4" w:rsidRDefault="006C71FD" w:rsidP="006C71FD">
      <w:pPr>
        <w:rPr>
          <w:lang w:val="fr-FR"/>
        </w:rPr>
      </w:pPr>
      <w:proofErr w:type="spellStart"/>
      <w:r w:rsidRPr="00C712A4">
        <w:rPr>
          <w:b/>
          <w:sz w:val="18"/>
          <w:lang w:val="fr-FR"/>
        </w:rPr>
        <w:t>Sassalou</w:t>
      </w:r>
      <w:proofErr w:type="spellEnd"/>
      <w:r w:rsidRPr="00C712A4">
        <w:rPr>
          <w:sz w:val="18"/>
          <w:lang w:val="fr-FR"/>
        </w:rPr>
        <w:t>, Vasiliki (en ligne)</w:t>
      </w:r>
    </w:p>
    <w:p w14:paraId="323692AF" w14:textId="77777777" w:rsidR="006C71FD" w:rsidRPr="004E13E9" w:rsidRDefault="006C71FD" w:rsidP="006C71FD">
      <w:pPr>
        <w:jc w:val="both"/>
      </w:pPr>
      <w:r w:rsidRPr="004E13E9">
        <w:rPr>
          <w:sz w:val="18"/>
        </w:rPr>
        <w:t xml:space="preserve">Staff of Dept., Ministry of Rural Development &amp; Food, Common Fisheries Policy &amp; Common Market </w:t>
      </w:r>
      <w:proofErr w:type="spellStart"/>
      <w:r w:rsidRPr="004E13E9">
        <w:rPr>
          <w:sz w:val="18"/>
        </w:rPr>
        <w:t>Organisation</w:t>
      </w:r>
      <w:proofErr w:type="spellEnd"/>
      <w:r w:rsidRPr="004E13E9">
        <w:rPr>
          <w:sz w:val="18"/>
        </w:rPr>
        <w:t xml:space="preserve">, 150 </w:t>
      </w:r>
      <w:proofErr w:type="spellStart"/>
      <w:r w:rsidRPr="004E13E9">
        <w:rPr>
          <w:sz w:val="18"/>
        </w:rPr>
        <w:t>Syggrou</w:t>
      </w:r>
      <w:proofErr w:type="spellEnd"/>
      <w:r w:rsidRPr="004E13E9">
        <w:rPr>
          <w:sz w:val="18"/>
        </w:rPr>
        <w:t xml:space="preserve"> ave., Athens, Greece</w:t>
      </w:r>
    </w:p>
    <w:p w14:paraId="72A60D00" w14:textId="77777777" w:rsidR="006C71FD" w:rsidRPr="004E13E9" w:rsidRDefault="006C71FD" w:rsidP="006C71FD">
      <w:pPr>
        <w:jc w:val="both"/>
        <w:rPr>
          <w:lang w:val="pt-PT"/>
        </w:rPr>
      </w:pPr>
      <w:r w:rsidRPr="004E13E9">
        <w:rPr>
          <w:sz w:val="18"/>
          <w:lang w:val="pt-PT"/>
        </w:rPr>
        <w:t>Tel: +30 210 928 7248, E-Mail: vsassalou@minagric.gr</w:t>
      </w:r>
    </w:p>
    <w:p w14:paraId="674DB980" w14:textId="77777777" w:rsidR="006C71FD" w:rsidRPr="004E13E9" w:rsidRDefault="006C71FD" w:rsidP="006C71FD">
      <w:pPr>
        <w:rPr>
          <w:lang w:val="pt-PT"/>
        </w:rPr>
      </w:pPr>
    </w:p>
    <w:p w14:paraId="2BD2511F" w14:textId="77777777" w:rsidR="006C71FD" w:rsidRPr="004E13E9" w:rsidRDefault="006C71FD" w:rsidP="006C71FD">
      <w:proofErr w:type="spellStart"/>
      <w:r w:rsidRPr="004E13E9">
        <w:rPr>
          <w:b/>
          <w:sz w:val="18"/>
        </w:rPr>
        <w:t>Seguna</w:t>
      </w:r>
      <w:proofErr w:type="spellEnd"/>
      <w:r w:rsidRPr="004E13E9">
        <w:rPr>
          <w:sz w:val="18"/>
        </w:rPr>
        <w:t>, Marvin</w:t>
      </w:r>
    </w:p>
    <w:p w14:paraId="3E7EE223" w14:textId="77777777" w:rsidR="006C71FD" w:rsidRPr="004E13E9" w:rsidRDefault="006C71FD" w:rsidP="006C71FD">
      <w:pPr>
        <w:jc w:val="both"/>
      </w:pPr>
      <w:r w:rsidRPr="004E13E9">
        <w:rPr>
          <w:sz w:val="18"/>
        </w:rPr>
        <w:t xml:space="preserve">Chief Fisheries Protection Officer, Ministry for Agriculture, Food and Animal Rights, Fort San Lucjan, </w:t>
      </w:r>
      <w:proofErr w:type="spellStart"/>
      <w:r w:rsidRPr="004E13E9">
        <w:rPr>
          <w:sz w:val="18"/>
        </w:rPr>
        <w:t>Triq</w:t>
      </w:r>
      <w:proofErr w:type="spellEnd"/>
      <w:r w:rsidRPr="004E13E9">
        <w:rPr>
          <w:sz w:val="18"/>
        </w:rPr>
        <w:t xml:space="preserve"> il-</w:t>
      </w:r>
      <w:proofErr w:type="spellStart"/>
      <w:r w:rsidRPr="004E13E9">
        <w:rPr>
          <w:sz w:val="18"/>
        </w:rPr>
        <w:t>Qajjenza</w:t>
      </w:r>
      <w:proofErr w:type="spellEnd"/>
      <w:r w:rsidRPr="004E13E9">
        <w:rPr>
          <w:sz w:val="18"/>
        </w:rPr>
        <w:t xml:space="preserve">, Department of Fisheries and Aquaculture, </w:t>
      </w:r>
      <w:proofErr w:type="spellStart"/>
      <w:r w:rsidRPr="004E13E9">
        <w:rPr>
          <w:sz w:val="18"/>
        </w:rPr>
        <w:t>Ghammieri</w:t>
      </w:r>
      <w:proofErr w:type="spellEnd"/>
      <w:r w:rsidRPr="004E13E9">
        <w:rPr>
          <w:sz w:val="18"/>
        </w:rPr>
        <w:t xml:space="preserve"> </w:t>
      </w:r>
      <w:proofErr w:type="spellStart"/>
      <w:r w:rsidRPr="004E13E9">
        <w:rPr>
          <w:sz w:val="18"/>
        </w:rPr>
        <w:t>Ingiered</w:t>
      </w:r>
      <w:proofErr w:type="spellEnd"/>
      <w:r w:rsidRPr="004E13E9">
        <w:rPr>
          <w:sz w:val="18"/>
        </w:rPr>
        <w:t xml:space="preserve"> Road, MRS 3303 Marsa, Malta</w:t>
      </w:r>
    </w:p>
    <w:p w14:paraId="24B62452" w14:textId="77777777" w:rsidR="006C71FD" w:rsidRPr="004E13E9" w:rsidRDefault="006C71FD" w:rsidP="006C71FD">
      <w:pPr>
        <w:jc w:val="both"/>
        <w:rPr>
          <w:lang w:val="pt-PT"/>
        </w:rPr>
      </w:pPr>
      <w:r w:rsidRPr="004E13E9">
        <w:rPr>
          <w:sz w:val="18"/>
          <w:lang w:val="pt-PT"/>
        </w:rPr>
        <w:t>Tel: +356 229 26918; +356 797 09426, E-Mail: marvin.seguna@gov.mt</w:t>
      </w:r>
    </w:p>
    <w:p w14:paraId="7A9C1BD4" w14:textId="77777777" w:rsidR="006C71FD" w:rsidRPr="004E13E9" w:rsidRDefault="006C71FD" w:rsidP="006C71FD">
      <w:pPr>
        <w:rPr>
          <w:lang w:val="pt-PT"/>
        </w:rPr>
      </w:pPr>
    </w:p>
    <w:p w14:paraId="51E47D24" w14:textId="77777777" w:rsidR="006C71FD" w:rsidRPr="004E13E9" w:rsidRDefault="006C71FD" w:rsidP="006C71FD">
      <w:pPr>
        <w:rPr>
          <w:lang w:val="fr-FR"/>
        </w:rPr>
      </w:pPr>
      <w:proofErr w:type="spellStart"/>
      <w:r w:rsidRPr="004E13E9">
        <w:rPr>
          <w:b/>
          <w:sz w:val="18"/>
          <w:lang w:val="fr-FR"/>
        </w:rPr>
        <w:t>Souben</w:t>
      </w:r>
      <w:proofErr w:type="spellEnd"/>
      <w:r w:rsidRPr="004E13E9">
        <w:rPr>
          <w:sz w:val="18"/>
          <w:lang w:val="fr-FR"/>
        </w:rPr>
        <w:t>, Jérémie (en ligne)</w:t>
      </w:r>
    </w:p>
    <w:p w14:paraId="45A1A1EC" w14:textId="77777777" w:rsidR="006C71FD" w:rsidRPr="00C712A4" w:rsidRDefault="006C71FD" w:rsidP="006C71FD">
      <w:pPr>
        <w:jc w:val="both"/>
        <w:rPr>
          <w:lang w:val="it-IT"/>
        </w:rPr>
      </w:pPr>
      <w:r w:rsidRPr="00C712A4">
        <w:rPr>
          <w:sz w:val="18"/>
          <w:lang w:val="it-IT"/>
        </w:rPr>
        <w:t>FEDOPA, France</w:t>
      </w:r>
    </w:p>
    <w:p w14:paraId="64CDBE63" w14:textId="77777777" w:rsidR="006C71FD" w:rsidRPr="004E13E9" w:rsidRDefault="006C71FD" w:rsidP="006C71FD">
      <w:pPr>
        <w:jc w:val="both"/>
        <w:rPr>
          <w:lang w:val="pt-PT"/>
        </w:rPr>
      </w:pPr>
      <w:r w:rsidRPr="004E13E9">
        <w:rPr>
          <w:sz w:val="18"/>
          <w:lang w:val="pt-PT"/>
        </w:rPr>
        <w:t>E-Mail: fedopa@fedopa.fr</w:t>
      </w:r>
    </w:p>
    <w:p w14:paraId="440DCC22" w14:textId="77777777" w:rsidR="006C71FD" w:rsidRPr="004E13E9" w:rsidRDefault="006C71FD" w:rsidP="006C71FD">
      <w:pPr>
        <w:rPr>
          <w:lang w:val="pt-PT"/>
        </w:rPr>
      </w:pPr>
    </w:p>
    <w:p w14:paraId="605D0AF8" w14:textId="77777777" w:rsidR="006C71FD" w:rsidRPr="004E13E9" w:rsidRDefault="006C71FD" w:rsidP="006C71FD">
      <w:pPr>
        <w:rPr>
          <w:lang w:val="pt-PT"/>
        </w:rPr>
      </w:pPr>
      <w:r w:rsidRPr="004E13E9">
        <w:rPr>
          <w:b/>
          <w:sz w:val="18"/>
          <w:lang w:val="pt-PT"/>
        </w:rPr>
        <w:t>Teixeira</w:t>
      </w:r>
      <w:r w:rsidRPr="004E13E9">
        <w:rPr>
          <w:sz w:val="18"/>
          <w:lang w:val="pt-PT"/>
        </w:rPr>
        <w:t>, Isabel</w:t>
      </w:r>
    </w:p>
    <w:p w14:paraId="6C7AA508" w14:textId="77777777" w:rsidR="006C71FD" w:rsidRPr="004E13E9" w:rsidRDefault="006C71FD" w:rsidP="006C71FD">
      <w:pPr>
        <w:jc w:val="both"/>
        <w:rPr>
          <w:lang w:val="pt-PT"/>
        </w:rPr>
      </w:pPr>
      <w:r w:rsidRPr="004E13E9">
        <w:rPr>
          <w:sz w:val="18"/>
          <w:lang w:val="pt-PT"/>
        </w:rPr>
        <w:t>Chefe de Divisão de Recursos Externos da Direção-Geral de Recursos Naturais, Segurança e Serviços Marítimos, DGRM, Avenida Brasilia, 1449-030 Lisboa, Portugal</w:t>
      </w:r>
    </w:p>
    <w:p w14:paraId="381A150C" w14:textId="77777777" w:rsidR="006C71FD" w:rsidRPr="004E13E9" w:rsidRDefault="006C71FD" w:rsidP="006C71FD">
      <w:pPr>
        <w:jc w:val="both"/>
        <w:rPr>
          <w:lang w:val="pt-PT"/>
        </w:rPr>
      </w:pPr>
      <w:r w:rsidRPr="004E13E9">
        <w:rPr>
          <w:sz w:val="18"/>
          <w:lang w:val="pt-PT"/>
        </w:rPr>
        <w:t>Tel: +351 919 499 229, E-Mail: iteixeira@dgrm.pt</w:t>
      </w:r>
    </w:p>
    <w:p w14:paraId="5BA651FD" w14:textId="77777777" w:rsidR="006C71FD" w:rsidRPr="004E13E9" w:rsidRDefault="006C71FD" w:rsidP="006C71FD">
      <w:pPr>
        <w:rPr>
          <w:lang w:val="pt-PT"/>
        </w:rPr>
      </w:pPr>
    </w:p>
    <w:p w14:paraId="339BAB2C" w14:textId="77777777" w:rsidR="006C71FD" w:rsidRPr="004E13E9" w:rsidRDefault="006C71FD" w:rsidP="006C71FD">
      <w:proofErr w:type="spellStart"/>
      <w:r w:rsidRPr="004E13E9">
        <w:rPr>
          <w:b/>
          <w:sz w:val="18"/>
        </w:rPr>
        <w:t>Thasitis</w:t>
      </w:r>
      <w:proofErr w:type="spellEnd"/>
      <w:r w:rsidRPr="004E13E9">
        <w:rPr>
          <w:sz w:val="18"/>
        </w:rPr>
        <w:t>, Ioannis</w:t>
      </w:r>
    </w:p>
    <w:p w14:paraId="760294CB" w14:textId="77777777" w:rsidR="006C71FD" w:rsidRPr="004E13E9" w:rsidRDefault="006C71FD" w:rsidP="006C71FD">
      <w:pPr>
        <w:jc w:val="both"/>
      </w:pPr>
      <w:r w:rsidRPr="004E13E9">
        <w:rPr>
          <w:sz w:val="18"/>
        </w:rPr>
        <w:t xml:space="preserve">Fisheries and Marine Research Officer, Ministry of Agriculture, Rural Development and Environment, Department of Fisheries and Marine Research, 101 </w:t>
      </w:r>
      <w:proofErr w:type="spellStart"/>
      <w:r w:rsidRPr="004E13E9">
        <w:rPr>
          <w:sz w:val="18"/>
        </w:rPr>
        <w:t>Vithleem</w:t>
      </w:r>
      <w:proofErr w:type="spellEnd"/>
      <w:r w:rsidRPr="004E13E9">
        <w:rPr>
          <w:sz w:val="18"/>
        </w:rPr>
        <w:t xml:space="preserve"> Street, 1416 Nicosia, Cyprus</w:t>
      </w:r>
    </w:p>
    <w:p w14:paraId="5C131978" w14:textId="77777777" w:rsidR="006C71FD" w:rsidRPr="004E13E9" w:rsidRDefault="006C71FD" w:rsidP="006C71FD">
      <w:pPr>
        <w:jc w:val="both"/>
        <w:rPr>
          <w:lang w:val="fr-FR"/>
        </w:rPr>
      </w:pPr>
      <w:r w:rsidRPr="004E13E9">
        <w:rPr>
          <w:sz w:val="18"/>
          <w:lang w:val="fr-FR"/>
        </w:rPr>
        <w:t>Tel: +35722807840, Fax: +35722 775 955, E-Mail: ithasitis@dfmr.moa.gov.cy; ithasitis@dfmr.moa.gov.cy</w:t>
      </w:r>
    </w:p>
    <w:p w14:paraId="63C4F5D2" w14:textId="77777777" w:rsidR="006C71FD" w:rsidRPr="004E13E9" w:rsidRDefault="006C71FD" w:rsidP="006C71FD">
      <w:pPr>
        <w:rPr>
          <w:lang w:val="fr-FR"/>
        </w:rPr>
      </w:pPr>
    </w:p>
    <w:p w14:paraId="16176257" w14:textId="77777777" w:rsidR="006C71FD" w:rsidRPr="004E13E9" w:rsidRDefault="006C71FD" w:rsidP="006C71FD">
      <w:pPr>
        <w:rPr>
          <w:lang w:val="fr-FR"/>
        </w:rPr>
      </w:pPr>
      <w:r w:rsidRPr="004E13E9">
        <w:rPr>
          <w:b/>
          <w:sz w:val="18"/>
          <w:lang w:val="fr-FR"/>
        </w:rPr>
        <w:t>Trigo</w:t>
      </w:r>
      <w:r w:rsidRPr="004E13E9">
        <w:rPr>
          <w:sz w:val="18"/>
          <w:lang w:val="fr-FR"/>
        </w:rPr>
        <w:t>, Patricia (en ligne)</w:t>
      </w:r>
    </w:p>
    <w:p w14:paraId="1A247069" w14:textId="77777777" w:rsidR="006C71FD" w:rsidRPr="004E13E9" w:rsidRDefault="006C71FD" w:rsidP="006C71FD">
      <w:pPr>
        <w:jc w:val="both"/>
        <w:rPr>
          <w:lang w:val="pt-PT"/>
        </w:rPr>
      </w:pPr>
      <w:r w:rsidRPr="004E13E9">
        <w:rPr>
          <w:sz w:val="18"/>
          <w:lang w:val="pt-PT"/>
        </w:rPr>
        <w:t>DGRM, Avenida Brasilia ES8, 1449-030 Lisboa, Portugal</w:t>
      </w:r>
    </w:p>
    <w:p w14:paraId="02F92698" w14:textId="77777777" w:rsidR="006C71FD" w:rsidRPr="004E13E9" w:rsidRDefault="006C71FD" w:rsidP="006C71FD">
      <w:pPr>
        <w:jc w:val="both"/>
        <w:rPr>
          <w:lang w:val="pt-PT"/>
        </w:rPr>
      </w:pPr>
      <w:r w:rsidRPr="004E13E9">
        <w:rPr>
          <w:sz w:val="18"/>
          <w:lang w:val="pt-PT"/>
        </w:rPr>
        <w:t>Tel: +351 969 455 882; +351 213 035 732, E-Mail: ptrigo@dgrm.pt</w:t>
      </w:r>
    </w:p>
    <w:p w14:paraId="2B4A3C68" w14:textId="77777777" w:rsidR="006C71FD" w:rsidRPr="004E13E9" w:rsidRDefault="006C71FD" w:rsidP="006C71FD">
      <w:pPr>
        <w:rPr>
          <w:lang w:val="pt-PT"/>
        </w:rPr>
      </w:pPr>
    </w:p>
    <w:p w14:paraId="59FC3B8C" w14:textId="77777777" w:rsidR="006C71FD" w:rsidRPr="004E13E9" w:rsidRDefault="006C71FD" w:rsidP="006C71FD">
      <w:r w:rsidRPr="004E13E9">
        <w:rPr>
          <w:b/>
          <w:sz w:val="18"/>
        </w:rPr>
        <w:t>Vasiliades</w:t>
      </w:r>
      <w:r w:rsidRPr="004E13E9">
        <w:rPr>
          <w:sz w:val="18"/>
        </w:rPr>
        <w:t xml:space="preserve">, </w:t>
      </w:r>
      <w:proofErr w:type="spellStart"/>
      <w:r w:rsidRPr="004E13E9">
        <w:rPr>
          <w:sz w:val="18"/>
        </w:rPr>
        <w:t>Lavrentis</w:t>
      </w:r>
      <w:proofErr w:type="spellEnd"/>
    </w:p>
    <w:p w14:paraId="3C854B91" w14:textId="77777777" w:rsidR="006C71FD" w:rsidRPr="004E13E9" w:rsidRDefault="006C71FD" w:rsidP="006C71FD">
      <w:pPr>
        <w:jc w:val="both"/>
      </w:pPr>
      <w:r w:rsidRPr="004E13E9">
        <w:rPr>
          <w:sz w:val="18"/>
        </w:rPr>
        <w:t>Ministry of Fisheries, Cyprus</w:t>
      </w:r>
    </w:p>
    <w:p w14:paraId="60B0CE1E" w14:textId="77777777" w:rsidR="006C71FD" w:rsidRPr="004E13E9" w:rsidRDefault="006C71FD" w:rsidP="006C71FD">
      <w:pPr>
        <w:jc w:val="both"/>
        <w:rPr>
          <w:lang w:val="pt-PT"/>
        </w:rPr>
      </w:pPr>
      <w:r w:rsidRPr="004E13E9">
        <w:rPr>
          <w:sz w:val="18"/>
          <w:lang w:val="pt-PT"/>
        </w:rPr>
        <w:t>Tel: +357 471 079 640, E-Mail: lvasiliades@dfmr.moa.gov.cy</w:t>
      </w:r>
    </w:p>
    <w:p w14:paraId="79E049EF" w14:textId="77777777" w:rsidR="006C71FD" w:rsidRPr="004E13E9" w:rsidRDefault="006C71FD" w:rsidP="006C71FD">
      <w:pPr>
        <w:rPr>
          <w:lang w:val="pt-PT"/>
        </w:rPr>
      </w:pPr>
    </w:p>
    <w:p w14:paraId="2C814B63" w14:textId="77777777" w:rsidR="006C71FD" w:rsidRPr="004E13E9" w:rsidRDefault="006C71FD" w:rsidP="006C71FD">
      <w:pPr>
        <w:rPr>
          <w:lang w:val="es-ES"/>
        </w:rPr>
      </w:pPr>
      <w:r w:rsidRPr="004E13E9">
        <w:rPr>
          <w:b/>
          <w:sz w:val="18"/>
          <w:lang w:val="es-ES"/>
        </w:rPr>
        <w:t>Vela Ortega</w:t>
      </w:r>
      <w:r w:rsidRPr="004E13E9">
        <w:rPr>
          <w:sz w:val="18"/>
          <w:lang w:val="es-ES"/>
        </w:rPr>
        <w:t xml:space="preserve">, Sebastián </w:t>
      </w:r>
      <w:r w:rsidRPr="004E13E9">
        <w:rPr>
          <w:sz w:val="18"/>
          <w:vertAlign w:val="superscript"/>
          <w:lang w:val="es-ES"/>
        </w:rPr>
        <w:t xml:space="preserve">1 </w:t>
      </w:r>
      <w:r w:rsidRPr="004E13E9">
        <w:rPr>
          <w:sz w:val="18"/>
          <w:lang w:val="es-ES"/>
        </w:rPr>
        <w:t xml:space="preserve">(en </w:t>
      </w:r>
      <w:proofErr w:type="spellStart"/>
      <w:r w:rsidRPr="004E13E9">
        <w:rPr>
          <w:sz w:val="18"/>
          <w:lang w:val="es-ES"/>
        </w:rPr>
        <w:t>ligne</w:t>
      </w:r>
      <w:proofErr w:type="spellEnd"/>
      <w:r w:rsidRPr="004E13E9">
        <w:rPr>
          <w:sz w:val="18"/>
          <w:lang w:val="es-ES"/>
        </w:rPr>
        <w:t>)</w:t>
      </w:r>
    </w:p>
    <w:p w14:paraId="7735EEA7" w14:textId="77777777" w:rsidR="006C71FD" w:rsidRPr="004E13E9" w:rsidRDefault="006C71FD" w:rsidP="006C71FD">
      <w:pPr>
        <w:jc w:val="both"/>
        <w:rPr>
          <w:lang w:val="es-ES"/>
        </w:rPr>
      </w:pPr>
      <w:r w:rsidRPr="004E13E9">
        <w:rPr>
          <w:sz w:val="18"/>
          <w:lang w:val="es-ES"/>
        </w:rPr>
        <w:t>Pesquerías de Almadraba, S.A., 11160 Barbate, Cádiz, España</w:t>
      </w:r>
    </w:p>
    <w:p w14:paraId="6B1166C4" w14:textId="77777777" w:rsidR="006C71FD" w:rsidRPr="004E13E9" w:rsidRDefault="006C71FD" w:rsidP="006C71FD">
      <w:pPr>
        <w:rPr>
          <w:lang w:val="es-ES"/>
        </w:rPr>
      </w:pPr>
    </w:p>
    <w:p w14:paraId="15A04ED6" w14:textId="77777777" w:rsidR="006C71FD" w:rsidRPr="004E13E9" w:rsidRDefault="006C71FD" w:rsidP="006C71FD">
      <w:pPr>
        <w:rPr>
          <w:lang w:val="es-ES"/>
        </w:rPr>
      </w:pPr>
      <w:r w:rsidRPr="004E13E9">
        <w:rPr>
          <w:b/>
          <w:sz w:val="18"/>
          <w:lang w:val="es-ES"/>
        </w:rPr>
        <w:t>Wendling</w:t>
      </w:r>
      <w:r w:rsidRPr="004E13E9">
        <w:rPr>
          <w:sz w:val="18"/>
          <w:lang w:val="es-ES"/>
        </w:rPr>
        <w:t xml:space="preserve">, Bertrand (en </w:t>
      </w:r>
      <w:proofErr w:type="spellStart"/>
      <w:r w:rsidRPr="004E13E9">
        <w:rPr>
          <w:sz w:val="18"/>
          <w:lang w:val="es-ES"/>
        </w:rPr>
        <w:t>ligne</w:t>
      </w:r>
      <w:proofErr w:type="spellEnd"/>
      <w:r w:rsidRPr="004E13E9">
        <w:rPr>
          <w:sz w:val="18"/>
          <w:lang w:val="es-ES"/>
        </w:rPr>
        <w:t>)</w:t>
      </w:r>
    </w:p>
    <w:p w14:paraId="41FD354B" w14:textId="77777777" w:rsidR="006C71FD" w:rsidRPr="004E13E9" w:rsidRDefault="006C71FD" w:rsidP="006C71FD">
      <w:pPr>
        <w:jc w:val="both"/>
        <w:rPr>
          <w:lang w:val="es-ES"/>
        </w:rPr>
      </w:pPr>
      <w:proofErr w:type="spellStart"/>
      <w:r w:rsidRPr="004E13E9">
        <w:rPr>
          <w:sz w:val="18"/>
          <w:lang w:val="es-ES"/>
        </w:rPr>
        <w:t>SaThoAn</w:t>
      </w:r>
      <w:proofErr w:type="spellEnd"/>
      <w:r w:rsidRPr="004E13E9">
        <w:rPr>
          <w:sz w:val="18"/>
          <w:lang w:val="es-ES"/>
        </w:rPr>
        <w:t xml:space="preserve"> - Cap St. Louis 3B, 29 </w:t>
      </w:r>
      <w:proofErr w:type="spellStart"/>
      <w:r w:rsidRPr="004E13E9">
        <w:rPr>
          <w:sz w:val="18"/>
          <w:lang w:val="es-ES"/>
        </w:rPr>
        <w:t>Promenade</w:t>
      </w:r>
      <w:proofErr w:type="spellEnd"/>
      <w:r w:rsidRPr="004E13E9">
        <w:rPr>
          <w:sz w:val="18"/>
          <w:lang w:val="es-ES"/>
        </w:rPr>
        <w:t xml:space="preserve"> JB Marty, 34200 </w:t>
      </w:r>
      <w:proofErr w:type="spellStart"/>
      <w:r w:rsidRPr="004E13E9">
        <w:rPr>
          <w:sz w:val="18"/>
          <w:lang w:val="es-ES"/>
        </w:rPr>
        <w:t>Sête</w:t>
      </w:r>
      <w:proofErr w:type="spellEnd"/>
      <w:r w:rsidRPr="004E13E9">
        <w:rPr>
          <w:sz w:val="18"/>
          <w:lang w:val="es-ES"/>
        </w:rPr>
        <w:t>, France</w:t>
      </w:r>
    </w:p>
    <w:p w14:paraId="29F25803" w14:textId="77777777" w:rsidR="006C71FD" w:rsidRPr="004E13E9" w:rsidRDefault="006C71FD" w:rsidP="006C71FD">
      <w:pPr>
        <w:jc w:val="both"/>
        <w:rPr>
          <w:lang w:val="es-ES"/>
        </w:rPr>
      </w:pPr>
      <w:r w:rsidRPr="004E13E9">
        <w:rPr>
          <w:sz w:val="18"/>
          <w:lang w:val="es-ES"/>
        </w:rPr>
        <w:t>Tel: +33 603 328 977, Fax: +33 4 6746 0513, E-Mail: bertrand@sathoan.fr</w:t>
      </w:r>
    </w:p>
    <w:p w14:paraId="1E5ADC37" w14:textId="77777777" w:rsidR="006C71FD" w:rsidRPr="004E13E9" w:rsidRDefault="006C71FD">
      <w:pPr>
        <w:rPr>
          <w:lang w:val="es-ES"/>
        </w:rPr>
      </w:pPr>
    </w:p>
    <w:p w14:paraId="19BB885D" w14:textId="77777777" w:rsidR="00D41BB9" w:rsidRPr="004E13E9" w:rsidRDefault="00E95051">
      <w:pPr>
        <w:rPr>
          <w:lang w:val="fr-FR"/>
        </w:rPr>
      </w:pPr>
      <w:r w:rsidRPr="004E13E9">
        <w:rPr>
          <w:b/>
          <w:lang w:val="fr-FR"/>
        </w:rPr>
        <w:t>VENEZUELA</w:t>
      </w:r>
    </w:p>
    <w:p w14:paraId="4A6B1633" w14:textId="1907A566" w:rsidR="00D41BB9" w:rsidRPr="004E13E9" w:rsidRDefault="00E95051">
      <w:pPr>
        <w:rPr>
          <w:lang w:val="fr-FR"/>
        </w:rPr>
      </w:pPr>
      <w:r w:rsidRPr="004E13E9">
        <w:rPr>
          <w:b/>
          <w:sz w:val="18"/>
          <w:lang w:val="fr-FR"/>
        </w:rPr>
        <w:t>Galicia Tremont</w:t>
      </w:r>
      <w:r w:rsidRPr="004E13E9">
        <w:rPr>
          <w:sz w:val="18"/>
          <w:lang w:val="fr-FR"/>
        </w:rPr>
        <w:t>, Jeiris Nathaly</w:t>
      </w:r>
      <w:r w:rsidR="00205C7A" w:rsidRPr="004E13E9">
        <w:rPr>
          <w:sz w:val="18"/>
          <w:lang w:val="fr-FR"/>
        </w:rPr>
        <w:t xml:space="preserve"> (</w:t>
      </w:r>
      <w:r w:rsidR="00D40F91" w:rsidRPr="004E13E9">
        <w:rPr>
          <w:sz w:val="18"/>
          <w:lang w:val="fr-FR"/>
        </w:rPr>
        <w:t>en ligne</w:t>
      </w:r>
      <w:r w:rsidR="00205C7A" w:rsidRPr="004E13E9">
        <w:rPr>
          <w:sz w:val="18"/>
          <w:lang w:val="fr-FR"/>
        </w:rPr>
        <w:t>)</w:t>
      </w:r>
    </w:p>
    <w:p w14:paraId="093F8822" w14:textId="77777777" w:rsidR="00D41BB9" w:rsidRPr="004E13E9" w:rsidRDefault="00E95051">
      <w:pPr>
        <w:jc w:val="both"/>
        <w:rPr>
          <w:lang w:val="pt-PT"/>
        </w:rPr>
      </w:pPr>
      <w:r w:rsidRPr="004E13E9">
        <w:rPr>
          <w:sz w:val="18"/>
          <w:lang w:val="es-ES"/>
        </w:rPr>
        <w:t xml:space="preserve">Directora General de Pesca Industrial, Viceministerio de Producción primaria Pesquera y Acuícola, Ministerio del Poder Popular de Pesca y Acuicultura, Av. </w:t>
      </w:r>
      <w:r w:rsidRPr="004E13E9">
        <w:rPr>
          <w:sz w:val="18"/>
          <w:lang w:val="pt-PT"/>
        </w:rPr>
        <w:t>Lecuna, Torre Este, Parque central, piso 17</w:t>
      </w:r>
    </w:p>
    <w:p w14:paraId="65563F84" w14:textId="77777777" w:rsidR="00D41BB9" w:rsidRPr="004E13E9" w:rsidRDefault="00E95051">
      <w:pPr>
        <w:jc w:val="both"/>
        <w:rPr>
          <w:lang w:val="pt-PT"/>
        </w:rPr>
      </w:pPr>
      <w:r w:rsidRPr="004E13E9">
        <w:rPr>
          <w:sz w:val="18"/>
          <w:lang w:val="pt-PT"/>
        </w:rPr>
        <w:t>Tel: +58 0414 970 3064, E-Mail: ing.jeirisgalicia@gmail.com; dgpi.minpesca@gmail.com; jgalicia.minpesca@gmail.com</w:t>
      </w:r>
    </w:p>
    <w:p w14:paraId="38CF8983" w14:textId="77777777" w:rsidR="00D41BB9" w:rsidRPr="004E13E9" w:rsidRDefault="00D41BB9">
      <w:pPr>
        <w:rPr>
          <w:lang w:val="pt-PT"/>
        </w:rPr>
      </w:pPr>
    </w:p>
    <w:p w14:paraId="0CDB4946" w14:textId="026E4D1E" w:rsidR="00D41BB9" w:rsidRPr="004E13E9" w:rsidRDefault="00E95051">
      <w:pPr>
        <w:rPr>
          <w:lang w:val="es-ES"/>
        </w:rPr>
      </w:pPr>
      <w:r w:rsidRPr="004E13E9">
        <w:rPr>
          <w:b/>
          <w:sz w:val="18"/>
          <w:lang w:val="es-ES"/>
        </w:rPr>
        <w:t>Vivas Jiménez</w:t>
      </w:r>
      <w:r w:rsidRPr="004E13E9">
        <w:rPr>
          <w:sz w:val="18"/>
          <w:lang w:val="es-ES"/>
        </w:rPr>
        <w:t>, María Daniela</w:t>
      </w:r>
      <w:r w:rsidR="00205C7A" w:rsidRPr="004E13E9">
        <w:rPr>
          <w:sz w:val="18"/>
          <w:lang w:val="es-ES"/>
        </w:rPr>
        <w:t xml:space="preserve"> (</w:t>
      </w:r>
      <w:r w:rsidR="00D40F91" w:rsidRPr="004E13E9">
        <w:rPr>
          <w:sz w:val="18"/>
          <w:lang w:val="es-ES"/>
        </w:rPr>
        <w:t xml:space="preserve">en </w:t>
      </w:r>
      <w:proofErr w:type="spellStart"/>
      <w:r w:rsidR="00D40F91" w:rsidRPr="004E13E9">
        <w:rPr>
          <w:sz w:val="18"/>
          <w:lang w:val="es-ES"/>
        </w:rPr>
        <w:t>ligne</w:t>
      </w:r>
      <w:proofErr w:type="spellEnd"/>
      <w:r w:rsidR="00205C7A" w:rsidRPr="004E13E9">
        <w:rPr>
          <w:sz w:val="18"/>
          <w:lang w:val="es-ES"/>
        </w:rPr>
        <w:t>)</w:t>
      </w:r>
    </w:p>
    <w:p w14:paraId="5396BE5F" w14:textId="77777777" w:rsidR="00D41BB9" w:rsidRPr="004E13E9" w:rsidRDefault="00E95051">
      <w:pPr>
        <w:jc w:val="both"/>
        <w:rPr>
          <w:lang w:val="fr-FR"/>
        </w:rPr>
      </w:pPr>
      <w:r w:rsidRPr="004E13E9">
        <w:rPr>
          <w:sz w:val="18"/>
          <w:lang w:val="es-ES"/>
        </w:rPr>
        <w:t xml:space="preserve">Analista de Asuntos Multilaterales de la Oficina de Integración y Asuntos Internacionales, Ministerio del Poder Popular de Pesca y Acuicultura, Parque Central. </w:t>
      </w:r>
      <w:r w:rsidRPr="004E13E9">
        <w:rPr>
          <w:sz w:val="18"/>
          <w:lang w:val="fr-FR"/>
        </w:rPr>
        <w:t>Piso 17, 1040 Caracas</w:t>
      </w:r>
    </w:p>
    <w:p w14:paraId="6A8CB4E7" w14:textId="56EC7C6D" w:rsidR="001D2A18" w:rsidRPr="004E13E9" w:rsidRDefault="00E95051" w:rsidP="001D2A18">
      <w:pPr>
        <w:jc w:val="both"/>
        <w:rPr>
          <w:b/>
          <w:i/>
          <w:lang w:val="fr-FR" w:eastAsia="en-GB"/>
        </w:rPr>
      </w:pPr>
      <w:r w:rsidRPr="004E13E9">
        <w:rPr>
          <w:sz w:val="18"/>
          <w:lang w:val="fr-FR"/>
        </w:rPr>
        <w:t>Tel: 04242808103, E-Mail: minpescaven@gmail.com</w:t>
      </w:r>
      <w:r w:rsidR="001D2A18" w:rsidRPr="004E13E9">
        <w:rPr>
          <w:b/>
          <w:i/>
          <w:lang w:val="fr-FR" w:eastAsia="en-GB"/>
        </w:rPr>
        <w:br w:type="page"/>
      </w:r>
    </w:p>
    <w:p w14:paraId="280F0AD3" w14:textId="026B5446" w:rsidR="001D2A18" w:rsidRPr="004E13E9" w:rsidRDefault="001D2A18" w:rsidP="001D2A18">
      <w:pPr>
        <w:jc w:val="both"/>
        <w:rPr>
          <w:lang w:val="fr-FR" w:eastAsia="en-GB"/>
        </w:rPr>
      </w:pPr>
      <w:r w:rsidRPr="004E13E9">
        <w:rPr>
          <w:b/>
          <w:i/>
          <w:lang w:val="fr-FR" w:eastAsia="en-GB"/>
        </w:rPr>
        <w:lastRenderedPageBreak/>
        <w:t>OBSERVATEURS DE PARTIES, ENTITÉS, ENTITÉS DE PÊCHE NON CONTRACTANTES COOPÉRANTES</w:t>
      </w:r>
    </w:p>
    <w:p w14:paraId="641F0F53" w14:textId="77777777" w:rsidR="001D2A18" w:rsidRPr="004E13E9" w:rsidRDefault="001D2A18" w:rsidP="001D2A18">
      <w:pPr>
        <w:jc w:val="both"/>
        <w:rPr>
          <w:lang w:val="fr-FR" w:eastAsia="en-GB"/>
        </w:rPr>
      </w:pPr>
    </w:p>
    <w:p w14:paraId="169BD8B8" w14:textId="77777777" w:rsidR="001D2A18" w:rsidRPr="004E13E9" w:rsidRDefault="001D2A18" w:rsidP="001D2A18">
      <w:pPr>
        <w:rPr>
          <w:lang w:eastAsia="en-GB"/>
        </w:rPr>
      </w:pPr>
      <w:r w:rsidRPr="004E13E9">
        <w:rPr>
          <w:b/>
          <w:lang w:eastAsia="en-GB"/>
        </w:rPr>
        <w:t>TAIPEI CHINOIS</w:t>
      </w:r>
    </w:p>
    <w:p w14:paraId="6E4C4536" w14:textId="77777777" w:rsidR="00D41BB9" w:rsidRPr="004E13E9" w:rsidRDefault="00E95051">
      <w:r w:rsidRPr="004E13E9">
        <w:rPr>
          <w:b/>
          <w:sz w:val="18"/>
        </w:rPr>
        <w:t>Chou</w:t>
      </w:r>
      <w:r w:rsidRPr="004E13E9">
        <w:rPr>
          <w:sz w:val="18"/>
        </w:rPr>
        <w:t>, Shih-Chin</w:t>
      </w:r>
    </w:p>
    <w:p w14:paraId="7F081D5A" w14:textId="77777777" w:rsidR="00D41BB9" w:rsidRPr="004E13E9" w:rsidRDefault="00E95051">
      <w:pPr>
        <w:jc w:val="both"/>
      </w:pPr>
      <w:r w:rsidRPr="004E13E9">
        <w:rPr>
          <w:sz w:val="18"/>
        </w:rPr>
        <w:t>Senior Specialist, Distant Water Fisheries Division, Fisheries Agency, 8F, No. 100, Sec. 2, Heping W. Rd., Zhongzheng Dist., 10060</w:t>
      </w:r>
    </w:p>
    <w:p w14:paraId="755B05E5" w14:textId="77777777" w:rsidR="00D41BB9" w:rsidRPr="004E13E9" w:rsidRDefault="00E95051">
      <w:pPr>
        <w:jc w:val="both"/>
        <w:rPr>
          <w:lang w:val="fr-FR"/>
        </w:rPr>
      </w:pPr>
      <w:r w:rsidRPr="004E13E9">
        <w:rPr>
          <w:sz w:val="18"/>
          <w:lang w:val="fr-FR"/>
        </w:rPr>
        <w:t>Tel: +886 2 2383 5855, Fax: +886 2 2332 7395, E-Mail: chou1967sc@gmail.com; shihcin@ms1.fa.gov.tw</w:t>
      </w:r>
    </w:p>
    <w:p w14:paraId="3FFE1A4D" w14:textId="77777777" w:rsidR="00D41BB9" w:rsidRPr="004E13E9" w:rsidRDefault="00D41BB9">
      <w:pPr>
        <w:rPr>
          <w:lang w:val="fr-FR"/>
        </w:rPr>
      </w:pPr>
    </w:p>
    <w:p w14:paraId="1243DC69" w14:textId="47599DA3" w:rsidR="00D41BB9" w:rsidRPr="004E13E9" w:rsidRDefault="00E95051">
      <w:pPr>
        <w:rPr>
          <w:lang w:val="fr-FR"/>
        </w:rPr>
      </w:pPr>
      <w:r w:rsidRPr="004E13E9">
        <w:rPr>
          <w:b/>
          <w:sz w:val="18"/>
          <w:lang w:val="fr-FR"/>
        </w:rPr>
        <w:t>Su</w:t>
      </w:r>
      <w:r w:rsidRPr="004E13E9">
        <w:rPr>
          <w:sz w:val="18"/>
          <w:lang w:val="fr-FR"/>
        </w:rPr>
        <w:t>, Nan-Jay</w:t>
      </w:r>
      <w:r w:rsidR="00205C7A" w:rsidRPr="004E13E9">
        <w:rPr>
          <w:sz w:val="18"/>
          <w:lang w:val="fr-FR"/>
        </w:rPr>
        <w:t xml:space="preserve"> (</w:t>
      </w:r>
      <w:r w:rsidR="00D40F91" w:rsidRPr="004E13E9">
        <w:rPr>
          <w:sz w:val="18"/>
          <w:lang w:val="fr-FR"/>
        </w:rPr>
        <w:t>en ligne</w:t>
      </w:r>
      <w:r w:rsidR="00205C7A" w:rsidRPr="004E13E9">
        <w:rPr>
          <w:sz w:val="18"/>
          <w:lang w:val="fr-FR"/>
        </w:rPr>
        <w:t>)</w:t>
      </w:r>
    </w:p>
    <w:p w14:paraId="506B52DA" w14:textId="77777777" w:rsidR="00D41BB9" w:rsidRPr="004E13E9" w:rsidRDefault="00E95051">
      <w:pPr>
        <w:jc w:val="both"/>
      </w:pPr>
      <w:r w:rsidRPr="004E13E9">
        <w:rPr>
          <w:sz w:val="18"/>
        </w:rPr>
        <w:t>Associate Professor, Department of Environmental Biology and Fisheries Science, National Taiwan Ocean University, No. 2 Beining Rd., Zhongzheng Dist., 202301 Keelung City</w:t>
      </w:r>
    </w:p>
    <w:p w14:paraId="40566391" w14:textId="77777777" w:rsidR="00D41BB9" w:rsidRPr="004E13E9" w:rsidRDefault="00E95051">
      <w:pPr>
        <w:jc w:val="both"/>
        <w:rPr>
          <w:lang w:val="fr-FR"/>
        </w:rPr>
      </w:pPr>
      <w:r w:rsidRPr="004E13E9">
        <w:rPr>
          <w:sz w:val="18"/>
          <w:lang w:val="fr-FR"/>
        </w:rPr>
        <w:t>Tel: +886 2 2462 2192 #5046, Fax: +886-2-24622192, E-Mail: nanjay@ntou.edu.tw</w:t>
      </w:r>
    </w:p>
    <w:p w14:paraId="4D367A81" w14:textId="77777777" w:rsidR="00D41BB9" w:rsidRPr="004E13E9" w:rsidRDefault="00D41BB9">
      <w:pPr>
        <w:rPr>
          <w:lang w:val="fr-FR"/>
        </w:rPr>
      </w:pPr>
    </w:p>
    <w:p w14:paraId="3E0695FB" w14:textId="51381CF5" w:rsidR="00D41BB9" w:rsidRPr="004E13E9" w:rsidRDefault="00E95051">
      <w:pPr>
        <w:rPr>
          <w:lang w:val="fr-FR"/>
        </w:rPr>
      </w:pPr>
      <w:r w:rsidRPr="004E13E9">
        <w:rPr>
          <w:b/>
          <w:sz w:val="18"/>
          <w:lang w:val="fr-FR"/>
        </w:rPr>
        <w:t>Sung</w:t>
      </w:r>
      <w:r w:rsidRPr="004E13E9">
        <w:rPr>
          <w:sz w:val="18"/>
          <w:lang w:val="fr-FR"/>
        </w:rPr>
        <w:t>, Yueh-Feng</w:t>
      </w:r>
      <w:r w:rsidR="00205C7A" w:rsidRPr="004E13E9">
        <w:rPr>
          <w:sz w:val="18"/>
          <w:lang w:val="fr-FR"/>
        </w:rPr>
        <w:t xml:space="preserve"> (</w:t>
      </w:r>
      <w:r w:rsidR="00D40F91" w:rsidRPr="004E13E9">
        <w:rPr>
          <w:sz w:val="18"/>
          <w:lang w:val="fr-FR"/>
        </w:rPr>
        <w:t>en ligne</w:t>
      </w:r>
      <w:r w:rsidR="00205C7A" w:rsidRPr="004E13E9">
        <w:rPr>
          <w:sz w:val="18"/>
          <w:lang w:val="fr-FR"/>
        </w:rPr>
        <w:t>)</w:t>
      </w:r>
    </w:p>
    <w:p w14:paraId="1DB4A656" w14:textId="77777777" w:rsidR="00D41BB9" w:rsidRPr="004E13E9" w:rsidRDefault="00E95051">
      <w:pPr>
        <w:jc w:val="both"/>
      </w:pPr>
      <w:r w:rsidRPr="004E13E9">
        <w:rPr>
          <w:sz w:val="18"/>
        </w:rPr>
        <w:t>Researcher, Department of Environmental Biology and Fisheries Science, National Taiwan Ocean University, No.2, Beining Rd., Zhongzheng Dist., 202301 Keelung City</w:t>
      </w:r>
    </w:p>
    <w:p w14:paraId="365DF727" w14:textId="77777777" w:rsidR="00D41BB9" w:rsidRPr="004E13E9" w:rsidRDefault="00E95051">
      <w:pPr>
        <w:jc w:val="both"/>
      </w:pPr>
      <w:r w:rsidRPr="004E13E9">
        <w:rPr>
          <w:sz w:val="18"/>
        </w:rPr>
        <w:t>Tel: +886 2 246 22192, Fax: +886 2 246 33920, E-Mail: yuehfeng85@gmail.com</w:t>
      </w:r>
    </w:p>
    <w:p w14:paraId="4DDF58B3" w14:textId="77777777" w:rsidR="00D41BB9" w:rsidRPr="004E13E9" w:rsidRDefault="00D41BB9"/>
    <w:p w14:paraId="0C5ABA73" w14:textId="77777777" w:rsidR="00D41BB9" w:rsidRPr="004E13E9" w:rsidRDefault="00E95051">
      <w:r w:rsidRPr="004E13E9">
        <w:rPr>
          <w:b/>
          <w:sz w:val="18"/>
        </w:rPr>
        <w:t>Yang</w:t>
      </w:r>
      <w:r w:rsidRPr="004E13E9">
        <w:rPr>
          <w:sz w:val="18"/>
        </w:rPr>
        <w:t>, Shan-Wen</w:t>
      </w:r>
    </w:p>
    <w:p w14:paraId="0FAF8514" w14:textId="77777777" w:rsidR="00D41BB9" w:rsidRPr="004E13E9" w:rsidRDefault="00E95051">
      <w:pPr>
        <w:jc w:val="both"/>
      </w:pPr>
      <w:r w:rsidRPr="004E13E9">
        <w:rPr>
          <w:sz w:val="18"/>
        </w:rPr>
        <w:t xml:space="preserve">Secretary, Overseas Fisheries Development Council, 3F, No. 14, Wenzhou Street, </w:t>
      </w:r>
      <w:proofErr w:type="spellStart"/>
      <w:r w:rsidRPr="004E13E9">
        <w:rPr>
          <w:sz w:val="18"/>
        </w:rPr>
        <w:t>Da'an</w:t>
      </w:r>
      <w:proofErr w:type="spellEnd"/>
      <w:r w:rsidRPr="004E13E9">
        <w:rPr>
          <w:sz w:val="18"/>
        </w:rPr>
        <w:t xml:space="preserve"> Dist., 10648</w:t>
      </w:r>
    </w:p>
    <w:p w14:paraId="5B9105B0" w14:textId="77777777" w:rsidR="00D41BB9" w:rsidRPr="004E13E9" w:rsidRDefault="00E95051">
      <w:pPr>
        <w:jc w:val="both"/>
        <w:rPr>
          <w:lang w:val="fr-FR"/>
        </w:rPr>
      </w:pPr>
      <w:r w:rsidRPr="004E13E9">
        <w:rPr>
          <w:sz w:val="18"/>
          <w:lang w:val="fr-FR"/>
        </w:rPr>
        <w:t>Tel: +886 2 2368 0889 #151, Fax: +886 2 2368 6418, E-Mail: shenwen@ofdc.org.tw</w:t>
      </w:r>
    </w:p>
    <w:p w14:paraId="65941E55" w14:textId="77777777" w:rsidR="00D41BB9" w:rsidRPr="004E13E9" w:rsidRDefault="00D41BB9">
      <w:pPr>
        <w:rPr>
          <w:lang w:val="fr-FR"/>
        </w:rPr>
      </w:pPr>
    </w:p>
    <w:p w14:paraId="1B62C0FB" w14:textId="77777777" w:rsidR="00D41BB9" w:rsidRPr="004E13E9" w:rsidRDefault="00D41BB9">
      <w:pPr>
        <w:rPr>
          <w:lang w:val="fr-FR"/>
        </w:rPr>
      </w:pPr>
    </w:p>
    <w:p w14:paraId="52EE6447" w14:textId="77777777" w:rsidR="00D51B8D" w:rsidRPr="004E13E9" w:rsidRDefault="00D51B8D" w:rsidP="00D51B8D">
      <w:pPr>
        <w:jc w:val="both"/>
        <w:rPr>
          <w:lang w:val="fr-FR" w:eastAsia="en-GB"/>
        </w:rPr>
      </w:pPr>
      <w:r w:rsidRPr="004E13E9">
        <w:rPr>
          <w:b/>
          <w:i/>
          <w:lang w:val="fr-FR" w:eastAsia="en-GB"/>
        </w:rPr>
        <w:t>OBSERVATEURS D’ORGANISATIONS NON GOUVERNEMENTALES</w:t>
      </w:r>
    </w:p>
    <w:p w14:paraId="2785B7D3" w14:textId="77777777" w:rsidR="00D41BB9" w:rsidRPr="004E13E9" w:rsidRDefault="00D41BB9">
      <w:pPr>
        <w:rPr>
          <w:lang w:val="fr-FR"/>
        </w:rPr>
      </w:pPr>
    </w:p>
    <w:p w14:paraId="4FE9EE65" w14:textId="26A241C8" w:rsidR="00D41BB9" w:rsidRPr="004E13E9" w:rsidRDefault="00E95051">
      <w:r w:rsidRPr="004E13E9">
        <w:rPr>
          <w:b/>
        </w:rPr>
        <w:t>ECOLOGY ACTION CENTRE</w:t>
      </w:r>
    </w:p>
    <w:p w14:paraId="5C6B833D" w14:textId="6C37686D" w:rsidR="00D41BB9" w:rsidRPr="004E13E9" w:rsidRDefault="00E95051">
      <w:proofErr w:type="spellStart"/>
      <w:r w:rsidRPr="004E13E9">
        <w:rPr>
          <w:b/>
          <w:sz w:val="18"/>
        </w:rPr>
        <w:t>Isnor</w:t>
      </w:r>
      <w:proofErr w:type="spellEnd"/>
      <w:r w:rsidRPr="004E13E9">
        <w:rPr>
          <w:sz w:val="18"/>
        </w:rPr>
        <w:t>, Holly</w:t>
      </w:r>
      <w:r w:rsidR="00205C7A" w:rsidRPr="004E13E9">
        <w:rPr>
          <w:sz w:val="18"/>
        </w:rPr>
        <w:t xml:space="preserve"> (</w:t>
      </w:r>
      <w:proofErr w:type="spellStart"/>
      <w:r w:rsidR="00D40F91" w:rsidRPr="004E13E9">
        <w:rPr>
          <w:sz w:val="18"/>
        </w:rPr>
        <w:t>en</w:t>
      </w:r>
      <w:proofErr w:type="spellEnd"/>
      <w:r w:rsidR="00D40F91" w:rsidRPr="004E13E9">
        <w:rPr>
          <w:sz w:val="18"/>
        </w:rPr>
        <w:t xml:space="preserve"> </w:t>
      </w:r>
      <w:proofErr w:type="spellStart"/>
      <w:r w:rsidR="00D40F91" w:rsidRPr="004E13E9">
        <w:rPr>
          <w:sz w:val="18"/>
        </w:rPr>
        <w:t>ligne</w:t>
      </w:r>
      <w:proofErr w:type="spellEnd"/>
      <w:r w:rsidR="00205C7A" w:rsidRPr="004E13E9">
        <w:rPr>
          <w:sz w:val="18"/>
        </w:rPr>
        <w:t>)</w:t>
      </w:r>
    </w:p>
    <w:p w14:paraId="2396A03E" w14:textId="705DD886" w:rsidR="00D41BB9" w:rsidRPr="004E13E9" w:rsidRDefault="00E95051">
      <w:pPr>
        <w:jc w:val="both"/>
      </w:pPr>
      <w:r w:rsidRPr="004E13E9">
        <w:rPr>
          <w:sz w:val="18"/>
        </w:rPr>
        <w:t>Ecology Action Centre - EAC, 2705 Fern Lane, Halifax Nova Scotia B3K 4L3, C</w:t>
      </w:r>
      <w:r w:rsidR="00205C7A" w:rsidRPr="004E13E9">
        <w:rPr>
          <w:sz w:val="18"/>
        </w:rPr>
        <w:t>anada</w:t>
      </w:r>
    </w:p>
    <w:p w14:paraId="648E1F45" w14:textId="77777777" w:rsidR="00D41BB9" w:rsidRPr="004E13E9" w:rsidRDefault="00E95051">
      <w:pPr>
        <w:jc w:val="both"/>
        <w:rPr>
          <w:lang w:val="pt-PT"/>
        </w:rPr>
      </w:pPr>
      <w:r w:rsidRPr="004E13E9">
        <w:rPr>
          <w:sz w:val="18"/>
          <w:lang w:val="pt-PT"/>
        </w:rPr>
        <w:t>Tel: +1 902 580 0600, E-Mail: hollyisnor@ecologyaction.ca</w:t>
      </w:r>
    </w:p>
    <w:p w14:paraId="3B529579" w14:textId="77777777" w:rsidR="00D41BB9" w:rsidRPr="004E13E9" w:rsidRDefault="00D41BB9">
      <w:pPr>
        <w:rPr>
          <w:lang w:val="pt-PT"/>
        </w:rPr>
      </w:pPr>
    </w:p>
    <w:p w14:paraId="6A3D2303" w14:textId="77777777" w:rsidR="00D41BB9" w:rsidRPr="004E13E9" w:rsidRDefault="00E95051">
      <w:r w:rsidRPr="004E13E9">
        <w:rPr>
          <w:b/>
        </w:rPr>
        <w:t>FEDERATION OF EUROPEAN AQUACULTURE PRODUCERS - FEAP</w:t>
      </w:r>
    </w:p>
    <w:p w14:paraId="4675250C" w14:textId="7D9F4E3C" w:rsidR="00D41BB9" w:rsidRPr="004E13E9" w:rsidRDefault="00E95051">
      <w:r w:rsidRPr="004E13E9">
        <w:rPr>
          <w:b/>
          <w:sz w:val="18"/>
        </w:rPr>
        <w:t>Gouder</w:t>
      </w:r>
      <w:r w:rsidRPr="004E13E9">
        <w:rPr>
          <w:sz w:val="18"/>
        </w:rPr>
        <w:t>, Charlon</w:t>
      </w:r>
      <w:r w:rsidR="00205C7A" w:rsidRPr="004E13E9">
        <w:rPr>
          <w:sz w:val="18"/>
        </w:rPr>
        <w:t xml:space="preserve"> </w:t>
      </w:r>
      <w:r w:rsidR="00205C7A" w:rsidRPr="004E13E9">
        <w:rPr>
          <w:sz w:val="18"/>
          <w:vertAlign w:val="superscript"/>
        </w:rPr>
        <w:t>1</w:t>
      </w:r>
    </w:p>
    <w:p w14:paraId="171B19F9" w14:textId="715F7474" w:rsidR="00D41BB9" w:rsidRPr="004E13E9" w:rsidRDefault="00E95051">
      <w:pPr>
        <w:jc w:val="both"/>
      </w:pPr>
      <w:r w:rsidRPr="004E13E9">
        <w:rPr>
          <w:sz w:val="18"/>
        </w:rPr>
        <w:t>Head of the Federation of Maltese Aquaculture Producers, FEDERATION OF EUROPEAN AQUACULTURE PRODUCERS, 1000 Brussels, B</w:t>
      </w:r>
      <w:r w:rsidR="00205C7A" w:rsidRPr="004E13E9">
        <w:rPr>
          <w:sz w:val="18"/>
        </w:rPr>
        <w:t>elgium</w:t>
      </w:r>
    </w:p>
    <w:p w14:paraId="05C02C6B" w14:textId="77777777" w:rsidR="00D41BB9" w:rsidRPr="004E13E9" w:rsidRDefault="00D41BB9"/>
    <w:p w14:paraId="3874B8DF" w14:textId="77777777" w:rsidR="00D41BB9" w:rsidRPr="004E13E9" w:rsidRDefault="00E95051">
      <w:r w:rsidRPr="004E13E9">
        <w:rPr>
          <w:b/>
        </w:rPr>
        <w:t>FEDERATION OF MALTESE AQUACULTURE PRODUCERS – FMAP</w:t>
      </w:r>
    </w:p>
    <w:p w14:paraId="70E51F19" w14:textId="77777777" w:rsidR="00D41BB9" w:rsidRPr="004E13E9" w:rsidRDefault="00E95051">
      <w:pPr>
        <w:rPr>
          <w:lang w:val="fr-FR"/>
        </w:rPr>
      </w:pPr>
      <w:r w:rsidRPr="004E13E9">
        <w:rPr>
          <w:b/>
          <w:sz w:val="18"/>
          <w:lang w:val="fr-FR"/>
        </w:rPr>
        <w:t>Camilleri</w:t>
      </w:r>
      <w:r w:rsidRPr="004E13E9">
        <w:rPr>
          <w:sz w:val="18"/>
          <w:lang w:val="fr-FR"/>
        </w:rPr>
        <w:t>, Tristan Charles</w:t>
      </w:r>
    </w:p>
    <w:p w14:paraId="20E6E4FD" w14:textId="58905099" w:rsidR="00D41BB9" w:rsidRPr="004E13E9" w:rsidRDefault="00E95051">
      <w:pPr>
        <w:jc w:val="both"/>
        <w:rPr>
          <w:lang w:val="fr-FR"/>
        </w:rPr>
      </w:pPr>
      <w:r w:rsidRPr="004E13E9">
        <w:rPr>
          <w:sz w:val="18"/>
          <w:lang w:val="fr-FR"/>
        </w:rPr>
        <w:t>AQUACULTURE RESOURCES LTD, 157 Grand Central Offices, 1440 Valetta, M</w:t>
      </w:r>
      <w:r w:rsidR="00205C7A" w:rsidRPr="004E13E9">
        <w:rPr>
          <w:sz w:val="18"/>
          <w:lang w:val="fr-FR"/>
        </w:rPr>
        <w:t>alta</w:t>
      </w:r>
    </w:p>
    <w:p w14:paraId="54EB8EC2" w14:textId="77777777" w:rsidR="00D41BB9" w:rsidRPr="004E13E9" w:rsidRDefault="00E95051">
      <w:pPr>
        <w:jc w:val="both"/>
        <w:rPr>
          <w:lang w:val="pt-PT"/>
        </w:rPr>
      </w:pPr>
      <w:r w:rsidRPr="004E13E9">
        <w:rPr>
          <w:sz w:val="18"/>
          <w:lang w:val="pt-PT"/>
        </w:rPr>
        <w:t>Tel: +356 229 26900; +356 994 30518, E-Mail: tc@aquacultureresources.com</w:t>
      </w:r>
    </w:p>
    <w:p w14:paraId="6BD081F0" w14:textId="77777777" w:rsidR="00D41BB9" w:rsidRPr="004E13E9" w:rsidRDefault="00D41BB9">
      <w:pPr>
        <w:rPr>
          <w:lang w:val="pt-PT"/>
        </w:rPr>
      </w:pPr>
    </w:p>
    <w:p w14:paraId="3915CFBF" w14:textId="77777777" w:rsidR="00D41BB9" w:rsidRPr="00C712A4" w:rsidRDefault="00E95051">
      <w:r w:rsidRPr="00C712A4">
        <w:rPr>
          <w:b/>
        </w:rPr>
        <w:t>MARINE STEWARDSHIP COUNCIL - MSC</w:t>
      </w:r>
    </w:p>
    <w:p w14:paraId="14CF9A19" w14:textId="4219C880" w:rsidR="00D41BB9" w:rsidRPr="004E13E9" w:rsidRDefault="00E95051">
      <w:pPr>
        <w:rPr>
          <w:lang w:val="es-ES"/>
        </w:rPr>
      </w:pPr>
      <w:r w:rsidRPr="004E13E9">
        <w:rPr>
          <w:b/>
          <w:sz w:val="18"/>
          <w:lang w:val="es-ES"/>
        </w:rPr>
        <w:t>Agujetas</w:t>
      </w:r>
      <w:r w:rsidRPr="004E13E9">
        <w:rPr>
          <w:sz w:val="18"/>
          <w:lang w:val="es-ES"/>
        </w:rPr>
        <w:t>, Julio</w:t>
      </w:r>
      <w:r w:rsidR="00205C7A" w:rsidRPr="004E13E9">
        <w:rPr>
          <w:sz w:val="18"/>
          <w:lang w:val="es-ES"/>
        </w:rPr>
        <w:t xml:space="preserve"> </w:t>
      </w:r>
      <w:r w:rsidR="00205C7A" w:rsidRPr="004E13E9">
        <w:rPr>
          <w:sz w:val="18"/>
          <w:vertAlign w:val="superscript"/>
          <w:lang w:val="es-ES"/>
        </w:rPr>
        <w:t xml:space="preserve">1 </w:t>
      </w:r>
      <w:r w:rsidR="00205C7A" w:rsidRPr="004E13E9">
        <w:rPr>
          <w:sz w:val="18"/>
          <w:lang w:val="es-ES"/>
        </w:rPr>
        <w:t>(</w:t>
      </w:r>
      <w:r w:rsidR="00D40F91" w:rsidRPr="004E13E9">
        <w:rPr>
          <w:sz w:val="18"/>
          <w:lang w:val="es-ES"/>
        </w:rPr>
        <w:t xml:space="preserve">en </w:t>
      </w:r>
      <w:proofErr w:type="spellStart"/>
      <w:r w:rsidR="00D40F91" w:rsidRPr="004E13E9">
        <w:rPr>
          <w:sz w:val="18"/>
          <w:lang w:val="es-ES"/>
        </w:rPr>
        <w:t>ligne</w:t>
      </w:r>
      <w:proofErr w:type="spellEnd"/>
      <w:r w:rsidR="00205C7A" w:rsidRPr="004E13E9">
        <w:rPr>
          <w:sz w:val="18"/>
          <w:lang w:val="es-ES"/>
        </w:rPr>
        <w:t>)</w:t>
      </w:r>
    </w:p>
    <w:p w14:paraId="7B575E09" w14:textId="36AA4217" w:rsidR="00D41BB9" w:rsidRPr="004E13E9" w:rsidRDefault="00E95051">
      <w:pPr>
        <w:jc w:val="both"/>
        <w:rPr>
          <w:lang w:val="es-ES"/>
        </w:rPr>
      </w:pPr>
      <w:r w:rsidRPr="004E13E9">
        <w:rPr>
          <w:sz w:val="18"/>
          <w:lang w:val="es-ES"/>
        </w:rPr>
        <w:t>MSC, 28020 Madrid, E</w:t>
      </w:r>
      <w:r w:rsidR="00205C7A" w:rsidRPr="004E13E9">
        <w:rPr>
          <w:sz w:val="18"/>
          <w:lang w:val="es-ES"/>
        </w:rPr>
        <w:t>spaña</w:t>
      </w:r>
    </w:p>
    <w:p w14:paraId="61BF7EDF" w14:textId="77777777" w:rsidR="00D41BB9" w:rsidRPr="004E13E9" w:rsidRDefault="00D41BB9">
      <w:pPr>
        <w:rPr>
          <w:lang w:val="es-ES"/>
        </w:rPr>
      </w:pPr>
    </w:p>
    <w:p w14:paraId="0A7317BE" w14:textId="60484EF4" w:rsidR="00D41BB9" w:rsidRPr="004E13E9" w:rsidRDefault="00E95051">
      <w:pPr>
        <w:rPr>
          <w:lang w:val="es-ES"/>
        </w:rPr>
      </w:pPr>
      <w:r w:rsidRPr="004E13E9">
        <w:rPr>
          <w:b/>
          <w:sz w:val="18"/>
          <w:lang w:val="es-ES"/>
        </w:rPr>
        <w:t>Moniz</w:t>
      </w:r>
      <w:r w:rsidRPr="004E13E9">
        <w:rPr>
          <w:sz w:val="18"/>
          <w:lang w:val="es-ES"/>
        </w:rPr>
        <w:t>, Isadora</w:t>
      </w:r>
      <w:r w:rsidR="00205C7A" w:rsidRPr="004E13E9">
        <w:rPr>
          <w:sz w:val="18"/>
          <w:lang w:val="es-ES"/>
        </w:rPr>
        <w:t xml:space="preserve"> (</w:t>
      </w:r>
      <w:r w:rsidR="00D40F91" w:rsidRPr="004E13E9">
        <w:rPr>
          <w:sz w:val="18"/>
          <w:lang w:val="es-ES"/>
        </w:rPr>
        <w:t xml:space="preserve">en </w:t>
      </w:r>
      <w:proofErr w:type="spellStart"/>
      <w:r w:rsidR="00D40F91" w:rsidRPr="004E13E9">
        <w:rPr>
          <w:sz w:val="18"/>
          <w:lang w:val="es-ES"/>
        </w:rPr>
        <w:t>ligne</w:t>
      </w:r>
      <w:proofErr w:type="spellEnd"/>
      <w:r w:rsidR="00205C7A" w:rsidRPr="004E13E9">
        <w:rPr>
          <w:sz w:val="18"/>
          <w:lang w:val="es-ES"/>
        </w:rPr>
        <w:t>)</w:t>
      </w:r>
    </w:p>
    <w:p w14:paraId="7C62889F" w14:textId="30F4E4B3" w:rsidR="00D41BB9" w:rsidRPr="004E13E9" w:rsidRDefault="00E95051">
      <w:pPr>
        <w:jc w:val="both"/>
        <w:rPr>
          <w:lang w:val="es-ES"/>
        </w:rPr>
      </w:pPr>
      <w:r w:rsidRPr="004E13E9">
        <w:rPr>
          <w:sz w:val="18"/>
          <w:lang w:val="es-ES"/>
        </w:rPr>
        <w:t>Marine Stewardship Council - MSC, General Perón, 22 – 2º D, 28001 Madrid, E</w:t>
      </w:r>
      <w:r w:rsidR="00205C7A" w:rsidRPr="004E13E9">
        <w:rPr>
          <w:sz w:val="18"/>
          <w:lang w:val="es-ES"/>
        </w:rPr>
        <w:t>spaña</w:t>
      </w:r>
    </w:p>
    <w:p w14:paraId="6B20293B" w14:textId="77777777" w:rsidR="00D41BB9" w:rsidRPr="004E13E9" w:rsidRDefault="00E95051">
      <w:pPr>
        <w:jc w:val="both"/>
        <w:rPr>
          <w:lang w:val="pt-PT"/>
        </w:rPr>
      </w:pPr>
      <w:r w:rsidRPr="004E13E9">
        <w:rPr>
          <w:sz w:val="18"/>
          <w:lang w:val="pt-PT"/>
        </w:rPr>
        <w:t>Tel: +34 91 831 5963; +34 674 071 053, E-Mail: isadora.moniz@msc.org</w:t>
      </w:r>
    </w:p>
    <w:p w14:paraId="4BDAA4CF" w14:textId="77777777" w:rsidR="00D41BB9" w:rsidRPr="004E13E9" w:rsidRDefault="00D41BB9">
      <w:pPr>
        <w:rPr>
          <w:lang w:val="pt-PT"/>
        </w:rPr>
      </w:pPr>
    </w:p>
    <w:p w14:paraId="1DF17417" w14:textId="584B274A" w:rsidR="00D41BB9" w:rsidRPr="00C712A4" w:rsidRDefault="00E95051">
      <w:pPr>
        <w:rPr>
          <w:lang w:val="fr-FR"/>
        </w:rPr>
      </w:pPr>
      <w:r w:rsidRPr="00C712A4">
        <w:rPr>
          <w:b/>
          <w:lang w:val="fr-FR"/>
        </w:rPr>
        <w:t>PEW CHARITABLE TRUSTS - PEW</w:t>
      </w:r>
    </w:p>
    <w:p w14:paraId="52FF567E" w14:textId="00D62194" w:rsidR="00D41BB9" w:rsidRPr="00C712A4" w:rsidRDefault="00E95051">
      <w:pPr>
        <w:rPr>
          <w:lang w:val="fr-FR"/>
        </w:rPr>
      </w:pPr>
      <w:r w:rsidRPr="00C712A4">
        <w:rPr>
          <w:b/>
          <w:sz w:val="18"/>
          <w:lang w:val="fr-FR"/>
        </w:rPr>
        <w:t>Wozniak</w:t>
      </w:r>
      <w:r w:rsidRPr="00C712A4">
        <w:rPr>
          <w:sz w:val="18"/>
          <w:lang w:val="fr-FR"/>
        </w:rPr>
        <w:t>, Esther</w:t>
      </w:r>
      <w:r w:rsidR="00205C7A" w:rsidRPr="00C712A4">
        <w:rPr>
          <w:sz w:val="18"/>
          <w:lang w:val="fr-FR"/>
        </w:rPr>
        <w:t xml:space="preserve"> (</w:t>
      </w:r>
      <w:r w:rsidR="00D40F91" w:rsidRPr="00C712A4">
        <w:rPr>
          <w:sz w:val="18"/>
          <w:lang w:val="fr-FR"/>
        </w:rPr>
        <w:t>en ligne</w:t>
      </w:r>
      <w:r w:rsidR="00205C7A" w:rsidRPr="00C712A4">
        <w:rPr>
          <w:sz w:val="18"/>
          <w:lang w:val="fr-FR"/>
        </w:rPr>
        <w:t>)</w:t>
      </w:r>
    </w:p>
    <w:p w14:paraId="28A60C32" w14:textId="5A459D64" w:rsidR="00D41BB9" w:rsidRPr="004E13E9" w:rsidRDefault="00E95051">
      <w:pPr>
        <w:jc w:val="both"/>
      </w:pPr>
      <w:r w:rsidRPr="004E13E9">
        <w:rPr>
          <w:sz w:val="18"/>
        </w:rPr>
        <w:t>Pew Charitable Trusts, 901 E Street, NW, Washington DC</w:t>
      </w:r>
      <w:r w:rsidR="009523C8" w:rsidRPr="004E13E9">
        <w:rPr>
          <w:sz w:val="18"/>
        </w:rPr>
        <w:t xml:space="preserve"> </w:t>
      </w:r>
      <w:r w:rsidRPr="004E13E9">
        <w:rPr>
          <w:sz w:val="18"/>
        </w:rPr>
        <w:t xml:space="preserve">20004, </w:t>
      </w:r>
      <w:r w:rsidR="00205C7A" w:rsidRPr="004E13E9">
        <w:rPr>
          <w:sz w:val="18"/>
        </w:rPr>
        <w:t>United States</w:t>
      </w:r>
    </w:p>
    <w:p w14:paraId="052EADA3" w14:textId="77777777" w:rsidR="00D41BB9" w:rsidRPr="004E13E9" w:rsidRDefault="00E95051">
      <w:pPr>
        <w:jc w:val="both"/>
        <w:rPr>
          <w:lang w:val="pt-PT"/>
        </w:rPr>
      </w:pPr>
      <w:r w:rsidRPr="004E13E9">
        <w:rPr>
          <w:sz w:val="18"/>
          <w:lang w:val="pt-PT"/>
        </w:rPr>
        <w:t>Tel: +1 202 540 6588, E-Mail: ewozniak@pewtrusts.org</w:t>
      </w:r>
    </w:p>
    <w:p w14:paraId="6AC80707" w14:textId="77777777" w:rsidR="00D41BB9" w:rsidRPr="004E13E9" w:rsidRDefault="00D41BB9">
      <w:pPr>
        <w:rPr>
          <w:lang w:val="pt-PT"/>
        </w:rPr>
      </w:pPr>
    </w:p>
    <w:p w14:paraId="743C0EFB" w14:textId="77777777" w:rsidR="00205C7A" w:rsidRPr="00C712A4" w:rsidRDefault="00205C7A" w:rsidP="00205C7A">
      <w:pPr>
        <w:rPr>
          <w:lang w:val="fr-FR"/>
        </w:rPr>
      </w:pPr>
      <w:r w:rsidRPr="00C712A4">
        <w:rPr>
          <w:b/>
          <w:lang w:val="fr-FR"/>
        </w:rPr>
        <w:t>SCIAENA</w:t>
      </w:r>
    </w:p>
    <w:p w14:paraId="3F17A440" w14:textId="0411A644" w:rsidR="00205C7A" w:rsidRPr="00C712A4" w:rsidRDefault="00205C7A" w:rsidP="00205C7A">
      <w:pPr>
        <w:rPr>
          <w:lang w:val="fr-FR"/>
        </w:rPr>
      </w:pPr>
      <w:r w:rsidRPr="00C712A4">
        <w:rPr>
          <w:b/>
          <w:sz w:val="18"/>
          <w:lang w:val="fr-FR"/>
        </w:rPr>
        <w:t>Blanc</w:t>
      </w:r>
      <w:r w:rsidRPr="00C712A4">
        <w:rPr>
          <w:sz w:val="18"/>
          <w:lang w:val="fr-FR"/>
        </w:rPr>
        <w:t>, Nicolas (</w:t>
      </w:r>
      <w:r w:rsidR="00D40F91" w:rsidRPr="00C712A4">
        <w:rPr>
          <w:sz w:val="18"/>
          <w:lang w:val="fr-FR"/>
        </w:rPr>
        <w:t>en ligne</w:t>
      </w:r>
      <w:r w:rsidRPr="00C712A4">
        <w:rPr>
          <w:sz w:val="18"/>
          <w:lang w:val="fr-FR"/>
        </w:rPr>
        <w:t>)</w:t>
      </w:r>
    </w:p>
    <w:p w14:paraId="090508D7" w14:textId="77777777" w:rsidR="00205C7A" w:rsidRPr="004E13E9" w:rsidRDefault="00205C7A" w:rsidP="00205C7A">
      <w:pPr>
        <w:jc w:val="both"/>
        <w:rPr>
          <w:lang w:val="pt-PT"/>
        </w:rPr>
      </w:pPr>
      <w:r w:rsidRPr="004E13E9">
        <w:rPr>
          <w:sz w:val="18"/>
          <w:lang w:val="pt-PT"/>
        </w:rPr>
        <w:t>Incubadora de Empresas da Universidade do Algarve, Campus de Gambelas, Pavilhão B1, 8005-226 Faro, Portugal</w:t>
      </w:r>
    </w:p>
    <w:p w14:paraId="2130CE90" w14:textId="77777777" w:rsidR="00205C7A" w:rsidRPr="004E13E9" w:rsidRDefault="00205C7A" w:rsidP="00205C7A">
      <w:pPr>
        <w:jc w:val="both"/>
        <w:rPr>
          <w:lang w:val="pt-PT"/>
        </w:rPr>
      </w:pPr>
      <w:r w:rsidRPr="004E13E9">
        <w:rPr>
          <w:sz w:val="18"/>
          <w:lang w:val="pt-PT"/>
        </w:rPr>
        <w:t>Tel: +351 917 018 720, E-Mail: nblanc@sciaena.org</w:t>
      </w:r>
    </w:p>
    <w:p w14:paraId="71617A72" w14:textId="77777777" w:rsidR="00D51B8D" w:rsidRPr="004E13E9" w:rsidRDefault="00D51B8D">
      <w:pPr>
        <w:rPr>
          <w:b/>
          <w:lang w:val="pt-PT"/>
        </w:rPr>
      </w:pPr>
    </w:p>
    <w:p w14:paraId="16C275F5" w14:textId="163B05FD" w:rsidR="00D41BB9" w:rsidRPr="004E13E9" w:rsidRDefault="00E95051">
      <w:r w:rsidRPr="004E13E9">
        <w:rPr>
          <w:b/>
        </w:rPr>
        <w:t>THE BILLFISH FOUNDATION - TBF</w:t>
      </w:r>
    </w:p>
    <w:p w14:paraId="3D33E663" w14:textId="6C22EAC1" w:rsidR="00D41BB9" w:rsidRPr="004E13E9" w:rsidRDefault="00E95051">
      <w:proofErr w:type="spellStart"/>
      <w:r w:rsidRPr="004E13E9">
        <w:rPr>
          <w:b/>
          <w:sz w:val="18"/>
        </w:rPr>
        <w:t>DePersenaire</w:t>
      </w:r>
      <w:proofErr w:type="spellEnd"/>
      <w:r w:rsidRPr="004E13E9">
        <w:rPr>
          <w:sz w:val="18"/>
        </w:rPr>
        <w:t>, John</w:t>
      </w:r>
      <w:r w:rsidR="00205C7A" w:rsidRPr="004E13E9">
        <w:rPr>
          <w:sz w:val="18"/>
        </w:rPr>
        <w:t xml:space="preserve"> (</w:t>
      </w:r>
      <w:proofErr w:type="spellStart"/>
      <w:r w:rsidR="00D40F91" w:rsidRPr="004E13E9">
        <w:rPr>
          <w:sz w:val="18"/>
        </w:rPr>
        <w:t>en</w:t>
      </w:r>
      <w:proofErr w:type="spellEnd"/>
      <w:r w:rsidR="00D40F91" w:rsidRPr="004E13E9">
        <w:rPr>
          <w:sz w:val="18"/>
        </w:rPr>
        <w:t xml:space="preserve"> </w:t>
      </w:r>
      <w:proofErr w:type="spellStart"/>
      <w:r w:rsidR="00D40F91" w:rsidRPr="004E13E9">
        <w:rPr>
          <w:sz w:val="18"/>
        </w:rPr>
        <w:t>ligne</w:t>
      </w:r>
      <w:proofErr w:type="spellEnd"/>
      <w:r w:rsidR="00205C7A" w:rsidRPr="004E13E9">
        <w:rPr>
          <w:sz w:val="18"/>
        </w:rPr>
        <w:t>)</w:t>
      </w:r>
    </w:p>
    <w:p w14:paraId="0B1A2827" w14:textId="7D25EDE2" w:rsidR="00D41BB9" w:rsidRPr="004E13E9" w:rsidRDefault="00E95051">
      <w:pPr>
        <w:jc w:val="both"/>
      </w:pPr>
      <w:r w:rsidRPr="004E13E9">
        <w:rPr>
          <w:sz w:val="18"/>
        </w:rPr>
        <w:t>The Billfish Foundation, 5738 N Route 9, New Gretna, NJ</w:t>
      </w:r>
      <w:r w:rsidR="009523C8" w:rsidRPr="004E13E9">
        <w:rPr>
          <w:sz w:val="18"/>
        </w:rPr>
        <w:t xml:space="preserve"> </w:t>
      </w:r>
      <w:r w:rsidRPr="004E13E9">
        <w:rPr>
          <w:sz w:val="18"/>
        </w:rPr>
        <w:t xml:space="preserve">08224, </w:t>
      </w:r>
      <w:r w:rsidR="00205C7A" w:rsidRPr="004E13E9">
        <w:rPr>
          <w:sz w:val="18"/>
        </w:rPr>
        <w:t>United States</w:t>
      </w:r>
    </w:p>
    <w:p w14:paraId="05831EE3" w14:textId="77777777" w:rsidR="00D41BB9" w:rsidRPr="004E13E9" w:rsidRDefault="00E95051">
      <w:pPr>
        <w:jc w:val="both"/>
        <w:rPr>
          <w:lang w:val="pt-PT"/>
        </w:rPr>
      </w:pPr>
      <w:r w:rsidRPr="004E13E9">
        <w:rPr>
          <w:sz w:val="18"/>
          <w:lang w:val="pt-PT"/>
        </w:rPr>
        <w:t>Tel: +1 609 576 4421, E-Mail: jdepersenaire@vikingyachts.com</w:t>
      </w:r>
    </w:p>
    <w:p w14:paraId="43971EF9" w14:textId="77777777" w:rsidR="00D51B8D" w:rsidRPr="004E13E9" w:rsidRDefault="00D51B8D">
      <w:pPr>
        <w:rPr>
          <w:b/>
          <w:sz w:val="18"/>
          <w:lang w:val="pt-PT"/>
        </w:rPr>
      </w:pPr>
      <w:r w:rsidRPr="004E13E9">
        <w:rPr>
          <w:b/>
          <w:sz w:val="18"/>
          <w:lang w:val="pt-PT"/>
        </w:rPr>
        <w:br w:type="page"/>
      </w:r>
    </w:p>
    <w:p w14:paraId="6D9CD606" w14:textId="5DEC0C0C" w:rsidR="00D41BB9" w:rsidRPr="00C712A4" w:rsidRDefault="00E95051">
      <w:pPr>
        <w:rPr>
          <w:lang w:val="fr-FR"/>
        </w:rPr>
      </w:pPr>
      <w:r w:rsidRPr="00C712A4">
        <w:rPr>
          <w:b/>
          <w:sz w:val="18"/>
          <w:lang w:val="fr-FR"/>
        </w:rPr>
        <w:lastRenderedPageBreak/>
        <w:t>Weber</w:t>
      </w:r>
      <w:r w:rsidRPr="00C712A4">
        <w:rPr>
          <w:sz w:val="18"/>
          <w:lang w:val="fr-FR"/>
        </w:rPr>
        <w:t>, Richard</w:t>
      </w:r>
      <w:r w:rsidR="00205C7A" w:rsidRPr="00C712A4">
        <w:rPr>
          <w:sz w:val="18"/>
          <w:lang w:val="fr-FR"/>
        </w:rPr>
        <w:t xml:space="preserve"> (</w:t>
      </w:r>
      <w:r w:rsidR="00D40F91" w:rsidRPr="00C712A4">
        <w:rPr>
          <w:sz w:val="18"/>
          <w:lang w:val="fr-FR"/>
        </w:rPr>
        <w:t>en ligne</w:t>
      </w:r>
      <w:r w:rsidR="00205C7A" w:rsidRPr="00C712A4">
        <w:rPr>
          <w:sz w:val="18"/>
          <w:lang w:val="fr-FR"/>
        </w:rPr>
        <w:t>)</w:t>
      </w:r>
    </w:p>
    <w:p w14:paraId="34CB843D" w14:textId="0A892D94" w:rsidR="00D41BB9" w:rsidRPr="004E13E9" w:rsidRDefault="00E95051">
      <w:pPr>
        <w:jc w:val="both"/>
      </w:pPr>
      <w:r w:rsidRPr="004E13E9">
        <w:rPr>
          <w:sz w:val="18"/>
        </w:rPr>
        <w:t>Owner/Operator, South Jersey Marina, 1231 New Jersey 109, Cape May, New Jersey</w:t>
      </w:r>
      <w:r w:rsidR="009523C8" w:rsidRPr="004E13E9">
        <w:rPr>
          <w:sz w:val="18"/>
        </w:rPr>
        <w:t xml:space="preserve"> </w:t>
      </w:r>
      <w:r w:rsidRPr="004E13E9">
        <w:rPr>
          <w:sz w:val="18"/>
        </w:rPr>
        <w:t xml:space="preserve">08204, </w:t>
      </w:r>
      <w:r w:rsidR="00205C7A" w:rsidRPr="004E13E9">
        <w:rPr>
          <w:sz w:val="18"/>
        </w:rPr>
        <w:t>United States</w:t>
      </w:r>
    </w:p>
    <w:p w14:paraId="7E9CECE7" w14:textId="77777777" w:rsidR="00D41BB9" w:rsidRPr="00C712A4" w:rsidRDefault="00E95051">
      <w:pPr>
        <w:jc w:val="both"/>
      </w:pPr>
      <w:r w:rsidRPr="00C712A4">
        <w:rPr>
          <w:sz w:val="18"/>
        </w:rPr>
        <w:t>Tel: +1 609 780 7365, Fax: +1 609 884 0039, E-Mail: rweber@southjerseymarina.com</w:t>
      </w:r>
    </w:p>
    <w:p w14:paraId="65394477" w14:textId="77777777" w:rsidR="00D41BB9" w:rsidRPr="00C712A4" w:rsidRDefault="00D41BB9"/>
    <w:p w14:paraId="61046E75" w14:textId="77777777" w:rsidR="00D41BB9" w:rsidRPr="00C712A4" w:rsidRDefault="00E95051">
      <w:r w:rsidRPr="00C712A4">
        <w:rPr>
          <w:b/>
        </w:rPr>
        <w:t>THE INTERNATIONAL POLE &amp; LINE FOUNDATION - IPNLF</w:t>
      </w:r>
    </w:p>
    <w:p w14:paraId="020E678F" w14:textId="73C62F01" w:rsidR="00D41BB9" w:rsidRPr="00C712A4" w:rsidRDefault="00E95051">
      <w:r w:rsidRPr="00C712A4">
        <w:rPr>
          <w:b/>
          <w:sz w:val="18"/>
        </w:rPr>
        <w:t>Dyer</w:t>
      </w:r>
      <w:r w:rsidRPr="00C712A4">
        <w:rPr>
          <w:sz w:val="18"/>
        </w:rPr>
        <w:t>, Emilia</w:t>
      </w:r>
      <w:r w:rsidR="00205C7A" w:rsidRPr="00C712A4">
        <w:rPr>
          <w:sz w:val="18"/>
        </w:rPr>
        <w:t xml:space="preserve"> (</w:t>
      </w:r>
      <w:proofErr w:type="spellStart"/>
      <w:r w:rsidR="00D40F91" w:rsidRPr="00C712A4">
        <w:rPr>
          <w:sz w:val="18"/>
        </w:rPr>
        <w:t>en</w:t>
      </w:r>
      <w:proofErr w:type="spellEnd"/>
      <w:r w:rsidR="00D40F91" w:rsidRPr="00C712A4">
        <w:rPr>
          <w:sz w:val="18"/>
        </w:rPr>
        <w:t xml:space="preserve"> </w:t>
      </w:r>
      <w:proofErr w:type="spellStart"/>
      <w:r w:rsidR="00D40F91" w:rsidRPr="00C712A4">
        <w:rPr>
          <w:sz w:val="18"/>
        </w:rPr>
        <w:t>ligne</w:t>
      </w:r>
      <w:proofErr w:type="spellEnd"/>
      <w:r w:rsidR="00205C7A" w:rsidRPr="00C712A4">
        <w:rPr>
          <w:sz w:val="18"/>
        </w:rPr>
        <w:t>)</w:t>
      </w:r>
    </w:p>
    <w:p w14:paraId="7DA77F62" w14:textId="5067A71B" w:rsidR="00D41BB9" w:rsidRPr="004E13E9" w:rsidRDefault="00E95051">
      <w:pPr>
        <w:jc w:val="both"/>
      </w:pPr>
      <w:r w:rsidRPr="004E13E9">
        <w:rPr>
          <w:sz w:val="18"/>
        </w:rPr>
        <w:t xml:space="preserve">IPNLF, 2 </w:t>
      </w:r>
      <w:proofErr w:type="spellStart"/>
      <w:r w:rsidRPr="004E13E9">
        <w:rPr>
          <w:sz w:val="18"/>
        </w:rPr>
        <w:t>Chawley</w:t>
      </w:r>
      <w:proofErr w:type="spellEnd"/>
      <w:r w:rsidRPr="004E13E9">
        <w:rPr>
          <w:sz w:val="18"/>
        </w:rPr>
        <w:t xml:space="preserve"> Park, Cumnor Hill, Cumnor, Oxford Oxfordshire OX2 9GG, </w:t>
      </w:r>
      <w:r w:rsidR="00205C7A" w:rsidRPr="004E13E9">
        <w:rPr>
          <w:sz w:val="18"/>
        </w:rPr>
        <w:t>United Kingdom</w:t>
      </w:r>
    </w:p>
    <w:p w14:paraId="1DCED9C7" w14:textId="77777777" w:rsidR="00D41BB9" w:rsidRPr="004E13E9" w:rsidRDefault="00E95051">
      <w:pPr>
        <w:jc w:val="both"/>
        <w:rPr>
          <w:lang w:val="pt-PT"/>
        </w:rPr>
      </w:pPr>
      <w:r w:rsidRPr="004E13E9">
        <w:rPr>
          <w:sz w:val="18"/>
          <w:lang w:val="pt-PT"/>
        </w:rPr>
        <w:t>Tel: +44 745 512 0898, E-Mail: emilia.dyer@ipnlf.org</w:t>
      </w:r>
    </w:p>
    <w:p w14:paraId="2385658F" w14:textId="77777777" w:rsidR="00D41BB9" w:rsidRPr="004E13E9" w:rsidRDefault="00D41BB9">
      <w:pPr>
        <w:rPr>
          <w:lang w:val="pt-PT"/>
        </w:rPr>
      </w:pPr>
    </w:p>
    <w:p w14:paraId="4F95F69D" w14:textId="290C7652" w:rsidR="00D41BB9" w:rsidRPr="004E13E9" w:rsidRDefault="00E95051">
      <w:pPr>
        <w:rPr>
          <w:lang w:val="pt-PT"/>
        </w:rPr>
      </w:pPr>
      <w:r w:rsidRPr="004E13E9">
        <w:rPr>
          <w:b/>
          <w:sz w:val="18"/>
          <w:lang w:val="pt-PT"/>
        </w:rPr>
        <w:t>Perraudeau</w:t>
      </w:r>
      <w:r w:rsidRPr="004E13E9">
        <w:rPr>
          <w:sz w:val="18"/>
          <w:lang w:val="pt-PT"/>
        </w:rPr>
        <w:t>, Maia</w:t>
      </w:r>
      <w:r w:rsidR="00205C7A" w:rsidRPr="004E13E9">
        <w:rPr>
          <w:sz w:val="18"/>
          <w:lang w:val="pt-PT"/>
        </w:rPr>
        <w:t xml:space="preserve"> (</w:t>
      </w:r>
      <w:r w:rsidR="00D40F91" w:rsidRPr="004E13E9">
        <w:rPr>
          <w:sz w:val="18"/>
          <w:lang w:val="pt-PT"/>
        </w:rPr>
        <w:t>en ligne</w:t>
      </w:r>
      <w:r w:rsidR="00205C7A" w:rsidRPr="004E13E9">
        <w:rPr>
          <w:sz w:val="18"/>
          <w:lang w:val="pt-PT"/>
        </w:rPr>
        <w:t>)</w:t>
      </w:r>
    </w:p>
    <w:p w14:paraId="4722D2CE" w14:textId="512FC2F7" w:rsidR="00D41BB9" w:rsidRPr="004E13E9" w:rsidRDefault="00E95051">
      <w:pPr>
        <w:jc w:val="both"/>
        <w:rPr>
          <w:lang w:val="pt-PT"/>
        </w:rPr>
      </w:pPr>
      <w:r w:rsidRPr="004E13E9">
        <w:rPr>
          <w:sz w:val="18"/>
          <w:lang w:val="pt-PT"/>
        </w:rPr>
        <w:t>IPNLF, 2 Chawley Park, Cumnor Hill, Cumnor, Oxford</w:t>
      </w:r>
      <w:r w:rsidR="009523C8" w:rsidRPr="004E13E9">
        <w:rPr>
          <w:sz w:val="18"/>
          <w:lang w:val="pt-PT"/>
        </w:rPr>
        <w:t xml:space="preserve"> </w:t>
      </w:r>
      <w:r w:rsidRPr="004E13E9">
        <w:rPr>
          <w:sz w:val="18"/>
          <w:lang w:val="pt-PT"/>
        </w:rPr>
        <w:t xml:space="preserve">OX2 9GG, </w:t>
      </w:r>
      <w:r w:rsidR="00205C7A" w:rsidRPr="004E13E9">
        <w:rPr>
          <w:sz w:val="18"/>
          <w:lang w:val="pt-PT"/>
        </w:rPr>
        <w:t>United Kingdom</w:t>
      </w:r>
    </w:p>
    <w:p w14:paraId="1DFE06A6" w14:textId="77777777" w:rsidR="00D41BB9" w:rsidRPr="004E13E9" w:rsidRDefault="00E95051">
      <w:pPr>
        <w:jc w:val="both"/>
        <w:rPr>
          <w:lang w:val="pt-PT"/>
        </w:rPr>
      </w:pPr>
      <w:r w:rsidRPr="004E13E9">
        <w:rPr>
          <w:sz w:val="18"/>
          <w:lang w:val="pt-PT"/>
        </w:rPr>
        <w:t>Tel: +39 339 838 6501, E-Mail: maia.perraudeau@ipnlf.org</w:t>
      </w:r>
    </w:p>
    <w:p w14:paraId="3551D1AB" w14:textId="77777777" w:rsidR="00D41BB9" w:rsidRPr="004E13E9" w:rsidRDefault="00D41BB9">
      <w:pPr>
        <w:rPr>
          <w:lang w:val="pt-PT"/>
        </w:rPr>
      </w:pPr>
    </w:p>
    <w:p w14:paraId="1EE54BEA" w14:textId="77777777" w:rsidR="00D41BB9" w:rsidRPr="00C712A4" w:rsidRDefault="00E95051">
      <w:pPr>
        <w:rPr>
          <w:lang w:val="fr-FR"/>
        </w:rPr>
      </w:pPr>
      <w:r w:rsidRPr="00C712A4">
        <w:rPr>
          <w:b/>
          <w:lang w:val="fr-FR"/>
        </w:rPr>
        <w:t>THE OCEAN FOUNDATION</w:t>
      </w:r>
    </w:p>
    <w:p w14:paraId="5D9E0BB9" w14:textId="24570692" w:rsidR="00D41BB9" w:rsidRPr="00C712A4" w:rsidRDefault="00E95051">
      <w:pPr>
        <w:rPr>
          <w:lang w:val="fr-FR"/>
        </w:rPr>
      </w:pPr>
      <w:r w:rsidRPr="00C712A4">
        <w:rPr>
          <w:b/>
          <w:sz w:val="18"/>
          <w:lang w:val="fr-FR"/>
        </w:rPr>
        <w:t>Miller</w:t>
      </w:r>
      <w:r w:rsidRPr="00C712A4">
        <w:rPr>
          <w:sz w:val="18"/>
          <w:lang w:val="fr-FR"/>
        </w:rPr>
        <w:t>, Shana</w:t>
      </w:r>
      <w:r w:rsidR="00205C7A" w:rsidRPr="00C712A4">
        <w:rPr>
          <w:sz w:val="18"/>
          <w:lang w:val="fr-FR"/>
        </w:rPr>
        <w:t xml:space="preserve"> (</w:t>
      </w:r>
      <w:r w:rsidR="00D40F91" w:rsidRPr="00C712A4">
        <w:rPr>
          <w:sz w:val="18"/>
          <w:lang w:val="fr-FR"/>
        </w:rPr>
        <w:t>en ligne</w:t>
      </w:r>
      <w:r w:rsidR="00205C7A" w:rsidRPr="00C712A4">
        <w:rPr>
          <w:sz w:val="18"/>
          <w:lang w:val="fr-FR"/>
        </w:rPr>
        <w:t>)</w:t>
      </w:r>
    </w:p>
    <w:p w14:paraId="1334AF7F" w14:textId="290E3182" w:rsidR="00D41BB9" w:rsidRPr="004E13E9" w:rsidRDefault="00E95051">
      <w:pPr>
        <w:jc w:val="both"/>
      </w:pPr>
      <w:r w:rsidRPr="004E13E9">
        <w:rPr>
          <w:sz w:val="18"/>
        </w:rPr>
        <w:t>The Ocean Foundation, 1320 19th St., NW, 5th Floor, Washington, DC</w:t>
      </w:r>
      <w:r w:rsidR="009523C8" w:rsidRPr="004E13E9">
        <w:rPr>
          <w:sz w:val="18"/>
        </w:rPr>
        <w:t xml:space="preserve"> </w:t>
      </w:r>
      <w:r w:rsidRPr="004E13E9">
        <w:rPr>
          <w:sz w:val="18"/>
        </w:rPr>
        <w:t xml:space="preserve">20036, </w:t>
      </w:r>
      <w:r w:rsidR="00205C7A" w:rsidRPr="004E13E9">
        <w:rPr>
          <w:sz w:val="18"/>
        </w:rPr>
        <w:t>United States</w:t>
      </w:r>
    </w:p>
    <w:p w14:paraId="673D5534" w14:textId="77777777" w:rsidR="00D41BB9" w:rsidRPr="004E13E9" w:rsidRDefault="00E95051">
      <w:pPr>
        <w:jc w:val="both"/>
        <w:rPr>
          <w:lang w:val="pt-PT"/>
        </w:rPr>
      </w:pPr>
      <w:r w:rsidRPr="004E13E9">
        <w:rPr>
          <w:sz w:val="18"/>
          <w:lang w:val="pt-PT"/>
        </w:rPr>
        <w:t>Tel: +1 631 671 1530, E-Mail: smiller@oceanfdn.org</w:t>
      </w:r>
    </w:p>
    <w:p w14:paraId="36FAA354" w14:textId="77777777" w:rsidR="00D41BB9" w:rsidRPr="004E13E9" w:rsidRDefault="00D41BB9">
      <w:pPr>
        <w:rPr>
          <w:lang w:val="pt-PT"/>
        </w:rPr>
      </w:pPr>
    </w:p>
    <w:p w14:paraId="48589586" w14:textId="77777777" w:rsidR="00D41BB9" w:rsidRPr="004E13E9" w:rsidRDefault="00E95051">
      <w:r w:rsidRPr="004E13E9">
        <w:rPr>
          <w:b/>
        </w:rPr>
        <w:t>WORLDWIDE FUND FOR NATURE – WWF</w:t>
      </w:r>
    </w:p>
    <w:p w14:paraId="096CFE83" w14:textId="5CE5570B" w:rsidR="00D41BB9" w:rsidRPr="00C712A4" w:rsidRDefault="00E95051">
      <w:pPr>
        <w:rPr>
          <w:lang w:val="it-IT"/>
        </w:rPr>
      </w:pPr>
      <w:r w:rsidRPr="00C712A4">
        <w:rPr>
          <w:b/>
          <w:sz w:val="18"/>
          <w:lang w:val="it-IT"/>
        </w:rPr>
        <w:t>Buzzi</w:t>
      </w:r>
      <w:r w:rsidRPr="00C712A4">
        <w:rPr>
          <w:sz w:val="18"/>
          <w:lang w:val="it-IT"/>
        </w:rPr>
        <w:t>, Alessandro</w:t>
      </w:r>
      <w:r w:rsidR="00205C7A" w:rsidRPr="00C712A4">
        <w:rPr>
          <w:sz w:val="18"/>
          <w:lang w:val="it-IT"/>
        </w:rPr>
        <w:t xml:space="preserve"> (</w:t>
      </w:r>
      <w:r w:rsidR="00D40F91" w:rsidRPr="00C712A4">
        <w:rPr>
          <w:sz w:val="18"/>
          <w:lang w:val="it-IT"/>
        </w:rPr>
        <w:t xml:space="preserve">en </w:t>
      </w:r>
      <w:proofErr w:type="spellStart"/>
      <w:r w:rsidR="00D40F91" w:rsidRPr="00C712A4">
        <w:rPr>
          <w:sz w:val="18"/>
          <w:lang w:val="it-IT"/>
        </w:rPr>
        <w:t>ligne</w:t>
      </w:r>
      <w:proofErr w:type="spellEnd"/>
      <w:r w:rsidR="00205C7A" w:rsidRPr="00C712A4">
        <w:rPr>
          <w:sz w:val="18"/>
          <w:lang w:val="it-IT"/>
        </w:rPr>
        <w:t>)</w:t>
      </w:r>
    </w:p>
    <w:p w14:paraId="356CB059" w14:textId="3B599048" w:rsidR="00D41BB9" w:rsidRPr="004E13E9" w:rsidRDefault="00E95051">
      <w:pPr>
        <w:jc w:val="both"/>
        <w:rPr>
          <w:lang w:val="it-IT"/>
        </w:rPr>
      </w:pPr>
      <w:r w:rsidRPr="004E13E9">
        <w:rPr>
          <w:sz w:val="18"/>
          <w:lang w:val="it-IT"/>
        </w:rPr>
        <w:t xml:space="preserve">WWF </w:t>
      </w:r>
      <w:proofErr w:type="spellStart"/>
      <w:r w:rsidRPr="004E13E9">
        <w:rPr>
          <w:sz w:val="18"/>
          <w:lang w:val="it-IT"/>
        </w:rPr>
        <w:t>Mediterranean</w:t>
      </w:r>
      <w:proofErr w:type="spellEnd"/>
      <w:r w:rsidRPr="004E13E9">
        <w:rPr>
          <w:sz w:val="18"/>
          <w:lang w:val="it-IT"/>
        </w:rPr>
        <w:t>, Via Po, 25/c, 00198 Roma, I</w:t>
      </w:r>
      <w:r w:rsidR="00205C7A" w:rsidRPr="004E13E9">
        <w:rPr>
          <w:sz w:val="18"/>
          <w:lang w:val="it-IT"/>
        </w:rPr>
        <w:t>taly</w:t>
      </w:r>
    </w:p>
    <w:p w14:paraId="25B6081F" w14:textId="77777777" w:rsidR="00D41BB9" w:rsidRPr="004E13E9" w:rsidRDefault="00E95051">
      <w:pPr>
        <w:jc w:val="both"/>
        <w:rPr>
          <w:lang w:val="fr-FR"/>
        </w:rPr>
      </w:pPr>
      <w:r w:rsidRPr="004E13E9">
        <w:rPr>
          <w:sz w:val="18"/>
          <w:lang w:val="fr-FR"/>
        </w:rPr>
        <w:t>Tel: +39 346 235 7481, Fax: +39 068 413 866, E-Mail: abuzzi@wwfmedpo.org</w:t>
      </w:r>
    </w:p>
    <w:p w14:paraId="5362532B" w14:textId="77777777" w:rsidR="00D41BB9" w:rsidRPr="004E13E9" w:rsidRDefault="00D41BB9">
      <w:pPr>
        <w:rPr>
          <w:lang w:val="fr-FR"/>
        </w:rPr>
      </w:pPr>
    </w:p>
    <w:p w14:paraId="5AA16310" w14:textId="77777777" w:rsidR="009B49E3" w:rsidRPr="004E13E9" w:rsidRDefault="009B49E3" w:rsidP="009B49E3">
      <w:pPr>
        <w:jc w:val="both"/>
        <w:rPr>
          <w:lang w:val="fr-FR" w:eastAsia="en-GB"/>
        </w:rPr>
      </w:pPr>
      <w:r w:rsidRPr="004E13E9">
        <w:rPr>
          <w:b/>
          <w:i/>
          <w:lang w:val="fr-FR" w:eastAsia="en-GB"/>
        </w:rPr>
        <w:t>AUTRES PARTICIPANTS</w:t>
      </w:r>
    </w:p>
    <w:p w14:paraId="7C6253F2" w14:textId="77777777" w:rsidR="009B49E3" w:rsidRPr="004E13E9" w:rsidRDefault="009B49E3" w:rsidP="009B49E3">
      <w:pPr>
        <w:jc w:val="both"/>
        <w:rPr>
          <w:lang w:val="fr-FR" w:eastAsia="en-GB"/>
        </w:rPr>
      </w:pPr>
    </w:p>
    <w:p w14:paraId="633B63C6" w14:textId="77777777" w:rsidR="009B49E3" w:rsidRPr="004E13E9" w:rsidRDefault="009B49E3" w:rsidP="009B49E3">
      <w:pPr>
        <w:jc w:val="both"/>
        <w:rPr>
          <w:b/>
          <w:bCs/>
          <w:lang w:val="fr-FR" w:eastAsia="en-GB"/>
        </w:rPr>
      </w:pPr>
      <w:r w:rsidRPr="004E13E9">
        <w:rPr>
          <w:b/>
          <w:bCs/>
          <w:lang w:val="fr-FR" w:eastAsia="en-GB"/>
        </w:rPr>
        <w:t xml:space="preserve">PRÉSIDENT DU SCRS </w:t>
      </w:r>
    </w:p>
    <w:p w14:paraId="49E35741" w14:textId="4E56CDF4" w:rsidR="008D6E32" w:rsidRPr="004E13E9" w:rsidRDefault="008D6E32" w:rsidP="008D6E32">
      <w:r w:rsidRPr="004E13E9">
        <w:rPr>
          <w:b/>
          <w:sz w:val="18"/>
        </w:rPr>
        <w:t>Brown</w:t>
      </w:r>
      <w:r w:rsidRPr="004E13E9">
        <w:rPr>
          <w:sz w:val="18"/>
        </w:rPr>
        <w:t>, Craig A.</w:t>
      </w:r>
    </w:p>
    <w:p w14:paraId="31973274" w14:textId="68B2FF54" w:rsidR="008D6E32" w:rsidRPr="004E13E9" w:rsidRDefault="008D6E32" w:rsidP="008D6E32">
      <w:pPr>
        <w:jc w:val="both"/>
      </w:pPr>
      <w:r w:rsidRPr="004E13E9">
        <w:rPr>
          <w:sz w:val="18"/>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w:t>
      </w:r>
      <w:r w:rsidR="008D4C97" w:rsidRPr="004E13E9">
        <w:rPr>
          <w:sz w:val="18"/>
        </w:rPr>
        <w:t>, United States</w:t>
      </w:r>
    </w:p>
    <w:p w14:paraId="10775DD1" w14:textId="77777777" w:rsidR="008D6E32" w:rsidRPr="004E13E9" w:rsidRDefault="008D6E32" w:rsidP="008D6E32">
      <w:pPr>
        <w:jc w:val="both"/>
        <w:rPr>
          <w:lang w:val="pt-PT"/>
        </w:rPr>
      </w:pPr>
      <w:r w:rsidRPr="004E13E9">
        <w:rPr>
          <w:sz w:val="18"/>
          <w:lang w:val="pt-PT"/>
        </w:rPr>
        <w:t>Tel: +1 305 586 6589, E-Mail: craig.brown@noaa.gov</w:t>
      </w:r>
    </w:p>
    <w:p w14:paraId="6F5A690A" w14:textId="77777777" w:rsidR="009523C8" w:rsidRPr="004E13E9" w:rsidRDefault="009523C8">
      <w:pPr>
        <w:jc w:val="both"/>
        <w:rPr>
          <w:lang w:val="pt-PT"/>
        </w:rPr>
      </w:pPr>
    </w:p>
    <w:p w14:paraId="132857B9" w14:textId="753EFC39" w:rsidR="008D4C97" w:rsidRPr="004E13E9" w:rsidRDefault="008D4C97">
      <w:pPr>
        <w:jc w:val="both"/>
        <w:rPr>
          <w:b/>
          <w:bCs/>
          <w:lang w:val="fr-FR"/>
        </w:rPr>
      </w:pPr>
      <w:r w:rsidRPr="004E13E9">
        <w:rPr>
          <w:b/>
          <w:bCs/>
          <w:lang w:val="fr-FR"/>
        </w:rPr>
        <w:t>COORDINAT</w:t>
      </w:r>
      <w:r w:rsidR="00A01338" w:rsidRPr="004E13E9">
        <w:rPr>
          <w:b/>
          <w:bCs/>
          <w:lang w:val="fr-FR"/>
        </w:rPr>
        <w:t>EUR DU GROUPE D’ESPÈCES SUR LE GERMON</w:t>
      </w:r>
    </w:p>
    <w:p w14:paraId="09C63433" w14:textId="420464FD" w:rsidR="009523C8" w:rsidRPr="004E13E9" w:rsidRDefault="009523C8" w:rsidP="009523C8">
      <w:pPr>
        <w:rPr>
          <w:lang w:val="fr-FR"/>
        </w:rPr>
      </w:pPr>
      <w:r w:rsidRPr="004E13E9">
        <w:rPr>
          <w:b/>
          <w:sz w:val="18"/>
          <w:lang w:val="fr-FR"/>
        </w:rPr>
        <w:t>Arrizabalaga</w:t>
      </w:r>
      <w:r w:rsidRPr="004E13E9">
        <w:rPr>
          <w:sz w:val="18"/>
          <w:lang w:val="fr-FR"/>
        </w:rPr>
        <w:t>, Haritz</w:t>
      </w:r>
      <w:r w:rsidR="00205C7A" w:rsidRPr="004E13E9">
        <w:rPr>
          <w:sz w:val="18"/>
          <w:lang w:val="fr-FR"/>
        </w:rPr>
        <w:t xml:space="preserve"> (</w:t>
      </w:r>
      <w:r w:rsidR="00D40F91" w:rsidRPr="004E13E9">
        <w:rPr>
          <w:sz w:val="18"/>
          <w:lang w:val="fr-FR"/>
        </w:rPr>
        <w:t>en ligne</w:t>
      </w:r>
      <w:r w:rsidR="00205C7A" w:rsidRPr="004E13E9">
        <w:rPr>
          <w:sz w:val="18"/>
          <w:lang w:val="fr-FR"/>
        </w:rPr>
        <w:t>)</w:t>
      </w:r>
    </w:p>
    <w:p w14:paraId="13CD4A78" w14:textId="30FDE25C" w:rsidR="009523C8" w:rsidRPr="004E13E9" w:rsidRDefault="009523C8" w:rsidP="009523C8">
      <w:pPr>
        <w:jc w:val="both"/>
        <w:rPr>
          <w:lang w:val="fr-FR"/>
        </w:rPr>
      </w:pPr>
      <w:r w:rsidRPr="004E13E9">
        <w:rPr>
          <w:sz w:val="18"/>
          <w:lang w:val="fr-FR"/>
        </w:rPr>
        <w:t xml:space="preserve">Principal </w:t>
      </w:r>
      <w:proofErr w:type="spellStart"/>
      <w:r w:rsidRPr="004E13E9">
        <w:rPr>
          <w:sz w:val="18"/>
          <w:lang w:val="fr-FR"/>
        </w:rPr>
        <w:t>Investigator</w:t>
      </w:r>
      <w:proofErr w:type="spellEnd"/>
      <w:r w:rsidRPr="004E13E9">
        <w:rPr>
          <w:sz w:val="18"/>
          <w:lang w:val="fr-FR"/>
        </w:rPr>
        <w:t xml:space="preserve">, AZTI Marine </w:t>
      </w:r>
      <w:proofErr w:type="spellStart"/>
      <w:r w:rsidRPr="004E13E9">
        <w:rPr>
          <w:sz w:val="18"/>
          <w:lang w:val="fr-FR"/>
        </w:rPr>
        <w:t>Research</w:t>
      </w:r>
      <w:proofErr w:type="spellEnd"/>
      <w:r w:rsidRPr="004E13E9">
        <w:rPr>
          <w:sz w:val="18"/>
          <w:lang w:val="fr-FR"/>
        </w:rPr>
        <w:t xml:space="preserve"> Basque </w:t>
      </w:r>
      <w:proofErr w:type="spellStart"/>
      <w:r w:rsidRPr="004E13E9">
        <w:rPr>
          <w:sz w:val="18"/>
          <w:lang w:val="fr-FR"/>
        </w:rPr>
        <w:t>Research</w:t>
      </w:r>
      <w:proofErr w:type="spellEnd"/>
      <w:r w:rsidRPr="004E13E9">
        <w:rPr>
          <w:sz w:val="18"/>
          <w:lang w:val="fr-FR"/>
        </w:rPr>
        <w:t xml:space="preserve"> and </w:t>
      </w:r>
      <w:proofErr w:type="spellStart"/>
      <w:r w:rsidRPr="004E13E9">
        <w:rPr>
          <w:sz w:val="18"/>
          <w:lang w:val="fr-FR"/>
        </w:rPr>
        <w:t>Technology</w:t>
      </w:r>
      <w:proofErr w:type="spellEnd"/>
      <w:r w:rsidRPr="004E13E9">
        <w:rPr>
          <w:sz w:val="18"/>
          <w:lang w:val="fr-FR"/>
        </w:rPr>
        <w:t xml:space="preserve"> Alliance (BRTA), Herrera Kaia Portualde z/g, 20110 Pasaia, </w:t>
      </w:r>
      <w:proofErr w:type="spellStart"/>
      <w:r w:rsidRPr="004E13E9">
        <w:rPr>
          <w:sz w:val="18"/>
          <w:lang w:val="fr-FR"/>
        </w:rPr>
        <w:t>Gipuzkoa</w:t>
      </w:r>
      <w:proofErr w:type="spellEnd"/>
      <w:r w:rsidRPr="004E13E9">
        <w:rPr>
          <w:sz w:val="18"/>
          <w:lang w:val="fr-FR"/>
        </w:rPr>
        <w:t>, E</w:t>
      </w:r>
      <w:r w:rsidR="008D4C97" w:rsidRPr="004E13E9">
        <w:rPr>
          <w:sz w:val="18"/>
          <w:lang w:val="fr-FR"/>
        </w:rPr>
        <w:t>spaña</w:t>
      </w:r>
    </w:p>
    <w:p w14:paraId="19D262AB" w14:textId="45AE8B13" w:rsidR="009523C8" w:rsidRPr="004E13E9" w:rsidRDefault="009523C8" w:rsidP="009523C8">
      <w:pPr>
        <w:jc w:val="both"/>
        <w:rPr>
          <w:lang w:val="fr-FR"/>
        </w:rPr>
      </w:pPr>
      <w:r w:rsidRPr="004E13E9">
        <w:rPr>
          <w:sz w:val="18"/>
          <w:lang w:val="fr-FR"/>
        </w:rPr>
        <w:t>Tel: +34 94 657 40 00; +34 667 174 477, Fax: +34 94 300 48 01, E-Mail: harri@azti.es</w:t>
      </w:r>
    </w:p>
    <w:p w14:paraId="60D94202" w14:textId="77777777" w:rsidR="009523C8" w:rsidRPr="004E13E9" w:rsidRDefault="009523C8">
      <w:pPr>
        <w:jc w:val="both"/>
        <w:rPr>
          <w:lang w:val="fr-FR"/>
        </w:rPr>
      </w:pPr>
    </w:p>
    <w:p w14:paraId="7AF1C62F" w14:textId="77777777" w:rsidR="00A01338" w:rsidRPr="004E13E9" w:rsidRDefault="00A01338" w:rsidP="00A01338">
      <w:pPr>
        <w:rPr>
          <w:lang w:val="fr-FR" w:eastAsia="en-GB"/>
        </w:rPr>
      </w:pPr>
      <w:r w:rsidRPr="004E13E9">
        <w:rPr>
          <w:b/>
          <w:lang w:val="fr-FR" w:eastAsia="en-GB"/>
        </w:rPr>
        <w:t>INVITÉ DE L’ICCAT</w:t>
      </w:r>
    </w:p>
    <w:p w14:paraId="1CC83940" w14:textId="36CFBB88" w:rsidR="00D41BB9" w:rsidRPr="004E13E9" w:rsidRDefault="00E95051">
      <w:pPr>
        <w:rPr>
          <w:lang w:val="fr-FR"/>
        </w:rPr>
      </w:pPr>
      <w:r w:rsidRPr="004E13E9">
        <w:rPr>
          <w:b/>
          <w:sz w:val="18"/>
          <w:lang w:val="fr-FR"/>
        </w:rPr>
        <w:t>Latkovic</w:t>
      </w:r>
      <w:r w:rsidRPr="004E13E9">
        <w:rPr>
          <w:sz w:val="18"/>
          <w:lang w:val="fr-FR"/>
        </w:rPr>
        <w:t>, Mario</w:t>
      </w:r>
      <w:r w:rsidR="00205C7A" w:rsidRPr="004E13E9">
        <w:rPr>
          <w:sz w:val="18"/>
          <w:lang w:val="fr-FR"/>
        </w:rPr>
        <w:t xml:space="preserve"> (</w:t>
      </w:r>
      <w:r w:rsidR="00D40F91" w:rsidRPr="004E13E9">
        <w:rPr>
          <w:sz w:val="18"/>
          <w:lang w:val="fr-FR"/>
        </w:rPr>
        <w:t>en ligne</w:t>
      </w:r>
      <w:r w:rsidR="00205C7A" w:rsidRPr="004E13E9">
        <w:rPr>
          <w:sz w:val="18"/>
          <w:lang w:val="fr-FR"/>
        </w:rPr>
        <w:t>)</w:t>
      </w:r>
    </w:p>
    <w:p w14:paraId="484908A4" w14:textId="72671971" w:rsidR="00D41BB9" w:rsidRPr="004E13E9" w:rsidRDefault="00E95051">
      <w:pPr>
        <w:jc w:val="both"/>
      </w:pPr>
      <w:r w:rsidRPr="004E13E9">
        <w:rPr>
          <w:sz w:val="18"/>
        </w:rPr>
        <w:t xml:space="preserve">MRAG, 18 Queen St, W1J 5PN London, </w:t>
      </w:r>
      <w:r w:rsidR="00205C7A" w:rsidRPr="004E13E9">
        <w:rPr>
          <w:sz w:val="18"/>
        </w:rPr>
        <w:t>United Kingdom</w:t>
      </w:r>
    </w:p>
    <w:p w14:paraId="34DD64DA" w14:textId="77777777" w:rsidR="00D41BB9" w:rsidRPr="004E13E9" w:rsidRDefault="00E95051">
      <w:pPr>
        <w:jc w:val="both"/>
        <w:rPr>
          <w:lang w:val="pt-PT"/>
        </w:rPr>
      </w:pPr>
      <w:r w:rsidRPr="004E13E9">
        <w:rPr>
          <w:sz w:val="18"/>
          <w:lang w:val="pt-PT"/>
        </w:rPr>
        <w:t>Tel: +385 977 920 714, E-Mail: m.latkovic@mrag.co.uk</w:t>
      </w:r>
    </w:p>
    <w:p w14:paraId="2C72E0E7" w14:textId="77777777" w:rsidR="00D41BB9" w:rsidRPr="004E13E9" w:rsidRDefault="00D41BB9">
      <w:pPr>
        <w:rPr>
          <w:lang w:val="pt-PT"/>
        </w:rPr>
      </w:pPr>
    </w:p>
    <w:p w14:paraId="351BEC6E" w14:textId="77777777" w:rsidR="008D4C97" w:rsidRPr="004E13E9" w:rsidRDefault="008D4C97" w:rsidP="008D4C97">
      <w:pPr>
        <w:widowControl w:val="0"/>
        <w:tabs>
          <w:tab w:val="left" w:pos="90"/>
        </w:tabs>
        <w:autoSpaceDE w:val="0"/>
        <w:autoSpaceDN w:val="0"/>
        <w:adjustRightInd w:val="0"/>
        <w:jc w:val="center"/>
        <w:rPr>
          <w:b/>
          <w:bCs/>
          <w:lang w:val="pt-PT"/>
        </w:rPr>
      </w:pPr>
    </w:p>
    <w:p w14:paraId="2D9892A4" w14:textId="77777777" w:rsidR="006A78AF" w:rsidRPr="004E13E9" w:rsidRDefault="006A78AF" w:rsidP="008D4C97">
      <w:pPr>
        <w:widowControl w:val="0"/>
        <w:tabs>
          <w:tab w:val="left" w:pos="90"/>
        </w:tabs>
        <w:autoSpaceDE w:val="0"/>
        <w:autoSpaceDN w:val="0"/>
        <w:adjustRightInd w:val="0"/>
        <w:jc w:val="center"/>
        <w:rPr>
          <w:b/>
          <w:bCs/>
          <w:lang w:val="pt-PT"/>
        </w:rPr>
      </w:pPr>
    </w:p>
    <w:p w14:paraId="75623D6C" w14:textId="77777777" w:rsidR="001A5F96" w:rsidRPr="004E13E9" w:rsidRDefault="001A5F96" w:rsidP="001A5F96">
      <w:pPr>
        <w:widowControl w:val="0"/>
        <w:tabs>
          <w:tab w:val="left" w:pos="90"/>
        </w:tabs>
        <w:autoSpaceDE w:val="0"/>
        <w:autoSpaceDN w:val="0"/>
        <w:adjustRightInd w:val="0"/>
        <w:jc w:val="center"/>
        <w:rPr>
          <w:b/>
          <w:bCs/>
          <w:lang w:val="fr-FR" w:eastAsia="en-GB"/>
        </w:rPr>
      </w:pPr>
      <w:r w:rsidRPr="004E13E9">
        <w:rPr>
          <w:b/>
          <w:bCs/>
          <w:lang w:val="fr-FR" w:eastAsia="en-GB"/>
        </w:rPr>
        <w:t>*****</w:t>
      </w:r>
    </w:p>
    <w:p w14:paraId="54DB5DC1" w14:textId="77777777" w:rsidR="001A5F96" w:rsidRPr="004E13E9" w:rsidRDefault="001A5F96" w:rsidP="001A5F96">
      <w:pPr>
        <w:widowControl w:val="0"/>
        <w:tabs>
          <w:tab w:val="left" w:pos="90"/>
        </w:tabs>
        <w:autoSpaceDE w:val="0"/>
        <w:autoSpaceDN w:val="0"/>
        <w:adjustRightInd w:val="0"/>
        <w:jc w:val="center"/>
        <w:rPr>
          <w:b/>
          <w:bCs/>
          <w:lang w:val="fr-FR" w:eastAsia="en-GB"/>
        </w:rPr>
      </w:pPr>
    </w:p>
    <w:p w14:paraId="7EA8A953" w14:textId="77777777" w:rsidR="001A5F96" w:rsidRPr="004E13E9" w:rsidRDefault="001A5F96" w:rsidP="001A5F96">
      <w:pPr>
        <w:widowControl w:val="0"/>
        <w:tabs>
          <w:tab w:val="left" w:pos="90"/>
        </w:tabs>
        <w:autoSpaceDE w:val="0"/>
        <w:autoSpaceDN w:val="0"/>
        <w:adjustRightInd w:val="0"/>
        <w:jc w:val="center"/>
        <w:rPr>
          <w:b/>
          <w:bCs/>
          <w:lang w:val="fr-FR" w:eastAsia="en-GB"/>
        </w:rPr>
      </w:pPr>
      <w:r w:rsidRPr="004E13E9">
        <w:rPr>
          <w:b/>
          <w:bCs/>
          <w:lang w:val="fr-FR" w:eastAsia="en-GB"/>
        </w:rPr>
        <w:t>Secrétariat de l’ICCAT</w:t>
      </w:r>
    </w:p>
    <w:p w14:paraId="2774CACB" w14:textId="77777777" w:rsidR="001A5F96" w:rsidRPr="00C712A4" w:rsidRDefault="001A5F96" w:rsidP="001A5F96">
      <w:pPr>
        <w:widowControl w:val="0"/>
        <w:tabs>
          <w:tab w:val="left" w:pos="90"/>
        </w:tabs>
        <w:autoSpaceDE w:val="0"/>
        <w:autoSpaceDN w:val="0"/>
        <w:adjustRightInd w:val="0"/>
        <w:jc w:val="center"/>
        <w:rPr>
          <w:bCs/>
          <w:lang w:val="es-ES" w:eastAsia="en-GB"/>
        </w:rPr>
      </w:pPr>
      <w:r w:rsidRPr="00C712A4">
        <w:rPr>
          <w:bCs/>
          <w:lang w:val="es-ES" w:eastAsia="en-GB"/>
        </w:rPr>
        <w:t xml:space="preserve">C/ Corazón de María 8 – 6e </w:t>
      </w:r>
      <w:proofErr w:type="spellStart"/>
      <w:r w:rsidRPr="00C712A4">
        <w:rPr>
          <w:bCs/>
          <w:lang w:val="es-ES" w:eastAsia="en-GB"/>
        </w:rPr>
        <w:t>étage</w:t>
      </w:r>
      <w:proofErr w:type="spellEnd"/>
      <w:r w:rsidRPr="00C712A4">
        <w:rPr>
          <w:bCs/>
          <w:lang w:val="es-ES" w:eastAsia="en-GB"/>
        </w:rPr>
        <w:t xml:space="preserve">, 28002 Madrid – </w:t>
      </w:r>
      <w:proofErr w:type="spellStart"/>
      <w:r w:rsidRPr="00C712A4">
        <w:rPr>
          <w:bCs/>
          <w:lang w:val="es-ES" w:eastAsia="en-GB"/>
        </w:rPr>
        <w:t>Espagne</w:t>
      </w:r>
      <w:proofErr w:type="spellEnd"/>
    </w:p>
    <w:p w14:paraId="4694881D" w14:textId="77777777" w:rsidR="001A5F96" w:rsidRPr="004E13E9" w:rsidRDefault="001A5F96" w:rsidP="001A5F96">
      <w:pPr>
        <w:widowControl w:val="0"/>
        <w:tabs>
          <w:tab w:val="left" w:pos="90"/>
        </w:tabs>
        <w:autoSpaceDE w:val="0"/>
        <w:autoSpaceDN w:val="0"/>
        <w:adjustRightInd w:val="0"/>
        <w:jc w:val="center"/>
        <w:rPr>
          <w:bCs/>
          <w:lang w:val="fr-FR" w:eastAsia="en-GB"/>
        </w:rPr>
      </w:pPr>
      <w:proofErr w:type="gramStart"/>
      <w:r w:rsidRPr="004E13E9">
        <w:rPr>
          <w:bCs/>
          <w:lang w:val="fr-FR" w:eastAsia="en-GB"/>
        </w:rPr>
        <w:t>Tel:</w:t>
      </w:r>
      <w:proofErr w:type="gramEnd"/>
      <w:r w:rsidRPr="004E13E9">
        <w:rPr>
          <w:bCs/>
          <w:lang w:val="fr-FR" w:eastAsia="en-GB"/>
        </w:rPr>
        <w:t xml:space="preserve"> +34 91 416 56 </w:t>
      </w:r>
      <w:proofErr w:type="gramStart"/>
      <w:r w:rsidRPr="004E13E9">
        <w:rPr>
          <w:bCs/>
          <w:lang w:val="fr-FR" w:eastAsia="en-GB"/>
        </w:rPr>
        <w:t>00;</w:t>
      </w:r>
      <w:proofErr w:type="gramEnd"/>
      <w:r w:rsidRPr="004E13E9">
        <w:rPr>
          <w:bCs/>
          <w:lang w:val="fr-FR" w:eastAsia="en-GB"/>
        </w:rPr>
        <w:t xml:space="preserve"> </w:t>
      </w:r>
      <w:proofErr w:type="gramStart"/>
      <w:r w:rsidRPr="004E13E9">
        <w:rPr>
          <w:bCs/>
          <w:lang w:val="fr-FR" w:eastAsia="en-GB"/>
        </w:rPr>
        <w:t>Fax:</w:t>
      </w:r>
      <w:proofErr w:type="gramEnd"/>
      <w:r w:rsidRPr="004E13E9">
        <w:rPr>
          <w:bCs/>
          <w:lang w:val="fr-FR" w:eastAsia="en-GB"/>
        </w:rPr>
        <w:t xml:space="preserve"> +34 91 415 26 </w:t>
      </w:r>
      <w:proofErr w:type="gramStart"/>
      <w:r w:rsidRPr="004E13E9">
        <w:rPr>
          <w:bCs/>
          <w:lang w:val="fr-FR" w:eastAsia="en-GB"/>
        </w:rPr>
        <w:t>12;</w:t>
      </w:r>
      <w:proofErr w:type="gramEnd"/>
      <w:r w:rsidRPr="004E13E9">
        <w:rPr>
          <w:bCs/>
          <w:lang w:val="fr-FR" w:eastAsia="en-GB"/>
        </w:rPr>
        <w:t xml:space="preserve"> </w:t>
      </w:r>
      <w:proofErr w:type="gramStart"/>
      <w:r w:rsidRPr="004E13E9">
        <w:rPr>
          <w:bCs/>
          <w:lang w:val="fr-FR" w:eastAsia="en-GB"/>
        </w:rPr>
        <w:t>E-mail:</w:t>
      </w:r>
      <w:proofErr w:type="gramEnd"/>
      <w:r w:rsidRPr="004E13E9">
        <w:rPr>
          <w:bCs/>
          <w:lang w:val="fr-FR" w:eastAsia="en-GB"/>
        </w:rPr>
        <w:t xml:space="preserve"> info@iccat.int</w:t>
      </w:r>
    </w:p>
    <w:p w14:paraId="4DCAA2ED" w14:textId="77777777" w:rsidR="00205C7A" w:rsidRPr="004E13E9" w:rsidRDefault="00205C7A">
      <w:pPr>
        <w:rPr>
          <w:lang w:val="fr-FR"/>
        </w:rPr>
      </w:pPr>
    </w:p>
    <w:p w14:paraId="62BB2A4B" w14:textId="77777777" w:rsidR="008D4C97" w:rsidRPr="004E13E9" w:rsidRDefault="008D4C97" w:rsidP="008D4C97">
      <w:pPr>
        <w:rPr>
          <w:b/>
          <w:sz w:val="18"/>
          <w:lang w:val="fr-FR"/>
        </w:rPr>
      </w:pPr>
    </w:p>
    <w:p w14:paraId="6943BFD9" w14:textId="6723C7F7" w:rsidR="008D4C97" w:rsidRPr="004E13E9" w:rsidRDefault="008D4C97" w:rsidP="008D4C97">
      <w:pPr>
        <w:rPr>
          <w:lang w:val="fr-FR"/>
        </w:rPr>
      </w:pPr>
      <w:r w:rsidRPr="004E13E9">
        <w:rPr>
          <w:b/>
          <w:sz w:val="18"/>
          <w:lang w:val="fr-FR"/>
        </w:rPr>
        <w:t>Manel</w:t>
      </w:r>
      <w:r w:rsidRPr="004E13E9">
        <w:rPr>
          <w:sz w:val="18"/>
          <w:lang w:val="fr-FR"/>
        </w:rPr>
        <w:t>, Camille Jean Pierre</w:t>
      </w:r>
    </w:p>
    <w:p w14:paraId="2C268562" w14:textId="77777777" w:rsidR="008D4C97" w:rsidRPr="00C712A4" w:rsidRDefault="008D4C97" w:rsidP="008D4C97">
      <w:pPr>
        <w:rPr>
          <w:lang w:val="es-ES"/>
        </w:rPr>
      </w:pPr>
      <w:r w:rsidRPr="00C712A4">
        <w:rPr>
          <w:b/>
          <w:sz w:val="18"/>
          <w:lang w:val="es-ES"/>
        </w:rPr>
        <w:t>Neves dos Santos</w:t>
      </w:r>
      <w:r w:rsidRPr="00C712A4">
        <w:rPr>
          <w:sz w:val="18"/>
          <w:lang w:val="es-ES"/>
        </w:rPr>
        <w:t>, Miguel</w:t>
      </w:r>
    </w:p>
    <w:p w14:paraId="33C7B514" w14:textId="613BE499" w:rsidR="008D4C97" w:rsidRPr="00C712A4" w:rsidRDefault="008D4C97" w:rsidP="00205C7A">
      <w:pPr>
        <w:rPr>
          <w:bCs/>
          <w:sz w:val="18"/>
          <w:lang w:val="es-ES"/>
        </w:rPr>
      </w:pPr>
      <w:r w:rsidRPr="00C712A4">
        <w:rPr>
          <w:b/>
          <w:sz w:val="18"/>
          <w:lang w:val="es-ES"/>
        </w:rPr>
        <w:t xml:space="preserve">Bonacasa, </w:t>
      </w:r>
      <w:r w:rsidRPr="00C712A4">
        <w:rPr>
          <w:bCs/>
          <w:sz w:val="18"/>
          <w:lang w:val="es-ES"/>
        </w:rPr>
        <w:t xml:space="preserve">María </w:t>
      </w:r>
    </w:p>
    <w:p w14:paraId="75E8A2E6" w14:textId="77777777" w:rsidR="008D4C97" w:rsidRPr="00C712A4" w:rsidRDefault="008D4C97" w:rsidP="008D4C97">
      <w:pPr>
        <w:rPr>
          <w:lang w:val="es-ES"/>
        </w:rPr>
      </w:pPr>
      <w:r w:rsidRPr="00C712A4">
        <w:rPr>
          <w:b/>
          <w:sz w:val="18"/>
          <w:lang w:val="es-ES"/>
        </w:rPr>
        <w:t>Ortiz</w:t>
      </w:r>
      <w:r w:rsidRPr="00C712A4">
        <w:rPr>
          <w:sz w:val="18"/>
          <w:lang w:val="es-ES"/>
        </w:rPr>
        <w:t>, Mauricio</w:t>
      </w:r>
    </w:p>
    <w:p w14:paraId="360EAB59" w14:textId="77777777" w:rsidR="008D4C97" w:rsidRPr="00C712A4" w:rsidRDefault="008D4C97" w:rsidP="008D4C97">
      <w:pPr>
        <w:rPr>
          <w:lang w:val="es-ES"/>
        </w:rPr>
      </w:pPr>
      <w:r w:rsidRPr="00C712A4">
        <w:rPr>
          <w:b/>
          <w:sz w:val="18"/>
          <w:lang w:val="es-ES"/>
        </w:rPr>
        <w:t>Mayor</w:t>
      </w:r>
      <w:r w:rsidRPr="00C712A4">
        <w:rPr>
          <w:sz w:val="18"/>
          <w:lang w:val="es-ES"/>
        </w:rPr>
        <w:t>, Carlos</w:t>
      </w:r>
    </w:p>
    <w:p w14:paraId="30BC6531" w14:textId="77777777" w:rsidR="008D4C97" w:rsidRPr="00C712A4" w:rsidRDefault="008D4C97" w:rsidP="008D4C97">
      <w:pPr>
        <w:rPr>
          <w:lang w:val="es-ES"/>
        </w:rPr>
      </w:pPr>
      <w:r w:rsidRPr="00C712A4">
        <w:rPr>
          <w:b/>
          <w:sz w:val="18"/>
          <w:lang w:val="es-ES"/>
        </w:rPr>
        <w:t>Parrilla Moruno</w:t>
      </w:r>
      <w:r w:rsidRPr="00C712A4">
        <w:rPr>
          <w:sz w:val="18"/>
          <w:lang w:val="es-ES"/>
        </w:rPr>
        <w:t>, Alberto Thais</w:t>
      </w:r>
    </w:p>
    <w:p w14:paraId="26B07A14" w14:textId="77777777" w:rsidR="008D4C97" w:rsidRPr="00C712A4" w:rsidRDefault="008D4C97" w:rsidP="008D4C97">
      <w:pPr>
        <w:rPr>
          <w:lang w:val="es-ES"/>
        </w:rPr>
      </w:pPr>
      <w:r w:rsidRPr="00C712A4">
        <w:rPr>
          <w:b/>
          <w:sz w:val="18"/>
          <w:lang w:val="es-ES"/>
        </w:rPr>
        <w:t>Alemany</w:t>
      </w:r>
      <w:r w:rsidRPr="00C712A4">
        <w:rPr>
          <w:sz w:val="18"/>
          <w:lang w:val="es-ES"/>
        </w:rPr>
        <w:t>, Francisco</w:t>
      </w:r>
    </w:p>
    <w:p w14:paraId="1B559E61" w14:textId="77777777" w:rsidR="008D4C97" w:rsidRPr="00C712A4" w:rsidRDefault="008D4C97" w:rsidP="008D4C97">
      <w:pPr>
        <w:rPr>
          <w:lang w:val="es-ES"/>
        </w:rPr>
      </w:pPr>
      <w:r w:rsidRPr="00C712A4">
        <w:rPr>
          <w:b/>
          <w:sz w:val="18"/>
          <w:lang w:val="es-ES"/>
        </w:rPr>
        <w:t>De Andrés</w:t>
      </w:r>
      <w:r w:rsidRPr="00C712A4">
        <w:rPr>
          <w:sz w:val="18"/>
          <w:lang w:val="es-ES"/>
        </w:rPr>
        <w:t>, Marisa</w:t>
      </w:r>
    </w:p>
    <w:p w14:paraId="54026A14" w14:textId="77777777" w:rsidR="008D4C97" w:rsidRPr="004E13E9" w:rsidRDefault="008D4C97" w:rsidP="008D4C97">
      <w:pPr>
        <w:rPr>
          <w:lang w:val="es-ES"/>
        </w:rPr>
      </w:pPr>
      <w:r w:rsidRPr="004E13E9">
        <w:rPr>
          <w:b/>
          <w:sz w:val="18"/>
          <w:lang w:val="es-ES"/>
        </w:rPr>
        <w:t>Campoy</w:t>
      </w:r>
      <w:r w:rsidRPr="004E13E9">
        <w:rPr>
          <w:sz w:val="18"/>
          <w:lang w:val="es-ES"/>
        </w:rPr>
        <w:t>, Rebecca</w:t>
      </w:r>
    </w:p>
    <w:p w14:paraId="7BAC552F" w14:textId="77777777" w:rsidR="008D4C97" w:rsidRPr="004E13E9" w:rsidRDefault="008D4C97" w:rsidP="008D4C97">
      <w:pPr>
        <w:rPr>
          <w:lang w:val="es-ES"/>
        </w:rPr>
      </w:pPr>
      <w:r w:rsidRPr="004E13E9">
        <w:rPr>
          <w:b/>
          <w:sz w:val="18"/>
          <w:lang w:val="es-ES"/>
        </w:rPr>
        <w:t>Donovan</w:t>
      </w:r>
      <w:r w:rsidRPr="004E13E9">
        <w:rPr>
          <w:sz w:val="18"/>
          <w:lang w:val="es-ES"/>
        </w:rPr>
        <w:t>, Karen</w:t>
      </w:r>
    </w:p>
    <w:p w14:paraId="1D4CD6B3" w14:textId="77777777" w:rsidR="008D4C97" w:rsidRPr="004E13E9" w:rsidRDefault="008D4C97" w:rsidP="008D4C97">
      <w:pPr>
        <w:rPr>
          <w:lang w:val="es-ES"/>
        </w:rPr>
      </w:pPr>
      <w:r w:rsidRPr="004E13E9">
        <w:rPr>
          <w:b/>
          <w:sz w:val="18"/>
          <w:lang w:val="es-ES"/>
        </w:rPr>
        <w:t>García-Orad</w:t>
      </w:r>
      <w:r w:rsidRPr="004E13E9">
        <w:rPr>
          <w:sz w:val="18"/>
          <w:lang w:val="es-ES"/>
        </w:rPr>
        <w:t>, María José</w:t>
      </w:r>
    </w:p>
    <w:p w14:paraId="3E6F3AFB" w14:textId="77777777" w:rsidR="008D4C97" w:rsidRPr="004E13E9" w:rsidRDefault="008D4C97" w:rsidP="008D4C97">
      <w:pPr>
        <w:rPr>
          <w:lang w:val="fr-FR"/>
        </w:rPr>
      </w:pPr>
      <w:r w:rsidRPr="004E13E9">
        <w:rPr>
          <w:b/>
          <w:sz w:val="18"/>
          <w:lang w:val="fr-FR"/>
        </w:rPr>
        <w:lastRenderedPageBreak/>
        <w:t>Motos</w:t>
      </w:r>
      <w:r w:rsidRPr="004E13E9">
        <w:rPr>
          <w:sz w:val="18"/>
          <w:lang w:val="fr-FR"/>
        </w:rPr>
        <w:t>, Beatriz</w:t>
      </w:r>
    </w:p>
    <w:p w14:paraId="2DEE690D" w14:textId="77777777" w:rsidR="008D4C97" w:rsidRPr="004E13E9" w:rsidRDefault="008D4C97" w:rsidP="008D4C97">
      <w:pPr>
        <w:rPr>
          <w:lang w:val="fr-FR"/>
        </w:rPr>
      </w:pPr>
      <w:r w:rsidRPr="004E13E9">
        <w:rPr>
          <w:b/>
          <w:sz w:val="18"/>
          <w:lang w:val="fr-FR"/>
        </w:rPr>
        <w:t>Peyre</w:t>
      </w:r>
      <w:r w:rsidRPr="004E13E9">
        <w:rPr>
          <w:sz w:val="18"/>
          <w:lang w:val="fr-FR"/>
        </w:rPr>
        <w:t>, Christine</w:t>
      </w:r>
    </w:p>
    <w:p w14:paraId="2E40E19A" w14:textId="77777777" w:rsidR="008D4C97" w:rsidRPr="004E13E9" w:rsidRDefault="008D4C97" w:rsidP="008D4C97">
      <w:pPr>
        <w:rPr>
          <w:lang w:val="fr-FR"/>
        </w:rPr>
      </w:pPr>
      <w:r w:rsidRPr="004E13E9">
        <w:rPr>
          <w:b/>
          <w:sz w:val="18"/>
          <w:lang w:val="fr-FR"/>
        </w:rPr>
        <w:t>Pinet</w:t>
      </w:r>
      <w:r w:rsidRPr="004E13E9">
        <w:rPr>
          <w:sz w:val="18"/>
          <w:lang w:val="fr-FR"/>
        </w:rPr>
        <w:t>, Dorothée</w:t>
      </w:r>
    </w:p>
    <w:p w14:paraId="78E450E9" w14:textId="0BCD94ED" w:rsidR="008D4C97" w:rsidRPr="004E13E9" w:rsidRDefault="008D4C97" w:rsidP="008D4C97">
      <w:pPr>
        <w:rPr>
          <w:lang w:val="it-IT"/>
        </w:rPr>
      </w:pPr>
      <w:r w:rsidRPr="004E13E9">
        <w:rPr>
          <w:b/>
          <w:sz w:val="18"/>
          <w:lang w:val="it-IT"/>
        </w:rPr>
        <w:t>Kimoto</w:t>
      </w:r>
      <w:r w:rsidRPr="004E13E9">
        <w:rPr>
          <w:sz w:val="18"/>
          <w:lang w:val="it-IT"/>
        </w:rPr>
        <w:t>, Ai</w:t>
      </w:r>
    </w:p>
    <w:p w14:paraId="426AAB2A" w14:textId="77777777" w:rsidR="008D4C97" w:rsidRPr="004E13E9" w:rsidRDefault="008D4C97" w:rsidP="008D4C97">
      <w:pPr>
        <w:rPr>
          <w:lang w:val="it-IT"/>
        </w:rPr>
      </w:pPr>
      <w:r w:rsidRPr="004E13E9">
        <w:rPr>
          <w:b/>
          <w:sz w:val="18"/>
          <w:lang w:val="it-IT"/>
        </w:rPr>
        <w:t>Deprez</w:t>
      </w:r>
      <w:r w:rsidRPr="004E13E9">
        <w:rPr>
          <w:sz w:val="18"/>
          <w:lang w:val="it-IT"/>
        </w:rPr>
        <w:t>, Bruno</w:t>
      </w:r>
    </w:p>
    <w:p w14:paraId="4556CFAC" w14:textId="77777777" w:rsidR="008D4C97" w:rsidRPr="004E13E9" w:rsidRDefault="008D4C97" w:rsidP="008D4C97">
      <w:pPr>
        <w:rPr>
          <w:lang w:val="it-IT"/>
        </w:rPr>
      </w:pPr>
      <w:r w:rsidRPr="004E13E9">
        <w:rPr>
          <w:b/>
          <w:sz w:val="18"/>
          <w:lang w:val="it-IT"/>
        </w:rPr>
        <w:t>Samedy</w:t>
      </w:r>
      <w:r w:rsidRPr="004E13E9">
        <w:rPr>
          <w:sz w:val="18"/>
          <w:lang w:val="it-IT"/>
        </w:rPr>
        <w:t>, Valérie</w:t>
      </w:r>
    </w:p>
    <w:p w14:paraId="5D69F774" w14:textId="0B4A1301" w:rsidR="00205C7A" w:rsidRPr="004E13E9" w:rsidRDefault="00205C7A" w:rsidP="00205C7A">
      <w:pPr>
        <w:rPr>
          <w:lang w:val="es-ES"/>
        </w:rPr>
      </w:pPr>
      <w:r w:rsidRPr="004E13E9">
        <w:rPr>
          <w:b/>
          <w:sz w:val="18"/>
          <w:lang w:val="es-ES"/>
        </w:rPr>
        <w:t>Acuña</w:t>
      </w:r>
      <w:r w:rsidRPr="004E13E9">
        <w:rPr>
          <w:sz w:val="18"/>
          <w:lang w:val="es-ES"/>
        </w:rPr>
        <w:t>, Jose Antonio</w:t>
      </w:r>
    </w:p>
    <w:p w14:paraId="24C8F5E7" w14:textId="77777777" w:rsidR="008D4C97" w:rsidRPr="004E13E9" w:rsidRDefault="008D4C97" w:rsidP="008D4C97">
      <w:pPr>
        <w:rPr>
          <w:lang w:val="es-ES"/>
        </w:rPr>
      </w:pPr>
      <w:r w:rsidRPr="004E13E9">
        <w:rPr>
          <w:b/>
          <w:sz w:val="18"/>
          <w:lang w:val="es-ES"/>
        </w:rPr>
        <w:t>Mergarejo Dremov</w:t>
      </w:r>
      <w:r w:rsidRPr="004E13E9">
        <w:rPr>
          <w:sz w:val="18"/>
          <w:lang w:val="es-ES"/>
        </w:rPr>
        <w:t xml:space="preserve">, Félix </w:t>
      </w:r>
    </w:p>
    <w:p w14:paraId="7AB743A9" w14:textId="77777777" w:rsidR="008D4C97" w:rsidRPr="004E13E9" w:rsidRDefault="008D4C97" w:rsidP="008D4C97">
      <w:pPr>
        <w:rPr>
          <w:lang w:val="es-ES"/>
        </w:rPr>
      </w:pPr>
      <w:r w:rsidRPr="004E13E9">
        <w:rPr>
          <w:b/>
          <w:sz w:val="18"/>
          <w:lang w:val="es-ES"/>
        </w:rPr>
        <w:t>Vieito</w:t>
      </w:r>
      <w:r w:rsidRPr="004E13E9">
        <w:rPr>
          <w:sz w:val="18"/>
          <w:lang w:val="es-ES"/>
        </w:rPr>
        <w:t>, Aldana</w:t>
      </w:r>
    </w:p>
    <w:p w14:paraId="4BFBBE7C" w14:textId="77777777" w:rsidR="008D4C97" w:rsidRPr="004E13E9" w:rsidRDefault="008D4C97" w:rsidP="008D4C97">
      <w:pPr>
        <w:rPr>
          <w:lang w:val="es-ES"/>
        </w:rPr>
      </w:pPr>
      <w:r w:rsidRPr="004E13E9">
        <w:rPr>
          <w:b/>
          <w:sz w:val="18"/>
          <w:lang w:val="es-ES"/>
        </w:rPr>
        <w:t>Martínez Herranz</w:t>
      </w:r>
      <w:r w:rsidRPr="004E13E9">
        <w:rPr>
          <w:sz w:val="18"/>
          <w:lang w:val="es-ES"/>
        </w:rPr>
        <w:t>, Javier</w:t>
      </w:r>
    </w:p>
    <w:p w14:paraId="0C8978B1" w14:textId="0A1BAE89" w:rsidR="00205C7A" w:rsidRPr="004E13E9" w:rsidRDefault="00205C7A" w:rsidP="00205C7A">
      <w:pPr>
        <w:rPr>
          <w:lang w:val="es-ES"/>
        </w:rPr>
      </w:pPr>
      <w:r w:rsidRPr="004E13E9">
        <w:rPr>
          <w:b/>
          <w:sz w:val="18"/>
          <w:lang w:val="es-ES"/>
        </w:rPr>
        <w:t>Baity</w:t>
      </w:r>
      <w:r w:rsidRPr="004E13E9">
        <w:rPr>
          <w:sz w:val="18"/>
          <w:lang w:val="es-ES"/>
        </w:rPr>
        <w:t>, Dawn</w:t>
      </w:r>
    </w:p>
    <w:p w14:paraId="795E9095" w14:textId="77777777" w:rsidR="00205C7A" w:rsidRPr="004E13E9" w:rsidRDefault="00205C7A" w:rsidP="00205C7A">
      <w:pPr>
        <w:rPr>
          <w:lang w:val="es-ES"/>
        </w:rPr>
      </w:pPr>
      <w:r w:rsidRPr="004E13E9">
        <w:rPr>
          <w:b/>
          <w:sz w:val="18"/>
          <w:lang w:val="es-ES"/>
        </w:rPr>
        <w:t>Peña</w:t>
      </w:r>
      <w:r w:rsidRPr="004E13E9">
        <w:rPr>
          <w:sz w:val="18"/>
          <w:lang w:val="es-ES"/>
        </w:rPr>
        <w:t>, Esther</w:t>
      </w:r>
    </w:p>
    <w:p w14:paraId="65ED6337" w14:textId="77777777" w:rsidR="00205C7A" w:rsidRPr="004E13E9" w:rsidRDefault="00205C7A" w:rsidP="00205C7A">
      <w:pPr>
        <w:rPr>
          <w:lang w:val="es-ES"/>
        </w:rPr>
      </w:pPr>
      <w:r w:rsidRPr="004E13E9">
        <w:rPr>
          <w:b/>
          <w:sz w:val="18"/>
          <w:lang w:val="es-ES"/>
        </w:rPr>
        <w:t>Tensek</w:t>
      </w:r>
      <w:r w:rsidRPr="004E13E9">
        <w:rPr>
          <w:sz w:val="18"/>
          <w:lang w:val="es-ES"/>
        </w:rPr>
        <w:t>, Stasa</w:t>
      </w:r>
    </w:p>
    <w:p w14:paraId="33BCD573" w14:textId="77777777" w:rsidR="00205C7A" w:rsidRPr="004E13E9" w:rsidRDefault="00205C7A">
      <w:pPr>
        <w:rPr>
          <w:lang w:val="es-ES"/>
        </w:rPr>
      </w:pPr>
    </w:p>
    <w:p w14:paraId="78412DAE" w14:textId="77777777" w:rsidR="00407F32" w:rsidRPr="004E13E9" w:rsidRDefault="00407F32" w:rsidP="00407F32">
      <w:pPr>
        <w:rPr>
          <w:lang w:val="es-ES" w:eastAsia="en-GB"/>
        </w:rPr>
      </w:pPr>
      <w:r w:rsidRPr="004E13E9">
        <w:rPr>
          <w:b/>
          <w:lang w:val="es-ES" w:eastAsia="en-GB"/>
        </w:rPr>
        <w:t>INTERPRÈTES DE L’ICCAT</w:t>
      </w:r>
    </w:p>
    <w:p w14:paraId="5BD50875" w14:textId="77777777" w:rsidR="00D41BB9" w:rsidRPr="004E13E9" w:rsidRDefault="00E95051">
      <w:pPr>
        <w:rPr>
          <w:lang w:val="es-ES"/>
        </w:rPr>
      </w:pPr>
      <w:r w:rsidRPr="004E13E9">
        <w:rPr>
          <w:b/>
          <w:sz w:val="18"/>
          <w:lang w:val="es-ES"/>
        </w:rPr>
        <w:t>Baena Jiménez</w:t>
      </w:r>
      <w:r w:rsidRPr="004E13E9">
        <w:rPr>
          <w:sz w:val="18"/>
          <w:lang w:val="es-ES"/>
        </w:rPr>
        <w:t>, Eva J.</w:t>
      </w:r>
    </w:p>
    <w:p w14:paraId="3C915A58" w14:textId="77777777" w:rsidR="00D41BB9" w:rsidRPr="00C712A4" w:rsidRDefault="00E95051">
      <w:pPr>
        <w:rPr>
          <w:lang w:val="fr-FR"/>
        </w:rPr>
      </w:pPr>
      <w:r w:rsidRPr="00C712A4">
        <w:rPr>
          <w:b/>
          <w:sz w:val="18"/>
          <w:lang w:val="fr-FR"/>
        </w:rPr>
        <w:t>Godfrey</w:t>
      </w:r>
      <w:r w:rsidRPr="00C712A4">
        <w:rPr>
          <w:sz w:val="18"/>
          <w:lang w:val="fr-FR"/>
        </w:rPr>
        <w:t>, Claire</w:t>
      </w:r>
    </w:p>
    <w:p w14:paraId="7C295C2B" w14:textId="77777777" w:rsidR="00D41BB9" w:rsidRPr="00C712A4" w:rsidRDefault="00E95051">
      <w:pPr>
        <w:rPr>
          <w:lang w:val="fr-FR"/>
        </w:rPr>
      </w:pPr>
      <w:r w:rsidRPr="00C712A4">
        <w:rPr>
          <w:b/>
          <w:sz w:val="18"/>
          <w:lang w:val="fr-FR"/>
        </w:rPr>
        <w:t>Hof</w:t>
      </w:r>
      <w:r w:rsidRPr="00C712A4">
        <w:rPr>
          <w:sz w:val="18"/>
          <w:lang w:val="fr-FR"/>
        </w:rPr>
        <w:t>, Michelle Renée</w:t>
      </w:r>
    </w:p>
    <w:p w14:paraId="45D10B59" w14:textId="77777777" w:rsidR="00D41BB9" w:rsidRPr="004E13E9" w:rsidRDefault="00E95051">
      <w:pPr>
        <w:rPr>
          <w:lang w:val="fr-FR"/>
        </w:rPr>
      </w:pPr>
      <w:proofErr w:type="spellStart"/>
      <w:r w:rsidRPr="004E13E9">
        <w:rPr>
          <w:b/>
          <w:sz w:val="18"/>
          <w:lang w:val="fr-FR"/>
        </w:rPr>
        <w:t>Liberas</w:t>
      </w:r>
      <w:proofErr w:type="spellEnd"/>
      <w:r w:rsidRPr="004E13E9">
        <w:rPr>
          <w:sz w:val="18"/>
          <w:lang w:val="fr-FR"/>
        </w:rPr>
        <w:t>, Christine</w:t>
      </w:r>
    </w:p>
    <w:p w14:paraId="7F5B855B" w14:textId="77777777" w:rsidR="00D41BB9" w:rsidRPr="00C712A4" w:rsidRDefault="00E95051">
      <w:pPr>
        <w:rPr>
          <w:lang w:val="it-IT"/>
        </w:rPr>
      </w:pPr>
      <w:proofErr w:type="spellStart"/>
      <w:r w:rsidRPr="00C712A4">
        <w:rPr>
          <w:b/>
          <w:sz w:val="18"/>
          <w:lang w:val="it-IT"/>
        </w:rPr>
        <w:t>Linaae</w:t>
      </w:r>
      <w:proofErr w:type="spellEnd"/>
      <w:r w:rsidRPr="00C712A4">
        <w:rPr>
          <w:sz w:val="18"/>
          <w:lang w:val="it-IT"/>
        </w:rPr>
        <w:t>, Cristina</w:t>
      </w:r>
    </w:p>
    <w:p w14:paraId="3E7E545A" w14:textId="3C53889A" w:rsidR="00407F32" w:rsidRPr="00C712A4" w:rsidRDefault="00E95051">
      <w:pPr>
        <w:rPr>
          <w:lang w:val="it-IT"/>
        </w:rPr>
      </w:pPr>
      <w:r w:rsidRPr="00C712A4">
        <w:rPr>
          <w:b/>
          <w:sz w:val="18"/>
          <w:lang w:val="it-IT"/>
        </w:rPr>
        <w:t>Pinzon</w:t>
      </w:r>
      <w:r w:rsidRPr="00C712A4">
        <w:rPr>
          <w:sz w:val="18"/>
          <w:lang w:val="it-IT"/>
        </w:rPr>
        <w:t>, Aurélie</w:t>
      </w:r>
    </w:p>
    <w:p w14:paraId="6BAC50E9" w14:textId="77777777" w:rsidR="00407F32" w:rsidRPr="00C712A4" w:rsidRDefault="00407F32">
      <w:pPr>
        <w:rPr>
          <w:lang w:val="it-IT"/>
        </w:rPr>
      </w:pPr>
      <w:r w:rsidRPr="00C712A4">
        <w:rPr>
          <w:lang w:val="it-IT"/>
        </w:rPr>
        <w:br w:type="page"/>
      </w:r>
    </w:p>
    <w:p w14:paraId="5751EA53" w14:textId="77777777" w:rsidR="004061C6" w:rsidRPr="00C712A4" w:rsidRDefault="004061C6" w:rsidP="004061C6">
      <w:pPr>
        <w:contextualSpacing/>
        <w:jc w:val="right"/>
        <w:rPr>
          <w:b/>
          <w:bCs/>
          <w:lang w:val="it-IT" w:eastAsia="en-GB"/>
        </w:rPr>
      </w:pPr>
      <w:r w:rsidRPr="00C712A4">
        <w:rPr>
          <w:b/>
          <w:bCs/>
          <w:lang w:val="it-IT" w:eastAsia="en-GB"/>
        </w:rPr>
        <w:lastRenderedPageBreak/>
        <w:t>Appendice 3</w:t>
      </w:r>
    </w:p>
    <w:p w14:paraId="7C9761B8" w14:textId="77777777" w:rsidR="004061C6" w:rsidRPr="00C712A4" w:rsidRDefault="004061C6" w:rsidP="004061C6">
      <w:pPr>
        <w:contextualSpacing/>
        <w:jc w:val="right"/>
        <w:rPr>
          <w:b/>
          <w:bCs/>
          <w:lang w:val="it-IT" w:eastAsia="en-GB"/>
        </w:rPr>
      </w:pPr>
    </w:p>
    <w:p w14:paraId="568CBB71" w14:textId="77777777" w:rsidR="004061C6" w:rsidRPr="004E13E9" w:rsidRDefault="004061C6" w:rsidP="004061C6">
      <w:pPr>
        <w:contextualSpacing/>
        <w:jc w:val="center"/>
        <w:rPr>
          <w:b/>
          <w:lang w:val="fr-FR" w:eastAsia="en-GB"/>
        </w:rPr>
      </w:pPr>
      <w:r w:rsidRPr="004E13E9">
        <w:rPr>
          <w:b/>
          <w:lang w:val="fr-FR" w:eastAsia="en-GB"/>
        </w:rPr>
        <w:t>Plans de pêche, d'élevage, d'inspection et de gestion de la capacite pour le thon rouge de l’Atlantique Est et de la Méditerranée approuvés par la Sous-commission 2</w:t>
      </w:r>
    </w:p>
    <w:p w14:paraId="6FFFB198" w14:textId="77777777" w:rsidR="004061C6" w:rsidRPr="004E13E9" w:rsidRDefault="004061C6" w:rsidP="004061C6">
      <w:pPr>
        <w:jc w:val="both"/>
        <w:rPr>
          <w:rFonts w:eastAsia="Yu Gothic" w:cs="Times New Roman"/>
          <w:kern w:val="2"/>
          <w:lang w:val="fr-FR"/>
          <w14:ligatures w14:val="standardContextual"/>
        </w:rPr>
      </w:pPr>
    </w:p>
    <w:p w14:paraId="3F4D025D" w14:textId="3C6572A1" w:rsidR="004061C6" w:rsidRPr="0084719E" w:rsidRDefault="004061C6" w:rsidP="004061C6">
      <w:pPr>
        <w:rPr>
          <w:lang w:val="fr-FR" w:eastAsia="en-GB"/>
        </w:rPr>
      </w:pPr>
      <w:r w:rsidRPr="0084719E">
        <w:rPr>
          <w:b/>
          <w:bCs/>
          <w:lang w:val="fr-FR" w:eastAsia="en-GB"/>
        </w:rPr>
        <w:t>Albanie</w:t>
      </w:r>
    </w:p>
    <w:p w14:paraId="3B1C00B2" w14:textId="62F840A4" w:rsidR="005D58E1" w:rsidRPr="0084719E" w:rsidRDefault="005D58E1">
      <w:pPr>
        <w:rPr>
          <w:lang w:val="fr-FR"/>
        </w:rPr>
      </w:pPr>
    </w:p>
    <w:p w14:paraId="696C0EFF" w14:textId="77777777" w:rsidR="00B046C3" w:rsidRPr="004E13E9" w:rsidRDefault="00B046C3" w:rsidP="00B046C3">
      <w:pPr>
        <w:widowControl w:val="0"/>
        <w:jc w:val="both"/>
        <w:rPr>
          <w:rFonts w:eastAsia="MS Gothic" w:cs="Times New Roman"/>
          <w:b/>
          <w:lang w:val="fr-FR" w:eastAsia="fr-FR" w:bidi="fr-FR"/>
        </w:rPr>
      </w:pPr>
      <w:r w:rsidRPr="004E13E9">
        <w:rPr>
          <w:rFonts w:eastAsia="MS Gothic" w:cs="Times New Roman"/>
          <w:b/>
          <w:lang w:val="fr-FR" w:eastAsia="fr-FR" w:bidi="fr-FR"/>
        </w:rPr>
        <w:t>Année du plan de pêche : 2026</w:t>
      </w:r>
    </w:p>
    <w:p w14:paraId="71883C34" w14:textId="77777777" w:rsidR="00B046C3" w:rsidRPr="004E13E9" w:rsidRDefault="00B046C3" w:rsidP="00B046C3">
      <w:pPr>
        <w:widowControl w:val="0"/>
        <w:jc w:val="both"/>
        <w:rPr>
          <w:rFonts w:eastAsia="MS Gothic" w:cs="Times New Roman"/>
          <w:b/>
          <w:lang w:val="fr-FR" w:eastAsia="ja-JP" w:bidi="fr-FR"/>
        </w:rPr>
      </w:pPr>
    </w:p>
    <w:p w14:paraId="127A827E" w14:textId="77777777" w:rsidR="00B046C3" w:rsidRPr="004E13E9" w:rsidRDefault="00B046C3" w:rsidP="00B046C3">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1.</w:t>
      </w:r>
      <w:r w:rsidRPr="004E13E9">
        <w:rPr>
          <w:rFonts w:eastAsia="MS Gothic" w:cs="Times New Roman"/>
          <w:b/>
          <w:lang w:val="fr-FR" w:eastAsia="fr-FR" w:bidi="fr-FR"/>
        </w:rPr>
        <w:tab/>
        <w:t>Détails du plan annuel de pêche pour les navires de capture et les madragues</w:t>
      </w:r>
    </w:p>
    <w:p w14:paraId="00ECC8F6" w14:textId="77777777" w:rsidR="00B046C3" w:rsidRPr="004E13E9" w:rsidRDefault="00B046C3" w:rsidP="00B046C3">
      <w:pPr>
        <w:widowControl w:val="0"/>
        <w:jc w:val="both"/>
        <w:rPr>
          <w:rFonts w:eastAsia="MS Gothic" w:cs="Times New Roman"/>
          <w:i/>
          <w:lang w:val="fr-FR" w:eastAsia="fr-FR" w:bidi="fr-FR"/>
        </w:rPr>
      </w:pPr>
    </w:p>
    <w:p w14:paraId="16E626CA" w14:textId="77777777" w:rsidR="00B046C3" w:rsidRPr="004E13E9" w:rsidRDefault="00B046C3" w:rsidP="00B046C3">
      <w:pPr>
        <w:rPr>
          <w:b/>
          <w:bCs/>
          <w:i/>
          <w:iCs/>
          <w:lang w:val="fr-FR"/>
        </w:rPr>
      </w:pPr>
      <w:r w:rsidRPr="004E13E9">
        <w:rPr>
          <w:rFonts w:eastAsia="MS Gothic" w:cs="Times New Roman"/>
          <w:b/>
          <w:bCs/>
          <w:i/>
          <w:iCs/>
          <w:color w:val="000000"/>
          <w:lang w:val="fr-FR" w:eastAsia="fr-FR" w:bidi="fr-FR"/>
        </w:rPr>
        <w:t>1a) Présentation (paragraphe 12)</w:t>
      </w:r>
    </w:p>
    <w:p w14:paraId="166AC750" w14:textId="77777777" w:rsidR="00B046C3" w:rsidRPr="004E13E9" w:rsidRDefault="00B046C3" w:rsidP="00B046C3">
      <w:pPr>
        <w:widowControl w:val="0"/>
        <w:jc w:val="both"/>
        <w:rPr>
          <w:rFonts w:eastAsia="MS Gothic" w:cs="Times New Roman"/>
          <w:b/>
          <w:bCs/>
          <w:i/>
          <w:iCs/>
          <w:color w:val="000000"/>
          <w:lang w:val="fr-FR" w:eastAsia="fr-FR" w:bidi="fr-FR"/>
        </w:rPr>
      </w:pPr>
    </w:p>
    <w:p w14:paraId="196D0252" w14:textId="77777777" w:rsidR="00B046C3" w:rsidRPr="004E13E9" w:rsidRDefault="00B046C3" w:rsidP="00B046C3">
      <w:pPr>
        <w:contextualSpacing/>
        <w:jc w:val="both"/>
        <w:rPr>
          <w:bCs/>
          <w:lang w:val="fr-FR"/>
        </w:rPr>
      </w:pPr>
      <w:r w:rsidRPr="004E13E9">
        <w:rPr>
          <w:bCs/>
          <w:lang w:val="fr-FR"/>
        </w:rPr>
        <w:t>L’Albanie présente son plan de pêche, d’inspection et de gestion de la capacité pour le thon rouge de la Méditerranée.</w:t>
      </w:r>
    </w:p>
    <w:p w14:paraId="05FED31B" w14:textId="77777777" w:rsidR="00B046C3" w:rsidRPr="004E13E9" w:rsidRDefault="00B046C3" w:rsidP="00B046C3">
      <w:pPr>
        <w:contextualSpacing/>
        <w:rPr>
          <w:bCs/>
          <w:lang w:val="fr-FR"/>
        </w:rPr>
      </w:pPr>
    </w:p>
    <w:p w14:paraId="1BF55D55" w14:textId="77777777" w:rsidR="00B046C3" w:rsidRPr="004E13E9" w:rsidRDefault="00B046C3" w:rsidP="00B046C3">
      <w:pPr>
        <w:contextualSpacing/>
        <w:jc w:val="both"/>
        <w:rPr>
          <w:bCs/>
          <w:lang w:val="fr-FR"/>
        </w:rPr>
      </w:pPr>
      <w:r w:rsidRPr="004E13E9">
        <w:rPr>
          <w:bCs/>
          <w:lang w:val="fr-FR"/>
        </w:rPr>
        <w:t xml:space="preserve">Conformément à la </w:t>
      </w:r>
      <w:r w:rsidRPr="004E13E9">
        <w:rPr>
          <w:rFonts w:eastAsia="Calibri" w:cs="Calibri"/>
          <w:i/>
          <w:iCs/>
          <w:lang w:val="fr-FR"/>
        </w:rPr>
        <w:t>Recommandation de l’ICCAT remplaçant la Recommandation 24-05 établissant un plan pluriannuel de gestion du thon rouge dans l’Atlantique Est et la Méditerranée</w:t>
      </w:r>
      <w:r w:rsidRPr="004E13E9">
        <w:rPr>
          <w:bCs/>
          <w:lang w:val="fr-FR"/>
        </w:rPr>
        <w:t xml:space="preserve"> (Rec. 25-04) adoptée par l’ICCAT et remplaçant la Recommandation 24-05 et conformément aux allocations de pêche, le quota de l'Albanie pour 2026 est établi à 457,37 t.</w:t>
      </w:r>
    </w:p>
    <w:p w14:paraId="2F0A4FA6" w14:textId="77777777" w:rsidR="00B046C3" w:rsidRPr="004E13E9" w:rsidRDefault="00B046C3" w:rsidP="00B046C3">
      <w:pPr>
        <w:contextualSpacing/>
        <w:rPr>
          <w:bCs/>
          <w:lang w:val="fr-FR"/>
        </w:rPr>
      </w:pPr>
    </w:p>
    <w:p w14:paraId="399E5342" w14:textId="77777777" w:rsidR="00B046C3" w:rsidRPr="004E13E9" w:rsidRDefault="00B046C3" w:rsidP="00B046C3">
      <w:pPr>
        <w:contextualSpacing/>
        <w:jc w:val="both"/>
        <w:rPr>
          <w:bCs/>
          <w:lang w:val="fr-FR"/>
        </w:rPr>
      </w:pPr>
      <w:r w:rsidRPr="004E13E9">
        <w:rPr>
          <w:bCs/>
          <w:lang w:val="fr-FR"/>
        </w:rPr>
        <w:t>Le quota de pêche de thon rouge de l'Albanie est alloué à deux senneurs (456,37 t) et aux prises accessoires (1 t). Le quota des senneurs sera réparti entre les deux navires comme suit : 297,76 t pour l'un et 158,61 t pour l'autre.</w:t>
      </w:r>
    </w:p>
    <w:p w14:paraId="09ECD2CD" w14:textId="77777777" w:rsidR="00B046C3" w:rsidRPr="004E13E9" w:rsidRDefault="00B046C3" w:rsidP="00B046C3">
      <w:pPr>
        <w:contextualSpacing/>
        <w:rPr>
          <w:lang w:val="fr-FR"/>
        </w:rPr>
      </w:pPr>
    </w:p>
    <w:p w14:paraId="5D5FA6BD" w14:textId="77777777" w:rsidR="00B046C3" w:rsidRPr="004E13E9" w:rsidRDefault="00B046C3" w:rsidP="00B046C3">
      <w:pPr>
        <w:contextualSpacing/>
        <w:jc w:val="both"/>
        <w:rPr>
          <w:rFonts w:eastAsia="MS Gothic" w:cs="Times New Roman"/>
          <w:lang w:val="fr-FR" w:eastAsia="fr-FR" w:bidi="fr-FR"/>
        </w:rPr>
      </w:pPr>
      <w:r w:rsidRPr="004E13E9">
        <w:rPr>
          <w:rFonts w:eastAsia="MS Gothic" w:cs="Times New Roman"/>
          <w:lang w:val="fr-FR" w:eastAsia="fr-FR" w:bidi="fr-FR"/>
        </w:rPr>
        <w:t xml:space="preserve">Deux senneurs (41 mètres et 28 mètres) sont autorisés à pêcher le quota de thon rouge albanais et ces navires sont munis d'une autorisation de pêche au thon rouge. </w:t>
      </w:r>
      <w:r w:rsidRPr="004E13E9">
        <w:rPr>
          <w:lang w:val="fr-FR"/>
        </w:rPr>
        <w:t xml:space="preserve">Le nom des navires ainsi que les quotas respectifs </w:t>
      </w:r>
      <w:r w:rsidRPr="004E13E9">
        <w:rPr>
          <w:rFonts w:eastAsia="MS Gothic" w:cs="Times New Roman"/>
          <w:lang w:val="fr-FR" w:eastAsia="fr-FR" w:bidi="fr-FR"/>
        </w:rPr>
        <w:t>seront déclarés à l’ICCAT en temps opportun.</w:t>
      </w:r>
    </w:p>
    <w:p w14:paraId="398C7734" w14:textId="77777777" w:rsidR="00B046C3" w:rsidRPr="004E13E9" w:rsidRDefault="00B046C3" w:rsidP="00B046C3">
      <w:pPr>
        <w:widowControl w:val="0"/>
        <w:contextualSpacing/>
        <w:jc w:val="both"/>
        <w:rPr>
          <w:rFonts w:eastAsia="MS Gothic" w:cs="Times New Roman"/>
          <w:lang w:val="fr-FR" w:eastAsia="fr-FR" w:bidi="fr-FR"/>
        </w:rPr>
      </w:pPr>
    </w:p>
    <w:p w14:paraId="5CC5D7DC" w14:textId="77777777" w:rsidR="00B046C3" w:rsidRPr="004E13E9" w:rsidRDefault="00B046C3" w:rsidP="00B046C3">
      <w:pPr>
        <w:widowControl w:val="0"/>
        <w:contextualSpacing/>
        <w:jc w:val="both"/>
        <w:rPr>
          <w:rFonts w:eastAsia="MS Gothic" w:cs="Times New Roman"/>
          <w:lang w:val="fr-FR" w:eastAsia="fr-FR" w:bidi="fr-FR"/>
        </w:rPr>
      </w:pPr>
      <w:r w:rsidRPr="004E13E9">
        <w:rPr>
          <w:rFonts w:eastAsia="MS Gothic" w:cs="Times New Roman"/>
          <w:lang w:val="fr-FR" w:eastAsia="fr-FR" w:bidi="fr-FR"/>
        </w:rPr>
        <w:t xml:space="preserve">La méthode utilisée pour allouer et gérer les quotas est basée sur : l'arrêté ministériel nº140 du 13 février 2025 aux fins de la mise en œuvre de la </w:t>
      </w:r>
      <w:r w:rsidRPr="004E13E9">
        <w:rPr>
          <w:rFonts w:eastAsia="Calibri" w:cs="Calibri"/>
          <w:i/>
          <w:iCs/>
          <w:lang w:val="fr-FR"/>
        </w:rPr>
        <w:t xml:space="preserve">Recommandation de l’ICCAT amendant la Recommandation 22-08 établissant un plan pluriannuel de gestion du thon rouge dans l’Atlantique Est et la Méditerranée </w:t>
      </w:r>
      <w:r w:rsidRPr="004E13E9">
        <w:rPr>
          <w:bCs/>
          <w:lang w:val="fr-FR"/>
        </w:rPr>
        <w:t>(Rec. 24-05)</w:t>
      </w:r>
      <w:r w:rsidRPr="004E13E9">
        <w:rPr>
          <w:rFonts w:eastAsia="MS Gothic" w:cs="Times New Roman"/>
          <w:lang w:val="fr-FR" w:eastAsia="fr-FR" w:bidi="fr-FR"/>
        </w:rPr>
        <w:t xml:space="preserve">, l’arrêté ministériel n°131/2026 aux fins de la mise en œuvre de la </w:t>
      </w:r>
      <w:r w:rsidRPr="004E13E9">
        <w:rPr>
          <w:rFonts w:eastAsia="Calibri" w:cs="Calibri"/>
          <w:i/>
          <w:iCs/>
          <w:lang w:val="fr-FR"/>
        </w:rPr>
        <w:t>Recommandation de l’ICCAT remplaçant la Recommandation 24-05 établissant un plan pluriannuel de gestion du thon rouge dans l’Atlantique Est et la Méditerranée</w:t>
      </w:r>
      <w:r w:rsidRPr="004E13E9">
        <w:rPr>
          <w:bCs/>
          <w:lang w:val="fr-FR"/>
        </w:rPr>
        <w:t xml:space="preserve"> (Rec. 25-04) et </w:t>
      </w:r>
      <w:r w:rsidRPr="004E13E9">
        <w:rPr>
          <w:rFonts w:eastAsia="MS Gothic" w:cs="Times New Roman"/>
          <w:lang w:val="fr-FR" w:eastAsia="fr-FR" w:bidi="fr-FR"/>
        </w:rPr>
        <w:t>la réglementation nationale, en particulier la Loi n°64/2012 sur la pêche, modifiée, article 69, paragraphe 1/point b et c, paragraphes 3 et 5.</w:t>
      </w:r>
    </w:p>
    <w:p w14:paraId="2CF70830" w14:textId="77777777" w:rsidR="00B046C3" w:rsidRPr="004E13E9" w:rsidRDefault="00B046C3" w:rsidP="00B046C3">
      <w:pPr>
        <w:widowControl w:val="0"/>
        <w:jc w:val="both"/>
        <w:rPr>
          <w:rFonts w:eastAsia="MS Gothic" w:cs="Times New Roman"/>
          <w:lang w:val="fr-FR" w:eastAsia="fr-FR" w:bidi="fr-FR"/>
        </w:rPr>
      </w:pPr>
    </w:p>
    <w:p w14:paraId="1C01D72E" w14:textId="77777777" w:rsidR="00B046C3" w:rsidRPr="004E13E9" w:rsidRDefault="00B046C3" w:rsidP="00B046C3">
      <w:pPr>
        <w:widowControl w:val="0"/>
        <w:jc w:val="both"/>
        <w:rPr>
          <w:rFonts w:eastAsia="MS Gothic" w:cs="Times New Roman"/>
          <w:lang w:val="fr-FR" w:eastAsia="fr-FR" w:bidi="fr-FR"/>
        </w:rPr>
      </w:pPr>
      <w:r w:rsidRPr="004E13E9">
        <w:rPr>
          <w:rFonts w:eastAsia="MS Gothic" w:cs="Times New Roman"/>
          <w:lang w:val="fr-FR" w:eastAsia="fr-FR" w:bidi="fr-FR"/>
        </w:rPr>
        <w:t>Dans le registre de la flottille de pêche albanaise, il n’y a pas de canneurs, de palangriers, de ligneurs, ni de madragues. L'activité de pêche avec des canneurs, des palangriers, des ligneurs à main n'est pas développée et aucune autorisation n'est émise. L'Albanie déclare chaque année les groupes d'engins de pêche et les segments de flottille (DCRF - CGPM et DG MARE).</w:t>
      </w:r>
    </w:p>
    <w:p w14:paraId="0DA8CCF7" w14:textId="77777777" w:rsidR="00B046C3" w:rsidRPr="004E13E9" w:rsidRDefault="00B046C3" w:rsidP="00B046C3">
      <w:pPr>
        <w:widowControl w:val="0"/>
        <w:jc w:val="both"/>
        <w:rPr>
          <w:rFonts w:eastAsia="MS Gothic" w:cs="Times New Roman"/>
          <w:lang w:val="fr-FR" w:eastAsia="fr-FR" w:bidi="fr-FR"/>
        </w:rPr>
      </w:pPr>
    </w:p>
    <w:p w14:paraId="1FCBDDA0" w14:textId="77777777" w:rsidR="00B046C3" w:rsidRPr="004E13E9" w:rsidRDefault="00B046C3" w:rsidP="00B046C3">
      <w:pPr>
        <w:widowControl w:val="0"/>
        <w:jc w:val="both"/>
        <w:rPr>
          <w:rFonts w:eastAsia="MS Gothic" w:cs="Times New Roman"/>
          <w:lang w:val="fr-FR" w:eastAsia="fr-FR" w:bidi="fr-FR"/>
        </w:rPr>
      </w:pPr>
      <w:r w:rsidRPr="004E13E9">
        <w:rPr>
          <w:rFonts w:eastAsia="MS Gothic" w:cs="Times New Roman"/>
          <w:lang w:val="fr-FR" w:eastAsia="fr-FR" w:bidi="fr-FR"/>
        </w:rPr>
        <w:t>Au cours de l'année 2025, la flottille de pêche albanaise n'a effectué aucune prise accessoire de thon rouge dans d'autres pêcheries.</w:t>
      </w:r>
    </w:p>
    <w:p w14:paraId="6B01F7F2" w14:textId="77777777" w:rsidR="00B046C3" w:rsidRPr="004E13E9" w:rsidRDefault="00B046C3" w:rsidP="00B046C3">
      <w:pPr>
        <w:widowControl w:val="0"/>
        <w:jc w:val="both"/>
        <w:rPr>
          <w:rFonts w:eastAsia="MS Gothic" w:cs="Times New Roman"/>
          <w:lang w:val="fr-FR" w:eastAsia="fr-FR" w:bidi="fr-FR"/>
        </w:rPr>
      </w:pPr>
    </w:p>
    <w:p w14:paraId="4592014A" w14:textId="77777777" w:rsidR="00B046C3" w:rsidRPr="004E13E9" w:rsidRDefault="00B046C3" w:rsidP="00B046C3">
      <w:pPr>
        <w:widowControl w:val="0"/>
        <w:jc w:val="both"/>
        <w:rPr>
          <w:rFonts w:eastAsia="MS Gothic" w:cs="Times New Roman"/>
          <w:b/>
          <w:bCs/>
          <w:i/>
          <w:iCs/>
          <w:lang w:val="fr-FR" w:eastAsia="fr-FR" w:bidi="fr-FR"/>
        </w:rPr>
      </w:pPr>
      <w:r w:rsidRPr="004E13E9">
        <w:rPr>
          <w:rFonts w:eastAsia="MS Gothic" w:cs="Times New Roman"/>
          <w:b/>
          <w:bCs/>
          <w:i/>
          <w:iCs/>
          <w:color w:val="000000"/>
          <w:lang w:val="fr-FR" w:eastAsia="fr-FR" w:bidi="fr-FR"/>
        </w:rPr>
        <w:t xml:space="preserve">1b) </w:t>
      </w:r>
      <w:r w:rsidRPr="004E13E9">
        <w:rPr>
          <w:rFonts w:eastAsia="MS Gothic" w:cs="Times New Roman"/>
          <w:b/>
          <w:bCs/>
          <w:i/>
          <w:iCs/>
          <w:lang w:val="fr-FR" w:eastAsia="fr-FR" w:bidi="fr-FR"/>
        </w:rPr>
        <w:t>Report (paragraphe 6)</w:t>
      </w:r>
    </w:p>
    <w:p w14:paraId="0D484FD3" w14:textId="77777777" w:rsidR="00B046C3" w:rsidRPr="004E13E9" w:rsidRDefault="00B046C3" w:rsidP="00B046C3">
      <w:pPr>
        <w:widowControl w:val="0"/>
        <w:jc w:val="both"/>
        <w:rPr>
          <w:rFonts w:eastAsia="MS Gothic" w:cs="Times New Roman"/>
          <w:b/>
          <w:bCs/>
          <w:i/>
          <w:iCs/>
          <w:lang w:val="fr-FR" w:eastAsia="fr-FR" w:bidi="fr-FR"/>
        </w:rPr>
      </w:pPr>
    </w:p>
    <w:p w14:paraId="2A2B0042" w14:textId="77777777" w:rsidR="00B046C3" w:rsidRPr="004E13E9" w:rsidRDefault="00B046C3" w:rsidP="00B046C3">
      <w:pPr>
        <w:widowControl w:val="0"/>
        <w:tabs>
          <w:tab w:val="left" w:pos="1202"/>
        </w:tabs>
        <w:jc w:val="both"/>
        <w:rPr>
          <w:rFonts w:eastAsia="MS Gothic" w:cs="Times New Roman"/>
          <w:lang w:val="fr-FR" w:eastAsia="fr-FR" w:bidi="fr-FR"/>
        </w:rPr>
      </w:pPr>
      <w:r w:rsidRPr="004E13E9">
        <w:rPr>
          <w:rFonts w:eastAsia="MS Gothic" w:cs="Times New Roman"/>
          <w:lang w:val="fr-FR" w:eastAsia="fr-FR" w:bidi="fr-FR"/>
        </w:rPr>
        <w:t>Aucun report n’est demandé.</w:t>
      </w:r>
    </w:p>
    <w:p w14:paraId="4EB5BD11" w14:textId="77777777" w:rsidR="00B046C3" w:rsidRPr="004E13E9" w:rsidRDefault="00B046C3" w:rsidP="00B046C3">
      <w:pPr>
        <w:widowControl w:val="0"/>
        <w:tabs>
          <w:tab w:val="left" w:pos="1202"/>
        </w:tabs>
        <w:jc w:val="both"/>
        <w:rPr>
          <w:rFonts w:eastAsia="MS Gothic" w:cs="Times New Roman"/>
          <w:lang w:val="fr-FR" w:eastAsia="fr-FR" w:bidi="fr-FR"/>
        </w:rPr>
      </w:pPr>
    </w:p>
    <w:p w14:paraId="2D230DE4" w14:textId="77777777" w:rsidR="00B046C3" w:rsidRPr="004E13E9" w:rsidRDefault="00B046C3" w:rsidP="00B046C3">
      <w:pPr>
        <w:widowControl w:val="0"/>
        <w:jc w:val="both"/>
        <w:rPr>
          <w:rFonts w:eastAsia="MS Gothic" w:cs="Times New Roman"/>
          <w:b/>
          <w:bCs/>
          <w:i/>
          <w:lang w:val="fr-FR" w:eastAsia="fr-FR" w:bidi="fr-FR"/>
        </w:rPr>
      </w:pPr>
      <w:r w:rsidRPr="004E13E9">
        <w:rPr>
          <w:rFonts w:eastAsia="MS Gothic" w:cs="Times New Roman"/>
          <w:b/>
          <w:bCs/>
          <w:i/>
          <w:lang w:val="fr-FR" w:eastAsia="fr-FR" w:bidi="fr-FR"/>
        </w:rPr>
        <w:t>1c) Destination de la capture</w:t>
      </w:r>
    </w:p>
    <w:p w14:paraId="34D8C011" w14:textId="77777777" w:rsidR="00B046C3" w:rsidRPr="004E13E9" w:rsidRDefault="00B046C3" w:rsidP="00B046C3">
      <w:pPr>
        <w:widowControl w:val="0"/>
        <w:jc w:val="both"/>
        <w:rPr>
          <w:rFonts w:eastAsia="MS Gothic" w:cs="Times New Roman"/>
          <w:b/>
          <w:bCs/>
          <w:i/>
          <w:iCs/>
          <w:lang w:val="fr-FR" w:eastAsia="fr-FR" w:bidi="fr-FR"/>
        </w:rPr>
      </w:pPr>
    </w:p>
    <w:p w14:paraId="7A4D16A7" w14:textId="77777777" w:rsidR="00B046C3" w:rsidRPr="004E13E9" w:rsidRDefault="00B046C3" w:rsidP="00B046C3">
      <w:pPr>
        <w:widowControl w:val="0"/>
        <w:jc w:val="both"/>
        <w:rPr>
          <w:rFonts w:eastAsia="MS Gothic" w:cs="Times New Roman"/>
          <w:lang w:val="fr-FR" w:eastAsia="fr-FR" w:bidi="fr-FR"/>
        </w:rPr>
      </w:pPr>
      <w:r w:rsidRPr="004E13E9">
        <w:rPr>
          <w:rFonts w:eastAsia="MS Gothic" w:cs="Times New Roman"/>
          <w:lang w:val="fr-FR" w:eastAsia="fr-FR" w:bidi="fr-FR"/>
        </w:rPr>
        <w:t>Toute la quantité de poissons capturés par les senneurs albanais (100%) sera destinée à l'élevage dans la ferme de thon rouge albanaise.</w:t>
      </w:r>
    </w:p>
    <w:p w14:paraId="7A6AF3A2" w14:textId="77777777" w:rsidR="00B046C3" w:rsidRPr="004E13E9" w:rsidRDefault="00B046C3" w:rsidP="00B046C3">
      <w:pPr>
        <w:rPr>
          <w:rFonts w:eastAsia="MS Gothic" w:cs="Times New Roman"/>
          <w:b/>
          <w:bCs/>
          <w:i/>
          <w:iCs/>
          <w:lang w:val="fr-FR" w:eastAsia="fr-FR" w:bidi="fr-FR"/>
        </w:rPr>
      </w:pPr>
    </w:p>
    <w:p w14:paraId="74118E80" w14:textId="77777777" w:rsidR="00B046C3" w:rsidRPr="004E13E9" w:rsidRDefault="00B046C3" w:rsidP="00B046C3">
      <w:pPr>
        <w:rPr>
          <w:rFonts w:eastAsia="MS Gothic" w:cs="Times New Roman"/>
          <w:b/>
          <w:bCs/>
          <w:i/>
          <w:iCs/>
          <w:lang w:val="fr-FR" w:eastAsia="fr-FR" w:bidi="fr-FR"/>
        </w:rPr>
      </w:pPr>
      <w:r w:rsidRPr="004E13E9">
        <w:rPr>
          <w:rFonts w:eastAsia="MS Gothic" w:cs="Times New Roman"/>
          <w:b/>
          <w:bCs/>
          <w:i/>
          <w:iCs/>
          <w:lang w:val="fr-FR" w:eastAsia="fr-FR" w:bidi="fr-FR"/>
        </w:rPr>
        <w:br w:type="page"/>
      </w:r>
    </w:p>
    <w:p w14:paraId="6094C00E" w14:textId="77777777" w:rsidR="00B046C3" w:rsidRPr="004E13E9" w:rsidRDefault="00B046C3" w:rsidP="00B046C3">
      <w:pPr>
        <w:widowControl w:val="0"/>
        <w:jc w:val="both"/>
        <w:rPr>
          <w:rFonts w:eastAsia="MS Gothic" w:cs="Times New Roman"/>
          <w:b/>
          <w:bCs/>
          <w:i/>
          <w:iCs/>
          <w:lang w:eastAsia="fr-FR" w:bidi="fr-FR"/>
        </w:rPr>
      </w:pPr>
      <w:r w:rsidRPr="004E13E9">
        <w:rPr>
          <w:rFonts w:eastAsia="MS Gothic" w:cs="Times New Roman"/>
          <w:b/>
          <w:bCs/>
          <w:i/>
          <w:iCs/>
          <w:lang w:eastAsia="fr-FR" w:bidi="fr-FR"/>
        </w:rPr>
        <w:lastRenderedPageBreak/>
        <w:t>1 d)</w:t>
      </w:r>
    </w:p>
    <w:p w14:paraId="4598C728" w14:textId="77777777" w:rsidR="00B046C3" w:rsidRPr="004E13E9" w:rsidRDefault="00B046C3" w:rsidP="00B046C3">
      <w:pPr>
        <w:widowControl w:val="0"/>
        <w:jc w:val="both"/>
        <w:rPr>
          <w:rFonts w:eastAsia="MS Gothic" w:cs="Times New Roman"/>
          <w:bCs/>
          <w:lang w:eastAsia="fr-FR" w:bidi="fr-FR"/>
        </w:rPr>
      </w:pPr>
    </w:p>
    <w:tbl>
      <w:tblPr>
        <w:tblStyle w:val="TableGrid"/>
        <w:tblW w:w="9730" w:type="dxa"/>
        <w:tblLayout w:type="fixed"/>
        <w:tblLook w:val="04A0" w:firstRow="1" w:lastRow="0" w:firstColumn="1" w:lastColumn="0" w:noHBand="0" w:noVBand="1"/>
      </w:tblPr>
      <w:tblGrid>
        <w:gridCol w:w="500"/>
        <w:gridCol w:w="1763"/>
        <w:gridCol w:w="3261"/>
        <w:gridCol w:w="2126"/>
        <w:gridCol w:w="2080"/>
      </w:tblGrid>
      <w:tr w:rsidR="00B046C3" w:rsidRPr="004E13E9" w14:paraId="44B65F16" w14:textId="77777777" w:rsidTr="00F65E2B">
        <w:tc>
          <w:tcPr>
            <w:tcW w:w="500" w:type="dxa"/>
          </w:tcPr>
          <w:p w14:paraId="111D1CDB" w14:textId="77777777" w:rsidR="00B046C3" w:rsidRPr="004E13E9" w:rsidRDefault="00B046C3" w:rsidP="000D1853">
            <w:pPr>
              <w:widowControl w:val="0"/>
              <w:rPr>
                <w:rFonts w:ascii="Cambria" w:hAnsi="Cambria"/>
                <w:sz w:val="20"/>
                <w:szCs w:val="20"/>
              </w:rPr>
            </w:pPr>
          </w:p>
          <w:p w14:paraId="24E8B070" w14:textId="77777777" w:rsidR="00B046C3" w:rsidRPr="004E13E9" w:rsidRDefault="00B046C3" w:rsidP="000D1853">
            <w:pPr>
              <w:widowControl w:val="0"/>
              <w:rPr>
                <w:rFonts w:ascii="Cambria" w:hAnsi="Cambria"/>
                <w:sz w:val="20"/>
                <w:szCs w:val="20"/>
              </w:rPr>
            </w:pPr>
          </w:p>
        </w:tc>
        <w:tc>
          <w:tcPr>
            <w:tcW w:w="1763" w:type="dxa"/>
            <w:vAlign w:val="center"/>
          </w:tcPr>
          <w:p w14:paraId="0DC578FB" w14:textId="77777777" w:rsidR="00B046C3" w:rsidRPr="004E13E9" w:rsidRDefault="00B046C3" w:rsidP="000D1853">
            <w:pPr>
              <w:jc w:val="center"/>
              <w:rPr>
                <w:rFonts w:ascii="Cambria" w:hAnsi="Cambria"/>
                <w:i/>
                <w:sz w:val="20"/>
                <w:szCs w:val="20"/>
              </w:rPr>
            </w:pPr>
            <w:r w:rsidRPr="004E13E9">
              <w:rPr>
                <w:rFonts w:ascii="Cambria" w:hAnsi="Cambria"/>
                <w:i/>
                <w:color w:val="auto"/>
                <w:sz w:val="20"/>
                <w:szCs w:val="20"/>
              </w:rPr>
              <w:t xml:space="preserve">Exigence de l’ICCAT (en vertu de la </w:t>
            </w:r>
            <w:hyperlink r:id="rId56" w:history="1">
              <w:r w:rsidRPr="004E13E9">
                <w:rPr>
                  <w:rStyle w:val="Hyperlink"/>
                  <w:rFonts w:ascii="Cambria" w:hAnsi="Cambria"/>
                  <w:i/>
                  <w:sz w:val="20"/>
                  <w:szCs w:val="20"/>
                  <w:u w:val="none"/>
                </w:rPr>
                <w:t>Rec. 25-04</w:t>
              </w:r>
            </w:hyperlink>
            <w:r w:rsidRPr="004E13E9">
              <w:rPr>
                <w:rFonts w:ascii="Cambria" w:hAnsi="Cambria"/>
                <w:i/>
                <w:color w:val="auto"/>
                <w:sz w:val="20"/>
                <w:szCs w:val="20"/>
              </w:rPr>
              <w:t>)</w:t>
            </w:r>
          </w:p>
        </w:tc>
        <w:tc>
          <w:tcPr>
            <w:tcW w:w="3261" w:type="dxa"/>
            <w:vAlign w:val="center"/>
          </w:tcPr>
          <w:p w14:paraId="6BBEE2D0" w14:textId="77777777" w:rsidR="00B046C3" w:rsidRPr="004E13E9" w:rsidRDefault="00B046C3" w:rsidP="000D1853">
            <w:pPr>
              <w:widowControl w:val="0"/>
              <w:jc w:val="center"/>
              <w:rPr>
                <w:rFonts w:ascii="Cambria" w:hAnsi="Cambria"/>
                <w:i/>
                <w:sz w:val="20"/>
                <w:szCs w:val="20"/>
              </w:rPr>
            </w:pPr>
            <w:r w:rsidRPr="004E13E9">
              <w:rPr>
                <w:rFonts w:ascii="Cambria" w:hAnsi="Cambria"/>
                <w:i/>
                <w:color w:val="auto"/>
                <w:sz w:val="20"/>
                <w:szCs w:val="20"/>
              </w:rPr>
              <w:t>Explication des actions prises par la CPC à des fins de mise en œuvre</w:t>
            </w:r>
          </w:p>
        </w:tc>
        <w:tc>
          <w:tcPr>
            <w:tcW w:w="2126" w:type="dxa"/>
            <w:vAlign w:val="center"/>
          </w:tcPr>
          <w:p w14:paraId="15103728" w14:textId="77777777" w:rsidR="00B046C3" w:rsidRPr="004E13E9" w:rsidRDefault="00B046C3" w:rsidP="000D1853">
            <w:pPr>
              <w:widowControl w:val="0"/>
              <w:jc w:val="center"/>
              <w:rPr>
                <w:rFonts w:ascii="Cambria" w:hAnsi="Cambria"/>
                <w:i/>
                <w:sz w:val="20"/>
                <w:szCs w:val="20"/>
              </w:rPr>
            </w:pPr>
            <w:r w:rsidRPr="004E13E9">
              <w:rPr>
                <w:rFonts w:ascii="Cambria" w:hAnsi="Cambria"/>
                <w:i/>
                <w:color w:val="auto"/>
                <w:sz w:val="20"/>
                <w:szCs w:val="20"/>
              </w:rPr>
              <w:t>Lois ou réglementations nationales pertinentes (le cas échéant)</w:t>
            </w:r>
          </w:p>
        </w:tc>
        <w:tc>
          <w:tcPr>
            <w:tcW w:w="2080" w:type="dxa"/>
            <w:vAlign w:val="center"/>
          </w:tcPr>
          <w:p w14:paraId="2A20BB18" w14:textId="77777777" w:rsidR="00B046C3" w:rsidRPr="004E13E9" w:rsidRDefault="00B046C3" w:rsidP="000D1853">
            <w:pPr>
              <w:widowControl w:val="0"/>
              <w:jc w:val="center"/>
              <w:rPr>
                <w:rFonts w:ascii="Cambria" w:hAnsi="Cambria"/>
                <w:i/>
                <w:sz w:val="20"/>
                <w:szCs w:val="20"/>
              </w:rPr>
            </w:pPr>
            <w:r w:rsidRPr="004E13E9">
              <w:rPr>
                <w:rFonts w:ascii="Cambria" w:hAnsi="Cambria"/>
                <w:i/>
                <w:color w:val="auto"/>
                <w:sz w:val="20"/>
                <w:szCs w:val="20"/>
              </w:rPr>
              <w:t>Note</w:t>
            </w:r>
          </w:p>
        </w:tc>
      </w:tr>
      <w:tr w:rsidR="00B046C3" w:rsidRPr="00C712A4" w14:paraId="4B3D46C5" w14:textId="77777777" w:rsidTr="00F65E2B">
        <w:tc>
          <w:tcPr>
            <w:tcW w:w="500" w:type="dxa"/>
          </w:tcPr>
          <w:p w14:paraId="236AA0E4" w14:textId="77777777" w:rsidR="00B046C3" w:rsidRPr="004E13E9" w:rsidRDefault="00B046C3" w:rsidP="000D1853">
            <w:pPr>
              <w:widowControl w:val="0"/>
              <w:rPr>
                <w:rFonts w:ascii="Cambria" w:hAnsi="Cambria"/>
                <w:b/>
                <w:sz w:val="20"/>
                <w:szCs w:val="20"/>
              </w:rPr>
            </w:pPr>
            <w:r w:rsidRPr="004E13E9">
              <w:rPr>
                <w:rFonts w:ascii="Cambria" w:hAnsi="Cambria"/>
                <w:b/>
                <w:sz w:val="20"/>
                <w:szCs w:val="20"/>
              </w:rPr>
              <w:t>1</w:t>
            </w:r>
          </w:p>
        </w:tc>
        <w:tc>
          <w:tcPr>
            <w:tcW w:w="1763" w:type="dxa"/>
          </w:tcPr>
          <w:p w14:paraId="4CAB12C2" w14:textId="77777777" w:rsidR="00B046C3" w:rsidRPr="004E13E9" w:rsidRDefault="00B046C3" w:rsidP="000D1853">
            <w:pPr>
              <w:rPr>
                <w:rFonts w:ascii="Cambria" w:hAnsi="Cambria"/>
                <w:b/>
                <w:sz w:val="20"/>
                <w:szCs w:val="20"/>
              </w:rPr>
            </w:pPr>
            <w:r w:rsidRPr="004E13E9">
              <w:rPr>
                <w:rFonts w:ascii="Cambria" w:hAnsi="Cambria"/>
                <w:b/>
                <w:color w:val="auto"/>
                <w:sz w:val="20"/>
                <w:szCs w:val="20"/>
              </w:rPr>
              <w:t>Enregistrement et déclaration de la capture (paragraphes 74-88)</w:t>
            </w:r>
          </w:p>
        </w:tc>
        <w:tc>
          <w:tcPr>
            <w:tcW w:w="3261" w:type="dxa"/>
          </w:tcPr>
          <w:p w14:paraId="59FB84B3"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Le carnet de pêche électronique est opérationnel. Au cours de cette année, les capitaines des navires autorisés sont obligés d’utiliser un carnet de pêche relié dans lequel les opérations réalisées seront consignées, conformément aux dispositions prévues à la section A de l’annexe 2 de la Rec. 25-04.</w:t>
            </w:r>
          </w:p>
          <w:p w14:paraId="211EBA45" w14:textId="77777777" w:rsidR="00B046C3" w:rsidRPr="004E13E9" w:rsidRDefault="00B046C3" w:rsidP="000D1853">
            <w:pPr>
              <w:widowControl w:val="0"/>
              <w:rPr>
                <w:rFonts w:ascii="Cambria" w:hAnsi="Cambria"/>
                <w:sz w:val="20"/>
                <w:szCs w:val="20"/>
              </w:rPr>
            </w:pPr>
          </w:p>
          <w:p w14:paraId="32DCAA7B" w14:textId="77777777" w:rsidR="00B046C3" w:rsidRPr="004E13E9" w:rsidRDefault="00B046C3" w:rsidP="000D1853">
            <w:pPr>
              <w:widowControl w:val="0"/>
              <w:jc w:val="both"/>
              <w:rPr>
                <w:rFonts w:ascii="Cambria" w:hAnsi="Cambria" w:cs="Cambria"/>
                <w:color w:val="auto"/>
                <w:sz w:val="20"/>
                <w:szCs w:val="20"/>
              </w:rPr>
            </w:pPr>
            <w:r w:rsidRPr="004E13E9">
              <w:rPr>
                <w:rFonts w:ascii="Cambria" w:hAnsi="Cambria" w:cs="Cambria"/>
                <w:color w:val="auto"/>
                <w:sz w:val="20"/>
                <w:szCs w:val="20"/>
              </w:rPr>
              <w:t xml:space="preserve">Les capitaines des remorqueurs doivent consigner leurs activités conformément aux exigences énoncées à l'annexe 2, section B </w:t>
            </w:r>
            <w:r w:rsidRPr="004E13E9">
              <w:rPr>
                <w:rFonts w:ascii="Cambria" w:hAnsi="Cambria"/>
                <w:sz w:val="20"/>
                <w:szCs w:val="20"/>
              </w:rPr>
              <w:t>de la Rec. 25-04.</w:t>
            </w:r>
            <w:r w:rsidRPr="004E13E9">
              <w:rPr>
                <w:rFonts w:ascii="Cambria" w:hAnsi="Cambria" w:cs="Cambria"/>
                <w:color w:val="auto"/>
                <w:sz w:val="20"/>
                <w:szCs w:val="20"/>
              </w:rPr>
              <w:t xml:space="preserve"> </w:t>
            </w:r>
          </w:p>
          <w:p w14:paraId="5684FA1D" w14:textId="77777777" w:rsidR="00B046C3" w:rsidRPr="004E13E9" w:rsidRDefault="00B046C3" w:rsidP="000D1853">
            <w:pPr>
              <w:widowControl w:val="0"/>
              <w:rPr>
                <w:rFonts w:ascii="Cambria" w:hAnsi="Cambria"/>
                <w:sz w:val="20"/>
                <w:szCs w:val="20"/>
              </w:rPr>
            </w:pPr>
          </w:p>
          <w:p w14:paraId="467C04AC"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Le capitaine du navire de capture devra transmettre chaque jour aux autorités albanaises, pendant toute la période au cours de laquelle il est autorisé à pêcher le thon rouge, les informations quotidiennes figurant dans les carnets de pêche, y compris la date, l'heure, le lieu (latitude et longitude), le poids et le nombre de thons rouges capturés, y compris les remises à l’eau et les rejets de poissons morts inférieurs à la taille minimale visée au paragr. 33.</w:t>
            </w:r>
          </w:p>
          <w:p w14:paraId="1ECC2808" w14:textId="77777777" w:rsidR="00B046C3" w:rsidRPr="004E13E9" w:rsidRDefault="00B046C3" w:rsidP="000D1853">
            <w:pPr>
              <w:widowControl w:val="0"/>
              <w:jc w:val="both"/>
              <w:rPr>
                <w:rFonts w:ascii="Cambria" w:hAnsi="Cambria"/>
                <w:sz w:val="20"/>
                <w:szCs w:val="20"/>
              </w:rPr>
            </w:pPr>
          </w:p>
          <w:p w14:paraId="192883D0" w14:textId="77777777" w:rsidR="00B046C3" w:rsidRPr="004E13E9" w:rsidRDefault="00B046C3" w:rsidP="000D1853">
            <w:pPr>
              <w:autoSpaceDE w:val="0"/>
              <w:autoSpaceDN w:val="0"/>
              <w:adjustRightInd w:val="0"/>
              <w:jc w:val="both"/>
              <w:rPr>
                <w:rFonts w:ascii="Cambria" w:hAnsi="Cambria" w:cs="Cambria"/>
                <w:sz w:val="20"/>
                <w:szCs w:val="20"/>
              </w:rPr>
            </w:pPr>
            <w:r w:rsidRPr="004E13E9">
              <w:rPr>
                <w:rFonts w:ascii="Cambria" w:hAnsi="Cambria" w:cs="Cambria"/>
                <w:sz w:val="20"/>
                <w:szCs w:val="20"/>
              </w:rPr>
              <w:t>Les poissons rejetés morts sont décomptés du quota de l'Albanie.</w:t>
            </w:r>
          </w:p>
          <w:p w14:paraId="42559249" w14:textId="77777777" w:rsidR="00B046C3" w:rsidRPr="004E13E9" w:rsidRDefault="00B046C3" w:rsidP="000D1853">
            <w:pPr>
              <w:autoSpaceDE w:val="0"/>
              <w:autoSpaceDN w:val="0"/>
              <w:adjustRightInd w:val="0"/>
              <w:jc w:val="both"/>
              <w:rPr>
                <w:rFonts w:ascii="Cambria" w:hAnsi="Cambria" w:cs="Cambria"/>
                <w:b/>
                <w:bCs/>
                <w:sz w:val="20"/>
                <w:szCs w:val="20"/>
              </w:rPr>
            </w:pPr>
          </w:p>
          <w:p w14:paraId="67D9DE8C" w14:textId="77777777" w:rsidR="00B046C3" w:rsidRPr="004E13E9" w:rsidRDefault="00B046C3" w:rsidP="000D1853">
            <w:pPr>
              <w:autoSpaceDE w:val="0"/>
              <w:autoSpaceDN w:val="0"/>
              <w:adjustRightInd w:val="0"/>
              <w:jc w:val="both"/>
              <w:rPr>
                <w:rFonts w:ascii="Cambria" w:hAnsi="Cambria" w:cs="Cambria"/>
                <w:sz w:val="20"/>
                <w:szCs w:val="20"/>
              </w:rPr>
            </w:pPr>
            <w:r w:rsidRPr="004E13E9">
              <w:rPr>
                <w:rFonts w:ascii="Cambria" w:hAnsi="Cambria" w:cs="Cambria"/>
                <w:bCs/>
                <w:sz w:val="20"/>
                <w:szCs w:val="20"/>
              </w:rPr>
              <w:t xml:space="preserve">Les capitaines des senneurs devront établir des rapports, y compris les opérations s’étant soldées par des prises zéros. Les rapports devront être transmis par l'opérateur aux autorités albanaises avant 9 heures GMT pour le jour précédent. </w:t>
            </w:r>
          </w:p>
          <w:p w14:paraId="2C3B8D82" w14:textId="77777777" w:rsidR="00B046C3" w:rsidRPr="004E13E9" w:rsidRDefault="00B046C3" w:rsidP="000D1853">
            <w:pPr>
              <w:autoSpaceDE w:val="0"/>
              <w:autoSpaceDN w:val="0"/>
              <w:adjustRightInd w:val="0"/>
              <w:jc w:val="both"/>
              <w:rPr>
                <w:rFonts w:ascii="Cambria" w:hAnsi="Cambria" w:cs="Cambria"/>
                <w:sz w:val="20"/>
                <w:szCs w:val="20"/>
              </w:rPr>
            </w:pPr>
          </w:p>
        </w:tc>
        <w:tc>
          <w:tcPr>
            <w:tcW w:w="2126" w:type="dxa"/>
          </w:tcPr>
          <w:p w14:paraId="03B0763E"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Annexe 4 du DCM Nº 407 </w:t>
            </w:r>
            <w:proofErr w:type="spellStart"/>
            <w:r w:rsidRPr="004E13E9">
              <w:rPr>
                <w:rFonts w:ascii="Cambria" w:hAnsi="Cambria"/>
                <w:sz w:val="20"/>
                <w:szCs w:val="20"/>
              </w:rPr>
              <w:t>dt</w:t>
            </w:r>
            <w:proofErr w:type="spellEnd"/>
            <w:r w:rsidRPr="004E13E9">
              <w:rPr>
                <w:rFonts w:ascii="Cambria" w:hAnsi="Cambria"/>
                <w:sz w:val="20"/>
                <w:szCs w:val="20"/>
              </w:rPr>
              <w:t>. 08/05/2013 «Établissant un système de contrôle pour assurer le respect des règles de la politique de la pêche», mettant en œuvre le règlement de l'UE 1224/2009 et le règlement d'exécution (UE) n°404/2011 établissant les modalités d'application du règlement du Conseil (CE) nº1224/2009 « Mise en place d'un système de contrôle communautaire visant à assurer le respect des règles de la politique commune de la pêche ».</w:t>
            </w:r>
          </w:p>
          <w:p w14:paraId="23B4DCFA" w14:textId="77777777" w:rsidR="00B046C3" w:rsidRPr="004E13E9" w:rsidRDefault="00B046C3" w:rsidP="000D1853">
            <w:pPr>
              <w:widowControl w:val="0"/>
              <w:rPr>
                <w:rFonts w:ascii="Cambria" w:hAnsi="Cambria"/>
                <w:sz w:val="20"/>
                <w:szCs w:val="20"/>
              </w:rPr>
            </w:pPr>
          </w:p>
          <w:p w14:paraId="6C8E1BFD" w14:textId="77777777" w:rsidR="00B046C3" w:rsidRPr="004E13E9" w:rsidRDefault="00B046C3" w:rsidP="000D1853">
            <w:pPr>
              <w:widowControl w:val="0"/>
              <w:rPr>
                <w:rFonts w:ascii="Cambria" w:hAnsi="Cambria"/>
                <w:sz w:val="20"/>
                <w:szCs w:val="20"/>
              </w:rPr>
            </w:pPr>
            <w:r w:rsidRPr="004E13E9">
              <w:rPr>
                <w:rFonts w:ascii="Cambria" w:hAnsi="Cambria"/>
                <w:sz w:val="20"/>
                <w:szCs w:val="20"/>
              </w:rPr>
              <w:t xml:space="preserve">Article 40 du </w:t>
            </w:r>
            <w:hyperlink r:id="rId57" w:history="1">
              <w:r w:rsidRPr="004E13E9">
                <w:rPr>
                  <w:rStyle w:val="Hyperlink"/>
                  <w:rFonts w:ascii="Cambria" w:hAnsi="Cambria"/>
                  <w:sz w:val="20"/>
                  <w:szCs w:val="20"/>
                  <w:u w:val="none"/>
                </w:rPr>
                <w:t>DCM n° 756 du 1/12/2022 « Sur la méthode d'établissement et le fonctionnement du système électronique d'enregistrement et de déclaration des activités de pêche et sur la détermination du délai de sa mise en œuvre ».</w:t>
              </w:r>
            </w:hyperlink>
          </w:p>
          <w:p w14:paraId="22D4A974" w14:textId="77777777" w:rsidR="00B046C3" w:rsidRPr="004E13E9" w:rsidRDefault="00B046C3" w:rsidP="000D1853">
            <w:pPr>
              <w:widowControl w:val="0"/>
              <w:rPr>
                <w:rFonts w:ascii="Cambria" w:hAnsi="Cambria"/>
                <w:sz w:val="20"/>
                <w:szCs w:val="20"/>
              </w:rPr>
            </w:pPr>
          </w:p>
          <w:p w14:paraId="53759A63" w14:textId="77777777" w:rsidR="00B046C3" w:rsidRPr="004E13E9" w:rsidRDefault="00B046C3" w:rsidP="000D1853">
            <w:pPr>
              <w:widowControl w:val="0"/>
              <w:jc w:val="both"/>
              <w:rPr>
                <w:rFonts w:ascii="Cambria" w:hAnsi="Cambria"/>
                <w:sz w:val="20"/>
                <w:szCs w:val="20"/>
              </w:rPr>
            </w:pPr>
            <w:hyperlink r:id="rId58" w:history="1">
              <w:r w:rsidRPr="004E13E9">
                <w:rPr>
                  <w:rStyle w:val="Hyperlink"/>
                  <w:rFonts w:ascii="Cambria" w:hAnsi="Cambria"/>
                  <w:sz w:val="20"/>
                  <w:szCs w:val="20"/>
                  <w:u w:val="none"/>
                </w:rPr>
                <w:t>Arrêté ministériel nº140 du 13 février 2025 aux fins de la mise en œuvre de la (Rec. 24-05)</w:t>
              </w:r>
            </w:hyperlink>
          </w:p>
          <w:p w14:paraId="61B09A3C" w14:textId="77777777" w:rsidR="00B046C3" w:rsidRPr="004E13E9" w:rsidRDefault="00B046C3" w:rsidP="000D1853">
            <w:pPr>
              <w:widowControl w:val="0"/>
              <w:rPr>
                <w:rFonts w:ascii="Cambria" w:hAnsi="Cambria"/>
                <w:sz w:val="20"/>
                <w:szCs w:val="20"/>
              </w:rPr>
            </w:pPr>
          </w:p>
          <w:p w14:paraId="4F19DA92"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Arrêté ministériel n°131/2026 aux fins de la mise en œuvre de la </w:t>
            </w:r>
            <w:r w:rsidRPr="004E13E9">
              <w:rPr>
                <w:rFonts w:ascii="Cambria" w:hAnsi="Cambria"/>
                <w:i/>
                <w:iCs/>
                <w:sz w:val="20"/>
                <w:szCs w:val="20"/>
              </w:rPr>
              <w:t xml:space="preserve">Recommandation de l’ICCAT remplaçant la Recommandation 24-05 établissant un plan pluriannuel de gestion du thon rouge dans </w:t>
            </w:r>
            <w:r w:rsidRPr="004E13E9">
              <w:rPr>
                <w:rFonts w:ascii="Cambria" w:hAnsi="Cambria"/>
                <w:i/>
                <w:iCs/>
                <w:sz w:val="20"/>
                <w:szCs w:val="20"/>
              </w:rPr>
              <w:lastRenderedPageBreak/>
              <w:t xml:space="preserve">l’Atlantique Est et la Méditerranée </w:t>
            </w:r>
            <w:r w:rsidRPr="004E13E9">
              <w:rPr>
                <w:rFonts w:ascii="Cambria" w:hAnsi="Cambria"/>
                <w:sz w:val="20"/>
                <w:szCs w:val="20"/>
              </w:rPr>
              <w:t>(Rec. 25-04).</w:t>
            </w:r>
          </w:p>
        </w:tc>
        <w:tc>
          <w:tcPr>
            <w:tcW w:w="2080" w:type="dxa"/>
          </w:tcPr>
          <w:p w14:paraId="2DE2E6A9" w14:textId="77777777" w:rsidR="00B046C3" w:rsidRPr="004E13E9" w:rsidRDefault="00B046C3" w:rsidP="000D1853">
            <w:pPr>
              <w:widowControl w:val="0"/>
              <w:rPr>
                <w:rFonts w:ascii="Cambria" w:hAnsi="Cambria"/>
                <w:sz w:val="20"/>
                <w:szCs w:val="20"/>
              </w:rPr>
            </w:pPr>
          </w:p>
          <w:p w14:paraId="74B7B024"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En 2024, l'Albanie a commencé à mettre en œuvre l'ERS dans une phase pilote à bord de trois navires, en étroite collaboration avec la CGPM. Sur la base des résultats du projet pilote, les termes de référence concernant l'équipement nécessaire de tous les navires de pêche albanais d'une longueur égale ou supérieure à 12 m sont prêts.</w:t>
            </w:r>
          </w:p>
          <w:p w14:paraId="45ED519C" w14:textId="77777777" w:rsidR="00B046C3" w:rsidRPr="004E13E9" w:rsidRDefault="00B046C3" w:rsidP="000D1853">
            <w:pPr>
              <w:widowControl w:val="0"/>
              <w:rPr>
                <w:rFonts w:ascii="Cambria" w:hAnsi="Cambria"/>
                <w:sz w:val="20"/>
                <w:szCs w:val="20"/>
              </w:rPr>
            </w:pPr>
          </w:p>
          <w:p w14:paraId="3C60A351"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En 2025, le système est devenu pleinement opérationnel et tous les  navires d'une longueur égale ou supérieure à 12 mètres en ont été équipés.</w:t>
            </w:r>
          </w:p>
          <w:p w14:paraId="62662581" w14:textId="77777777" w:rsidR="00B046C3" w:rsidRPr="004E13E9" w:rsidRDefault="00B046C3" w:rsidP="000D1853">
            <w:pPr>
              <w:widowControl w:val="0"/>
              <w:rPr>
                <w:rFonts w:ascii="Cambria" w:hAnsi="Cambria"/>
                <w:sz w:val="20"/>
                <w:szCs w:val="20"/>
              </w:rPr>
            </w:pPr>
          </w:p>
          <w:p w14:paraId="03B99FDB" w14:textId="77777777" w:rsidR="00B046C3" w:rsidRPr="004E13E9" w:rsidRDefault="00B046C3" w:rsidP="000D1853">
            <w:pPr>
              <w:widowControl w:val="0"/>
              <w:rPr>
                <w:rFonts w:ascii="Cambria" w:hAnsi="Cambria"/>
                <w:sz w:val="20"/>
                <w:szCs w:val="20"/>
              </w:rPr>
            </w:pPr>
          </w:p>
          <w:p w14:paraId="03364DCF" w14:textId="77777777" w:rsidR="00B046C3" w:rsidRPr="004E13E9" w:rsidRDefault="00B046C3" w:rsidP="000D1853">
            <w:pPr>
              <w:widowControl w:val="0"/>
              <w:rPr>
                <w:rFonts w:ascii="Cambria" w:hAnsi="Cambria"/>
                <w:sz w:val="20"/>
                <w:szCs w:val="20"/>
              </w:rPr>
            </w:pPr>
          </w:p>
          <w:p w14:paraId="5553A8FB" w14:textId="77777777" w:rsidR="00B046C3" w:rsidRPr="004E13E9" w:rsidRDefault="00B046C3" w:rsidP="000D1853">
            <w:pPr>
              <w:widowControl w:val="0"/>
              <w:rPr>
                <w:rFonts w:ascii="Cambria" w:hAnsi="Cambria"/>
                <w:sz w:val="20"/>
                <w:szCs w:val="20"/>
              </w:rPr>
            </w:pPr>
          </w:p>
          <w:p w14:paraId="05869A87" w14:textId="77777777" w:rsidR="00B046C3" w:rsidRPr="004E13E9" w:rsidRDefault="00B046C3" w:rsidP="000D1853">
            <w:pPr>
              <w:widowControl w:val="0"/>
              <w:rPr>
                <w:rFonts w:ascii="Cambria" w:hAnsi="Cambria"/>
                <w:sz w:val="20"/>
                <w:szCs w:val="20"/>
              </w:rPr>
            </w:pPr>
          </w:p>
          <w:p w14:paraId="17E2E265" w14:textId="77777777" w:rsidR="00B046C3" w:rsidRPr="004E13E9" w:rsidRDefault="00B046C3" w:rsidP="000D1853">
            <w:pPr>
              <w:widowControl w:val="0"/>
              <w:rPr>
                <w:rFonts w:ascii="Cambria" w:hAnsi="Cambria"/>
                <w:sz w:val="20"/>
                <w:szCs w:val="20"/>
              </w:rPr>
            </w:pPr>
          </w:p>
          <w:p w14:paraId="7613FCC1" w14:textId="77777777" w:rsidR="00B046C3" w:rsidRPr="004E13E9" w:rsidRDefault="00B046C3" w:rsidP="000D1853">
            <w:pPr>
              <w:widowControl w:val="0"/>
              <w:rPr>
                <w:rFonts w:ascii="Cambria" w:hAnsi="Cambria"/>
                <w:sz w:val="20"/>
                <w:szCs w:val="20"/>
              </w:rPr>
            </w:pPr>
          </w:p>
          <w:p w14:paraId="77D45D90" w14:textId="77777777" w:rsidR="00B046C3" w:rsidRPr="004E13E9" w:rsidRDefault="00B046C3" w:rsidP="000D1853">
            <w:pPr>
              <w:widowControl w:val="0"/>
              <w:rPr>
                <w:rFonts w:ascii="Cambria" w:hAnsi="Cambria"/>
                <w:sz w:val="20"/>
                <w:szCs w:val="20"/>
              </w:rPr>
            </w:pPr>
            <w:r w:rsidRPr="004E13E9">
              <w:rPr>
                <w:rFonts w:ascii="Cambria" w:hAnsi="Cambria"/>
                <w:sz w:val="20"/>
                <w:szCs w:val="20"/>
              </w:rPr>
              <w:t>Le DCM a déterminé que le système devrait être prêt en 2025.</w:t>
            </w:r>
          </w:p>
          <w:p w14:paraId="29165B6B" w14:textId="77777777" w:rsidR="00B046C3" w:rsidRPr="004E13E9" w:rsidRDefault="00B046C3" w:rsidP="000D1853">
            <w:pPr>
              <w:widowControl w:val="0"/>
              <w:rPr>
                <w:rFonts w:ascii="Cambria" w:hAnsi="Cambria"/>
                <w:sz w:val="20"/>
                <w:szCs w:val="20"/>
              </w:rPr>
            </w:pPr>
          </w:p>
          <w:p w14:paraId="59BDE652" w14:textId="77777777" w:rsidR="00B046C3" w:rsidRPr="004E13E9" w:rsidRDefault="00B046C3" w:rsidP="000D1853">
            <w:pPr>
              <w:widowControl w:val="0"/>
              <w:rPr>
                <w:rFonts w:ascii="Cambria" w:hAnsi="Cambria"/>
                <w:sz w:val="20"/>
                <w:szCs w:val="20"/>
              </w:rPr>
            </w:pPr>
          </w:p>
          <w:p w14:paraId="6539B872" w14:textId="77777777" w:rsidR="00B046C3" w:rsidRPr="004E13E9" w:rsidRDefault="00B046C3" w:rsidP="000D1853">
            <w:pPr>
              <w:widowControl w:val="0"/>
              <w:rPr>
                <w:rFonts w:ascii="Cambria" w:hAnsi="Cambria"/>
                <w:sz w:val="20"/>
                <w:szCs w:val="20"/>
              </w:rPr>
            </w:pPr>
          </w:p>
          <w:p w14:paraId="7265D364" w14:textId="77777777" w:rsidR="00B046C3" w:rsidRPr="004E13E9" w:rsidRDefault="00B046C3" w:rsidP="000D1853">
            <w:pPr>
              <w:widowControl w:val="0"/>
              <w:rPr>
                <w:rFonts w:ascii="Cambria" w:hAnsi="Cambria"/>
                <w:sz w:val="20"/>
                <w:szCs w:val="20"/>
              </w:rPr>
            </w:pPr>
          </w:p>
          <w:p w14:paraId="476B8556" w14:textId="77777777" w:rsidR="00B046C3" w:rsidRPr="004E13E9" w:rsidRDefault="00B046C3" w:rsidP="000D1853">
            <w:pPr>
              <w:widowControl w:val="0"/>
              <w:rPr>
                <w:rFonts w:ascii="Cambria" w:hAnsi="Cambria"/>
                <w:sz w:val="20"/>
                <w:szCs w:val="20"/>
              </w:rPr>
            </w:pPr>
          </w:p>
          <w:p w14:paraId="02E6FE33" w14:textId="77777777" w:rsidR="00B046C3" w:rsidRPr="004E13E9" w:rsidRDefault="00B046C3" w:rsidP="000D1853">
            <w:pPr>
              <w:widowControl w:val="0"/>
              <w:rPr>
                <w:rFonts w:ascii="Cambria" w:hAnsi="Cambria"/>
                <w:sz w:val="20"/>
                <w:szCs w:val="20"/>
              </w:rPr>
            </w:pPr>
          </w:p>
          <w:p w14:paraId="72B2A8B7" w14:textId="77777777" w:rsidR="00B046C3" w:rsidRPr="004E13E9" w:rsidRDefault="00B046C3" w:rsidP="000D1853">
            <w:pPr>
              <w:widowControl w:val="0"/>
              <w:rPr>
                <w:rFonts w:ascii="Cambria" w:hAnsi="Cambria"/>
                <w:sz w:val="20"/>
                <w:szCs w:val="20"/>
              </w:rPr>
            </w:pPr>
          </w:p>
          <w:p w14:paraId="4AFF6B8B" w14:textId="77777777" w:rsidR="00B046C3" w:rsidRPr="004E13E9" w:rsidRDefault="00B046C3" w:rsidP="000D1853">
            <w:pPr>
              <w:widowControl w:val="0"/>
              <w:rPr>
                <w:rFonts w:ascii="Cambria" w:hAnsi="Cambria"/>
                <w:sz w:val="20"/>
                <w:szCs w:val="20"/>
              </w:rPr>
            </w:pPr>
          </w:p>
          <w:p w14:paraId="43CD9607" w14:textId="77777777" w:rsidR="00B046C3" w:rsidRPr="004E13E9" w:rsidRDefault="00B046C3" w:rsidP="000D1853">
            <w:pPr>
              <w:widowControl w:val="0"/>
              <w:rPr>
                <w:rFonts w:ascii="Cambria" w:hAnsi="Cambria"/>
                <w:sz w:val="20"/>
                <w:szCs w:val="20"/>
              </w:rPr>
            </w:pPr>
          </w:p>
          <w:p w14:paraId="41015EEA" w14:textId="77777777" w:rsidR="00B046C3" w:rsidRPr="004E13E9" w:rsidRDefault="00B046C3" w:rsidP="000D1853">
            <w:pPr>
              <w:widowControl w:val="0"/>
              <w:rPr>
                <w:rFonts w:ascii="Cambria" w:hAnsi="Cambria"/>
                <w:sz w:val="20"/>
                <w:szCs w:val="20"/>
              </w:rPr>
            </w:pPr>
          </w:p>
          <w:p w14:paraId="6CA2FEB6" w14:textId="77777777" w:rsidR="00B046C3" w:rsidRPr="004E13E9" w:rsidRDefault="00B046C3" w:rsidP="000D1853">
            <w:pPr>
              <w:widowControl w:val="0"/>
              <w:rPr>
                <w:rFonts w:ascii="Cambria" w:hAnsi="Cambria"/>
                <w:sz w:val="20"/>
                <w:szCs w:val="20"/>
              </w:rPr>
            </w:pPr>
          </w:p>
          <w:p w14:paraId="441285CD" w14:textId="77777777" w:rsidR="00B046C3" w:rsidRPr="004E13E9" w:rsidRDefault="00B046C3" w:rsidP="000D1853">
            <w:pPr>
              <w:widowControl w:val="0"/>
              <w:rPr>
                <w:rFonts w:ascii="Cambria" w:hAnsi="Cambria"/>
                <w:sz w:val="20"/>
                <w:szCs w:val="20"/>
              </w:rPr>
            </w:pPr>
          </w:p>
          <w:p w14:paraId="15A3E2B7" w14:textId="77777777" w:rsidR="00B046C3" w:rsidRPr="004E13E9" w:rsidRDefault="00B046C3" w:rsidP="000D1853">
            <w:pPr>
              <w:widowControl w:val="0"/>
              <w:rPr>
                <w:rFonts w:ascii="Cambria" w:hAnsi="Cambria"/>
                <w:sz w:val="20"/>
                <w:szCs w:val="20"/>
              </w:rPr>
            </w:pPr>
          </w:p>
        </w:tc>
      </w:tr>
      <w:tr w:rsidR="00B046C3" w:rsidRPr="00C712A4" w14:paraId="26DAE2EB" w14:textId="77777777" w:rsidTr="00F65E2B">
        <w:trPr>
          <w:trHeight w:val="6576"/>
        </w:trPr>
        <w:tc>
          <w:tcPr>
            <w:tcW w:w="500" w:type="dxa"/>
          </w:tcPr>
          <w:p w14:paraId="08D0C791" w14:textId="77777777" w:rsidR="00B046C3" w:rsidRPr="004E13E9" w:rsidRDefault="00B046C3" w:rsidP="000D1853">
            <w:pPr>
              <w:widowControl w:val="0"/>
              <w:rPr>
                <w:rFonts w:ascii="Cambria" w:hAnsi="Cambria"/>
                <w:b/>
                <w:sz w:val="20"/>
                <w:szCs w:val="20"/>
              </w:rPr>
            </w:pPr>
            <w:r w:rsidRPr="004E13E9">
              <w:rPr>
                <w:rFonts w:ascii="Cambria" w:hAnsi="Cambria"/>
                <w:b/>
                <w:sz w:val="20"/>
                <w:szCs w:val="20"/>
              </w:rPr>
              <w:t>2</w:t>
            </w:r>
          </w:p>
        </w:tc>
        <w:tc>
          <w:tcPr>
            <w:tcW w:w="1763" w:type="dxa"/>
          </w:tcPr>
          <w:p w14:paraId="4C84AA8A" w14:textId="77777777" w:rsidR="00B046C3" w:rsidRPr="004E13E9" w:rsidRDefault="00B046C3" w:rsidP="000D1853">
            <w:pPr>
              <w:widowControl w:val="0"/>
              <w:rPr>
                <w:rFonts w:ascii="Cambria" w:hAnsi="Cambria"/>
                <w:b/>
                <w:sz w:val="20"/>
                <w:szCs w:val="20"/>
              </w:rPr>
            </w:pPr>
            <w:r w:rsidRPr="004E13E9">
              <w:rPr>
                <w:rFonts w:ascii="Cambria" w:hAnsi="Cambria"/>
                <w:b/>
                <w:color w:val="auto"/>
                <w:sz w:val="20"/>
                <w:szCs w:val="20"/>
              </w:rPr>
              <w:t>Périodes d’ouverture de la pêche (paragr. 28-32)</w:t>
            </w:r>
          </w:p>
          <w:p w14:paraId="285F3953" w14:textId="77777777" w:rsidR="00B046C3" w:rsidRPr="004E13E9" w:rsidRDefault="00B046C3" w:rsidP="00F65E2B">
            <w:pPr>
              <w:widowControl w:val="0"/>
              <w:rPr>
                <w:rFonts w:ascii="Cambria" w:hAnsi="Cambria"/>
                <w:b/>
                <w:sz w:val="20"/>
                <w:szCs w:val="20"/>
              </w:rPr>
            </w:pPr>
          </w:p>
        </w:tc>
        <w:tc>
          <w:tcPr>
            <w:tcW w:w="3261" w:type="dxa"/>
          </w:tcPr>
          <w:p w14:paraId="6826E07E"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La pêche du thon rouge à la senne devra être autorisée en Méditerranée durant la période comprise entre le 19 mai et le 1er juillet 2026.</w:t>
            </w:r>
          </w:p>
          <w:p w14:paraId="367F3C95" w14:textId="77777777" w:rsidR="00B046C3" w:rsidRPr="004E13E9" w:rsidRDefault="00B046C3" w:rsidP="000D1853">
            <w:pPr>
              <w:autoSpaceDE w:val="0"/>
              <w:autoSpaceDN w:val="0"/>
              <w:adjustRightInd w:val="0"/>
              <w:jc w:val="both"/>
              <w:rPr>
                <w:rFonts w:ascii="Cambria" w:hAnsi="Cambria" w:cs="Cambria"/>
                <w:sz w:val="20"/>
                <w:szCs w:val="20"/>
              </w:rPr>
            </w:pPr>
          </w:p>
          <w:p w14:paraId="4A43EECE" w14:textId="77777777" w:rsidR="00B046C3" w:rsidRPr="004E13E9" w:rsidRDefault="00B046C3" w:rsidP="000D1853">
            <w:pPr>
              <w:autoSpaceDE w:val="0"/>
              <w:autoSpaceDN w:val="0"/>
              <w:adjustRightInd w:val="0"/>
              <w:jc w:val="both"/>
              <w:rPr>
                <w:rFonts w:ascii="Cambria" w:hAnsi="Cambria" w:cs="Cambria"/>
                <w:sz w:val="20"/>
                <w:szCs w:val="20"/>
              </w:rPr>
            </w:pPr>
            <w:r w:rsidRPr="004E13E9">
              <w:rPr>
                <w:rFonts w:ascii="Cambria" w:hAnsi="Cambria" w:cs="Cambria"/>
                <w:sz w:val="20"/>
                <w:szCs w:val="20"/>
              </w:rPr>
              <w:t>Si les conditions météorologiques empêchent la réalisation des opérations de pêche, les autorités albanaises pourront décider que les saisons de pêche soient prolongées par le nombre équivalent de jours perdus jusqu’à un maximum de 10 jours.</w:t>
            </w:r>
          </w:p>
          <w:p w14:paraId="2B2D2409" w14:textId="77777777" w:rsidR="00B046C3" w:rsidRPr="004E13E9" w:rsidRDefault="00B046C3" w:rsidP="000D1853">
            <w:pPr>
              <w:autoSpaceDE w:val="0"/>
              <w:autoSpaceDN w:val="0"/>
              <w:adjustRightInd w:val="0"/>
              <w:jc w:val="both"/>
              <w:rPr>
                <w:rFonts w:ascii="Cambria" w:hAnsi="Cambria" w:cs="Cambria"/>
                <w:sz w:val="20"/>
                <w:szCs w:val="20"/>
              </w:rPr>
            </w:pPr>
          </w:p>
          <w:p w14:paraId="7DCC46E1"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La période de pêche sera étendue dans le cas de vent de force 4 ou plus sur l’échelle de Beaufort. L’évaluation de la durée des mauvaises conditions météorologiques à des fins d’extension se fonde sur les rapports du VMS apportant la preuve que tous les navires sont à l’arrêt, y compris tous les navires participant à des opérations de pêche conjointes.</w:t>
            </w:r>
          </w:p>
        </w:tc>
        <w:tc>
          <w:tcPr>
            <w:tcW w:w="2126" w:type="dxa"/>
          </w:tcPr>
          <w:p w14:paraId="20C82F3C" w14:textId="77777777" w:rsidR="00B046C3" w:rsidRPr="004E13E9" w:rsidRDefault="00B046C3" w:rsidP="000D1853">
            <w:pPr>
              <w:widowControl w:val="0"/>
              <w:jc w:val="both"/>
              <w:rPr>
                <w:rFonts w:ascii="Cambria" w:eastAsia="Times New Roman" w:hAnsi="Cambria"/>
                <w:sz w:val="20"/>
                <w:szCs w:val="20"/>
              </w:rPr>
            </w:pPr>
            <w:r w:rsidRPr="004E13E9">
              <w:rPr>
                <w:rFonts w:ascii="Cambria" w:hAnsi="Cambria"/>
                <w:sz w:val="20"/>
                <w:szCs w:val="20"/>
              </w:rPr>
              <w:t xml:space="preserve">Autorisation de pêche </w:t>
            </w:r>
          </w:p>
          <w:p w14:paraId="3AC8D043" w14:textId="77777777" w:rsidR="00B046C3" w:rsidRPr="004E13E9" w:rsidRDefault="00B046C3" w:rsidP="000D1853">
            <w:pPr>
              <w:widowControl w:val="0"/>
              <w:rPr>
                <w:rFonts w:ascii="Cambria" w:hAnsi="Cambria"/>
                <w:sz w:val="20"/>
                <w:szCs w:val="20"/>
              </w:rPr>
            </w:pPr>
          </w:p>
          <w:p w14:paraId="44EA6E69"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Arrêté ministériel nº140 du 13 février 2025 aux fins de la mise en œuvre de la </w:t>
            </w:r>
            <w:r w:rsidRPr="004E13E9">
              <w:rPr>
                <w:rFonts w:ascii="Cambria" w:hAnsi="Cambria"/>
                <w:i/>
                <w:iCs/>
                <w:sz w:val="20"/>
                <w:szCs w:val="20"/>
              </w:rPr>
              <w:t xml:space="preserve">Recommandation de l’ICCAT amendant la Recommandation 22-08 établissant un plan pluriannuel de gestion du thon rouge dans l’Atlantique Est et la Méditerranée </w:t>
            </w:r>
            <w:r w:rsidRPr="004E13E9">
              <w:rPr>
                <w:rFonts w:ascii="Cambria" w:hAnsi="Cambria"/>
                <w:sz w:val="20"/>
                <w:szCs w:val="20"/>
              </w:rPr>
              <w:t>(Rec. 24-05).</w:t>
            </w:r>
          </w:p>
          <w:p w14:paraId="709A8457" w14:textId="77777777" w:rsidR="00B046C3" w:rsidRPr="004E13E9" w:rsidRDefault="00B046C3" w:rsidP="000D1853">
            <w:pPr>
              <w:widowControl w:val="0"/>
              <w:jc w:val="both"/>
              <w:rPr>
                <w:rFonts w:ascii="Cambria" w:hAnsi="Cambria"/>
                <w:sz w:val="20"/>
                <w:szCs w:val="20"/>
              </w:rPr>
            </w:pPr>
          </w:p>
          <w:p w14:paraId="72D3E168"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Arrêté ministériel n°131/2026 aux fins de la mise en œuvre de la </w:t>
            </w:r>
            <w:r w:rsidRPr="004E13E9">
              <w:rPr>
                <w:rFonts w:ascii="Cambria" w:hAnsi="Cambria"/>
                <w:i/>
                <w:iCs/>
                <w:sz w:val="20"/>
                <w:szCs w:val="20"/>
              </w:rPr>
              <w:t xml:space="preserve">Recommandation de l’ICCAT remplaçant la Recommandation 24-05 établissant un plan pluriannuel de gestion du thon rouge dans l’Atlantique Est et la Méditerranée </w:t>
            </w:r>
            <w:r w:rsidRPr="004E13E9">
              <w:rPr>
                <w:rFonts w:ascii="Cambria" w:hAnsi="Cambria"/>
                <w:sz w:val="20"/>
                <w:szCs w:val="20"/>
              </w:rPr>
              <w:t>(Rec. 25-04).</w:t>
            </w:r>
          </w:p>
        </w:tc>
        <w:tc>
          <w:tcPr>
            <w:tcW w:w="2080" w:type="dxa"/>
          </w:tcPr>
          <w:p w14:paraId="457B50E3" w14:textId="77777777" w:rsidR="00B046C3" w:rsidRPr="004E13E9" w:rsidRDefault="00B046C3" w:rsidP="000D1853">
            <w:pPr>
              <w:widowControl w:val="0"/>
              <w:rPr>
                <w:rFonts w:ascii="Cambria" w:hAnsi="Cambria"/>
                <w:sz w:val="20"/>
                <w:szCs w:val="20"/>
              </w:rPr>
            </w:pPr>
          </w:p>
        </w:tc>
      </w:tr>
      <w:tr w:rsidR="00B046C3" w:rsidRPr="00C712A4" w14:paraId="28D283DD" w14:textId="77777777" w:rsidTr="00F65E2B">
        <w:tc>
          <w:tcPr>
            <w:tcW w:w="500" w:type="dxa"/>
          </w:tcPr>
          <w:p w14:paraId="36400BAB" w14:textId="77777777" w:rsidR="00B046C3" w:rsidRPr="004E13E9" w:rsidRDefault="00B046C3" w:rsidP="000D1853">
            <w:pPr>
              <w:widowControl w:val="0"/>
              <w:rPr>
                <w:rFonts w:ascii="Cambria" w:hAnsi="Cambria"/>
                <w:b/>
                <w:sz w:val="20"/>
                <w:szCs w:val="20"/>
              </w:rPr>
            </w:pPr>
            <w:r w:rsidRPr="004E13E9">
              <w:rPr>
                <w:rFonts w:ascii="Cambria" w:hAnsi="Cambria"/>
                <w:b/>
                <w:sz w:val="20"/>
                <w:szCs w:val="20"/>
              </w:rPr>
              <w:t>3</w:t>
            </w:r>
          </w:p>
        </w:tc>
        <w:tc>
          <w:tcPr>
            <w:tcW w:w="1763" w:type="dxa"/>
          </w:tcPr>
          <w:p w14:paraId="520C5EBC" w14:textId="77777777" w:rsidR="00B046C3" w:rsidRPr="004E13E9" w:rsidRDefault="00B046C3" w:rsidP="000D1853">
            <w:pPr>
              <w:widowControl w:val="0"/>
              <w:rPr>
                <w:rFonts w:ascii="Cambria" w:hAnsi="Cambria"/>
                <w:b/>
                <w:sz w:val="20"/>
                <w:szCs w:val="20"/>
              </w:rPr>
            </w:pPr>
            <w:r w:rsidRPr="004E13E9">
              <w:rPr>
                <w:rFonts w:ascii="Cambria" w:hAnsi="Cambria"/>
                <w:b/>
                <w:color w:val="auto"/>
                <w:sz w:val="20"/>
                <w:szCs w:val="20"/>
              </w:rPr>
              <w:t>Taille minimale (paragraphes 33-35)</w:t>
            </w:r>
          </w:p>
        </w:tc>
        <w:tc>
          <w:tcPr>
            <w:tcW w:w="3261" w:type="dxa"/>
          </w:tcPr>
          <w:p w14:paraId="3F9B344E"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La capture, la rétention à bord, le transbordement, le transfert, le débarquement, le transport, le stockage, la vente, l’exposition ou la proposition de vente de thon rouge d’un poids inférieur à 30 kg ou d’une longueur à la fourche de moins de 115 cm sont interdits.</w:t>
            </w:r>
          </w:p>
          <w:p w14:paraId="40325E4A" w14:textId="77777777" w:rsidR="00B046C3" w:rsidRPr="004E13E9" w:rsidRDefault="00B046C3" w:rsidP="000D1853">
            <w:pPr>
              <w:widowControl w:val="0"/>
              <w:jc w:val="both"/>
              <w:rPr>
                <w:rFonts w:ascii="Cambria" w:hAnsi="Cambria"/>
                <w:sz w:val="20"/>
                <w:szCs w:val="20"/>
              </w:rPr>
            </w:pPr>
          </w:p>
          <w:p w14:paraId="6758216F" w14:textId="77777777" w:rsidR="00B046C3" w:rsidRPr="004E13E9" w:rsidRDefault="00B046C3" w:rsidP="000D1853">
            <w:pPr>
              <w:autoSpaceDE w:val="0"/>
              <w:autoSpaceDN w:val="0"/>
              <w:adjustRightInd w:val="0"/>
              <w:jc w:val="both"/>
              <w:rPr>
                <w:rFonts w:ascii="Cambria" w:hAnsi="Cambria" w:cs="Cambria"/>
                <w:sz w:val="20"/>
                <w:szCs w:val="20"/>
              </w:rPr>
            </w:pPr>
            <w:r w:rsidRPr="004E13E9">
              <w:rPr>
                <w:rFonts w:ascii="Cambria" w:hAnsi="Cambria" w:cs="Cambria"/>
                <w:sz w:val="20"/>
                <w:szCs w:val="20"/>
              </w:rPr>
              <w:t>L’Albanie ne capture pas de thon rouge dans la mer Adriatique à des fins d’élevage (paragraphe 34, point c).</w:t>
            </w:r>
          </w:p>
          <w:p w14:paraId="3B079663" w14:textId="77777777" w:rsidR="00B046C3" w:rsidRPr="004E13E9" w:rsidRDefault="00B046C3" w:rsidP="000D1853">
            <w:pPr>
              <w:autoSpaceDE w:val="0"/>
              <w:autoSpaceDN w:val="0"/>
              <w:adjustRightInd w:val="0"/>
              <w:jc w:val="both"/>
              <w:rPr>
                <w:rFonts w:ascii="Cambria" w:hAnsi="Cambria" w:cs="Cambria"/>
                <w:sz w:val="20"/>
                <w:szCs w:val="20"/>
              </w:rPr>
            </w:pPr>
          </w:p>
          <w:p w14:paraId="2D211F7E" w14:textId="77777777" w:rsidR="00B046C3" w:rsidRPr="004E13E9" w:rsidRDefault="00B046C3" w:rsidP="000D1853">
            <w:pPr>
              <w:autoSpaceDE w:val="0"/>
              <w:autoSpaceDN w:val="0"/>
              <w:adjustRightInd w:val="0"/>
              <w:jc w:val="both"/>
              <w:rPr>
                <w:rFonts w:ascii="Cambria" w:hAnsi="Cambria" w:cs="Cambria"/>
                <w:sz w:val="20"/>
                <w:szCs w:val="20"/>
              </w:rPr>
            </w:pPr>
            <w:r w:rsidRPr="004E13E9">
              <w:rPr>
                <w:rFonts w:ascii="Cambria" w:hAnsi="Cambria" w:cs="Cambria"/>
                <w:sz w:val="20"/>
                <w:szCs w:val="20"/>
              </w:rPr>
              <w:t>Si un thon rouge d'une taille inférieure à la taille minimale est capturé et conservé ou rejeté mort, il sera confisqué et déduit du quota de l'Albanie.</w:t>
            </w:r>
          </w:p>
        </w:tc>
        <w:tc>
          <w:tcPr>
            <w:tcW w:w="2126" w:type="dxa"/>
          </w:tcPr>
          <w:p w14:paraId="6AC20235"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Arrêté ministériel nº140 du 13 février 2025 aux fins de la mise en œuvre de la </w:t>
            </w:r>
            <w:r w:rsidRPr="004E13E9">
              <w:rPr>
                <w:rFonts w:ascii="Cambria" w:hAnsi="Cambria"/>
                <w:i/>
                <w:iCs/>
                <w:sz w:val="20"/>
                <w:szCs w:val="20"/>
              </w:rPr>
              <w:t xml:space="preserve">Recommandation de l’ICCAT amendant la Recommandation 22-08 établissant un plan pluriannuel de gestion du thon rouge dans l’Atlantique Est et la Méditerranée </w:t>
            </w:r>
            <w:r w:rsidRPr="004E13E9">
              <w:rPr>
                <w:rFonts w:ascii="Cambria" w:hAnsi="Cambria"/>
                <w:sz w:val="20"/>
                <w:szCs w:val="20"/>
              </w:rPr>
              <w:t>(Rec. 24-05).</w:t>
            </w:r>
          </w:p>
          <w:p w14:paraId="2FDB9880" w14:textId="77777777" w:rsidR="00B046C3" w:rsidRPr="004E13E9" w:rsidRDefault="00B046C3" w:rsidP="000D1853">
            <w:pPr>
              <w:widowControl w:val="0"/>
              <w:jc w:val="both"/>
              <w:rPr>
                <w:rFonts w:ascii="Cambria" w:hAnsi="Cambria"/>
                <w:sz w:val="20"/>
                <w:szCs w:val="20"/>
              </w:rPr>
            </w:pPr>
          </w:p>
          <w:p w14:paraId="167639E6" w14:textId="77777777" w:rsidR="00B046C3" w:rsidRPr="004E13E9" w:rsidRDefault="00B046C3" w:rsidP="000D1853">
            <w:pPr>
              <w:widowControl w:val="0"/>
              <w:jc w:val="both"/>
              <w:rPr>
                <w:rFonts w:ascii="Cambria" w:hAnsi="Cambria"/>
                <w:sz w:val="20"/>
                <w:szCs w:val="20"/>
              </w:rPr>
            </w:pPr>
          </w:p>
          <w:p w14:paraId="5097E666"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Arrêté ministériel n°131/2026 aux fins de la mise en œuvre de la </w:t>
            </w:r>
            <w:r w:rsidRPr="004E13E9">
              <w:rPr>
                <w:rFonts w:ascii="Cambria" w:hAnsi="Cambria"/>
                <w:i/>
                <w:iCs/>
                <w:sz w:val="20"/>
                <w:szCs w:val="20"/>
              </w:rPr>
              <w:t xml:space="preserve">Recommandation de l’ICCAT remplaçant la Recommandation 24-05 établissant un plan pluriannuel de gestion du thon rouge dans l’Atlantique Est et la Méditerranée </w:t>
            </w:r>
            <w:r w:rsidRPr="004E13E9">
              <w:rPr>
                <w:rFonts w:ascii="Cambria" w:hAnsi="Cambria"/>
                <w:sz w:val="20"/>
                <w:szCs w:val="20"/>
              </w:rPr>
              <w:t>(Rec. 25-04).</w:t>
            </w:r>
          </w:p>
        </w:tc>
        <w:tc>
          <w:tcPr>
            <w:tcW w:w="2080" w:type="dxa"/>
          </w:tcPr>
          <w:p w14:paraId="6E6EB995" w14:textId="77777777" w:rsidR="00B046C3" w:rsidRPr="004E13E9" w:rsidRDefault="00B046C3" w:rsidP="000D1853">
            <w:pPr>
              <w:widowControl w:val="0"/>
              <w:rPr>
                <w:rFonts w:ascii="Cambria" w:hAnsi="Cambria"/>
                <w:color w:val="auto"/>
                <w:sz w:val="20"/>
                <w:szCs w:val="20"/>
              </w:rPr>
            </w:pPr>
          </w:p>
        </w:tc>
      </w:tr>
      <w:tr w:rsidR="00B046C3" w:rsidRPr="00C712A4" w14:paraId="20B69160" w14:textId="77777777" w:rsidTr="00F65E2B">
        <w:tc>
          <w:tcPr>
            <w:tcW w:w="500" w:type="dxa"/>
          </w:tcPr>
          <w:p w14:paraId="2F197D25" w14:textId="77777777" w:rsidR="00B046C3" w:rsidRPr="004E13E9" w:rsidRDefault="00B046C3" w:rsidP="000D1853">
            <w:pPr>
              <w:widowControl w:val="0"/>
              <w:rPr>
                <w:rFonts w:ascii="Cambria" w:hAnsi="Cambria"/>
                <w:b/>
                <w:sz w:val="20"/>
                <w:szCs w:val="20"/>
              </w:rPr>
            </w:pPr>
            <w:r w:rsidRPr="004E13E9">
              <w:rPr>
                <w:rFonts w:ascii="Cambria" w:hAnsi="Cambria"/>
                <w:b/>
                <w:sz w:val="20"/>
                <w:szCs w:val="20"/>
              </w:rPr>
              <w:lastRenderedPageBreak/>
              <w:t>4</w:t>
            </w:r>
          </w:p>
        </w:tc>
        <w:tc>
          <w:tcPr>
            <w:tcW w:w="1763" w:type="dxa"/>
          </w:tcPr>
          <w:p w14:paraId="7FE2AF55" w14:textId="77777777" w:rsidR="00B046C3" w:rsidRPr="004E13E9" w:rsidRDefault="00B046C3" w:rsidP="000D1853">
            <w:pPr>
              <w:widowControl w:val="0"/>
              <w:rPr>
                <w:rFonts w:ascii="Cambria" w:hAnsi="Cambria"/>
                <w:b/>
                <w:sz w:val="20"/>
                <w:szCs w:val="20"/>
              </w:rPr>
            </w:pPr>
            <w:r w:rsidRPr="004E13E9">
              <w:rPr>
                <w:rFonts w:ascii="Cambria" w:hAnsi="Cambria"/>
                <w:b/>
                <w:color w:val="auto"/>
                <w:sz w:val="20"/>
                <w:szCs w:val="20"/>
              </w:rPr>
              <w:t>Prises accessoires (paragraphe 37)</w:t>
            </w:r>
          </w:p>
        </w:tc>
        <w:tc>
          <w:tcPr>
            <w:tcW w:w="3261" w:type="dxa"/>
          </w:tcPr>
          <w:p w14:paraId="366D473E"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La capture de thon rouge en tant que prise accessoire n'est pas autorisée même si l'Albanie alloue 1 (une) tonne comme quota spécifique pour la capture accessoire de thon rouge, considérant que sa flottille de senneurs ciblant les petits pélagiques exerce son activité dans la mer Adriatique. En vertu du paragraphe 37 de la Rec. 24-05 et 25-04, toutes les CPC devront attribuer un quota spécifique aux prises accessoires de thon rouge et l'Albanie allouera 1 (une) tonne comme quota spécifique de prises accessoires de thon rouge.</w:t>
            </w:r>
          </w:p>
          <w:p w14:paraId="1952D6A4"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Selon la législation albanaise, toutes les captures des navires de pêche de plus de 10 mètres doivent être enregistrées et débarquées, articles 75 et 82 de la loi albanaise sur la pêche n° 64/2012 (obligation de débarquement) et la capture de thon rouge en tant que prise accessoire n'est pas autorisée, tous les poissons morts sont confisqués.</w:t>
            </w:r>
          </w:p>
          <w:p w14:paraId="1A00FF23" w14:textId="77777777" w:rsidR="00B046C3" w:rsidRPr="004E13E9" w:rsidRDefault="00B046C3" w:rsidP="000D1853">
            <w:pPr>
              <w:widowControl w:val="0"/>
              <w:jc w:val="both"/>
              <w:rPr>
                <w:rFonts w:ascii="Cambria" w:hAnsi="Cambria"/>
                <w:sz w:val="20"/>
                <w:szCs w:val="20"/>
              </w:rPr>
            </w:pPr>
          </w:p>
          <w:p w14:paraId="3348A5FA"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Si le quota spécifique pour les prises accessoires est épuisé, toutes les prises accessoires de thons rouges morts, qu’elles soient retenues à bord ou rejetées, devront être déduites du quota de l’Albanie et déclarées à l’ICCAT.</w:t>
            </w:r>
          </w:p>
          <w:p w14:paraId="05142D82" w14:textId="77777777" w:rsidR="00B046C3" w:rsidRPr="004E13E9" w:rsidRDefault="00B046C3" w:rsidP="000D1853">
            <w:pPr>
              <w:widowControl w:val="0"/>
              <w:jc w:val="both"/>
              <w:rPr>
                <w:rFonts w:ascii="Cambria" w:hAnsi="Cambria"/>
                <w:sz w:val="20"/>
                <w:szCs w:val="20"/>
              </w:rPr>
            </w:pPr>
          </w:p>
          <w:p w14:paraId="722284DA"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Toutes les prises accessoires de thon rouge vivant devront immédiatement être remises à l’eau.</w:t>
            </w:r>
          </w:p>
          <w:p w14:paraId="314F9AFA" w14:textId="77777777" w:rsidR="00B046C3" w:rsidRPr="004E13E9" w:rsidRDefault="00B046C3" w:rsidP="000D1853">
            <w:pPr>
              <w:widowControl w:val="0"/>
              <w:jc w:val="both"/>
              <w:rPr>
                <w:rFonts w:ascii="Cambria" w:hAnsi="Cambria"/>
                <w:sz w:val="20"/>
                <w:szCs w:val="20"/>
              </w:rPr>
            </w:pPr>
          </w:p>
          <w:p w14:paraId="55F9455B"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L'Albanie devra communiquer chaque année au Secrétariat de l'ICCAT les informations relatives à ces quantités (spécimens débarqués morts ou rejetés à l’eau vivants).</w:t>
            </w:r>
          </w:p>
        </w:tc>
        <w:tc>
          <w:tcPr>
            <w:tcW w:w="2126" w:type="dxa"/>
          </w:tcPr>
          <w:p w14:paraId="56E69A69"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Arrêté ministériel nº140 du 13 février 2025 aux fins de la mise en œuvre de la </w:t>
            </w:r>
            <w:r w:rsidRPr="004E13E9">
              <w:rPr>
                <w:rFonts w:ascii="Cambria" w:hAnsi="Cambria"/>
                <w:i/>
                <w:iCs/>
                <w:sz w:val="20"/>
                <w:szCs w:val="20"/>
              </w:rPr>
              <w:t xml:space="preserve">Recommandation de l’ICCAT amendant la Recommandation 22-08 établissant un plan pluriannuel de gestion du thon rouge dans l’Atlantique Est et la Méditerranée </w:t>
            </w:r>
            <w:r w:rsidRPr="004E13E9">
              <w:rPr>
                <w:rFonts w:ascii="Cambria" w:hAnsi="Cambria"/>
                <w:sz w:val="20"/>
                <w:szCs w:val="20"/>
              </w:rPr>
              <w:t>(Rec. 24-05).</w:t>
            </w:r>
          </w:p>
          <w:p w14:paraId="67BE8CA1" w14:textId="77777777" w:rsidR="00B046C3" w:rsidRPr="004E13E9" w:rsidRDefault="00B046C3" w:rsidP="000D1853">
            <w:pPr>
              <w:widowControl w:val="0"/>
              <w:jc w:val="both"/>
              <w:rPr>
                <w:rFonts w:ascii="Cambria" w:hAnsi="Cambria"/>
                <w:sz w:val="20"/>
                <w:szCs w:val="20"/>
              </w:rPr>
            </w:pPr>
          </w:p>
          <w:p w14:paraId="1425D834"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Arrêté ministériel n°131/2026 aux fins de la mise en œuvre de la </w:t>
            </w:r>
            <w:r w:rsidRPr="004E13E9">
              <w:rPr>
                <w:rFonts w:ascii="Cambria" w:hAnsi="Cambria"/>
                <w:i/>
                <w:iCs/>
                <w:sz w:val="20"/>
                <w:szCs w:val="20"/>
              </w:rPr>
              <w:t xml:space="preserve">Recommandation de l’ICCAT remplaçant la Recommandation 24-05 établissant un plan pluriannuel de gestion du thon rouge dans l’Atlantique Est et la Méditerranée </w:t>
            </w:r>
            <w:r w:rsidRPr="004E13E9">
              <w:rPr>
                <w:rFonts w:ascii="Cambria" w:hAnsi="Cambria"/>
                <w:sz w:val="20"/>
                <w:szCs w:val="20"/>
              </w:rPr>
              <w:t>(Rec. 25-04).</w:t>
            </w:r>
          </w:p>
          <w:p w14:paraId="0AE402F5" w14:textId="77777777" w:rsidR="00B046C3" w:rsidRPr="004E13E9" w:rsidRDefault="00B046C3" w:rsidP="000D1853">
            <w:pPr>
              <w:widowControl w:val="0"/>
              <w:jc w:val="both"/>
              <w:rPr>
                <w:rFonts w:ascii="Cambria" w:hAnsi="Cambria"/>
                <w:sz w:val="20"/>
                <w:szCs w:val="20"/>
              </w:rPr>
            </w:pPr>
          </w:p>
          <w:p w14:paraId="68523017" w14:textId="77777777" w:rsidR="00B046C3" w:rsidRPr="004E13E9" w:rsidRDefault="00B046C3" w:rsidP="000D1853">
            <w:pPr>
              <w:widowControl w:val="0"/>
              <w:jc w:val="both"/>
              <w:rPr>
                <w:rFonts w:ascii="Cambria" w:hAnsi="Cambria"/>
                <w:sz w:val="20"/>
                <w:szCs w:val="20"/>
              </w:rPr>
            </w:pPr>
          </w:p>
        </w:tc>
        <w:tc>
          <w:tcPr>
            <w:tcW w:w="2080" w:type="dxa"/>
          </w:tcPr>
          <w:p w14:paraId="340BE050" w14:textId="77777777" w:rsidR="00B046C3" w:rsidRPr="004E13E9" w:rsidRDefault="00B046C3" w:rsidP="000D1853">
            <w:pPr>
              <w:jc w:val="both"/>
              <w:rPr>
                <w:rFonts w:ascii="Cambria" w:hAnsi="Cambria"/>
                <w:color w:val="auto"/>
                <w:sz w:val="20"/>
                <w:szCs w:val="20"/>
              </w:rPr>
            </w:pPr>
            <w:r w:rsidRPr="004E13E9">
              <w:rPr>
                <w:rFonts w:ascii="Cambria" w:hAnsi="Cambria"/>
                <w:color w:val="auto"/>
                <w:sz w:val="20"/>
                <w:szCs w:val="20"/>
              </w:rPr>
              <w:t>L'Albanie a notifié au Secrétariat de l'ICCAT, le 8 janvier 2020 (para 57, Rec. 19-04), les 252 kg de BFT capturés en septembre 2019, hors de la période d'autorisation, par un senneur dans la mer Adriatique ciblant les petits pélagiques et a déduit cette quantité du quota albanais dans le Plan de pêche 2020.</w:t>
            </w:r>
          </w:p>
          <w:p w14:paraId="46A91D80" w14:textId="77777777" w:rsidR="00B046C3" w:rsidRPr="004E13E9" w:rsidRDefault="00B046C3" w:rsidP="000D1853">
            <w:pPr>
              <w:jc w:val="both"/>
              <w:rPr>
                <w:rFonts w:ascii="Cambria" w:hAnsi="Cambria"/>
                <w:color w:val="auto"/>
                <w:sz w:val="20"/>
                <w:szCs w:val="20"/>
              </w:rPr>
            </w:pPr>
          </w:p>
          <w:p w14:paraId="60DD996E" w14:textId="77777777" w:rsidR="00B046C3" w:rsidRPr="004E13E9" w:rsidRDefault="00B046C3" w:rsidP="000D1853">
            <w:pPr>
              <w:jc w:val="both"/>
              <w:rPr>
                <w:rFonts w:ascii="Cambria" w:hAnsi="Cambria"/>
                <w:color w:val="auto"/>
                <w:sz w:val="20"/>
                <w:szCs w:val="20"/>
              </w:rPr>
            </w:pPr>
            <w:r w:rsidRPr="004E13E9">
              <w:rPr>
                <w:rFonts w:ascii="Cambria" w:hAnsi="Cambria"/>
                <w:color w:val="auto"/>
                <w:sz w:val="20"/>
                <w:szCs w:val="20"/>
              </w:rPr>
              <w:t>Au lieu de 170.000 kg, dans le plan de pêche de 2020, l'Albanie avait un quota réduit de 169.748 kg, en raison des 252 kg capturés comme prises accessoires en dehors de la période d'autorisation.</w:t>
            </w:r>
          </w:p>
          <w:p w14:paraId="3053FA50" w14:textId="77777777" w:rsidR="00B046C3" w:rsidRPr="004E13E9" w:rsidRDefault="00B046C3" w:rsidP="000D1853">
            <w:pPr>
              <w:jc w:val="both"/>
              <w:rPr>
                <w:rFonts w:ascii="Cambria" w:hAnsi="Cambria"/>
                <w:color w:val="auto"/>
                <w:sz w:val="20"/>
                <w:szCs w:val="20"/>
              </w:rPr>
            </w:pPr>
            <w:r w:rsidRPr="004E13E9">
              <w:rPr>
                <w:rFonts w:ascii="Cambria" w:hAnsi="Cambria"/>
                <w:color w:val="auto"/>
                <w:sz w:val="20"/>
                <w:szCs w:val="20"/>
              </w:rPr>
              <w:t>Au cours des années 2020, 2021, 2022, 2023 et 2024, il n'y a pas eu de prises accessoires de thon rouge capturées dans d'autres pêcheries par la flottille de pêche albanaise.</w:t>
            </w:r>
          </w:p>
        </w:tc>
      </w:tr>
      <w:tr w:rsidR="00B046C3" w:rsidRPr="00C712A4" w14:paraId="6C729214" w14:textId="77777777" w:rsidTr="00F65E2B">
        <w:tc>
          <w:tcPr>
            <w:tcW w:w="500" w:type="dxa"/>
          </w:tcPr>
          <w:p w14:paraId="16F3E033" w14:textId="77777777" w:rsidR="00B046C3" w:rsidRPr="004E13E9" w:rsidRDefault="00B046C3" w:rsidP="000D1853">
            <w:pPr>
              <w:widowControl w:val="0"/>
              <w:rPr>
                <w:rFonts w:ascii="Cambria" w:hAnsi="Cambria"/>
                <w:b/>
                <w:sz w:val="20"/>
                <w:szCs w:val="20"/>
              </w:rPr>
            </w:pPr>
            <w:r w:rsidRPr="004E13E9">
              <w:rPr>
                <w:rFonts w:ascii="Cambria" w:hAnsi="Cambria"/>
                <w:b/>
                <w:sz w:val="20"/>
                <w:szCs w:val="20"/>
              </w:rPr>
              <w:t>5</w:t>
            </w:r>
          </w:p>
        </w:tc>
        <w:tc>
          <w:tcPr>
            <w:tcW w:w="1763" w:type="dxa"/>
          </w:tcPr>
          <w:p w14:paraId="24ECD394" w14:textId="77777777" w:rsidR="00B046C3" w:rsidRPr="004E13E9" w:rsidRDefault="00B046C3" w:rsidP="000D1853">
            <w:pPr>
              <w:widowControl w:val="0"/>
              <w:rPr>
                <w:rFonts w:ascii="Cambria" w:hAnsi="Cambria"/>
                <w:b/>
                <w:sz w:val="20"/>
                <w:szCs w:val="20"/>
              </w:rPr>
            </w:pPr>
            <w:r w:rsidRPr="004E13E9">
              <w:rPr>
                <w:rFonts w:ascii="Cambria" w:hAnsi="Cambria"/>
                <w:b/>
                <w:bCs/>
                <w:color w:val="auto"/>
                <w:sz w:val="20"/>
                <w:szCs w:val="20"/>
              </w:rPr>
              <w:t>Pêcheries récréatives et sportives (paragraphes 38-46)</w:t>
            </w:r>
          </w:p>
        </w:tc>
        <w:tc>
          <w:tcPr>
            <w:tcW w:w="3261" w:type="dxa"/>
          </w:tcPr>
          <w:p w14:paraId="2C7DA072"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Aucun quota n’est alloué aux fins des pêcheries sportives et récréatives et cette activité de pêche n'est pas autorisée.</w:t>
            </w:r>
          </w:p>
          <w:p w14:paraId="6A80FA6C" w14:textId="77777777" w:rsidR="00B046C3" w:rsidRPr="004E13E9" w:rsidRDefault="00B046C3" w:rsidP="000D1853">
            <w:pPr>
              <w:widowControl w:val="0"/>
              <w:rPr>
                <w:rFonts w:ascii="Cambria" w:hAnsi="Cambria"/>
                <w:sz w:val="20"/>
                <w:szCs w:val="20"/>
              </w:rPr>
            </w:pPr>
          </w:p>
        </w:tc>
        <w:tc>
          <w:tcPr>
            <w:tcW w:w="2126" w:type="dxa"/>
          </w:tcPr>
          <w:p w14:paraId="7113E63C"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Arrêté ministériel nº140 du 13 février 2025 aux fins de la mise en œuvre de la </w:t>
            </w:r>
            <w:r w:rsidRPr="004E13E9">
              <w:rPr>
                <w:rFonts w:ascii="Cambria" w:hAnsi="Cambria"/>
                <w:i/>
                <w:iCs/>
                <w:sz w:val="20"/>
                <w:szCs w:val="20"/>
              </w:rPr>
              <w:t xml:space="preserve">Recommandation de l’ICCAT amendant la Recommandation 22-08 établissant un plan pluriannuel de gestion du thon rouge dans l’Atlantique Est et la Méditerranée </w:t>
            </w:r>
            <w:r w:rsidRPr="004E13E9">
              <w:rPr>
                <w:rFonts w:ascii="Cambria" w:hAnsi="Cambria"/>
                <w:sz w:val="20"/>
                <w:szCs w:val="20"/>
              </w:rPr>
              <w:t>(Rec. 24-</w:t>
            </w:r>
            <w:r w:rsidRPr="004E13E9">
              <w:rPr>
                <w:rFonts w:ascii="Cambria" w:hAnsi="Cambria"/>
                <w:sz w:val="20"/>
                <w:szCs w:val="20"/>
              </w:rPr>
              <w:lastRenderedPageBreak/>
              <w:t>05)</w:t>
            </w:r>
          </w:p>
          <w:p w14:paraId="2374864F" w14:textId="77777777" w:rsidR="00B046C3" w:rsidRPr="004E13E9" w:rsidRDefault="00B046C3" w:rsidP="000D1853">
            <w:pPr>
              <w:widowControl w:val="0"/>
              <w:jc w:val="both"/>
              <w:rPr>
                <w:rFonts w:ascii="Cambria" w:hAnsi="Cambria"/>
                <w:sz w:val="20"/>
                <w:szCs w:val="20"/>
              </w:rPr>
            </w:pPr>
          </w:p>
          <w:p w14:paraId="48513793"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Arrêté ministériel n°131/2026 aux fins de la mise en œuvre de la </w:t>
            </w:r>
            <w:r w:rsidRPr="004E13E9">
              <w:rPr>
                <w:rFonts w:ascii="Cambria" w:hAnsi="Cambria"/>
                <w:i/>
                <w:iCs/>
                <w:sz w:val="20"/>
                <w:szCs w:val="20"/>
              </w:rPr>
              <w:t xml:space="preserve">Recommandation de l’ICCAT remplaçant la Recommandation 24-05 établissant un plan pluriannuel de gestion du thon rouge dans l’Atlantique Est et la Méditerranée </w:t>
            </w:r>
            <w:r w:rsidRPr="004E13E9">
              <w:rPr>
                <w:rFonts w:ascii="Cambria" w:hAnsi="Cambria"/>
                <w:sz w:val="20"/>
                <w:szCs w:val="20"/>
              </w:rPr>
              <w:t>(Rec. 25-04).</w:t>
            </w:r>
          </w:p>
        </w:tc>
        <w:tc>
          <w:tcPr>
            <w:tcW w:w="2080" w:type="dxa"/>
          </w:tcPr>
          <w:p w14:paraId="6ECDE90D" w14:textId="77777777" w:rsidR="00B046C3" w:rsidRPr="004E13E9" w:rsidRDefault="00B046C3" w:rsidP="000D1853">
            <w:pPr>
              <w:widowControl w:val="0"/>
              <w:rPr>
                <w:rFonts w:ascii="Cambria" w:hAnsi="Cambria"/>
                <w:sz w:val="20"/>
                <w:szCs w:val="20"/>
              </w:rPr>
            </w:pPr>
          </w:p>
        </w:tc>
      </w:tr>
      <w:tr w:rsidR="00B046C3" w:rsidRPr="004E13E9" w14:paraId="1D1C556A" w14:textId="77777777" w:rsidTr="00F65E2B">
        <w:tc>
          <w:tcPr>
            <w:tcW w:w="500" w:type="dxa"/>
          </w:tcPr>
          <w:p w14:paraId="025AFAF0" w14:textId="77777777" w:rsidR="00B046C3" w:rsidRPr="004E13E9" w:rsidRDefault="00B046C3" w:rsidP="000D1853">
            <w:pPr>
              <w:widowControl w:val="0"/>
              <w:rPr>
                <w:rFonts w:ascii="Cambria" w:hAnsi="Cambria"/>
                <w:b/>
                <w:sz w:val="20"/>
                <w:szCs w:val="20"/>
              </w:rPr>
            </w:pPr>
            <w:r w:rsidRPr="004E13E9">
              <w:rPr>
                <w:rFonts w:ascii="Cambria" w:hAnsi="Cambria"/>
                <w:b/>
                <w:sz w:val="20"/>
                <w:szCs w:val="20"/>
              </w:rPr>
              <w:t>6</w:t>
            </w:r>
          </w:p>
        </w:tc>
        <w:tc>
          <w:tcPr>
            <w:tcW w:w="1763" w:type="dxa"/>
          </w:tcPr>
          <w:p w14:paraId="77596B6D" w14:textId="77777777" w:rsidR="00B046C3" w:rsidRPr="004E13E9" w:rsidRDefault="00B046C3" w:rsidP="000D1853">
            <w:pPr>
              <w:widowControl w:val="0"/>
              <w:rPr>
                <w:rFonts w:ascii="Cambria" w:hAnsi="Cambria"/>
                <w:b/>
                <w:sz w:val="20"/>
                <w:szCs w:val="20"/>
              </w:rPr>
            </w:pPr>
            <w:r w:rsidRPr="004E13E9">
              <w:rPr>
                <w:rFonts w:ascii="Cambria" w:hAnsi="Cambria"/>
                <w:b/>
                <w:color w:val="auto"/>
                <w:sz w:val="20"/>
                <w:szCs w:val="20"/>
              </w:rPr>
              <w:t>Transbordement (paragraphes 89-94)</w:t>
            </w:r>
          </w:p>
        </w:tc>
        <w:tc>
          <w:tcPr>
            <w:tcW w:w="3261" w:type="dxa"/>
          </w:tcPr>
          <w:p w14:paraId="3C7B352D"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Les opérations de débarquement et de transbordement de thon rouge ne devront être autorisées que dans les ports désignés de </w:t>
            </w:r>
            <w:proofErr w:type="spellStart"/>
            <w:r w:rsidRPr="004E13E9">
              <w:rPr>
                <w:rFonts w:ascii="Cambria" w:hAnsi="Cambria"/>
                <w:sz w:val="20"/>
                <w:szCs w:val="20"/>
              </w:rPr>
              <w:t>Shengjin</w:t>
            </w:r>
            <w:proofErr w:type="spellEnd"/>
            <w:r w:rsidRPr="004E13E9">
              <w:rPr>
                <w:rFonts w:ascii="Cambria" w:hAnsi="Cambria"/>
                <w:sz w:val="20"/>
                <w:szCs w:val="20"/>
              </w:rPr>
              <w:t xml:space="preserve"> et de Saranda.</w:t>
            </w:r>
          </w:p>
          <w:p w14:paraId="5DB3E493" w14:textId="77777777" w:rsidR="00B046C3" w:rsidRPr="004E13E9" w:rsidRDefault="00B046C3" w:rsidP="000D1853">
            <w:pPr>
              <w:widowControl w:val="0"/>
              <w:jc w:val="both"/>
              <w:rPr>
                <w:rFonts w:ascii="Cambria" w:hAnsi="Cambria"/>
                <w:sz w:val="20"/>
                <w:szCs w:val="20"/>
              </w:rPr>
            </w:pPr>
          </w:p>
          <w:p w14:paraId="5954C473"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Avant l’entrée au port de </w:t>
            </w:r>
            <w:proofErr w:type="spellStart"/>
            <w:r w:rsidRPr="004E13E9">
              <w:rPr>
                <w:rFonts w:ascii="Cambria" w:hAnsi="Cambria"/>
                <w:sz w:val="20"/>
                <w:szCs w:val="20"/>
              </w:rPr>
              <w:t>Shengjin</w:t>
            </w:r>
            <w:proofErr w:type="spellEnd"/>
            <w:r w:rsidRPr="004E13E9">
              <w:rPr>
                <w:rFonts w:ascii="Cambria" w:hAnsi="Cambria"/>
                <w:sz w:val="20"/>
                <w:szCs w:val="20"/>
              </w:rPr>
              <w:t>, le navire de pêche récepteur, ou son représentant, devra transmettre aux autorités albanaises, 72 heures au moins avant l’heure d’arrivée estimée, les informations énumérées à l'annexe 3, conformément à la législation nationale de l’État du port. Tout transbordement requiert l’autorisation préalable de la CPC de pavillon du navire de pêche concerné réalisant le transbordement.</w:t>
            </w:r>
          </w:p>
        </w:tc>
        <w:tc>
          <w:tcPr>
            <w:tcW w:w="2126" w:type="dxa"/>
          </w:tcPr>
          <w:p w14:paraId="240162F2"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Arrêté ministériel nº140 du 13 février 2025 aux fins de la mise en œuvre de la </w:t>
            </w:r>
            <w:r w:rsidRPr="004E13E9">
              <w:rPr>
                <w:rFonts w:ascii="Cambria" w:hAnsi="Cambria"/>
                <w:i/>
                <w:iCs/>
                <w:sz w:val="20"/>
                <w:szCs w:val="20"/>
              </w:rPr>
              <w:t xml:space="preserve">Recommandation de l’ICCAT amendant la Recommandation 22-08 établissant un plan pluriannuel de gestion du thon rouge dans l’Atlantique Est et la Méditerranée </w:t>
            </w:r>
            <w:r w:rsidRPr="004E13E9">
              <w:rPr>
                <w:rFonts w:ascii="Cambria" w:hAnsi="Cambria"/>
                <w:sz w:val="20"/>
                <w:szCs w:val="20"/>
              </w:rPr>
              <w:t>(Rec. 24-05)</w:t>
            </w:r>
          </w:p>
          <w:p w14:paraId="643D985B" w14:textId="77777777" w:rsidR="00B046C3" w:rsidRPr="004E13E9" w:rsidRDefault="00B046C3" w:rsidP="000D1853">
            <w:pPr>
              <w:widowControl w:val="0"/>
              <w:jc w:val="both"/>
              <w:rPr>
                <w:rFonts w:ascii="Cambria" w:hAnsi="Cambria"/>
                <w:sz w:val="20"/>
                <w:szCs w:val="20"/>
              </w:rPr>
            </w:pPr>
          </w:p>
          <w:p w14:paraId="2A0ACEF9"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Arrêté ministériel n°131/2026 aux fins de la mise en œuvre de la </w:t>
            </w:r>
            <w:r w:rsidRPr="004E13E9">
              <w:rPr>
                <w:rFonts w:ascii="Cambria" w:hAnsi="Cambria"/>
                <w:i/>
                <w:iCs/>
                <w:sz w:val="20"/>
                <w:szCs w:val="20"/>
              </w:rPr>
              <w:t xml:space="preserve">Recommandation de l’ICCAT remplaçant la Recommandation 24-05 établissant un plan pluriannuel de gestion du thon rouge dans l’Atlantique Est et la Méditerranée </w:t>
            </w:r>
            <w:r w:rsidRPr="004E13E9">
              <w:rPr>
                <w:rFonts w:ascii="Cambria" w:hAnsi="Cambria"/>
                <w:sz w:val="20"/>
                <w:szCs w:val="20"/>
              </w:rPr>
              <w:t>(Rec. 25-04).</w:t>
            </w:r>
          </w:p>
        </w:tc>
        <w:tc>
          <w:tcPr>
            <w:tcW w:w="2080" w:type="dxa"/>
          </w:tcPr>
          <w:p w14:paraId="7BB30038" w14:textId="77777777" w:rsidR="00B046C3" w:rsidRPr="004E13E9" w:rsidRDefault="00B046C3" w:rsidP="000D1853">
            <w:pPr>
              <w:widowControl w:val="0"/>
              <w:rPr>
                <w:rFonts w:ascii="Cambria" w:hAnsi="Cambria"/>
                <w:sz w:val="20"/>
                <w:szCs w:val="20"/>
              </w:rPr>
            </w:pPr>
            <w:r w:rsidRPr="004E13E9">
              <w:rPr>
                <w:rFonts w:ascii="Cambria" w:hAnsi="Cambria"/>
                <w:sz w:val="20"/>
                <w:szCs w:val="20"/>
              </w:rPr>
              <w:t>CP24 ci-joint</w:t>
            </w:r>
          </w:p>
        </w:tc>
      </w:tr>
      <w:tr w:rsidR="00B046C3" w:rsidRPr="00C712A4" w14:paraId="64E5ED68" w14:textId="77777777" w:rsidTr="00F65E2B">
        <w:tc>
          <w:tcPr>
            <w:tcW w:w="500" w:type="dxa"/>
          </w:tcPr>
          <w:p w14:paraId="63057ABA" w14:textId="77777777" w:rsidR="00B046C3" w:rsidRPr="004E13E9" w:rsidRDefault="00B046C3" w:rsidP="000D1853">
            <w:pPr>
              <w:widowControl w:val="0"/>
              <w:rPr>
                <w:rFonts w:ascii="Cambria" w:hAnsi="Cambria"/>
                <w:b/>
                <w:sz w:val="20"/>
                <w:szCs w:val="20"/>
              </w:rPr>
            </w:pPr>
            <w:r w:rsidRPr="004E13E9">
              <w:rPr>
                <w:rFonts w:ascii="Cambria" w:hAnsi="Cambria"/>
                <w:b/>
                <w:color w:val="auto"/>
                <w:sz w:val="20"/>
                <w:szCs w:val="20"/>
              </w:rPr>
              <w:t>7</w:t>
            </w:r>
          </w:p>
        </w:tc>
        <w:tc>
          <w:tcPr>
            <w:tcW w:w="1763" w:type="dxa"/>
          </w:tcPr>
          <w:p w14:paraId="64422CC0" w14:textId="77777777" w:rsidR="00B046C3" w:rsidRPr="004E13E9" w:rsidRDefault="00B046C3" w:rsidP="000D1853">
            <w:pPr>
              <w:widowControl w:val="0"/>
              <w:rPr>
                <w:rFonts w:ascii="Cambria" w:hAnsi="Cambria"/>
                <w:b/>
                <w:sz w:val="20"/>
                <w:szCs w:val="20"/>
              </w:rPr>
            </w:pPr>
            <w:r w:rsidRPr="004E13E9">
              <w:rPr>
                <w:rFonts w:ascii="Cambria" w:hAnsi="Cambria"/>
                <w:b/>
                <w:color w:val="auto"/>
                <w:sz w:val="20"/>
                <w:szCs w:val="20"/>
              </w:rPr>
              <w:t>VMS (paragraphes 222-228)</w:t>
            </w:r>
          </w:p>
        </w:tc>
        <w:tc>
          <w:tcPr>
            <w:tcW w:w="3261" w:type="dxa"/>
          </w:tcPr>
          <w:p w14:paraId="59BBB344" w14:textId="77777777" w:rsidR="00B046C3" w:rsidRPr="004E13E9" w:rsidRDefault="00B046C3" w:rsidP="000D1853">
            <w:pPr>
              <w:autoSpaceDE w:val="0"/>
              <w:autoSpaceDN w:val="0"/>
              <w:adjustRightInd w:val="0"/>
              <w:rPr>
                <w:rFonts w:ascii="Cambria" w:hAnsi="Cambria" w:cs="Cambria"/>
                <w:sz w:val="20"/>
                <w:szCs w:val="20"/>
              </w:rPr>
            </w:pPr>
            <w:r w:rsidRPr="004E13E9">
              <w:rPr>
                <w:rFonts w:ascii="Cambria" w:hAnsi="Cambria" w:cs="Cambria"/>
                <w:sz w:val="20"/>
                <w:szCs w:val="20"/>
              </w:rPr>
              <w:t>Mise en œuvre du VMS à bord des navires de capture et de remorquage et taux de transmission d'au moins une fois par heure.</w:t>
            </w:r>
          </w:p>
          <w:p w14:paraId="10D918AA" w14:textId="77777777" w:rsidR="00B046C3" w:rsidRPr="004E13E9" w:rsidRDefault="00B046C3" w:rsidP="000D1853">
            <w:pPr>
              <w:autoSpaceDE w:val="0"/>
              <w:autoSpaceDN w:val="0"/>
              <w:adjustRightInd w:val="0"/>
              <w:rPr>
                <w:rFonts w:ascii="Cambria" w:hAnsi="Cambria" w:cs="Cambria"/>
                <w:sz w:val="20"/>
                <w:szCs w:val="20"/>
              </w:rPr>
            </w:pPr>
          </w:p>
          <w:p w14:paraId="7393E6E1" w14:textId="77777777" w:rsidR="00B046C3" w:rsidRPr="004E13E9" w:rsidRDefault="00B046C3" w:rsidP="000D1853">
            <w:pPr>
              <w:autoSpaceDE w:val="0"/>
              <w:autoSpaceDN w:val="0"/>
              <w:adjustRightInd w:val="0"/>
              <w:jc w:val="both"/>
              <w:rPr>
                <w:rFonts w:ascii="Cambria" w:hAnsi="Cambria" w:cs="Cambria"/>
                <w:sz w:val="20"/>
                <w:szCs w:val="20"/>
              </w:rPr>
            </w:pPr>
            <w:r w:rsidRPr="004E13E9">
              <w:rPr>
                <w:rFonts w:ascii="Cambria" w:hAnsi="Cambria" w:cs="Cambria"/>
                <w:sz w:val="20"/>
                <w:szCs w:val="20"/>
              </w:rPr>
              <w:t>La transmission des positions des navires de capture et de remorquage commence 5 jours avant la période d'autorisation de chaque navire et se poursuit jusqu'à 5 jours après la fin de l'autorisation.</w:t>
            </w:r>
          </w:p>
          <w:p w14:paraId="0C0D3DA1" w14:textId="77777777" w:rsidR="00B046C3" w:rsidRPr="004E13E9" w:rsidRDefault="00B046C3" w:rsidP="000D1853">
            <w:pPr>
              <w:autoSpaceDE w:val="0"/>
              <w:autoSpaceDN w:val="0"/>
              <w:adjustRightInd w:val="0"/>
              <w:jc w:val="both"/>
              <w:rPr>
                <w:rFonts w:ascii="Cambria" w:hAnsi="Cambria" w:cs="Cambria"/>
                <w:sz w:val="20"/>
                <w:szCs w:val="20"/>
              </w:rPr>
            </w:pPr>
          </w:p>
          <w:p w14:paraId="7301EE93" w14:textId="77777777" w:rsidR="00B046C3" w:rsidRPr="004E13E9" w:rsidRDefault="00B046C3" w:rsidP="000D1853">
            <w:pPr>
              <w:autoSpaceDE w:val="0"/>
              <w:autoSpaceDN w:val="0"/>
              <w:adjustRightInd w:val="0"/>
              <w:jc w:val="both"/>
              <w:rPr>
                <w:rFonts w:ascii="Cambria" w:hAnsi="Cambria" w:cs="Cambria"/>
                <w:sz w:val="20"/>
                <w:szCs w:val="20"/>
              </w:rPr>
            </w:pPr>
            <w:r w:rsidRPr="004E13E9">
              <w:rPr>
                <w:rFonts w:ascii="Cambria" w:hAnsi="Cambria" w:cs="Cambria"/>
                <w:sz w:val="20"/>
                <w:szCs w:val="20"/>
              </w:rPr>
              <w:t>La transmission des données VMS au Secrétariat de l'ICCAT par chaque navire autorisé ne doit pas être interrompue lorsque le navire est au port, pour des raisons de contrôle.</w:t>
            </w:r>
          </w:p>
          <w:p w14:paraId="2C2A7A3C" w14:textId="77777777" w:rsidR="00B046C3" w:rsidRPr="004E13E9" w:rsidRDefault="00B046C3" w:rsidP="000D1853">
            <w:pPr>
              <w:widowControl w:val="0"/>
              <w:rPr>
                <w:rFonts w:ascii="Cambria" w:hAnsi="Cambria"/>
                <w:sz w:val="20"/>
                <w:szCs w:val="20"/>
              </w:rPr>
            </w:pPr>
          </w:p>
        </w:tc>
        <w:tc>
          <w:tcPr>
            <w:tcW w:w="2126" w:type="dxa"/>
          </w:tcPr>
          <w:p w14:paraId="74A01AF2"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lastRenderedPageBreak/>
              <w:t>Loi Nº 64/2012 sur la pêche amendée, Article 72: Système de suivi des navires</w:t>
            </w:r>
          </w:p>
          <w:p w14:paraId="3D36BD3C" w14:textId="77777777" w:rsidR="00B046C3" w:rsidRPr="004E13E9" w:rsidRDefault="00B046C3" w:rsidP="000D1853">
            <w:pPr>
              <w:widowControl w:val="0"/>
              <w:jc w:val="both"/>
              <w:rPr>
                <w:rFonts w:ascii="Cambria" w:hAnsi="Cambria"/>
                <w:sz w:val="20"/>
                <w:szCs w:val="20"/>
              </w:rPr>
            </w:pPr>
          </w:p>
          <w:p w14:paraId="7806826E"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1. Les navires de pêche d’une longueur égale ou supérieure à 12 mètres devront installer à leur bord l’équipement approprié permettant leur identification et localisation automatiques, à un intervalle approprié, à des intervalles spécifiés, par le biais de la transmission des </w:t>
            </w:r>
            <w:r w:rsidRPr="004E13E9">
              <w:rPr>
                <w:rFonts w:ascii="Cambria" w:hAnsi="Cambria"/>
                <w:sz w:val="20"/>
                <w:szCs w:val="20"/>
              </w:rPr>
              <w:lastRenderedPageBreak/>
              <w:t>données sur l’emplacement approprié sur le système satellitaire.</w:t>
            </w:r>
          </w:p>
          <w:p w14:paraId="2CC6BBC9" w14:textId="77777777" w:rsidR="00B046C3" w:rsidRPr="004E13E9" w:rsidRDefault="00B046C3" w:rsidP="000D1853">
            <w:pPr>
              <w:widowControl w:val="0"/>
              <w:jc w:val="both"/>
              <w:rPr>
                <w:rFonts w:ascii="Cambria" w:hAnsi="Cambria"/>
                <w:sz w:val="20"/>
                <w:szCs w:val="20"/>
              </w:rPr>
            </w:pPr>
          </w:p>
          <w:p w14:paraId="5F1ED161"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1/1. Le ministère devra mettre en place un système de surveillance des navires par satellite afin de contrôler efficacement les activités de pêche des navires de pêche battant pavillon albanais, où qu'ils se trouvent, ainsi que les activités de pêche de ces navires dans les eaux internationales ».</w:t>
            </w:r>
          </w:p>
        </w:tc>
        <w:tc>
          <w:tcPr>
            <w:tcW w:w="2080" w:type="dxa"/>
          </w:tcPr>
          <w:p w14:paraId="3C535B64" w14:textId="77777777" w:rsidR="00B046C3" w:rsidRPr="004E13E9" w:rsidRDefault="00B046C3" w:rsidP="000D1853">
            <w:pPr>
              <w:widowControl w:val="0"/>
              <w:rPr>
                <w:rFonts w:ascii="Cambria" w:hAnsi="Cambria"/>
                <w:sz w:val="20"/>
                <w:szCs w:val="20"/>
              </w:rPr>
            </w:pPr>
          </w:p>
        </w:tc>
      </w:tr>
      <w:tr w:rsidR="00B046C3" w:rsidRPr="00C712A4" w14:paraId="3D9E3E50" w14:textId="77777777" w:rsidTr="00F65E2B">
        <w:tc>
          <w:tcPr>
            <w:tcW w:w="500" w:type="dxa"/>
          </w:tcPr>
          <w:p w14:paraId="63D1A611" w14:textId="77777777" w:rsidR="00B046C3" w:rsidRPr="004E13E9" w:rsidRDefault="00B046C3" w:rsidP="000D1853">
            <w:pPr>
              <w:widowControl w:val="0"/>
              <w:rPr>
                <w:rFonts w:ascii="Cambria" w:hAnsi="Cambria"/>
                <w:b/>
                <w:sz w:val="20"/>
                <w:szCs w:val="20"/>
              </w:rPr>
            </w:pPr>
            <w:r w:rsidRPr="004E13E9">
              <w:rPr>
                <w:rFonts w:ascii="Cambria" w:hAnsi="Cambria"/>
                <w:b/>
                <w:sz w:val="20"/>
                <w:szCs w:val="20"/>
              </w:rPr>
              <w:t>8.</w:t>
            </w:r>
          </w:p>
        </w:tc>
        <w:tc>
          <w:tcPr>
            <w:tcW w:w="1763" w:type="dxa"/>
          </w:tcPr>
          <w:p w14:paraId="7CDCBA9B" w14:textId="77777777" w:rsidR="00B046C3" w:rsidRPr="004E13E9" w:rsidRDefault="00B046C3" w:rsidP="000D1853">
            <w:pPr>
              <w:widowControl w:val="0"/>
              <w:rPr>
                <w:rFonts w:ascii="Cambria" w:hAnsi="Cambria"/>
                <w:b/>
                <w:sz w:val="20"/>
                <w:szCs w:val="20"/>
              </w:rPr>
            </w:pPr>
            <w:r w:rsidRPr="004E13E9">
              <w:rPr>
                <w:rFonts w:ascii="Cambria" w:hAnsi="Cambria"/>
                <w:b/>
                <w:bCs/>
                <w:color w:val="auto"/>
                <w:sz w:val="20"/>
                <w:szCs w:val="20"/>
              </w:rPr>
              <w:t xml:space="preserve">Programme d'observateurs des CPC </w:t>
            </w:r>
            <w:r w:rsidRPr="004E13E9">
              <w:rPr>
                <w:rFonts w:ascii="Cambria" w:hAnsi="Cambria"/>
                <w:b/>
                <w:color w:val="auto"/>
                <w:sz w:val="20"/>
                <w:szCs w:val="20"/>
              </w:rPr>
              <w:t>(paragraphes 95-100)</w:t>
            </w:r>
          </w:p>
        </w:tc>
        <w:tc>
          <w:tcPr>
            <w:tcW w:w="3261" w:type="dxa"/>
          </w:tcPr>
          <w:p w14:paraId="3AEFC3BF"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Les autorités albanaises assureront la présence d'observateurs nationaux, munis de documents d'identification officiels, à bord de tous les navires remorqueurs, soit 100%, conformément aux dispositions de la Rec. 24-05/25-04.</w:t>
            </w:r>
          </w:p>
          <w:p w14:paraId="1B353E8C" w14:textId="77777777" w:rsidR="00B046C3" w:rsidRPr="004E13E9" w:rsidRDefault="00B046C3" w:rsidP="000D1853">
            <w:pPr>
              <w:widowControl w:val="0"/>
              <w:jc w:val="both"/>
              <w:rPr>
                <w:rFonts w:ascii="Cambria" w:hAnsi="Cambria"/>
                <w:sz w:val="20"/>
                <w:szCs w:val="20"/>
              </w:rPr>
            </w:pPr>
          </w:p>
          <w:p w14:paraId="64AD3143"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Les observateurs albanais ont été formés par des experts de l'UE dans le cadre du projet UE-IPA « Soutien à la pêcherie ».</w:t>
            </w:r>
          </w:p>
        </w:tc>
        <w:tc>
          <w:tcPr>
            <w:tcW w:w="2126" w:type="dxa"/>
          </w:tcPr>
          <w:p w14:paraId="6347BE37"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Arrêté ministériel nº140 du 13 février 2025 aux fins de la mise en œuvre de la </w:t>
            </w:r>
            <w:r w:rsidRPr="004E13E9">
              <w:rPr>
                <w:rFonts w:ascii="Cambria" w:hAnsi="Cambria"/>
                <w:i/>
                <w:iCs/>
                <w:sz w:val="20"/>
                <w:szCs w:val="20"/>
              </w:rPr>
              <w:t xml:space="preserve">Recommandation de l’ICCAT amendant la Recommandation 22-08 établissant un plan pluriannuel de gestion du thon rouge dans l’Atlantique Est et la Méditerranée </w:t>
            </w:r>
            <w:r w:rsidRPr="004E13E9">
              <w:rPr>
                <w:rFonts w:ascii="Cambria" w:hAnsi="Cambria"/>
                <w:sz w:val="20"/>
                <w:szCs w:val="20"/>
              </w:rPr>
              <w:t>(Rec. 24-05)</w:t>
            </w:r>
          </w:p>
          <w:p w14:paraId="52592CE1" w14:textId="77777777" w:rsidR="00B046C3" w:rsidRPr="004E13E9" w:rsidRDefault="00B046C3" w:rsidP="000D1853">
            <w:pPr>
              <w:widowControl w:val="0"/>
              <w:jc w:val="both"/>
              <w:rPr>
                <w:rFonts w:ascii="Cambria" w:hAnsi="Cambria"/>
                <w:sz w:val="20"/>
                <w:szCs w:val="20"/>
              </w:rPr>
            </w:pPr>
          </w:p>
          <w:p w14:paraId="37C824C8" w14:textId="5650FAFC" w:rsidR="00B046C3" w:rsidRPr="004E13E9" w:rsidRDefault="00B046C3" w:rsidP="00F65E2B">
            <w:pPr>
              <w:widowControl w:val="0"/>
              <w:jc w:val="both"/>
              <w:rPr>
                <w:rFonts w:ascii="Cambria" w:hAnsi="Cambria"/>
                <w:sz w:val="20"/>
                <w:szCs w:val="20"/>
              </w:rPr>
            </w:pPr>
            <w:r w:rsidRPr="004E13E9">
              <w:rPr>
                <w:rFonts w:ascii="Cambria" w:hAnsi="Cambria"/>
                <w:sz w:val="20"/>
                <w:szCs w:val="20"/>
              </w:rPr>
              <w:t xml:space="preserve">Arrêté ministériel n°131/2026 aux fins de la mise en œuvre de la </w:t>
            </w:r>
            <w:r w:rsidRPr="004E13E9">
              <w:rPr>
                <w:rFonts w:ascii="Cambria" w:hAnsi="Cambria"/>
                <w:i/>
                <w:iCs/>
                <w:sz w:val="20"/>
                <w:szCs w:val="20"/>
              </w:rPr>
              <w:t xml:space="preserve">Recommandation de l’ICCAT remplaçant la Recommandation 24-05 établissant un plan pluriannuel de gestion du thon rouge dans l’Atlantique Est et la Méditerranée </w:t>
            </w:r>
            <w:r w:rsidRPr="004E13E9">
              <w:rPr>
                <w:rFonts w:ascii="Cambria" w:hAnsi="Cambria"/>
                <w:sz w:val="20"/>
                <w:szCs w:val="20"/>
              </w:rPr>
              <w:t>(Rec. 25-04).</w:t>
            </w:r>
          </w:p>
        </w:tc>
        <w:tc>
          <w:tcPr>
            <w:tcW w:w="2080" w:type="dxa"/>
          </w:tcPr>
          <w:p w14:paraId="1437D976" w14:textId="77777777" w:rsidR="00B046C3" w:rsidRPr="004E13E9" w:rsidRDefault="00B046C3" w:rsidP="000D1853">
            <w:pPr>
              <w:widowControl w:val="0"/>
              <w:rPr>
                <w:rFonts w:ascii="Cambria" w:hAnsi="Cambria"/>
                <w:sz w:val="20"/>
                <w:szCs w:val="20"/>
              </w:rPr>
            </w:pPr>
          </w:p>
        </w:tc>
      </w:tr>
      <w:tr w:rsidR="00B046C3" w:rsidRPr="00C712A4" w14:paraId="7D61D3C7" w14:textId="77777777" w:rsidTr="00F65E2B">
        <w:tc>
          <w:tcPr>
            <w:tcW w:w="500" w:type="dxa"/>
          </w:tcPr>
          <w:p w14:paraId="7AC9509C" w14:textId="77777777" w:rsidR="00B046C3" w:rsidRPr="004E13E9" w:rsidRDefault="00B046C3" w:rsidP="000D1853">
            <w:pPr>
              <w:widowControl w:val="0"/>
              <w:rPr>
                <w:rFonts w:ascii="Cambria" w:hAnsi="Cambria"/>
                <w:b/>
                <w:sz w:val="20"/>
                <w:szCs w:val="20"/>
              </w:rPr>
            </w:pPr>
            <w:r w:rsidRPr="004E13E9">
              <w:rPr>
                <w:rFonts w:ascii="Cambria" w:hAnsi="Cambria"/>
                <w:b/>
                <w:sz w:val="20"/>
                <w:szCs w:val="20"/>
              </w:rPr>
              <w:t>9.</w:t>
            </w:r>
          </w:p>
        </w:tc>
        <w:tc>
          <w:tcPr>
            <w:tcW w:w="1763" w:type="dxa"/>
          </w:tcPr>
          <w:p w14:paraId="182670CD" w14:textId="77777777" w:rsidR="00B046C3" w:rsidRPr="004E13E9" w:rsidRDefault="00B046C3" w:rsidP="000D1853">
            <w:pPr>
              <w:widowControl w:val="0"/>
              <w:rPr>
                <w:rFonts w:ascii="Cambria" w:hAnsi="Cambria"/>
                <w:b/>
                <w:sz w:val="20"/>
                <w:szCs w:val="20"/>
              </w:rPr>
            </w:pPr>
            <w:r w:rsidRPr="004E13E9">
              <w:rPr>
                <w:rFonts w:ascii="Cambria" w:hAnsi="Cambria"/>
                <w:b/>
                <w:color w:val="auto"/>
                <w:sz w:val="20"/>
                <w:szCs w:val="20"/>
              </w:rPr>
              <w:t>Programme d'observateurs régionaux (paragraphes 101-107)</w:t>
            </w:r>
          </w:p>
        </w:tc>
        <w:tc>
          <w:tcPr>
            <w:tcW w:w="3261" w:type="dxa"/>
          </w:tcPr>
          <w:p w14:paraId="15C23354"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L'administration albanaise veillera à la mise en œuvre du programme régional d'observateurs de l'ICCAT afin de garantir la présence d'observateurs à bord de tous les senneurs autorisés à pêcher le thon rouge, pendant tous les transferts de thon rouge des senneurs, pendant toute la durée de la mise en cage du thon rouge dans les fermes d'élevage, pendant la mise à mort du thon rouge dans les fermes </w:t>
            </w:r>
            <w:r w:rsidRPr="004E13E9">
              <w:rPr>
                <w:rFonts w:ascii="Cambria" w:hAnsi="Cambria"/>
                <w:sz w:val="20"/>
                <w:szCs w:val="20"/>
              </w:rPr>
              <w:lastRenderedPageBreak/>
              <w:t>d'élevage et pendant la libération du thon rouge des cages d'élevage, conformément aux dispositions de la Rec. 24-05 et 25-04.</w:t>
            </w:r>
          </w:p>
        </w:tc>
        <w:tc>
          <w:tcPr>
            <w:tcW w:w="2126" w:type="dxa"/>
          </w:tcPr>
          <w:p w14:paraId="5637E299"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lastRenderedPageBreak/>
              <w:t xml:space="preserve">Arrêté ministériel nº140 du 13 février 2025 aux fins de la mise en œuvre de la </w:t>
            </w:r>
            <w:r w:rsidRPr="004E13E9">
              <w:rPr>
                <w:rFonts w:ascii="Cambria" w:hAnsi="Cambria"/>
                <w:i/>
                <w:iCs/>
                <w:sz w:val="20"/>
                <w:szCs w:val="20"/>
              </w:rPr>
              <w:t xml:space="preserve">Recommandation de l’ICCAT amendant la Recommandation 22-08 établissant un plan pluriannuel de gestion du thon rouge dans l’Atlantique Est et la Méditerranée </w:t>
            </w:r>
            <w:r w:rsidRPr="004E13E9">
              <w:rPr>
                <w:rFonts w:ascii="Cambria" w:hAnsi="Cambria"/>
                <w:sz w:val="20"/>
                <w:szCs w:val="20"/>
              </w:rPr>
              <w:t>(Rec. 24-</w:t>
            </w:r>
            <w:r w:rsidRPr="004E13E9">
              <w:rPr>
                <w:rFonts w:ascii="Cambria" w:hAnsi="Cambria"/>
                <w:sz w:val="20"/>
                <w:szCs w:val="20"/>
              </w:rPr>
              <w:lastRenderedPageBreak/>
              <w:t>05).</w:t>
            </w:r>
          </w:p>
          <w:p w14:paraId="38FCF38E" w14:textId="77777777" w:rsidR="00B046C3" w:rsidRPr="004E13E9" w:rsidRDefault="00B046C3" w:rsidP="000D1853">
            <w:pPr>
              <w:widowControl w:val="0"/>
              <w:jc w:val="both"/>
              <w:rPr>
                <w:rFonts w:ascii="Cambria" w:hAnsi="Cambria"/>
                <w:sz w:val="20"/>
                <w:szCs w:val="20"/>
              </w:rPr>
            </w:pPr>
          </w:p>
          <w:p w14:paraId="5B185E9C"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Arrêté ministériel n°131/2026 aux fins de la mise en œuvre de la </w:t>
            </w:r>
            <w:r w:rsidRPr="004E13E9">
              <w:rPr>
                <w:rFonts w:ascii="Cambria" w:hAnsi="Cambria"/>
                <w:i/>
                <w:iCs/>
                <w:sz w:val="20"/>
                <w:szCs w:val="20"/>
              </w:rPr>
              <w:t xml:space="preserve">Recommandation de l’ICCAT remplaçant la Recommandation 24-05 établissant un plan pluriannuel de gestion du thon rouge dans l’Atlantique Est et la Méditerranée </w:t>
            </w:r>
            <w:r w:rsidRPr="004E13E9">
              <w:rPr>
                <w:rFonts w:ascii="Cambria" w:hAnsi="Cambria"/>
                <w:sz w:val="20"/>
                <w:szCs w:val="20"/>
              </w:rPr>
              <w:t>(Rec. 25-04).</w:t>
            </w:r>
          </w:p>
        </w:tc>
        <w:tc>
          <w:tcPr>
            <w:tcW w:w="2080" w:type="dxa"/>
          </w:tcPr>
          <w:p w14:paraId="50F26036" w14:textId="77777777" w:rsidR="00B046C3" w:rsidRPr="004E13E9" w:rsidRDefault="00B046C3" w:rsidP="000D1853">
            <w:pPr>
              <w:widowControl w:val="0"/>
              <w:rPr>
                <w:rFonts w:ascii="Cambria" w:hAnsi="Cambria"/>
                <w:sz w:val="20"/>
                <w:szCs w:val="20"/>
              </w:rPr>
            </w:pPr>
          </w:p>
        </w:tc>
      </w:tr>
      <w:tr w:rsidR="00B046C3" w:rsidRPr="00C712A4" w14:paraId="5A5D0D88" w14:textId="77777777" w:rsidTr="00F65E2B">
        <w:tc>
          <w:tcPr>
            <w:tcW w:w="500" w:type="dxa"/>
          </w:tcPr>
          <w:p w14:paraId="2D06632B" w14:textId="77777777" w:rsidR="00B046C3" w:rsidRPr="004E13E9" w:rsidRDefault="00B046C3" w:rsidP="000D1853">
            <w:pPr>
              <w:widowControl w:val="0"/>
              <w:rPr>
                <w:rFonts w:ascii="Cambria" w:hAnsi="Cambria"/>
                <w:b/>
                <w:sz w:val="20"/>
                <w:szCs w:val="20"/>
              </w:rPr>
            </w:pPr>
            <w:r w:rsidRPr="004E13E9">
              <w:rPr>
                <w:rFonts w:ascii="Cambria" w:hAnsi="Cambria"/>
                <w:b/>
                <w:sz w:val="20"/>
                <w:szCs w:val="20"/>
              </w:rPr>
              <w:t>10.</w:t>
            </w:r>
          </w:p>
        </w:tc>
        <w:tc>
          <w:tcPr>
            <w:tcW w:w="1763" w:type="dxa"/>
          </w:tcPr>
          <w:p w14:paraId="6917356C" w14:textId="77777777" w:rsidR="00B046C3" w:rsidRPr="004E13E9" w:rsidRDefault="00B046C3" w:rsidP="000D1853">
            <w:pPr>
              <w:widowControl w:val="0"/>
              <w:rPr>
                <w:rFonts w:ascii="Cambria" w:hAnsi="Cambria"/>
                <w:b/>
                <w:sz w:val="20"/>
                <w:szCs w:val="20"/>
              </w:rPr>
            </w:pPr>
            <w:r w:rsidRPr="004E13E9">
              <w:rPr>
                <w:rFonts w:ascii="Cambria" w:hAnsi="Cambria"/>
                <w:b/>
                <w:sz w:val="20"/>
                <w:szCs w:val="20"/>
              </w:rPr>
              <w:t>Législation nationale</w:t>
            </w:r>
          </w:p>
        </w:tc>
        <w:tc>
          <w:tcPr>
            <w:tcW w:w="3261" w:type="dxa"/>
          </w:tcPr>
          <w:p w14:paraId="3A69510B"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Arrêté ministériel nº140 du 13 février 2025 aux fins de la mise en œuvre de la </w:t>
            </w:r>
            <w:r w:rsidRPr="004E13E9">
              <w:rPr>
                <w:rFonts w:ascii="Cambria" w:hAnsi="Cambria"/>
                <w:i/>
                <w:iCs/>
                <w:sz w:val="20"/>
                <w:szCs w:val="20"/>
              </w:rPr>
              <w:t xml:space="preserve">Recommandation de l’ICCAT amendant la Recommandation 22-08 établissant un plan pluriannuel de gestion du thon rouge dans l’Atlantique Est et la Méditerranée </w:t>
            </w:r>
            <w:r w:rsidRPr="004E13E9">
              <w:rPr>
                <w:rFonts w:ascii="Cambria" w:hAnsi="Cambria"/>
                <w:sz w:val="20"/>
                <w:szCs w:val="20"/>
              </w:rPr>
              <w:t>(Rec. 24-05)</w:t>
            </w:r>
          </w:p>
          <w:p w14:paraId="7556E08B" w14:textId="77777777" w:rsidR="00B046C3" w:rsidRPr="004E13E9" w:rsidRDefault="00B046C3" w:rsidP="000D1853">
            <w:pPr>
              <w:widowControl w:val="0"/>
              <w:jc w:val="both"/>
              <w:rPr>
                <w:rFonts w:ascii="Cambria" w:hAnsi="Cambria"/>
                <w:sz w:val="20"/>
                <w:szCs w:val="20"/>
              </w:rPr>
            </w:pPr>
          </w:p>
          <w:p w14:paraId="20F134A0"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Arrêté ministériel n°131/2026 aux fins de la mise en œuvre de la </w:t>
            </w:r>
            <w:r w:rsidRPr="004E13E9">
              <w:rPr>
                <w:rFonts w:ascii="Cambria" w:hAnsi="Cambria"/>
                <w:i/>
                <w:iCs/>
                <w:sz w:val="20"/>
                <w:szCs w:val="20"/>
              </w:rPr>
              <w:t xml:space="preserve">Recommandation de l’ICCAT remplaçant la Recommandation 24-05 établissant un plan pluriannuel de gestion du thon rouge dans l’Atlantique Est et la Méditerranée </w:t>
            </w:r>
            <w:r w:rsidRPr="004E13E9">
              <w:rPr>
                <w:rFonts w:ascii="Cambria" w:hAnsi="Cambria"/>
                <w:sz w:val="20"/>
                <w:szCs w:val="20"/>
              </w:rPr>
              <w:t>(Rec. 25-04).</w:t>
            </w:r>
          </w:p>
          <w:p w14:paraId="607CA8FA" w14:textId="77777777" w:rsidR="00B046C3" w:rsidRPr="004E13E9" w:rsidRDefault="00B046C3" w:rsidP="000D1853">
            <w:pPr>
              <w:widowControl w:val="0"/>
              <w:jc w:val="both"/>
              <w:rPr>
                <w:rFonts w:ascii="Cambria" w:hAnsi="Cambria" w:cs="Calibri"/>
                <w:sz w:val="20"/>
                <w:szCs w:val="20"/>
              </w:rPr>
            </w:pPr>
          </w:p>
          <w:p w14:paraId="296B6A45"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L'Albanie a approuvé le système de carnet de bord électronique ERS.</w:t>
            </w:r>
          </w:p>
          <w:p w14:paraId="18D89EAD" w14:textId="77777777" w:rsidR="00B046C3" w:rsidRPr="004E13E9" w:rsidRDefault="00B046C3" w:rsidP="000D1853">
            <w:pPr>
              <w:widowControl w:val="0"/>
              <w:jc w:val="both"/>
              <w:rPr>
                <w:rFonts w:ascii="Cambria" w:hAnsi="Cambria"/>
                <w:sz w:val="20"/>
                <w:szCs w:val="20"/>
              </w:rPr>
            </w:pPr>
          </w:p>
          <w:p w14:paraId="494C22DF" w14:textId="77777777" w:rsidR="00B046C3" w:rsidRPr="004E13E9" w:rsidRDefault="00B046C3" w:rsidP="000D1853">
            <w:pPr>
              <w:widowControl w:val="0"/>
              <w:jc w:val="both"/>
              <w:rPr>
                <w:rFonts w:ascii="Cambria" w:hAnsi="Cambria"/>
                <w:sz w:val="20"/>
                <w:szCs w:val="20"/>
              </w:rPr>
            </w:pPr>
          </w:p>
        </w:tc>
        <w:tc>
          <w:tcPr>
            <w:tcW w:w="2126" w:type="dxa"/>
          </w:tcPr>
          <w:p w14:paraId="08E29E8E" w14:textId="77777777" w:rsidR="00B046C3" w:rsidRPr="004E13E9" w:rsidRDefault="00B046C3" w:rsidP="000D1853">
            <w:pPr>
              <w:widowControl w:val="0"/>
              <w:rPr>
                <w:rFonts w:ascii="Cambria" w:hAnsi="Cambria"/>
                <w:sz w:val="20"/>
                <w:szCs w:val="20"/>
              </w:rPr>
            </w:pPr>
            <w:hyperlink r:id="rId59" w:history="1">
              <w:r w:rsidRPr="004E13E9">
                <w:rPr>
                  <w:rStyle w:val="Hyperlink"/>
                  <w:rFonts w:ascii="Cambria" w:hAnsi="Cambria"/>
                  <w:sz w:val="20"/>
                  <w:szCs w:val="20"/>
                  <w:u w:val="none"/>
                </w:rPr>
                <w:t>DCM n° 756 du 1.12. 2022 « Sur la méthode d'établissement et le fonctionnement du système électronique d'enregistrement et de déclaration des activités de pêche et sur la détermination du délai de sa mise en œuvre ».</w:t>
              </w:r>
            </w:hyperlink>
          </w:p>
          <w:p w14:paraId="78E96362" w14:textId="77777777" w:rsidR="00B046C3" w:rsidRPr="004E13E9" w:rsidRDefault="00B046C3" w:rsidP="000D1853">
            <w:pPr>
              <w:widowControl w:val="0"/>
              <w:rPr>
                <w:rFonts w:ascii="Cambria" w:hAnsi="Cambria"/>
                <w:sz w:val="20"/>
                <w:szCs w:val="20"/>
              </w:rPr>
            </w:pPr>
          </w:p>
          <w:p w14:paraId="2C96907A" w14:textId="77777777" w:rsidR="00B046C3" w:rsidRPr="004E13E9" w:rsidRDefault="00B046C3" w:rsidP="000D1853">
            <w:pPr>
              <w:widowControl w:val="0"/>
              <w:jc w:val="both"/>
              <w:rPr>
                <w:rFonts w:ascii="Cambria" w:hAnsi="Cambria"/>
                <w:sz w:val="20"/>
                <w:szCs w:val="20"/>
              </w:rPr>
            </w:pPr>
            <w:hyperlink r:id="rId60" w:history="1">
              <w:r w:rsidRPr="004E13E9">
                <w:rPr>
                  <w:rStyle w:val="Hyperlink"/>
                  <w:rFonts w:ascii="Cambria" w:hAnsi="Cambria"/>
                  <w:sz w:val="20"/>
                  <w:szCs w:val="20"/>
                  <w:u w:val="none"/>
                </w:rPr>
                <w:t>Arrêté ministériel nº140 du 13 février 2025</w:t>
              </w:r>
            </w:hyperlink>
            <w:r w:rsidRPr="004E13E9">
              <w:rPr>
                <w:rFonts w:ascii="Cambria" w:hAnsi="Cambria"/>
                <w:sz w:val="20"/>
                <w:szCs w:val="20"/>
              </w:rPr>
              <w:t xml:space="preserve"> aux fins de la mise en œuvre de la </w:t>
            </w:r>
            <w:r w:rsidRPr="004E13E9">
              <w:rPr>
                <w:rFonts w:ascii="Cambria" w:hAnsi="Cambria"/>
                <w:i/>
                <w:iCs/>
                <w:sz w:val="20"/>
                <w:szCs w:val="20"/>
              </w:rPr>
              <w:t xml:space="preserve">Recommandation de l’ICCAT amendant la Recommandation 22-08 établissant un plan pluriannuel de gestion du thon rouge dans l’Atlantique Est et la Méditerranée </w:t>
            </w:r>
            <w:r w:rsidRPr="004E13E9">
              <w:rPr>
                <w:rFonts w:ascii="Cambria" w:hAnsi="Cambria"/>
                <w:sz w:val="20"/>
                <w:szCs w:val="20"/>
              </w:rPr>
              <w:t>(Rec. 24-05)</w:t>
            </w:r>
          </w:p>
          <w:p w14:paraId="27316520" w14:textId="77777777" w:rsidR="00B046C3" w:rsidRPr="004E13E9" w:rsidRDefault="00B046C3" w:rsidP="000D1853">
            <w:pPr>
              <w:widowControl w:val="0"/>
              <w:jc w:val="both"/>
              <w:rPr>
                <w:rFonts w:ascii="Cambria" w:hAnsi="Cambria"/>
                <w:sz w:val="20"/>
                <w:szCs w:val="20"/>
              </w:rPr>
            </w:pPr>
          </w:p>
          <w:p w14:paraId="2D013712" w14:textId="77777777" w:rsidR="00B046C3" w:rsidRPr="004E13E9" w:rsidRDefault="00B046C3" w:rsidP="000D1853">
            <w:pPr>
              <w:widowControl w:val="0"/>
              <w:jc w:val="both"/>
              <w:rPr>
                <w:rFonts w:ascii="Cambria" w:hAnsi="Cambria"/>
                <w:sz w:val="20"/>
                <w:szCs w:val="20"/>
              </w:rPr>
            </w:pPr>
            <w:r w:rsidRPr="004E13E9">
              <w:rPr>
                <w:rFonts w:ascii="Cambria" w:hAnsi="Cambria"/>
                <w:sz w:val="20"/>
                <w:szCs w:val="20"/>
              </w:rPr>
              <w:t xml:space="preserve">Arrêté ministériel n°131/2026 aux fins de la mise en œuvre de la </w:t>
            </w:r>
            <w:r w:rsidRPr="004E13E9">
              <w:rPr>
                <w:rFonts w:ascii="Cambria" w:hAnsi="Cambria"/>
                <w:i/>
                <w:iCs/>
                <w:sz w:val="20"/>
                <w:szCs w:val="20"/>
              </w:rPr>
              <w:t xml:space="preserve">Recommandation de l’ICCAT remplaçant la Recommandation 24-05 établissant un plan pluriannuel de gestion du thon rouge dans l’Atlantique Est et la Méditerranée </w:t>
            </w:r>
            <w:r w:rsidRPr="004E13E9">
              <w:rPr>
                <w:rFonts w:ascii="Cambria" w:hAnsi="Cambria"/>
                <w:sz w:val="20"/>
                <w:szCs w:val="20"/>
              </w:rPr>
              <w:t>(Rec. 25-04).</w:t>
            </w:r>
          </w:p>
        </w:tc>
        <w:tc>
          <w:tcPr>
            <w:tcW w:w="2080" w:type="dxa"/>
          </w:tcPr>
          <w:p w14:paraId="22AA7B18" w14:textId="77777777" w:rsidR="00B046C3" w:rsidRPr="004E13E9" w:rsidRDefault="00B046C3" w:rsidP="000D1853">
            <w:pPr>
              <w:rPr>
                <w:rFonts w:ascii="Cambria" w:hAnsi="Cambria"/>
                <w:color w:val="0461C1"/>
                <w:sz w:val="20"/>
                <w:szCs w:val="20"/>
              </w:rPr>
            </w:pPr>
          </w:p>
          <w:p w14:paraId="0140FB20" w14:textId="77777777" w:rsidR="00B046C3" w:rsidRPr="004E13E9" w:rsidRDefault="00B046C3" w:rsidP="000D1853">
            <w:pPr>
              <w:rPr>
                <w:rFonts w:ascii="Cambria" w:hAnsi="Cambria"/>
                <w:color w:val="0461C1"/>
                <w:sz w:val="20"/>
                <w:szCs w:val="20"/>
              </w:rPr>
            </w:pPr>
          </w:p>
          <w:p w14:paraId="34EE9EF7" w14:textId="77777777" w:rsidR="00B046C3" w:rsidRPr="004E13E9" w:rsidRDefault="00B046C3" w:rsidP="000D1853">
            <w:pPr>
              <w:rPr>
                <w:rFonts w:ascii="Cambria" w:hAnsi="Cambria"/>
                <w:color w:val="0461C1"/>
                <w:sz w:val="20"/>
                <w:szCs w:val="20"/>
              </w:rPr>
            </w:pPr>
          </w:p>
          <w:p w14:paraId="4155473E" w14:textId="77777777" w:rsidR="00B046C3" w:rsidRPr="004E13E9" w:rsidRDefault="00B046C3" w:rsidP="000D1853">
            <w:pPr>
              <w:rPr>
                <w:rFonts w:ascii="Cambria" w:hAnsi="Cambria"/>
                <w:color w:val="0461C1"/>
                <w:sz w:val="20"/>
                <w:szCs w:val="20"/>
              </w:rPr>
            </w:pPr>
          </w:p>
          <w:p w14:paraId="7F9AEEDF" w14:textId="77777777" w:rsidR="00B046C3" w:rsidRPr="004E13E9" w:rsidRDefault="00B046C3" w:rsidP="000D1853">
            <w:pPr>
              <w:rPr>
                <w:rFonts w:ascii="Cambria" w:hAnsi="Cambria"/>
                <w:color w:val="0461C1"/>
                <w:sz w:val="20"/>
                <w:szCs w:val="20"/>
              </w:rPr>
            </w:pPr>
          </w:p>
          <w:p w14:paraId="75CAE555" w14:textId="77777777" w:rsidR="00B046C3" w:rsidRPr="004E13E9" w:rsidRDefault="00B046C3" w:rsidP="000D1853">
            <w:pPr>
              <w:rPr>
                <w:rFonts w:ascii="Cambria" w:hAnsi="Cambria"/>
                <w:color w:val="0461C1"/>
                <w:sz w:val="20"/>
                <w:szCs w:val="20"/>
              </w:rPr>
            </w:pPr>
          </w:p>
          <w:p w14:paraId="03CCE5B1" w14:textId="77777777" w:rsidR="00B046C3" w:rsidRPr="004E13E9" w:rsidRDefault="00B046C3" w:rsidP="000D1853">
            <w:pPr>
              <w:rPr>
                <w:rFonts w:ascii="Cambria" w:hAnsi="Cambria"/>
                <w:color w:val="0461C1"/>
                <w:sz w:val="20"/>
                <w:szCs w:val="20"/>
              </w:rPr>
            </w:pPr>
          </w:p>
          <w:p w14:paraId="66947BDC" w14:textId="77777777" w:rsidR="00B046C3" w:rsidRPr="004E13E9" w:rsidRDefault="00B046C3" w:rsidP="000D1853">
            <w:pPr>
              <w:rPr>
                <w:rFonts w:ascii="Cambria" w:hAnsi="Cambria"/>
                <w:color w:val="0461C1"/>
                <w:sz w:val="20"/>
                <w:szCs w:val="20"/>
              </w:rPr>
            </w:pPr>
          </w:p>
          <w:p w14:paraId="6960887A" w14:textId="77777777" w:rsidR="00B046C3" w:rsidRPr="004E13E9" w:rsidRDefault="00B046C3" w:rsidP="000D1853">
            <w:pPr>
              <w:rPr>
                <w:rFonts w:ascii="Cambria" w:hAnsi="Cambria"/>
                <w:color w:val="0461C1"/>
                <w:sz w:val="20"/>
                <w:szCs w:val="20"/>
              </w:rPr>
            </w:pPr>
          </w:p>
          <w:p w14:paraId="37609D31" w14:textId="77777777" w:rsidR="00B046C3" w:rsidRPr="004E13E9" w:rsidRDefault="00B046C3" w:rsidP="000D1853">
            <w:pPr>
              <w:rPr>
                <w:rFonts w:ascii="Cambria" w:hAnsi="Cambria"/>
                <w:color w:val="auto"/>
                <w:sz w:val="20"/>
                <w:szCs w:val="20"/>
              </w:rPr>
            </w:pPr>
          </w:p>
          <w:p w14:paraId="107B37B9" w14:textId="77777777" w:rsidR="00B046C3" w:rsidRPr="004E13E9" w:rsidRDefault="00B046C3" w:rsidP="000D1853">
            <w:pPr>
              <w:rPr>
                <w:rFonts w:ascii="Cambria" w:hAnsi="Cambria"/>
                <w:color w:val="auto"/>
                <w:sz w:val="20"/>
                <w:szCs w:val="20"/>
              </w:rPr>
            </w:pPr>
          </w:p>
          <w:p w14:paraId="62155C4B" w14:textId="77777777" w:rsidR="00B046C3" w:rsidRPr="004E13E9" w:rsidRDefault="00B046C3" w:rsidP="000D1853">
            <w:pPr>
              <w:rPr>
                <w:rFonts w:ascii="Cambria" w:hAnsi="Cambria"/>
                <w:color w:val="auto"/>
                <w:sz w:val="20"/>
                <w:szCs w:val="20"/>
              </w:rPr>
            </w:pPr>
          </w:p>
          <w:p w14:paraId="688289E7" w14:textId="77777777" w:rsidR="00B046C3" w:rsidRPr="004E13E9" w:rsidRDefault="00B046C3" w:rsidP="000D1853">
            <w:pPr>
              <w:rPr>
                <w:rFonts w:ascii="Cambria" w:hAnsi="Cambria"/>
                <w:color w:val="auto"/>
                <w:sz w:val="20"/>
                <w:szCs w:val="20"/>
              </w:rPr>
            </w:pPr>
          </w:p>
          <w:p w14:paraId="72F148E5" w14:textId="77777777" w:rsidR="00B046C3" w:rsidRPr="004E13E9" w:rsidRDefault="00B046C3" w:rsidP="000D1853">
            <w:pPr>
              <w:rPr>
                <w:rFonts w:ascii="Cambria" w:hAnsi="Cambria"/>
                <w:color w:val="auto"/>
                <w:sz w:val="20"/>
                <w:szCs w:val="20"/>
              </w:rPr>
            </w:pPr>
          </w:p>
          <w:p w14:paraId="2D865B33" w14:textId="77777777" w:rsidR="00B046C3" w:rsidRPr="004E13E9" w:rsidRDefault="00B046C3" w:rsidP="000D1853">
            <w:pPr>
              <w:rPr>
                <w:rFonts w:ascii="Cambria" w:hAnsi="Cambria"/>
                <w:color w:val="auto"/>
                <w:sz w:val="20"/>
                <w:szCs w:val="20"/>
              </w:rPr>
            </w:pPr>
          </w:p>
          <w:p w14:paraId="16657D7C" w14:textId="77777777" w:rsidR="00B046C3" w:rsidRPr="004E13E9" w:rsidRDefault="00B046C3" w:rsidP="000D1853">
            <w:pPr>
              <w:widowControl w:val="0"/>
              <w:rPr>
                <w:rFonts w:ascii="Cambria" w:hAnsi="Cambria"/>
                <w:color w:val="auto"/>
                <w:sz w:val="20"/>
                <w:szCs w:val="20"/>
              </w:rPr>
            </w:pPr>
          </w:p>
          <w:p w14:paraId="4E8BBC3D" w14:textId="77777777" w:rsidR="00B046C3" w:rsidRPr="004E13E9" w:rsidRDefault="00B046C3" w:rsidP="000D1853">
            <w:pPr>
              <w:widowControl w:val="0"/>
              <w:rPr>
                <w:rFonts w:ascii="Cambria" w:hAnsi="Cambria"/>
                <w:color w:val="auto"/>
                <w:sz w:val="20"/>
                <w:szCs w:val="20"/>
              </w:rPr>
            </w:pPr>
          </w:p>
          <w:p w14:paraId="61C140DB" w14:textId="77777777" w:rsidR="00B046C3" w:rsidRPr="004E13E9" w:rsidRDefault="00B046C3" w:rsidP="000D1853">
            <w:pPr>
              <w:widowControl w:val="0"/>
              <w:rPr>
                <w:rFonts w:ascii="Cambria" w:hAnsi="Cambria"/>
                <w:color w:val="auto"/>
                <w:sz w:val="20"/>
                <w:szCs w:val="20"/>
              </w:rPr>
            </w:pPr>
          </w:p>
          <w:p w14:paraId="4DE20373" w14:textId="77777777" w:rsidR="00B046C3" w:rsidRPr="004E13E9" w:rsidRDefault="00B046C3" w:rsidP="000D1853">
            <w:pPr>
              <w:widowControl w:val="0"/>
              <w:rPr>
                <w:rFonts w:ascii="Cambria" w:hAnsi="Cambria"/>
                <w:color w:val="auto"/>
                <w:sz w:val="20"/>
                <w:szCs w:val="20"/>
              </w:rPr>
            </w:pPr>
          </w:p>
          <w:p w14:paraId="72AB3036" w14:textId="77777777" w:rsidR="00B046C3" w:rsidRPr="004E13E9" w:rsidRDefault="00B046C3" w:rsidP="000D1853">
            <w:pPr>
              <w:widowControl w:val="0"/>
              <w:rPr>
                <w:rFonts w:ascii="Cambria" w:hAnsi="Cambria"/>
                <w:color w:val="auto"/>
                <w:sz w:val="20"/>
                <w:szCs w:val="20"/>
              </w:rPr>
            </w:pPr>
          </w:p>
          <w:p w14:paraId="2C6574DD" w14:textId="77777777" w:rsidR="00B046C3" w:rsidRPr="004E13E9" w:rsidRDefault="00B046C3" w:rsidP="000D1853">
            <w:pPr>
              <w:widowControl w:val="0"/>
              <w:rPr>
                <w:rFonts w:ascii="Cambria" w:hAnsi="Cambria"/>
                <w:color w:val="auto"/>
                <w:sz w:val="20"/>
                <w:szCs w:val="20"/>
              </w:rPr>
            </w:pPr>
          </w:p>
          <w:p w14:paraId="4B4115D4" w14:textId="77777777" w:rsidR="00B046C3" w:rsidRPr="004E13E9" w:rsidRDefault="00B046C3" w:rsidP="000D1853">
            <w:pPr>
              <w:widowControl w:val="0"/>
              <w:rPr>
                <w:rFonts w:ascii="Cambria" w:hAnsi="Cambria"/>
                <w:color w:val="auto"/>
                <w:sz w:val="20"/>
                <w:szCs w:val="20"/>
              </w:rPr>
            </w:pPr>
          </w:p>
          <w:p w14:paraId="1AEF542A" w14:textId="77777777" w:rsidR="00B046C3" w:rsidRPr="004E13E9" w:rsidRDefault="00B046C3" w:rsidP="000D1853">
            <w:pPr>
              <w:widowControl w:val="0"/>
              <w:rPr>
                <w:rFonts w:ascii="Cambria" w:hAnsi="Cambria"/>
                <w:color w:val="auto"/>
                <w:sz w:val="20"/>
                <w:szCs w:val="20"/>
              </w:rPr>
            </w:pPr>
          </w:p>
          <w:p w14:paraId="6A7C832E" w14:textId="77777777" w:rsidR="00B046C3" w:rsidRPr="004E13E9" w:rsidRDefault="00B046C3" w:rsidP="000D1853">
            <w:pPr>
              <w:widowControl w:val="0"/>
              <w:rPr>
                <w:rFonts w:ascii="Cambria" w:hAnsi="Cambria"/>
                <w:color w:val="auto"/>
                <w:sz w:val="20"/>
                <w:szCs w:val="20"/>
              </w:rPr>
            </w:pPr>
          </w:p>
          <w:p w14:paraId="45C17731" w14:textId="77777777" w:rsidR="00B046C3" w:rsidRPr="004E13E9" w:rsidRDefault="00B046C3" w:rsidP="000D1853">
            <w:pPr>
              <w:widowControl w:val="0"/>
              <w:rPr>
                <w:rFonts w:ascii="Cambria" w:hAnsi="Cambria"/>
                <w:color w:val="auto"/>
                <w:sz w:val="20"/>
                <w:szCs w:val="20"/>
              </w:rPr>
            </w:pPr>
          </w:p>
          <w:p w14:paraId="2A0679D4" w14:textId="77777777" w:rsidR="00B046C3" w:rsidRPr="004E13E9" w:rsidRDefault="00B046C3" w:rsidP="000D1853">
            <w:pPr>
              <w:widowControl w:val="0"/>
              <w:rPr>
                <w:rFonts w:ascii="Cambria" w:hAnsi="Cambria"/>
                <w:color w:val="auto"/>
                <w:sz w:val="20"/>
                <w:szCs w:val="20"/>
              </w:rPr>
            </w:pPr>
          </w:p>
          <w:p w14:paraId="557C8A7D" w14:textId="77777777" w:rsidR="00B046C3" w:rsidRPr="004E13E9" w:rsidRDefault="00B046C3" w:rsidP="000D1853">
            <w:pPr>
              <w:widowControl w:val="0"/>
              <w:rPr>
                <w:rFonts w:ascii="Cambria" w:hAnsi="Cambria"/>
                <w:color w:val="auto"/>
                <w:sz w:val="20"/>
                <w:szCs w:val="20"/>
              </w:rPr>
            </w:pPr>
          </w:p>
          <w:p w14:paraId="25D9BA66" w14:textId="77777777" w:rsidR="00B046C3" w:rsidRPr="004E13E9" w:rsidRDefault="00B046C3" w:rsidP="000D1853">
            <w:pPr>
              <w:widowControl w:val="0"/>
              <w:rPr>
                <w:rFonts w:ascii="Cambria" w:hAnsi="Cambria"/>
                <w:color w:val="auto"/>
                <w:sz w:val="20"/>
                <w:szCs w:val="20"/>
              </w:rPr>
            </w:pPr>
          </w:p>
          <w:p w14:paraId="2CD09E7E" w14:textId="77777777" w:rsidR="00B046C3" w:rsidRPr="004E13E9" w:rsidRDefault="00B046C3" w:rsidP="000D1853">
            <w:pPr>
              <w:widowControl w:val="0"/>
              <w:rPr>
                <w:rFonts w:ascii="Cambria" w:hAnsi="Cambria"/>
                <w:sz w:val="20"/>
                <w:szCs w:val="20"/>
              </w:rPr>
            </w:pPr>
            <w:hyperlink r:id="rId61" w:history="1">
              <w:r w:rsidRPr="004E13E9">
                <w:rPr>
                  <w:rStyle w:val="Hyperlink"/>
                  <w:rFonts w:ascii="Cambria" w:hAnsi="Cambria"/>
                  <w:sz w:val="20"/>
                  <w:szCs w:val="20"/>
                  <w:u w:val="none"/>
                </w:rPr>
                <w:t>https://qbz.gov.al/eli/urdher/2026/02/09/131/2d0e5246-64b4-41cc-90ad-9a3062bd3fcd</w:t>
              </w:r>
            </w:hyperlink>
            <w:r w:rsidRPr="004E13E9">
              <w:rPr>
                <w:rFonts w:ascii="Cambria" w:hAnsi="Cambria"/>
                <w:sz w:val="20"/>
                <w:szCs w:val="20"/>
              </w:rPr>
              <w:t xml:space="preserve"> </w:t>
            </w:r>
          </w:p>
        </w:tc>
      </w:tr>
      <w:tr w:rsidR="00B046C3" w:rsidRPr="00C712A4" w14:paraId="6315970D" w14:textId="77777777" w:rsidTr="00F65E2B">
        <w:trPr>
          <w:trHeight w:val="1047"/>
        </w:trPr>
        <w:tc>
          <w:tcPr>
            <w:tcW w:w="500" w:type="dxa"/>
          </w:tcPr>
          <w:p w14:paraId="3EDCF85E" w14:textId="77777777" w:rsidR="00B046C3" w:rsidRPr="004E13E9" w:rsidRDefault="00B046C3" w:rsidP="000D1853">
            <w:pPr>
              <w:widowControl w:val="0"/>
              <w:rPr>
                <w:rFonts w:ascii="Cambria" w:hAnsi="Cambria"/>
                <w:i/>
                <w:sz w:val="20"/>
                <w:szCs w:val="20"/>
              </w:rPr>
            </w:pPr>
          </w:p>
        </w:tc>
        <w:tc>
          <w:tcPr>
            <w:tcW w:w="1763" w:type="dxa"/>
          </w:tcPr>
          <w:p w14:paraId="3E30FF72" w14:textId="77777777" w:rsidR="00B046C3" w:rsidRPr="004E13E9" w:rsidRDefault="00B046C3" w:rsidP="000D1853">
            <w:pPr>
              <w:widowControl w:val="0"/>
              <w:rPr>
                <w:rFonts w:ascii="Cambria" w:hAnsi="Cambria"/>
                <w:i/>
                <w:sz w:val="20"/>
                <w:szCs w:val="20"/>
              </w:rPr>
            </w:pPr>
            <w:r w:rsidRPr="004E13E9">
              <w:rPr>
                <w:rFonts w:ascii="Cambria" w:hAnsi="Cambria"/>
                <w:i/>
                <w:color w:val="auto"/>
                <w:sz w:val="20"/>
                <w:szCs w:val="20"/>
              </w:rPr>
              <w:t>Autres exigences, telles que : programme de marquage (paragraphe 44), etc.</w:t>
            </w:r>
          </w:p>
        </w:tc>
        <w:tc>
          <w:tcPr>
            <w:tcW w:w="3261" w:type="dxa"/>
          </w:tcPr>
          <w:p w14:paraId="78C49552" w14:textId="77777777" w:rsidR="00B046C3" w:rsidRPr="004E13E9" w:rsidRDefault="00B046C3" w:rsidP="000D1853">
            <w:pPr>
              <w:widowControl w:val="0"/>
              <w:rPr>
                <w:rFonts w:ascii="Cambria" w:hAnsi="Cambria"/>
                <w:sz w:val="20"/>
                <w:szCs w:val="20"/>
              </w:rPr>
            </w:pPr>
          </w:p>
        </w:tc>
        <w:tc>
          <w:tcPr>
            <w:tcW w:w="2126" w:type="dxa"/>
          </w:tcPr>
          <w:p w14:paraId="28A173FC" w14:textId="77777777" w:rsidR="00B046C3" w:rsidRPr="004E13E9" w:rsidRDefault="00B046C3" w:rsidP="000D1853">
            <w:pPr>
              <w:widowControl w:val="0"/>
              <w:rPr>
                <w:rFonts w:ascii="Cambria" w:hAnsi="Cambria"/>
                <w:sz w:val="20"/>
                <w:szCs w:val="20"/>
              </w:rPr>
            </w:pPr>
          </w:p>
        </w:tc>
        <w:tc>
          <w:tcPr>
            <w:tcW w:w="2080" w:type="dxa"/>
          </w:tcPr>
          <w:p w14:paraId="54EB5480" w14:textId="77777777" w:rsidR="00B046C3" w:rsidRPr="004E13E9" w:rsidRDefault="00B046C3" w:rsidP="000D1853">
            <w:pPr>
              <w:widowControl w:val="0"/>
              <w:rPr>
                <w:rFonts w:ascii="Cambria" w:hAnsi="Cambria"/>
                <w:sz w:val="20"/>
                <w:szCs w:val="20"/>
              </w:rPr>
            </w:pPr>
          </w:p>
        </w:tc>
      </w:tr>
    </w:tbl>
    <w:p w14:paraId="0B9A1E8D" w14:textId="77777777" w:rsidR="00B046C3" w:rsidRPr="004E13E9" w:rsidRDefault="00B046C3" w:rsidP="00B046C3">
      <w:pPr>
        <w:widowControl w:val="0"/>
        <w:rPr>
          <w:rFonts w:eastAsia="MS Gothic" w:cs="Times New Roman"/>
          <w:b/>
          <w:i/>
          <w:iCs/>
          <w:lang w:val="fr-FR" w:eastAsia="fr-FR" w:bidi="fr-FR"/>
        </w:rPr>
      </w:pPr>
      <w:bookmarkStart w:id="7" w:name="_Hlk157769430"/>
      <w:r w:rsidRPr="004E13E9">
        <w:rPr>
          <w:rFonts w:eastAsia="MS Gothic" w:cs="Times New Roman"/>
          <w:b/>
          <w:i/>
          <w:iCs/>
          <w:lang w:val="fr-FR" w:eastAsia="fr-FR" w:bidi="fr-FR"/>
        </w:rPr>
        <w:lastRenderedPageBreak/>
        <w:t>1e) Ports désignés (paragraphe 80)</w:t>
      </w:r>
    </w:p>
    <w:bookmarkEnd w:id="7"/>
    <w:p w14:paraId="3292BE4C" w14:textId="77777777" w:rsidR="00B046C3" w:rsidRPr="004E13E9" w:rsidRDefault="00B046C3" w:rsidP="00B046C3">
      <w:pPr>
        <w:widowControl w:val="0"/>
        <w:jc w:val="both"/>
        <w:rPr>
          <w:rFonts w:eastAsia="MS Gothic" w:cs="Times New Roman"/>
          <w:bCs/>
          <w:iCs/>
          <w:sz w:val="8"/>
          <w:szCs w:val="8"/>
          <w:lang w:val="fr-FR" w:eastAsia="fr-FR" w:bidi="fr-FR"/>
        </w:rPr>
      </w:pPr>
    </w:p>
    <w:p w14:paraId="429B307E" w14:textId="77777777" w:rsidR="00B046C3" w:rsidRPr="004E13E9" w:rsidRDefault="00B046C3" w:rsidP="00B046C3">
      <w:pPr>
        <w:widowControl w:val="0"/>
        <w:jc w:val="both"/>
        <w:rPr>
          <w:rFonts w:eastAsia="MS Gothic" w:cs="Times New Roman"/>
          <w:i/>
          <w:lang w:val="fr-FR" w:eastAsia="ja-JP" w:bidi="fr-FR"/>
        </w:rPr>
      </w:pPr>
      <w:r w:rsidRPr="004E13E9">
        <w:rPr>
          <w:rFonts w:eastAsia="MS Gothic" w:cs="Times New Roman"/>
          <w:bCs/>
          <w:iCs/>
          <w:lang w:val="fr-FR" w:eastAsia="fr-FR" w:bidi="fr-FR"/>
        </w:rPr>
        <w:t>La liste des ports désignés pour le débarquement et le transbordement est jointe dans le formulaire CP24.</w:t>
      </w:r>
    </w:p>
    <w:p w14:paraId="56A0252B" w14:textId="77777777" w:rsidR="00B046C3" w:rsidRPr="004E13E9" w:rsidRDefault="00B046C3" w:rsidP="00B046C3">
      <w:pPr>
        <w:pStyle w:val="ListParagraph"/>
        <w:widowControl w:val="0"/>
        <w:numPr>
          <w:ilvl w:val="0"/>
          <w:numId w:val="5"/>
        </w:numPr>
        <w:spacing w:after="0" w:line="240" w:lineRule="auto"/>
        <w:rPr>
          <w:rFonts w:ascii="Cambria" w:eastAsia="MS Gothic" w:hAnsi="Cambria" w:cs="Times New Roman"/>
          <w:sz w:val="20"/>
          <w:szCs w:val="20"/>
          <w:lang w:eastAsia="fr-FR" w:bidi="fr-FR"/>
        </w:rPr>
      </w:pPr>
      <w:proofErr w:type="spellStart"/>
      <w:r w:rsidRPr="004E13E9">
        <w:rPr>
          <w:rFonts w:ascii="Cambria" w:eastAsia="MS Gothic" w:hAnsi="Cambria" w:cs="Times New Roman"/>
          <w:sz w:val="20"/>
          <w:szCs w:val="20"/>
          <w:lang w:eastAsia="fr-FR" w:bidi="fr-FR"/>
        </w:rPr>
        <w:t>Shengjin</w:t>
      </w:r>
      <w:proofErr w:type="spellEnd"/>
    </w:p>
    <w:p w14:paraId="58BEC2D4" w14:textId="77777777" w:rsidR="00B046C3" w:rsidRPr="004E13E9" w:rsidRDefault="00B046C3" w:rsidP="00B046C3">
      <w:pPr>
        <w:pStyle w:val="ListParagraph"/>
        <w:widowControl w:val="0"/>
        <w:numPr>
          <w:ilvl w:val="0"/>
          <w:numId w:val="5"/>
        </w:numPr>
        <w:spacing w:after="0" w:line="240" w:lineRule="auto"/>
        <w:rPr>
          <w:rFonts w:ascii="Cambria" w:eastAsia="MS Gothic" w:hAnsi="Cambria" w:cs="Times New Roman"/>
          <w:sz w:val="20"/>
          <w:szCs w:val="20"/>
          <w:lang w:eastAsia="fr-FR" w:bidi="fr-FR"/>
        </w:rPr>
      </w:pPr>
      <w:r w:rsidRPr="004E13E9">
        <w:rPr>
          <w:rFonts w:ascii="Cambria" w:eastAsia="MS Gothic" w:hAnsi="Cambria" w:cs="Times New Roman"/>
          <w:sz w:val="20"/>
          <w:szCs w:val="20"/>
          <w:lang w:eastAsia="fr-FR" w:bidi="fr-FR"/>
        </w:rPr>
        <w:t>Sarandë</w:t>
      </w:r>
    </w:p>
    <w:p w14:paraId="2945218C" w14:textId="77777777" w:rsidR="00B046C3" w:rsidRPr="004E13E9" w:rsidRDefault="00B046C3" w:rsidP="00B046C3">
      <w:pPr>
        <w:widowControl w:val="0"/>
        <w:rPr>
          <w:rFonts w:eastAsia="MS Gothic" w:cs="Times New Roman"/>
          <w:lang w:eastAsia="fr-FR" w:bidi="fr-FR"/>
        </w:rPr>
      </w:pPr>
    </w:p>
    <w:p w14:paraId="5C24CC3A" w14:textId="77777777" w:rsidR="00B046C3" w:rsidRPr="004E13E9" w:rsidRDefault="00B046C3" w:rsidP="00B046C3">
      <w:pPr>
        <w:widowControl w:val="0"/>
        <w:rPr>
          <w:rFonts w:eastAsia="MS Gothic" w:cs="Times New Roman"/>
          <w:lang w:eastAsia="fr-FR" w:bidi="fr-FR"/>
        </w:rPr>
      </w:pPr>
    </w:p>
    <w:p w14:paraId="0ABBBB25" w14:textId="77777777" w:rsidR="00B046C3" w:rsidRPr="004E13E9" w:rsidRDefault="00B046C3" w:rsidP="00B046C3">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2.</w:t>
      </w:r>
      <w:r w:rsidRPr="004E13E9">
        <w:rPr>
          <w:rFonts w:eastAsia="MS Gothic" w:cs="Times New Roman"/>
          <w:b/>
          <w:lang w:val="fr-FR" w:eastAsia="fr-FR" w:bidi="fr-FR"/>
        </w:rPr>
        <w:tab/>
        <w:t>Plan annuel de gestion de la capacité de pêche (paragraphes 14-21)</w:t>
      </w:r>
    </w:p>
    <w:p w14:paraId="5F072766" w14:textId="77777777" w:rsidR="00B046C3" w:rsidRPr="004E13E9" w:rsidRDefault="00B046C3" w:rsidP="00B046C3">
      <w:pPr>
        <w:widowControl w:val="0"/>
        <w:rPr>
          <w:rFonts w:eastAsia="MS Gothic" w:cs="Times New Roman"/>
          <w:b/>
          <w:lang w:val="fr-FR" w:eastAsia="fr-FR" w:bidi="fr-FR"/>
        </w:rPr>
      </w:pPr>
    </w:p>
    <w:p w14:paraId="307F4D4C" w14:textId="77777777" w:rsidR="00B046C3" w:rsidRPr="004E13E9" w:rsidRDefault="00B046C3" w:rsidP="00B046C3">
      <w:pPr>
        <w:widowControl w:val="0"/>
        <w:jc w:val="both"/>
        <w:rPr>
          <w:rFonts w:eastAsia="MS Gothic" w:cs="Times New Roman"/>
          <w:bCs/>
          <w:lang w:val="fr-FR" w:eastAsia="fr-FR" w:bidi="fr-FR"/>
        </w:rPr>
      </w:pPr>
      <w:r w:rsidRPr="004E13E9">
        <w:rPr>
          <w:rFonts w:eastAsia="MS Gothic" w:cs="Times New Roman"/>
          <w:bCs/>
          <w:lang w:val="fr-FR" w:eastAsia="fr-FR" w:bidi="fr-FR"/>
        </w:rPr>
        <w:t xml:space="preserve">Le quota de l'Albanie pour 2026 sera de 457,37 t. Comme l'Albanie alloue 1 t aux prises accessoires, le quota total disponible pour les senneurs sera de </w:t>
      </w:r>
      <w:r w:rsidRPr="004E13E9">
        <w:rPr>
          <w:iCs/>
          <w:lang w:val="fr-FR"/>
        </w:rPr>
        <w:t xml:space="preserve">456,37 </w:t>
      </w:r>
      <w:r w:rsidRPr="004E13E9">
        <w:rPr>
          <w:rFonts w:eastAsia="MS Gothic" w:cs="Times New Roman"/>
          <w:bCs/>
          <w:iCs/>
          <w:lang w:val="fr-FR" w:eastAsia="fr-FR" w:bidi="fr-FR"/>
        </w:rPr>
        <w:t>t.</w:t>
      </w:r>
    </w:p>
    <w:p w14:paraId="1EC51CE6" w14:textId="77777777" w:rsidR="00B046C3" w:rsidRPr="004E13E9" w:rsidRDefault="00B046C3" w:rsidP="00B046C3">
      <w:pPr>
        <w:ind w:left="426" w:hanging="426"/>
        <w:contextualSpacing/>
        <w:rPr>
          <w:b/>
          <w:lang w:val="fr-FR"/>
        </w:rPr>
      </w:pPr>
    </w:p>
    <w:p w14:paraId="0AF2778E" w14:textId="77777777" w:rsidR="00B046C3" w:rsidRPr="004E13E9" w:rsidRDefault="00B046C3" w:rsidP="00B046C3">
      <w:pPr>
        <w:widowControl w:val="0"/>
        <w:ind w:left="426" w:hanging="426"/>
        <w:jc w:val="both"/>
        <w:rPr>
          <w:rFonts w:eastAsia="MS Gothic" w:cs="Times New Roman"/>
          <w:b/>
          <w:lang w:val="fr-FR" w:eastAsia="fr-FR" w:bidi="fr-FR"/>
        </w:rPr>
      </w:pPr>
    </w:p>
    <w:p w14:paraId="12E12774" w14:textId="77777777" w:rsidR="00B046C3" w:rsidRPr="004E13E9" w:rsidRDefault="00B046C3" w:rsidP="00B046C3">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3.</w:t>
      </w:r>
      <w:r w:rsidRPr="004E13E9">
        <w:rPr>
          <w:rFonts w:eastAsia="MS Gothic" w:cs="Times New Roman"/>
          <w:b/>
          <w:lang w:val="fr-FR" w:eastAsia="fr-FR" w:bidi="fr-FR"/>
        </w:rPr>
        <w:tab/>
        <w:t>Plan annuel de gestion de l’élevage (paragraphes 22 et 23)</w:t>
      </w:r>
    </w:p>
    <w:p w14:paraId="62B34EB3" w14:textId="77777777" w:rsidR="00B046C3" w:rsidRPr="004E13E9" w:rsidRDefault="00B046C3" w:rsidP="00B046C3">
      <w:pPr>
        <w:widowControl w:val="0"/>
        <w:jc w:val="both"/>
        <w:rPr>
          <w:rFonts w:eastAsia="MS Gothic" w:cs="Times New Roman"/>
          <w:b/>
          <w:lang w:val="fr-FR" w:eastAsia="ja-JP" w:bidi="fr-FR"/>
        </w:rPr>
      </w:pPr>
    </w:p>
    <w:p w14:paraId="13DF26C3" w14:textId="77777777" w:rsidR="00B046C3" w:rsidRPr="004E13E9" w:rsidRDefault="00B046C3" w:rsidP="00B046C3">
      <w:pPr>
        <w:widowControl w:val="0"/>
        <w:jc w:val="both"/>
        <w:rPr>
          <w:rFonts w:eastAsia="MS Gothic" w:cs="Times New Roman"/>
          <w:bCs/>
          <w:color w:val="000000" w:themeColor="text1"/>
          <w:lang w:val="fr-FR"/>
        </w:rPr>
      </w:pPr>
      <w:r w:rsidRPr="004E13E9">
        <w:rPr>
          <w:bCs/>
          <w:color w:val="000000" w:themeColor="text1"/>
          <w:lang w:val="fr-FR"/>
        </w:rPr>
        <w:t xml:space="preserve">Le plan de gestion de l’élevage au titre de </w:t>
      </w:r>
      <w:r w:rsidRPr="004E13E9">
        <w:rPr>
          <w:rFonts w:eastAsia="MS Gothic" w:cs="Times New Roman"/>
          <w:bCs/>
          <w:lang w:val="fr-FR" w:eastAsia="fr-FR" w:bidi="fr-FR"/>
        </w:rPr>
        <w:t xml:space="preserve">2026 </w:t>
      </w:r>
      <w:r w:rsidRPr="004E13E9">
        <w:rPr>
          <w:bCs/>
          <w:color w:val="000000" w:themeColor="text1"/>
          <w:lang w:val="fr-FR"/>
        </w:rPr>
        <w:t>de l’Albanie est présenté ci-dessous :</w:t>
      </w:r>
    </w:p>
    <w:p w14:paraId="72DEB25F" w14:textId="77777777" w:rsidR="00B046C3" w:rsidRPr="004E13E9" w:rsidRDefault="00B046C3" w:rsidP="00B046C3">
      <w:pPr>
        <w:widowControl w:val="0"/>
        <w:jc w:val="both"/>
        <w:rPr>
          <w:rFonts w:eastAsia="MS Gothic" w:cs="Times New Roman"/>
          <w:b/>
          <w:color w:val="000000" w:themeColor="text1"/>
          <w:lang w:val="fr-FR" w:eastAsia="fr-FR" w:bidi="fr-FR"/>
        </w:rPr>
      </w:pPr>
    </w:p>
    <w:tbl>
      <w:tblPr>
        <w:tblStyle w:val="TableGrid"/>
        <w:tblW w:w="8720" w:type="dxa"/>
        <w:tblLayout w:type="fixed"/>
        <w:tblLook w:val="04A0" w:firstRow="1" w:lastRow="0" w:firstColumn="1" w:lastColumn="0" w:noHBand="0" w:noVBand="1"/>
      </w:tblPr>
      <w:tblGrid>
        <w:gridCol w:w="1129"/>
        <w:gridCol w:w="993"/>
        <w:gridCol w:w="992"/>
        <w:gridCol w:w="1134"/>
        <w:gridCol w:w="1276"/>
        <w:gridCol w:w="3196"/>
      </w:tblGrid>
      <w:tr w:rsidR="00B046C3" w:rsidRPr="004E13E9" w14:paraId="18043070" w14:textId="77777777" w:rsidTr="008B5078">
        <w:trPr>
          <w:trHeight w:val="226"/>
        </w:trPr>
        <w:tc>
          <w:tcPr>
            <w:tcW w:w="1129" w:type="dxa"/>
          </w:tcPr>
          <w:p w14:paraId="646DD4CE" w14:textId="77777777" w:rsidR="00B046C3" w:rsidRPr="004E13E9" w:rsidRDefault="00B046C3" w:rsidP="000D1853">
            <w:pPr>
              <w:suppressAutoHyphens/>
              <w:autoSpaceDE w:val="0"/>
              <w:autoSpaceDN w:val="0"/>
              <w:jc w:val="center"/>
              <w:textAlignment w:val="baseline"/>
              <w:rPr>
                <w:rFonts w:ascii="Cambria" w:eastAsia="Calibri" w:hAnsi="Cambria" w:cs="Cambria"/>
                <w:color w:val="000000" w:themeColor="text1"/>
                <w:sz w:val="20"/>
                <w:szCs w:val="20"/>
              </w:rPr>
            </w:pPr>
            <w:r w:rsidRPr="004E13E9">
              <w:rPr>
                <w:rFonts w:ascii="Cambria" w:hAnsi="Cambria"/>
                <w:i/>
                <w:iCs/>
                <w:color w:val="000000" w:themeColor="text1"/>
                <w:sz w:val="20"/>
                <w:szCs w:val="20"/>
              </w:rPr>
              <w:t>Pays</w:t>
            </w:r>
          </w:p>
        </w:tc>
        <w:tc>
          <w:tcPr>
            <w:tcW w:w="993" w:type="dxa"/>
          </w:tcPr>
          <w:p w14:paraId="6489CB0F" w14:textId="77777777" w:rsidR="00B046C3" w:rsidRPr="004E13E9" w:rsidRDefault="00B046C3" w:rsidP="000D1853">
            <w:pPr>
              <w:suppressAutoHyphens/>
              <w:autoSpaceDE w:val="0"/>
              <w:autoSpaceDN w:val="0"/>
              <w:jc w:val="center"/>
              <w:textAlignment w:val="baseline"/>
              <w:rPr>
                <w:rFonts w:ascii="Cambria" w:eastAsia="Calibri" w:hAnsi="Cambria" w:cs="Cambria"/>
                <w:color w:val="000000" w:themeColor="text1"/>
                <w:sz w:val="20"/>
                <w:szCs w:val="20"/>
              </w:rPr>
            </w:pPr>
            <w:r w:rsidRPr="004E13E9">
              <w:rPr>
                <w:rFonts w:ascii="Cambria" w:hAnsi="Cambria"/>
                <w:i/>
                <w:iCs/>
                <w:color w:val="000000" w:themeColor="text1"/>
                <w:sz w:val="20"/>
                <w:szCs w:val="20"/>
              </w:rPr>
              <w:t>FFB</w:t>
            </w:r>
          </w:p>
        </w:tc>
        <w:tc>
          <w:tcPr>
            <w:tcW w:w="992" w:type="dxa"/>
          </w:tcPr>
          <w:p w14:paraId="153FF1B1" w14:textId="77777777" w:rsidR="00B046C3" w:rsidRPr="004E13E9" w:rsidRDefault="00B046C3" w:rsidP="000D1853">
            <w:pPr>
              <w:suppressAutoHyphens/>
              <w:autoSpaceDE w:val="0"/>
              <w:autoSpaceDN w:val="0"/>
              <w:jc w:val="center"/>
              <w:textAlignment w:val="baseline"/>
              <w:rPr>
                <w:rFonts w:ascii="Cambria" w:eastAsia="Calibri" w:hAnsi="Cambria" w:cs="Cambria"/>
                <w:color w:val="000000" w:themeColor="text1"/>
                <w:sz w:val="20"/>
                <w:szCs w:val="20"/>
              </w:rPr>
            </w:pPr>
            <w:r w:rsidRPr="004E13E9">
              <w:rPr>
                <w:rFonts w:ascii="Cambria" w:hAnsi="Cambria"/>
                <w:i/>
                <w:iCs/>
                <w:color w:val="000000" w:themeColor="text1"/>
                <w:sz w:val="20"/>
                <w:szCs w:val="20"/>
              </w:rPr>
              <w:t>Active/</w:t>
            </w:r>
          </w:p>
          <w:p w14:paraId="5127D4B6" w14:textId="77777777" w:rsidR="00B046C3" w:rsidRPr="004E13E9" w:rsidRDefault="00B046C3" w:rsidP="000D1853">
            <w:pPr>
              <w:suppressAutoHyphens/>
              <w:autoSpaceDE w:val="0"/>
              <w:autoSpaceDN w:val="0"/>
              <w:jc w:val="center"/>
              <w:textAlignment w:val="baseline"/>
              <w:rPr>
                <w:rFonts w:ascii="Cambria" w:eastAsia="Calibri" w:hAnsi="Cambria" w:cs="Cambria"/>
                <w:color w:val="000000" w:themeColor="text1"/>
                <w:sz w:val="20"/>
                <w:szCs w:val="20"/>
              </w:rPr>
            </w:pPr>
            <w:r w:rsidRPr="004E13E9">
              <w:rPr>
                <w:rFonts w:ascii="Cambria" w:hAnsi="Cambria"/>
                <w:i/>
                <w:iCs/>
                <w:color w:val="000000" w:themeColor="text1"/>
                <w:sz w:val="20"/>
                <w:szCs w:val="20"/>
              </w:rPr>
              <w:t>Inactive</w:t>
            </w:r>
          </w:p>
        </w:tc>
        <w:tc>
          <w:tcPr>
            <w:tcW w:w="1134" w:type="dxa"/>
          </w:tcPr>
          <w:p w14:paraId="001839EA" w14:textId="77777777" w:rsidR="00B046C3" w:rsidRPr="004E13E9" w:rsidRDefault="00B046C3" w:rsidP="000D1853">
            <w:pPr>
              <w:suppressAutoHyphens/>
              <w:autoSpaceDE w:val="0"/>
              <w:autoSpaceDN w:val="0"/>
              <w:jc w:val="center"/>
              <w:textAlignment w:val="baseline"/>
              <w:rPr>
                <w:rFonts w:ascii="Cambria" w:eastAsia="Calibri" w:hAnsi="Cambria" w:cs="Cambria"/>
                <w:color w:val="000000" w:themeColor="text1"/>
                <w:sz w:val="20"/>
                <w:szCs w:val="20"/>
              </w:rPr>
            </w:pPr>
            <w:r w:rsidRPr="004E13E9">
              <w:rPr>
                <w:rFonts w:ascii="Cambria" w:hAnsi="Cambria"/>
                <w:i/>
                <w:iCs/>
                <w:color w:val="000000" w:themeColor="text1"/>
                <w:sz w:val="20"/>
                <w:szCs w:val="20"/>
              </w:rPr>
              <w:t>Capacité (t)</w:t>
            </w:r>
          </w:p>
        </w:tc>
        <w:tc>
          <w:tcPr>
            <w:tcW w:w="1276" w:type="dxa"/>
          </w:tcPr>
          <w:p w14:paraId="3C7279C9" w14:textId="77777777" w:rsidR="00B046C3" w:rsidRPr="004E13E9" w:rsidRDefault="00B046C3" w:rsidP="000D1853">
            <w:pPr>
              <w:suppressAutoHyphens/>
              <w:autoSpaceDE w:val="0"/>
              <w:autoSpaceDN w:val="0"/>
              <w:jc w:val="center"/>
              <w:textAlignment w:val="baseline"/>
              <w:rPr>
                <w:rFonts w:ascii="Cambria" w:eastAsia="Calibri" w:hAnsi="Cambria" w:cs="Cambria"/>
                <w:color w:val="000000" w:themeColor="text1"/>
                <w:sz w:val="20"/>
                <w:szCs w:val="20"/>
              </w:rPr>
            </w:pPr>
            <w:r w:rsidRPr="004E13E9">
              <w:rPr>
                <w:rFonts w:ascii="Cambria" w:hAnsi="Cambria"/>
                <w:i/>
                <w:iCs/>
                <w:color w:val="000000" w:themeColor="text1"/>
                <w:sz w:val="20"/>
                <w:szCs w:val="20"/>
              </w:rPr>
              <w:t>Capacité d'entrée (t)</w:t>
            </w:r>
          </w:p>
        </w:tc>
        <w:tc>
          <w:tcPr>
            <w:tcW w:w="3196" w:type="dxa"/>
          </w:tcPr>
          <w:p w14:paraId="0EB6DB35" w14:textId="77777777" w:rsidR="00B046C3" w:rsidRPr="004E13E9" w:rsidRDefault="00B046C3" w:rsidP="000D1853">
            <w:pPr>
              <w:suppressAutoHyphens/>
              <w:autoSpaceDE w:val="0"/>
              <w:autoSpaceDN w:val="0"/>
              <w:jc w:val="center"/>
              <w:textAlignment w:val="baseline"/>
              <w:rPr>
                <w:rFonts w:ascii="Cambria" w:eastAsia="Calibri" w:hAnsi="Cambria" w:cs="Cambria"/>
                <w:color w:val="000000" w:themeColor="text1"/>
                <w:sz w:val="20"/>
                <w:szCs w:val="20"/>
              </w:rPr>
            </w:pPr>
            <w:r w:rsidRPr="004E13E9">
              <w:rPr>
                <w:rFonts w:ascii="Cambria" w:hAnsi="Cambria"/>
                <w:i/>
                <w:iCs/>
                <w:color w:val="000000" w:themeColor="text1"/>
                <w:sz w:val="20"/>
                <w:szCs w:val="20"/>
              </w:rPr>
              <w:t>Coordonnées de la FFB</w:t>
            </w:r>
          </w:p>
        </w:tc>
      </w:tr>
      <w:tr w:rsidR="00B046C3" w:rsidRPr="004E13E9" w14:paraId="25BB6431" w14:textId="77777777" w:rsidTr="008B5078">
        <w:trPr>
          <w:trHeight w:val="429"/>
        </w:trPr>
        <w:tc>
          <w:tcPr>
            <w:tcW w:w="1129" w:type="dxa"/>
          </w:tcPr>
          <w:p w14:paraId="73C2E44B" w14:textId="77777777" w:rsidR="00B046C3" w:rsidRPr="004E13E9" w:rsidRDefault="00B046C3" w:rsidP="000D1853">
            <w:pPr>
              <w:suppressAutoHyphens/>
              <w:autoSpaceDE w:val="0"/>
              <w:autoSpaceDN w:val="0"/>
              <w:textAlignment w:val="baseline"/>
              <w:rPr>
                <w:rFonts w:ascii="Cambria" w:eastAsia="Calibri" w:hAnsi="Cambria" w:cs="Cambria"/>
                <w:color w:val="000000" w:themeColor="text1"/>
                <w:sz w:val="20"/>
                <w:szCs w:val="20"/>
              </w:rPr>
            </w:pPr>
            <w:r w:rsidRPr="004E13E9">
              <w:rPr>
                <w:rFonts w:ascii="Cambria" w:hAnsi="Cambria"/>
                <w:color w:val="000000" w:themeColor="text1"/>
                <w:sz w:val="20"/>
                <w:szCs w:val="20"/>
              </w:rPr>
              <w:t xml:space="preserve">ALBANIE </w:t>
            </w:r>
          </w:p>
        </w:tc>
        <w:tc>
          <w:tcPr>
            <w:tcW w:w="993" w:type="dxa"/>
          </w:tcPr>
          <w:p w14:paraId="16BD0683" w14:textId="77777777" w:rsidR="00B046C3" w:rsidRPr="004E13E9" w:rsidRDefault="00B046C3" w:rsidP="000D1853">
            <w:pPr>
              <w:suppressAutoHyphens/>
              <w:autoSpaceDE w:val="0"/>
              <w:autoSpaceDN w:val="0"/>
              <w:textAlignment w:val="baseline"/>
              <w:rPr>
                <w:rFonts w:ascii="Cambria" w:eastAsia="Calibri" w:hAnsi="Cambria" w:cs="Cambria"/>
                <w:color w:val="000000" w:themeColor="text1"/>
                <w:sz w:val="20"/>
                <w:szCs w:val="20"/>
              </w:rPr>
            </w:pPr>
            <w:r w:rsidRPr="004E13E9">
              <w:rPr>
                <w:rFonts w:ascii="Cambria" w:hAnsi="Cambria"/>
                <w:color w:val="000000" w:themeColor="text1"/>
                <w:sz w:val="20"/>
                <w:szCs w:val="20"/>
              </w:rPr>
              <w:t>ROZAFA</w:t>
            </w:r>
          </w:p>
        </w:tc>
        <w:tc>
          <w:tcPr>
            <w:tcW w:w="992" w:type="dxa"/>
          </w:tcPr>
          <w:p w14:paraId="6CAF8D67" w14:textId="77777777" w:rsidR="00B046C3" w:rsidRPr="004E13E9" w:rsidRDefault="00B046C3" w:rsidP="000D1853">
            <w:pPr>
              <w:suppressAutoHyphens/>
              <w:autoSpaceDE w:val="0"/>
              <w:autoSpaceDN w:val="0"/>
              <w:textAlignment w:val="baseline"/>
              <w:rPr>
                <w:rFonts w:ascii="Cambria" w:eastAsia="Calibri" w:hAnsi="Cambria" w:cs="Cambria"/>
                <w:color w:val="000000" w:themeColor="text1"/>
                <w:sz w:val="20"/>
                <w:szCs w:val="20"/>
              </w:rPr>
            </w:pPr>
            <w:r w:rsidRPr="004E13E9">
              <w:rPr>
                <w:rFonts w:ascii="Cambria" w:hAnsi="Cambria"/>
                <w:color w:val="000000" w:themeColor="text1"/>
                <w:sz w:val="20"/>
                <w:szCs w:val="20"/>
              </w:rPr>
              <w:t xml:space="preserve">Active </w:t>
            </w:r>
          </w:p>
        </w:tc>
        <w:tc>
          <w:tcPr>
            <w:tcW w:w="1134" w:type="dxa"/>
          </w:tcPr>
          <w:p w14:paraId="25D0A301" w14:textId="77777777" w:rsidR="00B046C3" w:rsidRPr="004E13E9" w:rsidRDefault="00B046C3" w:rsidP="000D1853">
            <w:pPr>
              <w:suppressAutoHyphens/>
              <w:autoSpaceDE w:val="0"/>
              <w:autoSpaceDN w:val="0"/>
              <w:textAlignment w:val="baseline"/>
              <w:rPr>
                <w:rFonts w:ascii="Cambria" w:eastAsia="Calibri" w:hAnsi="Cambria" w:cs="Cambria"/>
                <w:color w:val="000000" w:themeColor="text1"/>
                <w:sz w:val="20"/>
                <w:szCs w:val="20"/>
              </w:rPr>
            </w:pPr>
            <w:r w:rsidRPr="004E13E9">
              <w:rPr>
                <w:rFonts w:ascii="Cambria" w:hAnsi="Cambria"/>
                <w:color w:val="000000" w:themeColor="text1"/>
                <w:sz w:val="20"/>
                <w:szCs w:val="20"/>
              </w:rPr>
              <w:t xml:space="preserve">1200 </w:t>
            </w:r>
          </w:p>
        </w:tc>
        <w:tc>
          <w:tcPr>
            <w:tcW w:w="1276" w:type="dxa"/>
          </w:tcPr>
          <w:p w14:paraId="500A1722" w14:textId="77777777" w:rsidR="00B046C3" w:rsidRPr="004E13E9" w:rsidRDefault="00B046C3" w:rsidP="000D1853">
            <w:pPr>
              <w:suppressAutoHyphens/>
              <w:autoSpaceDE w:val="0"/>
              <w:autoSpaceDN w:val="0"/>
              <w:textAlignment w:val="baseline"/>
              <w:rPr>
                <w:rFonts w:ascii="Cambria" w:eastAsia="Calibri" w:hAnsi="Cambria" w:cs="Cambria"/>
                <w:color w:val="000000" w:themeColor="text1"/>
                <w:sz w:val="20"/>
                <w:szCs w:val="20"/>
              </w:rPr>
            </w:pPr>
            <w:r w:rsidRPr="004E13E9">
              <w:rPr>
                <w:rFonts w:ascii="Cambria" w:hAnsi="Cambria"/>
                <w:color w:val="000000" w:themeColor="text1"/>
                <w:sz w:val="20"/>
                <w:szCs w:val="20"/>
              </w:rPr>
              <w:t xml:space="preserve">456,37 </w:t>
            </w:r>
          </w:p>
        </w:tc>
        <w:tc>
          <w:tcPr>
            <w:tcW w:w="3196" w:type="dxa"/>
          </w:tcPr>
          <w:p w14:paraId="2E264EEA" w14:textId="77777777" w:rsidR="00B046C3" w:rsidRPr="004E13E9" w:rsidRDefault="00B046C3" w:rsidP="000D1853">
            <w:pPr>
              <w:pStyle w:val="NoSpacing"/>
              <w:rPr>
                <w:rFonts w:ascii="Cambria" w:hAnsi="Cambria"/>
                <w:color w:val="auto"/>
                <w:sz w:val="20"/>
                <w:szCs w:val="20"/>
                <w:lang w:val="pt-PT"/>
              </w:rPr>
            </w:pPr>
            <w:r w:rsidRPr="004E13E9">
              <w:rPr>
                <w:rFonts w:ascii="Cambria" w:hAnsi="Cambria"/>
                <w:color w:val="auto"/>
                <w:sz w:val="20"/>
                <w:szCs w:val="20"/>
                <w:lang w:val="pt-PT"/>
              </w:rPr>
              <w:t>39°57'59.57"N  19°52'0.19"E</w:t>
            </w:r>
          </w:p>
          <w:p w14:paraId="0EAE3F80" w14:textId="77777777" w:rsidR="00B046C3" w:rsidRPr="004E13E9" w:rsidRDefault="00B046C3" w:rsidP="000D1853">
            <w:pPr>
              <w:pStyle w:val="NoSpacing"/>
              <w:rPr>
                <w:rFonts w:ascii="Cambria" w:hAnsi="Cambria"/>
                <w:color w:val="auto"/>
                <w:sz w:val="20"/>
                <w:szCs w:val="20"/>
                <w:lang w:val="pt-PT"/>
              </w:rPr>
            </w:pPr>
            <w:r w:rsidRPr="004E13E9">
              <w:rPr>
                <w:rFonts w:ascii="Cambria" w:hAnsi="Cambria"/>
                <w:color w:val="auto"/>
                <w:sz w:val="20"/>
                <w:szCs w:val="20"/>
                <w:lang w:val="pt-PT"/>
              </w:rPr>
              <w:t>39°</w:t>
            </w:r>
            <w:r w:rsidRPr="004E13E9">
              <w:rPr>
                <w:rFonts w:ascii="Cambria" w:hAnsi="Cambria" w:cs="Garamond"/>
                <w:color w:val="auto"/>
                <w:sz w:val="20"/>
                <w:szCs w:val="20"/>
                <w:lang w:val="pt-PT"/>
              </w:rPr>
              <w:t>58'16.25</w:t>
            </w:r>
            <w:r w:rsidRPr="004E13E9">
              <w:rPr>
                <w:rFonts w:ascii="Cambria" w:hAnsi="Cambria"/>
                <w:color w:val="auto"/>
                <w:sz w:val="20"/>
                <w:szCs w:val="20"/>
                <w:lang w:val="pt-PT"/>
              </w:rPr>
              <w:t>"N  19°</w:t>
            </w:r>
            <w:r w:rsidRPr="004E13E9">
              <w:rPr>
                <w:rFonts w:ascii="Cambria" w:hAnsi="Cambria" w:cs="Garamond"/>
                <w:color w:val="auto"/>
                <w:sz w:val="20"/>
                <w:szCs w:val="20"/>
                <w:lang w:val="pt-PT"/>
              </w:rPr>
              <w:t>52'49.27</w:t>
            </w:r>
            <w:r w:rsidRPr="004E13E9">
              <w:rPr>
                <w:rFonts w:ascii="Cambria" w:hAnsi="Cambria"/>
                <w:color w:val="auto"/>
                <w:sz w:val="20"/>
                <w:szCs w:val="20"/>
                <w:lang w:val="pt-PT"/>
              </w:rPr>
              <w:t>"E</w:t>
            </w:r>
          </w:p>
          <w:p w14:paraId="4DC6D8D5" w14:textId="77777777" w:rsidR="00B046C3" w:rsidRPr="004E13E9" w:rsidRDefault="00B046C3" w:rsidP="000D1853">
            <w:pPr>
              <w:pStyle w:val="NoSpacing"/>
              <w:rPr>
                <w:rFonts w:ascii="Cambria" w:hAnsi="Cambria" w:cs="Garamond"/>
                <w:color w:val="auto"/>
                <w:sz w:val="20"/>
                <w:szCs w:val="20"/>
                <w:lang w:val="pt-PT"/>
              </w:rPr>
            </w:pPr>
            <w:r w:rsidRPr="004E13E9">
              <w:rPr>
                <w:rFonts w:ascii="Cambria" w:hAnsi="Cambria"/>
                <w:color w:val="auto"/>
                <w:sz w:val="20"/>
                <w:szCs w:val="20"/>
                <w:lang w:val="pt-PT" w:eastAsia="en-US" w:bidi="ar-SA"/>
              </w:rPr>
              <w:t>39°</w:t>
            </w:r>
            <w:r w:rsidRPr="004E13E9">
              <w:rPr>
                <w:rFonts w:ascii="Cambria" w:hAnsi="Cambria" w:cs="Garamond"/>
                <w:color w:val="auto"/>
                <w:sz w:val="20"/>
                <w:szCs w:val="20"/>
                <w:lang w:val="pt-PT"/>
              </w:rPr>
              <w:t>56'20.97</w:t>
            </w:r>
            <w:r w:rsidRPr="004E13E9">
              <w:rPr>
                <w:rFonts w:ascii="Cambria" w:hAnsi="Cambria"/>
                <w:color w:val="auto"/>
                <w:sz w:val="20"/>
                <w:szCs w:val="20"/>
                <w:lang w:val="pt-PT" w:eastAsia="en-US" w:bidi="ar-SA"/>
              </w:rPr>
              <w:t>"N  19°</w:t>
            </w:r>
            <w:r w:rsidRPr="004E13E9">
              <w:rPr>
                <w:rFonts w:ascii="Cambria" w:hAnsi="Cambria" w:cs="Garamond"/>
                <w:color w:val="auto"/>
                <w:sz w:val="20"/>
                <w:szCs w:val="20"/>
                <w:lang w:val="pt-PT"/>
              </w:rPr>
              <w:t>53'47</w:t>
            </w:r>
            <w:r w:rsidRPr="004E13E9">
              <w:rPr>
                <w:rFonts w:ascii="Cambria" w:hAnsi="Cambria"/>
                <w:color w:val="auto"/>
                <w:sz w:val="20"/>
                <w:szCs w:val="20"/>
                <w:lang w:val="pt-PT"/>
              </w:rPr>
              <w:t>.91"</w:t>
            </w:r>
            <w:r w:rsidRPr="004E13E9">
              <w:rPr>
                <w:rFonts w:ascii="Cambria" w:hAnsi="Cambria" w:cs="Garamond"/>
                <w:color w:val="auto"/>
                <w:sz w:val="20"/>
                <w:szCs w:val="20"/>
                <w:lang w:val="pt-PT"/>
              </w:rPr>
              <w:t>E</w:t>
            </w:r>
          </w:p>
          <w:p w14:paraId="60793A38" w14:textId="77777777" w:rsidR="00B046C3" w:rsidRPr="004E13E9" w:rsidRDefault="00B046C3" w:rsidP="000D1853">
            <w:pPr>
              <w:pStyle w:val="NoSpacing"/>
              <w:rPr>
                <w:rFonts w:ascii="Cambria" w:hAnsi="Cambria"/>
                <w:color w:val="FF0000"/>
                <w:sz w:val="20"/>
                <w:szCs w:val="20"/>
                <w:lang w:val="fr-FR"/>
              </w:rPr>
            </w:pPr>
            <w:r w:rsidRPr="004E13E9">
              <w:rPr>
                <w:rFonts w:ascii="Cambria" w:hAnsi="Cambria" w:cs="Garamond"/>
                <w:color w:val="auto"/>
                <w:sz w:val="20"/>
                <w:szCs w:val="20"/>
                <w:lang w:val="fr-FR"/>
              </w:rPr>
              <w:t>39°56'02.59"</w:t>
            </w:r>
            <w:r w:rsidRPr="004E13E9">
              <w:rPr>
                <w:rFonts w:ascii="Cambria" w:hAnsi="Cambria"/>
                <w:color w:val="auto"/>
                <w:sz w:val="20"/>
                <w:szCs w:val="20"/>
                <w:lang w:val="fr-FR" w:eastAsia="en-US" w:bidi="ar-SA"/>
              </w:rPr>
              <w:t xml:space="preserve">N  </w:t>
            </w:r>
            <w:r w:rsidRPr="004E13E9">
              <w:rPr>
                <w:rFonts w:ascii="Cambria" w:hAnsi="Cambria"/>
                <w:color w:val="auto"/>
                <w:sz w:val="20"/>
                <w:szCs w:val="20"/>
                <w:lang w:val="fr-FR"/>
              </w:rPr>
              <w:t>19°</w:t>
            </w:r>
            <w:r w:rsidRPr="004E13E9">
              <w:rPr>
                <w:rFonts w:ascii="Cambria" w:hAnsi="Cambria" w:cs="Garamond"/>
                <w:color w:val="auto"/>
                <w:sz w:val="20"/>
                <w:szCs w:val="20"/>
                <w:lang w:val="fr-FR"/>
              </w:rPr>
              <w:t>52'59.32"E</w:t>
            </w:r>
          </w:p>
        </w:tc>
      </w:tr>
    </w:tbl>
    <w:p w14:paraId="20FF6A38" w14:textId="77777777" w:rsidR="00B046C3" w:rsidRPr="004E13E9" w:rsidRDefault="00B046C3" w:rsidP="00B046C3">
      <w:pPr>
        <w:widowControl w:val="0"/>
        <w:ind w:left="426" w:hanging="426"/>
        <w:rPr>
          <w:rFonts w:eastAsia="MS Gothic" w:cs="Times New Roman"/>
          <w:lang w:val="es-ES" w:eastAsia="fr-FR" w:bidi="fr-FR"/>
        </w:rPr>
      </w:pPr>
    </w:p>
    <w:p w14:paraId="019AA596" w14:textId="77777777" w:rsidR="00B046C3" w:rsidRPr="004E13E9" w:rsidRDefault="00B046C3" w:rsidP="00B046C3">
      <w:pPr>
        <w:widowControl w:val="0"/>
        <w:jc w:val="both"/>
        <w:rPr>
          <w:rFonts w:eastAsia="MS Gothic" w:cs="Times New Roman"/>
          <w:lang w:val="fr-FR" w:eastAsia="fr-FR" w:bidi="fr-FR"/>
        </w:rPr>
      </w:pPr>
      <w:r w:rsidRPr="004E13E9">
        <w:rPr>
          <w:rFonts w:eastAsia="MS Gothic" w:cs="Times New Roman"/>
          <w:lang w:val="fr-FR" w:eastAsia="fr-FR" w:bidi="fr-FR"/>
        </w:rPr>
        <w:t>Nous avons désigné comme autorité compétente de la CPC d’élevage la branche de l'inspection des pêcheries de Saranda (paragraphe 140).</w:t>
      </w:r>
    </w:p>
    <w:p w14:paraId="24CF2AA9" w14:textId="77777777" w:rsidR="00B046C3" w:rsidRPr="004E13E9" w:rsidRDefault="00B046C3" w:rsidP="00B046C3">
      <w:pPr>
        <w:widowControl w:val="0"/>
        <w:rPr>
          <w:rFonts w:eastAsia="MS Gothic" w:cs="Times New Roman"/>
          <w:lang w:val="fr-FR" w:eastAsia="fr-FR" w:bidi="fr-FR"/>
        </w:rPr>
      </w:pPr>
    </w:p>
    <w:p w14:paraId="3AA44D98" w14:textId="77777777" w:rsidR="00B046C3" w:rsidRPr="004E13E9" w:rsidRDefault="00B046C3" w:rsidP="00B046C3">
      <w:pPr>
        <w:widowControl w:val="0"/>
        <w:jc w:val="both"/>
        <w:rPr>
          <w:rFonts w:eastAsia="MS Gothic" w:cs="Times New Roman"/>
          <w:lang w:val="fr-FR" w:eastAsia="fr-FR" w:bidi="fr-FR"/>
        </w:rPr>
      </w:pPr>
      <w:r w:rsidRPr="004E13E9">
        <w:rPr>
          <w:rFonts w:eastAsia="MS Gothic" w:cs="Times New Roman"/>
          <w:lang w:val="fr-FR" w:eastAsia="fr-FR" w:bidi="fr-FR"/>
        </w:rPr>
        <w:t xml:space="preserve">Conformément aux mesures établies au paragraphe 200-207 de la </w:t>
      </w:r>
      <w:hyperlink r:id="rId62" w:history="1">
        <w:r w:rsidRPr="004E13E9">
          <w:rPr>
            <w:rStyle w:val="Hyperlink"/>
            <w:rFonts w:eastAsia="MS Gothic" w:cs="Times New Roman"/>
            <w:u w:val="none"/>
            <w:lang w:val="fr-FR" w:eastAsia="fr-FR" w:bidi="fr-FR"/>
          </w:rPr>
          <w:t xml:space="preserve">Rec. 25-04 </w:t>
        </w:r>
      </w:hyperlink>
      <w:r w:rsidRPr="004E13E9">
        <w:rPr>
          <w:rFonts w:eastAsia="MS Gothic" w:cs="Times New Roman"/>
          <w:lang w:val="fr-FR" w:eastAsia="fr-FR" w:bidi="fr-FR"/>
        </w:rPr>
        <w:t xml:space="preserve">de l'ICCAT, les procédures suivantes devront être suivies pour la mise en œuvre des évaluations des reports : </w:t>
      </w:r>
    </w:p>
    <w:p w14:paraId="4C418809" w14:textId="77777777" w:rsidR="00B046C3" w:rsidRPr="004E13E9" w:rsidRDefault="00B046C3" w:rsidP="00B046C3">
      <w:pPr>
        <w:widowControl w:val="0"/>
        <w:jc w:val="both"/>
        <w:rPr>
          <w:rFonts w:eastAsia="MS Gothic" w:cs="Times New Roman"/>
          <w:lang w:val="fr-FR" w:eastAsia="fr-FR" w:bidi="fr-FR"/>
        </w:rPr>
      </w:pPr>
    </w:p>
    <w:p w14:paraId="090CB244" w14:textId="77777777" w:rsidR="00B046C3" w:rsidRPr="004E13E9" w:rsidRDefault="00B046C3" w:rsidP="00B046C3">
      <w:pPr>
        <w:widowControl w:val="0"/>
        <w:jc w:val="both"/>
        <w:rPr>
          <w:rFonts w:eastAsia="MS Gothic" w:cs="Times New Roman"/>
          <w:lang w:val="fr-FR" w:eastAsia="fr-FR" w:bidi="fr-FR"/>
        </w:rPr>
      </w:pPr>
      <w:r w:rsidRPr="004E13E9">
        <w:rPr>
          <w:rFonts w:eastAsia="MS Gothic" w:cs="Times New Roman"/>
          <w:lang w:val="fr-FR" w:eastAsia="fr-FR" w:bidi="fr-FR"/>
        </w:rPr>
        <w:t>Avant le début des prochaines saisons de pêche des senneurs, tous les poissons restant dans les cages devront être transférés dans d'autres cages d'élevage vides afin qu'ils puissent être comptés et que des estimations de poids soient réalisées au moyen de caméras stéréoscopiques.</w:t>
      </w:r>
    </w:p>
    <w:p w14:paraId="471F8AE2" w14:textId="47F4CAD1" w:rsidR="00B046C3" w:rsidRPr="004E13E9" w:rsidRDefault="00B046C3" w:rsidP="00B046C3">
      <w:pPr>
        <w:rPr>
          <w:rFonts w:eastAsia="MS Gothic" w:cs="Times New Roman"/>
          <w:lang w:val="fr-FR" w:eastAsia="fr-FR" w:bidi="fr-FR"/>
        </w:rPr>
      </w:pPr>
    </w:p>
    <w:p w14:paraId="201FD213" w14:textId="77777777" w:rsidR="00B046C3" w:rsidRPr="004E13E9" w:rsidRDefault="00B046C3" w:rsidP="00B046C3">
      <w:pPr>
        <w:widowControl w:val="0"/>
        <w:jc w:val="both"/>
        <w:rPr>
          <w:rFonts w:eastAsia="MS Gothic" w:cs="Times New Roman"/>
          <w:lang w:val="fr-FR" w:eastAsia="fr-FR" w:bidi="fr-FR"/>
        </w:rPr>
      </w:pPr>
      <w:r w:rsidRPr="004E13E9">
        <w:rPr>
          <w:rFonts w:eastAsia="MS Gothic" w:cs="Times New Roman"/>
          <w:lang w:val="fr-FR" w:eastAsia="fr-FR" w:bidi="fr-FR"/>
        </w:rPr>
        <w:t>Le thon rouge vivant reporté sera placé dans une cage séparée dans la ferme, sur la base de la capture et de la JFO.</w:t>
      </w:r>
    </w:p>
    <w:p w14:paraId="7FCAF1CC" w14:textId="77777777" w:rsidR="00B046C3" w:rsidRPr="004E13E9" w:rsidRDefault="00B046C3" w:rsidP="00B046C3">
      <w:pPr>
        <w:widowControl w:val="0"/>
        <w:jc w:val="both"/>
        <w:rPr>
          <w:rFonts w:eastAsia="MS Gothic" w:cs="Times New Roman"/>
          <w:sz w:val="8"/>
          <w:szCs w:val="8"/>
          <w:lang w:val="fr-FR" w:eastAsia="fr-FR" w:bidi="fr-FR"/>
        </w:rPr>
      </w:pPr>
    </w:p>
    <w:p w14:paraId="27AB2994" w14:textId="77777777" w:rsidR="00B046C3" w:rsidRPr="004E13E9" w:rsidRDefault="00B046C3" w:rsidP="00B046C3">
      <w:pPr>
        <w:widowControl w:val="0"/>
        <w:jc w:val="both"/>
        <w:rPr>
          <w:rFonts w:eastAsia="MS Gothic" w:cs="Times New Roman"/>
          <w:lang w:val="fr-FR" w:eastAsia="fr-FR" w:bidi="fr-FR"/>
        </w:rPr>
      </w:pPr>
      <w:r w:rsidRPr="004E13E9">
        <w:rPr>
          <w:rFonts w:eastAsia="MS Gothic" w:cs="Times New Roman"/>
          <w:lang w:val="fr-FR" w:eastAsia="fr-FR" w:bidi="fr-FR"/>
        </w:rPr>
        <w:t>Les différences entre le nombre de spécimens de thon rouge résultant de l'évaluation du report et le nombre escompté après la mise à mort seront dûment examinées et enregistrées dans le système eBCD. En cas de nombre excédentaire, l'autorité albanaise émettra un ordre de remise à l'eau du nombre correspondant de poissons.</w:t>
      </w:r>
    </w:p>
    <w:p w14:paraId="6C66E004" w14:textId="77777777" w:rsidR="00B046C3" w:rsidRPr="004E13E9" w:rsidRDefault="00B046C3" w:rsidP="00B046C3">
      <w:pPr>
        <w:widowControl w:val="0"/>
        <w:jc w:val="both"/>
        <w:rPr>
          <w:rFonts w:eastAsia="MS Gothic" w:cs="Times New Roman"/>
          <w:lang w:val="fr-FR" w:eastAsia="fr-FR" w:bidi="fr-FR"/>
        </w:rPr>
      </w:pPr>
    </w:p>
    <w:p w14:paraId="41ACDDB5" w14:textId="77777777" w:rsidR="00B046C3" w:rsidRPr="004E13E9" w:rsidRDefault="00B046C3" w:rsidP="00B046C3">
      <w:pPr>
        <w:widowControl w:val="0"/>
        <w:jc w:val="both"/>
        <w:rPr>
          <w:rFonts w:eastAsia="MS Gothic" w:cs="Times New Roman"/>
          <w:lang w:val="fr-FR" w:eastAsia="fr-FR" w:bidi="fr-FR"/>
        </w:rPr>
      </w:pPr>
      <w:r w:rsidRPr="004E13E9">
        <w:rPr>
          <w:rFonts w:eastAsia="MS Gothic" w:cs="Times New Roman"/>
          <w:lang w:val="fr-FR" w:eastAsia="fr-FR" w:bidi="fr-FR"/>
        </w:rPr>
        <w:t xml:space="preserve">L'Albanie transmettra au Secrétariat de l'ICCAT la déclaration annuelle de report conformément au paragraphe 207, de la </w:t>
      </w:r>
      <w:hyperlink r:id="rId63" w:history="1">
        <w:r w:rsidRPr="004E13E9">
          <w:rPr>
            <w:rStyle w:val="Hyperlink"/>
            <w:rFonts w:eastAsia="MS Gothic" w:cs="Times New Roman"/>
            <w:u w:val="none"/>
            <w:lang w:val="fr-FR" w:eastAsia="fr-FR" w:bidi="fr-FR"/>
          </w:rPr>
          <w:t>Rec. 25-04</w:t>
        </w:r>
      </w:hyperlink>
      <w:r w:rsidRPr="004E13E9">
        <w:rPr>
          <w:rFonts w:eastAsia="MS Gothic" w:cs="Times New Roman"/>
          <w:lang w:val="fr-FR" w:eastAsia="fr-FR" w:bidi="fr-FR"/>
        </w:rPr>
        <w:t>.</w:t>
      </w:r>
    </w:p>
    <w:p w14:paraId="755149A6" w14:textId="2E028F3B" w:rsidR="00D31282" w:rsidRPr="004E13E9" w:rsidRDefault="00D31282">
      <w:pPr>
        <w:rPr>
          <w:b/>
          <w:lang w:val="fr-FR"/>
        </w:rPr>
      </w:pPr>
    </w:p>
    <w:p w14:paraId="5BF12456" w14:textId="77777777" w:rsidR="007D4762" w:rsidRPr="004E13E9" w:rsidRDefault="007D4762">
      <w:pPr>
        <w:rPr>
          <w:b/>
          <w:lang w:val="fr-FR"/>
        </w:rPr>
      </w:pPr>
    </w:p>
    <w:p w14:paraId="756D5407" w14:textId="56E048AF" w:rsidR="00B046C3" w:rsidRPr="004E13E9" w:rsidRDefault="00B046C3" w:rsidP="00B046C3">
      <w:pPr>
        <w:ind w:left="426" w:hanging="426"/>
        <w:rPr>
          <w:b/>
          <w:lang w:val="fr-FR"/>
        </w:rPr>
      </w:pPr>
      <w:r w:rsidRPr="004E13E9">
        <w:rPr>
          <w:b/>
          <w:lang w:val="fr-FR"/>
        </w:rPr>
        <w:t>4.</w:t>
      </w:r>
      <w:r w:rsidRPr="004E13E9">
        <w:rPr>
          <w:b/>
          <w:lang w:val="fr-FR"/>
        </w:rPr>
        <w:tab/>
        <w:t xml:space="preserve">Plan annuel d’aquaculture (paragraphe 10 e) de la </w:t>
      </w:r>
      <w:hyperlink r:id="rId64" w:history="1">
        <w:r w:rsidRPr="004E13E9">
          <w:rPr>
            <w:rStyle w:val="Hyperlink"/>
            <w:b/>
            <w:u w:val="none"/>
            <w:lang w:val="fr-FR"/>
          </w:rPr>
          <w:t xml:space="preserve">Rec. 25-04 </w:t>
        </w:r>
      </w:hyperlink>
      <w:r w:rsidRPr="004E13E9">
        <w:rPr>
          <w:b/>
          <w:lang w:val="fr-FR"/>
        </w:rPr>
        <w:t xml:space="preserve">conformément à la </w:t>
      </w:r>
      <w:hyperlink r:id="rId65" w:history="1">
        <w:r w:rsidRPr="004E13E9">
          <w:rPr>
            <w:rStyle w:val="Hyperlink"/>
            <w:b/>
            <w:u w:val="none"/>
            <w:lang w:val="fr-FR"/>
          </w:rPr>
          <w:t>Rec. 24-07</w:t>
        </w:r>
      </w:hyperlink>
      <w:r w:rsidRPr="004E13E9">
        <w:rPr>
          <w:b/>
          <w:lang w:val="fr-FR"/>
        </w:rPr>
        <w:t>), le cas échéant</w:t>
      </w:r>
    </w:p>
    <w:p w14:paraId="7E3D8CB2" w14:textId="77777777" w:rsidR="00B046C3" w:rsidRPr="004E13E9" w:rsidRDefault="00B046C3" w:rsidP="00B046C3">
      <w:pPr>
        <w:widowControl w:val="0"/>
        <w:rPr>
          <w:rFonts w:eastAsia="MS Gothic" w:cs="Times New Roman"/>
          <w:b/>
          <w:lang w:val="fr-FR" w:eastAsia="fr-FR" w:bidi="fr-FR"/>
        </w:rPr>
      </w:pPr>
    </w:p>
    <w:p w14:paraId="1A4B881F" w14:textId="77777777" w:rsidR="00B046C3" w:rsidRPr="004E13E9" w:rsidRDefault="00B046C3" w:rsidP="00B046C3">
      <w:pPr>
        <w:widowControl w:val="0"/>
        <w:jc w:val="both"/>
        <w:rPr>
          <w:rFonts w:eastAsia="MS Gothic" w:cs="Times New Roman"/>
          <w:bCs/>
          <w:lang w:val="fr-FR" w:eastAsia="fr-FR" w:bidi="fr-FR"/>
        </w:rPr>
      </w:pPr>
      <w:r w:rsidRPr="004E13E9">
        <w:rPr>
          <w:rFonts w:eastAsia="MS Gothic" w:cs="Times New Roman"/>
          <w:bCs/>
          <w:lang w:val="fr-FR" w:eastAsia="fr-FR" w:bidi="fr-FR"/>
        </w:rPr>
        <w:t>L'Albanie n'a pas l'intention de développer des activités d'aquaculture du thon rouge.</w:t>
      </w:r>
    </w:p>
    <w:p w14:paraId="5EB1BFB0" w14:textId="77777777" w:rsidR="00B046C3" w:rsidRPr="004E13E9" w:rsidRDefault="00B046C3" w:rsidP="00B046C3">
      <w:pPr>
        <w:widowControl w:val="0"/>
        <w:rPr>
          <w:rFonts w:eastAsia="MS Gothic" w:cs="Times New Roman"/>
          <w:b/>
          <w:lang w:val="fr-FR" w:eastAsia="fr-FR" w:bidi="fr-FR"/>
        </w:rPr>
      </w:pPr>
    </w:p>
    <w:p w14:paraId="5CCD9CDB" w14:textId="3C8EB186" w:rsidR="007D4762" w:rsidRPr="004E13E9" w:rsidRDefault="007D4762">
      <w:pPr>
        <w:rPr>
          <w:rFonts w:eastAsia="MS Gothic" w:cs="Times New Roman"/>
          <w:b/>
          <w:lang w:val="fr-FR" w:eastAsia="fr-FR" w:bidi="fr-FR"/>
        </w:rPr>
      </w:pPr>
    </w:p>
    <w:p w14:paraId="60D99FCC" w14:textId="4D0BE7EF" w:rsidR="00B046C3" w:rsidRPr="004E13E9" w:rsidRDefault="00B046C3" w:rsidP="00B046C3">
      <w:pPr>
        <w:widowControl w:val="0"/>
        <w:ind w:left="426" w:hanging="426"/>
        <w:rPr>
          <w:rFonts w:eastAsia="MS Gothic" w:cs="Times New Roman"/>
          <w:b/>
          <w:lang w:val="fr-FR" w:eastAsia="fr-FR" w:bidi="fr-FR"/>
        </w:rPr>
      </w:pPr>
      <w:r w:rsidRPr="004E13E9">
        <w:rPr>
          <w:rFonts w:eastAsia="MS Gothic" w:cs="Times New Roman"/>
          <w:b/>
          <w:lang w:val="fr-FR" w:eastAsia="fr-FR" w:bidi="fr-FR"/>
        </w:rPr>
        <w:t xml:space="preserve">5. </w:t>
      </w:r>
      <w:r w:rsidRPr="004E13E9">
        <w:rPr>
          <w:rFonts w:eastAsia="MS Gothic" w:cs="Times New Roman"/>
          <w:b/>
          <w:lang w:val="fr-FR" w:eastAsia="fr-FR" w:bidi="fr-FR"/>
        </w:rPr>
        <w:tab/>
        <w:t>Plan de suivi, contrôle et inspection</w:t>
      </w:r>
    </w:p>
    <w:p w14:paraId="17D44475" w14:textId="77777777" w:rsidR="00B046C3" w:rsidRPr="004E13E9" w:rsidRDefault="00B046C3" w:rsidP="00B046C3">
      <w:pPr>
        <w:widowControl w:val="0"/>
        <w:rPr>
          <w:rFonts w:eastAsia="MS Gothic" w:cs="Times New Roman"/>
          <w:b/>
          <w:lang w:val="fr-FR" w:eastAsia="fr-FR" w:bidi="fr-FR"/>
        </w:rPr>
      </w:pPr>
    </w:p>
    <w:p w14:paraId="4552ECD5" w14:textId="77777777" w:rsidR="00B046C3" w:rsidRPr="004E13E9" w:rsidRDefault="00B046C3" w:rsidP="00B046C3">
      <w:pPr>
        <w:widowControl w:val="0"/>
        <w:rPr>
          <w:rFonts w:eastAsia="MS Gothic" w:cs="Times New Roman"/>
          <w:b/>
          <w:i/>
          <w:iCs/>
          <w:lang w:val="fr-FR" w:eastAsia="fr-FR" w:bidi="fr-FR"/>
        </w:rPr>
      </w:pPr>
      <w:r w:rsidRPr="004E13E9">
        <w:rPr>
          <w:rFonts w:eastAsia="MS Gothic" w:cs="Times New Roman"/>
          <w:b/>
          <w:i/>
          <w:iCs/>
          <w:lang w:val="fr-FR" w:eastAsia="fr-FR" w:bidi="fr-FR"/>
        </w:rPr>
        <w:t>5a) Suivi, contrôle et inspection de la CPC (paragraphe 10 c)</w:t>
      </w:r>
    </w:p>
    <w:p w14:paraId="1954874A" w14:textId="77777777" w:rsidR="00B046C3" w:rsidRPr="004E13E9" w:rsidRDefault="00B046C3" w:rsidP="00B046C3">
      <w:pPr>
        <w:widowControl w:val="0"/>
        <w:rPr>
          <w:rFonts w:eastAsia="MS Gothic" w:cs="Times New Roman"/>
          <w:b/>
          <w:lang w:val="fr-FR" w:eastAsia="fr-FR" w:bidi="fr-FR"/>
        </w:rPr>
      </w:pPr>
    </w:p>
    <w:p w14:paraId="7E66499E" w14:textId="015F0F3F" w:rsidR="008B5078" w:rsidRPr="004E13E9" w:rsidRDefault="00B046C3" w:rsidP="008B5078">
      <w:pPr>
        <w:widowControl w:val="0"/>
        <w:jc w:val="both"/>
        <w:rPr>
          <w:rFonts w:eastAsia="MS Gothic" w:cs="Times New Roman"/>
          <w:lang w:val="fr-FR" w:eastAsia="fr-FR" w:bidi="fr-FR"/>
        </w:rPr>
      </w:pPr>
      <w:r w:rsidRPr="004E13E9">
        <w:rPr>
          <w:rFonts w:eastAsia="MS Gothic" w:cs="Times New Roman"/>
          <w:lang w:val="fr-FR" w:eastAsia="fr-FR" w:bidi="fr-FR"/>
        </w:rPr>
        <w:t xml:space="preserve">Conformément à la législation nationale en vigueur (ordonnance nº5 en date du 28/01/2019 délivrée par la Direction des pêches et de l’aquaculture), une équipe sera déployée aux ports de pêche de </w:t>
      </w:r>
      <w:proofErr w:type="spellStart"/>
      <w:r w:rsidRPr="004E13E9">
        <w:rPr>
          <w:rFonts w:eastAsia="MS Gothic" w:cs="Times New Roman"/>
          <w:lang w:val="fr-FR" w:eastAsia="fr-FR" w:bidi="fr-FR"/>
        </w:rPr>
        <w:t>Shengjini</w:t>
      </w:r>
      <w:proofErr w:type="spellEnd"/>
      <w:r w:rsidRPr="004E13E9">
        <w:rPr>
          <w:rFonts w:eastAsia="MS Gothic" w:cs="Times New Roman"/>
          <w:lang w:val="fr-FR" w:eastAsia="fr-FR" w:bidi="fr-FR"/>
        </w:rPr>
        <w:t xml:space="preserve"> et de Saranda pendant la saison de pêche et de mise à mort, en vue de mettre en œuvre les tâches fondées sur la </w:t>
      </w:r>
      <w:hyperlink r:id="rId66" w:history="1">
        <w:r w:rsidRPr="004E13E9">
          <w:rPr>
            <w:rStyle w:val="Hyperlink"/>
            <w:rFonts w:eastAsia="MS Gothic" w:cs="Times New Roman"/>
            <w:u w:val="none"/>
            <w:lang w:val="fr-FR" w:eastAsia="fr-FR" w:bidi="fr-FR"/>
          </w:rPr>
          <w:t xml:space="preserve">Rec. 25-04 </w:t>
        </w:r>
      </w:hyperlink>
      <w:r w:rsidRPr="004E13E9">
        <w:rPr>
          <w:rFonts w:eastAsia="MS Gothic" w:cs="Times New Roman"/>
          <w:lang w:val="fr-FR" w:eastAsia="fr-FR" w:bidi="fr-FR"/>
        </w:rPr>
        <w:t>de l’ICCAT, le règlement albanais et l’arrêté ministériel n°131/2026.</w:t>
      </w:r>
      <w:r w:rsidR="008B5078" w:rsidRPr="004E13E9">
        <w:rPr>
          <w:rFonts w:eastAsia="MS Gothic" w:cs="Times New Roman"/>
          <w:lang w:val="fr-FR" w:eastAsia="fr-FR" w:bidi="fr-FR"/>
        </w:rPr>
        <w:br w:type="page"/>
      </w:r>
    </w:p>
    <w:p w14:paraId="0614E21F" w14:textId="3564FDB8" w:rsidR="00B046C3" w:rsidRPr="004E13E9" w:rsidRDefault="00B046C3" w:rsidP="00B046C3">
      <w:pPr>
        <w:widowControl w:val="0"/>
        <w:jc w:val="both"/>
        <w:rPr>
          <w:rFonts w:eastAsia="MS Gothic" w:cs="Times New Roman"/>
          <w:lang w:val="fr-FR" w:eastAsia="fr-FR" w:bidi="fr-FR"/>
        </w:rPr>
      </w:pPr>
      <w:r w:rsidRPr="004E13E9">
        <w:rPr>
          <w:rFonts w:eastAsia="MS Gothic" w:cs="Times New Roman"/>
          <w:lang w:val="fr-FR" w:eastAsia="fr-FR" w:bidi="fr-FR"/>
        </w:rPr>
        <w:lastRenderedPageBreak/>
        <w:t xml:space="preserve">L'autorité compétente en matière de contrôle de l’Albanie ou l’équipe </w:t>
      </w:r>
      <w:proofErr w:type="spellStart"/>
      <w:r w:rsidRPr="004E13E9">
        <w:rPr>
          <w:rFonts w:eastAsia="MS Gothic" w:cs="Times New Roman"/>
          <w:lang w:val="fr-FR" w:eastAsia="fr-FR" w:bidi="fr-FR"/>
        </w:rPr>
        <w:t>opérationnnelle</w:t>
      </w:r>
      <w:proofErr w:type="spellEnd"/>
      <w:r w:rsidRPr="004E13E9">
        <w:rPr>
          <w:rFonts w:eastAsia="MS Gothic" w:cs="Times New Roman"/>
          <w:lang w:val="fr-FR" w:eastAsia="fr-FR" w:bidi="fr-FR"/>
        </w:rPr>
        <w:t xml:space="preserve"> est composée de :</w:t>
      </w:r>
    </w:p>
    <w:p w14:paraId="6A337A4E" w14:textId="77777777" w:rsidR="00B046C3" w:rsidRPr="004E13E9" w:rsidRDefault="00B046C3" w:rsidP="00B046C3">
      <w:pPr>
        <w:widowControl w:val="0"/>
        <w:jc w:val="both"/>
        <w:rPr>
          <w:rFonts w:eastAsia="MS Gothic" w:cs="Times New Roman"/>
          <w:lang w:val="fr-FR" w:eastAsia="fr-FR" w:bidi="fr-FR"/>
        </w:rPr>
      </w:pPr>
    </w:p>
    <w:tbl>
      <w:tblPr>
        <w:tblStyle w:val="TableGrid"/>
        <w:tblW w:w="0" w:type="auto"/>
        <w:tblInd w:w="279" w:type="dxa"/>
        <w:tblLook w:val="04A0" w:firstRow="1" w:lastRow="0" w:firstColumn="1" w:lastColumn="0" w:noHBand="0" w:noVBand="1"/>
      </w:tblPr>
      <w:tblGrid>
        <w:gridCol w:w="3535"/>
        <w:gridCol w:w="2976"/>
        <w:gridCol w:w="2270"/>
      </w:tblGrid>
      <w:tr w:rsidR="00B046C3" w:rsidRPr="004E13E9" w14:paraId="07975179" w14:textId="77777777" w:rsidTr="000D1853">
        <w:tc>
          <w:tcPr>
            <w:tcW w:w="3595" w:type="dxa"/>
          </w:tcPr>
          <w:p w14:paraId="53E7ECC4" w14:textId="77777777" w:rsidR="00B046C3" w:rsidRPr="004E13E9" w:rsidRDefault="00B046C3" w:rsidP="000D1853">
            <w:pPr>
              <w:widowControl w:val="0"/>
              <w:contextualSpacing/>
              <w:jc w:val="both"/>
              <w:rPr>
                <w:rFonts w:ascii="Cambria" w:hAnsi="Cambria"/>
                <w:sz w:val="20"/>
                <w:szCs w:val="20"/>
              </w:rPr>
            </w:pPr>
            <w:r w:rsidRPr="004E13E9">
              <w:rPr>
                <w:rFonts w:ascii="Cambria" w:hAnsi="Cambria"/>
                <w:i/>
                <w:iCs/>
                <w:sz w:val="20"/>
                <w:szCs w:val="20"/>
              </w:rPr>
              <w:t>Nom et fonctions</w:t>
            </w:r>
          </w:p>
        </w:tc>
        <w:tc>
          <w:tcPr>
            <w:tcW w:w="2786" w:type="dxa"/>
          </w:tcPr>
          <w:p w14:paraId="03730169" w14:textId="77777777" w:rsidR="00B046C3" w:rsidRPr="004E13E9" w:rsidRDefault="00B046C3" w:rsidP="000D1853">
            <w:pPr>
              <w:widowControl w:val="0"/>
              <w:contextualSpacing/>
              <w:jc w:val="both"/>
              <w:rPr>
                <w:rFonts w:ascii="Cambria" w:hAnsi="Cambria"/>
                <w:i/>
                <w:iCs/>
                <w:sz w:val="20"/>
                <w:szCs w:val="20"/>
                <w:lang w:val="en-GB"/>
              </w:rPr>
            </w:pPr>
            <w:r w:rsidRPr="004E13E9">
              <w:rPr>
                <w:rFonts w:ascii="Cambria" w:hAnsi="Cambria"/>
                <w:i/>
                <w:iCs/>
                <w:sz w:val="20"/>
                <w:szCs w:val="20"/>
                <w:lang w:val="en-GB"/>
              </w:rPr>
              <w:t>e-mail</w:t>
            </w:r>
          </w:p>
        </w:tc>
        <w:tc>
          <w:tcPr>
            <w:tcW w:w="2287" w:type="dxa"/>
          </w:tcPr>
          <w:p w14:paraId="6E09C354" w14:textId="77777777" w:rsidR="00B046C3" w:rsidRPr="004E13E9" w:rsidRDefault="00B046C3" w:rsidP="000D1853">
            <w:pPr>
              <w:widowControl w:val="0"/>
              <w:contextualSpacing/>
              <w:jc w:val="both"/>
              <w:rPr>
                <w:rFonts w:ascii="Cambria" w:hAnsi="Cambria"/>
                <w:i/>
                <w:iCs/>
                <w:sz w:val="20"/>
                <w:szCs w:val="20"/>
                <w:lang w:val="en-GB"/>
              </w:rPr>
            </w:pPr>
            <w:r w:rsidRPr="004E13E9">
              <w:rPr>
                <w:rFonts w:ascii="Cambria" w:hAnsi="Cambria"/>
                <w:i/>
                <w:iCs/>
                <w:sz w:val="20"/>
                <w:szCs w:val="20"/>
                <w:lang w:val="en-GB"/>
              </w:rPr>
              <w:t xml:space="preserve">Nº de </w:t>
            </w:r>
            <w:proofErr w:type="spellStart"/>
            <w:r w:rsidRPr="004E13E9">
              <w:rPr>
                <w:rFonts w:ascii="Cambria" w:hAnsi="Cambria"/>
                <w:i/>
                <w:iCs/>
                <w:sz w:val="20"/>
                <w:szCs w:val="20"/>
                <w:lang w:val="en-GB"/>
              </w:rPr>
              <w:t>téléphone</w:t>
            </w:r>
            <w:proofErr w:type="spellEnd"/>
            <w:r w:rsidRPr="004E13E9">
              <w:rPr>
                <w:rFonts w:ascii="Cambria" w:hAnsi="Cambria"/>
                <w:i/>
                <w:iCs/>
                <w:sz w:val="20"/>
                <w:szCs w:val="20"/>
                <w:lang w:val="en-GB"/>
              </w:rPr>
              <w:t xml:space="preserve"> </w:t>
            </w:r>
          </w:p>
        </w:tc>
      </w:tr>
      <w:tr w:rsidR="00B046C3" w:rsidRPr="004E13E9" w14:paraId="56D56036" w14:textId="77777777" w:rsidTr="000D1853">
        <w:tc>
          <w:tcPr>
            <w:tcW w:w="3595" w:type="dxa"/>
          </w:tcPr>
          <w:p w14:paraId="531D4E6C" w14:textId="77777777" w:rsidR="00B046C3" w:rsidRPr="004E13E9" w:rsidRDefault="00B046C3" w:rsidP="000D1853">
            <w:pPr>
              <w:widowControl w:val="0"/>
              <w:contextualSpacing/>
              <w:jc w:val="both"/>
              <w:rPr>
                <w:rFonts w:ascii="Cambria" w:hAnsi="Cambria"/>
                <w:bCs/>
                <w:color w:val="FF0000"/>
                <w:sz w:val="20"/>
                <w:szCs w:val="20"/>
              </w:rPr>
            </w:pPr>
            <w:r w:rsidRPr="004E13E9">
              <w:rPr>
                <w:rFonts w:ascii="Cambria" w:hAnsi="Cambria"/>
                <w:bCs/>
                <w:sz w:val="20"/>
                <w:szCs w:val="20"/>
              </w:rPr>
              <w:t>Aleksander Luli, inspecteur des pêche</w:t>
            </w:r>
          </w:p>
        </w:tc>
        <w:tc>
          <w:tcPr>
            <w:tcW w:w="2786" w:type="dxa"/>
          </w:tcPr>
          <w:p w14:paraId="2656594E" w14:textId="77777777" w:rsidR="00B046C3" w:rsidRPr="004E13E9" w:rsidRDefault="00B046C3" w:rsidP="000D1853">
            <w:pPr>
              <w:widowControl w:val="0"/>
              <w:contextualSpacing/>
              <w:jc w:val="both"/>
              <w:rPr>
                <w:rFonts w:ascii="Cambria" w:hAnsi="Cambria"/>
                <w:bCs/>
                <w:color w:val="FF0000"/>
                <w:sz w:val="20"/>
                <w:szCs w:val="20"/>
              </w:rPr>
            </w:pPr>
            <w:hyperlink r:id="rId67" w:history="1">
              <w:r w:rsidRPr="004E13E9">
                <w:rPr>
                  <w:rFonts w:ascii="Cambria" w:hAnsi="Cambria"/>
                  <w:bCs/>
                  <w:color w:val="0563C1"/>
                  <w:sz w:val="20"/>
                  <w:szCs w:val="20"/>
                </w:rPr>
                <w:t>Aleksander.Luli@dshpa.gov.al</w:t>
              </w:r>
            </w:hyperlink>
          </w:p>
        </w:tc>
        <w:tc>
          <w:tcPr>
            <w:tcW w:w="2287" w:type="dxa"/>
          </w:tcPr>
          <w:p w14:paraId="59ACD788" w14:textId="77777777" w:rsidR="00B046C3" w:rsidRPr="004E13E9" w:rsidRDefault="00B046C3" w:rsidP="000D1853">
            <w:pPr>
              <w:widowControl w:val="0"/>
              <w:contextualSpacing/>
              <w:jc w:val="both"/>
              <w:rPr>
                <w:rFonts w:ascii="Cambria" w:hAnsi="Cambria"/>
                <w:bCs/>
                <w:color w:val="FF0000"/>
                <w:sz w:val="20"/>
                <w:szCs w:val="20"/>
                <w:lang w:val="en-GB"/>
              </w:rPr>
            </w:pPr>
            <w:r w:rsidRPr="004E13E9">
              <w:rPr>
                <w:rFonts w:ascii="Cambria" w:hAnsi="Cambria"/>
                <w:bCs/>
                <w:sz w:val="20"/>
                <w:szCs w:val="20"/>
                <w:lang w:val="en-GB"/>
              </w:rPr>
              <w:t>+355693995558</w:t>
            </w:r>
          </w:p>
        </w:tc>
      </w:tr>
      <w:tr w:rsidR="00B046C3" w:rsidRPr="004E13E9" w14:paraId="1B22F536" w14:textId="77777777" w:rsidTr="000D1853">
        <w:tc>
          <w:tcPr>
            <w:tcW w:w="3595" w:type="dxa"/>
          </w:tcPr>
          <w:p w14:paraId="52D8CF5B" w14:textId="77777777" w:rsidR="00B046C3" w:rsidRPr="004E13E9" w:rsidRDefault="00B046C3" w:rsidP="000D1853">
            <w:pPr>
              <w:widowControl w:val="0"/>
              <w:contextualSpacing/>
              <w:jc w:val="both"/>
              <w:rPr>
                <w:rFonts w:ascii="Cambria" w:hAnsi="Cambria"/>
                <w:bCs/>
                <w:color w:val="FF0000"/>
                <w:sz w:val="20"/>
                <w:szCs w:val="20"/>
              </w:rPr>
            </w:pPr>
            <w:proofErr w:type="spellStart"/>
            <w:r w:rsidRPr="004E13E9">
              <w:rPr>
                <w:rFonts w:ascii="Cambria" w:hAnsi="Cambria"/>
                <w:bCs/>
                <w:sz w:val="20"/>
                <w:szCs w:val="20"/>
              </w:rPr>
              <w:t>Ilirjan</w:t>
            </w:r>
            <w:proofErr w:type="spellEnd"/>
            <w:r w:rsidRPr="004E13E9">
              <w:rPr>
                <w:rFonts w:ascii="Cambria" w:hAnsi="Cambria"/>
                <w:bCs/>
                <w:sz w:val="20"/>
                <w:szCs w:val="20"/>
              </w:rPr>
              <w:t xml:space="preserve"> </w:t>
            </w:r>
            <w:proofErr w:type="spellStart"/>
            <w:r w:rsidRPr="004E13E9">
              <w:rPr>
                <w:rFonts w:ascii="Cambria" w:hAnsi="Cambria"/>
                <w:bCs/>
                <w:sz w:val="20"/>
                <w:szCs w:val="20"/>
              </w:rPr>
              <w:t>Cepe</w:t>
            </w:r>
            <w:proofErr w:type="spellEnd"/>
            <w:r w:rsidRPr="004E13E9">
              <w:rPr>
                <w:rFonts w:ascii="Cambria" w:hAnsi="Cambria"/>
                <w:bCs/>
                <w:sz w:val="20"/>
                <w:szCs w:val="20"/>
              </w:rPr>
              <w:t>, inspecteur des pêches</w:t>
            </w:r>
          </w:p>
        </w:tc>
        <w:tc>
          <w:tcPr>
            <w:tcW w:w="2786" w:type="dxa"/>
          </w:tcPr>
          <w:p w14:paraId="6297CACC" w14:textId="77777777" w:rsidR="00B046C3" w:rsidRPr="004E13E9" w:rsidRDefault="00B046C3" w:rsidP="000D1853">
            <w:pPr>
              <w:widowControl w:val="0"/>
              <w:contextualSpacing/>
              <w:jc w:val="both"/>
              <w:rPr>
                <w:rFonts w:ascii="Cambria" w:hAnsi="Cambria"/>
                <w:bCs/>
                <w:sz w:val="20"/>
                <w:szCs w:val="20"/>
              </w:rPr>
            </w:pPr>
            <w:hyperlink r:id="rId68" w:history="1">
              <w:r w:rsidRPr="004E13E9">
                <w:rPr>
                  <w:rFonts w:ascii="Cambria" w:hAnsi="Cambria"/>
                  <w:bCs/>
                  <w:color w:val="0563C1"/>
                  <w:sz w:val="20"/>
                  <w:szCs w:val="20"/>
                </w:rPr>
                <w:t>Ilirjan.Cepe@dshpa.gov.al</w:t>
              </w:r>
            </w:hyperlink>
            <w:r w:rsidRPr="004E13E9">
              <w:rPr>
                <w:rFonts w:ascii="Cambria" w:hAnsi="Cambria"/>
                <w:bCs/>
                <w:sz w:val="20"/>
                <w:szCs w:val="20"/>
              </w:rPr>
              <w:t xml:space="preserve"> </w:t>
            </w:r>
          </w:p>
        </w:tc>
        <w:tc>
          <w:tcPr>
            <w:tcW w:w="2287" w:type="dxa"/>
          </w:tcPr>
          <w:p w14:paraId="744BCDCC" w14:textId="77777777" w:rsidR="00B046C3" w:rsidRPr="004E13E9" w:rsidRDefault="00B046C3" w:rsidP="000D1853">
            <w:pPr>
              <w:widowControl w:val="0"/>
              <w:contextualSpacing/>
              <w:jc w:val="both"/>
              <w:rPr>
                <w:rFonts w:ascii="Cambria" w:hAnsi="Cambria"/>
                <w:bCs/>
                <w:sz w:val="20"/>
                <w:szCs w:val="20"/>
                <w:lang w:val="en-GB"/>
              </w:rPr>
            </w:pPr>
            <w:r w:rsidRPr="004E13E9">
              <w:rPr>
                <w:rFonts w:ascii="Cambria" w:hAnsi="Cambria"/>
                <w:bCs/>
                <w:sz w:val="20"/>
                <w:szCs w:val="20"/>
                <w:lang w:val="en-GB"/>
              </w:rPr>
              <w:t>+355696310355</w:t>
            </w:r>
          </w:p>
        </w:tc>
      </w:tr>
      <w:tr w:rsidR="00B046C3" w:rsidRPr="004E13E9" w14:paraId="50258D3B" w14:textId="77777777" w:rsidTr="000D1853">
        <w:tc>
          <w:tcPr>
            <w:tcW w:w="3595" w:type="dxa"/>
          </w:tcPr>
          <w:p w14:paraId="2725D3E3" w14:textId="77777777" w:rsidR="00B046C3" w:rsidRPr="004E13E9" w:rsidRDefault="00B046C3" w:rsidP="000D1853">
            <w:pPr>
              <w:widowControl w:val="0"/>
              <w:contextualSpacing/>
              <w:jc w:val="both"/>
              <w:rPr>
                <w:rFonts w:ascii="Cambria" w:hAnsi="Cambria"/>
                <w:bCs/>
                <w:color w:val="FF0000"/>
                <w:sz w:val="20"/>
                <w:szCs w:val="20"/>
              </w:rPr>
            </w:pPr>
            <w:r w:rsidRPr="004E13E9">
              <w:rPr>
                <w:rFonts w:ascii="Cambria" w:hAnsi="Cambria"/>
                <w:bCs/>
                <w:sz w:val="20"/>
                <w:szCs w:val="20"/>
              </w:rPr>
              <w:t xml:space="preserve">Lefter Kocillari, inspecteur des pêches </w:t>
            </w:r>
          </w:p>
        </w:tc>
        <w:tc>
          <w:tcPr>
            <w:tcW w:w="2786" w:type="dxa"/>
          </w:tcPr>
          <w:p w14:paraId="713E78F0" w14:textId="77777777" w:rsidR="00B046C3" w:rsidRPr="004E13E9" w:rsidRDefault="00B046C3" w:rsidP="000D1853">
            <w:pPr>
              <w:widowControl w:val="0"/>
              <w:contextualSpacing/>
              <w:jc w:val="both"/>
              <w:rPr>
                <w:rFonts w:ascii="Cambria" w:hAnsi="Cambria"/>
                <w:bCs/>
                <w:sz w:val="20"/>
                <w:szCs w:val="20"/>
              </w:rPr>
            </w:pPr>
            <w:hyperlink r:id="rId69" w:history="1">
              <w:r w:rsidRPr="004E13E9">
                <w:rPr>
                  <w:rFonts w:ascii="Cambria" w:hAnsi="Cambria"/>
                  <w:bCs/>
                  <w:color w:val="0563C1"/>
                  <w:sz w:val="20"/>
                  <w:szCs w:val="20"/>
                </w:rPr>
                <w:t>Lefter.Kocillari@dshpa.gov.al</w:t>
              </w:r>
            </w:hyperlink>
            <w:r w:rsidRPr="004E13E9">
              <w:rPr>
                <w:rFonts w:ascii="Cambria" w:hAnsi="Cambria"/>
                <w:bCs/>
                <w:sz w:val="20"/>
                <w:szCs w:val="20"/>
              </w:rPr>
              <w:t xml:space="preserve"> </w:t>
            </w:r>
          </w:p>
        </w:tc>
        <w:tc>
          <w:tcPr>
            <w:tcW w:w="2287" w:type="dxa"/>
          </w:tcPr>
          <w:p w14:paraId="04B2885A" w14:textId="77777777" w:rsidR="00B046C3" w:rsidRPr="004E13E9" w:rsidRDefault="00B046C3" w:rsidP="000D1853">
            <w:pPr>
              <w:widowControl w:val="0"/>
              <w:contextualSpacing/>
              <w:jc w:val="both"/>
              <w:rPr>
                <w:rFonts w:ascii="Cambria" w:hAnsi="Cambria"/>
                <w:bCs/>
                <w:sz w:val="20"/>
                <w:szCs w:val="20"/>
                <w:lang w:val="en-GB"/>
              </w:rPr>
            </w:pPr>
            <w:r w:rsidRPr="004E13E9">
              <w:rPr>
                <w:rFonts w:ascii="Cambria" w:hAnsi="Cambria"/>
                <w:bCs/>
                <w:sz w:val="20"/>
                <w:szCs w:val="20"/>
                <w:lang w:val="en-GB"/>
              </w:rPr>
              <w:t>+355672277713</w:t>
            </w:r>
          </w:p>
        </w:tc>
      </w:tr>
      <w:tr w:rsidR="00B046C3" w:rsidRPr="004E13E9" w14:paraId="23046AC0" w14:textId="77777777" w:rsidTr="000D1853">
        <w:tc>
          <w:tcPr>
            <w:tcW w:w="3595" w:type="dxa"/>
          </w:tcPr>
          <w:p w14:paraId="4BA7F48A" w14:textId="77777777" w:rsidR="00B046C3" w:rsidRPr="004E13E9" w:rsidRDefault="00B046C3" w:rsidP="000D1853">
            <w:pPr>
              <w:widowControl w:val="0"/>
              <w:contextualSpacing/>
              <w:jc w:val="both"/>
              <w:rPr>
                <w:rFonts w:ascii="Cambria" w:hAnsi="Cambria"/>
                <w:bCs/>
                <w:sz w:val="20"/>
                <w:szCs w:val="20"/>
              </w:rPr>
            </w:pPr>
            <w:r w:rsidRPr="004E13E9">
              <w:rPr>
                <w:rFonts w:ascii="Cambria" w:hAnsi="Cambria"/>
                <w:sz w:val="20"/>
                <w:szCs w:val="20"/>
              </w:rPr>
              <w:t xml:space="preserve">Endri Hoxhaj, </w:t>
            </w:r>
            <w:r w:rsidRPr="004E13E9">
              <w:rPr>
                <w:rFonts w:ascii="Cambria" w:hAnsi="Cambria"/>
                <w:bCs/>
                <w:sz w:val="20"/>
                <w:szCs w:val="20"/>
              </w:rPr>
              <w:t>inspecteur des pêches</w:t>
            </w:r>
          </w:p>
        </w:tc>
        <w:tc>
          <w:tcPr>
            <w:tcW w:w="2786" w:type="dxa"/>
          </w:tcPr>
          <w:p w14:paraId="055D1F63" w14:textId="77777777" w:rsidR="00B046C3" w:rsidRPr="004E13E9" w:rsidRDefault="00B046C3" w:rsidP="000D1853">
            <w:pPr>
              <w:widowControl w:val="0"/>
              <w:contextualSpacing/>
              <w:jc w:val="both"/>
              <w:rPr>
                <w:rFonts w:ascii="Cambria" w:hAnsi="Cambria"/>
              </w:rPr>
            </w:pPr>
            <w:r w:rsidRPr="004E13E9">
              <w:rPr>
                <w:rFonts w:ascii="Cambria" w:hAnsi="Cambria"/>
                <w:color w:val="0461C1"/>
                <w:sz w:val="20"/>
                <w:szCs w:val="20"/>
              </w:rPr>
              <w:t>Endri.Hoxhaj@dshpa.gov.al</w:t>
            </w:r>
          </w:p>
        </w:tc>
        <w:tc>
          <w:tcPr>
            <w:tcW w:w="2287" w:type="dxa"/>
          </w:tcPr>
          <w:p w14:paraId="6089D6DB" w14:textId="77777777" w:rsidR="00B046C3" w:rsidRPr="004E13E9" w:rsidRDefault="00B046C3" w:rsidP="000D1853">
            <w:pPr>
              <w:widowControl w:val="0"/>
              <w:contextualSpacing/>
              <w:jc w:val="both"/>
              <w:rPr>
                <w:rFonts w:ascii="Cambria" w:hAnsi="Cambria"/>
                <w:bCs/>
                <w:sz w:val="20"/>
                <w:szCs w:val="20"/>
                <w:lang w:val="en-GB"/>
              </w:rPr>
            </w:pPr>
            <w:r w:rsidRPr="004E13E9">
              <w:rPr>
                <w:rFonts w:ascii="Cambria" w:hAnsi="Cambria"/>
                <w:sz w:val="20"/>
                <w:szCs w:val="20"/>
              </w:rPr>
              <w:t>+355692455993</w:t>
            </w:r>
          </w:p>
        </w:tc>
      </w:tr>
      <w:tr w:rsidR="00B046C3" w:rsidRPr="004E13E9" w14:paraId="6468698F" w14:textId="77777777" w:rsidTr="000D1853">
        <w:tc>
          <w:tcPr>
            <w:tcW w:w="3595" w:type="dxa"/>
          </w:tcPr>
          <w:p w14:paraId="7B7FFD65" w14:textId="77777777" w:rsidR="00B046C3" w:rsidRPr="004E13E9" w:rsidRDefault="00B046C3" w:rsidP="000D1853">
            <w:pPr>
              <w:widowControl w:val="0"/>
              <w:contextualSpacing/>
              <w:jc w:val="both"/>
              <w:rPr>
                <w:rFonts w:ascii="Cambria" w:hAnsi="Cambria"/>
                <w:bCs/>
                <w:sz w:val="20"/>
                <w:szCs w:val="20"/>
              </w:rPr>
            </w:pPr>
            <w:r w:rsidRPr="004E13E9">
              <w:rPr>
                <w:rFonts w:ascii="Cambria" w:hAnsi="Cambria"/>
                <w:sz w:val="20"/>
                <w:szCs w:val="20"/>
              </w:rPr>
              <w:t xml:space="preserve">Orien </w:t>
            </w:r>
            <w:proofErr w:type="spellStart"/>
            <w:r w:rsidRPr="004E13E9">
              <w:rPr>
                <w:rFonts w:ascii="Cambria" w:hAnsi="Cambria"/>
                <w:sz w:val="20"/>
                <w:szCs w:val="20"/>
              </w:rPr>
              <w:t>Miraku</w:t>
            </w:r>
            <w:proofErr w:type="spellEnd"/>
            <w:r w:rsidRPr="004E13E9">
              <w:rPr>
                <w:rFonts w:ascii="Cambria" w:hAnsi="Cambria"/>
                <w:sz w:val="20"/>
                <w:szCs w:val="20"/>
              </w:rPr>
              <w:t xml:space="preserve">, </w:t>
            </w:r>
            <w:r w:rsidRPr="004E13E9">
              <w:rPr>
                <w:rFonts w:ascii="Cambria" w:hAnsi="Cambria"/>
                <w:bCs/>
                <w:sz w:val="20"/>
                <w:szCs w:val="20"/>
              </w:rPr>
              <w:t>inspecteur des pêches</w:t>
            </w:r>
          </w:p>
        </w:tc>
        <w:tc>
          <w:tcPr>
            <w:tcW w:w="2786" w:type="dxa"/>
          </w:tcPr>
          <w:p w14:paraId="78290DFD" w14:textId="77777777" w:rsidR="00B046C3" w:rsidRPr="004E13E9" w:rsidRDefault="00B046C3" w:rsidP="000D1853">
            <w:pPr>
              <w:widowControl w:val="0"/>
              <w:contextualSpacing/>
              <w:jc w:val="both"/>
              <w:rPr>
                <w:rFonts w:ascii="Cambria" w:hAnsi="Cambria"/>
              </w:rPr>
            </w:pPr>
            <w:r w:rsidRPr="004E13E9">
              <w:rPr>
                <w:rFonts w:ascii="Cambria" w:hAnsi="Cambria"/>
                <w:color w:val="0461C1"/>
                <w:sz w:val="20"/>
                <w:szCs w:val="20"/>
              </w:rPr>
              <w:t>Orien.Miraku@dshpa.gov.al</w:t>
            </w:r>
          </w:p>
        </w:tc>
        <w:tc>
          <w:tcPr>
            <w:tcW w:w="2287" w:type="dxa"/>
          </w:tcPr>
          <w:p w14:paraId="5A0A9E51" w14:textId="77777777" w:rsidR="00B046C3" w:rsidRPr="004E13E9" w:rsidRDefault="00B046C3" w:rsidP="000D1853">
            <w:pPr>
              <w:widowControl w:val="0"/>
              <w:contextualSpacing/>
              <w:jc w:val="both"/>
              <w:rPr>
                <w:rFonts w:ascii="Cambria" w:hAnsi="Cambria"/>
                <w:bCs/>
                <w:sz w:val="20"/>
                <w:szCs w:val="20"/>
                <w:lang w:val="en-GB"/>
              </w:rPr>
            </w:pPr>
            <w:r w:rsidRPr="004E13E9">
              <w:rPr>
                <w:rFonts w:ascii="Cambria" w:hAnsi="Cambria"/>
                <w:sz w:val="20"/>
                <w:szCs w:val="20"/>
              </w:rPr>
              <w:t>+355695203342</w:t>
            </w:r>
          </w:p>
        </w:tc>
      </w:tr>
      <w:tr w:rsidR="00B046C3" w:rsidRPr="004E13E9" w14:paraId="30C46036" w14:textId="77777777" w:rsidTr="000D1853">
        <w:tc>
          <w:tcPr>
            <w:tcW w:w="3595" w:type="dxa"/>
          </w:tcPr>
          <w:p w14:paraId="14A66E84" w14:textId="77777777" w:rsidR="00B046C3" w:rsidRPr="004E13E9" w:rsidRDefault="00B046C3" w:rsidP="000D1853">
            <w:pPr>
              <w:widowControl w:val="0"/>
              <w:contextualSpacing/>
              <w:jc w:val="both"/>
              <w:rPr>
                <w:rFonts w:ascii="Cambria" w:hAnsi="Cambria"/>
                <w:bCs/>
                <w:sz w:val="20"/>
                <w:szCs w:val="20"/>
              </w:rPr>
            </w:pPr>
            <w:r w:rsidRPr="004E13E9">
              <w:rPr>
                <w:rFonts w:ascii="Cambria" w:hAnsi="Cambria"/>
                <w:sz w:val="20"/>
                <w:szCs w:val="20"/>
              </w:rPr>
              <w:t xml:space="preserve">Ermal Pishtari, </w:t>
            </w:r>
            <w:r w:rsidRPr="004E13E9">
              <w:rPr>
                <w:rFonts w:ascii="Cambria" w:hAnsi="Cambria"/>
                <w:bCs/>
                <w:sz w:val="20"/>
                <w:szCs w:val="20"/>
              </w:rPr>
              <w:t>inspecteur des pêches</w:t>
            </w:r>
          </w:p>
        </w:tc>
        <w:tc>
          <w:tcPr>
            <w:tcW w:w="2786" w:type="dxa"/>
          </w:tcPr>
          <w:p w14:paraId="4FEA7014" w14:textId="77777777" w:rsidR="00B046C3" w:rsidRPr="004E13E9" w:rsidRDefault="00B046C3" w:rsidP="000D1853">
            <w:pPr>
              <w:widowControl w:val="0"/>
              <w:contextualSpacing/>
              <w:jc w:val="both"/>
              <w:rPr>
                <w:rFonts w:ascii="Cambria" w:hAnsi="Cambria"/>
              </w:rPr>
            </w:pPr>
            <w:r w:rsidRPr="004E13E9">
              <w:rPr>
                <w:rFonts w:ascii="Cambria" w:hAnsi="Cambria"/>
                <w:color w:val="0461C1"/>
                <w:sz w:val="20"/>
                <w:szCs w:val="20"/>
              </w:rPr>
              <w:t>Ermal.Pishtari@dshpa.gov.al</w:t>
            </w:r>
          </w:p>
        </w:tc>
        <w:tc>
          <w:tcPr>
            <w:tcW w:w="2287" w:type="dxa"/>
          </w:tcPr>
          <w:p w14:paraId="6FDA9CF5" w14:textId="77777777" w:rsidR="00B046C3" w:rsidRPr="004E13E9" w:rsidRDefault="00B046C3" w:rsidP="000D1853">
            <w:pPr>
              <w:widowControl w:val="0"/>
              <w:contextualSpacing/>
              <w:jc w:val="both"/>
              <w:rPr>
                <w:rFonts w:ascii="Cambria" w:hAnsi="Cambria"/>
                <w:bCs/>
                <w:sz w:val="20"/>
                <w:szCs w:val="20"/>
                <w:lang w:val="en-GB"/>
              </w:rPr>
            </w:pPr>
            <w:r w:rsidRPr="004E13E9">
              <w:rPr>
                <w:rFonts w:ascii="Cambria" w:hAnsi="Cambria"/>
                <w:sz w:val="20"/>
                <w:szCs w:val="20"/>
              </w:rPr>
              <w:t>+355693300911</w:t>
            </w:r>
          </w:p>
        </w:tc>
      </w:tr>
      <w:tr w:rsidR="00B046C3" w:rsidRPr="004E13E9" w14:paraId="67E40939" w14:textId="77777777" w:rsidTr="000D1853">
        <w:tc>
          <w:tcPr>
            <w:tcW w:w="3595" w:type="dxa"/>
          </w:tcPr>
          <w:p w14:paraId="78ABBF2C" w14:textId="77777777" w:rsidR="00B046C3" w:rsidRPr="004E13E9" w:rsidRDefault="00B046C3" w:rsidP="000D1853">
            <w:pPr>
              <w:widowControl w:val="0"/>
              <w:contextualSpacing/>
              <w:jc w:val="both"/>
              <w:rPr>
                <w:rFonts w:ascii="Cambria" w:hAnsi="Cambria"/>
                <w:bCs/>
                <w:sz w:val="20"/>
                <w:szCs w:val="20"/>
              </w:rPr>
            </w:pPr>
            <w:proofErr w:type="spellStart"/>
            <w:r w:rsidRPr="004E13E9">
              <w:rPr>
                <w:rFonts w:ascii="Cambria" w:hAnsi="Cambria"/>
                <w:bCs/>
                <w:sz w:val="20"/>
                <w:szCs w:val="20"/>
              </w:rPr>
              <w:t>Xhesian</w:t>
            </w:r>
            <w:proofErr w:type="spellEnd"/>
            <w:r w:rsidRPr="004E13E9">
              <w:rPr>
                <w:rFonts w:ascii="Cambria" w:hAnsi="Cambria"/>
                <w:bCs/>
                <w:sz w:val="20"/>
                <w:szCs w:val="20"/>
              </w:rPr>
              <w:t xml:space="preserve"> Abedin, </w:t>
            </w:r>
            <w:r w:rsidRPr="004E13E9">
              <w:rPr>
                <w:rFonts w:ascii="Cambria" w:hAnsi="Cambria"/>
                <w:sz w:val="20"/>
                <w:szCs w:val="20"/>
              </w:rPr>
              <w:t>spécialiste du département de la pêche</w:t>
            </w:r>
          </w:p>
        </w:tc>
        <w:tc>
          <w:tcPr>
            <w:tcW w:w="2786" w:type="dxa"/>
          </w:tcPr>
          <w:p w14:paraId="6FD1E6BB" w14:textId="77777777" w:rsidR="00B046C3" w:rsidRPr="004E13E9" w:rsidRDefault="00B046C3" w:rsidP="000D1853">
            <w:pPr>
              <w:widowControl w:val="0"/>
              <w:contextualSpacing/>
              <w:jc w:val="both"/>
              <w:rPr>
                <w:rFonts w:ascii="Cambria" w:hAnsi="Cambria"/>
                <w:bCs/>
                <w:color w:val="FF0000"/>
                <w:sz w:val="20"/>
                <w:szCs w:val="20"/>
              </w:rPr>
            </w:pPr>
            <w:r w:rsidRPr="004E13E9">
              <w:rPr>
                <w:rFonts w:ascii="Cambria" w:hAnsi="Cambria"/>
                <w:color w:val="0461C1"/>
                <w:sz w:val="20"/>
                <w:szCs w:val="20"/>
              </w:rPr>
              <w:t>Xhesian.Abedin@bujqesia.gov.al</w:t>
            </w:r>
          </w:p>
        </w:tc>
        <w:tc>
          <w:tcPr>
            <w:tcW w:w="2287" w:type="dxa"/>
          </w:tcPr>
          <w:p w14:paraId="628D7590" w14:textId="77777777" w:rsidR="00B046C3" w:rsidRPr="004E13E9" w:rsidRDefault="00B046C3" w:rsidP="000D1853">
            <w:pPr>
              <w:widowControl w:val="0"/>
              <w:contextualSpacing/>
              <w:jc w:val="both"/>
              <w:rPr>
                <w:rFonts w:ascii="Cambria" w:hAnsi="Cambria"/>
                <w:bCs/>
                <w:color w:val="FF0000"/>
                <w:sz w:val="20"/>
                <w:szCs w:val="20"/>
                <w:lang w:val="en-GB"/>
              </w:rPr>
            </w:pPr>
            <w:r w:rsidRPr="004E13E9">
              <w:rPr>
                <w:rFonts w:ascii="Cambria" w:hAnsi="Cambria"/>
                <w:bCs/>
                <w:sz w:val="20"/>
                <w:szCs w:val="20"/>
                <w:lang w:val="en-GB"/>
              </w:rPr>
              <w:t>+355699320239</w:t>
            </w:r>
          </w:p>
        </w:tc>
      </w:tr>
    </w:tbl>
    <w:p w14:paraId="3242CFD6" w14:textId="77777777" w:rsidR="00B046C3" w:rsidRPr="004E13E9" w:rsidRDefault="00B046C3" w:rsidP="00B046C3">
      <w:pPr>
        <w:widowControl w:val="0"/>
        <w:jc w:val="both"/>
        <w:rPr>
          <w:rFonts w:eastAsia="MS Gothic" w:cs="Times New Roman"/>
          <w:sz w:val="8"/>
          <w:szCs w:val="8"/>
          <w:lang w:eastAsia="fr-FR" w:bidi="fr-FR"/>
        </w:rPr>
      </w:pPr>
    </w:p>
    <w:p w14:paraId="482C0F72" w14:textId="77777777" w:rsidR="00B046C3" w:rsidRPr="004E13E9" w:rsidRDefault="00B046C3" w:rsidP="00B046C3">
      <w:pPr>
        <w:widowControl w:val="0"/>
        <w:jc w:val="both"/>
        <w:rPr>
          <w:rFonts w:eastAsia="MS Gothic" w:cs="Times New Roman"/>
          <w:lang w:val="fr-FR" w:eastAsia="fr-FR" w:bidi="fr-FR"/>
        </w:rPr>
      </w:pPr>
      <w:r w:rsidRPr="004E13E9">
        <w:rPr>
          <w:rFonts w:eastAsia="MS Gothic" w:cs="Times New Roman"/>
          <w:lang w:val="fr-FR" w:eastAsia="fr-FR" w:bidi="fr-FR"/>
        </w:rPr>
        <w:t>Les demandes d'entrée et d'utilisation des ports albanais par des navires battant pavillon étranger seront accordées, le cas échéant, par les autorités portuaires et maritimes compétentes. En cas d'autorisation d'entrée et d'utilisation des ports, les inspections au port seront effectuées par les inspecteurs des pêches de l'autorité compétente.</w:t>
      </w:r>
    </w:p>
    <w:p w14:paraId="5D5965EC" w14:textId="77777777" w:rsidR="00B046C3" w:rsidRPr="004E13E9" w:rsidRDefault="00B046C3" w:rsidP="00B046C3">
      <w:pPr>
        <w:widowControl w:val="0"/>
        <w:jc w:val="both"/>
        <w:rPr>
          <w:rFonts w:eastAsia="MS Gothic" w:cs="Times New Roman"/>
          <w:lang w:val="fr-FR" w:eastAsia="fr-FR" w:bidi="fr-FR"/>
        </w:rPr>
      </w:pPr>
    </w:p>
    <w:p w14:paraId="49A802F3" w14:textId="77777777" w:rsidR="00B046C3" w:rsidRPr="004E13E9" w:rsidRDefault="00B046C3" w:rsidP="00B046C3">
      <w:pPr>
        <w:widowControl w:val="0"/>
        <w:jc w:val="both"/>
        <w:rPr>
          <w:rFonts w:eastAsia="MS Gothic" w:cs="Times New Roman"/>
          <w:lang w:val="fr-FR" w:eastAsia="fr-FR" w:bidi="fr-FR"/>
        </w:rPr>
      </w:pPr>
      <w:r w:rsidRPr="004E13E9">
        <w:rPr>
          <w:rFonts w:eastAsia="MS Gothic" w:cs="Times New Roman"/>
          <w:lang w:val="fr-FR" w:eastAsia="fr-FR" w:bidi="fr-FR"/>
        </w:rPr>
        <w:t>L’inspecteur des pêches devrait donner la priorité à la mise en œuvre comme suit :</w:t>
      </w:r>
    </w:p>
    <w:p w14:paraId="4D85F38D" w14:textId="77777777" w:rsidR="00B046C3" w:rsidRPr="004E13E9" w:rsidRDefault="00B046C3" w:rsidP="00B046C3">
      <w:pPr>
        <w:widowControl w:val="0"/>
        <w:jc w:val="both"/>
        <w:rPr>
          <w:rFonts w:eastAsia="MS Gothic" w:cs="Times New Roman"/>
          <w:sz w:val="8"/>
          <w:szCs w:val="8"/>
          <w:lang w:val="fr-FR" w:eastAsia="fr-FR" w:bidi="fr-FR"/>
        </w:rPr>
      </w:pPr>
    </w:p>
    <w:p w14:paraId="26DD48CF" w14:textId="77777777" w:rsidR="00B046C3" w:rsidRPr="004E13E9" w:rsidRDefault="00B046C3" w:rsidP="00B046C3">
      <w:pPr>
        <w:widowControl w:val="0"/>
        <w:ind w:left="567" w:hanging="477"/>
        <w:jc w:val="both"/>
        <w:rPr>
          <w:rFonts w:eastAsia="MS Gothic" w:cs="Times New Roman"/>
          <w:lang w:val="fr-FR" w:eastAsia="fr-FR" w:bidi="fr-FR"/>
        </w:rPr>
      </w:pPr>
      <w:r w:rsidRPr="004E13E9">
        <w:rPr>
          <w:rFonts w:eastAsia="MS Gothic" w:cs="Times New Roman"/>
          <w:lang w:val="fr-FR" w:eastAsia="fr-FR" w:bidi="fr-FR"/>
        </w:rPr>
        <w:t>-</w:t>
      </w:r>
      <w:r w:rsidRPr="004E13E9">
        <w:rPr>
          <w:rFonts w:eastAsia="MS Gothic" w:cs="Times New Roman"/>
          <w:lang w:val="fr-FR" w:eastAsia="fr-FR" w:bidi="fr-FR"/>
        </w:rPr>
        <w:tab/>
        <w:t xml:space="preserve">Le navire de pêche autorisé devrait débarquer le thon rouge pêché uniquement à l'endroit désigné et en temps voulu ; </w:t>
      </w:r>
    </w:p>
    <w:p w14:paraId="123EE5D9" w14:textId="77777777" w:rsidR="00B046C3" w:rsidRPr="004E13E9" w:rsidRDefault="00B046C3" w:rsidP="00B046C3">
      <w:pPr>
        <w:widowControl w:val="0"/>
        <w:ind w:left="567" w:hanging="477"/>
        <w:jc w:val="both"/>
        <w:rPr>
          <w:rFonts w:eastAsia="MS Gothic" w:cs="Times New Roman"/>
          <w:lang w:val="fr-FR" w:eastAsia="fr-FR" w:bidi="fr-FR"/>
        </w:rPr>
      </w:pPr>
      <w:r w:rsidRPr="004E13E9">
        <w:rPr>
          <w:rFonts w:eastAsia="MS Gothic" w:cs="Times New Roman"/>
          <w:lang w:val="fr-FR" w:eastAsia="fr-FR" w:bidi="fr-FR"/>
        </w:rPr>
        <w:t>-</w:t>
      </w:r>
      <w:r w:rsidRPr="004E13E9">
        <w:rPr>
          <w:rFonts w:eastAsia="MS Gothic" w:cs="Times New Roman"/>
          <w:lang w:val="fr-FR" w:eastAsia="fr-FR" w:bidi="fr-FR"/>
        </w:rPr>
        <w:tab/>
        <w:t>Le capitaine du navire de pêche autorisé devrait notifier à l’autorité portuaire (dont l’inspecteur des pêches), quatre heures avant l’entrée au port, l'heure estimée de son arrivée au port, le volume estimé de thons retenus à bord, des informations sur la zone géographique où la capture a été réalisée.</w:t>
      </w:r>
    </w:p>
    <w:p w14:paraId="12047599" w14:textId="77777777" w:rsidR="00B046C3" w:rsidRPr="004E13E9" w:rsidRDefault="00B046C3" w:rsidP="00B046C3">
      <w:pPr>
        <w:widowControl w:val="0"/>
        <w:jc w:val="both"/>
        <w:rPr>
          <w:rFonts w:eastAsia="MS Gothic" w:cs="Times New Roman"/>
          <w:lang w:val="fr-FR" w:eastAsia="fr-FR" w:bidi="fr-FR"/>
        </w:rPr>
      </w:pPr>
    </w:p>
    <w:p w14:paraId="50203829" w14:textId="77777777" w:rsidR="00B046C3" w:rsidRPr="004E13E9" w:rsidRDefault="00B046C3" w:rsidP="00B046C3">
      <w:pPr>
        <w:widowControl w:val="0"/>
        <w:jc w:val="both"/>
        <w:rPr>
          <w:rFonts w:eastAsia="MS Gothic" w:cs="Times New Roman"/>
          <w:lang w:val="fr-FR" w:eastAsia="fr-FR" w:bidi="fr-FR"/>
        </w:rPr>
      </w:pPr>
      <w:r w:rsidRPr="004E13E9">
        <w:rPr>
          <w:rFonts w:eastAsia="MS Gothic" w:cs="Times New Roman"/>
          <w:lang w:val="fr-FR" w:eastAsia="fr-FR" w:bidi="fr-FR"/>
        </w:rPr>
        <w:t>Les inspecteurs des pêches feront en sorte d’être présents au port de pêche à l’heure d’arrivée et de débarquement et de se voir remettre par le capitaine la déclaration de débarquement dans laquelle les données susmentionnées ont été consignées (en les pesant) et non pas de façon aléatoire.</w:t>
      </w:r>
    </w:p>
    <w:p w14:paraId="7F1764F7" w14:textId="77777777" w:rsidR="00B046C3" w:rsidRPr="004E13E9" w:rsidRDefault="00B046C3" w:rsidP="00B046C3">
      <w:pPr>
        <w:widowControl w:val="0"/>
        <w:jc w:val="both"/>
        <w:rPr>
          <w:rFonts w:eastAsia="MS Gothic" w:cs="Times New Roman"/>
          <w:lang w:val="fr-FR" w:eastAsia="fr-FR" w:bidi="fr-FR"/>
        </w:rPr>
      </w:pPr>
    </w:p>
    <w:p w14:paraId="3F896366" w14:textId="77777777" w:rsidR="00B046C3" w:rsidRPr="004E13E9" w:rsidRDefault="00B046C3" w:rsidP="00B046C3">
      <w:pPr>
        <w:widowControl w:val="0"/>
        <w:jc w:val="both"/>
        <w:rPr>
          <w:rFonts w:eastAsia="MS Gothic" w:cs="Times New Roman"/>
          <w:lang w:val="fr-FR" w:eastAsia="fr-FR" w:bidi="fr-FR"/>
        </w:rPr>
      </w:pPr>
      <w:r w:rsidRPr="004E13E9">
        <w:rPr>
          <w:rFonts w:eastAsia="MS Gothic" w:cs="Times New Roman"/>
          <w:lang w:val="fr-FR" w:eastAsia="fr-FR" w:bidi="fr-FR"/>
        </w:rPr>
        <w:t>Le capitaine du navire de capture autorisé devra être responsable de l’exhaustivité et de l’exactitude de la déclaration, et en certifier, laquelle devra indiquer, au minimum, les volumes de thons rouges débarqués ainsi que la zone où ils ont été capturés. Toutes les prises débarquées devront être pesées et pas seulement estimées. Les autorités albanaises devront transmettre un rapport de débarquement aux autorités de la CPC de pavillon du navire de pêche, dans les 48 heures suivant la fin du débarquement.</w:t>
      </w:r>
    </w:p>
    <w:p w14:paraId="14B709B6" w14:textId="77777777" w:rsidR="00B046C3" w:rsidRPr="004E13E9" w:rsidRDefault="00B046C3" w:rsidP="00B046C3">
      <w:pPr>
        <w:widowControl w:val="0"/>
        <w:jc w:val="both"/>
        <w:rPr>
          <w:rFonts w:eastAsia="MS Gothic" w:cs="Times New Roman"/>
          <w:sz w:val="8"/>
          <w:szCs w:val="8"/>
          <w:lang w:val="fr-FR" w:eastAsia="fr-FR" w:bidi="fr-FR"/>
        </w:rPr>
      </w:pPr>
    </w:p>
    <w:p w14:paraId="4CFC53CC" w14:textId="77777777" w:rsidR="00B046C3" w:rsidRPr="004E13E9" w:rsidRDefault="00B046C3" w:rsidP="00B046C3">
      <w:pPr>
        <w:widowControl w:val="0"/>
        <w:ind w:left="567" w:hanging="477"/>
        <w:jc w:val="both"/>
        <w:rPr>
          <w:rFonts w:eastAsia="MS Gothic" w:cs="Times New Roman"/>
          <w:lang w:val="fr-FR" w:eastAsia="fr-FR" w:bidi="fr-FR"/>
        </w:rPr>
      </w:pPr>
      <w:r w:rsidRPr="004E13E9">
        <w:rPr>
          <w:rFonts w:eastAsia="MS Gothic" w:cs="Times New Roman"/>
          <w:lang w:val="fr-FR" w:eastAsia="fr-FR" w:bidi="fr-FR"/>
        </w:rPr>
        <w:t>-</w:t>
      </w:r>
      <w:r w:rsidRPr="004E13E9">
        <w:rPr>
          <w:rFonts w:eastAsia="MS Gothic" w:cs="Times New Roman"/>
          <w:lang w:val="fr-FR" w:eastAsia="fr-FR" w:bidi="fr-FR"/>
        </w:rPr>
        <w:tab/>
        <w:t>L'inspecteur des pêches tiendra également un registre à jour de toutes les notifications réalisées par le navire de pêche autorisé et des données communiquées, telles que décrites ci-dessus, des déclarations de débarquement réalisées au port de pêche ainsi que d'autres informations complémentaires qu'il estime appropriées. L'inspecteur des pêches devra communiquer ces données à la Direction des pêches dans les 48 jours suivant le débarquement des produits de la pêche par le navire de pêche autorisé.</w:t>
      </w:r>
    </w:p>
    <w:p w14:paraId="07279A4C" w14:textId="77777777" w:rsidR="00B046C3" w:rsidRPr="004E13E9" w:rsidRDefault="00B046C3" w:rsidP="00B046C3">
      <w:pPr>
        <w:widowControl w:val="0"/>
        <w:ind w:left="567" w:hanging="477"/>
        <w:jc w:val="both"/>
        <w:rPr>
          <w:rFonts w:eastAsia="MS Gothic" w:cs="Times New Roman"/>
          <w:lang w:val="fr-FR" w:eastAsia="fr-FR" w:bidi="fr-FR"/>
        </w:rPr>
      </w:pPr>
      <w:r w:rsidRPr="004E13E9">
        <w:rPr>
          <w:rFonts w:eastAsia="MS Gothic" w:cs="Times New Roman"/>
          <w:lang w:val="fr-FR" w:eastAsia="fr-FR" w:bidi="fr-FR"/>
        </w:rPr>
        <w:t>-</w:t>
      </w:r>
      <w:r w:rsidRPr="004E13E9">
        <w:rPr>
          <w:rFonts w:eastAsia="MS Gothic" w:cs="Times New Roman"/>
          <w:lang w:val="fr-FR" w:eastAsia="fr-FR" w:bidi="fr-FR"/>
        </w:rPr>
        <w:tab/>
        <w:t>Veiller à ce que le capitaine du navire de pêche remplisse correctement les carnets de pêche et les remette après chaque arrivée (débarquement).</w:t>
      </w:r>
    </w:p>
    <w:p w14:paraId="1556F947" w14:textId="47E64CB2" w:rsidR="00B046C3" w:rsidRPr="004E13E9" w:rsidRDefault="00023C0C" w:rsidP="00B046C3">
      <w:pPr>
        <w:widowControl w:val="0"/>
        <w:ind w:left="567" w:hanging="477"/>
        <w:jc w:val="both"/>
        <w:rPr>
          <w:rFonts w:eastAsia="MS Gothic" w:cs="Times New Roman"/>
          <w:lang w:val="fr-FR" w:eastAsia="fr-FR" w:bidi="fr-FR"/>
        </w:rPr>
      </w:pPr>
      <w:r w:rsidRPr="004E13E9">
        <w:rPr>
          <w:rFonts w:eastAsia="MS Gothic" w:cs="Times New Roman"/>
          <w:lang w:val="fr-FR" w:eastAsia="fr-FR" w:bidi="fr-FR"/>
        </w:rPr>
        <w:t xml:space="preserve">- </w:t>
      </w:r>
      <w:r w:rsidRPr="004E13E9">
        <w:rPr>
          <w:rFonts w:eastAsia="MS Gothic" w:cs="Times New Roman"/>
          <w:lang w:val="fr-FR" w:eastAsia="fr-FR" w:bidi="fr-FR"/>
        </w:rPr>
        <w:tab/>
      </w:r>
      <w:r w:rsidR="00B046C3" w:rsidRPr="004E13E9">
        <w:rPr>
          <w:rFonts w:eastAsia="MS Gothic" w:cs="Times New Roman"/>
          <w:lang w:val="fr-FR" w:eastAsia="fr-FR" w:bidi="fr-FR"/>
        </w:rPr>
        <w:t>Ne pas permettre les pêcheries de thon rouge de moins de 30 kg ou de moins de 115 cm (mesure faite du museau à la bifurcation de la queue). L'inspecteur mesure chaque thon capturé, au moment du débarquement, et vérifie la mise en pratique de l'obligation précitée de taille/poids minimal du poisson capturé.</w:t>
      </w:r>
    </w:p>
    <w:p w14:paraId="44A5DDF4" w14:textId="77777777" w:rsidR="00B046C3" w:rsidRPr="004E13E9" w:rsidRDefault="00B046C3" w:rsidP="00B046C3">
      <w:pPr>
        <w:widowControl w:val="0"/>
        <w:ind w:left="567" w:hanging="477"/>
        <w:jc w:val="both"/>
        <w:rPr>
          <w:rFonts w:eastAsia="MS Gothic" w:cs="Times New Roman"/>
          <w:lang w:val="fr-FR" w:eastAsia="fr-FR" w:bidi="fr-FR"/>
        </w:rPr>
      </w:pPr>
      <w:r w:rsidRPr="004E13E9">
        <w:rPr>
          <w:rFonts w:eastAsia="MS Gothic" w:cs="Times New Roman"/>
          <w:lang w:val="fr-FR" w:eastAsia="fr-FR" w:bidi="fr-FR"/>
        </w:rPr>
        <w:t>-</w:t>
      </w:r>
      <w:r w:rsidRPr="004E13E9">
        <w:rPr>
          <w:rFonts w:eastAsia="MS Gothic" w:cs="Times New Roman"/>
          <w:lang w:val="fr-FR" w:eastAsia="fr-FR" w:bidi="fr-FR"/>
        </w:rPr>
        <w:tab/>
        <w:t xml:space="preserve">Vérifier le bon fonctionnement du système VMS du navire qui doit émettre des signaux sans interruption, même au port. </w:t>
      </w:r>
    </w:p>
    <w:p w14:paraId="2A40A638" w14:textId="77777777" w:rsidR="00B046C3" w:rsidRPr="004E13E9" w:rsidRDefault="00B046C3" w:rsidP="00B046C3">
      <w:pPr>
        <w:widowControl w:val="0"/>
        <w:ind w:left="567" w:hanging="477"/>
        <w:jc w:val="both"/>
        <w:rPr>
          <w:rFonts w:eastAsia="MS Gothic" w:cs="Times New Roman"/>
          <w:lang w:val="fr-FR" w:eastAsia="fr-FR" w:bidi="fr-FR"/>
        </w:rPr>
      </w:pPr>
      <w:r w:rsidRPr="004E13E9">
        <w:rPr>
          <w:rFonts w:eastAsia="MS Gothic" w:cs="Times New Roman"/>
          <w:lang w:val="fr-FR" w:eastAsia="fr-FR" w:bidi="fr-FR"/>
        </w:rPr>
        <w:t>-</w:t>
      </w:r>
      <w:r w:rsidRPr="004E13E9">
        <w:rPr>
          <w:rFonts w:eastAsia="MS Gothic" w:cs="Times New Roman"/>
          <w:lang w:val="fr-FR" w:eastAsia="fr-FR" w:bidi="fr-FR"/>
        </w:rPr>
        <w:tab/>
        <w:t>Envoyer aux autorités des pêches du ministère tout document relatif aux prises et aux transferts de produits de thonidés.</w:t>
      </w:r>
    </w:p>
    <w:p w14:paraId="0D357E40" w14:textId="77777777" w:rsidR="00B046C3" w:rsidRPr="004E13E9" w:rsidRDefault="00B046C3" w:rsidP="00B046C3">
      <w:pPr>
        <w:widowControl w:val="0"/>
        <w:ind w:left="567" w:hanging="477"/>
        <w:jc w:val="both"/>
        <w:rPr>
          <w:rFonts w:eastAsia="MS Gothic" w:cs="Times New Roman"/>
          <w:lang w:val="fr-FR" w:eastAsia="fr-FR" w:bidi="fr-FR"/>
        </w:rPr>
      </w:pPr>
      <w:r w:rsidRPr="004E13E9">
        <w:rPr>
          <w:rFonts w:eastAsia="MS Gothic" w:cs="Times New Roman"/>
          <w:lang w:val="fr-FR" w:eastAsia="fr-FR" w:bidi="fr-FR"/>
        </w:rPr>
        <w:t>-</w:t>
      </w:r>
      <w:r w:rsidRPr="004E13E9">
        <w:rPr>
          <w:rFonts w:eastAsia="MS Gothic" w:cs="Times New Roman"/>
          <w:lang w:val="fr-FR" w:eastAsia="fr-FR" w:bidi="fr-FR"/>
        </w:rPr>
        <w:tab/>
        <w:t>Observer, identifier et contrôler les quantités de thon rouge capturées par le navire de pêche (en dehors de la saison de pêche autorisée).</w:t>
      </w:r>
    </w:p>
    <w:p w14:paraId="583910CD" w14:textId="77777777" w:rsidR="00B046C3" w:rsidRPr="004E13E9" w:rsidRDefault="00B046C3" w:rsidP="00B046C3">
      <w:pPr>
        <w:widowControl w:val="0"/>
        <w:jc w:val="both"/>
        <w:rPr>
          <w:rFonts w:eastAsia="MS Gothic" w:cs="Times New Roman"/>
          <w:sz w:val="8"/>
          <w:szCs w:val="8"/>
          <w:lang w:val="fr-FR" w:eastAsia="fr-FR" w:bidi="fr-FR"/>
        </w:rPr>
      </w:pPr>
    </w:p>
    <w:p w14:paraId="2046611D" w14:textId="77777777" w:rsidR="00B046C3" w:rsidRPr="004E13E9" w:rsidRDefault="00B046C3" w:rsidP="00B046C3">
      <w:pPr>
        <w:widowControl w:val="0"/>
        <w:jc w:val="both"/>
        <w:rPr>
          <w:rFonts w:eastAsia="MS Gothic" w:cs="Times New Roman"/>
          <w:lang w:val="fr-FR" w:eastAsia="fr-FR" w:bidi="fr-FR"/>
        </w:rPr>
      </w:pPr>
      <w:r w:rsidRPr="004E13E9">
        <w:rPr>
          <w:rFonts w:eastAsia="MS Gothic" w:cs="Times New Roman"/>
          <w:lang w:val="fr-FR" w:eastAsia="fr-FR" w:bidi="fr-FR"/>
        </w:rPr>
        <w:t xml:space="preserve">En outre, des mesures de contrôle sont prévues dans la </w:t>
      </w:r>
      <w:hyperlink r:id="rId70" w:history="1">
        <w:r w:rsidRPr="004E13E9">
          <w:rPr>
            <w:rStyle w:val="Hyperlink"/>
            <w:rFonts w:eastAsia="MS Gothic" w:cs="Times New Roman"/>
            <w:u w:val="none"/>
            <w:lang w:val="fr-FR" w:eastAsia="fr-FR" w:bidi="fr-FR"/>
          </w:rPr>
          <w:t>Rec. 25-04</w:t>
        </w:r>
      </w:hyperlink>
      <w:r w:rsidRPr="004E13E9">
        <w:rPr>
          <w:rFonts w:eastAsia="MS Gothic" w:cs="Times New Roman"/>
          <w:lang w:val="fr-FR" w:eastAsia="fr-FR" w:bidi="fr-FR"/>
        </w:rPr>
        <w:t xml:space="preserve"> (paragraphes 95 et 96) en ce qui concerne les programmes d'observateurs régionaux et nationaux qui assurent la couverture de : </w:t>
      </w:r>
    </w:p>
    <w:p w14:paraId="47086ACE" w14:textId="77777777" w:rsidR="00B046C3" w:rsidRPr="004E13E9" w:rsidRDefault="00B046C3" w:rsidP="00B046C3">
      <w:pPr>
        <w:widowControl w:val="0"/>
        <w:jc w:val="both"/>
        <w:rPr>
          <w:rFonts w:eastAsia="MS Gothic" w:cs="Times New Roman"/>
          <w:sz w:val="8"/>
          <w:szCs w:val="8"/>
          <w:lang w:val="fr-FR" w:eastAsia="fr-FR" w:bidi="fr-FR"/>
        </w:rPr>
      </w:pPr>
    </w:p>
    <w:p w14:paraId="28F62F70" w14:textId="77777777" w:rsidR="00B046C3" w:rsidRPr="004E13E9" w:rsidRDefault="00B046C3" w:rsidP="00B046C3">
      <w:pPr>
        <w:pStyle w:val="ListParagraph"/>
        <w:widowControl w:val="0"/>
        <w:numPr>
          <w:ilvl w:val="0"/>
          <w:numId w:val="3"/>
        </w:numPr>
        <w:spacing w:after="0" w:line="240" w:lineRule="auto"/>
        <w:jc w:val="both"/>
        <w:rPr>
          <w:rFonts w:ascii="Cambria" w:eastAsia="MS Gothic" w:hAnsi="Cambria" w:cs="Times New Roman"/>
          <w:sz w:val="20"/>
          <w:szCs w:val="20"/>
          <w:lang w:eastAsia="fr-FR" w:bidi="fr-FR"/>
        </w:rPr>
      </w:pPr>
      <w:r w:rsidRPr="004E13E9">
        <w:rPr>
          <w:rFonts w:ascii="Cambria" w:eastAsia="MS Gothic" w:hAnsi="Cambria" w:cs="Times New Roman"/>
          <w:sz w:val="20"/>
          <w:szCs w:val="20"/>
          <w:lang w:eastAsia="fr-FR" w:bidi="fr-FR"/>
        </w:rPr>
        <w:t>100 % des senneurs autorisés à pêcher activement le thon rouge.</w:t>
      </w:r>
    </w:p>
    <w:p w14:paraId="0786A3EC" w14:textId="77777777" w:rsidR="00B046C3" w:rsidRPr="004E13E9" w:rsidRDefault="00B046C3" w:rsidP="00B046C3">
      <w:pPr>
        <w:pStyle w:val="ListParagraph"/>
        <w:widowControl w:val="0"/>
        <w:numPr>
          <w:ilvl w:val="0"/>
          <w:numId w:val="3"/>
        </w:numPr>
        <w:spacing w:after="0" w:line="240" w:lineRule="auto"/>
        <w:jc w:val="both"/>
        <w:rPr>
          <w:rFonts w:ascii="Cambria" w:eastAsia="MS Gothic" w:hAnsi="Cambria" w:cs="Times New Roman"/>
          <w:sz w:val="20"/>
          <w:szCs w:val="20"/>
          <w:lang w:eastAsia="fr-FR" w:bidi="fr-FR"/>
        </w:rPr>
      </w:pPr>
      <w:r w:rsidRPr="004E13E9">
        <w:rPr>
          <w:rFonts w:ascii="Cambria" w:eastAsia="MS Gothic" w:hAnsi="Cambria" w:cs="Times New Roman"/>
          <w:sz w:val="20"/>
          <w:szCs w:val="20"/>
          <w:lang w:eastAsia="fr-FR" w:bidi="fr-FR"/>
        </w:rPr>
        <w:t>100 % des remorqueurs autorisés.</w:t>
      </w:r>
    </w:p>
    <w:p w14:paraId="534B4C1B" w14:textId="77777777" w:rsidR="00B046C3" w:rsidRPr="004E13E9" w:rsidRDefault="00B046C3" w:rsidP="00B046C3">
      <w:pPr>
        <w:pStyle w:val="ListParagraph"/>
        <w:widowControl w:val="0"/>
        <w:numPr>
          <w:ilvl w:val="0"/>
          <w:numId w:val="3"/>
        </w:numPr>
        <w:spacing w:after="0" w:line="240" w:lineRule="auto"/>
        <w:jc w:val="both"/>
        <w:rPr>
          <w:rFonts w:ascii="Cambria" w:eastAsia="MS Gothic" w:hAnsi="Cambria" w:cs="Times New Roman"/>
          <w:sz w:val="20"/>
          <w:szCs w:val="20"/>
          <w:lang w:eastAsia="fr-FR" w:bidi="fr-FR"/>
        </w:rPr>
      </w:pPr>
      <w:r w:rsidRPr="004E13E9">
        <w:rPr>
          <w:rFonts w:ascii="Cambria" w:eastAsia="MS Gothic" w:hAnsi="Cambria" w:cs="Times New Roman"/>
          <w:sz w:val="20"/>
          <w:szCs w:val="20"/>
          <w:lang w:eastAsia="fr-FR" w:bidi="fr-FR"/>
        </w:rPr>
        <w:t>100 % des opérations de transfert de thon rouge des senneurs vers les cages de remorquage et des opérations de mise en cage dans les fermes.</w:t>
      </w:r>
    </w:p>
    <w:p w14:paraId="4387FE24" w14:textId="3B058727" w:rsidR="007E20D4" w:rsidRPr="004E13E9" w:rsidRDefault="00B046C3" w:rsidP="007E20D4">
      <w:pPr>
        <w:pStyle w:val="ListParagraph"/>
        <w:widowControl w:val="0"/>
        <w:numPr>
          <w:ilvl w:val="0"/>
          <w:numId w:val="3"/>
        </w:numPr>
        <w:spacing w:after="0" w:line="240" w:lineRule="auto"/>
        <w:jc w:val="both"/>
        <w:rPr>
          <w:rFonts w:ascii="Cambria" w:eastAsia="MS Gothic" w:hAnsi="Cambria" w:cs="Times New Roman"/>
          <w:lang w:eastAsia="fr-FR" w:bidi="fr-FR"/>
        </w:rPr>
      </w:pPr>
      <w:r w:rsidRPr="004E13E9">
        <w:rPr>
          <w:rFonts w:ascii="Cambria" w:eastAsia="MS Gothic" w:hAnsi="Cambria" w:cs="Times New Roman"/>
          <w:sz w:val="20"/>
          <w:szCs w:val="20"/>
          <w:lang w:eastAsia="fr-FR" w:bidi="fr-FR"/>
        </w:rPr>
        <w:t>100 % des opérations de mise à mort.</w:t>
      </w:r>
      <w:r w:rsidR="007E20D4" w:rsidRPr="004E13E9">
        <w:rPr>
          <w:rFonts w:ascii="Cambria" w:eastAsia="MS Gothic" w:hAnsi="Cambria" w:cs="Times New Roman"/>
          <w:lang w:eastAsia="fr-FR" w:bidi="fr-FR"/>
        </w:rPr>
        <w:br w:type="page"/>
      </w:r>
    </w:p>
    <w:p w14:paraId="7F121F32" w14:textId="1EEEA04A" w:rsidR="00B046C3" w:rsidRPr="004E13E9" w:rsidRDefault="00B046C3" w:rsidP="00B046C3">
      <w:pPr>
        <w:widowControl w:val="0"/>
        <w:jc w:val="both"/>
        <w:rPr>
          <w:rFonts w:eastAsia="MS Gothic" w:cs="Times New Roman"/>
          <w:lang w:val="fr-FR" w:eastAsia="fr-FR" w:bidi="fr-FR"/>
        </w:rPr>
      </w:pPr>
      <w:r w:rsidRPr="004E13E9">
        <w:rPr>
          <w:rFonts w:eastAsia="MS Gothic" w:cs="Times New Roman"/>
          <w:lang w:val="fr-FR" w:eastAsia="fr-FR" w:bidi="fr-FR"/>
        </w:rPr>
        <w:lastRenderedPageBreak/>
        <w:t xml:space="preserve">Toutes les opérations de suivi, de contrôle et de surveillance seront assurées conformément à la </w:t>
      </w:r>
      <w:hyperlink r:id="rId71" w:history="1">
        <w:r w:rsidRPr="004E13E9">
          <w:rPr>
            <w:rStyle w:val="Hyperlink"/>
            <w:rFonts w:eastAsia="MS Gothic" w:cs="Times New Roman"/>
            <w:u w:val="none"/>
            <w:lang w:val="fr-FR" w:eastAsia="fr-FR" w:bidi="fr-FR"/>
          </w:rPr>
          <w:t>Rec. 25-04</w:t>
        </w:r>
      </w:hyperlink>
      <w:r w:rsidRPr="004E13E9">
        <w:rPr>
          <w:rFonts w:eastAsia="MS Gothic" w:cs="Times New Roman"/>
          <w:lang w:val="fr-FR" w:eastAsia="fr-FR" w:bidi="fr-FR"/>
        </w:rPr>
        <w:t>.</w:t>
      </w:r>
    </w:p>
    <w:p w14:paraId="7543BBF8" w14:textId="77777777" w:rsidR="00B046C3" w:rsidRPr="004E13E9" w:rsidRDefault="00B046C3" w:rsidP="00B046C3">
      <w:pPr>
        <w:widowControl w:val="0"/>
        <w:rPr>
          <w:rFonts w:eastAsia="MS Gothic" w:cs="Times New Roman"/>
          <w:lang w:val="fr-FR" w:eastAsia="fr-FR" w:bidi="fr-FR"/>
        </w:rPr>
      </w:pPr>
    </w:p>
    <w:p w14:paraId="428F0E35" w14:textId="77777777" w:rsidR="00B046C3" w:rsidRPr="004E13E9" w:rsidRDefault="00B046C3" w:rsidP="00B046C3">
      <w:pPr>
        <w:widowControl w:val="0"/>
        <w:jc w:val="both"/>
        <w:rPr>
          <w:rFonts w:eastAsia="MS Gothic" w:cs="Times New Roman"/>
          <w:i/>
          <w:iCs/>
          <w:lang w:val="fr-FR" w:eastAsia="fr-FR" w:bidi="fr-FR"/>
        </w:rPr>
      </w:pPr>
      <w:r w:rsidRPr="004E13E9">
        <w:rPr>
          <w:rFonts w:eastAsia="MS Gothic" w:cs="Times New Roman"/>
          <w:i/>
          <w:iCs/>
          <w:lang w:val="fr-FR" w:eastAsia="fr-FR" w:bidi="fr-FR"/>
        </w:rPr>
        <w:t>Suivi, contrôle et inspection des opérations de mise en cage du thon rouge de l’Est</w:t>
      </w:r>
    </w:p>
    <w:p w14:paraId="0520DD80" w14:textId="77777777" w:rsidR="00B046C3" w:rsidRPr="004E13E9" w:rsidRDefault="00B046C3" w:rsidP="00B046C3">
      <w:pPr>
        <w:widowControl w:val="0"/>
        <w:jc w:val="both"/>
        <w:rPr>
          <w:rFonts w:eastAsia="MS Gothic" w:cs="Times New Roman"/>
          <w:lang w:val="fr-FR" w:eastAsia="fr-FR" w:bidi="fr-FR"/>
        </w:rPr>
      </w:pPr>
    </w:p>
    <w:p w14:paraId="58DE2D99" w14:textId="77777777" w:rsidR="00B046C3" w:rsidRPr="004E13E9" w:rsidRDefault="00B046C3" w:rsidP="00B046C3">
      <w:pPr>
        <w:pStyle w:val="Default"/>
        <w:rPr>
          <w:color w:val="auto"/>
          <w:sz w:val="20"/>
          <w:szCs w:val="20"/>
        </w:rPr>
      </w:pPr>
      <w:r w:rsidRPr="004E13E9">
        <w:rPr>
          <w:color w:val="auto"/>
          <w:sz w:val="20"/>
          <w:szCs w:val="20"/>
        </w:rPr>
        <w:t>Les inspecteurs de la pêche de l’équipe opérationnelle nommés dans ce cas en tant qu'autorité compétente de la ferme devront :</w:t>
      </w:r>
    </w:p>
    <w:p w14:paraId="5E8825F7" w14:textId="77777777" w:rsidR="00B046C3" w:rsidRPr="004E13E9" w:rsidRDefault="00B046C3" w:rsidP="00B046C3">
      <w:pPr>
        <w:pStyle w:val="Default"/>
        <w:rPr>
          <w:sz w:val="20"/>
          <w:szCs w:val="20"/>
        </w:rPr>
      </w:pPr>
    </w:p>
    <w:p w14:paraId="28255756" w14:textId="77777777" w:rsidR="00B046C3" w:rsidRPr="004E13E9" w:rsidRDefault="00B046C3" w:rsidP="00B046C3">
      <w:pPr>
        <w:pStyle w:val="Default"/>
        <w:numPr>
          <w:ilvl w:val="0"/>
          <w:numId w:val="4"/>
        </w:numPr>
        <w:ind w:left="851" w:hanging="425"/>
        <w:jc w:val="both"/>
        <w:rPr>
          <w:sz w:val="20"/>
          <w:szCs w:val="20"/>
        </w:rPr>
      </w:pPr>
      <w:r w:rsidRPr="004E13E9">
        <w:rPr>
          <w:sz w:val="20"/>
          <w:szCs w:val="20"/>
        </w:rPr>
        <w:t xml:space="preserve">Coordonner la collecte et la vérification des informations sur les activités nationales de mise en cage, pour le contrôle des activités de la ferme et pour la déclaration aux autorités compétentes albanaises. </w:t>
      </w:r>
    </w:p>
    <w:p w14:paraId="3B945995" w14:textId="77777777" w:rsidR="00B046C3" w:rsidRPr="004E13E9" w:rsidRDefault="00B046C3" w:rsidP="00B046C3">
      <w:pPr>
        <w:pStyle w:val="Default"/>
        <w:numPr>
          <w:ilvl w:val="0"/>
          <w:numId w:val="4"/>
        </w:numPr>
        <w:ind w:left="851" w:hanging="425"/>
        <w:jc w:val="both"/>
        <w:rPr>
          <w:sz w:val="20"/>
          <w:szCs w:val="20"/>
        </w:rPr>
      </w:pPr>
      <w:r w:rsidRPr="004E13E9">
        <w:rPr>
          <w:sz w:val="20"/>
          <w:szCs w:val="20"/>
        </w:rPr>
        <w:t>S'assurer que les opérateurs de la ferme tiennent à jour à tout moment un plan schématique précis de leur ferme, indiquant le numéro unique de toutes les cages et leur position individuelle dans la ferme.</w:t>
      </w:r>
    </w:p>
    <w:p w14:paraId="453D6CB7" w14:textId="77777777" w:rsidR="00B046C3" w:rsidRPr="004E13E9" w:rsidRDefault="00B046C3" w:rsidP="00B046C3">
      <w:pPr>
        <w:pStyle w:val="Default"/>
        <w:numPr>
          <w:ilvl w:val="0"/>
          <w:numId w:val="4"/>
        </w:numPr>
        <w:ind w:left="851" w:hanging="425"/>
        <w:jc w:val="both"/>
        <w:rPr>
          <w:sz w:val="20"/>
          <w:szCs w:val="20"/>
        </w:rPr>
      </w:pPr>
      <w:r w:rsidRPr="004E13E9">
        <w:rPr>
          <w:sz w:val="20"/>
          <w:szCs w:val="20"/>
        </w:rPr>
        <w:t>Attribuer un numéro unique et identifiable à chaque cage associée aux fermes, y compris les cages utilisées pour le transport des poissons vers la ferme.</w:t>
      </w:r>
    </w:p>
    <w:p w14:paraId="60807C2C" w14:textId="77777777" w:rsidR="00B046C3" w:rsidRPr="004E13E9" w:rsidRDefault="00B046C3" w:rsidP="00B046C3">
      <w:pPr>
        <w:pStyle w:val="Default"/>
        <w:numPr>
          <w:ilvl w:val="0"/>
          <w:numId w:val="4"/>
        </w:numPr>
        <w:ind w:left="851" w:hanging="425"/>
        <w:jc w:val="both"/>
        <w:rPr>
          <w:sz w:val="20"/>
          <w:szCs w:val="20"/>
        </w:rPr>
      </w:pPr>
      <w:r w:rsidRPr="004E13E9">
        <w:rPr>
          <w:sz w:val="20"/>
          <w:szCs w:val="20"/>
        </w:rPr>
        <w:t>Délivrer une autorisation de mise en cage pour chaque opération de mise en cage.</w:t>
      </w:r>
    </w:p>
    <w:p w14:paraId="3C28A011" w14:textId="77777777" w:rsidR="00B046C3" w:rsidRPr="004E13E9" w:rsidRDefault="00B046C3" w:rsidP="00B046C3">
      <w:pPr>
        <w:pStyle w:val="Default"/>
        <w:numPr>
          <w:ilvl w:val="0"/>
          <w:numId w:val="4"/>
        </w:numPr>
        <w:ind w:left="851" w:hanging="425"/>
        <w:jc w:val="both"/>
        <w:rPr>
          <w:sz w:val="20"/>
          <w:szCs w:val="20"/>
        </w:rPr>
      </w:pPr>
      <w:r w:rsidRPr="004E13E9">
        <w:rPr>
          <w:sz w:val="20"/>
          <w:szCs w:val="20"/>
        </w:rPr>
        <w:t xml:space="preserve">Veiller à ce que le remorqueur concerné soit maintenu à une distance minimale d'un </w:t>
      </w:r>
      <w:proofErr w:type="gramStart"/>
      <w:r w:rsidRPr="004E13E9">
        <w:rPr>
          <w:sz w:val="20"/>
          <w:szCs w:val="20"/>
        </w:rPr>
        <w:t>mille marin</w:t>
      </w:r>
      <w:proofErr w:type="gramEnd"/>
      <w:r w:rsidRPr="004E13E9">
        <w:rPr>
          <w:sz w:val="20"/>
          <w:szCs w:val="20"/>
        </w:rPr>
        <w:t xml:space="preserve"> de la ferme jusqu'à ce qu'il soit physiquement présent.</w:t>
      </w:r>
    </w:p>
    <w:p w14:paraId="7D917E38" w14:textId="77777777" w:rsidR="00B046C3" w:rsidRPr="004E13E9" w:rsidRDefault="00B046C3" w:rsidP="00B046C3">
      <w:pPr>
        <w:pStyle w:val="Default"/>
        <w:numPr>
          <w:ilvl w:val="0"/>
          <w:numId w:val="4"/>
        </w:numPr>
        <w:ind w:left="851" w:hanging="425"/>
        <w:jc w:val="both"/>
        <w:rPr>
          <w:sz w:val="20"/>
          <w:szCs w:val="20"/>
        </w:rPr>
      </w:pPr>
      <w:r w:rsidRPr="004E13E9">
        <w:rPr>
          <w:sz w:val="20"/>
          <w:szCs w:val="20"/>
        </w:rPr>
        <w:t xml:space="preserve">Veiller à ce que les cages d'élevage contenant du thon rouge soient scellées à tout moment. </w:t>
      </w:r>
    </w:p>
    <w:p w14:paraId="51A42693" w14:textId="77777777" w:rsidR="00B046C3" w:rsidRPr="004E13E9" w:rsidRDefault="00B046C3" w:rsidP="00B046C3">
      <w:pPr>
        <w:pStyle w:val="Default"/>
        <w:numPr>
          <w:ilvl w:val="0"/>
          <w:numId w:val="4"/>
        </w:numPr>
        <w:ind w:left="851" w:hanging="425"/>
        <w:jc w:val="both"/>
        <w:rPr>
          <w:sz w:val="20"/>
          <w:szCs w:val="20"/>
        </w:rPr>
      </w:pPr>
      <w:r w:rsidRPr="004E13E9">
        <w:rPr>
          <w:sz w:val="20"/>
          <w:szCs w:val="20"/>
        </w:rPr>
        <w:t>Veiller à ce que chaque opération de mise en cage du thon rouge dans la ferme soit filmée par l'opérateur de la ferme au moyen de caméras conventionnelles et stéréoscopiques.</w:t>
      </w:r>
    </w:p>
    <w:p w14:paraId="2168B58A" w14:textId="77777777" w:rsidR="00B046C3" w:rsidRPr="004E13E9" w:rsidRDefault="00B046C3" w:rsidP="00B046C3">
      <w:pPr>
        <w:pStyle w:val="Default"/>
        <w:numPr>
          <w:ilvl w:val="0"/>
          <w:numId w:val="4"/>
        </w:numPr>
        <w:ind w:left="851" w:hanging="425"/>
        <w:jc w:val="both"/>
        <w:rPr>
          <w:sz w:val="20"/>
          <w:szCs w:val="20"/>
        </w:rPr>
      </w:pPr>
      <w:r w:rsidRPr="004E13E9">
        <w:rPr>
          <w:sz w:val="20"/>
          <w:szCs w:val="20"/>
        </w:rPr>
        <w:t>Veiller à ce que l'observateur régional de l’ICCAT ait un accès immédiat à toutes les séquences vidéo des caméras stéréoscopiques et conventionnelles.</w:t>
      </w:r>
    </w:p>
    <w:p w14:paraId="49092455" w14:textId="77777777" w:rsidR="00B046C3" w:rsidRPr="004E13E9" w:rsidRDefault="00B046C3" w:rsidP="00B046C3">
      <w:pPr>
        <w:pStyle w:val="Default"/>
        <w:numPr>
          <w:ilvl w:val="0"/>
          <w:numId w:val="4"/>
        </w:numPr>
        <w:ind w:left="851" w:hanging="425"/>
        <w:jc w:val="both"/>
        <w:rPr>
          <w:sz w:val="20"/>
          <w:szCs w:val="20"/>
        </w:rPr>
      </w:pPr>
      <w:r w:rsidRPr="004E13E9">
        <w:rPr>
          <w:sz w:val="20"/>
          <w:szCs w:val="20"/>
        </w:rPr>
        <w:t>Déterminer le nombre et le poids des thons rouges mis en cage, en analysant les séquences vidéo de chaque opération de mise en cage fournies par l'opérateur de la ferme, conformément aux procédures énoncées à l'annexe 9, point 1.</w:t>
      </w:r>
    </w:p>
    <w:p w14:paraId="7EC3A95E" w14:textId="77777777" w:rsidR="00B046C3" w:rsidRPr="004E13E9" w:rsidRDefault="00B046C3" w:rsidP="00B046C3">
      <w:pPr>
        <w:pStyle w:val="Default"/>
        <w:numPr>
          <w:ilvl w:val="0"/>
          <w:numId w:val="4"/>
        </w:numPr>
        <w:ind w:left="851" w:hanging="425"/>
        <w:jc w:val="both"/>
        <w:rPr>
          <w:sz w:val="20"/>
          <w:szCs w:val="20"/>
        </w:rPr>
      </w:pPr>
      <w:r w:rsidRPr="004E13E9">
        <w:rPr>
          <w:sz w:val="20"/>
          <w:szCs w:val="20"/>
        </w:rPr>
        <w:t>Soumettre les procédures et les résultats liés au programme de caméras stéréoscopiques au SCRS avant le 31 octobre de chaque année.</w:t>
      </w:r>
    </w:p>
    <w:p w14:paraId="334568D8" w14:textId="77777777" w:rsidR="00B046C3" w:rsidRPr="004E13E9" w:rsidRDefault="00B046C3" w:rsidP="00B046C3">
      <w:pPr>
        <w:pStyle w:val="Default"/>
        <w:numPr>
          <w:ilvl w:val="0"/>
          <w:numId w:val="4"/>
        </w:numPr>
        <w:ind w:left="851" w:hanging="425"/>
        <w:jc w:val="both"/>
        <w:rPr>
          <w:sz w:val="20"/>
          <w:szCs w:val="20"/>
        </w:rPr>
      </w:pPr>
      <w:r w:rsidRPr="004E13E9">
        <w:rPr>
          <w:sz w:val="20"/>
          <w:szCs w:val="20"/>
        </w:rPr>
        <w:t>Établir un rapport de mise en cage pour chaque opération de mise en cage.</w:t>
      </w:r>
    </w:p>
    <w:p w14:paraId="08D3FD50" w14:textId="77777777" w:rsidR="00B046C3" w:rsidRPr="004E13E9" w:rsidRDefault="00B046C3" w:rsidP="00B046C3">
      <w:pPr>
        <w:pStyle w:val="Default"/>
        <w:numPr>
          <w:ilvl w:val="0"/>
          <w:numId w:val="4"/>
        </w:numPr>
        <w:ind w:left="851" w:hanging="425"/>
        <w:jc w:val="both"/>
        <w:rPr>
          <w:sz w:val="20"/>
          <w:szCs w:val="20"/>
        </w:rPr>
      </w:pPr>
      <w:r w:rsidRPr="004E13E9">
        <w:rPr>
          <w:sz w:val="20"/>
          <w:szCs w:val="20"/>
        </w:rPr>
        <w:t>Délivrer l'autorisation de mise à mort</w:t>
      </w:r>
    </w:p>
    <w:p w14:paraId="47A9AD8B" w14:textId="77777777" w:rsidR="00B046C3" w:rsidRPr="004E13E9" w:rsidRDefault="00B046C3" w:rsidP="00B046C3">
      <w:pPr>
        <w:pStyle w:val="Default"/>
        <w:numPr>
          <w:ilvl w:val="0"/>
          <w:numId w:val="4"/>
        </w:numPr>
        <w:ind w:left="851" w:hanging="425"/>
        <w:jc w:val="both"/>
        <w:rPr>
          <w:sz w:val="20"/>
          <w:szCs w:val="20"/>
        </w:rPr>
      </w:pPr>
      <w:r w:rsidRPr="004E13E9">
        <w:rPr>
          <w:sz w:val="20"/>
          <w:szCs w:val="20"/>
        </w:rPr>
        <w:t>Inspecter toutes les opérations de mise à mort de thon rouge destinées aux navires de transformation.</w:t>
      </w:r>
    </w:p>
    <w:p w14:paraId="53739246" w14:textId="77777777" w:rsidR="00B046C3" w:rsidRPr="004E13E9" w:rsidRDefault="00B046C3" w:rsidP="00B046C3">
      <w:pPr>
        <w:contextualSpacing/>
        <w:jc w:val="both"/>
        <w:rPr>
          <w:lang w:val="fr-FR"/>
        </w:rPr>
      </w:pPr>
    </w:p>
    <w:p w14:paraId="13BF6D09" w14:textId="77777777" w:rsidR="00B046C3" w:rsidRPr="004E13E9" w:rsidRDefault="00B046C3" w:rsidP="00B046C3">
      <w:pPr>
        <w:contextualSpacing/>
        <w:jc w:val="both"/>
        <w:rPr>
          <w:lang w:val="fr-FR"/>
        </w:rPr>
      </w:pPr>
      <w:r w:rsidRPr="004E13E9">
        <w:rPr>
          <w:lang w:val="fr-FR"/>
        </w:rPr>
        <w:t>Des opérations de contrôle aléatoire au moyen de caméras conventionnelles seront effectuées dans la ferme par l'Inspection des Pêches entre la fin de la mise en cage et la première mise en cage de l'année suivante.</w:t>
      </w:r>
    </w:p>
    <w:p w14:paraId="31C6B16F" w14:textId="77777777" w:rsidR="00B046C3" w:rsidRPr="004E13E9" w:rsidRDefault="00B046C3" w:rsidP="00B046C3">
      <w:pPr>
        <w:contextualSpacing/>
        <w:jc w:val="both"/>
        <w:rPr>
          <w:lang w:val="fr-FR"/>
        </w:rPr>
      </w:pPr>
    </w:p>
    <w:p w14:paraId="2E91CDE3" w14:textId="77777777" w:rsidR="00B046C3" w:rsidRPr="004E13E9" w:rsidRDefault="00B046C3" w:rsidP="00B046C3">
      <w:pPr>
        <w:contextualSpacing/>
        <w:jc w:val="both"/>
        <w:rPr>
          <w:lang w:val="fr-FR"/>
        </w:rPr>
      </w:pPr>
      <w:r w:rsidRPr="004E13E9">
        <w:rPr>
          <w:lang w:val="fr-FR"/>
        </w:rPr>
        <w:t>Compte tenu de la taille de la ferme et du nombre de cages, l'autorité compétente de la ferme couvrira 100% du nombre de cages lors de ses contrôles aléatoires.</w:t>
      </w:r>
    </w:p>
    <w:p w14:paraId="2A9439C9" w14:textId="77777777" w:rsidR="00B046C3" w:rsidRPr="004E13E9" w:rsidRDefault="00B046C3" w:rsidP="00B046C3">
      <w:pPr>
        <w:widowControl w:val="0"/>
        <w:contextualSpacing/>
        <w:jc w:val="both"/>
        <w:rPr>
          <w:rFonts w:eastAsia="MS Gothic" w:cs="Times New Roman"/>
          <w:lang w:val="fr-FR" w:eastAsia="fr-FR" w:bidi="fr-FR"/>
        </w:rPr>
      </w:pPr>
    </w:p>
    <w:p w14:paraId="13798FF7" w14:textId="77777777" w:rsidR="00B046C3" w:rsidRPr="004E13E9" w:rsidRDefault="00B046C3" w:rsidP="00B046C3">
      <w:pPr>
        <w:widowControl w:val="0"/>
        <w:contextualSpacing/>
        <w:jc w:val="both"/>
        <w:rPr>
          <w:rFonts w:eastAsia="MS Gothic" w:cs="Times New Roman"/>
          <w:lang w:val="fr-FR" w:eastAsia="fr-FR" w:bidi="fr-FR"/>
        </w:rPr>
      </w:pPr>
      <w:r w:rsidRPr="004E13E9">
        <w:rPr>
          <w:rFonts w:eastAsia="MS Gothic" w:cs="Times New Roman"/>
          <w:lang w:val="fr-FR" w:eastAsia="fr-FR" w:bidi="fr-FR"/>
        </w:rPr>
        <w:t xml:space="preserve">Conformément aux paragraphes 119-123 de la </w:t>
      </w:r>
      <w:hyperlink r:id="rId72" w:history="1">
        <w:r w:rsidRPr="004E13E9">
          <w:rPr>
            <w:rStyle w:val="Hyperlink"/>
            <w:rFonts w:eastAsia="MS Gothic" w:cs="Times New Roman"/>
            <w:u w:val="none"/>
            <w:lang w:val="fr-FR" w:eastAsia="fr-FR" w:bidi="fr-FR"/>
          </w:rPr>
          <w:t>Rec. 25-04</w:t>
        </w:r>
      </w:hyperlink>
      <w:r w:rsidRPr="004E13E9">
        <w:rPr>
          <w:rFonts w:eastAsia="MS Gothic" w:cs="Times New Roman"/>
          <w:lang w:val="fr-FR" w:eastAsia="fr-FR" w:bidi="fr-FR"/>
        </w:rPr>
        <w:t xml:space="preserve">, les transferts des cages vers la ferme doivent être surveillés par des caméras </w:t>
      </w:r>
      <w:proofErr w:type="gramStart"/>
      <w:r w:rsidRPr="004E13E9">
        <w:rPr>
          <w:rFonts w:eastAsia="MS Gothic" w:cs="Times New Roman"/>
          <w:lang w:val="fr-FR" w:eastAsia="fr-FR" w:bidi="fr-FR"/>
        </w:rPr>
        <w:t>vidéos</w:t>
      </w:r>
      <w:proofErr w:type="gramEnd"/>
      <w:r w:rsidRPr="004E13E9">
        <w:rPr>
          <w:rFonts w:eastAsia="MS Gothic" w:cs="Times New Roman"/>
          <w:lang w:val="fr-FR" w:eastAsia="fr-FR" w:bidi="fr-FR"/>
        </w:rPr>
        <w:t xml:space="preserve"> et les enregistrements de chaque transfert doivent être fournis aux autorités albanaises compétentes.</w:t>
      </w:r>
    </w:p>
    <w:p w14:paraId="3994B632" w14:textId="77777777" w:rsidR="00B046C3" w:rsidRPr="004E13E9" w:rsidRDefault="00B046C3" w:rsidP="00B046C3">
      <w:pPr>
        <w:widowControl w:val="0"/>
        <w:contextualSpacing/>
        <w:jc w:val="both"/>
        <w:rPr>
          <w:rFonts w:eastAsia="MS Gothic" w:cs="Times New Roman"/>
          <w:lang w:val="fr-FR" w:eastAsia="fr-FR" w:bidi="fr-FR"/>
        </w:rPr>
      </w:pPr>
    </w:p>
    <w:p w14:paraId="191E703C" w14:textId="77777777" w:rsidR="00B046C3" w:rsidRPr="004E13E9" w:rsidRDefault="00B046C3" w:rsidP="00B046C3">
      <w:pPr>
        <w:widowControl w:val="0"/>
        <w:contextualSpacing/>
        <w:jc w:val="both"/>
        <w:rPr>
          <w:rFonts w:eastAsia="MS Gothic" w:cs="Times New Roman"/>
          <w:lang w:val="fr-FR" w:eastAsia="fr-FR" w:bidi="fr-FR"/>
        </w:rPr>
      </w:pPr>
      <w:r w:rsidRPr="004E13E9">
        <w:rPr>
          <w:rFonts w:eastAsia="MS Gothic" w:cs="Times New Roman"/>
          <w:lang w:val="fr-FR" w:eastAsia="fr-FR" w:bidi="fr-FR"/>
        </w:rPr>
        <w:t>Afin d’assurer une couverture à 100 % de toutes les opérations de mise en cage, des caméras stéréoscopiques sont utilisées pour estimer le nombre et le poids du thon rouge à mettre en cage. L'opérateur de la ferme devra communiquer les résultats de ces programmes aux autorités compétentes et à l'observateur régional.</w:t>
      </w:r>
    </w:p>
    <w:p w14:paraId="3FC47FFE" w14:textId="77777777" w:rsidR="00B046C3" w:rsidRPr="004E13E9" w:rsidRDefault="00B046C3" w:rsidP="00B046C3">
      <w:pPr>
        <w:widowControl w:val="0"/>
        <w:ind w:left="426" w:hanging="426"/>
        <w:jc w:val="both"/>
        <w:rPr>
          <w:rFonts w:eastAsia="MS Gothic" w:cs="Times New Roman"/>
          <w:b/>
          <w:i/>
          <w:iCs/>
          <w:lang w:val="fr-FR" w:eastAsia="fr-FR" w:bidi="fr-FR"/>
        </w:rPr>
      </w:pPr>
    </w:p>
    <w:p w14:paraId="706F1713" w14:textId="77777777" w:rsidR="00B046C3" w:rsidRPr="004E13E9" w:rsidRDefault="00B046C3" w:rsidP="00B046C3">
      <w:pPr>
        <w:widowControl w:val="0"/>
        <w:ind w:left="426" w:hanging="426"/>
        <w:jc w:val="both"/>
        <w:rPr>
          <w:rFonts w:eastAsia="MS Gothic" w:cs="Times New Roman"/>
          <w:b/>
          <w:i/>
          <w:iCs/>
          <w:lang w:val="fr-FR" w:eastAsia="fr-FR" w:bidi="fr-FR"/>
        </w:rPr>
      </w:pPr>
      <w:r w:rsidRPr="004E13E9">
        <w:rPr>
          <w:rFonts w:eastAsia="MS Gothic" w:cs="Times New Roman"/>
          <w:b/>
          <w:i/>
          <w:iCs/>
          <w:lang w:val="fr-FR" w:eastAsia="fr-FR" w:bidi="fr-FR"/>
        </w:rPr>
        <w:t>5b) Programme d’inspection internationale conjointe (JIS) (paragraphes 232-235)</w:t>
      </w:r>
    </w:p>
    <w:p w14:paraId="70D53201" w14:textId="77777777" w:rsidR="00B046C3" w:rsidRPr="004E13E9" w:rsidRDefault="00B046C3" w:rsidP="00B046C3">
      <w:pPr>
        <w:widowControl w:val="0"/>
        <w:rPr>
          <w:rFonts w:eastAsia="MS Gothic" w:cs="Times New Roman"/>
          <w:b/>
          <w:i/>
          <w:iCs/>
          <w:lang w:val="fr-FR" w:eastAsia="fr-FR" w:bidi="fr-FR"/>
        </w:rPr>
      </w:pPr>
    </w:p>
    <w:p w14:paraId="3DEC452D" w14:textId="77777777" w:rsidR="00B046C3" w:rsidRPr="004E13E9" w:rsidRDefault="00B046C3" w:rsidP="00B046C3">
      <w:pPr>
        <w:widowControl w:val="0"/>
        <w:contextualSpacing/>
        <w:jc w:val="both"/>
        <w:rPr>
          <w:rFonts w:eastAsia="MS Gothic" w:cs="Times New Roman"/>
          <w:bCs/>
          <w:iCs/>
          <w:lang w:val="pt-PT" w:eastAsia="fr-FR" w:bidi="fr-FR"/>
        </w:rPr>
      </w:pPr>
      <w:r w:rsidRPr="004E13E9">
        <w:rPr>
          <w:rFonts w:eastAsia="MS Gothic" w:cs="Times New Roman"/>
          <w:bCs/>
          <w:iCs/>
          <w:lang w:val="pt-PT" w:eastAsia="fr-FR" w:bidi="fr-FR"/>
        </w:rPr>
        <w:t>N/A</w:t>
      </w:r>
    </w:p>
    <w:p w14:paraId="2C26B015" w14:textId="77777777" w:rsidR="00B046C3" w:rsidRPr="004E13E9" w:rsidRDefault="00B046C3" w:rsidP="00B046C3">
      <w:pPr>
        <w:widowControl w:val="0"/>
        <w:contextualSpacing/>
        <w:jc w:val="both"/>
        <w:rPr>
          <w:rFonts w:eastAsia="MS Gothic" w:cs="Times New Roman"/>
          <w:i/>
          <w:lang w:val="pt-PT" w:eastAsia="fr-FR" w:bidi="fr-FR"/>
        </w:rPr>
      </w:pPr>
    </w:p>
    <w:p w14:paraId="633DDC36" w14:textId="77777777" w:rsidR="00B046C3" w:rsidRPr="004E13E9" w:rsidRDefault="00B046C3" w:rsidP="00B046C3">
      <w:pPr>
        <w:widowControl w:val="0"/>
        <w:contextualSpacing/>
        <w:jc w:val="both"/>
        <w:rPr>
          <w:rFonts w:eastAsia="MS Gothic" w:cs="Times New Roman"/>
          <w:i/>
          <w:lang w:val="pt-PT" w:eastAsia="fr-FR" w:bidi="fr-FR"/>
        </w:rPr>
      </w:pPr>
    </w:p>
    <w:p w14:paraId="5735E180" w14:textId="77777777" w:rsidR="00B046C3" w:rsidRPr="004E13E9" w:rsidRDefault="00B046C3" w:rsidP="00B046C3">
      <w:pPr>
        <w:widowControl w:val="0"/>
        <w:ind w:left="426" w:hanging="426"/>
        <w:contextualSpacing/>
        <w:jc w:val="both"/>
        <w:rPr>
          <w:rFonts w:eastAsia="MS Gothic" w:cs="Times New Roman"/>
          <w:b/>
          <w:lang w:val="pt-PT" w:eastAsia="fr-FR" w:bidi="fr-FR"/>
        </w:rPr>
      </w:pPr>
      <w:r w:rsidRPr="004E13E9">
        <w:rPr>
          <w:rFonts w:eastAsia="MS Gothic" w:cs="Times New Roman"/>
          <w:b/>
          <w:lang w:val="pt-PT" w:eastAsia="fr-FR" w:bidi="fr-FR"/>
        </w:rPr>
        <w:t xml:space="preserve">6. </w:t>
      </w:r>
      <w:r w:rsidRPr="004E13E9">
        <w:rPr>
          <w:rFonts w:eastAsia="MS Gothic" w:cs="Times New Roman"/>
          <w:b/>
          <w:lang w:val="pt-PT" w:eastAsia="fr-FR" w:bidi="fr-FR"/>
        </w:rPr>
        <w:tab/>
        <w:t>Autres</w:t>
      </w:r>
    </w:p>
    <w:p w14:paraId="4918DC31" w14:textId="77777777" w:rsidR="00B046C3" w:rsidRPr="004E13E9" w:rsidRDefault="00B046C3" w:rsidP="00B046C3">
      <w:pPr>
        <w:widowControl w:val="0"/>
        <w:ind w:left="426" w:hanging="426"/>
        <w:contextualSpacing/>
        <w:jc w:val="both"/>
        <w:rPr>
          <w:rFonts w:eastAsia="MS Gothic" w:cs="Times New Roman"/>
          <w:b/>
          <w:lang w:val="pt-PT" w:eastAsia="fr-FR" w:bidi="fr-FR"/>
        </w:rPr>
      </w:pPr>
    </w:p>
    <w:p w14:paraId="59C424D5" w14:textId="77777777" w:rsidR="00B046C3" w:rsidRPr="004E13E9" w:rsidRDefault="00B046C3" w:rsidP="00B046C3">
      <w:pPr>
        <w:rPr>
          <w:rFonts w:eastAsia="MS Gothic" w:cs="Times New Roman"/>
          <w:color w:val="000000"/>
          <w:lang w:val="pt-PT" w:eastAsia="fr-FR" w:bidi="fr-FR"/>
        </w:rPr>
        <w:sectPr w:rsidR="00B046C3" w:rsidRPr="004E13E9" w:rsidSect="00B046C3">
          <w:headerReference w:type="default" r:id="rId73"/>
          <w:footerReference w:type="default" r:id="rId74"/>
          <w:type w:val="continuous"/>
          <w:pgSz w:w="11906" w:h="16838" w:code="9"/>
          <w:pgMar w:top="1418" w:right="1418" w:bottom="1418" w:left="1418" w:header="850" w:footer="1134" w:gutter="0"/>
          <w:cols w:space="708"/>
          <w:docGrid w:linePitch="360"/>
        </w:sectPr>
      </w:pPr>
      <w:r w:rsidRPr="004E13E9">
        <w:rPr>
          <w:rFonts w:eastAsia="MS Gothic" w:cs="Times New Roman"/>
          <w:color w:val="000000"/>
          <w:lang w:val="pt-PT" w:eastAsia="fr-FR" w:bidi="fr-FR"/>
        </w:rPr>
        <w:t>N/A</w:t>
      </w:r>
    </w:p>
    <w:p w14:paraId="54C5E1D5" w14:textId="77777777" w:rsidR="00B046C3" w:rsidRPr="004E13E9" w:rsidRDefault="00B046C3" w:rsidP="00B046C3">
      <w:pPr>
        <w:rPr>
          <w:rFonts w:eastAsia="MS Gothic" w:cs="Times New Roman"/>
          <w:b/>
          <w:bCs/>
          <w:iCs/>
          <w:lang w:val="fr-FR" w:eastAsia="fr-FR" w:bidi="fr-FR"/>
        </w:rPr>
      </w:pPr>
      <w:r w:rsidRPr="004E13E9">
        <w:rPr>
          <w:rFonts w:eastAsia="MS Gothic" w:cs="Times New Roman"/>
          <w:b/>
          <w:bCs/>
          <w:iCs/>
          <w:lang w:val="fr-FR" w:eastAsia="fr-FR" w:bidi="fr-FR"/>
        </w:rPr>
        <w:lastRenderedPageBreak/>
        <w:t>Tableau sur la capacité</w:t>
      </w:r>
    </w:p>
    <w:tbl>
      <w:tblPr>
        <w:tblW w:w="14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8"/>
        <w:gridCol w:w="1843"/>
        <w:gridCol w:w="708"/>
        <w:gridCol w:w="709"/>
        <w:gridCol w:w="709"/>
        <w:gridCol w:w="709"/>
        <w:gridCol w:w="611"/>
        <w:gridCol w:w="614"/>
        <w:gridCol w:w="614"/>
        <w:gridCol w:w="236"/>
        <w:gridCol w:w="614"/>
        <w:gridCol w:w="614"/>
        <w:gridCol w:w="614"/>
        <w:gridCol w:w="904"/>
        <w:gridCol w:w="849"/>
        <w:gridCol w:w="850"/>
        <w:gridCol w:w="1134"/>
      </w:tblGrid>
      <w:tr w:rsidR="00B046C3" w:rsidRPr="004E13E9" w14:paraId="5A394548"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46759C25" w14:textId="77777777" w:rsidR="00B046C3" w:rsidRPr="004E13E9" w:rsidRDefault="00B046C3" w:rsidP="000D1853">
            <w:pPr>
              <w:widowControl w:val="0"/>
              <w:jc w:val="center"/>
              <w:rPr>
                <w:rFonts w:eastAsia="Times New Roman" w:cs="Calibri"/>
                <w:i/>
                <w:iCs/>
                <w:color w:val="000000"/>
                <w:sz w:val="18"/>
                <w:szCs w:val="18"/>
                <w:lang w:eastAsia="fr-FR" w:bidi="fr-FR"/>
              </w:rPr>
            </w:pPr>
            <w:r w:rsidRPr="004E13E9">
              <w:rPr>
                <w:rFonts w:eastAsia="MS Gothic" w:cs="Times New Roman"/>
                <w:i/>
                <w:color w:val="000000"/>
                <w:sz w:val="18"/>
                <w:szCs w:val="24"/>
                <w:lang w:eastAsia="fr-FR" w:bidi="fr-FR"/>
              </w:rPr>
              <w:t xml:space="preserve">Type de </w:t>
            </w:r>
            <w:proofErr w:type="spellStart"/>
            <w:r w:rsidRPr="004E13E9">
              <w:rPr>
                <w:rFonts w:eastAsia="MS Gothic" w:cs="Times New Roman"/>
                <w:i/>
                <w:color w:val="000000"/>
                <w:sz w:val="18"/>
                <w:szCs w:val="24"/>
                <w:lang w:eastAsia="fr-FR" w:bidi="fr-FR"/>
              </w:rPr>
              <w:t>navires</w:t>
            </w:r>
            <w:proofErr w:type="spellEnd"/>
            <w:r w:rsidRPr="004E13E9">
              <w:rPr>
                <w:rFonts w:eastAsia="MS Gothic" w:cs="Times New Roman"/>
                <w:i/>
                <w:color w:val="000000"/>
                <w:sz w:val="18"/>
                <w:szCs w:val="24"/>
                <w:lang w:eastAsia="fr-FR" w:bidi="fr-FR"/>
              </w:rPr>
              <w:t xml:space="preserve"> </w:t>
            </w:r>
            <w:proofErr w:type="spellStart"/>
            <w:r w:rsidRPr="004E13E9">
              <w:rPr>
                <w:rFonts w:eastAsia="MS Gothic" w:cs="Times New Roman"/>
                <w:i/>
                <w:color w:val="000000"/>
                <w:sz w:val="18"/>
                <w:szCs w:val="24"/>
                <w:lang w:eastAsia="fr-FR" w:bidi="fr-FR"/>
              </w:rPr>
              <w:t>thoniers</w:t>
            </w:r>
            <w:proofErr w:type="spellEnd"/>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28F40345" w14:textId="77777777" w:rsidR="00B046C3" w:rsidRPr="004E13E9" w:rsidRDefault="00B046C3" w:rsidP="000D1853">
            <w:pPr>
              <w:widowControl w:val="0"/>
              <w:jc w:val="both"/>
              <w:rPr>
                <w:rFonts w:eastAsia="Times New Roman" w:cs="Calibri"/>
                <w:i/>
                <w:iCs/>
                <w:color w:val="000000"/>
                <w:sz w:val="18"/>
                <w:szCs w:val="18"/>
                <w:lang w:eastAsia="fr-FR" w:bidi="fr-FR"/>
              </w:rPr>
            </w:pPr>
          </w:p>
        </w:tc>
        <w:tc>
          <w:tcPr>
            <w:tcW w:w="2126" w:type="dxa"/>
            <w:gridSpan w:val="3"/>
            <w:tcBorders>
              <w:top w:val="single" w:sz="4" w:space="0" w:color="auto"/>
              <w:left w:val="single" w:sz="4" w:space="0" w:color="auto"/>
              <w:bottom w:val="single" w:sz="4" w:space="0" w:color="auto"/>
              <w:right w:val="single" w:sz="4" w:space="0" w:color="auto"/>
            </w:tcBorders>
            <w:hideMark/>
          </w:tcPr>
          <w:p w14:paraId="342E4103" w14:textId="77777777" w:rsidR="00B046C3" w:rsidRPr="004E13E9" w:rsidRDefault="00B046C3" w:rsidP="000D1853">
            <w:pPr>
              <w:widowControl w:val="0"/>
              <w:jc w:val="center"/>
              <w:rPr>
                <w:rFonts w:eastAsia="Times New Roman" w:cs="Calibri"/>
                <w:i/>
                <w:iCs/>
                <w:color w:val="000000"/>
                <w:sz w:val="18"/>
                <w:szCs w:val="18"/>
                <w:lang w:eastAsia="fr-FR" w:bidi="fr-FR"/>
              </w:rPr>
            </w:pPr>
            <w:r w:rsidRPr="004E13E9">
              <w:rPr>
                <w:rFonts w:eastAsia="MS Gothic" w:cs="Times New Roman"/>
                <w:i/>
                <w:color w:val="000000"/>
                <w:sz w:val="18"/>
                <w:szCs w:val="24"/>
                <w:lang w:eastAsia="fr-FR" w:bidi="fr-FR"/>
              </w:rPr>
              <w:t xml:space="preserve">Année de </w:t>
            </w:r>
            <w:proofErr w:type="spellStart"/>
            <w:r w:rsidRPr="004E13E9">
              <w:rPr>
                <w:rFonts w:eastAsia="MS Gothic" w:cs="Times New Roman"/>
                <w:i/>
                <w:color w:val="000000"/>
                <w:sz w:val="18"/>
                <w:szCs w:val="24"/>
                <w:lang w:eastAsia="fr-FR" w:bidi="fr-FR"/>
              </w:rPr>
              <w:t>réf</w:t>
            </w:r>
            <w:proofErr w:type="spellEnd"/>
            <w:r w:rsidRPr="004E13E9">
              <w:rPr>
                <w:rFonts w:eastAsia="MS Gothic" w:cs="Times New Roman"/>
                <w:i/>
                <w:color w:val="000000"/>
                <w:sz w:val="18"/>
                <w:szCs w:val="24"/>
                <w:lang w:eastAsia="fr-FR" w:bidi="fr-FR"/>
              </w:rPr>
              <w:t>.</w:t>
            </w:r>
          </w:p>
        </w:tc>
        <w:tc>
          <w:tcPr>
            <w:tcW w:w="2548" w:type="dxa"/>
            <w:gridSpan w:val="4"/>
            <w:tcBorders>
              <w:top w:val="single" w:sz="4" w:space="0" w:color="auto"/>
              <w:left w:val="single" w:sz="4" w:space="0" w:color="auto"/>
              <w:bottom w:val="single" w:sz="4" w:space="0" w:color="auto"/>
              <w:right w:val="single" w:sz="4" w:space="0" w:color="auto"/>
            </w:tcBorders>
            <w:vAlign w:val="center"/>
            <w:hideMark/>
          </w:tcPr>
          <w:p w14:paraId="6D80ECD9" w14:textId="77777777" w:rsidR="00B046C3" w:rsidRPr="004E13E9" w:rsidRDefault="00B046C3" w:rsidP="000D1853">
            <w:pPr>
              <w:widowControl w:val="0"/>
              <w:jc w:val="center"/>
              <w:rPr>
                <w:rFonts w:eastAsia="Times New Roman" w:cs="Times New Roman"/>
                <w:color w:val="000000"/>
                <w:sz w:val="18"/>
                <w:szCs w:val="18"/>
                <w:lang w:eastAsia="fr-FR" w:bidi="fr-FR"/>
              </w:rPr>
            </w:pPr>
            <w:r w:rsidRPr="004E13E9">
              <w:rPr>
                <w:rFonts w:eastAsia="MS Gothic" w:cs="Times New Roman"/>
                <w:i/>
                <w:color w:val="000000"/>
                <w:sz w:val="18"/>
                <w:szCs w:val="24"/>
                <w:lang w:eastAsia="fr-FR" w:bidi="fr-FR"/>
              </w:rPr>
              <w:t xml:space="preserve">Nombre de </w:t>
            </w:r>
            <w:proofErr w:type="spellStart"/>
            <w:r w:rsidRPr="004E13E9">
              <w:rPr>
                <w:rFonts w:eastAsia="MS Gothic" w:cs="Times New Roman"/>
                <w:i/>
                <w:color w:val="000000"/>
                <w:sz w:val="18"/>
                <w:szCs w:val="24"/>
                <w:lang w:eastAsia="fr-FR" w:bidi="fr-FR"/>
              </w:rPr>
              <w:t>navires</w:t>
            </w:r>
            <w:proofErr w:type="spellEnd"/>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60B3C18" w14:textId="77777777" w:rsidR="00B046C3" w:rsidRPr="004E13E9" w:rsidRDefault="00B046C3" w:rsidP="000D1853">
            <w:pPr>
              <w:widowControl w:val="0"/>
              <w:jc w:val="both"/>
              <w:rPr>
                <w:rFonts w:eastAsia="Times New Roman" w:cs="Times New Roman"/>
                <w:color w:val="000000"/>
                <w:sz w:val="18"/>
                <w:szCs w:val="18"/>
                <w:lang w:eastAsia="fr-FR" w:bidi="fr-FR"/>
              </w:rPr>
            </w:pPr>
          </w:p>
        </w:tc>
        <w:tc>
          <w:tcPr>
            <w:tcW w:w="1842" w:type="dxa"/>
            <w:gridSpan w:val="3"/>
            <w:tcBorders>
              <w:top w:val="single" w:sz="4" w:space="0" w:color="auto"/>
              <w:left w:val="single" w:sz="4" w:space="0" w:color="auto"/>
              <w:bottom w:val="single" w:sz="4" w:space="0" w:color="auto"/>
              <w:right w:val="single" w:sz="4" w:space="0" w:color="auto"/>
            </w:tcBorders>
            <w:hideMark/>
          </w:tcPr>
          <w:p w14:paraId="780D108C" w14:textId="77777777" w:rsidR="00B046C3" w:rsidRPr="004E13E9" w:rsidRDefault="00B046C3" w:rsidP="000D1853">
            <w:pPr>
              <w:widowControl w:val="0"/>
              <w:jc w:val="center"/>
              <w:rPr>
                <w:rFonts w:eastAsia="Times New Roman" w:cs="Calibri"/>
                <w:i/>
                <w:iCs/>
                <w:color w:val="000000"/>
                <w:sz w:val="18"/>
                <w:szCs w:val="18"/>
                <w:lang w:eastAsia="fr-FR" w:bidi="fr-FR"/>
              </w:rPr>
            </w:pPr>
            <w:r w:rsidRPr="004E13E9">
              <w:rPr>
                <w:rFonts w:eastAsia="MS Gothic" w:cs="Times New Roman"/>
                <w:i/>
                <w:color w:val="000000"/>
                <w:sz w:val="18"/>
                <w:szCs w:val="24"/>
                <w:lang w:eastAsia="fr-FR" w:bidi="fr-FR"/>
              </w:rPr>
              <w:t xml:space="preserve">Année de </w:t>
            </w:r>
            <w:proofErr w:type="spellStart"/>
            <w:r w:rsidRPr="004E13E9">
              <w:rPr>
                <w:rFonts w:eastAsia="MS Gothic" w:cs="Times New Roman"/>
                <w:i/>
                <w:color w:val="000000"/>
                <w:sz w:val="18"/>
                <w:szCs w:val="24"/>
                <w:lang w:eastAsia="fr-FR" w:bidi="fr-FR"/>
              </w:rPr>
              <w:t>réf</w:t>
            </w:r>
            <w:proofErr w:type="spellEnd"/>
            <w:r w:rsidRPr="004E13E9">
              <w:rPr>
                <w:rFonts w:eastAsia="MS Gothic" w:cs="Times New Roman"/>
                <w:i/>
                <w:color w:val="000000"/>
                <w:sz w:val="18"/>
                <w:szCs w:val="24"/>
                <w:lang w:eastAsia="fr-FR" w:bidi="fr-FR"/>
              </w:rPr>
              <w:t>.</w:t>
            </w:r>
          </w:p>
        </w:tc>
        <w:tc>
          <w:tcPr>
            <w:tcW w:w="3737" w:type="dxa"/>
            <w:gridSpan w:val="4"/>
            <w:tcBorders>
              <w:top w:val="single" w:sz="4" w:space="0" w:color="auto"/>
              <w:left w:val="single" w:sz="4" w:space="0" w:color="auto"/>
              <w:bottom w:val="single" w:sz="4" w:space="0" w:color="auto"/>
              <w:right w:val="single" w:sz="4" w:space="0" w:color="auto"/>
            </w:tcBorders>
            <w:hideMark/>
          </w:tcPr>
          <w:p w14:paraId="2840D507" w14:textId="77777777" w:rsidR="00B046C3" w:rsidRPr="004E13E9" w:rsidRDefault="00B046C3" w:rsidP="000D1853">
            <w:pPr>
              <w:widowControl w:val="0"/>
              <w:jc w:val="center"/>
              <w:rPr>
                <w:rFonts w:eastAsia="Times New Roman" w:cs="Calibri"/>
                <w:i/>
                <w:iCs/>
                <w:color w:val="000000"/>
                <w:sz w:val="18"/>
                <w:szCs w:val="18"/>
                <w:lang w:eastAsia="fr-FR" w:bidi="fr-FR"/>
              </w:rPr>
            </w:pPr>
            <w:proofErr w:type="spellStart"/>
            <w:r w:rsidRPr="004E13E9">
              <w:rPr>
                <w:rFonts w:eastAsia="MS Gothic" w:cs="Times New Roman"/>
                <w:i/>
                <w:color w:val="000000"/>
                <w:sz w:val="18"/>
                <w:szCs w:val="24"/>
                <w:lang w:eastAsia="fr-FR" w:bidi="fr-FR"/>
              </w:rPr>
              <w:t>Capacité</w:t>
            </w:r>
            <w:proofErr w:type="spellEnd"/>
            <w:r w:rsidRPr="004E13E9">
              <w:rPr>
                <w:rFonts w:eastAsia="MS Gothic" w:cs="Times New Roman"/>
                <w:i/>
                <w:color w:val="000000"/>
                <w:sz w:val="18"/>
                <w:szCs w:val="24"/>
                <w:lang w:eastAsia="fr-FR" w:bidi="fr-FR"/>
              </w:rPr>
              <w:t xml:space="preserve"> de </w:t>
            </w:r>
            <w:proofErr w:type="spellStart"/>
            <w:r w:rsidRPr="004E13E9">
              <w:rPr>
                <w:rFonts w:eastAsia="MS Gothic" w:cs="Times New Roman"/>
                <w:i/>
                <w:color w:val="000000"/>
                <w:sz w:val="18"/>
                <w:szCs w:val="24"/>
                <w:lang w:eastAsia="fr-FR" w:bidi="fr-FR"/>
              </w:rPr>
              <w:t>pêche</w:t>
            </w:r>
            <w:proofErr w:type="spellEnd"/>
          </w:p>
        </w:tc>
      </w:tr>
      <w:tr w:rsidR="00B046C3" w:rsidRPr="004E13E9" w14:paraId="35A4FDC7"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6223CFE5" w14:textId="77777777" w:rsidR="00B046C3" w:rsidRPr="004E13E9" w:rsidRDefault="00B046C3" w:rsidP="000D1853">
            <w:pPr>
              <w:widowControl w:val="0"/>
              <w:jc w:val="both"/>
              <w:rPr>
                <w:rFonts w:eastAsia="Times New Roman" w:cs="Calibri"/>
                <w:b/>
                <w:bCs/>
                <w:color w:val="000000"/>
                <w:sz w:val="18"/>
                <w:szCs w:val="18"/>
                <w:lang w:eastAsia="fr-FR" w:bidi="fr-FR"/>
              </w:rPr>
            </w:pPr>
            <w:r w:rsidRPr="004E13E9">
              <w:rPr>
                <w:rFonts w:eastAsia="MS Gothic" w:cs="Times New Roman"/>
                <w:b/>
                <w:color w:val="000000"/>
                <w:sz w:val="18"/>
                <w:szCs w:val="24"/>
                <w:lang w:eastAsia="fr-FR" w:bidi="fr-FR"/>
              </w:rPr>
              <w:t>Type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2EB5DE2" w14:textId="77777777" w:rsidR="00B046C3" w:rsidRPr="004E13E9" w:rsidRDefault="00B046C3" w:rsidP="000D1853">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xml:space="preserve">Meilleurs taux de capture </w:t>
            </w:r>
          </w:p>
          <w:p w14:paraId="6A7D6AD6" w14:textId="77777777" w:rsidR="00B046C3" w:rsidRPr="004E13E9" w:rsidRDefault="00B046C3" w:rsidP="000D1853">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xml:space="preserve">définis par le SCRS </w:t>
            </w:r>
          </w:p>
          <w:p w14:paraId="6878755F" w14:textId="77777777" w:rsidR="00B046C3" w:rsidRPr="004E13E9" w:rsidRDefault="00B046C3" w:rsidP="000D1853">
            <w:pPr>
              <w:widowControl w:val="0"/>
              <w:jc w:val="center"/>
              <w:rPr>
                <w:rFonts w:eastAsia="Times New Roman" w:cs="Calibri"/>
                <w:color w:val="000000"/>
                <w:sz w:val="18"/>
                <w:szCs w:val="18"/>
                <w:lang w:eastAsia="fr-FR" w:bidi="fr-FR"/>
              </w:rPr>
            </w:pPr>
            <w:proofErr w:type="spellStart"/>
            <w:r w:rsidRPr="004E13E9">
              <w:rPr>
                <w:rFonts w:eastAsia="MS Gothic" w:cs="Times New Roman"/>
                <w:color w:val="000000"/>
                <w:sz w:val="18"/>
                <w:szCs w:val="24"/>
                <w:lang w:eastAsia="fr-FR" w:bidi="fr-FR"/>
              </w:rPr>
              <w:t>en</w:t>
            </w:r>
            <w:proofErr w:type="spellEnd"/>
            <w:r w:rsidRPr="004E13E9">
              <w:rPr>
                <w:rFonts w:eastAsia="MS Gothic" w:cs="Times New Roman"/>
                <w:color w:val="000000"/>
                <w:sz w:val="18"/>
                <w:szCs w:val="24"/>
                <w:lang w:eastAsia="fr-FR" w:bidi="fr-FR"/>
              </w:rPr>
              <w:t xml:space="preserve"> 2009 (t)</w:t>
            </w:r>
          </w:p>
        </w:tc>
        <w:tc>
          <w:tcPr>
            <w:tcW w:w="708" w:type="dxa"/>
            <w:tcBorders>
              <w:top w:val="single" w:sz="4" w:space="0" w:color="auto"/>
              <w:left w:val="single" w:sz="4" w:space="0" w:color="auto"/>
              <w:bottom w:val="single" w:sz="4" w:space="0" w:color="auto"/>
              <w:right w:val="single" w:sz="4" w:space="0" w:color="auto"/>
            </w:tcBorders>
            <w:vAlign w:val="center"/>
            <w:hideMark/>
          </w:tcPr>
          <w:p w14:paraId="703BB159"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2006</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3D0F9C7E" w14:textId="77777777" w:rsidR="00B046C3" w:rsidRPr="004E13E9" w:rsidRDefault="00B046C3" w:rsidP="000D1853">
            <w:pPr>
              <w:widowControl w:val="0"/>
              <w:jc w:val="center"/>
              <w:rPr>
                <w:rFonts w:eastAsia="Times New Roman" w:cs="Calibri"/>
                <w:color w:val="000000"/>
                <w:sz w:val="17"/>
                <w:szCs w:val="17"/>
                <w:lang w:eastAsia="fr-FR" w:bidi="fr-FR"/>
              </w:rPr>
            </w:pPr>
            <w:r w:rsidRPr="004E13E9">
              <w:rPr>
                <w:rFonts w:eastAsia="MS Gothic" w:cs="Times New Roman"/>
                <w:color w:val="000000"/>
                <w:sz w:val="17"/>
                <w:szCs w:val="24"/>
                <w:lang w:eastAsia="fr-FR" w:bidi="fr-FR"/>
              </w:rPr>
              <w:t>2008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F35CAD" w14:textId="77777777" w:rsidR="00B046C3" w:rsidRPr="004E13E9" w:rsidRDefault="00B046C3" w:rsidP="000D1853">
            <w:pPr>
              <w:widowControl w:val="0"/>
              <w:jc w:val="center"/>
              <w:rPr>
                <w:rFonts w:eastAsia="Times New Roman" w:cs="Calibri"/>
                <w:color w:val="000000"/>
                <w:sz w:val="17"/>
                <w:szCs w:val="17"/>
                <w:lang w:eastAsia="fr-FR" w:bidi="fr-FR"/>
              </w:rPr>
            </w:pPr>
            <w:r w:rsidRPr="004E13E9">
              <w:rPr>
                <w:rFonts w:eastAsia="MS Gothic" w:cs="Times New Roman"/>
                <w:color w:val="000000"/>
                <w:sz w:val="17"/>
                <w:szCs w:val="24"/>
                <w:lang w:eastAsia="fr-FR" w:bidi="fr-FR"/>
              </w:rPr>
              <w:t>2018</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371698" w14:textId="77777777" w:rsidR="00B046C3" w:rsidRPr="004E13E9" w:rsidRDefault="00B046C3" w:rsidP="000D1853">
            <w:pPr>
              <w:widowControl w:val="0"/>
              <w:jc w:val="center"/>
              <w:rPr>
                <w:rFonts w:eastAsia="Times New Roman" w:cs="Calibri"/>
                <w:color w:val="000000"/>
                <w:sz w:val="17"/>
                <w:szCs w:val="17"/>
                <w:lang w:eastAsia="fr-FR" w:bidi="fr-FR"/>
              </w:rPr>
            </w:pPr>
            <w:r w:rsidRPr="004E13E9">
              <w:rPr>
                <w:rFonts w:eastAsia="MS Gothic" w:cs="Times New Roman"/>
                <w:color w:val="000000"/>
                <w:sz w:val="17"/>
                <w:szCs w:val="24"/>
                <w:lang w:eastAsia="fr-FR" w:bidi="fr-FR"/>
              </w:rPr>
              <w:t>2023</w:t>
            </w:r>
          </w:p>
        </w:tc>
        <w:tc>
          <w:tcPr>
            <w:tcW w:w="611" w:type="dxa"/>
            <w:tcBorders>
              <w:top w:val="single" w:sz="4" w:space="0" w:color="auto"/>
              <w:left w:val="single" w:sz="4" w:space="0" w:color="auto"/>
              <w:bottom w:val="single" w:sz="4" w:space="0" w:color="auto"/>
              <w:right w:val="single" w:sz="4" w:space="0" w:color="auto"/>
            </w:tcBorders>
            <w:vAlign w:val="center"/>
            <w:hideMark/>
          </w:tcPr>
          <w:p w14:paraId="2D6A6C1C" w14:textId="77777777" w:rsidR="00B046C3" w:rsidRPr="004E13E9" w:rsidRDefault="00B046C3" w:rsidP="000D1853">
            <w:pPr>
              <w:widowControl w:val="0"/>
              <w:jc w:val="center"/>
              <w:rPr>
                <w:rFonts w:eastAsia="Times New Roman" w:cs="Calibri"/>
                <w:color w:val="000000"/>
                <w:sz w:val="17"/>
                <w:szCs w:val="17"/>
                <w:lang w:eastAsia="fr-FR" w:bidi="fr-FR"/>
              </w:rPr>
            </w:pPr>
            <w:r w:rsidRPr="004E13E9">
              <w:rPr>
                <w:rFonts w:eastAsia="MS Gothic" w:cs="Times New Roman"/>
                <w:color w:val="000000"/>
                <w:sz w:val="17"/>
                <w:szCs w:val="24"/>
                <w:lang w:eastAsia="fr-FR" w:bidi="fr-FR"/>
              </w:rPr>
              <w:t>2024</w:t>
            </w:r>
          </w:p>
        </w:tc>
        <w:tc>
          <w:tcPr>
            <w:tcW w:w="614" w:type="dxa"/>
            <w:tcBorders>
              <w:top w:val="single" w:sz="4" w:space="0" w:color="auto"/>
              <w:left w:val="single" w:sz="4" w:space="0" w:color="auto"/>
              <w:bottom w:val="single" w:sz="4" w:space="0" w:color="auto"/>
              <w:right w:val="single" w:sz="4" w:space="0" w:color="auto"/>
            </w:tcBorders>
            <w:vAlign w:val="center"/>
            <w:hideMark/>
          </w:tcPr>
          <w:p w14:paraId="66C22C10" w14:textId="77777777" w:rsidR="00B046C3" w:rsidRPr="004E13E9" w:rsidRDefault="00B046C3" w:rsidP="000D1853">
            <w:pPr>
              <w:widowControl w:val="0"/>
              <w:jc w:val="center"/>
              <w:rPr>
                <w:rFonts w:eastAsia="Times New Roman" w:cs="Calibri"/>
                <w:color w:val="000000"/>
                <w:sz w:val="17"/>
                <w:szCs w:val="17"/>
                <w:lang w:eastAsia="fr-FR" w:bidi="fr-FR"/>
              </w:rPr>
            </w:pPr>
            <w:r w:rsidRPr="004E13E9">
              <w:rPr>
                <w:rFonts w:eastAsia="MS Gothic" w:cs="Times New Roman"/>
                <w:color w:val="000000"/>
                <w:sz w:val="17"/>
                <w:szCs w:val="24"/>
                <w:lang w:eastAsia="fr-FR" w:bidi="fr-FR"/>
              </w:rPr>
              <w:t>2025</w:t>
            </w:r>
          </w:p>
        </w:tc>
        <w:tc>
          <w:tcPr>
            <w:tcW w:w="614" w:type="dxa"/>
            <w:tcBorders>
              <w:top w:val="single" w:sz="4" w:space="0" w:color="auto"/>
              <w:left w:val="single" w:sz="4" w:space="0" w:color="auto"/>
              <w:bottom w:val="single" w:sz="4" w:space="0" w:color="auto"/>
              <w:right w:val="single" w:sz="4" w:space="0" w:color="auto"/>
            </w:tcBorders>
            <w:vAlign w:val="center"/>
            <w:hideMark/>
          </w:tcPr>
          <w:p w14:paraId="42213D00" w14:textId="77777777" w:rsidR="00B046C3" w:rsidRPr="004E13E9" w:rsidRDefault="00B046C3" w:rsidP="000D1853">
            <w:pPr>
              <w:widowControl w:val="0"/>
              <w:jc w:val="center"/>
              <w:rPr>
                <w:rFonts w:eastAsia="Times New Roman" w:cs="Calibri"/>
                <w:color w:val="000000"/>
                <w:sz w:val="17"/>
                <w:szCs w:val="17"/>
                <w:lang w:eastAsia="fr-FR" w:bidi="fr-FR"/>
              </w:rPr>
            </w:pPr>
            <w:r w:rsidRPr="004E13E9">
              <w:rPr>
                <w:rFonts w:eastAsia="MS Gothic" w:cs="Times New Roman"/>
                <w:color w:val="000000"/>
                <w:sz w:val="17"/>
                <w:szCs w:val="24"/>
                <w:lang w:eastAsia="fr-FR" w:bidi="fr-FR"/>
              </w:rPr>
              <w:t>2026</w:t>
            </w: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02E0504" w14:textId="77777777" w:rsidR="00B046C3" w:rsidRPr="004E13E9" w:rsidRDefault="00B046C3" w:rsidP="000D1853">
            <w:pPr>
              <w:widowControl w:val="0"/>
              <w:jc w:val="both"/>
              <w:rPr>
                <w:rFonts w:eastAsia="Times New Roman" w:cs="Calibri"/>
                <w:color w:val="000000"/>
                <w:sz w:val="17"/>
                <w:szCs w:val="17"/>
                <w:lang w:eastAsia="fr-FR"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50832007" w14:textId="77777777" w:rsidR="00B046C3" w:rsidRPr="004E13E9" w:rsidRDefault="00B046C3" w:rsidP="000D1853">
            <w:pPr>
              <w:widowControl w:val="0"/>
              <w:jc w:val="center"/>
              <w:rPr>
                <w:rFonts w:eastAsia="Times New Roman" w:cs="Calibri"/>
                <w:color w:val="000000"/>
                <w:sz w:val="17"/>
                <w:szCs w:val="17"/>
                <w:lang w:eastAsia="fr-FR" w:bidi="fr-FR"/>
              </w:rPr>
            </w:pPr>
            <w:r w:rsidRPr="004E13E9">
              <w:rPr>
                <w:rFonts w:eastAsia="MS Gothic" w:cs="Times New Roman"/>
                <w:color w:val="000000"/>
                <w:sz w:val="17"/>
                <w:szCs w:val="24"/>
                <w:lang w:eastAsia="fr-FR" w:bidi="fr-FR"/>
              </w:rPr>
              <w:t>2006</w:t>
            </w:r>
          </w:p>
        </w:tc>
        <w:tc>
          <w:tcPr>
            <w:tcW w:w="614" w:type="dxa"/>
            <w:tcBorders>
              <w:top w:val="single" w:sz="4" w:space="0" w:color="auto"/>
              <w:left w:val="single" w:sz="4" w:space="0" w:color="auto"/>
              <w:bottom w:val="single" w:sz="4" w:space="0" w:color="auto"/>
              <w:right w:val="single" w:sz="4" w:space="0" w:color="auto"/>
            </w:tcBorders>
            <w:vAlign w:val="center"/>
            <w:hideMark/>
          </w:tcPr>
          <w:p w14:paraId="51708183" w14:textId="77777777" w:rsidR="00B046C3" w:rsidRPr="004E13E9" w:rsidRDefault="00B046C3" w:rsidP="000D1853">
            <w:pPr>
              <w:widowControl w:val="0"/>
              <w:jc w:val="center"/>
              <w:rPr>
                <w:rFonts w:eastAsia="Times New Roman" w:cs="Calibri"/>
                <w:color w:val="000000"/>
                <w:sz w:val="17"/>
                <w:szCs w:val="17"/>
                <w:lang w:eastAsia="fr-FR" w:bidi="fr-FR"/>
              </w:rPr>
            </w:pPr>
            <w:r w:rsidRPr="004E13E9">
              <w:rPr>
                <w:rFonts w:eastAsia="MS Gothic" w:cs="Times New Roman"/>
                <w:color w:val="000000"/>
                <w:sz w:val="17"/>
                <w:szCs w:val="24"/>
                <w:lang w:eastAsia="fr-FR" w:bidi="fr-FR"/>
              </w:rPr>
              <w:t>2008</w:t>
            </w:r>
          </w:p>
        </w:tc>
        <w:tc>
          <w:tcPr>
            <w:tcW w:w="614" w:type="dxa"/>
            <w:tcBorders>
              <w:top w:val="single" w:sz="4" w:space="0" w:color="auto"/>
              <w:left w:val="single" w:sz="4" w:space="0" w:color="auto"/>
              <w:bottom w:val="single" w:sz="4" w:space="0" w:color="auto"/>
              <w:right w:val="single" w:sz="4" w:space="0" w:color="auto"/>
            </w:tcBorders>
            <w:vAlign w:val="center"/>
            <w:hideMark/>
          </w:tcPr>
          <w:p w14:paraId="642557AD" w14:textId="77777777" w:rsidR="00B046C3" w:rsidRPr="004E13E9" w:rsidRDefault="00B046C3" w:rsidP="000D1853">
            <w:pPr>
              <w:widowControl w:val="0"/>
              <w:jc w:val="center"/>
              <w:rPr>
                <w:rFonts w:eastAsia="Times New Roman" w:cs="Calibri"/>
                <w:color w:val="000000"/>
                <w:sz w:val="17"/>
                <w:szCs w:val="17"/>
                <w:lang w:eastAsia="fr-FR" w:bidi="fr-FR"/>
              </w:rPr>
            </w:pPr>
            <w:r w:rsidRPr="004E13E9">
              <w:rPr>
                <w:rFonts w:eastAsia="MS Gothic" w:cs="Times New Roman"/>
                <w:color w:val="000000"/>
                <w:sz w:val="17"/>
                <w:szCs w:val="24"/>
                <w:lang w:eastAsia="fr-FR" w:bidi="fr-FR"/>
              </w:rPr>
              <w:t>2018</w:t>
            </w:r>
          </w:p>
        </w:tc>
        <w:tc>
          <w:tcPr>
            <w:tcW w:w="904" w:type="dxa"/>
            <w:tcBorders>
              <w:top w:val="single" w:sz="4" w:space="0" w:color="auto"/>
              <w:left w:val="single" w:sz="4" w:space="0" w:color="auto"/>
              <w:bottom w:val="single" w:sz="4" w:space="0" w:color="auto"/>
              <w:right w:val="single" w:sz="4" w:space="0" w:color="auto"/>
            </w:tcBorders>
            <w:vAlign w:val="center"/>
            <w:hideMark/>
          </w:tcPr>
          <w:p w14:paraId="07A186EE" w14:textId="77777777" w:rsidR="00B046C3" w:rsidRPr="004E13E9" w:rsidRDefault="00B046C3" w:rsidP="000D1853">
            <w:pPr>
              <w:widowControl w:val="0"/>
              <w:jc w:val="center"/>
              <w:rPr>
                <w:rFonts w:eastAsia="Times New Roman" w:cs="Calibri"/>
                <w:color w:val="000000"/>
                <w:sz w:val="17"/>
                <w:szCs w:val="17"/>
                <w:lang w:eastAsia="fr-FR" w:bidi="fr-FR"/>
              </w:rPr>
            </w:pPr>
            <w:r w:rsidRPr="004E13E9">
              <w:rPr>
                <w:rFonts w:eastAsia="MS Gothic" w:cs="Times New Roman"/>
                <w:color w:val="000000"/>
                <w:sz w:val="17"/>
                <w:szCs w:val="24"/>
                <w:lang w:eastAsia="fr-FR" w:bidi="fr-FR"/>
              </w:rPr>
              <w:t>2023</w:t>
            </w:r>
          </w:p>
        </w:tc>
        <w:tc>
          <w:tcPr>
            <w:tcW w:w="849" w:type="dxa"/>
            <w:tcBorders>
              <w:top w:val="single" w:sz="4" w:space="0" w:color="auto"/>
              <w:left w:val="single" w:sz="4" w:space="0" w:color="auto"/>
              <w:bottom w:val="single" w:sz="4" w:space="0" w:color="auto"/>
              <w:right w:val="single" w:sz="4" w:space="0" w:color="auto"/>
            </w:tcBorders>
            <w:vAlign w:val="center"/>
            <w:hideMark/>
          </w:tcPr>
          <w:p w14:paraId="5AC20E55" w14:textId="77777777" w:rsidR="00B046C3" w:rsidRPr="004E13E9" w:rsidRDefault="00B046C3" w:rsidP="000D1853">
            <w:pPr>
              <w:widowControl w:val="0"/>
              <w:jc w:val="center"/>
              <w:rPr>
                <w:rFonts w:eastAsia="Times New Roman" w:cs="Calibri"/>
                <w:color w:val="000000"/>
                <w:sz w:val="17"/>
                <w:szCs w:val="17"/>
                <w:lang w:eastAsia="fr-FR" w:bidi="fr-FR"/>
              </w:rPr>
            </w:pPr>
            <w:r w:rsidRPr="004E13E9">
              <w:rPr>
                <w:rFonts w:eastAsia="MS Gothic" w:cs="Times New Roman"/>
                <w:color w:val="000000"/>
                <w:sz w:val="17"/>
                <w:szCs w:val="24"/>
                <w:lang w:eastAsia="fr-FR" w:bidi="fr-FR"/>
              </w:rPr>
              <w:t>2024</w:t>
            </w:r>
          </w:p>
        </w:tc>
        <w:tc>
          <w:tcPr>
            <w:tcW w:w="850" w:type="dxa"/>
            <w:tcBorders>
              <w:top w:val="single" w:sz="4" w:space="0" w:color="auto"/>
              <w:left w:val="single" w:sz="4" w:space="0" w:color="auto"/>
              <w:bottom w:val="single" w:sz="4" w:space="0" w:color="auto"/>
              <w:right w:val="single" w:sz="4" w:space="0" w:color="auto"/>
            </w:tcBorders>
            <w:vAlign w:val="center"/>
            <w:hideMark/>
          </w:tcPr>
          <w:p w14:paraId="61ACC3B8" w14:textId="77777777" w:rsidR="00B046C3" w:rsidRPr="004E13E9" w:rsidRDefault="00B046C3" w:rsidP="000D1853">
            <w:pPr>
              <w:widowControl w:val="0"/>
              <w:jc w:val="center"/>
              <w:rPr>
                <w:rFonts w:eastAsia="Times New Roman" w:cs="Calibri"/>
                <w:color w:val="000000"/>
                <w:sz w:val="17"/>
                <w:szCs w:val="17"/>
                <w:lang w:eastAsia="fr-FR" w:bidi="fr-FR"/>
              </w:rPr>
            </w:pPr>
            <w:r w:rsidRPr="004E13E9">
              <w:rPr>
                <w:rFonts w:eastAsia="MS Gothic" w:cs="Times New Roman"/>
                <w:color w:val="000000"/>
                <w:sz w:val="17"/>
                <w:szCs w:val="24"/>
                <w:lang w:eastAsia="fr-FR" w:bidi="fr-FR"/>
              </w:rPr>
              <w:t>2025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DD58D0" w14:textId="77777777" w:rsidR="00B046C3" w:rsidRPr="004E13E9" w:rsidRDefault="00B046C3" w:rsidP="000D1853">
            <w:pPr>
              <w:widowControl w:val="0"/>
              <w:jc w:val="center"/>
              <w:rPr>
                <w:rFonts w:eastAsia="Times New Roman" w:cs="Calibri"/>
                <w:color w:val="000000"/>
                <w:sz w:val="17"/>
                <w:szCs w:val="17"/>
                <w:lang w:eastAsia="fr-FR" w:bidi="fr-FR"/>
              </w:rPr>
            </w:pPr>
            <w:r w:rsidRPr="004E13E9">
              <w:rPr>
                <w:rFonts w:eastAsia="MS Gothic" w:cs="Times New Roman"/>
                <w:color w:val="000000"/>
                <w:sz w:val="17"/>
                <w:szCs w:val="24"/>
                <w:lang w:eastAsia="fr-FR" w:bidi="fr-FR"/>
              </w:rPr>
              <w:t>2026</w:t>
            </w:r>
          </w:p>
        </w:tc>
      </w:tr>
      <w:tr w:rsidR="00B046C3" w:rsidRPr="004E13E9" w14:paraId="20468C2A"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15A88972" w14:textId="77777777" w:rsidR="00B046C3" w:rsidRPr="004E13E9" w:rsidRDefault="00B046C3" w:rsidP="000D1853">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Senneur de plus de 40 m</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DAD9F32"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70,66</w:t>
            </w:r>
          </w:p>
        </w:tc>
        <w:tc>
          <w:tcPr>
            <w:tcW w:w="708" w:type="dxa"/>
            <w:tcBorders>
              <w:top w:val="single" w:sz="4" w:space="0" w:color="auto"/>
              <w:left w:val="single" w:sz="4" w:space="0" w:color="auto"/>
              <w:bottom w:val="single" w:sz="4" w:space="0" w:color="auto"/>
              <w:right w:val="single" w:sz="4" w:space="0" w:color="auto"/>
            </w:tcBorders>
          </w:tcPr>
          <w:p w14:paraId="08C137A1"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77FD5B4"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E365FC2"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704A1F9"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1</w:t>
            </w:r>
          </w:p>
        </w:tc>
        <w:tc>
          <w:tcPr>
            <w:tcW w:w="611" w:type="dxa"/>
            <w:tcBorders>
              <w:top w:val="single" w:sz="4" w:space="0" w:color="auto"/>
              <w:left w:val="single" w:sz="4" w:space="0" w:color="auto"/>
              <w:bottom w:val="single" w:sz="4" w:space="0" w:color="auto"/>
              <w:right w:val="single" w:sz="4" w:space="0" w:color="auto"/>
            </w:tcBorders>
            <w:vAlign w:val="center"/>
            <w:hideMark/>
          </w:tcPr>
          <w:p w14:paraId="57C670BF"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1</w:t>
            </w:r>
          </w:p>
        </w:tc>
        <w:tc>
          <w:tcPr>
            <w:tcW w:w="614" w:type="dxa"/>
            <w:tcBorders>
              <w:top w:val="single" w:sz="4" w:space="0" w:color="auto"/>
              <w:left w:val="single" w:sz="4" w:space="0" w:color="auto"/>
              <w:bottom w:val="single" w:sz="4" w:space="0" w:color="auto"/>
              <w:right w:val="single" w:sz="4" w:space="0" w:color="auto"/>
            </w:tcBorders>
            <w:vAlign w:val="center"/>
            <w:hideMark/>
          </w:tcPr>
          <w:p w14:paraId="72E03E6D"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1</w:t>
            </w:r>
          </w:p>
        </w:tc>
        <w:tc>
          <w:tcPr>
            <w:tcW w:w="614" w:type="dxa"/>
            <w:tcBorders>
              <w:top w:val="single" w:sz="4" w:space="0" w:color="auto"/>
              <w:left w:val="single" w:sz="4" w:space="0" w:color="auto"/>
              <w:bottom w:val="single" w:sz="4" w:space="0" w:color="auto"/>
              <w:right w:val="single" w:sz="4" w:space="0" w:color="auto"/>
            </w:tcBorders>
            <w:vAlign w:val="center"/>
            <w:hideMark/>
          </w:tcPr>
          <w:p w14:paraId="1FC7E325"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1</w:t>
            </w: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261CC8B" w14:textId="77777777" w:rsidR="00B046C3" w:rsidRPr="004E13E9" w:rsidRDefault="00B046C3" w:rsidP="000D1853">
            <w:pPr>
              <w:widowControl w:val="0"/>
              <w:jc w:val="both"/>
              <w:rPr>
                <w:rFonts w:eastAsia="Times New Roman" w:cs="Calibri"/>
                <w:color w:val="000000"/>
                <w:sz w:val="18"/>
                <w:szCs w:val="18"/>
                <w:lang w:eastAsia="fr-FR"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0CF0E2FD"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1040CC5E"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20ECFE6D"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70,7</w:t>
            </w:r>
          </w:p>
        </w:tc>
        <w:tc>
          <w:tcPr>
            <w:tcW w:w="904" w:type="dxa"/>
            <w:tcBorders>
              <w:top w:val="single" w:sz="4" w:space="0" w:color="auto"/>
              <w:left w:val="single" w:sz="4" w:space="0" w:color="auto"/>
              <w:bottom w:val="single" w:sz="4" w:space="0" w:color="auto"/>
              <w:right w:val="single" w:sz="4" w:space="0" w:color="auto"/>
            </w:tcBorders>
            <w:vAlign w:val="center"/>
            <w:hideMark/>
          </w:tcPr>
          <w:p w14:paraId="3EE971FE"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70,7</w:t>
            </w:r>
          </w:p>
        </w:tc>
        <w:tc>
          <w:tcPr>
            <w:tcW w:w="849" w:type="dxa"/>
            <w:tcBorders>
              <w:top w:val="single" w:sz="4" w:space="0" w:color="auto"/>
              <w:left w:val="single" w:sz="4" w:space="0" w:color="auto"/>
              <w:bottom w:val="single" w:sz="4" w:space="0" w:color="auto"/>
              <w:right w:val="single" w:sz="4" w:space="0" w:color="auto"/>
            </w:tcBorders>
            <w:vAlign w:val="center"/>
            <w:hideMark/>
          </w:tcPr>
          <w:p w14:paraId="1CC6E150"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70,7</w:t>
            </w:r>
          </w:p>
        </w:tc>
        <w:tc>
          <w:tcPr>
            <w:tcW w:w="850" w:type="dxa"/>
            <w:tcBorders>
              <w:top w:val="single" w:sz="4" w:space="0" w:color="auto"/>
              <w:left w:val="single" w:sz="4" w:space="0" w:color="auto"/>
              <w:bottom w:val="single" w:sz="4" w:space="0" w:color="auto"/>
              <w:right w:val="single" w:sz="4" w:space="0" w:color="auto"/>
            </w:tcBorders>
            <w:vAlign w:val="center"/>
            <w:hideMark/>
          </w:tcPr>
          <w:p w14:paraId="14BE6AD8"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70,7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159D75"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70,7</w:t>
            </w:r>
          </w:p>
        </w:tc>
      </w:tr>
      <w:tr w:rsidR="00B046C3" w:rsidRPr="004E13E9" w14:paraId="021B9DBE"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4D7BE7FF" w14:textId="77777777" w:rsidR="00B046C3" w:rsidRPr="004E13E9" w:rsidRDefault="00B046C3" w:rsidP="000D1853">
            <w:pPr>
              <w:widowControl w:val="0"/>
              <w:jc w:val="both"/>
              <w:rPr>
                <w:rFonts w:eastAsia="Times New Roman" w:cs="Calibri"/>
                <w:color w:val="000000"/>
                <w:sz w:val="18"/>
                <w:szCs w:val="18"/>
                <w:lang w:eastAsia="fr-FR" w:bidi="fr-FR"/>
              </w:rPr>
            </w:pPr>
            <w:proofErr w:type="spellStart"/>
            <w:r w:rsidRPr="004E13E9">
              <w:rPr>
                <w:rFonts w:eastAsia="MS Gothic" w:cs="Times New Roman"/>
                <w:color w:val="000000"/>
                <w:sz w:val="18"/>
                <w:szCs w:val="24"/>
                <w:lang w:eastAsia="fr-FR" w:bidi="fr-FR"/>
              </w:rPr>
              <w:t>Senneur</w:t>
            </w:r>
            <w:proofErr w:type="spellEnd"/>
            <w:r w:rsidRPr="004E13E9">
              <w:rPr>
                <w:rFonts w:eastAsia="MS Gothic" w:cs="Times New Roman"/>
                <w:color w:val="000000"/>
                <w:sz w:val="18"/>
                <w:szCs w:val="24"/>
                <w:lang w:eastAsia="fr-FR" w:bidi="fr-FR"/>
              </w:rPr>
              <w:t xml:space="preserve"> entre 24 et 40 m</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257FF914"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49,78</w:t>
            </w:r>
          </w:p>
        </w:tc>
        <w:tc>
          <w:tcPr>
            <w:tcW w:w="708" w:type="dxa"/>
            <w:tcBorders>
              <w:top w:val="single" w:sz="4" w:space="0" w:color="auto"/>
              <w:left w:val="single" w:sz="4" w:space="0" w:color="auto"/>
              <w:bottom w:val="single" w:sz="4" w:space="0" w:color="auto"/>
              <w:right w:val="single" w:sz="4" w:space="0" w:color="auto"/>
            </w:tcBorders>
          </w:tcPr>
          <w:p w14:paraId="39834D22"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D32D529"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2286E7F" w14:textId="77777777" w:rsidR="00B046C3" w:rsidRPr="004E13E9" w:rsidRDefault="00B046C3" w:rsidP="000D1853">
            <w:pPr>
              <w:rPr>
                <w:rFonts w:eastAsia="MS Gothic" w:cs="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423C77F"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1</w:t>
            </w:r>
          </w:p>
        </w:tc>
        <w:tc>
          <w:tcPr>
            <w:tcW w:w="611" w:type="dxa"/>
            <w:tcBorders>
              <w:top w:val="single" w:sz="4" w:space="0" w:color="auto"/>
              <w:left w:val="single" w:sz="4" w:space="0" w:color="auto"/>
              <w:bottom w:val="single" w:sz="4" w:space="0" w:color="auto"/>
              <w:right w:val="single" w:sz="4" w:space="0" w:color="auto"/>
            </w:tcBorders>
            <w:vAlign w:val="center"/>
            <w:hideMark/>
          </w:tcPr>
          <w:p w14:paraId="6BA8FFF1"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1</w:t>
            </w:r>
          </w:p>
        </w:tc>
        <w:tc>
          <w:tcPr>
            <w:tcW w:w="614" w:type="dxa"/>
            <w:tcBorders>
              <w:top w:val="single" w:sz="4" w:space="0" w:color="auto"/>
              <w:left w:val="single" w:sz="4" w:space="0" w:color="auto"/>
              <w:bottom w:val="single" w:sz="4" w:space="0" w:color="auto"/>
              <w:right w:val="single" w:sz="4" w:space="0" w:color="auto"/>
            </w:tcBorders>
            <w:vAlign w:val="center"/>
            <w:hideMark/>
          </w:tcPr>
          <w:p w14:paraId="4D6FB237"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1</w:t>
            </w:r>
          </w:p>
        </w:tc>
        <w:tc>
          <w:tcPr>
            <w:tcW w:w="614" w:type="dxa"/>
            <w:tcBorders>
              <w:top w:val="single" w:sz="4" w:space="0" w:color="auto"/>
              <w:left w:val="single" w:sz="4" w:space="0" w:color="auto"/>
              <w:bottom w:val="single" w:sz="4" w:space="0" w:color="auto"/>
              <w:right w:val="single" w:sz="4" w:space="0" w:color="auto"/>
            </w:tcBorders>
            <w:vAlign w:val="center"/>
            <w:hideMark/>
          </w:tcPr>
          <w:p w14:paraId="5114D6F3"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1</w:t>
            </w: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787027E" w14:textId="77777777" w:rsidR="00B046C3" w:rsidRPr="004E13E9" w:rsidRDefault="00B046C3" w:rsidP="000D1853">
            <w:pPr>
              <w:widowControl w:val="0"/>
              <w:jc w:val="both"/>
              <w:rPr>
                <w:rFonts w:eastAsia="Times New Roman" w:cs="Calibri"/>
                <w:color w:val="000000"/>
                <w:sz w:val="18"/>
                <w:szCs w:val="18"/>
                <w:lang w:eastAsia="fr-FR"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017769EE"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5D276DE1"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4CAF4733" w14:textId="77777777" w:rsidR="00B046C3" w:rsidRPr="004E13E9" w:rsidRDefault="00B046C3" w:rsidP="000D1853">
            <w:pPr>
              <w:rPr>
                <w:rFonts w:eastAsia="MS Gothic" w:cs="Times New Roman"/>
              </w:rPr>
            </w:pPr>
          </w:p>
        </w:tc>
        <w:tc>
          <w:tcPr>
            <w:tcW w:w="904" w:type="dxa"/>
            <w:tcBorders>
              <w:top w:val="single" w:sz="4" w:space="0" w:color="auto"/>
              <w:left w:val="single" w:sz="4" w:space="0" w:color="auto"/>
              <w:bottom w:val="single" w:sz="4" w:space="0" w:color="auto"/>
              <w:right w:val="single" w:sz="4" w:space="0" w:color="auto"/>
            </w:tcBorders>
            <w:vAlign w:val="center"/>
            <w:hideMark/>
          </w:tcPr>
          <w:p w14:paraId="7B4B5B7F"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49,78</w:t>
            </w:r>
          </w:p>
        </w:tc>
        <w:tc>
          <w:tcPr>
            <w:tcW w:w="849" w:type="dxa"/>
            <w:tcBorders>
              <w:top w:val="single" w:sz="4" w:space="0" w:color="auto"/>
              <w:left w:val="single" w:sz="4" w:space="0" w:color="auto"/>
              <w:bottom w:val="single" w:sz="4" w:space="0" w:color="auto"/>
              <w:right w:val="single" w:sz="4" w:space="0" w:color="auto"/>
            </w:tcBorders>
            <w:vAlign w:val="center"/>
            <w:hideMark/>
          </w:tcPr>
          <w:p w14:paraId="15020D87"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49,78</w:t>
            </w:r>
          </w:p>
        </w:tc>
        <w:tc>
          <w:tcPr>
            <w:tcW w:w="850" w:type="dxa"/>
            <w:tcBorders>
              <w:top w:val="single" w:sz="4" w:space="0" w:color="auto"/>
              <w:left w:val="single" w:sz="4" w:space="0" w:color="auto"/>
              <w:bottom w:val="single" w:sz="4" w:space="0" w:color="auto"/>
              <w:right w:val="single" w:sz="4" w:space="0" w:color="auto"/>
            </w:tcBorders>
            <w:vAlign w:val="center"/>
            <w:hideMark/>
          </w:tcPr>
          <w:p w14:paraId="0ACDA739"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49,78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94EB82"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49,78</w:t>
            </w:r>
          </w:p>
        </w:tc>
      </w:tr>
      <w:tr w:rsidR="00B046C3" w:rsidRPr="004E13E9" w14:paraId="11C2E4D8"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787F2862" w14:textId="77777777" w:rsidR="00B046C3" w:rsidRPr="004E13E9" w:rsidRDefault="00B046C3" w:rsidP="000D1853">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Senneur de moins de 24m</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413D37CE"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33,68</w:t>
            </w:r>
          </w:p>
        </w:tc>
        <w:tc>
          <w:tcPr>
            <w:tcW w:w="708" w:type="dxa"/>
            <w:tcBorders>
              <w:top w:val="single" w:sz="4" w:space="0" w:color="auto"/>
              <w:left w:val="single" w:sz="4" w:space="0" w:color="auto"/>
              <w:bottom w:val="single" w:sz="4" w:space="0" w:color="auto"/>
              <w:right w:val="single" w:sz="4" w:space="0" w:color="auto"/>
            </w:tcBorders>
          </w:tcPr>
          <w:p w14:paraId="6492C282"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6D3CEBE9"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5333F0E" w14:textId="77777777" w:rsidR="00B046C3" w:rsidRPr="004E13E9" w:rsidRDefault="00B046C3" w:rsidP="000D1853">
            <w:pPr>
              <w:rPr>
                <w:rFonts w:eastAsia="MS Gothic" w:cs="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A06EE34" w14:textId="77777777" w:rsidR="00B046C3" w:rsidRPr="004E13E9" w:rsidRDefault="00B046C3" w:rsidP="000D1853">
            <w:pPr>
              <w:rPr>
                <w:rFonts w:eastAsia="MS Gothic" w:cs="Times New Roman"/>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66ED0CDE" w14:textId="77777777" w:rsidR="00B046C3" w:rsidRPr="004E13E9" w:rsidRDefault="00B046C3" w:rsidP="000D1853">
            <w:pPr>
              <w:rPr>
                <w:rFonts w:eastAsia="MS Gothic" w:cs="Times New Roman"/>
              </w:rPr>
            </w:pPr>
          </w:p>
        </w:tc>
        <w:tc>
          <w:tcPr>
            <w:tcW w:w="614" w:type="dxa"/>
            <w:tcBorders>
              <w:top w:val="single" w:sz="4" w:space="0" w:color="auto"/>
              <w:left w:val="single" w:sz="4" w:space="0" w:color="auto"/>
              <w:bottom w:val="single" w:sz="4" w:space="0" w:color="auto"/>
              <w:right w:val="single" w:sz="4" w:space="0" w:color="auto"/>
            </w:tcBorders>
            <w:vAlign w:val="center"/>
          </w:tcPr>
          <w:p w14:paraId="2F138188"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1A5D12EE"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FABE3BD"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004CBB1B"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1AB2AE96"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53E077AD" w14:textId="77777777" w:rsidR="00B046C3" w:rsidRPr="004E13E9" w:rsidRDefault="00B046C3" w:rsidP="000D1853">
            <w:pPr>
              <w:rPr>
                <w:rFonts w:eastAsia="MS Gothic" w:cs="Times New Roman"/>
              </w:rPr>
            </w:pPr>
          </w:p>
        </w:tc>
        <w:tc>
          <w:tcPr>
            <w:tcW w:w="904" w:type="dxa"/>
            <w:tcBorders>
              <w:top w:val="single" w:sz="4" w:space="0" w:color="auto"/>
              <w:left w:val="single" w:sz="4" w:space="0" w:color="auto"/>
              <w:bottom w:val="single" w:sz="4" w:space="0" w:color="auto"/>
              <w:right w:val="single" w:sz="4" w:space="0" w:color="auto"/>
            </w:tcBorders>
            <w:vAlign w:val="center"/>
            <w:hideMark/>
          </w:tcPr>
          <w:p w14:paraId="655BFF23" w14:textId="77777777" w:rsidR="00B046C3" w:rsidRPr="004E13E9" w:rsidRDefault="00B046C3" w:rsidP="000D1853">
            <w:pPr>
              <w:rPr>
                <w:rFonts w:eastAsia="MS Gothic" w:cs="Times New Roman"/>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1557D302" w14:textId="77777777" w:rsidR="00B046C3" w:rsidRPr="004E13E9" w:rsidRDefault="00B046C3" w:rsidP="000D1853">
            <w:pPr>
              <w:rPr>
                <w:rFonts w:eastAsia="MS Gothic" w:cs="Times New Roman"/>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6546BFC7" w14:textId="77777777" w:rsidR="00B046C3" w:rsidRPr="004E13E9" w:rsidRDefault="00B046C3" w:rsidP="000D1853">
            <w:pPr>
              <w:rPr>
                <w:rFonts w:eastAsia="MS Gothic"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66381D24" w14:textId="77777777" w:rsidR="00B046C3" w:rsidRPr="004E13E9" w:rsidRDefault="00B046C3" w:rsidP="000D1853">
            <w:pPr>
              <w:widowControl w:val="0"/>
              <w:jc w:val="center"/>
              <w:rPr>
                <w:rFonts w:eastAsia="Times New Roman" w:cs="Calibri"/>
                <w:color w:val="000000"/>
                <w:sz w:val="18"/>
                <w:szCs w:val="18"/>
                <w:lang w:eastAsia="ja-JP" w:bidi="fr-FR"/>
              </w:rPr>
            </w:pPr>
          </w:p>
        </w:tc>
      </w:tr>
      <w:tr w:rsidR="00B046C3" w:rsidRPr="004E13E9" w14:paraId="0D4FE858"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7CD1E21F" w14:textId="77777777" w:rsidR="00B046C3" w:rsidRPr="004E13E9" w:rsidRDefault="00B046C3" w:rsidP="000D1853">
            <w:pPr>
              <w:widowControl w:val="0"/>
              <w:jc w:val="both"/>
              <w:rPr>
                <w:rFonts w:eastAsia="Times New Roman" w:cs="Calibri"/>
                <w:b/>
                <w:bCs/>
                <w:color w:val="000000"/>
                <w:sz w:val="18"/>
                <w:szCs w:val="18"/>
                <w:lang w:eastAsia="fr-FR" w:bidi="fr-FR"/>
              </w:rPr>
            </w:pPr>
            <w:proofErr w:type="spellStart"/>
            <w:r w:rsidRPr="004E13E9">
              <w:rPr>
                <w:rFonts w:eastAsia="MS Gothic" w:cs="Times New Roman"/>
                <w:b/>
                <w:color w:val="000000"/>
                <w:sz w:val="18"/>
                <w:szCs w:val="24"/>
                <w:lang w:eastAsia="fr-FR" w:bidi="fr-FR"/>
              </w:rPr>
              <w:t>Flottille</w:t>
            </w:r>
            <w:proofErr w:type="spellEnd"/>
            <w:r w:rsidRPr="004E13E9">
              <w:rPr>
                <w:rFonts w:eastAsia="MS Gothic" w:cs="Times New Roman"/>
                <w:b/>
                <w:color w:val="000000"/>
                <w:sz w:val="18"/>
                <w:szCs w:val="24"/>
                <w:lang w:eastAsia="fr-FR" w:bidi="fr-FR"/>
              </w:rPr>
              <w:t xml:space="preserve"> totale de </w:t>
            </w:r>
            <w:proofErr w:type="spellStart"/>
            <w:r w:rsidRPr="004E13E9">
              <w:rPr>
                <w:rFonts w:eastAsia="MS Gothic" w:cs="Times New Roman"/>
                <w:b/>
                <w:color w:val="000000"/>
                <w:sz w:val="18"/>
                <w:szCs w:val="24"/>
                <w:lang w:eastAsia="fr-FR" w:bidi="fr-FR"/>
              </w:rPr>
              <w:t>senneurs</w:t>
            </w:r>
            <w:proofErr w:type="spellEnd"/>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1ADCAD2F" w14:textId="77777777" w:rsidR="00B046C3" w:rsidRPr="004E13E9" w:rsidRDefault="00B046C3" w:rsidP="000D1853">
            <w:pPr>
              <w:widowControl w:val="0"/>
              <w:jc w:val="both"/>
              <w:rPr>
                <w:rFonts w:eastAsia="Times New Roman" w:cs="Times New Roman"/>
                <w:color w:val="000000"/>
                <w:sz w:val="18"/>
                <w:szCs w:val="18"/>
                <w:lang w:eastAsia="fr-FR" w:bidi="fr-FR"/>
              </w:rPr>
            </w:pPr>
            <w:r w:rsidRPr="004E13E9">
              <w:rPr>
                <w:rFonts w:eastAsia="MS Gothic" w:cs="Times New Roman"/>
                <w:color w:val="000000"/>
                <w:sz w:val="18"/>
                <w:szCs w:val="24"/>
                <w:lang w:eastAsia="fr-FR" w:bidi="fr-FR"/>
              </w:rPr>
              <w:t> </w:t>
            </w:r>
          </w:p>
        </w:tc>
        <w:tc>
          <w:tcPr>
            <w:tcW w:w="708" w:type="dxa"/>
            <w:tcBorders>
              <w:top w:val="single" w:sz="4" w:space="0" w:color="auto"/>
              <w:left w:val="single" w:sz="4" w:space="0" w:color="auto"/>
              <w:bottom w:val="single" w:sz="4" w:space="0" w:color="auto"/>
              <w:right w:val="single" w:sz="4" w:space="0" w:color="auto"/>
            </w:tcBorders>
          </w:tcPr>
          <w:p w14:paraId="1EECA989"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830AEDA"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EB0E956" w14:textId="77777777" w:rsidR="00B046C3" w:rsidRPr="004E13E9" w:rsidRDefault="00B046C3" w:rsidP="000D1853">
            <w:pPr>
              <w:rPr>
                <w:rFonts w:eastAsia="MS Gothic" w:cs="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3F48A17" w14:textId="77777777" w:rsidR="00B046C3" w:rsidRPr="004E13E9" w:rsidRDefault="00B046C3" w:rsidP="000D1853">
            <w:pPr>
              <w:rPr>
                <w:rFonts w:eastAsia="MS Gothic" w:cs="Times New Roman"/>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37628C51" w14:textId="77777777" w:rsidR="00B046C3" w:rsidRPr="004E13E9" w:rsidRDefault="00B046C3" w:rsidP="000D1853">
            <w:pPr>
              <w:rPr>
                <w:rFonts w:eastAsia="MS Gothic" w:cs="Times New Roman"/>
              </w:rPr>
            </w:pPr>
          </w:p>
        </w:tc>
        <w:tc>
          <w:tcPr>
            <w:tcW w:w="614" w:type="dxa"/>
            <w:tcBorders>
              <w:top w:val="single" w:sz="4" w:space="0" w:color="auto"/>
              <w:left w:val="single" w:sz="4" w:space="0" w:color="auto"/>
              <w:bottom w:val="single" w:sz="4" w:space="0" w:color="auto"/>
              <w:right w:val="single" w:sz="4" w:space="0" w:color="auto"/>
            </w:tcBorders>
            <w:vAlign w:val="center"/>
          </w:tcPr>
          <w:p w14:paraId="5AADD1D8"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5958442D"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A3C6417"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69D895DA"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34F9C1AF"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6C882938" w14:textId="77777777" w:rsidR="00B046C3" w:rsidRPr="004E13E9" w:rsidRDefault="00B046C3" w:rsidP="000D1853">
            <w:pPr>
              <w:rPr>
                <w:rFonts w:eastAsia="MS Gothic" w:cs="Times New Roman"/>
              </w:rPr>
            </w:pPr>
          </w:p>
        </w:tc>
        <w:tc>
          <w:tcPr>
            <w:tcW w:w="904" w:type="dxa"/>
            <w:tcBorders>
              <w:top w:val="single" w:sz="4" w:space="0" w:color="auto"/>
              <w:left w:val="single" w:sz="4" w:space="0" w:color="auto"/>
              <w:bottom w:val="single" w:sz="4" w:space="0" w:color="auto"/>
              <w:right w:val="single" w:sz="4" w:space="0" w:color="auto"/>
            </w:tcBorders>
            <w:vAlign w:val="center"/>
            <w:hideMark/>
          </w:tcPr>
          <w:p w14:paraId="3EA23098" w14:textId="77777777" w:rsidR="00B046C3" w:rsidRPr="004E13E9" w:rsidRDefault="00B046C3" w:rsidP="000D1853">
            <w:pPr>
              <w:rPr>
                <w:rFonts w:eastAsia="MS Gothic" w:cs="Times New Roman"/>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6F2F1CBE" w14:textId="77777777" w:rsidR="00B046C3" w:rsidRPr="004E13E9" w:rsidRDefault="00B046C3" w:rsidP="000D1853">
            <w:pPr>
              <w:rPr>
                <w:rFonts w:eastAsia="MS Gothic" w:cs="Times New Roman"/>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D6EA9F1" w14:textId="77777777" w:rsidR="00B046C3" w:rsidRPr="004E13E9" w:rsidRDefault="00B046C3" w:rsidP="000D1853">
            <w:pPr>
              <w:rPr>
                <w:rFonts w:eastAsia="MS Gothic"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197A8BBF" w14:textId="77777777" w:rsidR="00B046C3" w:rsidRPr="004E13E9" w:rsidRDefault="00B046C3" w:rsidP="000D1853">
            <w:pPr>
              <w:widowControl w:val="0"/>
              <w:jc w:val="center"/>
              <w:rPr>
                <w:rFonts w:eastAsia="Times New Roman" w:cs="Calibri"/>
                <w:b/>
                <w:bCs/>
                <w:color w:val="000000"/>
                <w:sz w:val="18"/>
                <w:szCs w:val="18"/>
                <w:lang w:eastAsia="ja-JP" w:bidi="fr-FR"/>
              </w:rPr>
            </w:pPr>
          </w:p>
        </w:tc>
      </w:tr>
      <w:tr w:rsidR="00B046C3" w:rsidRPr="004E13E9" w14:paraId="692ADB79"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4D913629" w14:textId="77777777" w:rsidR="00B046C3" w:rsidRPr="004E13E9" w:rsidRDefault="00B046C3" w:rsidP="000D1853">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Palangrier de plus de 40 m</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56D79397"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25</w:t>
            </w:r>
          </w:p>
        </w:tc>
        <w:tc>
          <w:tcPr>
            <w:tcW w:w="708" w:type="dxa"/>
            <w:tcBorders>
              <w:top w:val="single" w:sz="4" w:space="0" w:color="auto"/>
              <w:left w:val="single" w:sz="4" w:space="0" w:color="auto"/>
              <w:bottom w:val="single" w:sz="4" w:space="0" w:color="auto"/>
              <w:right w:val="single" w:sz="4" w:space="0" w:color="auto"/>
            </w:tcBorders>
          </w:tcPr>
          <w:p w14:paraId="2745F9C0"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28AF1D3"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76BF288" w14:textId="77777777" w:rsidR="00B046C3" w:rsidRPr="004E13E9" w:rsidRDefault="00B046C3" w:rsidP="000D1853">
            <w:pPr>
              <w:rPr>
                <w:rFonts w:eastAsia="MS Gothic" w:cs="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344452A" w14:textId="77777777" w:rsidR="00B046C3" w:rsidRPr="004E13E9" w:rsidRDefault="00B046C3" w:rsidP="000D1853">
            <w:pPr>
              <w:rPr>
                <w:rFonts w:eastAsia="MS Gothic" w:cs="Times New Roman"/>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5D1E3C77" w14:textId="77777777" w:rsidR="00B046C3" w:rsidRPr="004E13E9" w:rsidRDefault="00B046C3" w:rsidP="000D1853">
            <w:pPr>
              <w:rPr>
                <w:rFonts w:eastAsia="MS Gothic" w:cs="Times New Roman"/>
              </w:rPr>
            </w:pPr>
          </w:p>
        </w:tc>
        <w:tc>
          <w:tcPr>
            <w:tcW w:w="614" w:type="dxa"/>
            <w:tcBorders>
              <w:top w:val="single" w:sz="4" w:space="0" w:color="auto"/>
              <w:left w:val="single" w:sz="4" w:space="0" w:color="auto"/>
              <w:bottom w:val="single" w:sz="4" w:space="0" w:color="auto"/>
              <w:right w:val="single" w:sz="4" w:space="0" w:color="auto"/>
            </w:tcBorders>
            <w:vAlign w:val="center"/>
          </w:tcPr>
          <w:p w14:paraId="6C0283C2"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3785A436"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CF9737A"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28CFCA37"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468D70FA"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3B340E39" w14:textId="77777777" w:rsidR="00B046C3" w:rsidRPr="004E13E9" w:rsidRDefault="00B046C3" w:rsidP="000D1853">
            <w:pPr>
              <w:rPr>
                <w:rFonts w:eastAsia="MS Gothic" w:cs="Times New Roman"/>
              </w:rPr>
            </w:pPr>
          </w:p>
        </w:tc>
        <w:tc>
          <w:tcPr>
            <w:tcW w:w="904" w:type="dxa"/>
            <w:tcBorders>
              <w:top w:val="single" w:sz="4" w:space="0" w:color="auto"/>
              <w:left w:val="single" w:sz="4" w:space="0" w:color="auto"/>
              <w:bottom w:val="single" w:sz="4" w:space="0" w:color="auto"/>
              <w:right w:val="single" w:sz="4" w:space="0" w:color="auto"/>
            </w:tcBorders>
            <w:vAlign w:val="center"/>
            <w:hideMark/>
          </w:tcPr>
          <w:p w14:paraId="57126DA8" w14:textId="77777777" w:rsidR="00B046C3" w:rsidRPr="004E13E9" w:rsidRDefault="00B046C3" w:rsidP="000D1853">
            <w:pPr>
              <w:rPr>
                <w:rFonts w:eastAsia="MS Gothic" w:cs="Times New Roman"/>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7905B4C6" w14:textId="77777777" w:rsidR="00B046C3" w:rsidRPr="004E13E9" w:rsidRDefault="00B046C3" w:rsidP="000D1853">
            <w:pPr>
              <w:rPr>
                <w:rFonts w:eastAsia="MS Gothic" w:cs="Times New Roman"/>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6AF4FB99" w14:textId="77777777" w:rsidR="00B046C3" w:rsidRPr="004E13E9" w:rsidRDefault="00B046C3" w:rsidP="000D1853">
            <w:pPr>
              <w:rPr>
                <w:rFonts w:eastAsia="MS Gothic"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53651D88" w14:textId="77777777" w:rsidR="00B046C3" w:rsidRPr="004E13E9" w:rsidRDefault="00B046C3" w:rsidP="000D1853">
            <w:pPr>
              <w:widowControl w:val="0"/>
              <w:jc w:val="center"/>
              <w:rPr>
                <w:rFonts w:eastAsia="Times New Roman" w:cs="Calibri"/>
                <w:color w:val="000000"/>
                <w:sz w:val="18"/>
                <w:szCs w:val="18"/>
                <w:lang w:eastAsia="ja-JP" w:bidi="fr-FR"/>
              </w:rPr>
            </w:pPr>
          </w:p>
        </w:tc>
      </w:tr>
      <w:tr w:rsidR="00B046C3" w:rsidRPr="004E13E9" w14:paraId="4E8E1658"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2C328E78" w14:textId="77777777" w:rsidR="00B046C3" w:rsidRPr="004E13E9" w:rsidRDefault="00B046C3" w:rsidP="000D1853">
            <w:pPr>
              <w:widowControl w:val="0"/>
              <w:jc w:val="both"/>
              <w:rPr>
                <w:rFonts w:eastAsia="Times New Roman" w:cs="Calibri"/>
                <w:color w:val="000000"/>
                <w:sz w:val="18"/>
                <w:szCs w:val="18"/>
                <w:lang w:eastAsia="fr-FR" w:bidi="fr-FR"/>
              </w:rPr>
            </w:pPr>
            <w:proofErr w:type="spellStart"/>
            <w:r w:rsidRPr="004E13E9">
              <w:rPr>
                <w:rFonts w:eastAsia="MS Gothic" w:cs="Times New Roman"/>
                <w:color w:val="000000"/>
                <w:sz w:val="18"/>
                <w:szCs w:val="24"/>
                <w:lang w:eastAsia="fr-FR" w:bidi="fr-FR"/>
              </w:rPr>
              <w:t>Palangrier</w:t>
            </w:r>
            <w:proofErr w:type="spellEnd"/>
            <w:r w:rsidRPr="004E13E9">
              <w:rPr>
                <w:rFonts w:eastAsia="MS Gothic" w:cs="Times New Roman"/>
                <w:color w:val="000000"/>
                <w:sz w:val="18"/>
                <w:szCs w:val="24"/>
                <w:lang w:eastAsia="fr-FR" w:bidi="fr-FR"/>
              </w:rPr>
              <w:t xml:space="preserve"> entre 24 et 40 m</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2A905F72"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5,68</w:t>
            </w:r>
          </w:p>
        </w:tc>
        <w:tc>
          <w:tcPr>
            <w:tcW w:w="708" w:type="dxa"/>
            <w:tcBorders>
              <w:top w:val="single" w:sz="4" w:space="0" w:color="auto"/>
              <w:left w:val="single" w:sz="4" w:space="0" w:color="auto"/>
              <w:bottom w:val="single" w:sz="4" w:space="0" w:color="auto"/>
              <w:right w:val="single" w:sz="4" w:space="0" w:color="auto"/>
            </w:tcBorders>
          </w:tcPr>
          <w:p w14:paraId="7FAA67AF"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758AB85"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FB8EC67" w14:textId="77777777" w:rsidR="00B046C3" w:rsidRPr="004E13E9" w:rsidRDefault="00B046C3" w:rsidP="000D1853">
            <w:pPr>
              <w:rPr>
                <w:rFonts w:eastAsia="MS Gothic" w:cs="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451F226" w14:textId="77777777" w:rsidR="00B046C3" w:rsidRPr="004E13E9" w:rsidRDefault="00B046C3" w:rsidP="000D1853">
            <w:pPr>
              <w:rPr>
                <w:rFonts w:eastAsia="MS Gothic" w:cs="Times New Roman"/>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36C387A1" w14:textId="77777777" w:rsidR="00B046C3" w:rsidRPr="004E13E9" w:rsidRDefault="00B046C3" w:rsidP="000D1853">
            <w:pPr>
              <w:rPr>
                <w:rFonts w:eastAsia="MS Gothic" w:cs="Times New Roman"/>
              </w:rPr>
            </w:pPr>
          </w:p>
        </w:tc>
        <w:tc>
          <w:tcPr>
            <w:tcW w:w="614" w:type="dxa"/>
            <w:tcBorders>
              <w:top w:val="single" w:sz="4" w:space="0" w:color="auto"/>
              <w:left w:val="single" w:sz="4" w:space="0" w:color="auto"/>
              <w:bottom w:val="single" w:sz="4" w:space="0" w:color="auto"/>
              <w:right w:val="single" w:sz="4" w:space="0" w:color="auto"/>
            </w:tcBorders>
            <w:vAlign w:val="center"/>
          </w:tcPr>
          <w:p w14:paraId="0636ED94"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04450230"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671A07C"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3026A5F7"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55B9C44E"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52ACBA6D" w14:textId="77777777" w:rsidR="00B046C3" w:rsidRPr="004E13E9" w:rsidRDefault="00B046C3" w:rsidP="000D1853">
            <w:pPr>
              <w:rPr>
                <w:rFonts w:eastAsia="MS Gothic" w:cs="Times New Roman"/>
              </w:rPr>
            </w:pPr>
          </w:p>
        </w:tc>
        <w:tc>
          <w:tcPr>
            <w:tcW w:w="904" w:type="dxa"/>
            <w:tcBorders>
              <w:top w:val="single" w:sz="4" w:space="0" w:color="auto"/>
              <w:left w:val="single" w:sz="4" w:space="0" w:color="auto"/>
              <w:bottom w:val="single" w:sz="4" w:space="0" w:color="auto"/>
              <w:right w:val="single" w:sz="4" w:space="0" w:color="auto"/>
            </w:tcBorders>
            <w:vAlign w:val="center"/>
            <w:hideMark/>
          </w:tcPr>
          <w:p w14:paraId="4778DC7C" w14:textId="77777777" w:rsidR="00B046C3" w:rsidRPr="004E13E9" w:rsidRDefault="00B046C3" w:rsidP="000D1853">
            <w:pPr>
              <w:rPr>
                <w:rFonts w:eastAsia="MS Gothic" w:cs="Times New Roman"/>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02AF68AD" w14:textId="77777777" w:rsidR="00B046C3" w:rsidRPr="004E13E9" w:rsidRDefault="00B046C3" w:rsidP="000D1853">
            <w:pPr>
              <w:rPr>
                <w:rFonts w:eastAsia="MS Gothic" w:cs="Times New Roman"/>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1E4F7058" w14:textId="77777777" w:rsidR="00B046C3" w:rsidRPr="004E13E9" w:rsidRDefault="00B046C3" w:rsidP="000D1853">
            <w:pPr>
              <w:rPr>
                <w:rFonts w:eastAsia="MS Gothic"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68959BFD" w14:textId="77777777" w:rsidR="00B046C3" w:rsidRPr="004E13E9" w:rsidRDefault="00B046C3" w:rsidP="000D1853">
            <w:pPr>
              <w:widowControl w:val="0"/>
              <w:jc w:val="center"/>
              <w:rPr>
                <w:rFonts w:eastAsia="Times New Roman" w:cs="Calibri"/>
                <w:color w:val="000000"/>
                <w:sz w:val="18"/>
                <w:szCs w:val="18"/>
                <w:lang w:eastAsia="ja-JP" w:bidi="fr-FR"/>
              </w:rPr>
            </w:pPr>
          </w:p>
        </w:tc>
      </w:tr>
      <w:tr w:rsidR="00B046C3" w:rsidRPr="004E13E9" w14:paraId="749292D9"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3BFC1B37" w14:textId="77777777" w:rsidR="00B046C3" w:rsidRPr="004E13E9" w:rsidRDefault="00B046C3" w:rsidP="000D1853">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Palangrier de moins de 24m</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51ACE060"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5</w:t>
            </w:r>
          </w:p>
        </w:tc>
        <w:tc>
          <w:tcPr>
            <w:tcW w:w="708" w:type="dxa"/>
            <w:tcBorders>
              <w:top w:val="single" w:sz="4" w:space="0" w:color="auto"/>
              <w:left w:val="single" w:sz="4" w:space="0" w:color="auto"/>
              <w:bottom w:val="single" w:sz="4" w:space="0" w:color="auto"/>
              <w:right w:val="single" w:sz="4" w:space="0" w:color="auto"/>
            </w:tcBorders>
          </w:tcPr>
          <w:p w14:paraId="7028A315"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62053F28"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E54DC56" w14:textId="77777777" w:rsidR="00B046C3" w:rsidRPr="004E13E9" w:rsidRDefault="00B046C3" w:rsidP="000D1853">
            <w:pPr>
              <w:rPr>
                <w:rFonts w:eastAsia="MS Gothic" w:cs="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895C448" w14:textId="77777777" w:rsidR="00B046C3" w:rsidRPr="004E13E9" w:rsidRDefault="00B046C3" w:rsidP="000D1853">
            <w:pPr>
              <w:rPr>
                <w:rFonts w:eastAsia="MS Gothic" w:cs="Times New Roman"/>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4497CD81" w14:textId="77777777" w:rsidR="00B046C3" w:rsidRPr="004E13E9" w:rsidRDefault="00B046C3" w:rsidP="000D1853">
            <w:pPr>
              <w:rPr>
                <w:rFonts w:eastAsia="MS Gothic" w:cs="Times New Roman"/>
              </w:rPr>
            </w:pPr>
          </w:p>
        </w:tc>
        <w:tc>
          <w:tcPr>
            <w:tcW w:w="614" w:type="dxa"/>
            <w:tcBorders>
              <w:top w:val="single" w:sz="4" w:space="0" w:color="auto"/>
              <w:left w:val="single" w:sz="4" w:space="0" w:color="auto"/>
              <w:bottom w:val="single" w:sz="4" w:space="0" w:color="auto"/>
              <w:right w:val="single" w:sz="4" w:space="0" w:color="auto"/>
            </w:tcBorders>
            <w:vAlign w:val="center"/>
          </w:tcPr>
          <w:p w14:paraId="0EB3B56B"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1F437E66"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B54CF31"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7F9D7738"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56F39940"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5A4B1A78" w14:textId="77777777" w:rsidR="00B046C3" w:rsidRPr="004E13E9" w:rsidRDefault="00B046C3" w:rsidP="000D1853">
            <w:pPr>
              <w:rPr>
                <w:rFonts w:eastAsia="MS Gothic" w:cs="Times New Roman"/>
              </w:rPr>
            </w:pPr>
          </w:p>
        </w:tc>
        <w:tc>
          <w:tcPr>
            <w:tcW w:w="904" w:type="dxa"/>
            <w:tcBorders>
              <w:top w:val="single" w:sz="4" w:space="0" w:color="auto"/>
              <w:left w:val="single" w:sz="4" w:space="0" w:color="auto"/>
              <w:bottom w:val="single" w:sz="4" w:space="0" w:color="auto"/>
              <w:right w:val="single" w:sz="4" w:space="0" w:color="auto"/>
            </w:tcBorders>
            <w:vAlign w:val="center"/>
            <w:hideMark/>
          </w:tcPr>
          <w:p w14:paraId="0E434EDB" w14:textId="77777777" w:rsidR="00B046C3" w:rsidRPr="004E13E9" w:rsidRDefault="00B046C3" w:rsidP="000D1853">
            <w:pPr>
              <w:rPr>
                <w:rFonts w:eastAsia="MS Gothic" w:cs="Times New Roman"/>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4734D231" w14:textId="77777777" w:rsidR="00B046C3" w:rsidRPr="004E13E9" w:rsidRDefault="00B046C3" w:rsidP="000D1853">
            <w:pPr>
              <w:rPr>
                <w:rFonts w:eastAsia="MS Gothic" w:cs="Times New Roman"/>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50708933" w14:textId="77777777" w:rsidR="00B046C3" w:rsidRPr="004E13E9" w:rsidRDefault="00B046C3" w:rsidP="000D1853">
            <w:pPr>
              <w:rPr>
                <w:rFonts w:eastAsia="MS Gothic"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084C5CD9" w14:textId="77777777" w:rsidR="00B046C3" w:rsidRPr="004E13E9" w:rsidRDefault="00B046C3" w:rsidP="000D1853">
            <w:pPr>
              <w:widowControl w:val="0"/>
              <w:jc w:val="center"/>
              <w:rPr>
                <w:rFonts w:eastAsia="Times New Roman" w:cs="Calibri"/>
                <w:color w:val="000000"/>
                <w:sz w:val="18"/>
                <w:szCs w:val="18"/>
                <w:lang w:eastAsia="ja-JP" w:bidi="fr-FR"/>
              </w:rPr>
            </w:pPr>
          </w:p>
        </w:tc>
      </w:tr>
      <w:tr w:rsidR="00B046C3" w:rsidRPr="004E13E9" w14:paraId="2A66C691"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36187A81" w14:textId="77777777" w:rsidR="00B046C3" w:rsidRPr="004E13E9" w:rsidRDefault="00B046C3" w:rsidP="000D1853">
            <w:pPr>
              <w:widowControl w:val="0"/>
              <w:jc w:val="both"/>
              <w:rPr>
                <w:rFonts w:eastAsia="Times New Roman" w:cs="Calibri"/>
                <w:b/>
                <w:bCs/>
                <w:color w:val="000000"/>
                <w:sz w:val="18"/>
                <w:szCs w:val="18"/>
                <w:lang w:eastAsia="fr-FR" w:bidi="fr-FR"/>
              </w:rPr>
            </w:pPr>
            <w:proofErr w:type="spellStart"/>
            <w:r w:rsidRPr="004E13E9">
              <w:rPr>
                <w:rFonts w:eastAsia="MS Gothic" w:cs="Times New Roman"/>
                <w:b/>
                <w:color w:val="000000"/>
                <w:sz w:val="18"/>
                <w:szCs w:val="24"/>
                <w:lang w:eastAsia="fr-FR" w:bidi="fr-FR"/>
              </w:rPr>
              <w:t>Flottille</w:t>
            </w:r>
            <w:proofErr w:type="spellEnd"/>
            <w:r w:rsidRPr="004E13E9">
              <w:rPr>
                <w:rFonts w:eastAsia="MS Gothic" w:cs="Times New Roman"/>
                <w:b/>
                <w:color w:val="000000"/>
                <w:sz w:val="18"/>
                <w:szCs w:val="24"/>
                <w:lang w:eastAsia="fr-FR" w:bidi="fr-FR"/>
              </w:rPr>
              <w:t xml:space="preserve"> totale de </w:t>
            </w:r>
            <w:proofErr w:type="spellStart"/>
            <w:r w:rsidRPr="004E13E9">
              <w:rPr>
                <w:rFonts w:eastAsia="MS Gothic" w:cs="Times New Roman"/>
                <w:b/>
                <w:color w:val="000000"/>
                <w:sz w:val="18"/>
                <w:szCs w:val="24"/>
                <w:lang w:eastAsia="fr-FR" w:bidi="fr-FR"/>
              </w:rPr>
              <w:t>palangriers</w:t>
            </w:r>
            <w:proofErr w:type="spellEnd"/>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64208173" w14:textId="77777777" w:rsidR="00B046C3" w:rsidRPr="004E13E9" w:rsidRDefault="00B046C3" w:rsidP="000D1853">
            <w:pPr>
              <w:widowControl w:val="0"/>
              <w:jc w:val="both"/>
              <w:rPr>
                <w:rFonts w:eastAsia="Times New Roman" w:cs="Times New Roman"/>
                <w:color w:val="000000"/>
                <w:sz w:val="18"/>
                <w:szCs w:val="18"/>
                <w:lang w:eastAsia="fr-FR" w:bidi="fr-FR"/>
              </w:rPr>
            </w:pPr>
            <w:r w:rsidRPr="004E13E9">
              <w:rPr>
                <w:rFonts w:eastAsia="MS Gothic" w:cs="Times New Roman"/>
                <w:color w:val="000000"/>
                <w:sz w:val="18"/>
                <w:szCs w:val="24"/>
                <w:lang w:eastAsia="fr-FR" w:bidi="fr-FR"/>
              </w:rPr>
              <w:t> </w:t>
            </w:r>
          </w:p>
        </w:tc>
        <w:tc>
          <w:tcPr>
            <w:tcW w:w="708" w:type="dxa"/>
            <w:tcBorders>
              <w:top w:val="single" w:sz="4" w:space="0" w:color="auto"/>
              <w:left w:val="single" w:sz="4" w:space="0" w:color="auto"/>
              <w:bottom w:val="single" w:sz="4" w:space="0" w:color="auto"/>
              <w:right w:val="single" w:sz="4" w:space="0" w:color="auto"/>
            </w:tcBorders>
          </w:tcPr>
          <w:p w14:paraId="4E1309C5"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B6AA11C"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4B38124" w14:textId="77777777" w:rsidR="00B046C3" w:rsidRPr="004E13E9" w:rsidRDefault="00B046C3" w:rsidP="000D1853">
            <w:pPr>
              <w:rPr>
                <w:rFonts w:eastAsia="MS Gothic" w:cs="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56E3758" w14:textId="77777777" w:rsidR="00B046C3" w:rsidRPr="004E13E9" w:rsidRDefault="00B046C3" w:rsidP="000D1853">
            <w:pPr>
              <w:rPr>
                <w:rFonts w:eastAsia="MS Gothic" w:cs="Times New Roman"/>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704DE8B5" w14:textId="77777777" w:rsidR="00B046C3" w:rsidRPr="004E13E9" w:rsidRDefault="00B046C3" w:rsidP="000D1853">
            <w:pPr>
              <w:rPr>
                <w:rFonts w:eastAsia="MS Gothic" w:cs="Times New Roman"/>
              </w:rPr>
            </w:pPr>
          </w:p>
        </w:tc>
        <w:tc>
          <w:tcPr>
            <w:tcW w:w="614" w:type="dxa"/>
            <w:tcBorders>
              <w:top w:val="single" w:sz="4" w:space="0" w:color="auto"/>
              <w:left w:val="single" w:sz="4" w:space="0" w:color="auto"/>
              <w:bottom w:val="single" w:sz="4" w:space="0" w:color="auto"/>
              <w:right w:val="single" w:sz="4" w:space="0" w:color="auto"/>
            </w:tcBorders>
            <w:vAlign w:val="center"/>
          </w:tcPr>
          <w:p w14:paraId="77E55B5D"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34EF097A"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4B6F8D"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56035315"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589724D1"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396C5E1D" w14:textId="77777777" w:rsidR="00B046C3" w:rsidRPr="004E13E9" w:rsidRDefault="00B046C3" w:rsidP="000D1853">
            <w:pPr>
              <w:rPr>
                <w:rFonts w:eastAsia="MS Gothic" w:cs="Times New Roman"/>
              </w:rPr>
            </w:pPr>
          </w:p>
        </w:tc>
        <w:tc>
          <w:tcPr>
            <w:tcW w:w="904" w:type="dxa"/>
            <w:tcBorders>
              <w:top w:val="single" w:sz="4" w:space="0" w:color="auto"/>
              <w:left w:val="single" w:sz="4" w:space="0" w:color="auto"/>
              <w:bottom w:val="single" w:sz="4" w:space="0" w:color="auto"/>
              <w:right w:val="single" w:sz="4" w:space="0" w:color="auto"/>
            </w:tcBorders>
            <w:vAlign w:val="center"/>
            <w:hideMark/>
          </w:tcPr>
          <w:p w14:paraId="0D633F80" w14:textId="77777777" w:rsidR="00B046C3" w:rsidRPr="004E13E9" w:rsidRDefault="00B046C3" w:rsidP="000D1853">
            <w:pPr>
              <w:rPr>
                <w:rFonts w:eastAsia="MS Gothic" w:cs="Times New Roman"/>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3387D77C" w14:textId="77777777" w:rsidR="00B046C3" w:rsidRPr="004E13E9" w:rsidRDefault="00B046C3" w:rsidP="000D1853">
            <w:pPr>
              <w:rPr>
                <w:rFonts w:eastAsia="MS Gothic" w:cs="Times New Roman"/>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D627C8C" w14:textId="77777777" w:rsidR="00B046C3" w:rsidRPr="004E13E9" w:rsidRDefault="00B046C3" w:rsidP="000D1853">
            <w:pPr>
              <w:rPr>
                <w:rFonts w:eastAsia="MS Gothic"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4650F228" w14:textId="77777777" w:rsidR="00B046C3" w:rsidRPr="004E13E9" w:rsidRDefault="00B046C3" w:rsidP="000D1853">
            <w:pPr>
              <w:widowControl w:val="0"/>
              <w:jc w:val="center"/>
              <w:rPr>
                <w:rFonts w:eastAsia="Times New Roman" w:cs="Calibri"/>
                <w:b/>
                <w:bCs/>
                <w:color w:val="000000"/>
                <w:sz w:val="18"/>
                <w:szCs w:val="18"/>
                <w:lang w:eastAsia="ja-JP" w:bidi="fr-FR"/>
              </w:rPr>
            </w:pPr>
          </w:p>
        </w:tc>
      </w:tr>
      <w:tr w:rsidR="00B046C3" w:rsidRPr="004E13E9" w14:paraId="5C70E854"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43DC80F1" w14:textId="77777777" w:rsidR="00B046C3" w:rsidRPr="004E13E9" w:rsidRDefault="00B046C3" w:rsidP="000D1853">
            <w:pPr>
              <w:widowControl w:val="0"/>
              <w:jc w:val="both"/>
              <w:rPr>
                <w:rFonts w:eastAsia="Times New Roman" w:cs="Calibri"/>
                <w:color w:val="000000"/>
                <w:sz w:val="18"/>
                <w:szCs w:val="18"/>
                <w:lang w:eastAsia="fr-FR" w:bidi="fr-FR"/>
              </w:rPr>
            </w:pPr>
            <w:proofErr w:type="spellStart"/>
            <w:r w:rsidRPr="004E13E9">
              <w:rPr>
                <w:rFonts w:eastAsia="MS Gothic" w:cs="Times New Roman"/>
                <w:color w:val="000000"/>
                <w:sz w:val="18"/>
                <w:szCs w:val="24"/>
                <w:lang w:eastAsia="fr-FR" w:bidi="fr-FR"/>
              </w:rPr>
              <w:t>Canneur</w:t>
            </w:r>
            <w:proofErr w:type="spellEnd"/>
            <w:r w:rsidRPr="004E13E9">
              <w:rPr>
                <w:rFonts w:eastAsia="MS Gothic" w:cs="Times New Roman"/>
                <w:color w:val="000000"/>
                <w:sz w:val="18"/>
                <w:szCs w:val="24"/>
                <w:lang w:eastAsia="fr-FR" w:bidi="fr-FR"/>
              </w:rPr>
              <w:t xml:space="preserve"> (3)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D4B7656"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19,75</w:t>
            </w:r>
          </w:p>
        </w:tc>
        <w:tc>
          <w:tcPr>
            <w:tcW w:w="708" w:type="dxa"/>
            <w:tcBorders>
              <w:top w:val="single" w:sz="4" w:space="0" w:color="auto"/>
              <w:left w:val="single" w:sz="4" w:space="0" w:color="auto"/>
              <w:bottom w:val="single" w:sz="4" w:space="0" w:color="auto"/>
              <w:right w:val="single" w:sz="4" w:space="0" w:color="auto"/>
            </w:tcBorders>
          </w:tcPr>
          <w:p w14:paraId="5307CACF"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6CFC53EB"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72C4DB7" w14:textId="77777777" w:rsidR="00B046C3" w:rsidRPr="004E13E9" w:rsidRDefault="00B046C3" w:rsidP="000D1853">
            <w:pPr>
              <w:rPr>
                <w:rFonts w:eastAsia="MS Gothic" w:cs="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9AE3C52" w14:textId="77777777" w:rsidR="00B046C3" w:rsidRPr="004E13E9" w:rsidRDefault="00B046C3" w:rsidP="000D1853">
            <w:pPr>
              <w:rPr>
                <w:rFonts w:eastAsia="MS Gothic" w:cs="Times New Roman"/>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5C4D03A2" w14:textId="77777777" w:rsidR="00B046C3" w:rsidRPr="004E13E9" w:rsidRDefault="00B046C3" w:rsidP="000D1853">
            <w:pPr>
              <w:rPr>
                <w:rFonts w:eastAsia="MS Gothic" w:cs="Times New Roman"/>
              </w:rPr>
            </w:pPr>
          </w:p>
        </w:tc>
        <w:tc>
          <w:tcPr>
            <w:tcW w:w="614" w:type="dxa"/>
            <w:tcBorders>
              <w:top w:val="single" w:sz="4" w:space="0" w:color="auto"/>
              <w:left w:val="single" w:sz="4" w:space="0" w:color="auto"/>
              <w:bottom w:val="single" w:sz="4" w:space="0" w:color="auto"/>
              <w:right w:val="single" w:sz="4" w:space="0" w:color="auto"/>
            </w:tcBorders>
            <w:vAlign w:val="center"/>
          </w:tcPr>
          <w:p w14:paraId="119142A2"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0CB60018"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D2E57E2"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35EE57A9"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13A5D114"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5B52A835" w14:textId="77777777" w:rsidR="00B046C3" w:rsidRPr="004E13E9" w:rsidRDefault="00B046C3" w:rsidP="000D1853">
            <w:pPr>
              <w:rPr>
                <w:rFonts w:eastAsia="MS Gothic" w:cs="Times New Roman"/>
              </w:rPr>
            </w:pPr>
          </w:p>
        </w:tc>
        <w:tc>
          <w:tcPr>
            <w:tcW w:w="904" w:type="dxa"/>
            <w:tcBorders>
              <w:top w:val="single" w:sz="4" w:space="0" w:color="auto"/>
              <w:left w:val="single" w:sz="4" w:space="0" w:color="auto"/>
              <w:bottom w:val="single" w:sz="4" w:space="0" w:color="auto"/>
              <w:right w:val="single" w:sz="4" w:space="0" w:color="auto"/>
            </w:tcBorders>
            <w:vAlign w:val="center"/>
            <w:hideMark/>
          </w:tcPr>
          <w:p w14:paraId="0D0BDF16" w14:textId="77777777" w:rsidR="00B046C3" w:rsidRPr="004E13E9" w:rsidRDefault="00B046C3" w:rsidP="000D1853">
            <w:pPr>
              <w:rPr>
                <w:rFonts w:eastAsia="MS Gothic" w:cs="Times New Roman"/>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1B79FCB3" w14:textId="77777777" w:rsidR="00B046C3" w:rsidRPr="004E13E9" w:rsidRDefault="00B046C3" w:rsidP="000D1853">
            <w:pPr>
              <w:rPr>
                <w:rFonts w:eastAsia="MS Gothic" w:cs="Times New Roman"/>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1E0313A" w14:textId="77777777" w:rsidR="00B046C3" w:rsidRPr="004E13E9" w:rsidRDefault="00B046C3" w:rsidP="000D1853">
            <w:pPr>
              <w:rPr>
                <w:rFonts w:eastAsia="MS Gothic"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00CD3B84" w14:textId="77777777" w:rsidR="00B046C3" w:rsidRPr="004E13E9" w:rsidRDefault="00B046C3" w:rsidP="000D1853">
            <w:pPr>
              <w:widowControl w:val="0"/>
              <w:jc w:val="center"/>
              <w:rPr>
                <w:rFonts w:eastAsia="Times New Roman" w:cs="Calibri"/>
                <w:b/>
                <w:bCs/>
                <w:color w:val="000000"/>
                <w:sz w:val="18"/>
                <w:szCs w:val="18"/>
                <w:lang w:eastAsia="ja-JP" w:bidi="fr-FR"/>
              </w:rPr>
            </w:pPr>
          </w:p>
        </w:tc>
      </w:tr>
      <w:tr w:rsidR="00B046C3" w:rsidRPr="004E13E9" w14:paraId="2050AE7D"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728DD341" w14:textId="77777777" w:rsidR="00B046C3" w:rsidRPr="004E13E9" w:rsidRDefault="00B046C3" w:rsidP="000D1853">
            <w:pPr>
              <w:widowControl w:val="0"/>
              <w:jc w:val="both"/>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Ligne à main</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45EE49C4"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5</w:t>
            </w:r>
          </w:p>
        </w:tc>
        <w:tc>
          <w:tcPr>
            <w:tcW w:w="708" w:type="dxa"/>
            <w:tcBorders>
              <w:top w:val="single" w:sz="4" w:space="0" w:color="auto"/>
              <w:left w:val="single" w:sz="4" w:space="0" w:color="auto"/>
              <w:bottom w:val="single" w:sz="4" w:space="0" w:color="auto"/>
              <w:right w:val="single" w:sz="4" w:space="0" w:color="auto"/>
            </w:tcBorders>
          </w:tcPr>
          <w:p w14:paraId="6190C66F"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0A196F30"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CCB3645" w14:textId="77777777" w:rsidR="00B046C3" w:rsidRPr="004E13E9" w:rsidRDefault="00B046C3" w:rsidP="000D1853">
            <w:pPr>
              <w:rPr>
                <w:rFonts w:eastAsia="MS Gothic" w:cs="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AEDA086" w14:textId="77777777" w:rsidR="00B046C3" w:rsidRPr="004E13E9" w:rsidRDefault="00B046C3" w:rsidP="000D1853">
            <w:pPr>
              <w:rPr>
                <w:rFonts w:eastAsia="MS Gothic" w:cs="Times New Roman"/>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39341C02" w14:textId="77777777" w:rsidR="00B046C3" w:rsidRPr="004E13E9" w:rsidRDefault="00B046C3" w:rsidP="000D1853">
            <w:pPr>
              <w:rPr>
                <w:rFonts w:eastAsia="MS Gothic" w:cs="Times New Roman"/>
              </w:rPr>
            </w:pPr>
          </w:p>
        </w:tc>
        <w:tc>
          <w:tcPr>
            <w:tcW w:w="614" w:type="dxa"/>
            <w:tcBorders>
              <w:top w:val="single" w:sz="4" w:space="0" w:color="auto"/>
              <w:left w:val="single" w:sz="4" w:space="0" w:color="auto"/>
              <w:bottom w:val="single" w:sz="4" w:space="0" w:color="auto"/>
              <w:right w:val="single" w:sz="4" w:space="0" w:color="auto"/>
            </w:tcBorders>
            <w:vAlign w:val="center"/>
          </w:tcPr>
          <w:p w14:paraId="1F233EC9"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262C787E"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173A97"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7D2F6AE6"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1F24F4AA"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67CAE204" w14:textId="77777777" w:rsidR="00B046C3" w:rsidRPr="004E13E9" w:rsidRDefault="00B046C3" w:rsidP="000D1853">
            <w:pPr>
              <w:rPr>
                <w:rFonts w:eastAsia="MS Gothic" w:cs="Times New Roman"/>
              </w:rPr>
            </w:pPr>
          </w:p>
        </w:tc>
        <w:tc>
          <w:tcPr>
            <w:tcW w:w="904" w:type="dxa"/>
            <w:tcBorders>
              <w:top w:val="single" w:sz="4" w:space="0" w:color="auto"/>
              <w:left w:val="single" w:sz="4" w:space="0" w:color="auto"/>
              <w:bottom w:val="single" w:sz="4" w:space="0" w:color="auto"/>
              <w:right w:val="single" w:sz="4" w:space="0" w:color="auto"/>
            </w:tcBorders>
            <w:vAlign w:val="center"/>
            <w:hideMark/>
          </w:tcPr>
          <w:p w14:paraId="6D4D9F7F" w14:textId="77777777" w:rsidR="00B046C3" w:rsidRPr="004E13E9" w:rsidRDefault="00B046C3" w:rsidP="000D1853">
            <w:pPr>
              <w:rPr>
                <w:rFonts w:eastAsia="MS Gothic" w:cs="Times New Roman"/>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55ECC87E" w14:textId="77777777" w:rsidR="00B046C3" w:rsidRPr="004E13E9" w:rsidRDefault="00B046C3" w:rsidP="000D1853">
            <w:pPr>
              <w:rPr>
                <w:rFonts w:eastAsia="MS Gothic" w:cs="Times New Roman"/>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7D45F43" w14:textId="77777777" w:rsidR="00B046C3" w:rsidRPr="004E13E9" w:rsidRDefault="00B046C3" w:rsidP="000D1853">
            <w:pPr>
              <w:rPr>
                <w:rFonts w:eastAsia="MS Gothic"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29579736" w14:textId="77777777" w:rsidR="00B046C3" w:rsidRPr="004E13E9" w:rsidRDefault="00B046C3" w:rsidP="000D1853">
            <w:pPr>
              <w:widowControl w:val="0"/>
              <w:jc w:val="center"/>
              <w:rPr>
                <w:rFonts w:eastAsia="Times New Roman" w:cs="Calibri"/>
                <w:color w:val="000000"/>
                <w:sz w:val="18"/>
                <w:szCs w:val="18"/>
                <w:lang w:eastAsia="ja-JP" w:bidi="fr-FR"/>
              </w:rPr>
            </w:pPr>
          </w:p>
        </w:tc>
      </w:tr>
      <w:tr w:rsidR="00B046C3" w:rsidRPr="004E13E9" w14:paraId="64651988"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5242A9E8" w14:textId="77777777" w:rsidR="00B046C3" w:rsidRPr="004E13E9" w:rsidRDefault="00B046C3" w:rsidP="000D1853">
            <w:pPr>
              <w:widowControl w:val="0"/>
              <w:jc w:val="both"/>
              <w:rPr>
                <w:rFonts w:eastAsia="Times New Roman" w:cs="Calibri"/>
                <w:color w:val="000000"/>
                <w:sz w:val="18"/>
                <w:szCs w:val="18"/>
                <w:lang w:eastAsia="fr-FR" w:bidi="fr-FR"/>
              </w:rPr>
            </w:pPr>
            <w:proofErr w:type="spellStart"/>
            <w:r w:rsidRPr="004E13E9">
              <w:rPr>
                <w:rFonts w:eastAsia="MS Gothic" w:cs="Times New Roman"/>
                <w:color w:val="000000"/>
                <w:sz w:val="18"/>
                <w:szCs w:val="24"/>
                <w:lang w:eastAsia="fr-FR" w:bidi="fr-FR"/>
              </w:rPr>
              <w:t>Chalutier</w:t>
            </w:r>
            <w:proofErr w:type="spellEnd"/>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627D0178"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10</w:t>
            </w:r>
          </w:p>
        </w:tc>
        <w:tc>
          <w:tcPr>
            <w:tcW w:w="708" w:type="dxa"/>
            <w:tcBorders>
              <w:top w:val="single" w:sz="4" w:space="0" w:color="auto"/>
              <w:left w:val="single" w:sz="4" w:space="0" w:color="auto"/>
              <w:bottom w:val="single" w:sz="4" w:space="0" w:color="auto"/>
              <w:right w:val="single" w:sz="4" w:space="0" w:color="auto"/>
            </w:tcBorders>
          </w:tcPr>
          <w:p w14:paraId="70AE50C7"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6A5DC99E"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B0C9ED2" w14:textId="77777777" w:rsidR="00B046C3" w:rsidRPr="004E13E9" w:rsidRDefault="00B046C3" w:rsidP="000D1853">
            <w:pPr>
              <w:rPr>
                <w:rFonts w:eastAsia="MS Gothic" w:cs="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E35B1C3" w14:textId="77777777" w:rsidR="00B046C3" w:rsidRPr="004E13E9" w:rsidRDefault="00B046C3" w:rsidP="000D1853">
            <w:pPr>
              <w:rPr>
                <w:rFonts w:eastAsia="MS Gothic" w:cs="Times New Roman"/>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0CF146A8" w14:textId="77777777" w:rsidR="00B046C3" w:rsidRPr="004E13E9" w:rsidRDefault="00B046C3" w:rsidP="000D1853">
            <w:pPr>
              <w:rPr>
                <w:rFonts w:eastAsia="MS Gothic" w:cs="Times New Roman"/>
              </w:rPr>
            </w:pPr>
          </w:p>
        </w:tc>
        <w:tc>
          <w:tcPr>
            <w:tcW w:w="614" w:type="dxa"/>
            <w:tcBorders>
              <w:top w:val="single" w:sz="4" w:space="0" w:color="auto"/>
              <w:left w:val="single" w:sz="4" w:space="0" w:color="auto"/>
              <w:bottom w:val="single" w:sz="4" w:space="0" w:color="auto"/>
              <w:right w:val="single" w:sz="4" w:space="0" w:color="auto"/>
            </w:tcBorders>
            <w:vAlign w:val="center"/>
          </w:tcPr>
          <w:p w14:paraId="1F305314"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1BEFFB03"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7D6646"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45C97082"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5BEE0657"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55760CA6" w14:textId="77777777" w:rsidR="00B046C3" w:rsidRPr="004E13E9" w:rsidRDefault="00B046C3" w:rsidP="000D1853">
            <w:pPr>
              <w:rPr>
                <w:rFonts w:eastAsia="MS Gothic" w:cs="Times New Roman"/>
              </w:rPr>
            </w:pPr>
          </w:p>
        </w:tc>
        <w:tc>
          <w:tcPr>
            <w:tcW w:w="904" w:type="dxa"/>
            <w:tcBorders>
              <w:top w:val="single" w:sz="4" w:space="0" w:color="auto"/>
              <w:left w:val="single" w:sz="4" w:space="0" w:color="auto"/>
              <w:bottom w:val="single" w:sz="4" w:space="0" w:color="auto"/>
              <w:right w:val="single" w:sz="4" w:space="0" w:color="auto"/>
            </w:tcBorders>
            <w:vAlign w:val="center"/>
            <w:hideMark/>
          </w:tcPr>
          <w:p w14:paraId="2CD01C5D" w14:textId="77777777" w:rsidR="00B046C3" w:rsidRPr="004E13E9" w:rsidRDefault="00B046C3" w:rsidP="000D1853">
            <w:pPr>
              <w:rPr>
                <w:rFonts w:eastAsia="MS Gothic" w:cs="Times New Roman"/>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46DCF061" w14:textId="77777777" w:rsidR="00B046C3" w:rsidRPr="004E13E9" w:rsidRDefault="00B046C3" w:rsidP="000D1853">
            <w:pPr>
              <w:rPr>
                <w:rFonts w:eastAsia="MS Gothic" w:cs="Times New Roman"/>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24FE95DA" w14:textId="77777777" w:rsidR="00B046C3" w:rsidRPr="004E13E9" w:rsidRDefault="00B046C3" w:rsidP="000D1853">
            <w:pPr>
              <w:rPr>
                <w:rFonts w:eastAsia="MS Gothic"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55C79327" w14:textId="77777777" w:rsidR="00B046C3" w:rsidRPr="004E13E9" w:rsidRDefault="00B046C3" w:rsidP="000D1853">
            <w:pPr>
              <w:widowControl w:val="0"/>
              <w:jc w:val="center"/>
              <w:rPr>
                <w:rFonts w:eastAsia="Times New Roman" w:cs="Calibri"/>
                <w:color w:val="000000"/>
                <w:sz w:val="18"/>
                <w:szCs w:val="18"/>
                <w:lang w:eastAsia="ja-JP" w:bidi="fr-FR"/>
              </w:rPr>
            </w:pPr>
          </w:p>
        </w:tc>
      </w:tr>
      <w:tr w:rsidR="00B046C3" w:rsidRPr="004E13E9" w14:paraId="2757856D"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1591527F" w14:textId="77777777" w:rsidR="00B046C3" w:rsidRPr="004E13E9" w:rsidRDefault="00B046C3" w:rsidP="000D1853">
            <w:pPr>
              <w:widowControl w:val="0"/>
              <w:jc w:val="both"/>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Madrague</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03168EAF"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130</w:t>
            </w:r>
          </w:p>
        </w:tc>
        <w:tc>
          <w:tcPr>
            <w:tcW w:w="708" w:type="dxa"/>
            <w:tcBorders>
              <w:top w:val="single" w:sz="4" w:space="0" w:color="auto"/>
              <w:left w:val="single" w:sz="4" w:space="0" w:color="auto"/>
              <w:bottom w:val="single" w:sz="4" w:space="0" w:color="auto"/>
              <w:right w:val="single" w:sz="4" w:space="0" w:color="auto"/>
            </w:tcBorders>
          </w:tcPr>
          <w:p w14:paraId="136C7A10"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3936AEB"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9797F35" w14:textId="77777777" w:rsidR="00B046C3" w:rsidRPr="004E13E9" w:rsidRDefault="00B046C3" w:rsidP="000D1853">
            <w:pPr>
              <w:rPr>
                <w:rFonts w:eastAsia="MS Gothic" w:cs="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511D2D2" w14:textId="77777777" w:rsidR="00B046C3" w:rsidRPr="004E13E9" w:rsidRDefault="00B046C3" w:rsidP="000D1853">
            <w:pPr>
              <w:rPr>
                <w:rFonts w:eastAsia="MS Gothic" w:cs="Times New Roman"/>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67D18F77" w14:textId="77777777" w:rsidR="00B046C3" w:rsidRPr="004E13E9" w:rsidRDefault="00B046C3" w:rsidP="000D1853">
            <w:pPr>
              <w:rPr>
                <w:rFonts w:eastAsia="MS Gothic" w:cs="Times New Roman"/>
              </w:rPr>
            </w:pPr>
          </w:p>
        </w:tc>
        <w:tc>
          <w:tcPr>
            <w:tcW w:w="614" w:type="dxa"/>
            <w:tcBorders>
              <w:top w:val="single" w:sz="4" w:space="0" w:color="auto"/>
              <w:left w:val="single" w:sz="4" w:space="0" w:color="auto"/>
              <w:bottom w:val="single" w:sz="4" w:space="0" w:color="auto"/>
              <w:right w:val="single" w:sz="4" w:space="0" w:color="auto"/>
            </w:tcBorders>
            <w:vAlign w:val="center"/>
          </w:tcPr>
          <w:p w14:paraId="6D79A584"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6ECF9842"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D111DFB"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04B7DF5C"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1D00703D"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34DEA742" w14:textId="77777777" w:rsidR="00B046C3" w:rsidRPr="004E13E9" w:rsidRDefault="00B046C3" w:rsidP="000D1853">
            <w:pPr>
              <w:rPr>
                <w:rFonts w:eastAsia="MS Gothic" w:cs="Times New Roman"/>
              </w:rPr>
            </w:pPr>
          </w:p>
        </w:tc>
        <w:tc>
          <w:tcPr>
            <w:tcW w:w="904" w:type="dxa"/>
            <w:tcBorders>
              <w:top w:val="single" w:sz="4" w:space="0" w:color="auto"/>
              <w:left w:val="single" w:sz="4" w:space="0" w:color="auto"/>
              <w:bottom w:val="single" w:sz="4" w:space="0" w:color="auto"/>
              <w:right w:val="single" w:sz="4" w:space="0" w:color="auto"/>
            </w:tcBorders>
            <w:vAlign w:val="center"/>
            <w:hideMark/>
          </w:tcPr>
          <w:p w14:paraId="5CC3534F" w14:textId="77777777" w:rsidR="00B046C3" w:rsidRPr="004E13E9" w:rsidRDefault="00B046C3" w:rsidP="000D1853">
            <w:pPr>
              <w:rPr>
                <w:rFonts w:eastAsia="MS Gothic" w:cs="Times New Roman"/>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4C5FF0B7" w14:textId="77777777" w:rsidR="00B046C3" w:rsidRPr="004E13E9" w:rsidRDefault="00B046C3" w:rsidP="000D1853">
            <w:pPr>
              <w:rPr>
                <w:rFonts w:eastAsia="MS Gothic" w:cs="Times New Roman"/>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17A26F5B" w14:textId="77777777" w:rsidR="00B046C3" w:rsidRPr="004E13E9" w:rsidRDefault="00B046C3" w:rsidP="000D1853">
            <w:pPr>
              <w:rPr>
                <w:rFonts w:eastAsia="MS Gothic"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4D96A57D" w14:textId="77777777" w:rsidR="00B046C3" w:rsidRPr="004E13E9" w:rsidRDefault="00B046C3" w:rsidP="000D1853">
            <w:pPr>
              <w:widowControl w:val="0"/>
              <w:jc w:val="center"/>
              <w:rPr>
                <w:rFonts w:eastAsia="Times New Roman" w:cs="Calibri"/>
                <w:b/>
                <w:bCs/>
                <w:color w:val="000000"/>
                <w:sz w:val="18"/>
                <w:szCs w:val="18"/>
                <w:lang w:eastAsia="ja-JP" w:bidi="fr-FR"/>
              </w:rPr>
            </w:pPr>
          </w:p>
        </w:tc>
      </w:tr>
      <w:tr w:rsidR="00B046C3" w:rsidRPr="004E13E9" w14:paraId="693C0E83"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63A67858" w14:textId="77777777" w:rsidR="00B046C3" w:rsidRPr="004E13E9" w:rsidRDefault="00B046C3" w:rsidP="000D1853">
            <w:pPr>
              <w:widowControl w:val="0"/>
              <w:jc w:val="both"/>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 xml:space="preserve">Petits </w:t>
            </w:r>
            <w:proofErr w:type="spellStart"/>
            <w:r w:rsidRPr="004E13E9">
              <w:rPr>
                <w:rFonts w:eastAsia="MS Gothic" w:cs="Times New Roman"/>
                <w:color w:val="000000"/>
                <w:sz w:val="18"/>
                <w:szCs w:val="24"/>
                <w:lang w:eastAsia="fr-FR" w:bidi="fr-FR"/>
              </w:rPr>
              <w:t>navires</w:t>
            </w:r>
            <w:proofErr w:type="spellEnd"/>
            <w:r w:rsidRPr="004E13E9">
              <w:rPr>
                <w:rFonts w:eastAsia="MS Gothic" w:cs="Times New Roman"/>
                <w:color w:val="000000"/>
                <w:sz w:val="18"/>
                <w:szCs w:val="24"/>
                <w:lang w:eastAsia="fr-FR" w:bidi="fr-FR"/>
              </w:rPr>
              <w:t xml:space="preserve"> côtiers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0463A855"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N/A</w:t>
            </w:r>
          </w:p>
        </w:tc>
        <w:tc>
          <w:tcPr>
            <w:tcW w:w="708" w:type="dxa"/>
            <w:tcBorders>
              <w:top w:val="single" w:sz="4" w:space="0" w:color="auto"/>
              <w:left w:val="single" w:sz="4" w:space="0" w:color="auto"/>
              <w:bottom w:val="single" w:sz="4" w:space="0" w:color="auto"/>
              <w:right w:val="single" w:sz="4" w:space="0" w:color="auto"/>
            </w:tcBorders>
          </w:tcPr>
          <w:p w14:paraId="7E3D689E"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14E367E4"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3155E48" w14:textId="77777777" w:rsidR="00B046C3" w:rsidRPr="004E13E9" w:rsidRDefault="00B046C3" w:rsidP="000D1853">
            <w:pPr>
              <w:rPr>
                <w:rFonts w:eastAsia="MS Gothic" w:cs="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5CEE2CD" w14:textId="77777777" w:rsidR="00B046C3" w:rsidRPr="004E13E9" w:rsidRDefault="00B046C3" w:rsidP="000D1853">
            <w:pPr>
              <w:rPr>
                <w:rFonts w:eastAsia="MS Gothic" w:cs="Times New Roman"/>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3CDF82A7" w14:textId="77777777" w:rsidR="00B046C3" w:rsidRPr="004E13E9" w:rsidRDefault="00B046C3" w:rsidP="000D1853">
            <w:pPr>
              <w:rPr>
                <w:rFonts w:eastAsia="MS Gothic" w:cs="Times New Roman"/>
              </w:rPr>
            </w:pPr>
          </w:p>
        </w:tc>
        <w:tc>
          <w:tcPr>
            <w:tcW w:w="614" w:type="dxa"/>
            <w:tcBorders>
              <w:top w:val="single" w:sz="4" w:space="0" w:color="auto"/>
              <w:left w:val="single" w:sz="4" w:space="0" w:color="auto"/>
              <w:bottom w:val="single" w:sz="4" w:space="0" w:color="auto"/>
              <w:right w:val="single" w:sz="4" w:space="0" w:color="auto"/>
            </w:tcBorders>
            <w:vAlign w:val="center"/>
          </w:tcPr>
          <w:p w14:paraId="65A412A3"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626BEC7A"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5BE86C"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1DF06ADA"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2B3FEB16"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4E2A862E" w14:textId="77777777" w:rsidR="00B046C3" w:rsidRPr="004E13E9" w:rsidRDefault="00B046C3" w:rsidP="000D1853">
            <w:pPr>
              <w:rPr>
                <w:rFonts w:eastAsia="MS Gothic" w:cs="Times New Roman"/>
              </w:rPr>
            </w:pPr>
          </w:p>
        </w:tc>
        <w:tc>
          <w:tcPr>
            <w:tcW w:w="904" w:type="dxa"/>
            <w:tcBorders>
              <w:top w:val="single" w:sz="4" w:space="0" w:color="auto"/>
              <w:left w:val="single" w:sz="4" w:space="0" w:color="auto"/>
              <w:bottom w:val="single" w:sz="4" w:space="0" w:color="auto"/>
              <w:right w:val="single" w:sz="4" w:space="0" w:color="auto"/>
            </w:tcBorders>
            <w:vAlign w:val="center"/>
            <w:hideMark/>
          </w:tcPr>
          <w:p w14:paraId="506A6EB9" w14:textId="77777777" w:rsidR="00B046C3" w:rsidRPr="004E13E9" w:rsidRDefault="00B046C3" w:rsidP="000D1853">
            <w:pPr>
              <w:rPr>
                <w:rFonts w:eastAsia="MS Gothic" w:cs="Times New Roman"/>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1E268B25" w14:textId="77777777" w:rsidR="00B046C3" w:rsidRPr="004E13E9" w:rsidRDefault="00B046C3" w:rsidP="000D1853">
            <w:pPr>
              <w:rPr>
                <w:rFonts w:eastAsia="MS Gothic" w:cs="Times New Roman"/>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7B4DF69" w14:textId="77777777" w:rsidR="00B046C3" w:rsidRPr="004E13E9" w:rsidRDefault="00B046C3" w:rsidP="000D1853">
            <w:pPr>
              <w:rPr>
                <w:rFonts w:eastAsia="MS Gothic"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00EB983D" w14:textId="77777777" w:rsidR="00B046C3" w:rsidRPr="004E13E9" w:rsidRDefault="00B046C3" w:rsidP="000D1853">
            <w:pPr>
              <w:widowControl w:val="0"/>
              <w:jc w:val="center"/>
              <w:rPr>
                <w:rFonts w:eastAsia="Times New Roman" w:cs="Calibri"/>
                <w:b/>
                <w:bCs/>
                <w:color w:val="000000"/>
                <w:sz w:val="18"/>
                <w:szCs w:val="18"/>
                <w:lang w:eastAsia="ja-JP" w:bidi="fr-FR"/>
              </w:rPr>
            </w:pPr>
          </w:p>
        </w:tc>
      </w:tr>
      <w:tr w:rsidR="00B046C3" w:rsidRPr="004E13E9" w14:paraId="278749B1"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400593D4" w14:textId="77777777" w:rsidR="00B046C3" w:rsidRPr="004E13E9" w:rsidRDefault="00B046C3" w:rsidP="000D1853">
            <w:pPr>
              <w:widowControl w:val="0"/>
              <w:jc w:val="both"/>
              <w:rPr>
                <w:rFonts w:eastAsia="Times New Roman" w:cs="Calibri"/>
                <w:color w:val="000000"/>
                <w:sz w:val="18"/>
                <w:szCs w:val="18"/>
                <w:lang w:eastAsia="fr-FR" w:bidi="fr-FR"/>
              </w:rPr>
            </w:pPr>
            <w:proofErr w:type="spellStart"/>
            <w:r w:rsidRPr="004E13E9">
              <w:rPr>
                <w:rFonts w:eastAsia="MS Gothic" w:cs="Times New Roman"/>
                <w:color w:val="000000"/>
                <w:sz w:val="18"/>
                <w:szCs w:val="24"/>
                <w:lang w:eastAsia="fr-FR" w:bidi="fr-FR"/>
              </w:rPr>
              <w:t>Autre</w:t>
            </w:r>
            <w:proofErr w:type="spellEnd"/>
            <w:r w:rsidRPr="004E13E9">
              <w:rPr>
                <w:rFonts w:eastAsia="MS Gothic" w:cs="Times New Roman"/>
                <w:color w:val="000000"/>
                <w:sz w:val="18"/>
                <w:szCs w:val="24"/>
                <w:lang w:eastAsia="fr-FR" w:bidi="fr-FR"/>
              </w:rPr>
              <w:t xml:space="preserve"> (à préciser)</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310501F6"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5</w:t>
            </w:r>
          </w:p>
        </w:tc>
        <w:tc>
          <w:tcPr>
            <w:tcW w:w="708" w:type="dxa"/>
            <w:tcBorders>
              <w:top w:val="single" w:sz="4" w:space="0" w:color="auto"/>
              <w:left w:val="single" w:sz="4" w:space="0" w:color="auto"/>
              <w:bottom w:val="single" w:sz="4" w:space="0" w:color="auto"/>
              <w:right w:val="single" w:sz="4" w:space="0" w:color="auto"/>
            </w:tcBorders>
          </w:tcPr>
          <w:p w14:paraId="2828FAF5"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7305282"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3DA2656" w14:textId="77777777" w:rsidR="00B046C3" w:rsidRPr="004E13E9" w:rsidRDefault="00B046C3" w:rsidP="000D1853">
            <w:pPr>
              <w:rPr>
                <w:rFonts w:eastAsia="MS Gothic" w:cs="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2FD744F" w14:textId="77777777" w:rsidR="00B046C3" w:rsidRPr="004E13E9" w:rsidRDefault="00B046C3" w:rsidP="000D1853">
            <w:pPr>
              <w:rPr>
                <w:rFonts w:eastAsia="MS Gothic" w:cs="Times New Roman"/>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50639D9D" w14:textId="77777777" w:rsidR="00B046C3" w:rsidRPr="004E13E9" w:rsidRDefault="00B046C3" w:rsidP="000D1853">
            <w:pPr>
              <w:rPr>
                <w:rFonts w:eastAsia="MS Gothic" w:cs="Times New Roman"/>
              </w:rPr>
            </w:pPr>
          </w:p>
        </w:tc>
        <w:tc>
          <w:tcPr>
            <w:tcW w:w="614" w:type="dxa"/>
            <w:tcBorders>
              <w:top w:val="single" w:sz="4" w:space="0" w:color="auto"/>
              <w:left w:val="single" w:sz="4" w:space="0" w:color="auto"/>
              <w:bottom w:val="single" w:sz="4" w:space="0" w:color="auto"/>
              <w:right w:val="single" w:sz="4" w:space="0" w:color="auto"/>
            </w:tcBorders>
            <w:vAlign w:val="center"/>
          </w:tcPr>
          <w:p w14:paraId="18A2829B"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2D793460"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DB05F8"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7680AC52"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415FAC97"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0E6CFECA" w14:textId="77777777" w:rsidR="00B046C3" w:rsidRPr="004E13E9" w:rsidRDefault="00B046C3" w:rsidP="000D1853">
            <w:pPr>
              <w:rPr>
                <w:rFonts w:eastAsia="MS Gothic" w:cs="Times New Roman"/>
              </w:rPr>
            </w:pPr>
          </w:p>
        </w:tc>
        <w:tc>
          <w:tcPr>
            <w:tcW w:w="904" w:type="dxa"/>
            <w:tcBorders>
              <w:top w:val="single" w:sz="4" w:space="0" w:color="auto"/>
              <w:left w:val="single" w:sz="4" w:space="0" w:color="auto"/>
              <w:bottom w:val="single" w:sz="4" w:space="0" w:color="auto"/>
              <w:right w:val="single" w:sz="4" w:space="0" w:color="auto"/>
            </w:tcBorders>
            <w:vAlign w:val="center"/>
            <w:hideMark/>
          </w:tcPr>
          <w:p w14:paraId="06774E5F" w14:textId="77777777" w:rsidR="00B046C3" w:rsidRPr="004E13E9" w:rsidRDefault="00B046C3" w:rsidP="000D1853">
            <w:pPr>
              <w:rPr>
                <w:rFonts w:eastAsia="MS Gothic" w:cs="Times New Roman"/>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2A0654D3" w14:textId="77777777" w:rsidR="00B046C3" w:rsidRPr="004E13E9" w:rsidRDefault="00B046C3" w:rsidP="000D1853">
            <w:pPr>
              <w:rPr>
                <w:rFonts w:eastAsia="MS Gothic" w:cs="Times New Roman"/>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FF0F2FA" w14:textId="77777777" w:rsidR="00B046C3" w:rsidRPr="004E13E9" w:rsidRDefault="00B046C3" w:rsidP="000D1853">
            <w:pPr>
              <w:rPr>
                <w:rFonts w:eastAsia="MS Gothic"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69A62FDE" w14:textId="77777777" w:rsidR="00B046C3" w:rsidRPr="004E13E9" w:rsidRDefault="00B046C3" w:rsidP="000D1853">
            <w:pPr>
              <w:widowControl w:val="0"/>
              <w:jc w:val="center"/>
              <w:rPr>
                <w:rFonts w:eastAsia="Times New Roman" w:cs="Calibri"/>
                <w:b/>
                <w:bCs/>
                <w:color w:val="000000"/>
                <w:sz w:val="18"/>
                <w:szCs w:val="18"/>
                <w:lang w:eastAsia="ja-JP" w:bidi="fr-FR"/>
              </w:rPr>
            </w:pPr>
          </w:p>
        </w:tc>
      </w:tr>
      <w:tr w:rsidR="00B046C3" w:rsidRPr="004E13E9" w14:paraId="42558B33"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0C22D050" w14:textId="77777777" w:rsidR="00B046C3" w:rsidRPr="004E13E9" w:rsidRDefault="00B046C3" w:rsidP="000D1853">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Capacité totale de la flottille/de pêche</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2E9E4BB4" w14:textId="77777777" w:rsidR="00B046C3" w:rsidRPr="004E13E9" w:rsidRDefault="00B046C3" w:rsidP="000D1853">
            <w:pPr>
              <w:widowControl w:val="0"/>
              <w:jc w:val="right"/>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708" w:type="dxa"/>
            <w:tcBorders>
              <w:top w:val="single" w:sz="4" w:space="0" w:color="auto"/>
              <w:left w:val="single" w:sz="4" w:space="0" w:color="auto"/>
              <w:bottom w:val="single" w:sz="4" w:space="0" w:color="auto"/>
              <w:right w:val="single" w:sz="4" w:space="0" w:color="auto"/>
            </w:tcBorders>
          </w:tcPr>
          <w:p w14:paraId="09CB0C8A" w14:textId="77777777" w:rsidR="00B046C3" w:rsidRPr="004E13E9" w:rsidRDefault="00B046C3" w:rsidP="000D1853">
            <w:pPr>
              <w:widowControl w:val="0"/>
              <w:jc w:val="both"/>
              <w:rPr>
                <w:rFonts w:eastAsia="Times New Roman" w:cs="Calibri"/>
                <w:b/>
                <w:bCs/>
                <w:color w:val="000000"/>
                <w:sz w:val="18"/>
                <w:szCs w:val="18"/>
                <w:lang w:val="fr-FR"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DACBCEF" w14:textId="77777777" w:rsidR="00B046C3" w:rsidRPr="004E13E9" w:rsidRDefault="00B046C3" w:rsidP="000D1853">
            <w:pPr>
              <w:widowControl w:val="0"/>
              <w:jc w:val="both"/>
              <w:rPr>
                <w:rFonts w:eastAsia="Times New Roman" w:cs="Calibri"/>
                <w:b/>
                <w:bCs/>
                <w:color w:val="000000"/>
                <w:sz w:val="18"/>
                <w:szCs w:val="18"/>
                <w:lang w:val="fr-FR"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6D8FC81" w14:textId="77777777" w:rsidR="00B046C3" w:rsidRPr="004E13E9" w:rsidRDefault="00B046C3" w:rsidP="000D1853">
            <w:pPr>
              <w:rPr>
                <w:rFonts w:eastAsia="MS Gothic" w:cs="Times New Roman"/>
                <w:lang w:val="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D5BDF57" w14:textId="77777777" w:rsidR="00B046C3" w:rsidRPr="004E13E9" w:rsidRDefault="00B046C3" w:rsidP="000D1853">
            <w:pPr>
              <w:rPr>
                <w:rFonts w:eastAsia="MS Gothic" w:cs="Times New Roman"/>
                <w:lang w:val="fr-FR"/>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4893FDD2" w14:textId="77777777" w:rsidR="00B046C3" w:rsidRPr="004E13E9" w:rsidRDefault="00B046C3" w:rsidP="000D1853">
            <w:pPr>
              <w:rPr>
                <w:rFonts w:eastAsia="MS Gothic" w:cs="Times New Roman"/>
                <w:lang w:val="fr-FR"/>
              </w:rPr>
            </w:pPr>
          </w:p>
        </w:tc>
        <w:tc>
          <w:tcPr>
            <w:tcW w:w="614" w:type="dxa"/>
            <w:tcBorders>
              <w:top w:val="single" w:sz="4" w:space="0" w:color="auto"/>
              <w:left w:val="single" w:sz="4" w:space="0" w:color="auto"/>
              <w:bottom w:val="single" w:sz="4" w:space="0" w:color="auto"/>
              <w:right w:val="single" w:sz="4" w:space="0" w:color="auto"/>
            </w:tcBorders>
            <w:vAlign w:val="center"/>
          </w:tcPr>
          <w:p w14:paraId="707D4CCF" w14:textId="77777777" w:rsidR="00B046C3" w:rsidRPr="004E13E9" w:rsidRDefault="00B046C3" w:rsidP="000D1853">
            <w:pPr>
              <w:widowControl w:val="0"/>
              <w:jc w:val="center"/>
              <w:rPr>
                <w:rFonts w:eastAsia="Times New Roman" w:cs="Calibri"/>
                <w:b/>
                <w:bCs/>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11F89424" w14:textId="77777777" w:rsidR="00B046C3" w:rsidRPr="004E13E9" w:rsidRDefault="00B046C3" w:rsidP="000D1853">
            <w:pPr>
              <w:widowControl w:val="0"/>
              <w:jc w:val="center"/>
              <w:rPr>
                <w:rFonts w:eastAsia="Times New Roman" w:cs="Calibri"/>
                <w:color w:val="000000"/>
                <w:sz w:val="18"/>
                <w:szCs w:val="18"/>
                <w:lang w:val="fr-FR"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57F522" w14:textId="77777777" w:rsidR="00B046C3" w:rsidRPr="004E13E9" w:rsidRDefault="00B046C3" w:rsidP="000D1853">
            <w:pPr>
              <w:widowControl w:val="0"/>
              <w:jc w:val="both"/>
              <w:rPr>
                <w:rFonts w:eastAsia="Times New Roman" w:cs="Calibri"/>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3163DAD7" w14:textId="77777777" w:rsidR="00B046C3" w:rsidRPr="004E13E9" w:rsidRDefault="00B046C3" w:rsidP="000D1853">
            <w:pPr>
              <w:widowControl w:val="0"/>
              <w:jc w:val="center"/>
              <w:rPr>
                <w:rFonts w:eastAsia="Times New Roman" w:cs="Calibri"/>
                <w:b/>
                <w:bCs/>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5ECF3A81" w14:textId="77777777" w:rsidR="00B046C3" w:rsidRPr="004E13E9" w:rsidRDefault="00B046C3" w:rsidP="000D1853">
            <w:pPr>
              <w:widowControl w:val="0"/>
              <w:jc w:val="both"/>
              <w:rPr>
                <w:rFonts w:eastAsia="Times New Roman" w:cs="Calibri"/>
                <w:b/>
                <w:bCs/>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4F043CE1" w14:textId="77777777" w:rsidR="00B046C3" w:rsidRPr="004E13E9" w:rsidRDefault="00B046C3" w:rsidP="000D1853">
            <w:pPr>
              <w:rPr>
                <w:rFonts w:eastAsia="MS Gothic" w:cs="Times New Roman"/>
                <w:lang w:val="fr-FR"/>
              </w:rPr>
            </w:pPr>
          </w:p>
        </w:tc>
        <w:tc>
          <w:tcPr>
            <w:tcW w:w="904" w:type="dxa"/>
            <w:tcBorders>
              <w:top w:val="single" w:sz="4" w:space="0" w:color="auto"/>
              <w:left w:val="single" w:sz="4" w:space="0" w:color="auto"/>
              <w:bottom w:val="single" w:sz="4" w:space="0" w:color="auto"/>
              <w:right w:val="single" w:sz="4" w:space="0" w:color="auto"/>
            </w:tcBorders>
            <w:noWrap/>
            <w:vAlign w:val="center"/>
            <w:hideMark/>
          </w:tcPr>
          <w:p w14:paraId="70A071A8" w14:textId="77777777" w:rsidR="00B046C3" w:rsidRPr="004E13E9" w:rsidRDefault="00B046C3" w:rsidP="000D1853">
            <w:pPr>
              <w:widowControl w:val="0"/>
              <w:jc w:val="center"/>
              <w:rPr>
                <w:rFonts w:eastAsia="Times New Roman" w:cs="Calibri"/>
                <w:b/>
                <w:bCs/>
                <w:color w:val="000000"/>
                <w:sz w:val="18"/>
                <w:szCs w:val="18"/>
                <w:lang w:eastAsia="fr-FR" w:bidi="fr-FR"/>
              </w:rPr>
            </w:pPr>
            <w:r w:rsidRPr="004E13E9">
              <w:rPr>
                <w:rFonts w:eastAsia="MS Gothic" w:cs="Times New Roman"/>
                <w:color w:val="000000"/>
                <w:sz w:val="18"/>
                <w:szCs w:val="24"/>
                <w:lang w:eastAsia="fr-FR" w:bidi="fr-FR"/>
              </w:rPr>
              <w:t>120,48</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563525C7" w14:textId="77777777" w:rsidR="00B046C3" w:rsidRPr="004E13E9" w:rsidRDefault="00B046C3" w:rsidP="000D1853">
            <w:pPr>
              <w:widowControl w:val="0"/>
              <w:jc w:val="center"/>
              <w:rPr>
                <w:rFonts w:eastAsia="Times New Roman" w:cs="Calibri"/>
                <w:b/>
                <w:bCs/>
                <w:color w:val="000000"/>
                <w:sz w:val="18"/>
                <w:szCs w:val="18"/>
                <w:lang w:eastAsia="fr-FR" w:bidi="fr-FR"/>
              </w:rPr>
            </w:pPr>
            <w:r w:rsidRPr="004E13E9">
              <w:rPr>
                <w:rFonts w:eastAsia="MS Gothic" w:cs="Times New Roman"/>
                <w:color w:val="000000"/>
                <w:sz w:val="18"/>
                <w:szCs w:val="24"/>
                <w:lang w:eastAsia="fr-FR" w:bidi="fr-FR"/>
              </w:rPr>
              <w:t>120,48</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4FF724ED" w14:textId="77777777" w:rsidR="00B046C3" w:rsidRPr="004E13E9" w:rsidRDefault="00B046C3" w:rsidP="000D1853">
            <w:pPr>
              <w:widowControl w:val="0"/>
              <w:jc w:val="center"/>
              <w:rPr>
                <w:rFonts w:eastAsia="Times New Roman" w:cs="Calibri"/>
                <w:b/>
                <w:bCs/>
                <w:color w:val="000000"/>
                <w:sz w:val="18"/>
                <w:szCs w:val="18"/>
                <w:lang w:eastAsia="fr-FR" w:bidi="fr-FR"/>
              </w:rPr>
            </w:pPr>
            <w:r w:rsidRPr="004E13E9">
              <w:rPr>
                <w:rFonts w:eastAsia="MS Gothic" w:cs="Times New Roman"/>
                <w:color w:val="000000"/>
                <w:sz w:val="18"/>
                <w:szCs w:val="24"/>
                <w:lang w:eastAsia="fr-FR" w:bidi="fr-FR"/>
              </w:rPr>
              <w:t>120,48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506593" w14:textId="77777777" w:rsidR="00B046C3" w:rsidRPr="004E13E9" w:rsidRDefault="00B046C3" w:rsidP="000D1853">
            <w:pPr>
              <w:widowControl w:val="0"/>
              <w:jc w:val="center"/>
              <w:rPr>
                <w:rFonts w:eastAsia="Times New Roman" w:cs="Calibri"/>
                <w:b/>
                <w:bCs/>
                <w:color w:val="000000"/>
                <w:sz w:val="18"/>
                <w:szCs w:val="18"/>
                <w:lang w:eastAsia="fr-FR" w:bidi="fr-FR"/>
              </w:rPr>
            </w:pPr>
            <w:r w:rsidRPr="004E13E9">
              <w:rPr>
                <w:rFonts w:eastAsia="MS Gothic" w:cs="Times New Roman"/>
                <w:color w:val="000000"/>
                <w:sz w:val="18"/>
                <w:szCs w:val="24"/>
                <w:lang w:eastAsia="fr-FR" w:bidi="fr-FR"/>
              </w:rPr>
              <w:t>120,48</w:t>
            </w:r>
          </w:p>
        </w:tc>
      </w:tr>
      <w:tr w:rsidR="00B046C3" w:rsidRPr="004E13E9" w14:paraId="5F243FD4"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66C9F25A" w14:textId="77777777" w:rsidR="00B046C3" w:rsidRPr="004E13E9" w:rsidRDefault="00B046C3" w:rsidP="000D1853">
            <w:pPr>
              <w:widowControl w:val="0"/>
              <w:jc w:val="both"/>
              <w:rPr>
                <w:rFonts w:eastAsia="Times New Roman" w:cs="Calibri"/>
                <w:b/>
                <w:bCs/>
                <w:color w:val="000000"/>
                <w:sz w:val="18"/>
                <w:szCs w:val="18"/>
                <w:lang w:eastAsia="fr-FR" w:bidi="fr-FR"/>
              </w:rPr>
            </w:pPr>
            <w:r w:rsidRPr="004E13E9">
              <w:rPr>
                <w:rFonts w:eastAsia="MS Gothic" w:cs="Times New Roman"/>
                <w:b/>
                <w:color w:val="000000"/>
                <w:sz w:val="18"/>
                <w:szCs w:val="24"/>
                <w:lang w:eastAsia="fr-FR" w:bidi="fr-FR"/>
              </w:rPr>
              <w:t>Quota initial</w:t>
            </w:r>
          </w:p>
        </w:tc>
        <w:tc>
          <w:tcPr>
            <w:tcW w:w="1843"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6C6343D4" w14:textId="77777777" w:rsidR="00B046C3" w:rsidRPr="004E13E9" w:rsidRDefault="00B046C3" w:rsidP="000D1853">
            <w:pPr>
              <w:widowControl w:val="0"/>
              <w:jc w:val="right"/>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 </w:t>
            </w:r>
          </w:p>
        </w:tc>
        <w:tc>
          <w:tcPr>
            <w:tcW w:w="708" w:type="dxa"/>
            <w:tcBorders>
              <w:top w:val="single" w:sz="4" w:space="0" w:color="auto"/>
              <w:left w:val="single" w:sz="4" w:space="0" w:color="auto"/>
              <w:bottom w:val="single" w:sz="4" w:space="0" w:color="auto"/>
              <w:right w:val="single" w:sz="4" w:space="0" w:color="auto"/>
            </w:tcBorders>
            <w:shd w:val="clear" w:color="auto" w:fill="D9D9D9"/>
          </w:tcPr>
          <w:p w14:paraId="372E13C0"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DB890C7"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C970EF1" w14:textId="77777777" w:rsidR="00B046C3" w:rsidRPr="004E13E9" w:rsidRDefault="00B046C3" w:rsidP="000D1853">
            <w:pPr>
              <w:rPr>
                <w:rFonts w:eastAsia="MS Gothic"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A24F5B7" w14:textId="77777777" w:rsidR="00B046C3" w:rsidRPr="004E13E9" w:rsidRDefault="00B046C3" w:rsidP="000D1853">
            <w:pPr>
              <w:rPr>
                <w:rFonts w:eastAsia="MS Gothic" w:cs="Times New Roman"/>
              </w:rPr>
            </w:pPr>
          </w:p>
        </w:tc>
        <w:tc>
          <w:tcPr>
            <w:tcW w:w="61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F32FDE" w14:textId="77777777" w:rsidR="00B046C3" w:rsidRPr="004E13E9" w:rsidRDefault="00B046C3" w:rsidP="000D1853">
            <w:pPr>
              <w:rPr>
                <w:rFonts w:eastAsia="MS Gothic" w:cs="Times New Roman"/>
              </w:rPr>
            </w:pPr>
          </w:p>
        </w:tc>
        <w:tc>
          <w:tcPr>
            <w:tcW w:w="614" w:type="dxa"/>
            <w:tcBorders>
              <w:top w:val="single" w:sz="4" w:space="0" w:color="auto"/>
              <w:left w:val="single" w:sz="4" w:space="0" w:color="auto"/>
              <w:bottom w:val="single" w:sz="4" w:space="0" w:color="auto"/>
              <w:right w:val="single" w:sz="4" w:space="0" w:color="auto"/>
            </w:tcBorders>
            <w:shd w:val="clear" w:color="auto" w:fill="D9D9D9"/>
            <w:vAlign w:val="center"/>
          </w:tcPr>
          <w:p w14:paraId="2A802EF1"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shd w:val="clear" w:color="auto" w:fill="D9D9D9"/>
            <w:vAlign w:val="center"/>
          </w:tcPr>
          <w:p w14:paraId="12959E7B"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0EDA0BD"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shd w:val="clear" w:color="auto" w:fill="D9D9D9"/>
            <w:vAlign w:val="center"/>
          </w:tcPr>
          <w:p w14:paraId="073C3427"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A96634"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CC2AEE9" w14:textId="77777777" w:rsidR="00B046C3" w:rsidRPr="004E13E9" w:rsidRDefault="00B046C3" w:rsidP="000D1853">
            <w:pPr>
              <w:widowControl w:val="0"/>
              <w:jc w:val="center"/>
              <w:rPr>
                <w:rFonts w:eastAsia="MS Gothic" w:cs="Times New Roman"/>
                <w:color w:val="000000"/>
                <w:sz w:val="18"/>
                <w:szCs w:val="18"/>
                <w:lang w:eastAsia="fr-FR" w:bidi="fr-FR"/>
              </w:rPr>
            </w:pPr>
            <w:r w:rsidRPr="004E13E9">
              <w:rPr>
                <w:rFonts w:eastAsia="MS Gothic" w:cs="Times New Roman"/>
                <w:color w:val="000000"/>
                <w:sz w:val="18"/>
                <w:szCs w:val="24"/>
                <w:lang w:eastAsia="fr-FR" w:bidi="fr-FR"/>
              </w:rPr>
              <w:t>70,7</w:t>
            </w:r>
          </w:p>
        </w:tc>
        <w:tc>
          <w:tcPr>
            <w:tcW w:w="90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BCE833" w14:textId="77777777" w:rsidR="00B046C3" w:rsidRPr="004E13E9" w:rsidRDefault="00B046C3" w:rsidP="000D1853">
            <w:pPr>
              <w:widowControl w:val="0"/>
              <w:jc w:val="center"/>
              <w:rPr>
                <w:rFonts w:eastAsia="MS Gothic" w:cs="Times New Roman"/>
                <w:color w:val="000000"/>
                <w:sz w:val="18"/>
                <w:szCs w:val="18"/>
                <w:lang w:eastAsia="fr-FR" w:bidi="fr-FR"/>
              </w:rPr>
            </w:pPr>
            <w:r w:rsidRPr="004E13E9">
              <w:rPr>
                <w:rFonts w:eastAsia="MS Gothic" w:cs="Times New Roman"/>
                <w:color w:val="000000"/>
                <w:sz w:val="18"/>
                <w:szCs w:val="24"/>
                <w:lang w:eastAsia="fr-FR" w:bidi="fr-FR"/>
              </w:rPr>
              <w:t>264</w:t>
            </w:r>
          </w:p>
        </w:tc>
        <w:tc>
          <w:tcPr>
            <w:tcW w:w="84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124D847" w14:textId="77777777" w:rsidR="00B046C3" w:rsidRPr="004E13E9" w:rsidRDefault="00B046C3" w:rsidP="000D1853">
            <w:pPr>
              <w:widowControl w:val="0"/>
              <w:jc w:val="center"/>
              <w:rPr>
                <w:rFonts w:eastAsia="MS Gothic" w:cs="Times New Roman"/>
                <w:color w:val="000000"/>
                <w:sz w:val="18"/>
                <w:szCs w:val="18"/>
                <w:lang w:eastAsia="fr-FR" w:bidi="fr-FR"/>
              </w:rPr>
            </w:pPr>
            <w:r w:rsidRPr="004E13E9">
              <w:rPr>
                <w:rFonts w:eastAsia="MS Gothic" w:cs="Times New Roman"/>
                <w:color w:val="000000"/>
                <w:sz w:val="18"/>
                <w:szCs w:val="24"/>
                <w:lang w:eastAsia="fr-FR" w:bidi="fr-FR"/>
              </w:rPr>
              <w:t>264</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D89D70F" w14:textId="77777777" w:rsidR="00B046C3" w:rsidRPr="004E13E9" w:rsidRDefault="00B046C3" w:rsidP="000D1853">
            <w:pPr>
              <w:widowControl w:val="0"/>
              <w:jc w:val="center"/>
              <w:rPr>
                <w:rFonts w:eastAsia="MS Gothic" w:cs="Times New Roman"/>
                <w:color w:val="000000"/>
                <w:sz w:val="18"/>
                <w:szCs w:val="18"/>
                <w:lang w:eastAsia="fr-FR" w:bidi="fr-FR"/>
              </w:rPr>
            </w:pPr>
            <w:r w:rsidRPr="004E13E9">
              <w:rPr>
                <w:rFonts w:eastAsia="MS Gothic" w:cs="Times New Roman"/>
                <w:color w:val="000000"/>
                <w:sz w:val="18"/>
                <w:szCs w:val="24"/>
                <w:lang w:eastAsia="fr-FR" w:bidi="fr-FR"/>
              </w:rPr>
              <w:t>264</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0C4E49" w14:textId="77777777" w:rsidR="00B046C3" w:rsidRPr="004E13E9" w:rsidRDefault="00B046C3" w:rsidP="000D1853">
            <w:pPr>
              <w:widowControl w:val="0"/>
              <w:jc w:val="center"/>
              <w:rPr>
                <w:rFonts w:eastAsia="MS Gothic" w:cs="Times New Roman"/>
                <w:color w:val="000000"/>
                <w:sz w:val="18"/>
                <w:szCs w:val="18"/>
                <w:lang w:eastAsia="fr-FR" w:bidi="fr-FR"/>
              </w:rPr>
            </w:pPr>
            <w:r w:rsidRPr="004E13E9">
              <w:rPr>
                <w:rFonts w:eastAsia="MS Gothic" w:cs="Times New Roman"/>
                <w:color w:val="000000"/>
                <w:sz w:val="18"/>
                <w:szCs w:val="24"/>
                <w:lang w:eastAsia="fr-FR" w:bidi="fr-FR"/>
              </w:rPr>
              <w:t>457,37</w:t>
            </w:r>
          </w:p>
        </w:tc>
      </w:tr>
      <w:tr w:rsidR="00B046C3" w:rsidRPr="004E13E9" w14:paraId="754EF12D"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CB184C8" w14:textId="77777777" w:rsidR="00B046C3" w:rsidRPr="004E13E9" w:rsidRDefault="00B046C3" w:rsidP="000D1853">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 xml:space="preserve">Quota ajusté (le cas échéant) </w:t>
            </w:r>
          </w:p>
        </w:tc>
        <w:tc>
          <w:tcPr>
            <w:tcW w:w="1843"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113F9B31" w14:textId="77777777" w:rsidR="00B046C3" w:rsidRPr="004E13E9" w:rsidRDefault="00B046C3" w:rsidP="000D1853">
            <w:pPr>
              <w:widowControl w:val="0"/>
              <w:jc w:val="right"/>
              <w:rPr>
                <w:rFonts w:eastAsia="Times New Roman" w:cs="Calibri"/>
                <w:color w:val="000000"/>
                <w:sz w:val="18"/>
                <w:szCs w:val="18"/>
                <w:lang w:val="fr-FR" w:eastAsia="ja-JP" w:bidi="fr-FR"/>
              </w:rPr>
            </w:pPr>
          </w:p>
        </w:tc>
        <w:tc>
          <w:tcPr>
            <w:tcW w:w="708" w:type="dxa"/>
            <w:tcBorders>
              <w:top w:val="single" w:sz="4" w:space="0" w:color="auto"/>
              <w:left w:val="single" w:sz="4" w:space="0" w:color="auto"/>
              <w:bottom w:val="single" w:sz="4" w:space="0" w:color="auto"/>
              <w:right w:val="single" w:sz="4" w:space="0" w:color="auto"/>
            </w:tcBorders>
            <w:shd w:val="clear" w:color="auto" w:fill="D9D9D9"/>
          </w:tcPr>
          <w:p w14:paraId="5031528F" w14:textId="77777777" w:rsidR="00B046C3" w:rsidRPr="004E13E9" w:rsidRDefault="00B046C3" w:rsidP="000D1853">
            <w:pPr>
              <w:widowControl w:val="0"/>
              <w:jc w:val="both"/>
              <w:rPr>
                <w:rFonts w:eastAsia="Times New Roman" w:cs="Calibri"/>
                <w:color w:val="000000"/>
                <w:sz w:val="18"/>
                <w:szCs w:val="18"/>
                <w:lang w:val="fr-FR" w:eastAsia="ja-JP" w:bidi="fr-FR"/>
              </w:rPr>
            </w:pPr>
          </w:p>
        </w:tc>
        <w:tc>
          <w:tcPr>
            <w:tcW w:w="709"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0F3914CA" w14:textId="77777777" w:rsidR="00B046C3" w:rsidRPr="004E13E9" w:rsidRDefault="00B046C3" w:rsidP="000D1853">
            <w:pPr>
              <w:widowControl w:val="0"/>
              <w:jc w:val="center"/>
              <w:rPr>
                <w:rFonts w:eastAsia="Times New Roman" w:cs="Calibri"/>
                <w:color w:val="000000"/>
                <w:sz w:val="18"/>
                <w:szCs w:val="18"/>
                <w:lang w:val="fr-FR" w:eastAsia="ja-JP" w:bidi="fr-FR"/>
              </w:rPr>
            </w:pP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1BDF3EE2" w14:textId="77777777" w:rsidR="00B046C3" w:rsidRPr="004E13E9" w:rsidRDefault="00B046C3" w:rsidP="000D1853">
            <w:pPr>
              <w:widowControl w:val="0"/>
              <w:jc w:val="center"/>
              <w:rPr>
                <w:rFonts w:eastAsia="Times New Roman" w:cs="Calibri"/>
                <w:color w:val="000000"/>
                <w:sz w:val="18"/>
                <w:szCs w:val="18"/>
                <w:lang w:val="fr-FR" w:eastAsia="ja-JP" w:bidi="fr-FR"/>
              </w:rPr>
            </w:pP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5E7C321A" w14:textId="77777777" w:rsidR="00B046C3" w:rsidRPr="004E13E9" w:rsidRDefault="00B046C3" w:rsidP="000D1853">
            <w:pPr>
              <w:widowControl w:val="0"/>
              <w:jc w:val="center"/>
              <w:rPr>
                <w:rFonts w:eastAsia="Times New Roman" w:cs="Calibri"/>
                <w:color w:val="000000"/>
                <w:sz w:val="18"/>
                <w:szCs w:val="18"/>
                <w:lang w:val="fr-FR" w:eastAsia="ja-JP" w:bidi="fr-FR"/>
              </w:rPr>
            </w:pPr>
          </w:p>
        </w:tc>
        <w:tc>
          <w:tcPr>
            <w:tcW w:w="611" w:type="dxa"/>
            <w:tcBorders>
              <w:top w:val="single" w:sz="4" w:space="0" w:color="auto"/>
              <w:left w:val="single" w:sz="4" w:space="0" w:color="auto"/>
              <w:bottom w:val="single" w:sz="4" w:space="0" w:color="auto"/>
              <w:right w:val="single" w:sz="4" w:space="0" w:color="auto"/>
            </w:tcBorders>
            <w:shd w:val="clear" w:color="auto" w:fill="D9D9D9"/>
            <w:vAlign w:val="center"/>
          </w:tcPr>
          <w:p w14:paraId="5D9AECA8" w14:textId="77777777" w:rsidR="00B046C3" w:rsidRPr="004E13E9" w:rsidRDefault="00B046C3" w:rsidP="000D1853">
            <w:pPr>
              <w:widowControl w:val="0"/>
              <w:jc w:val="center"/>
              <w:rPr>
                <w:rFonts w:eastAsia="Times New Roman" w:cs="Calibri"/>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shd w:val="clear" w:color="auto" w:fill="D9D9D9"/>
            <w:vAlign w:val="center"/>
          </w:tcPr>
          <w:p w14:paraId="1B75C160" w14:textId="77777777" w:rsidR="00B046C3" w:rsidRPr="004E13E9" w:rsidRDefault="00B046C3" w:rsidP="000D1853">
            <w:pPr>
              <w:widowControl w:val="0"/>
              <w:jc w:val="center"/>
              <w:rPr>
                <w:rFonts w:eastAsia="Times New Roman" w:cs="Calibri"/>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shd w:val="clear" w:color="auto" w:fill="D9D9D9"/>
            <w:vAlign w:val="center"/>
          </w:tcPr>
          <w:p w14:paraId="0F883946" w14:textId="77777777" w:rsidR="00B046C3" w:rsidRPr="004E13E9" w:rsidRDefault="00B046C3" w:rsidP="000D1853">
            <w:pPr>
              <w:widowControl w:val="0"/>
              <w:jc w:val="center"/>
              <w:rPr>
                <w:rFonts w:eastAsia="Times New Roman" w:cs="Calibri"/>
                <w:color w:val="000000"/>
                <w:sz w:val="18"/>
                <w:szCs w:val="18"/>
                <w:lang w:val="fr-FR"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tcPr>
          <w:p w14:paraId="7809EB26" w14:textId="77777777" w:rsidR="00B046C3" w:rsidRPr="004E13E9" w:rsidRDefault="00B046C3" w:rsidP="000D1853">
            <w:pPr>
              <w:widowControl w:val="0"/>
              <w:jc w:val="center"/>
              <w:rPr>
                <w:rFonts w:eastAsia="Times New Roman" w:cs="Calibri"/>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shd w:val="clear" w:color="auto" w:fill="D9D9D9"/>
            <w:vAlign w:val="center"/>
          </w:tcPr>
          <w:p w14:paraId="2F8EFDE7" w14:textId="77777777" w:rsidR="00B046C3" w:rsidRPr="004E13E9" w:rsidRDefault="00B046C3" w:rsidP="000D1853">
            <w:pPr>
              <w:widowControl w:val="0"/>
              <w:jc w:val="center"/>
              <w:rPr>
                <w:rFonts w:eastAsia="Times New Roman" w:cs="Calibri"/>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shd w:val="clear" w:color="auto" w:fill="D9D9D9"/>
            <w:vAlign w:val="center"/>
          </w:tcPr>
          <w:p w14:paraId="1BAF4C61" w14:textId="77777777" w:rsidR="00B046C3" w:rsidRPr="004E13E9" w:rsidRDefault="00B046C3" w:rsidP="000D1853">
            <w:pPr>
              <w:widowControl w:val="0"/>
              <w:jc w:val="center"/>
              <w:rPr>
                <w:rFonts w:eastAsia="Times New Roman" w:cs="Calibri"/>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11E754" w14:textId="77777777" w:rsidR="00B046C3" w:rsidRPr="004E13E9" w:rsidRDefault="00B046C3" w:rsidP="000D1853">
            <w:pPr>
              <w:widowControl w:val="0"/>
              <w:jc w:val="center"/>
              <w:rPr>
                <w:rFonts w:eastAsia="MS Gothic" w:cs="Times New Roman"/>
                <w:color w:val="000000"/>
                <w:sz w:val="18"/>
                <w:szCs w:val="18"/>
                <w:lang w:eastAsia="fr-FR" w:bidi="fr-FR"/>
              </w:rPr>
            </w:pPr>
            <w:r w:rsidRPr="004E13E9">
              <w:rPr>
                <w:rFonts w:eastAsia="MS Gothic" w:cs="Times New Roman"/>
                <w:color w:val="000000"/>
                <w:sz w:val="18"/>
                <w:szCs w:val="24"/>
                <w:lang w:eastAsia="fr-FR" w:bidi="fr-FR"/>
              </w:rPr>
              <w:t>100</w:t>
            </w:r>
          </w:p>
        </w:tc>
        <w:tc>
          <w:tcPr>
            <w:tcW w:w="90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E43CEF" w14:textId="77777777" w:rsidR="00B046C3" w:rsidRPr="004E13E9" w:rsidRDefault="00B046C3" w:rsidP="000D1853">
            <w:pPr>
              <w:widowControl w:val="0"/>
              <w:jc w:val="center"/>
              <w:rPr>
                <w:rFonts w:eastAsia="MS Gothic" w:cs="Times New Roman"/>
                <w:color w:val="000000"/>
                <w:sz w:val="18"/>
                <w:szCs w:val="18"/>
                <w:lang w:eastAsia="fr-FR" w:bidi="fr-FR"/>
              </w:rPr>
            </w:pPr>
            <w:r w:rsidRPr="004E13E9">
              <w:rPr>
                <w:rFonts w:eastAsia="MS Gothic" w:cs="Times New Roman"/>
                <w:color w:val="000000"/>
                <w:sz w:val="18"/>
                <w:szCs w:val="24"/>
                <w:lang w:eastAsia="fr-FR" w:bidi="fr-FR"/>
              </w:rPr>
              <w:t>NA</w:t>
            </w:r>
          </w:p>
        </w:tc>
        <w:tc>
          <w:tcPr>
            <w:tcW w:w="84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02783D" w14:textId="77777777" w:rsidR="00B046C3" w:rsidRPr="004E13E9" w:rsidRDefault="00B046C3" w:rsidP="000D1853">
            <w:pPr>
              <w:widowControl w:val="0"/>
              <w:jc w:val="center"/>
              <w:rPr>
                <w:rFonts w:eastAsia="MS Gothic" w:cs="Times New Roman"/>
                <w:color w:val="000000"/>
                <w:sz w:val="18"/>
                <w:szCs w:val="18"/>
                <w:lang w:eastAsia="fr-FR" w:bidi="fr-FR"/>
              </w:rPr>
            </w:pPr>
            <w:r w:rsidRPr="004E13E9">
              <w:rPr>
                <w:rFonts w:eastAsia="MS Gothic" w:cs="Times New Roman"/>
                <w:color w:val="000000"/>
                <w:sz w:val="18"/>
                <w:szCs w:val="24"/>
                <w:lang w:eastAsia="fr-FR" w:bidi="fr-FR"/>
              </w:rPr>
              <w:t>NA</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CB86B6" w14:textId="77777777" w:rsidR="00B046C3" w:rsidRPr="004E13E9" w:rsidRDefault="00B046C3" w:rsidP="000D1853">
            <w:pPr>
              <w:widowControl w:val="0"/>
              <w:jc w:val="center"/>
              <w:rPr>
                <w:rFonts w:eastAsia="MS Gothic" w:cs="Times New Roman"/>
                <w:color w:val="000000"/>
                <w:sz w:val="18"/>
                <w:szCs w:val="18"/>
                <w:lang w:eastAsia="fr-FR" w:bidi="fr-FR"/>
              </w:rPr>
            </w:pPr>
            <w:r w:rsidRPr="004E13E9">
              <w:rPr>
                <w:rFonts w:eastAsia="MS Gothic" w:cs="Times New Roman"/>
                <w:color w:val="000000"/>
                <w:sz w:val="18"/>
                <w:szCs w:val="24"/>
                <w:lang w:eastAsia="fr-FR" w:bidi="fr-FR"/>
              </w:rPr>
              <w:t>NA</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2FBEA0D" w14:textId="77777777" w:rsidR="00B046C3" w:rsidRPr="004E13E9" w:rsidRDefault="00B046C3" w:rsidP="000D1853">
            <w:pPr>
              <w:widowControl w:val="0"/>
              <w:jc w:val="center"/>
              <w:rPr>
                <w:rFonts w:eastAsia="MS Gothic" w:cs="Times New Roman"/>
                <w:color w:val="000000"/>
                <w:sz w:val="18"/>
                <w:szCs w:val="18"/>
                <w:lang w:eastAsia="fr-FR" w:bidi="fr-FR"/>
              </w:rPr>
            </w:pPr>
            <w:r w:rsidRPr="004E13E9">
              <w:rPr>
                <w:rFonts w:eastAsia="MS Gothic" w:cs="Times New Roman"/>
                <w:color w:val="000000"/>
                <w:sz w:val="18"/>
                <w:szCs w:val="24"/>
                <w:lang w:eastAsia="fr-FR" w:bidi="fr-FR"/>
              </w:rPr>
              <w:t>NA</w:t>
            </w:r>
          </w:p>
        </w:tc>
      </w:tr>
      <w:tr w:rsidR="00B046C3" w:rsidRPr="004E13E9" w14:paraId="26FC89B1"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7087403C" w14:textId="77777777" w:rsidR="00B046C3" w:rsidRPr="004E13E9" w:rsidRDefault="00B046C3" w:rsidP="000D1853">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Pourcentage alloué aux prises accessoires</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0FB8256D" w14:textId="77777777" w:rsidR="00B046C3" w:rsidRPr="004E13E9" w:rsidRDefault="00B046C3" w:rsidP="000D1853">
            <w:pPr>
              <w:widowControl w:val="0"/>
              <w:jc w:val="right"/>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708" w:type="dxa"/>
            <w:tcBorders>
              <w:top w:val="single" w:sz="4" w:space="0" w:color="auto"/>
              <w:left w:val="single" w:sz="4" w:space="0" w:color="auto"/>
              <w:bottom w:val="single" w:sz="4" w:space="0" w:color="auto"/>
              <w:right w:val="single" w:sz="4" w:space="0" w:color="auto"/>
            </w:tcBorders>
          </w:tcPr>
          <w:p w14:paraId="2680822B" w14:textId="77777777" w:rsidR="00B046C3" w:rsidRPr="004E13E9" w:rsidRDefault="00B046C3" w:rsidP="000D1853">
            <w:pPr>
              <w:widowControl w:val="0"/>
              <w:jc w:val="both"/>
              <w:rPr>
                <w:rFonts w:eastAsia="Times New Roman" w:cs="Calibri"/>
                <w:color w:val="000000"/>
                <w:sz w:val="18"/>
                <w:szCs w:val="18"/>
                <w:lang w:val="fr-FR"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B0E6E9C" w14:textId="77777777" w:rsidR="00B046C3" w:rsidRPr="004E13E9" w:rsidRDefault="00B046C3" w:rsidP="000D1853">
            <w:pPr>
              <w:widowControl w:val="0"/>
              <w:jc w:val="both"/>
              <w:rPr>
                <w:rFonts w:eastAsia="Times New Roman" w:cs="Calibri"/>
                <w:color w:val="000000"/>
                <w:sz w:val="18"/>
                <w:szCs w:val="18"/>
                <w:lang w:val="fr-FR"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3B618FB" w14:textId="77777777" w:rsidR="00B046C3" w:rsidRPr="004E13E9" w:rsidRDefault="00B046C3" w:rsidP="000D1853">
            <w:pPr>
              <w:rPr>
                <w:rFonts w:eastAsia="MS Gothic" w:cs="Times New Roman"/>
                <w:lang w:val="fr-FR"/>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BE94BDE" w14:textId="77777777" w:rsidR="00B046C3" w:rsidRPr="004E13E9" w:rsidRDefault="00B046C3" w:rsidP="000D1853">
            <w:pPr>
              <w:rPr>
                <w:rFonts w:eastAsia="MS Gothic" w:cs="Times New Roman"/>
                <w:lang w:val="fr-FR"/>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20107910" w14:textId="77777777" w:rsidR="00B046C3" w:rsidRPr="004E13E9" w:rsidRDefault="00B046C3" w:rsidP="000D1853">
            <w:pPr>
              <w:rPr>
                <w:rFonts w:eastAsia="MS Gothic" w:cs="Times New Roman"/>
                <w:lang w:val="fr-FR"/>
              </w:rPr>
            </w:pPr>
          </w:p>
        </w:tc>
        <w:tc>
          <w:tcPr>
            <w:tcW w:w="614" w:type="dxa"/>
            <w:tcBorders>
              <w:top w:val="single" w:sz="4" w:space="0" w:color="auto"/>
              <w:left w:val="single" w:sz="4" w:space="0" w:color="auto"/>
              <w:bottom w:val="single" w:sz="4" w:space="0" w:color="auto"/>
              <w:right w:val="single" w:sz="4" w:space="0" w:color="auto"/>
            </w:tcBorders>
            <w:vAlign w:val="center"/>
          </w:tcPr>
          <w:p w14:paraId="3301267E" w14:textId="77777777" w:rsidR="00B046C3" w:rsidRPr="004E13E9" w:rsidRDefault="00B046C3" w:rsidP="000D1853">
            <w:pPr>
              <w:widowControl w:val="0"/>
              <w:jc w:val="center"/>
              <w:rPr>
                <w:rFonts w:eastAsia="Times New Roman" w:cs="Calibri"/>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4E2E74C8" w14:textId="77777777" w:rsidR="00B046C3" w:rsidRPr="004E13E9" w:rsidRDefault="00B046C3" w:rsidP="000D1853">
            <w:pPr>
              <w:widowControl w:val="0"/>
              <w:jc w:val="center"/>
              <w:rPr>
                <w:rFonts w:eastAsia="Times New Roman" w:cs="Calibri"/>
                <w:color w:val="000000"/>
                <w:sz w:val="18"/>
                <w:szCs w:val="18"/>
                <w:lang w:val="fr-FR"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74301A8" w14:textId="77777777" w:rsidR="00B046C3" w:rsidRPr="004E13E9" w:rsidRDefault="00B046C3" w:rsidP="000D1853">
            <w:pPr>
              <w:widowControl w:val="0"/>
              <w:jc w:val="both"/>
              <w:rPr>
                <w:rFonts w:eastAsia="Times New Roman" w:cs="Calibri"/>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10A3848B" w14:textId="77777777" w:rsidR="00B046C3" w:rsidRPr="004E13E9" w:rsidRDefault="00B046C3" w:rsidP="000D1853">
            <w:pPr>
              <w:widowControl w:val="0"/>
              <w:jc w:val="center"/>
              <w:rPr>
                <w:rFonts w:eastAsia="Times New Roman" w:cs="Calibri"/>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6C207B4C" w14:textId="77777777" w:rsidR="00B046C3" w:rsidRPr="004E13E9" w:rsidRDefault="00B046C3" w:rsidP="000D1853">
            <w:pPr>
              <w:widowControl w:val="0"/>
              <w:jc w:val="both"/>
              <w:rPr>
                <w:rFonts w:eastAsia="Times New Roman" w:cs="Calibri"/>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hideMark/>
          </w:tcPr>
          <w:p w14:paraId="3526F24B" w14:textId="77777777" w:rsidR="00B046C3" w:rsidRPr="004E13E9" w:rsidRDefault="00B046C3" w:rsidP="000D1853">
            <w:pPr>
              <w:rPr>
                <w:rFonts w:eastAsia="MS Gothic" w:cs="Times New Roman"/>
                <w:lang w:val="fr-FR"/>
              </w:rPr>
            </w:pPr>
          </w:p>
        </w:tc>
        <w:tc>
          <w:tcPr>
            <w:tcW w:w="904" w:type="dxa"/>
            <w:tcBorders>
              <w:top w:val="single" w:sz="4" w:space="0" w:color="auto"/>
              <w:left w:val="single" w:sz="4" w:space="0" w:color="auto"/>
              <w:bottom w:val="single" w:sz="4" w:space="0" w:color="auto"/>
              <w:right w:val="single" w:sz="4" w:space="0" w:color="auto"/>
            </w:tcBorders>
            <w:vAlign w:val="center"/>
            <w:hideMark/>
          </w:tcPr>
          <w:p w14:paraId="3229FF70" w14:textId="77777777" w:rsidR="00B046C3" w:rsidRPr="004E13E9" w:rsidRDefault="00B046C3" w:rsidP="000D1853">
            <w:pPr>
              <w:widowControl w:val="0"/>
              <w:jc w:val="center"/>
              <w:rPr>
                <w:rFonts w:eastAsia="MS Gothic" w:cs="Times New Roman"/>
                <w:color w:val="000000"/>
                <w:sz w:val="18"/>
                <w:szCs w:val="18"/>
                <w:lang w:eastAsia="fr-FR" w:bidi="fr-FR"/>
              </w:rPr>
            </w:pPr>
            <w:r w:rsidRPr="004E13E9">
              <w:rPr>
                <w:rFonts w:eastAsia="MS Gothic" w:cs="Times New Roman"/>
                <w:color w:val="000000"/>
                <w:sz w:val="18"/>
                <w:szCs w:val="24"/>
                <w:lang w:eastAsia="fr-FR" w:bidi="fr-FR"/>
              </w:rPr>
              <w:t>0,56%</w:t>
            </w:r>
          </w:p>
        </w:tc>
        <w:tc>
          <w:tcPr>
            <w:tcW w:w="849" w:type="dxa"/>
            <w:tcBorders>
              <w:top w:val="single" w:sz="4" w:space="0" w:color="auto"/>
              <w:left w:val="single" w:sz="4" w:space="0" w:color="auto"/>
              <w:bottom w:val="single" w:sz="4" w:space="0" w:color="auto"/>
              <w:right w:val="single" w:sz="4" w:space="0" w:color="auto"/>
            </w:tcBorders>
            <w:vAlign w:val="center"/>
            <w:hideMark/>
          </w:tcPr>
          <w:p w14:paraId="10393D83" w14:textId="77777777" w:rsidR="00B046C3" w:rsidRPr="004E13E9" w:rsidRDefault="00B046C3" w:rsidP="000D1853">
            <w:pPr>
              <w:widowControl w:val="0"/>
              <w:jc w:val="center"/>
              <w:rPr>
                <w:rFonts w:eastAsia="MS Gothic" w:cs="Times New Roman"/>
                <w:color w:val="000000"/>
                <w:sz w:val="18"/>
                <w:szCs w:val="18"/>
                <w:lang w:eastAsia="fr-FR" w:bidi="fr-FR"/>
              </w:rPr>
            </w:pPr>
            <w:r w:rsidRPr="004E13E9">
              <w:rPr>
                <w:rFonts w:eastAsia="MS Gothic" w:cs="Times New Roman"/>
                <w:color w:val="000000"/>
                <w:sz w:val="18"/>
                <w:szCs w:val="24"/>
                <w:lang w:eastAsia="fr-FR" w:bidi="fr-FR"/>
              </w:rPr>
              <w:t>0,38%</w:t>
            </w:r>
          </w:p>
        </w:tc>
        <w:tc>
          <w:tcPr>
            <w:tcW w:w="850" w:type="dxa"/>
            <w:tcBorders>
              <w:top w:val="single" w:sz="4" w:space="0" w:color="auto"/>
              <w:left w:val="single" w:sz="4" w:space="0" w:color="auto"/>
              <w:bottom w:val="single" w:sz="4" w:space="0" w:color="auto"/>
              <w:right w:val="single" w:sz="4" w:space="0" w:color="auto"/>
            </w:tcBorders>
            <w:vAlign w:val="center"/>
            <w:hideMark/>
          </w:tcPr>
          <w:p w14:paraId="7EF98B8D" w14:textId="77777777" w:rsidR="00B046C3" w:rsidRPr="004E13E9" w:rsidRDefault="00B046C3" w:rsidP="000D1853">
            <w:pPr>
              <w:widowControl w:val="0"/>
              <w:jc w:val="center"/>
              <w:rPr>
                <w:rFonts w:eastAsia="MS Gothic" w:cs="Times New Roman"/>
                <w:color w:val="000000"/>
                <w:sz w:val="18"/>
                <w:szCs w:val="18"/>
                <w:lang w:eastAsia="fr-FR" w:bidi="fr-FR"/>
              </w:rPr>
            </w:pPr>
            <w:r w:rsidRPr="004E13E9">
              <w:rPr>
                <w:rFonts w:eastAsia="MS Gothic" w:cs="Times New Roman"/>
                <w:color w:val="000000"/>
                <w:sz w:val="18"/>
                <w:szCs w:val="24"/>
                <w:lang w:eastAsia="fr-FR" w:bidi="fr-FR"/>
              </w:rPr>
              <w:t>0,38%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6B8C92" w14:textId="77777777" w:rsidR="00B046C3" w:rsidRPr="004E13E9" w:rsidRDefault="00B046C3" w:rsidP="000D1853">
            <w:pPr>
              <w:widowControl w:val="0"/>
              <w:jc w:val="center"/>
              <w:rPr>
                <w:rFonts w:eastAsia="MS Gothic" w:cs="Times New Roman"/>
                <w:color w:val="000000"/>
                <w:sz w:val="18"/>
                <w:szCs w:val="18"/>
                <w:lang w:eastAsia="fr-FR" w:bidi="fr-FR"/>
              </w:rPr>
            </w:pPr>
            <w:r w:rsidRPr="004E13E9">
              <w:rPr>
                <w:rFonts w:eastAsia="MS Gothic" w:cs="Times New Roman"/>
                <w:color w:val="000000"/>
                <w:sz w:val="18"/>
                <w:szCs w:val="24"/>
                <w:lang w:eastAsia="fr-FR" w:bidi="fr-FR"/>
              </w:rPr>
              <w:t>0,22%</w:t>
            </w:r>
          </w:p>
        </w:tc>
      </w:tr>
      <w:tr w:rsidR="00B046C3" w:rsidRPr="004E13E9" w14:paraId="741DC47A"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413B1E2C" w14:textId="77777777" w:rsidR="00B046C3" w:rsidRPr="004E13E9" w:rsidRDefault="00B046C3" w:rsidP="000D1853">
            <w:pPr>
              <w:widowControl w:val="0"/>
              <w:jc w:val="both"/>
              <w:rPr>
                <w:rFonts w:eastAsia="Times New Roman" w:cs="Calibri"/>
                <w:b/>
                <w:bCs/>
                <w:color w:val="000000"/>
                <w:sz w:val="18"/>
                <w:szCs w:val="18"/>
                <w:lang w:eastAsia="fr-FR" w:bidi="fr-FR"/>
              </w:rPr>
            </w:pPr>
            <w:r w:rsidRPr="004E13E9">
              <w:rPr>
                <w:rFonts w:eastAsia="MS Gothic" w:cs="Times New Roman"/>
                <w:b/>
                <w:color w:val="000000"/>
                <w:sz w:val="18"/>
                <w:szCs w:val="24"/>
                <w:lang w:eastAsia="fr-FR" w:bidi="fr-FR"/>
              </w:rPr>
              <w:t xml:space="preserve">Allocation aux </w:t>
            </w:r>
            <w:proofErr w:type="spellStart"/>
            <w:r w:rsidRPr="004E13E9">
              <w:rPr>
                <w:rFonts w:eastAsia="MS Gothic" w:cs="Times New Roman"/>
                <w:b/>
                <w:color w:val="000000"/>
                <w:sz w:val="18"/>
                <w:szCs w:val="24"/>
                <w:lang w:eastAsia="fr-FR" w:bidi="fr-FR"/>
              </w:rPr>
              <w:t>prises</w:t>
            </w:r>
            <w:proofErr w:type="spellEnd"/>
            <w:r w:rsidRPr="004E13E9">
              <w:rPr>
                <w:rFonts w:eastAsia="MS Gothic" w:cs="Times New Roman"/>
                <w:b/>
                <w:color w:val="000000"/>
                <w:sz w:val="18"/>
                <w:szCs w:val="24"/>
                <w:lang w:eastAsia="fr-FR" w:bidi="fr-FR"/>
              </w:rPr>
              <w:t xml:space="preserve"> </w:t>
            </w:r>
            <w:proofErr w:type="spellStart"/>
            <w:r w:rsidRPr="004E13E9">
              <w:rPr>
                <w:rFonts w:eastAsia="MS Gothic" w:cs="Times New Roman"/>
                <w:b/>
                <w:color w:val="000000"/>
                <w:sz w:val="18"/>
                <w:szCs w:val="24"/>
                <w:lang w:eastAsia="fr-FR" w:bidi="fr-FR"/>
              </w:rPr>
              <w:t>accessoires</w:t>
            </w:r>
            <w:proofErr w:type="spellEnd"/>
          </w:p>
        </w:tc>
        <w:tc>
          <w:tcPr>
            <w:tcW w:w="1843" w:type="dxa"/>
            <w:tcBorders>
              <w:top w:val="single" w:sz="4" w:space="0" w:color="auto"/>
              <w:left w:val="single" w:sz="4" w:space="0" w:color="auto"/>
              <w:bottom w:val="single" w:sz="4" w:space="0" w:color="auto"/>
              <w:right w:val="single" w:sz="4" w:space="0" w:color="auto"/>
            </w:tcBorders>
            <w:noWrap/>
            <w:vAlign w:val="center"/>
          </w:tcPr>
          <w:p w14:paraId="140153C8" w14:textId="77777777" w:rsidR="00B046C3" w:rsidRPr="004E13E9" w:rsidRDefault="00B046C3" w:rsidP="000D1853">
            <w:pPr>
              <w:widowControl w:val="0"/>
              <w:jc w:val="right"/>
              <w:rPr>
                <w:rFonts w:eastAsia="Times New Roman" w:cs="Calibri"/>
                <w:color w:val="000000"/>
                <w:sz w:val="18"/>
                <w:szCs w:val="18"/>
                <w:lang w:eastAsia="ja-JP" w:bidi="fr-FR"/>
              </w:rPr>
            </w:pPr>
          </w:p>
        </w:tc>
        <w:tc>
          <w:tcPr>
            <w:tcW w:w="708" w:type="dxa"/>
            <w:tcBorders>
              <w:top w:val="single" w:sz="4" w:space="0" w:color="auto"/>
              <w:left w:val="single" w:sz="4" w:space="0" w:color="auto"/>
              <w:bottom w:val="single" w:sz="4" w:space="0" w:color="auto"/>
              <w:right w:val="single" w:sz="4" w:space="0" w:color="auto"/>
            </w:tcBorders>
          </w:tcPr>
          <w:p w14:paraId="11F7D250"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B4BF272"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tcPr>
          <w:p w14:paraId="5BA0DFC5"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tcPr>
          <w:p w14:paraId="45B5792F"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1" w:type="dxa"/>
            <w:tcBorders>
              <w:top w:val="single" w:sz="4" w:space="0" w:color="auto"/>
              <w:left w:val="single" w:sz="4" w:space="0" w:color="auto"/>
              <w:bottom w:val="single" w:sz="4" w:space="0" w:color="auto"/>
              <w:right w:val="single" w:sz="4" w:space="0" w:color="auto"/>
            </w:tcBorders>
            <w:vAlign w:val="center"/>
          </w:tcPr>
          <w:p w14:paraId="5DF6DA23"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621B574A"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4DF0A546"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tcPr>
          <w:p w14:paraId="24013DC8"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5EABE2D8"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032A535C"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09CCB090"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904" w:type="dxa"/>
            <w:tcBorders>
              <w:top w:val="single" w:sz="4" w:space="0" w:color="auto"/>
              <w:left w:val="single" w:sz="4" w:space="0" w:color="auto"/>
              <w:bottom w:val="single" w:sz="4" w:space="0" w:color="auto"/>
              <w:right w:val="single" w:sz="4" w:space="0" w:color="auto"/>
            </w:tcBorders>
            <w:vAlign w:val="center"/>
            <w:hideMark/>
          </w:tcPr>
          <w:p w14:paraId="0C9E4A60"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1</w:t>
            </w:r>
          </w:p>
        </w:tc>
        <w:tc>
          <w:tcPr>
            <w:tcW w:w="849" w:type="dxa"/>
            <w:tcBorders>
              <w:top w:val="single" w:sz="4" w:space="0" w:color="auto"/>
              <w:left w:val="single" w:sz="4" w:space="0" w:color="auto"/>
              <w:bottom w:val="single" w:sz="4" w:space="0" w:color="auto"/>
              <w:right w:val="single" w:sz="4" w:space="0" w:color="auto"/>
            </w:tcBorders>
            <w:vAlign w:val="center"/>
            <w:hideMark/>
          </w:tcPr>
          <w:p w14:paraId="2F9808FA"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1</w:t>
            </w:r>
          </w:p>
        </w:tc>
        <w:tc>
          <w:tcPr>
            <w:tcW w:w="850" w:type="dxa"/>
            <w:tcBorders>
              <w:top w:val="single" w:sz="4" w:space="0" w:color="auto"/>
              <w:left w:val="single" w:sz="4" w:space="0" w:color="auto"/>
              <w:bottom w:val="single" w:sz="4" w:space="0" w:color="auto"/>
              <w:right w:val="single" w:sz="4" w:space="0" w:color="auto"/>
            </w:tcBorders>
            <w:vAlign w:val="center"/>
            <w:hideMark/>
          </w:tcPr>
          <w:p w14:paraId="769D2DAC"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EE040B" w14:textId="77777777" w:rsidR="00B046C3" w:rsidRPr="004E13E9" w:rsidRDefault="00B046C3" w:rsidP="000D1853">
            <w:pPr>
              <w:widowControl w:val="0"/>
              <w:jc w:val="center"/>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1</w:t>
            </w:r>
          </w:p>
        </w:tc>
      </w:tr>
      <w:tr w:rsidR="00B046C3" w:rsidRPr="00C712A4" w14:paraId="5834191E"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35077C26" w14:textId="77777777" w:rsidR="00B046C3" w:rsidRPr="004E13E9" w:rsidRDefault="00B046C3" w:rsidP="000D1853">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Quota de recherche scientifique</w:t>
            </w:r>
          </w:p>
          <w:p w14:paraId="7B329325" w14:textId="77777777" w:rsidR="00B046C3" w:rsidRPr="004E13E9" w:rsidRDefault="00B046C3" w:rsidP="000D1853">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(le cas échéant)</w:t>
            </w:r>
          </w:p>
        </w:tc>
        <w:tc>
          <w:tcPr>
            <w:tcW w:w="1843" w:type="dxa"/>
            <w:tcBorders>
              <w:top w:val="single" w:sz="4" w:space="0" w:color="auto"/>
              <w:left w:val="single" w:sz="4" w:space="0" w:color="auto"/>
              <w:bottom w:val="single" w:sz="4" w:space="0" w:color="auto"/>
              <w:right w:val="single" w:sz="4" w:space="0" w:color="auto"/>
            </w:tcBorders>
            <w:noWrap/>
            <w:vAlign w:val="center"/>
          </w:tcPr>
          <w:p w14:paraId="5E43EE5F" w14:textId="77777777" w:rsidR="00B046C3" w:rsidRPr="004E13E9" w:rsidRDefault="00B046C3" w:rsidP="000D1853">
            <w:pPr>
              <w:widowControl w:val="0"/>
              <w:jc w:val="right"/>
              <w:rPr>
                <w:rFonts w:eastAsia="Times New Roman" w:cs="Calibri"/>
                <w:b/>
                <w:bCs/>
                <w:color w:val="000000"/>
                <w:sz w:val="18"/>
                <w:szCs w:val="18"/>
                <w:lang w:val="fr-FR" w:eastAsia="ja-JP" w:bidi="fr-FR"/>
              </w:rPr>
            </w:pPr>
          </w:p>
        </w:tc>
        <w:tc>
          <w:tcPr>
            <w:tcW w:w="708" w:type="dxa"/>
            <w:tcBorders>
              <w:top w:val="single" w:sz="4" w:space="0" w:color="auto"/>
              <w:left w:val="single" w:sz="4" w:space="0" w:color="auto"/>
              <w:bottom w:val="single" w:sz="4" w:space="0" w:color="auto"/>
              <w:right w:val="single" w:sz="4" w:space="0" w:color="auto"/>
            </w:tcBorders>
          </w:tcPr>
          <w:p w14:paraId="6F1C9D22" w14:textId="77777777" w:rsidR="00B046C3" w:rsidRPr="004E13E9" w:rsidRDefault="00B046C3" w:rsidP="000D1853">
            <w:pPr>
              <w:widowControl w:val="0"/>
              <w:jc w:val="both"/>
              <w:rPr>
                <w:rFonts w:eastAsia="Times New Roman" w:cs="Calibri"/>
                <w:b/>
                <w:bCs/>
                <w:color w:val="000000"/>
                <w:sz w:val="18"/>
                <w:szCs w:val="18"/>
                <w:lang w:val="fr-FR"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7C50D66" w14:textId="77777777" w:rsidR="00B046C3" w:rsidRPr="004E13E9" w:rsidRDefault="00B046C3" w:rsidP="000D1853">
            <w:pPr>
              <w:widowControl w:val="0"/>
              <w:jc w:val="center"/>
              <w:rPr>
                <w:rFonts w:eastAsia="Times New Roman" w:cs="Calibri"/>
                <w:b/>
                <w:bCs/>
                <w:color w:val="000000"/>
                <w:sz w:val="18"/>
                <w:szCs w:val="18"/>
                <w:lang w:val="fr-FR"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tcPr>
          <w:p w14:paraId="1D9FD933" w14:textId="77777777" w:rsidR="00B046C3" w:rsidRPr="004E13E9" w:rsidRDefault="00B046C3" w:rsidP="000D1853">
            <w:pPr>
              <w:widowControl w:val="0"/>
              <w:jc w:val="center"/>
              <w:rPr>
                <w:rFonts w:eastAsia="Times New Roman" w:cs="Calibri"/>
                <w:b/>
                <w:bCs/>
                <w:color w:val="000000"/>
                <w:sz w:val="18"/>
                <w:szCs w:val="18"/>
                <w:lang w:val="fr-FR"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tcPr>
          <w:p w14:paraId="185C3686" w14:textId="77777777" w:rsidR="00B046C3" w:rsidRPr="004E13E9" w:rsidRDefault="00B046C3" w:rsidP="000D1853">
            <w:pPr>
              <w:widowControl w:val="0"/>
              <w:jc w:val="center"/>
              <w:rPr>
                <w:rFonts w:eastAsia="Times New Roman" w:cs="Calibri"/>
                <w:b/>
                <w:bCs/>
                <w:color w:val="000000"/>
                <w:sz w:val="18"/>
                <w:szCs w:val="18"/>
                <w:lang w:val="fr-FR" w:eastAsia="ja-JP" w:bidi="fr-FR"/>
              </w:rPr>
            </w:pPr>
          </w:p>
        </w:tc>
        <w:tc>
          <w:tcPr>
            <w:tcW w:w="611" w:type="dxa"/>
            <w:tcBorders>
              <w:top w:val="single" w:sz="4" w:space="0" w:color="auto"/>
              <w:left w:val="single" w:sz="4" w:space="0" w:color="auto"/>
              <w:bottom w:val="single" w:sz="4" w:space="0" w:color="auto"/>
              <w:right w:val="single" w:sz="4" w:space="0" w:color="auto"/>
            </w:tcBorders>
            <w:vAlign w:val="center"/>
          </w:tcPr>
          <w:p w14:paraId="24A4609D" w14:textId="77777777" w:rsidR="00B046C3" w:rsidRPr="004E13E9" w:rsidRDefault="00B046C3" w:rsidP="000D1853">
            <w:pPr>
              <w:widowControl w:val="0"/>
              <w:jc w:val="center"/>
              <w:rPr>
                <w:rFonts w:eastAsia="Times New Roman" w:cs="Calibri"/>
                <w:b/>
                <w:bCs/>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511B27C6" w14:textId="77777777" w:rsidR="00B046C3" w:rsidRPr="004E13E9" w:rsidRDefault="00B046C3" w:rsidP="000D1853">
            <w:pPr>
              <w:widowControl w:val="0"/>
              <w:jc w:val="center"/>
              <w:rPr>
                <w:rFonts w:eastAsia="Times New Roman" w:cs="Calibri"/>
                <w:b/>
                <w:bCs/>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19D1AE60" w14:textId="77777777" w:rsidR="00B046C3" w:rsidRPr="004E13E9" w:rsidRDefault="00B046C3" w:rsidP="000D1853">
            <w:pPr>
              <w:widowControl w:val="0"/>
              <w:jc w:val="center"/>
              <w:rPr>
                <w:rFonts w:eastAsia="Times New Roman" w:cs="Calibri"/>
                <w:color w:val="000000"/>
                <w:sz w:val="18"/>
                <w:szCs w:val="18"/>
                <w:lang w:val="fr-FR"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tcPr>
          <w:p w14:paraId="1C1B4B61" w14:textId="77777777" w:rsidR="00B046C3" w:rsidRPr="004E13E9" w:rsidRDefault="00B046C3" w:rsidP="000D1853">
            <w:pPr>
              <w:widowControl w:val="0"/>
              <w:jc w:val="center"/>
              <w:rPr>
                <w:rFonts w:eastAsia="Times New Roman" w:cs="Calibri"/>
                <w:b/>
                <w:bCs/>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5E278C0C" w14:textId="77777777" w:rsidR="00B046C3" w:rsidRPr="004E13E9" w:rsidRDefault="00B046C3" w:rsidP="000D1853">
            <w:pPr>
              <w:widowControl w:val="0"/>
              <w:jc w:val="center"/>
              <w:rPr>
                <w:rFonts w:eastAsia="Times New Roman" w:cs="Calibri"/>
                <w:b/>
                <w:bCs/>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2E3490F6" w14:textId="77777777" w:rsidR="00B046C3" w:rsidRPr="004E13E9" w:rsidRDefault="00B046C3" w:rsidP="000D1853">
            <w:pPr>
              <w:widowControl w:val="0"/>
              <w:jc w:val="center"/>
              <w:rPr>
                <w:rFonts w:eastAsia="Times New Roman" w:cs="Calibri"/>
                <w:b/>
                <w:bCs/>
                <w:color w:val="000000"/>
                <w:sz w:val="18"/>
                <w:szCs w:val="18"/>
                <w:lang w:val="fr-FR"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31A9F6B9" w14:textId="77777777" w:rsidR="00B046C3" w:rsidRPr="004E13E9" w:rsidRDefault="00B046C3" w:rsidP="000D1853">
            <w:pPr>
              <w:widowControl w:val="0"/>
              <w:jc w:val="center"/>
              <w:rPr>
                <w:rFonts w:eastAsia="Times New Roman" w:cs="Calibri"/>
                <w:b/>
                <w:bCs/>
                <w:color w:val="000000"/>
                <w:sz w:val="18"/>
                <w:szCs w:val="18"/>
                <w:lang w:val="fr-FR" w:eastAsia="ja-JP" w:bidi="fr-FR"/>
              </w:rPr>
            </w:pPr>
          </w:p>
        </w:tc>
        <w:tc>
          <w:tcPr>
            <w:tcW w:w="904" w:type="dxa"/>
            <w:tcBorders>
              <w:top w:val="single" w:sz="4" w:space="0" w:color="auto"/>
              <w:left w:val="single" w:sz="4" w:space="0" w:color="auto"/>
              <w:bottom w:val="single" w:sz="4" w:space="0" w:color="auto"/>
              <w:right w:val="single" w:sz="4" w:space="0" w:color="auto"/>
            </w:tcBorders>
            <w:noWrap/>
            <w:vAlign w:val="center"/>
          </w:tcPr>
          <w:p w14:paraId="606AEA60" w14:textId="77777777" w:rsidR="00B046C3" w:rsidRPr="004E13E9" w:rsidRDefault="00B046C3" w:rsidP="000D1853">
            <w:pPr>
              <w:widowControl w:val="0"/>
              <w:jc w:val="center"/>
              <w:rPr>
                <w:rFonts w:eastAsia="Times New Roman" w:cs="Calibri"/>
                <w:b/>
                <w:bCs/>
                <w:color w:val="000000"/>
                <w:sz w:val="18"/>
                <w:szCs w:val="18"/>
                <w:lang w:val="fr-FR" w:eastAsia="ja-JP" w:bidi="fr-FR"/>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0AE568C" w14:textId="77777777" w:rsidR="00B046C3" w:rsidRPr="004E13E9" w:rsidRDefault="00B046C3" w:rsidP="000D1853">
            <w:pPr>
              <w:widowControl w:val="0"/>
              <w:jc w:val="center"/>
              <w:rPr>
                <w:rFonts w:eastAsia="Times New Roman" w:cs="Calibri"/>
                <w:b/>
                <w:bCs/>
                <w:color w:val="000000"/>
                <w:sz w:val="18"/>
                <w:szCs w:val="18"/>
                <w:lang w:val="fr-FR" w:eastAsia="ja-JP" w:bidi="fr-FR"/>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B3ADB07" w14:textId="77777777" w:rsidR="00B046C3" w:rsidRPr="004E13E9" w:rsidRDefault="00B046C3" w:rsidP="000D1853">
            <w:pPr>
              <w:widowControl w:val="0"/>
              <w:jc w:val="center"/>
              <w:rPr>
                <w:rFonts w:eastAsia="Times New Roman" w:cs="Calibri"/>
                <w:b/>
                <w:bCs/>
                <w:color w:val="000000"/>
                <w:sz w:val="18"/>
                <w:szCs w:val="18"/>
                <w:lang w:val="fr-FR" w:eastAsia="ja-JP" w:bidi="fr-FR"/>
              </w:rPr>
            </w:pPr>
          </w:p>
        </w:tc>
        <w:tc>
          <w:tcPr>
            <w:tcW w:w="1134" w:type="dxa"/>
            <w:tcBorders>
              <w:top w:val="single" w:sz="4" w:space="0" w:color="auto"/>
              <w:left w:val="single" w:sz="4" w:space="0" w:color="auto"/>
              <w:bottom w:val="single" w:sz="4" w:space="0" w:color="auto"/>
              <w:right w:val="single" w:sz="4" w:space="0" w:color="auto"/>
            </w:tcBorders>
            <w:vAlign w:val="center"/>
          </w:tcPr>
          <w:p w14:paraId="5BF16ECA" w14:textId="77777777" w:rsidR="00B046C3" w:rsidRPr="004E13E9" w:rsidRDefault="00B046C3" w:rsidP="000D1853">
            <w:pPr>
              <w:widowControl w:val="0"/>
              <w:jc w:val="center"/>
              <w:rPr>
                <w:rFonts w:eastAsia="Times New Roman" w:cs="Calibri"/>
                <w:b/>
                <w:bCs/>
                <w:color w:val="000000"/>
                <w:sz w:val="18"/>
                <w:szCs w:val="18"/>
                <w:lang w:val="fr-FR" w:eastAsia="ja-JP" w:bidi="fr-FR"/>
              </w:rPr>
            </w:pPr>
          </w:p>
        </w:tc>
      </w:tr>
      <w:tr w:rsidR="00B046C3" w:rsidRPr="004E13E9" w14:paraId="0E6460B1"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61B476A7" w14:textId="77777777" w:rsidR="00B046C3" w:rsidRPr="004E13E9" w:rsidRDefault="00B046C3" w:rsidP="000D1853">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Tolérance pour la pêche sportive/récréative</w:t>
            </w:r>
          </w:p>
          <w:p w14:paraId="6338CDF1" w14:textId="77777777" w:rsidR="00B046C3" w:rsidRPr="004E13E9" w:rsidRDefault="00B046C3" w:rsidP="000D1853">
            <w:pPr>
              <w:widowControl w:val="0"/>
              <w:jc w:val="both"/>
              <w:rPr>
                <w:rFonts w:eastAsia="Times New Roman" w:cs="Calibri"/>
                <w:b/>
                <w:bCs/>
                <w:color w:val="000000"/>
                <w:sz w:val="18"/>
                <w:szCs w:val="18"/>
                <w:lang w:eastAsia="fr-FR" w:bidi="fr-FR"/>
              </w:rPr>
            </w:pPr>
            <w:r w:rsidRPr="004E13E9">
              <w:rPr>
                <w:rFonts w:eastAsia="MS Gothic" w:cs="Times New Roman"/>
                <w:b/>
                <w:color w:val="000000"/>
                <w:sz w:val="18"/>
                <w:szCs w:val="24"/>
                <w:lang w:eastAsia="fr-FR" w:bidi="fr-FR"/>
              </w:rPr>
              <w:t xml:space="preserve">(le </w:t>
            </w:r>
            <w:proofErr w:type="spellStart"/>
            <w:r w:rsidRPr="004E13E9">
              <w:rPr>
                <w:rFonts w:eastAsia="MS Gothic" w:cs="Times New Roman"/>
                <w:b/>
                <w:color w:val="000000"/>
                <w:sz w:val="18"/>
                <w:szCs w:val="24"/>
                <w:lang w:eastAsia="fr-FR" w:bidi="fr-FR"/>
              </w:rPr>
              <w:t>cas</w:t>
            </w:r>
            <w:proofErr w:type="spellEnd"/>
            <w:r w:rsidRPr="004E13E9">
              <w:rPr>
                <w:rFonts w:eastAsia="MS Gothic" w:cs="Times New Roman"/>
                <w:b/>
                <w:color w:val="000000"/>
                <w:sz w:val="18"/>
                <w:szCs w:val="24"/>
                <w:lang w:eastAsia="fr-FR" w:bidi="fr-FR"/>
              </w:rPr>
              <w:t xml:space="preserve"> échéant)</w:t>
            </w:r>
          </w:p>
        </w:tc>
        <w:tc>
          <w:tcPr>
            <w:tcW w:w="1843" w:type="dxa"/>
            <w:tcBorders>
              <w:top w:val="single" w:sz="4" w:space="0" w:color="auto"/>
              <w:left w:val="single" w:sz="4" w:space="0" w:color="auto"/>
              <w:bottom w:val="single" w:sz="4" w:space="0" w:color="auto"/>
              <w:right w:val="single" w:sz="4" w:space="0" w:color="auto"/>
            </w:tcBorders>
            <w:noWrap/>
            <w:vAlign w:val="center"/>
          </w:tcPr>
          <w:p w14:paraId="15417843" w14:textId="77777777" w:rsidR="00B046C3" w:rsidRPr="004E13E9" w:rsidRDefault="00B046C3" w:rsidP="000D1853">
            <w:pPr>
              <w:widowControl w:val="0"/>
              <w:jc w:val="right"/>
              <w:rPr>
                <w:rFonts w:eastAsia="Times New Roman" w:cs="Calibri"/>
                <w:b/>
                <w:bCs/>
                <w:color w:val="000000"/>
                <w:sz w:val="18"/>
                <w:szCs w:val="18"/>
                <w:lang w:eastAsia="ja-JP" w:bidi="fr-FR"/>
              </w:rPr>
            </w:pPr>
          </w:p>
        </w:tc>
        <w:tc>
          <w:tcPr>
            <w:tcW w:w="708" w:type="dxa"/>
            <w:tcBorders>
              <w:top w:val="single" w:sz="4" w:space="0" w:color="auto"/>
              <w:left w:val="single" w:sz="4" w:space="0" w:color="auto"/>
              <w:bottom w:val="single" w:sz="4" w:space="0" w:color="auto"/>
              <w:right w:val="single" w:sz="4" w:space="0" w:color="auto"/>
            </w:tcBorders>
          </w:tcPr>
          <w:p w14:paraId="0BAF506D"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FAD0DE8"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tcPr>
          <w:p w14:paraId="0CFB72D9"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tcPr>
          <w:p w14:paraId="2571A216"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1" w:type="dxa"/>
            <w:tcBorders>
              <w:top w:val="single" w:sz="4" w:space="0" w:color="auto"/>
              <w:left w:val="single" w:sz="4" w:space="0" w:color="auto"/>
              <w:bottom w:val="single" w:sz="4" w:space="0" w:color="auto"/>
              <w:right w:val="single" w:sz="4" w:space="0" w:color="auto"/>
            </w:tcBorders>
            <w:vAlign w:val="center"/>
          </w:tcPr>
          <w:p w14:paraId="1363E2C3"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79FF123A"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496B2E89"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tcPr>
          <w:p w14:paraId="2FE5142A"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0243534C"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6BDF3B63"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6DF62852"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904" w:type="dxa"/>
            <w:tcBorders>
              <w:top w:val="single" w:sz="4" w:space="0" w:color="auto"/>
              <w:left w:val="single" w:sz="4" w:space="0" w:color="auto"/>
              <w:bottom w:val="single" w:sz="4" w:space="0" w:color="auto"/>
              <w:right w:val="single" w:sz="4" w:space="0" w:color="auto"/>
            </w:tcBorders>
            <w:noWrap/>
            <w:vAlign w:val="center"/>
          </w:tcPr>
          <w:p w14:paraId="1775BD2A"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AE6B2FA"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F6CD592"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1134" w:type="dxa"/>
            <w:tcBorders>
              <w:top w:val="single" w:sz="4" w:space="0" w:color="auto"/>
              <w:left w:val="single" w:sz="4" w:space="0" w:color="auto"/>
              <w:bottom w:val="single" w:sz="4" w:space="0" w:color="auto"/>
              <w:right w:val="single" w:sz="4" w:space="0" w:color="auto"/>
            </w:tcBorders>
            <w:vAlign w:val="center"/>
          </w:tcPr>
          <w:p w14:paraId="2D4A1716" w14:textId="77777777" w:rsidR="00B046C3" w:rsidRPr="004E13E9" w:rsidRDefault="00B046C3" w:rsidP="000D1853">
            <w:pPr>
              <w:widowControl w:val="0"/>
              <w:jc w:val="center"/>
              <w:rPr>
                <w:rFonts w:eastAsia="Times New Roman" w:cs="Calibri"/>
                <w:b/>
                <w:bCs/>
                <w:color w:val="000000"/>
                <w:sz w:val="18"/>
                <w:szCs w:val="18"/>
                <w:lang w:eastAsia="ja-JP" w:bidi="fr-FR"/>
              </w:rPr>
            </w:pPr>
          </w:p>
        </w:tc>
      </w:tr>
      <w:tr w:rsidR="00B046C3" w:rsidRPr="004E13E9" w14:paraId="48194B13"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14:paraId="3BDE1488" w14:textId="77777777" w:rsidR="00B046C3" w:rsidRPr="004E13E9" w:rsidRDefault="00B046C3" w:rsidP="000D1853">
            <w:pPr>
              <w:widowControl w:val="0"/>
              <w:jc w:val="both"/>
              <w:rPr>
                <w:rFonts w:eastAsia="Times New Roman" w:cs="Calibri"/>
                <w:b/>
                <w:bCs/>
                <w:color w:val="000000"/>
                <w:sz w:val="18"/>
                <w:szCs w:val="18"/>
                <w:lang w:eastAsia="fr-FR" w:bidi="fr-FR"/>
              </w:rPr>
            </w:pPr>
            <w:r w:rsidRPr="004E13E9">
              <w:rPr>
                <w:rFonts w:eastAsia="MS Gothic" w:cs="Times New Roman"/>
                <w:b/>
                <w:color w:val="000000"/>
                <w:sz w:val="18"/>
                <w:szCs w:val="24"/>
                <w:lang w:eastAsia="fr-FR" w:bidi="fr-FR"/>
              </w:rPr>
              <w:t>Quota disponible</w:t>
            </w:r>
          </w:p>
        </w:tc>
        <w:tc>
          <w:tcPr>
            <w:tcW w:w="1843" w:type="dxa"/>
            <w:tcBorders>
              <w:top w:val="single" w:sz="4" w:space="0" w:color="auto"/>
              <w:left w:val="single" w:sz="4" w:space="0" w:color="auto"/>
              <w:bottom w:val="single" w:sz="4" w:space="0" w:color="auto"/>
              <w:right w:val="single" w:sz="4" w:space="0" w:color="auto"/>
            </w:tcBorders>
            <w:noWrap/>
            <w:vAlign w:val="center"/>
          </w:tcPr>
          <w:p w14:paraId="51C68204" w14:textId="77777777" w:rsidR="00B046C3" w:rsidRPr="004E13E9" w:rsidRDefault="00B046C3" w:rsidP="000D1853">
            <w:pPr>
              <w:widowControl w:val="0"/>
              <w:jc w:val="right"/>
              <w:rPr>
                <w:rFonts w:eastAsia="Times New Roman" w:cs="Calibri"/>
                <w:b/>
                <w:bCs/>
                <w:color w:val="000000"/>
                <w:sz w:val="18"/>
                <w:szCs w:val="18"/>
                <w:lang w:eastAsia="ja-JP" w:bidi="fr-FR"/>
              </w:rPr>
            </w:pPr>
          </w:p>
        </w:tc>
        <w:tc>
          <w:tcPr>
            <w:tcW w:w="708" w:type="dxa"/>
            <w:tcBorders>
              <w:top w:val="single" w:sz="4" w:space="0" w:color="auto"/>
              <w:left w:val="single" w:sz="4" w:space="0" w:color="auto"/>
              <w:bottom w:val="single" w:sz="4" w:space="0" w:color="auto"/>
              <w:right w:val="single" w:sz="4" w:space="0" w:color="auto"/>
            </w:tcBorders>
          </w:tcPr>
          <w:p w14:paraId="4776C0C6" w14:textId="77777777" w:rsidR="00B046C3" w:rsidRPr="004E13E9" w:rsidRDefault="00B046C3" w:rsidP="000D1853">
            <w:pPr>
              <w:widowControl w:val="0"/>
              <w:jc w:val="both"/>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1CE464B"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tcPr>
          <w:p w14:paraId="516B8755"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vAlign w:val="center"/>
          </w:tcPr>
          <w:p w14:paraId="2533AAC9"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1" w:type="dxa"/>
            <w:tcBorders>
              <w:top w:val="single" w:sz="4" w:space="0" w:color="auto"/>
              <w:left w:val="single" w:sz="4" w:space="0" w:color="auto"/>
              <w:bottom w:val="single" w:sz="4" w:space="0" w:color="auto"/>
              <w:right w:val="single" w:sz="4" w:space="0" w:color="auto"/>
            </w:tcBorders>
            <w:vAlign w:val="center"/>
          </w:tcPr>
          <w:p w14:paraId="4A2BB1DE"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09536B1E"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60410CBA"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tcPr>
          <w:p w14:paraId="3A922991"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14516C08"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12AA25E8"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vAlign w:val="center"/>
          </w:tcPr>
          <w:p w14:paraId="247CF532" w14:textId="77777777" w:rsidR="00B046C3" w:rsidRPr="004E13E9" w:rsidRDefault="00B046C3" w:rsidP="000D1853">
            <w:pPr>
              <w:widowControl w:val="0"/>
              <w:jc w:val="center"/>
              <w:rPr>
                <w:rFonts w:eastAsia="Times New Roman" w:cs="Calibri"/>
                <w:b/>
                <w:bCs/>
                <w:color w:val="000000"/>
                <w:sz w:val="18"/>
                <w:szCs w:val="18"/>
                <w:lang w:eastAsia="ja-JP" w:bidi="fr-FR"/>
              </w:rPr>
            </w:pPr>
          </w:p>
        </w:tc>
        <w:tc>
          <w:tcPr>
            <w:tcW w:w="904" w:type="dxa"/>
            <w:tcBorders>
              <w:top w:val="single" w:sz="4" w:space="0" w:color="auto"/>
              <w:left w:val="single" w:sz="4" w:space="0" w:color="auto"/>
              <w:bottom w:val="single" w:sz="4" w:space="0" w:color="auto"/>
              <w:right w:val="single" w:sz="4" w:space="0" w:color="auto"/>
            </w:tcBorders>
            <w:noWrap/>
            <w:vAlign w:val="center"/>
            <w:hideMark/>
          </w:tcPr>
          <w:p w14:paraId="68D756AE" w14:textId="77777777" w:rsidR="00B046C3" w:rsidRPr="004E13E9" w:rsidRDefault="00B046C3" w:rsidP="000D1853">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177,5</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2825310C" w14:textId="77777777" w:rsidR="00B046C3" w:rsidRPr="004E13E9" w:rsidRDefault="00B046C3" w:rsidP="000D1853">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263</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35D7590D" w14:textId="77777777" w:rsidR="00B046C3" w:rsidRPr="004E13E9" w:rsidRDefault="00B046C3" w:rsidP="000D1853">
            <w:pPr>
              <w:widowControl w:val="0"/>
              <w:jc w:val="center"/>
              <w:rPr>
                <w:rFonts w:eastAsia="Times New Roman" w:cs="Calibri"/>
                <w:b/>
                <w:bCs/>
                <w:color w:val="000000"/>
                <w:sz w:val="18"/>
                <w:szCs w:val="18"/>
                <w:lang w:eastAsia="fr-FR" w:bidi="fr-FR"/>
              </w:rPr>
            </w:pPr>
            <w:r w:rsidRPr="004E13E9">
              <w:rPr>
                <w:rFonts w:eastAsia="MS Gothic" w:cs="Times New Roman"/>
                <w:b/>
                <w:color w:val="000000"/>
                <w:sz w:val="18"/>
                <w:szCs w:val="24"/>
                <w:lang w:eastAsia="fr-FR" w:bidi="fr-FR"/>
              </w:rPr>
              <w:t>263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800A56" w14:textId="77777777" w:rsidR="00B046C3" w:rsidRPr="004E13E9" w:rsidRDefault="00B046C3" w:rsidP="000D1853">
            <w:pPr>
              <w:widowControl w:val="0"/>
              <w:jc w:val="center"/>
              <w:rPr>
                <w:rFonts w:eastAsia="Times New Roman" w:cs="Calibri"/>
                <w:b/>
                <w:bCs/>
                <w:color w:val="000000"/>
                <w:sz w:val="18"/>
                <w:szCs w:val="18"/>
                <w:lang w:eastAsia="fr-FR" w:bidi="fr-FR"/>
              </w:rPr>
            </w:pPr>
            <w:r w:rsidRPr="004E13E9">
              <w:rPr>
                <w:rFonts w:eastAsia="MS Gothic" w:cs="Times New Roman"/>
                <w:b/>
                <w:color w:val="000000"/>
                <w:sz w:val="18"/>
                <w:szCs w:val="24"/>
                <w:lang w:eastAsia="fr-FR" w:bidi="fr-FR"/>
              </w:rPr>
              <w:t>456,37</w:t>
            </w:r>
          </w:p>
        </w:tc>
      </w:tr>
      <w:tr w:rsidR="00B046C3" w:rsidRPr="004E13E9" w14:paraId="0F4F8A41" w14:textId="77777777" w:rsidTr="000D1853">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D61FCD6" w14:textId="77777777" w:rsidR="00B046C3" w:rsidRPr="004E13E9" w:rsidRDefault="00B046C3" w:rsidP="000D1853">
            <w:pPr>
              <w:widowControl w:val="0"/>
              <w:jc w:val="both"/>
              <w:rPr>
                <w:rFonts w:eastAsia="Times New Roman" w:cs="Calibri"/>
                <w:b/>
                <w:bCs/>
                <w:color w:val="000000"/>
                <w:sz w:val="18"/>
                <w:szCs w:val="18"/>
                <w:lang w:eastAsia="fr-FR" w:bidi="fr-FR"/>
              </w:rPr>
            </w:pPr>
            <w:r w:rsidRPr="004E13E9">
              <w:rPr>
                <w:rFonts w:eastAsia="MS Gothic" w:cs="Times New Roman"/>
                <w:b/>
                <w:color w:val="000000"/>
                <w:sz w:val="18"/>
                <w:szCs w:val="24"/>
                <w:lang w:eastAsia="fr-FR" w:bidi="fr-FR"/>
              </w:rPr>
              <w:t>Sous/</w:t>
            </w:r>
            <w:proofErr w:type="spellStart"/>
            <w:r w:rsidRPr="004E13E9">
              <w:rPr>
                <w:rFonts w:eastAsia="MS Gothic" w:cs="Times New Roman"/>
                <w:b/>
                <w:color w:val="000000"/>
                <w:sz w:val="18"/>
                <w:szCs w:val="24"/>
                <w:lang w:eastAsia="fr-FR" w:bidi="fr-FR"/>
              </w:rPr>
              <w:t>surcapacité</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32D448F" w14:textId="77777777" w:rsidR="00B046C3" w:rsidRPr="004E13E9" w:rsidRDefault="00B046C3" w:rsidP="000D1853">
            <w:pPr>
              <w:widowControl w:val="0"/>
              <w:jc w:val="right"/>
              <w:rPr>
                <w:rFonts w:eastAsia="Times New Roman" w:cs="Calibri"/>
                <w:color w:val="000000"/>
                <w:sz w:val="18"/>
                <w:szCs w:val="18"/>
                <w:lang w:eastAsia="fr-FR" w:bidi="fr-FR"/>
              </w:rPr>
            </w:pPr>
            <w:r w:rsidRPr="004E13E9">
              <w:rPr>
                <w:rFonts w:eastAsia="MS Gothic" w:cs="Times New Roman"/>
                <w:color w:val="000000"/>
                <w:sz w:val="18"/>
                <w:szCs w:val="24"/>
                <w:lang w:eastAsia="fr-FR" w:bidi="fr-FR"/>
              </w:rPr>
              <w:t> </w:t>
            </w:r>
          </w:p>
        </w:tc>
        <w:tc>
          <w:tcPr>
            <w:tcW w:w="708" w:type="dxa"/>
            <w:tcBorders>
              <w:top w:val="single" w:sz="4" w:space="0" w:color="auto"/>
              <w:left w:val="single" w:sz="4" w:space="0" w:color="auto"/>
              <w:bottom w:val="single" w:sz="4" w:space="0" w:color="auto"/>
              <w:right w:val="single" w:sz="4" w:space="0" w:color="auto"/>
            </w:tcBorders>
            <w:shd w:val="clear" w:color="auto" w:fill="D9D9D9"/>
          </w:tcPr>
          <w:p w14:paraId="7AABD8DE"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DABC253"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14AB681" w14:textId="77777777" w:rsidR="00B046C3" w:rsidRPr="004E13E9" w:rsidRDefault="00B046C3" w:rsidP="000D1853">
            <w:pPr>
              <w:rPr>
                <w:rFonts w:eastAsia="MS Gothic"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48503A" w14:textId="77777777" w:rsidR="00B046C3" w:rsidRPr="004E13E9" w:rsidRDefault="00B046C3" w:rsidP="000D1853">
            <w:pPr>
              <w:rPr>
                <w:rFonts w:eastAsia="MS Gothic" w:cs="Times New Roman"/>
              </w:rPr>
            </w:pPr>
          </w:p>
        </w:tc>
        <w:tc>
          <w:tcPr>
            <w:tcW w:w="61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3A80FB" w14:textId="77777777" w:rsidR="00B046C3" w:rsidRPr="004E13E9" w:rsidRDefault="00B046C3" w:rsidP="000D1853">
            <w:pPr>
              <w:rPr>
                <w:rFonts w:eastAsia="MS Gothic" w:cs="Times New Roman"/>
              </w:rPr>
            </w:pPr>
          </w:p>
        </w:tc>
        <w:tc>
          <w:tcPr>
            <w:tcW w:w="614" w:type="dxa"/>
            <w:tcBorders>
              <w:top w:val="single" w:sz="4" w:space="0" w:color="auto"/>
              <w:left w:val="single" w:sz="4" w:space="0" w:color="auto"/>
              <w:bottom w:val="single" w:sz="4" w:space="0" w:color="auto"/>
              <w:right w:val="single" w:sz="4" w:space="0" w:color="auto"/>
            </w:tcBorders>
            <w:shd w:val="clear" w:color="auto" w:fill="D9D9D9"/>
            <w:vAlign w:val="center"/>
          </w:tcPr>
          <w:p w14:paraId="56731B10"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shd w:val="clear" w:color="auto" w:fill="D9D9D9"/>
            <w:vAlign w:val="center"/>
          </w:tcPr>
          <w:p w14:paraId="18E214A6"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2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43EE3FF"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shd w:val="clear" w:color="auto" w:fill="D9D9D9"/>
            <w:vAlign w:val="center"/>
          </w:tcPr>
          <w:p w14:paraId="6BBD703F" w14:textId="77777777" w:rsidR="00B046C3" w:rsidRPr="004E13E9" w:rsidRDefault="00B046C3" w:rsidP="000D1853">
            <w:pPr>
              <w:widowControl w:val="0"/>
              <w:jc w:val="center"/>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D880D15" w14:textId="77777777" w:rsidR="00B046C3" w:rsidRPr="004E13E9" w:rsidRDefault="00B046C3" w:rsidP="000D1853">
            <w:pPr>
              <w:widowControl w:val="0"/>
              <w:jc w:val="both"/>
              <w:rPr>
                <w:rFonts w:eastAsia="Times New Roman" w:cs="Calibri"/>
                <w:color w:val="000000"/>
                <w:sz w:val="18"/>
                <w:szCs w:val="18"/>
                <w:lang w:eastAsia="ja-JP" w:bidi="fr-FR"/>
              </w:rPr>
            </w:pPr>
          </w:p>
        </w:tc>
        <w:tc>
          <w:tcPr>
            <w:tcW w:w="61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6AC38F" w14:textId="77777777" w:rsidR="00B046C3" w:rsidRPr="004E13E9" w:rsidRDefault="00B046C3" w:rsidP="000D1853">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-29,3</w:t>
            </w:r>
          </w:p>
        </w:tc>
        <w:tc>
          <w:tcPr>
            <w:tcW w:w="90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5DD1220" w14:textId="77777777" w:rsidR="00B046C3" w:rsidRPr="004E13E9" w:rsidRDefault="00B046C3" w:rsidP="000D1853">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-57,02</w:t>
            </w:r>
          </w:p>
        </w:tc>
        <w:tc>
          <w:tcPr>
            <w:tcW w:w="84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D0D32E9" w14:textId="77777777" w:rsidR="00B046C3" w:rsidRPr="004E13E9" w:rsidRDefault="00B046C3" w:rsidP="000D1853">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-142,52</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E66F3F4" w14:textId="77777777" w:rsidR="00B046C3" w:rsidRPr="004E13E9" w:rsidRDefault="00B046C3" w:rsidP="000D1853">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-142,52</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EA9B347" w14:textId="77777777" w:rsidR="00B046C3" w:rsidRPr="004E13E9" w:rsidRDefault="00B046C3" w:rsidP="000D1853">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- 335,89</w:t>
            </w:r>
          </w:p>
        </w:tc>
      </w:tr>
    </w:tbl>
    <w:p w14:paraId="7977A2D2" w14:textId="77777777" w:rsidR="00B046C3" w:rsidRPr="004E13E9" w:rsidRDefault="00B046C3" w:rsidP="00B046C3">
      <w:pPr>
        <w:rPr>
          <w:b/>
          <w:bCs/>
        </w:rPr>
      </w:pPr>
    </w:p>
    <w:p w14:paraId="5ABD3524" w14:textId="77777777" w:rsidR="00827114" w:rsidRPr="004E13E9" w:rsidRDefault="00827114">
      <w:pPr>
        <w:rPr>
          <w:b/>
          <w:bCs/>
          <w:lang w:val="it-IT" w:eastAsia="en-GB"/>
        </w:rPr>
        <w:sectPr w:rsidR="00827114" w:rsidRPr="004E13E9" w:rsidSect="00B046C3">
          <w:headerReference w:type="default" r:id="rId75"/>
          <w:footnotePr>
            <w:numFmt w:val="chicago"/>
          </w:footnotePr>
          <w:pgSz w:w="16840" w:h="11907" w:orient="landscape" w:code="9"/>
          <w:pgMar w:top="1418" w:right="1418" w:bottom="1418" w:left="1418" w:header="851" w:footer="1134" w:gutter="0"/>
          <w:cols w:space="720"/>
          <w:docGrid w:linePitch="272"/>
        </w:sectPr>
      </w:pPr>
    </w:p>
    <w:p w14:paraId="2BCE05E7" w14:textId="1AEB672D" w:rsidR="005D58E1" w:rsidRPr="004E13E9" w:rsidRDefault="005D58E1" w:rsidP="005D58E1">
      <w:pPr>
        <w:rPr>
          <w:lang w:val="it-IT" w:eastAsia="en-GB"/>
        </w:rPr>
      </w:pPr>
      <w:proofErr w:type="spellStart"/>
      <w:r w:rsidRPr="004E13E9">
        <w:rPr>
          <w:b/>
          <w:bCs/>
          <w:lang w:val="it-IT" w:eastAsia="en-GB"/>
        </w:rPr>
        <w:lastRenderedPageBreak/>
        <w:t>Algérie</w:t>
      </w:r>
      <w:proofErr w:type="spellEnd"/>
      <w:r w:rsidRPr="004E13E9">
        <w:rPr>
          <w:lang w:val="it-IT" w:eastAsia="en-GB"/>
        </w:rPr>
        <w:t xml:space="preserve"> </w:t>
      </w:r>
    </w:p>
    <w:p w14:paraId="7E642EBE" w14:textId="77777777" w:rsidR="00827114" w:rsidRPr="004E13E9" w:rsidRDefault="00827114" w:rsidP="00827114">
      <w:pPr>
        <w:rPr>
          <w:lang w:val="it-IT"/>
        </w:rPr>
      </w:pPr>
    </w:p>
    <w:p w14:paraId="646223AF" w14:textId="77777777" w:rsidR="00827114" w:rsidRPr="004E13E9" w:rsidRDefault="00827114" w:rsidP="000620A7">
      <w:pPr>
        <w:jc w:val="both"/>
        <w:rPr>
          <w:b/>
          <w:lang w:val="fr-FR"/>
        </w:rPr>
      </w:pPr>
      <w:r w:rsidRPr="004E13E9">
        <w:rPr>
          <w:b/>
          <w:lang w:val="fr-FR"/>
        </w:rPr>
        <w:t>Année du plan de pêche : 2026</w:t>
      </w:r>
    </w:p>
    <w:p w14:paraId="23FFE9BC" w14:textId="77777777" w:rsidR="00827114" w:rsidRPr="004E13E9" w:rsidRDefault="00827114" w:rsidP="000620A7">
      <w:pPr>
        <w:jc w:val="both"/>
        <w:rPr>
          <w:lang w:val="fr-FR"/>
        </w:rPr>
      </w:pPr>
    </w:p>
    <w:p w14:paraId="2BB6A01F" w14:textId="77777777" w:rsidR="00827114" w:rsidRPr="004E13E9" w:rsidRDefault="00827114" w:rsidP="000620A7">
      <w:pPr>
        <w:ind w:left="426" w:hanging="426"/>
        <w:jc w:val="both"/>
        <w:rPr>
          <w:b/>
          <w:lang w:val="fr-FR"/>
        </w:rPr>
      </w:pPr>
      <w:r w:rsidRPr="004E13E9">
        <w:rPr>
          <w:b/>
          <w:lang w:val="fr-FR"/>
        </w:rPr>
        <w:t xml:space="preserve">1. </w:t>
      </w:r>
      <w:r w:rsidRPr="004E13E9">
        <w:rPr>
          <w:b/>
          <w:lang w:val="fr-FR"/>
        </w:rPr>
        <w:tab/>
        <w:t>Détails du plan annuel de pêche pour les navires de capture et les madragues</w:t>
      </w:r>
    </w:p>
    <w:p w14:paraId="1829A266" w14:textId="77777777" w:rsidR="00827114" w:rsidRPr="004E13E9" w:rsidRDefault="00827114" w:rsidP="000620A7">
      <w:pPr>
        <w:jc w:val="both"/>
        <w:rPr>
          <w:i/>
          <w:lang w:val="fr-FR"/>
        </w:rPr>
      </w:pPr>
    </w:p>
    <w:p w14:paraId="1047F46E" w14:textId="77777777" w:rsidR="00827114" w:rsidRPr="004E13E9" w:rsidRDefault="00827114" w:rsidP="000620A7">
      <w:pPr>
        <w:jc w:val="both"/>
        <w:rPr>
          <w:b/>
          <w:bCs/>
          <w:i/>
          <w:iCs/>
          <w:lang w:val="fr-FR"/>
        </w:rPr>
      </w:pPr>
      <w:r w:rsidRPr="004E13E9">
        <w:rPr>
          <w:b/>
          <w:bCs/>
          <w:i/>
          <w:iCs/>
          <w:lang w:val="fr-FR"/>
        </w:rPr>
        <w:t>1a) Présentation (paragraphe 12)</w:t>
      </w:r>
    </w:p>
    <w:p w14:paraId="3378DD7A" w14:textId="77777777" w:rsidR="00827114" w:rsidRPr="004E13E9" w:rsidRDefault="00827114" w:rsidP="000620A7">
      <w:pPr>
        <w:jc w:val="both"/>
        <w:rPr>
          <w:lang w:val="fr-FR"/>
        </w:rPr>
      </w:pPr>
    </w:p>
    <w:p w14:paraId="3ED57008" w14:textId="77777777" w:rsidR="00827114" w:rsidRPr="004E13E9" w:rsidRDefault="00827114" w:rsidP="000620A7">
      <w:pPr>
        <w:jc w:val="both"/>
        <w:rPr>
          <w:lang w:val="fr-FR"/>
        </w:rPr>
      </w:pPr>
      <w:r w:rsidRPr="004E13E9">
        <w:rPr>
          <w:lang w:val="fr-FR"/>
        </w:rPr>
        <w:t>L’Algérie présente ses plans de pêche, d’inspection et de gestion de la capacité pour le thon rouge de l’Atlantique Est et de la Méditerranée au titre de l’année 2026, conformément à la Recommandation 25-04 de l’ICCAT ainsi qu’à la réglementation nationale en vigueur.</w:t>
      </w:r>
    </w:p>
    <w:p w14:paraId="1D37AD2A" w14:textId="77777777" w:rsidR="00827114" w:rsidRPr="004E13E9" w:rsidRDefault="00827114" w:rsidP="000620A7">
      <w:pPr>
        <w:jc w:val="both"/>
        <w:rPr>
          <w:lang w:val="fr-FR"/>
        </w:rPr>
      </w:pPr>
    </w:p>
    <w:p w14:paraId="7BFAD7F4" w14:textId="77777777" w:rsidR="00827114" w:rsidRPr="004E13E9" w:rsidRDefault="00827114" w:rsidP="000620A7">
      <w:pPr>
        <w:jc w:val="both"/>
        <w:rPr>
          <w:iCs/>
          <w:lang w:val="fr-FR"/>
        </w:rPr>
      </w:pPr>
      <w:r w:rsidRPr="004E13E9">
        <w:rPr>
          <w:lang w:val="fr-FR"/>
        </w:rPr>
        <w:t xml:space="preserve">Conformément au paragraphe 4 de la Recommandation 25-04, le quota de thon rouge alloué à l’Algérie pour 2026 est fixé à 2460,64 tonnes. Ce quota est alloué principalement au groupe d’engins des senneurs. Les quotas individuels sont attribués aux navires senneurs autorisés (22 à 42 m de longueur hors tout) selon les critères définis par la réglementation nationale. </w:t>
      </w:r>
    </w:p>
    <w:p w14:paraId="613BB894" w14:textId="77777777" w:rsidR="00827114" w:rsidRPr="004E13E9" w:rsidRDefault="00827114" w:rsidP="000620A7">
      <w:pPr>
        <w:jc w:val="both"/>
        <w:rPr>
          <w:lang w:val="fr-FR"/>
        </w:rPr>
      </w:pPr>
    </w:p>
    <w:p w14:paraId="4B24F93B" w14:textId="77777777" w:rsidR="00827114" w:rsidRPr="004E13E9" w:rsidRDefault="00827114" w:rsidP="000620A7">
      <w:pPr>
        <w:jc w:val="both"/>
        <w:rPr>
          <w:lang w:val="fr-FR"/>
        </w:rPr>
      </w:pPr>
      <w:r w:rsidRPr="004E13E9">
        <w:rPr>
          <w:lang w:val="fr-FR"/>
        </w:rPr>
        <w:t>Le respect des quotas individuels est assuré par un dispositif renforcé de suivi, de contrôle et d’inspection comprenant notamment les inspections de partance, le contrôle quotidien des journaux de pêche, le suivi VMS, le contrôle des opérations de pêche et de transfert, l’analyse des vidéos de transfert ainsi que les inspections à bord et à terre.</w:t>
      </w:r>
    </w:p>
    <w:p w14:paraId="647A22C0" w14:textId="77777777" w:rsidR="00827114" w:rsidRPr="004E13E9" w:rsidRDefault="00827114" w:rsidP="000620A7">
      <w:pPr>
        <w:jc w:val="both"/>
        <w:rPr>
          <w:lang w:val="fr-FR"/>
        </w:rPr>
      </w:pPr>
    </w:p>
    <w:p w14:paraId="3C94032E" w14:textId="77777777" w:rsidR="00827114" w:rsidRPr="004E13E9" w:rsidRDefault="00827114" w:rsidP="000620A7">
      <w:pPr>
        <w:jc w:val="both"/>
        <w:rPr>
          <w:lang w:val="fr-FR"/>
        </w:rPr>
      </w:pPr>
      <w:r w:rsidRPr="004E13E9">
        <w:rPr>
          <w:lang w:val="fr-FR"/>
        </w:rPr>
        <w:t>La liste des navires autorisés à pêcher activement le thon rouge sera transmise au Secrétariat de l’ICCAT dans les délais impartis, conformément au paragraphe 52 de la Recommandation 25-04.</w:t>
      </w:r>
    </w:p>
    <w:p w14:paraId="154AD6FA" w14:textId="77777777" w:rsidR="00827114" w:rsidRPr="004E13E9" w:rsidRDefault="00827114" w:rsidP="000620A7">
      <w:pPr>
        <w:jc w:val="both"/>
        <w:rPr>
          <w:lang w:val="fr-FR"/>
        </w:rPr>
      </w:pPr>
    </w:p>
    <w:p w14:paraId="7325F16F" w14:textId="77777777" w:rsidR="00827114" w:rsidRPr="004E13E9" w:rsidRDefault="00827114" w:rsidP="000620A7">
      <w:pPr>
        <w:jc w:val="both"/>
        <w:rPr>
          <w:lang w:val="fr-FR"/>
        </w:rPr>
      </w:pPr>
      <w:r w:rsidRPr="004E13E9">
        <w:rPr>
          <w:lang w:val="fr-FR"/>
        </w:rPr>
        <w:t>La saison de pêche au thon rouge pour les senneurs est ouverte du 19 mai au 1er juillet 2026, avec une possibilité de prolongation équivalente aux jours perdus pour raisons météorologiques, dans la limite de dix (10) jours.</w:t>
      </w:r>
    </w:p>
    <w:p w14:paraId="11AC2D82" w14:textId="77777777" w:rsidR="00827114" w:rsidRPr="004E13E9" w:rsidRDefault="00827114" w:rsidP="000620A7">
      <w:pPr>
        <w:jc w:val="both"/>
        <w:rPr>
          <w:lang w:val="fr-FR"/>
        </w:rPr>
      </w:pPr>
    </w:p>
    <w:p w14:paraId="155A8336" w14:textId="77777777" w:rsidR="00827114" w:rsidRPr="004E13E9" w:rsidRDefault="00827114" w:rsidP="000620A7">
      <w:pPr>
        <w:jc w:val="both"/>
        <w:rPr>
          <w:lang w:val="fr-FR"/>
        </w:rPr>
      </w:pPr>
      <w:r w:rsidRPr="004E13E9">
        <w:rPr>
          <w:lang w:val="fr-FR"/>
        </w:rPr>
        <w:t>Un solde de quarante (40) tonnes est attribué aux petits navires côtiers, et six (6) tonnes sont réservées aux prises accessoires. Toutes les captures accessoires de thon rouge sont déduites du quota.</w:t>
      </w:r>
    </w:p>
    <w:p w14:paraId="4C685DD2" w14:textId="77777777" w:rsidR="00827114" w:rsidRPr="004E13E9" w:rsidRDefault="00827114" w:rsidP="000620A7">
      <w:pPr>
        <w:jc w:val="both"/>
        <w:rPr>
          <w:lang w:val="fr-FR"/>
        </w:rPr>
      </w:pPr>
    </w:p>
    <w:p w14:paraId="5AE42BC3" w14:textId="77777777" w:rsidR="00827114" w:rsidRPr="004E13E9" w:rsidRDefault="00827114" w:rsidP="000620A7">
      <w:pPr>
        <w:jc w:val="both"/>
        <w:rPr>
          <w:lang w:val="fr-FR"/>
        </w:rPr>
      </w:pPr>
      <w:r w:rsidRPr="004E13E9">
        <w:rPr>
          <w:lang w:val="fr-FR"/>
        </w:rPr>
        <w:t>Les navires non autorisés à cibler le thon rouge et ne disposant pas de permis de pêche spécifique au thon rouge ne sont pas autorisés à en capturer. Les prises réalisées accidentellement, mortes ou vivantes, seront consignées sur les journaux de pêche.</w:t>
      </w:r>
    </w:p>
    <w:p w14:paraId="7E6FB5F2" w14:textId="77777777" w:rsidR="00827114" w:rsidRPr="004E13E9" w:rsidRDefault="00827114" w:rsidP="000620A7">
      <w:pPr>
        <w:jc w:val="both"/>
        <w:rPr>
          <w:lang w:val="fr-FR"/>
        </w:rPr>
      </w:pPr>
    </w:p>
    <w:p w14:paraId="1EA40A83" w14:textId="77777777" w:rsidR="00827114" w:rsidRPr="004E13E9" w:rsidRDefault="00827114" w:rsidP="000620A7">
      <w:pPr>
        <w:jc w:val="both"/>
        <w:rPr>
          <w:b/>
          <w:bCs/>
          <w:i/>
          <w:iCs/>
          <w:lang w:val="fr-FR"/>
        </w:rPr>
      </w:pPr>
      <w:r w:rsidRPr="004E13E9">
        <w:rPr>
          <w:b/>
          <w:bCs/>
          <w:i/>
          <w:iCs/>
          <w:lang w:val="fr-FR"/>
        </w:rPr>
        <w:t>1b) Report (paragraphe 6)</w:t>
      </w:r>
    </w:p>
    <w:p w14:paraId="16341856" w14:textId="77777777" w:rsidR="00827114" w:rsidRPr="004E13E9" w:rsidRDefault="00827114" w:rsidP="000620A7">
      <w:pPr>
        <w:jc w:val="both"/>
        <w:rPr>
          <w:lang w:val="fr-FR"/>
        </w:rPr>
      </w:pPr>
    </w:p>
    <w:p w14:paraId="67965F6D" w14:textId="77777777" w:rsidR="00827114" w:rsidRPr="004E13E9" w:rsidRDefault="00827114" w:rsidP="000620A7">
      <w:pPr>
        <w:jc w:val="both"/>
        <w:rPr>
          <w:lang w:val="fr-FR"/>
        </w:rPr>
      </w:pPr>
      <w:r w:rsidRPr="004E13E9">
        <w:rPr>
          <w:lang w:val="fr-FR"/>
        </w:rPr>
        <w:t>Conformément au paragraphe 6 de la Rec. 25-04, l’Algérie demande un transfert d’un volume de 4,64tonnes, soit (0,23%) de son quota non consommé en 2025 à l’année 2026.</w:t>
      </w:r>
    </w:p>
    <w:p w14:paraId="0ED7BDAE" w14:textId="77777777" w:rsidR="00827114" w:rsidRPr="004E13E9" w:rsidRDefault="00827114" w:rsidP="000620A7">
      <w:pPr>
        <w:jc w:val="both"/>
        <w:rPr>
          <w:lang w:val="fr-FR"/>
        </w:rPr>
      </w:pPr>
    </w:p>
    <w:p w14:paraId="059470F7" w14:textId="77777777" w:rsidR="00827114" w:rsidRPr="004E13E9" w:rsidRDefault="00827114" w:rsidP="000620A7">
      <w:pPr>
        <w:spacing w:after="240"/>
        <w:jc w:val="both"/>
        <w:rPr>
          <w:i/>
          <w:lang w:val="fr-FR"/>
        </w:rPr>
      </w:pPr>
      <w:r w:rsidRPr="004E13E9">
        <w:rPr>
          <w:lang w:val="fr-FR"/>
        </w:rPr>
        <w:t>À cet effet, le quota national total ajusté sera 2.465,28 tonnes y compris les prises accessoires.</w:t>
      </w:r>
    </w:p>
    <w:p w14:paraId="2ABE626A" w14:textId="77777777" w:rsidR="00827114" w:rsidRPr="004E13E9" w:rsidRDefault="00827114" w:rsidP="000620A7">
      <w:pPr>
        <w:jc w:val="both"/>
        <w:rPr>
          <w:b/>
          <w:bCs/>
          <w:i/>
          <w:lang w:val="fr-FR"/>
        </w:rPr>
      </w:pPr>
      <w:r w:rsidRPr="004E13E9">
        <w:rPr>
          <w:b/>
          <w:bCs/>
          <w:i/>
          <w:lang w:val="fr-FR"/>
        </w:rPr>
        <w:t>1c) Destination de la capture</w:t>
      </w:r>
    </w:p>
    <w:p w14:paraId="64D23633" w14:textId="77777777" w:rsidR="00827114" w:rsidRPr="004E13E9" w:rsidRDefault="00827114" w:rsidP="000620A7">
      <w:pPr>
        <w:jc w:val="both"/>
        <w:rPr>
          <w:iCs/>
          <w:lang w:val="fr-FR"/>
        </w:rPr>
      </w:pPr>
    </w:p>
    <w:p w14:paraId="6F763D7B" w14:textId="77777777" w:rsidR="00827114" w:rsidRPr="004E13E9" w:rsidRDefault="00827114" w:rsidP="000620A7">
      <w:pPr>
        <w:spacing w:after="240"/>
        <w:jc w:val="both"/>
        <w:rPr>
          <w:iCs/>
          <w:lang w:val="fr-FR"/>
        </w:rPr>
      </w:pPr>
      <w:r w:rsidRPr="004E13E9">
        <w:rPr>
          <w:iCs/>
          <w:lang w:val="fr-FR"/>
        </w:rPr>
        <w:t>Les captures réalisées par les navires senneurs sont destinées principalement à l’engraissement dans des fermes autorisées, une partie de ces captures peut toutefois être débarquée morte dans les ports algériens autorisés. Les quantités de thon rouge débarquées mortes feront l’objet d’une mise à jour du plan de pêche dans les délais requis, le cas échéant.</w:t>
      </w:r>
    </w:p>
    <w:p w14:paraId="26219AA9" w14:textId="77777777" w:rsidR="00827114" w:rsidRPr="004E13E9" w:rsidRDefault="00827114" w:rsidP="000620A7">
      <w:pPr>
        <w:spacing w:after="240"/>
        <w:jc w:val="both"/>
        <w:rPr>
          <w:iCs/>
          <w:lang w:val="fr-FR"/>
        </w:rPr>
      </w:pPr>
      <w:r w:rsidRPr="004E13E9">
        <w:rPr>
          <w:iCs/>
          <w:lang w:val="fr-FR"/>
        </w:rPr>
        <w:t>Pour les petits navires côtiers, les quantités pêchées serons débarquées mortes aux niveaux des ports algériens autorisés.</w:t>
      </w:r>
    </w:p>
    <w:p w14:paraId="72370C59" w14:textId="77777777" w:rsidR="00827114" w:rsidRPr="004E13E9" w:rsidRDefault="00827114" w:rsidP="000620A7">
      <w:pPr>
        <w:jc w:val="both"/>
        <w:rPr>
          <w:b/>
          <w:bCs/>
          <w:i/>
          <w:lang w:val="fr-FR"/>
        </w:rPr>
      </w:pPr>
      <w:r w:rsidRPr="004E13E9">
        <w:rPr>
          <w:b/>
          <w:bCs/>
          <w:i/>
          <w:lang w:val="fr-FR"/>
        </w:rPr>
        <w:br w:type="page"/>
      </w:r>
    </w:p>
    <w:p w14:paraId="44E1B30F" w14:textId="77777777" w:rsidR="00827114" w:rsidRPr="004E13E9" w:rsidRDefault="00827114" w:rsidP="000620A7">
      <w:pPr>
        <w:jc w:val="both"/>
        <w:rPr>
          <w:i/>
        </w:rPr>
      </w:pPr>
      <w:r w:rsidRPr="004E13E9">
        <w:rPr>
          <w:b/>
          <w:bCs/>
          <w:i/>
        </w:rPr>
        <w:lastRenderedPageBreak/>
        <w:t xml:space="preserve">1d) </w:t>
      </w:r>
    </w:p>
    <w:tbl>
      <w:tblPr>
        <w:tblStyle w:val="TableGrid"/>
        <w:tblW w:w="9067" w:type="dxa"/>
        <w:tblLayout w:type="fixed"/>
        <w:tblLook w:val="04A0" w:firstRow="1" w:lastRow="0" w:firstColumn="1" w:lastColumn="0" w:noHBand="0" w:noVBand="1"/>
      </w:tblPr>
      <w:tblGrid>
        <w:gridCol w:w="453"/>
        <w:gridCol w:w="1952"/>
        <w:gridCol w:w="3402"/>
        <w:gridCol w:w="2552"/>
        <w:gridCol w:w="708"/>
      </w:tblGrid>
      <w:tr w:rsidR="00827114" w:rsidRPr="004E13E9" w14:paraId="1E8B1E63" w14:textId="77777777" w:rsidTr="00745BE8">
        <w:tc>
          <w:tcPr>
            <w:tcW w:w="453" w:type="dxa"/>
          </w:tcPr>
          <w:p w14:paraId="219F22B0" w14:textId="77777777" w:rsidR="00827114" w:rsidRPr="004E13E9" w:rsidRDefault="00827114" w:rsidP="000620A7">
            <w:pPr>
              <w:jc w:val="both"/>
              <w:rPr>
                <w:rFonts w:ascii="Cambria" w:hAnsi="Cambria"/>
                <w:color w:val="auto"/>
                <w:sz w:val="20"/>
                <w:szCs w:val="20"/>
              </w:rPr>
            </w:pPr>
          </w:p>
        </w:tc>
        <w:tc>
          <w:tcPr>
            <w:tcW w:w="1952" w:type="dxa"/>
            <w:vAlign w:val="center"/>
          </w:tcPr>
          <w:p w14:paraId="7102846A" w14:textId="77777777" w:rsidR="00827114" w:rsidRPr="004E13E9" w:rsidRDefault="00827114" w:rsidP="000620A7">
            <w:pPr>
              <w:jc w:val="both"/>
              <w:rPr>
                <w:rFonts w:ascii="Cambria" w:hAnsi="Cambria"/>
                <w:i/>
                <w:color w:val="auto"/>
                <w:sz w:val="20"/>
                <w:szCs w:val="20"/>
              </w:rPr>
            </w:pPr>
            <w:r w:rsidRPr="004E13E9">
              <w:rPr>
                <w:rFonts w:ascii="Cambria" w:hAnsi="Cambria"/>
                <w:i/>
                <w:color w:val="auto"/>
                <w:sz w:val="20"/>
                <w:szCs w:val="20"/>
              </w:rPr>
              <w:t>Exigence de l’ICCAT</w:t>
            </w:r>
          </w:p>
          <w:p w14:paraId="089EC57B" w14:textId="77777777" w:rsidR="00827114" w:rsidRPr="004E13E9" w:rsidRDefault="00827114" w:rsidP="000620A7">
            <w:pPr>
              <w:jc w:val="both"/>
              <w:rPr>
                <w:rFonts w:ascii="Cambria" w:hAnsi="Cambria"/>
                <w:i/>
                <w:color w:val="auto"/>
                <w:sz w:val="20"/>
                <w:szCs w:val="20"/>
              </w:rPr>
            </w:pPr>
            <w:r w:rsidRPr="004E13E9">
              <w:rPr>
                <w:rFonts w:ascii="Cambria" w:hAnsi="Cambria"/>
                <w:i/>
                <w:color w:val="auto"/>
                <w:sz w:val="20"/>
                <w:szCs w:val="20"/>
              </w:rPr>
              <w:t xml:space="preserve">(en vertu de la </w:t>
            </w:r>
          </w:p>
          <w:p w14:paraId="4E0AB39C" w14:textId="77777777" w:rsidR="00827114" w:rsidRPr="004E13E9" w:rsidRDefault="00827114" w:rsidP="000620A7">
            <w:pPr>
              <w:jc w:val="both"/>
              <w:rPr>
                <w:rFonts w:ascii="Cambria" w:hAnsi="Cambria"/>
                <w:i/>
                <w:color w:val="auto"/>
                <w:sz w:val="20"/>
                <w:szCs w:val="20"/>
              </w:rPr>
            </w:pPr>
            <w:hyperlink r:id="rId76" w:history="1">
              <w:r w:rsidRPr="004E13E9">
                <w:rPr>
                  <w:rStyle w:val="Hyperlink"/>
                  <w:rFonts w:ascii="Cambria" w:hAnsi="Cambria"/>
                  <w:i/>
                  <w:color w:val="auto"/>
                  <w:sz w:val="20"/>
                  <w:szCs w:val="20"/>
                  <w:u w:val="none"/>
                </w:rPr>
                <w:t>Rec. 25-04</w:t>
              </w:r>
            </w:hyperlink>
            <w:r w:rsidRPr="004E13E9">
              <w:rPr>
                <w:rFonts w:ascii="Cambria" w:hAnsi="Cambria"/>
                <w:i/>
                <w:color w:val="auto"/>
                <w:sz w:val="20"/>
                <w:szCs w:val="20"/>
              </w:rPr>
              <w:t>)</w:t>
            </w:r>
          </w:p>
        </w:tc>
        <w:tc>
          <w:tcPr>
            <w:tcW w:w="3402" w:type="dxa"/>
            <w:vAlign w:val="center"/>
          </w:tcPr>
          <w:p w14:paraId="0B993CCB" w14:textId="77777777" w:rsidR="00827114" w:rsidRPr="004E13E9" w:rsidRDefault="00827114" w:rsidP="000620A7">
            <w:pPr>
              <w:jc w:val="both"/>
              <w:rPr>
                <w:rFonts w:ascii="Cambria" w:hAnsi="Cambria"/>
                <w:i/>
                <w:color w:val="auto"/>
                <w:sz w:val="20"/>
                <w:szCs w:val="20"/>
              </w:rPr>
            </w:pPr>
            <w:r w:rsidRPr="004E13E9">
              <w:rPr>
                <w:rFonts w:ascii="Cambria" w:hAnsi="Cambria"/>
                <w:i/>
                <w:color w:val="auto"/>
                <w:sz w:val="20"/>
                <w:szCs w:val="20"/>
              </w:rPr>
              <w:t>Explication des actions prises par la CPC à des fins de mise en œuvre</w:t>
            </w:r>
          </w:p>
        </w:tc>
        <w:tc>
          <w:tcPr>
            <w:tcW w:w="2552" w:type="dxa"/>
            <w:vAlign w:val="center"/>
          </w:tcPr>
          <w:p w14:paraId="10BDF86A" w14:textId="77777777" w:rsidR="00827114" w:rsidRPr="004E13E9" w:rsidRDefault="00827114" w:rsidP="000620A7">
            <w:pPr>
              <w:jc w:val="both"/>
              <w:rPr>
                <w:rFonts w:ascii="Cambria" w:hAnsi="Cambria"/>
                <w:i/>
                <w:color w:val="auto"/>
                <w:sz w:val="20"/>
                <w:szCs w:val="20"/>
              </w:rPr>
            </w:pPr>
            <w:r w:rsidRPr="004E13E9">
              <w:rPr>
                <w:rFonts w:ascii="Cambria" w:hAnsi="Cambria"/>
                <w:i/>
                <w:color w:val="auto"/>
                <w:sz w:val="20"/>
                <w:szCs w:val="20"/>
              </w:rPr>
              <w:t>Lois ou réglementations nationales pertinentes (le cas échéant)</w:t>
            </w:r>
          </w:p>
        </w:tc>
        <w:tc>
          <w:tcPr>
            <w:tcW w:w="708" w:type="dxa"/>
            <w:vAlign w:val="center"/>
          </w:tcPr>
          <w:p w14:paraId="62EFA49E" w14:textId="77777777" w:rsidR="00827114" w:rsidRPr="004E13E9" w:rsidRDefault="00827114" w:rsidP="000620A7">
            <w:pPr>
              <w:jc w:val="both"/>
              <w:rPr>
                <w:rFonts w:ascii="Cambria" w:hAnsi="Cambria"/>
                <w:i/>
                <w:color w:val="auto"/>
                <w:sz w:val="20"/>
                <w:szCs w:val="20"/>
              </w:rPr>
            </w:pPr>
            <w:r w:rsidRPr="004E13E9">
              <w:rPr>
                <w:rFonts w:ascii="Cambria" w:hAnsi="Cambria"/>
                <w:i/>
                <w:color w:val="auto"/>
                <w:sz w:val="20"/>
                <w:szCs w:val="20"/>
              </w:rPr>
              <w:t>Note</w:t>
            </w:r>
          </w:p>
        </w:tc>
      </w:tr>
      <w:tr w:rsidR="00827114" w:rsidRPr="00C712A4" w14:paraId="0BE5D513" w14:textId="77777777" w:rsidTr="00745BE8">
        <w:tc>
          <w:tcPr>
            <w:tcW w:w="453" w:type="dxa"/>
          </w:tcPr>
          <w:p w14:paraId="5A197F66" w14:textId="77777777" w:rsidR="00827114" w:rsidRPr="004E13E9" w:rsidRDefault="00827114" w:rsidP="000620A7">
            <w:pPr>
              <w:jc w:val="both"/>
              <w:rPr>
                <w:rFonts w:ascii="Cambria" w:hAnsi="Cambria"/>
                <w:b/>
                <w:color w:val="auto"/>
                <w:sz w:val="20"/>
                <w:szCs w:val="20"/>
              </w:rPr>
            </w:pPr>
            <w:r w:rsidRPr="004E13E9">
              <w:rPr>
                <w:rFonts w:ascii="Cambria" w:hAnsi="Cambria"/>
                <w:b/>
                <w:color w:val="auto"/>
                <w:sz w:val="20"/>
                <w:szCs w:val="20"/>
              </w:rPr>
              <w:t>1</w:t>
            </w:r>
          </w:p>
        </w:tc>
        <w:tc>
          <w:tcPr>
            <w:tcW w:w="1952" w:type="dxa"/>
          </w:tcPr>
          <w:p w14:paraId="1F39582E" w14:textId="77777777" w:rsidR="00827114" w:rsidRPr="004E13E9" w:rsidRDefault="00827114" w:rsidP="000620A7">
            <w:pPr>
              <w:jc w:val="both"/>
              <w:rPr>
                <w:rFonts w:ascii="Cambria" w:hAnsi="Cambria"/>
                <w:b/>
                <w:color w:val="auto"/>
                <w:sz w:val="20"/>
                <w:szCs w:val="20"/>
              </w:rPr>
            </w:pPr>
            <w:r w:rsidRPr="004E13E9">
              <w:rPr>
                <w:rFonts w:ascii="Cambria" w:hAnsi="Cambria"/>
                <w:b/>
                <w:color w:val="auto"/>
                <w:sz w:val="20"/>
                <w:szCs w:val="20"/>
              </w:rPr>
              <w:t>Enregistrement et déclaration de la capture (paragraphes 74-88)</w:t>
            </w:r>
          </w:p>
        </w:tc>
        <w:tc>
          <w:tcPr>
            <w:tcW w:w="3402" w:type="dxa"/>
          </w:tcPr>
          <w:p w14:paraId="75F8944E"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A. Journal de pêche :</w:t>
            </w:r>
          </w:p>
          <w:p w14:paraId="5C5E6BFF"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Relié et conservé à bord du navire, conformément à la réglementation nationale et aux exigences applicables de l’ICCAT.</w:t>
            </w:r>
          </w:p>
          <w:p w14:paraId="2D61F2A0" w14:textId="77777777" w:rsidR="00827114" w:rsidRPr="004E13E9" w:rsidRDefault="00827114" w:rsidP="000620A7">
            <w:pPr>
              <w:jc w:val="both"/>
              <w:rPr>
                <w:rFonts w:ascii="Cambria" w:hAnsi="Cambria"/>
                <w:color w:val="auto"/>
                <w:sz w:val="8"/>
                <w:szCs w:val="8"/>
              </w:rPr>
            </w:pPr>
          </w:p>
          <w:p w14:paraId="21A5A790"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B. Enregistrement des captures :</w:t>
            </w:r>
          </w:p>
          <w:p w14:paraId="6B1A0512"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Toutes les opérations de pêche sont enregistrées dans le journal de pêche, les captures nulles sont dûment déclarées.</w:t>
            </w:r>
          </w:p>
          <w:p w14:paraId="6041617F"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Les données sont enregistrées quotidiennement.</w:t>
            </w:r>
          </w:p>
          <w:p w14:paraId="2AF0B695" w14:textId="77777777" w:rsidR="00745BE8" w:rsidRPr="004E13E9" w:rsidRDefault="00745BE8" w:rsidP="00745BE8">
            <w:pPr>
              <w:jc w:val="both"/>
              <w:rPr>
                <w:rFonts w:ascii="Cambria" w:hAnsi="Cambria"/>
                <w:color w:val="auto"/>
                <w:sz w:val="8"/>
                <w:szCs w:val="8"/>
              </w:rPr>
            </w:pPr>
          </w:p>
          <w:p w14:paraId="6C9CFAC2"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C. Informations obligatoires consignées (§§ 76–77, Rec. 25-04) :</w:t>
            </w:r>
          </w:p>
          <w:p w14:paraId="5D4CE56D"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Date de la capture, heure de la capture, position géographique (latitude et longitude), poids total de thon rouge capturé, nombre total de thons rouges capturés.</w:t>
            </w:r>
          </w:p>
          <w:p w14:paraId="2E806B5D" w14:textId="77777777" w:rsidR="00745BE8" w:rsidRPr="004E13E9" w:rsidRDefault="00745BE8" w:rsidP="00745BE8">
            <w:pPr>
              <w:jc w:val="both"/>
              <w:rPr>
                <w:rFonts w:ascii="Cambria" w:hAnsi="Cambria"/>
                <w:color w:val="auto"/>
                <w:sz w:val="8"/>
                <w:szCs w:val="8"/>
              </w:rPr>
            </w:pPr>
          </w:p>
          <w:p w14:paraId="2E9D9245"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D. Transmission des données :</w:t>
            </w:r>
          </w:p>
          <w:p w14:paraId="6E012EEA"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Les informations journalières sont communiquées à l’administration chargée de la pêche.</w:t>
            </w:r>
          </w:p>
          <w:p w14:paraId="3E71BCA5"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Les délais et modalités de transmission sont conformes aux paragraphes 76–77 de la Recommandation 25-04.</w:t>
            </w:r>
          </w:p>
          <w:p w14:paraId="66825039" w14:textId="77777777" w:rsidR="00745BE8" w:rsidRPr="004E13E9" w:rsidRDefault="00745BE8" w:rsidP="00745BE8">
            <w:pPr>
              <w:jc w:val="both"/>
              <w:rPr>
                <w:rFonts w:ascii="Cambria" w:hAnsi="Cambria"/>
                <w:color w:val="auto"/>
                <w:sz w:val="8"/>
                <w:szCs w:val="8"/>
              </w:rPr>
            </w:pPr>
          </w:p>
          <w:p w14:paraId="4FC4416E"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E. Gestion des poissons morts :</w:t>
            </w:r>
          </w:p>
          <w:p w14:paraId="370EF6D9"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Tous les thons rouges morts, retenus ou rejetés, sont enregistrés dans le journal de pêche. Les poissons morts sont déduits du quota applicable.</w:t>
            </w:r>
          </w:p>
          <w:p w14:paraId="65C5DA6E" w14:textId="77777777" w:rsidR="00745BE8" w:rsidRPr="004E13E9" w:rsidRDefault="00745BE8" w:rsidP="00745BE8">
            <w:pPr>
              <w:jc w:val="both"/>
              <w:rPr>
                <w:rFonts w:ascii="Cambria" w:hAnsi="Cambria"/>
                <w:color w:val="auto"/>
                <w:sz w:val="8"/>
                <w:szCs w:val="8"/>
              </w:rPr>
            </w:pPr>
          </w:p>
          <w:p w14:paraId="049FDEEE"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F. Contrôle et vérification :</w:t>
            </w:r>
          </w:p>
          <w:p w14:paraId="04380C8F"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 xml:space="preserve">Le contrôleur national embarqué veille au contrôle et à la vérification de l’application de ces mesures. </w:t>
            </w:r>
          </w:p>
          <w:p w14:paraId="754670FC"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Toute non-conformité est signalée conformément aux procédures nationales.</w:t>
            </w:r>
          </w:p>
        </w:tc>
        <w:tc>
          <w:tcPr>
            <w:tcW w:w="2552" w:type="dxa"/>
          </w:tcPr>
          <w:p w14:paraId="2A6965BD"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Article 32-34-36 et l’annexe n°8 de l’arrêté du 24 février 2022 fixant les conditions et les modalités de la pêche au thon rouge par les navires battant pavillon national.</w:t>
            </w:r>
          </w:p>
        </w:tc>
        <w:tc>
          <w:tcPr>
            <w:tcW w:w="708" w:type="dxa"/>
          </w:tcPr>
          <w:p w14:paraId="2870D69C" w14:textId="77777777" w:rsidR="00827114" w:rsidRPr="004E13E9" w:rsidRDefault="00827114" w:rsidP="000620A7">
            <w:pPr>
              <w:jc w:val="both"/>
              <w:rPr>
                <w:rFonts w:ascii="Cambria" w:hAnsi="Cambria"/>
                <w:color w:val="auto"/>
                <w:sz w:val="20"/>
                <w:szCs w:val="20"/>
              </w:rPr>
            </w:pPr>
          </w:p>
        </w:tc>
      </w:tr>
      <w:tr w:rsidR="00827114" w:rsidRPr="00C712A4" w14:paraId="6A3A2DB9" w14:textId="77777777" w:rsidTr="00745BE8">
        <w:tc>
          <w:tcPr>
            <w:tcW w:w="453" w:type="dxa"/>
          </w:tcPr>
          <w:p w14:paraId="0B2BE870" w14:textId="77777777" w:rsidR="00827114" w:rsidRPr="004E13E9" w:rsidRDefault="00827114" w:rsidP="000620A7">
            <w:pPr>
              <w:jc w:val="both"/>
              <w:rPr>
                <w:rFonts w:ascii="Cambria" w:hAnsi="Cambria"/>
                <w:b/>
                <w:color w:val="auto"/>
                <w:sz w:val="20"/>
                <w:szCs w:val="20"/>
              </w:rPr>
            </w:pPr>
            <w:r w:rsidRPr="004E13E9">
              <w:rPr>
                <w:rFonts w:ascii="Cambria" w:hAnsi="Cambria"/>
                <w:b/>
                <w:color w:val="auto"/>
                <w:sz w:val="20"/>
                <w:szCs w:val="20"/>
              </w:rPr>
              <w:t>2</w:t>
            </w:r>
          </w:p>
        </w:tc>
        <w:tc>
          <w:tcPr>
            <w:tcW w:w="1952" w:type="dxa"/>
          </w:tcPr>
          <w:p w14:paraId="2E80BC72" w14:textId="77777777" w:rsidR="00827114" w:rsidRPr="004E13E9" w:rsidRDefault="00827114" w:rsidP="000620A7">
            <w:pPr>
              <w:jc w:val="both"/>
              <w:rPr>
                <w:rFonts w:ascii="Cambria" w:hAnsi="Cambria"/>
                <w:b/>
                <w:color w:val="auto"/>
                <w:sz w:val="20"/>
                <w:szCs w:val="20"/>
              </w:rPr>
            </w:pPr>
            <w:r w:rsidRPr="004E13E9">
              <w:rPr>
                <w:rFonts w:ascii="Cambria" w:hAnsi="Cambria"/>
                <w:b/>
                <w:color w:val="auto"/>
                <w:sz w:val="20"/>
                <w:szCs w:val="20"/>
              </w:rPr>
              <w:t>Périodes d’ouverture de la pêche (paragraphes 28-32)</w:t>
            </w:r>
          </w:p>
        </w:tc>
        <w:tc>
          <w:tcPr>
            <w:tcW w:w="3402" w:type="dxa"/>
          </w:tcPr>
          <w:p w14:paraId="1BCA3E41"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La pêche au thon rouge est ouverte pour les navires thoniers senneurs du 19 mai au 1er juillet.</w:t>
            </w:r>
          </w:p>
          <w:p w14:paraId="38C2F91D"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 xml:space="preserve">La pêche sera exercée dans les zones nationales et internationales de la Méditerranée. </w:t>
            </w:r>
          </w:p>
        </w:tc>
        <w:tc>
          <w:tcPr>
            <w:tcW w:w="2552" w:type="dxa"/>
          </w:tcPr>
          <w:p w14:paraId="2ADB9B8A" w14:textId="77777777" w:rsidR="00827114" w:rsidRPr="004E13E9" w:rsidRDefault="00827114" w:rsidP="00487A5C">
            <w:pPr>
              <w:pStyle w:val="ListParagraph"/>
              <w:widowControl w:val="0"/>
              <w:numPr>
                <w:ilvl w:val="0"/>
                <w:numId w:val="8"/>
              </w:numPr>
              <w:spacing w:after="0" w:line="240" w:lineRule="auto"/>
              <w:jc w:val="both"/>
              <w:rPr>
                <w:rFonts w:ascii="Cambria" w:hAnsi="Cambria"/>
                <w:color w:val="auto"/>
                <w:sz w:val="20"/>
                <w:szCs w:val="20"/>
              </w:rPr>
            </w:pPr>
            <w:r w:rsidRPr="004E13E9">
              <w:rPr>
                <w:rFonts w:ascii="Cambria" w:hAnsi="Cambria"/>
                <w:color w:val="auto"/>
                <w:sz w:val="20"/>
                <w:szCs w:val="20"/>
              </w:rPr>
              <w:t>Article 62 de l’arrêté du 24 février 2022 fixant les conditions et les modalités de la pêche au thon rouge par les navires battant pavillon national.</w:t>
            </w:r>
          </w:p>
          <w:p w14:paraId="45EAB3FB" w14:textId="77777777" w:rsidR="00827114" w:rsidRPr="004E13E9" w:rsidRDefault="00827114" w:rsidP="00487A5C">
            <w:pPr>
              <w:pStyle w:val="ListParagraph"/>
              <w:widowControl w:val="0"/>
              <w:numPr>
                <w:ilvl w:val="0"/>
                <w:numId w:val="8"/>
              </w:numPr>
              <w:spacing w:after="0" w:line="240" w:lineRule="auto"/>
              <w:jc w:val="both"/>
              <w:rPr>
                <w:rFonts w:ascii="Cambria" w:hAnsi="Cambria"/>
                <w:color w:val="auto"/>
                <w:sz w:val="20"/>
                <w:szCs w:val="20"/>
              </w:rPr>
            </w:pPr>
            <w:r w:rsidRPr="004E13E9">
              <w:rPr>
                <w:rFonts w:ascii="Cambria" w:hAnsi="Cambria"/>
                <w:color w:val="auto"/>
                <w:sz w:val="20"/>
                <w:szCs w:val="20"/>
              </w:rPr>
              <w:t xml:space="preserve">Toutefois, la période de pêche peut être </w:t>
            </w:r>
            <w:r w:rsidRPr="004E13E9">
              <w:rPr>
                <w:rFonts w:ascii="Cambria" w:hAnsi="Cambria"/>
                <w:color w:val="auto"/>
                <w:sz w:val="20"/>
                <w:szCs w:val="20"/>
              </w:rPr>
              <w:lastRenderedPageBreak/>
              <w:t xml:space="preserve">étendue, le cas échéant, conformément aux dispositions applicables. </w:t>
            </w:r>
          </w:p>
          <w:p w14:paraId="58077C86"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Base juridique : Paragraphe 29 de la Rec. 24-05</w:t>
            </w:r>
          </w:p>
          <w:p w14:paraId="32410070"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 xml:space="preserve">Motif : </w:t>
            </w:r>
          </w:p>
          <w:p w14:paraId="02BAA7C7" w14:textId="77777777" w:rsidR="00827114" w:rsidRPr="004E13E9" w:rsidRDefault="00827114" w:rsidP="000620A7">
            <w:pPr>
              <w:pStyle w:val="ListParagraph"/>
              <w:ind w:left="431"/>
              <w:jc w:val="both"/>
              <w:rPr>
                <w:rFonts w:ascii="Cambria" w:hAnsi="Cambria"/>
                <w:color w:val="auto"/>
                <w:sz w:val="20"/>
                <w:szCs w:val="20"/>
              </w:rPr>
            </w:pPr>
            <w:r w:rsidRPr="004E13E9">
              <w:rPr>
                <w:rFonts w:ascii="Cambria" w:hAnsi="Cambria"/>
                <w:color w:val="auto"/>
                <w:sz w:val="20"/>
                <w:szCs w:val="20"/>
              </w:rPr>
              <w:t>Mauvaises conditions météorologiques pendant la période autorisée.</w:t>
            </w:r>
          </w:p>
          <w:p w14:paraId="4DC31DA9"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Seuil météorologique :</w:t>
            </w:r>
          </w:p>
          <w:p w14:paraId="5155C838" w14:textId="77777777" w:rsidR="00827114" w:rsidRPr="004E13E9" w:rsidRDefault="00827114" w:rsidP="000620A7">
            <w:pPr>
              <w:pStyle w:val="ListParagraph"/>
              <w:ind w:left="431"/>
              <w:jc w:val="both"/>
              <w:rPr>
                <w:rFonts w:ascii="Cambria" w:hAnsi="Cambria"/>
                <w:color w:val="auto"/>
                <w:sz w:val="20"/>
                <w:szCs w:val="20"/>
              </w:rPr>
            </w:pPr>
            <w:r w:rsidRPr="004E13E9">
              <w:rPr>
                <w:rFonts w:ascii="Cambria" w:hAnsi="Cambria"/>
                <w:color w:val="auto"/>
                <w:sz w:val="20"/>
                <w:szCs w:val="20"/>
              </w:rPr>
              <w:t>Vent ≥ force 4 (échelle de Beaufort)</w:t>
            </w:r>
          </w:p>
          <w:p w14:paraId="62EEE56F"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Durée maximale de l’extension : 10 jours</w:t>
            </w:r>
          </w:p>
          <w:p w14:paraId="01E4AC0B"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Principe : extension équivalente aux jours effectivement perdus</w:t>
            </w:r>
          </w:p>
          <w:p w14:paraId="3CA8D7DF" w14:textId="57416ECE"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Méthode d’évaluation</w:t>
            </w:r>
            <w:r w:rsidR="00AE2154" w:rsidRPr="004E13E9">
              <w:rPr>
                <w:rFonts w:ascii="Cambria" w:hAnsi="Cambria"/>
                <w:color w:val="auto"/>
                <w:sz w:val="20"/>
                <w:szCs w:val="20"/>
              </w:rPr>
              <w:t> :</w:t>
            </w:r>
          </w:p>
          <w:p w14:paraId="346E507E" w14:textId="77777777" w:rsidR="00827114" w:rsidRPr="004E13E9" w:rsidRDefault="00827114" w:rsidP="000620A7">
            <w:pPr>
              <w:pStyle w:val="ListParagraph"/>
              <w:ind w:left="431"/>
              <w:jc w:val="both"/>
              <w:rPr>
                <w:rFonts w:ascii="Cambria" w:hAnsi="Cambria"/>
                <w:color w:val="auto"/>
                <w:sz w:val="20"/>
                <w:szCs w:val="20"/>
              </w:rPr>
            </w:pPr>
            <w:r w:rsidRPr="004E13E9">
              <w:rPr>
                <w:rFonts w:ascii="Cambria" w:hAnsi="Cambria"/>
                <w:color w:val="auto"/>
                <w:sz w:val="20"/>
                <w:szCs w:val="20"/>
              </w:rPr>
              <w:t>Analyse des rapports VMS ;</w:t>
            </w:r>
          </w:p>
          <w:p w14:paraId="0712D163" w14:textId="77777777" w:rsidR="00827114" w:rsidRPr="004E13E9" w:rsidRDefault="00827114" w:rsidP="000620A7">
            <w:pPr>
              <w:pStyle w:val="ListParagraph"/>
              <w:ind w:left="431"/>
              <w:jc w:val="both"/>
              <w:rPr>
                <w:rFonts w:ascii="Cambria" w:hAnsi="Cambria"/>
                <w:color w:val="auto"/>
                <w:sz w:val="20"/>
                <w:szCs w:val="20"/>
              </w:rPr>
            </w:pPr>
            <w:r w:rsidRPr="004E13E9">
              <w:rPr>
                <w:rFonts w:ascii="Cambria" w:hAnsi="Cambria"/>
                <w:color w:val="auto"/>
                <w:sz w:val="20"/>
                <w:szCs w:val="20"/>
              </w:rPr>
              <w:t>Identification des jours d’inactivité des navires concernés.</w:t>
            </w:r>
          </w:p>
        </w:tc>
        <w:tc>
          <w:tcPr>
            <w:tcW w:w="708" w:type="dxa"/>
          </w:tcPr>
          <w:p w14:paraId="77F76DBF" w14:textId="77777777" w:rsidR="00827114" w:rsidRPr="004E13E9" w:rsidRDefault="00827114" w:rsidP="000620A7">
            <w:pPr>
              <w:jc w:val="both"/>
              <w:rPr>
                <w:rFonts w:ascii="Cambria" w:hAnsi="Cambria"/>
                <w:color w:val="auto"/>
                <w:sz w:val="20"/>
                <w:szCs w:val="20"/>
              </w:rPr>
            </w:pPr>
          </w:p>
        </w:tc>
      </w:tr>
      <w:tr w:rsidR="00827114" w:rsidRPr="00C712A4" w14:paraId="4683DC0C" w14:textId="77777777" w:rsidTr="00745BE8">
        <w:tc>
          <w:tcPr>
            <w:tcW w:w="453" w:type="dxa"/>
          </w:tcPr>
          <w:p w14:paraId="54F8FD6E" w14:textId="77777777" w:rsidR="00827114" w:rsidRPr="004E13E9" w:rsidRDefault="00827114" w:rsidP="000620A7">
            <w:pPr>
              <w:jc w:val="both"/>
              <w:rPr>
                <w:rFonts w:ascii="Cambria" w:hAnsi="Cambria"/>
                <w:b/>
                <w:color w:val="auto"/>
                <w:sz w:val="20"/>
                <w:szCs w:val="20"/>
              </w:rPr>
            </w:pPr>
            <w:r w:rsidRPr="004E13E9">
              <w:rPr>
                <w:rFonts w:ascii="Cambria" w:hAnsi="Cambria"/>
                <w:b/>
                <w:color w:val="auto"/>
                <w:sz w:val="20"/>
                <w:szCs w:val="20"/>
              </w:rPr>
              <w:t>3</w:t>
            </w:r>
          </w:p>
        </w:tc>
        <w:tc>
          <w:tcPr>
            <w:tcW w:w="1952" w:type="dxa"/>
          </w:tcPr>
          <w:p w14:paraId="6F1F3C06" w14:textId="77777777" w:rsidR="00827114" w:rsidRPr="004E13E9" w:rsidRDefault="00827114" w:rsidP="000620A7">
            <w:pPr>
              <w:jc w:val="both"/>
              <w:rPr>
                <w:rFonts w:ascii="Cambria" w:hAnsi="Cambria"/>
                <w:b/>
                <w:color w:val="auto"/>
                <w:sz w:val="20"/>
                <w:szCs w:val="20"/>
              </w:rPr>
            </w:pPr>
            <w:r w:rsidRPr="004E13E9">
              <w:rPr>
                <w:rFonts w:ascii="Cambria" w:hAnsi="Cambria"/>
                <w:b/>
                <w:bCs/>
                <w:color w:val="auto"/>
                <w:sz w:val="20"/>
                <w:szCs w:val="20"/>
              </w:rPr>
              <w:t>Taille minimale (</w:t>
            </w:r>
            <w:r w:rsidRPr="004E13E9">
              <w:rPr>
                <w:rFonts w:ascii="Cambria" w:hAnsi="Cambria"/>
                <w:b/>
                <w:color w:val="auto"/>
                <w:sz w:val="20"/>
                <w:szCs w:val="20"/>
              </w:rPr>
              <w:t xml:space="preserve">paragraphes </w:t>
            </w:r>
            <w:r w:rsidRPr="004E13E9">
              <w:rPr>
                <w:rFonts w:ascii="Cambria" w:hAnsi="Cambria"/>
                <w:b/>
                <w:bCs/>
                <w:color w:val="auto"/>
                <w:sz w:val="20"/>
                <w:szCs w:val="20"/>
              </w:rPr>
              <w:t>33-35)</w:t>
            </w:r>
          </w:p>
        </w:tc>
        <w:tc>
          <w:tcPr>
            <w:tcW w:w="3402" w:type="dxa"/>
          </w:tcPr>
          <w:p w14:paraId="1C4EB4EF"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-115 cm - 30 kg.</w:t>
            </w:r>
          </w:p>
          <w:p w14:paraId="127FE6F4" w14:textId="77777777" w:rsidR="00827114" w:rsidRPr="004E13E9" w:rsidRDefault="00827114" w:rsidP="000620A7">
            <w:pPr>
              <w:jc w:val="both"/>
              <w:rPr>
                <w:rFonts w:ascii="Cambria" w:hAnsi="Cambria"/>
                <w:color w:val="auto"/>
                <w:sz w:val="20"/>
                <w:szCs w:val="20"/>
              </w:rPr>
            </w:pPr>
          </w:p>
          <w:p w14:paraId="4FCBE5F9"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Toutefois, des prises accidentelles de thon rouge peuvent être autorisées. Les poissons morts (8-30kg/75-115cm) sont déclarés et déduits du quota, et les poissons vivants sont relâchés.</w:t>
            </w:r>
          </w:p>
        </w:tc>
        <w:tc>
          <w:tcPr>
            <w:tcW w:w="2552" w:type="dxa"/>
          </w:tcPr>
          <w:p w14:paraId="5C42584C"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Décret exécutif n° 20-266 du 22 septembre 2020 modifiant et complétant le décret exécutif n° 04-86 du 18 mars 2004 fixant les tailles minimales marchandes des ressources biologiques.</w:t>
            </w:r>
          </w:p>
          <w:p w14:paraId="78424973" w14:textId="10664DB9" w:rsidR="001C3A69"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Article 66 de l’arrêté du 24 février 2022 fixant les conditions et les modalités de la pêche au thon rouge par les navires battant pavillon national</w:t>
            </w:r>
            <w:r w:rsidR="001C3A69" w:rsidRPr="004E13E9">
              <w:rPr>
                <w:rFonts w:ascii="Cambria" w:hAnsi="Cambria"/>
                <w:color w:val="auto"/>
                <w:sz w:val="20"/>
                <w:szCs w:val="20"/>
              </w:rPr>
              <w:t>.</w:t>
            </w:r>
          </w:p>
        </w:tc>
        <w:tc>
          <w:tcPr>
            <w:tcW w:w="708" w:type="dxa"/>
          </w:tcPr>
          <w:p w14:paraId="2208CBEC" w14:textId="77777777" w:rsidR="00827114" w:rsidRPr="004E13E9" w:rsidRDefault="00827114" w:rsidP="000620A7">
            <w:pPr>
              <w:jc w:val="both"/>
              <w:rPr>
                <w:rFonts w:ascii="Cambria" w:hAnsi="Cambria"/>
                <w:color w:val="auto"/>
                <w:sz w:val="20"/>
                <w:szCs w:val="20"/>
              </w:rPr>
            </w:pPr>
          </w:p>
        </w:tc>
      </w:tr>
      <w:tr w:rsidR="00827114" w:rsidRPr="00C712A4" w14:paraId="3361C80C" w14:textId="77777777" w:rsidTr="00745BE8">
        <w:tc>
          <w:tcPr>
            <w:tcW w:w="453" w:type="dxa"/>
          </w:tcPr>
          <w:p w14:paraId="4B9DA4DB" w14:textId="77777777" w:rsidR="00827114" w:rsidRPr="004E13E9" w:rsidRDefault="00827114" w:rsidP="000620A7">
            <w:pPr>
              <w:jc w:val="both"/>
              <w:rPr>
                <w:rFonts w:ascii="Cambria" w:hAnsi="Cambria"/>
                <w:b/>
                <w:color w:val="auto"/>
                <w:sz w:val="20"/>
                <w:szCs w:val="20"/>
              </w:rPr>
            </w:pPr>
            <w:r w:rsidRPr="004E13E9">
              <w:rPr>
                <w:rFonts w:ascii="Cambria" w:hAnsi="Cambria"/>
                <w:b/>
                <w:color w:val="auto"/>
                <w:sz w:val="20"/>
                <w:szCs w:val="20"/>
              </w:rPr>
              <w:t>4</w:t>
            </w:r>
          </w:p>
        </w:tc>
        <w:tc>
          <w:tcPr>
            <w:tcW w:w="1952" w:type="dxa"/>
          </w:tcPr>
          <w:p w14:paraId="79CA3FFE" w14:textId="77777777" w:rsidR="00827114" w:rsidRPr="004E13E9" w:rsidRDefault="00827114" w:rsidP="000620A7">
            <w:pPr>
              <w:jc w:val="both"/>
              <w:rPr>
                <w:rFonts w:ascii="Cambria" w:hAnsi="Cambria"/>
                <w:b/>
                <w:color w:val="auto"/>
                <w:sz w:val="20"/>
                <w:szCs w:val="20"/>
              </w:rPr>
            </w:pPr>
            <w:r w:rsidRPr="004E13E9">
              <w:rPr>
                <w:rFonts w:ascii="Cambria" w:hAnsi="Cambria"/>
                <w:b/>
                <w:color w:val="auto"/>
                <w:sz w:val="20"/>
                <w:szCs w:val="20"/>
              </w:rPr>
              <w:t xml:space="preserve">Prises accessoires (paragraphe 37) </w:t>
            </w:r>
          </w:p>
        </w:tc>
        <w:tc>
          <w:tcPr>
            <w:tcW w:w="3402" w:type="dxa"/>
          </w:tcPr>
          <w:p w14:paraId="5F05FCB1" w14:textId="77777777" w:rsidR="00827114" w:rsidRPr="004E13E9" w:rsidRDefault="00827114" w:rsidP="00487A5C">
            <w:pPr>
              <w:pStyle w:val="ListParagraph"/>
              <w:widowControl w:val="0"/>
              <w:numPr>
                <w:ilvl w:val="0"/>
                <w:numId w:val="9"/>
              </w:numPr>
              <w:spacing w:after="0" w:line="240" w:lineRule="auto"/>
              <w:jc w:val="both"/>
              <w:rPr>
                <w:rFonts w:ascii="Cambria" w:hAnsi="Cambria"/>
                <w:color w:val="auto"/>
                <w:sz w:val="20"/>
                <w:szCs w:val="20"/>
              </w:rPr>
            </w:pPr>
            <w:r w:rsidRPr="004E13E9">
              <w:rPr>
                <w:rFonts w:ascii="Cambria" w:hAnsi="Cambria"/>
                <w:color w:val="auto"/>
                <w:sz w:val="20"/>
                <w:szCs w:val="20"/>
              </w:rPr>
              <w:t>Un solde de cinq (5) tonnes réservées aux prises accessoires.</w:t>
            </w:r>
          </w:p>
          <w:p w14:paraId="03BBF13D" w14:textId="77777777" w:rsidR="00827114" w:rsidRPr="004E13E9" w:rsidRDefault="00827114" w:rsidP="00487A5C">
            <w:pPr>
              <w:pStyle w:val="ListParagraph"/>
              <w:widowControl w:val="0"/>
              <w:numPr>
                <w:ilvl w:val="0"/>
                <w:numId w:val="9"/>
              </w:numPr>
              <w:spacing w:after="0" w:line="240" w:lineRule="auto"/>
              <w:jc w:val="both"/>
              <w:rPr>
                <w:rFonts w:ascii="Cambria" w:hAnsi="Cambria"/>
                <w:color w:val="auto"/>
                <w:sz w:val="20"/>
                <w:szCs w:val="20"/>
              </w:rPr>
            </w:pPr>
            <w:r w:rsidRPr="004E13E9">
              <w:rPr>
                <w:rFonts w:ascii="Cambria" w:hAnsi="Cambria"/>
                <w:color w:val="auto"/>
                <w:sz w:val="20"/>
                <w:szCs w:val="20"/>
              </w:rPr>
              <w:t>Les thons rouges morts sont déduits du quota des prises accessoires ou du quota national.</w:t>
            </w:r>
          </w:p>
          <w:p w14:paraId="5C2269F4" w14:textId="77777777" w:rsidR="00827114" w:rsidRPr="004E13E9" w:rsidRDefault="00827114" w:rsidP="00487A5C">
            <w:pPr>
              <w:pStyle w:val="ListParagraph"/>
              <w:widowControl w:val="0"/>
              <w:numPr>
                <w:ilvl w:val="0"/>
                <w:numId w:val="9"/>
              </w:numPr>
              <w:spacing w:after="0" w:line="240" w:lineRule="auto"/>
              <w:jc w:val="both"/>
              <w:rPr>
                <w:rFonts w:ascii="Cambria" w:hAnsi="Cambria"/>
                <w:color w:val="auto"/>
                <w:sz w:val="20"/>
                <w:szCs w:val="20"/>
              </w:rPr>
            </w:pPr>
            <w:r w:rsidRPr="004E13E9">
              <w:rPr>
                <w:rFonts w:ascii="Cambria" w:hAnsi="Cambria"/>
                <w:color w:val="auto"/>
                <w:sz w:val="20"/>
                <w:szCs w:val="20"/>
              </w:rPr>
              <w:t>Les prises accessoires sont consignées dans les carnets de pêche et comptabilisés.</w:t>
            </w:r>
          </w:p>
          <w:p w14:paraId="2F47A9B5" w14:textId="77777777" w:rsidR="00827114" w:rsidRPr="004E13E9" w:rsidRDefault="00827114" w:rsidP="00487A5C">
            <w:pPr>
              <w:pStyle w:val="ListParagraph"/>
              <w:widowControl w:val="0"/>
              <w:numPr>
                <w:ilvl w:val="0"/>
                <w:numId w:val="9"/>
              </w:numPr>
              <w:spacing w:after="0" w:line="240" w:lineRule="auto"/>
              <w:jc w:val="both"/>
              <w:rPr>
                <w:rFonts w:ascii="Cambria" w:hAnsi="Cambria"/>
                <w:color w:val="auto"/>
                <w:sz w:val="20"/>
                <w:szCs w:val="20"/>
              </w:rPr>
            </w:pPr>
            <w:r w:rsidRPr="004E13E9">
              <w:rPr>
                <w:rFonts w:ascii="Cambria" w:hAnsi="Cambria"/>
                <w:color w:val="auto"/>
                <w:sz w:val="20"/>
                <w:szCs w:val="20"/>
              </w:rPr>
              <w:t>Le contrôle des captures est assuré aux accès des ports et aux points de débarquement.</w:t>
            </w:r>
          </w:p>
        </w:tc>
        <w:tc>
          <w:tcPr>
            <w:tcW w:w="2552" w:type="dxa"/>
          </w:tcPr>
          <w:p w14:paraId="6B464617" w14:textId="77777777" w:rsidR="00827114" w:rsidRPr="004E13E9" w:rsidRDefault="00827114" w:rsidP="000620A7">
            <w:pPr>
              <w:jc w:val="both"/>
              <w:rPr>
                <w:rFonts w:ascii="Cambria" w:hAnsi="Cambria"/>
                <w:color w:val="auto"/>
                <w:sz w:val="20"/>
                <w:szCs w:val="20"/>
              </w:rPr>
            </w:pPr>
          </w:p>
        </w:tc>
        <w:tc>
          <w:tcPr>
            <w:tcW w:w="708" w:type="dxa"/>
          </w:tcPr>
          <w:p w14:paraId="01FBC92F" w14:textId="77777777" w:rsidR="00827114" w:rsidRPr="004E13E9" w:rsidRDefault="00827114" w:rsidP="000620A7">
            <w:pPr>
              <w:spacing w:line="276" w:lineRule="auto"/>
              <w:jc w:val="both"/>
              <w:rPr>
                <w:rFonts w:ascii="Cambria" w:eastAsia="Malgun Gothic" w:hAnsi="Cambria" w:cs="Cambria"/>
                <w:color w:val="auto"/>
                <w:kern w:val="2"/>
                <w:sz w:val="20"/>
                <w:szCs w:val="20"/>
                <w:lang w:eastAsia="ko-KR" w:bidi="ar-SA"/>
                <w14:ligatures w14:val="standardContextual"/>
              </w:rPr>
            </w:pPr>
          </w:p>
        </w:tc>
      </w:tr>
      <w:tr w:rsidR="00827114" w:rsidRPr="00C712A4" w14:paraId="5F420090" w14:textId="77777777" w:rsidTr="00745BE8">
        <w:tc>
          <w:tcPr>
            <w:tcW w:w="453" w:type="dxa"/>
          </w:tcPr>
          <w:p w14:paraId="49444223" w14:textId="77777777" w:rsidR="00827114" w:rsidRPr="004E13E9" w:rsidRDefault="00827114" w:rsidP="000620A7">
            <w:pPr>
              <w:jc w:val="both"/>
              <w:rPr>
                <w:rFonts w:ascii="Cambria" w:hAnsi="Cambria"/>
                <w:b/>
                <w:color w:val="auto"/>
                <w:sz w:val="20"/>
                <w:szCs w:val="20"/>
              </w:rPr>
            </w:pPr>
            <w:r w:rsidRPr="004E13E9">
              <w:rPr>
                <w:rFonts w:ascii="Cambria" w:hAnsi="Cambria"/>
                <w:b/>
                <w:color w:val="auto"/>
                <w:sz w:val="20"/>
                <w:szCs w:val="20"/>
              </w:rPr>
              <w:lastRenderedPageBreak/>
              <w:t>5</w:t>
            </w:r>
          </w:p>
        </w:tc>
        <w:tc>
          <w:tcPr>
            <w:tcW w:w="1952" w:type="dxa"/>
          </w:tcPr>
          <w:p w14:paraId="5AAA1806" w14:textId="77777777" w:rsidR="00827114" w:rsidRPr="004E13E9" w:rsidRDefault="00827114" w:rsidP="000620A7">
            <w:pPr>
              <w:jc w:val="both"/>
              <w:rPr>
                <w:rFonts w:ascii="Cambria" w:hAnsi="Cambria"/>
                <w:b/>
                <w:bCs/>
                <w:color w:val="auto"/>
                <w:sz w:val="20"/>
                <w:szCs w:val="20"/>
              </w:rPr>
            </w:pPr>
            <w:r w:rsidRPr="004E13E9">
              <w:rPr>
                <w:rFonts w:ascii="Cambria" w:hAnsi="Cambria"/>
                <w:b/>
                <w:bCs/>
                <w:color w:val="auto"/>
                <w:sz w:val="20"/>
                <w:szCs w:val="20"/>
              </w:rPr>
              <w:t>Pêcheries récréatives et sportives (paragraphes 38-46)</w:t>
            </w:r>
          </w:p>
        </w:tc>
        <w:tc>
          <w:tcPr>
            <w:tcW w:w="3402" w:type="dxa"/>
          </w:tcPr>
          <w:p w14:paraId="4A6879D1"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Les pêcheries récréatives et sportives ciblant le thon rouge ne sont pas autorisées en Algérie ; aucun quota n’est alloué à ces activités.</w:t>
            </w:r>
          </w:p>
        </w:tc>
        <w:tc>
          <w:tcPr>
            <w:tcW w:w="2552" w:type="dxa"/>
          </w:tcPr>
          <w:p w14:paraId="25162663"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Décret exécutif n° 03-481 du 13 décembre 2003 fixant les conditions d’exercice de la pêche (modifié et complété).</w:t>
            </w:r>
          </w:p>
        </w:tc>
        <w:tc>
          <w:tcPr>
            <w:tcW w:w="708" w:type="dxa"/>
          </w:tcPr>
          <w:p w14:paraId="5DCB672D" w14:textId="77777777" w:rsidR="00827114" w:rsidRPr="004E13E9" w:rsidRDefault="00827114" w:rsidP="000620A7">
            <w:pPr>
              <w:jc w:val="both"/>
              <w:rPr>
                <w:rFonts w:ascii="Cambria" w:hAnsi="Cambria"/>
                <w:color w:val="auto"/>
                <w:sz w:val="20"/>
                <w:szCs w:val="20"/>
              </w:rPr>
            </w:pPr>
          </w:p>
        </w:tc>
      </w:tr>
      <w:tr w:rsidR="00827114" w:rsidRPr="00C712A4" w14:paraId="6E670EF5" w14:textId="77777777" w:rsidTr="00745BE8">
        <w:tc>
          <w:tcPr>
            <w:tcW w:w="453" w:type="dxa"/>
          </w:tcPr>
          <w:p w14:paraId="021C7EA4" w14:textId="77777777" w:rsidR="00827114" w:rsidRPr="004E13E9" w:rsidRDefault="00827114" w:rsidP="000620A7">
            <w:pPr>
              <w:jc w:val="both"/>
              <w:rPr>
                <w:rFonts w:ascii="Cambria" w:hAnsi="Cambria"/>
                <w:b/>
                <w:color w:val="auto"/>
                <w:sz w:val="20"/>
                <w:szCs w:val="20"/>
              </w:rPr>
            </w:pPr>
            <w:r w:rsidRPr="004E13E9">
              <w:rPr>
                <w:rFonts w:ascii="Cambria" w:hAnsi="Cambria"/>
                <w:b/>
                <w:color w:val="auto"/>
                <w:sz w:val="20"/>
                <w:szCs w:val="20"/>
              </w:rPr>
              <w:t>6</w:t>
            </w:r>
          </w:p>
        </w:tc>
        <w:tc>
          <w:tcPr>
            <w:tcW w:w="1952" w:type="dxa"/>
          </w:tcPr>
          <w:p w14:paraId="1A330364" w14:textId="77777777" w:rsidR="00827114" w:rsidRPr="004E13E9" w:rsidRDefault="00827114" w:rsidP="000620A7">
            <w:pPr>
              <w:jc w:val="both"/>
              <w:rPr>
                <w:rFonts w:ascii="Cambria" w:hAnsi="Cambria"/>
                <w:b/>
                <w:color w:val="auto"/>
                <w:sz w:val="20"/>
                <w:szCs w:val="20"/>
              </w:rPr>
            </w:pPr>
            <w:r w:rsidRPr="004E13E9">
              <w:rPr>
                <w:rFonts w:ascii="Cambria" w:hAnsi="Cambria"/>
                <w:b/>
                <w:color w:val="auto"/>
                <w:sz w:val="20"/>
                <w:szCs w:val="20"/>
              </w:rPr>
              <w:t xml:space="preserve">Transbordement (paragraphes 89-94) </w:t>
            </w:r>
          </w:p>
        </w:tc>
        <w:tc>
          <w:tcPr>
            <w:tcW w:w="3402" w:type="dxa"/>
          </w:tcPr>
          <w:p w14:paraId="3215D472"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Le transbordement du thon rouge en mer est interdit, conformément à la réglementation nationale en vigueur.</w:t>
            </w:r>
          </w:p>
        </w:tc>
        <w:tc>
          <w:tcPr>
            <w:tcW w:w="2552" w:type="dxa"/>
          </w:tcPr>
          <w:p w14:paraId="0A83DDFA" w14:textId="3FC067DB"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Article 58 de la loi 01-11, relative à la pêche et l’aquaculture, modifiée et complétée, arrêté du 24 février 2022 fixant les conditions et les modalités de la pêche au thon rouge par les navires battant le pavillon national</w:t>
            </w:r>
            <w:r w:rsidR="003248E6" w:rsidRPr="004E13E9">
              <w:rPr>
                <w:rFonts w:ascii="Cambria" w:hAnsi="Cambria"/>
                <w:color w:val="auto"/>
                <w:sz w:val="20"/>
                <w:szCs w:val="20"/>
              </w:rPr>
              <w:t>.</w:t>
            </w:r>
          </w:p>
        </w:tc>
        <w:tc>
          <w:tcPr>
            <w:tcW w:w="708" w:type="dxa"/>
          </w:tcPr>
          <w:p w14:paraId="7FE77B03" w14:textId="77777777" w:rsidR="00827114" w:rsidRPr="004E13E9" w:rsidRDefault="00827114" w:rsidP="000620A7">
            <w:pPr>
              <w:jc w:val="both"/>
              <w:rPr>
                <w:rFonts w:ascii="Cambria" w:hAnsi="Cambria"/>
                <w:color w:val="auto"/>
                <w:sz w:val="20"/>
                <w:szCs w:val="20"/>
              </w:rPr>
            </w:pPr>
          </w:p>
        </w:tc>
      </w:tr>
      <w:tr w:rsidR="00827114" w:rsidRPr="00C712A4" w14:paraId="6FCE57E3" w14:textId="77777777" w:rsidTr="00745BE8">
        <w:tc>
          <w:tcPr>
            <w:tcW w:w="453" w:type="dxa"/>
          </w:tcPr>
          <w:p w14:paraId="02B5CA5D" w14:textId="77777777" w:rsidR="00827114" w:rsidRPr="004E13E9" w:rsidRDefault="00827114" w:rsidP="000620A7">
            <w:pPr>
              <w:jc w:val="both"/>
              <w:rPr>
                <w:rFonts w:ascii="Cambria" w:hAnsi="Cambria"/>
                <w:b/>
                <w:color w:val="auto"/>
                <w:sz w:val="20"/>
                <w:szCs w:val="20"/>
              </w:rPr>
            </w:pPr>
            <w:r w:rsidRPr="004E13E9">
              <w:rPr>
                <w:rFonts w:ascii="Cambria" w:hAnsi="Cambria"/>
                <w:b/>
                <w:color w:val="auto"/>
                <w:sz w:val="20"/>
                <w:szCs w:val="20"/>
              </w:rPr>
              <w:t>7</w:t>
            </w:r>
          </w:p>
        </w:tc>
        <w:tc>
          <w:tcPr>
            <w:tcW w:w="1952" w:type="dxa"/>
          </w:tcPr>
          <w:p w14:paraId="132100EB" w14:textId="77777777" w:rsidR="00827114" w:rsidRPr="004E13E9" w:rsidRDefault="00827114" w:rsidP="000620A7">
            <w:pPr>
              <w:jc w:val="both"/>
              <w:rPr>
                <w:rFonts w:ascii="Cambria" w:hAnsi="Cambria"/>
                <w:b/>
                <w:color w:val="auto"/>
                <w:sz w:val="20"/>
                <w:szCs w:val="20"/>
              </w:rPr>
            </w:pPr>
            <w:r w:rsidRPr="004E13E9">
              <w:rPr>
                <w:rFonts w:ascii="Cambria" w:hAnsi="Cambria"/>
                <w:b/>
                <w:color w:val="auto"/>
                <w:sz w:val="20"/>
                <w:szCs w:val="20"/>
              </w:rPr>
              <w:t>VMS (paragraphes 222-228)</w:t>
            </w:r>
          </w:p>
        </w:tc>
        <w:tc>
          <w:tcPr>
            <w:tcW w:w="3402" w:type="dxa"/>
          </w:tcPr>
          <w:p w14:paraId="742CF483"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Conformément aux obligations législatives et réglementaires nationales, tous les navires thoniers senneurs sont équipés d’une balise de positionnement (VMS), opérationnelle cinq (5) jours avant le début de la campagne de pêche et cinq (5) jours après sa clôture.</w:t>
            </w:r>
          </w:p>
        </w:tc>
        <w:tc>
          <w:tcPr>
            <w:tcW w:w="2552" w:type="dxa"/>
          </w:tcPr>
          <w:p w14:paraId="7BAD3ED2"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Article 20 bis de la loi n° 15-08, modifiant et complétant la loi 01-11, relative à la pêche et l’aquaculture.</w:t>
            </w:r>
          </w:p>
          <w:p w14:paraId="404FFA98"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L’article 3 du décret exécutif 22-58 du 2 février 2022 fixant les conditions et les modalités de mise en place de balise de positionnement des navires armés et équipés à la pêche.</w:t>
            </w:r>
          </w:p>
          <w:p w14:paraId="574D803E" w14:textId="77777777" w:rsidR="00827114" w:rsidRPr="004E13E9" w:rsidRDefault="00827114" w:rsidP="00487A5C">
            <w:pPr>
              <w:pStyle w:val="ListParagraph"/>
              <w:widowControl w:val="0"/>
              <w:numPr>
                <w:ilvl w:val="0"/>
                <w:numId w:val="7"/>
              </w:numPr>
              <w:spacing w:after="0" w:line="240" w:lineRule="auto"/>
              <w:jc w:val="both"/>
              <w:rPr>
                <w:rFonts w:ascii="Cambria" w:hAnsi="Cambria"/>
                <w:color w:val="auto"/>
                <w:sz w:val="20"/>
                <w:szCs w:val="20"/>
              </w:rPr>
            </w:pPr>
            <w:r w:rsidRPr="004E13E9">
              <w:rPr>
                <w:rFonts w:ascii="Cambria" w:hAnsi="Cambria"/>
                <w:color w:val="auto"/>
                <w:sz w:val="20"/>
                <w:szCs w:val="20"/>
              </w:rPr>
              <w:t>Articles 14 -15 de l’arrêté du 24 février 2022 fixant les conditions et les modalités de la pêche au thon rouge par les navires battant pavillon national</w:t>
            </w:r>
          </w:p>
          <w:p w14:paraId="533DC15C" w14:textId="77777777" w:rsidR="00827114" w:rsidRPr="004E13E9" w:rsidRDefault="00827114" w:rsidP="000620A7">
            <w:pPr>
              <w:ind w:left="71"/>
              <w:jc w:val="both"/>
              <w:rPr>
                <w:rFonts w:ascii="Cambria" w:hAnsi="Cambria"/>
                <w:color w:val="auto"/>
                <w:sz w:val="20"/>
                <w:szCs w:val="20"/>
              </w:rPr>
            </w:pPr>
          </w:p>
          <w:p w14:paraId="032FC369" w14:textId="77777777" w:rsidR="00827114" w:rsidRPr="004E13E9" w:rsidRDefault="00827114" w:rsidP="000620A7">
            <w:pPr>
              <w:ind w:left="71"/>
              <w:jc w:val="both"/>
              <w:rPr>
                <w:rFonts w:ascii="Cambria" w:hAnsi="Cambria"/>
                <w:color w:val="auto"/>
                <w:sz w:val="20"/>
                <w:szCs w:val="20"/>
              </w:rPr>
            </w:pPr>
            <w:r w:rsidRPr="004E13E9">
              <w:rPr>
                <w:rFonts w:ascii="Cambria" w:hAnsi="Cambria"/>
                <w:color w:val="auto"/>
                <w:sz w:val="20"/>
                <w:szCs w:val="20"/>
              </w:rPr>
              <w:t>« La transmission des messages VMS pour les navires thoniers senneurs, s’effectue chaque heure, conformément aux dispositions des Rec. 25-04 et 18-10 de l’ICCAT. »</w:t>
            </w:r>
          </w:p>
        </w:tc>
        <w:tc>
          <w:tcPr>
            <w:tcW w:w="708" w:type="dxa"/>
          </w:tcPr>
          <w:p w14:paraId="5A685694" w14:textId="77777777" w:rsidR="00827114" w:rsidRPr="004E13E9" w:rsidRDefault="00827114" w:rsidP="000620A7">
            <w:pPr>
              <w:jc w:val="both"/>
              <w:rPr>
                <w:rFonts w:ascii="Cambria" w:hAnsi="Cambria"/>
                <w:color w:val="auto"/>
                <w:sz w:val="20"/>
                <w:szCs w:val="20"/>
              </w:rPr>
            </w:pPr>
          </w:p>
        </w:tc>
      </w:tr>
      <w:tr w:rsidR="00827114" w:rsidRPr="00C712A4" w14:paraId="0616FDB8" w14:textId="77777777" w:rsidTr="00745BE8">
        <w:tc>
          <w:tcPr>
            <w:tcW w:w="453" w:type="dxa"/>
          </w:tcPr>
          <w:p w14:paraId="5A0E946D" w14:textId="77777777" w:rsidR="00827114" w:rsidRPr="004E13E9" w:rsidRDefault="00827114" w:rsidP="000620A7">
            <w:pPr>
              <w:jc w:val="both"/>
              <w:rPr>
                <w:rFonts w:ascii="Cambria" w:hAnsi="Cambria"/>
                <w:b/>
                <w:color w:val="auto"/>
                <w:sz w:val="20"/>
                <w:szCs w:val="20"/>
              </w:rPr>
            </w:pPr>
            <w:r w:rsidRPr="004E13E9">
              <w:rPr>
                <w:rFonts w:ascii="Cambria" w:hAnsi="Cambria"/>
                <w:b/>
                <w:color w:val="auto"/>
                <w:sz w:val="20"/>
                <w:szCs w:val="20"/>
              </w:rPr>
              <w:t>8</w:t>
            </w:r>
          </w:p>
        </w:tc>
        <w:tc>
          <w:tcPr>
            <w:tcW w:w="1952" w:type="dxa"/>
          </w:tcPr>
          <w:p w14:paraId="7C610843" w14:textId="77777777" w:rsidR="00827114" w:rsidRPr="004E13E9" w:rsidRDefault="00827114" w:rsidP="000620A7">
            <w:pPr>
              <w:jc w:val="both"/>
              <w:rPr>
                <w:rFonts w:ascii="Cambria" w:hAnsi="Cambria"/>
                <w:b/>
                <w:color w:val="auto"/>
                <w:sz w:val="20"/>
                <w:szCs w:val="20"/>
              </w:rPr>
            </w:pPr>
            <w:r w:rsidRPr="004E13E9">
              <w:rPr>
                <w:rFonts w:ascii="Cambria" w:hAnsi="Cambria"/>
                <w:b/>
                <w:color w:val="auto"/>
                <w:sz w:val="20"/>
                <w:szCs w:val="20"/>
              </w:rPr>
              <w:t>Programme d’observateurs des CPC (paragraphes 95-100)</w:t>
            </w:r>
          </w:p>
        </w:tc>
        <w:tc>
          <w:tcPr>
            <w:tcW w:w="3402" w:type="dxa"/>
          </w:tcPr>
          <w:p w14:paraId="3186FD68"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Embarquement d’un contrôleur/ observateur national à bord de chaque thonier senneur ciblant activement le thon rouge et à bord de chaque remorqueur, et ce, durant toute la saison de pêche. La couverture est de 100 % pour les navires thoniers senneurs et les remorqueurs.</w:t>
            </w:r>
          </w:p>
        </w:tc>
        <w:tc>
          <w:tcPr>
            <w:tcW w:w="2552" w:type="dxa"/>
          </w:tcPr>
          <w:p w14:paraId="22B45D6B"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Article 17 de l’arrêté du 24 février 2022 fixant les conditions et les modalités de la pêche au thon rouge par les navires battant pavillon national.</w:t>
            </w:r>
          </w:p>
        </w:tc>
        <w:tc>
          <w:tcPr>
            <w:tcW w:w="708" w:type="dxa"/>
          </w:tcPr>
          <w:p w14:paraId="7C709527" w14:textId="77777777" w:rsidR="00827114" w:rsidRPr="004E13E9" w:rsidRDefault="00827114" w:rsidP="000620A7">
            <w:pPr>
              <w:jc w:val="both"/>
              <w:rPr>
                <w:rFonts w:ascii="Cambria" w:hAnsi="Cambria"/>
                <w:color w:val="auto"/>
                <w:sz w:val="20"/>
                <w:szCs w:val="20"/>
              </w:rPr>
            </w:pPr>
          </w:p>
        </w:tc>
      </w:tr>
      <w:tr w:rsidR="00827114" w:rsidRPr="00C712A4" w14:paraId="4A69C847" w14:textId="77777777" w:rsidTr="00745BE8">
        <w:tc>
          <w:tcPr>
            <w:tcW w:w="453" w:type="dxa"/>
          </w:tcPr>
          <w:p w14:paraId="3B103BC2" w14:textId="77777777" w:rsidR="00827114" w:rsidRPr="004E13E9" w:rsidRDefault="00827114" w:rsidP="000620A7">
            <w:pPr>
              <w:jc w:val="both"/>
              <w:rPr>
                <w:rFonts w:ascii="Cambria" w:hAnsi="Cambria"/>
                <w:b/>
                <w:color w:val="auto"/>
                <w:sz w:val="20"/>
                <w:szCs w:val="20"/>
              </w:rPr>
            </w:pPr>
            <w:r w:rsidRPr="004E13E9">
              <w:rPr>
                <w:rFonts w:ascii="Cambria" w:hAnsi="Cambria"/>
                <w:b/>
                <w:color w:val="auto"/>
                <w:sz w:val="20"/>
                <w:szCs w:val="20"/>
              </w:rPr>
              <w:t>9</w:t>
            </w:r>
          </w:p>
        </w:tc>
        <w:tc>
          <w:tcPr>
            <w:tcW w:w="1952" w:type="dxa"/>
          </w:tcPr>
          <w:p w14:paraId="78D158FD" w14:textId="77777777" w:rsidR="00827114" w:rsidRPr="004E13E9" w:rsidRDefault="00827114" w:rsidP="000620A7">
            <w:pPr>
              <w:jc w:val="both"/>
              <w:rPr>
                <w:rFonts w:ascii="Cambria" w:hAnsi="Cambria"/>
                <w:b/>
                <w:color w:val="auto"/>
                <w:sz w:val="20"/>
                <w:szCs w:val="20"/>
              </w:rPr>
            </w:pPr>
            <w:r w:rsidRPr="004E13E9">
              <w:rPr>
                <w:rFonts w:ascii="Cambria" w:hAnsi="Cambria"/>
                <w:b/>
                <w:color w:val="auto"/>
                <w:sz w:val="20"/>
                <w:szCs w:val="20"/>
              </w:rPr>
              <w:t>Programme d'observateurs régionaux (paragraphes 101-107)</w:t>
            </w:r>
          </w:p>
        </w:tc>
        <w:tc>
          <w:tcPr>
            <w:tcW w:w="3402" w:type="dxa"/>
          </w:tcPr>
          <w:p w14:paraId="124FE81C"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Exigence réglementaire imposant aux armateurs des navires thoniers senneurs l’embarquement d’observateurs régionaux de l’ICCAT.</w:t>
            </w:r>
          </w:p>
        </w:tc>
        <w:tc>
          <w:tcPr>
            <w:tcW w:w="2552" w:type="dxa"/>
          </w:tcPr>
          <w:p w14:paraId="1E8839F0"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Article 25 de l’arrêté du 24 février 2022 fixant les conditions et les modalités de la pêche au thon rouge par les navires battant pavillon national.</w:t>
            </w:r>
          </w:p>
        </w:tc>
        <w:tc>
          <w:tcPr>
            <w:tcW w:w="708" w:type="dxa"/>
          </w:tcPr>
          <w:p w14:paraId="6B2375C4" w14:textId="77777777" w:rsidR="00827114" w:rsidRPr="004E13E9" w:rsidRDefault="00827114" w:rsidP="000620A7">
            <w:pPr>
              <w:jc w:val="both"/>
              <w:rPr>
                <w:rFonts w:ascii="Cambria" w:hAnsi="Cambria"/>
                <w:color w:val="auto"/>
                <w:sz w:val="20"/>
                <w:szCs w:val="20"/>
              </w:rPr>
            </w:pPr>
          </w:p>
        </w:tc>
      </w:tr>
      <w:tr w:rsidR="00827114" w:rsidRPr="00C712A4" w14:paraId="525747DA" w14:textId="77777777" w:rsidTr="00745BE8">
        <w:tc>
          <w:tcPr>
            <w:tcW w:w="453" w:type="dxa"/>
          </w:tcPr>
          <w:p w14:paraId="5735312B" w14:textId="77777777" w:rsidR="00827114" w:rsidRPr="004E13E9" w:rsidRDefault="00827114" w:rsidP="000620A7">
            <w:pPr>
              <w:jc w:val="both"/>
              <w:rPr>
                <w:rFonts w:ascii="Cambria" w:hAnsi="Cambria"/>
                <w:b/>
                <w:bCs/>
                <w:iCs/>
                <w:color w:val="auto"/>
                <w:sz w:val="20"/>
                <w:szCs w:val="20"/>
              </w:rPr>
            </w:pPr>
            <w:r w:rsidRPr="004E13E9">
              <w:rPr>
                <w:rFonts w:ascii="Cambria" w:hAnsi="Cambria"/>
                <w:b/>
                <w:bCs/>
                <w:iCs/>
                <w:color w:val="auto"/>
                <w:sz w:val="20"/>
                <w:szCs w:val="20"/>
              </w:rPr>
              <w:lastRenderedPageBreak/>
              <w:t>10</w:t>
            </w:r>
          </w:p>
        </w:tc>
        <w:tc>
          <w:tcPr>
            <w:tcW w:w="1952" w:type="dxa"/>
          </w:tcPr>
          <w:p w14:paraId="2EAC359C" w14:textId="77777777" w:rsidR="00827114" w:rsidRPr="004E13E9" w:rsidRDefault="00827114" w:rsidP="000620A7">
            <w:pPr>
              <w:jc w:val="both"/>
              <w:rPr>
                <w:rFonts w:ascii="Cambria" w:hAnsi="Cambria"/>
                <w:b/>
                <w:bCs/>
                <w:iCs/>
                <w:color w:val="auto"/>
                <w:sz w:val="20"/>
                <w:szCs w:val="20"/>
              </w:rPr>
            </w:pPr>
            <w:r w:rsidRPr="004E13E9">
              <w:rPr>
                <w:rFonts w:ascii="Cambria" w:hAnsi="Cambria"/>
                <w:b/>
                <w:bCs/>
                <w:iCs/>
                <w:color w:val="auto"/>
                <w:sz w:val="20"/>
                <w:szCs w:val="20"/>
              </w:rPr>
              <w:t>Législation nationale</w:t>
            </w:r>
          </w:p>
        </w:tc>
        <w:tc>
          <w:tcPr>
            <w:tcW w:w="3402" w:type="dxa"/>
          </w:tcPr>
          <w:p w14:paraId="1F91663C" w14:textId="77777777" w:rsidR="00827114" w:rsidRPr="004E13E9" w:rsidRDefault="00827114" w:rsidP="000620A7">
            <w:pPr>
              <w:jc w:val="both"/>
              <w:rPr>
                <w:rFonts w:ascii="Cambria" w:hAnsi="Cambria"/>
                <w:color w:val="auto"/>
                <w:sz w:val="20"/>
                <w:szCs w:val="20"/>
              </w:rPr>
            </w:pPr>
            <w:r w:rsidRPr="004E13E9">
              <w:rPr>
                <w:rFonts w:ascii="Cambria" w:hAnsi="Cambria"/>
                <w:color w:val="auto"/>
                <w:sz w:val="20"/>
                <w:szCs w:val="20"/>
              </w:rPr>
              <w:t>Oui. Les Recommandations de l’ICCAT sont transposées dans la législation nationale.</w:t>
            </w:r>
          </w:p>
        </w:tc>
        <w:tc>
          <w:tcPr>
            <w:tcW w:w="2552" w:type="dxa"/>
          </w:tcPr>
          <w:p w14:paraId="280BC6FE" w14:textId="77777777" w:rsidR="00827114" w:rsidRPr="004E13E9" w:rsidRDefault="00827114" w:rsidP="00487A5C">
            <w:pPr>
              <w:pStyle w:val="ListParagraph"/>
              <w:widowControl w:val="0"/>
              <w:numPr>
                <w:ilvl w:val="0"/>
                <w:numId w:val="6"/>
              </w:numPr>
              <w:spacing w:after="0" w:line="240" w:lineRule="auto"/>
              <w:ind w:left="0" w:hanging="101"/>
              <w:jc w:val="both"/>
              <w:rPr>
                <w:rFonts w:ascii="Cambria" w:hAnsi="Cambria"/>
                <w:color w:val="auto"/>
                <w:sz w:val="20"/>
                <w:szCs w:val="20"/>
              </w:rPr>
            </w:pPr>
            <w:r w:rsidRPr="004E13E9">
              <w:rPr>
                <w:rFonts w:ascii="Cambria" w:hAnsi="Cambria"/>
                <w:color w:val="auto"/>
                <w:sz w:val="20"/>
                <w:szCs w:val="20"/>
              </w:rPr>
              <w:t>Loi 01-11, relative à la pêche et l’aquaculture modifiée et complétée.</w:t>
            </w:r>
          </w:p>
          <w:p w14:paraId="66DDC4C7" w14:textId="77777777" w:rsidR="00827114" w:rsidRPr="004E13E9" w:rsidRDefault="00827114" w:rsidP="00487A5C">
            <w:pPr>
              <w:pStyle w:val="ListParagraph"/>
              <w:widowControl w:val="0"/>
              <w:numPr>
                <w:ilvl w:val="0"/>
                <w:numId w:val="6"/>
              </w:numPr>
              <w:spacing w:after="0" w:line="240" w:lineRule="auto"/>
              <w:ind w:left="0" w:hanging="101"/>
              <w:jc w:val="both"/>
              <w:rPr>
                <w:rFonts w:ascii="Cambria" w:hAnsi="Cambria"/>
                <w:color w:val="auto"/>
                <w:sz w:val="20"/>
                <w:szCs w:val="20"/>
              </w:rPr>
            </w:pPr>
            <w:r w:rsidRPr="004E13E9">
              <w:rPr>
                <w:rFonts w:ascii="Cambria" w:hAnsi="Cambria"/>
                <w:color w:val="auto"/>
                <w:sz w:val="20"/>
                <w:szCs w:val="20"/>
              </w:rPr>
              <w:t>Décret exécutif n° 03-481 du 13 décembre 2003 fixant les conditions d’exercice de la pêche modifié et complété.</w:t>
            </w:r>
          </w:p>
          <w:p w14:paraId="64D30392" w14:textId="77777777" w:rsidR="00827114" w:rsidRPr="004E13E9" w:rsidRDefault="00827114" w:rsidP="00487A5C">
            <w:pPr>
              <w:pStyle w:val="ListParagraph"/>
              <w:widowControl w:val="0"/>
              <w:numPr>
                <w:ilvl w:val="0"/>
                <w:numId w:val="6"/>
              </w:numPr>
              <w:spacing w:after="0" w:line="240" w:lineRule="auto"/>
              <w:ind w:left="0" w:hanging="101"/>
              <w:jc w:val="both"/>
              <w:rPr>
                <w:rFonts w:ascii="Cambria" w:hAnsi="Cambria"/>
                <w:color w:val="auto"/>
                <w:sz w:val="20"/>
                <w:szCs w:val="20"/>
              </w:rPr>
            </w:pPr>
            <w:r w:rsidRPr="004E13E9">
              <w:rPr>
                <w:rFonts w:ascii="Cambria" w:hAnsi="Cambria"/>
                <w:color w:val="auto"/>
                <w:sz w:val="20"/>
                <w:szCs w:val="20"/>
              </w:rPr>
              <w:t>Arrêté du 24 février 2022 fixant les conditions et les modalités de la pêche au thon rouge par les navires battant pavillon national.</w:t>
            </w:r>
          </w:p>
        </w:tc>
        <w:tc>
          <w:tcPr>
            <w:tcW w:w="708" w:type="dxa"/>
          </w:tcPr>
          <w:p w14:paraId="0E3CECDB" w14:textId="77777777" w:rsidR="00827114" w:rsidRPr="004E13E9" w:rsidRDefault="00827114" w:rsidP="000620A7">
            <w:pPr>
              <w:jc w:val="both"/>
              <w:rPr>
                <w:rFonts w:ascii="Cambria" w:hAnsi="Cambria"/>
                <w:color w:val="auto"/>
                <w:sz w:val="20"/>
                <w:szCs w:val="20"/>
              </w:rPr>
            </w:pPr>
          </w:p>
        </w:tc>
      </w:tr>
      <w:tr w:rsidR="00827114" w:rsidRPr="00C712A4" w14:paraId="2C3CC226" w14:textId="77777777" w:rsidTr="00745BE8">
        <w:tc>
          <w:tcPr>
            <w:tcW w:w="453" w:type="dxa"/>
          </w:tcPr>
          <w:p w14:paraId="796C5C2B" w14:textId="77777777" w:rsidR="00827114" w:rsidRPr="004E13E9" w:rsidRDefault="00827114" w:rsidP="000620A7">
            <w:pPr>
              <w:jc w:val="both"/>
              <w:rPr>
                <w:rFonts w:ascii="Cambria" w:hAnsi="Cambria"/>
                <w:i/>
                <w:color w:val="auto"/>
                <w:sz w:val="20"/>
                <w:szCs w:val="20"/>
              </w:rPr>
            </w:pPr>
          </w:p>
        </w:tc>
        <w:tc>
          <w:tcPr>
            <w:tcW w:w="1952" w:type="dxa"/>
          </w:tcPr>
          <w:p w14:paraId="4F3C0B3A" w14:textId="28065EB3" w:rsidR="00827114" w:rsidRPr="004E13E9" w:rsidRDefault="00827114" w:rsidP="003248E6">
            <w:pPr>
              <w:jc w:val="both"/>
              <w:rPr>
                <w:rFonts w:ascii="Cambria" w:hAnsi="Cambria"/>
                <w:i/>
                <w:color w:val="auto"/>
                <w:sz w:val="20"/>
                <w:szCs w:val="20"/>
              </w:rPr>
            </w:pPr>
            <w:r w:rsidRPr="004E13E9">
              <w:rPr>
                <w:rFonts w:ascii="Cambria" w:hAnsi="Cambria"/>
                <w:i/>
                <w:color w:val="auto"/>
                <w:sz w:val="20"/>
                <w:szCs w:val="20"/>
              </w:rPr>
              <w:t>Autres exigences, telles que</w:t>
            </w:r>
            <w:r w:rsidR="003248E6" w:rsidRPr="004E13E9">
              <w:rPr>
                <w:rFonts w:ascii="Cambria" w:hAnsi="Cambria"/>
                <w:i/>
                <w:color w:val="auto"/>
                <w:sz w:val="20"/>
                <w:szCs w:val="20"/>
              </w:rPr>
              <w:t xml:space="preserve"> : </w:t>
            </w:r>
            <w:r w:rsidRPr="004E13E9">
              <w:rPr>
                <w:rFonts w:ascii="Cambria" w:hAnsi="Cambria"/>
                <w:i/>
                <w:color w:val="auto"/>
                <w:sz w:val="20"/>
                <w:szCs w:val="20"/>
              </w:rPr>
              <w:t>programme de marquage (paragraphe 44), etc.</w:t>
            </w:r>
          </w:p>
        </w:tc>
        <w:tc>
          <w:tcPr>
            <w:tcW w:w="3402" w:type="dxa"/>
          </w:tcPr>
          <w:p w14:paraId="4D8794A0" w14:textId="77777777" w:rsidR="00827114" w:rsidRPr="004E13E9" w:rsidRDefault="00827114" w:rsidP="000620A7">
            <w:pPr>
              <w:jc w:val="both"/>
              <w:rPr>
                <w:rFonts w:ascii="Cambria" w:hAnsi="Cambria"/>
                <w:color w:val="auto"/>
                <w:sz w:val="20"/>
                <w:szCs w:val="20"/>
              </w:rPr>
            </w:pPr>
          </w:p>
        </w:tc>
        <w:tc>
          <w:tcPr>
            <w:tcW w:w="2552" w:type="dxa"/>
          </w:tcPr>
          <w:p w14:paraId="655D8ED2" w14:textId="77777777" w:rsidR="00827114" w:rsidRPr="004E13E9" w:rsidRDefault="00827114" w:rsidP="000620A7">
            <w:pPr>
              <w:jc w:val="both"/>
              <w:rPr>
                <w:rFonts w:ascii="Cambria" w:hAnsi="Cambria"/>
                <w:color w:val="auto"/>
                <w:sz w:val="20"/>
                <w:szCs w:val="20"/>
              </w:rPr>
            </w:pPr>
          </w:p>
        </w:tc>
        <w:tc>
          <w:tcPr>
            <w:tcW w:w="708" w:type="dxa"/>
          </w:tcPr>
          <w:p w14:paraId="513D002E" w14:textId="77777777" w:rsidR="00827114" w:rsidRPr="004E13E9" w:rsidRDefault="00827114" w:rsidP="000620A7">
            <w:pPr>
              <w:jc w:val="both"/>
              <w:rPr>
                <w:rFonts w:ascii="Cambria" w:hAnsi="Cambria"/>
                <w:color w:val="auto"/>
                <w:sz w:val="20"/>
                <w:szCs w:val="20"/>
              </w:rPr>
            </w:pPr>
          </w:p>
        </w:tc>
      </w:tr>
    </w:tbl>
    <w:p w14:paraId="31F0F2B0" w14:textId="77777777" w:rsidR="00827114" w:rsidRPr="004E13E9" w:rsidRDefault="00827114" w:rsidP="00827114">
      <w:pPr>
        <w:rPr>
          <w:b/>
          <w:i/>
          <w:iCs/>
          <w:lang w:val="fr-FR"/>
        </w:rPr>
      </w:pPr>
      <w:bookmarkStart w:id="8" w:name="_Hlk95288498"/>
    </w:p>
    <w:p w14:paraId="039B1D56" w14:textId="77777777" w:rsidR="00827114" w:rsidRPr="004E13E9" w:rsidRDefault="00827114" w:rsidP="00827114">
      <w:pPr>
        <w:rPr>
          <w:b/>
          <w:i/>
          <w:iCs/>
          <w:lang w:val="fr-FR"/>
        </w:rPr>
      </w:pPr>
      <w:r w:rsidRPr="004E13E9">
        <w:rPr>
          <w:b/>
          <w:i/>
          <w:iCs/>
          <w:lang w:val="fr-FR"/>
        </w:rPr>
        <w:t>1e) Ports désignés (paragraphe 80)</w:t>
      </w:r>
    </w:p>
    <w:p w14:paraId="70C12616" w14:textId="77777777" w:rsidR="00827114" w:rsidRPr="004E13E9" w:rsidRDefault="00827114" w:rsidP="00827114">
      <w:pPr>
        <w:rPr>
          <w:sz w:val="8"/>
          <w:szCs w:val="8"/>
          <w:lang w:val="fr-FR"/>
        </w:rPr>
      </w:pPr>
    </w:p>
    <w:bookmarkEnd w:id="8"/>
    <w:p w14:paraId="3CDEFC86" w14:textId="77777777" w:rsidR="00827114" w:rsidRPr="004E13E9" w:rsidRDefault="00827114" w:rsidP="00827114">
      <w:pPr>
        <w:spacing w:after="240"/>
        <w:rPr>
          <w:lang w:val="fr-FR"/>
        </w:rPr>
      </w:pPr>
      <w:r w:rsidRPr="004E13E9">
        <w:rPr>
          <w:lang w:val="fr-FR"/>
        </w:rPr>
        <w:t xml:space="preserve">Les ports désignés pour le débarquement du thon rouge pour l’année 2026 sont : </w:t>
      </w:r>
    </w:p>
    <w:tbl>
      <w:tblPr>
        <w:tblStyle w:val="TableGrid"/>
        <w:tblW w:w="0" w:type="auto"/>
        <w:tblInd w:w="960" w:type="dxa"/>
        <w:tblLook w:val="04A0" w:firstRow="1" w:lastRow="0" w:firstColumn="1" w:lastColumn="0" w:noHBand="0" w:noVBand="1"/>
      </w:tblPr>
      <w:tblGrid>
        <w:gridCol w:w="988"/>
        <w:gridCol w:w="2268"/>
      </w:tblGrid>
      <w:tr w:rsidR="00827114" w:rsidRPr="004E13E9" w14:paraId="1670282D" w14:textId="77777777" w:rsidTr="000D1853">
        <w:tc>
          <w:tcPr>
            <w:tcW w:w="988" w:type="dxa"/>
          </w:tcPr>
          <w:p w14:paraId="518A7520" w14:textId="77777777" w:rsidR="00827114" w:rsidRPr="004E13E9" w:rsidRDefault="00827114" w:rsidP="000D1853">
            <w:pPr>
              <w:rPr>
                <w:rFonts w:ascii="Cambria" w:hAnsi="Cambria"/>
                <w:i/>
                <w:iCs/>
                <w:color w:val="auto"/>
                <w:sz w:val="20"/>
                <w:szCs w:val="20"/>
              </w:rPr>
            </w:pPr>
            <w:r w:rsidRPr="004E13E9">
              <w:rPr>
                <w:rFonts w:ascii="Cambria" w:hAnsi="Cambria"/>
                <w:i/>
                <w:iCs/>
                <w:color w:val="auto"/>
                <w:sz w:val="20"/>
                <w:szCs w:val="20"/>
              </w:rPr>
              <w:t>N°</w:t>
            </w:r>
          </w:p>
        </w:tc>
        <w:tc>
          <w:tcPr>
            <w:tcW w:w="2268" w:type="dxa"/>
          </w:tcPr>
          <w:p w14:paraId="47BC1B4D" w14:textId="77777777" w:rsidR="00827114" w:rsidRPr="004E13E9" w:rsidRDefault="00827114" w:rsidP="000D1853">
            <w:pPr>
              <w:rPr>
                <w:rFonts w:ascii="Cambria" w:hAnsi="Cambria"/>
                <w:i/>
                <w:iCs/>
                <w:color w:val="auto"/>
                <w:sz w:val="20"/>
                <w:szCs w:val="20"/>
                <w:lang w:val="en-GB"/>
              </w:rPr>
            </w:pPr>
            <w:r w:rsidRPr="004E13E9">
              <w:rPr>
                <w:rFonts w:ascii="Cambria" w:hAnsi="Cambria"/>
                <w:i/>
                <w:iCs/>
                <w:color w:val="auto"/>
                <w:sz w:val="20"/>
                <w:szCs w:val="20"/>
                <w:lang w:val="en-GB"/>
              </w:rPr>
              <w:t xml:space="preserve">Port de </w:t>
            </w:r>
            <w:r w:rsidRPr="004E13E9">
              <w:rPr>
                <w:rFonts w:ascii="Cambria" w:hAnsi="Cambria"/>
                <w:i/>
                <w:iCs/>
                <w:color w:val="auto"/>
                <w:sz w:val="20"/>
                <w:szCs w:val="20"/>
              </w:rPr>
              <w:t>débarquement</w:t>
            </w:r>
          </w:p>
        </w:tc>
      </w:tr>
      <w:tr w:rsidR="00827114" w:rsidRPr="004E13E9" w14:paraId="3B2C3CDF" w14:textId="77777777" w:rsidTr="000D1853">
        <w:tc>
          <w:tcPr>
            <w:tcW w:w="988" w:type="dxa"/>
          </w:tcPr>
          <w:p w14:paraId="67C1F999"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1</w:t>
            </w:r>
          </w:p>
        </w:tc>
        <w:tc>
          <w:tcPr>
            <w:tcW w:w="2268" w:type="dxa"/>
            <w:vAlign w:val="center"/>
          </w:tcPr>
          <w:p w14:paraId="179145B7"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Alger Port</w:t>
            </w:r>
          </w:p>
        </w:tc>
      </w:tr>
      <w:tr w:rsidR="00827114" w:rsidRPr="004E13E9" w14:paraId="669E68A0" w14:textId="77777777" w:rsidTr="000D1853">
        <w:tc>
          <w:tcPr>
            <w:tcW w:w="988" w:type="dxa"/>
          </w:tcPr>
          <w:p w14:paraId="2B28041D"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2</w:t>
            </w:r>
          </w:p>
        </w:tc>
        <w:tc>
          <w:tcPr>
            <w:tcW w:w="2268" w:type="dxa"/>
            <w:vAlign w:val="center"/>
          </w:tcPr>
          <w:p w14:paraId="3932A2DA"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Annaba</w:t>
            </w:r>
          </w:p>
        </w:tc>
      </w:tr>
      <w:tr w:rsidR="00827114" w:rsidRPr="004E13E9" w14:paraId="781738BA" w14:textId="77777777" w:rsidTr="000D1853">
        <w:tc>
          <w:tcPr>
            <w:tcW w:w="988" w:type="dxa"/>
          </w:tcPr>
          <w:p w14:paraId="66209D63"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3</w:t>
            </w:r>
          </w:p>
        </w:tc>
        <w:tc>
          <w:tcPr>
            <w:tcW w:w="2268" w:type="dxa"/>
            <w:vAlign w:val="center"/>
          </w:tcPr>
          <w:p w14:paraId="0C42C1F3" w14:textId="77777777" w:rsidR="00827114" w:rsidRPr="004E13E9" w:rsidRDefault="00827114" w:rsidP="000D1853">
            <w:pPr>
              <w:rPr>
                <w:rFonts w:ascii="Cambria" w:hAnsi="Cambria"/>
                <w:color w:val="auto"/>
                <w:sz w:val="20"/>
                <w:szCs w:val="20"/>
              </w:rPr>
            </w:pPr>
            <w:proofErr w:type="spellStart"/>
            <w:r w:rsidRPr="004E13E9">
              <w:rPr>
                <w:rFonts w:ascii="Cambria" w:hAnsi="Cambria" w:cs="Calibri"/>
                <w:color w:val="auto"/>
                <w:sz w:val="20"/>
                <w:szCs w:val="20"/>
              </w:rPr>
              <w:t>Azeffoun</w:t>
            </w:r>
            <w:proofErr w:type="spellEnd"/>
          </w:p>
        </w:tc>
      </w:tr>
      <w:tr w:rsidR="00827114" w:rsidRPr="004E13E9" w14:paraId="749193C3" w14:textId="77777777" w:rsidTr="000D1853">
        <w:tc>
          <w:tcPr>
            <w:tcW w:w="988" w:type="dxa"/>
          </w:tcPr>
          <w:p w14:paraId="2DE83347"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4</w:t>
            </w:r>
          </w:p>
        </w:tc>
        <w:tc>
          <w:tcPr>
            <w:tcW w:w="2268" w:type="dxa"/>
            <w:vAlign w:val="center"/>
          </w:tcPr>
          <w:p w14:paraId="40040070" w14:textId="77777777" w:rsidR="00827114" w:rsidRPr="004E13E9" w:rsidRDefault="00827114" w:rsidP="000D1853">
            <w:pPr>
              <w:rPr>
                <w:rFonts w:ascii="Cambria" w:hAnsi="Cambria"/>
                <w:color w:val="auto"/>
                <w:sz w:val="20"/>
                <w:szCs w:val="20"/>
              </w:rPr>
            </w:pPr>
            <w:proofErr w:type="spellStart"/>
            <w:r w:rsidRPr="004E13E9">
              <w:rPr>
                <w:rFonts w:ascii="Cambria" w:hAnsi="Cambria" w:cs="Calibri"/>
                <w:color w:val="auto"/>
                <w:sz w:val="20"/>
                <w:szCs w:val="20"/>
              </w:rPr>
              <w:t>Béjaia</w:t>
            </w:r>
            <w:proofErr w:type="spellEnd"/>
          </w:p>
        </w:tc>
      </w:tr>
      <w:tr w:rsidR="00827114" w:rsidRPr="004E13E9" w14:paraId="238D082A" w14:textId="77777777" w:rsidTr="000D1853">
        <w:tc>
          <w:tcPr>
            <w:tcW w:w="988" w:type="dxa"/>
          </w:tcPr>
          <w:p w14:paraId="0FDEA032"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5</w:t>
            </w:r>
          </w:p>
        </w:tc>
        <w:tc>
          <w:tcPr>
            <w:tcW w:w="2268" w:type="dxa"/>
            <w:vAlign w:val="center"/>
          </w:tcPr>
          <w:p w14:paraId="6AB4577B"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Béni-</w:t>
            </w:r>
            <w:proofErr w:type="spellStart"/>
            <w:r w:rsidRPr="004E13E9">
              <w:rPr>
                <w:rFonts w:ascii="Cambria" w:hAnsi="Cambria" w:cs="Calibri"/>
                <w:color w:val="auto"/>
                <w:sz w:val="20"/>
                <w:szCs w:val="20"/>
              </w:rPr>
              <w:t>Saf</w:t>
            </w:r>
            <w:proofErr w:type="spellEnd"/>
          </w:p>
        </w:tc>
      </w:tr>
      <w:tr w:rsidR="00827114" w:rsidRPr="004E13E9" w14:paraId="35E59085" w14:textId="77777777" w:rsidTr="000D1853">
        <w:tc>
          <w:tcPr>
            <w:tcW w:w="988" w:type="dxa"/>
          </w:tcPr>
          <w:p w14:paraId="747EFE1C"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6</w:t>
            </w:r>
          </w:p>
        </w:tc>
        <w:tc>
          <w:tcPr>
            <w:tcW w:w="2268" w:type="dxa"/>
            <w:vAlign w:val="center"/>
          </w:tcPr>
          <w:p w14:paraId="46E7639E" w14:textId="77777777" w:rsidR="00827114" w:rsidRPr="004E13E9" w:rsidRDefault="00827114" w:rsidP="000D1853">
            <w:pPr>
              <w:rPr>
                <w:rFonts w:ascii="Cambria" w:hAnsi="Cambria"/>
                <w:color w:val="auto"/>
                <w:sz w:val="20"/>
                <w:szCs w:val="20"/>
              </w:rPr>
            </w:pPr>
            <w:proofErr w:type="spellStart"/>
            <w:r w:rsidRPr="004E13E9">
              <w:rPr>
                <w:rFonts w:ascii="Cambria" w:hAnsi="Cambria" w:cs="Calibri"/>
                <w:color w:val="auto"/>
                <w:sz w:val="20"/>
                <w:szCs w:val="20"/>
              </w:rPr>
              <w:t>Boudis</w:t>
            </w:r>
            <w:proofErr w:type="spellEnd"/>
          </w:p>
        </w:tc>
      </w:tr>
      <w:tr w:rsidR="00827114" w:rsidRPr="004E13E9" w14:paraId="3B4BCC44" w14:textId="77777777" w:rsidTr="000D1853">
        <w:tc>
          <w:tcPr>
            <w:tcW w:w="988" w:type="dxa"/>
          </w:tcPr>
          <w:p w14:paraId="42E61C47"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7</w:t>
            </w:r>
          </w:p>
        </w:tc>
        <w:tc>
          <w:tcPr>
            <w:tcW w:w="2268" w:type="dxa"/>
            <w:vAlign w:val="center"/>
          </w:tcPr>
          <w:p w14:paraId="10D7A118" w14:textId="77777777" w:rsidR="00827114" w:rsidRPr="004E13E9" w:rsidRDefault="00827114" w:rsidP="000D1853">
            <w:pPr>
              <w:rPr>
                <w:rFonts w:ascii="Cambria" w:hAnsi="Cambria"/>
                <w:color w:val="auto"/>
                <w:sz w:val="20"/>
                <w:szCs w:val="20"/>
              </w:rPr>
            </w:pPr>
            <w:proofErr w:type="spellStart"/>
            <w:r w:rsidRPr="004E13E9">
              <w:rPr>
                <w:rFonts w:ascii="Cambria" w:hAnsi="Cambria" w:cs="Calibri"/>
                <w:color w:val="auto"/>
                <w:sz w:val="20"/>
                <w:szCs w:val="20"/>
              </w:rPr>
              <w:t>Bouharoun</w:t>
            </w:r>
            <w:proofErr w:type="spellEnd"/>
          </w:p>
        </w:tc>
      </w:tr>
      <w:tr w:rsidR="00827114" w:rsidRPr="004E13E9" w14:paraId="674611E3" w14:textId="77777777" w:rsidTr="000D1853">
        <w:tc>
          <w:tcPr>
            <w:tcW w:w="988" w:type="dxa"/>
          </w:tcPr>
          <w:p w14:paraId="65E82F88"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8</w:t>
            </w:r>
          </w:p>
        </w:tc>
        <w:tc>
          <w:tcPr>
            <w:tcW w:w="2268" w:type="dxa"/>
            <w:vAlign w:val="center"/>
          </w:tcPr>
          <w:p w14:paraId="177464A7" w14:textId="77777777" w:rsidR="00827114" w:rsidRPr="004E13E9" w:rsidRDefault="00827114" w:rsidP="000D1853">
            <w:pPr>
              <w:rPr>
                <w:rFonts w:ascii="Cambria" w:hAnsi="Cambria"/>
                <w:color w:val="auto"/>
                <w:sz w:val="20"/>
                <w:szCs w:val="20"/>
              </w:rPr>
            </w:pPr>
            <w:proofErr w:type="spellStart"/>
            <w:r w:rsidRPr="004E13E9">
              <w:rPr>
                <w:rFonts w:ascii="Cambria" w:hAnsi="Cambria" w:cs="Calibri"/>
                <w:color w:val="auto"/>
                <w:sz w:val="20"/>
                <w:szCs w:val="20"/>
              </w:rPr>
              <w:t>Bouzedjar</w:t>
            </w:r>
            <w:proofErr w:type="spellEnd"/>
          </w:p>
        </w:tc>
      </w:tr>
      <w:tr w:rsidR="00827114" w:rsidRPr="004E13E9" w14:paraId="1EFF1477" w14:textId="77777777" w:rsidTr="000D1853">
        <w:tc>
          <w:tcPr>
            <w:tcW w:w="988" w:type="dxa"/>
          </w:tcPr>
          <w:p w14:paraId="06292CA7"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9</w:t>
            </w:r>
          </w:p>
        </w:tc>
        <w:tc>
          <w:tcPr>
            <w:tcW w:w="2268" w:type="dxa"/>
            <w:vAlign w:val="center"/>
          </w:tcPr>
          <w:p w14:paraId="74A2A774"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Cherchell</w:t>
            </w:r>
          </w:p>
        </w:tc>
      </w:tr>
      <w:tr w:rsidR="00827114" w:rsidRPr="004E13E9" w14:paraId="68FBD55C" w14:textId="77777777" w:rsidTr="000D1853">
        <w:tc>
          <w:tcPr>
            <w:tcW w:w="988" w:type="dxa"/>
          </w:tcPr>
          <w:p w14:paraId="3AC0CE81"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10</w:t>
            </w:r>
          </w:p>
        </w:tc>
        <w:tc>
          <w:tcPr>
            <w:tcW w:w="2268" w:type="dxa"/>
            <w:vAlign w:val="center"/>
          </w:tcPr>
          <w:p w14:paraId="11BF0A53"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Collo</w:t>
            </w:r>
          </w:p>
        </w:tc>
      </w:tr>
      <w:tr w:rsidR="00827114" w:rsidRPr="004E13E9" w14:paraId="39CAAA54" w14:textId="77777777" w:rsidTr="000D1853">
        <w:tc>
          <w:tcPr>
            <w:tcW w:w="988" w:type="dxa"/>
          </w:tcPr>
          <w:p w14:paraId="20352801"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11</w:t>
            </w:r>
          </w:p>
        </w:tc>
        <w:tc>
          <w:tcPr>
            <w:tcW w:w="2268" w:type="dxa"/>
            <w:vAlign w:val="center"/>
          </w:tcPr>
          <w:p w14:paraId="324C7253" w14:textId="77777777" w:rsidR="00827114" w:rsidRPr="004E13E9" w:rsidRDefault="00827114" w:rsidP="000D1853">
            <w:pPr>
              <w:rPr>
                <w:rFonts w:ascii="Cambria" w:hAnsi="Cambria"/>
                <w:color w:val="auto"/>
                <w:sz w:val="20"/>
                <w:szCs w:val="20"/>
              </w:rPr>
            </w:pPr>
            <w:proofErr w:type="spellStart"/>
            <w:r w:rsidRPr="004E13E9">
              <w:rPr>
                <w:rFonts w:ascii="Cambria" w:hAnsi="Cambria" w:cs="Calibri"/>
                <w:color w:val="auto"/>
                <w:sz w:val="20"/>
                <w:szCs w:val="20"/>
              </w:rPr>
              <w:t>Dellys</w:t>
            </w:r>
            <w:proofErr w:type="spellEnd"/>
          </w:p>
        </w:tc>
      </w:tr>
      <w:tr w:rsidR="00827114" w:rsidRPr="004E13E9" w14:paraId="6CA6C567" w14:textId="77777777" w:rsidTr="000D1853">
        <w:tc>
          <w:tcPr>
            <w:tcW w:w="988" w:type="dxa"/>
          </w:tcPr>
          <w:p w14:paraId="2EF519A1"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12</w:t>
            </w:r>
          </w:p>
        </w:tc>
        <w:tc>
          <w:tcPr>
            <w:tcW w:w="2268" w:type="dxa"/>
            <w:vAlign w:val="center"/>
          </w:tcPr>
          <w:p w14:paraId="0BE50969" w14:textId="77777777" w:rsidR="00827114" w:rsidRPr="004E13E9" w:rsidRDefault="00827114" w:rsidP="000D1853">
            <w:pPr>
              <w:rPr>
                <w:rFonts w:ascii="Cambria" w:hAnsi="Cambria"/>
                <w:color w:val="auto"/>
                <w:sz w:val="20"/>
                <w:szCs w:val="20"/>
              </w:rPr>
            </w:pPr>
            <w:proofErr w:type="spellStart"/>
            <w:r w:rsidRPr="004E13E9">
              <w:rPr>
                <w:rFonts w:ascii="Cambria" w:hAnsi="Cambria" w:cs="Calibri"/>
                <w:color w:val="auto"/>
                <w:sz w:val="20"/>
                <w:szCs w:val="20"/>
              </w:rPr>
              <w:t>Djinet</w:t>
            </w:r>
            <w:proofErr w:type="spellEnd"/>
          </w:p>
        </w:tc>
      </w:tr>
      <w:tr w:rsidR="00827114" w:rsidRPr="004E13E9" w14:paraId="6863E7DD" w14:textId="77777777" w:rsidTr="000D1853">
        <w:tc>
          <w:tcPr>
            <w:tcW w:w="988" w:type="dxa"/>
          </w:tcPr>
          <w:p w14:paraId="54EFEC77"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13</w:t>
            </w:r>
          </w:p>
        </w:tc>
        <w:tc>
          <w:tcPr>
            <w:tcW w:w="2268" w:type="dxa"/>
            <w:vAlign w:val="center"/>
          </w:tcPr>
          <w:p w14:paraId="134F6860"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El Marsa</w:t>
            </w:r>
          </w:p>
        </w:tc>
      </w:tr>
      <w:tr w:rsidR="00827114" w:rsidRPr="004E13E9" w14:paraId="04E0AD1D" w14:textId="77777777" w:rsidTr="000D1853">
        <w:tc>
          <w:tcPr>
            <w:tcW w:w="988" w:type="dxa"/>
          </w:tcPr>
          <w:p w14:paraId="5BC303F1"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14</w:t>
            </w:r>
          </w:p>
        </w:tc>
        <w:tc>
          <w:tcPr>
            <w:tcW w:w="2268" w:type="dxa"/>
            <w:vAlign w:val="center"/>
          </w:tcPr>
          <w:p w14:paraId="637B1BA6"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El Djamila</w:t>
            </w:r>
          </w:p>
        </w:tc>
      </w:tr>
      <w:tr w:rsidR="00827114" w:rsidRPr="004E13E9" w14:paraId="4E4A32A6" w14:textId="77777777" w:rsidTr="000D1853">
        <w:tc>
          <w:tcPr>
            <w:tcW w:w="988" w:type="dxa"/>
          </w:tcPr>
          <w:p w14:paraId="3A5DE40A"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15</w:t>
            </w:r>
          </w:p>
        </w:tc>
        <w:tc>
          <w:tcPr>
            <w:tcW w:w="2268" w:type="dxa"/>
            <w:vAlign w:val="center"/>
          </w:tcPr>
          <w:p w14:paraId="3F021771"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El Kala</w:t>
            </w:r>
          </w:p>
        </w:tc>
      </w:tr>
      <w:tr w:rsidR="00827114" w:rsidRPr="004E13E9" w14:paraId="184FC700" w14:textId="77777777" w:rsidTr="000D1853">
        <w:tc>
          <w:tcPr>
            <w:tcW w:w="988" w:type="dxa"/>
          </w:tcPr>
          <w:p w14:paraId="0F85FA07"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16</w:t>
            </w:r>
          </w:p>
        </w:tc>
        <w:tc>
          <w:tcPr>
            <w:tcW w:w="2268" w:type="dxa"/>
            <w:vAlign w:val="center"/>
          </w:tcPr>
          <w:p w14:paraId="21D58B5A" w14:textId="77777777" w:rsidR="00827114" w:rsidRPr="004E13E9" w:rsidRDefault="00827114" w:rsidP="000D1853">
            <w:pPr>
              <w:rPr>
                <w:rFonts w:ascii="Cambria" w:hAnsi="Cambria"/>
                <w:color w:val="auto"/>
                <w:sz w:val="20"/>
                <w:szCs w:val="20"/>
              </w:rPr>
            </w:pPr>
            <w:proofErr w:type="spellStart"/>
            <w:r w:rsidRPr="004E13E9">
              <w:rPr>
                <w:rFonts w:ascii="Cambria" w:hAnsi="Cambria" w:cs="Calibri"/>
                <w:color w:val="auto"/>
                <w:sz w:val="20"/>
                <w:szCs w:val="20"/>
              </w:rPr>
              <w:t>Ghazaouet</w:t>
            </w:r>
            <w:proofErr w:type="spellEnd"/>
          </w:p>
        </w:tc>
      </w:tr>
      <w:tr w:rsidR="00827114" w:rsidRPr="004E13E9" w14:paraId="1AA5A7F1" w14:textId="77777777" w:rsidTr="000D1853">
        <w:tc>
          <w:tcPr>
            <w:tcW w:w="988" w:type="dxa"/>
          </w:tcPr>
          <w:p w14:paraId="47921388"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17</w:t>
            </w:r>
          </w:p>
        </w:tc>
        <w:tc>
          <w:tcPr>
            <w:tcW w:w="2268" w:type="dxa"/>
            <w:vAlign w:val="center"/>
          </w:tcPr>
          <w:p w14:paraId="4A041BA7" w14:textId="77777777" w:rsidR="00827114" w:rsidRPr="004E13E9" w:rsidRDefault="00827114" w:rsidP="000D1853">
            <w:pPr>
              <w:rPr>
                <w:rFonts w:ascii="Cambria" w:hAnsi="Cambria"/>
                <w:color w:val="auto"/>
                <w:sz w:val="20"/>
                <w:szCs w:val="20"/>
              </w:rPr>
            </w:pPr>
            <w:proofErr w:type="spellStart"/>
            <w:r w:rsidRPr="004E13E9">
              <w:rPr>
                <w:rFonts w:ascii="Cambria" w:hAnsi="Cambria" w:cs="Calibri"/>
                <w:color w:val="auto"/>
                <w:sz w:val="20"/>
                <w:szCs w:val="20"/>
              </w:rPr>
              <w:t>Gouraya</w:t>
            </w:r>
            <w:proofErr w:type="spellEnd"/>
          </w:p>
        </w:tc>
      </w:tr>
      <w:tr w:rsidR="00827114" w:rsidRPr="004E13E9" w14:paraId="3F9194A9" w14:textId="77777777" w:rsidTr="000D1853">
        <w:tc>
          <w:tcPr>
            <w:tcW w:w="988" w:type="dxa"/>
          </w:tcPr>
          <w:p w14:paraId="60288CF5"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18</w:t>
            </w:r>
          </w:p>
        </w:tc>
        <w:tc>
          <w:tcPr>
            <w:tcW w:w="2268" w:type="dxa"/>
            <w:vAlign w:val="center"/>
          </w:tcPr>
          <w:p w14:paraId="0EB48CFE" w14:textId="77777777" w:rsidR="00827114" w:rsidRPr="004E13E9" w:rsidRDefault="00827114" w:rsidP="000D1853">
            <w:pPr>
              <w:rPr>
                <w:rFonts w:ascii="Cambria" w:hAnsi="Cambria"/>
                <w:color w:val="auto"/>
                <w:sz w:val="20"/>
                <w:szCs w:val="20"/>
              </w:rPr>
            </w:pPr>
            <w:proofErr w:type="spellStart"/>
            <w:r w:rsidRPr="004E13E9">
              <w:rPr>
                <w:rFonts w:ascii="Cambria" w:hAnsi="Cambria" w:cs="Calibri"/>
                <w:color w:val="auto"/>
                <w:sz w:val="20"/>
                <w:szCs w:val="20"/>
              </w:rPr>
              <w:t>Honaine</w:t>
            </w:r>
            <w:proofErr w:type="spellEnd"/>
          </w:p>
        </w:tc>
      </w:tr>
      <w:tr w:rsidR="00827114" w:rsidRPr="004E13E9" w14:paraId="1BF4FC58" w14:textId="77777777" w:rsidTr="000D1853">
        <w:tc>
          <w:tcPr>
            <w:tcW w:w="988" w:type="dxa"/>
          </w:tcPr>
          <w:p w14:paraId="4F00ED90"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19</w:t>
            </w:r>
          </w:p>
        </w:tc>
        <w:tc>
          <w:tcPr>
            <w:tcW w:w="2268" w:type="dxa"/>
            <w:vAlign w:val="center"/>
          </w:tcPr>
          <w:p w14:paraId="71A682CE"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Khemisti</w:t>
            </w:r>
          </w:p>
        </w:tc>
      </w:tr>
      <w:tr w:rsidR="00827114" w:rsidRPr="004E13E9" w14:paraId="09988B24" w14:textId="77777777" w:rsidTr="000D1853">
        <w:tc>
          <w:tcPr>
            <w:tcW w:w="988" w:type="dxa"/>
          </w:tcPr>
          <w:p w14:paraId="208177D7"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20</w:t>
            </w:r>
          </w:p>
        </w:tc>
        <w:tc>
          <w:tcPr>
            <w:tcW w:w="2268" w:type="dxa"/>
            <w:vAlign w:val="center"/>
          </w:tcPr>
          <w:p w14:paraId="21DF2B9B"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La Marsa</w:t>
            </w:r>
          </w:p>
        </w:tc>
      </w:tr>
      <w:tr w:rsidR="00827114" w:rsidRPr="004E13E9" w14:paraId="61411F10" w14:textId="77777777" w:rsidTr="000D1853">
        <w:tc>
          <w:tcPr>
            <w:tcW w:w="988" w:type="dxa"/>
          </w:tcPr>
          <w:p w14:paraId="3C1E8F89"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21</w:t>
            </w:r>
          </w:p>
        </w:tc>
        <w:tc>
          <w:tcPr>
            <w:tcW w:w="2268" w:type="dxa"/>
            <w:vAlign w:val="center"/>
          </w:tcPr>
          <w:p w14:paraId="7B756218"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Mostaganem</w:t>
            </w:r>
          </w:p>
        </w:tc>
      </w:tr>
      <w:tr w:rsidR="00827114" w:rsidRPr="004E13E9" w14:paraId="274D6842" w14:textId="77777777" w:rsidTr="000D1853">
        <w:tc>
          <w:tcPr>
            <w:tcW w:w="988" w:type="dxa"/>
          </w:tcPr>
          <w:p w14:paraId="1A519BD4"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22</w:t>
            </w:r>
          </w:p>
        </w:tc>
        <w:tc>
          <w:tcPr>
            <w:tcW w:w="2268" w:type="dxa"/>
            <w:vAlign w:val="center"/>
          </w:tcPr>
          <w:p w14:paraId="47D3E6E3"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Oran</w:t>
            </w:r>
          </w:p>
        </w:tc>
      </w:tr>
      <w:tr w:rsidR="00827114" w:rsidRPr="004E13E9" w14:paraId="517E5E2C" w14:textId="77777777" w:rsidTr="000D1853">
        <w:tc>
          <w:tcPr>
            <w:tcW w:w="988" w:type="dxa"/>
          </w:tcPr>
          <w:p w14:paraId="5FA584FD"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23</w:t>
            </w:r>
          </w:p>
        </w:tc>
        <w:tc>
          <w:tcPr>
            <w:tcW w:w="2268" w:type="dxa"/>
            <w:vAlign w:val="center"/>
          </w:tcPr>
          <w:p w14:paraId="6BEBD605"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Sidi Lakhdar</w:t>
            </w:r>
          </w:p>
        </w:tc>
      </w:tr>
      <w:tr w:rsidR="00827114" w:rsidRPr="004E13E9" w14:paraId="3D144774" w14:textId="77777777" w:rsidTr="000D1853">
        <w:tc>
          <w:tcPr>
            <w:tcW w:w="988" w:type="dxa"/>
          </w:tcPr>
          <w:p w14:paraId="77EFAE99"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24</w:t>
            </w:r>
          </w:p>
        </w:tc>
        <w:tc>
          <w:tcPr>
            <w:tcW w:w="2268" w:type="dxa"/>
            <w:vAlign w:val="center"/>
          </w:tcPr>
          <w:p w14:paraId="410A2402"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Stora</w:t>
            </w:r>
          </w:p>
        </w:tc>
      </w:tr>
      <w:tr w:rsidR="00827114" w:rsidRPr="004E13E9" w14:paraId="1E1C8B4F" w14:textId="77777777" w:rsidTr="000D1853">
        <w:tc>
          <w:tcPr>
            <w:tcW w:w="988" w:type="dxa"/>
          </w:tcPr>
          <w:p w14:paraId="4E06081A"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25</w:t>
            </w:r>
          </w:p>
        </w:tc>
        <w:tc>
          <w:tcPr>
            <w:tcW w:w="2268" w:type="dxa"/>
            <w:vAlign w:val="center"/>
          </w:tcPr>
          <w:p w14:paraId="5871BAEA" w14:textId="77777777" w:rsidR="00827114" w:rsidRPr="004E13E9" w:rsidRDefault="00827114" w:rsidP="000D1853">
            <w:pPr>
              <w:rPr>
                <w:rFonts w:ascii="Cambria" w:hAnsi="Cambria"/>
                <w:color w:val="auto"/>
                <w:sz w:val="20"/>
                <w:szCs w:val="20"/>
              </w:rPr>
            </w:pPr>
            <w:proofErr w:type="spellStart"/>
            <w:r w:rsidRPr="004E13E9">
              <w:rPr>
                <w:rFonts w:ascii="Cambria" w:hAnsi="Cambria" w:cs="Calibri"/>
                <w:color w:val="auto"/>
                <w:sz w:val="20"/>
                <w:szCs w:val="20"/>
              </w:rPr>
              <w:t>Ténes</w:t>
            </w:r>
            <w:proofErr w:type="spellEnd"/>
          </w:p>
        </w:tc>
      </w:tr>
      <w:tr w:rsidR="00827114" w:rsidRPr="004E13E9" w14:paraId="3DA8AAF9" w14:textId="77777777" w:rsidTr="000D1853">
        <w:tc>
          <w:tcPr>
            <w:tcW w:w="988" w:type="dxa"/>
          </w:tcPr>
          <w:p w14:paraId="4819298B"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26</w:t>
            </w:r>
          </w:p>
        </w:tc>
        <w:tc>
          <w:tcPr>
            <w:tcW w:w="2268" w:type="dxa"/>
            <w:vAlign w:val="center"/>
          </w:tcPr>
          <w:p w14:paraId="085B9D28" w14:textId="77777777" w:rsidR="00827114" w:rsidRPr="004E13E9" w:rsidRDefault="00827114" w:rsidP="000D1853">
            <w:pPr>
              <w:rPr>
                <w:rFonts w:ascii="Cambria" w:hAnsi="Cambria"/>
                <w:color w:val="auto"/>
                <w:sz w:val="20"/>
                <w:szCs w:val="20"/>
              </w:rPr>
            </w:pPr>
            <w:proofErr w:type="spellStart"/>
            <w:r w:rsidRPr="004E13E9">
              <w:rPr>
                <w:rFonts w:ascii="Cambria" w:hAnsi="Cambria" w:cs="Calibri"/>
                <w:color w:val="auto"/>
                <w:sz w:val="20"/>
                <w:szCs w:val="20"/>
              </w:rPr>
              <w:t>Tigzirt</w:t>
            </w:r>
            <w:proofErr w:type="spellEnd"/>
          </w:p>
        </w:tc>
      </w:tr>
      <w:tr w:rsidR="00827114" w:rsidRPr="004E13E9" w14:paraId="556D673F" w14:textId="77777777" w:rsidTr="000D1853">
        <w:tc>
          <w:tcPr>
            <w:tcW w:w="988" w:type="dxa"/>
          </w:tcPr>
          <w:p w14:paraId="0AB3E914"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27</w:t>
            </w:r>
          </w:p>
        </w:tc>
        <w:tc>
          <w:tcPr>
            <w:tcW w:w="2268" w:type="dxa"/>
            <w:vAlign w:val="center"/>
          </w:tcPr>
          <w:p w14:paraId="330156D8"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Zemmouri</w:t>
            </w:r>
          </w:p>
        </w:tc>
      </w:tr>
      <w:tr w:rsidR="00827114" w:rsidRPr="004E13E9" w14:paraId="25F04A64" w14:textId="77777777" w:rsidTr="000D1853">
        <w:tc>
          <w:tcPr>
            <w:tcW w:w="988" w:type="dxa"/>
          </w:tcPr>
          <w:p w14:paraId="611EC05D"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28</w:t>
            </w:r>
          </w:p>
        </w:tc>
        <w:tc>
          <w:tcPr>
            <w:tcW w:w="2268" w:type="dxa"/>
            <w:vAlign w:val="center"/>
          </w:tcPr>
          <w:p w14:paraId="73C69FE0"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Ziama Mansouria</w:t>
            </w:r>
          </w:p>
        </w:tc>
      </w:tr>
      <w:tr w:rsidR="00827114" w:rsidRPr="004E13E9" w14:paraId="29AA50CF" w14:textId="77777777" w:rsidTr="000D1853">
        <w:tc>
          <w:tcPr>
            <w:tcW w:w="988" w:type="dxa"/>
          </w:tcPr>
          <w:p w14:paraId="0E62951B"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29</w:t>
            </w:r>
          </w:p>
        </w:tc>
        <w:tc>
          <w:tcPr>
            <w:tcW w:w="2268" w:type="dxa"/>
            <w:vAlign w:val="center"/>
          </w:tcPr>
          <w:p w14:paraId="76FED7D0"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Salamandre</w:t>
            </w:r>
          </w:p>
        </w:tc>
      </w:tr>
      <w:tr w:rsidR="00827114" w:rsidRPr="004E13E9" w14:paraId="598E227D" w14:textId="77777777" w:rsidTr="000D1853">
        <w:tc>
          <w:tcPr>
            <w:tcW w:w="988" w:type="dxa"/>
          </w:tcPr>
          <w:p w14:paraId="05EACDA0"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30</w:t>
            </w:r>
          </w:p>
        </w:tc>
        <w:tc>
          <w:tcPr>
            <w:tcW w:w="2268" w:type="dxa"/>
            <w:vAlign w:val="center"/>
          </w:tcPr>
          <w:p w14:paraId="1BDF1DFD"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Beni-Haoua</w:t>
            </w:r>
          </w:p>
        </w:tc>
      </w:tr>
      <w:tr w:rsidR="00827114" w:rsidRPr="004E13E9" w14:paraId="400A08FD" w14:textId="77777777" w:rsidTr="000D1853">
        <w:tc>
          <w:tcPr>
            <w:tcW w:w="988" w:type="dxa"/>
          </w:tcPr>
          <w:p w14:paraId="3CCDFC5D" w14:textId="77777777" w:rsidR="00827114" w:rsidRPr="004E13E9" w:rsidRDefault="00827114" w:rsidP="000D1853">
            <w:pPr>
              <w:rPr>
                <w:rFonts w:ascii="Cambria" w:hAnsi="Cambria"/>
                <w:color w:val="auto"/>
                <w:sz w:val="20"/>
                <w:szCs w:val="20"/>
              </w:rPr>
            </w:pPr>
            <w:r w:rsidRPr="004E13E9">
              <w:rPr>
                <w:rFonts w:ascii="Cambria" w:hAnsi="Cambria"/>
                <w:color w:val="auto"/>
                <w:sz w:val="20"/>
                <w:szCs w:val="20"/>
              </w:rPr>
              <w:t>31</w:t>
            </w:r>
          </w:p>
        </w:tc>
        <w:tc>
          <w:tcPr>
            <w:tcW w:w="2268" w:type="dxa"/>
            <w:vAlign w:val="center"/>
          </w:tcPr>
          <w:p w14:paraId="4557454A" w14:textId="77777777" w:rsidR="00827114" w:rsidRPr="004E13E9" w:rsidRDefault="00827114" w:rsidP="000D1853">
            <w:pPr>
              <w:rPr>
                <w:rFonts w:ascii="Cambria" w:hAnsi="Cambria"/>
                <w:color w:val="auto"/>
                <w:sz w:val="20"/>
                <w:szCs w:val="20"/>
              </w:rPr>
            </w:pPr>
            <w:r w:rsidRPr="004E13E9">
              <w:rPr>
                <w:rFonts w:ascii="Cambria" w:hAnsi="Cambria" w:cs="Calibri"/>
                <w:color w:val="auto"/>
                <w:sz w:val="20"/>
                <w:szCs w:val="20"/>
              </w:rPr>
              <w:t xml:space="preserve">Sidna </w:t>
            </w:r>
            <w:proofErr w:type="spellStart"/>
            <w:r w:rsidRPr="004E13E9">
              <w:rPr>
                <w:rFonts w:ascii="Cambria" w:hAnsi="Cambria" w:cs="Calibri"/>
                <w:color w:val="auto"/>
                <w:sz w:val="20"/>
                <w:szCs w:val="20"/>
              </w:rPr>
              <w:t>Youchaa</w:t>
            </w:r>
            <w:proofErr w:type="spellEnd"/>
          </w:p>
        </w:tc>
      </w:tr>
    </w:tbl>
    <w:p w14:paraId="5C07BB55" w14:textId="77777777" w:rsidR="00827114" w:rsidRPr="004E13E9" w:rsidRDefault="00827114" w:rsidP="000620A7">
      <w:pPr>
        <w:jc w:val="both"/>
        <w:rPr>
          <w:bCs/>
          <w:lang w:eastAsia="ja-JP"/>
        </w:rPr>
      </w:pPr>
    </w:p>
    <w:p w14:paraId="3C15168E" w14:textId="3996F286" w:rsidR="00AE2154" w:rsidRPr="004E13E9" w:rsidRDefault="00827114" w:rsidP="00AE2154">
      <w:pPr>
        <w:jc w:val="both"/>
        <w:rPr>
          <w:b/>
          <w:lang w:val="fr-FR"/>
        </w:rPr>
      </w:pPr>
      <w:r w:rsidRPr="004E13E9">
        <w:rPr>
          <w:bCs/>
          <w:lang w:val="fr-FR" w:eastAsia="ja-JP"/>
        </w:rPr>
        <w:t>(Le tableau / formulaire CP24_AuthPort est transmis au Secrétariat de l’ICCAT).</w:t>
      </w:r>
      <w:r w:rsidR="00AE2154" w:rsidRPr="004E13E9">
        <w:rPr>
          <w:b/>
          <w:lang w:val="fr-FR"/>
        </w:rPr>
        <w:br w:type="page"/>
      </w:r>
    </w:p>
    <w:p w14:paraId="1360C334" w14:textId="1DF0DB2D" w:rsidR="00827114" w:rsidRPr="004E13E9" w:rsidRDefault="00827114" w:rsidP="000620A7">
      <w:pPr>
        <w:ind w:left="426" w:hanging="426"/>
        <w:jc w:val="both"/>
        <w:rPr>
          <w:b/>
          <w:lang w:val="fr-FR"/>
        </w:rPr>
      </w:pPr>
      <w:r w:rsidRPr="004E13E9">
        <w:rPr>
          <w:b/>
          <w:lang w:val="fr-FR"/>
        </w:rPr>
        <w:lastRenderedPageBreak/>
        <w:t>2.</w:t>
      </w:r>
      <w:r w:rsidRPr="004E13E9">
        <w:rPr>
          <w:b/>
          <w:lang w:val="fr-FR"/>
        </w:rPr>
        <w:tab/>
        <w:t>Plan annuel de gestion de la capacité de pêche (paragraphes 14-21)</w:t>
      </w:r>
    </w:p>
    <w:p w14:paraId="022D524C" w14:textId="77777777" w:rsidR="00827114" w:rsidRPr="004E13E9" w:rsidRDefault="00827114" w:rsidP="000620A7">
      <w:pPr>
        <w:jc w:val="both"/>
        <w:rPr>
          <w:b/>
          <w:lang w:val="fr-FR"/>
        </w:rPr>
      </w:pPr>
    </w:p>
    <w:p w14:paraId="1FBAEE20" w14:textId="77777777" w:rsidR="00827114" w:rsidRPr="004E13E9" w:rsidRDefault="00827114" w:rsidP="000620A7">
      <w:pPr>
        <w:jc w:val="both"/>
        <w:rPr>
          <w:iCs/>
          <w:lang w:val="fr-FR"/>
        </w:rPr>
      </w:pPr>
      <w:r w:rsidRPr="004E13E9">
        <w:rPr>
          <w:iCs/>
          <w:lang w:val="fr-FR"/>
        </w:rPr>
        <w:t>La capacité de pêche dédiée au thon rouge est constituée d’une flottille de quarante et un (41) navires thoniers senneurs. Cette capacité est adaptée au quota alloué à l’Algérie et est conforme aux estimations recommandées par le SCRS.</w:t>
      </w:r>
    </w:p>
    <w:p w14:paraId="614E0429" w14:textId="77777777" w:rsidR="00827114" w:rsidRPr="004E13E9" w:rsidRDefault="00827114" w:rsidP="000620A7">
      <w:pPr>
        <w:jc w:val="both"/>
        <w:rPr>
          <w:iCs/>
          <w:lang w:val="fr-FR"/>
        </w:rPr>
      </w:pPr>
    </w:p>
    <w:p w14:paraId="09029521" w14:textId="77777777" w:rsidR="00827114" w:rsidRPr="004E13E9" w:rsidRDefault="00827114" w:rsidP="000620A7">
      <w:pPr>
        <w:jc w:val="both"/>
        <w:rPr>
          <w:iCs/>
          <w:lang w:val="fr-FR"/>
        </w:rPr>
      </w:pPr>
      <w:r w:rsidRPr="004E13E9">
        <w:rPr>
          <w:iCs/>
          <w:lang w:val="fr-FR"/>
        </w:rPr>
        <w:t xml:space="preserve">Aucune augmentation significative de la capacité de pêche n’a été enregistrée par rapport à l’année précédente. Par conséquent, l’Algérie ne présente pas de situation de surcapacité dans la pêcherie du thon rouge. </w:t>
      </w:r>
    </w:p>
    <w:p w14:paraId="431FCC9C" w14:textId="77777777" w:rsidR="00827114" w:rsidRPr="004E13E9" w:rsidRDefault="00827114" w:rsidP="000620A7">
      <w:pPr>
        <w:jc w:val="both"/>
        <w:rPr>
          <w:iCs/>
          <w:lang w:val="fr-FR"/>
        </w:rPr>
      </w:pPr>
    </w:p>
    <w:p w14:paraId="35F94A4C" w14:textId="77777777" w:rsidR="00827114" w:rsidRPr="004E13E9" w:rsidRDefault="00827114" w:rsidP="000620A7">
      <w:pPr>
        <w:jc w:val="both"/>
        <w:rPr>
          <w:iCs/>
          <w:lang w:val="fr-FR"/>
        </w:rPr>
      </w:pPr>
      <w:r w:rsidRPr="004E13E9">
        <w:rPr>
          <w:iCs/>
          <w:lang w:val="fr-FR"/>
        </w:rPr>
        <w:t>Le nombre définitif de navires autorisés à capturer le thon rouge sera arrêté conformément aux critères fixés par la réglementation nationale en vigueur. Les quotas individuels sont attribués selon le mécanisme de répartition défini par l’arrêté ministériel du 24 février 2022 fixant les conditions et les modalités de la pêche au thon rouge par les navires battant pavillon national.</w:t>
      </w:r>
    </w:p>
    <w:p w14:paraId="37A42658" w14:textId="77777777" w:rsidR="00827114" w:rsidRPr="004E13E9" w:rsidRDefault="00827114" w:rsidP="000620A7">
      <w:pPr>
        <w:jc w:val="both"/>
        <w:rPr>
          <w:iCs/>
          <w:lang w:val="fr-FR"/>
        </w:rPr>
      </w:pPr>
    </w:p>
    <w:p w14:paraId="2F5FC48D" w14:textId="77777777" w:rsidR="00827114" w:rsidRPr="004E13E9" w:rsidRDefault="00827114" w:rsidP="000620A7">
      <w:pPr>
        <w:jc w:val="both"/>
        <w:rPr>
          <w:iCs/>
          <w:lang w:val="fr-FR" w:eastAsia="ja-JP"/>
        </w:rPr>
      </w:pPr>
      <w:r w:rsidRPr="004E13E9">
        <w:rPr>
          <w:iCs/>
          <w:lang w:val="fr-FR"/>
        </w:rPr>
        <w:t xml:space="preserve">Toutefois, </w:t>
      </w:r>
      <w:proofErr w:type="gramStart"/>
      <w:r w:rsidRPr="004E13E9">
        <w:rPr>
          <w:iCs/>
          <w:lang w:val="fr-FR"/>
        </w:rPr>
        <w:t>suite à</w:t>
      </w:r>
      <w:proofErr w:type="gramEnd"/>
      <w:r w:rsidRPr="004E13E9">
        <w:rPr>
          <w:iCs/>
          <w:lang w:val="fr-FR"/>
        </w:rPr>
        <w:t xml:space="preserve"> la demande répétitive, un quota de 40 tonnes est alloué aux petits navires côtiers, initialement au nombre de 90. Ce nombre sera arrêté progressivement en fonction de l’adaptation et la conformité de ces petits navires côtiers avec les programmes de contrôle et de traçabilité fixés.</w:t>
      </w:r>
    </w:p>
    <w:p w14:paraId="0804331D" w14:textId="77777777" w:rsidR="00827114" w:rsidRPr="004E13E9" w:rsidRDefault="00827114" w:rsidP="000620A7">
      <w:pPr>
        <w:jc w:val="both"/>
        <w:rPr>
          <w:iCs/>
          <w:lang w:val="fr-FR"/>
        </w:rPr>
      </w:pPr>
    </w:p>
    <w:p w14:paraId="24298381" w14:textId="77777777" w:rsidR="00827114" w:rsidRPr="004E13E9" w:rsidRDefault="00827114" w:rsidP="000620A7">
      <w:pPr>
        <w:jc w:val="both"/>
        <w:rPr>
          <w:iCs/>
          <w:lang w:val="fr-FR"/>
        </w:rPr>
      </w:pPr>
      <w:r w:rsidRPr="004E13E9">
        <w:rPr>
          <w:iCs/>
          <w:lang w:val="fr-FR"/>
        </w:rPr>
        <w:t>Le plan de gestion de la capacité de pêche ainsi que la liste des navires participant à la campagne de pêche 2026 pourront, le cas échéant, être révisés et seront notifiés au Secrétariat de l’ICCAT dans les délais prévus aux paragraphes 13 et 52 de la Recommandation 25-04.</w:t>
      </w:r>
    </w:p>
    <w:p w14:paraId="67A6A688" w14:textId="77777777" w:rsidR="00827114" w:rsidRPr="004E13E9" w:rsidRDefault="00827114" w:rsidP="000620A7">
      <w:pPr>
        <w:jc w:val="both"/>
        <w:rPr>
          <w:b/>
          <w:lang w:val="fr-FR"/>
        </w:rPr>
      </w:pPr>
    </w:p>
    <w:p w14:paraId="7F4F91DC" w14:textId="77777777" w:rsidR="00827114" w:rsidRPr="004E13E9" w:rsidRDefault="00827114" w:rsidP="000620A7">
      <w:pPr>
        <w:jc w:val="both"/>
        <w:rPr>
          <w:b/>
          <w:lang w:val="fr-FR"/>
        </w:rPr>
      </w:pPr>
    </w:p>
    <w:p w14:paraId="2A9B98B0" w14:textId="77777777" w:rsidR="00827114" w:rsidRPr="004E13E9" w:rsidRDefault="00827114" w:rsidP="000620A7">
      <w:pPr>
        <w:ind w:left="426" w:hanging="426"/>
        <w:jc w:val="both"/>
        <w:rPr>
          <w:b/>
          <w:lang w:val="fr-FR"/>
        </w:rPr>
      </w:pPr>
      <w:r w:rsidRPr="004E13E9">
        <w:rPr>
          <w:b/>
          <w:lang w:val="fr-FR"/>
        </w:rPr>
        <w:t>3.</w:t>
      </w:r>
      <w:r w:rsidRPr="004E13E9">
        <w:rPr>
          <w:b/>
          <w:lang w:val="fr-FR"/>
        </w:rPr>
        <w:tab/>
        <w:t xml:space="preserve">Plan annuel de gestion de l’élevage (paragraphes </w:t>
      </w:r>
      <w:r w:rsidRPr="004E13E9">
        <w:rPr>
          <w:rStyle w:val="Hyperlink"/>
          <w:u w:val="none"/>
          <w:lang w:val="fr-FR"/>
        </w:rPr>
        <w:t>22 et 23</w:t>
      </w:r>
      <w:r w:rsidRPr="004E13E9">
        <w:rPr>
          <w:b/>
          <w:lang w:val="fr-FR"/>
        </w:rPr>
        <w:t>), le cas échéant</w:t>
      </w:r>
    </w:p>
    <w:p w14:paraId="2E3D63D7" w14:textId="77777777" w:rsidR="00827114" w:rsidRPr="004E13E9" w:rsidRDefault="00827114" w:rsidP="000620A7">
      <w:pPr>
        <w:jc w:val="both"/>
        <w:rPr>
          <w:b/>
          <w:lang w:val="fr-FR"/>
        </w:rPr>
      </w:pPr>
    </w:p>
    <w:p w14:paraId="042C0906" w14:textId="77777777" w:rsidR="00827114" w:rsidRPr="004E13E9" w:rsidRDefault="00827114" w:rsidP="000620A7">
      <w:pPr>
        <w:jc w:val="both"/>
        <w:rPr>
          <w:lang w:val="fr-FR"/>
        </w:rPr>
      </w:pPr>
      <w:r w:rsidRPr="004E13E9">
        <w:rPr>
          <w:lang w:val="fr-FR"/>
        </w:rPr>
        <w:t>Une (01) ferme d’engraissement du thon rouge est autorisée à exercer son activité en 2026 (tableau ci-dessous).</w:t>
      </w:r>
    </w:p>
    <w:p w14:paraId="2862DD75" w14:textId="77777777" w:rsidR="00827114" w:rsidRPr="004E13E9" w:rsidRDefault="00827114" w:rsidP="000620A7">
      <w:pPr>
        <w:jc w:val="both"/>
        <w:rPr>
          <w:lang w:val="fr-FR"/>
        </w:rPr>
      </w:pPr>
    </w:p>
    <w:p w14:paraId="73D6A6C5" w14:textId="77777777" w:rsidR="00827114" w:rsidRPr="004E13E9" w:rsidRDefault="00827114" w:rsidP="000620A7">
      <w:pPr>
        <w:spacing w:after="240"/>
        <w:jc w:val="both"/>
        <w:rPr>
          <w:lang w:val="fr-FR"/>
        </w:rPr>
      </w:pPr>
      <w:r w:rsidRPr="004E13E9">
        <w:rPr>
          <w:lang w:val="fr-FR"/>
        </w:rPr>
        <w:t>Conformément à la Recommandation 25-04, le volume d’entrée du thon rouge en 2026 est proportionnel au quota de pêche alloué à l’Algérie en 2026.</w:t>
      </w:r>
    </w:p>
    <w:p w14:paraId="0CC8C888" w14:textId="77777777" w:rsidR="00827114" w:rsidRPr="004E13E9" w:rsidRDefault="00827114" w:rsidP="000620A7">
      <w:pPr>
        <w:jc w:val="both"/>
        <w:rPr>
          <w:lang w:val="fr-FR"/>
        </w:rPr>
      </w:pPr>
      <w:r w:rsidRPr="004E13E9">
        <w:rPr>
          <w:lang w:val="fr-FR"/>
        </w:rPr>
        <w:t>Toutefois, l’Algérie se réserve le droit de soumettre, le cas échéant, des plans de gestion d'élevage révisés au Secrétariat avant le 1er juin 2026, conformément au paragraphe 22 de la Recommandation 25-04 de l’ICCAT.</w:t>
      </w:r>
    </w:p>
    <w:p w14:paraId="0DC1D1B7" w14:textId="77777777" w:rsidR="00827114" w:rsidRPr="004E13E9" w:rsidRDefault="00827114" w:rsidP="000620A7">
      <w:pPr>
        <w:jc w:val="both"/>
        <w:rPr>
          <w:lang w:val="fr-FR"/>
        </w:rPr>
      </w:pPr>
    </w:p>
    <w:p w14:paraId="5F9717D2" w14:textId="77777777" w:rsidR="00827114" w:rsidRPr="004E13E9" w:rsidRDefault="00827114" w:rsidP="000620A7">
      <w:pPr>
        <w:jc w:val="both"/>
        <w:rPr>
          <w:lang w:val="fr-FR"/>
        </w:rPr>
      </w:pPr>
      <w:r w:rsidRPr="004E13E9">
        <w:rPr>
          <w:lang w:val="fr-FR"/>
        </w:rPr>
        <w:t>Suivi du contrôle des mises en cage et contrôle aléatoire :</w:t>
      </w:r>
    </w:p>
    <w:p w14:paraId="4279B1EC" w14:textId="77777777" w:rsidR="00827114" w:rsidRPr="004E13E9" w:rsidRDefault="00827114" w:rsidP="000620A7">
      <w:pPr>
        <w:jc w:val="both"/>
        <w:rPr>
          <w:sz w:val="8"/>
          <w:szCs w:val="8"/>
          <w:lang w:val="fr-FR"/>
        </w:rPr>
      </w:pPr>
    </w:p>
    <w:p w14:paraId="51AB9462" w14:textId="77777777" w:rsidR="00827114" w:rsidRPr="004E13E9" w:rsidRDefault="00827114" w:rsidP="00487A5C">
      <w:pPr>
        <w:pStyle w:val="ListParagraph"/>
        <w:widowControl w:val="0"/>
        <w:numPr>
          <w:ilvl w:val="0"/>
          <w:numId w:val="10"/>
        </w:numPr>
        <w:spacing w:after="0" w:line="240" w:lineRule="auto"/>
        <w:jc w:val="both"/>
        <w:rPr>
          <w:rFonts w:ascii="Cambria" w:hAnsi="Cambria"/>
          <w:sz w:val="20"/>
          <w:szCs w:val="20"/>
        </w:rPr>
      </w:pPr>
      <w:r w:rsidRPr="004E13E9">
        <w:rPr>
          <w:rFonts w:ascii="Cambria" w:hAnsi="Cambria"/>
          <w:sz w:val="20"/>
          <w:szCs w:val="20"/>
        </w:rPr>
        <w:t>Les opérations de mise en cage dans la ferme d'engraissement seront effectuées par la présence d’observateurs nationaux et régionaux et en utilisant des caméras conventionnelles et des caméras stéréoscopiques, conformément aux conditions énumérées dans la Recommandation 25-04.</w:t>
      </w:r>
    </w:p>
    <w:p w14:paraId="43167239" w14:textId="77777777" w:rsidR="00827114" w:rsidRPr="004E13E9" w:rsidRDefault="00827114" w:rsidP="00487A5C">
      <w:pPr>
        <w:pStyle w:val="ListParagraph"/>
        <w:widowControl w:val="0"/>
        <w:numPr>
          <w:ilvl w:val="0"/>
          <w:numId w:val="10"/>
        </w:numPr>
        <w:spacing w:after="0" w:line="240" w:lineRule="auto"/>
        <w:jc w:val="both"/>
        <w:rPr>
          <w:rFonts w:ascii="Cambria" w:hAnsi="Cambria"/>
          <w:sz w:val="20"/>
          <w:szCs w:val="20"/>
        </w:rPr>
      </w:pPr>
      <w:r w:rsidRPr="004E13E9">
        <w:rPr>
          <w:rFonts w:ascii="Cambria" w:hAnsi="Cambria"/>
          <w:sz w:val="20"/>
          <w:szCs w:val="20"/>
        </w:rPr>
        <w:t>Des contrôles aléatoires de pas moins de 10 % seront effectués sur les cages après les opérations de mise en cage.</w:t>
      </w:r>
    </w:p>
    <w:p w14:paraId="6A243291" w14:textId="77777777" w:rsidR="00827114" w:rsidRPr="004E13E9" w:rsidRDefault="00827114" w:rsidP="00827114">
      <w:pPr>
        <w:rPr>
          <w:lang w:val="fr-F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1710"/>
        <w:gridCol w:w="1526"/>
        <w:gridCol w:w="1857"/>
        <w:gridCol w:w="1518"/>
        <w:gridCol w:w="1843"/>
      </w:tblGrid>
      <w:tr w:rsidR="00827114" w:rsidRPr="004E13E9" w14:paraId="1DF98B7D" w14:textId="77777777" w:rsidTr="00AE2154">
        <w:trPr>
          <w:trHeight w:val="478"/>
        </w:trPr>
        <w:tc>
          <w:tcPr>
            <w:tcW w:w="897" w:type="dxa"/>
            <w:vAlign w:val="center"/>
          </w:tcPr>
          <w:p w14:paraId="09B4CA5B" w14:textId="77777777" w:rsidR="00827114" w:rsidRPr="004E13E9" w:rsidRDefault="00827114" w:rsidP="000D1853">
            <w:pPr>
              <w:shd w:val="clear" w:color="auto" w:fill="FFFFFF" w:themeFill="background1"/>
              <w:jc w:val="center"/>
              <w:rPr>
                <w:bCs/>
                <w:i/>
                <w:sz w:val="18"/>
                <w:szCs w:val="18"/>
              </w:rPr>
            </w:pPr>
            <w:r w:rsidRPr="004E13E9">
              <w:rPr>
                <w:bCs/>
                <w:i/>
                <w:sz w:val="18"/>
                <w:szCs w:val="18"/>
              </w:rPr>
              <w:t xml:space="preserve">Nom de la </w:t>
            </w:r>
            <w:proofErr w:type="spellStart"/>
            <w:r w:rsidRPr="004E13E9">
              <w:rPr>
                <w:bCs/>
                <w:i/>
                <w:sz w:val="18"/>
                <w:szCs w:val="18"/>
              </w:rPr>
              <w:t>ferme</w:t>
            </w:r>
            <w:proofErr w:type="spellEnd"/>
          </w:p>
        </w:tc>
        <w:tc>
          <w:tcPr>
            <w:tcW w:w="1710" w:type="dxa"/>
            <w:vAlign w:val="center"/>
          </w:tcPr>
          <w:p w14:paraId="77C3CB30" w14:textId="77777777" w:rsidR="00827114" w:rsidRPr="004E13E9" w:rsidRDefault="00827114" w:rsidP="000D1853">
            <w:pPr>
              <w:shd w:val="clear" w:color="auto" w:fill="FFFFFF" w:themeFill="background1"/>
              <w:jc w:val="center"/>
              <w:rPr>
                <w:bCs/>
                <w:i/>
                <w:sz w:val="18"/>
                <w:szCs w:val="18"/>
              </w:rPr>
            </w:pPr>
            <w:r w:rsidRPr="004E13E9">
              <w:rPr>
                <w:bCs/>
                <w:i/>
                <w:sz w:val="18"/>
                <w:szCs w:val="18"/>
              </w:rPr>
              <w:t>Nº ICCAT</w:t>
            </w:r>
          </w:p>
        </w:tc>
        <w:tc>
          <w:tcPr>
            <w:tcW w:w="1526" w:type="dxa"/>
            <w:vAlign w:val="center"/>
          </w:tcPr>
          <w:p w14:paraId="2D56F13E" w14:textId="77777777" w:rsidR="00827114" w:rsidRPr="004E13E9" w:rsidRDefault="00827114" w:rsidP="000D1853">
            <w:pPr>
              <w:shd w:val="clear" w:color="auto" w:fill="FFFFFF" w:themeFill="background1"/>
              <w:jc w:val="center"/>
              <w:rPr>
                <w:bCs/>
                <w:i/>
                <w:sz w:val="18"/>
                <w:szCs w:val="18"/>
              </w:rPr>
            </w:pPr>
            <w:proofErr w:type="spellStart"/>
            <w:r w:rsidRPr="004E13E9">
              <w:rPr>
                <w:bCs/>
                <w:i/>
                <w:sz w:val="18"/>
                <w:szCs w:val="18"/>
              </w:rPr>
              <w:t>Établissement</w:t>
            </w:r>
            <w:proofErr w:type="spellEnd"/>
            <w:r w:rsidRPr="004E13E9">
              <w:rPr>
                <w:bCs/>
                <w:i/>
                <w:sz w:val="18"/>
                <w:szCs w:val="18"/>
              </w:rPr>
              <w:t xml:space="preserve"> de </w:t>
            </w:r>
            <w:proofErr w:type="spellStart"/>
            <w:r w:rsidRPr="004E13E9">
              <w:rPr>
                <w:bCs/>
                <w:i/>
                <w:sz w:val="18"/>
                <w:szCs w:val="18"/>
              </w:rPr>
              <w:t>gérance</w:t>
            </w:r>
            <w:proofErr w:type="spellEnd"/>
          </w:p>
        </w:tc>
        <w:tc>
          <w:tcPr>
            <w:tcW w:w="1857" w:type="dxa"/>
            <w:vAlign w:val="center"/>
          </w:tcPr>
          <w:p w14:paraId="7B719449" w14:textId="77777777" w:rsidR="00827114" w:rsidRPr="004E13E9" w:rsidRDefault="00827114" w:rsidP="000D1853">
            <w:pPr>
              <w:shd w:val="clear" w:color="auto" w:fill="FFFFFF" w:themeFill="background1"/>
              <w:jc w:val="center"/>
              <w:rPr>
                <w:bCs/>
                <w:i/>
                <w:sz w:val="18"/>
                <w:szCs w:val="18"/>
              </w:rPr>
            </w:pPr>
            <w:proofErr w:type="spellStart"/>
            <w:r w:rsidRPr="004E13E9">
              <w:rPr>
                <w:bCs/>
                <w:i/>
                <w:sz w:val="18"/>
                <w:szCs w:val="18"/>
              </w:rPr>
              <w:t>Coordonnées</w:t>
            </w:r>
            <w:proofErr w:type="spellEnd"/>
            <w:r w:rsidRPr="004E13E9">
              <w:rPr>
                <w:bCs/>
                <w:i/>
                <w:sz w:val="18"/>
                <w:szCs w:val="18"/>
              </w:rPr>
              <w:t xml:space="preserve"> de la </w:t>
            </w:r>
            <w:proofErr w:type="spellStart"/>
            <w:r w:rsidRPr="004E13E9">
              <w:rPr>
                <w:bCs/>
                <w:i/>
                <w:sz w:val="18"/>
                <w:szCs w:val="18"/>
              </w:rPr>
              <w:t>ferme</w:t>
            </w:r>
            <w:proofErr w:type="spellEnd"/>
          </w:p>
        </w:tc>
        <w:tc>
          <w:tcPr>
            <w:tcW w:w="1518" w:type="dxa"/>
            <w:vAlign w:val="center"/>
          </w:tcPr>
          <w:p w14:paraId="4F52C0A3" w14:textId="77777777" w:rsidR="00827114" w:rsidRPr="004E13E9" w:rsidRDefault="00827114" w:rsidP="000D1853">
            <w:pPr>
              <w:shd w:val="clear" w:color="auto" w:fill="FFFFFF" w:themeFill="background1"/>
              <w:jc w:val="center"/>
              <w:rPr>
                <w:bCs/>
                <w:i/>
                <w:sz w:val="18"/>
                <w:szCs w:val="18"/>
                <w:lang w:val="fr-FR"/>
              </w:rPr>
            </w:pPr>
            <w:r w:rsidRPr="004E13E9">
              <w:rPr>
                <w:bCs/>
                <w:i/>
                <w:sz w:val="18"/>
                <w:szCs w:val="18"/>
                <w:lang w:val="fr-FR"/>
              </w:rPr>
              <w:t xml:space="preserve">Entrée à l’état sauvage (t) </w:t>
            </w:r>
          </w:p>
        </w:tc>
        <w:tc>
          <w:tcPr>
            <w:tcW w:w="1843" w:type="dxa"/>
            <w:vAlign w:val="center"/>
          </w:tcPr>
          <w:p w14:paraId="34B4FA78" w14:textId="77777777" w:rsidR="00827114" w:rsidRPr="004E13E9" w:rsidRDefault="00827114" w:rsidP="000D1853">
            <w:pPr>
              <w:shd w:val="clear" w:color="auto" w:fill="FFFFFF" w:themeFill="background1"/>
              <w:jc w:val="center"/>
              <w:rPr>
                <w:bCs/>
                <w:i/>
                <w:sz w:val="18"/>
                <w:szCs w:val="18"/>
              </w:rPr>
            </w:pPr>
            <w:proofErr w:type="spellStart"/>
            <w:r w:rsidRPr="004E13E9">
              <w:rPr>
                <w:bCs/>
                <w:i/>
                <w:sz w:val="18"/>
                <w:szCs w:val="18"/>
              </w:rPr>
              <w:t>Capacité</w:t>
            </w:r>
            <w:proofErr w:type="spellEnd"/>
            <w:r w:rsidRPr="004E13E9">
              <w:rPr>
                <w:bCs/>
                <w:i/>
                <w:sz w:val="18"/>
                <w:szCs w:val="18"/>
              </w:rPr>
              <w:t xml:space="preserve"> </w:t>
            </w:r>
            <w:proofErr w:type="spellStart"/>
            <w:r w:rsidRPr="004E13E9">
              <w:rPr>
                <w:bCs/>
                <w:i/>
                <w:sz w:val="18"/>
                <w:szCs w:val="18"/>
              </w:rPr>
              <w:t>d’engraissement</w:t>
            </w:r>
            <w:proofErr w:type="spellEnd"/>
            <w:r w:rsidRPr="004E13E9">
              <w:rPr>
                <w:bCs/>
                <w:i/>
                <w:sz w:val="18"/>
                <w:szCs w:val="18"/>
              </w:rPr>
              <w:t xml:space="preserve"> (t)</w:t>
            </w:r>
          </w:p>
        </w:tc>
      </w:tr>
      <w:tr w:rsidR="00827114" w:rsidRPr="004E13E9" w14:paraId="50FBCCA5" w14:textId="77777777" w:rsidTr="00AE2154">
        <w:trPr>
          <w:trHeight w:val="111"/>
        </w:trPr>
        <w:tc>
          <w:tcPr>
            <w:tcW w:w="897" w:type="dxa"/>
            <w:vMerge w:val="restart"/>
            <w:vAlign w:val="center"/>
          </w:tcPr>
          <w:p w14:paraId="0968EF3D" w14:textId="77777777" w:rsidR="00827114" w:rsidRPr="004E13E9" w:rsidRDefault="00827114" w:rsidP="000D1853">
            <w:pPr>
              <w:shd w:val="clear" w:color="auto" w:fill="FFFFFF" w:themeFill="background1"/>
              <w:jc w:val="center"/>
              <w:rPr>
                <w:bCs/>
                <w:iCs/>
                <w:sz w:val="18"/>
                <w:szCs w:val="18"/>
              </w:rPr>
            </w:pPr>
            <w:r w:rsidRPr="004E13E9">
              <w:rPr>
                <w:bCs/>
                <w:iCs/>
                <w:sz w:val="18"/>
                <w:szCs w:val="18"/>
              </w:rPr>
              <w:t>SOUFI TUNA</w:t>
            </w:r>
          </w:p>
          <w:p w14:paraId="19AEACD0" w14:textId="77777777" w:rsidR="00827114" w:rsidRPr="004E13E9" w:rsidRDefault="00827114" w:rsidP="000D1853">
            <w:pPr>
              <w:shd w:val="clear" w:color="auto" w:fill="FFFFFF" w:themeFill="background1"/>
              <w:rPr>
                <w:b/>
                <w:bCs/>
                <w:sz w:val="18"/>
                <w:szCs w:val="18"/>
              </w:rPr>
            </w:pPr>
          </w:p>
        </w:tc>
        <w:tc>
          <w:tcPr>
            <w:tcW w:w="1710" w:type="dxa"/>
            <w:vMerge w:val="restart"/>
            <w:vAlign w:val="center"/>
          </w:tcPr>
          <w:p w14:paraId="5D285D23" w14:textId="77777777" w:rsidR="00827114" w:rsidRPr="004E13E9" w:rsidRDefault="00827114" w:rsidP="000D1853">
            <w:pPr>
              <w:shd w:val="clear" w:color="auto" w:fill="FFFFFF" w:themeFill="background1"/>
              <w:jc w:val="center"/>
              <w:rPr>
                <w:sz w:val="18"/>
                <w:szCs w:val="18"/>
              </w:rPr>
            </w:pPr>
            <w:r w:rsidRPr="004E13E9">
              <w:rPr>
                <w:sz w:val="18"/>
                <w:szCs w:val="18"/>
              </w:rPr>
              <w:t>AT001DZA00001</w:t>
            </w:r>
          </w:p>
        </w:tc>
        <w:tc>
          <w:tcPr>
            <w:tcW w:w="1526" w:type="dxa"/>
            <w:vMerge w:val="restart"/>
            <w:vAlign w:val="center"/>
          </w:tcPr>
          <w:p w14:paraId="7089DCAE" w14:textId="77777777" w:rsidR="00827114" w:rsidRPr="004E13E9" w:rsidRDefault="00827114" w:rsidP="000D1853">
            <w:pPr>
              <w:shd w:val="clear" w:color="auto" w:fill="FFFFFF" w:themeFill="background1"/>
              <w:jc w:val="center"/>
              <w:rPr>
                <w:bCs/>
                <w:iCs/>
                <w:sz w:val="18"/>
                <w:szCs w:val="18"/>
              </w:rPr>
            </w:pPr>
            <w:r w:rsidRPr="004E13E9">
              <w:rPr>
                <w:bCs/>
                <w:iCs/>
                <w:sz w:val="18"/>
                <w:szCs w:val="18"/>
              </w:rPr>
              <w:t>SARL SOUFI FISH</w:t>
            </w:r>
          </w:p>
          <w:p w14:paraId="73E3FEA9" w14:textId="77777777" w:rsidR="00827114" w:rsidRPr="004E13E9" w:rsidRDefault="00827114" w:rsidP="000D1853">
            <w:pPr>
              <w:shd w:val="clear" w:color="auto" w:fill="FFFFFF" w:themeFill="background1"/>
              <w:rPr>
                <w:sz w:val="18"/>
                <w:szCs w:val="18"/>
              </w:rPr>
            </w:pPr>
          </w:p>
        </w:tc>
        <w:tc>
          <w:tcPr>
            <w:tcW w:w="1857" w:type="dxa"/>
            <w:vAlign w:val="center"/>
          </w:tcPr>
          <w:p w14:paraId="0CAD988D" w14:textId="77777777" w:rsidR="00827114" w:rsidRPr="004E13E9" w:rsidRDefault="00827114" w:rsidP="000D1853">
            <w:pPr>
              <w:shd w:val="clear" w:color="auto" w:fill="FFFFFF" w:themeFill="background1"/>
              <w:jc w:val="center"/>
              <w:rPr>
                <w:sz w:val="18"/>
                <w:szCs w:val="18"/>
              </w:rPr>
            </w:pPr>
            <w:r w:rsidRPr="004E13E9">
              <w:rPr>
                <w:sz w:val="18"/>
                <w:szCs w:val="18"/>
              </w:rPr>
              <w:t>35°13’55,32’’N - 01°38’ 39,91’’</w:t>
            </w:r>
            <w:r w:rsidRPr="004E13E9">
              <w:rPr>
                <w:sz w:val="18"/>
                <w:szCs w:val="18"/>
                <w:vertAlign w:val="superscript"/>
              </w:rPr>
              <w:t xml:space="preserve"> </w:t>
            </w:r>
            <w:r w:rsidRPr="004E13E9">
              <w:rPr>
                <w:sz w:val="18"/>
                <w:szCs w:val="18"/>
              </w:rPr>
              <w:t>O</w:t>
            </w:r>
          </w:p>
        </w:tc>
        <w:tc>
          <w:tcPr>
            <w:tcW w:w="1518" w:type="dxa"/>
            <w:vMerge w:val="restart"/>
            <w:vAlign w:val="center"/>
          </w:tcPr>
          <w:p w14:paraId="02D83068" w14:textId="77777777" w:rsidR="00827114" w:rsidRPr="004E13E9" w:rsidRDefault="00827114" w:rsidP="000D1853">
            <w:pPr>
              <w:shd w:val="clear" w:color="auto" w:fill="FFFFFF" w:themeFill="background1"/>
              <w:ind w:right="175"/>
              <w:jc w:val="center"/>
              <w:rPr>
                <w:sz w:val="18"/>
                <w:szCs w:val="18"/>
              </w:rPr>
            </w:pPr>
            <w:r w:rsidRPr="004E13E9">
              <w:rPr>
                <w:sz w:val="18"/>
                <w:szCs w:val="18"/>
              </w:rPr>
              <w:t>950</w:t>
            </w:r>
          </w:p>
        </w:tc>
        <w:tc>
          <w:tcPr>
            <w:tcW w:w="1843" w:type="dxa"/>
            <w:vMerge w:val="restart"/>
            <w:vAlign w:val="center"/>
          </w:tcPr>
          <w:p w14:paraId="3AC5CAA4" w14:textId="77777777" w:rsidR="00827114" w:rsidRPr="004E13E9" w:rsidRDefault="00827114" w:rsidP="000D1853">
            <w:pPr>
              <w:shd w:val="clear" w:color="auto" w:fill="FFFFFF" w:themeFill="background1"/>
              <w:ind w:right="175"/>
              <w:jc w:val="center"/>
              <w:rPr>
                <w:sz w:val="18"/>
                <w:szCs w:val="18"/>
              </w:rPr>
            </w:pPr>
            <w:r w:rsidRPr="004E13E9">
              <w:rPr>
                <w:sz w:val="18"/>
                <w:szCs w:val="18"/>
              </w:rPr>
              <w:t>1.800</w:t>
            </w:r>
          </w:p>
        </w:tc>
      </w:tr>
      <w:tr w:rsidR="00827114" w:rsidRPr="004E13E9" w14:paraId="4CB8A772" w14:textId="77777777" w:rsidTr="00AE2154">
        <w:trPr>
          <w:trHeight w:val="109"/>
        </w:trPr>
        <w:tc>
          <w:tcPr>
            <w:tcW w:w="897" w:type="dxa"/>
            <w:vMerge/>
            <w:vAlign w:val="center"/>
          </w:tcPr>
          <w:p w14:paraId="66E6C954" w14:textId="77777777" w:rsidR="00827114" w:rsidRPr="004E13E9" w:rsidRDefault="00827114" w:rsidP="000D1853">
            <w:pPr>
              <w:shd w:val="clear" w:color="auto" w:fill="FFFFFF" w:themeFill="background1"/>
              <w:rPr>
                <w:b/>
                <w:bCs/>
                <w:sz w:val="18"/>
                <w:szCs w:val="18"/>
              </w:rPr>
            </w:pPr>
          </w:p>
        </w:tc>
        <w:tc>
          <w:tcPr>
            <w:tcW w:w="1710" w:type="dxa"/>
            <w:vMerge/>
            <w:vAlign w:val="center"/>
          </w:tcPr>
          <w:p w14:paraId="3EC6913A" w14:textId="77777777" w:rsidR="00827114" w:rsidRPr="004E13E9" w:rsidRDefault="00827114" w:rsidP="000D1853">
            <w:pPr>
              <w:shd w:val="clear" w:color="auto" w:fill="FFFFFF" w:themeFill="background1"/>
              <w:rPr>
                <w:sz w:val="18"/>
                <w:szCs w:val="18"/>
              </w:rPr>
            </w:pPr>
          </w:p>
        </w:tc>
        <w:tc>
          <w:tcPr>
            <w:tcW w:w="1526" w:type="dxa"/>
            <w:vMerge/>
            <w:vAlign w:val="center"/>
          </w:tcPr>
          <w:p w14:paraId="62BE459F" w14:textId="77777777" w:rsidR="00827114" w:rsidRPr="004E13E9" w:rsidRDefault="00827114" w:rsidP="000D1853">
            <w:pPr>
              <w:shd w:val="clear" w:color="auto" w:fill="FFFFFF" w:themeFill="background1"/>
              <w:rPr>
                <w:sz w:val="18"/>
                <w:szCs w:val="18"/>
              </w:rPr>
            </w:pPr>
          </w:p>
        </w:tc>
        <w:tc>
          <w:tcPr>
            <w:tcW w:w="1857" w:type="dxa"/>
            <w:vAlign w:val="center"/>
          </w:tcPr>
          <w:p w14:paraId="3881BFA7" w14:textId="77777777" w:rsidR="00827114" w:rsidRPr="004E13E9" w:rsidRDefault="00827114" w:rsidP="000D1853">
            <w:pPr>
              <w:shd w:val="clear" w:color="auto" w:fill="FFFFFF" w:themeFill="background1"/>
              <w:jc w:val="center"/>
              <w:rPr>
                <w:sz w:val="18"/>
                <w:szCs w:val="18"/>
              </w:rPr>
            </w:pPr>
            <w:r w:rsidRPr="004E13E9">
              <w:rPr>
                <w:sz w:val="18"/>
                <w:szCs w:val="18"/>
              </w:rPr>
              <w:t>35°13’46,36’’N - 01°38’ 28,69’’</w:t>
            </w:r>
            <w:r w:rsidRPr="004E13E9">
              <w:rPr>
                <w:sz w:val="18"/>
                <w:szCs w:val="18"/>
                <w:vertAlign w:val="superscript"/>
              </w:rPr>
              <w:t xml:space="preserve"> </w:t>
            </w:r>
            <w:r w:rsidRPr="004E13E9">
              <w:rPr>
                <w:sz w:val="18"/>
                <w:szCs w:val="18"/>
              </w:rPr>
              <w:t>O</w:t>
            </w:r>
          </w:p>
        </w:tc>
        <w:tc>
          <w:tcPr>
            <w:tcW w:w="1518" w:type="dxa"/>
            <w:vMerge/>
            <w:vAlign w:val="center"/>
          </w:tcPr>
          <w:p w14:paraId="64A229CE" w14:textId="77777777" w:rsidR="00827114" w:rsidRPr="004E13E9" w:rsidRDefault="00827114" w:rsidP="000D1853">
            <w:pPr>
              <w:shd w:val="clear" w:color="auto" w:fill="FFFFFF" w:themeFill="background1"/>
              <w:ind w:right="175"/>
              <w:jc w:val="center"/>
              <w:rPr>
                <w:sz w:val="18"/>
                <w:szCs w:val="18"/>
              </w:rPr>
            </w:pPr>
          </w:p>
        </w:tc>
        <w:tc>
          <w:tcPr>
            <w:tcW w:w="1843" w:type="dxa"/>
            <w:vMerge/>
            <w:vAlign w:val="center"/>
          </w:tcPr>
          <w:p w14:paraId="3C2AB042" w14:textId="77777777" w:rsidR="00827114" w:rsidRPr="004E13E9" w:rsidRDefault="00827114" w:rsidP="000D1853">
            <w:pPr>
              <w:shd w:val="clear" w:color="auto" w:fill="FFFFFF" w:themeFill="background1"/>
              <w:jc w:val="center"/>
              <w:rPr>
                <w:sz w:val="18"/>
                <w:szCs w:val="18"/>
              </w:rPr>
            </w:pPr>
          </w:p>
        </w:tc>
      </w:tr>
      <w:tr w:rsidR="00827114" w:rsidRPr="004E13E9" w14:paraId="18058417" w14:textId="77777777" w:rsidTr="00AE2154">
        <w:trPr>
          <w:trHeight w:val="109"/>
        </w:trPr>
        <w:tc>
          <w:tcPr>
            <w:tcW w:w="897" w:type="dxa"/>
            <w:vMerge/>
            <w:vAlign w:val="center"/>
          </w:tcPr>
          <w:p w14:paraId="62FCA797" w14:textId="77777777" w:rsidR="00827114" w:rsidRPr="004E13E9" w:rsidRDefault="00827114" w:rsidP="000D1853">
            <w:pPr>
              <w:shd w:val="clear" w:color="auto" w:fill="FFFFFF" w:themeFill="background1"/>
              <w:rPr>
                <w:b/>
                <w:bCs/>
                <w:sz w:val="18"/>
                <w:szCs w:val="18"/>
              </w:rPr>
            </w:pPr>
          </w:p>
        </w:tc>
        <w:tc>
          <w:tcPr>
            <w:tcW w:w="1710" w:type="dxa"/>
            <w:vMerge/>
            <w:vAlign w:val="center"/>
          </w:tcPr>
          <w:p w14:paraId="11B62A45" w14:textId="77777777" w:rsidR="00827114" w:rsidRPr="004E13E9" w:rsidRDefault="00827114" w:rsidP="000D1853">
            <w:pPr>
              <w:shd w:val="clear" w:color="auto" w:fill="FFFFFF" w:themeFill="background1"/>
              <w:rPr>
                <w:sz w:val="18"/>
                <w:szCs w:val="18"/>
              </w:rPr>
            </w:pPr>
          </w:p>
        </w:tc>
        <w:tc>
          <w:tcPr>
            <w:tcW w:w="1526" w:type="dxa"/>
            <w:vMerge/>
            <w:vAlign w:val="center"/>
          </w:tcPr>
          <w:p w14:paraId="14804773" w14:textId="77777777" w:rsidR="00827114" w:rsidRPr="004E13E9" w:rsidRDefault="00827114" w:rsidP="000D1853">
            <w:pPr>
              <w:shd w:val="clear" w:color="auto" w:fill="FFFFFF" w:themeFill="background1"/>
              <w:rPr>
                <w:sz w:val="18"/>
                <w:szCs w:val="18"/>
              </w:rPr>
            </w:pPr>
          </w:p>
        </w:tc>
        <w:tc>
          <w:tcPr>
            <w:tcW w:w="1857" w:type="dxa"/>
            <w:vAlign w:val="center"/>
          </w:tcPr>
          <w:p w14:paraId="1841CAF7" w14:textId="77777777" w:rsidR="00827114" w:rsidRPr="004E13E9" w:rsidRDefault="00827114" w:rsidP="000D1853">
            <w:pPr>
              <w:shd w:val="clear" w:color="auto" w:fill="FFFFFF" w:themeFill="background1"/>
              <w:jc w:val="center"/>
              <w:rPr>
                <w:sz w:val="18"/>
                <w:szCs w:val="18"/>
              </w:rPr>
            </w:pPr>
            <w:r w:rsidRPr="004E13E9">
              <w:rPr>
                <w:sz w:val="18"/>
                <w:szCs w:val="18"/>
              </w:rPr>
              <w:t>35°14’14,33’’N - 01°38’ 8,79’’</w:t>
            </w:r>
            <w:r w:rsidRPr="004E13E9">
              <w:rPr>
                <w:sz w:val="18"/>
                <w:szCs w:val="18"/>
                <w:vertAlign w:val="superscript"/>
              </w:rPr>
              <w:t xml:space="preserve"> </w:t>
            </w:r>
            <w:r w:rsidRPr="004E13E9">
              <w:rPr>
                <w:sz w:val="18"/>
                <w:szCs w:val="18"/>
              </w:rPr>
              <w:t>O</w:t>
            </w:r>
          </w:p>
        </w:tc>
        <w:tc>
          <w:tcPr>
            <w:tcW w:w="1518" w:type="dxa"/>
            <w:vMerge/>
            <w:vAlign w:val="center"/>
          </w:tcPr>
          <w:p w14:paraId="2F142472" w14:textId="77777777" w:rsidR="00827114" w:rsidRPr="004E13E9" w:rsidRDefault="00827114" w:rsidP="000D1853">
            <w:pPr>
              <w:shd w:val="clear" w:color="auto" w:fill="FFFFFF" w:themeFill="background1"/>
              <w:ind w:right="175"/>
              <w:jc w:val="center"/>
              <w:rPr>
                <w:sz w:val="18"/>
                <w:szCs w:val="18"/>
              </w:rPr>
            </w:pPr>
          </w:p>
        </w:tc>
        <w:tc>
          <w:tcPr>
            <w:tcW w:w="1843" w:type="dxa"/>
            <w:vMerge/>
            <w:vAlign w:val="center"/>
          </w:tcPr>
          <w:p w14:paraId="32C70487" w14:textId="77777777" w:rsidR="00827114" w:rsidRPr="004E13E9" w:rsidRDefault="00827114" w:rsidP="000D1853">
            <w:pPr>
              <w:shd w:val="clear" w:color="auto" w:fill="FFFFFF" w:themeFill="background1"/>
              <w:jc w:val="center"/>
              <w:rPr>
                <w:sz w:val="18"/>
                <w:szCs w:val="18"/>
              </w:rPr>
            </w:pPr>
          </w:p>
        </w:tc>
      </w:tr>
      <w:tr w:rsidR="00827114" w:rsidRPr="004E13E9" w14:paraId="66B6EAF0" w14:textId="77777777" w:rsidTr="00AE2154">
        <w:trPr>
          <w:trHeight w:val="109"/>
        </w:trPr>
        <w:tc>
          <w:tcPr>
            <w:tcW w:w="897" w:type="dxa"/>
            <w:vMerge/>
            <w:vAlign w:val="center"/>
          </w:tcPr>
          <w:p w14:paraId="26A9200D" w14:textId="77777777" w:rsidR="00827114" w:rsidRPr="004E13E9" w:rsidRDefault="00827114" w:rsidP="000D1853">
            <w:pPr>
              <w:shd w:val="clear" w:color="auto" w:fill="FFFFFF" w:themeFill="background1"/>
              <w:rPr>
                <w:b/>
                <w:bCs/>
                <w:sz w:val="18"/>
                <w:szCs w:val="18"/>
              </w:rPr>
            </w:pPr>
          </w:p>
        </w:tc>
        <w:tc>
          <w:tcPr>
            <w:tcW w:w="1710" w:type="dxa"/>
            <w:vMerge/>
            <w:vAlign w:val="center"/>
          </w:tcPr>
          <w:p w14:paraId="413F6751" w14:textId="77777777" w:rsidR="00827114" w:rsidRPr="004E13E9" w:rsidRDefault="00827114" w:rsidP="000D1853">
            <w:pPr>
              <w:shd w:val="clear" w:color="auto" w:fill="FFFFFF" w:themeFill="background1"/>
              <w:rPr>
                <w:sz w:val="18"/>
                <w:szCs w:val="18"/>
              </w:rPr>
            </w:pPr>
          </w:p>
        </w:tc>
        <w:tc>
          <w:tcPr>
            <w:tcW w:w="1526" w:type="dxa"/>
            <w:vMerge/>
            <w:vAlign w:val="center"/>
          </w:tcPr>
          <w:p w14:paraId="386B6B0A" w14:textId="77777777" w:rsidR="00827114" w:rsidRPr="004E13E9" w:rsidRDefault="00827114" w:rsidP="000D1853">
            <w:pPr>
              <w:shd w:val="clear" w:color="auto" w:fill="FFFFFF" w:themeFill="background1"/>
              <w:rPr>
                <w:sz w:val="18"/>
                <w:szCs w:val="18"/>
              </w:rPr>
            </w:pPr>
          </w:p>
        </w:tc>
        <w:tc>
          <w:tcPr>
            <w:tcW w:w="1857" w:type="dxa"/>
            <w:vAlign w:val="center"/>
          </w:tcPr>
          <w:p w14:paraId="0BF62598" w14:textId="77777777" w:rsidR="00827114" w:rsidRPr="004E13E9" w:rsidRDefault="00827114" w:rsidP="000D1853">
            <w:pPr>
              <w:shd w:val="clear" w:color="auto" w:fill="FFFFFF" w:themeFill="background1"/>
              <w:jc w:val="center"/>
              <w:rPr>
                <w:sz w:val="18"/>
                <w:szCs w:val="18"/>
              </w:rPr>
            </w:pPr>
            <w:r w:rsidRPr="004E13E9">
              <w:rPr>
                <w:sz w:val="18"/>
                <w:szCs w:val="18"/>
              </w:rPr>
              <w:t>35°14’5,78’’N - 01°37’ 57,46’’</w:t>
            </w:r>
            <w:r w:rsidRPr="004E13E9">
              <w:rPr>
                <w:sz w:val="18"/>
                <w:szCs w:val="18"/>
                <w:vertAlign w:val="superscript"/>
              </w:rPr>
              <w:t xml:space="preserve"> </w:t>
            </w:r>
            <w:r w:rsidRPr="004E13E9">
              <w:rPr>
                <w:sz w:val="18"/>
                <w:szCs w:val="18"/>
              </w:rPr>
              <w:t>O</w:t>
            </w:r>
          </w:p>
        </w:tc>
        <w:tc>
          <w:tcPr>
            <w:tcW w:w="1518" w:type="dxa"/>
            <w:vMerge/>
            <w:vAlign w:val="center"/>
          </w:tcPr>
          <w:p w14:paraId="7D0CEC37" w14:textId="77777777" w:rsidR="00827114" w:rsidRPr="004E13E9" w:rsidRDefault="00827114" w:rsidP="000D1853">
            <w:pPr>
              <w:shd w:val="clear" w:color="auto" w:fill="FFFFFF" w:themeFill="background1"/>
              <w:ind w:right="175"/>
              <w:jc w:val="center"/>
              <w:rPr>
                <w:sz w:val="18"/>
                <w:szCs w:val="18"/>
              </w:rPr>
            </w:pPr>
          </w:p>
        </w:tc>
        <w:tc>
          <w:tcPr>
            <w:tcW w:w="1843" w:type="dxa"/>
            <w:vMerge/>
            <w:vAlign w:val="center"/>
          </w:tcPr>
          <w:p w14:paraId="73CEFC6E" w14:textId="77777777" w:rsidR="00827114" w:rsidRPr="004E13E9" w:rsidRDefault="00827114" w:rsidP="000D1853">
            <w:pPr>
              <w:shd w:val="clear" w:color="auto" w:fill="FFFFFF" w:themeFill="background1"/>
              <w:jc w:val="center"/>
              <w:rPr>
                <w:sz w:val="18"/>
                <w:szCs w:val="18"/>
              </w:rPr>
            </w:pPr>
          </w:p>
        </w:tc>
      </w:tr>
      <w:tr w:rsidR="00827114" w:rsidRPr="004E13E9" w14:paraId="0F38F2C8" w14:textId="77777777" w:rsidTr="00AE2154">
        <w:trPr>
          <w:trHeight w:val="109"/>
        </w:trPr>
        <w:tc>
          <w:tcPr>
            <w:tcW w:w="897" w:type="dxa"/>
            <w:vMerge/>
            <w:shd w:val="clear" w:color="auto" w:fill="FF7474"/>
            <w:vAlign w:val="center"/>
          </w:tcPr>
          <w:p w14:paraId="125FF772" w14:textId="77777777" w:rsidR="00827114" w:rsidRPr="004E13E9" w:rsidRDefault="00827114" w:rsidP="000D1853">
            <w:pPr>
              <w:shd w:val="clear" w:color="auto" w:fill="FFFFFF" w:themeFill="background1"/>
              <w:rPr>
                <w:b/>
                <w:bCs/>
                <w:sz w:val="18"/>
                <w:szCs w:val="18"/>
              </w:rPr>
            </w:pPr>
          </w:p>
        </w:tc>
        <w:tc>
          <w:tcPr>
            <w:tcW w:w="1710" w:type="dxa"/>
            <w:vMerge/>
            <w:shd w:val="clear" w:color="auto" w:fill="FF7474"/>
            <w:vAlign w:val="center"/>
          </w:tcPr>
          <w:p w14:paraId="06A4865E" w14:textId="77777777" w:rsidR="00827114" w:rsidRPr="004E13E9" w:rsidRDefault="00827114" w:rsidP="000D1853">
            <w:pPr>
              <w:shd w:val="clear" w:color="auto" w:fill="FFFFFF" w:themeFill="background1"/>
              <w:rPr>
                <w:sz w:val="18"/>
                <w:szCs w:val="18"/>
              </w:rPr>
            </w:pPr>
          </w:p>
        </w:tc>
        <w:tc>
          <w:tcPr>
            <w:tcW w:w="1526" w:type="dxa"/>
            <w:vMerge/>
            <w:shd w:val="clear" w:color="auto" w:fill="FF7474"/>
            <w:vAlign w:val="center"/>
          </w:tcPr>
          <w:p w14:paraId="70C36F3B" w14:textId="77777777" w:rsidR="00827114" w:rsidRPr="004E13E9" w:rsidRDefault="00827114" w:rsidP="000D1853">
            <w:pPr>
              <w:shd w:val="clear" w:color="auto" w:fill="FFFFFF" w:themeFill="background1"/>
              <w:rPr>
                <w:sz w:val="18"/>
                <w:szCs w:val="18"/>
              </w:rPr>
            </w:pPr>
          </w:p>
        </w:tc>
        <w:tc>
          <w:tcPr>
            <w:tcW w:w="1857" w:type="dxa"/>
            <w:vAlign w:val="center"/>
          </w:tcPr>
          <w:p w14:paraId="148F1549" w14:textId="77777777" w:rsidR="00827114" w:rsidRPr="004E13E9" w:rsidRDefault="00827114" w:rsidP="000D1853">
            <w:pPr>
              <w:shd w:val="clear" w:color="auto" w:fill="FFFFFF" w:themeFill="background1"/>
              <w:jc w:val="center"/>
              <w:rPr>
                <w:sz w:val="18"/>
                <w:szCs w:val="18"/>
              </w:rPr>
            </w:pPr>
            <w:r w:rsidRPr="004E13E9">
              <w:rPr>
                <w:sz w:val="18"/>
                <w:szCs w:val="18"/>
              </w:rPr>
              <w:t>36°57’37,213’’N-008°8’14,539’’E</w:t>
            </w:r>
          </w:p>
        </w:tc>
        <w:tc>
          <w:tcPr>
            <w:tcW w:w="1518" w:type="dxa"/>
            <w:vMerge/>
            <w:vAlign w:val="center"/>
          </w:tcPr>
          <w:p w14:paraId="503045E5" w14:textId="77777777" w:rsidR="00827114" w:rsidRPr="004E13E9" w:rsidRDefault="00827114" w:rsidP="000D1853">
            <w:pPr>
              <w:shd w:val="clear" w:color="auto" w:fill="FFFFFF" w:themeFill="background1"/>
              <w:ind w:right="175"/>
              <w:jc w:val="center"/>
              <w:rPr>
                <w:sz w:val="18"/>
                <w:szCs w:val="18"/>
              </w:rPr>
            </w:pPr>
          </w:p>
        </w:tc>
        <w:tc>
          <w:tcPr>
            <w:tcW w:w="1843" w:type="dxa"/>
            <w:vMerge/>
            <w:vAlign w:val="center"/>
          </w:tcPr>
          <w:p w14:paraId="66F63AC1" w14:textId="77777777" w:rsidR="00827114" w:rsidRPr="004E13E9" w:rsidRDefault="00827114" w:rsidP="000D1853">
            <w:pPr>
              <w:shd w:val="clear" w:color="auto" w:fill="FFFFFF" w:themeFill="background1"/>
              <w:jc w:val="center"/>
              <w:rPr>
                <w:sz w:val="18"/>
                <w:szCs w:val="18"/>
              </w:rPr>
            </w:pPr>
          </w:p>
        </w:tc>
      </w:tr>
      <w:tr w:rsidR="00827114" w:rsidRPr="004E13E9" w14:paraId="2A2A02E5" w14:textId="77777777" w:rsidTr="00AE2154">
        <w:trPr>
          <w:trHeight w:val="109"/>
        </w:trPr>
        <w:tc>
          <w:tcPr>
            <w:tcW w:w="897" w:type="dxa"/>
            <w:vMerge/>
            <w:shd w:val="clear" w:color="auto" w:fill="FF7474"/>
            <w:vAlign w:val="center"/>
          </w:tcPr>
          <w:p w14:paraId="16C68F04" w14:textId="77777777" w:rsidR="00827114" w:rsidRPr="004E13E9" w:rsidRDefault="00827114" w:rsidP="000D1853">
            <w:pPr>
              <w:shd w:val="clear" w:color="auto" w:fill="FFFFFF" w:themeFill="background1"/>
              <w:rPr>
                <w:b/>
                <w:bCs/>
                <w:sz w:val="18"/>
                <w:szCs w:val="18"/>
              </w:rPr>
            </w:pPr>
          </w:p>
        </w:tc>
        <w:tc>
          <w:tcPr>
            <w:tcW w:w="1710" w:type="dxa"/>
            <w:vMerge/>
            <w:shd w:val="clear" w:color="auto" w:fill="FF7474"/>
            <w:vAlign w:val="center"/>
          </w:tcPr>
          <w:p w14:paraId="5A69544F" w14:textId="77777777" w:rsidR="00827114" w:rsidRPr="004E13E9" w:rsidRDefault="00827114" w:rsidP="000D1853">
            <w:pPr>
              <w:shd w:val="clear" w:color="auto" w:fill="FFFFFF" w:themeFill="background1"/>
              <w:rPr>
                <w:sz w:val="18"/>
                <w:szCs w:val="18"/>
              </w:rPr>
            </w:pPr>
          </w:p>
        </w:tc>
        <w:tc>
          <w:tcPr>
            <w:tcW w:w="1526" w:type="dxa"/>
            <w:vMerge/>
            <w:shd w:val="clear" w:color="auto" w:fill="FF7474"/>
            <w:vAlign w:val="center"/>
          </w:tcPr>
          <w:p w14:paraId="15D43BF6" w14:textId="77777777" w:rsidR="00827114" w:rsidRPr="004E13E9" w:rsidRDefault="00827114" w:rsidP="000D1853">
            <w:pPr>
              <w:shd w:val="clear" w:color="auto" w:fill="FFFFFF" w:themeFill="background1"/>
              <w:rPr>
                <w:sz w:val="18"/>
                <w:szCs w:val="18"/>
              </w:rPr>
            </w:pPr>
          </w:p>
        </w:tc>
        <w:tc>
          <w:tcPr>
            <w:tcW w:w="1857" w:type="dxa"/>
            <w:vAlign w:val="center"/>
          </w:tcPr>
          <w:p w14:paraId="0A0CF701" w14:textId="77777777" w:rsidR="00827114" w:rsidRPr="004E13E9" w:rsidRDefault="00827114" w:rsidP="000D1853">
            <w:pPr>
              <w:shd w:val="clear" w:color="auto" w:fill="FFFFFF" w:themeFill="background1"/>
              <w:jc w:val="center"/>
              <w:rPr>
                <w:sz w:val="18"/>
                <w:szCs w:val="18"/>
              </w:rPr>
            </w:pPr>
            <w:r w:rsidRPr="004E13E9">
              <w:rPr>
                <w:sz w:val="18"/>
                <w:szCs w:val="18"/>
              </w:rPr>
              <w:t>36°57’7,083’’N-008°8’12,166’’E</w:t>
            </w:r>
          </w:p>
        </w:tc>
        <w:tc>
          <w:tcPr>
            <w:tcW w:w="1518" w:type="dxa"/>
            <w:vMerge/>
            <w:vAlign w:val="center"/>
          </w:tcPr>
          <w:p w14:paraId="2E6CA267" w14:textId="77777777" w:rsidR="00827114" w:rsidRPr="004E13E9" w:rsidRDefault="00827114" w:rsidP="000D1853">
            <w:pPr>
              <w:shd w:val="clear" w:color="auto" w:fill="FFFFFF" w:themeFill="background1"/>
              <w:ind w:right="175"/>
              <w:jc w:val="center"/>
              <w:rPr>
                <w:sz w:val="18"/>
                <w:szCs w:val="18"/>
              </w:rPr>
            </w:pPr>
          </w:p>
        </w:tc>
        <w:tc>
          <w:tcPr>
            <w:tcW w:w="1843" w:type="dxa"/>
            <w:vMerge/>
            <w:vAlign w:val="center"/>
          </w:tcPr>
          <w:p w14:paraId="189F165F" w14:textId="77777777" w:rsidR="00827114" w:rsidRPr="004E13E9" w:rsidRDefault="00827114" w:rsidP="000D1853">
            <w:pPr>
              <w:shd w:val="clear" w:color="auto" w:fill="FFFFFF" w:themeFill="background1"/>
              <w:jc w:val="center"/>
              <w:rPr>
                <w:sz w:val="18"/>
                <w:szCs w:val="18"/>
              </w:rPr>
            </w:pPr>
          </w:p>
        </w:tc>
      </w:tr>
      <w:tr w:rsidR="00827114" w:rsidRPr="004E13E9" w14:paraId="11673BB5" w14:textId="77777777" w:rsidTr="00AE2154">
        <w:trPr>
          <w:trHeight w:val="109"/>
        </w:trPr>
        <w:tc>
          <w:tcPr>
            <w:tcW w:w="897" w:type="dxa"/>
            <w:vMerge/>
            <w:shd w:val="clear" w:color="auto" w:fill="FF7474"/>
            <w:vAlign w:val="center"/>
          </w:tcPr>
          <w:p w14:paraId="28BDD080" w14:textId="77777777" w:rsidR="00827114" w:rsidRPr="004E13E9" w:rsidRDefault="00827114" w:rsidP="000D1853">
            <w:pPr>
              <w:shd w:val="clear" w:color="auto" w:fill="FFFFFF" w:themeFill="background1"/>
              <w:rPr>
                <w:b/>
                <w:bCs/>
                <w:sz w:val="18"/>
                <w:szCs w:val="18"/>
              </w:rPr>
            </w:pPr>
          </w:p>
        </w:tc>
        <w:tc>
          <w:tcPr>
            <w:tcW w:w="1710" w:type="dxa"/>
            <w:vMerge/>
            <w:shd w:val="clear" w:color="auto" w:fill="FF7474"/>
            <w:vAlign w:val="center"/>
          </w:tcPr>
          <w:p w14:paraId="14F49904" w14:textId="77777777" w:rsidR="00827114" w:rsidRPr="004E13E9" w:rsidRDefault="00827114" w:rsidP="000D1853">
            <w:pPr>
              <w:shd w:val="clear" w:color="auto" w:fill="FFFFFF" w:themeFill="background1"/>
              <w:rPr>
                <w:sz w:val="18"/>
                <w:szCs w:val="18"/>
              </w:rPr>
            </w:pPr>
          </w:p>
        </w:tc>
        <w:tc>
          <w:tcPr>
            <w:tcW w:w="1526" w:type="dxa"/>
            <w:vMerge/>
            <w:shd w:val="clear" w:color="auto" w:fill="FF7474"/>
            <w:vAlign w:val="center"/>
          </w:tcPr>
          <w:p w14:paraId="069EF21E" w14:textId="77777777" w:rsidR="00827114" w:rsidRPr="004E13E9" w:rsidRDefault="00827114" w:rsidP="000D1853">
            <w:pPr>
              <w:shd w:val="clear" w:color="auto" w:fill="FFFFFF" w:themeFill="background1"/>
              <w:rPr>
                <w:sz w:val="18"/>
                <w:szCs w:val="18"/>
              </w:rPr>
            </w:pPr>
          </w:p>
        </w:tc>
        <w:tc>
          <w:tcPr>
            <w:tcW w:w="1857" w:type="dxa"/>
            <w:vAlign w:val="center"/>
          </w:tcPr>
          <w:p w14:paraId="1ABB1D33" w14:textId="77777777" w:rsidR="00827114" w:rsidRPr="004E13E9" w:rsidRDefault="00827114" w:rsidP="000D1853">
            <w:pPr>
              <w:shd w:val="clear" w:color="auto" w:fill="FFFFFF" w:themeFill="background1"/>
              <w:jc w:val="center"/>
              <w:rPr>
                <w:sz w:val="18"/>
                <w:szCs w:val="18"/>
              </w:rPr>
            </w:pPr>
            <w:r w:rsidRPr="004E13E9">
              <w:rPr>
                <w:sz w:val="18"/>
                <w:szCs w:val="18"/>
              </w:rPr>
              <w:t>36°57’21,068’’N-08°8’34,732’’E</w:t>
            </w:r>
          </w:p>
        </w:tc>
        <w:tc>
          <w:tcPr>
            <w:tcW w:w="1518" w:type="dxa"/>
            <w:vMerge/>
            <w:vAlign w:val="center"/>
          </w:tcPr>
          <w:p w14:paraId="175BFF21" w14:textId="77777777" w:rsidR="00827114" w:rsidRPr="004E13E9" w:rsidRDefault="00827114" w:rsidP="000D1853">
            <w:pPr>
              <w:shd w:val="clear" w:color="auto" w:fill="FFFFFF" w:themeFill="background1"/>
              <w:ind w:right="175"/>
              <w:jc w:val="center"/>
              <w:rPr>
                <w:sz w:val="18"/>
                <w:szCs w:val="18"/>
              </w:rPr>
            </w:pPr>
          </w:p>
        </w:tc>
        <w:tc>
          <w:tcPr>
            <w:tcW w:w="1843" w:type="dxa"/>
            <w:vMerge/>
            <w:vAlign w:val="center"/>
          </w:tcPr>
          <w:p w14:paraId="3F57410C" w14:textId="77777777" w:rsidR="00827114" w:rsidRPr="004E13E9" w:rsidRDefault="00827114" w:rsidP="000D1853">
            <w:pPr>
              <w:shd w:val="clear" w:color="auto" w:fill="FFFFFF" w:themeFill="background1"/>
              <w:jc w:val="center"/>
              <w:rPr>
                <w:sz w:val="18"/>
                <w:szCs w:val="18"/>
              </w:rPr>
            </w:pPr>
          </w:p>
        </w:tc>
      </w:tr>
      <w:tr w:rsidR="00827114" w:rsidRPr="004E13E9" w14:paraId="12B78F70" w14:textId="77777777" w:rsidTr="00AE2154">
        <w:trPr>
          <w:trHeight w:val="247"/>
        </w:trPr>
        <w:tc>
          <w:tcPr>
            <w:tcW w:w="5990" w:type="dxa"/>
            <w:gridSpan w:val="4"/>
            <w:vAlign w:val="center"/>
          </w:tcPr>
          <w:p w14:paraId="406A5A22" w14:textId="77777777" w:rsidR="00827114" w:rsidRPr="004E13E9" w:rsidRDefault="00827114" w:rsidP="000D1853">
            <w:pPr>
              <w:shd w:val="clear" w:color="auto" w:fill="FFFFFF" w:themeFill="background1"/>
              <w:ind w:right="35"/>
              <w:jc w:val="center"/>
              <w:rPr>
                <w:b/>
                <w:bCs/>
                <w:sz w:val="18"/>
                <w:szCs w:val="18"/>
              </w:rPr>
            </w:pPr>
            <w:r w:rsidRPr="004E13E9">
              <w:rPr>
                <w:b/>
                <w:bCs/>
                <w:sz w:val="18"/>
                <w:szCs w:val="18"/>
              </w:rPr>
              <w:t>TOTAL (t)</w:t>
            </w:r>
          </w:p>
        </w:tc>
        <w:tc>
          <w:tcPr>
            <w:tcW w:w="1518" w:type="dxa"/>
            <w:vAlign w:val="center"/>
          </w:tcPr>
          <w:p w14:paraId="4B1099DA" w14:textId="77777777" w:rsidR="00827114" w:rsidRPr="004E13E9" w:rsidRDefault="00827114" w:rsidP="000D1853">
            <w:pPr>
              <w:shd w:val="clear" w:color="auto" w:fill="FFFFFF" w:themeFill="background1"/>
              <w:ind w:right="175"/>
              <w:jc w:val="center"/>
              <w:rPr>
                <w:b/>
                <w:bCs/>
                <w:sz w:val="18"/>
                <w:szCs w:val="18"/>
              </w:rPr>
            </w:pPr>
            <w:r w:rsidRPr="004E13E9">
              <w:rPr>
                <w:b/>
                <w:bCs/>
                <w:sz w:val="18"/>
                <w:szCs w:val="18"/>
              </w:rPr>
              <w:t>950</w:t>
            </w:r>
          </w:p>
        </w:tc>
        <w:tc>
          <w:tcPr>
            <w:tcW w:w="1843" w:type="dxa"/>
            <w:vAlign w:val="center"/>
          </w:tcPr>
          <w:p w14:paraId="56EB0F52" w14:textId="77777777" w:rsidR="00827114" w:rsidRPr="004E13E9" w:rsidRDefault="00827114" w:rsidP="000D1853">
            <w:pPr>
              <w:shd w:val="clear" w:color="auto" w:fill="FFFFFF" w:themeFill="background1"/>
              <w:ind w:right="317"/>
              <w:jc w:val="center"/>
              <w:rPr>
                <w:b/>
                <w:bCs/>
                <w:sz w:val="18"/>
                <w:szCs w:val="18"/>
              </w:rPr>
            </w:pPr>
            <w:r w:rsidRPr="004E13E9">
              <w:rPr>
                <w:b/>
                <w:bCs/>
                <w:sz w:val="18"/>
                <w:szCs w:val="18"/>
              </w:rPr>
              <w:t>1.800</w:t>
            </w:r>
          </w:p>
        </w:tc>
      </w:tr>
    </w:tbl>
    <w:p w14:paraId="1785E148" w14:textId="65DED551" w:rsidR="00827114" w:rsidRPr="004E13E9" w:rsidRDefault="00827114" w:rsidP="000620A7">
      <w:pPr>
        <w:ind w:left="426" w:hanging="426"/>
        <w:jc w:val="both"/>
        <w:rPr>
          <w:b/>
          <w:lang w:val="fr-FR"/>
        </w:rPr>
      </w:pPr>
      <w:r w:rsidRPr="004E13E9">
        <w:rPr>
          <w:b/>
          <w:lang w:val="fr-FR"/>
        </w:rPr>
        <w:lastRenderedPageBreak/>
        <w:t>4.</w:t>
      </w:r>
      <w:r w:rsidRPr="004E13E9">
        <w:rPr>
          <w:b/>
          <w:lang w:val="fr-FR"/>
        </w:rPr>
        <w:tab/>
        <w:t xml:space="preserve">Plan annuel d’aquaculture (paragraphe 10 e) de la </w:t>
      </w:r>
      <w:hyperlink r:id="rId77" w:history="1">
        <w:r w:rsidRPr="004E13E9">
          <w:rPr>
            <w:rStyle w:val="Hyperlink"/>
            <w:u w:val="none"/>
            <w:lang w:val="fr-FR"/>
          </w:rPr>
          <w:t xml:space="preserve">Rec. 25-04 </w:t>
        </w:r>
      </w:hyperlink>
      <w:r w:rsidRPr="004E13E9">
        <w:rPr>
          <w:b/>
          <w:lang w:val="fr-FR"/>
        </w:rPr>
        <w:t xml:space="preserve">conformément à la </w:t>
      </w:r>
      <w:hyperlink r:id="rId78" w:history="1">
        <w:r w:rsidRPr="004E13E9">
          <w:rPr>
            <w:rStyle w:val="Hyperlink"/>
            <w:u w:val="none"/>
            <w:lang w:val="fr-FR"/>
          </w:rPr>
          <w:t>Rec. 24-07</w:t>
        </w:r>
      </w:hyperlink>
      <w:r w:rsidRPr="004E13E9">
        <w:rPr>
          <w:b/>
          <w:lang w:val="fr-FR"/>
        </w:rPr>
        <w:t>), le cas échéant</w:t>
      </w:r>
    </w:p>
    <w:p w14:paraId="06204BB8" w14:textId="77777777" w:rsidR="00827114" w:rsidRPr="004E13E9" w:rsidRDefault="00827114" w:rsidP="000620A7">
      <w:pPr>
        <w:jc w:val="both"/>
        <w:rPr>
          <w:b/>
          <w:lang w:val="fr-FR"/>
        </w:rPr>
      </w:pPr>
    </w:p>
    <w:p w14:paraId="20058D0A" w14:textId="77777777" w:rsidR="00827114" w:rsidRPr="004E13E9" w:rsidRDefault="00827114" w:rsidP="000620A7">
      <w:pPr>
        <w:jc w:val="both"/>
        <w:rPr>
          <w:iCs/>
          <w:lang w:val="fr-FR"/>
        </w:rPr>
      </w:pPr>
      <w:r w:rsidRPr="004E13E9">
        <w:rPr>
          <w:iCs/>
          <w:lang w:val="fr-FR"/>
        </w:rPr>
        <w:t>L’Algérie n’est pas concernée par des activités liées au thon rouge issu de l’aquaculture en 2026.</w:t>
      </w:r>
    </w:p>
    <w:p w14:paraId="10007F25" w14:textId="77777777" w:rsidR="00827114" w:rsidRPr="004E13E9" w:rsidRDefault="00827114" w:rsidP="000620A7">
      <w:pPr>
        <w:jc w:val="both"/>
        <w:rPr>
          <w:b/>
          <w:lang w:val="fr-FR"/>
        </w:rPr>
      </w:pPr>
    </w:p>
    <w:p w14:paraId="7E1A5EFE" w14:textId="77777777" w:rsidR="00827114" w:rsidRPr="004E13E9" w:rsidRDefault="00827114" w:rsidP="000620A7">
      <w:pPr>
        <w:jc w:val="both"/>
        <w:rPr>
          <w:b/>
          <w:lang w:val="fr-FR"/>
        </w:rPr>
      </w:pPr>
    </w:p>
    <w:p w14:paraId="54BB2B16" w14:textId="77777777" w:rsidR="00827114" w:rsidRPr="004E13E9" w:rsidRDefault="00827114" w:rsidP="000620A7">
      <w:pPr>
        <w:ind w:left="426" w:hanging="426"/>
        <w:jc w:val="both"/>
        <w:rPr>
          <w:b/>
          <w:lang w:val="fr-FR"/>
        </w:rPr>
      </w:pPr>
      <w:r w:rsidRPr="004E13E9">
        <w:rPr>
          <w:b/>
          <w:lang w:val="fr-FR"/>
        </w:rPr>
        <w:t xml:space="preserve">5. </w:t>
      </w:r>
      <w:r w:rsidRPr="004E13E9">
        <w:rPr>
          <w:b/>
          <w:lang w:val="fr-FR"/>
        </w:rPr>
        <w:tab/>
        <w:t>Plan de suivi, contrôle et inspection</w:t>
      </w:r>
    </w:p>
    <w:p w14:paraId="2B70CBBA" w14:textId="77777777" w:rsidR="00827114" w:rsidRPr="004E13E9" w:rsidRDefault="00827114" w:rsidP="000620A7">
      <w:pPr>
        <w:jc w:val="both"/>
        <w:rPr>
          <w:b/>
          <w:lang w:val="fr-FR"/>
        </w:rPr>
      </w:pPr>
    </w:p>
    <w:p w14:paraId="21446528" w14:textId="77777777" w:rsidR="00827114" w:rsidRPr="004E13E9" w:rsidRDefault="00827114" w:rsidP="000620A7">
      <w:pPr>
        <w:jc w:val="both"/>
        <w:rPr>
          <w:b/>
          <w:i/>
          <w:iCs/>
          <w:lang w:val="fr-FR"/>
        </w:rPr>
      </w:pPr>
      <w:r w:rsidRPr="004E13E9">
        <w:rPr>
          <w:b/>
          <w:i/>
          <w:iCs/>
          <w:lang w:val="fr-FR"/>
        </w:rPr>
        <w:t>5a) Suivi, contrôle et inspection de la CPC (paragraphe 10 c)</w:t>
      </w:r>
    </w:p>
    <w:p w14:paraId="57E9670D" w14:textId="77777777" w:rsidR="00827114" w:rsidRPr="004E13E9" w:rsidRDefault="00827114" w:rsidP="000620A7">
      <w:pPr>
        <w:jc w:val="both"/>
        <w:rPr>
          <w:lang w:val="fr-FR"/>
        </w:rPr>
      </w:pPr>
    </w:p>
    <w:p w14:paraId="30234E6B" w14:textId="77777777" w:rsidR="00827114" w:rsidRPr="004E13E9" w:rsidRDefault="00827114" w:rsidP="000620A7">
      <w:pPr>
        <w:jc w:val="both"/>
        <w:rPr>
          <w:lang w:val="fr-FR"/>
        </w:rPr>
      </w:pPr>
      <w:r w:rsidRPr="004E13E9">
        <w:rPr>
          <w:lang w:val="fr-FR"/>
        </w:rPr>
        <w:t xml:space="preserve">L’autorité compétente de contrôle est le </w:t>
      </w:r>
      <w:proofErr w:type="gramStart"/>
      <w:r w:rsidRPr="004E13E9">
        <w:rPr>
          <w:lang w:val="fr-FR"/>
        </w:rPr>
        <w:t>Ministère de l’Agriculture</w:t>
      </w:r>
      <w:proofErr w:type="gramEnd"/>
      <w:r w:rsidRPr="004E13E9">
        <w:rPr>
          <w:lang w:val="fr-FR"/>
        </w:rPr>
        <w:t>, du Développement rural et de la Pêche représenté par la Direction Générale de la Pêche et de l’Aquaculture à travers la Direction de contrôle des activités de la pêche et de l’aquaculture.</w:t>
      </w:r>
    </w:p>
    <w:p w14:paraId="5584198A" w14:textId="77777777" w:rsidR="00827114" w:rsidRPr="004E13E9" w:rsidRDefault="00827114" w:rsidP="000620A7">
      <w:pPr>
        <w:jc w:val="both"/>
        <w:rPr>
          <w:lang w:val="fr-FR"/>
        </w:rPr>
      </w:pPr>
    </w:p>
    <w:p w14:paraId="47D4A597" w14:textId="77777777" w:rsidR="00827114" w:rsidRPr="004E13E9" w:rsidRDefault="00827114" w:rsidP="000620A7">
      <w:pPr>
        <w:jc w:val="both"/>
        <w:rPr>
          <w:lang w:val="fr-FR"/>
        </w:rPr>
      </w:pPr>
      <w:r w:rsidRPr="004E13E9">
        <w:rPr>
          <w:lang w:val="fr-FR"/>
        </w:rPr>
        <w:t>Les points de contact désignés comme responsables de la mise en œuvre dudit plan de suivi, contrôle et inspection sont :</w:t>
      </w:r>
    </w:p>
    <w:p w14:paraId="43E15F42" w14:textId="77777777" w:rsidR="00827114" w:rsidRPr="004E13E9" w:rsidRDefault="00827114" w:rsidP="000620A7">
      <w:pPr>
        <w:jc w:val="both"/>
        <w:rPr>
          <w:lang w:val="fr-FR"/>
        </w:rPr>
      </w:pPr>
    </w:p>
    <w:p w14:paraId="381032CE" w14:textId="77777777" w:rsidR="00827114" w:rsidRPr="004E13E9" w:rsidRDefault="00827114" w:rsidP="00487A5C">
      <w:pPr>
        <w:pStyle w:val="ListParagraph"/>
        <w:widowControl w:val="0"/>
        <w:numPr>
          <w:ilvl w:val="0"/>
          <w:numId w:val="11"/>
        </w:numPr>
        <w:spacing w:after="0" w:line="240" w:lineRule="auto"/>
        <w:jc w:val="both"/>
        <w:rPr>
          <w:rFonts w:ascii="Cambria" w:hAnsi="Cambria"/>
          <w:sz w:val="20"/>
          <w:szCs w:val="20"/>
        </w:rPr>
      </w:pPr>
      <w:r w:rsidRPr="004E13E9">
        <w:rPr>
          <w:rFonts w:ascii="Cambria" w:hAnsi="Cambria"/>
          <w:sz w:val="20"/>
          <w:szCs w:val="20"/>
        </w:rPr>
        <w:t xml:space="preserve">Monsieur HENTOUR Abderrahmane : Directeur du contrôle </w:t>
      </w:r>
    </w:p>
    <w:p w14:paraId="6079DBC8" w14:textId="77777777" w:rsidR="00827114" w:rsidRPr="004E13E9" w:rsidRDefault="00827114" w:rsidP="000620A7">
      <w:pPr>
        <w:pStyle w:val="ListParagraph"/>
        <w:jc w:val="both"/>
        <w:rPr>
          <w:rFonts w:ascii="Cambria" w:hAnsi="Cambria"/>
          <w:sz w:val="20"/>
          <w:szCs w:val="20"/>
        </w:rPr>
      </w:pPr>
      <w:r w:rsidRPr="004E13E9">
        <w:rPr>
          <w:rFonts w:ascii="Cambria" w:hAnsi="Cambria"/>
          <w:sz w:val="20"/>
          <w:szCs w:val="20"/>
        </w:rPr>
        <w:t>(email : abdou.hentour@gmail.com; tél. : 213559139817/21323495333).</w:t>
      </w:r>
    </w:p>
    <w:p w14:paraId="3DF1646B" w14:textId="77777777" w:rsidR="00827114" w:rsidRPr="004E13E9" w:rsidRDefault="00827114" w:rsidP="00487A5C">
      <w:pPr>
        <w:pStyle w:val="ListParagraph"/>
        <w:widowControl w:val="0"/>
        <w:numPr>
          <w:ilvl w:val="0"/>
          <w:numId w:val="11"/>
        </w:numPr>
        <w:spacing w:after="0" w:line="240" w:lineRule="auto"/>
        <w:jc w:val="both"/>
        <w:rPr>
          <w:rFonts w:ascii="Cambria" w:hAnsi="Cambria"/>
          <w:sz w:val="20"/>
          <w:szCs w:val="20"/>
        </w:rPr>
      </w:pPr>
      <w:r w:rsidRPr="004E13E9">
        <w:rPr>
          <w:rFonts w:ascii="Cambria" w:hAnsi="Cambria"/>
          <w:sz w:val="20"/>
          <w:szCs w:val="20"/>
        </w:rPr>
        <w:t>Monsieur HABTICHE Amirouche : Sous-Directeur du contrôle (email:habticheamirouche@hotmail.fr; tél. : 213553091710).</w:t>
      </w:r>
    </w:p>
    <w:p w14:paraId="70A631C3" w14:textId="77777777" w:rsidR="00827114" w:rsidRPr="004E13E9" w:rsidRDefault="00827114" w:rsidP="000620A7">
      <w:pPr>
        <w:jc w:val="both"/>
        <w:rPr>
          <w:lang w:val="fr-FR"/>
        </w:rPr>
      </w:pPr>
    </w:p>
    <w:p w14:paraId="32CFFE53" w14:textId="77777777" w:rsidR="00827114" w:rsidRPr="004E13E9" w:rsidRDefault="00827114" w:rsidP="000620A7">
      <w:pPr>
        <w:jc w:val="both"/>
        <w:rPr>
          <w:lang w:val="fr-FR"/>
        </w:rPr>
      </w:pPr>
      <w:r w:rsidRPr="004E13E9">
        <w:rPr>
          <w:lang w:val="fr-FR"/>
        </w:rPr>
        <w:t>Conformément aux dispositions pertinentes des Recommandations de l’ICCAT, l’Algérie met en œuvre, pour la campagne de pêche au thon rouge 2026, un plan national de suivi, de contrôle et d’inspection visant à garantir l’application effective des mesures prévues par la Recommandation 25-04, y compris celles relatives aux transferts et à la mise en cage du thon rouge (paragraphes 108 à 139 et 157).</w:t>
      </w:r>
    </w:p>
    <w:p w14:paraId="705C92FC" w14:textId="77777777" w:rsidR="00827114" w:rsidRPr="004E13E9" w:rsidRDefault="00827114" w:rsidP="000620A7">
      <w:pPr>
        <w:jc w:val="both"/>
        <w:rPr>
          <w:lang w:val="fr-FR"/>
        </w:rPr>
      </w:pPr>
    </w:p>
    <w:p w14:paraId="2A7FCFC6" w14:textId="4DF3AF92" w:rsidR="00827114" w:rsidRPr="004E13E9" w:rsidRDefault="00827114" w:rsidP="000620A7">
      <w:pPr>
        <w:jc w:val="both"/>
      </w:pPr>
      <w:r w:rsidRPr="004E13E9">
        <w:rPr>
          <w:lang w:val="fr-FR"/>
        </w:rPr>
        <w:t xml:space="preserve">Un programme d’inspection nationale couvrant l’ensemble des opérations de pêche au thon rouge est mis en place pour la campagne 2026. </w:t>
      </w:r>
      <w:r w:rsidRPr="004E13E9">
        <w:t xml:space="preserve">Ce </w:t>
      </w:r>
      <w:proofErr w:type="spellStart"/>
      <w:r w:rsidRPr="004E13E9">
        <w:t>programme</w:t>
      </w:r>
      <w:proofErr w:type="spellEnd"/>
      <w:r w:rsidRPr="004E13E9">
        <w:t xml:space="preserve"> </w:t>
      </w:r>
      <w:proofErr w:type="spellStart"/>
      <w:r w:rsidRPr="004E13E9">
        <w:t>prévoit</w:t>
      </w:r>
      <w:proofErr w:type="spellEnd"/>
      <w:r w:rsidR="00170DB8" w:rsidRPr="004E13E9">
        <w:t>:</w:t>
      </w:r>
    </w:p>
    <w:p w14:paraId="0452AD15" w14:textId="77777777" w:rsidR="00827114" w:rsidRPr="004E13E9" w:rsidRDefault="00827114" w:rsidP="000620A7">
      <w:pPr>
        <w:jc w:val="both"/>
      </w:pPr>
    </w:p>
    <w:p w14:paraId="72C6C369" w14:textId="77777777" w:rsidR="00827114" w:rsidRPr="004E13E9" w:rsidRDefault="00827114" w:rsidP="00487A5C">
      <w:pPr>
        <w:pStyle w:val="ListParagraph"/>
        <w:widowControl w:val="0"/>
        <w:numPr>
          <w:ilvl w:val="0"/>
          <w:numId w:val="12"/>
        </w:numPr>
        <w:spacing w:after="0" w:line="240" w:lineRule="auto"/>
        <w:jc w:val="both"/>
        <w:rPr>
          <w:rFonts w:ascii="Cambria" w:hAnsi="Cambria"/>
          <w:sz w:val="20"/>
          <w:szCs w:val="20"/>
        </w:rPr>
      </w:pPr>
      <w:r w:rsidRPr="004E13E9">
        <w:rPr>
          <w:rFonts w:ascii="Cambria" w:hAnsi="Cambria"/>
          <w:sz w:val="20"/>
          <w:szCs w:val="20"/>
        </w:rPr>
        <w:t>Des inspections au port, avant et après la campagne, des navires autorisés.</w:t>
      </w:r>
    </w:p>
    <w:p w14:paraId="4E43899B" w14:textId="77777777" w:rsidR="00827114" w:rsidRPr="004E13E9" w:rsidRDefault="00827114" w:rsidP="00487A5C">
      <w:pPr>
        <w:pStyle w:val="ListParagraph"/>
        <w:widowControl w:val="0"/>
        <w:numPr>
          <w:ilvl w:val="0"/>
          <w:numId w:val="12"/>
        </w:numPr>
        <w:spacing w:after="0" w:line="240" w:lineRule="auto"/>
        <w:jc w:val="both"/>
        <w:rPr>
          <w:rFonts w:ascii="Cambria" w:hAnsi="Cambria"/>
          <w:sz w:val="20"/>
          <w:szCs w:val="20"/>
        </w:rPr>
      </w:pPr>
      <w:r w:rsidRPr="004E13E9">
        <w:rPr>
          <w:rFonts w:ascii="Cambria" w:hAnsi="Cambria"/>
          <w:sz w:val="20"/>
          <w:szCs w:val="20"/>
        </w:rPr>
        <w:t>Un suivi et un contrôle en mer des navires thoniers senneurs pendant toute la durée de la campagne.</w:t>
      </w:r>
    </w:p>
    <w:p w14:paraId="1002DFE5" w14:textId="77777777" w:rsidR="00827114" w:rsidRPr="004E13E9" w:rsidRDefault="00827114" w:rsidP="00487A5C">
      <w:pPr>
        <w:pStyle w:val="ListParagraph"/>
        <w:widowControl w:val="0"/>
        <w:numPr>
          <w:ilvl w:val="0"/>
          <w:numId w:val="12"/>
        </w:numPr>
        <w:spacing w:after="0" w:line="240" w:lineRule="auto"/>
        <w:jc w:val="both"/>
        <w:rPr>
          <w:rFonts w:ascii="Cambria" w:hAnsi="Cambria"/>
          <w:sz w:val="20"/>
          <w:szCs w:val="20"/>
        </w:rPr>
      </w:pPr>
      <w:r w:rsidRPr="004E13E9">
        <w:rPr>
          <w:rFonts w:ascii="Cambria" w:hAnsi="Cambria"/>
          <w:sz w:val="20"/>
          <w:szCs w:val="20"/>
        </w:rPr>
        <w:t xml:space="preserve">Embarquement des contrôleurs/observateurs. </w:t>
      </w:r>
    </w:p>
    <w:p w14:paraId="59540CD6" w14:textId="77777777" w:rsidR="00827114" w:rsidRPr="004E13E9" w:rsidRDefault="00827114" w:rsidP="000620A7">
      <w:pPr>
        <w:contextualSpacing/>
        <w:jc w:val="both"/>
      </w:pPr>
    </w:p>
    <w:p w14:paraId="087D53E0" w14:textId="6317B349" w:rsidR="00827114" w:rsidRPr="004E13E9" w:rsidRDefault="00827114" w:rsidP="000620A7">
      <w:pPr>
        <w:contextualSpacing/>
        <w:jc w:val="both"/>
        <w:rPr>
          <w:lang w:val="fr-FR"/>
        </w:rPr>
      </w:pPr>
      <w:r w:rsidRPr="004E13E9">
        <w:rPr>
          <w:lang w:val="fr-FR"/>
        </w:rPr>
        <w:t>Un contrôleur/observateur national, inspecteur assermenté relevant de l’Administration de la Pêche, est embarqué à bord de chaque navire thonier senneur pendant toute la saison de pêche, assurant une couverture de 100 %.</w:t>
      </w:r>
    </w:p>
    <w:p w14:paraId="552A0055" w14:textId="77777777" w:rsidR="009769BF" w:rsidRPr="004E13E9" w:rsidRDefault="009769BF" w:rsidP="000620A7">
      <w:pPr>
        <w:contextualSpacing/>
        <w:jc w:val="both"/>
        <w:rPr>
          <w:lang w:val="fr-FR"/>
        </w:rPr>
      </w:pPr>
    </w:p>
    <w:p w14:paraId="4B075B97" w14:textId="77777777" w:rsidR="00827114" w:rsidRPr="004E13E9" w:rsidRDefault="00827114" w:rsidP="000620A7">
      <w:pPr>
        <w:contextualSpacing/>
        <w:jc w:val="both"/>
        <w:rPr>
          <w:lang w:val="fr-FR"/>
        </w:rPr>
      </w:pPr>
      <w:r w:rsidRPr="004E13E9">
        <w:rPr>
          <w:lang w:val="fr-FR"/>
        </w:rPr>
        <w:t>Les contrôleurs/observateurs sont chargés du suivi des opérations de pêche et de transfert, de la vérification des données et documents de bord, et du respect des dispositions de la réglementation nationale et des Recommandations de l’ICCAT. En cas d’infraction, un rapport est transmis sans délai à l’autorité compétente.</w:t>
      </w:r>
    </w:p>
    <w:p w14:paraId="745197EE" w14:textId="77777777" w:rsidR="00827114" w:rsidRPr="004E13E9" w:rsidRDefault="00827114" w:rsidP="000620A7">
      <w:pPr>
        <w:contextualSpacing/>
        <w:jc w:val="both"/>
        <w:rPr>
          <w:b/>
          <w:bCs/>
          <w:lang w:val="fr-FR"/>
        </w:rPr>
      </w:pPr>
    </w:p>
    <w:p w14:paraId="793E6AC3" w14:textId="77777777" w:rsidR="00827114" w:rsidRPr="004E13E9" w:rsidRDefault="00827114" w:rsidP="000620A7">
      <w:pPr>
        <w:contextualSpacing/>
        <w:jc w:val="both"/>
        <w:rPr>
          <w:b/>
          <w:bCs/>
          <w:lang w:val="fr-FR"/>
        </w:rPr>
      </w:pPr>
      <w:r w:rsidRPr="004E13E9">
        <w:rPr>
          <w:b/>
          <w:bCs/>
          <w:lang w:val="fr-FR"/>
        </w:rPr>
        <w:t>Contrôle des opérations de pêche et de transfert</w:t>
      </w:r>
    </w:p>
    <w:p w14:paraId="6A92AADB" w14:textId="77777777" w:rsidR="00827114" w:rsidRPr="004E13E9" w:rsidRDefault="00827114" w:rsidP="000620A7">
      <w:pPr>
        <w:contextualSpacing/>
        <w:jc w:val="both"/>
        <w:rPr>
          <w:lang w:val="fr-FR"/>
        </w:rPr>
      </w:pPr>
    </w:p>
    <w:p w14:paraId="17B182AE" w14:textId="77777777" w:rsidR="00827114" w:rsidRPr="004E13E9" w:rsidRDefault="00827114" w:rsidP="000620A7">
      <w:pPr>
        <w:contextualSpacing/>
        <w:jc w:val="both"/>
        <w:rPr>
          <w:lang w:val="fr-FR"/>
        </w:rPr>
      </w:pPr>
      <w:r w:rsidRPr="004E13E9">
        <w:rPr>
          <w:lang w:val="fr-FR"/>
        </w:rPr>
        <w:t>Conformément à la réglementation nationale, les contrôleurs/observateurs assurent notamment :</w:t>
      </w:r>
    </w:p>
    <w:p w14:paraId="0FEF0F00" w14:textId="77777777" w:rsidR="00827114" w:rsidRPr="004E13E9" w:rsidRDefault="00827114" w:rsidP="000620A7">
      <w:pPr>
        <w:contextualSpacing/>
        <w:jc w:val="both"/>
        <w:rPr>
          <w:lang w:val="fr-FR"/>
        </w:rPr>
      </w:pPr>
    </w:p>
    <w:p w14:paraId="611F38E8" w14:textId="77777777" w:rsidR="00827114" w:rsidRPr="004E13E9" w:rsidRDefault="00827114" w:rsidP="00487A5C">
      <w:pPr>
        <w:pStyle w:val="ListParagraph"/>
        <w:widowControl w:val="0"/>
        <w:numPr>
          <w:ilvl w:val="0"/>
          <w:numId w:val="13"/>
        </w:numPr>
        <w:spacing w:after="0" w:line="240" w:lineRule="auto"/>
        <w:jc w:val="both"/>
        <w:rPr>
          <w:rFonts w:ascii="Cambria" w:hAnsi="Cambria"/>
          <w:sz w:val="20"/>
          <w:szCs w:val="20"/>
        </w:rPr>
      </w:pPr>
      <w:r w:rsidRPr="004E13E9">
        <w:rPr>
          <w:rFonts w:ascii="Cambria" w:hAnsi="Cambria"/>
          <w:sz w:val="20"/>
          <w:szCs w:val="20"/>
        </w:rPr>
        <w:t>L’inspection de partance des navires avant le début de la campagne ;</w:t>
      </w:r>
    </w:p>
    <w:p w14:paraId="05D7082F" w14:textId="77777777" w:rsidR="00827114" w:rsidRPr="004E13E9" w:rsidRDefault="00827114" w:rsidP="00487A5C">
      <w:pPr>
        <w:pStyle w:val="ListParagraph"/>
        <w:widowControl w:val="0"/>
        <w:numPr>
          <w:ilvl w:val="0"/>
          <w:numId w:val="13"/>
        </w:numPr>
        <w:spacing w:after="0" w:line="240" w:lineRule="auto"/>
        <w:jc w:val="both"/>
        <w:rPr>
          <w:rFonts w:ascii="Cambria" w:hAnsi="Cambria"/>
          <w:sz w:val="20"/>
          <w:szCs w:val="20"/>
        </w:rPr>
      </w:pPr>
      <w:r w:rsidRPr="004E13E9">
        <w:rPr>
          <w:rFonts w:ascii="Cambria" w:hAnsi="Cambria"/>
          <w:sz w:val="20"/>
          <w:szCs w:val="20"/>
        </w:rPr>
        <w:t>Le contrôle quotidien des journaux de pêche ;</w:t>
      </w:r>
    </w:p>
    <w:p w14:paraId="256195C5" w14:textId="77777777" w:rsidR="00827114" w:rsidRPr="004E13E9" w:rsidRDefault="00827114" w:rsidP="00487A5C">
      <w:pPr>
        <w:pStyle w:val="ListParagraph"/>
        <w:widowControl w:val="0"/>
        <w:numPr>
          <w:ilvl w:val="0"/>
          <w:numId w:val="13"/>
        </w:numPr>
        <w:spacing w:after="0" w:line="240" w:lineRule="auto"/>
        <w:jc w:val="both"/>
        <w:rPr>
          <w:rFonts w:ascii="Cambria" w:hAnsi="Cambria"/>
          <w:sz w:val="20"/>
          <w:szCs w:val="20"/>
        </w:rPr>
      </w:pPr>
      <w:r w:rsidRPr="004E13E9">
        <w:rPr>
          <w:rFonts w:ascii="Cambria" w:hAnsi="Cambria"/>
          <w:sz w:val="20"/>
          <w:szCs w:val="20"/>
        </w:rPr>
        <w:t>Le suivi du fonctionnement du VMS ;</w:t>
      </w:r>
    </w:p>
    <w:p w14:paraId="2BBB5DDD" w14:textId="77777777" w:rsidR="00827114" w:rsidRPr="004E13E9" w:rsidRDefault="00827114" w:rsidP="00487A5C">
      <w:pPr>
        <w:pStyle w:val="ListParagraph"/>
        <w:widowControl w:val="0"/>
        <w:numPr>
          <w:ilvl w:val="0"/>
          <w:numId w:val="13"/>
        </w:numPr>
        <w:spacing w:after="0" w:line="240" w:lineRule="auto"/>
        <w:jc w:val="both"/>
        <w:rPr>
          <w:rFonts w:ascii="Cambria" w:hAnsi="Cambria"/>
          <w:sz w:val="20"/>
          <w:szCs w:val="20"/>
        </w:rPr>
      </w:pPr>
      <w:r w:rsidRPr="004E13E9">
        <w:rPr>
          <w:rFonts w:ascii="Cambria" w:hAnsi="Cambria"/>
          <w:sz w:val="20"/>
          <w:szCs w:val="20"/>
        </w:rPr>
        <w:t>Le contrôle des opérations de pêche, de transfert et de mise en cage du thon rouge ;</w:t>
      </w:r>
    </w:p>
    <w:p w14:paraId="4E0CC312" w14:textId="77777777" w:rsidR="00827114" w:rsidRPr="004E13E9" w:rsidRDefault="00827114" w:rsidP="00487A5C">
      <w:pPr>
        <w:pStyle w:val="ListParagraph"/>
        <w:widowControl w:val="0"/>
        <w:numPr>
          <w:ilvl w:val="0"/>
          <w:numId w:val="13"/>
        </w:numPr>
        <w:spacing w:after="0" w:line="240" w:lineRule="auto"/>
        <w:jc w:val="both"/>
        <w:rPr>
          <w:rFonts w:ascii="Cambria" w:hAnsi="Cambria"/>
          <w:sz w:val="20"/>
          <w:szCs w:val="20"/>
        </w:rPr>
      </w:pPr>
      <w:r w:rsidRPr="004E13E9">
        <w:rPr>
          <w:rFonts w:ascii="Cambria" w:hAnsi="Cambria"/>
          <w:sz w:val="20"/>
          <w:szCs w:val="20"/>
        </w:rPr>
        <w:t>La vérification des documents de transfert après chaque opération ;</w:t>
      </w:r>
    </w:p>
    <w:p w14:paraId="5AA476EF" w14:textId="77777777" w:rsidR="00827114" w:rsidRPr="004E13E9" w:rsidRDefault="00827114" w:rsidP="00487A5C">
      <w:pPr>
        <w:pStyle w:val="ListParagraph"/>
        <w:widowControl w:val="0"/>
        <w:numPr>
          <w:ilvl w:val="0"/>
          <w:numId w:val="13"/>
        </w:numPr>
        <w:spacing w:after="0" w:line="240" w:lineRule="auto"/>
        <w:jc w:val="both"/>
        <w:rPr>
          <w:rFonts w:ascii="Cambria" w:hAnsi="Cambria"/>
          <w:sz w:val="20"/>
          <w:szCs w:val="20"/>
        </w:rPr>
      </w:pPr>
      <w:r w:rsidRPr="004E13E9">
        <w:rPr>
          <w:rFonts w:ascii="Cambria" w:hAnsi="Cambria"/>
          <w:sz w:val="20"/>
          <w:szCs w:val="20"/>
        </w:rPr>
        <w:t>L’analyse des enregistrements vidéo des transferts ;</w:t>
      </w:r>
    </w:p>
    <w:p w14:paraId="72739027" w14:textId="77777777" w:rsidR="00827114" w:rsidRPr="004E13E9" w:rsidRDefault="00827114" w:rsidP="00487A5C">
      <w:pPr>
        <w:pStyle w:val="ListParagraph"/>
        <w:widowControl w:val="0"/>
        <w:numPr>
          <w:ilvl w:val="0"/>
          <w:numId w:val="13"/>
        </w:numPr>
        <w:spacing w:after="0" w:line="240" w:lineRule="auto"/>
        <w:jc w:val="both"/>
        <w:rPr>
          <w:rFonts w:ascii="Cambria" w:hAnsi="Cambria"/>
          <w:sz w:val="20"/>
          <w:szCs w:val="20"/>
        </w:rPr>
      </w:pPr>
      <w:r w:rsidRPr="004E13E9">
        <w:rPr>
          <w:rFonts w:ascii="Cambria" w:hAnsi="Cambria"/>
          <w:sz w:val="20"/>
          <w:szCs w:val="20"/>
        </w:rPr>
        <w:t>L’inspection des espaces de stockage et des chambres froides ;</w:t>
      </w:r>
    </w:p>
    <w:p w14:paraId="566E267F" w14:textId="77777777" w:rsidR="00827114" w:rsidRPr="004E13E9" w:rsidRDefault="00827114" w:rsidP="00487A5C">
      <w:pPr>
        <w:pStyle w:val="ListParagraph"/>
        <w:widowControl w:val="0"/>
        <w:numPr>
          <w:ilvl w:val="0"/>
          <w:numId w:val="13"/>
        </w:numPr>
        <w:spacing w:after="0" w:line="240" w:lineRule="auto"/>
        <w:jc w:val="both"/>
        <w:rPr>
          <w:rFonts w:ascii="Cambria" w:hAnsi="Cambria"/>
          <w:sz w:val="20"/>
          <w:szCs w:val="20"/>
        </w:rPr>
      </w:pPr>
      <w:r w:rsidRPr="004E13E9">
        <w:rPr>
          <w:rFonts w:ascii="Cambria" w:hAnsi="Cambria"/>
          <w:sz w:val="20"/>
          <w:szCs w:val="20"/>
        </w:rPr>
        <w:t>L’établissement de rapports relatifs aux non-conformités et infractions constatées ;</w:t>
      </w:r>
    </w:p>
    <w:p w14:paraId="5AC7B991" w14:textId="77777777" w:rsidR="00827114" w:rsidRPr="004E13E9" w:rsidRDefault="00827114" w:rsidP="00487A5C">
      <w:pPr>
        <w:pStyle w:val="ListParagraph"/>
        <w:widowControl w:val="0"/>
        <w:numPr>
          <w:ilvl w:val="0"/>
          <w:numId w:val="13"/>
        </w:numPr>
        <w:spacing w:after="0" w:line="240" w:lineRule="auto"/>
        <w:jc w:val="both"/>
        <w:rPr>
          <w:rFonts w:ascii="Cambria" w:hAnsi="Cambria"/>
          <w:sz w:val="20"/>
          <w:szCs w:val="20"/>
        </w:rPr>
      </w:pPr>
      <w:r w:rsidRPr="004E13E9">
        <w:rPr>
          <w:rFonts w:ascii="Cambria" w:hAnsi="Cambria"/>
          <w:sz w:val="20"/>
          <w:szCs w:val="20"/>
        </w:rPr>
        <w:t>Les contrôleurs/observateurs maintiennent un contact permanent avec l’administration de la pêche et transmettent toutes les informations relatives aux opérations de pêche et de transfert ;</w:t>
      </w:r>
    </w:p>
    <w:p w14:paraId="373E0590" w14:textId="3B4ACB0F" w:rsidR="009769BF" w:rsidRPr="004E13E9" w:rsidRDefault="00827114" w:rsidP="00487A5C">
      <w:pPr>
        <w:pStyle w:val="ListParagraph"/>
        <w:widowControl w:val="0"/>
        <w:numPr>
          <w:ilvl w:val="0"/>
          <w:numId w:val="13"/>
        </w:numPr>
        <w:spacing w:after="0" w:line="240" w:lineRule="auto"/>
        <w:jc w:val="both"/>
        <w:rPr>
          <w:rFonts w:ascii="Cambria" w:hAnsi="Cambria"/>
        </w:rPr>
      </w:pPr>
      <w:r w:rsidRPr="004E13E9">
        <w:rPr>
          <w:rFonts w:ascii="Cambria" w:hAnsi="Cambria"/>
          <w:sz w:val="20"/>
          <w:szCs w:val="20"/>
        </w:rPr>
        <w:t>Suivi par VMS.</w:t>
      </w:r>
      <w:r w:rsidR="009769BF" w:rsidRPr="004E13E9">
        <w:rPr>
          <w:rFonts w:ascii="Cambria" w:hAnsi="Cambria"/>
        </w:rPr>
        <w:br w:type="page"/>
      </w:r>
    </w:p>
    <w:p w14:paraId="06C51571" w14:textId="46C2B8F2" w:rsidR="00827114" w:rsidRPr="004E13E9" w:rsidRDefault="00827114" w:rsidP="000620A7">
      <w:pPr>
        <w:contextualSpacing/>
        <w:jc w:val="both"/>
        <w:rPr>
          <w:lang w:val="fr-FR"/>
        </w:rPr>
      </w:pPr>
      <w:r w:rsidRPr="004E13E9">
        <w:rPr>
          <w:lang w:val="fr-FR"/>
        </w:rPr>
        <w:lastRenderedPageBreak/>
        <w:t>Tous les navires thoniers autorisés sont équipés d’un système de surveillance par satellite (VMS) opérationnel durant toute la campagne.</w:t>
      </w:r>
    </w:p>
    <w:p w14:paraId="51D43F08" w14:textId="77777777" w:rsidR="00827114" w:rsidRPr="004E13E9" w:rsidRDefault="00827114" w:rsidP="000620A7">
      <w:pPr>
        <w:contextualSpacing/>
        <w:jc w:val="both"/>
        <w:rPr>
          <w:lang w:val="fr-FR"/>
        </w:rPr>
      </w:pPr>
    </w:p>
    <w:p w14:paraId="5682EB79" w14:textId="77777777" w:rsidR="00827114" w:rsidRPr="004E13E9" w:rsidRDefault="00827114" w:rsidP="000620A7">
      <w:pPr>
        <w:contextualSpacing/>
        <w:jc w:val="both"/>
        <w:rPr>
          <w:lang w:val="fr-FR"/>
        </w:rPr>
      </w:pPr>
      <w:r w:rsidRPr="004E13E9">
        <w:rPr>
          <w:lang w:val="fr-FR"/>
        </w:rPr>
        <w:t>La transmission des données VMS commence cinq (5) jours avant le début de la période autorisée et se poursuit cinq (5) jours après la fin de la campagne, avec une fréquence de transmission horaire, conformément aux exigences de l’ICCAT.</w:t>
      </w:r>
    </w:p>
    <w:p w14:paraId="77906B6D" w14:textId="77777777" w:rsidR="00827114" w:rsidRPr="004E13E9" w:rsidRDefault="00827114" w:rsidP="000620A7">
      <w:pPr>
        <w:contextualSpacing/>
        <w:jc w:val="both"/>
        <w:rPr>
          <w:lang w:val="fr-FR"/>
        </w:rPr>
      </w:pPr>
    </w:p>
    <w:p w14:paraId="7A763911" w14:textId="77777777" w:rsidR="00827114" w:rsidRPr="004E13E9" w:rsidRDefault="00827114" w:rsidP="000620A7">
      <w:pPr>
        <w:contextualSpacing/>
        <w:jc w:val="both"/>
        <w:rPr>
          <w:lang w:val="fr-FR"/>
        </w:rPr>
      </w:pPr>
      <w:r w:rsidRPr="004E13E9">
        <w:rPr>
          <w:lang w:val="fr-FR"/>
        </w:rPr>
        <w:t>Une cellule centrale de suivi est chargée du contrôle des positions des navires.</w:t>
      </w:r>
    </w:p>
    <w:p w14:paraId="247846C6" w14:textId="77777777" w:rsidR="00827114" w:rsidRPr="004E13E9" w:rsidRDefault="00827114" w:rsidP="000620A7">
      <w:pPr>
        <w:contextualSpacing/>
        <w:jc w:val="both"/>
        <w:rPr>
          <w:lang w:val="fr-FR"/>
        </w:rPr>
      </w:pPr>
    </w:p>
    <w:p w14:paraId="353FEEAD" w14:textId="77777777" w:rsidR="00827114" w:rsidRPr="004E13E9" w:rsidRDefault="00827114" w:rsidP="000620A7">
      <w:pPr>
        <w:contextualSpacing/>
        <w:jc w:val="both"/>
        <w:rPr>
          <w:b/>
          <w:bCs/>
          <w:lang w:val="fr-FR"/>
        </w:rPr>
      </w:pPr>
      <w:r w:rsidRPr="004E13E9">
        <w:rPr>
          <w:b/>
          <w:bCs/>
          <w:lang w:val="fr-FR"/>
        </w:rPr>
        <w:t>Contrôle des débarquements</w:t>
      </w:r>
    </w:p>
    <w:p w14:paraId="70B42708" w14:textId="77777777" w:rsidR="00827114" w:rsidRPr="004E13E9" w:rsidRDefault="00827114" w:rsidP="000620A7">
      <w:pPr>
        <w:contextualSpacing/>
        <w:jc w:val="both"/>
        <w:rPr>
          <w:lang w:val="fr-FR"/>
        </w:rPr>
      </w:pPr>
    </w:p>
    <w:p w14:paraId="4A4A42FC" w14:textId="77777777" w:rsidR="00827114" w:rsidRPr="004E13E9" w:rsidRDefault="00827114" w:rsidP="000620A7">
      <w:pPr>
        <w:contextualSpacing/>
        <w:jc w:val="both"/>
        <w:rPr>
          <w:lang w:val="fr-FR"/>
        </w:rPr>
      </w:pPr>
      <w:r w:rsidRPr="004E13E9">
        <w:rPr>
          <w:lang w:val="fr-FR"/>
        </w:rPr>
        <w:t>Les navires thoniers battant pavillon national ne sont autorisés à débarquer le thon rouge capturé que dans des ports autorisés. Les opérations de débarquement et les documents de bord font l’objet d’inspections par les autorités compétentes, notamment l’Administration de la Pêche et les Garde-côtes.</w:t>
      </w:r>
    </w:p>
    <w:p w14:paraId="1DF898BD" w14:textId="77777777" w:rsidR="00827114" w:rsidRPr="004E13E9" w:rsidRDefault="00827114" w:rsidP="000620A7">
      <w:pPr>
        <w:contextualSpacing/>
        <w:jc w:val="both"/>
        <w:rPr>
          <w:lang w:val="fr-FR"/>
        </w:rPr>
      </w:pPr>
    </w:p>
    <w:p w14:paraId="6508404F" w14:textId="77777777" w:rsidR="00827114" w:rsidRPr="004E13E9" w:rsidRDefault="00827114" w:rsidP="000620A7">
      <w:pPr>
        <w:contextualSpacing/>
        <w:jc w:val="both"/>
        <w:rPr>
          <w:lang w:val="fr-FR"/>
        </w:rPr>
      </w:pPr>
      <w:r w:rsidRPr="004E13E9">
        <w:rPr>
          <w:lang w:val="fr-FR"/>
        </w:rPr>
        <w:t>Le débarquement de thon rouge par des navires étrangers est interdit.</w:t>
      </w:r>
    </w:p>
    <w:p w14:paraId="0897F2A4" w14:textId="77777777" w:rsidR="00827114" w:rsidRPr="004E13E9" w:rsidRDefault="00827114" w:rsidP="000620A7">
      <w:pPr>
        <w:contextualSpacing/>
        <w:jc w:val="both"/>
        <w:rPr>
          <w:lang w:val="fr-FR"/>
        </w:rPr>
      </w:pPr>
    </w:p>
    <w:p w14:paraId="48442C2F" w14:textId="77777777" w:rsidR="00827114" w:rsidRPr="004E13E9" w:rsidRDefault="00827114" w:rsidP="000620A7">
      <w:pPr>
        <w:contextualSpacing/>
        <w:jc w:val="both"/>
        <w:rPr>
          <w:lang w:val="fr-FR"/>
        </w:rPr>
      </w:pPr>
      <w:r w:rsidRPr="004E13E9">
        <w:rPr>
          <w:lang w:val="fr-FR"/>
        </w:rPr>
        <w:t>Pour les petits navires côtiers, le contrôle et le suivi sont assurés par les inspecteurs de la pêche déployés au niveau des ports autorisés. Dès que le quota global alloué aux petits navires côtiers est consommé, les activités de ces navires cessent.</w:t>
      </w:r>
    </w:p>
    <w:p w14:paraId="7A5FE029" w14:textId="77777777" w:rsidR="00827114" w:rsidRPr="004E13E9" w:rsidRDefault="00827114" w:rsidP="000620A7">
      <w:pPr>
        <w:contextualSpacing/>
        <w:jc w:val="both"/>
        <w:rPr>
          <w:lang w:val="fr-FR"/>
        </w:rPr>
      </w:pPr>
    </w:p>
    <w:p w14:paraId="4B2783F9" w14:textId="77777777" w:rsidR="00827114" w:rsidRPr="004E13E9" w:rsidRDefault="00827114" w:rsidP="000620A7">
      <w:pPr>
        <w:contextualSpacing/>
        <w:jc w:val="both"/>
        <w:rPr>
          <w:lang w:val="fr-FR"/>
        </w:rPr>
      </w:pPr>
      <w:r w:rsidRPr="004E13E9">
        <w:rPr>
          <w:lang w:val="fr-FR"/>
        </w:rPr>
        <w:t>La répartition du quota pour les navires côtiers se fait conformément à une mesure interne qui comprend également le contrôle au niveau des ports désignés ainsi que la période de pêche conformément aux recommandations de l’ICCAT et aux exigences règlementaires fixées.</w:t>
      </w:r>
    </w:p>
    <w:p w14:paraId="45FEC3B2" w14:textId="77777777" w:rsidR="00827114" w:rsidRPr="004E13E9" w:rsidRDefault="00827114" w:rsidP="000620A7">
      <w:pPr>
        <w:ind w:left="426" w:hanging="426"/>
        <w:jc w:val="both"/>
        <w:rPr>
          <w:b/>
          <w:i/>
          <w:iCs/>
          <w:lang w:val="fr-FR"/>
        </w:rPr>
      </w:pPr>
    </w:p>
    <w:p w14:paraId="59A64E24" w14:textId="77777777" w:rsidR="00827114" w:rsidRPr="004E13E9" w:rsidRDefault="00827114" w:rsidP="000620A7">
      <w:pPr>
        <w:ind w:left="426" w:hanging="426"/>
        <w:jc w:val="both"/>
        <w:rPr>
          <w:b/>
          <w:i/>
          <w:iCs/>
          <w:lang w:val="fr-FR"/>
        </w:rPr>
      </w:pPr>
      <w:r w:rsidRPr="004E13E9">
        <w:rPr>
          <w:b/>
          <w:i/>
          <w:iCs/>
          <w:lang w:val="fr-FR"/>
        </w:rPr>
        <w:t>5b) Programme d’inspection internationale conjointe (JIS) (paragraphes 232-235)</w:t>
      </w:r>
    </w:p>
    <w:p w14:paraId="5C10AA0C" w14:textId="77777777" w:rsidR="00827114" w:rsidRPr="004E13E9" w:rsidRDefault="00827114" w:rsidP="000620A7">
      <w:pPr>
        <w:jc w:val="both"/>
        <w:rPr>
          <w:b/>
          <w:i/>
          <w:iCs/>
          <w:lang w:val="fr-FR"/>
        </w:rPr>
      </w:pPr>
    </w:p>
    <w:p w14:paraId="06586894" w14:textId="77777777" w:rsidR="00827114" w:rsidRPr="004E13E9" w:rsidRDefault="00827114" w:rsidP="000620A7">
      <w:pPr>
        <w:jc w:val="both"/>
        <w:rPr>
          <w:iCs/>
          <w:lang w:val="fr-FR"/>
        </w:rPr>
      </w:pPr>
      <w:r w:rsidRPr="004E13E9">
        <w:rPr>
          <w:iCs/>
          <w:lang w:val="fr-FR"/>
        </w:rPr>
        <w:t>Conformément aux paragraphes 232 à 235 de la Recommandation 25-04 de l’ICCAT et à son annexe 7, l’Algérie fournit des informations relatives à la mise en œuvre des inspections internationales conjointes (Joint International Inspections – JIS) applicables à la pêcherie du thon rouge.</w:t>
      </w:r>
    </w:p>
    <w:p w14:paraId="08B09D8E" w14:textId="77777777" w:rsidR="00827114" w:rsidRPr="004E13E9" w:rsidRDefault="00827114" w:rsidP="000620A7">
      <w:pPr>
        <w:jc w:val="both"/>
        <w:rPr>
          <w:iCs/>
          <w:lang w:val="fr-FR"/>
        </w:rPr>
      </w:pPr>
    </w:p>
    <w:p w14:paraId="7A99155E" w14:textId="77777777" w:rsidR="00827114" w:rsidRPr="004E13E9" w:rsidRDefault="00827114" w:rsidP="000620A7">
      <w:pPr>
        <w:jc w:val="both"/>
        <w:rPr>
          <w:iCs/>
          <w:lang w:val="fr-FR"/>
        </w:rPr>
      </w:pPr>
      <w:r w:rsidRPr="004E13E9">
        <w:rPr>
          <w:iCs/>
          <w:lang w:val="fr-FR"/>
        </w:rPr>
        <w:t>Étant donné que la flottille nationale compte plus de quinze (15) navires thoniers senneurs, l’Algérie adhère au programme d’inspections internationales conjointes (JIS), conformément aux dispositions de la Recommandation 25-04.</w:t>
      </w:r>
    </w:p>
    <w:p w14:paraId="5DD5AD9C" w14:textId="77777777" w:rsidR="00827114" w:rsidRPr="004E13E9" w:rsidRDefault="00827114" w:rsidP="000620A7">
      <w:pPr>
        <w:jc w:val="both"/>
        <w:rPr>
          <w:iCs/>
          <w:sz w:val="8"/>
          <w:szCs w:val="8"/>
          <w:lang w:val="fr-FR"/>
        </w:rPr>
      </w:pPr>
    </w:p>
    <w:p w14:paraId="69721A41" w14:textId="69A1EA90" w:rsidR="00827114" w:rsidRPr="004E13E9" w:rsidRDefault="00827114" w:rsidP="000620A7">
      <w:pPr>
        <w:jc w:val="both"/>
        <w:rPr>
          <w:iCs/>
          <w:lang w:val="fr-FR"/>
        </w:rPr>
      </w:pPr>
      <w:r w:rsidRPr="004E13E9">
        <w:rPr>
          <w:iCs/>
          <w:lang w:val="fr-FR"/>
        </w:rPr>
        <w:t>À ce titre, l’Algérie participera au programme JIS au cours de la campagne de pêche 2026, par le biais du navire</w:t>
      </w:r>
      <w:r w:rsidRPr="004E13E9">
        <w:rPr>
          <w:i/>
          <w:lang w:val="fr-FR"/>
        </w:rPr>
        <w:t xml:space="preserve"> Grine Belkacem</w:t>
      </w:r>
      <w:r w:rsidRPr="004E13E9">
        <w:rPr>
          <w:iCs/>
          <w:lang w:val="fr-FR"/>
        </w:rPr>
        <w:t xml:space="preserve"> (AL405). Les inspecteurs embarqués assureront les missions d’inspection prévues par l’ICCAT pour les navires algériens et étrangers opérant dans la zone de pêche du thon rouge en Méditerranée, durant toute la période autorisée de pêche.</w:t>
      </w:r>
    </w:p>
    <w:p w14:paraId="289F36B9" w14:textId="77777777" w:rsidR="009769BF" w:rsidRPr="004E13E9" w:rsidRDefault="009769BF" w:rsidP="000620A7">
      <w:pPr>
        <w:jc w:val="both"/>
        <w:rPr>
          <w:iCs/>
          <w:lang w:val="fr-FR"/>
        </w:rPr>
      </w:pPr>
    </w:p>
    <w:p w14:paraId="59660E9F" w14:textId="77777777" w:rsidR="00827114" w:rsidRPr="004E13E9" w:rsidRDefault="00827114" w:rsidP="000620A7">
      <w:pPr>
        <w:jc w:val="both"/>
        <w:rPr>
          <w:iCs/>
          <w:lang w:val="fr-FR"/>
        </w:rPr>
      </w:pPr>
      <w:r w:rsidRPr="004E13E9">
        <w:rPr>
          <w:iCs/>
          <w:lang w:val="fr-FR"/>
        </w:rPr>
        <w:t>En complément de sa participation au JIS, l’Algérie met en œuvre un ensemble de mesures nationales renforcées de suivi, de contrôle et d’inspection, destinées à assurer une conformité élevée aux mesures de conservation et de gestion de l’ICCAT.</w:t>
      </w:r>
    </w:p>
    <w:p w14:paraId="3B4BCFE4" w14:textId="77777777" w:rsidR="00827114" w:rsidRPr="004E13E9" w:rsidRDefault="00827114" w:rsidP="000620A7">
      <w:pPr>
        <w:jc w:val="both"/>
        <w:rPr>
          <w:iCs/>
          <w:lang w:val="fr-FR"/>
        </w:rPr>
      </w:pPr>
    </w:p>
    <w:p w14:paraId="66732768" w14:textId="77777777" w:rsidR="00827114" w:rsidRPr="004E13E9" w:rsidRDefault="00827114" w:rsidP="000620A7">
      <w:pPr>
        <w:jc w:val="both"/>
        <w:rPr>
          <w:i/>
          <w:lang w:val="fr-FR"/>
        </w:rPr>
      </w:pPr>
      <w:r w:rsidRPr="004E13E9">
        <w:rPr>
          <w:i/>
          <w:lang w:val="fr-FR"/>
        </w:rPr>
        <w:t>Mesures nationales complémentaires de suivi, contrôle et inspection</w:t>
      </w:r>
    </w:p>
    <w:p w14:paraId="6ABBA8DB" w14:textId="77777777" w:rsidR="00827114" w:rsidRPr="004E13E9" w:rsidRDefault="00827114" w:rsidP="000620A7">
      <w:pPr>
        <w:jc w:val="both"/>
        <w:rPr>
          <w:iCs/>
          <w:lang w:val="fr-FR"/>
        </w:rPr>
      </w:pPr>
    </w:p>
    <w:p w14:paraId="3C49BEDD" w14:textId="77777777" w:rsidR="00827114" w:rsidRPr="004E13E9" w:rsidRDefault="00827114" w:rsidP="000620A7">
      <w:pPr>
        <w:jc w:val="both"/>
        <w:rPr>
          <w:iCs/>
          <w:lang w:val="fr-FR"/>
        </w:rPr>
      </w:pPr>
      <w:r w:rsidRPr="004E13E9">
        <w:rPr>
          <w:iCs/>
          <w:lang w:val="fr-FR"/>
        </w:rPr>
        <w:t>(i) Contrôle et inspection avant le début de la pêche au thon rouge</w:t>
      </w:r>
    </w:p>
    <w:p w14:paraId="742BEDF0" w14:textId="77777777" w:rsidR="00827114" w:rsidRPr="004E13E9" w:rsidRDefault="00827114" w:rsidP="000620A7">
      <w:pPr>
        <w:jc w:val="both"/>
        <w:rPr>
          <w:iCs/>
          <w:lang w:val="fr-FR"/>
        </w:rPr>
      </w:pPr>
    </w:p>
    <w:p w14:paraId="5453FF3B" w14:textId="77777777" w:rsidR="00827114" w:rsidRPr="004E13E9" w:rsidRDefault="00827114" w:rsidP="000620A7">
      <w:pPr>
        <w:jc w:val="both"/>
        <w:rPr>
          <w:iCs/>
          <w:lang w:val="fr-FR"/>
        </w:rPr>
      </w:pPr>
      <w:r w:rsidRPr="004E13E9">
        <w:rPr>
          <w:iCs/>
          <w:lang w:val="fr-FR"/>
        </w:rPr>
        <w:t>Tous les thoniers senneurs sont soumis à des inspections visant à contrôler les engins de pêche et les documents requis, conformément à l’arrêté ministériel du 24 février 2022 (article 9 et annexes 2, 4 et 5).</w:t>
      </w:r>
    </w:p>
    <w:p w14:paraId="35735BC4" w14:textId="77777777" w:rsidR="00827114" w:rsidRPr="004E13E9" w:rsidRDefault="00827114" w:rsidP="000620A7">
      <w:pPr>
        <w:jc w:val="both"/>
        <w:rPr>
          <w:iCs/>
          <w:lang w:val="fr-FR"/>
        </w:rPr>
      </w:pPr>
    </w:p>
    <w:p w14:paraId="2594462C" w14:textId="77777777" w:rsidR="00827114" w:rsidRPr="004E13E9" w:rsidRDefault="00827114" w:rsidP="000620A7">
      <w:pPr>
        <w:jc w:val="both"/>
        <w:rPr>
          <w:iCs/>
          <w:lang w:val="fr-FR"/>
        </w:rPr>
      </w:pPr>
      <w:r w:rsidRPr="004E13E9">
        <w:rPr>
          <w:iCs/>
          <w:lang w:val="fr-FR"/>
        </w:rPr>
        <w:t>(ii) Contrôle pré-départ</w:t>
      </w:r>
    </w:p>
    <w:p w14:paraId="4454C2E7" w14:textId="77777777" w:rsidR="00827114" w:rsidRPr="004E13E9" w:rsidRDefault="00827114" w:rsidP="000620A7">
      <w:pPr>
        <w:jc w:val="both"/>
        <w:rPr>
          <w:iCs/>
          <w:lang w:val="fr-FR"/>
        </w:rPr>
      </w:pPr>
    </w:p>
    <w:p w14:paraId="02C5E53F" w14:textId="77777777" w:rsidR="00827114" w:rsidRPr="004E13E9" w:rsidRDefault="00827114" w:rsidP="000620A7">
      <w:pPr>
        <w:jc w:val="both"/>
        <w:rPr>
          <w:iCs/>
          <w:lang w:val="fr-FR"/>
        </w:rPr>
      </w:pPr>
      <w:r w:rsidRPr="004E13E9">
        <w:rPr>
          <w:iCs/>
          <w:lang w:val="fr-FR"/>
        </w:rPr>
        <w:t>Tous les thoniers senneurs font l’objet d’inspections pré-départ, conformément à l’article 23 et à l’annexe 6 de l’arrêté ministériel du 24 février 2022.</w:t>
      </w:r>
    </w:p>
    <w:p w14:paraId="7CF866BE" w14:textId="77777777" w:rsidR="00827114" w:rsidRPr="004E13E9" w:rsidRDefault="00827114" w:rsidP="000620A7">
      <w:pPr>
        <w:jc w:val="both"/>
        <w:rPr>
          <w:iCs/>
          <w:lang w:val="fr-FR"/>
        </w:rPr>
      </w:pPr>
    </w:p>
    <w:p w14:paraId="34197D99" w14:textId="77777777" w:rsidR="009769BF" w:rsidRPr="004E13E9" w:rsidRDefault="009769BF">
      <w:pPr>
        <w:rPr>
          <w:iCs/>
          <w:lang w:val="fr-FR"/>
        </w:rPr>
      </w:pPr>
      <w:r w:rsidRPr="004E13E9">
        <w:rPr>
          <w:iCs/>
          <w:lang w:val="fr-FR"/>
        </w:rPr>
        <w:br w:type="page"/>
      </w:r>
    </w:p>
    <w:p w14:paraId="608A8474" w14:textId="7F0313BF" w:rsidR="00827114" w:rsidRPr="004E13E9" w:rsidRDefault="00827114" w:rsidP="000620A7">
      <w:pPr>
        <w:jc w:val="both"/>
        <w:rPr>
          <w:iCs/>
          <w:lang w:val="fr-FR"/>
        </w:rPr>
      </w:pPr>
      <w:r w:rsidRPr="004E13E9">
        <w:rPr>
          <w:iCs/>
          <w:lang w:val="fr-FR"/>
        </w:rPr>
        <w:lastRenderedPageBreak/>
        <w:t>(iii) Contrôle et suivi durant la saison de pêche</w:t>
      </w:r>
    </w:p>
    <w:p w14:paraId="3D08499B" w14:textId="77777777" w:rsidR="00827114" w:rsidRPr="004E13E9" w:rsidRDefault="00827114" w:rsidP="000620A7">
      <w:pPr>
        <w:jc w:val="both"/>
        <w:rPr>
          <w:iCs/>
          <w:lang w:val="fr-FR"/>
        </w:rPr>
      </w:pPr>
    </w:p>
    <w:p w14:paraId="01FC95A1" w14:textId="77777777" w:rsidR="00827114" w:rsidRPr="004E13E9" w:rsidRDefault="00827114" w:rsidP="000620A7">
      <w:pPr>
        <w:jc w:val="both"/>
        <w:rPr>
          <w:iCs/>
          <w:lang w:val="fr-FR"/>
        </w:rPr>
      </w:pPr>
      <w:r w:rsidRPr="004E13E9">
        <w:rPr>
          <w:iCs/>
          <w:lang w:val="fr-FR"/>
        </w:rPr>
        <w:t>Des inspecteurs nationaux assermentés sont embarqués à bord de chaque thonier senneur durant toute la période autorisée de pêche, assurant une couverture de 100 % de la flottille, conformément à la réglementation nationale en vigueur.</w:t>
      </w:r>
    </w:p>
    <w:p w14:paraId="5204FE8E" w14:textId="77777777" w:rsidR="00827114" w:rsidRPr="004E13E9" w:rsidRDefault="00827114" w:rsidP="000620A7">
      <w:pPr>
        <w:jc w:val="both"/>
        <w:rPr>
          <w:iCs/>
          <w:lang w:val="fr-FR"/>
        </w:rPr>
      </w:pPr>
    </w:p>
    <w:p w14:paraId="24A668DA" w14:textId="77777777" w:rsidR="00827114" w:rsidRPr="004E13E9" w:rsidRDefault="00827114" w:rsidP="000620A7">
      <w:pPr>
        <w:jc w:val="both"/>
        <w:rPr>
          <w:iCs/>
          <w:lang w:val="fr-FR"/>
        </w:rPr>
      </w:pPr>
      <w:r w:rsidRPr="004E13E9">
        <w:rPr>
          <w:iCs/>
          <w:lang w:val="fr-FR"/>
        </w:rPr>
        <w:t>(iv) Coordination du suivi et du contrôle</w:t>
      </w:r>
    </w:p>
    <w:p w14:paraId="1F1146D1" w14:textId="77777777" w:rsidR="00827114" w:rsidRPr="004E13E9" w:rsidRDefault="00827114" w:rsidP="000620A7">
      <w:pPr>
        <w:jc w:val="both"/>
        <w:rPr>
          <w:iCs/>
          <w:lang w:val="fr-FR"/>
        </w:rPr>
      </w:pPr>
    </w:p>
    <w:p w14:paraId="74D68EAC" w14:textId="77777777" w:rsidR="00827114" w:rsidRPr="004E13E9" w:rsidRDefault="00827114" w:rsidP="000620A7">
      <w:pPr>
        <w:jc w:val="both"/>
        <w:rPr>
          <w:iCs/>
          <w:lang w:val="fr-FR"/>
        </w:rPr>
      </w:pPr>
      <w:r w:rsidRPr="004E13E9">
        <w:rPr>
          <w:iCs/>
          <w:lang w:val="fr-FR"/>
        </w:rPr>
        <w:t>Une cellule ministérielle de suivi et de contrôle assure la coordination avec les inspecteurs embarqués et centralise en temps réel les informations relatives aux opérations de pêche.</w:t>
      </w:r>
    </w:p>
    <w:p w14:paraId="662C5903" w14:textId="77777777" w:rsidR="00827114" w:rsidRPr="004E13E9" w:rsidRDefault="00827114" w:rsidP="000620A7">
      <w:pPr>
        <w:jc w:val="both"/>
        <w:rPr>
          <w:iCs/>
          <w:lang w:val="fr-FR"/>
        </w:rPr>
      </w:pPr>
    </w:p>
    <w:p w14:paraId="4E5FC418" w14:textId="77777777" w:rsidR="00827114" w:rsidRPr="004E13E9" w:rsidRDefault="00827114" w:rsidP="000620A7">
      <w:pPr>
        <w:jc w:val="both"/>
        <w:rPr>
          <w:iCs/>
          <w:lang w:val="fr-FR"/>
        </w:rPr>
      </w:pPr>
      <w:r w:rsidRPr="004E13E9">
        <w:rPr>
          <w:iCs/>
          <w:lang w:val="fr-FR"/>
        </w:rPr>
        <w:t>(v) Utilisation du VMS</w:t>
      </w:r>
    </w:p>
    <w:p w14:paraId="4AF2BE29" w14:textId="77777777" w:rsidR="00827114" w:rsidRPr="004E13E9" w:rsidRDefault="00827114" w:rsidP="000620A7">
      <w:pPr>
        <w:jc w:val="both"/>
        <w:rPr>
          <w:iCs/>
          <w:lang w:val="fr-FR"/>
        </w:rPr>
      </w:pPr>
    </w:p>
    <w:p w14:paraId="5D7604E2" w14:textId="77777777" w:rsidR="00827114" w:rsidRPr="004E13E9" w:rsidRDefault="00827114" w:rsidP="000620A7">
      <w:pPr>
        <w:jc w:val="both"/>
        <w:rPr>
          <w:iCs/>
          <w:lang w:val="fr-FR"/>
        </w:rPr>
      </w:pPr>
      <w:r w:rsidRPr="004E13E9">
        <w:rPr>
          <w:iCs/>
          <w:lang w:val="fr-FR"/>
        </w:rPr>
        <w:t>Les données VMS sont exploitées par le Service National de Garde-Côtes et la cellule ministérielle de suivi. En cas de défaillance du VMS, les positions des navires sont transmises régulièrement par les capitaines et les inspecteurs embarqués.</w:t>
      </w:r>
    </w:p>
    <w:p w14:paraId="13A631B7" w14:textId="77777777" w:rsidR="00827114" w:rsidRPr="004E13E9" w:rsidRDefault="00827114" w:rsidP="000620A7">
      <w:pPr>
        <w:jc w:val="both"/>
        <w:rPr>
          <w:iCs/>
          <w:lang w:val="fr-FR"/>
        </w:rPr>
      </w:pPr>
    </w:p>
    <w:p w14:paraId="69CDE443" w14:textId="77777777" w:rsidR="00827114" w:rsidRPr="004E13E9" w:rsidRDefault="00827114" w:rsidP="000620A7">
      <w:pPr>
        <w:jc w:val="both"/>
        <w:rPr>
          <w:iCs/>
          <w:lang w:val="fr-FR"/>
        </w:rPr>
      </w:pPr>
      <w:r w:rsidRPr="004E13E9">
        <w:rPr>
          <w:iCs/>
          <w:lang w:val="fr-FR"/>
        </w:rPr>
        <w:t>(vi) Contrôle au retour aux ports de débarquement</w:t>
      </w:r>
    </w:p>
    <w:p w14:paraId="1ABAD3AE" w14:textId="77777777" w:rsidR="00827114" w:rsidRPr="004E13E9" w:rsidRDefault="00827114" w:rsidP="000620A7">
      <w:pPr>
        <w:jc w:val="both"/>
        <w:rPr>
          <w:iCs/>
          <w:lang w:val="fr-FR"/>
        </w:rPr>
      </w:pPr>
    </w:p>
    <w:p w14:paraId="0C577EEC" w14:textId="77777777" w:rsidR="00827114" w:rsidRPr="004E13E9" w:rsidRDefault="00827114" w:rsidP="000620A7">
      <w:pPr>
        <w:jc w:val="both"/>
        <w:rPr>
          <w:iCs/>
          <w:lang w:val="fr-FR"/>
        </w:rPr>
      </w:pPr>
      <w:r w:rsidRPr="004E13E9">
        <w:rPr>
          <w:iCs/>
          <w:lang w:val="fr-FR"/>
        </w:rPr>
        <w:t>Tous les thoniers senneurs sont inspectés à leur retour dans les ports désignés, par les inspecteurs de la pêche et les agents du Service National de Garde-Côtes. Le débarquement du thon rouge est autorisé uniquement dans les ports agréés.</w:t>
      </w:r>
    </w:p>
    <w:p w14:paraId="13ACECDE" w14:textId="77777777" w:rsidR="00827114" w:rsidRPr="004E13E9" w:rsidRDefault="00827114" w:rsidP="000620A7">
      <w:pPr>
        <w:jc w:val="both"/>
        <w:rPr>
          <w:iCs/>
          <w:lang w:val="fr-FR"/>
        </w:rPr>
      </w:pPr>
    </w:p>
    <w:p w14:paraId="6C07BEE9" w14:textId="77777777" w:rsidR="00827114" w:rsidRPr="004E13E9" w:rsidRDefault="00827114" w:rsidP="000620A7">
      <w:pPr>
        <w:jc w:val="both"/>
        <w:rPr>
          <w:iCs/>
          <w:lang w:val="fr-FR"/>
        </w:rPr>
      </w:pPr>
      <w:r w:rsidRPr="004E13E9">
        <w:rPr>
          <w:iCs/>
          <w:lang w:val="fr-FR"/>
        </w:rPr>
        <w:t>(vii) Croisement et analyse des données</w:t>
      </w:r>
    </w:p>
    <w:p w14:paraId="0033EEAE" w14:textId="77777777" w:rsidR="00827114" w:rsidRPr="004E13E9" w:rsidRDefault="00827114" w:rsidP="000620A7">
      <w:pPr>
        <w:jc w:val="both"/>
        <w:rPr>
          <w:iCs/>
          <w:lang w:val="fr-FR"/>
        </w:rPr>
      </w:pPr>
    </w:p>
    <w:p w14:paraId="63582A67" w14:textId="77777777" w:rsidR="00827114" w:rsidRPr="004E13E9" w:rsidRDefault="00827114" w:rsidP="000620A7">
      <w:pPr>
        <w:jc w:val="both"/>
        <w:rPr>
          <w:iCs/>
          <w:lang w:val="fr-FR"/>
        </w:rPr>
      </w:pPr>
      <w:r w:rsidRPr="004E13E9">
        <w:rPr>
          <w:iCs/>
          <w:lang w:val="fr-FR"/>
        </w:rPr>
        <w:t>Les données issues du VMS, des inspections embarquées, des rapports des capitaines et des observateurs-contrôleurs sont croisées afin d’assurer un suivi rigoureux des opérations et d’améliorer le dispositif de contrôle.</w:t>
      </w:r>
    </w:p>
    <w:p w14:paraId="485F9D2B" w14:textId="77777777" w:rsidR="00827114" w:rsidRPr="004E13E9" w:rsidRDefault="00827114" w:rsidP="000620A7">
      <w:pPr>
        <w:jc w:val="both"/>
        <w:rPr>
          <w:iCs/>
          <w:lang w:val="fr-FR"/>
        </w:rPr>
      </w:pPr>
    </w:p>
    <w:p w14:paraId="171D4421" w14:textId="77777777" w:rsidR="00827114" w:rsidRPr="004E13E9" w:rsidRDefault="00827114" w:rsidP="000620A7">
      <w:pPr>
        <w:jc w:val="both"/>
        <w:rPr>
          <w:iCs/>
          <w:lang w:val="fr-FR"/>
        </w:rPr>
      </w:pPr>
      <w:r w:rsidRPr="004E13E9">
        <w:rPr>
          <w:iCs/>
          <w:lang w:val="fr-FR"/>
        </w:rPr>
        <w:t>(viii) Renforcement du cadre législatif et réglementaire</w:t>
      </w:r>
    </w:p>
    <w:p w14:paraId="58CB60BB" w14:textId="77777777" w:rsidR="00827114" w:rsidRPr="004E13E9" w:rsidRDefault="00827114" w:rsidP="000620A7">
      <w:pPr>
        <w:jc w:val="both"/>
        <w:rPr>
          <w:iCs/>
          <w:lang w:val="fr-FR"/>
        </w:rPr>
      </w:pPr>
    </w:p>
    <w:p w14:paraId="0D4ACF5C" w14:textId="77777777" w:rsidR="00827114" w:rsidRPr="004E13E9" w:rsidRDefault="00827114" w:rsidP="000620A7">
      <w:pPr>
        <w:jc w:val="both"/>
        <w:rPr>
          <w:iCs/>
          <w:lang w:val="fr-FR"/>
        </w:rPr>
      </w:pPr>
      <w:r w:rsidRPr="004E13E9">
        <w:rPr>
          <w:iCs/>
          <w:lang w:val="fr-FR"/>
        </w:rPr>
        <w:t>La loi n°15-08 modifiant et complétant la loi n°01-11, ainsi que les articles 54 à 56 de l’arrêté du 24 février 2022, prévoient des sanctions dissuasives en cas d’infractions aux mesures de l’ICCAT.</w:t>
      </w:r>
    </w:p>
    <w:p w14:paraId="0A01C5B5" w14:textId="77777777" w:rsidR="00827114" w:rsidRPr="004E13E9" w:rsidRDefault="00827114" w:rsidP="000620A7">
      <w:pPr>
        <w:jc w:val="both"/>
        <w:rPr>
          <w:iCs/>
          <w:lang w:val="fr-FR"/>
        </w:rPr>
      </w:pPr>
    </w:p>
    <w:p w14:paraId="010A5699" w14:textId="77777777" w:rsidR="00827114" w:rsidRPr="004E13E9" w:rsidRDefault="00827114" w:rsidP="000620A7">
      <w:pPr>
        <w:jc w:val="both"/>
        <w:rPr>
          <w:iCs/>
          <w:lang w:val="fr-FR"/>
        </w:rPr>
      </w:pPr>
      <w:r w:rsidRPr="004E13E9">
        <w:rPr>
          <w:iCs/>
          <w:lang w:val="fr-FR"/>
        </w:rPr>
        <w:t>(ix) Renforcement des capacités des inspecteurs-observateurs</w:t>
      </w:r>
    </w:p>
    <w:p w14:paraId="04A8D4A6" w14:textId="77777777" w:rsidR="00827114" w:rsidRPr="004E13E9" w:rsidRDefault="00827114" w:rsidP="000620A7">
      <w:pPr>
        <w:jc w:val="both"/>
        <w:rPr>
          <w:iCs/>
          <w:lang w:val="fr-FR"/>
        </w:rPr>
      </w:pPr>
    </w:p>
    <w:p w14:paraId="5BF28619" w14:textId="77777777" w:rsidR="00827114" w:rsidRPr="004E13E9" w:rsidRDefault="00827114" w:rsidP="000620A7">
      <w:pPr>
        <w:jc w:val="both"/>
        <w:rPr>
          <w:iCs/>
          <w:lang w:val="fr-FR"/>
        </w:rPr>
      </w:pPr>
      <w:r w:rsidRPr="004E13E9">
        <w:rPr>
          <w:iCs/>
          <w:lang w:val="fr-FR"/>
        </w:rPr>
        <w:t>Des sessions de formation et de renforcement de capacités sont organisées au profit des inspecteurs-observateurs. Un guide de procédures harmonisé de suivi, de contrôle et d’inspection est mis à leur disposition.</w:t>
      </w:r>
    </w:p>
    <w:p w14:paraId="020F4F5A" w14:textId="77777777" w:rsidR="00827114" w:rsidRPr="004E13E9" w:rsidRDefault="00827114" w:rsidP="000620A7">
      <w:pPr>
        <w:jc w:val="both"/>
        <w:rPr>
          <w:iCs/>
          <w:lang w:val="fr-FR"/>
        </w:rPr>
      </w:pPr>
    </w:p>
    <w:p w14:paraId="2063D0E4" w14:textId="77777777" w:rsidR="00827114" w:rsidRPr="004E13E9" w:rsidRDefault="00827114" w:rsidP="00827114">
      <w:pPr>
        <w:ind w:left="426" w:hanging="426"/>
        <w:rPr>
          <w:b/>
          <w:lang w:val="fr-FR"/>
        </w:rPr>
      </w:pPr>
      <w:r w:rsidRPr="004E13E9">
        <w:rPr>
          <w:b/>
          <w:lang w:val="fr-FR"/>
        </w:rPr>
        <w:t>6.</w:t>
      </w:r>
      <w:r w:rsidRPr="004E13E9">
        <w:rPr>
          <w:b/>
          <w:lang w:val="fr-FR"/>
        </w:rPr>
        <w:tab/>
        <w:t>Autres</w:t>
      </w:r>
    </w:p>
    <w:p w14:paraId="30518037" w14:textId="77777777" w:rsidR="00827114" w:rsidRPr="004E13E9" w:rsidRDefault="00827114" w:rsidP="00827114">
      <w:pPr>
        <w:rPr>
          <w:b/>
          <w:lang w:val="fr-FR"/>
        </w:rPr>
      </w:pPr>
    </w:p>
    <w:p w14:paraId="41B0901A" w14:textId="77777777" w:rsidR="00827114" w:rsidRPr="004E13E9" w:rsidRDefault="00827114" w:rsidP="00827114">
      <w:pPr>
        <w:rPr>
          <w:i/>
          <w:lang w:val="fr-FR"/>
        </w:rPr>
      </w:pPr>
      <w:r w:rsidRPr="004E13E9">
        <w:rPr>
          <w:lang w:val="fr-FR"/>
        </w:rPr>
        <w:t>Non applicable.</w:t>
      </w:r>
      <w:r w:rsidRPr="004E13E9">
        <w:rPr>
          <w:lang w:val="fr-FR"/>
        </w:rPr>
        <w:br w:type="page"/>
      </w:r>
    </w:p>
    <w:p w14:paraId="2D951248" w14:textId="77777777" w:rsidR="00827114" w:rsidRPr="004E13E9" w:rsidRDefault="00827114" w:rsidP="00827114">
      <w:pPr>
        <w:rPr>
          <w:i/>
          <w:lang w:val="fr-FR"/>
        </w:rPr>
        <w:sectPr w:rsidR="00827114" w:rsidRPr="004E13E9" w:rsidSect="00827114">
          <w:headerReference w:type="default" r:id="rId79"/>
          <w:headerReference w:type="first" r:id="rId80"/>
          <w:footerReference w:type="first" r:id="rId81"/>
          <w:pgSz w:w="11906" w:h="16838" w:code="9"/>
          <w:pgMar w:top="1418" w:right="1418" w:bottom="1418" w:left="1418" w:header="851" w:footer="1134" w:gutter="0"/>
          <w:cols w:space="425"/>
          <w:docGrid w:linePitch="360"/>
        </w:sectPr>
      </w:pPr>
    </w:p>
    <w:p w14:paraId="4AEB3005" w14:textId="77777777" w:rsidR="00827114" w:rsidRPr="004E13E9" w:rsidRDefault="00827114" w:rsidP="00827114">
      <w:pPr>
        <w:rPr>
          <w:b/>
          <w:bCs/>
          <w:lang w:val="fr-FR"/>
        </w:rPr>
      </w:pPr>
      <w:r w:rsidRPr="004E13E9">
        <w:rPr>
          <w:b/>
          <w:bCs/>
          <w:lang w:val="fr-FR"/>
        </w:rPr>
        <w:lastRenderedPageBreak/>
        <w:t>Tableau de la capacité</w:t>
      </w:r>
    </w:p>
    <w:tbl>
      <w:tblPr>
        <w:tblW w:w="14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992"/>
        <w:gridCol w:w="567"/>
        <w:gridCol w:w="489"/>
        <w:gridCol w:w="645"/>
        <w:gridCol w:w="709"/>
        <w:gridCol w:w="708"/>
        <w:gridCol w:w="709"/>
        <w:gridCol w:w="623"/>
        <w:gridCol w:w="253"/>
        <w:gridCol w:w="716"/>
        <w:gridCol w:w="808"/>
        <w:gridCol w:w="719"/>
        <w:gridCol w:w="738"/>
        <w:gridCol w:w="963"/>
        <w:gridCol w:w="746"/>
        <w:gridCol w:w="853"/>
      </w:tblGrid>
      <w:tr w:rsidR="00827114" w:rsidRPr="004E13E9" w14:paraId="6B351656" w14:textId="77777777" w:rsidTr="000D1853">
        <w:trPr>
          <w:trHeight w:val="20"/>
        </w:trPr>
        <w:tc>
          <w:tcPr>
            <w:tcW w:w="3256" w:type="dxa"/>
            <w:noWrap/>
            <w:vAlign w:val="center"/>
            <w:hideMark/>
          </w:tcPr>
          <w:p w14:paraId="3B9DFDD1" w14:textId="77777777" w:rsidR="00827114" w:rsidRPr="004E13E9" w:rsidRDefault="00827114" w:rsidP="000D1853">
            <w:pPr>
              <w:spacing w:line="276" w:lineRule="auto"/>
              <w:jc w:val="center"/>
              <w:rPr>
                <w:rFonts w:eastAsia="Times New Roman" w:cs="Calibri"/>
                <w:i/>
                <w:iCs/>
                <w:kern w:val="2"/>
                <w:sz w:val="16"/>
                <w:szCs w:val="16"/>
                <w:lang w:eastAsia="ko-KR"/>
                <w14:ligatures w14:val="standardContextual"/>
              </w:rPr>
            </w:pPr>
            <w:r w:rsidRPr="004E13E9">
              <w:rPr>
                <w:rFonts w:eastAsia="Malgun Gothic"/>
                <w:i/>
                <w:kern w:val="2"/>
                <w:sz w:val="16"/>
                <w:szCs w:val="16"/>
                <w:lang w:eastAsia="ko-KR"/>
                <w14:ligatures w14:val="standardContextual"/>
              </w:rPr>
              <w:t xml:space="preserve">Type de </w:t>
            </w:r>
            <w:proofErr w:type="spellStart"/>
            <w:r w:rsidRPr="004E13E9">
              <w:rPr>
                <w:rFonts w:eastAsia="Malgun Gothic"/>
                <w:i/>
                <w:kern w:val="2"/>
                <w:sz w:val="16"/>
                <w:szCs w:val="16"/>
                <w:lang w:eastAsia="ko-KR"/>
                <w14:ligatures w14:val="standardContextual"/>
              </w:rPr>
              <w:t>navires</w:t>
            </w:r>
            <w:proofErr w:type="spellEnd"/>
            <w:r w:rsidRPr="004E13E9">
              <w:rPr>
                <w:rFonts w:eastAsia="Malgun Gothic"/>
                <w:i/>
                <w:kern w:val="2"/>
                <w:sz w:val="16"/>
                <w:szCs w:val="16"/>
                <w:lang w:eastAsia="ko-KR"/>
                <w14:ligatures w14:val="standardContextual"/>
              </w:rPr>
              <w:t xml:space="preserve"> </w:t>
            </w:r>
            <w:proofErr w:type="spellStart"/>
            <w:r w:rsidRPr="004E13E9">
              <w:rPr>
                <w:rFonts w:eastAsia="Malgun Gothic"/>
                <w:i/>
                <w:kern w:val="2"/>
                <w:sz w:val="16"/>
                <w:szCs w:val="16"/>
                <w:lang w:eastAsia="ko-KR"/>
                <w14:ligatures w14:val="standardContextual"/>
              </w:rPr>
              <w:t>thoniers</w:t>
            </w:r>
            <w:proofErr w:type="spellEnd"/>
          </w:p>
        </w:tc>
        <w:tc>
          <w:tcPr>
            <w:tcW w:w="992" w:type="dxa"/>
            <w:noWrap/>
            <w:vAlign w:val="center"/>
            <w:hideMark/>
          </w:tcPr>
          <w:p w14:paraId="371F1823" w14:textId="77777777" w:rsidR="00827114" w:rsidRPr="004E13E9" w:rsidRDefault="00827114" w:rsidP="000D1853">
            <w:pPr>
              <w:spacing w:line="276" w:lineRule="auto"/>
              <w:jc w:val="center"/>
              <w:rPr>
                <w:rFonts w:eastAsia="Times New Roman" w:cs="Calibri"/>
                <w:kern w:val="2"/>
                <w:sz w:val="16"/>
                <w:szCs w:val="16"/>
                <w:lang w:eastAsia="ja-JP"/>
                <w14:ligatures w14:val="standardContextual"/>
              </w:rPr>
            </w:pPr>
          </w:p>
        </w:tc>
        <w:tc>
          <w:tcPr>
            <w:tcW w:w="1701" w:type="dxa"/>
            <w:gridSpan w:val="3"/>
          </w:tcPr>
          <w:p w14:paraId="3EEDCF0E" w14:textId="77777777" w:rsidR="00827114" w:rsidRPr="004E13E9" w:rsidRDefault="00827114" w:rsidP="000D1853">
            <w:pPr>
              <w:spacing w:line="276" w:lineRule="auto"/>
              <w:jc w:val="center"/>
              <w:rPr>
                <w:rFonts w:eastAsia="Times New Roman" w:cs="Calibri"/>
                <w:i/>
                <w:iCs/>
                <w:kern w:val="2"/>
                <w:sz w:val="16"/>
                <w:szCs w:val="16"/>
                <w:lang w:eastAsia="ko-KR"/>
                <w14:ligatures w14:val="standardContextual"/>
              </w:rPr>
            </w:pPr>
            <w:r w:rsidRPr="004E13E9">
              <w:rPr>
                <w:rFonts w:eastAsia="Malgun Gothic"/>
                <w:i/>
                <w:kern w:val="2"/>
                <w:sz w:val="16"/>
                <w:szCs w:val="16"/>
                <w:lang w:eastAsia="ko-KR"/>
                <w14:ligatures w14:val="standardContextual"/>
              </w:rPr>
              <w:t xml:space="preserve">Année de </w:t>
            </w:r>
            <w:proofErr w:type="spellStart"/>
            <w:r w:rsidRPr="004E13E9">
              <w:rPr>
                <w:rFonts w:eastAsia="Malgun Gothic"/>
                <w:i/>
                <w:kern w:val="2"/>
                <w:sz w:val="16"/>
                <w:szCs w:val="16"/>
                <w:lang w:eastAsia="ko-KR"/>
                <w14:ligatures w14:val="standardContextual"/>
              </w:rPr>
              <w:t>réf</w:t>
            </w:r>
            <w:proofErr w:type="spellEnd"/>
            <w:r w:rsidRPr="004E13E9">
              <w:rPr>
                <w:rFonts w:eastAsia="Malgun Gothic"/>
                <w:i/>
                <w:kern w:val="2"/>
                <w:sz w:val="16"/>
                <w:szCs w:val="16"/>
                <w:lang w:eastAsia="ko-KR"/>
                <w14:ligatures w14:val="standardContextual"/>
              </w:rPr>
              <w:t>.</w:t>
            </w:r>
          </w:p>
        </w:tc>
        <w:tc>
          <w:tcPr>
            <w:tcW w:w="2749" w:type="dxa"/>
            <w:gridSpan w:val="4"/>
            <w:vAlign w:val="center"/>
          </w:tcPr>
          <w:p w14:paraId="442D2BD8" w14:textId="77777777" w:rsidR="00827114" w:rsidRPr="004E13E9" w:rsidRDefault="00827114" w:rsidP="000D1853">
            <w:pPr>
              <w:spacing w:line="276" w:lineRule="auto"/>
              <w:jc w:val="center"/>
              <w:rPr>
                <w:rFonts w:eastAsia="Times New Roman"/>
                <w:kern w:val="2"/>
                <w:sz w:val="16"/>
                <w:szCs w:val="16"/>
                <w:lang w:eastAsia="ko-KR"/>
                <w14:ligatures w14:val="standardContextual"/>
              </w:rPr>
            </w:pPr>
            <w:r w:rsidRPr="004E13E9">
              <w:rPr>
                <w:rFonts w:eastAsia="Malgun Gothic"/>
                <w:i/>
                <w:kern w:val="2"/>
                <w:sz w:val="16"/>
                <w:szCs w:val="16"/>
                <w:lang w:eastAsia="ko-KR"/>
                <w14:ligatures w14:val="standardContextual"/>
              </w:rPr>
              <w:t xml:space="preserve">Nombre de </w:t>
            </w:r>
            <w:proofErr w:type="spellStart"/>
            <w:r w:rsidRPr="004E13E9">
              <w:rPr>
                <w:rFonts w:eastAsia="Malgun Gothic"/>
                <w:i/>
                <w:kern w:val="2"/>
                <w:sz w:val="16"/>
                <w:szCs w:val="16"/>
                <w:lang w:eastAsia="ko-KR"/>
                <w14:ligatures w14:val="standardContextual"/>
              </w:rPr>
              <w:t>navires</w:t>
            </w:r>
            <w:proofErr w:type="spellEnd"/>
          </w:p>
        </w:tc>
        <w:tc>
          <w:tcPr>
            <w:tcW w:w="253" w:type="dxa"/>
            <w:shd w:val="clear" w:color="auto" w:fill="D9D9D9"/>
            <w:vAlign w:val="center"/>
            <w:hideMark/>
          </w:tcPr>
          <w:p w14:paraId="13F7DC8E" w14:textId="77777777" w:rsidR="00827114" w:rsidRPr="004E13E9" w:rsidRDefault="00827114" w:rsidP="000D1853">
            <w:pPr>
              <w:spacing w:line="276" w:lineRule="auto"/>
              <w:jc w:val="center"/>
              <w:rPr>
                <w:rFonts w:eastAsia="Times New Roman"/>
                <w:kern w:val="2"/>
                <w:sz w:val="16"/>
                <w:szCs w:val="16"/>
                <w:lang w:eastAsia="ja-JP"/>
                <w14:ligatures w14:val="standardContextual"/>
              </w:rPr>
            </w:pPr>
          </w:p>
        </w:tc>
        <w:tc>
          <w:tcPr>
            <w:tcW w:w="2243" w:type="dxa"/>
            <w:gridSpan w:val="3"/>
          </w:tcPr>
          <w:p w14:paraId="26D4FA52" w14:textId="77777777" w:rsidR="00827114" w:rsidRPr="004E13E9" w:rsidRDefault="00827114" w:rsidP="000D1853">
            <w:pPr>
              <w:spacing w:line="276" w:lineRule="auto"/>
              <w:jc w:val="center"/>
              <w:rPr>
                <w:rFonts w:eastAsia="Times New Roman" w:cs="Calibri"/>
                <w:i/>
                <w:iCs/>
                <w:kern w:val="2"/>
                <w:sz w:val="16"/>
                <w:szCs w:val="16"/>
                <w:lang w:eastAsia="ko-KR"/>
                <w14:ligatures w14:val="standardContextual"/>
              </w:rPr>
            </w:pPr>
            <w:r w:rsidRPr="004E13E9">
              <w:rPr>
                <w:rFonts w:eastAsia="Malgun Gothic"/>
                <w:i/>
                <w:kern w:val="2"/>
                <w:sz w:val="16"/>
                <w:szCs w:val="16"/>
                <w:lang w:eastAsia="ko-KR"/>
                <w14:ligatures w14:val="standardContextual"/>
              </w:rPr>
              <w:t xml:space="preserve">Année de </w:t>
            </w:r>
            <w:proofErr w:type="spellStart"/>
            <w:r w:rsidRPr="004E13E9">
              <w:rPr>
                <w:rFonts w:eastAsia="Malgun Gothic"/>
                <w:i/>
                <w:kern w:val="2"/>
                <w:sz w:val="16"/>
                <w:szCs w:val="16"/>
                <w:lang w:eastAsia="ko-KR"/>
                <w14:ligatures w14:val="standardContextual"/>
              </w:rPr>
              <w:t>réf</w:t>
            </w:r>
            <w:proofErr w:type="spellEnd"/>
            <w:r w:rsidRPr="004E13E9">
              <w:rPr>
                <w:rFonts w:eastAsia="Malgun Gothic"/>
                <w:i/>
                <w:kern w:val="2"/>
                <w:sz w:val="16"/>
                <w:szCs w:val="16"/>
                <w:lang w:eastAsia="ko-KR"/>
                <w14:ligatures w14:val="standardContextual"/>
              </w:rPr>
              <w:t>.</w:t>
            </w:r>
          </w:p>
        </w:tc>
        <w:tc>
          <w:tcPr>
            <w:tcW w:w="3300" w:type="dxa"/>
            <w:gridSpan w:val="4"/>
          </w:tcPr>
          <w:p w14:paraId="5393E13F" w14:textId="77777777" w:rsidR="00827114" w:rsidRPr="004E13E9" w:rsidRDefault="00827114" w:rsidP="000D1853">
            <w:pPr>
              <w:spacing w:line="276" w:lineRule="auto"/>
              <w:jc w:val="center"/>
              <w:rPr>
                <w:rFonts w:eastAsia="Times New Roman" w:cs="Calibri"/>
                <w:i/>
                <w:iCs/>
                <w:kern w:val="2"/>
                <w:sz w:val="16"/>
                <w:szCs w:val="16"/>
                <w:lang w:eastAsia="ko-KR"/>
                <w14:ligatures w14:val="standardContextual"/>
              </w:rPr>
            </w:pPr>
            <w:proofErr w:type="spellStart"/>
            <w:r w:rsidRPr="004E13E9">
              <w:rPr>
                <w:rFonts w:eastAsia="Malgun Gothic"/>
                <w:i/>
                <w:kern w:val="2"/>
                <w:sz w:val="16"/>
                <w:szCs w:val="16"/>
                <w:lang w:eastAsia="ko-KR"/>
                <w14:ligatures w14:val="standardContextual"/>
              </w:rPr>
              <w:t>Capacité</w:t>
            </w:r>
            <w:proofErr w:type="spellEnd"/>
            <w:r w:rsidRPr="004E13E9">
              <w:rPr>
                <w:rFonts w:eastAsia="Malgun Gothic"/>
                <w:i/>
                <w:kern w:val="2"/>
                <w:sz w:val="16"/>
                <w:szCs w:val="16"/>
                <w:lang w:eastAsia="ko-KR"/>
                <w14:ligatures w14:val="standardContextual"/>
              </w:rPr>
              <w:t xml:space="preserve"> de </w:t>
            </w:r>
            <w:proofErr w:type="spellStart"/>
            <w:r w:rsidRPr="004E13E9">
              <w:rPr>
                <w:rFonts w:eastAsia="Malgun Gothic"/>
                <w:i/>
                <w:kern w:val="2"/>
                <w:sz w:val="16"/>
                <w:szCs w:val="16"/>
                <w:lang w:eastAsia="ko-KR"/>
                <w14:ligatures w14:val="standardContextual"/>
              </w:rPr>
              <w:t>pêche</w:t>
            </w:r>
            <w:proofErr w:type="spellEnd"/>
          </w:p>
        </w:tc>
      </w:tr>
      <w:tr w:rsidR="00827114" w:rsidRPr="004E13E9" w14:paraId="181B0D8E" w14:textId="77777777" w:rsidTr="000D1853">
        <w:trPr>
          <w:trHeight w:val="20"/>
        </w:trPr>
        <w:tc>
          <w:tcPr>
            <w:tcW w:w="3256" w:type="dxa"/>
            <w:noWrap/>
            <w:vAlign w:val="center"/>
            <w:hideMark/>
          </w:tcPr>
          <w:p w14:paraId="6EA6C305"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Type</w:t>
            </w:r>
          </w:p>
        </w:tc>
        <w:tc>
          <w:tcPr>
            <w:tcW w:w="992" w:type="dxa"/>
            <w:vAlign w:val="center"/>
            <w:hideMark/>
          </w:tcPr>
          <w:p w14:paraId="0E9498AC" w14:textId="77777777" w:rsidR="00827114" w:rsidRPr="004E13E9" w:rsidRDefault="00827114" w:rsidP="000D1853">
            <w:pPr>
              <w:spacing w:line="276" w:lineRule="auto"/>
              <w:jc w:val="center"/>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Meilleurs taux de capture définis par le SCRS en 2009 (t)</w:t>
            </w:r>
          </w:p>
        </w:tc>
        <w:tc>
          <w:tcPr>
            <w:tcW w:w="567" w:type="dxa"/>
            <w:vAlign w:val="center"/>
          </w:tcPr>
          <w:p w14:paraId="75B1A9B7" w14:textId="77777777" w:rsidR="00827114" w:rsidRPr="004E13E9" w:rsidRDefault="00827114" w:rsidP="000D1853">
            <w:pPr>
              <w:spacing w:line="276" w:lineRule="auto"/>
              <w:jc w:val="center"/>
              <w:rPr>
                <w:rFonts w:eastAsia="Times New Roman" w:cs="Calibri"/>
                <w:kern w:val="2"/>
                <w:sz w:val="14"/>
                <w:szCs w:val="14"/>
                <w:lang w:eastAsia="ko-KR"/>
                <w14:ligatures w14:val="standardContextual"/>
              </w:rPr>
            </w:pPr>
            <w:r w:rsidRPr="004E13E9">
              <w:rPr>
                <w:rFonts w:eastAsia="Malgun Gothic"/>
                <w:kern w:val="2"/>
                <w:sz w:val="14"/>
                <w:szCs w:val="14"/>
                <w:lang w:eastAsia="ko-KR"/>
                <w14:ligatures w14:val="standardContextual"/>
              </w:rPr>
              <w:t>2006</w:t>
            </w:r>
          </w:p>
        </w:tc>
        <w:tc>
          <w:tcPr>
            <w:tcW w:w="489" w:type="dxa"/>
            <w:noWrap/>
            <w:vAlign w:val="center"/>
            <w:hideMark/>
          </w:tcPr>
          <w:p w14:paraId="3BC8CA44" w14:textId="77777777" w:rsidR="00827114" w:rsidRPr="004E13E9" w:rsidRDefault="00827114" w:rsidP="000D1853">
            <w:pPr>
              <w:spacing w:line="276" w:lineRule="auto"/>
              <w:jc w:val="center"/>
              <w:rPr>
                <w:rFonts w:eastAsia="Times New Roman" w:cs="Calibri"/>
                <w:kern w:val="2"/>
                <w:sz w:val="14"/>
                <w:szCs w:val="14"/>
                <w:lang w:eastAsia="ko-KR"/>
                <w14:ligatures w14:val="standardContextual"/>
              </w:rPr>
            </w:pPr>
            <w:r w:rsidRPr="004E13E9">
              <w:rPr>
                <w:rFonts w:eastAsia="Malgun Gothic"/>
                <w:kern w:val="2"/>
                <w:sz w:val="14"/>
                <w:szCs w:val="14"/>
                <w:lang w:eastAsia="ko-KR"/>
                <w14:ligatures w14:val="standardContextual"/>
              </w:rPr>
              <w:t>2008</w:t>
            </w:r>
          </w:p>
        </w:tc>
        <w:tc>
          <w:tcPr>
            <w:tcW w:w="645" w:type="dxa"/>
            <w:vAlign w:val="center"/>
            <w:hideMark/>
          </w:tcPr>
          <w:p w14:paraId="2104650D" w14:textId="77777777" w:rsidR="00827114" w:rsidRPr="004E13E9" w:rsidRDefault="00827114" w:rsidP="000D1853">
            <w:pPr>
              <w:spacing w:line="276" w:lineRule="auto"/>
              <w:jc w:val="center"/>
              <w:rPr>
                <w:rFonts w:eastAsia="Times New Roman" w:cs="Calibri"/>
                <w:kern w:val="2"/>
                <w:sz w:val="14"/>
                <w:szCs w:val="14"/>
                <w:lang w:eastAsia="ko-KR"/>
                <w14:ligatures w14:val="standardContextual"/>
              </w:rPr>
            </w:pPr>
            <w:r w:rsidRPr="004E13E9">
              <w:rPr>
                <w:rFonts w:eastAsia="Malgun Gothic"/>
                <w:kern w:val="2"/>
                <w:sz w:val="14"/>
                <w:szCs w:val="14"/>
                <w:lang w:eastAsia="ko-KR"/>
                <w14:ligatures w14:val="standardContextual"/>
              </w:rPr>
              <w:t>2018</w:t>
            </w:r>
          </w:p>
        </w:tc>
        <w:tc>
          <w:tcPr>
            <w:tcW w:w="709" w:type="dxa"/>
            <w:vAlign w:val="center"/>
            <w:hideMark/>
          </w:tcPr>
          <w:p w14:paraId="40A56F1A" w14:textId="77777777" w:rsidR="00827114" w:rsidRPr="004E13E9" w:rsidRDefault="00827114" w:rsidP="000D1853">
            <w:pPr>
              <w:spacing w:line="276" w:lineRule="auto"/>
              <w:jc w:val="center"/>
              <w:rPr>
                <w:rFonts w:eastAsia="Times New Roman" w:cs="Calibri"/>
                <w:kern w:val="2"/>
                <w:sz w:val="14"/>
                <w:szCs w:val="14"/>
                <w:lang w:eastAsia="ko-KR"/>
                <w14:ligatures w14:val="standardContextual"/>
              </w:rPr>
            </w:pPr>
            <w:r w:rsidRPr="004E13E9">
              <w:rPr>
                <w:rFonts w:eastAsia="Malgun Gothic"/>
                <w:kern w:val="2"/>
                <w:sz w:val="14"/>
                <w:szCs w:val="14"/>
                <w:lang w:eastAsia="ko-KR"/>
                <w14:ligatures w14:val="standardContextual"/>
              </w:rPr>
              <w:t>2023</w:t>
            </w:r>
          </w:p>
        </w:tc>
        <w:tc>
          <w:tcPr>
            <w:tcW w:w="708" w:type="dxa"/>
            <w:vAlign w:val="center"/>
            <w:hideMark/>
          </w:tcPr>
          <w:p w14:paraId="25A407F2" w14:textId="77777777" w:rsidR="00827114" w:rsidRPr="004E13E9" w:rsidRDefault="00827114" w:rsidP="000D1853">
            <w:pPr>
              <w:spacing w:line="276" w:lineRule="auto"/>
              <w:jc w:val="center"/>
              <w:rPr>
                <w:rFonts w:eastAsia="Times New Roman" w:cs="Calibri"/>
                <w:kern w:val="2"/>
                <w:sz w:val="14"/>
                <w:szCs w:val="14"/>
                <w:lang w:eastAsia="ko-KR"/>
                <w14:ligatures w14:val="standardContextual"/>
              </w:rPr>
            </w:pPr>
            <w:r w:rsidRPr="004E13E9">
              <w:rPr>
                <w:rFonts w:eastAsia="Malgun Gothic"/>
                <w:kern w:val="2"/>
                <w:sz w:val="14"/>
                <w:szCs w:val="14"/>
                <w:lang w:eastAsia="ko-KR"/>
                <w14:ligatures w14:val="standardContextual"/>
              </w:rPr>
              <w:t>2024</w:t>
            </w:r>
          </w:p>
        </w:tc>
        <w:tc>
          <w:tcPr>
            <w:tcW w:w="709" w:type="dxa"/>
            <w:vAlign w:val="center"/>
          </w:tcPr>
          <w:p w14:paraId="20D19E0A" w14:textId="77777777" w:rsidR="00827114" w:rsidRPr="004E13E9" w:rsidRDefault="00827114" w:rsidP="000D1853">
            <w:pPr>
              <w:spacing w:line="276" w:lineRule="auto"/>
              <w:jc w:val="center"/>
              <w:rPr>
                <w:rFonts w:eastAsia="Times New Roman" w:cs="Calibri"/>
                <w:kern w:val="2"/>
                <w:sz w:val="14"/>
                <w:szCs w:val="14"/>
                <w:lang w:eastAsia="ko-KR"/>
                <w14:ligatures w14:val="standardContextual"/>
              </w:rPr>
            </w:pPr>
            <w:r w:rsidRPr="004E13E9">
              <w:rPr>
                <w:rFonts w:eastAsia="Malgun Gothic"/>
                <w:kern w:val="2"/>
                <w:sz w:val="14"/>
                <w:szCs w:val="14"/>
                <w:lang w:eastAsia="ko-KR"/>
                <w14:ligatures w14:val="standardContextual"/>
              </w:rPr>
              <w:t>2025</w:t>
            </w:r>
          </w:p>
        </w:tc>
        <w:tc>
          <w:tcPr>
            <w:tcW w:w="623" w:type="dxa"/>
            <w:vAlign w:val="center"/>
          </w:tcPr>
          <w:p w14:paraId="24A8B848" w14:textId="77777777" w:rsidR="00827114" w:rsidRPr="004E13E9" w:rsidRDefault="00827114" w:rsidP="000D1853">
            <w:pPr>
              <w:spacing w:line="276" w:lineRule="auto"/>
              <w:jc w:val="center"/>
              <w:rPr>
                <w:rFonts w:eastAsia="Times New Roman" w:cs="Calibri"/>
                <w:kern w:val="2"/>
                <w:sz w:val="14"/>
                <w:szCs w:val="14"/>
                <w:lang w:eastAsia="ko-KR"/>
                <w14:ligatures w14:val="standardContextual"/>
              </w:rPr>
            </w:pPr>
            <w:r w:rsidRPr="004E13E9">
              <w:rPr>
                <w:rFonts w:eastAsia="Malgun Gothic"/>
                <w:kern w:val="2"/>
                <w:sz w:val="14"/>
                <w:szCs w:val="14"/>
                <w:lang w:eastAsia="ko-KR"/>
                <w14:ligatures w14:val="standardContextual"/>
              </w:rPr>
              <w:t>2026</w:t>
            </w:r>
          </w:p>
        </w:tc>
        <w:tc>
          <w:tcPr>
            <w:tcW w:w="253" w:type="dxa"/>
            <w:shd w:val="clear" w:color="000000" w:fill="D9D9D9"/>
            <w:vAlign w:val="center"/>
            <w:hideMark/>
          </w:tcPr>
          <w:p w14:paraId="77B2630B" w14:textId="77777777" w:rsidR="00827114" w:rsidRPr="004E13E9" w:rsidRDefault="00827114" w:rsidP="000D1853">
            <w:pPr>
              <w:spacing w:line="276" w:lineRule="auto"/>
              <w:jc w:val="center"/>
              <w:rPr>
                <w:rFonts w:eastAsia="Times New Roman" w:cs="Calibri"/>
                <w:kern w:val="2"/>
                <w:sz w:val="14"/>
                <w:szCs w:val="14"/>
                <w:lang w:eastAsia="ja-JP"/>
                <w14:ligatures w14:val="standardContextual"/>
              </w:rPr>
            </w:pPr>
          </w:p>
        </w:tc>
        <w:tc>
          <w:tcPr>
            <w:tcW w:w="716" w:type="dxa"/>
            <w:vAlign w:val="center"/>
          </w:tcPr>
          <w:p w14:paraId="118E8261" w14:textId="77777777" w:rsidR="00827114" w:rsidRPr="004E13E9" w:rsidRDefault="00827114" w:rsidP="000D1853">
            <w:pPr>
              <w:spacing w:line="276" w:lineRule="auto"/>
              <w:jc w:val="center"/>
              <w:rPr>
                <w:rFonts w:eastAsia="Times New Roman" w:cs="Calibri"/>
                <w:kern w:val="2"/>
                <w:sz w:val="14"/>
                <w:szCs w:val="14"/>
                <w:lang w:eastAsia="ko-KR"/>
                <w14:ligatures w14:val="standardContextual"/>
              </w:rPr>
            </w:pPr>
            <w:r w:rsidRPr="004E13E9">
              <w:rPr>
                <w:rFonts w:eastAsia="Malgun Gothic"/>
                <w:kern w:val="2"/>
                <w:sz w:val="14"/>
                <w:szCs w:val="14"/>
                <w:lang w:eastAsia="ko-KR"/>
                <w14:ligatures w14:val="standardContextual"/>
              </w:rPr>
              <w:t>2006</w:t>
            </w:r>
          </w:p>
        </w:tc>
        <w:tc>
          <w:tcPr>
            <w:tcW w:w="808" w:type="dxa"/>
            <w:vAlign w:val="center"/>
            <w:hideMark/>
          </w:tcPr>
          <w:p w14:paraId="232C6D93" w14:textId="77777777" w:rsidR="00827114" w:rsidRPr="004E13E9" w:rsidRDefault="00827114" w:rsidP="000D1853">
            <w:pPr>
              <w:spacing w:line="276" w:lineRule="auto"/>
              <w:jc w:val="center"/>
              <w:rPr>
                <w:rFonts w:eastAsia="Times New Roman" w:cs="Calibri"/>
                <w:kern w:val="2"/>
                <w:sz w:val="14"/>
                <w:szCs w:val="14"/>
                <w:lang w:eastAsia="ko-KR"/>
                <w14:ligatures w14:val="standardContextual"/>
              </w:rPr>
            </w:pPr>
            <w:r w:rsidRPr="004E13E9">
              <w:rPr>
                <w:rFonts w:eastAsia="Malgun Gothic"/>
                <w:kern w:val="2"/>
                <w:sz w:val="14"/>
                <w:szCs w:val="14"/>
                <w:lang w:eastAsia="ko-KR"/>
                <w14:ligatures w14:val="standardContextual"/>
              </w:rPr>
              <w:t>2008</w:t>
            </w:r>
          </w:p>
        </w:tc>
        <w:tc>
          <w:tcPr>
            <w:tcW w:w="719" w:type="dxa"/>
            <w:vAlign w:val="center"/>
            <w:hideMark/>
          </w:tcPr>
          <w:p w14:paraId="7A746BED" w14:textId="77777777" w:rsidR="00827114" w:rsidRPr="004E13E9" w:rsidRDefault="00827114" w:rsidP="000D1853">
            <w:pPr>
              <w:spacing w:line="276" w:lineRule="auto"/>
              <w:jc w:val="center"/>
              <w:rPr>
                <w:rFonts w:eastAsia="Times New Roman" w:cs="Calibri"/>
                <w:kern w:val="2"/>
                <w:sz w:val="14"/>
                <w:szCs w:val="14"/>
                <w:lang w:eastAsia="ko-KR"/>
                <w14:ligatures w14:val="standardContextual"/>
              </w:rPr>
            </w:pPr>
            <w:r w:rsidRPr="004E13E9">
              <w:rPr>
                <w:rFonts w:eastAsia="Malgun Gothic"/>
                <w:kern w:val="2"/>
                <w:sz w:val="14"/>
                <w:szCs w:val="14"/>
                <w:lang w:eastAsia="ko-KR"/>
                <w14:ligatures w14:val="standardContextual"/>
              </w:rPr>
              <w:t>2018</w:t>
            </w:r>
          </w:p>
        </w:tc>
        <w:tc>
          <w:tcPr>
            <w:tcW w:w="738" w:type="dxa"/>
            <w:vAlign w:val="center"/>
            <w:hideMark/>
          </w:tcPr>
          <w:p w14:paraId="5F5D66E5" w14:textId="77777777" w:rsidR="00827114" w:rsidRPr="004E13E9" w:rsidRDefault="00827114" w:rsidP="000D1853">
            <w:pPr>
              <w:spacing w:line="276" w:lineRule="auto"/>
              <w:jc w:val="center"/>
              <w:rPr>
                <w:rFonts w:eastAsia="Times New Roman" w:cs="Calibri"/>
                <w:kern w:val="2"/>
                <w:sz w:val="14"/>
                <w:szCs w:val="14"/>
                <w:lang w:eastAsia="ko-KR"/>
                <w14:ligatures w14:val="standardContextual"/>
              </w:rPr>
            </w:pPr>
            <w:r w:rsidRPr="004E13E9">
              <w:rPr>
                <w:rFonts w:eastAsia="Malgun Gothic"/>
                <w:kern w:val="2"/>
                <w:sz w:val="14"/>
                <w:szCs w:val="14"/>
                <w:lang w:eastAsia="ko-KR"/>
                <w14:ligatures w14:val="standardContextual"/>
              </w:rPr>
              <w:t>2023</w:t>
            </w:r>
          </w:p>
        </w:tc>
        <w:tc>
          <w:tcPr>
            <w:tcW w:w="963" w:type="dxa"/>
            <w:vAlign w:val="center"/>
            <w:hideMark/>
          </w:tcPr>
          <w:p w14:paraId="1D414C84" w14:textId="77777777" w:rsidR="00827114" w:rsidRPr="004E13E9" w:rsidRDefault="00827114" w:rsidP="000D1853">
            <w:pPr>
              <w:spacing w:line="276" w:lineRule="auto"/>
              <w:jc w:val="center"/>
              <w:rPr>
                <w:rFonts w:eastAsia="Times New Roman" w:cs="Calibri"/>
                <w:kern w:val="2"/>
                <w:sz w:val="14"/>
                <w:szCs w:val="14"/>
                <w:lang w:eastAsia="ko-KR"/>
                <w14:ligatures w14:val="standardContextual"/>
              </w:rPr>
            </w:pPr>
            <w:r w:rsidRPr="004E13E9">
              <w:rPr>
                <w:rFonts w:eastAsia="Malgun Gothic"/>
                <w:kern w:val="2"/>
                <w:sz w:val="14"/>
                <w:szCs w:val="14"/>
                <w:lang w:eastAsia="ko-KR"/>
                <w14:ligatures w14:val="standardContextual"/>
              </w:rPr>
              <w:t>2024</w:t>
            </w:r>
          </w:p>
        </w:tc>
        <w:tc>
          <w:tcPr>
            <w:tcW w:w="746" w:type="dxa"/>
            <w:vAlign w:val="center"/>
            <w:hideMark/>
          </w:tcPr>
          <w:p w14:paraId="6D2117F3" w14:textId="77777777" w:rsidR="00827114" w:rsidRPr="004E13E9" w:rsidRDefault="00827114" w:rsidP="000D1853">
            <w:pPr>
              <w:spacing w:line="276" w:lineRule="auto"/>
              <w:jc w:val="center"/>
              <w:rPr>
                <w:rFonts w:eastAsia="Times New Roman" w:cs="Calibri"/>
                <w:kern w:val="2"/>
                <w:sz w:val="14"/>
                <w:szCs w:val="14"/>
                <w:lang w:eastAsia="ko-KR"/>
                <w14:ligatures w14:val="standardContextual"/>
              </w:rPr>
            </w:pPr>
            <w:r w:rsidRPr="004E13E9">
              <w:rPr>
                <w:rFonts w:eastAsia="Malgun Gothic"/>
                <w:kern w:val="2"/>
                <w:sz w:val="14"/>
                <w:szCs w:val="14"/>
                <w:lang w:eastAsia="ko-KR"/>
                <w14:ligatures w14:val="standardContextual"/>
              </w:rPr>
              <w:t>2025</w:t>
            </w:r>
          </w:p>
        </w:tc>
        <w:tc>
          <w:tcPr>
            <w:tcW w:w="853" w:type="dxa"/>
            <w:vAlign w:val="center"/>
          </w:tcPr>
          <w:p w14:paraId="29A0C7BB" w14:textId="77777777" w:rsidR="00827114" w:rsidRPr="004E13E9" w:rsidRDefault="00827114" w:rsidP="000D1853">
            <w:pPr>
              <w:spacing w:line="276" w:lineRule="auto"/>
              <w:jc w:val="center"/>
              <w:rPr>
                <w:rFonts w:eastAsia="Times New Roman" w:cs="Calibri"/>
                <w:kern w:val="2"/>
                <w:sz w:val="14"/>
                <w:szCs w:val="14"/>
                <w:lang w:eastAsia="ko-KR"/>
                <w14:ligatures w14:val="standardContextual"/>
              </w:rPr>
            </w:pPr>
            <w:r w:rsidRPr="004E13E9">
              <w:rPr>
                <w:rFonts w:eastAsia="Malgun Gothic"/>
                <w:kern w:val="2"/>
                <w:sz w:val="14"/>
                <w:szCs w:val="14"/>
                <w:lang w:eastAsia="ko-KR"/>
                <w14:ligatures w14:val="standardContextual"/>
              </w:rPr>
              <w:t>2026</w:t>
            </w:r>
          </w:p>
        </w:tc>
      </w:tr>
      <w:tr w:rsidR="00827114" w:rsidRPr="004E13E9" w14:paraId="78436D38" w14:textId="77777777" w:rsidTr="000D1853">
        <w:trPr>
          <w:trHeight w:val="20"/>
        </w:trPr>
        <w:tc>
          <w:tcPr>
            <w:tcW w:w="3256" w:type="dxa"/>
            <w:noWrap/>
            <w:vAlign w:val="center"/>
            <w:hideMark/>
          </w:tcPr>
          <w:p w14:paraId="60E3B209" w14:textId="77777777" w:rsidR="00827114" w:rsidRPr="004E13E9" w:rsidRDefault="00827114" w:rsidP="000D1853">
            <w:pPr>
              <w:spacing w:line="276" w:lineRule="auto"/>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Senneur de plus de 40 m</w:t>
            </w:r>
          </w:p>
        </w:tc>
        <w:tc>
          <w:tcPr>
            <w:tcW w:w="992" w:type="dxa"/>
            <w:noWrap/>
            <w:vAlign w:val="center"/>
            <w:hideMark/>
          </w:tcPr>
          <w:p w14:paraId="1A31FEFB" w14:textId="77777777" w:rsidR="00827114" w:rsidRPr="004E13E9" w:rsidRDefault="00827114" w:rsidP="000D1853">
            <w:pPr>
              <w:spacing w:line="276" w:lineRule="auto"/>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70,66</w:t>
            </w:r>
          </w:p>
        </w:tc>
        <w:tc>
          <w:tcPr>
            <w:tcW w:w="567" w:type="dxa"/>
            <w:tcBorders>
              <w:top w:val="single" w:sz="8" w:space="0" w:color="auto"/>
              <w:left w:val="nil"/>
              <w:bottom w:val="single" w:sz="8" w:space="0" w:color="auto"/>
              <w:right w:val="single" w:sz="4" w:space="0" w:color="auto"/>
            </w:tcBorders>
            <w:vAlign w:val="center"/>
          </w:tcPr>
          <w:p w14:paraId="0B0F9264"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sz w:val="16"/>
                <w:szCs w:val="16"/>
                <w:lang w:eastAsia="ja-JP"/>
              </w:rPr>
              <w:t>0</w:t>
            </w:r>
          </w:p>
        </w:tc>
        <w:tc>
          <w:tcPr>
            <w:tcW w:w="489" w:type="dxa"/>
            <w:tcBorders>
              <w:top w:val="nil"/>
              <w:left w:val="single" w:sz="4" w:space="0" w:color="auto"/>
              <w:bottom w:val="single" w:sz="8" w:space="0" w:color="auto"/>
              <w:right w:val="single" w:sz="8" w:space="0" w:color="auto"/>
            </w:tcBorders>
            <w:noWrap/>
            <w:vAlign w:val="center"/>
            <w:hideMark/>
          </w:tcPr>
          <w:p w14:paraId="6F6FCA6F"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645" w:type="dxa"/>
            <w:tcBorders>
              <w:top w:val="nil"/>
              <w:left w:val="nil"/>
              <w:bottom w:val="single" w:sz="8" w:space="0" w:color="auto"/>
              <w:right w:val="single" w:sz="8" w:space="0" w:color="auto"/>
            </w:tcBorders>
            <w:vAlign w:val="center"/>
            <w:hideMark/>
          </w:tcPr>
          <w:p w14:paraId="2EB608CC"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09" w:type="dxa"/>
            <w:tcBorders>
              <w:top w:val="single" w:sz="4" w:space="0" w:color="auto"/>
              <w:left w:val="nil"/>
              <w:bottom w:val="single" w:sz="8" w:space="0" w:color="auto"/>
              <w:right w:val="single" w:sz="8" w:space="0" w:color="auto"/>
            </w:tcBorders>
            <w:vAlign w:val="center"/>
            <w:hideMark/>
          </w:tcPr>
          <w:p w14:paraId="187C5959"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08" w:type="dxa"/>
            <w:tcBorders>
              <w:top w:val="single" w:sz="4" w:space="0" w:color="auto"/>
              <w:left w:val="nil"/>
              <w:bottom w:val="single" w:sz="8" w:space="0" w:color="auto"/>
              <w:right w:val="single" w:sz="8" w:space="0" w:color="auto"/>
            </w:tcBorders>
            <w:vAlign w:val="center"/>
            <w:hideMark/>
          </w:tcPr>
          <w:p w14:paraId="757C59A3"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2</w:t>
            </w:r>
          </w:p>
        </w:tc>
        <w:tc>
          <w:tcPr>
            <w:tcW w:w="709" w:type="dxa"/>
            <w:tcBorders>
              <w:top w:val="single" w:sz="4" w:space="0" w:color="auto"/>
              <w:left w:val="nil"/>
              <w:bottom w:val="single" w:sz="8" w:space="0" w:color="auto"/>
              <w:right w:val="single" w:sz="4" w:space="0" w:color="auto"/>
            </w:tcBorders>
            <w:vAlign w:val="center"/>
          </w:tcPr>
          <w:p w14:paraId="3E87A5CC"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sz w:val="16"/>
                <w:szCs w:val="16"/>
              </w:rPr>
              <w:t>2</w:t>
            </w:r>
          </w:p>
        </w:tc>
        <w:tc>
          <w:tcPr>
            <w:tcW w:w="623" w:type="dxa"/>
            <w:vAlign w:val="center"/>
          </w:tcPr>
          <w:p w14:paraId="74F04604" w14:textId="77777777" w:rsidR="00827114" w:rsidRPr="004E13E9" w:rsidRDefault="00827114" w:rsidP="000D1853">
            <w:pPr>
              <w:spacing w:line="276" w:lineRule="auto"/>
              <w:jc w:val="center"/>
              <w:rPr>
                <w:sz w:val="16"/>
                <w:szCs w:val="16"/>
              </w:rPr>
            </w:pPr>
            <w:r w:rsidRPr="004E13E9">
              <w:rPr>
                <w:sz w:val="16"/>
                <w:szCs w:val="16"/>
              </w:rPr>
              <w:t>2</w:t>
            </w:r>
          </w:p>
        </w:tc>
        <w:tc>
          <w:tcPr>
            <w:tcW w:w="253" w:type="dxa"/>
            <w:shd w:val="clear" w:color="000000" w:fill="D9D9D9"/>
            <w:vAlign w:val="center"/>
            <w:hideMark/>
          </w:tcPr>
          <w:p w14:paraId="40BB0F86"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716" w:type="dxa"/>
            <w:tcBorders>
              <w:top w:val="single" w:sz="4" w:space="0" w:color="auto"/>
              <w:left w:val="single" w:sz="4" w:space="0" w:color="auto"/>
              <w:bottom w:val="single" w:sz="8" w:space="0" w:color="auto"/>
              <w:right w:val="single" w:sz="4" w:space="0" w:color="auto"/>
            </w:tcBorders>
            <w:vAlign w:val="center"/>
          </w:tcPr>
          <w:p w14:paraId="634F5C1F"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sz w:val="16"/>
                <w:szCs w:val="16"/>
                <w:lang w:eastAsia="ja-JP"/>
              </w:rPr>
              <w:t>0</w:t>
            </w:r>
          </w:p>
        </w:tc>
        <w:tc>
          <w:tcPr>
            <w:tcW w:w="808" w:type="dxa"/>
            <w:tcBorders>
              <w:top w:val="single" w:sz="4" w:space="0" w:color="auto"/>
              <w:left w:val="single" w:sz="4" w:space="0" w:color="auto"/>
              <w:bottom w:val="single" w:sz="8" w:space="0" w:color="auto"/>
              <w:right w:val="nil"/>
            </w:tcBorders>
            <w:vAlign w:val="center"/>
            <w:hideMark/>
          </w:tcPr>
          <w:p w14:paraId="768E064C"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19" w:type="dxa"/>
            <w:tcBorders>
              <w:top w:val="nil"/>
              <w:left w:val="single" w:sz="4" w:space="0" w:color="auto"/>
              <w:bottom w:val="single" w:sz="8" w:space="0" w:color="auto"/>
              <w:right w:val="single" w:sz="4" w:space="0" w:color="auto"/>
            </w:tcBorders>
            <w:vAlign w:val="center"/>
            <w:hideMark/>
          </w:tcPr>
          <w:p w14:paraId="4194872C"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38" w:type="dxa"/>
            <w:tcBorders>
              <w:top w:val="nil"/>
              <w:left w:val="nil"/>
              <w:bottom w:val="single" w:sz="8" w:space="0" w:color="auto"/>
              <w:right w:val="single" w:sz="4" w:space="0" w:color="auto"/>
            </w:tcBorders>
            <w:vAlign w:val="center"/>
          </w:tcPr>
          <w:p w14:paraId="7A127CAC"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963" w:type="dxa"/>
            <w:tcBorders>
              <w:top w:val="nil"/>
              <w:left w:val="nil"/>
              <w:bottom w:val="single" w:sz="8" w:space="0" w:color="auto"/>
              <w:right w:val="single" w:sz="8" w:space="0" w:color="auto"/>
            </w:tcBorders>
            <w:vAlign w:val="center"/>
          </w:tcPr>
          <w:p w14:paraId="3245BC96"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141,32</w:t>
            </w:r>
          </w:p>
        </w:tc>
        <w:tc>
          <w:tcPr>
            <w:tcW w:w="746" w:type="dxa"/>
            <w:tcBorders>
              <w:top w:val="nil"/>
              <w:left w:val="nil"/>
              <w:bottom w:val="single" w:sz="8" w:space="0" w:color="auto"/>
              <w:right w:val="single" w:sz="8" w:space="0" w:color="auto"/>
            </w:tcBorders>
            <w:vAlign w:val="center"/>
          </w:tcPr>
          <w:p w14:paraId="386081C3"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141,32</w:t>
            </w:r>
          </w:p>
        </w:tc>
        <w:tc>
          <w:tcPr>
            <w:tcW w:w="853" w:type="dxa"/>
            <w:tcBorders>
              <w:top w:val="nil"/>
              <w:left w:val="nil"/>
              <w:bottom w:val="single" w:sz="8" w:space="0" w:color="auto"/>
              <w:right w:val="single" w:sz="8" w:space="0" w:color="auto"/>
            </w:tcBorders>
            <w:vAlign w:val="center"/>
          </w:tcPr>
          <w:p w14:paraId="695EE350"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sz w:val="16"/>
                <w:szCs w:val="16"/>
              </w:rPr>
              <w:t>141,32</w:t>
            </w:r>
          </w:p>
        </w:tc>
      </w:tr>
      <w:tr w:rsidR="00827114" w:rsidRPr="004E13E9" w14:paraId="3E42EC4B" w14:textId="77777777" w:rsidTr="000D1853">
        <w:trPr>
          <w:trHeight w:val="20"/>
        </w:trPr>
        <w:tc>
          <w:tcPr>
            <w:tcW w:w="3256" w:type="dxa"/>
            <w:noWrap/>
            <w:vAlign w:val="center"/>
            <w:hideMark/>
          </w:tcPr>
          <w:p w14:paraId="4DC1F288" w14:textId="77777777" w:rsidR="00827114" w:rsidRPr="004E13E9" w:rsidRDefault="00827114" w:rsidP="000D1853">
            <w:pPr>
              <w:spacing w:line="276" w:lineRule="auto"/>
              <w:rPr>
                <w:rFonts w:eastAsia="Times New Roman" w:cs="Calibri"/>
                <w:kern w:val="2"/>
                <w:sz w:val="16"/>
                <w:szCs w:val="16"/>
                <w:lang w:eastAsia="ko-KR"/>
                <w14:ligatures w14:val="standardContextual"/>
              </w:rPr>
            </w:pPr>
            <w:proofErr w:type="spellStart"/>
            <w:r w:rsidRPr="004E13E9">
              <w:rPr>
                <w:rFonts w:eastAsia="Malgun Gothic"/>
                <w:kern w:val="2"/>
                <w:sz w:val="16"/>
                <w:szCs w:val="16"/>
                <w:lang w:eastAsia="ko-KR"/>
                <w14:ligatures w14:val="standardContextual"/>
              </w:rPr>
              <w:t>Senneur</w:t>
            </w:r>
            <w:proofErr w:type="spellEnd"/>
            <w:r w:rsidRPr="004E13E9">
              <w:rPr>
                <w:rFonts w:eastAsia="Malgun Gothic"/>
                <w:kern w:val="2"/>
                <w:sz w:val="16"/>
                <w:szCs w:val="16"/>
                <w:lang w:eastAsia="ko-KR"/>
                <w14:ligatures w14:val="standardContextual"/>
              </w:rPr>
              <w:t xml:space="preserve"> entre 24 et 40 m</w:t>
            </w:r>
          </w:p>
        </w:tc>
        <w:tc>
          <w:tcPr>
            <w:tcW w:w="992" w:type="dxa"/>
            <w:noWrap/>
            <w:vAlign w:val="center"/>
            <w:hideMark/>
          </w:tcPr>
          <w:p w14:paraId="2482288B" w14:textId="77777777" w:rsidR="00827114" w:rsidRPr="004E13E9" w:rsidRDefault="00827114" w:rsidP="000D1853">
            <w:pPr>
              <w:spacing w:line="276" w:lineRule="auto"/>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49,78</w:t>
            </w:r>
          </w:p>
        </w:tc>
        <w:tc>
          <w:tcPr>
            <w:tcW w:w="567" w:type="dxa"/>
            <w:tcBorders>
              <w:top w:val="single" w:sz="8" w:space="0" w:color="auto"/>
              <w:left w:val="nil"/>
              <w:bottom w:val="single" w:sz="8" w:space="0" w:color="auto"/>
              <w:right w:val="single" w:sz="4" w:space="0" w:color="auto"/>
            </w:tcBorders>
            <w:vAlign w:val="center"/>
          </w:tcPr>
          <w:p w14:paraId="305A2DDF"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sz w:val="16"/>
                <w:szCs w:val="16"/>
                <w:lang w:eastAsia="ja-JP"/>
              </w:rPr>
              <w:t>3</w:t>
            </w:r>
          </w:p>
        </w:tc>
        <w:tc>
          <w:tcPr>
            <w:tcW w:w="489" w:type="dxa"/>
            <w:tcBorders>
              <w:top w:val="nil"/>
              <w:left w:val="single" w:sz="4" w:space="0" w:color="auto"/>
              <w:bottom w:val="single" w:sz="8" w:space="0" w:color="auto"/>
              <w:right w:val="single" w:sz="8" w:space="0" w:color="auto"/>
            </w:tcBorders>
            <w:noWrap/>
            <w:vAlign w:val="center"/>
            <w:hideMark/>
          </w:tcPr>
          <w:p w14:paraId="0E9E8188"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8</w:t>
            </w:r>
          </w:p>
        </w:tc>
        <w:tc>
          <w:tcPr>
            <w:tcW w:w="645" w:type="dxa"/>
            <w:tcBorders>
              <w:top w:val="nil"/>
              <w:left w:val="nil"/>
              <w:bottom w:val="single" w:sz="8" w:space="0" w:color="auto"/>
              <w:right w:val="single" w:sz="8" w:space="0" w:color="auto"/>
            </w:tcBorders>
            <w:vAlign w:val="center"/>
            <w:hideMark/>
          </w:tcPr>
          <w:p w14:paraId="71DBF6C0"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12</w:t>
            </w:r>
          </w:p>
        </w:tc>
        <w:tc>
          <w:tcPr>
            <w:tcW w:w="709" w:type="dxa"/>
            <w:tcBorders>
              <w:top w:val="nil"/>
              <w:left w:val="nil"/>
              <w:bottom w:val="single" w:sz="8" w:space="0" w:color="auto"/>
              <w:right w:val="single" w:sz="8" w:space="0" w:color="auto"/>
            </w:tcBorders>
            <w:vAlign w:val="center"/>
            <w:hideMark/>
          </w:tcPr>
          <w:p w14:paraId="1E96145F"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34</w:t>
            </w:r>
          </w:p>
        </w:tc>
        <w:tc>
          <w:tcPr>
            <w:tcW w:w="708" w:type="dxa"/>
            <w:tcBorders>
              <w:top w:val="nil"/>
              <w:left w:val="nil"/>
              <w:bottom w:val="single" w:sz="8" w:space="0" w:color="auto"/>
              <w:right w:val="single" w:sz="8" w:space="0" w:color="auto"/>
            </w:tcBorders>
            <w:vAlign w:val="center"/>
            <w:hideMark/>
          </w:tcPr>
          <w:p w14:paraId="7E983449"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37</w:t>
            </w:r>
          </w:p>
        </w:tc>
        <w:tc>
          <w:tcPr>
            <w:tcW w:w="709" w:type="dxa"/>
            <w:tcBorders>
              <w:top w:val="nil"/>
              <w:left w:val="nil"/>
              <w:bottom w:val="single" w:sz="8" w:space="0" w:color="auto"/>
              <w:right w:val="single" w:sz="4" w:space="0" w:color="auto"/>
            </w:tcBorders>
            <w:vAlign w:val="center"/>
          </w:tcPr>
          <w:p w14:paraId="301AC211"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sz w:val="16"/>
                <w:szCs w:val="16"/>
              </w:rPr>
              <w:t>37</w:t>
            </w:r>
          </w:p>
        </w:tc>
        <w:tc>
          <w:tcPr>
            <w:tcW w:w="623" w:type="dxa"/>
            <w:vAlign w:val="center"/>
          </w:tcPr>
          <w:p w14:paraId="0D93CF3C" w14:textId="77777777" w:rsidR="00827114" w:rsidRPr="004E13E9" w:rsidRDefault="00827114" w:rsidP="000D1853">
            <w:pPr>
              <w:spacing w:line="276" w:lineRule="auto"/>
              <w:jc w:val="center"/>
              <w:rPr>
                <w:sz w:val="16"/>
                <w:szCs w:val="16"/>
              </w:rPr>
            </w:pPr>
            <w:r w:rsidRPr="004E13E9">
              <w:rPr>
                <w:sz w:val="16"/>
                <w:szCs w:val="16"/>
              </w:rPr>
              <w:t>38</w:t>
            </w:r>
          </w:p>
        </w:tc>
        <w:tc>
          <w:tcPr>
            <w:tcW w:w="253" w:type="dxa"/>
            <w:shd w:val="clear" w:color="000000" w:fill="D9D9D9"/>
            <w:vAlign w:val="center"/>
            <w:hideMark/>
          </w:tcPr>
          <w:p w14:paraId="7A81E817"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716" w:type="dxa"/>
            <w:tcBorders>
              <w:top w:val="nil"/>
              <w:left w:val="single" w:sz="4" w:space="0" w:color="auto"/>
              <w:bottom w:val="single" w:sz="8" w:space="0" w:color="auto"/>
              <w:right w:val="single" w:sz="4" w:space="0" w:color="auto"/>
            </w:tcBorders>
            <w:vAlign w:val="center"/>
          </w:tcPr>
          <w:p w14:paraId="64B1BC81"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sz w:val="16"/>
                <w:szCs w:val="16"/>
                <w:lang w:eastAsia="ja-JP"/>
              </w:rPr>
              <w:t>149,34</w:t>
            </w:r>
          </w:p>
        </w:tc>
        <w:tc>
          <w:tcPr>
            <w:tcW w:w="808" w:type="dxa"/>
            <w:tcBorders>
              <w:top w:val="nil"/>
              <w:left w:val="single" w:sz="4" w:space="0" w:color="auto"/>
              <w:bottom w:val="single" w:sz="8" w:space="0" w:color="auto"/>
              <w:right w:val="nil"/>
            </w:tcBorders>
            <w:vAlign w:val="center"/>
            <w:hideMark/>
          </w:tcPr>
          <w:p w14:paraId="11998E56"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398,24</w:t>
            </w:r>
          </w:p>
        </w:tc>
        <w:tc>
          <w:tcPr>
            <w:tcW w:w="719" w:type="dxa"/>
            <w:tcBorders>
              <w:top w:val="nil"/>
              <w:left w:val="single" w:sz="4" w:space="0" w:color="auto"/>
              <w:bottom w:val="single" w:sz="8" w:space="0" w:color="auto"/>
              <w:right w:val="single" w:sz="4" w:space="0" w:color="auto"/>
            </w:tcBorders>
            <w:vAlign w:val="center"/>
            <w:hideMark/>
          </w:tcPr>
          <w:p w14:paraId="4AF63B2E"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597,36</w:t>
            </w:r>
          </w:p>
        </w:tc>
        <w:tc>
          <w:tcPr>
            <w:tcW w:w="738" w:type="dxa"/>
            <w:tcBorders>
              <w:top w:val="nil"/>
              <w:left w:val="nil"/>
              <w:bottom w:val="single" w:sz="8" w:space="0" w:color="auto"/>
              <w:right w:val="single" w:sz="4" w:space="0" w:color="auto"/>
            </w:tcBorders>
            <w:vAlign w:val="center"/>
          </w:tcPr>
          <w:p w14:paraId="6349278E" w14:textId="77777777" w:rsidR="00827114" w:rsidRPr="004E13E9" w:rsidRDefault="00827114" w:rsidP="000D1853">
            <w:pPr>
              <w:spacing w:line="276" w:lineRule="auto"/>
              <w:rPr>
                <w:rFonts w:eastAsia="Times New Roman" w:cs="Calibri"/>
                <w:kern w:val="2"/>
                <w:sz w:val="14"/>
                <w:szCs w:val="14"/>
                <w:lang w:eastAsia="ko-KR"/>
                <w14:ligatures w14:val="standardContextual"/>
              </w:rPr>
            </w:pPr>
            <w:r w:rsidRPr="004E13E9">
              <w:rPr>
                <w:sz w:val="14"/>
                <w:szCs w:val="14"/>
              </w:rPr>
              <w:t>1692,52</w:t>
            </w:r>
          </w:p>
        </w:tc>
        <w:tc>
          <w:tcPr>
            <w:tcW w:w="963" w:type="dxa"/>
            <w:tcBorders>
              <w:top w:val="nil"/>
              <w:left w:val="nil"/>
              <w:bottom w:val="single" w:sz="8" w:space="0" w:color="auto"/>
              <w:right w:val="single" w:sz="8" w:space="0" w:color="auto"/>
            </w:tcBorders>
            <w:vAlign w:val="center"/>
          </w:tcPr>
          <w:p w14:paraId="087F563F"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1841,86</w:t>
            </w:r>
          </w:p>
        </w:tc>
        <w:tc>
          <w:tcPr>
            <w:tcW w:w="746" w:type="dxa"/>
            <w:tcBorders>
              <w:top w:val="nil"/>
              <w:left w:val="nil"/>
              <w:bottom w:val="single" w:sz="8" w:space="0" w:color="auto"/>
              <w:right w:val="single" w:sz="8" w:space="0" w:color="auto"/>
            </w:tcBorders>
            <w:vAlign w:val="center"/>
          </w:tcPr>
          <w:p w14:paraId="181C5255" w14:textId="77777777" w:rsidR="00827114" w:rsidRPr="004E13E9" w:rsidRDefault="00827114" w:rsidP="000D1853">
            <w:pPr>
              <w:spacing w:line="276" w:lineRule="auto"/>
              <w:rPr>
                <w:rFonts w:eastAsia="Times New Roman" w:cs="Calibri"/>
                <w:kern w:val="2"/>
                <w:sz w:val="14"/>
                <w:szCs w:val="14"/>
                <w:lang w:eastAsia="ko-KR"/>
                <w14:ligatures w14:val="standardContextual"/>
              </w:rPr>
            </w:pPr>
            <w:r w:rsidRPr="004E13E9">
              <w:rPr>
                <w:sz w:val="14"/>
                <w:szCs w:val="14"/>
              </w:rPr>
              <w:t>1841,86</w:t>
            </w:r>
          </w:p>
        </w:tc>
        <w:tc>
          <w:tcPr>
            <w:tcW w:w="853" w:type="dxa"/>
            <w:tcBorders>
              <w:top w:val="nil"/>
              <w:left w:val="nil"/>
              <w:bottom w:val="single" w:sz="8" w:space="0" w:color="auto"/>
              <w:right w:val="single" w:sz="8" w:space="0" w:color="auto"/>
            </w:tcBorders>
            <w:vAlign w:val="center"/>
          </w:tcPr>
          <w:p w14:paraId="118F3723"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sz w:val="16"/>
                <w:szCs w:val="16"/>
              </w:rPr>
              <w:t>1891,64</w:t>
            </w:r>
          </w:p>
        </w:tc>
      </w:tr>
      <w:tr w:rsidR="00827114" w:rsidRPr="004E13E9" w14:paraId="08031DE6" w14:textId="77777777" w:rsidTr="000D1853">
        <w:trPr>
          <w:trHeight w:val="20"/>
        </w:trPr>
        <w:tc>
          <w:tcPr>
            <w:tcW w:w="3256" w:type="dxa"/>
            <w:noWrap/>
            <w:vAlign w:val="center"/>
            <w:hideMark/>
          </w:tcPr>
          <w:p w14:paraId="286FC407" w14:textId="77777777" w:rsidR="00827114" w:rsidRPr="004E13E9" w:rsidRDefault="00827114" w:rsidP="000D1853">
            <w:pPr>
              <w:spacing w:line="276" w:lineRule="auto"/>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Senneur de moins de 24m</w:t>
            </w:r>
          </w:p>
        </w:tc>
        <w:tc>
          <w:tcPr>
            <w:tcW w:w="992" w:type="dxa"/>
            <w:noWrap/>
            <w:vAlign w:val="center"/>
            <w:hideMark/>
          </w:tcPr>
          <w:p w14:paraId="62BFFEA8" w14:textId="77777777" w:rsidR="00827114" w:rsidRPr="004E13E9" w:rsidRDefault="00827114" w:rsidP="000D1853">
            <w:pPr>
              <w:spacing w:line="276" w:lineRule="auto"/>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33,68</w:t>
            </w:r>
          </w:p>
        </w:tc>
        <w:tc>
          <w:tcPr>
            <w:tcW w:w="567" w:type="dxa"/>
            <w:tcBorders>
              <w:top w:val="single" w:sz="8" w:space="0" w:color="auto"/>
              <w:left w:val="nil"/>
              <w:bottom w:val="single" w:sz="8" w:space="0" w:color="auto"/>
              <w:right w:val="single" w:sz="4" w:space="0" w:color="auto"/>
            </w:tcBorders>
            <w:vAlign w:val="center"/>
          </w:tcPr>
          <w:p w14:paraId="7A99631F"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sz w:val="16"/>
                <w:szCs w:val="16"/>
                <w:lang w:eastAsia="ja-JP"/>
              </w:rPr>
              <w:t>1</w:t>
            </w:r>
          </w:p>
        </w:tc>
        <w:tc>
          <w:tcPr>
            <w:tcW w:w="489" w:type="dxa"/>
            <w:tcBorders>
              <w:top w:val="nil"/>
              <w:left w:val="single" w:sz="4" w:space="0" w:color="auto"/>
              <w:bottom w:val="single" w:sz="8" w:space="0" w:color="auto"/>
              <w:right w:val="single" w:sz="8" w:space="0" w:color="auto"/>
            </w:tcBorders>
            <w:noWrap/>
            <w:vAlign w:val="center"/>
            <w:hideMark/>
          </w:tcPr>
          <w:p w14:paraId="697C9246"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645" w:type="dxa"/>
            <w:tcBorders>
              <w:top w:val="nil"/>
              <w:left w:val="nil"/>
              <w:bottom w:val="single" w:sz="8" w:space="0" w:color="auto"/>
              <w:right w:val="single" w:sz="8" w:space="0" w:color="auto"/>
            </w:tcBorders>
            <w:vAlign w:val="center"/>
            <w:hideMark/>
          </w:tcPr>
          <w:p w14:paraId="6B046490"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2</w:t>
            </w:r>
          </w:p>
        </w:tc>
        <w:tc>
          <w:tcPr>
            <w:tcW w:w="709" w:type="dxa"/>
            <w:tcBorders>
              <w:top w:val="nil"/>
              <w:left w:val="nil"/>
              <w:bottom w:val="single" w:sz="8" w:space="0" w:color="auto"/>
              <w:right w:val="single" w:sz="8" w:space="0" w:color="auto"/>
            </w:tcBorders>
            <w:vAlign w:val="center"/>
            <w:hideMark/>
          </w:tcPr>
          <w:p w14:paraId="2292E00D"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1</w:t>
            </w:r>
          </w:p>
        </w:tc>
        <w:tc>
          <w:tcPr>
            <w:tcW w:w="708" w:type="dxa"/>
            <w:tcBorders>
              <w:top w:val="nil"/>
              <w:left w:val="nil"/>
              <w:bottom w:val="single" w:sz="8" w:space="0" w:color="auto"/>
              <w:right w:val="single" w:sz="8" w:space="0" w:color="auto"/>
            </w:tcBorders>
            <w:vAlign w:val="center"/>
            <w:hideMark/>
          </w:tcPr>
          <w:p w14:paraId="77AA1063"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1</w:t>
            </w:r>
          </w:p>
        </w:tc>
        <w:tc>
          <w:tcPr>
            <w:tcW w:w="709" w:type="dxa"/>
            <w:tcBorders>
              <w:top w:val="nil"/>
              <w:left w:val="nil"/>
              <w:bottom w:val="single" w:sz="8" w:space="0" w:color="auto"/>
              <w:right w:val="single" w:sz="4" w:space="0" w:color="auto"/>
            </w:tcBorders>
            <w:vAlign w:val="center"/>
          </w:tcPr>
          <w:p w14:paraId="5243929C"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sz w:val="16"/>
                <w:szCs w:val="16"/>
              </w:rPr>
              <w:t>1</w:t>
            </w:r>
          </w:p>
        </w:tc>
        <w:tc>
          <w:tcPr>
            <w:tcW w:w="623" w:type="dxa"/>
            <w:vAlign w:val="center"/>
          </w:tcPr>
          <w:p w14:paraId="055C5333" w14:textId="77777777" w:rsidR="00827114" w:rsidRPr="004E13E9" w:rsidRDefault="00827114" w:rsidP="000D1853">
            <w:pPr>
              <w:spacing w:line="276" w:lineRule="auto"/>
              <w:jc w:val="center"/>
              <w:rPr>
                <w:sz w:val="16"/>
                <w:szCs w:val="16"/>
              </w:rPr>
            </w:pPr>
            <w:r w:rsidRPr="004E13E9">
              <w:rPr>
                <w:sz w:val="16"/>
                <w:szCs w:val="16"/>
              </w:rPr>
              <w:t>1</w:t>
            </w:r>
          </w:p>
        </w:tc>
        <w:tc>
          <w:tcPr>
            <w:tcW w:w="253" w:type="dxa"/>
            <w:shd w:val="clear" w:color="000000" w:fill="D9D9D9"/>
            <w:vAlign w:val="center"/>
            <w:hideMark/>
          </w:tcPr>
          <w:p w14:paraId="41F08DEA"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716" w:type="dxa"/>
            <w:tcBorders>
              <w:top w:val="nil"/>
              <w:left w:val="single" w:sz="4" w:space="0" w:color="auto"/>
              <w:bottom w:val="single" w:sz="8" w:space="0" w:color="auto"/>
              <w:right w:val="single" w:sz="4" w:space="0" w:color="auto"/>
            </w:tcBorders>
            <w:vAlign w:val="center"/>
          </w:tcPr>
          <w:p w14:paraId="4481214D"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sz w:val="16"/>
                <w:szCs w:val="16"/>
                <w:lang w:eastAsia="ja-JP"/>
              </w:rPr>
              <w:t>33,68</w:t>
            </w:r>
          </w:p>
        </w:tc>
        <w:tc>
          <w:tcPr>
            <w:tcW w:w="808" w:type="dxa"/>
            <w:tcBorders>
              <w:top w:val="nil"/>
              <w:left w:val="single" w:sz="4" w:space="0" w:color="auto"/>
              <w:bottom w:val="single" w:sz="8" w:space="0" w:color="auto"/>
              <w:right w:val="nil"/>
            </w:tcBorders>
            <w:vAlign w:val="center"/>
            <w:hideMark/>
          </w:tcPr>
          <w:p w14:paraId="28E751E7"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33,68</w:t>
            </w:r>
          </w:p>
        </w:tc>
        <w:tc>
          <w:tcPr>
            <w:tcW w:w="719" w:type="dxa"/>
            <w:tcBorders>
              <w:top w:val="nil"/>
              <w:left w:val="single" w:sz="4" w:space="0" w:color="auto"/>
              <w:bottom w:val="single" w:sz="8" w:space="0" w:color="auto"/>
              <w:right w:val="single" w:sz="4" w:space="0" w:color="auto"/>
            </w:tcBorders>
            <w:vAlign w:val="center"/>
            <w:hideMark/>
          </w:tcPr>
          <w:p w14:paraId="4D3DD6F8"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67,36</w:t>
            </w:r>
          </w:p>
        </w:tc>
        <w:tc>
          <w:tcPr>
            <w:tcW w:w="738" w:type="dxa"/>
            <w:tcBorders>
              <w:top w:val="nil"/>
              <w:left w:val="nil"/>
              <w:bottom w:val="single" w:sz="8" w:space="0" w:color="auto"/>
              <w:right w:val="single" w:sz="4" w:space="0" w:color="auto"/>
            </w:tcBorders>
            <w:vAlign w:val="center"/>
          </w:tcPr>
          <w:p w14:paraId="586CCFF1"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33,68</w:t>
            </w:r>
          </w:p>
        </w:tc>
        <w:tc>
          <w:tcPr>
            <w:tcW w:w="963" w:type="dxa"/>
            <w:tcBorders>
              <w:top w:val="nil"/>
              <w:left w:val="nil"/>
              <w:bottom w:val="single" w:sz="8" w:space="0" w:color="auto"/>
              <w:right w:val="single" w:sz="8" w:space="0" w:color="auto"/>
            </w:tcBorders>
            <w:vAlign w:val="center"/>
          </w:tcPr>
          <w:p w14:paraId="6172474F"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33,68</w:t>
            </w:r>
          </w:p>
        </w:tc>
        <w:tc>
          <w:tcPr>
            <w:tcW w:w="746" w:type="dxa"/>
            <w:tcBorders>
              <w:top w:val="nil"/>
              <w:left w:val="nil"/>
              <w:bottom w:val="single" w:sz="8" w:space="0" w:color="auto"/>
              <w:right w:val="single" w:sz="8" w:space="0" w:color="auto"/>
            </w:tcBorders>
            <w:vAlign w:val="center"/>
          </w:tcPr>
          <w:p w14:paraId="78269E14"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33,68</w:t>
            </w:r>
          </w:p>
        </w:tc>
        <w:tc>
          <w:tcPr>
            <w:tcW w:w="853" w:type="dxa"/>
            <w:tcBorders>
              <w:top w:val="nil"/>
              <w:left w:val="nil"/>
              <w:bottom w:val="single" w:sz="8" w:space="0" w:color="auto"/>
              <w:right w:val="single" w:sz="8" w:space="0" w:color="auto"/>
            </w:tcBorders>
            <w:vAlign w:val="center"/>
          </w:tcPr>
          <w:p w14:paraId="7C8B532F"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sz w:val="16"/>
                <w:szCs w:val="16"/>
              </w:rPr>
              <w:t>33,68</w:t>
            </w:r>
          </w:p>
        </w:tc>
      </w:tr>
      <w:tr w:rsidR="00827114" w:rsidRPr="004E13E9" w14:paraId="01D6929D" w14:textId="77777777" w:rsidTr="000D1853">
        <w:trPr>
          <w:trHeight w:val="20"/>
        </w:trPr>
        <w:tc>
          <w:tcPr>
            <w:tcW w:w="3256" w:type="dxa"/>
            <w:noWrap/>
            <w:vAlign w:val="center"/>
            <w:hideMark/>
          </w:tcPr>
          <w:p w14:paraId="7A9EC2B7"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proofErr w:type="spellStart"/>
            <w:r w:rsidRPr="004E13E9">
              <w:rPr>
                <w:rFonts w:eastAsia="Malgun Gothic"/>
                <w:b/>
                <w:kern w:val="2"/>
                <w:sz w:val="16"/>
                <w:szCs w:val="16"/>
                <w:lang w:eastAsia="ko-KR"/>
                <w14:ligatures w14:val="standardContextual"/>
              </w:rPr>
              <w:t>Flottille</w:t>
            </w:r>
            <w:proofErr w:type="spellEnd"/>
            <w:r w:rsidRPr="004E13E9">
              <w:rPr>
                <w:rFonts w:eastAsia="Malgun Gothic"/>
                <w:b/>
                <w:kern w:val="2"/>
                <w:sz w:val="16"/>
                <w:szCs w:val="16"/>
                <w:lang w:eastAsia="ko-KR"/>
                <w14:ligatures w14:val="standardContextual"/>
              </w:rPr>
              <w:t xml:space="preserve"> </w:t>
            </w:r>
            <w:proofErr w:type="spellStart"/>
            <w:r w:rsidRPr="004E13E9">
              <w:rPr>
                <w:rFonts w:eastAsia="Malgun Gothic"/>
                <w:b/>
                <w:kern w:val="2"/>
                <w:sz w:val="16"/>
                <w:szCs w:val="16"/>
                <w:lang w:eastAsia="ko-KR"/>
                <w14:ligatures w14:val="standardContextual"/>
              </w:rPr>
              <w:t>totale</w:t>
            </w:r>
            <w:proofErr w:type="spellEnd"/>
            <w:r w:rsidRPr="004E13E9">
              <w:rPr>
                <w:rFonts w:eastAsia="Malgun Gothic"/>
                <w:b/>
                <w:kern w:val="2"/>
                <w:sz w:val="16"/>
                <w:szCs w:val="16"/>
                <w:lang w:eastAsia="ko-KR"/>
                <w14:ligatures w14:val="standardContextual"/>
              </w:rPr>
              <w:t xml:space="preserve"> de </w:t>
            </w:r>
            <w:proofErr w:type="spellStart"/>
            <w:r w:rsidRPr="004E13E9">
              <w:rPr>
                <w:rFonts w:eastAsia="Malgun Gothic"/>
                <w:b/>
                <w:kern w:val="2"/>
                <w:sz w:val="16"/>
                <w:szCs w:val="16"/>
                <w:lang w:eastAsia="ko-KR"/>
                <w14:ligatures w14:val="standardContextual"/>
              </w:rPr>
              <w:t>senneurs</w:t>
            </w:r>
            <w:proofErr w:type="spellEnd"/>
          </w:p>
        </w:tc>
        <w:tc>
          <w:tcPr>
            <w:tcW w:w="992" w:type="dxa"/>
            <w:noWrap/>
            <w:vAlign w:val="center"/>
            <w:hideMark/>
          </w:tcPr>
          <w:p w14:paraId="37A0CF3B" w14:textId="77777777" w:rsidR="00827114" w:rsidRPr="004E13E9" w:rsidRDefault="00827114" w:rsidP="000D1853">
            <w:pPr>
              <w:spacing w:line="276" w:lineRule="auto"/>
              <w:rPr>
                <w:rFonts w:eastAsia="Times New Roman"/>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567" w:type="dxa"/>
            <w:tcBorders>
              <w:top w:val="single" w:sz="8" w:space="0" w:color="auto"/>
              <w:left w:val="nil"/>
              <w:bottom w:val="single" w:sz="8" w:space="0" w:color="auto"/>
              <w:right w:val="single" w:sz="4" w:space="0" w:color="auto"/>
            </w:tcBorders>
            <w:vAlign w:val="center"/>
          </w:tcPr>
          <w:p w14:paraId="2F3AE1E0"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sz w:val="16"/>
                <w:szCs w:val="16"/>
                <w:lang w:eastAsia="ja-JP"/>
              </w:rPr>
              <w:t>4</w:t>
            </w:r>
          </w:p>
        </w:tc>
        <w:tc>
          <w:tcPr>
            <w:tcW w:w="489" w:type="dxa"/>
            <w:tcBorders>
              <w:top w:val="nil"/>
              <w:left w:val="single" w:sz="4" w:space="0" w:color="auto"/>
              <w:bottom w:val="single" w:sz="8" w:space="0" w:color="auto"/>
              <w:right w:val="single" w:sz="8" w:space="0" w:color="auto"/>
            </w:tcBorders>
            <w:noWrap/>
            <w:vAlign w:val="center"/>
            <w:hideMark/>
          </w:tcPr>
          <w:p w14:paraId="00F8273E"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8</w:t>
            </w:r>
          </w:p>
        </w:tc>
        <w:tc>
          <w:tcPr>
            <w:tcW w:w="645" w:type="dxa"/>
            <w:tcBorders>
              <w:top w:val="nil"/>
              <w:left w:val="nil"/>
              <w:bottom w:val="single" w:sz="8" w:space="0" w:color="auto"/>
              <w:right w:val="single" w:sz="8" w:space="0" w:color="auto"/>
            </w:tcBorders>
            <w:vAlign w:val="center"/>
            <w:hideMark/>
          </w:tcPr>
          <w:p w14:paraId="4B063955"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14</w:t>
            </w:r>
          </w:p>
        </w:tc>
        <w:tc>
          <w:tcPr>
            <w:tcW w:w="709" w:type="dxa"/>
            <w:tcBorders>
              <w:top w:val="nil"/>
              <w:left w:val="nil"/>
              <w:bottom w:val="single" w:sz="8" w:space="0" w:color="auto"/>
              <w:right w:val="single" w:sz="8" w:space="0" w:color="auto"/>
            </w:tcBorders>
            <w:vAlign w:val="center"/>
            <w:hideMark/>
          </w:tcPr>
          <w:p w14:paraId="48D25A7B"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35</w:t>
            </w:r>
          </w:p>
        </w:tc>
        <w:tc>
          <w:tcPr>
            <w:tcW w:w="708" w:type="dxa"/>
            <w:tcBorders>
              <w:top w:val="nil"/>
              <w:left w:val="nil"/>
              <w:bottom w:val="single" w:sz="8" w:space="0" w:color="auto"/>
              <w:right w:val="single" w:sz="8" w:space="0" w:color="auto"/>
            </w:tcBorders>
            <w:vAlign w:val="center"/>
            <w:hideMark/>
          </w:tcPr>
          <w:p w14:paraId="48E5F581"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rFonts w:eastAsia="Times New Roman" w:cs="Calibri"/>
                <w:b/>
                <w:bCs/>
                <w:sz w:val="16"/>
                <w:szCs w:val="16"/>
              </w:rPr>
              <w:t>40</w:t>
            </w:r>
          </w:p>
        </w:tc>
        <w:tc>
          <w:tcPr>
            <w:tcW w:w="709" w:type="dxa"/>
            <w:tcBorders>
              <w:top w:val="nil"/>
              <w:left w:val="nil"/>
              <w:bottom w:val="single" w:sz="8" w:space="0" w:color="auto"/>
              <w:right w:val="single" w:sz="4" w:space="0" w:color="auto"/>
            </w:tcBorders>
            <w:vAlign w:val="center"/>
          </w:tcPr>
          <w:p w14:paraId="39082104"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sz w:val="16"/>
                <w:szCs w:val="16"/>
              </w:rPr>
              <w:t>40</w:t>
            </w:r>
          </w:p>
        </w:tc>
        <w:tc>
          <w:tcPr>
            <w:tcW w:w="623" w:type="dxa"/>
            <w:vAlign w:val="center"/>
          </w:tcPr>
          <w:p w14:paraId="07E7776A" w14:textId="77777777" w:rsidR="00827114" w:rsidRPr="004E13E9" w:rsidRDefault="00827114" w:rsidP="000D1853">
            <w:pPr>
              <w:spacing w:line="276" w:lineRule="auto"/>
              <w:jc w:val="center"/>
              <w:rPr>
                <w:b/>
                <w:bCs/>
                <w:sz w:val="16"/>
                <w:szCs w:val="16"/>
              </w:rPr>
            </w:pPr>
            <w:r w:rsidRPr="004E13E9">
              <w:rPr>
                <w:b/>
                <w:bCs/>
                <w:sz w:val="16"/>
                <w:szCs w:val="16"/>
              </w:rPr>
              <w:t>41</w:t>
            </w:r>
          </w:p>
        </w:tc>
        <w:tc>
          <w:tcPr>
            <w:tcW w:w="253" w:type="dxa"/>
            <w:shd w:val="clear" w:color="000000" w:fill="D9D9D9"/>
            <w:vAlign w:val="center"/>
            <w:hideMark/>
          </w:tcPr>
          <w:p w14:paraId="55DCD2A2"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716" w:type="dxa"/>
            <w:tcBorders>
              <w:top w:val="nil"/>
              <w:left w:val="single" w:sz="4" w:space="0" w:color="auto"/>
              <w:bottom w:val="single" w:sz="8" w:space="0" w:color="auto"/>
              <w:right w:val="single" w:sz="4" w:space="0" w:color="auto"/>
            </w:tcBorders>
            <w:vAlign w:val="center"/>
          </w:tcPr>
          <w:p w14:paraId="13896260" w14:textId="77777777" w:rsidR="00827114" w:rsidRPr="004E13E9" w:rsidRDefault="00827114" w:rsidP="000D1853">
            <w:pPr>
              <w:spacing w:line="276" w:lineRule="auto"/>
              <w:rPr>
                <w:rFonts w:eastAsia="Times New Roman" w:cs="Calibri"/>
                <w:b/>
                <w:bCs/>
                <w:kern w:val="2"/>
                <w:sz w:val="14"/>
                <w:szCs w:val="14"/>
                <w:lang w:eastAsia="ja-JP"/>
                <w14:ligatures w14:val="standardContextual"/>
              </w:rPr>
            </w:pPr>
            <w:r w:rsidRPr="004E13E9">
              <w:rPr>
                <w:rFonts w:eastAsia="Times New Roman" w:cs="Calibri"/>
                <w:b/>
                <w:bCs/>
                <w:sz w:val="14"/>
                <w:szCs w:val="14"/>
                <w:lang w:eastAsia="ja-JP"/>
              </w:rPr>
              <w:t>183,02</w:t>
            </w:r>
          </w:p>
        </w:tc>
        <w:tc>
          <w:tcPr>
            <w:tcW w:w="808" w:type="dxa"/>
            <w:tcBorders>
              <w:top w:val="nil"/>
              <w:left w:val="single" w:sz="4" w:space="0" w:color="auto"/>
              <w:bottom w:val="single" w:sz="8" w:space="0" w:color="auto"/>
              <w:right w:val="nil"/>
            </w:tcBorders>
            <w:vAlign w:val="center"/>
            <w:hideMark/>
          </w:tcPr>
          <w:p w14:paraId="188FC855" w14:textId="77777777" w:rsidR="00827114" w:rsidRPr="004E13E9" w:rsidRDefault="00827114" w:rsidP="000D1853">
            <w:pPr>
              <w:spacing w:line="276" w:lineRule="auto"/>
              <w:rPr>
                <w:rFonts w:eastAsia="Times New Roman" w:cs="Calibri"/>
                <w:b/>
                <w:bCs/>
                <w:kern w:val="2"/>
                <w:sz w:val="14"/>
                <w:szCs w:val="14"/>
                <w:lang w:eastAsia="ko-KR"/>
                <w14:ligatures w14:val="standardContextual"/>
              </w:rPr>
            </w:pPr>
            <w:r w:rsidRPr="004E13E9">
              <w:rPr>
                <w:b/>
                <w:bCs/>
                <w:sz w:val="14"/>
                <w:szCs w:val="14"/>
              </w:rPr>
              <w:t>398,24</w:t>
            </w:r>
          </w:p>
        </w:tc>
        <w:tc>
          <w:tcPr>
            <w:tcW w:w="719" w:type="dxa"/>
            <w:tcBorders>
              <w:top w:val="nil"/>
              <w:left w:val="single" w:sz="4" w:space="0" w:color="auto"/>
              <w:bottom w:val="single" w:sz="8" w:space="0" w:color="auto"/>
              <w:right w:val="single" w:sz="4" w:space="0" w:color="auto"/>
            </w:tcBorders>
            <w:vAlign w:val="center"/>
            <w:hideMark/>
          </w:tcPr>
          <w:p w14:paraId="5F0514FB" w14:textId="77777777" w:rsidR="00827114" w:rsidRPr="004E13E9" w:rsidRDefault="00827114" w:rsidP="000D1853">
            <w:pPr>
              <w:spacing w:line="276" w:lineRule="auto"/>
              <w:rPr>
                <w:rFonts w:eastAsia="Times New Roman" w:cs="Calibri"/>
                <w:b/>
                <w:bCs/>
                <w:kern w:val="2"/>
                <w:sz w:val="14"/>
                <w:szCs w:val="14"/>
                <w:lang w:eastAsia="ko-KR"/>
                <w14:ligatures w14:val="standardContextual"/>
              </w:rPr>
            </w:pPr>
            <w:r w:rsidRPr="004E13E9">
              <w:rPr>
                <w:b/>
                <w:bCs/>
                <w:sz w:val="14"/>
                <w:szCs w:val="14"/>
              </w:rPr>
              <w:t>664,72</w:t>
            </w:r>
          </w:p>
        </w:tc>
        <w:tc>
          <w:tcPr>
            <w:tcW w:w="738" w:type="dxa"/>
            <w:tcBorders>
              <w:top w:val="nil"/>
              <w:left w:val="nil"/>
              <w:bottom w:val="single" w:sz="8" w:space="0" w:color="auto"/>
              <w:right w:val="single" w:sz="4" w:space="0" w:color="auto"/>
            </w:tcBorders>
            <w:vAlign w:val="center"/>
          </w:tcPr>
          <w:p w14:paraId="6102D28C" w14:textId="77777777" w:rsidR="00827114" w:rsidRPr="004E13E9" w:rsidRDefault="00827114" w:rsidP="000D1853">
            <w:pPr>
              <w:spacing w:line="276" w:lineRule="auto"/>
              <w:rPr>
                <w:rFonts w:eastAsia="Times New Roman" w:cs="Calibri"/>
                <w:b/>
                <w:bCs/>
                <w:kern w:val="2"/>
                <w:sz w:val="14"/>
                <w:szCs w:val="14"/>
                <w:lang w:eastAsia="ko-KR"/>
                <w14:ligatures w14:val="standardContextual"/>
              </w:rPr>
            </w:pPr>
            <w:r w:rsidRPr="004E13E9">
              <w:rPr>
                <w:b/>
                <w:bCs/>
                <w:sz w:val="14"/>
                <w:szCs w:val="14"/>
              </w:rPr>
              <w:t>1726,2</w:t>
            </w:r>
          </w:p>
        </w:tc>
        <w:tc>
          <w:tcPr>
            <w:tcW w:w="963" w:type="dxa"/>
            <w:tcBorders>
              <w:top w:val="nil"/>
              <w:left w:val="nil"/>
              <w:bottom w:val="single" w:sz="8" w:space="0" w:color="auto"/>
              <w:right w:val="single" w:sz="8" w:space="0" w:color="auto"/>
            </w:tcBorders>
            <w:vAlign w:val="center"/>
          </w:tcPr>
          <w:p w14:paraId="44543E3E" w14:textId="77777777" w:rsidR="00827114" w:rsidRPr="004E13E9" w:rsidRDefault="00827114" w:rsidP="000D1853">
            <w:pPr>
              <w:spacing w:line="276" w:lineRule="auto"/>
              <w:rPr>
                <w:rFonts w:eastAsia="Times New Roman" w:cs="Calibri"/>
                <w:b/>
                <w:bCs/>
                <w:kern w:val="2"/>
                <w:sz w:val="14"/>
                <w:szCs w:val="14"/>
                <w:lang w:eastAsia="ko-KR"/>
                <w14:ligatures w14:val="standardContextual"/>
              </w:rPr>
            </w:pPr>
            <w:r w:rsidRPr="004E13E9">
              <w:rPr>
                <w:b/>
                <w:bCs/>
                <w:sz w:val="14"/>
                <w:szCs w:val="14"/>
              </w:rPr>
              <w:t>2016,86</w:t>
            </w:r>
          </w:p>
        </w:tc>
        <w:tc>
          <w:tcPr>
            <w:tcW w:w="746" w:type="dxa"/>
            <w:tcBorders>
              <w:top w:val="nil"/>
              <w:left w:val="nil"/>
              <w:bottom w:val="single" w:sz="8" w:space="0" w:color="auto"/>
              <w:right w:val="single" w:sz="8" w:space="0" w:color="auto"/>
            </w:tcBorders>
            <w:vAlign w:val="center"/>
          </w:tcPr>
          <w:p w14:paraId="6EE4B440" w14:textId="77777777" w:rsidR="00827114" w:rsidRPr="004E13E9" w:rsidRDefault="00827114" w:rsidP="000D1853">
            <w:pPr>
              <w:spacing w:line="276" w:lineRule="auto"/>
              <w:ind w:right="-147"/>
              <w:rPr>
                <w:rFonts w:eastAsia="Times New Roman" w:cs="Calibri"/>
                <w:b/>
                <w:bCs/>
                <w:kern w:val="2"/>
                <w:sz w:val="14"/>
                <w:szCs w:val="14"/>
                <w:lang w:eastAsia="ko-KR"/>
                <w14:ligatures w14:val="standardContextual"/>
              </w:rPr>
            </w:pPr>
            <w:r w:rsidRPr="004E13E9">
              <w:rPr>
                <w:b/>
                <w:bCs/>
                <w:sz w:val="14"/>
                <w:szCs w:val="14"/>
              </w:rPr>
              <w:t>2016,86</w:t>
            </w:r>
          </w:p>
        </w:tc>
        <w:tc>
          <w:tcPr>
            <w:tcW w:w="853" w:type="dxa"/>
            <w:tcBorders>
              <w:top w:val="nil"/>
              <w:left w:val="nil"/>
              <w:bottom w:val="single" w:sz="8" w:space="0" w:color="auto"/>
              <w:right w:val="single" w:sz="8" w:space="0" w:color="auto"/>
            </w:tcBorders>
            <w:vAlign w:val="center"/>
          </w:tcPr>
          <w:p w14:paraId="56E3F263" w14:textId="77777777" w:rsidR="00827114" w:rsidRPr="004E13E9" w:rsidRDefault="00827114" w:rsidP="000D1853">
            <w:pPr>
              <w:spacing w:line="276" w:lineRule="auto"/>
              <w:rPr>
                <w:rFonts w:eastAsia="Times New Roman" w:cs="Calibri"/>
                <w:b/>
                <w:bCs/>
                <w:kern w:val="2"/>
                <w:sz w:val="14"/>
                <w:szCs w:val="14"/>
                <w:lang w:eastAsia="ja-JP"/>
                <w14:ligatures w14:val="standardContextual"/>
              </w:rPr>
            </w:pPr>
            <w:r w:rsidRPr="004E13E9">
              <w:rPr>
                <w:b/>
                <w:bCs/>
                <w:sz w:val="14"/>
                <w:szCs w:val="14"/>
              </w:rPr>
              <w:t>2066,64</w:t>
            </w:r>
          </w:p>
        </w:tc>
      </w:tr>
      <w:tr w:rsidR="00827114" w:rsidRPr="004E13E9" w14:paraId="336CB4C3" w14:textId="77777777" w:rsidTr="000D1853">
        <w:trPr>
          <w:trHeight w:val="20"/>
        </w:trPr>
        <w:tc>
          <w:tcPr>
            <w:tcW w:w="3256" w:type="dxa"/>
            <w:noWrap/>
            <w:vAlign w:val="center"/>
            <w:hideMark/>
          </w:tcPr>
          <w:p w14:paraId="1FC351ED" w14:textId="77777777" w:rsidR="00827114" w:rsidRPr="004E13E9" w:rsidRDefault="00827114" w:rsidP="000D1853">
            <w:pPr>
              <w:spacing w:line="276" w:lineRule="auto"/>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Palangrier de plus de 40 m</w:t>
            </w:r>
          </w:p>
        </w:tc>
        <w:tc>
          <w:tcPr>
            <w:tcW w:w="992" w:type="dxa"/>
            <w:noWrap/>
            <w:vAlign w:val="center"/>
            <w:hideMark/>
          </w:tcPr>
          <w:p w14:paraId="232AB01E" w14:textId="77777777" w:rsidR="00827114" w:rsidRPr="004E13E9" w:rsidRDefault="00827114" w:rsidP="000D1853">
            <w:pPr>
              <w:spacing w:line="276" w:lineRule="auto"/>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25</w:t>
            </w:r>
          </w:p>
        </w:tc>
        <w:tc>
          <w:tcPr>
            <w:tcW w:w="567" w:type="dxa"/>
            <w:tcBorders>
              <w:top w:val="single" w:sz="8" w:space="0" w:color="auto"/>
              <w:left w:val="nil"/>
              <w:bottom w:val="single" w:sz="8" w:space="0" w:color="auto"/>
              <w:right w:val="single" w:sz="4" w:space="0" w:color="auto"/>
            </w:tcBorders>
            <w:vAlign w:val="center"/>
          </w:tcPr>
          <w:p w14:paraId="37B33029"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sz w:val="16"/>
                <w:szCs w:val="16"/>
                <w:lang w:eastAsia="ja-JP"/>
              </w:rPr>
              <w:t>15</w:t>
            </w:r>
          </w:p>
        </w:tc>
        <w:tc>
          <w:tcPr>
            <w:tcW w:w="489" w:type="dxa"/>
            <w:tcBorders>
              <w:top w:val="nil"/>
              <w:left w:val="single" w:sz="4" w:space="0" w:color="auto"/>
              <w:bottom w:val="single" w:sz="8" w:space="0" w:color="auto"/>
              <w:right w:val="single" w:sz="8" w:space="0" w:color="auto"/>
            </w:tcBorders>
            <w:noWrap/>
            <w:vAlign w:val="center"/>
            <w:hideMark/>
          </w:tcPr>
          <w:p w14:paraId="704B76C0"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645" w:type="dxa"/>
            <w:tcBorders>
              <w:top w:val="nil"/>
              <w:left w:val="nil"/>
              <w:bottom w:val="single" w:sz="8" w:space="0" w:color="auto"/>
              <w:right w:val="single" w:sz="8" w:space="0" w:color="auto"/>
            </w:tcBorders>
            <w:vAlign w:val="center"/>
            <w:hideMark/>
          </w:tcPr>
          <w:p w14:paraId="1A178622"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09" w:type="dxa"/>
            <w:tcBorders>
              <w:top w:val="nil"/>
              <w:left w:val="nil"/>
              <w:bottom w:val="single" w:sz="8" w:space="0" w:color="auto"/>
              <w:right w:val="single" w:sz="8" w:space="0" w:color="auto"/>
            </w:tcBorders>
            <w:vAlign w:val="center"/>
            <w:hideMark/>
          </w:tcPr>
          <w:p w14:paraId="13818CDD"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08" w:type="dxa"/>
            <w:tcBorders>
              <w:top w:val="nil"/>
              <w:left w:val="nil"/>
              <w:bottom w:val="single" w:sz="8" w:space="0" w:color="auto"/>
              <w:right w:val="single" w:sz="8" w:space="0" w:color="auto"/>
            </w:tcBorders>
            <w:vAlign w:val="center"/>
            <w:hideMark/>
          </w:tcPr>
          <w:p w14:paraId="6C05AAD6"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09" w:type="dxa"/>
            <w:tcBorders>
              <w:top w:val="nil"/>
              <w:left w:val="nil"/>
              <w:bottom w:val="single" w:sz="8" w:space="0" w:color="auto"/>
              <w:right w:val="single" w:sz="4" w:space="0" w:color="auto"/>
            </w:tcBorders>
            <w:vAlign w:val="center"/>
          </w:tcPr>
          <w:p w14:paraId="3077C88F"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sz w:val="16"/>
                <w:szCs w:val="16"/>
              </w:rPr>
              <w:t>0</w:t>
            </w:r>
          </w:p>
        </w:tc>
        <w:tc>
          <w:tcPr>
            <w:tcW w:w="623" w:type="dxa"/>
            <w:vAlign w:val="center"/>
          </w:tcPr>
          <w:p w14:paraId="7E55D051" w14:textId="77777777" w:rsidR="00827114" w:rsidRPr="004E13E9" w:rsidRDefault="00827114" w:rsidP="000D1853">
            <w:pPr>
              <w:spacing w:line="276" w:lineRule="auto"/>
              <w:jc w:val="center"/>
              <w:rPr>
                <w:sz w:val="16"/>
                <w:szCs w:val="16"/>
              </w:rPr>
            </w:pPr>
            <w:r w:rsidRPr="004E13E9">
              <w:rPr>
                <w:sz w:val="16"/>
                <w:szCs w:val="16"/>
              </w:rPr>
              <w:t>0</w:t>
            </w:r>
          </w:p>
        </w:tc>
        <w:tc>
          <w:tcPr>
            <w:tcW w:w="253" w:type="dxa"/>
            <w:shd w:val="clear" w:color="000000" w:fill="D9D9D9"/>
            <w:vAlign w:val="center"/>
            <w:hideMark/>
          </w:tcPr>
          <w:p w14:paraId="3D25A05F"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716" w:type="dxa"/>
            <w:tcBorders>
              <w:top w:val="nil"/>
              <w:left w:val="single" w:sz="4" w:space="0" w:color="auto"/>
              <w:bottom w:val="single" w:sz="8" w:space="0" w:color="auto"/>
              <w:right w:val="single" w:sz="4" w:space="0" w:color="auto"/>
            </w:tcBorders>
            <w:vAlign w:val="center"/>
          </w:tcPr>
          <w:p w14:paraId="67863A8B"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sz w:val="16"/>
                <w:szCs w:val="16"/>
                <w:lang w:eastAsia="ja-JP"/>
              </w:rPr>
              <w:t>375</w:t>
            </w:r>
          </w:p>
        </w:tc>
        <w:tc>
          <w:tcPr>
            <w:tcW w:w="808" w:type="dxa"/>
            <w:tcBorders>
              <w:top w:val="nil"/>
              <w:left w:val="single" w:sz="4" w:space="0" w:color="auto"/>
              <w:bottom w:val="single" w:sz="8" w:space="0" w:color="auto"/>
              <w:right w:val="nil"/>
            </w:tcBorders>
            <w:vAlign w:val="center"/>
            <w:hideMark/>
          </w:tcPr>
          <w:p w14:paraId="2380E521"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19" w:type="dxa"/>
            <w:tcBorders>
              <w:top w:val="nil"/>
              <w:left w:val="single" w:sz="4" w:space="0" w:color="auto"/>
              <w:bottom w:val="single" w:sz="8" w:space="0" w:color="auto"/>
              <w:right w:val="single" w:sz="4" w:space="0" w:color="auto"/>
            </w:tcBorders>
            <w:vAlign w:val="center"/>
            <w:hideMark/>
          </w:tcPr>
          <w:p w14:paraId="22E2D56B"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38" w:type="dxa"/>
            <w:tcBorders>
              <w:top w:val="nil"/>
              <w:left w:val="nil"/>
              <w:bottom w:val="single" w:sz="8" w:space="0" w:color="auto"/>
              <w:right w:val="single" w:sz="4" w:space="0" w:color="auto"/>
            </w:tcBorders>
            <w:vAlign w:val="center"/>
            <w:hideMark/>
          </w:tcPr>
          <w:p w14:paraId="732226B6"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963" w:type="dxa"/>
            <w:tcBorders>
              <w:top w:val="nil"/>
              <w:left w:val="nil"/>
              <w:bottom w:val="single" w:sz="8" w:space="0" w:color="auto"/>
              <w:right w:val="single" w:sz="8" w:space="0" w:color="auto"/>
            </w:tcBorders>
            <w:vAlign w:val="center"/>
            <w:hideMark/>
          </w:tcPr>
          <w:p w14:paraId="003400D8"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46" w:type="dxa"/>
            <w:tcBorders>
              <w:top w:val="nil"/>
              <w:left w:val="nil"/>
              <w:bottom w:val="single" w:sz="8" w:space="0" w:color="auto"/>
              <w:right w:val="single" w:sz="8" w:space="0" w:color="auto"/>
            </w:tcBorders>
            <w:vAlign w:val="center"/>
            <w:hideMark/>
          </w:tcPr>
          <w:p w14:paraId="66110129"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853" w:type="dxa"/>
            <w:tcBorders>
              <w:top w:val="nil"/>
              <w:left w:val="nil"/>
              <w:bottom w:val="single" w:sz="8" w:space="0" w:color="auto"/>
              <w:right w:val="single" w:sz="8" w:space="0" w:color="auto"/>
            </w:tcBorders>
            <w:vAlign w:val="center"/>
          </w:tcPr>
          <w:p w14:paraId="35665F8F"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sz w:val="16"/>
                <w:szCs w:val="16"/>
              </w:rPr>
              <w:t>0</w:t>
            </w:r>
          </w:p>
        </w:tc>
      </w:tr>
      <w:tr w:rsidR="00827114" w:rsidRPr="004E13E9" w14:paraId="41A1A52B" w14:textId="77777777" w:rsidTr="000D1853">
        <w:trPr>
          <w:trHeight w:val="20"/>
        </w:trPr>
        <w:tc>
          <w:tcPr>
            <w:tcW w:w="3256" w:type="dxa"/>
            <w:noWrap/>
            <w:vAlign w:val="center"/>
            <w:hideMark/>
          </w:tcPr>
          <w:p w14:paraId="6C5F5F13" w14:textId="77777777" w:rsidR="00827114" w:rsidRPr="004E13E9" w:rsidRDefault="00827114" w:rsidP="000D1853">
            <w:pPr>
              <w:spacing w:line="276" w:lineRule="auto"/>
              <w:rPr>
                <w:rFonts w:eastAsia="Times New Roman" w:cs="Calibri"/>
                <w:kern w:val="2"/>
                <w:sz w:val="16"/>
                <w:szCs w:val="16"/>
                <w:lang w:eastAsia="ko-KR"/>
                <w14:ligatures w14:val="standardContextual"/>
              </w:rPr>
            </w:pPr>
            <w:proofErr w:type="spellStart"/>
            <w:r w:rsidRPr="004E13E9">
              <w:rPr>
                <w:rFonts w:eastAsia="Malgun Gothic"/>
                <w:kern w:val="2"/>
                <w:sz w:val="16"/>
                <w:szCs w:val="16"/>
                <w:lang w:eastAsia="ko-KR"/>
                <w14:ligatures w14:val="standardContextual"/>
              </w:rPr>
              <w:t>Palangrier</w:t>
            </w:r>
            <w:proofErr w:type="spellEnd"/>
            <w:r w:rsidRPr="004E13E9">
              <w:rPr>
                <w:rFonts w:eastAsia="Malgun Gothic"/>
                <w:kern w:val="2"/>
                <w:sz w:val="16"/>
                <w:szCs w:val="16"/>
                <w:lang w:eastAsia="ko-KR"/>
                <w14:ligatures w14:val="standardContextual"/>
              </w:rPr>
              <w:t xml:space="preserve"> entre 24 et 40 m</w:t>
            </w:r>
          </w:p>
        </w:tc>
        <w:tc>
          <w:tcPr>
            <w:tcW w:w="992" w:type="dxa"/>
            <w:noWrap/>
            <w:vAlign w:val="center"/>
            <w:hideMark/>
          </w:tcPr>
          <w:p w14:paraId="21CF4B9F" w14:textId="77777777" w:rsidR="00827114" w:rsidRPr="004E13E9" w:rsidRDefault="00827114" w:rsidP="000D1853">
            <w:pPr>
              <w:spacing w:line="276" w:lineRule="auto"/>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5,68</w:t>
            </w:r>
          </w:p>
        </w:tc>
        <w:tc>
          <w:tcPr>
            <w:tcW w:w="567" w:type="dxa"/>
            <w:tcBorders>
              <w:top w:val="single" w:sz="8" w:space="0" w:color="auto"/>
              <w:left w:val="nil"/>
              <w:bottom w:val="single" w:sz="8" w:space="0" w:color="auto"/>
              <w:right w:val="single" w:sz="4" w:space="0" w:color="auto"/>
            </w:tcBorders>
            <w:vAlign w:val="center"/>
          </w:tcPr>
          <w:p w14:paraId="2894E602"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sz w:val="16"/>
                <w:szCs w:val="16"/>
                <w:lang w:eastAsia="ja-JP"/>
              </w:rPr>
              <w:t>1</w:t>
            </w:r>
          </w:p>
        </w:tc>
        <w:tc>
          <w:tcPr>
            <w:tcW w:w="489" w:type="dxa"/>
            <w:tcBorders>
              <w:top w:val="nil"/>
              <w:left w:val="single" w:sz="4" w:space="0" w:color="auto"/>
              <w:bottom w:val="single" w:sz="8" w:space="0" w:color="auto"/>
              <w:right w:val="single" w:sz="8" w:space="0" w:color="auto"/>
            </w:tcBorders>
            <w:noWrap/>
            <w:vAlign w:val="center"/>
            <w:hideMark/>
          </w:tcPr>
          <w:p w14:paraId="7348ACFF"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1</w:t>
            </w:r>
          </w:p>
        </w:tc>
        <w:tc>
          <w:tcPr>
            <w:tcW w:w="645" w:type="dxa"/>
            <w:tcBorders>
              <w:top w:val="nil"/>
              <w:left w:val="nil"/>
              <w:bottom w:val="single" w:sz="8" w:space="0" w:color="auto"/>
              <w:right w:val="single" w:sz="8" w:space="0" w:color="auto"/>
            </w:tcBorders>
            <w:vAlign w:val="center"/>
            <w:hideMark/>
          </w:tcPr>
          <w:p w14:paraId="46219D69"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1</w:t>
            </w:r>
          </w:p>
        </w:tc>
        <w:tc>
          <w:tcPr>
            <w:tcW w:w="709" w:type="dxa"/>
            <w:tcBorders>
              <w:top w:val="nil"/>
              <w:left w:val="nil"/>
              <w:bottom w:val="single" w:sz="8" w:space="0" w:color="auto"/>
              <w:right w:val="single" w:sz="8" w:space="0" w:color="auto"/>
            </w:tcBorders>
            <w:vAlign w:val="center"/>
            <w:hideMark/>
          </w:tcPr>
          <w:p w14:paraId="12A098D8"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08" w:type="dxa"/>
            <w:tcBorders>
              <w:top w:val="nil"/>
              <w:left w:val="nil"/>
              <w:bottom w:val="single" w:sz="8" w:space="0" w:color="auto"/>
              <w:right w:val="single" w:sz="8" w:space="0" w:color="auto"/>
            </w:tcBorders>
            <w:vAlign w:val="center"/>
            <w:hideMark/>
          </w:tcPr>
          <w:p w14:paraId="361445D3"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09" w:type="dxa"/>
            <w:tcBorders>
              <w:top w:val="nil"/>
              <w:left w:val="nil"/>
              <w:bottom w:val="single" w:sz="8" w:space="0" w:color="auto"/>
              <w:right w:val="single" w:sz="4" w:space="0" w:color="auto"/>
            </w:tcBorders>
            <w:vAlign w:val="center"/>
          </w:tcPr>
          <w:p w14:paraId="42C781B3"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sz w:val="16"/>
                <w:szCs w:val="16"/>
              </w:rPr>
              <w:t>0</w:t>
            </w:r>
          </w:p>
        </w:tc>
        <w:tc>
          <w:tcPr>
            <w:tcW w:w="623" w:type="dxa"/>
            <w:vAlign w:val="center"/>
          </w:tcPr>
          <w:p w14:paraId="7AC785E4" w14:textId="77777777" w:rsidR="00827114" w:rsidRPr="004E13E9" w:rsidRDefault="00827114" w:rsidP="000D1853">
            <w:pPr>
              <w:spacing w:line="276" w:lineRule="auto"/>
              <w:jc w:val="center"/>
              <w:rPr>
                <w:sz w:val="16"/>
                <w:szCs w:val="16"/>
              </w:rPr>
            </w:pPr>
            <w:r w:rsidRPr="004E13E9">
              <w:rPr>
                <w:sz w:val="16"/>
                <w:szCs w:val="16"/>
              </w:rPr>
              <w:t>0</w:t>
            </w:r>
          </w:p>
        </w:tc>
        <w:tc>
          <w:tcPr>
            <w:tcW w:w="253" w:type="dxa"/>
            <w:shd w:val="clear" w:color="000000" w:fill="D9D9D9"/>
            <w:vAlign w:val="center"/>
            <w:hideMark/>
          </w:tcPr>
          <w:p w14:paraId="5368822C"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716" w:type="dxa"/>
            <w:tcBorders>
              <w:top w:val="nil"/>
              <w:left w:val="single" w:sz="4" w:space="0" w:color="auto"/>
              <w:bottom w:val="single" w:sz="8" w:space="0" w:color="auto"/>
              <w:right w:val="single" w:sz="4" w:space="0" w:color="auto"/>
            </w:tcBorders>
            <w:vAlign w:val="center"/>
          </w:tcPr>
          <w:p w14:paraId="6B56C60C"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sz w:val="16"/>
                <w:szCs w:val="16"/>
                <w:lang w:eastAsia="ja-JP"/>
              </w:rPr>
              <w:t>5,68</w:t>
            </w:r>
          </w:p>
        </w:tc>
        <w:tc>
          <w:tcPr>
            <w:tcW w:w="808" w:type="dxa"/>
            <w:tcBorders>
              <w:top w:val="nil"/>
              <w:left w:val="single" w:sz="4" w:space="0" w:color="auto"/>
              <w:bottom w:val="single" w:sz="8" w:space="0" w:color="auto"/>
              <w:right w:val="nil"/>
            </w:tcBorders>
            <w:vAlign w:val="center"/>
            <w:hideMark/>
          </w:tcPr>
          <w:p w14:paraId="7AF8A20F"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5,68</w:t>
            </w:r>
          </w:p>
        </w:tc>
        <w:tc>
          <w:tcPr>
            <w:tcW w:w="719" w:type="dxa"/>
            <w:tcBorders>
              <w:top w:val="nil"/>
              <w:left w:val="single" w:sz="4" w:space="0" w:color="auto"/>
              <w:bottom w:val="single" w:sz="8" w:space="0" w:color="auto"/>
              <w:right w:val="single" w:sz="4" w:space="0" w:color="auto"/>
            </w:tcBorders>
            <w:vAlign w:val="center"/>
            <w:hideMark/>
          </w:tcPr>
          <w:p w14:paraId="2F6E0246"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5,68</w:t>
            </w:r>
          </w:p>
        </w:tc>
        <w:tc>
          <w:tcPr>
            <w:tcW w:w="738" w:type="dxa"/>
            <w:tcBorders>
              <w:top w:val="nil"/>
              <w:left w:val="nil"/>
              <w:bottom w:val="single" w:sz="8" w:space="0" w:color="auto"/>
              <w:right w:val="single" w:sz="4" w:space="0" w:color="auto"/>
            </w:tcBorders>
            <w:vAlign w:val="center"/>
            <w:hideMark/>
          </w:tcPr>
          <w:p w14:paraId="2A5A15C4"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963" w:type="dxa"/>
            <w:tcBorders>
              <w:top w:val="nil"/>
              <w:left w:val="nil"/>
              <w:bottom w:val="single" w:sz="8" w:space="0" w:color="auto"/>
              <w:right w:val="single" w:sz="8" w:space="0" w:color="auto"/>
            </w:tcBorders>
            <w:vAlign w:val="center"/>
            <w:hideMark/>
          </w:tcPr>
          <w:p w14:paraId="5D01CDFA"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46" w:type="dxa"/>
            <w:tcBorders>
              <w:top w:val="nil"/>
              <w:left w:val="nil"/>
              <w:bottom w:val="single" w:sz="8" w:space="0" w:color="auto"/>
              <w:right w:val="single" w:sz="8" w:space="0" w:color="auto"/>
            </w:tcBorders>
            <w:vAlign w:val="center"/>
            <w:hideMark/>
          </w:tcPr>
          <w:p w14:paraId="2947DE7E"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853" w:type="dxa"/>
            <w:tcBorders>
              <w:top w:val="nil"/>
              <w:left w:val="nil"/>
              <w:bottom w:val="single" w:sz="8" w:space="0" w:color="auto"/>
              <w:right w:val="single" w:sz="8" w:space="0" w:color="auto"/>
            </w:tcBorders>
            <w:vAlign w:val="center"/>
          </w:tcPr>
          <w:p w14:paraId="452F461D"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sz w:val="16"/>
                <w:szCs w:val="16"/>
              </w:rPr>
              <w:t>0</w:t>
            </w:r>
          </w:p>
        </w:tc>
      </w:tr>
      <w:tr w:rsidR="00827114" w:rsidRPr="004E13E9" w14:paraId="3BBA5C31" w14:textId="77777777" w:rsidTr="000D1853">
        <w:trPr>
          <w:trHeight w:val="20"/>
        </w:trPr>
        <w:tc>
          <w:tcPr>
            <w:tcW w:w="3256" w:type="dxa"/>
            <w:noWrap/>
            <w:vAlign w:val="center"/>
            <w:hideMark/>
          </w:tcPr>
          <w:p w14:paraId="714A4C44" w14:textId="77777777" w:rsidR="00827114" w:rsidRPr="004E13E9" w:rsidRDefault="00827114" w:rsidP="000D1853">
            <w:pPr>
              <w:spacing w:line="276" w:lineRule="auto"/>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Palangrier de moins de 24 m</w:t>
            </w:r>
          </w:p>
        </w:tc>
        <w:tc>
          <w:tcPr>
            <w:tcW w:w="992" w:type="dxa"/>
            <w:noWrap/>
            <w:vAlign w:val="center"/>
            <w:hideMark/>
          </w:tcPr>
          <w:p w14:paraId="4A5CD140" w14:textId="77777777" w:rsidR="00827114" w:rsidRPr="004E13E9" w:rsidRDefault="00827114" w:rsidP="000D1853">
            <w:pPr>
              <w:spacing w:line="276" w:lineRule="auto"/>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5</w:t>
            </w:r>
          </w:p>
        </w:tc>
        <w:tc>
          <w:tcPr>
            <w:tcW w:w="567" w:type="dxa"/>
            <w:tcBorders>
              <w:top w:val="single" w:sz="8" w:space="0" w:color="auto"/>
              <w:left w:val="nil"/>
              <w:bottom w:val="single" w:sz="8" w:space="0" w:color="auto"/>
              <w:right w:val="single" w:sz="4" w:space="0" w:color="auto"/>
            </w:tcBorders>
            <w:vAlign w:val="center"/>
          </w:tcPr>
          <w:p w14:paraId="65D46A86"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sz w:val="16"/>
                <w:szCs w:val="16"/>
                <w:lang w:eastAsia="ja-JP"/>
              </w:rPr>
              <w:t>1</w:t>
            </w:r>
          </w:p>
        </w:tc>
        <w:tc>
          <w:tcPr>
            <w:tcW w:w="489" w:type="dxa"/>
            <w:tcBorders>
              <w:top w:val="nil"/>
              <w:left w:val="single" w:sz="4" w:space="0" w:color="auto"/>
              <w:bottom w:val="single" w:sz="8" w:space="0" w:color="auto"/>
              <w:right w:val="single" w:sz="8" w:space="0" w:color="auto"/>
            </w:tcBorders>
            <w:noWrap/>
            <w:vAlign w:val="center"/>
            <w:hideMark/>
          </w:tcPr>
          <w:p w14:paraId="21079490"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1</w:t>
            </w:r>
          </w:p>
        </w:tc>
        <w:tc>
          <w:tcPr>
            <w:tcW w:w="645" w:type="dxa"/>
            <w:tcBorders>
              <w:top w:val="nil"/>
              <w:left w:val="nil"/>
              <w:bottom w:val="single" w:sz="8" w:space="0" w:color="auto"/>
              <w:right w:val="single" w:sz="8" w:space="0" w:color="auto"/>
            </w:tcBorders>
            <w:vAlign w:val="center"/>
            <w:hideMark/>
          </w:tcPr>
          <w:p w14:paraId="3ADB11C8"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09" w:type="dxa"/>
            <w:tcBorders>
              <w:top w:val="nil"/>
              <w:left w:val="nil"/>
              <w:bottom w:val="single" w:sz="8" w:space="0" w:color="auto"/>
              <w:right w:val="single" w:sz="8" w:space="0" w:color="auto"/>
            </w:tcBorders>
            <w:vAlign w:val="center"/>
            <w:hideMark/>
          </w:tcPr>
          <w:p w14:paraId="01460BB6"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08" w:type="dxa"/>
            <w:tcBorders>
              <w:top w:val="nil"/>
              <w:left w:val="nil"/>
              <w:bottom w:val="single" w:sz="8" w:space="0" w:color="auto"/>
              <w:right w:val="single" w:sz="8" w:space="0" w:color="auto"/>
            </w:tcBorders>
            <w:vAlign w:val="center"/>
            <w:hideMark/>
          </w:tcPr>
          <w:p w14:paraId="773C07BA"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09" w:type="dxa"/>
            <w:tcBorders>
              <w:top w:val="nil"/>
              <w:left w:val="nil"/>
              <w:bottom w:val="single" w:sz="8" w:space="0" w:color="auto"/>
              <w:right w:val="single" w:sz="4" w:space="0" w:color="auto"/>
            </w:tcBorders>
            <w:vAlign w:val="center"/>
          </w:tcPr>
          <w:p w14:paraId="550156C4"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sz w:val="16"/>
                <w:szCs w:val="16"/>
              </w:rPr>
              <w:t>0</w:t>
            </w:r>
          </w:p>
        </w:tc>
        <w:tc>
          <w:tcPr>
            <w:tcW w:w="623" w:type="dxa"/>
            <w:vAlign w:val="center"/>
          </w:tcPr>
          <w:p w14:paraId="2F6A8DAC" w14:textId="77777777" w:rsidR="00827114" w:rsidRPr="004E13E9" w:rsidRDefault="00827114" w:rsidP="000D1853">
            <w:pPr>
              <w:spacing w:line="276" w:lineRule="auto"/>
              <w:jc w:val="center"/>
              <w:rPr>
                <w:sz w:val="16"/>
                <w:szCs w:val="16"/>
              </w:rPr>
            </w:pPr>
            <w:r w:rsidRPr="004E13E9">
              <w:rPr>
                <w:sz w:val="16"/>
                <w:szCs w:val="16"/>
              </w:rPr>
              <w:t>0</w:t>
            </w:r>
          </w:p>
        </w:tc>
        <w:tc>
          <w:tcPr>
            <w:tcW w:w="253" w:type="dxa"/>
            <w:shd w:val="clear" w:color="000000" w:fill="D9D9D9"/>
            <w:vAlign w:val="center"/>
            <w:hideMark/>
          </w:tcPr>
          <w:p w14:paraId="25C9CB9D"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716" w:type="dxa"/>
            <w:tcBorders>
              <w:top w:val="nil"/>
              <w:left w:val="single" w:sz="4" w:space="0" w:color="auto"/>
              <w:bottom w:val="single" w:sz="8" w:space="0" w:color="auto"/>
              <w:right w:val="single" w:sz="4" w:space="0" w:color="auto"/>
            </w:tcBorders>
            <w:vAlign w:val="center"/>
          </w:tcPr>
          <w:p w14:paraId="49950E7E"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sz w:val="16"/>
                <w:szCs w:val="16"/>
                <w:lang w:eastAsia="ja-JP"/>
              </w:rPr>
              <w:t>5</w:t>
            </w:r>
          </w:p>
        </w:tc>
        <w:tc>
          <w:tcPr>
            <w:tcW w:w="808" w:type="dxa"/>
            <w:tcBorders>
              <w:top w:val="nil"/>
              <w:left w:val="single" w:sz="4" w:space="0" w:color="auto"/>
              <w:bottom w:val="single" w:sz="8" w:space="0" w:color="auto"/>
              <w:right w:val="nil"/>
            </w:tcBorders>
            <w:vAlign w:val="center"/>
            <w:hideMark/>
          </w:tcPr>
          <w:p w14:paraId="7659C40C"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5</w:t>
            </w:r>
          </w:p>
        </w:tc>
        <w:tc>
          <w:tcPr>
            <w:tcW w:w="719" w:type="dxa"/>
            <w:tcBorders>
              <w:top w:val="nil"/>
              <w:left w:val="single" w:sz="4" w:space="0" w:color="auto"/>
              <w:bottom w:val="single" w:sz="8" w:space="0" w:color="auto"/>
              <w:right w:val="single" w:sz="4" w:space="0" w:color="auto"/>
            </w:tcBorders>
            <w:vAlign w:val="center"/>
            <w:hideMark/>
          </w:tcPr>
          <w:p w14:paraId="6CC2FD1D"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38" w:type="dxa"/>
            <w:tcBorders>
              <w:top w:val="nil"/>
              <w:left w:val="nil"/>
              <w:bottom w:val="single" w:sz="8" w:space="0" w:color="auto"/>
              <w:right w:val="single" w:sz="4" w:space="0" w:color="auto"/>
            </w:tcBorders>
            <w:vAlign w:val="center"/>
            <w:hideMark/>
          </w:tcPr>
          <w:p w14:paraId="0F752C03"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963" w:type="dxa"/>
            <w:tcBorders>
              <w:top w:val="nil"/>
              <w:left w:val="nil"/>
              <w:bottom w:val="single" w:sz="8" w:space="0" w:color="auto"/>
              <w:right w:val="single" w:sz="8" w:space="0" w:color="auto"/>
            </w:tcBorders>
            <w:vAlign w:val="center"/>
            <w:hideMark/>
          </w:tcPr>
          <w:p w14:paraId="1D2626EA"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46" w:type="dxa"/>
            <w:tcBorders>
              <w:top w:val="nil"/>
              <w:left w:val="nil"/>
              <w:bottom w:val="single" w:sz="8" w:space="0" w:color="auto"/>
              <w:right w:val="single" w:sz="8" w:space="0" w:color="auto"/>
            </w:tcBorders>
            <w:vAlign w:val="center"/>
            <w:hideMark/>
          </w:tcPr>
          <w:p w14:paraId="5BAF9ED8"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853" w:type="dxa"/>
            <w:tcBorders>
              <w:top w:val="nil"/>
              <w:left w:val="nil"/>
              <w:bottom w:val="single" w:sz="8" w:space="0" w:color="auto"/>
              <w:right w:val="single" w:sz="8" w:space="0" w:color="auto"/>
            </w:tcBorders>
            <w:vAlign w:val="center"/>
          </w:tcPr>
          <w:p w14:paraId="7B6DBB60"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sz w:val="16"/>
                <w:szCs w:val="16"/>
              </w:rPr>
              <w:t>0</w:t>
            </w:r>
          </w:p>
        </w:tc>
      </w:tr>
      <w:tr w:rsidR="00827114" w:rsidRPr="004E13E9" w14:paraId="57194E6E" w14:textId="77777777" w:rsidTr="000D1853">
        <w:trPr>
          <w:trHeight w:val="20"/>
        </w:trPr>
        <w:tc>
          <w:tcPr>
            <w:tcW w:w="3256" w:type="dxa"/>
            <w:noWrap/>
            <w:vAlign w:val="center"/>
            <w:hideMark/>
          </w:tcPr>
          <w:p w14:paraId="776FA9A0"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proofErr w:type="spellStart"/>
            <w:r w:rsidRPr="004E13E9">
              <w:rPr>
                <w:rFonts w:eastAsia="Malgun Gothic"/>
                <w:b/>
                <w:kern w:val="2"/>
                <w:sz w:val="16"/>
                <w:szCs w:val="16"/>
                <w:lang w:eastAsia="ko-KR"/>
                <w14:ligatures w14:val="standardContextual"/>
              </w:rPr>
              <w:t>Flottille</w:t>
            </w:r>
            <w:proofErr w:type="spellEnd"/>
            <w:r w:rsidRPr="004E13E9">
              <w:rPr>
                <w:rFonts w:eastAsia="Malgun Gothic"/>
                <w:b/>
                <w:kern w:val="2"/>
                <w:sz w:val="16"/>
                <w:szCs w:val="16"/>
                <w:lang w:eastAsia="ko-KR"/>
                <w14:ligatures w14:val="standardContextual"/>
              </w:rPr>
              <w:t xml:space="preserve"> </w:t>
            </w:r>
            <w:proofErr w:type="spellStart"/>
            <w:r w:rsidRPr="004E13E9">
              <w:rPr>
                <w:rFonts w:eastAsia="Malgun Gothic"/>
                <w:b/>
                <w:kern w:val="2"/>
                <w:sz w:val="16"/>
                <w:szCs w:val="16"/>
                <w:lang w:eastAsia="ko-KR"/>
                <w14:ligatures w14:val="standardContextual"/>
              </w:rPr>
              <w:t>totale</w:t>
            </w:r>
            <w:proofErr w:type="spellEnd"/>
            <w:r w:rsidRPr="004E13E9">
              <w:rPr>
                <w:rFonts w:eastAsia="Malgun Gothic"/>
                <w:b/>
                <w:kern w:val="2"/>
                <w:sz w:val="16"/>
                <w:szCs w:val="16"/>
                <w:lang w:eastAsia="ko-KR"/>
                <w14:ligatures w14:val="standardContextual"/>
              </w:rPr>
              <w:t xml:space="preserve"> de </w:t>
            </w:r>
            <w:proofErr w:type="spellStart"/>
            <w:r w:rsidRPr="004E13E9">
              <w:rPr>
                <w:rFonts w:eastAsia="Malgun Gothic"/>
                <w:b/>
                <w:kern w:val="2"/>
                <w:sz w:val="16"/>
                <w:szCs w:val="16"/>
                <w:lang w:eastAsia="ko-KR"/>
                <w14:ligatures w14:val="standardContextual"/>
              </w:rPr>
              <w:t>palangriers</w:t>
            </w:r>
            <w:proofErr w:type="spellEnd"/>
          </w:p>
        </w:tc>
        <w:tc>
          <w:tcPr>
            <w:tcW w:w="992" w:type="dxa"/>
            <w:noWrap/>
            <w:vAlign w:val="center"/>
            <w:hideMark/>
          </w:tcPr>
          <w:p w14:paraId="11CB5990" w14:textId="77777777" w:rsidR="00827114" w:rsidRPr="004E13E9" w:rsidRDefault="00827114" w:rsidP="000D1853">
            <w:pPr>
              <w:spacing w:line="276" w:lineRule="auto"/>
              <w:rPr>
                <w:rFonts w:eastAsia="Times New Roman"/>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567" w:type="dxa"/>
            <w:tcBorders>
              <w:top w:val="single" w:sz="8" w:space="0" w:color="auto"/>
              <w:left w:val="nil"/>
              <w:bottom w:val="single" w:sz="8" w:space="0" w:color="auto"/>
              <w:right w:val="single" w:sz="4" w:space="0" w:color="auto"/>
            </w:tcBorders>
            <w:vAlign w:val="center"/>
          </w:tcPr>
          <w:p w14:paraId="4137954C"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sz w:val="16"/>
                <w:szCs w:val="16"/>
                <w:lang w:eastAsia="ja-JP"/>
              </w:rPr>
              <w:t>17</w:t>
            </w:r>
          </w:p>
        </w:tc>
        <w:tc>
          <w:tcPr>
            <w:tcW w:w="489" w:type="dxa"/>
            <w:tcBorders>
              <w:top w:val="nil"/>
              <w:left w:val="single" w:sz="4" w:space="0" w:color="auto"/>
              <w:bottom w:val="single" w:sz="8" w:space="0" w:color="auto"/>
              <w:right w:val="single" w:sz="8" w:space="0" w:color="auto"/>
            </w:tcBorders>
            <w:noWrap/>
            <w:vAlign w:val="center"/>
            <w:hideMark/>
          </w:tcPr>
          <w:p w14:paraId="0C674FFE"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2</w:t>
            </w:r>
          </w:p>
        </w:tc>
        <w:tc>
          <w:tcPr>
            <w:tcW w:w="645" w:type="dxa"/>
            <w:tcBorders>
              <w:top w:val="nil"/>
              <w:left w:val="nil"/>
              <w:bottom w:val="single" w:sz="8" w:space="0" w:color="auto"/>
              <w:right w:val="single" w:sz="8" w:space="0" w:color="auto"/>
            </w:tcBorders>
            <w:vAlign w:val="center"/>
            <w:hideMark/>
          </w:tcPr>
          <w:p w14:paraId="72746C68"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1</w:t>
            </w:r>
          </w:p>
        </w:tc>
        <w:tc>
          <w:tcPr>
            <w:tcW w:w="709" w:type="dxa"/>
            <w:tcBorders>
              <w:top w:val="nil"/>
              <w:left w:val="nil"/>
              <w:bottom w:val="single" w:sz="8" w:space="0" w:color="auto"/>
              <w:right w:val="single" w:sz="8" w:space="0" w:color="auto"/>
            </w:tcBorders>
            <w:vAlign w:val="center"/>
            <w:hideMark/>
          </w:tcPr>
          <w:p w14:paraId="776FC744"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0</w:t>
            </w:r>
          </w:p>
        </w:tc>
        <w:tc>
          <w:tcPr>
            <w:tcW w:w="708" w:type="dxa"/>
            <w:tcBorders>
              <w:top w:val="nil"/>
              <w:left w:val="nil"/>
              <w:bottom w:val="single" w:sz="8" w:space="0" w:color="auto"/>
              <w:right w:val="single" w:sz="8" w:space="0" w:color="auto"/>
            </w:tcBorders>
            <w:vAlign w:val="center"/>
            <w:hideMark/>
          </w:tcPr>
          <w:p w14:paraId="163C74B7"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0</w:t>
            </w:r>
          </w:p>
        </w:tc>
        <w:tc>
          <w:tcPr>
            <w:tcW w:w="709" w:type="dxa"/>
            <w:tcBorders>
              <w:top w:val="nil"/>
              <w:left w:val="nil"/>
              <w:bottom w:val="single" w:sz="8" w:space="0" w:color="auto"/>
              <w:right w:val="single" w:sz="4" w:space="0" w:color="auto"/>
            </w:tcBorders>
            <w:vAlign w:val="center"/>
          </w:tcPr>
          <w:p w14:paraId="28565172"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b/>
                <w:bCs/>
                <w:sz w:val="16"/>
                <w:szCs w:val="16"/>
              </w:rPr>
              <w:t>0</w:t>
            </w:r>
          </w:p>
        </w:tc>
        <w:tc>
          <w:tcPr>
            <w:tcW w:w="623" w:type="dxa"/>
            <w:vAlign w:val="center"/>
          </w:tcPr>
          <w:p w14:paraId="127F4866" w14:textId="77777777" w:rsidR="00827114" w:rsidRPr="004E13E9" w:rsidRDefault="00827114" w:rsidP="000D1853">
            <w:pPr>
              <w:spacing w:line="276" w:lineRule="auto"/>
              <w:jc w:val="center"/>
              <w:rPr>
                <w:sz w:val="16"/>
                <w:szCs w:val="16"/>
              </w:rPr>
            </w:pPr>
            <w:r w:rsidRPr="004E13E9">
              <w:rPr>
                <w:sz w:val="16"/>
                <w:szCs w:val="16"/>
              </w:rPr>
              <w:t>0</w:t>
            </w:r>
          </w:p>
        </w:tc>
        <w:tc>
          <w:tcPr>
            <w:tcW w:w="253" w:type="dxa"/>
            <w:shd w:val="clear" w:color="000000" w:fill="D9D9D9"/>
            <w:vAlign w:val="center"/>
            <w:hideMark/>
          </w:tcPr>
          <w:p w14:paraId="38093D8F"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716" w:type="dxa"/>
            <w:tcBorders>
              <w:top w:val="nil"/>
              <w:left w:val="single" w:sz="4" w:space="0" w:color="auto"/>
              <w:bottom w:val="single" w:sz="8" w:space="0" w:color="auto"/>
              <w:right w:val="single" w:sz="4" w:space="0" w:color="auto"/>
            </w:tcBorders>
            <w:vAlign w:val="center"/>
          </w:tcPr>
          <w:p w14:paraId="558B5BE2"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sz w:val="16"/>
                <w:szCs w:val="16"/>
                <w:lang w:eastAsia="ja-JP"/>
              </w:rPr>
              <w:t>385,68</w:t>
            </w:r>
          </w:p>
        </w:tc>
        <w:tc>
          <w:tcPr>
            <w:tcW w:w="808" w:type="dxa"/>
            <w:tcBorders>
              <w:top w:val="nil"/>
              <w:left w:val="single" w:sz="4" w:space="0" w:color="auto"/>
              <w:bottom w:val="single" w:sz="8" w:space="0" w:color="auto"/>
              <w:right w:val="nil"/>
            </w:tcBorders>
            <w:vAlign w:val="center"/>
            <w:hideMark/>
          </w:tcPr>
          <w:p w14:paraId="5E50CB23"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10,68</w:t>
            </w:r>
          </w:p>
        </w:tc>
        <w:tc>
          <w:tcPr>
            <w:tcW w:w="719" w:type="dxa"/>
            <w:tcBorders>
              <w:top w:val="nil"/>
              <w:left w:val="single" w:sz="4" w:space="0" w:color="auto"/>
              <w:bottom w:val="single" w:sz="8" w:space="0" w:color="auto"/>
              <w:right w:val="single" w:sz="4" w:space="0" w:color="auto"/>
            </w:tcBorders>
            <w:vAlign w:val="center"/>
            <w:hideMark/>
          </w:tcPr>
          <w:p w14:paraId="5C8DD5FB"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5,68</w:t>
            </w:r>
          </w:p>
        </w:tc>
        <w:tc>
          <w:tcPr>
            <w:tcW w:w="738" w:type="dxa"/>
            <w:tcBorders>
              <w:top w:val="nil"/>
              <w:left w:val="nil"/>
              <w:bottom w:val="single" w:sz="8" w:space="0" w:color="auto"/>
              <w:right w:val="single" w:sz="4" w:space="0" w:color="auto"/>
            </w:tcBorders>
            <w:vAlign w:val="center"/>
            <w:hideMark/>
          </w:tcPr>
          <w:p w14:paraId="4856D6F9"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0</w:t>
            </w:r>
          </w:p>
        </w:tc>
        <w:tc>
          <w:tcPr>
            <w:tcW w:w="963" w:type="dxa"/>
            <w:tcBorders>
              <w:top w:val="nil"/>
              <w:left w:val="nil"/>
              <w:bottom w:val="single" w:sz="8" w:space="0" w:color="auto"/>
              <w:right w:val="single" w:sz="8" w:space="0" w:color="auto"/>
            </w:tcBorders>
            <w:vAlign w:val="center"/>
            <w:hideMark/>
          </w:tcPr>
          <w:p w14:paraId="4681F1A9"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0</w:t>
            </w:r>
          </w:p>
        </w:tc>
        <w:tc>
          <w:tcPr>
            <w:tcW w:w="746" w:type="dxa"/>
            <w:tcBorders>
              <w:top w:val="nil"/>
              <w:left w:val="nil"/>
              <w:bottom w:val="single" w:sz="8" w:space="0" w:color="auto"/>
              <w:right w:val="single" w:sz="8" w:space="0" w:color="auto"/>
            </w:tcBorders>
            <w:vAlign w:val="center"/>
            <w:hideMark/>
          </w:tcPr>
          <w:p w14:paraId="0220CD1F"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0</w:t>
            </w:r>
          </w:p>
        </w:tc>
        <w:tc>
          <w:tcPr>
            <w:tcW w:w="853" w:type="dxa"/>
            <w:tcBorders>
              <w:top w:val="nil"/>
              <w:left w:val="nil"/>
              <w:bottom w:val="single" w:sz="8" w:space="0" w:color="auto"/>
              <w:right w:val="single" w:sz="8" w:space="0" w:color="auto"/>
            </w:tcBorders>
            <w:vAlign w:val="center"/>
          </w:tcPr>
          <w:p w14:paraId="3F69C0E1"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b/>
                <w:bCs/>
                <w:sz w:val="16"/>
                <w:szCs w:val="16"/>
              </w:rPr>
              <w:t>0</w:t>
            </w:r>
          </w:p>
        </w:tc>
      </w:tr>
      <w:tr w:rsidR="00827114" w:rsidRPr="004E13E9" w14:paraId="21603B30" w14:textId="77777777" w:rsidTr="000D1853">
        <w:trPr>
          <w:trHeight w:val="20"/>
        </w:trPr>
        <w:tc>
          <w:tcPr>
            <w:tcW w:w="3256" w:type="dxa"/>
            <w:noWrap/>
            <w:vAlign w:val="center"/>
            <w:hideMark/>
          </w:tcPr>
          <w:p w14:paraId="00E2C8E0" w14:textId="77777777" w:rsidR="00827114" w:rsidRPr="004E13E9" w:rsidRDefault="00827114" w:rsidP="000D1853">
            <w:pPr>
              <w:spacing w:line="276" w:lineRule="auto"/>
              <w:rPr>
                <w:rFonts w:eastAsia="Times New Roman" w:cs="Calibri"/>
                <w:kern w:val="2"/>
                <w:sz w:val="16"/>
                <w:szCs w:val="16"/>
                <w:lang w:eastAsia="ko-KR"/>
                <w14:ligatures w14:val="standardContextual"/>
              </w:rPr>
            </w:pPr>
            <w:proofErr w:type="spellStart"/>
            <w:r w:rsidRPr="004E13E9">
              <w:rPr>
                <w:rFonts w:eastAsia="Malgun Gothic"/>
                <w:kern w:val="2"/>
                <w:sz w:val="16"/>
                <w:szCs w:val="16"/>
                <w:lang w:eastAsia="ko-KR"/>
                <w14:ligatures w14:val="standardContextual"/>
              </w:rPr>
              <w:t>Canneur</w:t>
            </w:r>
            <w:proofErr w:type="spellEnd"/>
          </w:p>
        </w:tc>
        <w:tc>
          <w:tcPr>
            <w:tcW w:w="992" w:type="dxa"/>
            <w:noWrap/>
            <w:vAlign w:val="center"/>
            <w:hideMark/>
          </w:tcPr>
          <w:p w14:paraId="1740F6F8" w14:textId="77777777" w:rsidR="00827114" w:rsidRPr="004E13E9" w:rsidRDefault="00827114" w:rsidP="000D1853">
            <w:pPr>
              <w:spacing w:line="276" w:lineRule="auto"/>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19,75</w:t>
            </w:r>
          </w:p>
        </w:tc>
        <w:tc>
          <w:tcPr>
            <w:tcW w:w="567" w:type="dxa"/>
            <w:tcBorders>
              <w:top w:val="single" w:sz="8" w:space="0" w:color="auto"/>
              <w:left w:val="nil"/>
              <w:bottom w:val="single" w:sz="8" w:space="0" w:color="auto"/>
              <w:right w:val="single" w:sz="4" w:space="0" w:color="auto"/>
            </w:tcBorders>
            <w:vAlign w:val="center"/>
          </w:tcPr>
          <w:p w14:paraId="324F4769"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sz w:val="16"/>
                <w:szCs w:val="16"/>
                <w:lang w:eastAsia="ja-JP"/>
              </w:rPr>
              <w:t>0</w:t>
            </w:r>
          </w:p>
        </w:tc>
        <w:tc>
          <w:tcPr>
            <w:tcW w:w="489" w:type="dxa"/>
            <w:tcBorders>
              <w:top w:val="nil"/>
              <w:left w:val="single" w:sz="4" w:space="0" w:color="auto"/>
              <w:bottom w:val="single" w:sz="8" w:space="0" w:color="auto"/>
              <w:right w:val="single" w:sz="8" w:space="0" w:color="auto"/>
            </w:tcBorders>
            <w:noWrap/>
            <w:vAlign w:val="center"/>
            <w:hideMark/>
          </w:tcPr>
          <w:p w14:paraId="267358C8"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645" w:type="dxa"/>
            <w:tcBorders>
              <w:top w:val="nil"/>
              <w:left w:val="nil"/>
              <w:bottom w:val="single" w:sz="8" w:space="0" w:color="auto"/>
              <w:right w:val="single" w:sz="8" w:space="0" w:color="auto"/>
            </w:tcBorders>
            <w:vAlign w:val="center"/>
            <w:hideMark/>
          </w:tcPr>
          <w:p w14:paraId="3221B362"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09" w:type="dxa"/>
            <w:tcBorders>
              <w:top w:val="nil"/>
              <w:left w:val="nil"/>
              <w:bottom w:val="single" w:sz="8" w:space="0" w:color="auto"/>
              <w:right w:val="single" w:sz="8" w:space="0" w:color="auto"/>
            </w:tcBorders>
            <w:vAlign w:val="center"/>
            <w:hideMark/>
          </w:tcPr>
          <w:p w14:paraId="51EB73B4"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08" w:type="dxa"/>
            <w:tcBorders>
              <w:top w:val="nil"/>
              <w:left w:val="nil"/>
              <w:bottom w:val="single" w:sz="8" w:space="0" w:color="auto"/>
              <w:right w:val="single" w:sz="8" w:space="0" w:color="auto"/>
            </w:tcBorders>
            <w:vAlign w:val="center"/>
            <w:hideMark/>
          </w:tcPr>
          <w:p w14:paraId="50C2B252"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09" w:type="dxa"/>
            <w:tcBorders>
              <w:top w:val="nil"/>
              <w:left w:val="nil"/>
              <w:bottom w:val="single" w:sz="8" w:space="0" w:color="auto"/>
              <w:right w:val="single" w:sz="4" w:space="0" w:color="auto"/>
            </w:tcBorders>
            <w:vAlign w:val="center"/>
          </w:tcPr>
          <w:p w14:paraId="583FC190"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sz w:val="16"/>
                <w:szCs w:val="16"/>
              </w:rPr>
              <w:t>0</w:t>
            </w:r>
          </w:p>
        </w:tc>
        <w:tc>
          <w:tcPr>
            <w:tcW w:w="623" w:type="dxa"/>
            <w:vAlign w:val="center"/>
          </w:tcPr>
          <w:p w14:paraId="20F19FFC" w14:textId="77777777" w:rsidR="00827114" w:rsidRPr="004E13E9" w:rsidRDefault="00827114" w:rsidP="000D1853">
            <w:pPr>
              <w:spacing w:line="276" w:lineRule="auto"/>
              <w:jc w:val="center"/>
              <w:rPr>
                <w:sz w:val="16"/>
                <w:szCs w:val="16"/>
              </w:rPr>
            </w:pPr>
            <w:r w:rsidRPr="004E13E9">
              <w:rPr>
                <w:sz w:val="16"/>
                <w:szCs w:val="16"/>
              </w:rPr>
              <w:t>0</w:t>
            </w:r>
          </w:p>
        </w:tc>
        <w:tc>
          <w:tcPr>
            <w:tcW w:w="253" w:type="dxa"/>
            <w:shd w:val="clear" w:color="000000" w:fill="D9D9D9"/>
            <w:vAlign w:val="center"/>
            <w:hideMark/>
          </w:tcPr>
          <w:p w14:paraId="709344E2"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716" w:type="dxa"/>
            <w:tcBorders>
              <w:top w:val="nil"/>
              <w:left w:val="single" w:sz="4" w:space="0" w:color="auto"/>
              <w:bottom w:val="single" w:sz="8" w:space="0" w:color="auto"/>
              <w:right w:val="single" w:sz="4" w:space="0" w:color="auto"/>
            </w:tcBorders>
            <w:vAlign w:val="center"/>
          </w:tcPr>
          <w:p w14:paraId="5CC69719"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sz w:val="16"/>
                <w:szCs w:val="16"/>
                <w:lang w:eastAsia="ja-JP"/>
              </w:rPr>
              <w:t>0</w:t>
            </w:r>
          </w:p>
        </w:tc>
        <w:tc>
          <w:tcPr>
            <w:tcW w:w="808" w:type="dxa"/>
            <w:tcBorders>
              <w:top w:val="nil"/>
              <w:left w:val="single" w:sz="4" w:space="0" w:color="auto"/>
              <w:bottom w:val="single" w:sz="8" w:space="0" w:color="auto"/>
              <w:right w:val="nil"/>
            </w:tcBorders>
            <w:vAlign w:val="center"/>
            <w:hideMark/>
          </w:tcPr>
          <w:p w14:paraId="499F83CE"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19" w:type="dxa"/>
            <w:tcBorders>
              <w:top w:val="nil"/>
              <w:left w:val="single" w:sz="4" w:space="0" w:color="auto"/>
              <w:bottom w:val="single" w:sz="8" w:space="0" w:color="auto"/>
              <w:right w:val="single" w:sz="4" w:space="0" w:color="auto"/>
            </w:tcBorders>
            <w:vAlign w:val="center"/>
            <w:hideMark/>
          </w:tcPr>
          <w:p w14:paraId="07905AFE"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38" w:type="dxa"/>
            <w:tcBorders>
              <w:top w:val="nil"/>
              <w:left w:val="nil"/>
              <w:bottom w:val="single" w:sz="8" w:space="0" w:color="auto"/>
              <w:right w:val="single" w:sz="4" w:space="0" w:color="auto"/>
            </w:tcBorders>
            <w:vAlign w:val="center"/>
            <w:hideMark/>
          </w:tcPr>
          <w:p w14:paraId="47FF7DFE"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963" w:type="dxa"/>
            <w:tcBorders>
              <w:top w:val="nil"/>
              <w:left w:val="nil"/>
              <w:bottom w:val="single" w:sz="8" w:space="0" w:color="auto"/>
              <w:right w:val="single" w:sz="8" w:space="0" w:color="auto"/>
            </w:tcBorders>
            <w:vAlign w:val="center"/>
            <w:hideMark/>
          </w:tcPr>
          <w:p w14:paraId="2F914A33"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46" w:type="dxa"/>
            <w:tcBorders>
              <w:top w:val="nil"/>
              <w:left w:val="nil"/>
              <w:bottom w:val="single" w:sz="8" w:space="0" w:color="auto"/>
              <w:right w:val="single" w:sz="8" w:space="0" w:color="auto"/>
            </w:tcBorders>
            <w:vAlign w:val="center"/>
            <w:hideMark/>
          </w:tcPr>
          <w:p w14:paraId="73D84098"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853" w:type="dxa"/>
            <w:tcBorders>
              <w:top w:val="nil"/>
              <w:left w:val="nil"/>
              <w:bottom w:val="single" w:sz="8" w:space="0" w:color="auto"/>
              <w:right w:val="single" w:sz="8" w:space="0" w:color="auto"/>
            </w:tcBorders>
            <w:vAlign w:val="center"/>
          </w:tcPr>
          <w:p w14:paraId="4A32FEA7"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sz w:val="16"/>
                <w:szCs w:val="16"/>
              </w:rPr>
              <w:t>0</w:t>
            </w:r>
          </w:p>
        </w:tc>
      </w:tr>
      <w:tr w:rsidR="00827114" w:rsidRPr="004E13E9" w14:paraId="5BD4E874" w14:textId="77777777" w:rsidTr="000D1853">
        <w:trPr>
          <w:trHeight w:val="20"/>
        </w:trPr>
        <w:tc>
          <w:tcPr>
            <w:tcW w:w="3256" w:type="dxa"/>
            <w:noWrap/>
            <w:vAlign w:val="center"/>
            <w:hideMark/>
          </w:tcPr>
          <w:p w14:paraId="03CB7735"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Ligne à main</w:t>
            </w:r>
          </w:p>
        </w:tc>
        <w:tc>
          <w:tcPr>
            <w:tcW w:w="992" w:type="dxa"/>
            <w:noWrap/>
            <w:vAlign w:val="center"/>
            <w:hideMark/>
          </w:tcPr>
          <w:p w14:paraId="2FA8ECC5" w14:textId="77777777" w:rsidR="00827114" w:rsidRPr="004E13E9" w:rsidRDefault="00827114" w:rsidP="000D1853">
            <w:pPr>
              <w:spacing w:line="276" w:lineRule="auto"/>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5</w:t>
            </w:r>
          </w:p>
        </w:tc>
        <w:tc>
          <w:tcPr>
            <w:tcW w:w="567" w:type="dxa"/>
            <w:tcBorders>
              <w:top w:val="single" w:sz="8" w:space="0" w:color="auto"/>
              <w:left w:val="nil"/>
              <w:bottom w:val="single" w:sz="8" w:space="0" w:color="auto"/>
              <w:right w:val="single" w:sz="4" w:space="0" w:color="auto"/>
            </w:tcBorders>
            <w:vAlign w:val="center"/>
          </w:tcPr>
          <w:p w14:paraId="7E900419"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sz w:val="16"/>
                <w:szCs w:val="16"/>
                <w:lang w:eastAsia="ja-JP"/>
              </w:rPr>
              <w:t>0</w:t>
            </w:r>
          </w:p>
        </w:tc>
        <w:tc>
          <w:tcPr>
            <w:tcW w:w="489" w:type="dxa"/>
            <w:tcBorders>
              <w:top w:val="nil"/>
              <w:left w:val="single" w:sz="4" w:space="0" w:color="auto"/>
              <w:bottom w:val="single" w:sz="8" w:space="0" w:color="auto"/>
              <w:right w:val="single" w:sz="8" w:space="0" w:color="auto"/>
            </w:tcBorders>
            <w:noWrap/>
            <w:vAlign w:val="center"/>
            <w:hideMark/>
          </w:tcPr>
          <w:p w14:paraId="75FA3EAC"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645" w:type="dxa"/>
            <w:tcBorders>
              <w:top w:val="nil"/>
              <w:left w:val="nil"/>
              <w:bottom w:val="single" w:sz="8" w:space="0" w:color="auto"/>
              <w:right w:val="single" w:sz="8" w:space="0" w:color="auto"/>
            </w:tcBorders>
            <w:vAlign w:val="center"/>
            <w:hideMark/>
          </w:tcPr>
          <w:p w14:paraId="1C43359C"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09" w:type="dxa"/>
            <w:tcBorders>
              <w:top w:val="nil"/>
              <w:left w:val="nil"/>
              <w:bottom w:val="single" w:sz="8" w:space="0" w:color="auto"/>
              <w:right w:val="single" w:sz="8" w:space="0" w:color="auto"/>
            </w:tcBorders>
            <w:vAlign w:val="center"/>
            <w:hideMark/>
          </w:tcPr>
          <w:p w14:paraId="596C7584"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08" w:type="dxa"/>
            <w:tcBorders>
              <w:top w:val="nil"/>
              <w:left w:val="nil"/>
              <w:bottom w:val="single" w:sz="8" w:space="0" w:color="auto"/>
              <w:right w:val="single" w:sz="8" w:space="0" w:color="auto"/>
            </w:tcBorders>
            <w:vAlign w:val="center"/>
            <w:hideMark/>
          </w:tcPr>
          <w:p w14:paraId="30E52C9C"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09" w:type="dxa"/>
            <w:tcBorders>
              <w:top w:val="nil"/>
              <w:left w:val="nil"/>
              <w:bottom w:val="single" w:sz="8" w:space="0" w:color="auto"/>
              <w:right w:val="single" w:sz="4" w:space="0" w:color="auto"/>
            </w:tcBorders>
            <w:vAlign w:val="center"/>
          </w:tcPr>
          <w:p w14:paraId="62ED2679"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sz w:val="16"/>
                <w:szCs w:val="16"/>
              </w:rPr>
              <w:t>0</w:t>
            </w:r>
          </w:p>
        </w:tc>
        <w:tc>
          <w:tcPr>
            <w:tcW w:w="623" w:type="dxa"/>
            <w:vAlign w:val="center"/>
          </w:tcPr>
          <w:p w14:paraId="3EE9ECF0" w14:textId="77777777" w:rsidR="00827114" w:rsidRPr="004E13E9" w:rsidRDefault="00827114" w:rsidP="000D1853">
            <w:pPr>
              <w:spacing w:line="276" w:lineRule="auto"/>
              <w:jc w:val="center"/>
              <w:rPr>
                <w:sz w:val="16"/>
                <w:szCs w:val="16"/>
              </w:rPr>
            </w:pPr>
            <w:r w:rsidRPr="004E13E9">
              <w:rPr>
                <w:sz w:val="16"/>
                <w:szCs w:val="16"/>
              </w:rPr>
              <w:t>0</w:t>
            </w:r>
          </w:p>
        </w:tc>
        <w:tc>
          <w:tcPr>
            <w:tcW w:w="253" w:type="dxa"/>
            <w:shd w:val="clear" w:color="000000" w:fill="D9D9D9"/>
            <w:vAlign w:val="center"/>
            <w:hideMark/>
          </w:tcPr>
          <w:p w14:paraId="2F338C21"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716" w:type="dxa"/>
            <w:tcBorders>
              <w:top w:val="nil"/>
              <w:left w:val="single" w:sz="4" w:space="0" w:color="auto"/>
              <w:bottom w:val="single" w:sz="8" w:space="0" w:color="auto"/>
              <w:right w:val="single" w:sz="4" w:space="0" w:color="auto"/>
            </w:tcBorders>
            <w:vAlign w:val="center"/>
          </w:tcPr>
          <w:p w14:paraId="679398C4"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sz w:val="16"/>
                <w:szCs w:val="16"/>
                <w:lang w:eastAsia="ja-JP"/>
              </w:rPr>
              <w:t>0</w:t>
            </w:r>
          </w:p>
        </w:tc>
        <w:tc>
          <w:tcPr>
            <w:tcW w:w="808" w:type="dxa"/>
            <w:tcBorders>
              <w:top w:val="nil"/>
              <w:left w:val="single" w:sz="4" w:space="0" w:color="auto"/>
              <w:bottom w:val="single" w:sz="8" w:space="0" w:color="auto"/>
              <w:right w:val="nil"/>
            </w:tcBorders>
            <w:vAlign w:val="center"/>
            <w:hideMark/>
          </w:tcPr>
          <w:p w14:paraId="24587BAF"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19" w:type="dxa"/>
            <w:tcBorders>
              <w:top w:val="nil"/>
              <w:left w:val="single" w:sz="4" w:space="0" w:color="auto"/>
              <w:bottom w:val="single" w:sz="8" w:space="0" w:color="auto"/>
              <w:right w:val="single" w:sz="4" w:space="0" w:color="auto"/>
            </w:tcBorders>
            <w:vAlign w:val="center"/>
            <w:hideMark/>
          </w:tcPr>
          <w:p w14:paraId="718DB24D"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38" w:type="dxa"/>
            <w:tcBorders>
              <w:top w:val="nil"/>
              <w:left w:val="nil"/>
              <w:bottom w:val="single" w:sz="8" w:space="0" w:color="auto"/>
              <w:right w:val="single" w:sz="4" w:space="0" w:color="auto"/>
            </w:tcBorders>
            <w:vAlign w:val="center"/>
            <w:hideMark/>
          </w:tcPr>
          <w:p w14:paraId="63FE29FC"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963" w:type="dxa"/>
            <w:tcBorders>
              <w:top w:val="nil"/>
              <w:left w:val="nil"/>
              <w:bottom w:val="single" w:sz="8" w:space="0" w:color="auto"/>
              <w:right w:val="single" w:sz="8" w:space="0" w:color="auto"/>
            </w:tcBorders>
            <w:vAlign w:val="center"/>
            <w:hideMark/>
          </w:tcPr>
          <w:p w14:paraId="289D85AF"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46" w:type="dxa"/>
            <w:tcBorders>
              <w:top w:val="nil"/>
              <w:left w:val="nil"/>
              <w:bottom w:val="single" w:sz="8" w:space="0" w:color="auto"/>
              <w:right w:val="single" w:sz="8" w:space="0" w:color="auto"/>
            </w:tcBorders>
            <w:vAlign w:val="center"/>
            <w:hideMark/>
          </w:tcPr>
          <w:p w14:paraId="3E1E5BF2"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853" w:type="dxa"/>
            <w:tcBorders>
              <w:top w:val="nil"/>
              <w:left w:val="nil"/>
              <w:bottom w:val="single" w:sz="8" w:space="0" w:color="auto"/>
              <w:right w:val="single" w:sz="8" w:space="0" w:color="auto"/>
            </w:tcBorders>
            <w:vAlign w:val="center"/>
          </w:tcPr>
          <w:p w14:paraId="2DBA36CB"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sz w:val="16"/>
                <w:szCs w:val="16"/>
              </w:rPr>
              <w:t>0</w:t>
            </w:r>
          </w:p>
        </w:tc>
      </w:tr>
      <w:tr w:rsidR="00827114" w:rsidRPr="004E13E9" w14:paraId="399C295D" w14:textId="77777777" w:rsidTr="000D1853">
        <w:trPr>
          <w:trHeight w:val="20"/>
        </w:trPr>
        <w:tc>
          <w:tcPr>
            <w:tcW w:w="3256" w:type="dxa"/>
            <w:noWrap/>
            <w:vAlign w:val="center"/>
            <w:hideMark/>
          </w:tcPr>
          <w:p w14:paraId="11E69AC3" w14:textId="77777777" w:rsidR="00827114" w:rsidRPr="004E13E9" w:rsidRDefault="00827114" w:rsidP="000D1853">
            <w:pPr>
              <w:spacing w:line="276" w:lineRule="auto"/>
              <w:rPr>
                <w:rFonts w:eastAsia="Times New Roman" w:cs="Calibri"/>
                <w:kern w:val="2"/>
                <w:sz w:val="16"/>
                <w:szCs w:val="16"/>
                <w:lang w:eastAsia="ko-KR"/>
                <w14:ligatures w14:val="standardContextual"/>
              </w:rPr>
            </w:pPr>
            <w:proofErr w:type="spellStart"/>
            <w:r w:rsidRPr="004E13E9">
              <w:rPr>
                <w:rFonts w:eastAsia="Malgun Gothic"/>
                <w:kern w:val="2"/>
                <w:sz w:val="16"/>
                <w:szCs w:val="16"/>
                <w:lang w:eastAsia="ko-KR"/>
                <w14:ligatures w14:val="standardContextual"/>
              </w:rPr>
              <w:t>Chalutier</w:t>
            </w:r>
            <w:proofErr w:type="spellEnd"/>
          </w:p>
        </w:tc>
        <w:tc>
          <w:tcPr>
            <w:tcW w:w="992" w:type="dxa"/>
            <w:noWrap/>
            <w:vAlign w:val="center"/>
            <w:hideMark/>
          </w:tcPr>
          <w:p w14:paraId="56CBDE8A" w14:textId="77777777" w:rsidR="00827114" w:rsidRPr="004E13E9" w:rsidRDefault="00827114" w:rsidP="000D1853">
            <w:pPr>
              <w:spacing w:line="276" w:lineRule="auto"/>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10</w:t>
            </w:r>
          </w:p>
        </w:tc>
        <w:tc>
          <w:tcPr>
            <w:tcW w:w="567" w:type="dxa"/>
            <w:tcBorders>
              <w:top w:val="single" w:sz="8" w:space="0" w:color="auto"/>
              <w:left w:val="nil"/>
              <w:bottom w:val="single" w:sz="8" w:space="0" w:color="auto"/>
              <w:right w:val="single" w:sz="4" w:space="0" w:color="auto"/>
            </w:tcBorders>
            <w:vAlign w:val="center"/>
          </w:tcPr>
          <w:p w14:paraId="66253AB5"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sz w:val="16"/>
                <w:szCs w:val="16"/>
                <w:lang w:eastAsia="ja-JP"/>
              </w:rPr>
              <w:t>0</w:t>
            </w:r>
          </w:p>
        </w:tc>
        <w:tc>
          <w:tcPr>
            <w:tcW w:w="489" w:type="dxa"/>
            <w:tcBorders>
              <w:top w:val="nil"/>
              <w:left w:val="single" w:sz="4" w:space="0" w:color="auto"/>
              <w:bottom w:val="single" w:sz="8" w:space="0" w:color="auto"/>
              <w:right w:val="single" w:sz="8" w:space="0" w:color="auto"/>
            </w:tcBorders>
            <w:noWrap/>
            <w:vAlign w:val="center"/>
            <w:hideMark/>
          </w:tcPr>
          <w:p w14:paraId="3D4A2525"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645" w:type="dxa"/>
            <w:tcBorders>
              <w:top w:val="nil"/>
              <w:left w:val="nil"/>
              <w:bottom w:val="single" w:sz="8" w:space="0" w:color="auto"/>
              <w:right w:val="single" w:sz="8" w:space="0" w:color="auto"/>
            </w:tcBorders>
            <w:vAlign w:val="center"/>
            <w:hideMark/>
          </w:tcPr>
          <w:p w14:paraId="607FCBCA"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09" w:type="dxa"/>
            <w:tcBorders>
              <w:top w:val="nil"/>
              <w:left w:val="nil"/>
              <w:bottom w:val="single" w:sz="8" w:space="0" w:color="auto"/>
              <w:right w:val="single" w:sz="8" w:space="0" w:color="auto"/>
            </w:tcBorders>
            <w:vAlign w:val="center"/>
            <w:hideMark/>
          </w:tcPr>
          <w:p w14:paraId="21B9EBF0"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08" w:type="dxa"/>
            <w:tcBorders>
              <w:top w:val="nil"/>
              <w:left w:val="nil"/>
              <w:bottom w:val="single" w:sz="8" w:space="0" w:color="auto"/>
              <w:right w:val="single" w:sz="8" w:space="0" w:color="auto"/>
            </w:tcBorders>
            <w:vAlign w:val="center"/>
            <w:hideMark/>
          </w:tcPr>
          <w:p w14:paraId="749D0AB6"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09" w:type="dxa"/>
            <w:tcBorders>
              <w:top w:val="nil"/>
              <w:left w:val="nil"/>
              <w:bottom w:val="single" w:sz="8" w:space="0" w:color="auto"/>
              <w:right w:val="single" w:sz="4" w:space="0" w:color="auto"/>
            </w:tcBorders>
            <w:vAlign w:val="center"/>
          </w:tcPr>
          <w:p w14:paraId="47B0CE9E"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sz w:val="16"/>
                <w:szCs w:val="16"/>
              </w:rPr>
              <w:t>0</w:t>
            </w:r>
          </w:p>
        </w:tc>
        <w:tc>
          <w:tcPr>
            <w:tcW w:w="623" w:type="dxa"/>
            <w:vAlign w:val="center"/>
          </w:tcPr>
          <w:p w14:paraId="64F36FD1" w14:textId="77777777" w:rsidR="00827114" w:rsidRPr="004E13E9" w:rsidRDefault="00827114" w:rsidP="000D1853">
            <w:pPr>
              <w:spacing w:line="276" w:lineRule="auto"/>
              <w:jc w:val="center"/>
              <w:rPr>
                <w:sz w:val="16"/>
                <w:szCs w:val="16"/>
              </w:rPr>
            </w:pPr>
            <w:r w:rsidRPr="004E13E9">
              <w:rPr>
                <w:sz w:val="16"/>
                <w:szCs w:val="16"/>
              </w:rPr>
              <w:t>0</w:t>
            </w:r>
          </w:p>
        </w:tc>
        <w:tc>
          <w:tcPr>
            <w:tcW w:w="253" w:type="dxa"/>
            <w:shd w:val="clear" w:color="000000" w:fill="D9D9D9"/>
            <w:vAlign w:val="center"/>
            <w:hideMark/>
          </w:tcPr>
          <w:p w14:paraId="6A159EC2"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716" w:type="dxa"/>
            <w:tcBorders>
              <w:top w:val="nil"/>
              <w:left w:val="single" w:sz="4" w:space="0" w:color="auto"/>
              <w:bottom w:val="single" w:sz="8" w:space="0" w:color="auto"/>
              <w:right w:val="single" w:sz="4" w:space="0" w:color="auto"/>
            </w:tcBorders>
            <w:vAlign w:val="center"/>
          </w:tcPr>
          <w:p w14:paraId="5A785FA7"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sz w:val="16"/>
                <w:szCs w:val="16"/>
                <w:lang w:eastAsia="ja-JP"/>
              </w:rPr>
              <w:t>0</w:t>
            </w:r>
          </w:p>
        </w:tc>
        <w:tc>
          <w:tcPr>
            <w:tcW w:w="808" w:type="dxa"/>
            <w:tcBorders>
              <w:top w:val="nil"/>
              <w:left w:val="single" w:sz="4" w:space="0" w:color="auto"/>
              <w:bottom w:val="single" w:sz="8" w:space="0" w:color="auto"/>
              <w:right w:val="nil"/>
            </w:tcBorders>
            <w:vAlign w:val="center"/>
            <w:hideMark/>
          </w:tcPr>
          <w:p w14:paraId="56FA6814"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19" w:type="dxa"/>
            <w:tcBorders>
              <w:top w:val="nil"/>
              <w:left w:val="single" w:sz="4" w:space="0" w:color="auto"/>
              <w:bottom w:val="single" w:sz="8" w:space="0" w:color="auto"/>
              <w:right w:val="single" w:sz="4" w:space="0" w:color="auto"/>
            </w:tcBorders>
            <w:vAlign w:val="center"/>
            <w:hideMark/>
          </w:tcPr>
          <w:p w14:paraId="5F779C02"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38" w:type="dxa"/>
            <w:tcBorders>
              <w:top w:val="nil"/>
              <w:left w:val="nil"/>
              <w:bottom w:val="single" w:sz="8" w:space="0" w:color="auto"/>
              <w:right w:val="single" w:sz="4" w:space="0" w:color="auto"/>
            </w:tcBorders>
            <w:vAlign w:val="center"/>
            <w:hideMark/>
          </w:tcPr>
          <w:p w14:paraId="0AA8E347"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963" w:type="dxa"/>
            <w:tcBorders>
              <w:top w:val="nil"/>
              <w:left w:val="nil"/>
              <w:bottom w:val="single" w:sz="8" w:space="0" w:color="auto"/>
              <w:right w:val="single" w:sz="8" w:space="0" w:color="auto"/>
            </w:tcBorders>
            <w:vAlign w:val="center"/>
            <w:hideMark/>
          </w:tcPr>
          <w:p w14:paraId="0C23D983"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746" w:type="dxa"/>
            <w:tcBorders>
              <w:top w:val="nil"/>
              <w:left w:val="nil"/>
              <w:bottom w:val="single" w:sz="8" w:space="0" w:color="auto"/>
              <w:right w:val="single" w:sz="8" w:space="0" w:color="auto"/>
            </w:tcBorders>
            <w:vAlign w:val="center"/>
            <w:hideMark/>
          </w:tcPr>
          <w:p w14:paraId="565C2B57"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sz w:val="16"/>
                <w:szCs w:val="16"/>
              </w:rPr>
              <w:t>0</w:t>
            </w:r>
          </w:p>
        </w:tc>
        <w:tc>
          <w:tcPr>
            <w:tcW w:w="853" w:type="dxa"/>
            <w:tcBorders>
              <w:top w:val="nil"/>
              <w:left w:val="nil"/>
              <w:bottom w:val="single" w:sz="8" w:space="0" w:color="auto"/>
              <w:right w:val="single" w:sz="8" w:space="0" w:color="auto"/>
            </w:tcBorders>
            <w:vAlign w:val="center"/>
          </w:tcPr>
          <w:p w14:paraId="28F77DA7"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sz w:val="16"/>
                <w:szCs w:val="16"/>
              </w:rPr>
              <w:t>0</w:t>
            </w:r>
          </w:p>
        </w:tc>
      </w:tr>
      <w:tr w:rsidR="00827114" w:rsidRPr="004E13E9" w14:paraId="7B996AEF" w14:textId="77777777" w:rsidTr="000D1853">
        <w:trPr>
          <w:trHeight w:val="20"/>
        </w:trPr>
        <w:tc>
          <w:tcPr>
            <w:tcW w:w="3256" w:type="dxa"/>
            <w:noWrap/>
            <w:vAlign w:val="center"/>
            <w:hideMark/>
          </w:tcPr>
          <w:p w14:paraId="36EBA961"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Madrague</w:t>
            </w:r>
          </w:p>
        </w:tc>
        <w:tc>
          <w:tcPr>
            <w:tcW w:w="992" w:type="dxa"/>
            <w:noWrap/>
            <w:vAlign w:val="center"/>
            <w:hideMark/>
          </w:tcPr>
          <w:p w14:paraId="09CDCADA" w14:textId="77777777" w:rsidR="00827114" w:rsidRPr="004E13E9" w:rsidRDefault="00827114" w:rsidP="000D1853">
            <w:pPr>
              <w:spacing w:line="276" w:lineRule="auto"/>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130</w:t>
            </w:r>
          </w:p>
        </w:tc>
        <w:tc>
          <w:tcPr>
            <w:tcW w:w="567" w:type="dxa"/>
            <w:tcBorders>
              <w:top w:val="single" w:sz="8" w:space="0" w:color="auto"/>
              <w:left w:val="nil"/>
              <w:bottom w:val="single" w:sz="8" w:space="0" w:color="auto"/>
              <w:right w:val="single" w:sz="4" w:space="0" w:color="auto"/>
            </w:tcBorders>
            <w:vAlign w:val="center"/>
          </w:tcPr>
          <w:p w14:paraId="36EBD427"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sz w:val="16"/>
                <w:szCs w:val="16"/>
                <w:lang w:eastAsia="ja-JP"/>
              </w:rPr>
              <w:t>0</w:t>
            </w:r>
          </w:p>
        </w:tc>
        <w:tc>
          <w:tcPr>
            <w:tcW w:w="489" w:type="dxa"/>
            <w:tcBorders>
              <w:top w:val="nil"/>
              <w:left w:val="single" w:sz="4" w:space="0" w:color="auto"/>
              <w:bottom w:val="single" w:sz="8" w:space="0" w:color="auto"/>
              <w:right w:val="single" w:sz="8" w:space="0" w:color="auto"/>
            </w:tcBorders>
            <w:noWrap/>
            <w:vAlign w:val="center"/>
            <w:hideMark/>
          </w:tcPr>
          <w:p w14:paraId="1036B689"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645" w:type="dxa"/>
            <w:tcBorders>
              <w:top w:val="nil"/>
              <w:left w:val="nil"/>
              <w:bottom w:val="single" w:sz="8" w:space="0" w:color="auto"/>
              <w:right w:val="single" w:sz="8" w:space="0" w:color="auto"/>
            </w:tcBorders>
            <w:vAlign w:val="center"/>
            <w:hideMark/>
          </w:tcPr>
          <w:p w14:paraId="1E055B7F"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09" w:type="dxa"/>
            <w:tcBorders>
              <w:top w:val="nil"/>
              <w:left w:val="nil"/>
              <w:bottom w:val="single" w:sz="8" w:space="0" w:color="auto"/>
              <w:right w:val="single" w:sz="8" w:space="0" w:color="auto"/>
            </w:tcBorders>
            <w:vAlign w:val="center"/>
            <w:hideMark/>
          </w:tcPr>
          <w:p w14:paraId="4E93D3AE"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08" w:type="dxa"/>
            <w:tcBorders>
              <w:top w:val="nil"/>
              <w:left w:val="nil"/>
              <w:bottom w:val="single" w:sz="8" w:space="0" w:color="auto"/>
              <w:right w:val="single" w:sz="8" w:space="0" w:color="auto"/>
            </w:tcBorders>
            <w:vAlign w:val="center"/>
            <w:hideMark/>
          </w:tcPr>
          <w:p w14:paraId="182C8B10"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09" w:type="dxa"/>
            <w:tcBorders>
              <w:top w:val="nil"/>
              <w:left w:val="nil"/>
              <w:bottom w:val="single" w:sz="8" w:space="0" w:color="auto"/>
              <w:right w:val="single" w:sz="4" w:space="0" w:color="auto"/>
            </w:tcBorders>
            <w:vAlign w:val="center"/>
          </w:tcPr>
          <w:p w14:paraId="7FDF97E9"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sz w:val="16"/>
                <w:szCs w:val="16"/>
              </w:rPr>
              <w:t>0</w:t>
            </w:r>
          </w:p>
        </w:tc>
        <w:tc>
          <w:tcPr>
            <w:tcW w:w="623" w:type="dxa"/>
            <w:vAlign w:val="center"/>
          </w:tcPr>
          <w:p w14:paraId="3FD3C134" w14:textId="77777777" w:rsidR="00827114" w:rsidRPr="004E13E9" w:rsidRDefault="00827114" w:rsidP="000D1853">
            <w:pPr>
              <w:spacing w:line="276" w:lineRule="auto"/>
              <w:jc w:val="center"/>
              <w:rPr>
                <w:sz w:val="16"/>
                <w:szCs w:val="16"/>
              </w:rPr>
            </w:pPr>
            <w:r w:rsidRPr="004E13E9">
              <w:rPr>
                <w:sz w:val="16"/>
                <w:szCs w:val="16"/>
              </w:rPr>
              <w:t>0</w:t>
            </w:r>
          </w:p>
        </w:tc>
        <w:tc>
          <w:tcPr>
            <w:tcW w:w="253" w:type="dxa"/>
            <w:shd w:val="clear" w:color="000000" w:fill="D9D9D9"/>
            <w:vAlign w:val="center"/>
            <w:hideMark/>
          </w:tcPr>
          <w:p w14:paraId="39A7AF99"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716" w:type="dxa"/>
            <w:tcBorders>
              <w:top w:val="nil"/>
              <w:left w:val="single" w:sz="4" w:space="0" w:color="auto"/>
              <w:bottom w:val="single" w:sz="8" w:space="0" w:color="auto"/>
              <w:right w:val="single" w:sz="4" w:space="0" w:color="auto"/>
            </w:tcBorders>
            <w:vAlign w:val="center"/>
          </w:tcPr>
          <w:p w14:paraId="710853E6"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sz w:val="16"/>
                <w:szCs w:val="16"/>
                <w:lang w:eastAsia="ja-JP"/>
              </w:rPr>
              <w:t>0</w:t>
            </w:r>
          </w:p>
        </w:tc>
        <w:tc>
          <w:tcPr>
            <w:tcW w:w="808" w:type="dxa"/>
            <w:tcBorders>
              <w:top w:val="nil"/>
              <w:left w:val="single" w:sz="4" w:space="0" w:color="auto"/>
              <w:bottom w:val="single" w:sz="8" w:space="0" w:color="auto"/>
              <w:right w:val="nil"/>
            </w:tcBorders>
            <w:vAlign w:val="center"/>
            <w:hideMark/>
          </w:tcPr>
          <w:p w14:paraId="67879E28"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19" w:type="dxa"/>
            <w:tcBorders>
              <w:top w:val="nil"/>
              <w:left w:val="single" w:sz="4" w:space="0" w:color="auto"/>
              <w:bottom w:val="single" w:sz="8" w:space="0" w:color="auto"/>
              <w:right w:val="single" w:sz="4" w:space="0" w:color="auto"/>
            </w:tcBorders>
            <w:vAlign w:val="center"/>
            <w:hideMark/>
          </w:tcPr>
          <w:p w14:paraId="58CB4B42"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38" w:type="dxa"/>
            <w:tcBorders>
              <w:top w:val="nil"/>
              <w:left w:val="nil"/>
              <w:bottom w:val="single" w:sz="8" w:space="0" w:color="auto"/>
              <w:right w:val="single" w:sz="4" w:space="0" w:color="auto"/>
            </w:tcBorders>
            <w:vAlign w:val="center"/>
            <w:hideMark/>
          </w:tcPr>
          <w:p w14:paraId="0A12FDF1"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963" w:type="dxa"/>
            <w:tcBorders>
              <w:top w:val="nil"/>
              <w:left w:val="nil"/>
              <w:bottom w:val="single" w:sz="8" w:space="0" w:color="auto"/>
              <w:right w:val="single" w:sz="8" w:space="0" w:color="auto"/>
            </w:tcBorders>
            <w:vAlign w:val="center"/>
            <w:hideMark/>
          </w:tcPr>
          <w:p w14:paraId="15A4CDA9"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46" w:type="dxa"/>
            <w:tcBorders>
              <w:top w:val="nil"/>
              <w:left w:val="nil"/>
              <w:bottom w:val="single" w:sz="8" w:space="0" w:color="auto"/>
              <w:right w:val="single" w:sz="8" w:space="0" w:color="auto"/>
            </w:tcBorders>
            <w:vAlign w:val="center"/>
            <w:hideMark/>
          </w:tcPr>
          <w:p w14:paraId="6E728E54"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853" w:type="dxa"/>
            <w:tcBorders>
              <w:top w:val="nil"/>
              <w:left w:val="nil"/>
              <w:bottom w:val="single" w:sz="8" w:space="0" w:color="auto"/>
              <w:right w:val="single" w:sz="8" w:space="0" w:color="auto"/>
            </w:tcBorders>
            <w:vAlign w:val="center"/>
          </w:tcPr>
          <w:p w14:paraId="3BCB26B9"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sz w:val="16"/>
                <w:szCs w:val="16"/>
              </w:rPr>
              <w:t>0</w:t>
            </w:r>
          </w:p>
        </w:tc>
      </w:tr>
      <w:tr w:rsidR="00827114" w:rsidRPr="004E13E9" w14:paraId="4F4AB0F8" w14:textId="77777777" w:rsidTr="000D1853">
        <w:trPr>
          <w:trHeight w:val="20"/>
        </w:trPr>
        <w:tc>
          <w:tcPr>
            <w:tcW w:w="3256" w:type="dxa"/>
            <w:vAlign w:val="center"/>
            <w:hideMark/>
          </w:tcPr>
          <w:p w14:paraId="47A849F6"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xml:space="preserve">Petits </w:t>
            </w:r>
            <w:proofErr w:type="spellStart"/>
            <w:r w:rsidRPr="004E13E9">
              <w:rPr>
                <w:rFonts w:eastAsia="Malgun Gothic"/>
                <w:kern w:val="2"/>
                <w:sz w:val="16"/>
                <w:szCs w:val="16"/>
                <w:lang w:eastAsia="ko-KR"/>
                <w14:ligatures w14:val="standardContextual"/>
              </w:rPr>
              <w:t>navires</w:t>
            </w:r>
            <w:proofErr w:type="spellEnd"/>
            <w:r w:rsidRPr="004E13E9">
              <w:rPr>
                <w:rFonts w:eastAsia="Malgun Gothic"/>
                <w:kern w:val="2"/>
                <w:sz w:val="16"/>
                <w:szCs w:val="16"/>
                <w:lang w:eastAsia="ko-KR"/>
                <w14:ligatures w14:val="standardContextual"/>
              </w:rPr>
              <w:t xml:space="preserve"> </w:t>
            </w:r>
            <w:proofErr w:type="spellStart"/>
            <w:r w:rsidRPr="004E13E9">
              <w:rPr>
                <w:rFonts w:eastAsia="Malgun Gothic"/>
                <w:kern w:val="2"/>
                <w:sz w:val="16"/>
                <w:szCs w:val="16"/>
                <w:lang w:eastAsia="ko-KR"/>
                <w14:ligatures w14:val="standardContextual"/>
              </w:rPr>
              <w:t>côtiers</w:t>
            </w:r>
            <w:proofErr w:type="spellEnd"/>
            <w:r w:rsidRPr="004E13E9">
              <w:rPr>
                <w:rFonts w:eastAsia="Malgun Gothic"/>
                <w:kern w:val="2"/>
                <w:sz w:val="16"/>
                <w:szCs w:val="16"/>
                <w:lang w:eastAsia="ko-KR"/>
                <w14:ligatures w14:val="standardContextual"/>
              </w:rPr>
              <w:t xml:space="preserve"> </w:t>
            </w:r>
          </w:p>
        </w:tc>
        <w:tc>
          <w:tcPr>
            <w:tcW w:w="992" w:type="dxa"/>
            <w:noWrap/>
            <w:vAlign w:val="center"/>
            <w:hideMark/>
          </w:tcPr>
          <w:p w14:paraId="1E2A3504" w14:textId="77777777" w:rsidR="00827114" w:rsidRPr="004E13E9" w:rsidRDefault="00827114" w:rsidP="000D1853">
            <w:pPr>
              <w:spacing w:line="276" w:lineRule="auto"/>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N/A</w:t>
            </w:r>
          </w:p>
        </w:tc>
        <w:tc>
          <w:tcPr>
            <w:tcW w:w="567" w:type="dxa"/>
            <w:tcBorders>
              <w:top w:val="single" w:sz="8" w:space="0" w:color="auto"/>
              <w:left w:val="nil"/>
              <w:bottom w:val="single" w:sz="8" w:space="0" w:color="auto"/>
              <w:right w:val="single" w:sz="4" w:space="0" w:color="auto"/>
            </w:tcBorders>
            <w:vAlign w:val="center"/>
          </w:tcPr>
          <w:p w14:paraId="54409B57"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p>
        </w:tc>
        <w:tc>
          <w:tcPr>
            <w:tcW w:w="489" w:type="dxa"/>
            <w:tcBorders>
              <w:top w:val="nil"/>
              <w:left w:val="single" w:sz="4" w:space="0" w:color="auto"/>
              <w:bottom w:val="single" w:sz="8" w:space="0" w:color="auto"/>
              <w:right w:val="single" w:sz="8" w:space="0" w:color="auto"/>
            </w:tcBorders>
            <w:noWrap/>
            <w:vAlign w:val="center"/>
            <w:hideMark/>
          </w:tcPr>
          <w:p w14:paraId="4D943DFC"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645" w:type="dxa"/>
            <w:tcBorders>
              <w:top w:val="nil"/>
              <w:left w:val="nil"/>
              <w:bottom w:val="single" w:sz="8" w:space="0" w:color="auto"/>
              <w:right w:val="single" w:sz="8" w:space="0" w:color="auto"/>
            </w:tcBorders>
            <w:vAlign w:val="center"/>
            <w:hideMark/>
          </w:tcPr>
          <w:p w14:paraId="4B1ABD2B"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09" w:type="dxa"/>
            <w:tcBorders>
              <w:top w:val="nil"/>
              <w:left w:val="nil"/>
              <w:bottom w:val="single" w:sz="8" w:space="0" w:color="auto"/>
              <w:right w:val="single" w:sz="8" w:space="0" w:color="auto"/>
            </w:tcBorders>
            <w:vAlign w:val="center"/>
            <w:hideMark/>
          </w:tcPr>
          <w:p w14:paraId="5BD8058B"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08" w:type="dxa"/>
            <w:tcBorders>
              <w:top w:val="nil"/>
              <w:left w:val="nil"/>
              <w:bottom w:val="single" w:sz="8" w:space="0" w:color="auto"/>
              <w:right w:val="single" w:sz="8" w:space="0" w:color="auto"/>
            </w:tcBorders>
            <w:vAlign w:val="center"/>
            <w:hideMark/>
          </w:tcPr>
          <w:p w14:paraId="0959870E"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09" w:type="dxa"/>
            <w:tcBorders>
              <w:top w:val="nil"/>
              <w:left w:val="nil"/>
              <w:bottom w:val="single" w:sz="8" w:space="0" w:color="auto"/>
              <w:right w:val="single" w:sz="4" w:space="0" w:color="auto"/>
            </w:tcBorders>
            <w:vAlign w:val="center"/>
          </w:tcPr>
          <w:p w14:paraId="4A9EEA98"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sz w:val="16"/>
                <w:szCs w:val="16"/>
              </w:rPr>
              <w:t>0</w:t>
            </w:r>
          </w:p>
        </w:tc>
        <w:tc>
          <w:tcPr>
            <w:tcW w:w="623" w:type="dxa"/>
            <w:vAlign w:val="center"/>
          </w:tcPr>
          <w:p w14:paraId="4D9AA023" w14:textId="77777777" w:rsidR="00827114" w:rsidRPr="004E13E9" w:rsidRDefault="00827114" w:rsidP="000D1853">
            <w:pPr>
              <w:spacing w:line="276" w:lineRule="auto"/>
              <w:jc w:val="center"/>
              <w:rPr>
                <w:sz w:val="16"/>
                <w:szCs w:val="16"/>
              </w:rPr>
            </w:pPr>
            <w:r w:rsidRPr="004E13E9">
              <w:rPr>
                <w:sz w:val="16"/>
                <w:szCs w:val="16"/>
              </w:rPr>
              <w:t>90</w:t>
            </w:r>
          </w:p>
        </w:tc>
        <w:tc>
          <w:tcPr>
            <w:tcW w:w="253" w:type="dxa"/>
            <w:shd w:val="clear" w:color="000000" w:fill="D9D9D9"/>
            <w:vAlign w:val="center"/>
            <w:hideMark/>
          </w:tcPr>
          <w:p w14:paraId="3FFE2D2A"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716" w:type="dxa"/>
            <w:tcBorders>
              <w:top w:val="nil"/>
              <w:left w:val="single" w:sz="4" w:space="0" w:color="auto"/>
              <w:bottom w:val="single" w:sz="8" w:space="0" w:color="auto"/>
              <w:right w:val="single" w:sz="4" w:space="0" w:color="auto"/>
            </w:tcBorders>
            <w:vAlign w:val="center"/>
          </w:tcPr>
          <w:p w14:paraId="151784EB"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sz w:val="16"/>
                <w:szCs w:val="16"/>
                <w:lang w:eastAsia="ja-JP"/>
              </w:rPr>
              <w:t>0</w:t>
            </w:r>
          </w:p>
        </w:tc>
        <w:tc>
          <w:tcPr>
            <w:tcW w:w="808" w:type="dxa"/>
            <w:tcBorders>
              <w:top w:val="nil"/>
              <w:left w:val="single" w:sz="4" w:space="0" w:color="auto"/>
              <w:bottom w:val="single" w:sz="8" w:space="0" w:color="auto"/>
              <w:right w:val="nil"/>
            </w:tcBorders>
            <w:vAlign w:val="center"/>
            <w:hideMark/>
          </w:tcPr>
          <w:p w14:paraId="4252EAFC"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19" w:type="dxa"/>
            <w:tcBorders>
              <w:top w:val="nil"/>
              <w:left w:val="single" w:sz="4" w:space="0" w:color="auto"/>
              <w:bottom w:val="single" w:sz="8" w:space="0" w:color="auto"/>
              <w:right w:val="single" w:sz="4" w:space="0" w:color="auto"/>
            </w:tcBorders>
            <w:vAlign w:val="center"/>
            <w:hideMark/>
          </w:tcPr>
          <w:p w14:paraId="020DA78F"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38" w:type="dxa"/>
            <w:tcBorders>
              <w:top w:val="nil"/>
              <w:left w:val="nil"/>
              <w:bottom w:val="single" w:sz="8" w:space="0" w:color="auto"/>
              <w:right w:val="single" w:sz="4" w:space="0" w:color="auto"/>
            </w:tcBorders>
            <w:vAlign w:val="center"/>
            <w:hideMark/>
          </w:tcPr>
          <w:p w14:paraId="60E1BC8A"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963" w:type="dxa"/>
            <w:tcBorders>
              <w:top w:val="nil"/>
              <w:left w:val="nil"/>
              <w:bottom w:val="single" w:sz="8" w:space="0" w:color="auto"/>
              <w:right w:val="single" w:sz="8" w:space="0" w:color="auto"/>
            </w:tcBorders>
            <w:vAlign w:val="center"/>
            <w:hideMark/>
          </w:tcPr>
          <w:p w14:paraId="4F0ADEB0"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46" w:type="dxa"/>
            <w:tcBorders>
              <w:top w:val="nil"/>
              <w:left w:val="nil"/>
              <w:bottom w:val="single" w:sz="8" w:space="0" w:color="auto"/>
              <w:right w:val="single" w:sz="8" w:space="0" w:color="auto"/>
            </w:tcBorders>
            <w:vAlign w:val="center"/>
            <w:hideMark/>
          </w:tcPr>
          <w:p w14:paraId="6F0DEDA3"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853" w:type="dxa"/>
            <w:tcBorders>
              <w:top w:val="nil"/>
              <w:left w:val="nil"/>
              <w:bottom w:val="single" w:sz="8" w:space="0" w:color="auto"/>
              <w:right w:val="single" w:sz="8" w:space="0" w:color="auto"/>
            </w:tcBorders>
            <w:vAlign w:val="center"/>
          </w:tcPr>
          <w:p w14:paraId="04626F0B"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b/>
                <w:bCs/>
                <w:sz w:val="16"/>
                <w:szCs w:val="16"/>
              </w:rPr>
              <w:t>40</w:t>
            </w:r>
          </w:p>
        </w:tc>
      </w:tr>
      <w:tr w:rsidR="00827114" w:rsidRPr="004E13E9" w14:paraId="373A0F8D" w14:textId="77777777" w:rsidTr="000D1853">
        <w:trPr>
          <w:trHeight w:val="20"/>
        </w:trPr>
        <w:tc>
          <w:tcPr>
            <w:tcW w:w="3256" w:type="dxa"/>
            <w:vAlign w:val="center"/>
            <w:hideMark/>
          </w:tcPr>
          <w:p w14:paraId="7F73E7DE" w14:textId="77777777" w:rsidR="00827114" w:rsidRPr="004E13E9" w:rsidRDefault="00827114" w:rsidP="000D1853">
            <w:pPr>
              <w:spacing w:line="276" w:lineRule="auto"/>
              <w:rPr>
                <w:rFonts w:eastAsia="Times New Roman" w:cs="Calibri"/>
                <w:kern w:val="2"/>
                <w:sz w:val="16"/>
                <w:szCs w:val="16"/>
                <w:lang w:eastAsia="ko-KR"/>
                <w14:ligatures w14:val="standardContextual"/>
              </w:rPr>
            </w:pPr>
            <w:proofErr w:type="spellStart"/>
            <w:r w:rsidRPr="004E13E9">
              <w:rPr>
                <w:rFonts w:eastAsia="Malgun Gothic"/>
                <w:kern w:val="2"/>
                <w:sz w:val="16"/>
                <w:szCs w:val="16"/>
                <w:lang w:eastAsia="ko-KR"/>
                <w14:ligatures w14:val="standardContextual"/>
              </w:rPr>
              <w:t>Autre</w:t>
            </w:r>
            <w:proofErr w:type="spellEnd"/>
            <w:r w:rsidRPr="004E13E9">
              <w:rPr>
                <w:rFonts w:eastAsia="Malgun Gothic"/>
                <w:kern w:val="2"/>
                <w:sz w:val="16"/>
                <w:szCs w:val="16"/>
                <w:lang w:eastAsia="ko-KR"/>
                <w14:ligatures w14:val="standardContextual"/>
              </w:rPr>
              <w:t xml:space="preserve"> (à </w:t>
            </w:r>
            <w:proofErr w:type="spellStart"/>
            <w:r w:rsidRPr="004E13E9">
              <w:rPr>
                <w:rFonts w:eastAsia="Malgun Gothic"/>
                <w:kern w:val="2"/>
                <w:sz w:val="16"/>
                <w:szCs w:val="16"/>
                <w:lang w:eastAsia="ko-KR"/>
                <w14:ligatures w14:val="standardContextual"/>
              </w:rPr>
              <w:t>préciser</w:t>
            </w:r>
            <w:proofErr w:type="spellEnd"/>
            <w:r w:rsidRPr="004E13E9">
              <w:rPr>
                <w:rFonts w:eastAsia="Malgun Gothic"/>
                <w:kern w:val="2"/>
                <w:sz w:val="16"/>
                <w:szCs w:val="16"/>
                <w:lang w:eastAsia="ko-KR"/>
                <w14:ligatures w14:val="standardContextual"/>
              </w:rPr>
              <w:t>)</w:t>
            </w:r>
          </w:p>
        </w:tc>
        <w:tc>
          <w:tcPr>
            <w:tcW w:w="992" w:type="dxa"/>
            <w:noWrap/>
            <w:vAlign w:val="center"/>
            <w:hideMark/>
          </w:tcPr>
          <w:p w14:paraId="1C931E52" w14:textId="77777777" w:rsidR="00827114" w:rsidRPr="004E13E9" w:rsidRDefault="00827114" w:rsidP="000D1853">
            <w:pPr>
              <w:spacing w:line="276" w:lineRule="auto"/>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5</w:t>
            </w:r>
          </w:p>
        </w:tc>
        <w:tc>
          <w:tcPr>
            <w:tcW w:w="567" w:type="dxa"/>
            <w:tcBorders>
              <w:top w:val="single" w:sz="8" w:space="0" w:color="auto"/>
              <w:left w:val="nil"/>
              <w:bottom w:val="single" w:sz="8" w:space="0" w:color="auto"/>
              <w:right w:val="single" w:sz="4" w:space="0" w:color="auto"/>
            </w:tcBorders>
            <w:vAlign w:val="center"/>
          </w:tcPr>
          <w:p w14:paraId="52FEEE34"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sz w:val="16"/>
                <w:szCs w:val="16"/>
                <w:lang w:eastAsia="ja-JP"/>
              </w:rPr>
              <w:t>0</w:t>
            </w:r>
          </w:p>
        </w:tc>
        <w:tc>
          <w:tcPr>
            <w:tcW w:w="489" w:type="dxa"/>
            <w:tcBorders>
              <w:top w:val="nil"/>
              <w:left w:val="single" w:sz="4" w:space="0" w:color="auto"/>
              <w:bottom w:val="single" w:sz="8" w:space="0" w:color="auto"/>
              <w:right w:val="single" w:sz="8" w:space="0" w:color="auto"/>
            </w:tcBorders>
            <w:noWrap/>
            <w:vAlign w:val="center"/>
            <w:hideMark/>
          </w:tcPr>
          <w:p w14:paraId="1905267F"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645" w:type="dxa"/>
            <w:tcBorders>
              <w:top w:val="nil"/>
              <w:left w:val="nil"/>
              <w:bottom w:val="single" w:sz="8" w:space="0" w:color="auto"/>
              <w:right w:val="single" w:sz="8" w:space="0" w:color="auto"/>
            </w:tcBorders>
            <w:vAlign w:val="center"/>
            <w:hideMark/>
          </w:tcPr>
          <w:p w14:paraId="75A2954C"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09" w:type="dxa"/>
            <w:tcBorders>
              <w:top w:val="nil"/>
              <w:left w:val="nil"/>
              <w:bottom w:val="single" w:sz="8" w:space="0" w:color="auto"/>
              <w:right w:val="single" w:sz="8" w:space="0" w:color="auto"/>
            </w:tcBorders>
            <w:vAlign w:val="center"/>
            <w:hideMark/>
          </w:tcPr>
          <w:p w14:paraId="79468987"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08" w:type="dxa"/>
            <w:tcBorders>
              <w:top w:val="nil"/>
              <w:left w:val="nil"/>
              <w:bottom w:val="single" w:sz="8" w:space="0" w:color="auto"/>
              <w:right w:val="single" w:sz="8" w:space="0" w:color="auto"/>
            </w:tcBorders>
            <w:vAlign w:val="center"/>
            <w:hideMark/>
          </w:tcPr>
          <w:p w14:paraId="2217093D"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09" w:type="dxa"/>
            <w:tcBorders>
              <w:top w:val="nil"/>
              <w:left w:val="nil"/>
              <w:bottom w:val="single" w:sz="8" w:space="0" w:color="auto"/>
              <w:right w:val="single" w:sz="4" w:space="0" w:color="auto"/>
            </w:tcBorders>
            <w:vAlign w:val="center"/>
          </w:tcPr>
          <w:p w14:paraId="68CA331D"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sz w:val="16"/>
                <w:szCs w:val="16"/>
              </w:rPr>
              <w:t>0</w:t>
            </w:r>
          </w:p>
        </w:tc>
        <w:tc>
          <w:tcPr>
            <w:tcW w:w="623" w:type="dxa"/>
            <w:vAlign w:val="center"/>
          </w:tcPr>
          <w:p w14:paraId="3017C417" w14:textId="77777777" w:rsidR="00827114" w:rsidRPr="004E13E9" w:rsidRDefault="00827114" w:rsidP="000D1853">
            <w:pPr>
              <w:spacing w:line="276" w:lineRule="auto"/>
              <w:jc w:val="center"/>
              <w:rPr>
                <w:sz w:val="16"/>
                <w:szCs w:val="16"/>
              </w:rPr>
            </w:pPr>
            <w:r w:rsidRPr="004E13E9">
              <w:rPr>
                <w:sz w:val="16"/>
                <w:szCs w:val="16"/>
              </w:rPr>
              <w:t>0</w:t>
            </w:r>
          </w:p>
        </w:tc>
        <w:tc>
          <w:tcPr>
            <w:tcW w:w="253" w:type="dxa"/>
            <w:shd w:val="clear" w:color="000000" w:fill="D9D9D9"/>
            <w:vAlign w:val="center"/>
            <w:hideMark/>
          </w:tcPr>
          <w:p w14:paraId="1ACA770E"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716" w:type="dxa"/>
            <w:tcBorders>
              <w:top w:val="nil"/>
              <w:left w:val="single" w:sz="4" w:space="0" w:color="auto"/>
              <w:bottom w:val="single" w:sz="8" w:space="0" w:color="auto"/>
              <w:right w:val="single" w:sz="4" w:space="0" w:color="auto"/>
            </w:tcBorders>
            <w:vAlign w:val="center"/>
          </w:tcPr>
          <w:p w14:paraId="64461F9D"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sz w:val="16"/>
                <w:szCs w:val="16"/>
                <w:lang w:eastAsia="ja-JP"/>
              </w:rPr>
              <w:t>0</w:t>
            </w:r>
          </w:p>
        </w:tc>
        <w:tc>
          <w:tcPr>
            <w:tcW w:w="808" w:type="dxa"/>
            <w:tcBorders>
              <w:top w:val="nil"/>
              <w:left w:val="single" w:sz="4" w:space="0" w:color="auto"/>
              <w:bottom w:val="single" w:sz="8" w:space="0" w:color="auto"/>
              <w:right w:val="nil"/>
            </w:tcBorders>
            <w:vAlign w:val="center"/>
            <w:hideMark/>
          </w:tcPr>
          <w:p w14:paraId="7137A778"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19" w:type="dxa"/>
            <w:tcBorders>
              <w:top w:val="nil"/>
              <w:left w:val="single" w:sz="4" w:space="0" w:color="auto"/>
              <w:bottom w:val="single" w:sz="8" w:space="0" w:color="auto"/>
              <w:right w:val="single" w:sz="4" w:space="0" w:color="auto"/>
            </w:tcBorders>
            <w:vAlign w:val="center"/>
            <w:hideMark/>
          </w:tcPr>
          <w:p w14:paraId="7F2093D6"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38" w:type="dxa"/>
            <w:tcBorders>
              <w:top w:val="nil"/>
              <w:left w:val="nil"/>
              <w:bottom w:val="single" w:sz="8" w:space="0" w:color="auto"/>
              <w:right w:val="single" w:sz="4" w:space="0" w:color="auto"/>
            </w:tcBorders>
            <w:vAlign w:val="center"/>
            <w:hideMark/>
          </w:tcPr>
          <w:p w14:paraId="1FD472A7"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963" w:type="dxa"/>
            <w:tcBorders>
              <w:top w:val="nil"/>
              <w:left w:val="nil"/>
              <w:bottom w:val="single" w:sz="8" w:space="0" w:color="auto"/>
              <w:right w:val="single" w:sz="8" w:space="0" w:color="auto"/>
            </w:tcBorders>
            <w:vAlign w:val="center"/>
            <w:hideMark/>
          </w:tcPr>
          <w:p w14:paraId="343F3886"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746" w:type="dxa"/>
            <w:tcBorders>
              <w:top w:val="nil"/>
              <w:left w:val="nil"/>
              <w:bottom w:val="single" w:sz="8" w:space="0" w:color="auto"/>
              <w:right w:val="single" w:sz="8" w:space="0" w:color="auto"/>
            </w:tcBorders>
            <w:vAlign w:val="center"/>
            <w:hideMark/>
          </w:tcPr>
          <w:p w14:paraId="78684DEF"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sz w:val="16"/>
                <w:szCs w:val="16"/>
              </w:rPr>
              <w:t>0</w:t>
            </w:r>
          </w:p>
        </w:tc>
        <w:tc>
          <w:tcPr>
            <w:tcW w:w="853" w:type="dxa"/>
            <w:tcBorders>
              <w:top w:val="nil"/>
              <w:left w:val="nil"/>
              <w:bottom w:val="single" w:sz="8" w:space="0" w:color="auto"/>
              <w:right w:val="single" w:sz="8" w:space="0" w:color="auto"/>
            </w:tcBorders>
            <w:vAlign w:val="center"/>
          </w:tcPr>
          <w:p w14:paraId="5482C12F"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sz w:val="16"/>
                <w:szCs w:val="16"/>
              </w:rPr>
              <w:t>0</w:t>
            </w:r>
          </w:p>
        </w:tc>
      </w:tr>
      <w:tr w:rsidR="00827114" w:rsidRPr="004E13E9" w14:paraId="241779DB" w14:textId="77777777" w:rsidTr="000D1853">
        <w:trPr>
          <w:trHeight w:val="225"/>
        </w:trPr>
        <w:tc>
          <w:tcPr>
            <w:tcW w:w="3256" w:type="dxa"/>
            <w:noWrap/>
            <w:vAlign w:val="center"/>
            <w:hideMark/>
          </w:tcPr>
          <w:p w14:paraId="49736824" w14:textId="77777777" w:rsidR="00827114" w:rsidRPr="004E13E9" w:rsidRDefault="00827114" w:rsidP="000D1853">
            <w:pPr>
              <w:spacing w:line="276" w:lineRule="auto"/>
              <w:rPr>
                <w:rFonts w:eastAsia="Times New Roman" w:cs="Calibri"/>
                <w:b/>
                <w:bCs/>
                <w:kern w:val="2"/>
                <w:sz w:val="16"/>
                <w:szCs w:val="16"/>
                <w:lang w:val="fr-FR" w:eastAsia="ko-KR"/>
                <w14:ligatures w14:val="standardContextual"/>
              </w:rPr>
            </w:pPr>
            <w:r w:rsidRPr="004E13E9">
              <w:rPr>
                <w:rFonts w:eastAsia="Malgun Gothic"/>
                <w:b/>
                <w:kern w:val="2"/>
                <w:sz w:val="16"/>
                <w:szCs w:val="16"/>
                <w:lang w:val="fr-FR" w:eastAsia="ko-KR"/>
                <w14:ligatures w14:val="standardContextual"/>
              </w:rPr>
              <w:t>Capacité totale de la flottille/de pêche</w:t>
            </w:r>
          </w:p>
        </w:tc>
        <w:tc>
          <w:tcPr>
            <w:tcW w:w="992" w:type="dxa"/>
            <w:noWrap/>
            <w:vAlign w:val="center"/>
            <w:hideMark/>
          </w:tcPr>
          <w:p w14:paraId="6B6F17B3" w14:textId="77777777" w:rsidR="00827114" w:rsidRPr="004E13E9" w:rsidRDefault="00827114" w:rsidP="000D1853">
            <w:pPr>
              <w:spacing w:line="276" w:lineRule="auto"/>
              <w:jc w:val="right"/>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 </w:t>
            </w:r>
          </w:p>
        </w:tc>
        <w:tc>
          <w:tcPr>
            <w:tcW w:w="567" w:type="dxa"/>
            <w:tcBorders>
              <w:top w:val="single" w:sz="8" w:space="0" w:color="auto"/>
              <w:left w:val="nil"/>
              <w:bottom w:val="single" w:sz="8" w:space="0" w:color="auto"/>
              <w:right w:val="single" w:sz="4" w:space="0" w:color="auto"/>
            </w:tcBorders>
            <w:vAlign w:val="center"/>
          </w:tcPr>
          <w:p w14:paraId="1FED1A14"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sz w:val="16"/>
                <w:szCs w:val="16"/>
              </w:rPr>
              <w:t>21</w:t>
            </w:r>
          </w:p>
        </w:tc>
        <w:tc>
          <w:tcPr>
            <w:tcW w:w="489" w:type="dxa"/>
            <w:tcBorders>
              <w:top w:val="nil"/>
              <w:left w:val="single" w:sz="4" w:space="0" w:color="auto"/>
              <w:bottom w:val="single" w:sz="8" w:space="0" w:color="auto"/>
              <w:right w:val="single" w:sz="8" w:space="0" w:color="auto"/>
            </w:tcBorders>
            <w:noWrap/>
            <w:vAlign w:val="center"/>
            <w:hideMark/>
          </w:tcPr>
          <w:p w14:paraId="660E220B"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10</w:t>
            </w:r>
          </w:p>
        </w:tc>
        <w:tc>
          <w:tcPr>
            <w:tcW w:w="645" w:type="dxa"/>
            <w:tcBorders>
              <w:top w:val="nil"/>
              <w:left w:val="nil"/>
              <w:bottom w:val="single" w:sz="8" w:space="0" w:color="auto"/>
              <w:right w:val="single" w:sz="8" w:space="0" w:color="auto"/>
            </w:tcBorders>
            <w:vAlign w:val="center"/>
            <w:hideMark/>
          </w:tcPr>
          <w:p w14:paraId="473CE35A"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15</w:t>
            </w:r>
          </w:p>
        </w:tc>
        <w:tc>
          <w:tcPr>
            <w:tcW w:w="709" w:type="dxa"/>
            <w:tcBorders>
              <w:top w:val="nil"/>
              <w:left w:val="nil"/>
              <w:bottom w:val="single" w:sz="8" w:space="0" w:color="auto"/>
              <w:right w:val="single" w:sz="8" w:space="0" w:color="auto"/>
            </w:tcBorders>
            <w:vAlign w:val="center"/>
            <w:hideMark/>
          </w:tcPr>
          <w:p w14:paraId="05EAC7FE"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35</w:t>
            </w:r>
          </w:p>
        </w:tc>
        <w:tc>
          <w:tcPr>
            <w:tcW w:w="708" w:type="dxa"/>
            <w:tcBorders>
              <w:top w:val="nil"/>
              <w:left w:val="nil"/>
              <w:bottom w:val="single" w:sz="8" w:space="0" w:color="auto"/>
              <w:right w:val="single" w:sz="8" w:space="0" w:color="auto"/>
            </w:tcBorders>
            <w:vAlign w:val="center"/>
            <w:hideMark/>
          </w:tcPr>
          <w:p w14:paraId="1B071C04"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40</w:t>
            </w:r>
          </w:p>
        </w:tc>
        <w:tc>
          <w:tcPr>
            <w:tcW w:w="709" w:type="dxa"/>
            <w:tcBorders>
              <w:top w:val="nil"/>
              <w:left w:val="nil"/>
              <w:bottom w:val="single" w:sz="8" w:space="0" w:color="auto"/>
              <w:right w:val="single" w:sz="4" w:space="0" w:color="auto"/>
            </w:tcBorders>
            <w:vAlign w:val="center"/>
          </w:tcPr>
          <w:p w14:paraId="7ACA7687"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b/>
                <w:bCs/>
                <w:sz w:val="16"/>
                <w:szCs w:val="16"/>
              </w:rPr>
              <w:t>40</w:t>
            </w:r>
          </w:p>
        </w:tc>
        <w:tc>
          <w:tcPr>
            <w:tcW w:w="623" w:type="dxa"/>
            <w:vAlign w:val="center"/>
          </w:tcPr>
          <w:p w14:paraId="44321845" w14:textId="77777777" w:rsidR="00827114" w:rsidRPr="004E13E9" w:rsidRDefault="00827114" w:rsidP="000D1853">
            <w:pPr>
              <w:spacing w:line="276" w:lineRule="auto"/>
              <w:jc w:val="center"/>
              <w:rPr>
                <w:rFonts w:eastAsia="Times New Roman" w:cs="Calibri"/>
                <w:kern w:val="2"/>
                <w:sz w:val="16"/>
                <w:szCs w:val="16"/>
                <w:lang w:eastAsia="ja-JP"/>
                <w14:ligatures w14:val="standardContextual"/>
              </w:rPr>
            </w:pPr>
            <w:r w:rsidRPr="004E13E9">
              <w:rPr>
                <w:b/>
                <w:bCs/>
                <w:sz w:val="16"/>
                <w:szCs w:val="16"/>
              </w:rPr>
              <w:t>131</w:t>
            </w:r>
          </w:p>
        </w:tc>
        <w:tc>
          <w:tcPr>
            <w:tcW w:w="253" w:type="dxa"/>
            <w:shd w:val="clear" w:color="000000" w:fill="D9D9D9"/>
            <w:vAlign w:val="center"/>
            <w:hideMark/>
          </w:tcPr>
          <w:p w14:paraId="50D9F964"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716" w:type="dxa"/>
            <w:tcBorders>
              <w:top w:val="nil"/>
              <w:left w:val="single" w:sz="4" w:space="0" w:color="auto"/>
              <w:bottom w:val="single" w:sz="8" w:space="0" w:color="auto"/>
              <w:right w:val="single" w:sz="4" w:space="0" w:color="auto"/>
            </w:tcBorders>
            <w:vAlign w:val="center"/>
          </w:tcPr>
          <w:p w14:paraId="55414180" w14:textId="77777777" w:rsidR="00827114" w:rsidRPr="004E13E9" w:rsidRDefault="00827114" w:rsidP="000D1853">
            <w:pPr>
              <w:spacing w:line="276" w:lineRule="auto"/>
              <w:ind w:right="-69"/>
              <w:rPr>
                <w:rFonts w:eastAsia="Times New Roman" w:cs="Calibri"/>
                <w:b/>
                <w:bCs/>
                <w:kern w:val="2"/>
                <w:sz w:val="16"/>
                <w:szCs w:val="16"/>
                <w:lang w:eastAsia="ja-JP"/>
                <w14:ligatures w14:val="standardContextual"/>
              </w:rPr>
            </w:pPr>
            <w:r w:rsidRPr="004E13E9">
              <w:rPr>
                <w:rFonts w:eastAsia="Times New Roman" w:cs="Calibri"/>
                <w:b/>
                <w:bCs/>
                <w:sz w:val="16"/>
                <w:szCs w:val="16"/>
                <w:lang w:eastAsia="ja-JP"/>
              </w:rPr>
              <w:t>568,70</w:t>
            </w:r>
          </w:p>
        </w:tc>
        <w:tc>
          <w:tcPr>
            <w:tcW w:w="808" w:type="dxa"/>
            <w:tcBorders>
              <w:top w:val="nil"/>
              <w:left w:val="single" w:sz="4" w:space="0" w:color="auto"/>
              <w:bottom w:val="single" w:sz="8" w:space="0" w:color="auto"/>
              <w:right w:val="nil"/>
            </w:tcBorders>
            <w:vAlign w:val="center"/>
            <w:hideMark/>
          </w:tcPr>
          <w:p w14:paraId="437AB2FA"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408,92</w:t>
            </w:r>
          </w:p>
        </w:tc>
        <w:tc>
          <w:tcPr>
            <w:tcW w:w="719" w:type="dxa"/>
            <w:tcBorders>
              <w:top w:val="nil"/>
              <w:left w:val="single" w:sz="4" w:space="0" w:color="auto"/>
              <w:bottom w:val="single" w:sz="8" w:space="0" w:color="auto"/>
              <w:right w:val="single" w:sz="4" w:space="0" w:color="auto"/>
            </w:tcBorders>
            <w:vAlign w:val="center"/>
            <w:hideMark/>
          </w:tcPr>
          <w:p w14:paraId="5530F4BD" w14:textId="77777777" w:rsidR="00827114" w:rsidRPr="004E13E9" w:rsidRDefault="00827114" w:rsidP="000D1853">
            <w:pPr>
              <w:spacing w:line="276" w:lineRule="auto"/>
              <w:ind w:right="-114"/>
              <w:rPr>
                <w:rFonts w:eastAsia="Times New Roman" w:cs="Calibri"/>
                <w:b/>
                <w:bCs/>
                <w:kern w:val="2"/>
                <w:sz w:val="16"/>
                <w:szCs w:val="16"/>
                <w:lang w:eastAsia="ko-KR"/>
                <w14:ligatures w14:val="standardContextual"/>
              </w:rPr>
            </w:pPr>
            <w:r w:rsidRPr="004E13E9">
              <w:rPr>
                <w:b/>
                <w:bCs/>
                <w:sz w:val="16"/>
                <w:szCs w:val="16"/>
              </w:rPr>
              <w:t>664,72</w:t>
            </w:r>
          </w:p>
        </w:tc>
        <w:tc>
          <w:tcPr>
            <w:tcW w:w="738" w:type="dxa"/>
            <w:tcBorders>
              <w:top w:val="nil"/>
              <w:left w:val="nil"/>
              <w:bottom w:val="single" w:sz="8" w:space="0" w:color="auto"/>
              <w:right w:val="single" w:sz="4" w:space="0" w:color="auto"/>
            </w:tcBorders>
            <w:noWrap/>
            <w:vAlign w:val="center"/>
          </w:tcPr>
          <w:p w14:paraId="5229E148"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1726,2</w:t>
            </w:r>
          </w:p>
        </w:tc>
        <w:tc>
          <w:tcPr>
            <w:tcW w:w="963" w:type="dxa"/>
            <w:tcBorders>
              <w:top w:val="nil"/>
              <w:left w:val="nil"/>
              <w:bottom w:val="single" w:sz="8" w:space="0" w:color="auto"/>
              <w:right w:val="single" w:sz="8" w:space="0" w:color="auto"/>
            </w:tcBorders>
            <w:noWrap/>
            <w:vAlign w:val="center"/>
          </w:tcPr>
          <w:p w14:paraId="2BB47334"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b/>
                <w:bCs/>
                <w:sz w:val="16"/>
                <w:szCs w:val="16"/>
              </w:rPr>
              <w:t>2016,86</w:t>
            </w:r>
          </w:p>
        </w:tc>
        <w:tc>
          <w:tcPr>
            <w:tcW w:w="746" w:type="dxa"/>
            <w:tcBorders>
              <w:top w:val="nil"/>
              <w:left w:val="nil"/>
              <w:bottom w:val="single" w:sz="8" w:space="0" w:color="auto"/>
              <w:right w:val="single" w:sz="8" w:space="0" w:color="auto"/>
            </w:tcBorders>
            <w:noWrap/>
            <w:vAlign w:val="center"/>
          </w:tcPr>
          <w:p w14:paraId="44B468E2" w14:textId="77777777" w:rsidR="00827114" w:rsidRPr="004E13E9" w:rsidRDefault="00827114" w:rsidP="000D1853">
            <w:pPr>
              <w:spacing w:line="276" w:lineRule="auto"/>
              <w:ind w:right="-147"/>
              <w:rPr>
                <w:rFonts w:eastAsia="Times New Roman" w:cs="Calibri"/>
                <w:b/>
                <w:bCs/>
                <w:kern w:val="2"/>
                <w:sz w:val="16"/>
                <w:szCs w:val="16"/>
                <w:lang w:eastAsia="ko-KR"/>
                <w14:ligatures w14:val="standardContextual"/>
              </w:rPr>
            </w:pPr>
            <w:r w:rsidRPr="004E13E9">
              <w:rPr>
                <w:b/>
                <w:bCs/>
                <w:sz w:val="16"/>
                <w:szCs w:val="16"/>
              </w:rPr>
              <w:t>2016,86</w:t>
            </w:r>
          </w:p>
        </w:tc>
        <w:tc>
          <w:tcPr>
            <w:tcW w:w="853" w:type="dxa"/>
            <w:tcBorders>
              <w:top w:val="nil"/>
              <w:left w:val="nil"/>
              <w:bottom w:val="single" w:sz="8" w:space="0" w:color="auto"/>
              <w:right w:val="single" w:sz="8" w:space="0" w:color="auto"/>
            </w:tcBorders>
            <w:vAlign w:val="center"/>
          </w:tcPr>
          <w:p w14:paraId="58287B85"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b/>
                <w:bCs/>
                <w:sz w:val="16"/>
                <w:szCs w:val="16"/>
              </w:rPr>
              <w:t>2106,64</w:t>
            </w:r>
          </w:p>
        </w:tc>
      </w:tr>
      <w:tr w:rsidR="00827114" w:rsidRPr="004E13E9" w14:paraId="6D366BA1" w14:textId="77777777" w:rsidTr="000D1853">
        <w:trPr>
          <w:trHeight w:val="20"/>
        </w:trPr>
        <w:tc>
          <w:tcPr>
            <w:tcW w:w="3256" w:type="dxa"/>
            <w:shd w:val="clear" w:color="auto" w:fill="D9D9D9"/>
            <w:noWrap/>
            <w:vAlign w:val="center"/>
            <w:hideMark/>
          </w:tcPr>
          <w:p w14:paraId="33AA868C"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xml:space="preserve">Quota initial </w:t>
            </w:r>
          </w:p>
        </w:tc>
        <w:tc>
          <w:tcPr>
            <w:tcW w:w="992" w:type="dxa"/>
            <w:shd w:val="clear" w:color="auto" w:fill="D9D9D9"/>
            <w:noWrap/>
            <w:vAlign w:val="center"/>
            <w:hideMark/>
          </w:tcPr>
          <w:p w14:paraId="2FF88758" w14:textId="77777777" w:rsidR="00827114" w:rsidRPr="004E13E9" w:rsidRDefault="00827114" w:rsidP="000D1853">
            <w:pPr>
              <w:spacing w:line="276" w:lineRule="auto"/>
              <w:jc w:val="right"/>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567" w:type="dxa"/>
            <w:shd w:val="clear" w:color="auto" w:fill="D9D9D9"/>
          </w:tcPr>
          <w:p w14:paraId="6C6D16AE" w14:textId="77777777" w:rsidR="00827114" w:rsidRPr="004E13E9" w:rsidRDefault="00827114" w:rsidP="000D1853">
            <w:pPr>
              <w:spacing w:line="276" w:lineRule="auto"/>
              <w:rPr>
                <w:rFonts w:eastAsia="Times New Roman" w:cs="Calibri"/>
                <w:kern w:val="2"/>
                <w:sz w:val="16"/>
                <w:szCs w:val="16"/>
                <w:lang w:eastAsia="ja-JP"/>
                <w14:ligatures w14:val="standardContextual"/>
              </w:rPr>
            </w:pPr>
          </w:p>
        </w:tc>
        <w:tc>
          <w:tcPr>
            <w:tcW w:w="489" w:type="dxa"/>
            <w:shd w:val="clear" w:color="auto" w:fill="D9D9D9"/>
            <w:noWrap/>
            <w:vAlign w:val="center"/>
            <w:hideMark/>
          </w:tcPr>
          <w:p w14:paraId="300BF7A4"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645" w:type="dxa"/>
            <w:shd w:val="clear" w:color="auto" w:fill="D9D9D9"/>
            <w:vAlign w:val="center"/>
            <w:hideMark/>
          </w:tcPr>
          <w:p w14:paraId="56280DBE"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709" w:type="dxa"/>
            <w:shd w:val="clear" w:color="auto" w:fill="D9D9D9"/>
            <w:vAlign w:val="center"/>
            <w:hideMark/>
          </w:tcPr>
          <w:p w14:paraId="59A41095"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708" w:type="dxa"/>
            <w:shd w:val="clear" w:color="auto" w:fill="D9D9D9"/>
            <w:vAlign w:val="center"/>
            <w:hideMark/>
          </w:tcPr>
          <w:p w14:paraId="061D06D0"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709" w:type="dxa"/>
            <w:shd w:val="clear" w:color="auto" w:fill="D9D9D9"/>
          </w:tcPr>
          <w:p w14:paraId="229B1582" w14:textId="77777777" w:rsidR="00827114" w:rsidRPr="004E13E9" w:rsidRDefault="00827114" w:rsidP="000D1853">
            <w:pPr>
              <w:spacing w:line="276" w:lineRule="auto"/>
              <w:rPr>
                <w:rFonts w:eastAsia="Times New Roman" w:cs="Calibri"/>
                <w:kern w:val="2"/>
                <w:sz w:val="16"/>
                <w:szCs w:val="16"/>
                <w:lang w:eastAsia="ja-JP"/>
                <w14:ligatures w14:val="standardContextual"/>
              </w:rPr>
            </w:pPr>
          </w:p>
        </w:tc>
        <w:tc>
          <w:tcPr>
            <w:tcW w:w="623" w:type="dxa"/>
            <w:shd w:val="clear" w:color="auto" w:fill="D9D9D9"/>
          </w:tcPr>
          <w:p w14:paraId="3294DBB1" w14:textId="77777777" w:rsidR="00827114" w:rsidRPr="004E13E9" w:rsidRDefault="00827114" w:rsidP="000D1853">
            <w:pPr>
              <w:spacing w:line="276" w:lineRule="auto"/>
              <w:jc w:val="center"/>
              <w:rPr>
                <w:rFonts w:eastAsia="Times New Roman" w:cs="Calibri"/>
                <w:kern w:val="2"/>
                <w:sz w:val="16"/>
                <w:szCs w:val="16"/>
                <w:lang w:eastAsia="ja-JP"/>
                <w14:ligatures w14:val="standardContextual"/>
              </w:rPr>
            </w:pPr>
          </w:p>
        </w:tc>
        <w:tc>
          <w:tcPr>
            <w:tcW w:w="253" w:type="dxa"/>
            <w:shd w:val="clear" w:color="auto" w:fill="D9D9D9"/>
            <w:vAlign w:val="center"/>
            <w:hideMark/>
          </w:tcPr>
          <w:p w14:paraId="13BCE960"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716" w:type="dxa"/>
            <w:tcBorders>
              <w:top w:val="nil"/>
              <w:left w:val="single" w:sz="4" w:space="0" w:color="auto"/>
              <w:bottom w:val="single" w:sz="8" w:space="0" w:color="auto"/>
              <w:right w:val="single" w:sz="4" w:space="0" w:color="auto"/>
            </w:tcBorders>
            <w:shd w:val="clear" w:color="auto" w:fill="E8E8E8" w:themeFill="background2"/>
            <w:vAlign w:val="center"/>
          </w:tcPr>
          <w:p w14:paraId="5151B3B5"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b/>
                <w:bCs/>
                <w:sz w:val="16"/>
                <w:szCs w:val="16"/>
                <w:lang w:eastAsia="ja-JP"/>
              </w:rPr>
              <w:t>1700</w:t>
            </w:r>
          </w:p>
        </w:tc>
        <w:tc>
          <w:tcPr>
            <w:tcW w:w="808" w:type="dxa"/>
            <w:tcBorders>
              <w:top w:val="nil"/>
              <w:left w:val="single" w:sz="4" w:space="0" w:color="auto"/>
              <w:bottom w:val="single" w:sz="8" w:space="0" w:color="auto"/>
              <w:right w:val="nil"/>
            </w:tcBorders>
            <w:shd w:val="clear" w:color="auto" w:fill="E8E8E8" w:themeFill="background2"/>
            <w:vAlign w:val="center"/>
            <w:hideMark/>
          </w:tcPr>
          <w:p w14:paraId="46680A8F" w14:textId="77777777" w:rsidR="00827114" w:rsidRPr="004E13E9" w:rsidRDefault="00827114" w:rsidP="000D1853">
            <w:pPr>
              <w:spacing w:line="276" w:lineRule="auto"/>
              <w:ind w:right="-15"/>
              <w:rPr>
                <w:rFonts w:eastAsia="Times New Roman" w:cs="Calibri"/>
                <w:kern w:val="2"/>
                <w:sz w:val="16"/>
                <w:szCs w:val="16"/>
                <w:lang w:eastAsia="ko-KR"/>
                <w14:ligatures w14:val="standardContextual"/>
              </w:rPr>
            </w:pPr>
            <w:r w:rsidRPr="004E13E9">
              <w:rPr>
                <w:b/>
                <w:bCs/>
                <w:sz w:val="16"/>
                <w:szCs w:val="16"/>
              </w:rPr>
              <w:t>1460,04</w:t>
            </w:r>
          </w:p>
        </w:tc>
        <w:tc>
          <w:tcPr>
            <w:tcW w:w="719" w:type="dxa"/>
            <w:tcBorders>
              <w:top w:val="nil"/>
              <w:left w:val="single" w:sz="4" w:space="0" w:color="auto"/>
              <w:bottom w:val="single" w:sz="8" w:space="0" w:color="auto"/>
              <w:right w:val="single" w:sz="4" w:space="0" w:color="auto"/>
            </w:tcBorders>
            <w:shd w:val="clear" w:color="auto" w:fill="E8E8E8" w:themeFill="background2"/>
            <w:vAlign w:val="center"/>
            <w:hideMark/>
          </w:tcPr>
          <w:p w14:paraId="2069E7B1"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b/>
                <w:bCs/>
                <w:sz w:val="16"/>
                <w:szCs w:val="16"/>
              </w:rPr>
              <w:t>1260</w:t>
            </w:r>
          </w:p>
        </w:tc>
        <w:tc>
          <w:tcPr>
            <w:tcW w:w="738" w:type="dxa"/>
            <w:tcBorders>
              <w:top w:val="nil"/>
              <w:left w:val="nil"/>
              <w:bottom w:val="single" w:sz="8" w:space="0" w:color="auto"/>
              <w:right w:val="single" w:sz="4" w:space="0" w:color="auto"/>
            </w:tcBorders>
            <w:shd w:val="clear" w:color="auto" w:fill="E8E8E8" w:themeFill="background2"/>
            <w:vAlign w:val="center"/>
          </w:tcPr>
          <w:p w14:paraId="19EA3FAE"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b/>
                <w:bCs/>
                <w:sz w:val="16"/>
                <w:szCs w:val="16"/>
              </w:rPr>
              <w:t>2023</w:t>
            </w:r>
          </w:p>
        </w:tc>
        <w:tc>
          <w:tcPr>
            <w:tcW w:w="963" w:type="dxa"/>
            <w:tcBorders>
              <w:top w:val="nil"/>
              <w:left w:val="nil"/>
              <w:bottom w:val="single" w:sz="8" w:space="0" w:color="auto"/>
              <w:right w:val="single" w:sz="8" w:space="0" w:color="auto"/>
            </w:tcBorders>
            <w:shd w:val="clear" w:color="auto" w:fill="E8E8E8" w:themeFill="background2"/>
            <w:vAlign w:val="center"/>
          </w:tcPr>
          <w:p w14:paraId="4A99A989"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b/>
                <w:bCs/>
                <w:sz w:val="16"/>
                <w:szCs w:val="16"/>
              </w:rPr>
              <w:t>2023</w:t>
            </w:r>
          </w:p>
        </w:tc>
        <w:tc>
          <w:tcPr>
            <w:tcW w:w="746" w:type="dxa"/>
            <w:tcBorders>
              <w:top w:val="nil"/>
              <w:left w:val="nil"/>
              <w:bottom w:val="single" w:sz="8" w:space="0" w:color="auto"/>
              <w:right w:val="single" w:sz="8" w:space="0" w:color="auto"/>
            </w:tcBorders>
            <w:shd w:val="clear" w:color="auto" w:fill="E8E8E8" w:themeFill="background2"/>
            <w:vAlign w:val="center"/>
          </w:tcPr>
          <w:p w14:paraId="0409D6DF"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b/>
                <w:bCs/>
                <w:sz w:val="16"/>
                <w:szCs w:val="16"/>
              </w:rPr>
              <w:t>2023</w:t>
            </w:r>
          </w:p>
        </w:tc>
        <w:tc>
          <w:tcPr>
            <w:tcW w:w="853" w:type="dxa"/>
            <w:tcBorders>
              <w:top w:val="nil"/>
              <w:left w:val="nil"/>
              <w:bottom w:val="single" w:sz="8" w:space="0" w:color="auto"/>
              <w:right w:val="single" w:sz="8" w:space="0" w:color="auto"/>
            </w:tcBorders>
            <w:shd w:val="clear" w:color="auto" w:fill="E8E8E8" w:themeFill="background2"/>
            <w:vAlign w:val="center"/>
          </w:tcPr>
          <w:p w14:paraId="0884E449"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2460,64</w:t>
            </w:r>
          </w:p>
        </w:tc>
      </w:tr>
      <w:tr w:rsidR="00827114" w:rsidRPr="004E13E9" w14:paraId="0A4DE4AE" w14:textId="77777777" w:rsidTr="000D1853">
        <w:trPr>
          <w:trHeight w:val="20"/>
        </w:trPr>
        <w:tc>
          <w:tcPr>
            <w:tcW w:w="3256" w:type="dxa"/>
            <w:shd w:val="clear" w:color="auto" w:fill="D9D9D9"/>
            <w:noWrap/>
            <w:vAlign w:val="center"/>
          </w:tcPr>
          <w:p w14:paraId="5BCBF8A5" w14:textId="77777777" w:rsidR="00827114" w:rsidRPr="004E13E9" w:rsidRDefault="00827114" w:rsidP="000D1853">
            <w:pPr>
              <w:spacing w:line="276" w:lineRule="auto"/>
              <w:rPr>
                <w:rFonts w:eastAsia="Times New Roman" w:cs="Calibri"/>
                <w:b/>
                <w:bCs/>
                <w:kern w:val="2"/>
                <w:sz w:val="16"/>
                <w:szCs w:val="16"/>
                <w:lang w:val="fr-FR" w:eastAsia="ko-KR"/>
                <w14:ligatures w14:val="standardContextual"/>
              </w:rPr>
            </w:pPr>
            <w:r w:rsidRPr="004E13E9">
              <w:rPr>
                <w:rFonts w:eastAsia="Malgun Gothic"/>
                <w:b/>
                <w:kern w:val="2"/>
                <w:sz w:val="16"/>
                <w:szCs w:val="16"/>
                <w:lang w:val="fr-FR" w:eastAsia="ko-KR"/>
                <w14:ligatures w14:val="standardContextual"/>
              </w:rPr>
              <w:t>Quota ajusté (le cas échéant)</w:t>
            </w:r>
          </w:p>
        </w:tc>
        <w:tc>
          <w:tcPr>
            <w:tcW w:w="992" w:type="dxa"/>
            <w:shd w:val="clear" w:color="auto" w:fill="D9D9D9"/>
            <w:noWrap/>
            <w:vAlign w:val="center"/>
          </w:tcPr>
          <w:p w14:paraId="3B0EC734" w14:textId="77777777" w:rsidR="00827114" w:rsidRPr="004E13E9" w:rsidRDefault="00827114" w:rsidP="000D1853">
            <w:pPr>
              <w:spacing w:line="276" w:lineRule="auto"/>
              <w:jc w:val="right"/>
              <w:rPr>
                <w:rFonts w:eastAsia="Times New Roman" w:cs="Calibri"/>
                <w:kern w:val="2"/>
                <w:sz w:val="16"/>
                <w:szCs w:val="16"/>
                <w:lang w:val="fr-FR" w:eastAsia="ja-JP"/>
                <w14:ligatures w14:val="standardContextual"/>
              </w:rPr>
            </w:pPr>
          </w:p>
        </w:tc>
        <w:tc>
          <w:tcPr>
            <w:tcW w:w="567" w:type="dxa"/>
            <w:shd w:val="clear" w:color="auto" w:fill="D9D9D9"/>
          </w:tcPr>
          <w:p w14:paraId="40FCF9FF" w14:textId="77777777" w:rsidR="00827114" w:rsidRPr="004E13E9" w:rsidRDefault="00827114" w:rsidP="000D1853">
            <w:pPr>
              <w:spacing w:line="276" w:lineRule="auto"/>
              <w:rPr>
                <w:rFonts w:eastAsia="Times New Roman" w:cs="Calibri"/>
                <w:kern w:val="2"/>
                <w:sz w:val="16"/>
                <w:szCs w:val="16"/>
                <w:lang w:val="fr-FR" w:eastAsia="ja-JP"/>
                <w14:ligatures w14:val="standardContextual"/>
              </w:rPr>
            </w:pPr>
          </w:p>
        </w:tc>
        <w:tc>
          <w:tcPr>
            <w:tcW w:w="489" w:type="dxa"/>
            <w:shd w:val="clear" w:color="auto" w:fill="D9D9D9"/>
            <w:noWrap/>
            <w:vAlign w:val="center"/>
          </w:tcPr>
          <w:p w14:paraId="440F78E3" w14:textId="77777777" w:rsidR="00827114" w:rsidRPr="004E13E9" w:rsidRDefault="00827114" w:rsidP="000D1853">
            <w:pPr>
              <w:spacing w:line="276" w:lineRule="auto"/>
              <w:rPr>
                <w:rFonts w:eastAsia="Times New Roman" w:cs="Calibri"/>
                <w:kern w:val="2"/>
                <w:sz w:val="16"/>
                <w:szCs w:val="16"/>
                <w:lang w:val="fr-FR" w:eastAsia="ja-JP"/>
                <w14:ligatures w14:val="standardContextual"/>
              </w:rPr>
            </w:pPr>
          </w:p>
        </w:tc>
        <w:tc>
          <w:tcPr>
            <w:tcW w:w="645" w:type="dxa"/>
            <w:shd w:val="clear" w:color="auto" w:fill="D9D9D9"/>
            <w:vAlign w:val="center"/>
          </w:tcPr>
          <w:p w14:paraId="209D80B9" w14:textId="77777777" w:rsidR="00827114" w:rsidRPr="004E13E9" w:rsidRDefault="00827114" w:rsidP="000D1853">
            <w:pPr>
              <w:spacing w:line="276" w:lineRule="auto"/>
              <w:rPr>
                <w:rFonts w:eastAsia="Times New Roman" w:cs="Calibri"/>
                <w:kern w:val="2"/>
                <w:sz w:val="16"/>
                <w:szCs w:val="16"/>
                <w:lang w:val="fr-FR" w:eastAsia="ja-JP"/>
                <w14:ligatures w14:val="standardContextual"/>
              </w:rPr>
            </w:pPr>
          </w:p>
        </w:tc>
        <w:tc>
          <w:tcPr>
            <w:tcW w:w="709" w:type="dxa"/>
            <w:shd w:val="clear" w:color="auto" w:fill="D9D9D9"/>
            <w:vAlign w:val="center"/>
          </w:tcPr>
          <w:p w14:paraId="555FEE08" w14:textId="77777777" w:rsidR="00827114" w:rsidRPr="004E13E9" w:rsidRDefault="00827114" w:rsidP="000D1853">
            <w:pPr>
              <w:spacing w:line="276" w:lineRule="auto"/>
              <w:rPr>
                <w:rFonts w:eastAsia="Times New Roman" w:cs="Calibri"/>
                <w:kern w:val="2"/>
                <w:sz w:val="16"/>
                <w:szCs w:val="16"/>
                <w:lang w:val="fr-FR" w:eastAsia="ja-JP"/>
                <w14:ligatures w14:val="standardContextual"/>
              </w:rPr>
            </w:pPr>
          </w:p>
        </w:tc>
        <w:tc>
          <w:tcPr>
            <w:tcW w:w="708" w:type="dxa"/>
            <w:shd w:val="clear" w:color="auto" w:fill="D9D9D9"/>
            <w:vAlign w:val="center"/>
          </w:tcPr>
          <w:p w14:paraId="5C3B84EB" w14:textId="77777777" w:rsidR="00827114" w:rsidRPr="004E13E9" w:rsidRDefault="00827114" w:rsidP="000D1853">
            <w:pPr>
              <w:spacing w:line="276" w:lineRule="auto"/>
              <w:rPr>
                <w:rFonts w:eastAsia="Times New Roman" w:cs="Calibri"/>
                <w:kern w:val="2"/>
                <w:sz w:val="16"/>
                <w:szCs w:val="16"/>
                <w:lang w:val="fr-FR" w:eastAsia="ja-JP"/>
                <w14:ligatures w14:val="standardContextual"/>
              </w:rPr>
            </w:pPr>
          </w:p>
        </w:tc>
        <w:tc>
          <w:tcPr>
            <w:tcW w:w="709" w:type="dxa"/>
            <w:shd w:val="clear" w:color="auto" w:fill="D9D9D9"/>
          </w:tcPr>
          <w:p w14:paraId="7267074E" w14:textId="77777777" w:rsidR="00827114" w:rsidRPr="004E13E9" w:rsidRDefault="00827114" w:rsidP="000D1853">
            <w:pPr>
              <w:spacing w:line="276" w:lineRule="auto"/>
              <w:rPr>
                <w:rFonts w:eastAsia="Times New Roman" w:cs="Calibri"/>
                <w:kern w:val="2"/>
                <w:sz w:val="16"/>
                <w:szCs w:val="16"/>
                <w:lang w:val="fr-FR" w:eastAsia="ja-JP"/>
                <w14:ligatures w14:val="standardContextual"/>
              </w:rPr>
            </w:pPr>
          </w:p>
        </w:tc>
        <w:tc>
          <w:tcPr>
            <w:tcW w:w="623" w:type="dxa"/>
            <w:shd w:val="clear" w:color="auto" w:fill="D9D9D9"/>
          </w:tcPr>
          <w:p w14:paraId="759036AA" w14:textId="77777777" w:rsidR="00827114" w:rsidRPr="004E13E9" w:rsidRDefault="00827114" w:rsidP="000D1853">
            <w:pPr>
              <w:spacing w:line="276" w:lineRule="auto"/>
              <w:jc w:val="center"/>
              <w:rPr>
                <w:rFonts w:eastAsia="Times New Roman" w:cs="Calibri"/>
                <w:kern w:val="2"/>
                <w:sz w:val="16"/>
                <w:szCs w:val="16"/>
                <w:lang w:val="fr-FR" w:eastAsia="ja-JP"/>
                <w14:ligatures w14:val="standardContextual"/>
              </w:rPr>
            </w:pPr>
          </w:p>
        </w:tc>
        <w:tc>
          <w:tcPr>
            <w:tcW w:w="253" w:type="dxa"/>
            <w:shd w:val="clear" w:color="auto" w:fill="D9D9D9"/>
            <w:vAlign w:val="center"/>
          </w:tcPr>
          <w:p w14:paraId="388E175D" w14:textId="77777777" w:rsidR="00827114" w:rsidRPr="004E13E9" w:rsidRDefault="00827114" w:rsidP="000D1853">
            <w:pPr>
              <w:spacing w:line="276" w:lineRule="auto"/>
              <w:rPr>
                <w:rFonts w:eastAsia="Times New Roman" w:cs="Calibri"/>
                <w:kern w:val="2"/>
                <w:sz w:val="16"/>
                <w:szCs w:val="16"/>
                <w:lang w:val="fr-FR" w:eastAsia="ja-JP"/>
                <w14:ligatures w14:val="standardContextual"/>
              </w:rPr>
            </w:pPr>
          </w:p>
        </w:tc>
        <w:tc>
          <w:tcPr>
            <w:tcW w:w="716" w:type="dxa"/>
            <w:tcBorders>
              <w:top w:val="nil"/>
              <w:left w:val="single" w:sz="4" w:space="0" w:color="auto"/>
              <w:bottom w:val="single" w:sz="8" w:space="0" w:color="auto"/>
              <w:right w:val="single" w:sz="4" w:space="0" w:color="auto"/>
            </w:tcBorders>
            <w:shd w:val="clear" w:color="auto" w:fill="E8E8E8" w:themeFill="background2"/>
            <w:vAlign w:val="center"/>
          </w:tcPr>
          <w:p w14:paraId="3E230B26"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b/>
                <w:bCs/>
                <w:sz w:val="16"/>
                <w:szCs w:val="16"/>
                <w:lang w:eastAsia="ja-JP"/>
              </w:rPr>
              <w:t>1700</w:t>
            </w:r>
          </w:p>
        </w:tc>
        <w:tc>
          <w:tcPr>
            <w:tcW w:w="808" w:type="dxa"/>
            <w:tcBorders>
              <w:top w:val="nil"/>
              <w:left w:val="single" w:sz="4" w:space="0" w:color="auto"/>
              <w:bottom w:val="single" w:sz="8" w:space="0" w:color="auto"/>
              <w:right w:val="nil"/>
            </w:tcBorders>
            <w:shd w:val="clear" w:color="auto" w:fill="E8E8E8" w:themeFill="background2"/>
            <w:vAlign w:val="center"/>
          </w:tcPr>
          <w:p w14:paraId="616F8BC4" w14:textId="77777777" w:rsidR="00827114" w:rsidRPr="004E13E9" w:rsidRDefault="00827114" w:rsidP="000D1853">
            <w:pPr>
              <w:spacing w:line="276" w:lineRule="auto"/>
              <w:ind w:right="-125"/>
              <w:rPr>
                <w:rFonts w:eastAsia="Times New Roman" w:cs="Calibri"/>
                <w:kern w:val="2"/>
                <w:sz w:val="16"/>
                <w:szCs w:val="16"/>
                <w:lang w:eastAsia="ja-JP"/>
                <w14:ligatures w14:val="standardContextual"/>
              </w:rPr>
            </w:pPr>
            <w:r w:rsidRPr="004E13E9">
              <w:rPr>
                <w:b/>
                <w:bCs/>
                <w:sz w:val="16"/>
                <w:szCs w:val="16"/>
              </w:rPr>
              <w:t>1460,04</w:t>
            </w:r>
          </w:p>
        </w:tc>
        <w:tc>
          <w:tcPr>
            <w:tcW w:w="719" w:type="dxa"/>
            <w:tcBorders>
              <w:top w:val="nil"/>
              <w:left w:val="single" w:sz="4" w:space="0" w:color="auto"/>
              <w:bottom w:val="single" w:sz="8" w:space="0" w:color="auto"/>
              <w:right w:val="single" w:sz="4" w:space="0" w:color="auto"/>
            </w:tcBorders>
            <w:shd w:val="clear" w:color="auto" w:fill="E8E8E8" w:themeFill="background2"/>
            <w:vAlign w:val="center"/>
          </w:tcPr>
          <w:p w14:paraId="0F51CBAD" w14:textId="77777777" w:rsidR="00827114" w:rsidRPr="004E13E9" w:rsidRDefault="00827114" w:rsidP="000D1853">
            <w:pPr>
              <w:spacing w:line="276" w:lineRule="auto"/>
              <w:ind w:right="-114"/>
              <w:rPr>
                <w:rFonts w:eastAsia="Times New Roman" w:cs="Calibri"/>
                <w:kern w:val="2"/>
                <w:sz w:val="16"/>
                <w:szCs w:val="16"/>
                <w:lang w:eastAsia="ja-JP"/>
                <w14:ligatures w14:val="standardContextual"/>
              </w:rPr>
            </w:pPr>
            <w:r w:rsidRPr="004E13E9">
              <w:rPr>
                <w:b/>
                <w:bCs/>
                <w:sz w:val="16"/>
                <w:szCs w:val="16"/>
              </w:rPr>
              <w:t>1300,0</w:t>
            </w:r>
          </w:p>
        </w:tc>
        <w:tc>
          <w:tcPr>
            <w:tcW w:w="738" w:type="dxa"/>
            <w:tcBorders>
              <w:top w:val="nil"/>
              <w:left w:val="nil"/>
              <w:bottom w:val="single" w:sz="8" w:space="0" w:color="auto"/>
              <w:right w:val="single" w:sz="4" w:space="0" w:color="auto"/>
            </w:tcBorders>
            <w:shd w:val="clear" w:color="auto" w:fill="E8E8E8" w:themeFill="background2"/>
            <w:vAlign w:val="center"/>
          </w:tcPr>
          <w:p w14:paraId="4FFF6DC9"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b/>
                <w:bCs/>
                <w:sz w:val="16"/>
                <w:szCs w:val="16"/>
              </w:rPr>
              <w:t>2018</w:t>
            </w:r>
          </w:p>
        </w:tc>
        <w:tc>
          <w:tcPr>
            <w:tcW w:w="963" w:type="dxa"/>
            <w:tcBorders>
              <w:top w:val="nil"/>
              <w:left w:val="nil"/>
              <w:bottom w:val="single" w:sz="8" w:space="0" w:color="auto"/>
              <w:right w:val="single" w:sz="8" w:space="0" w:color="auto"/>
            </w:tcBorders>
            <w:shd w:val="clear" w:color="auto" w:fill="E8E8E8" w:themeFill="background2"/>
            <w:vAlign w:val="center"/>
          </w:tcPr>
          <w:p w14:paraId="15238BDE"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b/>
                <w:bCs/>
                <w:sz w:val="16"/>
                <w:szCs w:val="16"/>
              </w:rPr>
              <w:t>2041</w:t>
            </w:r>
          </w:p>
        </w:tc>
        <w:tc>
          <w:tcPr>
            <w:tcW w:w="746" w:type="dxa"/>
            <w:tcBorders>
              <w:top w:val="nil"/>
              <w:left w:val="nil"/>
              <w:bottom w:val="single" w:sz="8" w:space="0" w:color="auto"/>
              <w:right w:val="single" w:sz="8" w:space="0" w:color="auto"/>
            </w:tcBorders>
            <w:shd w:val="clear" w:color="auto" w:fill="E8E8E8" w:themeFill="background2"/>
            <w:vAlign w:val="center"/>
          </w:tcPr>
          <w:p w14:paraId="0FB980F1" w14:textId="77777777" w:rsidR="00827114" w:rsidRPr="004E13E9" w:rsidRDefault="00827114" w:rsidP="000D1853">
            <w:pPr>
              <w:spacing w:line="276" w:lineRule="auto"/>
              <w:ind w:right="-147" w:hanging="36"/>
              <w:rPr>
                <w:rFonts w:eastAsia="Times New Roman" w:cs="Calibri"/>
                <w:kern w:val="2"/>
                <w:sz w:val="16"/>
                <w:szCs w:val="16"/>
                <w:lang w:eastAsia="ja-JP"/>
                <w14:ligatures w14:val="standardContextual"/>
              </w:rPr>
            </w:pPr>
            <w:r w:rsidRPr="004E13E9">
              <w:rPr>
                <w:b/>
                <w:bCs/>
                <w:sz w:val="16"/>
                <w:szCs w:val="16"/>
              </w:rPr>
              <w:t>2047,65</w:t>
            </w:r>
          </w:p>
        </w:tc>
        <w:tc>
          <w:tcPr>
            <w:tcW w:w="853" w:type="dxa"/>
            <w:tcBorders>
              <w:top w:val="nil"/>
              <w:left w:val="nil"/>
              <w:bottom w:val="single" w:sz="8" w:space="0" w:color="auto"/>
              <w:right w:val="single" w:sz="8" w:space="0" w:color="auto"/>
            </w:tcBorders>
            <w:shd w:val="clear" w:color="auto" w:fill="E8E8E8" w:themeFill="background2"/>
            <w:vAlign w:val="center"/>
          </w:tcPr>
          <w:p w14:paraId="5A94675B"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2465,28</w:t>
            </w:r>
          </w:p>
        </w:tc>
      </w:tr>
      <w:tr w:rsidR="00827114" w:rsidRPr="004E13E9" w14:paraId="28369BBC" w14:textId="77777777" w:rsidTr="000D1853">
        <w:trPr>
          <w:trHeight w:val="20"/>
        </w:trPr>
        <w:tc>
          <w:tcPr>
            <w:tcW w:w="3256" w:type="dxa"/>
            <w:noWrap/>
            <w:vAlign w:val="center"/>
            <w:hideMark/>
          </w:tcPr>
          <w:p w14:paraId="694A99C9" w14:textId="77777777" w:rsidR="00827114" w:rsidRPr="004E13E9" w:rsidRDefault="00827114" w:rsidP="000D1853">
            <w:pPr>
              <w:spacing w:line="276" w:lineRule="auto"/>
              <w:rPr>
                <w:rFonts w:eastAsia="Times New Roman" w:cs="Calibri"/>
                <w:b/>
                <w:bCs/>
                <w:kern w:val="2"/>
                <w:sz w:val="16"/>
                <w:szCs w:val="16"/>
                <w:lang w:val="fr-FR" w:eastAsia="ko-KR"/>
                <w14:ligatures w14:val="standardContextual"/>
              </w:rPr>
            </w:pPr>
            <w:r w:rsidRPr="004E13E9">
              <w:rPr>
                <w:rFonts w:eastAsia="Malgun Gothic"/>
                <w:b/>
                <w:kern w:val="2"/>
                <w:sz w:val="16"/>
                <w:szCs w:val="16"/>
                <w:lang w:val="fr-FR" w:eastAsia="ko-KR"/>
                <w14:ligatures w14:val="standardContextual"/>
              </w:rPr>
              <w:t>Pourcentage alloué aux prises accessoires</w:t>
            </w:r>
          </w:p>
        </w:tc>
        <w:tc>
          <w:tcPr>
            <w:tcW w:w="992" w:type="dxa"/>
            <w:noWrap/>
            <w:vAlign w:val="center"/>
            <w:hideMark/>
          </w:tcPr>
          <w:p w14:paraId="6DFAA529" w14:textId="77777777" w:rsidR="00827114" w:rsidRPr="004E13E9" w:rsidRDefault="00827114" w:rsidP="000D1853">
            <w:pPr>
              <w:spacing w:line="276" w:lineRule="auto"/>
              <w:jc w:val="right"/>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 </w:t>
            </w:r>
          </w:p>
        </w:tc>
        <w:tc>
          <w:tcPr>
            <w:tcW w:w="567" w:type="dxa"/>
          </w:tcPr>
          <w:p w14:paraId="439EFA60" w14:textId="77777777" w:rsidR="00827114" w:rsidRPr="004E13E9" w:rsidRDefault="00827114" w:rsidP="000D1853">
            <w:pPr>
              <w:spacing w:line="276" w:lineRule="auto"/>
              <w:rPr>
                <w:rFonts w:eastAsia="Times New Roman" w:cs="Calibri"/>
                <w:kern w:val="2"/>
                <w:sz w:val="16"/>
                <w:szCs w:val="16"/>
                <w:lang w:val="fr-FR" w:eastAsia="ja-JP"/>
                <w14:ligatures w14:val="standardContextual"/>
              </w:rPr>
            </w:pPr>
          </w:p>
        </w:tc>
        <w:tc>
          <w:tcPr>
            <w:tcW w:w="489" w:type="dxa"/>
            <w:noWrap/>
            <w:vAlign w:val="center"/>
            <w:hideMark/>
          </w:tcPr>
          <w:p w14:paraId="44F7FEAE" w14:textId="77777777" w:rsidR="00827114" w:rsidRPr="004E13E9" w:rsidRDefault="00827114" w:rsidP="000D1853">
            <w:pPr>
              <w:spacing w:line="276" w:lineRule="auto"/>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 </w:t>
            </w:r>
          </w:p>
        </w:tc>
        <w:tc>
          <w:tcPr>
            <w:tcW w:w="645" w:type="dxa"/>
            <w:tcBorders>
              <w:top w:val="nil"/>
              <w:left w:val="nil"/>
              <w:bottom w:val="single" w:sz="8" w:space="0" w:color="auto"/>
              <w:right w:val="single" w:sz="8" w:space="0" w:color="auto"/>
            </w:tcBorders>
            <w:vAlign w:val="center"/>
            <w:hideMark/>
          </w:tcPr>
          <w:p w14:paraId="78F22FD3" w14:textId="77777777" w:rsidR="00827114" w:rsidRPr="004E13E9" w:rsidRDefault="00827114" w:rsidP="000D1853">
            <w:pPr>
              <w:spacing w:line="276" w:lineRule="auto"/>
              <w:rPr>
                <w:rFonts w:eastAsia="Times New Roman" w:cs="Calibri"/>
                <w:kern w:val="2"/>
                <w:sz w:val="14"/>
                <w:szCs w:val="14"/>
                <w:lang w:eastAsia="ko-KR"/>
                <w14:ligatures w14:val="standardContextual"/>
              </w:rPr>
            </w:pPr>
            <w:r w:rsidRPr="004E13E9">
              <w:rPr>
                <w:b/>
                <w:bCs/>
                <w:sz w:val="14"/>
                <w:szCs w:val="14"/>
              </w:rPr>
              <w:t>0,46%</w:t>
            </w:r>
          </w:p>
        </w:tc>
        <w:tc>
          <w:tcPr>
            <w:tcW w:w="709" w:type="dxa"/>
            <w:tcBorders>
              <w:top w:val="nil"/>
              <w:left w:val="nil"/>
              <w:bottom w:val="single" w:sz="8" w:space="0" w:color="auto"/>
              <w:right w:val="single" w:sz="8" w:space="0" w:color="auto"/>
            </w:tcBorders>
            <w:vAlign w:val="center"/>
            <w:hideMark/>
          </w:tcPr>
          <w:p w14:paraId="7E21B0F4" w14:textId="77777777" w:rsidR="00827114" w:rsidRPr="004E13E9" w:rsidRDefault="00827114" w:rsidP="000D1853">
            <w:pPr>
              <w:spacing w:line="276" w:lineRule="auto"/>
              <w:rPr>
                <w:rFonts w:eastAsia="Times New Roman" w:cs="Calibri"/>
                <w:kern w:val="2"/>
                <w:sz w:val="14"/>
                <w:szCs w:val="14"/>
                <w:lang w:eastAsia="ko-KR"/>
                <w14:ligatures w14:val="standardContextual"/>
              </w:rPr>
            </w:pPr>
            <w:r w:rsidRPr="004E13E9">
              <w:rPr>
                <w:b/>
                <w:bCs/>
                <w:sz w:val="14"/>
                <w:szCs w:val="14"/>
              </w:rPr>
              <w:t>0,24%</w:t>
            </w:r>
          </w:p>
        </w:tc>
        <w:tc>
          <w:tcPr>
            <w:tcW w:w="708" w:type="dxa"/>
            <w:tcBorders>
              <w:top w:val="nil"/>
              <w:left w:val="nil"/>
              <w:bottom w:val="single" w:sz="8" w:space="0" w:color="auto"/>
              <w:right w:val="single" w:sz="8" w:space="0" w:color="auto"/>
            </w:tcBorders>
            <w:vAlign w:val="center"/>
            <w:hideMark/>
          </w:tcPr>
          <w:p w14:paraId="6D8E71DB" w14:textId="77777777" w:rsidR="00827114" w:rsidRPr="004E13E9" w:rsidRDefault="00827114" w:rsidP="000D1853">
            <w:pPr>
              <w:spacing w:line="276" w:lineRule="auto"/>
              <w:rPr>
                <w:rFonts w:eastAsia="Times New Roman" w:cs="Calibri"/>
                <w:kern w:val="2"/>
                <w:sz w:val="12"/>
                <w:szCs w:val="12"/>
                <w:lang w:eastAsia="ko-KR"/>
                <w14:ligatures w14:val="standardContextual"/>
              </w:rPr>
            </w:pPr>
            <w:r w:rsidRPr="004E13E9">
              <w:rPr>
                <w:b/>
                <w:bCs/>
                <w:sz w:val="12"/>
                <w:szCs w:val="12"/>
              </w:rPr>
              <w:t>0,24%</w:t>
            </w:r>
          </w:p>
        </w:tc>
        <w:tc>
          <w:tcPr>
            <w:tcW w:w="709" w:type="dxa"/>
            <w:tcBorders>
              <w:top w:val="nil"/>
              <w:left w:val="nil"/>
              <w:bottom w:val="single" w:sz="8" w:space="0" w:color="auto"/>
              <w:right w:val="single" w:sz="8" w:space="0" w:color="auto"/>
            </w:tcBorders>
            <w:vAlign w:val="center"/>
          </w:tcPr>
          <w:p w14:paraId="0CB2CA16" w14:textId="77777777" w:rsidR="00827114" w:rsidRPr="004E13E9" w:rsidRDefault="00827114" w:rsidP="000D1853">
            <w:pPr>
              <w:spacing w:line="276" w:lineRule="auto"/>
              <w:rPr>
                <w:rFonts w:eastAsia="Times New Roman" w:cs="Calibri"/>
                <w:kern w:val="2"/>
                <w:sz w:val="14"/>
                <w:szCs w:val="14"/>
                <w:lang w:eastAsia="ja-JP"/>
                <w14:ligatures w14:val="standardContextual"/>
              </w:rPr>
            </w:pPr>
            <w:r w:rsidRPr="004E13E9">
              <w:rPr>
                <w:b/>
                <w:bCs/>
                <w:sz w:val="14"/>
                <w:szCs w:val="14"/>
              </w:rPr>
              <w:t>0,24%</w:t>
            </w:r>
          </w:p>
        </w:tc>
        <w:tc>
          <w:tcPr>
            <w:tcW w:w="623" w:type="dxa"/>
            <w:tcBorders>
              <w:top w:val="nil"/>
              <w:left w:val="nil"/>
              <w:bottom w:val="single" w:sz="8" w:space="0" w:color="auto"/>
              <w:right w:val="single" w:sz="4" w:space="0" w:color="auto"/>
            </w:tcBorders>
            <w:vAlign w:val="center"/>
          </w:tcPr>
          <w:p w14:paraId="41FF5448" w14:textId="77777777" w:rsidR="00827114" w:rsidRPr="004E13E9" w:rsidRDefault="00827114" w:rsidP="000D1853">
            <w:pPr>
              <w:spacing w:line="276" w:lineRule="auto"/>
              <w:jc w:val="center"/>
              <w:rPr>
                <w:rFonts w:eastAsia="Times New Roman" w:cs="Calibri"/>
                <w:kern w:val="2"/>
                <w:sz w:val="12"/>
                <w:szCs w:val="12"/>
                <w:lang w:eastAsia="ja-JP"/>
                <w14:ligatures w14:val="standardContextual"/>
              </w:rPr>
            </w:pPr>
            <w:r w:rsidRPr="004E13E9">
              <w:rPr>
                <w:b/>
                <w:bCs/>
                <w:sz w:val="12"/>
                <w:szCs w:val="12"/>
              </w:rPr>
              <w:t>0,24%</w:t>
            </w:r>
          </w:p>
        </w:tc>
        <w:tc>
          <w:tcPr>
            <w:tcW w:w="253" w:type="dxa"/>
            <w:shd w:val="clear" w:color="000000" w:fill="D9D9D9"/>
            <w:vAlign w:val="center"/>
            <w:hideMark/>
          </w:tcPr>
          <w:p w14:paraId="7B512106"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716" w:type="dxa"/>
            <w:tcBorders>
              <w:top w:val="nil"/>
              <w:left w:val="single" w:sz="4" w:space="0" w:color="auto"/>
              <w:bottom w:val="single" w:sz="8" w:space="0" w:color="auto"/>
              <w:right w:val="single" w:sz="4" w:space="0" w:color="auto"/>
            </w:tcBorders>
            <w:vAlign w:val="center"/>
          </w:tcPr>
          <w:p w14:paraId="726CDF55" w14:textId="77777777" w:rsidR="00827114" w:rsidRPr="004E13E9" w:rsidRDefault="00827114" w:rsidP="000D1853">
            <w:pPr>
              <w:spacing w:line="276" w:lineRule="auto"/>
              <w:rPr>
                <w:rFonts w:eastAsia="Times New Roman" w:cs="Calibri"/>
                <w:kern w:val="2"/>
                <w:sz w:val="16"/>
                <w:szCs w:val="16"/>
                <w:lang w:eastAsia="ja-JP"/>
                <w14:ligatures w14:val="standardContextual"/>
              </w:rPr>
            </w:pPr>
          </w:p>
        </w:tc>
        <w:tc>
          <w:tcPr>
            <w:tcW w:w="808" w:type="dxa"/>
            <w:tcBorders>
              <w:top w:val="nil"/>
              <w:left w:val="single" w:sz="4" w:space="0" w:color="auto"/>
              <w:bottom w:val="single" w:sz="8" w:space="0" w:color="auto"/>
              <w:right w:val="nil"/>
            </w:tcBorders>
            <w:vAlign w:val="center"/>
          </w:tcPr>
          <w:p w14:paraId="55C0BF55" w14:textId="77777777" w:rsidR="00827114" w:rsidRPr="004E13E9" w:rsidRDefault="00827114" w:rsidP="000D1853">
            <w:pPr>
              <w:spacing w:line="276" w:lineRule="auto"/>
              <w:rPr>
                <w:rFonts w:eastAsia="Times New Roman" w:cs="Calibri"/>
                <w:kern w:val="2"/>
                <w:sz w:val="16"/>
                <w:szCs w:val="16"/>
                <w:lang w:eastAsia="ko-KR"/>
                <w14:ligatures w14:val="standardContextual"/>
              </w:rPr>
            </w:pPr>
          </w:p>
        </w:tc>
        <w:tc>
          <w:tcPr>
            <w:tcW w:w="719" w:type="dxa"/>
            <w:tcBorders>
              <w:top w:val="nil"/>
              <w:left w:val="single" w:sz="4" w:space="0" w:color="auto"/>
              <w:bottom w:val="single" w:sz="8" w:space="0" w:color="auto"/>
              <w:right w:val="single" w:sz="4" w:space="0" w:color="auto"/>
            </w:tcBorders>
            <w:vAlign w:val="center"/>
          </w:tcPr>
          <w:p w14:paraId="5E78F8AB" w14:textId="77777777" w:rsidR="00827114" w:rsidRPr="004E13E9" w:rsidRDefault="00827114" w:rsidP="000D1853">
            <w:pPr>
              <w:spacing w:line="276" w:lineRule="auto"/>
              <w:rPr>
                <w:rFonts w:eastAsia="Times New Roman" w:cs="Calibri"/>
                <w:kern w:val="2"/>
                <w:sz w:val="16"/>
                <w:szCs w:val="16"/>
                <w:lang w:eastAsia="ko-KR"/>
                <w14:ligatures w14:val="standardContextual"/>
              </w:rPr>
            </w:pPr>
          </w:p>
        </w:tc>
        <w:tc>
          <w:tcPr>
            <w:tcW w:w="738" w:type="dxa"/>
            <w:tcBorders>
              <w:top w:val="nil"/>
              <w:left w:val="nil"/>
              <w:bottom w:val="single" w:sz="8" w:space="0" w:color="auto"/>
              <w:right w:val="single" w:sz="4" w:space="0" w:color="auto"/>
            </w:tcBorders>
            <w:vAlign w:val="center"/>
          </w:tcPr>
          <w:p w14:paraId="61E89B53" w14:textId="77777777" w:rsidR="00827114" w:rsidRPr="004E13E9" w:rsidRDefault="00827114" w:rsidP="000D1853">
            <w:pPr>
              <w:spacing w:line="276" w:lineRule="auto"/>
              <w:rPr>
                <w:rFonts w:eastAsia="Times New Roman" w:cs="Calibri"/>
                <w:kern w:val="2"/>
                <w:sz w:val="16"/>
                <w:szCs w:val="16"/>
                <w:lang w:eastAsia="ko-KR"/>
                <w14:ligatures w14:val="standardContextual"/>
              </w:rPr>
            </w:pPr>
          </w:p>
        </w:tc>
        <w:tc>
          <w:tcPr>
            <w:tcW w:w="963" w:type="dxa"/>
            <w:tcBorders>
              <w:top w:val="nil"/>
              <w:left w:val="nil"/>
              <w:bottom w:val="single" w:sz="8" w:space="0" w:color="auto"/>
              <w:right w:val="single" w:sz="8" w:space="0" w:color="auto"/>
            </w:tcBorders>
            <w:vAlign w:val="center"/>
          </w:tcPr>
          <w:p w14:paraId="339BABE0" w14:textId="77777777" w:rsidR="00827114" w:rsidRPr="004E13E9" w:rsidRDefault="00827114" w:rsidP="000D1853">
            <w:pPr>
              <w:spacing w:line="276" w:lineRule="auto"/>
              <w:rPr>
                <w:rFonts w:eastAsia="Times New Roman" w:cs="Calibri"/>
                <w:kern w:val="2"/>
                <w:sz w:val="16"/>
                <w:szCs w:val="16"/>
                <w:lang w:eastAsia="ko-KR"/>
                <w14:ligatures w14:val="standardContextual"/>
              </w:rPr>
            </w:pPr>
          </w:p>
        </w:tc>
        <w:tc>
          <w:tcPr>
            <w:tcW w:w="746" w:type="dxa"/>
            <w:tcBorders>
              <w:top w:val="nil"/>
              <w:left w:val="nil"/>
              <w:bottom w:val="single" w:sz="8" w:space="0" w:color="auto"/>
              <w:right w:val="single" w:sz="8" w:space="0" w:color="auto"/>
            </w:tcBorders>
            <w:vAlign w:val="center"/>
          </w:tcPr>
          <w:p w14:paraId="761D795A" w14:textId="77777777" w:rsidR="00827114" w:rsidRPr="004E13E9" w:rsidRDefault="00827114" w:rsidP="000D1853">
            <w:pPr>
              <w:spacing w:line="276" w:lineRule="auto"/>
              <w:rPr>
                <w:rFonts w:eastAsia="Times New Roman" w:cs="Calibri"/>
                <w:kern w:val="2"/>
                <w:sz w:val="16"/>
                <w:szCs w:val="16"/>
                <w:lang w:eastAsia="ko-KR"/>
                <w14:ligatures w14:val="standardContextual"/>
              </w:rPr>
            </w:pPr>
          </w:p>
        </w:tc>
        <w:tc>
          <w:tcPr>
            <w:tcW w:w="853" w:type="dxa"/>
            <w:tcBorders>
              <w:top w:val="nil"/>
              <w:left w:val="nil"/>
              <w:bottom w:val="single" w:sz="8" w:space="0" w:color="auto"/>
              <w:right w:val="single" w:sz="8" w:space="0" w:color="auto"/>
            </w:tcBorders>
            <w:vAlign w:val="center"/>
          </w:tcPr>
          <w:p w14:paraId="63C56EC0"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b/>
                <w:bCs/>
                <w:sz w:val="16"/>
                <w:szCs w:val="16"/>
              </w:rPr>
              <w:t>0,24%</w:t>
            </w:r>
          </w:p>
        </w:tc>
      </w:tr>
      <w:tr w:rsidR="00827114" w:rsidRPr="004E13E9" w14:paraId="1C08CC60" w14:textId="77777777" w:rsidTr="000D1853">
        <w:trPr>
          <w:trHeight w:val="20"/>
        </w:trPr>
        <w:tc>
          <w:tcPr>
            <w:tcW w:w="3256" w:type="dxa"/>
            <w:noWrap/>
            <w:vAlign w:val="center"/>
          </w:tcPr>
          <w:p w14:paraId="520148EC"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xml:space="preserve">Allocation aux </w:t>
            </w:r>
            <w:proofErr w:type="spellStart"/>
            <w:r w:rsidRPr="004E13E9">
              <w:rPr>
                <w:rFonts w:eastAsia="Malgun Gothic"/>
                <w:b/>
                <w:kern w:val="2"/>
                <w:sz w:val="16"/>
                <w:szCs w:val="16"/>
                <w:lang w:eastAsia="ko-KR"/>
                <w14:ligatures w14:val="standardContextual"/>
              </w:rPr>
              <w:t>prises</w:t>
            </w:r>
            <w:proofErr w:type="spellEnd"/>
            <w:r w:rsidRPr="004E13E9">
              <w:rPr>
                <w:rFonts w:eastAsia="Malgun Gothic"/>
                <w:b/>
                <w:kern w:val="2"/>
                <w:sz w:val="16"/>
                <w:szCs w:val="16"/>
                <w:lang w:eastAsia="ko-KR"/>
                <w14:ligatures w14:val="standardContextual"/>
              </w:rPr>
              <w:t xml:space="preserve"> </w:t>
            </w:r>
            <w:proofErr w:type="spellStart"/>
            <w:r w:rsidRPr="004E13E9">
              <w:rPr>
                <w:rFonts w:eastAsia="Malgun Gothic"/>
                <w:b/>
                <w:kern w:val="2"/>
                <w:sz w:val="16"/>
                <w:szCs w:val="16"/>
                <w:lang w:eastAsia="ko-KR"/>
                <w14:ligatures w14:val="standardContextual"/>
              </w:rPr>
              <w:t>accessoires</w:t>
            </w:r>
            <w:proofErr w:type="spellEnd"/>
          </w:p>
        </w:tc>
        <w:tc>
          <w:tcPr>
            <w:tcW w:w="992" w:type="dxa"/>
            <w:noWrap/>
            <w:vAlign w:val="center"/>
          </w:tcPr>
          <w:p w14:paraId="16576678" w14:textId="77777777" w:rsidR="00827114" w:rsidRPr="004E13E9" w:rsidRDefault="00827114" w:rsidP="000D1853">
            <w:pPr>
              <w:spacing w:line="276" w:lineRule="auto"/>
              <w:jc w:val="right"/>
              <w:rPr>
                <w:rFonts w:eastAsia="Times New Roman" w:cs="Calibri"/>
                <w:kern w:val="2"/>
                <w:sz w:val="16"/>
                <w:szCs w:val="16"/>
                <w:lang w:eastAsia="ja-JP"/>
                <w14:ligatures w14:val="standardContextual"/>
              </w:rPr>
            </w:pPr>
          </w:p>
        </w:tc>
        <w:tc>
          <w:tcPr>
            <w:tcW w:w="567" w:type="dxa"/>
          </w:tcPr>
          <w:p w14:paraId="3202D02D" w14:textId="77777777" w:rsidR="00827114" w:rsidRPr="004E13E9" w:rsidRDefault="00827114" w:rsidP="000D1853">
            <w:pPr>
              <w:spacing w:line="276" w:lineRule="auto"/>
              <w:rPr>
                <w:rFonts w:eastAsia="Times New Roman" w:cs="Calibri"/>
                <w:kern w:val="2"/>
                <w:sz w:val="16"/>
                <w:szCs w:val="16"/>
                <w:lang w:eastAsia="ja-JP"/>
                <w14:ligatures w14:val="standardContextual"/>
              </w:rPr>
            </w:pPr>
          </w:p>
        </w:tc>
        <w:tc>
          <w:tcPr>
            <w:tcW w:w="489" w:type="dxa"/>
            <w:noWrap/>
            <w:vAlign w:val="center"/>
          </w:tcPr>
          <w:p w14:paraId="30F92C3C" w14:textId="77777777" w:rsidR="00827114" w:rsidRPr="004E13E9" w:rsidRDefault="00827114" w:rsidP="000D1853">
            <w:pPr>
              <w:spacing w:line="276" w:lineRule="auto"/>
              <w:rPr>
                <w:rFonts w:eastAsia="Times New Roman" w:cs="Calibri"/>
                <w:kern w:val="2"/>
                <w:sz w:val="16"/>
                <w:szCs w:val="16"/>
                <w:lang w:eastAsia="ja-JP"/>
                <w14:ligatures w14:val="standardContextual"/>
              </w:rPr>
            </w:pPr>
          </w:p>
        </w:tc>
        <w:tc>
          <w:tcPr>
            <w:tcW w:w="645" w:type="dxa"/>
            <w:vAlign w:val="center"/>
          </w:tcPr>
          <w:p w14:paraId="6222C420" w14:textId="77777777" w:rsidR="00827114" w:rsidRPr="004E13E9" w:rsidRDefault="00827114" w:rsidP="000D1853">
            <w:pPr>
              <w:spacing w:line="276" w:lineRule="auto"/>
              <w:rPr>
                <w:rFonts w:eastAsia="Times New Roman" w:cs="Calibri"/>
                <w:kern w:val="2"/>
                <w:sz w:val="16"/>
                <w:szCs w:val="16"/>
                <w:lang w:eastAsia="ja-JP"/>
                <w14:ligatures w14:val="standardContextual"/>
              </w:rPr>
            </w:pPr>
          </w:p>
        </w:tc>
        <w:tc>
          <w:tcPr>
            <w:tcW w:w="709" w:type="dxa"/>
            <w:vAlign w:val="center"/>
          </w:tcPr>
          <w:p w14:paraId="6ACAE0A8" w14:textId="77777777" w:rsidR="00827114" w:rsidRPr="004E13E9" w:rsidRDefault="00827114" w:rsidP="000D1853">
            <w:pPr>
              <w:spacing w:line="276" w:lineRule="auto"/>
              <w:rPr>
                <w:rFonts w:eastAsia="Times New Roman" w:cs="Calibri"/>
                <w:kern w:val="2"/>
                <w:sz w:val="16"/>
                <w:szCs w:val="16"/>
                <w:lang w:eastAsia="ja-JP"/>
                <w14:ligatures w14:val="standardContextual"/>
              </w:rPr>
            </w:pPr>
          </w:p>
        </w:tc>
        <w:tc>
          <w:tcPr>
            <w:tcW w:w="708" w:type="dxa"/>
            <w:vAlign w:val="center"/>
          </w:tcPr>
          <w:p w14:paraId="04196F7E" w14:textId="77777777" w:rsidR="00827114" w:rsidRPr="004E13E9" w:rsidRDefault="00827114" w:rsidP="000D1853">
            <w:pPr>
              <w:spacing w:line="276" w:lineRule="auto"/>
              <w:rPr>
                <w:rFonts w:eastAsia="Times New Roman" w:cs="Calibri"/>
                <w:kern w:val="2"/>
                <w:sz w:val="16"/>
                <w:szCs w:val="16"/>
                <w:lang w:eastAsia="ja-JP"/>
                <w14:ligatures w14:val="standardContextual"/>
              </w:rPr>
            </w:pPr>
          </w:p>
        </w:tc>
        <w:tc>
          <w:tcPr>
            <w:tcW w:w="709" w:type="dxa"/>
          </w:tcPr>
          <w:p w14:paraId="5ED6DBF6" w14:textId="77777777" w:rsidR="00827114" w:rsidRPr="004E13E9" w:rsidRDefault="00827114" w:rsidP="000D1853">
            <w:pPr>
              <w:spacing w:line="276" w:lineRule="auto"/>
              <w:rPr>
                <w:rFonts w:eastAsia="Times New Roman" w:cs="Calibri"/>
                <w:kern w:val="2"/>
                <w:sz w:val="16"/>
                <w:szCs w:val="16"/>
                <w:lang w:eastAsia="ja-JP"/>
                <w14:ligatures w14:val="standardContextual"/>
              </w:rPr>
            </w:pPr>
          </w:p>
        </w:tc>
        <w:tc>
          <w:tcPr>
            <w:tcW w:w="623" w:type="dxa"/>
          </w:tcPr>
          <w:p w14:paraId="73C14621" w14:textId="77777777" w:rsidR="00827114" w:rsidRPr="004E13E9" w:rsidRDefault="00827114" w:rsidP="000D1853">
            <w:pPr>
              <w:spacing w:line="276" w:lineRule="auto"/>
              <w:jc w:val="center"/>
              <w:rPr>
                <w:rFonts w:eastAsia="Times New Roman" w:cs="Calibri"/>
                <w:kern w:val="2"/>
                <w:sz w:val="16"/>
                <w:szCs w:val="16"/>
                <w:lang w:eastAsia="ja-JP"/>
                <w14:ligatures w14:val="standardContextual"/>
              </w:rPr>
            </w:pPr>
          </w:p>
        </w:tc>
        <w:tc>
          <w:tcPr>
            <w:tcW w:w="253" w:type="dxa"/>
            <w:shd w:val="clear" w:color="000000" w:fill="D9D9D9"/>
            <w:vAlign w:val="center"/>
          </w:tcPr>
          <w:p w14:paraId="58AC510E" w14:textId="77777777" w:rsidR="00827114" w:rsidRPr="004E13E9" w:rsidRDefault="00827114" w:rsidP="000D1853">
            <w:pPr>
              <w:spacing w:line="276" w:lineRule="auto"/>
              <w:rPr>
                <w:rFonts w:eastAsia="Times New Roman" w:cs="Calibri"/>
                <w:kern w:val="2"/>
                <w:sz w:val="16"/>
                <w:szCs w:val="16"/>
                <w:lang w:eastAsia="ja-JP"/>
                <w14:ligatures w14:val="standardContextual"/>
              </w:rPr>
            </w:pPr>
          </w:p>
        </w:tc>
        <w:tc>
          <w:tcPr>
            <w:tcW w:w="716" w:type="dxa"/>
            <w:tcBorders>
              <w:top w:val="nil"/>
              <w:left w:val="single" w:sz="4" w:space="0" w:color="auto"/>
              <w:bottom w:val="single" w:sz="8" w:space="0" w:color="auto"/>
              <w:right w:val="single" w:sz="4" w:space="0" w:color="auto"/>
            </w:tcBorders>
            <w:vAlign w:val="center"/>
          </w:tcPr>
          <w:p w14:paraId="65AE63AB"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b/>
                <w:bCs/>
                <w:sz w:val="16"/>
                <w:szCs w:val="16"/>
                <w:lang w:eastAsia="ja-JP"/>
              </w:rPr>
              <w:t>0</w:t>
            </w:r>
          </w:p>
        </w:tc>
        <w:tc>
          <w:tcPr>
            <w:tcW w:w="808" w:type="dxa"/>
            <w:tcBorders>
              <w:top w:val="nil"/>
              <w:left w:val="single" w:sz="4" w:space="0" w:color="auto"/>
              <w:bottom w:val="single" w:sz="8" w:space="0" w:color="auto"/>
              <w:right w:val="nil"/>
            </w:tcBorders>
            <w:vAlign w:val="center"/>
          </w:tcPr>
          <w:p w14:paraId="6E32924D"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b/>
                <w:bCs/>
                <w:sz w:val="16"/>
                <w:szCs w:val="16"/>
              </w:rPr>
              <w:t>0</w:t>
            </w:r>
          </w:p>
        </w:tc>
        <w:tc>
          <w:tcPr>
            <w:tcW w:w="719" w:type="dxa"/>
            <w:tcBorders>
              <w:top w:val="nil"/>
              <w:left w:val="single" w:sz="4" w:space="0" w:color="auto"/>
              <w:bottom w:val="single" w:sz="8" w:space="0" w:color="auto"/>
              <w:right w:val="single" w:sz="4" w:space="0" w:color="auto"/>
            </w:tcBorders>
            <w:vAlign w:val="center"/>
          </w:tcPr>
          <w:p w14:paraId="2523857E"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b/>
                <w:bCs/>
                <w:sz w:val="16"/>
                <w:szCs w:val="16"/>
              </w:rPr>
              <w:t>6</w:t>
            </w:r>
          </w:p>
        </w:tc>
        <w:tc>
          <w:tcPr>
            <w:tcW w:w="738" w:type="dxa"/>
            <w:tcBorders>
              <w:top w:val="nil"/>
              <w:left w:val="nil"/>
              <w:bottom w:val="single" w:sz="8" w:space="0" w:color="auto"/>
              <w:right w:val="single" w:sz="4" w:space="0" w:color="auto"/>
            </w:tcBorders>
            <w:vAlign w:val="center"/>
          </w:tcPr>
          <w:p w14:paraId="5EC4ED71"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b/>
                <w:bCs/>
                <w:sz w:val="16"/>
                <w:szCs w:val="16"/>
              </w:rPr>
              <w:t>5</w:t>
            </w:r>
          </w:p>
        </w:tc>
        <w:tc>
          <w:tcPr>
            <w:tcW w:w="963" w:type="dxa"/>
            <w:tcBorders>
              <w:top w:val="nil"/>
              <w:left w:val="nil"/>
              <w:bottom w:val="single" w:sz="8" w:space="0" w:color="auto"/>
              <w:right w:val="single" w:sz="8" w:space="0" w:color="auto"/>
            </w:tcBorders>
            <w:vAlign w:val="center"/>
          </w:tcPr>
          <w:p w14:paraId="43D5EA82"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b/>
                <w:bCs/>
                <w:sz w:val="16"/>
                <w:szCs w:val="16"/>
              </w:rPr>
              <w:t>5</w:t>
            </w:r>
          </w:p>
        </w:tc>
        <w:tc>
          <w:tcPr>
            <w:tcW w:w="746" w:type="dxa"/>
            <w:tcBorders>
              <w:top w:val="nil"/>
              <w:left w:val="nil"/>
              <w:bottom w:val="single" w:sz="8" w:space="0" w:color="auto"/>
              <w:right w:val="single" w:sz="8" w:space="0" w:color="auto"/>
            </w:tcBorders>
            <w:vAlign w:val="center"/>
          </w:tcPr>
          <w:p w14:paraId="00924AA2"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b/>
                <w:bCs/>
                <w:sz w:val="16"/>
                <w:szCs w:val="16"/>
              </w:rPr>
              <w:t>5</w:t>
            </w:r>
          </w:p>
        </w:tc>
        <w:tc>
          <w:tcPr>
            <w:tcW w:w="853" w:type="dxa"/>
            <w:tcBorders>
              <w:top w:val="nil"/>
              <w:left w:val="nil"/>
              <w:bottom w:val="single" w:sz="8" w:space="0" w:color="auto"/>
              <w:right w:val="single" w:sz="8" w:space="0" w:color="auto"/>
            </w:tcBorders>
            <w:vAlign w:val="center"/>
          </w:tcPr>
          <w:p w14:paraId="0745CE52" w14:textId="77777777" w:rsidR="00827114" w:rsidRPr="004E13E9" w:rsidRDefault="00827114" w:rsidP="000D1853">
            <w:pPr>
              <w:spacing w:line="276" w:lineRule="auto"/>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6</w:t>
            </w:r>
          </w:p>
        </w:tc>
      </w:tr>
      <w:tr w:rsidR="00827114" w:rsidRPr="004E13E9" w14:paraId="59170791" w14:textId="77777777" w:rsidTr="000D1853">
        <w:trPr>
          <w:trHeight w:val="20"/>
        </w:trPr>
        <w:tc>
          <w:tcPr>
            <w:tcW w:w="3256" w:type="dxa"/>
            <w:vAlign w:val="center"/>
          </w:tcPr>
          <w:p w14:paraId="189540C7" w14:textId="77777777" w:rsidR="00827114" w:rsidRPr="004E13E9" w:rsidRDefault="00827114" w:rsidP="000D1853">
            <w:pPr>
              <w:spacing w:line="276" w:lineRule="auto"/>
              <w:rPr>
                <w:rFonts w:eastAsia="Times New Roman" w:cs="Calibri"/>
                <w:b/>
                <w:bCs/>
                <w:kern w:val="2"/>
                <w:sz w:val="16"/>
                <w:szCs w:val="16"/>
                <w:lang w:val="fr-FR" w:eastAsia="ko-KR"/>
                <w14:ligatures w14:val="standardContextual"/>
              </w:rPr>
            </w:pPr>
            <w:r w:rsidRPr="004E13E9">
              <w:rPr>
                <w:rFonts w:eastAsia="Malgun Gothic"/>
                <w:b/>
                <w:kern w:val="2"/>
                <w:sz w:val="16"/>
                <w:szCs w:val="16"/>
                <w:lang w:val="fr-FR" w:eastAsia="ko-KR"/>
                <w14:ligatures w14:val="standardContextual"/>
              </w:rPr>
              <w:t>Quota de recherche scientifique</w:t>
            </w:r>
          </w:p>
          <w:p w14:paraId="30E2CF79" w14:textId="77777777" w:rsidR="00827114" w:rsidRPr="004E13E9" w:rsidRDefault="00827114" w:rsidP="000D1853">
            <w:pPr>
              <w:spacing w:line="276" w:lineRule="auto"/>
              <w:rPr>
                <w:rFonts w:eastAsia="Times New Roman" w:cs="Calibri"/>
                <w:b/>
                <w:bCs/>
                <w:kern w:val="2"/>
                <w:sz w:val="16"/>
                <w:szCs w:val="16"/>
                <w:lang w:val="fr-FR" w:eastAsia="ko-KR"/>
                <w14:ligatures w14:val="standardContextual"/>
              </w:rPr>
            </w:pPr>
            <w:r w:rsidRPr="004E13E9">
              <w:rPr>
                <w:rFonts w:eastAsia="Malgun Gothic"/>
                <w:b/>
                <w:kern w:val="2"/>
                <w:sz w:val="16"/>
                <w:szCs w:val="16"/>
                <w:lang w:val="fr-FR" w:eastAsia="ko-KR"/>
                <w14:ligatures w14:val="standardContextual"/>
              </w:rPr>
              <w:t>(le cas échéant)</w:t>
            </w:r>
          </w:p>
        </w:tc>
        <w:tc>
          <w:tcPr>
            <w:tcW w:w="992" w:type="dxa"/>
            <w:noWrap/>
            <w:vAlign w:val="center"/>
          </w:tcPr>
          <w:p w14:paraId="083E277F" w14:textId="77777777" w:rsidR="00827114" w:rsidRPr="004E13E9" w:rsidRDefault="00827114" w:rsidP="000D1853">
            <w:pPr>
              <w:spacing w:line="276" w:lineRule="auto"/>
              <w:jc w:val="right"/>
              <w:rPr>
                <w:rFonts w:eastAsia="Times New Roman" w:cs="Calibri"/>
                <w:b/>
                <w:bCs/>
                <w:kern w:val="2"/>
                <w:sz w:val="16"/>
                <w:szCs w:val="16"/>
                <w:lang w:val="fr-FR" w:eastAsia="ja-JP"/>
                <w14:ligatures w14:val="standardContextual"/>
              </w:rPr>
            </w:pPr>
          </w:p>
        </w:tc>
        <w:tc>
          <w:tcPr>
            <w:tcW w:w="567" w:type="dxa"/>
          </w:tcPr>
          <w:p w14:paraId="537DD664" w14:textId="77777777" w:rsidR="00827114" w:rsidRPr="004E13E9" w:rsidRDefault="00827114" w:rsidP="000D1853">
            <w:pPr>
              <w:spacing w:line="276" w:lineRule="auto"/>
              <w:rPr>
                <w:rFonts w:eastAsia="Times New Roman" w:cs="Calibri"/>
                <w:b/>
                <w:bCs/>
                <w:kern w:val="2"/>
                <w:sz w:val="16"/>
                <w:szCs w:val="16"/>
                <w:lang w:val="fr-FR" w:eastAsia="ja-JP"/>
                <w14:ligatures w14:val="standardContextual"/>
              </w:rPr>
            </w:pPr>
          </w:p>
        </w:tc>
        <w:tc>
          <w:tcPr>
            <w:tcW w:w="489" w:type="dxa"/>
            <w:noWrap/>
            <w:vAlign w:val="center"/>
          </w:tcPr>
          <w:p w14:paraId="1D9692B5" w14:textId="77777777" w:rsidR="00827114" w:rsidRPr="004E13E9" w:rsidRDefault="00827114" w:rsidP="000D1853">
            <w:pPr>
              <w:spacing w:line="276" w:lineRule="auto"/>
              <w:rPr>
                <w:rFonts w:eastAsia="Times New Roman" w:cs="Calibri"/>
                <w:b/>
                <w:bCs/>
                <w:kern w:val="2"/>
                <w:sz w:val="16"/>
                <w:szCs w:val="16"/>
                <w:lang w:val="fr-FR" w:eastAsia="ja-JP"/>
                <w14:ligatures w14:val="standardContextual"/>
              </w:rPr>
            </w:pPr>
          </w:p>
        </w:tc>
        <w:tc>
          <w:tcPr>
            <w:tcW w:w="645" w:type="dxa"/>
            <w:vAlign w:val="center"/>
          </w:tcPr>
          <w:p w14:paraId="3486F9C7" w14:textId="77777777" w:rsidR="00827114" w:rsidRPr="004E13E9" w:rsidRDefault="00827114" w:rsidP="000D1853">
            <w:pPr>
              <w:spacing w:line="276" w:lineRule="auto"/>
              <w:rPr>
                <w:rFonts w:eastAsia="Times New Roman" w:cs="Calibri"/>
                <w:b/>
                <w:bCs/>
                <w:kern w:val="2"/>
                <w:sz w:val="16"/>
                <w:szCs w:val="16"/>
                <w:lang w:val="fr-FR" w:eastAsia="ja-JP"/>
                <w14:ligatures w14:val="standardContextual"/>
              </w:rPr>
            </w:pPr>
          </w:p>
        </w:tc>
        <w:tc>
          <w:tcPr>
            <w:tcW w:w="709" w:type="dxa"/>
            <w:vAlign w:val="center"/>
          </w:tcPr>
          <w:p w14:paraId="392920D5" w14:textId="77777777" w:rsidR="00827114" w:rsidRPr="004E13E9" w:rsidRDefault="00827114" w:rsidP="000D1853">
            <w:pPr>
              <w:spacing w:line="276" w:lineRule="auto"/>
              <w:rPr>
                <w:rFonts w:eastAsia="Times New Roman" w:cs="Calibri"/>
                <w:b/>
                <w:bCs/>
                <w:kern w:val="2"/>
                <w:sz w:val="16"/>
                <w:szCs w:val="16"/>
                <w:lang w:val="fr-FR" w:eastAsia="ja-JP"/>
                <w14:ligatures w14:val="standardContextual"/>
              </w:rPr>
            </w:pPr>
          </w:p>
        </w:tc>
        <w:tc>
          <w:tcPr>
            <w:tcW w:w="708" w:type="dxa"/>
            <w:vAlign w:val="center"/>
          </w:tcPr>
          <w:p w14:paraId="79DD678A" w14:textId="77777777" w:rsidR="00827114" w:rsidRPr="004E13E9" w:rsidRDefault="00827114" w:rsidP="000D1853">
            <w:pPr>
              <w:spacing w:line="276" w:lineRule="auto"/>
              <w:rPr>
                <w:rFonts w:eastAsia="Times New Roman" w:cs="Calibri"/>
                <w:b/>
                <w:bCs/>
                <w:kern w:val="2"/>
                <w:sz w:val="16"/>
                <w:szCs w:val="16"/>
                <w:lang w:val="fr-FR" w:eastAsia="ja-JP"/>
                <w14:ligatures w14:val="standardContextual"/>
              </w:rPr>
            </w:pPr>
          </w:p>
        </w:tc>
        <w:tc>
          <w:tcPr>
            <w:tcW w:w="709" w:type="dxa"/>
          </w:tcPr>
          <w:p w14:paraId="3DDA0302" w14:textId="77777777" w:rsidR="00827114" w:rsidRPr="004E13E9" w:rsidRDefault="00827114" w:rsidP="000D1853">
            <w:pPr>
              <w:spacing w:line="276" w:lineRule="auto"/>
              <w:rPr>
                <w:rFonts w:eastAsia="Times New Roman" w:cs="Calibri"/>
                <w:b/>
                <w:bCs/>
                <w:kern w:val="2"/>
                <w:sz w:val="16"/>
                <w:szCs w:val="16"/>
                <w:lang w:val="fr-FR" w:eastAsia="ja-JP"/>
                <w14:ligatures w14:val="standardContextual"/>
              </w:rPr>
            </w:pPr>
          </w:p>
        </w:tc>
        <w:tc>
          <w:tcPr>
            <w:tcW w:w="623" w:type="dxa"/>
          </w:tcPr>
          <w:p w14:paraId="6FB23087" w14:textId="77777777" w:rsidR="00827114" w:rsidRPr="004E13E9" w:rsidRDefault="00827114" w:rsidP="000D1853">
            <w:pPr>
              <w:spacing w:line="276" w:lineRule="auto"/>
              <w:jc w:val="center"/>
              <w:rPr>
                <w:rFonts w:eastAsia="Times New Roman" w:cs="Calibri"/>
                <w:kern w:val="2"/>
                <w:sz w:val="16"/>
                <w:szCs w:val="16"/>
                <w:lang w:val="fr-FR" w:eastAsia="ja-JP"/>
                <w14:ligatures w14:val="standardContextual"/>
              </w:rPr>
            </w:pPr>
          </w:p>
        </w:tc>
        <w:tc>
          <w:tcPr>
            <w:tcW w:w="253" w:type="dxa"/>
            <w:shd w:val="clear" w:color="000000" w:fill="D9D9D9"/>
            <w:vAlign w:val="center"/>
          </w:tcPr>
          <w:p w14:paraId="21FC8BDA" w14:textId="77777777" w:rsidR="00827114" w:rsidRPr="004E13E9" w:rsidRDefault="00827114" w:rsidP="000D1853">
            <w:pPr>
              <w:spacing w:line="276" w:lineRule="auto"/>
              <w:rPr>
                <w:rFonts w:eastAsia="Times New Roman" w:cs="Calibri"/>
                <w:b/>
                <w:bCs/>
                <w:kern w:val="2"/>
                <w:sz w:val="16"/>
                <w:szCs w:val="16"/>
                <w:lang w:val="fr-FR" w:eastAsia="ja-JP"/>
                <w14:ligatures w14:val="standardContextual"/>
              </w:rPr>
            </w:pPr>
          </w:p>
        </w:tc>
        <w:tc>
          <w:tcPr>
            <w:tcW w:w="716" w:type="dxa"/>
            <w:tcBorders>
              <w:top w:val="nil"/>
              <w:left w:val="single" w:sz="4" w:space="0" w:color="auto"/>
              <w:bottom w:val="single" w:sz="8" w:space="0" w:color="auto"/>
              <w:right w:val="single" w:sz="4" w:space="0" w:color="auto"/>
            </w:tcBorders>
            <w:vAlign w:val="center"/>
          </w:tcPr>
          <w:p w14:paraId="708DF7BE"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kern w:val="2"/>
                <w:sz w:val="16"/>
                <w:szCs w:val="16"/>
                <w:lang w:eastAsia="ja-JP"/>
                <w14:ligatures w14:val="standardContextual"/>
              </w:rPr>
              <w:t>0</w:t>
            </w:r>
          </w:p>
        </w:tc>
        <w:tc>
          <w:tcPr>
            <w:tcW w:w="808" w:type="dxa"/>
            <w:tcBorders>
              <w:top w:val="nil"/>
              <w:left w:val="single" w:sz="4" w:space="0" w:color="auto"/>
              <w:bottom w:val="single" w:sz="8" w:space="0" w:color="auto"/>
              <w:right w:val="nil"/>
            </w:tcBorders>
            <w:vAlign w:val="center"/>
          </w:tcPr>
          <w:p w14:paraId="11663427"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kern w:val="2"/>
                <w:sz w:val="16"/>
                <w:szCs w:val="16"/>
                <w:lang w:eastAsia="ja-JP"/>
                <w14:ligatures w14:val="standardContextual"/>
              </w:rPr>
              <w:t>0</w:t>
            </w:r>
          </w:p>
        </w:tc>
        <w:tc>
          <w:tcPr>
            <w:tcW w:w="719" w:type="dxa"/>
            <w:tcBorders>
              <w:top w:val="nil"/>
              <w:left w:val="single" w:sz="4" w:space="0" w:color="auto"/>
              <w:bottom w:val="single" w:sz="8" w:space="0" w:color="auto"/>
              <w:right w:val="single" w:sz="4" w:space="0" w:color="auto"/>
            </w:tcBorders>
            <w:vAlign w:val="center"/>
          </w:tcPr>
          <w:p w14:paraId="18EB8706"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kern w:val="2"/>
                <w:sz w:val="16"/>
                <w:szCs w:val="16"/>
                <w:lang w:eastAsia="ja-JP"/>
                <w14:ligatures w14:val="standardContextual"/>
              </w:rPr>
              <w:t>0</w:t>
            </w:r>
          </w:p>
        </w:tc>
        <w:tc>
          <w:tcPr>
            <w:tcW w:w="738" w:type="dxa"/>
            <w:tcBorders>
              <w:top w:val="nil"/>
              <w:left w:val="nil"/>
              <w:bottom w:val="single" w:sz="8" w:space="0" w:color="auto"/>
              <w:right w:val="single" w:sz="4" w:space="0" w:color="auto"/>
            </w:tcBorders>
            <w:noWrap/>
            <w:vAlign w:val="center"/>
          </w:tcPr>
          <w:p w14:paraId="1EA7B644"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kern w:val="2"/>
                <w:sz w:val="16"/>
                <w:szCs w:val="16"/>
                <w:lang w:eastAsia="ja-JP"/>
                <w14:ligatures w14:val="standardContextual"/>
              </w:rPr>
              <w:t>0</w:t>
            </w:r>
          </w:p>
        </w:tc>
        <w:tc>
          <w:tcPr>
            <w:tcW w:w="963" w:type="dxa"/>
            <w:tcBorders>
              <w:top w:val="nil"/>
              <w:left w:val="nil"/>
              <w:bottom w:val="single" w:sz="8" w:space="0" w:color="auto"/>
              <w:right w:val="single" w:sz="8" w:space="0" w:color="auto"/>
            </w:tcBorders>
            <w:noWrap/>
            <w:vAlign w:val="center"/>
          </w:tcPr>
          <w:p w14:paraId="23081450"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kern w:val="2"/>
                <w:sz w:val="16"/>
                <w:szCs w:val="16"/>
                <w:lang w:eastAsia="ja-JP"/>
                <w14:ligatures w14:val="standardContextual"/>
              </w:rPr>
              <w:t>0</w:t>
            </w:r>
          </w:p>
        </w:tc>
        <w:tc>
          <w:tcPr>
            <w:tcW w:w="746" w:type="dxa"/>
            <w:tcBorders>
              <w:top w:val="nil"/>
              <w:left w:val="nil"/>
              <w:bottom w:val="single" w:sz="8" w:space="0" w:color="auto"/>
              <w:right w:val="single" w:sz="8" w:space="0" w:color="auto"/>
            </w:tcBorders>
            <w:noWrap/>
            <w:vAlign w:val="center"/>
          </w:tcPr>
          <w:p w14:paraId="08001117"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kern w:val="2"/>
                <w:sz w:val="16"/>
                <w:szCs w:val="16"/>
                <w:lang w:eastAsia="ja-JP"/>
                <w14:ligatures w14:val="standardContextual"/>
              </w:rPr>
              <w:t>0</w:t>
            </w:r>
          </w:p>
        </w:tc>
        <w:tc>
          <w:tcPr>
            <w:tcW w:w="853" w:type="dxa"/>
            <w:tcBorders>
              <w:top w:val="nil"/>
              <w:left w:val="nil"/>
              <w:bottom w:val="single" w:sz="8" w:space="0" w:color="auto"/>
              <w:right w:val="single" w:sz="8" w:space="0" w:color="auto"/>
            </w:tcBorders>
            <w:vAlign w:val="center"/>
          </w:tcPr>
          <w:p w14:paraId="059C5289"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kern w:val="2"/>
                <w:sz w:val="16"/>
                <w:szCs w:val="16"/>
                <w:lang w:eastAsia="ja-JP"/>
                <w14:ligatures w14:val="standardContextual"/>
              </w:rPr>
              <w:t>0</w:t>
            </w:r>
          </w:p>
        </w:tc>
      </w:tr>
      <w:tr w:rsidR="00827114" w:rsidRPr="004E13E9" w14:paraId="658351B5" w14:textId="77777777" w:rsidTr="000D1853">
        <w:trPr>
          <w:trHeight w:val="20"/>
        </w:trPr>
        <w:tc>
          <w:tcPr>
            <w:tcW w:w="3256" w:type="dxa"/>
            <w:vAlign w:val="center"/>
          </w:tcPr>
          <w:p w14:paraId="638A2F8C" w14:textId="77777777" w:rsidR="00827114" w:rsidRPr="004E13E9" w:rsidRDefault="00827114" w:rsidP="000D1853">
            <w:pPr>
              <w:spacing w:line="276" w:lineRule="auto"/>
              <w:rPr>
                <w:rFonts w:eastAsia="Times New Roman" w:cs="Calibri"/>
                <w:b/>
                <w:bCs/>
                <w:kern w:val="2"/>
                <w:sz w:val="16"/>
                <w:szCs w:val="16"/>
                <w:lang w:val="fr-FR" w:eastAsia="ko-KR"/>
                <w14:ligatures w14:val="standardContextual"/>
              </w:rPr>
            </w:pPr>
            <w:r w:rsidRPr="004E13E9">
              <w:rPr>
                <w:rFonts w:eastAsia="Malgun Gothic"/>
                <w:b/>
                <w:kern w:val="2"/>
                <w:sz w:val="16"/>
                <w:szCs w:val="16"/>
                <w:lang w:val="fr-FR" w:eastAsia="ko-KR"/>
                <w14:ligatures w14:val="standardContextual"/>
              </w:rPr>
              <w:t>Tolérance pour la pêche sportive/récréative (le cas échéant)</w:t>
            </w:r>
          </w:p>
        </w:tc>
        <w:tc>
          <w:tcPr>
            <w:tcW w:w="992" w:type="dxa"/>
            <w:noWrap/>
            <w:vAlign w:val="center"/>
          </w:tcPr>
          <w:p w14:paraId="474F00F3" w14:textId="77777777" w:rsidR="00827114" w:rsidRPr="004E13E9" w:rsidRDefault="00827114" w:rsidP="000D1853">
            <w:pPr>
              <w:spacing w:line="276" w:lineRule="auto"/>
              <w:jc w:val="right"/>
              <w:rPr>
                <w:rFonts w:eastAsia="Times New Roman" w:cs="Calibri"/>
                <w:b/>
                <w:bCs/>
                <w:kern w:val="2"/>
                <w:sz w:val="16"/>
                <w:szCs w:val="16"/>
                <w:lang w:val="fr-FR" w:eastAsia="ja-JP"/>
                <w14:ligatures w14:val="standardContextual"/>
              </w:rPr>
            </w:pPr>
          </w:p>
        </w:tc>
        <w:tc>
          <w:tcPr>
            <w:tcW w:w="567" w:type="dxa"/>
          </w:tcPr>
          <w:p w14:paraId="3CE4441E" w14:textId="77777777" w:rsidR="00827114" w:rsidRPr="004E13E9" w:rsidRDefault="00827114" w:rsidP="000D1853">
            <w:pPr>
              <w:spacing w:line="276" w:lineRule="auto"/>
              <w:rPr>
                <w:rFonts w:eastAsia="Times New Roman" w:cs="Calibri"/>
                <w:b/>
                <w:bCs/>
                <w:kern w:val="2"/>
                <w:sz w:val="16"/>
                <w:szCs w:val="16"/>
                <w:lang w:val="fr-FR" w:eastAsia="ja-JP"/>
                <w14:ligatures w14:val="standardContextual"/>
              </w:rPr>
            </w:pPr>
          </w:p>
        </w:tc>
        <w:tc>
          <w:tcPr>
            <w:tcW w:w="489" w:type="dxa"/>
            <w:noWrap/>
            <w:vAlign w:val="center"/>
          </w:tcPr>
          <w:p w14:paraId="1C160493" w14:textId="77777777" w:rsidR="00827114" w:rsidRPr="004E13E9" w:rsidRDefault="00827114" w:rsidP="000D1853">
            <w:pPr>
              <w:spacing w:line="276" w:lineRule="auto"/>
              <w:rPr>
                <w:rFonts w:eastAsia="Times New Roman" w:cs="Calibri"/>
                <w:b/>
                <w:bCs/>
                <w:kern w:val="2"/>
                <w:sz w:val="16"/>
                <w:szCs w:val="16"/>
                <w:lang w:val="fr-FR" w:eastAsia="ja-JP"/>
                <w14:ligatures w14:val="standardContextual"/>
              </w:rPr>
            </w:pPr>
          </w:p>
        </w:tc>
        <w:tc>
          <w:tcPr>
            <w:tcW w:w="645" w:type="dxa"/>
            <w:vAlign w:val="center"/>
          </w:tcPr>
          <w:p w14:paraId="13BA2E6E" w14:textId="77777777" w:rsidR="00827114" w:rsidRPr="004E13E9" w:rsidRDefault="00827114" w:rsidP="000D1853">
            <w:pPr>
              <w:spacing w:line="276" w:lineRule="auto"/>
              <w:rPr>
                <w:rFonts w:eastAsia="Times New Roman" w:cs="Calibri"/>
                <w:b/>
                <w:bCs/>
                <w:kern w:val="2"/>
                <w:sz w:val="16"/>
                <w:szCs w:val="16"/>
                <w:lang w:val="fr-FR" w:eastAsia="ja-JP"/>
                <w14:ligatures w14:val="standardContextual"/>
              </w:rPr>
            </w:pPr>
          </w:p>
        </w:tc>
        <w:tc>
          <w:tcPr>
            <w:tcW w:w="709" w:type="dxa"/>
            <w:vAlign w:val="center"/>
          </w:tcPr>
          <w:p w14:paraId="6894002F" w14:textId="77777777" w:rsidR="00827114" w:rsidRPr="004E13E9" w:rsidRDefault="00827114" w:rsidP="000D1853">
            <w:pPr>
              <w:spacing w:line="276" w:lineRule="auto"/>
              <w:rPr>
                <w:rFonts w:eastAsia="Times New Roman" w:cs="Calibri"/>
                <w:b/>
                <w:bCs/>
                <w:kern w:val="2"/>
                <w:sz w:val="16"/>
                <w:szCs w:val="16"/>
                <w:lang w:val="fr-FR" w:eastAsia="ja-JP"/>
                <w14:ligatures w14:val="standardContextual"/>
              </w:rPr>
            </w:pPr>
          </w:p>
        </w:tc>
        <w:tc>
          <w:tcPr>
            <w:tcW w:w="708" w:type="dxa"/>
            <w:vAlign w:val="center"/>
          </w:tcPr>
          <w:p w14:paraId="10D7FD31" w14:textId="77777777" w:rsidR="00827114" w:rsidRPr="004E13E9" w:rsidRDefault="00827114" w:rsidP="000D1853">
            <w:pPr>
              <w:spacing w:line="276" w:lineRule="auto"/>
              <w:rPr>
                <w:rFonts w:eastAsia="Times New Roman" w:cs="Calibri"/>
                <w:b/>
                <w:bCs/>
                <w:kern w:val="2"/>
                <w:sz w:val="16"/>
                <w:szCs w:val="16"/>
                <w:lang w:val="fr-FR" w:eastAsia="ja-JP"/>
                <w14:ligatures w14:val="standardContextual"/>
              </w:rPr>
            </w:pPr>
          </w:p>
        </w:tc>
        <w:tc>
          <w:tcPr>
            <w:tcW w:w="709" w:type="dxa"/>
          </w:tcPr>
          <w:p w14:paraId="49190CC7" w14:textId="77777777" w:rsidR="00827114" w:rsidRPr="004E13E9" w:rsidRDefault="00827114" w:rsidP="000D1853">
            <w:pPr>
              <w:spacing w:line="276" w:lineRule="auto"/>
              <w:rPr>
                <w:rFonts w:eastAsia="Times New Roman" w:cs="Calibri"/>
                <w:b/>
                <w:bCs/>
                <w:kern w:val="2"/>
                <w:sz w:val="16"/>
                <w:szCs w:val="16"/>
                <w:lang w:val="fr-FR" w:eastAsia="ja-JP"/>
                <w14:ligatures w14:val="standardContextual"/>
              </w:rPr>
            </w:pPr>
          </w:p>
        </w:tc>
        <w:tc>
          <w:tcPr>
            <w:tcW w:w="623" w:type="dxa"/>
          </w:tcPr>
          <w:p w14:paraId="610C0F2C" w14:textId="77777777" w:rsidR="00827114" w:rsidRPr="004E13E9" w:rsidRDefault="00827114" w:rsidP="000D1853">
            <w:pPr>
              <w:spacing w:line="276" w:lineRule="auto"/>
              <w:jc w:val="center"/>
              <w:rPr>
                <w:rFonts w:eastAsia="Times New Roman" w:cs="Calibri"/>
                <w:kern w:val="2"/>
                <w:sz w:val="16"/>
                <w:szCs w:val="16"/>
                <w:lang w:val="fr-FR" w:eastAsia="ja-JP"/>
                <w14:ligatures w14:val="standardContextual"/>
              </w:rPr>
            </w:pPr>
          </w:p>
        </w:tc>
        <w:tc>
          <w:tcPr>
            <w:tcW w:w="253" w:type="dxa"/>
            <w:shd w:val="clear" w:color="000000" w:fill="D9D9D9"/>
            <w:vAlign w:val="center"/>
          </w:tcPr>
          <w:p w14:paraId="26AF05DE" w14:textId="77777777" w:rsidR="00827114" w:rsidRPr="004E13E9" w:rsidRDefault="00827114" w:rsidP="000D1853">
            <w:pPr>
              <w:spacing w:line="276" w:lineRule="auto"/>
              <w:rPr>
                <w:rFonts w:eastAsia="Times New Roman" w:cs="Calibri"/>
                <w:b/>
                <w:bCs/>
                <w:kern w:val="2"/>
                <w:sz w:val="16"/>
                <w:szCs w:val="16"/>
                <w:lang w:val="fr-FR" w:eastAsia="ja-JP"/>
                <w14:ligatures w14:val="standardContextual"/>
              </w:rPr>
            </w:pPr>
          </w:p>
        </w:tc>
        <w:tc>
          <w:tcPr>
            <w:tcW w:w="716" w:type="dxa"/>
          </w:tcPr>
          <w:p w14:paraId="2380EB4B"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kern w:val="2"/>
                <w:sz w:val="16"/>
                <w:szCs w:val="16"/>
                <w:lang w:eastAsia="ja-JP"/>
                <w14:ligatures w14:val="standardContextual"/>
              </w:rPr>
              <w:t>0</w:t>
            </w:r>
          </w:p>
        </w:tc>
        <w:tc>
          <w:tcPr>
            <w:tcW w:w="808" w:type="dxa"/>
            <w:vAlign w:val="center"/>
          </w:tcPr>
          <w:p w14:paraId="23CF6754"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kern w:val="2"/>
                <w:sz w:val="16"/>
                <w:szCs w:val="16"/>
                <w:lang w:eastAsia="ja-JP"/>
                <w14:ligatures w14:val="standardContextual"/>
              </w:rPr>
              <w:t>0</w:t>
            </w:r>
          </w:p>
        </w:tc>
        <w:tc>
          <w:tcPr>
            <w:tcW w:w="719" w:type="dxa"/>
            <w:vAlign w:val="center"/>
          </w:tcPr>
          <w:p w14:paraId="66BBB524"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kern w:val="2"/>
                <w:sz w:val="16"/>
                <w:szCs w:val="16"/>
                <w:lang w:eastAsia="ja-JP"/>
                <w14:ligatures w14:val="standardContextual"/>
              </w:rPr>
              <w:t>0</w:t>
            </w:r>
          </w:p>
        </w:tc>
        <w:tc>
          <w:tcPr>
            <w:tcW w:w="738" w:type="dxa"/>
            <w:noWrap/>
            <w:vAlign w:val="center"/>
          </w:tcPr>
          <w:p w14:paraId="4A2105B0"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kern w:val="2"/>
                <w:sz w:val="16"/>
                <w:szCs w:val="16"/>
                <w:lang w:eastAsia="ja-JP"/>
                <w14:ligatures w14:val="standardContextual"/>
              </w:rPr>
              <w:t>0</w:t>
            </w:r>
          </w:p>
        </w:tc>
        <w:tc>
          <w:tcPr>
            <w:tcW w:w="963" w:type="dxa"/>
            <w:noWrap/>
            <w:vAlign w:val="center"/>
          </w:tcPr>
          <w:p w14:paraId="6FE40215"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kern w:val="2"/>
                <w:sz w:val="16"/>
                <w:szCs w:val="16"/>
                <w:lang w:eastAsia="ja-JP"/>
                <w14:ligatures w14:val="standardContextual"/>
              </w:rPr>
              <w:t>0</w:t>
            </w:r>
          </w:p>
        </w:tc>
        <w:tc>
          <w:tcPr>
            <w:tcW w:w="746" w:type="dxa"/>
            <w:noWrap/>
            <w:vAlign w:val="center"/>
          </w:tcPr>
          <w:p w14:paraId="1930D4F8"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kern w:val="2"/>
                <w:sz w:val="16"/>
                <w:szCs w:val="16"/>
                <w:lang w:eastAsia="ja-JP"/>
                <w14:ligatures w14:val="standardContextual"/>
              </w:rPr>
              <w:t>0</w:t>
            </w:r>
          </w:p>
        </w:tc>
        <w:tc>
          <w:tcPr>
            <w:tcW w:w="853" w:type="dxa"/>
          </w:tcPr>
          <w:p w14:paraId="0166F2F5"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kern w:val="2"/>
                <w:sz w:val="16"/>
                <w:szCs w:val="16"/>
                <w:lang w:eastAsia="ja-JP"/>
                <w14:ligatures w14:val="standardContextual"/>
              </w:rPr>
              <w:t>0</w:t>
            </w:r>
          </w:p>
        </w:tc>
      </w:tr>
      <w:tr w:rsidR="00827114" w:rsidRPr="004E13E9" w14:paraId="5EE41AB7" w14:textId="77777777" w:rsidTr="000D1853">
        <w:trPr>
          <w:trHeight w:val="20"/>
        </w:trPr>
        <w:tc>
          <w:tcPr>
            <w:tcW w:w="3256" w:type="dxa"/>
            <w:vAlign w:val="center"/>
          </w:tcPr>
          <w:p w14:paraId="79E26923"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xml:space="preserve">Quota disponible </w:t>
            </w:r>
          </w:p>
        </w:tc>
        <w:tc>
          <w:tcPr>
            <w:tcW w:w="992" w:type="dxa"/>
            <w:noWrap/>
            <w:vAlign w:val="center"/>
          </w:tcPr>
          <w:p w14:paraId="7DE86DF4" w14:textId="77777777" w:rsidR="00827114" w:rsidRPr="004E13E9" w:rsidRDefault="00827114" w:rsidP="000D1853">
            <w:pPr>
              <w:spacing w:line="276" w:lineRule="auto"/>
              <w:jc w:val="right"/>
              <w:rPr>
                <w:rFonts w:eastAsia="Times New Roman" w:cs="Calibri"/>
                <w:b/>
                <w:bCs/>
                <w:kern w:val="2"/>
                <w:sz w:val="16"/>
                <w:szCs w:val="16"/>
                <w:lang w:eastAsia="ja-JP"/>
                <w14:ligatures w14:val="standardContextual"/>
              </w:rPr>
            </w:pPr>
          </w:p>
        </w:tc>
        <w:tc>
          <w:tcPr>
            <w:tcW w:w="567" w:type="dxa"/>
          </w:tcPr>
          <w:p w14:paraId="58CF2EC9"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p>
        </w:tc>
        <w:tc>
          <w:tcPr>
            <w:tcW w:w="489" w:type="dxa"/>
            <w:noWrap/>
            <w:vAlign w:val="center"/>
          </w:tcPr>
          <w:p w14:paraId="1F42CCAF"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p>
        </w:tc>
        <w:tc>
          <w:tcPr>
            <w:tcW w:w="645" w:type="dxa"/>
            <w:vAlign w:val="center"/>
          </w:tcPr>
          <w:p w14:paraId="60B30C1F"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p>
        </w:tc>
        <w:tc>
          <w:tcPr>
            <w:tcW w:w="709" w:type="dxa"/>
            <w:vAlign w:val="center"/>
          </w:tcPr>
          <w:p w14:paraId="4FE4E417"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p>
        </w:tc>
        <w:tc>
          <w:tcPr>
            <w:tcW w:w="708" w:type="dxa"/>
            <w:vAlign w:val="center"/>
          </w:tcPr>
          <w:p w14:paraId="1B0F369A"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p>
        </w:tc>
        <w:tc>
          <w:tcPr>
            <w:tcW w:w="709" w:type="dxa"/>
          </w:tcPr>
          <w:p w14:paraId="31AE692B"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p>
        </w:tc>
        <w:tc>
          <w:tcPr>
            <w:tcW w:w="623" w:type="dxa"/>
          </w:tcPr>
          <w:p w14:paraId="0B056B72" w14:textId="77777777" w:rsidR="00827114" w:rsidRPr="004E13E9" w:rsidRDefault="00827114" w:rsidP="000D1853">
            <w:pPr>
              <w:spacing w:line="276" w:lineRule="auto"/>
              <w:jc w:val="center"/>
              <w:rPr>
                <w:rFonts w:eastAsia="Times New Roman" w:cs="Calibri"/>
                <w:kern w:val="2"/>
                <w:sz w:val="16"/>
                <w:szCs w:val="16"/>
                <w:lang w:eastAsia="ja-JP"/>
                <w14:ligatures w14:val="standardContextual"/>
              </w:rPr>
            </w:pPr>
          </w:p>
        </w:tc>
        <w:tc>
          <w:tcPr>
            <w:tcW w:w="253" w:type="dxa"/>
            <w:shd w:val="clear" w:color="000000" w:fill="D9D9D9"/>
            <w:vAlign w:val="center"/>
          </w:tcPr>
          <w:p w14:paraId="69F79934"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p>
        </w:tc>
        <w:tc>
          <w:tcPr>
            <w:tcW w:w="716" w:type="dxa"/>
          </w:tcPr>
          <w:p w14:paraId="5ABD40D9"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p>
        </w:tc>
        <w:tc>
          <w:tcPr>
            <w:tcW w:w="808" w:type="dxa"/>
            <w:vAlign w:val="center"/>
          </w:tcPr>
          <w:p w14:paraId="296DA052"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p>
        </w:tc>
        <w:tc>
          <w:tcPr>
            <w:tcW w:w="719" w:type="dxa"/>
            <w:vAlign w:val="center"/>
          </w:tcPr>
          <w:p w14:paraId="6DAC3B4F"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p>
        </w:tc>
        <w:tc>
          <w:tcPr>
            <w:tcW w:w="738" w:type="dxa"/>
            <w:noWrap/>
            <w:vAlign w:val="center"/>
          </w:tcPr>
          <w:p w14:paraId="036C3785"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p>
        </w:tc>
        <w:tc>
          <w:tcPr>
            <w:tcW w:w="963" w:type="dxa"/>
            <w:noWrap/>
            <w:vAlign w:val="center"/>
          </w:tcPr>
          <w:p w14:paraId="699A997E"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p>
        </w:tc>
        <w:tc>
          <w:tcPr>
            <w:tcW w:w="746" w:type="dxa"/>
            <w:noWrap/>
            <w:vAlign w:val="center"/>
          </w:tcPr>
          <w:p w14:paraId="6AFF6F1B"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p>
        </w:tc>
        <w:tc>
          <w:tcPr>
            <w:tcW w:w="853" w:type="dxa"/>
          </w:tcPr>
          <w:p w14:paraId="64565412" w14:textId="77777777" w:rsidR="00827114" w:rsidRPr="004E13E9" w:rsidRDefault="00827114" w:rsidP="000D1853">
            <w:pPr>
              <w:spacing w:line="276" w:lineRule="auto"/>
              <w:rPr>
                <w:rFonts w:eastAsia="Times New Roman" w:cs="Calibri"/>
                <w:b/>
                <w:bCs/>
                <w:kern w:val="2"/>
                <w:sz w:val="16"/>
                <w:szCs w:val="16"/>
                <w:lang w:eastAsia="ja-JP"/>
                <w14:ligatures w14:val="standardContextual"/>
              </w:rPr>
            </w:pPr>
            <w:r w:rsidRPr="004E13E9">
              <w:rPr>
                <w:rFonts w:eastAsia="Times New Roman" w:cs="Calibri"/>
                <w:b/>
                <w:bCs/>
                <w:kern w:val="2"/>
                <w:sz w:val="16"/>
                <w:szCs w:val="16"/>
                <w:lang w:eastAsia="ja-JP"/>
                <w14:ligatures w14:val="standardContextual"/>
              </w:rPr>
              <w:t>2459,28</w:t>
            </w:r>
          </w:p>
        </w:tc>
      </w:tr>
      <w:tr w:rsidR="00827114" w:rsidRPr="004E13E9" w14:paraId="37E52FB6" w14:textId="77777777" w:rsidTr="000D1853">
        <w:trPr>
          <w:trHeight w:val="20"/>
        </w:trPr>
        <w:tc>
          <w:tcPr>
            <w:tcW w:w="3256" w:type="dxa"/>
            <w:shd w:val="clear" w:color="auto" w:fill="D9D9D9"/>
            <w:noWrap/>
            <w:vAlign w:val="center"/>
            <w:hideMark/>
          </w:tcPr>
          <w:p w14:paraId="6FE1D910" w14:textId="77777777" w:rsidR="00827114" w:rsidRPr="004E13E9" w:rsidRDefault="00827114" w:rsidP="000D1853">
            <w:pPr>
              <w:spacing w:line="276" w:lineRule="auto"/>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Sous/</w:t>
            </w:r>
            <w:proofErr w:type="spellStart"/>
            <w:r w:rsidRPr="004E13E9">
              <w:rPr>
                <w:rFonts w:eastAsia="Malgun Gothic"/>
                <w:b/>
                <w:kern w:val="2"/>
                <w:sz w:val="16"/>
                <w:szCs w:val="16"/>
                <w:lang w:eastAsia="ko-KR"/>
                <w14:ligatures w14:val="standardContextual"/>
              </w:rPr>
              <w:t>surcapacité</w:t>
            </w:r>
            <w:proofErr w:type="spellEnd"/>
          </w:p>
        </w:tc>
        <w:tc>
          <w:tcPr>
            <w:tcW w:w="992" w:type="dxa"/>
            <w:shd w:val="clear" w:color="auto" w:fill="D9D9D9"/>
            <w:noWrap/>
            <w:vAlign w:val="center"/>
            <w:hideMark/>
          </w:tcPr>
          <w:p w14:paraId="46511AF2" w14:textId="77777777" w:rsidR="00827114" w:rsidRPr="004E13E9" w:rsidRDefault="00827114" w:rsidP="000D1853">
            <w:pPr>
              <w:spacing w:line="276" w:lineRule="auto"/>
              <w:jc w:val="right"/>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567" w:type="dxa"/>
            <w:shd w:val="clear" w:color="auto" w:fill="D9D9D9"/>
          </w:tcPr>
          <w:p w14:paraId="3083918D" w14:textId="77777777" w:rsidR="00827114" w:rsidRPr="004E13E9" w:rsidRDefault="00827114" w:rsidP="000D1853">
            <w:pPr>
              <w:spacing w:line="276" w:lineRule="auto"/>
              <w:rPr>
                <w:rFonts w:eastAsia="Times New Roman" w:cs="Calibri"/>
                <w:kern w:val="2"/>
                <w:sz w:val="16"/>
                <w:szCs w:val="16"/>
                <w:lang w:eastAsia="ja-JP"/>
                <w14:ligatures w14:val="standardContextual"/>
              </w:rPr>
            </w:pPr>
          </w:p>
        </w:tc>
        <w:tc>
          <w:tcPr>
            <w:tcW w:w="489" w:type="dxa"/>
            <w:shd w:val="clear" w:color="auto" w:fill="D9D9D9"/>
            <w:noWrap/>
            <w:vAlign w:val="center"/>
            <w:hideMark/>
          </w:tcPr>
          <w:p w14:paraId="4273ADAE"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645" w:type="dxa"/>
            <w:shd w:val="clear" w:color="auto" w:fill="D9D9D9"/>
            <w:vAlign w:val="center"/>
            <w:hideMark/>
          </w:tcPr>
          <w:p w14:paraId="6ADAD5C8"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709" w:type="dxa"/>
            <w:shd w:val="clear" w:color="auto" w:fill="D9D9D9"/>
            <w:vAlign w:val="center"/>
            <w:hideMark/>
          </w:tcPr>
          <w:p w14:paraId="6848573C"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708" w:type="dxa"/>
            <w:shd w:val="clear" w:color="auto" w:fill="D9D9D9"/>
            <w:vAlign w:val="center"/>
            <w:hideMark/>
          </w:tcPr>
          <w:p w14:paraId="3A47831F"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709" w:type="dxa"/>
            <w:shd w:val="clear" w:color="auto" w:fill="D9D9D9"/>
          </w:tcPr>
          <w:p w14:paraId="647E0C6F" w14:textId="77777777" w:rsidR="00827114" w:rsidRPr="004E13E9" w:rsidRDefault="00827114" w:rsidP="000D1853">
            <w:pPr>
              <w:spacing w:line="276" w:lineRule="auto"/>
              <w:rPr>
                <w:rFonts w:eastAsia="Times New Roman" w:cs="Calibri"/>
                <w:kern w:val="2"/>
                <w:sz w:val="16"/>
                <w:szCs w:val="16"/>
                <w:lang w:eastAsia="ja-JP"/>
                <w14:ligatures w14:val="standardContextual"/>
              </w:rPr>
            </w:pPr>
          </w:p>
        </w:tc>
        <w:tc>
          <w:tcPr>
            <w:tcW w:w="623" w:type="dxa"/>
            <w:shd w:val="clear" w:color="auto" w:fill="D9D9D9"/>
          </w:tcPr>
          <w:p w14:paraId="52AFE5CD" w14:textId="77777777" w:rsidR="00827114" w:rsidRPr="004E13E9" w:rsidRDefault="00827114" w:rsidP="000D1853">
            <w:pPr>
              <w:spacing w:line="276" w:lineRule="auto"/>
              <w:jc w:val="center"/>
              <w:rPr>
                <w:rFonts w:eastAsia="Times New Roman" w:cs="Calibri"/>
                <w:kern w:val="2"/>
                <w:sz w:val="16"/>
                <w:szCs w:val="16"/>
                <w:lang w:eastAsia="ja-JP"/>
                <w14:ligatures w14:val="standardContextual"/>
              </w:rPr>
            </w:pPr>
          </w:p>
        </w:tc>
        <w:tc>
          <w:tcPr>
            <w:tcW w:w="253" w:type="dxa"/>
            <w:shd w:val="clear" w:color="auto" w:fill="D9D9D9"/>
            <w:vAlign w:val="center"/>
            <w:hideMark/>
          </w:tcPr>
          <w:p w14:paraId="410FBD65" w14:textId="77777777" w:rsidR="00827114" w:rsidRPr="004E13E9" w:rsidRDefault="00827114" w:rsidP="000D1853">
            <w:pPr>
              <w:spacing w:line="276" w:lineRule="auto"/>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716" w:type="dxa"/>
            <w:tcBorders>
              <w:top w:val="nil"/>
              <w:left w:val="single" w:sz="4" w:space="0" w:color="auto"/>
              <w:bottom w:val="single" w:sz="8" w:space="0" w:color="auto"/>
              <w:right w:val="single" w:sz="4" w:space="0" w:color="auto"/>
            </w:tcBorders>
            <w:shd w:val="clear" w:color="auto" w:fill="D9D9D9" w:themeFill="background1" w:themeFillShade="D9"/>
            <w:vAlign w:val="center"/>
          </w:tcPr>
          <w:p w14:paraId="13E18FF4" w14:textId="77777777" w:rsidR="00827114" w:rsidRPr="004E13E9" w:rsidRDefault="00827114" w:rsidP="000D1853">
            <w:pPr>
              <w:spacing w:line="276" w:lineRule="auto"/>
              <w:rPr>
                <w:rFonts w:eastAsia="Times New Roman" w:cs="Calibri"/>
                <w:kern w:val="2"/>
                <w:sz w:val="14"/>
                <w:szCs w:val="14"/>
                <w:lang w:eastAsia="ja-JP"/>
                <w14:ligatures w14:val="standardContextual"/>
              </w:rPr>
            </w:pPr>
            <w:r w:rsidRPr="004E13E9">
              <w:rPr>
                <w:rFonts w:eastAsia="Times New Roman" w:cs="Calibri"/>
                <w:kern w:val="2"/>
                <w:sz w:val="14"/>
                <w:szCs w:val="14"/>
                <w:lang w:eastAsia="ja-JP"/>
                <w14:ligatures w14:val="standardContextual"/>
              </w:rPr>
              <w:t>-1131,3</w:t>
            </w:r>
          </w:p>
        </w:tc>
        <w:tc>
          <w:tcPr>
            <w:tcW w:w="808" w:type="dxa"/>
            <w:tcBorders>
              <w:top w:val="nil"/>
              <w:left w:val="single" w:sz="4" w:space="0" w:color="auto"/>
              <w:bottom w:val="single" w:sz="8" w:space="0" w:color="auto"/>
              <w:right w:val="nil"/>
            </w:tcBorders>
            <w:shd w:val="clear" w:color="auto" w:fill="D9D9D9" w:themeFill="background1" w:themeFillShade="D9"/>
            <w:vAlign w:val="center"/>
            <w:hideMark/>
          </w:tcPr>
          <w:p w14:paraId="4F5C4953" w14:textId="77777777" w:rsidR="00827114" w:rsidRPr="004E13E9" w:rsidRDefault="00827114" w:rsidP="000D1853">
            <w:pPr>
              <w:spacing w:line="276" w:lineRule="auto"/>
              <w:rPr>
                <w:rFonts w:eastAsia="Times New Roman" w:cs="Calibri"/>
                <w:kern w:val="2"/>
                <w:sz w:val="14"/>
                <w:szCs w:val="14"/>
                <w:lang w:eastAsia="ja-JP"/>
                <w14:ligatures w14:val="standardContextual"/>
              </w:rPr>
            </w:pPr>
            <w:r w:rsidRPr="004E13E9">
              <w:rPr>
                <w:rFonts w:eastAsia="Times New Roman" w:cs="Calibri"/>
                <w:kern w:val="2"/>
                <w:sz w:val="14"/>
                <w:szCs w:val="14"/>
                <w:lang w:eastAsia="ja-JP"/>
                <w14:ligatures w14:val="standardContextual"/>
              </w:rPr>
              <w:t>1051,12</w:t>
            </w:r>
          </w:p>
        </w:tc>
        <w:tc>
          <w:tcPr>
            <w:tcW w:w="719" w:type="dxa"/>
            <w:tcBorders>
              <w:top w:val="nil"/>
              <w:left w:val="single" w:sz="4" w:space="0" w:color="auto"/>
              <w:bottom w:val="single" w:sz="8" w:space="0" w:color="auto"/>
              <w:right w:val="single" w:sz="4" w:space="0" w:color="auto"/>
            </w:tcBorders>
            <w:shd w:val="clear" w:color="auto" w:fill="D9D9D9" w:themeFill="background1" w:themeFillShade="D9"/>
            <w:vAlign w:val="center"/>
            <w:hideMark/>
          </w:tcPr>
          <w:p w14:paraId="2275CC25" w14:textId="77777777" w:rsidR="00827114" w:rsidRPr="004E13E9" w:rsidRDefault="00827114" w:rsidP="000D1853">
            <w:pPr>
              <w:spacing w:line="276" w:lineRule="auto"/>
              <w:rPr>
                <w:rFonts w:eastAsia="Times New Roman" w:cs="Calibri"/>
                <w:kern w:val="2"/>
                <w:sz w:val="14"/>
                <w:szCs w:val="14"/>
                <w:lang w:eastAsia="ja-JP"/>
                <w14:ligatures w14:val="standardContextual"/>
              </w:rPr>
            </w:pPr>
            <w:r w:rsidRPr="004E13E9">
              <w:rPr>
                <w:rFonts w:eastAsia="Times New Roman" w:cs="Calibri"/>
                <w:kern w:val="2"/>
                <w:sz w:val="14"/>
                <w:szCs w:val="14"/>
                <w:lang w:eastAsia="ja-JP"/>
                <w14:ligatures w14:val="standardContextual"/>
              </w:rPr>
              <w:t>-629,60</w:t>
            </w:r>
          </w:p>
        </w:tc>
        <w:tc>
          <w:tcPr>
            <w:tcW w:w="738" w:type="dxa"/>
            <w:tcBorders>
              <w:top w:val="nil"/>
              <w:left w:val="nil"/>
              <w:bottom w:val="single" w:sz="8" w:space="0" w:color="auto"/>
              <w:right w:val="single" w:sz="4" w:space="0" w:color="auto"/>
            </w:tcBorders>
            <w:shd w:val="clear" w:color="auto" w:fill="D9D9D9" w:themeFill="background1" w:themeFillShade="D9"/>
            <w:vAlign w:val="center"/>
          </w:tcPr>
          <w:p w14:paraId="1C257CDD" w14:textId="77777777" w:rsidR="00827114" w:rsidRPr="004E13E9" w:rsidRDefault="00827114" w:rsidP="000D1853">
            <w:pPr>
              <w:spacing w:line="276" w:lineRule="auto"/>
              <w:rPr>
                <w:rFonts w:eastAsia="Times New Roman" w:cs="Calibri"/>
                <w:kern w:val="2"/>
                <w:sz w:val="14"/>
                <w:szCs w:val="14"/>
                <w:lang w:eastAsia="ja-JP"/>
                <w14:ligatures w14:val="standardContextual"/>
              </w:rPr>
            </w:pPr>
            <w:r w:rsidRPr="004E13E9">
              <w:rPr>
                <w:rFonts w:eastAsia="Times New Roman" w:cs="Calibri"/>
                <w:kern w:val="2"/>
                <w:sz w:val="14"/>
                <w:szCs w:val="14"/>
                <w:lang w:eastAsia="ja-JP"/>
                <w14:ligatures w14:val="standardContextual"/>
              </w:rPr>
              <w:t>-291,8</w:t>
            </w:r>
          </w:p>
        </w:tc>
        <w:tc>
          <w:tcPr>
            <w:tcW w:w="963" w:type="dxa"/>
            <w:tcBorders>
              <w:top w:val="nil"/>
              <w:left w:val="nil"/>
              <w:bottom w:val="single" w:sz="8" w:space="0" w:color="auto"/>
              <w:right w:val="single" w:sz="8" w:space="0" w:color="auto"/>
            </w:tcBorders>
            <w:shd w:val="clear" w:color="auto" w:fill="D9D9D9" w:themeFill="background1" w:themeFillShade="D9"/>
            <w:vAlign w:val="center"/>
          </w:tcPr>
          <w:p w14:paraId="6533E075" w14:textId="77777777" w:rsidR="00827114" w:rsidRPr="004E13E9" w:rsidRDefault="00827114" w:rsidP="000D1853">
            <w:pPr>
              <w:spacing w:line="276" w:lineRule="auto"/>
              <w:rPr>
                <w:rFonts w:eastAsia="Times New Roman" w:cs="Calibri"/>
                <w:kern w:val="2"/>
                <w:sz w:val="14"/>
                <w:szCs w:val="14"/>
                <w:lang w:eastAsia="ja-JP"/>
                <w14:ligatures w14:val="standardContextual"/>
              </w:rPr>
            </w:pPr>
            <w:r w:rsidRPr="004E13E9">
              <w:rPr>
                <w:rFonts w:eastAsia="Times New Roman" w:cs="Calibri"/>
                <w:kern w:val="2"/>
                <w:sz w:val="14"/>
                <w:szCs w:val="14"/>
                <w:lang w:eastAsia="ja-JP"/>
                <w14:ligatures w14:val="standardContextual"/>
              </w:rPr>
              <w:t>-19,14</w:t>
            </w:r>
          </w:p>
        </w:tc>
        <w:tc>
          <w:tcPr>
            <w:tcW w:w="746" w:type="dxa"/>
            <w:tcBorders>
              <w:top w:val="nil"/>
              <w:left w:val="nil"/>
              <w:bottom w:val="single" w:sz="8" w:space="0" w:color="auto"/>
              <w:right w:val="single" w:sz="8" w:space="0" w:color="auto"/>
            </w:tcBorders>
            <w:shd w:val="clear" w:color="auto" w:fill="D9D9D9" w:themeFill="background1" w:themeFillShade="D9"/>
            <w:vAlign w:val="center"/>
          </w:tcPr>
          <w:p w14:paraId="1236CEDC" w14:textId="77777777" w:rsidR="00827114" w:rsidRPr="004E13E9" w:rsidRDefault="00827114" w:rsidP="000D1853">
            <w:pPr>
              <w:spacing w:line="276" w:lineRule="auto"/>
              <w:rPr>
                <w:rFonts w:eastAsia="Times New Roman" w:cs="Calibri"/>
                <w:kern w:val="2"/>
                <w:sz w:val="14"/>
                <w:szCs w:val="14"/>
                <w:lang w:eastAsia="ja-JP"/>
                <w14:ligatures w14:val="standardContextual"/>
              </w:rPr>
            </w:pPr>
            <w:r w:rsidRPr="004E13E9">
              <w:rPr>
                <w:rFonts w:eastAsia="Times New Roman" w:cs="Calibri"/>
                <w:kern w:val="2"/>
                <w:sz w:val="14"/>
                <w:szCs w:val="14"/>
                <w:lang w:eastAsia="ja-JP"/>
                <w14:ligatures w14:val="standardContextual"/>
              </w:rPr>
              <w:t>-25,79</w:t>
            </w:r>
          </w:p>
        </w:tc>
        <w:tc>
          <w:tcPr>
            <w:tcW w:w="853" w:type="dxa"/>
            <w:tcBorders>
              <w:top w:val="nil"/>
              <w:left w:val="nil"/>
              <w:bottom w:val="single" w:sz="8" w:space="0" w:color="auto"/>
              <w:right w:val="single" w:sz="8" w:space="0" w:color="auto"/>
            </w:tcBorders>
            <w:shd w:val="clear" w:color="auto" w:fill="D9D9D9" w:themeFill="background1" w:themeFillShade="D9"/>
            <w:vAlign w:val="center"/>
          </w:tcPr>
          <w:p w14:paraId="5BAA860B" w14:textId="77777777" w:rsidR="00827114" w:rsidRPr="004E13E9" w:rsidRDefault="00827114" w:rsidP="000D1853">
            <w:pPr>
              <w:spacing w:line="276" w:lineRule="auto"/>
              <w:rPr>
                <w:rFonts w:eastAsia="Times New Roman" w:cs="Calibri"/>
                <w:kern w:val="2"/>
                <w:sz w:val="14"/>
                <w:szCs w:val="14"/>
                <w:lang w:eastAsia="ja-JP"/>
                <w14:ligatures w14:val="standardContextual"/>
              </w:rPr>
            </w:pPr>
            <w:r w:rsidRPr="004E13E9">
              <w:rPr>
                <w:rFonts w:eastAsia="Times New Roman" w:cs="Calibri"/>
                <w:kern w:val="2"/>
                <w:sz w:val="14"/>
                <w:szCs w:val="14"/>
                <w:lang w:eastAsia="ja-JP"/>
                <w14:ligatures w14:val="standardContextual"/>
              </w:rPr>
              <w:t>-352,64</w:t>
            </w:r>
          </w:p>
        </w:tc>
      </w:tr>
    </w:tbl>
    <w:p w14:paraId="6E64192E" w14:textId="77777777" w:rsidR="00827114" w:rsidRPr="004E13E9" w:rsidRDefault="00827114" w:rsidP="00827114">
      <w:pPr>
        <w:rPr>
          <w:sz w:val="16"/>
          <w:szCs w:val="16"/>
        </w:rPr>
      </w:pPr>
    </w:p>
    <w:p w14:paraId="442A74C2" w14:textId="0F76FDEE" w:rsidR="005D58E1" w:rsidRPr="004E13E9" w:rsidRDefault="005D58E1">
      <w:pPr>
        <w:rPr>
          <w:lang w:val="it-IT"/>
        </w:rPr>
      </w:pPr>
    </w:p>
    <w:p w14:paraId="23BC1D9E" w14:textId="77777777" w:rsidR="00827114" w:rsidRPr="004E13E9" w:rsidRDefault="00023C0C">
      <w:pPr>
        <w:rPr>
          <w:b/>
          <w:bCs/>
          <w:lang w:val="it-IT" w:eastAsia="en-GB"/>
        </w:rPr>
        <w:sectPr w:rsidR="00827114" w:rsidRPr="004E13E9" w:rsidSect="00F563D4">
          <w:footnotePr>
            <w:numFmt w:val="chicago"/>
          </w:footnotePr>
          <w:pgSz w:w="16840" w:h="11907" w:orient="landscape" w:code="9"/>
          <w:pgMar w:top="1418" w:right="1418" w:bottom="1418" w:left="1418" w:header="851" w:footer="1134" w:gutter="0"/>
          <w:cols w:space="720"/>
          <w:docGrid w:linePitch="272"/>
        </w:sectPr>
      </w:pPr>
      <w:r w:rsidRPr="004E13E9">
        <w:rPr>
          <w:b/>
          <w:bCs/>
          <w:lang w:val="it-IT" w:eastAsia="en-GB"/>
        </w:rPr>
        <w:br w:type="page"/>
      </w:r>
    </w:p>
    <w:p w14:paraId="1188A0E2" w14:textId="1ED80EAD" w:rsidR="00431CB5" w:rsidRPr="004E13E9" w:rsidRDefault="00431CB5" w:rsidP="00431CB5">
      <w:pPr>
        <w:rPr>
          <w:lang w:val="fr-FR" w:eastAsia="en-GB"/>
        </w:rPr>
      </w:pPr>
      <w:r w:rsidRPr="004E13E9">
        <w:rPr>
          <w:b/>
          <w:bCs/>
          <w:lang w:val="fr-FR" w:eastAsia="en-GB"/>
        </w:rPr>
        <w:lastRenderedPageBreak/>
        <w:t>Chine</w:t>
      </w:r>
    </w:p>
    <w:p w14:paraId="00EB0BCA" w14:textId="77777777" w:rsidR="001F225E" w:rsidRPr="004E13E9" w:rsidRDefault="001F225E" w:rsidP="00431CB5">
      <w:pPr>
        <w:rPr>
          <w:lang w:val="fr-FR" w:eastAsia="en-GB"/>
        </w:rPr>
      </w:pPr>
    </w:p>
    <w:p w14:paraId="5951A5A9" w14:textId="77777777" w:rsidR="00AC150B" w:rsidRPr="004E13E9" w:rsidRDefault="00AC150B" w:rsidP="00AC150B">
      <w:pPr>
        <w:widowControl w:val="0"/>
        <w:contextualSpacing/>
        <w:jc w:val="both"/>
        <w:rPr>
          <w:rFonts w:eastAsia="MS Gothic" w:cs="Times New Roman"/>
          <w:b/>
          <w:lang w:val="fr-FR" w:eastAsia="fr-FR" w:bidi="fr-FR"/>
        </w:rPr>
      </w:pPr>
      <w:bookmarkStart w:id="9" w:name="_Hlk189650095"/>
      <w:r w:rsidRPr="004E13E9">
        <w:rPr>
          <w:rFonts w:eastAsia="MS Gothic" w:cs="Times New Roman"/>
          <w:b/>
          <w:lang w:val="fr-FR" w:eastAsia="fr-FR" w:bidi="fr-FR"/>
        </w:rPr>
        <w:t>Année du plan de pêche : 2026</w:t>
      </w:r>
    </w:p>
    <w:p w14:paraId="2C4D33E4" w14:textId="77777777" w:rsidR="00AC150B" w:rsidRPr="004E13E9" w:rsidRDefault="00AC150B" w:rsidP="00AC150B">
      <w:pPr>
        <w:widowControl w:val="0"/>
        <w:contextualSpacing/>
        <w:jc w:val="both"/>
        <w:rPr>
          <w:rFonts w:eastAsia="MS Gothic" w:cs="Times New Roman"/>
          <w:lang w:val="fr-FR" w:eastAsia="fr-FR" w:bidi="fr-FR"/>
        </w:rPr>
      </w:pPr>
    </w:p>
    <w:p w14:paraId="28CC7018" w14:textId="77777777" w:rsidR="00AC150B" w:rsidRPr="004E13E9" w:rsidRDefault="00AC150B" w:rsidP="00AC150B">
      <w:pPr>
        <w:widowControl w:val="0"/>
        <w:ind w:left="426" w:hanging="426"/>
        <w:contextualSpacing/>
        <w:jc w:val="both"/>
        <w:rPr>
          <w:rFonts w:eastAsia="MS Gothic" w:cs="Times New Roman"/>
          <w:b/>
          <w:lang w:val="fr-FR" w:eastAsia="fr-FR" w:bidi="fr-FR"/>
        </w:rPr>
      </w:pPr>
      <w:r w:rsidRPr="004E13E9">
        <w:rPr>
          <w:rFonts w:eastAsia="MS Gothic" w:cs="Times New Roman"/>
          <w:b/>
          <w:lang w:val="fr-FR" w:eastAsia="fr-FR" w:bidi="fr-FR"/>
        </w:rPr>
        <w:t xml:space="preserve">1. </w:t>
      </w:r>
      <w:r w:rsidRPr="004E13E9">
        <w:rPr>
          <w:rFonts w:eastAsia="MS Gothic" w:cs="Times New Roman"/>
          <w:b/>
          <w:lang w:val="fr-FR" w:eastAsia="fr-FR" w:bidi="fr-FR"/>
        </w:rPr>
        <w:tab/>
        <w:t>Détails du plan annuel de pêche des navires de capture et des madragues (paras 14-15)</w:t>
      </w:r>
    </w:p>
    <w:p w14:paraId="45F52063" w14:textId="77777777" w:rsidR="00AC150B" w:rsidRPr="004E13E9" w:rsidRDefault="00AC150B" w:rsidP="00AC150B">
      <w:pPr>
        <w:widowControl w:val="0"/>
        <w:contextualSpacing/>
        <w:jc w:val="both"/>
        <w:rPr>
          <w:rFonts w:eastAsia="MS Gothic" w:cs="Times New Roman"/>
          <w:b/>
          <w:lang w:val="fr-FR" w:eastAsia="fr-FR" w:bidi="fr-FR"/>
        </w:rPr>
      </w:pPr>
    </w:p>
    <w:p w14:paraId="67E83D5F" w14:textId="77777777" w:rsidR="00AC150B" w:rsidRPr="004E13E9" w:rsidRDefault="00AC150B" w:rsidP="00AC150B">
      <w:pPr>
        <w:widowControl w:val="0"/>
        <w:jc w:val="both"/>
        <w:rPr>
          <w:rFonts w:eastAsia="MS Gothic" w:cs="Times New Roman"/>
          <w:b/>
          <w:bCs/>
          <w:i/>
          <w:iCs/>
          <w:color w:val="000000"/>
          <w:lang w:val="fr-FR" w:eastAsia="fr-FR" w:bidi="fr-FR"/>
        </w:rPr>
      </w:pPr>
      <w:r w:rsidRPr="004E13E9">
        <w:rPr>
          <w:rFonts w:eastAsia="MS Gothic" w:cs="Times New Roman"/>
          <w:b/>
          <w:bCs/>
          <w:i/>
          <w:iCs/>
          <w:color w:val="000000"/>
          <w:lang w:val="fr-FR" w:eastAsia="fr-FR" w:bidi="fr-FR"/>
        </w:rPr>
        <w:t>1a) Présentation (paragraphe 12)</w:t>
      </w:r>
    </w:p>
    <w:bookmarkEnd w:id="9"/>
    <w:p w14:paraId="53874352" w14:textId="77777777" w:rsidR="00AC150B" w:rsidRPr="004E13E9" w:rsidRDefault="00AC150B" w:rsidP="00AC150B">
      <w:pPr>
        <w:contextualSpacing/>
        <w:rPr>
          <w:b/>
          <w:bCs/>
          <w:i/>
          <w:iCs/>
          <w:lang w:val="fr-FR"/>
        </w:rPr>
      </w:pPr>
    </w:p>
    <w:p w14:paraId="072E8A84" w14:textId="77777777" w:rsidR="00AC150B" w:rsidRPr="004E13E9" w:rsidRDefault="00AC150B" w:rsidP="00AC150B">
      <w:pPr>
        <w:widowControl w:val="0"/>
        <w:contextualSpacing/>
        <w:jc w:val="both"/>
        <w:rPr>
          <w:rFonts w:eastAsia="SimSun" w:cs="Times New Roman"/>
          <w:color w:val="000000"/>
          <w:lang w:val="fr-FR" w:eastAsia="fr-FR" w:bidi="fr-FR"/>
        </w:rPr>
      </w:pPr>
      <w:r w:rsidRPr="004E13E9">
        <w:rPr>
          <w:rFonts w:eastAsia="MS Gothic" w:cs="Times New Roman"/>
          <w:color w:val="000000"/>
          <w:lang w:val="fr-FR" w:eastAsia="fr-FR" w:bidi="fr-FR"/>
        </w:rPr>
        <w:t>Conformément à la Recommandation 25-04, la Chine a reçu une allocation de 286,15 t de thon rouge pour la saison de pêche de 2026 et déploiera trois palangriers pour mener des activités de pêche de thon rouge de façon saisonnière dans l’océan Atlantique Est</w:t>
      </w:r>
      <w:r w:rsidRPr="004E13E9">
        <w:rPr>
          <w:rFonts w:eastAsia="MS Gothic" w:cs="Times New Roman"/>
          <w:i/>
          <w:color w:val="000000"/>
          <w:lang w:val="fr-FR" w:eastAsia="fr-FR" w:bidi="fr-FR"/>
        </w:rPr>
        <w:t>.</w:t>
      </w:r>
    </w:p>
    <w:p w14:paraId="1F84A8BF" w14:textId="77777777" w:rsidR="00AC150B" w:rsidRPr="004E13E9" w:rsidRDefault="00AC150B" w:rsidP="00AC150B">
      <w:pPr>
        <w:widowControl w:val="0"/>
        <w:contextualSpacing/>
        <w:jc w:val="both"/>
        <w:rPr>
          <w:rFonts w:eastAsia="SimSun" w:cs="Times New Roman"/>
          <w:color w:val="000000"/>
          <w:lang w:val="fr-FR" w:eastAsia="zh-CN" w:bidi="fr-FR"/>
        </w:rPr>
      </w:pPr>
    </w:p>
    <w:p w14:paraId="3F4A631B" w14:textId="77777777" w:rsidR="00AC150B" w:rsidRPr="004E13E9" w:rsidRDefault="00AC150B" w:rsidP="00AC150B">
      <w:pPr>
        <w:contextualSpacing/>
        <w:jc w:val="both"/>
        <w:rPr>
          <w:iCs/>
          <w:lang w:val="fr-FR"/>
        </w:rPr>
      </w:pPr>
      <w:r w:rsidRPr="004E13E9">
        <w:rPr>
          <w:iCs/>
          <w:lang w:val="fr-FR"/>
        </w:rPr>
        <w:t xml:space="preserve">La loi sur la pêche (émise par le Congrès national populaire) et le règlement sur la gestion de la pêche en eaux lointaines (émis par le ministère de l'agriculture et des affaires rurales, numéro de série 2020-2) sont les principaux textes législatifs nationaux qui régissent la gestion des navires de pêche chinois en eaux lointaines et leur permettent de mener des activités de pêche en haute mer. En outre, les autorités chinoises chargées de la pêche ont également publié le règlement sur la gestion du système de surveillance des navires (VMS) (émis par le ministère de l'agriculture et des affaires rurales, numéro de série </w:t>
      </w:r>
      <w:proofErr w:type="spellStart"/>
      <w:r w:rsidRPr="004E13E9">
        <w:rPr>
          <w:iCs/>
          <w:lang w:val="fr-FR"/>
        </w:rPr>
        <w:t>Nongyufa</w:t>
      </w:r>
      <w:proofErr w:type="spellEnd"/>
      <w:r w:rsidRPr="004E13E9">
        <w:rPr>
          <w:iCs/>
          <w:lang w:val="fr-FR"/>
        </w:rPr>
        <w:t xml:space="preserve"> 2019-22) et le règlement sur la mise en œuvre de la gestion du programme d’observateurs nationaux dans les pêcheries en eaux lointaines (émis par le ministère de l'agriculture et des affaires rurales, numéro de série </w:t>
      </w:r>
      <w:proofErr w:type="spellStart"/>
      <w:r w:rsidRPr="004E13E9">
        <w:rPr>
          <w:iCs/>
          <w:lang w:val="fr-FR"/>
        </w:rPr>
        <w:t>Nongbanyu</w:t>
      </w:r>
      <w:proofErr w:type="spellEnd"/>
      <w:r w:rsidRPr="004E13E9">
        <w:rPr>
          <w:iCs/>
          <w:lang w:val="fr-FR"/>
        </w:rPr>
        <w:t xml:space="preserve"> 2016-72), qui précisent respectivement les dispositions relatives au système VMS et à l'observation des navires de pêche en eaux lointaines. En outre, le Bureau des pêches du ministère de l'Agriculture et des Affaires rurales a mis à jour le document intitulé « Notification sur le respect des mesures de conservation et de gestion adoptées par l’ICCAT » (émis par le Bureau des pêches du ministère de l'agriculture et des affaires rurales, numéro de série </w:t>
      </w:r>
      <w:proofErr w:type="spellStart"/>
      <w:r w:rsidRPr="004E13E9">
        <w:rPr>
          <w:iCs/>
          <w:lang w:val="fr-FR"/>
        </w:rPr>
        <w:t>Nongyuyuanhan</w:t>
      </w:r>
      <w:proofErr w:type="spellEnd"/>
      <w:r w:rsidRPr="004E13E9">
        <w:rPr>
          <w:iCs/>
          <w:lang w:val="fr-FR"/>
        </w:rPr>
        <w:t xml:space="preserve"> 2025-15), qui est entré en vigueur à la fin du mois de janvier 2025. Ce document reprend les principales exigences contenues dans la Recommandation 24-05 de l’ICCAT, telles que la taille minimale, la couverture d'observateurs, l'obligation de recourir au VMS, l'obligation de tenir un journal de bord, la saison de pêche et l'obligation de désigner un port de transbordement/de débarquement, etc.</w:t>
      </w:r>
    </w:p>
    <w:p w14:paraId="23C8D3BC" w14:textId="77777777" w:rsidR="00AC150B" w:rsidRPr="004E13E9" w:rsidRDefault="00AC150B" w:rsidP="00AC150B">
      <w:pPr>
        <w:contextualSpacing/>
        <w:rPr>
          <w:lang w:val="fr-FR"/>
        </w:rPr>
      </w:pPr>
    </w:p>
    <w:p w14:paraId="6A6F8D5D" w14:textId="77777777" w:rsidR="00AC150B" w:rsidRPr="004E13E9" w:rsidRDefault="00AC150B" w:rsidP="00AC150B">
      <w:pPr>
        <w:widowControl w:val="0"/>
        <w:jc w:val="both"/>
        <w:rPr>
          <w:rFonts w:eastAsia="MS Gothic" w:cs="Times New Roman"/>
          <w:b/>
          <w:bCs/>
          <w:i/>
          <w:iCs/>
          <w:lang w:val="fr-FR" w:eastAsia="fr-FR" w:bidi="fr-FR"/>
        </w:rPr>
      </w:pPr>
      <w:r w:rsidRPr="004E13E9">
        <w:rPr>
          <w:rFonts w:eastAsia="MS Gothic" w:cs="Times New Roman"/>
          <w:b/>
          <w:bCs/>
          <w:i/>
          <w:iCs/>
          <w:color w:val="000000"/>
          <w:lang w:val="fr-FR" w:eastAsia="fr-FR" w:bidi="fr-FR"/>
        </w:rPr>
        <w:t xml:space="preserve">1b) </w:t>
      </w:r>
      <w:r w:rsidRPr="004E13E9">
        <w:rPr>
          <w:rFonts w:eastAsia="MS Gothic" w:cs="Times New Roman"/>
          <w:b/>
          <w:bCs/>
          <w:i/>
          <w:iCs/>
          <w:lang w:val="fr-FR" w:eastAsia="fr-FR" w:bidi="fr-FR"/>
        </w:rPr>
        <w:t>Report (paragraphe 6)</w:t>
      </w:r>
    </w:p>
    <w:p w14:paraId="548F2038" w14:textId="77777777" w:rsidR="00AC150B" w:rsidRPr="004E13E9" w:rsidRDefault="00AC150B" w:rsidP="00AC150B">
      <w:pPr>
        <w:contextualSpacing/>
        <w:jc w:val="both"/>
        <w:rPr>
          <w:lang w:val="fr-FR"/>
        </w:rPr>
      </w:pPr>
    </w:p>
    <w:p w14:paraId="11D3F2B7" w14:textId="77777777" w:rsidR="00AC150B" w:rsidRPr="004E13E9" w:rsidRDefault="00AC150B" w:rsidP="00AC150B">
      <w:pPr>
        <w:contextualSpacing/>
        <w:jc w:val="both"/>
        <w:rPr>
          <w:lang w:val="fr-FR"/>
        </w:rPr>
      </w:pPr>
      <w:r w:rsidRPr="004E13E9">
        <w:rPr>
          <w:lang w:val="fr-FR"/>
        </w:rPr>
        <w:t xml:space="preserve">En 2025, le quota ajusté de la Chine est de 112,70 tonnes, tandis que la quantité capturée est de 84,6 tonnes. La différence est de 28,1 tonnes, ce qui est supérieur de 20% au quota annuel. La Chine souhaiterait reporter la sous-consommation de 2025. La quantité reportée de 2025 est de </w:t>
      </w:r>
      <w:r w:rsidRPr="004E13E9">
        <w:rPr>
          <w:rFonts w:eastAsia="SimSun"/>
          <w:lang w:val="fr-FR" w:eastAsia="zh-CN"/>
        </w:rPr>
        <w:t>112*20%=22,4 </w:t>
      </w:r>
      <w:r w:rsidRPr="004E13E9">
        <w:rPr>
          <w:lang w:val="fr-FR"/>
        </w:rPr>
        <w:t xml:space="preserve">tonnes. Le quota total de la Chine en 2026 est de </w:t>
      </w:r>
      <w:r w:rsidRPr="004E13E9">
        <w:rPr>
          <w:rFonts w:eastAsia="SimSun"/>
          <w:lang w:val="fr-FR" w:eastAsia="zh-CN"/>
        </w:rPr>
        <w:t>286,15+22,4=308,55</w:t>
      </w:r>
      <w:r w:rsidRPr="004E13E9">
        <w:rPr>
          <w:lang w:val="fr-FR"/>
        </w:rPr>
        <w:t xml:space="preserve"> tonnes.</w:t>
      </w:r>
    </w:p>
    <w:p w14:paraId="0B131F50" w14:textId="77777777" w:rsidR="00AC150B" w:rsidRPr="004E13E9" w:rsidRDefault="00AC150B" w:rsidP="00AC150B">
      <w:pPr>
        <w:contextualSpacing/>
        <w:jc w:val="both"/>
        <w:rPr>
          <w:rFonts w:eastAsia="MS Gothic"/>
          <w:i/>
          <w:lang w:val="fr-FR"/>
        </w:rPr>
      </w:pPr>
    </w:p>
    <w:p w14:paraId="77A508D1" w14:textId="77777777" w:rsidR="00AC150B" w:rsidRPr="004E13E9" w:rsidRDefault="00AC150B" w:rsidP="00AC150B">
      <w:pPr>
        <w:widowControl w:val="0"/>
        <w:jc w:val="both"/>
        <w:rPr>
          <w:rFonts w:eastAsia="MS Gothic" w:cs="Times New Roman"/>
          <w:b/>
          <w:bCs/>
          <w:i/>
          <w:lang w:val="fr-FR" w:eastAsia="fr-FR" w:bidi="fr-FR"/>
        </w:rPr>
      </w:pPr>
      <w:r w:rsidRPr="004E13E9">
        <w:rPr>
          <w:rFonts w:eastAsia="MS Gothic" w:cs="Times New Roman"/>
          <w:b/>
          <w:bCs/>
          <w:i/>
          <w:lang w:val="fr-FR" w:eastAsia="fr-FR" w:bidi="fr-FR"/>
        </w:rPr>
        <w:t>1c) Destination de la capture</w:t>
      </w:r>
    </w:p>
    <w:p w14:paraId="11502214" w14:textId="77777777" w:rsidR="00AC150B" w:rsidRPr="004E13E9" w:rsidRDefault="00AC150B" w:rsidP="00AC150B">
      <w:pPr>
        <w:contextualSpacing/>
        <w:jc w:val="both"/>
        <w:rPr>
          <w:iCs/>
          <w:lang w:val="fr-FR"/>
        </w:rPr>
      </w:pPr>
    </w:p>
    <w:p w14:paraId="4A381F53" w14:textId="77777777" w:rsidR="00AC150B" w:rsidRPr="004E13E9" w:rsidRDefault="00AC150B" w:rsidP="00AC150B">
      <w:pPr>
        <w:contextualSpacing/>
        <w:jc w:val="both"/>
        <w:rPr>
          <w:rFonts w:eastAsia="SimSun"/>
          <w:iCs/>
          <w:lang w:val="fr-FR"/>
        </w:rPr>
      </w:pPr>
      <w:r w:rsidRPr="004E13E9">
        <w:rPr>
          <w:iCs/>
          <w:lang w:val="fr-FR"/>
        </w:rPr>
        <w:t>Le poisson sera débarqué.</w:t>
      </w:r>
    </w:p>
    <w:p w14:paraId="6616869F" w14:textId="77777777" w:rsidR="00AC150B" w:rsidRPr="004E13E9" w:rsidRDefault="00AC150B" w:rsidP="00AC150B">
      <w:pPr>
        <w:contextualSpacing/>
        <w:rPr>
          <w:rFonts w:eastAsia="MS Gothic"/>
          <w:i/>
          <w:lang w:val="fr-FR"/>
        </w:rPr>
      </w:pPr>
    </w:p>
    <w:p w14:paraId="093768F1" w14:textId="77777777" w:rsidR="00AC150B" w:rsidRPr="004E13E9" w:rsidRDefault="00AC150B" w:rsidP="00AC150B">
      <w:pPr>
        <w:contextualSpacing/>
        <w:rPr>
          <w:b/>
          <w:bCs/>
          <w:i/>
          <w:iCs/>
        </w:rPr>
      </w:pPr>
      <w:r w:rsidRPr="004E13E9">
        <w:rPr>
          <w:b/>
          <w:bCs/>
          <w:i/>
          <w:iCs/>
        </w:rPr>
        <w:t>1 d)</w:t>
      </w:r>
    </w:p>
    <w:tbl>
      <w:tblPr>
        <w:tblStyle w:val="TableGrid"/>
        <w:tblW w:w="9606" w:type="dxa"/>
        <w:tblLayout w:type="fixed"/>
        <w:tblLook w:val="04A0" w:firstRow="1" w:lastRow="0" w:firstColumn="1" w:lastColumn="0" w:noHBand="0" w:noVBand="1"/>
      </w:tblPr>
      <w:tblGrid>
        <w:gridCol w:w="534"/>
        <w:gridCol w:w="1701"/>
        <w:gridCol w:w="3147"/>
        <w:gridCol w:w="3260"/>
        <w:gridCol w:w="964"/>
      </w:tblGrid>
      <w:tr w:rsidR="00AC150B" w:rsidRPr="004E13E9" w14:paraId="5F3E13C1" w14:textId="77777777" w:rsidTr="002E1EDA">
        <w:tc>
          <w:tcPr>
            <w:tcW w:w="534" w:type="dxa"/>
            <w:tcBorders>
              <w:top w:val="single" w:sz="4" w:space="0" w:color="auto"/>
              <w:left w:val="single" w:sz="4" w:space="0" w:color="auto"/>
              <w:bottom w:val="single" w:sz="4" w:space="0" w:color="auto"/>
              <w:right w:val="single" w:sz="4" w:space="0" w:color="auto"/>
            </w:tcBorders>
          </w:tcPr>
          <w:p w14:paraId="2DC19D99" w14:textId="77777777" w:rsidR="00AC150B" w:rsidRPr="004E13E9" w:rsidRDefault="00AC150B" w:rsidP="00AF11BC">
            <w:pPr>
              <w:contextualSpacing/>
              <w:rPr>
                <w:rFonts w:ascii="Cambria" w:hAnsi="Cambria"/>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7C7CB53" w14:textId="77777777" w:rsidR="00AC150B" w:rsidRPr="004E13E9" w:rsidRDefault="00AC150B" w:rsidP="00AF11BC">
            <w:pPr>
              <w:widowControl w:val="0"/>
              <w:jc w:val="center"/>
              <w:rPr>
                <w:rFonts w:ascii="Cambria" w:hAnsi="Cambria"/>
                <w:i/>
                <w:sz w:val="20"/>
                <w:szCs w:val="20"/>
              </w:rPr>
            </w:pPr>
            <w:r w:rsidRPr="004E13E9">
              <w:rPr>
                <w:rFonts w:ascii="Cambria" w:hAnsi="Cambria"/>
                <w:i/>
                <w:sz w:val="20"/>
                <w:szCs w:val="20"/>
              </w:rPr>
              <w:t>Exigence de l’ICCAT</w:t>
            </w:r>
          </w:p>
          <w:p w14:paraId="46D019B3" w14:textId="77777777" w:rsidR="00AC150B" w:rsidRPr="004E13E9" w:rsidRDefault="00AC150B" w:rsidP="00AF11BC">
            <w:pPr>
              <w:contextualSpacing/>
              <w:jc w:val="center"/>
              <w:rPr>
                <w:rFonts w:ascii="Cambria" w:hAnsi="Cambria"/>
                <w:i/>
                <w:color w:val="auto"/>
                <w:sz w:val="20"/>
                <w:szCs w:val="20"/>
              </w:rPr>
            </w:pPr>
            <w:r w:rsidRPr="004E13E9">
              <w:rPr>
                <w:rFonts w:ascii="Cambria" w:hAnsi="Cambria"/>
                <w:i/>
                <w:color w:val="auto"/>
                <w:sz w:val="20"/>
                <w:szCs w:val="20"/>
              </w:rPr>
              <w:t xml:space="preserve">(en vertu de la </w:t>
            </w:r>
            <w:hyperlink r:id="rId82" w:history="1">
              <w:r w:rsidRPr="004E13E9">
                <w:rPr>
                  <w:rFonts w:ascii="Cambria" w:hAnsi="Cambria"/>
                  <w:i/>
                  <w:color w:val="0563C1"/>
                  <w:sz w:val="20"/>
                  <w:szCs w:val="20"/>
                </w:rPr>
                <w:t>Rec. 25-04</w:t>
              </w:r>
            </w:hyperlink>
            <w:r w:rsidRPr="004E13E9">
              <w:rPr>
                <w:rFonts w:ascii="Cambria" w:hAnsi="Cambria"/>
                <w:i/>
                <w:color w:val="auto"/>
                <w:sz w:val="20"/>
                <w:szCs w:val="20"/>
              </w:rPr>
              <w:t>)</w:t>
            </w:r>
          </w:p>
        </w:tc>
        <w:tc>
          <w:tcPr>
            <w:tcW w:w="3147" w:type="dxa"/>
            <w:tcBorders>
              <w:top w:val="single" w:sz="4" w:space="0" w:color="auto"/>
              <w:left w:val="single" w:sz="4" w:space="0" w:color="auto"/>
              <w:bottom w:val="single" w:sz="4" w:space="0" w:color="auto"/>
              <w:right w:val="single" w:sz="4" w:space="0" w:color="auto"/>
            </w:tcBorders>
            <w:vAlign w:val="center"/>
            <w:hideMark/>
          </w:tcPr>
          <w:p w14:paraId="3876CD42" w14:textId="77777777" w:rsidR="00AC150B" w:rsidRPr="004E13E9" w:rsidRDefault="00AC150B" w:rsidP="00AF11BC">
            <w:pPr>
              <w:contextualSpacing/>
              <w:jc w:val="center"/>
              <w:rPr>
                <w:rFonts w:ascii="Cambria" w:hAnsi="Cambria"/>
                <w:i/>
                <w:color w:val="auto"/>
                <w:sz w:val="20"/>
                <w:szCs w:val="20"/>
              </w:rPr>
            </w:pPr>
            <w:r w:rsidRPr="004E13E9">
              <w:rPr>
                <w:rFonts w:ascii="Cambria" w:hAnsi="Cambria"/>
                <w:i/>
                <w:color w:val="auto"/>
                <w:sz w:val="20"/>
                <w:szCs w:val="20"/>
              </w:rPr>
              <w:t>Explication des mesures prises par la CPC à des fins de mise en œuvre</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0AD1FAA" w14:textId="77777777" w:rsidR="00AC150B" w:rsidRPr="004E13E9" w:rsidRDefault="00AC150B" w:rsidP="00AF11BC">
            <w:pPr>
              <w:contextualSpacing/>
              <w:jc w:val="center"/>
              <w:rPr>
                <w:rFonts w:ascii="Cambria" w:hAnsi="Cambria"/>
                <w:i/>
                <w:color w:val="auto"/>
                <w:sz w:val="20"/>
                <w:szCs w:val="20"/>
              </w:rPr>
            </w:pPr>
            <w:r w:rsidRPr="004E13E9">
              <w:rPr>
                <w:rFonts w:ascii="Cambria" w:hAnsi="Cambria"/>
                <w:i/>
                <w:color w:val="auto"/>
                <w:sz w:val="20"/>
                <w:szCs w:val="20"/>
              </w:rPr>
              <w:t>Législation ou règlementations nationales pertinentes (selon le cas)</w:t>
            </w:r>
          </w:p>
        </w:tc>
        <w:tc>
          <w:tcPr>
            <w:tcW w:w="964" w:type="dxa"/>
            <w:tcBorders>
              <w:top w:val="single" w:sz="4" w:space="0" w:color="auto"/>
              <w:left w:val="single" w:sz="4" w:space="0" w:color="auto"/>
              <w:bottom w:val="single" w:sz="4" w:space="0" w:color="auto"/>
              <w:right w:val="single" w:sz="4" w:space="0" w:color="auto"/>
            </w:tcBorders>
            <w:vAlign w:val="center"/>
            <w:hideMark/>
          </w:tcPr>
          <w:p w14:paraId="4CA4898F" w14:textId="77777777" w:rsidR="00AC150B" w:rsidRPr="004E13E9" w:rsidRDefault="00AC150B" w:rsidP="00AF11BC">
            <w:pPr>
              <w:contextualSpacing/>
              <w:jc w:val="center"/>
              <w:rPr>
                <w:rFonts w:ascii="Cambria" w:hAnsi="Cambria"/>
                <w:i/>
                <w:color w:val="auto"/>
                <w:sz w:val="20"/>
                <w:szCs w:val="20"/>
              </w:rPr>
            </w:pPr>
            <w:r w:rsidRPr="004E13E9">
              <w:rPr>
                <w:rFonts w:ascii="Cambria" w:hAnsi="Cambria"/>
                <w:i/>
                <w:color w:val="auto"/>
                <w:sz w:val="20"/>
                <w:szCs w:val="20"/>
              </w:rPr>
              <w:t>Note</w:t>
            </w:r>
          </w:p>
        </w:tc>
      </w:tr>
      <w:tr w:rsidR="00AC150B" w:rsidRPr="00C712A4" w14:paraId="570709AF" w14:textId="77777777" w:rsidTr="002E1EDA">
        <w:tc>
          <w:tcPr>
            <w:tcW w:w="534" w:type="dxa"/>
            <w:tcBorders>
              <w:top w:val="single" w:sz="4" w:space="0" w:color="auto"/>
              <w:left w:val="single" w:sz="4" w:space="0" w:color="auto"/>
              <w:bottom w:val="single" w:sz="4" w:space="0" w:color="auto"/>
              <w:right w:val="single" w:sz="4" w:space="0" w:color="auto"/>
            </w:tcBorders>
            <w:hideMark/>
          </w:tcPr>
          <w:p w14:paraId="6B88C706"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1</w:t>
            </w:r>
          </w:p>
        </w:tc>
        <w:tc>
          <w:tcPr>
            <w:tcW w:w="1701" w:type="dxa"/>
            <w:tcBorders>
              <w:top w:val="single" w:sz="4" w:space="0" w:color="auto"/>
              <w:left w:val="single" w:sz="4" w:space="0" w:color="auto"/>
              <w:bottom w:val="single" w:sz="4" w:space="0" w:color="auto"/>
              <w:right w:val="single" w:sz="4" w:space="0" w:color="auto"/>
            </w:tcBorders>
            <w:hideMark/>
          </w:tcPr>
          <w:p w14:paraId="7948314E" w14:textId="77777777" w:rsidR="00AC150B" w:rsidRPr="004E13E9" w:rsidRDefault="00AC150B" w:rsidP="00AF11BC">
            <w:pPr>
              <w:contextualSpacing/>
              <w:jc w:val="both"/>
              <w:rPr>
                <w:rFonts w:ascii="Cambria" w:hAnsi="Cambria"/>
                <w:b/>
                <w:color w:val="auto"/>
                <w:sz w:val="20"/>
                <w:szCs w:val="20"/>
              </w:rPr>
            </w:pPr>
            <w:r w:rsidRPr="004E13E9">
              <w:rPr>
                <w:rFonts w:ascii="Cambria" w:hAnsi="Cambria"/>
                <w:b/>
                <w:color w:val="auto"/>
                <w:sz w:val="20"/>
                <w:szCs w:val="20"/>
              </w:rPr>
              <w:t xml:space="preserve">Enregistrement et déclaration de la capture </w:t>
            </w:r>
          </w:p>
          <w:p w14:paraId="61986E8D" w14:textId="77777777" w:rsidR="00AC150B" w:rsidRPr="004E13E9" w:rsidRDefault="00AC150B" w:rsidP="00AF11BC">
            <w:pPr>
              <w:contextualSpacing/>
              <w:jc w:val="both"/>
              <w:rPr>
                <w:rFonts w:ascii="Cambria" w:hAnsi="Cambria"/>
                <w:b/>
                <w:color w:val="auto"/>
                <w:sz w:val="20"/>
                <w:szCs w:val="20"/>
              </w:rPr>
            </w:pPr>
            <w:r w:rsidRPr="004E13E9">
              <w:rPr>
                <w:rFonts w:ascii="Cambria" w:hAnsi="Cambria"/>
                <w:b/>
                <w:color w:val="auto"/>
                <w:sz w:val="20"/>
                <w:szCs w:val="20"/>
              </w:rPr>
              <w:t>(paragraphe 74-88)</w:t>
            </w:r>
          </w:p>
        </w:tc>
        <w:tc>
          <w:tcPr>
            <w:tcW w:w="3147" w:type="dxa"/>
            <w:tcBorders>
              <w:top w:val="single" w:sz="4" w:space="0" w:color="auto"/>
              <w:left w:val="single" w:sz="4" w:space="0" w:color="auto"/>
              <w:bottom w:val="single" w:sz="4" w:space="0" w:color="auto"/>
              <w:right w:val="single" w:sz="4" w:space="0" w:color="auto"/>
            </w:tcBorders>
            <w:hideMark/>
          </w:tcPr>
          <w:p w14:paraId="2FD602BF" w14:textId="77777777" w:rsidR="00AC150B" w:rsidRPr="004E13E9" w:rsidRDefault="00AC150B" w:rsidP="00AF11BC">
            <w:pPr>
              <w:contextualSpacing/>
              <w:jc w:val="both"/>
              <w:rPr>
                <w:rFonts w:ascii="Cambria" w:hAnsi="Cambria"/>
                <w:color w:val="auto"/>
                <w:sz w:val="20"/>
                <w:szCs w:val="20"/>
              </w:rPr>
            </w:pPr>
            <w:r w:rsidRPr="004E13E9">
              <w:rPr>
                <w:rFonts w:ascii="Cambria" w:hAnsi="Cambria"/>
                <w:color w:val="auto"/>
                <w:sz w:val="20"/>
                <w:szCs w:val="20"/>
              </w:rPr>
              <w:t xml:space="preserve">Nous remettons le carnet de pêche standardisé (papier et électronique) à chaque navire de pêche sous pavillon chinois opérant en haute mer et nous demandons au capitaine de le remplir dans les délais et avec précision et le thon rouge doit être débarqué ou transbordé dans le port désigné. L’armateur du navire de pêche doit déclarer ses prises quotidiennes/hebdomadaires/mensuelles, alors que le poisson mort </w:t>
            </w:r>
            <w:r w:rsidRPr="004E13E9">
              <w:rPr>
                <w:rFonts w:ascii="Cambria" w:hAnsi="Cambria"/>
                <w:color w:val="auto"/>
                <w:sz w:val="20"/>
                <w:szCs w:val="20"/>
              </w:rPr>
              <w:lastRenderedPageBreak/>
              <w:t>(retenu ou rejeté) est décompté du quota. Nous émettrons une alerte lorsque le quota s’approchera des 80% du total. Lorsque le quota est épuisé, nous demanderons aux navires de pêche de cesser leurs opérations et de quitter immédiatement la zone de pêche. Nous communiquerons ensuite la fermeture au Secrétariat.</w:t>
            </w:r>
          </w:p>
        </w:tc>
        <w:tc>
          <w:tcPr>
            <w:tcW w:w="3260" w:type="dxa"/>
            <w:tcBorders>
              <w:top w:val="single" w:sz="4" w:space="0" w:color="auto"/>
              <w:left w:val="single" w:sz="4" w:space="0" w:color="auto"/>
              <w:bottom w:val="single" w:sz="4" w:space="0" w:color="auto"/>
              <w:right w:val="single" w:sz="4" w:space="0" w:color="auto"/>
            </w:tcBorders>
            <w:hideMark/>
          </w:tcPr>
          <w:p w14:paraId="403425F7"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lastRenderedPageBreak/>
              <w:t>1. Réglementation concernant la gestion des pêches hauturières</w:t>
            </w:r>
          </w:p>
          <w:p w14:paraId="2BA140A2"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t>2</w:t>
            </w:r>
            <w:r w:rsidRPr="004E13E9">
              <w:rPr>
                <w:rFonts w:ascii="Cambria" w:hAnsi="Cambria"/>
                <w:b/>
                <w:bCs/>
                <w:color w:val="auto"/>
                <w:sz w:val="20"/>
                <w:szCs w:val="20"/>
              </w:rPr>
              <w:t>.</w:t>
            </w:r>
            <w:r w:rsidRPr="004E13E9">
              <w:rPr>
                <w:rFonts w:ascii="Cambria" w:hAnsi="Cambria"/>
                <w:color w:val="auto"/>
                <w:sz w:val="20"/>
                <w:szCs w:val="20"/>
              </w:rPr>
              <w:t xml:space="preserve"> Notification publiée par le </w:t>
            </w:r>
            <w:r w:rsidRPr="004E13E9">
              <w:rPr>
                <w:rFonts w:ascii="Cambria" w:hAnsi="Cambria"/>
                <w:iCs/>
                <w:sz w:val="20"/>
              </w:rPr>
              <w:t xml:space="preserve">Bureau des pêches du </w:t>
            </w:r>
            <w:r w:rsidRPr="004E13E9">
              <w:rPr>
                <w:rFonts w:ascii="Cambria" w:hAnsi="Cambria"/>
                <w:color w:val="auto"/>
                <w:sz w:val="20"/>
                <w:szCs w:val="20"/>
              </w:rPr>
              <w:t>ministère de l'agriculture et des affaires rurales (</w:t>
            </w:r>
            <w:r w:rsidRPr="004E13E9">
              <w:rPr>
                <w:rFonts w:ascii="Cambria" w:hAnsi="Cambria"/>
                <w:iCs/>
                <w:sz w:val="20"/>
              </w:rPr>
              <w:t xml:space="preserve">numéro de série </w:t>
            </w:r>
            <w:proofErr w:type="spellStart"/>
            <w:r w:rsidRPr="004E13E9">
              <w:rPr>
                <w:rFonts w:ascii="Cambria" w:hAnsi="Cambria"/>
                <w:iCs/>
                <w:sz w:val="20"/>
              </w:rPr>
              <w:t>Nongyuyuanhan</w:t>
            </w:r>
            <w:proofErr w:type="spellEnd"/>
            <w:r w:rsidRPr="004E13E9">
              <w:rPr>
                <w:rFonts w:ascii="Cambria" w:hAnsi="Cambria"/>
                <w:iCs/>
                <w:sz w:val="20"/>
              </w:rPr>
              <w:t xml:space="preserve"> 2025-15) </w:t>
            </w:r>
            <w:r w:rsidRPr="004E13E9">
              <w:rPr>
                <w:rFonts w:ascii="Cambria" w:hAnsi="Cambria"/>
                <w:color w:val="auto"/>
                <w:sz w:val="20"/>
                <w:szCs w:val="20"/>
              </w:rPr>
              <w:t>sur le respect des mesures de conservation et de gestion adoptées par l’ICCAT.</w:t>
            </w:r>
          </w:p>
          <w:p w14:paraId="643960C3" w14:textId="77777777" w:rsidR="00AC150B" w:rsidRPr="004E13E9" w:rsidRDefault="00AC150B" w:rsidP="00AF11BC">
            <w:pPr>
              <w:ind w:left="320" w:hanging="320"/>
              <w:contextualSpacing/>
              <w:jc w:val="both"/>
              <w:rPr>
                <w:rFonts w:ascii="Cambria" w:hAnsi="Cambria"/>
                <w:color w:val="auto"/>
                <w:sz w:val="20"/>
                <w:szCs w:val="20"/>
              </w:rPr>
            </w:pPr>
          </w:p>
          <w:p w14:paraId="084217D9" w14:textId="77777777" w:rsidR="00AC150B" w:rsidRPr="004E13E9" w:rsidRDefault="00AC150B" w:rsidP="00AF11BC">
            <w:pPr>
              <w:contextualSpacing/>
              <w:jc w:val="both"/>
              <w:rPr>
                <w:rFonts w:ascii="Cambria" w:hAnsi="Cambria"/>
                <w:color w:val="auto"/>
                <w:sz w:val="20"/>
                <w:szCs w:val="20"/>
              </w:rPr>
            </w:pPr>
            <w:r w:rsidRPr="004E13E9">
              <w:rPr>
                <w:rFonts w:ascii="Cambria" w:hAnsi="Cambria"/>
                <w:color w:val="auto"/>
                <w:sz w:val="20"/>
                <w:szCs w:val="20"/>
              </w:rPr>
              <w:t xml:space="preserve">Sections 3, 4 et 8 - Carnet de pêche : chaque navire thonier doit remplir </w:t>
            </w:r>
            <w:r w:rsidRPr="004E13E9">
              <w:rPr>
                <w:rFonts w:ascii="Cambria" w:hAnsi="Cambria"/>
                <w:color w:val="auto"/>
                <w:sz w:val="20"/>
                <w:szCs w:val="20"/>
              </w:rPr>
              <w:lastRenderedPageBreak/>
              <w:t>le carnet de pêche et y consigner fidèlement toutes les captures, y compris les mammifères marins. L'entreprise de thon rouge doit déclarer ses captures à China Overseas Fisheries quotidiennement /hebdomadairement /mensuellement.</w:t>
            </w:r>
          </w:p>
          <w:p w14:paraId="6A998EBC" w14:textId="77777777" w:rsidR="00AC150B" w:rsidRPr="004E13E9" w:rsidRDefault="00AC150B" w:rsidP="00AF11BC">
            <w:pPr>
              <w:contextualSpacing/>
              <w:jc w:val="both"/>
              <w:rPr>
                <w:rFonts w:ascii="Cambria" w:hAnsi="Cambria"/>
                <w:color w:val="auto"/>
                <w:sz w:val="20"/>
                <w:szCs w:val="20"/>
              </w:rPr>
            </w:pPr>
          </w:p>
          <w:p w14:paraId="2005B743" w14:textId="77777777" w:rsidR="00AC150B" w:rsidRPr="004E13E9" w:rsidRDefault="00AC150B" w:rsidP="00AF11BC">
            <w:pPr>
              <w:contextualSpacing/>
              <w:jc w:val="both"/>
              <w:rPr>
                <w:rFonts w:ascii="Cambria" w:hAnsi="Cambria"/>
                <w:color w:val="auto"/>
                <w:sz w:val="20"/>
                <w:szCs w:val="20"/>
              </w:rPr>
            </w:pPr>
            <w:r w:rsidRPr="004E13E9">
              <w:rPr>
                <w:rFonts w:ascii="Cambria" w:hAnsi="Cambria"/>
                <w:color w:val="auto"/>
                <w:sz w:val="20"/>
                <w:szCs w:val="20"/>
              </w:rPr>
              <w:t>La société de pêche et le navire doivent respecter strictement la limite de quota.</w:t>
            </w:r>
          </w:p>
          <w:p w14:paraId="16544D93" w14:textId="77777777" w:rsidR="00AC150B" w:rsidRPr="004E13E9" w:rsidRDefault="00AC150B" w:rsidP="00AF11BC">
            <w:pPr>
              <w:contextualSpacing/>
              <w:jc w:val="both"/>
              <w:rPr>
                <w:rFonts w:ascii="Cambria" w:hAnsi="Cambria"/>
                <w:color w:val="auto"/>
                <w:sz w:val="20"/>
                <w:szCs w:val="20"/>
              </w:rPr>
            </w:pPr>
            <w:r w:rsidRPr="004E13E9">
              <w:rPr>
                <w:rFonts w:ascii="Cambria" w:hAnsi="Cambria"/>
                <w:color w:val="auto"/>
                <w:sz w:val="20"/>
                <w:szCs w:val="20"/>
              </w:rPr>
              <w:t>Un port désigné est requis.</w:t>
            </w:r>
          </w:p>
        </w:tc>
        <w:tc>
          <w:tcPr>
            <w:tcW w:w="964" w:type="dxa"/>
            <w:tcBorders>
              <w:top w:val="single" w:sz="4" w:space="0" w:color="auto"/>
              <w:left w:val="single" w:sz="4" w:space="0" w:color="auto"/>
              <w:bottom w:val="single" w:sz="4" w:space="0" w:color="auto"/>
              <w:right w:val="single" w:sz="4" w:space="0" w:color="auto"/>
            </w:tcBorders>
          </w:tcPr>
          <w:p w14:paraId="3B30B7C6" w14:textId="77777777" w:rsidR="00AC150B" w:rsidRPr="004E13E9" w:rsidRDefault="00AC150B" w:rsidP="00AF11BC">
            <w:pPr>
              <w:contextualSpacing/>
              <w:rPr>
                <w:rFonts w:ascii="Cambria" w:hAnsi="Cambria"/>
                <w:color w:val="auto"/>
                <w:sz w:val="20"/>
                <w:szCs w:val="20"/>
              </w:rPr>
            </w:pPr>
          </w:p>
        </w:tc>
      </w:tr>
      <w:tr w:rsidR="00AC150B" w:rsidRPr="00C712A4" w14:paraId="21D96B0A" w14:textId="77777777" w:rsidTr="002E1EDA">
        <w:trPr>
          <w:trHeight w:val="4307"/>
        </w:trPr>
        <w:tc>
          <w:tcPr>
            <w:tcW w:w="534" w:type="dxa"/>
            <w:tcBorders>
              <w:top w:val="single" w:sz="4" w:space="0" w:color="auto"/>
              <w:left w:val="single" w:sz="4" w:space="0" w:color="auto"/>
              <w:bottom w:val="single" w:sz="4" w:space="0" w:color="auto"/>
              <w:right w:val="single" w:sz="4" w:space="0" w:color="auto"/>
            </w:tcBorders>
            <w:hideMark/>
          </w:tcPr>
          <w:p w14:paraId="440B67D9"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2</w:t>
            </w:r>
          </w:p>
        </w:tc>
        <w:tc>
          <w:tcPr>
            <w:tcW w:w="1701" w:type="dxa"/>
            <w:tcBorders>
              <w:top w:val="single" w:sz="4" w:space="0" w:color="auto"/>
              <w:left w:val="single" w:sz="4" w:space="0" w:color="auto"/>
              <w:bottom w:val="single" w:sz="4" w:space="0" w:color="auto"/>
              <w:right w:val="single" w:sz="4" w:space="0" w:color="auto"/>
            </w:tcBorders>
            <w:hideMark/>
          </w:tcPr>
          <w:p w14:paraId="049BD18B"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 xml:space="preserve">Périodes de pêche </w:t>
            </w:r>
          </w:p>
          <w:p w14:paraId="68C26F93"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(paragraphes 28-32)</w:t>
            </w:r>
          </w:p>
        </w:tc>
        <w:tc>
          <w:tcPr>
            <w:tcW w:w="3147" w:type="dxa"/>
            <w:tcBorders>
              <w:top w:val="single" w:sz="4" w:space="0" w:color="auto"/>
              <w:left w:val="single" w:sz="4" w:space="0" w:color="auto"/>
              <w:bottom w:val="single" w:sz="4" w:space="0" w:color="auto"/>
              <w:right w:val="single" w:sz="4" w:space="0" w:color="auto"/>
            </w:tcBorders>
            <w:hideMark/>
          </w:tcPr>
          <w:p w14:paraId="063F4F72" w14:textId="77777777" w:rsidR="00AC150B" w:rsidRPr="004E13E9" w:rsidRDefault="00AC150B" w:rsidP="00AF11BC">
            <w:pPr>
              <w:widowControl w:val="0"/>
              <w:jc w:val="both"/>
              <w:rPr>
                <w:rFonts w:ascii="Cambria" w:hAnsi="Cambria"/>
                <w:sz w:val="20"/>
                <w:szCs w:val="20"/>
              </w:rPr>
            </w:pPr>
            <w:r w:rsidRPr="004E13E9">
              <w:rPr>
                <w:rFonts w:ascii="Cambria" w:hAnsi="Cambria"/>
                <w:sz w:val="20"/>
                <w:szCs w:val="20"/>
              </w:rPr>
              <w:t>Les navires de thon rouge opérant dans la zone délimitée à l'Ouest de 10°O et au Nord de 42° N sont autorisés à opérer du 1er août au 31 janvier de l'année suivante.</w:t>
            </w:r>
          </w:p>
          <w:p w14:paraId="45D77140" w14:textId="77777777" w:rsidR="00AC150B" w:rsidRPr="004E13E9" w:rsidRDefault="00AC150B" w:rsidP="00AF11BC">
            <w:pPr>
              <w:widowControl w:val="0"/>
              <w:jc w:val="both"/>
              <w:rPr>
                <w:rFonts w:ascii="Cambria" w:hAnsi="Cambria"/>
                <w:sz w:val="20"/>
                <w:szCs w:val="20"/>
              </w:rPr>
            </w:pPr>
          </w:p>
          <w:p w14:paraId="75207DDC" w14:textId="77777777" w:rsidR="00AC150B" w:rsidRPr="004E13E9" w:rsidRDefault="00AC150B" w:rsidP="00AF11BC">
            <w:pPr>
              <w:widowControl w:val="0"/>
              <w:jc w:val="both"/>
              <w:rPr>
                <w:rFonts w:ascii="Cambria" w:hAnsi="Cambria"/>
                <w:sz w:val="20"/>
                <w:szCs w:val="20"/>
              </w:rPr>
            </w:pPr>
            <w:r w:rsidRPr="004E13E9">
              <w:rPr>
                <w:rFonts w:ascii="Cambria" w:hAnsi="Cambria"/>
                <w:sz w:val="20"/>
                <w:szCs w:val="20"/>
              </w:rPr>
              <w:t>Les navires de thon rouge opérant dans l'Atlantique Est sont autorisés à opérer pendant la période comprise entre le 1er janvier et le 31 mai.</w:t>
            </w:r>
          </w:p>
          <w:p w14:paraId="7A896A69" w14:textId="77777777" w:rsidR="00AC150B" w:rsidRPr="004E13E9" w:rsidRDefault="00AC150B" w:rsidP="00AF11BC">
            <w:pPr>
              <w:widowControl w:val="0"/>
              <w:jc w:val="both"/>
              <w:rPr>
                <w:rFonts w:ascii="Cambria" w:hAnsi="Cambria"/>
                <w:sz w:val="20"/>
                <w:szCs w:val="20"/>
              </w:rPr>
            </w:pPr>
          </w:p>
          <w:p w14:paraId="04C44A57" w14:textId="77777777" w:rsidR="00AC150B" w:rsidRPr="004E13E9" w:rsidRDefault="00AC150B" w:rsidP="00AF11BC">
            <w:pPr>
              <w:contextualSpacing/>
              <w:jc w:val="both"/>
              <w:rPr>
                <w:rFonts w:ascii="Cambria" w:hAnsi="Cambria"/>
                <w:color w:val="auto"/>
                <w:sz w:val="20"/>
                <w:szCs w:val="20"/>
              </w:rPr>
            </w:pPr>
            <w:r w:rsidRPr="004E13E9">
              <w:rPr>
                <w:rFonts w:ascii="Cambria" w:hAnsi="Cambria"/>
                <w:sz w:val="20"/>
                <w:szCs w:val="20"/>
              </w:rPr>
              <w:t xml:space="preserve">Les navires chinois commencent généralement à pêcher dans la zone délimitée à l'Ouest de 10°O et au Nord de 42° N en septembre, jusqu'à épuisement du quota ou avant le 31 janvier de l'année suivante. </w:t>
            </w:r>
          </w:p>
        </w:tc>
        <w:tc>
          <w:tcPr>
            <w:tcW w:w="3260" w:type="dxa"/>
            <w:tcBorders>
              <w:top w:val="single" w:sz="4" w:space="0" w:color="auto"/>
              <w:left w:val="single" w:sz="4" w:space="0" w:color="auto"/>
              <w:bottom w:val="single" w:sz="4" w:space="0" w:color="auto"/>
              <w:right w:val="single" w:sz="4" w:space="0" w:color="auto"/>
            </w:tcBorders>
            <w:hideMark/>
          </w:tcPr>
          <w:p w14:paraId="79649962"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t>1. Réglementation concernant la gestion des pêches hauturières</w:t>
            </w:r>
          </w:p>
          <w:p w14:paraId="235D4422"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t>2</w:t>
            </w:r>
            <w:r w:rsidRPr="004E13E9">
              <w:rPr>
                <w:rFonts w:ascii="Cambria" w:hAnsi="Cambria"/>
                <w:b/>
                <w:bCs/>
                <w:color w:val="auto"/>
                <w:sz w:val="20"/>
                <w:szCs w:val="20"/>
              </w:rPr>
              <w:t>.</w:t>
            </w:r>
            <w:r w:rsidRPr="004E13E9">
              <w:rPr>
                <w:rFonts w:ascii="Cambria" w:hAnsi="Cambria"/>
                <w:color w:val="auto"/>
                <w:sz w:val="20"/>
                <w:szCs w:val="20"/>
              </w:rPr>
              <w:t xml:space="preserve"> Notification publiée par le </w:t>
            </w:r>
            <w:r w:rsidRPr="004E13E9">
              <w:rPr>
                <w:rFonts w:ascii="Cambria" w:hAnsi="Cambria"/>
                <w:iCs/>
                <w:sz w:val="20"/>
              </w:rPr>
              <w:t xml:space="preserve">Bureau des pêches du </w:t>
            </w:r>
            <w:r w:rsidRPr="004E13E9">
              <w:rPr>
                <w:rFonts w:ascii="Cambria" w:hAnsi="Cambria"/>
                <w:color w:val="auto"/>
                <w:sz w:val="20"/>
                <w:szCs w:val="20"/>
              </w:rPr>
              <w:t>ministère de l'agriculture et des affaires rurales (</w:t>
            </w:r>
            <w:r w:rsidRPr="004E13E9">
              <w:rPr>
                <w:rFonts w:ascii="Cambria" w:hAnsi="Cambria"/>
                <w:iCs/>
                <w:sz w:val="20"/>
              </w:rPr>
              <w:t xml:space="preserve">numéro de série </w:t>
            </w:r>
            <w:proofErr w:type="spellStart"/>
            <w:r w:rsidRPr="004E13E9">
              <w:rPr>
                <w:rFonts w:ascii="Cambria" w:hAnsi="Cambria"/>
                <w:iCs/>
                <w:sz w:val="20"/>
              </w:rPr>
              <w:t>Nongyuyuanhan</w:t>
            </w:r>
            <w:proofErr w:type="spellEnd"/>
            <w:r w:rsidRPr="004E13E9">
              <w:rPr>
                <w:rFonts w:ascii="Cambria" w:hAnsi="Cambria"/>
                <w:iCs/>
                <w:sz w:val="20"/>
              </w:rPr>
              <w:t xml:space="preserve"> 2025-15) </w:t>
            </w:r>
            <w:r w:rsidRPr="004E13E9">
              <w:rPr>
                <w:rFonts w:ascii="Cambria" w:hAnsi="Cambria"/>
                <w:color w:val="auto"/>
                <w:sz w:val="20"/>
                <w:szCs w:val="20"/>
              </w:rPr>
              <w:t>sur le respect des mesures de conservation et de gestion adoptées par l’ICCAT.</w:t>
            </w:r>
          </w:p>
          <w:p w14:paraId="4C0B85D2" w14:textId="77777777" w:rsidR="00AC150B" w:rsidRPr="004E13E9" w:rsidRDefault="00AC150B" w:rsidP="00AF11BC">
            <w:pPr>
              <w:ind w:left="320" w:hanging="283"/>
              <w:contextualSpacing/>
              <w:jc w:val="both"/>
              <w:rPr>
                <w:rFonts w:ascii="Cambria" w:hAnsi="Cambria"/>
                <w:color w:val="auto"/>
                <w:sz w:val="20"/>
                <w:szCs w:val="20"/>
              </w:rPr>
            </w:pPr>
          </w:p>
          <w:p w14:paraId="7119AF57" w14:textId="77777777" w:rsidR="00AC150B" w:rsidRPr="004E13E9" w:rsidRDefault="00AC150B" w:rsidP="00AF11BC">
            <w:pPr>
              <w:contextualSpacing/>
              <w:jc w:val="both"/>
              <w:rPr>
                <w:rFonts w:ascii="Cambria" w:hAnsi="Cambria"/>
                <w:color w:val="auto"/>
                <w:sz w:val="20"/>
                <w:szCs w:val="20"/>
              </w:rPr>
            </w:pPr>
            <w:r w:rsidRPr="004E13E9">
              <w:rPr>
                <w:rFonts w:ascii="Cambria" w:hAnsi="Cambria"/>
                <w:color w:val="auto"/>
                <w:sz w:val="20"/>
                <w:szCs w:val="20"/>
              </w:rPr>
              <w:t>Section 5 - Zone de pêche et limitation et interdiction des engins : les saisons de pêche et la zone de pêche dans l'océan Atlantique devraient être du 1er août au 31 janvier l'année suivante, dans la zone délimitée.</w:t>
            </w:r>
          </w:p>
        </w:tc>
        <w:tc>
          <w:tcPr>
            <w:tcW w:w="964" w:type="dxa"/>
            <w:tcBorders>
              <w:top w:val="single" w:sz="4" w:space="0" w:color="auto"/>
              <w:left w:val="single" w:sz="4" w:space="0" w:color="auto"/>
              <w:bottom w:val="single" w:sz="4" w:space="0" w:color="auto"/>
              <w:right w:val="single" w:sz="4" w:space="0" w:color="auto"/>
            </w:tcBorders>
          </w:tcPr>
          <w:p w14:paraId="01688596" w14:textId="77777777" w:rsidR="00AC150B" w:rsidRPr="004E13E9" w:rsidRDefault="00AC150B" w:rsidP="00AF11BC">
            <w:pPr>
              <w:contextualSpacing/>
              <w:rPr>
                <w:rFonts w:ascii="Cambria" w:hAnsi="Cambria"/>
                <w:color w:val="auto"/>
                <w:sz w:val="20"/>
                <w:szCs w:val="20"/>
              </w:rPr>
            </w:pPr>
          </w:p>
        </w:tc>
      </w:tr>
      <w:tr w:rsidR="00AC150B" w:rsidRPr="00C712A4" w14:paraId="3071083D" w14:textId="77777777" w:rsidTr="002E1EDA">
        <w:tc>
          <w:tcPr>
            <w:tcW w:w="534" w:type="dxa"/>
            <w:tcBorders>
              <w:top w:val="single" w:sz="4" w:space="0" w:color="auto"/>
              <w:left w:val="single" w:sz="4" w:space="0" w:color="auto"/>
              <w:bottom w:val="single" w:sz="4" w:space="0" w:color="auto"/>
              <w:right w:val="single" w:sz="4" w:space="0" w:color="auto"/>
            </w:tcBorders>
            <w:hideMark/>
          </w:tcPr>
          <w:p w14:paraId="2CEC242B"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3</w:t>
            </w:r>
          </w:p>
        </w:tc>
        <w:tc>
          <w:tcPr>
            <w:tcW w:w="1701" w:type="dxa"/>
            <w:tcBorders>
              <w:top w:val="single" w:sz="4" w:space="0" w:color="auto"/>
              <w:left w:val="single" w:sz="4" w:space="0" w:color="auto"/>
              <w:bottom w:val="single" w:sz="4" w:space="0" w:color="auto"/>
              <w:right w:val="single" w:sz="4" w:space="0" w:color="auto"/>
            </w:tcBorders>
            <w:hideMark/>
          </w:tcPr>
          <w:p w14:paraId="7A345A2D"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Taille minimale</w:t>
            </w:r>
          </w:p>
          <w:p w14:paraId="45745CA8"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(paragraphes 33-35)</w:t>
            </w:r>
          </w:p>
        </w:tc>
        <w:tc>
          <w:tcPr>
            <w:tcW w:w="3147" w:type="dxa"/>
            <w:tcBorders>
              <w:top w:val="single" w:sz="4" w:space="0" w:color="auto"/>
              <w:left w:val="single" w:sz="4" w:space="0" w:color="auto"/>
              <w:bottom w:val="single" w:sz="4" w:space="0" w:color="auto"/>
              <w:right w:val="single" w:sz="4" w:space="0" w:color="auto"/>
            </w:tcBorders>
            <w:hideMark/>
          </w:tcPr>
          <w:p w14:paraId="1C137545" w14:textId="77777777" w:rsidR="00AC150B" w:rsidRPr="004E13E9" w:rsidRDefault="00AC150B" w:rsidP="00AF11BC">
            <w:pPr>
              <w:contextualSpacing/>
              <w:jc w:val="both"/>
              <w:rPr>
                <w:rFonts w:ascii="Cambria" w:hAnsi="Cambria"/>
                <w:color w:val="auto"/>
                <w:sz w:val="20"/>
                <w:szCs w:val="20"/>
              </w:rPr>
            </w:pPr>
            <w:r w:rsidRPr="004E13E9">
              <w:rPr>
                <w:rFonts w:ascii="Cambria" w:hAnsi="Cambria"/>
                <w:color w:val="auto"/>
                <w:sz w:val="20"/>
                <w:szCs w:val="20"/>
              </w:rPr>
              <w:t>Par le biais du programme d’observateurs et des carnets de pêche ainsi que des rapports de capture quotidiens/hebdomadaires/mensuels, nous avons pu contrôler la taille minimale et tout spécimen capturé inférieur à la taille minimale doit être remis à l'eau et enregistré. Nous établissons la limite de taille minimale, qui correspond aux dispositions de la Rec. 25-04, et nous interdisons de capturer, retenir, transborder, débarquer et vendre du thon rouge de moins de 30 kg ou 115 cm ; une tolérance de 5 % maximum est autorisée. Les prises rejetées sont également déduites de nos quotas.</w:t>
            </w:r>
          </w:p>
        </w:tc>
        <w:tc>
          <w:tcPr>
            <w:tcW w:w="3260" w:type="dxa"/>
            <w:tcBorders>
              <w:top w:val="single" w:sz="4" w:space="0" w:color="auto"/>
              <w:left w:val="single" w:sz="4" w:space="0" w:color="auto"/>
              <w:bottom w:val="single" w:sz="4" w:space="0" w:color="auto"/>
              <w:right w:val="single" w:sz="4" w:space="0" w:color="auto"/>
            </w:tcBorders>
            <w:hideMark/>
          </w:tcPr>
          <w:p w14:paraId="3186A28C"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t>1. Réglementation concernant la gestion des pêches hauturières</w:t>
            </w:r>
          </w:p>
          <w:p w14:paraId="15169D78"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t>2. Règlement sur la mise en œuvre du programme de gestion des observateurs nationaux.</w:t>
            </w:r>
          </w:p>
          <w:p w14:paraId="1FA3B872"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t xml:space="preserve">3. Notification publiée par le </w:t>
            </w:r>
            <w:r w:rsidRPr="004E13E9">
              <w:rPr>
                <w:rFonts w:ascii="Cambria" w:hAnsi="Cambria"/>
                <w:iCs/>
                <w:sz w:val="20"/>
              </w:rPr>
              <w:t xml:space="preserve">Bureau des pêches du </w:t>
            </w:r>
            <w:r w:rsidRPr="004E13E9">
              <w:rPr>
                <w:rFonts w:ascii="Cambria" w:hAnsi="Cambria"/>
                <w:color w:val="auto"/>
                <w:sz w:val="20"/>
                <w:szCs w:val="20"/>
              </w:rPr>
              <w:t>ministère de l'agriculture et des affaires rurales (</w:t>
            </w:r>
            <w:r w:rsidRPr="004E13E9">
              <w:rPr>
                <w:rFonts w:ascii="Cambria" w:hAnsi="Cambria"/>
                <w:iCs/>
                <w:sz w:val="20"/>
              </w:rPr>
              <w:t xml:space="preserve">numéro de série </w:t>
            </w:r>
            <w:proofErr w:type="spellStart"/>
            <w:r w:rsidRPr="004E13E9">
              <w:rPr>
                <w:rFonts w:ascii="Cambria" w:hAnsi="Cambria"/>
                <w:iCs/>
                <w:sz w:val="20"/>
              </w:rPr>
              <w:t>Nongyuyuanhan</w:t>
            </w:r>
            <w:proofErr w:type="spellEnd"/>
            <w:r w:rsidRPr="004E13E9">
              <w:rPr>
                <w:rFonts w:ascii="Cambria" w:hAnsi="Cambria"/>
                <w:iCs/>
                <w:sz w:val="20"/>
              </w:rPr>
              <w:t xml:space="preserve"> 2025-15) </w:t>
            </w:r>
            <w:r w:rsidRPr="004E13E9">
              <w:rPr>
                <w:rFonts w:ascii="Cambria" w:hAnsi="Cambria"/>
                <w:color w:val="auto"/>
                <w:sz w:val="20"/>
                <w:szCs w:val="20"/>
              </w:rPr>
              <w:t>sur le respect des mesures de conservation et de gestion adoptées par l’ICCAT.</w:t>
            </w:r>
          </w:p>
          <w:p w14:paraId="66E7BB90" w14:textId="77777777" w:rsidR="00AC150B" w:rsidRPr="004E13E9" w:rsidRDefault="00AC150B" w:rsidP="00AF11BC">
            <w:pPr>
              <w:ind w:left="320" w:hanging="320"/>
              <w:contextualSpacing/>
              <w:jc w:val="both"/>
              <w:rPr>
                <w:rFonts w:ascii="Cambria" w:hAnsi="Cambria"/>
                <w:color w:val="auto"/>
                <w:sz w:val="20"/>
                <w:szCs w:val="20"/>
              </w:rPr>
            </w:pPr>
          </w:p>
          <w:p w14:paraId="63136E75" w14:textId="77777777" w:rsidR="00AC150B" w:rsidRPr="004E13E9" w:rsidRDefault="00AC150B" w:rsidP="00AF11BC">
            <w:pPr>
              <w:contextualSpacing/>
              <w:jc w:val="both"/>
              <w:rPr>
                <w:rFonts w:ascii="Cambria" w:hAnsi="Cambria"/>
                <w:color w:val="auto"/>
                <w:sz w:val="20"/>
                <w:szCs w:val="20"/>
              </w:rPr>
            </w:pPr>
            <w:r w:rsidRPr="004E13E9">
              <w:rPr>
                <w:rFonts w:ascii="Cambria" w:hAnsi="Cambria"/>
                <w:color w:val="auto"/>
                <w:sz w:val="20"/>
                <w:szCs w:val="20"/>
              </w:rPr>
              <w:t>Section 6 - Les navires ciblant le thon rouge dans l'océan Atlantique doivent appliquer l’exigence de taille minimale.</w:t>
            </w:r>
          </w:p>
        </w:tc>
        <w:tc>
          <w:tcPr>
            <w:tcW w:w="964" w:type="dxa"/>
            <w:tcBorders>
              <w:top w:val="single" w:sz="4" w:space="0" w:color="auto"/>
              <w:left w:val="single" w:sz="4" w:space="0" w:color="auto"/>
              <w:bottom w:val="single" w:sz="4" w:space="0" w:color="auto"/>
              <w:right w:val="single" w:sz="4" w:space="0" w:color="auto"/>
            </w:tcBorders>
          </w:tcPr>
          <w:p w14:paraId="7B8174F6" w14:textId="77777777" w:rsidR="00AC150B" w:rsidRPr="004E13E9" w:rsidRDefault="00AC150B" w:rsidP="00AF11BC">
            <w:pPr>
              <w:contextualSpacing/>
              <w:rPr>
                <w:rFonts w:ascii="Cambria" w:hAnsi="Cambria"/>
                <w:color w:val="auto"/>
                <w:sz w:val="20"/>
                <w:szCs w:val="20"/>
              </w:rPr>
            </w:pPr>
          </w:p>
        </w:tc>
      </w:tr>
      <w:tr w:rsidR="00AC150B" w:rsidRPr="00C712A4" w14:paraId="101A1FCA" w14:textId="77777777" w:rsidTr="002E1EDA">
        <w:tc>
          <w:tcPr>
            <w:tcW w:w="534" w:type="dxa"/>
            <w:tcBorders>
              <w:top w:val="single" w:sz="4" w:space="0" w:color="auto"/>
              <w:left w:val="single" w:sz="4" w:space="0" w:color="auto"/>
              <w:bottom w:val="single" w:sz="4" w:space="0" w:color="auto"/>
              <w:right w:val="single" w:sz="4" w:space="0" w:color="auto"/>
            </w:tcBorders>
            <w:hideMark/>
          </w:tcPr>
          <w:p w14:paraId="7B55E433"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4</w:t>
            </w:r>
          </w:p>
        </w:tc>
        <w:tc>
          <w:tcPr>
            <w:tcW w:w="1701" w:type="dxa"/>
            <w:tcBorders>
              <w:top w:val="single" w:sz="4" w:space="0" w:color="auto"/>
              <w:left w:val="single" w:sz="4" w:space="0" w:color="auto"/>
              <w:bottom w:val="single" w:sz="4" w:space="0" w:color="auto"/>
              <w:right w:val="single" w:sz="4" w:space="0" w:color="auto"/>
            </w:tcBorders>
            <w:hideMark/>
          </w:tcPr>
          <w:p w14:paraId="292062C7" w14:textId="77777777" w:rsidR="00AC150B" w:rsidRPr="004E13E9" w:rsidRDefault="00AC150B" w:rsidP="00AF11BC">
            <w:pPr>
              <w:contextualSpacing/>
              <w:jc w:val="both"/>
              <w:rPr>
                <w:rFonts w:ascii="Cambria" w:hAnsi="Cambria"/>
                <w:b/>
                <w:color w:val="auto"/>
                <w:sz w:val="20"/>
                <w:szCs w:val="20"/>
              </w:rPr>
            </w:pPr>
            <w:r w:rsidRPr="004E13E9">
              <w:rPr>
                <w:rFonts w:ascii="Cambria" w:hAnsi="Cambria"/>
                <w:b/>
                <w:color w:val="auto"/>
                <w:sz w:val="20"/>
                <w:szCs w:val="20"/>
              </w:rPr>
              <w:t xml:space="preserve">Prises accessoires </w:t>
            </w:r>
          </w:p>
          <w:p w14:paraId="5A7A35A5" w14:textId="77777777" w:rsidR="00AC150B" w:rsidRPr="004E13E9" w:rsidRDefault="00AC150B" w:rsidP="00AF11BC">
            <w:pPr>
              <w:contextualSpacing/>
              <w:jc w:val="both"/>
              <w:rPr>
                <w:rFonts w:ascii="Cambria" w:hAnsi="Cambria"/>
                <w:b/>
                <w:color w:val="auto"/>
                <w:sz w:val="20"/>
                <w:szCs w:val="20"/>
              </w:rPr>
            </w:pPr>
            <w:r w:rsidRPr="004E13E9">
              <w:rPr>
                <w:rFonts w:ascii="Cambria" w:hAnsi="Cambria"/>
                <w:b/>
                <w:color w:val="auto"/>
                <w:sz w:val="20"/>
                <w:szCs w:val="20"/>
              </w:rPr>
              <w:t xml:space="preserve">(paragr. 37) </w:t>
            </w:r>
          </w:p>
        </w:tc>
        <w:tc>
          <w:tcPr>
            <w:tcW w:w="3147" w:type="dxa"/>
            <w:tcBorders>
              <w:top w:val="single" w:sz="4" w:space="0" w:color="auto"/>
              <w:left w:val="single" w:sz="4" w:space="0" w:color="auto"/>
              <w:bottom w:val="single" w:sz="4" w:space="0" w:color="auto"/>
              <w:right w:val="single" w:sz="4" w:space="0" w:color="auto"/>
            </w:tcBorders>
            <w:hideMark/>
          </w:tcPr>
          <w:p w14:paraId="1D68F47A" w14:textId="77777777" w:rsidR="00AC150B" w:rsidRPr="004E13E9" w:rsidRDefault="00AC150B" w:rsidP="00AF11BC">
            <w:pPr>
              <w:contextualSpacing/>
              <w:jc w:val="both"/>
              <w:rPr>
                <w:rFonts w:ascii="Cambria" w:hAnsi="Cambria"/>
                <w:color w:val="auto"/>
                <w:sz w:val="20"/>
                <w:szCs w:val="20"/>
              </w:rPr>
            </w:pPr>
            <w:r w:rsidRPr="004E13E9">
              <w:rPr>
                <w:rFonts w:ascii="Cambria" w:hAnsi="Cambria"/>
                <w:color w:val="auto"/>
                <w:sz w:val="20"/>
                <w:szCs w:val="20"/>
              </w:rPr>
              <w:t xml:space="preserve">Les prises accessoires ne sont pas autorisées pour tout autre navire de pêche. Il est interdit à tout navire autre que les navires de pêche au thon rouge de capturer, conserver et transborder du thon </w:t>
            </w:r>
            <w:r w:rsidRPr="004E13E9">
              <w:rPr>
                <w:rFonts w:ascii="Cambria" w:hAnsi="Cambria"/>
                <w:color w:val="auto"/>
                <w:sz w:val="20"/>
                <w:szCs w:val="20"/>
              </w:rPr>
              <w:lastRenderedPageBreak/>
              <w:t>rouge. Aucun eBCD ne sera émis pour tout thon rouge capturé par d'autres navires. Toutes les prises accessoires doivent être rejetées. Ces thons rouges rejetés seront déduits du quota de thon rouge de la Chine et ces données seront communiquées à l’ICCAT. La Chine n’a pas réalisé de prises accessoires ces dernières années. Toutefois, nous allouons toujours 0,51 t pour ce type de rejets de prises accessoires.</w:t>
            </w:r>
          </w:p>
        </w:tc>
        <w:tc>
          <w:tcPr>
            <w:tcW w:w="3260" w:type="dxa"/>
            <w:tcBorders>
              <w:top w:val="single" w:sz="4" w:space="0" w:color="auto"/>
              <w:left w:val="single" w:sz="4" w:space="0" w:color="auto"/>
              <w:bottom w:val="single" w:sz="4" w:space="0" w:color="auto"/>
              <w:right w:val="single" w:sz="4" w:space="0" w:color="auto"/>
            </w:tcBorders>
          </w:tcPr>
          <w:p w14:paraId="5E77B79F"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lastRenderedPageBreak/>
              <w:t>1. Réglementation concernant la gestion des pêches hauturières</w:t>
            </w:r>
          </w:p>
          <w:p w14:paraId="31CC3DA8"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t xml:space="preserve">2. Règlement sur la mise en œuvre de la gestion des observateurs nationaux, qui stipule que les navires de pêche thonière sont </w:t>
            </w:r>
            <w:r w:rsidRPr="004E13E9">
              <w:rPr>
                <w:rFonts w:ascii="Cambria" w:hAnsi="Cambria"/>
                <w:color w:val="auto"/>
                <w:sz w:val="20"/>
                <w:szCs w:val="20"/>
              </w:rPr>
              <w:lastRenderedPageBreak/>
              <w:t>tenus d'embarquer des observateurs nationaux conformément aux exigences des ORGP thonières.</w:t>
            </w:r>
          </w:p>
          <w:p w14:paraId="03662948"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t xml:space="preserve">3. Notification publiée par le </w:t>
            </w:r>
            <w:r w:rsidRPr="004E13E9">
              <w:rPr>
                <w:rFonts w:ascii="Cambria" w:hAnsi="Cambria"/>
                <w:iCs/>
                <w:sz w:val="20"/>
              </w:rPr>
              <w:t xml:space="preserve">Bureau des pêches du </w:t>
            </w:r>
            <w:r w:rsidRPr="004E13E9">
              <w:rPr>
                <w:rFonts w:ascii="Cambria" w:hAnsi="Cambria"/>
                <w:color w:val="auto"/>
                <w:sz w:val="20"/>
                <w:szCs w:val="20"/>
              </w:rPr>
              <w:t>ministère de l'agriculture et des affaires rurales (</w:t>
            </w:r>
            <w:r w:rsidRPr="004E13E9">
              <w:rPr>
                <w:rFonts w:ascii="Cambria" w:hAnsi="Cambria"/>
                <w:iCs/>
                <w:sz w:val="20"/>
              </w:rPr>
              <w:t xml:space="preserve">numéro de série </w:t>
            </w:r>
            <w:proofErr w:type="spellStart"/>
            <w:r w:rsidRPr="004E13E9">
              <w:rPr>
                <w:rFonts w:ascii="Cambria" w:hAnsi="Cambria"/>
                <w:iCs/>
                <w:sz w:val="20"/>
              </w:rPr>
              <w:t>Nongyuyuanhan</w:t>
            </w:r>
            <w:proofErr w:type="spellEnd"/>
            <w:r w:rsidRPr="004E13E9">
              <w:rPr>
                <w:rFonts w:ascii="Cambria" w:hAnsi="Cambria"/>
                <w:iCs/>
                <w:sz w:val="20"/>
              </w:rPr>
              <w:t xml:space="preserve"> 2025-15) </w:t>
            </w:r>
            <w:r w:rsidRPr="004E13E9">
              <w:rPr>
                <w:rFonts w:ascii="Cambria" w:hAnsi="Cambria"/>
                <w:color w:val="auto"/>
                <w:sz w:val="20"/>
                <w:szCs w:val="20"/>
              </w:rPr>
              <w:t>sur le respect des mesures de conservation et de gestion adoptées par l’ICCAT.</w:t>
            </w:r>
          </w:p>
          <w:p w14:paraId="014A5B12" w14:textId="77777777" w:rsidR="00AC150B" w:rsidRPr="004E13E9" w:rsidRDefault="00AC150B" w:rsidP="00AF11BC">
            <w:pPr>
              <w:contextualSpacing/>
              <w:jc w:val="both"/>
              <w:rPr>
                <w:rFonts w:ascii="Cambria" w:hAnsi="Cambria"/>
                <w:color w:val="auto"/>
                <w:sz w:val="20"/>
                <w:szCs w:val="20"/>
              </w:rPr>
            </w:pPr>
          </w:p>
          <w:p w14:paraId="1C945F96" w14:textId="77777777" w:rsidR="00AC150B" w:rsidRPr="004E13E9" w:rsidRDefault="00AC150B" w:rsidP="00AF11BC">
            <w:pPr>
              <w:contextualSpacing/>
              <w:jc w:val="both"/>
              <w:rPr>
                <w:rFonts w:ascii="Cambria" w:hAnsi="Cambria"/>
                <w:color w:val="auto"/>
                <w:sz w:val="20"/>
                <w:szCs w:val="20"/>
              </w:rPr>
            </w:pPr>
            <w:r w:rsidRPr="004E13E9">
              <w:rPr>
                <w:rFonts w:ascii="Cambria" w:hAnsi="Cambria"/>
                <w:color w:val="auto"/>
                <w:sz w:val="20"/>
                <w:szCs w:val="20"/>
              </w:rPr>
              <w:t>Section 4 - Quota de pêche : le thonier n'est pas autorisé à pêcher si aucun quota ne lui est alloué.</w:t>
            </w:r>
          </w:p>
        </w:tc>
        <w:tc>
          <w:tcPr>
            <w:tcW w:w="964" w:type="dxa"/>
            <w:tcBorders>
              <w:top w:val="single" w:sz="4" w:space="0" w:color="auto"/>
              <w:left w:val="single" w:sz="4" w:space="0" w:color="auto"/>
              <w:bottom w:val="single" w:sz="4" w:space="0" w:color="auto"/>
              <w:right w:val="single" w:sz="4" w:space="0" w:color="auto"/>
            </w:tcBorders>
          </w:tcPr>
          <w:p w14:paraId="0323D11E" w14:textId="77777777" w:rsidR="00AC150B" w:rsidRPr="004E13E9" w:rsidRDefault="00AC150B" w:rsidP="00AF11BC">
            <w:pPr>
              <w:contextualSpacing/>
              <w:rPr>
                <w:rFonts w:ascii="Cambria" w:hAnsi="Cambria"/>
                <w:color w:val="auto"/>
                <w:sz w:val="20"/>
                <w:szCs w:val="20"/>
              </w:rPr>
            </w:pPr>
          </w:p>
        </w:tc>
      </w:tr>
      <w:tr w:rsidR="00AC150B" w:rsidRPr="00C712A4" w14:paraId="77EB6806" w14:textId="77777777" w:rsidTr="002E1EDA">
        <w:tc>
          <w:tcPr>
            <w:tcW w:w="534" w:type="dxa"/>
            <w:tcBorders>
              <w:top w:val="single" w:sz="4" w:space="0" w:color="auto"/>
              <w:left w:val="single" w:sz="4" w:space="0" w:color="auto"/>
              <w:bottom w:val="single" w:sz="4" w:space="0" w:color="auto"/>
              <w:right w:val="single" w:sz="4" w:space="0" w:color="auto"/>
            </w:tcBorders>
            <w:hideMark/>
          </w:tcPr>
          <w:p w14:paraId="554246D6"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5</w:t>
            </w:r>
          </w:p>
        </w:tc>
        <w:tc>
          <w:tcPr>
            <w:tcW w:w="1701" w:type="dxa"/>
            <w:tcBorders>
              <w:top w:val="single" w:sz="4" w:space="0" w:color="auto"/>
              <w:left w:val="single" w:sz="4" w:space="0" w:color="auto"/>
              <w:bottom w:val="single" w:sz="4" w:space="0" w:color="auto"/>
              <w:right w:val="single" w:sz="4" w:space="0" w:color="auto"/>
            </w:tcBorders>
            <w:hideMark/>
          </w:tcPr>
          <w:p w14:paraId="6AA46CA6"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 xml:space="preserve">Pêcheries récréatives et sportives </w:t>
            </w:r>
          </w:p>
          <w:p w14:paraId="40E909DA" w14:textId="77777777" w:rsidR="00AC150B" w:rsidRPr="004E13E9" w:rsidRDefault="00AC150B" w:rsidP="00AF11BC">
            <w:pPr>
              <w:contextualSpacing/>
              <w:jc w:val="both"/>
              <w:rPr>
                <w:rFonts w:ascii="Cambria" w:hAnsi="Cambria"/>
                <w:b/>
                <w:color w:val="auto"/>
                <w:sz w:val="20"/>
                <w:szCs w:val="20"/>
              </w:rPr>
            </w:pPr>
            <w:r w:rsidRPr="004E13E9">
              <w:rPr>
                <w:rFonts w:ascii="Cambria" w:hAnsi="Cambria"/>
                <w:b/>
                <w:color w:val="auto"/>
                <w:sz w:val="20"/>
                <w:szCs w:val="20"/>
              </w:rPr>
              <w:t>(paragraphes 38-46)</w:t>
            </w:r>
          </w:p>
        </w:tc>
        <w:tc>
          <w:tcPr>
            <w:tcW w:w="3147" w:type="dxa"/>
            <w:tcBorders>
              <w:top w:val="single" w:sz="4" w:space="0" w:color="auto"/>
              <w:left w:val="single" w:sz="4" w:space="0" w:color="auto"/>
              <w:bottom w:val="single" w:sz="4" w:space="0" w:color="auto"/>
              <w:right w:val="single" w:sz="4" w:space="0" w:color="auto"/>
            </w:tcBorders>
            <w:hideMark/>
          </w:tcPr>
          <w:p w14:paraId="472BB91A" w14:textId="77777777" w:rsidR="00AC150B" w:rsidRPr="004E13E9" w:rsidRDefault="00AC150B" w:rsidP="00AF11BC">
            <w:pPr>
              <w:contextualSpacing/>
              <w:rPr>
                <w:rFonts w:ascii="Cambria" w:hAnsi="Cambria"/>
                <w:color w:val="auto"/>
                <w:sz w:val="20"/>
                <w:szCs w:val="20"/>
              </w:rPr>
            </w:pPr>
            <w:r w:rsidRPr="004E13E9">
              <w:rPr>
                <w:rFonts w:ascii="Cambria" w:hAnsi="Cambria"/>
                <w:color w:val="auto"/>
                <w:sz w:val="20"/>
                <w:szCs w:val="20"/>
              </w:rPr>
              <w:t>Non applicable car la Chine ne réalise pas cette pêcherie.</w:t>
            </w:r>
          </w:p>
        </w:tc>
        <w:tc>
          <w:tcPr>
            <w:tcW w:w="3260" w:type="dxa"/>
            <w:tcBorders>
              <w:top w:val="single" w:sz="4" w:space="0" w:color="auto"/>
              <w:left w:val="single" w:sz="4" w:space="0" w:color="auto"/>
              <w:bottom w:val="single" w:sz="4" w:space="0" w:color="auto"/>
              <w:right w:val="single" w:sz="4" w:space="0" w:color="auto"/>
            </w:tcBorders>
            <w:hideMark/>
          </w:tcPr>
          <w:p w14:paraId="7368EA2B" w14:textId="77777777" w:rsidR="00AC150B" w:rsidRPr="004E13E9" w:rsidRDefault="00AC150B" w:rsidP="00AF11BC">
            <w:pPr>
              <w:contextualSpacing/>
              <w:rPr>
                <w:rFonts w:ascii="Cambria" w:hAnsi="Cambria"/>
                <w:color w:val="auto"/>
                <w:sz w:val="20"/>
                <w:szCs w:val="20"/>
              </w:rPr>
            </w:pPr>
            <w:r w:rsidRPr="004E13E9">
              <w:rPr>
                <w:rFonts w:ascii="Cambria" w:hAnsi="Cambria"/>
                <w:color w:val="auto"/>
                <w:sz w:val="20"/>
                <w:szCs w:val="20"/>
              </w:rPr>
              <w:t>Non applicable car la Chine ne réalise pas cette pêcherie.</w:t>
            </w:r>
          </w:p>
        </w:tc>
        <w:tc>
          <w:tcPr>
            <w:tcW w:w="964" w:type="dxa"/>
            <w:tcBorders>
              <w:top w:val="single" w:sz="4" w:space="0" w:color="auto"/>
              <w:left w:val="single" w:sz="4" w:space="0" w:color="auto"/>
              <w:bottom w:val="single" w:sz="4" w:space="0" w:color="auto"/>
              <w:right w:val="single" w:sz="4" w:space="0" w:color="auto"/>
            </w:tcBorders>
          </w:tcPr>
          <w:p w14:paraId="1AEC57A7" w14:textId="77777777" w:rsidR="00AC150B" w:rsidRPr="004E13E9" w:rsidRDefault="00AC150B" w:rsidP="00AF11BC">
            <w:pPr>
              <w:contextualSpacing/>
              <w:rPr>
                <w:rFonts w:ascii="Cambria" w:hAnsi="Cambria"/>
                <w:color w:val="auto"/>
                <w:sz w:val="20"/>
                <w:szCs w:val="20"/>
              </w:rPr>
            </w:pPr>
          </w:p>
        </w:tc>
      </w:tr>
      <w:tr w:rsidR="00AC150B" w:rsidRPr="00C712A4" w14:paraId="34B72725" w14:textId="77777777" w:rsidTr="002E1EDA">
        <w:tc>
          <w:tcPr>
            <w:tcW w:w="534" w:type="dxa"/>
            <w:tcBorders>
              <w:top w:val="single" w:sz="4" w:space="0" w:color="auto"/>
              <w:left w:val="single" w:sz="4" w:space="0" w:color="auto"/>
              <w:bottom w:val="single" w:sz="4" w:space="0" w:color="auto"/>
              <w:right w:val="single" w:sz="4" w:space="0" w:color="auto"/>
            </w:tcBorders>
            <w:hideMark/>
          </w:tcPr>
          <w:p w14:paraId="1D029D87"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6</w:t>
            </w:r>
          </w:p>
        </w:tc>
        <w:tc>
          <w:tcPr>
            <w:tcW w:w="1701" w:type="dxa"/>
            <w:tcBorders>
              <w:top w:val="single" w:sz="4" w:space="0" w:color="auto"/>
              <w:left w:val="single" w:sz="4" w:space="0" w:color="auto"/>
              <w:bottom w:val="single" w:sz="4" w:space="0" w:color="auto"/>
              <w:right w:val="single" w:sz="4" w:space="0" w:color="auto"/>
            </w:tcBorders>
            <w:hideMark/>
          </w:tcPr>
          <w:p w14:paraId="0861F486"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 xml:space="preserve">Transbordement </w:t>
            </w:r>
          </w:p>
          <w:p w14:paraId="30EE802A"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 xml:space="preserve">(paragraphes 89-94) </w:t>
            </w:r>
          </w:p>
        </w:tc>
        <w:tc>
          <w:tcPr>
            <w:tcW w:w="3147" w:type="dxa"/>
            <w:tcBorders>
              <w:top w:val="single" w:sz="4" w:space="0" w:color="auto"/>
              <w:left w:val="single" w:sz="4" w:space="0" w:color="auto"/>
              <w:bottom w:val="single" w:sz="4" w:space="0" w:color="auto"/>
              <w:right w:val="single" w:sz="4" w:space="0" w:color="auto"/>
            </w:tcBorders>
            <w:hideMark/>
          </w:tcPr>
          <w:p w14:paraId="48B789AC" w14:textId="77777777" w:rsidR="00AC150B" w:rsidRPr="004E13E9" w:rsidRDefault="00AC150B" w:rsidP="00AF11BC">
            <w:pPr>
              <w:contextualSpacing/>
              <w:jc w:val="both"/>
              <w:rPr>
                <w:rFonts w:ascii="Cambria" w:hAnsi="Cambria"/>
                <w:color w:val="auto"/>
                <w:sz w:val="20"/>
                <w:szCs w:val="20"/>
              </w:rPr>
            </w:pPr>
            <w:r w:rsidRPr="004E13E9">
              <w:rPr>
                <w:rFonts w:ascii="Cambria" w:hAnsi="Cambria"/>
                <w:color w:val="auto"/>
                <w:sz w:val="20"/>
                <w:szCs w:val="20"/>
              </w:rPr>
              <w:t>Les navires de pêche de thon rouge ne peuvent transborder et/ou débarquer les prises de thon rouge que dans les ports désignés.</w:t>
            </w:r>
          </w:p>
          <w:p w14:paraId="44297116" w14:textId="77777777" w:rsidR="00AC150B" w:rsidRPr="004E13E9" w:rsidRDefault="00AC150B" w:rsidP="00AF11BC">
            <w:pPr>
              <w:contextualSpacing/>
              <w:jc w:val="both"/>
              <w:rPr>
                <w:rFonts w:ascii="Cambria" w:hAnsi="Cambria"/>
                <w:color w:val="auto"/>
                <w:sz w:val="20"/>
                <w:szCs w:val="20"/>
              </w:rPr>
            </w:pPr>
          </w:p>
          <w:p w14:paraId="04E43E86" w14:textId="77777777" w:rsidR="00AC150B" w:rsidRPr="004E13E9" w:rsidRDefault="00AC150B" w:rsidP="00AF11BC">
            <w:pPr>
              <w:contextualSpacing/>
              <w:jc w:val="both"/>
              <w:rPr>
                <w:rFonts w:ascii="Cambria" w:hAnsi="Cambria"/>
                <w:color w:val="auto"/>
                <w:sz w:val="20"/>
                <w:szCs w:val="20"/>
              </w:rPr>
            </w:pPr>
            <w:r w:rsidRPr="004E13E9">
              <w:rPr>
                <w:rFonts w:ascii="Cambria" w:hAnsi="Cambria"/>
                <w:color w:val="auto"/>
                <w:sz w:val="20"/>
                <w:szCs w:val="20"/>
              </w:rPr>
              <w:t>Le transbordement en mer n’est pas autorisé pour les navires de pêche de thon rouge.</w:t>
            </w:r>
          </w:p>
        </w:tc>
        <w:tc>
          <w:tcPr>
            <w:tcW w:w="3260" w:type="dxa"/>
            <w:tcBorders>
              <w:top w:val="single" w:sz="4" w:space="0" w:color="auto"/>
              <w:left w:val="single" w:sz="4" w:space="0" w:color="auto"/>
              <w:bottom w:val="single" w:sz="4" w:space="0" w:color="auto"/>
              <w:right w:val="single" w:sz="4" w:space="0" w:color="auto"/>
            </w:tcBorders>
            <w:hideMark/>
          </w:tcPr>
          <w:p w14:paraId="433F52E0"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t>1. Réglementation concernant la gestion des pêches hauturières</w:t>
            </w:r>
          </w:p>
          <w:p w14:paraId="6F5B3E0E"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t xml:space="preserve">2. Notification publiée par le </w:t>
            </w:r>
            <w:r w:rsidRPr="004E13E9">
              <w:rPr>
                <w:rFonts w:ascii="Cambria" w:hAnsi="Cambria"/>
                <w:iCs/>
                <w:sz w:val="20"/>
              </w:rPr>
              <w:t xml:space="preserve">Bureau des pêches du </w:t>
            </w:r>
            <w:r w:rsidRPr="004E13E9">
              <w:rPr>
                <w:rFonts w:ascii="Cambria" w:hAnsi="Cambria"/>
                <w:color w:val="auto"/>
                <w:sz w:val="20"/>
                <w:szCs w:val="20"/>
              </w:rPr>
              <w:t>ministère de l'agriculture et des affaires rurales (</w:t>
            </w:r>
            <w:r w:rsidRPr="004E13E9">
              <w:rPr>
                <w:rFonts w:ascii="Cambria" w:hAnsi="Cambria"/>
                <w:iCs/>
                <w:sz w:val="20"/>
              </w:rPr>
              <w:t xml:space="preserve">numéro de série </w:t>
            </w:r>
            <w:proofErr w:type="spellStart"/>
            <w:r w:rsidRPr="004E13E9">
              <w:rPr>
                <w:rFonts w:ascii="Cambria" w:hAnsi="Cambria"/>
                <w:iCs/>
                <w:sz w:val="20"/>
              </w:rPr>
              <w:t>Nongyuyuanhan</w:t>
            </w:r>
            <w:proofErr w:type="spellEnd"/>
            <w:r w:rsidRPr="004E13E9">
              <w:rPr>
                <w:rFonts w:ascii="Cambria" w:hAnsi="Cambria"/>
                <w:iCs/>
                <w:sz w:val="20"/>
              </w:rPr>
              <w:t xml:space="preserve"> 2025-15) </w:t>
            </w:r>
            <w:r w:rsidRPr="004E13E9">
              <w:rPr>
                <w:rFonts w:ascii="Cambria" w:hAnsi="Cambria"/>
                <w:color w:val="auto"/>
                <w:sz w:val="20"/>
                <w:szCs w:val="20"/>
              </w:rPr>
              <w:t>sur le respect des mesures de conservation et de gestion adoptées par l’ICCAT.</w:t>
            </w:r>
          </w:p>
          <w:p w14:paraId="1A688165" w14:textId="77777777" w:rsidR="00AC150B" w:rsidRPr="004E13E9" w:rsidRDefault="00AC150B" w:rsidP="00AF11BC">
            <w:pPr>
              <w:ind w:left="320" w:hanging="320"/>
              <w:contextualSpacing/>
              <w:jc w:val="both"/>
              <w:rPr>
                <w:rFonts w:ascii="Cambria" w:hAnsi="Cambria"/>
                <w:color w:val="auto"/>
                <w:sz w:val="20"/>
                <w:szCs w:val="20"/>
              </w:rPr>
            </w:pPr>
          </w:p>
          <w:p w14:paraId="3638BF28" w14:textId="77777777" w:rsidR="00AC150B" w:rsidRPr="004E13E9" w:rsidRDefault="00AC150B" w:rsidP="00AF11BC">
            <w:pPr>
              <w:contextualSpacing/>
              <w:jc w:val="both"/>
              <w:rPr>
                <w:rFonts w:ascii="Cambria" w:hAnsi="Cambria"/>
                <w:color w:val="auto"/>
                <w:sz w:val="20"/>
                <w:szCs w:val="20"/>
              </w:rPr>
            </w:pPr>
            <w:r w:rsidRPr="004E13E9">
              <w:rPr>
                <w:rFonts w:ascii="Cambria" w:hAnsi="Cambria"/>
                <w:color w:val="auto"/>
                <w:sz w:val="20"/>
                <w:szCs w:val="20"/>
              </w:rPr>
              <w:t>Section 8 -Transbordement : les palangriers ciblant le thon rouge de l'Atlantique ne sont autorisés à effectuer des transbordements et/ou des débarquements que dans les ports désignés, conformément aux exigences de l’ICCAT.</w:t>
            </w:r>
          </w:p>
        </w:tc>
        <w:tc>
          <w:tcPr>
            <w:tcW w:w="964" w:type="dxa"/>
            <w:tcBorders>
              <w:top w:val="single" w:sz="4" w:space="0" w:color="auto"/>
              <w:left w:val="single" w:sz="4" w:space="0" w:color="auto"/>
              <w:bottom w:val="single" w:sz="4" w:space="0" w:color="auto"/>
              <w:right w:val="single" w:sz="4" w:space="0" w:color="auto"/>
            </w:tcBorders>
          </w:tcPr>
          <w:p w14:paraId="3A0A359A" w14:textId="77777777" w:rsidR="00AC150B" w:rsidRPr="004E13E9" w:rsidRDefault="00AC150B" w:rsidP="00AF11BC">
            <w:pPr>
              <w:contextualSpacing/>
              <w:rPr>
                <w:rFonts w:ascii="Cambria" w:hAnsi="Cambria"/>
                <w:color w:val="auto"/>
                <w:sz w:val="20"/>
                <w:szCs w:val="20"/>
              </w:rPr>
            </w:pPr>
          </w:p>
        </w:tc>
      </w:tr>
      <w:tr w:rsidR="00AC150B" w:rsidRPr="00C712A4" w14:paraId="00207C94" w14:textId="77777777" w:rsidTr="002E1EDA">
        <w:tc>
          <w:tcPr>
            <w:tcW w:w="534" w:type="dxa"/>
            <w:tcBorders>
              <w:top w:val="single" w:sz="4" w:space="0" w:color="auto"/>
              <w:left w:val="single" w:sz="4" w:space="0" w:color="auto"/>
              <w:bottom w:val="single" w:sz="4" w:space="0" w:color="auto"/>
              <w:right w:val="single" w:sz="4" w:space="0" w:color="auto"/>
            </w:tcBorders>
            <w:hideMark/>
          </w:tcPr>
          <w:p w14:paraId="716573E1"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7</w:t>
            </w:r>
          </w:p>
        </w:tc>
        <w:tc>
          <w:tcPr>
            <w:tcW w:w="1701" w:type="dxa"/>
            <w:tcBorders>
              <w:top w:val="single" w:sz="4" w:space="0" w:color="auto"/>
              <w:left w:val="single" w:sz="4" w:space="0" w:color="auto"/>
              <w:bottom w:val="single" w:sz="4" w:space="0" w:color="auto"/>
              <w:right w:val="single" w:sz="4" w:space="0" w:color="auto"/>
            </w:tcBorders>
            <w:hideMark/>
          </w:tcPr>
          <w:p w14:paraId="5C1B7CD7"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VMS (paragraphes 222-228)</w:t>
            </w:r>
          </w:p>
        </w:tc>
        <w:tc>
          <w:tcPr>
            <w:tcW w:w="3147" w:type="dxa"/>
            <w:tcBorders>
              <w:top w:val="single" w:sz="4" w:space="0" w:color="auto"/>
              <w:left w:val="single" w:sz="4" w:space="0" w:color="auto"/>
              <w:bottom w:val="single" w:sz="4" w:space="0" w:color="auto"/>
              <w:right w:val="single" w:sz="4" w:space="0" w:color="auto"/>
            </w:tcBorders>
            <w:hideMark/>
          </w:tcPr>
          <w:p w14:paraId="259138EC" w14:textId="77777777" w:rsidR="00AC150B" w:rsidRPr="004E13E9" w:rsidRDefault="00AC150B" w:rsidP="00AF11BC">
            <w:pPr>
              <w:contextualSpacing/>
              <w:jc w:val="both"/>
              <w:rPr>
                <w:rFonts w:ascii="Cambria" w:hAnsi="Cambria"/>
                <w:color w:val="auto"/>
                <w:sz w:val="20"/>
                <w:szCs w:val="20"/>
              </w:rPr>
            </w:pPr>
            <w:r w:rsidRPr="004E13E9">
              <w:rPr>
                <w:rFonts w:ascii="Cambria" w:hAnsi="Cambria"/>
                <w:color w:val="auto"/>
                <w:sz w:val="20"/>
                <w:szCs w:val="20"/>
              </w:rPr>
              <w:t>Les données de VMS peuvent être transmises directement au Secrétariat comme requis et nous pouvons également localiser la position des navires grâce à notre plateforme VMS. À partir de notre plateforme, nous pouvons contrôler et examiner 24 positions, une fois par heure, ce qui est supérieur aux exigences de l’ICCAT.</w:t>
            </w:r>
          </w:p>
        </w:tc>
        <w:tc>
          <w:tcPr>
            <w:tcW w:w="3260" w:type="dxa"/>
            <w:tcBorders>
              <w:top w:val="single" w:sz="4" w:space="0" w:color="auto"/>
              <w:left w:val="single" w:sz="4" w:space="0" w:color="auto"/>
              <w:bottom w:val="single" w:sz="4" w:space="0" w:color="auto"/>
              <w:right w:val="single" w:sz="4" w:space="0" w:color="auto"/>
            </w:tcBorders>
            <w:hideMark/>
          </w:tcPr>
          <w:p w14:paraId="4F417007"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t xml:space="preserve">1. Réglementation concernant la gestion des pêches hauturières </w:t>
            </w:r>
          </w:p>
          <w:p w14:paraId="1C73A286"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t>2. Règlement sur la gestion du VMS, qui stipule que les navires doivent transmettre leur position une fois par heure.</w:t>
            </w:r>
          </w:p>
          <w:p w14:paraId="1B2EAA53"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t xml:space="preserve">3. Notification publiée par le </w:t>
            </w:r>
            <w:r w:rsidRPr="004E13E9">
              <w:rPr>
                <w:rFonts w:ascii="Cambria" w:hAnsi="Cambria"/>
                <w:iCs/>
                <w:sz w:val="20"/>
              </w:rPr>
              <w:t xml:space="preserve">Bureau des pêches du </w:t>
            </w:r>
            <w:r w:rsidRPr="004E13E9">
              <w:rPr>
                <w:rFonts w:ascii="Cambria" w:hAnsi="Cambria"/>
                <w:color w:val="auto"/>
                <w:sz w:val="20"/>
                <w:szCs w:val="20"/>
              </w:rPr>
              <w:t>ministère de l'agriculture et des affaires rurales (</w:t>
            </w:r>
            <w:r w:rsidRPr="004E13E9">
              <w:rPr>
                <w:rFonts w:ascii="Cambria" w:hAnsi="Cambria"/>
                <w:iCs/>
                <w:sz w:val="20"/>
              </w:rPr>
              <w:t xml:space="preserve">numéro de série </w:t>
            </w:r>
            <w:proofErr w:type="spellStart"/>
            <w:r w:rsidRPr="004E13E9">
              <w:rPr>
                <w:rFonts w:ascii="Cambria" w:hAnsi="Cambria"/>
                <w:iCs/>
                <w:sz w:val="20"/>
              </w:rPr>
              <w:t>Nongyuyuanhan</w:t>
            </w:r>
            <w:proofErr w:type="spellEnd"/>
            <w:r w:rsidRPr="004E13E9">
              <w:rPr>
                <w:rFonts w:ascii="Cambria" w:hAnsi="Cambria"/>
                <w:iCs/>
                <w:sz w:val="20"/>
              </w:rPr>
              <w:t xml:space="preserve"> 2025-15) </w:t>
            </w:r>
            <w:r w:rsidRPr="004E13E9">
              <w:rPr>
                <w:rFonts w:ascii="Cambria" w:hAnsi="Cambria"/>
                <w:color w:val="auto"/>
                <w:sz w:val="20"/>
                <w:szCs w:val="20"/>
              </w:rPr>
              <w:t>sur le respect des mesures de conservation et de gestion adoptées par l’ICCAT.</w:t>
            </w:r>
          </w:p>
          <w:p w14:paraId="6848FC1B" w14:textId="77777777" w:rsidR="00AC150B" w:rsidRPr="004E13E9" w:rsidRDefault="00AC150B" w:rsidP="00AF11BC">
            <w:pPr>
              <w:ind w:left="320" w:hanging="320"/>
              <w:contextualSpacing/>
              <w:jc w:val="both"/>
              <w:rPr>
                <w:rFonts w:ascii="Cambria" w:hAnsi="Cambria"/>
                <w:color w:val="auto"/>
                <w:sz w:val="8"/>
                <w:szCs w:val="8"/>
              </w:rPr>
            </w:pPr>
          </w:p>
          <w:p w14:paraId="52FC7C5D" w14:textId="77777777" w:rsidR="00AC150B" w:rsidRPr="004E13E9" w:rsidRDefault="00AC150B" w:rsidP="00AF11BC">
            <w:pPr>
              <w:ind w:left="33" w:hanging="33"/>
              <w:contextualSpacing/>
              <w:jc w:val="both"/>
              <w:rPr>
                <w:rFonts w:ascii="Cambria" w:hAnsi="Cambria"/>
                <w:color w:val="auto"/>
                <w:sz w:val="20"/>
                <w:szCs w:val="20"/>
              </w:rPr>
            </w:pPr>
            <w:r w:rsidRPr="004E13E9">
              <w:rPr>
                <w:rFonts w:ascii="Cambria" w:hAnsi="Cambria"/>
                <w:color w:val="auto"/>
                <w:sz w:val="20"/>
                <w:szCs w:val="20"/>
              </w:rPr>
              <w:t xml:space="preserve">Section 7 – Les données VMS </w:t>
            </w:r>
            <w:proofErr w:type="gramStart"/>
            <w:r w:rsidRPr="004E13E9">
              <w:rPr>
                <w:rFonts w:ascii="Cambria" w:hAnsi="Cambria"/>
                <w:color w:val="auto"/>
                <w:sz w:val="20"/>
                <w:szCs w:val="20"/>
              </w:rPr>
              <w:t>pourraient</w:t>
            </w:r>
            <w:proofErr w:type="gramEnd"/>
            <w:r w:rsidRPr="004E13E9">
              <w:rPr>
                <w:rFonts w:ascii="Cambria" w:hAnsi="Cambria"/>
                <w:color w:val="auto"/>
                <w:sz w:val="20"/>
                <w:szCs w:val="20"/>
              </w:rPr>
              <w:t xml:space="preserve"> être transmises directement au Secrétariat, le cas échéant.</w:t>
            </w:r>
          </w:p>
        </w:tc>
        <w:tc>
          <w:tcPr>
            <w:tcW w:w="964" w:type="dxa"/>
            <w:tcBorders>
              <w:top w:val="single" w:sz="4" w:space="0" w:color="auto"/>
              <w:left w:val="single" w:sz="4" w:space="0" w:color="auto"/>
              <w:bottom w:val="single" w:sz="4" w:space="0" w:color="auto"/>
              <w:right w:val="single" w:sz="4" w:space="0" w:color="auto"/>
            </w:tcBorders>
          </w:tcPr>
          <w:p w14:paraId="3B3BCC7C" w14:textId="77777777" w:rsidR="00AC150B" w:rsidRPr="004E13E9" w:rsidRDefault="00AC150B" w:rsidP="00AF11BC">
            <w:pPr>
              <w:contextualSpacing/>
              <w:rPr>
                <w:rFonts w:ascii="Cambria" w:hAnsi="Cambria"/>
                <w:color w:val="auto"/>
                <w:sz w:val="20"/>
                <w:szCs w:val="20"/>
              </w:rPr>
            </w:pPr>
          </w:p>
        </w:tc>
      </w:tr>
      <w:tr w:rsidR="00AC150B" w:rsidRPr="00C712A4" w14:paraId="2E68BFA7" w14:textId="77777777" w:rsidTr="002E1EDA">
        <w:tc>
          <w:tcPr>
            <w:tcW w:w="534" w:type="dxa"/>
            <w:tcBorders>
              <w:top w:val="single" w:sz="4" w:space="0" w:color="auto"/>
              <w:left w:val="single" w:sz="4" w:space="0" w:color="auto"/>
              <w:bottom w:val="single" w:sz="4" w:space="0" w:color="auto"/>
              <w:right w:val="single" w:sz="4" w:space="0" w:color="auto"/>
            </w:tcBorders>
            <w:hideMark/>
          </w:tcPr>
          <w:p w14:paraId="7957F0D6"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lastRenderedPageBreak/>
              <w:t>8</w:t>
            </w:r>
          </w:p>
        </w:tc>
        <w:tc>
          <w:tcPr>
            <w:tcW w:w="1701" w:type="dxa"/>
            <w:tcBorders>
              <w:top w:val="single" w:sz="4" w:space="0" w:color="auto"/>
              <w:left w:val="single" w:sz="4" w:space="0" w:color="auto"/>
              <w:bottom w:val="single" w:sz="4" w:space="0" w:color="auto"/>
              <w:right w:val="single" w:sz="4" w:space="0" w:color="auto"/>
            </w:tcBorders>
            <w:hideMark/>
          </w:tcPr>
          <w:p w14:paraId="3DBF2EFD"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 xml:space="preserve">Programme d’observateurs des CPC </w:t>
            </w:r>
          </w:p>
          <w:p w14:paraId="6A7A81B0"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(paragraphes 95-100)</w:t>
            </w:r>
          </w:p>
        </w:tc>
        <w:tc>
          <w:tcPr>
            <w:tcW w:w="3147" w:type="dxa"/>
            <w:tcBorders>
              <w:top w:val="single" w:sz="4" w:space="0" w:color="auto"/>
              <w:left w:val="single" w:sz="4" w:space="0" w:color="auto"/>
              <w:bottom w:val="single" w:sz="4" w:space="0" w:color="auto"/>
              <w:right w:val="single" w:sz="4" w:space="0" w:color="auto"/>
            </w:tcBorders>
            <w:hideMark/>
          </w:tcPr>
          <w:p w14:paraId="78CE3EB6" w14:textId="77777777" w:rsidR="00AC150B" w:rsidRPr="004E13E9" w:rsidRDefault="00AC150B" w:rsidP="00AF11BC">
            <w:pPr>
              <w:contextualSpacing/>
              <w:rPr>
                <w:rFonts w:ascii="Cambria" w:hAnsi="Cambria"/>
                <w:color w:val="auto"/>
                <w:sz w:val="20"/>
                <w:szCs w:val="20"/>
              </w:rPr>
            </w:pPr>
            <w:r w:rsidRPr="004E13E9">
              <w:rPr>
                <w:rFonts w:ascii="Cambria" w:hAnsi="Cambria"/>
                <w:color w:val="auto"/>
                <w:sz w:val="20"/>
                <w:szCs w:val="20"/>
              </w:rPr>
              <w:t>Une couverture d’observateurs d’au moins 20% sera mise en œuvre.</w:t>
            </w:r>
          </w:p>
        </w:tc>
        <w:tc>
          <w:tcPr>
            <w:tcW w:w="3260" w:type="dxa"/>
            <w:tcBorders>
              <w:top w:val="single" w:sz="4" w:space="0" w:color="auto"/>
              <w:left w:val="single" w:sz="4" w:space="0" w:color="auto"/>
              <w:bottom w:val="single" w:sz="4" w:space="0" w:color="auto"/>
              <w:right w:val="single" w:sz="4" w:space="0" w:color="auto"/>
            </w:tcBorders>
            <w:hideMark/>
          </w:tcPr>
          <w:p w14:paraId="1B48BD09"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t>1. Réglementation concernant la gestion des pêches hauturières</w:t>
            </w:r>
          </w:p>
          <w:p w14:paraId="5088D1EB"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t>2. Règlement sur le guide de mise en œuvre de la gestion des observateurs nationaux, qui stipule que les navires de pêche thonière sont tenus d'embarquer des observateurs nationaux conformément aux exigences des ORGP thonières.</w:t>
            </w:r>
          </w:p>
          <w:p w14:paraId="2BEA016F" w14:textId="77777777" w:rsidR="00AC150B" w:rsidRPr="004E13E9" w:rsidRDefault="00AC150B" w:rsidP="00AF11BC">
            <w:pPr>
              <w:ind w:left="320" w:hanging="320"/>
              <w:contextualSpacing/>
              <w:jc w:val="both"/>
              <w:rPr>
                <w:rFonts w:ascii="Cambria" w:hAnsi="Cambria"/>
                <w:color w:val="auto"/>
                <w:sz w:val="20"/>
                <w:szCs w:val="20"/>
              </w:rPr>
            </w:pPr>
            <w:r w:rsidRPr="004E13E9">
              <w:rPr>
                <w:rFonts w:ascii="Cambria" w:hAnsi="Cambria"/>
                <w:color w:val="auto"/>
                <w:sz w:val="20"/>
                <w:szCs w:val="20"/>
              </w:rPr>
              <w:t xml:space="preserve">3. Notification publiée par le </w:t>
            </w:r>
            <w:r w:rsidRPr="004E13E9">
              <w:rPr>
                <w:rFonts w:ascii="Cambria" w:hAnsi="Cambria"/>
                <w:iCs/>
                <w:sz w:val="20"/>
              </w:rPr>
              <w:t xml:space="preserve">Bureau des pêches du </w:t>
            </w:r>
            <w:r w:rsidRPr="004E13E9">
              <w:rPr>
                <w:rFonts w:ascii="Cambria" w:hAnsi="Cambria"/>
                <w:color w:val="auto"/>
                <w:sz w:val="20"/>
                <w:szCs w:val="20"/>
              </w:rPr>
              <w:t>ministère de l'agriculture et des affaires rurales (</w:t>
            </w:r>
            <w:r w:rsidRPr="004E13E9">
              <w:rPr>
                <w:rFonts w:ascii="Cambria" w:hAnsi="Cambria"/>
                <w:iCs/>
                <w:sz w:val="20"/>
              </w:rPr>
              <w:t xml:space="preserve">numéro de série </w:t>
            </w:r>
            <w:proofErr w:type="spellStart"/>
            <w:r w:rsidRPr="004E13E9">
              <w:rPr>
                <w:rFonts w:ascii="Cambria" w:hAnsi="Cambria"/>
                <w:iCs/>
                <w:sz w:val="20"/>
              </w:rPr>
              <w:t>Nongyuyuanhan</w:t>
            </w:r>
            <w:proofErr w:type="spellEnd"/>
            <w:r w:rsidRPr="004E13E9">
              <w:rPr>
                <w:rFonts w:ascii="Cambria" w:hAnsi="Cambria"/>
                <w:iCs/>
                <w:sz w:val="20"/>
              </w:rPr>
              <w:t xml:space="preserve"> 2025-15) </w:t>
            </w:r>
            <w:r w:rsidRPr="004E13E9">
              <w:rPr>
                <w:rFonts w:ascii="Cambria" w:hAnsi="Cambria"/>
                <w:color w:val="auto"/>
                <w:sz w:val="20"/>
                <w:szCs w:val="20"/>
              </w:rPr>
              <w:t>sur le respect des mesures de conservation et de gestion adoptées par l’ICCAT.</w:t>
            </w:r>
          </w:p>
          <w:p w14:paraId="4B45C9BA" w14:textId="77777777" w:rsidR="00AC150B" w:rsidRPr="004E13E9" w:rsidRDefault="00AC150B" w:rsidP="00AF11BC">
            <w:pPr>
              <w:ind w:left="320" w:hanging="320"/>
              <w:contextualSpacing/>
              <w:jc w:val="both"/>
              <w:rPr>
                <w:rFonts w:ascii="Cambria" w:hAnsi="Cambria"/>
                <w:color w:val="auto"/>
                <w:sz w:val="8"/>
                <w:szCs w:val="8"/>
              </w:rPr>
            </w:pPr>
          </w:p>
          <w:p w14:paraId="4F58CC92" w14:textId="77777777" w:rsidR="00AC150B" w:rsidRPr="004E13E9" w:rsidRDefault="00AC150B" w:rsidP="00AF11BC">
            <w:pPr>
              <w:ind w:left="33" w:hanging="33"/>
              <w:contextualSpacing/>
              <w:jc w:val="both"/>
              <w:rPr>
                <w:rFonts w:ascii="Cambria" w:hAnsi="Cambria"/>
                <w:color w:val="auto"/>
                <w:sz w:val="20"/>
                <w:szCs w:val="20"/>
              </w:rPr>
            </w:pPr>
            <w:r w:rsidRPr="004E13E9">
              <w:rPr>
                <w:rFonts w:ascii="Cambria" w:hAnsi="Cambria"/>
                <w:color w:val="auto"/>
                <w:sz w:val="20"/>
                <w:szCs w:val="20"/>
              </w:rPr>
              <w:t>Section 9 : exigences liées aux observateurs et à l’EMS.</w:t>
            </w:r>
          </w:p>
        </w:tc>
        <w:tc>
          <w:tcPr>
            <w:tcW w:w="964" w:type="dxa"/>
            <w:tcBorders>
              <w:top w:val="single" w:sz="4" w:space="0" w:color="auto"/>
              <w:left w:val="single" w:sz="4" w:space="0" w:color="auto"/>
              <w:bottom w:val="single" w:sz="4" w:space="0" w:color="auto"/>
              <w:right w:val="single" w:sz="4" w:space="0" w:color="auto"/>
            </w:tcBorders>
          </w:tcPr>
          <w:p w14:paraId="1CACDB60" w14:textId="77777777" w:rsidR="00AC150B" w:rsidRPr="004E13E9" w:rsidRDefault="00AC150B" w:rsidP="00AF11BC">
            <w:pPr>
              <w:contextualSpacing/>
              <w:rPr>
                <w:rFonts w:ascii="Cambria" w:hAnsi="Cambria"/>
                <w:color w:val="auto"/>
                <w:sz w:val="20"/>
                <w:szCs w:val="20"/>
              </w:rPr>
            </w:pPr>
          </w:p>
        </w:tc>
      </w:tr>
      <w:tr w:rsidR="00AC150B" w:rsidRPr="00C712A4" w14:paraId="750D7BAA" w14:textId="77777777" w:rsidTr="002E1EDA">
        <w:tc>
          <w:tcPr>
            <w:tcW w:w="534" w:type="dxa"/>
            <w:tcBorders>
              <w:top w:val="single" w:sz="4" w:space="0" w:color="auto"/>
              <w:left w:val="single" w:sz="4" w:space="0" w:color="auto"/>
              <w:bottom w:val="single" w:sz="4" w:space="0" w:color="auto"/>
              <w:right w:val="single" w:sz="4" w:space="0" w:color="auto"/>
            </w:tcBorders>
            <w:hideMark/>
          </w:tcPr>
          <w:p w14:paraId="038D31FA"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9</w:t>
            </w:r>
          </w:p>
        </w:tc>
        <w:tc>
          <w:tcPr>
            <w:tcW w:w="1701" w:type="dxa"/>
            <w:tcBorders>
              <w:top w:val="single" w:sz="4" w:space="0" w:color="auto"/>
              <w:left w:val="single" w:sz="4" w:space="0" w:color="auto"/>
              <w:bottom w:val="single" w:sz="4" w:space="0" w:color="auto"/>
              <w:right w:val="single" w:sz="4" w:space="0" w:color="auto"/>
            </w:tcBorders>
            <w:hideMark/>
          </w:tcPr>
          <w:p w14:paraId="5AC30229"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 xml:space="preserve">Programme d’observateurs régionaux </w:t>
            </w:r>
          </w:p>
          <w:p w14:paraId="0636BD88" w14:textId="77777777" w:rsidR="00AC150B" w:rsidRPr="004E13E9" w:rsidRDefault="00AC150B" w:rsidP="00AF11BC">
            <w:pPr>
              <w:contextualSpacing/>
              <w:rPr>
                <w:rFonts w:ascii="Cambria" w:hAnsi="Cambria"/>
                <w:b/>
                <w:color w:val="auto"/>
                <w:sz w:val="20"/>
                <w:szCs w:val="20"/>
              </w:rPr>
            </w:pPr>
            <w:r w:rsidRPr="004E13E9">
              <w:rPr>
                <w:rFonts w:ascii="Cambria" w:hAnsi="Cambria"/>
                <w:b/>
                <w:color w:val="auto"/>
                <w:sz w:val="20"/>
                <w:szCs w:val="20"/>
              </w:rPr>
              <w:t>(paragraphes 101-107)</w:t>
            </w:r>
          </w:p>
        </w:tc>
        <w:tc>
          <w:tcPr>
            <w:tcW w:w="3147" w:type="dxa"/>
            <w:tcBorders>
              <w:top w:val="single" w:sz="4" w:space="0" w:color="auto"/>
              <w:left w:val="single" w:sz="4" w:space="0" w:color="auto"/>
              <w:bottom w:val="single" w:sz="4" w:space="0" w:color="auto"/>
              <w:right w:val="single" w:sz="4" w:space="0" w:color="auto"/>
            </w:tcBorders>
            <w:hideMark/>
          </w:tcPr>
          <w:p w14:paraId="7D11CDB0" w14:textId="77777777" w:rsidR="00AC150B" w:rsidRPr="004E13E9" w:rsidRDefault="00AC150B" w:rsidP="00AF11BC">
            <w:pPr>
              <w:contextualSpacing/>
              <w:jc w:val="both"/>
              <w:rPr>
                <w:rFonts w:ascii="Cambria" w:hAnsi="Cambria"/>
                <w:color w:val="auto"/>
                <w:sz w:val="20"/>
                <w:szCs w:val="20"/>
              </w:rPr>
            </w:pPr>
            <w:r w:rsidRPr="004E13E9">
              <w:rPr>
                <w:rFonts w:ascii="Cambria" w:hAnsi="Cambria"/>
                <w:color w:val="auto"/>
                <w:sz w:val="20"/>
                <w:szCs w:val="20"/>
              </w:rPr>
              <w:t>Non applicable car la Chine n’a pas de senneurs et ne compte pas non plus d'activités de mise en cage et d’élevage.</w:t>
            </w:r>
          </w:p>
        </w:tc>
        <w:tc>
          <w:tcPr>
            <w:tcW w:w="3260" w:type="dxa"/>
            <w:tcBorders>
              <w:top w:val="single" w:sz="4" w:space="0" w:color="auto"/>
              <w:left w:val="single" w:sz="4" w:space="0" w:color="auto"/>
              <w:bottom w:val="single" w:sz="4" w:space="0" w:color="auto"/>
              <w:right w:val="single" w:sz="4" w:space="0" w:color="auto"/>
            </w:tcBorders>
            <w:hideMark/>
          </w:tcPr>
          <w:p w14:paraId="2F0CDD7D" w14:textId="77777777" w:rsidR="00AC150B" w:rsidRPr="004E13E9" w:rsidRDefault="00AC150B" w:rsidP="00304E87">
            <w:pPr>
              <w:contextualSpacing/>
              <w:jc w:val="both"/>
              <w:rPr>
                <w:rFonts w:ascii="Cambria" w:hAnsi="Cambria"/>
                <w:color w:val="auto"/>
                <w:sz w:val="20"/>
                <w:szCs w:val="20"/>
              </w:rPr>
            </w:pPr>
            <w:r w:rsidRPr="004E13E9">
              <w:rPr>
                <w:rFonts w:ascii="Cambria" w:hAnsi="Cambria"/>
                <w:color w:val="auto"/>
                <w:sz w:val="20"/>
                <w:szCs w:val="20"/>
              </w:rPr>
              <w:t>Non applicable car la Chine n’a pas de senneurs et ne compte pas non plus d'activités de mise en cage et d’élevage.</w:t>
            </w:r>
          </w:p>
        </w:tc>
        <w:tc>
          <w:tcPr>
            <w:tcW w:w="964" w:type="dxa"/>
            <w:tcBorders>
              <w:top w:val="single" w:sz="4" w:space="0" w:color="auto"/>
              <w:left w:val="single" w:sz="4" w:space="0" w:color="auto"/>
              <w:bottom w:val="single" w:sz="4" w:space="0" w:color="auto"/>
              <w:right w:val="single" w:sz="4" w:space="0" w:color="auto"/>
            </w:tcBorders>
          </w:tcPr>
          <w:p w14:paraId="1B99C454" w14:textId="77777777" w:rsidR="00AC150B" w:rsidRPr="004E13E9" w:rsidRDefault="00AC150B" w:rsidP="00AF11BC">
            <w:pPr>
              <w:contextualSpacing/>
              <w:rPr>
                <w:rFonts w:ascii="Cambria" w:hAnsi="Cambria"/>
                <w:color w:val="auto"/>
                <w:sz w:val="20"/>
                <w:szCs w:val="20"/>
              </w:rPr>
            </w:pPr>
          </w:p>
        </w:tc>
      </w:tr>
      <w:tr w:rsidR="00AC150B" w:rsidRPr="00C712A4" w14:paraId="45D1B052" w14:textId="77777777" w:rsidTr="002E1EDA">
        <w:tc>
          <w:tcPr>
            <w:tcW w:w="534" w:type="dxa"/>
            <w:tcBorders>
              <w:top w:val="single" w:sz="4" w:space="0" w:color="auto"/>
              <w:left w:val="single" w:sz="4" w:space="0" w:color="auto"/>
              <w:bottom w:val="single" w:sz="4" w:space="0" w:color="auto"/>
              <w:right w:val="single" w:sz="4" w:space="0" w:color="auto"/>
            </w:tcBorders>
            <w:hideMark/>
          </w:tcPr>
          <w:p w14:paraId="214E2EF5" w14:textId="77777777" w:rsidR="00AC150B" w:rsidRPr="004E13E9" w:rsidRDefault="00AC150B" w:rsidP="00AF11BC">
            <w:pPr>
              <w:contextualSpacing/>
              <w:rPr>
                <w:rFonts w:ascii="Cambria" w:hAnsi="Cambria"/>
                <w:b/>
                <w:bCs/>
                <w:iCs/>
                <w:color w:val="auto"/>
                <w:sz w:val="20"/>
                <w:szCs w:val="20"/>
              </w:rPr>
            </w:pPr>
            <w:r w:rsidRPr="004E13E9">
              <w:rPr>
                <w:rFonts w:ascii="Cambria" w:hAnsi="Cambria"/>
                <w:b/>
                <w:bCs/>
                <w:iCs/>
                <w:color w:val="auto"/>
                <w:sz w:val="20"/>
                <w:szCs w:val="20"/>
              </w:rPr>
              <w:t>10</w:t>
            </w:r>
          </w:p>
        </w:tc>
        <w:tc>
          <w:tcPr>
            <w:tcW w:w="1701" w:type="dxa"/>
            <w:tcBorders>
              <w:top w:val="single" w:sz="4" w:space="0" w:color="auto"/>
              <w:left w:val="single" w:sz="4" w:space="0" w:color="auto"/>
              <w:bottom w:val="single" w:sz="4" w:space="0" w:color="auto"/>
              <w:right w:val="single" w:sz="4" w:space="0" w:color="auto"/>
            </w:tcBorders>
            <w:hideMark/>
          </w:tcPr>
          <w:p w14:paraId="4F6C2CC4" w14:textId="77777777" w:rsidR="00AC150B" w:rsidRPr="004E13E9" w:rsidRDefault="00AC150B" w:rsidP="00AF11BC">
            <w:pPr>
              <w:contextualSpacing/>
              <w:rPr>
                <w:rFonts w:ascii="Cambria" w:hAnsi="Cambria"/>
                <w:b/>
                <w:bCs/>
                <w:iCs/>
                <w:color w:val="auto"/>
                <w:sz w:val="20"/>
                <w:szCs w:val="20"/>
              </w:rPr>
            </w:pPr>
            <w:r w:rsidRPr="004E13E9">
              <w:rPr>
                <w:rFonts w:ascii="Cambria" w:hAnsi="Cambria"/>
                <w:b/>
                <w:bCs/>
                <w:iCs/>
                <w:color w:val="auto"/>
                <w:sz w:val="20"/>
                <w:szCs w:val="20"/>
              </w:rPr>
              <w:t>Législation nationale</w:t>
            </w:r>
          </w:p>
        </w:tc>
        <w:tc>
          <w:tcPr>
            <w:tcW w:w="3147" w:type="dxa"/>
            <w:tcBorders>
              <w:top w:val="single" w:sz="4" w:space="0" w:color="auto"/>
              <w:left w:val="single" w:sz="4" w:space="0" w:color="auto"/>
              <w:bottom w:val="single" w:sz="4" w:space="0" w:color="auto"/>
              <w:right w:val="single" w:sz="4" w:space="0" w:color="auto"/>
            </w:tcBorders>
            <w:hideMark/>
          </w:tcPr>
          <w:p w14:paraId="03FE4B26" w14:textId="77777777" w:rsidR="00AC150B" w:rsidRPr="004E13E9" w:rsidRDefault="00AC150B" w:rsidP="00AF11BC">
            <w:pPr>
              <w:contextualSpacing/>
              <w:rPr>
                <w:rFonts w:ascii="Cambria" w:eastAsia="SimSun" w:hAnsi="Cambria"/>
                <w:color w:val="auto"/>
                <w:sz w:val="20"/>
                <w:szCs w:val="20"/>
              </w:rPr>
            </w:pPr>
            <w:r w:rsidRPr="004E13E9">
              <w:rPr>
                <w:rFonts w:ascii="Cambria" w:hAnsi="Cambria"/>
                <w:color w:val="auto"/>
                <w:sz w:val="20"/>
                <w:szCs w:val="20"/>
              </w:rPr>
              <w:t>La Chine a transposé les recommandations dans le droit national et la législation pertinente.</w:t>
            </w:r>
          </w:p>
        </w:tc>
        <w:tc>
          <w:tcPr>
            <w:tcW w:w="3260" w:type="dxa"/>
            <w:tcBorders>
              <w:top w:val="single" w:sz="4" w:space="0" w:color="auto"/>
              <w:left w:val="single" w:sz="4" w:space="0" w:color="auto"/>
              <w:bottom w:val="single" w:sz="4" w:space="0" w:color="auto"/>
              <w:right w:val="single" w:sz="4" w:space="0" w:color="auto"/>
            </w:tcBorders>
            <w:hideMark/>
          </w:tcPr>
          <w:p w14:paraId="4D95B284" w14:textId="77777777" w:rsidR="00AC150B" w:rsidRPr="004E13E9" w:rsidRDefault="00AC150B" w:rsidP="00487A5C">
            <w:pPr>
              <w:pStyle w:val="ListParagraph"/>
              <w:widowControl w:val="0"/>
              <w:numPr>
                <w:ilvl w:val="0"/>
                <w:numId w:val="14"/>
              </w:numPr>
              <w:spacing w:after="0" w:line="240" w:lineRule="auto"/>
              <w:jc w:val="both"/>
              <w:rPr>
                <w:rFonts w:ascii="Cambria" w:hAnsi="Cambria"/>
                <w:color w:val="auto"/>
                <w:sz w:val="20"/>
                <w:szCs w:val="20"/>
              </w:rPr>
            </w:pPr>
            <w:r w:rsidRPr="004E13E9">
              <w:rPr>
                <w:rFonts w:ascii="Cambria" w:hAnsi="Cambria"/>
                <w:color w:val="auto"/>
                <w:sz w:val="20"/>
                <w:szCs w:val="20"/>
              </w:rPr>
              <w:t>Réglementation concernant la gestion des pêches hauturières</w:t>
            </w:r>
          </w:p>
          <w:p w14:paraId="02EE5743" w14:textId="77777777" w:rsidR="00AC150B" w:rsidRPr="004E13E9" w:rsidRDefault="00AC150B" w:rsidP="00487A5C">
            <w:pPr>
              <w:pStyle w:val="ListParagraph"/>
              <w:widowControl w:val="0"/>
              <w:numPr>
                <w:ilvl w:val="0"/>
                <w:numId w:val="14"/>
              </w:numPr>
              <w:spacing w:after="0" w:line="240" w:lineRule="auto"/>
              <w:jc w:val="both"/>
              <w:rPr>
                <w:rFonts w:ascii="Cambria" w:hAnsi="Cambria"/>
                <w:color w:val="auto"/>
                <w:sz w:val="20"/>
                <w:szCs w:val="20"/>
              </w:rPr>
            </w:pPr>
            <w:r w:rsidRPr="004E13E9">
              <w:rPr>
                <w:rFonts w:ascii="Cambria" w:hAnsi="Cambria"/>
                <w:color w:val="auto"/>
                <w:sz w:val="20"/>
                <w:szCs w:val="20"/>
              </w:rPr>
              <w:t>Règlement sur la mise en œuvre du programme de gestion des observateurs nationaux.</w:t>
            </w:r>
          </w:p>
          <w:p w14:paraId="0C9648A2" w14:textId="77777777" w:rsidR="00AC150B" w:rsidRPr="004E13E9" w:rsidRDefault="00AC150B" w:rsidP="00487A5C">
            <w:pPr>
              <w:pStyle w:val="ListParagraph"/>
              <w:widowControl w:val="0"/>
              <w:numPr>
                <w:ilvl w:val="0"/>
                <w:numId w:val="14"/>
              </w:numPr>
              <w:spacing w:after="0" w:line="240" w:lineRule="auto"/>
              <w:jc w:val="both"/>
              <w:rPr>
                <w:rFonts w:ascii="Cambria" w:hAnsi="Cambria"/>
                <w:color w:val="auto"/>
                <w:sz w:val="20"/>
                <w:szCs w:val="20"/>
              </w:rPr>
            </w:pPr>
            <w:r w:rsidRPr="004E13E9">
              <w:rPr>
                <w:rFonts w:ascii="Cambria" w:hAnsi="Cambria"/>
                <w:color w:val="auto"/>
                <w:sz w:val="20"/>
                <w:szCs w:val="20"/>
              </w:rPr>
              <w:t>Règlement sur la gestion du VMS</w:t>
            </w:r>
          </w:p>
          <w:p w14:paraId="7C6D3788" w14:textId="77777777" w:rsidR="00AC150B" w:rsidRPr="004E13E9" w:rsidRDefault="00AC150B" w:rsidP="00487A5C">
            <w:pPr>
              <w:pStyle w:val="ListParagraph"/>
              <w:widowControl w:val="0"/>
              <w:numPr>
                <w:ilvl w:val="0"/>
                <w:numId w:val="14"/>
              </w:numPr>
              <w:spacing w:after="0" w:line="240" w:lineRule="auto"/>
              <w:jc w:val="both"/>
              <w:rPr>
                <w:rFonts w:ascii="Cambria" w:hAnsi="Cambria"/>
                <w:color w:val="auto"/>
                <w:sz w:val="20"/>
                <w:szCs w:val="20"/>
              </w:rPr>
            </w:pPr>
            <w:r w:rsidRPr="004E13E9">
              <w:rPr>
                <w:rFonts w:ascii="Cambria" w:hAnsi="Cambria"/>
                <w:color w:val="auto"/>
                <w:sz w:val="20"/>
                <w:szCs w:val="20"/>
              </w:rPr>
              <w:t xml:space="preserve">Notification publiée par le </w:t>
            </w:r>
            <w:r w:rsidRPr="004E13E9">
              <w:rPr>
                <w:rFonts w:ascii="Cambria" w:hAnsi="Cambria"/>
                <w:iCs/>
                <w:sz w:val="20"/>
              </w:rPr>
              <w:t xml:space="preserve">Bureau des pêches du </w:t>
            </w:r>
            <w:r w:rsidRPr="004E13E9">
              <w:rPr>
                <w:rFonts w:ascii="Cambria" w:hAnsi="Cambria"/>
                <w:color w:val="auto"/>
                <w:sz w:val="20"/>
                <w:szCs w:val="20"/>
              </w:rPr>
              <w:t>ministère de l'agriculture et des affaires rurales (</w:t>
            </w:r>
            <w:r w:rsidRPr="004E13E9">
              <w:rPr>
                <w:rFonts w:ascii="Cambria" w:hAnsi="Cambria"/>
                <w:iCs/>
                <w:sz w:val="20"/>
              </w:rPr>
              <w:t xml:space="preserve">numéro de série </w:t>
            </w:r>
            <w:proofErr w:type="spellStart"/>
            <w:r w:rsidRPr="004E13E9">
              <w:rPr>
                <w:rFonts w:ascii="Cambria" w:hAnsi="Cambria"/>
                <w:iCs/>
                <w:sz w:val="20"/>
              </w:rPr>
              <w:t>Nongyuyuanhan</w:t>
            </w:r>
            <w:proofErr w:type="spellEnd"/>
            <w:r w:rsidRPr="004E13E9">
              <w:rPr>
                <w:rFonts w:ascii="Cambria" w:hAnsi="Cambria"/>
                <w:iCs/>
                <w:sz w:val="20"/>
              </w:rPr>
              <w:t xml:space="preserve"> 2025-15) </w:t>
            </w:r>
            <w:r w:rsidRPr="004E13E9">
              <w:rPr>
                <w:rFonts w:ascii="Cambria" w:hAnsi="Cambria"/>
                <w:color w:val="auto"/>
                <w:sz w:val="20"/>
                <w:szCs w:val="20"/>
              </w:rPr>
              <w:t>sur le respect des mesures de conservation et de gestion adoptées par l’ICCAT</w:t>
            </w:r>
          </w:p>
        </w:tc>
        <w:tc>
          <w:tcPr>
            <w:tcW w:w="964" w:type="dxa"/>
            <w:tcBorders>
              <w:top w:val="single" w:sz="4" w:space="0" w:color="auto"/>
              <w:left w:val="single" w:sz="4" w:space="0" w:color="auto"/>
              <w:bottom w:val="single" w:sz="4" w:space="0" w:color="auto"/>
              <w:right w:val="single" w:sz="4" w:space="0" w:color="auto"/>
            </w:tcBorders>
          </w:tcPr>
          <w:p w14:paraId="04F85496" w14:textId="77777777" w:rsidR="00AC150B" w:rsidRPr="004E13E9" w:rsidRDefault="00AC150B" w:rsidP="00AF11BC">
            <w:pPr>
              <w:contextualSpacing/>
              <w:rPr>
                <w:rFonts w:ascii="Cambria" w:hAnsi="Cambria"/>
                <w:color w:val="auto"/>
                <w:sz w:val="20"/>
                <w:szCs w:val="20"/>
              </w:rPr>
            </w:pPr>
          </w:p>
        </w:tc>
      </w:tr>
      <w:tr w:rsidR="00AC150B" w:rsidRPr="00C712A4" w14:paraId="145131D8" w14:textId="77777777" w:rsidTr="002E1EDA">
        <w:tc>
          <w:tcPr>
            <w:tcW w:w="534" w:type="dxa"/>
            <w:tcBorders>
              <w:top w:val="single" w:sz="4" w:space="0" w:color="auto"/>
              <w:left w:val="single" w:sz="4" w:space="0" w:color="auto"/>
              <w:bottom w:val="single" w:sz="4" w:space="0" w:color="auto"/>
              <w:right w:val="single" w:sz="4" w:space="0" w:color="auto"/>
            </w:tcBorders>
          </w:tcPr>
          <w:p w14:paraId="18660B9D" w14:textId="77777777" w:rsidR="00AC150B" w:rsidRPr="004E13E9" w:rsidRDefault="00AC150B" w:rsidP="00AF11BC">
            <w:pPr>
              <w:contextualSpacing/>
              <w:rPr>
                <w:rFonts w:ascii="Cambria" w:hAnsi="Cambria"/>
                <w:i/>
                <w:color w:val="auto"/>
                <w:sz w:val="20"/>
                <w:szCs w:val="20"/>
              </w:rPr>
            </w:pPr>
          </w:p>
        </w:tc>
        <w:tc>
          <w:tcPr>
            <w:tcW w:w="1701" w:type="dxa"/>
            <w:tcBorders>
              <w:top w:val="single" w:sz="4" w:space="0" w:color="auto"/>
              <w:left w:val="single" w:sz="4" w:space="0" w:color="auto"/>
              <w:bottom w:val="single" w:sz="4" w:space="0" w:color="auto"/>
              <w:right w:val="single" w:sz="4" w:space="0" w:color="auto"/>
            </w:tcBorders>
            <w:hideMark/>
          </w:tcPr>
          <w:p w14:paraId="1DD84700" w14:textId="77777777" w:rsidR="00AC150B" w:rsidRPr="004E13E9" w:rsidRDefault="00AC150B" w:rsidP="00AF11BC">
            <w:pPr>
              <w:contextualSpacing/>
              <w:rPr>
                <w:rFonts w:ascii="Cambria" w:hAnsi="Cambria"/>
                <w:i/>
                <w:color w:val="auto"/>
                <w:sz w:val="20"/>
                <w:szCs w:val="20"/>
              </w:rPr>
            </w:pPr>
            <w:r w:rsidRPr="004E13E9">
              <w:rPr>
                <w:rFonts w:ascii="Cambria" w:hAnsi="Cambria"/>
                <w:i/>
                <w:color w:val="auto"/>
                <w:sz w:val="20"/>
                <w:szCs w:val="20"/>
              </w:rPr>
              <w:t>Autres exigences, telles que :</w:t>
            </w:r>
          </w:p>
          <w:p w14:paraId="684EE00C" w14:textId="16DF2AE4" w:rsidR="00AC150B" w:rsidRPr="004E13E9" w:rsidRDefault="00AC150B" w:rsidP="00BA21B7">
            <w:pPr>
              <w:contextualSpacing/>
              <w:rPr>
                <w:rFonts w:ascii="Cambria" w:hAnsi="Cambria"/>
                <w:i/>
                <w:color w:val="auto"/>
                <w:sz w:val="20"/>
                <w:szCs w:val="20"/>
              </w:rPr>
            </w:pPr>
            <w:r w:rsidRPr="004E13E9">
              <w:rPr>
                <w:rFonts w:ascii="Cambria" w:hAnsi="Cambria"/>
                <w:i/>
                <w:color w:val="auto"/>
                <w:sz w:val="20"/>
                <w:szCs w:val="20"/>
              </w:rPr>
              <w:t>Programme de marquage</w:t>
            </w:r>
            <w:r w:rsidR="00BA21B7" w:rsidRPr="004E13E9">
              <w:rPr>
                <w:rFonts w:ascii="Cambria" w:hAnsi="Cambria"/>
                <w:i/>
                <w:color w:val="auto"/>
                <w:sz w:val="20"/>
                <w:szCs w:val="20"/>
              </w:rPr>
              <w:t xml:space="preserve"> </w:t>
            </w:r>
            <w:r w:rsidRPr="004E13E9">
              <w:rPr>
                <w:rFonts w:ascii="Cambria" w:hAnsi="Cambria"/>
                <w:i/>
                <w:color w:val="auto"/>
                <w:sz w:val="20"/>
                <w:szCs w:val="20"/>
              </w:rPr>
              <w:t>(paragraphe 44), etc.</w:t>
            </w:r>
          </w:p>
        </w:tc>
        <w:tc>
          <w:tcPr>
            <w:tcW w:w="3147" w:type="dxa"/>
            <w:tcBorders>
              <w:top w:val="single" w:sz="4" w:space="0" w:color="auto"/>
              <w:left w:val="single" w:sz="4" w:space="0" w:color="auto"/>
              <w:bottom w:val="single" w:sz="4" w:space="0" w:color="auto"/>
              <w:right w:val="single" w:sz="4" w:space="0" w:color="auto"/>
            </w:tcBorders>
            <w:hideMark/>
          </w:tcPr>
          <w:p w14:paraId="34F617A8" w14:textId="77777777" w:rsidR="00AC150B" w:rsidRPr="004E13E9" w:rsidRDefault="00AC150B" w:rsidP="00AF11BC">
            <w:pPr>
              <w:contextualSpacing/>
              <w:jc w:val="both"/>
              <w:rPr>
                <w:rFonts w:ascii="Cambria" w:hAnsi="Cambria"/>
                <w:color w:val="auto"/>
                <w:sz w:val="20"/>
                <w:szCs w:val="20"/>
              </w:rPr>
            </w:pPr>
            <w:r w:rsidRPr="004E13E9">
              <w:rPr>
                <w:rFonts w:ascii="Cambria" w:hAnsi="Cambria"/>
                <w:color w:val="auto"/>
                <w:sz w:val="20"/>
                <w:szCs w:val="20"/>
              </w:rPr>
              <w:t>Chaque thon rouge portera une marque munie d'un numéro unique.</w:t>
            </w:r>
          </w:p>
        </w:tc>
        <w:tc>
          <w:tcPr>
            <w:tcW w:w="3260" w:type="dxa"/>
            <w:tcBorders>
              <w:top w:val="single" w:sz="4" w:space="0" w:color="auto"/>
              <w:left w:val="single" w:sz="4" w:space="0" w:color="auto"/>
              <w:bottom w:val="single" w:sz="4" w:space="0" w:color="auto"/>
              <w:right w:val="single" w:sz="4" w:space="0" w:color="auto"/>
            </w:tcBorders>
            <w:hideMark/>
          </w:tcPr>
          <w:p w14:paraId="5FF66611" w14:textId="77777777" w:rsidR="00AC150B" w:rsidRPr="004E13E9" w:rsidRDefault="00AC150B" w:rsidP="002E7D5E">
            <w:pPr>
              <w:contextualSpacing/>
              <w:jc w:val="both"/>
              <w:rPr>
                <w:rFonts w:ascii="Cambria" w:hAnsi="Cambria"/>
                <w:color w:val="auto"/>
                <w:sz w:val="20"/>
                <w:szCs w:val="20"/>
              </w:rPr>
            </w:pPr>
            <w:r w:rsidRPr="004E13E9">
              <w:rPr>
                <w:rFonts w:ascii="Cambria" w:hAnsi="Cambria"/>
                <w:color w:val="auto"/>
                <w:sz w:val="20"/>
                <w:szCs w:val="20"/>
              </w:rPr>
              <w:t>Sur la base de la loi sur la pêche de la Chine, l'autorité chinoise compétente en matière de pêche a notifié à la société concernée cette exigence concernant le thon rouge de l’ICCAT.</w:t>
            </w:r>
          </w:p>
        </w:tc>
        <w:tc>
          <w:tcPr>
            <w:tcW w:w="964" w:type="dxa"/>
            <w:tcBorders>
              <w:top w:val="single" w:sz="4" w:space="0" w:color="auto"/>
              <w:left w:val="single" w:sz="4" w:space="0" w:color="auto"/>
              <w:bottom w:val="single" w:sz="4" w:space="0" w:color="auto"/>
              <w:right w:val="single" w:sz="4" w:space="0" w:color="auto"/>
            </w:tcBorders>
          </w:tcPr>
          <w:p w14:paraId="0AB67272" w14:textId="77777777" w:rsidR="00AC150B" w:rsidRPr="004E13E9" w:rsidRDefault="00AC150B" w:rsidP="00AF11BC">
            <w:pPr>
              <w:contextualSpacing/>
              <w:rPr>
                <w:rFonts w:ascii="Cambria" w:hAnsi="Cambria"/>
                <w:color w:val="auto"/>
                <w:sz w:val="20"/>
                <w:szCs w:val="20"/>
              </w:rPr>
            </w:pPr>
          </w:p>
        </w:tc>
      </w:tr>
    </w:tbl>
    <w:p w14:paraId="09F1E850" w14:textId="77777777" w:rsidR="00AC150B" w:rsidRPr="004E13E9" w:rsidRDefault="00AC150B" w:rsidP="00AC150B">
      <w:pPr>
        <w:rPr>
          <w:b/>
          <w:i/>
          <w:iCs/>
          <w:sz w:val="8"/>
          <w:szCs w:val="8"/>
          <w:lang w:val="fr-FR"/>
        </w:rPr>
      </w:pPr>
    </w:p>
    <w:p w14:paraId="206A0B6C" w14:textId="77777777" w:rsidR="00AC150B" w:rsidRPr="004E13E9" w:rsidRDefault="00AC150B" w:rsidP="00AC150B">
      <w:pPr>
        <w:rPr>
          <w:b/>
          <w:i/>
          <w:iCs/>
          <w:lang w:val="fr-FR"/>
        </w:rPr>
      </w:pPr>
      <w:r w:rsidRPr="004E13E9">
        <w:rPr>
          <w:b/>
          <w:i/>
          <w:iCs/>
          <w:lang w:val="fr-FR"/>
        </w:rPr>
        <w:t>1e) Ports désignés (paragraphe 80)</w:t>
      </w:r>
    </w:p>
    <w:p w14:paraId="1F44F738" w14:textId="77777777" w:rsidR="00AC150B" w:rsidRPr="004E13E9" w:rsidRDefault="00AC150B" w:rsidP="00AC150B">
      <w:pPr>
        <w:contextualSpacing/>
        <w:jc w:val="both"/>
        <w:rPr>
          <w:iCs/>
          <w:lang w:val="fr-FR" w:eastAsia="fr-FR"/>
        </w:rPr>
      </w:pPr>
      <w:r w:rsidRPr="004E13E9">
        <w:rPr>
          <w:iCs/>
          <w:lang w:val="fr-FR"/>
        </w:rPr>
        <w:t xml:space="preserve">Ces navires peuvent procéder à des activités de débarquement ou de transbordement uniquement dans les ports désignés autorisés par l’ICCAT. La Chine a l’intention d’utiliser le port de Dakar (Sénégal), </w:t>
      </w:r>
      <w:proofErr w:type="spellStart"/>
      <w:r w:rsidRPr="004E13E9">
        <w:rPr>
          <w:iCs/>
          <w:lang w:val="fr-FR"/>
        </w:rPr>
        <w:t>Mindelo</w:t>
      </w:r>
      <w:proofErr w:type="spellEnd"/>
      <w:r w:rsidRPr="004E13E9">
        <w:rPr>
          <w:iCs/>
          <w:lang w:val="fr-FR"/>
        </w:rPr>
        <w:t xml:space="preserve"> (Cabo Verde) et Las Palmas (Espagne). </w:t>
      </w:r>
      <w:r w:rsidRPr="004E13E9">
        <w:rPr>
          <w:lang w:val="fr-FR"/>
        </w:rPr>
        <w:t>Les navires sont tenus de respecter la réglementation fixée par la CPC du port.</w:t>
      </w:r>
    </w:p>
    <w:p w14:paraId="33CCCFAC" w14:textId="77777777" w:rsidR="00AC150B" w:rsidRPr="004E13E9" w:rsidRDefault="00AC150B" w:rsidP="00AC150B">
      <w:pPr>
        <w:contextualSpacing/>
        <w:rPr>
          <w:bCs/>
          <w:lang w:val="fr-FR" w:eastAsia="ja-JP"/>
        </w:rPr>
      </w:pPr>
    </w:p>
    <w:p w14:paraId="5347D964" w14:textId="77777777" w:rsidR="00AC150B" w:rsidRPr="004E13E9" w:rsidRDefault="00AC150B" w:rsidP="00AC150B">
      <w:pPr>
        <w:contextualSpacing/>
        <w:rPr>
          <w:b/>
          <w:lang w:val="fr-FR" w:eastAsia="ja-JP"/>
        </w:rPr>
      </w:pPr>
    </w:p>
    <w:p w14:paraId="066BBE5A" w14:textId="77777777" w:rsidR="00AC150B" w:rsidRPr="004E13E9" w:rsidRDefault="00AC150B" w:rsidP="00AC150B">
      <w:pPr>
        <w:widowControl w:val="0"/>
        <w:ind w:left="426" w:hanging="426"/>
        <w:jc w:val="both"/>
        <w:rPr>
          <w:rFonts w:eastAsia="MS Gothic" w:cs="Times New Roman"/>
          <w:b/>
          <w:lang w:val="fr-FR" w:eastAsia="fr-FR" w:bidi="fr-FR"/>
        </w:rPr>
      </w:pPr>
      <w:bookmarkStart w:id="10" w:name="_Hlk189650145"/>
      <w:r w:rsidRPr="004E13E9">
        <w:rPr>
          <w:rFonts w:eastAsia="MS Gothic" w:cs="Times New Roman"/>
          <w:b/>
          <w:lang w:val="fr-FR" w:eastAsia="fr-FR" w:bidi="fr-FR"/>
        </w:rPr>
        <w:t>2.</w:t>
      </w:r>
      <w:r w:rsidRPr="004E13E9">
        <w:rPr>
          <w:rFonts w:eastAsia="MS Gothic" w:cs="Times New Roman"/>
          <w:b/>
          <w:lang w:val="fr-FR" w:eastAsia="fr-FR" w:bidi="fr-FR"/>
        </w:rPr>
        <w:tab/>
        <w:t>Plan annuel de gestion de la capacité de pêche (paragraphes 14-21)</w:t>
      </w:r>
    </w:p>
    <w:bookmarkEnd w:id="10"/>
    <w:p w14:paraId="6E72412F" w14:textId="77777777" w:rsidR="00AC150B" w:rsidRPr="004E13E9" w:rsidRDefault="00AC150B" w:rsidP="00AC150B">
      <w:pPr>
        <w:contextualSpacing/>
        <w:rPr>
          <w:b/>
          <w:lang w:val="fr-FR"/>
        </w:rPr>
      </w:pPr>
    </w:p>
    <w:p w14:paraId="303B94A6" w14:textId="77777777" w:rsidR="00AC150B" w:rsidRPr="004E13E9" w:rsidRDefault="00AC150B" w:rsidP="00AC150B">
      <w:pPr>
        <w:contextualSpacing/>
        <w:rPr>
          <w:iCs/>
          <w:lang w:val="fr-FR"/>
        </w:rPr>
      </w:pPr>
      <w:r w:rsidRPr="004E13E9">
        <w:rPr>
          <w:iCs/>
          <w:lang w:val="fr-FR"/>
        </w:rPr>
        <w:t>Veuillez consulter la pièce jointe.</w:t>
      </w:r>
    </w:p>
    <w:p w14:paraId="78C25F6C" w14:textId="77777777" w:rsidR="00AC150B" w:rsidRPr="004E13E9" w:rsidRDefault="00AC150B" w:rsidP="00AC150B">
      <w:pPr>
        <w:contextualSpacing/>
        <w:rPr>
          <w:iCs/>
          <w:sz w:val="8"/>
          <w:szCs w:val="8"/>
          <w:lang w:val="fr-FR"/>
        </w:rPr>
      </w:pPr>
    </w:p>
    <w:p w14:paraId="450F8F57" w14:textId="4FFF33D3" w:rsidR="00BA21B7" w:rsidRPr="004E13E9" w:rsidRDefault="00AC150B">
      <w:pPr>
        <w:contextualSpacing/>
        <w:rPr>
          <w:iCs/>
          <w:lang w:val="fr-FR"/>
        </w:rPr>
      </w:pPr>
      <w:r w:rsidRPr="004E13E9">
        <w:rPr>
          <w:iCs/>
          <w:lang w:val="fr-FR"/>
        </w:rPr>
        <w:t>En raison de l’augmentation du quota, la Chine enverra un autre palangrier.</w:t>
      </w:r>
      <w:bookmarkStart w:id="11" w:name="_Hlk189650150"/>
    </w:p>
    <w:p w14:paraId="59BB6F55" w14:textId="77777777" w:rsidR="006834F8" w:rsidRPr="004E13E9" w:rsidRDefault="006834F8">
      <w:pPr>
        <w:contextualSpacing/>
        <w:rPr>
          <w:rFonts w:eastAsia="MS Gothic" w:cs="Times New Roman"/>
          <w:b/>
          <w:lang w:val="fr-FR" w:eastAsia="fr-FR" w:bidi="fr-FR"/>
        </w:rPr>
      </w:pPr>
    </w:p>
    <w:p w14:paraId="296540C5" w14:textId="41F3E7C7" w:rsidR="00AC150B" w:rsidRPr="004E13E9" w:rsidRDefault="00AC150B" w:rsidP="00AC150B">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lastRenderedPageBreak/>
        <w:t>3.</w:t>
      </w:r>
      <w:r w:rsidRPr="004E13E9">
        <w:rPr>
          <w:rFonts w:eastAsia="MS Gothic" w:cs="Times New Roman"/>
          <w:b/>
          <w:lang w:val="fr-FR" w:eastAsia="fr-FR" w:bidi="fr-FR"/>
        </w:rPr>
        <w:tab/>
        <w:t>Plan annuel de gestion de l’élevage (paragraphes 22 et 23, le cas échéant)</w:t>
      </w:r>
    </w:p>
    <w:bookmarkEnd w:id="11"/>
    <w:p w14:paraId="2C72815C" w14:textId="77777777" w:rsidR="00AC150B" w:rsidRPr="004E13E9" w:rsidRDefault="00AC150B" w:rsidP="00AC150B">
      <w:pPr>
        <w:contextualSpacing/>
        <w:rPr>
          <w:rFonts w:eastAsia="SimSun"/>
          <w:b/>
          <w:sz w:val="8"/>
          <w:szCs w:val="8"/>
          <w:lang w:val="fr-FR" w:eastAsia="zh-CN"/>
        </w:rPr>
      </w:pPr>
    </w:p>
    <w:p w14:paraId="3FD97E50" w14:textId="77777777" w:rsidR="00AC150B" w:rsidRPr="004E13E9" w:rsidRDefault="00AC150B" w:rsidP="00AC150B">
      <w:pPr>
        <w:contextualSpacing/>
        <w:rPr>
          <w:color w:val="000000"/>
          <w:lang w:val="fr-FR"/>
        </w:rPr>
      </w:pPr>
      <w:r w:rsidRPr="004E13E9">
        <w:rPr>
          <w:color w:val="000000"/>
          <w:lang w:val="fr-FR"/>
        </w:rPr>
        <w:t>Non applicable, car la Chine n’a pas de fermes de thon rouge.</w:t>
      </w:r>
    </w:p>
    <w:p w14:paraId="5921F752" w14:textId="77777777" w:rsidR="00AC150B" w:rsidRPr="004E13E9" w:rsidRDefault="00AC150B" w:rsidP="00AC150B">
      <w:pPr>
        <w:contextualSpacing/>
        <w:rPr>
          <w:b/>
          <w:lang w:val="fr-FR"/>
        </w:rPr>
      </w:pPr>
    </w:p>
    <w:p w14:paraId="0719EFA4" w14:textId="77777777" w:rsidR="00AC150B" w:rsidRPr="004E13E9" w:rsidRDefault="00AC150B" w:rsidP="00AC150B">
      <w:pPr>
        <w:widowControl w:val="0"/>
        <w:ind w:left="426" w:hanging="426"/>
        <w:jc w:val="both"/>
        <w:rPr>
          <w:rFonts w:eastAsia="MS Gothic" w:cs="Times New Roman"/>
          <w:b/>
          <w:lang w:val="fr-FR" w:eastAsia="fr-FR" w:bidi="fr-FR"/>
        </w:rPr>
      </w:pPr>
      <w:bookmarkStart w:id="12" w:name="_Hlk189650161"/>
      <w:r w:rsidRPr="004E13E9">
        <w:rPr>
          <w:rFonts w:eastAsia="MS Gothic" w:cs="Times New Roman"/>
          <w:b/>
          <w:lang w:val="fr-FR" w:eastAsia="fr-FR" w:bidi="fr-FR"/>
        </w:rPr>
        <w:t>4.</w:t>
      </w:r>
      <w:r w:rsidRPr="004E13E9">
        <w:rPr>
          <w:rFonts w:eastAsia="MS Gothic" w:cs="Times New Roman"/>
          <w:b/>
          <w:lang w:val="fr-FR" w:eastAsia="fr-FR" w:bidi="fr-FR"/>
        </w:rPr>
        <w:tab/>
        <w:t xml:space="preserve">Plan annuel d’aquaculture (paragraphe 10 e) de la </w:t>
      </w:r>
      <w:hyperlink r:id="rId83" w:history="1">
        <w:r w:rsidRPr="004E13E9">
          <w:rPr>
            <w:rFonts w:eastAsia="MS Gothic" w:cs="Times New Roman"/>
            <w:b/>
            <w:color w:val="0563C1"/>
            <w:lang w:val="fr-FR" w:eastAsia="fr-FR" w:bidi="fr-FR"/>
          </w:rPr>
          <w:t xml:space="preserve">Rec. 25-04 </w:t>
        </w:r>
      </w:hyperlink>
      <w:r w:rsidRPr="004E13E9">
        <w:rPr>
          <w:rFonts w:eastAsia="MS Gothic" w:cs="Times New Roman"/>
          <w:b/>
          <w:lang w:val="fr-FR" w:eastAsia="fr-FR" w:bidi="fr-FR"/>
        </w:rPr>
        <w:t xml:space="preserve">conformément à la </w:t>
      </w:r>
      <w:hyperlink r:id="rId84" w:history="1">
        <w:r w:rsidRPr="004E13E9">
          <w:rPr>
            <w:rFonts w:eastAsia="MS Gothic" w:cs="Times New Roman"/>
            <w:b/>
            <w:color w:val="0563C1"/>
            <w:lang w:val="fr-FR" w:eastAsia="fr-FR" w:bidi="fr-FR"/>
          </w:rPr>
          <w:t>Rec. 24-07</w:t>
        </w:r>
      </w:hyperlink>
      <w:r w:rsidRPr="004E13E9">
        <w:rPr>
          <w:rFonts w:eastAsia="MS Gothic" w:cs="Times New Roman"/>
          <w:b/>
          <w:lang w:val="fr-FR" w:eastAsia="fr-FR" w:bidi="fr-FR"/>
        </w:rPr>
        <w:t>), le cas échéant</w:t>
      </w:r>
    </w:p>
    <w:p w14:paraId="090B1ACF" w14:textId="77777777" w:rsidR="00AC150B" w:rsidRPr="004E13E9" w:rsidRDefault="00AC150B" w:rsidP="00AC150B">
      <w:pPr>
        <w:widowControl w:val="0"/>
        <w:ind w:left="426" w:hanging="426"/>
        <w:rPr>
          <w:rFonts w:eastAsia="MS Gothic" w:cs="Times New Roman"/>
          <w:sz w:val="8"/>
          <w:szCs w:val="8"/>
          <w:lang w:val="fr-FR" w:eastAsia="fr-FR" w:bidi="fr-FR"/>
        </w:rPr>
      </w:pPr>
    </w:p>
    <w:p w14:paraId="0A101B78" w14:textId="77777777" w:rsidR="00AC150B" w:rsidRPr="004E13E9" w:rsidRDefault="00AC150B" w:rsidP="00AC150B">
      <w:pPr>
        <w:contextualSpacing/>
        <w:rPr>
          <w:color w:val="000000"/>
          <w:lang w:val="fr-FR"/>
        </w:rPr>
      </w:pPr>
      <w:r w:rsidRPr="004E13E9">
        <w:rPr>
          <w:color w:val="000000"/>
          <w:lang w:val="fr-FR"/>
        </w:rPr>
        <w:t>Non applicable, car la Chine n’a pas d’activité d’aquaculture.</w:t>
      </w:r>
    </w:p>
    <w:p w14:paraId="26FA7AC6" w14:textId="77777777" w:rsidR="00AC150B" w:rsidRPr="004E13E9" w:rsidRDefault="00AC150B" w:rsidP="00AC150B">
      <w:pPr>
        <w:widowControl w:val="0"/>
        <w:ind w:left="426" w:hanging="426"/>
        <w:rPr>
          <w:rFonts w:eastAsia="MS Gothic" w:cs="Times New Roman"/>
          <w:lang w:val="fr-FR" w:eastAsia="fr-FR" w:bidi="fr-FR"/>
        </w:rPr>
      </w:pPr>
    </w:p>
    <w:p w14:paraId="7244CFE6" w14:textId="77777777" w:rsidR="00AC150B" w:rsidRPr="004E13E9" w:rsidRDefault="00AC150B" w:rsidP="00AC150B">
      <w:pPr>
        <w:widowControl w:val="0"/>
        <w:ind w:left="426" w:hanging="426"/>
        <w:rPr>
          <w:rFonts w:eastAsia="MS Gothic" w:cs="Times New Roman"/>
          <w:lang w:val="fr-FR" w:eastAsia="fr-FR" w:bidi="fr-FR"/>
        </w:rPr>
      </w:pPr>
    </w:p>
    <w:p w14:paraId="54E89FD1" w14:textId="77777777" w:rsidR="00AC150B" w:rsidRPr="004E13E9" w:rsidRDefault="00AC150B" w:rsidP="00AC150B">
      <w:pPr>
        <w:widowControl w:val="0"/>
        <w:ind w:left="426" w:hanging="426"/>
        <w:rPr>
          <w:rFonts w:eastAsia="MS Gothic" w:cs="Times New Roman"/>
          <w:b/>
          <w:lang w:val="fr-FR" w:eastAsia="fr-FR" w:bidi="fr-FR"/>
        </w:rPr>
      </w:pPr>
      <w:r w:rsidRPr="004E13E9">
        <w:rPr>
          <w:rFonts w:eastAsia="MS Gothic" w:cs="Times New Roman"/>
          <w:b/>
          <w:bCs/>
          <w:lang w:val="fr-FR" w:eastAsia="fr-FR" w:bidi="fr-FR"/>
        </w:rPr>
        <w:t>5.</w:t>
      </w:r>
      <w:r w:rsidRPr="004E13E9">
        <w:rPr>
          <w:rFonts w:eastAsia="MS Gothic" w:cs="Times New Roman"/>
          <w:b/>
          <w:lang w:val="fr-FR" w:eastAsia="fr-FR" w:bidi="fr-FR"/>
        </w:rPr>
        <w:t xml:space="preserve"> </w:t>
      </w:r>
      <w:r w:rsidRPr="004E13E9">
        <w:rPr>
          <w:rFonts w:eastAsia="MS Gothic" w:cs="Times New Roman"/>
          <w:b/>
          <w:lang w:val="fr-FR" w:eastAsia="fr-FR" w:bidi="fr-FR"/>
        </w:rPr>
        <w:tab/>
        <w:t>Plan de suivi, contrôle et inspection</w:t>
      </w:r>
    </w:p>
    <w:p w14:paraId="7B47F91A" w14:textId="77777777" w:rsidR="00AC150B" w:rsidRPr="004E13E9" w:rsidRDefault="00AC150B" w:rsidP="00AC150B">
      <w:pPr>
        <w:widowControl w:val="0"/>
        <w:rPr>
          <w:rFonts w:eastAsia="MS Gothic" w:cs="Times New Roman"/>
          <w:b/>
          <w:lang w:val="fr-FR" w:eastAsia="fr-FR" w:bidi="fr-FR"/>
        </w:rPr>
      </w:pPr>
    </w:p>
    <w:p w14:paraId="132C5508" w14:textId="77777777" w:rsidR="00AC150B" w:rsidRPr="004E13E9" w:rsidRDefault="00AC150B" w:rsidP="00AC150B">
      <w:pPr>
        <w:widowControl w:val="0"/>
        <w:rPr>
          <w:rFonts w:eastAsia="MS Gothic" w:cs="Times New Roman"/>
          <w:b/>
          <w:i/>
          <w:iCs/>
          <w:lang w:val="fr-FR" w:eastAsia="fr-FR" w:bidi="fr-FR"/>
        </w:rPr>
      </w:pPr>
      <w:r w:rsidRPr="004E13E9">
        <w:rPr>
          <w:rFonts w:eastAsia="MS Gothic" w:cs="Times New Roman"/>
          <w:b/>
          <w:i/>
          <w:iCs/>
          <w:lang w:val="fr-FR" w:eastAsia="fr-FR" w:bidi="fr-FR"/>
        </w:rPr>
        <w:t>5 a) Suivi, contrôle et inspection de la CPC (paragraphe 10 c)</w:t>
      </w:r>
    </w:p>
    <w:bookmarkEnd w:id="12"/>
    <w:p w14:paraId="26C6CDAE" w14:textId="77777777" w:rsidR="00AC150B" w:rsidRPr="004E13E9" w:rsidRDefault="00AC150B" w:rsidP="00AC150B">
      <w:pPr>
        <w:contextualSpacing/>
        <w:rPr>
          <w:color w:val="000000"/>
          <w:lang w:val="fr-FR"/>
        </w:rPr>
      </w:pPr>
    </w:p>
    <w:p w14:paraId="33CD4169" w14:textId="77777777" w:rsidR="00AC150B" w:rsidRPr="004E13E9" w:rsidRDefault="00AC150B" w:rsidP="00AC150B">
      <w:pPr>
        <w:contextualSpacing/>
        <w:rPr>
          <w:color w:val="000000"/>
          <w:lang w:val="fr-FR"/>
        </w:rPr>
      </w:pPr>
      <w:r w:rsidRPr="004E13E9">
        <w:rPr>
          <w:color w:val="000000"/>
          <w:lang w:val="fr-FR"/>
        </w:rPr>
        <w:t>La liste des points de contact est la suivante :</w:t>
      </w:r>
    </w:p>
    <w:p w14:paraId="66A4018B" w14:textId="77777777" w:rsidR="00AC150B" w:rsidRPr="004E13E9" w:rsidRDefault="00AC150B" w:rsidP="00AC150B">
      <w:pPr>
        <w:contextualSpacing/>
        <w:rPr>
          <w:color w:val="000000"/>
          <w:lang w:val="fr-FR"/>
        </w:rPr>
      </w:pPr>
      <w:r w:rsidRPr="004E13E9">
        <w:rPr>
          <w:color w:val="000000"/>
          <w:lang w:val="fr-FR"/>
        </w:rPr>
        <w:t xml:space="preserve">LU Quan </w:t>
      </w:r>
      <w:r w:rsidRPr="004E13E9">
        <w:rPr>
          <w:color w:val="000000"/>
          <w:lang w:val="fr-FR"/>
        </w:rPr>
        <w:tab/>
      </w:r>
      <w:r w:rsidRPr="004E13E9">
        <w:rPr>
          <w:color w:val="000000"/>
          <w:lang w:val="fr-FR"/>
        </w:rPr>
        <w:tab/>
        <w:t xml:space="preserve">Directeur </w:t>
      </w:r>
      <w:r w:rsidRPr="004E13E9">
        <w:rPr>
          <w:color w:val="000000"/>
          <w:lang w:val="fr-FR"/>
        </w:rPr>
        <w:tab/>
        <w:t>bofdwf@126.com</w:t>
      </w:r>
    </w:p>
    <w:p w14:paraId="3CDC2EB4" w14:textId="77777777" w:rsidR="00AC150B" w:rsidRPr="004E13E9" w:rsidRDefault="00AC150B" w:rsidP="00AC150B">
      <w:pPr>
        <w:contextualSpacing/>
        <w:rPr>
          <w:color w:val="000000"/>
          <w:lang w:val="fr-FR"/>
        </w:rPr>
      </w:pPr>
      <w:r w:rsidRPr="004E13E9">
        <w:rPr>
          <w:color w:val="000000"/>
          <w:lang w:val="fr-FR"/>
        </w:rPr>
        <w:t xml:space="preserve">FANG </w:t>
      </w:r>
      <w:proofErr w:type="spellStart"/>
      <w:r w:rsidRPr="004E13E9">
        <w:rPr>
          <w:color w:val="000000"/>
          <w:lang w:val="fr-FR"/>
        </w:rPr>
        <w:t>Lianyong</w:t>
      </w:r>
      <w:proofErr w:type="spellEnd"/>
      <w:r w:rsidRPr="004E13E9">
        <w:rPr>
          <w:color w:val="000000"/>
          <w:lang w:val="fr-FR"/>
        </w:rPr>
        <w:t xml:space="preserve"> </w:t>
      </w:r>
      <w:r w:rsidRPr="004E13E9">
        <w:rPr>
          <w:color w:val="000000"/>
          <w:lang w:val="fr-FR"/>
        </w:rPr>
        <w:tab/>
      </w:r>
      <w:r w:rsidRPr="004E13E9">
        <w:rPr>
          <w:color w:val="000000"/>
          <w:lang w:val="fr-FR"/>
        </w:rPr>
        <w:tab/>
        <w:t>Agent</w:t>
      </w:r>
      <w:r w:rsidRPr="004E13E9">
        <w:rPr>
          <w:color w:val="000000"/>
          <w:lang w:val="fr-FR"/>
        </w:rPr>
        <w:tab/>
        <w:t xml:space="preserve"> </w:t>
      </w:r>
      <w:r w:rsidRPr="004E13E9">
        <w:rPr>
          <w:color w:val="000000"/>
          <w:lang w:val="fr-FR"/>
        </w:rPr>
        <w:tab/>
        <w:t>fanglianyong@cofa.net.cn</w:t>
      </w:r>
    </w:p>
    <w:p w14:paraId="65F876DF" w14:textId="77777777" w:rsidR="00AC150B" w:rsidRPr="004E13E9" w:rsidRDefault="00AC150B" w:rsidP="00AC150B">
      <w:pPr>
        <w:contextualSpacing/>
        <w:rPr>
          <w:color w:val="000000"/>
          <w:lang w:val="fr-FR"/>
        </w:rPr>
      </w:pPr>
    </w:p>
    <w:p w14:paraId="07F52DCB" w14:textId="77777777" w:rsidR="00AC150B" w:rsidRPr="004E13E9" w:rsidRDefault="00AC150B" w:rsidP="00AC150B">
      <w:pPr>
        <w:contextualSpacing/>
        <w:jc w:val="both"/>
        <w:rPr>
          <w:lang w:val="fr-FR"/>
        </w:rPr>
      </w:pPr>
      <w:r w:rsidRPr="004E13E9">
        <w:rPr>
          <w:color w:val="000000"/>
          <w:lang w:val="fr-FR"/>
        </w:rPr>
        <w:t xml:space="preserve">La Chine déploiera trois palangriers pour capturer le thon rouge en 2026. </w:t>
      </w:r>
      <w:r w:rsidRPr="004E13E9">
        <w:rPr>
          <w:lang w:val="fr-FR"/>
        </w:rPr>
        <w:t xml:space="preserve">Chacun des trois navires se verra attribuer 102,68 tonnes, chaque navire détenant un tiers des 308,04 t (quota annuel de 286,15 t + report de </w:t>
      </w:r>
      <w:r w:rsidRPr="004E13E9">
        <w:rPr>
          <w:rFonts w:eastAsia="SimSun"/>
          <w:lang w:val="fr-FR" w:eastAsia="zh-CN"/>
        </w:rPr>
        <w:t>22,4t = 308,55</w:t>
      </w:r>
      <w:r w:rsidRPr="004E13E9">
        <w:rPr>
          <w:lang w:val="fr-FR"/>
        </w:rPr>
        <w:t xml:space="preserve"> t de quota ajusté dont 0,51 t est allouée spécifiquement aux prises accessoires).</w:t>
      </w:r>
    </w:p>
    <w:p w14:paraId="63EA83FC" w14:textId="77777777" w:rsidR="00AC150B" w:rsidRPr="004E13E9" w:rsidRDefault="00AC150B" w:rsidP="00AC150B">
      <w:pPr>
        <w:contextualSpacing/>
        <w:rPr>
          <w:rFonts w:eastAsia="MS Gothic" w:cs="Times New Roman"/>
          <w:b/>
          <w:i/>
          <w:iCs/>
          <w:color w:val="000000"/>
          <w:lang w:val="fr-FR" w:eastAsia="fr-FR" w:bidi="fr-FR"/>
        </w:rPr>
      </w:pPr>
    </w:p>
    <w:p w14:paraId="36D64013" w14:textId="77777777" w:rsidR="00AC150B" w:rsidRPr="004E13E9" w:rsidRDefault="00AC150B" w:rsidP="00AC150B">
      <w:pPr>
        <w:widowControl w:val="0"/>
        <w:contextualSpacing/>
        <w:jc w:val="both"/>
        <w:rPr>
          <w:rFonts w:eastAsia="SimSun" w:cs="Times New Roman"/>
          <w:color w:val="000000"/>
          <w:lang w:val="fr-FR" w:eastAsia="fr-FR" w:bidi="fr-FR"/>
        </w:rPr>
      </w:pPr>
      <w:r w:rsidRPr="004E13E9">
        <w:rPr>
          <w:rFonts w:eastAsia="MS Gothic" w:cs="Times New Roman"/>
          <w:color w:val="000000"/>
          <w:lang w:val="fr-FR" w:eastAsia="fr-FR" w:bidi="fr-FR"/>
        </w:rPr>
        <w:t>Il est relativement simple de contrôler et de respecter les quotas, puisque seuls trois navires de pêche partagent les quotas et qu'ils appartiennent à la même société. Nous avons pu gérer les quotas de la façon suivante :</w:t>
      </w:r>
    </w:p>
    <w:p w14:paraId="5464F776" w14:textId="77777777" w:rsidR="00AC150B" w:rsidRPr="004E13E9" w:rsidRDefault="00AC150B" w:rsidP="00AC150B">
      <w:pPr>
        <w:widowControl w:val="0"/>
        <w:contextualSpacing/>
        <w:jc w:val="both"/>
        <w:rPr>
          <w:rFonts w:eastAsia="SimSun" w:cs="Times New Roman"/>
          <w:color w:val="000000"/>
          <w:lang w:val="fr-FR" w:eastAsia="zh-CN" w:bidi="fr-FR"/>
        </w:rPr>
      </w:pPr>
    </w:p>
    <w:p w14:paraId="40764C8C" w14:textId="77777777" w:rsidR="00AC150B" w:rsidRPr="004E13E9" w:rsidRDefault="00AC150B" w:rsidP="00AC150B">
      <w:pPr>
        <w:widowControl w:val="0"/>
        <w:contextualSpacing/>
        <w:jc w:val="both"/>
        <w:rPr>
          <w:rFonts w:eastAsia="SimSun" w:cs="Times New Roman"/>
          <w:color w:val="000000"/>
          <w:lang w:val="fr-FR" w:eastAsia="fr-FR" w:bidi="fr-FR"/>
        </w:rPr>
      </w:pPr>
      <w:r w:rsidRPr="004E13E9">
        <w:rPr>
          <w:rFonts w:eastAsia="MS Gothic" w:cs="Times New Roman"/>
          <w:bCs/>
          <w:i/>
          <w:iCs/>
          <w:color w:val="000000"/>
          <w:lang w:val="fr-FR" w:eastAsia="fr-FR" w:bidi="fr-FR"/>
        </w:rPr>
        <w:t>Programme d'observateurs</w:t>
      </w:r>
      <w:r w:rsidRPr="004E13E9">
        <w:rPr>
          <w:rFonts w:eastAsia="MS Gothic" w:cs="Times New Roman"/>
          <w:color w:val="000000"/>
          <w:lang w:val="fr-FR" w:eastAsia="fr-FR" w:bidi="fr-FR"/>
        </w:rPr>
        <w:t xml:space="preserve"> : nous mettrons en œuvre une couverture d’observateurs d’au moins 20 % pour les navires de pêche de thon rouge. L’observateur doit être familiarisé avec la recommandation sur le thon rouge et il consignera tous les jours avec précision le poids et le nombre de BFT, y compris le poids vif et le poids éviscéré et sans branchies (GG) du poisson.</w:t>
      </w:r>
    </w:p>
    <w:p w14:paraId="1563792B" w14:textId="77777777" w:rsidR="00AC150B" w:rsidRPr="004E13E9" w:rsidRDefault="00AC150B" w:rsidP="00AC150B">
      <w:pPr>
        <w:widowControl w:val="0"/>
        <w:contextualSpacing/>
        <w:jc w:val="both"/>
        <w:rPr>
          <w:rFonts w:eastAsia="SimSun" w:cs="Times New Roman"/>
          <w:b/>
          <w:color w:val="000000"/>
          <w:lang w:val="fr-FR" w:eastAsia="zh-CN" w:bidi="fr-FR"/>
        </w:rPr>
      </w:pPr>
    </w:p>
    <w:p w14:paraId="242C2616" w14:textId="77777777" w:rsidR="00AC150B" w:rsidRPr="004E13E9" w:rsidRDefault="00AC150B" w:rsidP="00AC150B">
      <w:pPr>
        <w:widowControl w:val="0"/>
        <w:contextualSpacing/>
        <w:jc w:val="both"/>
        <w:rPr>
          <w:rFonts w:eastAsia="SimSun" w:cs="Times New Roman"/>
          <w:color w:val="000000"/>
          <w:lang w:val="fr-FR" w:eastAsia="fr-FR" w:bidi="fr-FR"/>
        </w:rPr>
      </w:pPr>
      <w:r w:rsidRPr="004E13E9">
        <w:rPr>
          <w:rFonts w:eastAsia="MS Gothic" w:cs="Times New Roman"/>
          <w:bCs/>
          <w:i/>
          <w:iCs/>
          <w:color w:val="000000"/>
          <w:lang w:val="fr-FR" w:eastAsia="fr-FR" w:bidi="fr-FR"/>
        </w:rPr>
        <w:t>Rapport de capture </w:t>
      </w:r>
      <w:r w:rsidRPr="004E13E9">
        <w:rPr>
          <w:rFonts w:eastAsia="MS Gothic" w:cs="Times New Roman"/>
          <w:color w:val="000000"/>
          <w:lang w:val="fr-FR" w:eastAsia="fr-FR" w:bidi="fr-FR"/>
        </w:rPr>
        <w:t>: nous disposons de rapports de capture de thon rouge journaliers/hebdomadaires/mensuels et nous pouvons vérifier les captures par recoupement. Le propriétaire du navire de pêche sera informé dès que 80 % de la capture seront atteints et le navire de pêche de thon rouge devra cesser de pêcher et abandonner immédiatement le lieu de pêche lorsque son quota aura été épuisé.</w:t>
      </w:r>
    </w:p>
    <w:p w14:paraId="30F84146" w14:textId="5098D8AE" w:rsidR="00304E87" w:rsidRPr="004E13E9" w:rsidRDefault="00304E87">
      <w:pPr>
        <w:rPr>
          <w:rFonts w:eastAsia="MS Gothic" w:cs="Times New Roman"/>
          <w:bCs/>
          <w:i/>
          <w:iCs/>
          <w:color w:val="000000"/>
          <w:sz w:val="8"/>
          <w:szCs w:val="8"/>
          <w:lang w:val="fr-FR" w:eastAsia="fr-FR" w:bidi="fr-FR"/>
        </w:rPr>
      </w:pPr>
    </w:p>
    <w:p w14:paraId="2D62AE03" w14:textId="5B92FCC7" w:rsidR="00AC150B" w:rsidRPr="004E13E9" w:rsidRDefault="00AC150B" w:rsidP="00AC150B">
      <w:pPr>
        <w:widowControl w:val="0"/>
        <w:contextualSpacing/>
        <w:jc w:val="both"/>
        <w:rPr>
          <w:rFonts w:eastAsia="SimSun" w:cs="Times New Roman"/>
          <w:color w:val="000000"/>
          <w:lang w:val="fr-FR" w:eastAsia="fr-FR" w:bidi="fr-FR"/>
        </w:rPr>
      </w:pPr>
      <w:r w:rsidRPr="004E13E9">
        <w:rPr>
          <w:rFonts w:eastAsia="MS Gothic" w:cs="Times New Roman"/>
          <w:bCs/>
          <w:i/>
          <w:iCs/>
          <w:color w:val="000000"/>
          <w:lang w:val="fr-FR" w:eastAsia="fr-FR" w:bidi="fr-FR"/>
        </w:rPr>
        <w:t>Carnet de pêche</w:t>
      </w:r>
      <w:r w:rsidRPr="004E13E9">
        <w:rPr>
          <w:rFonts w:eastAsia="MS Gothic" w:cs="Times New Roman"/>
          <w:color w:val="000000"/>
          <w:lang w:val="fr-FR" w:eastAsia="fr-FR" w:bidi="fr-FR"/>
        </w:rPr>
        <w:t xml:space="preserve"> : le capitaine du navire de pêche doit remplir le carnet de pêche (à la fois sur papier et support électronique) de manière rigoureuse et précise et y consigner toutes les prises accessoires et accidentelles.</w:t>
      </w:r>
    </w:p>
    <w:p w14:paraId="3DBA6688" w14:textId="77777777" w:rsidR="00AC150B" w:rsidRPr="004E13E9" w:rsidRDefault="00AC150B" w:rsidP="00AC150B">
      <w:pPr>
        <w:contextualSpacing/>
        <w:rPr>
          <w:rFonts w:eastAsia="MS Gothic" w:cs="Times New Roman"/>
          <w:b/>
          <w:color w:val="000000"/>
          <w:lang w:val="fr-FR" w:eastAsia="fr-FR" w:bidi="fr-FR"/>
        </w:rPr>
      </w:pPr>
    </w:p>
    <w:p w14:paraId="32FC4726" w14:textId="77777777" w:rsidR="00AC150B" w:rsidRPr="004E13E9" w:rsidRDefault="00AC150B" w:rsidP="00AC150B">
      <w:pPr>
        <w:contextualSpacing/>
        <w:jc w:val="both"/>
        <w:rPr>
          <w:iCs/>
          <w:lang w:val="fr-FR" w:eastAsia="fr-FR"/>
        </w:rPr>
      </w:pPr>
      <w:r w:rsidRPr="004E13E9">
        <w:rPr>
          <w:rFonts w:eastAsia="MS Gothic" w:cs="Times New Roman"/>
          <w:bCs/>
          <w:i/>
          <w:iCs/>
          <w:color w:val="000000"/>
          <w:lang w:val="fr-FR" w:eastAsia="fr-FR" w:bidi="fr-FR"/>
        </w:rPr>
        <w:t>Débarquement\transbordement</w:t>
      </w:r>
      <w:r w:rsidRPr="004E13E9">
        <w:rPr>
          <w:rFonts w:eastAsia="MS Gothic" w:cs="Times New Roman"/>
          <w:color w:val="000000"/>
          <w:lang w:val="fr-FR" w:eastAsia="fr-FR" w:bidi="fr-FR"/>
        </w:rPr>
        <w:t xml:space="preserve"> : ces navires peuvent procéder à des activités de débarquement ou de transbordement uniquement dans les ports désignés autorisés par l’ICCAT. La Chine a l’intention d'utiliser le port de Dakar au Sénégal, </w:t>
      </w:r>
      <w:proofErr w:type="spellStart"/>
      <w:r w:rsidRPr="004E13E9">
        <w:rPr>
          <w:rFonts w:eastAsia="MS Gothic" w:cs="Times New Roman"/>
          <w:color w:val="000000"/>
          <w:lang w:val="fr-FR" w:eastAsia="fr-FR" w:bidi="fr-FR"/>
        </w:rPr>
        <w:t>Mindelo</w:t>
      </w:r>
      <w:proofErr w:type="spellEnd"/>
      <w:r w:rsidRPr="004E13E9">
        <w:rPr>
          <w:rFonts w:eastAsia="MS Gothic" w:cs="Times New Roman"/>
          <w:color w:val="000000"/>
          <w:lang w:val="fr-FR" w:eastAsia="fr-FR" w:bidi="fr-FR"/>
        </w:rPr>
        <w:t xml:space="preserve"> au Cabo Verde et Las Palmas en Espagne. </w:t>
      </w:r>
      <w:r w:rsidRPr="004E13E9">
        <w:rPr>
          <w:lang w:val="fr-FR"/>
        </w:rPr>
        <w:t>Les navires sont tenus de respecter la réglementation fixée par la CPC du port.</w:t>
      </w:r>
    </w:p>
    <w:p w14:paraId="13424B2F" w14:textId="77777777" w:rsidR="00AC150B" w:rsidRPr="004E13E9" w:rsidRDefault="00AC150B" w:rsidP="00AC150B">
      <w:pPr>
        <w:widowControl w:val="0"/>
        <w:contextualSpacing/>
        <w:jc w:val="both"/>
        <w:rPr>
          <w:rFonts w:eastAsia="MS Gothic" w:cs="Times New Roman"/>
          <w:bCs/>
          <w:i/>
          <w:iCs/>
          <w:color w:val="000000"/>
          <w:sz w:val="8"/>
          <w:szCs w:val="8"/>
          <w:lang w:val="fr-FR" w:eastAsia="fr-FR" w:bidi="fr-FR"/>
        </w:rPr>
      </w:pPr>
    </w:p>
    <w:p w14:paraId="714AFD66" w14:textId="77777777" w:rsidR="00AC150B" w:rsidRPr="004E13E9" w:rsidRDefault="00AC150B" w:rsidP="00AC150B">
      <w:pPr>
        <w:widowControl w:val="0"/>
        <w:contextualSpacing/>
        <w:jc w:val="both"/>
        <w:rPr>
          <w:rFonts w:eastAsia="SimSun" w:cs="Times New Roman"/>
          <w:color w:val="000000"/>
          <w:lang w:val="fr-FR" w:eastAsia="fr-FR" w:bidi="fr-FR"/>
        </w:rPr>
      </w:pPr>
      <w:r w:rsidRPr="004E13E9">
        <w:rPr>
          <w:rFonts w:eastAsia="MS Gothic" w:cs="Times New Roman"/>
          <w:bCs/>
          <w:i/>
          <w:iCs/>
          <w:color w:val="000000"/>
          <w:lang w:val="fr-FR" w:eastAsia="fr-FR" w:bidi="fr-FR"/>
        </w:rPr>
        <w:t>Exigence de VMS</w:t>
      </w:r>
      <w:r w:rsidRPr="004E13E9">
        <w:rPr>
          <w:rFonts w:eastAsia="MS Gothic" w:cs="Times New Roman"/>
          <w:color w:val="000000"/>
          <w:lang w:val="fr-FR" w:eastAsia="fr-FR" w:bidi="fr-FR"/>
        </w:rPr>
        <w:t xml:space="preserve"> : nous avons pu surveiller ces navires par le biais de notre plateforme VMS et localiser leurs positions en cas de besoin.</w:t>
      </w:r>
    </w:p>
    <w:p w14:paraId="64E81C27" w14:textId="77777777" w:rsidR="00AC150B" w:rsidRPr="004E13E9" w:rsidRDefault="00AC150B" w:rsidP="00AC150B">
      <w:pPr>
        <w:widowControl w:val="0"/>
        <w:ind w:left="426" w:hanging="426"/>
        <w:jc w:val="both"/>
        <w:rPr>
          <w:rFonts w:eastAsia="MS Gothic" w:cs="Times New Roman"/>
          <w:b/>
          <w:i/>
          <w:iCs/>
          <w:sz w:val="8"/>
          <w:szCs w:val="8"/>
          <w:lang w:val="fr-FR" w:eastAsia="fr-FR" w:bidi="fr-FR"/>
        </w:rPr>
      </w:pPr>
      <w:bookmarkStart w:id="13" w:name="_Hlk189650178"/>
    </w:p>
    <w:p w14:paraId="378CE5CD" w14:textId="77777777" w:rsidR="00AC150B" w:rsidRPr="004E13E9" w:rsidRDefault="00AC150B" w:rsidP="00AC150B">
      <w:pPr>
        <w:jc w:val="both"/>
        <w:rPr>
          <w:rFonts w:eastAsia="MS Gothic" w:cs="Times New Roman"/>
          <w:bCs/>
          <w:lang w:val="fr-FR" w:eastAsia="fr-FR" w:bidi="fr-FR"/>
        </w:rPr>
      </w:pPr>
      <w:r w:rsidRPr="004E13E9">
        <w:rPr>
          <w:rFonts w:eastAsia="MS Gothic" w:cs="Times New Roman"/>
          <w:bCs/>
          <w:lang w:val="fr-FR" w:eastAsia="fr-FR" w:bidi="fr-FR"/>
        </w:rPr>
        <w:t>Le plan de suivi, de contrôle et d'inspection devrait garantir le respect des dispositions de la présente recommandation. Ce plan devra également désigner l'autorité compétente de contrôle de la CPC et la liste des points de contact désignés comme responsables de la mise en œuvre de ce plan de suivi, de contrôle et d'inspection.</w:t>
      </w:r>
    </w:p>
    <w:p w14:paraId="3358B6F3" w14:textId="77777777" w:rsidR="00AC150B" w:rsidRPr="004E13E9" w:rsidRDefault="00AC150B" w:rsidP="00AC150B">
      <w:pPr>
        <w:widowControl w:val="0"/>
        <w:ind w:left="426" w:hanging="426"/>
        <w:jc w:val="both"/>
        <w:rPr>
          <w:rFonts w:eastAsia="MS Gothic" w:cs="Times New Roman"/>
          <w:bCs/>
          <w:lang w:val="fr-FR" w:eastAsia="fr-FR" w:bidi="fr-FR"/>
        </w:rPr>
      </w:pPr>
    </w:p>
    <w:p w14:paraId="6D6F5B12" w14:textId="77777777" w:rsidR="00AC150B" w:rsidRPr="004E13E9" w:rsidRDefault="00AC150B" w:rsidP="00AC150B">
      <w:pPr>
        <w:widowControl w:val="0"/>
        <w:ind w:left="426" w:hanging="426"/>
        <w:jc w:val="both"/>
        <w:rPr>
          <w:rFonts w:eastAsia="MS Gothic" w:cs="Times New Roman"/>
          <w:b/>
          <w:i/>
          <w:iCs/>
          <w:lang w:val="fr-FR" w:eastAsia="fr-FR" w:bidi="fr-FR"/>
        </w:rPr>
      </w:pPr>
      <w:r w:rsidRPr="004E13E9">
        <w:rPr>
          <w:rFonts w:eastAsia="MS Gothic" w:cs="Times New Roman"/>
          <w:b/>
          <w:i/>
          <w:iCs/>
          <w:lang w:val="fr-FR" w:eastAsia="fr-FR" w:bidi="fr-FR"/>
        </w:rPr>
        <w:t>5b) Programme d’inspection internationale conjointe (JIS) (paragraphes 232-235)</w:t>
      </w:r>
    </w:p>
    <w:bookmarkEnd w:id="13"/>
    <w:p w14:paraId="6405B6BA" w14:textId="77777777" w:rsidR="00AC150B" w:rsidRPr="004E13E9" w:rsidRDefault="00AC150B" w:rsidP="00AC150B">
      <w:pPr>
        <w:widowControl w:val="0"/>
        <w:contextualSpacing/>
        <w:rPr>
          <w:rFonts w:eastAsia="MS Gothic" w:cs="Times New Roman"/>
          <w:b/>
          <w:lang w:val="fr-FR" w:eastAsia="fr-FR" w:bidi="fr-FR"/>
        </w:rPr>
      </w:pPr>
    </w:p>
    <w:p w14:paraId="4A3FDAB5" w14:textId="77777777" w:rsidR="00AC150B" w:rsidRPr="004E13E9" w:rsidRDefault="00AC150B" w:rsidP="00AC150B">
      <w:pPr>
        <w:widowControl w:val="0"/>
        <w:contextualSpacing/>
        <w:jc w:val="both"/>
        <w:rPr>
          <w:rFonts w:eastAsia="MS Gothic" w:cs="Times New Roman"/>
          <w:i/>
          <w:iCs/>
          <w:sz w:val="14"/>
          <w:szCs w:val="14"/>
          <w:lang w:val="fr-FR" w:eastAsia="fr-FR" w:bidi="fr-FR"/>
        </w:rPr>
      </w:pPr>
      <w:r w:rsidRPr="004E13E9">
        <w:rPr>
          <w:rFonts w:eastAsia="MS Gothic" w:cs="Times New Roman"/>
          <w:iCs/>
          <w:lang w:val="fr-FR" w:eastAsia="fr-FR" w:bidi="fr-FR"/>
        </w:rPr>
        <w:t>Non applicable, car la Chine ne dispose que de trois palangriers ciblant le thon rouge.</w:t>
      </w:r>
    </w:p>
    <w:p w14:paraId="0EB62321" w14:textId="77777777" w:rsidR="00AC150B" w:rsidRPr="004E13E9" w:rsidRDefault="00AC150B" w:rsidP="00AC150B">
      <w:pPr>
        <w:widowControl w:val="0"/>
        <w:contextualSpacing/>
        <w:jc w:val="both"/>
        <w:rPr>
          <w:rFonts w:eastAsia="MS Gothic" w:cs="Times New Roman"/>
          <w:i/>
          <w:iCs/>
          <w:lang w:val="fr-FR" w:eastAsia="fr-FR" w:bidi="fr-FR"/>
        </w:rPr>
      </w:pPr>
    </w:p>
    <w:p w14:paraId="7C6E6680" w14:textId="77777777" w:rsidR="00AC150B" w:rsidRPr="004E13E9" w:rsidRDefault="00AC150B" w:rsidP="00AC150B">
      <w:pPr>
        <w:widowControl w:val="0"/>
        <w:contextualSpacing/>
        <w:jc w:val="both"/>
        <w:rPr>
          <w:rFonts w:eastAsia="MS Gothic" w:cs="Times New Roman"/>
          <w:i/>
          <w:iCs/>
          <w:lang w:val="fr-FR" w:eastAsia="fr-FR" w:bidi="fr-FR"/>
        </w:rPr>
      </w:pPr>
    </w:p>
    <w:p w14:paraId="325F4193" w14:textId="77777777" w:rsidR="00AC150B" w:rsidRPr="004E13E9" w:rsidRDefault="00AC150B" w:rsidP="00AC150B">
      <w:pPr>
        <w:widowControl w:val="0"/>
        <w:ind w:left="426" w:hanging="426"/>
        <w:contextualSpacing/>
        <w:jc w:val="both"/>
        <w:rPr>
          <w:rFonts w:eastAsia="MS Gothic" w:cs="Times New Roman"/>
          <w:b/>
          <w:lang w:val="fr-FR" w:eastAsia="fr-FR" w:bidi="fr-FR"/>
        </w:rPr>
      </w:pPr>
      <w:bookmarkStart w:id="14" w:name="_Hlk189650182"/>
      <w:r w:rsidRPr="004E13E9">
        <w:rPr>
          <w:rFonts w:eastAsia="MS Gothic" w:cs="Times New Roman"/>
          <w:b/>
          <w:lang w:val="fr-FR" w:eastAsia="fr-FR" w:bidi="fr-FR"/>
        </w:rPr>
        <w:t xml:space="preserve">6. </w:t>
      </w:r>
      <w:r w:rsidRPr="004E13E9">
        <w:rPr>
          <w:rFonts w:eastAsia="MS Gothic" w:cs="Times New Roman"/>
          <w:b/>
          <w:lang w:val="fr-FR" w:eastAsia="fr-FR" w:bidi="fr-FR"/>
        </w:rPr>
        <w:tab/>
        <w:t>Autres</w:t>
      </w:r>
    </w:p>
    <w:bookmarkEnd w:id="14"/>
    <w:p w14:paraId="0B636EA9" w14:textId="77777777" w:rsidR="00AC150B" w:rsidRPr="004E13E9" w:rsidRDefault="00AC150B" w:rsidP="00AC150B">
      <w:pPr>
        <w:widowControl w:val="0"/>
        <w:contextualSpacing/>
        <w:rPr>
          <w:rFonts w:eastAsia="MS Gothic" w:cs="Times New Roman"/>
          <w:b/>
          <w:lang w:val="fr-FR" w:eastAsia="fr-FR" w:bidi="fr-FR"/>
        </w:rPr>
      </w:pPr>
    </w:p>
    <w:p w14:paraId="10D7F8A4" w14:textId="32D0B0FE" w:rsidR="00AC150B" w:rsidRPr="004E13E9" w:rsidRDefault="00AC150B" w:rsidP="00AC150B">
      <w:pPr>
        <w:widowControl w:val="0"/>
        <w:contextualSpacing/>
        <w:rPr>
          <w:rFonts w:eastAsia="MS Gothic" w:cs="Times New Roman"/>
          <w:b/>
          <w:lang w:val="fr-FR" w:eastAsia="fr-FR" w:bidi="fr-FR"/>
        </w:rPr>
      </w:pPr>
      <w:r w:rsidRPr="004E13E9">
        <w:rPr>
          <w:rFonts w:eastAsia="MS Gothic" w:cs="Times New Roman"/>
          <w:bCs/>
          <w:lang w:val="fr-FR" w:eastAsia="fr-FR" w:bidi="fr-FR"/>
        </w:rPr>
        <w:t>La Chine n'a rien d'autre à déclarer.</w:t>
      </w:r>
      <w:r w:rsidRPr="004E13E9">
        <w:rPr>
          <w:rFonts w:eastAsia="MS Gothic" w:cs="Times New Roman"/>
          <w:b/>
          <w:lang w:val="fr-FR" w:eastAsia="fr-FR" w:bidi="fr-FR"/>
        </w:rPr>
        <w:br w:type="page"/>
      </w:r>
    </w:p>
    <w:p w14:paraId="486A6011" w14:textId="77777777" w:rsidR="00AC150B" w:rsidRPr="004E13E9" w:rsidRDefault="00AC150B" w:rsidP="00AC150B">
      <w:pPr>
        <w:widowControl w:val="0"/>
        <w:contextualSpacing/>
        <w:rPr>
          <w:rFonts w:eastAsia="MS Gothic" w:cs="Times New Roman"/>
          <w:b/>
          <w:lang w:val="fr-FR" w:eastAsia="fr-FR" w:bidi="fr-FR"/>
        </w:rPr>
        <w:sectPr w:rsidR="00AC150B" w:rsidRPr="004E13E9" w:rsidSect="00AC150B">
          <w:headerReference w:type="default" r:id="rId85"/>
          <w:headerReference w:type="first" r:id="rId86"/>
          <w:footerReference w:type="first" r:id="rId87"/>
          <w:pgSz w:w="11906" w:h="16838" w:code="9"/>
          <w:pgMar w:top="1418" w:right="1418" w:bottom="1418" w:left="1418" w:header="851" w:footer="1134" w:gutter="0"/>
          <w:cols w:space="425"/>
          <w:docGrid w:linePitch="360"/>
        </w:sectPr>
      </w:pPr>
    </w:p>
    <w:p w14:paraId="33F43C03" w14:textId="77777777" w:rsidR="00AC150B" w:rsidRPr="004E13E9" w:rsidRDefault="00AC150B" w:rsidP="00AC150B">
      <w:pPr>
        <w:rPr>
          <w:b/>
          <w:bCs/>
        </w:rPr>
      </w:pPr>
      <w:r w:rsidRPr="004E13E9">
        <w:rPr>
          <w:b/>
          <w:bCs/>
        </w:rPr>
        <w:lastRenderedPageBreak/>
        <w:t xml:space="preserve">Tableau de la </w:t>
      </w:r>
      <w:proofErr w:type="spellStart"/>
      <w:r w:rsidRPr="004E13E9">
        <w:rPr>
          <w:b/>
          <w:bCs/>
        </w:rPr>
        <w:t>capacité</w:t>
      </w:r>
      <w:proofErr w:type="spellEnd"/>
    </w:p>
    <w:tbl>
      <w:tblPr>
        <w:tblW w:w="1477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0"/>
        <w:gridCol w:w="1214"/>
        <w:gridCol w:w="675"/>
        <w:gridCol w:w="704"/>
        <w:gridCol w:w="675"/>
        <w:gridCol w:w="626"/>
        <w:gridCol w:w="50"/>
        <w:gridCol w:w="676"/>
        <w:gridCol w:w="676"/>
        <w:gridCol w:w="679"/>
        <w:gridCol w:w="270"/>
        <w:gridCol w:w="676"/>
        <w:gridCol w:w="675"/>
        <w:gridCol w:w="678"/>
        <w:gridCol w:w="919"/>
        <w:gridCol w:w="810"/>
        <w:gridCol w:w="811"/>
        <w:gridCol w:w="1118"/>
      </w:tblGrid>
      <w:tr w:rsidR="007C6529" w:rsidRPr="004E13E9" w14:paraId="6F288077" w14:textId="77777777" w:rsidTr="004C5B27">
        <w:trPr>
          <w:trHeight w:val="19"/>
        </w:trPr>
        <w:tc>
          <w:tcPr>
            <w:tcW w:w="2840" w:type="dxa"/>
            <w:noWrap/>
            <w:vAlign w:val="center"/>
          </w:tcPr>
          <w:p w14:paraId="3BAF1A5A" w14:textId="77777777" w:rsidR="00AC150B" w:rsidRPr="004E13E9" w:rsidRDefault="00AC150B" w:rsidP="00AF11BC">
            <w:pPr>
              <w:widowControl w:val="0"/>
              <w:jc w:val="center"/>
              <w:rPr>
                <w:rFonts w:eastAsia="Times New Roman" w:cs="Calibri"/>
                <w:i/>
                <w:iCs/>
                <w:color w:val="000000"/>
                <w:sz w:val="16"/>
                <w:szCs w:val="16"/>
                <w:lang w:eastAsia="fr-FR" w:bidi="fr-FR"/>
              </w:rPr>
            </w:pPr>
            <w:r w:rsidRPr="004E13E9">
              <w:rPr>
                <w:rFonts w:eastAsia="MS Gothic" w:cs="Times New Roman"/>
                <w:i/>
                <w:color w:val="000000"/>
                <w:sz w:val="16"/>
                <w:szCs w:val="16"/>
                <w:lang w:eastAsia="fr-FR" w:bidi="fr-FR"/>
              </w:rPr>
              <w:t xml:space="preserve">Type de </w:t>
            </w:r>
            <w:proofErr w:type="spellStart"/>
            <w:r w:rsidRPr="004E13E9">
              <w:rPr>
                <w:rFonts w:eastAsia="MS Gothic" w:cs="Times New Roman"/>
                <w:i/>
                <w:color w:val="000000"/>
                <w:sz w:val="16"/>
                <w:szCs w:val="16"/>
                <w:lang w:eastAsia="fr-FR" w:bidi="fr-FR"/>
              </w:rPr>
              <w:t>navires</w:t>
            </w:r>
            <w:proofErr w:type="spellEnd"/>
            <w:r w:rsidRPr="004E13E9">
              <w:rPr>
                <w:rFonts w:eastAsia="MS Gothic" w:cs="Times New Roman"/>
                <w:i/>
                <w:color w:val="000000"/>
                <w:sz w:val="16"/>
                <w:szCs w:val="16"/>
                <w:lang w:eastAsia="fr-FR" w:bidi="fr-FR"/>
              </w:rPr>
              <w:t xml:space="preserve"> </w:t>
            </w:r>
            <w:proofErr w:type="spellStart"/>
            <w:r w:rsidRPr="004E13E9">
              <w:rPr>
                <w:rFonts w:eastAsia="MS Gothic" w:cs="Times New Roman"/>
                <w:i/>
                <w:color w:val="000000"/>
                <w:sz w:val="16"/>
                <w:szCs w:val="16"/>
                <w:lang w:eastAsia="fr-FR" w:bidi="fr-FR"/>
              </w:rPr>
              <w:t>thoniers</w:t>
            </w:r>
            <w:proofErr w:type="spellEnd"/>
          </w:p>
        </w:tc>
        <w:tc>
          <w:tcPr>
            <w:tcW w:w="1214" w:type="dxa"/>
            <w:noWrap/>
            <w:vAlign w:val="center"/>
          </w:tcPr>
          <w:p w14:paraId="4792D1AD"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2680" w:type="dxa"/>
            <w:gridSpan w:val="4"/>
          </w:tcPr>
          <w:p w14:paraId="6682B1A9" w14:textId="77777777" w:rsidR="00AC150B" w:rsidRPr="004E13E9" w:rsidRDefault="00AC150B" w:rsidP="00AF11BC">
            <w:pPr>
              <w:widowControl w:val="0"/>
              <w:jc w:val="center"/>
              <w:rPr>
                <w:rFonts w:eastAsia="Times New Roman" w:cs="Calibri"/>
                <w:i/>
                <w:iCs/>
                <w:color w:val="000000"/>
                <w:sz w:val="16"/>
                <w:szCs w:val="16"/>
                <w:lang w:eastAsia="fr-FR" w:bidi="fr-FR"/>
              </w:rPr>
            </w:pPr>
            <w:r w:rsidRPr="004E13E9">
              <w:rPr>
                <w:rFonts w:eastAsia="MS Gothic" w:cs="Times New Roman"/>
                <w:i/>
                <w:color w:val="000000"/>
                <w:sz w:val="16"/>
                <w:szCs w:val="16"/>
                <w:lang w:eastAsia="fr-FR" w:bidi="fr-FR"/>
              </w:rPr>
              <w:t xml:space="preserve">Année de </w:t>
            </w:r>
            <w:proofErr w:type="spellStart"/>
            <w:r w:rsidRPr="004E13E9">
              <w:rPr>
                <w:rFonts w:eastAsia="MS Gothic" w:cs="Times New Roman"/>
                <w:i/>
                <w:color w:val="000000"/>
                <w:sz w:val="16"/>
                <w:szCs w:val="16"/>
                <w:lang w:eastAsia="fr-FR" w:bidi="fr-FR"/>
              </w:rPr>
              <w:t>réf</w:t>
            </w:r>
            <w:proofErr w:type="spellEnd"/>
            <w:r w:rsidRPr="004E13E9">
              <w:rPr>
                <w:rFonts w:eastAsia="MS Gothic" w:cs="Times New Roman"/>
                <w:i/>
                <w:color w:val="000000"/>
                <w:sz w:val="16"/>
                <w:szCs w:val="16"/>
                <w:lang w:eastAsia="fr-FR" w:bidi="fr-FR"/>
              </w:rPr>
              <w:t>.</w:t>
            </w:r>
          </w:p>
        </w:tc>
        <w:tc>
          <w:tcPr>
            <w:tcW w:w="2081" w:type="dxa"/>
            <w:gridSpan w:val="4"/>
            <w:vAlign w:val="center"/>
          </w:tcPr>
          <w:p w14:paraId="3EE69C1A" w14:textId="77777777" w:rsidR="00AC150B" w:rsidRPr="004E13E9" w:rsidRDefault="00AC150B" w:rsidP="00AF11BC">
            <w:pPr>
              <w:widowControl w:val="0"/>
              <w:jc w:val="center"/>
              <w:rPr>
                <w:rFonts w:eastAsia="Times New Roman" w:cs="Times New Roman"/>
                <w:color w:val="000000"/>
                <w:sz w:val="16"/>
                <w:szCs w:val="16"/>
                <w:lang w:eastAsia="fr-FR" w:bidi="fr-FR"/>
              </w:rPr>
            </w:pPr>
            <w:r w:rsidRPr="004E13E9">
              <w:rPr>
                <w:rFonts w:eastAsia="MS Gothic" w:cs="Times New Roman"/>
                <w:i/>
                <w:color w:val="000000"/>
                <w:sz w:val="16"/>
                <w:szCs w:val="16"/>
                <w:lang w:eastAsia="fr-FR" w:bidi="fr-FR"/>
              </w:rPr>
              <w:t xml:space="preserve">Nombre de </w:t>
            </w:r>
            <w:proofErr w:type="spellStart"/>
            <w:r w:rsidRPr="004E13E9">
              <w:rPr>
                <w:rFonts w:eastAsia="MS Gothic" w:cs="Times New Roman"/>
                <w:i/>
                <w:color w:val="000000"/>
                <w:sz w:val="16"/>
                <w:szCs w:val="16"/>
                <w:lang w:eastAsia="fr-FR" w:bidi="fr-FR"/>
              </w:rPr>
              <w:t>navires</w:t>
            </w:r>
            <w:proofErr w:type="spellEnd"/>
          </w:p>
        </w:tc>
        <w:tc>
          <w:tcPr>
            <w:tcW w:w="270" w:type="dxa"/>
            <w:shd w:val="clear" w:color="auto" w:fill="D9D9D9"/>
            <w:vAlign w:val="center"/>
          </w:tcPr>
          <w:p w14:paraId="2FFF6704" w14:textId="77777777" w:rsidR="00AC150B" w:rsidRPr="004E13E9" w:rsidRDefault="00AC150B" w:rsidP="00AF11BC">
            <w:pPr>
              <w:widowControl w:val="0"/>
              <w:jc w:val="center"/>
              <w:rPr>
                <w:rFonts w:eastAsia="Times New Roman" w:cs="Times New Roman"/>
                <w:color w:val="000000"/>
                <w:sz w:val="16"/>
                <w:szCs w:val="16"/>
                <w:lang w:eastAsia="ja-JP" w:bidi="fr-FR"/>
              </w:rPr>
            </w:pPr>
          </w:p>
        </w:tc>
        <w:tc>
          <w:tcPr>
            <w:tcW w:w="2029" w:type="dxa"/>
            <w:gridSpan w:val="3"/>
          </w:tcPr>
          <w:p w14:paraId="741FC88F" w14:textId="77777777" w:rsidR="00AC150B" w:rsidRPr="004E13E9" w:rsidRDefault="00AC150B" w:rsidP="00AF11BC">
            <w:pPr>
              <w:widowControl w:val="0"/>
              <w:jc w:val="center"/>
              <w:rPr>
                <w:rFonts w:eastAsia="Times New Roman" w:cs="Calibri"/>
                <w:i/>
                <w:iCs/>
                <w:color w:val="000000"/>
                <w:sz w:val="16"/>
                <w:szCs w:val="16"/>
                <w:lang w:eastAsia="fr-FR" w:bidi="fr-FR"/>
              </w:rPr>
            </w:pPr>
            <w:r w:rsidRPr="004E13E9">
              <w:rPr>
                <w:rFonts w:eastAsia="MS Gothic" w:cs="Times New Roman"/>
                <w:i/>
                <w:color w:val="000000"/>
                <w:sz w:val="16"/>
                <w:szCs w:val="16"/>
                <w:lang w:eastAsia="fr-FR" w:bidi="fr-FR"/>
              </w:rPr>
              <w:t xml:space="preserve">Année de </w:t>
            </w:r>
            <w:proofErr w:type="spellStart"/>
            <w:r w:rsidRPr="004E13E9">
              <w:rPr>
                <w:rFonts w:eastAsia="MS Gothic" w:cs="Times New Roman"/>
                <w:i/>
                <w:color w:val="000000"/>
                <w:sz w:val="16"/>
                <w:szCs w:val="16"/>
                <w:lang w:eastAsia="fr-FR" w:bidi="fr-FR"/>
              </w:rPr>
              <w:t>réf</w:t>
            </w:r>
            <w:proofErr w:type="spellEnd"/>
            <w:r w:rsidRPr="004E13E9">
              <w:rPr>
                <w:rFonts w:eastAsia="MS Gothic" w:cs="Times New Roman"/>
                <w:i/>
                <w:color w:val="000000"/>
                <w:sz w:val="16"/>
                <w:szCs w:val="16"/>
                <w:lang w:eastAsia="fr-FR" w:bidi="fr-FR"/>
              </w:rPr>
              <w:t>.</w:t>
            </w:r>
          </w:p>
        </w:tc>
        <w:tc>
          <w:tcPr>
            <w:tcW w:w="3658" w:type="dxa"/>
            <w:gridSpan w:val="4"/>
          </w:tcPr>
          <w:p w14:paraId="025E1A6D" w14:textId="77777777" w:rsidR="00AC150B" w:rsidRPr="004E13E9" w:rsidRDefault="00AC150B" w:rsidP="00AF11BC">
            <w:pPr>
              <w:widowControl w:val="0"/>
              <w:jc w:val="center"/>
              <w:rPr>
                <w:rFonts w:eastAsia="Times New Roman" w:cs="Calibri"/>
                <w:i/>
                <w:iCs/>
                <w:color w:val="000000"/>
                <w:sz w:val="16"/>
                <w:szCs w:val="16"/>
                <w:lang w:eastAsia="fr-FR" w:bidi="fr-FR"/>
              </w:rPr>
            </w:pPr>
            <w:proofErr w:type="spellStart"/>
            <w:r w:rsidRPr="004E13E9">
              <w:rPr>
                <w:rFonts w:eastAsia="MS Gothic" w:cs="Times New Roman"/>
                <w:i/>
                <w:color w:val="000000"/>
                <w:sz w:val="16"/>
                <w:szCs w:val="16"/>
                <w:lang w:eastAsia="fr-FR" w:bidi="fr-FR"/>
              </w:rPr>
              <w:t>Capacité</w:t>
            </w:r>
            <w:proofErr w:type="spellEnd"/>
            <w:r w:rsidRPr="004E13E9">
              <w:rPr>
                <w:rFonts w:eastAsia="MS Gothic" w:cs="Times New Roman"/>
                <w:i/>
                <w:color w:val="000000"/>
                <w:sz w:val="16"/>
                <w:szCs w:val="16"/>
                <w:lang w:eastAsia="fr-FR" w:bidi="fr-FR"/>
              </w:rPr>
              <w:t xml:space="preserve"> de </w:t>
            </w:r>
            <w:proofErr w:type="spellStart"/>
            <w:r w:rsidRPr="004E13E9">
              <w:rPr>
                <w:rFonts w:eastAsia="MS Gothic" w:cs="Times New Roman"/>
                <w:i/>
                <w:color w:val="000000"/>
                <w:sz w:val="16"/>
                <w:szCs w:val="16"/>
                <w:lang w:eastAsia="fr-FR" w:bidi="fr-FR"/>
              </w:rPr>
              <w:t>pêche</w:t>
            </w:r>
            <w:proofErr w:type="spellEnd"/>
          </w:p>
        </w:tc>
      </w:tr>
      <w:tr w:rsidR="00A049DB" w:rsidRPr="004E13E9" w14:paraId="3642DA97" w14:textId="77777777" w:rsidTr="004C5B27">
        <w:trPr>
          <w:trHeight w:val="19"/>
        </w:trPr>
        <w:tc>
          <w:tcPr>
            <w:tcW w:w="2840" w:type="dxa"/>
            <w:noWrap/>
            <w:vAlign w:val="center"/>
          </w:tcPr>
          <w:p w14:paraId="7FD55043" w14:textId="77777777" w:rsidR="00AC150B" w:rsidRPr="004E13E9" w:rsidRDefault="00AC150B" w:rsidP="00AF11BC">
            <w:pPr>
              <w:widowControl w:val="0"/>
              <w:jc w:val="both"/>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Type</w:t>
            </w:r>
          </w:p>
        </w:tc>
        <w:tc>
          <w:tcPr>
            <w:tcW w:w="1214" w:type="dxa"/>
            <w:vAlign w:val="center"/>
          </w:tcPr>
          <w:p w14:paraId="35751500" w14:textId="77777777" w:rsidR="00AC150B" w:rsidRPr="004E13E9" w:rsidRDefault="00AC150B" w:rsidP="00AF11BC">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Meilleurs taux de capture définis par le SCRS en 2009 (t)</w:t>
            </w:r>
          </w:p>
        </w:tc>
        <w:tc>
          <w:tcPr>
            <w:tcW w:w="675" w:type="dxa"/>
            <w:vAlign w:val="center"/>
          </w:tcPr>
          <w:p w14:paraId="67B361D0"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2006</w:t>
            </w:r>
          </w:p>
        </w:tc>
        <w:tc>
          <w:tcPr>
            <w:tcW w:w="704" w:type="dxa"/>
            <w:noWrap/>
            <w:vAlign w:val="center"/>
          </w:tcPr>
          <w:p w14:paraId="67BC46F8"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2008</w:t>
            </w:r>
          </w:p>
        </w:tc>
        <w:tc>
          <w:tcPr>
            <w:tcW w:w="675" w:type="dxa"/>
            <w:vAlign w:val="center"/>
          </w:tcPr>
          <w:p w14:paraId="3CFB9334"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2018</w:t>
            </w:r>
          </w:p>
        </w:tc>
        <w:tc>
          <w:tcPr>
            <w:tcW w:w="676" w:type="dxa"/>
            <w:gridSpan w:val="2"/>
            <w:vAlign w:val="center"/>
          </w:tcPr>
          <w:p w14:paraId="1A4AF614"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2023</w:t>
            </w:r>
          </w:p>
        </w:tc>
        <w:tc>
          <w:tcPr>
            <w:tcW w:w="676" w:type="dxa"/>
            <w:vAlign w:val="center"/>
          </w:tcPr>
          <w:p w14:paraId="48CF1BFB"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2024</w:t>
            </w:r>
          </w:p>
        </w:tc>
        <w:tc>
          <w:tcPr>
            <w:tcW w:w="676" w:type="dxa"/>
            <w:vAlign w:val="center"/>
          </w:tcPr>
          <w:p w14:paraId="4C71474C"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2025</w:t>
            </w:r>
          </w:p>
        </w:tc>
        <w:tc>
          <w:tcPr>
            <w:tcW w:w="679" w:type="dxa"/>
            <w:vAlign w:val="center"/>
          </w:tcPr>
          <w:p w14:paraId="30C903A7"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2026</w:t>
            </w:r>
          </w:p>
        </w:tc>
        <w:tc>
          <w:tcPr>
            <w:tcW w:w="270" w:type="dxa"/>
            <w:shd w:val="clear" w:color="000000" w:fill="D9D9D9"/>
            <w:vAlign w:val="center"/>
          </w:tcPr>
          <w:p w14:paraId="2A9DFDBA"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vAlign w:val="center"/>
          </w:tcPr>
          <w:p w14:paraId="0A1B9D2B"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2006</w:t>
            </w:r>
          </w:p>
        </w:tc>
        <w:tc>
          <w:tcPr>
            <w:tcW w:w="675" w:type="dxa"/>
            <w:vAlign w:val="center"/>
          </w:tcPr>
          <w:p w14:paraId="606930DE"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2008</w:t>
            </w:r>
          </w:p>
        </w:tc>
        <w:tc>
          <w:tcPr>
            <w:tcW w:w="678" w:type="dxa"/>
            <w:vAlign w:val="center"/>
          </w:tcPr>
          <w:p w14:paraId="3E84A1F8"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2018</w:t>
            </w:r>
          </w:p>
        </w:tc>
        <w:tc>
          <w:tcPr>
            <w:tcW w:w="919" w:type="dxa"/>
            <w:vAlign w:val="center"/>
          </w:tcPr>
          <w:p w14:paraId="01468176"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2023</w:t>
            </w:r>
          </w:p>
        </w:tc>
        <w:tc>
          <w:tcPr>
            <w:tcW w:w="810" w:type="dxa"/>
            <w:vAlign w:val="center"/>
          </w:tcPr>
          <w:p w14:paraId="08E14198"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2024</w:t>
            </w:r>
          </w:p>
        </w:tc>
        <w:tc>
          <w:tcPr>
            <w:tcW w:w="811" w:type="dxa"/>
            <w:vAlign w:val="center"/>
          </w:tcPr>
          <w:p w14:paraId="449E20C3"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2025</w:t>
            </w:r>
          </w:p>
        </w:tc>
        <w:tc>
          <w:tcPr>
            <w:tcW w:w="1118" w:type="dxa"/>
            <w:vAlign w:val="center"/>
          </w:tcPr>
          <w:p w14:paraId="015BB531"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2026</w:t>
            </w:r>
          </w:p>
        </w:tc>
      </w:tr>
      <w:tr w:rsidR="00A049DB" w:rsidRPr="004E13E9" w14:paraId="454717D3" w14:textId="77777777" w:rsidTr="004C5B27">
        <w:trPr>
          <w:trHeight w:val="19"/>
        </w:trPr>
        <w:tc>
          <w:tcPr>
            <w:tcW w:w="2840" w:type="dxa"/>
            <w:noWrap/>
            <w:vAlign w:val="center"/>
          </w:tcPr>
          <w:p w14:paraId="3DC898C4" w14:textId="77777777" w:rsidR="00AC150B" w:rsidRPr="004E13E9" w:rsidRDefault="00AC150B" w:rsidP="00AF11BC">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Senneur de plus de 40 m</w:t>
            </w:r>
          </w:p>
        </w:tc>
        <w:tc>
          <w:tcPr>
            <w:tcW w:w="1214" w:type="dxa"/>
            <w:noWrap/>
            <w:vAlign w:val="center"/>
          </w:tcPr>
          <w:p w14:paraId="53996833"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70,66</w:t>
            </w:r>
          </w:p>
        </w:tc>
        <w:tc>
          <w:tcPr>
            <w:tcW w:w="675" w:type="dxa"/>
          </w:tcPr>
          <w:p w14:paraId="3F3F53EE" w14:textId="77777777" w:rsidR="00AC150B" w:rsidRPr="004E13E9" w:rsidRDefault="00AC150B" w:rsidP="00AF11BC">
            <w:pPr>
              <w:widowControl w:val="0"/>
              <w:jc w:val="center"/>
              <w:rPr>
                <w:rFonts w:eastAsia="SimSun" w:cs="Calibri"/>
                <w:color w:val="000000"/>
                <w:sz w:val="16"/>
                <w:szCs w:val="16"/>
                <w:lang w:eastAsia="zh-CN" w:bidi="fr-FR"/>
              </w:rPr>
            </w:pPr>
          </w:p>
        </w:tc>
        <w:tc>
          <w:tcPr>
            <w:tcW w:w="704" w:type="dxa"/>
            <w:noWrap/>
            <w:vAlign w:val="center"/>
          </w:tcPr>
          <w:p w14:paraId="7B839E69"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vAlign w:val="center"/>
          </w:tcPr>
          <w:p w14:paraId="036110E5"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gridSpan w:val="2"/>
            <w:vAlign w:val="center"/>
          </w:tcPr>
          <w:p w14:paraId="3DD1C04A"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vAlign w:val="center"/>
          </w:tcPr>
          <w:p w14:paraId="32CA98F8"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tcPr>
          <w:p w14:paraId="215B43E1"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9" w:type="dxa"/>
          </w:tcPr>
          <w:p w14:paraId="4547C3CA"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270" w:type="dxa"/>
            <w:shd w:val="clear" w:color="000000" w:fill="D9D9D9"/>
            <w:vAlign w:val="center"/>
          </w:tcPr>
          <w:p w14:paraId="6D2EE6EF"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tcPr>
          <w:p w14:paraId="3B5E54C3"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vAlign w:val="center"/>
          </w:tcPr>
          <w:p w14:paraId="2CE69315"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8" w:type="dxa"/>
            <w:vAlign w:val="center"/>
          </w:tcPr>
          <w:p w14:paraId="24A56918"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919" w:type="dxa"/>
            <w:vAlign w:val="center"/>
          </w:tcPr>
          <w:p w14:paraId="78BD76BC"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810" w:type="dxa"/>
            <w:vAlign w:val="center"/>
          </w:tcPr>
          <w:p w14:paraId="17811345"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811" w:type="dxa"/>
            <w:vAlign w:val="center"/>
          </w:tcPr>
          <w:p w14:paraId="4DCCF30A"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1118" w:type="dxa"/>
          </w:tcPr>
          <w:p w14:paraId="4A94B095" w14:textId="77777777" w:rsidR="00AC150B" w:rsidRPr="004E13E9" w:rsidRDefault="00AC150B" w:rsidP="00AF11BC">
            <w:pPr>
              <w:widowControl w:val="0"/>
              <w:jc w:val="center"/>
              <w:rPr>
                <w:rFonts w:eastAsia="Times New Roman" w:cs="Calibri"/>
                <w:color w:val="000000"/>
                <w:sz w:val="16"/>
                <w:szCs w:val="16"/>
                <w:lang w:eastAsia="ja-JP" w:bidi="fr-FR"/>
              </w:rPr>
            </w:pPr>
          </w:p>
        </w:tc>
      </w:tr>
      <w:tr w:rsidR="00A049DB" w:rsidRPr="004E13E9" w14:paraId="729C2062" w14:textId="77777777" w:rsidTr="004C5B27">
        <w:trPr>
          <w:trHeight w:val="19"/>
        </w:trPr>
        <w:tc>
          <w:tcPr>
            <w:tcW w:w="2840" w:type="dxa"/>
            <w:noWrap/>
            <w:vAlign w:val="center"/>
          </w:tcPr>
          <w:p w14:paraId="5369CF5F" w14:textId="77777777" w:rsidR="00AC150B" w:rsidRPr="004E13E9" w:rsidRDefault="00AC150B" w:rsidP="00AF11BC">
            <w:pPr>
              <w:widowControl w:val="0"/>
              <w:jc w:val="both"/>
              <w:rPr>
                <w:rFonts w:eastAsia="Times New Roman" w:cs="Calibri"/>
                <w:color w:val="000000"/>
                <w:sz w:val="16"/>
                <w:szCs w:val="16"/>
                <w:lang w:eastAsia="fr-FR" w:bidi="fr-FR"/>
              </w:rPr>
            </w:pPr>
            <w:proofErr w:type="spellStart"/>
            <w:r w:rsidRPr="004E13E9">
              <w:rPr>
                <w:rFonts w:eastAsia="MS Gothic" w:cs="Times New Roman"/>
                <w:color w:val="000000"/>
                <w:sz w:val="16"/>
                <w:szCs w:val="16"/>
                <w:lang w:eastAsia="fr-FR" w:bidi="fr-FR"/>
              </w:rPr>
              <w:t>Senneur</w:t>
            </w:r>
            <w:proofErr w:type="spellEnd"/>
            <w:r w:rsidRPr="004E13E9">
              <w:rPr>
                <w:rFonts w:eastAsia="MS Gothic" w:cs="Times New Roman"/>
                <w:color w:val="000000"/>
                <w:sz w:val="16"/>
                <w:szCs w:val="16"/>
                <w:lang w:eastAsia="fr-FR" w:bidi="fr-FR"/>
              </w:rPr>
              <w:t xml:space="preserve"> entre 24 et 40 m</w:t>
            </w:r>
          </w:p>
        </w:tc>
        <w:tc>
          <w:tcPr>
            <w:tcW w:w="1214" w:type="dxa"/>
            <w:noWrap/>
            <w:vAlign w:val="center"/>
          </w:tcPr>
          <w:p w14:paraId="1D454190"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49,78</w:t>
            </w:r>
          </w:p>
        </w:tc>
        <w:tc>
          <w:tcPr>
            <w:tcW w:w="675" w:type="dxa"/>
          </w:tcPr>
          <w:p w14:paraId="04F0E0D2"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704" w:type="dxa"/>
            <w:noWrap/>
            <w:vAlign w:val="center"/>
          </w:tcPr>
          <w:p w14:paraId="27ED91E9"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vAlign w:val="center"/>
          </w:tcPr>
          <w:p w14:paraId="60036545"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gridSpan w:val="2"/>
            <w:vAlign w:val="center"/>
          </w:tcPr>
          <w:p w14:paraId="7D50E8CC"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vAlign w:val="center"/>
          </w:tcPr>
          <w:p w14:paraId="23FFC70F"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tcPr>
          <w:p w14:paraId="2684421F"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9" w:type="dxa"/>
          </w:tcPr>
          <w:p w14:paraId="3AE97787"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270" w:type="dxa"/>
            <w:shd w:val="clear" w:color="000000" w:fill="D9D9D9"/>
            <w:vAlign w:val="center"/>
          </w:tcPr>
          <w:p w14:paraId="299B4ED6"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tcPr>
          <w:p w14:paraId="462C2495"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vAlign w:val="center"/>
          </w:tcPr>
          <w:p w14:paraId="268454DA"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8" w:type="dxa"/>
            <w:vAlign w:val="center"/>
          </w:tcPr>
          <w:p w14:paraId="3DB7F82D"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919" w:type="dxa"/>
            <w:vAlign w:val="center"/>
          </w:tcPr>
          <w:p w14:paraId="55B8AD0A"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810" w:type="dxa"/>
            <w:vAlign w:val="center"/>
          </w:tcPr>
          <w:p w14:paraId="28D3388B"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811" w:type="dxa"/>
            <w:vAlign w:val="center"/>
          </w:tcPr>
          <w:p w14:paraId="4A2CF327"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1118" w:type="dxa"/>
          </w:tcPr>
          <w:p w14:paraId="39790406" w14:textId="77777777" w:rsidR="00AC150B" w:rsidRPr="004E13E9" w:rsidRDefault="00AC150B" w:rsidP="00AF11BC">
            <w:pPr>
              <w:widowControl w:val="0"/>
              <w:jc w:val="center"/>
              <w:rPr>
                <w:rFonts w:eastAsia="Times New Roman" w:cs="Calibri"/>
                <w:color w:val="000000"/>
                <w:sz w:val="16"/>
                <w:szCs w:val="16"/>
                <w:lang w:eastAsia="ja-JP" w:bidi="fr-FR"/>
              </w:rPr>
            </w:pPr>
          </w:p>
        </w:tc>
      </w:tr>
      <w:tr w:rsidR="00A049DB" w:rsidRPr="004E13E9" w14:paraId="6778F596" w14:textId="77777777" w:rsidTr="004C5B27">
        <w:trPr>
          <w:trHeight w:val="19"/>
        </w:trPr>
        <w:tc>
          <w:tcPr>
            <w:tcW w:w="2840" w:type="dxa"/>
            <w:noWrap/>
            <w:vAlign w:val="center"/>
          </w:tcPr>
          <w:p w14:paraId="6A93575F" w14:textId="77777777" w:rsidR="00AC150B" w:rsidRPr="004E13E9" w:rsidRDefault="00AC150B" w:rsidP="00AF11BC">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Senneur de moins de 24m</w:t>
            </w:r>
          </w:p>
        </w:tc>
        <w:tc>
          <w:tcPr>
            <w:tcW w:w="1214" w:type="dxa"/>
            <w:noWrap/>
            <w:vAlign w:val="center"/>
          </w:tcPr>
          <w:p w14:paraId="318BB672"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33,68</w:t>
            </w:r>
          </w:p>
        </w:tc>
        <w:tc>
          <w:tcPr>
            <w:tcW w:w="675" w:type="dxa"/>
          </w:tcPr>
          <w:p w14:paraId="57E31292"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704" w:type="dxa"/>
            <w:noWrap/>
            <w:vAlign w:val="center"/>
          </w:tcPr>
          <w:p w14:paraId="3D4C5F1A"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vAlign w:val="center"/>
          </w:tcPr>
          <w:p w14:paraId="35E95026"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gridSpan w:val="2"/>
            <w:vAlign w:val="center"/>
          </w:tcPr>
          <w:p w14:paraId="52B48444"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vAlign w:val="center"/>
          </w:tcPr>
          <w:p w14:paraId="724302F6"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tcPr>
          <w:p w14:paraId="0FD5848A"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9" w:type="dxa"/>
          </w:tcPr>
          <w:p w14:paraId="0D4A6EA3"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270" w:type="dxa"/>
            <w:shd w:val="clear" w:color="000000" w:fill="D9D9D9"/>
            <w:vAlign w:val="center"/>
          </w:tcPr>
          <w:p w14:paraId="7B832825"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tcPr>
          <w:p w14:paraId="71A817D6"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vAlign w:val="center"/>
          </w:tcPr>
          <w:p w14:paraId="58A76B72"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8" w:type="dxa"/>
            <w:vAlign w:val="center"/>
          </w:tcPr>
          <w:p w14:paraId="29D1D440"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919" w:type="dxa"/>
            <w:vAlign w:val="center"/>
          </w:tcPr>
          <w:p w14:paraId="71C85AF0"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810" w:type="dxa"/>
            <w:vAlign w:val="center"/>
          </w:tcPr>
          <w:p w14:paraId="2E55922A"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811" w:type="dxa"/>
            <w:vAlign w:val="center"/>
          </w:tcPr>
          <w:p w14:paraId="23D51B2B"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1118" w:type="dxa"/>
          </w:tcPr>
          <w:p w14:paraId="41800628" w14:textId="77777777" w:rsidR="00AC150B" w:rsidRPr="004E13E9" w:rsidRDefault="00AC150B" w:rsidP="00AF11BC">
            <w:pPr>
              <w:widowControl w:val="0"/>
              <w:jc w:val="center"/>
              <w:rPr>
                <w:rFonts w:eastAsia="Times New Roman" w:cs="Calibri"/>
                <w:color w:val="000000"/>
                <w:sz w:val="16"/>
                <w:szCs w:val="16"/>
                <w:lang w:eastAsia="ja-JP" w:bidi="fr-FR"/>
              </w:rPr>
            </w:pPr>
          </w:p>
        </w:tc>
      </w:tr>
      <w:tr w:rsidR="00A049DB" w:rsidRPr="004E13E9" w14:paraId="5BE6BEEC" w14:textId="77777777" w:rsidTr="004C5B27">
        <w:trPr>
          <w:trHeight w:val="19"/>
        </w:trPr>
        <w:tc>
          <w:tcPr>
            <w:tcW w:w="2840" w:type="dxa"/>
            <w:noWrap/>
            <w:vAlign w:val="center"/>
          </w:tcPr>
          <w:p w14:paraId="26725928" w14:textId="77777777" w:rsidR="00AC150B" w:rsidRPr="004E13E9" w:rsidRDefault="00AC150B" w:rsidP="00AF11BC">
            <w:pPr>
              <w:widowControl w:val="0"/>
              <w:jc w:val="both"/>
              <w:rPr>
                <w:rFonts w:eastAsia="Times New Roman" w:cs="Calibri"/>
                <w:b/>
                <w:bCs/>
                <w:color w:val="000000"/>
                <w:sz w:val="16"/>
                <w:szCs w:val="16"/>
                <w:lang w:eastAsia="fr-FR" w:bidi="fr-FR"/>
              </w:rPr>
            </w:pPr>
            <w:proofErr w:type="spellStart"/>
            <w:r w:rsidRPr="004E13E9">
              <w:rPr>
                <w:rFonts w:eastAsia="MS Gothic" w:cs="Times New Roman"/>
                <w:b/>
                <w:color w:val="000000"/>
                <w:sz w:val="16"/>
                <w:szCs w:val="16"/>
                <w:lang w:eastAsia="fr-FR" w:bidi="fr-FR"/>
              </w:rPr>
              <w:t>Flottille</w:t>
            </w:r>
            <w:proofErr w:type="spellEnd"/>
            <w:r w:rsidRPr="004E13E9">
              <w:rPr>
                <w:rFonts w:eastAsia="MS Gothic" w:cs="Times New Roman"/>
                <w:b/>
                <w:color w:val="000000"/>
                <w:sz w:val="16"/>
                <w:szCs w:val="16"/>
                <w:lang w:eastAsia="fr-FR" w:bidi="fr-FR"/>
              </w:rPr>
              <w:t xml:space="preserve"> totale de </w:t>
            </w:r>
            <w:proofErr w:type="spellStart"/>
            <w:r w:rsidRPr="004E13E9">
              <w:rPr>
                <w:rFonts w:eastAsia="MS Gothic" w:cs="Times New Roman"/>
                <w:b/>
                <w:color w:val="000000"/>
                <w:sz w:val="16"/>
                <w:szCs w:val="16"/>
                <w:lang w:eastAsia="fr-FR" w:bidi="fr-FR"/>
              </w:rPr>
              <w:t>senneurs</w:t>
            </w:r>
            <w:proofErr w:type="spellEnd"/>
          </w:p>
        </w:tc>
        <w:tc>
          <w:tcPr>
            <w:tcW w:w="1214" w:type="dxa"/>
            <w:noWrap/>
            <w:vAlign w:val="center"/>
          </w:tcPr>
          <w:p w14:paraId="0BD308F5" w14:textId="77777777" w:rsidR="00AC150B" w:rsidRPr="004E13E9" w:rsidRDefault="00AC150B" w:rsidP="00AF11BC">
            <w:pPr>
              <w:widowControl w:val="0"/>
              <w:jc w:val="center"/>
              <w:rPr>
                <w:rFonts w:eastAsia="Times New Roman" w:cs="Times New Roman"/>
                <w:color w:val="000000"/>
                <w:sz w:val="16"/>
                <w:szCs w:val="16"/>
                <w:lang w:eastAsia="ja-JP" w:bidi="fr-FR"/>
              </w:rPr>
            </w:pPr>
          </w:p>
        </w:tc>
        <w:tc>
          <w:tcPr>
            <w:tcW w:w="675" w:type="dxa"/>
          </w:tcPr>
          <w:p w14:paraId="3A0B6609"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704" w:type="dxa"/>
            <w:noWrap/>
            <w:vAlign w:val="center"/>
          </w:tcPr>
          <w:p w14:paraId="6256489A"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5" w:type="dxa"/>
            <w:vAlign w:val="center"/>
          </w:tcPr>
          <w:p w14:paraId="232C13EA"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gridSpan w:val="2"/>
            <w:vAlign w:val="center"/>
          </w:tcPr>
          <w:p w14:paraId="6D04B4EC"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vAlign w:val="center"/>
          </w:tcPr>
          <w:p w14:paraId="689DB56C"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tcPr>
          <w:p w14:paraId="0545DB76"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9" w:type="dxa"/>
          </w:tcPr>
          <w:p w14:paraId="6400EE92"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270" w:type="dxa"/>
            <w:shd w:val="clear" w:color="000000" w:fill="D9D9D9"/>
            <w:vAlign w:val="center"/>
          </w:tcPr>
          <w:p w14:paraId="12CD336E"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tcPr>
          <w:p w14:paraId="653AB503"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5" w:type="dxa"/>
            <w:vAlign w:val="center"/>
          </w:tcPr>
          <w:p w14:paraId="183F1AD2"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8" w:type="dxa"/>
            <w:vAlign w:val="center"/>
          </w:tcPr>
          <w:p w14:paraId="47F49EE3"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919" w:type="dxa"/>
            <w:vAlign w:val="center"/>
          </w:tcPr>
          <w:p w14:paraId="0E8057F0"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810" w:type="dxa"/>
            <w:vAlign w:val="center"/>
          </w:tcPr>
          <w:p w14:paraId="6CBA541F"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811" w:type="dxa"/>
            <w:vAlign w:val="center"/>
          </w:tcPr>
          <w:p w14:paraId="433A2378"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1118" w:type="dxa"/>
          </w:tcPr>
          <w:p w14:paraId="286F9653" w14:textId="77777777" w:rsidR="00AC150B" w:rsidRPr="004E13E9" w:rsidRDefault="00AC150B" w:rsidP="00AF11BC">
            <w:pPr>
              <w:widowControl w:val="0"/>
              <w:jc w:val="center"/>
              <w:rPr>
                <w:rFonts w:eastAsia="Times New Roman" w:cs="Calibri"/>
                <w:b/>
                <w:bCs/>
                <w:color w:val="000000"/>
                <w:sz w:val="16"/>
                <w:szCs w:val="16"/>
                <w:lang w:eastAsia="ja-JP" w:bidi="fr-FR"/>
              </w:rPr>
            </w:pPr>
          </w:p>
        </w:tc>
      </w:tr>
      <w:tr w:rsidR="00A049DB" w:rsidRPr="004E13E9" w14:paraId="75628ADA" w14:textId="77777777" w:rsidTr="004C5B27">
        <w:trPr>
          <w:trHeight w:val="19"/>
        </w:trPr>
        <w:tc>
          <w:tcPr>
            <w:tcW w:w="2840" w:type="dxa"/>
            <w:noWrap/>
            <w:vAlign w:val="center"/>
          </w:tcPr>
          <w:p w14:paraId="3E375C98" w14:textId="77777777" w:rsidR="00AC150B" w:rsidRPr="004E13E9" w:rsidRDefault="00AC150B" w:rsidP="00AF11BC">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Palangrier de plus de 40 m</w:t>
            </w:r>
          </w:p>
        </w:tc>
        <w:tc>
          <w:tcPr>
            <w:tcW w:w="1214" w:type="dxa"/>
            <w:noWrap/>
            <w:vAlign w:val="center"/>
          </w:tcPr>
          <w:p w14:paraId="6CE80C88"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25</w:t>
            </w:r>
          </w:p>
        </w:tc>
        <w:tc>
          <w:tcPr>
            <w:tcW w:w="675" w:type="dxa"/>
          </w:tcPr>
          <w:p w14:paraId="1D35AB07" w14:textId="77777777" w:rsidR="00AC150B" w:rsidRPr="004E13E9" w:rsidRDefault="00AC150B" w:rsidP="00AF11BC">
            <w:pPr>
              <w:jc w:val="center"/>
              <w:rPr>
                <w:rFonts w:eastAsia="MS Gothic" w:cs="Times New Roman"/>
                <w:sz w:val="16"/>
                <w:szCs w:val="16"/>
                <w:lang w:eastAsia="fr-FR" w:bidi="fr-FR"/>
              </w:rPr>
            </w:pPr>
            <w:r w:rsidRPr="004E13E9">
              <w:rPr>
                <w:rFonts w:eastAsia="MS Gothic" w:cs="Times New Roman"/>
                <w:sz w:val="16"/>
                <w:szCs w:val="16"/>
                <w:lang w:eastAsia="fr-FR" w:bidi="fr-FR"/>
              </w:rPr>
              <w:t>4</w:t>
            </w:r>
          </w:p>
        </w:tc>
        <w:tc>
          <w:tcPr>
            <w:tcW w:w="704" w:type="dxa"/>
            <w:noWrap/>
            <w:vAlign w:val="center"/>
          </w:tcPr>
          <w:p w14:paraId="2EEEFB7E" w14:textId="77777777" w:rsidR="00AC150B" w:rsidRPr="004E13E9" w:rsidRDefault="00AC150B" w:rsidP="00AF11BC">
            <w:pPr>
              <w:jc w:val="center"/>
              <w:rPr>
                <w:rFonts w:eastAsia="MS Gothic" w:cs="Times New Roman"/>
                <w:sz w:val="16"/>
                <w:szCs w:val="16"/>
                <w:lang w:eastAsia="fr-FR" w:bidi="fr-FR"/>
              </w:rPr>
            </w:pPr>
            <w:r w:rsidRPr="004E13E9">
              <w:rPr>
                <w:rFonts w:eastAsia="MS Gothic" w:cs="Times New Roman"/>
                <w:sz w:val="16"/>
                <w:szCs w:val="16"/>
                <w:lang w:eastAsia="fr-FR" w:bidi="fr-FR"/>
              </w:rPr>
              <w:t>4</w:t>
            </w:r>
          </w:p>
        </w:tc>
        <w:tc>
          <w:tcPr>
            <w:tcW w:w="675" w:type="dxa"/>
            <w:vAlign w:val="center"/>
          </w:tcPr>
          <w:p w14:paraId="2132E359" w14:textId="77777777" w:rsidR="00AC150B" w:rsidRPr="004E13E9" w:rsidRDefault="00AC150B" w:rsidP="00AF11BC">
            <w:pPr>
              <w:jc w:val="center"/>
              <w:rPr>
                <w:rFonts w:eastAsia="MS Gothic" w:cs="Times New Roman"/>
                <w:sz w:val="16"/>
                <w:szCs w:val="16"/>
                <w:lang w:eastAsia="fr-FR" w:bidi="fr-FR"/>
              </w:rPr>
            </w:pPr>
            <w:r w:rsidRPr="004E13E9">
              <w:rPr>
                <w:rFonts w:eastAsia="MS Gothic" w:cs="Times New Roman"/>
                <w:sz w:val="16"/>
                <w:szCs w:val="16"/>
                <w:lang w:eastAsia="fr-FR" w:bidi="fr-FR"/>
              </w:rPr>
              <w:t>2</w:t>
            </w:r>
          </w:p>
        </w:tc>
        <w:tc>
          <w:tcPr>
            <w:tcW w:w="676" w:type="dxa"/>
            <w:gridSpan w:val="2"/>
            <w:vAlign w:val="center"/>
          </w:tcPr>
          <w:p w14:paraId="38488741" w14:textId="77777777" w:rsidR="00AC150B" w:rsidRPr="004E13E9" w:rsidRDefault="00AC150B" w:rsidP="00AF11BC">
            <w:pPr>
              <w:jc w:val="center"/>
              <w:rPr>
                <w:rFonts w:eastAsia="MS Gothic" w:cs="Times New Roman"/>
                <w:sz w:val="16"/>
                <w:szCs w:val="16"/>
                <w:lang w:eastAsia="fr-FR" w:bidi="fr-FR"/>
              </w:rPr>
            </w:pPr>
            <w:r w:rsidRPr="004E13E9">
              <w:rPr>
                <w:rFonts w:eastAsia="MS Gothic" w:cs="Times New Roman"/>
                <w:sz w:val="16"/>
                <w:szCs w:val="16"/>
                <w:lang w:eastAsia="fr-FR" w:bidi="fr-FR"/>
              </w:rPr>
              <w:t>2</w:t>
            </w:r>
          </w:p>
        </w:tc>
        <w:tc>
          <w:tcPr>
            <w:tcW w:w="676" w:type="dxa"/>
          </w:tcPr>
          <w:p w14:paraId="51798BC0" w14:textId="77777777" w:rsidR="00AC150B" w:rsidRPr="004E13E9" w:rsidRDefault="00AC150B" w:rsidP="00AF11BC">
            <w:pPr>
              <w:jc w:val="center"/>
              <w:rPr>
                <w:rFonts w:eastAsia="MS Gothic" w:cs="Times New Roman"/>
                <w:sz w:val="16"/>
                <w:szCs w:val="16"/>
                <w:lang w:eastAsia="fr-FR" w:bidi="fr-FR"/>
              </w:rPr>
            </w:pPr>
            <w:r w:rsidRPr="004E13E9">
              <w:rPr>
                <w:rFonts w:eastAsia="MS Gothic" w:cs="Times New Roman"/>
                <w:sz w:val="16"/>
                <w:szCs w:val="16"/>
                <w:lang w:eastAsia="fr-FR" w:bidi="fr-FR"/>
              </w:rPr>
              <w:t>2</w:t>
            </w:r>
          </w:p>
        </w:tc>
        <w:tc>
          <w:tcPr>
            <w:tcW w:w="676" w:type="dxa"/>
          </w:tcPr>
          <w:p w14:paraId="3EF31500" w14:textId="77777777" w:rsidR="00AC150B" w:rsidRPr="004E13E9" w:rsidRDefault="00AC150B" w:rsidP="00AF11BC">
            <w:pPr>
              <w:jc w:val="center"/>
              <w:rPr>
                <w:rFonts w:eastAsia="MS Gothic" w:cs="Times New Roman"/>
                <w:sz w:val="16"/>
                <w:szCs w:val="16"/>
                <w:lang w:eastAsia="fr-FR" w:bidi="fr-FR"/>
              </w:rPr>
            </w:pPr>
            <w:r w:rsidRPr="004E13E9">
              <w:rPr>
                <w:rFonts w:eastAsia="MS Gothic" w:cs="Times New Roman"/>
                <w:sz w:val="16"/>
                <w:szCs w:val="16"/>
                <w:lang w:eastAsia="fr-FR" w:bidi="fr-FR"/>
              </w:rPr>
              <w:t>2</w:t>
            </w:r>
          </w:p>
        </w:tc>
        <w:tc>
          <w:tcPr>
            <w:tcW w:w="679" w:type="dxa"/>
          </w:tcPr>
          <w:p w14:paraId="0E796916" w14:textId="77777777" w:rsidR="00AC150B" w:rsidRPr="004E13E9" w:rsidRDefault="00AC150B" w:rsidP="00AF11BC">
            <w:pPr>
              <w:jc w:val="center"/>
              <w:rPr>
                <w:rFonts w:eastAsia="SimSun" w:cs="Times New Roman"/>
                <w:sz w:val="16"/>
                <w:szCs w:val="16"/>
                <w:lang w:eastAsia="fr-FR" w:bidi="fr-FR"/>
              </w:rPr>
            </w:pPr>
            <w:r w:rsidRPr="004E13E9">
              <w:rPr>
                <w:rFonts w:eastAsia="MS Gothic" w:cs="Times New Roman"/>
                <w:sz w:val="16"/>
                <w:szCs w:val="16"/>
                <w:lang w:eastAsia="fr-FR" w:bidi="fr-FR"/>
              </w:rPr>
              <w:t>3</w:t>
            </w:r>
          </w:p>
        </w:tc>
        <w:tc>
          <w:tcPr>
            <w:tcW w:w="270" w:type="dxa"/>
            <w:shd w:val="clear" w:color="000000" w:fill="D9D9D9"/>
            <w:vAlign w:val="center"/>
          </w:tcPr>
          <w:p w14:paraId="62C11A6D"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tcPr>
          <w:p w14:paraId="251FB299" w14:textId="77777777" w:rsidR="00AC150B" w:rsidRPr="004E13E9" w:rsidRDefault="00AC150B" w:rsidP="00AF11BC">
            <w:pPr>
              <w:jc w:val="center"/>
              <w:rPr>
                <w:rFonts w:eastAsia="MS Gothic" w:cs="Times New Roman"/>
                <w:sz w:val="16"/>
                <w:szCs w:val="16"/>
                <w:lang w:eastAsia="fr-FR" w:bidi="fr-FR"/>
              </w:rPr>
            </w:pPr>
            <w:r w:rsidRPr="004E13E9">
              <w:rPr>
                <w:rFonts w:eastAsia="MS Gothic" w:cs="Times New Roman"/>
                <w:sz w:val="16"/>
                <w:szCs w:val="16"/>
                <w:lang w:eastAsia="fr-FR" w:bidi="fr-FR"/>
              </w:rPr>
              <w:t>100</w:t>
            </w:r>
          </w:p>
        </w:tc>
        <w:tc>
          <w:tcPr>
            <w:tcW w:w="675" w:type="dxa"/>
            <w:vAlign w:val="center"/>
          </w:tcPr>
          <w:p w14:paraId="4C1359BE" w14:textId="77777777" w:rsidR="00AC150B" w:rsidRPr="004E13E9" w:rsidRDefault="00AC150B" w:rsidP="00AF11BC">
            <w:pPr>
              <w:jc w:val="center"/>
              <w:rPr>
                <w:rFonts w:eastAsia="MS Gothic" w:cs="Times New Roman"/>
                <w:sz w:val="16"/>
                <w:szCs w:val="16"/>
                <w:lang w:eastAsia="fr-FR" w:bidi="fr-FR"/>
              </w:rPr>
            </w:pPr>
            <w:r w:rsidRPr="004E13E9">
              <w:rPr>
                <w:rFonts w:eastAsia="MS Gothic" w:cs="Times New Roman"/>
                <w:sz w:val="16"/>
                <w:szCs w:val="16"/>
                <w:lang w:eastAsia="fr-FR" w:bidi="fr-FR"/>
              </w:rPr>
              <w:t>100</w:t>
            </w:r>
          </w:p>
        </w:tc>
        <w:tc>
          <w:tcPr>
            <w:tcW w:w="678" w:type="dxa"/>
            <w:vAlign w:val="center"/>
          </w:tcPr>
          <w:p w14:paraId="1D66B6C7" w14:textId="77777777" w:rsidR="00AC150B" w:rsidRPr="004E13E9" w:rsidRDefault="00AC150B" w:rsidP="00AF11BC">
            <w:pPr>
              <w:jc w:val="center"/>
              <w:rPr>
                <w:rFonts w:eastAsia="MS Gothic" w:cs="Times New Roman"/>
                <w:sz w:val="16"/>
                <w:szCs w:val="16"/>
                <w:lang w:eastAsia="fr-FR" w:bidi="fr-FR"/>
              </w:rPr>
            </w:pPr>
            <w:r w:rsidRPr="004E13E9">
              <w:rPr>
                <w:rFonts w:eastAsia="MS Gothic" w:cs="Times New Roman"/>
                <w:sz w:val="16"/>
                <w:szCs w:val="16"/>
                <w:lang w:eastAsia="fr-FR" w:bidi="fr-FR"/>
              </w:rPr>
              <w:t>50</w:t>
            </w:r>
          </w:p>
        </w:tc>
        <w:tc>
          <w:tcPr>
            <w:tcW w:w="919" w:type="dxa"/>
            <w:vAlign w:val="center"/>
          </w:tcPr>
          <w:p w14:paraId="087EA13A" w14:textId="77777777" w:rsidR="00AC150B" w:rsidRPr="004E13E9" w:rsidRDefault="00AC150B" w:rsidP="00AF11BC">
            <w:pPr>
              <w:jc w:val="center"/>
              <w:rPr>
                <w:rFonts w:eastAsia="MS Gothic" w:cs="Times New Roman"/>
                <w:sz w:val="16"/>
                <w:szCs w:val="16"/>
                <w:lang w:eastAsia="fr-FR" w:bidi="fr-FR"/>
              </w:rPr>
            </w:pPr>
            <w:r w:rsidRPr="004E13E9">
              <w:rPr>
                <w:rFonts w:eastAsia="MS Gothic" w:cs="Times New Roman"/>
                <w:sz w:val="16"/>
                <w:szCs w:val="16"/>
                <w:lang w:eastAsia="fr-FR" w:bidi="fr-FR"/>
              </w:rPr>
              <w:t>50</w:t>
            </w:r>
          </w:p>
        </w:tc>
        <w:tc>
          <w:tcPr>
            <w:tcW w:w="810" w:type="dxa"/>
            <w:vAlign w:val="center"/>
          </w:tcPr>
          <w:p w14:paraId="7CFBD2A2" w14:textId="77777777" w:rsidR="00AC150B" w:rsidRPr="004E13E9" w:rsidRDefault="00AC150B" w:rsidP="00AF11BC">
            <w:pPr>
              <w:jc w:val="center"/>
              <w:rPr>
                <w:rFonts w:eastAsia="MS Gothic" w:cs="Times New Roman"/>
                <w:sz w:val="16"/>
                <w:szCs w:val="16"/>
                <w:lang w:eastAsia="fr-FR" w:bidi="fr-FR"/>
              </w:rPr>
            </w:pPr>
            <w:r w:rsidRPr="004E13E9">
              <w:rPr>
                <w:rFonts w:eastAsia="MS Gothic" w:cs="Times New Roman"/>
                <w:sz w:val="16"/>
                <w:szCs w:val="16"/>
                <w:lang w:eastAsia="fr-FR" w:bidi="fr-FR"/>
              </w:rPr>
              <w:t>50</w:t>
            </w:r>
          </w:p>
        </w:tc>
        <w:tc>
          <w:tcPr>
            <w:tcW w:w="811" w:type="dxa"/>
            <w:vAlign w:val="center"/>
          </w:tcPr>
          <w:p w14:paraId="63CC8344" w14:textId="77777777" w:rsidR="00AC150B" w:rsidRPr="004E13E9" w:rsidRDefault="00AC150B" w:rsidP="00AF11BC">
            <w:pPr>
              <w:jc w:val="center"/>
              <w:rPr>
                <w:rFonts w:eastAsia="MS Gothic" w:cs="Times New Roman"/>
                <w:sz w:val="16"/>
                <w:szCs w:val="16"/>
                <w:lang w:eastAsia="fr-FR" w:bidi="fr-FR"/>
              </w:rPr>
            </w:pPr>
            <w:r w:rsidRPr="004E13E9">
              <w:rPr>
                <w:rFonts w:eastAsia="MS Gothic" w:cs="Times New Roman"/>
                <w:sz w:val="16"/>
                <w:szCs w:val="16"/>
                <w:lang w:eastAsia="fr-FR" w:bidi="fr-FR"/>
              </w:rPr>
              <w:t>50</w:t>
            </w:r>
          </w:p>
        </w:tc>
        <w:tc>
          <w:tcPr>
            <w:tcW w:w="1118" w:type="dxa"/>
            <w:vAlign w:val="center"/>
          </w:tcPr>
          <w:p w14:paraId="37D4AFA1" w14:textId="77777777" w:rsidR="00AC150B" w:rsidRPr="004E13E9" w:rsidRDefault="00AC150B" w:rsidP="00AF11BC">
            <w:pPr>
              <w:jc w:val="center"/>
              <w:rPr>
                <w:rFonts w:eastAsia="SimSun" w:cs="Calibri"/>
                <w:sz w:val="16"/>
                <w:szCs w:val="16"/>
                <w:lang w:eastAsia="fr-FR" w:bidi="fr-FR"/>
              </w:rPr>
            </w:pPr>
            <w:r w:rsidRPr="004E13E9">
              <w:rPr>
                <w:rFonts w:eastAsia="MS Gothic" w:cs="Times New Roman"/>
                <w:sz w:val="16"/>
                <w:szCs w:val="16"/>
                <w:lang w:eastAsia="fr-FR" w:bidi="fr-FR"/>
              </w:rPr>
              <w:t>75</w:t>
            </w:r>
          </w:p>
        </w:tc>
      </w:tr>
      <w:tr w:rsidR="00A049DB" w:rsidRPr="004E13E9" w14:paraId="5BE82B6C" w14:textId="77777777" w:rsidTr="004C5B27">
        <w:trPr>
          <w:trHeight w:val="19"/>
        </w:trPr>
        <w:tc>
          <w:tcPr>
            <w:tcW w:w="2840" w:type="dxa"/>
            <w:noWrap/>
            <w:vAlign w:val="center"/>
          </w:tcPr>
          <w:p w14:paraId="6075C574" w14:textId="77777777" w:rsidR="00AC150B" w:rsidRPr="004E13E9" w:rsidRDefault="00AC150B" w:rsidP="00AF11BC">
            <w:pPr>
              <w:widowControl w:val="0"/>
              <w:jc w:val="both"/>
              <w:rPr>
                <w:rFonts w:eastAsia="Times New Roman" w:cs="Calibri"/>
                <w:color w:val="000000"/>
                <w:sz w:val="16"/>
                <w:szCs w:val="16"/>
                <w:lang w:eastAsia="fr-FR" w:bidi="fr-FR"/>
              </w:rPr>
            </w:pPr>
            <w:proofErr w:type="spellStart"/>
            <w:r w:rsidRPr="004E13E9">
              <w:rPr>
                <w:rFonts w:eastAsia="MS Gothic" w:cs="Times New Roman"/>
                <w:color w:val="000000"/>
                <w:sz w:val="16"/>
                <w:szCs w:val="16"/>
                <w:lang w:eastAsia="fr-FR" w:bidi="fr-FR"/>
              </w:rPr>
              <w:t>Palangrier</w:t>
            </w:r>
            <w:proofErr w:type="spellEnd"/>
            <w:r w:rsidRPr="004E13E9">
              <w:rPr>
                <w:rFonts w:eastAsia="MS Gothic" w:cs="Times New Roman"/>
                <w:color w:val="000000"/>
                <w:sz w:val="16"/>
                <w:szCs w:val="16"/>
                <w:lang w:eastAsia="fr-FR" w:bidi="fr-FR"/>
              </w:rPr>
              <w:t xml:space="preserve"> entre 24 et 40 m</w:t>
            </w:r>
          </w:p>
        </w:tc>
        <w:tc>
          <w:tcPr>
            <w:tcW w:w="1214" w:type="dxa"/>
            <w:noWrap/>
            <w:vAlign w:val="center"/>
          </w:tcPr>
          <w:p w14:paraId="2124E183"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5,68</w:t>
            </w:r>
          </w:p>
        </w:tc>
        <w:tc>
          <w:tcPr>
            <w:tcW w:w="675" w:type="dxa"/>
          </w:tcPr>
          <w:p w14:paraId="1EEC276C"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704" w:type="dxa"/>
            <w:noWrap/>
            <w:vAlign w:val="center"/>
          </w:tcPr>
          <w:p w14:paraId="64B122FD"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vAlign w:val="center"/>
          </w:tcPr>
          <w:p w14:paraId="7A982C0F"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gridSpan w:val="2"/>
            <w:vAlign w:val="center"/>
          </w:tcPr>
          <w:p w14:paraId="3ADF27B9"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vAlign w:val="center"/>
          </w:tcPr>
          <w:p w14:paraId="1E03A9D1"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tcPr>
          <w:p w14:paraId="0D9686F4"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9" w:type="dxa"/>
          </w:tcPr>
          <w:p w14:paraId="62C3F1D1"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270" w:type="dxa"/>
            <w:shd w:val="clear" w:color="000000" w:fill="D9D9D9"/>
            <w:vAlign w:val="center"/>
          </w:tcPr>
          <w:p w14:paraId="1220BB17"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tcPr>
          <w:p w14:paraId="0CB624DF"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vAlign w:val="center"/>
          </w:tcPr>
          <w:p w14:paraId="42B12560"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8" w:type="dxa"/>
            <w:vAlign w:val="center"/>
          </w:tcPr>
          <w:p w14:paraId="20F3ADB7"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919" w:type="dxa"/>
            <w:vAlign w:val="center"/>
          </w:tcPr>
          <w:p w14:paraId="3F5C1727"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810" w:type="dxa"/>
            <w:vAlign w:val="center"/>
          </w:tcPr>
          <w:p w14:paraId="4AF10C8F"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811" w:type="dxa"/>
            <w:vAlign w:val="center"/>
          </w:tcPr>
          <w:p w14:paraId="1C7B982D"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1118" w:type="dxa"/>
          </w:tcPr>
          <w:p w14:paraId="4C89C21A" w14:textId="77777777" w:rsidR="00AC150B" w:rsidRPr="004E13E9" w:rsidRDefault="00AC150B" w:rsidP="00AF11BC">
            <w:pPr>
              <w:widowControl w:val="0"/>
              <w:jc w:val="center"/>
              <w:rPr>
                <w:rFonts w:eastAsia="Times New Roman" w:cs="Calibri"/>
                <w:color w:val="000000"/>
                <w:sz w:val="16"/>
                <w:szCs w:val="16"/>
                <w:lang w:eastAsia="ja-JP" w:bidi="fr-FR"/>
              </w:rPr>
            </w:pPr>
          </w:p>
        </w:tc>
      </w:tr>
      <w:tr w:rsidR="00A049DB" w:rsidRPr="004E13E9" w14:paraId="63F3011F" w14:textId="77777777" w:rsidTr="004C5B27">
        <w:trPr>
          <w:trHeight w:val="19"/>
        </w:trPr>
        <w:tc>
          <w:tcPr>
            <w:tcW w:w="2840" w:type="dxa"/>
            <w:noWrap/>
            <w:vAlign w:val="center"/>
          </w:tcPr>
          <w:p w14:paraId="74D6AF1D" w14:textId="77777777" w:rsidR="00AC150B" w:rsidRPr="004E13E9" w:rsidRDefault="00AC150B" w:rsidP="00AF11BC">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Palangrier de moins de 24m</w:t>
            </w:r>
          </w:p>
        </w:tc>
        <w:tc>
          <w:tcPr>
            <w:tcW w:w="1214" w:type="dxa"/>
            <w:noWrap/>
            <w:vAlign w:val="center"/>
          </w:tcPr>
          <w:p w14:paraId="6B08E66A"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5</w:t>
            </w:r>
          </w:p>
        </w:tc>
        <w:tc>
          <w:tcPr>
            <w:tcW w:w="675" w:type="dxa"/>
          </w:tcPr>
          <w:p w14:paraId="4F7C6C83"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704" w:type="dxa"/>
            <w:noWrap/>
            <w:vAlign w:val="center"/>
          </w:tcPr>
          <w:p w14:paraId="735BCF1A"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vAlign w:val="center"/>
          </w:tcPr>
          <w:p w14:paraId="24251FC5"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gridSpan w:val="2"/>
            <w:vAlign w:val="center"/>
          </w:tcPr>
          <w:p w14:paraId="3F407DD7"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vAlign w:val="center"/>
          </w:tcPr>
          <w:p w14:paraId="28288091"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tcPr>
          <w:p w14:paraId="34D8FDE3"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9" w:type="dxa"/>
          </w:tcPr>
          <w:p w14:paraId="0390C4AF"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270" w:type="dxa"/>
            <w:shd w:val="clear" w:color="000000" w:fill="D9D9D9"/>
            <w:vAlign w:val="center"/>
          </w:tcPr>
          <w:p w14:paraId="63D63188"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tcPr>
          <w:p w14:paraId="2B3724F2"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vAlign w:val="center"/>
          </w:tcPr>
          <w:p w14:paraId="7D911906"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8" w:type="dxa"/>
            <w:vAlign w:val="center"/>
          </w:tcPr>
          <w:p w14:paraId="4279F576"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919" w:type="dxa"/>
            <w:vAlign w:val="center"/>
          </w:tcPr>
          <w:p w14:paraId="5BCA9A7D"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810" w:type="dxa"/>
            <w:vAlign w:val="center"/>
          </w:tcPr>
          <w:p w14:paraId="06959976"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811" w:type="dxa"/>
            <w:vAlign w:val="center"/>
          </w:tcPr>
          <w:p w14:paraId="342CF47F"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1118" w:type="dxa"/>
          </w:tcPr>
          <w:p w14:paraId="3BAC818E" w14:textId="77777777" w:rsidR="00AC150B" w:rsidRPr="004E13E9" w:rsidRDefault="00AC150B" w:rsidP="00AF11BC">
            <w:pPr>
              <w:widowControl w:val="0"/>
              <w:jc w:val="center"/>
              <w:rPr>
                <w:rFonts w:eastAsia="Times New Roman" w:cs="Calibri"/>
                <w:color w:val="000000"/>
                <w:sz w:val="16"/>
                <w:szCs w:val="16"/>
                <w:lang w:eastAsia="ja-JP" w:bidi="fr-FR"/>
              </w:rPr>
            </w:pPr>
          </w:p>
        </w:tc>
      </w:tr>
      <w:tr w:rsidR="00A049DB" w:rsidRPr="004E13E9" w14:paraId="65E8B81D" w14:textId="77777777" w:rsidTr="004C5B27">
        <w:trPr>
          <w:trHeight w:val="19"/>
        </w:trPr>
        <w:tc>
          <w:tcPr>
            <w:tcW w:w="2840" w:type="dxa"/>
            <w:noWrap/>
            <w:vAlign w:val="center"/>
          </w:tcPr>
          <w:p w14:paraId="7C7EE89C" w14:textId="77777777" w:rsidR="00AC150B" w:rsidRPr="004E13E9" w:rsidRDefault="00AC150B" w:rsidP="00AF11BC">
            <w:pPr>
              <w:widowControl w:val="0"/>
              <w:jc w:val="both"/>
              <w:rPr>
                <w:rFonts w:eastAsia="Times New Roman" w:cs="Calibri"/>
                <w:b/>
                <w:bCs/>
                <w:color w:val="000000"/>
                <w:sz w:val="16"/>
                <w:szCs w:val="16"/>
                <w:lang w:eastAsia="fr-FR" w:bidi="fr-FR"/>
              </w:rPr>
            </w:pPr>
            <w:proofErr w:type="spellStart"/>
            <w:r w:rsidRPr="004E13E9">
              <w:rPr>
                <w:rFonts w:eastAsia="MS Gothic" w:cs="Times New Roman"/>
                <w:b/>
                <w:color w:val="000000"/>
                <w:sz w:val="16"/>
                <w:szCs w:val="16"/>
                <w:lang w:eastAsia="fr-FR" w:bidi="fr-FR"/>
              </w:rPr>
              <w:t>Flottille</w:t>
            </w:r>
            <w:proofErr w:type="spellEnd"/>
            <w:r w:rsidRPr="004E13E9">
              <w:rPr>
                <w:rFonts w:eastAsia="MS Gothic" w:cs="Times New Roman"/>
                <w:b/>
                <w:color w:val="000000"/>
                <w:sz w:val="16"/>
                <w:szCs w:val="16"/>
                <w:lang w:eastAsia="fr-FR" w:bidi="fr-FR"/>
              </w:rPr>
              <w:t xml:space="preserve"> </w:t>
            </w:r>
            <w:proofErr w:type="spellStart"/>
            <w:r w:rsidRPr="004E13E9">
              <w:rPr>
                <w:rFonts w:eastAsia="MS Gothic" w:cs="Times New Roman"/>
                <w:b/>
                <w:color w:val="000000"/>
                <w:sz w:val="16"/>
                <w:szCs w:val="16"/>
                <w:lang w:eastAsia="fr-FR" w:bidi="fr-FR"/>
              </w:rPr>
              <w:t>totale</w:t>
            </w:r>
            <w:proofErr w:type="spellEnd"/>
            <w:r w:rsidRPr="004E13E9">
              <w:rPr>
                <w:rFonts w:eastAsia="MS Gothic" w:cs="Times New Roman"/>
                <w:b/>
                <w:color w:val="000000"/>
                <w:sz w:val="16"/>
                <w:szCs w:val="16"/>
                <w:lang w:eastAsia="fr-FR" w:bidi="fr-FR"/>
              </w:rPr>
              <w:t xml:space="preserve"> de </w:t>
            </w:r>
            <w:proofErr w:type="spellStart"/>
            <w:r w:rsidRPr="004E13E9">
              <w:rPr>
                <w:rFonts w:eastAsia="MS Gothic" w:cs="Times New Roman"/>
                <w:b/>
                <w:color w:val="000000"/>
                <w:sz w:val="16"/>
                <w:szCs w:val="16"/>
                <w:lang w:eastAsia="fr-FR" w:bidi="fr-FR"/>
              </w:rPr>
              <w:t>palangriers</w:t>
            </w:r>
            <w:proofErr w:type="spellEnd"/>
          </w:p>
        </w:tc>
        <w:tc>
          <w:tcPr>
            <w:tcW w:w="1214" w:type="dxa"/>
            <w:noWrap/>
            <w:vAlign w:val="center"/>
          </w:tcPr>
          <w:p w14:paraId="2BAEAD85" w14:textId="77777777" w:rsidR="00AC150B" w:rsidRPr="004E13E9" w:rsidRDefault="00AC150B" w:rsidP="00AF11BC">
            <w:pPr>
              <w:widowControl w:val="0"/>
              <w:jc w:val="center"/>
              <w:rPr>
                <w:rFonts w:eastAsia="Times New Roman" w:cs="Times New Roman"/>
                <w:color w:val="000000"/>
                <w:sz w:val="16"/>
                <w:szCs w:val="16"/>
                <w:lang w:eastAsia="ja-JP" w:bidi="fr-FR"/>
              </w:rPr>
            </w:pPr>
          </w:p>
        </w:tc>
        <w:tc>
          <w:tcPr>
            <w:tcW w:w="675" w:type="dxa"/>
          </w:tcPr>
          <w:p w14:paraId="6743A31A"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4</w:t>
            </w:r>
          </w:p>
        </w:tc>
        <w:tc>
          <w:tcPr>
            <w:tcW w:w="704" w:type="dxa"/>
            <w:noWrap/>
            <w:vAlign w:val="center"/>
          </w:tcPr>
          <w:p w14:paraId="28D509D8"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4</w:t>
            </w:r>
          </w:p>
        </w:tc>
        <w:tc>
          <w:tcPr>
            <w:tcW w:w="675" w:type="dxa"/>
            <w:vAlign w:val="center"/>
          </w:tcPr>
          <w:p w14:paraId="0FE75E71"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2</w:t>
            </w:r>
          </w:p>
        </w:tc>
        <w:tc>
          <w:tcPr>
            <w:tcW w:w="676" w:type="dxa"/>
            <w:gridSpan w:val="2"/>
            <w:vAlign w:val="center"/>
          </w:tcPr>
          <w:p w14:paraId="3A1EC6A7"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2</w:t>
            </w:r>
          </w:p>
        </w:tc>
        <w:tc>
          <w:tcPr>
            <w:tcW w:w="676" w:type="dxa"/>
          </w:tcPr>
          <w:p w14:paraId="49B7D7F3"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2</w:t>
            </w:r>
          </w:p>
        </w:tc>
        <w:tc>
          <w:tcPr>
            <w:tcW w:w="676" w:type="dxa"/>
          </w:tcPr>
          <w:p w14:paraId="2CE4529B"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2</w:t>
            </w:r>
          </w:p>
        </w:tc>
        <w:tc>
          <w:tcPr>
            <w:tcW w:w="679" w:type="dxa"/>
          </w:tcPr>
          <w:p w14:paraId="4E41C92B" w14:textId="77777777" w:rsidR="00AC150B" w:rsidRPr="004E13E9" w:rsidRDefault="00AC150B" w:rsidP="00AF11BC">
            <w:pPr>
              <w:jc w:val="center"/>
              <w:rPr>
                <w:rFonts w:eastAsia="SimSun" w:cs="Times New Roman"/>
                <w:b/>
                <w:bCs/>
                <w:sz w:val="16"/>
                <w:szCs w:val="16"/>
                <w:lang w:eastAsia="fr-FR" w:bidi="fr-FR"/>
              </w:rPr>
            </w:pPr>
            <w:r w:rsidRPr="004E13E9">
              <w:rPr>
                <w:rFonts w:eastAsia="MS Gothic" w:cs="Times New Roman"/>
                <w:b/>
                <w:sz w:val="16"/>
                <w:szCs w:val="16"/>
                <w:lang w:eastAsia="fr-FR" w:bidi="fr-FR"/>
              </w:rPr>
              <w:t>3</w:t>
            </w:r>
          </w:p>
        </w:tc>
        <w:tc>
          <w:tcPr>
            <w:tcW w:w="270" w:type="dxa"/>
            <w:shd w:val="clear" w:color="000000" w:fill="D9D9D9"/>
            <w:vAlign w:val="center"/>
          </w:tcPr>
          <w:p w14:paraId="4CCF4DB0"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tcPr>
          <w:p w14:paraId="47E43553"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100</w:t>
            </w:r>
          </w:p>
        </w:tc>
        <w:tc>
          <w:tcPr>
            <w:tcW w:w="675" w:type="dxa"/>
            <w:vAlign w:val="center"/>
          </w:tcPr>
          <w:p w14:paraId="18DE8992"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100</w:t>
            </w:r>
          </w:p>
        </w:tc>
        <w:tc>
          <w:tcPr>
            <w:tcW w:w="678" w:type="dxa"/>
            <w:vAlign w:val="center"/>
          </w:tcPr>
          <w:p w14:paraId="2C506667"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50</w:t>
            </w:r>
          </w:p>
        </w:tc>
        <w:tc>
          <w:tcPr>
            <w:tcW w:w="919" w:type="dxa"/>
            <w:vAlign w:val="center"/>
          </w:tcPr>
          <w:p w14:paraId="23755862"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50</w:t>
            </w:r>
          </w:p>
        </w:tc>
        <w:tc>
          <w:tcPr>
            <w:tcW w:w="810" w:type="dxa"/>
            <w:vAlign w:val="center"/>
          </w:tcPr>
          <w:p w14:paraId="67CC6EB5" w14:textId="77777777" w:rsidR="00AC150B" w:rsidRPr="004E13E9" w:rsidRDefault="00AC150B" w:rsidP="00AF11BC">
            <w:pPr>
              <w:jc w:val="center"/>
              <w:rPr>
                <w:rFonts w:eastAsia="Times New Roman" w:cs="Calibri"/>
                <w:b/>
                <w:bCs/>
                <w:color w:val="000000"/>
                <w:sz w:val="16"/>
                <w:szCs w:val="16"/>
                <w:lang w:eastAsia="fr-FR" w:bidi="fr-FR"/>
              </w:rPr>
            </w:pPr>
            <w:r w:rsidRPr="004E13E9">
              <w:rPr>
                <w:rFonts w:eastAsia="MS Gothic" w:cs="Times New Roman"/>
                <w:b/>
                <w:sz w:val="16"/>
                <w:szCs w:val="16"/>
                <w:lang w:eastAsia="fr-FR" w:bidi="fr-FR"/>
              </w:rPr>
              <w:t>50</w:t>
            </w:r>
          </w:p>
        </w:tc>
        <w:tc>
          <w:tcPr>
            <w:tcW w:w="811" w:type="dxa"/>
            <w:vAlign w:val="center"/>
          </w:tcPr>
          <w:p w14:paraId="28BFFE0E" w14:textId="77777777" w:rsidR="00AC150B" w:rsidRPr="004E13E9" w:rsidRDefault="00AC150B" w:rsidP="00AF11BC">
            <w:pPr>
              <w:jc w:val="center"/>
              <w:rPr>
                <w:rFonts w:eastAsia="Times New Roman" w:cs="Calibri"/>
                <w:b/>
                <w:bCs/>
                <w:color w:val="000000"/>
                <w:sz w:val="16"/>
                <w:szCs w:val="16"/>
                <w:lang w:eastAsia="fr-FR" w:bidi="fr-FR"/>
              </w:rPr>
            </w:pPr>
            <w:r w:rsidRPr="004E13E9">
              <w:rPr>
                <w:rFonts w:eastAsia="MS Gothic" w:cs="Times New Roman"/>
                <w:b/>
                <w:sz w:val="16"/>
                <w:szCs w:val="16"/>
                <w:lang w:eastAsia="fr-FR" w:bidi="fr-FR"/>
              </w:rPr>
              <w:t>50</w:t>
            </w:r>
          </w:p>
        </w:tc>
        <w:tc>
          <w:tcPr>
            <w:tcW w:w="1118" w:type="dxa"/>
          </w:tcPr>
          <w:p w14:paraId="688232EE" w14:textId="77777777" w:rsidR="00AC150B" w:rsidRPr="004E13E9" w:rsidRDefault="00AC150B" w:rsidP="00AF11BC">
            <w:pPr>
              <w:widowControl w:val="0"/>
              <w:jc w:val="center"/>
              <w:rPr>
                <w:rFonts w:eastAsia="SimSun" w:cs="Calibri"/>
                <w:b/>
                <w:bCs/>
                <w:color w:val="000000"/>
                <w:sz w:val="16"/>
                <w:szCs w:val="16"/>
                <w:lang w:eastAsia="fr-FR" w:bidi="fr-FR"/>
              </w:rPr>
            </w:pPr>
            <w:r w:rsidRPr="004E13E9">
              <w:rPr>
                <w:rFonts w:eastAsia="MS Gothic" w:cs="Times New Roman"/>
                <w:b/>
                <w:color w:val="000000"/>
                <w:sz w:val="16"/>
                <w:szCs w:val="16"/>
                <w:lang w:eastAsia="fr-FR" w:bidi="fr-FR"/>
              </w:rPr>
              <w:t>75</w:t>
            </w:r>
          </w:p>
        </w:tc>
      </w:tr>
      <w:tr w:rsidR="00A049DB" w:rsidRPr="004E13E9" w14:paraId="35044C2C" w14:textId="77777777" w:rsidTr="004C5B27">
        <w:trPr>
          <w:trHeight w:val="19"/>
        </w:trPr>
        <w:tc>
          <w:tcPr>
            <w:tcW w:w="2840" w:type="dxa"/>
            <w:noWrap/>
            <w:vAlign w:val="center"/>
          </w:tcPr>
          <w:p w14:paraId="2BEC20B4" w14:textId="77777777" w:rsidR="00AC150B" w:rsidRPr="004E13E9" w:rsidRDefault="00AC150B" w:rsidP="00AF11BC">
            <w:pPr>
              <w:widowControl w:val="0"/>
              <w:jc w:val="both"/>
              <w:rPr>
                <w:rFonts w:eastAsia="Times New Roman" w:cs="Calibri"/>
                <w:color w:val="000000"/>
                <w:sz w:val="16"/>
                <w:szCs w:val="16"/>
                <w:lang w:eastAsia="fr-FR" w:bidi="fr-FR"/>
              </w:rPr>
            </w:pPr>
            <w:proofErr w:type="spellStart"/>
            <w:r w:rsidRPr="004E13E9">
              <w:rPr>
                <w:rFonts w:eastAsia="MS Gothic" w:cs="Times New Roman"/>
                <w:color w:val="000000"/>
                <w:sz w:val="16"/>
                <w:szCs w:val="16"/>
                <w:lang w:eastAsia="fr-FR" w:bidi="fr-FR"/>
              </w:rPr>
              <w:t>Canneur</w:t>
            </w:r>
            <w:proofErr w:type="spellEnd"/>
          </w:p>
        </w:tc>
        <w:tc>
          <w:tcPr>
            <w:tcW w:w="1214" w:type="dxa"/>
            <w:noWrap/>
            <w:vAlign w:val="center"/>
          </w:tcPr>
          <w:p w14:paraId="1CAF7003"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19,75</w:t>
            </w:r>
          </w:p>
        </w:tc>
        <w:tc>
          <w:tcPr>
            <w:tcW w:w="675" w:type="dxa"/>
          </w:tcPr>
          <w:p w14:paraId="1168D5AB"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704" w:type="dxa"/>
            <w:noWrap/>
            <w:vAlign w:val="center"/>
          </w:tcPr>
          <w:p w14:paraId="7DD9CBE5"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5" w:type="dxa"/>
            <w:vAlign w:val="center"/>
          </w:tcPr>
          <w:p w14:paraId="27701B09"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gridSpan w:val="2"/>
            <w:vAlign w:val="center"/>
          </w:tcPr>
          <w:p w14:paraId="12C9F214"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vAlign w:val="center"/>
          </w:tcPr>
          <w:p w14:paraId="68589984"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tcPr>
          <w:p w14:paraId="2A065C42"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9" w:type="dxa"/>
          </w:tcPr>
          <w:p w14:paraId="510E1AC1"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270" w:type="dxa"/>
            <w:shd w:val="clear" w:color="000000" w:fill="D9D9D9"/>
            <w:vAlign w:val="center"/>
          </w:tcPr>
          <w:p w14:paraId="25254298"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tcPr>
          <w:p w14:paraId="21788AF3"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5" w:type="dxa"/>
            <w:vAlign w:val="center"/>
          </w:tcPr>
          <w:p w14:paraId="28775BEE"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8" w:type="dxa"/>
            <w:vAlign w:val="center"/>
          </w:tcPr>
          <w:p w14:paraId="060E702A"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919" w:type="dxa"/>
            <w:vAlign w:val="center"/>
          </w:tcPr>
          <w:p w14:paraId="72F19F4C"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810" w:type="dxa"/>
            <w:vAlign w:val="center"/>
          </w:tcPr>
          <w:p w14:paraId="3A790E9C"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811" w:type="dxa"/>
            <w:vAlign w:val="center"/>
          </w:tcPr>
          <w:p w14:paraId="51325502"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1118" w:type="dxa"/>
          </w:tcPr>
          <w:p w14:paraId="12F3FB81" w14:textId="77777777" w:rsidR="00AC150B" w:rsidRPr="004E13E9" w:rsidRDefault="00AC150B" w:rsidP="00AF11BC">
            <w:pPr>
              <w:widowControl w:val="0"/>
              <w:jc w:val="center"/>
              <w:rPr>
                <w:rFonts w:eastAsia="Times New Roman" w:cs="Calibri"/>
                <w:b/>
                <w:bCs/>
                <w:color w:val="000000"/>
                <w:sz w:val="16"/>
                <w:szCs w:val="16"/>
                <w:lang w:eastAsia="ja-JP" w:bidi="fr-FR"/>
              </w:rPr>
            </w:pPr>
          </w:p>
        </w:tc>
      </w:tr>
      <w:tr w:rsidR="00A049DB" w:rsidRPr="004E13E9" w14:paraId="44A7C120" w14:textId="77777777" w:rsidTr="004C5B27">
        <w:trPr>
          <w:trHeight w:val="19"/>
        </w:trPr>
        <w:tc>
          <w:tcPr>
            <w:tcW w:w="2840" w:type="dxa"/>
            <w:noWrap/>
            <w:vAlign w:val="center"/>
          </w:tcPr>
          <w:p w14:paraId="00EAF254" w14:textId="77777777" w:rsidR="00AC150B" w:rsidRPr="004E13E9" w:rsidRDefault="00AC150B" w:rsidP="00AF11BC">
            <w:pPr>
              <w:widowControl w:val="0"/>
              <w:jc w:val="both"/>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Ligne à main</w:t>
            </w:r>
          </w:p>
        </w:tc>
        <w:tc>
          <w:tcPr>
            <w:tcW w:w="1214" w:type="dxa"/>
            <w:noWrap/>
            <w:vAlign w:val="center"/>
          </w:tcPr>
          <w:p w14:paraId="505F38C9"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5</w:t>
            </w:r>
          </w:p>
        </w:tc>
        <w:tc>
          <w:tcPr>
            <w:tcW w:w="675" w:type="dxa"/>
          </w:tcPr>
          <w:p w14:paraId="701260AB"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704" w:type="dxa"/>
            <w:noWrap/>
            <w:vAlign w:val="center"/>
          </w:tcPr>
          <w:p w14:paraId="0C1369C6"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vAlign w:val="center"/>
          </w:tcPr>
          <w:p w14:paraId="5FCD88E6"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gridSpan w:val="2"/>
            <w:vAlign w:val="center"/>
          </w:tcPr>
          <w:p w14:paraId="6B09D3B1"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vAlign w:val="center"/>
          </w:tcPr>
          <w:p w14:paraId="730B1BF8"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tcPr>
          <w:p w14:paraId="0C3CDDE0"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9" w:type="dxa"/>
          </w:tcPr>
          <w:p w14:paraId="161899B1"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270" w:type="dxa"/>
            <w:shd w:val="clear" w:color="000000" w:fill="D9D9D9"/>
            <w:vAlign w:val="center"/>
          </w:tcPr>
          <w:p w14:paraId="48CCE16F"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tcPr>
          <w:p w14:paraId="76F139C2"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vAlign w:val="center"/>
          </w:tcPr>
          <w:p w14:paraId="1F41D0E6"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8" w:type="dxa"/>
            <w:vAlign w:val="center"/>
          </w:tcPr>
          <w:p w14:paraId="3AF7C020"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919" w:type="dxa"/>
            <w:vAlign w:val="center"/>
          </w:tcPr>
          <w:p w14:paraId="4D926AC9"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810" w:type="dxa"/>
            <w:vAlign w:val="center"/>
          </w:tcPr>
          <w:p w14:paraId="05176EB9"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811" w:type="dxa"/>
            <w:vAlign w:val="center"/>
          </w:tcPr>
          <w:p w14:paraId="6EFF708B"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1118" w:type="dxa"/>
          </w:tcPr>
          <w:p w14:paraId="588D6D52" w14:textId="77777777" w:rsidR="00AC150B" w:rsidRPr="004E13E9" w:rsidRDefault="00AC150B" w:rsidP="00AF11BC">
            <w:pPr>
              <w:widowControl w:val="0"/>
              <w:jc w:val="center"/>
              <w:rPr>
                <w:rFonts w:eastAsia="Times New Roman" w:cs="Calibri"/>
                <w:color w:val="000000"/>
                <w:sz w:val="16"/>
                <w:szCs w:val="16"/>
                <w:lang w:eastAsia="ja-JP" w:bidi="fr-FR"/>
              </w:rPr>
            </w:pPr>
          </w:p>
        </w:tc>
      </w:tr>
      <w:tr w:rsidR="00A049DB" w:rsidRPr="004E13E9" w14:paraId="24BE2E4D" w14:textId="77777777" w:rsidTr="004C5B27">
        <w:trPr>
          <w:trHeight w:val="19"/>
        </w:trPr>
        <w:tc>
          <w:tcPr>
            <w:tcW w:w="2840" w:type="dxa"/>
            <w:noWrap/>
            <w:vAlign w:val="center"/>
          </w:tcPr>
          <w:p w14:paraId="72A8B666" w14:textId="77777777" w:rsidR="00AC150B" w:rsidRPr="004E13E9" w:rsidRDefault="00AC150B" w:rsidP="00AF11BC">
            <w:pPr>
              <w:widowControl w:val="0"/>
              <w:jc w:val="both"/>
              <w:rPr>
                <w:rFonts w:eastAsia="Times New Roman" w:cs="Calibri"/>
                <w:color w:val="000000"/>
                <w:sz w:val="16"/>
                <w:szCs w:val="16"/>
                <w:lang w:eastAsia="fr-FR" w:bidi="fr-FR"/>
              </w:rPr>
            </w:pPr>
            <w:proofErr w:type="spellStart"/>
            <w:r w:rsidRPr="004E13E9">
              <w:rPr>
                <w:rFonts w:eastAsia="MS Gothic" w:cs="Times New Roman"/>
                <w:color w:val="000000"/>
                <w:sz w:val="16"/>
                <w:szCs w:val="16"/>
                <w:lang w:eastAsia="fr-FR" w:bidi="fr-FR"/>
              </w:rPr>
              <w:t>Chalutier</w:t>
            </w:r>
            <w:proofErr w:type="spellEnd"/>
          </w:p>
        </w:tc>
        <w:tc>
          <w:tcPr>
            <w:tcW w:w="1214" w:type="dxa"/>
            <w:noWrap/>
            <w:vAlign w:val="center"/>
          </w:tcPr>
          <w:p w14:paraId="4D6A55B9"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10</w:t>
            </w:r>
          </w:p>
        </w:tc>
        <w:tc>
          <w:tcPr>
            <w:tcW w:w="675" w:type="dxa"/>
          </w:tcPr>
          <w:p w14:paraId="03677EFD"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704" w:type="dxa"/>
            <w:noWrap/>
            <w:vAlign w:val="center"/>
          </w:tcPr>
          <w:p w14:paraId="347F6F27"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vAlign w:val="center"/>
          </w:tcPr>
          <w:p w14:paraId="17D7EA56"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gridSpan w:val="2"/>
            <w:vAlign w:val="center"/>
          </w:tcPr>
          <w:p w14:paraId="51459D70"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vAlign w:val="center"/>
          </w:tcPr>
          <w:p w14:paraId="76B5B45D"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tcPr>
          <w:p w14:paraId="33D55C75"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9" w:type="dxa"/>
          </w:tcPr>
          <w:p w14:paraId="1B48B3F9"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270" w:type="dxa"/>
            <w:shd w:val="clear" w:color="000000" w:fill="D9D9D9"/>
            <w:vAlign w:val="center"/>
          </w:tcPr>
          <w:p w14:paraId="4F2D052A"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tcPr>
          <w:p w14:paraId="0D2BEE75"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vAlign w:val="center"/>
          </w:tcPr>
          <w:p w14:paraId="6967BBF1"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8" w:type="dxa"/>
            <w:vAlign w:val="center"/>
          </w:tcPr>
          <w:p w14:paraId="4BA20AA8"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919" w:type="dxa"/>
            <w:vAlign w:val="center"/>
          </w:tcPr>
          <w:p w14:paraId="227F9D69"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810" w:type="dxa"/>
            <w:vAlign w:val="center"/>
          </w:tcPr>
          <w:p w14:paraId="14C67879"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811" w:type="dxa"/>
            <w:vAlign w:val="center"/>
          </w:tcPr>
          <w:p w14:paraId="1D087DB2"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1118" w:type="dxa"/>
          </w:tcPr>
          <w:p w14:paraId="69CAD0EE" w14:textId="77777777" w:rsidR="00AC150B" w:rsidRPr="004E13E9" w:rsidRDefault="00AC150B" w:rsidP="00AF11BC">
            <w:pPr>
              <w:widowControl w:val="0"/>
              <w:jc w:val="center"/>
              <w:rPr>
                <w:rFonts w:eastAsia="Times New Roman" w:cs="Calibri"/>
                <w:color w:val="000000"/>
                <w:sz w:val="16"/>
                <w:szCs w:val="16"/>
                <w:lang w:eastAsia="ja-JP" w:bidi="fr-FR"/>
              </w:rPr>
            </w:pPr>
          </w:p>
        </w:tc>
      </w:tr>
      <w:tr w:rsidR="00A049DB" w:rsidRPr="004E13E9" w14:paraId="298B7E23" w14:textId="77777777" w:rsidTr="004C5B27">
        <w:trPr>
          <w:trHeight w:val="19"/>
        </w:trPr>
        <w:tc>
          <w:tcPr>
            <w:tcW w:w="2840" w:type="dxa"/>
            <w:noWrap/>
            <w:vAlign w:val="center"/>
          </w:tcPr>
          <w:p w14:paraId="2F0312C5" w14:textId="77777777" w:rsidR="00AC150B" w:rsidRPr="004E13E9" w:rsidRDefault="00AC150B" w:rsidP="00AF11BC">
            <w:pPr>
              <w:widowControl w:val="0"/>
              <w:jc w:val="both"/>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Madrague</w:t>
            </w:r>
          </w:p>
        </w:tc>
        <w:tc>
          <w:tcPr>
            <w:tcW w:w="1214" w:type="dxa"/>
            <w:noWrap/>
            <w:vAlign w:val="center"/>
          </w:tcPr>
          <w:p w14:paraId="23F3DE65"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130</w:t>
            </w:r>
          </w:p>
        </w:tc>
        <w:tc>
          <w:tcPr>
            <w:tcW w:w="675" w:type="dxa"/>
          </w:tcPr>
          <w:p w14:paraId="5DA77F76"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704" w:type="dxa"/>
            <w:noWrap/>
            <w:vAlign w:val="center"/>
          </w:tcPr>
          <w:p w14:paraId="7DD1C999"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5" w:type="dxa"/>
            <w:vAlign w:val="center"/>
          </w:tcPr>
          <w:p w14:paraId="742FFCD2"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gridSpan w:val="2"/>
            <w:vAlign w:val="center"/>
          </w:tcPr>
          <w:p w14:paraId="7003096F"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vAlign w:val="center"/>
          </w:tcPr>
          <w:p w14:paraId="3F8DDEFC"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tcPr>
          <w:p w14:paraId="40B04688"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9" w:type="dxa"/>
          </w:tcPr>
          <w:p w14:paraId="458EB934"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270" w:type="dxa"/>
            <w:shd w:val="clear" w:color="000000" w:fill="D9D9D9"/>
            <w:vAlign w:val="center"/>
          </w:tcPr>
          <w:p w14:paraId="0F63EC04"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tcPr>
          <w:p w14:paraId="07620D0E"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5" w:type="dxa"/>
            <w:vAlign w:val="center"/>
          </w:tcPr>
          <w:p w14:paraId="579B7D05"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8" w:type="dxa"/>
            <w:vAlign w:val="center"/>
          </w:tcPr>
          <w:p w14:paraId="031805BB"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919" w:type="dxa"/>
            <w:vAlign w:val="center"/>
          </w:tcPr>
          <w:p w14:paraId="4BA09366"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810" w:type="dxa"/>
            <w:vAlign w:val="center"/>
          </w:tcPr>
          <w:p w14:paraId="6A43A04C"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811" w:type="dxa"/>
            <w:vAlign w:val="center"/>
          </w:tcPr>
          <w:p w14:paraId="3F697833"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1118" w:type="dxa"/>
          </w:tcPr>
          <w:p w14:paraId="4C350848" w14:textId="77777777" w:rsidR="00AC150B" w:rsidRPr="004E13E9" w:rsidRDefault="00AC150B" w:rsidP="00AF11BC">
            <w:pPr>
              <w:widowControl w:val="0"/>
              <w:jc w:val="center"/>
              <w:rPr>
                <w:rFonts w:eastAsia="Times New Roman" w:cs="Calibri"/>
                <w:b/>
                <w:bCs/>
                <w:color w:val="000000"/>
                <w:sz w:val="16"/>
                <w:szCs w:val="16"/>
                <w:lang w:eastAsia="ja-JP" w:bidi="fr-FR"/>
              </w:rPr>
            </w:pPr>
          </w:p>
        </w:tc>
      </w:tr>
      <w:tr w:rsidR="00A049DB" w:rsidRPr="004E13E9" w14:paraId="64F78424" w14:textId="77777777" w:rsidTr="004C5B27">
        <w:trPr>
          <w:trHeight w:val="19"/>
        </w:trPr>
        <w:tc>
          <w:tcPr>
            <w:tcW w:w="2840" w:type="dxa"/>
            <w:vAlign w:val="center"/>
          </w:tcPr>
          <w:p w14:paraId="6772BF3B" w14:textId="77777777" w:rsidR="00AC150B" w:rsidRPr="004E13E9" w:rsidRDefault="00AC150B" w:rsidP="00AF11BC">
            <w:pPr>
              <w:widowControl w:val="0"/>
              <w:jc w:val="both"/>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 xml:space="preserve">Petits </w:t>
            </w:r>
            <w:proofErr w:type="spellStart"/>
            <w:r w:rsidRPr="004E13E9">
              <w:rPr>
                <w:rFonts w:eastAsia="MS Gothic" w:cs="Times New Roman"/>
                <w:color w:val="000000"/>
                <w:sz w:val="16"/>
                <w:szCs w:val="16"/>
                <w:lang w:eastAsia="fr-FR" w:bidi="fr-FR"/>
              </w:rPr>
              <w:t>navires</w:t>
            </w:r>
            <w:proofErr w:type="spellEnd"/>
            <w:r w:rsidRPr="004E13E9">
              <w:rPr>
                <w:rFonts w:eastAsia="MS Gothic" w:cs="Times New Roman"/>
                <w:color w:val="000000"/>
                <w:sz w:val="16"/>
                <w:szCs w:val="16"/>
                <w:lang w:eastAsia="fr-FR" w:bidi="fr-FR"/>
              </w:rPr>
              <w:t xml:space="preserve"> côtiers</w:t>
            </w:r>
          </w:p>
        </w:tc>
        <w:tc>
          <w:tcPr>
            <w:tcW w:w="1214" w:type="dxa"/>
            <w:noWrap/>
            <w:vAlign w:val="center"/>
          </w:tcPr>
          <w:p w14:paraId="381F3551"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N/A</w:t>
            </w:r>
          </w:p>
        </w:tc>
        <w:tc>
          <w:tcPr>
            <w:tcW w:w="675" w:type="dxa"/>
          </w:tcPr>
          <w:p w14:paraId="204D3A12"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704" w:type="dxa"/>
            <w:noWrap/>
            <w:vAlign w:val="center"/>
          </w:tcPr>
          <w:p w14:paraId="4DB98F9E"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5" w:type="dxa"/>
            <w:vAlign w:val="center"/>
          </w:tcPr>
          <w:p w14:paraId="62C77A63"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gridSpan w:val="2"/>
            <w:vAlign w:val="center"/>
          </w:tcPr>
          <w:p w14:paraId="19AF0793"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vAlign w:val="center"/>
          </w:tcPr>
          <w:p w14:paraId="6AC2638C"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tcPr>
          <w:p w14:paraId="3E71E733"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9" w:type="dxa"/>
          </w:tcPr>
          <w:p w14:paraId="32BF543D"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270" w:type="dxa"/>
            <w:shd w:val="clear" w:color="000000" w:fill="D9D9D9"/>
            <w:vAlign w:val="center"/>
          </w:tcPr>
          <w:p w14:paraId="710F714A"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tcPr>
          <w:p w14:paraId="787A0882"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5" w:type="dxa"/>
            <w:vAlign w:val="center"/>
          </w:tcPr>
          <w:p w14:paraId="7CA56154"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8" w:type="dxa"/>
            <w:vAlign w:val="center"/>
          </w:tcPr>
          <w:p w14:paraId="6F93C854"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919" w:type="dxa"/>
            <w:vAlign w:val="center"/>
          </w:tcPr>
          <w:p w14:paraId="13791F40"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810" w:type="dxa"/>
            <w:vAlign w:val="center"/>
          </w:tcPr>
          <w:p w14:paraId="28B0A0E9"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811" w:type="dxa"/>
            <w:vAlign w:val="center"/>
          </w:tcPr>
          <w:p w14:paraId="1B19C923"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1118" w:type="dxa"/>
          </w:tcPr>
          <w:p w14:paraId="474609EC" w14:textId="77777777" w:rsidR="00AC150B" w:rsidRPr="004E13E9" w:rsidRDefault="00AC150B" w:rsidP="00AF11BC">
            <w:pPr>
              <w:widowControl w:val="0"/>
              <w:jc w:val="center"/>
              <w:rPr>
                <w:rFonts w:eastAsia="Times New Roman" w:cs="Calibri"/>
                <w:b/>
                <w:bCs/>
                <w:color w:val="000000"/>
                <w:sz w:val="16"/>
                <w:szCs w:val="16"/>
                <w:lang w:eastAsia="ja-JP" w:bidi="fr-FR"/>
              </w:rPr>
            </w:pPr>
          </w:p>
        </w:tc>
      </w:tr>
      <w:tr w:rsidR="00A049DB" w:rsidRPr="004E13E9" w14:paraId="7E182CCA" w14:textId="77777777" w:rsidTr="004C5B27">
        <w:trPr>
          <w:trHeight w:val="19"/>
        </w:trPr>
        <w:tc>
          <w:tcPr>
            <w:tcW w:w="2840" w:type="dxa"/>
            <w:vAlign w:val="center"/>
          </w:tcPr>
          <w:p w14:paraId="06953804" w14:textId="77777777" w:rsidR="00AC150B" w:rsidRPr="004E13E9" w:rsidRDefault="00AC150B" w:rsidP="00AF11BC">
            <w:pPr>
              <w:widowControl w:val="0"/>
              <w:jc w:val="both"/>
              <w:rPr>
                <w:rFonts w:eastAsia="Times New Roman" w:cs="Calibri"/>
                <w:color w:val="000000"/>
                <w:sz w:val="16"/>
                <w:szCs w:val="16"/>
                <w:lang w:eastAsia="fr-FR" w:bidi="fr-FR"/>
              </w:rPr>
            </w:pPr>
            <w:proofErr w:type="spellStart"/>
            <w:r w:rsidRPr="004E13E9">
              <w:rPr>
                <w:rFonts w:eastAsia="MS Gothic" w:cs="Times New Roman"/>
                <w:color w:val="000000"/>
                <w:sz w:val="16"/>
                <w:szCs w:val="16"/>
                <w:lang w:eastAsia="fr-FR" w:bidi="fr-FR"/>
              </w:rPr>
              <w:t>Autre</w:t>
            </w:r>
            <w:proofErr w:type="spellEnd"/>
            <w:r w:rsidRPr="004E13E9">
              <w:rPr>
                <w:rFonts w:eastAsia="MS Gothic" w:cs="Times New Roman"/>
                <w:color w:val="000000"/>
                <w:sz w:val="16"/>
                <w:szCs w:val="16"/>
                <w:lang w:eastAsia="fr-FR" w:bidi="fr-FR"/>
              </w:rPr>
              <w:t xml:space="preserve"> (à préciser)</w:t>
            </w:r>
          </w:p>
        </w:tc>
        <w:tc>
          <w:tcPr>
            <w:tcW w:w="1214" w:type="dxa"/>
            <w:noWrap/>
            <w:vAlign w:val="center"/>
          </w:tcPr>
          <w:p w14:paraId="2592AA40"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5</w:t>
            </w:r>
          </w:p>
        </w:tc>
        <w:tc>
          <w:tcPr>
            <w:tcW w:w="675" w:type="dxa"/>
          </w:tcPr>
          <w:p w14:paraId="069A26F4"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704" w:type="dxa"/>
            <w:noWrap/>
            <w:vAlign w:val="center"/>
          </w:tcPr>
          <w:p w14:paraId="62D51FFA"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5" w:type="dxa"/>
            <w:vAlign w:val="center"/>
          </w:tcPr>
          <w:p w14:paraId="2538A2A6"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gridSpan w:val="2"/>
            <w:vAlign w:val="center"/>
          </w:tcPr>
          <w:p w14:paraId="08C47234"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vAlign w:val="center"/>
          </w:tcPr>
          <w:p w14:paraId="735DFBB2"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tcPr>
          <w:p w14:paraId="778DCE73"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9" w:type="dxa"/>
          </w:tcPr>
          <w:p w14:paraId="16361C79"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270" w:type="dxa"/>
            <w:shd w:val="clear" w:color="000000" w:fill="D9D9D9"/>
            <w:vAlign w:val="center"/>
          </w:tcPr>
          <w:p w14:paraId="34EF09D3"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tcPr>
          <w:p w14:paraId="5158C283"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5" w:type="dxa"/>
            <w:vAlign w:val="center"/>
          </w:tcPr>
          <w:p w14:paraId="552AF3C8"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8" w:type="dxa"/>
            <w:vAlign w:val="center"/>
          </w:tcPr>
          <w:p w14:paraId="6BD7117A"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919" w:type="dxa"/>
            <w:vAlign w:val="center"/>
          </w:tcPr>
          <w:p w14:paraId="34C65CA6"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810" w:type="dxa"/>
            <w:vAlign w:val="center"/>
          </w:tcPr>
          <w:p w14:paraId="38DD125D"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811" w:type="dxa"/>
            <w:vAlign w:val="center"/>
          </w:tcPr>
          <w:p w14:paraId="14164D42"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1118" w:type="dxa"/>
          </w:tcPr>
          <w:p w14:paraId="369E9DCA" w14:textId="77777777" w:rsidR="00AC150B" w:rsidRPr="004E13E9" w:rsidRDefault="00AC150B" w:rsidP="00AF11BC">
            <w:pPr>
              <w:widowControl w:val="0"/>
              <w:jc w:val="center"/>
              <w:rPr>
                <w:rFonts w:eastAsia="Times New Roman" w:cs="Calibri"/>
                <w:b/>
                <w:bCs/>
                <w:color w:val="000000"/>
                <w:sz w:val="16"/>
                <w:szCs w:val="16"/>
                <w:lang w:eastAsia="ja-JP" w:bidi="fr-FR"/>
              </w:rPr>
            </w:pPr>
          </w:p>
        </w:tc>
      </w:tr>
      <w:tr w:rsidR="00A049DB" w:rsidRPr="004E13E9" w14:paraId="526D64B0" w14:textId="77777777" w:rsidTr="004C5B27">
        <w:trPr>
          <w:trHeight w:val="19"/>
        </w:trPr>
        <w:tc>
          <w:tcPr>
            <w:tcW w:w="2840" w:type="dxa"/>
            <w:noWrap/>
            <w:vAlign w:val="center"/>
          </w:tcPr>
          <w:p w14:paraId="007B3C7F" w14:textId="77777777" w:rsidR="00AC150B" w:rsidRPr="004E13E9" w:rsidRDefault="00AC150B" w:rsidP="00AF11BC">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16"/>
                <w:lang w:val="fr-FR" w:eastAsia="fr-FR" w:bidi="fr-FR"/>
              </w:rPr>
              <w:t>Capacité totale de la flottille/de pêche</w:t>
            </w:r>
          </w:p>
        </w:tc>
        <w:tc>
          <w:tcPr>
            <w:tcW w:w="1214" w:type="dxa"/>
            <w:noWrap/>
            <w:vAlign w:val="center"/>
          </w:tcPr>
          <w:p w14:paraId="12CC7209"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5" w:type="dxa"/>
          </w:tcPr>
          <w:p w14:paraId="483F88F4"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4</w:t>
            </w:r>
          </w:p>
        </w:tc>
        <w:tc>
          <w:tcPr>
            <w:tcW w:w="704" w:type="dxa"/>
            <w:noWrap/>
            <w:vAlign w:val="center"/>
          </w:tcPr>
          <w:p w14:paraId="4875DB22"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4</w:t>
            </w:r>
          </w:p>
        </w:tc>
        <w:tc>
          <w:tcPr>
            <w:tcW w:w="675" w:type="dxa"/>
            <w:vAlign w:val="center"/>
          </w:tcPr>
          <w:p w14:paraId="6C648B74"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2</w:t>
            </w:r>
          </w:p>
        </w:tc>
        <w:tc>
          <w:tcPr>
            <w:tcW w:w="676" w:type="dxa"/>
            <w:gridSpan w:val="2"/>
            <w:vAlign w:val="center"/>
          </w:tcPr>
          <w:p w14:paraId="6846D4C1"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2</w:t>
            </w:r>
          </w:p>
        </w:tc>
        <w:tc>
          <w:tcPr>
            <w:tcW w:w="676" w:type="dxa"/>
          </w:tcPr>
          <w:p w14:paraId="005CD472"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2</w:t>
            </w:r>
          </w:p>
        </w:tc>
        <w:tc>
          <w:tcPr>
            <w:tcW w:w="676" w:type="dxa"/>
          </w:tcPr>
          <w:p w14:paraId="044ED536"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2</w:t>
            </w:r>
          </w:p>
        </w:tc>
        <w:tc>
          <w:tcPr>
            <w:tcW w:w="679" w:type="dxa"/>
          </w:tcPr>
          <w:p w14:paraId="5F562A25" w14:textId="77777777" w:rsidR="00AC150B" w:rsidRPr="004E13E9" w:rsidRDefault="00AC150B" w:rsidP="00AF11BC">
            <w:pPr>
              <w:jc w:val="center"/>
              <w:rPr>
                <w:rFonts w:eastAsia="SimSun" w:cs="Times New Roman"/>
                <w:b/>
                <w:bCs/>
                <w:sz w:val="16"/>
                <w:szCs w:val="16"/>
                <w:lang w:eastAsia="fr-FR" w:bidi="fr-FR"/>
              </w:rPr>
            </w:pPr>
            <w:r w:rsidRPr="004E13E9">
              <w:rPr>
                <w:rFonts w:eastAsia="MS Gothic" w:cs="Times New Roman"/>
                <w:b/>
                <w:sz w:val="16"/>
                <w:szCs w:val="16"/>
                <w:lang w:eastAsia="fr-FR" w:bidi="fr-FR"/>
              </w:rPr>
              <w:t>3</w:t>
            </w:r>
          </w:p>
        </w:tc>
        <w:tc>
          <w:tcPr>
            <w:tcW w:w="270" w:type="dxa"/>
            <w:shd w:val="clear" w:color="000000" w:fill="D9D9D9"/>
            <w:vAlign w:val="center"/>
          </w:tcPr>
          <w:p w14:paraId="079BB821"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tcPr>
          <w:p w14:paraId="7BF37FC9"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100</w:t>
            </w:r>
          </w:p>
        </w:tc>
        <w:tc>
          <w:tcPr>
            <w:tcW w:w="675" w:type="dxa"/>
            <w:vAlign w:val="center"/>
          </w:tcPr>
          <w:p w14:paraId="477A2BE5"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100</w:t>
            </w:r>
          </w:p>
        </w:tc>
        <w:tc>
          <w:tcPr>
            <w:tcW w:w="678" w:type="dxa"/>
            <w:vAlign w:val="center"/>
          </w:tcPr>
          <w:p w14:paraId="34F2BCFE"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50</w:t>
            </w:r>
          </w:p>
        </w:tc>
        <w:tc>
          <w:tcPr>
            <w:tcW w:w="919" w:type="dxa"/>
            <w:noWrap/>
            <w:vAlign w:val="center"/>
          </w:tcPr>
          <w:p w14:paraId="5F493D14"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50</w:t>
            </w:r>
          </w:p>
        </w:tc>
        <w:tc>
          <w:tcPr>
            <w:tcW w:w="810" w:type="dxa"/>
            <w:noWrap/>
            <w:vAlign w:val="center"/>
          </w:tcPr>
          <w:p w14:paraId="17B91C2F"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50</w:t>
            </w:r>
          </w:p>
        </w:tc>
        <w:tc>
          <w:tcPr>
            <w:tcW w:w="811" w:type="dxa"/>
            <w:noWrap/>
            <w:vAlign w:val="center"/>
          </w:tcPr>
          <w:p w14:paraId="337AEA7A" w14:textId="77777777" w:rsidR="00AC150B" w:rsidRPr="004E13E9" w:rsidRDefault="00AC150B" w:rsidP="00AF11BC">
            <w:pPr>
              <w:jc w:val="center"/>
              <w:rPr>
                <w:rFonts w:eastAsia="Times New Roman" w:cs="Calibri"/>
                <w:b/>
                <w:bCs/>
                <w:sz w:val="16"/>
                <w:szCs w:val="16"/>
                <w:lang w:eastAsia="fr-FR" w:bidi="fr-FR"/>
              </w:rPr>
            </w:pPr>
            <w:r w:rsidRPr="004E13E9">
              <w:rPr>
                <w:rFonts w:eastAsia="MS Gothic" w:cs="Times New Roman"/>
                <w:b/>
                <w:sz w:val="16"/>
                <w:szCs w:val="16"/>
                <w:lang w:eastAsia="fr-FR" w:bidi="fr-FR"/>
              </w:rPr>
              <w:t>50</w:t>
            </w:r>
          </w:p>
        </w:tc>
        <w:tc>
          <w:tcPr>
            <w:tcW w:w="1118" w:type="dxa"/>
          </w:tcPr>
          <w:p w14:paraId="0D821507" w14:textId="77777777" w:rsidR="00AC150B" w:rsidRPr="004E13E9" w:rsidRDefault="00AC150B" w:rsidP="00AF11BC">
            <w:pPr>
              <w:widowControl w:val="0"/>
              <w:jc w:val="center"/>
              <w:rPr>
                <w:rFonts w:eastAsia="SimSun" w:cs="Calibri"/>
                <w:b/>
                <w:bCs/>
                <w:color w:val="000000"/>
                <w:sz w:val="16"/>
                <w:szCs w:val="16"/>
                <w:lang w:eastAsia="fr-FR" w:bidi="fr-FR"/>
              </w:rPr>
            </w:pPr>
            <w:r w:rsidRPr="004E13E9">
              <w:rPr>
                <w:rFonts w:eastAsia="MS Gothic" w:cs="Times New Roman"/>
                <w:b/>
                <w:color w:val="000000"/>
                <w:sz w:val="16"/>
                <w:szCs w:val="16"/>
                <w:lang w:eastAsia="fr-FR" w:bidi="fr-FR"/>
              </w:rPr>
              <w:t>75</w:t>
            </w:r>
          </w:p>
        </w:tc>
      </w:tr>
      <w:tr w:rsidR="00A049DB" w:rsidRPr="004E13E9" w14:paraId="044FAB11" w14:textId="77777777" w:rsidTr="004C5B27">
        <w:trPr>
          <w:trHeight w:val="19"/>
        </w:trPr>
        <w:tc>
          <w:tcPr>
            <w:tcW w:w="2840" w:type="dxa"/>
            <w:shd w:val="clear" w:color="auto" w:fill="D9D9D9"/>
            <w:noWrap/>
            <w:vAlign w:val="center"/>
          </w:tcPr>
          <w:p w14:paraId="49BCA827" w14:textId="77777777" w:rsidR="00AC150B" w:rsidRPr="004E13E9" w:rsidRDefault="00AC150B" w:rsidP="00AF11BC">
            <w:pPr>
              <w:widowControl w:val="0"/>
              <w:jc w:val="both"/>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Quota initial</w:t>
            </w:r>
          </w:p>
        </w:tc>
        <w:tc>
          <w:tcPr>
            <w:tcW w:w="1214" w:type="dxa"/>
            <w:shd w:val="clear" w:color="auto" w:fill="D9D9D9"/>
            <w:noWrap/>
            <w:vAlign w:val="center"/>
          </w:tcPr>
          <w:p w14:paraId="658BAF71"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shd w:val="clear" w:color="auto" w:fill="D9D9D9"/>
          </w:tcPr>
          <w:p w14:paraId="3AD662A2"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704" w:type="dxa"/>
            <w:shd w:val="clear" w:color="auto" w:fill="D9D9D9"/>
            <w:noWrap/>
            <w:vAlign w:val="center"/>
          </w:tcPr>
          <w:p w14:paraId="4D92BFDC"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shd w:val="clear" w:color="auto" w:fill="D9D9D9"/>
            <w:vAlign w:val="center"/>
          </w:tcPr>
          <w:p w14:paraId="11D7410D"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gridSpan w:val="2"/>
            <w:shd w:val="clear" w:color="auto" w:fill="D9D9D9"/>
            <w:vAlign w:val="center"/>
          </w:tcPr>
          <w:p w14:paraId="09E7594E"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shd w:val="clear" w:color="auto" w:fill="D9D9D9"/>
            <w:vAlign w:val="center"/>
          </w:tcPr>
          <w:p w14:paraId="0B59C70D"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shd w:val="clear" w:color="auto" w:fill="D9D9D9"/>
          </w:tcPr>
          <w:p w14:paraId="0E35FCAA"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9" w:type="dxa"/>
            <w:shd w:val="clear" w:color="auto" w:fill="D9D9D9"/>
          </w:tcPr>
          <w:p w14:paraId="482ACF6A"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270" w:type="dxa"/>
            <w:shd w:val="clear" w:color="auto" w:fill="D9D9D9"/>
            <w:vAlign w:val="center"/>
          </w:tcPr>
          <w:p w14:paraId="2D63DE31"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shd w:val="clear" w:color="auto" w:fill="D8D8D8"/>
          </w:tcPr>
          <w:p w14:paraId="6B4FB89E"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74</w:t>
            </w:r>
          </w:p>
        </w:tc>
        <w:tc>
          <w:tcPr>
            <w:tcW w:w="675" w:type="dxa"/>
            <w:shd w:val="clear" w:color="auto" w:fill="D8D8D8"/>
            <w:vAlign w:val="center"/>
          </w:tcPr>
          <w:p w14:paraId="6C6A75CA"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63,55</w:t>
            </w:r>
          </w:p>
        </w:tc>
        <w:tc>
          <w:tcPr>
            <w:tcW w:w="678" w:type="dxa"/>
            <w:shd w:val="clear" w:color="auto" w:fill="D8D8D8"/>
            <w:vAlign w:val="center"/>
          </w:tcPr>
          <w:p w14:paraId="4B35B1E8"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79</w:t>
            </w:r>
          </w:p>
        </w:tc>
        <w:tc>
          <w:tcPr>
            <w:tcW w:w="919" w:type="dxa"/>
            <w:shd w:val="clear" w:color="auto" w:fill="D8D8D8"/>
            <w:vAlign w:val="center"/>
          </w:tcPr>
          <w:p w14:paraId="65F6DDEE"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112</w:t>
            </w:r>
          </w:p>
        </w:tc>
        <w:tc>
          <w:tcPr>
            <w:tcW w:w="810" w:type="dxa"/>
            <w:shd w:val="clear" w:color="auto" w:fill="D8D8D8"/>
            <w:vAlign w:val="center"/>
          </w:tcPr>
          <w:p w14:paraId="4AACECB2"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112</w:t>
            </w:r>
          </w:p>
        </w:tc>
        <w:tc>
          <w:tcPr>
            <w:tcW w:w="811" w:type="dxa"/>
            <w:shd w:val="clear" w:color="auto" w:fill="D8D8D8"/>
            <w:vAlign w:val="center"/>
          </w:tcPr>
          <w:p w14:paraId="67013E74" w14:textId="77777777" w:rsidR="00AC150B" w:rsidRPr="004E13E9" w:rsidRDefault="00AC150B" w:rsidP="00AF11BC">
            <w:pPr>
              <w:jc w:val="center"/>
              <w:rPr>
                <w:rFonts w:eastAsia="SimSun" w:cs="Calibri"/>
                <w:b/>
                <w:bCs/>
                <w:sz w:val="16"/>
                <w:szCs w:val="16"/>
                <w:lang w:eastAsia="fr-FR" w:bidi="fr-FR"/>
              </w:rPr>
            </w:pPr>
            <w:r w:rsidRPr="004E13E9">
              <w:rPr>
                <w:rFonts w:eastAsia="MS Gothic" w:cs="Times New Roman"/>
                <w:b/>
                <w:sz w:val="16"/>
                <w:szCs w:val="16"/>
                <w:lang w:eastAsia="fr-FR" w:bidi="fr-FR"/>
              </w:rPr>
              <w:t>112</w:t>
            </w:r>
          </w:p>
        </w:tc>
        <w:tc>
          <w:tcPr>
            <w:tcW w:w="1118" w:type="dxa"/>
            <w:shd w:val="clear" w:color="auto" w:fill="D9D9D9"/>
          </w:tcPr>
          <w:p w14:paraId="35C5E785" w14:textId="77777777" w:rsidR="00AC150B" w:rsidRPr="004E13E9" w:rsidRDefault="00AC150B" w:rsidP="00AF11BC">
            <w:pPr>
              <w:widowControl w:val="0"/>
              <w:jc w:val="center"/>
              <w:rPr>
                <w:rFonts w:eastAsia="SimSun" w:cs="Calibri"/>
                <w:color w:val="000000"/>
                <w:sz w:val="16"/>
                <w:szCs w:val="16"/>
                <w:lang w:eastAsia="fr-FR" w:bidi="fr-FR"/>
              </w:rPr>
            </w:pPr>
            <w:r w:rsidRPr="004E13E9">
              <w:rPr>
                <w:rFonts w:eastAsia="MS Gothic" w:cs="Times New Roman"/>
                <w:b/>
                <w:color w:val="000000"/>
                <w:sz w:val="16"/>
                <w:szCs w:val="16"/>
                <w:lang w:eastAsia="fr-FR" w:bidi="fr-FR"/>
              </w:rPr>
              <w:t>286,15</w:t>
            </w:r>
          </w:p>
        </w:tc>
      </w:tr>
      <w:tr w:rsidR="00A049DB" w:rsidRPr="004E13E9" w14:paraId="6A98DFF5" w14:textId="77777777" w:rsidTr="004C5B27">
        <w:trPr>
          <w:trHeight w:val="878"/>
        </w:trPr>
        <w:tc>
          <w:tcPr>
            <w:tcW w:w="2840" w:type="dxa"/>
            <w:shd w:val="clear" w:color="auto" w:fill="D9D9D9"/>
            <w:noWrap/>
            <w:vAlign w:val="center"/>
          </w:tcPr>
          <w:p w14:paraId="7F62652B" w14:textId="77777777" w:rsidR="00AC150B" w:rsidRPr="004E13E9" w:rsidRDefault="00AC150B" w:rsidP="00AF11BC">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16"/>
                <w:lang w:val="fr-FR" w:eastAsia="fr-FR" w:bidi="fr-FR"/>
              </w:rPr>
              <w:t xml:space="preserve">Quota ajusté (le cas échéant) </w:t>
            </w:r>
          </w:p>
        </w:tc>
        <w:tc>
          <w:tcPr>
            <w:tcW w:w="1214" w:type="dxa"/>
            <w:shd w:val="clear" w:color="auto" w:fill="D9D9D9"/>
            <w:noWrap/>
            <w:vAlign w:val="center"/>
          </w:tcPr>
          <w:p w14:paraId="7CD01316"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5" w:type="dxa"/>
            <w:shd w:val="clear" w:color="auto" w:fill="D9D9D9"/>
          </w:tcPr>
          <w:p w14:paraId="5579258E"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704" w:type="dxa"/>
            <w:shd w:val="clear" w:color="auto" w:fill="D9D9D9"/>
            <w:noWrap/>
            <w:vAlign w:val="center"/>
          </w:tcPr>
          <w:p w14:paraId="23A2AE73"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5" w:type="dxa"/>
            <w:shd w:val="clear" w:color="auto" w:fill="D9D9D9"/>
            <w:vAlign w:val="center"/>
          </w:tcPr>
          <w:p w14:paraId="330B40E7"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6" w:type="dxa"/>
            <w:gridSpan w:val="2"/>
            <w:shd w:val="clear" w:color="auto" w:fill="D9D9D9"/>
            <w:vAlign w:val="center"/>
          </w:tcPr>
          <w:p w14:paraId="51C5B090"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6" w:type="dxa"/>
            <w:shd w:val="clear" w:color="auto" w:fill="D9D9D9"/>
            <w:vAlign w:val="center"/>
          </w:tcPr>
          <w:p w14:paraId="28136B91"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6" w:type="dxa"/>
            <w:shd w:val="clear" w:color="auto" w:fill="D9D9D9"/>
          </w:tcPr>
          <w:p w14:paraId="0C1258B2"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9" w:type="dxa"/>
            <w:shd w:val="clear" w:color="auto" w:fill="D9D9D9"/>
          </w:tcPr>
          <w:p w14:paraId="36E14EED"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270" w:type="dxa"/>
            <w:shd w:val="clear" w:color="auto" w:fill="D9D9D9"/>
            <w:vAlign w:val="center"/>
          </w:tcPr>
          <w:p w14:paraId="7C9D9EA7"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6" w:type="dxa"/>
            <w:shd w:val="clear" w:color="auto" w:fill="D9D9D9"/>
          </w:tcPr>
          <w:p w14:paraId="45DC7496"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5" w:type="dxa"/>
            <w:shd w:val="clear" w:color="auto" w:fill="D9D9D9"/>
            <w:vAlign w:val="center"/>
          </w:tcPr>
          <w:p w14:paraId="35718B84"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8" w:type="dxa"/>
            <w:shd w:val="clear" w:color="auto" w:fill="D9D9D9"/>
            <w:vAlign w:val="center"/>
          </w:tcPr>
          <w:p w14:paraId="60020571"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919" w:type="dxa"/>
            <w:shd w:val="clear" w:color="auto" w:fill="D8D8D8"/>
            <w:vAlign w:val="center"/>
          </w:tcPr>
          <w:p w14:paraId="4897AC9F"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117,1 (112+5,1)</w:t>
            </w:r>
          </w:p>
        </w:tc>
        <w:tc>
          <w:tcPr>
            <w:tcW w:w="810" w:type="dxa"/>
            <w:shd w:val="clear" w:color="auto" w:fill="D8D8D8"/>
            <w:vAlign w:val="center"/>
          </w:tcPr>
          <w:p w14:paraId="7DC6312A"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113,3 (112+ 1,3)</w:t>
            </w:r>
          </w:p>
        </w:tc>
        <w:tc>
          <w:tcPr>
            <w:tcW w:w="811" w:type="dxa"/>
            <w:shd w:val="clear" w:color="auto" w:fill="D8D8D8"/>
            <w:vAlign w:val="center"/>
          </w:tcPr>
          <w:p w14:paraId="37591D8E" w14:textId="77777777" w:rsidR="00AC150B" w:rsidRPr="004E13E9" w:rsidRDefault="00AC150B" w:rsidP="00AF11BC">
            <w:pPr>
              <w:jc w:val="center"/>
              <w:rPr>
                <w:rFonts w:eastAsia="Times New Roman" w:cs="Calibri"/>
                <w:b/>
                <w:bCs/>
                <w:sz w:val="16"/>
                <w:szCs w:val="16"/>
                <w:lang w:eastAsia="fr-FR" w:bidi="fr-FR"/>
              </w:rPr>
            </w:pPr>
            <w:r w:rsidRPr="004E13E9">
              <w:rPr>
                <w:rFonts w:eastAsia="MS Gothic" w:cs="Times New Roman"/>
                <w:b/>
                <w:sz w:val="16"/>
                <w:szCs w:val="16"/>
                <w:lang w:eastAsia="fr-FR" w:bidi="fr-FR"/>
              </w:rPr>
              <w:t>112,7 (112+ 0,7)</w:t>
            </w:r>
          </w:p>
        </w:tc>
        <w:tc>
          <w:tcPr>
            <w:tcW w:w="1118" w:type="dxa"/>
            <w:shd w:val="clear" w:color="auto" w:fill="D9D9D9"/>
            <w:vAlign w:val="center"/>
          </w:tcPr>
          <w:p w14:paraId="21FF09A5" w14:textId="77777777" w:rsidR="004C5B27" w:rsidRPr="004E13E9" w:rsidRDefault="00AC150B" w:rsidP="00AF11BC">
            <w:pPr>
              <w:widowControl w:val="0"/>
              <w:jc w:val="center"/>
              <w:rPr>
                <w:rFonts w:eastAsia="MS Gothic" w:cs="Times New Roman"/>
                <w:b/>
                <w:color w:val="000000"/>
                <w:sz w:val="16"/>
                <w:szCs w:val="16"/>
                <w:lang w:eastAsia="fr-FR" w:bidi="fr-FR"/>
              </w:rPr>
            </w:pPr>
            <w:r w:rsidRPr="004E13E9">
              <w:rPr>
                <w:rFonts w:eastAsia="MS Gothic" w:cs="Times New Roman"/>
                <w:b/>
                <w:color w:val="000000"/>
                <w:sz w:val="16"/>
                <w:szCs w:val="16"/>
                <w:lang w:eastAsia="fr-FR" w:bidi="fr-FR"/>
              </w:rPr>
              <w:t>308,55 (286,15+</w:t>
            </w:r>
          </w:p>
          <w:p w14:paraId="70CFAFD1" w14:textId="43F17AC1" w:rsidR="00AC150B" w:rsidRPr="004E13E9" w:rsidRDefault="00AC150B" w:rsidP="00AF11BC">
            <w:pPr>
              <w:widowControl w:val="0"/>
              <w:jc w:val="center"/>
              <w:rPr>
                <w:rFonts w:eastAsia="SimSun" w:cs="Calibri"/>
                <w:color w:val="000000"/>
                <w:sz w:val="16"/>
                <w:szCs w:val="16"/>
                <w:lang w:eastAsia="fr-FR" w:bidi="fr-FR"/>
              </w:rPr>
            </w:pPr>
            <w:r w:rsidRPr="004E13E9">
              <w:rPr>
                <w:rFonts w:eastAsia="MS Gothic" w:cs="Times New Roman"/>
                <w:b/>
                <w:color w:val="000000"/>
                <w:sz w:val="16"/>
                <w:szCs w:val="16"/>
                <w:lang w:eastAsia="fr-FR" w:bidi="fr-FR"/>
              </w:rPr>
              <w:t>22,4)</w:t>
            </w:r>
          </w:p>
        </w:tc>
      </w:tr>
      <w:tr w:rsidR="00A049DB" w:rsidRPr="004E13E9" w14:paraId="25C36C38" w14:textId="77777777" w:rsidTr="004C5B27">
        <w:trPr>
          <w:trHeight w:val="19"/>
        </w:trPr>
        <w:tc>
          <w:tcPr>
            <w:tcW w:w="2840" w:type="dxa"/>
            <w:noWrap/>
            <w:vAlign w:val="center"/>
          </w:tcPr>
          <w:p w14:paraId="05D49DBD" w14:textId="77777777" w:rsidR="00AC150B" w:rsidRPr="004E13E9" w:rsidRDefault="00AC150B" w:rsidP="00AF11BC">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16"/>
                <w:lang w:val="fr-FR" w:eastAsia="fr-FR" w:bidi="fr-FR"/>
              </w:rPr>
              <w:t>Pourcentage alloué aux prises accessoires</w:t>
            </w:r>
          </w:p>
        </w:tc>
        <w:tc>
          <w:tcPr>
            <w:tcW w:w="1214" w:type="dxa"/>
            <w:noWrap/>
            <w:vAlign w:val="center"/>
          </w:tcPr>
          <w:p w14:paraId="48B40612"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5" w:type="dxa"/>
          </w:tcPr>
          <w:p w14:paraId="3D59B309"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704" w:type="dxa"/>
            <w:noWrap/>
            <w:vAlign w:val="center"/>
          </w:tcPr>
          <w:p w14:paraId="35363996"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5" w:type="dxa"/>
            <w:vAlign w:val="center"/>
          </w:tcPr>
          <w:p w14:paraId="7C4BF6BF"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6" w:type="dxa"/>
            <w:gridSpan w:val="2"/>
            <w:vAlign w:val="center"/>
          </w:tcPr>
          <w:p w14:paraId="0945F3A1"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6" w:type="dxa"/>
            <w:vAlign w:val="center"/>
          </w:tcPr>
          <w:p w14:paraId="5BA00CE0"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6" w:type="dxa"/>
          </w:tcPr>
          <w:p w14:paraId="261ADFB8"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9" w:type="dxa"/>
          </w:tcPr>
          <w:p w14:paraId="7005505C"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270" w:type="dxa"/>
            <w:shd w:val="clear" w:color="000000" w:fill="D9D9D9"/>
            <w:vAlign w:val="center"/>
          </w:tcPr>
          <w:p w14:paraId="16E8D44F"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6" w:type="dxa"/>
          </w:tcPr>
          <w:p w14:paraId="7D2589FA"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5" w:type="dxa"/>
            <w:vAlign w:val="center"/>
          </w:tcPr>
          <w:p w14:paraId="242B2D44"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678" w:type="dxa"/>
            <w:vAlign w:val="center"/>
          </w:tcPr>
          <w:p w14:paraId="27743D7B"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919" w:type="dxa"/>
            <w:vAlign w:val="center"/>
          </w:tcPr>
          <w:p w14:paraId="31675EDE"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0,446%</w:t>
            </w:r>
          </w:p>
        </w:tc>
        <w:tc>
          <w:tcPr>
            <w:tcW w:w="810" w:type="dxa"/>
            <w:vAlign w:val="center"/>
          </w:tcPr>
          <w:p w14:paraId="65AF338D"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0,446%</w:t>
            </w:r>
          </w:p>
        </w:tc>
        <w:tc>
          <w:tcPr>
            <w:tcW w:w="811" w:type="dxa"/>
            <w:vAlign w:val="center"/>
          </w:tcPr>
          <w:p w14:paraId="0D599E50" w14:textId="77777777" w:rsidR="00AC150B" w:rsidRPr="004E13E9" w:rsidRDefault="00AC150B" w:rsidP="00AF11BC">
            <w:pPr>
              <w:jc w:val="center"/>
              <w:rPr>
                <w:rFonts w:eastAsia="Times New Roman" w:cs="Calibri"/>
                <w:b/>
                <w:bCs/>
                <w:sz w:val="16"/>
                <w:szCs w:val="16"/>
                <w:lang w:eastAsia="fr-FR" w:bidi="fr-FR"/>
              </w:rPr>
            </w:pPr>
            <w:r w:rsidRPr="004E13E9">
              <w:rPr>
                <w:rFonts w:eastAsia="MS Gothic" w:cs="Times New Roman"/>
                <w:b/>
                <w:sz w:val="16"/>
                <w:szCs w:val="16"/>
                <w:lang w:eastAsia="fr-FR" w:bidi="fr-FR"/>
              </w:rPr>
              <w:t>0,446%</w:t>
            </w:r>
          </w:p>
        </w:tc>
        <w:tc>
          <w:tcPr>
            <w:tcW w:w="1118" w:type="dxa"/>
            <w:vAlign w:val="center"/>
          </w:tcPr>
          <w:p w14:paraId="421B20BB" w14:textId="77777777" w:rsidR="00AC150B" w:rsidRPr="004E13E9" w:rsidRDefault="00AC150B" w:rsidP="00AF11BC">
            <w:pPr>
              <w:widowControl w:val="0"/>
              <w:jc w:val="center"/>
              <w:rPr>
                <w:rFonts w:eastAsia="SimSun" w:cs="Calibri"/>
                <w:color w:val="000000"/>
                <w:sz w:val="16"/>
                <w:szCs w:val="16"/>
                <w:lang w:eastAsia="fr-FR" w:bidi="fr-FR"/>
              </w:rPr>
            </w:pPr>
            <w:r w:rsidRPr="004E13E9">
              <w:rPr>
                <w:rFonts w:eastAsia="MS Gothic" w:cs="Times New Roman"/>
                <w:b/>
                <w:sz w:val="16"/>
                <w:szCs w:val="16"/>
                <w:lang w:eastAsia="fr-FR" w:bidi="fr-FR"/>
              </w:rPr>
              <w:t>0,178%</w:t>
            </w:r>
          </w:p>
        </w:tc>
      </w:tr>
      <w:tr w:rsidR="00A049DB" w:rsidRPr="004E13E9" w14:paraId="554F666A" w14:textId="77777777" w:rsidTr="004C5B27">
        <w:trPr>
          <w:trHeight w:val="19"/>
        </w:trPr>
        <w:tc>
          <w:tcPr>
            <w:tcW w:w="2840" w:type="dxa"/>
            <w:noWrap/>
            <w:vAlign w:val="center"/>
          </w:tcPr>
          <w:p w14:paraId="551B625B" w14:textId="77777777" w:rsidR="00AC150B" w:rsidRPr="004E13E9" w:rsidRDefault="00AC150B" w:rsidP="00AF11BC">
            <w:pPr>
              <w:widowControl w:val="0"/>
              <w:jc w:val="both"/>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 xml:space="preserve">Allocation aux </w:t>
            </w:r>
            <w:proofErr w:type="spellStart"/>
            <w:r w:rsidRPr="004E13E9">
              <w:rPr>
                <w:rFonts w:eastAsia="MS Gothic" w:cs="Times New Roman"/>
                <w:b/>
                <w:color w:val="000000"/>
                <w:sz w:val="16"/>
                <w:szCs w:val="16"/>
                <w:lang w:eastAsia="fr-FR" w:bidi="fr-FR"/>
              </w:rPr>
              <w:t>prises</w:t>
            </w:r>
            <w:proofErr w:type="spellEnd"/>
            <w:r w:rsidRPr="004E13E9">
              <w:rPr>
                <w:rFonts w:eastAsia="MS Gothic" w:cs="Times New Roman"/>
                <w:b/>
                <w:color w:val="000000"/>
                <w:sz w:val="16"/>
                <w:szCs w:val="16"/>
                <w:lang w:eastAsia="fr-FR" w:bidi="fr-FR"/>
              </w:rPr>
              <w:t xml:space="preserve"> </w:t>
            </w:r>
            <w:proofErr w:type="spellStart"/>
            <w:r w:rsidRPr="004E13E9">
              <w:rPr>
                <w:rFonts w:eastAsia="MS Gothic" w:cs="Times New Roman"/>
                <w:b/>
                <w:color w:val="000000"/>
                <w:sz w:val="16"/>
                <w:szCs w:val="16"/>
                <w:lang w:eastAsia="fr-FR" w:bidi="fr-FR"/>
              </w:rPr>
              <w:t>accessoires</w:t>
            </w:r>
            <w:proofErr w:type="spellEnd"/>
          </w:p>
        </w:tc>
        <w:tc>
          <w:tcPr>
            <w:tcW w:w="1214" w:type="dxa"/>
            <w:noWrap/>
            <w:vAlign w:val="center"/>
          </w:tcPr>
          <w:p w14:paraId="169917E0"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tcPr>
          <w:p w14:paraId="0A35A58D"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704" w:type="dxa"/>
            <w:noWrap/>
            <w:vAlign w:val="center"/>
          </w:tcPr>
          <w:p w14:paraId="471CB60A"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vAlign w:val="center"/>
          </w:tcPr>
          <w:p w14:paraId="338070BB"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gridSpan w:val="2"/>
            <w:vAlign w:val="center"/>
          </w:tcPr>
          <w:p w14:paraId="61717A44"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vAlign w:val="center"/>
          </w:tcPr>
          <w:p w14:paraId="596C75B8"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tcPr>
          <w:p w14:paraId="30ECE6B7"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9" w:type="dxa"/>
          </w:tcPr>
          <w:p w14:paraId="0B5BD047"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270" w:type="dxa"/>
            <w:shd w:val="clear" w:color="000000" w:fill="D9D9D9"/>
            <w:vAlign w:val="center"/>
          </w:tcPr>
          <w:p w14:paraId="5C51E671"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tcPr>
          <w:p w14:paraId="4D027529"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vAlign w:val="center"/>
          </w:tcPr>
          <w:p w14:paraId="72558640"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8" w:type="dxa"/>
            <w:vAlign w:val="center"/>
          </w:tcPr>
          <w:p w14:paraId="560C35B7"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919" w:type="dxa"/>
            <w:vAlign w:val="center"/>
          </w:tcPr>
          <w:p w14:paraId="2D75A00C"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0,5 t</w:t>
            </w:r>
          </w:p>
        </w:tc>
        <w:tc>
          <w:tcPr>
            <w:tcW w:w="810" w:type="dxa"/>
            <w:vAlign w:val="center"/>
          </w:tcPr>
          <w:p w14:paraId="1489BBC9"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0,5 t</w:t>
            </w:r>
          </w:p>
        </w:tc>
        <w:tc>
          <w:tcPr>
            <w:tcW w:w="811" w:type="dxa"/>
            <w:vAlign w:val="center"/>
          </w:tcPr>
          <w:p w14:paraId="02F5D62E" w14:textId="77777777" w:rsidR="00AC150B" w:rsidRPr="004E13E9" w:rsidRDefault="00AC150B" w:rsidP="00AF11BC">
            <w:pPr>
              <w:jc w:val="center"/>
              <w:rPr>
                <w:rFonts w:eastAsia="Times New Roman" w:cs="Calibri"/>
                <w:b/>
                <w:bCs/>
                <w:sz w:val="16"/>
                <w:szCs w:val="16"/>
                <w:lang w:eastAsia="fr-FR" w:bidi="fr-FR"/>
              </w:rPr>
            </w:pPr>
            <w:r w:rsidRPr="004E13E9">
              <w:rPr>
                <w:rFonts w:eastAsia="MS Gothic" w:cs="Times New Roman"/>
                <w:b/>
                <w:sz w:val="16"/>
                <w:szCs w:val="16"/>
                <w:lang w:eastAsia="fr-FR" w:bidi="fr-FR"/>
              </w:rPr>
              <w:t>0,5 t</w:t>
            </w:r>
          </w:p>
        </w:tc>
        <w:tc>
          <w:tcPr>
            <w:tcW w:w="1118" w:type="dxa"/>
          </w:tcPr>
          <w:p w14:paraId="2C26531E" w14:textId="77777777" w:rsidR="00AC150B" w:rsidRPr="004E13E9" w:rsidRDefault="00AC150B" w:rsidP="00AF11BC">
            <w:pPr>
              <w:widowControl w:val="0"/>
              <w:jc w:val="center"/>
              <w:rPr>
                <w:rFonts w:eastAsia="Times New Roman" w:cs="Calibri"/>
                <w:color w:val="000000"/>
                <w:sz w:val="16"/>
                <w:szCs w:val="16"/>
                <w:lang w:eastAsia="fr-FR" w:bidi="fr-FR"/>
              </w:rPr>
            </w:pPr>
            <w:r w:rsidRPr="004E13E9">
              <w:rPr>
                <w:rFonts w:eastAsia="MS Gothic" w:cs="Times New Roman"/>
                <w:b/>
                <w:sz w:val="16"/>
                <w:szCs w:val="16"/>
                <w:lang w:eastAsia="fr-FR" w:bidi="fr-FR"/>
              </w:rPr>
              <w:t>0,51 t</w:t>
            </w:r>
          </w:p>
        </w:tc>
      </w:tr>
      <w:tr w:rsidR="00A049DB" w:rsidRPr="00C712A4" w14:paraId="1DA31513" w14:textId="77777777" w:rsidTr="004C5B27">
        <w:trPr>
          <w:trHeight w:val="19"/>
        </w:trPr>
        <w:tc>
          <w:tcPr>
            <w:tcW w:w="2840" w:type="dxa"/>
            <w:vAlign w:val="center"/>
          </w:tcPr>
          <w:p w14:paraId="6218CA0C" w14:textId="77777777" w:rsidR="00AC150B" w:rsidRPr="004E13E9" w:rsidRDefault="00AC150B" w:rsidP="00AF11BC">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16"/>
                <w:lang w:val="fr-FR" w:eastAsia="fr-FR" w:bidi="fr-FR"/>
              </w:rPr>
              <w:t>Quota de recherche scientifique</w:t>
            </w:r>
          </w:p>
          <w:p w14:paraId="6C0C0A85" w14:textId="77777777" w:rsidR="00AC150B" w:rsidRPr="004E13E9" w:rsidRDefault="00AC150B" w:rsidP="00AF11BC">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16"/>
                <w:lang w:val="fr-FR" w:eastAsia="fr-FR" w:bidi="fr-FR"/>
              </w:rPr>
              <w:t>(le cas échéant)</w:t>
            </w:r>
          </w:p>
        </w:tc>
        <w:tc>
          <w:tcPr>
            <w:tcW w:w="1214" w:type="dxa"/>
            <w:noWrap/>
            <w:vAlign w:val="center"/>
          </w:tcPr>
          <w:p w14:paraId="24FC7A31"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5" w:type="dxa"/>
          </w:tcPr>
          <w:p w14:paraId="04E8769B"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704" w:type="dxa"/>
            <w:noWrap/>
            <w:vAlign w:val="center"/>
          </w:tcPr>
          <w:p w14:paraId="651AD2C0"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5" w:type="dxa"/>
            <w:vAlign w:val="center"/>
          </w:tcPr>
          <w:p w14:paraId="511403AA"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6" w:type="dxa"/>
            <w:gridSpan w:val="2"/>
            <w:vAlign w:val="center"/>
          </w:tcPr>
          <w:p w14:paraId="07DD6A87"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6" w:type="dxa"/>
            <w:vAlign w:val="center"/>
          </w:tcPr>
          <w:p w14:paraId="544C6162"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6" w:type="dxa"/>
          </w:tcPr>
          <w:p w14:paraId="1140CA1E"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9" w:type="dxa"/>
          </w:tcPr>
          <w:p w14:paraId="7D968862"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270" w:type="dxa"/>
            <w:shd w:val="clear" w:color="000000" w:fill="D9D9D9"/>
            <w:vAlign w:val="center"/>
          </w:tcPr>
          <w:p w14:paraId="12FB0D3E"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6" w:type="dxa"/>
          </w:tcPr>
          <w:p w14:paraId="4437BDE5"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5" w:type="dxa"/>
            <w:vAlign w:val="center"/>
          </w:tcPr>
          <w:p w14:paraId="297CC0C7"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8" w:type="dxa"/>
            <w:vAlign w:val="center"/>
          </w:tcPr>
          <w:p w14:paraId="31FC49D1"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919" w:type="dxa"/>
            <w:noWrap/>
            <w:vAlign w:val="center"/>
          </w:tcPr>
          <w:p w14:paraId="36A8A141"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810" w:type="dxa"/>
            <w:noWrap/>
            <w:vAlign w:val="center"/>
          </w:tcPr>
          <w:p w14:paraId="7E3F1BA4"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811" w:type="dxa"/>
            <w:noWrap/>
            <w:vAlign w:val="center"/>
          </w:tcPr>
          <w:p w14:paraId="56146B65"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1118" w:type="dxa"/>
          </w:tcPr>
          <w:p w14:paraId="6868F59A"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r>
      <w:tr w:rsidR="00A049DB" w:rsidRPr="00C712A4" w14:paraId="026751E6" w14:textId="77777777" w:rsidTr="004C5B27">
        <w:trPr>
          <w:trHeight w:val="19"/>
        </w:trPr>
        <w:tc>
          <w:tcPr>
            <w:tcW w:w="2840" w:type="dxa"/>
            <w:vAlign w:val="center"/>
          </w:tcPr>
          <w:p w14:paraId="146C449C" w14:textId="77777777" w:rsidR="00AC150B" w:rsidRPr="004E13E9" w:rsidRDefault="00AC150B" w:rsidP="00AF11BC">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16"/>
                <w:lang w:val="fr-FR" w:eastAsia="fr-FR" w:bidi="fr-FR"/>
              </w:rPr>
              <w:t>Tolérance pour la pêche sportive/récréative (le cas échéant)</w:t>
            </w:r>
          </w:p>
        </w:tc>
        <w:tc>
          <w:tcPr>
            <w:tcW w:w="1214" w:type="dxa"/>
            <w:noWrap/>
            <w:vAlign w:val="center"/>
          </w:tcPr>
          <w:p w14:paraId="1890CBD2"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5" w:type="dxa"/>
          </w:tcPr>
          <w:p w14:paraId="05E80525"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704" w:type="dxa"/>
            <w:noWrap/>
            <w:vAlign w:val="center"/>
          </w:tcPr>
          <w:p w14:paraId="311A055A"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5" w:type="dxa"/>
            <w:vAlign w:val="center"/>
          </w:tcPr>
          <w:p w14:paraId="4E4C2E47"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6" w:type="dxa"/>
            <w:gridSpan w:val="2"/>
            <w:vAlign w:val="center"/>
          </w:tcPr>
          <w:p w14:paraId="5B9838CD"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6" w:type="dxa"/>
            <w:vAlign w:val="center"/>
          </w:tcPr>
          <w:p w14:paraId="79C7F699"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6" w:type="dxa"/>
          </w:tcPr>
          <w:p w14:paraId="074C3B87"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9" w:type="dxa"/>
          </w:tcPr>
          <w:p w14:paraId="12946BE8" w14:textId="77777777" w:rsidR="00AC150B" w:rsidRPr="004E13E9" w:rsidRDefault="00AC150B" w:rsidP="00AF11BC">
            <w:pPr>
              <w:widowControl w:val="0"/>
              <w:jc w:val="center"/>
              <w:rPr>
                <w:rFonts w:eastAsia="Times New Roman" w:cs="Calibri"/>
                <w:color w:val="000000"/>
                <w:sz w:val="16"/>
                <w:szCs w:val="16"/>
                <w:lang w:val="fr-FR" w:eastAsia="ja-JP" w:bidi="fr-FR"/>
              </w:rPr>
            </w:pPr>
          </w:p>
        </w:tc>
        <w:tc>
          <w:tcPr>
            <w:tcW w:w="270" w:type="dxa"/>
            <w:shd w:val="clear" w:color="000000" w:fill="D9D9D9"/>
            <w:vAlign w:val="center"/>
          </w:tcPr>
          <w:p w14:paraId="62FC7028"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6" w:type="dxa"/>
          </w:tcPr>
          <w:p w14:paraId="09679650"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5" w:type="dxa"/>
            <w:vAlign w:val="center"/>
          </w:tcPr>
          <w:p w14:paraId="65FE1E21"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678" w:type="dxa"/>
            <w:vAlign w:val="center"/>
          </w:tcPr>
          <w:p w14:paraId="60D6B220"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919" w:type="dxa"/>
            <w:noWrap/>
            <w:vAlign w:val="center"/>
          </w:tcPr>
          <w:p w14:paraId="277C632C"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810" w:type="dxa"/>
            <w:noWrap/>
            <w:vAlign w:val="center"/>
          </w:tcPr>
          <w:p w14:paraId="69F557E3"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811" w:type="dxa"/>
            <w:noWrap/>
            <w:vAlign w:val="center"/>
          </w:tcPr>
          <w:p w14:paraId="0439958E"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c>
          <w:tcPr>
            <w:tcW w:w="1118" w:type="dxa"/>
          </w:tcPr>
          <w:p w14:paraId="302B2641" w14:textId="77777777" w:rsidR="00AC150B" w:rsidRPr="004E13E9" w:rsidRDefault="00AC150B" w:rsidP="00AF11BC">
            <w:pPr>
              <w:widowControl w:val="0"/>
              <w:jc w:val="center"/>
              <w:rPr>
                <w:rFonts w:eastAsia="Times New Roman" w:cs="Calibri"/>
                <w:b/>
                <w:bCs/>
                <w:color w:val="000000"/>
                <w:sz w:val="16"/>
                <w:szCs w:val="16"/>
                <w:lang w:val="fr-FR" w:eastAsia="ja-JP" w:bidi="fr-FR"/>
              </w:rPr>
            </w:pPr>
          </w:p>
        </w:tc>
      </w:tr>
      <w:tr w:rsidR="00A049DB" w:rsidRPr="004E13E9" w14:paraId="6B102BD5" w14:textId="77777777" w:rsidTr="004C5B27">
        <w:trPr>
          <w:trHeight w:val="19"/>
        </w:trPr>
        <w:tc>
          <w:tcPr>
            <w:tcW w:w="2840" w:type="dxa"/>
            <w:vAlign w:val="center"/>
          </w:tcPr>
          <w:p w14:paraId="50BDA691" w14:textId="77777777" w:rsidR="00AC150B" w:rsidRPr="004E13E9" w:rsidRDefault="00AC150B" w:rsidP="00AF11BC">
            <w:pPr>
              <w:widowControl w:val="0"/>
              <w:jc w:val="both"/>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Quota disponible</w:t>
            </w:r>
          </w:p>
        </w:tc>
        <w:tc>
          <w:tcPr>
            <w:tcW w:w="1214" w:type="dxa"/>
            <w:noWrap/>
            <w:vAlign w:val="center"/>
          </w:tcPr>
          <w:p w14:paraId="16ABE37E"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5" w:type="dxa"/>
          </w:tcPr>
          <w:p w14:paraId="5B4328F2"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704" w:type="dxa"/>
            <w:noWrap/>
            <w:vAlign w:val="center"/>
          </w:tcPr>
          <w:p w14:paraId="3A86B364"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5" w:type="dxa"/>
            <w:vAlign w:val="center"/>
          </w:tcPr>
          <w:p w14:paraId="5C9CD73F"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gridSpan w:val="2"/>
            <w:vAlign w:val="center"/>
          </w:tcPr>
          <w:p w14:paraId="07FA7683"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vAlign w:val="center"/>
          </w:tcPr>
          <w:p w14:paraId="2EA14546"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tcPr>
          <w:p w14:paraId="7BEB656B"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9" w:type="dxa"/>
          </w:tcPr>
          <w:p w14:paraId="109EB5A8"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270" w:type="dxa"/>
            <w:shd w:val="clear" w:color="000000" w:fill="D9D9D9"/>
            <w:vAlign w:val="center"/>
          </w:tcPr>
          <w:p w14:paraId="33ABA435"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6" w:type="dxa"/>
          </w:tcPr>
          <w:p w14:paraId="5AC7453E"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5" w:type="dxa"/>
            <w:vAlign w:val="center"/>
          </w:tcPr>
          <w:p w14:paraId="29B83A02"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678" w:type="dxa"/>
            <w:vAlign w:val="center"/>
          </w:tcPr>
          <w:p w14:paraId="1B963A71" w14:textId="77777777" w:rsidR="00AC150B" w:rsidRPr="004E13E9" w:rsidRDefault="00AC150B" w:rsidP="00AF11BC">
            <w:pPr>
              <w:widowControl w:val="0"/>
              <w:jc w:val="center"/>
              <w:rPr>
                <w:rFonts w:eastAsia="Times New Roman" w:cs="Calibri"/>
                <w:b/>
                <w:bCs/>
                <w:color w:val="000000"/>
                <w:sz w:val="16"/>
                <w:szCs w:val="16"/>
                <w:lang w:eastAsia="ja-JP" w:bidi="fr-FR"/>
              </w:rPr>
            </w:pPr>
          </w:p>
        </w:tc>
        <w:tc>
          <w:tcPr>
            <w:tcW w:w="919" w:type="dxa"/>
            <w:noWrap/>
            <w:vAlign w:val="center"/>
          </w:tcPr>
          <w:p w14:paraId="6D4CC11D" w14:textId="77777777" w:rsidR="00AC150B" w:rsidRPr="004E13E9" w:rsidRDefault="00AC150B" w:rsidP="00AF11BC">
            <w:pPr>
              <w:widowControl w:val="0"/>
              <w:jc w:val="center"/>
              <w:rPr>
                <w:rFonts w:eastAsia="Times New Roman" w:cs="Calibri"/>
                <w:b/>
                <w:bCs/>
                <w:color w:val="000000"/>
                <w:sz w:val="16"/>
                <w:szCs w:val="16"/>
                <w:lang w:eastAsia="fr-FR" w:bidi="fr-FR"/>
              </w:rPr>
            </w:pPr>
            <w:r w:rsidRPr="004E13E9">
              <w:rPr>
                <w:rFonts w:eastAsia="MS Gothic" w:cs="Times New Roman"/>
                <w:b/>
                <w:sz w:val="16"/>
                <w:szCs w:val="16"/>
                <w:lang w:eastAsia="fr-FR" w:bidi="fr-FR"/>
              </w:rPr>
              <w:t>116,6 (117,1-0,5)</w:t>
            </w:r>
          </w:p>
        </w:tc>
        <w:tc>
          <w:tcPr>
            <w:tcW w:w="810" w:type="dxa"/>
            <w:noWrap/>
            <w:vAlign w:val="center"/>
          </w:tcPr>
          <w:p w14:paraId="34995AFD" w14:textId="77777777" w:rsidR="00AC150B" w:rsidRPr="004E13E9" w:rsidRDefault="00AC150B" w:rsidP="00AF11BC">
            <w:pPr>
              <w:widowControl w:val="0"/>
              <w:jc w:val="center"/>
              <w:rPr>
                <w:rFonts w:eastAsia="Times New Roman" w:cs="Calibri"/>
                <w:b/>
                <w:bCs/>
                <w:color w:val="000000"/>
                <w:sz w:val="16"/>
                <w:szCs w:val="16"/>
                <w:lang w:eastAsia="fr-FR" w:bidi="fr-FR"/>
              </w:rPr>
            </w:pPr>
            <w:r w:rsidRPr="004E13E9">
              <w:rPr>
                <w:rFonts w:eastAsia="MS Gothic" w:cs="Times New Roman"/>
                <w:b/>
                <w:sz w:val="16"/>
                <w:szCs w:val="16"/>
                <w:lang w:eastAsia="fr-FR" w:bidi="fr-FR"/>
              </w:rPr>
              <w:t>112,8 (112-0,5+ 1,3)</w:t>
            </w:r>
          </w:p>
        </w:tc>
        <w:tc>
          <w:tcPr>
            <w:tcW w:w="811" w:type="dxa"/>
            <w:noWrap/>
            <w:vAlign w:val="center"/>
          </w:tcPr>
          <w:p w14:paraId="7A4473A6" w14:textId="77777777" w:rsidR="00AC150B" w:rsidRPr="004E13E9" w:rsidRDefault="00AC150B" w:rsidP="00AF11BC">
            <w:pPr>
              <w:widowControl w:val="0"/>
              <w:jc w:val="center"/>
              <w:rPr>
                <w:rFonts w:eastAsia="Times New Roman" w:cs="Calibri"/>
                <w:b/>
                <w:bCs/>
                <w:color w:val="000000"/>
                <w:sz w:val="16"/>
                <w:szCs w:val="16"/>
                <w:lang w:eastAsia="fr-FR" w:bidi="fr-FR"/>
              </w:rPr>
            </w:pPr>
            <w:r w:rsidRPr="004E13E9">
              <w:rPr>
                <w:rFonts w:eastAsia="MS Gothic" w:cs="Times New Roman"/>
                <w:b/>
                <w:sz w:val="16"/>
                <w:szCs w:val="16"/>
                <w:lang w:eastAsia="fr-FR" w:bidi="fr-FR"/>
              </w:rPr>
              <w:t>112,2 (112,7-0,5)</w:t>
            </w:r>
          </w:p>
        </w:tc>
        <w:tc>
          <w:tcPr>
            <w:tcW w:w="1118" w:type="dxa"/>
            <w:vAlign w:val="center"/>
          </w:tcPr>
          <w:p w14:paraId="2F159C0B" w14:textId="77777777" w:rsidR="00AC150B" w:rsidRPr="004E13E9" w:rsidRDefault="00AC150B" w:rsidP="00AF11BC">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308,04 (308,55-0,51)</w:t>
            </w:r>
          </w:p>
        </w:tc>
      </w:tr>
      <w:tr w:rsidR="00A049DB" w:rsidRPr="004E13E9" w14:paraId="2DB33A79" w14:textId="77777777" w:rsidTr="004C5B27">
        <w:trPr>
          <w:trHeight w:val="19"/>
        </w:trPr>
        <w:tc>
          <w:tcPr>
            <w:tcW w:w="2840" w:type="dxa"/>
            <w:shd w:val="clear" w:color="auto" w:fill="D9D9D9"/>
            <w:noWrap/>
            <w:vAlign w:val="center"/>
          </w:tcPr>
          <w:p w14:paraId="666E8269" w14:textId="77777777" w:rsidR="00AC150B" w:rsidRPr="004E13E9" w:rsidRDefault="00AC150B" w:rsidP="00AF11BC">
            <w:pPr>
              <w:widowControl w:val="0"/>
              <w:jc w:val="both"/>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Sous/</w:t>
            </w:r>
            <w:proofErr w:type="spellStart"/>
            <w:r w:rsidRPr="004E13E9">
              <w:rPr>
                <w:rFonts w:eastAsia="MS Gothic" w:cs="Times New Roman"/>
                <w:b/>
                <w:color w:val="000000"/>
                <w:sz w:val="16"/>
                <w:szCs w:val="16"/>
                <w:lang w:eastAsia="fr-FR" w:bidi="fr-FR"/>
              </w:rPr>
              <w:t>surcapacité</w:t>
            </w:r>
            <w:proofErr w:type="spellEnd"/>
          </w:p>
        </w:tc>
        <w:tc>
          <w:tcPr>
            <w:tcW w:w="1214" w:type="dxa"/>
            <w:shd w:val="clear" w:color="auto" w:fill="D9D9D9"/>
            <w:noWrap/>
            <w:vAlign w:val="center"/>
          </w:tcPr>
          <w:p w14:paraId="388DF60C"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shd w:val="clear" w:color="auto" w:fill="D9D9D9"/>
          </w:tcPr>
          <w:p w14:paraId="39250686"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704" w:type="dxa"/>
            <w:shd w:val="clear" w:color="auto" w:fill="D9D9D9"/>
            <w:noWrap/>
            <w:vAlign w:val="center"/>
          </w:tcPr>
          <w:p w14:paraId="5C780630"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5" w:type="dxa"/>
            <w:shd w:val="clear" w:color="auto" w:fill="D9D9D9"/>
            <w:vAlign w:val="center"/>
          </w:tcPr>
          <w:p w14:paraId="03925288"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gridSpan w:val="2"/>
            <w:shd w:val="clear" w:color="auto" w:fill="D9D9D9"/>
            <w:vAlign w:val="center"/>
          </w:tcPr>
          <w:p w14:paraId="1F74DEE2"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shd w:val="clear" w:color="auto" w:fill="D9D9D9"/>
            <w:vAlign w:val="center"/>
          </w:tcPr>
          <w:p w14:paraId="619755C6"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shd w:val="clear" w:color="auto" w:fill="D9D9D9"/>
          </w:tcPr>
          <w:p w14:paraId="05C26653"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9" w:type="dxa"/>
            <w:shd w:val="clear" w:color="auto" w:fill="D9D9D9"/>
          </w:tcPr>
          <w:p w14:paraId="0DDC2605"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270" w:type="dxa"/>
            <w:shd w:val="clear" w:color="auto" w:fill="D9D9D9"/>
            <w:vAlign w:val="center"/>
          </w:tcPr>
          <w:p w14:paraId="51AB3334" w14:textId="77777777" w:rsidR="00AC150B" w:rsidRPr="004E13E9" w:rsidRDefault="00AC150B" w:rsidP="00AF11BC">
            <w:pPr>
              <w:widowControl w:val="0"/>
              <w:jc w:val="center"/>
              <w:rPr>
                <w:rFonts w:eastAsia="Times New Roman" w:cs="Calibri"/>
                <w:color w:val="000000"/>
                <w:sz w:val="16"/>
                <w:szCs w:val="16"/>
                <w:lang w:eastAsia="ja-JP" w:bidi="fr-FR"/>
              </w:rPr>
            </w:pPr>
          </w:p>
        </w:tc>
        <w:tc>
          <w:tcPr>
            <w:tcW w:w="676" w:type="dxa"/>
            <w:shd w:val="clear" w:color="auto" w:fill="D8D8D8"/>
          </w:tcPr>
          <w:p w14:paraId="2FD8443C"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26</w:t>
            </w:r>
          </w:p>
        </w:tc>
        <w:tc>
          <w:tcPr>
            <w:tcW w:w="675" w:type="dxa"/>
            <w:shd w:val="clear" w:color="auto" w:fill="D8D8D8"/>
            <w:vAlign w:val="center"/>
          </w:tcPr>
          <w:p w14:paraId="16BE6C52"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36,4</w:t>
            </w:r>
          </w:p>
        </w:tc>
        <w:tc>
          <w:tcPr>
            <w:tcW w:w="678" w:type="dxa"/>
            <w:shd w:val="clear" w:color="auto" w:fill="D8D8D8"/>
            <w:vAlign w:val="center"/>
          </w:tcPr>
          <w:p w14:paraId="224E33F2"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-29</w:t>
            </w:r>
          </w:p>
        </w:tc>
        <w:tc>
          <w:tcPr>
            <w:tcW w:w="919" w:type="dxa"/>
            <w:shd w:val="clear" w:color="auto" w:fill="D8D8D8"/>
            <w:vAlign w:val="center"/>
          </w:tcPr>
          <w:p w14:paraId="2D2BA08F"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-66,6</w:t>
            </w:r>
          </w:p>
        </w:tc>
        <w:tc>
          <w:tcPr>
            <w:tcW w:w="810" w:type="dxa"/>
            <w:shd w:val="clear" w:color="auto" w:fill="D8D8D8"/>
            <w:vAlign w:val="center"/>
          </w:tcPr>
          <w:p w14:paraId="7DBB5906" w14:textId="77777777" w:rsidR="00AC150B" w:rsidRPr="004E13E9" w:rsidRDefault="00AC150B" w:rsidP="00AF11BC">
            <w:pPr>
              <w:jc w:val="center"/>
              <w:rPr>
                <w:rFonts w:eastAsia="MS Gothic" w:cs="Times New Roman"/>
                <w:b/>
                <w:bCs/>
                <w:sz w:val="16"/>
                <w:szCs w:val="16"/>
                <w:lang w:eastAsia="fr-FR" w:bidi="fr-FR"/>
              </w:rPr>
            </w:pPr>
            <w:r w:rsidRPr="004E13E9">
              <w:rPr>
                <w:rFonts w:eastAsia="MS Gothic" w:cs="Times New Roman"/>
                <w:b/>
                <w:sz w:val="16"/>
                <w:szCs w:val="16"/>
                <w:lang w:eastAsia="fr-FR" w:bidi="fr-FR"/>
              </w:rPr>
              <w:t>-62,8</w:t>
            </w:r>
          </w:p>
        </w:tc>
        <w:tc>
          <w:tcPr>
            <w:tcW w:w="811" w:type="dxa"/>
            <w:shd w:val="clear" w:color="auto" w:fill="D8D8D8"/>
            <w:vAlign w:val="center"/>
          </w:tcPr>
          <w:p w14:paraId="17533B89" w14:textId="77777777" w:rsidR="00AC150B" w:rsidRPr="004E13E9" w:rsidRDefault="00AC150B" w:rsidP="00AF11BC">
            <w:pPr>
              <w:jc w:val="center"/>
              <w:rPr>
                <w:rFonts w:eastAsia="SimSun" w:cs="Calibri"/>
                <w:b/>
                <w:bCs/>
                <w:sz w:val="16"/>
                <w:szCs w:val="16"/>
                <w:lang w:eastAsia="fr-FR" w:bidi="fr-FR"/>
              </w:rPr>
            </w:pPr>
            <w:r w:rsidRPr="004E13E9">
              <w:rPr>
                <w:rFonts w:eastAsia="MS Gothic" w:cs="Times New Roman"/>
                <w:b/>
                <w:sz w:val="16"/>
                <w:szCs w:val="16"/>
                <w:lang w:eastAsia="fr-FR" w:bidi="fr-FR"/>
              </w:rPr>
              <w:t>-62,2</w:t>
            </w:r>
          </w:p>
        </w:tc>
        <w:tc>
          <w:tcPr>
            <w:tcW w:w="1118" w:type="dxa"/>
            <w:shd w:val="clear" w:color="auto" w:fill="D8D8D8"/>
          </w:tcPr>
          <w:p w14:paraId="6F1FB016" w14:textId="77777777" w:rsidR="00AC150B" w:rsidRPr="004E13E9" w:rsidRDefault="00AC150B" w:rsidP="00AF11BC">
            <w:pPr>
              <w:jc w:val="center"/>
              <w:rPr>
                <w:rFonts w:eastAsia="SimSun" w:cs="Calibri"/>
                <w:b/>
                <w:bCs/>
                <w:sz w:val="16"/>
                <w:szCs w:val="16"/>
                <w:lang w:eastAsia="fr-FR" w:bidi="fr-FR"/>
              </w:rPr>
            </w:pPr>
            <w:r w:rsidRPr="004E13E9">
              <w:rPr>
                <w:rFonts w:eastAsia="MS Gothic" w:cs="Times New Roman"/>
                <w:b/>
                <w:sz w:val="16"/>
                <w:szCs w:val="16"/>
                <w:lang w:eastAsia="fr-FR" w:bidi="fr-FR"/>
              </w:rPr>
              <w:t>-233,04</w:t>
            </w:r>
          </w:p>
        </w:tc>
      </w:tr>
    </w:tbl>
    <w:p w14:paraId="4FD6FECF" w14:textId="77777777" w:rsidR="00AC150B" w:rsidRPr="004E13E9" w:rsidRDefault="00AC150B" w:rsidP="00AC150B">
      <w:pPr>
        <w:rPr>
          <w:b/>
          <w:bCs/>
        </w:rPr>
      </w:pPr>
    </w:p>
    <w:p w14:paraId="05FA36A6" w14:textId="77777777" w:rsidR="00AC150B" w:rsidRPr="004E13E9" w:rsidRDefault="00AC150B" w:rsidP="00AC150B">
      <w:pPr>
        <w:widowControl w:val="0"/>
        <w:contextualSpacing/>
        <w:jc w:val="both"/>
        <w:rPr>
          <w:b/>
          <w:bCs/>
          <w:sz w:val="2"/>
          <w:szCs w:val="2"/>
        </w:rPr>
      </w:pPr>
    </w:p>
    <w:p w14:paraId="50BE8396" w14:textId="77777777" w:rsidR="001F225E" w:rsidRPr="004E13E9" w:rsidRDefault="001F225E" w:rsidP="00431CB5">
      <w:pPr>
        <w:rPr>
          <w:lang w:val="fr-FR" w:eastAsia="en-GB"/>
        </w:rPr>
      </w:pPr>
    </w:p>
    <w:p w14:paraId="028161B7" w14:textId="77777777" w:rsidR="001F225E" w:rsidRPr="004E13E9" w:rsidRDefault="001F225E" w:rsidP="00431CB5">
      <w:pPr>
        <w:rPr>
          <w:lang w:val="fr-FR" w:eastAsia="en-GB"/>
        </w:rPr>
      </w:pPr>
    </w:p>
    <w:p w14:paraId="42775E34" w14:textId="28B498F4" w:rsidR="00E87966" w:rsidRPr="004E13E9" w:rsidRDefault="00E87966">
      <w:pPr>
        <w:rPr>
          <w:lang w:val="fr-FR"/>
        </w:rPr>
      </w:pPr>
    </w:p>
    <w:p w14:paraId="574B4D5A" w14:textId="77777777" w:rsidR="00E87966" w:rsidRPr="004E13E9" w:rsidRDefault="00E87966">
      <w:pPr>
        <w:rPr>
          <w:lang w:val="fr-FR"/>
        </w:rPr>
        <w:sectPr w:rsidR="00E87966" w:rsidRPr="004E13E9" w:rsidSect="002F7F78">
          <w:footnotePr>
            <w:numFmt w:val="chicago"/>
          </w:footnotePr>
          <w:pgSz w:w="16840" w:h="11907" w:orient="landscape" w:code="9"/>
          <w:pgMar w:top="1440" w:right="1800" w:bottom="1440" w:left="1800" w:header="851" w:footer="1134" w:gutter="0"/>
          <w:cols w:space="720"/>
          <w:docGrid w:linePitch="272"/>
        </w:sectPr>
      </w:pPr>
    </w:p>
    <w:p w14:paraId="7C6FFE87" w14:textId="61B7B8F2" w:rsidR="00136CD6" w:rsidRPr="004E13E9" w:rsidRDefault="00136CD6" w:rsidP="00136CD6">
      <w:pPr>
        <w:rPr>
          <w:lang w:eastAsia="en-GB"/>
        </w:rPr>
      </w:pPr>
      <w:proofErr w:type="spellStart"/>
      <w:r w:rsidRPr="004E13E9">
        <w:rPr>
          <w:b/>
          <w:bCs/>
          <w:lang w:eastAsia="en-GB"/>
        </w:rPr>
        <w:lastRenderedPageBreak/>
        <w:t>Égypte</w:t>
      </w:r>
      <w:proofErr w:type="spellEnd"/>
      <w:r w:rsidRPr="004E13E9">
        <w:rPr>
          <w:lang w:eastAsia="en-GB"/>
        </w:rPr>
        <w:tab/>
      </w:r>
    </w:p>
    <w:p w14:paraId="3612706E" w14:textId="77777777" w:rsidR="00136CD6" w:rsidRPr="004E13E9" w:rsidRDefault="00136CD6"/>
    <w:p w14:paraId="339C9A94" w14:textId="77777777" w:rsidR="008536EC" w:rsidRPr="004E13E9" w:rsidRDefault="008536EC" w:rsidP="008536EC">
      <w:pPr>
        <w:widowControl w:val="0"/>
        <w:jc w:val="both"/>
        <w:rPr>
          <w:rFonts w:eastAsia="MS Gothic" w:cs="Times New Roman"/>
          <w:b/>
          <w:lang w:val="fr-FR" w:eastAsia="fr-FR" w:bidi="fr-FR"/>
        </w:rPr>
      </w:pPr>
      <w:r w:rsidRPr="004E13E9">
        <w:rPr>
          <w:rFonts w:eastAsia="MS Gothic" w:cs="Times New Roman"/>
          <w:b/>
          <w:lang w:val="fr-FR" w:eastAsia="fr-FR" w:bidi="fr-FR"/>
        </w:rPr>
        <w:t xml:space="preserve">Année du plan de pêche : </w:t>
      </w:r>
      <w:r w:rsidRPr="004E13E9">
        <w:rPr>
          <w:b/>
          <w:lang w:val="fr-FR"/>
        </w:rPr>
        <w:t>2026</w:t>
      </w:r>
    </w:p>
    <w:p w14:paraId="19E2E839" w14:textId="77777777" w:rsidR="008536EC" w:rsidRPr="004E13E9" w:rsidRDefault="008536EC" w:rsidP="008536EC">
      <w:pPr>
        <w:autoSpaceDE w:val="0"/>
        <w:autoSpaceDN w:val="0"/>
        <w:adjustRightInd w:val="0"/>
        <w:jc w:val="both"/>
        <w:rPr>
          <w:rFonts w:eastAsia="MS Gothic" w:cs="Times New Roman"/>
          <w:lang w:val="fr-FR" w:eastAsia="fr-FR" w:bidi="fr-FR"/>
        </w:rPr>
      </w:pPr>
    </w:p>
    <w:p w14:paraId="30F39EFC" w14:textId="77777777" w:rsidR="008536EC" w:rsidRPr="004E13E9" w:rsidRDefault="008536EC" w:rsidP="008536EC">
      <w:pPr>
        <w:widowControl w:val="0"/>
        <w:ind w:left="426" w:hanging="426"/>
        <w:jc w:val="both"/>
        <w:rPr>
          <w:rFonts w:eastAsia="MS Gothic" w:cs="Times New Roman"/>
          <w:b/>
          <w:lang w:val="fr-FR" w:eastAsia="fr-FR" w:bidi="fr-FR"/>
        </w:rPr>
      </w:pPr>
      <w:bookmarkStart w:id="15" w:name="_Hlk158706825"/>
      <w:r w:rsidRPr="004E13E9">
        <w:rPr>
          <w:rFonts w:eastAsia="MS Gothic" w:cs="Times New Roman"/>
          <w:b/>
          <w:lang w:val="fr-FR" w:eastAsia="fr-FR" w:bidi="fr-FR"/>
        </w:rPr>
        <w:t xml:space="preserve">1. </w:t>
      </w:r>
      <w:r w:rsidRPr="004E13E9">
        <w:rPr>
          <w:rFonts w:eastAsia="MS Gothic" w:cs="Times New Roman"/>
          <w:b/>
          <w:lang w:val="fr-FR" w:eastAsia="fr-FR" w:bidi="fr-FR"/>
        </w:rPr>
        <w:tab/>
        <w:t>Détails du plan annuel de pêche pour les navires de capture et les madragues</w:t>
      </w:r>
    </w:p>
    <w:p w14:paraId="0D26FFF1" w14:textId="77777777" w:rsidR="008536EC" w:rsidRPr="004E13E9" w:rsidRDefault="008536EC" w:rsidP="008536EC">
      <w:pPr>
        <w:widowControl w:val="0"/>
        <w:jc w:val="both"/>
        <w:rPr>
          <w:rFonts w:eastAsia="MS Gothic" w:cs="Times New Roman"/>
          <w:i/>
          <w:lang w:val="fr-FR" w:eastAsia="fr-FR" w:bidi="fr-FR"/>
        </w:rPr>
      </w:pPr>
    </w:p>
    <w:bookmarkEnd w:id="15"/>
    <w:p w14:paraId="2C358496" w14:textId="77777777" w:rsidR="008536EC" w:rsidRPr="004E13E9" w:rsidRDefault="008536EC" w:rsidP="008536EC">
      <w:pPr>
        <w:rPr>
          <w:b/>
          <w:bCs/>
          <w:i/>
          <w:iCs/>
          <w:lang w:val="fr-FR"/>
        </w:rPr>
      </w:pPr>
      <w:r w:rsidRPr="004E13E9">
        <w:rPr>
          <w:b/>
          <w:bCs/>
          <w:i/>
          <w:iCs/>
          <w:lang w:val="fr-FR"/>
        </w:rPr>
        <w:t>1a) Présentation (paragraphe 12)</w:t>
      </w:r>
    </w:p>
    <w:p w14:paraId="1C2C45A3" w14:textId="77777777" w:rsidR="008536EC" w:rsidRPr="004E13E9" w:rsidRDefault="008536EC" w:rsidP="008536EC">
      <w:pPr>
        <w:autoSpaceDE w:val="0"/>
        <w:autoSpaceDN w:val="0"/>
        <w:adjustRightInd w:val="0"/>
        <w:jc w:val="both"/>
        <w:rPr>
          <w:rFonts w:eastAsia="MS Gothic" w:cs="Times New Roman"/>
          <w:lang w:val="fr-FR" w:eastAsia="fr-FR" w:bidi="fr-FR"/>
        </w:rPr>
      </w:pPr>
    </w:p>
    <w:p w14:paraId="69783B34" w14:textId="77777777" w:rsidR="008536EC" w:rsidRPr="004E13E9" w:rsidRDefault="008536EC" w:rsidP="008536EC">
      <w:pPr>
        <w:jc w:val="both"/>
        <w:rPr>
          <w:rFonts w:eastAsia="MS Gothic" w:cs="Times New Roman"/>
          <w:color w:val="000000" w:themeColor="text1"/>
          <w:lang w:val="fr-FR" w:eastAsia="fr-FR" w:bidi="fr-FR"/>
        </w:rPr>
      </w:pPr>
      <w:r w:rsidRPr="004E13E9">
        <w:rPr>
          <w:rFonts w:eastAsia="MS Gothic" w:cs="Times New Roman"/>
          <w:color w:val="000000" w:themeColor="text1"/>
          <w:lang w:val="fr-FR" w:eastAsia="fr-FR" w:bidi="fr-FR"/>
        </w:rPr>
        <w:t xml:space="preserve">Le quota attribué à l'Égypte pour la campagne de pêche 2026 est de 549 tonnes. Conformément au paragraphe 37 de la Rec. 24-05/25-04, le quota disponible sera de 543,51 tonnes, car les prises accessoires enregistrées pour le thon rouge n'ont pas dépassé cette limite. Les navires de pêche égyptiens capturant du thon rouge en Méditerranée sont le </w:t>
      </w:r>
      <w:proofErr w:type="spellStart"/>
      <w:r w:rsidRPr="004E13E9">
        <w:rPr>
          <w:rFonts w:eastAsia="MS Gothic" w:cs="Times New Roman"/>
          <w:i/>
          <w:iCs/>
          <w:color w:val="000000" w:themeColor="text1"/>
          <w:lang w:val="fr-FR" w:eastAsia="fr-FR" w:bidi="fr-FR"/>
        </w:rPr>
        <w:t>Golovik</w:t>
      </w:r>
      <w:proofErr w:type="spellEnd"/>
      <w:r w:rsidRPr="004E13E9">
        <w:rPr>
          <w:rFonts w:eastAsia="MS Gothic" w:cs="Times New Roman"/>
          <w:color w:val="000000" w:themeColor="text1"/>
          <w:lang w:val="fr-FR" w:eastAsia="fr-FR" w:bidi="fr-FR"/>
        </w:rPr>
        <w:t xml:space="preserve">, enregistré à l’ICCAT sous le numéro AT000EGY00020 et titulaire du numéro national 5365 dans le port d'Alexandrie, et le </w:t>
      </w:r>
      <w:proofErr w:type="spellStart"/>
      <w:r w:rsidRPr="004E13E9">
        <w:rPr>
          <w:rFonts w:eastAsia="MS Gothic" w:cs="Times New Roman"/>
          <w:i/>
          <w:iCs/>
          <w:color w:val="000000" w:themeColor="text1"/>
          <w:lang w:val="fr-FR" w:eastAsia="fr-FR" w:bidi="fr-FR"/>
        </w:rPr>
        <w:t>Safinat</w:t>
      </w:r>
      <w:proofErr w:type="spellEnd"/>
      <w:r w:rsidRPr="004E13E9">
        <w:rPr>
          <w:rFonts w:eastAsia="MS Gothic" w:cs="Times New Roman"/>
          <w:i/>
          <w:iCs/>
          <w:color w:val="000000" w:themeColor="text1"/>
          <w:lang w:val="fr-FR" w:eastAsia="fr-FR" w:bidi="fr-FR"/>
        </w:rPr>
        <w:t xml:space="preserve"> Nooh</w:t>
      </w:r>
      <w:r w:rsidRPr="004E13E9">
        <w:rPr>
          <w:rFonts w:eastAsia="MS Gothic" w:cs="Times New Roman"/>
          <w:color w:val="000000" w:themeColor="text1"/>
          <w:lang w:val="fr-FR" w:eastAsia="fr-FR" w:bidi="fr-FR"/>
        </w:rPr>
        <w:t xml:space="preserve">, enregistré à l’ICCAT sous le numéro AT000EGY00010 et titulaire du numéro national 4274 dans le port d'Alexandrie. L'Égypte spécifie un quota de 271,755 t pour le </w:t>
      </w:r>
      <w:proofErr w:type="spellStart"/>
      <w:r w:rsidRPr="004E13E9">
        <w:rPr>
          <w:rFonts w:eastAsia="MS Gothic" w:cs="Times New Roman"/>
          <w:i/>
          <w:iCs/>
          <w:color w:val="000000" w:themeColor="text1"/>
          <w:lang w:val="fr-FR" w:eastAsia="fr-FR" w:bidi="fr-FR"/>
        </w:rPr>
        <w:t>Golovik</w:t>
      </w:r>
      <w:proofErr w:type="spellEnd"/>
      <w:r w:rsidRPr="004E13E9">
        <w:rPr>
          <w:rFonts w:eastAsia="MS Gothic" w:cs="Times New Roman"/>
          <w:color w:val="000000" w:themeColor="text1"/>
          <w:lang w:val="fr-FR" w:eastAsia="fr-FR" w:bidi="fr-FR"/>
        </w:rPr>
        <w:t xml:space="preserve"> et de 271,755 t pour le </w:t>
      </w:r>
      <w:proofErr w:type="spellStart"/>
      <w:r w:rsidRPr="004E13E9">
        <w:rPr>
          <w:rFonts w:eastAsia="MS Gothic" w:cs="Times New Roman"/>
          <w:i/>
          <w:iCs/>
          <w:color w:val="000000" w:themeColor="text1"/>
          <w:lang w:val="fr-FR" w:eastAsia="fr-FR" w:bidi="fr-FR"/>
        </w:rPr>
        <w:t>Safinat</w:t>
      </w:r>
      <w:proofErr w:type="spellEnd"/>
      <w:r w:rsidRPr="004E13E9">
        <w:rPr>
          <w:rFonts w:eastAsia="MS Gothic" w:cs="Times New Roman"/>
          <w:i/>
          <w:iCs/>
          <w:color w:val="000000" w:themeColor="text1"/>
          <w:lang w:val="fr-FR" w:eastAsia="fr-FR" w:bidi="fr-FR"/>
        </w:rPr>
        <w:t xml:space="preserve"> Nooh</w:t>
      </w:r>
      <w:r w:rsidRPr="004E13E9">
        <w:rPr>
          <w:rFonts w:eastAsia="MS Gothic" w:cs="Times New Roman"/>
          <w:color w:val="000000" w:themeColor="text1"/>
          <w:lang w:val="fr-FR" w:eastAsia="fr-FR" w:bidi="fr-FR"/>
        </w:rPr>
        <w:t xml:space="preserve">, comme indiqué dans le </w:t>
      </w:r>
      <w:r w:rsidRPr="004E13E9">
        <w:rPr>
          <w:rFonts w:eastAsia="MS Gothic" w:cs="Times New Roman"/>
          <w:b/>
          <w:bCs/>
          <w:color w:val="000000" w:themeColor="text1"/>
          <w:lang w:val="fr-FR" w:eastAsia="fr-FR" w:bidi="fr-FR"/>
        </w:rPr>
        <w:t>tableau 1</w:t>
      </w:r>
      <w:r w:rsidRPr="004E13E9">
        <w:rPr>
          <w:rFonts w:eastAsia="MS Gothic" w:cs="Times New Roman"/>
          <w:color w:val="000000" w:themeColor="text1"/>
          <w:lang w:val="fr-FR" w:eastAsia="fr-FR" w:bidi="fr-FR"/>
        </w:rPr>
        <w:t>.</w:t>
      </w:r>
    </w:p>
    <w:p w14:paraId="4484348C" w14:textId="77777777" w:rsidR="008536EC" w:rsidRPr="004E13E9" w:rsidRDefault="008536EC" w:rsidP="008536EC">
      <w:pPr>
        <w:jc w:val="both"/>
        <w:rPr>
          <w:lang w:val="fr-FR"/>
        </w:rPr>
      </w:pPr>
    </w:p>
    <w:p w14:paraId="1EE0C5F7" w14:textId="77777777" w:rsidR="008536EC" w:rsidRPr="004E13E9" w:rsidRDefault="008536EC" w:rsidP="008536EC">
      <w:pPr>
        <w:jc w:val="both"/>
        <w:rPr>
          <w:lang w:val="fr-FR"/>
        </w:rPr>
      </w:pPr>
      <w:r w:rsidRPr="004E13E9">
        <w:rPr>
          <w:lang w:val="fr-FR"/>
        </w:rPr>
        <w:t xml:space="preserve">La LFRPDA délivrera aux senneurs </w:t>
      </w:r>
      <w:r w:rsidRPr="004E13E9">
        <w:rPr>
          <w:bCs/>
          <w:lang w:val="fr-FR" w:bidi="ar-EG"/>
        </w:rPr>
        <w:t>équipés d'un système VMS, tenus de transmettre toutes les heures,</w:t>
      </w:r>
      <w:r w:rsidRPr="004E13E9">
        <w:rPr>
          <w:lang w:val="fr-FR"/>
        </w:rPr>
        <w:t xml:space="preserve"> une licence pour la capture de thon rouge pour la saison de pêche 2026, qui s’étend du 19 mai au 1</w:t>
      </w:r>
      <w:r w:rsidRPr="004E13E9">
        <w:rPr>
          <w:vertAlign w:val="superscript"/>
          <w:lang w:val="fr-FR"/>
        </w:rPr>
        <w:t>er</w:t>
      </w:r>
      <w:r w:rsidRPr="004E13E9">
        <w:rPr>
          <w:lang w:val="fr-FR"/>
        </w:rPr>
        <w:t xml:space="preserve"> juillet 2026, conformément à la</w:t>
      </w:r>
      <w:r w:rsidRPr="004E13E9">
        <w:rPr>
          <w:iCs/>
          <w:lang w:val="fr-FR"/>
        </w:rPr>
        <w:t xml:space="preserve"> Rec. 24-05</w:t>
      </w:r>
      <w:r w:rsidRPr="004E13E9">
        <w:rPr>
          <w:rStyle w:val="Hyperlink"/>
          <w:iCs/>
          <w:u w:val="none"/>
          <w:lang w:val="fr-FR"/>
        </w:rPr>
        <w:t xml:space="preserve">/ </w:t>
      </w:r>
      <w:r w:rsidRPr="004E13E9">
        <w:rPr>
          <w:iCs/>
          <w:lang w:val="fr-FR"/>
        </w:rPr>
        <w:t xml:space="preserve">Rec. 25-04 </w:t>
      </w:r>
      <w:r w:rsidRPr="004E13E9">
        <w:rPr>
          <w:lang w:val="fr-FR"/>
        </w:rPr>
        <w:t>de l’ICCAT.</w:t>
      </w:r>
    </w:p>
    <w:p w14:paraId="301745CF" w14:textId="77777777" w:rsidR="008536EC" w:rsidRPr="004E13E9" w:rsidRDefault="008536EC" w:rsidP="008536EC">
      <w:pPr>
        <w:jc w:val="both"/>
        <w:rPr>
          <w:lang w:val="fr-FR"/>
        </w:rPr>
      </w:pPr>
    </w:p>
    <w:p w14:paraId="07DDEF11" w14:textId="77777777" w:rsidR="008536EC" w:rsidRPr="004E13E9" w:rsidRDefault="008536EC" w:rsidP="008536EC">
      <w:pPr>
        <w:autoSpaceDE w:val="0"/>
        <w:autoSpaceDN w:val="0"/>
        <w:adjustRightInd w:val="0"/>
        <w:jc w:val="both"/>
        <w:rPr>
          <w:rFonts w:eastAsia="MS Gothic" w:cs="Times New Roman"/>
          <w:lang w:val="fr-FR" w:eastAsia="fr-FR" w:bidi="fr-FR"/>
        </w:rPr>
      </w:pPr>
      <w:r w:rsidRPr="004E13E9">
        <w:rPr>
          <w:rFonts w:eastAsia="MS Gothic" w:cs="Times New Roman"/>
          <w:lang w:val="fr-FR" w:eastAsia="fr-FR" w:bidi="fr-FR"/>
        </w:rPr>
        <w:t>Si le navire de pêche ne respecte pas les résolutions égyptiennes ou les recommandations de l'ICCAT, le code pénal sera appliqué, ce qui se traduira par l'interdiction pour le navire de participer à la pêche du thon rouge au cours de la saison suivante, et en cas de récidive, par son expulsion des pêcheries de thon rouge.</w:t>
      </w:r>
    </w:p>
    <w:p w14:paraId="682922FC" w14:textId="77777777" w:rsidR="008536EC" w:rsidRPr="004E13E9" w:rsidRDefault="008536EC" w:rsidP="008536EC">
      <w:pPr>
        <w:autoSpaceDE w:val="0"/>
        <w:autoSpaceDN w:val="0"/>
        <w:adjustRightInd w:val="0"/>
        <w:jc w:val="both"/>
        <w:rPr>
          <w:b/>
          <w:bCs/>
          <w:i/>
          <w:iCs/>
          <w:lang w:val="fr-FR"/>
        </w:rPr>
      </w:pPr>
    </w:p>
    <w:p w14:paraId="0D300626" w14:textId="77777777" w:rsidR="008536EC" w:rsidRPr="004E13E9" w:rsidRDefault="008536EC" w:rsidP="008536EC">
      <w:pPr>
        <w:widowControl w:val="0"/>
        <w:jc w:val="both"/>
        <w:rPr>
          <w:rFonts w:eastAsia="MS Gothic" w:cs="Times New Roman"/>
          <w:b/>
          <w:bCs/>
          <w:i/>
          <w:iCs/>
          <w:lang w:val="fr-FR" w:eastAsia="fr-FR" w:bidi="fr-FR"/>
        </w:rPr>
      </w:pPr>
      <w:bookmarkStart w:id="16" w:name="_Hlk158706837"/>
      <w:r w:rsidRPr="004E13E9">
        <w:rPr>
          <w:rFonts w:eastAsia="MS Gothic" w:cs="Times New Roman"/>
          <w:b/>
          <w:bCs/>
          <w:i/>
          <w:iCs/>
          <w:lang w:val="fr-FR" w:eastAsia="fr-FR" w:bidi="fr-FR"/>
        </w:rPr>
        <w:t>1b) Report (paragraphe 6)</w:t>
      </w:r>
    </w:p>
    <w:bookmarkEnd w:id="16"/>
    <w:p w14:paraId="0668A92A" w14:textId="77777777" w:rsidR="008536EC" w:rsidRPr="004E13E9" w:rsidRDefault="008536EC" w:rsidP="008536EC">
      <w:pPr>
        <w:jc w:val="both"/>
        <w:rPr>
          <w:lang w:val="fr-FR"/>
        </w:rPr>
      </w:pPr>
    </w:p>
    <w:p w14:paraId="782E5D10" w14:textId="77777777" w:rsidR="008536EC" w:rsidRPr="004E13E9" w:rsidRDefault="008536EC" w:rsidP="008536EC">
      <w:pPr>
        <w:jc w:val="both"/>
        <w:rPr>
          <w:lang w:val="fr-FR"/>
        </w:rPr>
      </w:pPr>
      <w:r w:rsidRPr="004E13E9">
        <w:rPr>
          <w:lang w:val="fr-FR"/>
        </w:rPr>
        <w:t>L'Égypte n'a pas de report de sous-consommation de 2025.</w:t>
      </w:r>
    </w:p>
    <w:p w14:paraId="25B5207B" w14:textId="77777777" w:rsidR="008536EC" w:rsidRPr="004E13E9" w:rsidRDefault="008536EC" w:rsidP="008536EC">
      <w:pPr>
        <w:jc w:val="both"/>
        <w:rPr>
          <w:lang w:val="fr-FR"/>
        </w:rPr>
      </w:pPr>
    </w:p>
    <w:p w14:paraId="30ABD74A" w14:textId="77777777" w:rsidR="008536EC" w:rsidRPr="004E13E9" w:rsidRDefault="008536EC" w:rsidP="008536EC">
      <w:pPr>
        <w:contextualSpacing/>
        <w:jc w:val="both"/>
        <w:rPr>
          <w:b/>
          <w:bCs/>
          <w:i/>
          <w:lang w:val="fr-FR"/>
        </w:rPr>
      </w:pPr>
      <w:r w:rsidRPr="004E13E9">
        <w:rPr>
          <w:b/>
          <w:bCs/>
          <w:i/>
          <w:lang w:val="fr-FR"/>
        </w:rPr>
        <w:t>1c) Destination de la capture</w:t>
      </w:r>
    </w:p>
    <w:p w14:paraId="4B6F0C19" w14:textId="77777777" w:rsidR="008536EC" w:rsidRPr="004E13E9" w:rsidRDefault="008536EC" w:rsidP="008536EC">
      <w:pPr>
        <w:jc w:val="both"/>
        <w:rPr>
          <w:lang w:val="fr-FR"/>
        </w:rPr>
      </w:pPr>
    </w:p>
    <w:p w14:paraId="7E2FE93B" w14:textId="77777777" w:rsidR="008536EC" w:rsidRPr="004E13E9" w:rsidRDefault="008536EC" w:rsidP="008536EC">
      <w:pPr>
        <w:widowControl w:val="0"/>
        <w:jc w:val="both"/>
        <w:rPr>
          <w:rFonts w:eastAsia="MS Gothic" w:cs="Times New Roman"/>
          <w:iCs/>
          <w:lang w:val="fr-FR" w:eastAsia="fr-FR" w:bidi="fr-FR"/>
        </w:rPr>
      </w:pPr>
      <w:r w:rsidRPr="004E13E9">
        <w:rPr>
          <w:rFonts w:eastAsia="MS Gothic" w:cs="Times New Roman"/>
          <w:lang w:val="fr-FR" w:eastAsia="fr-FR" w:bidi="fr-FR"/>
        </w:rPr>
        <w:t>Élevage : L'Égypte n'a pas d'activité d’élevage jusqu'à présent.</w:t>
      </w:r>
    </w:p>
    <w:p w14:paraId="0F136796" w14:textId="77777777" w:rsidR="008536EC" w:rsidRPr="004E13E9" w:rsidRDefault="008536EC" w:rsidP="008536EC">
      <w:pPr>
        <w:widowControl w:val="0"/>
        <w:jc w:val="both"/>
        <w:rPr>
          <w:rFonts w:eastAsia="MS Gothic" w:cs="Times New Roman"/>
          <w:iCs/>
          <w:lang w:val="fr-FR" w:eastAsia="fr-FR" w:bidi="fr-FR"/>
        </w:rPr>
      </w:pPr>
      <w:r w:rsidRPr="004E13E9">
        <w:rPr>
          <w:rFonts w:eastAsia="MS Gothic" w:cs="Times New Roman"/>
          <w:lang w:val="fr-FR" w:eastAsia="fr-FR" w:bidi="fr-FR"/>
        </w:rPr>
        <w:t xml:space="preserve">Débarquement : L'Égypte n'a pas d'activité de débarquement. </w:t>
      </w:r>
    </w:p>
    <w:p w14:paraId="76798F60" w14:textId="77777777" w:rsidR="008536EC" w:rsidRPr="004E13E9" w:rsidRDefault="008536EC" w:rsidP="008536EC">
      <w:pPr>
        <w:rPr>
          <w:lang w:val="fr-FR"/>
        </w:rPr>
      </w:pPr>
      <w:r w:rsidRPr="004E13E9">
        <w:rPr>
          <w:rFonts w:eastAsia="MS Gothic" w:cs="Times New Roman"/>
          <w:lang w:val="fr-FR" w:eastAsia="fr-FR" w:bidi="fr-FR"/>
        </w:rPr>
        <w:t xml:space="preserve">Une quantité de </w:t>
      </w:r>
      <w:r w:rsidRPr="004E13E9">
        <w:rPr>
          <w:rFonts w:eastAsia="MS Gothic" w:cs="Times New Roman"/>
          <w:color w:val="000000" w:themeColor="text1"/>
          <w:lang w:val="fr-FR" w:eastAsia="fr-FR" w:bidi="fr-FR"/>
        </w:rPr>
        <w:t>543,51</w:t>
      </w:r>
      <w:r w:rsidRPr="004E13E9">
        <w:rPr>
          <w:rFonts w:eastAsia="MS Gothic" w:cs="Times New Roman"/>
          <w:lang w:val="fr-FR" w:eastAsia="fr-FR" w:bidi="fr-FR"/>
        </w:rPr>
        <w:t xml:space="preserve"> t sera destinée aux cages des </w:t>
      </w:r>
      <w:r w:rsidRPr="004E13E9">
        <w:rPr>
          <w:lang w:val="fr-FR"/>
        </w:rPr>
        <w:t>fermes d'engraissement.</w:t>
      </w:r>
    </w:p>
    <w:p w14:paraId="7ADF23DA" w14:textId="77777777" w:rsidR="008E33F7" w:rsidRPr="004E13E9" w:rsidRDefault="008E33F7" w:rsidP="008536EC">
      <w:pPr>
        <w:rPr>
          <w:lang w:val="fr-FR"/>
        </w:rPr>
      </w:pPr>
    </w:p>
    <w:p w14:paraId="307E4452" w14:textId="77777777" w:rsidR="008536EC" w:rsidRPr="004E13E9" w:rsidRDefault="008536EC" w:rsidP="008536EC">
      <w:pPr>
        <w:contextualSpacing/>
        <w:rPr>
          <w:b/>
          <w:bCs/>
          <w:i/>
          <w:iCs/>
        </w:rPr>
      </w:pPr>
      <w:r w:rsidRPr="004E13E9">
        <w:rPr>
          <w:b/>
          <w:bCs/>
          <w:i/>
          <w:iCs/>
        </w:rPr>
        <w:t>1 d)</w:t>
      </w:r>
    </w:p>
    <w:tbl>
      <w:tblPr>
        <w:tblStyle w:val="TableGrid"/>
        <w:tblW w:w="9634" w:type="dxa"/>
        <w:tblLayout w:type="fixed"/>
        <w:tblLook w:val="04A0" w:firstRow="1" w:lastRow="0" w:firstColumn="1" w:lastColumn="0" w:noHBand="0" w:noVBand="1"/>
      </w:tblPr>
      <w:tblGrid>
        <w:gridCol w:w="562"/>
        <w:gridCol w:w="1843"/>
        <w:gridCol w:w="4820"/>
        <w:gridCol w:w="1701"/>
        <w:gridCol w:w="708"/>
      </w:tblGrid>
      <w:tr w:rsidR="008536EC" w:rsidRPr="004E13E9" w14:paraId="5BACF1CF" w14:textId="77777777" w:rsidTr="00BB4F69">
        <w:trPr>
          <w:tblHeader/>
        </w:trPr>
        <w:tc>
          <w:tcPr>
            <w:tcW w:w="562" w:type="dxa"/>
          </w:tcPr>
          <w:p w14:paraId="770FCDBC" w14:textId="77777777" w:rsidR="008536EC" w:rsidRPr="004E13E9" w:rsidRDefault="008536EC" w:rsidP="00BB4F69">
            <w:pPr>
              <w:widowControl w:val="0"/>
              <w:rPr>
                <w:rFonts w:ascii="Cambria" w:hAnsi="Cambria"/>
                <w:color w:val="auto"/>
                <w:sz w:val="20"/>
                <w:szCs w:val="20"/>
              </w:rPr>
            </w:pPr>
          </w:p>
        </w:tc>
        <w:tc>
          <w:tcPr>
            <w:tcW w:w="1843" w:type="dxa"/>
            <w:vAlign w:val="center"/>
          </w:tcPr>
          <w:p w14:paraId="34549E3B" w14:textId="77777777" w:rsidR="008536EC" w:rsidRPr="004E13E9" w:rsidRDefault="008536EC" w:rsidP="00BB4F69">
            <w:pPr>
              <w:jc w:val="center"/>
              <w:rPr>
                <w:rFonts w:ascii="Cambria" w:hAnsi="Cambria"/>
                <w:i/>
                <w:color w:val="auto"/>
                <w:sz w:val="20"/>
                <w:szCs w:val="20"/>
              </w:rPr>
            </w:pPr>
            <w:r w:rsidRPr="004E13E9">
              <w:rPr>
                <w:rFonts w:ascii="Cambria" w:hAnsi="Cambria"/>
                <w:i/>
                <w:color w:val="auto"/>
                <w:sz w:val="20"/>
                <w:szCs w:val="20"/>
              </w:rPr>
              <w:t xml:space="preserve">Exigence de l’ICCAT (en vertu de la </w:t>
            </w:r>
            <w:hyperlink r:id="rId88" w:history="1">
              <w:r w:rsidRPr="004E13E9">
                <w:rPr>
                  <w:rStyle w:val="Hyperlink"/>
                  <w:rFonts w:ascii="Cambria" w:hAnsi="Cambria"/>
                  <w:i/>
                  <w:sz w:val="20"/>
                  <w:szCs w:val="20"/>
                  <w:u w:val="none"/>
                </w:rPr>
                <w:t>Rec. 25-04</w:t>
              </w:r>
            </w:hyperlink>
            <w:r w:rsidRPr="004E13E9">
              <w:rPr>
                <w:rFonts w:ascii="Cambria" w:hAnsi="Cambria"/>
                <w:i/>
                <w:color w:val="auto"/>
                <w:sz w:val="20"/>
                <w:szCs w:val="20"/>
              </w:rPr>
              <w:t>)</w:t>
            </w:r>
          </w:p>
        </w:tc>
        <w:tc>
          <w:tcPr>
            <w:tcW w:w="4820" w:type="dxa"/>
            <w:vAlign w:val="center"/>
          </w:tcPr>
          <w:p w14:paraId="2D471DDE" w14:textId="77777777" w:rsidR="008536EC" w:rsidRPr="004E13E9" w:rsidRDefault="008536EC" w:rsidP="00BB4F69">
            <w:pPr>
              <w:widowControl w:val="0"/>
              <w:jc w:val="center"/>
              <w:rPr>
                <w:rFonts w:ascii="Cambria" w:hAnsi="Cambria"/>
                <w:i/>
                <w:color w:val="auto"/>
                <w:sz w:val="20"/>
                <w:szCs w:val="20"/>
              </w:rPr>
            </w:pPr>
            <w:r w:rsidRPr="004E13E9">
              <w:rPr>
                <w:rFonts w:ascii="Cambria" w:hAnsi="Cambria"/>
                <w:i/>
                <w:color w:val="auto"/>
                <w:sz w:val="20"/>
                <w:szCs w:val="20"/>
              </w:rPr>
              <w:t>Explication des actions prises par la CPC à des fins de mise en œuvre</w:t>
            </w:r>
          </w:p>
        </w:tc>
        <w:tc>
          <w:tcPr>
            <w:tcW w:w="1701" w:type="dxa"/>
            <w:vAlign w:val="center"/>
          </w:tcPr>
          <w:p w14:paraId="1C519EB9" w14:textId="77777777" w:rsidR="008536EC" w:rsidRPr="004E13E9" w:rsidRDefault="008536EC" w:rsidP="00BB4F69">
            <w:pPr>
              <w:widowControl w:val="0"/>
              <w:jc w:val="center"/>
              <w:rPr>
                <w:rFonts w:ascii="Cambria" w:hAnsi="Cambria"/>
                <w:i/>
                <w:color w:val="auto"/>
                <w:sz w:val="20"/>
                <w:szCs w:val="20"/>
              </w:rPr>
            </w:pPr>
            <w:r w:rsidRPr="004E13E9">
              <w:rPr>
                <w:rFonts w:ascii="Cambria" w:hAnsi="Cambria"/>
                <w:i/>
                <w:color w:val="auto"/>
                <w:sz w:val="20"/>
                <w:szCs w:val="20"/>
              </w:rPr>
              <w:t>Lois ou réglementations nationales pertinentes (le cas échéant)</w:t>
            </w:r>
          </w:p>
        </w:tc>
        <w:tc>
          <w:tcPr>
            <w:tcW w:w="708" w:type="dxa"/>
          </w:tcPr>
          <w:p w14:paraId="0242E738" w14:textId="77777777" w:rsidR="008536EC" w:rsidRPr="004E13E9" w:rsidRDefault="008536EC" w:rsidP="00BB4F69">
            <w:pPr>
              <w:widowControl w:val="0"/>
              <w:jc w:val="center"/>
              <w:rPr>
                <w:rFonts w:ascii="Cambria" w:hAnsi="Cambria"/>
                <w:i/>
                <w:color w:val="auto"/>
                <w:sz w:val="20"/>
                <w:szCs w:val="20"/>
              </w:rPr>
            </w:pPr>
            <w:r w:rsidRPr="004E13E9">
              <w:rPr>
                <w:rFonts w:ascii="Cambria" w:hAnsi="Cambria"/>
                <w:i/>
                <w:color w:val="auto"/>
                <w:sz w:val="20"/>
                <w:szCs w:val="20"/>
              </w:rPr>
              <w:t>Note</w:t>
            </w:r>
          </w:p>
        </w:tc>
      </w:tr>
      <w:tr w:rsidR="008536EC" w:rsidRPr="00C712A4" w14:paraId="5098D1F9" w14:textId="77777777" w:rsidTr="00BB4F69">
        <w:tc>
          <w:tcPr>
            <w:tcW w:w="562" w:type="dxa"/>
          </w:tcPr>
          <w:p w14:paraId="14C58153" w14:textId="77777777" w:rsidR="008536EC" w:rsidRPr="004E13E9" w:rsidRDefault="008536EC" w:rsidP="00BB4F69">
            <w:pPr>
              <w:widowControl w:val="0"/>
              <w:rPr>
                <w:rFonts w:ascii="Cambria" w:hAnsi="Cambria"/>
                <w:b/>
                <w:color w:val="auto"/>
                <w:sz w:val="20"/>
                <w:szCs w:val="20"/>
              </w:rPr>
            </w:pPr>
            <w:r w:rsidRPr="004E13E9">
              <w:rPr>
                <w:rFonts w:ascii="Cambria" w:hAnsi="Cambria"/>
                <w:b/>
                <w:color w:val="auto"/>
                <w:sz w:val="20"/>
                <w:szCs w:val="20"/>
              </w:rPr>
              <w:t>1</w:t>
            </w:r>
          </w:p>
        </w:tc>
        <w:tc>
          <w:tcPr>
            <w:tcW w:w="1843" w:type="dxa"/>
          </w:tcPr>
          <w:p w14:paraId="77FEFF93" w14:textId="77777777" w:rsidR="008536EC" w:rsidRPr="004E13E9" w:rsidRDefault="008536EC" w:rsidP="00BB4F69">
            <w:pPr>
              <w:widowControl w:val="0"/>
              <w:rPr>
                <w:rFonts w:ascii="Cambria" w:hAnsi="Cambria"/>
                <w:b/>
                <w:color w:val="auto"/>
                <w:sz w:val="20"/>
                <w:szCs w:val="20"/>
              </w:rPr>
            </w:pPr>
            <w:r w:rsidRPr="004E13E9">
              <w:rPr>
                <w:rFonts w:ascii="Cambria" w:hAnsi="Cambria"/>
                <w:b/>
                <w:color w:val="auto"/>
                <w:sz w:val="20"/>
                <w:szCs w:val="20"/>
              </w:rPr>
              <w:t>Enregistrement et déclaration de la capture (paragraphes 74-88)</w:t>
            </w:r>
          </w:p>
        </w:tc>
        <w:tc>
          <w:tcPr>
            <w:tcW w:w="4820" w:type="dxa"/>
          </w:tcPr>
          <w:p w14:paraId="0C9FB3F9"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Les capitaines des navires de capture consignent toutes les informations dans les carnets de pêche reliés, y compris les poissons morts (conservés ou rejetés) qui seront déduits du quota. Conformément aux exigences définies dans la Rec. </w:t>
            </w:r>
            <w:r w:rsidRPr="004E13E9">
              <w:rPr>
                <w:rFonts w:ascii="Cambria" w:hAnsi="Cambria"/>
                <w:color w:val="000000" w:themeColor="text1"/>
                <w:sz w:val="20"/>
                <w:szCs w:val="20"/>
              </w:rPr>
              <w:t>24-05/25-04</w:t>
            </w:r>
            <w:r w:rsidRPr="004E13E9">
              <w:rPr>
                <w:rFonts w:ascii="Cambria" w:hAnsi="Cambria"/>
                <w:color w:val="auto"/>
                <w:sz w:val="20"/>
                <w:szCs w:val="20"/>
              </w:rPr>
              <w:t>, et les transmettent à la LFRPDA pour vérification au moyen des rapports d'inspection disponibles, des rapports des observateurs régionaux et nationaux, en plus des obligations d'enregistrement et de déclaration établies par les recommandations pertinentes de l’ICCAT.</w:t>
            </w:r>
          </w:p>
        </w:tc>
        <w:tc>
          <w:tcPr>
            <w:tcW w:w="1701" w:type="dxa"/>
          </w:tcPr>
          <w:p w14:paraId="65C81DD0" w14:textId="77777777" w:rsidR="008536EC" w:rsidRPr="004E13E9" w:rsidRDefault="008536EC" w:rsidP="00BB4F69">
            <w:pPr>
              <w:widowControl w:val="0"/>
              <w:jc w:val="both"/>
              <w:rPr>
                <w:rFonts w:ascii="Cambria" w:hAnsi="Cambria"/>
                <w:color w:val="auto"/>
                <w:sz w:val="20"/>
                <w:szCs w:val="20"/>
              </w:rPr>
            </w:pPr>
            <w:r w:rsidRPr="004E13E9">
              <w:rPr>
                <w:rFonts w:ascii="Cambria" w:hAnsi="Cambria"/>
                <w:color w:val="auto"/>
                <w:sz w:val="20"/>
                <w:szCs w:val="20"/>
              </w:rPr>
              <w:t>Résolution Nº(829) pour l'année 2022 Article (8)</w:t>
            </w:r>
          </w:p>
        </w:tc>
        <w:tc>
          <w:tcPr>
            <w:tcW w:w="708" w:type="dxa"/>
          </w:tcPr>
          <w:p w14:paraId="492CA3E8" w14:textId="77777777" w:rsidR="008536EC" w:rsidRPr="004E13E9" w:rsidRDefault="008536EC" w:rsidP="00BB4F69">
            <w:pPr>
              <w:widowControl w:val="0"/>
              <w:rPr>
                <w:rFonts w:ascii="Cambria" w:hAnsi="Cambria"/>
                <w:color w:val="auto"/>
                <w:sz w:val="20"/>
                <w:szCs w:val="20"/>
              </w:rPr>
            </w:pPr>
          </w:p>
        </w:tc>
      </w:tr>
      <w:tr w:rsidR="008536EC" w:rsidRPr="00C712A4" w14:paraId="4605B657" w14:textId="77777777" w:rsidTr="00BB4F69">
        <w:tc>
          <w:tcPr>
            <w:tcW w:w="562" w:type="dxa"/>
          </w:tcPr>
          <w:p w14:paraId="11BC1D5E" w14:textId="77777777" w:rsidR="008536EC" w:rsidRPr="004E13E9" w:rsidRDefault="008536EC" w:rsidP="00BB4F69">
            <w:pPr>
              <w:widowControl w:val="0"/>
              <w:rPr>
                <w:rFonts w:ascii="Cambria" w:hAnsi="Cambria"/>
                <w:b/>
                <w:color w:val="auto"/>
                <w:sz w:val="20"/>
                <w:szCs w:val="20"/>
              </w:rPr>
            </w:pPr>
            <w:r w:rsidRPr="004E13E9">
              <w:rPr>
                <w:rFonts w:ascii="Cambria" w:hAnsi="Cambria"/>
                <w:b/>
                <w:color w:val="auto"/>
                <w:sz w:val="20"/>
                <w:szCs w:val="20"/>
              </w:rPr>
              <w:t>2</w:t>
            </w:r>
          </w:p>
        </w:tc>
        <w:tc>
          <w:tcPr>
            <w:tcW w:w="1843" w:type="dxa"/>
          </w:tcPr>
          <w:p w14:paraId="78BF65CD" w14:textId="77777777" w:rsidR="008536EC" w:rsidRPr="004E13E9" w:rsidRDefault="008536EC" w:rsidP="00BB4F69">
            <w:pPr>
              <w:widowControl w:val="0"/>
              <w:rPr>
                <w:rFonts w:ascii="Cambria" w:hAnsi="Cambria"/>
                <w:b/>
                <w:color w:val="auto"/>
                <w:sz w:val="20"/>
                <w:szCs w:val="20"/>
              </w:rPr>
            </w:pPr>
            <w:r w:rsidRPr="004E13E9">
              <w:rPr>
                <w:rFonts w:ascii="Cambria" w:hAnsi="Cambria"/>
                <w:b/>
                <w:color w:val="auto"/>
                <w:sz w:val="20"/>
                <w:szCs w:val="20"/>
              </w:rPr>
              <w:t>Périodes d’ouverture de la pêche (paragraphes 28-32)</w:t>
            </w:r>
          </w:p>
        </w:tc>
        <w:tc>
          <w:tcPr>
            <w:tcW w:w="4820" w:type="dxa"/>
          </w:tcPr>
          <w:p w14:paraId="61B174B0"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La période de pêche de thon rouge autorisée s’étend du 19 mai au 1</w:t>
            </w:r>
            <w:r w:rsidRPr="004E13E9">
              <w:rPr>
                <w:rFonts w:ascii="Cambria" w:hAnsi="Cambria"/>
                <w:color w:val="auto"/>
                <w:sz w:val="20"/>
                <w:szCs w:val="20"/>
                <w:vertAlign w:val="superscript"/>
              </w:rPr>
              <w:t>er</w:t>
            </w:r>
            <w:r w:rsidRPr="004E13E9">
              <w:rPr>
                <w:rFonts w:ascii="Cambria" w:hAnsi="Cambria"/>
                <w:color w:val="auto"/>
                <w:sz w:val="20"/>
                <w:szCs w:val="20"/>
              </w:rPr>
              <w:t xml:space="preserve"> juillet 2026. Conformément au paragraphe 28 de la Rec. </w:t>
            </w:r>
            <w:r w:rsidRPr="004E13E9">
              <w:rPr>
                <w:rFonts w:ascii="Cambria" w:hAnsi="Cambria"/>
                <w:color w:val="000000" w:themeColor="text1"/>
                <w:sz w:val="20"/>
                <w:szCs w:val="20"/>
              </w:rPr>
              <w:t>24-05/25-04</w:t>
            </w:r>
            <w:r w:rsidRPr="004E13E9">
              <w:rPr>
                <w:rFonts w:ascii="Cambria" w:hAnsi="Cambria"/>
                <w:color w:val="auto"/>
                <w:sz w:val="20"/>
                <w:szCs w:val="20"/>
              </w:rPr>
              <w:t>, l’Égypte pourrait éventuellement étendre sa période de pêche de 10 jours en cas de mauvaises conditions météorologiques survenant pendant la période de pêche autorisée.</w:t>
            </w:r>
          </w:p>
          <w:p w14:paraId="6FD670A8" w14:textId="77777777" w:rsidR="008536EC" w:rsidRPr="004E13E9" w:rsidRDefault="008536EC" w:rsidP="00BB4F69">
            <w:pPr>
              <w:autoSpaceDE w:val="0"/>
              <w:autoSpaceDN w:val="0"/>
              <w:adjustRightInd w:val="0"/>
              <w:ind w:left="102"/>
              <w:jc w:val="both"/>
              <w:rPr>
                <w:rFonts w:ascii="Cambria" w:hAnsi="Cambria"/>
                <w:color w:val="auto"/>
                <w:sz w:val="20"/>
                <w:szCs w:val="20"/>
              </w:rPr>
            </w:pPr>
          </w:p>
          <w:p w14:paraId="10ACCC61" w14:textId="77777777" w:rsidR="008536EC" w:rsidRPr="004E13E9" w:rsidRDefault="008536EC" w:rsidP="00BB4F69">
            <w:pPr>
              <w:autoSpaceDE w:val="0"/>
              <w:autoSpaceDN w:val="0"/>
              <w:adjustRightInd w:val="0"/>
              <w:ind w:left="102"/>
              <w:jc w:val="both"/>
              <w:rPr>
                <w:rFonts w:ascii="Cambria" w:hAnsi="Cambria"/>
                <w:color w:val="auto"/>
                <w:sz w:val="20"/>
                <w:szCs w:val="20"/>
              </w:rPr>
            </w:pPr>
            <w:r w:rsidRPr="004E13E9">
              <w:rPr>
                <w:rFonts w:ascii="Cambria" w:hAnsi="Cambria"/>
                <w:color w:val="auto"/>
                <w:sz w:val="20"/>
                <w:szCs w:val="20"/>
              </w:rPr>
              <w:lastRenderedPageBreak/>
              <w:t>De plus, la LFRPDA annoncera la fermeture de la saison de pêche de thon rouge dès que le quota autorisé aura été capturé, même pendant la période autorisée.</w:t>
            </w:r>
          </w:p>
          <w:p w14:paraId="502955B7" w14:textId="77777777" w:rsidR="008536EC" w:rsidRPr="004E13E9" w:rsidRDefault="008536EC" w:rsidP="00BB4F69">
            <w:pPr>
              <w:autoSpaceDE w:val="0"/>
              <w:autoSpaceDN w:val="0"/>
              <w:adjustRightInd w:val="0"/>
              <w:ind w:left="102"/>
              <w:jc w:val="both"/>
              <w:rPr>
                <w:rFonts w:ascii="Cambria" w:hAnsi="Cambria"/>
                <w:color w:val="auto"/>
                <w:sz w:val="20"/>
                <w:szCs w:val="20"/>
              </w:rPr>
            </w:pPr>
          </w:p>
          <w:p w14:paraId="5CCA3B53"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Tous les navires de pêche capturant du thon rouge de l’Est sont des senneurs sous licence qui opèrent en Méditerranée.</w:t>
            </w:r>
          </w:p>
        </w:tc>
        <w:tc>
          <w:tcPr>
            <w:tcW w:w="1701" w:type="dxa"/>
          </w:tcPr>
          <w:p w14:paraId="5552C3EE" w14:textId="77777777" w:rsidR="008536EC" w:rsidRPr="004E13E9" w:rsidRDefault="008536EC" w:rsidP="00BB4F69">
            <w:pPr>
              <w:widowControl w:val="0"/>
              <w:jc w:val="both"/>
              <w:rPr>
                <w:rFonts w:ascii="Cambria" w:hAnsi="Cambria"/>
                <w:color w:val="auto"/>
                <w:sz w:val="20"/>
                <w:szCs w:val="20"/>
              </w:rPr>
            </w:pPr>
            <w:r w:rsidRPr="004E13E9">
              <w:rPr>
                <w:rFonts w:ascii="Cambria" w:hAnsi="Cambria"/>
                <w:color w:val="auto"/>
                <w:sz w:val="20"/>
                <w:szCs w:val="20"/>
              </w:rPr>
              <w:lastRenderedPageBreak/>
              <w:t>Résolution Nº(121) pour l'année 2022 Article (3)</w:t>
            </w:r>
          </w:p>
        </w:tc>
        <w:tc>
          <w:tcPr>
            <w:tcW w:w="708" w:type="dxa"/>
          </w:tcPr>
          <w:p w14:paraId="63336710" w14:textId="77777777" w:rsidR="008536EC" w:rsidRPr="004E13E9" w:rsidRDefault="008536EC" w:rsidP="00BB4F69">
            <w:pPr>
              <w:widowControl w:val="0"/>
              <w:rPr>
                <w:rFonts w:ascii="Cambria" w:hAnsi="Cambria"/>
                <w:color w:val="auto"/>
                <w:sz w:val="20"/>
                <w:szCs w:val="20"/>
              </w:rPr>
            </w:pPr>
          </w:p>
        </w:tc>
      </w:tr>
      <w:tr w:rsidR="008536EC" w:rsidRPr="00C712A4" w14:paraId="123172AF" w14:textId="77777777" w:rsidTr="00BB4F69">
        <w:tc>
          <w:tcPr>
            <w:tcW w:w="562" w:type="dxa"/>
          </w:tcPr>
          <w:p w14:paraId="6431062A" w14:textId="77777777" w:rsidR="008536EC" w:rsidRPr="004E13E9" w:rsidRDefault="008536EC" w:rsidP="00BB4F69">
            <w:pPr>
              <w:widowControl w:val="0"/>
              <w:rPr>
                <w:rFonts w:ascii="Cambria" w:hAnsi="Cambria"/>
                <w:b/>
                <w:color w:val="auto"/>
                <w:sz w:val="20"/>
                <w:szCs w:val="20"/>
              </w:rPr>
            </w:pPr>
            <w:r w:rsidRPr="004E13E9">
              <w:rPr>
                <w:rFonts w:ascii="Cambria" w:hAnsi="Cambria"/>
                <w:b/>
                <w:color w:val="auto"/>
                <w:sz w:val="20"/>
                <w:szCs w:val="20"/>
              </w:rPr>
              <w:t>3</w:t>
            </w:r>
          </w:p>
        </w:tc>
        <w:tc>
          <w:tcPr>
            <w:tcW w:w="1843" w:type="dxa"/>
          </w:tcPr>
          <w:p w14:paraId="47C65BF0" w14:textId="77777777" w:rsidR="008536EC" w:rsidRPr="004E13E9" w:rsidRDefault="008536EC" w:rsidP="00BB4F69">
            <w:pPr>
              <w:widowControl w:val="0"/>
              <w:rPr>
                <w:rFonts w:ascii="Cambria" w:hAnsi="Cambria"/>
                <w:b/>
                <w:color w:val="auto"/>
                <w:sz w:val="20"/>
                <w:szCs w:val="20"/>
              </w:rPr>
            </w:pPr>
            <w:r w:rsidRPr="004E13E9">
              <w:rPr>
                <w:rFonts w:ascii="Cambria" w:hAnsi="Cambria"/>
                <w:b/>
                <w:color w:val="auto"/>
                <w:sz w:val="20"/>
                <w:szCs w:val="20"/>
              </w:rPr>
              <w:t>Taille minimale (paragraphes 33-35)</w:t>
            </w:r>
          </w:p>
        </w:tc>
        <w:tc>
          <w:tcPr>
            <w:tcW w:w="4820" w:type="dxa"/>
          </w:tcPr>
          <w:p w14:paraId="1FC1E87F"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 xml:space="preserve">Les dispositions régissant la taille minimale stipulées dans les recommandations pertinentes de l’ICCAT (Rec. </w:t>
            </w:r>
            <w:r w:rsidRPr="004E13E9">
              <w:rPr>
                <w:rFonts w:ascii="Cambria" w:hAnsi="Cambria"/>
                <w:color w:val="000000" w:themeColor="text1"/>
                <w:sz w:val="20"/>
                <w:szCs w:val="20"/>
              </w:rPr>
              <w:t>24-05/25-04</w:t>
            </w:r>
            <w:r w:rsidRPr="004E13E9">
              <w:rPr>
                <w:rFonts w:ascii="Cambria" w:hAnsi="Cambria"/>
                <w:color w:val="auto"/>
                <w:sz w:val="20"/>
                <w:szCs w:val="20"/>
              </w:rPr>
              <w:t>) devront être strictement mises en œuvre.</w:t>
            </w:r>
          </w:p>
          <w:p w14:paraId="6D010F99"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 xml:space="preserve">L'inspecteur/observateur national à bord devra s'assurer du respect total de la taille minimale conformément à la recommandation pertinente de l'ICCAT (Rec. </w:t>
            </w:r>
            <w:r w:rsidRPr="004E13E9">
              <w:rPr>
                <w:rFonts w:ascii="Cambria" w:hAnsi="Cambria"/>
                <w:color w:val="000000" w:themeColor="text1"/>
                <w:sz w:val="20"/>
                <w:szCs w:val="20"/>
              </w:rPr>
              <w:t>24-05/25-04</w:t>
            </w:r>
            <w:r w:rsidRPr="004E13E9">
              <w:rPr>
                <w:rFonts w:ascii="Cambria" w:hAnsi="Cambria"/>
                <w:color w:val="auto"/>
                <w:sz w:val="20"/>
                <w:szCs w:val="20"/>
              </w:rPr>
              <w:t>) pendant la saison de pêche.</w:t>
            </w:r>
          </w:p>
          <w:p w14:paraId="5CC05B03"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p>
          <w:p w14:paraId="5A707ACC"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La réglementation interdit de capturer, de conserver à bord, de transborder, de transférer, de débarquer, de stocker, de vendre, d'exposer ou de mettre en vente du thon rouge pesant moins de 30 kg ou dont la longueur à la fourche est inférieure à 115 cm.</w:t>
            </w:r>
          </w:p>
          <w:p w14:paraId="2823D5DA" w14:textId="77777777" w:rsidR="008536EC" w:rsidRPr="004E13E9" w:rsidRDefault="008536EC" w:rsidP="00BB4F69">
            <w:pPr>
              <w:autoSpaceDE w:val="0"/>
              <w:autoSpaceDN w:val="0"/>
              <w:adjustRightInd w:val="0"/>
              <w:ind w:left="101"/>
              <w:contextualSpacing/>
              <w:rPr>
                <w:rFonts w:ascii="Cambria" w:hAnsi="Cambria"/>
                <w:color w:val="auto"/>
                <w:sz w:val="20"/>
                <w:szCs w:val="20"/>
              </w:rPr>
            </w:pPr>
          </w:p>
          <w:p w14:paraId="01CFDBB3"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Prises accessoires de 5% maximum en poids de thon rouge. Un poids (8 à 30 kg) ou une longueur à la fourche de 75 à 115 cm est autorisé(e).</w:t>
            </w:r>
          </w:p>
          <w:p w14:paraId="1E2C0ACA"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p>
          <w:p w14:paraId="1AA6BA09"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 xml:space="preserve">Tout le thon rouge sous-taille vivant doit être remis à l'eau et le thon rouge mort devrait être déclaré et déduit du quota. </w:t>
            </w:r>
          </w:p>
        </w:tc>
        <w:tc>
          <w:tcPr>
            <w:tcW w:w="1701" w:type="dxa"/>
          </w:tcPr>
          <w:p w14:paraId="093B9CCD"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Résolution Nº(121) pour l'année 2022 Article (4)</w:t>
            </w:r>
          </w:p>
        </w:tc>
        <w:tc>
          <w:tcPr>
            <w:tcW w:w="708" w:type="dxa"/>
          </w:tcPr>
          <w:p w14:paraId="4EFB1A6C" w14:textId="77777777" w:rsidR="008536EC" w:rsidRPr="004E13E9" w:rsidRDefault="008536EC" w:rsidP="00BB4F69">
            <w:pPr>
              <w:widowControl w:val="0"/>
              <w:rPr>
                <w:rFonts w:ascii="Cambria" w:hAnsi="Cambria"/>
                <w:color w:val="auto"/>
                <w:sz w:val="20"/>
                <w:szCs w:val="20"/>
              </w:rPr>
            </w:pPr>
          </w:p>
        </w:tc>
      </w:tr>
      <w:tr w:rsidR="008536EC" w:rsidRPr="00C712A4" w14:paraId="77C3C400" w14:textId="77777777" w:rsidTr="00BB4F69">
        <w:tc>
          <w:tcPr>
            <w:tcW w:w="562" w:type="dxa"/>
          </w:tcPr>
          <w:p w14:paraId="0E096810" w14:textId="77777777" w:rsidR="008536EC" w:rsidRPr="004E13E9" w:rsidRDefault="008536EC" w:rsidP="00BB4F69">
            <w:pPr>
              <w:widowControl w:val="0"/>
              <w:jc w:val="both"/>
              <w:rPr>
                <w:rFonts w:ascii="Cambria" w:hAnsi="Cambria"/>
                <w:b/>
                <w:color w:val="auto"/>
                <w:sz w:val="20"/>
                <w:szCs w:val="20"/>
              </w:rPr>
            </w:pPr>
            <w:r w:rsidRPr="004E13E9">
              <w:rPr>
                <w:rFonts w:ascii="Cambria" w:hAnsi="Cambria"/>
                <w:b/>
                <w:color w:val="auto"/>
                <w:sz w:val="20"/>
                <w:szCs w:val="20"/>
              </w:rPr>
              <w:t>4</w:t>
            </w:r>
          </w:p>
        </w:tc>
        <w:tc>
          <w:tcPr>
            <w:tcW w:w="1843" w:type="dxa"/>
          </w:tcPr>
          <w:p w14:paraId="19E9E20A" w14:textId="77777777" w:rsidR="008536EC" w:rsidRPr="004E13E9" w:rsidRDefault="008536EC" w:rsidP="00BB4F69">
            <w:pPr>
              <w:widowControl w:val="0"/>
              <w:jc w:val="both"/>
              <w:rPr>
                <w:rFonts w:ascii="Cambria" w:hAnsi="Cambria"/>
                <w:b/>
                <w:color w:val="auto"/>
                <w:sz w:val="20"/>
                <w:szCs w:val="20"/>
              </w:rPr>
            </w:pPr>
            <w:r w:rsidRPr="004E13E9">
              <w:rPr>
                <w:rFonts w:ascii="Cambria" w:hAnsi="Cambria"/>
                <w:b/>
                <w:color w:val="auto"/>
                <w:sz w:val="20"/>
                <w:szCs w:val="20"/>
              </w:rPr>
              <w:t xml:space="preserve">Prises accessoires (paragraphe 37) </w:t>
            </w:r>
          </w:p>
        </w:tc>
        <w:tc>
          <w:tcPr>
            <w:tcW w:w="4820" w:type="dxa"/>
          </w:tcPr>
          <w:p w14:paraId="3C916443" w14:textId="77777777" w:rsidR="008536EC" w:rsidRPr="004E13E9" w:rsidRDefault="008536EC" w:rsidP="00BB4F69">
            <w:pPr>
              <w:jc w:val="both"/>
              <w:rPr>
                <w:rFonts w:ascii="Cambria" w:hAnsi="Cambria"/>
                <w:color w:val="auto"/>
                <w:sz w:val="20"/>
                <w:szCs w:val="20"/>
              </w:rPr>
            </w:pPr>
            <w:r w:rsidRPr="004E13E9">
              <w:rPr>
                <w:rFonts w:ascii="Cambria" w:hAnsi="Cambria"/>
                <w:color w:val="auto"/>
                <w:sz w:val="20"/>
                <w:szCs w:val="20"/>
              </w:rPr>
              <w:t>L'Égypte fixe à 1 % son quota de prises accessoires, étant donné que les prises accessoires enregistrées n'ont pas dépassé cette limite en 2025.</w:t>
            </w:r>
          </w:p>
          <w:p w14:paraId="30C034E2" w14:textId="77777777" w:rsidR="008536EC" w:rsidRPr="004E13E9" w:rsidRDefault="008536EC" w:rsidP="00BB4F69">
            <w:pPr>
              <w:autoSpaceDE w:val="0"/>
              <w:autoSpaceDN w:val="0"/>
              <w:adjustRightInd w:val="0"/>
              <w:contextualSpacing/>
              <w:jc w:val="both"/>
              <w:rPr>
                <w:rFonts w:ascii="Cambria" w:hAnsi="Cambria"/>
                <w:color w:val="auto"/>
                <w:sz w:val="20"/>
                <w:szCs w:val="20"/>
              </w:rPr>
            </w:pPr>
          </w:p>
          <w:p w14:paraId="58B99412" w14:textId="77777777" w:rsidR="008536EC" w:rsidRPr="004E13E9" w:rsidRDefault="008536EC" w:rsidP="00BB4F69">
            <w:pPr>
              <w:autoSpaceDE w:val="0"/>
              <w:autoSpaceDN w:val="0"/>
              <w:adjustRightInd w:val="0"/>
              <w:contextualSpacing/>
              <w:jc w:val="both"/>
              <w:rPr>
                <w:rFonts w:ascii="Cambria" w:hAnsi="Cambria"/>
                <w:color w:val="auto"/>
                <w:sz w:val="20"/>
                <w:szCs w:val="20"/>
              </w:rPr>
            </w:pPr>
            <w:r w:rsidRPr="004E13E9">
              <w:rPr>
                <w:rFonts w:ascii="Cambria" w:hAnsi="Cambria"/>
                <w:color w:val="auto"/>
                <w:sz w:val="20"/>
                <w:szCs w:val="20"/>
              </w:rPr>
              <w:t>Toutes les de prises accessoires ne devront pas dépasser 20% de la capture totale à bord à la fin de chaque sortie de pêche. Ces quantités en tant que prises accessoires devront être calculées en fonction du total des captures à bord (en poids ou en nombre de spécimens).</w:t>
            </w:r>
          </w:p>
          <w:p w14:paraId="62726BCD" w14:textId="77777777" w:rsidR="008536EC" w:rsidRPr="004E13E9" w:rsidRDefault="008536EC" w:rsidP="00BB4F69">
            <w:pPr>
              <w:autoSpaceDE w:val="0"/>
              <w:autoSpaceDN w:val="0"/>
              <w:adjustRightInd w:val="0"/>
              <w:ind w:left="101"/>
              <w:contextualSpacing/>
              <w:jc w:val="both"/>
              <w:rPr>
                <w:rFonts w:ascii="Cambria" w:hAnsi="Cambria" w:cs="Arial"/>
                <w:color w:val="auto"/>
                <w:sz w:val="20"/>
                <w:szCs w:val="20"/>
              </w:rPr>
            </w:pPr>
          </w:p>
          <w:p w14:paraId="5A9E7B93" w14:textId="77777777" w:rsidR="008536EC" w:rsidRPr="004E13E9" w:rsidRDefault="008536EC" w:rsidP="00BB4F69">
            <w:pPr>
              <w:autoSpaceDE w:val="0"/>
              <w:autoSpaceDN w:val="0"/>
              <w:adjustRightInd w:val="0"/>
              <w:contextualSpacing/>
              <w:jc w:val="both"/>
              <w:rPr>
                <w:rFonts w:ascii="Cambria" w:hAnsi="Cambria"/>
                <w:color w:val="auto"/>
                <w:sz w:val="20"/>
                <w:szCs w:val="20"/>
              </w:rPr>
            </w:pPr>
            <w:r w:rsidRPr="004E13E9">
              <w:rPr>
                <w:rFonts w:ascii="Cambria" w:hAnsi="Cambria"/>
                <w:color w:val="auto"/>
                <w:sz w:val="20"/>
                <w:szCs w:val="20"/>
              </w:rPr>
              <w:t xml:space="preserve">Les navires ne pêchant pas activement du thon rouge sont suivis par des inspecteurs nationaux dans les ports de débarquement pour compter les prises accessoires de thon rouge (le cas échéant) afin de garantir la mise en œuvre de la Rec. </w:t>
            </w:r>
            <w:r w:rsidRPr="004E13E9">
              <w:rPr>
                <w:rFonts w:ascii="Cambria" w:hAnsi="Cambria"/>
                <w:color w:val="000000" w:themeColor="text1"/>
                <w:sz w:val="20"/>
                <w:szCs w:val="20"/>
              </w:rPr>
              <w:t>24-05/25-04</w:t>
            </w:r>
            <w:r w:rsidRPr="004E13E9">
              <w:rPr>
                <w:rFonts w:ascii="Cambria" w:hAnsi="Cambria"/>
                <w:color w:val="auto"/>
                <w:sz w:val="20"/>
                <w:szCs w:val="20"/>
              </w:rPr>
              <w:t xml:space="preserve"> de l’ICCAT.</w:t>
            </w:r>
          </w:p>
          <w:p w14:paraId="0CF7AA05" w14:textId="77777777" w:rsidR="008536EC" w:rsidRPr="004E13E9" w:rsidRDefault="008536EC" w:rsidP="00BB4F69">
            <w:pPr>
              <w:autoSpaceDE w:val="0"/>
              <w:autoSpaceDN w:val="0"/>
              <w:adjustRightInd w:val="0"/>
              <w:ind w:left="101"/>
              <w:contextualSpacing/>
              <w:jc w:val="both"/>
              <w:rPr>
                <w:rFonts w:ascii="Cambria" w:hAnsi="Cambria" w:cs="Arial"/>
                <w:color w:val="auto"/>
                <w:sz w:val="20"/>
                <w:szCs w:val="20"/>
              </w:rPr>
            </w:pPr>
          </w:p>
          <w:p w14:paraId="14423FB6" w14:textId="77777777" w:rsidR="008536EC" w:rsidRPr="004E13E9" w:rsidRDefault="008536EC" w:rsidP="00BB4F69">
            <w:pPr>
              <w:autoSpaceDE w:val="0"/>
              <w:autoSpaceDN w:val="0"/>
              <w:adjustRightInd w:val="0"/>
              <w:contextualSpacing/>
              <w:jc w:val="both"/>
              <w:rPr>
                <w:rFonts w:ascii="Cambria" w:hAnsi="Cambria"/>
                <w:color w:val="auto"/>
                <w:sz w:val="20"/>
                <w:szCs w:val="20"/>
              </w:rPr>
            </w:pPr>
            <w:r w:rsidRPr="004E13E9">
              <w:rPr>
                <w:rFonts w:ascii="Cambria" w:hAnsi="Cambria"/>
                <w:color w:val="auto"/>
                <w:sz w:val="20"/>
                <w:szCs w:val="20"/>
              </w:rPr>
              <w:t>Tous nos inspecteurs dans les ports de débarquement ont reçu l'ordre de surveiller et de déclarer toutes les prises accessoires de thon rouge tout au long de l'année.</w:t>
            </w:r>
          </w:p>
          <w:p w14:paraId="4C92DDF1"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p>
          <w:p w14:paraId="39594290" w14:textId="77777777" w:rsidR="008536EC" w:rsidRPr="004E13E9" w:rsidRDefault="008536EC" w:rsidP="00BB4F69">
            <w:pPr>
              <w:autoSpaceDE w:val="0"/>
              <w:autoSpaceDN w:val="0"/>
              <w:adjustRightInd w:val="0"/>
              <w:contextualSpacing/>
              <w:jc w:val="both"/>
              <w:rPr>
                <w:rFonts w:ascii="Cambria" w:hAnsi="Cambria"/>
                <w:color w:val="auto"/>
                <w:sz w:val="20"/>
                <w:szCs w:val="20"/>
              </w:rPr>
            </w:pPr>
            <w:r w:rsidRPr="004E13E9">
              <w:rPr>
                <w:rFonts w:ascii="Cambria" w:hAnsi="Cambria"/>
                <w:color w:val="auto"/>
                <w:sz w:val="20"/>
                <w:szCs w:val="20"/>
              </w:rPr>
              <w:lastRenderedPageBreak/>
              <w:t xml:space="preserve">L'Égypte ne réalise pas de rejets de thon rouge, car la plupart des senneurs en Égypte sont des navires de moins de 24 m qui opèrent près de la côte et n'ont donc aucune probabilité de capturer du thon rouge. Seuls les navires autorisés à cibler le thon rouge sont autorisés à opérer en haute mer pour capturer le thon rouge. En outre, l'Égypte, en collaboration avec la FAO (projet </w:t>
            </w:r>
            <w:proofErr w:type="spellStart"/>
            <w:r w:rsidRPr="004E13E9">
              <w:rPr>
                <w:rFonts w:ascii="Cambria" w:hAnsi="Cambria"/>
                <w:color w:val="auto"/>
                <w:sz w:val="20"/>
                <w:szCs w:val="20"/>
              </w:rPr>
              <w:t>EastMed</w:t>
            </w:r>
            <w:proofErr w:type="spellEnd"/>
            <w:r w:rsidRPr="004E13E9">
              <w:rPr>
                <w:rFonts w:ascii="Cambria" w:hAnsi="Cambria"/>
                <w:color w:val="auto"/>
                <w:sz w:val="20"/>
                <w:szCs w:val="20"/>
              </w:rPr>
              <w:t>), a mené une étude pour évaluer les rejets en Méditerranée. Cette étude montrait que le pourcentage de rejets des senneurs est inférieur à 2 % et il n'y avait aucun registre pour le thon rouge dans le rapport.</w:t>
            </w:r>
          </w:p>
          <w:p w14:paraId="305B6A40"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p>
          <w:p w14:paraId="3E07EE38" w14:textId="77777777" w:rsidR="008536EC" w:rsidRPr="004E13E9" w:rsidRDefault="008536EC" w:rsidP="00BB4F69">
            <w:pPr>
              <w:autoSpaceDE w:val="0"/>
              <w:autoSpaceDN w:val="0"/>
              <w:adjustRightInd w:val="0"/>
              <w:contextualSpacing/>
              <w:jc w:val="both"/>
              <w:rPr>
                <w:rFonts w:ascii="Cambria" w:hAnsi="Cambria"/>
                <w:color w:val="auto"/>
                <w:sz w:val="20"/>
                <w:szCs w:val="20"/>
              </w:rPr>
            </w:pPr>
            <w:r w:rsidRPr="004E13E9">
              <w:rPr>
                <w:rFonts w:ascii="Cambria" w:hAnsi="Cambria"/>
                <w:color w:val="auto"/>
                <w:sz w:val="20"/>
                <w:szCs w:val="20"/>
              </w:rPr>
              <w:t>L’Égypte devra communiquer son rapport sur les captures accessoires d’ici la fin de l’année, déclarant tous les thons rouges. Les prises accessoires (le cas échéant) doivent être déduites du quota de prise accessoire spécifié de l'année.</w:t>
            </w:r>
          </w:p>
          <w:p w14:paraId="514AB36F" w14:textId="77777777" w:rsidR="008536EC" w:rsidRPr="004E13E9" w:rsidRDefault="008536EC" w:rsidP="00BB4F69">
            <w:pPr>
              <w:autoSpaceDE w:val="0"/>
              <w:autoSpaceDN w:val="0"/>
              <w:adjustRightInd w:val="0"/>
              <w:ind w:left="101"/>
              <w:contextualSpacing/>
              <w:jc w:val="both"/>
              <w:rPr>
                <w:rFonts w:ascii="Cambria" w:hAnsi="Cambria" w:cs="Arial"/>
                <w:color w:val="auto"/>
                <w:sz w:val="20"/>
                <w:szCs w:val="20"/>
              </w:rPr>
            </w:pPr>
          </w:p>
          <w:p w14:paraId="39D2820A" w14:textId="77777777" w:rsidR="008536EC" w:rsidRPr="004E13E9" w:rsidRDefault="008536EC" w:rsidP="00BB4F69">
            <w:pPr>
              <w:autoSpaceDE w:val="0"/>
              <w:autoSpaceDN w:val="0"/>
              <w:adjustRightInd w:val="0"/>
              <w:contextualSpacing/>
              <w:jc w:val="both"/>
              <w:rPr>
                <w:rFonts w:ascii="Cambria" w:hAnsi="Cambria"/>
                <w:color w:val="auto"/>
                <w:sz w:val="20"/>
                <w:szCs w:val="20"/>
              </w:rPr>
            </w:pPr>
          </w:p>
          <w:p w14:paraId="5BD395DE" w14:textId="77777777" w:rsidR="008536EC" w:rsidRPr="004E13E9" w:rsidRDefault="008536EC" w:rsidP="00BB4F69">
            <w:pPr>
              <w:autoSpaceDE w:val="0"/>
              <w:autoSpaceDN w:val="0"/>
              <w:adjustRightInd w:val="0"/>
              <w:contextualSpacing/>
              <w:jc w:val="both"/>
              <w:rPr>
                <w:rFonts w:ascii="Cambria" w:hAnsi="Cambria"/>
                <w:color w:val="auto"/>
                <w:sz w:val="20"/>
                <w:szCs w:val="20"/>
              </w:rPr>
            </w:pPr>
            <w:r w:rsidRPr="004E13E9">
              <w:rPr>
                <w:rFonts w:ascii="Cambria" w:hAnsi="Cambria"/>
                <w:color w:val="auto"/>
                <w:sz w:val="20"/>
                <w:szCs w:val="20"/>
              </w:rPr>
              <w:t>La quantité de prises accessoires rejetées à l'état mort ou vivant devrait immédiatement être déclarée à la LFRPDA et ces données seront déclarées à l'ICCAT.</w:t>
            </w:r>
          </w:p>
          <w:p w14:paraId="5F29567D"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p>
          <w:p w14:paraId="4FE7E861" w14:textId="77777777" w:rsidR="008536EC" w:rsidRPr="004E13E9" w:rsidRDefault="008536EC" w:rsidP="00BB4F69">
            <w:pPr>
              <w:autoSpaceDE w:val="0"/>
              <w:autoSpaceDN w:val="0"/>
              <w:adjustRightInd w:val="0"/>
              <w:contextualSpacing/>
              <w:jc w:val="both"/>
              <w:rPr>
                <w:rFonts w:ascii="Cambria" w:hAnsi="Cambria"/>
                <w:color w:val="auto"/>
                <w:sz w:val="20"/>
                <w:szCs w:val="20"/>
              </w:rPr>
            </w:pPr>
            <w:r w:rsidRPr="004E13E9">
              <w:rPr>
                <w:rFonts w:ascii="Cambria" w:hAnsi="Cambria"/>
                <w:color w:val="auto"/>
                <w:sz w:val="20"/>
                <w:szCs w:val="20"/>
              </w:rPr>
              <w:t>Toutes les prises accessoires de thon rouge devront être débarquées uniquement dans les ports désignés. Les navires enregistrent toutes les informations dans les carnets de pêche reliés, y compris les poissons morts (retenus ou rejetés) qui seront décomptés du quota.</w:t>
            </w:r>
          </w:p>
          <w:p w14:paraId="0ECAAB75"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p>
        </w:tc>
        <w:tc>
          <w:tcPr>
            <w:tcW w:w="1701" w:type="dxa"/>
          </w:tcPr>
          <w:p w14:paraId="10204F4B"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lastRenderedPageBreak/>
              <w:t>Résolution Nº(121) pour l'année 2022 Article (5)</w:t>
            </w:r>
          </w:p>
        </w:tc>
        <w:tc>
          <w:tcPr>
            <w:tcW w:w="708" w:type="dxa"/>
          </w:tcPr>
          <w:p w14:paraId="428EB508" w14:textId="77777777" w:rsidR="008536EC" w:rsidRPr="004E13E9" w:rsidRDefault="008536EC" w:rsidP="00BB4F69">
            <w:pPr>
              <w:widowControl w:val="0"/>
              <w:rPr>
                <w:rFonts w:ascii="Cambria" w:hAnsi="Cambria"/>
                <w:color w:val="auto"/>
                <w:sz w:val="20"/>
                <w:szCs w:val="20"/>
              </w:rPr>
            </w:pPr>
          </w:p>
        </w:tc>
      </w:tr>
      <w:tr w:rsidR="008536EC" w:rsidRPr="00C712A4" w14:paraId="0CCEC749" w14:textId="77777777" w:rsidTr="00BB4F69">
        <w:tc>
          <w:tcPr>
            <w:tcW w:w="562" w:type="dxa"/>
          </w:tcPr>
          <w:p w14:paraId="2C433ADF" w14:textId="77777777" w:rsidR="008536EC" w:rsidRPr="004E13E9" w:rsidRDefault="008536EC" w:rsidP="00BB4F69">
            <w:pPr>
              <w:widowControl w:val="0"/>
              <w:rPr>
                <w:rFonts w:ascii="Cambria" w:hAnsi="Cambria"/>
                <w:b/>
                <w:color w:val="auto"/>
                <w:sz w:val="20"/>
                <w:szCs w:val="20"/>
              </w:rPr>
            </w:pPr>
            <w:r w:rsidRPr="004E13E9">
              <w:rPr>
                <w:rFonts w:ascii="Cambria" w:hAnsi="Cambria"/>
                <w:b/>
                <w:color w:val="auto"/>
                <w:sz w:val="20"/>
                <w:szCs w:val="20"/>
              </w:rPr>
              <w:t>5</w:t>
            </w:r>
          </w:p>
        </w:tc>
        <w:tc>
          <w:tcPr>
            <w:tcW w:w="1843" w:type="dxa"/>
          </w:tcPr>
          <w:p w14:paraId="2A36550E" w14:textId="77777777" w:rsidR="008536EC" w:rsidRPr="004E13E9" w:rsidRDefault="008536EC" w:rsidP="00BB4F69">
            <w:pPr>
              <w:widowControl w:val="0"/>
              <w:rPr>
                <w:rFonts w:ascii="Cambria" w:hAnsi="Cambria"/>
                <w:b/>
                <w:color w:val="auto"/>
                <w:sz w:val="20"/>
                <w:szCs w:val="20"/>
              </w:rPr>
            </w:pPr>
            <w:r w:rsidRPr="004E13E9">
              <w:rPr>
                <w:rFonts w:ascii="Cambria" w:hAnsi="Cambria"/>
                <w:b/>
                <w:bCs/>
                <w:color w:val="auto"/>
                <w:sz w:val="20"/>
                <w:szCs w:val="20"/>
              </w:rPr>
              <w:t>Pêcheries récréatives et sportives (paragraphes 38-46)</w:t>
            </w:r>
          </w:p>
        </w:tc>
        <w:tc>
          <w:tcPr>
            <w:tcW w:w="4820" w:type="dxa"/>
          </w:tcPr>
          <w:p w14:paraId="0169BDFA"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La pêcherie côtière, récréative ou sportive ne sera pas autorisée.</w:t>
            </w:r>
          </w:p>
        </w:tc>
        <w:tc>
          <w:tcPr>
            <w:tcW w:w="1701" w:type="dxa"/>
          </w:tcPr>
          <w:p w14:paraId="50A9C2A9"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Résolution Nº(121) pour l'année 2022 Article (6)</w:t>
            </w:r>
          </w:p>
        </w:tc>
        <w:tc>
          <w:tcPr>
            <w:tcW w:w="708" w:type="dxa"/>
          </w:tcPr>
          <w:p w14:paraId="1B9DB8FF" w14:textId="77777777" w:rsidR="008536EC" w:rsidRPr="004E13E9" w:rsidRDefault="008536EC" w:rsidP="00BB4F69">
            <w:pPr>
              <w:widowControl w:val="0"/>
              <w:rPr>
                <w:rFonts w:ascii="Cambria" w:hAnsi="Cambria"/>
                <w:color w:val="auto"/>
                <w:sz w:val="20"/>
                <w:szCs w:val="20"/>
              </w:rPr>
            </w:pPr>
          </w:p>
        </w:tc>
      </w:tr>
      <w:tr w:rsidR="008536EC" w:rsidRPr="00C712A4" w14:paraId="11FCF825" w14:textId="77777777" w:rsidTr="00BB4F69">
        <w:tc>
          <w:tcPr>
            <w:tcW w:w="562" w:type="dxa"/>
          </w:tcPr>
          <w:p w14:paraId="73BFFB48" w14:textId="77777777" w:rsidR="008536EC" w:rsidRPr="004E13E9" w:rsidRDefault="008536EC" w:rsidP="00BB4F69">
            <w:pPr>
              <w:widowControl w:val="0"/>
              <w:rPr>
                <w:rFonts w:ascii="Cambria" w:hAnsi="Cambria"/>
                <w:b/>
                <w:color w:val="auto"/>
                <w:sz w:val="20"/>
                <w:szCs w:val="20"/>
              </w:rPr>
            </w:pPr>
            <w:r w:rsidRPr="004E13E9">
              <w:rPr>
                <w:rFonts w:ascii="Cambria" w:hAnsi="Cambria"/>
                <w:b/>
                <w:color w:val="auto"/>
                <w:sz w:val="20"/>
                <w:szCs w:val="20"/>
              </w:rPr>
              <w:t>6</w:t>
            </w:r>
          </w:p>
        </w:tc>
        <w:tc>
          <w:tcPr>
            <w:tcW w:w="1843" w:type="dxa"/>
          </w:tcPr>
          <w:p w14:paraId="2717E91A" w14:textId="77777777" w:rsidR="008536EC" w:rsidRPr="004E13E9" w:rsidRDefault="008536EC" w:rsidP="00BB4F69">
            <w:pPr>
              <w:widowControl w:val="0"/>
              <w:rPr>
                <w:rFonts w:ascii="Cambria" w:hAnsi="Cambria"/>
                <w:b/>
                <w:color w:val="auto"/>
                <w:sz w:val="20"/>
                <w:szCs w:val="20"/>
              </w:rPr>
            </w:pPr>
            <w:r w:rsidRPr="004E13E9">
              <w:rPr>
                <w:rFonts w:ascii="Cambria" w:hAnsi="Cambria"/>
                <w:b/>
                <w:color w:val="auto"/>
                <w:sz w:val="20"/>
                <w:szCs w:val="20"/>
              </w:rPr>
              <w:t xml:space="preserve">Transbordement (paragraphes 89-94) </w:t>
            </w:r>
          </w:p>
        </w:tc>
        <w:tc>
          <w:tcPr>
            <w:tcW w:w="4820" w:type="dxa"/>
          </w:tcPr>
          <w:p w14:paraId="5B564C4E"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Le transbordement en mer est formellement interdit.</w:t>
            </w:r>
          </w:p>
        </w:tc>
        <w:tc>
          <w:tcPr>
            <w:tcW w:w="1701" w:type="dxa"/>
          </w:tcPr>
          <w:p w14:paraId="18BA3F94" w14:textId="77777777" w:rsidR="008536EC" w:rsidRPr="004E13E9" w:rsidRDefault="008536EC" w:rsidP="00BB4F69">
            <w:pPr>
              <w:widowControl w:val="0"/>
              <w:jc w:val="both"/>
              <w:rPr>
                <w:rFonts w:ascii="Cambria" w:hAnsi="Cambria"/>
                <w:color w:val="auto"/>
                <w:sz w:val="20"/>
                <w:szCs w:val="20"/>
              </w:rPr>
            </w:pPr>
            <w:r w:rsidRPr="004E13E9">
              <w:rPr>
                <w:rFonts w:ascii="Cambria" w:hAnsi="Cambria"/>
                <w:color w:val="auto"/>
                <w:sz w:val="20"/>
                <w:szCs w:val="20"/>
              </w:rPr>
              <w:t>Résolution Nº(121) pour l'année 2022 Article (12)</w:t>
            </w:r>
          </w:p>
        </w:tc>
        <w:tc>
          <w:tcPr>
            <w:tcW w:w="708" w:type="dxa"/>
          </w:tcPr>
          <w:p w14:paraId="3C25D22E" w14:textId="77777777" w:rsidR="008536EC" w:rsidRPr="004E13E9" w:rsidRDefault="008536EC" w:rsidP="00BB4F69">
            <w:pPr>
              <w:widowControl w:val="0"/>
              <w:rPr>
                <w:rFonts w:ascii="Cambria" w:hAnsi="Cambria"/>
                <w:strike/>
                <w:color w:val="auto"/>
                <w:sz w:val="20"/>
                <w:szCs w:val="20"/>
              </w:rPr>
            </w:pPr>
          </w:p>
        </w:tc>
      </w:tr>
      <w:tr w:rsidR="008536EC" w:rsidRPr="00C712A4" w14:paraId="06FC0C32" w14:textId="77777777" w:rsidTr="00BB4F69">
        <w:tc>
          <w:tcPr>
            <w:tcW w:w="562" w:type="dxa"/>
          </w:tcPr>
          <w:p w14:paraId="30C85738" w14:textId="77777777" w:rsidR="008536EC" w:rsidRPr="004E13E9" w:rsidRDefault="008536EC" w:rsidP="00BB4F69">
            <w:pPr>
              <w:widowControl w:val="0"/>
              <w:rPr>
                <w:rFonts w:ascii="Cambria" w:hAnsi="Cambria"/>
                <w:b/>
                <w:color w:val="auto"/>
                <w:sz w:val="20"/>
                <w:szCs w:val="20"/>
              </w:rPr>
            </w:pPr>
            <w:r w:rsidRPr="004E13E9">
              <w:rPr>
                <w:rFonts w:ascii="Cambria" w:hAnsi="Cambria"/>
                <w:b/>
                <w:color w:val="auto"/>
                <w:sz w:val="20"/>
                <w:szCs w:val="20"/>
              </w:rPr>
              <w:t>7</w:t>
            </w:r>
          </w:p>
        </w:tc>
        <w:tc>
          <w:tcPr>
            <w:tcW w:w="1843" w:type="dxa"/>
          </w:tcPr>
          <w:p w14:paraId="10C6C687" w14:textId="77777777" w:rsidR="008536EC" w:rsidRPr="004E13E9" w:rsidRDefault="008536EC" w:rsidP="00BB4F69">
            <w:pPr>
              <w:widowControl w:val="0"/>
              <w:rPr>
                <w:rFonts w:ascii="Cambria" w:hAnsi="Cambria"/>
                <w:b/>
                <w:color w:val="auto"/>
                <w:sz w:val="20"/>
                <w:szCs w:val="20"/>
              </w:rPr>
            </w:pPr>
            <w:r w:rsidRPr="004E13E9">
              <w:rPr>
                <w:rFonts w:ascii="Cambria" w:hAnsi="Cambria"/>
                <w:b/>
                <w:color w:val="auto"/>
                <w:sz w:val="20"/>
                <w:szCs w:val="20"/>
              </w:rPr>
              <w:t>VMS (paragraphes 222-228)</w:t>
            </w:r>
          </w:p>
        </w:tc>
        <w:tc>
          <w:tcPr>
            <w:tcW w:w="4820" w:type="dxa"/>
          </w:tcPr>
          <w:p w14:paraId="34BAF1F3"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Tous les navires de thon rouge autorisés pêchant activement pendant la saison de pêche de 2026 devront être équipés à bord d'un dispositif de suivi par satellite opérationnel à temps complet (système de surveillance des bateaux -VMS), tel que requis par la LFRPDA, transmettant au minimum toutes les heures.</w:t>
            </w:r>
          </w:p>
        </w:tc>
        <w:tc>
          <w:tcPr>
            <w:tcW w:w="1701" w:type="dxa"/>
          </w:tcPr>
          <w:p w14:paraId="02E0C701" w14:textId="77777777" w:rsidR="008536EC" w:rsidRPr="004E13E9" w:rsidRDefault="008536EC" w:rsidP="00BB4F69">
            <w:pPr>
              <w:widowControl w:val="0"/>
              <w:jc w:val="both"/>
              <w:rPr>
                <w:rFonts w:ascii="Cambria" w:hAnsi="Cambria"/>
                <w:color w:val="auto"/>
                <w:sz w:val="20"/>
                <w:szCs w:val="20"/>
              </w:rPr>
            </w:pPr>
            <w:r w:rsidRPr="004E13E9">
              <w:rPr>
                <w:rFonts w:ascii="Cambria" w:hAnsi="Cambria"/>
                <w:color w:val="auto"/>
                <w:sz w:val="20"/>
                <w:szCs w:val="20"/>
              </w:rPr>
              <w:t>Résolution Nº(121) pour l'année 2022 Article (16)</w:t>
            </w:r>
          </w:p>
        </w:tc>
        <w:tc>
          <w:tcPr>
            <w:tcW w:w="708" w:type="dxa"/>
          </w:tcPr>
          <w:p w14:paraId="043F2F09" w14:textId="77777777" w:rsidR="008536EC" w:rsidRPr="004E13E9" w:rsidRDefault="008536EC" w:rsidP="00BB4F69">
            <w:pPr>
              <w:widowControl w:val="0"/>
              <w:rPr>
                <w:rFonts w:ascii="Cambria" w:hAnsi="Cambria"/>
                <w:color w:val="auto"/>
                <w:sz w:val="20"/>
                <w:szCs w:val="20"/>
              </w:rPr>
            </w:pPr>
          </w:p>
        </w:tc>
      </w:tr>
      <w:tr w:rsidR="008536EC" w:rsidRPr="00C712A4" w14:paraId="1B2CA3D3" w14:textId="77777777" w:rsidTr="00BB4F69">
        <w:tc>
          <w:tcPr>
            <w:tcW w:w="562" w:type="dxa"/>
          </w:tcPr>
          <w:p w14:paraId="0E6C8CCF" w14:textId="77777777" w:rsidR="008536EC" w:rsidRPr="004E13E9" w:rsidRDefault="008536EC" w:rsidP="00BB4F69">
            <w:pPr>
              <w:widowControl w:val="0"/>
              <w:rPr>
                <w:rFonts w:ascii="Cambria" w:hAnsi="Cambria"/>
                <w:b/>
                <w:color w:val="auto"/>
                <w:sz w:val="20"/>
                <w:szCs w:val="20"/>
              </w:rPr>
            </w:pPr>
            <w:r w:rsidRPr="004E13E9">
              <w:rPr>
                <w:rFonts w:ascii="Cambria" w:hAnsi="Cambria"/>
                <w:b/>
                <w:color w:val="auto"/>
                <w:sz w:val="20"/>
                <w:szCs w:val="20"/>
              </w:rPr>
              <w:t>8</w:t>
            </w:r>
          </w:p>
        </w:tc>
        <w:tc>
          <w:tcPr>
            <w:tcW w:w="1843" w:type="dxa"/>
          </w:tcPr>
          <w:p w14:paraId="7562A3B0" w14:textId="77777777" w:rsidR="008536EC" w:rsidRPr="004E13E9" w:rsidRDefault="008536EC" w:rsidP="00BB4F69">
            <w:pPr>
              <w:widowControl w:val="0"/>
              <w:rPr>
                <w:rFonts w:ascii="Cambria" w:hAnsi="Cambria"/>
                <w:b/>
                <w:color w:val="auto"/>
                <w:sz w:val="20"/>
                <w:szCs w:val="20"/>
              </w:rPr>
            </w:pPr>
            <w:r w:rsidRPr="004E13E9">
              <w:rPr>
                <w:rFonts w:ascii="Cambria" w:hAnsi="Cambria"/>
                <w:b/>
                <w:bCs/>
                <w:color w:val="auto"/>
                <w:sz w:val="20"/>
                <w:szCs w:val="20"/>
              </w:rPr>
              <w:t xml:space="preserve">Programme d'observateurs des CPC </w:t>
            </w:r>
            <w:r w:rsidRPr="004E13E9">
              <w:rPr>
                <w:rFonts w:ascii="Cambria" w:hAnsi="Cambria"/>
                <w:b/>
                <w:color w:val="auto"/>
                <w:sz w:val="20"/>
                <w:szCs w:val="20"/>
              </w:rPr>
              <w:t>(paragr. 95-100)</w:t>
            </w:r>
          </w:p>
        </w:tc>
        <w:tc>
          <w:tcPr>
            <w:tcW w:w="4820" w:type="dxa"/>
          </w:tcPr>
          <w:p w14:paraId="642E7C9D"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 xml:space="preserve">Un observateur national spécialiste des pêcheries sera embarqué pour inspecter les opérations de pêche afin d’effectuer un suivi de la capture, de consigner les données requises et de veiller à ce que le navire de pêche respecte les recommandations de l’ICCAT et les résolutions de la LFRPDA. L’observateur permanent basé au port a pour tâche </w:t>
            </w:r>
            <w:r w:rsidRPr="004E13E9">
              <w:rPr>
                <w:rFonts w:ascii="Cambria" w:hAnsi="Cambria"/>
                <w:color w:val="auto"/>
                <w:sz w:val="20"/>
                <w:szCs w:val="20"/>
              </w:rPr>
              <w:lastRenderedPageBreak/>
              <w:t>d’effectuer un suivi de la capture débarquée (le cas échéant) et d’examiner les rapports des observateurs embarqués.</w:t>
            </w:r>
          </w:p>
          <w:p w14:paraId="666F7F9B"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p>
          <w:p w14:paraId="5E7F3EB7"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La LFRPDA a mené un programme national de formation pour les observateurs locaux des pêcheries d'Égypte sur la collecte et la déclaration des données de l'ICCAT en collaboration avec le NIOF au cours de la saison de pêche 2025 financé par le Projet d'assistance au renforcement des capacités ICCAT/Japon (phase 3). Le programme visait à améliorer les capacités des observateurs locaux en Égypte afin d'accroître leur efficacité dans l'identification des espèces de l’ICCAT, la collecte de données standardisées, le respect des exigences en matière de préparation de rapports complets, l'amélioration de la qualité des données et l'élaboration d'un programme de formation reproductible pour les observateurs, qui pourra être utilisé dans le cadre de futurs efforts de renforcement des capacités. De même, l'Académie arabe des sciences, des technologies et du transport maritime (AASTMT) est particulièrement bien placée pour dispenser la formation « Sécurité en mer, utilisation des équipements de survie » en collaboration avec la LFRPDA, car la sécurité en mer et la survie en mer requièrent des compétences et des connaissances spécifiques que seuls des professionnels ayant une expérience directe de la sécurité maritime et des opérations de sauvetage peuvent fournir.</w:t>
            </w:r>
          </w:p>
        </w:tc>
        <w:tc>
          <w:tcPr>
            <w:tcW w:w="1701" w:type="dxa"/>
          </w:tcPr>
          <w:p w14:paraId="5295D16A" w14:textId="77777777" w:rsidR="008536EC" w:rsidRPr="004E13E9" w:rsidRDefault="008536EC" w:rsidP="00BB4F69">
            <w:pPr>
              <w:widowControl w:val="0"/>
              <w:jc w:val="both"/>
              <w:rPr>
                <w:rFonts w:ascii="Cambria" w:hAnsi="Cambria"/>
                <w:color w:val="auto"/>
                <w:sz w:val="20"/>
                <w:szCs w:val="20"/>
              </w:rPr>
            </w:pPr>
            <w:r w:rsidRPr="004E13E9">
              <w:rPr>
                <w:rFonts w:ascii="Cambria" w:hAnsi="Cambria"/>
                <w:color w:val="auto"/>
                <w:sz w:val="20"/>
                <w:szCs w:val="20"/>
              </w:rPr>
              <w:lastRenderedPageBreak/>
              <w:t>Résolution Nº(121) pour l'année 2022 Article (14)</w:t>
            </w:r>
          </w:p>
        </w:tc>
        <w:tc>
          <w:tcPr>
            <w:tcW w:w="708" w:type="dxa"/>
          </w:tcPr>
          <w:p w14:paraId="588FAEAA" w14:textId="77777777" w:rsidR="008536EC" w:rsidRPr="004E13E9" w:rsidRDefault="008536EC" w:rsidP="00BB4F69">
            <w:pPr>
              <w:widowControl w:val="0"/>
              <w:rPr>
                <w:rFonts w:ascii="Cambria" w:hAnsi="Cambria"/>
                <w:color w:val="auto"/>
                <w:sz w:val="20"/>
                <w:szCs w:val="20"/>
              </w:rPr>
            </w:pPr>
          </w:p>
        </w:tc>
      </w:tr>
      <w:tr w:rsidR="008536EC" w:rsidRPr="00C712A4" w14:paraId="0E615208" w14:textId="77777777" w:rsidTr="00BB4F69">
        <w:trPr>
          <w:trHeight w:val="1233"/>
        </w:trPr>
        <w:tc>
          <w:tcPr>
            <w:tcW w:w="562" w:type="dxa"/>
          </w:tcPr>
          <w:p w14:paraId="1A9596FE" w14:textId="77777777" w:rsidR="008536EC" w:rsidRPr="004E13E9" w:rsidRDefault="008536EC" w:rsidP="00BB4F69">
            <w:pPr>
              <w:widowControl w:val="0"/>
              <w:rPr>
                <w:rFonts w:ascii="Cambria" w:hAnsi="Cambria"/>
                <w:i/>
                <w:color w:val="auto"/>
                <w:sz w:val="20"/>
                <w:szCs w:val="20"/>
              </w:rPr>
            </w:pPr>
            <w:r w:rsidRPr="004E13E9">
              <w:rPr>
                <w:rFonts w:ascii="Cambria" w:hAnsi="Cambria"/>
                <w:b/>
                <w:color w:val="auto"/>
                <w:sz w:val="20"/>
                <w:szCs w:val="20"/>
              </w:rPr>
              <w:t>9</w:t>
            </w:r>
          </w:p>
        </w:tc>
        <w:tc>
          <w:tcPr>
            <w:tcW w:w="1843" w:type="dxa"/>
          </w:tcPr>
          <w:p w14:paraId="77CE50BB" w14:textId="77777777" w:rsidR="008536EC" w:rsidRPr="004E13E9" w:rsidRDefault="008536EC" w:rsidP="00BB4F69">
            <w:pPr>
              <w:widowControl w:val="0"/>
              <w:rPr>
                <w:rFonts w:ascii="Cambria" w:hAnsi="Cambria"/>
                <w:i/>
                <w:color w:val="auto"/>
                <w:sz w:val="20"/>
                <w:szCs w:val="20"/>
              </w:rPr>
            </w:pPr>
            <w:r w:rsidRPr="004E13E9">
              <w:rPr>
                <w:rFonts w:ascii="Cambria" w:hAnsi="Cambria"/>
                <w:b/>
                <w:color w:val="auto"/>
                <w:sz w:val="20"/>
                <w:szCs w:val="20"/>
              </w:rPr>
              <w:t>Programme d'observateurs régionaux (paragr. 101-107)</w:t>
            </w:r>
          </w:p>
        </w:tc>
        <w:tc>
          <w:tcPr>
            <w:tcW w:w="4820" w:type="dxa"/>
          </w:tcPr>
          <w:p w14:paraId="40FC1A8F"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 xml:space="preserve">Tous les navires de thon rouge pêchant activement pendant la saison de pêche de 2026 doivent bénéficier d’une couverture intégrale par deux observateurs (un observateur national et un observateur de l’ICCAT). </w:t>
            </w:r>
          </w:p>
        </w:tc>
        <w:tc>
          <w:tcPr>
            <w:tcW w:w="1701" w:type="dxa"/>
          </w:tcPr>
          <w:p w14:paraId="2293A6E9" w14:textId="77777777" w:rsidR="008536EC" w:rsidRPr="004E13E9" w:rsidRDefault="008536EC" w:rsidP="00BB4F69">
            <w:pPr>
              <w:widowControl w:val="0"/>
              <w:rPr>
                <w:rFonts w:ascii="Cambria" w:hAnsi="Cambria"/>
                <w:color w:val="auto"/>
                <w:sz w:val="20"/>
                <w:szCs w:val="20"/>
              </w:rPr>
            </w:pPr>
          </w:p>
        </w:tc>
        <w:tc>
          <w:tcPr>
            <w:tcW w:w="708" w:type="dxa"/>
          </w:tcPr>
          <w:p w14:paraId="1576ECA6" w14:textId="77777777" w:rsidR="008536EC" w:rsidRPr="004E13E9" w:rsidRDefault="008536EC" w:rsidP="00BB4F69">
            <w:pPr>
              <w:widowControl w:val="0"/>
              <w:rPr>
                <w:rFonts w:ascii="Cambria" w:hAnsi="Cambria"/>
                <w:color w:val="auto"/>
                <w:sz w:val="20"/>
                <w:szCs w:val="20"/>
              </w:rPr>
            </w:pPr>
          </w:p>
        </w:tc>
      </w:tr>
      <w:tr w:rsidR="008536EC" w:rsidRPr="004E13E9" w14:paraId="637CD769" w14:textId="77777777" w:rsidTr="00BB4F69">
        <w:trPr>
          <w:trHeight w:val="993"/>
        </w:trPr>
        <w:tc>
          <w:tcPr>
            <w:tcW w:w="562" w:type="dxa"/>
          </w:tcPr>
          <w:p w14:paraId="4694B973" w14:textId="77777777" w:rsidR="008536EC" w:rsidRPr="004E13E9" w:rsidRDefault="008536EC" w:rsidP="00BB4F69">
            <w:pPr>
              <w:widowControl w:val="0"/>
              <w:rPr>
                <w:rFonts w:ascii="Cambria" w:hAnsi="Cambria"/>
                <w:b/>
                <w:color w:val="auto"/>
                <w:sz w:val="20"/>
                <w:szCs w:val="20"/>
              </w:rPr>
            </w:pPr>
            <w:r w:rsidRPr="004E13E9">
              <w:rPr>
                <w:rFonts w:ascii="Cambria" w:hAnsi="Cambria"/>
                <w:b/>
                <w:color w:val="auto"/>
                <w:sz w:val="20"/>
                <w:szCs w:val="20"/>
              </w:rPr>
              <w:t>10</w:t>
            </w:r>
          </w:p>
        </w:tc>
        <w:tc>
          <w:tcPr>
            <w:tcW w:w="1843" w:type="dxa"/>
          </w:tcPr>
          <w:p w14:paraId="529B41A0" w14:textId="77777777" w:rsidR="008536EC" w:rsidRPr="004E13E9" w:rsidRDefault="008536EC" w:rsidP="00BB4F69">
            <w:pPr>
              <w:widowControl w:val="0"/>
              <w:rPr>
                <w:rFonts w:ascii="Cambria" w:hAnsi="Cambria"/>
                <w:b/>
                <w:color w:val="auto"/>
                <w:sz w:val="20"/>
                <w:szCs w:val="20"/>
              </w:rPr>
            </w:pPr>
            <w:r w:rsidRPr="004E13E9">
              <w:rPr>
                <w:rFonts w:ascii="Cambria" w:hAnsi="Cambria"/>
                <w:b/>
                <w:color w:val="auto"/>
                <w:sz w:val="20"/>
                <w:szCs w:val="20"/>
              </w:rPr>
              <w:t>Législation nationale</w:t>
            </w:r>
          </w:p>
        </w:tc>
        <w:tc>
          <w:tcPr>
            <w:tcW w:w="4820" w:type="dxa"/>
          </w:tcPr>
          <w:p w14:paraId="29317097"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L'Égypte a publié la Résolution numéro 121/2022 sur un plan de conservation et de gestion pluriannuel pour le thon rouge en Méditerranée, afin de transposer la Recommandation de l’ICCAT dans sa législation nationale.</w:t>
            </w:r>
          </w:p>
        </w:tc>
        <w:tc>
          <w:tcPr>
            <w:tcW w:w="1701" w:type="dxa"/>
          </w:tcPr>
          <w:p w14:paraId="68B9260C" w14:textId="77777777" w:rsidR="008536EC" w:rsidRPr="004E13E9" w:rsidRDefault="008536EC" w:rsidP="00BB4F69">
            <w:pPr>
              <w:widowControl w:val="0"/>
              <w:jc w:val="both"/>
              <w:rPr>
                <w:rFonts w:ascii="Cambria" w:hAnsi="Cambria"/>
                <w:color w:val="auto"/>
                <w:sz w:val="20"/>
                <w:szCs w:val="20"/>
              </w:rPr>
            </w:pPr>
            <w:r w:rsidRPr="004E13E9">
              <w:rPr>
                <w:rFonts w:ascii="Cambria" w:hAnsi="Cambria"/>
                <w:color w:val="auto"/>
                <w:sz w:val="20"/>
                <w:szCs w:val="20"/>
              </w:rPr>
              <w:t>Résolution Nº(121) pour l'année 2022.</w:t>
            </w:r>
          </w:p>
        </w:tc>
        <w:tc>
          <w:tcPr>
            <w:tcW w:w="708" w:type="dxa"/>
          </w:tcPr>
          <w:p w14:paraId="21F5885B" w14:textId="77777777" w:rsidR="008536EC" w:rsidRPr="004E13E9" w:rsidRDefault="008536EC" w:rsidP="00BB4F69">
            <w:pPr>
              <w:widowControl w:val="0"/>
              <w:rPr>
                <w:rFonts w:ascii="Cambria" w:hAnsi="Cambria"/>
                <w:color w:val="auto"/>
                <w:sz w:val="20"/>
                <w:szCs w:val="20"/>
              </w:rPr>
            </w:pPr>
          </w:p>
        </w:tc>
      </w:tr>
      <w:tr w:rsidR="008536EC" w:rsidRPr="00C712A4" w14:paraId="05EA06C7" w14:textId="77777777" w:rsidTr="00BB4F69">
        <w:tc>
          <w:tcPr>
            <w:tcW w:w="562" w:type="dxa"/>
          </w:tcPr>
          <w:p w14:paraId="4760B481" w14:textId="77777777" w:rsidR="008536EC" w:rsidRPr="004E13E9" w:rsidRDefault="008536EC" w:rsidP="00BB4F69">
            <w:pPr>
              <w:widowControl w:val="0"/>
              <w:rPr>
                <w:rFonts w:ascii="Cambria" w:hAnsi="Cambria"/>
                <w:b/>
                <w:color w:val="auto"/>
                <w:sz w:val="20"/>
                <w:szCs w:val="20"/>
              </w:rPr>
            </w:pPr>
          </w:p>
        </w:tc>
        <w:tc>
          <w:tcPr>
            <w:tcW w:w="1843" w:type="dxa"/>
          </w:tcPr>
          <w:p w14:paraId="63F99F23" w14:textId="77777777" w:rsidR="008536EC" w:rsidRPr="004E13E9" w:rsidRDefault="008536EC" w:rsidP="00BB4F69">
            <w:pPr>
              <w:widowControl w:val="0"/>
              <w:rPr>
                <w:rFonts w:ascii="Cambria" w:hAnsi="Cambria"/>
                <w:b/>
                <w:color w:val="auto"/>
                <w:sz w:val="20"/>
                <w:szCs w:val="20"/>
              </w:rPr>
            </w:pPr>
            <w:r w:rsidRPr="004E13E9">
              <w:rPr>
                <w:rFonts w:ascii="Cambria" w:hAnsi="Cambria"/>
                <w:i/>
                <w:color w:val="auto"/>
                <w:sz w:val="20"/>
                <w:szCs w:val="20"/>
              </w:rPr>
              <w:t>Autres exigences, telles que : programme de marquage (paragr. 44), etc.</w:t>
            </w:r>
          </w:p>
        </w:tc>
        <w:tc>
          <w:tcPr>
            <w:tcW w:w="4820" w:type="dxa"/>
          </w:tcPr>
          <w:p w14:paraId="7A5AFF97" w14:textId="77777777" w:rsidR="008536EC" w:rsidRPr="004E13E9" w:rsidRDefault="008536EC" w:rsidP="00BB4F69">
            <w:pPr>
              <w:autoSpaceDE w:val="0"/>
              <w:autoSpaceDN w:val="0"/>
              <w:adjustRightInd w:val="0"/>
              <w:ind w:left="101"/>
              <w:contextualSpacing/>
              <w:jc w:val="both"/>
              <w:rPr>
                <w:rFonts w:ascii="Cambria" w:hAnsi="Cambria"/>
                <w:color w:val="auto"/>
                <w:sz w:val="20"/>
                <w:szCs w:val="20"/>
              </w:rPr>
            </w:pPr>
            <w:r w:rsidRPr="004E13E9">
              <w:rPr>
                <w:rFonts w:ascii="Cambria" w:hAnsi="Cambria"/>
                <w:color w:val="auto"/>
                <w:sz w:val="20"/>
                <w:szCs w:val="20"/>
              </w:rPr>
              <w:t>L’Égypte ne participe pas à un programme de marquage.</w:t>
            </w:r>
          </w:p>
        </w:tc>
        <w:tc>
          <w:tcPr>
            <w:tcW w:w="1701" w:type="dxa"/>
          </w:tcPr>
          <w:p w14:paraId="100C4A0E" w14:textId="77777777" w:rsidR="008536EC" w:rsidRPr="004E13E9" w:rsidRDefault="008536EC" w:rsidP="00BB4F69">
            <w:pPr>
              <w:widowControl w:val="0"/>
              <w:rPr>
                <w:rFonts w:ascii="Cambria" w:hAnsi="Cambria"/>
                <w:color w:val="auto"/>
                <w:sz w:val="20"/>
                <w:szCs w:val="20"/>
              </w:rPr>
            </w:pPr>
          </w:p>
        </w:tc>
        <w:tc>
          <w:tcPr>
            <w:tcW w:w="708" w:type="dxa"/>
          </w:tcPr>
          <w:p w14:paraId="4281BADA" w14:textId="77777777" w:rsidR="008536EC" w:rsidRPr="004E13E9" w:rsidRDefault="008536EC" w:rsidP="00BB4F69">
            <w:pPr>
              <w:widowControl w:val="0"/>
              <w:rPr>
                <w:rFonts w:ascii="Cambria" w:hAnsi="Cambria"/>
                <w:color w:val="auto"/>
                <w:sz w:val="20"/>
                <w:szCs w:val="20"/>
              </w:rPr>
            </w:pPr>
          </w:p>
        </w:tc>
      </w:tr>
    </w:tbl>
    <w:p w14:paraId="7E12C200" w14:textId="77777777" w:rsidR="008536EC" w:rsidRPr="004E13E9" w:rsidRDefault="008536EC" w:rsidP="008536EC">
      <w:pPr>
        <w:rPr>
          <w:b/>
          <w:i/>
          <w:iCs/>
          <w:lang w:val="fr-FR"/>
        </w:rPr>
      </w:pPr>
      <w:bookmarkStart w:id="17" w:name="_Hlk129075994"/>
    </w:p>
    <w:p w14:paraId="30A985AB" w14:textId="77777777" w:rsidR="008536EC" w:rsidRPr="004E13E9" w:rsidRDefault="008536EC" w:rsidP="008536EC">
      <w:pPr>
        <w:rPr>
          <w:b/>
          <w:i/>
          <w:iCs/>
          <w:lang w:val="fr-FR"/>
        </w:rPr>
      </w:pPr>
      <w:r w:rsidRPr="004E13E9">
        <w:rPr>
          <w:b/>
          <w:i/>
          <w:iCs/>
          <w:lang w:val="fr-FR"/>
        </w:rPr>
        <w:br w:type="page"/>
      </w:r>
    </w:p>
    <w:p w14:paraId="7279BAC6" w14:textId="77777777" w:rsidR="008536EC" w:rsidRPr="004E13E9" w:rsidRDefault="008536EC" w:rsidP="008536EC">
      <w:pPr>
        <w:rPr>
          <w:b/>
          <w:i/>
          <w:iCs/>
          <w:lang w:val="fr-FR"/>
        </w:rPr>
      </w:pPr>
      <w:r w:rsidRPr="004E13E9">
        <w:rPr>
          <w:b/>
          <w:i/>
          <w:iCs/>
          <w:lang w:val="fr-FR"/>
        </w:rPr>
        <w:lastRenderedPageBreak/>
        <w:t>1e) Ports désignés (paragraphe 80)</w:t>
      </w:r>
    </w:p>
    <w:p w14:paraId="42FF2CF9" w14:textId="77777777" w:rsidR="008536EC" w:rsidRPr="004E13E9" w:rsidRDefault="008536EC" w:rsidP="008536EC">
      <w:pPr>
        <w:widowControl w:val="0"/>
        <w:contextualSpacing/>
        <w:jc w:val="both"/>
        <w:rPr>
          <w:rFonts w:eastAsia="MS Gothic" w:cs="Times New Roman"/>
          <w:lang w:val="fr-FR" w:eastAsia="fr-FR" w:bidi="fr-FR"/>
        </w:rPr>
      </w:pPr>
    </w:p>
    <w:p w14:paraId="526D2DCA" w14:textId="77777777" w:rsidR="008536EC" w:rsidRPr="004E13E9" w:rsidRDefault="008536EC" w:rsidP="008536EC">
      <w:pPr>
        <w:widowControl w:val="0"/>
        <w:contextualSpacing/>
        <w:jc w:val="both"/>
        <w:rPr>
          <w:rFonts w:eastAsia="MS Gothic" w:cs="Times New Roman"/>
          <w:lang w:val="fr-FR" w:eastAsia="fr-FR" w:bidi="fr-FR"/>
        </w:rPr>
      </w:pPr>
      <w:r w:rsidRPr="004E13E9">
        <w:rPr>
          <w:rFonts w:eastAsia="MS Gothic" w:cs="Times New Roman"/>
          <w:lang w:val="fr-FR" w:eastAsia="fr-FR" w:bidi="fr-FR"/>
        </w:rPr>
        <w:t>Les ports désignés pour le débarquement du thon rouge déclarés par le biais du formulaire CP24 sont la plateforme portuaire d'Alexandrie, la plateforme portuaire de pêche Abo-</w:t>
      </w:r>
      <w:proofErr w:type="spellStart"/>
      <w:r w:rsidRPr="004E13E9">
        <w:rPr>
          <w:rFonts w:eastAsia="MS Gothic" w:cs="Times New Roman"/>
          <w:lang w:val="fr-FR" w:eastAsia="fr-FR" w:bidi="fr-FR"/>
        </w:rPr>
        <w:t>Qir</w:t>
      </w:r>
      <w:proofErr w:type="spellEnd"/>
      <w:r w:rsidRPr="004E13E9">
        <w:rPr>
          <w:rFonts w:eastAsia="MS Gothic" w:cs="Times New Roman"/>
          <w:lang w:val="fr-FR" w:eastAsia="fr-FR" w:bidi="fr-FR"/>
        </w:rPr>
        <w:t>, la plateforme portuaire de pêche d'El-</w:t>
      </w:r>
      <w:proofErr w:type="spellStart"/>
      <w:r w:rsidRPr="004E13E9">
        <w:rPr>
          <w:rFonts w:eastAsia="MS Gothic" w:cs="Times New Roman"/>
          <w:lang w:val="fr-FR" w:eastAsia="fr-FR" w:bidi="fr-FR"/>
        </w:rPr>
        <w:t>Meadia</w:t>
      </w:r>
      <w:proofErr w:type="spellEnd"/>
      <w:r w:rsidRPr="004E13E9">
        <w:rPr>
          <w:rFonts w:eastAsia="MS Gothic" w:cs="Times New Roman"/>
          <w:lang w:val="fr-FR" w:eastAsia="fr-FR" w:bidi="fr-FR"/>
        </w:rPr>
        <w:t xml:space="preserve"> et la plateforme </w:t>
      </w:r>
      <w:proofErr w:type="spellStart"/>
      <w:r w:rsidRPr="004E13E9">
        <w:rPr>
          <w:rFonts w:eastAsia="MS Gothic" w:cs="Times New Roman"/>
          <w:lang w:val="fr-FR" w:eastAsia="fr-FR" w:bidi="fr-FR"/>
        </w:rPr>
        <w:t>Elsharky</w:t>
      </w:r>
      <w:proofErr w:type="spellEnd"/>
      <w:r w:rsidRPr="004E13E9">
        <w:rPr>
          <w:rFonts w:eastAsia="MS Gothic" w:cs="Times New Roman"/>
          <w:lang w:val="fr-FR" w:eastAsia="fr-FR" w:bidi="fr-FR"/>
        </w:rPr>
        <w:t xml:space="preserve"> du port d’Alexandrie, comme indiqué au </w:t>
      </w:r>
      <w:r w:rsidRPr="004E13E9">
        <w:rPr>
          <w:rFonts w:eastAsia="MS Gothic" w:cs="Times New Roman"/>
          <w:b/>
          <w:bCs/>
          <w:lang w:val="fr-FR" w:eastAsia="fr-FR" w:bidi="fr-FR"/>
        </w:rPr>
        <w:t>tableau 2</w:t>
      </w:r>
      <w:r w:rsidRPr="004E13E9">
        <w:rPr>
          <w:rFonts w:eastAsia="MS Gothic" w:cs="Times New Roman"/>
          <w:lang w:val="fr-FR" w:eastAsia="fr-FR" w:bidi="fr-FR"/>
        </w:rPr>
        <w:t>.</w:t>
      </w:r>
    </w:p>
    <w:p w14:paraId="41827659" w14:textId="77777777" w:rsidR="008536EC" w:rsidRPr="004E13E9" w:rsidRDefault="008536EC" w:rsidP="008536EC">
      <w:pPr>
        <w:ind w:left="426" w:hanging="426"/>
        <w:contextualSpacing/>
        <w:rPr>
          <w:b/>
          <w:lang w:val="fr-FR"/>
        </w:rPr>
      </w:pPr>
    </w:p>
    <w:p w14:paraId="4503179D" w14:textId="77777777" w:rsidR="008536EC" w:rsidRPr="004E13E9" w:rsidRDefault="008536EC" w:rsidP="008536EC">
      <w:pPr>
        <w:ind w:left="426" w:hanging="426"/>
        <w:contextualSpacing/>
        <w:rPr>
          <w:b/>
          <w:lang w:val="fr-FR"/>
        </w:rPr>
      </w:pPr>
    </w:p>
    <w:bookmarkEnd w:id="17"/>
    <w:p w14:paraId="22ADAF5D" w14:textId="77777777" w:rsidR="008536EC" w:rsidRPr="004E13E9" w:rsidRDefault="008536EC" w:rsidP="008536EC">
      <w:pPr>
        <w:ind w:left="426" w:hanging="426"/>
        <w:rPr>
          <w:b/>
          <w:lang w:val="fr-FR"/>
        </w:rPr>
      </w:pPr>
      <w:r w:rsidRPr="004E13E9">
        <w:rPr>
          <w:b/>
          <w:lang w:val="fr-FR"/>
        </w:rPr>
        <w:t>2.</w:t>
      </w:r>
      <w:r w:rsidRPr="004E13E9">
        <w:rPr>
          <w:b/>
          <w:lang w:val="fr-FR"/>
        </w:rPr>
        <w:tab/>
        <w:t>Plan annuel de gestion de la capacité de pêche (paragraphes 14-21)</w:t>
      </w:r>
    </w:p>
    <w:p w14:paraId="7C2D47A4" w14:textId="77777777" w:rsidR="008536EC" w:rsidRPr="004E13E9" w:rsidRDefault="008536EC" w:rsidP="008536EC">
      <w:pPr>
        <w:widowControl w:val="0"/>
        <w:contextualSpacing/>
        <w:jc w:val="both"/>
        <w:rPr>
          <w:rFonts w:eastAsia="MS Gothic" w:cs="Times New Roman"/>
          <w:iCs/>
          <w:lang w:val="fr-FR" w:eastAsia="ja-JP" w:bidi="fr-FR"/>
        </w:rPr>
      </w:pPr>
      <w:r w:rsidRPr="004E13E9">
        <w:rPr>
          <w:rFonts w:eastAsia="MS Gothic" w:cs="Times New Roman"/>
          <w:iCs/>
          <w:lang w:val="fr-FR" w:eastAsia="ja-JP" w:bidi="fr-FR"/>
        </w:rPr>
        <w:t xml:space="preserve">La </w:t>
      </w:r>
      <w:r w:rsidRPr="004E13E9">
        <w:rPr>
          <w:lang w:val="fr-FR"/>
        </w:rPr>
        <w:t xml:space="preserve">LFRPDA </w:t>
      </w:r>
      <w:r w:rsidRPr="004E13E9">
        <w:rPr>
          <w:rFonts w:eastAsia="MS Gothic" w:cs="Times New Roman"/>
          <w:iCs/>
          <w:lang w:val="fr-FR" w:eastAsia="ja-JP" w:bidi="fr-FR"/>
        </w:rPr>
        <w:t xml:space="preserve">attribuera à chaque senneur un quota individuel et veillera à ce que sa capacité de pêche soit proportionnelle au quota qui lui a été attribué conformément à la Recommandation </w:t>
      </w:r>
      <w:r w:rsidRPr="004E13E9">
        <w:rPr>
          <w:lang w:val="fr-FR"/>
        </w:rPr>
        <w:t>24-05</w:t>
      </w:r>
      <w:r w:rsidRPr="004E13E9">
        <w:rPr>
          <w:rFonts w:eastAsia="MS Gothic" w:cs="Times New Roman"/>
          <w:iCs/>
          <w:lang w:val="fr-FR" w:eastAsia="ja-JP" w:bidi="fr-FR"/>
        </w:rPr>
        <w:t>/25-04.</w:t>
      </w:r>
    </w:p>
    <w:p w14:paraId="70225C01" w14:textId="77777777" w:rsidR="008536EC" w:rsidRPr="004E13E9" w:rsidRDefault="008536EC" w:rsidP="008536EC">
      <w:pPr>
        <w:contextualSpacing/>
        <w:jc w:val="both"/>
        <w:rPr>
          <w:bCs/>
          <w:lang w:val="fr-FR" w:bidi="ar-EG"/>
        </w:rPr>
      </w:pPr>
    </w:p>
    <w:p w14:paraId="71309543" w14:textId="77777777" w:rsidR="008536EC" w:rsidRPr="004E13E9" w:rsidRDefault="008536EC" w:rsidP="008536EC">
      <w:pPr>
        <w:jc w:val="both"/>
        <w:rPr>
          <w:b/>
          <w:lang w:val="fr-FR"/>
        </w:rPr>
      </w:pPr>
      <w:r w:rsidRPr="004E13E9">
        <w:rPr>
          <w:rFonts w:eastAsia="MS Gothic" w:cs="Times New Roman"/>
          <w:color w:val="000000" w:themeColor="text1"/>
          <w:lang w:val="fr-FR" w:eastAsia="fr-FR" w:bidi="fr-FR"/>
        </w:rPr>
        <w:t xml:space="preserve">Les navires de pêche égyptiens capturant du thon rouge en Méditerranée sont le </w:t>
      </w:r>
      <w:proofErr w:type="spellStart"/>
      <w:r w:rsidRPr="004E13E9">
        <w:rPr>
          <w:rFonts w:eastAsia="MS Gothic" w:cs="Times New Roman"/>
          <w:i/>
          <w:iCs/>
          <w:color w:val="000000" w:themeColor="text1"/>
          <w:lang w:val="fr-FR" w:eastAsia="fr-FR" w:bidi="fr-FR"/>
        </w:rPr>
        <w:t>Golovik</w:t>
      </w:r>
      <w:proofErr w:type="spellEnd"/>
      <w:r w:rsidRPr="004E13E9">
        <w:rPr>
          <w:rFonts w:eastAsia="MS Gothic" w:cs="Times New Roman"/>
          <w:color w:val="000000" w:themeColor="text1"/>
          <w:lang w:val="fr-FR" w:eastAsia="fr-FR" w:bidi="fr-FR"/>
        </w:rPr>
        <w:t xml:space="preserve">, enregistré à l’ICCAT sous le numéro AT000EGY00020 et titulaire du numéro national 5365 dans le port d'Alexandrie, et le </w:t>
      </w:r>
      <w:proofErr w:type="spellStart"/>
      <w:r w:rsidRPr="004E13E9">
        <w:rPr>
          <w:rFonts w:eastAsia="MS Gothic" w:cs="Times New Roman"/>
          <w:i/>
          <w:iCs/>
          <w:color w:val="000000" w:themeColor="text1"/>
          <w:lang w:val="fr-FR" w:eastAsia="fr-FR" w:bidi="fr-FR"/>
        </w:rPr>
        <w:t>Safinat</w:t>
      </w:r>
      <w:proofErr w:type="spellEnd"/>
      <w:r w:rsidRPr="004E13E9">
        <w:rPr>
          <w:rFonts w:eastAsia="MS Gothic" w:cs="Times New Roman"/>
          <w:i/>
          <w:iCs/>
          <w:color w:val="000000" w:themeColor="text1"/>
          <w:lang w:val="fr-FR" w:eastAsia="fr-FR" w:bidi="fr-FR"/>
        </w:rPr>
        <w:t xml:space="preserve"> Nooh</w:t>
      </w:r>
      <w:r w:rsidRPr="004E13E9">
        <w:rPr>
          <w:rFonts w:eastAsia="MS Gothic" w:cs="Times New Roman"/>
          <w:color w:val="000000" w:themeColor="text1"/>
          <w:lang w:val="fr-FR" w:eastAsia="fr-FR" w:bidi="fr-FR"/>
        </w:rPr>
        <w:t xml:space="preserve">, enregistré à l’ICCAT sous le numéro AT000EGY00010 et titulaire du numéro national 4274 dans le port d'Alexandrie. L'Égypte spécifie un quota de 271,755 tonnes pour le </w:t>
      </w:r>
      <w:proofErr w:type="spellStart"/>
      <w:r w:rsidRPr="004E13E9">
        <w:rPr>
          <w:rFonts w:eastAsia="MS Gothic" w:cs="Times New Roman"/>
          <w:i/>
          <w:iCs/>
          <w:color w:val="000000" w:themeColor="text1"/>
          <w:lang w:val="fr-FR" w:eastAsia="fr-FR" w:bidi="fr-FR"/>
        </w:rPr>
        <w:t>Golovik</w:t>
      </w:r>
      <w:proofErr w:type="spellEnd"/>
      <w:r w:rsidRPr="004E13E9">
        <w:rPr>
          <w:rFonts w:eastAsia="MS Gothic" w:cs="Times New Roman"/>
          <w:color w:val="000000" w:themeColor="text1"/>
          <w:lang w:val="fr-FR" w:eastAsia="fr-FR" w:bidi="fr-FR"/>
        </w:rPr>
        <w:t xml:space="preserve"> et de 271,755 t pour le </w:t>
      </w:r>
      <w:proofErr w:type="spellStart"/>
      <w:r w:rsidRPr="004E13E9">
        <w:rPr>
          <w:rFonts w:eastAsia="MS Gothic" w:cs="Times New Roman"/>
          <w:i/>
          <w:iCs/>
          <w:color w:val="000000" w:themeColor="text1"/>
          <w:lang w:val="fr-FR" w:eastAsia="fr-FR" w:bidi="fr-FR"/>
        </w:rPr>
        <w:t>Safinat</w:t>
      </w:r>
      <w:proofErr w:type="spellEnd"/>
      <w:r w:rsidRPr="004E13E9">
        <w:rPr>
          <w:rFonts w:eastAsia="MS Gothic" w:cs="Times New Roman"/>
          <w:i/>
          <w:iCs/>
          <w:color w:val="000000" w:themeColor="text1"/>
          <w:lang w:val="fr-FR" w:eastAsia="fr-FR" w:bidi="fr-FR"/>
        </w:rPr>
        <w:t xml:space="preserve"> Nooh</w:t>
      </w:r>
      <w:r w:rsidRPr="004E13E9">
        <w:rPr>
          <w:rFonts w:eastAsia="MS Gothic" w:cs="Times New Roman"/>
          <w:color w:val="000000" w:themeColor="text1"/>
          <w:lang w:val="fr-FR" w:eastAsia="fr-FR" w:bidi="fr-FR"/>
        </w:rPr>
        <w:t>.</w:t>
      </w:r>
    </w:p>
    <w:p w14:paraId="6FDB11C4" w14:textId="77777777" w:rsidR="008536EC" w:rsidRPr="004E13E9" w:rsidRDefault="008536EC" w:rsidP="008536EC">
      <w:pPr>
        <w:rPr>
          <w:b/>
          <w:lang w:val="fr-FR"/>
        </w:rPr>
      </w:pPr>
    </w:p>
    <w:p w14:paraId="424571BB" w14:textId="77777777" w:rsidR="008536EC" w:rsidRPr="004E13E9" w:rsidRDefault="008536EC" w:rsidP="008536EC">
      <w:pPr>
        <w:contextualSpacing/>
        <w:rPr>
          <w:b/>
          <w:lang w:val="fr-FR"/>
        </w:rPr>
      </w:pPr>
    </w:p>
    <w:p w14:paraId="7D28F191" w14:textId="77777777" w:rsidR="008536EC" w:rsidRPr="004E13E9" w:rsidRDefault="008536EC" w:rsidP="008536EC">
      <w:pPr>
        <w:ind w:left="426" w:hanging="426"/>
        <w:contextualSpacing/>
        <w:rPr>
          <w:b/>
          <w:lang w:val="fr-FR"/>
        </w:rPr>
      </w:pPr>
      <w:r w:rsidRPr="004E13E9">
        <w:rPr>
          <w:b/>
          <w:lang w:val="fr-FR"/>
        </w:rPr>
        <w:t>3.</w:t>
      </w:r>
      <w:r w:rsidRPr="004E13E9">
        <w:rPr>
          <w:b/>
          <w:lang w:val="fr-FR"/>
        </w:rPr>
        <w:tab/>
        <w:t xml:space="preserve">Plan annuel de gestion de l’élevage (paragraphes </w:t>
      </w:r>
      <w:r w:rsidRPr="004E13E9">
        <w:rPr>
          <w:rStyle w:val="Hyperlink"/>
          <w:b/>
          <w:u w:val="none"/>
          <w:lang w:val="fr-FR"/>
        </w:rPr>
        <w:t>22 et 23</w:t>
      </w:r>
      <w:r w:rsidRPr="004E13E9">
        <w:rPr>
          <w:b/>
          <w:lang w:val="fr-FR"/>
        </w:rPr>
        <w:t>), le cas échéant</w:t>
      </w:r>
    </w:p>
    <w:p w14:paraId="26C83154" w14:textId="77777777" w:rsidR="008536EC" w:rsidRPr="004E13E9" w:rsidRDefault="008536EC" w:rsidP="008536EC">
      <w:pPr>
        <w:widowControl w:val="0"/>
        <w:contextualSpacing/>
        <w:jc w:val="both"/>
        <w:rPr>
          <w:rFonts w:eastAsia="MS Gothic" w:cs="Times New Roman"/>
          <w:b/>
          <w:lang w:val="fr-FR" w:eastAsia="fr-FR" w:bidi="fr-FR"/>
        </w:rPr>
      </w:pPr>
    </w:p>
    <w:p w14:paraId="69191B7C" w14:textId="77777777" w:rsidR="008536EC" w:rsidRPr="004E13E9" w:rsidRDefault="008536EC" w:rsidP="008536EC">
      <w:pPr>
        <w:widowControl w:val="0"/>
        <w:contextualSpacing/>
        <w:jc w:val="both"/>
        <w:rPr>
          <w:rFonts w:eastAsia="MS Gothic" w:cs="Times New Roman"/>
          <w:bCs/>
          <w:lang w:val="fr-FR" w:eastAsia="fr-FR" w:bidi="fr-FR"/>
        </w:rPr>
      </w:pPr>
      <w:r w:rsidRPr="004E13E9">
        <w:rPr>
          <w:rFonts w:eastAsia="MS Gothic" w:cs="Times New Roman"/>
          <w:bCs/>
          <w:lang w:val="fr-FR" w:eastAsia="fr-FR" w:bidi="fr-FR"/>
        </w:rPr>
        <w:t>Aucune activité d’élevage n’aura lieu en 2026.</w:t>
      </w:r>
    </w:p>
    <w:p w14:paraId="03405831" w14:textId="77777777" w:rsidR="008536EC" w:rsidRPr="004E13E9" w:rsidRDefault="008536EC" w:rsidP="008536EC">
      <w:pPr>
        <w:widowControl w:val="0"/>
        <w:contextualSpacing/>
        <w:jc w:val="both"/>
        <w:rPr>
          <w:rFonts w:eastAsia="MS Gothic" w:cs="Times New Roman"/>
          <w:b/>
          <w:lang w:val="fr-FR" w:eastAsia="ja-JP" w:bidi="fr-FR"/>
        </w:rPr>
      </w:pPr>
    </w:p>
    <w:p w14:paraId="5683F1BE" w14:textId="77777777" w:rsidR="008536EC" w:rsidRPr="004E13E9" w:rsidRDefault="008536EC" w:rsidP="008536EC">
      <w:pPr>
        <w:ind w:left="426" w:hanging="426"/>
        <w:contextualSpacing/>
        <w:jc w:val="both"/>
        <w:rPr>
          <w:b/>
          <w:lang w:val="fr-FR"/>
        </w:rPr>
      </w:pPr>
    </w:p>
    <w:p w14:paraId="1EDDEABB" w14:textId="77777777" w:rsidR="008536EC" w:rsidRPr="004E13E9" w:rsidRDefault="008536EC" w:rsidP="008536EC">
      <w:pPr>
        <w:ind w:left="426" w:hanging="426"/>
        <w:contextualSpacing/>
        <w:rPr>
          <w:b/>
          <w:lang w:val="fr-FR"/>
        </w:rPr>
      </w:pPr>
      <w:r w:rsidRPr="004E13E9">
        <w:rPr>
          <w:b/>
          <w:lang w:val="fr-FR"/>
        </w:rPr>
        <w:t>4.</w:t>
      </w:r>
      <w:r w:rsidRPr="004E13E9">
        <w:rPr>
          <w:b/>
          <w:lang w:val="fr-FR"/>
        </w:rPr>
        <w:tab/>
        <w:t xml:space="preserve">Plan annuel d’aquaculture (paragraphe 10 e) de la </w:t>
      </w:r>
      <w:hyperlink r:id="rId89" w:history="1">
        <w:r w:rsidRPr="004E13E9">
          <w:rPr>
            <w:rStyle w:val="Hyperlink"/>
            <w:b/>
            <w:u w:val="none"/>
            <w:lang w:val="fr-FR"/>
          </w:rPr>
          <w:t xml:space="preserve">Rec. 25-04 </w:t>
        </w:r>
      </w:hyperlink>
      <w:r w:rsidRPr="004E13E9">
        <w:rPr>
          <w:b/>
          <w:lang w:val="fr-FR"/>
        </w:rPr>
        <w:t xml:space="preserve">conformément à la </w:t>
      </w:r>
      <w:hyperlink r:id="rId90" w:history="1">
        <w:r w:rsidRPr="004E13E9">
          <w:rPr>
            <w:rStyle w:val="Hyperlink"/>
            <w:b/>
            <w:u w:val="none"/>
            <w:lang w:val="fr-FR"/>
          </w:rPr>
          <w:t>Rec. 24-07</w:t>
        </w:r>
      </w:hyperlink>
      <w:r w:rsidRPr="004E13E9">
        <w:rPr>
          <w:b/>
          <w:lang w:val="fr-FR"/>
        </w:rPr>
        <w:t>), le cas échéant</w:t>
      </w:r>
    </w:p>
    <w:p w14:paraId="4282D735" w14:textId="77777777" w:rsidR="008536EC" w:rsidRPr="004E13E9" w:rsidRDefault="008536EC" w:rsidP="008536EC">
      <w:pPr>
        <w:contextualSpacing/>
        <w:jc w:val="both"/>
        <w:rPr>
          <w:lang w:val="fr-FR"/>
        </w:rPr>
      </w:pPr>
    </w:p>
    <w:p w14:paraId="3086ECD6" w14:textId="77777777" w:rsidR="008536EC" w:rsidRPr="004E13E9" w:rsidRDefault="008536EC" w:rsidP="008536EC">
      <w:pPr>
        <w:contextualSpacing/>
        <w:jc w:val="both"/>
        <w:rPr>
          <w:lang w:val="fr-FR"/>
        </w:rPr>
      </w:pPr>
      <w:r w:rsidRPr="004E13E9">
        <w:rPr>
          <w:lang w:val="fr-FR"/>
        </w:rPr>
        <w:t xml:space="preserve">L'Égypte dispose d'une ferme aquacole pour le thon rouge appartenant à la </w:t>
      </w:r>
      <w:r w:rsidRPr="004E13E9">
        <w:rPr>
          <w:i/>
          <w:iCs/>
          <w:lang w:val="fr-FR"/>
        </w:rPr>
        <w:t>National Company for Fisheries and Aquaculture</w:t>
      </w:r>
      <w:r w:rsidRPr="004E13E9">
        <w:rPr>
          <w:lang w:val="fr-FR"/>
        </w:rPr>
        <w:t>. Toutes les infrastructures ont été achevées. L'ouverture était prévue en octobre 2025, mais elle a été retardée pour certaines raisons dans le pays d'où les géniteurs devaient être importés.</w:t>
      </w:r>
    </w:p>
    <w:p w14:paraId="4338ACC0" w14:textId="77777777" w:rsidR="008536EC" w:rsidRPr="004E13E9" w:rsidRDefault="008536EC" w:rsidP="008536EC">
      <w:pPr>
        <w:contextualSpacing/>
        <w:jc w:val="both"/>
        <w:rPr>
          <w:lang w:val="fr-FR"/>
        </w:rPr>
      </w:pPr>
    </w:p>
    <w:p w14:paraId="704827E0" w14:textId="77777777" w:rsidR="008536EC" w:rsidRPr="004E13E9" w:rsidRDefault="008536EC" w:rsidP="008536EC">
      <w:pPr>
        <w:contextualSpacing/>
        <w:jc w:val="both"/>
        <w:rPr>
          <w:lang w:val="fr-FR"/>
        </w:rPr>
      </w:pPr>
      <w:r w:rsidRPr="004E13E9">
        <w:rPr>
          <w:lang w:val="fr-FR"/>
        </w:rPr>
        <w:t>Les géniteurs dont le nombre de spécimens est connu seront importés en collaboration avec l'une des principales entreprises allemandes spécialisées dans la technologie de l'éclosion artificielle. Les composants de la ferme, y compris les bassins en haute mer, l'écloserie et la nourricerie, ont été achevés. La première production prendra au moins 3 à 4 ans pour atteindre la taille du marché où l'Égypte visera le marché local et international. En cas d'exportation, l'Égypte se conformera aux exigences de l'eBCD à la suite des négociations menées lors des prochaines réunions. L’Égypte devra interdire aux opérateurs d'aquaculture de thon rouge de vendre ou d'offrir à la vente du poisson issu de l'aquaculture tant que le système eBCD ne disposera pas d'une fonctionnalité permettant d'enregistrer l'origine du poisson. De plus amples détails concernant l'origine du thon rouge, les installations d'aquaculture mises en place, les prévisions concernant les quantités de thon rouge d'aquaculture à commercialiser, le nombre et le volume prévus de poissons à produire, la taille prévue des poissons au moment de la mise à mort, la date de mise à mort prévue et les mesures prises pour empêcher les poissons en cage de s'échapper seront fournis conformément à la Rec. 24-07.</w:t>
      </w:r>
    </w:p>
    <w:p w14:paraId="1B2EAC52" w14:textId="77777777" w:rsidR="008536EC" w:rsidRPr="004E13E9" w:rsidRDefault="008536EC" w:rsidP="008536EC">
      <w:pPr>
        <w:jc w:val="both"/>
        <w:rPr>
          <w:sz w:val="8"/>
          <w:szCs w:val="8"/>
          <w:lang w:val="fr-FR"/>
        </w:rPr>
      </w:pPr>
    </w:p>
    <w:p w14:paraId="689587A6" w14:textId="77777777" w:rsidR="008536EC" w:rsidRPr="004E13E9" w:rsidRDefault="008536EC" w:rsidP="008536EC">
      <w:pPr>
        <w:jc w:val="both"/>
        <w:rPr>
          <w:lang w:val="fr-FR"/>
        </w:rPr>
      </w:pPr>
      <w:r w:rsidRPr="004E13E9">
        <w:rPr>
          <w:lang w:val="fr-FR"/>
        </w:rPr>
        <w:t>Les mesures effectuées dans la ferme aquacole seront régulièrement contrôlées afin de s'assurer que toutes les activités réalisées dans la ferme aquacole sont conformes aux dispositions de la Rec. 24-07.</w:t>
      </w:r>
    </w:p>
    <w:p w14:paraId="4B81DE8B" w14:textId="77777777" w:rsidR="008536EC" w:rsidRPr="004E13E9" w:rsidRDefault="008536EC" w:rsidP="008536EC">
      <w:pPr>
        <w:jc w:val="both"/>
        <w:rPr>
          <w:b/>
          <w:lang w:val="fr-FR"/>
        </w:rPr>
      </w:pPr>
    </w:p>
    <w:p w14:paraId="50436245" w14:textId="77777777" w:rsidR="008536EC" w:rsidRPr="004E13E9" w:rsidRDefault="008536EC" w:rsidP="008536EC">
      <w:pPr>
        <w:ind w:left="426" w:hanging="426"/>
        <w:jc w:val="both"/>
        <w:rPr>
          <w:b/>
          <w:lang w:val="fr-FR"/>
        </w:rPr>
      </w:pPr>
    </w:p>
    <w:p w14:paraId="441DE0DC" w14:textId="77777777" w:rsidR="008536EC" w:rsidRPr="004E13E9" w:rsidRDefault="008536EC" w:rsidP="008536EC">
      <w:pPr>
        <w:ind w:left="426" w:hanging="426"/>
        <w:jc w:val="both"/>
        <w:rPr>
          <w:b/>
          <w:lang w:val="fr-FR"/>
        </w:rPr>
      </w:pPr>
      <w:r w:rsidRPr="004E13E9">
        <w:rPr>
          <w:b/>
          <w:lang w:val="fr-FR"/>
        </w:rPr>
        <w:t xml:space="preserve">5. </w:t>
      </w:r>
      <w:r w:rsidRPr="004E13E9">
        <w:rPr>
          <w:b/>
          <w:lang w:val="fr-FR"/>
        </w:rPr>
        <w:tab/>
        <w:t>Plan de suivi, contrôle et inspection</w:t>
      </w:r>
    </w:p>
    <w:p w14:paraId="4948320F" w14:textId="77777777" w:rsidR="008536EC" w:rsidRPr="004E13E9" w:rsidRDefault="008536EC" w:rsidP="008536EC">
      <w:pPr>
        <w:jc w:val="both"/>
        <w:rPr>
          <w:b/>
          <w:lang w:val="fr-FR"/>
        </w:rPr>
      </w:pPr>
    </w:p>
    <w:p w14:paraId="71B556FE" w14:textId="77777777" w:rsidR="008536EC" w:rsidRPr="004E13E9" w:rsidRDefault="008536EC" w:rsidP="008536EC">
      <w:pPr>
        <w:rPr>
          <w:b/>
          <w:i/>
          <w:iCs/>
          <w:lang w:val="fr-FR"/>
        </w:rPr>
      </w:pPr>
      <w:r w:rsidRPr="004E13E9">
        <w:rPr>
          <w:b/>
          <w:i/>
          <w:iCs/>
          <w:lang w:val="fr-FR"/>
        </w:rPr>
        <w:t>5a) Suivi, contrôle et inspection de la CPC (paragraphe 10 c)</w:t>
      </w:r>
    </w:p>
    <w:p w14:paraId="54D73D8A" w14:textId="77777777" w:rsidR="008536EC" w:rsidRPr="004E13E9" w:rsidRDefault="008536EC" w:rsidP="008536EC">
      <w:pPr>
        <w:widowControl w:val="0"/>
        <w:contextualSpacing/>
        <w:rPr>
          <w:rFonts w:eastAsia="MS Gothic" w:cs="Times New Roman"/>
          <w:b/>
          <w:lang w:val="fr-FR" w:eastAsia="fr-FR" w:bidi="fr-FR"/>
        </w:rPr>
      </w:pPr>
    </w:p>
    <w:p w14:paraId="6060CD4B" w14:textId="77777777" w:rsidR="008536EC" w:rsidRPr="004E13E9" w:rsidRDefault="008536EC" w:rsidP="008536EC">
      <w:pPr>
        <w:widowControl w:val="0"/>
        <w:contextualSpacing/>
        <w:jc w:val="both"/>
        <w:rPr>
          <w:rFonts w:eastAsia="MS Gothic" w:cs="Times New Roman"/>
          <w:bCs/>
          <w:lang w:val="fr-FR"/>
        </w:rPr>
      </w:pPr>
      <w:r w:rsidRPr="004E13E9">
        <w:rPr>
          <w:bCs/>
          <w:lang w:val="fr-FR"/>
        </w:rPr>
        <w:t xml:space="preserve">La LFRPDA est l'autorité compétente en matière de gestion qui s'assure que le plan de suivi, de contrôle et d'inspection est conforme aux dispositions de la Rec. </w:t>
      </w:r>
      <w:r w:rsidRPr="004E13E9">
        <w:rPr>
          <w:lang w:val="fr-FR"/>
        </w:rPr>
        <w:t>24-05</w:t>
      </w:r>
      <w:r w:rsidRPr="004E13E9">
        <w:rPr>
          <w:rFonts w:eastAsia="MS Gothic" w:cs="Times New Roman"/>
          <w:iCs/>
          <w:lang w:val="fr-FR" w:eastAsia="ja-JP" w:bidi="fr-FR"/>
        </w:rPr>
        <w:t>/25-04</w:t>
      </w:r>
      <w:r w:rsidRPr="004E13E9">
        <w:rPr>
          <w:bCs/>
          <w:lang w:val="fr-FR"/>
        </w:rPr>
        <w:t>.</w:t>
      </w:r>
    </w:p>
    <w:p w14:paraId="7CB0A13E" w14:textId="77777777" w:rsidR="008536EC" w:rsidRPr="004E13E9" w:rsidRDefault="008536EC" w:rsidP="008536EC">
      <w:pPr>
        <w:widowControl w:val="0"/>
        <w:contextualSpacing/>
        <w:jc w:val="both"/>
        <w:rPr>
          <w:rFonts w:eastAsia="MS Gothic" w:cs="Times New Roman"/>
          <w:bCs/>
          <w:lang w:val="fr-FR" w:eastAsia="fr-FR" w:bidi="fr-FR"/>
        </w:rPr>
      </w:pPr>
    </w:p>
    <w:p w14:paraId="1F26B00D" w14:textId="77777777" w:rsidR="008536EC" w:rsidRPr="004E13E9" w:rsidRDefault="008536EC" w:rsidP="008536EC">
      <w:pPr>
        <w:widowControl w:val="0"/>
        <w:contextualSpacing/>
        <w:jc w:val="both"/>
        <w:rPr>
          <w:rFonts w:eastAsia="MS Gothic" w:cs="Times New Roman"/>
          <w:lang w:val="fr-FR" w:eastAsia="fr-FR" w:bidi="fr-FR"/>
        </w:rPr>
      </w:pPr>
      <w:r w:rsidRPr="004E13E9">
        <w:rPr>
          <w:bCs/>
          <w:lang w:val="fr-FR"/>
        </w:rPr>
        <w:t xml:space="preserve">Les points de contact désignés par la LFRPDA comme responsables de la mise en œuvre de ce plan de suivi, de contrôle et d'inspection sont la Dre Doaa Hammam (Administration de la coopération internationale, </w:t>
      </w:r>
      <w:hyperlink r:id="rId91" w:history="1">
        <w:r w:rsidRPr="004E13E9">
          <w:rPr>
            <w:rStyle w:val="Hyperlink"/>
            <w:bCs/>
            <w:u w:val="none"/>
            <w:lang w:val="fr-FR"/>
          </w:rPr>
          <w:t>gafrd_eg@hotmail.com</w:t>
        </w:r>
      </w:hyperlink>
      <w:r w:rsidRPr="004E13E9">
        <w:rPr>
          <w:bCs/>
          <w:lang w:val="fr-FR"/>
        </w:rPr>
        <w:t xml:space="preserve">/ </w:t>
      </w:r>
      <w:hyperlink r:id="rId92" w:history="1">
        <w:r w:rsidRPr="004E13E9">
          <w:rPr>
            <w:rStyle w:val="Hyperlink"/>
            <w:bCs/>
            <w:u w:val="none"/>
            <w:lang w:val="fr-FR"/>
          </w:rPr>
          <w:t>doaahammam01@gmail.com</w:t>
        </w:r>
      </w:hyperlink>
      <w:r w:rsidRPr="004E13E9">
        <w:rPr>
          <w:bCs/>
          <w:lang w:val="fr-FR"/>
        </w:rPr>
        <w:t xml:space="preserve">) et </w:t>
      </w:r>
      <w:proofErr w:type="spellStart"/>
      <w:r w:rsidRPr="004E13E9">
        <w:rPr>
          <w:bCs/>
          <w:lang w:val="fr-FR"/>
        </w:rPr>
        <w:t>Ing</w:t>
      </w:r>
      <w:proofErr w:type="spellEnd"/>
      <w:r w:rsidRPr="004E13E9">
        <w:rPr>
          <w:bCs/>
          <w:lang w:val="fr-FR"/>
        </w:rPr>
        <w:t xml:space="preserve">. Abdelrazek Mohamed (Administration de la pêche, </w:t>
      </w:r>
      <w:hyperlink r:id="rId93" w:history="1">
        <w:r w:rsidRPr="004E13E9">
          <w:rPr>
            <w:rStyle w:val="Hyperlink"/>
            <w:bCs/>
            <w:u w:val="none"/>
            <w:lang w:val="fr-FR"/>
          </w:rPr>
          <w:t>abdelrazek.mohamed004@gmail.com</w:t>
        </w:r>
      </w:hyperlink>
      <w:r w:rsidRPr="004E13E9">
        <w:rPr>
          <w:bCs/>
          <w:lang w:val="fr-FR"/>
        </w:rPr>
        <w:t>).</w:t>
      </w:r>
      <w:r w:rsidRPr="004E13E9">
        <w:rPr>
          <w:rFonts w:eastAsia="MS Gothic" w:cs="Times New Roman"/>
          <w:lang w:val="fr-FR" w:eastAsia="fr-FR" w:bidi="fr-FR"/>
        </w:rPr>
        <w:br w:type="page"/>
      </w:r>
    </w:p>
    <w:p w14:paraId="2A3CA530" w14:textId="77777777" w:rsidR="008536EC" w:rsidRPr="004E13E9" w:rsidRDefault="008536EC" w:rsidP="008536EC">
      <w:pPr>
        <w:widowControl w:val="0"/>
        <w:contextualSpacing/>
        <w:jc w:val="both"/>
        <w:rPr>
          <w:rFonts w:eastAsia="MS Gothic" w:cs="Times New Roman"/>
          <w:lang w:val="fr-FR" w:eastAsia="fr-FR" w:bidi="fr-FR"/>
        </w:rPr>
      </w:pPr>
      <w:r w:rsidRPr="004E13E9">
        <w:rPr>
          <w:rFonts w:eastAsia="MS Gothic" w:cs="Times New Roman"/>
          <w:lang w:val="fr-FR" w:eastAsia="fr-FR" w:bidi="fr-FR"/>
        </w:rPr>
        <w:lastRenderedPageBreak/>
        <w:t xml:space="preserve">Pour les navires nationaux, une couverture d’inspection intégrale devra être assurée pendant la saison de pêche de thon rouge de </w:t>
      </w:r>
      <w:r w:rsidRPr="004E13E9">
        <w:rPr>
          <w:lang w:val="fr-FR"/>
        </w:rPr>
        <w:t xml:space="preserve">2026 </w:t>
      </w:r>
      <w:r w:rsidRPr="004E13E9">
        <w:rPr>
          <w:rFonts w:eastAsia="MS Gothic" w:cs="Times New Roman"/>
          <w:lang w:val="fr-FR" w:eastAsia="fr-FR" w:bidi="fr-FR"/>
        </w:rPr>
        <w:t xml:space="preserve">par les inspecteurs de la </w:t>
      </w:r>
      <w:r w:rsidRPr="004E13E9">
        <w:rPr>
          <w:lang w:val="fr-FR"/>
        </w:rPr>
        <w:t>LFRPDA</w:t>
      </w:r>
      <w:r w:rsidRPr="004E13E9">
        <w:rPr>
          <w:rFonts w:eastAsia="MS Gothic" w:cs="Times New Roman"/>
          <w:lang w:val="fr-FR" w:eastAsia="fr-FR" w:bidi="fr-FR"/>
        </w:rPr>
        <w:t>. L'inspection inclura toutes les activités réalisées pendant la saison de pêche, à savoir, opérations de pêche, de transfert, de mise en cage et de débarquement, le cas échéant.</w:t>
      </w:r>
      <w:r w:rsidRPr="004E13E9">
        <w:rPr>
          <w:lang w:val="fr-FR"/>
        </w:rPr>
        <w:t xml:space="preserve"> </w:t>
      </w:r>
      <w:r w:rsidRPr="004E13E9">
        <w:rPr>
          <w:rFonts w:eastAsia="MS Gothic" w:cs="Times New Roman"/>
          <w:lang w:val="fr-FR" w:eastAsia="fr-FR" w:bidi="fr-FR"/>
        </w:rPr>
        <w:t>L'observateur national couvre l’ensemble des activités de pêche pendant toute la période de pêche.</w:t>
      </w:r>
    </w:p>
    <w:p w14:paraId="7399DA55" w14:textId="77777777" w:rsidR="008536EC" w:rsidRPr="004E13E9" w:rsidRDefault="008536EC" w:rsidP="008536EC">
      <w:pPr>
        <w:widowControl w:val="0"/>
        <w:contextualSpacing/>
        <w:jc w:val="both"/>
        <w:rPr>
          <w:rFonts w:eastAsia="MS Gothic" w:cs="Times New Roman"/>
          <w:lang w:val="fr-FR" w:eastAsia="fr-FR" w:bidi="fr-FR"/>
        </w:rPr>
      </w:pPr>
    </w:p>
    <w:p w14:paraId="7059DC0C" w14:textId="77777777" w:rsidR="008536EC" w:rsidRPr="004E13E9" w:rsidRDefault="008536EC" w:rsidP="008536EC">
      <w:pPr>
        <w:widowControl w:val="0"/>
        <w:contextualSpacing/>
        <w:jc w:val="both"/>
        <w:rPr>
          <w:rFonts w:eastAsia="MS Gothic" w:cs="Times New Roman"/>
          <w:lang w:val="fr-FR" w:eastAsia="fr-FR" w:bidi="fr-FR"/>
        </w:rPr>
      </w:pPr>
      <w:r w:rsidRPr="004E13E9">
        <w:rPr>
          <w:rFonts w:eastAsia="MS Gothic" w:cs="Times New Roman"/>
          <w:lang w:val="fr-FR" w:eastAsia="fr-FR" w:bidi="fr-FR"/>
        </w:rPr>
        <w:t xml:space="preserve">Tous les navires de capture font l'objet d'un contrôle par croisement car ils tiennent à jour et transmettent quotidiennement les informations des carnets de pêche reliés par voie électronique ou par tout autre moyen efficace à la </w:t>
      </w:r>
      <w:r w:rsidRPr="004E13E9">
        <w:rPr>
          <w:lang w:val="fr-FR"/>
        </w:rPr>
        <w:t>LFRPDA</w:t>
      </w:r>
      <w:r w:rsidRPr="004E13E9">
        <w:rPr>
          <w:rFonts w:eastAsia="MS Gothic" w:cs="Times New Roman"/>
          <w:lang w:val="fr-FR" w:eastAsia="fr-FR" w:bidi="fr-FR"/>
        </w:rPr>
        <w:t xml:space="preserve">. En cas de débarquement, toutes les captures débarquées sont pesées et inspectées par des inspecteurs nationaux sur la base d'un système d'évaluation des risques concernant le quota, la taille de la flottille et l'effort de pêche. </w:t>
      </w:r>
    </w:p>
    <w:p w14:paraId="425BAB3A" w14:textId="77777777" w:rsidR="008536EC" w:rsidRPr="004E13E9" w:rsidRDefault="008536EC" w:rsidP="008536EC">
      <w:pPr>
        <w:widowControl w:val="0"/>
        <w:contextualSpacing/>
        <w:jc w:val="both"/>
        <w:rPr>
          <w:rFonts w:eastAsia="MS Gothic" w:cs="Times New Roman"/>
          <w:lang w:val="fr-FR" w:eastAsia="fr-FR" w:bidi="fr-FR"/>
        </w:rPr>
      </w:pPr>
    </w:p>
    <w:p w14:paraId="51C49514" w14:textId="77777777" w:rsidR="008536EC" w:rsidRPr="004E13E9" w:rsidRDefault="008536EC" w:rsidP="008536EC">
      <w:pPr>
        <w:contextualSpacing/>
        <w:jc w:val="both"/>
        <w:rPr>
          <w:rFonts w:eastAsia="MS Gothic" w:cs="Times New Roman"/>
          <w:lang w:val="fr-FR" w:eastAsia="fr-FR" w:bidi="fr-FR"/>
        </w:rPr>
      </w:pPr>
      <w:r w:rsidRPr="004E13E9">
        <w:rPr>
          <w:rFonts w:eastAsia="MS Gothic" w:cs="Times New Roman"/>
          <w:lang w:val="fr-FR" w:eastAsia="fr-FR" w:bidi="fr-FR"/>
        </w:rPr>
        <w:t xml:space="preserve">Tous les navires doivent être équipés d'un système de surveillance des navires (VMS) opérationnel et être surveillés. Ils doivent transmettre leurs positions toutes les heures au minimum. La </w:t>
      </w:r>
      <w:r w:rsidRPr="004E13E9">
        <w:rPr>
          <w:lang w:val="fr-FR"/>
        </w:rPr>
        <w:t>LFRPDA</w:t>
      </w:r>
      <w:r w:rsidRPr="004E13E9">
        <w:rPr>
          <w:rFonts w:eastAsia="MS Gothic" w:cs="Times New Roman"/>
          <w:lang w:val="fr-FR" w:eastAsia="fr-FR" w:bidi="fr-FR"/>
        </w:rPr>
        <w:t xml:space="preserve"> soumet un rapport hebdomadaire comprenant des informations telles que la date, l'heure, le lieu (latitude, longitude), le poids et le nombre de thons rouges capturés dans la zone couverte par le plan, y compris les remises à l'eau et les rejets de poissons morts.</w:t>
      </w:r>
      <w:bookmarkStart w:id="18" w:name="_Hlk157769901"/>
    </w:p>
    <w:p w14:paraId="7D980544" w14:textId="77777777" w:rsidR="008536EC" w:rsidRPr="004E13E9" w:rsidRDefault="008536EC" w:rsidP="008536EC">
      <w:pPr>
        <w:contextualSpacing/>
        <w:jc w:val="both"/>
        <w:rPr>
          <w:rFonts w:eastAsia="MS Gothic" w:cs="Times New Roman"/>
          <w:b/>
          <w:i/>
          <w:iCs/>
          <w:lang w:val="fr-FR" w:eastAsia="fr-FR" w:bidi="fr-FR"/>
        </w:rPr>
      </w:pPr>
    </w:p>
    <w:p w14:paraId="4C0EFC36" w14:textId="77777777" w:rsidR="008536EC" w:rsidRPr="004E13E9" w:rsidRDefault="008536EC" w:rsidP="008536EC">
      <w:pPr>
        <w:ind w:left="426" w:hanging="426"/>
        <w:rPr>
          <w:b/>
          <w:i/>
          <w:iCs/>
          <w:lang w:val="fr-FR"/>
        </w:rPr>
      </w:pPr>
      <w:r w:rsidRPr="004E13E9">
        <w:rPr>
          <w:b/>
          <w:i/>
          <w:iCs/>
          <w:lang w:val="fr-FR"/>
        </w:rPr>
        <w:t>5b) Programme d’inspection internationale conjointe (JIS) (paragraphes 232-235)</w:t>
      </w:r>
    </w:p>
    <w:p w14:paraId="75EE7CDB" w14:textId="77777777" w:rsidR="008536EC" w:rsidRPr="004E13E9" w:rsidRDefault="008536EC" w:rsidP="008536EC">
      <w:pPr>
        <w:contextualSpacing/>
        <w:jc w:val="both"/>
        <w:rPr>
          <w:rFonts w:eastAsia="MS Gothic" w:cs="Times New Roman"/>
          <w:b/>
          <w:i/>
          <w:iCs/>
          <w:lang w:val="fr-FR" w:eastAsia="fr-FR" w:bidi="fr-FR"/>
        </w:rPr>
      </w:pPr>
    </w:p>
    <w:bookmarkEnd w:id="18"/>
    <w:p w14:paraId="5938C436" w14:textId="77777777" w:rsidR="008536EC" w:rsidRPr="004E13E9" w:rsidRDefault="008536EC" w:rsidP="008536EC">
      <w:pPr>
        <w:widowControl w:val="0"/>
        <w:contextualSpacing/>
        <w:jc w:val="both"/>
        <w:rPr>
          <w:rFonts w:eastAsia="MS Gothic" w:cs="Times New Roman"/>
          <w:lang w:val="fr-FR" w:eastAsia="fr-FR" w:bidi="fr-FR"/>
        </w:rPr>
      </w:pPr>
      <w:r w:rsidRPr="004E13E9">
        <w:rPr>
          <w:rFonts w:eastAsia="MS Gothic" w:cs="Times New Roman"/>
          <w:lang w:val="fr-FR" w:eastAsia="fr-FR" w:bidi="fr-FR"/>
        </w:rPr>
        <w:t>L'Égypte ne participe pas à un plan d'inspection international jusqu'à présent.</w:t>
      </w:r>
    </w:p>
    <w:p w14:paraId="71CC1FC2" w14:textId="77777777" w:rsidR="008536EC" w:rsidRPr="004E13E9" w:rsidRDefault="008536EC" w:rsidP="008536EC">
      <w:pPr>
        <w:ind w:left="426" w:hanging="426"/>
        <w:contextualSpacing/>
        <w:jc w:val="both"/>
        <w:rPr>
          <w:b/>
          <w:lang w:val="fr-FR"/>
        </w:rPr>
      </w:pPr>
    </w:p>
    <w:p w14:paraId="3EEB5501" w14:textId="77777777" w:rsidR="008536EC" w:rsidRPr="004E13E9" w:rsidRDefault="008536EC" w:rsidP="008536EC">
      <w:pPr>
        <w:ind w:left="426" w:hanging="426"/>
        <w:contextualSpacing/>
        <w:jc w:val="both"/>
        <w:rPr>
          <w:b/>
          <w:lang w:val="fr-FR"/>
        </w:rPr>
      </w:pPr>
    </w:p>
    <w:p w14:paraId="6528E732" w14:textId="77777777" w:rsidR="008536EC" w:rsidRPr="004E13E9" w:rsidRDefault="008536EC" w:rsidP="008536EC">
      <w:pPr>
        <w:ind w:left="426" w:hanging="426"/>
        <w:contextualSpacing/>
        <w:jc w:val="both"/>
        <w:rPr>
          <w:b/>
          <w:lang w:val="fr-FR"/>
        </w:rPr>
      </w:pPr>
      <w:r w:rsidRPr="004E13E9">
        <w:rPr>
          <w:b/>
          <w:lang w:val="fr-FR"/>
        </w:rPr>
        <w:t>6.</w:t>
      </w:r>
      <w:r w:rsidRPr="004E13E9">
        <w:rPr>
          <w:b/>
          <w:lang w:val="fr-FR"/>
        </w:rPr>
        <w:tab/>
        <w:t>Autres</w:t>
      </w:r>
    </w:p>
    <w:p w14:paraId="6D3A4F37" w14:textId="77777777" w:rsidR="008536EC" w:rsidRPr="004E13E9" w:rsidRDefault="008536EC" w:rsidP="008536EC">
      <w:pPr>
        <w:contextualSpacing/>
        <w:jc w:val="both"/>
        <w:rPr>
          <w:b/>
          <w:lang w:val="fr-FR"/>
        </w:rPr>
      </w:pPr>
    </w:p>
    <w:p w14:paraId="70FDD9F4" w14:textId="77777777" w:rsidR="008536EC" w:rsidRPr="004E13E9" w:rsidRDefault="008536EC" w:rsidP="008536EC">
      <w:pPr>
        <w:contextualSpacing/>
        <w:jc w:val="both"/>
        <w:rPr>
          <w:b/>
          <w:lang w:val="fr-FR"/>
        </w:rPr>
      </w:pPr>
      <w:r w:rsidRPr="004E13E9">
        <w:rPr>
          <w:iCs/>
          <w:lang w:val="fr-FR"/>
        </w:rPr>
        <w:t>Après avoir suivi avec succès le programme de formation à la collecte et à la déclaration des données de l’ICCAT, et s'appuyant sur les capacités développées dans le cadre du Projet d'assistance au renforcement des capacités ICCAT/Japon (phase 3), la LFRPDA, en collaboration avec le NIOF et l'AASTMT, commencera à prélever des échantillons scientifiques dans le cadre de la pêche au thon rouge pendant la saison de pêche 2026. Cette tâche essentielle sera menée à bien par les observateurs formés localement qui ont participé au programme, en mettant en pratique les compétences et les méthodologies standardisées qu'ils ont acquises. Cette mesure devrait améliorer la qualité et la fiabilité des données scientifiques de l'Égypte et soutenir sa contribution à long terme à la gestion régionale des pêches et aux efforts de conservation.</w:t>
      </w:r>
    </w:p>
    <w:p w14:paraId="559F51E9" w14:textId="77777777" w:rsidR="008536EC" w:rsidRPr="004E13E9" w:rsidRDefault="008536EC" w:rsidP="008536EC">
      <w:pPr>
        <w:widowControl w:val="0"/>
        <w:contextualSpacing/>
        <w:jc w:val="both"/>
        <w:rPr>
          <w:lang w:val="fr-FR"/>
        </w:rPr>
      </w:pPr>
    </w:p>
    <w:p w14:paraId="5C16439D" w14:textId="77777777" w:rsidR="008536EC" w:rsidRPr="004E13E9" w:rsidRDefault="008536EC" w:rsidP="008536EC">
      <w:pPr>
        <w:rPr>
          <w:b/>
          <w:lang w:bidi="ar-EG"/>
        </w:rPr>
      </w:pPr>
      <w:r w:rsidRPr="004E13E9">
        <w:rPr>
          <w:b/>
          <w:lang w:bidi="ar-EG"/>
        </w:rPr>
        <w:t>Tableau 1</w:t>
      </w:r>
    </w:p>
    <w:tbl>
      <w:tblPr>
        <w:tblStyle w:val="TableGrid"/>
        <w:tblW w:w="0" w:type="auto"/>
        <w:tblLook w:val="04A0" w:firstRow="1" w:lastRow="0" w:firstColumn="1" w:lastColumn="0" w:noHBand="0" w:noVBand="1"/>
      </w:tblPr>
      <w:tblGrid>
        <w:gridCol w:w="3007"/>
        <w:gridCol w:w="3041"/>
        <w:gridCol w:w="3012"/>
      </w:tblGrid>
      <w:tr w:rsidR="008536EC" w:rsidRPr="004E13E9" w14:paraId="0DE7303C" w14:textId="77777777" w:rsidTr="00BB4F69">
        <w:tc>
          <w:tcPr>
            <w:tcW w:w="3007" w:type="dxa"/>
          </w:tcPr>
          <w:p w14:paraId="5D2CD46C" w14:textId="77777777" w:rsidR="008536EC" w:rsidRPr="004E13E9" w:rsidRDefault="008536EC" w:rsidP="00BB4F69">
            <w:pPr>
              <w:rPr>
                <w:rFonts w:ascii="Cambria" w:hAnsi="Cambria"/>
                <w:i/>
                <w:iCs/>
                <w:color w:val="auto"/>
                <w:sz w:val="20"/>
              </w:rPr>
            </w:pPr>
            <w:r w:rsidRPr="004E13E9">
              <w:rPr>
                <w:rFonts w:ascii="Cambria" w:hAnsi="Cambria"/>
                <w:i/>
                <w:iCs/>
                <w:color w:val="auto"/>
                <w:sz w:val="20"/>
              </w:rPr>
              <w:t>Nom du navire</w:t>
            </w:r>
          </w:p>
        </w:tc>
        <w:tc>
          <w:tcPr>
            <w:tcW w:w="3041" w:type="dxa"/>
          </w:tcPr>
          <w:p w14:paraId="1BDE0CC7" w14:textId="77777777" w:rsidR="008536EC" w:rsidRPr="004E13E9" w:rsidRDefault="008536EC" w:rsidP="00BB4F69">
            <w:pPr>
              <w:jc w:val="center"/>
              <w:rPr>
                <w:rFonts w:ascii="Cambria" w:hAnsi="Cambria"/>
                <w:i/>
                <w:iCs/>
                <w:color w:val="auto"/>
                <w:sz w:val="20"/>
              </w:rPr>
            </w:pPr>
            <w:r w:rsidRPr="004E13E9">
              <w:rPr>
                <w:rFonts w:ascii="Cambria" w:hAnsi="Cambria"/>
                <w:i/>
                <w:iCs/>
                <w:color w:val="auto"/>
                <w:sz w:val="20"/>
              </w:rPr>
              <w:t>NºICCAT</w:t>
            </w:r>
          </w:p>
        </w:tc>
        <w:tc>
          <w:tcPr>
            <w:tcW w:w="3012" w:type="dxa"/>
          </w:tcPr>
          <w:p w14:paraId="309CE418" w14:textId="77777777" w:rsidR="008536EC" w:rsidRPr="004E13E9" w:rsidRDefault="008536EC" w:rsidP="00BB4F69">
            <w:pPr>
              <w:jc w:val="center"/>
              <w:rPr>
                <w:rFonts w:ascii="Cambria" w:hAnsi="Cambria"/>
                <w:i/>
                <w:iCs/>
                <w:color w:val="auto"/>
                <w:sz w:val="20"/>
              </w:rPr>
            </w:pPr>
            <w:r w:rsidRPr="004E13E9">
              <w:rPr>
                <w:rFonts w:ascii="Cambria" w:hAnsi="Cambria"/>
                <w:i/>
                <w:iCs/>
                <w:color w:val="auto"/>
                <w:sz w:val="20"/>
              </w:rPr>
              <w:t>Quota (t)</w:t>
            </w:r>
          </w:p>
        </w:tc>
      </w:tr>
      <w:tr w:rsidR="008536EC" w:rsidRPr="004E13E9" w14:paraId="51B09E5A" w14:textId="77777777" w:rsidTr="00BB4F69">
        <w:tc>
          <w:tcPr>
            <w:tcW w:w="3007" w:type="dxa"/>
          </w:tcPr>
          <w:p w14:paraId="79321428" w14:textId="77777777" w:rsidR="008536EC" w:rsidRPr="004E13E9" w:rsidRDefault="008536EC" w:rsidP="00BB4F69">
            <w:pPr>
              <w:rPr>
                <w:rFonts w:ascii="Cambria" w:hAnsi="Cambria"/>
                <w:i/>
                <w:iCs/>
                <w:color w:val="auto"/>
                <w:sz w:val="20"/>
              </w:rPr>
            </w:pPr>
            <w:proofErr w:type="spellStart"/>
            <w:r w:rsidRPr="004E13E9">
              <w:rPr>
                <w:rFonts w:ascii="Cambria" w:hAnsi="Cambria"/>
                <w:i/>
                <w:iCs/>
                <w:color w:val="auto"/>
                <w:sz w:val="20"/>
              </w:rPr>
              <w:t>Golovik</w:t>
            </w:r>
            <w:proofErr w:type="spellEnd"/>
          </w:p>
        </w:tc>
        <w:tc>
          <w:tcPr>
            <w:tcW w:w="3041" w:type="dxa"/>
          </w:tcPr>
          <w:p w14:paraId="113C42BD" w14:textId="77777777" w:rsidR="008536EC" w:rsidRPr="004E13E9" w:rsidRDefault="008536EC" w:rsidP="00BB4F69">
            <w:pPr>
              <w:jc w:val="center"/>
              <w:rPr>
                <w:rFonts w:ascii="Cambria" w:hAnsi="Cambria"/>
                <w:color w:val="auto"/>
                <w:sz w:val="20"/>
              </w:rPr>
            </w:pPr>
            <w:r w:rsidRPr="004E13E9">
              <w:rPr>
                <w:rFonts w:ascii="Cambria" w:hAnsi="Cambria"/>
                <w:color w:val="auto"/>
                <w:sz w:val="20"/>
              </w:rPr>
              <w:t>AT000EGY00020</w:t>
            </w:r>
          </w:p>
        </w:tc>
        <w:tc>
          <w:tcPr>
            <w:tcW w:w="3012" w:type="dxa"/>
          </w:tcPr>
          <w:p w14:paraId="4FD8F80B" w14:textId="77777777" w:rsidR="008536EC" w:rsidRPr="004E13E9" w:rsidRDefault="008536EC" w:rsidP="00BB4F69">
            <w:pPr>
              <w:jc w:val="center"/>
              <w:rPr>
                <w:rFonts w:ascii="Cambria" w:hAnsi="Cambria"/>
                <w:color w:val="auto"/>
                <w:sz w:val="20"/>
              </w:rPr>
            </w:pPr>
            <w:r w:rsidRPr="004E13E9">
              <w:rPr>
                <w:rFonts w:ascii="Cambria" w:hAnsi="Cambria"/>
                <w:bCs/>
                <w:color w:val="auto"/>
                <w:sz w:val="20"/>
                <w:szCs w:val="20"/>
                <w:lang w:val="en-US" w:bidi="ar-EG"/>
              </w:rPr>
              <w:t>271,755</w:t>
            </w:r>
          </w:p>
        </w:tc>
      </w:tr>
      <w:tr w:rsidR="008536EC" w:rsidRPr="004E13E9" w14:paraId="15008F84" w14:textId="77777777" w:rsidTr="00BB4F69">
        <w:trPr>
          <w:trHeight w:val="282"/>
        </w:trPr>
        <w:tc>
          <w:tcPr>
            <w:tcW w:w="3007" w:type="dxa"/>
          </w:tcPr>
          <w:p w14:paraId="7FB7D329" w14:textId="77777777" w:rsidR="008536EC" w:rsidRPr="004E13E9" w:rsidRDefault="008536EC" w:rsidP="00BB4F69">
            <w:pPr>
              <w:rPr>
                <w:rFonts w:ascii="Cambria" w:hAnsi="Cambria"/>
                <w:i/>
                <w:iCs/>
                <w:color w:val="auto"/>
                <w:sz w:val="20"/>
              </w:rPr>
            </w:pPr>
            <w:proofErr w:type="spellStart"/>
            <w:r w:rsidRPr="004E13E9">
              <w:rPr>
                <w:rFonts w:ascii="Cambria" w:hAnsi="Cambria"/>
                <w:i/>
                <w:iCs/>
                <w:color w:val="auto"/>
                <w:sz w:val="20"/>
              </w:rPr>
              <w:t>Safinat</w:t>
            </w:r>
            <w:proofErr w:type="spellEnd"/>
            <w:r w:rsidRPr="004E13E9">
              <w:rPr>
                <w:rFonts w:ascii="Cambria" w:hAnsi="Cambria"/>
                <w:i/>
                <w:iCs/>
                <w:color w:val="auto"/>
                <w:sz w:val="20"/>
              </w:rPr>
              <w:t xml:space="preserve"> Nooh</w:t>
            </w:r>
          </w:p>
        </w:tc>
        <w:tc>
          <w:tcPr>
            <w:tcW w:w="3041" w:type="dxa"/>
          </w:tcPr>
          <w:p w14:paraId="4A2CBE62" w14:textId="77777777" w:rsidR="008536EC" w:rsidRPr="004E13E9" w:rsidRDefault="008536EC" w:rsidP="00BB4F69">
            <w:pPr>
              <w:jc w:val="center"/>
              <w:rPr>
                <w:rFonts w:ascii="Cambria" w:hAnsi="Cambria"/>
                <w:color w:val="auto"/>
                <w:sz w:val="20"/>
              </w:rPr>
            </w:pPr>
            <w:r w:rsidRPr="004E13E9">
              <w:rPr>
                <w:rFonts w:ascii="Cambria" w:hAnsi="Cambria"/>
                <w:bCs/>
                <w:color w:val="auto"/>
                <w:sz w:val="20"/>
                <w:szCs w:val="20"/>
                <w:lang w:val="en-US" w:bidi="ar-EG"/>
              </w:rPr>
              <w:t>AT000EGY00010</w:t>
            </w:r>
          </w:p>
        </w:tc>
        <w:tc>
          <w:tcPr>
            <w:tcW w:w="3012" w:type="dxa"/>
          </w:tcPr>
          <w:p w14:paraId="3190A46C" w14:textId="77777777" w:rsidR="008536EC" w:rsidRPr="004E13E9" w:rsidRDefault="008536EC" w:rsidP="00BB4F69">
            <w:pPr>
              <w:jc w:val="center"/>
              <w:rPr>
                <w:rFonts w:ascii="Cambria" w:hAnsi="Cambria"/>
                <w:bCs/>
                <w:color w:val="auto"/>
                <w:sz w:val="20"/>
                <w:szCs w:val="20"/>
                <w:lang w:val="en-US" w:bidi="ar-EG"/>
              </w:rPr>
            </w:pPr>
            <w:r w:rsidRPr="004E13E9">
              <w:rPr>
                <w:rFonts w:ascii="Cambria" w:hAnsi="Cambria"/>
                <w:bCs/>
                <w:color w:val="auto"/>
                <w:sz w:val="20"/>
                <w:szCs w:val="20"/>
                <w:lang w:val="en-US" w:bidi="ar-EG"/>
              </w:rPr>
              <w:t>271,755</w:t>
            </w:r>
          </w:p>
        </w:tc>
      </w:tr>
    </w:tbl>
    <w:p w14:paraId="518E6AFB" w14:textId="77777777" w:rsidR="008536EC" w:rsidRPr="004E13E9" w:rsidRDefault="008536EC" w:rsidP="008536EC">
      <w:pPr>
        <w:widowControl w:val="0"/>
        <w:contextualSpacing/>
        <w:jc w:val="both"/>
      </w:pPr>
    </w:p>
    <w:p w14:paraId="5FAB0995" w14:textId="77777777" w:rsidR="008536EC" w:rsidRPr="004E13E9" w:rsidRDefault="008536EC" w:rsidP="008536EC">
      <w:pPr>
        <w:widowControl w:val="0"/>
        <w:contextualSpacing/>
        <w:jc w:val="both"/>
      </w:pPr>
    </w:p>
    <w:p w14:paraId="3F9B7045" w14:textId="77777777" w:rsidR="008536EC" w:rsidRPr="004E13E9" w:rsidRDefault="008536EC" w:rsidP="008536EC">
      <w:pPr>
        <w:rPr>
          <w:b/>
          <w:bCs/>
          <w:iCs/>
        </w:rPr>
      </w:pPr>
      <w:r w:rsidRPr="004E13E9">
        <w:rPr>
          <w:b/>
          <w:bCs/>
        </w:rPr>
        <w:t>T</w:t>
      </w:r>
      <w:r w:rsidRPr="004E13E9">
        <w:rPr>
          <w:b/>
          <w:bCs/>
          <w:iCs/>
        </w:rPr>
        <w:t>ableau 2.</w:t>
      </w:r>
    </w:p>
    <w:tbl>
      <w:tblPr>
        <w:tblStyle w:val="TableGrid"/>
        <w:tblW w:w="5961" w:type="dxa"/>
        <w:tblLook w:val="04A0" w:firstRow="1" w:lastRow="0" w:firstColumn="1" w:lastColumn="0" w:noHBand="0" w:noVBand="1"/>
      </w:tblPr>
      <w:tblGrid>
        <w:gridCol w:w="3387"/>
        <w:gridCol w:w="2574"/>
      </w:tblGrid>
      <w:tr w:rsidR="008536EC" w:rsidRPr="004E13E9" w14:paraId="71B4F324" w14:textId="77777777" w:rsidTr="00BB4F69">
        <w:trPr>
          <w:trHeight w:val="286"/>
        </w:trPr>
        <w:tc>
          <w:tcPr>
            <w:tcW w:w="3387" w:type="dxa"/>
          </w:tcPr>
          <w:p w14:paraId="492EEA6C" w14:textId="77777777" w:rsidR="008536EC" w:rsidRPr="004E13E9" w:rsidRDefault="008536EC" w:rsidP="00BB4F69">
            <w:pPr>
              <w:jc w:val="center"/>
              <w:rPr>
                <w:rFonts w:ascii="Cambria" w:hAnsi="Cambria"/>
                <w:i/>
                <w:color w:val="auto"/>
                <w:sz w:val="20"/>
                <w:szCs w:val="20"/>
                <w:lang w:val="en-US"/>
              </w:rPr>
            </w:pPr>
            <w:r w:rsidRPr="004E13E9">
              <w:rPr>
                <w:rFonts w:ascii="Cambria" w:hAnsi="Cambria"/>
                <w:i/>
                <w:color w:val="auto"/>
                <w:sz w:val="20"/>
                <w:szCs w:val="20"/>
                <w:lang w:val="en-US"/>
              </w:rPr>
              <w:t>Port</w:t>
            </w:r>
          </w:p>
        </w:tc>
        <w:tc>
          <w:tcPr>
            <w:tcW w:w="2574" w:type="dxa"/>
          </w:tcPr>
          <w:p w14:paraId="27E40588" w14:textId="77777777" w:rsidR="008536EC" w:rsidRPr="004E13E9" w:rsidRDefault="008536EC" w:rsidP="00BB4F69">
            <w:pPr>
              <w:jc w:val="center"/>
              <w:rPr>
                <w:rFonts w:ascii="Cambria" w:hAnsi="Cambria"/>
                <w:i/>
                <w:color w:val="auto"/>
                <w:sz w:val="20"/>
                <w:szCs w:val="20"/>
              </w:rPr>
            </w:pPr>
            <w:r w:rsidRPr="004E13E9">
              <w:rPr>
                <w:rFonts w:ascii="Cambria" w:hAnsi="Cambria"/>
                <w:i/>
                <w:color w:val="auto"/>
                <w:sz w:val="20"/>
                <w:szCs w:val="20"/>
              </w:rPr>
              <w:t>Espèce</w:t>
            </w:r>
          </w:p>
        </w:tc>
      </w:tr>
      <w:tr w:rsidR="008536EC" w:rsidRPr="004E13E9" w14:paraId="3B5A9CC6" w14:textId="77777777" w:rsidTr="00BB4F69">
        <w:trPr>
          <w:trHeight w:val="305"/>
        </w:trPr>
        <w:tc>
          <w:tcPr>
            <w:tcW w:w="3387" w:type="dxa"/>
            <w:vAlign w:val="center"/>
          </w:tcPr>
          <w:p w14:paraId="45E0A9E2" w14:textId="77777777" w:rsidR="008536EC" w:rsidRPr="004E13E9" w:rsidRDefault="008536EC" w:rsidP="00BB4F69">
            <w:pPr>
              <w:jc w:val="center"/>
              <w:rPr>
                <w:rFonts w:ascii="Cambria" w:hAnsi="Cambria"/>
                <w:iCs/>
                <w:color w:val="auto"/>
                <w:sz w:val="20"/>
                <w:szCs w:val="20"/>
              </w:rPr>
            </w:pPr>
            <w:proofErr w:type="spellStart"/>
            <w:r w:rsidRPr="004E13E9">
              <w:rPr>
                <w:rFonts w:ascii="Cambria" w:hAnsi="Cambria"/>
                <w:iCs/>
                <w:color w:val="auto"/>
                <w:sz w:val="20"/>
                <w:szCs w:val="20"/>
              </w:rPr>
              <w:t>Izbet</w:t>
            </w:r>
            <w:proofErr w:type="spellEnd"/>
            <w:r w:rsidRPr="004E13E9">
              <w:rPr>
                <w:rFonts w:ascii="Cambria" w:hAnsi="Cambria"/>
                <w:iCs/>
                <w:color w:val="auto"/>
                <w:sz w:val="20"/>
                <w:szCs w:val="20"/>
              </w:rPr>
              <w:t xml:space="preserve"> El Borg</w:t>
            </w:r>
          </w:p>
        </w:tc>
        <w:tc>
          <w:tcPr>
            <w:tcW w:w="2574" w:type="dxa"/>
            <w:vAlign w:val="center"/>
          </w:tcPr>
          <w:p w14:paraId="56E21C0A" w14:textId="77777777" w:rsidR="008536EC" w:rsidRPr="004E13E9" w:rsidRDefault="008536EC" w:rsidP="00BB4F69">
            <w:pPr>
              <w:jc w:val="center"/>
              <w:rPr>
                <w:rFonts w:ascii="Cambria" w:hAnsi="Cambria"/>
                <w:iCs/>
                <w:color w:val="auto"/>
                <w:sz w:val="20"/>
                <w:szCs w:val="20"/>
              </w:rPr>
            </w:pPr>
            <w:r w:rsidRPr="004E13E9">
              <w:rPr>
                <w:rFonts w:ascii="Cambria" w:hAnsi="Cambria"/>
                <w:iCs/>
                <w:color w:val="auto"/>
                <w:sz w:val="20"/>
                <w:szCs w:val="20"/>
              </w:rPr>
              <w:t>SWO et ALB</w:t>
            </w:r>
          </w:p>
        </w:tc>
      </w:tr>
      <w:tr w:rsidR="008536EC" w:rsidRPr="004E13E9" w14:paraId="67A8CE06" w14:textId="77777777" w:rsidTr="00BB4F69">
        <w:trPr>
          <w:trHeight w:val="286"/>
        </w:trPr>
        <w:tc>
          <w:tcPr>
            <w:tcW w:w="3387" w:type="dxa"/>
            <w:vAlign w:val="center"/>
          </w:tcPr>
          <w:p w14:paraId="1E3D3C69" w14:textId="77777777" w:rsidR="008536EC" w:rsidRPr="004E13E9" w:rsidRDefault="008536EC" w:rsidP="00BB4F69">
            <w:pPr>
              <w:jc w:val="center"/>
              <w:rPr>
                <w:rFonts w:ascii="Cambria" w:hAnsi="Cambria"/>
                <w:iCs/>
                <w:color w:val="auto"/>
                <w:sz w:val="20"/>
                <w:szCs w:val="20"/>
              </w:rPr>
            </w:pPr>
            <w:r w:rsidRPr="004E13E9">
              <w:rPr>
                <w:rFonts w:ascii="Cambria" w:hAnsi="Cambria"/>
                <w:iCs/>
                <w:color w:val="auto"/>
                <w:sz w:val="20"/>
                <w:szCs w:val="20"/>
              </w:rPr>
              <w:t>Rashid</w:t>
            </w:r>
          </w:p>
        </w:tc>
        <w:tc>
          <w:tcPr>
            <w:tcW w:w="2574" w:type="dxa"/>
            <w:vAlign w:val="center"/>
          </w:tcPr>
          <w:p w14:paraId="2E4351E0" w14:textId="77777777" w:rsidR="008536EC" w:rsidRPr="004E13E9" w:rsidRDefault="008536EC" w:rsidP="00BB4F69">
            <w:pPr>
              <w:jc w:val="center"/>
              <w:rPr>
                <w:rFonts w:ascii="Cambria" w:hAnsi="Cambria"/>
                <w:iCs/>
                <w:color w:val="auto"/>
                <w:sz w:val="20"/>
                <w:szCs w:val="20"/>
              </w:rPr>
            </w:pPr>
            <w:r w:rsidRPr="004E13E9">
              <w:rPr>
                <w:rFonts w:ascii="Cambria" w:hAnsi="Cambria"/>
                <w:iCs/>
                <w:color w:val="auto"/>
                <w:sz w:val="20"/>
                <w:szCs w:val="20"/>
              </w:rPr>
              <w:t>SWO et ALB</w:t>
            </w:r>
          </w:p>
        </w:tc>
      </w:tr>
      <w:tr w:rsidR="008536EC" w:rsidRPr="004E13E9" w14:paraId="4E2ED119" w14:textId="77777777" w:rsidTr="00BB4F69">
        <w:trPr>
          <w:trHeight w:val="286"/>
        </w:trPr>
        <w:tc>
          <w:tcPr>
            <w:tcW w:w="3387" w:type="dxa"/>
            <w:vAlign w:val="center"/>
          </w:tcPr>
          <w:p w14:paraId="51F4993D" w14:textId="77777777" w:rsidR="008536EC" w:rsidRPr="004E13E9" w:rsidRDefault="008536EC" w:rsidP="00BB4F69">
            <w:pPr>
              <w:jc w:val="center"/>
              <w:rPr>
                <w:rFonts w:ascii="Cambria" w:hAnsi="Cambria"/>
                <w:iCs/>
                <w:color w:val="auto"/>
                <w:sz w:val="20"/>
                <w:szCs w:val="20"/>
              </w:rPr>
            </w:pPr>
            <w:proofErr w:type="spellStart"/>
            <w:r w:rsidRPr="004E13E9">
              <w:rPr>
                <w:rFonts w:ascii="Cambria" w:hAnsi="Cambria"/>
                <w:iCs/>
                <w:color w:val="auto"/>
                <w:sz w:val="20"/>
                <w:szCs w:val="20"/>
              </w:rPr>
              <w:t>Elmadia</w:t>
            </w:r>
            <w:proofErr w:type="spellEnd"/>
          </w:p>
        </w:tc>
        <w:tc>
          <w:tcPr>
            <w:tcW w:w="2574" w:type="dxa"/>
            <w:vAlign w:val="center"/>
          </w:tcPr>
          <w:p w14:paraId="2FA7A9EE" w14:textId="77777777" w:rsidR="008536EC" w:rsidRPr="004E13E9" w:rsidRDefault="008536EC" w:rsidP="00BB4F69">
            <w:pPr>
              <w:jc w:val="center"/>
              <w:rPr>
                <w:rFonts w:ascii="Cambria" w:hAnsi="Cambria"/>
                <w:iCs/>
                <w:color w:val="auto"/>
                <w:sz w:val="20"/>
                <w:szCs w:val="20"/>
              </w:rPr>
            </w:pPr>
            <w:r w:rsidRPr="004E13E9">
              <w:rPr>
                <w:rFonts w:ascii="Cambria" w:hAnsi="Cambria"/>
                <w:iCs/>
                <w:color w:val="auto"/>
                <w:sz w:val="20"/>
                <w:szCs w:val="20"/>
              </w:rPr>
              <w:t>BFT, SWO et ALB</w:t>
            </w:r>
          </w:p>
        </w:tc>
      </w:tr>
      <w:tr w:rsidR="008536EC" w:rsidRPr="004E13E9" w14:paraId="4089C0C3" w14:textId="77777777" w:rsidTr="00BB4F69">
        <w:trPr>
          <w:trHeight w:val="286"/>
        </w:trPr>
        <w:tc>
          <w:tcPr>
            <w:tcW w:w="3387" w:type="dxa"/>
            <w:vAlign w:val="center"/>
          </w:tcPr>
          <w:p w14:paraId="75188A6A" w14:textId="77777777" w:rsidR="008536EC" w:rsidRPr="004E13E9" w:rsidRDefault="008536EC" w:rsidP="00BB4F69">
            <w:pPr>
              <w:jc w:val="center"/>
              <w:rPr>
                <w:rFonts w:ascii="Cambria" w:hAnsi="Cambria"/>
                <w:iCs/>
                <w:color w:val="auto"/>
                <w:sz w:val="20"/>
                <w:szCs w:val="20"/>
              </w:rPr>
            </w:pPr>
            <w:r w:rsidRPr="004E13E9">
              <w:rPr>
                <w:rFonts w:ascii="Cambria" w:hAnsi="Cambria"/>
                <w:iCs/>
                <w:color w:val="auto"/>
                <w:sz w:val="20"/>
                <w:szCs w:val="20"/>
              </w:rPr>
              <w:t>ABO QIR</w:t>
            </w:r>
          </w:p>
        </w:tc>
        <w:tc>
          <w:tcPr>
            <w:tcW w:w="2574" w:type="dxa"/>
          </w:tcPr>
          <w:p w14:paraId="4982F8A5" w14:textId="77777777" w:rsidR="008536EC" w:rsidRPr="004E13E9" w:rsidRDefault="008536EC" w:rsidP="00BB4F69">
            <w:pPr>
              <w:jc w:val="center"/>
              <w:rPr>
                <w:rFonts w:ascii="Cambria" w:hAnsi="Cambria"/>
                <w:iCs/>
                <w:color w:val="auto"/>
                <w:sz w:val="20"/>
                <w:szCs w:val="20"/>
              </w:rPr>
            </w:pPr>
            <w:r w:rsidRPr="004E13E9">
              <w:rPr>
                <w:rFonts w:ascii="Cambria" w:hAnsi="Cambria"/>
                <w:iCs/>
                <w:color w:val="auto"/>
                <w:sz w:val="20"/>
                <w:szCs w:val="20"/>
              </w:rPr>
              <w:t>BFT, SWO et ALB</w:t>
            </w:r>
          </w:p>
        </w:tc>
      </w:tr>
      <w:tr w:rsidR="008536EC" w:rsidRPr="004E13E9" w14:paraId="38618F5B" w14:textId="77777777" w:rsidTr="00BB4F69">
        <w:trPr>
          <w:trHeight w:val="305"/>
        </w:trPr>
        <w:tc>
          <w:tcPr>
            <w:tcW w:w="3387" w:type="dxa"/>
            <w:vAlign w:val="center"/>
          </w:tcPr>
          <w:p w14:paraId="7FB4C51D" w14:textId="77777777" w:rsidR="008536EC" w:rsidRPr="004E13E9" w:rsidRDefault="008536EC" w:rsidP="00BB4F69">
            <w:pPr>
              <w:jc w:val="center"/>
              <w:rPr>
                <w:rFonts w:ascii="Cambria" w:hAnsi="Cambria"/>
                <w:color w:val="auto"/>
                <w:sz w:val="20"/>
                <w:szCs w:val="20"/>
              </w:rPr>
            </w:pPr>
            <w:r w:rsidRPr="004E13E9">
              <w:rPr>
                <w:rFonts w:ascii="Cambria" w:hAnsi="Cambria"/>
                <w:iCs/>
                <w:color w:val="auto"/>
                <w:sz w:val="20"/>
                <w:szCs w:val="20"/>
              </w:rPr>
              <w:t>Elsharky Port Alexandria</w:t>
            </w:r>
          </w:p>
        </w:tc>
        <w:tc>
          <w:tcPr>
            <w:tcW w:w="2574" w:type="dxa"/>
          </w:tcPr>
          <w:p w14:paraId="54FAE64A" w14:textId="77777777" w:rsidR="008536EC" w:rsidRPr="004E13E9" w:rsidRDefault="008536EC" w:rsidP="00BB4F69">
            <w:pPr>
              <w:jc w:val="center"/>
              <w:rPr>
                <w:rFonts w:ascii="Cambria" w:hAnsi="Cambria"/>
                <w:iCs/>
                <w:color w:val="auto"/>
                <w:sz w:val="20"/>
                <w:szCs w:val="20"/>
              </w:rPr>
            </w:pPr>
            <w:r w:rsidRPr="004E13E9">
              <w:rPr>
                <w:rFonts w:ascii="Cambria" w:hAnsi="Cambria"/>
                <w:iCs/>
                <w:color w:val="auto"/>
                <w:sz w:val="20"/>
                <w:szCs w:val="20"/>
              </w:rPr>
              <w:t>BFT, SWO et ALB</w:t>
            </w:r>
          </w:p>
        </w:tc>
      </w:tr>
      <w:tr w:rsidR="008536EC" w:rsidRPr="004E13E9" w14:paraId="15BDCA3B" w14:textId="77777777" w:rsidTr="00BB4F69">
        <w:trPr>
          <w:trHeight w:val="286"/>
        </w:trPr>
        <w:tc>
          <w:tcPr>
            <w:tcW w:w="3387" w:type="dxa"/>
            <w:vAlign w:val="center"/>
          </w:tcPr>
          <w:p w14:paraId="11C5742C" w14:textId="77777777" w:rsidR="008536EC" w:rsidRPr="004E13E9" w:rsidRDefault="008536EC" w:rsidP="00BB4F69">
            <w:pPr>
              <w:jc w:val="center"/>
              <w:rPr>
                <w:rFonts w:ascii="Cambria" w:hAnsi="Cambria"/>
                <w:iCs/>
                <w:color w:val="auto"/>
                <w:sz w:val="20"/>
                <w:szCs w:val="20"/>
              </w:rPr>
            </w:pPr>
            <w:r w:rsidRPr="004E13E9">
              <w:rPr>
                <w:rFonts w:ascii="Cambria" w:hAnsi="Cambria"/>
                <w:iCs/>
                <w:color w:val="auto"/>
                <w:sz w:val="20"/>
                <w:szCs w:val="20"/>
              </w:rPr>
              <w:t>Port Said</w:t>
            </w:r>
          </w:p>
        </w:tc>
        <w:tc>
          <w:tcPr>
            <w:tcW w:w="2574" w:type="dxa"/>
          </w:tcPr>
          <w:p w14:paraId="5F0674DA" w14:textId="77777777" w:rsidR="008536EC" w:rsidRPr="004E13E9" w:rsidRDefault="008536EC" w:rsidP="00BB4F69">
            <w:pPr>
              <w:jc w:val="center"/>
              <w:rPr>
                <w:rFonts w:ascii="Cambria" w:hAnsi="Cambria"/>
                <w:iCs/>
                <w:color w:val="auto"/>
                <w:sz w:val="20"/>
                <w:szCs w:val="20"/>
              </w:rPr>
            </w:pPr>
            <w:r w:rsidRPr="004E13E9">
              <w:rPr>
                <w:rFonts w:ascii="Cambria" w:hAnsi="Cambria"/>
                <w:iCs/>
                <w:color w:val="auto"/>
                <w:sz w:val="20"/>
                <w:szCs w:val="20"/>
              </w:rPr>
              <w:t>BFT, SWO et ALB</w:t>
            </w:r>
          </w:p>
        </w:tc>
      </w:tr>
    </w:tbl>
    <w:p w14:paraId="2D03F6A7" w14:textId="77777777" w:rsidR="008536EC" w:rsidRPr="004E13E9" w:rsidRDefault="008536EC" w:rsidP="008536EC">
      <w:pPr>
        <w:widowControl w:val="0"/>
        <w:contextualSpacing/>
        <w:jc w:val="both"/>
        <w:rPr>
          <w:rFonts w:eastAsia="MS Gothic" w:cs="Times New Roman"/>
          <w:lang w:eastAsia="fr-FR" w:bidi="fr-FR"/>
        </w:rPr>
      </w:pPr>
    </w:p>
    <w:p w14:paraId="0C1A2782" w14:textId="77777777" w:rsidR="008536EC" w:rsidRPr="004E13E9" w:rsidRDefault="008536EC" w:rsidP="008536EC">
      <w:pPr>
        <w:widowControl w:val="0"/>
        <w:ind w:left="426" w:hanging="426"/>
        <w:contextualSpacing/>
        <w:jc w:val="both"/>
        <w:rPr>
          <w:b/>
          <w:bCs/>
        </w:rPr>
        <w:sectPr w:rsidR="008536EC" w:rsidRPr="004E13E9" w:rsidSect="008536EC">
          <w:headerReference w:type="default" r:id="rId94"/>
          <w:pgSz w:w="11906" w:h="16838" w:code="9"/>
          <w:pgMar w:top="1418" w:right="1418" w:bottom="1418" w:left="1418" w:header="850" w:footer="1134" w:gutter="0"/>
          <w:cols w:space="708"/>
          <w:docGrid w:linePitch="360"/>
        </w:sectPr>
      </w:pPr>
    </w:p>
    <w:p w14:paraId="626A5A9A" w14:textId="77777777" w:rsidR="008536EC" w:rsidRPr="004E13E9" w:rsidRDefault="008536EC" w:rsidP="008536EC">
      <w:pPr>
        <w:rPr>
          <w:rFonts w:eastAsia="MS Gothic" w:cs="Times New Roman"/>
          <w:b/>
          <w:bCs/>
          <w:iCs/>
          <w:lang w:eastAsia="fr-FR" w:bidi="fr-FR"/>
        </w:rPr>
      </w:pPr>
      <w:r w:rsidRPr="004E13E9">
        <w:rPr>
          <w:rFonts w:eastAsia="MS Gothic" w:cs="Times New Roman"/>
          <w:b/>
          <w:bCs/>
          <w:iCs/>
          <w:lang w:eastAsia="fr-FR" w:bidi="fr-FR"/>
        </w:rPr>
        <w:lastRenderedPageBreak/>
        <w:t xml:space="preserve">Tableau sur la </w:t>
      </w:r>
      <w:proofErr w:type="spellStart"/>
      <w:r w:rsidRPr="004E13E9">
        <w:rPr>
          <w:rFonts w:eastAsia="MS Gothic" w:cs="Times New Roman"/>
          <w:b/>
          <w:bCs/>
          <w:iCs/>
          <w:lang w:eastAsia="fr-FR" w:bidi="fr-FR"/>
        </w:rPr>
        <w:t>capacité</w:t>
      </w:r>
      <w:proofErr w:type="spellEnd"/>
    </w:p>
    <w:p w14:paraId="25229E83" w14:textId="77777777" w:rsidR="008536EC" w:rsidRPr="004E13E9" w:rsidRDefault="008536EC" w:rsidP="008536EC">
      <w:pPr>
        <w:rPr>
          <w:rFonts w:eastAsia="MS Gothic" w:cs="Times New Roman"/>
          <w:b/>
          <w:bCs/>
          <w:iCs/>
          <w:lang w:eastAsia="fr-FR" w:bidi="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8"/>
        <w:gridCol w:w="956"/>
        <w:gridCol w:w="571"/>
        <w:gridCol w:w="571"/>
        <w:gridCol w:w="571"/>
        <w:gridCol w:w="727"/>
        <w:gridCol w:w="727"/>
        <w:gridCol w:w="822"/>
        <w:gridCol w:w="692"/>
        <w:gridCol w:w="222"/>
        <w:gridCol w:w="571"/>
        <w:gridCol w:w="571"/>
        <w:gridCol w:w="692"/>
        <w:gridCol w:w="727"/>
        <w:gridCol w:w="727"/>
        <w:gridCol w:w="822"/>
        <w:gridCol w:w="727"/>
      </w:tblGrid>
      <w:tr w:rsidR="008536EC" w:rsidRPr="004E13E9" w14:paraId="03C99F3F"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noWrap/>
            <w:vAlign w:val="center"/>
            <w:hideMark/>
          </w:tcPr>
          <w:p w14:paraId="3C27D5E4" w14:textId="77777777" w:rsidR="008536EC" w:rsidRPr="004E13E9" w:rsidRDefault="008536EC" w:rsidP="00BB4F69">
            <w:pPr>
              <w:widowControl w:val="0"/>
              <w:jc w:val="center"/>
              <w:rPr>
                <w:rFonts w:eastAsia="Times New Roman" w:cs="Calibri"/>
                <w:i/>
                <w:iCs/>
                <w:color w:val="000000"/>
                <w:sz w:val="16"/>
                <w:szCs w:val="16"/>
                <w:lang w:eastAsia="fr-FR" w:bidi="fr-FR"/>
              </w:rPr>
            </w:pPr>
            <w:r w:rsidRPr="004E13E9">
              <w:rPr>
                <w:rFonts w:eastAsia="MS Gothic" w:cs="Times New Roman"/>
                <w:i/>
                <w:color w:val="000000"/>
                <w:sz w:val="16"/>
                <w:szCs w:val="24"/>
                <w:lang w:eastAsia="fr-FR" w:bidi="fr-FR"/>
              </w:rPr>
              <w:t xml:space="preserve">Type de </w:t>
            </w:r>
            <w:proofErr w:type="spellStart"/>
            <w:r w:rsidRPr="004E13E9">
              <w:rPr>
                <w:rFonts w:eastAsia="MS Gothic" w:cs="Times New Roman"/>
                <w:i/>
                <w:color w:val="000000"/>
                <w:sz w:val="16"/>
                <w:szCs w:val="24"/>
                <w:lang w:eastAsia="fr-FR" w:bidi="fr-FR"/>
              </w:rPr>
              <w:t>navires</w:t>
            </w:r>
            <w:proofErr w:type="spellEnd"/>
            <w:r w:rsidRPr="004E13E9">
              <w:rPr>
                <w:rFonts w:eastAsia="MS Gothic" w:cs="Times New Roman"/>
                <w:i/>
                <w:color w:val="000000"/>
                <w:sz w:val="16"/>
                <w:szCs w:val="24"/>
                <w:lang w:eastAsia="fr-FR" w:bidi="fr-FR"/>
              </w:rPr>
              <w:t xml:space="preserve"> </w:t>
            </w:r>
            <w:proofErr w:type="spellStart"/>
            <w:r w:rsidRPr="004E13E9">
              <w:rPr>
                <w:rFonts w:eastAsia="MS Gothic" w:cs="Times New Roman"/>
                <w:i/>
                <w:color w:val="000000"/>
                <w:sz w:val="16"/>
                <w:szCs w:val="24"/>
                <w:lang w:eastAsia="fr-FR" w:bidi="fr-FR"/>
              </w:rPr>
              <w:t>thoniers</w:t>
            </w:r>
            <w:proofErr w:type="spellEnd"/>
          </w:p>
        </w:tc>
        <w:tc>
          <w:tcPr>
            <w:tcW w:w="566" w:type="pct"/>
            <w:tcBorders>
              <w:top w:val="single" w:sz="4" w:space="0" w:color="auto"/>
              <w:left w:val="single" w:sz="4" w:space="0" w:color="auto"/>
              <w:bottom w:val="single" w:sz="4" w:space="0" w:color="auto"/>
              <w:right w:val="single" w:sz="4" w:space="0" w:color="auto"/>
            </w:tcBorders>
            <w:noWrap/>
            <w:vAlign w:val="center"/>
            <w:hideMark/>
          </w:tcPr>
          <w:p w14:paraId="5F455E8C" w14:textId="77777777" w:rsidR="008536EC" w:rsidRPr="004E13E9" w:rsidRDefault="008536EC" w:rsidP="00BB4F69">
            <w:pPr>
              <w:widowControl w:val="0"/>
              <w:jc w:val="both"/>
              <w:rPr>
                <w:rFonts w:eastAsia="Times New Roman" w:cs="Calibri"/>
                <w:i/>
                <w:iCs/>
                <w:color w:val="000000"/>
                <w:sz w:val="16"/>
                <w:szCs w:val="16"/>
                <w:lang w:eastAsia="fr-FR" w:bidi="fr-FR"/>
              </w:rPr>
            </w:pPr>
          </w:p>
        </w:tc>
        <w:tc>
          <w:tcPr>
            <w:tcW w:w="612" w:type="pct"/>
            <w:gridSpan w:val="3"/>
            <w:tcBorders>
              <w:top w:val="single" w:sz="4" w:space="0" w:color="auto"/>
              <w:left w:val="single" w:sz="4" w:space="0" w:color="auto"/>
              <w:bottom w:val="single" w:sz="4" w:space="0" w:color="auto"/>
              <w:right w:val="single" w:sz="4" w:space="0" w:color="auto"/>
            </w:tcBorders>
            <w:hideMark/>
          </w:tcPr>
          <w:p w14:paraId="03490F15" w14:textId="77777777" w:rsidR="008536EC" w:rsidRPr="004E13E9" w:rsidRDefault="008536EC" w:rsidP="00BB4F69">
            <w:pPr>
              <w:widowControl w:val="0"/>
              <w:jc w:val="center"/>
              <w:rPr>
                <w:rFonts w:eastAsia="Times New Roman" w:cs="Calibri"/>
                <w:i/>
                <w:iCs/>
                <w:color w:val="000000"/>
                <w:sz w:val="16"/>
                <w:szCs w:val="16"/>
                <w:lang w:eastAsia="fr-FR" w:bidi="fr-FR"/>
              </w:rPr>
            </w:pPr>
            <w:r w:rsidRPr="004E13E9">
              <w:rPr>
                <w:rFonts w:eastAsia="MS Gothic" w:cs="Times New Roman"/>
                <w:i/>
                <w:color w:val="000000"/>
                <w:sz w:val="16"/>
                <w:szCs w:val="24"/>
                <w:lang w:eastAsia="fr-FR" w:bidi="fr-FR"/>
              </w:rPr>
              <w:t xml:space="preserve">Année de </w:t>
            </w:r>
            <w:proofErr w:type="spellStart"/>
            <w:r w:rsidRPr="004E13E9">
              <w:rPr>
                <w:rFonts w:eastAsia="MS Gothic" w:cs="Times New Roman"/>
                <w:i/>
                <w:color w:val="000000"/>
                <w:sz w:val="16"/>
                <w:szCs w:val="24"/>
                <w:lang w:eastAsia="fr-FR" w:bidi="fr-FR"/>
              </w:rPr>
              <w:t>réf</w:t>
            </w:r>
            <w:proofErr w:type="spellEnd"/>
            <w:r w:rsidRPr="004E13E9">
              <w:rPr>
                <w:rFonts w:eastAsia="MS Gothic" w:cs="Times New Roman"/>
                <w:i/>
                <w:color w:val="000000"/>
                <w:sz w:val="16"/>
                <w:szCs w:val="24"/>
                <w:lang w:eastAsia="fr-FR" w:bidi="fr-FR"/>
              </w:rPr>
              <w:t>.</w:t>
            </w:r>
          </w:p>
        </w:tc>
        <w:tc>
          <w:tcPr>
            <w:tcW w:w="1095" w:type="pct"/>
            <w:gridSpan w:val="4"/>
            <w:tcBorders>
              <w:top w:val="single" w:sz="4" w:space="0" w:color="auto"/>
              <w:left w:val="single" w:sz="4" w:space="0" w:color="auto"/>
              <w:bottom w:val="single" w:sz="4" w:space="0" w:color="auto"/>
              <w:right w:val="single" w:sz="4" w:space="0" w:color="auto"/>
            </w:tcBorders>
            <w:vAlign w:val="center"/>
            <w:hideMark/>
          </w:tcPr>
          <w:p w14:paraId="24D45386" w14:textId="77777777" w:rsidR="008536EC" w:rsidRPr="004E13E9" w:rsidRDefault="008536EC" w:rsidP="00BB4F69">
            <w:pPr>
              <w:widowControl w:val="0"/>
              <w:jc w:val="center"/>
              <w:rPr>
                <w:rFonts w:eastAsia="Times New Roman" w:cs="Times New Roman"/>
                <w:color w:val="000000"/>
                <w:sz w:val="16"/>
                <w:szCs w:val="16"/>
                <w:lang w:eastAsia="fr-FR" w:bidi="fr-FR"/>
              </w:rPr>
            </w:pPr>
            <w:r w:rsidRPr="004E13E9">
              <w:rPr>
                <w:rFonts w:eastAsia="MS Gothic" w:cs="Times New Roman"/>
                <w:i/>
                <w:color w:val="000000"/>
                <w:sz w:val="16"/>
                <w:szCs w:val="24"/>
                <w:lang w:eastAsia="fr-FR" w:bidi="fr-FR"/>
              </w:rPr>
              <w:t xml:space="preserve">Nombre de </w:t>
            </w:r>
            <w:proofErr w:type="spellStart"/>
            <w:r w:rsidRPr="004E13E9">
              <w:rPr>
                <w:rFonts w:eastAsia="MS Gothic" w:cs="Times New Roman"/>
                <w:i/>
                <w:color w:val="000000"/>
                <w:sz w:val="16"/>
                <w:szCs w:val="24"/>
                <w:lang w:eastAsia="fr-FR" w:bidi="fr-FR"/>
              </w:rPr>
              <w:t>navires</w:t>
            </w:r>
            <w:proofErr w:type="spellEnd"/>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0950CAF" w14:textId="77777777" w:rsidR="008536EC" w:rsidRPr="004E13E9" w:rsidRDefault="008536EC" w:rsidP="00BB4F69">
            <w:pPr>
              <w:widowControl w:val="0"/>
              <w:jc w:val="both"/>
              <w:rPr>
                <w:rFonts w:eastAsia="Times New Roman" w:cs="Times New Roman"/>
                <w:color w:val="000000"/>
                <w:sz w:val="16"/>
                <w:szCs w:val="16"/>
                <w:lang w:eastAsia="fr-FR" w:bidi="fr-FR"/>
              </w:rPr>
            </w:pPr>
          </w:p>
        </w:tc>
        <w:tc>
          <w:tcPr>
            <w:tcW w:w="655" w:type="pct"/>
            <w:gridSpan w:val="3"/>
            <w:tcBorders>
              <w:top w:val="single" w:sz="4" w:space="0" w:color="auto"/>
              <w:left w:val="single" w:sz="4" w:space="0" w:color="auto"/>
              <w:bottom w:val="single" w:sz="4" w:space="0" w:color="auto"/>
              <w:right w:val="single" w:sz="4" w:space="0" w:color="auto"/>
            </w:tcBorders>
            <w:hideMark/>
          </w:tcPr>
          <w:p w14:paraId="71144740" w14:textId="77777777" w:rsidR="008536EC" w:rsidRPr="004E13E9" w:rsidRDefault="008536EC" w:rsidP="00BB4F69">
            <w:pPr>
              <w:widowControl w:val="0"/>
              <w:jc w:val="center"/>
              <w:rPr>
                <w:rFonts w:eastAsia="Times New Roman" w:cs="Calibri"/>
                <w:i/>
                <w:iCs/>
                <w:color w:val="000000"/>
                <w:sz w:val="16"/>
                <w:szCs w:val="16"/>
                <w:lang w:eastAsia="fr-FR" w:bidi="fr-FR"/>
              </w:rPr>
            </w:pPr>
            <w:r w:rsidRPr="004E13E9">
              <w:rPr>
                <w:rFonts w:eastAsia="MS Gothic" w:cs="Times New Roman"/>
                <w:i/>
                <w:color w:val="000000"/>
                <w:sz w:val="16"/>
                <w:szCs w:val="24"/>
                <w:lang w:eastAsia="fr-FR" w:bidi="fr-FR"/>
              </w:rPr>
              <w:t xml:space="preserve">Année de </w:t>
            </w:r>
            <w:proofErr w:type="spellStart"/>
            <w:r w:rsidRPr="004E13E9">
              <w:rPr>
                <w:rFonts w:eastAsia="MS Gothic" w:cs="Times New Roman"/>
                <w:i/>
                <w:color w:val="000000"/>
                <w:sz w:val="16"/>
                <w:szCs w:val="24"/>
                <w:lang w:eastAsia="fr-FR" w:bidi="fr-FR"/>
              </w:rPr>
              <w:t>réf</w:t>
            </w:r>
            <w:proofErr w:type="spellEnd"/>
            <w:r w:rsidRPr="004E13E9">
              <w:rPr>
                <w:rFonts w:eastAsia="MS Gothic" w:cs="Times New Roman"/>
                <w:i/>
                <w:color w:val="000000"/>
                <w:sz w:val="16"/>
                <w:szCs w:val="24"/>
                <w:lang w:eastAsia="fr-FR" w:bidi="fr-FR"/>
              </w:rPr>
              <w:t>.</w:t>
            </w:r>
          </w:p>
        </w:tc>
        <w:tc>
          <w:tcPr>
            <w:tcW w:w="1073" w:type="pct"/>
            <w:gridSpan w:val="4"/>
            <w:tcBorders>
              <w:top w:val="single" w:sz="4" w:space="0" w:color="auto"/>
              <w:left w:val="single" w:sz="4" w:space="0" w:color="auto"/>
              <w:bottom w:val="single" w:sz="4" w:space="0" w:color="auto"/>
              <w:right w:val="single" w:sz="4" w:space="0" w:color="auto"/>
            </w:tcBorders>
            <w:hideMark/>
          </w:tcPr>
          <w:p w14:paraId="31FE4C80" w14:textId="77777777" w:rsidR="008536EC" w:rsidRPr="004E13E9" w:rsidRDefault="008536EC" w:rsidP="00BB4F69">
            <w:pPr>
              <w:widowControl w:val="0"/>
              <w:jc w:val="center"/>
              <w:rPr>
                <w:rFonts w:eastAsia="Times New Roman" w:cs="Calibri"/>
                <w:i/>
                <w:iCs/>
                <w:color w:val="000000"/>
                <w:sz w:val="16"/>
                <w:szCs w:val="16"/>
                <w:lang w:eastAsia="fr-FR" w:bidi="fr-FR"/>
              </w:rPr>
            </w:pPr>
            <w:proofErr w:type="spellStart"/>
            <w:r w:rsidRPr="004E13E9">
              <w:rPr>
                <w:rFonts w:eastAsia="MS Gothic" w:cs="Times New Roman"/>
                <w:i/>
                <w:color w:val="000000"/>
                <w:sz w:val="16"/>
                <w:szCs w:val="24"/>
                <w:lang w:eastAsia="fr-FR" w:bidi="fr-FR"/>
              </w:rPr>
              <w:t>Capacité</w:t>
            </w:r>
            <w:proofErr w:type="spellEnd"/>
            <w:r w:rsidRPr="004E13E9">
              <w:rPr>
                <w:rFonts w:eastAsia="MS Gothic" w:cs="Times New Roman"/>
                <w:i/>
                <w:color w:val="000000"/>
                <w:sz w:val="16"/>
                <w:szCs w:val="24"/>
                <w:lang w:eastAsia="fr-FR" w:bidi="fr-FR"/>
              </w:rPr>
              <w:t xml:space="preserve"> de </w:t>
            </w:r>
            <w:proofErr w:type="spellStart"/>
            <w:r w:rsidRPr="004E13E9">
              <w:rPr>
                <w:rFonts w:eastAsia="MS Gothic" w:cs="Times New Roman"/>
                <w:i/>
                <w:color w:val="000000"/>
                <w:sz w:val="16"/>
                <w:szCs w:val="24"/>
                <w:lang w:eastAsia="fr-FR" w:bidi="fr-FR"/>
              </w:rPr>
              <w:t>pêche</w:t>
            </w:r>
            <w:proofErr w:type="spellEnd"/>
          </w:p>
        </w:tc>
      </w:tr>
      <w:tr w:rsidR="008536EC" w:rsidRPr="004E13E9" w14:paraId="72EE9057"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noWrap/>
            <w:vAlign w:val="center"/>
            <w:hideMark/>
          </w:tcPr>
          <w:p w14:paraId="68EEF812" w14:textId="77777777" w:rsidR="008536EC" w:rsidRPr="004E13E9" w:rsidRDefault="008536EC" w:rsidP="00BB4F69">
            <w:pPr>
              <w:widowControl w:val="0"/>
              <w:jc w:val="both"/>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Type</w:t>
            </w:r>
          </w:p>
        </w:tc>
        <w:tc>
          <w:tcPr>
            <w:tcW w:w="566" w:type="pct"/>
            <w:tcBorders>
              <w:top w:val="single" w:sz="4" w:space="0" w:color="auto"/>
              <w:left w:val="single" w:sz="4" w:space="0" w:color="auto"/>
              <w:bottom w:val="single" w:sz="4" w:space="0" w:color="auto"/>
              <w:right w:val="single" w:sz="4" w:space="0" w:color="auto"/>
            </w:tcBorders>
            <w:vAlign w:val="center"/>
            <w:hideMark/>
          </w:tcPr>
          <w:p w14:paraId="32AFAF9E" w14:textId="77777777" w:rsidR="008536EC" w:rsidRPr="004E13E9" w:rsidRDefault="008536EC" w:rsidP="00BB4F69">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 xml:space="preserve">Meilleurs taux de capture </w:t>
            </w:r>
          </w:p>
          <w:p w14:paraId="18F11B84" w14:textId="77777777" w:rsidR="008536EC" w:rsidRPr="004E13E9" w:rsidRDefault="008536EC" w:rsidP="00BB4F69">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 xml:space="preserve">définis par le SCRS </w:t>
            </w:r>
          </w:p>
          <w:p w14:paraId="74B945A1" w14:textId="77777777" w:rsidR="008536EC" w:rsidRPr="004E13E9" w:rsidRDefault="008536EC" w:rsidP="00BB4F69">
            <w:pPr>
              <w:widowControl w:val="0"/>
              <w:jc w:val="center"/>
              <w:rPr>
                <w:rFonts w:eastAsia="Times New Roman" w:cs="Calibri"/>
                <w:color w:val="000000"/>
                <w:sz w:val="16"/>
                <w:szCs w:val="16"/>
                <w:lang w:eastAsia="fr-FR" w:bidi="fr-FR"/>
              </w:rPr>
            </w:pPr>
            <w:proofErr w:type="spellStart"/>
            <w:r w:rsidRPr="004E13E9">
              <w:rPr>
                <w:rFonts w:eastAsia="MS Gothic" w:cs="Times New Roman"/>
                <w:color w:val="000000"/>
                <w:sz w:val="16"/>
                <w:szCs w:val="24"/>
                <w:lang w:eastAsia="fr-FR" w:bidi="fr-FR"/>
              </w:rPr>
              <w:t>en</w:t>
            </w:r>
            <w:proofErr w:type="spellEnd"/>
            <w:r w:rsidRPr="004E13E9">
              <w:rPr>
                <w:rFonts w:eastAsia="MS Gothic" w:cs="Times New Roman"/>
                <w:color w:val="000000"/>
                <w:sz w:val="16"/>
                <w:szCs w:val="24"/>
                <w:lang w:eastAsia="fr-FR" w:bidi="fr-FR"/>
              </w:rPr>
              <w:t xml:space="preserve"> 2009 (t)</w:t>
            </w:r>
          </w:p>
        </w:tc>
        <w:tc>
          <w:tcPr>
            <w:tcW w:w="204" w:type="pct"/>
            <w:tcBorders>
              <w:top w:val="single" w:sz="4" w:space="0" w:color="auto"/>
              <w:left w:val="single" w:sz="4" w:space="0" w:color="auto"/>
              <w:bottom w:val="single" w:sz="4" w:space="0" w:color="auto"/>
              <w:right w:val="single" w:sz="4" w:space="0" w:color="auto"/>
            </w:tcBorders>
            <w:vAlign w:val="center"/>
            <w:hideMark/>
          </w:tcPr>
          <w:p w14:paraId="02B137EA"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2006</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63BABA63"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2008</w:t>
            </w:r>
          </w:p>
        </w:tc>
        <w:tc>
          <w:tcPr>
            <w:tcW w:w="204" w:type="pct"/>
            <w:tcBorders>
              <w:top w:val="single" w:sz="4" w:space="0" w:color="auto"/>
              <w:left w:val="single" w:sz="4" w:space="0" w:color="auto"/>
              <w:bottom w:val="single" w:sz="4" w:space="0" w:color="auto"/>
              <w:right w:val="single" w:sz="4" w:space="0" w:color="auto"/>
            </w:tcBorders>
            <w:vAlign w:val="center"/>
            <w:hideMark/>
          </w:tcPr>
          <w:p w14:paraId="0D8D5285"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2018</w:t>
            </w:r>
          </w:p>
        </w:tc>
        <w:tc>
          <w:tcPr>
            <w:tcW w:w="257" w:type="pct"/>
            <w:tcBorders>
              <w:top w:val="single" w:sz="4" w:space="0" w:color="auto"/>
              <w:left w:val="single" w:sz="4" w:space="0" w:color="auto"/>
              <w:bottom w:val="single" w:sz="4" w:space="0" w:color="auto"/>
              <w:right w:val="single" w:sz="4" w:space="0" w:color="auto"/>
            </w:tcBorders>
            <w:vAlign w:val="center"/>
            <w:hideMark/>
          </w:tcPr>
          <w:p w14:paraId="01A367AD"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2023</w:t>
            </w:r>
          </w:p>
        </w:tc>
        <w:tc>
          <w:tcPr>
            <w:tcW w:w="297" w:type="pct"/>
            <w:tcBorders>
              <w:top w:val="single" w:sz="4" w:space="0" w:color="auto"/>
              <w:left w:val="single" w:sz="4" w:space="0" w:color="auto"/>
              <w:bottom w:val="single" w:sz="4" w:space="0" w:color="auto"/>
              <w:right w:val="single" w:sz="4" w:space="0" w:color="auto"/>
            </w:tcBorders>
            <w:vAlign w:val="center"/>
            <w:hideMark/>
          </w:tcPr>
          <w:p w14:paraId="74CD0387"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2024</w:t>
            </w:r>
          </w:p>
        </w:tc>
        <w:tc>
          <w:tcPr>
            <w:tcW w:w="294" w:type="pct"/>
            <w:tcBorders>
              <w:top w:val="single" w:sz="4" w:space="0" w:color="auto"/>
              <w:left w:val="single" w:sz="4" w:space="0" w:color="auto"/>
              <w:bottom w:val="single" w:sz="4" w:space="0" w:color="auto"/>
              <w:right w:val="single" w:sz="4" w:space="0" w:color="auto"/>
            </w:tcBorders>
            <w:vAlign w:val="center"/>
            <w:hideMark/>
          </w:tcPr>
          <w:p w14:paraId="780D4E46"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2025</w:t>
            </w:r>
          </w:p>
        </w:tc>
        <w:tc>
          <w:tcPr>
            <w:tcW w:w="247" w:type="pct"/>
            <w:tcBorders>
              <w:top w:val="single" w:sz="4" w:space="0" w:color="auto"/>
              <w:left w:val="single" w:sz="4" w:space="0" w:color="auto"/>
              <w:bottom w:val="single" w:sz="4" w:space="0" w:color="auto"/>
              <w:right w:val="single" w:sz="4" w:space="0" w:color="auto"/>
            </w:tcBorders>
            <w:vAlign w:val="center"/>
            <w:hideMark/>
          </w:tcPr>
          <w:p w14:paraId="3180BEF4"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2026</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32A634B" w14:textId="77777777" w:rsidR="008536EC" w:rsidRPr="004E13E9" w:rsidRDefault="008536EC" w:rsidP="00BB4F69">
            <w:pPr>
              <w:widowControl w:val="0"/>
              <w:jc w:val="both"/>
              <w:rPr>
                <w:rFonts w:eastAsia="Times New Roman" w:cs="Calibri"/>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7C30071D"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2006</w:t>
            </w:r>
          </w:p>
        </w:tc>
        <w:tc>
          <w:tcPr>
            <w:tcW w:w="204" w:type="pct"/>
            <w:tcBorders>
              <w:top w:val="single" w:sz="4" w:space="0" w:color="auto"/>
              <w:left w:val="single" w:sz="4" w:space="0" w:color="auto"/>
              <w:bottom w:val="single" w:sz="4" w:space="0" w:color="auto"/>
              <w:right w:val="single" w:sz="4" w:space="0" w:color="auto"/>
            </w:tcBorders>
            <w:vAlign w:val="center"/>
            <w:hideMark/>
          </w:tcPr>
          <w:p w14:paraId="598DDFB1"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2008</w:t>
            </w:r>
          </w:p>
        </w:tc>
        <w:tc>
          <w:tcPr>
            <w:tcW w:w="247" w:type="pct"/>
            <w:tcBorders>
              <w:top w:val="single" w:sz="4" w:space="0" w:color="auto"/>
              <w:left w:val="single" w:sz="4" w:space="0" w:color="auto"/>
              <w:bottom w:val="single" w:sz="4" w:space="0" w:color="auto"/>
              <w:right w:val="single" w:sz="4" w:space="0" w:color="auto"/>
            </w:tcBorders>
            <w:vAlign w:val="center"/>
            <w:hideMark/>
          </w:tcPr>
          <w:p w14:paraId="32CB6264"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2018</w:t>
            </w:r>
          </w:p>
        </w:tc>
        <w:tc>
          <w:tcPr>
            <w:tcW w:w="260" w:type="pct"/>
            <w:tcBorders>
              <w:top w:val="single" w:sz="4" w:space="0" w:color="auto"/>
              <w:left w:val="single" w:sz="4" w:space="0" w:color="auto"/>
              <w:bottom w:val="single" w:sz="4" w:space="0" w:color="auto"/>
              <w:right w:val="single" w:sz="4" w:space="0" w:color="auto"/>
            </w:tcBorders>
            <w:vAlign w:val="center"/>
            <w:hideMark/>
          </w:tcPr>
          <w:p w14:paraId="3F8A6F0B"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2023</w:t>
            </w:r>
          </w:p>
        </w:tc>
        <w:tc>
          <w:tcPr>
            <w:tcW w:w="260" w:type="pct"/>
            <w:tcBorders>
              <w:top w:val="single" w:sz="4" w:space="0" w:color="auto"/>
              <w:left w:val="single" w:sz="4" w:space="0" w:color="auto"/>
              <w:bottom w:val="single" w:sz="4" w:space="0" w:color="auto"/>
              <w:right w:val="single" w:sz="4" w:space="0" w:color="auto"/>
            </w:tcBorders>
            <w:vAlign w:val="center"/>
            <w:hideMark/>
          </w:tcPr>
          <w:p w14:paraId="3CD2D53C"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2024</w:t>
            </w:r>
          </w:p>
        </w:tc>
        <w:tc>
          <w:tcPr>
            <w:tcW w:w="294" w:type="pct"/>
            <w:tcBorders>
              <w:top w:val="single" w:sz="4" w:space="0" w:color="auto"/>
              <w:left w:val="single" w:sz="4" w:space="0" w:color="auto"/>
              <w:bottom w:val="single" w:sz="4" w:space="0" w:color="auto"/>
              <w:right w:val="single" w:sz="4" w:space="0" w:color="auto"/>
            </w:tcBorders>
            <w:vAlign w:val="center"/>
            <w:hideMark/>
          </w:tcPr>
          <w:p w14:paraId="7F4B2946"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2025</w:t>
            </w:r>
          </w:p>
        </w:tc>
        <w:tc>
          <w:tcPr>
            <w:tcW w:w="260" w:type="pct"/>
            <w:tcBorders>
              <w:top w:val="single" w:sz="4" w:space="0" w:color="auto"/>
              <w:left w:val="single" w:sz="4" w:space="0" w:color="auto"/>
              <w:bottom w:val="single" w:sz="4" w:space="0" w:color="auto"/>
              <w:right w:val="single" w:sz="4" w:space="0" w:color="auto"/>
            </w:tcBorders>
            <w:vAlign w:val="center"/>
            <w:hideMark/>
          </w:tcPr>
          <w:p w14:paraId="017B5167"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2026</w:t>
            </w:r>
          </w:p>
        </w:tc>
      </w:tr>
      <w:tr w:rsidR="008536EC" w:rsidRPr="004E13E9" w14:paraId="5212F5C9"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noWrap/>
            <w:vAlign w:val="center"/>
            <w:hideMark/>
          </w:tcPr>
          <w:p w14:paraId="45245517" w14:textId="77777777" w:rsidR="008536EC" w:rsidRPr="004E13E9" w:rsidRDefault="008536EC" w:rsidP="00BB4F69">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Senneur de plus de 40 m</w:t>
            </w:r>
          </w:p>
        </w:tc>
        <w:tc>
          <w:tcPr>
            <w:tcW w:w="566" w:type="pct"/>
            <w:tcBorders>
              <w:top w:val="single" w:sz="4" w:space="0" w:color="auto"/>
              <w:left w:val="single" w:sz="4" w:space="0" w:color="auto"/>
              <w:bottom w:val="single" w:sz="4" w:space="0" w:color="auto"/>
              <w:right w:val="single" w:sz="4" w:space="0" w:color="auto"/>
            </w:tcBorders>
            <w:noWrap/>
            <w:vAlign w:val="center"/>
            <w:hideMark/>
          </w:tcPr>
          <w:p w14:paraId="1DE11F8F"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70,66</w:t>
            </w:r>
          </w:p>
        </w:tc>
        <w:tc>
          <w:tcPr>
            <w:tcW w:w="204" w:type="pct"/>
            <w:tcBorders>
              <w:top w:val="single" w:sz="4" w:space="0" w:color="auto"/>
              <w:left w:val="single" w:sz="4" w:space="0" w:color="auto"/>
              <w:bottom w:val="single" w:sz="4" w:space="0" w:color="auto"/>
              <w:right w:val="single" w:sz="4" w:space="0" w:color="auto"/>
            </w:tcBorders>
            <w:vAlign w:val="center"/>
            <w:hideMark/>
          </w:tcPr>
          <w:p w14:paraId="6084805F"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563DAB08"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16D728AD"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57" w:type="pct"/>
            <w:tcBorders>
              <w:top w:val="single" w:sz="4" w:space="0" w:color="auto"/>
              <w:left w:val="single" w:sz="4" w:space="0" w:color="auto"/>
              <w:bottom w:val="single" w:sz="4" w:space="0" w:color="auto"/>
              <w:right w:val="single" w:sz="4" w:space="0" w:color="auto"/>
            </w:tcBorders>
            <w:vAlign w:val="center"/>
            <w:hideMark/>
          </w:tcPr>
          <w:p w14:paraId="5740355C"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7" w:type="pct"/>
            <w:tcBorders>
              <w:top w:val="single" w:sz="4" w:space="0" w:color="auto"/>
              <w:left w:val="single" w:sz="4" w:space="0" w:color="auto"/>
              <w:bottom w:val="single" w:sz="4" w:space="0" w:color="auto"/>
              <w:right w:val="single" w:sz="4" w:space="0" w:color="auto"/>
            </w:tcBorders>
            <w:vAlign w:val="center"/>
            <w:hideMark/>
          </w:tcPr>
          <w:p w14:paraId="554BF352"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tcPr>
          <w:p w14:paraId="5DC27604"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247" w:type="pct"/>
            <w:tcBorders>
              <w:top w:val="single" w:sz="4" w:space="0" w:color="auto"/>
              <w:left w:val="single" w:sz="4" w:space="0" w:color="auto"/>
              <w:bottom w:val="single" w:sz="4" w:space="0" w:color="auto"/>
              <w:right w:val="single" w:sz="4" w:space="0" w:color="auto"/>
            </w:tcBorders>
            <w:vAlign w:val="center"/>
          </w:tcPr>
          <w:p w14:paraId="08366082"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92101AB"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7249B790"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1114033B"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47CCA1E9"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106C3952"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22DFB1D1"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hideMark/>
          </w:tcPr>
          <w:p w14:paraId="7AB56D26"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tcPr>
          <w:p w14:paraId="1D293CEC" w14:textId="77777777" w:rsidR="008536EC" w:rsidRPr="004E13E9" w:rsidRDefault="008536EC" w:rsidP="00BB4F69">
            <w:pPr>
              <w:widowControl w:val="0"/>
              <w:jc w:val="center"/>
              <w:rPr>
                <w:rFonts w:eastAsia="Times New Roman" w:cs="Calibri"/>
                <w:color w:val="000000"/>
                <w:sz w:val="16"/>
                <w:szCs w:val="16"/>
                <w:lang w:eastAsia="ja-JP" w:bidi="fr-FR"/>
              </w:rPr>
            </w:pPr>
          </w:p>
        </w:tc>
      </w:tr>
      <w:tr w:rsidR="008536EC" w:rsidRPr="004E13E9" w14:paraId="0B839E17"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noWrap/>
            <w:vAlign w:val="center"/>
            <w:hideMark/>
          </w:tcPr>
          <w:p w14:paraId="3C6C07DF" w14:textId="77777777" w:rsidR="008536EC" w:rsidRPr="004E13E9" w:rsidRDefault="008536EC" w:rsidP="00BB4F69">
            <w:pPr>
              <w:widowControl w:val="0"/>
              <w:jc w:val="both"/>
              <w:rPr>
                <w:rFonts w:eastAsia="Times New Roman" w:cs="Calibri"/>
                <w:color w:val="000000"/>
                <w:sz w:val="16"/>
                <w:szCs w:val="16"/>
                <w:lang w:eastAsia="fr-FR" w:bidi="fr-FR"/>
              </w:rPr>
            </w:pPr>
            <w:proofErr w:type="spellStart"/>
            <w:r w:rsidRPr="004E13E9">
              <w:rPr>
                <w:rFonts w:eastAsia="MS Gothic" w:cs="Times New Roman"/>
                <w:color w:val="000000"/>
                <w:sz w:val="16"/>
                <w:szCs w:val="24"/>
                <w:lang w:eastAsia="fr-FR" w:bidi="fr-FR"/>
              </w:rPr>
              <w:t>Senneur</w:t>
            </w:r>
            <w:proofErr w:type="spellEnd"/>
            <w:r w:rsidRPr="004E13E9">
              <w:rPr>
                <w:rFonts w:eastAsia="MS Gothic" w:cs="Times New Roman"/>
                <w:color w:val="000000"/>
                <w:sz w:val="16"/>
                <w:szCs w:val="24"/>
                <w:lang w:eastAsia="fr-FR" w:bidi="fr-FR"/>
              </w:rPr>
              <w:t xml:space="preserve"> entre 24 et 40 m</w:t>
            </w:r>
          </w:p>
        </w:tc>
        <w:tc>
          <w:tcPr>
            <w:tcW w:w="566" w:type="pct"/>
            <w:tcBorders>
              <w:top w:val="single" w:sz="4" w:space="0" w:color="auto"/>
              <w:left w:val="single" w:sz="4" w:space="0" w:color="auto"/>
              <w:bottom w:val="single" w:sz="4" w:space="0" w:color="auto"/>
              <w:right w:val="single" w:sz="4" w:space="0" w:color="auto"/>
            </w:tcBorders>
            <w:noWrap/>
            <w:vAlign w:val="center"/>
            <w:hideMark/>
          </w:tcPr>
          <w:p w14:paraId="1776C66A"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49,78</w:t>
            </w:r>
          </w:p>
        </w:tc>
        <w:tc>
          <w:tcPr>
            <w:tcW w:w="204" w:type="pct"/>
            <w:tcBorders>
              <w:top w:val="single" w:sz="4" w:space="0" w:color="auto"/>
              <w:left w:val="single" w:sz="4" w:space="0" w:color="auto"/>
              <w:bottom w:val="single" w:sz="4" w:space="0" w:color="auto"/>
              <w:right w:val="single" w:sz="4" w:space="0" w:color="auto"/>
            </w:tcBorders>
            <w:vAlign w:val="center"/>
            <w:hideMark/>
          </w:tcPr>
          <w:p w14:paraId="42A6802A"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088F92D1"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07002150"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1</w:t>
            </w:r>
          </w:p>
        </w:tc>
        <w:tc>
          <w:tcPr>
            <w:tcW w:w="257" w:type="pct"/>
            <w:tcBorders>
              <w:top w:val="single" w:sz="4" w:space="0" w:color="auto"/>
              <w:left w:val="single" w:sz="4" w:space="0" w:color="auto"/>
              <w:bottom w:val="single" w:sz="4" w:space="0" w:color="auto"/>
              <w:right w:val="single" w:sz="4" w:space="0" w:color="auto"/>
            </w:tcBorders>
            <w:vAlign w:val="center"/>
            <w:hideMark/>
          </w:tcPr>
          <w:p w14:paraId="2B0AB52F"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w:t>
            </w:r>
          </w:p>
        </w:tc>
        <w:tc>
          <w:tcPr>
            <w:tcW w:w="297" w:type="pct"/>
            <w:tcBorders>
              <w:top w:val="single" w:sz="4" w:space="0" w:color="auto"/>
              <w:left w:val="single" w:sz="4" w:space="0" w:color="auto"/>
              <w:bottom w:val="single" w:sz="4" w:space="0" w:color="auto"/>
              <w:right w:val="single" w:sz="4" w:space="0" w:color="auto"/>
            </w:tcBorders>
            <w:vAlign w:val="center"/>
            <w:hideMark/>
          </w:tcPr>
          <w:p w14:paraId="54D58B9D"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w:t>
            </w:r>
          </w:p>
        </w:tc>
        <w:tc>
          <w:tcPr>
            <w:tcW w:w="294" w:type="pct"/>
            <w:tcBorders>
              <w:top w:val="single" w:sz="4" w:space="0" w:color="auto"/>
              <w:left w:val="single" w:sz="4" w:space="0" w:color="auto"/>
              <w:bottom w:val="single" w:sz="4" w:space="0" w:color="auto"/>
              <w:right w:val="single" w:sz="4" w:space="0" w:color="auto"/>
            </w:tcBorders>
            <w:vAlign w:val="center"/>
            <w:hideMark/>
          </w:tcPr>
          <w:p w14:paraId="1F59E113"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w:t>
            </w:r>
          </w:p>
        </w:tc>
        <w:tc>
          <w:tcPr>
            <w:tcW w:w="247" w:type="pct"/>
            <w:tcBorders>
              <w:top w:val="single" w:sz="4" w:space="0" w:color="auto"/>
              <w:left w:val="single" w:sz="4" w:space="0" w:color="auto"/>
              <w:bottom w:val="single" w:sz="4" w:space="0" w:color="auto"/>
              <w:right w:val="single" w:sz="4" w:space="0" w:color="auto"/>
            </w:tcBorders>
            <w:vAlign w:val="center"/>
            <w:hideMark/>
          </w:tcPr>
          <w:p w14:paraId="561C63FA"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A345201"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643A9E38"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37D4AA7A"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749CE5E1"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49,78</w:t>
            </w:r>
          </w:p>
        </w:tc>
        <w:tc>
          <w:tcPr>
            <w:tcW w:w="260" w:type="pct"/>
            <w:tcBorders>
              <w:top w:val="single" w:sz="4" w:space="0" w:color="auto"/>
              <w:left w:val="single" w:sz="4" w:space="0" w:color="auto"/>
              <w:bottom w:val="single" w:sz="4" w:space="0" w:color="auto"/>
              <w:right w:val="single" w:sz="4" w:space="0" w:color="auto"/>
            </w:tcBorders>
            <w:vAlign w:val="center"/>
            <w:hideMark/>
          </w:tcPr>
          <w:p w14:paraId="422BE798"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99,56</w:t>
            </w:r>
          </w:p>
        </w:tc>
        <w:tc>
          <w:tcPr>
            <w:tcW w:w="260" w:type="pct"/>
            <w:tcBorders>
              <w:top w:val="single" w:sz="4" w:space="0" w:color="auto"/>
              <w:left w:val="single" w:sz="4" w:space="0" w:color="auto"/>
              <w:bottom w:val="single" w:sz="4" w:space="0" w:color="auto"/>
              <w:right w:val="single" w:sz="4" w:space="0" w:color="auto"/>
            </w:tcBorders>
            <w:vAlign w:val="center"/>
            <w:hideMark/>
          </w:tcPr>
          <w:p w14:paraId="296079A1"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99,56</w:t>
            </w:r>
          </w:p>
        </w:tc>
        <w:tc>
          <w:tcPr>
            <w:tcW w:w="294" w:type="pct"/>
            <w:tcBorders>
              <w:top w:val="single" w:sz="4" w:space="0" w:color="auto"/>
              <w:left w:val="single" w:sz="4" w:space="0" w:color="auto"/>
              <w:bottom w:val="single" w:sz="4" w:space="0" w:color="auto"/>
              <w:right w:val="single" w:sz="4" w:space="0" w:color="auto"/>
            </w:tcBorders>
            <w:vAlign w:val="center"/>
            <w:hideMark/>
          </w:tcPr>
          <w:p w14:paraId="7526CCEF"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99,56</w:t>
            </w:r>
          </w:p>
        </w:tc>
        <w:tc>
          <w:tcPr>
            <w:tcW w:w="260" w:type="pct"/>
            <w:tcBorders>
              <w:top w:val="single" w:sz="4" w:space="0" w:color="auto"/>
              <w:left w:val="single" w:sz="4" w:space="0" w:color="auto"/>
              <w:bottom w:val="single" w:sz="4" w:space="0" w:color="auto"/>
              <w:right w:val="single" w:sz="4" w:space="0" w:color="auto"/>
            </w:tcBorders>
            <w:vAlign w:val="center"/>
            <w:hideMark/>
          </w:tcPr>
          <w:p w14:paraId="6C90D68C"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99,56</w:t>
            </w:r>
          </w:p>
        </w:tc>
      </w:tr>
      <w:tr w:rsidR="008536EC" w:rsidRPr="004E13E9" w14:paraId="41BCD495"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noWrap/>
            <w:vAlign w:val="center"/>
            <w:hideMark/>
          </w:tcPr>
          <w:p w14:paraId="53549B1E" w14:textId="77777777" w:rsidR="008536EC" w:rsidRPr="004E13E9" w:rsidRDefault="008536EC" w:rsidP="00BB4F69">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Senneur de moins de 24m</w:t>
            </w:r>
          </w:p>
        </w:tc>
        <w:tc>
          <w:tcPr>
            <w:tcW w:w="566" w:type="pct"/>
            <w:tcBorders>
              <w:top w:val="single" w:sz="4" w:space="0" w:color="auto"/>
              <w:left w:val="single" w:sz="4" w:space="0" w:color="auto"/>
              <w:bottom w:val="single" w:sz="4" w:space="0" w:color="auto"/>
              <w:right w:val="single" w:sz="4" w:space="0" w:color="auto"/>
            </w:tcBorders>
            <w:noWrap/>
            <w:vAlign w:val="center"/>
            <w:hideMark/>
          </w:tcPr>
          <w:p w14:paraId="6FCFA1AA"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33,68</w:t>
            </w:r>
          </w:p>
        </w:tc>
        <w:tc>
          <w:tcPr>
            <w:tcW w:w="204" w:type="pct"/>
            <w:tcBorders>
              <w:top w:val="single" w:sz="4" w:space="0" w:color="auto"/>
              <w:left w:val="single" w:sz="4" w:space="0" w:color="auto"/>
              <w:bottom w:val="single" w:sz="4" w:space="0" w:color="auto"/>
              <w:right w:val="single" w:sz="4" w:space="0" w:color="auto"/>
            </w:tcBorders>
            <w:vAlign w:val="center"/>
            <w:hideMark/>
          </w:tcPr>
          <w:p w14:paraId="0B79F9D0"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61714833"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51EBA9BD"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57" w:type="pct"/>
            <w:tcBorders>
              <w:top w:val="single" w:sz="4" w:space="0" w:color="auto"/>
              <w:left w:val="single" w:sz="4" w:space="0" w:color="auto"/>
              <w:bottom w:val="single" w:sz="4" w:space="0" w:color="auto"/>
              <w:right w:val="single" w:sz="4" w:space="0" w:color="auto"/>
            </w:tcBorders>
            <w:vAlign w:val="center"/>
            <w:hideMark/>
          </w:tcPr>
          <w:p w14:paraId="58DB9000"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7A302FC1"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94" w:type="pct"/>
            <w:tcBorders>
              <w:top w:val="single" w:sz="4" w:space="0" w:color="auto"/>
              <w:left w:val="single" w:sz="4" w:space="0" w:color="auto"/>
              <w:bottom w:val="single" w:sz="4" w:space="0" w:color="auto"/>
              <w:right w:val="single" w:sz="4" w:space="0" w:color="auto"/>
            </w:tcBorders>
            <w:vAlign w:val="center"/>
            <w:hideMark/>
          </w:tcPr>
          <w:p w14:paraId="25A50490"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46ACCF1F"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E92A4B0"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0AC4D845"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3CA98AEF"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4F43D1AF"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60" w:type="pct"/>
            <w:tcBorders>
              <w:top w:val="single" w:sz="4" w:space="0" w:color="auto"/>
              <w:left w:val="single" w:sz="4" w:space="0" w:color="auto"/>
              <w:bottom w:val="single" w:sz="4" w:space="0" w:color="auto"/>
              <w:right w:val="single" w:sz="4" w:space="0" w:color="auto"/>
            </w:tcBorders>
            <w:vAlign w:val="center"/>
            <w:hideMark/>
          </w:tcPr>
          <w:p w14:paraId="77CFFEC3"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60" w:type="pct"/>
            <w:tcBorders>
              <w:top w:val="single" w:sz="4" w:space="0" w:color="auto"/>
              <w:left w:val="single" w:sz="4" w:space="0" w:color="auto"/>
              <w:bottom w:val="single" w:sz="4" w:space="0" w:color="auto"/>
              <w:right w:val="single" w:sz="4" w:space="0" w:color="auto"/>
            </w:tcBorders>
            <w:vAlign w:val="center"/>
            <w:hideMark/>
          </w:tcPr>
          <w:p w14:paraId="016D7707"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94" w:type="pct"/>
            <w:tcBorders>
              <w:top w:val="single" w:sz="4" w:space="0" w:color="auto"/>
              <w:left w:val="single" w:sz="4" w:space="0" w:color="auto"/>
              <w:bottom w:val="single" w:sz="4" w:space="0" w:color="auto"/>
              <w:right w:val="single" w:sz="4" w:space="0" w:color="auto"/>
            </w:tcBorders>
            <w:vAlign w:val="center"/>
            <w:hideMark/>
          </w:tcPr>
          <w:p w14:paraId="5F7C0881"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60" w:type="pct"/>
            <w:tcBorders>
              <w:top w:val="single" w:sz="4" w:space="0" w:color="auto"/>
              <w:left w:val="single" w:sz="4" w:space="0" w:color="auto"/>
              <w:bottom w:val="single" w:sz="4" w:space="0" w:color="auto"/>
              <w:right w:val="single" w:sz="4" w:space="0" w:color="auto"/>
            </w:tcBorders>
            <w:vAlign w:val="center"/>
            <w:hideMark/>
          </w:tcPr>
          <w:p w14:paraId="345F2936"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r>
      <w:tr w:rsidR="008536EC" w:rsidRPr="004E13E9" w14:paraId="6DBD9AA8"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noWrap/>
            <w:vAlign w:val="center"/>
            <w:hideMark/>
          </w:tcPr>
          <w:p w14:paraId="04343B6A" w14:textId="77777777" w:rsidR="008536EC" w:rsidRPr="004E13E9" w:rsidRDefault="008536EC" w:rsidP="00BB4F69">
            <w:pPr>
              <w:widowControl w:val="0"/>
              <w:jc w:val="both"/>
              <w:rPr>
                <w:rFonts w:eastAsia="Times New Roman" w:cs="Calibri"/>
                <w:b/>
                <w:bCs/>
                <w:color w:val="000000"/>
                <w:sz w:val="16"/>
                <w:szCs w:val="16"/>
                <w:lang w:eastAsia="fr-FR" w:bidi="fr-FR"/>
              </w:rPr>
            </w:pPr>
            <w:proofErr w:type="spellStart"/>
            <w:r w:rsidRPr="004E13E9">
              <w:rPr>
                <w:rFonts w:eastAsia="MS Gothic" w:cs="Times New Roman"/>
                <w:b/>
                <w:color w:val="000000"/>
                <w:sz w:val="16"/>
                <w:szCs w:val="24"/>
                <w:lang w:eastAsia="fr-FR" w:bidi="fr-FR"/>
              </w:rPr>
              <w:t>Flottille</w:t>
            </w:r>
            <w:proofErr w:type="spellEnd"/>
            <w:r w:rsidRPr="004E13E9">
              <w:rPr>
                <w:rFonts w:eastAsia="MS Gothic" w:cs="Times New Roman"/>
                <w:b/>
                <w:color w:val="000000"/>
                <w:sz w:val="16"/>
                <w:szCs w:val="24"/>
                <w:lang w:eastAsia="fr-FR" w:bidi="fr-FR"/>
              </w:rPr>
              <w:t xml:space="preserve"> </w:t>
            </w:r>
            <w:proofErr w:type="spellStart"/>
            <w:r w:rsidRPr="004E13E9">
              <w:rPr>
                <w:rFonts w:eastAsia="MS Gothic" w:cs="Times New Roman"/>
                <w:b/>
                <w:color w:val="000000"/>
                <w:sz w:val="16"/>
                <w:szCs w:val="24"/>
                <w:lang w:eastAsia="fr-FR" w:bidi="fr-FR"/>
              </w:rPr>
              <w:t>totale</w:t>
            </w:r>
            <w:proofErr w:type="spellEnd"/>
            <w:r w:rsidRPr="004E13E9">
              <w:rPr>
                <w:rFonts w:eastAsia="MS Gothic" w:cs="Times New Roman"/>
                <w:b/>
                <w:color w:val="000000"/>
                <w:sz w:val="16"/>
                <w:szCs w:val="24"/>
                <w:lang w:eastAsia="fr-FR" w:bidi="fr-FR"/>
              </w:rPr>
              <w:t xml:space="preserve"> de </w:t>
            </w:r>
            <w:proofErr w:type="spellStart"/>
            <w:r w:rsidRPr="004E13E9">
              <w:rPr>
                <w:rFonts w:eastAsia="MS Gothic" w:cs="Times New Roman"/>
                <w:b/>
                <w:color w:val="000000"/>
                <w:sz w:val="16"/>
                <w:szCs w:val="24"/>
                <w:lang w:eastAsia="fr-FR" w:bidi="fr-FR"/>
              </w:rPr>
              <w:t>senneurs</w:t>
            </w:r>
            <w:proofErr w:type="spellEnd"/>
          </w:p>
        </w:tc>
        <w:tc>
          <w:tcPr>
            <w:tcW w:w="566" w:type="pct"/>
            <w:tcBorders>
              <w:top w:val="single" w:sz="4" w:space="0" w:color="auto"/>
              <w:left w:val="single" w:sz="4" w:space="0" w:color="auto"/>
              <w:bottom w:val="single" w:sz="4" w:space="0" w:color="auto"/>
              <w:right w:val="single" w:sz="4" w:space="0" w:color="auto"/>
            </w:tcBorders>
            <w:noWrap/>
            <w:vAlign w:val="center"/>
            <w:hideMark/>
          </w:tcPr>
          <w:p w14:paraId="62D7F878" w14:textId="77777777" w:rsidR="008536EC" w:rsidRPr="004E13E9" w:rsidRDefault="008536EC" w:rsidP="00BB4F69">
            <w:pPr>
              <w:widowControl w:val="0"/>
              <w:jc w:val="both"/>
              <w:rPr>
                <w:rFonts w:eastAsia="Times New Roman" w:cs="Times New Roman"/>
                <w:color w:val="000000"/>
                <w:sz w:val="16"/>
                <w:szCs w:val="16"/>
                <w:lang w:eastAsia="fr-FR" w:bidi="fr-FR"/>
              </w:rPr>
            </w:pPr>
            <w:r w:rsidRPr="004E13E9">
              <w:rPr>
                <w:rFonts w:eastAsia="MS Gothic" w:cs="Times New Roman"/>
                <w:color w:val="000000"/>
                <w:sz w:val="16"/>
                <w:szCs w:val="24"/>
                <w:lang w:eastAsia="fr-FR" w:bidi="fr-FR"/>
              </w:rPr>
              <w:t> </w:t>
            </w:r>
          </w:p>
        </w:tc>
        <w:tc>
          <w:tcPr>
            <w:tcW w:w="204" w:type="pct"/>
            <w:tcBorders>
              <w:top w:val="single" w:sz="4" w:space="0" w:color="auto"/>
              <w:left w:val="single" w:sz="4" w:space="0" w:color="auto"/>
              <w:bottom w:val="single" w:sz="4" w:space="0" w:color="auto"/>
              <w:right w:val="single" w:sz="4" w:space="0" w:color="auto"/>
            </w:tcBorders>
            <w:vAlign w:val="center"/>
            <w:hideMark/>
          </w:tcPr>
          <w:p w14:paraId="1263FED2"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21336EFF"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4D35E2A9"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1</w:t>
            </w:r>
          </w:p>
        </w:tc>
        <w:tc>
          <w:tcPr>
            <w:tcW w:w="257" w:type="pct"/>
            <w:tcBorders>
              <w:top w:val="single" w:sz="4" w:space="0" w:color="auto"/>
              <w:left w:val="single" w:sz="4" w:space="0" w:color="auto"/>
              <w:bottom w:val="single" w:sz="4" w:space="0" w:color="auto"/>
              <w:right w:val="single" w:sz="4" w:space="0" w:color="auto"/>
            </w:tcBorders>
            <w:vAlign w:val="center"/>
            <w:hideMark/>
          </w:tcPr>
          <w:p w14:paraId="274545D0"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2</w:t>
            </w:r>
          </w:p>
        </w:tc>
        <w:tc>
          <w:tcPr>
            <w:tcW w:w="297" w:type="pct"/>
            <w:tcBorders>
              <w:top w:val="single" w:sz="4" w:space="0" w:color="auto"/>
              <w:left w:val="single" w:sz="4" w:space="0" w:color="auto"/>
              <w:bottom w:val="single" w:sz="4" w:space="0" w:color="auto"/>
              <w:right w:val="single" w:sz="4" w:space="0" w:color="auto"/>
            </w:tcBorders>
            <w:vAlign w:val="center"/>
            <w:hideMark/>
          </w:tcPr>
          <w:p w14:paraId="2793FCED"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2</w:t>
            </w:r>
          </w:p>
        </w:tc>
        <w:tc>
          <w:tcPr>
            <w:tcW w:w="294" w:type="pct"/>
            <w:tcBorders>
              <w:top w:val="single" w:sz="4" w:space="0" w:color="auto"/>
              <w:left w:val="single" w:sz="4" w:space="0" w:color="auto"/>
              <w:bottom w:val="single" w:sz="4" w:space="0" w:color="auto"/>
              <w:right w:val="single" w:sz="4" w:space="0" w:color="auto"/>
            </w:tcBorders>
            <w:vAlign w:val="center"/>
            <w:hideMark/>
          </w:tcPr>
          <w:p w14:paraId="735AEB0F"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2</w:t>
            </w:r>
          </w:p>
        </w:tc>
        <w:tc>
          <w:tcPr>
            <w:tcW w:w="247" w:type="pct"/>
            <w:tcBorders>
              <w:top w:val="single" w:sz="4" w:space="0" w:color="auto"/>
              <w:left w:val="single" w:sz="4" w:space="0" w:color="auto"/>
              <w:bottom w:val="single" w:sz="4" w:space="0" w:color="auto"/>
              <w:right w:val="single" w:sz="4" w:space="0" w:color="auto"/>
            </w:tcBorders>
            <w:vAlign w:val="center"/>
            <w:hideMark/>
          </w:tcPr>
          <w:p w14:paraId="01F88BEC"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71C9EBF"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6002E033"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695FFB10"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222F7C4A"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49,78</w:t>
            </w:r>
          </w:p>
        </w:tc>
        <w:tc>
          <w:tcPr>
            <w:tcW w:w="260" w:type="pct"/>
            <w:tcBorders>
              <w:top w:val="single" w:sz="4" w:space="0" w:color="auto"/>
              <w:left w:val="single" w:sz="4" w:space="0" w:color="auto"/>
              <w:bottom w:val="single" w:sz="4" w:space="0" w:color="auto"/>
              <w:right w:val="single" w:sz="4" w:space="0" w:color="auto"/>
            </w:tcBorders>
            <w:vAlign w:val="center"/>
            <w:hideMark/>
          </w:tcPr>
          <w:p w14:paraId="12BFF6CE"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99,56</w:t>
            </w:r>
          </w:p>
        </w:tc>
        <w:tc>
          <w:tcPr>
            <w:tcW w:w="260" w:type="pct"/>
            <w:tcBorders>
              <w:top w:val="single" w:sz="4" w:space="0" w:color="auto"/>
              <w:left w:val="single" w:sz="4" w:space="0" w:color="auto"/>
              <w:bottom w:val="single" w:sz="4" w:space="0" w:color="auto"/>
              <w:right w:val="single" w:sz="4" w:space="0" w:color="auto"/>
            </w:tcBorders>
            <w:vAlign w:val="center"/>
            <w:hideMark/>
          </w:tcPr>
          <w:p w14:paraId="696C0118"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99,56</w:t>
            </w:r>
          </w:p>
        </w:tc>
        <w:tc>
          <w:tcPr>
            <w:tcW w:w="294" w:type="pct"/>
            <w:tcBorders>
              <w:top w:val="single" w:sz="4" w:space="0" w:color="auto"/>
              <w:left w:val="single" w:sz="4" w:space="0" w:color="auto"/>
              <w:bottom w:val="single" w:sz="4" w:space="0" w:color="auto"/>
              <w:right w:val="single" w:sz="4" w:space="0" w:color="auto"/>
            </w:tcBorders>
            <w:vAlign w:val="center"/>
            <w:hideMark/>
          </w:tcPr>
          <w:p w14:paraId="6F72E1C3"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99,56</w:t>
            </w:r>
          </w:p>
        </w:tc>
        <w:tc>
          <w:tcPr>
            <w:tcW w:w="260" w:type="pct"/>
            <w:tcBorders>
              <w:top w:val="single" w:sz="4" w:space="0" w:color="auto"/>
              <w:left w:val="single" w:sz="4" w:space="0" w:color="auto"/>
              <w:bottom w:val="single" w:sz="4" w:space="0" w:color="auto"/>
              <w:right w:val="single" w:sz="4" w:space="0" w:color="auto"/>
            </w:tcBorders>
            <w:vAlign w:val="center"/>
            <w:hideMark/>
          </w:tcPr>
          <w:p w14:paraId="254BF332"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99,56</w:t>
            </w:r>
          </w:p>
        </w:tc>
      </w:tr>
      <w:tr w:rsidR="008536EC" w:rsidRPr="004E13E9" w14:paraId="114B32FA"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noWrap/>
            <w:vAlign w:val="center"/>
            <w:hideMark/>
          </w:tcPr>
          <w:p w14:paraId="1DE3028A" w14:textId="77777777" w:rsidR="008536EC" w:rsidRPr="004E13E9" w:rsidRDefault="008536EC" w:rsidP="00BB4F69">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Palangrier de plus de 40 m</w:t>
            </w:r>
          </w:p>
        </w:tc>
        <w:tc>
          <w:tcPr>
            <w:tcW w:w="566" w:type="pct"/>
            <w:tcBorders>
              <w:top w:val="single" w:sz="4" w:space="0" w:color="auto"/>
              <w:left w:val="single" w:sz="4" w:space="0" w:color="auto"/>
              <w:bottom w:val="single" w:sz="4" w:space="0" w:color="auto"/>
              <w:right w:val="single" w:sz="4" w:space="0" w:color="auto"/>
            </w:tcBorders>
            <w:noWrap/>
            <w:vAlign w:val="center"/>
            <w:hideMark/>
          </w:tcPr>
          <w:p w14:paraId="28E52401"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25</w:t>
            </w:r>
          </w:p>
        </w:tc>
        <w:tc>
          <w:tcPr>
            <w:tcW w:w="204" w:type="pct"/>
            <w:tcBorders>
              <w:top w:val="single" w:sz="4" w:space="0" w:color="auto"/>
              <w:left w:val="single" w:sz="4" w:space="0" w:color="auto"/>
              <w:bottom w:val="single" w:sz="4" w:space="0" w:color="auto"/>
              <w:right w:val="single" w:sz="4" w:space="0" w:color="auto"/>
            </w:tcBorders>
            <w:vAlign w:val="center"/>
            <w:hideMark/>
          </w:tcPr>
          <w:p w14:paraId="79A2F2DB"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7B4BBA1C"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232FBC6F"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57" w:type="pct"/>
            <w:tcBorders>
              <w:top w:val="single" w:sz="4" w:space="0" w:color="auto"/>
              <w:left w:val="single" w:sz="4" w:space="0" w:color="auto"/>
              <w:bottom w:val="single" w:sz="4" w:space="0" w:color="auto"/>
              <w:right w:val="single" w:sz="4" w:space="0" w:color="auto"/>
            </w:tcBorders>
            <w:vAlign w:val="center"/>
            <w:hideMark/>
          </w:tcPr>
          <w:p w14:paraId="795CB654"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7" w:type="pct"/>
            <w:tcBorders>
              <w:top w:val="single" w:sz="4" w:space="0" w:color="auto"/>
              <w:left w:val="single" w:sz="4" w:space="0" w:color="auto"/>
              <w:bottom w:val="single" w:sz="4" w:space="0" w:color="auto"/>
              <w:right w:val="single" w:sz="4" w:space="0" w:color="auto"/>
            </w:tcBorders>
            <w:vAlign w:val="center"/>
            <w:hideMark/>
          </w:tcPr>
          <w:p w14:paraId="74CBA3B5"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tcPr>
          <w:p w14:paraId="435445DF"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247" w:type="pct"/>
            <w:tcBorders>
              <w:top w:val="single" w:sz="4" w:space="0" w:color="auto"/>
              <w:left w:val="single" w:sz="4" w:space="0" w:color="auto"/>
              <w:bottom w:val="single" w:sz="4" w:space="0" w:color="auto"/>
              <w:right w:val="single" w:sz="4" w:space="0" w:color="auto"/>
            </w:tcBorders>
            <w:vAlign w:val="center"/>
          </w:tcPr>
          <w:p w14:paraId="1309643D"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A574509"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3100520C"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74585FC9"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7D5FA285"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58EAB5EF"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3F528823"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hideMark/>
          </w:tcPr>
          <w:p w14:paraId="5C3D7949"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tcPr>
          <w:p w14:paraId="3D62C5CE" w14:textId="77777777" w:rsidR="008536EC" w:rsidRPr="004E13E9" w:rsidRDefault="008536EC" w:rsidP="00BB4F69">
            <w:pPr>
              <w:widowControl w:val="0"/>
              <w:jc w:val="center"/>
              <w:rPr>
                <w:rFonts w:eastAsia="Times New Roman" w:cs="Calibri"/>
                <w:color w:val="000000"/>
                <w:sz w:val="16"/>
                <w:szCs w:val="16"/>
                <w:lang w:eastAsia="ja-JP" w:bidi="fr-FR"/>
              </w:rPr>
            </w:pPr>
          </w:p>
        </w:tc>
      </w:tr>
      <w:tr w:rsidR="008536EC" w:rsidRPr="004E13E9" w14:paraId="4BE3B8C2"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noWrap/>
            <w:vAlign w:val="center"/>
            <w:hideMark/>
          </w:tcPr>
          <w:p w14:paraId="0CEF4AB5" w14:textId="77777777" w:rsidR="008536EC" w:rsidRPr="004E13E9" w:rsidRDefault="008536EC" w:rsidP="00BB4F69">
            <w:pPr>
              <w:widowControl w:val="0"/>
              <w:jc w:val="both"/>
              <w:rPr>
                <w:rFonts w:eastAsia="Times New Roman" w:cs="Calibri"/>
                <w:color w:val="000000"/>
                <w:sz w:val="16"/>
                <w:szCs w:val="16"/>
                <w:lang w:eastAsia="fr-FR" w:bidi="fr-FR"/>
              </w:rPr>
            </w:pPr>
            <w:proofErr w:type="spellStart"/>
            <w:r w:rsidRPr="004E13E9">
              <w:rPr>
                <w:rFonts w:eastAsia="MS Gothic" w:cs="Times New Roman"/>
                <w:color w:val="000000"/>
                <w:sz w:val="16"/>
                <w:szCs w:val="24"/>
                <w:lang w:eastAsia="fr-FR" w:bidi="fr-FR"/>
              </w:rPr>
              <w:t>Palangrier</w:t>
            </w:r>
            <w:proofErr w:type="spellEnd"/>
            <w:r w:rsidRPr="004E13E9">
              <w:rPr>
                <w:rFonts w:eastAsia="MS Gothic" w:cs="Times New Roman"/>
                <w:color w:val="000000"/>
                <w:sz w:val="16"/>
                <w:szCs w:val="24"/>
                <w:lang w:eastAsia="fr-FR" w:bidi="fr-FR"/>
              </w:rPr>
              <w:t xml:space="preserve"> entre 24 et 40 m</w:t>
            </w:r>
          </w:p>
        </w:tc>
        <w:tc>
          <w:tcPr>
            <w:tcW w:w="566" w:type="pct"/>
            <w:tcBorders>
              <w:top w:val="single" w:sz="4" w:space="0" w:color="auto"/>
              <w:left w:val="single" w:sz="4" w:space="0" w:color="auto"/>
              <w:bottom w:val="single" w:sz="4" w:space="0" w:color="auto"/>
              <w:right w:val="single" w:sz="4" w:space="0" w:color="auto"/>
            </w:tcBorders>
            <w:noWrap/>
            <w:vAlign w:val="center"/>
            <w:hideMark/>
          </w:tcPr>
          <w:p w14:paraId="5311C9D6"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5,68</w:t>
            </w:r>
          </w:p>
        </w:tc>
        <w:tc>
          <w:tcPr>
            <w:tcW w:w="204" w:type="pct"/>
            <w:tcBorders>
              <w:top w:val="single" w:sz="4" w:space="0" w:color="auto"/>
              <w:left w:val="single" w:sz="4" w:space="0" w:color="auto"/>
              <w:bottom w:val="single" w:sz="4" w:space="0" w:color="auto"/>
              <w:right w:val="single" w:sz="4" w:space="0" w:color="auto"/>
            </w:tcBorders>
            <w:vAlign w:val="center"/>
            <w:hideMark/>
          </w:tcPr>
          <w:p w14:paraId="6C78E68A"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75312721"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79B70583"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57" w:type="pct"/>
            <w:tcBorders>
              <w:top w:val="single" w:sz="4" w:space="0" w:color="auto"/>
              <w:left w:val="single" w:sz="4" w:space="0" w:color="auto"/>
              <w:bottom w:val="single" w:sz="4" w:space="0" w:color="auto"/>
              <w:right w:val="single" w:sz="4" w:space="0" w:color="auto"/>
            </w:tcBorders>
            <w:vAlign w:val="center"/>
            <w:hideMark/>
          </w:tcPr>
          <w:p w14:paraId="7D5B5B69"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7" w:type="pct"/>
            <w:tcBorders>
              <w:top w:val="single" w:sz="4" w:space="0" w:color="auto"/>
              <w:left w:val="single" w:sz="4" w:space="0" w:color="auto"/>
              <w:bottom w:val="single" w:sz="4" w:space="0" w:color="auto"/>
              <w:right w:val="single" w:sz="4" w:space="0" w:color="auto"/>
            </w:tcBorders>
            <w:vAlign w:val="center"/>
            <w:hideMark/>
          </w:tcPr>
          <w:p w14:paraId="34CECFD8"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tcPr>
          <w:p w14:paraId="7D085F51"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247" w:type="pct"/>
            <w:tcBorders>
              <w:top w:val="single" w:sz="4" w:space="0" w:color="auto"/>
              <w:left w:val="single" w:sz="4" w:space="0" w:color="auto"/>
              <w:bottom w:val="single" w:sz="4" w:space="0" w:color="auto"/>
              <w:right w:val="single" w:sz="4" w:space="0" w:color="auto"/>
            </w:tcBorders>
            <w:vAlign w:val="center"/>
          </w:tcPr>
          <w:p w14:paraId="453D9C10"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798F28B"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719DAB70"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48C6EBF0"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12562098"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0D2D28DC"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188537E5"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hideMark/>
          </w:tcPr>
          <w:p w14:paraId="49BE19F7"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tcPr>
          <w:p w14:paraId="1CF70767" w14:textId="77777777" w:rsidR="008536EC" w:rsidRPr="004E13E9" w:rsidRDefault="008536EC" w:rsidP="00BB4F69">
            <w:pPr>
              <w:widowControl w:val="0"/>
              <w:jc w:val="center"/>
              <w:rPr>
                <w:rFonts w:eastAsia="Times New Roman" w:cs="Calibri"/>
                <w:color w:val="000000"/>
                <w:sz w:val="16"/>
                <w:szCs w:val="16"/>
                <w:lang w:eastAsia="ja-JP" w:bidi="fr-FR"/>
              </w:rPr>
            </w:pPr>
          </w:p>
        </w:tc>
      </w:tr>
      <w:tr w:rsidR="008536EC" w:rsidRPr="004E13E9" w14:paraId="4906B314"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noWrap/>
            <w:vAlign w:val="center"/>
            <w:hideMark/>
          </w:tcPr>
          <w:p w14:paraId="7A33C91C" w14:textId="77777777" w:rsidR="008536EC" w:rsidRPr="004E13E9" w:rsidRDefault="008536EC" w:rsidP="00BB4F69">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Palangrier de moins de 24m</w:t>
            </w:r>
          </w:p>
        </w:tc>
        <w:tc>
          <w:tcPr>
            <w:tcW w:w="566" w:type="pct"/>
            <w:tcBorders>
              <w:top w:val="single" w:sz="4" w:space="0" w:color="auto"/>
              <w:left w:val="single" w:sz="4" w:space="0" w:color="auto"/>
              <w:bottom w:val="single" w:sz="4" w:space="0" w:color="auto"/>
              <w:right w:val="single" w:sz="4" w:space="0" w:color="auto"/>
            </w:tcBorders>
            <w:noWrap/>
            <w:vAlign w:val="center"/>
            <w:hideMark/>
          </w:tcPr>
          <w:p w14:paraId="2FB720D2"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w:t>
            </w:r>
          </w:p>
        </w:tc>
        <w:tc>
          <w:tcPr>
            <w:tcW w:w="204" w:type="pct"/>
            <w:tcBorders>
              <w:top w:val="single" w:sz="4" w:space="0" w:color="auto"/>
              <w:left w:val="single" w:sz="4" w:space="0" w:color="auto"/>
              <w:bottom w:val="single" w:sz="4" w:space="0" w:color="auto"/>
              <w:right w:val="single" w:sz="4" w:space="0" w:color="auto"/>
            </w:tcBorders>
            <w:vAlign w:val="center"/>
            <w:hideMark/>
          </w:tcPr>
          <w:p w14:paraId="1F72F6A0"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186C25E7"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07F6D73A"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57" w:type="pct"/>
            <w:tcBorders>
              <w:top w:val="single" w:sz="4" w:space="0" w:color="auto"/>
              <w:left w:val="single" w:sz="4" w:space="0" w:color="auto"/>
              <w:bottom w:val="single" w:sz="4" w:space="0" w:color="auto"/>
              <w:right w:val="single" w:sz="4" w:space="0" w:color="auto"/>
            </w:tcBorders>
            <w:vAlign w:val="center"/>
            <w:hideMark/>
          </w:tcPr>
          <w:p w14:paraId="23AB8A6A"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7" w:type="pct"/>
            <w:tcBorders>
              <w:top w:val="single" w:sz="4" w:space="0" w:color="auto"/>
              <w:left w:val="single" w:sz="4" w:space="0" w:color="auto"/>
              <w:bottom w:val="single" w:sz="4" w:space="0" w:color="auto"/>
              <w:right w:val="single" w:sz="4" w:space="0" w:color="auto"/>
            </w:tcBorders>
            <w:vAlign w:val="center"/>
            <w:hideMark/>
          </w:tcPr>
          <w:p w14:paraId="06E9BCC8"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tcPr>
          <w:p w14:paraId="4FFC07F1"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247" w:type="pct"/>
            <w:tcBorders>
              <w:top w:val="single" w:sz="4" w:space="0" w:color="auto"/>
              <w:left w:val="single" w:sz="4" w:space="0" w:color="auto"/>
              <w:bottom w:val="single" w:sz="4" w:space="0" w:color="auto"/>
              <w:right w:val="single" w:sz="4" w:space="0" w:color="auto"/>
            </w:tcBorders>
            <w:vAlign w:val="center"/>
          </w:tcPr>
          <w:p w14:paraId="12C986BD"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842C07F"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13DFBF0D"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09B11351"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693EC9BD"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28CE4428"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0C198CF9"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hideMark/>
          </w:tcPr>
          <w:p w14:paraId="4B41E926"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tcPr>
          <w:p w14:paraId="3A9A3597" w14:textId="77777777" w:rsidR="008536EC" w:rsidRPr="004E13E9" w:rsidRDefault="008536EC" w:rsidP="00BB4F69">
            <w:pPr>
              <w:widowControl w:val="0"/>
              <w:jc w:val="center"/>
              <w:rPr>
                <w:rFonts w:eastAsia="Times New Roman" w:cs="Calibri"/>
                <w:color w:val="000000"/>
                <w:sz w:val="16"/>
                <w:szCs w:val="16"/>
                <w:lang w:eastAsia="ja-JP" w:bidi="fr-FR"/>
              </w:rPr>
            </w:pPr>
          </w:p>
        </w:tc>
      </w:tr>
      <w:tr w:rsidR="008536EC" w:rsidRPr="004E13E9" w14:paraId="2F474591"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noWrap/>
            <w:vAlign w:val="center"/>
            <w:hideMark/>
          </w:tcPr>
          <w:p w14:paraId="2110DC36" w14:textId="77777777" w:rsidR="008536EC" w:rsidRPr="004E13E9" w:rsidRDefault="008536EC" w:rsidP="00BB4F69">
            <w:pPr>
              <w:widowControl w:val="0"/>
              <w:jc w:val="both"/>
              <w:rPr>
                <w:rFonts w:eastAsia="Times New Roman" w:cs="Calibri"/>
                <w:b/>
                <w:bCs/>
                <w:color w:val="000000"/>
                <w:sz w:val="16"/>
                <w:szCs w:val="16"/>
                <w:lang w:eastAsia="fr-FR" w:bidi="fr-FR"/>
              </w:rPr>
            </w:pPr>
            <w:proofErr w:type="spellStart"/>
            <w:r w:rsidRPr="004E13E9">
              <w:rPr>
                <w:rFonts w:eastAsia="MS Gothic" w:cs="Times New Roman"/>
                <w:b/>
                <w:color w:val="000000"/>
                <w:sz w:val="16"/>
                <w:szCs w:val="24"/>
                <w:lang w:eastAsia="fr-FR" w:bidi="fr-FR"/>
              </w:rPr>
              <w:t>Flottille</w:t>
            </w:r>
            <w:proofErr w:type="spellEnd"/>
            <w:r w:rsidRPr="004E13E9">
              <w:rPr>
                <w:rFonts w:eastAsia="MS Gothic" w:cs="Times New Roman"/>
                <w:b/>
                <w:color w:val="000000"/>
                <w:sz w:val="16"/>
                <w:szCs w:val="24"/>
                <w:lang w:eastAsia="fr-FR" w:bidi="fr-FR"/>
              </w:rPr>
              <w:t xml:space="preserve"> </w:t>
            </w:r>
            <w:proofErr w:type="spellStart"/>
            <w:r w:rsidRPr="004E13E9">
              <w:rPr>
                <w:rFonts w:eastAsia="MS Gothic" w:cs="Times New Roman"/>
                <w:b/>
                <w:color w:val="000000"/>
                <w:sz w:val="16"/>
                <w:szCs w:val="24"/>
                <w:lang w:eastAsia="fr-FR" w:bidi="fr-FR"/>
              </w:rPr>
              <w:t>totale</w:t>
            </w:r>
            <w:proofErr w:type="spellEnd"/>
            <w:r w:rsidRPr="004E13E9">
              <w:rPr>
                <w:rFonts w:eastAsia="MS Gothic" w:cs="Times New Roman"/>
                <w:b/>
                <w:color w:val="000000"/>
                <w:sz w:val="16"/>
                <w:szCs w:val="24"/>
                <w:lang w:eastAsia="fr-FR" w:bidi="fr-FR"/>
              </w:rPr>
              <w:t xml:space="preserve"> de </w:t>
            </w:r>
            <w:proofErr w:type="spellStart"/>
            <w:r w:rsidRPr="004E13E9">
              <w:rPr>
                <w:rFonts w:eastAsia="MS Gothic" w:cs="Times New Roman"/>
                <w:b/>
                <w:color w:val="000000"/>
                <w:sz w:val="16"/>
                <w:szCs w:val="24"/>
                <w:lang w:eastAsia="fr-FR" w:bidi="fr-FR"/>
              </w:rPr>
              <w:t>palangriers</w:t>
            </w:r>
            <w:proofErr w:type="spellEnd"/>
          </w:p>
        </w:tc>
        <w:tc>
          <w:tcPr>
            <w:tcW w:w="566" w:type="pct"/>
            <w:tcBorders>
              <w:top w:val="single" w:sz="4" w:space="0" w:color="auto"/>
              <w:left w:val="single" w:sz="4" w:space="0" w:color="auto"/>
              <w:bottom w:val="single" w:sz="4" w:space="0" w:color="auto"/>
              <w:right w:val="single" w:sz="4" w:space="0" w:color="auto"/>
            </w:tcBorders>
            <w:noWrap/>
            <w:vAlign w:val="center"/>
            <w:hideMark/>
          </w:tcPr>
          <w:p w14:paraId="1EDCC435" w14:textId="77777777" w:rsidR="008536EC" w:rsidRPr="004E13E9" w:rsidRDefault="008536EC" w:rsidP="00BB4F69">
            <w:pPr>
              <w:widowControl w:val="0"/>
              <w:jc w:val="both"/>
              <w:rPr>
                <w:rFonts w:eastAsia="Times New Roman" w:cs="Times New Roman"/>
                <w:color w:val="000000"/>
                <w:sz w:val="16"/>
                <w:szCs w:val="16"/>
                <w:lang w:eastAsia="fr-FR" w:bidi="fr-FR"/>
              </w:rPr>
            </w:pPr>
            <w:r w:rsidRPr="004E13E9">
              <w:rPr>
                <w:rFonts w:eastAsia="MS Gothic" w:cs="Times New Roman"/>
                <w:color w:val="000000"/>
                <w:sz w:val="16"/>
                <w:szCs w:val="24"/>
                <w:lang w:eastAsia="fr-FR" w:bidi="fr-FR"/>
              </w:rPr>
              <w:t> </w:t>
            </w:r>
          </w:p>
        </w:tc>
        <w:tc>
          <w:tcPr>
            <w:tcW w:w="204" w:type="pct"/>
            <w:tcBorders>
              <w:top w:val="single" w:sz="4" w:space="0" w:color="auto"/>
              <w:left w:val="single" w:sz="4" w:space="0" w:color="auto"/>
              <w:bottom w:val="single" w:sz="4" w:space="0" w:color="auto"/>
              <w:right w:val="single" w:sz="4" w:space="0" w:color="auto"/>
            </w:tcBorders>
            <w:vAlign w:val="center"/>
            <w:hideMark/>
          </w:tcPr>
          <w:p w14:paraId="165FEEC3"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79576995"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297A628E"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57" w:type="pct"/>
            <w:tcBorders>
              <w:top w:val="single" w:sz="4" w:space="0" w:color="auto"/>
              <w:left w:val="single" w:sz="4" w:space="0" w:color="auto"/>
              <w:bottom w:val="single" w:sz="4" w:space="0" w:color="auto"/>
              <w:right w:val="single" w:sz="4" w:space="0" w:color="auto"/>
            </w:tcBorders>
            <w:vAlign w:val="center"/>
            <w:hideMark/>
          </w:tcPr>
          <w:p w14:paraId="5723AAF1"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97" w:type="pct"/>
            <w:tcBorders>
              <w:top w:val="single" w:sz="4" w:space="0" w:color="auto"/>
              <w:left w:val="single" w:sz="4" w:space="0" w:color="auto"/>
              <w:bottom w:val="single" w:sz="4" w:space="0" w:color="auto"/>
              <w:right w:val="single" w:sz="4" w:space="0" w:color="auto"/>
            </w:tcBorders>
            <w:vAlign w:val="center"/>
            <w:hideMark/>
          </w:tcPr>
          <w:p w14:paraId="0E61B2B9"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tcPr>
          <w:p w14:paraId="55122E82"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47" w:type="pct"/>
            <w:tcBorders>
              <w:top w:val="single" w:sz="4" w:space="0" w:color="auto"/>
              <w:left w:val="single" w:sz="4" w:space="0" w:color="auto"/>
              <w:bottom w:val="single" w:sz="4" w:space="0" w:color="auto"/>
              <w:right w:val="single" w:sz="4" w:space="0" w:color="auto"/>
            </w:tcBorders>
            <w:vAlign w:val="center"/>
          </w:tcPr>
          <w:p w14:paraId="358F201F"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ED01882"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20490580"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2C64C3E9"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30BC9544"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4DB72074"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0564D850"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hideMark/>
          </w:tcPr>
          <w:p w14:paraId="08CB2432"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tcPr>
          <w:p w14:paraId="74384F4D" w14:textId="77777777" w:rsidR="008536EC" w:rsidRPr="004E13E9" w:rsidRDefault="008536EC" w:rsidP="00BB4F69">
            <w:pPr>
              <w:widowControl w:val="0"/>
              <w:jc w:val="center"/>
              <w:rPr>
                <w:rFonts w:eastAsia="Times New Roman" w:cs="Calibri"/>
                <w:b/>
                <w:bCs/>
                <w:color w:val="000000"/>
                <w:sz w:val="16"/>
                <w:szCs w:val="16"/>
                <w:lang w:eastAsia="ja-JP" w:bidi="fr-FR"/>
              </w:rPr>
            </w:pPr>
          </w:p>
        </w:tc>
      </w:tr>
      <w:tr w:rsidR="008536EC" w:rsidRPr="004E13E9" w14:paraId="515208BE"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noWrap/>
            <w:vAlign w:val="center"/>
            <w:hideMark/>
          </w:tcPr>
          <w:p w14:paraId="5C44AA9C" w14:textId="77777777" w:rsidR="008536EC" w:rsidRPr="004E13E9" w:rsidRDefault="008536EC" w:rsidP="00BB4F69">
            <w:pPr>
              <w:widowControl w:val="0"/>
              <w:jc w:val="both"/>
              <w:rPr>
                <w:rFonts w:eastAsia="Times New Roman" w:cs="Calibri"/>
                <w:color w:val="000000"/>
                <w:sz w:val="16"/>
                <w:szCs w:val="16"/>
                <w:lang w:eastAsia="fr-FR" w:bidi="fr-FR"/>
              </w:rPr>
            </w:pPr>
            <w:proofErr w:type="spellStart"/>
            <w:r w:rsidRPr="004E13E9">
              <w:rPr>
                <w:rFonts w:eastAsia="MS Gothic" w:cs="Times New Roman"/>
                <w:color w:val="000000"/>
                <w:sz w:val="16"/>
                <w:szCs w:val="24"/>
                <w:lang w:eastAsia="fr-FR" w:bidi="fr-FR"/>
              </w:rPr>
              <w:t>Canneur</w:t>
            </w:r>
            <w:proofErr w:type="spellEnd"/>
          </w:p>
        </w:tc>
        <w:tc>
          <w:tcPr>
            <w:tcW w:w="566" w:type="pct"/>
            <w:tcBorders>
              <w:top w:val="single" w:sz="4" w:space="0" w:color="auto"/>
              <w:left w:val="single" w:sz="4" w:space="0" w:color="auto"/>
              <w:bottom w:val="single" w:sz="4" w:space="0" w:color="auto"/>
              <w:right w:val="single" w:sz="4" w:space="0" w:color="auto"/>
            </w:tcBorders>
            <w:noWrap/>
            <w:vAlign w:val="center"/>
            <w:hideMark/>
          </w:tcPr>
          <w:p w14:paraId="515201D4"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19,75</w:t>
            </w:r>
          </w:p>
        </w:tc>
        <w:tc>
          <w:tcPr>
            <w:tcW w:w="204" w:type="pct"/>
            <w:tcBorders>
              <w:top w:val="single" w:sz="4" w:space="0" w:color="auto"/>
              <w:left w:val="single" w:sz="4" w:space="0" w:color="auto"/>
              <w:bottom w:val="single" w:sz="4" w:space="0" w:color="auto"/>
              <w:right w:val="single" w:sz="4" w:space="0" w:color="auto"/>
            </w:tcBorders>
            <w:vAlign w:val="center"/>
            <w:hideMark/>
          </w:tcPr>
          <w:p w14:paraId="521D1614"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40E4E4F7"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2830C08F"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57" w:type="pct"/>
            <w:tcBorders>
              <w:top w:val="single" w:sz="4" w:space="0" w:color="auto"/>
              <w:left w:val="single" w:sz="4" w:space="0" w:color="auto"/>
              <w:bottom w:val="single" w:sz="4" w:space="0" w:color="auto"/>
              <w:right w:val="single" w:sz="4" w:space="0" w:color="auto"/>
            </w:tcBorders>
            <w:vAlign w:val="center"/>
            <w:hideMark/>
          </w:tcPr>
          <w:p w14:paraId="7157E5D8"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97" w:type="pct"/>
            <w:tcBorders>
              <w:top w:val="single" w:sz="4" w:space="0" w:color="auto"/>
              <w:left w:val="single" w:sz="4" w:space="0" w:color="auto"/>
              <w:bottom w:val="single" w:sz="4" w:space="0" w:color="auto"/>
              <w:right w:val="single" w:sz="4" w:space="0" w:color="auto"/>
            </w:tcBorders>
            <w:vAlign w:val="center"/>
            <w:hideMark/>
          </w:tcPr>
          <w:p w14:paraId="54197CA3"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tcPr>
          <w:p w14:paraId="70CF6C14"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47" w:type="pct"/>
            <w:tcBorders>
              <w:top w:val="single" w:sz="4" w:space="0" w:color="auto"/>
              <w:left w:val="single" w:sz="4" w:space="0" w:color="auto"/>
              <w:bottom w:val="single" w:sz="4" w:space="0" w:color="auto"/>
              <w:right w:val="single" w:sz="4" w:space="0" w:color="auto"/>
            </w:tcBorders>
            <w:vAlign w:val="center"/>
          </w:tcPr>
          <w:p w14:paraId="60722690"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63E405A"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6D376E98"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029ABC60"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05396BCC"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06E91814"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374D6CC2"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hideMark/>
          </w:tcPr>
          <w:p w14:paraId="30520D39"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tcPr>
          <w:p w14:paraId="56D1FFE0" w14:textId="77777777" w:rsidR="008536EC" w:rsidRPr="004E13E9" w:rsidRDefault="008536EC" w:rsidP="00BB4F69">
            <w:pPr>
              <w:widowControl w:val="0"/>
              <w:jc w:val="center"/>
              <w:rPr>
                <w:rFonts w:eastAsia="Times New Roman" w:cs="Calibri"/>
                <w:b/>
                <w:bCs/>
                <w:color w:val="000000"/>
                <w:sz w:val="16"/>
                <w:szCs w:val="16"/>
                <w:lang w:eastAsia="ja-JP" w:bidi="fr-FR"/>
              </w:rPr>
            </w:pPr>
          </w:p>
        </w:tc>
      </w:tr>
      <w:tr w:rsidR="008536EC" w:rsidRPr="004E13E9" w14:paraId="28EB982B"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noWrap/>
            <w:vAlign w:val="center"/>
            <w:hideMark/>
          </w:tcPr>
          <w:p w14:paraId="53264F18" w14:textId="77777777" w:rsidR="008536EC" w:rsidRPr="004E13E9" w:rsidRDefault="008536EC" w:rsidP="00BB4F69">
            <w:pPr>
              <w:widowControl w:val="0"/>
              <w:jc w:val="both"/>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Ligne à main</w:t>
            </w:r>
          </w:p>
        </w:tc>
        <w:tc>
          <w:tcPr>
            <w:tcW w:w="566" w:type="pct"/>
            <w:tcBorders>
              <w:top w:val="single" w:sz="4" w:space="0" w:color="auto"/>
              <w:left w:val="single" w:sz="4" w:space="0" w:color="auto"/>
              <w:bottom w:val="single" w:sz="4" w:space="0" w:color="auto"/>
              <w:right w:val="single" w:sz="4" w:space="0" w:color="auto"/>
            </w:tcBorders>
            <w:noWrap/>
            <w:vAlign w:val="center"/>
            <w:hideMark/>
          </w:tcPr>
          <w:p w14:paraId="7FB51F09"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w:t>
            </w:r>
          </w:p>
        </w:tc>
        <w:tc>
          <w:tcPr>
            <w:tcW w:w="204" w:type="pct"/>
            <w:tcBorders>
              <w:top w:val="single" w:sz="4" w:space="0" w:color="auto"/>
              <w:left w:val="single" w:sz="4" w:space="0" w:color="auto"/>
              <w:bottom w:val="single" w:sz="4" w:space="0" w:color="auto"/>
              <w:right w:val="single" w:sz="4" w:space="0" w:color="auto"/>
            </w:tcBorders>
            <w:vAlign w:val="center"/>
            <w:hideMark/>
          </w:tcPr>
          <w:p w14:paraId="62749BDF"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2E8CA0BD"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63FF4D9F"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57" w:type="pct"/>
            <w:tcBorders>
              <w:top w:val="single" w:sz="4" w:space="0" w:color="auto"/>
              <w:left w:val="single" w:sz="4" w:space="0" w:color="auto"/>
              <w:bottom w:val="single" w:sz="4" w:space="0" w:color="auto"/>
              <w:right w:val="single" w:sz="4" w:space="0" w:color="auto"/>
            </w:tcBorders>
            <w:vAlign w:val="center"/>
            <w:hideMark/>
          </w:tcPr>
          <w:p w14:paraId="5451BA3B"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7" w:type="pct"/>
            <w:tcBorders>
              <w:top w:val="single" w:sz="4" w:space="0" w:color="auto"/>
              <w:left w:val="single" w:sz="4" w:space="0" w:color="auto"/>
              <w:bottom w:val="single" w:sz="4" w:space="0" w:color="auto"/>
              <w:right w:val="single" w:sz="4" w:space="0" w:color="auto"/>
            </w:tcBorders>
            <w:vAlign w:val="center"/>
            <w:hideMark/>
          </w:tcPr>
          <w:p w14:paraId="5E6251BB"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tcPr>
          <w:p w14:paraId="7CE66D23"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247" w:type="pct"/>
            <w:tcBorders>
              <w:top w:val="single" w:sz="4" w:space="0" w:color="auto"/>
              <w:left w:val="single" w:sz="4" w:space="0" w:color="auto"/>
              <w:bottom w:val="single" w:sz="4" w:space="0" w:color="auto"/>
              <w:right w:val="single" w:sz="4" w:space="0" w:color="auto"/>
            </w:tcBorders>
            <w:vAlign w:val="center"/>
          </w:tcPr>
          <w:p w14:paraId="2EF5E1BC"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9E1B341"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52A682CE"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58F4E988"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46AFF84C"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67D5590B"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7EC5E83D"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hideMark/>
          </w:tcPr>
          <w:p w14:paraId="096B65EC"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tcPr>
          <w:p w14:paraId="7831C8A7" w14:textId="77777777" w:rsidR="008536EC" w:rsidRPr="004E13E9" w:rsidRDefault="008536EC" w:rsidP="00BB4F69">
            <w:pPr>
              <w:widowControl w:val="0"/>
              <w:jc w:val="center"/>
              <w:rPr>
                <w:rFonts w:eastAsia="Times New Roman" w:cs="Calibri"/>
                <w:color w:val="000000"/>
                <w:sz w:val="16"/>
                <w:szCs w:val="16"/>
                <w:lang w:eastAsia="ja-JP" w:bidi="fr-FR"/>
              </w:rPr>
            </w:pPr>
          </w:p>
        </w:tc>
      </w:tr>
      <w:tr w:rsidR="008536EC" w:rsidRPr="004E13E9" w14:paraId="36C5E9DA"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noWrap/>
            <w:vAlign w:val="center"/>
            <w:hideMark/>
          </w:tcPr>
          <w:p w14:paraId="713979DE" w14:textId="77777777" w:rsidR="008536EC" w:rsidRPr="004E13E9" w:rsidRDefault="008536EC" w:rsidP="00BB4F69">
            <w:pPr>
              <w:widowControl w:val="0"/>
              <w:jc w:val="both"/>
              <w:rPr>
                <w:rFonts w:eastAsia="Times New Roman" w:cs="Calibri"/>
                <w:color w:val="000000"/>
                <w:sz w:val="16"/>
                <w:szCs w:val="16"/>
                <w:lang w:eastAsia="fr-FR" w:bidi="fr-FR"/>
              </w:rPr>
            </w:pPr>
            <w:proofErr w:type="spellStart"/>
            <w:r w:rsidRPr="004E13E9">
              <w:rPr>
                <w:rFonts w:eastAsia="MS Gothic" w:cs="Times New Roman"/>
                <w:color w:val="000000"/>
                <w:sz w:val="16"/>
                <w:szCs w:val="24"/>
                <w:lang w:eastAsia="fr-FR" w:bidi="fr-FR"/>
              </w:rPr>
              <w:t>Chalutier</w:t>
            </w:r>
            <w:proofErr w:type="spellEnd"/>
          </w:p>
        </w:tc>
        <w:tc>
          <w:tcPr>
            <w:tcW w:w="566" w:type="pct"/>
            <w:tcBorders>
              <w:top w:val="single" w:sz="4" w:space="0" w:color="auto"/>
              <w:left w:val="single" w:sz="4" w:space="0" w:color="auto"/>
              <w:bottom w:val="single" w:sz="4" w:space="0" w:color="auto"/>
              <w:right w:val="single" w:sz="4" w:space="0" w:color="auto"/>
            </w:tcBorders>
            <w:noWrap/>
            <w:vAlign w:val="center"/>
            <w:hideMark/>
          </w:tcPr>
          <w:p w14:paraId="45052818"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10</w:t>
            </w:r>
          </w:p>
        </w:tc>
        <w:tc>
          <w:tcPr>
            <w:tcW w:w="204" w:type="pct"/>
            <w:tcBorders>
              <w:top w:val="single" w:sz="4" w:space="0" w:color="auto"/>
              <w:left w:val="single" w:sz="4" w:space="0" w:color="auto"/>
              <w:bottom w:val="single" w:sz="4" w:space="0" w:color="auto"/>
              <w:right w:val="single" w:sz="4" w:space="0" w:color="auto"/>
            </w:tcBorders>
            <w:vAlign w:val="center"/>
            <w:hideMark/>
          </w:tcPr>
          <w:p w14:paraId="71DFF0AA"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3720A2B1"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7A0E40BB"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57" w:type="pct"/>
            <w:tcBorders>
              <w:top w:val="single" w:sz="4" w:space="0" w:color="auto"/>
              <w:left w:val="single" w:sz="4" w:space="0" w:color="auto"/>
              <w:bottom w:val="single" w:sz="4" w:space="0" w:color="auto"/>
              <w:right w:val="single" w:sz="4" w:space="0" w:color="auto"/>
            </w:tcBorders>
            <w:vAlign w:val="center"/>
            <w:hideMark/>
          </w:tcPr>
          <w:p w14:paraId="0FD63D5F"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7" w:type="pct"/>
            <w:tcBorders>
              <w:top w:val="single" w:sz="4" w:space="0" w:color="auto"/>
              <w:left w:val="single" w:sz="4" w:space="0" w:color="auto"/>
              <w:bottom w:val="single" w:sz="4" w:space="0" w:color="auto"/>
              <w:right w:val="single" w:sz="4" w:space="0" w:color="auto"/>
            </w:tcBorders>
            <w:vAlign w:val="center"/>
            <w:hideMark/>
          </w:tcPr>
          <w:p w14:paraId="28FD2DAB"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tcPr>
          <w:p w14:paraId="13CDCFE4"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247" w:type="pct"/>
            <w:tcBorders>
              <w:top w:val="single" w:sz="4" w:space="0" w:color="auto"/>
              <w:left w:val="single" w:sz="4" w:space="0" w:color="auto"/>
              <w:bottom w:val="single" w:sz="4" w:space="0" w:color="auto"/>
              <w:right w:val="single" w:sz="4" w:space="0" w:color="auto"/>
            </w:tcBorders>
            <w:vAlign w:val="center"/>
          </w:tcPr>
          <w:p w14:paraId="59AD1E57"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171D881"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678BB217"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753C0567"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1AA83396"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41CFBC03"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596C939C"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hideMark/>
          </w:tcPr>
          <w:p w14:paraId="35679D51"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tcPr>
          <w:p w14:paraId="630AF781" w14:textId="77777777" w:rsidR="008536EC" w:rsidRPr="004E13E9" w:rsidRDefault="008536EC" w:rsidP="00BB4F69">
            <w:pPr>
              <w:widowControl w:val="0"/>
              <w:jc w:val="center"/>
              <w:rPr>
                <w:rFonts w:eastAsia="Times New Roman" w:cs="Calibri"/>
                <w:color w:val="000000"/>
                <w:sz w:val="16"/>
                <w:szCs w:val="16"/>
                <w:lang w:eastAsia="ja-JP" w:bidi="fr-FR"/>
              </w:rPr>
            </w:pPr>
          </w:p>
        </w:tc>
      </w:tr>
      <w:tr w:rsidR="008536EC" w:rsidRPr="004E13E9" w14:paraId="63BBDC8A"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noWrap/>
            <w:vAlign w:val="center"/>
            <w:hideMark/>
          </w:tcPr>
          <w:p w14:paraId="61A92FCD" w14:textId="77777777" w:rsidR="008536EC" w:rsidRPr="004E13E9" w:rsidRDefault="008536EC" w:rsidP="00BB4F69">
            <w:pPr>
              <w:widowControl w:val="0"/>
              <w:jc w:val="both"/>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Madrague</w:t>
            </w:r>
          </w:p>
        </w:tc>
        <w:tc>
          <w:tcPr>
            <w:tcW w:w="566" w:type="pct"/>
            <w:tcBorders>
              <w:top w:val="single" w:sz="4" w:space="0" w:color="auto"/>
              <w:left w:val="single" w:sz="4" w:space="0" w:color="auto"/>
              <w:bottom w:val="single" w:sz="4" w:space="0" w:color="auto"/>
              <w:right w:val="single" w:sz="4" w:space="0" w:color="auto"/>
            </w:tcBorders>
            <w:noWrap/>
            <w:vAlign w:val="center"/>
            <w:hideMark/>
          </w:tcPr>
          <w:p w14:paraId="329BC2FC"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130</w:t>
            </w:r>
          </w:p>
        </w:tc>
        <w:tc>
          <w:tcPr>
            <w:tcW w:w="204" w:type="pct"/>
            <w:tcBorders>
              <w:top w:val="single" w:sz="4" w:space="0" w:color="auto"/>
              <w:left w:val="single" w:sz="4" w:space="0" w:color="auto"/>
              <w:bottom w:val="single" w:sz="4" w:space="0" w:color="auto"/>
              <w:right w:val="single" w:sz="4" w:space="0" w:color="auto"/>
            </w:tcBorders>
            <w:vAlign w:val="center"/>
            <w:hideMark/>
          </w:tcPr>
          <w:p w14:paraId="1C940C86"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76B13563"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075A0676"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57" w:type="pct"/>
            <w:tcBorders>
              <w:top w:val="single" w:sz="4" w:space="0" w:color="auto"/>
              <w:left w:val="single" w:sz="4" w:space="0" w:color="auto"/>
              <w:bottom w:val="single" w:sz="4" w:space="0" w:color="auto"/>
              <w:right w:val="single" w:sz="4" w:space="0" w:color="auto"/>
            </w:tcBorders>
            <w:vAlign w:val="center"/>
            <w:hideMark/>
          </w:tcPr>
          <w:p w14:paraId="23B69B22"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97" w:type="pct"/>
            <w:tcBorders>
              <w:top w:val="single" w:sz="4" w:space="0" w:color="auto"/>
              <w:left w:val="single" w:sz="4" w:space="0" w:color="auto"/>
              <w:bottom w:val="single" w:sz="4" w:space="0" w:color="auto"/>
              <w:right w:val="single" w:sz="4" w:space="0" w:color="auto"/>
            </w:tcBorders>
            <w:vAlign w:val="center"/>
            <w:hideMark/>
          </w:tcPr>
          <w:p w14:paraId="2F6A3F05"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tcPr>
          <w:p w14:paraId="1A006A3A"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47" w:type="pct"/>
            <w:tcBorders>
              <w:top w:val="single" w:sz="4" w:space="0" w:color="auto"/>
              <w:left w:val="single" w:sz="4" w:space="0" w:color="auto"/>
              <w:bottom w:val="single" w:sz="4" w:space="0" w:color="auto"/>
              <w:right w:val="single" w:sz="4" w:space="0" w:color="auto"/>
            </w:tcBorders>
            <w:vAlign w:val="center"/>
          </w:tcPr>
          <w:p w14:paraId="1CF7EA85"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DECB3AD"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2CB5D901"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5752B73B"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1B4C314C"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550BE270"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43FAB482"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hideMark/>
          </w:tcPr>
          <w:p w14:paraId="03EBC68F"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tcPr>
          <w:p w14:paraId="072CFB93" w14:textId="77777777" w:rsidR="008536EC" w:rsidRPr="004E13E9" w:rsidRDefault="008536EC" w:rsidP="00BB4F69">
            <w:pPr>
              <w:widowControl w:val="0"/>
              <w:jc w:val="center"/>
              <w:rPr>
                <w:rFonts w:eastAsia="Times New Roman" w:cs="Calibri"/>
                <w:b/>
                <w:bCs/>
                <w:color w:val="000000"/>
                <w:sz w:val="16"/>
                <w:szCs w:val="16"/>
                <w:lang w:eastAsia="ja-JP" w:bidi="fr-FR"/>
              </w:rPr>
            </w:pPr>
          </w:p>
        </w:tc>
      </w:tr>
      <w:tr w:rsidR="008536EC" w:rsidRPr="004E13E9" w14:paraId="71F42CB6"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vAlign w:val="center"/>
            <w:hideMark/>
          </w:tcPr>
          <w:p w14:paraId="3908856E" w14:textId="77777777" w:rsidR="008536EC" w:rsidRPr="004E13E9" w:rsidRDefault="008536EC" w:rsidP="00BB4F69">
            <w:pPr>
              <w:widowControl w:val="0"/>
              <w:jc w:val="both"/>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 xml:space="preserve">Petits </w:t>
            </w:r>
            <w:proofErr w:type="spellStart"/>
            <w:r w:rsidRPr="004E13E9">
              <w:rPr>
                <w:rFonts w:eastAsia="MS Gothic" w:cs="Times New Roman"/>
                <w:color w:val="000000"/>
                <w:sz w:val="16"/>
                <w:szCs w:val="24"/>
                <w:lang w:eastAsia="fr-FR" w:bidi="fr-FR"/>
              </w:rPr>
              <w:t>navires</w:t>
            </w:r>
            <w:proofErr w:type="spellEnd"/>
            <w:r w:rsidRPr="004E13E9">
              <w:rPr>
                <w:rFonts w:eastAsia="MS Gothic" w:cs="Times New Roman"/>
                <w:color w:val="000000"/>
                <w:sz w:val="16"/>
                <w:szCs w:val="24"/>
                <w:lang w:eastAsia="fr-FR" w:bidi="fr-FR"/>
              </w:rPr>
              <w:t xml:space="preserve"> côtiers</w:t>
            </w:r>
          </w:p>
        </w:tc>
        <w:tc>
          <w:tcPr>
            <w:tcW w:w="566" w:type="pct"/>
            <w:tcBorders>
              <w:top w:val="single" w:sz="4" w:space="0" w:color="auto"/>
              <w:left w:val="single" w:sz="4" w:space="0" w:color="auto"/>
              <w:bottom w:val="single" w:sz="4" w:space="0" w:color="auto"/>
              <w:right w:val="single" w:sz="4" w:space="0" w:color="auto"/>
            </w:tcBorders>
            <w:noWrap/>
            <w:vAlign w:val="center"/>
            <w:hideMark/>
          </w:tcPr>
          <w:p w14:paraId="16F3AB00"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N/A</w:t>
            </w:r>
          </w:p>
        </w:tc>
        <w:tc>
          <w:tcPr>
            <w:tcW w:w="204" w:type="pct"/>
            <w:tcBorders>
              <w:top w:val="single" w:sz="4" w:space="0" w:color="auto"/>
              <w:left w:val="single" w:sz="4" w:space="0" w:color="auto"/>
              <w:bottom w:val="single" w:sz="4" w:space="0" w:color="auto"/>
              <w:right w:val="single" w:sz="4" w:space="0" w:color="auto"/>
            </w:tcBorders>
            <w:vAlign w:val="center"/>
            <w:hideMark/>
          </w:tcPr>
          <w:p w14:paraId="1CF3D0E8"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50A206B5"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72E830F5"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57" w:type="pct"/>
            <w:tcBorders>
              <w:top w:val="single" w:sz="4" w:space="0" w:color="auto"/>
              <w:left w:val="single" w:sz="4" w:space="0" w:color="auto"/>
              <w:bottom w:val="single" w:sz="4" w:space="0" w:color="auto"/>
              <w:right w:val="single" w:sz="4" w:space="0" w:color="auto"/>
            </w:tcBorders>
            <w:vAlign w:val="center"/>
            <w:hideMark/>
          </w:tcPr>
          <w:p w14:paraId="50AB13B9"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97" w:type="pct"/>
            <w:tcBorders>
              <w:top w:val="single" w:sz="4" w:space="0" w:color="auto"/>
              <w:left w:val="single" w:sz="4" w:space="0" w:color="auto"/>
              <w:bottom w:val="single" w:sz="4" w:space="0" w:color="auto"/>
              <w:right w:val="single" w:sz="4" w:space="0" w:color="auto"/>
            </w:tcBorders>
            <w:vAlign w:val="center"/>
            <w:hideMark/>
          </w:tcPr>
          <w:p w14:paraId="4E208FA0"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tcPr>
          <w:p w14:paraId="5232CAC9"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47" w:type="pct"/>
            <w:tcBorders>
              <w:top w:val="single" w:sz="4" w:space="0" w:color="auto"/>
              <w:left w:val="single" w:sz="4" w:space="0" w:color="auto"/>
              <w:bottom w:val="single" w:sz="4" w:space="0" w:color="auto"/>
              <w:right w:val="single" w:sz="4" w:space="0" w:color="auto"/>
            </w:tcBorders>
            <w:vAlign w:val="center"/>
          </w:tcPr>
          <w:p w14:paraId="019A5CD0"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9E7383C"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566510C4"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7E4112AB"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21761C04"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4B1D7C86"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453F0DED"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hideMark/>
          </w:tcPr>
          <w:p w14:paraId="1F06107F"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tcPr>
          <w:p w14:paraId="46B391FB" w14:textId="77777777" w:rsidR="008536EC" w:rsidRPr="004E13E9" w:rsidRDefault="008536EC" w:rsidP="00BB4F69">
            <w:pPr>
              <w:widowControl w:val="0"/>
              <w:jc w:val="center"/>
              <w:rPr>
                <w:rFonts w:eastAsia="Times New Roman" w:cs="Calibri"/>
                <w:b/>
                <w:bCs/>
                <w:color w:val="000000"/>
                <w:sz w:val="16"/>
                <w:szCs w:val="16"/>
                <w:lang w:eastAsia="ja-JP" w:bidi="fr-FR"/>
              </w:rPr>
            </w:pPr>
          </w:p>
        </w:tc>
      </w:tr>
      <w:tr w:rsidR="008536EC" w:rsidRPr="004E13E9" w14:paraId="32BB1714"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vAlign w:val="center"/>
            <w:hideMark/>
          </w:tcPr>
          <w:p w14:paraId="3F643CDA" w14:textId="77777777" w:rsidR="008536EC" w:rsidRPr="004E13E9" w:rsidRDefault="008536EC" w:rsidP="00BB4F69">
            <w:pPr>
              <w:widowControl w:val="0"/>
              <w:jc w:val="both"/>
              <w:rPr>
                <w:rFonts w:eastAsia="Times New Roman" w:cs="Calibri"/>
                <w:color w:val="000000"/>
                <w:sz w:val="16"/>
                <w:szCs w:val="16"/>
                <w:lang w:eastAsia="fr-FR" w:bidi="fr-FR"/>
              </w:rPr>
            </w:pPr>
            <w:proofErr w:type="spellStart"/>
            <w:r w:rsidRPr="004E13E9">
              <w:rPr>
                <w:rFonts w:eastAsia="MS Gothic" w:cs="Times New Roman"/>
                <w:color w:val="000000"/>
                <w:sz w:val="16"/>
                <w:szCs w:val="24"/>
                <w:lang w:eastAsia="fr-FR" w:bidi="fr-FR"/>
              </w:rPr>
              <w:t>Autre</w:t>
            </w:r>
            <w:proofErr w:type="spellEnd"/>
            <w:r w:rsidRPr="004E13E9">
              <w:rPr>
                <w:rFonts w:eastAsia="MS Gothic" w:cs="Times New Roman"/>
                <w:color w:val="000000"/>
                <w:sz w:val="16"/>
                <w:szCs w:val="24"/>
                <w:lang w:eastAsia="fr-FR" w:bidi="fr-FR"/>
              </w:rPr>
              <w:t xml:space="preserve"> (à </w:t>
            </w:r>
            <w:proofErr w:type="spellStart"/>
            <w:r w:rsidRPr="004E13E9">
              <w:rPr>
                <w:rFonts w:eastAsia="MS Gothic" w:cs="Times New Roman"/>
                <w:color w:val="000000"/>
                <w:sz w:val="16"/>
                <w:szCs w:val="24"/>
                <w:lang w:eastAsia="fr-FR" w:bidi="fr-FR"/>
              </w:rPr>
              <w:t>préciser</w:t>
            </w:r>
            <w:proofErr w:type="spellEnd"/>
            <w:r w:rsidRPr="004E13E9">
              <w:rPr>
                <w:rFonts w:eastAsia="MS Gothic" w:cs="Times New Roman"/>
                <w:color w:val="000000"/>
                <w:sz w:val="16"/>
                <w:szCs w:val="24"/>
                <w:lang w:eastAsia="fr-FR" w:bidi="fr-FR"/>
              </w:rPr>
              <w:t>)</w:t>
            </w:r>
          </w:p>
        </w:tc>
        <w:tc>
          <w:tcPr>
            <w:tcW w:w="566" w:type="pct"/>
            <w:tcBorders>
              <w:top w:val="single" w:sz="4" w:space="0" w:color="auto"/>
              <w:left w:val="single" w:sz="4" w:space="0" w:color="auto"/>
              <w:bottom w:val="single" w:sz="4" w:space="0" w:color="auto"/>
              <w:right w:val="single" w:sz="4" w:space="0" w:color="auto"/>
            </w:tcBorders>
            <w:noWrap/>
            <w:vAlign w:val="center"/>
            <w:hideMark/>
          </w:tcPr>
          <w:p w14:paraId="037F3F0E"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w:t>
            </w:r>
          </w:p>
        </w:tc>
        <w:tc>
          <w:tcPr>
            <w:tcW w:w="204" w:type="pct"/>
            <w:tcBorders>
              <w:top w:val="single" w:sz="4" w:space="0" w:color="auto"/>
              <w:left w:val="single" w:sz="4" w:space="0" w:color="auto"/>
              <w:bottom w:val="single" w:sz="4" w:space="0" w:color="auto"/>
              <w:right w:val="single" w:sz="4" w:space="0" w:color="auto"/>
            </w:tcBorders>
            <w:vAlign w:val="center"/>
            <w:hideMark/>
          </w:tcPr>
          <w:p w14:paraId="43A2B6FB"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54528C2E"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7DD8A81C"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57" w:type="pct"/>
            <w:tcBorders>
              <w:top w:val="single" w:sz="4" w:space="0" w:color="auto"/>
              <w:left w:val="single" w:sz="4" w:space="0" w:color="auto"/>
              <w:bottom w:val="single" w:sz="4" w:space="0" w:color="auto"/>
              <w:right w:val="single" w:sz="4" w:space="0" w:color="auto"/>
            </w:tcBorders>
            <w:vAlign w:val="center"/>
            <w:hideMark/>
          </w:tcPr>
          <w:p w14:paraId="7BB62D7C"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97" w:type="pct"/>
            <w:tcBorders>
              <w:top w:val="single" w:sz="4" w:space="0" w:color="auto"/>
              <w:left w:val="single" w:sz="4" w:space="0" w:color="auto"/>
              <w:bottom w:val="single" w:sz="4" w:space="0" w:color="auto"/>
              <w:right w:val="single" w:sz="4" w:space="0" w:color="auto"/>
            </w:tcBorders>
            <w:vAlign w:val="center"/>
            <w:hideMark/>
          </w:tcPr>
          <w:p w14:paraId="16FBDCDE"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tcPr>
          <w:p w14:paraId="5754FD00"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47" w:type="pct"/>
            <w:tcBorders>
              <w:top w:val="single" w:sz="4" w:space="0" w:color="auto"/>
              <w:left w:val="single" w:sz="4" w:space="0" w:color="auto"/>
              <w:bottom w:val="single" w:sz="4" w:space="0" w:color="auto"/>
              <w:right w:val="single" w:sz="4" w:space="0" w:color="auto"/>
            </w:tcBorders>
            <w:vAlign w:val="center"/>
          </w:tcPr>
          <w:p w14:paraId="727AC65C"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B189DB2"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2A66B39F"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41059B46"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0F22B555"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41933CBE"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488E2E13"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vAlign w:val="center"/>
            <w:hideMark/>
          </w:tcPr>
          <w:p w14:paraId="118A5BB5"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tcPr>
          <w:p w14:paraId="03ECE934" w14:textId="77777777" w:rsidR="008536EC" w:rsidRPr="004E13E9" w:rsidRDefault="008536EC" w:rsidP="00BB4F69">
            <w:pPr>
              <w:widowControl w:val="0"/>
              <w:jc w:val="center"/>
              <w:rPr>
                <w:rFonts w:eastAsia="Times New Roman" w:cs="Calibri"/>
                <w:b/>
                <w:bCs/>
                <w:color w:val="000000"/>
                <w:sz w:val="16"/>
                <w:szCs w:val="16"/>
                <w:lang w:eastAsia="ja-JP" w:bidi="fr-FR"/>
              </w:rPr>
            </w:pPr>
          </w:p>
        </w:tc>
      </w:tr>
      <w:tr w:rsidR="008536EC" w:rsidRPr="004E13E9" w14:paraId="4E3EFFC0"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noWrap/>
            <w:vAlign w:val="center"/>
            <w:hideMark/>
          </w:tcPr>
          <w:p w14:paraId="4E713407" w14:textId="77777777" w:rsidR="008536EC" w:rsidRPr="004E13E9" w:rsidRDefault="008536EC" w:rsidP="00BB4F69">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24"/>
                <w:lang w:val="fr-FR" w:eastAsia="fr-FR" w:bidi="fr-FR"/>
              </w:rPr>
              <w:t>Capacité totale de la flottille/de pêche</w:t>
            </w:r>
          </w:p>
        </w:tc>
        <w:tc>
          <w:tcPr>
            <w:tcW w:w="566" w:type="pct"/>
            <w:tcBorders>
              <w:top w:val="single" w:sz="4" w:space="0" w:color="auto"/>
              <w:left w:val="single" w:sz="4" w:space="0" w:color="auto"/>
              <w:bottom w:val="single" w:sz="4" w:space="0" w:color="auto"/>
              <w:right w:val="single" w:sz="4" w:space="0" w:color="auto"/>
            </w:tcBorders>
            <w:noWrap/>
            <w:vAlign w:val="center"/>
            <w:hideMark/>
          </w:tcPr>
          <w:p w14:paraId="67E5E19C" w14:textId="77777777" w:rsidR="008536EC" w:rsidRPr="004E13E9" w:rsidRDefault="008536EC" w:rsidP="00BB4F69">
            <w:pPr>
              <w:widowControl w:val="0"/>
              <w:jc w:val="right"/>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 </w:t>
            </w:r>
          </w:p>
        </w:tc>
        <w:tc>
          <w:tcPr>
            <w:tcW w:w="204" w:type="pct"/>
            <w:tcBorders>
              <w:top w:val="single" w:sz="4" w:space="0" w:color="auto"/>
              <w:left w:val="single" w:sz="4" w:space="0" w:color="auto"/>
              <w:bottom w:val="single" w:sz="4" w:space="0" w:color="auto"/>
              <w:right w:val="single" w:sz="4" w:space="0" w:color="auto"/>
            </w:tcBorders>
            <w:vAlign w:val="center"/>
            <w:hideMark/>
          </w:tcPr>
          <w:p w14:paraId="790CFB2E"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020D07EE"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48F5DE72"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1</w:t>
            </w:r>
          </w:p>
        </w:tc>
        <w:tc>
          <w:tcPr>
            <w:tcW w:w="257" w:type="pct"/>
            <w:tcBorders>
              <w:top w:val="single" w:sz="4" w:space="0" w:color="auto"/>
              <w:left w:val="single" w:sz="4" w:space="0" w:color="auto"/>
              <w:bottom w:val="single" w:sz="4" w:space="0" w:color="auto"/>
              <w:right w:val="single" w:sz="4" w:space="0" w:color="auto"/>
            </w:tcBorders>
            <w:vAlign w:val="center"/>
            <w:hideMark/>
          </w:tcPr>
          <w:p w14:paraId="1B63A2F8"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2</w:t>
            </w:r>
          </w:p>
        </w:tc>
        <w:tc>
          <w:tcPr>
            <w:tcW w:w="297" w:type="pct"/>
            <w:tcBorders>
              <w:top w:val="single" w:sz="4" w:space="0" w:color="auto"/>
              <w:left w:val="single" w:sz="4" w:space="0" w:color="auto"/>
              <w:bottom w:val="single" w:sz="4" w:space="0" w:color="auto"/>
              <w:right w:val="single" w:sz="4" w:space="0" w:color="auto"/>
            </w:tcBorders>
            <w:vAlign w:val="center"/>
            <w:hideMark/>
          </w:tcPr>
          <w:p w14:paraId="586FCF9F"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2</w:t>
            </w:r>
          </w:p>
        </w:tc>
        <w:tc>
          <w:tcPr>
            <w:tcW w:w="294" w:type="pct"/>
            <w:tcBorders>
              <w:top w:val="single" w:sz="4" w:space="0" w:color="auto"/>
              <w:left w:val="single" w:sz="4" w:space="0" w:color="auto"/>
              <w:bottom w:val="single" w:sz="4" w:space="0" w:color="auto"/>
              <w:right w:val="single" w:sz="4" w:space="0" w:color="auto"/>
            </w:tcBorders>
            <w:vAlign w:val="center"/>
            <w:hideMark/>
          </w:tcPr>
          <w:p w14:paraId="547CE432"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2</w:t>
            </w:r>
          </w:p>
        </w:tc>
        <w:tc>
          <w:tcPr>
            <w:tcW w:w="247" w:type="pct"/>
            <w:tcBorders>
              <w:top w:val="single" w:sz="4" w:space="0" w:color="auto"/>
              <w:left w:val="single" w:sz="4" w:space="0" w:color="auto"/>
              <w:bottom w:val="single" w:sz="4" w:space="0" w:color="auto"/>
              <w:right w:val="single" w:sz="4" w:space="0" w:color="auto"/>
            </w:tcBorders>
            <w:vAlign w:val="center"/>
            <w:hideMark/>
          </w:tcPr>
          <w:p w14:paraId="564B3F69"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2</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FCC728B" w14:textId="77777777" w:rsidR="008536EC" w:rsidRPr="004E13E9" w:rsidRDefault="008536EC" w:rsidP="00BB4F69">
            <w:pPr>
              <w:widowControl w:val="0"/>
              <w:jc w:val="center"/>
              <w:rPr>
                <w:rFonts w:eastAsia="Times New Roman" w:cs="Calibri"/>
                <w:b/>
                <w:bCs/>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0152F858"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670E0422"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1FC18716"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49,78</w:t>
            </w:r>
          </w:p>
        </w:tc>
        <w:tc>
          <w:tcPr>
            <w:tcW w:w="260" w:type="pct"/>
            <w:tcBorders>
              <w:top w:val="single" w:sz="4" w:space="0" w:color="auto"/>
              <w:left w:val="single" w:sz="4" w:space="0" w:color="auto"/>
              <w:bottom w:val="single" w:sz="4" w:space="0" w:color="auto"/>
              <w:right w:val="single" w:sz="4" w:space="0" w:color="auto"/>
            </w:tcBorders>
            <w:noWrap/>
            <w:vAlign w:val="center"/>
            <w:hideMark/>
          </w:tcPr>
          <w:p w14:paraId="5E682A29"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99,56</w:t>
            </w:r>
          </w:p>
        </w:tc>
        <w:tc>
          <w:tcPr>
            <w:tcW w:w="260" w:type="pct"/>
            <w:tcBorders>
              <w:top w:val="single" w:sz="4" w:space="0" w:color="auto"/>
              <w:left w:val="single" w:sz="4" w:space="0" w:color="auto"/>
              <w:bottom w:val="single" w:sz="4" w:space="0" w:color="auto"/>
              <w:right w:val="single" w:sz="4" w:space="0" w:color="auto"/>
            </w:tcBorders>
            <w:noWrap/>
            <w:vAlign w:val="center"/>
            <w:hideMark/>
          </w:tcPr>
          <w:p w14:paraId="5D26588F"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99,56</w:t>
            </w:r>
          </w:p>
        </w:tc>
        <w:tc>
          <w:tcPr>
            <w:tcW w:w="294" w:type="pct"/>
            <w:tcBorders>
              <w:top w:val="single" w:sz="4" w:space="0" w:color="auto"/>
              <w:left w:val="single" w:sz="4" w:space="0" w:color="auto"/>
              <w:bottom w:val="single" w:sz="4" w:space="0" w:color="auto"/>
              <w:right w:val="single" w:sz="4" w:space="0" w:color="auto"/>
            </w:tcBorders>
            <w:noWrap/>
            <w:vAlign w:val="center"/>
            <w:hideMark/>
          </w:tcPr>
          <w:p w14:paraId="232054D8"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99,56</w:t>
            </w:r>
          </w:p>
        </w:tc>
        <w:tc>
          <w:tcPr>
            <w:tcW w:w="260" w:type="pct"/>
            <w:tcBorders>
              <w:top w:val="single" w:sz="4" w:space="0" w:color="auto"/>
              <w:left w:val="single" w:sz="4" w:space="0" w:color="auto"/>
              <w:bottom w:val="single" w:sz="4" w:space="0" w:color="auto"/>
              <w:right w:val="single" w:sz="4" w:space="0" w:color="auto"/>
            </w:tcBorders>
            <w:vAlign w:val="center"/>
            <w:hideMark/>
          </w:tcPr>
          <w:p w14:paraId="2A63B5B7"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99,56</w:t>
            </w:r>
          </w:p>
        </w:tc>
      </w:tr>
      <w:tr w:rsidR="008536EC" w:rsidRPr="004E13E9" w14:paraId="4E0D7EAC"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61E65385" w14:textId="77777777" w:rsidR="008536EC" w:rsidRPr="004E13E9" w:rsidRDefault="008536EC" w:rsidP="00BB4F69">
            <w:pPr>
              <w:widowControl w:val="0"/>
              <w:jc w:val="both"/>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Quota initial</w:t>
            </w:r>
          </w:p>
        </w:tc>
        <w:tc>
          <w:tcPr>
            <w:tcW w:w="566"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C1F0F4C" w14:textId="77777777" w:rsidR="008536EC" w:rsidRPr="004E13E9" w:rsidRDefault="008536EC" w:rsidP="00BB4F69">
            <w:pPr>
              <w:widowControl w:val="0"/>
              <w:jc w:val="right"/>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 </w:t>
            </w:r>
          </w:p>
        </w:tc>
        <w:tc>
          <w:tcPr>
            <w:tcW w:w="2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E9ACBB9"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3864E61"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2798E5E"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5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C578FA8"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513</w:t>
            </w:r>
          </w:p>
        </w:tc>
        <w:tc>
          <w:tcPr>
            <w:tcW w:w="29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62EDBE6"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513</w:t>
            </w:r>
          </w:p>
        </w:tc>
        <w:tc>
          <w:tcPr>
            <w:tcW w:w="29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EB6E56A"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513</w:t>
            </w:r>
          </w:p>
        </w:tc>
        <w:tc>
          <w:tcPr>
            <w:tcW w:w="24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98BEBB3"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549</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7DE03D9"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B468329"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B2281E1"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5DD613E"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181</w:t>
            </w:r>
          </w:p>
        </w:tc>
        <w:tc>
          <w:tcPr>
            <w:tcW w:w="2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8E84C76"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513</w:t>
            </w:r>
          </w:p>
        </w:tc>
        <w:tc>
          <w:tcPr>
            <w:tcW w:w="2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2CA028B"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513</w:t>
            </w:r>
          </w:p>
        </w:tc>
        <w:tc>
          <w:tcPr>
            <w:tcW w:w="29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AD04066"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513</w:t>
            </w:r>
          </w:p>
        </w:tc>
        <w:tc>
          <w:tcPr>
            <w:tcW w:w="2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24361D8"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549</w:t>
            </w:r>
          </w:p>
        </w:tc>
      </w:tr>
      <w:tr w:rsidR="008536EC" w:rsidRPr="004E13E9" w14:paraId="3520D7E8"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6C17934" w14:textId="77777777" w:rsidR="008536EC" w:rsidRPr="004E13E9" w:rsidRDefault="008536EC" w:rsidP="00BB4F69">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24"/>
                <w:lang w:val="fr-FR" w:eastAsia="fr-FR" w:bidi="fr-FR"/>
              </w:rPr>
              <w:t xml:space="preserve">Quota ajusté (le cas échéant) </w:t>
            </w:r>
          </w:p>
        </w:tc>
        <w:tc>
          <w:tcPr>
            <w:tcW w:w="566"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7753AF3B" w14:textId="77777777" w:rsidR="008536EC" w:rsidRPr="004E13E9" w:rsidRDefault="008536EC" w:rsidP="00BB4F69">
            <w:pPr>
              <w:widowControl w:val="0"/>
              <w:jc w:val="right"/>
              <w:rPr>
                <w:rFonts w:eastAsia="Times New Roman" w:cs="Calibri"/>
                <w:color w:val="000000"/>
                <w:sz w:val="16"/>
                <w:szCs w:val="16"/>
                <w:lang w:val="fr-FR" w:eastAsia="ja-JP" w:bidi="fr-FR"/>
              </w:rPr>
            </w:pPr>
          </w:p>
        </w:tc>
        <w:tc>
          <w:tcPr>
            <w:tcW w:w="2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07667A3"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3972C623"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shd w:val="clear" w:color="auto" w:fill="D9D9D9"/>
            <w:vAlign w:val="center"/>
          </w:tcPr>
          <w:p w14:paraId="0327F21A"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257" w:type="pct"/>
            <w:tcBorders>
              <w:top w:val="single" w:sz="4" w:space="0" w:color="auto"/>
              <w:left w:val="single" w:sz="4" w:space="0" w:color="auto"/>
              <w:bottom w:val="single" w:sz="4" w:space="0" w:color="auto"/>
              <w:right w:val="single" w:sz="4" w:space="0" w:color="auto"/>
            </w:tcBorders>
            <w:shd w:val="clear" w:color="auto" w:fill="D9D9D9"/>
            <w:vAlign w:val="center"/>
          </w:tcPr>
          <w:p w14:paraId="2E7F8A91"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297" w:type="pct"/>
            <w:tcBorders>
              <w:top w:val="single" w:sz="4" w:space="0" w:color="auto"/>
              <w:left w:val="single" w:sz="4" w:space="0" w:color="auto"/>
              <w:bottom w:val="single" w:sz="4" w:space="0" w:color="auto"/>
              <w:right w:val="single" w:sz="4" w:space="0" w:color="auto"/>
            </w:tcBorders>
            <w:shd w:val="clear" w:color="auto" w:fill="D9D9D9"/>
            <w:vAlign w:val="center"/>
          </w:tcPr>
          <w:p w14:paraId="6DF39C37"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294" w:type="pct"/>
            <w:tcBorders>
              <w:top w:val="single" w:sz="4" w:space="0" w:color="auto"/>
              <w:left w:val="single" w:sz="4" w:space="0" w:color="auto"/>
              <w:bottom w:val="single" w:sz="4" w:space="0" w:color="auto"/>
              <w:right w:val="single" w:sz="4" w:space="0" w:color="auto"/>
            </w:tcBorders>
            <w:shd w:val="clear" w:color="auto" w:fill="D9D9D9"/>
            <w:vAlign w:val="center"/>
          </w:tcPr>
          <w:p w14:paraId="35BCDC06"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247" w:type="pct"/>
            <w:tcBorders>
              <w:top w:val="single" w:sz="4" w:space="0" w:color="auto"/>
              <w:left w:val="single" w:sz="4" w:space="0" w:color="auto"/>
              <w:bottom w:val="single" w:sz="4" w:space="0" w:color="auto"/>
              <w:right w:val="single" w:sz="4" w:space="0" w:color="auto"/>
            </w:tcBorders>
            <w:shd w:val="clear" w:color="auto" w:fill="D9D9D9"/>
            <w:vAlign w:val="center"/>
          </w:tcPr>
          <w:p w14:paraId="29519757"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tcPr>
          <w:p w14:paraId="3A27B12F"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2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FC523FB"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90207BB"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shd w:val="clear" w:color="auto" w:fill="D9D9D9"/>
            <w:vAlign w:val="center"/>
          </w:tcPr>
          <w:p w14:paraId="0DEF8FF1"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2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A71BF75"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NA</w:t>
            </w:r>
          </w:p>
        </w:tc>
        <w:tc>
          <w:tcPr>
            <w:tcW w:w="2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8CABA1B"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NA</w:t>
            </w:r>
          </w:p>
        </w:tc>
        <w:tc>
          <w:tcPr>
            <w:tcW w:w="29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452660A"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NA</w:t>
            </w:r>
          </w:p>
        </w:tc>
        <w:tc>
          <w:tcPr>
            <w:tcW w:w="2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8216B5D"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NA</w:t>
            </w:r>
          </w:p>
        </w:tc>
      </w:tr>
      <w:tr w:rsidR="008536EC" w:rsidRPr="004E13E9" w14:paraId="5B301D13"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noWrap/>
            <w:vAlign w:val="center"/>
            <w:hideMark/>
          </w:tcPr>
          <w:p w14:paraId="4807A258" w14:textId="77777777" w:rsidR="008536EC" w:rsidRPr="004E13E9" w:rsidRDefault="008536EC" w:rsidP="00BB4F69">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24"/>
                <w:lang w:val="fr-FR" w:eastAsia="fr-FR" w:bidi="fr-FR"/>
              </w:rPr>
              <w:t>Pourcentage alloué aux prises accessoires</w:t>
            </w:r>
          </w:p>
        </w:tc>
        <w:tc>
          <w:tcPr>
            <w:tcW w:w="566" w:type="pct"/>
            <w:tcBorders>
              <w:top w:val="single" w:sz="4" w:space="0" w:color="auto"/>
              <w:left w:val="single" w:sz="4" w:space="0" w:color="auto"/>
              <w:bottom w:val="single" w:sz="4" w:space="0" w:color="auto"/>
              <w:right w:val="single" w:sz="4" w:space="0" w:color="auto"/>
            </w:tcBorders>
            <w:noWrap/>
            <w:vAlign w:val="center"/>
            <w:hideMark/>
          </w:tcPr>
          <w:p w14:paraId="67EBD33F" w14:textId="77777777" w:rsidR="008536EC" w:rsidRPr="004E13E9" w:rsidRDefault="008536EC" w:rsidP="00BB4F69">
            <w:pPr>
              <w:widowControl w:val="0"/>
              <w:jc w:val="right"/>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 </w:t>
            </w:r>
          </w:p>
        </w:tc>
        <w:tc>
          <w:tcPr>
            <w:tcW w:w="204" w:type="pct"/>
            <w:tcBorders>
              <w:top w:val="single" w:sz="4" w:space="0" w:color="auto"/>
              <w:left w:val="single" w:sz="4" w:space="0" w:color="auto"/>
              <w:bottom w:val="single" w:sz="4" w:space="0" w:color="auto"/>
              <w:right w:val="single" w:sz="4" w:space="0" w:color="auto"/>
            </w:tcBorders>
            <w:vAlign w:val="center"/>
            <w:hideMark/>
          </w:tcPr>
          <w:p w14:paraId="5D140A73"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64E1D390"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467E29D5"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57" w:type="pct"/>
            <w:tcBorders>
              <w:top w:val="single" w:sz="4" w:space="0" w:color="auto"/>
              <w:left w:val="single" w:sz="4" w:space="0" w:color="auto"/>
              <w:bottom w:val="single" w:sz="4" w:space="0" w:color="auto"/>
              <w:right w:val="single" w:sz="4" w:space="0" w:color="auto"/>
            </w:tcBorders>
            <w:vAlign w:val="center"/>
            <w:hideMark/>
          </w:tcPr>
          <w:p w14:paraId="7117A725"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1%</w:t>
            </w:r>
          </w:p>
        </w:tc>
        <w:tc>
          <w:tcPr>
            <w:tcW w:w="297" w:type="pct"/>
            <w:tcBorders>
              <w:top w:val="single" w:sz="4" w:space="0" w:color="auto"/>
              <w:left w:val="single" w:sz="4" w:space="0" w:color="auto"/>
              <w:bottom w:val="single" w:sz="4" w:space="0" w:color="auto"/>
              <w:right w:val="single" w:sz="4" w:space="0" w:color="auto"/>
            </w:tcBorders>
            <w:vAlign w:val="center"/>
            <w:hideMark/>
          </w:tcPr>
          <w:p w14:paraId="33741D52"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1%</w:t>
            </w:r>
          </w:p>
        </w:tc>
        <w:tc>
          <w:tcPr>
            <w:tcW w:w="294" w:type="pct"/>
            <w:tcBorders>
              <w:top w:val="single" w:sz="4" w:space="0" w:color="auto"/>
              <w:left w:val="single" w:sz="4" w:space="0" w:color="auto"/>
              <w:bottom w:val="single" w:sz="4" w:space="0" w:color="auto"/>
              <w:right w:val="single" w:sz="4" w:space="0" w:color="auto"/>
            </w:tcBorders>
            <w:vAlign w:val="center"/>
            <w:hideMark/>
          </w:tcPr>
          <w:p w14:paraId="08959567"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1,038%</w:t>
            </w:r>
          </w:p>
        </w:tc>
        <w:tc>
          <w:tcPr>
            <w:tcW w:w="247" w:type="pct"/>
            <w:tcBorders>
              <w:top w:val="single" w:sz="4" w:space="0" w:color="auto"/>
              <w:left w:val="single" w:sz="4" w:space="0" w:color="auto"/>
              <w:bottom w:val="single" w:sz="4" w:space="0" w:color="auto"/>
              <w:right w:val="single" w:sz="4" w:space="0" w:color="auto"/>
            </w:tcBorders>
            <w:vAlign w:val="center"/>
            <w:hideMark/>
          </w:tcPr>
          <w:p w14:paraId="6D915640"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1%</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BA6BA2D"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464143F6"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50D918B2"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339546D2"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00CABE2F"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1%</w:t>
            </w:r>
          </w:p>
        </w:tc>
        <w:tc>
          <w:tcPr>
            <w:tcW w:w="260" w:type="pct"/>
            <w:tcBorders>
              <w:top w:val="single" w:sz="4" w:space="0" w:color="auto"/>
              <w:left w:val="single" w:sz="4" w:space="0" w:color="auto"/>
              <w:bottom w:val="single" w:sz="4" w:space="0" w:color="auto"/>
              <w:right w:val="single" w:sz="4" w:space="0" w:color="auto"/>
            </w:tcBorders>
            <w:vAlign w:val="center"/>
            <w:hideMark/>
          </w:tcPr>
          <w:p w14:paraId="7CEEC705"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1%</w:t>
            </w:r>
          </w:p>
        </w:tc>
        <w:tc>
          <w:tcPr>
            <w:tcW w:w="294" w:type="pct"/>
            <w:tcBorders>
              <w:top w:val="single" w:sz="4" w:space="0" w:color="auto"/>
              <w:left w:val="single" w:sz="4" w:space="0" w:color="auto"/>
              <w:bottom w:val="single" w:sz="4" w:space="0" w:color="auto"/>
              <w:right w:val="single" w:sz="4" w:space="0" w:color="auto"/>
            </w:tcBorders>
            <w:vAlign w:val="center"/>
            <w:hideMark/>
          </w:tcPr>
          <w:p w14:paraId="6F5602A0"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1,038%</w:t>
            </w:r>
          </w:p>
        </w:tc>
        <w:tc>
          <w:tcPr>
            <w:tcW w:w="260" w:type="pct"/>
            <w:tcBorders>
              <w:top w:val="single" w:sz="4" w:space="0" w:color="auto"/>
              <w:left w:val="single" w:sz="4" w:space="0" w:color="auto"/>
              <w:bottom w:val="single" w:sz="4" w:space="0" w:color="auto"/>
              <w:right w:val="single" w:sz="4" w:space="0" w:color="auto"/>
            </w:tcBorders>
            <w:vAlign w:val="center"/>
            <w:hideMark/>
          </w:tcPr>
          <w:p w14:paraId="51AFAA96"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1%</w:t>
            </w:r>
          </w:p>
        </w:tc>
      </w:tr>
      <w:tr w:rsidR="008536EC" w:rsidRPr="004E13E9" w14:paraId="6606689F"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noWrap/>
            <w:vAlign w:val="center"/>
            <w:hideMark/>
          </w:tcPr>
          <w:p w14:paraId="5FD840E9" w14:textId="77777777" w:rsidR="008536EC" w:rsidRPr="004E13E9" w:rsidRDefault="008536EC" w:rsidP="00BB4F69">
            <w:pPr>
              <w:widowControl w:val="0"/>
              <w:jc w:val="both"/>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 xml:space="preserve">Allocation aux </w:t>
            </w:r>
            <w:proofErr w:type="spellStart"/>
            <w:r w:rsidRPr="004E13E9">
              <w:rPr>
                <w:rFonts w:eastAsia="MS Gothic" w:cs="Times New Roman"/>
                <w:b/>
                <w:color w:val="000000"/>
                <w:sz w:val="16"/>
                <w:szCs w:val="24"/>
                <w:lang w:eastAsia="fr-FR" w:bidi="fr-FR"/>
              </w:rPr>
              <w:t>prises</w:t>
            </w:r>
            <w:proofErr w:type="spellEnd"/>
            <w:r w:rsidRPr="004E13E9">
              <w:rPr>
                <w:rFonts w:eastAsia="MS Gothic" w:cs="Times New Roman"/>
                <w:b/>
                <w:color w:val="000000"/>
                <w:sz w:val="16"/>
                <w:szCs w:val="24"/>
                <w:lang w:eastAsia="fr-FR" w:bidi="fr-FR"/>
              </w:rPr>
              <w:t xml:space="preserve"> </w:t>
            </w:r>
            <w:proofErr w:type="spellStart"/>
            <w:r w:rsidRPr="004E13E9">
              <w:rPr>
                <w:rFonts w:eastAsia="MS Gothic" w:cs="Times New Roman"/>
                <w:b/>
                <w:color w:val="000000"/>
                <w:sz w:val="16"/>
                <w:szCs w:val="24"/>
                <w:lang w:eastAsia="fr-FR" w:bidi="fr-FR"/>
              </w:rPr>
              <w:t>accessoires</w:t>
            </w:r>
            <w:proofErr w:type="spellEnd"/>
          </w:p>
        </w:tc>
        <w:tc>
          <w:tcPr>
            <w:tcW w:w="566" w:type="pct"/>
            <w:tcBorders>
              <w:top w:val="single" w:sz="4" w:space="0" w:color="auto"/>
              <w:left w:val="single" w:sz="4" w:space="0" w:color="auto"/>
              <w:bottom w:val="single" w:sz="4" w:space="0" w:color="auto"/>
              <w:right w:val="single" w:sz="4" w:space="0" w:color="auto"/>
            </w:tcBorders>
            <w:noWrap/>
            <w:vAlign w:val="center"/>
          </w:tcPr>
          <w:p w14:paraId="063F10C7" w14:textId="77777777" w:rsidR="008536EC" w:rsidRPr="004E13E9" w:rsidRDefault="008536EC" w:rsidP="00BB4F69">
            <w:pPr>
              <w:widowControl w:val="0"/>
              <w:jc w:val="right"/>
              <w:rPr>
                <w:rFonts w:eastAsia="Times New Roman" w:cs="Calibri"/>
                <w:color w:val="000000"/>
                <w:sz w:val="16"/>
                <w:szCs w:val="16"/>
                <w:lang w:eastAsia="ja-JP"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3C734583"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2D3E744E"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tcPr>
          <w:p w14:paraId="50009346"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257" w:type="pct"/>
            <w:tcBorders>
              <w:top w:val="single" w:sz="4" w:space="0" w:color="auto"/>
              <w:left w:val="single" w:sz="4" w:space="0" w:color="auto"/>
              <w:bottom w:val="single" w:sz="4" w:space="0" w:color="auto"/>
              <w:right w:val="single" w:sz="4" w:space="0" w:color="auto"/>
            </w:tcBorders>
            <w:vAlign w:val="center"/>
            <w:hideMark/>
          </w:tcPr>
          <w:p w14:paraId="411ED473"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5,13</w:t>
            </w:r>
          </w:p>
        </w:tc>
        <w:tc>
          <w:tcPr>
            <w:tcW w:w="297" w:type="pct"/>
            <w:tcBorders>
              <w:top w:val="single" w:sz="4" w:space="0" w:color="auto"/>
              <w:left w:val="single" w:sz="4" w:space="0" w:color="auto"/>
              <w:bottom w:val="single" w:sz="4" w:space="0" w:color="auto"/>
              <w:right w:val="single" w:sz="4" w:space="0" w:color="auto"/>
            </w:tcBorders>
            <w:vAlign w:val="center"/>
            <w:hideMark/>
          </w:tcPr>
          <w:p w14:paraId="56C90875"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5,13</w:t>
            </w:r>
          </w:p>
        </w:tc>
        <w:tc>
          <w:tcPr>
            <w:tcW w:w="294" w:type="pct"/>
            <w:tcBorders>
              <w:top w:val="single" w:sz="4" w:space="0" w:color="auto"/>
              <w:left w:val="single" w:sz="4" w:space="0" w:color="auto"/>
              <w:bottom w:val="single" w:sz="4" w:space="0" w:color="auto"/>
              <w:right w:val="single" w:sz="4" w:space="0" w:color="auto"/>
            </w:tcBorders>
            <w:vAlign w:val="center"/>
            <w:hideMark/>
          </w:tcPr>
          <w:p w14:paraId="795651AF"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5,325</w:t>
            </w:r>
          </w:p>
        </w:tc>
        <w:tc>
          <w:tcPr>
            <w:tcW w:w="247" w:type="pct"/>
            <w:tcBorders>
              <w:top w:val="single" w:sz="4" w:space="0" w:color="auto"/>
              <w:left w:val="single" w:sz="4" w:space="0" w:color="auto"/>
              <w:bottom w:val="single" w:sz="4" w:space="0" w:color="auto"/>
              <w:right w:val="single" w:sz="4" w:space="0" w:color="auto"/>
            </w:tcBorders>
            <w:vAlign w:val="center"/>
            <w:hideMark/>
          </w:tcPr>
          <w:p w14:paraId="7F8896F7"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45,9</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tcPr>
          <w:p w14:paraId="36146D41"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48B02344"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2845BA93"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tcPr>
          <w:p w14:paraId="16136F33"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260" w:type="pct"/>
            <w:tcBorders>
              <w:top w:val="single" w:sz="4" w:space="0" w:color="auto"/>
              <w:left w:val="single" w:sz="4" w:space="0" w:color="auto"/>
              <w:bottom w:val="single" w:sz="4" w:space="0" w:color="auto"/>
              <w:right w:val="single" w:sz="4" w:space="0" w:color="auto"/>
            </w:tcBorders>
            <w:vAlign w:val="center"/>
            <w:hideMark/>
          </w:tcPr>
          <w:p w14:paraId="029DAA2F"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5,13</w:t>
            </w:r>
          </w:p>
        </w:tc>
        <w:tc>
          <w:tcPr>
            <w:tcW w:w="260" w:type="pct"/>
            <w:tcBorders>
              <w:top w:val="single" w:sz="4" w:space="0" w:color="auto"/>
              <w:left w:val="single" w:sz="4" w:space="0" w:color="auto"/>
              <w:bottom w:val="single" w:sz="4" w:space="0" w:color="auto"/>
              <w:right w:val="single" w:sz="4" w:space="0" w:color="auto"/>
            </w:tcBorders>
            <w:vAlign w:val="center"/>
            <w:hideMark/>
          </w:tcPr>
          <w:p w14:paraId="75967874"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5,13</w:t>
            </w:r>
          </w:p>
        </w:tc>
        <w:tc>
          <w:tcPr>
            <w:tcW w:w="294" w:type="pct"/>
            <w:tcBorders>
              <w:top w:val="single" w:sz="4" w:space="0" w:color="auto"/>
              <w:left w:val="single" w:sz="4" w:space="0" w:color="auto"/>
              <w:bottom w:val="single" w:sz="4" w:space="0" w:color="auto"/>
              <w:right w:val="single" w:sz="4" w:space="0" w:color="auto"/>
            </w:tcBorders>
            <w:vAlign w:val="center"/>
            <w:hideMark/>
          </w:tcPr>
          <w:p w14:paraId="289800DE"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5,325</w:t>
            </w:r>
          </w:p>
        </w:tc>
        <w:tc>
          <w:tcPr>
            <w:tcW w:w="260" w:type="pct"/>
            <w:tcBorders>
              <w:top w:val="single" w:sz="4" w:space="0" w:color="auto"/>
              <w:left w:val="single" w:sz="4" w:space="0" w:color="auto"/>
              <w:bottom w:val="single" w:sz="4" w:space="0" w:color="auto"/>
              <w:right w:val="single" w:sz="4" w:space="0" w:color="auto"/>
            </w:tcBorders>
            <w:vAlign w:val="center"/>
            <w:hideMark/>
          </w:tcPr>
          <w:p w14:paraId="6A65FF77"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5,49</w:t>
            </w:r>
          </w:p>
        </w:tc>
      </w:tr>
      <w:tr w:rsidR="008536EC" w:rsidRPr="004E13E9" w14:paraId="6150A723"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vAlign w:val="center"/>
            <w:hideMark/>
          </w:tcPr>
          <w:p w14:paraId="1EE88749" w14:textId="77777777" w:rsidR="008536EC" w:rsidRPr="004E13E9" w:rsidRDefault="008536EC" w:rsidP="00BB4F69">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24"/>
                <w:lang w:val="fr-FR" w:eastAsia="fr-FR" w:bidi="fr-FR"/>
              </w:rPr>
              <w:t>Quota de recherche scientifique</w:t>
            </w:r>
          </w:p>
          <w:p w14:paraId="599AC818" w14:textId="77777777" w:rsidR="008536EC" w:rsidRPr="004E13E9" w:rsidRDefault="008536EC" w:rsidP="00BB4F69">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24"/>
                <w:lang w:val="fr-FR" w:eastAsia="fr-FR" w:bidi="fr-FR"/>
              </w:rPr>
              <w:t>(le cas échéant)</w:t>
            </w:r>
          </w:p>
        </w:tc>
        <w:tc>
          <w:tcPr>
            <w:tcW w:w="566" w:type="pct"/>
            <w:tcBorders>
              <w:top w:val="single" w:sz="4" w:space="0" w:color="auto"/>
              <w:left w:val="single" w:sz="4" w:space="0" w:color="auto"/>
              <w:bottom w:val="single" w:sz="4" w:space="0" w:color="auto"/>
              <w:right w:val="single" w:sz="4" w:space="0" w:color="auto"/>
            </w:tcBorders>
            <w:noWrap/>
            <w:vAlign w:val="center"/>
          </w:tcPr>
          <w:p w14:paraId="21FB32FD" w14:textId="77777777" w:rsidR="008536EC" w:rsidRPr="004E13E9" w:rsidRDefault="008536EC" w:rsidP="00BB4F69">
            <w:pPr>
              <w:widowControl w:val="0"/>
              <w:jc w:val="right"/>
              <w:rPr>
                <w:rFonts w:eastAsia="Times New Roman" w:cs="Calibri"/>
                <w:b/>
                <w:bCs/>
                <w:color w:val="000000"/>
                <w:sz w:val="16"/>
                <w:szCs w:val="16"/>
                <w:lang w:val="fr-FR" w:eastAsia="ja-JP"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3CDFC776"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6FF3D281"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tcPr>
          <w:p w14:paraId="77DF9A7E"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57" w:type="pct"/>
            <w:tcBorders>
              <w:top w:val="single" w:sz="4" w:space="0" w:color="auto"/>
              <w:left w:val="single" w:sz="4" w:space="0" w:color="auto"/>
              <w:bottom w:val="single" w:sz="4" w:space="0" w:color="auto"/>
              <w:right w:val="single" w:sz="4" w:space="0" w:color="auto"/>
            </w:tcBorders>
            <w:vAlign w:val="center"/>
          </w:tcPr>
          <w:p w14:paraId="5836C8E3"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97" w:type="pct"/>
            <w:tcBorders>
              <w:top w:val="single" w:sz="4" w:space="0" w:color="auto"/>
              <w:left w:val="single" w:sz="4" w:space="0" w:color="auto"/>
              <w:bottom w:val="single" w:sz="4" w:space="0" w:color="auto"/>
              <w:right w:val="single" w:sz="4" w:space="0" w:color="auto"/>
            </w:tcBorders>
            <w:vAlign w:val="center"/>
          </w:tcPr>
          <w:p w14:paraId="48C582B5"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94" w:type="pct"/>
            <w:tcBorders>
              <w:top w:val="single" w:sz="4" w:space="0" w:color="auto"/>
              <w:left w:val="single" w:sz="4" w:space="0" w:color="auto"/>
              <w:bottom w:val="single" w:sz="4" w:space="0" w:color="auto"/>
              <w:right w:val="single" w:sz="4" w:space="0" w:color="auto"/>
            </w:tcBorders>
            <w:vAlign w:val="center"/>
          </w:tcPr>
          <w:p w14:paraId="5C343637"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47" w:type="pct"/>
            <w:tcBorders>
              <w:top w:val="single" w:sz="4" w:space="0" w:color="auto"/>
              <w:left w:val="single" w:sz="4" w:space="0" w:color="auto"/>
              <w:bottom w:val="single" w:sz="4" w:space="0" w:color="auto"/>
              <w:right w:val="single" w:sz="4" w:space="0" w:color="auto"/>
            </w:tcBorders>
            <w:vAlign w:val="center"/>
          </w:tcPr>
          <w:p w14:paraId="5A10BB5D"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tcPr>
          <w:p w14:paraId="4EF0C164"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0537F4AB"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4EB207B5"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tcPr>
          <w:p w14:paraId="1EDE7E73"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60" w:type="pct"/>
            <w:tcBorders>
              <w:top w:val="single" w:sz="4" w:space="0" w:color="auto"/>
              <w:left w:val="single" w:sz="4" w:space="0" w:color="auto"/>
              <w:bottom w:val="single" w:sz="4" w:space="0" w:color="auto"/>
              <w:right w:val="single" w:sz="4" w:space="0" w:color="auto"/>
            </w:tcBorders>
            <w:noWrap/>
            <w:vAlign w:val="center"/>
          </w:tcPr>
          <w:p w14:paraId="58A5D77E"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60" w:type="pct"/>
            <w:tcBorders>
              <w:top w:val="single" w:sz="4" w:space="0" w:color="auto"/>
              <w:left w:val="single" w:sz="4" w:space="0" w:color="auto"/>
              <w:bottom w:val="single" w:sz="4" w:space="0" w:color="auto"/>
              <w:right w:val="single" w:sz="4" w:space="0" w:color="auto"/>
            </w:tcBorders>
            <w:noWrap/>
            <w:vAlign w:val="center"/>
          </w:tcPr>
          <w:p w14:paraId="6D48F52E"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94" w:type="pct"/>
            <w:tcBorders>
              <w:top w:val="single" w:sz="4" w:space="0" w:color="auto"/>
              <w:left w:val="single" w:sz="4" w:space="0" w:color="auto"/>
              <w:bottom w:val="single" w:sz="4" w:space="0" w:color="auto"/>
              <w:right w:val="single" w:sz="4" w:space="0" w:color="auto"/>
            </w:tcBorders>
            <w:noWrap/>
            <w:vAlign w:val="center"/>
          </w:tcPr>
          <w:p w14:paraId="22F2E1F2"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60" w:type="pct"/>
            <w:tcBorders>
              <w:top w:val="single" w:sz="4" w:space="0" w:color="auto"/>
              <w:left w:val="single" w:sz="4" w:space="0" w:color="auto"/>
              <w:bottom w:val="single" w:sz="4" w:space="0" w:color="auto"/>
              <w:right w:val="single" w:sz="4" w:space="0" w:color="auto"/>
            </w:tcBorders>
            <w:vAlign w:val="center"/>
          </w:tcPr>
          <w:p w14:paraId="5AD2BAAF" w14:textId="77777777" w:rsidR="008536EC" w:rsidRPr="004E13E9" w:rsidRDefault="008536EC" w:rsidP="00BB4F69">
            <w:pPr>
              <w:widowControl w:val="0"/>
              <w:jc w:val="center"/>
              <w:rPr>
                <w:rFonts w:eastAsia="Times New Roman" w:cs="Calibri"/>
                <w:b/>
                <w:bCs/>
                <w:color w:val="000000"/>
                <w:sz w:val="16"/>
                <w:szCs w:val="16"/>
                <w:lang w:eastAsia="ja-JP" w:bidi="fr-FR"/>
              </w:rPr>
            </w:pPr>
          </w:p>
        </w:tc>
      </w:tr>
      <w:tr w:rsidR="008536EC" w:rsidRPr="004E13E9" w14:paraId="2F693A96"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vAlign w:val="center"/>
            <w:hideMark/>
          </w:tcPr>
          <w:p w14:paraId="6E28C234" w14:textId="77777777" w:rsidR="008536EC" w:rsidRPr="004E13E9" w:rsidRDefault="008536EC" w:rsidP="00BB4F69">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24"/>
                <w:lang w:val="fr-FR" w:eastAsia="fr-FR" w:bidi="fr-FR"/>
              </w:rPr>
              <w:t>Tolérance pour la pêche sportive/récréative(le cas échéant)</w:t>
            </w:r>
          </w:p>
        </w:tc>
        <w:tc>
          <w:tcPr>
            <w:tcW w:w="566" w:type="pct"/>
            <w:tcBorders>
              <w:top w:val="single" w:sz="4" w:space="0" w:color="auto"/>
              <w:left w:val="single" w:sz="4" w:space="0" w:color="auto"/>
              <w:bottom w:val="single" w:sz="4" w:space="0" w:color="auto"/>
              <w:right w:val="single" w:sz="4" w:space="0" w:color="auto"/>
            </w:tcBorders>
            <w:noWrap/>
            <w:vAlign w:val="center"/>
          </w:tcPr>
          <w:p w14:paraId="2CAF3296" w14:textId="77777777" w:rsidR="008536EC" w:rsidRPr="004E13E9" w:rsidRDefault="008536EC" w:rsidP="00BB4F69">
            <w:pPr>
              <w:widowControl w:val="0"/>
              <w:jc w:val="right"/>
              <w:rPr>
                <w:rFonts w:eastAsia="Times New Roman" w:cs="Calibri"/>
                <w:b/>
                <w:bCs/>
                <w:color w:val="000000"/>
                <w:sz w:val="16"/>
                <w:szCs w:val="16"/>
                <w:lang w:val="fr-FR" w:eastAsia="ja-JP"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58347B55"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706C59B9"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tcPr>
          <w:p w14:paraId="07BAF2FD"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57" w:type="pct"/>
            <w:tcBorders>
              <w:top w:val="single" w:sz="4" w:space="0" w:color="auto"/>
              <w:left w:val="single" w:sz="4" w:space="0" w:color="auto"/>
              <w:bottom w:val="single" w:sz="4" w:space="0" w:color="auto"/>
              <w:right w:val="single" w:sz="4" w:space="0" w:color="auto"/>
            </w:tcBorders>
            <w:vAlign w:val="center"/>
            <w:hideMark/>
          </w:tcPr>
          <w:p w14:paraId="2A08933A"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2604DE35"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94" w:type="pct"/>
            <w:tcBorders>
              <w:top w:val="single" w:sz="4" w:space="0" w:color="auto"/>
              <w:left w:val="single" w:sz="4" w:space="0" w:color="auto"/>
              <w:bottom w:val="single" w:sz="4" w:space="0" w:color="auto"/>
              <w:right w:val="single" w:sz="4" w:space="0" w:color="auto"/>
            </w:tcBorders>
            <w:vAlign w:val="center"/>
            <w:hideMark/>
          </w:tcPr>
          <w:p w14:paraId="23CD4B55"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hideMark/>
          </w:tcPr>
          <w:p w14:paraId="15CFB893"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tcPr>
          <w:p w14:paraId="5CE897D2"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62154ADF"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65E64951"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tcPr>
          <w:p w14:paraId="4E978F60"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60" w:type="pct"/>
            <w:tcBorders>
              <w:top w:val="single" w:sz="4" w:space="0" w:color="auto"/>
              <w:left w:val="single" w:sz="4" w:space="0" w:color="auto"/>
              <w:bottom w:val="single" w:sz="4" w:space="0" w:color="auto"/>
              <w:right w:val="single" w:sz="4" w:space="0" w:color="auto"/>
            </w:tcBorders>
            <w:noWrap/>
            <w:vAlign w:val="center"/>
            <w:hideMark/>
          </w:tcPr>
          <w:p w14:paraId="276445BF"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60" w:type="pct"/>
            <w:tcBorders>
              <w:top w:val="single" w:sz="4" w:space="0" w:color="auto"/>
              <w:left w:val="single" w:sz="4" w:space="0" w:color="auto"/>
              <w:bottom w:val="single" w:sz="4" w:space="0" w:color="auto"/>
              <w:right w:val="single" w:sz="4" w:space="0" w:color="auto"/>
            </w:tcBorders>
            <w:noWrap/>
            <w:vAlign w:val="center"/>
            <w:hideMark/>
          </w:tcPr>
          <w:p w14:paraId="4CD46B21"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94" w:type="pct"/>
            <w:tcBorders>
              <w:top w:val="single" w:sz="4" w:space="0" w:color="auto"/>
              <w:left w:val="single" w:sz="4" w:space="0" w:color="auto"/>
              <w:bottom w:val="single" w:sz="4" w:space="0" w:color="auto"/>
              <w:right w:val="single" w:sz="4" w:space="0" w:color="auto"/>
            </w:tcBorders>
            <w:noWrap/>
            <w:vAlign w:val="center"/>
            <w:hideMark/>
          </w:tcPr>
          <w:p w14:paraId="0C1EBA6A"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60" w:type="pct"/>
            <w:tcBorders>
              <w:top w:val="single" w:sz="4" w:space="0" w:color="auto"/>
              <w:left w:val="single" w:sz="4" w:space="0" w:color="auto"/>
              <w:bottom w:val="single" w:sz="4" w:space="0" w:color="auto"/>
              <w:right w:val="single" w:sz="4" w:space="0" w:color="auto"/>
            </w:tcBorders>
            <w:vAlign w:val="center"/>
            <w:hideMark/>
          </w:tcPr>
          <w:p w14:paraId="11E23DCA"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color w:val="000000"/>
                <w:sz w:val="16"/>
                <w:szCs w:val="24"/>
                <w:lang w:eastAsia="fr-FR" w:bidi="fr-FR"/>
              </w:rPr>
              <w:t>0</w:t>
            </w:r>
          </w:p>
        </w:tc>
      </w:tr>
      <w:tr w:rsidR="008536EC" w:rsidRPr="004E13E9" w14:paraId="036BF394"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vAlign w:val="center"/>
            <w:hideMark/>
          </w:tcPr>
          <w:p w14:paraId="72F95BEA" w14:textId="77777777" w:rsidR="008536EC" w:rsidRPr="004E13E9" w:rsidRDefault="008536EC" w:rsidP="00BB4F69">
            <w:pPr>
              <w:widowControl w:val="0"/>
              <w:jc w:val="both"/>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Quota disponible</w:t>
            </w:r>
          </w:p>
        </w:tc>
        <w:tc>
          <w:tcPr>
            <w:tcW w:w="566" w:type="pct"/>
            <w:tcBorders>
              <w:top w:val="single" w:sz="4" w:space="0" w:color="auto"/>
              <w:left w:val="single" w:sz="4" w:space="0" w:color="auto"/>
              <w:bottom w:val="single" w:sz="4" w:space="0" w:color="auto"/>
              <w:right w:val="single" w:sz="4" w:space="0" w:color="auto"/>
            </w:tcBorders>
            <w:noWrap/>
            <w:vAlign w:val="center"/>
          </w:tcPr>
          <w:p w14:paraId="63480E86" w14:textId="77777777" w:rsidR="008536EC" w:rsidRPr="004E13E9" w:rsidRDefault="008536EC" w:rsidP="00BB4F69">
            <w:pPr>
              <w:widowControl w:val="0"/>
              <w:jc w:val="right"/>
              <w:rPr>
                <w:rFonts w:eastAsia="Times New Roman" w:cs="Calibri"/>
                <w:b/>
                <w:bCs/>
                <w:color w:val="000000"/>
                <w:sz w:val="16"/>
                <w:szCs w:val="16"/>
                <w:lang w:eastAsia="ja-JP"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5E6227E2"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noWrap/>
            <w:vAlign w:val="center"/>
            <w:hideMark/>
          </w:tcPr>
          <w:p w14:paraId="76A0F6F2"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tcPr>
          <w:p w14:paraId="182E86B2"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57" w:type="pct"/>
            <w:tcBorders>
              <w:top w:val="single" w:sz="4" w:space="0" w:color="auto"/>
              <w:left w:val="single" w:sz="4" w:space="0" w:color="auto"/>
              <w:bottom w:val="single" w:sz="4" w:space="0" w:color="auto"/>
              <w:right w:val="single" w:sz="4" w:space="0" w:color="auto"/>
            </w:tcBorders>
            <w:vAlign w:val="center"/>
            <w:hideMark/>
          </w:tcPr>
          <w:p w14:paraId="4BF219FA"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507,87</w:t>
            </w:r>
          </w:p>
        </w:tc>
        <w:tc>
          <w:tcPr>
            <w:tcW w:w="297" w:type="pct"/>
            <w:tcBorders>
              <w:top w:val="single" w:sz="4" w:space="0" w:color="auto"/>
              <w:left w:val="single" w:sz="4" w:space="0" w:color="auto"/>
              <w:bottom w:val="single" w:sz="4" w:space="0" w:color="auto"/>
              <w:right w:val="single" w:sz="4" w:space="0" w:color="auto"/>
            </w:tcBorders>
            <w:vAlign w:val="center"/>
            <w:hideMark/>
          </w:tcPr>
          <w:p w14:paraId="21DB7852"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507,87</w:t>
            </w:r>
          </w:p>
        </w:tc>
        <w:tc>
          <w:tcPr>
            <w:tcW w:w="294" w:type="pct"/>
            <w:tcBorders>
              <w:top w:val="single" w:sz="4" w:space="0" w:color="auto"/>
              <w:left w:val="single" w:sz="4" w:space="0" w:color="auto"/>
              <w:bottom w:val="single" w:sz="4" w:space="0" w:color="auto"/>
              <w:right w:val="single" w:sz="4" w:space="0" w:color="auto"/>
            </w:tcBorders>
            <w:vAlign w:val="center"/>
            <w:hideMark/>
          </w:tcPr>
          <w:p w14:paraId="7BA395DC"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507,675</w:t>
            </w:r>
          </w:p>
        </w:tc>
        <w:tc>
          <w:tcPr>
            <w:tcW w:w="247" w:type="pct"/>
            <w:tcBorders>
              <w:top w:val="single" w:sz="4" w:space="0" w:color="auto"/>
              <w:left w:val="single" w:sz="4" w:space="0" w:color="auto"/>
              <w:bottom w:val="single" w:sz="4" w:space="0" w:color="auto"/>
              <w:right w:val="single" w:sz="4" w:space="0" w:color="auto"/>
            </w:tcBorders>
            <w:vAlign w:val="center"/>
            <w:hideMark/>
          </w:tcPr>
          <w:p w14:paraId="4DB92257"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543,51</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tcPr>
          <w:p w14:paraId="5267428A"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04" w:type="pct"/>
            <w:tcBorders>
              <w:top w:val="single" w:sz="4" w:space="0" w:color="auto"/>
              <w:left w:val="single" w:sz="4" w:space="0" w:color="auto"/>
              <w:bottom w:val="single" w:sz="4" w:space="0" w:color="auto"/>
              <w:right w:val="single" w:sz="4" w:space="0" w:color="auto"/>
            </w:tcBorders>
            <w:vAlign w:val="center"/>
            <w:hideMark/>
          </w:tcPr>
          <w:p w14:paraId="5E70874A"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vAlign w:val="center"/>
            <w:hideMark/>
          </w:tcPr>
          <w:p w14:paraId="1E0315F3"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vAlign w:val="center"/>
          </w:tcPr>
          <w:p w14:paraId="776DCC9D" w14:textId="77777777" w:rsidR="008536EC" w:rsidRPr="004E13E9" w:rsidRDefault="008536EC" w:rsidP="00BB4F69">
            <w:pPr>
              <w:widowControl w:val="0"/>
              <w:jc w:val="center"/>
              <w:rPr>
                <w:rFonts w:eastAsia="Times New Roman" w:cs="Calibri"/>
                <w:b/>
                <w:bCs/>
                <w:color w:val="000000"/>
                <w:sz w:val="16"/>
                <w:szCs w:val="16"/>
                <w:lang w:eastAsia="ja-JP" w:bidi="fr-FR"/>
              </w:rPr>
            </w:pPr>
          </w:p>
        </w:tc>
        <w:tc>
          <w:tcPr>
            <w:tcW w:w="260" w:type="pct"/>
            <w:tcBorders>
              <w:top w:val="single" w:sz="4" w:space="0" w:color="auto"/>
              <w:left w:val="single" w:sz="4" w:space="0" w:color="auto"/>
              <w:bottom w:val="single" w:sz="4" w:space="0" w:color="auto"/>
              <w:right w:val="single" w:sz="4" w:space="0" w:color="auto"/>
            </w:tcBorders>
            <w:noWrap/>
            <w:vAlign w:val="center"/>
            <w:hideMark/>
          </w:tcPr>
          <w:p w14:paraId="4A4F8BDC"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507,87</w:t>
            </w:r>
          </w:p>
        </w:tc>
        <w:tc>
          <w:tcPr>
            <w:tcW w:w="260" w:type="pct"/>
            <w:tcBorders>
              <w:top w:val="single" w:sz="4" w:space="0" w:color="auto"/>
              <w:left w:val="single" w:sz="4" w:space="0" w:color="auto"/>
              <w:bottom w:val="single" w:sz="4" w:space="0" w:color="auto"/>
              <w:right w:val="single" w:sz="4" w:space="0" w:color="auto"/>
            </w:tcBorders>
            <w:noWrap/>
            <w:vAlign w:val="center"/>
            <w:hideMark/>
          </w:tcPr>
          <w:p w14:paraId="68B55541"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507,87</w:t>
            </w:r>
          </w:p>
        </w:tc>
        <w:tc>
          <w:tcPr>
            <w:tcW w:w="294" w:type="pct"/>
            <w:tcBorders>
              <w:top w:val="single" w:sz="4" w:space="0" w:color="auto"/>
              <w:left w:val="single" w:sz="4" w:space="0" w:color="auto"/>
              <w:bottom w:val="single" w:sz="4" w:space="0" w:color="auto"/>
              <w:right w:val="single" w:sz="4" w:space="0" w:color="auto"/>
            </w:tcBorders>
            <w:noWrap/>
            <w:vAlign w:val="center"/>
            <w:hideMark/>
          </w:tcPr>
          <w:p w14:paraId="0F9492C1"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507,675</w:t>
            </w:r>
          </w:p>
        </w:tc>
        <w:tc>
          <w:tcPr>
            <w:tcW w:w="260" w:type="pct"/>
            <w:tcBorders>
              <w:top w:val="single" w:sz="4" w:space="0" w:color="auto"/>
              <w:left w:val="single" w:sz="4" w:space="0" w:color="auto"/>
              <w:bottom w:val="single" w:sz="4" w:space="0" w:color="auto"/>
              <w:right w:val="single" w:sz="4" w:space="0" w:color="auto"/>
            </w:tcBorders>
            <w:vAlign w:val="center"/>
            <w:hideMark/>
          </w:tcPr>
          <w:p w14:paraId="51CEBE6B" w14:textId="77777777" w:rsidR="008536EC" w:rsidRPr="004E13E9" w:rsidRDefault="008536EC" w:rsidP="00BB4F69">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543,51</w:t>
            </w:r>
          </w:p>
        </w:tc>
      </w:tr>
      <w:tr w:rsidR="008536EC" w:rsidRPr="004E13E9" w14:paraId="158D96B7" w14:textId="77777777" w:rsidTr="00BB4F69">
        <w:trPr>
          <w:trHeight w:val="20"/>
        </w:trPr>
        <w:tc>
          <w:tcPr>
            <w:tcW w:w="908"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F6C2D09" w14:textId="77777777" w:rsidR="008536EC" w:rsidRPr="004E13E9" w:rsidRDefault="008536EC" w:rsidP="00BB4F69">
            <w:pPr>
              <w:widowControl w:val="0"/>
              <w:jc w:val="both"/>
              <w:rPr>
                <w:rFonts w:eastAsia="Times New Roman" w:cs="Calibri"/>
                <w:b/>
                <w:bCs/>
                <w:color w:val="000000"/>
                <w:sz w:val="16"/>
                <w:szCs w:val="16"/>
                <w:lang w:eastAsia="fr-FR" w:bidi="fr-FR"/>
              </w:rPr>
            </w:pPr>
            <w:r w:rsidRPr="004E13E9">
              <w:rPr>
                <w:rFonts w:eastAsia="MS Gothic" w:cs="Times New Roman"/>
                <w:b/>
                <w:color w:val="000000"/>
                <w:sz w:val="16"/>
                <w:szCs w:val="24"/>
                <w:lang w:eastAsia="fr-FR" w:bidi="fr-FR"/>
              </w:rPr>
              <w:t>Sous/</w:t>
            </w:r>
            <w:proofErr w:type="spellStart"/>
            <w:r w:rsidRPr="004E13E9">
              <w:rPr>
                <w:rFonts w:eastAsia="MS Gothic" w:cs="Times New Roman"/>
                <w:b/>
                <w:color w:val="000000"/>
                <w:sz w:val="16"/>
                <w:szCs w:val="24"/>
                <w:lang w:eastAsia="fr-FR" w:bidi="fr-FR"/>
              </w:rPr>
              <w:t>surcapacité</w:t>
            </w:r>
            <w:proofErr w:type="spellEnd"/>
          </w:p>
        </w:tc>
        <w:tc>
          <w:tcPr>
            <w:tcW w:w="566"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4089BEB" w14:textId="77777777" w:rsidR="008536EC" w:rsidRPr="004E13E9" w:rsidRDefault="008536EC" w:rsidP="00BB4F69">
            <w:pPr>
              <w:widowControl w:val="0"/>
              <w:jc w:val="right"/>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 </w:t>
            </w:r>
          </w:p>
        </w:tc>
        <w:tc>
          <w:tcPr>
            <w:tcW w:w="2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952648E"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8E881CA"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AC7F2EF"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5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3BF786A"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37B602F"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94" w:type="pct"/>
            <w:tcBorders>
              <w:top w:val="single" w:sz="4" w:space="0" w:color="auto"/>
              <w:left w:val="single" w:sz="4" w:space="0" w:color="auto"/>
              <w:bottom w:val="single" w:sz="4" w:space="0" w:color="auto"/>
              <w:right w:val="single" w:sz="4" w:space="0" w:color="auto"/>
            </w:tcBorders>
            <w:shd w:val="clear" w:color="auto" w:fill="D9D9D9"/>
            <w:vAlign w:val="center"/>
          </w:tcPr>
          <w:p w14:paraId="5F25D792"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247" w:type="pct"/>
            <w:tcBorders>
              <w:top w:val="single" w:sz="4" w:space="0" w:color="auto"/>
              <w:left w:val="single" w:sz="4" w:space="0" w:color="auto"/>
              <w:bottom w:val="single" w:sz="4" w:space="0" w:color="auto"/>
              <w:right w:val="single" w:sz="4" w:space="0" w:color="auto"/>
            </w:tcBorders>
            <w:shd w:val="clear" w:color="auto" w:fill="D9D9D9"/>
            <w:vAlign w:val="center"/>
          </w:tcPr>
          <w:p w14:paraId="49CBD67A" w14:textId="77777777" w:rsidR="008536EC" w:rsidRPr="004E13E9" w:rsidRDefault="008536EC" w:rsidP="00BB4F69">
            <w:pPr>
              <w:widowControl w:val="0"/>
              <w:jc w:val="center"/>
              <w:rPr>
                <w:rFonts w:eastAsia="Times New Roman" w:cs="Calibri"/>
                <w:color w:val="000000"/>
                <w:sz w:val="16"/>
                <w:szCs w:val="16"/>
                <w:lang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BEFE961" w14:textId="77777777" w:rsidR="008536EC" w:rsidRPr="004E13E9" w:rsidRDefault="008536EC" w:rsidP="00BB4F69">
            <w:pPr>
              <w:widowControl w:val="0"/>
              <w:jc w:val="center"/>
              <w:rPr>
                <w:rFonts w:eastAsia="Times New Roman" w:cs="Calibri"/>
                <w:color w:val="000000"/>
                <w:sz w:val="16"/>
                <w:szCs w:val="16"/>
                <w:lang w:eastAsia="fr-FR" w:bidi="fr-FR"/>
              </w:rPr>
            </w:pPr>
          </w:p>
        </w:tc>
        <w:tc>
          <w:tcPr>
            <w:tcW w:w="2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DD8E6A9"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515B29D"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0</w:t>
            </w:r>
          </w:p>
        </w:tc>
        <w:tc>
          <w:tcPr>
            <w:tcW w:w="24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C722D57" w14:textId="77777777" w:rsidR="008536EC" w:rsidRPr="004E13E9" w:rsidRDefault="008536EC" w:rsidP="00BB4F69">
            <w:pPr>
              <w:widowControl w:val="0"/>
              <w:ind w:hanging="141"/>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-131,22</w:t>
            </w:r>
          </w:p>
        </w:tc>
        <w:tc>
          <w:tcPr>
            <w:tcW w:w="2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34249A2"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-408,31</w:t>
            </w:r>
          </w:p>
        </w:tc>
        <w:tc>
          <w:tcPr>
            <w:tcW w:w="2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10F9C53"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-408,31</w:t>
            </w:r>
          </w:p>
        </w:tc>
        <w:tc>
          <w:tcPr>
            <w:tcW w:w="29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EECF924"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-408,115</w:t>
            </w:r>
          </w:p>
        </w:tc>
        <w:tc>
          <w:tcPr>
            <w:tcW w:w="2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41E9D84" w14:textId="77777777" w:rsidR="008536EC" w:rsidRPr="004E13E9" w:rsidRDefault="008536EC" w:rsidP="00BB4F69">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24"/>
                <w:lang w:eastAsia="fr-FR" w:bidi="fr-FR"/>
              </w:rPr>
              <w:t>-443,95</w:t>
            </w:r>
          </w:p>
        </w:tc>
      </w:tr>
    </w:tbl>
    <w:p w14:paraId="73DBA213" w14:textId="77777777" w:rsidR="008536EC" w:rsidRPr="004E13E9" w:rsidRDefault="008536EC" w:rsidP="008536EC">
      <w:pPr>
        <w:rPr>
          <w:rFonts w:eastAsia="MS Gothic" w:cs="Times New Roman"/>
          <w:b/>
          <w:bCs/>
          <w:iCs/>
          <w:lang w:eastAsia="fr-FR" w:bidi="fr-FR"/>
        </w:rPr>
      </w:pPr>
    </w:p>
    <w:p w14:paraId="4BE5AA90" w14:textId="77777777" w:rsidR="008536EC" w:rsidRPr="004E13E9" w:rsidRDefault="008536EC" w:rsidP="008536EC">
      <w:pPr>
        <w:tabs>
          <w:tab w:val="left" w:pos="142"/>
        </w:tabs>
        <w:jc w:val="both"/>
        <w:rPr>
          <w:rFonts w:eastAsia="MS Gothic" w:cs="Times New Roman"/>
          <w:sz w:val="16"/>
          <w:szCs w:val="16"/>
          <w:lang w:eastAsia="fr-FR" w:bidi="fr-FR"/>
        </w:rPr>
      </w:pPr>
    </w:p>
    <w:p w14:paraId="3D346FD0" w14:textId="77777777" w:rsidR="008536EC" w:rsidRPr="004E13E9" w:rsidRDefault="008536EC">
      <w:pPr>
        <w:sectPr w:rsidR="008536EC" w:rsidRPr="004E13E9" w:rsidSect="008E33F7">
          <w:footnotePr>
            <w:numFmt w:val="chicago"/>
          </w:footnotePr>
          <w:pgSz w:w="16840" w:h="11907" w:orient="landscape" w:code="9"/>
          <w:pgMar w:top="1418" w:right="1418" w:bottom="1418" w:left="1418" w:header="851" w:footer="1134" w:gutter="0"/>
          <w:cols w:space="720"/>
          <w:docGrid w:linePitch="272"/>
        </w:sectPr>
      </w:pPr>
    </w:p>
    <w:p w14:paraId="27B4BDCF" w14:textId="630C9A51" w:rsidR="003F6737" w:rsidRPr="004E13E9" w:rsidRDefault="003F6737" w:rsidP="003F6737">
      <w:pPr>
        <w:rPr>
          <w:lang w:val="fr-FR" w:eastAsia="en-GB"/>
        </w:rPr>
      </w:pPr>
      <w:r w:rsidRPr="004E13E9">
        <w:rPr>
          <w:b/>
          <w:bCs/>
          <w:lang w:val="fr-FR" w:eastAsia="en-GB"/>
        </w:rPr>
        <w:lastRenderedPageBreak/>
        <w:t xml:space="preserve">Union européenne </w:t>
      </w:r>
    </w:p>
    <w:p w14:paraId="0E1A72DA" w14:textId="77777777" w:rsidR="003F6737" w:rsidRPr="004E13E9" w:rsidRDefault="003F6737">
      <w:pPr>
        <w:rPr>
          <w:lang w:val="fr-FR"/>
        </w:rPr>
      </w:pPr>
    </w:p>
    <w:p w14:paraId="1321EB10" w14:textId="77777777" w:rsidR="00DF358A" w:rsidRPr="004E13E9" w:rsidRDefault="00DF358A" w:rsidP="00DF358A">
      <w:pPr>
        <w:contextualSpacing/>
        <w:rPr>
          <w:rFonts w:eastAsia="MS Gothic" w:cs="Times New Roman"/>
          <w:b/>
          <w:lang w:val="fr-FR" w:eastAsia="fr-FR" w:bidi="fr-FR"/>
        </w:rPr>
      </w:pPr>
      <w:r w:rsidRPr="004E13E9">
        <w:rPr>
          <w:rFonts w:eastAsia="MS Gothic" w:cs="Times New Roman"/>
          <w:b/>
          <w:lang w:val="fr-FR" w:eastAsia="fr-FR" w:bidi="fr-FR"/>
        </w:rPr>
        <w:t>Année du plan de pêche : 2026</w:t>
      </w:r>
    </w:p>
    <w:p w14:paraId="17437E23" w14:textId="77777777" w:rsidR="00DF358A" w:rsidRPr="004E13E9" w:rsidRDefault="00DF358A" w:rsidP="00DF358A">
      <w:pPr>
        <w:contextualSpacing/>
        <w:rPr>
          <w:rFonts w:eastAsia="MS Gothic" w:cs="Times New Roman"/>
          <w:lang w:val="fr-FR" w:eastAsia="fr-FR" w:bidi="fr-FR"/>
        </w:rPr>
      </w:pPr>
    </w:p>
    <w:p w14:paraId="134AB678" w14:textId="77777777" w:rsidR="00DF358A" w:rsidRPr="004E13E9" w:rsidRDefault="00DF358A" w:rsidP="00DF358A">
      <w:pPr>
        <w:ind w:left="360" w:hanging="360"/>
        <w:contextualSpacing/>
        <w:rPr>
          <w:rFonts w:eastAsia="MS Gothic" w:cs="Times New Roman"/>
          <w:b/>
          <w:lang w:val="fr-FR" w:eastAsia="fr-FR" w:bidi="fr-FR"/>
        </w:rPr>
      </w:pPr>
      <w:r w:rsidRPr="004E13E9">
        <w:rPr>
          <w:rFonts w:eastAsia="MS Gothic" w:cs="Times New Roman"/>
          <w:b/>
          <w:lang w:val="fr-FR" w:eastAsia="fr-FR" w:bidi="fr-FR"/>
        </w:rPr>
        <w:t>Introduction</w:t>
      </w:r>
    </w:p>
    <w:p w14:paraId="3446E473" w14:textId="77777777" w:rsidR="00DF358A" w:rsidRPr="004E13E9" w:rsidRDefault="00DF358A" w:rsidP="00DF358A">
      <w:pPr>
        <w:ind w:left="360" w:hanging="360"/>
        <w:contextualSpacing/>
        <w:rPr>
          <w:rFonts w:eastAsia="MS Gothic" w:cs="Times New Roman"/>
          <w:b/>
          <w:lang w:val="fr-FR" w:eastAsia="fr-FR" w:bidi="fr-FR"/>
        </w:rPr>
      </w:pPr>
    </w:p>
    <w:p w14:paraId="1EB6D4DD" w14:textId="77777777" w:rsidR="00DF358A" w:rsidRPr="004E13E9" w:rsidRDefault="00DF358A" w:rsidP="00DF358A">
      <w:pPr>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L’Union européenne (UE) présente ci-joint ses plans de pêche, d'inspection et de gestion de la capacité ainsi que son plan de gestion de l’élevage du thon rouge de l'Atlantique Est (BFT-E) au titre de 2026.</w:t>
      </w:r>
    </w:p>
    <w:p w14:paraId="6710E7E4" w14:textId="77777777" w:rsidR="00DF358A" w:rsidRPr="004E13E9" w:rsidRDefault="00DF358A" w:rsidP="00DF358A">
      <w:pPr>
        <w:contextualSpacing/>
        <w:jc w:val="both"/>
        <w:rPr>
          <w:rFonts w:eastAsia="MS Gothic" w:cs="Times New Roman"/>
          <w:color w:val="000000"/>
          <w:lang w:val="fr-FR" w:eastAsia="fr-FR" w:bidi="fr-FR"/>
        </w:rPr>
      </w:pPr>
    </w:p>
    <w:p w14:paraId="0E9D0C38" w14:textId="77777777" w:rsidR="00DF358A" w:rsidRPr="004E13E9" w:rsidRDefault="00DF358A" w:rsidP="00DF358A">
      <w:pPr>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Les huit États membres pêchant activement cette ressource sont la Croatie, Chypre, la France, la Grèce, l’Italie, Malte, le Portugal et l’Espagne. Ces États membres de l’UE pêchent avec plusieurs engins de pêche et la majorité des quotas est attribuée aux secteurs de la pêche à la senne et des madragues. Toutefois, de fortes prises sont également effectuées par des palangriers et des secteurs plus artisanaux tels que canne et moulinet, ligne à main et chalutiers pélagiques, à la fois dans l'Atlantique et la Méditerranée. Ces huit États membres de l’UE coopèrent également dans la mise en œuvre d’un plan de déploiement conjoint d’inspection concernant le thon rouge, en coordination avec la Commission européenne et l’Agence européenne de contrôle des pêches (AECP).</w:t>
      </w:r>
    </w:p>
    <w:p w14:paraId="39EA7385" w14:textId="77777777" w:rsidR="00DF358A" w:rsidRPr="004E13E9" w:rsidRDefault="00DF358A" w:rsidP="00DF358A">
      <w:pPr>
        <w:contextualSpacing/>
        <w:jc w:val="both"/>
        <w:rPr>
          <w:rFonts w:eastAsia="MS Gothic" w:cs="Times New Roman"/>
          <w:color w:val="000000"/>
          <w:lang w:val="fr-FR" w:eastAsia="fr-FR" w:bidi="fr-FR"/>
        </w:rPr>
      </w:pPr>
    </w:p>
    <w:p w14:paraId="725E917A" w14:textId="77777777" w:rsidR="00DF358A" w:rsidRPr="004E13E9" w:rsidRDefault="00DF358A" w:rsidP="00DF358A">
      <w:pPr>
        <w:jc w:val="both"/>
        <w:rPr>
          <w:rFonts w:eastAsia="MS Gothic" w:cs="Times New Roman"/>
          <w:lang w:val="fr-FR" w:eastAsia="fr-FR" w:bidi="fr-FR"/>
        </w:rPr>
      </w:pPr>
      <w:r w:rsidRPr="004E13E9">
        <w:rPr>
          <w:rFonts w:eastAsia="MS Gothic" w:cs="Times New Roman"/>
          <w:color w:val="000000"/>
          <w:lang w:val="fr-FR" w:eastAsia="fr-FR" w:bidi="fr-FR"/>
        </w:rPr>
        <w:t xml:space="preserve">L’UE a adopté le Règlement (CE) Nº 302/2009 du Conseil du 6 avril 2009 transposant dans le droit de l’UE la </w:t>
      </w:r>
      <w:r w:rsidRPr="004E13E9">
        <w:rPr>
          <w:rFonts w:eastAsia="MS Gothic" w:cs="Times New Roman"/>
          <w:i/>
          <w:color w:val="000000"/>
          <w:lang w:val="fr-FR" w:eastAsia="fr-FR" w:bidi="fr-FR"/>
        </w:rPr>
        <w:t>Recommandation de l’ICCAT visant à l’établissement d’un programme pluriannuel de rétablissement pour le thon rouge de l’Atlantique Est et de la Méditerranée</w:t>
      </w:r>
      <w:r w:rsidRPr="004E13E9">
        <w:rPr>
          <w:rFonts w:eastAsia="MS Gothic" w:cs="Times New Roman"/>
          <w:color w:val="000000"/>
          <w:lang w:val="fr-FR" w:eastAsia="fr-FR" w:bidi="fr-FR"/>
        </w:rPr>
        <w:t xml:space="preserve"> (Rec. 08-05).</w:t>
      </w:r>
      <w:r w:rsidRPr="004E13E9">
        <w:rPr>
          <w:rFonts w:eastAsia="MS Gothic" w:cs="Times New Roman"/>
          <w:lang w:val="fr-FR" w:eastAsia="fr-FR" w:bidi="fr-FR"/>
        </w:rPr>
        <w:t xml:space="preserve"> Comme </w:t>
      </w:r>
      <w:proofErr w:type="gramStart"/>
      <w:r w:rsidRPr="004E13E9">
        <w:rPr>
          <w:rFonts w:eastAsia="MS Gothic" w:cs="Times New Roman"/>
          <w:lang w:val="fr-FR" w:eastAsia="fr-FR" w:bidi="fr-FR"/>
        </w:rPr>
        <w:t>suite à</w:t>
      </w:r>
      <w:proofErr w:type="gramEnd"/>
      <w:r w:rsidRPr="004E13E9">
        <w:rPr>
          <w:rFonts w:eastAsia="MS Gothic" w:cs="Times New Roman"/>
          <w:lang w:val="fr-FR" w:eastAsia="fr-FR" w:bidi="fr-FR"/>
        </w:rPr>
        <w:t xml:space="preserve"> l’adoption lors de la réunion annuelle de l’ICCAT tenue en 2010 à Paris de la Recommandation 10-04 de l'ICCAT pour amender la Recommandation 08-05, l’UE a amendé le Règlement (CE) Nº 302/2009 du Conseil transposant la Recommandation ICCAT 10-04 dans le droit communautaire. En 2014, l'UE a adopté le Règlement (UE) 544/2014 en transposant les amendements du programme de rétablissement tel qu’énoncé dans la Recommandation 13-07 de l'ICCAT. </w:t>
      </w:r>
      <w:r w:rsidRPr="004E13E9">
        <w:rPr>
          <w:rFonts w:eastAsia="MS Gothic" w:cs="Times New Roman"/>
          <w:color w:val="000000"/>
          <w:lang w:val="fr-FR" w:eastAsia="fr-FR" w:bidi="fr-FR"/>
        </w:rPr>
        <w:t>Finalement, l'UE a adopté le Règlement (UE) nº2023/2053 du Parlement européen et du Conseil du 14 septembre 2016 en transposant la Rec. 14-04 de l'ICCAT, telle que remplacée par la Rec. 17-07.</w:t>
      </w:r>
      <w:r w:rsidRPr="004E13E9">
        <w:rPr>
          <w:rFonts w:eastAsia="MS Gothic" w:cs="Times New Roman"/>
          <w:lang w:val="fr-FR" w:eastAsia="fr-FR" w:bidi="fr-FR"/>
        </w:rPr>
        <w:t xml:space="preserve"> </w:t>
      </w:r>
    </w:p>
    <w:p w14:paraId="30FFDF32" w14:textId="77777777" w:rsidR="00DF358A" w:rsidRPr="004E13E9" w:rsidRDefault="00DF358A" w:rsidP="00DF358A">
      <w:pPr>
        <w:jc w:val="both"/>
        <w:rPr>
          <w:rFonts w:eastAsia="MS Gothic" w:cs="Times New Roman"/>
          <w:lang w:val="fr-FR" w:eastAsia="fr-FR" w:bidi="fr-FR"/>
        </w:rPr>
      </w:pPr>
    </w:p>
    <w:p w14:paraId="63224DF7" w14:textId="77777777" w:rsidR="00DF358A" w:rsidRPr="004E13E9" w:rsidRDefault="00DF358A" w:rsidP="00DF358A">
      <w:pPr>
        <w:jc w:val="both"/>
        <w:rPr>
          <w:lang w:val="fr-FR"/>
        </w:rPr>
      </w:pPr>
      <w:r w:rsidRPr="004E13E9">
        <w:rPr>
          <w:rFonts w:eastAsia="MS Gothic" w:cs="Times New Roman"/>
          <w:color w:val="000000"/>
          <w:lang w:val="fr-FR" w:eastAsia="fr-FR" w:bidi="fr-FR"/>
        </w:rPr>
        <w:t>Le règlement (UE) 2019/833</w:t>
      </w:r>
      <w:r w:rsidRPr="004E13E9">
        <w:rPr>
          <w:rFonts w:eastAsia="Times New Roman" w:cs="Times New Roman"/>
          <w:vertAlign w:val="superscript"/>
        </w:rPr>
        <w:footnoteReference w:id="2"/>
      </w:r>
      <w:r w:rsidRPr="004E13E9">
        <w:rPr>
          <w:rFonts w:eastAsia="MS Gothic" w:cs="Times New Roman"/>
          <w:lang w:val="fr-FR" w:eastAsia="fr-FR" w:bidi="fr-FR"/>
        </w:rPr>
        <w:t xml:space="preserve"> </w:t>
      </w:r>
      <w:r w:rsidRPr="004E13E9">
        <w:rPr>
          <w:rFonts w:eastAsia="MS Gothic" w:cs="Times New Roman"/>
          <w:color w:val="000000"/>
          <w:lang w:val="fr-FR" w:eastAsia="fr-FR" w:bidi="fr-FR"/>
        </w:rPr>
        <w:t>a partiellement transposé la Rec. 18-02, telle que remplacée par la Rec. 19-04.</w:t>
      </w:r>
      <w:r w:rsidRPr="004E13E9">
        <w:rPr>
          <w:rFonts w:eastAsia="MS Gothic" w:cs="Times New Roman"/>
          <w:lang w:val="fr-FR" w:eastAsia="fr-FR" w:bidi="fr-FR"/>
        </w:rPr>
        <w:t xml:space="preserve"> En 2023, l’UE a achevé la transposition de la Rec. 21-08 en adoptant le règlement (UE) 2023/2053</w:t>
      </w:r>
      <w:r w:rsidRPr="004E13E9">
        <w:rPr>
          <w:rStyle w:val="FootnoteReference"/>
        </w:rPr>
        <w:footnoteReference w:id="3"/>
      </w:r>
      <w:r w:rsidRPr="004E13E9">
        <w:rPr>
          <w:rFonts w:eastAsia="MS Gothic" w:cs="Times New Roman"/>
          <w:lang w:val="fr-FR" w:eastAsia="fr-FR" w:bidi="fr-FR"/>
        </w:rPr>
        <w:t>, modifié par le règlement (UE) 2024/897</w:t>
      </w:r>
      <w:r w:rsidRPr="004E13E9">
        <w:rPr>
          <w:rStyle w:val="FootnoteReference"/>
        </w:rPr>
        <w:footnoteReference w:id="4"/>
      </w:r>
      <w:r w:rsidRPr="004E13E9">
        <w:rPr>
          <w:lang w:val="fr-FR"/>
        </w:rPr>
        <w:t xml:space="preserve"> et le Règlement délégué 2024/2925</w:t>
      </w:r>
      <w:r w:rsidRPr="004E13E9">
        <w:rPr>
          <w:rStyle w:val="FootnoteReference"/>
        </w:rPr>
        <w:footnoteReference w:id="5"/>
      </w:r>
      <w:r w:rsidRPr="004E13E9">
        <w:rPr>
          <w:lang w:val="fr-FR"/>
        </w:rPr>
        <w:t xml:space="preserve"> </w:t>
      </w:r>
      <w:r w:rsidRPr="004E13E9">
        <w:rPr>
          <w:rFonts w:eastAsia="MS Gothic" w:cs="Times New Roman"/>
          <w:lang w:val="fr-FR" w:eastAsia="fr-FR" w:bidi="fr-FR"/>
        </w:rPr>
        <w:t>mettant en œuvre les modifications apportées par la Rec. 22-08 par rapport à la précédente Rec. 21-08. L'UE a transposé les modifications introduites par la Recommandation 24-05 dans la législation européenne en modifiant le règlement (UE) 2023/2053. Les dernières modifications intégrées dans la Recommandation 25-04 sont en cours de transposition.</w:t>
      </w:r>
    </w:p>
    <w:p w14:paraId="3615DD8A" w14:textId="77777777" w:rsidR="00DF358A" w:rsidRPr="004E13E9" w:rsidRDefault="00DF358A" w:rsidP="00DF358A">
      <w:pPr>
        <w:contextualSpacing/>
        <w:jc w:val="both"/>
        <w:rPr>
          <w:rFonts w:eastAsia="MS Gothic" w:cs="Times New Roman"/>
          <w:lang w:val="fr-FR" w:eastAsia="fr-FR" w:bidi="fr-FR"/>
        </w:rPr>
      </w:pPr>
    </w:p>
    <w:p w14:paraId="7FE0C4AE"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 xml:space="preserve">Entre-temps et en vertu de l’Article 216(2) du traité sur le fonctionnement de l'Union européenne, les accords internationaux conclus par l’Union lient les institutions de l'Union et les États membres. Dans ces circonstances, les États membres sont tenus de prendre les mesures directes nécessaires visant à assurer l’application des Recommandations de l’ICCAT et notamment la Rec. 25-04 et en particulier, lorsque les règles ainsi mises en œuvre aboutissent à des mesures plus strictes que celles mises en œuvre via le règlement (UE) </w:t>
      </w:r>
      <w:r w:rsidRPr="004E13E9">
        <w:rPr>
          <w:lang w:val="fr-FR"/>
        </w:rPr>
        <w:t>2023/2053</w:t>
      </w:r>
      <w:r w:rsidRPr="004E13E9">
        <w:rPr>
          <w:rFonts w:eastAsia="MS Gothic" w:cs="Times New Roman"/>
          <w:lang w:val="fr-FR" w:eastAsia="fr-FR" w:bidi="fr-FR"/>
        </w:rPr>
        <w:t>. En outre, l'UE a décidé de mettre en œuvre la Rec. 25-04 à partir du 1</w:t>
      </w:r>
      <w:r w:rsidRPr="004E13E9">
        <w:rPr>
          <w:rFonts w:eastAsia="MS Gothic" w:cs="Times New Roman"/>
          <w:vertAlign w:val="superscript"/>
          <w:lang w:val="fr-FR" w:eastAsia="fr-FR" w:bidi="fr-FR"/>
        </w:rPr>
        <w:t>er</w:t>
      </w:r>
      <w:r w:rsidRPr="004E13E9">
        <w:rPr>
          <w:rFonts w:eastAsia="MS Gothic" w:cs="Times New Roman"/>
          <w:lang w:val="fr-FR" w:eastAsia="fr-FR" w:bidi="fr-FR"/>
        </w:rPr>
        <w:t xml:space="preserve"> janvier 2026 dans l'UE. La Commission européenne a informé le Secrétariat de l'ICCAT de cette mise en œuvre anticipée, information qui a été communiquée aux autres Parties contractantes de l’ICCAT via la circulaire de l’ICCAT nº00052/2026.</w:t>
      </w:r>
    </w:p>
    <w:p w14:paraId="6CE64756" w14:textId="77777777" w:rsidR="00DF358A" w:rsidRPr="004E13E9" w:rsidRDefault="00DF358A" w:rsidP="00DF358A">
      <w:pPr>
        <w:contextualSpacing/>
        <w:jc w:val="both"/>
        <w:rPr>
          <w:rFonts w:eastAsia="MS Gothic" w:cs="Times New Roman"/>
          <w:b/>
          <w:lang w:val="fr-FR" w:eastAsia="fr-FR" w:bidi="fr-FR"/>
        </w:rPr>
      </w:pPr>
    </w:p>
    <w:p w14:paraId="594B9F75" w14:textId="77777777" w:rsidR="00DF358A" w:rsidRPr="004E13E9" w:rsidRDefault="00DF358A" w:rsidP="00DF358A">
      <w:pPr>
        <w:contextualSpacing/>
        <w:jc w:val="both"/>
        <w:rPr>
          <w:rFonts w:eastAsia="MS Gothic" w:cs="Times New Roman"/>
          <w:b/>
          <w:lang w:val="fr-FR" w:eastAsia="fr-FR" w:bidi="fr-FR"/>
        </w:rPr>
      </w:pPr>
    </w:p>
    <w:p w14:paraId="45313707" w14:textId="77777777" w:rsidR="00DF358A" w:rsidRPr="004E13E9" w:rsidRDefault="00DF358A" w:rsidP="00DF358A">
      <w:pPr>
        <w:widowControl w:val="0"/>
        <w:ind w:left="426" w:hanging="426"/>
        <w:contextualSpacing/>
        <w:jc w:val="both"/>
        <w:rPr>
          <w:rFonts w:eastAsia="MS Gothic" w:cs="Times New Roman"/>
          <w:b/>
          <w:lang w:val="fr-FR" w:eastAsia="fr-FR" w:bidi="fr-FR"/>
        </w:rPr>
      </w:pPr>
      <w:r w:rsidRPr="004E13E9">
        <w:rPr>
          <w:rFonts w:eastAsia="MS Gothic" w:cs="Times New Roman"/>
          <w:b/>
          <w:lang w:val="fr-FR" w:eastAsia="fr-FR" w:bidi="fr-FR"/>
        </w:rPr>
        <w:lastRenderedPageBreak/>
        <w:t xml:space="preserve">1. </w:t>
      </w:r>
      <w:r w:rsidRPr="004E13E9">
        <w:rPr>
          <w:rFonts w:eastAsia="MS Gothic" w:cs="Times New Roman"/>
          <w:b/>
          <w:lang w:val="fr-FR" w:eastAsia="fr-FR" w:bidi="fr-FR"/>
        </w:rPr>
        <w:tab/>
        <w:t>Détails du plan annuel de pêche des navires de capture et des madragues (paras 14-15)</w:t>
      </w:r>
    </w:p>
    <w:p w14:paraId="0C18D420" w14:textId="77777777" w:rsidR="00DF358A" w:rsidRPr="004E13E9" w:rsidRDefault="00DF358A" w:rsidP="00DF358A">
      <w:pPr>
        <w:widowControl w:val="0"/>
        <w:contextualSpacing/>
        <w:jc w:val="both"/>
        <w:rPr>
          <w:rFonts w:eastAsia="MS Gothic" w:cs="Times New Roman"/>
          <w:b/>
          <w:sz w:val="8"/>
          <w:szCs w:val="8"/>
          <w:lang w:val="fr-FR" w:eastAsia="fr-FR" w:bidi="fr-FR"/>
        </w:rPr>
      </w:pPr>
    </w:p>
    <w:p w14:paraId="2F8E752A" w14:textId="77777777" w:rsidR="00DF358A" w:rsidRPr="004E13E9" w:rsidRDefault="00DF358A" w:rsidP="00DF358A">
      <w:pPr>
        <w:widowControl w:val="0"/>
        <w:jc w:val="both"/>
        <w:rPr>
          <w:rFonts w:eastAsia="MS Gothic" w:cs="Times New Roman"/>
          <w:b/>
          <w:bCs/>
          <w:i/>
          <w:iCs/>
          <w:color w:val="000000"/>
          <w:lang w:val="fr-FR" w:eastAsia="fr-FR" w:bidi="fr-FR"/>
        </w:rPr>
      </w:pPr>
      <w:r w:rsidRPr="004E13E9">
        <w:rPr>
          <w:rFonts w:eastAsia="MS Gothic" w:cs="Times New Roman"/>
          <w:b/>
          <w:bCs/>
          <w:i/>
          <w:iCs/>
          <w:color w:val="000000"/>
          <w:lang w:val="fr-FR" w:eastAsia="fr-FR" w:bidi="fr-FR"/>
        </w:rPr>
        <w:t>1a) Présentation (paragraphe 12)</w:t>
      </w:r>
    </w:p>
    <w:p w14:paraId="0731A62D" w14:textId="77777777" w:rsidR="00DF358A" w:rsidRPr="004E13E9" w:rsidRDefault="00DF358A" w:rsidP="00DF358A">
      <w:pPr>
        <w:ind w:left="360" w:hanging="360"/>
        <w:contextualSpacing/>
        <w:rPr>
          <w:rFonts w:eastAsia="MS Gothic" w:cs="Times New Roman"/>
          <w:b/>
          <w:lang w:val="fr-FR" w:eastAsia="fr-FR" w:bidi="fr-FR"/>
        </w:rPr>
      </w:pPr>
    </w:p>
    <w:p w14:paraId="16C0BEA1"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Conformément à la circulaire nº12095/2025 de l’ICCAT, l'UE utilise la Recommandation 25-04 comme seule référence pour l'élaboration du plan de pêche de l'UE et pour la campagne de pêche de 2026 du thon rouge de l’Est. Conformément au total admissible des captures (TAC) actuel prévu par la Recommandation 25-04, le quota de l'UE pour 2026 sera de 25.164,62 tonnes. Ce plan est basé sur le quota initial de l'UE ; une version révisée sera soumise dès que la Sous-commission 2, lors de sa réunion intersessions, aura approuvé les reports de l'UE 2025 à 2026. L’UE a élaboré le plan annuel de pêche en identifiant les navires de capture de plus de 24 mètres et leurs quotas individuels associés. Tous les senneurs de plus de 24 mètres se sont vu allouer un quota individuel supérieur au taux de capture du SCRS tel qu'adopté par la Commission pour estimer la capacité de la flottille.</w:t>
      </w:r>
    </w:p>
    <w:p w14:paraId="7B5DD564" w14:textId="77777777" w:rsidR="00DF358A" w:rsidRPr="004E13E9" w:rsidRDefault="00DF358A" w:rsidP="00DF358A">
      <w:pPr>
        <w:contextualSpacing/>
        <w:jc w:val="both"/>
        <w:rPr>
          <w:rFonts w:eastAsia="MS Gothic" w:cs="Times New Roman"/>
          <w:lang w:val="fr-FR" w:eastAsia="fr-FR" w:bidi="fr-FR"/>
        </w:rPr>
      </w:pPr>
    </w:p>
    <w:p w14:paraId="59D0524A"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L'UE autorisera les « navires de capture » et les « autres » navires et elle continuera à transmettre les listes des navires autorisés qui participeront à la pêcherie en 2026 dans le respect des délais prescrits au paragraphe 52 de la Rec. 25-04.</w:t>
      </w:r>
    </w:p>
    <w:p w14:paraId="27F1CF8E" w14:textId="77777777" w:rsidR="00DF358A" w:rsidRPr="004E13E9" w:rsidRDefault="00DF358A" w:rsidP="00DF358A">
      <w:pPr>
        <w:contextualSpacing/>
        <w:jc w:val="both"/>
        <w:rPr>
          <w:rFonts w:eastAsia="MS Gothic" w:cs="Times New Roman"/>
          <w:sz w:val="8"/>
          <w:szCs w:val="8"/>
          <w:lang w:val="fr-FR" w:eastAsia="fr-FR" w:bidi="fr-FR"/>
        </w:rPr>
      </w:pPr>
    </w:p>
    <w:p w14:paraId="02B438EE" w14:textId="77777777" w:rsidR="00DF358A" w:rsidRPr="004E13E9" w:rsidRDefault="00DF358A" w:rsidP="00DF358A">
      <w:pPr>
        <w:contextualSpacing/>
        <w:jc w:val="both"/>
        <w:rPr>
          <w:rFonts w:eastAsia="MS Gothic" w:cs="Times New Roman"/>
          <w:color w:val="000000"/>
          <w:lang w:val="fr-FR" w:eastAsia="fr-FR" w:bidi="fr-FR"/>
        </w:rPr>
      </w:pPr>
      <w:r w:rsidRPr="004E13E9">
        <w:rPr>
          <w:rFonts w:eastAsia="MS Gothic" w:cs="Times New Roman"/>
          <w:lang w:val="fr-FR" w:eastAsia="fr-FR" w:bidi="fr-FR"/>
        </w:rPr>
        <w:t>L’UE a alloué des quotas</w:t>
      </w:r>
      <w:r w:rsidRPr="004E13E9">
        <w:rPr>
          <w:rFonts w:eastAsia="MS Gothic" w:cs="Times New Roman"/>
          <w:vertAlign w:val="superscript"/>
          <w:lang w:eastAsia="fr-FR" w:bidi="fr-FR"/>
        </w:rPr>
        <w:footnoteReference w:id="6"/>
      </w:r>
      <w:r w:rsidRPr="004E13E9">
        <w:rPr>
          <w:rFonts w:eastAsia="MS Gothic" w:cs="Times New Roman"/>
          <w:lang w:val="fr-FR" w:eastAsia="fr-FR" w:bidi="fr-FR"/>
        </w:rPr>
        <w:t xml:space="preserve"> aux secteurs suivants :</w:t>
      </w:r>
    </w:p>
    <w:tbl>
      <w:tblPr>
        <w:tblpPr w:leftFromText="180" w:rightFromText="180" w:vertAnchor="text" w:horzAnchor="margin" w:tblpXSpec="center" w:tblpY="71"/>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6"/>
        <w:gridCol w:w="1509"/>
        <w:gridCol w:w="1583"/>
      </w:tblGrid>
      <w:tr w:rsidR="00DF358A" w:rsidRPr="004E13E9" w14:paraId="3D182651" w14:textId="77777777" w:rsidTr="00BB4F69">
        <w:trPr>
          <w:trHeight w:val="274"/>
        </w:trPr>
        <w:tc>
          <w:tcPr>
            <w:tcW w:w="4416" w:type="dxa"/>
            <w:noWrap/>
            <w:vAlign w:val="center"/>
          </w:tcPr>
          <w:p w14:paraId="56F8BABB" w14:textId="77777777" w:rsidR="00DF358A" w:rsidRPr="004E13E9" w:rsidRDefault="00DF358A" w:rsidP="00BB4F69">
            <w:pPr>
              <w:contextualSpacing/>
              <w:jc w:val="center"/>
              <w:rPr>
                <w:rFonts w:eastAsia="Times New Roman" w:cs="Times New Roman"/>
                <w:b/>
                <w:bCs/>
                <w:color w:val="000000"/>
                <w:lang w:eastAsia="fr-FR" w:bidi="fr-FR"/>
              </w:rPr>
            </w:pPr>
            <w:r w:rsidRPr="004E13E9">
              <w:rPr>
                <w:rFonts w:eastAsia="MS Gothic" w:cs="Times New Roman"/>
                <w:b/>
                <w:bCs/>
                <w:color w:val="000000"/>
                <w:lang w:eastAsia="fr-FR" w:bidi="fr-FR"/>
              </w:rPr>
              <w:t xml:space="preserve">Plan de </w:t>
            </w:r>
            <w:proofErr w:type="spellStart"/>
            <w:r w:rsidRPr="004E13E9">
              <w:rPr>
                <w:rFonts w:eastAsia="MS Gothic" w:cs="Times New Roman"/>
                <w:b/>
                <w:bCs/>
                <w:color w:val="000000"/>
                <w:lang w:eastAsia="fr-FR" w:bidi="fr-FR"/>
              </w:rPr>
              <w:t>pêche</w:t>
            </w:r>
            <w:proofErr w:type="spellEnd"/>
          </w:p>
        </w:tc>
        <w:tc>
          <w:tcPr>
            <w:tcW w:w="3092" w:type="dxa"/>
            <w:gridSpan w:val="2"/>
            <w:vAlign w:val="center"/>
          </w:tcPr>
          <w:p w14:paraId="1F208196" w14:textId="77777777" w:rsidR="00DF358A" w:rsidRPr="004E13E9" w:rsidRDefault="00DF358A" w:rsidP="00BB4F69">
            <w:pPr>
              <w:contextualSpacing/>
              <w:jc w:val="center"/>
              <w:rPr>
                <w:rFonts w:eastAsia="Times New Roman" w:cs="Times New Roman"/>
                <w:b/>
                <w:bCs/>
                <w:color w:val="000000"/>
                <w:lang w:eastAsia="fr-FR" w:bidi="fr-FR"/>
              </w:rPr>
            </w:pPr>
            <w:r w:rsidRPr="004E13E9">
              <w:rPr>
                <w:rFonts w:eastAsia="MS Gothic" w:cs="Times New Roman"/>
                <w:b/>
                <w:bCs/>
                <w:lang w:eastAsia="fr-FR" w:bidi="fr-FR"/>
              </w:rPr>
              <w:t>2026</w:t>
            </w:r>
          </w:p>
        </w:tc>
      </w:tr>
      <w:tr w:rsidR="00DF358A" w:rsidRPr="004E13E9" w14:paraId="3BB21CDA" w14:textId="77777777" w:rsidTr="00BB4F69">
        <w:trPr>
          <w:trHeight w:val="410"/>
        </w:trPr>
        <w:tc>
          <w:tcPr>
            <w:tcW w:w="4416" w:type="dxa"/>
            <w:noWrap/>
            <w:vAlign w:val="center"/>
            <w:hideMark/>
          </w:tcPr>
          <w:p w14:paraId="6282CE8F" w14:textId="77777777" w:rsidR="00DF358A" w:rsidRPr="004E13E9" w:rsidRDefault="00DF358A" w:rsidP="00BB4F69">
            <w:pPr>
              <w:contextualSpacing/>
              <w:rPr>
                <w:rFonts w:eastAsia="Times New Roman" w:cs="Times New Roman"/>
                <w:i/>
                <w:iCs/>
                <w:color w:val="000000"/>
                <w:lang w:eastAsia="fr-FR" w:bidi="fr-FR"/>
              </w:rPr>
            </w:pPr>
            <w:r w:rsidRPr="004E13E9">
              <w:rPr>
                <w:rFonts w:eastAsia="MS Gothic" w:cs="Times New Roman"/>
                <w:i/>
                <w:iCs/>
                <w:color w:val="000000"/>
                <w:lang w:eastAsia="fr-FR" w:bidi="fr-FR"/>
              </w:rPr>
              <w:t xml:space="preserve">Type </w:t>
            </w:r>
          </w:p>
        </w:tc>
        <w:tc>
          <w:tcPr>
            <w:tcW w:w="1509" w:type="dxa"/>
            <w:vAlign w:val="center"/>
          </w:tcPr>
          <w:p w14:paraId="4F3B3BAF" w14:textId="77777777" w:rsidR="00DF358A" w:rsidRPr="004E13E9" w:rsidRDefault="00DF358A" w:rsidP="00BB4F69">
            <w:pPr>
              <w:contextualSpacing/>
              <w:jc w:val="center"/>
              <w:rPr>
                <w:rFonts w:eastAsia="Times New Roman" w:cs="Times New Roman"/>
                <w:i/>
                <w:iCs/>
                <w:color w:val="000000"/>
                <w:lang w:eastAsia="fr-FR" w:bidi="fr-FR"/>
              </w:rPr>
            </w:pPr>
            <w:proofErr w:type="spellStart"/>
            <w:r w:rsidRPr="004E13E9">
              <w:rPr>
                <w:rFonts w:eastAsia="MS Gothic" w:cs="Times New Roman"/>
                <w:i/>
                <w:iCs/>
                <w:color w:val="000000"/>
                <w:lang w:eastAsia="fr-FR" w:bidi="fr-FR"/>
              </w:rPr>
              <w:t>Flottille</w:t>
            </w:r>
            <w:proofErr w:type="spellEnd"/>
            <w:r w:rsidRPr="004E13E9">
              <w:rPr>
                <w:rFonts w:eastAsia="MS Gothic" w:cs="Times New Roman"/>
                <w:i/>
                <w:iCs/>
                <w:color w:val="000000"/>
                <w:lang w:eastAsia="fr-FR" w:bidi="fr-FR"/>
              </w:rPr>
              <w:t xml:space="preserve"> (</w:t>
            </w:r>
            <w:proofErr w:type="spellStart"/>
            <w:r w:rsidRPr="004E13E9">
              <w:rPr>
                <w:rFonts w:eastAsia="MS Gothic" w:cs="Times New Roman"/>
                <w:i/>
                <w:iCs/>
                <w:color w:val="000000"/>
                <w:lang w:eastAsia="fr-FR" w:bidi="fr-FR"/>
              </w:rPr>
              <w:t>Nbre</w:t>
            </w:r>
            <w:proofErr w:type="spellEnd"/>
            <w:r w:rsidRPr="004E13E9">
              <w:rPr>
                <w:rFonts w:eastAsia="MS Gothic" w:cs="Times New Roman"/>
                <w:i/>
                <w:iCs/>
                <w:color w:val="000000"/>
                <w:lang w:eastAsia="fr-FR" w:bidi="fr-FR"/>
              </w:rPr>
              <w:t xml:space="preserve"> de </w:t>
            </w:r>
            <w:proofErr w:type="spellStart"/>
            <w:r w:rsidRPr="004E13E9">
              <w:rPr>
                <w:rFonts w:eastAsia="MS Gothic" w:cs="Times New Roman"/>
                <w:i/>
                <w:iCs/>
                <w:color w:val="000000"/>
                <w:lang w:eastAsia="fr-FR" w:bidi="fr-FR"/>
              </w:rPr>
              <w:t>navires</w:t>
            </w:r>
            <w:proofErr w:type="spellEnd"/>
            <w:r w:rsidRPr="004E13E9">
              <w:rPr>
                <w:rFonts w:eastAsia="MS Gothic" w:cs="Times New Roman"/>
                <w:i/>
                <w:iCs/>
                <w:color w:val="000000"/>
                <w:lang w:eastAsia="fr-FR" w:bidi="fr-FR"/>
              </w:rPr>
              <w:t>)</w:t>
            </w:r>
          </w:p>
        </w:tc>
        <w:tc>
          <w:tcPr>
            <w:tcW w:w="1583" w:type="dxa"/>
            <w:vAlign w:val="center"/>
          </w:tcPr>
          <w:p w14:paraId="2E6D8C74" w14:textId="77777777" w:rsidR="00DF358A" w:rsidRPr="004E13E9" w:rsidRDefault="00DF358A" w:rsidP="00BB4F69">
            <w:pPr>
              <w:contextualSpacing/>
              <w:jc w:val="center"/>
              <w:rPr>
                <w:rFonts w:eastAsia="Times New Roman" w:cs="Times New Roman"/>
                <w:i/>
                <w:iCs/>
                <w:lang w:eastAsia="fr-FR" w:bidi="fr-FR"/>
              </w:rPr>
            </w:pPr>
            <w:r w:rsidRPr="004E13E9">
              <w:rPr>
                <w:rFonts w:eastAsia="MS Gothic" w:cs="Times New Roman"/>
                <w:i/>
                <w:iCs/>
                <w:lang w:eastAsia="fr-FR" w:bidi="fr-FR"/>
              </w:rPr>
              <w:t xml:space="preserve">Quota </w:t>
            </w:r>
            <w:proofErr w:type="spellStart"/>
            <w:r w:rsidRPr="004E13E9">
              <w:rPr>
                <w:rFonts w:eastAsia="MS Gothic" w:cs="Times New Roman"/>
                <w:i/>
                <w:iCs/>
                <w:lang w:eastAsia="fr-FR" w:bidi="fr-FR"/>
              </w:rPr>
              <w:t>alloué</w:t>
            </w:r>
            <w:proofErr w:type="spellEnd"/>
            <w:r w:rsidRPr="004E13E9">
              <w:rPr>
                <w:rFonts w:eastAsia="MS Gothic" w:cs="Times New Roman"/>
                <w:i/>
                <w:iCs/>
                <w:lang w:eastAsia="fr-FR" w:bidi="fr-FR"/>
              </w:rPr>
              <w:t xml:space="preserve"> (t)</w:t>
            </w:r>
          </w:p>
        </w:tc>
      </w:tr>
      <w:tr w:rsidR="00DF358A" w:rsidRPr="004E13E9" w14:paraId="38168EAD" w14:textId="77777777" w:rsidTr="00BB4F69">
        <w:trPr>
          <w:trHeight w:val="300"/>
        </w:trPr>
        <w:tc>
          <w:tcPr>
            <w:tcW w:w="4416" w:type="dxa"/>
            <w:noWrap/>
            <w:vAlign w:val="center"/>
            <w:hideMark/>
          </w:tcPr>
          <w:p w14:paraId="3B09A173" w14:textId="77777777" w:rsidR="00DF358A" w:rsidRPr="004E13E9" w:rsidRDefault="00DF358A" w:rsidP="00BB4F69">
            <w:pPr>
              <w:contextualSpacing/>
              <w:rPr>
                <w:rFonts w:eastAsia="Times New Roman" w:cs="Times New Roman"/>
                <w:color w:val="000000"/>
                <w:lang w:val="fr-FR" w:eastAsia="fr-FR" w:bidi="fr-FR"/>
              </w:rPr>
            </w:pPr>
            <w:r w:rsidRPr="004E13E9">
              <w:rPr>
                <w:rFonts w:eastAsia="MS Gothic" w:cs="Times New Roman"/>
                <w:color w:val="000000"/>
                <w:lang w:val="fr-FR" w:eastAsia="fr-FR" w:bidi="fr-FR"/>
              </w:rPr>
              <w:t>Senneur de plus de 40 m</w:t>
            </w:r>
          </w:p>
        </w:tc>
        <w:tc>
          <w:tcPr>
            <w:tcW w:w="1509" w:type="dxa"/>
            <w:vAlign w:val="center"/>
          </w:tcPr>
          <w:p w14:paraId="7B8392D6"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rPr>
              <w:t>31</w:t>
            </w:r>
          </w:p>
        </w:tc>
        <w:tc>
          <w:tcPr>
            <w:tcW w:w="1583" w:type="dxa"/>
            <w:noWrap/>
            <w:vAlign w:val="center"/>
          </w:tcPr>
          <w:p w14:paraId="01A528B0"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rPr>
              <w:t>7.659</w:t>
            </w:r>
          </w:p>
        </w:tc>
      </w:tr>
      <w:tr w:rsidR="00DF358A" w:rsidRPr="004E13E9" w14:paraId="16D71AC8" w14:textId="77777777" w:rsidTr="00BB4F69">
        <w:trPr>
          <w:trHeight w:val="300"/>
        </w:trPr>
        <w:tc>
          <w:tcPr>
            <w:tcW w:w="4416" w:type="dxa"/>
            <w:noWrap/>
            <w:vAlign w:val="center"/>
            <w:hideMark/>
          </w:tcPr>
          <w:p w14:paraId="546C592A" w14:textId="77777777" w:rsidR="00DF358A" w:rsidRPr="004E13E9" w:rsidRDefault="00DF358A" w:rsidP="00BB4F69">
            <w:pPr>
              <w:contextualSpacing/>
              <w:rPr>
                <w:rFonts w:eastAsia="Times New Roman" w:cs="Times New Roman"/>
                <w:color w:val="000000"/>
                <w:lang w:eastAsia="fr-FR" w:bidi="fr-FR"/>
              </w:rPr>
            </w:pPr>
            <w:proofErr w:type="spellStart"/>
            <w:r w:rsidRPr="004E13E9">
              <w:rPr>
                <w:rFonts w:eastAsia="MS Gothic" w:cs="Times New Roman"/>
                <w:color w:val="000000"/>
                <w:lang w:eastAsia="fr-FR" w:bidi="fr-FR"/>
              </w:rPr>
              <w:t>Senneur</w:t>
            </w:r>
            <w:proofErr w:type="spellEnd"/>
            <w:r w:rsidRPr="004E13E9">
              <w:rPr>
                <w:rFonts w:eastAsia="MS Gothic" w:cs="Times New Roman"/>
                <w:color w:val="000000"/>
                <w:lang w:eastAsia="fr-FR" w:bidi="fr-FR"/>
              </w:rPr>
              <w:t xml:space="preserve"> entre 24 et 40 m</w:t>
            </w:r>
          </w:p>
        </w:tc>
        <w:tc>
          <w:tcPr>
            <w:tcW w:w="1509" w:type="dxa"/>
            <w:vAlign w:val="center"/>
          </w:tcPr>
          <w:p w14:paraId="5BA58F26"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rPr>
              <w:t>35</w:t>
            </w:r>
          </w:p>
        </w:tc>
        <w:tc>
          <w:tcPr>
            <w:tcW w:w="1583" w:type="dxa"/>
            <w:noWrap/>
            <w:vAlign w:val="center"/>
          </w:tcPr>
          <w:p w14:paraId="79719E69"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rPr>
              <w:t>4.880</w:t>
            </w:r>
          </w:p>
        </w:tc>
      </w:tr>
      <w:tr w:rsidR="00DF358A" w:rsidRPr="004E13E9" w14:paraId="0D8CD093" w14:textId="77777777" w:rsidTr="00BB4F69">
        <w:trPr>
          <w:trHeight w:val="300"/>
        </w:trPr>
        <w:tc>
          <w:tcPr>
            <w:tcW w:w="4416" w:type="dxa"/>
            <w:noWrap/>
            <w:vAlign w:val="center"/>
            <w:hideMark/>
          </w:tcPr>
          <w:p w14:paraId="552B2F37" w14:textId="77777777" w:rsidR="00DF358A" w:rsidRPr="004E13E9" w:rsidRDefault="00DF358A" w:rsidP="00BB4F69">
            <w:pPr>
              <w:contextualSpacing/>
              <w:rPr>
                <w:rFonts w:eastAsia="Times New Roman" w:cs="Times New Roman"/>
                <w:color w:val="000000"/>
                <w:lang w:val="fr-FR" w:eastAsia="fr-FR" w:bidi="fr-FR"/>
              </w:rPr>
            </w:pPr>
            <w:r w:rsidRPr="004E13E9">
              <w:rPr>
                <w:rFonts w:eastAsia="MS Gothic" w:cs="Times New Roman"/>
                <w:color w:val="000000"/>
                <w:lang w:val="fr-FR" w:eastAsia="fr-FR" w:bidi="fr-FR"/>
              </w:rPr>
              <w:t>Senneur de moins de 24 m</w:t>
            </w:r>
          </w:p>
        </w:tc>
        <w:tc>
          <w:tcPr>
            <w:tcW w:w="1509" w:type="dxa"/>
            <w:vAlign w:val="center"/>
          </w:tcPr>
          <w:p w14:paraId="74BF3289"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rPr>
              <w:t>5</w:t>
            </w:r>
          </w:p>
        </w:tc>
        <w:tc>
          <w:tcPr>
            <w:tcW w:w="1583" w:type="dxa"/>
            <w:noWrap/>
            <w:vAlign w:val="center"/>
          </w:tcPr>
          <w:p w14:paraId="66029EA3"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rPr>
              <w:t>247</w:t>
            </w:r>
          </w:p>
        </w:tc>
      </w:tr>
      <w:tr w:rsidR="00DF358A" w:rsidRPr="004E13E9" w14:paraId="085FDDE8" w14:textId="77777777" w:rsidTr="00BB4F69">
        <w:trPr>
          <w:trHeight w:val="300"/>
        </w:trPr>
        <w:tc>
          <w:tcPr>
            <w:tcW w:w="4416" w:type="dxa"/>
            <w:shd w:val="clear" w:color="auto" w:fill="D9D9D9" w:themeFill="background1" w:themeFillShade="D9"/>
            <w:noWrap/>
            <w:vAlign w:val="center"/>
            <w:hideMark/>
          </w:tcPr>
          <w:p w14:paraId="6E2A4674" w14:textId="77777777" w:rsidR="00DF358A" w:rsidRPr="004E13E9" w:rsidRDefault="00DF358A" w:rsidP="00BB4F69">
            <w:pPr>
              <w:contextualSpacing/>
              <w:rPr>
                <w:rFonts w:eastAsia="Times New Roman" w:cs="Times New Roman"/>
                <w:b/>
                <w:bCs/>
                <w:color w:val="000000"/>
                <w:lang w:eastAsia="fr-FR" w:bidi="fr-FR"/>
              </w:rPr>
            </w:pPr>
            <w:proofErr w:type="spellStart"/>
            <w:r w:rsidRPr="004E13E9">
              <w:rPr>
                <w:rFonts w:eastAsia="MS Gothic" w:cs="Times New Roman"/>
                <w:b/>
                <w:bCs/>
                <w:color w:val="000000"/>
                <w:lang w:eastAsia="fr-FR" w:bidi="fr-FR"/>
              </w:rPr>
              <w:t>Flottille</w:t>
            </w:r>
            <w:proofErr w:type="spellEnd"/>
            <w:r w:rsidRPr="004E13E9">
              <w:rPr>
                <w:rFonts w:eastAsia="MS Gothic" w:cs="Times New Roman"/>
                <w:b/>
                <w:bCs/>
                <w:color w:val="000000"/>
                <w:lang w:eastAsia="fr-FR" w:bidi="fr-FR"/>
              </w:rPr>
              <w:t xml:space="preserve"> </w:t>
            </w:r>
            <w:proofErr w:type="spellStart"/>
            <w:r w:rsidRPr="004E13E9">
              <w:rPr>
                <w:rFonts w:eastAsia="MS Gothic" w:cs="Times New Roman"/>
                <w:b/>
                <w:bCs/>
                <w:color w:val="000000"/>
                <w:lang w:eastAsia="fr-FR" w:bidi="fr-FR"/>
              </w:rPr>
              <w:t>totale</w:t>
            </w:r>
            <w:proofErr w:type="spellEnd"/>
            <w:r w:rsidRPr="004E13E9">
              <w:rPr>
                <w:rFonts w:eastAsia="MS Gothic" w:cs="Times New Roman"/>
                <w:b/>
                <w:bCs/>
                <w:color w:val="000000"/>
                <w:lang w:eastAsia="fr-FR" w:bidi="fr-FR"/>
              </w:rPr>
              <w:t xml:space="preserve"> de </w:t>
            </w:r>
            <w:proofErr w:type="spellStart"/>
            <w:r w:rsidRPr="004E13E9">
              <w:rPr>
                <w:rFonts w:eastAsia="MS Gothic" w:cs="Times New Roman"/>
                <w:b/>
                <w:bCs/>
                <w:color w:val="000000"/>
                <w:lang w:eastAsia="fr-FR" w:bidi="fr-FR"/>
              </w:rPr>
              <w:t>senneurs</w:t>
            </w:r>
            <w:proofErr w:type="spellEnd"/>
            <w:r w:rsidRPr="004E13E9">
              <w:rPr>
                <w:rFonts w:eastAsia="MS Gothic" w:cs="Times New Roman"/>
                <w:b/>
                <w:bCs/>
                <w:color w:val="000000"/>
                <w:lang w:eastAsia="fr-FR" w:bidi="fr-FR"/>
              </w:rPr>
              <w:t xml:space="preserve"> </w:t>
            </w:r>
          </w:p>
        </w:tc>
        <w:tc>
          <w:tcPr>
            <w:tcW w:w="1509" w:type="dxa"/>
            <w:shd w:val="clear" w:color="auto" w:fill="D9D9D9" w:themeFill="background1" w:themeFillShade="D9"/>
            <w:noWrap/>
            <w:vAlign w:val="center"/>
          </w:tcPr>
          <w:p w14:paraId="66DDD30A" w14:textId="77777777" w:rsidR="00DF358A" w:rsidRPr="004E13E9" w:rsidRDefault="00DF358A" w:rsidP="00BB4F69">
            <w:pPr>
              <w:contextualSpacing/>
              <w:jc w:val="center"/>
              <w:rPr>
                <w:rFonts w:eastAsia="MS Gothic" w:cs="Times New Roman"/>
                <w:b/>
                <w:bCs/>
                <w:color w:val="000000"/>
                <w:lang w:eastAsia="fr-FR" w:bidi="fr-FR"/>
              </w:rPr>
            </w:pPr>
            <w:r w:rsidRPr="004E13E9">
              <w:rPr>
                <w:rFonts w:cs="Calibri"/>
                <w:b/>
                <w:bCs/>
              </w:rPr>
              <w:t>71</w:t>
            </w:r>
          </w:p>
        </w:tc>
        <w:tc>
          <w:tcPr>
            <w:tcW w:w="1583" w:type="dxa"/>
            <w:shd w:val="clear" w:color="auto" w:fill="D9D9D9" w:themeFill="background1" w:themeFillShade="D9"/>
            <w:noWrap/>
            <w:vAlign w:val="center"/>
          </w:tcPr>
          <w:p w14:paraId="66F60D0F" w14:textId="77777777" w:rsidR="00DF358A" w:rsidRPr="004E13E9" w:rsidRDefault="00DF358A" w:rsidP="00BB4F69">
            <w:pPr>
              <w:contextualSpacing/>
              <w:jc w:val="center"/>
              <w:rPr>
                <w:rFonts w:eastAsia="MS Gothic" w:cs="Times New Roman"/>
                <w:b/>
                <w:color w:val="000000"/>
                <w:lang w:eastAsia="fr-FR" w:bidi="fr-FR"/>
              </w:rPr>
            </w:pPr>
            <w:r w:rsidRPr="004E13E9">
              <w:rPr>
                <w:rFonts w:cs="Calibri"/>
                <w:b/>
                <w:bCs/>
              </w:rPr>
              <w:t>12.787</w:t>
            </w:r>
          </w:p>
        </w:tc>
      </w:tr>
      <w:tr w:rsidR="00DF358A" w:rsidRPr="004E13E9" w14:paraId="65CD294E" w14:textId="77777777" w:rsidTr="00BB4F69">
        <w:trPr>
          <w:trHeight w:val="300"/>
        </w:trPr>
        <w:tc>
          <w:tcPr>
            <w:tcW w:w="4416" w:type="dxa"/>
            <w:noWrap/>
            <w:vAlign w:val="center"/>
            <w:hideMark/>
          </w:tcPr>
          <w:p w14:paraId="60D0BE82" w14:textId="77777777" w:rsidR="00DF358A" w:rsidRPr="004E13E9" w:rsidRDefault="00DF358A" w:rsidP="00BB4F69">
            <w:pPr>
              <w:contextualSpacing/>
              <w:rPr>
                <w:rFonts w:eastAsia="Times New Roman" w:cs="Times New Roman"/>
                <w:color w:val="000000"/>
                <w:lang w:val="fr-FR" w:eastAsia="fr-FR" w:bidi="fr-FR"/>
              </w:rPr>
            </w:pPr>
            <w:r w:rsidRPr="004E13E9">
              <w:rPr>
                <w:rFonts w:eastAsia="MS Gothic" w:cs="Times New Roman"/>
                <w:color w:val="000000"/>
                <w:lang w:val="fr-FR" w:eastAsia="fr-FR" w:bidi="fr-FR"/>
              </w:rPr>
              <w:t>Palangrier de plus de 40 m</w:t>
            </w:r>
          </w:p>
        </w:tc>
        <w:tc>
          <w:tcPr>
            <w:tcW w:w="1509" w:type="dxa"/>
            <w:vAlign w:val="center"/>
          </w:tcPr>
          <w:p w14:paraId="43296807"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rPr>
              <w:t>0</w:t>
            </w:r>
          </w:p>
        </w:tc>
        <w:tc>
          <w:tcPr>
            <w:tcW w:w="1583" w:type="dxa"/>
            <w:noWrap/>
            <w:vAlign w:val="center"/>
          </w:tcPr>
          <w:p w14:paraId="2688B67A" w14:textId="77777777" w:rsidR="00DF358A" w:rsidRPr="004E13E9" w:rsidRDefault="00DF358A" w:rsidP="00BB4F69">
            <w:pPr>
              <w:contextualSpacing/>
              <w:jc w:val="center"/>
              <w:rPr>
                <w:rFonts w:eastAsia="MS Gothic" w:cs="Times New Roman"/>
                <w:lang w:eastAsia="fr-FR" w:bidi="fr-FR"/>
              </w:rPr>
            </w:pPr>
            <w:r w:rsidRPr="004E13E9">
              <w:rPr>
                <w:rFonts w:cs="Calibri"/>
              </w:rPr>
              <w:t>0</w:t>
            </w:r>
          </w:p>
        </w:tc>
      </w:tr>
      <w:tr w:rsidR="00DF358A" w:rsidRPr="004E13E9" w14:paraId="5DB597A0" w14:textId="77777777" w:rsidTr="00BB4F69">
        <w:trPr>
          <w:trHeight w:val="300"/>
        </w:trPr>
        <w:tc>
          <w:tcPr>
            <w:tcW w:w="4416" w:type="dxa"/>
            <w:noWrap/>
            <w:vAlign w:val="center"/>
            <w:hideMark/>
          </w:tcPr>
          <w:p w14:paraId="0AB67E04" w14:textId="77777777" w:rsidR="00DF358A" w:rsidRPr="004E13E9" w:rsidRDefault="00DF358A" w:rsidP="00BB4F69">
            <w:pPr>
              <w:contextualSpacing/>
              <w:rPr>
                <w:rFonts w:eastAsia="Times New Roman" w:cs="Times New Roman"/>
                <w:color w:val="000000"/>
                <w:lang w:eastAsia="fr-FR" w:bidi="fr-FR"/>
              </w:rPr>
            </w:pPr>
            <w:proofErr w:type="spellStart"/>
            <w:r w:rsidRPr="004E13E9">
              <w:rPr>
                <w:rFonts w:eastAsia="MS Gothic" w:cs="Times New Roman"/>
                <w:color w:val="000000"/>
                <w:lang w:eastAsia="fr-FR" w:bidi="fr-FR"/>
              </w:rPr>
              <w:t>Palangrier</w:t>
            </w:r>
            <w:proofErr w:type="spellEnd"/>
            <w:r w:rsidRPr="004E13E9">
              <w:rPr>
                <w:rFonts w:eastAsia="MS Gothic" w:cs="Times New Roman"/>
                <w:color w:val="000000"/>
                <w:lang w:eastAsia="fr-FR" w:bidi="fr-FR"/>
              </w:rPr>
              <w:t xml:space="preserve"> entre 24 et 40 m</w:t>
            </w:r>
          </w:p>
        </w:tc>
        <w:tc>
          <w:tcPr>
            <w:tcW w:w="1509" w:type="dxa"/>
            <w:vAlign w:val="center"/>
          </w:tcPr>
          <w:p w14:paraId="160D096A"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rPr>
              <w:t>4</w:t>
            </w:r>
          </w:p>
        </w:tc>
        <w:tc>
          <w:tcPr>
            <w:tcW w:w="1583" w:type="dxa"/>
            <w:noWrap/>
            <w:vAlign w:val="center"/>
          </w:tcPr>
          <w:p w14:paraId="0D2EF690" w14:textId="77777777" w:rsidR="00DF358A" w:rsidRPr="004E13E9" w:rsidRDefault="00DF358A" w:rsidP="00BB4F69">
            <w:pPr>
              <w:contextualSpacing/>
              <w:jc w:val="center"/>
              <w:rPr>
                <w:rFonts w:eastAsia="MS Gothic" w:cs="Times New Roman"/>
                <w:lang w:eastAsia="fr-FR" w:bidi="fr-FR"/>
              </w:rPr>
            </w:pPr>
            <w:r w:rsidRPr="004E13E9">
              <w:rPr>
                <w:rFonts w:cs="Calibri"/>
              </w:rPr>
              <w:t>40</w:t>
            </w:r>
          </w:p>
        </w:tc>
      </w:tr>
      <w:tr w:rsidR="00DF358A" w:rsidRPr="004E13E9" w14:paraId="60D5EDDF" w14:textId="77777777" w:rsidTr="00BB4F69">
        <w:trPr>
          <w:trHeight w:val="300"/>
        </w:trPr>
        <w:tc>
          <w:tcPr>
            <w:tcW w:w="4416" w:type="dxa"/>
            <w:noWrap/>
            <w:vAlign w:val="center"/>
            <w:hideMark/>
          </w:tcPr>
          <w:p w14:paraId="1A86C080" w14:textId="77777777" w:rsidR="00DF358A" w:rsidRPr="004E13E9" w:rsidRDefault="00DF358A" w:rsidP="00BB4F69">
            <w:pPr>
              <w:contextualSpacing/>
              <w:rPr>
                <w:rFonts w:eastAsia="Times New Roman" w:cs="Times New Roman"/>
                <w:color w:val="000000"/>
                <w:lang w:val="fr-FR" w:eastAsia="fr-FR" w:bidi="fr-FR"/>
              </w:rPr>
            </w:pPr>
            <w:r w:rsidRPr="004E13E9">
              <w:rPr>
                <w:rFonts w:eastAsia="MS Gothic" w:cs="Times New Roman"/>
                <w:color w:val="000000"/>
                <w:lang w:val="fr-FR" w:eastAsia="fr-FR" w:bidi="fr-FR"/>
              </w:rPr>
              <w:t>Palangrier de moins de 24 m</w:t>
            </w:r>
          </w:p>
        </w:tc>
        <w:tc>
          <w:tcPr>
            <w:tcW w:w="1509" w:type="dxa"/>
            <w:vAlign w:val="center"/>
          </w:tcPr>
          <w:p w14:paraId="3E93AD24"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rPr>
              <w:t>178</w:t>
            </w:r>
          </w:p>
        </w:tc>
        <w:tc>
          <w:tcPr>
            <w:tcW w:w="1583" w:type="dxa"/>
            <w:noWrap/>
            <w:vAlign w:val="center"/>
          </w:tcPr>
          <w:p w14:paraId="42661239" w14:textId="77777777" w:rsidR="00DF358A" w:rsidRPr="004E13E9" w:rsidRDefault="00DF358A" w:rsidP="00BB4F69">
            <w:pPr>
              <w:contextualSpacing/>
              <w:jc w:val="center"/>
              <w:rPr>
                <w:rFonts w:eastAsia="MS Gothic" w:cs="Times New Roman"/>
                <w:lang w:eastAsia="fr-FR" w:bidi="fr-FR"/>
              </w:rPr>
            </w:pPr>
            <w:r w:rsidRPr="004E13E9">
              <w:rPr>
                <w:rFonts w:cs="Calibri"/>
              </w:rPr>
              <w:t>2.101</w:t>
            </w:r>
          </w:p>
        </w:tc>
      </w:tr>
      <w:tr w:rsidR="00DF358A" w:rsidRPr="004E13E9" w14:paraId="3DCED0AD" w14:textId="77777777" w:rsidTr="00BB4F69">
        <w:trPr>
          <w:trHeight w:val="300"/>
        </w:trPr>
        <w:tc>
          <w:tcPr>
            <w:tcW w:w="4416" w:type="dxa"/>
            <w:shd w:val="clear" w:color="auto" w:fill="D9D9D9" w:themeFill="background1" w:themeFillShade="D9"/>
            <w:noWrap/>
            <w:vAlign w:val="center"/>
            <w:hideMark/>
          </w:tcPr>
          <w:p w14:paraId="0A1363B3" w14:textId="77777777" w:rsidR="00DF358A" w:rsidRPr="004E13E9" w:rsidRDefault="00DF358A" w:rsidP="00BB4F69">
            <w:pPr>
              <w:contextualSpacing/>
              <w:rPr>
                <w:rFonts w:eastAsia="Times New Roman" w:cs="Times New Roman"/>
                <w:b/>
                <w:bCs/>
                <w:color w:val="000000"/>
                <w:lang w:eastAsia="fr-FR" w:bidi="fr-FR"/>
              </w:rPr>
            </w:pPr>
            <w:proofErr w:type="spellStart"/>
            <w:r w:rsidRPr="004E13E9">
              <w:rPr>
                <w:rFonts w:eastAsia="MS Gothic" w:cs="Times New Roman"/>
                <w:b/>
                <w:bCs/>
                <w:color w:val="000000"/>
                <w:lang w:eastAsia="fr-FR" w:bidi="fr-FR"/>
              </w:rPr>
              <w:t>Flottille</w:t>
            </w:r>
            <w:proofErr w:type="spellEnd"/>
            <w:r w:rsidRPr="004E13E9">
              <w:rPr>
                <w:rFonts w:eastAsia="MS Gothic" w:cs="Times New Roman"/>
                <w:b/>
                <w:bCs/>
                <w:color w:val="000000"/>
                <w:lang w:eastAsia="fr-FR" w:bidi="fr-FR"/>
              </w:rPr>
              <w:t xml:space="preserve"> </w:t>
            </w:r>
            <w:proofErr w:type="spellStart"/>
            <w:r w:rsidRPr="004E13E9">
              <w:rPr>
                <w:rFonts w:eastAsia="MS Gothic" w:cs="Times New Roman"/>
                <w:b/>
                <w:bCs/>
                <w:color w:val="000000"/>
                <w:lang w:eastAsia="fr-FR" w:bidi="fr-FR"/>
              </w:rPr>
              <w:t>totale</w:t>
            </w:r>
            <w:proofErr w:type="spellEnd"/>
            <w:r w:rsidRPr="004E13E9">
              <w:rPr>
                <w:rFonts w:eastAsia="MS Gothic" w:cs="Times New Roman"/>
                <w:b/>
                <w:bCs/>
                <w:color w:val="000000"/>
                <w:lang w:eastAsia="fr-FR" w:bidi="fr-FR"/>
              </w:rPr>
              <w:t xml:space="preserve"> de </w:t>
            </w:r>
            <w:proofErr w:type="spellStart"/>
            <w:r w:rsidRPr="004E13E9">
              <w:rPr>
                <w:rFonts w:eastAsia="MS Gothic" w:cs="Times New Roman"/>
                <w:b/>
                <w:bCs/>
                <w:color w:val="000000"/>
                <w:lang w:eastAsia="fr-FR" w:bidi="fr-FR"/>
              </w:rPr>
              <w:t>palangriers</w:t>
            </w:r>
            <w:proofErr w:type="spellEnd"/>
          </w:p>
        </w:tc>
        <w:tc>
          <w:tcPr>
            <w:tcW w:w="1509" w:type="dxa"/>
            <w:shd w:val="clear" w:color="auto" w:fill="D9D9D9" w:themeFill="background1" w:themeFillShade="D9"/>
            <w:noWrap/>
            <w:vAlign w:val="center"/>
          </w:tcPr>
          <w:p w14:paraId="24E47BC8" w14:textId="77777777" w:rsidR="00DF358A" w:rsidRPr="004E13E9" w:rsidRDefault="00DF358A" w:rsidP="00BB4F69">
            <w:pPr>
              <w:contextualSpacing/>
              <w:jc w:val="center"/>
              <w:rPr>
                <w:rFonts w:eastAsia="MS Gothic" w:cs="Times New Roman"/>
                <w:b/>
                <w:bCs/>
                <w:color w:val="000000"/>
                <w:lang w:eastAsia="fr-FR" w:bidi="fr-FR"/>
              </w:rPr>
            </w:pPr>
            <w:r w:rsidRPr="004E13E9">
              <w:rPr>
                <w:rFonts w:cs="Calibri"/>
                <w:b/>
                <w:bCs/>
              </w:rPr>
              <w:t>182</w:t>
            </w:r>
          </w:p>
        </w:tc>
        <w:tc>
          <w:tcPr>
            <w:tcW w:w="1583" w:type="dxa"/>
            <w:shd w:val="clear" w:color="auto" w:fill="D9D9D9" w:themeFill="background1" w:themeFillShade="D9"/>
            <w:noWrap/>
            <w:vAlign w:val="center"/>
          </w:tcPr>
          <w:p w14:paraId="6C6D7282" w14:textId="77777777" w:rsidR="00DF358A" w:rsidRPr="004E13E9" w:rsidRDefault="00DF358A" w:rsidP="00BB4F69">
            <w:pPr>
              <w:contextualSpacing/>
              <w:jc w:val="center"/>
              <w:rPr>
                <w:rFonts w:eastAsia="MS Gothic" w:cs="Times New Roman"/>
                <w:b/>
                <w:lang w:eastAsia="fr-FR" w:bidi="fr-FR"/>
              </w:rPr>
            </w:pPr>
            <w:r w:rsidRPr="004E13E9">
              <w:rPr>
                <w:rFonts w:cs="Calibri"/>
                <w:b/>
                <w:bCs/>
              </w:rPr>
              <w:t>2.141</w:t>
            </w:r>
          </w:p>
        </w:tc>
      </w:tr>
      <w:tr w:rsidR="00DF358A" w:rsidRPr="004E13E9" w14:paraId="63DC76B2" w14:textId="77777777" w:rsidTr="00BB4F69">
        <w:trPr>
          <w:trHeight w:val="341"/>
        </w:trPr>
        <w:tc>
          <w:tcPr>
            <w:tcW w:w="4416" w:type="dxa"/>
            <w:noWrap/>
            <w:vAlign w:val="center"/>
            <w:hideMark/>
          </w:tcPr>
          <w:p w14:paraId="4228429B" w14:textId="77777777" w:rsidR="00DF358A" w:rsidRPr="004E13E9" w:rsidRDefault="00DF358A" w:rsidP="00BB4F69">
            <w:pPr>
              <w:contextualSpacing/>
              <w:rPr>
                <w:rFonts w:eastAsia="Times New Roman" w:cs="Times New Roman"/>
                <w:color w:val="000000"/>
                <w:lang w:eastAsia="fr-FR" w:bidi="fr-FR"/>
              </w:rPr>
            </w:pPr>
            <w:proofErr w:type="spellStart"/>
            <w:r w:rsidRPr="004E13E9">
              <w:rPr>
                <w:rFonts w:eastAsia="MS Gothic" w:cs="Times New Roman"/>
                <w:color w:val="000000"/>
                <w:lang w:eastAsia="fr-FR" w:bidi="fr-FR"/>
              </w:rPr>
              <w:t>Canneur</w:t>
            </w:r>
            <w:proofErr w:type="spellEnd"/>
          </w:p>
        </w:tc>
        <w:tc>
          <w:tcPr>
            <w:tcW w:w="1509" w:type="dxa"/>
            <w:vAlign w:val="center"/>
          </w:tcPr>
          <w:p w14:paraId="1D901245"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rPr>
              <w:t>72</w:t>
            </w:r>
          </w:p>
        </w:tc>
        <w:tc>
          <w:tcPr>
            <w:tcW w:w="1583" w:type="dxa"/>
            <w:noWrap/>
            <w:vAlign w:val="center"/>
          </w:tcPr>
          <w:p w14:paraId="3B19B25D" w14:textId="77777777" w:rsidR="00DF358A" w:rsidRPr="004E13E9" w:rsidRDefault="00DF358A" w:rsidP="00BB4F69">
            <w:pPr>
              <w:contextualSpacing/>
              <w:jc w:val="center"/>
              <w:rPr>
                <w:rFonts w:eastAsia="MS Gothic" w:cs="Times New Roman"/>
                <w:lang w:eastAsia="fr-FR" w:bidi="fr-FR"/>
              </w:rPr>
            </w:pPr>
            <w:r w:rsidRPr="004E13E9">
              <w:rPr>
                <w:rFonts w:cs="Calibri"/>
              </w:rPr>
              <w:t>1.764</w:t>
            </w:r>
          </w:p>
        </w:tc>
      </w:tr>
      <w:tr w:rsidR="00DF358A" w:rsidRPr="004E13E9" w14:paraId="2D969274" w14:textId="77777777" w:rsidTr="00BB4F69">
        <w:trPr>
          <w:trHeight w:val="300"/>
        </w:trPr>
        <w:tc>
          <w:tcPr>
            <w:tcW w:w="4416" w:type="dxa"/>
            <w:noWrap/>
            <w:vAlign w:val="center"/>
            <w:hideMark/>
          </w:tcPr>
          <w:p w14:paraId="1BC26D7F" w14:textId="77777777" w:rsidR="00DF358A" w:rsidRPr="004E13E9" w:rsidRDefault="00DF358A" w:rsidP="00BB4F69">
            <w:pPr>
              <w:contextualSpacing/>
              <w:rPr>
                <w:rFonts w:eastAsia="Times New Roman" w:cs="Times New Roman"/>
                <w:color w:val="000000"/>
                <w:lang w:eastAsia="fr-FR" w:bidi="fr-FR"/>
              </w:rPr>
            </w:pPr>
            <w:r w:rsidRPr="004E13E9">
              <w:rPr>
                <w:rFonts w:eastAsia="MS Gothic" w:cs="Times New Roman"/>
                <w:color w:val="000000"/>
                <w:lang w:eastAsia="fr-FR" w:bidi="fr-FR"/>
              </w:rPr>
              <w:t>Ligne à main</w:t>
            </w:r>
          </w:p>
        </w:tc>
        <w:tc>
          <w:tcPr>
            <w:tcW w:w="1509" w:type="dxa"/>
            <w:vAlign w:val="center"/>
          </w:tcPr>
          <w:p w14:paraId="0CEF6B05"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rPr>
              <w:t>88</w:t>
            </w:r>
          </w:p>
        </w:tc>
        <w:tc>
          <w:tcPr>
            <w:tcW w:w="1583" w:type="dxa"/>
            <w:noWrap/>
            <w:vAlign w:val="center"/>
          </w:tcPr>
          <w:p w14:paraId="57E9560A" w14:textId="77777777" w:rsidR="00DF358A" w:rsidRPr="004E13E9" w:rsidRDefault="00DF358A" w:rsidP="00BB4F69">
            <w:pPr>
              <w:contextualSpacing/>
              <w:jc w:val="center"/>
              <w:rPr>
                <w:rFonts w:eastAsia="MS Gothic" w:cs="Times New Roman"/>
                <w:lang w:eastAsia="fr-FR" w:bidi="fr-FR"/>
              </w:rPr>
            </w:pPr>
            <w:r w:rsidRPr="004E13E9">
              <w:rPr>
                <w:rFonts w:cs="Calibri"/>
              </w:rPr>
              <w:t>327</w:t>
            </w:r>
          </w:p>
        </w:tc>
      </w:tr>
      <w:tr w:rsidR="00DF358A" w:rsidRPr="004E13E9" w14:paraId="36BF49C3" w14:textId="77777777" w:rsidTr="00BB4F69">
        <w:trPr>
          <w:trHeight w:val="300"/>
        </w:trPr>
        <w:tc>
          <w:tcPr>
            <w:tcW w:w="4416" w:type="dxa"/>
            <w:noWrap/>
            <w:vAlign w:val="center"/>
            <w:hideMark/>
          </w:tcPr>
          <w:p w14:paraId="047D374C" w14:textId="77777777" w:rsidR="00DF358A" w:rsidRPr="004E13E9" w:rsidRDefault="00DF358A" w:rsidP="00BB4F69">
            <w:pPr>
              <w:contextualSpacing/>
              <w:rPr>
                <w:rFonts w:eastAsia="Times New Roman" w:cs="Times New Roman"/>
                <w:color w:val="000000"/>
                <w:lang w:eastAsia="fr-FR" w:bidi="fr-FR"/>
              </w:rPr>
            </w:pPr>
            <w:proofErr w:type="spellStart"/>
            <w:r w:rsidRPr="004E13E9">
              <w:rPr>
                <w:rFonts w:eastAsia="MS Gothic" w:cs="Times New Roman"/>
                <w:color w:val="000000"/>
                <w:lang w:eastAsia="fr-FR" w:bidi="fr-FR"/>
              </w:rPr>
              <w:t>Chalutiers</w:t>
            </w:r>
            <w:proofErr w:type="spellEnd"/>
          </w:p>
        </w:tc>
        <w:tc>
          <w:tcPr>
            <w:tcW w:w="1509" w:type="dxa"/>
            <w:vAlign w:val="center"/>
          </w:tcPr>
          <w:p w14:paraId="52BF1934"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rPr>
              <w:t>57</w:t>
            </w:r>
          </w:p>
        </w:tc>
        <w:tc>
          <w:tcPr>
            <w:tcW w:w="1583" w:type="dxa"/>
            <w:noWrap/>
            <w:vAlign w:val="center"/>
          </w:tcPr>
          <w:p w14:paraId="0836BB62" w14:textId="77777777" w:rsidR="00DF358A" w:rsidRPr="004E13E9" w:rsidRDefault="00DF358A" w:rsidP="00BB4F69">
            <w:pPr>
              <w:contextualSpacing/>
              <w:jc w:val="center"/>
              <w:rPr>
                <w:rFonts w:eastAsia="MS Gothic" w:cs="Times New Roman"/>
                <w:lang w:eastAsia="fr-FR" w:bidi="fr-FR"/>
              </w:rPr>
            </w:pPr>
            <w:r w:rsidRPr="004E13E9">
              <w:rPr>
                <w:rFonts w:cs="Calibri"/>
              </w:rPr>
              <w:t>472</w:t>
            </w:r>
          </w:p>
        </w:tc>
      </w:tr>
      <w:tr w:rsidR="00DF358A" w:rsidRPr="004E13E9" w14:paraId="194EFB12" w14:textId="77777777" w:rsidTr="00BB4F69">
        <w:trPr>
          <w:trHeight w:val="300"/>
        </w:trPr>
        <w:tc>
          <w:tcPr>
            <w:tcW w:w="4416" w:type="dxa"/>
            <w:noWrap/>
            <w:vAlign w:val="center"/>
            <w:hideMark/>
          </w:tcPr>
          <w:p w14:paraId="637D894A" w14:textId="77777777" w:rsidR="00DF358A" w:rsidRPr="004E13E9" w:rsidRDefault="00DF358A" w:rsidP="00BB4F69">
            <w:pPr>
              <w:contextualSpacing/>
              <w:rPr>
                <w:rFonts w:eastAsia="Times New Roman" w:cs="Times New Roman"/>
                <w:color w:val="000000"/>
                <w:lang w:eastAsia="fr-FR" w:bidi="fr-FR"/>
              </w:rPr>
            </w:pPr>
            <w:r w:rsidRPr="004E13E9">
              <w:rPr>
                <w:rFonts w:eastAsia="MS Gothic" w:cs="Times New Roman"/>
                <w:color w:val="000000"/>
                <w:lang w:eastAsia="fr-FR" w:bidi="fr-FR"/>
              </w:rPr>
              <w:t>Madrague</w:t>
            </w:r>
          </w:p>
        </w:tc>
        <w:tc>
          <w:tcPr>
            <w:tcW w:w="1509" w:type="dxa"/>
            <w:vAlign w:val="center"/>
          </w:tcPr>
          <w:p w14:paraId="6208D8B6"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rPr>
              <w:t>10</w:t>
            </w:r>
          </w:p>
        </w:tc>
        <w:tc>
          <w:tcPr>
            <w:tcW w:w="1583" w:type="dxa"/>
            <w:noWrap/>
            <w:vAlign w:val="center"/>
          </w:tcPr>
          <w:p w14:paraId="086EAF7D" w14:textId="77777777" w:rsidR="00DF358A" w:rsidRPr="004E13E9" w:rsidRDefault="00DF358A" w:rsidP="00BB4F69">
            <w:pPr>
              <w:contextualSpacing/>
              <w:jc w:val="center"/>
              <w:rPr>
                <w:rFonts w:eastAsia="MS Gothic" w:cs="Times New Roman"/>
                <w:lang w:eastAsia="fr-FR" w:bidi="fr-FR"/>
              </w:rPr>
            </w:pPr>
            <w:r w:rsidRPr="004E13E9">
              <w:rPr>
                <w:rFonts w:cs="Calibri"/>
              </w:rPr>
              <w:t>2.936</w:t>
            </w:r>
          </w:p>
        </w:tc>
      </w:tr>
      <w:tr w:rsidR="00DF358A" w:rsidRPr="004E13E9" w14:paraId="2E4A9F72" w14:textId="77777777" w:rsidTr="00BB4F69">
        <w:trPr>
          <w:trHeight w:val="300"/>
        </w:trPr>
        <w:tc>
          <w:tcPr>
            <w:tcW w:w="4416" w:type="dxa"/>
            <w:noWrap/>
            <w:vAlign w:val="center"/>
          </w:tcPr>
          <w:p w14:paraId="06029EE9" w14:textId="77777777" w:rsidR="00DF358A" w:rsidRPr="004E13E9" w:rsidRDefault="00DF358A" w:rsidP="00BB4F69">
            <w:pPr>
              <w:contextualSpacing/>
              <w:rPr>
                <w:rFonts w:eastAsia="Times New Roman" w:cs="Times New Roman"/>
                <w:color w:val="000000"/>
                <w:lang w:eastAsia="en-GB"/>
              </w:rPr>
            </w:pPr>
            <w:r w:rsidRPr="004E13E9">
              <w:rPr>
                <w:rFonts w:eastAsia="Times New Roman" w:cs="Times New Roman"/>
                <w:color w:val="000000"/>
                <w:lang w:eastAsia="en-GB"/>
              </w:rPr>
              <w:t xml:space="preserve">Petits </w:t>
            </w:r>
            <w:proofErr w:type="spellStart"/>
            <w:r w:rsidRPr="004E13E9">
              <w:rPr>
                <w:rFonts w:eastAsia="Times New Roman" w:cs="Times New Roman"/>
                <w:color w:val="000000"/>
                <w:lang w:eastAsia="en-GB"/>
              </w:rPr>
              <w:t>navires</w:t>
            </w:r>
            <w:proofErr w:type="spellEnd"/>
          </w:p>
        </w:tc>
        <w:tc>
          <w:tcPr>
            <w:tcW w:w="1509" w:type="dxa"/>
            <w:vAlign w:val="center"/>
          </w:tcPr>
          <w:p w14:paraId="2D96FB0E"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rPr>
              <w:t>1.192</w:t>
            </w:r>
          </w:p>
        </w:tc>
        <w:tc>
          <w:tcPr>
            <w:tcW w:w="1583" w:type="dxa"/>
            <w:noWrap/>
            <w:vAlign w:val="center"/>
          </w:tcPr>
          <w:p w14:paraId="142A1A96" w14:textId="77777777" w:rsidR="00DF358A" w:rsidRPr="004E13E9" w:rsidRDefault="00DF358A" w:rsidP="00BB4F69">
            <w:pPr>
              <w:contextualSpacing/>
              <w:jc w:val="center"/>
              <w:rPr>
                <w:rFonts w:eastAsia="MS Gothic" w:cs="Times New Roman"/>
                <w:lang w:eastAsia="fr-FR" w:bidi="fr-FR"/>
              </w:rPr>
            </w:pPr>
            <w:r w:rsidRPr="004E13E9">
              <w:rPr>
                <w:rFonts w:cs="Calibri"/>
              </w:rPr>
              <w:t>1.798</w:t>
            </w:r>
          </w:p>
        </w:tc>
      </w:tr>
      <w:tr w:rsidR="00DF358A" w:rsidRPr="004E13E9" w14:paraId="7E3D8C65" w14:textId="77777777" w:rsidTr="00BB4F69">
        <w:trPr>
          <w:trHeight w:val="315"/>
        </w:trPr>
        <w:tc>
          <w:tcPr>
            <w:tcW w:w="4416" w:type="dxa"/>
            <w:noWrap/>
            <w:vAlign w:val="center"/>
            <w:hideMark/>
          </w:tcPr>
          <w:p w14:paraId="7FD39FAB" w14:textId="77777777" w:rsidR="00DF358A" w:rsidRPr="004E13E9" w:rsidRDefault="00DF358A" w:rsidP="00BB4F69">
            <w:pPr>
              <w:contextualSpacing/>
              <w:rPr>
                <w:rFonts w:eastAsia="Times New Roman" w:cs="Times New Roman"/>
                <w:color w:val="000000"/>
                <w:lang w:eastAsia="fr-FR" w:bidi="fr-FR"/>
              </w:rPr>
            </w:pPr>
            <w:proofErr w:type="spellStart"/>
            <w:r w:rsidRPr="004E13E9">
              <w:rPr>
                <w:rFonts w:eastAsia="MS Gothic" w:cs="Times New Roman"/>
                <w:color w:val="000000"/>
                <w:lang w:eastAsia="fr-FR" w:bidi="fr-FR"/>
              </w:rPr>
              <w:t>Autre</w:t>
            </w:r>
            <w:proofErr w:type="spellEnd"/>
            <w:r w:rsidRPr="004E13E9">
              <w:rPr>
                <w:rFonts w:eastAsia="MS Gothic" w:cs="Times New Roman"/>
                <w:color w:val="000000"/>
                <w:lang w:eastAsia="fr-FR" w:bidi="fr-FR"/>
              </w:rPr>
              <w:t xml:space="preserve">  </w:t>
            </w:r>
          </w:p>
        </w:tc>
        <w:tc>
          <w:tcPr>
            <w:tcW w:w="1509" w:type="dxa"/>
            <w:vAlign w:val="center"/>
          </w:tcPr>
          <w:p w14:paraId="74A1595B"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rPr>
              <w:t>222</w:t>
            </w:r>
          </w:p>
        </w:tc>
        <w:tc>
          <w:tcPr>
            <w:tcW w:w="1583" w:type="dxa"/>
            <w:noWrap/>
            <w:vAlign w:val="center"/>
          </w:tcPr>
          <w:p w14:paraId="6CEDEA2C" w14:textId="77777777" w:rsidR="00DF358A" w:rsidRPr="004E13E9" w:rsidRDefault="00DF358A" w:rsidP="00BB4F69">
            <w:pPr>
              <w:contextualSpacing/>
              <w:jc w:val="center"/>
              <w:rPr>
                <w:rFonts w:eastAsia="MS Gothic" w:cs="Times New Roman"/>
                <w:lang w:eastAsia="fr-FR" w:bidi="fr-FR"/>
              </w:rPr>
            </w:pPr>
            <w:r w:rsidRPr="004E13E9">
              <w:rPr>
                <w:rFonts w:cs="Calibri"/>
              </w:rPr>
              <w:t>1.068</w:t>
            </w:r>
          </w:p>
        </w:tc>
      </w:tr>
      <w:tr w:rsidR="00DF358A" w:rsidRPr="004E13E9" w14:paraId="05A06E16" w14:textId="77777777" w:rsidTr="00BB4F69">
        <w:trPr>
          <w:trHeight w:val="315"/>
        </w:trPr>
        <w:tc>
          <w:tcPr>
            <w:tcW w:w="4416" w:type="dxa"/>
            <w:shd w:val="clear" w:color="auto" w:fill="D9D9D9" w:themeFill="background1" w:themeFillShade="D9"/>
            <w:noWrap/>
            <w:vAlign w:val="center"/>
            <w:hideMark/>
          </w:tcPr>
          <w:p w14:paraId="1A400CFC" w14:textId="77777777" w:rsidR="00DF358A" w:rsidRPr="004E13E9" w:rsidRDefault="00DF358A" w:rsidP="00BB4F69">
            <w:pPr>
              <w:contextualSpacing/>
              <w:rPr>
                <w:rFonts w:eastAsia="Times New Roman" w:cs="Times New Roman"/>
                <w:b/>
                <w:bCs/>
                <w:color w:val="000000"/>
                <w:lang w:eastAsia="fr-FR" w:bidi="fr-FR"/>
              </w:rPr>
            </w:pPr>
            <w:r w:rsidRPr="004E13E9">
              <w:rPr>
                <w:rFonts w:eastAsia="MS Gothic" w:cs="Times New Roman"/>
                <w:b/>
                <w:bCs/>
                <w:color w:val="000000"/>
                <w:lang w:eastAsia="fr-FR" w:bidi="fr-FR"/>
              </w:rPr>
              <w:t xml:space="preserve">Total de la </w:t>
            </w:r>
            <w:proofErr w:type="spellStart"/>
            <w:r w:rsidRPr="004E13E9">
              <w:rPr>
                <w:rFonts w:eastAsia="MS Gothic" w:cs="Times New Roman"/>
                <w:b/>
                <w:bCs/>
                <w:color w:val="000000"/>
                <w:lang w:eastAsia="fr-FR" w:bidi="fr-FR"/>
              </w:rPr>
              <w:t>flottille</w:t>
            </w:r>
            <w:proofErr w:type="spellEnd"/>
            <w:r w:rsidRPr="004E13E9">
              <w:rPr>
                <w:rFonts w:eastAsia="MS Gothic" w:cs="Times New Roman"/>
                <w:b/>
                <w:bCs/>
                <w:color w:val="000000"/>
                <w:lang w:eastAsia="fr-FR" w:bidi="fr-FR"/>
              </w:rPr>
              <w:t xml:space="preserve"> de </w:t>
            </w:r>
            <w:proofErr w:type="spellStart"/>
            <w:r w:rsidRPr="004E13E9">
              <w:rPr>
                <w:rFonts w:eastAsia="MS Gothic" w:cs="Times New Roman"/>
                <w:b/>
                <w:bCs/>
                <w:color w:val="000000"/>
                <w:lang w:eastAsia="fr-FR" w:bidi="fr-FR"/>
              </w:rPr>
              <w:t>l’UE</w:t>
            </w:r>
            <w:proofErr w:type="spellEnd"/>
          </w:p>
        </w:tc>
        <w:tc>
          <w:tcPr>
            <w:tcW w:w="1509" w:type="dxa"/>
            <w:shd w:val="clear" w:color="auto" w:fill="D9D9D9" w:themeFill="background1" w:themeFillShade="D9"/>
            <w:vAlign w:val="center"/>
          </w:tcPr>
          <w:p w14:paraId="263ED0A0" w14:textId="77777777" w:rsidR="00DF358A" w:rsidRPr="004E13E9" w:rsidRDefault="00DF358A" w:rsidP="00BB4F69">
            <w:pPr>
              <w:contextualSpacing/>
              <w:jc w:val="center"/>
              <w:rPr>
                <w:rFonts w:eastAsia="Times New Roman" w:cs="Times New Roman"/>
                <w:b/>
                <w:bCs/>
                <w:color w:val="000000"/>
                <w:lang w:eastAsia="fr-FR" w:bidi="fr-FR"/>
              </w:rPr>
            </w:pPr>
            <w:r w:rsidRPr="004E13E9">
              <w:rPr>
                <w:rFonts w:cs="Calibri"/>
                <w:b/>
                <w:bCs/>
              </w:rPr>
              <w:t>1.894</w:t>
            </w:r>
          </w:p>
        </w:tc>
        <w:tc>
          <w:tcPr>
            <w:tcW w:w="1583" w:type="dxa"/>
            <w:shd w:val="clear" w:color="auto" w:fill="D9D9D9" w:themeFill="background1" w:themeFillShade="D9"/>
            <w:noWrap/>
            <w:vAlign w:val="center"/>
          </w:tcPr>
          <w:p w14:paraId="52D662FD" w14:textId="77777777" w:rsidR="00DF358A" w:rsidRPr="004E13E9" w:rsidRDefault="00DF358A" w:rsidP="00BB4F69">
            <w:pPr>
              <w:contextualSpacing/>
              <w:jc w:val="center"/>
              <w:rPr>
                <w:rFonts w:eastAsia="Times New Roman" w:cs="Times New Roman"/>
                <w:b/>
                <w:lang w:eastAsia="fr-FR" w:bidi="fr-FR"/>
              </w:rPr>
            </w:pPr>
            <w:r w:rsidRPr="004E13E9">
              <w:rPr>
                <w:rFonts w:cs="Calibri"/>
                <w:b/>
                <w:bCs/>
              </w:rPr>
              <w:t>23.293</w:t>
            </w:r>
          </w:p>
        </w:tc>
      </w:tr>
      <w:tr w:rsidR="00DF358A" w:rsidRPr="004E13E9" w14:paraId="7AF35EC2" w14:textId="77777777" w:rsidTr="00BB4F69">
        <w:trPr>
          <w:trHeight w:val="315"/>
        </w:trPr>
        <w:tc>
          <w:tcPr>
            <w:tcW w:w="4416" w:type="dxa"/>
            <w:noWrap/>
            <w:vAlign w:val="center"/>
            <w:hideMark/>
          </w:tcPr>
          <w:p w14:paraId="76AC043A" w14:textId="77777777" w:rsidR="00DF358A" w:rsidRPr="004E13E9" w:rsidRDefault="00DF358A" w:rsidP="00BB4F69">
            <w:pPr>
              <w:contextualSpacing/>
              <w:rPr>
                <w:rFonts w:eastAsia="Times New Roman" w:cs="Times New Roman"/>
                <w:b/>
                <w:bCs/>
                <w:color w:val="000000"/>
                <w:lang w:eastAsia="fr-FR" w:bidi="fr-FR"/>
              </w:rPr>
            </w:pPr>
            <w:r w:rsidRPr="004E13E9">
              <w:rPr>
                <w:rFonts w:eastAsia="MS Gothic" w:cs="Times New Roman"/>
                <w:b/>
                <w:bCs/>
                <w:color w:val="000000"/>
                <w:lang w:eastAsia="fr-FR" w:bidi="fr-FR"/>
              </w:rPr>
              <w:t xml:space="preserve">Quota </w:t>
            </w:r>
          </w:p>
        </w:tc>
        <w:tc>
          <w:tcPr>
            <w:tcW w:w="1509" w:type="dxa"/>
            <w:noWrap/>
            <w:vAlign w:val="center"/>
          </w:tcPr>
          <w:p w14:paraId="402B14CA" w14:textId="77777777" w:rsidR="00DF358A" w:rsidRPr="004E13E9" w:rsidRDefault="00DF358A" w:rsidP="00BB4F69">
            <w:pPr>
              <w:contextualSpacing/>
              <w:jc w:val="center"/>
              <w:rPr>
                <w:rFonts w:eastAsia="Times New Roman" w:cs="Times New Roman"/>
                <w:color w:val="000000"/>
                <w:lang w:eastAsia="en-GB"/>
              </w:rPr>
            </w:pPr>
          </w:p>
        </w:tc>
        <w:tc>
          <w:tcPr>
            <w:tcW w:w="1583" w:type="dxa"/>
            <w:noWrap/>
            <w:vAlign w:val="center"/>
          </w:tcPr>
          <w:p w14:paraId="4FC95CA1"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b/>
                <w:bCs/>
                <w:color w:val="000000" w:themeColor="text1"/>
              </w:rPr>
              <w:t>25.164,62</w:t>
            </w:r>
          </w:p>
        </w:tc>
      </w:tr>
      <w:tr w:rsidR="00DF358A" w:rsidRPr="004E13E9" w14:paraId="148816E7" w14:textId="77777777" w:rsidTr="00BB4F69">
        <w:trPr>
          <w:trHeight w:val="315"/>
        </w:trPr>
        <w:tc>
          <w:tcPr>
            <w:tcW w:w="4416" w:type="dxa"/>
            <w:noWrap/>
            <w:vAlign w:val="center"/>
          </w:tcPr>
          <w:p w14:paraId="6587233F" w14:textId="77777777" w:rsidR="00DF358A" w:rsidRPr="004E13E9" w:rsidRDefault="00DF358A" w:rsidP="00BB4F69">
            <w:pPr>
              <w:contextualSpacing/>
              <w:rPr>
                <w:rFonts w:eastAsia="MS Gothic" w:cs="Times New Roman"/>
                <w:color w:val="000000"/>
                <w:lang w:eastAsia="fr-FR" w:bidi="fr-FR"/>
              </w:rPr>
            </w:pPr>
            <w:r w:rsidRPr="004E13E9">
              <w:rPr>
                <w:rFonts w:eastAsia="MS Gothic" w:cs="Times New Roman"/>
                <w:color w:val="000000"/>
                <w:lang w:eastAsia="fr-FR" w:bidi="fr-FR"/>
              </w:rPr>
              <w:t xml:space="preserve">Quota </w:t>
            </w:r>
            <w:proofErr w:type="spellStart"/>
            <w:r w:rsidRPr="004E13E9">
              <w:rPr>
                <w:rFonts w:eastAsia="MS Gothic" w:cs="Times New Roman"/>
                <w:color w:val="000000"/>
                <w:lang w:eastAsia="fr-FR" w:bidi="fr-FR"/>
              </w:rPr>
              <w:t>ajusté</w:t>
            </w:r>
            <w:proofErr w:type="spellEnd"/>
            <w:r w:rsidRPr="004E13E9">
              <w:rPr>
                <w:rStyle w:val="FootnoteReference"/>
              </w:rPr>
              <w:footnoteReference w:id="7"/>
            </w:r>
          </w:p>
        </w:tc>
        <w:tc>
          <w:tcPr>
            <w:tcW w:w="1509" w:type="dxa"/>
            <w:noWrap/>
            <w:vAlign w:val="center"/>
          </w:tcPr>
          <w:p w14:paraId="0C6021F3" w14:textId="77777777" w:rsidR="00DF358A" w:rsidRPr="004E13E9" w:rsidRDefault="00DF358A" w:rsidP="00BB4F69">
            <w:pPr>
              <w:contextualSpacing/>
              <w:jc w:val="center"/>
              <w:rPr>
                <w:rFonts w:eastAsia="Times New Roman" w:cs="Times New Roman"/>
                <w:color w:val="000000"/>
                <w:lang w:eastAsia="en-GB"/>
              </w:rPr>
            </w:pPr>
          </w:p>
        </w:tc>
        <w:tc>
          <w:tcPr>
            <w:tcW w:w="1583" w:type="dxa"/>
            <w:noWrap/>
            <w:vAlign w:val="center"/>
          </w:tcPr>
          <w:p w14:paraId="5F0316A1" w14:textId="77777777" w:rsidR="00DF358A" w:rsidRPr="004E13E9" w:rsidRDefault="00DF358A" w:rsidP="00BB4F69">
            <w:pPr>
              <w:contextualSpacing/>
              <w:jc w:val="center"/>
              <w:rPr>
                <w:color w:val="000000"/>
              </w:rPr>
            </w:pPr>
            <w:r w:rsidRPr="004E13E9">
              <w:rPr>
                <w:rFonts w:cs="Calibri"/>
              </w:rPr>
              <w:t>23.382,03</w:t>
            </w:r>
          </w:p>
        </w:tc>
      </w:tr>
      <w:tr w:rsidR="00DF358A" w:rsidRPr="004E13E9" w14:paraId="3D1715D4" w14:textId="77777777" w:rsidTr="00BB4F69">
        <w:trPr>
          <w:trHeight w:val="315"/>
        </w:trPr>
        <w:tc>
          <w:tcPr>
            <w:tcW w:w="4416" w:type="dxa"/>
            <w:noWrap/>
            <w:vAlign w:val="center"/>
          </w:tcPr>
          <w:p w14:paraId="43E34B6C" w14:textId="77777777" w:rsidR="00DF358A" w:rsidRPr="004E13E9" w:rsidRDefault="00DF358A" w:rsidP="00BB4F69">
            <w:pPr>
              <w:contextualSpacing/>
              <w:rPr>
                <w:rFonts w:eastAsia="MS Gothic" w:cs="Times New Roman"/>
                <w:color w:val="000000"/>
                <w:lang w:eastAsia="fr-FR" w:bidi="fr-FR"/>
              </w:rPr>
            </w:pPr>
            <w:proofErr w:type="spellStart"/>
            <w:r w:rsidRPr="004E13E9">
              <w:rPr>
                <w:rFonts w:eastAsia="MS Gothic" w:cs="Times New Roman"/>
                <w:color w:val="000000"/>
                <w:lang w:eastAsia="fr-FR" w:bidi="fr-FR"/>
              </w:rPr>
              <w:t>Navires</w:t>
            </w:r>
            <w:proofErr w:type="spellEnd"/>
            <w:r w:rsidRPr="004E13E9">
              <w:rPr>
                <w:rFonts w:eastAsia="MS Gothic" w:cs="Times New Roman"/>
                <w:color w:val="000000"/>
                <w:lang w:eastAsia="fr-FR" w:bidi="fr-FR"/>
              </w:rPr>
              <w:t xml:space="preserve"> </w:t>
            </w:r>
            <w:proofErr w:type="spellStart"/>
            <w:r w:rsidRPr="004E13E9">
              <w:rPr>
                <w:rFonts w:eastAsia="MS Gothic" w:cs="Times New Roman"/>
                <w:color w:val="000000"/>
                <w:lang w:eastAsia="fr-FR" w:bidi="fr-FR"/>
              </w:rPr>
              <w:t>récréatifs</w:t>
            </w:r>
            <w:proofErr w:type="spellEnd"/>
          </w:p>
        </w:tc>
        <w:tc>
          <w:tcPr>
            <w:tcW w:w="1509" w:type="dxa"/>
            <w:noWrap/>
            <w:vAlign w:val="center"/>
          </w:tcPr>
          <w:p w14:paraId="01D14E39" w14:textId="77777777" w:rsidR="00DF358A" w:rsidRPr="004E13E9" w:rsidRDefault="00DF358A" w:rsidP="00BB4F69">
            <w:pPr>
              <w:contextualSpacing/>
              <w:jc w:val="center"/>
              <w:rPr>
                <w:rFonts w:eastAsia="Times New Roman" w:cs="Times New Roman"/>
                <w:color w:val="000000"/>
                <w:lang w:eastAsia="en-GB"/>
              </w:rPr>
            </w:pPr>
          </w:p>
        </w:tc>
        <w:tc>
          <w:tcPr>
            <w:tcW w:w="1583" w:type="dxa"/>
            <w:noWrap/>
            <w:vAlign w:val="center"/>
          </w:tcPr>
          <w:p w14:paraId="55B287F8"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color w:val="000000" w:themeColor="text1"/>
              </w:rPr>
              <w:t>134</w:t>
            </w:r>
          </w:p>
        </w:tc>
      </w:tr>
      <w:tr w:rsidR="00DF358A" w:rsidRPr="004E13E9" w14:paraId="5ADB3D04" w14:textId="77777777" w:rsidTr="00BB4F69">
        <w:trPr>
          <w:trHeight w:val="315"/>
        </w:trPr>
        <w:tc>
          <w:tcPr>
            <w:tcW w:w="4416" w:type="dxa"/>
            <w:noWrap/>
            <w:vAlign w:val="center"/>
          </w:tcPr>
          <w:p w14:paraId="39AD439A" w14:textId="77777777" w:rsidR="00DF358A" w:rsidRPr="004E13E9" w:rsidRDefault="00DF358A" w:rsidP="00BB4F69">
            <w:pPr>
              <w:contextualSpacing/>
              <w:rPr>
                <w:rFonts w:eastAsia="MS Gothic" w:cs="Times New Roman"/>
                <w:color w:val="000000"/>
                <w:lang w:eastAsia="fr-FR" w:bidi="fr-FR"/>
              </w:rPr>
            </w:pPr>
            <w:proofErr w:type="spellStart"/>
            <w:r w:rsidRPr="004E13E9">
              <w:rPr>
                <w:rFonts w:eastAsia="MS Gothic" w:cs="Times New Roman"/>
                <w:color w:val="000000"/>
                <w:lang w:eastAsia="fr-FR" w:bidi="fr-FR"/>
              </w:rPr>
              <w:t>Réserve</w:t>
            </w:r>
            <w:proofErr w:type="spellEnd"/>
            <w:r w:rsidRPr="004E13E9">
              <w:rPr>
                <w:rFonts w:eastAsia="MS Gothic" w:cs="Times New Roman"/>
                <w:color w:val="000000"/>
                <w:lang w:eastAsia="fr-FR" w:bidi="fr-FR"/>
              </w:rPr>
              <w:t xml:space="preserve"> </w:t>
            </w:r>
            <w:proofErr w:type="spellStart"/>
            <w:r w:rsidRPr="004E13E9">
              <w:rPr>
                <w:rFonts w:eastAsia="MS Gothic" w:cs="Times New Roman"/>
                <w:color w:val="000000"/>
                <w:lang w:eastAsia="fr-FR" w:bidi="fr-FR"/>
              </w:rPr>
              <w:t>prises</w:t>
            </w:r>
            <w:proofErr w:type="spellEnd"/>
            <w:r w:rsidRPr="004E13E9">
              <w:rPr>
                <w:rFonts w:eastAsia="MS Gothic" w:cs="Times New Roman"/>
                <w:color w:val="000000"/>
                <w:lang w:eastAsia="fr-FR" w:bidi="fr-FR"/>
              </w:rPr>
              <w:t xml:space="preserve"> </w:t>
            </w:r>
            <w:proofErr w:type="spellStart"/>
            <w:r w:rsidRPr="004E13E9">
              <w:rPr>
                <w:rFonts w:eastAsia="MS Gothic" w:cs="Times New Roman"/>
                <w:color w:val="000000"/>
                <w:lang w:eastAsia="fr-FR" w:bidi="fr-FR"/>
              </w:rPr>
              <w:t>accessoires</w:t>
            </w:r>
            <w:proofErr w:type="spellEnd"/>
          </w:p>
        </w:tc>
        <w:tc>
          <w:tcPr>
            <w:tcW w:w="1509" w:type="dxa"/>
            <w:noWrap/>
            <w:vAlign w:val="center"/>
          </w:tcPr>
          <w:p w14:paraId="47073FC4" w14:textId="77777777" w:rsidR="00DF358A" w:rsidRPr="004E13E9" w:rsidRDefault="00DF358A" w:rsidP="00BB4F69">
            <w:pPr>
              <w:contextualSpacing/>
              <w:jc w:val="center"/>
              <w:rPr>
                <w:rFonts w:eastAsia="Times New Roman" w:cs="Times New Roman"/>
                <w:color w:val="000000"/>
                <w:lang w:eastAsia="en-GB"/>
              </w:rPr>
            </w:pPr>
          </w:p>
        </w:tc>
        <w:tc>
          <w:tcPr>
            <w:tcW w:w="1583" w:type="dxa"/>
            <w:noWrap/>
            <w:vAlign w:val="center"/>
          </w:tcPr>
          <w:p w14:paraId="7C260D5A"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rPr>
              <w:t>483</w:t>
            </w:r>
          </w:p>
        </w:tc>
      </w:tr>
      <w:tr w:rsidR="00DF358A" w:rsidRPr="004E13E9" w14:paraId="3C0365EF" w14:textId="77777777" w:rsidTr="00BB4F69">
        <w:trPr>
          <w:trHeight w:val="300"/>
        </w:trPr>
        <w:tc>
          <w:tcPr>
            <w:tcW w:w="4416" w:type="dxa"/>
            <w:noWrap/>
            <w:vAlign w:val="center"/>
            <w:hideMark/>
          </w:tcPr>
          <w:p w14:paraId="27C09E18" w14:textId="77777777" w:rsidR="00DF358A" w:rsidRPr="004E13E9" w:rsidRDefault="00DF358A" w:rsidP="00BB4F69">
            <w:pPr>
              <w:contextualSpacing/>
              <w:rPr>
                <w:rFonts w:eastAsia="Times New Roman" w:cs="Times New Roman"/>
                <w:color w:val="000000"/>
                <w:lang w:eastAsia="fr-FR" w:bidi="fr-FR"/>
              </w:rPr>
            </w:pPr>
            <w:r w:rsidRPr="004E13E9">
              <w:rPr>
                <w:rFonts w:eastAsia="MS Gothic" w:cs="Times New Roman"/>
                <w:color w:val="000000"/>
                <w:lang w:eastAsia="fr-FR" w:bidi="fr-FR"/>
              </w:rPr>
              <w:t>Contingence</w:t>
            </w:r>
          </w:p>
        </w:tc>
        <w:tc>
          <w:tcPr>
            <w:tcW w:w="1509" w:type="dxa"/>
            <w:noWrap/>
            <w:vAlign w:val="center"/>
          </w:tcPr>
          <w:p w14:paraId="237DB7D1" w14:textId="77777777" w:rsidR="00DF358A" w:rsidRPr="004E13E9" w:rsidRDefault="00DF358A" w:rsidP="00BB4F69">
            <w:pPr>
              <w:contextualSpacing/>
              <w:jc w:val="center"/>
              <w:rPr>
                <w:rFonts w:eastAsia="Times New Roman" w:cs="Times New Roman"/>
                <w:color w:val="000000"/>
                <w:lang w:eastAsia="en-GB"/>
              </w:rPr>
            </w:pPr>
          </w:p>
        </w:tc>
        <w:tc>
          <w:tcPr>
            <w:tcW w:w="1583" w:type="dxa"/>
            <w:noWrap/>
            <w:vAlign w:val="center"/>
          </w:tcPr>
          <w:p w14:paraId="29019023" w14:textId="77777777" w:rsidR="00DF358A" w:rsidRPr="004E13E9" w:rsidRDefault="00DF358A" w:rsidP="00BB4F69">
            <w:pPr>
              <w:contextualSpacing/>
              <w:jc w:val="center"/>
              <w:rPr>
                <w:rFonts w:eastAsia="MS Gothic" w:cs="Times New Roman"/>
                <w:color w:val="000000"/>
                <w:lang w:eastAsia="fr-FR" w:bidi="fr-FR"/>
              </w:rPr>
            </w:pPr>
            <w:r w:rsidRPr="004E13E9">
              <w:rPr>
                <w:rFonts w:cs="Calibri"/>
                <w:b/>
                <w:bCs/>
                <w:color w:val="000000" w:themeColor="text1"/>
              </w:rPr>
              <w:t>1.165</w:t>
            </w:r>
          </w:p>
        </w:tc>
      </w:tr>
    </w:tbl>
    <w:p w14:paraId="696A45C8" w14:textId="77777777" w:rsidR="00DF358A" w:rsidRPr="004E13E9" w:rsidRDefault="00DF358A" w:rsidP="00DF358A">
      <w:pPr>
        <w:contextualSpacing/>
        <w:rPr>
          <w:rFonts w:eastAsia="MS Gothic" w:cs="Times New Roman"/>
          <w:color w:val="000000"/>
          <w:sz w:val="24"/>
          <w:szCs w:val="24"/>
          <w:lang w:eastAsia="fr-FR" w:bidi="fr-FR"/>
        </w:rPr>
      </w:pPr>
    </w:p>
    <w:p w14:paraId="2D040032" w14:textId="77777777" w:rsidR="00DF358A" w:rsidRPr="004E13E9" w:rsidRDefault="00DF358A" w:rsidP="00DF358A">
      <w:pPr>
        <w:contextualSpacing/>
        <w:jc w:val="both"/>
        <w:rPr>
          <w:rFonts w:eastAsia="MS Gothic" w:cs="Times New Roman"/>
          <w:lang w:eastAsia="fr-FR" w:bidi="fr-FR"/>
        </w:rPr>
      </w:pPr>
    </w:p>
    <w:p w14:paraId="0D883F48" w14:textId="77777777" w:rsidR="00DF358A" w:rsidRPr="004E13E9" w:rsidRDefault="00DF358A" w:rsidP="00DF358A">
      <w:pPr>
        <w:contextualSpacing/>
        <w:jc w:val="both"/>
        <w:rPr>
          <w:rFonts w:eastAsia="MS Gothic" w:cs="Times New Roman"/>
          <w:lang w:eastAsia="fr-FR" w:bidi="fr-FR"/>
        </w:rPr>
      </w:pPr>
    </w:p>
    <w:p w14:paraId="3EF05AB7" w14:textId="77777777" w:rsidR="00DF358A" w:rsidRPr="004E13E9" w:rsidRDefault="00DF358A" w:rsidP="00DF358A">
      <w:pPr>
        <w:contextualSpacing/>
        <w:jc w:val="both"/>
        <w:rPr>
          <w:rFonts w:eastAsia="MS Gothic" w:cs="Times New Roman"/>
          <w:lang w:eastAsia="fr-FR" w:bidi="fr-FR"/>
        </w:rPr>
      </w:pPr>
    </w:p>
    <w:p w14:paraId="25D4E2BE" w14:textId="77777777" w:rsidR="00DF358A" w:rsidRPr="004E13E9" w:rsidRDefault="00DF358A" w:rsidP="00DF358A">
      <w:pPr>
        <w:contextualSpacing/>
        <w:jc w:val="both"/>
        <w:rPr>
          <w:rFonts w:eastAsia="MS Gothic" w:cs="Times New Roman"/>
          <w:lang w:eastAsia="fr-FR" w:bidi="fr-FR"/>
        </w:rPr>
      </w:pPr>
    </w:p>
    <w:p w14:paraId="730B58B4" w14:textId="77777777" w:rsidR="00DF358A" w:rsidRPr="004E13E9" w:rsidRDefault="00DF358A" w:rsidP="00DF358A">
      <w:pPr>
        <w:contextualSpacing/>
        <w:jc w:val="both"/>
        <w:rPr>
          <w:rFonts w:eastAsia="MS Gothic" w:cs="Times New Roman"/>
          <w:lang w:eastAsia="fr-FR" w:bidi="fr-FR"/>
        </w:rPr>
      </w:pPr>
    </w:p>
    <w:p w14:paraId="1556EEC0" w14:textId="77777777" w:rsidR="00DF358A" w:rsidRPr="004E13E9" w:rsidRDefault="00DF358A" w:rsidP="00DF358A">
      <w:pPr>
        <w:contextualSpacing/>
        <w:jc w:val="both"/>
        <w:rPr>
          <w:rFonts w:eastAsia="MS Gothic" w:cs="Times New Roman"/>
          <w:lang w:eastAsia="fr-FR" w:bidi="fr-FR"/>
        </w:rPr>
      </w:pPr>
    </w:p>
    <w:p w14:paraId="4311EAE1" w14:textId="77777777" w:rsidR="00DF358A" w:rsidRPr="004E13E9" w:rsidRDefault="00DF358A" w:rsidP="00DF358A">
      <w:pPr>
        <w:contextualSpacing/>
        <w:jc w:val="both"/>
        <w:rPr>
          <w:rFonts w:eastAsia="MS Gothic" w:cs="Times New Roman"/>
          <w:lang w:eastAsia="fr-FR" w:bidi="fr-FR"/>
        </w:rPr>
      </w:pPr>
    </w:p>
    <w:p w14:paraId="216C9D3F" w14:textId="77777777" w:rsidR="00DF358A" w:rsidRPr="004E13E9" w:rsidRDefault="00DF358A" w:rsidP="00DF358A">
      <w:pPr>
        <w:contextualSpacing/>
        <w:jc w:val="both"/>
        <w:rPr>
          <w:rFonts w:eastAsia="MS Gothic" w:cs="Times New Roman"/>
          <w:lang w:eastAsia="fr-FR" w:bidi="fr-FR"/>
        </w:rPr>
      </w:pPr>
    </w:p>
    <w:p w14:paraId="5ED935C1" w14:textId="77777777" w:rsidR="00DF358A" w:rsidRPr="004E13E9" w:rsidRDefault="00DF358A" w:rsidP="00DF358A">
      <w:pPr>
        <w:contextualSpacing/>
        <w:jc w:val="both"/>
        <w:rPr>
          <w:rFonts w:eastAsia="MS Gothic" w:cs="Times New Roman"/>
          <w:lang w:eastAsia="fr-FR" w:bidi="fr-FR"/>
        </w:rPr>
      </w:pPr>
    </w:p>
    <w:p w14:paraId="4DF00BF9" w14:textId="77777777" w:rsidR="00DF358A" w:rsidRPr="004E13E9" w:rsidRDefault="00DF358A" w:rsidP="00DF358A">
      <w:pPr>
        <w:contextualSpacing/>
        <w:jc w:val="both"/>
        <w:rPr>
          <w:rFonts w:eastAsia="MS Gothic" w:cs="Times New Roman"/>
          <w:lang w:eastAsia="fr-FR" w:bidi="fr-FR"/>
        </w:rPr>
      </w:pPr>
    </w:p>
    <w:p w14:paraId="0D0827A7" w14:textId="77777777" w:rsidR="00DF358A" w:rsidRPr="004E13E9" w:rsidRDefault="00DF358A" w:rsidP="00DF358A">
      <w:pPr>
        <w:contextualSpacing/>
        <w:jc w:val="both"/>
        <w:rPr>
          <w:rFonts w:eastAsia="MS Gothic" w:cs="Times New Roman"/>
          <w:lang w:eastAsia="fr-FR" w:bidi="fr-FR"/>
        </w:rPr>
      </w:pPr>
    </w:p>
    <w:p w14:paraId="0CE5DD21" w14:textId="77777777" w:rsidR="00DF358A" w:rsidRPr="004E13E9" w:rsidRDefault="00DF358A" w:rsidP="00DF358A">
      <w:pPr>
        <w:contextualSpacing/>
        <w:jc w:val="both"/>
        <w:rPr>
          <w:rFonts w:eastAsia="MS Gothic" w:cs="Times New Roman"/>
          <w:lang w:eastAsia="fr-FR" w:bidi="fr-FR"/>
        </w:rPr>
      </w:pPr>
    </w:p>
    <w:p w14:paraId="6960FBF3" w14:textId="77777777" w:rsidR="00DF358A" w:rsidRPr="004E13E9" w:rsidRDefault="00DF358A" w:rsidP="00DF358A">
      <w:pPr>
        <w:contextualSpacing/>
        <w:jc w:val="both"/>
        <w:rPr>
          <w:rFonts w:eastAsia="MS Gothic" w:cs="Times New Roman"/>
          <w:lang w:eastAsia="fr-FR" w:bidi="fr-FR"/>
        </w:rPr>
      </w:pPr>
    </w:p>
    <w:p w14:paraId="48AE85A0" w14:textId="77777777" w:rsidR="00DF358A" w:rsidRPr="004E13E9" w:rsidRDefault="00DF358A" w:rsidP="00DF358A">
      <w:pPr>
        <w:contextualSpacing/>
        <w:jc w:val="both"/>
        <w:rPr>
          <w:rFonts w:eastAsia="MS Gothic" w:cs="Times New Roman"/>
          <w:lang w:eastAsia="fr-FR" w:bidi="fr-FR"/>
        </w:rPr>
      </w:pPr>
    </w:p>
    <w:p w14:paraId="6A4917A0" w14:textId="77777777" w:rsidR="00DF358A" w:rsidRPr="004E13E9" w:rsidRDefault="00DF358A" w:rsidP="00DF358A">
      <w:pPr>
        <w:contextualSpacing/>
        <w:jc w:val="both"/>
        <w:rPr>
          <w:rFonts w:eastAsia="MS Gothic" w:cs="Times New Roman"/>
          <w:lang w:eastAsia="fr-FR" w:bidi="fr-FR"/>
        </w:rPr>
      </w:pPr>
    </w:p>
    <w:p w14:paraId="111C406D" w14:textId="77777777" w:rsidR="00DF358A" w:rsidRPr="004E13E9" w:rsidRDefault="00DF358A" w:rsidP="00DF358A">
      <w:pPr>
        <w:contextualSpacing/>
        <w:jc w:val="both"/>
        <w:rPr>
          <w:rFonts w:eastAsia="MS Gothic" w:cs="Times New Roman"/>
          <w:lang w:eastAsia="fr-FR" w:bidi="fr-FR"/>
        </w:rPr>
      </w:pPr>
    </w:p>
    <w:p w14:paraId="03E04D46" w14:textId="77777777" w:rsidR="00DF358A" w:rsidRPr="004E13E9" w:rsidRDefault="00DF358A" w:rsidP="00DF358A">
      <w:pPr>
        <w:contextualSpacing/>
        <w:jc w:val="both"/>
        <w:rPr>
          <w:rFonts w:eastAsia="MS Gothic" w:cs="Times New Roman"/>
          <w:lang w:eastAsia="fr-FR" w:bidi="fr-FR"/>
        </w:rPr>
      </w:pPr>
    </w:p>
    <w:p w14:paraId="4F012855" w14:textId="77777777" w:rsidR="00DF358A" w:rsidRPr="004E13E9" w:rsidRDefault="00DF358A" w:rsidP="00DF358A">
      <w:pPr>
        <w:contextualSpacing/>
        <w:jc w:val="both"/>
        <w:rPr>
          <w:rFonts w:eastAsia="MS Gothic" w:cs="Times New Roman"/>
          <w:lang w:eastAsia="fr-FR" w:bidi="fr-FR"/>
        </w:rPr>
      </w:pPr>
    </w:p>
    <w:p w14:paraId="7A751DAA" w14:textId="77777777" w:rsidR="00DF358A" w:rsidRPr="004E13E9" w:rsidRDefault="00DF358A" w:rsidP="00DF358A">
      <w:pPr>
        <w:contextualSpacing/>
        <w:jc w:val="both"/>
        <w:rPr>
          <w:rFonts w:eastAsia="MS Gothic" w:cs="Times New Roman"/>
          <w:lang w:eastAsia="fr-FR" w:bidi="fr-FR"/>
        </w:rPr>
      </w:pPr>
    </w:p>
    <w:p w14:paraId="7A000C53" w14:textId="77777777" w:rsidR="00DF358A" w:rsidRPr="004E13E9" w:rsidRDefault="00DF358A" w:rsidP="00DF358A">
      <w:pPr>
        <w:contextualSpacing/>
        <w:jc w:val="both"/>
        <w:rPr>
          <w:rFonts w:eastAsia="MS Gothic" w:cs="Times New Roman"/>
          <w:lang w:eastAsia="fr-FR" w:bidi="fr-FR"/>
        </w:rPr>
      </w:pPr>
    </w:p>
    <w:p w14:paraId="6EE5B8DF" w14:textId="77777777" w:rsidR="00DF358A" w:rsidRPr="004E13E9" w:rsidRDefault="00DF358A" w:rsidP="00DF358A">
      <w:pPr>
        <w:contextualSpacing/>
        <w:jc w:val="both"/>
        <w:rPr>
          <w:rFonts w:eastAsia="MS Gothic" w:cs="Times New Roman"/>
          <w:lang w:eastAsia="fr-FR" w:bidi="fr-FR"/>
        </w:rPr>
      </w:pPr>
    </w:p>
    <w:p w14:paraId="7DF2326D" w14:textId="77777777" w:rsidR="00DF358A" w:rsidRPr="004E13E9" w:rsidRDefault="00DF358A" w:rsidP="00DF358A">
      <w:pPr>
        <w:contextualSpacing/>
        <w:jc w:val="both"/>
        <w:rPr>
          <w:rFonts w:eastAsia="MS Gothic" w:cs="Times New Roman"/>
          <w:lang w:eastAsia="fr-FR" w:bidi="fr-FR"/>
        </w:rPr>
      </w:pPr>
    </w:p>
    <w:p w14:paraId="4F8583B2" w14:textId="77777777" w:rsidR="00DF358A" w:rsidRPr="004E13E9" w:rsidRDefault="00DF358A" w:rsidP="00DF358A">
      <w:pPr>
        <w:contextualSpacing/>
        <w:jc w:val="both"/>
        <w:rPr>
          <w:rFonts w:eastAsia="MS Gothic" w:cs="Times New Roman"/>
          <w:lang w:eastAsia="fr-FR" w:bidi="fr-FR"/>
        </w:rPr>
      </w:pPr>
    </w:p>
    <w:p w14:paraId="501A267E" w14:textId="77777777" w:rsidR="00DF358A" w:rsidRPr="004E13E9" w:rsidRDefault="00DF358A" w:rsidP="00DF358A">
      <w:pPr>
        <w:contextualSpacing/>
        <w:jc w:val="both"/>
        <w:rPr>
          <w:rFonts w:eastAsia="MS Gothic" w:cs="Times New Roman"/>
          <w:lang w:eastAsia="fr-FR" w:bidi="fr-FR"/>
        </w:rPr>
      </w:pPr>
    </w:p>
    <w:p w14:paraId="1643A005" w14:textId="77777777" w:rsidR="00DF358A" w:rsidRPr="004E13E9" w:rsidRDefault="00DF358A" w:rsidP="00DF358A">
      <w:pPr>
        <w:contextualSpacing/>
        <w:jc w:val="both"/>
        <w:rPr>
          <w:rFonts w:eastAsia="MS Gothic" w:cs="Times New Roman"/>
          <w:lang w:eastAsia="fr-FR" w:bidi="fr-FR"/>
        </w:rPr>
      </w:pPr>
    </w:p>
    <w:p w14:paraId="3B5E970A" w14:textId="77777777" w:rsidR="00DF358A" w:rsidRPr="004E13E9" w:rsidRDefault="00DF358A" w:rsidP="00DF358A">
      <w:pPr>
        <w:contextualSpacing/>
        <w:jc w:val="both"/>
        <w:rPr>
          <w:rFonts w:eastAsia="MS Gothic" w:cs="Times New Roman"/>
          <w:lang w:eastAsia="fr-FR" w:bidi="fr-FR"/>
        </w:rPr>
      </w:pPr>
    </w:p>
    <w:p w14:paraId="36D52F74" w14:textId="77777777" w:rsidR="00DF358A" w:rsidRPr="004E13E9" w:rsidRDefault="00DF358A" w:rsidP="00DF358A">
      <w:pPr>
        <w:contextualSpacing/>
        <w:jc w:val="both"/>
        <w:rPr>
          <w:rFonts w:eastAsia="MS Gothic" w:cs="Times New Roman"/>
          <w:lang w:eastAsia="fr-FR" w:bidi="fr-FR"/>
        </w:rPr>
      </w:pPr>
    </w:p>
    <w:p w14:paraId="2B8A404C" w14:textId="77777777" w:rsidR="00DF358A" w:rsidRPr="004E13E9" w:rsidRDefault="00DF358A" w:rsidP="00DF358A">
      <w:pPr>
        <w:contextualSpacing/>
        <w:jc w:val="both"/>
        <w:rPr>
          <w:rFonts w:eastAsia="MS Gothic" w:cs="Times New Roman"/>
          <w:lang w:eastAsia="fr-FR" w:bidi="fr-FR"/>
        </w:rPr>
      </w:pPr>
    </w:p>
    <w:p w14:paraId="71D15E33" w14:textId="77777777" w:rsidR="00DF358A" w:rsidRPr="004E13E9" w:rsidRDefault="00DF358A" w:rsidP="00DF358A">
      <w:pPr>
        <w:rPr>
          <w:rFonts w:eastAsia="MS Gothic" w:cs="Times New Roman"/>
          <w:lang w:eastAsia="fr-FR" w:bidi="fr-FR"/>
        </w:rPr>
      </w:pPr>
      <w:r w:rsidRPr="004E13E9">
        <w:rPr>
          <w:rFonts w:eastAsia="MS Gothic" w:cs="Times New Roman"/>
          <w:lang w:eastAsia="fr-FR" w:bidi="fr-FR"/>
        </w:rPr>
        <w:br w:type="page"/>
      </w:r>
    </w:p>
    <w:p w14:paraId="0817CC62"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lastRenderedPageBreak/>
        <w:t>L'UE présente un plan d'inspection complémentaire couvrant toutes les pêcheries de thon rouge et répondant efficacement aux exigences de contrôle de la pêche.</w:t>
      </w:r>
    </w:p>
    <w:p w14:paraId="140876D7" w14:textId="77777777" w:rsidR="00DF358A" w:rsidRPr="004E13E9" w:rsidRDefault="00DF358A" w:rsidP="00DF358A">
      <w:pPr>
        <w:contextualSpacing/>
        <w:jc w:val="both"/>
        <w:rPr>
          <w:rFonts w:eastAsia="Times New Roman" w:cs="Times New Roman"/>
          <w:lang w:val="fr-FR" w:eastAsia="fr-FR" w:bidi="fr-FR"/>
        </w:rPr>
      </w:pPr>
    </w:p>
    <w:p w14:paraId="23C3C22A" w14:textId="77777777" w:rsidR="00DF358A" w:rsidRPr="004E13E9" w:rsidRDefault="00DF358A" w:rsidP="00DF358A">
      <w:pPr>
        <w:contextualSpacing/>
        <w:jc w:val="both"/>
        <w:rPr>
          <w:lang w:val="fr-FR"/>
        </w:rPr>
      </w:pPr>
      <w:r w:rsidRPr="004E13E9">
        <w:rPr>
          <w:rFonts w:eastAsia="MS Gothic" w:cs="Times New Roman"/>
          <w:lang w:val="fr-FR" w:eastAsia="fr-FR" w:bidi="fr-FR"/>
        </w:rPr>
        <w:t xml:space="preserve">L'Union européenne réalise un suivi en temps réel de la pêcherie du thon rouge et s'engage à prendre les mesures nécessaires pour assurer le respect intégral des Recommandations de l’ICCAT relative à la gestion de la pêche du thon rouge de l'Est, dont les Recommandations 25-04, </w:t>
      </w:r>
      <w:r w:rsidRPr="004E13E9">
        <w:rPr>
          <w:lang w:val="fr-FR"/>
        </w:rPr>
        <w:t>10-11, 22-16 et 23-21.</w:t>
      </w:r>
    </w:p>
    <w:p w14:paraId="27FC979B" w14:textId="77777777" w:rsidR="00DF358A" w:rsidRPr="004E13E9" w:rsidRDefault="00DF358A" w:rsidP="00DF358A">
      <w:pPr>
        <w:contextualSpacing/>
        <w:jc w:val="both"/>
        <w:rPr>
          <w:rFonts w:eastAsia="Times New Roman" w:cs="Times New Roman"/>
          <w:lang w:val="fr-FR" w:eastAsia="fr-FR" w:bidi="fr-FR"/>
        </w:rPr>
      </w:pPr>
    </w:p>
    <w:p w14:paraId="2050E0B0"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Le tableau ci-dessous, section 1d), résume les mesures prises en vue de mettre en œuvre les exigences de la Rec. 25-04 de l’ICCAT ainsi que les lois ou les réglementations nationales pertinentes, le cas échéant.</w:t>
      </w:r>
    </w:p>
    <w:p w14:paraId="59C88F6F" w14:textId="77777777" w:rsidR="00DF358A" w:rsidRPr="004E13E9" w:rsidRDefault="00DF358A" w:rsidP="00DF358A">
      <w:pPr>
        <w:contextualSpacing/>
        <w:jc w:val="both"/>
        <w:rPr>
          <w:b/>
          <w:bCs/>
          <w:i/>
          <w:iCs/>
          <w:lang w:val="fr-FR"/>
        </w:rPr>
      </w:pPr>
    </w:p>
    <w:p w14:paraId="7E338ACF" w14:textId="77777777" w:rsidR="00DF358A" w:rsidRPr="004E13E9" w:rsidRDefault="00DF358A" w:rsidP="00DF358A">
      <w:pPr>
        <w:contextualSpacing/>
        <w:jc w:val="both"/>
        <w:rPr>
          <w:b/>
          <w:bCs/>
          <w:i/>
          <w:iCs/>
          <w:lang w:val="fr-FR"/>
        </w:rPr>
      </w:pPr>
      <w:r w:rsidRPr="004E13E9">
        <w:rPr>
          <w:b/>
          <w:bCs/>
          <w:i/>
          <w:iCs/>
          <w:lang w:val="fr-FR"/>
        </w:rPr>
        <w:t>1b) Report (paragraphe 6)</w:t>
      </w:r>
    </w:p>
    <w:p w14:paraId="1A612036" w14:textId="77777777" w:rsidR="00DF358A" w:rsidRPr="004E13E9" w:rsidRDefault="00DF358A" w:rsidP="00DF358A">
      <w:pPr>
        <w:contextualSpacing/>
        <w:jc w:val="both"/>
        <w:rPr>
          <w:b/>
          <w:bCs/>
          <w:i/>
          <w:iCs/>
          <w:lang w:val="fr-FR"/>
        </w:rPr>
      </w:pPr>
    </w:p>
    <w:p w14:paraId="1B1D7895" w14:textId="77777777" w:rsidR="00DF358A" w:rsidRPr="004E13E9" w:rsidRDefault="00DF358A" w:rsidP="00DF358A">
      <w:pPr>
        <w:contextualSpacing/>
        <w:jc w:val="both"/>
        <w:rPr>
          <w:lang w:val="fr-FR"/>
        </w:rPr>
      </w:pPr>
      <w:r w:rsidRPr="004E13E9">
        <w:rPr>
          <w:lang w:val="fr-FR"/>
        </w:rPr>
        <w:t xml:space="preserve">Conformément au paragraphe 6 de la Recommandation </w:t>
      </w:r>
      <w:r w:rsidRPr="004E13E9">
        <w:rPr>
          <w:rFonts w:eastAsia="MS Gothic" w:cs="Times New Roman"/>
          <w:lang w:val="fr-FR" w:eastAsia="fr-FR" w:bidi="fr-FR"/>
        </w:rPr>
        <w:t>25-04</w:t>
      </w:r>
      <w:r w:rsidRPr="004E13E9">
        <w:rPr>
          <w:lang w:val="fr-FR"/>
        </w:rPr>
        <w:t>, l'UE demande le transfert d'un maximum de 20 % de son quota de 2025 à 2026.</w:t>
      </w:r>
    </w:p>
    <w:p w14:paraId="54A7B21C" w14:textId="77777777" w:rsidR="00DF358A" w:rsidRPr="004E13E9" w:rsidRDefault="00DF358A" w:rsidP="00DF358A">
      <w:pPr>
        <w:contextualSpacing/>
        <w:jc w:val="both"/>
        <w:rPr>
          <w:lang w:val="fr-FR"/>
        </w:rPr>
      </w:pPr>
    </w:p>
    <w:p w14:paraId="4068CF0A" w14:textId="77777777" w:rsidR="00DF358A" w:rsidRPr="004E13E9" w:rsidRDefault="00DF358A" w:rsidP="00DF358A">
      <w:pPr>
        <w:contextualSpacing/>
        <w:jc w:val="both"/>
        <w:rPr>
          <w:lang w:val="fr-FR"/>
        </w:rPr>
      </w:pPr>
      <w:r w:rsidRPr="004E13E9">
        <w:rPr>
          <w:lang w:val="fr-FR"/>
        </w:rPr>
        <w:t>En 2025, la sous-consommation de l'UE était de 1.344,34 t, ce qui est supérieur au maximum autorisé de 5 % (1.075, 15 t) prévu par la Rec. 24-05. Par conséquent, le quota ajusté de l'UE pour 2026, conformément à la mise en œuvre du report de 2025 à hauteur de 1.075,15 t, s'élèvera à 26.239,77 t.</w:t>
      </w:r>
    </w:p>
    <w:p w14:paraId="0FDB7792" w14:textId="77777777" w:rsidR="00DF358A" w:rsidRPr="004E13E9" w:rsidRDefault="00DF358A" w:rsidP="00DF358A">
      <w:pPr>
        <w:contextualSpacing/>
        <w:jc w:val="both"/>
        <w:rPr>
          <w:b/>
          <w:bCs/>
          <w:i/>
          <w:iCs/>
          <w:lang w:val="fr-FR"/>
        </w:rPr>
      </w:pPr>
    </w:p>
    <w:p w14:paraId="7186D3B5" w14:textId="77777777" w:rsidR="00DF358A" w:rsidRPr="004E13E9" w:rsidRDefault="00DF358A" w:rsidP="00DF358A">
      <w:pPr>
        <w:contextualSpacing/>
        <w:jc w:val="both"/>
        <w:rPr>
          <w:lang w:val="fr-FR"/>
        </w:rPr>
      </w:pPr>
      <w:r w:rsidRPr="004E13E9">
        <w:rPr>
          <w:lang w:val="fr-FR"/>
        </w:rPr>
        <w:t>Le report maximal autorisé, tel que modifié par la Recommandation 25-04 (20 %), n'a pas encore été transposé dans le droit de l'Union européenne. L'Union européenne transmettra un plan de pêche révisé tenant compte de cette nouvelle limite dès qu'elle sera applicable aux États membres de l'Union européenne.</w:t>
      </w:r>
    </w:p>
    <w:p w14:paraId="5C74C562" w14:textId="77777777" w:rsidR="00DF358A" w:rsidRPr="004E13E9" w:rsidRDefault="00DF358A" w:rsidP="00DF358A">
      <w:pPr>
        <w:contextualSpacing/>
        <w:jc w:val="both"/>
        <w:rPr>
          <w:b/>
          <w:bCs/>
          <w:i/>
          <w:iCs/>
          <w:lang w:val="fr-FR"/>
        </w:rPr>
      </w:pPr>
    </w:p>
    <w:p w14:paraId="06C5198C" w14:textId="77777777" w:rsidR="00DF358A" w:rsidRPr="004E13E9" w:rsidRDefault="00DF358A" w:rsidP="00DF358A">
      <w:pPr>
        <w:contextualSpacing/>
        <w:jc w:val="both"/>
        <w:rPr>
          <w:b/>
          <w:bCs/>
          <w:i/>
          <w:iCs/>
          <w:lang w:val="fr-FR"/>
        </w:rPr>
      </w:pPr>
      <w:r w:rsidRPr="004E13E9">
        <w:rPr>
          <w:b/>
          <w:bCs/>
          <w:i/>
          <w:iCs/>
          <w:lang w:val="fr-FR"/>
        </w:rPr>
        <w:t>1c) Destination de la capture</w:t>
      </w:r>
    </w:p>
    <w:p w14:paraId="5271B446" w14:textId="77777777" w:rsidR="00DF358A" w:rsidRPr="004E13E9" w:rsidRDefault="00DF358A" w:rsidP="00DF358A">
      <w:pPr>
        <w:contextualSpacing/>
        <w:jc w:val="both"/>
        <w:rPr>
          <w:b/>
          <w:bCs/>
          <w:i/>
          <w:iCs/>
          <w:lang w:val="fr-FR"/>
        </w:rPr>
      </w:pPr>
    </w:p>
    <w:p w14:paraId="6F1DC5E8" w14:textId="77777777" w:rsidR="00DF358A" w:rsidRPr="004E13E9" w:rsidRDefault="00DF358A" w:rsidP="00DF358A">
      <w:pPr>
        <w:contextualSpacing/>
        <w:jc w:val="both"/>
        <w:rPr>
          <w:lang w:val="fr-FR"/>
        </w:rPr>
      </w:pPr>
      <w:r w:rsidRPr="004E13E9">
        <w:rPr>
          <w:lang w:val="fr-FR"/>
        </w:rPr>
        <w:t>Les captures de l'UE seront destinées au débarquement et à l'élevage selon les pourcentages suivants (estimation préliminaire) :</w:t>
      </w:r>
    </w:p>
    <w:p w14:paraId="643E455F" w14:textId="77777777" w:rsidR="00DF358A" w:rsidRPr="004E13E9" w:rsidRDefault="00DF358A" w:rsidP="00DF358A">
      <w:pPr>
        <w:contextualSpacing/>
        <w:jc w:val="both"/>
        <w:rPr>
          <w:sz w:val="8"/>
          <w:szCs w:val="8"/>
          <w:lang w:val="fr-FR"/>
        </w:rPr>
      </w:pPr>
    </w:p>
    <w:p w14:paraId="43F84386" w14:textId="77777777" w:rsidR="00DF358A" w:rsidRPr="004E13E9" w:rsidRDefault="00DF358A" w:rsidP="00DF358A">
      <w:pPr>
        <w:ind w:left="851" w:hanging="425"/>
        <w:contextualSpacing/>
        <w:jc w:val="both"/>
      </w:pPr>
      <w:r w:rsidRPr="004E13E9">
        <w:t xml:space="preserve">- </w:t>
      </w:r>
      <w:r w:rsidRPr="004E13E9">
        <w:tab/>
      </w:r>
      <w:proofErr w:type="spellStart"/>
      <w:proofErr w:type="gramStart"/>
      <w:r w:rsidRPr="004E13E9">
        <w:t>Élevage</w:t>
      </w:r>
      <w:proofErr w:type="spellEnd"/>
      <w:r w:rsidRPr="004E13E9">
        <w:t xml:space="preserve"> :</w:t>
      </w:r>
      <w:proofErr w:type="gramEnd"/>
      <w:r w:rsidRPr="004E13E9">
        <w:t xml:space="preserve"> 65</w:t>
      </w:r>
      <w:r w:rsidRPr="004E13E9">
        <w:rPr>
          <w:rFonts w:cs="Times New Roman"/>
        </w:rPr>
        <w:t> </w:t>
      </w:r>
      <w:r w:rsidRPr="004E13E9">
        <w:t>%.</w:t>
      </w:r>
    </w:p>
    <w:p w14:paraId="264348BE" w14:textId="77777777" w:rsidR="00DF358A" w:rsidRPr="004E13E9" w:rsidRDefault="00DF358A" w:rsidP="00DF358A">
      <w:pPr>
        <w:ind w:left="851" w:hanging="425"/>
        <w:contextualSpacing/>
        <w:jc w:val="both"/>
      </w:pPr>
      <w:r w:rsidRPr="004E13E9">
        <w:t xml:space="preserve">- </w:t>
      </w:r>
      <w:r w:rsidRPr="004E13E9">
        <w:tab/>
      </w:r>
      <w:proofErr w:type="spellStart"/>
      <w:proofErr w:type="gramStart"/>
      <w:r w:rsidRPr="004E13E9">
        <w:t>Débarquement</w:t>
      </w:r>
      <w:proofErr w:type="spellEnd"/>
      <w:r w:rsidRPr="004E13E9">
        <w:t xml:space="preserve"> :</w:t>
      </w:r>
      <w:proofErr w:type="gramEnd"/>
      <w:r w:rsidRPr="004E13E9">
        <w:t xml:space="preserve"> 35 %</w:t>
      </w:r>
    </w:p>
    <w:p w14:paraId="7E4A6B6C" w14:textId="77777777" w:rsidR="00DF358A" w:rsidRPr="004E13E9" w:rsidRDefault="00DF358A" w:rsidP="00DF358A">
      <w:pPr>
        <w:contextualSpacing/>
        <w:jc w:val="both"/>
        <w:rPr>
          <w:sz w:val="8"/>
          <w:szCs w:val="8"/>
        </w:rPr>
      </w:pPr>
    </w:p>
    <w:p w14:paraId="08081C9A" w14:textId="77777777" w:rsidR="00DF358A" w:rsidRPr="004E13E9" w:rsidRDefault="00DF358A" w:rsidP="00DF358A">
      <w:pPr>
        <w:contextualSpacing/>
        <w:jc w:val="both"/>
        <w:rPr>
          <w:b/>
          <w:bCs/>
          <w:i/>
          <w:iCs/>
        </w:rPr>
      </w:pPr>
      <w:r w:rsidRPr="004E13E9">
        <w:rPr>
          <w:b/>
          <w:bCs/>
          <w:i/>
          <w:iCs/>
        </w:rPr>
        <w:t>1d)</w:t>
      </w:r>
    </w:p>
    <w:p w14:paraId="3A3DF7EB" w14:textId="77777777" w:rsidR="00DF358A" w:rsidRPr="004E13E9" w:rsidRDefault="00DF358A" w:rsidP="00DF358A">
      <w:pPr>
        <w:contextualSpacing/>
        <w:jc w:val="both"/>
        <w:rPr>
          <w:rFonts w:eastAsia="MS Gothic" w:cs="Times New Roman"/>
          <w:color w:val="000000"/>
          <w:sz w:val="24"/>
          <w:szCs w:val="24"/>
          <w:lang w:eastAsia="fr-FR" w:bidi="fr-FR"/>
        </w:rPr>
      </w:pPr>
    </w:p>
    <w:tbl>
      <w:tblPr>
        <w:tblW w:w="9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2494"/>
        <w:gridCol w:w="2365"/>
        <w:gridCol w:w="2524"/>
      </w:tblGrid>
      <w:tr w:rsidR="00DF358A" w:rsidRPr="004E13E9" w14:paraId="14ECE757" w14:textId="77777777" w:rsidTr="00BB4F69">
        <w:trPr>
          <w:trHeight w:val="773"/>
          <w:tblHeader/>
          <w:jc w:val="center"/>
        </w:trPr>
        <w:tc>
          <w:tcPr>
            <w:tcW w:w="562" w:type="dxa"/>
          </w:tcPr>
          <w:p w14:paraId="765CC025" w14:textId="77777777" w:rsidR="00DF358A" w:rsidRPr="004E13E9" w:rsidRDefault="00DF358A" w:rsidP="00BB4F69">
            <w:pPr>
              <w:contextualSpacing/>
              <w:jc w:val="both"/>
              <w:rPr>
                <w:rFonts w:eastAsia="MS Gothic" w:cs="Times New Roman"/>
                <w:sz w:val="18"/>
                <w:szCs w:val="18"/>
                <w:lang w:eastAsia="fr-FR" w:bidi="fr-FR"/>
              </w:rPr>
            </w:pPr>
          </w:p>
        </w:tc>
        <w:tc>
          <w:tcPr>
            <w:tcW w:w="1701" w:type="dxa"/>
            <w:vAlign w:val="center"/>
          </w:tcPr>
          <w:p w14:paraId="5F443A1C" w14:textId="77777777" w:rsidR="00DF358A" w:rsidRPr="004E13E9" w:rsidRDefault="00DF358A" w:rsidP="00BB4F69">
            <w:pPr>
              <w:widowControl w:val="0"/>
              <w:jc w:val="center"/>
              <w:rPr>
                <w:rFonts w:eastAsia="MS Gothic" w:cs="Times New Roman"/>
                <w:i/>
                <w:sz w:val="18"/>
                <w:szCs w:val="18"/>
                <w:lang w:val="fr-FR" w:eastAsia="fr-FR" w:bidi="fr-FR"/>
              </w:rPr>
            </w:pPr>
            <w:r w:rsidRPr="004E13E9">
              <w:rPr>
                <w:i/>
                <w:sz w:val="18"/>
                <w:szCs w:val="18"/>
                <w:lang w:val="fr-FR"/>
              </w:rPr>
              <w:t xml:space="preserve">Exigence de l’ICCAT (en vertu de la </w:t>
            </w:r>
            <w:hyperlink r:id="rId95" w:history="1">
              <w:r w:rsidRPr="004E13E9">
                <w:rPr>
                  <w:i/>
                  <w:color w:val="0563C1"/>
                  <w:sz w:val="18"/>
                  <w:szCs w:val="18"/>
                  <w:lang w:val="fr-FR"/>
                </w:rPr>
                <w:t>Rec. 25-04</w:t>
              </w:r>
            </w:hyperlink>
            <w:r w:rsidRPr="004E13E9">
              <w:rPr>
                <w:i/>
                <w:sz w:val="18"/>
                <w:szCs w:val="18"/>
                <w:lang w:val="fr-FR"/>
              </w:rPr>
              <w:t>)</w:t>
            </w:r>
          </w:p>
        </w:tc>
        <w:tc>
          <w:tcPr>
            <w:tcW w:w="2494" w:type="dxa"/>
          </w:tcPr>
          <w:p w14:paraId="577628F3" w14:textId="77777777" w:rsidR="00DF358A" w:rsidRPr="004E13E9" w:rsidRDefault="00DF358A" w:rsidP="00BB4F69">
            <w:pPr>
              <w:contextualSpacing/>
              <w:jc w:val="center"/>
              <w:rPr>
                <w:rFonts w:eastAsia="MS Gothic" w:cs="Times New Roman"/>
                <w:i/>
                <w:sz w:val="18"/>
                <w:szCs w:val="18"/>
                <w:lang w:val="fr-FR" w:eastAsia="fr-FR" w:bidi="fr-FR"/>
              </w:rPr>
            </w:pPr>
            <w:r w:rsidRPr="004E13E9">
              <w:rPr>
                <w:i/>
                <w:sz w:val="18"/>
                <w:szCs w:val="18"/>
                <w:lang w:val="fr-FR"/>
              </w:rPr>
              <w:t>Explication des actions prises par la CPC à des fins de mise en œuvre</w:t>
            </w:r>
          </w:p>
        </w:tc>
        <w:tc>
          <w:tcPr>
            <w:tcW w:w="2365" w:type="dxa"/>
          </w:tcPr>
          <w:p w14:paraId="6B0DD7E1" w14:textId="77777777" w:rsidR="00DF358A" w:rsidRPr="004E13E9" w:rsidRDefault="00DF358A" w:rsidP="00BB4F69">
            <w:pPr>
              <w:contextualSpacing/>
              <w:jc w:val="center"/>
              <w:rPr>
                <w:rFonts w:eastAsia="MS Gothic" w:cs="Times New Roman"/>
                <w:i/>
                <w:sz w:val="18"/>
                <w:szCs w:val="18"/>
                <w:lang w:val="fr-FR" w:eastAsia="fr-FR" w:bidi="fr-FR"/>
              </w:rPr>
            </w:pPr>
            <w:r w:rsidRPr="004E13E9">
              <w:rPr>
                <w:i/>
                <w:sz w:val="18"/>
                <w:szCs w:val="18"/>
                <w:lang w:val="fr-FR"/>
              </w:rPr>
              <w:t>Lois ou réglementations nationales pertinentes (le cas échéant)</w:t>
            </w:r>
          </w:p>
        </w:tc>
        <w:tc>
          <w:tcPr>
            <w:tcW w:w="2524" w:type="dxa"/>
          </w:tcPr>
          <w:p w14:paraId="0D1FB845" w14:textId="77777777" w:rsidR="00DF358A" w:rsidRPr="004E13E9" w:rsidRDefault="00DF358A" w:rsidP="00BB4F69">
            <w:pPr>
              <w:contextualSpacing/>
              <w:jc w:val="center"/>
              <w:rPr>
                <w:rFonts w:eastAsia="MS Gothic" w:cs="Times New Roman"/>
                <w:i/>
                <w:sz w:val="18"/>
                <w:szCs w:val="18"/>
                <w:lang w:eastAsia="fr-FR" w:bidi="fr-FR"/>
              </w:rPr>
            </w:pPr>
            <w:r w:rsidRPr="004E13E9">
              <w:rPr>
                <w:i/>
                <w:sz w:val="18"/>
                <w:szCs w:val="18"/>
              </w:rPr>
              <w:t>Note</w:t>
            </w:r>
          </w:p>
        </w:tc>
      </w:tr>
      <w:tr w:rsidR="00DF358A" w:rsidRPr="004E13E9" w14:paraId="06413119" w14:textId="77777777" w:rsidTr="00BB4F69">
        <w:trPr>
          <w:jc w:val="center"/>
        </w:trPr>
        <w:tc>
          <w:tcPr>
            <w:tcW w:w="562" w:type="dxa"/>
          </w:tcPr>
          <w:p w14:paraId="5F73B7E4" w14:textId="77777777" w:rsidR="00DF358A" w:rsidRPr="004E13E9" w:rsidRDefault="00DF358A" w:rsidP="00BB4F69">
            <w:pPr>
              <w:contextualSpacing/>
              <w:jc w:val="both"/>
              <w:rPr>
                <w:rFonts w:eastAsia="MS Gothic" w:cs="Times New Roman"/>
                <w:b/>
                <w:sz w:val="18"/>
                <w:szCs w:val="18"/>
                <w:lang w:eastAsia="fr-FR" w:bidi="fr-FR"/>
              </w:rPr>
            </w:pPr>
            <w:r w:rsidRPr="004E13E9">
              <w:rPr>
                <w:rFonts w:eastAsia="MS Gothic" w:cs="Times New Roman"/>
                <w:b/>
                <w:sz w:val="18"/>
                <w:szCs w:val="18"/>
                <w:lang w:eastAsia="fr-FR" w:bidi="fr-FR"/>
              </w:rPr>
              <w:t>1</w:t>
            </w:r>
          </w:p>
        </w:tc>
        <w:tc>
          <w:tcPr>
            <w:tcW w:w="1701" w:type="dxa"/>
          </w:tcPr>
          <w:p w14:paraId="75628403" w14:textId="77777777" w:rsidR="00DF358A" w:rsidRPr="004E13E9" w:rsidRDefault="00DF358A" w:rsidP="00BB4F69">
            <w:pPr>
              <w:contextualSpacing/>
              <w:rPr>
                <w:rFonts w:eastAsia="MS Gothic" w:cs="Times New Roman"/>
                <w:b/>
                <w:sz w:val="18"/>
                <w:szCs w:val="18"/>
                <w:lang w:val="fr-FR" w:eastAsia="fr-FR" w:bidi="fr-FR"/>
              </w:rPr>
            </w:pPr>
            <w:r w:rsidRPr="004E13E9">
              <w:rPr>
                <w:b/>
                <w:sz w:val="18"/>
                <w:szCs w:val="18"/>
                <w:lang w:val="fr-FR"/>
              </w:rPr>
              <w:t>Enregistrement et déclaration de la capture (paragraphes 74-88)</w:t>
            </w:r>
          </w:p>
        </w:tc>
        <w:tc>
          <w:tcPr>
            <w:tcW w:w="2494" w:type="dxa"/>
          </w:tcPr>
          <w:p w14:paraId="5F6F4D4A" w14:textId="77777777" w:rsidR="00DF358A" w:rsidRPr="004E13E9" w:rsidRDefault="00DF358A" w:rsidP="00BB4F69">
            <w:pPr>
              <w:autoSpaceDE w:val="0"/>
              <w:autoSpaceDN w:val="0"/>
              <w:adjustRightInd w:val="0"/>
              <w:contextualSpacing/>
              <w:jc w:val="both"/>
              <w:rPr>
                <w:rFonts w:eastAsia="MS Gothic" w:cs="Times New Roman"/>
                <w:color w:val="000000"/>
                <w:sz w:val="18"/>
                <w:szCs w:val="18"/>
                <w:lang w:val="fr-FR" w:eastAsia="fr-FR" w:bidi="fr-FR"/>
              </w:rPr>
            </w:pPr>
            <w:r w:rsidRPr="004E13E9">
              <w:rPr>
                <w:rFonts w:eastAsia="Century"/>
                <w:sz w:val="19"/>
                <w:szCs w:val="19"/>
                <w:lang w:val="fr-FR" w:eastAsia="ja-JP"/>
              </w:rPr>
              <w:t>Tous les navires et madragues de thon rouge de l’Est doivent communiquer quotidiennement les informations contenues dans leur carnet de pêche à leurs autorités pendant toute la durée de l'autorisation, y compris au moins la date, l'heure, le lieu, le poids et le nombre de thons rouges capturés, remis à l’eau et rejetés.</w:t>
            </w:r>
            <w:r w:rsidRPr="004E13E9">
              <w:rPr>
                <w:rFonts w:eastAsia="MS Gothic" w:cs="Times New Roman"/>
                <w:color w:val="000000"/>
                <w:sz w:val="18"/>
                <w:szCs w:val="18"/>
                <w:lang w:val="fr-FR" w:eastAsia="fr-FR" w:bidi="fr-FR"/>
              </w:rPr>
              <w:t xml:space="preserve"> Les rapports hebdomadaires de tous les navires sont envoyés par les États membres à la Commission européenne qui les transmet ensuite au Secrétariat de l’ICCAT.</w:t>
            </w:r>
          </w:p>
          <w:p w14:paraId="4BF506CB" w14:textId="77777777" w:rsidR="00DF358A" w:rsidRPr="004E13E9" w:rsidRDefault="00DF358A" w:rsidP="00BB4F69">
            <w:pPr>
              <w:autoSpaceDE w:val="0"/>
              <w:autoSpaceDN w:val="0"/>
              <w:adjustRightInd w:val="0"/>
              <w:contextualSpacing/>
              <w:jc w:val="both"/>
              <w:rPr>
                <w:rFonts w:eastAsia="MS Gothic" w:cs="Times New Roman"/>
                <w:color w:val="000000"/>
                <w:sz w:val="18"/>
                <w:szCs w:val="18"/>
                <w:lang w:val="fr-FR" w:eastAsia="fr-FR" w:bidi="fr-FR"/>
              </w:rPr>
            </w:pPr>
          </w:p>
          <w:p w14:paraId="12127DB4" w14:textId="77777777" w:rsidR="00DF358A" w:rsidRPr="004E13E9" w:rsidRDefault="00DF358A" w:rsidP="00BB4F69">
            <w:pPr>
              <w:autoSpaceDE w:val="0"/>
              <w:autoSpaceDN w:val="0"/>
              <w:adjustRightInd w:val="0"/>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Tous les poissons morts (conservés ou rejetés) seront déduits du quota.</w:t>
            </w:r>
          </w:p>
          <w:p w14:paraId="6A6D21B4" w14:textId="77777777" w:rsidR="00DF358A" w:rsidRPr="004E13E9" w:rsidRDefault="00DF358A" w:rsidP="00BB4F69">
            <w:pPr>
              <w:autoSpaceDE w:val="0"/>
              <w:autoSpaceDN w:val="0"/>
              <w:adjustRightInd w:val="0"/>
              <w:contextualSpacing/>
              <w:jc w:val="both"/>
              <w:rPr>
                <w:rFonts w:eastAsia="MS Gothic" w:cs="Times New Roman"/>
                <w:sz w:val="18"/>
                <w:szCs w:val="18"/>
                <w:lang w:val="fr-FR" w:eastAsia="fr-FR" w:bidi="fr-FR"/>
              </w:rPr>
            </w:pPr>
          </w:p>
        </w:tc>
        <w:tc>
          <w:tcPr>
            <w:tcW w:w="2365" w:type="dxa"/>
          </w:tcPr>
          <w:p w14:paraId="77B2E2E2"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lastRenderedPageBreak/>
              <w:t>Règlement (UE) 2023/2053</w:t>
            </w:r>
            <w:r w:rsidRPr="004E13E9">
              <w:rPr>
                <w:rFonts w:eastAsia="MS Gothic" w:cs="Times New Roman"/>
                <w:bCs/>
                <w:color w:val="000000"/>
                <w:sz w:val="18"/>
                <w:szCs w:val="18"/>
                <w:vertAlign w:val="superscript"/>
                <w:lang w:eastAsia="ja-JP" w:bidi="fr-FR"/>
              </w:rPr>
              <w:footnoteReference w:id="8"/>
            </w:r>
          </w:p>
          <w:p w14:paraId="24B6F8E8"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Section 2, Article 31 « Exigences en matière d'enregistrement »</w:t>
            </w:r>
          </w:p>
          <w:p w14:paraId="1A77990D" w14:textId="77777777" w:rsidR="00DF358A" w:rsidRPr="004E13E9" w:rsidRDefault="00DF358A" w:rsidP="00BB4F69">
            <w:pPr>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Section 4 « Obligations en matière de rapports»</w:t>
            </w:r>
          </w:p>
          <w:p w14:paraId="7937471C" w14:textId="77777777" w:rsidR="00DF358A" w:rsidRPr="004E13E9" w:rsidRDefault="00DF358A" w:rsidP="00BB4F69">
            <w:pPr>
              <w:contextualSpacing/>
              <w:jc w:val="both"/>
              <w:rPr>
                <w:rFonts w:eastAsia="MS Gothic" w:cs="Times New Roman"/>
                <w:color w:val="000000"/>
                <w:sz w:val="18"/>
                <w:szCs w:val="18"/>
                <w:lang w:val="fr-FR" w:eastAsia="ja-JP" w:bidi="fr-FR"/>
              </w:rPr>
            </w:pPr>
          </w:p>
        </w:tc>
        <w:tc>
          <w:tcPr>
            <w:tcW w:w="2524" w:type="dxa"/>
          </w:tcPr>
          <w:p w14:paraId="58AFF0A3" w14:textId="77777777" w:rsidR="00DF358A" w:rsidRPr="004E13E9" w:rsidRDefault="00DF358A" w:rsidP="00BB4F69">
            <w:pPr>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 xml:space="preserve">Tous les rapports de capture sont enregistrés au niveau de l'UE et sont vérifiés par croisement avec les autorisations, le quota individuel, le quota national et le quota des JFO (le cas échéant). </w:t>
            </w:r>
          </w:p>
          <w:p w14:paraId="70AF739B" w14:textId="77777777" w:rsidR="00DF358A" w:rsidRPr="004E13E9" w:rsidRDefault="00DF358A" w:rsidP="00BB4F69">
            <w:pPr>
              <w:contextualSpacing/>
              <w:jc w:val="both"/>
              <w:rPr>
                <w:sz w:val="19"/>
                <w:szCs w:val="19"/>
                <w:lang w:val="fr-FR" w:eastAsia="ja-JP"/>
              </w:rPr>
            </w:pPr>
            <w:r w:rsidRPr="004E13E9">
              <w:rPr>
                <w:sz w:val="19"/>
                <w:szCs w:val="19"/>
                <w:lang w:val="fr-FR" w:eastAsia="ja-JP"/>
              </w:rPr>
              <w:t>Tous les navires autorisés à pêcher le thon rouge de l’Est, quelle que soit leur longueur, doivent consigner leurs captures dans un carnet de pêche.</w:t>
            </w:r>
          </w:p>
          <w:p w14:paraId="15F2EBB6"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Conformément à l'art. 14 et 15 du règlement (CE) n°1224/2009</w:t>
            </w:r>
            <w:r w:rsidRPr="004E13E9">
              <w:rPr>
                <w:rStyle w:val="FootnoteReference"/>
                <w:rFonts w:eastAsia="MS Gothic" w:cs="Times New Roman"/>
                <w:color w:val="000000"/>
                <w:sz w:val="18"/>
                <w:szCs w:val="18"/>
                <w:lang w:eastAsia="fr-FR" w:bidi="fr-FR"/>
              </w:rPr>
              <w:footnoteReference w:id="9"/>
            </w:r>
            <w:r w:rsidRPr="004E13E9">
              <w:rPr>
                <w:rFonts w:eastAsia="MS Gothic" w:cs="Times New Roman"/>
                <w:color w:val="000000"/>
                <w:sz w:val="18"/>
                <w:szCs w:val="18"/>
                <w:lang w:val="fr-FR" w:eastAsia="fr-FR" w:bidi="fr-FR"/>
              </w:rPr>
              <w:t xml:space="preserve"> (« Règlement de contrôle de l'UE ») du Conseil, tous les navires de </w:t>
            </w:r>
            <w:r w:rsidRPr="004E13E9">
              <w:rPr>
                <w:rFonts w:eastAsia="MS Gothic" w:cs="Times New Roman"/>
                <w:color w:val="000000"/>
                <w:sz w:val="18"/>
                <w:szCs w:val="18"/>
                <w:lang w:val="fr-FR" w:eastAsia="fr-FR" w:bidi="fr-FR"/>
              </w:rPr>
              <w:lastRenderedPageBreak/>
              <w:t>pêche de l’UE de plus de 10 m doivent être équipés d'un carnet de pêche relié comportant des pages numérotées chronologiquement. Pour les navires de pêche de plus de 12 m, un carnet de pêche électronique est requis.</w:t>
            </w:r>
          </w:p>
          <w:p w14:paraId="234955E6" w14:textId="77777777" w:rsidR="00DF358A" w:rsidRPr="004E13E9" w:rsidRDefault="00DF358A" w:rsidP="00BB4F69">
            <w:pPr>
              <w:contextualSpacing/>
              <w:jc w:val="both"/>
              <w:rPr>
                <w:sz w:val="18"/>
                <w:szCs w:val="18"/>
                <w:lang w:val="fr-FR"/>
              </w:rPr>
            </w:pPr>
            <w:r w:rsidRPr="004E13E9">
              <w:rPr>
                <w:sz w:val="18"/>
                <w:szCs w:val="18"/>
                <w:lang w:val="fr-FR"/>
              </w:rPr>
              <w:t>Conformément à l'art. 109 du règlement susmentionné, les États membres doivent vérifier par recoupement et valider les informations déclarées par les opérateurs dans les documents et sources de données suivants :</w:t>
            </w:r>
          </w:p>
          <w:p w14:paraId="4F71158C" w14:textId="77777777" w:rsidR="00DF358A" w:rsidRPr="004E13E9" w:rsidRDefault="00DF358A" w:rsidP="00BB4F69">
            <w:pPr>
              <w:contextualSpacing/>
              <w:jc w:val="both"/>
              <w:rPr>
                <w:sz w:val="18"/>
                <w:szCs w:val="18"/>
                <w:lang w:val="fr-FR"/>
              </w:rPr>
            </w:pPr>
            <w:r w:rsidRPr="004E13E9">
              <w:rPr>
                <w:sz w:val="18"/>
                <w:szCs w:val="18"/>
                <w:lang w:val="fr-FR"/>
              </w:rPr>
              <w:t>Carnet de pêche, déclaration de débarquement, déclaration de transbordement, notification préalable ; déclarations de prise en charge, documents de transport et notes de vente ;</w:t>
            </w:r>
          </w:p>
          <w:p w14:paraId="40547027" w14:textId="77777777" w:rsidR="00DF358A" w:rsidRPr="004E13E9" w:rsidRDefault="00DF358A" w:rsidP="00BB4F69">
            <w:pPr>
              <w:contextualSpacing/>
              <w:jc w:val="both"/>
              <w:rPr>
                <w:lang w:val="fr-FR"/>
              </w:rPr>
            </w:pPr>
            <w:r w:rsidRPr="004E13E9">
              <w:rPr>
                <w:sz w:val="18"/>
                <w:szCs w:val="18"/>
                <w:lang w:val="fr-FR"/>
              </w:rPr>
              <w:t>licences de pêche et autorisations de pêche ; données du système de surveillance des navires ; rapports d'inspection</w:t>
            </w:r>
            <w:r w:rsidRPr="004E13E9">
              <w:rPr>
                <w:lang w:val="fr-FR"/>
              </w:rPr>
              <w:t>.</w:t>
            </w:r>
          </w:p>
          <w:p w14:paraId="025F6F46"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223C8183" w14:textId="77777777" w:rsidR="00DF358A" w:rsidRPr="004E13E9" w:rsidRDefault="00DF358A" w:rsidP="00BB4F69">
            <w:pPr>
              <w:contextualSpacing/>
              <w:jc w:val="both"/>
              <w:rPr>
                <w:rFonts w:eastAsia="MS Gothic" w:cs="Times New Roman"/>
                <w:sz w:val="18"/>
                <w:szCs w:val="18"/>
                <w:lang w:eastAsia="fr-FR" w:bidi="fr-FR"/>
              </w:rPr>
            </w:pPr>
            <w:r w:rsidRPr="004E13E9">
              <w:rPr>
                <w:rFonts w:eastAsia="MS Gothic" w:cs="Times New Roman"/>
                <w:color w:val="000000"/>
                <w:sz w:val="18"/>
                <w:szCs w:val="18"/>
                <w:lang w:val="fr-FR" w:eastAsia="fr-FR" w:bidi="fr-FR"/>
              </w:rPr>
              <w:t xml:space="preserve">Les exigences supplémentaires définies par l'ICCAT sont couvertes par l'art. </w:t>
            </w:r>
            <w:r w:rsidRPr="004E13E9">
              <w:rPr>
                <w:rFonts w:eastAsia="MS Gothic" w:cs="Times New Roman"/>
                <w:color w:val="000000"/>
                <w:sz w:val="18"/>
                <w:szCs w:val="18"/>
                <w:lang w:eastAsia="fr-FR" w:bidi="fr-FR"/>
              </w:rPr>
              <w:t xml:space="preserve">31 et </w:t>
            </w:r>
            <w:proofErr w:type="spellStart"/>
            <w:r w:rsidRPr="004E13E9">
              <w:rPr>
                <w:rFonts w:eastAsia="MS Gothic" w:cs="Times New Roman"/>
                <w:color w:val="000000"/>
                <w:sz w:val="18"/>
                <w:szCs w:val="18"/>
                <w:lang w:eastAsia="fr-FR" w:bidi="fr-FR"/>
              </w:rPr>
              <w:t>annexe</w:t>
            </w:r>
            <w:proofErr w:type="spellEnd"/>
            <w:r w:rsidRPr="004E13E9">
              <w:rPr>
                <w:rFonts w:eastAsia="MS Gothic" w:cs="Times New Roman"/>
                <w:color w:val="000000"/>
                <w:sz w:val="18"/>
                <w:szCs w:val="18"/>
                <w:lang w:eastAsia="fr-FR" w:bidi="fr-FR"/>
              </w:rPr>
              <w:t xml:space="preserve"> II du </w:t>
            </w:r>
            <w:proofErr w:type="spellStart"/>
            <w:r w:rsidRPr="004E13E9">
              <w:rPr>
                <w:rFonts w:eastAsia="MS Gothic" w:cs="Times New Roman"/>
                <w:color w:val="000000"/>
                <w:sz w:val="18"/>
                <w:szCs w:val="18"/>
                <w:lang w:eastAsia="fr-FR" w:bidi="fr-FR"/>
              </w:rPr>
              <w:t>règlement</w:t>
            </w:r>
            <w:proofErr w:type="spellEnd"/>
            <w:r w:rsidRPr="004E13E9">
              <w:rPr>
                <w:rFonts w:eastAsia="MS Gothic" w:cs="Times New Roman"/>
                <w:color w:val="000000"/>
                <w:sz w:val="18"/>
                <w:szCs w:val="18"/>
                <w:lang w:eastAsia="fr-FR" w:bidi="fr-FR"/>
              </w:rPr>
              <w:t xml:space="preserve"> (UE) n°2023/2053.</w:t>
            </w:r>
          </w:p>
        </w:tc>
      </w:tr>
      <w:tr w:rsidR="00DF358A" w:rsidRPr="00C712A4" w14:paraId="677BF227" w14:textId="77777777" w:rsidTr="00BB4F69">
        <w:trPr>
          <w:jc w:val="center"/>
        </w:trPr>
        <w:tc>
          <w:tcPr>
            <w:tcW w:w="562" w:type="dxa"/>
          </w:tcPr>
          <w:p w14:paraId="0E054089" w14:textId="77777777" w:rsidR="00DF358A" w:rsidRPr="004E13E9" w:rsidRDefault="00DF358A" w:rsidP="00BB4F69">
            <w:pPr>
              <w:contextualSpacing/>
              <w:jc w:val="both"/>
              <w:rPr>
                <w:rFonts w:eastAsia="MS Gothic" w:cs="Times New Roman"/>
                <w:b/>
                <w:sz w:val="18"/>
                <w:szCs w:val="18"/>
                <w:lang w:eastAsia="fr-FR" w:bidi="fr-FR"/>
              </w:rPr>
            </w:pPr>
            <w:r w:rsidRPr="004E13E9">
              <w:rPr>
                <w:rFonts w:eastAsia="MS Gothic" w:cs="Times New Roman"/>
                <w:b/>
                <w:sz w:val="18"/>
                <w:szCs w:val="18"/>
                <w:lang w:eastAsia="fr-FR" w:bidi="fr-FR"/>
              </w:rPr>
              <w:lastRenderedPageBreak/>
              <w:t>2</w:t>
            </w:r>
          </w:p>
        </w:tc>
        <w:tc>
          <w:tcPr>
            <w:tcW w:w="1701" w:type="dxa"/>
          </w:tcPr>
          <w:p w14:paraId="7A8980F0" w14:textId="77777777" w:rsidR="00DF358A" w:rsidRPr="004E13E9" w:rsidRDefault="00DF358A" w:rsidP="00BB4F69">
            <w:pPr>
              <w:contextualSpacing/>
              <w:rPr>
                <w:b/>
                <w:sz w:val="18"/>
                <w:szCs w:val="18"/>
              </w:rPr>
            </w:pPr>
            <w:proofErr w:type="spellStart"/>
            <w:r w:rsidRPr="004E13E9">
              <w:rPr>
                <w:b/>
                <w:sz w:val="18"/>
                <w:szCs w:val="18"/>
              </w:rPr>
              <w:t>Périodes</w:t>
            </w:r>
            <w:proofErr w:type="spellEnd"/>
            <w:r w:rsidRPr="004E13E9">
              <w:rPr>
                <w:b/>
                <w:sz w:val="18"/>
                <w:szCs w:val="18"/>
              </w:rPr>
              <w:t xml:space="preserve"> de </w:t>
            </w:r>
            <w:proofErr w:type="spellStart"/>
            <w:r w:rsidRPr="004E13E9">
              <w:rPr>
                <w:b/>
                <w:sz w:val="18"/>
                <w:szCs w:val="18"/>
              </w:rPr>
              <w:t>pêche</w:t>
            </w:r>
            <w:proofErr w:type="spellEnd"/>
            <w:r w:rsidRPr="004E13E9">
              <w:rPr>
                <w:b/>
                <w:sz w:val="18"/>
                <w:szCs w:val="18"/>
              </w:rPr>
              <w:t xml:space="preserve"> </w:t>
            </w:r>
          </w:p>
          <w:p w14:paraId="082467BC" w14:textId="77777777" w:rsidR="00DF358A" w:rsidRPr="004E13E9" w:rsidRDefault="00DF358A" w:rsidP="00BB4F69">
            <w:pPr>
              <w:contextualSpacing/>
              <w:rPr>
                <w:rFonts w:eastAsia="MS Gothic" w:cs="Times New Roman"/>
                <w:b/>
                <w:sz w:val="18"/>
                <w:szCs w:val="18"/>
                <w:lang w:eastAsia="fr-FR" w:bidi="fr-FR"/>
              </w:rPr>
            </w:pPr>
            <w:r w:rsidRPr="004E13E9">
              <w:rPr>
                <w:b/>
                <w:sz w:val="18"/>
                <w:szCs w:val="18"/>
              </w:rPr>
              <w:t>(</w:t>
            </w:r>
            <w:proofErr w:type="spellStart"/>
            <w:r w:rsidRPr="004E13E9">
              <w:rPr>
                <w:b/>
                <w:sz w:val="18"/>
                <w:szCs w:val="18"/>
              </w:rPr>
              <w:t>paragraphes</w:t>
            </w:r>
            <w:proofErr w:type="spellEnd"/>
            <w:r w:rsidRPr="004E13E9">
              <w:rPr>
                <w:b/>
                <w:sz w:val="18"/>
                <w:szCs w:val="18"/>
              </w:rPr>
              <w:t xml:space="preserve"> 28-32) </w:t>
            </w:r>
          </w:p>
        </w:tc>
        <w:tc>
          <w:tcPr>
            <w:tcW w:w="2494" w:type="dxa"/>
          </w:tcPr>
          <w:p w14:paraId="77AC442D"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Les saisons de pêche applicables aux flottilles de l'UE dans tous les États membres concernés sont conformes aux saisons établies par la Rec. 25-04 de l'ICCAT. L’article 17 du règlement (UE) n°</w:t>
            </w:r>
            <w:r w:rsidRPr="004E13E9">
              <w:rPr>
                <w:rFonts w:eastAsia="MS Gothic" w:cs="Times New Roman"/>
                <w:color w:val="000000"/>
                <w:sz w:val="18"/>
                <w:szCs w:val="18"/>
                <w:lang w:val="fr-FR" w:eastAsia="fr-FR" w:bidi="fr-FR"/>
              </w:rPr>
              <w:t>2023/2053</w:t>
            </w:r>
            <w:r w:rsidRPr="004E13E9">
              <w:rPr>
                <w:rFonts w:eastAsia="MS Gothic" w:cs="Times New Roman"/>
                <w:bCs/>
                <w:color w:val="000000"/>
                <w:sz w:val="18"/>
                <w:szCs w:val="18"/>
                <w:lang w:val="fr-FR" w:eastAsia="fr-FR" w:bidi="fr-FR"/>
              </w:rPr>
              <w:t xml:space="preserve"> les transpose dans le droit de l'UE. </w:t>
            </w:r>
          </w:p>
          <w:p w14:paraId="26C06AFC"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ja-JP" w:bidi="fr-FR"/>
              </w:rPr>
            </w:pPr>
          </w:p>
          <w:p w14:paraId="3ED50A1B"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 xml:space="preserve">Conformément à l’article 35 du Règlement de contrôle de l'UE, les États membres devront informer la Commission dès que le quota de thon rouge de l’Est sera épuisé. </w:t>
            </w:r>
          </w:p>
          <w:p w14:paraId="0DF18F5E"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p>
          <w:p w14:paraId="0715CFA9"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 xml:space="preserve">En outre, en vertu du règlement (UE) </w:t>
            </w:r>
            <w:r w:rsidRPr="004E13E9">
              <w:rPr>
                <w:rFonts w:eastAsia="MS Gothic" w:cs="Times New Roman"/>
                <w:color w:val="000000"/>
                <w:sz w:val="18"/>
                <w:szCs w:val="18"/>
                <w:lang w:val="fr-FR" w:eastAsia="fr-FR" w:bidi="fr-FR"/>
              </w:rPr>
              <w:t>2023/2053</w:t>
            </w:r>
            <w:r w:rsidRPr="004E13E9">
              <w:rPr>
                <w:rFonts w:eastAsia="MS Gothic" w:cs="Times New Roman"/>
                <w:bCs/>
                <w:color w:val="000000"/>
                <w:sz w:val="18"/>
                <w:szCs w:val="18"/>
                <w:lang w:val="fr-FR" w:eastAsia="fr-FR" w:bidi="fr-FR"/>
              </w:rPr>
              <w:t xml:space="preserve">, chaque État membre devra informer la Commission lorsque le quota de thon rouge de l’Est alloué à un groupe d'engins visé à l'article 11 de ce règlement, à </w:t>
            </w:r>
            <w:r w:rsidRPr="004E13E9">
              <w:rPr>
                <w:rFonts w:eastAsia="MS Gothic" w:cs="Times New Roman"/>
                <w:bCs/>
                <w:color w:val="000000"/>
                <w:sz w:val="18"/>
                <w:szCs w:val="18"/>
                <w:lang w:val="fr-FR" w:eastAsia="fr-FR" w:bidi="fr-FR"/>
              </w:rPr>
              <w:lastRenderedPageBreak/>
              <w:t xml:space="preserve">une JFO, ou à un senneur est considéré comme étant épuisé. </w:t>
            </w:r>
          </w:p>
          <w:p w14:paraId="6ACC36F2"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p>
          <w:p w14:paraId="3764D6BA"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Un système spécial de déclaration et d'alerte est en place pour vérifier au niveau de l'UE le quota utilisé dans chaque État membre pour chaque flottille.</w:t>
            </w:r>
          </w:p>
          <w:p w14:paraId="328E7E4E"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p>
          <w:p w14:paraId="1F903CEC" w14:textId="77777777" w:rsidR="00DF358A" w:rsidRPr="004E13E9" w:rsidRDefault="00DF358A" w:rsidP="00BB4F69">
            <w:pPr>
              <w:contextualSpacing/>
              <w:jc w:val="both"/>
              <w:rPr>
                <w:sz w:val="18"/>
                <w:szCs w:val="18"/>
                <w:lang w:val="fr-FR"/>
              </w:rPr>
            </w:pPr>
            <w:r w:rsidRPr="004E13E9">
              <w:rPr>
                <w:sz w:val="18"/>
                <w:szCs w:val="18"/>
                <w:lang w:val="fr-FR"/>
              </w:rPr>
              <w:t>Le respect de cette mesure est principalement vérifié par les centres de surveillance de la pêche (FMC) des États membres qui fonctionnent tous 24 heures sur 24 et 7 jours sur 7. Ces FMC ont délimité des zones et des périodes autorisées, et des alarmes automatiques sont déclenchées en cas de présence de navires dans une zone ou pendant une période non autorisée.</w:t>
            </w:r>
          </w:p>
          <w:p w14:paraId="7B7DE141" w14:textId="77777777" w:rsidR="00DF358A" w:rsidRPr="004E13E9" w:rsidRDefault="00DF358A" w:rsidP="00BB4F69">
            <w:pPr>
              <w:contextualSpacing/>
              <w:jc w:val="both"/>
              <w:rPr>
                <w:sz w:val="18"/>
                <w:szCs w:val="18"/>
                <w:lang w:val="fr-FR" w:eastAsia="ja-JP"/>
              </w:rPr>
            </w:pPr>
          </w:p>
          <w:p w14:paraId="27376B4F" w14:textId="77777777" w:rsidR="00DF358A" w:rsidRPr="004E13E9" w:rsidRDefault="00DF358A" w:rsidP="00BB4F69">
            <w:pPr>
              <w:autoSpaceDE w:val="0"/>
              <w:autoSpaceDN w:val="0"/>
              <w:adjustRightInd w:val="0"/>
              <w:contextualSpacing/>
              <w:jc w:val="both"/>
              <w:rPr>
                <w:rFonts w:eastAsia="MS Gothic" w:cs="Times New Roman"/>
                <w:sz w:val="18"/>
                <w:szCs w:val="18"/>
                <w:lang w:val="fr-FR" w:eastAsia="fr-FR" w:bidi="fr-FR"/>
              </w:rPr>
            </w:pPr>
            <w:r w:rsidRPr="004E13E9">
              <w:rPr>
                <w:sz w:val="18"/>
                <w:szCs w:val="18"/>
                <w:lang w:val="fr-FR"/>
              </w:rPr>
              <w:t>En outre, l'UE déploie chaque année un nombre important de navires de patrouille et de moyens aériens pendant la saison de pêche du thon rouge</w:t>
            </w:r>
            <w:r w:rsidRPr="004E13E9">
              <w:rPr>
                <w:rFonts w:eastAsia="MS Gothic" w:cs="Times New Roman"/>
                <w:bCs/>
                <w:color w:val="000000"/>
                <w:sz w:val="18"/>
                <w:szCs w:val="18"/>
                <w:lang w:val="fr-FR" w:eastAsia="fr-FR" w:bidi="fr-FR"/>
              </w:rPr>
              <w:t xml:space="preserve"> de l’Est</w:t>
            </w:r>
            <w:r w:rsidRPr="004E13E9">
              <w:rPr>
                <w:sz w:val="18"/>
                <w:szCs w:val="18"/>
                <w:lang w:val="fr-FR"/>
              </w:rPr>
              <w:t>. Il existe des protocoles pour la gestion des rapports d'observation.</w:t>
            </w:r>
          </w:p>
        </w:tc>
        <w:tc>
          <w:tcPr>
            <w:tcW w:w="2365" w:type="dxa"/>
          </w:tcPr>
          <w:p w14:paraId="141C705F"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lastRenderedPageBreak/>
              <w:t xml:space="preserve">Règlement (UE) </w:t>
            </w:r>
            <w:r w:rsidRPr="004E13E9">
              <w:rPr>
                <w:rFonts w:eastAsia="MS Gothic" w:cs="Times New Roman"/>
                <w:color w:val="000000"/>
                <w:sz w:val="18"/>
                <w:szCs w:val="18"/>
                <w:lang w:val="fr-FR" w:eastAsia="fr-FR" w:bidi="fr-FR"/>
              </w:rPr>
              <w:t>2023/2053</w:t>
            </w:r>
            <w:r w:rsidRPr="004E13E9">
              <w:rPr>
                <w:rFonts w:eastAsia="MS Gothic" w:cs="Times New Roman"/>
                <w:bCs/>
                <w:color w:val="000000"/>
                <w:sz w:val="18"/>
                <w:szCs w:val="18"/>
                <w:lang w:val="fr-FR" w:eastAsia="fr-FR" w:bidi="fr-FR"/>
              </w:rPr>
              <w:t>, Chapitre III « Mesures techniques », Section 1 « Saisons de pêche », Article 17 et l’annexe I. « Palangriers, senneurs, chalutiers pélagiques, madragues et pêcherie sportive et pêcherie récréative » et « canneurs et ligneurs à lignes de traîne ».</w:t>
            </w:r>
          </w:p>
          <w:p w14:paraId="220FA89B"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ja-JP" w:bidi="fr-FR"/>
              </w:rPr>
            </w:pPr>
          </w:p>
          <w:p w14:paraId="4DC40FB6" w14:textId="77777777" w:rsidR="00DF358A" w:rsidRPr="004E13E9" w:rsidRDefault="00DF358A" w:rsidP="00BB4F69">
            <w:pPr>
              <w:autoSpaceDE w:val="0"/>
              <w:autoSpaceDN w:val="0"/>
              <w:adjustRightInd w:val="0"/>
              <w:contextualSpacing/>
              <w:jc w:val="both"/>
              <w:rPr>
                <w:rFonts w:eastAsia="MS Gothic" w:cs="Times New Roman"/>
                <w:color w:val="000000"/>
                <w:sz w:val="18"/>
                <w:szCs w:val="18"/>
                <w:lang w:val="fr-FR" w:eastAsia="fr-FR" w:bidi="fr-FR"/>
              </w:rPr>
            </w:pPr>
          </w:p>
        </w:tc>
        <w:tc>
          <w:tcPr>
            <w:tcW w:w="2524" w:type="dxa"/>
          </w:tcPr>
          <w:p w14:paraId="759B84F1"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Conformément aux dispositions de la Rec. 25-04, les saisons de pêche seront comme suit :</w:t>
            </w:r>
          </w:p>
          <w:p w14:paraId="6A480ADC"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ja-JP" w:bidi="fr-FR"/>
              </w:rPr>
            </w:pPr>
          </w:p>
          <w:p w14:paraId="68D576C2" w14:textId="77777777" w:rsidR="00DF358A" w:rsidRPr="004E13E9" w:rsidRDefault="00DF358A" w:rsidP="00BB4F69">
            <w:pPr>
              <w:autoSpaceDE w:val="0"/>
              <w:autoSpaceDN w:val="0"/>
              <w:adjustRightInd w:val="0"/>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La saison de pêche des senneurs sera du 19 mai au 1er juillet.</w:t>
            </w:r>
          </w:p>
          <w:p w14:paraId="6039CC56" w14:textId="77777777" w:rsidR="00DF358A" w:rsidRPr="004E13E9" w:rsidRDefault="00DF358A" w:rsidP="00BB4F69">
            <w:pPr>
              <w:autoSpaceDE w:val="0"/>
              <w:autoSpaceDN w:val="0"/>
              <w:adjustRightInd w:val="0"/>
              <w:contextualSpacing/>
              <w:jc w:val="both"/>
              <w:rPr>
                <w:rFonts w:eastAsia="MS Gothic" w:cs="Times New Roman"/>
                <w:color w:val="000000"/>
                <w:sz w:val="18"/>
                <w:szCs w:val="18"/>
                <w:lang w:val="fr-FR" w:eastAsia="ja-JP" w:bidi="fr-FR"/>
              </w:rPr>
            </w:pPr>
          </w:p>
          <w:p w14:paraId="2460F39C" w14:textId="77777777" w:rsidR="00DF358A" w:rsidRPr="004E13E9" w:rsidRDefault="00DF358A" w:rsidP="00BB4F69">
            <w:pPr>
              <w:autoSpaceDE w:val="0"/>
              <w:autoSpaceDN w:val="0"/>
              <w:adjustRightInd w:val="0"/>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Par dérogation, la saison de pêche à la senne dans la mer Adriatique à des fins d’élevage aura lieu du 26 mai au 15 juillet.</w:t>
            </w:r>
          </w:p>
          <w:p w14:paraId="366E5E85" w14:textId="77777777" w:rsidR="00DF358A" w:rsidRPr="004E13E9" w:rsidRDefault="00DF358A" w:rsidP="00BB4F69">
            <w:pPr>
              <w:autoSpaceDE w:val="0"/>
              <w:autoSpaceDN w:val="0"/>
              <w:adjustRightInd w:val="0"/>
              <w:contextualSpacing/>
              <w:jc w:val="both"/>
              <w:rPr>
                <w:rFonts w:eastAsia="MS Gothic" w:cs="Times New Roman"/>
                <w:color w:val="000000"/>
                <w:sz w:val="18"/>
                <w:szCs w:val="18"/>
                <w:lang w:val="fr-FR" w:eastAsia="ja-JP" w:bidi="fr-FR"/>
              </w:rPr>
            </w:pPr>
          </w:p>
          <w:p w14:paraId="432CECA8" w14:textId="77777777" w:rsidR="00DF358A" w:rsidRPr="004E13E9" w:rsidRDefault="00DF358A" w:rsidP="00BB4F69">
            <w:pPr>
              <w:autoSpaceDE w:val="0"/>
              <w:autoSpaceDN w:val="0"/>
              <w:adjustRightInd w:val="0"/>
              <w:contextualSpacing/>
              <w:jc w:val="both"/>
              <w:rPr>
                <w:rFonts w:eastAsia="MS Gothic" w:cs="Times New Roman"/>
                <w:color w:val="000000"/>
                <w:sz w:val="18"/>
                <w:szCs w:val="18"/>
                <w:lang w:val="fr-FR" w:eastAsia="fr-FR" w:bidi="fr-FR"/>
              </w:rPr>
            </w:pPr>
            <w:r w:rsidRPr="004E13E9">
              <w:rPr>
                <w:color w:val="000000"/>
                <w:sz w:val="18"/>
                <w:szCs w:val="18"/>
                <w:lang w:val="fr-FR"/>
              </w:rPr>
              <w:t xml:space="preserve">Par dérogation, la saison de pêche à la senne dans la mer Cantabrique </w:t>
            </w:r>
            <w:r w:rsidRPr="004E13E9">
              <w:rPr>
                <w:rFonts w:eastAsia="MS Gothic" w:cs="Times New Roman"/>
                <w:color w:val="000000"/>
                <w:sz w:val="18"/>
                <w:szCs w:val="18"/>
                <w:lang w:val="fr-FR" w:eastAsia="fr-FR" w:bidi="fr-FR"/>
              </w:rPr>
              <w:t>à des fins d’élevage aura lieu du 26 mai au 31 août.</w:t>
            </w:r>
          </w:p>
          <w:p w14:paraId="2D7FC8CB" w14:textId="77777777" w:rsidR="00DF358A" w:rsidRPr="004E13E9" w:rsidRDefault="00DF358A" w:rsidP="00BB4F69">
            <w:pPr>
              <w:autoSpaceDE w:val="0"/>
              <w:autoSpaceDN w:val="0"/>
              <w:adjustRightInd w:val="0"/>
              <w:contextualSpacing/>
              <w:jc w:val="both"/>
              <w:rPr>
                <w:rFonts w:eastAsia="MS Gothic" w:cs="Times New Roman"/>
                <w:color w:val="000000"/>
                <w:sz w:val="18"/>
                <w:szCs w:val="18"/>
                <w:lang w:val="fr-FR" w:eastAsia="ja-JP" w:bidi="fr-FR"/>
              </w:rPr>
            </w:pPr>
          </w:p>
          <w:p w14:paraId="1A46CC78" w14:textId="77777777" w:rsidR="00DF358A" w:rsidRPr="004E13E9" w:rsidRDefault="00DF358A" w:rsidP="00BB4F69">
            <w:pPr>
              <w:autoSpaceDE w:val="0"/>
              <w:autoSpaceDN w:val="0"/>
              <w:adjustRightInd w:val="0"/>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Pour les autres pêcheries non incluses dans les paragraphes 28 et 30, les saisons de pêche seront les suivantes :</w:t>
            </w:r>
          </w:p>
          <w:p w14:paraId="291EDE54" w14:textId="77777777" w:rsidR="00DF358A" w:rsidRPr="004E13E9" w:rsidRDefault="00DF358A" w:rsidP="00BB4F69">
            <w:pPr>
              <w:autoSpaceDE w:val="0"/>
              <w:autoSpaceDN w:val="0"/>
              <w:adjustRightInd w:val="0"/>
              <w:contextualSpacing/>
              <w:jc w:val="both"/>
              <w:rPr>
                <w:rFonts w:eastAsia="MS Gothic" w:cs="Times New Roman"/>
                <w:color w:val="000000"/>
                <w:sz w:val="18"/>
                <w:szCs w:val="18"/>
                <w:lang w:val="fr-FR" w:eastAsia="ja-JP" w:bidi="fr-FR"/>
              </w:rPr>
            </w:pPr>
          </w:p>
          <w:p w14:paraId="204401FA" w14:textId="77777777" w:rsidR="00DF358A" w:rsidRPr="004E13E9" w:rsidRDefault="00DF358A" w:rsidP="00BB4F69">
            <w:pPr>
              <w:autoSpaceDE w:val="0"/>
              <w:autoSpaceDN w:val="0"/>
              <w:adjustRightInd w:val="0"/>
              <w:contextualSpacing/>
              <w:jc w:val="both"/>
              <w:rPr>
                <w:rFonts w:eastAsia="MS Gothic" w:cs="Times New Roman"/>
                <w:sz w:val="18"/>
                <w:szCs w:val="18"/>
                <w:lang w:val="fr-FR" w:eastAsia="fr-FR" w:bidi="fr-FR"/>
              </w:rPr>
            </w:pPr>
            <w:r w:rsidRPr="004E13E9">
              <w:rPr>
                <w:rFonts w:eastAsia="MS Gothic" w:cs="Times New Roman"/>
                <w:b/>
                <w:bCs/>
                <w:sz w:val="18"/>
                <w:szCs w:val="18"/>
                <w:lang w:val="fr-FR" w:eastAsia="fr-FR" w:bidi="fr-FR"/>
              </w:rPr>
              <w:lastRenderedPageBreak/>
              <w:t>Croatie :</w:t>
            </w:r>
            <w:r w:rsidRPr="004E13E9">
              <w:rPr>
                <w:rFonts w:eastAsia="MS Gothic" w:cs="Times New Roman"/>
                <w:sz w:val="18"/>
                <w:szCs w:val="18"/>
                <w:lang w:val="fr-FR" w:eastAsia="fr-FR" w:bidi="fr-FR"/>
              </w:rPr>
              <w:t xml:space="preserve">  La saison est généralement ouverte du 15 février au 31 décembre.</w:t>
            </w:r>
          </w:p>
          <w:p w14:paraId="6C0C95E8" w14:textId="77777777" w:rsidR="00DF358A" w:rsidRPr="004E13E9" w:rsidRDefault="00DF358A" w:rsidP="00BB4F69">
            <w:pPr>
              <w:widowControl w:val="0"/>
              <w:contextualSpacing/>
              <w:jc w:val="both"/>
              <w:rPr>
                <w:rFonts w:eastAsia="MS Gothic" w:cs="Times New Roman"/>
                <w:sz w:val="18"/>
                <w:szCs w:val="18"/>
                <w:lang w:val="fr-FR" w:eastAsia="fr-FR" w:bidi="fr-FR"/>
              </w:rPr>
            </w:pPr>
            <w:r w:rsidRPr="004E13E9">
              <w:rPr>
                <w:rFonts w:eastAsia="MS Gothic" w:cs="Times New Roman"/>
                <w:sz w:val="18"/>
                <w:szCs w:val="18"/>
                <w:lang w:val="fr-FR" w:eastAsia="fr-FR" w:bidi="fr-FR"/>
              </w:rPr>
              <w:t>La pêcherie sportive est ouverte du 1er mai au 1er novembre.</w:t>
            </w:r>
          </w:p>
          <w:p w14:paraId="39DFC710" w14:textId="77777777" w:rsidR="00DF358A" w:rsidRPr="004E13E9" w:rsidRDefault="00DF358A" w:rsidP="00BB4F69">
            <w:pPr>
              <w:widowControl w:val="0"/>
              <w:contextualSpacing/>
              <w:jc w:val="both"/>
              <w:rPr>
                <w:rFonts w:eastAsia="MS Gothic" w:cs="Times New Roman"/>
                <w:sz w:val="18"/>
                <w:szCs w:val="18"/>
                <w:lang w:val="fr-FR" w:eastAsia="fr-FR" w:bidi="fr-FR"/>
              </w:rPr>
            </w:pPr>
            <w:r w:rsidRPr="004E13E9">
              <w:rPr>
                <w:rFonts w:eastAsia="MS Gothic" w:cs="Times New Roman"/>
                <w:sz w:val="18"/>
                <w:szCs w:val="18"/>
                <w:lang w:val="fr-FR" w:eastAsia="fr-FR" w:bidi="fr-FR"/>
              </w:rPr>
              <w:t>La pêcherie récréative est ouverte du 1er juin au 1er novembre.</w:t>
            </w:r>
          </w:p>
          <w:p w14:paraId="58E48C4C" w14:textId="77777777" w:rsidR="00DF358A" w:rsidRPr="004E13E9" w:rsidRDefault="00DF358A" w:rsidP="00BB4F69">
            <w:pPr>
              <w:widowControl w:val="0"/>
              <w:contextualSpacing/>
              <w:rPr>
                <w:rFonts w:eastAsia="MS Gothic" w:cs="Times New Roman"/>
                <w:sz w:val="18"/>
                <w:szCs w:val="18"/>
                <w:lang w:val="fr-FR" w:eastAsia="fr-FR" w:bidi="fr-FR"/>
              </w:rPr>
            </w:pPr>
          </w:p>
          <w:p w14:paraId="52E7377E" w14:textId="77777777" w:rsidR="00DF358A" w:rsidRPr="004E13E9" w:rsidRDefault="00DF358A" w:rsidP="00BB4F69">
            <w:pPr>
              <w:widowControl w:val="0"/>
              <w:contextualSpacing/>
              <w:jc w:val="both"/>
              <w:rPr>
                <w:rFonts w:eastAsia="MS Gothic" w:cs="Times New Roman"/>
                <w:sz w:val="18"/>
                <w:szCs w:val="18"/>
                <w:lang w:val="fr-FR" w:eastAsia="fr-FR" w:bidi="fr-FR"/>
              </w:rPr>
            </w:pPr>
            <w:r w:rsidRPr="004E13E9">
              <w:rPr>
                <w:rFonts w:eastAsia="MS Gothic" w:cs="Times New Roman"/>
                <w:b/>
                <w:sz w:val="18"/>
                <w:szCs w:val="18"/>
                <w:lang w:val="fr-FR" w:eastAsia="fr-FR" w:bidi="fr-FR"/>
              </w:rPr>
              <w:t xml:space="preserve">France : </w:t>
            </w:r>
            <w:r w:rsidRPr="004E13E9">
              <w:rPr>
                <w:rFonts w:eastAsia="MS Gothic" w:cs="Times New Roman"/>
                <w:sz w:val="18"/>
                <w:szCs w:val="18"/>
                <w:lang w:val="fr-FR" w:eastAsia="fr-FR" w:bidi="fr-FR"/>
              </w:rPr>
              <w:t>pendant la période du 1er février au 31 décembre 2026 pour les navires de pêche français opérant avec tout engin de pêche autre que les senneurs et les grands palangriers pélagiques de plus de 24 mètres.</w:t>
            </w:r>
          </w:p>
          <w:p w14:paraId="0B48CE98" w14:textId="77777777" w:rsidR="00DF358A" w:rsidRPr="004E13E9" w:rsidRDefault="00DF358A" w:rsidP="00BB4F69">
            <w:pPr>
              <w:widowControl w:val="0"/>
              <w:contextualSpacing/>
              <w:jc w:val="both"/>
              <w:rPr>
                <w:rFonts w:eastAsia="MS Gothic" w:cs="Times New Roman"/>
                <w:sz w:val="18"/>
                <w:szCs w:val="18"/>
                <w:lang w:val="fr-FR" w:eastAsia="fr-FR" w:bidi="fr-FR"/>
              </w:rPr>
            </w:pPr>
          </w:p>
          <w:p w14:paraId="032A4D54" w14:textId="77777777" w:rsidR="00DF358A" w:rsidRPr="004E13E9" w:rsidRDefault="00DF358A" w:rsidP="00BB4F69">
            <w:pPr>
              <w:contextualSpacing/>
              <w:rPr>
                <w:sz w:val="18"/>
                <w:szCs w:val="18"/>
                <w:lang w:val="fr-FR"/>
              </w:rPr>
            </w:pPr>
            <w:r w:rsidRPr="004E13E9">
              <w:rPr>
                <w:b/>
                <w:bCs/>
                <w:sz w:val="18"/>
                <w:szCs w:val="18"/>
                <w:lang w:val="fr-FR"/>
              </w:rPr>
              <w:t>Grèce :</w:t>
            </w:r>
            <w:r w:rsidRPr="004E13E9">
              <w:rPr>
                <w:sz w:val="18"/>
                <w:szCs w:val="18"/>
                <w:lang w:val="fr-FR"/>
              </w:rPr>
              <w:t xml:space="preserve"> 10 février </w:t>
            </w:r>
            <w:r w:rsidRPr="004E13E9">
              <w:rPr>
                <w:rFonts w:eastAsia="MS Gothic" w:cs="Times New Roman"/>
                <w:sz w:val="18"/>
                <w:szCs w:val="18"/>
                <w:lang w:val="fr-FR" w:eastAsia="fr-FR" w:bidi="fr-FR"/>
              </w:rPr>
              <w:t xml:space="preserve">2026 </w:t>
            </w:r>
            <w:r w:rsidRPr="004E13E9">
              <w:rPr>
                <w:sz w:val="18"/>
                <w:szCs w:val="18"/>
                <w:lang w:val="fr-FR"/>
              </w:rPr>
              <w:t>jusqu'à épuisement du quota.</w:t>
            </w:r>
          </w:p>
          <w:p w14:paraId="08E53429" w14:textId="77777777" w:rsidR="00DF358A" w:rsidRPr="004E13E9" w:rsidRDefault="00DF358A" w:rsidP="00BB4F69">
            <w:pPr>
              <w:pStyle w:val="ListParagraph"/>
              <w:spacing w:after="0" w:line="240" w:lineRule="auto"/>
              <w:ind w:left="52"/>
              <w:rPr>
                <w:rFonts w:ascii="Cambria" w:hAnsi="Cambria"/>
                <w:sz w:val="18"/>
                <w:szCs w:val="18"/>
              </w:rPr>
            </w:pPr>
          </w:p>
          <w:p w14:paraId="5C0EB58E" w14:textId="77777777" w:rsidR="00DF358A" w:rsidRPr="004E13E9" w:rsidRDefault="00DF358A" w:rsidP="00BB4F69">
            <w:pPr>
              <w:jc w:val="both"/>
              <w:rPr>
                <w:sz w:val="18"/>
                <w:szCs w:val="18"/>
                <w:lang w:val="fr-FR"/>
              </w:rPr>
            </w:pPr>
            <w:r w:rsidRPr="004E13E9">
              <w:rPr>
                <w:b/>
                <w:bCs/>
                <w:sz w:val="18"/>
                <w:szCs w:val="18"/>
                <w:lang w:val="fr-FR"/>
              </w:rPr>
              <w:t>Malte :</w:t>
            </w:r>
            <w:r w:rsidRPr="004E13E9">
              <w:rPr>
                <w:sz w:val="18"/>
                <w:szCs w:val="18"/>
                <w:lang w:val="fr-FR"/>
              </w:rPr>
              <w:t xml:space="preserve"> Les palangriers historiques maltais pêchant le thon rouge de l’Est </w:t>
            </w:r>
            <w:proofErr w:type="gramStart"/>
            <w:r w:rsidRPr="004E13E9">
              <w:rPr>
                <w:sz w:val="18"/>
                <w:szCs w:val="18"/>
                <w:lang w:val="fr-FR"/>
              </w:rPr>
              <w:t>ont</w:t>
            </w:r>
            <w:proofErr w:type="gramEnd"/>
            <w:r w:rsidRPr="004E13E9">
              <w:rPr>
                <w:sz w:val="18"/>
                <w:szCs w:val="18"/>
                <w:lang w:val="fr-FR"/>
              </w:rPr>
              <w:t xml:space="preserve"> une saison de pêche nationale allant du 15 avril au 31 décembre ou jusqu'à l'épuisement du quota.</w:t>
            </w:r>
          </w:p>
          <w:p w14:paraId="3B57DCF2" w14:textId="77777777" w:rsidR="00DF358A" w:rsidRPr="004E13E9" w:rsidRDefault="00DF358A" w:rsidP="00BB4F69">
            <w:pPr>
              <w:contextualSpacing/>
              <w:jc w:val="both"/>
              <w:rPr>
                <w:sz w:val="18"/>
                <w:szCs w:val="18"/>
                <w:lang w:val="fr-FR"/>
              </w:rPr>
            </w:pPr>
          </w:p>
          <w:p w14:paraId="34C40EB3" w14:textId="77777777" w:rsidR="00DF358A" w:rsidRPr="004E13E9" w:rsidRDefault="00DF358A" w:rsidP="00BB4F69">
            <w:pPr>
              <w:contextualSpacing/>
              <w:jc w:val="both"/>
              <w:rPr>
                <w:sz w:val="18"/>
                <w:szCs w:val="18"/>
                <w:lang w:val="fr-FR"/>
              </w:rPr>
            </w:pPr>
            <w:r w:rsidRPr="004E13E9">
              <w:rPr>
                <w:sz w:val="18"/>
                <w:szCs w:val="18"/>
                <w:lang w:val="fr-FR"/>
              </w:rPr>
              <w:t xml:space="preserve">La saison de pêche des petits palangriers côtiers </w:t>
            </w:r>
            <w:proofErr w:type="gramStart"/>
            <w:r w:rsidRPr="004E13E9">
              <w:rPr>
                <w:sz w:val="18"/>
                <w:szCs w:val="18"/>
                <w:lang w:val="fr-FR"/>
              </w:rPr>
              <w:t>a</w:t>
            </w:r>
            <w:proofErr w:type="gramEnd"/>
            <w:r w:rsidRPr="004E13E9">
              <w:rPr>
                <w:sz w:val="18"/>
                <w:szCs w:val="18"/>
                <w:lang w:val="fr-FR"/>
              </w:rPr>
              <w:t xml:space="preserve"> une période limitée prédéterminée.</w:t>
            </w:r>
          </w:p>
          <w:p w14:paraId="6074BA3F" w14:textId="77777777" w:rsidR="00DF358A" w:rsidRPr="004E13E9" w:rsidRDefault="00DF358A" w:rsidP="00BB4F69">
            <w:pPr>
              <w:jc w:val="both"/>
              <w:rPr>
                <w:sz w:val="18"/>
                <w:szCs w:val="18"/>
                <w:lang w:val="fr-FR"/>
              </w:rPr>
            </w:pPr>
          </w:p>
          <w:p w14:paraId="7919FF31" w14:textId="77777777" w:rsidR="00DF358A" w:rsidRPr="004E13E9" w:rsidRDefault="00DF358A" w:rsidP="00BB4F69">
            <w:pPr>
              <w:jc w:val="both"/>
              <w:rPr>
                <w:sz w:val="18"/>
                <w:szCs w:val="18"/>
                <w:lang w:val="fr-FR"/>
              </w:rPr>
            </w:pPr>
            <w:r w:rsidRPr="004E13E9">
              <w:rPr>
                <w:sz w:val="18"/>
                <w:szCs w:val="18"/>
                <w:lang w:val="fr-FR"/>
              </w:rPr>
              <w:t>La pêche récréative au thon rouge sera autorisée du 16 juin au 14 octobre ou jusqu'à épuisement du quota.</w:t>
            </w:r>
          </w:p>
          <w:p w14:paraId="755FE1C0" w14:textId="77777777" w:rsidR="00DF358A" w:rsidRPr="004E13E9" w:rsidRDefault="00DF358A" w:rsidP="00BB4F69">
            <w:pPr>
              <w:contextualSpacing/>
              <w:rPr>
                <w:b/>
                <w:bCs/>
                <w:sz w:val="18"/>
                <w:szCs w:val="18"/>
                <w:lang w:val="fr-FR"/>
              </w:rPr>
            </w:pPr>
          </w:p>
          <w:p w14:paraId="7A6472C4" w14:textId="77777777" w:rsidR="00DF358A" w:rsidRPr="004E13E9" w:rsidRDefault="00DF358A" w:rsidP="00BB4F69">
            <w:pPr>
              <w:contextualSpacing/>
              <w:rPr>
                <w:sz w:val="18"/>
                <w:szCs w:val="18"/>
                <w:lang w:val="fr-FR"/>
              </w:rPr>
            </w:pPr>
            <w:r w:rsidRPr="004E13E9">
              <w:rPr>
                <w:b/>
                <w:sz w:val="18"/>
                <w:szCs w:val="18"/>
                <w:lang w:val="fr-FR"/>
              </w:rPr>
              <w:t xml:space="preserve">Portugal : </w:t>
            </w:r>
            <w:r w:rsidRPr="004E13E9">
              <w:rPr>
                <w:sz w:val="18"/>
                <w:szCs w:val="18"/>
                <w:lang w:val="fr-FR"/>
              </w:rPr>
              <w:t>Madragues - du 1</w:t>
            </w:r>
            <w:r w:rsidRPr="004E13E9">
              <w:rPr>
                <w:sz w:val="18"/>
                <w:szCs w:val="18"/>
                <w:vertAlign w:val="superscript"/>
                <w:lang w:val="fr-FR"/>
              </w:rPr>
              <w:t>er</w:t>
            </w:r>
            <w:r w:rsidRPr="004E13E9">
              <w:rPr>
                <w:sz w:val="18"/>
                <w:szCs w:val="18"/>
                <w:lang w:val="fr-FR"/>
              </w:rPr>
              <w:t xml:space="preserve"> avril au 31 décembre.</w:t>
            </w:r>
          </w:p>
          <w:p w14:paraId="7A93B852" w14:textId="77777777" w:rsidR="00DF358A" w:rsidRPr="004E13E9" w:rsidRDefault="00DF358A" w:rsidP="00BB4F69">
            <w:pPr>
              <w:contextualSpacing/>
              <w:rPr>
                <w:sz w:val="18"/>
                <w:szCs w:val="18"/>
                <w:lang w:val="fr-FR"/>
              </w:rPr>
            </w:pPr>
            <w:r w:rsidRPr="004E13E9">
              <w:rPr>
                <w:sz w:val="18"/>
                <w:szCs w:val="18"/>
                <w:lang w:val="fr-FR"/>
              </w:rPr>
              <w:t>Canneurs (quota sectoriel) - du 1</w:t>
            </w:r>
            <w:r w:rsidRPr="004E13E9">
              <w:rPr>
                <w:sz w:val="18"/>
                <w:szCs w:val="18"/>
                <w:vertAlign w:val="superscript"/>
                <w:lang w:val="fr-FR"/>
              </w:rPr>
              <w:t>er</w:t>
            </w:r>
            <w:r w:rsidRPr="004E13E9">
              <w:rPr>
                <w:sz w:val="18"/>
                <w:szCs w:val="18"/>
                <w:lang w:val="fr-FR"/>
              </w:rPr>
              <w:t xml:space="preserve"> mars au 1</w:t>
            </w:r>
            <w:r w:rsidRPr="004E13E9">
              <w:rPr>
                <w:sz w:val="18"/>
                <w:szCs w:val="18"/>
                <w:vertAlign w:val="superscript"/>
                <w:lang w:val="fr-FR"/>
              </w:rPr>
              <w:t>er</w:t>
            </w:r>
            <w:r w:rsidRPr="004E13E9">
              <w:rPr>
                <w:sz w:val="18"/>
                <w:szCs w:val="18"/>
                <w:lang w:val="fr-FR"/>
              </w:rPr>
              <w:t xml:space="preserve"> juillet.</w:t>
            </w:r>
          </w:p>
          <w:p w14:paraId="10130A04" w14:textId="77777777" w:rsidR="00DF358A" w:rsidRPr="004E13E9" w:rsidRDefault="00DF358A" w:rsidP="00BB4F69">
            <w:pPr>
              <w:contextualSpacing/>
              <w:rPr>
                <w:sz w:val="18"/>
                <w:szCs w:val="18"/>
                <w:lang w:val="fr-FR"/>
              </w:rPr>
            </w:pPr>
          </w:p>
          <w:p w14:paraId="45740868" w14:textId="77777777" w:rsidR="00DF358A" w:rsidRPr="004E13E9" w:rsidRDefault="00DF358A" w:rsidP="00BB4F69">
            <w:pPr>
              <w:contextualSpacing/>
              <w:rPr>
                <w:sz w:val="18"/>
                <w:szCs w:val="18"/>
                <w:lang w:val="fr-FR"/>
              </w:rPr>
            </w:pPr>
            <w:r w:rsidRPr="004E13E9">
              <w:rPr>
                <w:b/>
                <w:bCs/>
                <w:sz w:val="18"/>
                <w:szCs w:val="18"/>
                <w:lang w:val="fr-FR"/>
              </w:rPr>
              <w:t>Espagne</w:t>
            </w:r>
            <w:r w:rsidRPr="004E13E9">
              <w:rPr>
                <w:sz w:val="18"/>
                <w:szCs w:val="18"/>
                <w:lang w:val="fr-FR"/>
              </w:rPr>
              <w:t xml:space="preserve"> : palangriers de plus de 24 m : du 1er janvier au 31 mai.</w:t>
            </w:r>
          </w:p>
          <w:p w14:paraId="0F73462A" w14:textId="77777777" w:rsidR="00DF358A" w:rsidRPr="004E13E9" w:rsidRDefault="00DF358A" w:rsidP="00BB4F69">
            <w:pPr>
              <w:contextualSpacing/>
              <w:rPr>
                <w:sz w:val="18"/>
                <w:szCs w:val="18"/>
                <w:lang w:val="fr-FR"/>
              </w:rPr>
            </w:pPr>
            <w:r w:rsidRPr="004E13E9">
              <w:rPr>
                <w:sz w:val="18"/>
                <w:szCs w:val="18"/>
                <w:lang w:val="fr-FR"/>
              </w:rPr>
              <w:t>Îles Canaries : à partir du 20 janvier 2026.</w:t>
            </w:r>
          </w:p>
          <w:p w14:paraId="54577E91" w14:textId="77777777" w:rsidR="00DF358A" w:rsidRPr="004E13E9" w:rsidRDefault="00DF358A" w:rsidP="00BB4F69">
            <w:pPr>
              <w:autoSpaceDE w:val="0"/>
              <w:autoSpaceDN w:val="0"/>
              <w:adjustRightInd w:val="0"/>
              <w:contextualSpacing/>
              <w:jc w:val="both"/>
              <w:rPr>
                <w:rFonts w:eastAsia="MS Gothic" w:cs="Times New Roman"/>
                <w:color w:val="000000"/>
                <w:sz w:val="18"/>
                <w:szCs w:val="18"/>
                <w:lang w:val="fr-FR" w:eastAsia="ja-JP" w:bidi="fr-FR"/>
              </w:rPr>
            </w:pPr>
          </w:p>
          <w:p w14:paraId="3B9F5B31"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r w:rsidRPr="004E13E9">
              <w:rPr>
                <w:rFonts w:eastAsia="MS Gothic" w:cs="Times New Roman"/>
                <w:color w:val="000000"/>
                <w:sz w:val="18"/>
                <w:szCs w:val="18"/>
                <w:lang w:val="fr-FR" w:eastAsia="fr-FR" w:bidi="fr-FR"/>
              </w:rPr>
              <w:t>Dans le cadre du programme spécifique de contrôle et d’inspection de l’UE, les missions d’inspection sont consacrées, entre autres, à la vérification du respect des saisons de pêche.</w:t>
            </w:r>
            <w:r w:rsidRPr="004E13E9">
              <w:rPr>
                <w:rFonts w:eastAsia="MS Gothic" w:cs="Times New Roman"/>
                <w:bCs/>
                <w:color w:val="000000"/>
                <w:sz w:val="18"/>
                <w:szCs w:val="18"/>
                <w:lang w:val="fr-FR" w:eastAsia="fr-FR" w:bidi="fr-FR"/>
              </w:rPr>
              <w:t xml:space="preserve"> </w:t>
            </w:r>
          </w:p>
          <w:p w14:paraId="6B7A2A75"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p>
          <w:p w14:paraId="48BBCB88"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Conformément au paragraphe 29 de la Rec. 25-04</w:t>
            </w:r>
            <w:r w:rsidRPr="004E13E9">
              <w:rPr>
                <w:rFonts w:eastAsia="MS Gothic" w:cs="Times New Roman"/>
                <w:bCs/>
                <w:color w:val="000000"/>
                <w:sz w:val="18"/>
                <w:szCs w:val="18"/>
                <w:lang w:val="fr-FR" w:eastAsia="fr-FR" w:bidi="fr-FR"/>
              </w:rPr>
              <w:t xml:space="preserve">, </w:t>
            </w:r>
            <w:r w:rsidRPr="004E13E9">
              <w:rPr>
                <w:rFonts w:eastAsia="MS Gothic" w:cs="Times New Roman"/>
                <w:color w:val="000000"/>
                <w:sz w:val="18"/>
                <w:szCs w:val="18"/>
                <w:lang w:val="fr-FR" w:eastAsia="fr-FR" w:bidi="fr-FR"/>
              </w:rPr>
              <w:t xml:space="preserve">l’UE pourrait éventuellement </w:t>
            </w:r>
            <w:r w:rsidRPr="004E13E9">
              <w:rPr>
                <w:rFonts w:eastAsia="MS Gothic" w:cs="Times New Roman"/>
                <w:color w:val="000000"/>
                <w:sz w:val="18"/>
                <w:szCs w:val="18"/>
                <w:lang w:val="fr-FR" w:eastAsia="fr-FR" w:bidi="fr-FR"/>
              </w:rPr>
              <w:lastRenderedPageBreak/>
              <w:t>étendre la période de pêche des navires affectés d’un nombre équivalent de jours perdus jusqu’à un maximum de 10 jours en cas de vents atteignant une vitesse de 5 ou plus sur l'échelle de Beaufort.</w:t>
            </w:r>
            <w:r w:rsidRPr="004E13E9">
              <w:rPr>
                <w:rFonts w:eastAsia="MS Gothic" w:cs="Times New Roman"/>
                <w:sz w:val="18"/>
                <w:szCs w:val="18"/>
                <w:lang w:val="fr-FR" w:eastAsia="fr-FR" w:bidi="fr-FR"/>
              </w:rPr>
              <w:t xml:space="preserve">  </w:t>
            </w:r>
            <w:r w:rsidRPr="004E13E9">
              <w:rPr>
                <w:rFonts w:eastAsia="MS Gothic" w:cs="Times New Roman"/>
                <w:color w:val="000000"/>
                <w:sz w:val="18"/>
                <w:szCs w:val="18"/>
                <w:lang w:val="fr-FR" w:eastAsia="fr-FR" w:bidi="fr-FR"/>
              </w:rPr>
              <w:t>L’évaluation de la durée des mauvaises conditions météorologiques aux fins de l’extension sera fondée sur les rapports du VMS faisant apparaître le/les jour(s) où le/les navire(s) ont été inactifs ; dans le cas d’opérations de pêche conjointes, il faudra présenter la preuve de l'inactivité simultanée de tous les navires membres de l’opération de pêche conjointe.</w:t>
            </w:r>
          </w:p>
        </w:tc>
      </w:tr>
      <w:tr w:rsidR="00DF358A" w:rsidRPr="00C712A4" w14:paraId="5157E7FC" w14:textId="77777777" w:rsidTr="00BB4F69">
        <w:trPr>
          <w:jc w:val="center"/>
        </w:trPr>
        <w:tc>
          <w:tcPr>
            <w:tcW w:w="562" w:type="dxa"/>
          </w:tcPr>
          <w:p w14:paraId="1905A287" w14:textId="77777777" w:rsidR="00DF358A" w:rsidRPr="004E13E9" w:rsidRDefault="00DF358A" w:rsidP="00BB4F69">
            <w:pPr>
              <w:contextualSpacing/>
              <w:jc w:val="both"/>
              <w:rPr>
                <w:rFonts w:eastAsia="MS Gothic" w:cs="Times New Roman"/>
                <w:b/>
                <w:sz w:val="18"/>
                <w:szCs w:val="18"/>
                <w:lang w:eastAsia="fr-FR" w:bidi="fr-FR"/>
              </w:rPr>
            </w:pPr>
            <w:r w:rsidRPr="004E13E9">
              <w:rPr>
                <w:rFonts w:eastAsia="MS Gothic" w:cs="Times New Roman"/>
                <w:b/>
                <w:sz w:val="18"/>
                <w:szCs w:val="18"/>
                <w:lang w:eastAsia="fr-FR" w:bidi="fr-FR"/>
              </w:rPr>
              <w:lastRenderedPageBreak/>
              <w:t>3</w:t>
            </w:r>
          </w:p>
        </w:tc>
        <w:tc>
          <w:tcPr>
            <w:tcW w:w="1701" w:type="dxa"/>
          </w:tcPr>
          <w:p w14:paraId="0838DF27" w14:textId="77777777" w:rsidR="00DF358A" w:rsidRPr="004E13E9" w:rsidRDefault="00DF358A" w:rsidP="00BB4F69">
            <w:pPr>
              <w:contextualSpacing/>
              <w:rPr>
                <w:rFonts w:eastAsia="MS Gothic" w:cs="Times New Roman"/>
                <w:b/>
                <w:sz w:val="18"/>
                <w:szCs w:val="18"/>
                <w:lang w:eastAsia="fr-FR" w:bidi="fr-FR"/>
              </w:rPr>
            </w:pPr>
            <w:r w:rsidRPr="004E13E9">
              <w:rPr>
                <w:b/>
                <w:sz w:val="18"/>
                <w:szCs w:val="18"/>
              </w:rPr>
              <w:t xml:space="preserve">Taille </w:t>
            </w:r>
            <w:proofErr w:type="spellStart"/>
            <w:r w:rsidRPr="004E13E9">
              <w:rPr>
                <w:b/>
                <w:sz w:val="18"/>
                <w:szCs w:val="18"/>
              </w:rPr>
              <w:t>minimale</w:t>
            </w:r>
            <w:proofErr w:type="spellEnd"/>
            <w:r w:rsidRPr="004E13E9">
              <w:rPr>
                <w:b/>
                <w:sz w:val="18"/>
                <w:szCs w:val="18"/>
              </w:rPr>
              <w:t xml:space="preserve"> (</w:t>
            </w:r>
            <w:proofErr w:type="spellStart"/>
            <w:r w:rsidRPr="004E13E9">
              <w:rPr>
                <w:b/>
                <w:sz w:val="18"/>
                <w:szCs w:val="18"/>
              </w:rPr>
              <w:t>paragraphes</w:t>
            </w:r>
            <w:proofErr w:type="spellEnd"/>
            <w:r w:rsidRPr="004E13E9">
              <w:rPr>
                <w:b/>
                <w:sz w:val="18"/>
                <w:szCs w:val="18"/>
              </w:rPr>
              <w:t xml:space="preserve"> 33-35)</w:t>
            </w:r>
          </w:p>
        </w:tc>
        <w:tc>
          <w:tcPr>
            <w:tcW w:w="2494" w:type="dxa"/>
          </w:tcPr>
          <w:p w14:paraId="08D580EF"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 xml:space="preserve">Selon l'art. 20 du règlement (UE) 2023/2053, des captures accessoires de maximum 5% de thon rouge </w:t>
            </w:r>
            <w:r w:rsidRPr="004E13E9">
              <w:rPr>
                <w:rFonts w:eastAsia="MS Gothic" w:cs="Times New Roman"/>
                <w:bCs/>
                <w:color w:val="000000"/>
                <w:sz w:val="18"/>
                <w:szCs w:val="18"/>
                <w:lang w:val="fr-FR" w:eastAsia="fr-FR" w:bidi="fr-FR"/>
              </w:rPr>
              <w:t>de l’Est</w:t>
            </w:r>
            <w:r w:rsidRPr="004E13E9">
              <w:rPr>
                <w:rFonts w:eastAsia="MS Gothic" w:cs="Times New Roman"/>
                <w:color w:val="000000"/>
                <w:sz w:val="18"/>
                <w:szCs w:val="18"/>
                <w:lang w:val="fr-FR" w:eastAsia="fr-FR" w:bidi="fr-FR"/>
              </w:rPr>
              <w:t xml:space="preserve"> pesant entre 8 et 30 kg ou avec une longueur à la fourche comprise entre 75 et 115 cm sont autorisées pour tous les navires de capture et madragues qui pêchent activement le thon rouge</w:t>
            </w:r>
            <w:r w:rsidRPr="004E13E9">
              <w:rPr>
                <w:rFonts w:eastAsia="MS Gothic" w:cs="Times New Roman"/>
                <w:bCs/>
                <w:color w:val="000000"/>
                <w:sz w:val="18"/>
                <w:szCs w:val="18"/>
                <w:lang w:val="fr-FR" w:eastAsia="fr-FR" w:bidi="fr-FR"/>
              </w:rPr>
              <w:t xml:space="preserve"> de l’Est</w:t>
            </w:r>
            <w:r w:rsidRPr="004E13E9">
              <w:rPr>
                <w:rFonts w:eastAsia="MS Gothic" w:cs="Times New Roman"/>
                <w:color w:val="000000"/>
                <w:sz w:val="18"/>
                <w:szCs w:val="18"/>
                <w:lang w:val="fr-FR" w:eastAsia="fr-FR" w:bidi="fr-FR"/>
              </w:rPr>
              <w:t>. Ces captures sont soumises à l’inscription dans le carnet de pêche, aux exigences de désignation du port et des notifications préalables à l’arrivée, et sont déduites du quota.</w:t>
            </w:r>
          </w:p>
          <w:p w14:paraId="01C01949"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4196AB6F"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L’Article 15 du règlement UE n°1380/2013</w:t>
            </w:r>
            <w:r w:rsidRPr="004E13E9">
              <w:rPr>
                <w:rStyle w:val="FootnoteReference"/>
                <w:rFonts w:eastAsia="MS Gothic" w:cs="Times New Roman"/>
                <w:color w:val="000000"/>
                <w:sz w:val="18"/>
                <w:szCs w:val="18"/>
                <w:lang w:eastAsia="fr-FR" w:bidi="fr-FR"/>
              </w:rPr>
              <w:footnoteReference w:id="10"/>
            </w:r>
            <w:r w:rsidRPr="004E13E9">
              <w:rPr>
                <w:rFonts w:eastAsia="MS Gothic" w:cs="Times New Roman"/>
                <w:color w:val="000000"/>
                <w:sz w:val="18"/>
                <w:szCs w:val="18"/>
                <w:lang w:val="fr-FR" w:eastAsia="fr-FR" w:bidi="fr-FR"/>
              </w:rPr>
              <w:t xml:space="preserve"> établit une obligation de débarquement générale dans l'ensemble de l'UE. Lorsqu'une dérogation à ce règlement est accordée conformément à l'article 15.2, conformément aux obligations internationales, elle est prévue par le règlement délégué (UE) 2015/98 de la Commission</w:t>
            </w:r>
            <w:r w:rsidRPr="004E13E9">
              <w:rPr>
                <w:rStyle w:val="FootnoteReference"/>
                <w:rFonts w:eastAsia="MS Gothic" w:cs="Times New Roman"/>
                <w:color w:val="000000"/>
                <w:sz w:val="18"/>
                <w:szCs w:val="18"/>
                <w:lang w:eastAsia="fr-FR" w:bidi="fr-FR"/>
              </w:rPr>
              <w:footnoteReference w:id="11"/>
            </w:r>
            <w:r w:rsidRPr="004E13E9">
              <w:rPr>
                <w:rFonts w:eastAsia="MS Gothic" w:cs="Times New Roman"/>
                <w:color w:val="000000"/>
                <w:sz w:val="18"/>
                <w:szCs w:val="18"/>
                <w:lang w:val="fr-FR" w:eastAsia="fr-FR" w:bidi="fr-FR"/>
              </w:rPr>
              <w:t>.</w:t>
            </w:r>
          </w:p>
          <w:p w14:paraId="4C3B97B8"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253848E2"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color w:val="000000"/>
                <w:sz w:val="18"/>
                <w:szCs w:val="18"/>
                <w:lang w:val="fr-FR" w:eastAsia="fr-FR" w:bidi="fr-FR"/>
              </w:rPr>
              <w:t>Cette mesure est appliquée par des inspections en mer, des inspections au débarquement et des contrôles pendant le transport et sur les marchés.</w:t>
            </w:r>
          </w:p>
        </w:tc>
        <w:tc>
          <w:tcPr>
            <w:tcW w:w="2365" w:type="dxa"/>
          </w:tcPr>
          <w:p w14:paraId="7B50D42C"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Règlement (UE) 2023/2053, Chapitre III « Mesures techniques »,</w:t>
            </w:r>
          </w:p>
          <w:p w14:paraId="66E8A686"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Section 2 « Taille minimale de référence de conservation, prises accidentelles, prises accessoires ».</w:t>
            </w:r>
          </w:p>
          <w:p w14:paraId="06495D57"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p>
          <w:p w14:paraId="478E9358"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 xml:space="preserve">Article 19 « Taille minimale de référence de conservation » </w:t>
            </w:r>
          </w:p>
          <w:p w14:paraId="43B76E69"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p>
          <w:p w14:paraId="6F138B02" w14:textId="77777777" w:rsidR="00DF358A" w:rsidRPr="004E13E9" w:rsidRDefault="00DF358A" w:rsidP="00BB4F69">
            <w:pPr>
              <w:contextualSpacing/>
              <w:jc w:val="both"/>
              <w:rPr>
                <w:rFonts w:eastAsia="MS Gothic" w:cs="Times New Roman"/>
                <w:bCs/>
                <w:color w:val="000000"/>
                <w:sz w:val="18"/>
                <w:szCs w:val="18"/>
                <w:lang w:val="fr-FR" w:eastAsia="fr-FR" w:bidi="fr-FR"/>
              </w:rPr>
            </w:pPr>
            <w:r w:rsidRPr="004E13E9">
              <w:rPr>
                <w:rFonts w:eastAsia="MS Gothic" w:cs="Times New Roman"/>
                <w:color w:val="000000"/>
                <w:sz w:val="18"/>
                <w:szCs w:val="18"/>
                <w:lang w:val="fr-FR" w:eastAsia="fr-FR" w:bidi="fr-FR"/>
              </w:rPr>
              <w:t>Article 20 « Prises accidentelles » et Annexe I de ce même règlement « Conditions spécifiques applicables aux pêcheries visées à l'article 19.2 ».</w:t>
            </w:r>
          </w:p>
          <w:p w14:paraId="5BC8B5E6" w14:textId="77777777" w:rsidR="00DF358A" w:rsidRPr="004E13E9" w:rsidRDefault="00DF358A" w:rsidP="00BB4F69">
            <w:pPr>
              <w:contextualSpacing/>
              <w:jc w:val="both"/>
              <w:rPr>
                <w:rFonts w:eastAsia="MS Gothic" w:cs="Times New Roman"/>
                <w:sz w:val="18"/>
                <w:szCs w:val="18"/>
                <w:lang w:val="fr-FR" w:eastAsia="fr-FR" w:bidi="fr-FR"/>
              </w:rPr>
            </w:pPr>
          </w:p>
        </w:tc>
        <w:tc>
          <w:tcPr>
            <w:tcW w:w="2524" w:type="dxa"/>
          </w:tcPr>
          <w:p w14:paraId="3DF7213B" w14:textId="77777777" w:rsidR="00DF358A" w:rsidRPr="004E13E9" w:rsidRDefault="00DF358A" w:rsidP="00BB4F69">
            <w:pPr>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Aux fins de la mise en œuvre de la dérogation relative à la taille minimale établie à l'article 19(2) du règlement (UE) 2023/2053, l'article 27 du règlement (UE) 2026/249 du Conseil du 26 janvier et l'Annexe ID énonce les limites de la capacité de pêche, d'élevage et d'engraissement pour le thon rouge de l’Est en fixant chaque année le nombre de navires par État membre concerné, y compris le nombre maximal de navires autorisés à pêcher activement le thon rouge entre 8 kg/75 cm et 30 kg/115 cm dans l'Atlantique Est et la Méditerranée, ainsi que dans l'Adriatique à des fins d'élevage.</w:t>
            </w:r>
          </w:p>
          <w:p w14:paraId="4CC2A4C2" w14:textId="77777777" w:rsidR="00DF358A" w:rsidRPr="004E13E9" w:rsidRDefault="00DF358A" w:rsidP="00BB4F69">
            <w:pPr>
              <w:contextualSpacing/>
              <w:jc w:val="both"/>
              <w:rPr>
                <w:rFonts w:eastAsia="MS Gothic" w:cs="Times New Roman"/>
                <w:bCs/>
                <w:color w:val="000000"/>
                <w:sz w:val="18"/>
                <w:szCs w:val="18"/>
                <w:lang w:val="fr-FR" w:eastAsia="ja-JP" w:bidi="fr-FR"/>
              </w:rPr>
            </w:pPr>
          </w:p>
          <w:p w14:paraId="62377586" w14:textId="77777777" w:rsidR="00DF358A" w:rsidRPr="004E13E9" w:rsidRDefault="00DF358A" w:rsidP="00BB4F69">
            <w:pPr>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 xml:space="preserve">Le respect des dispositions en matière de limitation de la capacité est contrôlé dans le cadre du plan de déploiement conjoint (JDP) (voir 3.2.2.). </w:t>
            </w:r>
          </w:p>
          <w:p w14:paraId="04A487B9" w14:textId="77777777" w:rsidR="00DF358A" w:rsidRPr="004E13E9" w:rsidRDefault="00DF358A" w:rsidP="00BB4F69">
            <w:pPr>
              <w:contextualSpacing/>
              <w:jc w:val="both"/>
              <w:rPr>
                <w:rFonts w:eastAsia="MS Gothic" w:cs="Times New Roman"/>
                <w:bCs/>
                <w:color w:val="000000"/>
                <w:sz w:val="18"/>
                <w:szCs w:val="18"/>
                <w:lang w:val="fr-FR" w:eastAsia="ja-JP" w:bidi="fr-FR"/>
              </w:rPr>
            </w:pPr>
          </w:p>
          <w:p w14:paraId="36F78938"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bCs/>
                <w:color w:val="000000"/>
                <w:sz w:val="18"/>
                <w:szCs w:val="18"/>
                <w:lang w:val="fr-FR" w:eastAsia="fr-FR" w:bidi="fr-FR"/>
              </w:rPr>
              <w:t>Une tolérance d'un maximum de 7% en poids pour les échantillons d'une taille minimale de 6,4 kg ou de 66 cm capturés à des fins d’élevage par les senneurs opérant dans la mer Adriatique.</w:t>
            </w:r>
          </w:p>
        </w:tc>
      </w:tr>
      <w:tr w:rsidR="00DF358A" w:rsidRPr="00C712A4" w14:paraId="6ABBCAC3" w14:textId="77777777" w:rsidTr="00BB4F69">
        <w:trPr>
          <w:jc w:val="center"/>
        </w:trPr>
        <w:tc>
          <w:tcPr>
            <w:tcW w:w="562" w:type="dxa"/>
          </w:tcPr>
          <w:p w14:paraId="346B82B1" w14:textId="77777777" w:rsidR="00DF358A" w:rsidRPr="004E13E9" w:rsidRDefault="00DF358A" w:rsidP="00BB4F69">
            <w:pPr>
              <w:contextualSpacing/>
              <w:jc w:val="both"/>
              <w:rPr>
                <w:rFonts w:eastAsia="MS Gothic" w:cs="Times New Roman"/>
                <w:b/>
                <w:sz w:val="18"/>
                <w:szCs w:val="18"/>
                <w:lang w:eastAsia="fr-FR" w:bidi="fr-FR"/>
              </w:rPr>
            </w:pPr>
            <w:r w:rsidRPr="004E13E9">
              <w:rPr>
                <w:rFonts w:eastAsia="MS Gothic" w:cs="Times New Roman"/>
                <w:b/>
                <w:sz w:val="18"/>
                <w:szCs w:val="18"/>
                <w:lang w:eastAsia="fr-FR" w:bidi="fr-FR"/>
              </w:rPr>
              <w:t>4</w:t>
            </w:r>
          </w:p>
        </w:tc>
        <w:tc>
          <w:tcPr>
            <w:tcW w:w="1701" w:type="dxa"/>
          </w:tcPr>
          <w:p w14:paraId="1B819978" w14:textId="77777777" w:rsidR="00DF358A" w:rsidRPr="004E13E9" w:rsidRDefault="00DF358A" w:rsidP="00BB4F69">
            <w:pPr>
              <w:contextualSpacing/>
              <w:jc w:val="both"/>
              <w:rPr>
                <w:b/>
                <w:sz w:val="18"/>
                <w:szCs w:val="18"/>
              </w:rPr>
            </w:pPr>
            <w:proofErr w:type="spellStart"/>
            <w:r w:rsidRPr="004E13E9">
              <w:rPr>
                <w:b/>
                <w:sz w:val="18"/>
                <w:szCs w:val="18"/>
              </w:rPr>
              <w:t>Prises</w:t>
            </w:r>
            <w:proofErr w:type="spellEnd"/>
            <w:r w:rsidRPr="004E13E9">
              <w:rPr>
                <w:b/>
                <w:sz w:val="18"/>
                <w:szCs w:val="18"/>
              </w:rPr>
              <w:t xml:space="preserve"> </w:t>
            </w:r>
            <w:proofErr w:type="spellStart"/>
            <w:r w:rsidRPr="004E13E9">
              <w:rPr>
                <w:b/>
                <w:sz w:val="18"/>
                <w:szCs w:val="18"/>
              </w:rPr>
              <w:t>accessoires</w:t>
            </w:r>
            <w:proofErr w:type="spellEnd"/>
            <w:r w:rsidRPr="004E13E9">
              <w:rPr>
                <w:b/>
                <w:sz w:val="18"/>
                <w:szCs w:val="18"/>
              </w:rPr>
              <w:t xml:space="preserve"> </w:t>
            </w:r>
          </w:p>
          <w:p w14:paraId="55E949EA" w14:textId="77777777" w:rsidR="00DF358A" w:rsidRPr="004E13E9" w:rsidRDefault="00DF358A" w:rsidP="00BB4F69">
            <w:pPr>
              <w:contextualSpacing/>
              <w:rPr>
                <w:rFonts w:eastAsia="MS Gothic" w:cs="Times New Roman"/>
                <w:b/>
                <w:sz w:val="18"/>
                <w:szCs w:val="18"/>
                <w:lang w:eastAsia="fr-FR" w:bidi="fr-FR"/>
              </w:rPr>
            </w:pPr>
            <w:r w:rsidRPr="004E13E9">
              <w:rPr>
                <w:b/>
                <w:sz w:val="18"/>
                <w:szCs w:val="18"/>
              </w:rPr>
              <w:t>(</w:t>
            </w:r>
            <w:proofErr w:type="spellStart"/>
            <w:r w:rsidRPr="004E13E9">
              <w:rPr>
                <w:b/>
                <w:sz w:val="18"/>
                <w:szCs w:val="18"/>
              </w:rPr>
              <w:t>paragraphe</w:t>
            </w:r>
            <w:proofErr w:type="spellEnd"/>
            <w:r w:rsidRPr="004E13E9">
              <w:rPr>
                <w:b/>
                <w:sz w:val="18"/>
                <w:szCs w:val="18"/>
              </w:rPr>
              <w:t xml:space="preserve"> 37) </w:t>
            </w:r>
          </w:p>
        </w:tc>
        <w:tc>
          <w:tcPr>
            <w:tcW w:w="2494" w:type="dxa"/>
          </w:tcPr>
          <w:p w14:paraId="71C56E1F"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Conformément aux mesures de l'ICCAT, l'UE déduit de son quota tous les poissons morts capturés comme prises accessoires. Comme chaque année, pour les États membres de l’UE sans quota, l'UE réserve une partie de son quota conformément à l'annexe ID du règlement (UE) nº2026/249 du Conseil du 26 janvier 2026.</w:t>
            </w:r>
          </w:p>
          <w:p w14:paraId="3E1E8C7B"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35000FD8" w14:textId="77777777" w:rsidR="00DF358A" w:rsidRPr="004E13E9" w:rsidRDefault="00DF358A" w:rsidP="00BB4F69">
            <w:pPr>
              <w:contextualSpacing/>
              <w:jc w:val="both"/>
              <w:rPr>
                <w:rFonts w:eastAsia="MS Gothic"/>
                <w:color w:val="000000"/>
                <w:sz w:val="18"/>
                <w:szCs w:val="18"/>
                <w:lang w:val="fr-FR"/>
              </w:rPr>
            </w:pPr>
            <w:r w:rsidRPr="004E13E9">
              <w:rPr>
                <w:rFonts w:eastAsia="MS Gothic" w:cs="Times New Roman"/>
                <w:color w:val="000000"/>
                <w:sz w:val="18"/>
                <w:szCs w:val="18"/>
                <w:lang w:val="fr-FR" w:eastAsia="fr-FR" w:bidi="fr-FR"/>
              </w:rPr>
              <w:t xml:space="preserve">Un quota de 495 t alloué aux prises accessoires a été inclus dans le plan de pêche de l'UE fourni à l’ICCAT. </w:t>
            </w:r>
            <w:r w:rsidRPr="004E13E9">
              <w:rPr>
                <w:color w:val="000000"/>
                <w:sz w:val="18"/>
                <w:szCs w:val="18"/>
                <w:lang w:val="fr-FR"/>
              </w:rPr>
              <w:t>Ce même quota pourrait être ajusté au cours de l'année en cas de besoin.</w:t>
            </w:r>
          </w:p>
          <w:p w14:paraId="5E6C9E0B" w14:textId="77777777" w:rsidR="00DF358A" w:rsidRPr="004E13E9" w:rsidRDefault="00DF358A" w:rsidP="00BB4F69">
            <w:pPr>
              <w:contextualSpacing/>
              <w:jc w:val="both"/>
              <w:rPr>
                <w:rFonts w:eastAsia="MS Gothic" w:cs="Times New Roman"/>
                <w:color w:val="000000"/>
                <w:lang w:val="fr-FR" w:eastAsia="fr-FR" w:bidi="fr-FR"/>
              </w:rPr>
            </w:pPr>
          </w:p>
          <w:p w14:paraId="07F7FE44"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Le respect de cette mesure est vérifié principalement par des inspections en mer et des inspections au débarquement.</w:t>
            </w:r>
          </w:p>
        </w:tc>
        <w:tc>
          <w:tcPr>
            <w:tcW w:w="2365" w:type="dxa"/>
          </w:tcPr>
          <w:p w14:paraId="4FE22A41" w14:textId="77777777" w:rsidR="00DF358A" w:rsidRPr="004E13E9" w:rsidRDefault="00DF358A" w:rsidP="00BB4F69">
            <w:pPr>
              <w:autoSpaceDE w:val="0"/>
              <w:autoSpaceDN w:val="0"/>
              <w:adjustRightInd w:val="0"/>
              <w:jc w:val="both"/>
              <w:rPr>
                <w:rFonts w:eastAsia="MS Gothic"/>
                <w:bCs/>
                <w:color w:val="000000"/>
                <w:sz w:val="18"/>
                <w:szCs w:val="18"/>
                <w:lang w:val="fr-FR"/>
              </w:rPr>
            </w:pPr>
            <w:r w:rsidRPr="004E13E9">
              <w:rPr>
                <w:color w:val="000000"/>
                <w:sz w:val="18"/>
                <w:szCs w:val="18"/>
                <w:lang w:val="fr-FR"/>
              </w:rPr>
              <w:t>Règlement (UE) 2023/2053 Chapitre III "Mesures techniques",</w:t>
            </w:r>
          </w:p>
          <w:p w14:paraId="327BD841" w14:textId="77777777" w:rsidR="00DF358A" w:rsidRPr="004E13E9" w:rsidRDefault="00DF358A" w:rsidP="00BB4F69">
            <w:pPr>
              <w:autoSpaceDE w:val="0"/>
              <w:autoSpaceDN w:val="0"/>
              <w:adjustRightInd w:val="0"/>
              <w:jc w:val="both"/>
              <w:rPr>
                <w:rFonts w:eastAsia="MS Gothic"/>
                <w:bCs/>
                <w:color w:val="000000"/>
                <w:sz w:val="18"/>
                <w:szCs w:val="18"/>
                <w:lang w:val="fr-FR"/>
              </w:rPr>
            </w:pPr>
            <w:r w:rsidRPr="004E13E9">
              <w:rPr>
                <w:color w:val="000000"/>
                <w:sz w:val="18"/>
                <w:szCs w:val="18"/>
                <w:lang w:val="fr-FR"/>
              </w:rPr>
              <w:t>Article 19 « Taille minimale de référence de conservation », article 20 « Captures accidentelles inférieures à la taille minimale de référence de conservation », « captures accidentelles, captures accessoires", article 21 « Captures accessoires ».</w:t>
            </w:r>
          </w:p>
          <w:p w14:paraId="54240AE1" w14:textId="77777777" w:rsidR="00DF358A" w:rsidRPr="004E13E9" w:rsidRDefault="00DF358A" w:rsidP="00BB4F69">
            <w:pPr>
              <w:autoSpaceDE w:val="0"/>
              <w:autoSpaceDN w:val="0"/>
              <w:adjustRightInd w:val="0"/>
              <w:contextualSpacing/>
              <w:jc w:val="both"/>
              <w:rPr>
                <w:rFonts w:eastAsia="MS Gothic" w:cs="Times New Roman"/>
                <w:sz w:val="18"/>
                <w:szCs w:val="18"/>
                <w:lang w:val="fr-FR" w:eastAsia="fr-FR" w:bidi="fr-FR"/>
              </w:rPr>
            </w:pPr>
          </w:p>
          <w:p w14:paraId="05C24EB5" w14:textId="77777777" w:rsidR="00DF358A" w:rsidRPr="004E13E9" w:rsidRDefault="00DF358A" w:rsidP="00BB4F69">
            <w:pPr>
              <w:contextualSpacing/>
              <w:jc w:val="both"/>
              <w:rPr>
                <w:rFonts w:eastAsia="MS Gothic" w:cs="Times New Roman"/>
                <w:sz w:val="18"/>
                <w:szCs w:val="18"/>
                <w:lang w:val="fr-FR" w:eastAsia="fr-FR" w:bidi="fr-FR"/>
              </w:rPr>
            </w:pPr>
          </w:p>
        </w:tc>
        <w:tc>
          <w:tcPr>
            <w:tcW w:w="2524" w:type="dxa"/>
          </w:tcPr>
          <w:p w14:paraId="0A5217A0"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Un quota de prise accessoires s'appliquant aux prises accidentelles des États membres ne disposant pas d'un quota de thon rouge de l’Est est établi à l’annexe ID du règlement (UE) nº2026/249 du Conseil du 26 janvier 2026.</w:t>
            </w:r>
          </w:p>
          <w:p w14:paraId="0A610C80"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482946E4"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Les navires de capture qui ne pêchent pas activement le thon rouge de l’Est ne devront pas retenir à bord plus de 20% de la capture totale en poids ou en nombre de spécimens, par rapport aux thonidés et espèces apparentées. En ce qui concerne les petits navires côtiers, la quantité de prise accessoire peut être calculée sur une base annuelle.</w:t>
            </w:r>
          </w:p>
          <w:p w14:paraId="7291821A"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53390127"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Tout capture accessoire dépassant la limite de 20% du total des captures à bord à la fin de chaque sortie de pêche devra être remise à l’eau à l’état vivant, dans la mesure du possible.</w:t>
            </w:r>
          </w:p>
          <w:p w14:paraId="4CEE099D"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62F39AB5"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Le règlement délégué (UE) 2015/98 de la Commission régit les circonstances dans lesquelles le thon rouge de l’Est peut être remis à l'eau ou rejeté à l’intérieur de l’UE. Le règlement (UE) nº404/2011</w:t>
            </w:r>
            <w:r w:rsidRPr="004E13E9">
              <w:rPr>
                <w:rStyle w:val="FootnoteReference"/>
                <w:rFonts w:eastAsia="MS Gothic" w:cs="Times New Roman"/>
                <w:color w:val="000000"/>
                <w:sz w:val="18"/>
                <w:szCs w:val="18"/>
                <w:lang w:eastAsia="fr-FR" w:bidi="fr-FR"/>
              </w:rPr>
              <w:footnoteReference w:id="12"/>
            </w:r>
            <w:r w:rsidRPr="004E13E9">
              <w:rPr>
                <w:rFonts w:eastAsia="MS Gothic" w:cs="Times New Roman"/>
                <w:color w:val="000000"/>
                <w:sz w:val="18"/>
                <w:szCs w:val="18"/>
                <w:lang w:val="fr-FR" w:eastAsia="fr-FR" w:bidi="fr-FR"/>
              </w:rPr>
              <w:t xml:space="preserve"> de l'UE prévoit que les rejets devront être consignés dans le carnet de pêche.</w:t>
            </w:r>
          </w:p>
          <w:p w14:paraId="36830751"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5BBC880A"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Toutes les prises accessoires rejetées ou conservées à bord sont déduites du quota.</w:t>
            </w:r>
          </w:p>
        </w:tc>
      </w:tr>
      <w:tr w:rsidR="00DF358A" w:rsidRPr="00C712A4" w14:paraId="278A4BFB" w14:textId="77777777" w:rsidTr="00BB4F69">
        <w:trPr>
          <w:jc w:val="center"/>
        </w:trPr>
        <w:tc>
          <w:tcPr>
            <w:tcW w:w="562" w:type="dxa"/>
          </w:tcPr>
          <w:p w14:paraId="415E8098" w14:textId="77777777" w:rsidR="00DF358A" w:rsidRPr="004E13E9" w:rsidRDefault="00DF358A" w:rsidP="00BB4F69">
            <w:pPr>
              <w:contextualSpacing/>
              <w:jc w:val="both"/>
              <w:rPr>
                <w:rFonts w:eastAsia="MS Gothic" w:cs="Times New Roman"/>
                <w:b/>
                <w:sz w:val="18"/>
                <w:szCs w:val="18"/>
                <w:lang w:eastAsia="fr-FR" w:bidi="fr-FR"/>
              </w:rPr>
            </w:pPr>
            <w:r w:rsidRPr="004E13E9">
              <w:rPr>
                <w:rFonts w:eastAsia="MS Gothic" w:cs="Times New Roman"/>
                <w:b/>
                <w:sz w:val="18"/>
                <w:szCs w:val="18"/>
                <w:lang w:eastAsia="fr-FR" w:bidi="fr-FR"/>
              </w:rPr>
              <w:t>5</w:t>
            </w:r>
          </w:p>
        </w:tc>
        <w:tc>
          <w:tcPr>
            <w:tcW w:w="1701" w:type="dxa"/>
          </w:tcPr>
          <w:p w14:paraId="61781451" w14:textId="77777777" w:rsidR="00DF358A" w:rsidRPr="004E13E9" w:rsidRDefault="00DF358A" w:rsidP="00BB4F69">
            <w:pPr>
              <w:contextualSpacing/>
              <w:rPr>
                <w:rFonts w:eastAsia="MS Gothic" w:cs="Times New Roman"/>
                <w:b/>
                <w:sz w:val="18"/>
                <w:szCs w:val="18"/>
                <w:lang w:val="fr-FR" w:eastAsia="fr-FR" w:bidi="fr-FR"/>
              </w:rPr>
            </w:pPr>
            <w:r w:rsidRPr="004E13E9">
              <w:rPr>
                <w:rFonts w:eastAsia="MS Gothic" w:cs="Times New Roman"/>
                <w:b/>
                <w:sz w:val="18"/>
                <w:szCs w:val="18"/>
                <w:lang w:val="fr-FR" w:eastAsia="fr-FR" w:bidi="fr-FR"/>
              </w:rPr>
              <w:t>Pêcheries récréatives et sportives (paragraphes 38-46)</w:t>
            </w:r>
          </w:p>
        </w:tc>
        <w:tc>
          <w:tcPr>
            <w:tcW w:w="2494" w:type="dxa"/>
          </w:tcPr>
          <w:p w14:paraId="56B0641B" w14:textId="77777777" w:rsidR="00DF358A" w:rsidRPr="004E13E9" w:rsidRDefault="00DF358A" w:rsidP="00BB4F69">
            <w:pPr>
              <w:contextualSpacing/>
              <w:jc w:val="both"/>
              <w:rPr>
                <w:rFonts w:eastAsia="MS Gothic" w:cs="Times New Roman"/>
                <w:bCs/>
                <w:color w:val="000000"/>
                <w:sz w:val="18"/>
                <w:szCs w:val="18"/>
                <w:lang w:val="fr-FR" w:eastAsia="fr-FR" w:bidi="fr-FR"/>
              </w:rPr>
            </w:pPr>
            <w:r w:rsidRPr="004E13E9">
              <w:rPr>
                <w:rFonts w:eastAsia="MS Gothic" w:cs="Times New Roman"/>
                <w:bCs/>
                <w:sz w:val="18"/>
                <w:szCs w:val="18"/>
                <w:lang w:val="fr-FR" w:eastAsia="fr-FR" w:bidi="fr-FR"/>
              </w:rPr>
              <w:t>Les pêcheries récréatives et sportives sont gérées de différentes manières dans l'UE, depuis l'interdiction totale de ces activités jusqu'à la capture et remise à l'eau ou la fixation d'un plafond de captures par navire et par jour. En tout état de cause, l</w:t>
            </w:r>
            <w:r w:rsidRPr="004E13E9">
              <w:rPr>
                <w:rFonts w:eastAsia="MS Gothic" w:cs="Times New Roman"/>
                <w:bCs/>
                <w:color w:val="000000"/>
                <w:sz w:val="18"/>
                <w:szCs w:val="18"/>
                <w:lang w:val="fr-FR" w:eastAsia="fr-FR" w:bidi="fr-FR"/>
              </w:rPr>
              <w:t xml:space="preserve">es captures mortes des pêcheries sportives et récréatives sont déduites du quota. À cet égard, un quota a été alloué aux pêcheries sportives et récréatives dans le plan de pêche pour 2024. </w:t>
            </w:r>
          </w:p>
          <w:p w14:paraId="47FD433D" w14:textId="77777777" w:rsidR="00DF358A" w:rsidRPr="004E13E9" w:rsidRDefault="00DF358A" w:rsidP="00BB4F69">
            <w:pPr>
              <w:contextualSpacing/>
              <w:jc w:val="both"/>
              <w:rPr>
                <w:rFonts w:eastAsia="MS Gothic" w:cs="Times New Roman"/>
                <w:bCs/>
                <w:color w:val="000000"/>
                <w:sz w:val="18"/>
                <w:szCs w:val="18"/>
                <w:lang w:val="fr-FR" w:eastAsia="fr-FR" w:bidi="fr-FR"/>
              </w:rPr>
            </w:pPr>
          </w:p>
          <w:p w14:paraId="5A09566C"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bCs/>
                <w:color w:val="000000"/>
                <w:sz w:val="18"/>
                <w:szCs w:val="18"/>
                <w:lang w:val="fr-FR" w:eastAsia="fr-FR" w:bidi="fr-FR"/>
              </w:rPr>
              <w:t xml:space="preserve">En outre, dans le cadre de son plan de déploiement conjoint, l'UE mène une série d'inspections ciblant les activités sportives et récréatives, suivant des critères minimaux établis sur la base d'une procédure d'évaluation des risques. Enfin, en plus de ces activités communes, chaque État membre de l’UE mène également des programmes d’inspections ciblant les pêcheries sportives et récréatives. </w:t>
            </w:r>
            <w:r w:rsidRPr="004E13E9">
              <w:rPr>
                <w:sz w:val="18"/>
                <w:szCs w:val="18"/>
                <w:lang w:val="fr-FR" w:eastAsia="ja-JP"/>
              </w:rPr>
              <w:t>Les programmes des États membres de l’UE sont évalués par des missions de vérification (visites sur place) et des audits.</w:t>
            </w:r>
          </w:p>
        </w:tc>
        <w:tc>
          <w:tcPr>
            <w:tcW w:w="2365" w:type="dxa"/>
          </w:tcPr>
          <w:p w14:paraId="33455037"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Règlement (UE) 2023/2053, chapitre IV « Pêcheries récréatives ».</w:t>
            </w:r>
          </w:p>
          <w:p w14:paraId="052325CD"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p>
          <w:p w14:paraId="306DD874" w14:textId="77777777" w:rsidR="00DF358A" w:rsidRPr="004E13E9" w:rsidRDefault="00DF358A" w:rsidP="00BB4F69">
            <w:pPr>
              <w:contextualSpacing/>
              <w:jc w:val="both"/>
              <w:rPr>
                <w:rFonts w:eastAsia="MS Gothic" w:cs="Times New Roman"/>
                <w:bCs/>
                <w:color w:val="000000"/>
                <w:sz w:val="18"/>
                <w:szCs w:val="18"/>
                <w:lang w:val="fr-FR" w:eastAsia="ja-JP" w:bidi="fr-FR"/>
              </w:rPr>
            </w:pPr>
            <w:r w:rsidRPr="004E13E9">
              <w:rPr>
                <w:rFonts w:eastAsia="MS Gothic" w:cs="Times New Roman"/>
                <w:bCs/>
                <w:color w:val="000000"/>
                <w:sz w:val="18"/>
                <w:szCs w:val="18"/>
                <w:lang w:val="fr-FR" w:eastAsia="fr-FR" w:bidi="fr-FR"/>
              </w:rPr>
              <w:t xml:space="preserve">Article 23 «  Pêcheries sportives et récréatives » et </w:t>
            </w:r>
            <w:r w:rsidRPr="004E13E9">
              <w:rPr>
                <w:rFonts w:eastAsia="MS Gothic" w:cs="Times New Roman"/>
                <w:bCs/>
                <w:color w:val="000000"/>
                <w:sz w:val="18"/>
                <w:szCs w:val="18"/>
                <w:lang w:val="fr-FR" w:eastAsia="ja-JP" w:bidi="fr-FR"/>
              </w:rPr>
              <w:t>Article 24 « Conditions particulières pour les pêcheries récréatives », Article 25 « Capture, marquage et remise à l'eau ».</w:t>
            </w:r>
          </w:p>
          <w:p w14:paraId="0115AFB7" w14:textId="77777777" w:rsidR="00DF358A" w:rsidRPr="004E13E9" w:rsidRDefault="00DF358A" w:rsidP="00BB4F69">
            <w:pPr>
              <w:contextualSpacing/>
              <w:rPr>
                <w:rFonts w:eastAsia="MS Gothic" w:cs="Times New Roman"/>
                <w:sz w:val="18"/>
                <w:szCs w:val="18"/>
                <w:lang w:val="fr-FR" w:eastAsia="fr-FR" w:bidi="fr-FR"/>
              </w:rPr>
            </w:pPr>
          </w:p>
        </w:tc>
        <w:tc>
          <w:tcPr>
            <w:tcW w:w="2524" w:type="dxa"/>
          </w:tcPr>
          <w:p w14:paraId="38029D3A"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En vertu de l'art. 24 du règlement (UE) 2023/2053, chaque État membre de l'UE est tenu d'enregistrer les données de capture, y compris le poids et la longueur de chaque thon rouge capturé lors d'une pêche sportive ou récréative, et de communiquer les données de l'année précédente à la Commission européenne avant le 30 juin de chaque année. La Commission européenne transmet ces informations au SCRS.</w:t>
            </w:r>
          </w:p>
          <w:p w14:paraId="5756982E"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30190769"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sz w:val="18"/>
                <w:szCs w:val="18"/>
                <w:lang w:val="fr-FR" w:eastAsia="fr-FR" w:bidi="fr-FR"/>
              </w:rPr>
              <w:t>Selon l’article 4(8) du règlement délégué de la Commission (UE) 2015/98, la limite d'un poisson par navire et par jour devra s'appliquer à tous les navires récréatifs.</w:t>
            </w:r>
          </w:p>
          <w:p w14:paraId="4B3E13CC" w14:textId="77777777" w:rsidR="00DF358A" w:rsidRPr="004E13E9" w:rsidRDefault="00DF358A" w:rsidP="00BB4F69">
            <w:pPr>
              <w:contextualSpacing/>
              <w:jc w:val="both"/>
              <w:rPr>
                <w:rFonts w:eastAsia="MS Gothic" w:cs="Times New Roman"/>
                <w:sz w:val="18"/>
                <w:szCs w:val="18"/>
                <w:lang w:val="fr-FR" w:eastAsia="fr-FR" w:bidi="fr-FR"/>
              </w:rPr>
            </w:pPr>
          </w:p>
        </w:tc>
      </w:tr>
      <w:tr w:rsidR="00DF358A" w:rsidRPr="00C712A4" w14:paraId="654C181B" w14:textId="77777777" w:rsidTr="00BB4F69">
        <w:trPr>
          <w:jc w:val="center"/>
        </w:trPr>
        <w:tc>
          <w:tcPr>
            <w:tcW w:w="562" w:type="dxa"/>
          </w:tcPr>
          <w:p w14:paraId="7F91B1F9" w14:textId="77777777" w:rsidR="00DF358A" w:rsidRPr="004E13E9" w:rsidRDefault="00DF358A" w:rsidP="00BB4F69">
            <w:pPr>
              <w:contextualSpacing/>
              <w:jc w:val="both"/>
              <w:rPr>
                <w:rFonts w:eastAsia="MS Gothic" w:cs="Times New Roman"/>
                <w:b/>
                <w:sz w:val="18"/>
                <w:szCs w:val="18"/>
                <w:lang w:eastAsia="fr-FR" w:bidi="fr-FR"/>
              </w:rPr>
            </w:pPr>
            <w:r w:rsidRPr="004E13E9">
              <w:rPr>
                <w:rFonts w:eastAsia="MS Gothic" w:cs="Times New Roman"/>
                <w:b/>
                <w:sz w:val="18"/>
                <w:szCs w:val="18"/>
                <w:lang w:eastAsia="fr-FR" w:bidi="fr-FR"/>
              </w:rPr>
              <w:t>6</w:t>
            </w:r>
          </w:p>
        </w:tc>
        <w:tc>
          <w:tcPr>
            <w:tcW w:w="1701" w:type="dxa"/>
          </w:tcPr>
          <w:p w14:paraId="13659CD7" w14:textId="77777777" w:rsidR="00DF358A" w:rsidRPr="004E13E9" w:rsidRDefault="00DF358A" w:rsidP="00BB4F69">
            <w:pPr>
              <w:contextualSpacing/>
              <w:rPr>
                <w:rFonts w:eastAsia="MS Gothic" w:cs="Times New Roman"/>
                <w:b/>
                <w:sz w:val="18"/>
                <w:szCs w:val="18"/>
                <w:lang w:eastAsia="fr-FR" w:bidi="fr-FR"/>
              </w:rPr>
            </w:pPr>
            <w:proofErr w:type="spellStart"/>
            <w:r w:rsidRPr="004E13E9">
              <w:rPr>
                <w:b/>
                <w:sz w:val="18"/>
                <w:szCs w:val="18"/>
              </w:rPr>
              <w:t>Transbordement</w:t>
            </w:r>
            <w:proofErr w:type="spellEnd"/>
            <w:r w:rsidRPr="004E13E9">
              <w:rPr>
                <w:b/>
                <w:sz w:val="18"/>
                <w:szCs w:val="18"/>
              </w:rPr>
              <w:t xml:space="preserve"> (</w:t>
            </w:r>
            <w:proofErr w:type="spellStart"/>
            <w:r w:rsidRPr="004E13E9">
              <w:rPr>
                <w:b/>
                <w:sz w:val="18"/>
                <w:szCs w:val="18"/>
              </w:rPr>
              <w:t>paragraphes</w:t>
            </w:r>
            <w:proofErr w:type="spellEnd"/>
            <w:r w:rsidRPr="004E13E9">
              <w:rPr>
                <w:b/>
                <w:sz w:val="18"/>
                <w:szCs w:val="18"/>
              </w:rPr>
              <w:t xml:space="preserve"> 89-94) </w:t>
            </w:r>
          </w:p>
        </w:tc>
        <w:tc>
          <w:tcPr>
            <w:tcW w:w="2494" w:type="dxa"/>
          </w:tcPr>
          <w:p w14:paraId="3C3E8F7D"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Les transbordements en mer sont interdits.</w:t>
            </w:r>
          </w:p>
          <w:p w14:paraId="47138EC5"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5458E5AB"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Les inspections sur le terrain dans le cadre du plan de déploiement conjoint couvrent également les transbordements.</w:t>
            </w:r>
          </w:p>
          <w:p w14:paraId="716FC39C"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67B0267D"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sz w:val="18"/>
                <w:szCs w:val="18"/>
                <w:lang w:val="fr-FR" w:eastAsia="fr-FR" w:bidi="fr-FR"/>
              </w:rPr>
              <w:t xml:space="preserve">Il y a peu ou pas de transbordements de thon rouge de l’Est dans les ports de l'UE. </w:t>
            </w:r>
          </w:p>
          <w:p w14:paraId="6BC17C1F" w14:textId="77777777" w:rsidR="00DF358A" w:rsidRPr="004E13E9" w:rsidRDefault="00DF358A" w:rsidP="00BB4F69">
            <w:pPr>
              <w:contextualSpacing/>
              <w:jc w:val="both"/>
              <w:rPr>
                <w:rFonts w:eastAsia="MS Gothic" w:cs="Times New Roman"/>
                <w:sz w:val="18"/>
                <w:szCs w:val="18"/>
                <w:lang w:val="fr-FR" w:eastAsia="fr-FR" w:bidi="fr-FR"/>
              </w:rPr>
            </w:pPr>
          </w:p>
          <w:p w14:paraId="78C3B4FC"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sz w:val="18"/>
                <w:szCs w:val="18"/>
                <w:lang w:val="fr-FR" w:eastAsia="fr-FR" w:bidi="fr-FR"/>
              </w:rPr>
              <w:t>Dans le cas d'un transbordement dans un port, une couverture d'inspection complète est obligatoire en cas de transbordement et il y a une surveillance continue des lieux de transbordement autorisés.</w:t>
            </w:r>
          </w:p>
        </w:tc>
        <w:tc>
          <w:tcPr>
            <w:tcW w:w="2365" w:type="dxa"/>
          </w:tcPr>
          <w:p w14:paraId="07030DFA" w14:textId="77777777" w:rsidR="00DF358A" w:rsidRPr="004E13E9" w:rsidRDefault="00DF358A" w:rsidP="00BB4F69">
            <w:pPr>
              <w:contextualSpacing/>
              <w:jc w:val="both"/>
              <w:rPr>
                <w:rFonts w:eastAsia="MS Gothic" w:cs="Times New Roman"/>
                <w:sz w:val="18"/>
                <w:szCs w:val="18"/>
                <w:lang w:eastAsia="fr-FR" w:bidi="fr-FR"/>
              </w:rPr>
            </w:pPr>
            <w:r w:rsidRPr="004E13E9">
              <w:rPr>
                <w:rFonts w:eastAsia="MS Gothic" w:cs="Times New Roman"/>
                <w:bCs/>
                <w:color w:val="000000"/>
                <w:sz w:val="18"/>
                <w:szCs w:val="18"/>
                <w:lang w:val="fr-FR" w:eastAsia="fr-FR" w:bidi="fr-FR"/>
              </w:rPr>
              <w:t xml:space="preserve">Règlement (UE) 2023/2053, section 3 « Débarquements et transbordements ». </w:t>
            </w:r>
            <w:r w:rsidRPr="004E13E9">
              <w:rPr>
                <w:rFonts w:eastAsia="MS Gothic" w:cs="Times New Roman"/>
                <w:bCs/>
                <w:color w:val="000000"/>
                <w:sz w:val="18"/>
                <w:szCs w:val="18"/>
                <w:lang w:eastAsia="fr-FR" w:bidi="fr-FR"/>
              </w:rPr>
              <w:t>Article 35 « </w:t>
            </w:r>
            <w:proofErr w:type="spellStart"/>
            <w:r w:rsidRPr="004E13E9">
              <w:rPr>
                <w:rFonts w:eastAsia="MS Gothic" w:cs="Times New Roman"/>
                <w:bCs/>
                <w:color w:val="000000"/>
                <w:sz w:val="18"/>
                <w:szCs w:val="18"/>
                <w:lang w:eastAsia="fr-FR" w:bidi="fr-FR"/>
              </w:rPr>
              <w:t>Transbordement</w:t>
            </w:r>
            <w:proofErr w:type="spellEnd"/>
            <w:r w:rsidRPr="004E13E9">
              <w:rPr>
                <w:rFonts w:eastAsia="MS Gothic" w:cs="Times New Roman"/>
                <w:bCs/>
                <w:color w:val="000000"/>
                <w:sz w:val="18"/>
                <w:szCs w:val="18"/>
                <w:lang w:eastAsia="fr-FR" w:bidi="fr-FR"/>
              </w:rPr>
              <w:t> »</w:t>
            </w:r>
          </w:p>
        </w:tc>
        <w:tc>
          <w:tcPr>
            <w:tcW w:w="2524" w:type="dxa"/>
          </w:tcPr>
          <w:p w14:paraId="1B3BEEFD"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color w:val="000000"/>
                <w:sz w:val="18"/>
                <w:szCs w:val="18"/>
                <w:lang w:val="fr-FR" w:eastAsia="fr-FR" w:bidi="fr-FR"/>
              </w:rPr>
              <w:t xml:space="preserve">L’article 35 du règlement (UE) 2023/2053 interdit tous les transbordements en mer dans la zone de la Convention. Les navires de pêche ne peuvent transborder les prises de thon rouge </w:t>
            </w:r>
            <w:r w:rsidRPr="004E13E9">
              <w:rPr>
                <w:rFonts w:eastAsia="MS Gothic" w:cs="Times New Roman"/>
                <w:sz w:val="18"/>
                <w:szCs w:val="18"/>
                <w:lang w:val="fr-FR" w:eastAsia="fr-FR" w:bidi="fr-FR"/>
              </w:rPr>
              <w:t>de l’Est</w:t>
            </w:r>
            <w:r w:rsidRPr="004E13E9">
              <w:rPr>
                <w:rFonts w:eastAsia="MS Gothic" w:cs="Times New Roman"/>
                <w:color w:val="000000"/>
                <w:sz w:val="18"/>
                <w:szCs w:val="18"/>
                <w:lang w:val="fr-FR" w:eastAsia="fr-FR" w:bidi="fr-FR"/>
              </w:rPr>
              <w:t xml:space="preserve"> que dans les ports désignés. </w:t>
            </w:r>
          </w:p>
        </w:tc>
      </w:tr>
      <w:tr w:rsidR="00DF358A" w:rsidRPr="00C712A4" w14:paraId="2DBC4757" w14:textId="77777777" w:rsidTr="00BB4F69">
        <w:trPr>
          <w:jc w:val="center"/>
        </w:trPr>
        <w:tc>
          <w:tcPr>
            <w:tcW w:w="562" w:type="dxa"/>
          </w:tcPr>
          <w:p w14:paraId="3345A67E" w14:textId="77777777" w:rsidR="00DF358A" w:rsidRPr="004E13E9" w:rsidRDefault="00DF358A" w:rsidP="00BB4F69">
            <w:pPr>
              <w:contextualSpacing/>
              <w:jc w:val="both"/>
              <w:rPr>
                <w:rFonts w:eastAsia="MS Gothic" w:cs="Times New Roman"/>
                <w:b/>
                <w:sz w:val="18"/>
                <w:szCs w:val="18"/>
                <w:lang w:eastAsia="fr-FR" w:bidi="fr-FR"/>
              </w:rPr>
            </w:pPr>
            <w:r w:rsidRPr="004E13E9">
              <w:rPr>
                <w:b/>
                <w:sz w:val="18"/>
                <w:szCs w:val="18"/>
              </w:rPr>
              <w:t>7</w:t>
            </w:r>
          </w:p>
        </w:tc>
        <w:tc>
          <w:tcPr>
            <w:tcW w:w="1701" w:type="dxa"/>
          </w:tcPr>
          <w:p w14:paraId="1210EBB8" w14:textId="77777777" w:rsidR="00DF358A" w:rsidRPr="004E13E9" w:rsidRDefault="00DF358A" w:rsidP="00BB4F69">
            <w:pPr>
              <w:contextualSpacing/>
              <w:rPr>
                <w:rFonts w:eastAsia="MS Gothic" w:cs="Times New Roman"/>
                <w:b/>
                <w:sz w:val="18"/>
                <w:szCs w:val="18"/>
                <w:lang w:eastAsia="fr-FR" w:bidi="fr-FR"/>
              </w:rPr>
            </w:pPr>
            <w:r w:rsidRPr="004E13E9">
              <w:rPr>
                <w:b/>
                <w:sz w:val="18"/>
                <w:szCs w:val="18"/>
              </w:rPr>
              <w:t>VMS (</w:t>
            </w:r>
            <w:proofErr w:type="spellStart"/>
            <w:r w:rsidRPr="004E13E9">
              <w:rPr>
                <w:b/>
                <w:sz w:val="18"/>
                <w:szCs w:val="18"/>
              </w:rPr>
              <w:t>paragraphes</w:t>
            </w:r>
            <w:proofErr w:type="spellEnd"/>
            <w:r w:rsidRPr="004E13E9">
              <w:rPr>
                <w:b/>
                <w:sz w:val="18"/>
                <w:szCs w:val="18"/>
              </w:rPr>
              <w:t xml:space="preserve"> 222-228)</w:t>
            </w:r>
          </w:p>
        </w:tc>
        <w:tc>
          <w:tcPr>
            <w:tcW w:w="2494" w:type="dxa"/>
          </w:tcPr>
          <w:p w14:paraId="2E2FB14F"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 xml:space="preserve">Tous les navires sont surveillés de manière continue par VMS et toute interruption dans la transmission des données VMS fera immédiatement l’objet d’un suivi en concertation avec l’État membre </w:t>
            </w:r>
            <w:r w:rsidRPr="004E13E9">
              <w:rPr>
                <w:sz w:val="18"/>
                <w:szCs w:val="18"/>
                <w:lang w:val="fr-FR" w:eastAsia="ja-JP"/>
              </w:rPr>
              <w:t>de l’UE</w:t>
            </w:r>
            <w:r w:rsidRPr="004E13E9">
              <w:rPr>
                <w:rFonts w:eastAsia="MS Gothic" w:cs="Times New Roman"/>
                <w:color w:val="000000"/>
                <w:sz w:val="18"/>
                <w:szCs w:val="18"/>
                <w:lang w:val="fr-FR" w:eastAsia="fr-FR" w:bidi="fr-FR"/>
              </w:rPr>
              <w:t xml:space="preserve"> concerné. </w:t>
            </w:r>
          </w:p>
          <w:p w14:paraId="76B1F7C4"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247B12C4"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 xml:space="preserve">Le logiciel associé au VMS dans les différents États membres </w:t>
            </w:r>
            <w:r w:rsidRPr="004E13E9">
              <w:rPr>
                <w:sz w:val="18"/>
                <w:szCs w:val="18"/>
                <w:lang w:val="fr-FR" w:eastAsia="ja-JP"/>
              </w:rPr>
              <w:t>de l’UE</w:t>
            </w:r>
            <w:r w:rsidRPr="004E13E9">
              <w:rPr>
                <w:rFonts w:eastAsia="MS Gothic" w:cs="Times New Roman"/>
                <w:color w:val="000000"/>
                <w:sz w:val="18"/>
                <w:szCs w:val="18"/>
                <w:lang w:val="fr-FR" w:eastAsia="fr-FR" w:bidi="fr-FR"/>
              </w:rPr>
              <w:t xml:space="preserve"> permet de définir des alarmes et de générer des avertissements automatiques pour surveiller divers aspects d'intérêt. Le VMS est contrôlé par les centres de surveillance de la pêche (FMC) de chacun des États membres</w:t>
            </w:r>
            <w:r w:rsidRPr="004E13E9">
              <w:rPr>
                <w:sz w:val="18"/>
                <w:szCs w:val="18"/>
                <w:lang w:val="fr-FR" w:eastAsia="ja-JP"/>
              </w:rPr>
              <w:t xml:space="preserve"> de l’UE</w:t>
            </w:r>
            <w:r w:rsidRPr="004E13E9">
              <w:rPr>
                <w:rFonts w:eastAsia="MS Gothic" w:cs="Times New Roman"/>
                <w:color w:val="000000"/>
                <w:sz w:val="18"/>
                <w:szCs w:val="18"/>
                <w:lang w:val="fr-FR" w:eastAsia="fr-FR" w:bidi="fr-FR"/>
              </w:rPr>
              <w:t>, qui sont opérationnels 24 heures sur 24 et 7 jours sur 7.</w:t>
            </w:r>
          </w:p>
          <w:p w14:paraId="208BA6B9"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2887BF8E"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L'AECP dispose également de son propre système de surveillance de l'activité des navires, appelé IMS, et de son propre FMC. L'IMS de l'AECP est un outil de coordination du contrôle opérationnel des pêches utilisant l'environnement intégré de données maritimes (</w:t>
            </w:r>
            <w:proofErr w:type="spellStart"/>
            <w:r w:rsidRPr="004E13E9">
              <w:rPr>
                <w:rFonts w:eastAsia="MS Gothic" w:cs="Times New Roman"/>
                <w:color w:val="000000"/>
                <w:sz w:val="18"/>
                <w:szCs w:val="18"/>
                <w:lang w:val="fr-FR" w:eastAsia="fr-FR" w:bidi="fr-FR"/>
              </w:rPr>
              <w:t>Imdate</w:t>
            </w:r>
            <w:proofErr w:type="spellEnd"/>
            <w:r w:rsidRPr="004E13E9">
              <w:rPr>
                <w:rFonts w:eastAsia="MS Gothic" w:cs="Times New Roman"/>
                <w:color w:val="000000"/>
                <w:sz w:val="18"/>
                <w:szCs w:val="18"/>
                <w:lang w:val="fr-FR" w:eastAsia="fr-FR" w:bidi="fr-FR"/>
              </w:rPr>
              <w:t xml:space="preserve">) développé par l'Agence européenne de sécurité maritime (AESM). Cet outil fournit une image opérationnelle de sensibilisation maritime en temps réel en fusionnant et en corrélant les rapports de position des VMS, des systèmes d'identification automatique terrestres (AIS), des AIS par satellite et des systèmes d'identification et de suivi à longue distance (LRIT) ainsi que les observations visuelles. Le service fournit aux centres de surveillance de la pêche des États membres </w:t>
            </w:r>
            <w:r w:rsidRPr="004E13E9">
              <w:rPr>
                <w:sz w:val="18"/>
                <w:szCs w:val="18"/>
                <w:lang w:val="fr-FR" w:eastAsia="ja-JP"/>
              </w:rPr>
              <w:t>de l’UE</w:t>
            </w:r>
            <w:r w:rsidRPr="004E13E9">
              <w:rPr>
                <w:rFonts w:eastAsia="MS Gothic" w:cs="Times New Roman"/>
                <w:color w:val="000000"/>
                <w:sz w:val="18"/>
                <w:szCs w:val="18"/>
                <w:lang w:val="fr-FR" w:eastAsia="fr-FR" w:bidi="fr-FR"/>
              </w:rPr>
              <w:t xml:space="preserve"> un outil d'analyse du comportement, d'évaluation des risques et de classification des éventuelles cibles de non-application. Il alimente l'évaluation et le suivi des activités de surveillance de la pêche effectués par l'AECP.</w:t>
            </w:r>
          </w:p>
          <w:p w14:paraId="7ACC74D6"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10AB362C"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Finalement, l’équipe responsable au sein de la Commission européenne des déclarations de capture et du système de surveillance des navires par satellite (VMS) contrôle en temps réel les soumissions de VMS. À cette fin, un système informatique spécial est en place.</w:t>
            </w:r>
          </w:p>
          <w:p w14:paraId="1349F65A" w14:textId="77777777" w:rsidR="00DF358A" w:rsidRPr="004E13E9" w:rsidRDefault="00DF358A" w:rsidP="00BB4F69">
            <w:pPr>
              <w:contextualSpacing/>
              <w:jc w:val="both"/>
              <w:rPr>
                <w:rFonts w:eastAsia="MS Gothic" w:cs="Times New Roman"/>
                <w:sz w:val="18"/>
                <w:szCs w:val="18"/>
                <w:lang w:val="fr-FR" w:eastAsia="fr-FR" w:bidi="fr-FR"/>
              </w:rPr>
            </w:pPr>
          </w:p>
        </w:tc>
        <w:tc>
          <w:tcPr>
            <w:tcW w:w="2365" w:type="dxa"/>
          </w:tcPr>
          <w:p w14:paraId="177C8F4C"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Conformément au règlement de contrôle de l’UE, article 9 « Système de surveillance des navires », tous les navires de l’UE de plus de 12 mètres sont équipés d’un VMS. En vertu de l'article 57 du règlement (UE) 2023/2053, cette obligation a été étendue à tous les remorqueurs de thon rouge indépendamment de leur longueur.</w:t>
            </w:r>
          </w:p>
          <w:p w14:paraId="20921DB8"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208ADDC8"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sz w:val="18"/>
                <w:szCs w:val="18"/>
                <w:lang w:val="fr-FR" w:eastAsia="fr-FR" w:bidi="fr-FR"/>
              </w:rPr>
              <w:t xml:space="preserve">Conformément à l'article 216, paragraphe 2, du traité sur le fonctionnement de l'Union européenne, les États membres sont tenus de prendre les mesures directes nécessaires visant à s’assurer que leurs navires et, le cas échéant, leurs ressortissants respectent les Recommandations de l’ICCAT. </w:t>
            </w:r>
          </w:p>
        </w:tc>
        <w:tc>
          <w:tcPr>
            <w:tcW w:w="2524" w:type="dxa"/>
          </w:tcPr>
          <w:p w14:paraId="0A6B1581"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sz w:val="18"/>
                <w:szCs w:val="18"/>
                <w:lang w:val="fr-FR" w:eastAsia="fr-FR" w:bidi="fr-FR"/>
              </w:rPr>
              <w:t>L'UE suit également les dispositions supplémentaires établies dans la Rec. 18-10 de l’ICCAT.</w:t>
            </w:r>
          </w:p>
          <w:p w14:paraId="4924B328" w14:textId="77777777" w:rsidR="00DF358A" w:rsidRPr="004E13E9" w:rsidRDefault="00DF358A" w:rsidP="00BB4F69">
            <w:pPr>
              <w:contextualSpacing/>
              <w:jc w:val="both"/>
              <w:rPr>
                <w:rFonts w:eastAsia="MS Gothic" w:cs="Times New Roman"/>
                <w:sz w:val="18"/>
                <w:szCs w:val="18"/>
                <w:lang w:val="fr-FR" w:eastAsia="fr-FR" w:bidi="fr-FR"/>
              </w:rPr>
            </w:pPr>
          </w:p>
          <w:p w14:paraId="1FF9CF57"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sz w:val="18"/>
                <w:szCs w:val="18"/>
                <w:lang w:val="fr-FR" w:eastAsia="fr-FR" w:bidi="fr-FR"/>
              </w:rPr>
              <w:t>L</w:t>
            </w:r>
            <w:r w:rsidRPr="004E13E9">
              <w:rPr>
                <w:rFonts w:eastAsia="MS Gothic" w:cs="Times New Roman"/>
                <w:color w:val="000000"/>
                <w:sz w:val="18"/>
                <w:szCs w:val="18"/>
                <w:lang w:val="fr-FR" w:eastAsia="fr-FR" w:bidi="fr-FR"/>
              </w:rPr>
              <w:t xml:space="preserve">es messages VMS des navires de pêche battant leur pavillon sont transmis à la Commission européenne au moins toutes les heures pour les senneurs et toutes les deux heures pour les autres navires. </w:t>
            </w:r>
          </w:p>
          <w:p w14:paraId="4D93ECDC"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3EF28CDD" w14:textId="77777777" w:rsidR="00DF358A" w:rsidRPr="004E13E9" w:rsidRDefault="00DF358A" w:rsidP="00BB4F69">
            <w:pPr>
              <w:contextualSpacing/>
              <w:jc w:val="both"/>
              <w:rPr>
                <w:sz w:val="18"/>
                <w:szCs w:val="18"/>
                <w:lang w:val="fr-FR"/>
              </w:rPr>
            </w:pPr>
            <w:r w:rsidRPr="004E13E9">
              <w:rPr>
                <w:sz w:val="18"/>
                <w:szCs w:val="18"/>
                <w:lang w:val="fr-FR"/>
              </w:rPr>
              <w:t>Nonobstant ce qui précède, tous les navires remorqueurs utilisés pour transporter du thon rouge vivant doivent, quelle que soit leur longueur, installer et utiliser un VMS, conformément à la Rec. 18-10, et transmettre des messages au moins une fois par heure.</w:t>
            </w:r>
          </w:p>
          <w:p w14:paraId="7A12C50F" w14:textId="77777777" w:rsidR="00DF358A" w:rsidRPr="004E13E9" w:rsidRDefault="00DF358A" w:rsidP="00BB4F69">
            <w:pPr>
              <w:contextualSpacing/>
              <w:jc w:val="both"/>
              <w:rPr>
                <w:sz w:val="18"/>
                <w:szCs w:val="18"/>
                <w:lang w:val="fr-FR"/>
              </w:rPr>
            </w:pPr>
          </w:p>
          <w:p w14:paraId="3D1EDB4B"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Un système informatique spécifique est en place pour garantir la mise en œuvre de cette obligation au niveau de l'UE.</w:t>
            </w:r>
          </w:p>
          <w:p w14:paraId="63CF960C" w14:textId="77777777" w:rsidR="00DF358A" w:rsidRPr="004E13E9" w:rsidRDefault="00DF358A" w:rsidP="00BB4F69">
            <w:pPr>
              <w:contextualSpacing/>
              <w:jc w:val="both"/>
              <w:rPr>
                <w:rFonts w:eastAsia="MS Gothic" w:cs="Times New Roman"/>
                <w:sz w:val="18"/>
                <w:szCs w:val="18"/>
                <w:lang w:val="fr-FR" w:eastAsia="fr-FR" w:bidi="fr-FR"/>
              </w:rPr>
            </w:pPr>
          </w:p>
        </w:tc>
      </w:tr>
      <w:tr w:rsidR="00DF358A" w:rsidRPr="00C712A4" w14:paraId="052208BB" w14:textId="77777777" w:rsidTr="00BB4F69">
        <w:trPr>
          <w:jc w:val="center"/>
        </w:trPr>
        <w:tc>
          <w:tcPr>
            <w:tcW w:w="562" w:type="dxa"/>
          </w:tcPr>
          <w:p w14:paraId="2B09AD8C" w14:textId="77777777" w:rsidR="00DF358A" w:rsidRPr="004E13E9" w:rsidRDefault="00DF358A" w:rsidP="00BB4F69">
            <w:pPr>
              <w:contextualSpacing/>
              <w:jc w:val="both"/>
              <w:rPr>
                <w:rFonts w:eastAsia="MS Gothic" w:cs="Times New Roman"/>
                <w:b/>
                <w:sz w:val="18"/>
                <w:szCs w:val="18"/>
                <w:lang w:eastAsia="fr-FR" w:bidi="fr-FR"/>
              </w:rPr>
            </w:pPr>
            <w:r w:rsidRPr="004E13E9">
              <w:rPr>
                <w:rFonts w:eastAsia="MS Gothic" w:cs="Times New Roman"/>
                <w:b/>
                <w:sz w:val="18"/>
                <w:szCs w:val="18"/>
                <w:lang w:eastAsia="fr-FR" w:bidi="fr-FR"/>
              </w:rPr>
              <w:t>8</w:t>
            </w:r>
          </w:p>
        </w:tc>
        <w:tc>
          <w:tcPr>
            <w:tcW w:w="1701" w:type="dxa"/>
          </w:tcPr>
          <w:p w14:paraId="2D539EA4" w14:textId="77777777" w:rsidR="00DF358A" w:rsidRPr="004E13E9" w:rsidRDefault="00DF358A" w:rsidP="00BB4F69">
            <w:pPr>
              <w:contextualSpacing/>
              <w:rPr>
                <w:rFonts w:eastAsia="MS Gothic" w:cs="Times New Roman"/>
                <w:b/>
                <w:sz w:val="18"/>
                <w:szCs w:val="18"/>
                <w:lang w:val="fr-FR" w:eastAsia="fr-FR" w:bidi="fr-FR"/>
              </w:rPr>
            </w:pPr>
            <w:r w:rsidRPr="004E13E9">
              <w:rPr>
                <w:rFonts w:eastAsia="MS Gothic" w:cs="Times New Roman"/>
                <w:b/>
                <w:sz w:val="18"/>
                <w:szCs w:val="18"/>
                <w:lang w:val="fr-FR" w:eastAsia="fr-FR" w:bidi="fr-FR"/>
              </w:rPr>
              <w:t>Programme d'observateurs des CPC (paragraphes 95-100)</w:t>
            </w:r>
          </w:p>
        </w:tc>
        <w:tc>
          <w:tcPr>
            <w:tcW w:w="2494" w:type="dxa"/>
          </w:tcPr>
          <w:p w14:paraId="7BF9B7B1"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bCs/>
                <w:color w:val="000000"/>
                <w:sz w:val="18"/>
                <w:szCs w:val="18"/>
                <w:lang w:val="fr-FR" w:eastAsia="fr-FR" w:bidi="fr-FR"/>
              </w:rPr>
              <w:t>Les capitaines de tout navire de pêche détenteur d'une autorisation de pêche européenne pour les chalutiers pélagiques, palangriers, canneurs et madragues de thon rouge de l’Est ainsi que les capitaines de remorqueurs reçoivent des observateurs nationaux conformément aux dispositions du règlement (UE) 2023/2053.</w:t>
            </w:r>
          </w:p>
        </w:tc>
        <w:tc>
          <w:tcPr>
            <w:tcW w:w="2365" w:type="dxa"/>
          </w:tcPr>
          <w:p w14:paraId="3608F165"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 xml:space="preserve">Règlement (UE) 2023/2053 </w:t>
            </w:r>
          </w:p>
          <w:p w14:paraId="10217F58"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Section 5 « Programmes d’observateurs ».</w:t>
            </w:r>
          </w:p>
          <w:p w14:paraId="701F09AA"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p>
          <w:p w14:paraId="71C2AF86" w14:textId="77777777" w:rsidR="00DF358A" w:rsidRPr="004E13E9" w:rsidRDefault="00DF358A" w:rsidP="00BB4F69">
            <w:pPr>
              <w:contextualSpacing/>
              <w:jc w:val="both"/>
              <w:rPr>
                <w:rFonts w:eastAsia="MS Gothic" w:cs="Times New Roman"/>
                <w:sz w:val="18"/>
                <w:szCs w:val="18"/>
                <w:lang w:eastAsia="fr-FR" w:bidi="fr-FR"/>
              </w:rPr>
            </w:pPr>
            <w:r w:rsidRPr="004E13E9">
              <w:rPr>
                <w:rFonts w:eastAsia="MS Gothic" w:cs="Times New Roman"/>
                <w:bCs/>
                <w:color w:val="000000"/>
                <w:sz w:val="18"/>
                <w:szCs w:val="18"/>
                <w:lang w:eastAsia="fr-FR" w:bidi="fr-FR"/>
              </w:rPr>
              <w:t>Article 38 « </w:t>
            </w:r>
            <w:proofErr w:type="spellStart"/>
            <w:r w:rsidRPr="004E13E9">
              <w:rPr>
                <w:rFonts w:eastAsia="MS Gothic" w:cs="Times New Roman"/>
                <w:bCs/>
                <w:color w:val="000000"/>
                <w:sz w:val="18"/>
                <w:szCs w:val="18"/>
                <w:lang w:eastAsia="fr-FR" w:bidi="fr-FR"/>
              </w:rPr>
              <w:t>Programme</w:t>
            </w:r>
            <w:proofErr w:type="spellEnd"/>
            <w:r w:rsidRPr="004E13E9">
              <w:rPr>
                <w:rFonts w:eastAsia="MS Gothic" w:cs="Times New Roman"/>
                <w:bCs/>
                <w:color w:val="000000"/>
                <w:sz w:val="18"/>
                <w:szCs w:val="18"/>
                <w:lang w:eastAsia="fr-FR" w:bidi="fr-FR"/>
              </w:rPr>
              <w:t xml:space="preserve"> national </w:t>
            </w:r>
            <w:proofErr w:type="spellStart"/>
            <w:r w:rsidRPr="004E13E9">
              <w:rPr>
                <w:rFonts w:eastAsia="MS Gothic" w:cs="Times New Roman"/>
                <w:bCs/>
                <w:color w:val="000000"/>
                <w:sz w:val="18"/>
                <w:szCs w:val="18"/>
                <w:lang w:eastAsia="fr-FR" w:bidi="fr-FR"/>
              </w:rPr>
              <w:t>d'observateurs</w:t>
            </w:r>
            <w:proofErr w:type="spellEnd"/>
            <w:r w:rsidRPr="004E13E9">
              <w:rPr>
                <w:rFonts w:eastAsia="MS Gothic" w:cs="Times New Roman"/>
                <w:bCs/>
                <w:color w:val="000000"/>
                <w:sz w:val="18"/>
                <w:szCs w:val="18"/>
                <w:lang w:eastAsia="fr-FR" w:bidi="fr-FR"/>
              </w:rPr>
              <w:t> »</w:t>
            </w:r>
          </w:p>
        </w:tc>
        <w:tc>
          <w:tcPr>
            <w:tcW w:w="2524" w:type="dxa"/>
          </w:tcPr>
          <w:p w14:paraId="54D48FC1"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L'article 38 du règlement (UE) 2023/2053 "Programme d'observateurs nationaux" établit les niveaux minimaux de couverture des observateurs nationaux et décrit les tâches à exécuter par les observateurs nationaux.</w:t>
            </w:r>
          </w:p>
          <w:p w14:paraId="799BC47D"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67CDE665"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La couverture minimale des observateurs nationaux sur les navires autres que les senneurs est établie conformément au paragraphe 95 de la Rec. 25-04</w:t>
            </w:r>
            <w:r w:rsidRPr="004E13E9">
              <w:rPr>
                <w:rFonts w:eastAsia="MS Gothic" w:cs="Times New Roman"/>
                <w:bCs/>
                <w:color w:val="000000"/>
                <w:sz w:val="18"/>
                <w:szCs w:val="18"/>
                <w:lang w:val="fr-FR" w:eastAsia="fr-FR" w:bidi="fr-FR"/>
              </w:rPr>
              <w:t>.</w:t>
            </w:r>
          </w:p>
          <w:p w14:paraId="610C9B9D"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3BBAB798"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color w:val="000000"/>
                <w:sz w:val="18"/>
                <w:szCs w:val="18"/>
                <w:lang w:val="fr-FR" w:eastAsia="fr-FR" w:bidi="fr-FR"/>
              </w:rPr>
              <w:t xml:space="preserve">Les États membres de l’UE assurent aussi une présence temporelle et spatiale d’observateurs nationaux sur leurs navires et madragues </w:t>
            </w:r>
            <w:proofErr w:type="gramStart"/>
            <w:r w:rsidRPr="004E13E9">
              <w:rPr>
                <w:rFonts w:eastAsia="MS Gothic" w:cs="Times New Roman"/>
                <w:color w:val="000000"/>
                <w:sz w:val="18"/>
                <w:szCs w:val="18"/>
                <w:lang w:val="fr-FR" w:eastAsia="fr-FR" w:bidi="fr-FR"/>
              </w:rPr>
              <w:t>de façon à ce</w:t>
            </w:r>
            <w:proofErr w:type="gramEnd"/>
            <w:r w:rsidRPr="004E13E9">
              <w:rPr>
                <w:rFonts w:eastAsia="MS Gothic" w:cs="Times New Roman"/>
                <w:color w:val="000000"/>
                <w:sz w:val="18"/>
                <w:szCs w:val="18"/>
                <w:lang w:val="fr-FR" w:eastAsia="fr-FR" w:bidi="fr-FR"/>
              </w:rPr>
              <w:t xml:space="preserve"> que la Commission européenne reçoive les données et les informations adéquates et pertinentes sur la capture, l’effort, et d’autres aspects scientifiques et de gestion, en tenant compte des caractéristiques des flottilles et des pêcheries ; La mise en œuvre de ces dispositions est assurée par le cadre de collecte des données</w:t>
            </w:r>
            <w:r w:rsidRPr="004E13E9">
              <w:rPr>
                <w:rStyle w:val="FootnoteReference"/>
              </w:rPr>
              <w:footnoteReference w:id="13"/>
            </w:r>
            <w:r w:rsidRPr="004E13E9">
              <w:rPr>
                <w:rFonts w:eastAsia="MS Gothic" w:cs="Times New Roman"/>
                <w:color w:val="000000"/>
                <w:sz w:val="18"/>
                <w:szCs w:val="18"/>
                <w:lang w:val="fr-FR" w:eastAsia="fr-FR" w:bidi="fr-FR"/>
              </w:rPr>
              <w:t>.</w:t>
            </w:r>
          </w:p>
        </w:tc>
      </w:tr>
      <w:tr w:rsidR="00DF358A" w:rsidRPr="00C712A4" w14:paraId="74C27A04" w14:textId="77777777" w:rsidTr="00BB4F69">
        <w:trPr>
          <w:jc w:val="center"/>
        </w:trPr>
        <w:tc>
          <w:tcPr>
            <w:tcW w:w="562" w:type="dxa"/>
          </w:tcPr>
          <w:p w14:paraId="05B59E7E" w14:textId="77777777" w:rsidR="00DF358A" w:rsidRPr="004E13E9" w:rsidRDefault="00DF358A" w:rsidP="00BB4F69">
            <w:pPr>
              <w:contextualSpacing/>
              <w:jc w:val="both"/>
              <w:rPr>
                <w:rFonts w:eastAsia="MS Gothic" w:cs="Times New Roman"/>
                <w:b/>
                <w:sz w:val="18"/>
                <w:szCs w:val="18"/>
                <w:lang w:eastAsia="fr-FR" w:bidi="fr-FR"/>
              </w:rPr>
            </w:pPr>
            <w:r w:rsidRPr="004E13E9">
              <w:rPr>
                <w:rFonts w:eastAsia="MS Gothic" w:cs="Times New Roman"/>
                <w:b/>
                <w:sz w:val="18"/>
                <w:szCs w:val="18"/>
                <w:lang w:eastAsia="fr-FR" w:bidi="fr-FR"/>
              </w:rPr>
              <w:t>9</w:t>
            </w:r>
          </w:p>
        </w:tc>
        <w:tc>
          <w:tcPr>
            <w:tcW w:w="1701" w:type="dxa"/>
          </w:tcPr>
          <w:p w14:paraId="238DEFDD" w14:textId="77777777" w:rsidR="00DF358A" w:rsidRPr="004E13E9" w:rsidRDefault="00DF358A" w:rsidP="00BB4F69">
            <w:pPr>
              <w:contextualSpacing/>
              <w:jc w:val="both"/>
              <w:rPr>
                <w:rFonts w:eastAsia="MS Gothic" w:cs="Times New Roman"/>
                <w:b/>
                <w:sz w:val="18"/>
                <w:szCs w:val="18"/>
                <w:lang w:eastAsia="fr-FR" w:bidi="fr-FR"/>
              </w:rPr>
            </w:pPr>
            <w:proofErr w:type="spellStart"/>
            <w:r w:rsidRPr="004E13E9">
              <w:rPr>
                <w:b/>
                <w:sz w:val="18"/>
                <w:szCs w:val="18"/>
              </w:rPr>
              <w:t>Programme</w:t>
            </w:r>
            <w:proofErr w:type="spellEnd"/>
            <w:r w:rsidRPr="004E13E9">
              <w:rPr>
                <w:b/>
                <w:sz w:val="18"/>
                <w:szCs w:val="18"/>
              </w:rPr>
              <w:t xml:space="preserve"> </w:t>
            </w:r>
            <w:proofErr w:type="spellStart"/>
            <w:r w:rsidRPr="004E13E9">
              <w:rPr>
                <w:b/>
                <w:sz w:val="18"/>
                <w:szCs w:val="18"/>
              </w:rPr>
              <w:t>d'observateurs</w:t>
            </w:r>
            <w:proofErr w:type="spellEnd"/>
            <w:r w:rsidRPr="004E13E9">
              <w:rPr>
                <w:b/>
                <w:sz w:val="18"/>
                <w:szCs w:val="18"/>
              </w:rPr>
              <w:t xml:space="preserve"> </w:t>
            </w:r>
            <w:proofErr w:type="spellStart"/>
            <w:r w:rsidRPr="004E13E9">
              <w:rPr>
                <w:b/>
                <w:sz w:val="18"/>
                <w:szCs w:val="18"/>
              </w:rPr>
              <w:t>régionaux</w:t>
            </w:r>
            <w:proofErr w:type="spellEnd"/>
            <w:r w:rsidRPr="004E13E9">
              <w:rPr>
                <w:b/>
                <w:sz w:val="18"/>
                <w:szCs w:val="18"/>
              </w:rPr>
              <w:t xml:space="preserve"> (</w:t>
            </w:r>
            <w:proofErr w:type="spellStart"/>
            <w:r w:rsidRPr="004E13E9">
              <w:rPr>
                <w:b/>
                <w:sz w:val="18"/>
                <w:szCs w:val="18"/>
              </w:rPr>
              <w:t>paragraphes</w:t>
            </w:r>
            <w:proofErr w:type="spellEnd"/>
            <w:r w:rsidRPr="004E13E9">
              <w:rPr>
                <w:b/>
                <w:sz w:val="18"/>
                <w:szCs w:val="18"/>
              </w:rPr>
              <w:t xml:space="preserve"> 101-107)</w:t>
            </w:r>
          </w:p>
        </w:tc>
        <w:tc>
          <w:tcPr>
            <w:tcW w:w="2494" w:type="dxa"/>
          </w:tcPr>
          <w:p w14:paraId="1737AB95"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bCs/>
                <w:color w:val="000000"/>
                <w:sz w:val="18"/>
                <w:szCs w:val="18"/>
                <w:lang w:val="fr-FR" w:eastAsia="fr-FR" w:bidi="fr-FR"/>
              </w:rPr>
              <w:t xml:space="preserve">L'Union européenne assure une couverture de 100% de tous les senneurs et de toutes les opérations de mise en cage et de mise à mort. Comme cela a été le cas au cours des années antérieures, les réponses à tous les cas mis en évidence par les programmes régionaux d'observateurs seront dûment fournies au Secrétariat de l'ICCAT. </w:t>
            </w:r>
          </w:p>
        </w:tc>
        <w:tc>
          <w:tcPr>
            <w:tcW w:w="2365" w:type="dxa"/>
          </w:tcPr>
          <w:p w14:paraId="4DBE32BE"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Règlement (UE) 2023/2053, Article 39 et annexe VIII « Programme régional d'observateurs de l’ICCAT »</w:t>
            </w:r>
          </w:p>
          <w:p w14:paraId="14AD8508"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p>
          <w:p w14:paraId="5FD54DDC" w14:textId="77777777" w:rsidR="00DF358A" w:rsidRPr="004E13E9" w:rsidRDefault="00DF358A" w:rsidP="00BB4F69">
            <w:pPr>
              <w:contextualSpacing/>
              <w:jc w:val="both"/>
              <w:rPr>
                <w:rFonts w:eastAsia="MS Gothic" w:cs="Times New Roman"/>
                <w:sz w:val="18"/>
                <w:szCs w:val="18"/>
                <w:lang w:val="fr-FR" w:eastAsia="fr-FR" w:bidi="fr-FR"/>
              </w:rPr>
            </w:pPr>
          </w:p>
        </w:tc>
        <w:tc>
          <w:tcPr>
            <w:tcW w:w="2524" w:type="dxa"/>
          </w:tcPr>
          <w:p w14:paraId="1518D57B" w14:textId="77777777" w:rsidR="00DF358A" w:rsidRPr="004E13E9" w:rsidRDefault="00DF358A" w:rsidP="00BB4F69">
            <w:pPr>
              <w:contextualSpacing/>
              <w:rPr>
                <w:rFonts w:eastAsia="MS Gothic" w:cs="Times New Roman"/>
                <w:sz w:val="18"/>
                <w:szCs w:val="18"/>
                <w:lang w:val="fr-FR" w:eastAsia="fr-FR" w:bidi="fr-FR"/>
              </w:rPr>
            </w:pPr>
          </w:p>
        </w:tc>
      </w:tr>
      <w:tr w:rsidR="00DF358A" w:rsidRPr="00C712A4" w14:paraId="70A6B8D1" w14:textId="77777777" w:rsidTr="00BB4F69">
        <w:trPr>
          <w:jc w:val="center"/>
        </w:trPr>
        <w:tc>
          <w:tcPr>
            <w:tcW w:w="562" w:type="dxa"/>
          </w:tcPr>
          <w:p w14:paraId="63CFDD58" w14:textId="77777777" w:rsidR="00DF358A" w:rsidRPr="004E13E9" w:rsidRDefault="00DF358A" w:rsidP="00BB4F69">
            <w:pPr>
              <w:contextualSpacing/>
              <w:jc w:val="both"/>
              <w:rPr>
                <w:rFonts w:eastAsia="MS Gothic" w:cs="Times New Roman"/>
                <w:b/>
                <w:color w:val="000000"/>
                <w:sz w:val="16"/>
                <w:szCs w:val="16"/>
                <w:lang w:eastAsia="fr-FR" w:bidi="fr-FR"/>
              </w:rPr>
            </w:pPr>
            <w:r w:rsidRPr="004E13E9">
              <w:rPr>
                <w:b/>
                <w:bCs/>
                <w:color w:val="000000" w:themeColor="text1"/>
              </w:rPr>
              <w:t>10</w:t>
            </w:r>
          </w:p>
        </w:tc>
        <w:tc>
          <w:tcPr>
            <w:tcW w:w="1701" w:type="dxa"/>
          </w:tcPr>
          <w:p w14:paraId="386B5668" w14:textId="77777777" w:rsidR="00DF358A" w:rsidRPr="004E13E9" w:rsidRDefault="00DF358A" w:rsidP="00BB4F69">
            <w:pPr>
              <w:contextualSpacing/>
              <w:jc w:val="both"/>
              <w:rPr>
                <w:rFonts w:eastAsia="MS Gothic" w:cs="Times New Roman"/>
                <w:b/>
                <w:color w:val="000000"/>
                <w:sz w:val="18"/>
                <w:szCs w:val="18"/>
                <w:lang w:eastAsia="fr-FR" w:bidi="fr-FR"/>
              </w:rPr>
            </w:pPr>
            <w:proofErr w:type="spellStart"/>
            <w:r w:rsidRPr="004E13E9">
              <w:rPr>
                <w:b/>
                <w:bCs/>
                <w:color w:val="000000" w:themeColor="text1"/>
              </w:rPr>
              <w:t>Législation</w:t>
            </w:r>
            <w:proofErr w:type="spellEnd"/>
            <w:r w:rsidRPr="004E13E9">
              <w:rPr>
                <w:b/>
                <w:bCs/>
                <w:color w:val="000000" w:themeColor="text1"/>
              </w:rPr>
              <w:t xml:space="preserve"> </w:t>
            </w:r>
            <w:proofErr w:type="spellStart"/>
            <w:r w:rsidRPr="004E13E9">
              <w:rPr>
                <w:b/>
                <w:bCs/>
                <w:color w:val="000000" w:themeColor="text1"/>
              </w:rPr>
              <w:t>nationale</w:t>
            </w:r>
            <w:proofErr w:type="spellEnd"/>
          </w:p>
        </w:tc>
        <w:tc>
          <w:tcPr>
            <w:tcW w:w="2494" w:type="dxa"/>
          </w:tcPr>
          <w:p w14:paraId="08DE9AAB" w14:textId="77777777" w:rsidR="00DF358A" w:rsidRPr="004E13E9" w:rsidRDefault="00DF358A" w:rsidP="00BB4F69">
            <w:pPr>
              <w:tabs>
                <w:tab w:val="left" w:pos="360"/>
              </w:tabs>
              <w:jc w:val="both"/>
              <w:rPr>
                <w:sz w:val="18"/>
                <w:szCs w:val="18"/>
                <w:lang w:val="fr-FR"/>
              </w:rPr>
            </w:pPr>
            <w:r w:rsidRPr="004E13E9">
              <w:rPr>
                <w:rFonts w:eastAsia="MS Gothic" w:cs="Times New Roman"/>
                <w:bCs/>
                <w:color w:val="000000"/>
                <w:sz w:val="18"/>
                <w:szCs w:val="18"/>
                <w:lang w:val="fr-FR" w:eastAsia="fr-FR" w:bidi="fr-FR"/>
              </w:rPr>
              <w:t>Le Règlement (UE) nº2023/2053</w:t>
            </w:r>
            <w:r w:rsidRPr="004E13E9">
              <w:rPr>
                <w:rStyle w:val="FootnoteReference"/>
              </w:rPr>
              <w:footnoteReference w:id="14"/>
            </w:r>
            <w:r w:rsidRPr="004E13E9">
              <w:rPr>
                <w:rFonts w:eastAsia="MS Gothic" w:cs="Times New Roman"/>
                <w:bCs/>
                <w:color w:val="000000"/>
                <w:sz w:val="18"/>
                <w:szCs w:val="18"/>
                <w:lang w:val="fr-FR" w:eastAsia="fr-FR" w:bidi="fr-FR"/>
              </w:rPr>
              <w:t xml:space="preserve"> transposant la Rec. 22-08, amendé ensuite par le Règlement</w:t>
            </w:r>
            <w:r w:rsidRPr="004E13E9">
              <w:rPr>
                <w:sz w:val="18"/>
                <w:szCs w:val="18"/>
                <w:lang w:val="fr-FR"/>
              </w:rPr>
              <w:t xml:space="preserve"> (UE) 2024/897</w:t>
            </w:r>
            <w:r w:rsidRPr="004E13E9">
              <w:rPr>
                <w:rFonts w:eastAsia="MS Gothic"/>
                <w:sz w:val="18"/>
                <w:szCs w:val="18"/>
                <w:vertAlign w:val="superscript"/>
                <w:lang w:val="en-GB" w:eastAsia="fr-FR" w:bidi="fr-FR"/>
              </w:rPr>
              <w:footnoteReference w:id="15"/>
            </w:r>
            <w:r w:rsidRPr="004E13E9">
              <w:rPr>
                <w:sz w:val="18"/>
                <w:szCs w:val="18"/>
                <w:lang w:val="fr-FR"/>
              </w:rPr>
              <w:t>Règlement délégué (UE) 2024/1389 de la Commission.</w:t>
            </w:r>
          </w:p>
          <w:p w14:paraId="5EE03F27" w14:textId="77777777" w:rsidR="00DF358A" w:rsidRPr="004E13E9" w:rsidRDefault="00DF358A" w:rsidP="00BB4F69">
            <w:pPr>
              <w:tabs>
                <w:tab w:val="left" w:pos="360"/>
              </w:tabs>
              <w:jc w:val="both"/>
              <w:rPr>
                <w:sz w:val="18"/>
                <w:szCs w:val="18"/>
                <w:lang w:val="fr-FR"/>
              </w:rPr>
            </w:pPr>
          </w:p>
          <w:p w14:paraId="5BE39B60" w14:textId="77777777" w:rsidR="00DF358A" w:rsidRPr="004E13E9" w:rsidRDefault="00DF358A" w:rsidP="00BB4F69">
            <w:pPr>
              <w:tabs>
                <w:tab w:val="left" w:pos="360"/>
              </w:tabs>
              <w:jc w:val="both"/>
              <w:rPr>
                <w:rFonts w:eastAsia="MS Gothic"/>
                <w:sz w:val="18"/>
                <w:szCs w:val="18"/>
                <w:lang w:val="fr-FR"/>
              </w:rPr>
            </w:pPr>
            <w:r w:rsidRPr="004E13E9">
              <w:rPr>
                <w:rFonts w:eastAsia="MS Gothic" w:cs="Times New Roman"/>
                <w:bCs/>
                <w:color w:val="000000"/>
                <w:sz w:val="18"/>
                <w:szCs w:val="18"/>
                <w:lang w:val="fr-FR" w:eastAsia="fr-FR" w:bidi="fr-FR"/>
              </w:rPr>
              <w:t>Le Règlement</w:t>
            </w:r>
            <w:r w:rsidRPr="004E13E9">
              <w:rPr>
                <w:sz w:val="18"/>
                <w:szCs w:val="18"/>
                <w:lang w:val="fr-FR"/>
              </w:rPr>
              <w:t xml:space="preserve"> 2023/2833 mettant en œuvre les Rec. 18-13 et 21-19 sur le programme ICCAT de documentation sur le thon rouge, introduisant la mise en œuvre du programme de documentation des captures de thon rouge, Rec. 10-11 sur un programme électronique de documentation des captures de thon rouge (eBCD) et la Rec. 22-16 sur l'application du système eBCD.</w:t>
            </w:r>
          </w:p>
          <w:p w14:paraId="45CC9468" w14:textId="77777777" w:rsidR="00DF358A" w:rsidRPr="004E13E9" w:rsidRDefault="00DF358A" w:rsidP="00BB4F69">
            <w:pPr>
              <w:contextualSpacing/>
              <w:jc w:val="both"/>
              <w:rPr>
                <w:rFonts w:eastAsia="MS Gothic" w:cs="Times New Roman"/>
                <w:bCs/>
                <w:color w:val="000000"/>
                <w:sz w:val="18"/>
                <w:szCs w:val="18"/>
                <w:lang w:val="fr-FR" w:eastAsia="fr-FR" w:bidi="fr-FR"/>
              </w:rPr>
            </w:pPr>
          </w:p>
          <w:p w14:paraId="54662E26" w14:textId="77777777" w:rsidR="00DF358A" w:rsidRPr="004E13E9" w:rsidRDefault="00DF358A" w:rsidP="00BB4F69">
            <w:pPr>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Le Règlement 2019/833</w:t>
            </w:r>
            <w:r w:rsidRPr="004E13E9">
              <w:rPr>
                <w:color w:val="000000"/>
                <w:sz w:val="18"/>
                <w:szCs w:val="18"/>
                <w:vertAlign w:val="superscript"/>
              </w:rPr>
              <w:footnoteReference w:id="16"/>
            </w:r>
            <w:r w:rsidRPr="004E13E9">
              <w:rPr>
                <w:rFonts w:eastAsia="MS Gothic" w:cs="Times New Roman"/>
                <w:bCs/>
                <w:color w:val="000000"/>
                <w:sz w:val="18"/>
                <w:szCs w:val="18"/>
                <w:lang w:val="fr-FR" w:eastAsia="fr-FR" w:bidi="fr-FR"/>
              </w:rPr>
              <w:t xml:space="preserve"> transpose partiellement la Rec. 18-02 remplacée par la Rec. 19-04.</w:t>
            </w:r>
          </w:p>
          <w:p w14:paraId="6F0555DF" w14:textId="77777777" w:rsidR="00DF358A" w:rsidRPr="004E13E9" w:rsidRDefault="00DF358A" w:rsidP="00BB4F69">
            <w:pPr>
              <w:contextualSpacing/>
              <w:jc w:val="both"/>
              <w:rPr>
                <w:rFonts w:eastAsia="MS Gothic" w:cs="Times New Roman"/>
                <w:bCs/>
                <w:color w:val="000000"/>
                <w:sz w:val="18"/>
                <w:szCs w:val="18"/>
                <w:lang w:val="fr-FR" w:eastAsia="fr-FR" w:bidi="fr-FR"/>
              </w:rPr>
            </w:pPr>
          </w:p>
          <w:p w14:paraId="3ABC45B2" w14:textId="77777777" w:rsidR="00DF358A" w:rsidRPr="004E13E9" w:rsidRDefault="00DF358A" w:rsidP="00BB4F69">
            <w:pPr>
              <w:widowControl w:val="0"/>
              <w:jc w:val="both"/>
              <w:rPr>
                <w:rFonts w:eastAsia="MS Gothic" w:cs="Times New Roman"/>
                <w:sz w:val="18"/>
                <w:szCs w:val="18"/>
                <w:lang w:val="fr-FR" w:eastAsia="fr-FR" w:bidi="fr-FR"/>
              </w:rPr>
            </w:pPr>
            <w:r w:rsidRPr="004E13E9">
              <w:rPr>
                <w:rFonts w:eastAsia="MS Gothic" w:cs="Times New Roman"/>
                <w:sz w:val="18"/>
                <w:szCs w:val="18"/>
                <w:lang w:val="fr-FR" w:eastAsia="fr-FR" w:bidi="fr-FR"/>
              </w:rPr>
              <w:t>Règlement (UE) 2024/897</w:t>
            </w:r>
            <w:r w:rsidRPr="004E13E9">
              <w:rPr>
                <w:rStyle w:val="FootnoteReference"/>
                <w:sz w:val="19"/>
                <w:szCs w:val="19"/>
              </w:rPr>
              <w:footnoteReference w:id="17"/>
            </w:r>
            <w:r w:rsidRPr="004E13E9">
              <w:rPr>
                <w:rFonts w:eastAsia="MS Gothic" w:cs="Times New Roman"/>
                <w:sz w:val="18"/>
                <w:szCs w:val="18"/>
                <w:lang w:val="fr-FR" w:eastAsia="fr-FR" w:bidi="fr-FR"/>
              </w:rPr>
              <w:t xml:space="preserve">  modifiant le règlement (UE) 2017/2107 établissant des mesures de gestion, de conservation et de contrôle applicables dans la zone de la Convention de la Commission internationale pour la conservation des thonidés de l’Atlantique (ICCAT) et le Règlement (UE)</w:t>
            </w:r>
            <w:r w:rsidRPr="004E13E9">
              <w:rPr>
                <w:sz w:val="19"/>
                <w:szCs w:val="19"/>
                <w:lang w:val="fr-FR"/>
              </w:rPr>
              <w:t xml:space="preserve"> 2023/2053 établissant un plan de gestion pluriannuel pour le thon rouge de l'Atlantique Est et la Méditerranée.</w:t>
            </w:r>
          </w:p>
          <w:p w14:paraId="63CA96E7" w14:textId="77777777" w:rsidR="00DF358A" w:rsidRPr="004E13E9" w:rsidRDefault="00DF358A" w:rsidP="00BB4F69">
            <w:pPr>
              <w:widowControl w:val="0"/>
              <w:jc w:val="both"/>
              <w:rPr>
                <w:rFonts w:eastAsia="MS Gothic" w:cs="Times New Roman"/>
                <w:sz w:val="18"/>
                <w:szCs w:val="18"/>
                <w:lang w:val="fr-FR" w:eastAsia="fr-FR" w:bidi="fr-FR"/>
              </w:rPr>
            </w:pPr>
          </w:p>
          <w:p w14:paraId="6CEF4611" w14:textId="22599021" w:rsidR="00DF358A" w:rsidRPr="004E13E9" w:rsidRDefault="00DF358A" w:rsidP="00BB4F69">
            <w:pPr>
              <w:contextualSpacing/>
              <w:jc w:val="both"/>
              <w:rPr>
                <w:rFonts w:eastAsia="MS Gothic" w:cs="Times New Roman"/>
                <w:bCs/>
                <w:color w:val="000000"/>
                <w:sz w:val="18"/>
                <w:szCs w:val="18"/>
                <w:lang w:val="fr-FR" w:eastAsia="fr-FR" w:bidi="fr-FR"/>
              </w:rPr>
            </w:pPr>
            <w:r w:rsidRPr="004E13E9">
              <w:rPr>
                <w:rFonts w:eastAsia="MS Gothic" w:cs="Times New Roman"/>
                <w:bCs/>
                <w:color w:val="000000"/>
                <w:sz w:val="18"/>
                <w:szCs w:val="18"/>
                <w:lang w:val="fr-FR" w:eastAsia="fr-FR" w:bidi="fr-FR"/>
              </w:rPr>
              <w:t>Règlement (UE) n° 2026/249 du Conseil du 26 janvier 2026</w:t>
            </w:r>
            <w:r w:rsidRPr="004E13E9">
              <w:rPr>
                <w:rStyle w:val="FootnoteReference"/>
                <w:sz w:val="19"/>
              </w:rPr>
              <w:footnoteReference w:id="18"/>
            </w:r>
            <w:r w:rsidRPr="004E13E9">
              <w:rPr>
                <w:sz w:val="19"/>
                <w:lang w:val="fr-FR"/>
              </w:rPr>
              <w:t xml:space="preserve"> </w:t>
            </w:r>
            <w:r w:rsidRPr="004E13E9">
              <w:rPr>
                <w:rFonts w:eastAsia="MS Gothic" w:cs="Times New Roman"/>
                <w:bCs/>
                <w:color w:val="000000"/>
                <w:sz w:val="18"/>
                <w:szCs w:val="18"/>
                <w:lang w:val="fr-FR" w:eastAsia="fr-FR" w:bidi="fr-FR"/>
              </w:rPr>
              <w:t>fixant pour 2025-2026 les possibilités de pêche pour le thon rouge, conformément à la Rec. 25-04, paragraphes 4 et 6.</w:t>
            </w:r>
          </w:p>
        </w:tc>
        <w:tc>
          <w:tcPr>
            <w:tcW w:w="2365" w:type="dxa"/>
          </w:tcPr>
          <w:p w14:paraId="325FF2D0" w14:textId="77777777" w:rsidR="00DF358A" w:rsidRPr="004E13E9" w:rsidRDefault="00DF358A" w:rsidP="00BB4F69">
            <w:pPr>
              <w:autoSpaceDE w:val="0"/>
              <w:autoSpaceDN w:val="0"/>
              <w:adjustRightInd w:val="0"/>
              <w:contextualSpacing/>
              <w:jc w:val="both"/>
              <w:rPr>
                <w:rFonts w:eastAsia="MS Gothic" w:cs="Times New Roman"/>
                <w:bCs/>
                <w:color w:val="000000"/>
                <w:sz w:val="18"/>
                <w:szCs w:val="18"/>
                <w:lang w:val="fr-FR" w:eastAsia="fr-FR" w:bidi="fr-FR"/>
              </w:rPr>
            </w:pPr>
          </w:p>
        </w:tc>
        <w:tc>
          <w:tcPr>
            <w:tcW w:w="2524" w:type="dxa"/>
          </w:tcPr>
          <w:p w14:paraId="25F2DA20" w14:textId="77777777" w:rsidR="00DF358A" w:rsidRPr="004E13E9" w:rsidRDefault="00DF358A" w:rsidP="00BB4F69">
            <w:pPr>
              <w:contextualSpacing/>
              <w:rPr>
                <w:rFonts w:eastAsia="MS Gothic" w:cs="Times New Roman"/>
                <w:sz w:val="18"/>
                <w:szCs w:val="18"/>
                <w:lang w:val="fr-FR" w:eastAsia="fr-FR" w:bidi="fr-FR"/>
              </w:rPr>
            </w:pPr>
          </w:p>
        </w:tc>
      </w:tr>
      <w:tr w:rsidR="00DF358A" w:rsidRPr="00C712A4" w14:paraId="627B9B10" w14:textId="77777777" w:rsidTr="00BB4F69">
        <w:trPr>
          <w:jc w:val="center"/>
        </w:trPr>
        <w:tc>
          <w:tcPr>
            <w:tcW w:w="562" w:type="dxa"/>
            <w:vMerge w:val="restart"/>
          </w:tcPr>
          <w:p w14:paraId="470D16CC" w14:textId="77777777" w:rsidR="00DF358A" w:rsidRPr="004E13E9" w:rsidRDefault="00DF358A" w:rsidP="00BB4F69">
            <w:pPr>
              <w:ind w:left="-39"/>
              <w:contextualSpacing/>
              <w:jc w:val="both"/>
              <w:rPr>
                <w:rFonts w:eastAsia="MS Gothic" w:cs="Times New Roman"/>
                <w:b/>
                <w:sz w:val="18"/>
                <w:szCs w:val="18"/>
                <w:lang w:eastAsia="fr-FR" w:bidi="fr-FR"/>
              </w:rPr>
            </w:pPr>
            <w:r w:rsidRPr="004E13E9">
              <w:rPr>
                <w:rFonts w:eastAsia="MS Gothic" w:cs="Times New Roman"/>
                <w:b/>
                <w:sz w:val="18"/>
                <w:szCs w:val="18"/>
                <w:lang w:eastAsia="fr-FR" w:bidi="fr-FR"/>
              </w:rPr>
              <w:t>11</w:t>
            </w:r>
          </w:p>
        </w:tc>
        <w:tc>
          <w:tcPr>
            <w:tcW w:w="1701" w:type="dxa"/>
          </w:tcPr>
          <w:p w14:paraId="5C30671A" w14:textId="77777777" w:rsidR="00DF358A" w:rsidRPr="004E13E9" w:rsidRDefault="00DF358A" w:rsidP="00BB4F69">
            <w:pPr>
              <w:contextualSpacing/>
              <w:rPr>
                <w:rFonts w:eastAsia="MS Gothic" w:cs="Times New Roman"/>
                <w:i/>
                <w:sz w:val="18"/>
                <w:szCs w:val="18"/>
                <w:lang w:eastAsia="fr-FR" w:bidi="fr-FR"/>
              </w:rPr>
            </w:pPr>
            <w:proofErr w:type="spellStart"/>
            <w:r w:rsidRPr="004E13E9">
              <w:rPr>
                <w:rFonts w:eastAsia="MS Gothic" w:cs="Times New Roman"/>
                <w:b/>
                <w:sz w:val="18"/>
                <w:szCs w:val="18"/>
                <w:lang w:eastAsia="fr-FR" w:bidi="fr-FR"/>
              </w:rPr>
              <w:t>Programme</w:t>
            </w:r>
            <w:proofErr w:type="spellEnd"/>
            <w:r w:rsidRPr="004E13E9">
              <w:rPr>
                <w:rFonts w:eastAsia="MS Gothic" w:cs="Times New Roman"/>
                <w:b/>
                <w:sz w:val="18"/>
                <w:szCs w:val="18"/>
                <w:lang w:eastAsia="fr-FR" w:bidi="fr-FR"/>
              </w:rPr>
              <w:t xml:space="preserve"> de </w:t>
            </w:r>
            <w:proofErr w:type="spellStart"/>
            <w:r w:rsidRPr="004E13E9">
              <w:rPr>
                <w:rFonts w:eastAsia="MS Gothic" w:cs="Times New Roman"/>
                <w:b/>
                <w:sz w:val="18"/>
                <w:szCs w:val="18"/>
                <w:lang w:eastAsia="fr-FR" w:bidi="fr-FR"/>
              </w:rPr>
              <w:t>marquage</w:t>
            </w:r>
            <w:proofErr w:type="spellEnd"/>
            <w:r w:rsidRPr="004E13E9">
              <w:rPr>
                <w:rFonts w:eastAsia="MS Gothic" w:cs="Times New Roman"/>
                <w:b/>
                <w:sz w:val="18"/>
                <w:szCs w:val="18"/>
                <w:lang w:eastAsia="fr-FR" w:bidi="fr-FR"/>
              </w:rPr>
              <w:t xml:space="preserve"> </w:t>
            </w:r>
          </w:p>
        </w:tc>
        <w:tc>
          <w:tcPr>
            <w:tcW w:w="2494" w:type="dxa"/>
          </w:tcPr>
          <w:p w14:paraId="47F025DD"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Conformément aux dispositions de l’ICCAT, l’utilisation de marques ne devra être autorisée que sur demande et lorsque les quantités de captures cumulées seront conformes aux quotas ou limites de capture des États membres de l’UE pour chaque année de gestion, y compris, selon le cas, aux quotas individuels alloués aux navires de capture ou aux madragues. Un résumé de tout programme de marquage mis en œuvre par un État membre de l’UE est envoyé à l’ICCAT.</w:t>
            </w:r>
          </w:p>
        </w:tc>
        <w:tc>
          <w:tcPr>
            <w:tcW w:w="2365" w:type="dxa"/>
          </w:tcPr>
          <w:p w14:paraId="62E96BD2" w14:textId="77777777" w:rsidR="00DF358A" w:rsidRPr="004E13E9" w:rsidRDefault="00DF358A" w:rsidP="00BB4F69">
            <w:pPr>
              <w:contextualSpacing/>
              <w:rPr>
                <w:rFonts w:eastAsia="MS Gothic" w:cs="Times New Roman"/>
                <w:sz w:val="18"/>
                <w:szCs w:val="18"/>
                <w:lang w:eastAsia="fr-FR" w:bidi="fr-FR"/>
              </w:rPr>
            </w:pPr>
            <w:r w:rsidRPr="004E13E9">
              <w:rPr>
                <w:rFonts w:eastAsia="MS Gothic" w:cs="Times New Roman"/>
                <w:bCs/>
                <w:color w:val="000000"/>
                <w:sz w:val="18"/>
                <w:szCs w:val="18"/>
                <w:lang w:eastAsia="fr-FR" w:bidi="fr-FR"/>
              </w:rPr>
              <w:t xml:space="preserve">Article 6 du </w:t>
            </w:r>
            <w:proofErr w:type="spellStart"/>
            <w:r w:rsidRPr="004E13E9">
              <w:rPr>
                <w:rFonts w:eastAsia="MS Gothic" w:cs="Times New Roman"/>
                <w:bCs/>
                <w:color w:val="000000"/>
                <w:sz w:val="18"/>
                <w:szCs w:val="18"/>
                <w:lang w:eastAsia="fr-FR" w:bidi="fr-FR"/>
              </w:rPr>
              <w:t>règlement</w:t>
            </w:r>
            <w:proofErr w:type="spellEnd"/>
            <w:r w:rsidRPr="004E13E9">
              <w:rPr>
                <w:rFonts w:eastAsia="MS Gothic" w:cs="Times New Roman"/>
                <w:bCs/>
                <w:color w:val="000000"/>
                <w:sz w:val="18"/>
                <w:szCs w:val="18"/>
                <w:lang w:eastAsia="fr-FR" w:bidi="fr-FR"/>
              </w:rPr>
              <w:t xml:space="preserve"> (UE) 2023/2833.</w:t>
            </w:r>
          </w:p>
        </w:tc>
        <w:tc>
          <w:tcPr>
            <w:tcW w:w="2524" w:type="dxa"/>
          </w:tcPr>
          <w:p w14:paraId="2FDA3DA4"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color w:val="000000"/>
                <w:sz w:val="18"/>
                <w:szCs w:val="18"/>
                <w:lang w:val="fr-FR" w:eastAsia="fr-FR" w:bidi="fr-FR"/>
              </w:rPr>
              <w:t>L'UE respecte également les dispositions supplémentaires établies au niveau de l'ICCAT par le paragraphe 5d de la Rec. 22-16 de l'ICCAT.</w:t>
            </w:r>
          </w:p>
        </w:tc>
      </w:tr>
      <w:tr w:rsidR="00DF358A" w:rsidRPr="00C712A4" w14:paraId="6BF6C186" w14:textId="77777777" w:rsidTr="00BB4F69">
        <w:trPr>
          <w:jc w:val="center"/>
        </w:trPr>
        <w:tc>
          <w:tcPr>
            <w:tcW w:w="562" w:type="dxa"/>
            <w:vMerge/>
          </w:tcPr>
          <w:p w14:paraId="3AF89086" w14:textId="77777777" w:rsidR="00DF358A" w:rsidRPr="004E13E9" w:rsidRDefault="00DF358A" w:rsidP="00BB4F69">
            <w:pPr>
              <w:contextualSpacing/>
              <w:jc w:val="both"/>
              <w:rPr>
                <w:rFonts w:eastAsia="MS Gothic" w:cs="Times New Roman"/>
                <w:i/>
                <w:sz w:val="18"/>
                <w:szCs w:val="18"/>
                <w:lang w:val="fr-FR" w:eastAsia="fr-FR" w:bidi="fr-FR"/>
              </w:rPr>
            </w:pPr>
          </w:p>
        </w:tc>
        <w:tc>
          <w:tcPr>
            <w:tcW w:w="1701" w:type="dxa"/>
          </w:tcPr>
          <w:p w14:paraId="6CCD4B1B" w14:textId="77777777" w:rsidR="00DF358A" w:rsidRPr="004E13E9" w:rsidRDefault="00DF358A" w:rsidP="00BB4F69">
            <w:pPr>
              <w:contextualSpacing/>
              <w:rPr>
                <w:rFonts w:eastAsia="MS Gothic" w:cs="Times New Roman"/>
                <w:i/>
                <w:sz w:val="18"/>
                <w:szCs w:val="18"/>
                <w:lang w:eastAsia="fr-FR" w:bidi="fr-FR"/>
              </w:rPr>
            </w:pPr>
            <w:proofErr w:type="spellStart"/>
            <w:r w:rsidRPr="004E13E9">
              <w:rPr>
                <w:rFonts w:eastAsia="MS Gothic" w:cs="Times New Roman"/>
                <w:b/>
                <w:sz w:val="18"/>
                <w:szCs w:val="18"/>
                <w:lang w:eastAsia="fr-FR" w:bidi="fr-FR"/>
              </w:rPr>
              <w:t>Programme</w:t>
            </w:r>
            <w:proofErr w:type="spellEnd"/>
            <w:r w:rsidRPr="004E13E9">
              <w:rPr>
                <w:rFonts w:eastAsia="MS Gothic" w:cs="Times New Roman"/>
                <w:b/>
                <w:sz w:val="18"/>
                <w:szCs w:val="18"/>
                <w:lang w:eastAsia="fr-FR" w:bidi="fr-FR"/>
              </w:rPr>
              <w:t xml:space="preserve"> de </w:t>
            </w:r>
            <w:proofErr w:type="spellStart"/>
            <w:r w:rsidRPr="004E13E9">
              <w:rPr>
                <w:rFonts w:eastAsia="MS Gothic" w:cs="Times New Roman"/>
                <w:b/>
                <w:sz w:val="18"/>
                <w:szCs w:val="18"/>
                <w:lang w:eastAsia="fr-FR" w:bidi="fr-FR"/>
              </w:rPr>
              <w:t>marquage</w:t>
            </w:r>
            <w:proofErr w:type="spellEnd"/>
            <w:r w:rsidRPr="004E13E9">
              <w:rPr>
                <w:rFonts w:eastAsia="MS Gothic" w:cs="Times New Roman"/>
                <w:b/>
                <w:sz w:val="18"/>
                <w:szCs w:val="18"/>
                <w:lang w:eastAsia="fr-FR" w:bidi="fr-FR"/>
              </w:rPr>
              <w:t xml:space="preserve"> (</w:t>
            </w:r>
            <w:proofErr w:type="spellStart"/>
            <w:r w:rsidRPr="004E13E9">
              <w:rPr>
                <w:rFonts w:eastAsia="MS Gothic" w:cs="Times New Roman"/>
                <w:b/>
                <w:sz w:val="18"/>
                <w:szCs w:val="18"/>
                <w:lang w:eastAsia="fr-FR" w:bidi="fr-FR"/>
              </w:rPr>
              <w:t>paragraphe</w:t>
            </w:r>
            <w:proofErr w:type="spellEnd"/>
            <w:r w:rsidRPr="004E13E9">
              <w:rPr>
                <w:rFonts w:eastAsia="MS Gothic" w:cs="Times New Roman"/>
                <w:b/>
                <w:sz w:val="18"/>
                <w:szCs w:val="18"/>
                <w:lang w:eastAsia="fr-FR" w:bidi="fr-FR"/>
              </w:rPr>
              <w:t xml:space="preserve"> 44)</w:t>
            </w:r>
          </w:p>
        </w:tc>
        <w:tc>
          <w:tcPr>
            <w:tcW w:w="2494" w:type="dxa"/>
          </w:tcPr>
          <w:p w14:paraId="1AC73044"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sz w:val="18"/>
                <w:szCs w:val="18"/>
                <w:lang w:val="fr-FR" w:eastAsia="fr-FR" w:bidi="fr-FR"/>
              </w:rPr>
              <w:t>L'UE mettra en œuvre deux programmes de marquage, dans le cadre duquel les navires commerciaux/récréatifs mèneront des activités de capture et remise à l'eau dans le cadre de projets scientifiques d'instituts marins intégrés. L'activité devrait se dérouler du 1</w:t>
            </w:r>
            <w:r w:rsidRPr="004E13E9">
              <w:rPr>
                <w:rFonts w:eastAsia="MS Gothic" w:cs="Times New Roman"/>
                <w:sz w:val="18"/>
                <w:szCs w:val="18"/>
                <w:vertAlign w:val="superscript"/>
                <w:lang w:val="fr-FR" w:eastAsia="fr-FR" w:bidi="fr-FR"/>
              </w:rPr>
              <w:t>er</w:t>
            </w:r>
            <w:r w:rsidRPr="004E13E9">
              <w:rPr>
                <w:rFonts w:eastAsia="MS Gothic" w:cs="Times New Roman"/>
                <w:sz w:val="18"/>
                <w:szCs w:val="18"/>
                <w:lang w:val="fr-FR" w:eastAsia="fr-FR" w:bidi="fr-FR"/>
              </w:rPr>
              <w:t xml:space="preserve"> juillet à la mi-novembre</w:t>
            </w:r>
            <w:r w:rsidRPr="004E13E9">
              <w:rPr>
                <w:rFonts w:eastAsia="MS Gothic" w:cs="Times New Roman"/>
                <w:sz w:val="18"/>
                <w:szCs w:val="18"/>
                <w:vertAlign w:val="superscript"/>
                <w:lang w:val="fr-FR" w:eastAsia="fr-FR" w:bidi="fr-FR"/>
              </w:rPr>
              <w:t xml:space="preserve"> </w:t>
            </w:r>
            <w:r w:rsidRPr="004E13E9">
              <w:rPr>
                <w:rFonts w:eastAsia="MS Gothic" w:cs="Times New Roman"/>
                <w:sz w:val="18"/>
                <w:szCs w:val="18"/>
                <w:lang w:val="fr-FR" w:eastAsia="fr-FR" w:bidi="fr-FR"/>
              </w:rPr>
              <w:t>dans les eaux autour de l'Irlande, le Skagerrak, le Kattegat et le Sund.</w:t>
            </w:r>
          </w:p>
          <w:p w14:paraId="66935214" w14:textId="77777777" w:rsidR="00DF358A" w:rsidRPr="004E13E9" w:rsidRDefault="00DF358A" w:rsidP="00BB4F69">
            <w:pPr>
              <w:contextualSpacing/>
              <w:jc w:val="both"/>
              <w:rPr>
                <w:rFonts w:eastAsia="MS Gothic" w:cs="Times New Roman"/>
                <w:sz w:val="18"/>
                <w:szCs w:val="18"/>
                <w:lang w:val="fr-FR" w:eastAsia="fr-FR" w:bidi="fr-FR"/>
              </w:rPr>
            </w:pPr>
          </w:p>
          <w:p w14:paraId="3CC0BE01"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b/>
                <w:bCs/>
                <w:sz w:val="18"/>
                <w:szCs w:val="18"/>
                <w:lang w:val="fr-FR" w:eastAsia="fr-FR" w:bidi="fr-FR"/>
              </w:rPr>
              <w:t>Danemark</w:t>
            </w:r>
            <w:r w:rsidRPr="004E13E9">
              <w:rPr>
                <w:rFonts w:eastAsia="MS Gothic" w:cs="Times New Roman"/>
                <w:sz w:val="18"/>
                <w:szCs w:val="18"/>
                <w:lang w:val="fr-FR" w:eastAsia="fr-FR" w:bidi="fr-FR"/>
              </w:rPr>
              <w:t> :</w:t>
            </w:r>
          </w:p>
          <w:p w14:paraId="4946060D" w14:textId="77777777" w:rsidR="00DF358A" w:rsidRPr="004E13E9" w:rsidRDefault="00DF358A" w:rsidP="00BB4F69">
            <w:pPr>
              <w:contextualSpacing/>
              <w:jc w:val="both"/>
              <w:rPr>
                <w:rFonts w:eastAsia="MS Gothic" w:cs="Times New Roman"/>
                <w:sz w:val="18"/>
                <w:szCs w:val="18"/>
                <w:lang w:val="fr-FR" w:eastAsia="fr-FR" w:bidi="fr-FR"/>
              </w:rPr>
            </w:pPr>
          </w:p>
          <w:p w14:paraId="1E630AD3"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sz w:val="18"/>
                <w:szCs w:val="18"/>
                <w:lang w:val="fr-FR" w:eastAsia="fr-FR" w:bidi="fr-FR"/>
              </w:rPr>
              <w:t xml:space="preserve">La pêcherie danoise de capture et remise à l'eau sera organisée dans le cadre d'un projet scientifique mené par l'institut de recherche danois, DTU Aqua. Le projet s'inscrit dans la continuité de projets similaires menés au cours des années 2017 à 2025. </w:t>
            </w:r>
          </w:p>
          <w:p w14:paraId="58A2FBEB" w14:textId="77777777" w:rsidR="00DF358A" w:rsidRPr="004E13E9" w:rsidRDefault="00DF358A" w:rsidP="00BB4F69">
            <w:pPr>
              <w:contextualSpacing/>
              <w:jc w:val="both"/>
              <w:rPr>
                <w:rFonts w:eastAsia="MS Gothic" w:cs="Times New Roman"/>
                <w:sz w:val="18"/>
                <w:szCs w:val="18"/>
                <w:lang w:val="fr-FR" w:eastAsia="fr-FR" w:bidi="fr-FR"/>
              </w:rPr>
            </w:pPr>
          </w:p>
          <w:p w14:paraId="7FA75A35"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sz w:val="18"/>
                <w:szCs w:val="18"/>
                <w:lang w:val="fr-FR" w:eastAsia="fr-FR" w:bidi="fr-FR"/>
              </w:rPr>
              <w:t xml:space="preserve">Le projet fait partie du programme de recherche de DTU Aqua sur le thon rouge. </w:t>
            </w:r>
          </w:p>
          <w:p w14:paraId="523C9C6A" w14:textId="77777777" w:rsidR="00DF358A" w:rsidRPr="004E13E9" w:rsidRDefault="00DF358A" w:rsidP="00BB4F69">
            <w:pPr>
              <w:contextualSpacing/>
              <w:jc w:val="both"/>
              <w:rPr>
                <w:rFonts w:eastAsia="MS Gothic" w:cs="Times New Roman"/>
                <w:sz w:val="18"/>
                <w:szCs w:val="18"/>
                <w:lang w:val="fr-FR" w:eastAsia="fr-FR" w:bidi="fr-FR"/>
              </w:rPr>
            </w:pPr>
          </w:p>
          <w:p w14:paraId="7A495D67"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sz w:val="18"/>
                <w:szCs w:val="18"/>
                <w:lang w:val="fr-FR" w:eastAsia="fr-FR" w:bidi="fr-FR"/>
              </w:rPr>
              <w:t xml:space="preserve">Environ 150 bateaux sportifs devraient participer aux activités de pêche pendant 30 jours d’août à octobre 2026 dans le Skagerrak, le Kattegat et le Sund. </w:t>
            </w:r>
          </w:p>
          <w:p w14:paraId="6B9142E2" w14:textId="77777777" w:rsidR="00DF358A" w:rsidRPr="004E13E9" w:rsidRDefault="00DF358A" w:rsidP="00BB4F69">
            <w:pPr>
              <w:contextualSpacing/>
              <w:jc w:val="both"/>
              <w:rPr>
                <w:rFonts w:eastAsia="MS Gothic" w:cs="Times New Roman"/>
                <w:sz w:val="18"/>
                <w:szCs w:val="18"/>
                <w:lang w:val="fr-FR" w:eastAsia="fr-FR" w:bidi="fr-FR"/>
              </w:rPr>
            </w:pPr>
          </w:p>
          <w:p w14:paraId="3EBFCBB7"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sz w:val="18"/>
                <w:szCs w:val="18"/>
                <w:lang w:val="fr-FR" w:eastAsia="fr-FR" w:bidi="fr-FR"/>
              </w:rPr>
              <w:t>Si le mauvais temps prévaut pendant la période de quatre semaines, les périodes de pêche seront prolongées d'une durée proportionnelle.</w:t>
            </w:r>
          </w:p>
          <w:p w14:paraId="5EF70FCF" w14:textId="77777777" w:rsidR="00DF358A" w:rsidRPr="004E13E9" w:rsidRDefault="00DF358A" w:rsidP="00BB4F69">
            <w:pPr>
              <w:contextualSpacing/>
              <w:jc w:val="both"/>
              <w:rPr>
                <w:rFonts w:eastAsia="MS Gothic" w:cs="Times New Roman"/>
                <w:sz w:val="18"/>
                <w:szCs w:val="18"/>
                <w:lang w:val="fr-FR" w:eastAsia="fr-FR" w:bidi="fr-FR"/>
              </w:rPr>
            </w:pPr>
          </w:p>
          <w:p w14:paraId="47265A5B" w14:textId="77777777" w:rsidR="00DF358A" w:rsidRPr="004E13E9" w:rsidRDefault="00DF358A" w:rsidP="00BB4F69">
            <w:pPr>
              <w:contextualSpacing/>
              <w:jc w:val="both"/>
              <w:rPr>
                <w:rFonts w:eastAsia="MS Gothic" w:cs="Times New Roman"/>
                <w:b/>
                <w:bCs/>
                <w:sz w:val="18"/>
                <w:szCs w:val="18"/>
                <w:lang w:val="fr-FR" w:eastAsia="fr-FR" w:bidi="fr-FR"/>
              </w:rPr>
            </w:pPr>
            <w:r w:rsidRPr="004E13E9">
              <w:rPr>
                <w:rFonts w:eastAsia="MS Gothic" w:cs="Times New Roman"/>
                <w:b/>
                <w:bCs/>
                <w:sz w:val="18"/>
                <w:szCs w:val="18"/>
                <w:lang w:val="fr-FR" w:eastAsia="fr-FR" w:bidi="fr-FR"/>
              </w:rPr>
              <w:t>Irlande :</w:t>
            </w:r>
          </w:p>
          <w:p w14:paraId="25652CF4" w14:textId="77777777" w:rsidR="00DF358A" w:rsidRPr="004E13E9" w:rsidRDefault="00DF358A" w:rsidP="00BB4F69">
            <w:pPr>
              <w:contextualSpacing/>
              <w:jc w:val="both"/>
              <w:rPr>
                <w:rFonts w:eastAsia="MS Gothic" w:cs="Times New Roman"/>
                <w:b/>
                <w:bCs/>
                <w:sz w:val="18"/>
                <w:szCs w:val="18"/>
                <w:lang w:val="fr-FR" w:eastAsia="fr-FR" w:bidi="fr-FR"/>
              </w:rPr>
            </w:pPr>
          </w:p>
          <w:p w14:paraId="357A4297"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sz w:val="18"/>
                <w:szCs w:val="18"/>
                <w:lang w:val="fr-FR" w:eastAsia="fr-FR" w:bidi="fr-FR"/>
              </w:rPr>
              <w:t>Tuna Chart IE – Capture, marquage avec remise à l'eau</w:t>
            </w:r>
          </w:p>
          <w:p w14:paraId="2E596C4E" w14:textId="77777777" w:rsidR="00DF358A" w:rsidRPr="004E13E9" w:rsidRDefault="00DF358A" w:rsidP="00BB4F69">
            <w:pPr>
              <w:contextualSpacing/>
              <w:jc w:val="both"/>
              <w:rPr>
                <w:rFonts w:eastAsia="MS Gothic" w:cs="Times New Roman"/>
                <w:sz w:val="18"/>
                <w:szCs w:val="18"/>
                <w:lang w:val="fr-FR" w:eastAsia="fr-FR" w:bidi="fr-FR"/>
              </w:rPr>
            </w:pPr>
          </w:p>
          <w:p w14:paraId="379CB0D2"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sz w:val="18"/>
                <w:szCs w:val="18"/>
                <w:lang w:val="fr-FR" w:eastAsia="fr-FR" w:bidi="fr-FR"/>
              </w:rPr>
              <w:t>Nombre de navires : 25 au maximum à autoriser</w:t>
            </w:r>
          </w:p>
          <w:p w14:paraId="113842E1" w14:textId="77777777" w:rsidR="00DF358A" w:rsidRPr="004E13E9" w:rsidRDefault="00DF358A" w:rsidP="00BB4F69">
            <w:pPr>
              <w:keepNext/>
              <w:keepLines/>
              <w:contextualSpacing/>
              <w:jc w:val="both"/>
              <w:outlineLvl w:val="0"/>
              <w:rPr>
                <w:rFonts w:eastAsia="MS Gothic" w:cs="Times New Roman"/>
                <w:sz w:val="18"/>
                <w:szCs w:val="18"/>
                <w:lang w:val="fr-FR" w:eastAsia="fr-FR" w:bidi="fr-FR"/>
              </w:rPr>
            </w:pPr>
          </w:p>
          <w:p w14:paraId="366A7C5E" w14:textId="77777777" w:rsidR="00DF358A" w:rsidRPr="004E13E9" w:rsidRDefault="00DF358A" w:rsidP="00BB4F69">
            <w:pPr>
              <w:keepNext/>
              <w:keepLines/>
              <w:contextualSpacing/>
              <w:jc w:val="both"/>
              <w:outlineLvl w:val="0"/>
              <w:rPr>
                <w:rFonts w:eastAsia="MS Gothic" w:cs="Times New Roman"/>
                <w:sz w:val="18"/>
                <w:szCs w:val="18"/>
                <w:lang w:val="fr-FR" w:eastAsia="fr-FR" w:bidi="fr-FR"/>
              </w:rPr>
            </w:pPr>
            <w:r w:rsidRPr="004E13E9">
              <w:rPr>
                <w:rFonts w:eastAsia="MS Gothic" w:cs="Times New Roman"/>
                <w:sz w:val="18"/>
                <w:szCs w:val="18"/>
                <w:lang w:val="fr-FR" w:eastAsia="fr-FR" w:bidi="fr-FR"/>
              </w:rPr>
              <w:t>Les activités de la saison de pêche devraient se dérouler du 1</w:t>
            </w:r>
            <w:r w:rsidRPr="004E13E9">
              <w:rPr>
                <w:rFonts w:eastAsia="MS Gothic" w:cs="Times New Roman"/>
                <w:sz w:val="18"/>
                <w:szCs w:val="18"/>
                <w:vertAlign w:val="superscript"/>
                <w:lang w:val="fr-FR" w:eastAsia="fr-FR" w:bidi="fr-FR"/>
              </w:rPr>
              <w:t>er</w:t>
            </w:r>
            <w:r w:rsidRPr="004E13E9">
              <w:rPr>
                <w:rFonts w:eastAsia="MS Gothic" w:cs="Times New Roman"/>
                <w:sz w:val="18"/>
                <w:szCs w:val="18"/>
                <w:lang w:val="fr-FR" w:eastAsia="fr-FR" w:bidi="fr-FR"/>
              </w:rPr>
              <w:t xml:space="preserve"> juillet au 12 novembre.</w:t>
            </w:r>
          </w:p>
          <w:p w14:paraId="2E31F8B1" w14:textId="77777777" w:rsidR="00DF358A" w:rsidRPr="004E13E9" w:rsidRDefault="00DF358A" w:rsidP="00BB4F69">
            <w:pPr>
              <w:keepNext/>
              <w:keepLines/>
              <w:contextualSpacing/>
              <w:jc w:val="both"/>
              <w:outlineLvl w:val="0"/>
              <w:rPr>
                <w:rFonts w:eastAsia="MS Gothic" w:cs="Times New Roman"/>
                <w:b/>
                <w:bCs/>
                <w:sz w:val="18"/>
                <w:szCs w:val="18"/>
                <w:lang w:val="fr-FR" w:eastAsia="fr-FR" w:bidi="fr-FR"/>
              </w:rPr>
            </w:pPr>
          </w:p>
          <w:p w14:paraId="4E1E7046"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sz w:val="18"/>
                <w:szCs w:val="18"/>
                <w:lang w:val="fr-FR" w:eastAsia="fr-FR" w:bidi="fr-FR"/>
              </w:rPr>
              <w:t>L'objectif de ces projets sera comme suit :</w:t>
            </w:r>
          </w:p>
          <w:p w14:paraId="00C5FC55" w14:textId="77777777" w:rsidR="00DF358A" w:rsidRPr="004E13E9" w:rsidRDefault="00DF358A" w:rsidP="00BB4F69">
            <w:pPr>
              <w:jc w:val="both"/>
              <w:rPr>
                <w:rFonts w:eastAsia="MS Gothic"/>
                <w:sz w:val="18"/>
                <w:szCs w:val="18"/>
                <w:lang w:val="fr-FR"/>
              </w:rPr>
            </w:pPr>
            <w:r w:rsidRPr="004E13E9">
              <w:rPr>
                <w:sz w:val="18"/>
                <w:szCs w:val="18"/>
                <w:lang w:val="fr-FR"/>
              </w:rPr>
              <w:t>1) Schémas de migration, y compris le retour éventuel de thons individuels,</w:t>
            </w:r>
          </w:p>
          <w:p w14:paraId="466E069F" w14:textId="77777777" w:rsidR="00DF358A" w:rsidRPr="004E13E9" w:rsidRDefault="00DF358A" w:rsidP="00BB4F69">
            <w:pPr>
              <w:jc w:val="both"/>
              <w:rPr>
                <w:rFonts w:eastAsia="MS Gothic"/>
                <w:sz w:val="18"/>
                <w:szCs w:val="18"/>
                <w:lang w:val="fr-FR"/>
              </w:rPr>
            </w:pPr>
            <w:r w:rsidRPr="004E13E9">
              <w:rPr>
                <w:sz w:val="18"/>
                <w:szCs w:val="18"/>
                <w:lang w:val="fr-FR"/>
              </w:rPr>
              <w:t>2) Comportement détaillé en matière de nage et de plongée,</w:t>
            </w:r>
          </w:p>
          <w:p w14:paraId="0600CF05" w14:textId="77777777" w:rsidR="00DF358A" w:rsidRPr="004E13E9" w:rsidRDefault="00DF358A" w:rsidP="00BB4F69">
            <w:pPr>
              <w:jc w:val="both"/>
              <w:rPr>
                <w:rFonts w:eastAsia="MS Gothic"/>
                <w:sz w:val="18"/>
                <w:szCs w:val="18"/>
                <w:lang w:val="fr-FR"/>
              </w:rPr>
            </w:pPr>
            <w:r w:rsidRPr="004E13E9">
              <w:rPr>
                <w:sz w:val="18"/>
                <w:szCs w:val="18"/>
                <w:lang w:val="fr-FR"/>
              </w:rPr>
              <w:t>3) Déplacements pendant de plus longues périodes, y compris la migration vers les zones de frai et</w:t>
            </w:r>
          </w:p>
          <w:p w14:paraId="681295CE" w14:textId="77777777" w:rsidR="00DF358A" w:rsidRPr="004E13E9" w:rsidRDefault="00DF358A" w:rsidP="00BB4F69">
            <w:pPr>
              <w:jc w:val="both"/>
              <w:rPr>
                <w:rFonts w:eastAsia="MS Gothic"/>
                <w:sz w:val="18"/>
                <w:szCs w:val="18"/>
                <w:lang w:val="fr-FR"/>
              </w:rPr>
            </w:pPr>
            <w:r w:rsidRPr="004E13E9">
              <w:rPr>
                <w:sz w:val="18"/>
                <w:szCs w:val="18"/>
                <w:lang w:val="fr-FR"/>
              </w:rPr>
              <w:t>4) Origine du stock et état physiologique à l'aide d'échantillons de tissus et de sang de thons rouges.</w:t>
            </w:r>
          </w:p>
          <w:p w14:paraId="2C09F95F" w14:textId="77777777" w:rsidR="00DF358A" w:rsidRPr="004E13E9" w:rsidRDefault="00DF358A" w:rsidP="00BB4F69">
            <w:pPr>
              <w:contextualSpacing/>
              <w:jc w:val="both"/>
              <w:rPr>
                <w:rFonts w:eastAsia="MS Gothic" w:cs="Times New Roman"/>
                <w:sz w:val="18"/>
                <w:szCs w:val="18"/>
                <w:lang w:val="fr-FR" w:eastAsia="fr-FR" w:bidi="fr-FR"/>
              </w:rPr>
            </w:pPr>
          </w:p>
          <w:p w14:paraId="15B07CD1"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sz w:val="18"/>
                <w:szCs w:val="18"/>
                <w:lang w:val="fr-FR" w:eastAsia="fr-FR" w:bidi="fr-FR"/>
              </w:rPr>
              <w:t>Les chercheurs rendront compte de leurs activités conformément aux dispositions applicables à cet égard à l’ICCAT. La collecte des données sera conforme au programme de recherche GBYP de l’ICCAT, et sera communiquée et discutée avec l’ICCAT si nécessaire.</w:t>
            </w:r>
          </w:p>
        </w:tc>
        <w:tc>
          <w:tcPr>
            <w:tcW w:w="2365" w:type="dxa"/>
          </w:tcPr>
          <w:p w14:paraId="2EB12675" w14:textId="77777777" w:rsidR="00DF358A" w:rsidRPr="004E13E9" w:rsidRDefault="00DF358A" w:rsidP="00BB4F69">
            <w:pPr>
              <w:contextualSpacing/>
              <w:jc w:val="both"/>
              <w:rPr>
                <w:rFonts w:eastAsia="MS Gothic" w:cs="Times New Roman"/>
                <w:bCs/>
                <w:sz w:val="18"/>
                <w:szCs w:val="18"/>
                <w:lang w:val="fr-FR" w:eastAsia="ja-JP" w:bidi="fr-FR"/>
              </w:rPr>
            </w:pPr>
            <w:r w:rsidRPr="004E13E9">
              <w:rPr>
                <w:b/>
                <w:sz w:val="18"/>
                <w:szCs w:val="18"/>
                <w:lang w:val="fr-FR"/>
              </w:rPr>
              <w:t>Danemark :</w:t>
            </w:r>
            <w:r w:rsidRPr="004E13E9">
              <w:rPr>
                <w:sz w:val="18"/>
                <w:szCs w:val="18"/>
                <w:lang w:val="fr-FR"/>
              </w:rPr>
              <w:t xml:space="preserve">  La loi danoise sur la pêche est la base juridique de la mise en œuvre de la politique commune de la pêche. En vertu de l'article 10, le ministre est habilité à établir des règles et des mesures pour se conformer à la législation de l'Union sur la pêche au Danemark et, en vertu de l'article 109, à établir les mesures et les règles nécessaires au lancement de la recherche scientifique par des mesures publiques ou autorisées par l'État. L'ordonnance relative à la pêche expérimentale fixe les règles applicables aux études, projets, etc. à des fins scientifiques, environnementales et de renforcement des stocks, cf. §§ 10-12.</w:t>
            </w:r>
          </w:p>
          <w:p w14:paraId="5D1D29BF" w14:textId="77777777" w:rsidR="00DF358A" w:rsidRPr="004E13E9" w:rsidRDefault="00DF358A" w:rsidP="00BB4F69">
            <w:pPr>
              <w:contextualSpacing/>
              <w:jc w:val="both"/>
              <w:rPr>
                <w:rFonts w:eastAsia="MS Gothic" w:cs="Times New Roman"/>
                <w:bCs/>
                <w:sz w:val="18"/>
                <w:szCs w:val="18"/>
                <w:lang w:val="fr-FR" w:eastAsia="ja-JP" w:bidi="fr-FR"/>
              </w:rPr>
            </w:pPr>
          </w:p>
          <w:p w14:paraId="42D77D05" w14:textId="77777777" w:rsidR="00DF358A" w:rsidRPr="004E13E9" w:rsidRDefault="00DF358A" w:rsidP="00BB4F69">
            <w:pPr>
              <w:contextualSpacing/>
              <w:jc w:val="both"/>
              <w:rPr>
                <w:rFonts w:eastAsia="MS Gothic" w:cs="Times New Roman"/>
                <w:bCs/>
                <w:sz w:val="18"/>
                <w:szCs w:val="18"/>
                <w:lang w:val="fr-FR" w:eastAsia="ja-JP" w:bidi="fr-FR"/>
              </w:rPr>
            </w:pPr>
            <w:r w:rsidRPr="004E13E9">
              <w:rPr>
                <w:rFonts w:eastAsia="MS Gothic" w:cs="Times New Roman"/>
                <w:b/>
                <w:sz w:val="18"/>
                <w:szCs w:val="18"/>
                <w:lang w:val="fr-FR" w:eastAsia="ja-JP" w:bidi="fr-FR"/>
              </w:rPr>
              <w:t>Irlande :</w:t>
            </w:r>
            <w:r w:rsidRPr="004E13E9">
              <w:rPr>
                <w:rFonts w:eastAsia="MS Gothic" w:cs="Times New Roman"/>
                <w:bCs/>
                <w:sz w:val="18"/>
                <w:szCs w:val="18"/>
                <w:lang w:val="fr-FR" w:eastAsia="ja-JP" w:bidi="fr-FR"/>
              </w:rPr>
              <w:t xml:space="preserve"> Loi de 1959 sur la pêche (consolidation) (</w:t>
            </w:r>
            <w:hyperlink r:id="rId96" w:history="1">
              <w:r w:rsidRPr="004E13E9">
                <w:rPr>
                  <w:rStyle w:val="Hyperlink"/>
                  <w:rFonts w:eastAsia="MS Gothic" w:cs="Times New Roman"/>
                  <w:bCs/>
                  <w:sz w:val="18"/>
                  <w:szCs w:val="18"/>
                  <w:u w:val="none"/>
                  <w:lang w:val="fr-FR" w:eastAsia="ja-JP" w:bidi="fr-FR"/>
                </w:rPr>
                <w:t>irishstatutebook.ie</w:t>
              </w:r>
            </w:hyperlink>
            <w:r w:rsidRPr="004E13E9">
              <w:rPr>
                <w:rFonts w:eastAsia="MS Gothic" w:cs="Times New Roman"/>
                <w:bCs/>
                <w:sz w:val="18"/>
                <w:szCs w:val="18"/>
                <w:lang w:val="fr-FR" w:eastAsia="ja-JP" w:bidi="fr-FR"/>
              </w:rPr>
              <w:t>)</w:t>
            </w:r>
          </w:p>
          <w:p w14:paraId="5FE41396" w14:textId="77777777" w:rsidR="00DF358A" w:rsidRPr="004E13E9" w:rsidRDefault="00DF358A" w:rsidP="00BB4F69">
            <w:pPr>
              <w:contextualSpacing/>
              <w:jc w:val="both"/>
              <w:rPr>
                <w:rFonts w:eastAsia="MS Gothic" w:cs="Times New Roman"/>
                <w:bCs/>
                <w:sz w:val="18"/>
                <w:szCs w:val="18"/>
                <w:lang w:val="fr-FR" w:eastAsia="ja-JP" w:bidi="fr-FR"/>
              </w:rPr>
            </w:pPr>
          </w:p>
          <w:p w14:paraId="4BD05B7A" w14:textId="77777777" w:rsidR="00DF358A" w:rsidRPr="004E13E9" w:rsidRDefault="00DF358A" w:rsidP="00BB4F69">
            <w:pPr>
              <w:contextualSpacing/>
              <w:jc w:val="both"/>
              <w:rPr>
                <w:rFonts w:eastAsia="MS Gothic" w:cs="Times New Roman"/>
                <w:bCs/>
                <w:sz w:val="18"/>
                <w:szCs w:val="18"/>
                <w:lang w:val="fr-FR" w:eastAsia="ja-JP" w:bidi="fr-FR"/>
              </w:rPr>
            </w:pPr>
            <w:r w:rsidRPr="004E13E9">
              <w:rPr>
                <w:rFonts w:eastAsia="MS Gothic" w:cs="Times New Roman"/>
                <w:bCs/>
                <w:sz w:val="18"/>
                <w:szCs w:val="18"/>
                <w:lang w:val="fr-FR" w:eastAsia="ja-JP" w:bidi="fr-FR"/>
              </w:rPr>
              <w:t>Règlement 981 de 2020 Contrôle des méthodes de pêche en mer pour certaines espèces de poissons 007db25e-64ad-4792-b25a-568987eea8be.pdf (</w:t>
            </w:r>
            <w:hyperlink r:id="rId97" w:history="1">
              <w:r w:rsidRPr="004E13E9">
                <w:rPr>
                  <w:rStyle w:val="Hyperlink"/>
                  <w:rFonts w:eastAsia="MS Gothic" w:cs="Times New Roman"/>
                  <w:bCs/>
                  <w:sz w:val="18"/>
                  <w:szCs w:val="18"/>
                  <w:u w:val="none"/>
                  <w:lang w:val="fr-FR" w:eastAsia="ja-JP" w:bidi="fr-FR"/>
                </w:rPr>
                <w:t>www.gov.ie</w:t>
              </w:r>
            </w:hyperlink>
            <w:r w:rsidRPr="004E13E9">
              <w:rPr>
                <w:rFonts w:eastAsia="MS Gothic" w:cs="Times New Roman"/>
                <w:bCs/>
                <w:sz w:val="18"/>
                <w:szCs w:val="18"/>
                <w:lang w:val="fr-FR" w:eastAsia="ja-JP" w:bidi="fr-FR"/>
              </w:rPr>
              <w:t>)</w:t>
            </w:r>
          </w:p>
          <w:p w14:paraId="13522613" w14:textId="77777777" w:rsidR="00DF358A" w:rsidRPr="004E13E9" w:rsidRDefault="00DF358A" w:rsidP="00BB4F69">
            <w:pPr>
              <w:contextualSpacing/>
              <w:jc w:val="both"/>
              <w:rPr>
                <w:rFonts w:eastAsia="MS Gothic" w:cs="Times New Roman"/>
                <w:bCs/>
                <w:sz w:val="18"/>
                <w:szCs w:val="18"/>
                <w:lang w:val="fr-FR" w:eastAsia="ja-JP" w:bidi="fr-FR"/>
              </w:rPr>
            </w:pPr>
          </w:p>
          <w:p w14:paraId="518B56B5" w14:textId="77777777" w:rsidR="00DF358A" w:rsidRPr="004E13E9" w:rsidRDefault="00DF358A" w:rsidP="00BB4F69">
            <w:pPr>
              <w:contextualSpacing/>
              <w:jc w:val="both"/>
              <w:rPr>
                <w:rFonts w:eastAsia="MS Gothic" w:cs="Times New Roman"/>
                <w:bCs/>
                <w:sz w:val="18"/>
                <w:szCs w:val="18"/>
                <w:lang w:val="fr-FR" w:eastAsia="ja-JP" w:bidi="fr-FR"/>
              </w:rPr>
            </w:pPr>
            <w:r w:rsidRPr="004E13E9">
              <w:rPr>
                <w:rFonts w:eastAsia="MS Gothic" w:cs="Times New Roman"/>
                <w:bCs/>
                <w:sz w:val="18"/>
                <w:szCs w:val="18"/>
                <w:lang w:val="fr-FR" w:eastAsia="ja-JP" w:bidi="fr-FR"/>
              </w:rPr>
              <w:t>SI No.352/2024 Règlement sur la pêche en mer et la juridiction maritime (thon rouge).</w:t>
            </w:r>
          </w:p>
          <w:p w14:paraId="698A333F" w14:textId="77777777" w:rsidR="00DF358A" w:rsidRPr="004E13E9" w:rsidRDefault="00DF358A" w:rsidP="00BB4F69">
            <w:pPr>
              <w:contextualSpacing/>
              <w:jc w:val="both"/>
              <w:rPr>
                <w:rFonts w:eastAsia="MS Gothic" w:cs="Times New Roman"/>
                <w:bCs/>
                <w:sz w:val="18"/>
                <w:szCs w:val="18"/>
                <w:lang w:val="fr-FR" w:eastAsia="ja-JP" w:bidi="fr-FR"/>
              </w:rPr>
            </w:pPr>
          </w:p>
        </w:tc>
        <w:tc>
          <w:tcPr>
            <w:tcW w:w="2524" w:type="dxa"/>
          </w:tcPr>
          <w:p w14:paraId="75DCDB63"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Les navires de pêche sportive ou récréative ayant l’intention de mener des activités de pêche avec remise à l’eau du 1</w:t>
            </w:r>
            <w:r w:rsidRPr="004E13E9">
              <w:rPr>
                <w:rFonts w:eastAsia="MS Gothic" w:cs="Times New Roman"/>
                <w:color w:val="000000"/>
                <w:sz w:val="18"/>
                <w:szCs w:val="18"/>
                <w:vertAlign w:val="superscript"/>
                <w:lang w:val="fr-FR" w:eastAsia="fr-FR" w:bidi="fr-FR"/>
              </w:rPr>
              <w:t>er</w:t>
            </w:r>
            <w:r w:rsidRPr="004E13E9">
              <w:rPr>
                <w:rFonts w:eastAsia="MS Gothic" w:cs="Times New Roman"/>
                <w:color w:val="000000"/>
                <w:sz w:val="18"/>
                <w:szCs w:val="18"/>
                <w:lang w:val="fr-FR" w:eastAsia="fr-FR" w:bidi="fr-FR"/>
              </w:rPr>
              <w:t xml:space="preserve"> juillet à la mi-novembre dans le cadre de projets scientifiques d’instituts marins intégrés à des programmes scientifiques devront être autorisés. L’autorisation est subordonnée à l’installation et à l’utilisation d’un système VMS simple.</w:t>
            </w:r>
          </w:p>
          <w:p w14:paraId="34D96D8F"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144CE5E3"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 xml:space="preserve">Les autorités de contrôle nationales surveilleraient les activités de ces navires en mer et au débarquement afin de garantir l’application des réglementations nationales et de l’UE. </w:t>
            </w:r>
          </w:p>
          <w:p w14:paraId="651BEE42" w14:textId="77777777" w:rsidR="00DF358A" w:rsidRPr="004E13E9" w:rsidRDefault="00DF358A" w:rsidP="00BB4F69">
            <w:pPr>
              <w:keepNext/>
              <w:keepLines/>
              <w:contextualSpacing/>
              <w:jc w:val="both"/>
              <w:outlineLvl w:val="0"/>
              <w:rPr>
                <w:rFonts w:eastAsia="MS Gothic" w:cs="Times New Roman"/>
                <w:color w:val="2E74B5"/>
                <w:sz w:val="18"/>
                <w:szCs w:val="18"/>
                <w:lang w:val="fr-FR" w:eastAsia="fr-FR" w:bidi="fr-FR"/>
              </w:rPr>
            </w:pPr>
          </w:p>
          <w:p w14:paraId="7B904E0A"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Le marquage sera effectué par le personnel des instituts marins ou par les opérateurs de navires de pêche récréative. La méthode de collecte des données consiste à marquer des thons rouges de l’Est au moyen de différents types de marques : marques satellites pop-up, marques acoustiques, marques à accéléromètre, marques à caméra et marques ordinaires de l’ICCAT (marques Floy). Les marques sont conçues pour recueillir une série de données complémentaires. Les opérateurs concernés seront formés au marquage.</w:t>
            </w:r>
          </w:p>
          <w:p w14:paraId="6A0EBD55" w14:textId="77777777" w:rsidR="00DF358A" w:rsidRPr="004E13E9" w:rsidRDefault="00DF358A" w:rsidP="00BB4F69">
            <w:pPr>
              <w:keepNext/>
              <w:keepLines/>
              <w:contextualSpacing/>
              <w:jc w:val="both"/>
              <w:outlineLvl w:val="0"/>
              <w:rPr>
                <w:rFonts w:eastAsia="MS Gothic" w:cs="Times New Roman"/>
                <w:color w:val="2E74B5"/>
                <w:sz w:val="18"/>
                <w:szCs w:val="18"/>
                <w:lang w:val="fr-FR" w:eastAsia="fr-FR" w:bidi="fr-FR"/>
              </w:rPr>
            </w:pPr>
          </w:p>
          <w:p w14:paraId="52824EB4"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Toute personne autorisée à cibler le thon rouge de l’Est dans le cadre d’une pêcherie de capture-marquage-remise à l’eau ne devra pas conserver à bord, transborder, transférer, remorquer, débarquer, transporter, stocker ou vendre du thon rouge.</w:t>
            </w:r>
          </w:p>
          <w:p w14:paraId="6C122DA6"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106E267A"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Tout thon rouge de l’Est capturé vivant ne devra pas être retiré de la mer mais, si tel est le cas, il devra être manipulé avec soin et remis vivant dans les eaux d'où il a été capturé.</w:t>
            </w:r>
          </w:p>
          <w:p w14:paraId="6CC6E2D2" w14:textId="77777777" w:rsidR="00DF358A" w:rsidRPr="004E13E9" w:rsidRDefault="00DF358A" w:rsidP="00BB4F69">
            <w:pPr>
              <w:keepNext/>
              <w:keepLines/>
              <w:contextualSpacing/>
              <w:jc w:val="both"/>
              <w:outlineLvl w:val="0"/>
              <w:rPr>
                <w:rFonts w:eastAsia="MS Gothic" w:cs="Times New Roman"/>
                <w:color w:val="2E74B5"/>
                <w:sz w:val="18"/>
                <w:szCs w:val="18"/>
                <w:lang w:val="fr-FR" w:eastAsia="fr-FR" w:bidi="fr-FR"/>
              </w:rPr>
            </w:pPr>
          </w:p>
          <w:p w14:paraId="24F87D97"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Tout thon rouge de l’Est qui meurt pendant la capture doit être consigné et rejeté en le remettant immédiatement à la mer. Le capitaine du navire concerné devra immédiatement informer les autorités du pavillon de tout rejet de thon rouge de l’Est réalisé pendant cette sortie.</w:t>
            </w:r>
          </w:p>
        </w:tc>
      </w:tr>
      <w:tr w:rsidR="00DF358A" w:rsidRPr="00C712A4" w14:paraId="4DA80FF1" w14:textId="77777777" w:rsidTr="00BB4F69">
        <w:trPr>
          <w:jc w:val="center"/>
        </w:trPr>
        <w:tc>
          <w:tcPr>
            <w:tcW w:w="562" w:type="dxa"/>
          </w:tcPr>
          <w:p w14:paraId="746B304E" w14:textId="77777777" w:rsidR="00DF358A" w:rsidRPr="004E13E9" w:rsidRDefault="00DF358A" w:rsidP="00BB4F69">
            <w:pPr>
              <w:ind w:right="-39"/>
              <w:contextualSpacing/>
              <w:jc w:val="both"/>
              <w:rPr>
                <w:rFonts w:eastAsia="MS Gothic" w:cs="Times New Roman"/>
                <w:b/>
                <w:sz w:val="18"/>
                <w:szCs w:val="18"/>
                <w:lang w:eastAsia="fr-FR" w:bidi="fr-FR"/>
              </w:rPr>
            </w:pPr>
            <w:r w:rsidRPr="004E13E9">
              <w:rPr>
                <w:rFonts w:eastAsia="MS Gothic" w:cs="Times New Roman"/>
                <w:b/>
                <w:sz w:val="18"/>
                <w:szCs w:val="18"/>
                <w:lang w:eastAsia="fr-FR" w:bidi="fr-FR"/>
              </w:rPr>
              <w:t>12</w:t>
            </w:r>
          </w:p>
        </w:tc>
        <w:tc>
          <w:tcPr>
            <w:tcW w:w="1701" w:type="dxa"/>
          </w:tcPr>
          <w:p w14:paraId="4F291FA3" w14:textId="77777777" w:rsidR="00DF358A" w:rsidRPr="004E13E9" w:rsidRDefault="00DF358A" w:rsidP="00BB4F69">
            <w:pPr>
              <w:contextualSpacing/>
              <w:jc w:val="both"/>
              <w:rPr>
                <w:rFonts w:eastAsia="MS Gothic" w:cs="Times New Roman"/>
                <w:i/>
                <w:sz w:val="18"/>
                <w:szCs w:val="18"/>
                <w:lang w:val="fr-FR" w:eastAsia="fr-FR" w:bidi="fr-FR"/>
              </w:rPr>
            </w:pPr>
            <w:r w:rsidRPr="004E13E9">
              <w:rPr>
                <w:rFonts w:eastAsia="MS Gothic" w:cs="Times New Roman"/>
                <w:b/>
                <w:sz w:val="18"/>
                <w:szCs w:val="18"/>
                <w:lang w:val="fr-FR" w:eastAsia="fr-FR" w:bidi="fr-FR"/>
              </w:rPr>
              <w:t xml:space="preserve">Transferts à l’intérieur des fermes, transferts entre fermes et contrôles aléatoires dans les fermes (paragraphes </w:t>
            </w:r>
            <w:r w:rsidRPr="004E13E9">
              <w:rPr>
                <w:b/>
                <w:bCs/>
                <w:sz w:val="19"/>
                <w:szCs w:val="19"/>
                <w:lang w:val="fr-FR"/>
              </w:rPr>
              <w:t>198-202 et 211-221</w:t>
            </w:r>
            <w:r w:rsidRPr="004E13E9">
              <w:rPr>
                <w:rFonts w:eastAsia="MS Gothic" w:cs="Times New Roman"/>
                <w:b/>
                <w:sz w:val="18"/>
                <w:szCs w:val="18"/>
                <w:lang w:val="fr-FR" w:eastAsia="fr-FR" w:bidi="fr-FR"/>
              </w:rPr>
              <w:t>)</w:t>
            </w:r>
          </w:p>
        </w:tc>
        <w:tc>
          <w:tcPr>
            <w:tcW w:w="2494" w:type="dxa"/>
          </w:tcPr>
          <w:p w14:paraId="77AFA16E"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La traçabilité dans les fermes de l’UE est assurée, notamment par le scellement, avec des sceaux officiels fournis par les autorités de toutes les cages contenant du thon rouge. Le descellement est possible en présence de l'autorité compétente de la ferme. Les transferts entrepris par les opérateurs des fermes entre les cages d'élevage d'une même ferme (« transfert à l’intérieur d’une ferme ») devront respecter toutes les exigences relatives aux transferts, telles qu'elles sont définies aux paragraphes 198-202-de la Rec. 25-04 de l’ICCAT, et nécessitent donc la consignation nécessaire dans le système eBCD. La présence des autorités de contrôle et l'enregistrement vidéo du transfert sont obligatoires pour ces transferts.</w:t>
            </w:r>
          </w:p>
          <w:p w14:paraId="27D0E469"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13D755E8" w14:textId="77777777" w:rsidR="00DF358A" w:rsidRPr="004E13E9" w:rsidRDefault="00DF358A" w:rsidP="00BB4F69">
            <w:pPr>
              <w:contextualSpacing/>
              <w:jc w:val="both"/>
              <w:rPr>
                <w:rFonts w:eastAsia="MS Gothic" w:cs="Times New Roman"/>
                <w:sz w:val="18"/>
                <w:szCs w:val="18"/>
                <w:lang w:val="fr-FR" w:eastAsia="fr-FR" w:bidi="fr-FR"/>
              </w:rPr>
            </w:pPr>
            <w:r w:rsidRPr="004E13E9">
              <w:rPr>
                <w:rFonts w:eastAsia="MS Gothic" w:cs="Times New Roman"/>
                <w:color w:val="000000"/>
                <w:sz w:val="18"/>
                <w:szCs w:val="18"/>
                <w:lang w:val="fr-FR" w:eastAsia="fr-FR" w:bidi="fr-FR"/>
              </w:rPr>
              <w:t xml:space="preserve">Conformément au paragraphe 212 de la Rec. 25-04 de l’ICCAT, des contrôles aléatoires devront avoir lieu dans les fermes entre la fin des opérations de mise en cage et la première mise en cage de l'année suivante. </w:t>
            </w:r>
            <w:r w:rsidRPr="004E13E9">
              <w:rPr>
                <w:rFonts w:eastAsia="MS Gothic" w:cs="Times New Roman"/>
                <w:sz w:val="18"/>
                <w:szCs w:val="18"/>
                <w:lang w:val="fr-FR" w:eastAsia="fr-FR" w:bidi="fr-FR"/>
              </w:rPr>
              <w:t>Ces contrôles devront couvrir les transferts obligatoires de tous les poissons de la cage de la ferme à une autre cage vide de la ferme afin que le nombre de thons rouges puisse être compté au moyen d'un enregistrement vidéo de contrôle.</w:t>
            </w:r>
          </w:p>
          <w:p w14:paraId="47075CE1"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0082F50A"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Le nombre de contrôles devra être décidé par les autorités de l'État membre de l’UE de la ferme sur la base de leur évaluation des risques.</w:t>
            </w:r>
          </w:p>
          <w:p w14:paraId="3AFF372E"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6BF4C28A"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Toutefois, le nombre de contrôles par an doit couvrir 10 % du nombre total de cages dans chaque ferme relevant de la juridiction de chaque État membre, impliquant toujours au moins un contrôle/une mise en cage et, le cas échéant, arrondi au chiffre supérieur.</w:t>
            </w:r>
          </w:p>
          <w:p w14:paraId="27D823D7"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29E3C4C0"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Si nécessaire, sur la base des résultats de l'analyse des risques, les pourcentages mentionnés ci-dessus peuvent être augmentés si nécessaire.</w:t>
            </w:r>
          </w:p>
          <w:p w14:paraId="21FFC4D5"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6C2ED301"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Les transferts doivent être saisis dans le système eBCD.</w:t>
            </w:r>
          </w:p>
          <w:p w14:paraId="5B61ACF8"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4D359D9B"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Les différences du nombre de thons rouges de l’Est résultant des contrôles aléatoires doivent faire l'objet d'une enquête selon les procédures de la Rec. 25-04 et du plan de déploiement conjoint (JDP) de l'UE et saisies dans le système eBCD. Dans le cas où les différences du nombre de thons rouges de l’Est s'avèrent excédentaires, les autorités de contrôle des fermes des États membres doivent émettre un ordre de remise à l'eau pour le(s) montant(s) correspondant(s).</w:t>
            </w:r>
          </w:p>
        </w:tc>
        <w:tc>
          <w:tcPr>
            <w:tcW w:w="2365" w:type="dxa"/>
          </w:tcPr>
          <w:p w14:paraId="1CEC1249" w14:textId="77777777" w:rsidR="00DF358A" w:rsidRPr="004E13E9" w:rsidRDefault="00DF358A" w:rsidP="00BB4F69">
            <w:pPr>
              <w:contextualSpacing/>
              <w:jc w:val="both"/>
              <w:rPr>
                <w:rFonts w:eastAsia="MS Gothic" w:cs="Times New Roman"/>
                <w:bCs/>
                <w:color w:val="000000"/>
                <w:sz w:val="18"/>
                <w:szCs w:val="18"/>
                <w:lang w:val="fr-FR" w:eastAsia="ja-JP" w:bidi="fr-FR"/>
              </w:rPr>
            </w:pPr>
          </w:p>
        </w:tc>
        <w:tc>
          <w:tcPr>
            <w:tcW w:w="2524" w:type="dxa"/>
          </w:tcPr>
          <w:p w14:paraId="27863F3B" w14:textId="77777777" w:rsidR="00DF358A" w:rsidRPr="004E13E9" w:rsidRDefault="00DF358A" w:rsidP="00BB4F69">
            <w:pPr>
              <w:contextualSpacing/>
              <w:jc w:val="both"/>
              <w:rPr>
                <w:sz w:val="18"/>
                <w:szCs w:val="18"/>
                <w:lang w:val="fr-FR"/>
              </w:rPr>
            </w:pPr>
            <w:r w:rsidRPr="004E13E9">
              <w:rPr>
                <w:sz w:val="18"/>
                <w:szCs w:val="18"/>
                <w:lang w:val="fr-FR"/>
              </w:rPr>
              <w:t>Ces éléments sont abordés dans le plan de déploiement commun, en particulier à l'annexe V de ces plans, qui comprend des procédures harmonisées pour l’ensemble de l'UE.</w:t>
            </w:r>
          </w:p>
          <w:p w14:paraId="64348390" w14:textId="77777777" w:rsidR="00DF358A" w:rsidRPr="004E13E9" w:rsidRDefault="00DF358A" w:rsidP="00BB4F69">
            <w:pPr>
              <w:contextualSpacing/>
              <w:rPr>
                <w:rFonts w:eastAsia="MS Gothic" w:cs="Times New Roman"/>
                <w:color w:val="000000"/>
                <w:sz w:val="18"/>
                <w:szCs w:val="18"/>
                <w:lang w:val="fr-FR" w:eastAsia="fr-FR" w:bidi="fr-FR"/>
              </w:rPr>
            </w:pPr>
          </w:p>
        </w:tc>
      </w:tr>
      <w:tr w:rsidR="00DF358A" w:rsidRPr="00C712A4" w14:paraId="2D01A119" w14:textId="77777777" w:rsidTr="00BB4F69">
        <w:trPr>
          <w:jc w:val="center"/>
        </w:trPr>
        <w:tc>
          <w:tcPr>
            <w:tcW w:w="562" w:type="dxa"/>
          </w:tcPr>
          <w:p w14:paraId="43786838" w14:textId="77777777" w:rsidR="00DF358A" w:rsidRPr="004E13E9" w:rsidRDefault="00DF358A" w:rsidP="00BB4F69">
            <w:pPr>
              <w:ind w:right="-39"/>
              <w:contextualSpacing/>
              <w:jc w:val="both"/>
              <w:rPr>
                <w:rFonts w:eastAsia="MS Gothic" w:cs="Times New Roman"/>
                <w:b/>
                <w:sz w:val="18"/>
                <w:szCs w:val="18"/>
                <w:lang w:eastAsia="fr-FR" w:bidi="fr-FR"/>
              </w:rPr>
            </w:pPr>
            <w:r w:rsidRPr="004E13E9">
              <w:rPr>
                <w:rFonts w:eastAsia="MS Gothic" w:cs="Times New Roman"/>
                <w:b/>
                <w:sz w:val="18"/>
                <w:szCs w:val="18"/>
                <w:lang w:eastAsia="fr-FR" w:bidi="fr-FR"/>
              </w:rPr>
              <w:t>13</w:t>
            </w:r>
          </w:p>
        </w:tc>
        <w:tc>
          <w:tcPr>
            <w:tcW w:w="1701" w:type="dxa"/>
          </w:tcPr>
          <w:p w14:paraId="7D42F3BF" w14:textId="77777777" w:rsidR="00DF358A" w:rsidRPr="004E13E9" w:rsidRDefault="00DF358A" w:rsidP="00BB4F69">
            <w:pPr>
              <w:contextualSpacing/>
              <w:jc w:val="both"/>
              <w:rPr>
                <w:rFonts w:eastAsia="MS Gothic" w:cs="Times New Roman"/>
                <w:b/>
                <w:sz w:val="18"/>
                <w:szCs w:val="18"/>
                <w:lang w:val="fr-FR" w:eastAsia="fr-FR" w:bidi="fr-FR"/>
              </w:rPr>
            </w:pPr>
            <w:r w:rsidRPr="004E13E9">
              <w:rPr>
                <w:rFonts w:eastAsia="MS Gothic" w:cs="Times New Roman"/>
                <w:b/>
                <w:sz w:val="18"/>
                <w:szCs w:val="18"/>
                <w:lang w:val="fr-FR" w:eastAsia="fr-FR" w:bidi="fr-FR"/>
              </w:rPr>
              <w:t>Estimations des reports dans les fermes (paragraphe 203-210)</w:t>
            </w:r>
          </w:p>
        </w:tc>
        <w:tc>
          <w:tcPr>
            <w:tcW w:w="2494" w:type="dxa"/>
          </w:tcPr>
          <w:p w14:paraId="0C8DEA90"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 xml:space="preserve">Conformément aux mesures énoncées aux paragraphes 203-209 de la Rec. 25-04 de l’ICCAT, les procédures suivantes devront être suivies pour la mise en œuvre des évaluations des reports : </w:t>
            </w:r>
          </w:p>
          <w:p w14:paraId="3B6C59AC"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 xml:space="preserve">Avant le début des prochaines saisons de pêche des senneurs et des madragues, tous les poissons restant dans les cages devront être transférés dans d'autres cages vides de la ferme afin qu’ils puissent être comptés et qu’une une estimation du poids puisse être faite au moyen de caméras stéréoscopiques. </w:t>
            </w:r>
          </w:p>
          <w:p w14:paraId="46B900A3"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425A4F4C"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Les thons rouges de l’Est vivants reportés sont placés dans des cages sur la base de l’année de capture et de la JFO/de la même CPC de la madrague d’origine.</w:t>
            </w:r>
          </w:p>
          <w:p w14:paraId="1DA0E789"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40DF2CD7"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Les différences entre le nombre de spécimens de thon rouge de l’Est résultant de l'évaluation du report et le nombre prévu après la mise à mort sont dûment étudiées et enregistrées dans le système eBCD. En cas de nombre excédentaire, l'autorité de la ferme ordonne la libération du nombre de poissons correspondant.</w:t>
            </w:r>
          </w:p>
          <w:p w14:paraId="4CC8052D"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307B7DB8" w14:textId="77777777" w:rsidR="00DF358A" w:rsidRPr="004E13E9" w:rsidRDefault="00DF358A" w:rsidP="00BB4F69">
            <w:pPr>
              <w:contextualSpacing/>
              <w:jc w:val="both"/>
              <w:rPr>
                <w:rFonts w:eastAsia="MS Gothic" w:cs="Times New Roman"/>
                <w:color w:val="FF0000"/>
                <w:sz w:val="18"/>
                <w:szCs w:val="18"/>
                <w:lang w:val="fr-FR" w:eastAsia="fr-FR" w:bidi="fr-FR"/>
              </w:rPr>
            </w:pPr>
            <w:r w:rsidRPr="004E13E9">
              <w:rPr>
                <w:rFonts w:eastAsia="MS Gothic" w:cs="Times New Roman"/>
                <w:color w:val="000000"/>
                <w:sz w:val="18"/>
                <w:szCs w:val="18"/>
                <w:lang w:val="fr-FR" w:eastAsia="fr-FR" w:bidi="fr-FR"/>
              </w:rPr>
              <w:t>L'UE transmet au Secrétariat de l’ICCAT la déclaration de report annuel conformément au paragraphe 207 de la Rec. 25-04.</w:t>
            </w:r>
          </w:p>
        </w:tc>
        <w:tc>
          <w:tcPr>
            <w:tcW w:w="2365" w:type="dxa"/>
          </w:tcPr>
          <w:p w14:paraId="0C92C4AD" w14:textId="77777777" w:rsidR="00DF358A" w:rsidRPr="004E13E9" w:rsidRDefault="00DF358A" w:rsidP="00BB4F69">
            <w:pPr>
              <w:contextualSpacing/>
              <w:rPr>
                <w:rFonts w:eastAsia="MS Gothic" w:cs="Times New Roman"/>
                <w:bCs/>
                <w:color w:val="000000"/>
                <w:sz w:val="18"/>
                <w:szCs w:val="18"/>
                <w:lang w:val="fr-FR" w:eastAsia="ja-JP" w:bidi="fr-FR"/>
              </w:rPr>
            </w:pPr>
          </w:p>
        </w:tc>
        <w:tc>
          <w:tcPr>
            <w:tcW w:w="2524" w:type="dxa"/>
          </w:tcPr>
          <w:p w14:paraId="758FE99A" w14:textId="77777777" w:rsidR="00DF358A" w:rsidRPr="004E13E9" w:rsidRDefault="00DF358A" w:rsidP="00BB4F69">
            <w:pPr>
              <w:contextualSpacing/>
              <w:rPr>
                <w:rFonts w:eastAsia="MS Gothic" w:cs="Times New Roman"/>
                <w:color w:val="000000"/>
                <w:sz w:val="18"/>
                <w:szCs w:val="18"/>
                <w:lang w:val="fr-FR" w:eastAsia="fr-FR" w:bidi="fr-FR"/>
              </w:rPr>
            </w:pPr>
          </w:p>
        </w:tc>
      </w:tr>
      <w:tr w:rsidR="00DF358A" w:rsidRPr="00C712A4" w14:paraId="2DFC4B67" w14:textId="77777777" w:rsidTr="00BB4F69">
        <w:trPr>
          <w:jc w:val="center"/>
        </w:trPr>
        <w:tc>
          <w:tcPr>
            <w:tcW w:w="562" w:type="dxa"/>
          </w:tcPr>
          <w:p w14:paraId="328E0224" w14:textId="77777777" w:rsidR="00DF358A" w:rsidRPr="004E13E9" w:rsidRDefault="00DF358A" w:rsidP="00BB4F69">
            <w:pPr>
              <w:ind w:right="-39"/>
              <w:contextualSpacing/>
              <w:jc w:val="both"/>
              <w:rPr>
                <w:rFonts w:eastAsia="MS Gothic" w:cs="Times New Roman"/>
                <w:b/>
                <w:sz w:val="18"/>
                <w:szCs w:val="18"/>
                <w:lang w:eastAsia="fr-FR" w:bidi="fr-FR"/>
              </w:rPr>
            </w:pPr>
            <w:r w:rsidRPr="004E13E9">
              <w:rPr>
                <w:rFonts w:eastAsia="MS Gothic" w:cs="Times New Roman"/>
                <w:b/>
                <w:sz w:val="18"/>
                <w:szCs w:val="18"/>
                <w:lang w:eastAsia="fr-FR" w:bidi="fr-FR"/>
              </w:rPr>
              <w:t>14</w:t>
            </w:r>
          </w:p>
        </w:tc>
        <w:tc>
          <w:tcPr>
            <w:tcW w:w="1701" w:type="dxa"/>
          </w:tcPr>
          <w:p w14:paraId="0CF4F28D" w14:textId="77777777" w:rsidR="00DF358A" w:rsidRPr="004E13E9" w:rsidRDefault="00DF358A" w:rsidP="00BB4F69">
            <w:pPr>
              <w:contextualSpacing/>
              <w:jc w:val="both"/>
              <w:rPr>
                <w:rFonts w:eastAsia="MS Gothic" w:cs="Times New Roman"/>
                <w:b/>
                <w:sz w:val="18"/>
                <w:szCs w:val="18"/>
                <w:lang w:eastAsia="fr-FR" w:bidi="fr-FR"/>
              </w:rPr>
            </w:pPr>
            <w:r w:rsidRPr="004E13E9">
              <w:rPr>
                <w:rFonts w:eastAsia="MS Gothic" w:cs="Times New Roman"/>
                <w:b/>
                <w:sz w:val="18"/>
                <w:szCs w:val="18"/>
                <w:lang w:eastAsia="fr-FR" w:bidi="fr-FR"/>
              </w:rPr>
              <w:t xml:space="preserve">Quota </w:t>
            </w:r>
            <w:proofErr w:type="spellStart"/>
            <w:r w:rsidRPr="004E13E9">
              <w:rPr>
                <w:rFonts w:eastAsia="MS Gothic" w:cs="Times New Roman"/>
                <w:b/>
                <w:sz w:val="18"/>
                <w:szCs w:val="18"/>
                <w:lang w:eastAsia="fr-FR" w:bidi="fr-FR"/>
              </w:rPr>
              <w:t>sectoriel</w:t>
            </w:r>
            <w:proofErr w:type="spellEnd"/>
            <w:r w:rsidRPr="004E13E9">
              <w:rPr>
                <w:rFonts w:eastAsia="MS Gothic" w:cs="Times New Roman"/>
                <w:b/>
                <w:sz w:val="18"/>
                <w:szCs w:val="18"/>
                <w:lang w:eastAsia="fr-FR" w:bidi="fr-FR"/>
              </w:rPr>
              <w:t xml:space="preserve"> (</w:t>
            </w:r>
            <w:proofErr w:type="spellStart"/>
            <w:r w:rsidRPr="004E13E9">
              <w:rPr>
                <w:rFonts w:eastAsia="MS Gothic" w:cs="Times New Roman"/>
                <w:b/>
                <w:sz w:val="18"/>
                <w:szCs w:val="18"/>
                <w:lang w:eastAsia="fr-FR" w:bidi="fr-FR"/>
              </w:rPr>
              <w:t>paragraphe</w:t>
            </w:r>
            <w:proofErr w:type="spellEnd"/>
            <w:r w:rsidRPr="004E13E9">
              <w:rPr>
                <w:rFonts w:eastAsia="MS Gothic" w:cs="Times New Roman"/>
                <w:b/>
                <w:sz w:val="18"/>
                <w:szCs w:val="18"/>
                <w:lang w:eastAsia="fr-FR" w:bidi="fr-FR"/>
              </w:rPr>
              <w:t xml:space="preserve"> 15a)</w:t>
            </w:r>
          </w:p>
        </w:tc>
        <w:tc>
          <w:tcPr>
            <w:tcW w:w="2494" w:type="dxa"/>
          </w:tcPr>
          <w:p w14:paraId="2C09CC0A"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Un quota sectoriel total est alloué à un groupe de petits navires disposant d'autorisations de pêche spéciales, valides pour une saison définie, allant d’un à quatre mois. Le quota alloué tient compte des prolongations de la ou des périodes de pêche.</w:t>
            </w:r>
          </w:p>
          <w:p w14:paraId="0EE553AF"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0EC80EF5"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Les flottilles et les types d'engins de la catégorie des petites embarcations sont très hétérogènes dans l'UE. Chaque État membre de l'UE est responsable de la surveillance de sa flottille, y compris de l'utilisation des quotas, conformément au règlement de contrôle de l’UE en vigueur et à la législation nationale.</w:t>
            </w:r>
          </w:p>
          <w:p w14:paraId="2BF29131" w14:textId="77777777" w:rsidR="00DF358A" w:rsidRPr="004E13E9" w:rsidRDefault="00DF358A" w:rsidP="00BB4F69">
            <w:pPr>
              <w:contextualSpacing/>
              <w:jc w:val="both"/>
              <w:rPr>
                <w:rFonts w:eastAsia="MS Gothic" w:cs="Times New Roman"/>
                <w:color w:val="000000"/>
                <w:sz w:val="18"/>
                <w:szCs w:val="18"/>
                <w:lang w:val="fr-FR" w:eastAsia="fr-FR" w:bidi="fr-FR"/>
              </w:rPr>
            </w:pPr>
          </w:p>
          <w:p w14:paraId="13B8C385" w14:textId="77777777" w:rsidR="00DF358A" w:rsidRPr="004E13E9" w:rsidRDefault="00DF358A" w:rsidP="00BB4F69">
            <w:pPr>
              <w:contextualSpacing/>
              <w:jc w:val="both"/>
              <w:rPr>
                <w:rFonts w:eastAsia="MS Gothic" w:cs="Times New Roman"/>
                <w:color w:val="000000"/>
                <w:sz w:val="18"/>
                <w:szCs w:val="18"/>
                <w:lang w:val="fr-FR" w:eastAsia="fr-FR" w:bidi="fr-FR"/>
              </w:rPr>
            </w:pPr>
            <w:r w:rsidRPr="004E13E9">
              <w:rPr>
                <w:rFonts w:eastAsia="MS Gothic" w:cs="Times New Roman"/>
                <w:color w:val="000000"/>
                <w:sz w:val="18"/>
                <w:szCs w:val="18"/>
                <w:lang w:val="fr-FR" w:eastAsia="fr-FR" w:bidi="fr-FR"/>
              </w:rPr>
              <w:t>L'utilisation des quotas pour ces allocations sectorielles est contrôlée conformément à la législation nationale.</w:t>
            </w:r>
          </w:p>
        </w:tc>
        <w:tc>
          <w:tcPr>
            <w:tcW w:w="2365" w:type="dxa"/>
          </w:tcPr>
          <w:p w14:paraId="32317A11" w14:textId="77777777" w:rsidR="00DF358A" w:rsidRPr="004E13E9" w:rsidRDefault="00DF358A" w:rsidP="00BB4F69">
            <w:pPr>
              <w:contextualSpacing/>
              <w:jc w:val="both"/>
              <w:rPr>
                <w:rFonts w:eastAsia="MS Gothic" w:cs="Times New Roman"/>
                <w:bCs/>
                <w:color w:val="000000"/>
                <w:sz w:val="18"/>
                <w:szCs w:val="18"/>
                <w:lang w:val="fr-FR" w:eastAsia="ja-JP" w:bidi="fr-FR"/>
              </w:rPr>
            </w:pPr>
          </w:p>
        </w:tc>
        <w:tc>
          <w:tcPr>
            <w:tcW w:w="2524" w:type="dxa"/>
          </w:tcPr>
          <w:p w14:paraId="2F24B339" w14:textId="77777777" w:rsidR="00DF358A" w:rsidRPr="004E13E9" w:rsidRDefault="00DF358A" w:rsidP="00BB4F69">
            <w:pPr>
              <w:contextualSpacing/>
              <w:jc w:val="both"/>
              <w:rPr>
                <w:rFonts w:eastAsia="MS Gothic" w:cs="Times New Roman"/>
                <w:color w:val="000000"/>
                <w:sz w:val="18"/>
                <w:szCs w:val="18"/>
                <w:lang w:val="fr-FR" w:eastAsia="fr-FR" w:bidi="fr-FR"/>
              </w:rPr>
            </w:pPr>
          </w:p>
        </w:tc>
      </w:tr>
    </w:tbl>
    <w:p w14:paraId="42E58303" w14:textId="77777777" w:rsidR="00DF358A" w:rsidRPr="004E13E9" w:rsidRDefault="00DF358A" w:rsidP="00DF358A">
      <w:pPr>
        <w:ind w:left="426" w:hanging="426"/>
        <w:contextualSpacing/>
        <w:rPr>
          <w:rFonts w:eastAsia="MS Gothic" w:cs="Times New Roman"/>
          <w:b/>
          <w:lang w:val="fr-FR" w:eastAsia="fr-FR" w:bidi="fr-FR"/>
        </w:rPr>
      </w:pPr>
    </w:p>
    <w:p w14:paraId="79DFE6B3" w14:textId="77777777" w:rsidR="00DF358A" w:rsidRPr="004E13E9" w:rsidRDefault="00DF358A" w:rsidP="00DF358A">
      <w:pPr>
        <w:contextualSpacing/>
        <w:rPr>
          <w:rFonts w:eastAsia="MS Gothic" w:cs="Times New Roman"/>
          <w:b/>
          <w:i/>
          <w:iCs/>
          <w:lang w:val="fr-FR" w:eastAsia="fr-FR" w:bidi="fr-FR"/>
        </w:rPr>
      </w:pPr>
      <w:r w:rsidRPr="004E13E9">
        <w:rPr>
          <w:rFonts w:eastAsia="MS Gothic" w:cs="Times New Roman"/>
          <w:b/>
          <w:i/>
          <w:iCs/>
          <w:lang w:val="fr-FR" w:eastAsia="fr-FR" w:bidi="fr-FR"/>
        </w:rPr>
        <w:t>1e) Ports désignés (paragraphe 80)</w:t>
      </w:r>
    </w:p>
    <w:p w14:paraId="1DA24E5A" w14:textId="77777777" w:rsidR="00DF358A" w:rsidRPr="004E13E9" w:rsidRDefault="00DF358A" w:rsidP="00DF358A">
      <w:pPr>
        <w:contextualSpacing/>
        <w:rPr>
          <w:rFonts w:eastAsia="MS Gothic" w:cs="Times New Roman"/>
          <w:b/>
          <w:i/>
          <w:iCs/>
          <w:lang w:val="fr-FR" w:eastAsia="fr-FR" w:bidi="fr-FR"/>
        </w:rPr>
      </w:pPr>
    </w:p>
    <w:p w14:paraId="76A486C4" w14:textId="77777777" w:rsidR="00DF358A" w:rsidRPr="004E13E9" w:rsidRDefault="00DF358A" w:rsidP="00DF358A">
      <w:pPr>
        <w:contextualSpacing/>
        <w:jc w:val="both"/>
        <w:rPr>
          <w:rFonts w:eastAsia="MS Gothic" w:cs="Times New Roman"/>
          <w:bCs/>
          <w:lang w:val="fr-FR" w:eastAsia="fr-FR" w:bidi="fr-FR"/>
        </w:rPr>
      </w:pPr>
      <w:r w:rsidRPr="004E13E9">
        <w:rPr>
          <w:rFonts w:eastAsia="MS Gothic" w:cs="Times New Roman"/>
          <w:bCs/>
          <w:lang w:val="fr-FR" w:eastAsia="fr-FR" w:bidi="fr-FR"/>
        </w:rPr>
        <w:t>Le formulaire CP24 a été soumis au Secrétariat de l'ICCAT, lequel inclut la liste des ports autorisés dans onze États membres de l'UE, y compris les États membres de l’UE qui n'ont pas de pêcheries ciblées de thon rouge de l’Est qui permettent le débarquement des prises accessoires de thon rouge de l’Est (</w:t>
      </w:r>
      <w:r w:rsidRPr="004E13E9">
        <w:rPr>
          <w:rFonts w:eastAsia="MS Gothic" w:cs="Times New Roman"/>
          <w:b/>
          <w:lang w:val="fr-FR" w:eastAsia="fr-FR" w:bidi="fr-FR"/>
        </w:rPr>
        <w:t>annexe 1</w:t>
      </w:r>
      <w:r w:rsidRPr="004E13E9">
        <w:rPr>
          <w:rFonts w:eastAsia="MS Gothic" w:cs="Times New Roman"/>
          <w:bCs/>
          <w:lang w:val="fr-FR" w:eastAsia="fr-FR" w:bidi="fr-FR"/>
        </w:rPr>
        <w:t>).</w:t>
      </w:r>
    </w:p>
    <w:p w14:paraId="20D316A0" w14:textId="77777777" w:rsidR="00DF358A" w:rsidRPr="004E13E9" w:rsidRDefault="00DF358A" w:rsidP="00DF358A">
      <w:pPr>
        <w:widowControl w:val="0"/>
        <w:ind w:left="426" w:hanging="426"/>
        <w:jc w:val="both"/>
        <w:rPr>
          <w:rFonts w:eastAsia="MS Gothic" w:cs="Times New Roman"/>
          <w:b/>
          <w:lang w:val="fr-FR" w:eastAsia="fr-FR" w:bidi="fr-FR"/>
        </w:rPr>
      </w:pPr>
    </w:p>
    <w:p w14:paraId="5D17B0B2" w14:textId="77777777" w:rsidR="00DF358A" w:rsidRPr="004E13E9" w:rsidRDefault="00DF358A" w:rsidP="00DF358A">
      <w:pPr>
        <w:widowControl w:val="0"/>
        <w:ind w:left="426" w:hanging="426"/>
        <w:jc w:val="both"/>
        <w:rPr>
          <w:rFonts w:eastAsia="MS Gothic" w:cs="Times New Roman"/>
          <w:b/>
          <w:lang w:val="fr-FR" w:eastAsia="fr-FR" w:bidi="fr-FR"/>
        </w:rPr>
      </w:pPr>
    </w:p>
    <w:p w14:paraId="70E27BD2" w14:textId="77777777" w:rsidR="00DF358A" w:rsidRPr="004E13E9" w:rsidRDefault="00DF358A" w:rsidP="00DF358A">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2.</w:t>
      </w:r>
      <w:r w:rsidRPr="004E13E9">
        <w:rPr>
          <w:rFonts w:eastAsia="MS Gothic" w:cs="Times New Roman"/>
          <w:b/>
          <w:lang w:val="fr-FR" w:eastAsia="fr-FR" w:bidi="fr-FR"/>
        </w:rPr>
        <w:tab/>
        <w:t>Plan annuel de gestion de la capacité de pêche (paragraphes 14-21)</w:t>
      </w:r>
    </w:p>
    <w:p w14:paraId="3BB51B5B" w14:textId="77777777" w:rsidR="00DF358A" w:rsidRPr="004E13E9" w:rsidRDefault="00DF358A" w:rsidP="00DF358A">
      <w:pPr>
        <w:contextualSpacing/>
        <w:rPr>
          <w:rFonts w:eastAsia="MS Gothic" w:cs="Times New Roman"/>
          <w:b/>
          <w:i/>
          <w:lang w:val="fr-FR" w:eastAsia="fr-FR" w:bidi="fr-FR"/>
        </w:rPr>
      </w:pPr>
    </w:p>
    <w:p w14:paraId="2DE73379"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Le plan de gestion de la capacité de l'Union européenne est détaillé ci-dessous au titre du point 7 – tableau de la capacité.</w:t>
      </w:r>
    </w:p>
    <w:p w14:paraId="19AE7264" w14:textId="77777777" w:rsidR="00DF358A" w:rsidRPr="004E13E9" w:rsidRDefault="00DF358A" w:rsidP="00DF358A">
      <w:pPr>
        <w:contextualSpacing/>
        <w:jc w:val="both"/>
        <w:rPr>
          <w:rFonts w:eastAsia="MS Gothic" w:cs="Times New Roman"/>
          <w:lang w:val="fr-FR" w:eastAsia="fr-FR" w:bidi="fr-FR"/>
        </w:rPr>
      </w:pPr>
    </w:p>
    <w:p w14:paraId="54671A1A" w14:textId="77777777" w:rsidR="00DF358A" w:rsidRPr="004E13E9" w:rsidRDefault="00DF358A" w:rsidP="00DF358A">
      <w:pPr>
        <w:contextualSpacing/>
        <w:jc w:val="both"/>
        <w:rPr>
          <w:rFonts w:eastAsia="MS Gothic" w:cs="Times New Roman"/>
          <w:lang w:val="fr-FR" w:eastAsia="fr-FR" w:bidi="fr-FR"/>
        </w:rPr>
      </w:pPr>
    </w:p>
    <w:p w14:paraId="126144FE" w14:textId="77777777" w:rsidR="00DF358A" w:rsidRPr="004E13E9" w:rsidRDefault="00DF358A" w:rsidP="00DF358A">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3.</w:t>
      </w:r>
      <w:r w:rsidRPr="004E13E9">
        <w:rPr>
          <w:rFonts w:eastAsia="MS Gothic" w:cs="Times New Roman"/>
          <w:b/>
          <w:lang w:val="fr-FR" w:eastAsia="fr-FR" w:bidi="fr-FR"/>
        </w:rPr>
        <w:tab/>
        <w:t>Plan annuel de gestion de l’élevage (paragraphes 22 et 23), le cas échéant</w:t>
      </w:r>
    </w:p>
    <w:p w14:paraId="38A08D2E" w14:textId="77777777" w:rsidR="00DF358A" w:rsidRPr="004E13E9" w:rsidRDefault="00DF358A" w:rsidP="00DF358A">
      <w:pPr>
        <w:contextualSpacing/>
        <w:jc w:val="both"/>
        <w:rPr>
          <w:rFonts w:eastAsia="MS Gothic" w:cs="Times New Roman"/>
          <w:b/>
          <w:lang w:val="fr-FR" w:eastAsia="fr-FR" w:bidi="fr-FR"/>
        </w:rPr>
      </w:pPr>
    </w:p>
    <w:p w14:paraId="0254ED70"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Le plan de gestion de l’élevage de l'Union européenne est détaillé ci-dessous. Ce plan de l’élevage comprend des montants préliminaires basés sur l’allocation prévue des quotas entre les États membres de l'UE aux opérations de pêche dans les fermes et les importations prévues en provenance d'autres CPC.</w:t>
      </w:r>
    </w:p>
    <w:p w14:paraId="0F259F5B" w14:textId="77777777" w:rsidR="00DF358A" w:rsidRPr="004E13E9" w:rsidRDefault="00DF358A" w:rsidP="00DF358A">
      <w:pPr>
        <w:contextualSpacing/>
        <w:rPr>
          <w:rFonts w:eastAsia="MS Gothic" w:cs="Times New Roman"/>
          <w:lang w:val="fr-FR" w:eastAsia="fr-FR" w:bidi="fr-FR"/>
        </w:rPr>
      </w:pPr>
    </w:p>
    <w:p w14:paraId="315F2C58" w14:textId="77777777" w:rsidR="00DF358A" w:rsidRPr="004E13E9" w:rsidRDefault="00DF358A" w:rsidP="00DF358A">
      <w:pPr>
        <w:contextualSpacing/>
        <w:jc w:val="both"/>
        <w:rPr>
          <w:lang w:val="fr-FR"/>
        </w:rPr>
      </w:pPr>
      <w:r w:rsidRPr="004E13E9">
        <w:rPr>
          <w:lang w:val="fr-FR"/>
        </w:rPr>
        <w:t>Par la présente, l'UE se réserve le droit de soumettre, le cas échéant, des plans de gestion d'élevage révisés au Secrétariat avant le 1</w:t>
      </w:r>
      <w:r w:rsidRPr="004E13E9">
        <w:rPr>
          <w:vertAlign w:val="superscript"/>
          <w:lang w:val="fr-FR"/>
        </w:rPr>
        <w:t>er</w:t>
      </w:r>
      <w:r w:rsidRPr="004E13E9">
        <w:rPr>
          <w:lang w:val="fr-FR"/>
        </w:rPr>
        <w:t xml:space="preserve"> juin 2026, conformément au paragraphe 20 de la Rec. 25-04 de l’ICCAT établissant un plan pluriannuel de gestion du thon rouge dans l’Atlantique Est et la Méditerranée.</w:t>
      </w:r>
    </w:p>
    <w:p w14:paraId="2B3504FC" w14:textId="77777777" w:rsidR="00DF358A" w:rsidRPr="004E13E9" w:rsidRDefault="00DF358A" w:rsidP="00DF358A">
      <w:pPr>
        <w:contextualSpacing/>
        <w:jc w:val="both"/>
        <w:rPr>
          <w:rFonts w:eastAsia="MS Gothic" w:cs="Times New Roman"/>
          <w:color w:val="000000"/>
          <w:sz w:val="2"/>
          <w:szCs w:val="2"/>
          <w:lang w:val="fr-FR" w:eastAsia="fr-FR" w:bidi="fr-FR"/>
        </w:rPr>
      </w:pPr>
    </w:p>
    <w:tbl>
      <w:tblPr>
        <w:tblStyle w:val="LightShading2"/>
        <w:tblpPr w:leftFromText="141" w:rightFromText="141" w:vertAnchor="text" w:horzAnchor="page" w:tblpXSpec="center" w:tblpY="367"/>
        <w:tblOverlap w:val="neve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76"/>
        <w:gridCol w:w="2693"/>
      </w:tblGrid>
      <w:tr w:rsidR="00DF358A" w:rsidRPr="004E13E9" w14:paraId="7C6B14A2" w14:textId="77777777" w:rsidTr="00E30BD1">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276" w:type="dxa"/>
            <w:tcBorders>
              <w:top w:val="none" w:sz="0" w:space="0" w:color="auto"/>
              <w:left w:val="none" w:sz="0" w:space="0" w:color="auto"/>
              <w:bottom w:val="none" w:sz="0" w:space="0" w:color="auto"/>
              <w:right w:val="none" w:sz="0" w:space="0" w:color="auto"/>
            </w:tcBorders>
            <w:vAlign w:val="center"/>
          </w:tcPr>
          <w:p w14:paraId="2C0D094C" w14:textId="77777777" w:rsidR="00DF358A" w:rsidRPr="004E13E9" w:rsidRDefault="00DF358A" w:rsidP="00BB4F69">
            <w:pPr>
              <w:widowControl w:val="0"/>
              <w:jc w:val="both"/>
              <w:rPr>
                <w:rFonts w:ascii="Cambria" w:hAnsi="Cambria"/>
                <w:sz w:val="18"/>
                <w:szCs w:val="18"/>
                <w:lang w:val="fr-FR"/>
              </w:rPr>
            </w:pPr>
            <w:bookmarkStart w:id="19" w:name="_Hlk73004707"/>
            <w:bookmarkStart w:id="20" w:name="_Hlk65761603"/>
          </w:p>
        </w:tc>
        <w:tc>
          <w:tcPr>
            <w:tcW w:w="2693" w:type="dxa"/>
            <w:tcBorders>
              <w:top w:val="none" w:sz="0" w:space="0" w:color="auto"/>
              <w:left w:val="none" w:sz="0" w:space="0" w:color="auto"/>
              <w:bottom w:val="none" w:sz="0" w:space="0" w:color="auto"/>
              <w:right w:val="none" w:sz="0" w:space="0" w:color="auto"/>
            </w:tcBorders>
            <w:vAlign w:val="center"/>
          </w:tcPr>
          <w:p w14:paraId="0B2A629C" w14:textId="77777777" w:rsidR="00DF358A" w:rsidRPr="004E13E9" w:rsidRDefault="00DF358A" w:rsidP="00BB4F69">
            <w:pPr>
              <w:keepNext/>
              <w:keepLines/>
              <w:jc w:val="center"/>
              <w:outlineLvl w:val="0"/>
              <w:cnfStyle w:val="100000000000" w:firstRow="1" w:lastRow="0" w:firstColumn="0" w:lastColumn="0" w:oddVBand="0" w:evenVBand="0" w:oddHBand="0" w:evenHBand="0" w:firstRowFirstColumn="0" w:firstRowLastColumn="0" w:lastRowFirstColumn="0" w:lastRowLastColumn="0"/>
              <w:rPr>
                <w:rFonts w:ascii="Cambria" w:hAnsi="Cambria"/>
                <w:i/>
                <w:color w:val="auto"/>
                <w:sz w:val="18"/>
                <w:szCs w:val="18"/>
                <w:lang w:val="fr-FR"/>
              </w:rPr>
            </w:pPr>
            <w:r w:rsidRPr="004E13E9">
              <w:rPr>
                <w:rFonts w:ascii="Cambria" w:hAnsi="Cambria"/>
                <w:b w:val="0"/>
                <w:bCs w:val="0"/>
                <w:i/>
                <w:color w:val="auto"/>
                <w:sz w:val="18"/>
                <w:szCs w:val="18"/>
                <w:lang w:val="fr-FR"/>
              </w:rPr>
              <w:t>Intrants sauvages (t)</w:t>
            </w:r>
          </w:p>
          <w:p w14:paraId="74159E69" w14:textId="77777777" w:rsidR="00DF358A" w:rsidRPr="004E13E9" w:rsidRDefault="00DF358A" w:rsidP="00BB4F69">
            <w:pPr>
              <w:keepNext/>
              <w:keepLines/>
              <w:jc w:val="center"/>
              <w:outlineLvl w:val="0"/>
              <w:cnfStyle w:val="100000000000" w:firstRow="1" w:lastRow="0" w:firstColumn="0" w:lastColumn="0" w:oddVBand="0" w:evenVBand="0" w:oddHBand="0" w:evenHBand="0" w:firstRowFirstColumn="0" w:firstRowLastColumn="0" w:lastRowFirstColumn="0" w:lastRowLastColumn="0"/>
              <w:rPr>
                <w:rFonts w:ascii="Cambria" w:hAnsi="Cambria"/>
                <w:b w:val="0"/>
                <w:bCs w:val="0"/>
                <w:sz w:val="18"/>
                <w:szCs w:val="18"/>
                <w:lang w:val="fr-FR"/>
              </w:rPr>
            </w:pPr>
            <w:r w:rsidRPr="004E13E9">
              <w:rPr>
                <w:rFonts w:ascii="Cambria" w:hAnsi="Cambria"/>
                <w:b w:val="0"/>
                <w:bCs w:val="0"/>
                <w:i/>
                <w:color w:val="auto"/>
                <w:sz w:val="18"/>
                <w:szCs w:val="18"/>
                <w:lang w:val="fr-FR"/>
              </w:rPr>
              <w:t>2026</w:t>
            </w:r>
          </w:p>
        </w:tc>
      </w:tr>
      <w:tr w:rsidR="00DF358A" w:rsidRPr="004E13E9" w14:paraId="16EAFA1B" w14:textId="77777777" w:rsidTr="00E30BD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6" w:type="dxa"/>
            <w:tcBorders>
              <w:left w:val="none" w:sz="0" w:space="0" w:color="auto"/>
              <w:right w:val="none" w:sz="0" w:space="0" w:color="auto"/>
            </w:tcBorders>
            <w:shd w:val="clear" w:color="auto" w:fill="auto"/>
            <w:vAlign w:val="center"/>
          </w:tcPr>
          <w:p w14:paraId="330379AC" w14:textId="77777777" w:rsidR="00DF358A" w:rsidRPr="004E13E9" w:rsidRDefault="00DF358A" w:rsidP="00BB4F69">
            <w:pPr>
              <w:keepNext/>
              <w:keepLines/>
              <w:jc w:val="both"/>
              <w:outlineLvl w:val="0"/>
              <w:rPr>
                <w:rFonts w:ascii="Cambria" w:hAnsi="Cambria"/>
                <w:b w:val="0"/>
                <w:bCs w:val="0"/>
                <w:i/>
                <w:iCs/>
                <w:color w:val="auto"/>
                <w:sz w:val="18"/>
                <w:szCs w:val="18"/>
                <w:lang w:val="fr-FR"/>
              </w:rPr>
            </w:pPr>
            <w:r w:rsidRPr="004E13E9">
              <w:rPr>
                <w:rFonts w:ascii="Cambria" w:hAnsi="Cambria"/>
                <w:b w:val="0"/>
                <w:bCs w:val="0"/>
                <w:i/>
                <w:iCs/>
                <w:color w:val="auto"/>
                <w:sz w:val="18"/>
                <w:szCs w:val="18"/>
                <w:lang w:val="fr-FR"/>
              </w:rPr>
              <w:t>Espagne</w:t>
            </w:r>
          </w:p>
        </w:tc>
        <w:tc>
          <w:tcPr>
            <w:tcW w:w="2693" w:type="dxa"/>
            <w:tcBorders>
              <w:left w:val="none" w:sz="0" w:space="0" w:color="auto"/>
              <w:right w:val="none" w:sz="0" w:space="0" w:color="auto"/>
            </w:tcBorders>
            <w:shd w:val="clear" w:color="auto" w:fill="auto"/>
          </w:tcPr>
          <w:p w14:paraId="275F87D7" w14:textId="77777777" w:rsidR="00DF358A" w:rsidRPr="004E13E9" w:rsidRDefault="00DF358A" w:rsidP="00BB4F69">
            <w:pPr>
              <w:keepNext/>
              <w:keepLines/>
              <w:jc w:val="center"/>
              <w:outlineLvl w:val="0"/>
              <w:cnfStyle w:val="000000100000" w:firstRow="0" w:lastRow="0" w:firstColumn="0" w:lastColumn="0" w:oddVBand="0" w:evenVBand="0" w:oddHBand="1" w:evenHBand="0" w:firstRowFirstColumn="0" w:firstRowLastColumn="0" w:lastRowFirstColumn="0" w:lastRowLastColumn="0"/>
              <w:rPr>
                <w:rFonts w:ascii="Cambria" w:hAnsi="Cambria"/>
                <w:color w:val="auto"/>
                <w:sz w:val="18"/>
                <w:szCs w:val="18"/>
                <w:lang w:val="fr-FR"/>
              </w:rPr>
            </w:pPr>
            <w:r w:rsidRPr="004E13E9">
              <w:rPr>
                <w:rFonts w:ascii="Cambria" w:hAnsi="Cambria"/>
                <w:sz w:val="18"/>
                <w:szCs w:val="18"/>
              </w:rPr>
              <w:t>10.550</w:t>
            </w:r>
          </w:p>
        </w:tc>
      </w:tr>
      <w:tr w:rsidR="00DF358A" w:rsidRPr="004E13E9" w14:paraId="2D3A2E0B" w14:textId="77777777" w:rsidTr="00E30BD1">
        <w:trPr>
          <w:trHeight w:val="297"/>
        </w:trPr>
        <w:tc>
          <w:tcPr>
            <w:cnfStyle w:val="001000000000" w:firstRow="0" w:lastRow="0" w:firstColumn="1" w:lastColumn="0" w:oddVBand="0" w:evenVBand="0" w:oddHBand="0" w:evenHBand="0" w:firstRowFirstColumn="0" w:firstRowLastColumn="0" w:lastRowFirstColumn="0" w:lastRowLastColumn="0"/>
            <w:tcW w:w="1276" w:type="dxa"/>
            <w:vAlign w:val="center"/>
          </w:tcPr>
          <w:p w14:paraId="4F899DB9" w14:textId="77777777" w:rsidR="00DF358A" w:rsidRPr="004E13E9" w:rsidRDefault="00DF358A" w:rsidP="00BB4F69">
            <w:pPr>
              <w:keepNext/>
              <w:keepLines/>
              <w:jc w:val="both"/>
              <w:outlineLvl w:val="0"/>
              <w:rPr>
                <w:rFonts w:ascii="Cambria" w:hAnsi="Cambria"/>
                <w:b w:val="0"/>
                <w:bCs w:val="0"/>
                <w:i/>
                <w:iCs/>
                <w:color w:val="auto"/>
                <w:sz w:val="18"/>
                <w:szCs w:val="18"/>
                <w:lang w:val="fr-FR"/>
              </w:rPr>
            </w:pPr>
            <w:r w:rsidRPr="004E13E9">
              <w:rPr>
                <w:rFonts w:ascii="Cambria" w:hAnsi="Cambria"/>
                <w:b w:val="0"/>
                <w:bCs w:val="0"/>
                <w:i/>
                <w:iCs/>
                <w:color w:val="auto"/>
                <w:sz w:val="18"/>
                <w:szCs w:val="18"/>
                <w:lang w:val="fr-FR"/>
              </w:rPr>
              <w:t>Croatie</w:t>
            </w:r>
          </w:p>
        </w:tc>
        <w:tc>
          <w:tcPr>
            <w:tcW w:w="2693" w:type="dxa"/>
          </w:tcPr>
          <w:p w14:paraId="6D7499B9" w14:textId="77777777" w:rsidR="00DF358A" w:rsidRPr="004E13E9" w:rsidRDefault="00DF358A" w:rsidP="00BB4F69">
            <w:pPr>
              <w:keepNext/>
              <w:keepLines/>
              <w:jc w:val="center"/>
              <w:outlineLvl w:val="0"/>
              <w:cnfStyle w:val="000000000000" w:firstRow="0" w:lastRow="0" w:firstColumn="0" w:lastColumn="0" w:oddVBand="0" w:evenVBand="0" w:oddHBand="0" w:evenHBand="0" w:firstRowFirstColumn="0" w:firstRowLastColumn="0" w:lastRowFirstColumn="0" w:lastRowLastColumn="0"/>
              <w:rPr>
                <w:rFonts w:ascii="Cambria" w:hAnsi="Cambria"/>
                <w:color w:val="auto"/>
                <w:sz w:val="18"/>
                <w:szCs w:val="18"/>
                <w:lang w:val="fr-FR"/>
              </w:rPr>
            </w:pPr>
            <w:r w:rsidRPr="004E13E9">
              <w:rPr>
                <w:rFonts w:ascii="Cambria" w:hAnsi="Cambria"/>
                <w:sz w:val="18"/>
                <w:szCs w:val="18"/>
              </w:rPr>
              <w:t>2.947,00</w:t>
            </w:r>
          </w:p>
        </w:tc>
      </w:tr>
      <w:tr w:rsidR="00DF358A" w:rsidRPr="004E13E9" w14:paraId="2F9CDDF3" w14:textId="77777777" w:rsidTr="00E30BD1">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276" w:type="dxa"/>
            <w:tcBorders>
              <w:left w:val="none" w:sz="0" w:space="0" w:color="auto"/>
              <w:right w:val="none" w:sz="0" w:space="0" w:color="auto"/>
            </w:tcBorders>
            <w:shd w:val="clear" w:color="auto" w:fill="auto"/>
            <w:vAlign w:val="center"/>
          </w:tcPr>
          <w:p w14:paraId="2C051BC3" w14:textId="77777777" w:rsidR="00DF358A" w:rsidRPr="004E13E9" w:rsidRDefault="00DF358A" w:rsidP="00BB4F69">
            <w:pPr>
              <w:keepNext/>
              <w:keepLines/>
              <w:jc w:val="both"/>
              <w:outlineLvl w:val="0"/>
              <w:rPr>
                <w:rFonts w:ascii="Cambria" w:hAnsi="Cambria"/>
                <w:b w:val="0"/>
                <w:bCs w:val="0"/>
                <w:i/>
                <w:iCs/>
                <w:color w:val="auto"/>
                <w:sz w:val="18"/>
                <w:szCs w:val="18"/>
                <w:lang w:val="fr-FR"/>
              </w:rPr>
            </w:pPr>
            <w:r w:rsidRPr="004E13E9">
              <w:rPr>
                <w:rFonts w:ascii="Cambria" w:hAnsi="Cambria"/>
                <w:b w:val="0"/>
                <w:bCs w:val="0"/>
                <w:i/>
                <w:iCs/>
                <w:color w:val="auto"/>
                <w:sz w:val="18"/>
                <w:szCs w:val="18"/>
                <w:lang w:val="fr-FR"/>
              </w:rPr>
              <w:t>Malte</w:t>
            </w:r>
          </w:p>
        </w:tc>
        <w:tc>
          <w:tcPr>
            <w:tcW w:w="2693" w:type="dxa"/>
            <w:tcBorders>
              <w:left w:val="none" w:sz="0" w:space="0" w:color="auto"/>
              <w:right w:val="none" w:sz="0" w:space="0" w:color="auto"/>
            </w:tcBorders>
            <w:shd w:val="clear" w:color="auto" w:fill="auto"/>
          </w:tcPr>
          <w:p w14:paraId="5B06D16B" w14:textId="77777777" w:rsidR="00DF358A" w:rsidRPr="004E13E9" w:rsidRDefault="00DF358A" w:rsidP="00BB4F69">
            <w:pPr>
              <w:keepNext/>
              <w:keepLines/>
              <w:jc w:val="center"/>
              <w:outlineLvl w:val="0"/>
              <w:cnfStyle w:val="000000100000" w:firstRow="0" w:lastRow="0" w:firstColumn="0" w:lastColumn="0" w:oddVBand="0" w:evenVBand="0" w:oddHBand="1" w:evenHBand="0" w:firstRowFirstColumn="0" w:firstRowLastColumn="0" w:lastRowFirstColumn="0" w:lastRowLastColumn="0"/>
              <w:rPr>
                <w:rFonts w:ascii="Cambria" w:hAnsi="Cambria"/>
                <w:color w:val="auto"/>
                <w:sz w:val="18"/>
                <w:szCs w:val="18"/>
                <w:lang w:val="fr-FR"/>
              </w:rPr>
            </w:pPr>
            <w:r w:rsidRPr="004E13E9">
              <w:rPr>
                <w:rFonts w:ascii="Cambria" w:hAnsi="Cambria"/>
                <w:sz w:val="18"/>
                <w:szCs w:val="18"/>
              </w:rPr>
              <w:t>8.786,00</w:t>
            </w:r>
          </w:p>
        </w:tc>
      </w:tr>
      <w:tr w:rsidR="00DF358A" w:rsidRPr="004E13E9" w14:paraId="742900AD" w14:textId="77777777" w:rsidTr="00E30BD1">
        <w:trPr>
          <w:trHeight w:val="290"/>
        </w:trPr>
        <w:tc>
          <w:tcPr>
            <w:cnfStyle w:val="001000000000" w:firstRow="0" w:lastRow="0" w:firstColumn="1" w:lastColumn="0" w:oddVBand="0" w:evenVBand="0" w:oddHBand="0" w:evenHBand="0" w:firstRowFirstColumn="0" w:firstRowLastColumn="0" w:lastRowFirstColumn="0" w:lastRowLastColumn="0"/>
            <w:tcW w:w="1276" w:type="dxa"/>
            <w:vAlign w:val="center"/>
          </w:tcPr>
          <w:p w14:paraId="2FFB7238" w14:textId="77777777" w:rsidR="00DF358A" w:rsidRPr="004E13E9" w:rsidRDefault="00DF358A" w:rsidP="00BB4F69">
            <w:pPr>
              <w:keepNext/>
              <w:keepLines/>
              <w:jc w:val="both"/>
              <w:outlineLvl w:val="0"/>
              <w:rPr>
                <w:rFonts w:ascii="Cambria" w:hAnsi="Cambria"/>
                <w:b w:val="0"/>
                <w:bCs w:val="0"/>
                <w:i/>
                <w:iCs/>
                <w:color w:val="auto"/>
                <w:sz w:val="18"/>
                <w:szCs w:val="18"/>
                <w:lang w:val="fr-FR"/>
              </w:rPr>
            </w:pPr>
            <w:r w:rsidRPr="004E13E9">
              <w:rPr>
                <w:rFonts w:ascii="Cambria" w:hAnsi="Cambria"/>
                <w:b w:val="0"/>
                <w:bCs w:val="0"/>
                <w:i/>
                <w:iCs/>
                <w:color w:val="auto"/>
                <w:sz w:val="18"/>
                <w:szCs w:val="18"/>
                <w:lang w:val="fr-FR"/>
              </w:rPr>
              <w:t>Portugal</w:t>
            </w:r>
          </w:p>
        </w:tc>
        <w:tc>
          <w:tcPr>
            <w:tcW w:w="2693" w:type="dxa"/>
          </w:tcPr>
          <w:p w14:paraId="5C5997FF" w14:textId="77777777" w:rsidR="00DF358A" w:rsidRPr="004E13E9" w:rsidRDefault="00DF358A" w:rsidP="00BB4F69">
            <w:pPr>
              <w:keepNext/>
              <w:keepLines/>
              <w:jc w:val="center"/>
              <w:outlineLvl w:val="0"/>
              <w:cnfStyle w:val="000000000000" w:firstRow="0" w:lastRow="0" w:firstColumn="0" w:lastColumn="0" w:oddVBand="0" w:evenVBand="0" w:oddHBand="0" w:evenHBand="0" w:firstRowFirstColumn="0" w:firstRowLastColumn="0" w:lastRowFirstColumn="0" w:lastRowLastColumn="0"/>
              <w:rPr>
                <w:rFonts w:ascii="Cambria" w:hAnsi="Cambria"/>
                <w:color w:val="auto"/>
                <w:sz w:val="18"/>
                <w:szCs w:val="18"/>
                <w:lang w:val="fr-FR"/>
              </w:rPr>
            </w:pPr>
            <w:r w:rsidRPr="004E13E9">
              <w:rPr>
                <w:rFonts w:ascii="Cambria" w:hAnsi="Cambria"/>
                <w:sz w:val="18"/>
                <w:szCs w:val="18"/>
              </w:rPr>
              <w:t>626,00</w:t>
            </w:r>
          </w:p>
        </w:tc>
      </w:tr>
      <w:tr w:rsidR="00DF358A" w:rsidRPr="004E13E9" w14:paraId="05DEAE3E" w14:textId="77777777" w:rsidTr="00E30BD1">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276" w:type="dxa"/>
            <w:tcBorders>
              <w:left w:val="none" w:sz="0" w:space="0" w:color="auto"/>
              <w:right w:val="none" w:sz="0" w:space="0" w:color="auto"/>
            </w:tcBorders>
            <w:shd w:val="clear" w:color="auto" w:fill="auto"/>
            <w:vAlign w:val="center"/>
          </w:tcPr>
          <w:p w14:paraId="640BF464" w14:textId="77777777" w:rsidR="00DF358A" w:rsidRPr="004E13E9" w:rsidRDefault="00DF358A" w:rsidP="00BB4F69">
            <w:pPr>
              <w:keepNext/>
              <w:keepLines/>
              <w:jc w:val="both"/>
              <w:outlineLvl w:val="0"/>
              <w:rPr>
                <w:rFonts w:ascii="Cambria" w:hAnsi="Cambria"/>
                <w:b w:val="0"/>
                <w:bCs w:val="0"/>
                <w:i/>
                <w:iCs/>
                <w:color w:val="auto"/>
                <w:sz w:val="18"/>
                <w:szCs w:val="18"/>
                <w:lang w:val="fr-FR"/>
              </w:rPr>
            </w:pPr>
            <w:r w:rsidRPr="004E13E9">
              <w:rPr>
                <w:rFonts w:ascii="Cambria" w:hAnsi="Cambria"/>
                <w:b w:val="0"/>
                <w:bCs w:val="0"/>
                <w:i/>
                <w:iCs/>
                <w:color w:val="auto"/>
                <w:sz w:val="18"/>
                <w:szCs w:val="18"/>
                <w:lang w:val="fr-FR"/>
              </w:rPr>
              <w:t>Italie</w:t>
            </w:r>
          </w:p>
        </w:tc>
        <w:tc>
          <w:tcPr>
            <w:tcW w:w="2693" w:type="dxa"/>
            <w:tcBorders>
              <w:left w:val="none" w:sz="0" w:space="0" w:color="auto"/>
              <w:right w:val="none" w:sz="0" w:space="0" w:color="auto"/>
            </w:tcBorders>
            <w:shd w:val="clear" w:color="auto" w:fill="auto"/>
          </w:tcPr>
          <w:p w14:paraId="39AB90CC" w14:textId="77777777" w:rsidR="00DF358A" w:rsidRPr="004E13E9" w:rsidRDefault="00DF358A" w:rsidP="00BB4F69">
            <w:pPr>
              <w:keepNext/>
              <w:keepLines/>
              <w:jc w:val="center"/>
              <w:outlineLvl w:val="0"/>
              <w:cnfStyle w:val="000000100000" w:firstRow="0" w:lastRow="0" w:firstColumn="0" w:lastColumn="0" w:oddVBand="0" w:evenVBand="0" w:oddHBand="1" w:evenHBand="0" w:firstRowFirstColumn="0" w:firstRowLastColumn="0" w:lastRowFirstColumn="0" w:lastRowLastColumn="0"/>
              <w:rPr>
                <w:rFonts w:ascii="Cambria" w:hAnsi="Cambria"/>
                <w:color w:val="auto"/>
                <w:sz w:val="18"/>
                <w:szCs w:val="18"/>
                <w:lang w:val="fr-FR"/>
              </w:rPr>
            </w:pPr>
            <w:r w:rsidRPr="004E13E9">
              <w:rPr>
                <w:rFonts w:ascii="Cambria" w:hAnsi="Cambria"/>
                <w:sz w:val="18"/>
                <w:szCs w:val="18"/>
              </w:rPr>
              <w:t>5.197,90</w:t>
            </w:r>
          </w:p>
        </w:tc>
      </w:tr>
      <w:tr w:rsidR="00DF358A" w:rsidRPr="004E13E9" w14:paraId="68186A3D" w14:textId="77777777" w:rsidTr="00E30BD1">
        <w:trPr>
          <w:trHeight w:val="290"/>
        </w:trPr>
        <w:tc>
          <w:tcPr>
            <w:cnfStyle w:val="001000000000" w:firstRow="0" w:lastRow="0" w:firstColumn="1" w:lastColumn="0" w:oddVBand="0" w:evenVBand="0" w:oddHBand="0" w:evenHBand="0" w:firstRowFirstColumn="0" w:firstRowLastColumn="0" w:lastRowFirstColumn="0" w:lastRowLastColumn="0"/>
            <w:tcW w:w="1276" w:type="dxa"/>
          </w:tcPr>
          <w:p w14:paraId="4ACF229E" w14:textId="77777777" w:rsidR="00DF358A" w:rsidRPr="004E13E9" w:rsidRDefault="00DF358A" w:rsidP="00BB4F69">
            <w:pPr>
              <w:keepNext/>
              <w:keepLines/>
              <w:jc w:val="both"/>
              <w:outlineLvl w:val="0"/>
              <w:rPr>
                <w:rFonts w:ascii="Cambria" w:hAnsi="Cambria"/>
                <w:color w:val="auto"/>
                <w:sz w:val="18"/>
                <w:szCs w:val="18"/>
                <w:lang w:val="fr-FR"/>
              </w:rPr>
            </w:pPr>
            <w:r w:rsidRPr="004E13E9">
              <w:rPr>
                <w:rFonts w:ascii="Cambria" w:hAnsi="Cambria"/>
                <w:color w:val="auto"/>
                <w:sz w:val="18"/>
                <w:szCs w:val="18"/>
                <w:lang w:val="fr-FR"/>
              </w:rPr>
              <w:t>Total UE</w:t>
            </w:r>
          </w:p>
        </w:tc>
        <w:tc>
          <w:tcPr>
            <w:tcW w:w="2693" w:type="dxa"/>
          </w:tcPr>
          <w:p w14:paraId="076FD3AE" w14:textId="77777777" w:rsidR="00DF358A" w:rsidRPr="004E13E9" w:rsidRDefault="00DF358A" w:rsidP="00BB4F69">
            <w:pPr>
              <w:keepNext/>
              <w:keepLines/>
              <w:jc w:val="center"/>
              <w:outlineLvl w:val="0"/>
              <w:cnfStyle w:val="000000000000" w:firstRow="0" w:lastRow="0" w:firstColumn="0" w:lastColumn="0" w:oddVBand="0" w:evenVBand="0" w:oddHBand="0" w:evenHBand="0" w:firstRowFirstColumn="0" w:firstRowLastColumn="0" w:lastRowFirstColumn="0" w:lastRowLastColumn="0"/>
              <w:rPr>
                <w:rFonts w:ascii="Cambria" w:hAnsi="Cambria"/>
                <w:b/>
                <w:bCs/>
                <w:color w:val="auto"/>
                <w:sz w:val="18"/>
                <w:szCs w:val="18"/>
                <w:lang w:val="fr-FR"/>
              </w:rPr>
            </w:pPr>
            <w:r w:rsidRPr="004E13E9">
              <w:rPr>
                <w:rFonts w:ascii="Cambria" w:hAnsi="Cambria"/>
                <w:b/>
                <w:bCs/>
                <w:sz w:val="18"/>
                <w:szCs w:val="18"/>
              </w:rPr>
              <w:t>28.106,90</w:t>
            </w:r>
          </w:p>
        </w:tc>
      </w:tr>
      <w:bookmarkEnd w:id="19"/>
      <w:bookmarkEnd w:id="20"/>
    </w:tbl>
    <w:p w14:paraId="0BB09090" w14:textId="77777777" w:rsidR="00DF358A" w:rsidRPr="004E13E9" w:rsidRDefault="00DF358A" w:rsidP="00DF358A">
      <w:pPr>
        <w:contextualSpacing/>
        <w:jc w:val="both"/>
        <w:rPr>
          <w:rFonts w:eastAsia="MS Gothic" w:cs="Times New Roman"/>
          <w:color w:val="000000"/>
          <w:lang w:eastAsia="fr-FR" w:bidi="fr-FR"/>
        </w:rPr>
      </w:pPr>
    </w:p>
    <w:p w14:paraId="0FA69518" w14:textId="77777777" w:rsidR="00DF358A" w:rsidRPr="004E13E9" w:rsidRDefault="00DF358A" w:rsidP="00DF358A">
      <w:pPr>
        <w:contextualSpacing/>
        <w:jc w:val="both"/>
        <w:rPr>
          <w:rFonts w:eastAsia="MS Gothic" w:cs="Times New Roman"/>
          <w:color w:val="000000"/>
          <w:lang w:eastAsia="fr-FR" w:bidi="fr-FR"/>
        </w:rPr>
      </w:pPr>
    </w:p>
    <w:p w14:paraId="04B276B7" w14:textId="77777777" w:rsidR="00DF358A" w:rsidRPr="004E13E9" w:rsidRDefault="00DF358A" w:rsidP="00DF358A">
      <w:pPr>
        <w:contextualSpacing/>
        <w:rPr>
          <w:rFonts w:eastAsia="MS Gothic" w:cs="Times New Roman"/>
          <w:color w:val="000000"/>
          <w:sz w:val="24"/>
          <w:szCs w:val="24"/>
          <w:lang w:eastAsia="fr-FR" w:bidi="fr-FR"/>
        </w:rPr>
      </w:pPr>
    </w:p>
    <w:p w14:paraId="4D80F869" w14:textId="77777777" w:rsidR="00DF358A" w:rsidRPr="004E13E9" w:rsidRDefault="00DF358A" w:rsidP="00DF358A">
      <w:pPr>
        <w:keepNext/>
        <w:keepLines/>
        <w:contextualSpacing/>
        <w:outlineLvl w:val="0"/>
        <w:rPr>
          <w:rFonts w:eastAsia="MS Gothic" w:cs="Times New Roman"/>
          <w:color w:val="2E74B5"/>
          <w:lang w:eastAsia="fr-FR" w:bidi="fr-FR"/>
        </w:rPr>
      </w:pPr>
    </w:p>
    <w:p w14:paraId="67C6BB3E" w14:textId="77777777" w:rsidR="00DF358A" w:rsidRPr="004E13E9" w:rsidRDefault="00DF358A" w:rsidP="00DF358A">
      <w:pPr>
        <w:contextualSpacing/>
        <w:rPr>
          <w:rFonts w:eastAsia="MS Gothic" w:cs="Times New Roman"/>
          <w:color w:val="000000"/>
          <w:lang w:eastAsia="fr-FR" w:bidi="fr-FR"/>
        </w:rPr>
      </w:pPr>
    </w:p>
    <w:p w14:paraId="4E0A3754" w14:textId="77777777" w:rsidR="00DF358A" w:rsidRPr="004E13E9" w:rsidRDefault="00DF358A" w:rsidP="00DF358A">
      <w:pPr>
        <w:contextualSpacing/>
        <w:rPr>
          <w:rFonts w:eastAsia="MS Gothic" w:cs="Times New Roman"/>
          <w:color w:val="000000"/>
          <w:lang w:eastAsia="fr-FR" w:bidi="fr-FR"/>
        </w:rPr>
      </w:pPr>
    </w:p>
    <w:p w14:paraId="78F96A61" w14:textId="77777777" w:rsidR="00DF358A" w:rsidRPr="004E13E9" w:rsidRDefault="00DF358A" w:rsidP="00DF358A">
      <w:pPr>
        <w:keepNext/>
        <w:keepLines/>
        <w:contextualSpacing/>
        <w:outlineLvl w:val="0"/>
        <w:rPr>
          <w:rFonts w:eastAsia="MS Gothic" w:cs="Times New Roman"/>
          <w:color w:val="2E74B5"/>
          <w:sz w:val="2"/>
          <w:szCs w:val="2"/>
          <w:lang w:eastAsia="fr-FR" w:bidi="fr-FR"/>
        </w:rPr>
      </w:pPr>
    </w:p>
    <w:p w14:paraId="1372F56A" w14:textId="77777777" w:rsidR="00DF358A" w:rsidRPr="004E13E9" w:rsidRDefault="00DF358A" w:rsidP="00DF358A">
      <w:pPr>
        <w:contextualSpacing/>
      </w:pPr>
    </w:p>
    <w:p w14:paraId="3C3DA5D2" w14:textId="77777777" w:rsidR="00DF358A" w:rsidRPr="004E13E9" w:rsidRDefault="00DF358A" w:rsidP="00DF358A">
      <w:pPr>
        <w:contextualSpacing/>
      </w:pPr>
    </w:p>
    <w:p w14:paraId="240F399D" w14:textId="77777777" w:rsidR="00DF358A" w:rsidRPr="004E13E9" w:rsidRDefault="00DF358A" w:rsidP="00DF358A">
      <w:pPr>
        <w:contextualSpacing/>
      </w:pPr>
    </w:p>
    <w:p w14:paraId="77220B15" w14:textId="77777777" w:rsidR="00DF358A" w:rsidRPr="004E13E9" w:rsidRDefault="00DF358A" w:rsidP="00DF358A">
      <w:pPr>
        <w:ind w:left="360" w:hanging="360"/>
        <w:contextualSpacing/>
        <w:rPr>
          <w:rFonts w:eastAsia="MS Gothic" w:cs="Times New Roman"/>
          <w:b/>
          <w:lang w:eastAsia="fr-FR" w:bidi="fr-FR"/>
        </w:rPr>
      </w:pPr>
      <w:bookmarkStart w:id="21" w:name="_Hlk127801315"/>
    </w:p>
    <w:p w14:paraId="701016AB" w14:textId="77777777" w:rsidR="00DF358A" w:rsidRPr="004E13E9" w:rsidRDefault="00DF358A" w:rsidP="00DF358A">
      <w:pPr>
        <w:rPr>
          <w:rFonts w:eastAsia="MS Gothic" w:cs="Times New Roman"/>
          <w:b/>
          <w:lang w:eastAsia="fr-FR" w:bidi="fr-FR"/>
        </w:rPr>
      </w:pPr>
      <w:r w:rsidRPr="004E13E9">
        <w:rPr>
          <w:rFonts w:eastAsia="MS Gothic" w:cs="Times New Roman"/>
          <w:b/>
          <w:lang w:eastAsia="fr-FR" w:bidi="fr-FR"/>
        </w:rPr>
        <w:br w:type="page"/>
      </w:r>
    </w:p>
    <w:tbl>
      <w:tblPr>
        <w:tblW w:w="4845"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58"/>
        <w:gridCol w:w="1564"/>
        <w:gridCol w:w="1441"/>
        <w:gridCol w:w="1701"/>
        <w:gridCol w:w="2115"/>
      </w:tblGrid>
      <w:tr w:rsidR="00DF358A" w:rsidRPr="004E13E9" w14:paraId="3234D390" w14:textId="77777777" w:rsidTr="00BB4F69">
        <w:trPr>
          <w:trHeight w:val="57"/>
          <w:tblHeader/>
        </w:trPr>
        <w:tc>
          <w:tcPr>
            <w:tcW w:w="1958" w:type="dxa"/>
            <w:vAlign w:val="center"/>
          </w:tcPr>
          <w:p w14:paraId="344289A5" w14:textId="77777777" w:rsidR="00DF358A" w:rsidRPr="004E13E9" w:rsidRDefault="00DF358A" w:rsidP="00BB4F69">
            <w:pPr>
              <w:spacing w:before="80" w:after="80"/>
              <w:ind w:left="142"/>
              <w:jc w:val="center"/>
              <w:rPr>
                <w:b/>
                <w:sz w:val="18"/>
                <w:szCs w:val="18"/>
                <w:lang w:val="en-IE"/>
              </w:rPr>
            </w:pPr>
            <w:r w:rsidRPr="004E13E9">
              <w:rPr>
                <w:rFonts w:eastAsia="MS Gothic" w:cs="Times New Roman"/>
                <w:b/>
                <w:i/>
                <w:iCs/>
                <w:sz w:val="18"/>
                <w:szCs w:val="18"/>
                <w:lang w:eastAsia="fr-FR" w:bidi="fr-FR"/>
              </w:rPr>
              <w:t xml:space="preserve">Nom de la </w:t>
            </w:r>
            <w:proofErr w:type="spellStart"/>
            <w:r w:rsidRPr="004E13E9">
              <w:rPr>
                <w:rFonts w:eastAsia="MS Gothic" w:cs="Times New Roman"/>
                <w:b/>
                <w:i/>
                <w:iCs/>
                <w:sz w:val="18"/>
                <w:szCs w:val="18"/>
                <w:lang w:eastAsia="fr-FR" w:bidi="fr-FR"/>
              </w:rPr>
              <w:t>ferme</w:t>
            </w:r>
            <w:proofErr w:type="spellEnd"/>
          </w:p>
        </w:tc>
        <w:tc>
          <w:tcPr>
            <w:tcW w:w="1564" w:type="dxa"/>
            <w:vAlign w:val="center"/>
          </w:tcPr>
          <w:p w14:paraId="77A74B97" w14:textId="77777777" w:rsidR="00DF358A" w:rsidRPr="004E13E9" w:rsidRDefault="00DF358A" w:rsidP="00BB4F69">
            <w:pPr>
              <w:spacing w:before="80" w:after="80"/>
              <w:ind w:left="-3" w:firstLine="3"/>
              <w:jc w:val="center"/>
              <w:rPr>
                <w:b/>
                <w:sz w:val="18"/>
                <w:szCs w:val="18"/>
                <w:lang w:val="en-IE"/>
              </w:rPr>
            </w:pPr>
            <w:r w:rsidRPr="004E13E9">
              <w:rPr>
                <w:rFonts w:eastAsia="MS Gothic" w:cs="Times New Roman"/>
                <w:b/>
                <w:i/>
                <w:iCs/>
                <w:sz w:val="18"/>
                <w:szCs w:val="18"/>
                <w:lang w:eastAsia="fr-FR" w:bidi="fr-FR"/>
              </w:rPr>
              <w:t>NºFFB ICCAT</w:t>
            </w:r>
          </w:p>
        </w:tc>
        <w:tc>
          <w:tcPr>
            <w:tcW w:w="3142" w:type="dxa"/>
            <w:gridSpan w:val="2"/>
            <w:vAlign w:val="center"/>
          </w:tcPr>
          <w:p w14:paraId="680BD916" w14:textId="77777777" w:rsidR="00DF358A" w:rsidRPr="004E13E9" w:rsidRDefault="00DF358A" w:rsidP="00BB4F69">
            <w:pPr>
              <w:spacing w:before="80" w:after="80"/>
              <w:ind w:left="108"/>
              <w:jc w:val="center"/>
              <w:rPr>
                <w:b/>
                <w:sz w:val="18"/>
                <w:szCs w:val="18"/>
                <w:lang w:val="en-IE"/>
              </w:rPr>
            </w:pPr>
            <w:proofErr w:type="spellStart"/>
            <w:r w:rsidRPr="004E13E9">
              <w:rPr>
                <w:rFonts w:eastAsia="MS Gothic" w:cs="Times New Roman"/>
                <w:b/>
                <w:i/>
                <w:iCs/>
                <w:sz w:val="18"/>
                <w:szCs w:val="18"/>
                <w:lang w:eastAsia="fr-FR" w:bidi="fr-FR"/>
              </w:rPr>
              <w:t>Coordonnées</w:t>
            </w:r>
            <w:proofErr w:type="spellEnd"/>
            <w:r w:rsidRPr="004E13E9">
              <w:rPr>
                <w:rFonts w:eastAsia="MS Gothic" w:cs="Times New Roman"/>
                <w:b/>
                <w:i/>
                <w:iCs/>
                <w:sz w:val="18"/>
                <w:szCs w:val="18"/>
                <w:lang w:eastAsia="fr-FR" w:bidi="fr-FR"/>
              </w:rPr>
              <w:t xml:space="preserve"> </w:t>
            </w:r>
            <w:proofErr w:type="spellStart"/>
            <w:r w:rsidRPr="004E13E9">
              <w:rPr>
                <w:rFonts w:eastAsia="MS Gothic" w:cs="Times New Roman"/>
                <w:b/>
                <w:i/>
                <w:iCs/>
                <w:sz w:val="18"/>
                <w:szCs w:val="18"/>
                <w:lang w:eastAsia="fr-FR" w:bidi="fr-FR"/>
              </w:rPr>
              <w:t>géographiques</w:t>
            </w:r>
            <w:proofErr w:type="spellEnd"/>
          </w:p>
        </w:tc>
        <w:tc>
          <w:tcPr>
            <w:tcW w:w="2115" w:type="dxa"/>
            <w:vAlign w:val="center"/>
          </w:tcPr>
          <w:p w14:paraId="29941D4D" w14:textId="77777777" w:rsidR="00DF358A" w:rsidRPr="004E13E9" w:rsidRDefault="00DF358A" w:rsidP="00BB4F69">
            <w:pPr>
              <w:spacing w:before="80" w:after="80"/>
              <w:jc w:val="center"/>
              <w:rPr>
                <w:b/>
                <w:sz w:val="18"/>
                <w:szCs w:val="18"/>
                <w:lang w:val="en-IE"/>
              </w:rPr>
            </w:pPr>
            <w:r w:rsidRPr="004E13E9">
              <w:rPr>
                <w:rFonts w:eastAsia="MS Gothic" w:cs="Times New Roman"/>
                <w:b/>
                <w:i/>
                <w:iCs/>
                <w:sz w:val="18"/>
                <w:szCs w:val="18"/>
                <w:lang w:eastAsia="fr-FR" w:bidi="fr-FR"/>
              </w:rPr>
              <w:t xml:space="preserve">Intrants </w:t>
            </w:r>
            <w:proofErr w:type="spellStart"/>
            <w:r w:rsidRPr="004E13E9">
              <w:rPr>
                <w:rFonts w:eastAsia="MS Gothic" w:cs="Times New Roman"/>
                <w:b/>
                <w:i/>
                <w:iCs/>
                <w:sz w:val="18"/>
                <w:szCs w:val="18"/>
                <w:lang w:eastAsia="fr-FR" w:bidi="fr-FR"/>
              </w:rPr>
              <w:t>sauvages</w:t>
            </w:r>
            <w:proofErr w:type="spellEnd"/>
            <w:r w:rsidRPr="004E13E9">
              <w:rPr>
                <w:rFonts w:eastAsia="MS Gothic" w:cs="Times New Roman"/>
                <w:b/>
                <w:i/>
                <w:iCs/>
                <w:sz w:val="18"/>
                <w:szCs w:val="18"/>
                <w:lang w:eastAsia="fr-FR" w:bidi="fr-FR"/>
              </w:rPr>
              <w:t xml:space="preserve"> (t)</w:t>
            </w:r>
          </w:p>
        </w:tc>
      </w:tr>
      <w:tr w:rsidR="00DF358A" w:rsidRPr="004E13E9" w14:paraId="2D05DE19" w14:textId="77777777" w:rsidTr="00BB4F69">
        <w:trPr>
          <w:trHeight w:val="57"/>
        </w:trPr>
        <w:tc>
          <w:tcPr>
            <w:tcW w:w="1958" w:type="dxa"/>
            <w:vAlign w:val="center"/>
          </w:tcPr>
          <w:p w14:paraId="2FA504D2" w14:textId="77777777" w:rsidR="00DF358A" w:rsidRPr="004E13E9" w:rsidRDefault="00DF358A" w:rsidP="00BB4F69">
            <w:pPr>
              <w:spacing w:after="40" w:line="233" w:lineRule="exact"/>
              <w:ind w:left="102"/>
              <w:rPr>
                <w:sz w:val="18"/>
                <w:szCs w:val="18"/>
              </w:rPr>
            </w:pPr>
            <w:r w:rsidRPr="004E13E9">
              <w:rPr>
                <w:spacing w:val="-1"/>
                <w:sz w:val="18"/>
                <w:szCs w:val="18"/>
              </w:rPr>
              <w:t>Tuna</w:t>
            </w:r>
            <w:r w:rsidRPr="004E13E9">
              <w:rPr>
                <w:spacing w:val="-10"/>
                <w:sz w:val="18"/>
                <w:szCs w:val="18"/>
              </w:rPr>
              <w:t xml:space="preserve"> </w:t>
            </w:r>
            <w:proofErr w:type="spellStart"/>
            <w:r w:rsidRPr="004E13E9">
              <w:rPr>
                <w:spacing w:val="-1"/>
                <w:sz w:val="18"/>
                <w:szCs w:val="18"/>
              </w:rPr>
              <w:t>Graso</w:t>
            </w:r>
            <w:proofErr w:type="spellEnd"/>
          </w:p>
        </w:tc>
        <w:tc>
          <w:tcPr>
            <w:tcW w:w="1564" w:type="dxa"/>
            <w:vAlign w:val="center"/>
          </w:tcPr>
          <w:p w14:paraId="68B6A708" w14:textId="77777777" w:rsidR="00DF358A" w:rsidRPr="004E13E9" w:rsidRDefault="00DF358A" w:rsidP="00BB4F69">
            <w:pPr>
              <w:spacing w:after="40"/>
              <w:ind w:left="139" w:hanging="2"/>
              <w:rPr>
                <w:sz w:val="18"/>
                <w:szCs w:val="18"/>
                <w:lang w:val="en-IE"/>
              </w:rPr>
            </w:pPr>
            <w:r w:rsidRPr="004E13E9">
              <w:rPr>
                <w:sz w:val="18"/>
                <w:szCs w:val="18"/>
                <w:lang w:val="en-IE"/>
              </w:rPr>
              <w:t>ATEU1ESP00001</w:t>
            </w:r>
          </w:p>
        </w:tc>
        <w:tc>
          <w:tcPr>
            <w:tcW w:w="3142" w:type="dxa"/>
            <w:gridSpan w:val="2"/>
            <w:vAlign w:val="center"/>
          </w:tcPr>
          <w:p w14:paraId="4232C755" w14:textId="77777777" w:rsidR="00DF358A" w:rsidRPr="004E13E9" w:rsidRDefault="00DF358A" w:rsidP="00BB4F69">
            <w:pPr>
              <w:spacing w:after="40" w:line="205" w:lineRule="exact"/>
              <w:ind w:left="99"/>
              <w:rPr>
                <w:sz w:val="18"/>
                <w:szCs w:val="18"/>
                <w:lang w:val="en-IE"/>
              </w:rPr>
            </w:pPr>
            <w:r w:rsidRPr="004E13E9">
              <w:rPr>
                <w:sz w:val="18"/>
                <w:szCs w:val="18"/>
                <w:lang w:val="en-IE"/>
              </w:rPr>
              <w:t xml:space="preserve">N </w:t>
            </w:r>
            <w:r w:rsidRPr="004E13E9">
              <w:rPr>
                <w:spacing w:val="-1"/>
                <w:sz w:val="18"/>
                <w:szCs w:val="18"/>
                <w:lang w:val="en-IE"/>
              </w:rPr>
              <w:t>37°45,95'</w:t>
            </w:r>
            <w:r w:rsidRPr="004E13E9">
              <w:rPr>
                <w:spacing w:val="-5"/>
                <w:sz w:val="18"/>
                <w:szCs w:val="18"/>
                <w:lang w:val="en-IE"/>
              </w:rPr>
              <w:t xml:space="preserve"> </w:t>
            </w:r>
            <w:r w:rsidRPr="004E13E9">
              <w:rPr>
                <w:sz w:val="18"/>
                <w:szCs w:val="18"/>
                <w:lang w:val="en-IE"/>
              </w:rPr>
              <w:t>W</w:t>
            </w:r>
            <w:r w:rsidRPr="004E13E9">
              <w:rPr>
                <w:spacing w:val="5"/>
                <w:sz w:val="18"/>
                <w:szCs w:val="18"/>
                <w:lang w:val="en-IE"/>
              </w:rPr>
              <w:t xml:space="preserve"> </w:t>
            </w:r>
            <w:r w:rsidRPr="004E13E9">
              <w:rPr>
                <w:spacing w:val="-1"/>
                <w:sz w:val="18"/>
                <w:szCs w:val="18"/>
                <w:lang w:val="en-IE"/>
              </w:rPr>
              <w:t>00°39,49'</w:t>
            </w:r>
          </w:p>
        </w:tc>
        <w:tc>
          <w:tcPr>
            <w:tcW w:w="2115" w:type="dxa"/>
            <w:vAlign w:val="center"/>
          </w:tcPr>
          <w:p w14:paraId="3115D129" w14:textId="77777777" w:rsidR="00DF358A" w:rsidRPr="004E13E9" w:rsidRDefault="00DF358A" w:rsidP="00BB4F69">
            <w:pPr>
              <w:spacing w:after="40" w:line="233" w:lineRule="exact"/>
              <w:jc w:val="center"/>
              <w:rPr>
                <w:sz w:val="18"/>
                <w:szCs w:val="18"/>
              </w:rPr>
            </w:pPr>
            <w:r w:rsidRPr="004E13E9">
              <w:rPr>
                <w:sz w:val="18"/>
                <w:szCs w:val="18"/>
              </w:rPr>
              <w:t>1500,00</w:t>
            </w:r>
          </w:p>
        </w:tc>
      </w:tr>
      <w:tr w:rsidR="00DF358A" w:rsidRPr="004E13E9" w14:paraId="6209B114" w14:textId="77777777" w:rsidTr="00BB4F69">
        <w:trPr>
          <w:trHeight w:val="57"/>
        </w:trPr>
        <w:tc>
          <w:tcPr>
            <w:tcW w:w="1958" w:type="dxa"/>
            <w:vAlign w:val="center"/>
          </w:tcPr>
          <w:p w14:paraId="55263481" w14:textId="77777777" w:rsidR="00DF358A" w:rsidRPr="004E13E9" w:rsidRDefault="00DF358A" w:rsidP="00BB4F69">
            <w:pPr>
              <w:spacing w:after="40"/>
              <w:ind w:left="102" w:right="104"/>
              <w:rPr>
                <w:sz w:val="18"/>
                <w:szCs w:val="18"/>
              </w:rPr>
            </w:pPr>
            <w:proofErr w:type="spellStart"/>
            <w:r w:rsidRPr="004E13E9">
              <w:rPr>
                <w:spacing w:val="-1"/>
                <w:sz w:val="18"/>
                <w:szCs w:val="18"/>
              </w:rPr>
              <w:t>Caladeros</w:t>
            </w:r>
            <w:proofErr w:type="spellEnd"/>
            <w:r w:rsidRPr="004E13E9">
              <w:rPr>
                <w:sz w:val="18"/>
                <w:szCs w:val="18"/>
              </w:rPr>
              <w:t xml:space="preserve"> del</w:t>
            </w:r>
            <w:r w:rsidRPr="004E13E9">
              <w:rPr>
                <w:spacing w:val="26"/>
                <w:w w:val="99"/>
                <w:sz w:val="18"/>
                <w:szCs w:val="18"/>
              </w:rPr>
              <w:t xml:space="preserve"> </w:t>
            </w:r>
            <w:proofErr w:type="spellStart"/>
            <w:r w:rsidRPr="004E13E9">
              <w:rPr>
                <w:spacing w:val="-1"/>
                <w:sz w:val="18"/>
                <w:szCs w:val="18"/>
              </w:rPr>
              <w:t>Mediterráneo</w:t>
            </w:r>
            <w:proofErr w:type="spellEnd"/>
          </w:p>
        </w:tc>
        <w:tc>
          <w:tcPr>
            <w:tcW w:w="1564" w:type="dxa"/>
            <w:vAlign w:val="center"/>
          </w:tcPr>
          <w:p w14:paraId="35B92762" w14:textId="77777777" w:rsidR="00DF358A" w:rsidRPr="004E13E9" w:rsidRDefault="00DF358A" w:rsidP="00BB4F69">
            <w:pPr>
              <w:spacing w:after="40"/>
              <w:ind w:left="139" w:hanging="2"/>
              <w:rPr>
                <w:sz w:val="18"/>
                <w:szCs w:val="18"/>
                <w:lang w:val="en-IE"/>
              </w:rPr>
            </w:pPr>
            <w:r w:rsidRPr="004E13E9">
              <w:rPr>
                <w:sz w:val="18"/>
                <w:szCs w:val="18"/>
                <w:lang w:val="en-IE"/>
              </w:rPr>
              <w:t>ATEU1ESP00003</w:t>
            </w:r>
          </w:p>
        </w:tc>
        <w:tc>
          <w:tcPr>
            <w:tcW w:w="3142" w:type="dxa"/>
            <w:gridSpan w:val="2"/>
            <w:vAlign w:val="center"/>
          </w:tcPr>
          <w:p w14:paraId="1B28B15F" w14:textId="77777777" w:rsidR="00DF358A" w:rsidRPr="004E13E9" w:rsidRDefault="00DF358A" w:rsidP="00BB4F69">
            <w:pPr>
              <w:spacing w:after="40"/>
              <w:ind w:left="99" w:right="358"/>
              <w:rPr>
                <w:sz w:val="18"/>
                <w:szCs w:val="18"/>
                <w:lang w:val="pt-PT"/>
              </w:rPr>
            </w:pPr>
            <w:r w:rsidRPr="004E13E9">
              <w:rPr>
                <w:spacing w:val="-1"/>
                <w:sz w:val="18"/>
                <w:szCs w:val="18"/>
                <w:lang w:val="pt-PT"/>
              </w:rPr>
              <w:t>A:37º34'30.40''N</w:t>
            </w:r>
            <w:r w:rsidRPr="004E13E9">
              <w:rPr>
                <w:sz w:val="18"/>
                <w:szCs w:val="18"/>
                <w:lang w:val="pt-PT"/>
              </w:rPr>
              <w:t xml:space="preserve"> </w:t>
            </w:r>
            <w:r w:rsidRPr="004E13E9">
              <w:rPr>
                <w:spacing w:val="-1"/>
                <w:sz w:val="18"/>
                <w:szCs w:val="18"/>
                <w:lang w:val="pt-PT"/>
              </w:rPr>
              <w:t>00º49'95.30''W</w:t>
            </w:r>
            <w:r w:rsidRPr="004E13E9">
              <w:rPr>
                <w:spacing w:val="37"/>
                <w:sz w:val="18"/>
                <w:szCs w:val="18"/>
                <w:lang w:val="pt-PT"/>
              </w:rPr>
              <w:t xml:space="preserve"> </w:t>
            </w:r>
            <w:r w:rsidRPr="004E13E9">
              <w:rPr>
                <w:spacing w:val="-1"/>
                <w:sz w:val="18"/>
                <w:szCs w:val="18"/>
                <w:lang w:val="pt-PT"/>
              </w:rPr>
              <w:t>B:37º34'06.60''N</w:t>
            </w:r>
            <w:r w:rsidRPr="004E13E9">
              <w:rPr>
                <w:sz w:val="18"/>
                <w:szCs w:val="18"/>
                <w:lang w:val="pt-PT"/>
              </w:rPr>
              <w:t xml:space="preserve"> </w:t>
            </w:r>
            <w:r w:rsidRPr="004E13E9">
              <w:rPr>
                <w:spacing w:val="-1"/>
                <w:sz w:val="18"/>
                <w:szCs w:val="18"/>
                <w:lang w:val="pt-PT"/>
              </w:rPr>
              <w:t>00º50'11.40''W</w:t>
            </w:r>
            <w:r w:rsidRPr="004E13E9">
              <w:rPr>
                <w:spacing w:val="37"/>
                <w:sz w:val="18"/>
                <w:szCs w:val="18"/>
                <w:lang w:val="pt-PT"/>
              </w:rPr>
              <w:t xml:space="preserve"> </w:t>
            </w:r>
            <w:r w:rsidRPr="004E13E9">
              <w:rPr>
                <w:spacing w:val="-1"/>
                <w:sz w:val="18"/>
                <w:szCs w:val="18"/>
                <w:lang w:val="pt-PT"/>
              </w:rPr>
              <w:t>C:67º34'25.80''N</w:t>
            </w:r>
            <w:r w:rsidRPr="004E13E9">
              <w:rPr>
                <w:sz w:val="18"/>
                <w:szCs w:val="18"/>
                <w:lang w:val="pt-PT"/>
              </w:rPr>
              <w:t xml:space="preserve"> </w:t>
            </w:r>
            <w:r w:rsidRPr="004E13E9">
              <w:rPr>
                <w:spacing w:val="-1"/>
                <w:sz w:val="18"/>
                <w:szCs w:val="18"/>
                <w:lang w:val="pt-PT"/>
              </w:rPr>
              <w:t>00º50'56.20''W</w:t>
            </w:r>
            <w:r w:rsidRPr="004E13E9">
              <w:rPr>
                <w:spacing w:val="37"/>
                <w:sz w:val="18"/>
                <w:szCs w:val="18"/>
                <w:lang w:val="pt-PT"/>
              </w:rPr>
              <w:t xml:space="preserve"> </w:t>
            </w:r>
            <w:r w:rsidRPr="004E13E9">
              <w:rPr>
                <w:spacing w:val="-1"/>
                <w:sz w:val="18"/>
                <w:szCs w:val="18"/>
                <w:lang w:val="pt-PT"/>
              </w:rPr>
              <w:t>D:37º34'49.60''N</w:t>
            </w:r>
            <w:r w:rsidRPr="004E13E9">
              <w:rPr>
                <w:sz w:val="18"/>
                <w:szCs w:val="18"/>
                <w:lang w:val="pt-PT"/>
              </w:rPr>
              <w:t xml:space="preserve"> </w:t>
            </w:r>
            <w:r w:rsidRPr="004E13E9">
              <w:rPr>
                <w:spacing w:val="-1"/>
                <w:sz w:val="18"/>
                <w:szCs w:val="18"/>
                <w:lang w:val="pt-PT"/>
              </w:rPr>
              <w:t>00º50'40.10''W</w:t>
            </w:r>
          </w:p>
        </w:tc>
        <w:tc>
          <w:tcPr>
            <w:tcW w:w="2115" w:type="dxa"/>
            <w:vAlign w:val="center"/>
          </w:tcPr>
          <w:p w14:paraId="03294A07" w14:textId="77777777" w:rsidR="00DF358A" w:rsidRPr="004E13E9" w:rsidRDefault="00DF358A" w:rsidP="00BB4F69">
            <w:pPr>
              <w:spacing w:before="165" w:after="40"/>
              <w:jc w:val="center"/>
              <w:rPr>
                <w:sz w:val="18"/>
                <w:szCs w:val="18"/>
                <w:lang w:val="en-IE"/>
              </w:rPr>
            </w:pPr>
            <w:r w:rsidRPr="004E13E9">
              <w:rPr>
                <w:sz w:val="18"/>
                <w:szCs w:val="18"/>
                <w:lang w:val="en-IE"/>
              </w:rPr>
              <w:t>1375,00</w:t>
            </w:r>
          </w:p>
        </w:tc>
      </w:tr>
      <w:tr w:rsidR="00DF358A" w:rsidRPr="004E13E9" w14:paraId="64775613" w14:textId="77777777" w:rsidTr="00BB4F69">
        <w:trPr>
          <w:trHeight w:val="57"/>
        </w:trPr>
        <w:tc>
          <w:tcPr>
            <w:tcW w:w="1958" w:type="dxa"/>
            <w:vAlign w:val="center"/>
          </w:tcPr>
          <w:p w14:paraId="28DB317F" w14:textId="77777777" w:rsidR="00DF358A" w:rsidRPr="004E13E9" w:rsidRDefault="00DF358A" w:rsidP="00BB4F69">
            <w:pPr>
              <w:spacing w:before="1" w:after="40"/>
              <w:ind w:left="102" w:right="104"/>
              <w:rPr>
                <w:sz w:val="18"/>
                <w:szCs w:val="18"/>
                <w:lang w:val="en-IE"/>
              </w:rPr>
            </w:pPr>
            <w:r w:rsidRPr="004E13E9">
              <w:rPr>
                <w:spacing w:val="-1"/>
                <w:sz w:val="18"/>
                <w:szCs w:val="18"/>
                <w:lang w:val="en-IE"/>
              </w:rPr>
              <w:t>Ensenada</w:t>
            </w:r>
            <w:r w:rsidRPr="004E13E9">
              <w:rPr>
                <w:sz w:val="18"/>
                <w:szCs w:val="18"/>
                <w:lang w:val="en-IE"/>
              </w:rPr>
              <w:t xml:space="preserve"> de</w:t>
            </w:r>
            <w:r w:rsidRPr="004E13E9">
              <w:rPr>
                <w:spacing w:val="24"/>
                <w:w w:val="99"/>
                <w:sz w:val="18"/>
                <w:szCs w:val="18"/>
                <w:lang w:val="en-IE"/>
              </w:rPr>
              <w:t xml:space="preserve"> </w:t>
            </w:r>
            <w:r w:rsidRPr="004E13E9">
              <w:rPr>
                <w:spacing w:val="-1"/>
                <w:sz w:val="18"/>
                <w:szCs w:val="18"/>
                <w:lang w:val="en-IE"/>
              </w:rPr>
              <w:t>Barbate</w:t>
            </w:r>
          </w:p>
        </w:tc>
        <w:tc>
          <w:tcPr>
            <w:tcW w:w="1564" w:type="dxa"/>
            <w:vAlign w:val="center"/>
          </w:tcPr>
          <w:p w14:paraId="7C06AED3" w14:textId="77777777" w:rsidR="00DF358A" w:rsidRPr="004E13E9" w:rsidRDefault="00DF358A" w:rsidP="00BB4F69">
            <w:pPr>
              <w:spacing w:after="40"/>
              <w:ind w:left="139" w:hanging="2"/>
              <w:rPr>
                <w:sz w:val="18"/>
                <w:szCs w:val="18"/>
                <w:lang w:val="en-IE"/>
              </w:rPr>
            </w:pPr>
            <w:r w:rsidRPr="004E13E9">
              <w:rPr>
                <w:sz w:val="18"/>
                <w:szCs w:val="18"/>
                <w:lang w:val="en-IE"/>
              </w:rPr>
              <w:t>ATEU1ESP00004</w:t>
            </w:r>
          </w:p>
        </w:tc>
        <w:tc>
          <w:tcPr>
            <w:tcW w:w="3142" w:type="dxa"/>
            <w:gridSpan w:val="2"/>
            <w:vAlign w:val="center"/>
          </w:tcPr>
          <w:p w14:paraId="276DBEC1" w14:textId="77777777" w:rsidR="00DF358A" w:rsidRPr="004E13E9" w:rsidRDefault="00DF358A" w:rsidP="00BB4F69">
            <w:pPr>
              <w:spacing w:after="40"/>
              <w:ind w:left="99"/>
              <w:rPr>
                <w:sz w:val="18"/>
                <w:szCs w:val="18"/>
              </w:rPr>
            </w:pPr>
            <w:r w:rsidRPr="004E13E9">
              <w:rPr>
                <w:spacing w:val="-1"/>
                <w:sz w:val="18"/>
                <w:szCs w:val="18"/>
              </w:rPr>
              <w:t>36º09'13''</w:t>
            </w:r>
            <w:r w:rsidRPr="004E13E9">
              <w:rPr>
                <w:sz w:val="18"/>
                <w:szCs w:val="18"/>
              </w:rPr>
              <w:t xml:space="preserve">N </w:t>
            </w:r>
            <w:r w:rsidRPr="004E13E9">
              <w:rPr>
                <w:spacing w:val="-1"/>
                <w:sz w:val="18"/>
                <w:szCs w:val="18"/>
              </w:rPr>
              <w:t>5º55'45''</w:t>
            </w:r>
            <w:r w:rsidRPr="004E13E9">
              <w:rPr>
                <w:spacing w:val="-6"/>
                <w:sz w:val="18"/>
                <w:szCs w:val="18"/>
              </w:rPr>
              <w:t xml:space="preserve"> </w:t>
            </w:r>
            <w:r w:rsidRPr="004E13E9">
              <w:rPr>
                <w:sz w:val="18"/>
                <w:szCs w:val="18"/>
              </w:rPr>
              <w:t>W</w:t>
            </w:r>
          </w:p>
        </w:tc>
        <w:tc>
          <w:tcPr>
            <w:tcW w:w="2115" w:type="dxa"/>
            <w:vAlign w:val="center"/>
          </w:tcPr>
          <w:p w14:paraId="383BAD62" w14:textId="77777777" w:rsidR="00DF358A" w:rsidRPr="004E13E9" w:rsidRDefault="00DF358A" w:rsidP="00BB4F69">
            <w:pPr>
              <w:spacing w:before="116" w:after="40"/>
              <w:ind w:left="243" w:hanging="243"/>
              <w:jc w:val="center"/>
              <w:rPr>
                <w:sz w:val="18"/>
                <w:szCs w:val="18"/>
                <w:lang w:val="en-IE"/>
              </w:rPr>
            </w:pPr>
            <w:r w:rsidRPr="004E13E9">
              <w:rPr>
                <w:sz w:val="18"/>
                <w:szCs w:val="18"/>
                <w:lang w:val="en-IE"/>
              </w:rPr>
              <w:t>1000,00</w:t>
            </w:r>
          </w:p>
        </w:tc>
      </w:tr>
      <w:tr w:rsidR="00DF358A" w:rsidRPr="004E13E9" w14:paraId="133BA017" w14:textId="77777777" w:rsidTr="00BB4F69">
        <w:trPr>
          <w:trHeight w:val="57"/>
        </w:trPr>
        <w:tc>
          <w:tcPr>
            <w:tcW w:w="1958" w:type="dxa"/>
            <w:vAlign w:val="center"/>
          </w:tcPr>
          <w:p w14:paraId="512E1010" w14:textId="77777777" w:rsidR="00DF358A" w:rsidRPr="004E13E9" w:rsidRDefault="00DF358A" w:rsidP="00BB4F69">
            <w:pPr>
              <w:spacing w:after="40" w:line="233" w:lineRule="exact"/>
              <w:ind w:left="102"/>
              <w:rPr>
                <w:sz w:val="18"/>
                <w:szCs w:val="18"/>
              </w:rPr>
            </w:pPr>
            <w:proofErr w:type="spellStart"/>
            <w:r w:rsidRPr="004E13E9">
              <w:rPr>
                <w:spacing w:val="-1"/>
                <w:sz w:val="18"/>
                <w:szCs w:val="18"/>
              </w:rPr>
              <w:t>Balfegó</w:t>
            </w:r>
            <w:proofErr w:type="spellEnd"/>
            <w:r w:rsidRPr="004E13E9">
              <w:rPr>
                <w:spacing w:val="39"/>
                <w:sz w:val="18"/>
                <w:szCs w:val="18"/>
              </w:rPr>
              <w:t xml:space="preserve"> </w:t>
            </w:r>
            <w:r w:rsidRPr="004E13E9">
              <w:rPr>
                <w:sz w:val="18"/>
                <w:szCs w:val="18"/>
              </w:rPr>
              <w:t>Tuna, S.L.</w:t>
            </w:r>
          </w:p>
        </w:tc>
        <w:tc>
          <w:tcPr>
            <w:tcW w:w="1564" w:type="dxa"/>
            <w:vAlign w:val="center"/>
          </w:tcPr>
          <w:p w14:paraId="6F2B04A2" w14:textId="77777777" w:rsidR="00DF358A" w:rsidRPr="004E13E9" w:rsidRDefault="00DF358A" w:rsidP="00BB4F69">
            <w:pPr>
              <w:spacing w:after="40"/>
              <w:ind w:left="139" w:hanging="2"/>
              <w:rPr>
                <w:sz w:val="18"/>
                <w:szCs w:val="18"/>
                <w:lang w:val="en-IE"/>
              </w:rPr>
            </w:pPr>
            <w:r w:rsidRPr="004E13E9">
              <w:rPr>
                <w:sz w:val="18"/>
                <w:szCs w:val="18"/>
                <w:lang w:val="en-IE"/>
              </w:rPr>
              <w:t>ATEU1ESP00005</w:t>
            </w:r>
          </w:p>
        </w:tc>
        <w:tc>
          <w:tcPr>
            <w:tcW w:w="3142" w:type="dxa"/>
            <w:gridSpan w:val="2"/>
            <w:vAlign w:val="center"/>
          </w:tcPr>
          <w:p w14:paraId="605DBE59" w14:textId="77777777" w:rsidR="00DF358A" w:rsidRPr="004E13E9" w:rsidRDefault="00DF358A" w:rsidP="00BB4F69">
            <w:pPr>
              <w:spacing w:after="40" w:line="205" w:lineRule="exact"/>
              <w:ind w:left="99"/>
              <w:rPr>
                <w:sz w:val="18"/>
                <w:szCs w:val="18"/>
                <w:lang w:val="pt-PT"/>
              </w:rPr>
            </w:pPr>
            <w:r w:rsidRPr="004E13E9">
              <w:rPr>
                <w:sz w:val="18"/>
                <w:szCs w:val="18"/>
                <w:lang w:val="pt-PT"/>
              </w:rPr>
              <w:t>A:40º</w:t>
            </w:r>
            <w:r w:rsidRPr="004E13E9">
              <w:rPr>
                <w:spacing w:val="-1"/>
                <w:sz w:val="18"/>
                <w:szCs w:val="18"/>
                <w:lang w:val="pt-PT"/>
              </w:rPr>
              <w:t xml:space="preserve"> 51,5'N</w:t>
            </w:r>
            <w:r w:rsidRPr="004E13E9">
              <w:rPr>
                <w:sz w:val="18"/>
                <w:szCs w:val="18"/>
                <w:lang w:val="pt-PT"/>
              </w:rPr>
              <w:t xml:space="preserve"> 00º</w:t>
            </w:r>
            <w:r w:rsidRPr="004E13E9">
              <w:rPr>
                <w:spacing w:val="-1"/>
                <w:sz w:val="18"/>
                <w:szCs w:val="18"/>
                <w:lang w:val="pt-PT"/>
              </w:rPr>
              <w:t xml:space="preserve"> 51,0'</w:t>
            </w:r>
            <w:r w:rsidRPr="004E13E9">
              <w:rPr>
                <w:sz w:val="18"/>
                <w:szCs w:val="18"/>
                <w:lang w:val="pt-PT"/>
              </w:rPr>
              <w:t>E</w:t>
            </w:r>
          </w:p>
          <w:p w14:paraId="075C5425" w14:textId="77777777" w:rsidR="00DF358A" w:rsidRPr="004E13E9" w:rsidRDefault="00DF358A" w:rsidP="00BB4F69">
            <w:pPr>
              <w:spacing w:after="40" w:line="205" w:lineRule="exact"/>
              <w:ind w:left="99"/>
              <w:rPr>
                <w:spacing w:val="21"/>
                <w:sz w:val="18"/>
                <w:szCs w:val="18"/>
                <w:lang w:val="pt-PT"/>
              </w:rPr>
            </w:pPr>
            <w:r w:rsidRPr="004E13E9">
              <w:rPr>
                <w:sz w:val="18"/>
                <w:szCs w:val="18"/>
                <w:lang w:val="pt-PT"/>
              </w:rPr>
              <w:t>B:40º</w:t>
            </w:r>
            <w:r w:rsidRPr="004E13E9">
              <w:rPr>
                <w:spacing w:val="-1"/>
                <w:sz w:val="18"/>
                <w:szCs w:val="18"/>
                <w:lang w:val="pt-PT"/>
              </w:rPr>
              <w:t xml:space="preserve"> 51,95'N</w:t>
            </w:r>
            <w:r w:rsidRPr="004E13E9">
              <w:rPr>
                <w:sz w:val="18"/>
                <w:szCs w:val="18"/>
                <w:lang w:val="pt-PT"/>
              </w:rPr>
              <w:t xml:space="preserve"> 00º</w:t>
            </w:r>
            <w:r w:rsidRPr="004E13E9">
              <w:rPr>
                <w:spacing w:val="-1"/>
                <w:sz w:val="18"/>
                <w:szCs w:val="18"/>
                <w:lang w:val="pt-PT"/>
              </w:rPr>
              <w:t xml:space="preserve"> 51,17'E</w:t>
            </w:r>
            <w:r w:rsidRPr="004E13E9">
              <w:rPr>
                <w:spacing w:val="21"/>
                <w:sz w:val="18"/>
                <w:szCs w:val="18"/>
                <w:lang w:val="pt-PT"/>
              </w:rPr>
              <w:t xml:space="preserve"> </w:t>
            </w:r>
          </w:p>
          <w:p w14:paraId="7C14D3EC" w14:textId="77777777" w:rsidR="00DF358A" w:rsidRPr="004E13E9" w:rsidRDefault="00DF358A" w:rsidP="00BB4F69">
            <w:pPr>
              <w:spacing w:after="40" w:line="205" w:lineRule="exact"/>
              <w:ind w:left="99"/>
              <w:rPr>
                <w:spacing w:val="29"/>
                <w:sz w:val="18"/>
                <w:szCs w:val="18"/>
                <w:lang w:val="pt-PT"/>
              </w:rPr>
            </w:pPr>
            <w:r w:rsidRPr="004E13E9">
              <w:rPr>
                <w:sz w:val="18"/>
                <w:szCs w:val="18"/>
                <w:lang w:val="pt-PT"/>
              </w:rPr>
              <w:t>C:40º</w:t>
            </w:r>
            <w:r w:rsidRPr="004E13E9">
              <w:rPr>
                <w:spacing w:val="-1"/>
                <w:sz w:val="18"/>
                <w:szCs w:val="18"/>
                <w:lang w:val="pt-PT"/>
              </w:rPr>
              <w:t xml:space="preserve"> 51,57'N</w:t>
            </w:r>
            <w:r w:rsidRPr="004E13E9">
              <w:rPr>
                <w:sz w:val="18"/>
                <w:szCs w:val="18"/>
                <w:lang w:val="pt-PT"/>
              </w:rPr>
              <w:t xml:space="preserve"> 00º</w:t>
            </w:r>
            <w:r w:rsidRPr="004E13E9">
              <w:rPr>
                <w:spacing w:val="-1"/>
                <w:sz w:val="18"/>
                <w:szCs w:val="18"/>
                <w:lang w:val="pt-PT"/>
              </w:rPr>
              <w:t xml:space="preserve"> 51,5'E</w:t>
            </w:r>
            <w:r w:rsidRPr="004E13E9">
              <w:rPr>
                <w:spacing w:val="29"/>
                <w:sz w:val="18"/>
                <w:szCs w:val="18"/>
                <w:lang w:val="pt-PT"/>
              </w:rPr>
              <w:t xml:space="preserve"> </w:t>
            </w:r>
          </w:p>
          <w:p w14:paraId="461305B0" w14:textId="77777777" w:rsidR="00DF358A" w:rsidRPr="004E13E9" w:rsidRDefault="00DF358A" w:rsidP="00BB4F69">
            <w:pPr>
              <w:spacing w:after="40" w:line="205" w:lineRule="exact"/>
              <w:ind w:left="99"/>
              <w:rPr>
                <w:sz w:val="18"/>
                <w:szCs w:val="18"/>
                <w:lang w:val="pt-PT"/>
              </w:rPr>
            </w:pPr>
            <w:r w:rsidRPr="004E13E9">
              <w:rPr>
                <w:sz w:val="18"/>
                <w:szCs w:val="18"/>
                <w:lang w:val="pt-PT"/>
              </w:rPr>
              <w:t>D:40º</w:t>
            </w:r>
            <w:r w:rsidRPr="004E13E9">
              <w:rPr>
                <w:spacing w:val="-1"/>
                <w:sz w:val="18"/>
                <w:szCs w:val="18"/>
                <w:lang w:val="pt-PT"/>
              </w:rPr>
              <w:t xml:space="preserve"> 51,9'N</w:t>
            </w:r>
            <w:r w:rsidRPr="004E13E9">
              <w:rPr>
                <w:sz w:val="18"/>
                <w:szCs w:val="18"/>
                <w:lang w:val="pt-PT"/>
              </w:rPr>
              <w:t xml:space="preserve"> 00º</w:t>
            </w:r>
            <w:r w:rsidRPr="004E13E9">
              <w:rPr>
                <w:spacing w:val="-1"/>
                <w:sz w:val="18"/>
                <w:szCs w:val="18"/>
                <w:lang w:val="pt-PT"/>
              </w:rPr>
              <w:t xml:space="preserve"> 51,61'E</w:t>
            </w:r>
          </w:p>
        </w:tc>
        <w:tc>
          <w:tcPr>
            <w:tcW w:w="2115" w:type="dxa"/>
            <w:vAlign w:val="center"/>
          </w:tcPr>
          <w:p w14:paraId="62CDFBA4" w14:textId="77777777" w:rsidR="00DF358A" w:rsidRPr="004E13E9" w:rsidRDefault="00DF358A" w:rsidP="00BB4F69">
            <w:pPr>
              <w:spacing w:after="40" w:line="233" w:lineRule="exact"/>
              <w:jc w:val="center"/>
              <w:rPr>
                <w:sz w:val="18"/>
                <w:szCs w:val="18"/>
                <w:lang w:val="en-IE"/>
              </w:rPr>
            </w:pPr>
            <w:r w:rsidRPr="004E13E9">
              <w:rPr>
                <w:sz w:val="18"/>
                <w:szCs w:val="18"/>
              </w:rPr>
              <w:t>4400</w:t>
            </w:r>
            <w:r w:rsidRPr="004E13E9">
              <w:rPr>
                <w:sz w:val="18"/>
                <w:szCs w:val="18"/>
                <w:lang w:val="en-IE"/>
              </w:rPr>
              <w:t>,00</w:t>
            </w:r>
          </w:p>
        </w:tc>
      </w:tr>
      <w:tr w:rsidR="00DF358A" w:rsidRPr="004E13E9" w14:paraId="6349ED9F" w14:textId="77777777" w:rsidTr="00BB4F69">
        <w:trPr>
          <w:trHeight w:val="57"/>
        </w:trPr>
        <w:tc>
          <w:tcPr>
            <w:tcW w:w="1958" w:type="dxa"/>
            <w:vAlign w:val="center"/>
          </w:tcPr>
          <w:p w14:paraId="71796034" w14:textId="77777777" w:rsidR="00DF358A" w:rsidRPr="004E13E9" w:rsidRDefault="00DF358A" w:rsidP="00BB4F69">
            <w:pPr>
              <w:spacing w:after="40" w:line="233" w:lineRule="exact"/>
              <w:ind w:left="102"/>
              <w:rPr>
                <w:sz w:val="18"/>
                <w:szCs w:val="18"/>
              </w:rPr>
            </w:pPr>
            <w:r w:rsidRPr="004E13E9">
              <w:rPr>
                <w:sz w:val="18"/>
                <w:szCs w:val="18"/>
              </w:rPr>
              <w:t>CALADEROS DEL MEDITERRANEO</w:t>
            </w:r>
          </w:p>
        </w:tc>
        <w:tc>
          <w:tcPr>
            <w:tcW w:w="1564" w:type="dxa"/>
            <w:vAlign w:val="center"/>
          </w:tcPr>
          <w:p w14:paraId="586CA087" w14:textId="77777777" w:rsidR="00DF358A" w:rsidRPr="004E13E9" w:rsidRDefault="00DF358A" w:rsidP="00BB4F69">
            <w:pPr>
              <w:spacing w:after="40"/>
              <w:ind w:left="139" w:hanging="2"/>
              <w:rPr>
                <w:sz w:val="18"/>
                <w:szCs w:val="18"/>
                <w:lang w:val="en-IE"/>
              </w:rPr>
            </w:pPr>
            <w:r w:rsidRPr="004E13E9">
              <w:rPr>
                <w:sz w:val="18"/>
                <w:szCs w:val="18"/>
              </w:rPr>
              <w:t>ATEU1ESP00011</w:t>
            </w:r>
          </w:p>
        </w:tc>
        <w:tc>
          <w:tcPr>
            <w:tcW w:w="3142" w:type="dxa"/>
            <w:gridSpan w:val="2"/>
            <w:vAlign w:val="center"/>
          </w:tcPr>
          <w:p w14:paraId="5A573BC6" w14:textId="77777777" w:rsidR="00DF358A" w:rsidRPr="004E13E9" w:rsidRDefault="00DF358A" w:rsidP="00BB4F69">
            <w:pPr>
              <w:pStyle w:val="TableParagraph"/>
              <w:spacing w:after="40"/>
              <w:ind w:left="99" w:right="334"/>
              <w:rPr>
                <w:rFonts w:ascii="Cambria" w:hAnsi="Cambria"/>
                <w:spacing w:val="-1"/>
                <w:sz w:val="18"/>
                <w:szCs w:val="18"/>
                <w:lang w:val="pl-PL"/>
              </w:rPr>
            </w:pPr>
            <w:r w:rsidRPr="004E13E9">
              <w:rPr>
                <w:rFonts w:ascii="Cambria" w:hAnsi="Cambria"/>
                <w:spacing w:val="-1"/>
                <w:sz w:val="18"/>
                <w:szCs w:val="18"/>
                <w:lang w:val="pl-PL"/>
              </w:rPr>
              <w:t>37°34'06,341''N; 0°52´39,300''W</w:t>
            </w:r>
          </w:p>
          <w:p w14:paraId="5F9D07E0" w14:textId="77777777" w:rsidR="00DF358A" w:rsidRPr="004E13E9" w:rsidRDefault="00DF358A" w:rsidP="00BB4F69">
            <w:pPr>
              <w:pStyle w:val="TableParagraph"/>
              <w:spacing w:after="40"/>
              <w:ind w:left="99" w:right="334"/>
              <w:rPr>
                <w:rFonts w:ascii="Cambria" w:hAnsi="Cambria"/>
                <w:spacing w:val="-1"/>
                <w:sz w:val="18"/>
                <w:szCs w:val="18"/>
                <w:lang w:val="pl-PL"/>
              </w:rPr>
            </w:pPr>
            <w:r w:rsidRPr="004E13E9">
              <w:rPr>
                <w:rFonts w:ascii="Cambria" w:hAnsi="Cambria"/>
                <w:spacing w:val="-1"/>
                <w:sz w:val="18"/>
                <w:szCs w:val="18"/>
                <w:lang w:val="pl-PL"/>
              </w:rPr>
              <w:t>37°33'59,998''N; 0°53´12,358''W</w:t>
            </w:r>
          </w:p>
          <w:p w14:paraId="2643FA43" w14:textId="77777777" w:rsidR="00DF358A" w:rsidRPr="004E13E9" w:rsidRDefault="00DF358A" w:rsidP="00BB4F69">
            <w:pPr>
              <w:pStyle w:val="TableParagraph"/>
              <w:spacing w:after="40"/>
              <w:ind w:left="99" w:right="334"/>
              <w:rPr>
                <w:rFonts w:ascii="Cambria" w:hAnsi="Cambria"/>
                <w:spacing w:val="-1"/>
                <w:sz w:val="18"/>
                <w:szCs w:val="18"/>
                <w:lang w:val="pl-PL"/>
              </w:rPr>
            </w:pPr>
            <w:r w:rsidRPr="004E13E9">
              <w:rPr>
                <w:rFonts w:ascii="Cambria" w:hAnsi="Cambria"/>
                <w:spacing w:val="-1"/>
                <w:sz w:val="18"/>
                <w:szCs w:val="18"/>
                <w:lang w:val="pl-PL"/>
              </w:rPr>
              <w:t>37°33'44,272''N; 0°53´12,802''W</w:t>
            </w:r>
          </w:p>
          <w:p w14:paraId="18E4A6AC" w14:textId="77777777" w:rsidR="00DF358A" w:rsidRPr="004E13E9" w:rsidRDefault="00DF358A" w:rsidP="00BB4F69">
            <w:pPr>
              <w:pStyle w:val="TableParagraph"/>
              <w:spacing w:after="40"/>
              <w:ind w:left="99" w:right="334"/>
              <w:rPr>
                <w:rFonts w:ascii="Cambria" w:hAnsi="Cambria"/>
                <w:spacing w:val="-1"/>
                <w:sz w:val="18"/>
                <w:szCs w:val="18"/>
                <w:lang w:val="pl-PL"/>
              </w:rPr>
            </w:pPr>
            <w:r w:rsidRPr="004E13E9">
              <w:rPr>
                <w:rFonts w:ascii="Cambria" w:hAnsi="Cambria"/>
                <w:spacing w:val="-1"/>
                <w:sz w:val="18"/>
                <w:szCs w:val="18"/>
                <w:lang w:val="pl-PL"/>
              </w:rPr>
              <w:t>37°33’43,683''N; 0°52’39,943''W</w:t>
            </w:r>
          </w:p>
        </w:tc>
        <w:tc>
          <w:tcPr>
            <w:tcW w:w="2115" w:type="dxa"/>
            <w:vAlign w:val="center"/>
          </w:tcPr>
          <w:p w14:paraId="16DACF28" w14:textId="77777777" w:rsidR="00DF358A" w:rsidRPr="004E13E9" w:rsidRDefault="00DF358A" w:rsidP="00BB4F69">
            <w:pPr>
              <w:pStyle w:val="TableParagraph"/>
              <w:spacing w:before="169" w:after="40"/>
              <w:jc w:val="center"/>
              <w:rPr>
                <w:rFonts w:ascii="Cambria" w:hAnsi="Cambria"/>
                <w:sz w:val="18"/>
                <w:szCs w:val="18"/>
                <w:lang w:val="en-IE"/>
              </w:rPr>
            </w:pPr>
            <w:r w:rsidRPr="004E13E9">
              <w:rPr>
                <w:rFonts w:ascii="Cambria" w:hAnsi="Cambria"/>
                <w:sz w:val="18"/>
                <w:szCs w:val="18"/>
                <w:lang w:val="en-IE"/>
              </w:rPr>
              <w:t>825,00</w:t>
            </w:r>
          </w:p>
        </w:tc>
      </w:tr>
      <w:tr w:rsidR="00DF358A" w:rsidRPr="004E13E9" w14:paraId="3C3E7E19" w14:textId="77777777" w:rsidTr="00BB4F69">
        <w:trPr>
          <w:trHeight w:val="57"/>
        </w:trPr>
        <w:tc>
          <w:tcPr>
            <w:tcW w:w="1958" w:type="dxa"/>
            <w:vAlign w:val="center"/>
          </w:tcPr>
          <w:p w14:paraId="262DE087" w14:textId="77777777" w:rsidR="00DF358A" w:rsidRPr="004E13E9" w:rsidRDefault="00DF358A" w:rsidP="00BB4F69">
            <w:pPr>
              <w:spacing w:after="40" w:line="233" w:lineRule="exact"/>
              <w:ind w:left="102"/>
              <w:rPr>
                <w:spacing w:val="-1"/>
                <w:sz w:val="18"/>
                <w:szCs w:val="18"/>
              </w:rPr>
            </w:pPr>
            <w:bookmarkStart w:id="22" w:name="_Hlk160566520"/>
            <w:r w:rsidRPr="004E13E9">
              <w:rPr>
                <w:spacing w:val="-1"/>
                <w:sz w:val="18"/>
                <w:szCs w:val="18"/>
              </w:rPr>
              <w:t>ITSAS BALFEGO</w:t>
            </w:r>
          </w:p>
        </w:tc>
        <w:tc>
          <w:tcPr>
            <w:tcW w:w="1564" w:type="dxa"/>
            <w:vAlign w:val="center"/>
          </w:tcPr>
          <w:p w14:paraId="490B66DF" w14:textId="77777777" w:rsidR="00DF358A" w:rsidRPr="004E13E9" w:rsidRDefault="00DF358A" w:rsidP="00BB4F69">
            <w:pPr>
              <w:spacing w:after="40"/>
              <w:ind w:left="139" w:hanging="2"/>
              <w:rPr>
                <w:spacing w:val="-1"/>
                <w:sz w:val="18"/>
                <w:szCs w:val="18"/>
                <w:lang w:val="en-IE"/>
              </w:rPr>
            </w:pPr>
            <w:r w:rsidRPr="004E13E9">
              <w:rPr>
                <w:spacing w:val="-1"/>
                <w:sz w:val="18"/>
                <w:szCs w:val="18"/>
                <w:lang w:val="en-IE"/>
              </w:rPr>
              <w:t>ATEU1ESP00018</w:t>
            </w:r>
          </w:p>
        </w:tc>
        <w:tc>
          <w:tcPr>
            <w:tcW w:w="3142" w:type="dxa"/>
            <w:gridSpan w:val="2"/>
            <w:vAlign w:val="center"/>
          </w:tcPr>
          <w:p w14:paraId="55764BF5" w14:textId="77777777" w:rsidR="00DF358A" w:rsidRPr="004E13E9" w:rsidRDefault="00DF358A" w:rsidP="00BB4F69">
            <w:pPr>
              <w:pStyle w:val="TableParagraph"/>
              <w:spacing w:after="40"/>
              <w:ind w:left="99" w:right="334"/>
              <w:rPr>
                <w:rFonts w:ascii="Cambria" w:hAnsi="Cambria"/>
                <w:spacing w:val="-1"/>
                <w:sz w:val="18"/>
                <w:szCs w:val="18"/>
                <w:lang w:val="pt-PT"/>
              </w:rPr>
            </w:pPr>
            <w:r w:rsidRPr="004E13E9">
              <w:rPr>
                <w:rFonts w:ascii="Cambria" w:hAnsi="Cambria"/>
                <w:spacing w:val="-1"/>
                <w:sz w:val="18"/>
                <w:szCs w:val="18"/>
                <w:lang w:val="pt-PT"/>
              </w:rPr>
              <w:t>A:43º22,</w:t>
            </w:r>
            <w:r w:rsidRPr="004E13E9">
              <w:rPr>
                <w:rFonts w:ascii="Cambria" w:eastAsia="Arial" w:hAnsi="Cambria" w:cs="Arial"/>
                <w:spacing w:val="-1"/>
                <w:sz w:val="18"/>
                <w:szCs w:val="18"/>
                <w:lang w:val="pt-PT"/>
              </w:rPr>
              <w:t>337</w:t>
            </w:r>
            <w:r w:rsidRPr="004E13E9">
              <w:rPr>
                <w:rFonts w:ascii="Cambria" w:hAnsi="Cambria"/>
                <w:spacing w:val="-1"/>
                <w:sz w:val="18"/>
                <w:szCs w:val="18"/>
                <w:lang w:val="pt-PT"/>
              </w:rPr>
              <w:t>'</w:t>
            </w:r>
            <w:r w:rsidRPr="004E13E9">
              <w:rPr>
                <w:rFonts w:ascii="Cambria" w:eastAsia="Arial" w:hAnsi="Cambria" w:cs="Arial"/>
                <w:spacing w:val="-1"/>
                <w:sz w:val="18"/>
                <w:szCs w:val="18"/>
                <w:lang w:val="pt-PT"/>
              </w:rPr>
              <w:t>N</w:t>
            </w:r>
            <w:r w:rsidRPr="004E13E9">
              <w:rPr>
                <w:rFonts w:ascii="Cambria" w:hAnsi="Cambria"/>
                <w:sz w:val="18"/>
                <w:szCs w:val="18"/>
                <w:lang w:val="pt-PT"/>
              </w:rPr>
              <w:t xml:space="preserve"> </w:t>
            </w:r>
            <w:r w:rsidRPr="004E13E9">
              <w:rPr>
                <w:rFonts w:ascii="Cambria" w:hAnsi="Cambria"/>
                <w:spacing w:val="-1"/>
                <w:sz w:val="18"/>
                <w:szCs w:val="18"/>
                <w:lang w:val="pt-PT"/>
              </w:rPr>
              <w:t>02º10,962'W</w:t>
            </w:r>
            <w:r w:rsidRPr="004E13E9">
              <w:rPr>
                <w:rFonts w:ascii="Cambria" w:hAnsi="Cambria"/>
                <w:spacing w:val="33"/>
                <w:sz w:val="18"/>
                <w:szCs w:val="18"/>
                <w:lang w:val="pt-PT"/>
              </w:rPr>
              <w:t xml:space="preserve"> </w:t>
            </w:r>
            <w:r w:rsidRPr="004E13E9">
              <w:rPr>
                <w:rFonts w:ascii="Cambria" w:hAnsi="Cambria"/>
                <w:spacing w:val="-1"/>
                <w:sz w:val="18"/>
                <w:szCs w:val="18"/>
                <w:lang w:val="pt-PT"/>
              </w:rPr>
              <w:t>B:43º22,564'N</w:t>
            </w:r>
            <w:r w:rsidRPr="004E13E9">
              <w:rPr>
                <w:rFonts w:ascii="Cambria" w:hAnsi="Cambria"/>
                <w:sz w:val="18"/>
                <w:szCs w:val="18"/>
                <w:lang w:val="pt-PT"/>
              </w:rPr>
              <w:t xml:space="preserve"> </w:t>
            </w:r>
            <w:r w:rsidRPr="004E13E9">
              <w:rPr>
                <w:rFonts w:ascii="Cambria" w:hAnsi="Cambria"/>
                <w:spacing w:val="-1"/>
                <w:sz w:val="18"/>
                <w:szCs w:val="18"/>
                <w:lang w:val="pt-PT"/>
              </w:rPr>
              <w:t>02º10,353'W</w:t>
            </w:r>
            <w:r w:rsidRPr="004E13E9">
              <w:rPr>
                <w:rFonts w:ascii="Cambria" w:hAnsi="Cambria"/>
                <w:spacing w:val="37"/>
                <w:sz w:val="18"/>
                <w:szCs w:val="18"/>
                <w:lang w:val="pt-PT"/>
              </w:rPr>
              <w:t xml:space="preserve"> </w:t>
            </w:r>
            <w:r w:rsidRPr="004E13E9">
              <w:rPr>
                <w:rFonts w:ascii="Cambria" w:hAnsi="Cambria"/>
                <w:spacing w:val="-1"/>
                <w:sz w:val="18"/>
                <w:szCs w:val="18"/>
                <w:lang w:val="pt-PT"/>
              </w:rPr>
              <w:t>C:43º22,166'</w:t>
            </w:r>
            <w:r w:rsidRPr="004E13E9">
              <w:rPr>
                <w:rFonts w:ascii="Cambria" w:eastAsia="Arial" w:hAnsi="Cambria" w:cs="Arial"/>
                <w:spacing w:val="-1"/>
                <w:sz w:val="18"/>
                <w:szCs w:val="18"/>
                <w:lang w:val="pt-PT"/>
              </w:rPr>
              <w:t>N</w:t>
            </w:r>
            <w:r w:rsidRPr="004E13E9">
              <w:rPr>
                <w:rFonts w:ascii="Cambria" w:hAnsi="Cambria"/>
                <w:sz w:val="18"/>
                <w:szCs w:val="18"/>
                <w:lang w:val="pt-PT"/>
              </w:rPr>
              <w:t xml:space="preserve"> </w:t>
            </w:r>
            <w:r w:rsidRPr="004E13E9">
              <w:rPr>
                <w:rFonts w:ascii="Cambria" w:hAnsi="Cambria"/>
                <w:spacing w:val="-1"/>
                <w:sz w:val="18"/>
                <w:szCs w:val="18"/>
                <w:lang w:val="pt-PT"/>
              </w:rPr>
              <w:t>02º10,080'W</w:t>
            </w:r>
            <w:r w:rsidRPr="004E13E9">
              <w:rPr>
                <w:rFonts w:ascii="Cambria" w:hAnsi="Cambria"/>
                <w:spacing w:val="33"/>
                <w:sz w:val="18"/>
                <w:szCs w:val="18"/>
                <w:lang w:val="pt-PT"/>
              </w:rPr>
              <w:t xml:space="preserve"> </w:t>
            </w:r>
            <w:r w:rsidRPr="004E13E9">
              <w:rPr>
                <w:rFonts w:ascii="Cambria" w:hAnsi="Cambria"/>
                <w:spacing w:val="-1"/>
                <w:sz w:val="18"/>
                <w:szCs w:val="18"/>
                <w:lang w:val="pt-PT"/>
              </w:rPr>
              <w:t>D:43º21,953'N</w:t>
            </w:r>
            <w:r w:rsidRPr="004E13E9">
              <w:rPr>
                <w:rFonts w:ascii="Cambria" w:hAnsi="Cambria"/>
                <w:sz w:val="18"/>
                <w:szCs w:val="18"/>
                <w:lang w:val="pt-PT"/>
              </w:rPr>
              <w:t xml:space="preserve"> </w:t>
            </w:r>
            <w:r w:rsidRPr="004E13E9">
              <w:rPr>
                <w:rFonts w:ascii="Cambria" w:hAnsi="Cambria"/>
                <w:spacing w:val="-1"/>
                <w:sz w:val="18"/>
                <w:szCs w:val="18"/>
                <w:lang w:val="pt-PT"/>
              </w:rPr>
              <w:t>02º10,706'W</w:t>
            </w:r>
          </w:p>
        </w:tc>
        <w:tc>
          <w:tcPr>
            <w:tcW w:w="2115" w:type="dxa"/>
            <w:vAlign w:val="center"/>
          </w:tcPr>
          <w:p w14:paraId="364CD2C4" w14:textId="77777777" w:rsidR="00DF358A" w:rsidRPr="004E13E9" w:rsidRDefault="00DF358A" w:rsidP="00BB4F69">
            <w:pPr>
              <w:pStyle w:val="TableParagraph"/>
              <w:spacing w:before="169" w:after="40"/>
              <w:jc w:val="center"/>
              <w:rPr>
                <w:rFonts w:ascii="Cambria" w:hAnsi="Cambria"/>
                <w:spacing w:val="-1"/>
                <w:sz w:val="18"/>
                <w:szCs w:val="18"/>
                <w:lang w:val="en-IE"/>
              </w:rPr>
            </w:pPr>
            <w:r w:rsidRPr="004E13E9">
              <w:rPr>
                <w:rFonts w:ascii="Cambria" w:hAnsi="Cambria"/>
                <w:spacing w:val="-1"/>
                <w:sz w:val="18"/>
                <w:szCs w:val="18"/>
                <w:lang w:val="en-IE"/>
              </w:rPr>
              <w:t>200,00</w:t>
            </w:r>
          </w:p>
        </w:tc>
      </w:tr>
      <w:tr w:rsidR="00DF358A" w:rsidRPr="004E13E9" w14:paraId="2BCC37D6" w14:textId="77777777" w:rsidTr="00BB4F69">
        <w:trPr>
          <w:trHeight w:val="57"/>
        </w:trPr>
        <w:tc>
          <w:tcPr>
            <w:tcW w:w="1958" w:type="dxa"/>
            <w:vAlign w:val="center"/>
          </w:tcPr>
          <w:p w14:paraId="44785734" w14:textId="77777777" w:rsidR="00DF358A" w:rsidRPr="004E13E9" w:rsidRDefault="00DF358A" w:rsidP="00BB4F69">
            <w:pPr>
              <w:spacing w:after="40" w:line="233" w:lineRule="exact"/>
              <w:ind w:left="102"/>
              <w:rPr>
                <w:spacing w:val="-1"/>
                <w:sz w:val="18"/>
                <w:szCs w:val="18"/>
              </w:rPr>
            </w:pPr>
            <w:r w:rsidRPr="004E13E9">
              <w:rPr>
                <w:color w:val="000000" w:themeColor="text1"/>
                <w:sz w:val="19"/>
                <w:szCs w:val="19"/>
              </w:rPr>
              <w:t>PISCIFACTORIAS DEL MEDITERRANEO 2</w:t>
            </w:r>
          </w:p>
        </w:tc>
        <w:tc>
          <w:tcPr>
            <w:tcW w:w="1564" w:type="dxa"/>
            <w:vAlign w:val="center"/>
          </w:tcPr>
          <w:p w14:paraId="57B642BA" w14:textId="77777777" w:rsidR="00DF358A" w:rsidRPr="004E13E9" w:rsidRDefault="00DF358A" w:rsidP="00BB4F69">
            <w:pPr>
              <w:spacing w:after="40"/>
              <w:ind w:left="139" w:hanging="2"/>
              <w:rPr>
                <w:spacing w:val="-1"/>
                <w:sz w:val="18"/>
                <w:szCs w:val="18"/>
                <w:lang w:val="en-IE"/>
              </w:rPr>
            </w:pPr>
            <w:r w:rsidRPr="004E13E9">
              <w:rPr>
                <w:color w:val="000000" w:themeColor="text1"/>
                <w:sz w:val="19"/>
                <w:szCs w:val="19"/>
              </w:rPr>
              <w:t>ATEU1ESP00019</w:t>
            </w:r>
          </w:p>
        </w:tc>
        <w:tc>
          <w:tcPr>
            <w:tcW w:w="3142" w:type="dxa"/>
            <w:gridSpan w:val="2"/>
            <w:vAlign w:val="center"/>
          </w:tcPr>
          <w:p w14:paraId="062AB570" w14:textId="77777777" w:rsidR="00DF358A" w:rsidRPr="004E13E9" w:rsidRDefault="00DF358A" w:rsidP="00BB4F69">
            <w:pPr>
              <w:pStyle w:val="TableParagraph"/>
              <w:ind w:left="28"/>
              <w:rPr>
                <w:rFonts w:ascii="Cambria" w:hAnsi="Cambria"/>
                <w:sz w:val="19"/>
                <w:szCs w:val="19"/>
                <w:lang w:val="pt-PT"/>
              </w:rPr>
            </w:pPr>
            <w:r w:rsidRPr="004E13E9">
              <w:rPr>
                <w:rFonts w:ascii="Cambria" w:hAnsi="Cambria"/>
                <w:sz w:val="19"/>
                <w:szCs w:val="19"/>
                <w:lang w:val="pt-PT"/>
              </w:rPr>
              <w:t>A 37º 53,064’ N     0º 41,780’ W</w:t>
            </w:r>
          </w:p>
          <w:p w14:paraId="2F7F3153" w14:textId="77777777" w:rsidR="00DF358A" w:rsidRPr="004E13E9" w:rsidRDefault="00DF358A" w:rsidP="00BB4F69">
            <w:pPr>
              <w:pStyle w:val="TableParagraph"/>
              <w:ind w:left="28"/>
              <w:rPr>
                <w:rFonts w:ascii="Cambria" w:hAnsi="Cambria"/>
                <w:sz w:val="19"/>
                <w:szCs w:val="19"/>
                <w:lang w:val="pt-PT"/>
              </w:rPr>
            </w:pPr>
            <w:r w:rsidRPr="004E13E9">
              <w:rPr>
                <w:rFonts w:ascii="Cambria" w:hAnsi="Cambria"/>
                <w:sz w:val="19"/>
                <w:szCs w:val="19"/>
                <w:lang w:val="pt-PT"/>
              </w:rPr>
              <w:t>B 37º 52,987’ N  0º 41,453’ W</w:t>
            </w:r>
          </w:p>
          <w:p w14:paraId="3D941A5D" w14:textId="77777777" w:rsidR="00DF358A" w:rsidRPr="004E13E9" w:rsidRDefault="00DF358A" w:rsidP="00BB4F69">
            <w:pPr>
              <w:pStyle w:val="TableParagraph"/>
              <w:ind w:left="28"/>
              <w:rPr>
                <w:rFonts w:ascii="Cambria" w:hAnsi="Cambria"/>
                <w:sz w:val="19"/>
                <w:szCs w:val="19"/>
                <w:lang w:val="pt-PT"/>
              </w:rPr>
            </w:pPr>
            <w:r w:rsidRPr="004E13E9">
              <w:rPr>
                <w:rFonts w:ascii="Cambria" w:hAnsi="Cambria"/>
                <w:sz w:val="19"/>
                <w:szCs w:val="19"/>
                <w:lang w:val="pt-PT"/>
              </w:rPr>
              <w:t>C 37º 52,520’ N  0º 41,627’ W</w:t>
            </w:r>
          </w:p>
          <w:p w14:paraId="75C43A1F" w14:textId="77777777" w:rsidR="00DF358A" w:rsidRPr="004E13E9" w:rsidRDefault="00DF358A" w:rsidP="00BB4F69">
            <w:pPr>
              <w:pStyle w:val="TableParagraph"/>
              <w:spacing w:after="40"/>
              <w:ind w:left="28" w:right="334"/>
              <w:rPr>
                <w:rFonts w:ascii="Cambria" w:hAnsi="Cambria"/>
                <w:spacing w:val="-1"/>
                <w:sz w:val="18"/>
                <w:szCs w:val="18"/>
                <w:lang w:val="pt-PT"/>
              </w:rPr>
            </w:pPr>
            <w:r w:rsidRPr="004E13E9">
              <w:rPr>
                <w:rFonts w:ascii="Cambria" w:hAnsi="Cambria"/>
                <w:sz w:val="19"/>
                <w:szCs w:val="19"/>
                <w:lang w:val="pt-PT"/>
              </w:rPr>
              <w:t>D 37º 52,597’ N  0º 41,954’ W</w:t>
            </w:r>
          </w:p>
        </w:tc>
        <w:tc>
          <w:tcPr>
            <w:tcW w:w="2115" w:type="dxa"/>
            <w:vAlign w:val="center"/>
          </w:tcPr>
          <w:p w14:paraId="03F6BD63" w14:textId="77777777" w:rsidR="00DF358A" w:rsidRPr="004E13E9" w:rsidRDefault="00DF358A" w:rsidP="00BB4F69">
            <w:pPr>
              <w:pStyle w:val="TableParagraph"/>
              <w:spacing w:before="169" w:after="40"/>
              <w:jc w:val="center"/>
              <w:rPr>
                <w:rFonts w:ascii="Cambria" w:hAnsi="Cambria"/>
                <w:spacing w:val="-1"/>
                <w:sz w:val="18"/>
                <w:szCs w:val="18"/>
                <w:lang w:val="en-IE"/>
              </w:rPr>
            </w:pPr>
            <w:r w:rsidRPr="004E13E9">
              <w:rPr>
                <w:rFonts w:ascii="Cambria" w:hAnsi="Cambria"/>
                <w:sz w:val="19"/>
                <w:szCs w:val="19"/>
                <w:lang w:val="en-IE"/>
              </w:rPr>
              <w:t>70</w:t>
            </w:r>
          </w:p>
        </w:tc>
      </w:tr>
      <w:bookmarkEnd w:id="22"/>
      <w:tr w:rsidR="00DF358A" w:rsidRPr="004E13E9" w14:paraId="566F76EF" w14:textId="77777777" w:rsidTr="00BB4F69">
        <w:trPr>
          <w:trHeight w:val="57"/>
        </w:trPr>
        <w:tc>
          <w:tcPr>
            <w:tcW w:w="1958" w:type="dxa"/>
            <w:vAlign w:val="center"/>
          </w:tcPr>
          <w:p w14:paraId="5486E169" w14:textId="77777777" w:rsidR="00DF358A" w:rsidRPr="004E13E9" w:rsidRDefault="00DF358A" w:rsidP="00BB4F69">
            <w:pPr>
              <w:pStyle w:val="TableParagraph"/>
              <w:spacing w:before="169" w:after="40"/>
              <w:ind w:left="102"/>
              <w:rPr>
                <w:rFonts w:ascii="Cambria" w:hAnsi="Cambria"/>
                <w:sz w:val="18"/>
                <w:szCs w:val="18"/>
                <w:lang w:val="en-IE"/>
              </w:rPr>
            </w:pPr>
            <w:r w:rsidRPr="004E13E9">
              <w:rPr>
                <w:rFonts w:ascii="Cambria" w:hAnsi="Cambria"/>
                <w:spacing w:val="-1"/>
                <w:sz w:val="18"/>
                <w:szCs w:val="18"/>
                <w:lang w:val="en-IE"/>
              </w:rPr>
              <w:t>Mediterraneo</w:t>
            </w:r>
          </w:p>
        </w:tc>
        <w:tc>
          <w:tcPr>
            <w:tcW w:w="1564" w:type="dxa"/>
            <w:vAlign w:val="center"/>
          </w:tcPr>
          <w:p w14:paraId="55825CB9" w14:textId="77777777" w:rsidR="00DF358A" w:rsidRPr="004E13E9" w:rsidRDefault="00DF358A" w:rsidP="00BB4F69">
            <w:pPr>
              <w:spacing w:after="40"/>
              <w:ind w:left="139" w:hanging="2"/>
              <w:rPr>
                <w:sz w:val="18"/>
                <w:szCs w:val="18"/>
                <w:lang w:val="en-IE"/>
              </w:rPr>
            </w:pPr>
            <w:r w:rsidRPr="004E13E9">
              <w:rPr>
                <w:sz w:val="18"/>
                <w:szCs w:val="18"/>
                <w:lang w:val="en-IE"/>
              </w:rPr>
              <w:t>ATEU1ESP00014</w:t>
            </w:r>
          </w:p>
        </w:tc>
        <w:tc>
          <w:tcPr>
            <w:tcW w:w="3142" w:type="dxa"/>
            <w:gridSpan w:val="2"/>
            <w:vAlign w:val="center"/>
          </w:tcPr>
          <w:p w14:paraId="052C0E69" w14:textId="77777777" w:rsidR="00DF358A" w:rsidRPr="004E13E9" w:rsidRDefault="00DF358A" w:rsidP="00BB4F69">
            <w:pPr>
              <w:pStyle w:val="TableParagraph"/>
              <w:spacing w:after="40"/>
              <w:ind w:left="99" w:right="627"/>
              <w:rPr>
                <w:rFonts w:ascii="Cambria" w:hAnsi="Cambria"/>
                <w:spacing w:val="26"/>
                <w:sz w:val="18"/>
                <w:szCs w:val="18"/>
                <w:lang w:val="pt-PT"/>
              </w:rPr>
            </w:pPr>
            <w:bookmarkStart w:id="23" w:name="_Hlk127784839"/>
            <w:r w:rsidRPr="004E13E9">
              <w:rPr>
                <w:rFonts w:ascii="Cambria" w:hAnsi="Cambria"/>
                <w:sz w:val="18"/>
                <w:szCs w:val="18"/>
                <w:lang w:val="pt-PT"/>
              </w:rPr>
              <w:t>A: 37º</w:t>
            </w:r>
            <w:r w:rsidRPr="004E13E9">
              <w:rPr>
                <w:rFonts w:ascii="Cambria" w:hAnsi="Cambria"/>
                <w:spacing w:val="-1"/>
                <w:sz w:val="18"/>
                <w:szCs w:val="18"/>
                <w:lang w:val="pt-PT"/>
              </w:rPr>
              <w:t xml:space="preserve"> 49`,6 N</w:t>
            </w:r>
            <w:r w:rsidRPr="004E13E9">
              <w:rPr>
                <w:rFonts w:ascii="Cambria" w:hAnsi="Cambria"/>
                <w:sz w:val="18"/>
                <w:szCs w:val="18"/>
                <w:lang w:val="pt-PT"/>
              </w:rPr>
              <w:t xml:space="preserve"> </w:t>
            </w:r>
            <w:r w:rsidRPr="004E13E9">
              <w:rPr>
                <w:rFonts w:ascii="Cambria" w:hAnsi="Cambria"/>
                <w:spacing w:val="-1"/>
                <w:sz w:val="18"/>
                <w:szCs w:val="18"/>
                <w:lang w:val="pt-PT"/>
              </w:rPr>
              <w:t xml:space="preserve">000º </w:t>
            </w:r>
            <w:r w:rsidRPr="004E13E9">
              <w:rPr>
                <w:rFonts w:ascii="Cambria" w:hAnsi="Cambria"/>
                <w:sz w:val="18"/>
                <w:szCs w:val="18"/>
                <w:lang w:val="pt-PT"/>
              </w:rPr>
              <w:t>40´,7</w:t>
            </w:r>
            <w:r w:rsidRPr="004E13E9">
              <w:rPr>
                <w:rFonts w:ascii="Cambria" w:hAnsi="Cambria"/>
                <w:spacing w:val="-6"/>
                <w:sz w:val="18"/>
                <w:szCs w:val="18"/>
                <w:lang w:val="pt-PT"/>
              </w:rPr>
              <w:t xml:space="preserve"> </w:t>
            </w:r>
            <w:r w:rsidRPr="004E13E9">
              <w:rPr>
                <w:rFonts w:ascii="Cambria" w:hAnsi="Cambria"/>
                <w:sz w:val="18"/>
                <w:szCs w:val="18"/>
                <w:lang w:val="pt-PT"/>
              </w:rPr>
              <w:t>W</w:t>
            </w:r>
            <w:r w:rsidRPr="004E13E9">
              <w:rPr>
                <w:rFonts w:ascii="Cambria" w:hAnsi="Cambria"/>
                <w:spacing w:val="26"/>
                <w:sz w:val="18"/>
                <w:szCs w:val="18"/>
                <w:lang w:val="pt-PT"/>
              </w:rPr>
              <w:t xml:space="preserve"> </w:t>
            </w:r>
          </w:p>
          <w:p w14:paraId="06318686" w14:textId="77777777" w:rsidR="00DF358A" w:rsidRPr="004E13E9" w:rsidRDefault="00DF358A" w:rsidP="00BB4F69">
            <w:pPr>
              <w:pStyle w:val="TableParagraph"/>
              <w:spacing w:after="40"/>
              <w:ind w:left="99" w:right="627"/>
              <w:rPr>
                <w:rFonts w:ascii="Cambria" w:hAnsi="Cambria"/>
                <w:spacing w:val="25"/>
                <w:sz w:val="18"/>
                <w:szCs w:val="18"/>
                <w:lang w:val="pt-PT"/>
              </w:rPr>
            </w:pPr>
            <w:r w:rsidRPr="004E13E9">
              <w:rPr>
                <w:rFonts w:ascii="Cambria" w:hAnsi="Cambria"/>
                <w:sz w:val="18"/>
                <w:szCs w:val="18"/>
                <w:lang w:val="pt-PT"/>
              </w:rPr>
              <w:t>C:</w:t>
            </w:r>
            <w:r w:rsidRPr="004E13E9">
              <w:rPr>
                <w:rFonts w:ascii="Cambria" w:hAnsi="Cambria"/>
                <w:spacing w:val="2"/>
                <w:sz w:val="18"/>
                <w:szCs w:val="18"/>
                <w:lang w:val="pt-PT"/>
              </w:rPr>
              <w:t xml:space="preserve"> </w:t>
            </w:r>
            <w:r w:rsidRPr="004E13E9">
              <w:rPr>
                <w:rFonts w:ascii="Cambria" w:hAnsi="Cambria"/>
                <w:sz w:val="18"/>
                <w:szCs w:val="18"/>
                <w:lang w:val="pt-PT"/>
              </w:rPr>
              <w:t>37º</w:t>
            </w:r>
            <w:r w:rsidRPr="004E13E9">
              <w:rPr>
                <w:rFonts w:ascii="Cambria" w:hAnsi="Cambria"/>
                <w:spacing w:val="2"/>
                <w:sz w:val="18"/>
                <w:szCs w:val="18"/>
                <w:lang w:val="pt-PT"/>
              </w:rPr>
              <w:t xml:space="preserve"> </w:t>
            </w:r>
            <w:r w:rsidRPr="004E13E9">
              <w:rPr>
                <w:rFonts w:ascii="Cambria" w:hAnsi="Cambria"/>
                <w:spacing w:val="-1"/>
                <w:sz w:val="18"/>
                <w:szCs w:val="18"/>
                <w:lang w:val="pt-PT"/>
              </w:rPr>
              <w:t>49´,6 N</w:t>
            </w:r>
            <w:r w:rsidRPr="004E13E9">
              <w:rPr>
                <w:rFonts w:ascii="Cambria" w:hAnsi="Cambria"/>
                <w:spacing w:val="3"/>
                <w:sz w:val="18"/>
                <w:szCs w:val="18"/>
                <w:lang w:val="pt-PT"/>
              </w:rPr>
              <w:t xml:space="preserve"> </w:t>
            </w:r>
            <w:r w:rsidRPr="004E13E9">
              <w:rPr>
                <w:rFonts w:ascii="Cambria" w:hAnsi="Cambria"/>
                <w:sz w:val="18"/>
                <w:szCs w:val="18"/>
                <w:lang w:val="pt-PT"/>
              </w:rPr>
              <w:t>000º</w:t>
            </w:r>
            <w:r w:rsidRPr="004E13E9">
              <w:rPr>
                <w:rFonts w:ascii="Cambria" w:hAnsi="Cambria"/>
                <w:spacing w:val="2"/>
                <w:sz w:val="18"/>
                <w:szCs w:val="18"/>
                <w:lang w:val="pt-PT"/>
              </w:rPr>
              <w:t xml:space="preserve"> </w:t>
            </w:r>
            <w:r w:rsidRPr="004E13E9">
              <w:rPr>
                <w:rFonts w:ascii="Cambria" w:hAnsi="Cambria"/>
                <w:spacing w:val="-1"/>
                <w:sz w:val="18"/>
                <w:szCs w:val="18"/>
                <w:lang w:val="pt-PT"/>
              </w:rPr>
              <w:t>40´,4W</w:t>
            </w:r>
            <w:r w:rsidRPr="004E13E9">
              <w:rPr>
                <w:rFonts w:ascii="Cambria" w:hAnsi="Cambria"/>
                <w:spacing w:val="25"/>
                <w:sz w:val="18"/>
                <w:szCs w:val="18"/>
                <w:lang w:val="pt-PT"/>
              </w:rPr>
              <w:t xml:space="preserve"> </w:t>
            </w:r>
          </w:p>
          <w:p w14:paraId="350274E2" w14:textId="77777777" w:rsidR="00DF358A" w:rsidRPr="004E13E9" w:rsidRDefault="00DF358A" w:rsidP="00BB4F69">
            <w:pPr>
              <w:pStyle w:val="TableParagraph"/>
              <w:spacing w:after="40"/>
              <w:ind w:left="99" w:right="627"/>
              <w:rPr>
                <w:rFonts w:ascii="Cambria" w:hAnsi="Cambria"/>
                <w:spacing w:val="25"/>
                <w:sz w:val="18"/>
                <w:szCs w:val="18"/>
                <w:lang w:val="pt-PT"/>
              </w:rPr>
            </w:pPr>
            <w:r w:rsidRPr="004E13E9">
              <w:rPr>
                <w:rFonts w:ascii="Cambria" w:hAnsi="Cambria"/>
                <w:sz w:val="18"/>
                <w:szCs w:val="18"/>
                <w:lang w:val="pt-PT"/>
              </w:rPr>
              <w:t>B: 37º</w:t>
            </w:r>
            <w:r w:rsidRPr="004E13E9">
              <w:rPr>
                <w:rFonts w:ascii="Cambria" w:hAnsi="Cambria"/>
                <w:spacing w:val="-1"/>
                <w:sz w:val="18"/>
                <w:szCs w:val="18"/>
                <w:lang w:val="pt-PT"/>
              </w:rPr>
              <w:t xml:space="preserve"> 49´,0</w:t>
            </w:r>
            <w:r w:rsidRPr="004E13E9">
              <w:rPr>
                <w:rFonts w:ascii="Cambria" w:hAnsi="Cambria"/>
                <w:sz w:val="18"/>
                <w:szCs w:val="18"/>
                <w:lang w:val="pt-PT"/>
              </w:rPr>
              <w:t xml:space="preserve"> N </w:t>
            </w:r>
            <w:r w:rsidRPr="004E13E9">
              <w:rPr>
                <w:rFonts w:ascii="Cambria" w:hAnsi="Cambria"/>
                <w:spacing w:val="-1"/>
                <w:sz w:val="18"/>
                <w:szCs w:val="18"/>
                <w:lang w:val="pt-PT"/>
              </w:rPr>
              <w:t xml:space="preserve">000º </w:t>
            </w:r>
            <w:r w:rsidRPr="004E13E9">
              <w:rPr>
                <w:rFonts w:ascii="Cambria" w:hAnsi="Cambria"/>
                <w:sz w:val="18"/>
                <w:szCs w:val="18"/>
                <w:lang w:val="pt-PT"/>
              </w:rPr>
              <w:t>40´,5</w:t>
            </w:r>
            <w:r w:rsidRPr="004E13E9">
              <w:rPr>
                <w:rFonts w:ascii="Cambria" w:hAnsi="Cambria"/>
                <w:spacing w:val="-6"/>
                <w:sz w:val="18"/>
                <w:szCs w:val="18"/>
                <w:lang w:val="pt-PT"/>
              </w:rPr>
              <w:t xml:space="preserve"> </w:t>
            </w:r>
            <w:r w:rsidRPr="004E13E9">
              <w:rPr>
                <w:rFonts w:ascii="Cambria" w:hAnsi="Cambria"/>
                <w:sz w:val="18"/>
                <w:szCs w:val="18"/>
                <w:lang w:val="pt-PT"/>
              </w:rPr>
              <w:t>W</w:t>
            </w:r>
            <w:r w:rsidRPr="004E13E9">
              <w:rPr>
                <w:rFonts w:ascii="Cambria" w:hAnsi="Cambria"/>
                <w:spacing w:val="25"/>
                <w:sz w:val="18"/>
                <w:szCs w:val="18"/>
                <w:lang w:val="pt-PT"/>
              </w:rPr>
              <w:t xml:space="preserve"> </w:t>
            </w:r>
          </w:p>
          <w:p w14:paraId="3A4AD067" w14:textId="77777777" w:rsidR="00DF358A" w:rsidRPr="004E13E9" w:rsidRDefault="00DF358A" w:rsidP="00BB4F69">
            <w:pPr>
              <w:pStyle w:val="TableParagraph"/>
              <w:spacing w:after="40"/>
              <w:ind w:left="99" w:right="627"/>
              <w:rPr>
                <w:rFonts w:ascii="Cambria" w:hAnsi="Cambria"/>
                <w:sz w:val="18"/>
                <w:szCs w:val="18"/>
                <w:lang w:val="pt-PT"/>
              </w:rPr>
            </w:pPr>
            <w:r w:rsidRPr="004E13E9">
              <w:rPr>
                <w:rFonts w:ascii="Cambria" w:hAnsi="Cambria"/>
                <w:sz w:val="18"/>
                <w:szCs w:val="18"/>
                <w:lang w:val="pt-PT"/>
              </w:rPr>
              <w:t>D: 37º</w:t>
            </w:r>
            <w:r w:rsidRPr="004E13E9">
              <w:rPr>
                <w:rFonts w:ascii="Cambria" w:hAnsi="Cambria"/>
                <w:spacing w:val="-1"/>
                <w:sz w:val="18"/>
                <w:szCs w:val="18"/>
                <w:lang w:val="pt-PT"/>
              </w:rPr>
              <w:t xml:space="preserve"> 49´,0</w:t>
            </w:r>
            <w:r w:rsidRPr="004E13E9">
              <w:rPr>
                <w:rFonts w:ascii="Cambria" w:hAnsi="Cambria"/>
                <w:sz w:val="18"/>
                <w:szCs w:val="18"/>
                <w:lang w:val="pt-PT"/>
              </w:rPr>
              <w:t xml:space="preserve"> N </w:t>
            </w:r>
            <w:r w:rsidRPr="004E13E9">
              <w:rPr>
                <w:rFonts w:ascii="Cambria" w:hAnsi="Cambria"/>
                <w:spacing w:val="-1"/>
                <w:sz w:val="18"/>
                <w:szCs w:val="18"/>
                <w:lang w:val="pt-PT"/>
              </w:rPr>
              <w:t xml:space="preserve">000º </w:t>
            </w:r>
            <w:r w:rsidRPr="004E13E9">
              <w:rPr>
                <w:rFonts w:ascii="Cambria" w:hAnsi="Cambria"/>
                <w:sz w:val="18"/>
                <w:szCs w:val="18"/>
                <w:lang w:val="pt-PT"/>
              </w:rPr>
              <w:t>41´,0</w:t>
            </w:r>
            <w:r w:rsidRPr="004E13E9">
              <w:rPr>
                <w:rFonts w:ascii="Cambria" w:hAnsi="Cambria"/>
                <w:spacing w:val="-6"/>
                <w:sz w:val="18"/>
                <w:szCs w:val="18"/>
                <w:lang w:val="pt-PT"/>
              </w:rPr>
              <w:t xml:space="preserve"> </w:t>
            </w:r>
            <w:r w:rsidRPr="004E13E9">
              <w:rPr>
                <w:rFonts w:ascii="Cambria" w:hAnsi="Cambria"/>
                <w:spacing w:val="3"/>
                <w:sz w:val="18"/>
                <w:szCs w:val="18"/>
                <w:lang w:val="pt-PT"/>
              </w:rPr>
              <w:t>W"</w:t>
            </w:r>
            <w:bookmarkEnd w:id="23"/>
          </w:p>
        </w:tc>
        <w:tc>
          <w:tcPr>
            <w:tcW w:w="2115" w:type="dxa"/>
            <w:vAlign w:val="center"/>
          </w:tcPr>
          <w:p w14:paraId="6329D223" w14:textId="77777777" w:rsidR="00DF358A" w:rsidRPr="004E13E9" w:rsidRDefault="00DF358A" w:rsidP="00BB4F69">
            <w:pPr>
              <w:pStyle w:val="TableParagraph"/>
              <w:spacing w:before="169" w:after="40"/>
              <w:jc w:val="center"/>
              <w:rPr>
                <w:rFonts w:ascii="Cambria" w:hAnsi="Cambria"/>
                <w:sz w:val="18"/>
                <w:szCs w:val="18"/>
                <w:lang w:val="en-IE"/>
              </w:rPr>
            </w:pPr>
            <w:r w:rsidRPr="004E13E9">
              <w:rPr>
                <w:rFonts w:ascii="Cambria" w:hAnsi="Cambria"/>
                <w:sz w:val="18"/>
                <w:szCs w:val="18"/>
                <w:lang w:val="en-IE"/>
              </w:rPr>
              <w:t>1000,00</w:t>
            </w:r>
          </w:p>
        </w:tc>
      </w:tr>
      <w:tr w:rsidR="00DF358A" w:rsidRPr="004E13E9" w14:paraId="003CB8DF" w14:textId="77777777" w:rsidTr="00BB4F69">
        <w:trPr>
          <w:trHeight w:val="57"/>
        </w:trPr>
        <w:tc>
          <w:tcPr>
            <w:tcW w:w="1958" w:type="dxa"/>
            <w:vAlign w:val="center"/>
          </w:tcPr>
          <w:p w14:paraId="0D329016" w14:textId="77777777" w:rsidR="00DF358A" w:rsidRPr="004E13E9" w:rsidRDefault="00DF358A" w:rsidP="00BB4F69">
            <w:pPr>
              <w:pStyle w:val="TableParagraph"/>
              <w:tabs>
                <w:tab w:val="left" w:pos="874"/>
              </w:tabs>
              <w:spacing w:after="40"/>
              <w:ind w:left="102" w:right="104"/>
              <w:rPr>
                <w:rFonts w:ascii="Cambria" w:hAnsi="Cambria"/>
                <w:sz w:val="18"/>
                <w:szCs w:val="18"/>
                <w:lang w:val="es-ES"/>
              </w:rPr>
            </w:pPr>
            <w:r w:rsidRPr="004E13E9">
              <w:rPr>
                <w:rFonts w:ascii="Cambria" w:hAnsi="Cambria"/>
                <w:spacing w:val="-1"/>
                <w:w w:val="95"/>
                <w:sz w:val="18"/>
                <w:szCs w:val="18"/>
                <w:lang w:val="es-ES"/>
              </w:rPr>
              <w:t xml:space="preserve">Jadran </w:t>
            </w:r>
            <w:r w:rsidRPr="004E13E9">
              <w:rPr>
                <w:rFonts w:ascii="Cambria" w:hAnsi="Cambria"/>
                <w:w w:val="95"/>
                <w:sz w:val="18"/>
                <w:szCs w:val="18"/>
                <w:lang w:val="es-ES"/>
              </w:rPr>
              <w:t>Tuna</w:t>
            </w:r>
            <w:r w:rsidRPr="004E13E9">
              <w:rPr>
                <w:rFonts w:ascii="Cambria" w:hAnsi="Cambria"/>
                <w:spacing w:val="24"/>
                <w:w w:val="99"/>
                <w:sz w:val="18"/>
                <w:szCs w:val="18"/>
                <w:lang w:val="es-ES"/>
              </w:rPr>
              <w:t xml:space="preserve"> </w:t>
            </w:r>
            <w:r w:rsidRPr="004E13E9">
              <w:rPr>
                <w:rFonts w:ascii="Cambria" w:hAnsi="Cambria"/>
                <w:spacing w:val="-1"/>
                <w:sz w:val="18"/>
                <w:szCs w:val="18"/>
                <w:lang w:val="es-ES"/>
              </w:rPr>
              <w:t>D.O.O.</w:t>
            </w:r>
          </w:p>
        </w:tc>
        <w:tc>
          <w:tcPr>
            <w:tcW w:w="1564" w:type="dxa"/>
            <w:vAlign w:val="center"/>
          </w:tcPr>
          <w:p w14:paraId="67CE46A0" w14:textId="77777777" w:rsidR="00DF358A" w:rsidRPr="004E13E9" w:rsidRDefault="00DF358A" w:rsidP="00BB4F69">
            <w:pPr>
              <w:spacing w:after="40"/>
              <w:ind w:left="139" w:hanging="2"/>
              <w:rPr>
                <w:sz w:val="18"/>
                <w:szCs w:val="18"/>
                <w:lang w:val="en-IE"/>
              </w:rPr>
            </w:pPr>
            <w:r w:rsidRPr="004E13E9">
              <w:rPr>
                <w:sz w:val="18"/>
                <w:szCs w:val="18"/>
                <w:lang w:val="en-IE"/>
              </w:rPr>
              <w:t>ATEU1HRV00008</w:t>
            </w:r>
          </w:p>
        </w:tc>
        <w:tc>
          <w:tcPr>
            <w:tcW w:w="1441" w:type="dxa"/>
            <w:vAlign w:val="center"/>
          </w:tcPr>
          <w:p w14:paraId="6F784F86" w14:textId="77777777" w:rsidR="00DF358A" w:rsidRPr="004E13E9" w:rsidRDefault="00DF358A" w:rsidP="00BB4F69">
            <w:pPr>
              <w:pStyle w:val="TableParagraph"/>
              <w:spacing w:after="40"/>
              <w:ind w:left="99" w:right="339"/>
              <w:rPr>
                <w:rFonts w:ascii="Cambria" w:hAnsi="Cambria"/>
                <w:sz w:val="18"/>
                <w:szCs w:val="18"/>
                <w:lang w:val="en-IE"/>
              </w:rPr>
            </w:pPr>
            <w:r w:rsidRPr="004E13E9">
              <w:rPr>
                <w:rFonts w:ascii="Cambria" w:hAnsi="Cambria"/>
                <w:sz w:val="18"/>
                <w:szCs w:val="18"/>
                <w:lang w:val="en-IE"/>
              </w:rPr>
              <w:t xml:space="preserve">y </w:t>
            </w:r>
            <w:r w:rsidRPr="004E13E9">
              <w:rPr>
                <w:rFonts w:ascii="Cambria" w:hAnsi="Cambria"/>
                <w:spacing w:val="-1"/>
                <w:sz w:val="18"/>
                <w:szCs w:val="18"/>
                <w:lang w:val="en-IE"/>
              </w:rPr>
              <w:t>5540056,00</w:t>
            </w:r>
          </w:p>
          <w:p w14:paraId="758FBAFE"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5540410,00</w:t>
            </w:r>
          </w:p>
          <w:p w14:paraId="26059118" w14:textId="77777777" w:rsidR="00DF358A" w:rsidRPr="004E13E9" w:rsidRDefault="00DF358A" w:rsidP="00BB4F69">
            <w:pPr>
              <w:pStyle w:val="TableParagraph"/>
              <w:spacing w:before="2" w:after="40" w:line="207" w:lineRule="exact"/>
              <w:ind w:left="99"/>
              <w:rPr>
                <w:rFonts w:ascii="Cambria" w:hAnsi="Cambria"/>
                <w:sz w:val="18"/>
                <w:szCs w:val="18"/>
                <w:lang w:val="en-IE"/>
              </w:rPr>
            </w:pPr>
            <w:r w:rsidRPr="004E13E9">
              <w:rPr>
                <w:rFonts w:ascii="Cambria" w:hAnsi="Cambria"/>
                <w:spacing w:val="-1"/>
                <w:sz w:val="18"/>
                <w:szCs w:val="18"/>
                <w:lang w:val="en-IE"/>
              </w:rPr>
              <w:t>5539883,45</w:t>
            </w:r>
          </w:p>
          <w:p w14:paraId="3E9C1212"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5540237,52</w:t>
            </w:r>
          </w:p>
        </w:tc>
        <w:tc>
          <w:tcPr>
            <w:tcW w:w="1701" w:type="dxa"/>
            <w:vAlign w:val="center"/>
          </w:tcPr>
          <w:p w14:paraId="046E19E7" w14:textId="77777777" w:rsidR="00DF358A" w:rsidRPr="004E13E9" w:rsidRDefault="00DF358A" w:rsidP="00BB4F69">
            <w:pPr>
              <w:pStyle w:val="TableParagraph"/>
              <w:spacing w:after="40"/>
              <w:ind w:left="99" w:right="570"/>
              <w:rPr>
                <w:rFonts w:ascii="Cambria" w:hAnsi="Cambria"/>
                <w:sz w:val="18"/>
                <w:szCs w:val="18"/>
                <w:lang w:val="en-IE"/>
              </w:rPr>
            </w:pPr>
            <w:r w:rsidRPr="004E13E9">
              <w:rPr>
                <w:rFonts w:ascii="Cambria" w:hAnsi="Cambria"/>
                <w:sz w:val="18"/>
                <w:szCs w:val="18"/>
                <w:lang w:val="en-IE"/>
              </w:rPr>
              <w:t xml:space="preserve">x </w:t>
            </w:r>
          </w:p>
          <w:p w14:paraId="0EE472D6" w14:textId="77777777" w:rsidR="00DF358A" w:rsidRPr="004E13E9" w:rsidRDefault="00DF358A" w:rsidP="00BB4F69">
            <w:pPr>
              <w:pStyle w:val="TableParagraph"/>
              <w:spacing w:after="40"/>
              <w:ind w:left="99" w:right="570"/>
              <w:rPr>
                <w:rFonts w:ascii="Cambria" w:hAnsi="Cambria"/>
                <w:sz w:val="18"/>
                <w:szCs w:val="18"/>
                <w:lang w:val="en-IE"/>
              </w:rPr>
            </w:pPr>
            <w:r w:rsidRPr="004E13E9">
              <w:rPr>
                <w:rFonts w:ascii="Cambria" w:hAnsi="Cambria"/>
                <w:spacing w:val="-1"/>
                <w:sz w:val="18"/>
                <w:szCs w:val="18"/>
                <w:lang w:val="en-IE"/>
              </w:rPr>
              <w:t>4854937,00</w:t>
            </w:r>
          </w:p>
          <w:p w14:paraId="6D162CE5"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4854333,00</w:t>
            </w:r>
          </w:p>
          <w:p w14:paraId="06C52D07" w14:textId="77777777" w:rsidR="00DF358A" w:rsidRPr="004E13E9" w:rsidRDefault="00DF358A" w:rsidP="00BB4F69">
            <w:pPr>
              <w:pStyle w:val="TableParagraph"/>
              <w:spacing w:before="2" w:after="40" w:line="207" w:lineRule="exact"/>
              <w:ind w:left="99"/>
              <w:rPr>
                <w:rFonts w:ascii="Cambria" w:hAnsi="Cambria"/>
                <w:sz w:val="18"/>
                <w:szCs w:val="18"/>
                <w:lang w:val="en-IE"/>
              </w:rPr>
            </w:pPr>
            <w:r w:rsidRPr="004E13E9">
              <w:rPr>
                <w:rFonts w:ascii="Cambria" w:hAnsi="Cambria"/>
                <w:spacing w:val="-1"/>
                <w:sz w:val="18"/>
                <w:szCs w:val="18"/>
                <w:lang w:val="en-IE"/>
              </w:rPr>
              <w:t>4854835,87</w:t>
            </w:r>
          </w:p>
          <w:p w14:paraId="555D254E"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4854231,75</w:t>
            </w:r>
          </w:p>
        </w:tc>
        <w:tc>
          <w:tcPr>
            <w:tcW w:w="2115" w:type="dxa"/>
            <w:vAlign w:val="center"/>
          </w:tcPr>
          <w:p w14:paraId="716D1147" w14:textId="77777777" w:rsidR="00DF358A" w:rsidRPr="004E13E9" w:rsidRDefault="00DF358A" w:rsidP="00BB4F69">
            <w:pPr>
              <w:pStyle w:val="TableParagraph"/>
              <w:spacing w:before="169" w:after="40"/>
              <w:jc w:val="center"/>
              <w:rPr>
                <w:rFonts w:ascii="Cambria" w:hAnsi="Cambria"/>
                <w:sz w:val="18"/>
                <w:szCs w:val="18"/>
                <w:lang w:val="en-IE"/>
              </w:rPr>
            </w:pPr>
            <w:r w:rsidRPr="004E13E9">
              <w:rPr>
                <w:rFonts w:ascii="Cambria" w:hAnsi="Cambria"/>
                <w:sz w:val="18"/>
                <w:szCs w:val="18"/>
                <w:lang w:val="en-IE"/>
              </w:rPr>
              <w:t>707,969</w:t>
            </w:r>
          </w:p>
        </w:tc>
      </w:tr>
      <w:tr w:rsidR="00DF358A" w:rsidRPr="004E13E9" w14:paraId="574AEE4D" w14:textId="77777777" w:rsidTr="00BB4F69">
        <w:trPr>
          <w:trHeight w:val="57"/>
        </w:trPr>
        <w:tc>
          <w:tcPr>
            <w:tcW w:w="1958" w:type="dxa"/>
            <w:vAlign w:val="center"/>
          </w:tcPr>
          <w:p w14:paraId="348D0207" w14:textId="77777777" w:rsidR="00DF358A" w:rsidRPr="004E13E9" w:rsidRDefault="00DF358A" w:rsidP="00BB4F69">
            <w:pPr>
              <w:pStyle w:val="TableParagraph"/>
              <w:tabs>
                <w:tab w:val="left" w:pos="1011"/>
              </w:tabs>
              <w:spacing w:after="40"/>
              <w:ind w:left="102" w:right="105"/>
              <w:rPr>
                <w:rFonts w:ascii="Cambria" w:hAnsi="Cambria"/>
                <w:sz w:val="18"/>
                <w:szCs w:val="18"/>
                <w:lang w:val="pt-PT"/>
              </w:rPr>
            </w:pPr>
            <w:r w:rsidRPr="004E13E9">
              <w:rPr>
                <w:rFonts w:ascii="Cambria" w:hAnsi="Cambria"/>
                <w:spacing w:val="-1"/>
                <w:w w:val="95"/>
                <w:sz w:val="18"/>
                <w:szCs w:val="18"/>
                <w:lang w:val="pt-PT"/>
              </w:rPr>
              <w:t xml:space="preserve">Pelagos </w:t>
            </w:r>
            <w:r w:rsidRPr="004E13E9">
              <w:rPr>
                <w:rFonts w:ascii="Cambria" w:hAnsi="Cambria"/>
                <w:spacing w:val="-1"/>
                <w:sz w:val="18"/>
                <w:szCs w:val="18"/>
                <w:lang w:val="pt-PT"/>
              </w:rPr>
              <w:t>Net</w:t>
            </w:r>
            <w:r w:rsidRPr="004E13E9">
              <w:rPr>
                <w:rFonts w:ascii="Cambria" w:hAnsi="Cambria"/>
                <w:spacing w:val="25"/>
                <w:w w:val="99"/>
                <w:sz w:val="18"/>
                <w:szCs w:val="18"/>
                <w:lang w:val="pt-PT"/>
              </w:rPr>
              <w:t xml:space="preserve"> </w:t>
            </w:r>
            <w:r w:rsidRPr="004E13E9">
              <w:rPr>
                <w:rFonts w:ascii="Cambria" w:hAnsi="Cambria"/>
                <w:spacing w:val="-1"/>
                <w:sz w:val="18"/>
                <w:szCs w:val="18"/>
                <w:lang w:val="pt-PT"/>
              </w:rPr>
              <w:t>Farma</w:t>
            </w:r>
            <w:r w:rsidRPr="004E13E9">
              <w:rPr>
                <w:rFonts w:ascii="Cambria" w:hAnsi="Cambria"/>
                <w:spacing w:val="-12"/>
                <w:sz w:val="18"/>
                <w:szCs w:val="18"/>
                <w:lang w:val="pt-PT"/>
              </w:rPr>
              <w:t xml:space="preserve"> </w:t>
            </w:r>
            <w:r w:rsidRPr="004E13E9">
              <w:rPr>
                <w:rFonts w:ascii="Cambria" w:hAnsi="Cambria"/>
                <w:sz w:val="18"/>
                <w:szCs w:val="18"/>
                <w:lang w:val="pt-PT"/>
              </w:rPr>
              <w:t>D.O.O.</w:t>
            </w:r>
          </w:p>
        </w:tc>
        <w:tc>
          <w:tcPr>
            <w:tcW w:w="1564" w:type="dxa"/>
            <w:vAlign w:val="center"/>
          </w:tcPr>
          <w:p w14:paraId="2093972B" w14:textId="77777777" w:rsidR="00DF358A" w:rsidRPr="004E13E9" w:rsidRDefault="00DF358A" w:rsidP="00BB4F69">
            <w:pPr>
              <w:spacing w:after="40"/>
              <w:ind w:left="139" w:hanging="2"/>
              <w:rPr>
                <w:sz w:val="18"/>
                <w:szCs w:val="18"/>
                <w:lang w:val="en-IE"/>
              </w:rPr>
            </w:pPr>
            <w:r w:rsidRPr="004E13E9">
              <w:rPr>
                <w:sz w:val="18"/>
                <w:szCs w:val="18"/>
                <w:lang w:val="en-IE"/>
              </w:rPr>
              <w:t>ATEU1HRV00011</w:t>
            </w:r>
          </w:p>
        </w:tc>
        <w:tc>
          <w:tcPr>
            <w:tcW w:w="1441" w:type="dxa"/>
            <w:vAlign w:val="center"/>
          </w:tcPr>
          <w:p w14:paraId="591B1F91" w14:textId="77777777" w:rsidR="00DF358A" w:rsidRPr="004E13E9" w:rsidRDefault="00DF358A" w:rsidP="00BB4F69">
            <w:pPr>
              <w:pStyle w:val="TableParagraph"/>
              <w:spacing w:after="40"/>
              <w:ind w:left="99" w:right="339"/>
              <w:rPr>
                <w:rFonts w:ascii="Cambria" w:hAnsi="Cambria"/>
                <w:sz w:val="18"/>
                <w:szCs w:val="18"/>
                <w:lang w:val="en-IE"/>
              </w:rPr>
            </w:pPr>
            <w:r w:rsidRPr="004E13E9">
              <w:rPr>
                <w:rFonts w:ascii="Cambria" w:hAnsi="Cambria"/>
                <w:sz w:val="18"/>
                <w:szCs w:val="18"/>
                <w:lang w:val="en-IE"/>
              </w:rPr>
              <w:t xml:space="preserve">y </w:t>
            </w:r>
            <w:r w:rsidRPr="004E13E9">
              <w:rPr>
                <w:rFonts w:ascii="Cambria" w:hAnsi="Cambria"/>
                <w:spacing w:val="-1"/>
                <w:sz w:val="18"/>
                <w:szCs w:val="18"/>
                <w:lang w:val="en-IE"/>
              </w:rPr>
              <w:t>5521777,07</w:t>
            </w:r>
          </w:p>
          <w:p w14:paraId="0096DA71"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5522396,80</w:t>
            </w:r>
          </w:p>
          <w:p w14:paraId="3646CF95"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5522324,84</w:t>
            </w:r>
          </w:p>
          <w:p w14:paraId="55965940" w14:textId="77777777" w:rsidR="00DF358A" w:rsidRPr="004E13E9" w:rsidRDefault="00DF358A" w:rsidP="00BB4F69">
            <w:pPr>
              <w:pStyle w:val="TableParagraph"/>
              <w:spacing w:after="40" w:line="207" w:lineRule="exact"/>
              <w:ind w:left="99"/>
              <w:rPr>
                <w:rFonts w:ascii="Cambria" w:hAnsi="Cambria"/>
                <w:sz w:val="18"/>
                <w:szCs w:val="18"/>
                <w:lang w:val="en-IE"/>
              </w:rPr>
            </w:pPr>
            <w:r w:rsidRPr="004E13E9">
              <w:rPr>
                <w:rFonts w:ascii="Cambria" w:hAnsi="Cambria"/>
                <w:spacing w:val="-1"/>
                <w:sz w:val="18"/>
                <w:szCs w:val="18"/>
                <w:lang w:val="en-IE"/>
              </w:rPr>
              <w:t>5521705,39</w:t>
            </w:r>
          </w:p>
        </w:tc>
        <w:tc>
          <w:tcPr>
            <w:tcW w:w="1701" w:type="dxa"/>
            <w:vAlign w:val="center"/>
          </w:tcPr>
          <w:p w14:paraId="03EAD48E" w14:textId="77777777" w:rsidR="00DF358A" w:rsidRPr="004E13E9" w:rsidRDefault="00DF358A" w:rsidP="00BB4F69">
            <w:pPr>
              <w:pStyle w:val="TableParagraph"/>
              <w:spacing w:after="40"/>
              <w:ind w:left="99" w:right="570"/>
              <w:rPr>
                <w:rFonts w:ascii="Cambria" w:hAnsi="Cambria"/>
                <w:sz w:val="18"/>
                <w:szCs w:val="18"/>
                <w:lang w:val="en-IE"/>
              </w:rPr>
            </w:pPr>
            <w:r w:rsidRPr="004E13E9">
              <w:rPr>
                <w:rFonts w:ascii="Cambria" w:hAnsi="Cambria"/>
                <w:sz w:val="18"/>
                <w:szCs w:val="18"/>
                <w:lang w:val="en-IE"/>
              </w:rPr>
              <w:t xml:space="preserve">x </w:t>
            </w:r>
          </w:p>
          <w:p w14:paraId="62E8F911" w14:textId="77777777" w:rsidR="00DF358A" w:rsidRPr="004E13E9" w:rsidRDefault="00DF358A" w:rsidP="00BB4F69">
            <w:pPr>
              <w:pStyle w:val="TableParagraph"/>
              <w:spacing w:after="40"/>
              <w:ind w:left="99" w:right="570"/>
              <w:rPr>
                <w:rFonts w:ascii="Cambria" w:hAnsi="Cambria"/>
                <w:sz w:val="18"/>
                <w:szCs w:val="18"/>
                <w:lang w:val="en-IE"/>
              </w:rPr>
            </w:pPr>
            <w:r w:rsidRPr="004E13E9">
              <w:rPr>
                <w:rFonts w:ascii="Cambria" w:hAnsi="Cambria"/>
                <w:spacing w:val="-1"/>
                <w:sz w:val="18"/>
                <w:szCs w:val="18"/>
                <w:lang w:val="en-IE"/>
              </w:rPr>
              <w:t>4865868,10</w:t>
            </w:r>
          </w:p>
          <w:p w14:paraId="1EA7E4D5"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4865705,51</w:t>
            </w:r>
          </w:p>
          <w:p w14:paraId="2A02892F"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4865434,70</w:t>
            </w:r>
          </w:p>
          <w:p w14:paraId="3E55A6B1" w14:textId="77777777" w:rsidR="00DF358A" w:rsidRPr="004E13E9" w:rsidRDefault="00DF358A" w:rsidP="00BB4F69">
            <w:pPr>
              <w:pStyle w:val="TableParagraph"/>
              <w:spacing w:after="40" w:line="207" w:lineRule="exact"/>
              <w:ind w:left="99"/>
              <w:rPr>
                <w:rFonts w:ascii="Cambria" w:hAnsi="Cambria"/>
                <w:sz w:val="18"/>
                <w:szCs w:val="18"/>
                <w:lang w:val="en-IE"/>
              </w:rPr>
            </w:pPr>
            <w:r w:rsidRPr="004E13E9">
              <w:rPr>
                <w:rFonts w:ascii="Cambria" w:hAnsi="Cambria"/>
                <w:spacing w:val="-1"/>
                <w:sz w:val="18"/>
                <w:szCs w:val="18"/>
                <w:lang w:val="en-IE"/>
              </w:rPr>
              <w:t>4865597,28</w:t>
            </w:r>
          </w:p>
        </w:tc>
        <w:tc>
          <w:tcPr>
            <w:tcW w:w="2115" w:type="dxa"/>
            <w:vAlign w:val="center"/>
          </w:tcPr>
          <w:p w14:paraId="76E8AD3D" w14:textId="77777777" w:rsidR="00DF358A" w:rsidRPr="004E13E9" w:rsidRDefault="00DF358A" w:rsidP="00BB4F69">
            <w:pPr>
              <w:pStyle w:val="TableParagraph"/>
              <w:spacing w:before="169" w:after="40"/>
              <w:jc w:val="center"/>
              <w:rPr>
                <w:rFonts w:ascii="Cambria" w:hAnsi="Cambria"/>
                <w:sz w:val="18"/>
                <w:szCs w:val="18"/>
                <w:lang w:val="en-IE"/>
              </w:rPr>
            </w:pPr>
            <w:r w:rsidRPr="004E13E9">
              <w:rPr>
                <w:rFonts w:ascii="Cambria" w:hAnsi="Cambria"/>
                <w:sz w:val="18"/>
                <w:szCs w:val="18"/>
                <w:lang w:val="en-IE"/>
              </w:rPr>
              <w:t>683,298</w:t>
            </w:r>
          </w:p>
        </w:tc>
      </w:tr>
      <w:tr w:rsidR="00DF358A" w:rsidRPr="004E13E9" w14:paraId="388190EF" w14:textId="77777777" w:rsidTr="00BB4F69">
        <w:trPr>
          <w:trHeight w:val="57"/>
        </w:trPr>
        <w:tc>
          <w:tcPr>
            <w:tcW w:w="1958" w:type="dxa"/>
            <w:vAlign w:val="center"/>
          </w:tcPr>
          <w:p w14:paraId="70A4E499" w14:textId="77777777" w:rsidR="00DF358A" w:rsidRPr="004E13E9" w:rsidRDefault="00DF358A" w:rsidP="00BB4F69">
            <w:pPr>
              <w:pStyle w:val="TableParagraph"/>
              <w:spacing w:after="40"/>
              <w:ind w:left="102" w:right="420"/>
              <w:rPr>
                <w:rFonts w:ascii="Cambria" w:hAnsi="Cambria"/>
                <w:sz w:val="18"/>
                <w:szCs w:val="18"/>
                <w:lang w:val="en-IE"/>
              </w:rPr>
            </w:pPr>
            <w:r w:rsidRPr="004E13E9">
              <w:rPr>
                <w:rFonts w:ascii="Cambria" w:hAnsi="Cambria"/>
                <w:spacing w:val="-1"/>
                <w:sz w:val="18"/>
                <w:szCs w:val="18"/>
                <w:lang w:val="en-IE"/>
              </w:rPr>
              <w:t>Sardina</w:t>
            </w:r>
            <w:r w:rsidRPr="004E13E9">
              <w:rPr>
                <w:rFonts w:ascii="Cambria" w:hAnsi="Cambria"/>
                <w:spacing w:val="24"/>
                <w:w w:val="99"/>
                <w:sz w:val="18"/>
                <w:szCs w:val="18"/>
                <w:lang w:val="en-IE"/>
              </w:rPr>
              <w:t xml:space="preserve"> </w:t>
            </w:r>
            <w:r w:rsidRPr="004E13E9">
              <w:rPr>
                <w:rFonts w:ascii="Cambria" w:hAnsi="Cambria"/>
                <w:spacing w:val="-1"/>
                <w:sz w:val="18"/>
                <w:szCs w:val="18"/>
                <w:lang w:val="en-IE"/>
              </w:rPr>
              <w:t>D.O.O.</w:t>
            </w:r>
          </w:p>
        </w:tc>
        <w:tc>
          <w:tcPr>
            <w:tcW w:w="1564" w:type="dxa"/>
            <w:vAlign w:val="center"/>
          </w:tcPr>
          <w:p w14:paraId="00E2BF9E" w14:textId="77777777" w:rsidR="00DF358A" w:rsidRPr="004E13E9" w:rsidRDefault="00DF358A" w:rsidP="00BB4F69">
            <w:pPr>
              <w:spacing w:after="40"/>
              <w:ind w:left="139" w:hanging="2"/>
              <w:rPr>
                <w:sz w:val="18"/>
                <w:szCs w:val="18"/>
                <w:lang w:val="en-IE"/>
              </w:rPr>
            </w:pPr>
            <w:r w:rsidRPr="004E13E9">
              <w:rPr>
                <w:sz w:val="18"/>
                <w:szCs w:val="18"/>
                <w:lang w:val="en-IE"/>
              </w:rPr>
              <w:t>ATEU1HRV00006</w:t>
            </w:r>
          </w:p>
        </w:tc>
        <w:tc>
          <w:tcPr>
            <w:tcW w:w="1441" w:type="dxa"/>
            <w:vAlign w:val="center"/>
          </w:tcPr>
          <w:p w14:paraId="15DDB198" w14:textId="77777777" w:rsidR="00DF358A" w:rsidRPr="004E13E9" w:rsidRDefault="00DF358A" w:rsidP="00BB4F69">
            <w:pPr>
              <w:pStyle w:val="TableParagraph"/>
              <w:spacing w:after="40"/>
              <w:ind w:left="99" w:right="589"/>
              <w:rPr>
                <w:rFonts w:ascii="Cambria" w:hAnsi="Cambria"/>
                <w:sz w:val="18"/>
                <w:szCs w:val="18"/>
                <w:lang w:val="en-IE"/>
              </w:rPr>
            </w:pPr>
            <w:r w:rsidRPr="004E13E9">
              <w:rPr>
                <w:rFonts w:ascii="Cambria" w:hAnsi="Cambria"/>
                <w:sz w:val="18"/>
                <w:szCs w:val="18"/>
                <w:lang w:val="en-IE"/>
              </w:rPr>
              <w:t xml:space="preserve">y </w:t>
            </w:r>
            <w:r w:rsidRPr="004E13E9">
              <w:rPr>
                <w:rFonts w:ascii="Cambria" w:hAnsi="Cambria"/>
                <w:spacing w:val="-1"/>
                <w:sz w:val="18"/>
                <w:szCs w:val="18"/>
                <w:lang w:val="en-IE"/>
              </w:rPr>
              <w:t>5620531</w:t>
            </w:r>
          </w:p>
          <w:p w14:paraId="74F2D99A"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5620851,14</w:t>
            </w:r>
          </w:p>
          <w:p w14:paraId="2392D5EE" w14:textId="77777777" w:rsidR="00DF358A" w:rsidRPr="004E13E9" w:rsidRDefault="00DF358A" w:rsidP="00BB4F69">
            <w:pPr>
              <w:pStyle w:val="TableParagraph"/>
              <w:spacing w:after="40" w:line="207" w:lineRule="exact"/>
              <w:ind w:left="99"/>
              <w:rPr>
                <w:rFonts w:ascii="Cambria" w:hAnsi="Cambria"/>
                <w:sz w:val="18"/>
                <w:szCs w:val="18"/>
                <w:lang w:val="en-IE"/>
              </w:rPr>
            </w:pPr>
            <w:r w:rsidRPr="004E13E9">
              <w:rPr>
                <w:rFonts w:ascii="Cambria" w:hAnsi="Cambria"/>
                <w:spacing w:val="-1"/>
                <w:sz w:val="18"/>
                <w:szCs w:val="18"/>
                <w:lang w:val="en-IE"/>
              </w:rPr>
              <w:t>5620663,29</w:t>
            </w:r>
          </w:p>
          <w:p w14:paraId="5325D9C3" w14:textId="77777777" w:rsidR="00DF358A" w:rsidRPr="004E13E9" w:rsidRDefault="00DF358A" w:rsidP="00BB4F69">
            <w:pPr>
              <w:pStyle w:val="TableParagraph"/>
              <w:spacing w:before="2" w:after="40" w:line="206" w:lineRule="exact"/>
              <w:ind w:left="99"/>
              <w:rPr>
                <w:rFonts w:ascii="Cambria" w:hAnsi="Cambria"/>
                <w:sz w:val="18"/>
                <w:szCs w:val="18"/>
                <w:lang w:val="en-IE"/>
              </w:rPr>
            </w:pPr>
            <w:r w:rsidRPr="004E13E9">
              <w:rPr>
                <w:rFonts w:ascii="Cambria" w:hAnsi="Cambria"/>
                <w:spacing w:val="-1"/>
                <w:sz w:val="18"/>
                <w:szCs w:val="18"/>
                <w:lang w:val="en-IE"/>
              </w:rPr>
              <w:t>5620343,141</w:t>
            </w:r>
          </w:p>
        </w:tc>
        <w:tc>
          <w:tcPr>
            <w:tcW w:w="1701" w:type="dxa"/>
            <w:vAlign w:val="center"/>
          </w:tcPr>
          <w:p w14:paraId="6E1FE08F" w14:textId="77777777" w:rsidR="00DF358A" w:rsidRPr="004E13E9" w:rsidRDefault="00DF358A" w:rsidP="00BB4F69">
            <w:pPr>
              <w:pStyle w:val="TableParagraph"/>
              <w:spacing w:after="40"/>
              <w:ind w:left="96" w:right="573"/>
              <w:rPr>
                <w:rFonts w:ascii="Cambria" w:hAnsi="Cambria"/>
                <w:sz w:val="18"/>
                <w:szCs w:val="18"/>
                <w:lang w:val="en-IE"/>
              </w:rPr>
            </w:pPr>
            <w:r w:rsidRPr="004E13E9">
              <w:rPr>
                <w:rFonts w:ascii="Cambria" w:hAnsi="Cambria"/>
                <w:sz w:val="18"/>
                <w:szCs w:val="18"/>
                <w:lang w:val="en-IE"/>
              </w:rPr>
              <w:t xml:space="preserve">x </w:t>
            </w:r>
          </w:p>
          <w:p w14:paraId="57F6BC2B" w14:textId="77777777" w:rsidR="00DF358A" w:rsidRPr="004E13E9" w:rsidRDefault="00DF358A" w:rsidP="00BB4F69">
            <w:pPr>
              <w:pStyle w:val="TableParagraph"/>
              <w:spacing w:after="40"/>
              <w:ind w:left="96" w:right="573"/>
              <w:rPr>
                <w:rFonts w:ascii="Cambria" w:hAnsi="Cambria"/>
                <w:sz w:val="18"/>
                <w:szCs w:val="18"/>
                <w:lang w:val="en-IE"/>
              </w:rPr>
            </w:pPr>
            <w:r w:rsidRPr="004E13E9">
              <w:rPr>
                <w:rFonts w:ascii="Cambria" w:hAnsi="Cambria"/>
                <w:sz w:val="18"/>
                <w:szCs w:val="18"/>
                <w:lang w:val="en-IE"/>
              </w:rPr>
              <w:t>4795026,75</w:t>
            </w:r>
          </w:p>
          <w:p w14:paraId="2F9D9EF4" w14:textId="77777777" w:rsidR="00DF358A" w:rsidRPr="004E13E9" w:rsidRDefault="00DF358A" w:rsidP="00BB4F69">
            <w:pPr>
              <w:pStyle w:val="TableParagraph"/>
              <w:spacing w:after="40"/>
              <w:ind w:left="96" w:right="573"/>
              <w:rPr>
                <w:rFonts w:ascii="Cambria" w:hAnsi="Cambria"/>
                <w:sz w:val="18"/>
                <w:szCs w:val="18"/>
                <w:lang w:val="en-IE"/>
              </w:rPr>
            </w:pPr>
            <w:r w:rsidRPr="004E13E9">
              <w:rPr>
                <w:rFonts w:ascii="Cambria" w:hAnsi="Cambria"/>
                <w:sz w:val="18"/>
                <w:szCs w:val="18"/>
                <w:lang w:val="en-IE"/>
              </w:rPr>
              <w:t>4794700</w:t>
            </w:r>
          </w:p>
          <w:p w14:paraId="4CE7CE9B" w14:textId="77777777" w:rsidR="00DF358A" w:rsidRPr="004E13E9" w:rsidRDefault="00DF358A" w:rsidP="00BB4F69">
            <w:pPr>
              <w:pStyle w:val="TableParagraph"/>
              <w:spacing w:after="40"/>
              <w:ind w:left="96" w:right="573"/>
              <w:rPr>
                <w:rFonts w:ascii="Cambria" w:hAnsi="Cambria"/>
                <w:sz w:val="18"/>
                <w:szCs w:val="18"/>
                <w:lang w:val="en-IE"/>
              </w:rPr>
            </w:pPr>
            <w:r w:rsidRPr="004E13E9">
              <w:rPr>
                <w:rFonts w:ascii="Cambria" w:hAnsi="Cambria"/>
                <w:sz w:val="18"/>
                <w:szCs w:val="18"/>
                <w:lang w:val="en-IE"/>
              </w:rPr>
              <w:t>4794518,74</w:t>
            </w:r>
          </w:p>
          <w:p w14:paraId="73EDF396" w14:textId="77777777" w:rsidR="00DF358A" w:rsidRPr="004E13E9" w:rsidRDefault="00DF358A" w:rsidP="00BB4F69">
            <w:pPr>
              <w:pStyle w:val="TableParagraph"/>
              <w:spacing w:after="40"/>
              <w:ind w:left="96" w:right="573"/>
              <w:rPr>
                <w:rFonts w:ascii="Cambria" w:hAnsi="Cambria"/>
                <w:sz w:val="18"/>
                <w:szCs w:val="18"/>
                <w:lang w:val="en-IE"/>
              </w:rPr>
            </w:pPr>
            <w:r w:rsidRPr="004E13E9">
              <w:rPr>
                <w:rFonts w:ascii="Cambria" w:hAnsi="Cambria"/>
                <w:sz w:val="18"/>
                <w:szCs w:val="18"/>
                <w:lang w:val="en-IE"/>
              </w:rPr>
              <w:t>4794846,83</w:t>
            </w:r>
          </w:p>
        </w:tc>
        <w:tc>
          <w:tcPr>
            <w:tcW w:w="2115" w:type="dxa"/>
            <w:vAlign w:val="center"/>
          </w:tcPr>
          <w:p w14:paraId="0AA6B52F" w14:textId="77777777" w:rsidR="00DF358A" w:rsidRPr="004E13E9" w:rsidRDefault="00DF358A" w:rsidP="00BB4F69">
            <w:pPr>
              <w:pStyle w:val="TableParagraph"/>
              <w:spacing w:before="169" w:after="40"/>
              <w:jc w:val="center"/>
              <w:rPr>
                <w:rFonts w:ascii="Cambria" w:hAnsi="Cambria"/>
                <w:sz w:val="18"/>
                <w:szCs w:val="18"/>
                <w:lang w:val="en-IE"/>
              </w:rPr>
            </w:pPr>
            <w:r w:rsidRPr="004E13E9">
              <w:rPr>
                <w:rFonts w:ascii="Cambria" w:hAnsi="Cambria"/>
                <w:sz w:val="18"/>
                <w:szCs w:val="18"/>
                <w:lang w:val="en-IE"/>
              </w:rPr>
              <w:t>693,735</w:t>
            </w:r>
          </w:p>
        </w:tc>
      </w:tr>
      <w:tr w:rsidR="00DF358A" w:rsidRPr="004E13E9" w14:paraId="5173EBDB" w14:textId="77777777" w:rsidTr="00BB4F69">
        <w:trPr>
          <w:trHeight w:val="57"/>
        </w:trPr>
        <w:tc>
          <w:tcPr>
            <w:tcW w:w="1958" w:type="dxa"/>
            <w:vMerge w:val="restart"/>
            <w:vAlign w:val="center"/>
          </w:tcPr>
          <w:p w14:paraId="5DA1F7E4" w14:textId="77777777" w:rsidR="00DF358A" w:rsidRPr="004E13E9" w:rsidRDefault="00DF358A" w:rsidP="00BB4F69">
            <w:pPr>
              <w:pStyle w:val="TableParagraph"/>
              <w:spacing w:before="117" w:after="40"/>
              <w:ind w:left="102" w:right="104"/>
              <w:rPr>
                <w:rFonts w:ascii="Cambria" w:hAnsi="Cambria"/>
                <w:sz w:val="18"/>
                <w:szCs w:val="18"/>
                <w:lang w:val="it-IT"/>
              </w:rPr>
            </w:pPr>
            <w:r w:rsidRPr="004E13E9">
              <w:rPr>
                <w:rFonts w:ascii="Cambria" w:hAnsi="Cambria"/>
                <w:spacing w:val="-1"/>
                <w:w w:val="95"/>
                <w:sz w:val="18"/>
                <w:szCs w:val="18"/>
                <w:lang w:val="it-IT"/>
              </w:rPr>
              <w:t xml:space="preserve">Kali </w:t>
            </w:r>
            <w:r w:rsidRPr="004E13E9">
              <w:rPr>
                <w:rFonts w:ascii="Cambria" w:hAnsi="Cambria"/>
                <w:spacing w:val="-1"/>
                <w:sz w:val="18"/>
                <w:szCs w:val="18"/>
                <w:lang w:val="it-IT"/>
              </w:rPr>
              <w:t>Tuna</w:t>
            </w:r>
            <w:r w:rsidRPr="004E13E9">
              <w:rPr>
                <w:rFonts w:ascii="Cambria" w:hAnsi="Cambria"/>
                <w:spacing w:val="26"/>
                <w:w w:val="99"/>
                <w:sz w:val="18"/>
                <w:szCs w:val="18"/>
                <w:lang w:val="it-IT"/>
              </w:rPr>
              <w:t xml:space="preserve"> </w:t>
            </w:r>
            <w:r w:rsidRPr="004E13E9">
              <w:rPr>
                <w:rFonts w:ascii="Cambria" w:hAnsi="Cambria"/>
                <w:spacing w:val="-1"/>
                <w:sz w:val="18"/>
                <w:szCs w:val="18"/>
                <w:lang w:val="it-IT"/>
              </w:rPr>
              <w:t>D.O.O.</w:t>
            </w:r>
          </w:p>
        </w:tc>
        <w:tc>
          <w:tcPr>
            <w:tcW w:w="1564" w:type="dxa"/>
            <w:vMerge w:val="restart"/>
            <w:vAlign w:val="center"/>
          </w:tcPr>
          <w:p w14:paraId="29AFC237" w14:textId="77777777" w:rsidR="00DF358A" w:rsidRPr="004E13E9" w:rsidRDefault="00DF358A" w:rsidP="00BB4F69">
            <w:pPr>
              <w:spacing w:after="40"/>
              <w:ind w:left="139" w:hanging="2"/>
              <w:rPr>
                <w:sz w:val="18"/>
                <w:szCs w:val="18"/>
                <w:lang w:val="en-IE"/>
              </w:rPr>
            </w:pPr>
            <w:r w:rsidRPr="004E13E9">
              <w:rPr>
                <w:sz w:val="18"/>
                <w:szCs w:val="18"/>
                <w:lang w:val="en-IE"/>
              </w:rPr>
              <w:t>ATEU1HRV00012</w:t>
            </w:r>
          </w:p>
        </w:tc>
        <w:tc>
          <w:tcPr>
            <w:tcW w:w="1441" w:type="dxa"/>
            <w:vAlign w:val="center"/>
          </w:tcPr>
          <w:p w14:paraId="56BA9065" w14:textId="77777777" w:rsidR="00DF358A" w:rsidRPr="004E13E9" w:rsidRDefault="00DF358A" w:rsidP="00BB4F69">
            <w:pPr>
              <w:pStyle w:val="TableParagraph"/>
              <w:spacing w:after="40"/>
              <w:ind w:left="99" w:right="339"/>
              <w:rPr>
                <w:rFonts w:ascii="Cambria" w:hAnsi="Cambria"/>
                <w:sz w:val="18"/>
                <w:szCs w:val="18"/>
                <w:lang w:val="en-IE"/>
              </w:rPr>
            </w:pPr>
            <w:r w:rsidRPr="004E13E9">
              <w:rPr>
                <w:rFonts w:ascii="Cambria" w:hAnsi="Cambria"/>
                <w:sz w:val="18"/>
                <w:szCs w:val="18"/>
                <w:lang w:val="en-IE"/>
              </w:rPr>
              <w:t xml:space="preserve">y </w:t>
            </w:r>
            <w:r w:rsidRPr="004E13E9">
              <w:rPr>
                <w:rFonts w:ascii="Cambria" w:hAnsi="Cambria"/>
                <w:spacing w:val="-1"/>
                <w:sz w:val="18"/>
                <w:szCs w:val="18"/>
                <w:lang w:val="en-IE"/>
              </w:rPr>
              <w:t>5514248,71</w:t>
            </w:r>
          </w:p>
          <w:p w14:paraId="4E42596B" w14:textId="77777777" w:rsidR="00DF358A" w:rsidRPr="004E13E9" w:rsidRDefault="00DF358A" w:rsidP="00BB4F69">
            <w:pPr>
              <w:pStyle w:val="TableParagraph"/>
              <w:spacing w:before="2" w:after="40" w:line="207" w:lineRule="exact"/>
              <w:ind w:left="99"/>
              <w:rPr>
                <w:rFonts w:ascii="Cambria" w:hAnsi="Cambria"/>
                <w:sz w:val="18"/>
                <w:szCs w:val="18"/>
                <w:lang w:val="en-IE"/>
              </w:rPr>
            </w:pPr>
            <w:r w:rsidRPr="004E13E9">
              <w:rPr>
                <w:rFonts w:ascii="Cambria" w:hAnsi="Cambria"/>
                <w:spacing w:val="-1"/>
                <w:sz w:val="18"/>
                <w:szCs w:val="18"/>
                <w:lang w:val="en-IE"/>
              </w:rPr>
              <w:t>5514346,2201</w:t>
            </w:r>
          </w:p>
          <w:p w14:paraId="626D38D5"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5514401,68</w:t>
            </w:r>
          </w:p>
          <w:p w14:paraId="132A30DA"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5514499,2376</w:t>
            </w:r>
          </w:p>
        </w:tc>
        <w:tc>
          <w:tcPr>
            <w:tcW w:w="1701" w:type="dxa"/>
            <w:vAlign w:val="center"/>
          </w:tcPr>
          <w:p w14:paraId="54A0DD22" w14:textId="77777777" w:rsidR="00DF358A" w:rsidRPr="004E13E9" w:rsidRDefault="00DF358A" w:rsidP="00BB4F69">
            <w:pPr>
              <w:pStyle w:val="TableParagraph"/>
              <w:spacing w:after="40"/>
              <w:ind w:left="99" w:right="570"/>
              <w:rPr>
                <w:rFonts w:ascii="Cambria" w:hAnsi="Cambria"/>
                <w:sz w:val="18"/>
                <w:szCs w:val="18"/>
                <w:lang w:val="en-IE"/>
              </w:rPr>
            </w:pPr>
            <w:r w:rsidRPr="004E13E9">
              <w:rPr>
                <w:rFonts w:ascii="Cambria" w:hAnsi="Cambria"/>
                <w:sz w:val="18"/>
                <w:szCs w:val="18"/>
                <w:lang w:val="en-IE"/>
              </w:rPr>
              <w:t xml:space="preserve">x </w:t>
            </w:r>
          </w:p>
          <w:p w14:paraId="3A503532" w14:textId="77777777" w:rsidR="00DF358A" w:rsidRPr="004E13E9" w:rsidRDefault="00DF358A" w:rsidP="00BB4F69">
            <w:pPr>
              <w:pStyle w:val="TableParagraph"/>
              <w:spacing w:after="40"/>
              <w:ind w:left="99" w:right="570"/>
              <w:rPr>
                <w:rFonts w:ascii="Cambria" w:hAnsi="Cambria"/>
                <w:sz w:val="18"/>
                <w:szCs w:val="18"/>
                <w:lang w:val="en-IE"/>
              </w:rPr>
            </w:pPr>
            <w:r w:rsidRPr="004E13E9">
              <w:rPr>
                <w:rFonts w:ascii="Cambria" w:hAnsi="Cambria"/>
                <w:spacing w:val="-1"/>
                <w:sz w:val="18"/>
                <w:szCs w:val="18"/>
                <w:lang w:val="en-IE"/>
              </w:rPr>
              <w:t>4877864,54</w:t>
            </w:r>
          </w:p>
          <w:p w14:paraId="3215A2D2" w14:textId="77777777" w:rsidR="00DF358A" w:rsidRPr="004E13E9" w:rsidRDefault="00DF358A" w:rsidP="00BB4F69">
            <w:pPr>
              <w:pStyle w:val="TableParagraph"/>
              <w:spacing w:before="2" w:after="40" w:line="207" w:lineRule="exact"/>
              <w:ind w:left="99"/>
              <w:rPr>
                <w:rFonts w:ascii="Cambria" w:hAnsi="Cambria"/>
                <w:sz w:val="18"/>
                <w:szCs w:val="18"/>
                <w:lang w:val="en-IE"/>
              </w:rPr>
            </w:pPr>
            <w:r w:rsidRPr="004E13E9">
              <w:rPr>
                <w:rFonts w:ascii="Cambria" w:hAnsi="Cambria"/>
                <w:spacing w:val="-1"/>
                <w:sz w:val="18"/>
                <w:szCs w:val="18"/>
                <w:lang w:val="en-IE"/>
              </w:rPr>
              <w:t>4877750,5522</w:t>
            </w:r>
          </w:p>
          <w:p w14:paraId="03141C19"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4877993,40</w:t>
            </w:r>
          </w:p>
          <w:p w14:paraId="35869B56"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4877879,4528</w:t>
            </w:r>
          </w:p>
        </w:tc>
        <w:tc>
          <w:tcPr>
            <w:tcW w:w="2115" w:type="dxa"/>
            <w:vMerge w:val="restart"/>
            <w:vAlign w:val="center"/>
          </w:tcPr>
          <w:p w14:paraId="08020B30" w14:textId="77777777" w:rsidR="00DF358A" w:rsidRPr="004E13E9" w:rsidRDefault="00DF358A" w:rsidP="00BB4F69">
            <w:pPr>
              <w:pStyle w:val="TableParagraph"/>
              <w:spacing w:after="40"/>
              <w:jc w:val="center"/>
              <w:rPr>
                <w:rFonts w:ascii="Cambria" w:hAnsi="Cambria"/>
                <w:sz w:val="18"/>
                <w:szCs w:val="18"/>
                <w:lang w:val="en-IE"/>
              </w:rPr>
            </w:pPr>
            <w:r w:rsidRPr="004E13E9">
              <w:rPr>
                <w:rFonts w:ascii="Cambria" w:hAnsi="Cambria"/>
                <w:sz w:val="18"/>
                <w:szCs w:val="18"/>
                <w:lang w:val="en-IE"/>
              </w:rPr>
              <w:t>567,298</w:t>
            </w:r>
          </w:p>
        </w:tc>
      </w:tr>
      <w:tr w:rsidR="00DF358A" w:rsidRPr="004E13E9" w14:paraId="6A1351A0" w14:textId="77777777" w:rsidTr="00BB4F69">
        <w:trPr>
          <w:trHeight w:val="57"/>
        </w:trPr>
        <w:tc>
          <w:tcPr>
            <w:tcW w:w="1958" w:type="dxa"/>
            <w:vMerge/>
            <w:vAlign w:val="center"/>
          </w:tcPr>
          <w:p w14:paraId="672C0BF8" w14:textId="77777777" w:rsidR="00DF358A" w:rsidRPr="004E13E9" w:rsidRDefault="00DF358A" w:rsidP="00BB4F69">
            <w:pPr>
              <w:spacing w:after="40"/>
              <w:rPr>
                <w:sz w:val="18"/>
                <w:szCs w:val="18"/>
              </w:rPr>
            </w:pPr>
          </w:p>
        </w:tc>
        <w:tc>
          <w:tcPr>
            <w:tcW w:w="1564" w:type="dxa"/>
            <w:vMerge/>
            <w:vAlign w:val="center"/>
          </w:tcPr>
          <w:p w14:paraId="1FD41A03" w14:textId="77777777" w:rsidR="00DF358A" w:rsidRPr="004E13E9" w:rsidRDefault="00DF358A" w:rsidP="00BB4F69">
            <w:pPr>
              <w:spacing w:after="40"/>
              <w:ind w:left="139" w:hanging="2"/>
              <w:rPr>
                <w:sz w:val="18"/>
                <w:szCs w:val="18"/>
                <w:lang w:val="en-IE"/>
              </w:rPr>
            </w:pPr>
          </w:p>
        </w:tc>
        <w:tc>
          <w:tcPr>
            <w:tcW w:w="1441" w:type="dxa"/>
            <w:vAlign w:val="center"/>
          </w:tcPr>
          <w:p w14:paraId="26F6B4AA" w14:textId="77777777" w:rsidR="00DF358A" w:rsidRPr="004E13E9" w:rsidRDefault="00DF358A" w:rsidP="00BB4F69">
            <w:pPr>
              <w:pStyle w:val="TableParagraph"/>
              <w:spacing w:after="40" w:line="207" w:lineRule="exact"/>
              <w:ind w:left="99"/>
              <w:rPr>
                <w:rFonts w:ascii="Cambria" w:hAnsi="Cambria"/>
                <w:sz w:val="18"/>
                <w:szCs w:val="18"/>
                <w:lang w:val="en-IE"/>
              </w:rPr>
            </w:pPr>
            <w:r w:rsidRPr="004E13E9">
              <w:rPr>
                <w:rFonts w:ascii="Cambria" w:hAnsi="Cambria"/>
                <w:spacing w:val="-1"/>
                <w:sz w:val="18"/>
                <w:szCs w:val="18"/>
                <w:lang w:val="en-IE"/>
              </w:rPr>
              <w:t>5515214,66</w:t>
            </w:r>
          </w:p>
          <w:p w14:paraId="617DB3D9"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5514694,4002</w:t>
            </w:r>
          </w:p>
          <w:p w14:paraId="2E6980B9"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5515061,69</w:t>
            </w:r>
          </w:p>
          <w:p w14:paraId="207BFA79"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5514541,3353</w:t>
            </w:r>
          </w:p>
        </w:tc>
        <w:tc>
          <w:tcPr>
            <w:tcW w:w="1701" w:type="dxa"/>
            <w:vAlign w:val="center"/>
          </w:tcPr>
          <w:p w14:paraId="4F44AF73" w14:textId="77777777" w:rsidR="00DF358A" w:rsidRPr="004E13E9" w:rsidRDefault="00DF358A" w:rsidP="00BB4F69">
            <w:pPr>
              <w:pStyle w:val="TableParagraph"/>
              <w:spacing w:after="40" w:line="207" w:lineRule="exact"/>
              <w:ind w:left="99"/>
              <w:rPr>
                <w:rFonts w:ascii="Cambria" w:hAnsi="Cambria"/>
                <w:sz w:val="18"/>
                <w:szCs w:val="18"/>
                <w:lang w:val="en-IE"/>
              </w:rPr>
            </w:pPr>
            <w:r w:rsidRPr="004E13E9">
              <w:rPr>
                <w:rFonts w:ascii="Cambria" w:hAnsi="Cambria"/>
                <w:spacing w:val="-1"/>
                <w:sz w:val="18"/>
                <w:szCs w:val="18"/>
                <w:lang w:val="en-IE"/>
              </w:rPr>
              <w:t>4877043,84</w:t>
            </w:r>
          </w:p>
          <w:p w14:paraId="190BB129"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4877651,5991</w:t>
            </w:r>
          </w:p>
          <w:p w14:paraId="70983853"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4876914,98</w:t>
            </w:r>
          </w:p>
          <w:p w14:paraId="1AB5BE77"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4877522,6578</w:t>
            </w:r>
          </w:p>
        </w:tc>
        <w:tc>
          <w:tcPr>
            <w:tcW w:w="2115" w:type="dxa"/>
            <w:vMerge/>
            <w:vAlign w:val="center"/>
          </w:tcPr>
          <w:p w14:paraId="4958ADE0" w14:textId="77777777" w:rsidR="00DF358A" w:rsidRPr="004E13E9" w:rsidRDefault="00DF358A" w:rsidP="00BB4F69">
            <w:pPr>
              <w:spacing w:after="40"/>
              <w:jc w:val="center"/>
              <w:rPr>
                <w:sz w:val="18"/>
                <w:szCs w:val="18"/>
              </w:rPr>
            </w:pPr>
          </w:p>
        </w:tc>
      </w:tr>
      <w:tr w:rsidR="00DF358A" w:rsidRPr="004E13E9" w14:paraId="08811AFF" w14:textId="77777777" w:rsidTr="00BB4F69">
        <w:trPr>
          <w:trHeight w:val="57"/>
        </w:trPr>
        <w:tc>
          <w:tcPr>
            <w:tcW w:w="1958" w:type="dxa"/>
            <w:vMerge/>
            <w:vAlign w:val="center"/>
          </w:tcPr>
          <w:p w14:paraId="022F4C82" w14:textId="77777777" w:rsidR="00DF358A" w:rsidRPr="004E13E9" w:rsidRDefault="00DF358A" w:rsidP="00BB4F69">
            <w:pPr>
              <w:spacing w:after="40"/>
              <w:rPr>
                <w:sz w:val="18"/>
                <w:szCs w:val="18"/>
              </w:rPr>
            </w:pPr>
          </w:p>
        </w:tc>
        <w:tc>
          <w:tcPr>
            <w:tcW w:w="1564" w:type="dxa"/>
            <w:vMerge/>
            <w:vAlign w:val="center"/>
          </w:tcPr>
          <w:p w14:paraId="6B96C17C" w14:textId="77777777" w:rsidR="00DF358A" w:rsidRPr="004E13E9" w:rsidRDefault="00DF358A" w:rsidP="00BB4F69">
            <w:pPr>
              <w:spacing w:after="40"/>
              <w:ind w:left="139" w:hanging="2"/>
              <w:rPr>
                <w:sz w:val="18"/>
                <w:szCs w:val="18"/>
                <w:lang w:val="en-IE"/>
              </w:rPr>
            </w:pPr>
          </w:p>
        </w:tc>
        <w:tc>
          <w:tcPr>
            <w:tcW w:w="1441" w:type="dxa"/>
            <w:vAlign w:val="center"/>
          </w:tcPr>
          <w:p w14:paraId="11899CFA" w14:textId="77777777" w:rsidR="00DF358A" w:rsidRPr="004E13E9" w:rsidRDefault="00DF358A" w:rsidP="00BB4F69">
            <w:pPr>
              <w:pStyle w:val="TableParagraph"/>
              <w:spacing w:after="40" w:line="207" w:lineRule="exact"/>
              <w:ind w:left="99"/>
              <w:rPr>
                <w:rFonts w:ascii="Cambria" w:hAnsi="Cambria"/>
                <w:sz w:val="18"/>
                <w:szCs w:val="18"/>
                <w:lang w:val="en-IE"/>
              </w:rPr>
            </w:pPr>
            <w:r w:rsidRPr="004E13E9">
              <w:rPr>
                <w:rFonts w:ascii="Cambria" w:hAnsi="Cambria"/>
                <w:spacing w:val="-1"/>
                <w:sz w:val="18"/>
                <w:szCs w:val="18"/>
                <w:lang w:val="en-IE"/>
              </w:rPr>
              <w:t>5517392,279</w:t>
            </w:r>
          </w:p>
          <w:p w14:paraId="6757CEA7"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5517553,927</w:t>
            </w:r>
          </w:p>
          <w:p w14:paraId="2E9FC079"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5517303,667</w:t>
            </w:r>
          </w:p>
          <w:p w14:paraId="41A7B9B3" w14:textId="77777777" w:rsidR="00DF358A" w:rsidRPr="004E13E9" w:rsidRDefault="00DF358A" w:rsidP="00BB4F69">
            <w:pPr>
              <w:pStyle w:val="TableParagraph"/>
              <w:spacing w:after="40" w:line="207" w:lineRule="exact"/>
              <w:ind w:left="99"/>
              <w:rPr>
                <w:rFonts w:ascii="Cambria" w:hAnsi="Cambria"/>
                <w:sz w:val="18"/>
                <w:szCs w:val="18"/>
                <w:lang w:val="en-IE"/>
              </w:rPr>
            </w:pPr>
            <w:r w:rsidRPr="004E13E9">
              <w:rPr>
                <w:rFonts w:ascii="Cambria" w:hAnsi="Cambria"/>
                <w:spacing w:val="-1"/>
                <w:sz w:val="18"/>
                <w:szCs w:val="18"/>
                <w:lang w:val="en-IE"/>
              </w:rPr>
              <w:t>5517142,018</w:t>
            </w:r>
          </w:p>
        </w:tc>
        <w:tc>
          <w:tcPr>
            <w:tcW w:w="1701" w:type="dxa"/>
            <w:vAlign w:val="center"/>
          </w:tcPr>
          <w:p w14:paraId="5A8BD667" w14:textId="77777777" w:rsidR="00DF358A" w:rsidRPr="004E13E9" w:rsidRDefault="00DF358A" w:rsidP="00BB4F69">
            <w:pPr>
              <w:pStyle w:val="TableParagraph"/>
              <w:spacing w:after="40" w:line="207" w:lineRule="exact"/>
              <w:ind w:left="99"/>
              <w:rPr>
                <w:rFonts w:ascii="Cambria" w:hAnsi="Cambria"/>
                <w:sz w:val="18"/>
                <w:szCs w:val="18"/>
                <w:lang w:val="en-IE"/>
              </w:rPr>
            </w:pPr>
            <w:r w:rsidRPr="004E13E9">
              <w:rPr>
                <w:rFonts w:ascii="Cambria" w:hAnsi="Cambria"/>
                <w:spacing w:val="-1"/>
                <w:sz w:val="18"/>
                <w:szCs w:val="18"/>
                <w:lang w:val="en-IE"/>
              </w:rPr>
              <w:t>4868049,255</w:t>
            </w:r>
          </w:p>
          <w:p w14:paraId="41AD071B"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4867931,485</w:t>
            </w:r>
          </w:p>
          <w:p w14:paraId="25F680E9"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4867587,981</w:t>
            </w:r>
          </w:p>
          <w:p w14:paraId="7CBC25E9" w14:textId="77777777" w:rsidR="00DF358A" w:rsidRPr="004E13E9" w:rsidRDefault="00DF358A" w:rsidP="00BB4F69">
            <w:pPr>
              <w:pStyle w:val="TableParagraph"/>
              <w:spacing w:after="40" w:line="207" w:lineRule="exact"/>
              <w:ind w:left="99"/>
              <w:rPr>
                <w:rFonts w:ascii="Cambria" w:hAnsi="Cambria"/>
                <w:sz w:val="18"/>
                <w:szCs w:val="18"/>
                <w:lang w:val="en-IE"/>
              </w:rPr>
            </w:pPr>
            <w:r w:rsidRPr="004E13E9">
              <w:rPr>
                <w:rFonts w:ascii="Cambria" w:hAnsi="Cambria"/>
                <w:spacing w:val="-1"/>
                <w:sz w:val="18"/>
                <w:szCs w:val="18"/>
                <w:lang w:val="en-IE"/>
              </w:rPr>
              <w:t>4867705,751</w:t>
            </w:r>
          </w:p>
        </w:tc>
        <w:tc>
          <w:tcPr>
            <w:tcW w:w="2115" w:type="dxa"/>
            <w:vMerge/>
            <w:vAlign w:val="center"/>
          </w:tcPr>
          <w:p w14:paraId="59074F7C" w14:textId="77777777" w:rsidR="00DF358A" w:rsidRPr="004E13E9" w:rsidRDefault="00DF358A" w:rsidP="00BB4F69">
            <w:pPr>
              <w:spacing w:after="40"/>
              <w:jc w:val="center"/>
              <w:rPr>
                <w:sz w:val="18"/>
                <w:szCs w:val="18"/>
              </w:rPr>
            </w:pPr>
          </w:p>
        </w:tc>
      </w:tr>
      <w:tr w:rsidR="00DF358A" w:rsidRPr="004E13E9" w14:paraId="69F09DEA" w14:textId="77777777" w:rsidTr="00BB4F69">
        <w:trPr>
          <w:trHeight w:val="57"/>
        </w:trPr>
        <w:tc>
          <w:tcPr>
            <w:tcW w:w="1958" w:type="dxa"/>
            <w:vMerge/>
            <w:vAlign w:val="center"/>
          </w:tcPr>
          <w:p w14:paraId="5BF55F09" w14:textId="77777777" w:rsidR="00DF358A" w:rsidRPr="004E13E9" w:rsidRDefault="00DF358A" w:rsidP="00BB4F69">
            <w:pPr>
              <w:spacing w:after="40"/>
              <w:rPr>
                <w:rFonts w:eastAsia="MS Gothic" w:cs="Times New Roman"/>
                <w:color w:val="000000"/>
                <w:sz w:val="18"/>
                <w:szCs w:val="18"/>
                <w:lang w:val="en-IE" w:eastAsia="fr-FR" w:bidi="fr-FR"/>
              </w:rPr>
            </w:pPr>
          </w:p>
        </w:tc>
        <w:tc>
          <w:tcPr>
            <w:tcW w:w="1564" w:type="dxa"/>
            <w:vMerge/>
            <w:vAlign w:val="center"/>
          </w:tcPr>
          <w:p w14:paraId="6F4BB129" w14:textId="77777777" w:rsidR="00DF358A" w:rsidRPr="004E13E9" w:rsidRDefault="00DF358A" w:rsidP="00BB4F69">
            <w:pPr>
              <w:spacing w:after="40"/>
              <w:ind w:left="139" w:hanging="2"/>
              <w:rPr>
                <w:sz w:val="18"/>
                <w:szCs w:val="18"/>
                <w:lang w:val="en-IE"/>
              </w:rPr>
            </w:pPr>
          </w:p>
        </w:tc>
        <w:tc>
          <w:tcPr>
            <w:tcW w:w="1441" w:type="dxa"/>
            <w:vAlign w:val="center"/>
          </w:tcPr>
          <w:p w14:paraId="45D86A61" w14:textId="77777777" w:rsidR="00DF358A" w:rsidRPr="004E13E9" w:rsidRDefault="00DF358A" w:rsidP="00BB4F69">
            <w:pPr>
              <w:pStyle w:val="TableParagraph"/>
              <w:spacing w:after="40" w:line="205" w:lineRule="exact"/>
              <w:ind w:left="99"/>
              <w:rPr>
                <w:rFonts w:ascii="Cambria" w:hAnsi="Cambria"/>
                <w:sz w:val="18"/>
                <w:szCs w:val="18"/>
                <w:lang w:val="en-IE"/>
              </w:rPr>
            </w:pPr>
            <w:r w:rsidRPr="004E13E9">
              <w:rPr>
                <w:rFonts w:ascii="Cambria" w:hAnsi="Cambria"/>
                <w:spacing w:val="-1"/>
                <w:sz w:val="18"/>
                <w:szCs w:val="18"/>
                <w:lang w:val="en-IE"/>
              </w:rPr>
              <w:t>5517801,279</w:t>
            </w:r>
          </w:p>
          <w:p w14:paraId="1A75E814" w14:textId="77777777" w:rsidR="00DF358A" w:rsidRPr="004E13E9" w:rsidRDefault="00DF358A" w:rsidP="00BB4F69">
            <w:pPr>
              <w:pStyle w:val="TableParagraph"/>
              <w:spacing w:after="40" w:line="207" w:lineRule="exact"/>
              <w:ind w:left="99"/>
              <w:rPr>
                <w:rFonts w:ascii="Cambria" w:hAnsi="Cambria"/>
                <w:sz w:val="18"/>
                <w:szCs w:val="18"/>
                <w:lang w:val="en-IE"/>
              </w:rPr>
            </w:pPr>
            <w:r w:rsidRPr="004E13E9">
              <w:rPr>
                <w:rFonts w:ascii="Cambria" w:hAnsi="Cambria"/>
                <w:spacing w:val="-1"/>
                <w:sz w:val="18"/>
                <w:szCs w:val="18"/>
                <w:lang w:val="en-IE"/>
              </w:rPr>
              <w:t>5517962,927</w:t>
            </w:r>
          </w:p>
          <w:p w14:paraId="3854FCC4" w14:textId="77777777" w:rsidR="00DF358A" w:rsidRPr="004E13E9" w:rsidRDefault="00DF358A" w:rsidP="00BB4F69">
            <w:pPr>
              <w:pStyle w:val="TableParagraph"/>
              <w:spacing w:after="40" w:line="207" w:lineRule="exact"/>
              <w:ind w:left="99"/>
              <w:rPr>
                <w:rFonts w:ascii="Cambria" w:hAnsi="Cambria"/>
                <w:sz w:val="18"/>
                <w:szCs w:val="18"/>
                <w:lang w:val="en-IE"/>
              </w:rPr>
            </w:pPr>
            <w:r w:rsidRPr="004E13E9">
              <w:rPr>
                <w:rFonts w:ascii="Cambria" w:hAnsi="Cambria"/>
                <w:spacing w:val="-1"/>
                <w:sz w:val="18"/>
                <w:szCs w:val="18"/>
                <w:lang w:val="en-IE"/>
              </w:rPr>
              <w:t>5517712,667</w:t>
            </w:r>
          </w:p>
          <w:p w14:paraId="2F71B934" w14:textId="77777777" w:rsidR="00DF358A" w:rsidRPr="004E13E9" w:rsidRDefault="00DF358A" w:rsidP="00BB4F69">
            <w:pPr>
              <w:pStyle w:val="TableParagraph"/>
              <w:spacing w:before="2" w:after="40" w:line="206" w:lineRule="exact"/>
              <w:ind w:left="99"/>
              <w:rPr>
                <w:rFonts w:ascii="Cambria" w:hAnsi="Cambria"/>
                <w:sz w:val="18"/>
                <w:szCs w:val="18"/>
                <w:lang w:val="en-IE"/>
              </w:rPr>
            </w:pPr>
            <w:r w:rsidRPr="004E13E9">
              <w:rPr>
                <w:rFonts w:ascii="Cambria" w:hAnsi="Cambria"/>
                <w:spacing w:val="-1"/>
                <w:sz w:val="18"/>
                <w:szCs w:val="18"/>
                <w:lang w:val="en-IE"/>
              </w:rPr>
              <w:t>5517551,018</w:t>
            </w:r>
          </w:p>
        </w:tc>
        <w:tc>
          <w:tcPr>
            <w:tcW w:w="1701" w:type="dxa"/>
            <w:vAlign w:val="center"/>
          </w:tcPr>
          <w:p w14:paraId="38DADD1A" w14:textId="77777777" w:rsidR="00DF358A" w:rsidRPr="004E13E9" w:rsidRDefault="00DF358A" w:rsidP="00BB4F69">
            <w:pPr>
              <w:pStyle w:val="TableParagraph"/>
              <w:spacing w:after="40" w:line="205" w:lineRule="exact"/>
              <w:ind w:left="99"/>
              <w:rPr>
                <w:rFonts w:ascii="Cambria" w:hAnsi="Cambria"/>
                <w:sz w:val="18"/>
                <w:szCs w:val="18"/>
                <w:lang w:val="en-IE"/>
              </w:rPr>
            </w:pPr>
            <w:r w:rsidRPr="004E13E9">
              <w:rPr>
                <w:rFonts w:ascii="Cambria" w:hAnsi="Cambria"/>
                <w:spacing w:val="-1"/>
                <w:sz w:val="18"/>
                <w:szCs w:val="18"/>
                <w:lang w:val="en-IE"/>
              </w:rPr>
              <w:t>4867662,255</w:t>
            </w:r>
          </w:p>
          <w:p w14:paraId="3F6106C9" w14:textId="77777777" w:rsidR="00DF358A" w:rsidRPr="004E13E9" w:rsidRDefault="00DF358A" w:rsidP="00BB4F69">
            <w:pPr>
              <w:pStyle w:val="TableParagraph"/>
              <w:spacing w:after="40" w:line="207" w:lineRule="exact"/>
              <w:ind w:left="99"/>
              <w:rPr>
                <w:rFonts w:ascii="Cambria" w:hAnsi="Cambria"/>
                <w:sz w:val="18"/>
                <w:szCs w:val="18"/>
                <w:lang w:val="en-IE"/>
              </w:rPr>
            </w:pPr>
            <w:r w:rsidRPr="004E13E9">
              <w:rPr>
                <w:rFonts w:ascii="Cambria" w:hAnsi="Cambria"/>
                <w:spacing w:val="-1"/>
                <w:sz w:val="18"/>
                <w:szCs w:val="18"/>
                <w:lang w:val="en-IE"/>
              </w:rPr>
              <w:t>4867544,485</w:t>
            </w:r>
          </w:p>
          <w:p w14:paraId="084E2CC8" w14:textId="77777777" w:rsidR="00DF358A" w:rsidRPr="004E13E9" w:rsidRDefault="00DF358A" w:rsidP="00BB4F69">
            <w:pPr>
              <w:pStyle w:val="TableParagraph"/>
              <w:spacing w:after="40" w:line="207" w:lineRule="exact"/>
              <w:ind w:left="99"/>
              <w:rPr>
                <w:rFonts w:ascii="Cambria" w:hAnsi="Cambria"/>
                <w:sz w:val="18"/>
                <w:szCs w:val="18"/>
                <w:lang w:val="en-IE"/>
              </w:rPr>
            </w:pPr>
            <w:r w:rsidRPr="004E13E9">
              <w:rPr>
                <w:rFonts w:ascii="Cambria" w:hAnsi="Cambria"/>
                <w:spacing w:val="-1"/>
                <w:sz w:val="18"/>
                <w:szCs w:val="18"/>
                <w:lang w:val="en-IE"/>
              </w:rPr>
              <w:t>4867200,981</w:t>
            </w:r>
          </w:p>
          <w:p w14:paraId="3A18AD61" w14:textId="77777777" w:rsidR="00DF358A" w:rsidRPr="004E13E9" w:rsidRDefault="00DF358A" w:rsidP="00BB4F69">
            <w:pPr>
              <w:pStyle w:val="TableParagraph"/>
              <w:spacing w:before="2" w:after="40" w:line="206" w:lineRule="exact"/>
              <w:ind w:left="99"/>
              <w:rPr>
                <w:rFonts w:ascii="Cambria" w:hAnsi="Cambria"/>
                <w:sz w:val="18"/>
                <w:szCs w:val="18"/>
                <w:lang w:val="en-IE"/>
              </w:rPr>
            </w:pPr>
            <w:r w:rsidRPr="004E13E9">
              <w:rPr>
                <w:rFonts w:ascii="Cambria" w:hAnsi="Cambria"/>
                <w:spacing w:val="-1"/>
                <w:sz w:val="18"/>
                <w:szCs w:val="18"/>
                <w:lang w:val="en-IE"/>
              </w:rPr>
              <w:t>4867318,751</w:t>
            </w:r>
          </w:p>
        </w:tc>
        <w:tc>
          <w:tcPr>
            <w:tcW w:w="2115" w:type="dxa"/>
            <w:vMerge/>
            <w:vAlign w:val="center"/>
          </w:tcPr>
          <w:p w14:paraId="5FC028F8" w14:textId="77777777" w:rsidR="00DF358A" w:rsidRPr="004E13E9" w:rsidRDefault="00DF358A" w:rsidP="00BB4F69">
            <w:pPr>
              <w:spacing w:after="40"/>
              <w:jc w:val="center"/>
              <w:rPr>
                <w:rFonts w:eastAsia="MS Gothic" w:cs="Times New Roman"/>
                <w:color w:val="000000"/>
                <w:sz w:val="18"/>
                <w:szCs w:val="18"/>
                <w:lang w:val="en-IE" w:eastAsia="fr-FR" w:bidi="fr-FR"/>
              </w:rPr>
            </w:pPr>
          </w:p>
        </w:tc>
      </w:tr>
      <w:tr w:rsidR="00DF358A" w:rsidRPr="004E13E9" w14:paraId="1A1FA9AF" w14:textId="77777777" w:rsidTr="00BB4F69">
        <w:trPr>
          <w:trHeight w:val="57"/>
        </w:trPr>
        <w:tc>
          <w:tcPr>
            <w:tcW w:w="1958" w:type="dxa"/>
            <w:vAlign w:val="center"/>
          </w:tcPr>
          <w:p w14:paraId="4EE70275" w14:textId="77777777" w:rsidR="00DF358A" w:rsidRPr="004E13E9" w:rsidRDefault="00DF358A" w:rsidP="00BB4F69">
            <w:pPr>
              <w:spacing w:after="40"/>
              <w:rPr>
                <w:sz w:val="18"/>
                <w:szCs w:val="18"/>
              </w:rPr>
            </w:pPr>
          </w:p>
        </w:tc>
        <w:tc>
          <w:tcPr>
            <w:tcW w:w="1564" w:type="dxa"/>
            <w:vAlign w:val="center"/>
          </w:tcPr>
          <w:p w14:paraId="0F56244A" w14:textId="77777777" w:rsidR="00DF358A" w:rsidRPr="004E13E9" w:rsidRDefault="00DF358A" w:rsidP="00BB4F69">
            <w:pPr>
              <w:spacing w:after="40"/>
              <w:ind w:left="139" w:hanging="2"/>
              <w:rPr>
                <w:sz w:val="18"/>
                <w:szCs w:val="18"/>
                <w:lang w:val="en-IE"/>
              </w:rPr>
            </w:pPr>
          </w:p>
        </w:tc>
        <w:tc>
          <w:tcPr>
            <w:tcW w:w="1441" w:type="dxa"/>
            <w:vAlign w:val="center"/>
          </w:tcPr>
          <w:p w14:paraId="76BADFEE" w14:textId="77777777" w:rsidR="00DF358A" w:rsidRPr="004E13E9" w:rsidRDefault="00DF358A" w:rsidP="00BB4F69">
            <w:pPr>
              <w:pStyle w:val="TableParagraph"/>
              <w:spacing w:after="40" w:line="205" w:lineRule="exact"/>
              <w:ind w:left="99"/>
              <w:rPr>
                <w:rFonts w:ascii="Cambria" w:hAnsi="Cambria"/>
                <w:sz w:val="18"/>
                <w:szCs w:val="18"/>
                <w:lang w:val="en-IE"/>
              </w:rPr>
            </w:pPr>
            <w:r w:rsidRPr="004E13E9">
              <w:rPr>
                <w:rFonts w:ascii="Cambria" w:hAnsi="Cambria"/>
                <w:spacing w:val="-1"/>
                <w:sz w:val="18"/>
                <w:szCs w:val="18"/>
                <w:lang w:val="en-IE"/>
              </w:rPr>
              <w:t>5493440,00</w:t>
            </w:r>
          </w:p>
          <w:p w14:paraId="7A2D9E60"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5493498,70</w:t>
            </w:r>
          </w:p>
          <w:p w14:paraId="4321BEE3" w14:textId="77777777" w:rsidR="00DF358A" w:rsidRPr="004E13E9" w:rsidRDefault="00DF358A" w:rsidP="00BB4F69">
            <w:pPr>
              <w:pStyle w:val="TableParagraph"/>
              <w:spacing w:after="40" w:line="207" w:lineRule="exact"/>
              <w:ind w:left="99"/>
              <w:rPr>
                <w:rFonts w:ascii="Cambria" w:hAnsi="Cambria"/>
                <w:sz w:val="18"/>
                <w:szCs w:val="18"/>
                <w:lang w:val="en-IE"/>
              </w:rPr>
            </w:pPr>
            <w:r w:rsidRPr="004E13E9">
              <w:rPr>
                <w:rFonts w:ascii="Cambria" w:hAnsi="Cambria"/>
                <w:spacing w:val="-1"/>
                <w:sz w:val="18"/>
                <w:szCs w:val="18"/>
                <w:lang w:val="en-IE"/>
              </w:rPr>
              <w:t>5494068,42</w:t>
            </w:r>
          </w:p>
          <w:p w14:paraId="00A4E79B" w14:textId="77777777" w:rsidR="00DF358A" w:rsidRPr="004E13E9" w:rsidRDefault="00DF358A" w:rsidP="00BB4F69">
            <w:pPr>
              <w:pStyle w:val="TableParagraph"/>
              <w:spacing w:before="2" w:after="40" w:line="206" w:lineRule="exact"/>
              <w:ind w:left="99"/>
              <w:rPr>
                <w:rFonts w:ascii="Cambria" w:hAnsi="Cambria"/>
                <w:sz w:val="18"/>
                <w:szCs w:val="18"/>
                <w:lang w:val="en-IE"/>
              </w:rPr>
            </w:pPr>
            <w:r w:rsidRPr="004E13E9">
              <w:rPr>
                <w:rFonts w:ascii="Cambria" w:hAnsi="Cambria"/>
                <w:spacing w:val="-1"/>
                <w:sz w:val="18"/>
                <w:szCs w:val="18"/>
                <w:lang w:val="en-IE"/>
              </w:rPr>
              <w:t>5494006,73</w:t>
            </w:r>
          </w:p>
        </w:tc>
        <w:tc>
          <w:tcPr>
            <w:tcW w:w="1701" w:type="dxa"/>
            <w:vAlign w:val="center"/>
          </w:tcPr>
          <w:p w14:paraId="5155D051" w14:textId="77777777" w:rsidR="00DF358A" w:rsidRPr="004E13E9" w:rsidRDefault="00DF358A" w:rsidP="00BB4F69">
            <w:pPr>
              <w:pStyle w:val="TableParagraph"/>
              <w:spacing w:after="40" w:line="205" w:lineRule="exact"/>
              <w:ind w:left="99"/>
              <w:rPr>
                <w:rFonts w:ascii="Cambria" w:hAnsi="Cambria"/>
                <w:sz w:val="18"/>
                <w:szCs w:val="18"/>
                <w:lang w:val="en-IE"/>
              </w:rPr>
            </w:pPr>
            <w:r w:rsidRPr="004E13E9">
              <w:rPr>
                <w:rFonts w:ascii="Cambria" w:hAnsi="Cambria"/>
                <w:spacing w:val="-1"/>
                <w:sz w:val="18"/>
                <w:szCs w:val="18"/>
                <w:lang w:val="en-IE"/>
              </w:rPr>
              <w:t>4892040,00</w:t>
            </w:r>
          </w:p>
          <w:p w14:paraId="6425974E" w14:textId="77777777" w:rsidR="00DF358A" w:rsidRPr="004E13E9" w:rsidRDefault="00DF358A" w:rsidP="00BB4F69">
            <w:pPr>
              <w:pStyle w:val="TableParagraph"/>
              <w:spacing w:after="40" w:line="206" w:lineRule="exact"/>
              <w:ind w:left="99"/>
              <w:rPr>
                <w:rFonts w:ascii="Cambria" w:hAnsi="Cambria"/>
                <w:sz w:val="18"/>
                <w:szCs w:val="18"/>
                <w:lang w:val="en-IE"/>
              </w:rPr>
            </w:pPr>
            <w:r w:rsidRPr="004E13E9">
              <w:rPr>
                <w:rFonts w:ascii="Cambria" w:hAnsi="Cambria"/>
                <w:spacing w:val="-1"/>
                <w:sz w:val="18"/>
                <w:szCs w:val="18"/>
                <w:lang w:val="en-IE"/>
              </w:rPr>
              <w:t>4892120,96</w:t>
            </w:r>
          </w:p>
          <w:p w14:paraId="112A7583" w14:textId="77777777" w:rsidR="00DF358A" w:rsidRPr="004E13E9" w:rsidRDefault="00DF358A" w:rsidP="00BB4F69">
            <w:pPr>
              <w:pStyle w:val="TableParagraph"/>
              <w:spacing w:after="40" w:line="207" w:lineRule="exact"/>
              <w:ind w:left="99"/>
              <w:rPr>
                <w:rFonts w:ascii="Cambria" w:hAnsi="Cambria"/>
                <w:sz w:val="18"/>
                <w:szCs w:val="18"/>
                <w:lang w:val="en-IE"/>
              </w:rPr>
            </w:pPr>
            <w:r w:rsidRPr="004E13E9">
              <w:rPr>
                <w:rFonts w:ascii="Cambria" w:hAnsi="Cambria"/>
                <w:spacing w:val="-1"/>
                <w:sz w:val="18"/>
                <w:szCs w:val="18"/>
                <w:lang w:val="en-IE"/>
              </w:rPr>
              <w:t>4891710,08</w:t>
            </w:r>
          </w:p>
          <w:p w14:paraId="24EAE4D4" w14:textId="77777777" w:rsidR="00DF358A" w:rsidRPr="004E13E9" w:rsidRDefault="00DF358A" w:rsidP="00BB4F69">
            <w:pPr>
              <w:pStyle w:val="TableParagraph"/>
              <w:spacing w:before="2" w:after="40" w:line="206" w:lineRule="exact"/>
              <w:ind w:left="99"/>
              <w:rPr>
                <w:rFonts w:ascii="Cambria" w:hAnsi="Cambria"/>
                <w:sz w:val="18"/>
                <w:szCs w:val="18"/>
                <w:lang w:val="en-IE"/>
              </w:rPr>
            </w:pPr>
            <w:r w:rsidRPr="004E13E9">
              <w:rPr>
                <w:rFonts w:ascii="Cambria" w:hAnsi="Cambria"/>
                <w:spacing w:val="-1"/>
                <w:sz w:val="18"/>
                <w:szCs w:val="18"/>
                <w:lang w:val="en-IE"/>
              </w:rPr>
              <w:t>4891629,12</w:t>
            </w:r>
          </w:p>
        </w:tc>
        <w:tc>
          <w:tcPr>
            <w:tcW w:w="2115" w:type="dxa"/>
            <w:vAlign w:val="center"/>
          </w:tcPr>
          <w:p w14:paraId="6259625E" w14:textId="77777777" w:rsidR="00DF358A" w:rsidRPr="004E13E9" w:rsidRDefault="00DF358A" w:rsidP="00BB4F69">
            <w:pPr>
              <w:spacing w:after="40"/>
              <w:jc w:val="center"/>
              <w:rPr>
                <w:sz w:val="18"/>
                <w:szCs w:val="18"/>
              </w:rPr>
            </w:pPr>
          </w:p>
        </w:tc>
      </w:tr>
      <w:tr w:rsidR="00DF358A" w:rsidRPr="004E13E9" w14:paraId="73E1BD4D" w14:textId="77777777" w:rsidTr="00BB4F69">
        <w:trPr>
          <w:trHeight w:val="57"/>
        </w:trPr>
        <w:tc>
          <w:tcPr>
            <w:tcW w:w="1958" w:type="dxa"/>
            <w:vAlign w:val="center"/>
          </w:tcPr>
          <w:p w14:paraId="4BBD69E0" w14:textId="77777777" w:rsidR="00DF358A" w:rsidRPr="004E13E9" w:rsidRDefault="00DF358A" w:rsidP="00BB4F69">
            <w:pPr>
              <w:spacing w:after="40"/>
              <w:rPr>
                <w:sz w:val="18"/>
                <w:szCs w:val="18"/>
                <w:lang w:val="en-IE"/>
              </w:rPr>
            </w:pPr>
          </w:p>
        </w:tc>
        <w:tc>
          <w:tcPr>
            <w:tcW w:w="1564" w:type="dxa"/>
            <w:vAlign w:val="center"/>
          </w:tcPr>
          <w:p w14:paraId="3C93A545" w14:textId="77777777" w:rsidR="00DF358A" w:rsidRPr="004E13E9" w:rsidRDefault="00DF358A" w:rsidP="00BB4F69">
            <w:pPr>
              <w:spacing w:after="40"/>
              <w:ind w:left="139" w:hanging="2"/>
              <w:rPr>
                <w:sz w:val="18"/>
                <w:szCs w:val="18"/>
                <w:lang w:val="en-IE"/>
              </w:rPr>
            </w:pPr>
          </w:p>
        </w:tc>
        <w:tc>
          <w:tcPr>
            <w:tcW w:w="1441" w:type="dxa"/>
            <w:vAlign w:val="center"/>
          </w:tcPr>
          <w:p w14:paraId="07381B51" w14:textId="77777777" w:rsidR="00DF358A" w:rsidRPr="004E13E9" w:rsidRDefault="00DF358A" w:rsidP="00BB4F69">
            <w:pPr>
              <w:spacing w:after="40" w:line="206" w:lineRule="exact"/>
              <w:ind w:left="99"/>
              <w:rPr>
                <w:spacing w:val="-1"/>
                <w:sz w:val="18"/>
                <w:szCs w:val="18"/>
                <w:lang w:val="en-IE"/>
              </w:rPr>
            </w:pPr>
            <w:r w:rsidRPr="004E13E9">
              <w:rPr>
                <w:spacing w:val="-1"/>
                <w:sz w:val="18"/>
                <w:szCs w:val="18"/>
                <w:lang w:val="en-IE"/>
              </w:rPr>
              <w:t>5494273,27</w:t>
            </w:r>
          </w:p>
          <w:p w14:paraId="0E7C9E56" w14:textId="77777777" w:rsidR="00DF358A" w:rsidRPr="004E13E9" w:rsidRDefault="00DF358A" w:rsidP="00BB4F69">
            <w:pPr>
              <w:spacing w:after="40" w:line="206" w:lineRule="exact"/>
              <w:ind w:left="99"/>
              <w:rPr>
                <w:spacing w:val="-1"/>
                <w:sz w:val="18"/>
                <w:szCs w:val="18"/>
                <w:lang w:val="en-IE"/>
              </w:rPr>
            </w:pPr>
            <w:r w:rsidRPr="004E13E9">
              <w:rPr>
                <w:spacing w:val="-1"/>
                <w:sz w:val="18"/>
                <w:szCs w:val="18"/>
                <w:lang w:val="en-IE"/>
              </w:rPr>
              <w:t>5494331,97</w:t>
            </w:r>
          </w:p>
          <w:p w14:paraId="5DD30DA6" w14:textId="77777777" w:rsidR="00DF358A" w:rsidRPr="004E13E9" w:rsidRDefault="00DF358A" w:rsidP="00BB4F69">
            <w:pPr>
              <w:spacing w:after="40" w:line="206" w:lineRule="exact"/>
              <w:ind w:left="99"/>
              <w:rPr>
                <w:spacing w:val="-1"/>
                <w:sz w:val="18"/>
                <w:szCs w:val="18"/>
                <w:lang w:val="en-IE"/>
              </w:rPr>
            </w:pPr>
            <w:r w:rsidRPr="004E13E9">
              <w:rPr>
                <w:spacing w:val="-1"/>
                <w:sz w:val="18"/>
                <w:szCs w:val="18"/>
                <w:lang w:val="en-IE"/>
              </w:rPr>
              <w:t>5494898,70</w:t>
            </w:r>
          </w:p>
          <w:p w14:paraId="04BF934B" w14:textId="77777777" w:rsidR="00DF358A" w:rsidRPr="004E13E9" w:rsidRDefault="00DF358A" w:rsidP="00BB4F69">
            <w:pPr>
              <w:spacing w:after="40" w:line="206" w:lineRule="exact"/>
              <w:ind w:left="99"/>
              <w:rPr>
                <w:spacing w:val="-1"/>
                <w:sz w:val="18"/>
                <w:szCs w:val="18"/>
                <w:lang w:val="en-IE"/>
              </w:rPr>
            </w:pPr>
            <w:r w:rsidRPr="004E13E9">
              <w:rPr>
                <w:spacing w:val="-1"/>
                <w:sz w:val="18"/>
                <w:szCs w:val="18"/>
                <w:lang w:val="en-IE"/>
              </w:rPr>
              <w:t>5494840,00</w:t>
            </w:r>
          </w:p>
          <w:p w14:paraId="44824CA2" w14:textId="77777777" w:rsidR="00DF358A" w:rsidRPr="004E13E9" w:rsidRDefault="00DF358A" w:rsidP="00BB4F69">
            <w:pPr>
              <w:spacing w:after="40" w:line="206" w:lineRule="exact"/>
              <w:ind w:left="99"/>
              <w:rPr>
                <w:spacing w:val="-1"/>
                <w:sz w:val="18"/>
                <w:szCs w:val="18"/>
                <w:lang w:val="en-IE"/>
              </w:rPr>
            </w:pPr>
            <w:r w:rsidRPr="004E13E9">
              <w:rPr>
                <w:spacing w:val="-1"/>
                <w:sz w:val="18"/>
                <w:szCs w:val="18"/>
                <w:lang w:val="en-IE"/>
              </w:rPr>
              <w:t>5509116</w:t>
            </w:r>
          </w:p>
          <w:p w14:paraId="55C2B905" w14:textId="77777777" w:rsidR="00DF358A" w:rsidRPr="004E13E9" w:rsidRDefault="00DF358A" w:rsidP="00BB4F69">
            <w:pPr>
              <w:spacing w:after="40" w:line="206" w:lineRule="exact"/>
              <w:ind w:left="99"/>
              <w:rPr>
                <w:spacing w:val="-1"/>
                <w:sz w:val="18"/>
                <w:szCs w:val="18"/>
                <w:lang w:val="en-IE"/>
              </w:rPr>
            </w:pPr>
            <w:r w:rsidRPr="004E13E9">
              <w:rPr>
                <w:spacing w:val="-1"/>
                <w:sz w:val="18"/>
                <w:szCs w:val="18"/>
                <w:lang w:val="en-IE"/>
              </w:rPr>
              <w:t>5509264</w:t>
            </w:r>
          </w:p>
          <w:p w14:paraId="2A40CA50" w14:textId="77777777" w:rsidR="00DF358A" w:rsidRPr="004E13E9" w:rsidRDefault="00DF358A" w:rsidP="00BB4F69">
            <w:pPr>
              <w:spacing w:after="40" w:line="206" w:lineRule="exact"/>
              <w:ind w:left="99"/>
              <w:rPr>
                <w:spacing w:val="-1"/>
                <w:sz w:val="18"/>
                <w:szCs w:val="18"/>
                <w:lang w:val="en-IE"/>
              </w:rPr>
            </w:pPr>
            <w:r w:rsidRPr="004E13E9">
              <w:rPr>
                <w:spacing w:val="-1"/>
                <w:sz w:val="18"/>
                <w:szCs w:val="18"/>
                <w:lang w:val="en-IE"/>
              </w:rPr>
              <w:t>5508712</w:t>
            </w:r>
          </w:p>
          <w:p w14:paraId="129E1C35" w14:textId="77777777" w:rsidR="00DF358A" w:rsidRPr="004E13E9" w:rsidRDefault="00DF358A" w:rsidP="00BB4F69">
            <w:pPr>
              <w:spacing w:after="40" w:line="206" w:lineRule="exact"/>
              <w:ind w:left="99"/>
              <w:rPr>
                <w:sz w:val="18"/>
                <w:szCs w:val="18"/>
                <w:lang w:val="en-IE"/>
              </w:rPr>
            </w:pPr>
            <w:r w:rsidRPr="004E13E9">
              <w:rPr>
                <w:spacing w:val="-1"/>
                <w:sz w:val="18"/>
                <w:szCs w:val="18"/>
                <w:lang w:val="en-IE"/>
              </w:rPr>
              <w:t>5508860</w:t>
            </w:r>
          </w:p>
        </w:tc>
        <w:tc>
          <w:tcPr>
            <w:tcW w:w="1701" w:type="dxa"/>
            <w:vAlign w:val="center"/>
          </w:tcPr>
          <w:p w14:paraId="56ACD91F" w14:textId="77777777" w:rsidR="00DF358A" w:rsidRPr="004E13E9" w:rsidRDefault="00DF358A" w:rsidP="00BB4F69">
            <w:pPr>
              <w:spacing w:after="40" w:line="206" w:lineRule="exact"/>
              <w:ind w:left="99"/>
              <w:rPr>
                <w:spacing w:val="-1"/>
                <w:sz w:val="18"/>
                <w:szCs w:val="18"/>
                <w:lang w:val="en-IE"/>
              </w:rPr>
            </w:pPr>
            <w:r w:rsidRPr="004E13E9">
              <w:rPr>
                <w:spacing w:val="-1"/>
                <w:sz w:val="18"/>
                <w:szCs w:val="18"/>
                <w:lang w:val="en-IE"/>
              </w:rPr>
              <w:t>4891535,88</w:t>
            </w:r>
          </w:p>
          <w:p w14:paraId="4012591F" w14:textId="77777777" w:rsidR="00DF358A" w:rsidRPr="004E13E9" w:rsidRDefault="00DF358A" w:rsidP="00BB4F69">
            <w:pPr>
              <w:spacing w:after="40" w:line="206" w:lineRule="exact"/>
              <w:ind w:left="99"/>
              <w:rPr>
                <w:spacing w:val="-1"/>
                <w:sz w:val="18"/>
                <w:szCs w:val="18"/>
                <w:lang w:val="en-IE"/>
              </w:rPr>
            </w:pPr>
            <w:r w:rsidRPr="004E13E9">
              <w:rPr>
                <w:spacing w:val="-1"/>
                <w:sz w:val="18"/>
                <w:szCs w:val="18"/>
                <w:lang w:val="en-IE"/>
              </w:rPr>
              <w:t>4891516,84</w:t>
            </w:r>
          </w:p>
          <w:p w14:paraId="1AF1D274" w14:textId="77777777" w:rsidR="00DF358A" w:rsidRPr="004E13E9" w:rsidRDefault="00DF358A" w:rsidP="00BB4F69">
            <w:pPr>
              <w:spacing w:after="40" w:line="206" w:lineRule="exact"/>
              <w:ind w:left="99"/>
              <w:rPr>
                <w:spacing w:val="-1"/>
                <w:sz w:val="18"/>
                <w:szCs w:val="18"/>
                <w:lang w:val="en-IE"/>
              </w:rPr>
            </w:pPr>
            <w:r w:rsidRPr="004E13E9">
              <w:rPr>
                <w:spacing w:val="-1"/>
                <w:sz w:val="18"/>
                <w:szCs w:val="18"/>
                <w:lang w:val="en-IE"/>
              </w:rPr>
              <w:t>4891105,96</w:t>
            </w:r>
          </w:p>
          <w:p w14:paraId="4A237DF6" w14:textId="77777777" w:rsidR="00DF358A" w:rsidRPr="004E13E9" w:rsidRDefault="00DF358A" w:rsidP="00BB4F69">
            <w:pPr>
              <w:spacing w:after="40" w:line="206" w:lineRule="exact"/>
              <w:ind w:left="99"/>
              <w:rPr>
                <w:spacing w:val="-1"/>
                <w:sz w:val="18"/>
                <w:szCs w:val="18"/>
                <w:lang w:val="en-IE"/>
              </w:rPr>
            </w:pPr>
            <w:r w:rsidRPr="004E13E9">
              <w:rPr>
                <w:spacing w:val="-1"/>
                <w:sz w:val="18"/>
                <w:szCs w:val="18"/>
                <w:lang w:val="en-IE"/>
              </w:rPr>
              <w:t>4891025,00</w:t>
            </w:r>
          </w:p>
          <w:p w14:paraId="4EA42DB1" w14:textId="77777777" w:rsidR="00DF358A" w:rsidRPr="004E13E9" w:rsidRDefault="00DF358A" w:rsidP="00BB4F69">
            <w:pPr>
              <w:spacing w:after="40" w:line="206" w:lineRule="exact"/>
              <w:ind w:left="99"/>
              <w:rPr>
                <w:spacing w:val="-1"/>
                <w:sz w:val="18"/>
                <w:szCs w:val="18"/>
                <w:lang w:val="en-IE"/>
              </w:rPr>
            </w:pPr>
            <w:r w:rsidRPr="004E13E9">
              <w:rPr>
                <w:spacing w:val="-1"/>
                <w:sz w:val="18"/>
                <w:szCs w:val="18"/>
                <w:lang w:val="en-IE"/>
              </w:rPr>
              <w:t>4875654</w:t>
            </w:r>
          </w:p>
          <w:p w14:paraId="0B79CBA7" w14:textId="77777777" w:rsidR="00DF358A" w:rsidRPr="004E13E9" w:rsidRDefault="00DF358A" w:rsidP="00BB4F69">
            <w:pPr>
              <w:spacing w:after="40" w:line="206" w:lineRule="exact"/>
              <w:ind w:left="99"/>
              <w:rPr>
                <w:spacing w:val="-1"/>
                <w:sz w:val="18"/>
                <w:szCs w:val="18"/>
                <w:lang w:val="en-IE"/>
              </w:rPr>
            </w:pPr>
            <w:r w:rsidRPr="004E13E9">
              <w:rPr>
                <w:spacing w:val="-1"/>
                <w:sz w:val="18"/>
                <w:szCs w:val="18"/>
                <w:lang w:val="en-IE"/>
              </w:rPr>
              <w:t>4875520</w:t>
            </w:r>
          </w:p>
          <w:p w14:paraId="5A866BCE" w14:textId="77777777" w:rsidR="00DF358A" w:rsidRPr="004E13E9" w:rsidRDefault="00DF358A" w:rsidP="00BB4F69">
            <w:pPr>
              <w:spacing w:after="40" w:line="206" w:lineRule="exact"/>
              <w:ind w:left="99"/>
              <w:rPr>
                <w:spacing w:val="-1"/>
                <w:sz w:val="18"/>
                <w:szCs w:val="18"/>
                <w:lang w:val="en-IE"/>
              </w:rPr>
            </w:pPr>
            <w:r w:rsidRPr="004E13E9">
              <w:rPr>
                <w:spacing w:val="-1"/>
                <w:sz w:val="18"/>
                <w:szCs w:val="18"/>
                <w:lang w:val="en-IE"/>
              </w:rPr>
              <w:t>4875211</w:t>
            </w:r>
          </w:p>
          <w:p w14:paraId="71E2A921" w14:textId="77777777" w:rsidR="00DF358A" w:rsidRPr="004E13E9" w:rsidRDefault="00DF358A" w:rsidP="00BB4F69">
            <w:pPr>
              <w:spacing w:after="40" w:line="206" w:lineRule="exact"/>
              <w:ind w:left="99"/>
              <w:rPr>
                <w:sz w:val="18"/>
                <w:szCs w:val="18"/>
                <w:lang w:val="en-IE"/>
              </w:rPr>
            </w:pPr>
            <w:r w:rsidRPr="004E13E9">
              <w:rPr>
                <w:spacing w:val="-1"/>
                <w:sz w:val="18"/>
                <w:szCs w:val="18"/>
                <w:lang w:val="en-IE"/>
              </w:rPr>
              <w:t>4875076</w:t>
            </w:r>
          </w:p>
        </w:tc>
        <w:tc>
          <w:tcPr>
            <w:tcW w:w="2115" w:type="dxa"/>
            <w:vAlign w:val="center"/>
          </w:tcPr>
          <w:p w14:paraId="1F7F5B64" w14:textId="77777777" w:rsidR="00DF358A" w:rsidRPr="004E13E9" w:rsidRDefault="00DF358A" w:rsidP="00BB4F69">
            <w:pPr>
              <w:spacing w:after="40"/>
              <w:jc w:val="center"/>
              <w:rPr>
                <w:sz w:val="18"/>
                <w:szCs w:val="18"/>
                <w:lang w:val="en-IE"/>
              </w:rPr>
            </w:pPr>
          </w:p>
        </w:tc>
      </w:tr>
      <w:tr w:rsidR="00DF358A" w:rsidRPr="004E13E9" w14:paraId="1E872055" w14:textId="77777777" w:rsidTr="00BB4F69">
        <w:trPr>
          <w:trHeight w:val="57"/>
        </w:trPr>
        <w:tc>
          <w:tcPr>
            <w:tcW w:w="1958" w:type="dxa"/>
            <w:vAlign w:val="center"/>
          </w:tcPr>
          <w:p w14:paraId="36283918" w14:textId="77777777" w:rsidR="00DF358A" w:rsidRPr="004E13E9" w:rsidRDefault="00DF358A" w:rsidP="00BB4F69">
            <w:pPr>
              <w:spacing w:after="40"/>
              <w:ind w:left="102"/>
              <w:rPr>
                <w:sz w:val="18"/>
                <w:szCs w:val="18"/>
                <w:lang w:val="en-IE"/>
              </w:rPr>
            </w:pPr>
            <w:r w:rsidRPr="004E13E9">
              <w:rPr>
                <w:sz w:val="18"/>
                <w:szCs w:val="18"/>
                <w:lang w:val="en-IE"/>
              </w:rPr>
              <w:t>MFF</w:t>
            </w:r>
            <w:r w:rsidRPr="004E13E9">
              <w:rPr>
                <w:sz w:val="18"/>
                <w:szCs w:val="18"/>
              </w:rPr>
              <w:t xml:space="preserve"> Ltd.</w:t>
            </w:r>
          </w:p>
        </w:tc>
        <w:tc>
          <w:tcPr>
            <w:tcW w:w="1564" w:type="dxa"/>
            <w:vAlign w:val="center"/>
          </w:tcPr>
          <w:p w14:paraId="40232CF4" w14:textId="77777777" w:rsidR="00DF358A" w:rsidRPr="004E13E9" w:rsidRDefault="00DF358A" w:rsidP="00BB4F69">
            <w:pPr>
              <w:spacing w:after="40"/>
              <w:ind w:left="139" w:hanging="2"/>
              <w:rPr>
                <w:sz w:val="18"/>
                <w:szCs w:val="18"/>
                <w:lang w:val="en-IE"/>
              </w:rPr>
            </w:pPr>
            <w:r w:rsidRPr="004E13E9">
              <w:rPr>
                <w:sz w:val="18"/>
                <w:szCs w:val="18"/>
                <w:lang w:val="en-IE"/>
              </w:rPr>
              <w:t>ATEU1MLT00004</w:t>
            </w:r>
          </w:p>
        </w:tc>
        <w:tc>
          <w:tcPr>
            <w:tcW w:w="3142" w:type="dxa"/>
            <w:gridSpan w:val="2"/>
            <w:vAlign w:val="center"/>
          </w:tcPr>
          <w:p w14:paraId="20806150" w14:textId="77777777" w:rsidR="00DF358A" w:rsidRPr="004E13E9" w:rsidRDefault="00DF358A" w:rsidP="00BB4F69">
            <w:pPr>
              <w:spacing w:after="40" w:line="205" w:lineRule="exact"/>
              <w:ind w:left="99"/>
              <w:rPr>
                <w:sz w:val="18"/>
                <w:szCs w:val="18"/>
                <w:lang w:val="en-IE"/>
              </w:rPr>
            </w:pPr>
            <w:r w:rsidRPr="004E13E9">
              <w:rPr>
                <w:spacing w:val="-1"/>
                <w:sz w:val="18"/>
                <w:szCs w:val="18"/>
                <w:lang w:val="en-IE"/>
              </w:rPr>
              <w:t>35.8785</w:t>
            </w:r>
            <w:r w:rsidRPr="004E13E9">
              <w:rPr>
                <w:sz w:val="18"/>
                <w:szCs w:val="18"/>
                <w:lang w:val="en-IE"/>
              </w:rPr>
              <w:t xml:space="preserve"> (N) </w:t>
            </w:r>
            <w:r w:rsidRPr="004E13E9">
              <w:rPr>
                <w:spacing w:val="-1"/>
                <w:sz w:val="18"/>
                <w:szCs w:val="18"/>
                <w:lang w:val="en-IE"/>
              </w:rPr>
              <w:t>14.6430</w:t>
            </w:r>
            <w:r w:rsidRPr="004E13E9">
              <w:rPr>
                <w:sz w:val="18"/>
                <w:szCs w:val="18"/>
                <w:lang w:val="en-IE"/>
              </w:rPr>
              <w:t xml:space="preserve"> (E)</w:t>
            </w:r>
          </w:p>
          <w:p w14:paraId="7821F747" w14:textId="77777777" w:rsidR="00DF358A" w:rsidRPr="004E13E9" w:rsidRDefault="00DF358A" w:rsidP="00BB4F69">
            <w:pPr>
              <w:spacing w:before="2" w:after="40" w:line="207" w:lineRule="exact"/>
              <w:ind w:left="99"/>
              <w:rPr>
                <w:sz w:val="18"/>
                <w:szCs w:val="18"/>
                <w:lang w:val="en-IE"/>
              </w:rPr>
            </w:pPr>
            <w:r w:rsidRPr="004E13E9">
              <w:rPr>
                <w:spacing w:val="-1"/>
                <w:sz w:val="18"/>
                <w:szCs w:val="18"/>
                <w:lang w:val="en-IE"/>
              </w:rPr>
              <w:t>35.8784</w:t>
            </w:r>
            <w:r w:rsidRPr="004E13E9">
              <w:rPr>
                <w:sz w:val="18"/>
                <w:szCs w:val="18"/>
                <w:lang w:val="en-IE"/>
              </w:rPr>
              <w:t xml:space="preserve"> (N) </w:t>
            </w:r>
            <w:r w:rsidRPr="004E13E9">
              <w:rPr>
                <w:spacing w:val="-1"/>
                <w:sz w:val="18"/>
                <w:szCs w:val="18"/>
                <w:lang w:val="en-IE"/>
              </w:rPr>
              <w:t>14.6600</w:t>
            </w:r>
            <w:r w:rsidRPr="004E13E9">
              <w:rPr>
                <w:sz w:val="18"/>
                <w:szCs w:val="18"/>
                <w:lang w:val="en-IE"/>
              </w:rPr>
              <w:t xml:space="preserve"> (E)</w:t>
            </w:r>
          </w:p>
          <w:p w14:paraId="4A1847FE" w14:textId="77777777" w:rsidR="00DF358A" w:rsidRPr="004E13E9" w:rsidRDefault="00DF358A" w:rsidP="00BB4F69">
            <w:pPr>
              <w:spacing w:after="40" w:line="206" w:lineRule="exact"/>
              <w:ind w:left="99"/>
              <w:rPr>
                <w:sz w:val="18"/>
                <w:szCs w:val="18"/>
                <w:lang w:val="en-IE"/>
              </w:rPr>
            </w:pPr>
            <w:r w:rsidRPr="004E13E9">
              <w:rPr>
                <w:spacing w:val="-1"/>
                <w:sz w:val="18"/>
                <w:szCs w:val="18"/>
                <w:lang w:val="en-IE"/>
              </w:rPr>
              <w:t>35.8640</w:t>
            </w:r>
            <w:r w:rsidRPr="004E13E9">
              <w:rPr>
                <w:sz w:val="18"/>
                <w:szCs w:val="18"/>
                <w:lang w:val="en-IE"/>
              </w:rPr>
              <w:t xml:space="preserve"> (N) </w:t>
            </w:r>
            <w:r w:rsidRPr="004E13E9">
              <w:rPr>
                <w:spacing w:val="-1"/>
                <w:sz w:val="18"/>
                <w:szCs w:val="18"/>
                <w:lang w:val="en-IE"/>
              </w:rPr>
              <w:t>14.6600</w:t>
            </w:r>
            <w:r w:rsidRPr="004E13E9">
              <w:rPr>
                <w:sz w:val="18"/>
                <w:szCs w:val="18"/>
                <w:lang w:val="en-IE"/>
              </w:rPr>
              <w:t xml:space="preserve"> (E)</w:t>
            </w:r>
          </w:p>
          <w:p w14:paraId="208EB604" w14:textId="77777777" w:rsidR="00DF358A" w:rsidRPr="004E13E9" w:rsidRDefault="00DF358A" w:rsidP="00BB4F69">
            <w:pPr>
              <w:spacing w:after="40" w:line="206" w:lineRule="exact"/>
              <w:ind w:left="99"/>
              <w:rPr>
                <w:sz w:val="18"/>
                <w:szCs w:val="18"/>
                <w:lang w:val="en-IE"/>
              </w:rPr>
            </w:pPr>
            <w:r w:rsidRPr="004E13E9">
              <w:rPr>
                <w:spacing w:val="-1"/>
                <w:sz w:val="18"/>
                <w:szCs w:val="18"/>
                <w:lang w:val="en-IE"/>
              </w:rPr>
              <w:t>35.8640</w:t>
            </w:r>
            <w:r w:rsidRPr="004E13E9">
              <w:rPr>
                <w:sz w:val="18"/>
                <w:szCs w:val="18"/>
                <w:lang w:val="en-IE"/>
              </w:rPr>
              <w:t xml:space="preserve"> (N) </w:t>
            </w:r>
            <w:r w:rsidRPr="004E13E9">
              <w:rPr>
                <w:spacing w:val="-1"/>
                <w:sz w:val="18"/>
                <w:szCs w:val="18"/>
                <w:lang w:val="en-IE"/>
              </w:rPr>
              <w:t>14.6430</w:t>
            </w:r>
            <w:r w:rsidRPr="004E13E9">
              <w:rPr>
                <w:sz w:val="18"/>
                <w:szCs w:val="18"/>
                <w:lang w:val="en-IE"/>
              </w:rPr>
              <w:t xml:space="preserve"> (E)</w:t>
            </w:r>
          </w:p>
        </w:tc>
        <w:tc>
          <w:tcPr>
            <w:tcW w:w="2115" w:type="dxa"/>
            <w:vAlign w:val="center"/>
          </w:tcPr>
          <w:p w14:paraId="1DE969A8" w14:textId="77777777" w:rsidR="00DF358A" w:rsidRPr="004E13E9" w:rsidRDefault="00DF358A" w:rsidP="00BB4F69">
            <w:pPr>
              <w:pStyle w:val="TableParagraph"/>
              <w:spacing w:before="169" w:after="40"/>
              <w:jc w:val="center"/>
              <w:rPr>
                <w:rFonts w:ascii="Cambria" w:hAnsi="Cambria"/>
                <w:sz w:val="18"/>
                <w:szCs w:val="18"/>
                <w:lang w:val="en-IE"/>
              </w:rPr>
            </w:pPr>
            <w:r w:rsidRPr="004E13E9">
              <w:rPr>
                <w:rFonts w:ascii="Cambria" w:hAnsi="Cambria"/>
                <w:sz w:val="18"/>
                <w:szCs w:val="18"/>
                <w:lang w:val="en-IE"/>
              </w:rPr>
              <w:t>2.142,927</w:t>
            </w:r>
          </w:p>
        </w:tc>
      </w:tr>
      <w:tr w:rsidR="00DF358A" w:rsidRPr="004E13E9" w14:paraId="25CFA58B" w14:textId="77777777" w:rsidTr="00BB4F69">
        <w:trPr>
          <w:trHeight w:val="57"/>
        </w:trPr>
        <w:tc>
          <w:tcPr>
            <w:tcW w:w="1958" w:type="dxa"/>
            <w:vAlign w:val="center"/>
          </w:tcPr>
          <w:p w14:paraId="40F02F9A" w14:textId="77777777" w:rsidR="00DF358A" w:rsidRPr="004E13E9" w:rsidRDefault="00DF358A" w:rsidP="00BB4F69">
            <w:pPr>
              <w:spacing w:after="40"/>
              <w:ind w:left="102"/>
              <w:rPr>
                <w:sz w:val="18"/>
                <w:szCs w:val="18"/>
                <w:lang w:val="en-IE"/>
              </w:rPr>
            </w:pPr>
            <w:r w:rsidRPr="004E13E9">
              <w:rPr>
                <w:sz w:val="18"/>
                <w:szCs w:val="18"/>
                <w:lang w:val="en-IE"/>
              </w:rPr>
              <w:t>Fish</w:t>
            </w:r>
            <w:r w:rsidRPr="004E13E9">
              <w:rPr>
                <w:spacing w:val="-5"/>
                <w:sz w:val="18"/>
                <w:szCs w:val="18"/>
                <w:lang w:val="en-IE"/>
              </w:rPr>
              <w:t xml:space="preserve"> </w:t>
            </w:r>
            <w:r w:rsidRPr="004E13E9">
              <w:rPr>
                <w:sz w:val="18"/>
                <w:szCs w:val="18"/>
                <w:lang w:val="en-IE"/>
              </w:rPr>
              <w:t>&amp;</w:t>
            </w:r>
            <w:r w:rsidRPr="004E13E9">
              <w:rPr>
                <w:spacing w:val="-5"/>
                <w:sz w:val="18"/>
                <w:szCs w:val="18"/>
                <w:lang w:val="en-IE"/>
              </w:rPr>
              <w:t xml:space="preserve"> </w:t>
            </w:r>
            <w:r w:rsidRPr="004E13E9">
              <w:rPr>
                <w:sz w:val="18"/>
                <w:szCs w:val="18"/>
                <w:lang w:val="en-IE"/>
              </w:rPr>
              <w:t>Fish</w:t>
            </w:r>
          </w:p>
        </w:tc>
        <w:tc>
          <w:tcPr>
            <w:tcW w:w="1564" w:type="dxa"/>
            <w:vAlign w:val="center"/>
          </w:tcPr>
          <w:p w14:paraId="595EEECD" w14:textId="77777777" w:rsidR="00DF358A" w:rsidRPr="004E13E9" w:rsidRDefault="00DF358A" w:rsidP="00BB4F69">
            <w:pPr>
              <w:spacing w:after="40"/>
              <w:ind w:left="139" w:hanging="2"/>
              <w:rPr>
                <w:sz w:val="18"/>
                <w:szCs w:val="18"/>
                <w:lang w:val="en-IE"/>
              </w:rPr>
            </w:pPr>
            <w:r w:rsidRPr="004E13E9">
              <w:rPr>
                <w:sz w:val="18"/>
                <w:szCs w:val="18"/>
                <w:lang w:val="en-IE"/>
              </w:rPr>
              <w:t>ATEUMLT00003</w:t>
            </w:r>
          </w:p>
        </w:tc>
        <w:tc>
          <w:tcPr>
            <w:tcW w:w="3142" w:type="dxa"/>
            <w:gridSpan w:val="2"/>
            <w:vAlign w:val="center"/>
          </w:tcPr>
          <w:p w14:paraId="29FC0FBB" w14:textId="77777777" w:rsidR="00DF358A" w:rsidRPr="004E13E9" w:rsidRDefault="00DF358A" w:rsidP="00BB4F69">
            <w:pPr>
              <w:spacing w:after="40" w:line="207" w:lineRule="exact"/>
              <w:ind w:left="99"/>
              <w:rPr>
                <w:sz w:val="18"/>
                <w:szCs w:val="18"/>
                <w:lang w:val="pt-PT"/>
              </w:rPr>
            </w:pPr>
            <w:r w:rsidRPr="004E13E9">
              <w:rPr>
                <w:spacing w:val="-1"/>
                <w:sz w:val="18"/>
                <w:szCs w:val="18"/>
                <w:lang w:val="pt-PT"/>
              </w:rPr>
              <w:t>35.8640</w:t>
            </w:r>
            <w:r w:rsidRPr="004E13E9">
              <w:rPr>
                <w:sz w:val="18"/>
                <w:szCs w:val="18"/>
                <w:lang w:val="pt-PT"/>
              </w:rPr>
              <w:t xml:space="preserve"> (N) </w:t>
            </w:r>
            <w:r w:rsidRPr="004E13E9">
              <w:rPr>
                <w:spacing w:val="-1"/>
                <w:sz w:val="18"/>
                <w:szCs w:val="18"/>
                <w:lang w:val="pt-PT"/>
              </w:rPr>
              <w:t>14.6430</w:t>
            </w:r>
            <w:r w:rsidRPr="004E13E9">
              <w:rPr>
                <w:sz w:val="18"/>
                <w:szCs w:val="18"/>
                <w:lang w:val="pt-PT"/>
              </w:rPr>
              <w:t xml:space="preserve"> (E)</w:t>
            </w:r>
          </w:p>
          <w:p w14:paraId="45F449EE" w14:textId="77777777" w:rsidR="00DF358A" w:rsidRPr="004E13E9" w:rsidRDefault="00DF358A" w:rsidP="00BB4F69">
            <w:pPr>
              <w:spacing w:after="40" w:line="206" w:lineRule="exact"/>
              <w:ind w:left="99"/>
              <w:rPr>
                <w:sz w:val="18"/>
                <w:szCs w:val="18"/>
                <w:lang w:val="pt-PT"/>
              </w:rPr>
            </w:pPr>
            <w:r w:rsidRPr="004E13E9">
              <w:rPr>
                <w:spacing w:val="-1"/>
                <w:sz w:val="18"/>
                <w:szCs w:val="18"/>
                <w:lang w:val="pt-PT"/>
              </w:rPr>
              <w:t>35.8640</w:t>
            </w:r>
            <w:r w:rsidRPr="004E13E9">
              <w:rPr>
                <w:sz w:val="18"/>
                <w:szCs w:val="18"/>
                <w:lang w:val="pt-PT"/>
              </w:rPr>
              <w:t xml:space="preserve"> (N) </w:t>
            </w:r>
            <w:r w:rsidRPr="004E13E9">
              <w:rPr>
                <w:spacing w:val="-1"/>
                <w:sz w:val="18"/>
                <w:szCs w:val="18"/>
                <w:lang w:val="pt-PT"/>
              </w:rPr>
              <w:t>14.6600</w:t>
            </w:r>
            <w:r w:rsidRPr="004E13E9">
              <w:rPr>
                <w:sz w:val="18"/>
                <w:szCs w:val="18"/>
                <w:lang w:val="pt-PT"/>
              </w:rPr>
              <w:t xml:space="preserve"> (E)</w:t>
            </w:r>
          </w:p>
          <w:p w14:paraId="47C516DD" w14:textId="77777777" w:rsidR="00DF358A" w:rsidRPr="004E13E9" w:rsidRDefault="00DF358A" w:rsidP="00BB4F69">
            <w:pPr>
              <w:spacing w:after="40" w:line="206" w:lineRule="exact"/>
              <w:ind w:left="99"/>
              <w:rPr>
                <w:sz w:val="18"/>
                <w:szCs w:val="18"/>
                <w:lang w:val="pt-PT"/>
              </w:rPr>
            </w:pPr>
            <w:r w:rsidRPr="004E13E9">
              <w:rPr>
                <w:spacing w:val="-1"/>
                <w:sz w:val="18"/>
                <w:szCs w:val="18"/>
                <w:lang w:val="pt-PT"/>
              </w:rPr>
              <w:t>35.8496</w:t>
            </w:r>
            <w:r w:rsidRPr="004E13E9">
              <w:rPr>
                <w:sz w:val="18"/>
                <w:szCs w:val="18"/>
                <w:lang w:val="pt-PT"/>
              </w:rPr>
              <w:t xml:space="preserve"> (N) </w:t>
            </w:r>
            <w:r w:rsidRPr="004E13E9">
              <w:rPr>
                <w:spacing w:val="-1"/>
                <w:sz w:val="18"/>
                <w:szCs w:val="18"/>
                <w:lang w:val="pt-PT"/>
              </w:rPr>
              <w:t>14.6600</w:t>
            </w:r>
            <w:r w:rsidRPr="004E13E9">
              <w:rPr>
                <w:sz w:val="18"/>
                <w:szCs w:val="18"/>
                <w:lang w:val="pt-PT"/>
              </w:rPr>
              <w:t xml:space="preserve"> (E)</w:t>
            </w:r>
          </w:p>
          <w:p w14:paraId="6F0AE93C" w14:textId="77777777" w:rsidR="00DF358A" w:rsidRPr="004E13E9" w:rsidRDefault="00DF358A" w:rsidP="00BB4F69">
            <w:pPr>
              <w:spacing w:after="40" w:line="207" w:lineRule="exact"/>
              <w:ind w:left="99"/>
              <w:rPr>
                <w:sz w:val="18"/>
                <w:szCs w:val="18"/>
                <w:lang w:val="pt-PT"/>
              </w:rPr>
            </w:pPr>
            <w:r w:rsidRPr="004E13E9">
              <w:rPr>
                <w:spacing w:val="-1"/>
                <w:sz w:val="18"/>
                <w:szCs w:val="18"/>
                <w:lang w:val="pt-PT"/>
              </w:rPr>
              <w:t>35.8495</w:t>
            </w:r>
            <w:r w:rsidRPr="004E13E9">
              <w:rPr>
                <w:sz w:val="18"/>
                <w:szCs w:val="18"/>
                <w:lang w:val="pt-PT"/>
              </w:rPr>
              <w:t xml:space="preserve"> (N) </w:t>
            </w:r>
            <w:r w:rsidRPr="004E13E9">
              <w:rPr>
                <w:spacing w:val="-1"/>
                <w:sz w:val="18"/>
                <w:szCs w:val="18"/>
                <w:lang w:val="pt-PT"/>
              </w:rPr>
              <w:t>14.6430</w:t>
            </w:r>
            <w:r w:rsidRPr="004E13E9">
              <w:rPr>
                <w:sz w:val="18"/>
                <w:szCs w:val="18"/>
                <w:lang w:val="pt-PT"/>
              </w:rPr>
              <w:t xml:space="preserve"> (E)</w:t>
            </w:r>
          </w:p>
          <w:p w14:paraId="10A2918B" w14:textId="77777777" w:rsidR="00DF358A" w:rsidRPr="004E13E9" w:rsidRDefault="00DF358A" w:rsidP="00BB4F69">
            <w:pPr>
              <w:spacing w:before="2" w:after="40" w:line="207" w:lineRule="exact"/>
              <w:ind w:left="99"/>
              <w:rPr>
                <w:sz w:val="18"/>
                <w:szCs w:val="18"/>
                <w:lang w:val="pt-PT"/>
              </w:rPr>
            </w:pPr>
            <w:r w:rsidRPr="004E13E9">
              <w:rPr>
                <w:spacing w:val="-1"/>
                <w:sz w:val="18"/>
                <w:szCs w:val="18"/>
                <w:lang w:val="pt-PT"/>
              </w:rPr>
              <w:t>35.8496</w:t>
            </w:r>
            <w:r w:rsidRPr="004E13E9">
              <w:rPr>
                <w:sz w:val="18"/>
                <w:szCs w:val="18"/>
                <w:lang w:val="pt-PT"/>
              </w:rPr>
              <w:t xml:space="preserve"> (N) </w:t>
            </w:r>
            <w:r w:rsidRPr="004E13E9">
              <w:rPr>
                <w:spacing w:val="-1"/>
                <w:sz w:val="18"/>
                <w:szCs w:val="18"/>
                <w:lang w:val="pt-PT"/>
              </w:rPr>
              <w:t>14.6430</w:t>
            </w:r>
            <w:r w:rsidRPr="004E13E9">
              <w:rPr>
                <w:sz w:val="18"/>
                <w:szCs w:val="18"/>
                <w:lang w:val="pt-PT"/>
              </w:rPr>
              <w:t xml:space="preserve"> (E)</w:t>
            </w:r>
          </w:p>
          <w:p w14:paraId="47B646F4" w14:textId="77777777" w:rsidR="00DF358A" w:rsidRPr="004E13E9" w:rsidRDefault="00DF358A" w:rsidP="00BB4F69">
            <w:pPr>
              <w:spacing w:after="40" w:line="206" w:lineRule="exact"/>
              <w:ind w:left="99"/>
              <w:rPr>
                <w:sz w:val="18"/>
                <w:szCs w:val="18"/>
                <w:lang w:val="pt-PT"/>
              </w:rPr>
            </w:pPr>
            <w:r w:rsidRPr="004E13E9">
              <w:rPr>
                <w:spacing w:val="-1"/>
                <w:sz w:val="18"/>
                <w:szCs w:val="18"/>
                <w:lang w:val="pt-PT"/>
              </w:rPr>
              <w:t>35.8496</w:t>
            </w:r>
            <w:r w:rsidRPr="004E13E9">
              <w:rPr>
                <w:sz w:val="18"/>
                <w:szCs w:val="18"/>
                <w:lang w:val="pt-PT"/>
              </w:rPr>
              <w:t xml:space="preserve"> (N) </w:t>
            </w:r>
            <w:r w:rsidRPr="004E13E9">
              <w:rPr>
                <w:spacing w:val="-1"/>
                <w:sz w:val="18"/>
                <w:szCs w:val="18"/>
                <w:lang w:val="pt-PT"/>
              </w:rPr>
              <w:t>14.6600</w:t>
            </w:r>
            <w:r w:rsidRPr="004E13E9">
              <w:rPr>
                <w:sz w:val="18"/>
                <w:szCs w:val="18"/>
                <w:lang w:val="pt-PT"/>
              </w:rPr>
              <w:t xml:space="preserve"> (E)</w:t>
            </w:r>
          </w:p>
          <w:p w14:paraId="36CCE717" w14:textId="77777777" w:rsidR="00DF358A" w:rsidRPr="004E13E9" w:rsidRDefault="00DF358A" w:rsidP="00BB4F69">
            <w:pPr>
              <w:spacing w:after="40" w:line="206" w:lineRule="exact"/>
              <w:ind w:left="99"/>
              <w:rPr>
                <w:sz w:val="18"/>
                <w:szCs w:val="18"/>
                <w:lang w:val="pt-PT"/>
              </w:rPr>
            </w:pPr>
            <w:r w:rsidRPr="004E13E9">
              <w:rPr>
                <w:spacing w:val="-1"/>
                <w:sz w:val="18"/>
                <w:szCs w:val="18"/>
                <w:lang w:val="pt-PT"/>
              </w:rPr>
              <w:t>35.8352</w:t>
            </w:r>
            <w:r w:rsidRPr="004E13E9">
              <w:rPr>
                <w:sz w:val="18"/>
                <w:szCs w:val="18"/>
                <w:lang w:val="pt-PT"/>
              </w:rPr>
              <w:t xml:space="preserve"> (N) </w:t>
            </w:r>
            <w:r w:rsidRPr="004E13E9">
              <w:rPr>
                <w:spacing w:val="-1"/>
                <w:sz w:val="18"/>
                <w:szCs w:val="18"/>
                <w:lang w:val="pt-PT"/>
              </w:rPr>
              <w:t>14.6600</w:t>
            </w:r>
            <w:r w:rsidRPr="004E13E9">
              <w:rPr>
                <w:sz w:val="18"/>
                <w:szCs w:val="18"/>
                <w:lang w:val="pt-PT"/>
              </w:rPr>
              <w:t xml:space="preserve"> (E)</w:t>
            </w:r>
          </w:p>
          <w:p w14:paraId="6DCA3F22" w14:textId="77777777" w:rsidR="00DF358A" w:rsidRPr="004E13E9" w:rsidRDefault="00DF358A" w:rsidP="00BB4F69">
            <w:pPr>
              <w:spacing w:after="40" w:line="206" w:lineRule="exact"/>
              <w:ind w:left="99"/>
              <w:rPr>
                <w:sz w:val="18"/>
                <w:szCs w:val="18"/>
                <w:lang w:val="pt-PT"/>
              </w:rPr>
            </w:pPr>
            <w:r w:rsidRPr="004E13E9">
              <w:rPr>
                <w:spacing w:val="-1"/>
                <w:sz w:val="18"/>
                <w:szCs w:val="18"/>
                <w:lang w:val="pt-PT"/>
              </w:rPr>
              <w:t>35.8352</w:t>
            </w:r>
            <w:r w:rsidRPr="004E13E9">
              <w:rPr>
                <w:sz w:val="18"/>
                <w:szCs w:val="18"/>
                <w:lang w:val="pt-PT"/>
              </w:rPr>
              <w:t xml:space="preserve"> (N) </w:t>
            </w:r>
            <w:r w:rsidRPr="004E13E9">
              <w:rPr>
                <w:spacing w:val="-1"/>
                <w:sz w:val="18"/>
                <w:szCs w:val="18"/>
                <w:lang w:val="pt-PT"/>
              </w:rPr>
              <w:t>14.6430</w:t>
            </w:r>
            <w:r w:rsidRPr="004E13E9">
              <w:rPr>
                <w:sz w:val="18"/>
                <w:szCs w:val="18"/>
                <w:lang w:val="pt-PT"/>
              </w:rPr>
              <w:t xml:space="preserve"> (E)</w:t>
            </w:r>
          </w:p>
        </w:tc>
        <w:tc>
          <w:tcPr>
            <w:tcW w:w="2115" w:type="dxa"/>
            <w:vAlign w:val="center"/>
          </w:tcPr>
          <w:p w14:paraId="02E4FD22" w14:textId="77777777" w:rsidR="00DF358A" w:rsidRPr="004E13E9" w:rsidRDefault="00DF358A" w:rsidP="00BB4F69">
            <w:pPr>
              <w:pStyle w:val="TableParagraph"/>
              <w:spacing w:before="169" w:after="40"/>
              <w:jc w:val="center"/>
              <w:rPr>
                <w:rFonts w:ascii="Cambria" w:hAnsi="Cambria"/>
                <w:sz w:val="18"/>
                <w:szCs w:val="18"/>
                <w:lang w:val="en-IE"/>
              </w:rPr>
            </w:pPr>
            <w:r w:rsidRPr="004E13E9">
              <w:rPr>
                <w:rFonts w:ascii="Cambria" w:hAnsi="Cambria"/>
                <w:sz w:val="18"/>
                <w:szCs w:val="18"/>
                <w:lang w:val="en-IE"/>
              </w:rPr>
              <w:t>2.142,27</w:t>
            </w:r>
          </w:p>
        </w:tc>
      </w:tr>
      <w:tr w:rsidR="00DF358A" w:rsidRPr="004E13E9" w14:paraId="1BA3E5A3" w14:textId="77777777" w:rsidTr="00BB4F69">
        <w:trPr>
          <w:trHeight w:val="57"/>
        </w:trPr>
        <w:tc>
          <w:tcPr>
            <w:tcW w:w="1958" w:type="dxa"/>
            <w:vAlign w:val="center"/>
          </w:tcPr>
          <w:p w14:paraId="2A0E9513" w14:textId="77777777" w:rsidR="00DF358A" w:rsidRPr="004E13E9" w:rsidRDefault="00DF358A" w:rsidP="00BB4F69">
            <w:pPr>
              <w:spacing w:after="40"/>
              <w:ind w:left="102"/>
              <w:rPr>
                <w:sz w:val="18"/>
                <w:szCs w:val="18"/>
                <w:lang w:val="en-IE"/>
              </w:rPr>
            </w:pPr>
            <w:r w:rsidRPr="004E13E9">
              <w:rPr>
                <w:spacing w:val="-1"/>
                <w:sz w:val="18"/>
                <w:szCs w:val="18"/>
                <w:lang w:val="en-IE"/>
              </w:rPr>
              <w:t>Mare</w:t>
            </w:r>
            <w:r w:rsidRPr="004E13E9">
              <w:rPr>
                <w:spacing w:val="-10"/>
                <w:sz w:val="18"/>
                <w:szCs w:val="18"/>
                <w:lang w:val="en-IE"/>
              </w:rPr>
              <w:t xml:space="preserve"> </w:t>
            </w:r>
            <w:r w:rsidRPr="004E13E9">
              <w:rPr>
                <w:sz w:val="18"/>
                <w:szCs w:val="18"/>
                <w:lang w:val="en-IE"/>
              </w:rPr>
              <w:t>Blu</w:t>
            </w:r>
          </w:p>
        </w:tc>
        <w:tc>
          <w:tcPr>
            <w:tcW w:w="1564" w:type="dxa"/>
            <w:vAlign w:val="center"/>
          </w:tcPr>
          <w:p w14:paraId="0C79C0A3" w14:textId="77777777" w:rsidR="00DF358A" w:rsidRPr="004E13E9" w:rsidRDefault="00DF358A" w:rsidP="00BB4F69">
            <w:pPr>
              <w:spacing w:after="40"/>
              <w:ind w:left="139" w:hanging="2"/>
              <w:rPr>
                <w:sz w:val="18"/>
                <w:szCs w:val="18"/>
                <w:lang w:val="en-IE"/>
              </w:rPr>
            </w:pPr>
            <w:r w:rsidRPr="004E13E9">
              <w:rPr>
                <w:sz w:val="18"/>
                <w:szCs w:val="18"/>
                <w:lang w:val="en-IE"/>
              </w:rPr>
              <w:t>ATEUMLT00008</w:t>
            </w:r>
          </w:p>
        </w:tc>
        <w:tc>
          <w:tcPr>
            <w:tcW w:w="3142" w:type="dxa"/>
            <w:gridSpan w:val="2"/>
            <w:vAlign w:val="center"/>
          </w:tcPr>
          <w:p w14:paraId="35DFF2AD" w14:textId="77777777" w:rsidR="00DF358A" w:rsidRPr="004E13E9" w:rsidRDefault="00DF358A" w:rsidP="00BB4F69">
            <w:pPr>
              <w:spacing w:after="40" w:line="207" w:lineRule="exact"/>
              <w:ind w:left="99"/>
              <w:rPr>
                <w:sz w:val="18"/>
                <w:szCs w:val="18"/>
                <w:lang w:val="pt-PT"/>
              </w:rPr>
            </w:pPr>
            <w:r w:rsidRPr="004E13E9">
              <w:rPr>
                <w:spacing w:val="-1"/>
                <w:sz w:val="18"/>
                <w:szCs w:val="18"/>
                <w:lang w:val="pt-PT"/>
              </w:rPr>
              <w:t>35.8930</w:t>
            </w:r>
            <w:r w:rsidRPr="004E13E9">
              <w:rPr>
                <w:sz w:val="18"/>
                <w:szCs w:val="18"/>
                <w:lang w:val="pt-PT"/>
              </w:rPr>
              <w:t xml:space="preserve"> (N) </w:t>
            </w:r>
            <w:r w:rsidRPr="004E13E9">
              <w:rPr>
                <w:spacing w:val="-1"/>
                <w:sz w:val="18"/>
                <w:szCs w:val="18"/>
                <w:lang w:val="pt-PT"/>
              </w:rPr>
              <w:t>14.6430</w:t>
            </w:r>
            <w:r w:rsidRPr="004E13E9">
              <w:rPr>
                <w:sz w:val="18"/>
                <w:szCs w:val="18"/>
                <w:lang w:val="pt-PT"/>
              </w:rPr>
              <w:t xml:space="preserve"> (E)</w:t>
            </w:r>
          </w:p>
          <w:p w14:paraId="6B6D98EF" w14:textId="77777777" w:rsidR="00DF358A" w:rsidRPr="004E13E9" w:rsidRDefault="00DF358A" w:rsidP="00BB4F69">
            <w:pPr>
              <w:spacing w:after="40" w:line="206" w:lineRule="exact"/>
              <w:ind w:left="99"/>
              <w:rPr>
                <w:sz w:val="18"/>
                <w:szCs w:val="18"/>
                <w:lang w:val="pt-PT"/>
              </w:rPr>
            </w:pPr>
            <w:r w:rsidRPr="004E13E9">
              <w:rPr>
                <w:spacing w:val="-1"/>
                <w:sz w:val="18"/>
                <w:szCs w:val="18"/>
                <w:lang w:val="pt-PT"/>
              </w:rPr>
              <w:t>35.8930</w:t>
            </w:r>
            <w:r w:rsidRPr="004E13E9">
              <w:rPr>
                <w:sz w:val="18"/>
                <w:szCs w:val="18"/>
                <w:lang w:val="pt-PT"/>
              </w:rPr>
              <w:t xml:space="preserve"> (N) </w:t>
            </w:r>
            <w:r w:rsidRPr="004E13E9">
              <w:rPr>
                <w:spacing w:val="-1"/>
                <w:sz w:val="18"/>
                <w:szCs w:val="18"/>
                <w:lang w:val="pt-PT"/>
              </w:rPr>
              <w:t>14.6600</w:t>
            </w:r>
            <w:r w:rsidRPr="004E13E9">
              <w:rPr>
                <w:sz w:val="18"/>
                <w:szCs w:val="18"/>
                <w:lang w:val="pt-PT"/>
              </w:rPr>
              <w:t xml:space="preserve"> (E)</w:t>
            </w:r>
          </w:p>
          <w:p w14:paraId="6690EA9B" w14:textId="77777777" w:rsidR="00DF358A" w:rsidRPr="004E13E9" w:rsidRDefault="00DF358A" w:rsidP="00BB4F69">
            <w:pPr>
              <w:spacing w:after="40" w:line="206" w:lineRule="exact"/>
              <w:ind w:left="99"/>
              <w:rPr>
                <w:sz w:val="18"/>
                <w:szCs w:val="18"/>
                <w:lang w:val="pt-PT"/>
              </w:rPr>
            </w:pPr>
            <w:r w:rsidRPr="004E13E9">
              <w:rPr>
                <w:spacing w:val="-1"/>
                <w:sz w:val="18"/>
                <w:szCs w:val="18"/>
                <w:lang w:val="pt-PT"/>
              </w:rPr>
              <w:t>35.8784</w:t>
            </w:r>
            <w:r w:rsidRPr="004E13E9">
              <w:rPr>
                <w:sz w:val="18"/>
                <w:szCs w:val="18"/>
                <w:lang w:val="pt-PT"/>
              </w:rPr>
              <w:t xml:space="preserve"> (N) </w:t>
            </w:r>
            <w:r w:rsidRPr="004E13E9">
              <w:rPr>
                <w:spacing w:val="-1"/>
                <w:sz w:val="18"/>
                <w:szCs w:val="18"/>
                <w:lang w:val="pt-PT"/>
              </w:rPr>
              <w:t>14.6600</w:t>
            </w:r>
            <w:r w:rsidRPr="004E13E9">
              <w:rPr>
                <w:sz w:val="18"/>
                <w:szCs w:val="18"/>
                <w:lang w:val="pt-PT"/>
              </w:rPr>
              <w:t xml:space="preserve"> (E)</w:t>
            </w:r>
          </w:p>
          <w:p w14:paraId="608517CB" w14:textId="77777777" w:rsidR="00DF358A" w:rsidRPr="004E13E9" w:rsidRDefault="00DF358A" w:rsidP="00BB4F69">
            <w:pPr>
              <w:spacing w:after="40" w:line="207" w:lineRule="exact"/>
              <w:ind w:left="99"/>
              <w:rPr>
                <w:sz w:val="18"/>
                <w:szCs w:val="18"/>
                <w:lang w:val="pt-PT"/>
              </w:rPr>
            </w:pPr>
            <w:r w:rsidRPr="004E13E9">
              <w:rPr>
                <w:spacing w:val="-1"/>
                <w:sz w:val="18"/>
                <w:szCs w:val="18"/>
                <w:lang w:val="pt-PT"/>
              </w:rPr>
              <w:t>35.8785</w:t>
            </w:r>
            <w:r w:rsidRPr="004E13E9">
              <w:rPr>
                <w:sz w:val="18"/>
                <w:szCs w:val="18"/>
                <w:lang w:val="pt-PT"/>
              </w:rPr>
              <w:t xml:space="preserve"> (N) </w:t>
            </w:r>
            <w:r w:rsidRPr="004E13E9">
              <w:rPr>
                <w:spacing w:val="-1"/>
                <w:sz w:val="18"/>
                <w:szCs w:val="18"/>
                <w:lang w:val="pt-PT"/>
              </w:rPr>
              <w:t>14.6430</w:t>
            </w:r>
            <w:r w:rsidRPr="004E13E9">
              <w:rPr>
                <w:sz w:val="18"/>
                <w:szCs w:val="18"/>
                <w:lang w:val="pt-PT"/>
              </w:rPr>
              <w:t xml:space="preserve"> (E)</w:t>
            </w:r>
          </w:p>
          <w:p w14:paraId="6CEEBEA1" w14:textId="77777777" w:rsidR="00DF358A" w:rsidRPr="004E13E9" w:rsidRDefault="00DF358A" w:rsidP="00BB4F69">
            <w:pPr>
              <w:spacing w:before="2" w:after="40" w:line="207" w:lineRule="exact"/>
              <w:ind w:left="99"/>
              <w:rPr>
                <w:sz w:val="18"/>
                <w:szCs w:val="18"/>
                <w:lang w:val="pt-PT"/>
              </w:rPr>
            </w:pPr>
            <w:r w:rsidRPr="004E13E9">
              <w:rPr>
                <w:spacing w:val="-1"/>
                <w:sz w:val="18"/>
                <w:szCs w:val="18"/>
                <w:lang w:val="pt-PT"/>
              </w:rPr>
              <w:t>35.8930</w:t>
            </w:r>
            <w:r w:rsidRPr="004E13E9">
              <w:rPr>
                <w:sz w:val="18"/>
                <w:szCs w:val="18"/>
                <w:lang w:val="pt-PT"/>
              </w:rPr>
              <w:t xml:space="preserve"> (N) </w:t>
            </w:r>
            <w:r w:rsidRPr="004E13E9">
              <w:rPr>
                <w:spacing w:val="-1"/>
                <w:sz w:val="18"/>
                <w:szCs w:val="18"/>
                <w:lang w:val="pt-PT"/>
              </w:rPr>
              <w:t>14.6600</w:t>
            </w:r>
            <w:r w:rsidRPr="004E13E9">
              <w:rPr>
                <w:sz w:val="18"/>
                <w:szCs w:val="18"/>
                <w:lang w:val="pt-PT"/>
              </w:rPr>
              <w:t xml:space="preserve"> (E)</w:t>
            </w:r>
          </w:p>
          <w:p w14:paraId="1E14184F" w14:textId="77777777" w:rsidR="00DF358A" w:rsidRPr="004E13E9" w:rsidRDefault="00DF358A" w:rsidP="00BB4F69">
            <w:pPr>
              <w:spacing w:after="40" w:line="207" w:lineRule="exact"/>
              <w:ind w:left="99"/>
              <w:rPr>
                <w:sz w:val="18"/>
                <w:szCs w:val="18"/>
                <w:lang w:val="pt-PT"/>
              </w:rPr>
            </w:pPr>
            <w:r w:rsidRPr="004E13E9">
              <w:rPr>
                <w:spacing w:val="-1"/>
                <w:sz w:val="18"/>
                <w:szCs w:val="18"/>
                <w:lang w:val="pt-PT"/>
              </w:rPr>
              <w:t>35.8930</w:t>
            </w:r>
            <w:r w:rsidRPr="004E13E9">
              <w:rPr>
                <w:sz w:val="18"/>
                <w:szCs w:val="18"/>
                <w:lang w:val="pt-PT"/>
              </w:rPr>
              <w:t xml:space="preserve"> (N) </w:t>
            </w:r>
            <w:r w:rsidRPr="004E13E9">
              <w:rPr>
                <w:spacing w:val="-1"/>
                <w:sz w:val="18"/>
                <w:szCs w:val="18"/>
                <w:lang w:val="pt-PT"/>
              </w:rPr>
              <w:t>14.6770</w:t>
            </w:r>
            <w:r w:rsidRPr="004E13E9">
              <w:rPr>
                <w:sz w:val="18"/>
                <w:szCs w:val="18"/>
                <w:lang w:val="pt-PT"/>
              </w:rPr>
              <w:t xml:space="preserve"> (E)</w:t>
            </w:r>
          </w:p>
          <w:p w14:paraId="03F53EE2" w14:textId="77777777" w:rsidR="00DF358A" w:rsidRPr="004E13E9" w:rsidRDefault="00DF358A" w:rsidP="00BB4F69">
            <w:pPr>
              <w:spacing w:after="40" w:line="207" w:lineRule="exact"/>
              <w:ind w:left="99"/>
              <w:rPr>
                <w:sz w:val="18"/>
                <w:szCs w:val="18"/>
                <w:lang w:val="pt-PT"/>
              </w:rPr>
            </w:pPr>
            <w:r w:rsidRPr="004E13E9">
              <w:rPr>
                <w:spacing w:val="-1"/>
                <w:sz w:val="18"/>
                <w:szCs w:val="18"/>
                <w:lang w:val="pt-PT"/>
              </w:rPr>
              <w:t>35.8785</w:t>
            </w:r>
            <w:r w:rsidRPr="004E13E9">
              <w:rPr>
                <w:sz w:val="18"/>
                <w:szCs w:val="18"/>
                <w:lang w:val="pt-PT"/>
              </w:rPr>
              <w:t xml:space="preserve"> (N) </w:t>
            </w:r>
            <w:r w:rsidRPr="004E13E9">
              <w:rPr>
                <w:spacing w:val="-1"/>
                <w:sz w:val="18"/>
                <w:szCs w:val="18"/>
                <w:lang w:val="pt-PT"/>
              </w:rPr>
              <w:t>14.6770</w:t>
            </w:r>
            <w:r w:rsidRPr="004E13E9">
              <w:rPr>
                <w:sz w:val="18"/>
                <w:szCs w:val="18"/>
                <w:lang w:val="pt-PT"/>
              </w:rPr>
              <w:t xml:space="preserve"> (E)</w:t>
            </w:r>
          </w:p>
          <w:p w14:paraId="727A0FB5" w14:textId="77777777" w:rsidR="00DF358A" w:rsidRPr="004E13E9" w:rsidRDefault="00DF358A" w:rsidP="00BB4F69">
            <w:pPr>
              <w:spacing w:after="40" w:line="207" w:lineRule="exact"/>
              <w:ind w:left="99"/>
              <w:rPr>
                <w:sz w:val="18"/>
                <w:szCs w:val="18"/>
                <w:lang w:val="en-IE"/>
              </w:rPr>
            </w:pPr>
            <w:r w:rsidRPr="004E13E9">
              <w:rPr>
                <w:spacing w:val="-1"/>
                <w:sz w:val="18"/>
                <w:szCs w:val="18"/>
                <w:lang w:val="en-IE"/>
              </w:rPr>
              <w:t>35.8784</w:t>
            </w:r>
            <w:r w:rsidRPr="004E13E9">
              <w:rPr>
                <w:sz w:val="18"/>
                <w:szCs w:val="18"/>
                <w:lang w:val="en-IE"/>
              </w:rPr>
              <w:t xml:space="preserve"> (N) </w:t>
            </w:r>
            <w:r w:rsidRPr="004E13E9">
              <w:rPr>
                <w:spacing w:val="-1"/>
                <w:sz w:val="18"/>
                <w:szCs w:val="18"/>
                <w:lang w:val="en-IE"/>
              </w:rPr>
              <w:t>14.6600</w:t>
            </w:r>
            <w:r w:rsidRPr="004E13E9">
              <w:rPr>
                <w:sz w:val="18"/>
                <w:szCs w:val="18"/>
                <w:lang w:val="en-IE"/>
              </w:rPr>
              <w:t xml:space="preserve"> (E)</w:t>
            </w:r>
          </w:p>
        </w:tc>
        <w:tc>
          <w:tcPr>
            <w:tcW w:w="2115" w:type="dxa"/>
            <w:vAlign w:val="center"/>
          </w:tcPr>
          <w:p w14:paraId="4FB98804" w14:textId="77777777" w:rsidR="00DF358A" w:rsidRPr="004E13E9" w:rsidRDefault="00DF358A" w:rsidP="00BB4F69">
            <w:pPr>
              <w:pStyle w:val="TableParagraph"/>
              <w:spacing w:before="169" w:after="40"/>
              <w:jc w:val="center"/>
              <w:rPr>
                <w:rFonts w:ascii="Cambria" w:hAnsi="Cambria"/>
                <w:sz w:val="18"/>
                <w:szCs w:val="18"/>
                <w:lang w:val="en-IE"/>
              </w:rPr>
            </w:pPr>
            <w:r w:rsidRPr="004E13E9">
              <w:rPr>
                <w:rFonts w:ascii="Cambria" w:hAnsi="Cambria"/>
                <w:sz w:val="18"/>
                <w:szCs w:val="18"/>
                <w:lang w:val="en-IE"/>
              </w:rPr>
              <w:t>2.142,927</w:t>
            </w:r>
          </w:p>
        </w:tc>
      </w:tr>
      <w:tr w:rsidR="00DF358A" w:rsidRPr="004E13E9" w14:paraId="5444BA01" w14:textId="77777777" w:rsidTr="00BB4F69">
        <w:trPr>
          <w:trHeight w:val="57"/>
        </w:trPr>
        <w:tc>
          <w:tcPr>
            <w:tcW w:w="1958" w:type="dxa"/>
            <w:vAlign w:val="center"/>
          </w:tcPr>
          <w:p w14:paraId="79AD4C11" w14:textId="77777777" w:rsidR="00DF358A" w:rsidRPr="004E13E9" w:rsidRDefault="00DF358A" w:rsidP="00BB4F69">
            <w:pPr>
              <w:spacing w:after="40"/>
              <w:ind w:left="102"/>
              <w:rPr>
                <w:sz w:val="18"/>
                <w:szCs w:val="18"/>
                <w:lang w:val="en-IE"/>
              </w:rPr>
            </w:pPr>
            <w:r w:rsidRPr="004E13E9">
              <w:rPr>
                <w:sz w:val="18"/>
                <w:szCs w:val="18"/>
                <w:lang w:val="en-IE"/>
              </w:rPr>
              <w:t>MML</w:t>
            </w:r>
          </w:p>
        </w:tc>
        <w:tc>
          <w:tcPr>
            <w:tcW w:w="1564" w:type="dxa"/>
            <w:vAlign w:val="center"/>
          </w:tcPr>
          <w:p w14:paraId="084C2EAD" w14:textId="77777777" w:rsidR="00DF358A" w:rsidRPr="004E13E9" w:rsidRDefault="00DF358A" w:rsidP="00BB4F69">
            <w:pPr>
              <w:spacing w:after="40"/>
              <w:ind w:left="139" w:hanging="2"/>
              <w:rPr>
                <w:sz w:val="18"/>
                <w:szCs w:val="18"/>
                <w:lang w:val="en-IE"/>
              </w:rPr>
            </w:pPr>
            <w:r w:rsidRPr="004E13E9">
              <w:rPr>
                <w:sz w:val="18"/>
                <w:szCs w:val="18"/>
                <w:lang w:val="en-IE"/>
              </w:rPr>
              <w:t>ATEUMLT00002</w:t>
            </w:r>
          </w:p>
        </w:tc>
        <w:tc>
          <w:tcPr>
            <w:tcW w:w="3142" w:type="dxa"/>
            <w:gridSpan w:val="2"/>
            <w:vAlign w:val="center"/>
          </w:tcPr>
          <w:p w14:paraId="6DA7581F" w14:textId="77777777" w:rsidR="00DF358A" w:rsidRPr="004E13E9" w:rsidRDefault="00DF358A" w:rsidP="00BB4F69">
            <w:pPr>
              <w:spacing w:after="40" w:line="205" w:lineRule="exact"/>
              <w:ind w:left="99"/>
              <w:rPr>
                <w:sz w:val="18"/>
                <w:szCs w:val="18"/>
                <w:lang w:val="en-IE"/>
              </w:rPr>
            </w:pPr>
            <w:r w:rsidRPr="004E13E9">
              <w:rPr>
                <w:spacing w:val="-1"/>
                <w:sz w:val="18"/>
                <w:szCs w:val="18"/>
                <w:lang w:val="en-IE"/>
              </w:rPr>
              <w:t>35.58.33</w:t>
            </w:r>
            <w:r w:rsidRPr="004E13E9">
              <w:rPr>
                <w:sz w:val="18"/>
                <w:szCs w:val="18"/>
                <w:lang w:val="en-IE"/>
              </w:rPr>
              <w:t xml:space="preserve"> (N)</w:t>
            </w:r>
            <w:r w:rsidRPr="004E13E9">
              <w:rPr>
                <w:spacing w:val="-2"/>
                <w:sz w:val="18"/>
                <w:szCs w:val="18"/>
                <w:lang w:val="en-IE"/>
              </w:rPr>
              <w:t xml:space="preserve"> </w:t>
            </w:r>
            <w:r w:rsidRPr="004E13E9">
              <w:rPr>
                <w:spacing w:val="-1"/>
                <w:sz w:val="18"/>
                <w:szCs w:val="18"/>
                <w:lang w:val="en-IE"/>
              </w:rPr>
              <w:t>14.24.48</w:t>
            </w:r>
            <w:r w:rsidRPr="004E13E9">
              <w:rPr>
                <w:sz w:val="18"/>
                <w:szCs w:val="18"/>
                <w:lang w:val="en-IE"/>
              </w:rPr>
              <w:t xml:space="preserve"> (E)</w:t>
            </w:r>
          </w:p>
          <w:p w14:paraId="47EC7CB8" w14:textId="77777777" w:rsidR="00DF358A" w:rsidRPr="004E13E9" w:rsidRDefault="00DF358A" w:rsidP="00BB4F69">
            <w:pPr>
              <w:spacing w:after="40" w:line="206" w:lineRule="exact"/>
              <w:ind w:left="99"/>
              <w:rPr>
                <w:sz w:val="18"/>
                <w:szCs w:val="18"/>
                <w:lang w:val="en-IE"/>
              </w:rPr>
            </w:pPr>
            <w:r w:rsidRPr="004E13E9">
              <w:rPr>
                <w:spacing w:val="-1"/>
                <w:sz w:val="18"/>
                <w:szCs w:val="18"/>
                <w:lang w:val="en-IE"/>
              </w:rPr>
              <w:t>35.58.45</w:t>
            </w:r>
            <w:r w:rsidRPr="004E13E9">
              <w:rPr>
                <w:sz w:val="18"/>
                <w:szCs w:val="18"/>
                <w:lang w:val="en-IE"/>
              </w:rPr>
              <w:t xml:space="preserve"> (N)</w:t>
            </w:r>
            <w:r w:rsidRPr="004E13E9">
              <w:rPr>
                <w:spacing w:val="-2"/>
                <w:sz w:val="18"/>
                <w:szCs w:val="18"/>
                <w:lang w:val="en-IE"/>
              </w:rPr>
              <w:t xml:space="preserve"> </w:t>
            </w:r>
            <w:r w:rsidRPr="004E13E9">
              <w:rPr>
                <w:spacing w:val="-1"/>
                <w:sz w:val="18"/>
                <w:szCs w:val="18"/>
                <w:lang w:val="en-IE"/>
              </w:rPr>
              <w:t>14.24.54</w:t>
            </w:r>
            <w:r w:rsidRPr="004E13E9">
              <w:rPr>
                <w:sz w:val="18"/>
                <w:szCs w:val="18"/>
                <w:lang w:val="en-IE"/>
              </w:rPr>
              <w:t xml:space="preserve"> (E)</w:t>
            </w:r>
          </w:p>
          <w:p w14:paraId="56798891" w14:textId="77777777" w:rsidR="00DF358A" w:rsidRPr="004E13E9" w:rsidRDefault="00DF358A" w:rsidP="00BB4F69">
            <w:pPr>
              <w:spacing w:after="40" w:line="206" w:lineRule="exact"/>
              <w:ind w:left="99"/>
              <w:rPr>
                <w:sz w:val="18"/>
                <w:szCs w:val="18"/>
                <w:lang w:val="en-IE"/>
              </w:rPr>
            </w:pPr>
            <w:r w:rsidRPr="004E13E9">
              <w:rPr>
                <w:spacing w:val="-1"/>
                <w:sz w:val="18"/>
                <w:szCs w:val="18"/>
                <w:lang w:val="en-IE"/>
              </w:rPr>
              <w:t>35.58.34</w:t>
            </w:r>
            <w:r w:rsidRPr="004E13E9">
              <w:rPr>
                <w:sz w:val="18"/>
                <w:szCs w:val="18"/>
                <w:lang w:val="en-IE"/>
              </w:rPr>
              <w:t xml:space="preserve"> (N)</w:t>
            </w:r>
            <w:r w:rsidRPr="004E13E9">
              <w:rPr>
                <w:spacing w:val="-2"/>
                <w:sz w:val="18"/>
                <w:szCs w:val="18"/>
                <w:lang w:val="en-IE"/>
              </w:rPr>
              <w:t xml:space="preserve"> </w:t>
            </w:r>
            <w:r w:rsidRPr="004E13E9">
              <w:rPr>
                <w:spacing w:val="-1"/>
                <w:sz w:val="18"/>
                <w:szCs w:val="18"/>
                <w:lang w:val="en-IE"/>
              </w:rPr>
              <w:t>14.25.43</w:t>
            </w:r>
            <w:r w:rsidRPr="004E13E9">
              <w:rPr>
                <w:sz w:val="18"/>
                <w:szCs w:val="18"/>
                <w:lang w:val="en-IE"/>
              </w:rPr>
              <w:t xml:space="preserve"> (E)</w:t>
            </w:r>
          </w:p>
          <w:p w14:paraId="0F7907D5" w14:textId="77777777" w:rsidR="00DF358A" w:rsidRPr="004E13E9" w:rsidRDefault="00DF358A" w:rsidP="00BB4F69">
            <w:pPr>
              <w:spacing w:after="40" w:line="207" w:lineRule="exact"/>
              <w:ind w:left="99"/>
              <w:rPr>
                <w:sz w:val="18"/>
                <w:szCs w:val="18"/>
                <w:lang w:val="en-IE"/>
              </w:rPr>
            </w:pPr>
            <w:r w:rsidRPr="004E13E9">
              <w:rPr>
                <w:spacing w:val="-1"/>
                <w:sz w:val="18"/>
                <w:szCs w:val="18"/>
                <w:lang w:val="en-IE"/>
              </w:rPr>
              <w:t>35.58.19</w:t>
            </w:r>
            <w:r w:rsidRPr="004E13E9">
              <w:rPr>
                <w:sz w:val="18"/>
                <w:szCs w:val="18"/>
                <w:lang w:val="en-IE"/>
              </w:rPr>
              <w:t xml:space="preserve"> (N)</w:t>
            </w:r>
            <w:r w:rsidRPr="004E13E9">
              <w:rPr>
                <w:spacing w:val="-2"/>
                <w:sz w:val="18"/>
                <w:szCs w:val="18"/>
                <w:lang w:val="en-IE"/>
              </w:rPr>
              <w:t xml:space="preserve"> </w:t>
            </w:r>
            <w:r w:rsidRPr="004E13E9">
              <w:rPr>
                <w:spacing w:val="-1"/>
                <w:sz w:val="18"/>
                <w:szCs w:val="18"/>
                <w:lang w:val="en-IE"/>
              </w:rPr>
              <w:t>14.25.38</w:t>
            </w:r>
            <w:r w:rsidRPr="004E13E9">
              <w:rPr>
                <w:sz w:val="18"/>
                <w:szCs w:val="18"/>
                <w:lang w:val="en-IE"/>
              </w:rPr>
              <w:t xml:space="preserve"> (E)</w:t>
            </w:r>
          </w:p>
        </w:tc>
        <w:tc>
          <w:tcPr>
            <w:tcW w:w="2115" w:type="dxa"/>
            <w:vAlign w:val="center"/>
          </w:tcPr>
          <w:p w14:paraId="312E3219" w14:textId="77777777" w:rsidR="00DF358A" w:rsidRPr="004E13E9" w:rsidRDefault="00DF358A" w:rsidP="00BB4F69">
            <w:pPr>
              <w:pStyle w:val="TableParagraph"/>
              <w:spacing w:before="169" w:after="40"/>
              <w:jc w:val="center"/>
              <w:rPr>
                <w:rFonts w:ascii="Cambria" w:hAnsi="Cambria"/>
                <w:sz w:val="18"/>
                <w:szCs w:val="18"/>
                <w:lang w:val="en-IE"/>
              </w:rPr>
            </w:pPr>
            <w:r w:rsidRPr="004E13E9">
              <w:rPr>
                <w:rFonts w:ascii="Cambria" w:hAnsi="Cambria"/>
                <w:sz w:val="18"/>
                <w:szCs w:val="18"/>
                <w:lang w:val="en-IE"/>
              </w:rPr>
              <w:t>1.142,219</w:t>
            </w:r>
          </w:p>
        </w:tc>
      </w:tr>
      <w:tr w:rsidR="00DF358A" w:rsidRPr="004E13E9" w14:paraId="75B3787A" w14:textId="77777777" w:rsidTr="00BB4F69">
        <w:trPr>
          <w:trHeight w:val="57"/>
        </w:trPr>
        <w:tc>
          <w:tcPr>
            <w:tcW w:w="1958" w:type="dxa"/>
            <w:vAlign w:val="center"/>
          </w:tcPr>
          <w:p w14:paraId="6BA098CB" w14:textId="77777777" w:rsidR="00DF358A" w:rsidRPr="004E13E9" w:rsidRDefault="00DF358A" w:rsidP="00BB4F69">
            <w:pPr>
              <w:spacing w:after="40"/>
              <w:ind w:left="102"/>
              <w:rPr>
                <w:sz w:val="18"/>
                <w:szCs w:val="18"/>
                <w:lang w:val="en-IE"/>
              </w:rPr>
            </w:pPr>
            <w:r w:rsidRPr="004E13E9">
              <w:rPr>
                <w:spacing w:val="-1"/>
                <w:sz w:val="18"/>
                <w:szCs w:val="18"/>
                <w:lang w:val="en-IE"/>
              </w:rPr>
              <w:t>AJD</w:t>
            </w:r>
          </w:p>
        </w:tc>
        <w:tc>
          <w:tcPr>
            <w:tcW w:w="1564" w:type="dxa"/>
            <w:vAlign w:val="center"/>
          </w:tcPr>
          <w:p w14:paraId="0B129B2F" w14:textId="77777777" w:rsidR="00DF358A" w:rsidRPr="004E13E9" w:rsidRDefault="00DF358A" w:rsidP="00BB4F69">
            <w:pPr>
              <w:spacing w:after="40"/>
              <w:ind w:left="139" w:hanging="2"/>
              <w:rPr>
                <w:sz w:val="18"/>
                <w:szCs w:val="18"/>
                <w:lang w:val="en-IE"/>
              </w:rPr>
            </w:pPr>
            <w:r w:rsidRPr="004E13E9">
              <w:rPr>
                <w:sz w:val="18"/>
                <w:szCs w:val="18"/>
                <w:lang w:val="en-IE"/>
              </w:rPr>
              <w:t>ATEUMLT00001</w:t>
            </w:r>
          </w:p>
        </w:tc>
        <w:tc>
          <w:tcPr>
            <w:tcW w:w="3142" w:type="dxa"/>
            <w:gridSpan w:val="2"/>
            <w:vAlign w:val="center"/>
          </w:tcPr>
          <w:p w14:paraId="63D8223A" w14:textId="77777777" w:rsidR="00DF358A" w:rsidRPr="004E13E9" w:rsidRDefault="00DF358A" w:rsidP="00BB4F69">
            <w:pPr>
              <w:spacing w:after="40" w:line="205" w:lineRule="exact"/>
              <w:ind w:left="99"/>
              <w:rPr>
                <w:sz w:val="18"/>
                <w:szCs w:val="18"/>
                <w:lang w:val="en-IE"/>
              </w:rPr>
            </w:pPr>
            <w:r w:rsidRPr="004E13E9">
              <w:rPr>
                <w:spacing w:val="-1"/>
                <w:sz w:val="18"/>
                <w:szCs w:val="18"/>
                <w:lang w:val="en-IE"/>
              </w:rPr>
              <w:t>35.58.33</w:t>
            </w:r>
            <w:r w:rsidRPr="004E13E9">
              <w:rPr>
                <w:sz w:val="18"/>
                <w:szCs w:val="18"/>
                <w:lang w:val="en-IE"/>
              </w:rPr>
              <w:t xml:space="preserve"> (N)</w:t>
            </w:r>
            <w:r w:rsidRPr="004E13E9">
              <w:rPr>
                <w:spacing w:val="-2"/>
                <w:sz w:val="18"/>
                <w:szCs w:val="18"/>
                <w:lang w:val="en-IE"/>
              </w:rPr>
              <w:t xml:space="preserve"> </w:t>
            </w:r>
            <w:r w:rsidRPr="004E13E9">
              <w:rPr>
                <w:spacing w:val="-1"/>
                <w:sz w:val="18"/>
                <w:szCs w:val="18"/>
                <w:lang w:val="en-IE"/>
              </w:rPr>
              <w:t>14.24.48</w:t>
            </w:r>
            <w:r w:rsidRPr="004E13E9">
              <w:rPr>
                <w:sz w:val="18"/>
                <w:szCs w:val="18"/>
                <w:lang w:val="en-IE"/>
              </w:rPr>
              <w:t xml:space="preserve"> (E)</w:t>
            </w:r>
          </w:p>
          <w:p w14:paraId="75A60833" w14:textId="77777777" w:rsidR="00DF358A" w:rsidRPr="004E13E9" w:rsidRDefault="00DF358A" w:rsidP="00BB4F69">
            <w:pPr>
              <w:spacing w:after="40" w:line="206" w:lineRule="exact"/>
              <w:ind w:left="99"/>
              <w:rPr>
                <w:sz w:val="18"/>
                <w:szCs w:val="18"/>
                <w:lang w:val="en-IE"/>
              </w:rPr>
            </w:pPr>
            <w:r w:rsidRPr="004E13E9">
              <w:rPr>
                <w:spacing w:val="-1"/>
                <w:sz w:val="18"/>
                <w:szCs w:val="18"/>
                <w:lang w:val="en-IE"/>
              </w:rPr>
              <w:t>35.58.45</w:t>
            </w:r>
            <w:r w:rsidRPr="004E13E9">
              <w:rPr>
                <w:sz w:val="18"/>
                <w:szCs w:val="18"/>
                <w:lang w:val="en-IE"/>
              </w:rPr>
              <w:t xml:space="preserve"> (N)</w:t>
            </w:r>
            <w:r w:rsidRPr="004E13E9">
              <w:rPr>
                <w:spacing w:val="-1"/>
                <w:sz w:val="18"/>
                <w:szCs w:val="18"/>
                <w:lang w:val="en-IE"/>
              </w:rPr>
              <w:t xml:space="preserve"> 14.24.54</w:t>
            </w:r>
            <w:r w:rsidRPr="004E13E9">
              <w:rPr>
                <w:sz w:val="18"/>
                <w:szCs w:val="18"/>
                <w:lang w:val="en-IE"/>
              </w:rPr>
              <w:t xml:space="preserve"> (E)</w:t>
            </w:r>
          </w:p>
          <w:p w14:paraId="7D957367" w14:textId="77777777" w:rsidR="00DF358A" w:rsidRPr="004E13E9" w:rsidRDefault="00DF358A" w:rsidP="00BB4F69">
            <w:pPr>
              <w:spacing w:after="40" w:line="207" w:lineRule="exact"/>
              <w:ind w:left="99"/>
              <w:rPr>
                <w:sz w:val="18"/>
                <w:szCs w:val="18"/>
                <w:lang w:val="en-IE"/>
              </w:rPr>
            </w:pPr>
            <w:r w:rsidRPr="004E13E9">
              <w:rPr>
                <w:spacing w:val="-1"/>
                <w:sz w:val="18"/>
                <w:szCs w:val="18"/>
                <w:lang w:val="en-IE"/>
              </w:rPr>
              <w:t>35.58.34</w:t>
            </w:r>
            <w:r w:rsidRPr="004E13E9">
              <w:rPr>
                <w:sz w:val="18"/>
                <w:szCs w:val="18"/>
                <w:lang w:val="en-IE"/>
              </w:rPr>
              <w:t xml:space="preserve"> (N)</w:t>
            </w:r>
            <w:r w:rsidRPr="004E13E9">
              <w:rPr>
                <w:spacing w:val="-2"/>
                <w:sz w:val="18"/>
                <w:szCs w:val="18"/>
                <w:lang w:val="en-IE"/>
              </w:rPr>
              <w:t xml:space="preserve"> </w:t>
            </w:r>
            <w:r w:rsidRPr="004E13E9">
              <w:rPr>
                <w:spacing w:val="-1"/>
                <w:sz w:val="18"/>
                <w:szCs w:val="18"/>
                <w:lang w:val="en-IE"/>
              </w:rPr>
              <w:t>14.25.43</w:t>
            </w:r>
            <w:r w:rsidRPr="004E13E9">
              <w:rPr>
                <w:sz w:val="18"/>
                <w:szCs w:val="18"/>
                <w:lang w:val="en-IE"/>
              </w:rPr>
              <w:t xml:space="preserve"> (E)</w:t>
            </w:r>
          </w:p>
          <w:p w14:paraId="69791F64" w14:textId="77777777" w:rsidR="00DF358A" w:rsidRPr="004E13E9" w:rsidRDefault="00DF358A" w:rsidP="00BB4F69">
            <w:pPr>
              <w:spacing w:before="2" w:after="40" w:line="206" w:lineRule="exact"/>
              <w:ind w:left="99"/>
              <w:rPr>
                <w:sz w:val="18"/>
                <w:szCs w:val="18"/>
                <w:lang w:val="en-IE"/>
              </w:rPr>
            </w:pPr>
            <w:r w:rsidRPr="004E13E9">
              <w:rPr>
                <w:spacing w:val="-1"/>
                <w:sz w:val="18"/>
                <w:szCs w:val="18"/>
                <w:lang w:val="en-IE"/>
              </w:rPr>
              <w:t>35.58.19</w:t>
            </w:r>
            <w:r w:rsidRPr="004E13E9">
              <w:rPr>
                <w:sz w:val="18"/>
                <w:szCs w:val="18"/>
                <w:lang w:val="en-IE"/>
              </w:rPr>
              <w:t xml:space="preserve"> (N)</w:t>
            </w:r>
            <w:r w:rsidRPr="004E13E9">
              <w:rPr>
                <w:spacing w:val="-2"/>
                <w:sz w:val="18"/>
                <w:szCs w:val="18"/>
                <w:lang w:val="en-IE"/>
              </w:rPr>
              <w:t xml:space="preserve"> </w:t>
            </w:r>
            <w:r w:rsidRPr="004E13E9">
              <w:rPr>
                <w:spacing w:val="-1"/>
                <w:sz w:val="18"/>
                <w:szCs w:val="18"/>
                <w:lang w:val="en-IE"/>
              </w:rPr>
              <w:t>14.25.38</w:t>
            </w:r>
            <w:r w:rsidRPr="004E13E9">
              <w:rPr>
                <w:sz w:val="18"/>
                <w:szCs w:val="18"/>
                <w:lang w:val="en-IE"/>
              </w:rPr>
              <w:t xml:space="preserve"> (E)</w:t>
            </w:r>
          </w:p>
        </w:tc>
        <w:tc>
          <w:tcPr>
            <w:tcW w:w="2115" w:type="dxa"/>
            <w:vAlign w:val="center"/>
          </w:tcPr>
          <w:p w14:paraId="66B62B99" w14:textId="77777777" w:rsidR="00DF358A" w:rsidRPr="004E13E9" w:rsidRDefault="00DF358A" w:rsidP="00BB4F69">
            <w:pPr>
              <w:spacing w:after="40"/>
              <w:jc w:val="center"/>
              <w:rPr>
                <w:sz w:val="18"/>
                <w:szCs w:val="18"/>
                <w:lang w:val="en-IE"/>
              </w:rPr>
            </w:pPr>
            <w:r w:rsidRPr="004E13E9">
              <w:rPr>
                <w:sz w:val="18"/>
                <w:szCs w:val="18"/>
              </w:rPr>
              <w:t>1.215,</w:t>
            </w:r>
            <w:r w:rsidRPr="004E13E9">
              <w:rPr>
                <w:sz w:val="18"/>
                <w:szCs w:val="18"/>
                <w:lang w:val="en-IE"/>
              </w:rPr>
              <w:t>00</w:t>
            </w:r>
          </w:p>
        </w:tc>
      </w:tr>
      <w:tr w:rsidR="00DF358A" w:rsidRPr="004E13E9" w14:paraId="2775AF05" w14:textId="77777777" w:rsidTr="00BB4F69">
        <w:trPr>
          <w:trHeight w:val="57"/>
        </w:trPr>
        <w:tc>
          <w:tcPr>
            <w:tcW w:w="1958" w:type="dxa"/>
            <w:vAlign w:val="center"/>
          </w:tcPr>
          <w:p w14:paraId="0121CFBE" w14:textId="77777777" w:rsidR="00DF358A" w:rsidRPr="004E13E9" w:rsidRDefault="00DF358A" w:rsidP="00BB4F69">
            <w:pPr>
              <w:spacing w:after="40"/>
              <w:ind w:left="102"/>
              <w:rPr>
                <w:sz w:val="18"/>
                <w:szCs w:val="18"/>
              </w:rPr>
            </w:pPr>
            <w:proofErr w:type="spellStart"/>
            <w:r w:rsidRPr="004E13E9">
              <w:rPr>
                <w:sz w:val="18"/>
                <w:szCs w:val="18"/>
              </w:rPr>
              <w:t>Tuniraise</w:t>
            </w:r>
            <w:proofErr w:type="spellEnd"/>
          </w:p>
        </w:tc>
        <w:tc>
          <w:tcPr>
            <w:tcW w:w="1564" w:type="dxa"/>
            <w:vAlign w:val="center"/>
          </w:tcPr>
          <w:p w14:paraId="092B6366" w14:textId="77777777" w:rsidR="00DF358A" w:rsidRPr="004E13E9" w:rsidRDefault="00DF358A" w:rsidP="00BB4F69">
            <w:pPr>
              <w:spacing w:after="40"/>
              <w:ind w:left="139" w:hanging="2"/>
              <w:rPr>
                <w:sz w:val="18"/>
                <w:szCs w:val="18"/>
                <w:lang w:val="en-IE"/>
              </w:rPr>
            </w:pPr>
            <w:r w:rsidRPr="004E13E9">
              <w:rPr>
                <w:sz w:val="18"/>
                <w:szCs w:val="18"/>
                <w:lang w:val="en-IE"/>
              </w:rPr>
              <w:t xml:space="preserve"> ATEU1PRT00002</w:t>
            </w:r>
          </w:p>
        </w:tc>
        <w:tc>
          <w:tcPr>
            <w:tcW w:w="3142" w:type="dxa"/>
            <w:gridSpan w:val="2"/>
            <w:vAlign w:val="center"/>
          </w:tcPr>
          <w:p w14:paraId="6090FC72" w14:textId="77777777" w:rsidR="00DF358A" w:rsidRPr="004E13E9" w:rsidRDefault="00DF358A" w:rsidP="00BB4F69">
            <w:pPr>
              <w:spacing w:after="40" w:line="205" w:lineRule="exact"/>
              <w:ind w:left="99"/>
              <w:rPr>
                <w:sz w:val="18"/>
                <w:szCs w:val="18"/>
                <w:lang w:val="pt-PT"/>
              </w:rPr>
            </w:pPr>
            <w:r w:rsidRPr="004E13E9">
              <w:rPr>
                <w:sz w:val="18"/>
                <w:szCs w:val="18"/>
                <w:lang w:val="pt-PT"/>
              </w:rPr>
              <w:t>N 37º</w:t>
            </w:r>
            <w:r w:rsidRPr="004E13E9">
              <w:rPr>
                <w:spacing w:val="-1"/>
                <w:sz w:val="18"/>
                <w:szCs w:val="18"/>
                <w:lang w:val="pt-PT"/>
              </w:rPr>
              <w:t xml:space="preserve"> 01.006’</w:t>
            </w:r>
            <w:r w:rsidRPr="004E13E9">
              <w:rPr>
                <w:sz w:val="18"/>
                <w:szCs w:val="18"/>
                <w:lang w:val="pt-PT"/>
              </w:rPr>
              <w:t xml:space="preserve">  </w:t>
            </w:r>
            <w:r w:rsidRPr="004E13E9">
              <w:rPr>
                <w:spacing w:val="25"/>
                <w:sz w:val="18"/>
                <w:szCs w:val="18"/>
                <w:lang w:val="pt-PT"/>
              </w:rPr>
              <w:t xml:space="preserve"> </w:t>
            </w:r>
            <w:r w:rsidRPr="004E13E9">
              <w:rPr>
                <w:sz w:val="18"/>
                <w:szCs w:val="18"/>
                <w:lang w:val="pt-PT"/>
              </w:rPr>
              <w:t>W</w:t>
            </w:r>
            <w:r w:rsidRPr="004E13E9">
              <w:rPr>
                <w:spacing w:val="3"/>
                <w:sz w:val="18"/>
                <w:szCs w:val="18"/>
                <w:lang w:val="pt-PT"/>
              </w:rPr>
              <w:t xml:space="preserve"> </w:t>
            </w:r>
            <w:r w:rsidRPr="004E13E9">
              <w:rPr>
                <w:sz w:val="18"/>
                <w:szCs w:val="18"/>
                <w:lang w:val="pt-PT"/>
              </w:rPr>
              <w:t>07º</w:t>
            </w:r>
            <w:r w:rsidRPr="004E13E9">
              <w:rPr>
                <w:spacing w:val="-1"/>
                <w:sz w:val="18"/>
                <w:szCs w:val="18"/>
                <w:lang w:val="pt-PT"/>
              </w:rPr>
              <w:t xml:space="preserve"> 42.615’</w:t>
            </w:r>
          </w:p>
          <w:p w14:paraId="35319631" w14:textId="77777777" w:rsidR="00DF358A" w:rsidRPr="004E13E9" w:rsidRDefault="00DF358A" w:rsidP="00BB4F69">
            <w:pPr>
              <w:spacing w:after="40" w:line="207" w:lineRule="exact"/>
              <w:ind w:left="99"/>
              <w:rPr>
                <w:sz w:val="18"/>
                <w:szCs w:val="18"/>
                <w:lang w:val="pt-PT"/>
              </w:rPr>
            </w:pPr>
            <w:r w:rsidRPr="004E13E9">
              <w:rPr>
                <w:sz w:val="18"/>
                <w:szCs w:val="18"/>
                <w:lang w:val="pt-PT"/>
              </w:rPr>
              <w:t>N 37º</w:t>
            </w:r>
            <w:r w:rsidRPr="004E13E9">
              <w:rPr>
                <w:spacing w:val="-1"/>
                <w:sz w:val="18"/>
                <w:szCs w:val="18"/>
                <w:lang w:val="pt-PT"/>
              </w:rPr>
              <w:t xml:space="preserve"> 00.975’</w:t>
            </w:r>
            <w:r w:rsidRPr="004E13E9">
              <w:rPr>
                <w:sz w:val="18"/>
                <w:szCs w:val="18"/>
                <w:lang w:val="pt-PT"/>
              </w:rPr>
              <w:t xml:space="preserve">  </w:t>
            </w:r>
            <w:r w:rsidRPr="004E13E9">
              <w:rPr>
                <w:spacing w:val="25"/>
                <w:sz w:val="18"/>
                <w:szCs w:val="18"/>
                <w:lang w:val="pt-PT"/>
              </w:rPr>
              <w:t xml:space="preserve"> </w:t>
            </w:r>
            <w:r w:rsidRPr="004E13E9">
              <w:rPr>
                <w:sz w:val="18"/>
                <w:szCs w:val="18"/>
                <w:lang w:val="pt-PT"/>
              </w:rPr>
              <w:t>W</w:t>
            </w:r>
            <w:r w:rsidRPr="004E13E9">
              <w:rPr>
                <w:spacing w:val="3"/>
                <w:sz w:val="18"/>
                <w:szCs w:val="18"/>
                <w:lang w:val="pt-PT"/>
              </w:rPr>
              <w:t xml:space="preserve"> </w:t>
            </w:r>
            <w:r w:rsidRPr="004E13E9">
              <w:rPr>
                <w:sz w:val="18"/>
                <w:szCs w:val="18"/>
                <w:lang w:val="pt-PT"/>
              </w:rPr>
              <w:t>07º</w:t>
            </w:r>
            <w:r w:rsidRPr="004E13E9">
              <w:rPr>
                <w:spacing w:val="-1"/>
                <w:sz w:val="18"/>
                <w:szCs w:val="18"/>
                <w:lang w:val="pt-PT"/>
              </w:rPr>
              <w:t xml:space="preserve"> 42.607’</w:t>
            </w:r>
          </w:p>
          <w:p w14:paraId="4A5B9FD4" w14:textId="77777777" w:rsidR="00DF358A" w:rsidRPr="004E13E9" w:rsidRDefault="00DF358A" w:rsidP="00BB4F69">
            <w:pPr>
              <w:spacing w:before="2" w:after="40" w:line="207" w:lineRule="exact"/>
              <w:ind w:left="99"/>
              <w:rPr>
                <w:sz w:val="18"/>
                <w:szCs w:val="18"/>
                <w:lang w:val="pt-PT"/>
              </w:rPr>
            </w:pPr>
            <w:r w:rsidRPr="004E13E9">
              <w:rPr>
                <w:sz w:val="18"/>
                <w:szCs w:val="18"/>
                <w:lang w:val="pt-PT"/>
              </w:rPr>
              <w:t>N 37º</w:t>
            </w:r>
            <w:r w:rsidRPr="004E13E9">
              <w:rPr>
                <w:spacing w:val="-1"/>
                <w:sz w:val="18"/>
                <w:szCs w:val="18"/>
                <w:lang w:val="pt-PT"/>
              </w:rPr>
              <w:t xml:space="preserve"> 01.048’</w:t>
            </w:r>
            <w:r w:rsidRPr="004E13E9">
              <w:rPr>
                <w:sz w:val="18"/>
                <w:szCs w:val="18"/>
                <w:lang w:val="pt-PT"/>
              </w:rPr>
              <w:t xml:space="preserve">  </w:t>
            </w:r>
            <w:r w:rsidRPr="004E13E9">
              <w:rPr>
                <w:spacing w:val="25"/>
                <w:sz w:val="18"/>
                <w:szCs w:val="18"/>
                <w:lang w:val="pt-PT"/>
              </w:rPr>
              <w:t xml:space="preserve"> </w:t>
            </w:r>
            <w:r w:rsidRPr="004E13E9">
              <w:rPr>
                <w:sz w:val="18"/>
                <w:szCs w:val="18"/>
                <w:lang w:val="pt-PT"/>
              </w:rPr>
              <w:t>W</w:t>
            </w:r>
            <w:r w:rsidRPr="004E13E9">
              <w:rPr>
                <w:spacing w:val="3"/>
                <w:sz w:val="18"/>
                <w:szCs w:val="18"/>
                <w:lang w:val="pt-PT"/>
              </w:rPr>
              <w:t xml:space="preserve"> </w:t>
            </w:r>
            <w:r w:rsidRPr="004E13E9">
              <w:rPr>
                <w:sz w:val="18"/>
                <w:szCs w:val="18"/>
                <w:lang w:val="pt-PT"/>
              </w:rPr>
              <w:t>07º</w:t>
            </w:r>
            <w:r w:rsidRPr="004E13E9">
              <w:rPr>
                <w:spacing w:val="-1"/>
                <w:sz w:val="18"/>
                <w:szCs w:val="18"/>
                <w:lang w:val="pt-PT"/>
              </w:rPr>
              <w:t xml:space="preserve"> 42.500’</w:t>
            </w:r>
          </w:p>
          <w:p w14:paraId="380F738A" w14:textId="77777777" w:rsidR="00DF358A" w:rsidRPr="004E13E9" w:rsidRDefault="00DF358A" w:rsidP="00BB4F69">
            <w:pPr>
              <w:spacing w:after="40" w:line="206" w:lineRule="exact"/>
              <w:ind w:left="99"/>
              <w:rPr>
                <w:sz w:val="18"/>
                <w:szCs w:val="18"/>
                <w:lang w:val="pt-PT"/>
              </w:rPr>
            </w:pPr>
            <w:r w:rsidRPr="004E13E9">
              <w:rPr>
                <w:sz w:val="18"/>
                <w:szCs w:val="18"/>
                <w:lang w:val="pt-PT"/>
              </w:rPr>
              <w:t>N 37º</w:t>
            </w:r>
            <w:r w:rsidRPr="004E13E9">
              <w:rPr>
                <w:spacing w:val="-1"/>
                <w:sz w:val="18"/>
                <w:szCs w:val="18"/>
                <w:lang w:val="pt-PT"/>
              </w:rPr>
              <w:t xml:space="preserve"> 01.024’</w:t>
            </w:r>
            <w:r w:rsidRPr="004E13E9">
              <w:rPr>
                <w:sz w:val="18"/>
                <w:szCs w:val="18"/>
                <w:lang w:val="pt-PT"/>
              </w:rPr>
              <w:t xml:space="preserve">  </w:t>
            </w:r>
            <w:r w:rsidRPr="004E13E9">
              <w:rPr>
                <w:spacing w:val="25"/>
                <w:sz w:val="18"/>
                <w:szCs w:val="18"/>
                <w:lang w:val="pt-PT"/>
              </w:rPr>
              <w:t xml:space="preserve"> </w:t>
            </w:r>
            <w:r w:rsidRPr="004E13E9">
              <w:rPr>
                <w:sz w:val="18"/>
                <w:szCs w:val="18"/>
                <w:lang w:val="pt-PT"/>
              </w:rPr>
              <w:t>W</w:t>
            </w:r>
            <w:r w:rsidRPr="004E13E9">
              <w:rPr>
                <w:spacing w:val="3"/>
                <w:sz w:val="18"/>
                <w:szCs w:val="18"/>
                <w:lang w:val="pt-PT"/>
              </w:rPr>
              <w:t xml:space="preserve"> </w:t>
            </w:r>
            <w:r w:rsidRPr="004E13E9">
              <w:rPr>
                <w:sz w:val="18"/>
                <w:szCs w:val="18"/>
                <w:lang w:val="pt-PT"/>
              </w:rPr>
              <w:t>07º</w:t>
            </w:r>
            <w:r w:rsidRPr="004E13E9">
              <w:rPr>
                <w:spacing w:val="-1"/>
                <w:sz w:val="18"/>
                <w:szCs w:val="18"/>
                <w:lang w:val="pt-PT"/>
              </w:rPr>
              <w:t xml:space="preserve"> 42.485’</w:t>
            </w:r>
          </w:p>
        </w:tc>
        <w:tc>
          <w:tcPr>
            <w:tcW w:w="2115" w:type="dxa"/>
            <w:vAlign w:val="center"/>
          </w:tcPr>
          <w:p w14:paraId="43D041B6" w14:textId="77777777" w:rsidR="00DF358A" w:rsidRPr="004E13E9" w:rsidRDefault="00DF358A" w:rsidP="00BB4F69">
            <w:pPr>
              <w:spacing w:after="40"/>
              <w:jc w:val="center"/>
              <w:rPr>
                <w:sz w:val="18"/>
                <w:szCs w:val="18"/>
                <w:lang w:val="en-IE"/>
              </w:rPr>
            </w:pPr>
            <w:r w:rsidRPr="004E13E9">
              <w:rPr>
                <w:sz w:val="18"/>
                <w:szCs w:val="18"/>
              </w:rPr>
              <w:t>313</w:t>
            </w:r>
            <w:r w:rsidRPr="004E13E9">
              <w:rPr>
                <w:sz w:val="18"/>
                <w:szCs w:val="18"/>
                <w:lang w:val="en-IE"/>
              </w:rPr>
              <w:t>,00</w:t>
            </w:r>
          </w:p>
        </w:tc>
      </w:tr>
      <w:tr w:rsidR="00DF358A" w:rsidRPr="004E13E9" w14:paraId="2A11CF64" w14:textId="77777777" w:rsidTr="00BB4F69">
        <w:trPr>
          <w:trHeight w:val="57"/>
        </w:trPr>
        <w:tc>
          <w:tcPr>
            <w:tcW w:w="1958" w:type="dxa"/>
            <w:vAlign w:val="center"/>
          </w:tcPr>
          <w:p w14:paraId="68C82CBA" w14:textId="77777777" w:rsidR="00DF358A" w:rsidRPr="004E13E9" w:rsidRDefault="00DF358A" w:rsidP="00BB4F69">
            <w:pPr>
              <w:spacing w:after="40"/>
              <w:ind w:left="102"/>
              <w:rPr>
                <w:sz w:val="18"/>
                <w:szCs w:val="18"/>
                <w:lang w:val="en-IE"/>
              </w:rPr>
            </w:pPr>
            <w:r w:rsidRPr="004E13E9">
              <w:rPr>
                <w:sz w:val="18"/>
                <w:szCs w:val="18"/>
                <w:lang w:val="en-IE"/>
              </w:rPr>
              <w:t>Barril</w:t>
            </w:r>
          </w:p>
        </w:tc>
        <w:tc>
          <w:tcPr>
            <w:tcW w:w="1564" w:type="dxa"/>
            <w:vAlign w:val="center"/>
          </w:tcPr>
          <w:p w14:paraId="6268DA92" w14:textId="77777777" w:rsidR="00DF358A" w:rsidRPr="004E13E9" w:rsidRDefault="00DF358A" w:rsidP="00BB4F69">
            <w:pPr>
              <w:spacing w:after="40"/>
              <w:ind w:left="139" w:hanging="2"/>
              <w:rPr>
                <w:sz w:val="18"/>
                <w:szCs w:val="18"/>
                <w:lang w:val="en-IE"/>
              </w:rPr>
            </w:pPr>
            <w:r w:rsidRPr="004E13E9">
              <w:rPr>
                <w:sz w:val="18"/>
                <w:szCs w:val="18"/>
                <w:lang w:val="en-IE"/>
              </w:rPr>
              <w:t>ATEU1PRT00003</w:t>
            </w:r>
          </w:p>
        </w:tc>
        <w:tc>
          <w:tcPr>
            <w:tcW w:w="3142" w:type="dxa"/>
            <w:gridSpan w:val="2"/>
            <w:tcBorders>
              <w:top w:val="single" w:sz="4" w:space="0" w:color="auto"/>
              <w:left w:val="single" w:sz="4" w:space="0" w:color="auto"/>
              <w:bottom w:val="single" w:sz="4" w:space="0" w:color="auto"/>
              <w:right w:val="single" w:sz="4" w:space="0" w:color="auto"/>
            </w:tcBorders>
            <w:vAlign w:val="center"/>
          </w:tcPr>
          <w:p w14:paraId="6B960EAB" w14:textId="77777777" w:rsidR="00DF358A" w:rsidRPr="004E13E9" w:rsidRDefault="00DF358A" w:rsidP="00BB4F69">
            <w:pPr>
              <w:spacing w:after="40" w:line="205" w:lineRule="exact"/>
              <w:ind w:left="102"/>
              <w:rPr>
                <w:sz w:val="18"/>
                <w:szCs w:val="18"/>
                <w:lang w:val="pt-PT"/>
              </w:rPr>
            </w:pPr>
            <w:r w:rsidRPr="004E13E9">
              <w:rPr>
                <w:sz w:val="18"/>
                <w:szCs w:val="18"/>
                <w:lang w:val="pt-PT"/>
              </w:rPr>
              <w:t xml:space="preserve">Latitude N 37°02’21.4’’; </w:t>
            </w:r>
          </w:p>
          <w:p w14:paraId="76BDAB15" w14:textId="77777777" w:rsidR="00DF358A" w:rsidRPr="004E13E9" w:rsidRDefault="00DF358A" w:rsidP="00BB4F69">
            <w:pPr>
              <w:spacing w:after="40" w:line="205" w:lineRule="exact"/>
              <w:ind w:left="102"/>
              <w:rPr>
                <w:sz w:val="18"/>
                <w:szCs w:val="18"/>
                <w:lang w:val="pt-PT"/>
              </w:rPr>
            </w:pPr>
            <w:r w:rsidRPr="004E13E9">
              <w:rPr>
                <w:sz w:val="18"/>
                <w:szCs w:val="18"/>
                <w:lang w:val="pt-PT"/>
              </w:rPr>
              <w:t xml:space="preserve">Longitude W 07°39’51.4’’ </w:t>
            </w:r>
          </w:p>
        </w:tc>
        <w:tc>
          <w:tcPr>
            <w:tcW w:w="2115" w:type="dxa"/>
            <w:vAlign w:val="center"/>
          </w:tcPr>
          <w:p w14:paraId="6559334C" w14:textId="77777777" w:rsidR="00DF358A" w:rsidRPr="004E13E9" w:rsidRDefault="00DF358A" w:rsidP="00BB4F69">
            <w:pPr>
              <w:spacing w:after="40"/>
              <w:jc w:val="center"/>
              <w:rPr>
                <w:sz w:val="18"/>
                <w:szCs w:val="18"/>
                <w:lang w:val="en-IE"/>
              </w:rPr>
            </w:pPr>
            <w:r w:rsidRPr="004E13E9">
              <w:rPr>
                <w:sz w:val="18"/>
                <w:szCs w:val="18"/>
              </w:rPr>
              <w:t>313</w:t>
            </w:r>
            <w:r w:rsidRPr="004E13E9">
              <w:rPr>
                <w:sz w:val="18"/>
                <w:szCs w:val="18"/>
                <w:lang w:val="en-IE"/>
              </w:rPr>
              <w:t>,00</w:t>
            </w:r>
          </w:p>
        </w:tc>
      </w:tr>
      <w:tr w:rsidR="00DF358A" w:rsidRPr="004E13E9" w14:paraId="7EEE673A" w14:textId="77777777" w:rsidTr="00BB4F69">
        <w:trPr>
          <w:trHeight w:val="57"/>
        </w:trPr>
        <w:tc>
          <w:tcPr>
            <w:tcW w:w="1958" w:type="dxa"/>
            <w:vAlign w:val="center"/>
          </w:tcPr>
          <w:p w14:paraId="084DEE92" w14:textId="77777777" w:rsidR="00DF358A" w:rsidRPr="004E13E9" w:rsidRDefault="00DF358A" w:rsidP="00BB4F69">
            <w:pPr>
              <w:tabs>
                <w:tab w:val="left" w:pos="600"/>
              </w:tabs>
              <w:spacing w:after="40"/>
              <w:ind w:left="102" w:right="101"/>
              <w:rPr>
                <w:sz w:val="18"/>
                <w:szCs w:val="18"/>
              </w:rPr>
            </w:pPr>
            <w:r w:rsidRPr="004E13E9">
              <w:rPr>
                <w:w w:val="95"/>
                <w:sz w:val="18"/>
                <w:szCs w:val="18"/>
              </w:rPr>
              <w:t xml:space="preserve">La </w:t>
            </w:r>
            <w:r w:rsidRPr="004E13E9">
              <w:rPr>
                <w:spacing w:val="-1"/>
                <w:sz w:val="18"/>
                <w:szCs w:val="18"/>
              </w:rPr>
              <w:t>Favorita</w:t>
            </w:r>
            <w:r w:rsidRPr="004E13E9">
              <w:rPr>
                <w:spacing w:val="27"/>
                <w:w w:val="99"/>
                <w:sz w:val="18"/>
                <w:szCs w:val="18"/>
              </w:rPr>
              <w:t xml:space="preserve"> </w:t>
            </w:r>
            <w:proofErr w:type="spellStart"/>
            <w:r w:rsidRPr="004E13E9">
              <w:rPr>
                <w:spacing w:val="-1"/>
                <w:sz w:val="18"/>
                <w:szCs w:val="18"/>
              </w:rPr>
              <w:t>Snc</w:t>
            </w:r>
            <w:proofErr w:type="spellEnd"/>
            <w:r w:rsidRPr="004E13E9">
              <w:rPr>
                <w:spacing w:val="-1"/>
                <w:sz w:val="18"/>
                <w:szCs w:val="18"/>
              </w:rPr>
              <w:t>.</w:t>
            </w:r>
            <w:r w:rsidRPr="004E13E9">
              <w:rPr>
                <w:rStyle w:val="FootnoteReference"/>
                <w:spacing w:val="-1"/>
                <w:sz w:val="18"/>
                <w:szCs w:val="18"/>
              </w:rPr>
              <w:t xml:space="preserve"> </w:t>
            </w:r>
          </w:p>
        </w:tc>
        <w:tc>
          <w:tcPr>
            <w:tcW w:w="1564" w:type="dxa"/>
            <w:vAlign w:val="center"/>
          </w:tcPr>
          <w:p w14:paraId="30C61634" w14:textId="77777777" w:rsidR="00DF358A" w:rsidRPr="004E13E9" w:rsidRDefault="00DF358A" w:rsidP="00BB4F69">
            <w:pPr>
              <w:spacing w:after="40"/>
              <w:ind w:left="139" w:hanging="2"/>
              <w:rPr>
                <w:sz w:val="18"/>
                <w:szCs w:val="18"/>
                <w:lang w:val="en-IE"/>
              </w:rPr>
            </w:pPr>
            <w:r w:rsidRPr="004E13E9">
              <w:rPr>
                <w:sz w:val="18"/>
                <w:szCs w:val="18"/>
                <w:lang w:val="en-IE"/>
              </w:rPr>
              <w:t>ATEU1ITA00015</w:t>
            </w:r>
          </w:p>
        </w:tc>
        <w:tc>
          <w:tcPr>
            <w:tcW w:w="3142" w:type="dxa"/>
            <w:gridSpan w:val="2"/>
            <w:vAlign w:val="center"/>
          </w:tcPr>
          <w:p w14:paraId="3A4EA773" w14:textId="77777777" w:rsidR="00DF358A" w:rsidRPr="004E13E9" w:rsidRDefault="00DF358A" w:rsidP="00BB4F69">
            <w:pPr>
              <w:spacing w:after="40"/>
              <w:rPr>
                <w:sz w:val="18"/>
                <w:szCs w:val="18"/>
                <w:lang w:val="fi-FI"/>
              </w:rPr>
            </w:pPr>
            <w:r w:rsidRPr="004E13E9">
              <w:rPr>
                <w:sz w:val="18"/>
                <w:szCs w:val="18"/>
                <w:lang w:val="fi-FI"/>
              </w:rPr>
              <w:t>PUNTO 1: LAT: 40°47'10.2209" N  LONG: 14°19'57.2993" E</w:t>
            </w:r>
          </w:p>
          <w:p w14:paraId="767AC974" w14:textId="77777777" w:rsidR="00DF358A" w:rsidRPr="004E13E9" w:rsidRDefault="00DF358A" w:rsidP="00BB4F69">
            <w:pPr>
              <w:spacing w:after="40"/>
              <w:rPr>
                <w:sz w:val="18"/>
                <w:szCs w:val="18"/>
                <w:lang w:val="fi-FI"/>
              </w:rPr>
            </w:pPr>
            <w:r w:rsidRPr="004E13E9">
              <w:rPr>
                <w:sz w:val="18"/>
                <w:szCs w:val="18"/>
                <w:lang w:val="fi-FI"/>
              </w:rPr>
              <w:t>PUNTO 2: LAT: 40°47'14.7861" N  LONG: 14°20'03.9480" E</w:t>
            </w:r>
          </w:p>
          <w:p w14:paraId="5F8F6FCF" w14:textId="77777777" w:rsidR="00DF358A" w:rsidRPr="004E13E9" w:rsidRDefault="00DF358A" w:rsidP="00BB4F69">
            <w:pPr>
              <w:spacing w:after="40"/>
              <w:rPr>
                <w:sz w:val="18"/>
                <w:szCs w:val="18"/>
                <w:lang w:val="fi-FI"/>
              </w:rPr>
            </w:pPr>
            <w:r w:rsidRPr="004E13E9">
              <w:rPr>
                <w:sz w:val="18"/>
                <w:szCs w:val="18"/>
                <w:lang w:val="fi-FI"/>
              </w:rPr>
              <w:t>PUNTO 3: LAT: 40°47'19.8395" N  LONG: 14°19'57.9417" E</w:t>
            </w:r>
          </w:p>
          <w:p w14:paraId="1CC13E07" w14:textId="77777777" w:rsidR="00DF358A" w:rsidRPr="004E13E9" w:rsidRDefault="00DF358A" w:rsidP="00BB4F69">
            <w:pPr>
              <w:spacing w:after="40"/>
              <w:rPr>
                <w:sz w:val="18"/>
                <w:szCs w:val="18"/>
                <w:lang w:val="fi-FI"/>
              </w:rPr>
            </w:pPr>
            <w:r w:rsidRPr="004E13E9">
              <w:rPr>
                <w:sz w:val="18"/>
                <w:szCs w:val="18"/>
                <w:lang w:val="fi-FI"/>
              </w:rPr>
              <w:t>PUNTO 4: LAT: 40°47'15.2744" N  LONG: 14°19'51.2930" E</w:t>
            </w:r>
          </w:p>
        </w:tc>
        <w:tc>
          <w:tcPr>
            <w:tcW w:w="2115" w:type="dxa"/>
            <w:vAlign w:val="center"/>
          </w:tcPr>
          <w:p w14:paraId="3C75669D" w14:textId="77777777" w:rsidR="00DF358A" w:rsidRPr="004E13E9" w:rsidRDefault="00DF358A" w:rsidP="00BB4F69">
            <w:pPr>
              <w:spacing w:after="40"/>
              <w:jc w:val="center"/>
              <w:rPr>
                <w:sz w:val="18"/>
                <w:szCs w:val="18"/>
                <w:lang w:val="en-IE"/>
              </w:rPr>
            </w:pPr>
            <w:r w:rsidRPr="004E13E9">
              <w:rPr>
                <w:sz w:val="18"/>
                <w:szCs w:val="18"/>
              </w:rPr>
              <w:t>0</w:t>
            </w:r>
          </w:p>
        </w:tc>
      </w:tr>
      <w:tr w:rsidR="00DF358A" w:rsidRPr="004E13E9" w14:paraId="024E6A8C" w14:textId="77777777" w:rsidTr="00BB4F69">
        <w:trPr>
          <w:trHeight w:val="57"/>
        </w:trPr>
        <w:tc>
          <w:tcPr>
            <w:tcW w:w="1958" w:type="dxa"/>
            <w:tcBorders>
              <w:top w:val="single" w:sz="4" w:space="0" w:color="auto"/>
              <w:left w:val="single" w:sz="4" w:space="0" w:color="auto"/>
              <w:bottom w:val="single" w:sz="4" w:space="0" w:color="auto"/>
              <w:right w:val="single" w:sz="4" w:space="0" w:color="auto"/>
            </w:tcBorders>
            <w:vAlign w:val="center"/>
          </w:tcPr>
          <w:p w14:paraId="1AFB263E" w14:textId="77777777" w:rsidR="00DF358A" w:rsidRPr="004E13E9" w:rsidRDefault="00DF358A" w:rsidP="00BB4F69">
            <w:pPr>
              <w:spacing w:after="40"/>
              <w:rPr>
                <w:sz w:val="18"/>
                <w:szCs w:val="18"/>
                <w:lang w:val="it-IT"/>
              </w:rPr>
            </w:pPr>
            <w:proofErr w:type="spellStart"/>
            <w:r w:rsidRPr="004E13E9">
              <w:rPr>
                <w:color w:val="000000" w:themeColor="text1"/>
                <w:sz w:val="18"/>
                <w:szCs w:val="18"/>
                <w:lang w:val="it-IT"/>
              </w:rPr>
              <w:t>Orizon</w:t>
            </w:r>
            <w:proofErr w:type="spellEnd"/>
            <w:r w:rsidRPr="004E13E9">
              <w:rPr>
                <w:color w:val="000000" w:themeColor="text1"/>
                <w:sz w:val="18"/>
                <w:szCs w:val="18"/>
                <w:lang w:val="it-IT"/>
              </w:rPr>
              <w:t xml:space="preserve"> </w:t>
            </w:r>
            <w:proofErr w:type="spellStart"/>
            <w:r w:rsidRPr="004E13E9">
              <w:rPr>
                <w:color w:val="000000" w:themeColor="text1"/>
                <w:sz w:val="18"/>
                <w:szCs w:val="18"/>
                <w:lang w:val="it-IT"/>
              </w:rPr>
              <w:t>Maritimas</w:t>
            </w:r>
            <w:proofErr w:type="spellEnd"/>
            <w:r w:rsidRPr="004E13E9">
              <w:rPr>
                <w:color w:val="000000" w:themeColor="text1"/>
                <w:sz w:val="18"/>
                <w:szCs w:val="18"/>
                <w:lang w:val="it-IT"/>
              </w:rPr>
              <w:t xml:space="preserve"> Italia SARL</w:t>
            </w:r>
          </w:p>
        </w:tc>
        <w:tc>
          <w:tcPr>
            <w:tcW w:w="1564" w:type="dxa"/>
            <w:tcBorders>
              <w:top w:val="single" w:sz="4" w:space="0" w:color="auto"/>
              <w:left w:val="nil"/>
              <w:bottom w:val="single" w:sz="4" w:space="0" w:color="auto"/>
              <w:right w:val="single" w:sz="4" w:space="0" w:color="auto"/>
            </w:tcBorders>
            <w:vAlign w:val="center"/>
          </w:tcPr>
          <w:p w14:paraId="2FF6C9E7" w14:textId="77777777" w:rsidR="00DF358A" w:rsidRPr="004E13E9" w:rsidRDefault="00DF358A" w:rsidP="00BB4F69">
            <w:pPr>
              <w:spacing w:after="40"/>
              <w:rPr>
                <w:sz w:val="18"/>
                <w:szCs w:val="18"/>
              </w:rPr>
            </w:pPr>
            <w:r w:rsidRPr="004E13E9">
              <w:rPr>
                <w:color w:val="000000" w:themeColor="text1"/>
                <w:sz w:val="18"/>
                <w:szCs w:val="18"/>
              </w:rPr>
              <w:t>ATEU1ITA00020</w:t>
            </w:r>
          </w:p>
          <w:p w14:paraId="29AC714B" w14:textId="77777777" w:rsidR="00DF358A" w:rsidRPr="004E13E9" w:rsidRDefault="00DF358A" w:rsidP="00BB4F69">
            <w:pPr>
              <w:spacing w:after="40"/>
              <w:rPr>
                <w:sz w:val="18"/>
                <w:szCs w:val="18"/>
              </w:rPr>
            </w:pPr>
          </w:p>
        </w:tc>
        <w:tc>
          <w:tcPr>
            <w:tcW w:w="3142" w:type="dxa"/>
            <w:gridSpan w:val="2"/>
            <w:tcBorders>
              <w:top w:val="single" w:sz="4" w:space="0" w:color="auto"/>
              <w:left w:val="single" w:sz="4" w:space="0" w:color="auto"/>
              <w:bottom w:val="single" w:sz="4" w:space="0" w:color="auto"/>
              <w:right w:val="single" w:sz="4" w:space="0" w:color="auto"/>
            </w:tcBorders>
            <w:vAlign w:val="center"/>
          </w:tcPr>
          <w:p w14:paraId="578323EF" w14:textId="77777777" w:rsidR="00DF358A" w:rsidRPr="004E13E9" w:rsidRDefault="00DF358A" w:rsidP="00BB4F69">
            <w:pPr>
              <w:spacing w:after="40"/>
              <w:rPr>
                <w:color w:val="000000" w:themeColor="text1"/>
                <w:sz w:val="18"/>
                <w:szCs w:val="18"/>
                <w:lang w:val="it-IT"/>
              </w:rPr>
            </w:pPr>
            <w:r w:rsidRPr="004E13E9">
              <w:rPr>
                <w:color w:val="000000" w:themeColor="text1"/>
                <w:sz w:val="18"/>
                <w:szCs w:val="18"/>
                <w:lang w:val="it-IT"/>
              </w:rPr>
              <w:t xml:space="preserve">PUNTO 1: LAT: 37°55’52’’ N – </w:t>
            </w:r>
          </w:p>
          <w:p w14:paraId="5D0671EC" w14:textId="77777777" w:rsidR="00DF358A" w:rsidRPr="004E13E9" w:rsidRDefault="00DF358A" w:rsidP="00BB4F69">
            <w:pPr>
              <w:spacing w:after="40"/>
              <w:rPr>
                <w:color w:val="000000" w:themeColor="text1"/>
                <w:sz w:val="18"/>
                <w:szCs w:val="18"/>
                <w:lang w:val="it-IT"/>
              </w:rPr>
            </w:pPr>
            <w:r w:rsidRPr="004E13E9">
              <w:rPr>
                <w:color w:val="000000" w:themeColor="text1"/>
                <w:sz w:val="18"/>
                <w:szCs w:val="18"/>
                <w:lang w:val="it-IT"/>
              </w:rPr>
              <w:t>LONG: 15°42’57’’ E</w:t>
            </w:r>
          </w:p>
          <w:p w14:paraId="5B4D4C5D" w14:textId="77777777" w:rsidR="00DF358A" w:rsidRPr="004E13E9" w:rsidRDefault="00DF358A" w:rsidP="00BB4F69">
            <w:pPr>
              <w:spacing w:after="40"/>
              <w:rPr>
                <w:color w:val="000000" w:themeColor="text1"/>
                <w:sz w:val="18"/>
                <w:szCs w:val="18"/>
                <w:lang w:val="it-IT"/>
              </w:rPr>
            </w:pPr>
            <w:r w:rsidRPr="004E13E9">
              <w:rPr>
                <w:color w:val="000000" w:themeColor="text1"/>
                <w:sz w:val="18"/>
                <w:szCs w:val="18"/>
                <w:lang w:val="it-IT"/>
              </w:rPr>
              <w:t xml:space="preserve">PUNTO 2: LAT: 37°55’48’’ N – </w:t>
            </w:r>
          </w:p>
          <w:p w14:paraId="3F777FA0" w14:textId="77777777" w:rsidR="00DF358A" w:rsidRPr="004E13E9" w:rsidRDefault="00DF358A" w:rsidP="00BB4F69">
            <w:pPr>
              <w:spacing w:after="40"/>
              <w:rPr>
                <w:color w:val="000000" w:themeColor="text1"/>
                <w:sz w:val="18"/>
                <w:szCs w:val="18"/>
                <w:lang w:val="it-IT"/>
              </w:rPr>
            </w:pPr>
            <w:r w:rsidRPr="004E13E9">
              <w:rPr>
                <w:color w:val="000000" w:themeColor="text1"/>
                <w:sz w:val="18"/>
                <w:szCs w:val="18"/>
                <w:lang w:val="it-IT"/>
              </w:rPr>
              <w:t>LONG: 15°43’07’’ E</w:t>
            </w:r>
          </w:p>
          <w:p w14:paraId="6667EFEB" w14:textId="77777777" w:rsidR="00DF358A" w:rsidRPr="004E13E9" w:rsidRDefault="00DF358A" w:rsidP="00BB4F69">
            <w:pPr>
              <w:spacing w:after="40"/>
              <w:rPr>
                <w:color w:val="000000" w:themeColor="text1"/>
                <w:sz w:val="18"/>
                <w:szCs w:val="18"/>
                <w:lang w:val="it-IT"/>
              </w:rPr>
            </w:pPr>
            <w:r w:rsidRPr="004E13E9">
              <w:rPr>
                <w:color w:val="000000" w:themeColor="text1"/>
                <w:sz w:val="18"/>
                <w:szCs w:val="18"/>
                <w:lang w:val="it-IT"/>
              </w:rPr>
              <w:t xml:space="preserve">PUNTO 3: LAT: 37°55’43’’ N – </w:t>
            </w:r>
          </w:p>
          <w:p w14:paraId="3C6BFF8F" w14:textId="77777777" w:rsidR="00DF358A" w:rsidRPr="004E13E9" w:rsidRDefault="00DF358A" w:rsidP="00BB4F69">
            <w:pPr>
              <w:spacing w:after="40"/>
              <w:rPr>
                <w:color w:val="000000" w:themeColor="text1"/>
                <w:sz w:val="18"/>
                <w:szCs w:val="18"/>
                <w:lang w:val="it-IT"/>
              </w:rPr>
            </w:pPr>
            <w:r w:rsidRPr="004E13E9">
              <w:rPr>
                <w:color w:val="000000" w:themeColor="text1"/>
                <w:sz w:val="18"/>
                <w:szCs w:val="18"/>
                <w:lang w:val="it-IT"/>
              </w:rPr>
              <w:t>LONG: 15°43’03’’ E</w:t>
            </w:r>
          </w:p>
          <w:p w14:paraId="1637EE17" w14:textId="77777777" w:rsidR="00DF358A" w:rsidRPr="004E13E9" w:rsidRDefault="00DF358A" w:rsidP="00BB4F69">
            <w:pPr>
              <w:spacing w:after="40"/>
              <w:rPr>
                <w:color w:val="000000" w:themeColor="text1"/>
                <w:sz w:val="18"/>
                <w:szCs w:val="18"/>
                <w:lang w:val="it-IT"/>
              </w:rPr>
            </w:pPr>
            <w:r w:rsidRPr="004E13E9">
              <w:rPr>
                <w:color w:val="000000" w:themeColor="text1"/>
                <w:sz w:val="18"/>
                <w:szCs w:val="18"/>
                <w:lang w:val="it-IT"/>
              </w:rPr>
              <w:t xml:space="preserve">PUNTO 4: LAT: 37°55’47’’ N – </w:t>
            </w:r>
          </w:p>
          <w:p w14:paraId="7AB5935C" w14:textId="77777777" w:rsidR="00DF358A" w:rsidRPr="004E13E9" w:rsidRDefault="00DF358A" w:rsidP="00BB4F69">
            <w:pPr>
              <w:spacing w:after="40"/>
              <w:rPr>
                <w:sz w:val="18"/>
                <w:szCs w:val="18"/>
                <w:lang w:val="it-IT"/>
              </w:rPr>
            </w:pPr>
            <w:r w:rsidRPr="004E13E9">
              <w:rPr>
                <w:color w:val="000000" w:themeColor="text1"/>
                <w:sz w:val="18"/>
                <w:szCs w:val="18"/>
                <w:lang w:val="it-IT"/>
              </w:rPr>
              <w:t>LONG: 15°42’54’’ E</w:t>
            </w:r>
          </w:p>
        </w:tc>
        <w:tc>
          <w:tcPr>
            <w:tcW w:w="2115" w:type="dxa"/>
            <w:tcBorders>
              <w:top w:val="nil"/>
              <w:left w:val="single" w:sz="4" w:space="0" w:color="auto"/>
              <w:right w:val="single" w:sz="4" w:space="0" w:color="auto"/>
            </w:tcBorders>
            <w:vAlign w:val="center"/>
          </w:tcPr>
          <w:p w14:paraId="22E33AAB" w14:textId="77777777" w:rsidR="00DF358A" w:rsidRPr="004E13E9" w:rsidRDefault="00DF358A" w:rsidP="00BB4F69">
            <w:pPr>
              <w:spacing w:after="40"/>
              <w:jc w:val="center"/>
              <w:rPr>
                <w:sz w:val="18"/>
                <w:szCs w:val="18"/>
              </w:rPr>
            </w:pPr>
            <w:r w:rsidRPr="004E13E9">
              <w:rPr>
                <w:sz w:val="18"/>
                <w:szCs w:val="18"/>
              </w:rPr>
              <w:t>1000,00</w:t>
            </w:r>
          </w:p>
        </w:tc>
      </w:tr>
      <w:tr w:rsidR="00DF358A" w:rsidRPr="004E13E9" w14:paraId="538F97C3" w14:textId="77777777" w:rsidTr="00BB4F69">
        <w:trPr>
          <w:trHeight w:val="57"/>
        </w:trPr>
        <w:tc>
          <w:tcPr>
            <w:tcW w:w="1958" w:type="dxa"/>
            <w:tcBorders>
              <w:top w:val="single" w:sz="4" w:space="0" w:color="auto"/>
              <w:left w:val="single" w:sz="4" w:space="0" w:color="auto"/>
              <w:bottom w:val="single" w:sz="4" w:space="0" w:color="auto"/>
              <w:right w:val="single" w:sz="4" w:space="0" w:color="auto"/>
            </w:tcBorders>
            <w:vAlign w:val="center"/>
          </w:tcPr>
          <w:p w14:paraId="155A27B9" w14:textId="77777777" w:rsidR="00DF358A" w:rsidRPr="004E13E9" w:rsidRDefault="00DF358A" w:rsidP="00BB4F69">
            <w:pPr>
              <w:spacing w:after="40"/>
              <w:ind w:left="102"/>
              <w:rPr>
                <w:spacing w:val="-1"/>
                <w:sz w:val="18"/>
                <w:szCs w:val="18"/>
                <w:lang w:val="it-IT"/>
              </w:rPr>
            </w:pPr>
            <w:r w:rsidRPr="004E13E9">
              <w:rPr>
                <w:sz w:val="18"/>
                <w:szCs w:val="18"/>
                <w:lang w:val="it-IT"/>
              </w:rPr>
              <w:t>Tonnare Sulcitane S.R.L.</w:t>
            </w:r>
            <w:r w:rsidRPr="004E13E9">
              <w:rPr>
                <w:rStyle w:val="FootnoteReference"/>
                <w:spacing w:val="-1"/>
                <w:sz w:val="18"/>
                <w:szCs w:val="18"/>
                <w:lang w:val="it-IT"/>
              </w:rPr>
              <w:t xml:space="preserve"> </w:t>
            </w:r>
          </w:p>
        </w:tc>
        <w:tc>
          <w:tcPr>
            <w:tcW w:w="1564" w:type="dxa"/>
            <w:tcBorders>
              <w:top w:val="single" w:sz="4" w:space="0" w:color="auto"/>
              <w:left w:val="nil"/>
              <w:bottom w:val="single" w:sz="4" w:space="0" w:color="auto"/>
              <w:right w:val="single" w:sz="4" w:space="0" w:color="auto"/>
            </w:tcBorders>
            <w:vAlign w:val="center"/>
          </w:tcPr>
          <w:p w14:paraId="3EB293CA" w14:textId="77777777" w:rsidR="00DF358A" w:rsidRPr="004E13E9" w:rsidRDefault="00DF358A" w:rsidP="00BB4F69">
            <w:pPr>
              <w:spacing w:after="40"/>
              <w:ind w:left="139" w:hanging="2"/>
              <w:rPr>
                <w:sz w:val="18"/>
                <w:szCs w:val="18"/>
                <w:lang w:val="en-IE"/>
              </w:rPr>
            </w:pPr>
            <w:r w:rsidRPr="004E13E9">
              <w:rPr>
                <w:sz w:val="18"/>
                <w:szCs w:val="18"/>
                <w:lang w:val="en-IE"/>
              </w:rPr>
              <w:t>ATEU1ITA00021</w:t>
            </w:r>
          </w:p>
        </w:tc>
        <w:tc>
          <w:tcPr>
            <w:tcW w:w="3142" w:type="dxa"/>
            <w:gridSpan w:val="2"/>
            <w:tcBorders>
              <w:top w:val="single" w:sz="4" w:space="0" w:color="auto"/>
              <w:left w:val="single" w:sz="4" w:space="0" w:color="auto"/>
              <w:bottom w:val="single" w:sz="4" w:space="0" w:color="auto"/>
              <w:right w:val="single" w:sz="4" w:space="0" w:color="auto"/>
            </w:tcBorders>
            <w:vAlign w:val="center"/>
          </w:tcPr>
          <w:p w14:paraId="63DC83F9" w14:textId="77777777" w:rsidR="00DF358A" w:rsidRPr="004E13E9" w:rsidRDefault="00DF358A" w:rsidP="00BB4F69">
            <w:pPr>
              <w:spacing w:after="40"/>
              <w:rPr>
                <w:sz w:val="18"/>
                <w:szCs w:val="18"/>
                <w:lang w:val="fi-FI"/>
              </w:rPr>
            </w:pPr>
            <w:r w:rsidRPr="004E13E9">
              <w:rPr>
                <w:sz w:val="18"/>
                <w:szCs w:val="18"/>
                <w:lang w:val="fi-FI"/>
              </w:rPr>
              <w:t xml:space="preserve">PUNTO 1: LAT: 39°16’45,90’’ N  </w:t>
            </w:r>
          </w:p>
          <w:p w14:paraId="1DBFCE43" w14:textId="77777777" w:rsidR="00DF358A" w:rsidRPr="004E13E9" w:rsidRDefault="00DF358A" w:rsidP="00BB4F69">
            <w:pPr>
              <w:spacing w:after="40"/>
              <w:rPr>
                <w:sz w:val="18"/>
                <w:szCs w:val="18"/>
                <w:lang w:val="fi-FI"/>
              </w:rPr>
            </w:pPr>
            <w:r w:rsidRPr="004E13E9">
              <w:rPr>
                <w:sz w:val="18"/>
                <w:szCs w:val="18"/>
                <w:lang w:val="fi-FI"/>
              </w:rPr>
              <w:t>LONG: 008°20’48,00’’ E</w:t>
            </w:r>
          </w:p>
          <w:p w14:paraId="62589BE8" w14:textId="77777777" w:rsidR="00DF358A" w:rsidRPr="004E13E9" w:rsidRDefault="00DF358A" w:rsidP="00BB4F69">
            <w:pPr>
              <w:spacing w:after="40"/>
              <w:rPr>
                <w:sz w:val="18"/>
                <w:szCs w:val="18"/>
                <w:lang w:val="fi-FI"/>
              </w:rPr>
            </w:pPr>
            <w:r w:rsidRPr="004E13E9">
              <w:rPr>
                <w:sz w:val="18"/>
                <w:szCs w:val="18"/>
                <w:lang w:val="fi-FI"/>
              </w:rPr>
              <w:t xml:space="preserve">PUNTO 2: LAT: 39°16’51,62’’ N  </w:t>
            </w:r>
          </w:p>
          <w:p w14:paraId="7C61FCA1" w14:textId="77777777" w:rsidR="00DF358A" w:rsidRPr="004E13E9" w:rsidRDefault="00DF358A" w:rsidP="00BB4F69">
            <w:pPr>
              <w:spacing w:after="40"/>
              <w:rPr>
                <w:sz w:val="18"/>
                <w:szCs w:val="18"/>
                <w:lang w:val="fi-FI"/>
              </w:rPr>
            </w:pPr>
            <w:r w:rsidRPr="004E13E9">
              <w:rPr>
                <w:sz w:val="18"/>
                <w:szCs w:val="18"/>
                <w:lang w:val="fi-FI"/>
              </w:rPr>
              <w:t>LONG: 008°20’52,35’’ E</w:t>
            </w:r>
          </w:p>
          <w:p w14:paraId="56259529" w14:textId="77777777" w:rsidR="00DF358A" w:rsidRPr="004E13E9" w:rsidRDefault="00DF358A" w:rsidP="00BB4F69">
            <w:pPr>
              <w:spacing w:after="40"/>
              <w:rPr>
                <w:sz w:val="18"/>
                <w:szCs w:val="18"/>
                <w:lang w:val="fi-FI"/>
              </w:rPr>
            </w:pPr>
            <w:r w:rsidRPr="004E13E9">
              <w:rPr>
                <w:sz w:val="18"/>
                <w:szCs w:val="18"/>
                <w:lang w:val="fi-FI"/>
              </w:rPr>
              <w:t xml:space="preserve">PUNTO 3: LAT: 39°16’55,20’’ N  </w:t>
            </w:r>
          </w:p>
          <w:p w14:paraId="7AD83CA7" w14:textId="77777777" w:rsidR="00DF358A" w:rsidRPr="004E13E9" w:rsidRDefault="00DF358A" w:rsidP="00BB4F69">
            <w:pPr>
              <w:spacing w:after="40"/>
              <w:rPr>
                <w:sz w:val="18"/>
                <w:szCs w:val="18"/>
                <w:lang w:val="fi-FI"/>
              </w:rPr>
            </w:pPr>
            <w:r w:rsidRPr="004E13E9">
              <w:rPr>
                <w:sz w:val="18"/>
                <w:szCs w:val="18"/>
                <w:lang w:val="fi-FI"/>
              </w:rPr>
              <w:t>LONG: 008°20’44,40’’ E</w:t>
            </w:r>
          </w:p>
          <w:p w14:paraId="549BCF0C" w14:textId="77777777" w:rsidR="00DF358A" w:rsidRPr="004E13E9" w:rsidRDefault="00DF358A" w:rsidP="00BB4F69">
            <w:pPr>
              <w:spacing w:after="40"/>
              <w:rPr>
                <w:sz w:val="18"/>
                <w:szCs w:val="18"/>
                <w:lang w:val="fi-FI"/>
              </w:rPr>
            </w:pPr>
            <w:r w:rsidRPr="004E13E9">
              <w:rPr>
                <w:sz w:val="18"/>
                <w:szCs w:val="18"/>
                <w:lang w:val="fi-FI"/>
              </w:rPr>
              <w:t xml:space="preserve">PUNTO 4: LAT: 39°16’49,60’’ N  </w:t>
            </w:r>
          </w:p>
          <w:p w14:paraId="7862ED47" w14:textId="77777777" w:rsidR="00DF358A" w:rsidRPr="004E13E9" w:rsidRDefault="00DF358A" w:rsidP="00BB4F69">
            <w:pPr>
              <w:spacing w:after="40"/>
              <w:rPr>
                <w:sz w:val="18"/>
                <w:szCs w:val="18"/>
                <w:lang w:val="fi-FI"/>
              </w:rPr>
            </w:pPr>
            <w:r w:rsidRPr="004E13E9">
              <w:rPr>
                <w:sz w:val="18"/>
                <w:szCs w:val="18"/>
                <w:lang w:val="fi-FI"/>
              </w:rPr>
              <w:t>LONG: 008°20’39,90’’ E</w:t>
            </w:r>
          </w:p>
        </w:tc>
        <w:tc>
          <w:tcPr>
            <w:tcW w:w="2115" w:type="dxa"/>
            <w:tcBorders>
              <w:top w:val="nil"/>
              <w:left w:val="single" w:sz="4" w:space="0" w:color="auto"/>
              <w:right w:val="single" w:sz="4" w:space="0" w:color="auto"/>
            </w:tcBorders>
            <w:vAlign w:val="center"/>
          </w:tcPr>
          <w:p w14:paraId="0635A88B" w14:textId="77777777" w:rsidR="00DF358A" w:rsidRPr="004E13E9" w:rsidDel="00C666B0" w:rsidRDefault="00DF358A" w:rsidP="00BB4F69">
            <w:pPr>
              <w:spacing w:after="40"/>
              <w:jc w:val="center"/>
              <w:rPr>
                <w:sz w:val="18"/>
                <w:szCs w:val="18"/>
                <w:lang w:val="en-IE"/>
              </w:rPr>
            </w:pPr>
            <w:r w:rsidRPr="004E13E9">
              <w:rPr>
                <w:sz w:val="18"/>
                <w:szCs w:val="18"/>
                <w:lang w:val="en-IE"/>
              </w:rPr>
              <w:t>110,00</w:t>
            </w:r>
          </w:p>
        </w:tc>
      </w:tr>
      <w:tr w:rsidR="00DF358A" w:rsidRPr="004E13E9" w14:paraId="6DD38FFB" w14:textId="77777777" w:rsidTr="00BB4F69">
        <w:trPr>
          <w:trHeight w:val="57"/>
        </w:trPr>
        <w:tc>
          <w:tcPr>
            <w:tcW w:w="1958" w:type="dxa"/>
            <w:tcBorders>
              <w:top w:val="single" w:sz="4" w:space="0" w:color="auto"/>
              <w:left w:val="single" w:sz="4" w:space="0" w:color="auto"/>
              <w:bottom w:val="single" w:sz="4" w:space="0" w:color="auto"/>
              <w:right w:val="single" w:sz="4" w:space="0" w:color="auto"/>
            </w:tcBorders>
            <w:vAlign w:val="center"/>
          </w:tcPr>
          <w:p w14:paraId="46BE07AE" w14:textId="77777777" w:rsidR="00DF358A" w:rsidRPr="004E13E9" w:rsidRDefault="00DF358A" w:rsidP="00BB4F69">
            <w:pPr>
              <w:spacing w:after="40"/>
              <w:ind w:left="102"/>
              <w:rPr>
                <w:sz w:val="18"/>
                <w:szCs w:val="18"/>
                <w:lang w:val="it-IT"/>
              </w:rPr>
            </w:pPr>
            <w:r w:rsidRPr="004E13E9">
              <w:rPr>
                <w:sz w:val="18"/>
                <w:szCs w:val="18"/>
                <w:lang w:val="it-IT"/>
              </w:rPr>
              <w:t>Consorzio Operatori Del Tonno Del Mediterraneo</w:t>
            </w:r>
          </w:p>
        </w:tc>
        <w:tc>
          <w:tcPr>
            <w:tcW w:w="1564" w:type="dxa"/>
            <w:tcBorders>
              <w:top w:val="single" w:sz="4" w:space="0" w:color="auto"/>
              <w:left w:val="nil"/>
              <w:bottom w:val="single" w:sz="4" w:space="0" w:color="auto"/>
              <w:right w:val="single" w:sz="4" w:space="0" w:color="auto"/>
            </w:tcBorders>
            <w:vAlign w:val="center"/>
          </w:tcPr>
          <w:p w14:paraId="03397103" w14:textId="77777777" w:rsidR="00DF358A" w:rsidRPr="004E13E9" w:rsidRDefault="00DF358A" w:rsidP="00BB4F69">
            <w:pPr>
              <w:spacing w:after="40"/>
              <w:ind w:left="139" w:hanging="2"/>
              <w:rPr>
                <w:sz w:val="18"/>
                <w:szCs w:val="18"/>
                <w:lang w:val="en-IE"/>
              </w:rPr>
            </w:pPr>
            <w:r w:rsidRPr="004E13E9">
              <w:rPr>
                <w:sz w:val="18"/>
                <w:szCs w:val="18"/>
                <w:lang w:val="en-IE"/>
              </w:rPr>
              <w:t>ATEU1ITA00006</w:t>
            </w:r>
          </w:p>
        </w:tc>
        <w:tc>
          <w:tcPr>
            <w:tcW w:w="3142" w:type="dxa"/>
            <w:gridSpan w:val="2"/>
            <w:tcBorders>
              <w:top w:val="single" w:sz="4" w:space="0" w:color="auto"/>
              <w:left w:val="single" w:sz="4" w:space="0" w:color="auto"/>
              <w:bottom w:val="single" w:sz="4" w:space="0" w:color="auto"/>
              <w:right w:val="single" w:sz="4" w:space="0" w:color="auto"/>
            </w:tcBorders>
            <w:vAlign w:val="center"/>
          </w:tcPr>
          <w:p w14:paraId="4DB1288D" w14:textId="77777777" w:rsidR="00DF358A" w:rsidRPr="004E13E9" w:rsidRDefault="00DF358A" w:rsidP="00BB4F69">
            <w:pPr>
              <w:spacing w:after="40"/>
              <w:rPr>
                <w:sz w:val="18"/>
                <w:szCs w:val="18"/>
                <w:lang w:val="it-IT"/>
              </w:rPr>
            </w:pPr>
            <w:r w:rsidRPr="004E13E9">
              <w:rPr>
                <w:sz w:val="18"/>
                <w:szCs w:val="18"/>
                <w:lang w:val="it-IT"/>
              </w:rPr>
              <w:t xml:space="preserve">PUNTO 1: LAT: 39°57,903' N  </w:t>
            </w:r>
          </w:p>
          <w:p w14:paraId="206D865D" w14:textId="77777777" w:rsidR="00DF358A" w:rsidRPr="004E13E9" w:rsidRDefault="00DF358A" w:rsidP="00BB4F69">
            <w:pPr>
              <w:spacing w:after="40"/>
              <w:rPr>
                <w:sz w:val="18"/>
                <w:szCs w:val="18"/>
                <w:lang w:val="it-IT"/>
              </w:rPr>
            </w:pPr>
            <w:r w:rsidRPr="004E13E9">
              <w:rPr>
                <w:sz w:val="18"/>
                <w:szCs w:val="18"/>
                <w:lang w:val="it-IT"/>
              </w:rPr>
              <w:t>LONG: 15°21,295' E</w:t>
            </w:r>
          </w:p>
          <w:p w14:paraId="24C85FCD" w14:textId="77777777" w:rsidR="00DF358A" w:rsidRPr="004E13E9" w:rsidRDefault="00DF358A" w:rsidP="00BB4F69">
            <w:pPr>
              <w:spacing w:after="40"/>
              <w:rPr>
                <w:sz w:val="18"/>
                <w:szCs w:val="18"/>
                <w:lang w:val="it-IT"/>
              </w:rPr>
            </w:pPr>
            <w:r w:rsidRPr="004E13E9">
              <w:rPr>
                <w:sz w:val="18"/>
                <w:szCs w:val="18"/>
                <w:lang w:val="it-IT"/>
              </w:rPr>
              <w:t xml:space="preserve">PUNTO 2: LAT: 39°57,903'N  </w:t>
            </w:r>
          </w:p>
          <w:p w14:paraId="360FEFEC" w14:textId="77777777" w:rsidR="00DF358A" w:rsidRPr="004E13E9" w:rsidRDefault="00DF358A" w:rsidP="00BB4F69">
            <w:pPr>
              <w:spacing w:after="40"/>
              <w:rPr>
                <w:sz w:val="18"/>
                <w:szCs w:val="18"/>
                <w:lang w:val="it-IT"/>
              </w:rPr>
            </w:pPr>
            <w:r w:rsidRPr="004E13E9">
              <w:rPr>
                <w:sz w:val="18"/>
                <w:szCs w:val="18"/>
                <w:lang w:val="it-IT"/>
              </w:rPr>
              <w:t>LONG: 15°21,045' E</w:t>
            </w:r>
          </w:p>
          <w:p w14:paraId="1C741045" w14:textId="77777777" w:rsidR="00DF358A" w:rsidRPr="004E13E9" w:rsidRDefault="00DF358A" w:rsidP="00BB4F69">
            <w:pPr>
              <w:spacing w:after="40"/>
              <w:rPr>
                <w:sz w:val="18"/>
                <w:szCs w:val="18"/>
                <w:lang w:val="it-IT"/>
              </w:rPr>
            </w:pPr>
            <w:r w:rsidRPr="004E13E9">
              <w:rPr>
                <w:sz w:val="18"/>
                <w:szCs w:val="18"/>
                <w:lang w:val="it-IT"/>
              </w:rPr>
              <w:t xml:space="preserve">PUNTO 3: LAT: 39°58,000' N  </w:t>
            </w:r>
          </w:p>
          <w:p w14:paraId="2BA0F13F" w14:textId="77777777" w:rsidR="00DF358A" w:rsidRPr="004E13E9" w:rsidRDefault="00DF358A" w:rsidP="00BB4F69">
            <w:pPr>
              <w:spacing w:after="40"/>
              <w:rPr>
                <w:sz w:val="18"/>
                <w:szCs w:val="18"/>
                <w:lang w:val="it-IT"/>
              </w:rPr>
            </w:pPr>
            <w:r w:rsidRPr="004E13E9">
              <w:rPr>
                <w:sz w:val="18"/>
                <w:szCs w:val="18"/>
                <w:lang w:val="it-IT"/>
              </w:rPr>
              <w:t>LONG: 15°21,295' E</w:t>
            </w:r>
          </w:p>
          <w:p w14:paraId="5853D0FB" w14:textId="77777777" w:rsidR="00DF358A" w:rsidRPr="004E13E9" w:rsidRDefault="00DF358A" w:rsidP="00BB4F69">
            <w:pPr>
              <w:spacing w:after="40"/>
              <w:rPr>
                <w:sz w:val="18"/>
                <w:szCs w:val="18"/>
                <w:lang w:val="it-IT"/>
              </w:rPr>
            </w:pPr>
            <w:r w:rsidRPr="004E13E9">
              <w:rPr>
                <w:sz w:val="18"/>
                <w:szCs w:val="18"/>
                <w:lang w:val="it-IT"/>
              </w:rPr>
              <w:t xml:space="preserve">PUNTO 4: LAT: 39°58,000' N  </w:t>
            </w:r>
          </w:p>
          <w:p w14:paraId="228517E2" w14:textId="77777777" w:rsidR="00DF358A" w:rsidRPr="004E13E9" w:rsidRDefault="00DF358A" w:rsidP="00BB4F69">
            <w:pPr>
              <w:spacing w:after="40"/>
              <w:rPr>
                <w:sz w:val="18"/>
                <w:szCs w:val="18"/>
                <w:lang w:val="it-IT"/>
              </w:rPr>
            </w:pPr>
            <w:r w:rsidRPr="004E13E9">
              <w:rPr>
                <w:sz w:val="18"/>
                <w:szCs w:val="18"/>
                <w:lang w:val="it-IT"/>
              </w:rPr>
              <w:t>LONG: 15°21,045' E</w:t>
            </w:r>
          </w:p>
        </w:tc>
        <w:tc>
          <w:tcPr>
            <w:tcW w:w="2115" w:type="dxa"/>
            <w:tcBorders>
              <w:left w:val="single" w:sz="4" w:space="0" w:color="auto"/>
              <w:right w:val="single" w:sz="4" w:space="0" w:color="auto"/>
            </w:tcBorders>
            <w:vAlign w:val="center"/>
          </w:tcPr>
          <w:p w14:paraId="66F205C0" w14:textId="77777777" w:rsidR="00DF358A" w:rsidRPr="004E13E9" w:rsidRDefault="00DF358A" w:rsidP="00BB4F69">
            <w:pPr>
              <w:spacing w:before="4" w:after="40"/>
              <w:jc w:val="center"/>
              <w:rPr>
                <w:sz w:val="18"/>
                <w:szCs w:val="18"/>
                <w:lang w:val="en-IE"/>
              </w:rPr>
            </w:pPr>
            <w:r w:rsidRPr="004E13E9">
              <w:rPr>
                <w:sz w:val="18"/>
                <w:szCs w:val="18"/>
              </w:rPr>
              <w:t>0</w:t>
            </w:r>
          </w:p>
        </w:tc>
      </w:tr>
      <w:tr w:rsidR="00DF358A" w:rsidRPr="004E13E9" w14:paraId="3117E6E0" w14:textId="77777777" w:rsidTr="00BB4F69">
        <w:trPr>
          <w:trHeight w:val="57"/>
        </w:trPr>
        <w:tc>
          <w:tcPr>
            <w:tcW w:w="1958" w:type="dxa"/>
            <w:tcBorders>
              <w:top w:val="single" w:sz="4" w:space="0" w:color="auto"/>
              <w:left w:val="single" w:sz="4" w:space="0" w:color="auto"/>
              <w:bottom w:val="single" w:sz="4" w:space="0" w:color="auto"/>
              <w:right w:val="single" w:sz="4" w:space="0" w:color="auto"/>
            </w:tcBorders>
            <w:vAlign w:val="center"/>
          </w:tcPr>
          <w:p w14:paraId="68478C56" w14:textId="77777777" w:rsidR="00DF358A" w:rsidRPr="004E13E9" w:rsidRDefault="00DF358A" w:rsidP="00BB4F69">
            <w:pPr>
              <w:spacing w:after="40"/>
              <w:ind w:left="102"/>
              <w:rPr>
                <w:sz w:val="18"/>
                <w:szCs w:val="18"/>
                <w:lang w:val="en-IE"/>
              </w:rPr>
            </w:pPr>
            <w:r w:rsidRPr="004E13E9">
              <w:rPr>
                <w:sz w:val="18"/>
                <w:szCs w:val="18"/>
                <w:lang w:val="en-IE"/>
              </w:rPr>
              <w:t>DG PESCA 1</w:t>
            </w:r>
          </w:p>
        </w:tc>
        <w:tc>
          <w:tcPr>
            <w:tcW w:w="1564" w:type="dxa"/>
            <w:tcBorders>
              <w:top w:val="single" w:sz="4" w:space="0" w:color="auto"/>
              <w:left w:val="nil"/>
              <w:bottom w:val="single" w:sz="4" w:space="0" w:color="auto"/>
              <w:right w:val="single" w:sz="4" w:space="0" w:color="auto"/>
            </w:tcBorders>
            <w:vAlign w:val="center"/>
          </w:tcPr>
          <w:p w14:paraId="1BDFBEB3" w14:textId="77777777" w:rsidR="00DF358A" w:rsidRPr="004E13E9" w:rsidRDefault="00DF358A" w:rsidP="00BB4F69">
            <w:pPr>
              <w:spacing w:after="40"/>
              <w:ind w:left="139" w:hanging="2"/>
              <w:rPr>
                <w:sz w:val="18"/>
                <w:szCs w:val="18"/>
                <w:lang w:val="en-IE"/>
              </w:rPr>
            </w:pPr>
            <w:r w:rsidRPr="004E13E9">
              <w:rPr>
                <w:sz w:val="18"/>
                <w:szCs w:val="18"/>
                <w:lang w:val="en-IE"/>
              </w:rPr>
              <w:t>ATEU1ITA00022</w:t>
            </w:r>
          </w:p>
        </w:tc>
        <w:tc>
          <w:tcPr>
            <w:tcW w:w="3142" w:type="dxa"/>
            <w:gridSpan w:val="2"/>
            <w:tcBorders>
              <w:top w:val="single" w:sz="4" w:space="0" w:color="auto"/>
              <w:left w:val="single" w:sz="4" w:space="0" w:color="auto"/>
              <w:bottom w:val="single" w:sz="4" w:space="0" w:color="auto"/>
              <w:right w:val="single" w:sz="4" w:space="0" w:color="auto"/>
            </w:tcBorders>
            <w:vAlign w:val="center"/>
          </w:tcPr>
          <w:p w14:paraId="71A38B60" w14:textId="77777777" w:rsidR="00DF358A" w:rsidRPr="004E13E9" w:rsidRDefault="00DF358A" w:rsidP="00BB4F69">
            <w:pPr>
              <w:spacing w:after="40"/>
              <w:rPr>
                <w:sz w:val="18"/>
                <w:szCs w:val="18"/>
                <w:lang w:val="en-IE"/>
              </w:rPr>
            </w:pPr>
            <w:r w:rsidRPr="004E13E9">
              <w:rPr>
                <w:sz w:val="18"/>
                <w:szCs w:val="18"/>
                <w:lang w:val="en-IE"/>
              </w:rPr>
              <w:t>ROMA (RM)</w:t>
            </w:r>
          </w:p>
        </w:tc>
        <w:tc>
          <w:tcPr>
            <w:tcW w:w="2115" w:type="dxa"/>
            <w:tcBorders>
              <w:left w:val="single" w:sz="4" w:space="0" w:color="auto"/>
              <w:right w:val="single" w:sz="4" w:space="0" w:color="auto"/>
            </w:tcBorders>
            <w:vAlign w:val="center"/>
          </w:tcPr>
          <w:p w14:paraId="2A26E47A" w14:textId="77777777" w:rsidR="00DF358A" w:rsidRPr="004E13E9" w:rsidRDefault="00DF358A" w:rsidP="00BB4F69">
            <w:pPr>
              <w:spacing w:before="4" w:after="40"/>
              <w:jc w:val="center"/>
              <w:rPr>
                <w:sz w:val="18"/>
                <w:szCs w:val="18"/>
                <w:lang w:val="en-IE"/>
              </w:rPr>
            </w:pPr>
            <w:r w:rsidRPr="004E13E9">
              <w:rPr>
                <w:sz w:val="18"/>
                <w:szCs w:val="18"/>
              </w:rPr>
              <w:t>1043,50</w:t>
            </w:r>
          </w:p>
        </w:tc>
      </w:tr>
      <w:tr w:rsidR="00DF358A" w:rsidRPr="004E13E9" w14:paraId="5EF80DF0" w14:textId="77777777" w:rsidTr="00BB4F69">
        <w:trPr>
          <w:trHeight w:val="57"/>
        </w:trPr>
        <w:tc>
          <w:tcPr>
            <w:tcW w:w="1958" w:type="dxa"/>
            <w:tcBorders>
              <w:top w:val="single" w:sz="4" w:space="0" w:color="auto"/>
              <w:left w:val="single" w:sz="4" w:space="0" w:color="auto"/>
              <w:bottom w:val="single" w:sz="4" w:space="0" w:color="auto"/>
              <w:right w:val="single" w:sz="4" w:space="0" w:color="auto"/>
            </w:tcBorders>
            <w:vAlign w:val="center"/>
          </w:tcPr>
          <w:p w14:paraId="7D00EEF2" w14:textId="77777777" w:rsidR="00DF358A" w:rsidRPr="004E13E9" w:rsidRDefault="00DF358A" w:rsidP="00BB4F69">
            <w:pPr>
              <w:spacing w:after="40"/>
              <w:ind w:left="102"/>
              <w:rPr>
                <w:sz w:val="18"/>
                <w:szCs w:val="18"/>
                <w:lang w:val="en-IE"/>
              </w:rPr>
            </w:pPr>
            <w:r w:rsidRPr="004E13E9">
              <w:rPr>
                <w:sz w:val="18"/>
                <w:szCs w:val="18"/>
                <w:lang w:val="en-IE"/>
              </w:rPr>
              <w:t>DG PESCA 2</w:t>
            </w:r>
          </w:p>
        </w:tc>
        <w:tc>
          <w:tcPr>
            <w:tcW w:w="1564" w:type="dxa"/>
            <w:tcBorders>
              <w:top w:val="single" w:sz="4" w:space="0" w:color="auto"/>
              <w:left w:val="nil"/>
              <w:bottom w:val="single" w:sz="4" w:space="0" w:color="auto"/>
              <w:right w:val="single" w:sz="4" w:space="0" w:color="auto"/>
            </w:tcBorders>
            <w:vAlign w:val="center"/>
          </w:tcPr>
          <w:p w14:paraId="27DBB65F" w14:textId="77777777" w:rsidR="00DF358A" w:rsidRPr="004E13E9" w:rsidRDefault="00DF358A" w:rsidP="00BB4F69">
            <w:pPr>
              <w:spacing w:after="40"/>
              <w:ind w:left="139" w:hanging="2"/>
              <w:rPr>
                <w:sz w:val="18"/>
                <w:szCs w:val="18"/>
                <w:lang w:val="en-IE"/>
              </w:rPr>
            </w:pPr>
            <w:r w:rsidRPr="004E13E9">
              <w:rPr>
                <w:sz w:val="18"/>
                <w:szCs w:val="18"/>
                <w:lang w:val="en-IE"/>
              </w:rPr>
              <w:t>ATEU1ITA00023</w:t>
            </w:r>
          </w:p>
        </w:tc>
        <w:tc>
          <w:tcPr>
            <w:tcW w:w="3142" w:type="dxa"/>
            <w:gridSpan w:val="2"/>
            <w:tcBorders>
              <w:top w:val="single" w:sz="4" w:space="0" w:color="auto"/>
              <w:left w:val="single" w:sz="4" w:space="0" w:color="auto"/>
              <w:bottom w:val="single" w:sz="4" w:space="0" w:color="auto"/>
              <w:right w:val="single" w:sz="4" w:space="0" w:color="auto"/>
            </w:tcBorders>
            <w:vAlign w:val="center"/>
          </w:tcPr>
          <w:p w14:paraId="32F0291D" w14:textId="77777777" w:rsidR="00DF358A" w:rsidRPr="004E13E9" w:rsidRDefault="00DF358A" w:rsidP="00BB4F69">
            <w:pPr>
              <w:spacing w:after="40"/>
              <w:rPr>
                <w:sz w:val="18"/>
                <w:szCs w:val="18"/>
                <w:lang w:val="en-IE"/>
              </w:rPr>
            </w:pPr>
            <w:r w:rsidRPr="004E13E9">
              <w:rPr>
                <w:sz w:val="18"/>
                <w:szCs w:val="18"/>
                <w:lang w:val="en-IE"/>
              </w:rPr>
              <w:t>ROMA (RM)</w:t>
            </w:r>
          </w:p>
        </w:tc>
        <w:tc>
          <w:tcPr>
            <w:tcW w:w="2115" w:type="dxa"/>
            <w:tcBorders>
              <w:left w:val="single" w:sz="4" w:space="0" w:color="auto"/>
              <w:right w:val="single" w:sz="4" w:space="0" w:color="auto"/>
            </w:tcBorders>
            <w:vAlign w:val="center"/>
          </w:tcPr>
          <w:p w14:paraId="426605C4" w14:textId="77777777" w:rsidR="00DF358A" w:rsidRPr="004E13E9" w:rsidRDefault="00DF358A" w:rsidP="00BB4F69">
            <w:pPr>
              <w:spacing w:before="4" w:after="40"/>
              <w:jc w:val="center"/>
              <w:rPr>
                <w:sz w:val="18"/>
                <w:szCs w:val="18"/>
                <w:lang w:val="en-IE"/>
              </w:rPr>
            </w:pPr>
            <w:r w:rsidRPr="004E13E9">
              <w:rPr>
                <w:sz w:val="18"/>
                <w:szCs w:val="18"/>
              </w:rPr>
              <w:t>1043,50</w:t>
            </w:r>
          </w:p>
        </w:tc>
      </w:tr>
      <w:tr w:rsidR="00DF358A" w:rsidRPr="004E13E9" w14:paraId="31E35637" w14:textId="77777777" w:rsidTr="00BB4F69">
        <w:trPr>
          <w:trHeight w:val="57"/>
        </w:trPr>
        <w:tc>
          <w:tcPr>
            <w:tcW w:w="1958" w:type="dxa"/>
            <w:tcBorders>
              <w:top w:val="single" w:sz="4" w:space="0" w:color="auto"/>
              <w:left w:val="single" w:sz="4" w:space="0" w:color="auto"/>
              <w:bottom w:val="single" w:sz="4" w:space="0" w:color="auto"/>
              <w:right w:val="single" w:sz="4" w:space="0" w:color="auto"/>
            </w:tcBorders>
            <w:vAlign w:val="center"/>
          </w:tcPr>
          <w:p w14:paraId="6D3B92F1" w14:textId="77777777" w:rsidR="00DF358A" w:rsidRPr="004E13E9" w:rsidRDefault="00DF358A" w:rsidP="00BB4F69">
            <w:pPr>
              <w:spacing w:after="40"/>
              <w:ind w:left="102"/>
              <w:rPr>
                <w:sz w:val="18"/>
                <w:szCs w:val="18"/>
                <w:lang w:val="en-IE"/>
              </w:rPr>
            </w:pPr>
            <w:r w:rsidRPr="004E13E9">
              <w:rPr>
                <w:sz w:val="18"/>
                <w:szCs w:val="18"/>
                <w:lang w:val="en-IE"/>
              </w:rPr>
              <w:t>DG PESCA 3</w:t>
            </w:r>
          </w:p>
        </w:tc>
        <w:tc>
          <w:tcPr>
            <w:tcW w:w="1564" w:type="dxa"/>
            <w:tcBorders>
              <w:top w:val="single" w:sz="4" w:space="0" w:color="auto"/>
              <w:left w:val="nil"/>
              <w:bottom w:val="single" w:sz="4" w:space="0" w:color="auto"/>
              <w:right w:val="single" w:sz="4" w:space="0" w:color="auto"/>
            </w:tcBorders>
            <w:vAlign w:val="center"/>
          </w:tcPr>
          <w:p w14:paraId="218110D4" w14:textId="77777777" w:rsidR="00DF358A" w:rsidRPr="004E13E9" w:rsidRDefault="00DF358A" w:rsidP="00BB4F69">
            <w:pPr>
              <w:spacing w:after="40"/>
              <w:ind w:left="139" w:hanging="2"/>
              <w:rPr>
                <w:sz w:val="18"/>
                <w:szCs w:val="18"/>
                <w:lang w:val="en-IE"/>
              </w:rPr>
            </w:pPr>
            <w:r w:rsidRPr="004E13E9">
              <w:rPr>
                <w:sz w:val="18"/>
                <w:szCs w:val="18"/>
                <w:lang w:val="en-IE"/>
              </w:rPr>
              <w:t>ATEU1ITA00024</w:t>
            </w:r>
          </w:p>
        </w:tc>
        <w:tc>
          <w:tcPr>
            <w:tcW w:w="3142" w:type="dxa"/>
            <w:gridSpan w:val="2"/>
            <w:tcBorders>
              <w:top w:val="single" w:sz="4" w:space="0" w:color="auto"/>
              <w:left w:val="single" w:sz="4" w:space="0" w:color="auto"/>
              <w:bottom w:val="single" w:sz="4" w:space="0" w:color="auto"/>
              <w:right w:val="single" w:sz="4" w:space="0" w:color="auto"/>
            </w:tcBorders>
            <w:vAlign w:val="center"/>
          </w:tcPr>
          <w:p w14:paraId="6F6F506E" w14:textId="77777777" w:rsidR="00DF358A" w:rsidRPr="004E13E9" w:rsidRDefault="00DF358A" w:rsidP="00BB4F69">
            <w:pPr>
              <w:spacing w:after="40"/>
              <w:rPr>
                <w:sz w:val="18"/>
                <w:szCs w:val="18"/>
                <w:lang w:val="en-IE"/>
              </w:rPr>
            </w:pPr>
            <w:r w:rsidRPr="004E13E9">
              <w:rPr>
                <w:sz w:val="18"/>
                <w:szCs w:val="18"/>
                <w:lang w:val="en-IE"/>
              </w:rPr>
              <w:t>ROMA (RM)</w:t>
            </w:r>
          </w:p>
        </w:tc>
        <w:tc>
          <w:tcPr>
            <w:tcW w:w="2115" w:type="dxa"/>
            <w:tcBorders>
              <w:left w:val="single" w:sz="4" w:space="0" w:color="auto"/>
              <w:right w:val="single" w:sz="4" w:space="0" w:color="auto"/>
            </w:tcBorders>
            <w:vAlign w:val="center"/>
          </w:tcPr>
          <w:p w14:paraId="1C6D8DBD" w14:textId="77777777" w:rsidR="00DF358A" w:rsidRPr="004E13E9" w:rsidRDefault="00DF358A" w:rsidP="00BB4F69">
            <w:pPr>
              <w:spacing w:before="4" w:after="40"/>
              <w:jc w:val="center"/>
              <w:rPr>
                <w:sz w:val="18"/>
                <w:szCs w:val="18"/>
                <w:lang w:val="en-IE"/>
              </w:rPr>
            </w:pPr>
            <w:r w:rsidRPr="004E13E9">
              <w:rPr>
                <w:sz w:val="18"/>
                <w:szCs w:val="18"/>
              </w:rPr>
              <w:t>1000,0</w:t>
            </w:r>
          </w:p>
        </w:tc>
      </w:tr>
      <w:tr w:rsidR="00DF358A" w:rsidRPr="004E13E9" w14:paraId="4534057B" w14:textId="77777777" w:rsidTr="00BB4F69">
        <w:trPr>
          <w:trHeight w:val="57"/>
        </w:trPr>
        <w:tc>
          <w:tcPr>
            <w:tcW w:w="1958" w:type="dxa"/>
            <w:tcBorders>
              <w:top w:val="single" w:sz="4" w:space="0" w:color="auto"/>
              <w:left w:val="single" w:sz="4" w:space="0" w:color="auto"/>
              <w:bottom w:val="single" w:sz="4" w:space="0" w:color="auto"/>
              <w:right w:val="single" w:sz="4" w:space="0" w:color="auto"/>
            </w:tcBorders>
            <w:vAlign w:val="center"/>
          </w:tcPr>
          <w:p w14:paraId="796F4B8D" w14:textId="77777777" w:rsidR="00DF358A" w:rsidRPr="004E13E9" w:rsidRDefault="00DF358A" w:rsidP="00BB4F69">
            <w:pPr>
              <w:spacing w:after="40"/>
              <w:ind w:left="102"/>
              <w:rPr>
                <w:sz w:val="18"/>
                <w:szCs w:val="18"/>
                <w:lang w:val="en-IE"/>
              </w:rPr>
            </w:pPr>
            <w:r w:rsidRPr="004E13E9">
              <w:rPr>
                <w:sz w:val="18"/>
                <w:szCs w:val="18"/>
                <w:lang w:val="en-IE"/>
              </w:rPr>
              <w:t>DG PESCA 4</w:t>
            </w:r>
          </w:p>
        </w:tc>
        <w:tc>
          <w:tcPr>
            <w:tcW w:w="1564" w:type="dxa"/>
            <w:tcBorders>
              <w:top w:val="single" w:sz="4" w:space="0" w:color="auto"/>
              <w:left w:val="nil"/>
              <w:bottom w:val="single" w:sz="4" w:space="0" w:color="auto"/>
              <w:right w:val="single" w:sz="4" w:space="0" w:color="auto"/>
            </w:tcBorders>
            <w:vAlign w:val="center"/>
          </w:tcPr>
          <w:p w14:paraId="3DB25CAE" w14:textId="77777777" w:rsidR="00DF358A" w:rsidRPr="004E13E9" w:rsidRDefault="00DF358A" w:rsidP="00BB4F69">
            <w:pPr>
              <w:spacing w:after="40"/>
              <w:ind w:left="139" w:hanging="2"/>
              <w:rPr>
                <w:sz w:val="18"/>
                <w:szCs w:val="18"/>
                <w:lang w:val="en-IE"/>
              </w:rPr>
            </w:pPr>
            <w:r w:rsidRPr="004E13E9">
              <w:rPr>
                <w:sz w:val="18"/>
                <w:szCs w:val="18"/>
                <w:lang w:val="en-IE"/>
              </w:rPr>
              <w:t>ATEU1ITA00025</w:t>
            </w:r>
          </w:p>
        </w:tc>
        <w:tc>
          <w:tcPr>
            <w:tcW w:w="3142" w:type="dxa"/>
            <w:gridSpan w:val="2"/>
            <w:tcBorders>
              <w:top w:val="single" w:sz="4" w:space="0" w:color="auto"/>
              <w:left w:val="single" w:sz="4" w:space="0" w:color="auto"/>
              <w:bottom w:val="single" w:sz="4" w:space="0" w:color="auto"/>
              <w:right w:val="single" w:sz="4" w:space="0" w:color="auto"/>
            </w:tcBorders>
            <w:vAlign w:val="center"/>
          </w:tcPr>
          <w:p w14:paraId="7E9A4DCF" w14:textId="77777777" w:rsidR="00DF358A" w:rsidRPr="004E13E9" w:rsidRDefault="00DF358A" w:rsidP="00BB4F69">
            <w:pPr>
              <w:spacing w:after="40"/>
              <w:rPr>
                <w:sz w:val="18"/>
                <w:szCs w:val="18"/>
                <w:lang w:val="en-IE"/>
              </w:rPr>
            </w:pPr>
            <w:r w:rsidRPr="004E13E9">
              <w:rPr>
                <w:sz w:val="18"/>
                <w:szCs w:val="18"/>
                <w:lang w:val="en-IE"/>
              </w:rPr>
              <w:t>ROMA (RM)</w:t>
            </w:r>
          </w:p>
        </w:tc>
        <w:tc>
          <w:tcPr>
            <w:tcW w:w="2115" w:type="dxa"/>
            <w:tcBorders>
              <w:left w:val="single" w:sz="4" w:space="0" w:color="auto"/>
              <w:bottom w:val="single" w:sz="4" w:space="0" w:color="auto"/>
              <w:right w:val="single" w:sz="4" w:space="0" w:color="auto"/>
            </w:tcBorders>
            <w:vAlign w:val="center"/>
          </w:tcPr>
          <w:p w14:paraId="00A7ECCC" w14:textId="77777777" w:rsidR="00DF358A" w:rsidRPr="004E13E9" w:rsidRDefault="00DF358A" w:rsidP="00BB4F69">
            <w:pPr>
              <w:spacing w:before="4" w:after="40"/>
              <w:jc w:val="center"/>
              <w:rPr>
                <w:sz w:val="18"/>
                <w:szCs w:val="18"/>
                <w:lang w:val="en-IE"/>
              </w:rPr>
            </w:pPr>
            <w:r w:rsidRPr="004E13E9">
              <w:rPr>
                <w:sz w:val="18"/>
                <w:szCs w:val="18"/>
              </w:rPr>
              <w:t>1000,9</w:t>
            </w:r>
          </w:p>
        </w:tc>
      </w:tr>
    </w:tbl>
    <w:p w14:paraId="77C32270" w14:textId="77777777" w:rsidR="00DF358A" w:rsidRPr="004E13E9" w:rsidRDefault="00DF358A" w:rsidP="00DF358A">
      <w:pPr>
        <w:pStyle w:val="Heading1bis"/>
        <w:numPr>
          <w:ilvl w:val="0"/>
          <w:numId w:val="0"/>
        </w:numPr>
        <w:ind w:left="360"/>
        <w:rPr>
          <w:rFonts w:ascii="Cambria" w:hAnsi="Cambria"/>
          <w:b/>
          <w:smallCaps/>
          <w:sz w:val="20"/>
        </w:rPr>
      </w:pPr>
    </w:p>
    <w:p w14:paraId="140D176E" w14:textId="0B8EF439" w:rsidR="00DF358A" w:rsidRPr="004E13E9" w:rsidRDefault="00DF358A" w:rsidP="00DF358A">
      <w:pPr>
        <w:rPr>
          <w:rFonts w:eastAsia="MS Gothic" w:cs="Times New Roman"/>
          <w:b/>
          <w:smallCaps/>
          <w:color w:val="000000"/>
          <w:szCs w:val="24"/>
          <w:lang w:eastAsia="fr-FR" w:bidi="fr-FR"/>
        </w:rPr>
      </w:pPr>
    </w:p>
    <w:p w14:paraId="55488A70" w14:textId="77777777" w:rsidR="00DF358A" w:rsidRPr="004E13E9" w:rsidRDefault="00DF358A" w:rsidP="00DF358A">
      <w:pPr>
        <w:ind w:left="426" w:hanging="426"/>
        <w:rPr>
          <w:b/>
          <w:lang w:val="fr-FR"/>
        </w:rPr>
      </w:pPr>
      <w:r w:rsidRPr="004E13E9">
        <w:rPr>
          <w:b/>
          <w:lang w:val="fr-FR"/>
        </w:rPr>
        <w:t>4.</w:t>
      </w:r>
      <w:r w:rsidRPr="004E13E9">
        <w:rPr>
          <w:b/>
          <w:lang w:val="fr-FR"/>
        </w:rPr>
        <w:tab/>
        <w:t xml:space="preserve">Plan annuel d’aquaculture (paragraphe 10 e) de la </w:t>
      </w:r>
      <w:hyperlink r:id="rId98" w:history="1">
        <w:r w:rsidRPr="004E13E9">
          <w:rPr>
            <w:rStyle w:val="Hyperlink"/>
            <w:b/>
            <w:u w:val="none"/>
            <w:lang w:val="fr-FR"/>
          </w:rPr>
          <w:t xml:space="preserve">Rec. 25-04 </w:t>
        </w:r>
      </w:hyperlink>
      <w:r w:rsidRPr="004E13E9">
        <w:rPr>
          <w:b/>
          <w:lang w:val="fr-FR"/>
        </w:rPr>
        <w:t xml:space="preserve">conformément à la </w:t>
      </w:r>
      <w:hyperlink r:id="rId99" w:history="1">
        <w:r w:rsidRPr="004E13E9">
          <w:rPr>
            <w:rStyle w:val="Hyperlink"/>
            <w:b/>
            <w:u w:val="none"/>
            <w:lang w:val="fr-FR"/>
          </w:rPr>
          <w:t>Rec. 24-07</w:t>
        </w:r>
      </w:hyperlink>
      <w:r w:rsidRPr="004E13E9">
        <w:rPr>
          <w:b/>
          <w:lang w:val="fr-FR"/>
        </w:rPr>
        <w:t>), le cas échéant</w:t>
      </w:r>
    </w:p>
    <w:p w14:paraId="5AF3BC5C" w14:textId="77777777" w:rsidR="00DF358A" w:rsidRPr="004E13E9" w:rsidRDefault="00DF358A" w:rsidP="00DF358A">
      <w:pPr>
        <w:contextualSpacing/>
        <w:jc w:val="both"/>
        <w:rPr>
          <w:rFonts w:eastAsia="MS Gothic" w:cs="Times New Roman"/>
          <w:bCs/>
          <w:lang w:val="fr-FR" w:eastAsia="fr-FR" w:bidi="fr-FR"/>
        </w:rPr>
      </w:pPr>
      <w:r w:rsidRPr="004E13E9">
        <w:rPr>
          <w:rFonts w:eastAsia="MS Gothic" w:cs="Times New Roman"/>
          <w:bCs/>
          <w:lang w:val="fr-FR" w:eastAsia="fr-FR" w:bidi="fr-FR"/>
        </w:rPr>
        <w:t>Non applicable.</w:t>
      </w:r>
    </w:p>
    <w:p w14:paraId="538DEECF" w14:textId="77777777" w:rsidR="00DF358A" w:rsidRPr="004E13E9" w:rsidRDefault="00DF358A" w:rsidP="00DF358A">
      <w:pPr>
        <w:contextualSpacing/>
        <w:jc w:val="both"/>
        <w:rPr>
          <w:rFonts w:eastAsia="MS Gothic" w:cs="Times New Roman"/>
          <w:b/>
          <w:lang w:val="fr-FR" w:eastAsia="fr-FR" w:bidi="fr-FR"/>
        </w:rPr>
      </w:pPr>
    </w:p>
    <w:p w14:paraId="070F6FCB" w14:textId="77777777" w:rsidR="00DF358A" w:rsidRPr="004E13E9" w:rsidRDefault="00DF358A" w:rsidP="00DF358A">
      <w:pPr>
        <w:contextualSpacing/>
        <w:jc w:val="both"/>
        <w:rPr>
          <w:rFonts w:eastAsia="MS Gothic" w:cs="Times New Roman"/>
          <w:b/>
          <w:lang w:val="fr-FR" w:eastAsia="fr-FR" w:bidi="fr-FR"/>
        </w:rPr>
      </w:pPr>
    </w:p>
    <w:p w14:paraId="76406422" w14:textId="77777777" w:rsidR="00DF358A" w:rsidRPr="004E13E9" w:rsidRDefault="00DF358A" w:rsidP="00DF358A">
      <w:pPr>
        <w:widowControl w:val="0"/>
        <w:ind w:left="426" w:hanging="426"/>
        <w:rPr>
          <w:rFonts w:eastAsia="MS Gothic" w:cs="Times New Roman"/>
          <w:b/>
          <w:lang w:val="fr-FR" w:eastAsia="fr-FR" w:bidi="fr-FR"/>
        </w:rPr>
      </w:pPr>
      <w:r w:rsidRPr="004E13E9">
        <w:rPr>
          <w:rFonts w:eastAsia="MS Gothic" w:cs="Times New Roman"/>
          <w:b/>
          <w:bCs/>
          <w:lang w:val="fr-FR" w:eastAsia="fr-FR" w:bidi="fr-FR"/>
        </w:rPr>
        <w:t>5.</w:t>
      </w:r>
      <w:r w:rsidRPr="004E13E9">
        <w:rPr>
          <w:rFonts w:eastAsia="MS Gothic" w:cs="Times New Roman"/>
          <w:b/>
          <w:lang w:val="fr-FR" w:eastAsia="fr-FR" w:bidi="fr-FR"/>
        </w:rPr>
        <w:t xml:space="preserve"> </w:t>
      </w:r>
      <w:r w:rsidRPr="004E13E9">
        <w:rPr>
          <w:rFonts w:eastAsia="MS Gothic" w:cs="Times New Roman"/>
          <w:b/>
          <w:lang w:val="fr-FR" w:eastAsia="fr-FR" w:bidi="fr-FR"/>
        </w:rPr>
        <w:tab/>
        <w:t>Plan de suivi, contrôle et inspection</w:t>
      </w:r>
    </w:p>
    <w:p w14:paraId="1F4E5EB2" w14:textId="77777777" w:rsidR="00DF358A" w:rsidRPr="004E13E9" w:rsidRDefault="00DF358A" w:rsidP="00DF358A">
      <w:pPr>
        <w:widowControl w:val="0"/>
        <w:rPr>
          <w:rFonts w:eastAsia="MS Gothic" w:cs="Times New Roman"/>
          <w:b/>
          <w:lang w:val="fr-FR" w:eastAsia="fr-FR" w:bidi="fr-FR"/>
        </w:rPr>
      </w:pPr>
    </w:p>
    <w:p w14:paraId="1C938D56" w14:textId="77777777" w:rsidR="00DF358A" w:rsidRPr="004E13E9" w:rsidRDefault="00DF358A" w:rsidP="00DF358A">
      <w:pPr>
        <w:widowControl w:val="0"/>
        <w:rPr>
          <w:rFonts w:eastAsia="MS Gothic" w:cs="Times New Roman"/>
          <w:b/>
          <w:i/>
          <w:iCs/>
          <w:lang w:val="fr-FR" w:eastAsia="fr-FR" w:bidi="fr-FR"/>
        </w:rPr>
      </w:pPr>
      <w:r w:rsidRPr="004E13E9">
        <w:rPr>
          <w:rFonts w:eastAsia="MS Gothic" w:cs="Times New Roman"/>
          <w:b/>
          <w:i/>
          <w:iCs/>
          <w:lang w:val="fr-FR" w:eastAsia="fr-FR" w:bidi="fr-FR"/>
        </w:rPr>
        <w:t>5a) Suivi, contrôle et inspection de la CPC (paragraphe 10 c)</w:t>
      </w:r>
    </w:p>
    <w:p w14:paraId="63A1D855" w14:textId="77777777" w:rsidR="00DF358A" w:rsidRPr="004E13E9" w:rsidRDefault="00DF358A" w:rsidP="00DF358A">
      <w:pPr>
        <w:contextualSpacing/>
        <w:jc w:val="both"/>
        <w:rPr>
          <w:rFonts w:eastAsia="MS Gothic" w:cs="Times New Roman"/>
          <w:b/>
          <w:lang w:val="fr-FR" w:eastAsia="fr-FR" w:bidi="fr-FR"/>
        </w:rPr>
      </w:pPr>
    </w:p>
    <w:p w14:paraId="52F528A4"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En vertu de la politique commune de la pêche (PCP), la responsabilité principale du contrôle et de l’exécution incombe aux autorités de l’État membre de l’UE.</w:t>
      </w:r>
    </w:p>
    <w:p w14:paraId="22250DC5" w14:textId="77777777" w:rsidR="00DF358A" w:rsidRPr="004E13E9" w:rsidRDefault="00DF358A" w:rsidP="00DF358A">
      <w:pPr>
        <w:contextualSpacing/>
        <w:jc w:val="both"/>
        <w:rPr>
          <w:rFonts w:eastAsia="MS Gothic" w:cs="Times New Roman"/>
          <w:lang w:val="fr-FR" w:eastAsia="fr-FR" w:bidi="fr-FR"/>
        </w:rPr>
      </w:pPr>
    </w:p>
    <w:p w14:paraId="028E1184"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 xml:space="preserve">La Commission européenne et l’AECP travaillent en collaboration avec les États membres de l’UE afin de garantir la transposition, dans le droit de l'UE et des États membres de l’UE, des dispositions établies par l’ICCAT, ainsi que leur exécution intégrale. </w:t>
      </w:r>
      <w:r w:rsidRPr="004E13E9">
        <w:rPr>
          <w:rFonts w:eastAsia="MS Gothic" w:cs="Times New Roman"/>
          <w:color w:val="000000"/>
          <w:lang w:val="fr-FR" w:eastAsia="fr-FR" w:bidi="fr-FR"/>
        </w:rPr>
        <w:t>Les outils mis en place sont détaillés ci-dessous.</w:t>
      </w:r>
      <w:r w:rsidRPr="004E13E9">
        <w:rPr>
          <w:rFonts w:eastAsia="MS Gothic" w:cs="Times New Roman"/>
          <w:lang w:val="fr-FR" w:eastAsia="fr-FR" w:bidi="fr-FR"/>
        </w:rPr>
        <w:t xml:space="preserve"> </w:t>
      </w:r>
    </w:p>
    <w:p w14:paraId="1F42AB5A" w14:textId="77777777" w:rsidR="00DF358A" w:rsidRPr="004E13E9" w:rsidRDefault="00DF358A" w:rsidP="00DF358A">
      <w:pPr>
        <w:contextualSpacing/>
        <w:jc w:val="both"/>
        <w:rPr>
          <w:rFonts w:eastAsia="MS Gothic" w:cs="Times New Roman"/>
          <w:i/>
          <w:color w:val="000000"/>
          <w:lang w:val="fr-FR" w:eastAsia="fr-FR" w:bidi="fr-FR"/>
        </w:rPr>
      </w:pPr>
    </w:p>
    <w:p w14:paraId="5BB47097" w14:textId="77777777" w:rsidR="00DF358A" w:rsidRPr="004E13E9" w:rsidRDefault="00DF358A" w:rsidP="00DF358A">
      <w:pPr>
        <w:ind w:left="284" w:hanging="284"/>
        <w:contextualSpacing/>
        <w:jc w:val="both"/>
        <w:rPr>
          <w:rFonts w:eastAsia="MS Gothic" w:cs="Times New Roman"/>
          <w:i/>
          <w:lang w:val="fr-FR" w:eastAsia="fr-FR" w:bidi="fr-FR"/>
        </w:rPr>
      </w:pPr>
      <w:r w:rsidRPr="004E13E9">
        <w:rPr>
          <w:rFonts w:eastAsia="MS Gothic" w:cs="Times New Roman"/>
          <w:i/>
          <w:lang w:val="fr-FR" w:eastAsia="fr-FR" w:bidi="fr-FR"/>
        </w:rPr>
        <w:t>5.a.1. Évaluation de la mise en œuvre par les États membres des règles de pêche en vigueur</w:t>
      </w:r>
    </w:p>
    <w:p w14:paraId="345039FB" w14:textId="77777777" w:rsidR="00DF358A" w:rsidRPr="004E13E9" w:rsidRDefault="00DF358A" w:rsidP="00DF358A">
      <w:pPr>
        <w:keepNext/>
        <w:tabs>
          <w:tab w:val="num" w:pos="1920"/>
          <w:tab w:val="num" w:pos="2542"/>
        </w:tabs>
        <w:ind w:left="567" w:hanging="567"/>
        <w:contextualSpacing/>
        <w:jc w:val="both"/>
        <w:outlineLvl w:val="2"/>
        <w:rPr>
          <w:rFonts w:eastAsia="MS Gothic" w:cs="Times New Roman"/>
          <w:i/>
          <w:color w:val="000000"/>
          <w:lang w:val="fr-FR" w:eastAsia="fr-FR" w:bidi="fr-FR"/>
        </w:rPr>
      </w:pPr>
    </w:p>
    <w:p w14:paraId="7B38C086" w14:textId="394B43EC" w:rsidR="007E20D4" w:rsidRPr="004E13E9" w:rsidRDefault="00DF358A" w:rsidP="007E20D4">
      <w:pPr>
        <w:contextualSpacing/>
        <w:jc w:val="both"/>
        <w:rPr>
          <w:lang w:val="fr-FR"/>
        </w:rPr>
      </w:pPr>
      <w:r w:rsidRPr="004E13E9">
        <w:rPr>
          <w:lang w:val="fr-FR"/>
        </w:rPr>
        <w:t xml:space="preserve">Dans le cadre de la politique commune de la pêche de l'UE, l'une des tâches de la Commission européenne est de veiller à ce que les États membres </w:t>
      </w:r>
      <w:r w:rsidRPr="004E13E9">
        <w:rPr>
          <w:rFonts w:eastAsia="MS Gothic" w:cs="Times New Roman"/>
          <w:lang w:val="fr-FR" w:eastAsia="fr-FR" w:bidi="fr-FR"/>
        </w:rPr>
        <w:t>de l’UE</w:t>
      </w:r>
      <w:r w:rsidRPr="004E13E9">
        <w:rPr>
          <w:lang w:val="fr-FR"/>
        </w:rPr>
        <w:t xml:space="preserve"> respectent les obligations légales définies dans le cadre de l'UE, y compris celles découlant des règles de l’ICCAT.</w:t>
      </w:r>
      <w:r w:rsidR="007E20D4" w:rsidRPr="004E13E9">
        <w:rPr>
          <w:lang w:val="fr-FR"/>
        </w:rPr>
        <w:br w:type="page"/>
      </w:r>
    </w:p>
    <w:p w14:paraId="269F0A71" w14:textId="63EC4C52" w:rsidR="00DF358A" w:rsidRPr="004E13E9" w:rsidRDefault="00DF358A" w:rsidP="00DF358A">
      <w:pPr>
        <w:contextualSpacing/>
        <w:jc w:val="both"/>
        <w:rPr>
          <w:lang w:val="fr-FR"/>
        </w:rPr>
      </w:pPr>
      <w:r w:rsidRPr="004E13E9">
        <w:rPr>
          <w:lang w:val="fr-FR"/>
        </w:rPr>
        <w:t>La Commission européenne effectue ce contrôle principalement au moyen de trois outils : les vérifications, les inspections autonomes et les audits. Une unité spécifique de la Direction des affaires maritimes et de la pêche (DG MARE) effectue ces vérifications de manière régulière. Cette supervision par la Commission européenne de l'activité de contrôle exercée par les États membres</w:t>
      </w:r>
      <w:r w:rsidRPr="004E13E9">
        <w:rPr>
          <w:rFonts w:eastAsia="MS Gothic" w:cs="Times New Roman"/>
          <w:lang w:val="fr-FR" w:eastAsia="fr-FR" w:bidi="fr-FR"/>
        </w:rPr>
        <w:t xml:space="preserve"> de l’UE</w:t>
      </w:r>
      <w:r w:rsidRPr="004E13E9">
        <w:rPr>
          <w:lang w:val="fr-FR"/>
        </w:rPr>
        <w:t xml:space="preserve">, qui est prévue au titre X du Règlement de contrôle de l'UE 1224/2009, « Évaluation et contrôle par la Commission », représente une couche supplémentaire qui permet d'assurer un contrôle efficace. À cet égard, si la Commission européenne estime que des irrégularités ont été commises dans la mise en œuvre des règles, elle assure le suivi des lacunes constatées en utilisant différents outils tels que les enquêtes administratives, les projets pilotes de l'UE ou les plans d'action. Si les autorités de l'État membre </w:t>
      </w:r>
      <w:r w:rsidRPr="004E13E9">
        <w:rPr>
          <w:rFonts w:eastAsia="MS Gothic" w:cs="Times New Roman"/>
          <w:lang w:val="fr-FR" w:eastAsia="fr-FR" w:bidi="fr-FR"/>
        </w:rPr>
        <w:t>de l’UE</w:t>
      </w:r>
      <w:r w:rsidRPr="004E13E9">
        <w:rPr>
          <w:lang w:val="fr-FR"/>
        </w:rPr>
        <w:t xml:space="preserve"> ne corrigent pas les lacunes, la Commission européenne peut ouvrir une procédure d'infraction contre l'État membre</w:t>
      </w:r>
      <w:r w:rsidRPr="004E13E9">
        <w:rPr>
          <w:rFonts w:eastAsia="MS Gothic" w:cs="Times New Roman"/>
          <w:lang w:val="fr-FR" w:eastAsia="fr-FR" w:bidi="fr-FR"/>
        </w:rPr>
        <w:t xml:space="preserve"> de l’UE</w:t>
      </w:r>
      <w:r w:rsidRPr="004E13E9">
        <w:rPr>
          <w:lang w:val="fr-FR"/>
        </w:rPr>
        <w:t>.</w:t>
      </w:r>
    </w:p>
    <w:p w14:paraId="3E60674B" w14:textId="77777777" w:rsidR="00DF358A" w:rsidRPr="004E13E9" w:rsidRDefault="00DF358A" w:rsidP="00DF358A">
      <w:pPr>
        <w:contextualSpacing/>
        <w:jc w:val="both"/>
        <w:rPr>
          <w:lang w:val="fr-FR"/>
        </w:rPr>
      </w:pPr>
    </w:p>
    <w:p w14:paraId="136784B6"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Bien que le programme d’inspection puisse encore faire l’objet de modification compte tenu des particularités de la campagne de pêche de 2026, les inspecteurs de la Commission européenne seront très actifs en 2026.</w:t>
      </w:r>
    </w:p>
    <w:p w14:paraId="055AF324" w14:textId="77777777" w:rsidR="00DF358A" w:rsidRPr="004E13E9" w:rsidRDefault="00DF358A" w:rsidP="00DF358A">
      <w:pPr>
        <w:contextualSpacing/>
        <w:jc w:val="both"/>
        <w:rPr>
          <w:lang w:val="fr-FR"/>
        </w:rPr>
      </w:pPr>
    </w:p>
    <w:p w14:paraId="0D2E6853" w14:textId="77777777" w:rsidR="00DF358A" w:rsidRPr="004E13E9" w:rsidRDefault="00DF358A" w:rsidP="00DF358A">
      <w:pPr>
        <w:keepNext/>
        <w:tabs>
          <w:tab w:val="num" w:pos="1920"/>
          <w:tab w:val="num" w:pos="2542"/>
        </w:tabs>
        <w:ind w:left="567" w:hanging="567"/>
        <w:contextualSpacing/>
        <w:jc w:val="both"/>
        <w:outlineLvl w:val="2"/>
        <w:rPr>
          <w:rFonts w:eastAsia="MS Gothic" w:cs="Times New Roman"/>
          <w:i/>
          <w:color w:val="000000"/>
          <w:lang w:val="fr-FR" w:eastAsia="fr-FR" w:bidi="fr-FR"/>
        </w:rPr>
      </w:pPr>
      <w:r w:rsidRPr="004E13E9">
        <w:rPr>
          <w:rFonts w:eastAsia="MS Gothic" w:cs="Times New Roman"/>
          <w:i/>
          <w:color w:val="000000"/>
          <w:lang w:val="fr-FR" w:eastAsia="fr-FR" w:bidi="fr-FR"/>
        </w:rPr>
        <w:t>5.a.2 Système de suivi des navires et équipe opérationnelle</w:t>
      </w:r>
    </w:p>
    <w:p w14:paraId="4864ED20" w14:textId="77777777" w:rsidR="00DF358A" w:rsidRPr="004E13E9" w:rsidRDefault="00DF358A" w:rsidP="00DF358A">
      <w:pPr>
        <w:keepNext/>
        <w:tabs>
          <w:tab w:val="num" w:pos="1920"/>
          <w:tab w:val="num" w:pos="2542"/>
        </w:tabs>
        <w:spacing w:after="240"/>
        <w:ind w:left="567" w:hanging="567"/>
        <w:contextualSpacing/>
        <w:jc w:val="both"/>
        <w:outlineLvl w:val="2"/>
        <w:rPr>
          <w:rFonts w:eastAsia="MS Gothic" w:cs="Times New Roman"/>
          <w:i/>
          <w:color w:val="000000"/>
          <w:lang w:val="fr-FR" w:eastAsia="fr-FR" w:bidi="fr-FR"/>
        </w:rPr>
      </w:pPr>
    </w:p>
    <w:p w14:paraId="62E9CE92"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Tous les navires seront suivis de manière continue par le système de surveillance des navires par satellite (VMS) et toute interruption de la transmission des données VMS sera directement suivie avec l’État membre de l’UE concerné.</w:t>
      </w:r>
    </w:p>
    <w:p w14:paraId="3EA6B119" w14:textId="77777777" w:rsidR="00DF358A" w:rsidRPr="004E13E9" w:rsidRDefault="00DF358A" w:rsidP="00DF358A">
      <w:pPr>
        <w:contextualSpacing/>
        <w:jc w:val="both"/>
        <w:rPr>
          <w:rFonts w:eastAsia="MS Gothic" w:cs="Times New Roman"/>
          <w:lang w:val="fr-FR" w:eastAsia="fr-FR" w:bidi="fr-FR"/>
        </w:rPr>
      </w:pPr>
    </w:p>
    <w:p w14:paraId="1BE4E1CD"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Les États membres de l’UE surveillent en permanence l'activité de leurs flottilles, par l'intermédiaire de leurs FMC, qui sont opérationnels 24 heures sur 24 et 7 jours sur 7.</w:t>
      </w:r>
    </w:p>
    <w:p w14:paraId="36B74785" w14:textId="77777777" w:rsidR="00DF358A" w:rsidRPr="004E13E9" w:rsidRDefault="00DF358A" w:rsidP="00DF358A">
      <w:pPr>
        <w:keepNext/>
        <w:tabs>
          <w:tab w:val="num" w:pos="1920"/>
          <w:tab w:val="num" w:pos="2542"/>
        </w:tabs>
        <w:ind w:left="567" w:hanging="567"/>
        <w:contextualSpacing/>
        <w:jc w:val="both"/>
        <w:outlineLvl w:val="2"/>
        <w:rPr>
          <w:rFonts w:eastAsia="MS Gothic" w:cs="Times New Roman"/>
          <w:i/>
          <w:color w:val="000000"/>
          <w:lang w:val="fr-FR" w:eastAsia="fr-FR" w:bidi="fr-FR"/>
        </w:rPr>
      </w:pPr>
    </w:p>
    <w:p w14:paraId="303F8F2F"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L’équipe en charge au sein de la Commission européenne de la déclaration des prises et du système de VMS assurera un suivi en temps réel des transmissions VMS en résolvant les défaillances potentielles du système, et réalisera des vérifications par croisement exhaustives afin d’éviter tout dépassement éventuel de quota.</w:t>
      </w:r>
    </w:p>
    <w:p w14:paraId="1164DE0F" w14:textId="77777777" w:rsidR="00DF358A" w:rsidRPr="004E13E9" w:rsidRDefault="00DF358A" w:rsidP="00DF358A">
      <w:pPr>
        <w:contextualSpacing/>
        <w:jc w:val="both"/>
        <w:rPr>
          <w:rFonts w:eastAsia="MS Gothic" w:cs="Times New Roman"/>
          <w:lang w:val="fr-FR" w:eastAsia="fr-FR" w:bidi="fr-FR"/>
        </w:rPr>
      </w:pPr>
      <w:bookmarkStart w:id="24" w:name="_Ref1143856"/>
    </w:p>
    <w:bookmarkEnd w:id="24"/>
    <w:p w14:paraId="7223F3CB" w14:textId="77777777" w:rsidR="00DF358A" w:rsidRPr="004E13E9" w:rsidRDefault="00DF358A" w:rsidP="00DF358A">
      <w:pPr>
        <w:widowControl w:val="0"/>
        <w:ind w:left="426" w:hanging="426"/>
        <w:jc w:val="both"/>
        <w:rPr>
          <w:rFonts w:eastAsia="MS Gothic" w:cs="Times New Roman"/>
          <w:b/>
          <w:i/>
          <w:iCs/>
          <w:lang w:val="fr-FR" w:eastAsia="fr-FR" w:bidi="fr-FR"/>
        </w:rPr>
      </w:pPr>
      <w:r w:rsidRPr="004E13E9">
        <w:rPr>
          <w:rFonts w:eastAsia="MS Gothic" w:cs="Times New Roman"/>
          <w:b/>
          <w:i/>
          <w:iCs/>
          <w:lang w:val="fr-FR" w:eastAsia="fr-FR" w:bidi="fr-FR"/>
        </w:rPr>
        <w:t>5b) Programme d’inspection internationale conjointe (JIS) (paragraphes 232-235)</w:t>
      </w:r>
    </w:p>
    <w:p w14:paraId="684CB724" w14:textId="77777777" w:rsidR="00DF358A" w:rsidRPr="004E13E9" w:rsidRDefault="00DF358A" w:rsidP="00DF358A">
      <w:pPr>
        <w:widowControl w:val="0"/>
        <w:ind w:left="284" w:hanging="284"/>
        <w:contextualSpacing/>
        <w:jc w:val="both"/>
        <w:rPr>
          <w:rFonts w:eastAsia="MS Gothic" w:cs="Times New Roman"/>
          <w:b/>
          <w:i/>
          <w:color w:val="000000"/>
          <w:lang w:val="fr-FR" w:eastAsia="fr-FR" w:bidi="fr-FR"/>
        </w:rPr>
      </w:pPr>
    </w:p>
    <w:p w14:paraId="621ADEC8" w14:textId="77777777" w:rsidR="00DF358A" w:rsidRPr="004E13E9" w:rsidRDefault="00DF358A" w:rsidP="00DF358A">
      <w:pPr>
        <w:contextualSpacing/>
        <w:jc w:val="both"/>
        <w:rPr>
          <w:rFonts w:eastAsia="MS Gothic" w:cs="Times New Roman"/>
          <w:bCs/>
          <w:iCs/>
          <w:color w:val="000000"/>
          <w:lang w:val="fr-FR" w:eastAsia="ja-JP" w:bidi="fr-FR"/>
        </w:rPr>
      </w:pPr>
      <w:r w:rsidRPr="004E13E9">
        <w:rPr>
          <w:rFonts w:eastAsia="MS Gothic" w:cs="Times New Roman"/>
          <w:bCs/>
          <w:iCs/>
          <w:color w:val="000000"/>
          <w:lang w:val="fr-FR" w:eastAsia="ja-JP" w:bidi="fr-FR"/>
        </w:rPr>
        <w:t>Le programme d'inspection internationale conjointe de l’ICCAT, tel que défini aux paragraphes 232 à 235 et à l'annexe 7 de la Rec. 25-04 sera pleinement mis en œuvre par l'UE et coordonné par l’AECP. L’AECP coordonnera également tout échange volontaire de personnel d'inspection convenu avec d'autres CPC conformément aux dispositions de la Résolution 19-17.</w:t>
      </w:r>
    </w:p>
    <w:p w14:paraId="3BE17E6A" w14:textId="77777777" w:rsidR="00DF358A" w:rsidRPr="004E13E9" w:rsidRDefault="00DF358A" w:rsidP="00DF358A">
      <w:pPr>
        <w:ind w:left="284" w:hanging="284"/>
        <w:contextualSpacing/>
        <w:jc w:val="both"/>
        <w:rPr>
          <w:rFonts w:eastAsia="MS Gothic" w:cs="Times New Roman"/>
          <w:bCs/>
          <w:i/>
          <w:lang w:val="fr-FR" w:eastAsia="ja-JP" w:bidi="fr-FR"/>
        </w:rPr>
      </w:pPr>
    </w:p>
    <w:p w14:paraId="54BB8797" w14:textId="77777777" w:rsidR="00DF358A" w:rsidRPr="004E13E9" w:rsidRDefault="00DF358A" w:rsidP="00DF358A">
      <w:pPr>
        <w:ind w:left="284" w:hanging="284"/>
        <w:contextualSpacing/>
        <w:jc w:val="both"/>
        <w:rPr>
          <w:rFonts w:eastAsia="MS Gothic" w:cs="Times New Roman"/>
          <w:bCs/>
          <w:i/>
          <w:lang w:val="fr-FR" w:eastAsia="ja-JP" w:bidi="fr-FR"/>
        </w:rPr>
      </w:pPr>
      <w:r w:rsidRPr="004E13E9">
        <w:rPr>
          <w:rFonts w:eastAsia="MS Gothic" w:cs="Times New Roman"/>
          <w:bCs/>
          <w:i/>
          <w:lang w:val="fr-FR" w:eastAsia="ja-JP" w:bidi="fr-FR"/>
        </w:rPr>
        <w:t>5.b.1 Programme spécifique de contrôle et d'inspection</w:t>
      </w:r>
    </w:p>
    <w:p w14:paraId="394D98F4" w14:textId="77777777" w:rsidR="00DF358A" w:rsidRPr="004E13E9" w:rsidRDefault="00DF358A" w:rsidP="00DF358A">
      <w:pPr>
        <w:ind w:left="284" w:hanging="284"/>
        <w:contextualSpacing/>
        <w:jc w:val="both"/>
        <w:rPr>
          <w:rFonts w:eastAsia="MS Gothic" w:cs="Times New Roman"/>
          <w:b/>
          <w:i/>
          <w:color w:val="000000"/>
          <w:lang w:val="fr-FR" w:eastAsia="ja-JP" w:bidi="fr-FR"/>
        </w:rPr>
      </w:pPr>
    </w:p>
    <w:p w14:paraId="70F18E19" w14:textId="77777777" w:rsidR="00DF358A" w:rsidRPr="004E13E9" w:rsidRDefault="00DF358A" w:rsidP="00DF358A">
      <w:pPr>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Sur la base du travail réalisé dans le cadre du Programme ICCAT d’inspection internationale conjointe et des expériences acquises au cours des dernières années, l'UE dispose actuellement du Programme spécifique de contrôle et d’inspection (SCIP)</w:t>
      </w:r>
      <w:r w:rsidRPr="004E13E9">
        <w:rPr>
          <w:rFonts w:eastAsia="Times New Roman" w:cs="Times New Roman"/>
          <w:color w:val="000000"/>
          <w:vertAlign w:val="superscript"/>
        </w:rPr>
        <w:footnoteReference w:id="19"/>
      </w:r>
      <w:r w:rsidRPr="004E13E9">
        <w:rPr>
          <w:rFonts w:eastAsia="MS Gothic" w:cs="Times New Roman"/>
          <w:color w:val="000000"/>
          <w:lang w:val="fr-FR" w:eastAsia="fr-FR" w:bidi="fr-FR"/>
        </w:rPr>
        <w:t xml:space="preserve">, visant au suivi de la mise en œuvre des programmes de gestion du thon rouge et de rétablissement de l’espadon et de leur exécution. Ce programme constitue une initiative conjointe qui met en commun les ressources de la Commission européenne, de l’AECP et des États membres </w:t>
      </w:r>
      <w:r w:rsidRPr="004E13E9">
        <w:rPr>
          <w:rFonts w:eastAsia="MS Gothic" w:cs="Times New Roman"/>
          <w:lang w:val="fr-FR" w:eastAsia="fr-FR" w:bidi="fr-FR"/>
        </w:rPr>
        <w:t>de l’UE</w:t>
      </w:r>
      <w:r w:rsidRPr="004E13E9">
        <w:rPr>
          <w:rFonts w:eastAsia="MS Gothic" w:cs="Times New Roman"/>
          <w:color w:val="000000"/>
          <w:lang w:val="fr-FR" w:eastAsia="fr-FR" w:bidi="fr-FR"/>
        </w:rPr>
        <w:t xml:space="preserve"> prenant part à ces pêcheries. </w:t>
      </w:r>
    </w:p>
    <w:p w14:paraId="7DE53D87" w14:textId="77777777" w:rsidR="00DF358A" w:rsidRPr="004E13E9" w:rsidRDefault="00DF358A" w:rsidP="00DF358A">
      <w:pPr>
        <w:contextualSpacing/>
        <w:jc w:val="both"/>
        <w:rPr>
          <w:rFonts w:eastAsia="MS Gothic" w:cs="Times New Roman"/>
          <w:i/>
          <w:lang w:val="fr-FR" w:eastAsia="fr-FR" w:bidi="fr-FR"/>
        </w:rPr>
      </w:pPr>
    </w:p>
    <w:p w14:paraId="5E766C56" w14:textId="77777777" w:rsidR="00DF358A" w:rsidRPr="004E13E9" w:rsidRDefault="00DF358A" w:rsidP="00DF358A">
      <w:pPr>
        <w:tabs>
          <w:tab w:val="left" w:pos="567"/>
        </w:tabs>
        <w:ind w:left="284" w:hanging="284"/>
        <w:contextualSpacing/>
        <w:jc w:val="both"/>
        <w:rPr>
          <w:rFonts w:eastAsia="MS Gothic" w:cs="Times New Roman"/>
          <w:i/>
          <w:lang w:val="fr-FR" w:eastAsia="fr-FR" w:bidi="fr-FR"/>
        </w:rPr>
      </w:pPr>
      <w:r w:rsidRPr="004E13E9">
        <w:rPr>
          <w:rFonts w:eastAsia="MS Gothic" w:cs="Times New Roman"/>
          <w:i/>
          <w:lang w:val="fr-FR" w:eastAsia="fr-FR" w:bidi="fr-FR"/>
        </w:rPr>
        <w:t>5.b.2 Plan de déploiement conjoint (JDP) pour l'Atlantique Est et la Méditerranée</w:t>
      </w:r>
    </w:p>
    <w:p w14:paraId="002708AC" w14:textId="77777777" w:rsidR="00DF358A" w:rsidRPr="004E13E9" w:rsidRDefault="00DF358A" w:rsidP="00DF358A">
      <w:pPr>
        <w:ind w:left="284" w:hanging="284"/>
        <w:contextualSpacing/>
        <w:jc w:val="both"/>
        <w:rPr>
          <w:rFonts w:eastAsia="MS Gothic" w:cs="Times New Roman"/>
          <w:color w:val="000000"/>
          <w:lang w:val="fr-FR" w:eastAsia="fr-FR" w:bidi="fr-FR"/>
        </w:rPr>
      </w:pPr>
    </w:p>
    <w:p w14:paraId="74845166" w14:textId="77777777" w:rsidR="00DF358A" w:rsidRPr="004E13E9" w:rsidRDefault="00DF358A" w:rsidP="00DF358A">
      <w:pPr>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En coopération avec la Commission européenne et les États membres</w:t>
      </w:r>
      <w:r w:rsidRPr="004E13E9">
        <w:rPr>
          <w:rFonts w:eastAsia="MS Gothic" w:cs="Times New Roman"/>
          <w:lang w:val="fr-FR" w:eastAsia="fr-FR" w:bidi="fr-FR"/>
        </w:rPr>
        <w:t xml:space="preserve"> de l’UE</w:t>
      </w:r>
      <w:r w:rsidRPr="004E13E9">
        <w:rPr>
          <w:rFonts w:eastAsia="MS Gothic" w:cs="Times New Roman"/>
          <w:color w:val="000000"/>
          <w:lang w:val="fr-FR" w:eastAsia="fr-FR" w:bidi="fr-FR"/>
        </w:rPr>
        <w:t xml:space="preserve">, l'AECP adopte chaque année un plan de déploiement conjoint (JDP) qui inclut une stratégie de contrôle du thon rouge de l'Atlantique Est et de la Méditerranée, ainsi que de l'espadon de la Méditerranée et du germon de Méditerranée. Ce plan de déploiement conjoint (JDP) met en œuvre le programme de contrôle et d'inspection spécifique et couvre toutes les étapes de la chaîne de commercialisation ainsi que les contrôles en mer, sur terre, dans les madragues et les fermes. </w:t>
      </w:r>
    </w:p>
    <w:p w14:paraId="1333A8A0" w14:textId="77777777" w:rsidR="00DF358A" w:rsidRPr="004E13E9" w:rsidRDefault="00DF358A" w:rsidP="00DF358A">
      <w:pPr>
        <w:contextualSpacing/>
        <w:jc w:val="both"/>
        <w:rPr>
          <w:rFonts w:eastAsia="Calibri" w:cs="Times New Roman"/>
          <w:color w:val="000000"/>
          <w:lang w:val="fr-FR" w:eastAsia="fr-FR" w:bidi="fr-FR"/>
        </w:rPr>
      </w:pPr>
    </w:p>
    <w:p w14:paraId="76A70ECF" w14:textId="225FA979" w:rsidR="007E20D4" w:rsidRPr="004E13E9" w:rsidRDefault="00DF358A" w:rsidP="007E20D4">
      <w:pPr>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 xml:space="preserve">L'AECP </w:t>
      </w:r>
      <w:r w:rsidRPr="004E13E9">
        <w:rPr>
          <w:rFonts w:eastAsia="Calibri" w:cs="Times New Roman"/>
          <w:color w:val="000000"/>
          <w:lang w:val="fr-FR" w:eastAsia="fr-FR" w:bidi="fr-FR"/>
        </w:rPr>
        <w:t>coordonne également la mise en œuvre du programme international conjoint d'inspection (JIS) pour le thon rouge et l'espadon, comme le prévoient les mesures de conservation et de gestion de l’ICCAT. Les campagnes conjointes sont planifiées, mises en œuvre et évaluées chaque année dans le cadre du JDP méditerranéen, en étroite collaboration avec la Commission européenne, l'État membre concerné et l</w:t>
      </w:r>
      <w:r w:rsidRPr="004E13E9">
        <w:rPr>
          <w:rFonts w:eastAsia="MS Gothic" w:cs="Times New Roman"/>
          <w:color w:val="000000"/>
          <w:lang w:val="fr-FR" w:eastAsia="fr-FR" w:bidi="fr-FR"/>
        </w:rPr>
        <w:t>'AECP</w:t>
      </w:r>
      <w:r w:rsidRPr="004E13E9">
        <w:rPr>
          <w:rFonts w:eastAsia="Calibri" w:cs="Times New Roman"/>
          <w:color w:val="000000"/>
          <w:lang w:val="fr-FR" w:eastAsia="fr-FR" w:bidi="fr-FR"/>
        </w:rPr>
        <w:t>.</w:t>
      </w:r>
      <w:r w:rsidR="007E20D4" w:rsidRPr="004E13E9">
        <w:rPr>
          <w:rFonts w:eastAsia="MS Gothic" w:cs="Times New Roman"/>
          <w:color w:val="000000"/>
          <w:lang w:val="fr-FR" w:eastAsia="fr-FR" w:bidi="fr-FR"/>
        </w:rPr>
        <w:br w:type="page"/>
      </w:r>
    </w:p>
    <w:p w14:paraId="37CE2AE2" w14:textId="060E88E9" w:rsidR="00DF358A" w:rsidRPr="004E13E9" w:rsidRDefault="00DF358A" w:rsidP="00DF358A">
      <w:pPr>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Dans le cadre du JDP, l’AECP va coordonner en 2026 les activités conjointes d'inspection et de contrôle dans l’Atlantique Est et en Méditerranée en mobilisant plusieurs navires patrouilleurs et des avions. L'AECP affrète également trois de ses propres navires de patrouille de pêche hauturière et compte une capacité de surveillance aérienne. Bien que les stratégies opérationnelles et les zones exactes d’opération demeurent confidentielles, les zones générales couvertes par le JDP de 2026 incluront l’Atlantique Est (zones CIEM VII, VIII, IX, X et COPACE 34.1.1, 34.1.2 et 34.2.0) et la Méditerranée (occidentale, centrale et orientale). Les opérations de contrôle porteront en particulier sur les activités des senneurs, des remorqueurs, des palangriers et d’élevage, sans toutefois s’y limiter. En 2026, l'UE réalisera jusqu'à 551 jours d'activités de contrôle et d'inspection en mer et 35 vols généraux de surveillance aérienne, ce qui correspond au nombre total de jours engagés pour toutes les campagnes spécifiques dans le cadre du JDP.</w:t>
      </w:r>
    </w:p>
    <w:p w14:paraId="7B5002A1" w14:textId="77777777" w:rsidR="00DF358A" w:rsidRPr="004E13E9" w:rsidRDefault="00DF358A" w:rsidP="00DF358A">
      <w:pPr>
        <w:contextualSpacing/>
        <w:jc w:val="both"/>
        <w:rPr>
          <w:rFonts w:eastAsia="MS Gothic" w:cs="Times New Roman"/>
          <w:color w:val="000000"/>
          <w:lang w:val="fr-FR" w:eastAsia="fr-FR" w:bidi="fr-FR"/>
        </w:rPr>
      </w:pPr>
    </w:p>
    <w:p w14:paraId="4781D538" w14:textId="77777777" w:rsidR="00DF358A" w:rsidRPr="004E13E9" w:rsidRDefault="00DF358A" w:rsidP="00DF358A">
      <w:pPr>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 xml:space="preserve">Un Comité directeur du JDP, composé des représentants de l'AECP, de la Commission européenne et des États membres </w:t>
      </w:r>
      <w:r w:rsidRPr="004E13E9">
        <w:rPr>
          <w:rFonts w:eastAsia="MS Gothic" w:cs="Times New Roman"/>
          <w:lang w:val="fr-FR" w:eastAsia="fr-FR" w:bidi="fr-FR"/>
        </w:rPr>
        <w:t>de l’UE</w:t>
      </w:r>
      <w:r w:rsidRPr="004E13E9">
        <w:rPr>
          <w:rFonts w:eastAsia="MS Gothic" w:cs="Times New Roman"/>
          <w:color w:val="000000"/>
          <w:lang w:val="fr-FR" w:eastAsia="fr-FR" w:bidi="fr-FR"/>
        </w:rPr>
        <w:t xml:space="preserve">, oriente la stratégie globale des activités d’inspection et supervise la mise en œuvre du JDP. Les priorités en matière de stratégie et de contrôle se basent sur une évaluation des risques menée tous les ans par les États membres </w:t>
      </w:r>
      <w:r w:rsidRPr="004E13E9">
        <w:rPr>
          <w:rFonts w:eastAsia="MS Gothic" w:cs="Times New Roman"/>
          <w:lang w:val="fr-FR" w:eastAsia="fr-FR" w:bidi="fr-FR"/>
        </w:rPr>
        <w:t>de l’UE</w:t>
      </w:r>
      <w:r w:rsidRPr="004E13E9">
        <w:rPr>
          <w:rFonts w:eastAsia="MS Gothic" w:cs="Times New Roman"/>
          <w:color w:val="000000"/>
          <w:lang w:val="fr-FR" w:eastAsia="fr-FR" w:bidi="fr-FR"/>
        </w:rPr>
        <w:t xml:space="preserve"> et coordonnée par l'AECP.</w:t>
      </w:r>
    </w:p>
    <w:p w14:paraId="5ADDB390" w14:textId="77777777" w:rsidR="00DF358A" w:rsidRPr="004E13E9" w:rsidRDefault="00DF358A" w:rsidP="00DF358A">
      <w:pPr>
        <w:contextualSpacing/>
        <w:jc w:val="both"/>
        <w:rPr>
          <w:rFonts w:eastAsia="MS Gothic" w:cs="Times New Roman"/>
          <w:color w:val="000000"/>
          <w:lang w:val="fr-FR" w:eastAsia="fr-FR" w:bidi="fr-FR"/>
        </w:rPr>
      </w:pPr>
    </w:p>
    <w:p w14:paraId="063E7C93" w14:textId="77777777" w:rsidR="00DF358A" w:rsidRPr="004E13E9" w:rsidRDefault="00DF358A" w:rsidP="00DF358A">
      <w:pPr>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Tous les cas de non-application potentielle seront notifiés à l’État de pavillon du navire/de l’opérateur concerné et au Secrétariat de l’ICCAT, conformément aux procédures stipulées dans les recommandations respectives de l’ICCAT. Les mesures de suivi prises en cas de détection d'une infraction potentielle seront communiquées par la Commission européenne au Secrétariat de l’ICCAT afin d'être publiées conformément à l'appendice de l'annexe 7 de la Recommandation 25-04.</w:t>
      </w:r>
    </w:p>
    <w:p w14:paraId="263DBE0A" w14:textId="77777777" w:rsidR="00DF358A" w:rsidRPr="004E13E9" w:rsidRDefault="00DF358A" w:rsidP="00DF358A">
      <w:pPr>
        <w:contextualSpacing/>
        <w:jc w:val="both"/>
        <w:rPr>
          <w:rFonts w:eastAsia="Calibri" w:cs="Times New Roman"/>
          <w:color w:val="000000"/>
          <w:lang w:val="fr-FR" w:eastAsia="fr-FR" w:bidi="fr-FR"/>
        </w:rPr>
      </w:pPr>
    </w:p>
    <w:p w14:paraId="29B046AC" w14:textId="77777777" w:rsidR="00DF358A" w:rsidRPr="004E13E9" w:rsidRDefault="00DF358A" w:rsidP="00DF358A">
      <w:pPr>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 xml:space="preserve">L'AECP coopère également avec l'EMSA (Agence européenne pour la sécurité maritime) et FRONTEX (l'Agence européenne de garde-frontières et de garde-côtes), chacune dans le cadre de son mandat, pour aider les autorités nationales exerçant des fonctions de garde-côte en fournissant des services, des informations, des équipements et une formation comme en coordonnant des opérations polyvalentes. Au nombre des outils utilisés pour appuyer ces opérations polyvalentes, citons le service IMS (Système maritime intégré), qui est une application qui fournit une image maritime intégrée basée sur la fusion en temps réel du VMS, du système automatique d'identification (AIS) et d'autres données maritimes connexes. </w:t>
      </w:r>
    </w:p>
    <w:p w14:paraId="6A94016F" w14:textId="77777777" w:rsidR="00DF358A" w:rsidRPr="004E13E9" w:rsidRDefault="00DF358A" w:rsidP="00DF358A">
      <w:pPr>
        <w:contextualSpacing/>
        <w:jc w:val="both"/>
        <w:rPr>
          <w:rFonts w:eastAsia="MS Gothic" w:cs="Times New Roman"/>
          <w:color w:val="000000"/>
          <w:lang w:val="fr-FR" w:eastAsia="fr-FR" w:bidi="fr-FR"/>
        </w:rPr>
      </w:pPr>
    </w:p>
    <w:p w14:paraId="4B07EE11" w14:textId="77777777" w:rsidR="00DF358A" w:rsidRPr="004E13E9" w:rsidRDefault="00DF358A" w:rsidP="00DF358A">
      <w:pPr>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Enfin, l'AECP promeut également une coopération opérationnelle avec d'autres Parties contractantes de l’ICCAT, comme l'échange d'inspecteurs et d'activités de formation, ainsi que des ateliers de formation lorsqu’ils sont sollicités pour assurer une interprétation commune et la pleine application des mesures d'inspection et de contrôle prévues par l’ICCAT.</w:t>
      </w:r>
    </w:p>
    <w:p w14:paraId="0A44EDDA" w14:textId="77777777" w:rsidR="00DF358A" w:rsidRPr="004E13E9" w:rsidRDefault="00DF358A" w:rsidP="00DF358A">
      <w:pPr>
        <w:keepNext/>
        <w:keepLines/>
        <w:tabs>
          <w:tab w:val="left" w:pos="567"/>
        </w:tabs>
        <w:contextualSpacing/>
        <w:outlineLvl w:val="0"/>
        <w:rPr>
          <w:rFonts w:eastAsia="MS Gothic" w:cs="Times New Roman"/>
          <w:i/>
          <w:lang w:val="fr-FR" w:eastAsia="fr-FR" w:bidi="fr-FR"/>
        </w:rPr>
      </w:pPr>
    </w:p>
    <w:p w14:paraId="11657859" w14:textId="77777777" w:rsidR="00DF358A" w:rsidRPr="004E13E9" w:rsidRDefault="00DF358A" w:rsidP="00DF358A">
      <w:pPr>
        <w:keepNext/>
        <w:keepLines/>
        <w:tabs>
          <w:tab w:val="left" w:pos="567"/>
        </w:tabs>
        <w:contextualSpacing/>
        <w:outlineLvl w:val="0"/>
        <w:rPr>
          <w:rFonts w:eastAsia="MS Gothic" w:cs="Times New Roman"/>
          <w:i/>
          <w:lang w:val="fr-FR" w:eastAsia="fr-FR" w:bidi="fr-FR"/>
        </w:rPr>
      </w:pPr>
      <w:r w:rsidRPr="004E13E9">
        <w:rPr>
          <w:rFonts w:eastAsia="MS Gothic" w:cs="Times New Roman"/>
          <w:i/>
          <w:lang w:val="fr-FR" w:eastAsia="fr-FR" w:bidi="fr-FR"/>
        </w:rPr>
        <w:t>5.b.3 Plans d’inspection annuels des États membres de l’UE</w:t>
      </w:r>
    </w:p>
    <w:bookmarkEnd w:id="21"/>
    <w:p w14:paraId="7CC6B1FD" w14:textId="77777777" w:rsidR="00DF358A" w:rsidRPr="004E13E9" w:rsidRDefault="00DF358A" w:rsidP="00DF358A">
      <w:pPr>
        <w:keepNext/>
        <w:keepLines/>
        <w:tabs>
          <w:tab w:val="left" w:pos="567"/>
        </w:tabs>
        <w:contextualSpacing/>
        <w:outlineLvl w:val="0"/>
        <w:rPr>
          <w:rFonts w:eastAsia="MS Gothic" w:cs="Times New Roman"/>
          <w:i/>
          <w:color w:val="000000"/>
          <w:lang w:val="fr-FR" w:eastAsia="fr-FR" w:bidi="fr-FR"/>
        </w:rPr>
      </w:pPr>
    </w:p>
    <w:p w14:paraId="6DA737EF" w14:textId="77777777" w:rsidR="00DF358A" w:rsidRPr="004E13E9" w:rsidRDefault="00DF358A" w:rsidP="00DF358A">
      <w:pPr>
        <w:contextualSpacing/>
        <w:jc w:val="both"/>
        <w:rPr>
          <w:rFonts w:eastAsia="MS Gothic" w:cs="Times New Roman"/>
          <w:strike/>
          <w:lang w:val="fr-FR" w:eastAsia="fr-FR" w:bidi="fr-FR"/>
        </w:rPr>
      </w:pPr>
      <w:r w:rsidRPr="004E13E9">
        <w:rPr>
          <w:rFonts w:eastAsia="MS Gothic" w:cs="Times New Roman"/>
          <w:lang w:val="fr-FR" w:eastAsia="fr-FR" w:bidi="fr-FR"/>
        </w:rPr>
        <w:t xml:space="preserve">En vertu de l’article 14 du règlement (UE) nº2023/2053, chaque État membre concerné a développé et soumis un plan d'inspection de l'ICCAT pour 2026 dans le cadre de son programme d’action de contrôle national pour le thon rouge. Il s'agit de vastes programmes contenant les ressources et les stratégies d'inspection que les États membres </w:t>
      </w:r>
      <w:r w:rsidRPr="004E13E9">
        <w:rPr>
          <w:rFonts w:eastAsia="MS Gothic" w:cs="Times New Roman"/>
          <w:iCs/>
          <w:lang w:val="fr-FR" w:eastAsia="fr-FR" w:bidi="fr-FR"/>
        </w:rPr>
        <w:t xml:space="preserve">de l’UE </w:t>
      </w:r>
      <w:r w:rsidRPr="004E13E9">
        <w:rPr>
          <w:rFonts w:eastAsia="MS Gothic" w:cs="Times New Roman"/>
          <w:lang w:val="fr-FR" w:eastAsia="fr-FR" w:bidi="fr-FR"/>
        </w:rPr>
        <w:t>s'engagent à mettre en œuvre dans leur juridiction. Ces programmes, sont requis par le Programme spécifique de contrôle et d’inspection (cf. ci-dessus).</w:t>
      </w:r>
    </w:p>
    <w:p w14:paraId="4319C3EF" w14:textId="77777777" w:rsidR="00DF358A" w:rsidRPr="004E13E9" w:rsidRDefault="00DF358A" w:rsidP="00DF358A">
      <w:pPr>
        <w:contextualSpacing/>
        <w:jc w:val="both"/>
        <w:rPr>
          <w:rFonts w:eastAsia="MS Gothic" w:cs="Times New Roman"/>
          <w:strike/>
          <w:lang w:val="fr-FR" w:eastAsia="fr-FR" w:bidi="fr-FR"/>
        </w:rPr>
      </w:pPr>
    </w:p>
    <w:p w14:paraId="4E7E8842"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Ces Programmes nationaux sont pleinement conformes aux mesures de conservation et de gestion adoptées dans la Recommandation 25-04. Les autorités de l'UE contrôleront 100 % des opérations de mise en cage, de mise à mort à bord des navires de transformation, des transferts intra-ferme et entre fermes et des évaluations de report. Elles établiront également un niveau de contrôles aléatoires (avec un minimum de 10 % du nombre de cages dans chaque ferme) sur la base d'une évaluation des risques afin de garantir une déclaration et une traçabilité adéquates du thon rouge dans les fermes.</w:t>
      </w:r>
    </w:p>
    <w:p w14:paraId="673E1D0C" w14:textId="77777777" w:rsidR="00DF358A" w:rsidRPr="004E13E9" w:rsidRDefault="00DF358A" w:rsidP="00DF358A">
      <w:pPr>
        <w:contextualSpacing/>
        <w:jc w:val="both"/>
        <w:rPr>
          <w:rFonts w:eastAsia="MS Gothic" w:cs="Times New Roman"/>
          <w:lang w:val="fr-FR" w:eastAsia="fr-FR" w:bidi="fr-FR"/>
        </w:rPr>
      </w:pPr>
    </w:p>
    <w:p w14:paraId="54ED43BA" w14:textId="77777777" w:rsidR="00DF358A" w:rsidRPr="004E13E9" w:rsidRDefault="00DF358A" w:rsidP="00DF358A">
      <w:pPr>
        <w:contextualSpacing/>
        <w:jc w:val="both"/>
        <w:rPr>
          <w:rFonts w:eastAsia="MS Gothic" w:cs="Times New Roman"/>
          <w:lang w:val="fr-FR" w:eastAsia="fr-FR" w:bidi="fr-FR"/>
        </w:rPr>
      </w:pPr>
    </w:p>
    <w:p w14:paraId="2D4C25C4" w14:textId="77777777" w:rsidR="00DF358A" w:rsidRPr="004E13E9" w:rsidRDefault="00DF358A" w:rsidP="00DF358A">
      <w:pPr>
        <w:widowControl w:val="0"/>
        <w:ind w:left="426" w:hanging="426"/>
        <w:contextualSpacing/>
        <w:jc w:val="both"/>
        <w:rPr>
          <w:rFonts w:eastAsia="MS Gothic" w:cs="Times New Roman"/>
          <w:b/>
          <w:lang w:val="fr-FR" w:eastAsia="fr-FR" w:bidi="fr-FR"/>
        </w:rPr>
      </w:pPr>
      <w:r w:rsidRPr="004E13E9">
        <w:rPr>
          <w:rFonts w:eastAsia="MS Gothic" w:cs="Times New Roman"/>
          <w:b/>
          <w:lang w:val="fr-FR" w:eastAsia="fr-FR" w:bidi="fr-FR"/>
        </w:rPr>
        <w:t xml:space="preserve">6. </w:t>
      </w:r>
      <w:r w:rsidRPr="004E13E9">
        <w:rPr>
          <w:rFonts w:eastAsia="MS Gothic" w:cs="Times New Roman"/>
          <w:b/>
          <w:lang w:val="fr-FR" w:eastAsia="fr-FR" w:bidi="fr-FR"/>
        </w:rPr>
        <w:tab/>
        <w:t>Autres</w:t>
      </w:r>
    </w:p>
    <w:p w14:paraId="5D5198F5" w14:textId="77777777" w:rsidR="00DF358A" w:rsidRPr="004E13E9" w:rsidRDefault="00DF358A" w:rsidP="00DF358A">
      <w:pPr>
        <w:contextualSpacing/>
        <w:jc w:val="both"/>
        <w:rPr>
          <w:rFonts w:eastAsia="MS Gothic" w:cs="Times New Roman"/>
          <w:lang w:val="fr-FR" w:eastAsia="fr-FR" w:bidi="fr-FR"/>
        </w:rPr>
      </w:pPr>
    </w:p>
    <w:p w14:paraId="1E65D728" w14:textId="77777777" w:rsidR="00DF358A" w:rsidRPr="004E13E9" w:rsidRDefault="00DF358A" w:rsidP="00DF358A">
      <w:pPr>
        <w:contextualSpacing/>
        <w:jc w:val="both"/>
        <w:rPr>
          <w:rFonts w:eastAsia="MS Gothic" w:cs="Times New Roman"/>
          <w:b/>
          <w:bCs/>
          <w:i/>
          <w:iCs/>
          <w:lang w:val="fr-FR" w:eastAsia="fr-FR" w:bidi="fr-FR"/>
        </w:rPr>
      </w:pPr>
      <w:r w:rsidRPr="004E13E9">
        <w:rPr>
          <w:rFonts w:eastAsia="MS Gothic" w:cs="Times New Roman"/>
          <w:b/>
          <w:bCs/>
          <w:i/>
          <w:iCs/>
          <w:lang w:val="fr-FR" w:eastAsia="fr-FR" w:bidi="fr-FR"/>
        </w:rPr>
        <w:t>6a) Activités de recherche</w:t>
      </w:r>
    </w:p>
    <w:p w14:paraId="43FBDF70" w14:textId="77777777" w:rsidR="00DF358A" w:rsidRPr="004E13E9" w:rsidRDefault="00DF358A" w:rsidP="00DF358A">
      <w:pPr>
        <w:contextualSpacing/>
        <w:jc w:val="both"/>
        <w:rPr>
          <w:rFonts w:eastAsia="MS Gothic" w:cs="Times New Roman"/>
          <w:lang w:val="fr-FR" w:eastAsia="fr-FR" w:bidi="fr-FR"/>
        </w:rPr>
      </w:pPr>
    </w:p>
    <w:p w14:paraId="30B7B796"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Deux activités de recherche principales sont menées par l’Institut français de recherche pour l'exploitation de la mer (Ifremer) sur le thon rouge dans l'Atlantique Est et en Méditerranée.</w:t>
      </w:r>
    </w:p>
    <w:p w14:paraId="130ABE8D" w14:textId="77777777" w:rsidR="00DF358A" w:rsidRPr="004E13E9" w:rsidRDefault="00DF358A" w:rsidP="00DF358A">
      <w:pPr>
        <w:contextualSpacing/>
        <w:jc w:val="both"/>
        <w:rPr>
          <w:rFonts w:eastAsia="MS Gothic" w:cs="Times New Roman"/>
          <w:lang w:val="fr-FR" w:eastAsia="fr-FR" w:bidi="fr-FR"/>
        </w:rPr>
      </w:pPr>
    </w:p>
    <w:p w14:paraId="1E3CDE86"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La première activité est la prospection aérienne dans le golfe du Lion. Cette activité a été lancée en 2000 et fournit un indice d'abondance indépendant de la pêche des thons rouges juvéniles en Méditerranée. Il s'agit du seul indice de ce type et il est donc très précieux pour l’ICCAT à des fins de gestion. L'indice a été utilisé pour l'évaluation de 2017 du stock oriental. Les travaux actuels se concentrent sur l'amélioration de l'observation par le développement d'un système d'acquisition et d'analyse d'images, et sur l'intégration des impacts des effets environnementaux sur les mouvements verticaux et horizontaux du thon et sur l'indice d'abondance. Cette prospection pourrait également être utilisée pour les mammifères marins. Des documents sont présentés chaque année au SCRS.</w:t>
      </w:r>
    </w:p>
    <w:p w14:paraId="2031701B" w14:textId="77777777" w:rsidR="00DF358A" w:rsidRPr="004E13E9" w:rsidRDefault="00DF358A" w:rsidP="00DF358A">
      <w:pPr>
        <w:contextualSpacing/>
        <w:jc w:val="both"/>
        <w:rPr>
          <w:rFonts w:eastAsia="MS Gothic" w:cs="Times New Roman"/>
          <w:lang w:val="fr-FR" w:eastAsia="fr-FR" w:bidi="fr-FR"/>
        </w:rPr>
      </w:pPr>
    </w:p>
    <w:p w14:paraId="23A682D8"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La seconde activité est consacrée à l'observation des migrations du thon rouge en relation avec sa physiologie. Ceci se fait par le développement d'une nouvelle marque électronique, comportant un capteur visant à enregistrer des données sur la croissance du poisson et indirectement sur sa reproduction (projet POPSTAR financé par Ifremer). Le projet vise également à marquer le thon rouge capturé par les senneurs. La pêche à la senne a représenté plus de 50% des captures de thon rouge de l'Est au cours des 10 dernières années, mais peu de marquage a été effectué dans ce segment. Une opération de marquage réussie a été réalisée à partir d'un senneur en juin 2018 et 2019, et a montré des schémas de migration contrastés par rapport à ceux obtenus à partir de poissons marqués dans le nord-ouest de la Méditerranée. Ces opérations menées dans le cadre de différents projets (POPSTAR, FISHNCHIP et PROMPT) sont censées apporter une contribution essentielle à la recherche appliquée et à l’ICCAT, car elles permettront de documenter et de comprendre les migrations et la façon dont elles sont affectées par l'environnement (par exemple, pour la MSE).</w:t>
      </w:r>
    </w:p>
    <w:p w14:paraId="45F65370" w14:textId="4AF548AB" w:rsidR="00DF358A" w:rsidRPr="004E13E9" w:rsidRDefault="00DF358A" w:rsidP="00DF358A">
      <w:pPr>
        <w:rPr>
          <w:i/>
          <w:lang w:val="fr-FR"/>
        </w:rPr>
      </w:pPr>
    </w:p>
    <w:p w14:paraId="15EBC7A8" w14:textId="77777777" w:rsidR="00DF358A" w:rsidRPr="004E13E9" w:rsidRDefault="00DF358A" w:rsidP="00DF358A">
      <w:pPr>
        <w:contextualSpacing/>
        <w:rPr>
          <w:i/>
        </w:rPr>
      </w:pPr>
      <w:r w:rsidRPr="004E13E9">
        <w:rPr>
          <w:i/>
          <w:noProof/>
          <w:lang w:eastAsia="en-GB"/>
        </w:rPr>
        <w:drawing>
          <wp:inline distT="0" distB="0" distL="0" distR="0" wp14:anchorId="6C36650C" wp14:editId="7DCF68F4">
            <wp:extent cx="6110637" cy="1790700"/>
            <wp:effectExtent l="0" t="0" r="4445" b="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13499" cy="1791539"/>
                    </a:xfrm>
                    <a:prstGeom prst="rect">
                      <a:avLst/>
                    </a:prstGeom>
                    <a:noFill/>
                    <a:ln>
                      <a:noFill/>
                    </a:ln>
                  </pic:spPr>
                </pic:pic>
              </a:graphicData>
            </a:graphic>
          </wp:inline>
        </w:drawing>
      </w:r>
    </w:p>
    <w:p w14:paraId="115734F3" w14:textId="77777777" w:rsidR="00DF358A" w:rsidRPr="004E13E9" w:rsidRDefault="00DF358A" w:rsidP="00DF358A">
      <w:pPr>
        <w:contextualSpacing/>
        <w:jc w:val="both"/>
        <w:rPr>
          <w:rFonts w:eastAsia="MS Gothic" w:cs="Times New Roman"/>
          <w:lang w:eastAsia="fr-FR" w:bidi="fr-FR"/>
        </w:rPr>
      </w:pPr>
    </w:p>
    <w:p w14:paraId="59971B9A"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 xml:space="preserve">Un autre projet (PROMPT) poursuit les travaux sur les migrations de thon rouge par le biais du marquage et de travaux expérimentaux. Le marquage prévu dans le projet vise à poursuivre les travaux initiés par les projets POPSTAR et </w:t>
      </w:r>
      <w:proofErr w:type="spellStart"/>
      <w:r w:rsidRPr="004E13E9">
        <w:rPr>
          <w:rFonts w:eastAsia="MS Gothic" w:cs="Times New Roman"/>
          <w:lang w:val="fr-FR" w:eastAsia="fr-FR" w:bidi="fr-FR"/>
        </w:rPr>
        <w:t>FishNchip</w:t>
      </w:r>
      <w:proofErr w:type="spellEnd"/>
      <w:r w:rsidRPr="004E13E9">
        <w:rPr>
          <w:rFonts w:eastAsia="MS Gothic" w:cs="Times New Roman"/>
          <w:lang w:val="fr-FR" w:eastAsia="fr-FR" w:bidi="fr-FR"/>
        </w:rPr>
        <w:t xml:space="preserve"> décrits ci-dessus et à comprendre les effets de l'environnement physique sur les migrations. Le travail expérimental servira à estimer les besoins énergétiques du thon rouge de l'Est au cours de ses migrations.</w:t>
      </w:r>
    </w:p>
    <w:p w14:paraId="150ACE2C" w14:textId="77777777" w:rsidR="00DF358A" w:rsidRPr="004E13E9" w:rsidRDefault="00DF358A" w:rsidP="00DF358A">
      <w:pPr>
        <w:contextualSpacing/>
        <w:jc w:val="both"/>
        <w:rPr>
          <w:rFonts w:eastAsia="MS Gothic" w:cs="Times New Roman"/>
          <w:lang w:val="fr-FR" w:eastAsia="fr-FR" w:bidi="fr-FR"/>
        </w:rPr>
      </w:pPr>
    </w:p>
    <w:p w14:paraId="5A941EB0" w14:textId="77777777" w:rsidR="00DF358A" w:rsidRPr="004E13E9" w:rsidRDefault="00DF358A" w:rsidP="00DF358A">
      <w:pPr>
        <w:contextualSpacing/>
        <w:jc w:val="both"/>
        <w:rPr>
          <w:rFonts w:eastAsia="MS Gothic" w:cs="Times New Roman"/>
          <w:lang w:val="fr-FR" w:eastAsia="fr-FR" w:bidi="fr-FR"/>
        </w:rPr>
      </w:pPr>
      <w:r w:rsidRPr="004E13E9">
        <w:rPr>
          <w:rFonts w:eastAsia="MS Gothic" w:cs="Times New Roman"/>
          <w:lang w:val="fr-FR" w:eastAsia="fr-FR" w:bidi="fr-FR"/>
        </w:rPr>
        <w:t>Une relation de travail étroite a été mise en place entre Ifremer, les senneurs français, les scientifiques d'une société maltaise (</w:t>
      </w:r>
      <w:proofErr w:type="spellStart"/>
      <w:r w:rsidRPr="004E13E9">
        <w:rPr>
          <w:rFonts w:eastAsia="MS Gothic" w:cs="Times New Roman"/>
          <w:lang w:val="fr-FR" w:eastAsia="fr-FR" w:bidi="fr-FR"/>
        </w:rPr>
        <w:t>AquaBioTech</w:t>
      </w:r>
      <w:proofErr w:type="spellEnd"/>
      <w:r w:rsidRPr="004E13E9">
        <w:rPr>
          <w:rFonts w:eastAsia="MS Gothic" w:cs="Times New Roman"/>
          <w:lang w:val="fr-FR" w:eastAsia="fr-FR" w:bidi="fr-FR"/>
        </w:rPr>
        <w:t xml:space="preserve"> Ltd, qui a également été fortement impliquée dans la recherche sur le thon rouge) et une ferme maltaise. Cette collaboration a permis de créer une structure unique et fructueuse pour développer la recherche et les expériences sur le thon rouge.</w:t>
      </w:r>
    </w:p>
    <w:p w14:paraId="7F6A2252" w14:textId="77777777" w:rsidR="00DF358A" w:rsidRPr="004E13E9" w:rsidRDefault="00DF358A" w:rsidP="00DF358A">
      <w:pPr>
        <w:contextualSpacing/>
        <w:jc w:val="both"/>
        <w:rPr>
          <w:rFonts w:eastAsia="MS Gothic" w:cs="Times New Roman"/>
          <w:lang w:val="fr-FR" w:eastAsia="fr-FR" w:bidi="fr-FR"/>
        </w:rPr>
      </w:pPr>
    </w:p>
    <w:p w14:paraId="25B3A292" w14:textId="77777777" w:rsidR="00DF358A" w:rsidRPr="004E13E9" w:rsidRDefault="00DF358A" w:rsidP="00DF358A">
      <w:pPr>
        <w:contextualSpacing/>
        <w:jc w:val="both"/>
        <w:rPr>
          <w:lang w:val="fr-FR" w:bidi="fr-FR"/>
        </w:rPr>
      </w:pPr>
      <w:r w:rsidRPr="004E13E9">
        <w:rPr>
          <w:lang w:val="fr-FR" w:bidi="fr-FR"/>
        </w:rPr>
        <w:t xml:space="preserve">Outre l'approche descriptive basée sur le marquage, une approche mécanistique de la migration a été adoptée sur la base de l'étude de la physiologie des poissons. Des expériences ont été menées à Malte et en Espagne. À Malte, des thons mis en cage ont été équipés pendant un an de capteurs de fréquence cardiaque et d'émetteurs acoustiques, ce qui a permis en 2023 de collecter des données sur le comportement du groupe et les changements des paramètres physiologiques en fonction de la température de l'eau. </w:t>
      </w:r>
    </w:p>
    <w:p w14:paraId="77707B66" w14:textId="77777777" w:rsidR="00DF358A" w:rsidRPr="004E13E9" w:rsidRDefault="00DF358A" w:rsidP="00DF358A">
      <w:pPr>
        <w:contextualSpacing/>
        <w:jc w:val="both"/>
        <w:rPr>
          <w:lang w:val="fr-FR" w:bidi="fr-FR"/>
        </w:rPr>
      </w:pPr>
    </w:p>
    <w:p w14:paraId="313AF962" w14:textId="77777777" w:rsidR="00DF358A" w:rsidRPr="004E13E9" w:rsidRDefault="00DF358A" w:rsidP="00DF358A">
      <w:pPr>
        <w:contextualSpacing/>
        <w:jc w:val="both"/>
        <w:rPr>
          <w:lang w:val="fr-FR" w:bidi="fr-FR"/>
        </w:rPr>
      </w:pPr>
      <w:r w:rsidRPr="004E13E9">
        <w:rPr>
          <w:lang w:val="fr-FR" w:bidi="fr-FR"/>
        </w:rPr>
        <w:t>Le projet MARATHON, soumis en 2024, est une campagne de marquage électronique du thon rouge de l'Atlantique qui s'inscrit dans la continuité des projets précédents. Son objectif est de déployer des marques électroniques afin de documenter la dynamique migratoire à long terme du thon rouge de l'Atlantique.</w:t>
      </w:r>
    </w:p>
    <w:p w14:paraId="3E7DEBDC" w14:textId="77777777" w:rsidR="00DF358A" w:rsidRPr="004E13E9" w:rsidRDefault="00DF358A" w:rsidP="00DF358A">
      <w:pPr>
        <w:contextualSpacing/>
        <w:jc w:val="both"/>
        <w:rPr>
          <w:lang w:val="fr-FR" w:bidi="fr-FR"/>
        </w:rPr>
      </w:pPr>
    </w:p>
    <w:p w14:paraId="7FCE26CB" w14:textId="77777777" w:rsidR="00DF358A" w:rsidRPr="004E13E9" w:rsidRDefault="00DF358A" w:rsidP="00DF358A">
      <w:pPr>
        <w:contextualSpacing/>
        <w:jc w:val="both"/>
        <w:rPr>
          <w:lang w:val="fr-FR" w:bidi="fr-FR"/>
        </w:rPr>
      </w:pPr>
      <w:r w:rsidRPr="004E13E9">
        <w:rPr>
          <w:lang w:val="fr-FR" w:bidi="fr-FR"/>
        </w:rPr>
        <w:t>Dans le prolongement d'initiatives précédentes (SELPAL et REPAST), plusieurs projets ont été développés autour des prises accessoires dans la pêche à la palangre ciblant le thon rouge de l'Atlantique dans le golfe du Lion. Le projet RAYVIVAL vise à estimer le taux de survie des raies, principale espèce capturée accidentellement par cette pêcherie, au moyen de marques de survie. Le projet POBLEU vise à accroître la présence d'observateurs à bord des navires pratiquant cette pêche. Le projet SMARTSNAP vise à développer un dispositif électronique permettant de détecter et de libérer automatiquement les espèces capturées accidentellement par les palangriers. En 2023, poursuivant sur cette lancée, le projet SMARTSNAP2 a été financé afin de poursuivre ces travaux. De plus, dans le cadre des projets PROTECTMED et LIFE EMM, des opérations de marquage seront menées afin d'estimer le taux de survie après la remise à l'eau des poissons capturés dans la pêcherie palangrière française du thon rouge en Méditerranée, pour un large éventail d'espèces, notamment le requin peau bleue et le poisson lune.</w:t>
      </w:r>
    </w:p>
    <w:p w14:paraId="22B32BB7" w14:textId="77777777" w:rsidR="00DF358A" w:rsidRPr="004E13E9" w:rsidRDefault="00DF358A" w:rsidP="00DF358A">
      <w:pPr>
        <w:contextualSpacing/>
        <w:jc w:val="both"/>
        <w:rPr>
          <w:lang w:val="fr-FR" w:bidi="fr-FR"/>
        </w:rPr>
      </w:pPr>
    </w:p>
    <w:p w14:paraId="4EA0C998" w14:textId="77777777" w:rsidR="00DF358A" w:rsidRPr="004E13E9" w:rsidRDefault="00DF358A" w:rsidP="00DF358A">
      <w:pPr>
        <w:contextualSpacing/>
        <w:jc w:val="both"/>
        <w:rPr>
          <w:lang w:val="fr-FR" w:bidi="fr-FR"/>
        </w:rPr>
      </w:pPr>
      <w:r w:rsidRPr="004E13E9">
        <w:rPr>
          <w:lang w:val="fr-FR" w:bidi="fr-FR"/>
        </w:rPr>
        <w:t>L'Institut portugais pour la mer et l'atmosphère (IPMA) continuera à diriger le marquage acoustique dans le cadre du GBYP dans les madragues thonières, qui a débuté en 2024, avec l'analyse des détections et la poursuite du marquage et de l'installation de récepteurs, en fonction des disponibilités budgétaires. En ce qui concerne l'échantillonnage génétique pour une horloge épigénétique, les madragues thonières portugaises ont été sélectionnées comme l'un des principaux sites d'échantillonnage des adultes dans une zone bien mélangée. L'IPMA a confirmé sa disponibilité à participer à l'échantillonnage si le projet est mis en œuvre en 2026.</w:t>
      </w:r>
    </w:p>
    <w:p w14:paraId="0962BC51" w14:textId="77777777" w:rsidR="00DF358A" w:rsidRPr="004E13E9" w:rsidRDefault="00DF358A" w:rsidP="00DF358A">
      <w:pPr>
        <w:contextualSpacing/>
        <w:jc w:val="both"/>
        <w:rPr>
          <w:lang w:val="fr-FR" w:bidi="fr-FR"/>
        </w:rPr>
      </w:pPr>
    </w:p>
    <w:p w14:paraId="2BDF18B6" w14:textId="77777777" w:rsidR="00DF358A" w:rsidRPr="004E13E9" w:rsidRDefault="00DF358A" w:rsidP="00DF358A">
      <w:pPr>
        <w:contextualSpacing/>
        <w:jc w:val="both"/>
        <w:rPr>
          <w:lang w:val="fr-FR" w:bidi="fr-FR"/>
        </w:rPr>
      </w:pPr>
      <w:r w:rsidRPr="004E13E9">
        <w:rPr>
          <w:lang w:val="fr-FR" w:bidi="fr-FR"/>
        </w:rPr>
        <w:t>La Croatie a alloué 1 tonne de thon rouge à des fins scientifiques et mènera des activités de recherche axées sur :</w:t>
      </w:r>
    </w:p>
    <w:p w14:paraId="28C3DB2E" w14:textId="77777777" w:rsidR="00DF358A" w:rsidRPr="004E13E9" w:rsidRDefault="00DF358A" w:rsidP="00DF358A">
      <w:pPr>
        <w:contextualSpacing/>
        <w:jc w:val="both"/>
        <w:rPr>
          <w:lang w:val="fr-FR" w:bidi="fr-FR"/>
        </w:rPr>
      </w:pPr>
    </w:p>
    <w:p w14:paraId="7CBC3E1D" w14:textId="77777777" w:rsidR="00DF358A" w:rsidRPr="004E13E9" w:rsidRDefault="00DF358A" w:rsidP="00487A5C">
      <w:pPr>
        <w:numPr>
          <w:ilvl w:val="3"/>
          <w:numId w:val="28"/>
        </w:numPr>
        <w:contextualSpacing/>
        <w:jc w:val="both"/>
        <w:rPr>
          <w:lang w:val="fr-FR" w:bidi="fr-FR"/>
        </w:rPr>
      </w:pPr>
      <w:r w:rsidRPr="004E13E9">
        <w:rPr>
          <w:lang w:val="fr-FR" w:bidi="fr-FR"/>
        </w:rPr>
        <w:t xml:space="preserve">l'analyse de l'écologie alimentaire et des relations trophiques du thon rouge de l'Atlantique au moyen du </w:t>
      </w:r>
      <w:proofErr w:type="spellStart"/>
      <w:r w:rsidRPr="004E13E9">
        <w:rPr>
          <w:lang w:val="fr-FR" w:bidi="fr-FR"/>
        </w:rPr>
        <w:t>métabarcoding</w:t>
      </w:r>
      <w:proofErr w:type="spellEnd"/>
      <w:r w:rsidRPr="004E13E9">
        <w:rPr>
          <w:lang w:val="fr-FR" w:bidi="fr-FR"/>
        </w:rPr>
        <w:t xml:space="preserve"> ADN du contenu stomacal,</w:t>
      </w:r>
    </w:p>
    <w:p w14:paraId="5CA7C689" w14:textId="77777777" w:rsidR="00DF358A" w:rsidRPr="004E13E9" w:rsidRDefault="00DF358A" w:rsidP="00487A5C">
      <w:pPr>
        <w:numPr>
          <w:ilvl w:val="3"/>
          <w:numId w:val="28"/>
        </w:numPr>
        <w:contextualSpacing/>
        <w:jc w:val="both"/>
        <w:rPr>
          <w:lang w:val="fr-FR" w:bidi="fr-FR"/>
        </w:rPr>
      </w:pPr>
      <w:r w:rsidRPr="004E13E9">
        <w:rPr>
          <w:lang w:val="fr-FR" w:bidi="fr-FR"/>
        </w:rPr>
        <w:t>Recherche sur les schémas spatio-temporels d'alimentation et de reproduction du thon rouge de l'Atlantique dans la mer Adriatique,</w:t>
      </w:r>
    </w:p>
    <w:p w14:paraId="2B78541B" w14:textId="77777777" w:rsidR="00DF358A" w:rsidRPr="004E13E9" w:rsidRDefault="00DF358A" w:rsidP="00DF358A">
      <w:pPr>
        <w:ind w:left="720"/>
        <w:contextualSpacing/>
        <w:jc w:val="both"/>
        <w:rPr>
          <w:lang w:val="fr-FR" w:bidi="fr-FR"/>
        </w:rPr>
      </w:pPr>
    </w:p>
    <w:p w14:paraId="423F5D96" w14:textId="77777777" w:rsidR="00DF358A" w:rsidRPr="004E13E9" w:rsidRDefault="00DF358A" w:rsidP="00487A5C">
      <w:pPr>
        <w:numPr>
          <w:ilvl w:val="3"/>
          <w:numId w:val="28"/>
        </w:numPr>
        <w:contextualSpacing/>
        <w:jc w:val="both"/>
        <w:rPr>
          <w:lang w:val="fr-FR" w:bidi="fr-FR"/>
        </w:rPr>
      </w:pPr>
      <w:r w:rsidRPr="004E13E9">
        <w:rPr>
          <w:lang w:val="fr-FR" w:bidi="fr-FR"/>
        </w:rPr>
        <w:t xml:space="preserve">Comparaison morphométrique des thons juvéniles, y compris le développement et l'application de méthodes permettant de distinguer de manière fiable les juvéniles de </w:t>
      </w:r>
      <w:proofErr w:type="spellStart"/>
      <w:r w:rsidRPr="004E13E9">
        <w:rPr>
          <w:i/>
          <w:iCs/>
          <w:lang w:val="fr-FR" w:bidi="fr-FR"/>
        </w:rPr>
        <w:t>Thunnus</w:t>
      </w:r>
      <w:proofErr w:type="spellEnd"/>
      <w:r w:rsidRPr="004E13E9">
        <w:rPr>
          <w:i/>
          <w:iCs/>
          <w:lang w:val="fr-FR" w:bidi="fr-FR"/>
        </w:rPr>
        <w:t xml:space="preserve"> </w:t>
      </w:r>
      <w:proofErr w:type="spellStart"/>
      <w:r w:rsidRPr="004E13E9">
        <w:rPr>
          <w:i/>
          <w:iCs/>
          <w:lang w:val="fr-FR" w:bidi="fr-FR"/>
        </w:rPr>
        <w:t>thynnus</w:t>
      </w:r>
      <w:proofErr w:type="spellEnd"/>
      <w:r w:rsidRPr="004E13E9">
        <w:rPr>
          <w:lang w:val="fr-FR" w:bidi="fr-FR"/>
        </w:rPr>
        <w:t xml:space="preserve"> des espèces étroitement apparentées.</w:t>
      </w:r>
    </w:p>
    <w:p w14:paraId="13F60BCD" w14:textId="77777777" w:rsidR="00DF358A" w:rsidRPr="004E13E9" w:rsidRDefault="00DF358A" w:rsidP="00DF358A">
      <w:pPr>
        <w:contextualSpacing/>
        <w:jc w:val="both"/>
        <w:rPr>
          <w:lang w:val="fr-FR" w:bidi="fr-FR"/>
        </w:rPr>
      </w:pPr>
    </w:p>
    <w:p w14:paraId="612F75D0" w14:textId="77777777" w:rsidR="00DF358A" w:rsidRPr="004E13E9" w:rsidRDefault="00DF358A" w:rsidP="00DF358A">
      <w:pPr>
        <w:contextualSpacing/>
        <w:jc w:val="both"/>
        <w:rPr>
          <w:rFonts w:eastAsia="MS Gothic" w:cs="Times New Roman"/>
          <w:i/>
          <w:lang w:val="fr-FR" w:eastAsia="fr-FR" w:bidi="fr-FR"/>
        </w:rPr>
        <w:sectPr w:rsidR="00DF358A" w:rsidRPr="004E13E9" w:rsidSect="00DF358A">
          <w:headerReference w:type="default" r:id="rId101"/>
          <w:headerReference w:type="first" r:id="rId102"/>
          <w:footerReference w:type="first" r:id="rId103"/>
          <w:footnotePr>
            <w:numRestart w:val="eachSect"/>
          </w:footnotePr>
          <w:pgSz w:w="11906" w:h="16838" w:code="9"/>
          <w:pgMar w:top="1418" w:right="1418" w:bottom="1418" w:left="1418" w:header="851" w:footer="1134" w:gutter="0"/>
          <w:cols w:space="425"/>
          <w:docGrid w:linePitch="360"/>
        </w:sectPr>
      </w:pPr>
    </w:p>
    <w:p w14:paraId="74C78B32" w14:textId="77777777" w:rsidR="00DF358A" w:rsidRPr="004E13E9" w:rsidRDefault="00DF358A" w:rsidP="00DF358A">
      <w:pPr>
        <w:contextualSpacing/>
        <w:rPr>
          <w:rFonts w:eastAsia="MS Gothic" w:cs="Times New Roman"/>
          <w:b/>
          <w:bCs/>
          <w:iCs/>
          <w:lang w:eastAsia="fr-FR" w:bidi="fr-FR"/>
        </w:rPr>
      </w:pPr>
      <w:r w:rsidRPr="004E13E9">
        <w:rPr>
          <w:rFonts w:eastAsia="MS Gothic" w:cs="Times New Roman"/>
          <w:b/>
          <w:szCs w:val="24"/>
          <w:lang w:eastAsia="fr-FR" w:bidi="fr-FR"/>
        </w:rPr>
        <w:t xml:space="preserve">Tableau de la </w:t>
      </w:r>
      <w:proofErr w:type="spellStart"/>
      <w:r w:rsidRPr="004E13E9">
        <w:rPr>
          <w:rFonts w:eastAsia="MS Gothic" w:cs="Times New Roman"/>
          <w:b/>
          <w:szCs w:val="24"/>
          <w:lang w:eastAsia="fr-FR" w:bidi="fr-FR"/>
        </w:rPr>
        <w:t>capacité</w:t>
      </w:r>
      <w:proofErr w:type="spellEnd"/>
    </w:p>
    <w:tbl>
      <w:tblPr>
        <w:tblStyle w:val="TableGrid"/>
        <w:tblW w:w="14250" w:type="dxa"/>
        <w:jc w:val="center"/>
        <w:tblLayout w:type="fixed"/>
        <w:tblLook w:val="04A0" w:firstRow="1" w:lastRow="0" w:firstColumn="1" w:lastColumn="0" w:noHBand="0" w:noVBand="1"/>
      </w:tblPr>
      <w:tblGrid>
        <w:gridCol w:w="2438"/>
        <w:gridCol w:w="1190"/>
        <w:gridCol w:w="609"/>
        <w:gridCol w:w="706"/>
        <w:gridCol w:w="633"/>
        <w:gridCol w:w="706"/>
        <w:gridCol w:w="706"/>
        <w:gridCol w:w="681"/>
        <w:gridCol w:w="681"/>
        <w:gridCol w:w="786"/>
        <w:gridCol w:w="758"/>
        <w:gridCol w:w="876"/>
        <w:gridCol w:w="885"/>
        <w:gridCol w:w="858"/>
        <w:gridCol w:w="944"/>
        <w:gridCol w:w="793"/>
      </w:tblGrid>
      <w:tr w:rsidR="00DF358A" w:rsidRPr="004E13E9" w14:paraId="76490781" w14:textId="77777777" w:rsidTr="00BB4F69">
        <w:trPr>
          <w:trHeight w:val="186"/>
          <w:jc w:val="center"/>
        </w:trPr>
        <w:tc>
          <w:tcPr>
            <w:tcW w:w="2438" w:type="dxa"/>
            <w:tcBorders>
              <w:top w:val="single" w:sz="4" w:space="0" w:color="auto"/>
              <w:left w:val="single" w:sz="4" w:space="0" w:color="auto"/>
              <w:bottom w:val="single" w:sz="4" w:space="0" w:color="auto"/>
              <w:right w:val="single" w:sz="4" w:space="0" w:color="auto"/>
            </w:tcBorders>
            <w:noWrap/>
            <w:vAlign w:val="center"/>
            <w:hideMark/>
          </w:tcPr>
          <w:p w14:paraId="2633E6D1" w14:textId="77777777" w:rsidR="00DF358A" w:rsidRPr="004E13E9" w:rsidRDefault="00DF358A" w:rsidP="007E20D4">
            <w:pPr>
              <w:widowControl w:val="0"/>
              <w:contextualSpacing/>
              <w:rPr>
                <w:rFonts w:ascii="Cambria" w:hAnsi="Cambria"/>
                <w:i/>
                <w:iCs/>
                <w:sz w:val="14"/>
                <w:szCs w:val="14"/>
              </w:rPr>
            </w:pPr>
            <w:r w:rsidRPr="004E13E9">
              <w:rPr>
                <w:rFonts w:ascii="Cambria" w:hAnsi="Cambria"/>
                <w:i/>
                <w:sz w:val="14"/>
                <w:szCs w:val="14"/>
              </w:rPr>
              <w:t>Type de navires thoniers</w:t>
            </w:r>
          </w:p>
        </w:tc>
        <w:tc>
          <w:tcPr>
            <w:tcW w:w="1190" w:type="dxa"/>
            <w:tcBorders>
              <w:top w:val="single" w:sz="4" w:space="0" w:color="auto"/>
              <w:left w:val="single" w:sz="4" w:space="0" w:color="auto"/>
              <w:bottom w:val="single" w:sz="4" w:space="0" w:color="auto"/>
              <w:right w:val="single" w:sz="4" w:space="0" w:color="auto"/>
            </w:tcBorders>
            <w:noWrap/>
            <w:vAlign w:val="center"/>
          </w:tcPr>
          <w:p w14:paraId="302A97E6" w14:textId="77777777" w:rsidR="00DF358A" w:rsidRPr="004E13E9" w:rsidRDefault="00DF358A" w:rsidP="007E20D4">
            <w:pPr>
              <w:widowControl w:val="0"/>
              <w:contextualSpacing/>
              <w:rPr>
                <w:rFonts w:ascii="Cambria" w:hAnsi="Cambria"/>
                <w:i/>
                <w:iCs/>
                <w:sz w:val="14"/>
                <w:szCs w:val="14"/>
              </w:rPr>
            </w:pPr>
          </w:p>
        </w:tc>
        <w:tc>
          <w:tcPr>
            <w:tcW w:w="1948" w:type="dxa"/>
            <w:gridSpan w:val="3"/>
            <w:tcBorders>
              <w:top w:val="single" w:sz="4" w:space="0" w:color="auto"/>
              <w:left w:val="single" w:sz="4" w:space="0" w:color="auto"/>
              <w:bottom w:val="single" w:sz="4" w:space="0" w:color="auto"/>
              <w:right w:val="single" w:sz="4" w:space="0" w:color="auto"/>
            </w:tcBorders>
            <w:vAlign w:val="center"/>
            <w:hideMark/>
          </w:tcPr>
          <w:p w14:paraId="6D122054" w14:textId="77777777" w:rsidR="00DF358A" w:rsidRPr="004E13E9" w:rsidRDefault="00DF358A" w:rsidP="007E20D4">
            <w:pPr>
              <w:widowControl w:val="0"/>
              <w:contextualSpacing/>
              <w:jc w:val="center"/>
              <w:rPr>
                <w:rFonts w:ascii="Cambria" w:hAnsi="Cambria"/>
                <w:i/>
                <w:iCs/>
                <w:sz w:val="14"/>
                <w:szCs w:val="14"/>
              </w:rPr>
            </w:pPr>
            <w:r w:rsidRPr="004E13E9">
              <w:rPr>
                <w:rFonts w:ascii="Cambria" w:hAnsi="Cambria"/>
                <w:i/>
                <w:sz w:val="14"/>
                <w:szCs w:val="14"/>
              </w:rPr>
              <w:t>Année de réf.</w:t>
            </w:r>
          </w:p>
        </w:tc>
        <w:tc>
          <w:tcPr>
            <w:tcW w:w="2774" w:type="dxa"/>
            <w:gridSpan w:val="4"/>
            <w:tcBorders>
              <w:top w:val="single" w:sz="4" w:space="0" w:color="auto"/>
              <w:left w:val="single" w:sz="4" w:space="0" w:color="auto"/>
              <w:bottom w:val="single" w:sz="4" w:space="0" w:color="auto"/>
              <w:right w:val="single" w:sz="4" w:space="0" w:color="auto"/>
            </w:tcBorders>
            <w:vAlign w:val="center"/>
            <w:hideMark/>
          </w:tcPr>
          <w:p w14:paraId="6B6F252F" w14:textId="77777777" w:rsidR="00DF358A" w:rsidRPr="004E13E9" w:rsidRDefault="00DF358A" w:rsidP="007E20D4">
            <w:pPr>
              <w:widowControl w:val="0"/>
              <w:contextualSpacing/>
              <w:jc w:val="center"/>
              <w:rPr>
                <w:rFonts w:ascii="Cambria" w:hAnsi="Cambria"/>
                <w:i/>
                <w:iCs/>
                <w:sz w:val="14"/>
                <w:szCs w:val="14"/>
              </w:rPr>
            </w:pPr>
            <w:r w:rsidRPr="004E13E9">
              <w:rPr>
                <w:rFonts w:ascii="Cambria" w:hAnsi="Cambria"/>
                <w:i/>
                <w:sz w:val="14"/>
                <w:szCs w:val="14"/>
              </w:rPr>
              <w:t>Nombre de navires</w:t>
            </w:r>
          </w:p>
        </w:tc>
        <w:tc>
          <w:tcPr>
            <w:tcW w:w="2420" w:type="dxa"/>
            <w:gridSpan w:val="3"/>
            <w:tcBorders>
              <w:top w:val="single" w:sz="4" w:space="0" w:color="auto"/>
              <w:left w:val="single" w:sz="4" w:space="0" w:color="auto"/>
              <w:bottom w:val="single" w:sz="4" w:space="0" w:color="auto"/>
              <w:right w:val="single" w:sz="4" w:space="0" w:color="auto"/>
            </w:tcBorders>
            <w:vAlign w:val="center"/>
            <w:hideMark/>
          </w:tcPr>
          <w:p w14:paraId="21F260DB" w14:textId="77777777" w:rsidR="00DF358A" w:rsidRPr="004E13E9" w:rsidRDefault="00DF358A" w:rsidP="007E20D4">
            <w:pPr>
              <w:widowControl w:val="0"/>
              <w:contextualSpacing/>
              <w:jc w:val="center"/>
              <w:rPr>
                <w:rFonts w:ascii="Cambria" w:hAnsi="Cambria"/>
                <w:i/>
                <w:iCs/>
                <w:sz w:val="14"/>
                <w:szCs w:val="14"/>
              </w:rPr>
            </w:pPr>
            <w:r w:rsidRPr="004E13E9">
              <w:rPr>
                <w:rFonts w:ascii="Cambria" w:hAnsi="Cambria"/>
                <w:i/>
                <w:sz w:val="14"/>
                <w:szCs w:val="14"/>
              </w:rPr>
              <w:t>Année de réf.</w:t>
            </w:r>
          </w:p>
        </w:tc>
        <w:tc>
          <w:tcPr>
            <w:tcW w:w="3480" w:type="dxa"/>
            <w:gridSpan w:val="4"/>
            <w:tcBorders>
              <w:top w:val="single" w:sz="4" w:space="0" w:color="auto"/>
              <w:left w:val="single" w:sz="4" w:space="0" w:color="auto"/>
              <w:bottom w:val="single" w:sz="4" w:space="0" w:color="auto"/>
              <w:right w:val="single" w:sz="4" w:space="0" w:color="auto"/>
            </w:tcBorders>
            <w:vAlign w:val="center"/>
            <w:hideMark/>
          </w:tcPr>
          <w:p w14:paraId="6A7A70DF" w14:textId="77777777" w:rsidR="00DF358A" w:rsidRPr="004E13E9" w:rsidRDefault="00DF358A" w:rsidP="007E20D4">
            <w:pPr>
              <w:widowControl w:val="0"/>
              <w:contextualSpacing/>
              <w:jc w:val="center"/>
              <w:rPr>
                <w:rFonts w:ascii="Cambria" w:hAnsi="Cambria"/>
                <w:i/>
                <w:iCs/>
                <w:sz w:val="14"/>
                <w:szCs w:val="14"/>
              </w:rPr>
            </w:pPr>
            <w:r w:rsidRPr="004E13E9">
              <w:rPr>
                <w:rFonts w:ascii="Cambria" w:hAnsi="Cambria"/>
                <w:i/>
                <w:sz w:val="14"/>
                <w:szCs w:val="14"/>
              </w:rPr>
              <w:t>Capacité de pêche</w:t>
            </w:r>
          </w:p>
        </w:tc>
      </w:tr>
      <w:tr w:rsidR="00DF358A" w:rsidRPr="004E13E9" w14:paraId="6CC663A7" w14:textId="77777777" w:rsidTr="00BB4F69">
        <w:trPr>
          <w:trHeight w:val="943"/>
          <w:jc w:val="center"/>
        </w:trPr>
        <w:tc>
          <w:tcPr>
            <w:tcW w:w="2438" w:type="dxa"/>
            <w:tcBorders>
              <w:top w:val="single" w:sz="4" w:space="0" w:color="auto"/>
              <w:left w:val="single" w:sz="4" w:space="0" w:color="auto"/>
              <w:bottom w:val="single" w:sz="4" w:space="0" w:color="auto"/>
              <w:right w:val="single" w:sz="4" w:space="0" w:color="auto"/>
            </w:tcBorders>
            <w:noWrap/>
            <w:vAlign w:val="center"/>
            <w:hideMark/>
          </w:tcPr>
          <w:p w14:paraId="6AB1E0AA" w14:textId="77777777" w:rsidR="00DF358A" w:rsidRPr="004E13E9" w:rsidRDefault="00DF358A" w:rsidP="007E20D4">
            <w:pPr>
              <w:contextualSpacing/>
              <w:rPr>
                <w:rFonts w:ascii="Cambria" w:hAnsi="Cambria" w:cs="Arial"/>
                <w:b/>
                <w:bCs/>
                <w:sz w:val="14"/>
                <w:szCs w:val="14"/>
              </w:rPr>
            </w:pPr>
            <w:r w:rsidRPr="004E13E9">
              <w:rPr>
                <w:rFonts w:ascii="Cambria" w:hAnsi="Cambria"/>
                <w:b/>
                <w:sz w:val="14"/>
                <w:szCs w:val="14"/>
              </w:rPr>
              <w:t>Type</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4504BCE3"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Meilleurs taux de capture définis par le SCRS en 2009 (t)</w:t>
            </w:r>
          </w:p>
        </w:tc>
        <w:tc>
          <w:tcPr>
            <w:tcW w:w="609" w:type="dxa"/>
            <w:tcBorders>
              <w:top w:val="single" w:sz="4" w:space="0" w:color="auto"/>
              <w:left w:val="single" w:sz="4" w:space="0" w:color="auto"/>
              <w:bottom w:val="single" w:sz="4" w:space="0" w:color="auto"/>
              <w:right w:val="single" w:sz="4" w:space="0" w:color="auto"/>
            </w:tcBorders>
            <w:vAlign w:val="center"/>
            <w:hideMark/>
          </w:tcPr>
          <w:p w14:paraId="61CF3637"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2006</w:t>
            </w: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655FCF71"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2008</w:t>
            </w:r>
          </w:p>
        </w:tc>
        <w:tc>
          <w:tcPr>
            <w:tcW w:w="633" w:type="dxa"/>
            <w:tcBorders>
              <w:top w:val="single" w:sz="4" w:space="0" w:color="auto"/>
              <w:left w:val="single" w:sz="4" w:space="0" w:color="auto"/>
              <w:bottom w:val="single" w:sz="4" w:space="0" w:color="auto"/>
              <w:right w:val="single" w:sz="4" w:space="0" w:color="auto"/>
            </w:tcBorders>
            <w:vAlign w:val="center"/>
            <w:hideMark/>
          </w:tcPr>
          <w:p w14:paraId="27A61EBC"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2018</w:t>
            </w:r>
          </w:p>
        </w:tc>
        <w:tc>
          <w:tcPr>
            <w:tcW w:w="706" w:type="dxa"/>
            <w:tcBorders>
              <w:top w:val="single" w:sz="4" w:space="0" w:color="auto"/>
              <w:left w:val="single" w:sz="4" w:space="0" w:color="auto"/>
              <w:bottom w:val="single" w:sz="4" w:space="0" w:color="auto"/>
              <w:right w:val="single" w:sz="4" w:space="0" w:color="auto"/>
            </w:tcBorders>
            <w:vAlign w:val="center"/>
            <w:hideMark/>
          </w:tcPr>
          <w:p w14:paraId="2AF5CF5D"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2023</w:t>
            </w:r>
          </w:p>
        </w:tc>
        <w:tc>
          <w:tcPr>
            <w:tcW w:w="706" w:type="dxa"/>
            <w:tcBorders>
              <w:top w:val="single" w:sz="4" w:space="0" w:color="auto"/>
              <w:left w:val="single" w:sz="4" w:space="0" w:color="auto"/>
              <w:bottom w:val="single" w:sz="4" w:space="0" w:color="auto"/>
              <w:right w:val="single" w:sz="4" w:space="0" w:color="auto"/>
            </w:tcBorders>
            <w:vAlign w:val="center"/>
            <w:hideMark/>
          </w:tcPr>
          <w:p w14:paraId="3320FE0D"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2024</w:t>
            </w:r>
          </w:p>
        </w:tc>
        <w:tc>
          <w:tcPr>
            <w:tcW w:w="681" w:type="dxa"/>
            <w:tcBorders>
              <w:top w:val="single" w:sz="4" w:space="0" w:color="auto"/>
              <w:left w:val="single" w:sz="4" w:space="0" w:color="auto"/>
              <w:bottom w:val="single" w:sz="4" w:space="0" w:color="auto"/>
              <w:right w:val="single" w:sz="4" w:space="0" w:color="auto"/>
            </w:tcBorders>
            <w:vAlign w:val="center"/>
            <w:hideMark/>
          </w:tcPr>
          <w:p w14:paraId="13BEF558"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2025</w:t>
            </w:r>
          </w:p>
        </w:tc>
        <w:tc>
          <w:tcPr>
            <w:tcW w:w="681" w:type="dxa"/>
            <w:tcBorders>
              <w:top w:val="single" w:sz="4" w:space="0" w:color="auto"/>
              <w:left w:val="single" w:sz="4" w:space="0" w:color="auto"/>
              <w:bottom w:val="single" w:sz="4" w:space="0" w:color="auto"/>
              <w:right w:val="single" w:sz="4" w:space="0" w:color="auto"/>
            </w:tcBorders>
            <w:vAlign w:val="center"/>
            <w:hideMark/>
          </w:tcPr>
          <w:p w14:paraId="1FD6E26C"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2026</w:t>
            </w:r>
          </w:p>
        </w:tc>
        <w:tc>
          <w:tcPr>
            <w:tcW w:w="786" w:type="dxa"/>
            <w:tcBorders>
              <w:top w:val="single" w:sz="4" w:space="0" w:color="auto"/>
              <w:left w:val="single" w:sz="4" w:space="0" w:color="auto"/>
              <w:bottom w:val="single" w:sz="4" w:space="0" w:color="auto"/>
              <w:right w:val="single" w:sz="4" w:space="0" w:color="auto"/>
            </w:tcBorders>
            <w:vAlign w:val="center"/>
            <w:hideMark/>
          </w:tcPr>
          <w:p w14:paraId="11B91E95"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2006</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05D6E956"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2008</w:t>
            </w:r>
          </w:p>
        </w:tc>
        <w:tc>
          <w:tcPr>
            <w:tcW w:w="876" w:type="dxa"/>
            <w:tcBorders>
              <w:top w:val="single" w:sz="4" w:space="0" w:color="auto"/>
              <w:left w:val="single" w:sz="4" w:space="0" w:color="auto"/>
              <w:bottom w:val="single" w:sz="4" w:space="0" w:color="auto"/>
              <w:right w:val="single" w:sz="4" w:space="0" w:color="auto"/>
            </w:tcBorders>
            <w:vAlign w:val="center"/>
            <w:hideMark/>
          </w:tcPr>
          <w:p w14:paraId="20C24C5B"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2018</w:t>
            </w:r>
          </w:p>
        </w:tc>
        <w:tc>
          <w:tcPr>
            <w:tcW w:w="885" w:type="dxa"/>
            <w:tcBorders>
              <w:top w:val="single" w:sz="4" w:space="0" w:color="auto"/>
              <w:left w:val="single" w:sz="4" w:space="0" w:color="auto"/>
              <w:bottom w:val="single" w:sz="4" w:space="0" w:color="auto"/>
              <w:right w:val="single" w:sz="4" w:space="0" w:color="auto"/>
            </w:tcBorders>
            <w:vAlign w:val="center"/>
            <w:hideMark/>
          </w:tcPr>
          <w:p w14:paraId="58F7F6CE"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2023</w:t>
            </w:r>
          </w:p>
        </w:tc>
        <w:tc>
          <w:tcPr>
            <w:tcW w:w="858" w:type="dxa"/>
            <w:tcBorders>
              <w:top w:val="single" w:sz="4" w:space="0" w:color="auto"/>
              <w:left w:val="single" w:sz="4" w:space="0" w:color="auto"/>
              <w:bottom w:val="single" w:sz="4" w:space="0" w:color="auto"/>
              <w:right w:val="single" w:sz="4" w:space="0" w:color="auto"/>
            </w:tcBorders>
            <w:vAlign w:val="center"/>
            <w:hideMark/>
          </w:tcPr>
          <w:p w14:paraId="3BC41C12"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2024</w:t>
            </w:r>
          </w:p>
        </w:tc>
        <w:tc>
          <w:tcPr>
            <w:tcW w:w="944" w:type="dxa"/>
            <w:tcBorders>
              <w:top w:val="single" w:sz="4" w:space="0" w:color="auto"/>
              <w:left w:val="single" w:sz="4" w:space="0" w:color="auto"/>
              <w:bottom w:val="single" w:sz="4" w:space="0" w:color="auto"/>
              <w:right w:val="single" w:sz="4" w:space="0" w:color="auto"/>
            </w:tcBorders>
            <w:vAlign w:val="center"/>
            <w:hideMark/>
          </w:tcPr>
          <w:p w14:paraId="6D75B335"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2025</w:t>
            </w:r>
          </w:p>
        </w:tc>
        <w:tc>
          <w:tcPr>
            <w:tcW w:w="793" w:type="dxa"/>
            <w:tcBorders>
              <w:top w:val="single" w:sz="4" w:space="0" w:color="auto"/>
              <w:left w:val="single" w:sz="4" w:space="0" w:color="auto"/>
              <w:bottom w:val="single" w:sz="4" w:space="0" w:color="auto"/>
              <w:right w:val="single" w:sz="4" w:space="0" w:color="auto"/>
            </w:tcBorders>
            <w:vAlign w:val="center"/>
            <w:hideMark/>
          </w:tcPr>
          <w:p w14:paraId="5768DBD5"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2026</w:t>
            </w:r>
          </w:p>
        </w:tc>
      </w:tr>
      <w:tr w:rsidR="00DF358A" w:rsidRPr="004E13E9" w14:paraId="5418D641" w14:textId="77777777" w:rsidTr="00BB4F69">
        <w:trPr>
          <w:trHeight w:val="310"/>
          <w:jc w:val="center"/>
        </w:trPr>
        <w:tc>
          <w:tcPr>
            <w:tcW w:w="2438" w:type="dxa"/>
            <w:tcBorders>
              <w:top w:val="single" w:sz="4" w:space="0" w:color="auto"/>
              <w:left w:val="single" w:sz="4" w:space="0" w:color="auto"/>
              <w:bottom w:val="single" w:sz="4" w:space="0" w:color="auto"/>
              <w:right w:val="single" w:sz="4" w:space="0" w:color="auto"/>
            </w:tcBorders>
            <w:noWrap/>
            <w:vAlign w:val="center"/>
            <w:hideMark/>
          </w:tcPr>
          <w:p w14:paraId="11E9DF61" w14:textId="77777777" w:rsidR="00DF358A" w:rsidRPr="004E13E9" w:rsidRDefault="00DF358A" w:rsidP="007E20D4">
            <w:pPr>
              <w:contextualSpacing/>
              <w:rPr>
                <w:rFonts w:ascii="Cambria" w:hAnsi="Cambria" w:cs="Arial"/>
                <w:sz w:val="14"/>
                <w:szCs w:val="14"/>
              </w:rPr>
            </w:pPr>
            <w:r w:rsidRPr="004E13E9">
              <w:rPr>
                <w:rFonts w:ascii="Cambria" w:hAnsi="Cambria"/>
                <w:sz w:val="14"/>
                <w:szCs w:val="14"/>
              </w:rPr>
              <w:t>Senneur de plus de 40 m</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542B3A51"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70,66</w:t>
            </w:r>
          </w:p>
        </w:tc>
        <w:tc>
          <w:tcPr>
            <w:tcW w:w="609" w:type="dxa"/>
            <w:tcBorders>
              <w:top w:val="single" w:sz="4" w:space="0" w:color="auto"/>
              <w:left w:val="single" w:sz="4" w:space="0" w:color="auto"/>
              <w:bottom w:val="single" w:sz="4" w:space="0" w:color="auto"/>
              <w:right w:val="single" w:sz="4" w:space="0" w:color="auto"/>
            </w:tcBorders>
            <w:vAlign w:val="center"/>
            <w:hideMark/>
          </w:tcPr>
          <w:p w14:paraId="19692A77"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33</w:t>
            </w: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728EE66D"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38</w:t>
            </w:r>
          </w:p>
        </w:tc>
        <w:tc>
          <w:tcPr>
            <w:tcW w:w="633" w:type="dxa"/>
            <w:tcBorders>
              <w:top w:val="single" w:sz="4" w:space="0" w:color="auto"/>
              <w:left w:val="single" w:sz="4" w:space="0" w:color="auto"/>
              <w:bottom w:val="single" w:sz="4" w:space="0" w:color="auto"/>
              <w:right w:val="single" w:sz="4" w:space="0" w:color="auto"/>
            </w:tcBorders>
            <w:vAlign w:val="center"/>
            <w:hideMark/>
          </w:tcPr>
          <w:p w14:paraId="6F2AE393"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37</w:t>
            </w:r>
          </w:p>
        </w:tc>
        <w:tc>
          <w:tcPr>
            <w:tcW w:w="706" w:type="dxa"/>
            <w:tcBorders>
              <w:top w:val="single" w:sz="4" w:space="0" w:color="auto"/>
              <w:left w:val="single" w:sz="4" w:space="0" w:color="auto"/>
              <w:bottom w:val="single" w:sz="4" w:space="0" w:color="auto"/>
              <w:right w:val="single" w:sz="4" w:space="0" w:color="auto"/>
            </w:tcBorders>
            <w:vAlign w:val="center"/>
            <w:hideMark/>
          </w:tcPr>
          <w:p w14:paraId="5B696188"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31</w:t>
            </w:r>
          </w:p>
        </w:tc>
        <w:tc>
          <w:tcPr>
            <w:tcW w:w="706" w:type="dxa"/>
            <w:tcBorders>
              <w:top w:val="single" w:sz="4" w:space="0" w:color="auto"/>
              <w:left w:val="single" w:sz="4" w:space="0" w:color="auto"/>
              <w:bottom w:val="single" w:sz="4" w:space="0" w:color="auto"/>
              <w:right w:val="single" w:sz="4" w:space="0" w:color="auto"/>
            </w:tcBorders>
            <w:vAlign w:val="center"/>
            <w:hideMark/>
          </w:tcPr>
          <w:p w14:paraId="74CF843B"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30</w:t>
            </w:r>
          </w:p>
        </w:tc>
        <w:tc>
          <w:tcPr>
            <w:tcW w:w="681" w:type="dxa"/>
            <w:tcBorders>
              <w:top w:val="single" w:sz="4" w:space="0" w:color="auto"/>
              <w:left w:val="single" w:sz="4" w:space="0" w:color="auto"/>
              <w:bottom w:val="single" w:sz="4" w:space="0" w:color="auto"/>
              <w:right w:val="single" w:sz="4" w:space="0" w:color="auto"/>
            </w:tcBorders>
            <w:vAlign w:val="center"/>
            <w:hideMark/>
          </w:tcPr>
          <w:p w14:paraId="5810C5DE"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31</w:t>
            </w:r>
          </w:p>
        </w:tc>
        <w:tc>
          <w:tcPr>
            <w:tcW w:w="681" w:type="dxa"/>
            <w:tcBorders>
              <w:top w:val="single" w:sz="4" w:space="0" w:color="auto"/>
              <w:left w:val="single" w:sz="4" w:space="0" w:color="auto"/>
              <w:bottom w:val="single" w:sz="4" w:space="0" w:color="auto"/>
              <w:right w:val="single" w:sz="4" w:space="0" w:color="auto"/>
            </w:tcBorders>
            <w:vAlign w:val="center"/>
            <w:hideMark/>
          </w:tcPr>
          <w:p w14:paraId="1683A7FF"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31</w:t>
            </w:r>
          </w:p>
        </w:tc>
        <w:tc>
          <w:tcPr>
            <w:tcW w:w="786" w:type="dxa"/>
            <w:tcBorders>
              <w:top w:val="single" w:sz="4" w:space="0" w:color="auto"/>
              <w:left w:val="single" w:sz="4" w:space="0" w:color="auto"/>
              <w:bottom w:val="single" w:sz="4" w:space="0" w:color="auto"/>
              <w:right w:val="single" w:sz="4" w:space="0" w:color="auto"/>
            </w:tcBorders>
            <w:vAlign w:val="center"/>
            <w:hideMark/>
          </w:tcPr>
          <w:p w14:paraId="53D0AD04"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2.332</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078A41F5"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2685</w:t>
            </w:r>
          </w:p>
        </w:tc>
        <w:tc>
          <w:tcPr>
            <w:tcW w:w="876" w:type="dxa"/>
            <w:tcBorders>
              <w:top w:val="single" w:sz="4" w:space="0" w:color="auto"/>
              <w:left w:val="single" w:sz="4" w:space="0" w:color="auto"/>
              <w:bottom w:val="single" w:sz="4" w:space="0" w:color="auto"/>
              <w:right w:val="single" w:sz="4" w:space="0" w:color="auto"/>
            </w:tcBorders>
            <w:vAlign w:val="center"/>
            <w:hideMark/>
          </w:tcPr>
          <w:p w14:paraId="5E10FCC3"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2616</w:t>
            </w:r>
          </w:p>
        </w:tc>
        <w:tc>
          <w:tcPr>
            <w:tcW w:w="885" w:type="dxa"/>
            <w:tcBorders>
              <w:top w:val="single" w:sz="4" w:space="0" w:color="auto"/>
              <w:left w:val="single" w:sz="4" w:space="0" w:color="auto"/>
              <w:bottom w:val="single" w:sz="4" w:space="0" w:color="auto"/>
              <w:right w:val="single" w:sz="4" w:space="0" w:color="auto"/>
            </w:tcBorders>
            <w:vAlign w:val="center"/>
            <w:hideMark/>
          </w:tcPr>
          <w:p w14:paraId="4CBDBDD9"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2.192</w:t>
            </w:r>
          </w:p>
        </w:tc>
        <w:tc>
          <w:tcPr>
            <w:tcW w:w="858" w:type="dxa"/>
            <w:tcBorders>
              <w:top w:val="single" w:sz="4" w:space="0" w:color="auto"/>
              <w:left w:val="single" w:sz="4" w:space="0" w:color="auto"/>
              <w:bottom w:val="single" w:sz="4" w:space="0" w:color="auto"/>
              <w:right w:val="single" w:sz="4" w:space="0" w:color="auto"/>
            </w:tcBorders>
            <w:vAlign w:val="center"/>
            <w:hideMark/>
          </w:tcPr>
          <w:p w14:paraId="26291516"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2.192</w:t>
            </w:r>
          </w:p>
        </w:tc>
        <w:tc>
          <w:tcPr>
            <w:tcW w:w="944" w:type="dxa"/>
            <w:tcBorders>
              <w:top w:val="single" w:sz="4" w:space="0" w:color="auto"/>
              <w:left w:val="single" w:sz="4" w:space="0" w:color="auto"/>
              <w:bottom w:val="single" w:sz="4" w:space="0" w:color="auto"/>
              <w:right w:val="single" w:sz="4" w:space="0" w:color="auto"/>
            </w:tcBorders>
            <w:vAlign w:val="center"/>
            <w:hideMark/>
          </w:tcPr>
          <w:p w14:paraId="111AAC03"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2.191</w:t>
            </w:r>
          </w:p>
        </w:tc>
        <w:tc>
          <w:tcPr>
            <w:tcW w:w="793" w:type="dxa"/>
            <w:tcBorders>
              <w:top w:val="single" w:sz="4" w:space="0" w:color="auto"/>
              <w:left w:val="single" w:sz="4" w:space="0" w:color="auto"/>
              <w:bottom w:val="single" w:sz="4" w:space="0" w:color="auto"/>
              <w:right w:val="single" w:sz="4" w:space="0" w:color="auto"/>
            </w:tcBorders>
            <w:vAlign w:val="center"/>
            <w:hideMark/>
          </w:tcPr>
          <w:p w14:paraId="47459959"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2.190</w:t>
            </w:r>
          </w:p>
        </w:tc>
      </w:tr>
      <w:tr w:rsidR="00DF358A" w:rsidRPr="004E13E9" w14:paraId="6746199D" w14:textId="77777777" w:rsidTr="00BB4F69">
        <w:trPr>
          <w:trHeight w:val="310"/>
          <w:jc w:val="center"/>
        </w:trPr>
        <w:tc>
          <w:tcPr>
            <w:tcW w:w="2438" w:type="dxa"/>
            <w:tcBorders>
              <w:top w:val="single" w:sz="4" w:space="0" w:color="auto"/>
              <w:left w:val="single" w:sz="4" w:space="0" w:color="auto"/>
              <w:bottom w:val="single" w:sz="4" w:space="0" w:color="auto"/>
              <w:right w:val="single" w:sz="4" w:space="0" w:color="auto"/>
            </w:tcBorders>
            <w:noWrap/>
            <w:vAlign w:val="center"/>
            <w:hideMark/>
          </w:tcPr>
          <w:p w14:paraId="57E05D2B" w14:textId="77777777" w:rsidR="00DF358A" w:rsidRPr="004E13E9" w:rsidRDefault="00DF358A" w:rsidP="007E20D4">
            <w:pPr>
              <w:contextualSpacing/>
              <w:rPr>
                <w:rFonts w:ascii="Cambria" w:hAnsi="Cambria" w:cs="Arial"/>
                <w:sz w:val="14"/>
                <w:szCs w:val="14"/>
              </w:rPr>
            </w:pPr>
            <w:r w:rsidRPr="004E13E9">
              <w:rPr>
                <w:rFonts w:ascii="Cambria" w:hAnsi="Cambria"/>
                <w:sz w:val="14"/>
                <w:szCs w:val="14"/>
              </w:rPr>
              <w:t>Senneur entre 24 et 40 m</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5563277E"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49,78</w:t>
            </w:r>
          </w:p>
        </w:tc>
        <w:tc>
          <w:tcPr>
            <w:tcW w:w="609" w:type="dxa"/>
            <w:tcBorders>
              <w:top w:val="single" w:sz="4" w:space="0" w:color="auto"/>
              <w:left w:val="single" w:sz="4" w:space="0" w:color="auto"/>
              <w:bottom w:val="single" w:sz="4" w:space="0" w:color="auto"/>
              <w:right w:val="single" w:sz="4" w:space="0" w:color="auto"/>
            </w:tcBorders>
            <w:vAlign w:val="center"/>
            <w:hideMark/>
          </w:tcPr>
          <w:p w14:paraId="57EEE3B0"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73</w:t>
            </w: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02A1CBC1"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91</w:t>
            </w:r>
          </w:p>
        </w:tc>
        <w:tc>
          <w:tcPr>
            <w:tcW w:w="633" w:type="dxa"/>
            <w:tcBorders>
              <w:top w:val="single" w:sz="4" w:space="0" w:color="auto"/>
              <w:left w:val="single" w:sz="4" w:space="0" w:color="auto"/>
              <w:bottom w:val="single" w:sz="4" w:space="0" w:color="auto"/>
              <w:right w:val="single" w:sz="4" w:space="0" w:color="auto"/>
            </w:tcBorders>
            <w:vAlign w:val="center"/>
            <w:hideMark/>
          </w:tcPr>
          <w:p w14:paraId="14126569"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17</w:t>
            </w:r>
          </w:p>
        </w:tc>
        <w:tc>
          <w:tcPr>
            <w:tcW w:w="706" w:type="dxa"/>
            <w:tcBorders>
              <w:top w:val="single" w:sz="4" w:space="0" w:color="auto"/>
              <w:left w:val="single" w:sz="4" w:space="0" w:color="auto"/>
              <w:bottom w:val="single" w:sz="4" w:space="0" w:color="auto"/>
              <w:right w:val="single" w:sz="4" w:space="0" w:color="auto"/>
            </w:tcBorders>
            <w:vAlign w:val="center"/>
            <w:hideMark/>
          </w:tcPr>
          <w:p w14:paraId="20C92CC3"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35</w:t>
            </w:r>
          </w:p>
        </w:tc>
        <w:tc>
          <w:tcPr>
            <w:tcW w:w="706" w:type="dxa"/>
            <w:tcBorders>
              <w:top w:val="single" w:sz="4" w:space="0" w:color="auto"/>
              <w:left w:val="single" w:sz="4" w:space="0" w:color="auto"/>
              <w:bottom w:val="single" w:sz="4" w:space="0" w:color="auto"/>
              <w:right w:val="single" w:sz="4" w:space="0" w:color="auto"/>
            </w:tcBorders>
            <w:vAlign w:val="center"/>
            <w:hideMark/>
          </w:tcPr>
          <w:p w14:paraId="60C7077C"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35</w:t>
            </w:r>
          </w:p>
        </w:tc>
        <w:tc>
          <w:tcPr>
            <w:tcW w:w="681" w:type="dxa"/>
            <w:tcBorders>
              <w:top w:val="single" w:sz="4" w:space="0" w:color="auto"/>
              <w:left w:val="single" w:sz="4" w:space="0" w:color="auto"/>
              <w:bottom w:val="single" w:sz="4" w:space="0" w:color="auto"/>
              <w:right w:val="single" w:sz="4" w:space="0" w:color="auto"/>
            </w:tcBorders>
            <w:vAlign w:val="center"/>
            <w:hideMark/>
          </w:tcPr>
          <w:p w14:paraId="4E77074C"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35</w:t>
            </w:r>
          </w:p>
        </w:tc>
        <w:tc>
          <w:tcPr>
            <w:tcW w:w="681" w:type="dxa"/>
            <w:tcBorders>
              <w:top w:val="single" w:sz="4" w:space="0" w:color="auto"/>
              <w:left w:val="single" w:sz="4" w:space="0" w:color="auto"/>
              <w:bottom w:val="single" w:sz="4" w:space="0" w:color="auto"/>
              <w:right w:val="single" w:sz="4" w:space="0" w:color="auto"/>
            </w:tcBorders>
            <w:vAlign w:val="center"/>
            <w:hideMark/>
          </w:tcPr>
          <w:p w14:paraId="475FD3FD"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35</w:t>
            </w:r>
          </w:p>
        </w:tc>
        <w:tc>
          <w:tcPr>
            <w:tcW w:w="786" w:type="dxa"/>
            <w:tcBorders>
              <w:top w:val="single" w:sz="4" w:space="0" w:color="auto"/>
              <w:left w:val="single" w:sz="4" w:space="0" w:color="auto"/>
              <w:bottom w:val="single" w:sz="4" w:space="0" w:color="auto"/>
              <w:right w:val="single" w:sz="4" w:space="0" w:color="auto"/>
            </w:tcBorders>
            <w:vAlign w:val="center"/>
            <w:hideMark/>
          </w:tcPr>
          <w:p w14:paraId="42546188"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3.634</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3A2E8954"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4530</w:t>
            </w:r>
          </w:p>
        </w:tc>
        <w:tc>
          <w:tcPr>
            <w:tcW w:w="876" w:type="dxa"/>
            <w:tcBorders>
              <w:top w:val="single" w:sz="4" w:space="0" w:color="auto"/>
              <w:left w:val="single" w:sz="4" w:space="0" w:color="auto"/>
              <w:bottom w:val="single" w:sz="4" w:space="0" w:color="auto"/>
              <w:right w:val="single" w:sz="4" w:space="0" w:color="auto"/>
            </w:tcBorders>
            <w:vAlign w:val="center"/>
            <w:hideMark/>
          </w:tcPr>
          <w:p w14:paraId="26573D13"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846</w:t>
            </w:r>
          </w:p>
        </w:tc>
        <w:tc>
          <w:tcPr>
            <w:tcW w:w="885" w:type="dxa"/>
            <w:tcBorders>
              <w:top w:val="single" w:sz="4" w:space="0" w:color="auto"/>
              <w:left w:val="single" w:sz="4" w:space="0" w:color="auto"/>
              <w:bottom w:val="single" w:sz="4" w:space="0" w:color="auto"/>
              <w:right w:val="single" w:sz="4" w:space="0" w:color="auto"/>
            </w:tcBorders>
            <w:vAlign w:val="center"/>
            <w:hideMark/>
          </w:tcPr>
          <w:p w14:paraId="7BCEC868"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1.742</w:t>
            </w:r>
          </w:p>
        </w:tc>
        <w:tc>
          <w:tcPr>
            <w:tcW w:w="858" w:type="dxa"/>
            <w:tcBorders>
              <w:top w:val="single" w:sz="4" w:space="0" w:color="auto"/>
              <w:left w:val="single" w:sz="4" w:space="0" w:color="auto"/>
              <w:bottom w:val="single" w:sz="4" w:space="0" w:color="auto"/>
              <w:right w:val="single" w:sz="4" w:space="0" w:color="auto"/>
            </w:tcBorders>
            <w:vAlign w:val="center"/>
            <w:hideMark/>
          </w:tcPr>
          <w:p w14:paraId="46EB3B10"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1.742</w:t>
            </w:r>
          </w:p>
        </w:tc>
        <w:tc>
          <w:tcPr>
            <w:tcW w:w="944" w:type="dxa"/>
            <w:tcBorders>
              <w:top w:val="single" w:sz="4" w:space="0" w:color="auto"/>
              <w:left w:val="single" w:sz="4" w:space="0" w:color="auto"/>
              <w:bottom w:val="single" w:sz="4" w:space="0" w:color="auto"/>
              <w:right w:val="single" w:sz="4" w:space="0" w:color="auto"/>
            </w:tcBorders>
            <w:vAlign w:val="center"/>
            <w:hideMark/>
          </w:tcPr>
          <w:p w14:paraId="4945A343"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1.743</w:t>
            </w:r>
          </w:p>
        </w:tc>
        <w:tc>
          <w:tcPr>
            <w:tcW w:w="793" w:type="dxa"/>
            <w:tcBorders>
              <w:top w:val="single" w:sz="4" w:space="0" w:color="auto"/>
              <w:left w:val="single" w:sz="4" w:space="0" w:color="auto"/>
              <w:bottom w:val="single" w:sz="4" w:space="0" w:color="auto"/>
              <w:right w:val="single" w:sz="4" w:space="0" w:color="auto"/>
            </w:tcBorders>
            <w:vAlign w:val="center"/>
            <w:hideMark/>
          </w:tcPr>
          <w:p w14:paraId="0F952200"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1.743</w:t>
            </w:r>
          </w:p>
        </w:tc>
      </w:tr>
      <w:tr w:rsidR="00DF358A" w:rsidRPr="004E13E9" w14:paraId="2B234BAC" w14:textId="77777777" w:rsidTr="00BB4F69">
        <w:trPr>
          <w:trHeight w:val="310"/>
          <w:jc w:val="center"/>
        </w:trPr>
        <w:tc>
          <w:tcPr>
            <w:tcW w:w="2438" w:type="dxa"/>
            <w:tcBorders>
              <w:top w:val="single" w:sz="4" w:space="0" w:color="auto"/>
              <w:left w:val="single" w:sz="4" w:space="0" w:color="auto"/>
              <w:bottom w:val="single" w:sz="4" w:space="0" w:color="auto"/>
              <w:right w:val="single" w:sz="4" w:space="0" w:color="auto"/>
            </w:tcBorders>
            <w:noWrap/>
            <w:vAlign w:val="center"/>
            <w:hideMark/>
          </w:tcPr>
          <w:p w14:paraId="07517E0C" w14:textId="77777777" w:rsidR="00DF358A" w:rsidRPr="004E13E9" w:rsidRDefault="00DF358A" w:rsidP="007E20D4">
            <w:pPr>
              <w:contextualSpacing/>
              <w:rPr>
                <w:rFonts w:ascii="Cambria" w:hAnsi="Cambria" w:cs="Arial"/>
                <w:sz w:val="14"/>
                <w:szCs w:val="14"/>
              </w:rPr>
            </w:pPr>
            <w:r w:rsidRPr="004E13E9">
              <w:rPr>
                <w:rFonts w:ascii="Cambria" w:hAnsi="Cambria"/>
                <w:sz w:val="14"/>
                <w:szCs w:val="14"/>
              </w:rPr>
              <w:t>Senneur de moins de 24m</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5C5D35F3"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33,68</w:t>
            </w:r>
          </w:p>
        </w:tc>
        <w:tc>
          <w:tcPr>
            <w:tcW w:w="609" w:type="dxa"/>
            <w:tcBorders>
              <w:top w:val="single" w:sz="4" w:space="0" w:color="auto"/>
              <w:left w:val="single" w:sz="4" w:space="0" w:color="auto"/>
              <w:bottom w:val="single" w:sz="4" w:space="0" w:color="auto"/>
              <w:right w:val="single" w:sz="4" w:space="0" w:color="auto"/>
            </w:tcBorders>
            <w:vAlign w:val="center"/>
            <w:hideMark/>
          </w:tcPr>
          <w:p w14:paraId="7EEB8FD4"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39</w:t>
            </w: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2DF9AF14"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112</w:t>
            </w:r>
          </w:p>
        </w:tc>
        <w:tc>
          <w:tcPr>
            <w:tcW w:w="633" w:type="dxa"/>
            <w:tcBorders>
              <w:top w:val="single" w:sz="4" w:space="0" w:color="auto"/>
              <w:left w:val="single" w:sz="4" w:space="0" w:color="auto"/>
              <w:bottom w:val="single" w:sz="4" w:space="0" w:color="auto"/>
              <w:right w:val="single" w:sz="4" w:space="0" w:color="auto"/>
            </w:tcBorders>
            <w:vAlign w:val="center"/>
            <w:hideMark/>
          </w:tcPr>
          <w:p w14:paraId="5EBE5DDE"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4</w:t>
            </w:r>
          </w:p>
        </w:tc>
        <w:tc>
          <w:tcPr>
            <w:tcW w:w="706" w:type="dxa"/>
            <w:tcBorders>
              <w:top w:val="single" w:sz="4" w:space="0" w:color="auto"/>
              <w:left w:val="single" w:sz="4" w:space="0" w:color="auto"/>
              <w:bottom w:val="single" w:sz="4" w:space="0" w:color="auto"/>
              <w:right w:val="single" w:sz="4" w:space="0" w:color="auto"/>
            </w:tcBorders>
            <w:vAlign w:val="center"/>
            <w:hideMark/>
          </w:tcPr>
          <w:p w14:paraId="4823F20D"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4</w:t>
            </w:r>
          </w:p>
        </w:tc>
        <w:tc>
          <w:tcPr>
            <w:tcW w:w="706" w:type="dxa"/>
            <w:tcBorders>
              <w:top w:val="single" w:sz="4" w:space="0" w:color="auto"/>
              <w:left w:val="single" w:sz="4" w:space="0" w:color="auto"/>
              <w:bottom w:val="single" w:sz="4" w:space="0" w:color="auto"/>
              <w:right w:val="single" w:sz="4" w:space="0" w:color="auto"/>
            </w:tcBorders>
            <w:vAlign w:val="center"/>
            <w:hideMark/>
          </w:tcPr>
          <w:p w14:paraId="2609C5D9"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5</w:t>
            </w:r>
          </w:p>
        </w:tc>
        <w:tc>
          <w:tcPr>
            <w:tcW w:w="681" w:type="dxa"/>
            <w:tcBorders>
              <w:top w:val="single" w:sz="4" w:space="0" w:color="auto"/>
              <w:left w:val="single" w:sz="4" w:space="0" w:color="auto"/>
              <w:bottom w:val="single" w:sz="4" w:space="0" w:color="auto"/>
              <w:right w:val="single" w:sz="4" w:space="0" w:color="auto"/>
            </w:tcBorders>
            <w:vAlign w:val="center"/>
            <w:hideMark/>
          </w:tcPr>
          <w:p w14:paraId="5FF7E99A"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5</w:t>
            </w:r>
          </w:p>
        </w:tc>
        <w:tc>
          <w:tcPr>
            <w:tcW w:w="681" w:type="dxa"/>
            <w:tcBorders>
              <w:top w:val="single" w:sz="4" w:space="0" w:color="auto"/>
              <w:left w:val="single" w:sz="4" w:space="0" w:color="auto"/>
              <w:bottom w:val="single" w:sz="4" w:space="0" w:color="auto"/>
              <w:right w:val="single" w:sz="4" w:space="0" w:color="auto"/>
            </w:tcBorders>
            <w:vAlign w:val="center"/>
            <w:hideMark/>
          </w:tcPr>
          <w:p w14:paraId="44C995A2"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5</w:t>
            </w:r>
          </w:p>
        </w:tc>
        <w:tc>
          <w:tcPr>
            <w:tcW w:w="786" w:type="dxa"/>
            <w:tcBorders>
              <w:top w:val="single" w:sz="4" w:space="0" w:color="auto"/>
              <w:left w:val="single" w:sz="4" w:space="0" w:color="auto"/>
              <w:bottom w:val="single" w:sz="4" w:space="0" w:color="auto"/>
              <w:right w:val="single" w:sz="4" w:space="0" w:color="auto"/>
            </w:tcBorders>
            <w:vAlign w:val="center"/>
            <w:hideMark/>
          </w:tcPr>
          <w:p w14:paraId="047E35C8"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1.314</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78E1E988"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3772</w:t>
            </w:r>
          </w:p>
        </w:tc>
        <w:tc>
          <w:tcPr>
            <w:tcW w:w="876" w:type="dxa"/>
            <w:tcBorders>
              <w:top w:val="single" w:sz="4" w:space="0" w:color="auto"/>
              <w:left w:val="single" w:sz="4" w:space="0" w:color="auto"/>
              <w:bottom w:val="single" w:sz="4" w:space="0" w:color="auto"/>
              <w:right w:val="single" w:sz="4" w:space="0" w:color="auto"/>
            </w:tcBorders>
            <w:vAlign w:val="center"/>
            <w:hideMark/>
          </w:tcPr>
          <w:p w14:paraId="0DC9093C"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135</w:t>
            </w:r>
          </w:p>
        </w:tc>
        <w:tc>
          <w:tcPr>
            <w:tcW w:w="885" w:type="dxa"/>
            <w:tcBorders>
              <w:top w:val="single" w:sz="4" w:space="0" w:color="auto"/>
              <w:left w:val="single" w:sz="4" w:space="0" w:color="auto"/>
              <w:bottom w:val="single" w:sz="4" w:space="0" w:color="auto"/>
              <w:right w:val="single" w:sz="4" w:space="0" w:color="auto"/>
            </w:tcBorders>
            <w:vAlign w:val="center"/>
            <w:hideMark/>
          </w:tcPr>
          <w:p w14:paraId="7473FBF7"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135</w:t>
            </w:r>
          </w:p>
        </w:tc>
        <w:tc>
          <w:tcPr>
            <w:tcW w:w="858" w:type="dxa"/>
            <w:tcBorders>
              <w:top w:val="single" w:sz="4" w:space="0" w:color="auto"/>
              <w:left w:val="single" w:sz="4" w:space="0" w:color="auto"/>
              <w:bottom w:val="single" w:sz="4" w:space="0" w:color="auto"/>
              <w:right w:val="single" w:sz="4" w:space="0" w:color="auto"/>
            </w:tcBorders>
            <w:vAlign w:val="center"/>
            <w:hideMark/>
          </w:tcPr>
          <w:p w14:paraId="20962346"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135</w:t>
            </w:r>
          </w:p>
        </w:tc>
        <w:tc>
          <w:tcPr>
            <w:tcW w:w="944" w:type="dxa"/>
            <w:tcBorders>
              <w:top w:val="single" w:sz="4" w:space="0" w:color="auto"/>
              <w:left w:val="single" w:sz="4" w:space="0" w:color="auto"/>
              <w:bottom w:val="single" w:sz="4" w:space="0" w:color="auto"/>
              <w:right w:val="single" w:sz="4" w:space="0" w:color="auto"/>
            </w:tcBorders>
            <w:vAlign w:val="center"/>
            <w:hideMark/>
          </w:tcPr>
          <w:p w14:paraId="3AD407AD"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231</w:t>
            </w:r>
          </w:p>
        </w:tc>
        <w:tc>
          <w:tcPr>
            <w:tcW w:w="793" w:type="dxa"/>
            <w:tcBorders>
              <w:top w:val="single" w:sz="4" w:space="0" w:color="auto"/>
              <w:left w:val="single" w:sz="4" w:space="0" w:color="auto"/>
              <w:bottom w:val="single" w:sz="4" w:space="0" w:color="auto"/>
              <w:right w:val="single" w:sz="4" w:space="0" w:color="auto"/>
            </w:tcBorders>
            <w:vAlign w:val="center"/>
            <w:hideMark/>
          </w:tcPr>
          <w:p w14:paraId="73374A1E"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cstheme="majorBidi"/>
                <w:sz w:val="16"/>
                <w:szCs w:val="16"/>
              </w:rPr>
              <w:t>168</w:t>
            </w:r>
          </w:p>
        </w:tc>
      </w:tr>
      <w:tr w:rsidR="00DF358A" w:rsidRPr="004E13E9" w14:paraId="3682CBBA" w14:textId="77777777" w:rsidTr="00BB4F69">
        <w:trPr>
          <w:trHeight w:val="201"/>
          <w:jc w:val="center"/>
        </w:trPr>
        <w:tc>
          <w:tcPr>
            <w:tcW w:w="2438" w:type="dxa"/>
            <w:tcBorders>
              <w:top w:val="single" w:sz="4" w:space="0" w:color="auto"/>
              <w:left w:val="single" w:sz="4" w:space="0" w:color="auto"/>
              <w:bottom w:val="single" w:sz="4" w:space="0" w:color="auto"/>
              <w:right w:val="single" w:sz="4" w:space="0" w:color="auto"/>
            </w:tcBorders>
            <w:noWrap/>
            <w:vAlign w:val="center"/>
            <w:hideMark/>
          </w:tcPr>
          <w:p w14:paraId="041AD92F" w14:textId="77777777" w:rsidR="00DF358A" w:rsidRPr="004E13E9" w:rsidRDefault="00DF358A" w:rsidP="007E20D4">
            <w:pPr>
              <w:contextualSpacing/>
              <w:rPr>
                <w:rFonts w:ascii="Cambria" w:hAnsi="Cambria"/>
                <w:b/>
                <w:bCs/>
                <w:sz w:val="14"/>
                <w:szCs w:val="14"/>
              </w:rPr>
            </w:pPr>
            <w:r w:rsidRPr="004E13E9">
              <w:rPr>
                <w:rFonts w:ascii="Cambria" w:hAnsi="Cambria"/>
                <w:b/>
                <w:sz w:val="14"/>
                <w:szCs w:val="14"/>
              </w:rPr>
              <w:t>Flottille totale de senneurs</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150A8F6F" w14:textId="77777777" w:rsidR="00DF358A" w:rsidRPr="004E13E9" w:rsidRDefault="00DF358A" w:rsidP="007E20D4">
            <w:pPr>
              <w:widowControl w:val="0"/>
              <w:contextualSpacing/>
              <w:jc w:val="both"/>
              <w:rPr>
                <w:rFonts w:ascii="Cambria" w:hAnsi="Cambria"/>
                <w:b/>
                <w:bCs/>
                <w:sz w:val="14"/>
                <w:szCs w:val="14"/>
              </w:rPr>
            </w:pPr>
          </w:p>
        </w:tc>
        <w:tc>
          <w:tcPr>
            <w:tcW w:w="609" w:type="dxa"/>
            <w:tcBorders>
              <w:top w:val="single" w:sz="4" w:space="0" w:color="auto"/>
              <w:left w:val="single" w:sz="4" w:space="0" w:color="auto"/>
              <w:bottom w:val="single" w:sz="4" w:space="0" w:color="auto"/>
              <w:right w:val="single" w:sz="4" w:space="0" w:color="auto"/>
            </w:tcBorders>
            <w:vAlign w:val="center"/>
            <w:hideMark/>
          </w:tcPr>
          <w:p w14:paraId="512D4102"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b/>
                <w:sz w:val="14"/>
                <w:szCs w:val="14"/>
              </w:rPr>
              <w:t>145</w:t>
            </w: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5023BF98"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b/>
                <w:sz w:val="14"/>
                <w:szCs w:val="14"/>
              </w:rPr>
              <w:t>241</w:t>
            </w:r>
          </w:p>
        </w:tc>
        <w:tc>
          <w:tcPr>
            <w:tcW w:w="633" w:type="dxa"/>
            <w:tcBorders>
              <w:top w:val="single" w:sz="4" w:space="0" w:color="auto"/>
              <w:left w:val="single" w:sz="4" w:space="0" w:color="auto"/>
              <w:bottom w:val="single" w:sz="4" w:space="0" w:color="auto"/>
              <w:right w:val="single" w:sz="4" w:space="0" w:color="auto"/>
            </w:tcBorders>
            <w:vAlign w:val="center"/>
            <w:hideMark/>
          </w:tcPr>
          <w:p w14:paraId="067A0A35" w14:textId="77777777" w:rsidR="00DF358A" w:rsidRPr="004E13E9" w:rsidRDefault="00DF358A" w:rsidP="007E20D4">
            <w:pPr>
              <w:widowControl w:val="0"/>
              <w:contextualSpacing/>
              <w:jc w:val="center"/>
              <w:rPr>
                <w:rFonts w:ascii="Cambria" w:hAnsi="Cambria" w:cs="Arial"/>
                <w:b/>
                <w:bCs/>
                <w:sz w:val="14"/>
                <w:szCs w:val="14"/>
              </w:rPr>
            </w:pPr>
            <w:r w:rsidRPr="004E13E9">
              <w:rPr>
                <w:rFonts w:ascii="Cambria" w:hAnsi="Cambria"/>
                <w:b/>
                <w:sz w:val="14"/>
                <w:szCs w:val="14"/>
              </w:rPr>
              <w:t>58</w:t>
            </w:r>
          </w:p>
        </w:tc>
        <w:tc>
          <w:tcPr>
            <w:tcW w:w="706" w:type="dxa"/>
            <w:tcBorders>
              <w:top w:val="single" w:sz="4" w:space="0" w:color="auto"/>
              <w:left w:val="single" w:sz="4" w:space="0" w:color="auto"/>
              <w:bottom w:val="single" w:sz="4" w:space="0" w:color="auto"/>
              <w:right w:val="single" w:sz="4" w:space="0" w:color="auto"/>
            </w:tcBorders>
            <w:vAlign w:val="center"/>
            <w:hideMark/>
          </w:tcPr>
          <w:p w14:paraId="12E63A85" w14:textId="77777777" w:rsidR="00DF358A" w:rsidRPr="004E13E9" w:rsidRDefault="00DF358A" w:rsidP="007E20D4">
            <w:pPr>
              <w:widowControl w:val="0"/>
              <w:contextualSpacing/>
              <w:jc w:val="center"/>
              <w:rPr>
                <w:rFonts w:ascii="Cambria" w:hAnsi="Cambria" w:cs="Arial"/>
                <w:b/>
                <w:bCs/>
                <w:sz w:val="14"/>
                <w:szCs w:val="14"/>
              </w:rPr>
            </w:pPr>
            <w:r w:rsidRPr="004E13E9">
              <w:rPr>
                <w:rFonts w:ascii="Cambria" w:hAnsi="Cambria"/>
                <w:b/>
                <w:sz w:val="14"/>
                <w:szCs w:val="14"/>
              </w:rPr>
              <w:t>70</w:t>
            </w:r>
          </w:p>
        </w:tc>
        <w:tc>
          <w:tcPr>
            <w:tcW w:w="706" w:type="dxa"/>
            <w:tcBorders>
              <w:top w:val="single" w:sz="4" w:space="0" w:color="auto"/>
              <w:left w:val="single" w:sz="4" w:space="0" w:color="auto"/>
              <w:bottom w:val="single" w:sz="4" w:space="0" w:color="auto"/>
              <w:right w:val="single" w:sz="4" w:space="0" w:color="auto"/>
            </w:tcBorders>
            <w:vAlign w:val="center"/>
            <w:hideMark/>
          </w:tcPr>
          <w:p w14:paraId="255FBAB0" w14:textId="77777777" w:rsidR="00DF358A" w:rsidRPr="004E13E9" w:rsidRDefault="00DF358A" w:rsidP="007E20D4">
            <w:pPr>
              <w:widowControl w:val="0"/>
              <w:contextualSpacing/>
              <w:jc w:val="center"/>
              <w:rPr>
                <w:rFonts w:ascii="Cambria" w:hAnsi="Cambria"/>
                <w:b/>
                <w:bCs/>
                <w:sz w:val="14"/>
                <w:szCs w:val="14"/>
              </w:rPr>
            </w:pPr>
            <w:r w:rsidRPr="004E13E9">
              <w:rPr>
                <w:rFonts w:ascii="Cambria" w:hAnsi="Cambria"/>
                <w:b/>
                <w:sz w:val="14"/>
                <w:szCs w:val="14"/>
              </w:rPr>
              <w:t>70</w:t>
            </w:r>
          </w:p>
        </w:tc>
        <w:tc>
          <w:tcPr>
            <w:tcW w:w="681" w:type="dxa"/>
            <w:tcBorders>
              <w:top w:val="single" w:sz="4" w:space="0" w:color="auto"/>
              <w:left w:val="single" w:sz="4" w:space="0" w:color="auto"/>
              <w:bottom w:val="single" w:sz="4" w:space="0" w:color="auto"/>
              <w:right w:val="single" w:sz="4" w:space="0" w:color="auto"/>
            </w:tcBorders>
            <w:vAlign w:val="center"/>
            <w:hideMark/>
          </w:tcPr>
          <w:p w14:paraId="6489B885" w14:textId="77777777" w:rsidR="00DF358A" w:rsidRPr="004E13E9" w:rsidRDefault="00DF358A" w:rsidP="007E20D4">
            <w:pPr>
              <w:contextualSpacing/>
              <w:jc w:val="center"/>
              <w:rPr>
                <w:rFonts w:ascii="Cambria" w:hAnsi="Cambria"/>
                <w:b/>
                <w:bCs/>
                <w:sz w:val="14"/>
                <w:szCs w:val="14"/>
              </w:rPr>
            </w:pPr>
            <w:r w:rsidRPr="004E13E9">
              <w:rPr>
                <w:rFonts w:ascii="Cambria" w:hAnsi="Cambria"/>
                <w:b/>
                <w:sz w:val="14"/>
                <w:szCs w:val="14"/>
              </w:rPr>
              <w:t>71</w:t>
            </w:r>
          </w:p>
        </w:tc>
        <w:tc>
          <w:tcPr>
            <w:tcW w:w="681" w:type="dxa"/>
            <w:tcBorders>
              <w:top w:val="single" w:sz="4" w:space="0" w:color="auto"/>
              <w:left w:val="single" w:sz="4" w:space="0" w:color="auto"/>
              <w:bottom w:val="single" w:sz="4" w:space="0" w:color="auto"/>
              <w:right w:val="single" w:sz="4" w:space="0" w:color="auto"/>
            </w:tcBorders>
            <w:vAlign w:val="center"/>
            <w:hideMark/>
          </w:tcPr>
          <w:p w14:paraId="1278A434" w14:textId="77777777" w:rsidR="00DF358A" w:rsidRPr="004E13E9" w:rsidRDefault="00DF358A" w:rsidP="007E20D4">
            <w:pPr>
              <w:widowControl w:val="0"/>
              <w:contextualSpacing/>
              <w:jc w:val="center"/>
              <w:rPr>
                <w:rFonts w:ascii="Cambria" w:hAnsi="Cambria"/>
                <w:b/>
                <w:bCs/>
                <w:sz w:val="14"/>
                <w:szCs w:val="14"/>
              </w:rPr>
            </w:pPr>
            <w:r w:rsidRPr="004E13E9">
              <w:rPr>
                <w:rFonts w:ascii="Cambria" w:hAnsi="Cambria"/>
                <w:b/>
                <w:sz w:val="14"/>
                <w:szCs w:val="14"/>
              </w:rPr>
              <w:t>71</w:t>
            </w:r>
          </w:p>
        </w:tc>
        <w:tc>
          <w:tcPr>
            <w:tcW w:w="786" w:type="dxa"/>
            <w:tcBorders>
              <w:top w:val="single" w:sz="4" w:space="0" w:color="auto"/>
              <w:left w:val="single" w:sz="4" w:space="0" w:color="auto"/>
              <w:bottom w:val="single" w:sz="4" w:space="0" w:color="auto"/>
              <w:right w:val="single" w:sz="4" w:space="0" w:color="auto"/>
            </w:tcBorders>
            <w:vAlign w:val="center"/>
            <w:hideMark/>
          </w:tcPr>
          <w:p w14:paraId="39402938"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b/>
                <w:sz w:val="14"/>
                <w:szCs w:val="14"/>
              </w:rPr>
              <w:t>7.279</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6D7A2A60"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b/>
                <w:sz w:val="14"/>
                <w:szCs w:val="14"/>
              </w:rPr>
              <w:t>10.987</w:t>
            </w:r>
          </w:p>
        </w:tc>
        <w:tc>
          <w:tcPr>
            <w:tcW w:w="876" w:type="dxa"/>
            <w:tcBorders>
              <w:top w:val="single" w:sz="4" w:space="0" w:color="auto"/>
              <w:left w:val="single" w:sz="4" w:space="0" w:color="auto"/>
              <w:bottom w:val="single" w:sz="4" w:space="0" w:color="auto"/>
              <w:right w:val="single" w:sz="4" w:space="0" w:color="auto"/>
            </w:tcBorders>
            <w:vAlign w:val="center"/>
            <w:hideMark/>
          </w:tcPr>
          <w:p w14:paraId="02B88756" w14:textId="77777777" w:rsidR="00DF358A" w:rsidRPr="004E13E9" w:rsidRDefault="00DF358A" w:rsidP="007E20D4">
            <w:pPr>
              <w:contextualSpacing/>
              <w:jc w:val="center"/>
              <w:rPr>
                <w:rFonts w:ascii="Cambria" w:hAnsi="Cambria"/>
                <w:b/>
                <w:sz w:val="14"/>
                <w:szCs w:val="14"/>
              </w:rPr>
            </w:pPr>
            <w:r w:rsidRPr="004E13E9">
              <w:rPr>
                <w:rFonts w:ascii="Cambria" w:hAnsi="Cambria"/>
                <w:b/>
                <w:sz w:val="14"/>
                <w:szCs w:val="14"/>
              </w:rPr>
              <w:t>3.597</w:t>
            </w:r>
          </w:p>
        </w:tc>
        <w:tc>
          <w:tcPr>
            <w:tcW w:w="885" w:type="dxa"/>
            <w:tcBorders>
              <w:top w:val="single" w:sz="4" w:space="0" w:color="auto"/>
              <w:left w:val="single" w:sz="4" w:space="0" w:color="auto"/>
              <w:bottom w:val="single" w:sz="4" w:space="0" w:color="auto"/>
              <w:right w:val="single" w:sz="4" w:space="0" w:color="auto"/>
            </w:tcBorders>
            <w:vAlign w:val="center"/>
            <w:hideMark/>
          </w:tcPr>
          <w:p w14:paraId="7C2C956D"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b/>
                <w:sz w:val="14"/>
                <w:szCs w:val="14"/>
              </w:rPr>
              <w:t>4.069</w:t>
            </w:r>
          </w:p>
        </w:tc>
        <w:tc>
          <w:tcPr>
            <w:tcW w:w="858" w:type="dxa"/>
            <w:tcBorders>
              <w:top w:val="single" w:sz="4" w:space="0" w:color="auto"/>
              <w:left w:val="single" w:sz="4" w:space="0" w:color="auto"/>
              <w:bottom w:val="single" w:sz="4" w:space="0" w:color="auto"/>
              <w:right w:val="single" w:sz="4" w:space="0" w:color="auto"/>
            </w:tcBorders>
            <w:vAlign w:val="center"/>
            <w:hideMark/>
          </w:tcPr>
          <w:p w14:paraId="556D76BA"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b/>
                <w:sz w:val="14"/>
                <w:szCs w:val="14"/>
              </w:rPr>
              <w:t>4.069</w:t>
            </w:r>
          </w:p>
        </w:tc>
        <w:tc>
          <w:tcPr>
            <w:tcW w:w="944" w:type="dxa"/>
            <w:tcBorders>
              <w:top w:val="single" w:sz="4" w:space="0" w:color="auto"/>
              <w:left w:val="single" w:sz="4" w:space="0" w:color="auto"/>
              <w:bottom w:val="single" w:sz="4" w:space="0" w:color="auto"/>
              <w:right w:val="single" w:sz="4" w:space="0" w:color="auto"/>
            </w:tcBorders>
            <w:vAlign w:val="center"/>
            <w:hideMark/>
          </w:tcPr>
          <w:p w14:paraId="63709F5A"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b/>
                <w:sz w:val="14"/>
                <w:szCs w:val="14"/>
              </w:rPr>
              <w:t>4.164</w:t>
            </w:r>
          </w:p>
        </w:tc>
        <w:tc>
          <w:tcPr>
            <w:tcW w:w="793" w:type="dxa"/>
            <w:tcBorders>
              <w:top w:val="single" w:sz="4" w:space="0" w:color="auto"/>
              <w:left w:val="single" w:sz="4" w:space="0" w:color="auto"/>
              <w:bottom w:val="single" w:sz="4" w:space="0" w:color="auto"/>
              <w:right w:val="single" w:sz="4" w:space="0" w:color="auto"/>
            </w:tcBorders>
            <w:vAlign w:val="center"/>
            <w:hideMark/>
          </w:tcPr>
          <w:p w14:paraId="729E1B1B" w14:textId="77777777" w:rsidR="00DF358A" w:rsidRPr="004E13E9" w:rsidRDefault="00DF358A" w:rsidP="007E20D4">
            <w:pPr>
              <w:widowControl w:val="0"/>
              <w:contextualSpacing/>
              <w:jc w:val="center"/>
              <w:rPr>
                <w:rFonts w:ascii="Cambria" w:hAnsi="Cambria"/>
                <w:b/>
                <w:bCs/>
                <w:sz w:val="14"/>
                <w:szCs w:val="14"/>
              </w:rPr>
            </w:pPr>
            <w:r w:rsidRPr="004E13E9">
              <w:rPr>
                <w:rFonts w:ascii="Cambria" w:hAnsi="Cambria" w:cstheme="majorBidi"/>
                <w:b/>
                <w:bCs/>
                <w:sz w:val="16"/>
                <w:szCs w:val="16"/>
              </w:rPr>
              <w:t>4101</w:t>
            </w:r>
          </w:p>
        </w:tc>
      </w:tr>
      <w:tr w:rsidR="00DF358A" w:rsidRPr="004E13E9" w14:paraId="3AEF47CB" w14:textId="77777777" w:rsidTr="00BB4F69">
        <w:trPr>
          <w:trHeight w:val="310"/>
          <w:jc w:val="center"/>
        </w:trPr>
        <w:tc>
          <w:tcPr>
            <w:tcW w:w="2438" w:type="dxa"/>
            <w:tcBorders>
              <w:top w:val="single" w:sz="4" w:space="0" w:color="auto"/>
              <w:left w:val="single" w:sz="4" w:space="0" w:color="auto"/>
              <w:bottom w:val="single" w:sz="4" w:space="0" w:color="auto"/>
              <w:right w:val="single" w:sz="4" w:space="0" w:color="auto"/>
            </w:tcBorders>
            <w:noWrap/>
            <w:vAlign w:val="center"/>
            <w:hideMark/>
          </w:tcPr>
          <w:p w14:paraId="52CE6E38" w14:textId="77777777" w:rsidR="00DF358A" w:rsidRPr="004E13E9" w:rsidRDefault="00DF358A" w:rsidP="007E20D4">
            <w:pPr>
              <w:contextualSpacing/>
              <w:rPr>
                <w:rFonts w:ascii="Cambria" w:hAnsi="Cambria" w:cs="Arial"/>
                <w:sz w:val="14"/>
                <w:szCs w:val="14"/>
              </w:rPr>
            </w:pPr>
            <w:r w:rsidRPr="004E13E9">
              <w:rPr>
                <w:rFonts w:ascii="Cambria" w:hAnsi="Cambria"/>
                <w:sz w:val="14"/>
                <w:szCs w:val="14"/>
              </w:rPr>
              <w:t>Palangrier de plus de 40 m</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54673767"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25</w:t>
            </w:r>
          </w:p>
        </w:tc>
        <w:tc>
          <w:tcPr>
            <w:tcW w:w="609" w:type="dxa"/>
            <w:tcBorders>
              <w:top w:val="single" w:sz="4" w:space="0" w:color="auto"/>
              <w:left w:val="single" w:sz="4" w:space="0" w:color="auto"/>
              <w:bottom w:val="single" w:sz="4" w:space="0" w:color="auto"/>
              <w:right w:val="single" w:sz="4" w:space="0" w:color="auto"/>
            </w:tcBorders>
            <w:vAlign w:val="center"/>
            <w:hideMark/>
          </w:tcPr>
          <w:p w14:paraId="16C55B30"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0</w:t>
            </w: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2C480214" w14:textId="77777777" w:rsidR="00DF358A" w:rsidRPr="004E13E9" w:rsidRDefault="00DF358A" w:rsidP="007E20D4">
            <w:pPr>
              <w:widowControl w:val="0"/>
              <w:contextualSpacing/>
              <w:jc w:val="both"/>
              <w:rPr>
                <w:rFonts w:ascii="Cambria" w:hAnsi="Cambria" w:cs="Arial"/>
                <w:sz w:val="14"/>
                <w:szCs w:val="14"/>
              </w:rPr>
            </w:pPr>
          </w:p>
        </w:tc>
        <w:tc>
          <w:tcPr>
            <w:tcW w:w="633" w:type="dxa"/>
            <w:tcBorders>
              <w:top w:val="single" w:sz="4" w:space="0" w:color="auto"/>
              <w:left w:val="single" w:sz="4" w:space="0" w:color="auto"/>
              <w:bottom w:val="single" w:sz="4" w:space="0" w:color="auto"/>
              <w:right w:val="single" w:sz="4" w:space="0" w:color="auto"/>
            </w:tcBorders>
            <w:vAlign w:val="center"/>
            <w:hideMark/>
          </w:tcPr>
          <w:p w14:paraId="6184713C"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30F8FEF0"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5B59057E"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0</w:t>
            </w:r>
          </w:p>
        </w:tc>
        <w:tc>
          <w:tcPr>
            <w:tcW w:w="681" w:type="dxa"/>
            <w:tcBorders>
              <w:top w:val="single" w:sz="4" w:space="0" w:color="auto"/>
              <w:left w:val="single" w:sz="4" w:space="0" w:color="auto"/>
              <w:bottom w:val="single" w:sz="4" w:space="0" w:color="auto"/>
              <w:right w:val="single" w:sz="4" w:space="0" w:color="auto"/>
            </w:tcBorders>
            <w:vAlign w:val="center"/>
            <w:hideMark/>
          </w:tcPr>
          <w:p w14:paraId="0134977B"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0</w:t>
            </w:r>
          </w:p>
        </w:tc>
        <w:tc>
          <w:tcPr>
            <w:tcW w:w="681" w:type="dxa"/>
            <w:tcBorders>
              <w:top w:val="single" w:sz="4" w:space="0" w:color="auto"/>
              <w:left w:val="single" w:sz="4" w:space="0" w:color="auto"/>
              <w:bottom w:val="single" w:sz="4" w:space="0" w:color="auto"/>
              <w:right w:val="single" w:sz="4" w:space="0" w:color="auto"/>
            </w:tcBorders>
            <w:vAlign w:val="center"/>
            <w:hideMark/>
          </w:tcPr>
          <w:p w14:paraId="59A401F4"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03EBD74B"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0,0</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09AF1B89"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0</w:t>
            </w:r>
          </w:p>
        </w:tc>
        <w:tc>
          <w:tcPr>
            <w:tcW w:w="876" w:type="dxa"/>
            <w:tcBorders>
              <w:top w:val="single" w:sz="4" w:space="0" w:color="auto"/>
              <w:left w:val="single" w:sz="4" w:space="0" w:color="auto"/>
              <w:bottom w:val="single" w:sz="4" w:space="0" w:color="auto"/>
              <w:right w:val="single" w:sz="4" w:space="0" w:color="auto"/>
            </w:tcBorders>
            <w:vAlign w:val="center"/>
            <w:hideMark/>
          </w:tcPr>
          <w:p w14:paraId="1DC00E98"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0</w:t>
            </w:r>
          </w:p>
        </w:tc>
        <w:tc>
          <w:tcPr>
            <w:tcW w:w="885" w:type="dxa"/>
            <w:tcBorders>
              <w:top w:val="single" w:sz="4" w:space="0" w:color="auto"/>
              <w:left w:val="single" w:sz="4" w:space="0" w:color="auto"/>
              <w:bottom w:val="single" w:sz="4" w:space="0" w:color="auto"/>
              <w:right w:val="single" w:sz="4" w:space="0" w:color="auto"/>
            </w:tcBorders>
            <w:vAlign w:val="center"/>
            <w:hideMark/>
          </w:tcPr>
          <w:p w14:paraId="6BFC9D0E"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0</w:t>
            </w:r>
          </w:p>
        </w:tc>
        <w:tc>
          <w:tcPr>
            <w:tcW w:w="858" w:type="dxa"/>
            <w:tcBorders>
              <w:top w:val="single" w:sz="4" w:space="0" w:color="auto"/>
              <w:left w:val="single" w:sz="4" w:space="0" w:color="auto"/>
              <w:bottom w:val="single" w:sz="4" w:space="0" w:color="auto"/>
              <w:right w:val="single" w:sz="4" w:space="0" w:color="auto"/>
            </w:tcBorders>
            <w:vAlign w:val="center"/>
            <w:hideMark/>
          </w:tcPr>
          <w:p w14:paraId="552218FF"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0</w:t>
            </w:r>
          </w:p>
        </w:tc>
        <w:tc>
          <w:tcPr>
            <w:tcW w:w="944" w:type="dxa"/>
            <w:tcBorders>
              <w:top w:val="single" w:sz="4" w:space="0" w:color="auto"/>
              <w:left w:val="single" w:sz="4" w:space="0" w:color="auto"/>
              <w:bottom w:val="single" w:sz="4" w:space="0" w:color="auto"/>
              <w:right w:val="single" w:sz="4" w:space="0" w:color="auto"/>
            </w:tcBorders>
            <w:vAlign w:val="center"/>
            <w:hideMark/>
          </w:tcPr>
          <w:p w14:paraId="1825D2AB"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0</w:t>
            </w:r>
          </w:p>
        </w:tc>
        <w:tc>
          <w:tcPr>
            <w:tcW w:w="793" w:type="dxa"/>
            <w:tcBorders>
              <w:top w:val="single" w:sz="4" w:space="0" w:color="auto"/>
              <w:left w:val="single" w:sz="4" w:space="0" w:color="auto"/>
              <w:bottom w:val="single" w:sz="4" w:space="0" w:color="auto"/>
              <w:right w:val="single" w:sz="4" w:space="0" w:color="auto"/>
            </w:tcBorders>
            <w:vAlign w:val="center"/>
            <w:hideMark/>
          </w:tcPr>
          <w:p w14:paraId="7E0FB066"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0</w:t>
            </w:r>
          </w:p>
        </w:tc>
      </w:tr>
      <w:tr w:rsidR="00DF358A" w:rsidRPr="004E13E9" w14:paraId="0E4A643E" w14:textId="77777777" w:rsidTr="00BB4F69">
        <w:trPr>
          <w:trHeight w:val="237"/>
          <w:jc w:val="center"/>
        </w:trPr>
        <w:tc>
          <w:tcPr>
            <w:tcW w:w="2438" w:type="dxa"/>
            <w:tcBorders>
              <w:top w:val="single" w:sz="4" w:space="0" w:color="auto"/>
              <w:left w:val="single" w:sz="4" w:space="0" w:color="auto"/>
              <w:bottom w:val="single" w:sz="4" w:space="0" w:color="auto"/>
              <w:right w:val="single" w:sz="4" w:space="0" w:color="auto"/>
            </w:tcBorders>
            <w:noWrap/>
            <w:vAlign w:val="center"/>
            <w:hideMark/>
          </w:tcPr>
          <w:p w14:paraId="08A211A3" w14:textId="77777777" w:rsidR="00DF358A" w:rsidRPr="004E13E9" w:rsidRDefault="00DF358A" w:rsidP="007E20D4">
            <w:pPr>
              <w:contextualSpacing/>
              <w:rPr>
                <w:rFonts w:ascii="Cambria" w:hAnsi="Cambria" w:cs="Arial"/>
                <w:sz w:val="14"/>
                <w:szCs w:val="14"/>
              </w:rPr>
            </w:pPr>
            <w:r w:rsidRPr="004E13E9">
              <w:rPr>
                <w:rFonts w:ascii="Cambria" w:hAnsi="Cambria"/>
                <w:sz w:val="14"/>
                <w:szCs w:val="14"/>
              </w:rPr>
              <w:t>Palangrier entre 24 et 40 m</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4C8B5A5A"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5,68</w:t>
            </w:r>
          </w:p>
        </w:tc>
        <w:tc>
          <w:tcPr>
            <w:tcW w:w="609" w:type="dxa"/>
            <w:tcBorders>
              <w:top w:val="single" w:sz="4" w:space="0" w:color="auto"/>
              <w:left w:val="single" w:sz="4" w:space="0" w:color="auto"/>
              <w:bottom w:val="single" w:sz="4" w:space="0" w:color="auto"/>
              <w:right w:val="single" w:sz="4" w:space="0" w:color="auto"/>
            </w:tcBorders>
            <w:vAlign w:val="center"/>
            <w:hideMark/>
          </w:tcPr>
          <w:p w14:paraId="19161B1F"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13</w:t>
            </w: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001B215F"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7</w:t>
            </w:r>
          </w:p>
        </w:tc>
        <w:tc>
          <w:tcPr>
            <w:tcW w:w="633" w:type="dxa"/>
            <w:tcBorders>
              <w:top w:val="single" w:sz="4" w:space="0" w:color="auto"/>
              <w:left w:val="single" w:sz="4" w:space="0" w:color="auto"/>
              <w:bottom w:val="single" w:sz="4" w:space="0" w:color="auto"/>
              <w:right w:val="single" w:sz="4" w:space="0" w:color="auto"/>
            </w:tcBorders>
            <w:vAlign w:val="center"/>
            <w:hideMark/>
          </w:tcPr>
          <w:p w14:paraId="2BDBFA54"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12</w:t>
            </w:r>
          </w:p>
        </w:tc>
        <w:tc>
          <w:tcPr>
            <w:tcW w:w="706" w:type="dxa"/>
            <w:tcBorders>
              <w:top w:val="single" w:sz="4" w:space="0" w:color="auto"/>
              <w:left w:val="single" w:sz="4" w:space="0" w:color="auto"/>
              <w:bottom w:val="single" w:sz="4" w:space="0" w:color="auto"/>
              <w:right w:val="single" w:sz="4" w:space="0" w:color="auto"/>
            </w:tcBorders>
            <w:vAlign w:val="center"/>
            <w:hideMark/>
          </w:tcPr>
          <w:p w14:paraId="311F2091"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4</w:t>
            </w:r>
          </w:p>
        </w:tc>
        <w:tc>
          <w:tcPr>
            <w:tcW w:w="706" w:type="dxa"/>
            <w:tcBorders>
              <w:top w:val="single" w:sz="4" w:space="0" w:color="auto"/>
              <w:left w:val="single" w:sz="4" w:space="0" w:color="auto"/>
              <w:bottom w:val="single" w:sz="4" w:space="0" w:color="auto"/>
              <w:right w:val="single" w:sz="4" w:space="0" w:color="auto"/>
            </w:tcBorders>
            <w:vAlign w:val="center"/>
            <w:hideMark/>
          </w:tcPr>
          <w:p w14:paraId="12311772"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24</w:t>
            </w:r>
          </w:p>
        </w:tc>
        <w:tc>
          <w:tcPr>
            <w:tcW w:w="681" w:type="dxa"/>
            <w:tcBorders>
              <w:top w:val="single" w:sz="4" w:space="0" w:color="auto"/>
              <w:left w:val="single" w:sz="4" w:space="0" w:color="auto"/>
              <w:bottom w:val="single" w:sz="4" w:space="0" w:color="auto"/>
              <w:right w:val="single" w:sz="4" w:space="0" w:color="auto"/>
            </w:tcBorders>
            <w:vAlign w:val="center"/>
            <w:hideMark/>
          </w:tcPr>
          <w:p w14:paraId="005D2FCF"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5</w:t>
            </w:r>
          </w:p>
        </w:tc>
        <w:tc>
          <w:tcPr>
            <w:tcW w:w="681" w:type="dxa"/>
            <w:tcBorders>
              <w:top w:val="single" w:sz="4" w:space="0" w:color="auto"/>
              <w:left w:val="single" w:sz="4" w:space="0" w:color="auto"/>
              <w:bottom w:val="single" w:sz="4" w:space="0" w:color="auto"/>
              <w:right w:val="single" w:sz="4" w:space="0" w:color="auto"/>
            </w:tcBorders>
            <w:vAlign w:val="center"/>
            <w:hideMark/>
          </w:tcPr>
          <w:p w14:paraId="11FFBEF1"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color w:val="auto"/>
                <w:sz w:val="16"/>
                <w:szCs w:val="16"/>
              </w:rPr>
              <w:t>4</w:t>
            </w:r>
          </w:p>
        </w:tc>
        <w:tc>
          <w:tcPr>
            <w:tcW w:w="786" w:type="dxa"/>
            <w:tcBorders>
              <w:top w:val="single" w:sz="4" w:space="0" w:color="auto"/>
              <w:left w:val="single" w:sz="4" w:space="0" w:color="auto"/>
              <w:bottom w:val="single" w:sz="4" w:space="0" w:color="auto"/>
              <w:right w:val="single" w:sz="4" w:space="0" w:color="auto"/>
            </w:tcBorders>
            <w:vAlign w:val="center"/>
            <w:hideMark/>
          </w:tcPr>
          <w:p w14:paraId="1B4CD382"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17,0</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6D5AEDA8"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40</w:t>
            </w:r>
          </w:p>
        </w:tc>
        <w:tc>
          <w:tcPr>
            <w:tcW w:w="876" w:type="dxa"/>
            <w:tcBorders>
              <w:top w:val="single" w:sz="4" w:space="0" w:color="auto"/>
              <w:left w:val="single" w:sz="4" w:space="0" w:color="auto"/>
              <w:bottom w:val="single" w:sz="4" w:space="0" w:color="auto"/>
              <w:right w:val="single" w:sz="4" w:space="0" w:color="auto"/>
            </w:tcBorders>
            <w:vAlign w:val="center"/>
            <w:hideMark/>
          </w:tcPr>
          <w:p w14:paraId="545C4ABA"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68</w:t>
            </w:r>
          </w:p>
        </w:tc>
        <w:tc>
          <w:tcPr>
            <w:tcW w:w="885" w:type="dxa"/>
            <w:tcBorders>
              <w:top w:val="single" w:sz="4" w:space="0" w:color="auto"/>
              <w:left w:val="single" w:sz="4" w:space="0" w:color="auto"/>
              <w:bottom w:val="single" w:sz="4" w:space="0" w:color="auto"/>
              <w:right w:val="single" w:sz="4" w:space="0" w:color="auto"/>
            </w:tcBorders>
            <w:vAlign w:val="center"/>
            <w:hideMark/>
          </w:tcPr>
          <w:p w14:paraId="73ABB5C8"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23</w:t>
            </w:r>
          </w:p>
        </w:tc>
        <w:tc>
          <w:tcPr>
            <w:tcW w:w="858" w:type="dxa"/>
            <w:tcBorders>
              <w:top w:val="single" w:sz="4" w:space="0" w:color="auto"/>
              <w:left w:val="single" w:sz="4" w:space="0" w:color="auto"/>
              <w:bottom w:val="single" w:sz="4" w:space="0" w:color="auto"/>
              <w:right w:val="single" w:sz="4" w:space="0" w:color="auto"/>
            </w:tcBorders>
            <w:vAlign w:val="center"/>
            <w:hideMark/>
          </w:tcPr>
          <w:p w14:paraId="1D69AF4C"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23</w:t>
            </w:r>
          </w:p>
        </w:tc>
        <w:tc>
          <w:tcPr>
            <w:tcW w:w="944" w:type="dxa"/>
            <w:tcBorders>
              <w:top w:val="single" w:sz="4" w:space="0" w:color="auto"/>
              <w:left w:val="single" w:sz="4" w:space="0" w:color="auto"/>
              <w:bottom w:val="single" w:sz="4" w:space="0" w:color="auto"/>
              <w:right w:val="single" w:sz="4" w:space="0" w:color="auto"/>
            </w:tcBorders>
            <w:vAlign w:val="center"/>
            <w:hideMark/>
          </w:tcPr>
          <w:p w14:paraId="7A76B0FA"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28</w:t>
            </w:r>
          </w:p>
        </w:tc>
        <w:tc>
          <w:tcPr>
            <w:tcW w:w="793" w:type="dxa"/>
            <w:tcBorders>
              <w:top w:val="single" w:sz="4" w:space="0" w:color="auto"/>
              <w:left w:val="single" w:sz="4" w:space="0" w:color="auto"/>
              <w:bottom w:val="single" w:sz="4" w:space="0" w:color="auto"/>
              <w:right w:val="single" w:sz="4" w:space="0" w:color="auto"/>
            </w:tcBorders>
            <w:vAlign w:val="center"/>
            <w:hideMark/>
          </w:tcPr>
          <w:p w14:paraId="367053C4"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cstheme="majorBidi"/>
                <w:sz w:val="16"/>
                <w:szCs w:val="16"/>
              </w:rPr>
              <w:t>23</w:t>
            </w:r>
          </w:p>
        </w:tc>
      </w:tr>
      <w:tr w:rsidR="00DF358A" w:rsidRPr="004E13E9" w14:paraId="3E1AF35D" w14:textId="77777777" w:rsidTr="00BB4F69">
        <w:trPr>
          <w:trHeight w:val="242"/>
          <w:jc w:val="center"/>
        </w:trPr>
        <w:tc>
          <w:tcPr>
            <w:tcW w:w="2438" w:type="dxa"/>
            <w:tcBorders>
              <w:top w:val="single" w:sz="4" w:space="0" w:color="auto"/>
              <w:left w:val="single" w:sz="4" w:space="0" w:color="auto"/>
              <w:bottom w:val="single" w:sz="4" w:space="0" w:color="auto"/>
              <w:right w:val="single" w:sz="4" w:space="0" w:color="auto"/>
            </w:tcBorders>
            <w:noWrap/>
            <w:vAlign w:val="center"/>
            <w:hideMark/>
          </w:tcPr>
          <w:p w14:paraId="56F4506D" w14:textId="77777777" w:rsidR="00DF358A" w:rsidRPr="004E13E9" w:rsidRDefault="00DF358A" w:rsidP="007E20D4">
            <w:pPr>
              <w:contextualSpacing/>
              <w:rPr>
                <w:rFonts w:ascii="Cambria" w:hAnsi="Cambria" w:cs="Arial"/>
                <w:sz w:val="14"/>
                <w:szCs w:val="14"/>
              </w:rPr>
            </w:pPr>
            <w:r w:rsidRPr="004E13E9">
              <w:rPr>
                <w:rFonts w:ascii="Cambria" w:hAnsi="Cambria"/>
                <w:sz w:val="14"/>
                <w:szCs w:val="14"/>
              </w:rPr>
              <w:t>Palangrier de moins de 24m</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75BE3E62"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5</w:t>
            </w:r>
          </w:p>
        </w:tc>
        <w:tc>
          <w:tcPr>
            <w:tcW w:w="609" w:type="dxa"/>
            <w:tcBorders>
              <w:top w:val="single" w:sz="4" w:space="0" w:color="auto"/>
              <w:left w:val="single" w:sz="4" w:space="0" w:color="auto"/>
              <w:bottom w:val="single" w:sz="4" w:space="0" w:color="auto"/>
              <w:right w:val="single" w:sz="4" w:space="0" w:color="auto"/>
            </w:tcBorders>
            <w:vAlign w:val="center"/>
            <w:hideMark/>
          </w:tcPr>
          <w:p w14:paraId="1E6C3F2C"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232</w:t>
            </w: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39C04158"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329</w:t>
            </w:r>
          </w:p>
        </w:tc>
        <w:tc>
          <w:tcPr>
            <w:tcW w:w="633" w:type="dxa"/>
            <w:tcBorders>
              <w:top w:val="single" w:sz="4" w:space="0" w:color="auto"/>
              <w:left w:val="single" w:sz="4" w:space="0" w:color="auto"/>
              <w:bottom w:val="single" w:sz="4" w:space="0" w:color="auto"/>
              <w:right w:val="single" w:sz="4" w:space="0" w:color="auto"/>
            </w:tcBorders>
            <w:vAlign w:val="center"/>
            <w:hideMark/>
          </w:tcPr>
          <w:p w14:paraId="1F9795F4"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127</w:t>
            </w:r>
          </w:p>
        </w:tc>
        <w:tc>
          <w:tcPr>
            <w:tcW w:w="706" w:type="dxa"/>
            <w:tcBorders>
              <w:top w:val="single" w:sz="4" w:space="0" w:color="auto"/>
              <w:left w:val="single" w:sz="4" w:space="0" w:color="auto"/>
              <w:bottom w:val="single" w:sz="4" w:space="0" w:color="auto"/>
              <w:right w:val="single" w:sz="4" w:space="0" w:color="auto"/>
            </w:tcBorders>
            <w:vAlign w:val="center"/>
            <w:hideMark/>
          </w:tcPr>
          <w:p w14:paraId="156061F9"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183</w:t>
            </w:r>
          </w:p>
        </w:tc>
        <w:tc>
          <w:tcPr>
            <w:tcW w:w="706" w:type="dxa"/>
            <w:tcBorders>
              <w:top w:val="single" w:sz="4" w:space="0" w:color="auto"/>
              <w:left w:val="single" w:sz="4" w:space="0" w:color="auto"/>
              <w:bottom w:val="single" w:sz="4" w:space="0" w:color="auto"/>
              <w:right w:val="single" w:sz="4" w:space="0" w:color="auto"/>
            </w:tcBorders>
            <w:vAlign w:val="center"/>
            <w:hideMark/>
          </w:tcPr>
          <w:p w14:paraId="2D9B4701"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97</w:t>
            </w:r>
          </w:p>
        </w:tc>
        <w:tc>
          <w:tcPr>
            <w:tcW w:w="681" w:type="dxa"/>
            <w:tcBorders>
              <w:top w:val="single" w:sz="4" w:space="0" w:color="auto"/>
              <w:left w:val="single" w:sz="4" w:space="0" w:color="auto"/>
              <w:bottom w:val="single" w:sz="4" w:space="0" w:color="auto"/>
              <w:right w:val="single" w:sz="4" w:space="0" w:color="auto"/>
            </w:tcBorders>
            <w:vAlign w:val="center"/>
            <w:hideMark/>
          </w:tcPr>
          <w:p w14:paraId="38FFB805"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174</w:t>
            </w:r>
          </w:p>
        </w:tc>
        <w:tc>
          <w:tcPr>
            <w:tcW w:w="681" w:type="dxa"/>
            <w:tcBorders>
              <w:top w:val="single" w:sz="4" w:space="0" w:color="auto"/>
              <w:left w:val="single" w:sz="4" w:space="0" w:color="auto"/>
              <w:bottom w:val="single" w:sz="4" w:space="0" w:color="auto"/>
              <w:right w:val="single" w:sz="4" w:space="0" w:color="auto"/>
            </w:tcBorders>
            <w:vAlign w:val="center"/>
            <w:hideMark/>
          </w:tcPr>
          <w:p w14:paraId="45437CAB"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color w:val="auto"/>
                <w:sz w:val="16"/>
                <w:szCs w:val="16"/>
              </w:rPr>
              <w:t>178</w:t>
            </w:r>
          </w:p>
        </w:tc>
        <w:tc>
          <w:tcPr>
            <w:tcW w:w="786" w:type="dxa"/>
            <w:tcBorders>
              <w:top w:val="single" w:sz="4" w:space="0" w:color="auto"/>
              <w:left w:val="single" w:sz="4" w:space="0" w:color="auto"/>
              <w:bottom w:val="single" w:sz="4" w:space="0" w:color="auto"/>
              <w:right w:val="single" w:sz="4" w:space="0" w:color="auto"/>
            </w:tcBorders>
            <w:vAlign w:val="center"/>
            <w:hideMark/>
          </w:tcPr>
          <w:p w14:paraId="491298B1"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983</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69789FB5"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1645</w:t>
            </w:r>
          </w:p>
        </w:tc>
        <w:tc>
          <w:tcPr>
            <w:tcW w:w="876" w:type="dxa"/>
            <w:tcBorders>
              <w:top w:val="single" w:sz="4" w:space="0" w:color="auto"/>
              <w:left w:val="single" w:sz="4" w:space="0" w:color="auto"/>
              <w:bottom w:val="single" w:sz="4" w:space="0" w:color="auto"/>
              <w:right w:val="single" w:sz="4" w:space="0" w:color="auto"/>
            </w:tcBorders>
            <w:vAlign w:val="center"/>
            <w:hideMark/>
          </w:tcPr>
          <w:p w14:paraId="5393C1B0"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635</w:t>
            </w:r>
          </w:p>
        </w:tc>
        <w:tc>
          <w:tcPr>
            <w:tcW w:w="885" w:type="dxa"/>
            <w:tcBorders>
              <w:top w:val="single" w:sz="4" w:space="0" w:color="auto"/>
              <w:left w:val="single" w:sz="4" w:space="0" w:color="auto"/>
              <w:bottom w:val="single" w:sz="4" w:space="0" w:color="auto"/>
              <w:right w:val="single" w:sz="4" w:space="0" w:color="auto"/>
            </w:tcBorders>
            <w:vAlign w:val="center"/>
            <w:hideMark/>
          </w:tcPr>
          <w:p w14:paraId="667A5C18"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778</w:t>
            </w:r>
          </w:p>
        </w:tc>
        <w:tc>
          <w:tcPr>
            <w:tcW w:w="858" w:type="dxa"/>
            <w:tcBorders>
              <w:top w:val="single" w:sz="4" w:space="0" w:color="auto"/>
              <w:left w:val="single" w:sz="4" w:space="0" w:color="auto"/>
              <w:bottom w:val="single" w:sz="4" w:space="0" w:color="auto"/>
              <w:right w:val="single" w:sz="4" w:space="0" w:color="auto"/>
            </w:tcBorders>
            <w:vAlign w:val="center"/>
            <w:hideMark/>
          </w:tcPr>
          <w:p w14:paraId="7F2BF8C7"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885</w:t>
            </w:r>
          </w:p>
        </w:tc>
        <w:tc>
          <w:tcPr>
            <w:tcW w:w="944" w:type="dxa"/>
            <w:tcBorders>
              <w:top w:val="single" w:sz="4" w:space="0" w:color="auto"/>
              <w:left w:val="single" w:sz="4" w:space="0" w:color="auto"/>
              <w:bottom w:val="single" w:sz="4" w:space="0" w:color="auto"/>
              <w:right w:val="single" w:sz="4" w:space="0" w:color="auto"/>
            </w:tcBorders>
            <w:vAlign w:val="center"/>
            <w:hideMark/>
          </w:tcPr>
          <w:p w14:paraId="54F3F85B"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786</w:t>
            </w:r>
          </w:p>
        </w:tc>
        <w:tc>
          <w:tcPr>
            <w:tcW w:w="793" w:type="dxa"/>
            <w:tcBorders>
              <w:top w:val="single" w:sz="4" w:space="0" w:color="auto"/>
              <w:left w:val="single" w:sz="4" w:space="0" w:color="auto"/>
              <w:bottom w:val="single" w:sz="4" w:space="0" w:color="auto"/>
              <w:right w:val="single" w:sz="4" w:space="0" w:color="auto"/>
            </w:tcBorders>
            <w:vAlign w:val="center"/>
            <w:hideMark/>
          </w:tcPr>
          <w:p w14:paraId="2E8BA3E2"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cstheme="majorBidi"/>
                <w:color w:val="auto"/>
                <w:sz w:val="16"/>
                <w:szCs w:val="16"/>
              </w:rPr>
              <w:t>890</w:t>
            </w:r>
          </w:p>
        </w:tc>
      </w:tr>
      <w:tr w:rsidR="00DF358A" w:rsidRPr="004E13E9" w14:paraId="0019A66F" w14:textId="77777777" w:rsidTr="00BB4F69">
        <w:trPr>
          <w:trHeight w:val="191"/>
          <w:jc w:val="center"/>
        </w:trPr>
        <w:tc>
          <w:tcPr>
            <w:tcW w:w="2438" w:type="dxa"/>
            <w:tcBorders>
              <w:top w:val="single" w:sz="4" w:space="0" w:color="auto"/>
              <w:left w:val="single" w:sz="4" w:space="0" w:color="auto"/>
              <w:bottom w:val="single" w:sz="4" w:space="0" w:color="auto"/>
              <w:right w:val="single" w:sz="4" w:space="0" w:color="auto"/>
            </w:tcBorders>
            <w:noWrap/>
            <w:vAlign w:val="center"/>
            <w:hideMark/>
          </w:tcPr>
          <w:p w14:paraId="2AF6FD98" w14:textId="77777777" w:rsidR="00DF358A" w:rsidRPr="004E13E9" w:rsidRDefault="00DF358A" w:rsidP="007E20D4">
            <w:pPr>
              <w:contextualSpacing/>
              <w:rPr>
                <w:rFonts w:ascii="Cambria" w:hAnsi="Cambria" w:cs="Arial"/>
                <w:b/>
                <w:bCs/>
                <w:sz w:val="14"/>
                <w:szCs w:val="14"/>
              </w:rPr>
            </w:pPr>
            <w:r w:rsidRPr="004E13E9">
              <w:rPr>
                <w:rFonts w:ascii="Cambria" w:hAnsi="Cambria"/>
                <w:b/>
                <w:sz w:val="14"/>
                <w:szCs w:val="14"/>
              </w:rPr>
              <w:t>Flottille totale de palangriers</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606B7CA5" w14:textId="77777777" w:rsidR="00DF358A" w:rsidRPr="004E13E9" w:rsidRDefault="00DF358A" w:rsidP="007E20D4">
            <w:pPr>
              <w:widowControl w:val="0"/>
              <w:contextualSpacing/>
              <w:jc w:val="both"/>
              <w:rPr>
                <w:rFonts w:ascii="Cambria" w:hAnsi="Cambria" w:cs="Arial"/>
                <w:b/>
                <w:bCs/>
                <w:sz w:val="14"/>
                <w:szCs w:val="14"/>
              </w:rPr>
            </w:pPr>
          </w:p>
        </w:tc>
        <w:tc>
          <w:tcPr>
            <w:tcW w:w="609" w:type="dxa"/>
            <w:tcBorders>
              <w:top w:val="single" w:sz="4" w:space="0" w:color="auto"/>
              <w:left w:val="single" w:sz="4" w:space="0" w:color="auto"/>
              <w:bottom w:val="single" w:sz="4" w:space="0" w:color="auto"/>
              <w:right w:val="single" w:sz="4" w:space="0" w:color="auto"/>
            </w:tcBorders>
            <w:vAlign w:val="center"/>
            <w:hideMark/>
          </w:tcPr>
          <w:p w14:paraId="1699AA46"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b/>
                <w:sz w:val="14"/>
                <w:szCs w:val="14"/>
              </w:rPr>
              <w:t>245</w:t>
            </w: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2025FB3A"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b/>
                <w:sz w:val="14"/>
                <w:szCs w:val="14"/>
              </w:rPr>
              <w:t>336</w:t>
            </w:r>
          </w:p>
        </w:tc>
        <w:tc>
          <w:tcPr>
            <w:tcW w:w="633" w:type="dxa"/>
            <w:tcBorders>
              <w:top w:val="single" w:sz="4" w:space="0" w:color="auto"/>
              <w:left w:val="single" w:sz="4" w:space="0" w:color="auto"/>
              <w:bottom w:val="single" w:sz="4" w:space="0" w:color="auto"/>
              <w:right w:val="single" w:sz="4" w:space="0" w:color="auto"/>
            </w:tcBorders>
            <w:vAlign w:val="center"/>
            <w:hideMark/>
          </w:tcPr>
          <w:p w14:paraId="6C239198" w14:textId="77777777" w:rsidR="00DF358A" w:rsidRPr="004E13E9" w:rsidRDefault="00DF358A" w:rsidP="007E20D4">
            <w:pPr>
              <w:widowControl w:val="0"/>
              <w:contextualSpacing/>
              <w:jc w:val="center"/>
              <w:rPr>
                <w:rFonts w:ascii="Cambria" w:hAnsi="Cambria" w:cs="Arial"/>
                <w:b/>
                <w:bCs/>
                <w:sz w:val="14"/>
                <w:szCs w:val="14"/>
              </w:rPr>
            </w:pPr>
            <w:r w:rsidRPr="004E13E9">
              <w:rPr>
                <w:rFonts w:ascii="Cambria" w:hAnsi="Cambria"/>
                <w:b/>
                <w:sz w:val="14"/>
                <w:szCs w:val="14"/>
              </w:rPr>
              <w:t>139</w:t>
            </w:r>
          </w:p>
        </w:tc>
        <w:tc>
          <w:tcPr>
            <w:tcW w:w="706" w:type="dxa"/>
            <w:tcBorders>
              <w:top w:val="single" w:sz="4" w:space="0" w:color="auto"/>
              <w:left w:val="single" w:sz="4" w:space="0" w:color="auto"/>
              <w:bottom w:val="single" w:sz="4" w:space="0" w:color="auto"/>
              <w:right w:val="single" w:sz="4" w:space="0" w:color="auto"/>
            </w:tcBorders>
            <w:vAlign w:val="center"/>
            <w:hideMark/>
          </w:tcPr>
          <w:p w14:paraId="2B9576E5" w14:textId="77777777" w:rsidR="00DF358A" w:rsidRPr="004E13E9" w:rsidRDefault="00DF358A" w:rsidP="007E20D4">
            <w:pPr>
              <w:widowControl w:val="0"/>
              <w:contextualSpacing/>
              <w:jc w:val="center"/>
              <w:rPr>
                <w:rFonts w:ascii="Cambria" w:hAnsi="Cambria"/>
                <w:b/>
                <w:sz w:val="14"/>
                <w:szCs w:val="14"/>
              </w:rPr>
            </w:pPr>
            <w:r w:rsidRPr="004E13E9">
              <w:rPr>
                <w:rFonts w:ascii="Cambria" w:hAnsi="Cambria"/>
                <w:b/>
                <w:sz w:val="14"/>
                <w:szCs w:val="14"/>
              </w:rPr>
              <w:t>187</w:t>
            </w:r>
          </w:p>
        </w:tc>
        <w:tc>
          <w:tcPr>
            <w:tcW w:w="706" w:type="dxa"/>
            <w:tcBorders>
              <w:top w:val="single" w:sz="4" w:space="0" w:color="auto"/>
              <w:left w:val="single" w:sz="4" w:space="0" w:color="auto"/>
              <w:bottom w:val="single" w:sz="4" w:space="0" w:color="auto"/>
              <w:right w:val="single" w:sz="4" w:space="0" w:color="auto"/>
            </w:tcBorders>
            <w:vAlign w:val="center"/>
            <w:hideMark/>
          </w:tcPr>
          <w:p w14:paraId="1FFF00A4" w14:textId="77777777" w:rsidR="00DF358A" w:rsidRPr="004E13E9" w:rsidRDefault="00DF358A" w:rsidP="007E20D4">
            <w:pPr>
              <w:widowControl w:val="0"/>
              <w:contextualSpacing/>
              <w:jc w:val="center"/>
              <w:rPr>
                <w:rFonts w:ascii="Cambria" w:hAnsi="Cambria"/>
                <w:b/>
                <w:bCs/>
                <w:sz w:val="14"/>
                <w:szCs w:val="14"/>
              </w:rPr>
            </w:pPr>
            <w:r w:rsidRPr="004E13E9">
              <w:rPr>
                <w:rFonts w:ascii="Cambria" w:hAnsi="Cambria"/>
                <w:b/>
                <w:sz w:val="14"/>
                <w:szCs w:val="14"/>
              </w:rPr>
              <w:t>121</w:t>
            </w:r>
          </w:p>
        </w:tc>
        <w:tc>
          <w:tcPr>
            <w:tcW w:w="681" w:type="dxa"/>
            <w:tcBorders>
              <w:top w:val="single" w:sz="4" w:space="0" w:color="auto"/>
              <w:left w:val="single" w:sz="4" w:space="0" w:color="auto"/>
              <w:bottom w:val="single" w:sz="4" w:space="0" w:color="auto"/>
              <w:right w:val="single" w:sz="4" w:space="0" w:color="auto"/>
            </w:tcBorders>
            <w:vAlign w:val="center"/>
            <w:hideMark/>
          </w:tcPr>
          <w:p w14:paraId="14C85811" w14:textId="77777777" w:rsidR="00DF358A" w:rsidRPr="004E13E9" w:rsidRDefault="00DF358A" w:rsidP="007E20D4">
            <w:pPr>
              <w:spacing w:line="256" w:lineRule="auto"/>
              <w:contextualSpacing/>
              <w:jc w:val="center"/>
              <w:rPr>
                <w:rFonts w:ascii="Cambria" w:hAnsi="Cambria"/>
                <w:b/>
                <w:bCs/>
                <w:sz w:val="14"/>
                <w:szCs w:val="14"/>
              </w:rPr>
            </w:pPr>
            <w:r w:rsidRPr="004E13E9">
              <w:rPr>
                <w:rFonts w:ascii="Cambria" w:hAnsi="Cambria"/>
                <w:b/>
                <w:sz w:val="14"/>
                <w:szCs w:val="14"/>
              </w:rPr>
              <w:t>179</w:t>
            </w:r>
          </w:p>
        </w:tc>
        <w:tc>
          <w:tcPr>
            <w:tcW w:w="681" w:type="dxa"/>
            <w:tcBorders>
              <w:top w:val="single" w:sz="4" w:space="0" w:color="auto"/>
              <w:left w:val="single" w:sz="4" w:space="0" w:color="auto"/>
              <w:bottom w:val="single" w:sz="4" w:space="0" w:color="auto"/>
              <w:right w:val="single" w:sz="4" w:space="0" w:color="auto"/>
            </w:tcBorders>
            <w:vAlign w:val="center"/>
            <w:hideMark/>
          </w:tcPr>
          <w:p w14:paraId="64E73866" w14:textId="77777777" w:rsidR="00DF358A" w:rsidRPr="004E13E9" w:rsidRDefault="00DF358A" w:rsidP="007E20D4">
            <w:pPr>
              <w:widowControl w:val="0"/>
              <w:spacing w:line="256" w:lineRule="auto"/>
              <w:contextualSpacing/>
              <w:jc w:val="center"/>
              <w:rPr>
                <w:rFonts w:ascii="Cambria" w:hAnsi="Cambria"/>
                <w:b/>
                <w:bCs/>
                <w:sz w:val="14"/>
                <w:szCs w:val="14"/>
              </w:rPr>
            </w:pPr>
            <w:r w:rsidRPr="004E13E9">
              <w:rPr>
                <w:rFonts w:ascii="Cambria" w:hAnsi="Cambria"/>
                <w:b/>
                <w:bCs/>
                <w:color w:val="auto"/>
                <w:sz w:val="16"/>
                <w:szCs w:val="16"/>
              </w:rPr>
              <w:t>182</w:t>
            </w:r>
          </w:p>
        </w:tc>
        <w:tc>
          <w:tcPr>
            <w:tcW w:w="786" w:type="dxa"/>
            <w:tcBorders>
              <w:top w:val="single" w:sz="4" w:space="0" w:color="auto"/>
              <w:left w:val="single" w:sz="4" w:space="0" w:color="auto"/>
              <w:bottom w:val="single" w:sz="4" w:space="0" w:color="auto"/>
              <w:right w:val="single" w:sz="4" w:space="0" w:color="auto"/>
            </w:tcBorders>
            <w:vAlign w:val="center"/>
            <w:hideMark/>
          </w:tcPr>
          <w:p w14:paraId="156B920D"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b/>
                <w:sz w:val="14"/>
                <w:szCs w:val="14"/>
              </w:rPr>
              <w:t>1.000</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5ACEACE6" w14:textId="77777777" w:rsidR="00DF358A" w:rsidRPr="004E13E9" w:rsidRDefault="00DF358A" w:rsidP="007E20D4">
            <w:pPr>
              <w:spacing w:line="256" w:lineRule="auto"/>
              <w:contextualSpacing/>
              <w:jc w:val="center"/>
              <w:rPr>
                <w:rFonts w:ascii="Cambria" w:hAnsi="Cambria" w:cs="Arial"/>
                <w:b/>
                <w:bCs/>
                <w:sz w:val="14"/>
                <w:szCs w:val="14"/>
              </w:rPr>
            </w:pPr>
            <w:r w:rsidRPr="004E13E9">
              <w:rPr>
                <w:rFonts w:ascii="Cambria" w:hAnsi="Cambria"/>
                <w:b/>
                <w:sz w:val="14"/>
                <w:szCs w:val="14"/>
              </w:rPr>
              <w:t>1685</w:t>
            </w:r>
          </w:p>
        </w:tc>
        <w:tc>
          <w:tcPr>
            <w:tcW w:w="876" w:type="dxa"/>
            <w:tcBorders>
              <w:top w:val="single" w:sz="4" w:space="0" w:color="auto"/>
              <w:left w:val="single" w:sz="4" w:space="0" w:color="auto"/>
              <w:bottom w:val="single" w:sz="4" w:space="0" w:color="auto"/>
              <w:right w:val="single" w:sz="4" w:space="0" w:color="auto"/>
            </w:tcBorders>
            <w:vAlign w:val="center"/>
            <w:hideMark/>
          </w:tcPr>
          <w:p w14:paraId="45CBEBE4" w14:textId="77777777" w:rsidR="00DF358A" w:rsidRPr="004E13E9" w:rsidRDefault="00DF358A" w:rsidP="007E20D4">
            <w:pPr>
              <w:spacing w:line="256" w:lineRule="auto"/>
              <w:contextualSpacing/>
              <w:jc w:val="center"/>
              <w:rPr>
                <w:rFonts w:ascii="Cambria" w:hAnsi="Cambria" w:cs="Arial"/>
                <w:b/>
                <w:bCs/>
                <w:sz w:val="14"/>
                <w:szCs w:val="14"/>
              </w:rPr>
            </w:pPr>
            <w:r w:rsidRPr="004E13E9">
              <w:rPr>
                <w:rFonts w:ascii="Cambria" w:hAnsi="Cambria"/>
                <w:b/>
                <w:sz w:val="14"/>
                <w:szCs w:val="14"/>
              </w:rPr>
              <w:t>703</w:t>
            </w:r>
          </w:p>
        </w:tc>
        <w:tc>
          <w:tcPr>
            <w:tcW w:w="885" w:type="dxa"/>
            <w:tcBorders>
              <w:top w:val="single" w:sz="4" w:space="0" w:color="auto"/>
              <w:left w:val="single" w:sz="4" w:space="0" w:color="auto"/>
              <w:bottom w:val="single" w:sz="4" w:space="0" w:color="auto"/>
              <w:right w:val="single" w:sz="4" w:space="0" w:color="auto"/>
            </w:tcBorders>
            <w:vAlign w:val="center"/>
            <w:hideMark/>
          </w:tcPr>
          <w:p w14:paraId="3B2558BA" w14:textId="77777777" w:rsidR="00DF358A" w:rsidRPr="004E13E9" w:rsidRDefault="00DF358A" w:rsidP="007E20D4">
            <w:pPr>
              <w:spacing w:line="256" w:lineRule="auto"/>
              <w:contextualSpacing/>
              <w:jc w:val="center"/>
              <w:rPr>
                <w:rFonts w:ascii="Cambria" w:hAnsi="Cambria" w:cs="Arial"/>
                <w:b/>
                <w:bCs/>
                <w:sz w:val="14"/>
                <w:szCs w:val="14"/>
              </w:rPr>
            </w:pPr>
            <w:r w:rsidRPr="004E13E9">
              <w:rPr>
                <w:rFonts w:ascii="Cambria" w:hAnsi="Cambria"/>
                <w:b/>
                <w:sz w:val="14"/>
                <w:szCs w:val="14"/>
              </w:rPr>
              <w:t>800</w:t>
            </w:r>
          </w:p>
        </w:tc>
        <w:tc>
          <w:tcPr>
            <w:tcW w:w="858" w:type="dxa"/>
            <w:tcBorders>
              <w:top w:val="single" w:sz="4" w:space="0" w:color="auto"/>
              <w:left w:val="single" w:sz="4" w:space="0" w:color="auto"/>
              <w:bottom w:val="single" w:sz="4" w:space="0" w:color="auto"/>
              <w:right w:val="single" w:sz="4" w:space="0" w:color="auto"/>
            </w:tcBorders>
            <w:vAlign w:val="center"/>
            <w:hideMark/>
          </w:tcPr>
          <w:p w14:paraId="22C9BBAD"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b/>
                <w:sz w:val="14"/>
                <w:szCs w:val="14"/>
              </w:rPr>
              <w:t>908</w:t>
            </w:r>
          </w:p>
        </w:tc>
        <w:tc>
          <w:tcPr>
            <w:tcW w:w="944" w:type="dxa"/>
            <w:tcBorders>
              <w:top w:val="single" w:sz="4" w:space="0" w:color="auto"/>
              <w:left w:val="single" w:sz="4" w:space="0" w:color="auto"/>
              <w:bottom w:val="single" w:sz="4" w:space="0" w:color="auto"/>
              <w:right w:val="single" w:sz="4" w:space="0" w:color="auto"/>
            </w:tcBorders>
            <w:vAlign w:val="center"/>
            <w:hideMark/>
          </w:tcPr>
          <w:p w14:paraId="3031A91A"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b/>
                <w:sz w:val="14"/>
                <w:szCs w:val="14"/>
              </w:rPr>
              <w:t>814</w:t>
            </w:r>
          </w:p>
        </w:tc>
        <w:tc>
          <w:tcPr>
            <w:tcW w:w="793" w:type="dxa"/>
            <w:tcBorders>
              <w:top w:val="single" w:sz="4" w:space="0" w:color="auto"/>
              <w:left w:val="single" w:sz="4" w:space="0" w:color="auto"/>
              <w:bottom w:val="single" w:sz="4" w:space="0" w:color="auto"/>
              <w:right w:val="single" w:sz="4" w:space="0" w:color="auto"/>
            </w:tcBorders>
            <w:vAlign w:val="center"/>
            <w:hideMark/>
          </w:tcPr>
          <w:p w14:paraId="7C310855" w14:textId="77777777" w:rsidR="00DF358A" w:rsidRPr="004E13E9" w:rsidRDefault="00DF358A" w:rsidP="007E20D4">
            <w:pPr>
              <w:widowControl w:val="0"/>
              <w:contextualSpacing/>
              <w:jc w:val="center"/>
              <w:rPr>
                <w:rFonts w:ascii="Cambria" w:hAnsi="Cambria"/>
                <w:b/>
                <w:bCs/>
                <w:sz w:val="14"/>
                <w:szCs w:val="14"/>
              </w:rPr>
            </w:pPr>
            <w:r w:rsidRPr="004E13E9">
              <w:rPr>
                <w:rFonts w:ascii="Cambria" w:hAnsi="Cambria" w:cstheme="majorBidi"/>
                <w:b/>
                <w:bCs/>
                <w:color w:val="auto"/>
                <w:sz w:val="16"/>
                <w:szCs w:val="16"/>
              </w:rPr>
              <w:t>913</w:t>
            </w:r>
          </w:p>
        </w:tc>
      </w:tr>
      <w:tr w:rsidR="00DF358A" w:rsidRPr="004E13E9" w14:paraId="2A5BF21A" w14:textId="77777777" w:rsidTr="00BB4F69">
        <w:trPr>
          <w:trHeight w:val="153"/>
          <w:jc w:val="center"/>
        </w:trPr>
        <w:tc>
          <w:tcPr>
            <w:tcW w:w="2438" w:type="dxa"/>
            <w:tcBorders>
              <w:top w:val="single" w:sz="4" w:space="0" w:color="auto"/>
              <w:left w:val="single" w:sz="4" w:space="0" w:color="auto"/>
              <w:bottom w:val="single" w:sz="4" w:space="0" w:color="auto"/>
              <w:right w:val="single" w:sz="4" w:space="0" w:color="auto"/>
            </w:tcBorders>
            <w:noWrap/>
            <w:vAlign w:val="center"/>
            <w:hideMark/>
          </w:tcPr>
          <w:p w14:paraId="7312A60C" w14:textId="77777777" w:rsidR="00DF358A" w:rsidRPr="004E13E9" w:rsidRDefault="00DF358A" w:rsidP="007E20D4">
            <w:pPr>
              <w:contextualSpacing/>
              <w:rPr>
                <w:rFonts w:ascii="Cambria" w:hAnsi="Cambria"/>
                <w:sz w:val="14"/>
                <w:szCs w:val="14"/>
              </w:rPr>
            </w:pPr>
            <w:r w:rsidRPr="004E13E9">
              <w:rPr>
                <w:rFonts w:ascii="Cambria" w:hAnsi="Cambria"/>
                <w:sz w:val="14"/>
                <w:szCs w:val="14"/>
              </w:rPr>
              <w:t>Canneur</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2D78FD45"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19,75</w:t>
            </w:r>
          </w:p>
        </w:tc>
        <w:tc>
          <w:tcPr>
            <w:tcW w:w="609" w:type="dxa"/>
            <w:tcBorders>
              <w:top w:val="single" w:sz="4" w:space="0" w:color="auto"/>
              <w:left w:val="single" w:sz="4" w:space="0" w:color="auto"/>
              <w:bottom w:val="single" w:sz="4" w:space="0" w:color="auto"/>
              <w:right w:val="single" w:sz="4" w:space="0" w:color="auto"/>
            </w:tcBorders>
            <w:vAlign w:val="center"/>
            <w:hideMark/>
          </w:tcPr>
          <w:p w14:paraId="1598F857"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61</w:t>
            </w: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287BE4E5"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sz w:val="14"/>
                <w:szCs w:val="14"/>
              </w:rPr>
              <w:t>68</w:t>
            </w:r>
          </w:p>
        </w:tc>
        <w:tc>
          <w:tcPr>
            <w:tcW w:w="633" w:type="dxa"/>
            <w:tcBorders>
              <w:top w:val="single" w:sz="4" w:space="0" w:color="auto"/>
              <w:left w:val="single" w:sz="4" w:space="0" w:color="auto"/>
              <w:bottom w:val="single" w:sz="4" w:space="0" w:color="auto"/>
              <w:right w:val="single" w:sz="4" w:space="0" w:color="auto"/>
            </w:tcBorders>
            <w:vAlign w:val="center"/>
            <w:hideMark/>
          </w:tcPr>
          <w:p w14:paraId="3408DD04"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88</w:t>
            </w:r>
          </w:p>
        </w:tc>
        <w:tc>
          <w:tcPr>
            <w:tcW w:w="706" w:type="dxa"/>
            <w:tcBorders>
              <w:top w:val="single" w:sz="4" w:space="0" w:color="auto"/>
              <w:left w:val="single" w:sz="4" w:space="0" w:color="auto"/>
              <w:bottom w:val="single" w:sz="4" w:space="0" w:color="auto"/>
              <w:right w:val="single" w:sz="4" w:space="0" w:color="auto"/>
            </w:tcBorders>
            <w:vAlign w:val="center"/>
            <w:hideMark/>
          </w:tcPr>
          <w:p w14:paraId="5313A24B"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74</w:t>
            </w:r>
          </w:p>
        </w:tc>
        <w:tc>
          <w:tcPr>
            <w:tcW w:w="706" w:type="dxa"/>
            <w:tcBorders>
              <w:top w:val="single" w:sz="4" w:space="0" w:color="auto"/>
              <w:left w:val="single" w:sz="4" w:space="0" w:color="auto"/>
              <w:bottom w:val="single" w:sz="4" w:space="0" w:color="auto"/>
              <w:right w:val="single" w:sz="4" w:space="0" w:color="auto"/>
            </w:tcBorders>
            <w:vAlign w:val="center"/>
            <w:hideMark/>
          </w:tcPr>
          <w:p w14:paraId="3345E7CC"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58</w:t>
            </w:r>
          </w:p>
        </w:tc>
        <w:tc>
          <w:tcPr>
            <w:tcW w:w="681" w:type="dxa"/>
            <w:tcBorders>
              <w:top w:val="single" w:sz="4" w:space="0" w:color="auto"/>
              <w:left w:val="single" w:sz="4" w:space="0" w:color="auto"/>
              <w:bottom w:val="single" w:sz="4" w:space="0" w:color="auto"/>
              <w:right w:val="single" w:sz="4" w:space="0" w:color="auto"/>
            </w:tcBorders>
            <w:vAlign w:val="center"/>
            <w:hideMark/>
          </w:tcPr>
          <w:p w14:paraId="1BDA3AB4"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74</w:t>
            </w:r>
          </w:p>
        </w:tc>
        <w:tc>
          <w:tcPr>
            <w:tcW w:w="681" w:type="dxa"/>
            <w:tcBorders>
              <w:top w:val="single" w:sz="4" w:space="0" w:color="auto"/>
              <w:left w:val="single" w:sz="4" w:space="0" w:color="auto"/>
              <w:bottom w:val="single" w:sz="4" w:space="0" w:color="auto"/>
              <w:right w:val="single" w:sz="4" w:space="0" w:color="auto"/>
            </w:tcBorders>
            <w:vAlign w:val="center"/>
            <w:hideMark/>
          </w:tcPr>
          <w:p w14:paraId="1E0ACAB5"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72</w:t>
            </w:r>
          </w:p>
        </w:tc>
        <w:tc>
          <w:tcPr>
            <w:tcW w:w="786" w:type="dxa"/>
            <w:tcBorders>
              <w:top w:val="single" w:sz="4" w:space="0" w:color="auto"/>
              <w:left w:val="single" w:sz="4" w:space="0" w:color="auto"/>
              <w:bottom w:val="single" w:sz="4" w:space="0" w:color="auto"/>
              <w:right w:val="single" w:sz="4" w:space="0" w:color="auto"/>
            </w:tcBorders>
            <w:vAlign w:val="center"/>
            <w:hideMark/>
          </w:tcPr>
          <w:p w14:paraId="1F0F47E4"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1.209</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2845A9E8"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sz w:val="14"/>
                <w:szCs w:val="14"/>
              </w:rPr>
              <w:t>1.343</w:t>
            </w:r>
          </w:p>
        </w:tc>
        <w:tc>
          <w:tcPr>
            <w:tcW w:w="876" w:type="dxa"/>
            <w:tcBorders>
              <w:top w:val="single" w:sz="4" w:space="0" w:color="auto"/>
              <w:left w:val="single" w:sz="4" w:space="0" w:color="auto"/>
              <w:bottom w:val="single" w:sz="4" w:space="0" w:color="auto"/>
              <w:right w:val="single" w:sz="4" w:space="0" w:color="auto"/>
            </w:tcBorders>
            <w:vAlign w:val="center"/>
            <w:hideMark/>
          </w:tcPr>
          <w:p w14:paraId="1393E5FA"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1.742</w:t>
            </w:r>
          </w:p>
        </w:tc>
        <w:tc>
          <w:tcPr>
            <w:tcW w:w="885" w:type="dxa"/>
            <w:tcBorders>
              <w:top w:val="single" w:sz="4" w:space="0" w:color="auto"/>
              <w:left w:val="single" w:sz="4" w:space="0" w:color="auto"/>
              <w:bottom w:val="single" w:sz="4" w:space="0" w:color="auto"/>
              <w:right w:val="single" w:sz="4" w:space="0" w:color="auto"/>
            </w:tcBorders>
            <w:vAlign w:val="center"/>
            <w:hideMark/>
          </w:tcPr>
          <w:p w14:paraId="2BEA603E"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sz w:val="14"/>
                <w:szCs w:val="14"/>
              </w:rPr>
              <w:t>1.462</w:t>
            </w:r>
          </w:p>
        </w:tc>
        <w:tc>
          <w:tcPr>
            <w:tcW w:w="858" w:type="dxa"/>
            <w:tcBorders>
              <w:top w:val="single" w:sz="4" w:space="0" w:color="auto"/>
              <w:left w:val="single" w:sz="4" w:space="0" w:color="auto"/>
              <w:bottom w:val="single" w:sz="4" w:space="0" w:color="auto"/>
              <w:right w:val="single" w:sz="4" w:space="0" w:color="auto"/>
            </w:tcBorders>
            <w:vAlign w:val="center"/>
            <w:hideMark/>
          </w:tcPr>
          <w:p w14:paraId="597AFBBF"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1.465</w:t>
            </w:r>
          </w:p>
        </w:tc>
        <w:tc>
          <w:tcPr>
            <w:tcW w:w="944" w:type="dxa"/>
            <w:tcBorders>
              <w:top w:val="single" w:sz="4" w:space="0" w:color="auto"/>
              <w:left w:val="single" w:sz="4" w:space="0" w:color="auto"/>
              <w:bottom w:val="single" w:sz="4" w:space="0" w:color="auto"/>
              <w:right w:val="single" w:sz="4" w:space="0" w:color="auto"/>
            </w:tcBorders>
            <w:vAlign w:val="center"/>
            <w:hideMark/>
          </w:tcPr>
          <w:p w14:paraId="5E18A454"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1.462</w:t>
            </w:r>
          </w:p>
        </w:tc>
        <w:tc>
          <w:tcPr>
            <w:tcW w:w="793" w:type="dxa"/>
            <w:tcBorders>
              <w:top w:val="single" w:sz="4" w:space="0" w:color="auto"/>
              <w:left w:val="single" w:sz="4" w:space="0" w:color="auto"/>
              <w:bottom w:val="single" w:sz="4" w:space="0" w:color="auto"/>
              <w:right w:val="single" w:sz="4" w:space="0" w:color="auto"/>
            </w:tcBorders>
            <w:vAlign w:val="center"/>
            <w:hideMark/>
          </w:tcPr>
          <w:p w14:paraId="72651177"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1.422</w:t>
            </w:r>
          </w:p>
        </w:tc>
      </w:tr>
      <w:tr w:rsidR="00DF358A" w:rsidRPr="004E13E9" w14:paraId="673758C5" w14:textId="77777777" w:rsidTr="00BB4F69">
        <w:trPr>
          <w:trHeight w:val="310"/>
          <w:jc w:val="center"/>
        </w:trPr>
        <w:tc>
          <w:tcPr>
            <w:tcW w:w="2438" w:type="dxa"/>
            <w:tcBorders>
              <w:top w:val="single" w:sz="4" w:space="0" w:color="auto"/>
              <w:left w:val="single" w:sz="4" w:space="0" w:color="auto"/>
              <w:bottom w:val="single" w:sz="4" w:space="0" w:color="auto"/>
              <w:right w:val="single" w:sz="4" w:space="0" w:color="auto"/>
            </w:tcBorders>
            <w:noWrap/>
            <w:vAlign w:val="center"/>
            <w:hideMark/>
          </w:tcPr>
          <w:p w14:paraId="24638A44" w14:textId="77777777" w:rsidR="00DF358A" w:rsidRPr="004E13E9" w:rsidRDefault="00DF358A" w:rsidP="007E20D4">
            <w:pPr>
              <w:contextualSpacing/>
              <w:rPr>
                <w:rFonts w:ascii="Cambria" w:hAnsi="Cambria" w:cs="Arial"/>
                <w:sz w:val="14"/>
                <w:szCs w:val="14"/>
              </w:rPr>
            </w:pPr>
            <w:r w:rsidRPr="004E13E9">
              <w:rPr>
                <w:rFonts w:ascii="Cambria" w:hAnsi="Cambria"/>
                <w:sz w:val="14"/>
                <w:szCs w:val="14"/>
              </w:rPr>
              <w:t>Ligne à main</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19BC1CBC"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5</w:t>
            </w:r>
          </w:p>
        </w:tc>
        <w:tc>
          <w:tcPr>
            <w:tcW w:w="609" w:type="dxa"/>
            <w:tcBorders>
              <w:top w:val="single" w:sz="4" w:space="0" w:color="auto"/>
              <w:left w:val="single" w:sz="4" w:space="0" w:color="auto"/>
              <w:bottom w:val="single" w:sz="4" w:space="0" w:color="auto"/>
              <w:right w:val="single" w:sz="4" w:space="0" w:color="auto"/>
            </w:tcBorders>
            <w:vAlign w:val="center"/>
            <w:hideMark/>
          </w:tcPr>
          <w:p w14:paraId="60A71D74"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19</w:t>
            </w: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0621DE16"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101</w:t>
            </w:r>
          </w:p>
        </w:tc>
        <w:tc>
          <w:tcPr>
            <w:tcW w:w="633" w:type="dxa"/>
            <w:tcBorders>
              <w:top w:val="single" w:sz="4" w:space="0" w:color="auto"/>
              <w:left w:val="single" w:sz="4" w:space="0" w:color="auto"/>
              <w:bottom w:val="single" w:sz="4" w:space="0" w:color="auto"/>
              <w:right w:val="single" w:sz="4" w:space="0" w:color="auto"/>
            </w:tcBorders>
            <w:vAlign w:val="center"/>
            <w:hideMark/>
          </w:tcPr>
          <w:p w14:paraId="5C519788"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46</w:t>
            </w:r>
          </w:p>
        </w:tc>
        <w:tc>
          <w:tcPr>
            <w:tcW w:w="706" w:type="dxa"/>
            <w:tcBorders>
              <w:top w:val="single" w:sz="4" w:space="0" w:color="auto"/>
              <w:left w:val="single" w:sz="4" w:space="0" w:color="auto"/>
              <w:bottom w:val="single" w:sz="4" w:space="0" w:color="auto"/>
              <w:right w:val="single" w:sz="4" w:space="0" w:color="auto"/>
            </w:tcBorders>
            <w:vAlign w:val="center"/>
            <w:hideMark/>
          </w:tcPr>
          <w:p w14:paraId="412F1652"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61</w:t>
            </w:r>
          </w:p>
        </w:tc>
        <w:tc>
          <w:tcPr>
            <w:tcW w:w="706" w:type="dxa"/>
            <w:tcBorders>
              <w:top w:val="single" w:sz="4" w:space="0" w:color="auto"/>
              <w:left w:val="single" w:sz="4" w:space="0" w:color="auto"/>
              <w:bottom w:val="single" w:sz="4" w:space="0" w:color="auto"/>
              <w:right w:val="single" w:sz="4" w:space="0" w:color="auto"/>
            </w:tcBorders>
            <w:vAlign w:val="center"/>
            <w:hideMark/>
          </w:tcPr>
          <w:p w14:paraId="4678206E"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72</w:t>
            </w:r>
          </w:p>
        </w:tc>
        <w:tc>
          <w:tcPr>
            <w:tcW w:w="681" w:type="dxa"/>
            <w:tcBorders>
              <w:top w:val="single" w:sz="4" w:space="0" w:color="auto"/>
              <w:left w:val="single" w:sz="4" w:space="0" w:color="auto"/>
              <w:bottom w:val="single" w:sz="4" w:space="0" w:color="auto"/>
              <w:right w:val="single" w:sz="4" w:space="0" w:color="auto"/>
            </w:tcBorders>
            <w:vAlign w:val="center"/>
            <w:hideMark/>
          </w:tcPr>
          <w:p w14:paraId="0980F13C"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60</w:t>
            </w:r>
          </w:p>
        </w:tc>
        <w:tc>
          <w:tcPr>
            <w:tcW w:w="681" w:type="dxa"/>
            <w:tcBorders>
              <w:top w:val="single" w:sz="4" w:space="0" w:color="auto"/>
              <w:left w:val="single" w:sz="4" w:space="0" w:color="auto"/>
              <w:bottom w:val="single" w:sz="4" w:space="0" w:color="auto"/>
              <w:right w:val="single" w:sz="4" w:space="0" w:color="auto"/>
            </w:tcBorders>
            <w:vAlign w:val="center"/>
            <w:hideMark/>
          </w:tcPr>
          <w:p w14:paraId="32B33309"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88</w:t>
            </w:r>
          </w:p>
        </w:tc>
        <w:tc>
          <w:tcPr>
            <w:tcW w:w="786" w:type="dxa"/>
            <w:tcBorders>
              <w:top w:val="single" w:sz="4" w:space="0" w:color="auto"/>
              <w:left w:val="single" w:sz="4" w:space="0" w:color="auto"/>
              <w:bottom w:val="single" w:sz="4" w:space="0" w:color="auto"/>
              <w:right w:val="single" w:sz="4" w:space="0" w:color="auto"/>
            </w:tcBorders>
            <w:vAlign w:val="center"/>
            <w:hideMark/>
          </w:tcPr>
          <w:p w14:paraId="1FB9A881"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60</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3082143D"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505</w:t>
            </w:r>
          </w:p>
        </w:tc>
        <w:tc>
          <w:tcPr>
            <w:tcW w:w="876" w:type="dxa"/>
            <w:tcBorders>
              <w:top w:val="single" w:sz="4" w:space="0" w:color="auto"/>
              <w:left w:val="single" w:sz="4" w:space="0" w:color="auto"/>
              <w:bottom w:val="single" w:sz="4" w:space="0" w:color="auto"/>
              <w:right w:val="single" w:sz="4" w:space="0" w:color="auto"/>
            </w:tcBorders>
            <w:vAlign w:val="center"/>
            <w:hideMark/>
          </w:tcPr>
          <w:p w14:paraId="094F248E"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230</w:t>
            </w:r>
          </w:p>
        </w:tc>
        <w:tc>
          <w:tcPr>
            <w:tcW w:w="885" w:type="dxa"/>
            <w:tcBorders>
              <w:top w:val="single" w:sz="4" w:space="0" w:color="auto"/>
              <w:left w:val="single" w:sz="4" w:space="0" w:color="auto"/>
              <w:bottom w:val="single" w:sz="4" w:space="0" w:color="auto"/>
              <w:right w:val="single" w:sz="4" w:space="0" w:color="auto"/>
            </w:tcBorders>
            <w:vAlign w:val="center"/>
            <w:hideMark/>
          </w:tcPr>
          <w:p w14:paraId="3C3A1E7F"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300</w:t>
            </w:r>
          </w:p>
        </w:tc>
        <w:tc>
          <w:tcPr>
            <w:tcW w:w="858" w:type="dxa"/>
            <w:tcBorders>
              <w:top w:val="single" w:sz="4" w:space="0" w:color="auto"/>
              <w:left w:val="single" w:sz="4" w:space="0" w:color="auto"/>
              <w:bottom w:val="single" w:sz="4" w:space="0" w:color="auto"/>
              <w:right w:val="single" w:sz="4" w:space="0" w:color="auto"/>
            </w:tcBorders>
            <w:vAlign w:val="center"/>
            <w:hideMark/>
          </w:tcPr>
          <w:p w14:paraId="1CB0CFD8"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360</w:t>
            </w:r>
          </w:p>
        </w:tc>
        <w:tc>
          <w:tcPr>
            <w:tcW w:w="944" w:type="dxa"/>
            <w:tcBorders>
              <w:top w:val="single" w:sz="4" w:space="0" w:color="auto"/>
              <w:left w:val="single" w:sz="4" w:space="0" w:color="auto"/>
              <w:bottom w:val="single" w:sz="4" w:space="0" w:color="auto"/>
              <w:right w:val="single" w:sz="4" w:space="0" w:color="auto"/>
            </w:tcBorders>
            <w:vAlign w:val="center"/>
            <w:hideMark/>
          </w:tcPr>
          <w:p w14:paraId="462265EA"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300</w:t>
            </w:r>
          </w:p>
        </w:tc>
        <w:tc>
          <w:tcPr>
            <w:tcW w:w="793" w:type="dxa"/>
            <w:tcBorders>
              <w:top w:val="single" w:sz="4" w:space="0" w:color="auto"/>
              <w:left w:val="single" w:sz="4" w:space="0" w:color="auto"/>
              <w:bottom w:val="single" w:sz="4" w:space="0" w:color="auto"/>
              <w:right w:val="single" w:sz="4" w:space="0" w:color="auto"/>
            </w:tcBorders>
            <w:vAlign w:val="center"/>
            <w:hideMark/>
          </w:tcPr>
          <w:p w14:paraId="30AC90AF"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440</w:t>
            </w:r>
          </w:p>
        </w:tc>
      </w:tr>
      <w:tr w:rsidR="00DF358A" w:rsidRPr="004E13E9" w14:paraId="2D433F63" w14:textId="77777777" w:rsidTr="00BB4F69">
        <w:trPr>
          <w:trHeight w:val="310"/>
          <w:jc w:val="center"/>
        </w:trPr>
        <w:tc>
          <w:tcPr>
            <w:tcW w:w="2438" w:type="dxa"/>
            <w:tcBorders>
              <w:top w:val="single" w:sz="4" w:space="0" w:color="auto"/>
              <w:left w:val="single" w:sz="4" w:space="0" w:color="auto"/>
              <w:bottom w:val="single" w:sz="4" w:space="0" w:color="auto"/>
              <w:right w:val="single" w:sz="4" w:space="0" w:color="auto"/>
            </w:tcBorders>
            <w:noWrap/>
            <w:vAlign w:val="center"/>
            <w:hideMark/>
          </w:tcPr>
          <w:p w14:paraId="51557D8B" w14:textId="77777777" w:rsidR="00DF358A" w:rsidRPr="004E13E9" w:rsidRDefault="00DF358A" w:rsidP="007E20D4">
            <w:pPr>
              <w:contextualSpacing/>
              <w:rPr>
                <w:rFonts w:ascii="Cambria" w:hAnsi="Cambria" w:cs="Arial"/>
                <w:sz w:val="14"/>
                <w:szCs w:val="14"/>
              </w:rPr>
            </w:pPr>
            <w:r w:rsidRPr="004E13E9">
              <w:rPr>
                <w:rFonts w:ascii="Cambria" w:hAnsi="Cambria"/>
                <w:sz w:val="14"/>
                <w:szCs w:val="14"/>
              </w:rPr>
              <w:t>Chalutier</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57BE20A0"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10</w:t>
            </w:r>
          </w:p>
        </w:tc>
        <w:tc>
          <w:tcPr>
            <w:tcW w:w="609" w:type="dxa"/>
            <w:tcBorders>
              <w:top w:val="single" w:sz="4" w:space="0" w:color="auto"/>
              <w:left w:val="single" w:sz="4" w:space="0" w:color="auto"/>
              <w:bottom w:val="single" w:sz="4" w:space="0" w:color="auto"/>
              <w:right w:val="single" w:sz="4" w:space="0" w:color="auto"/>
            </w:tcBorders>
            <w:vAlign w:val="center"/>
            <w:hideMark/>
          </w:tcPr>
          <w:p w14:paraId="33F67FE1"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108</w:t>
            </w: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1294A7D8"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160</w:t>
            </w:r>
          </w:p>
        </w:tc>
        <w:tc>
          <w:tcPr>
            <w:tcW w:w="633" w:type="dxa"/>
            <w:tcBorders>
              <w:top w:val="single" w:sz="4" w:space="0" w:color="auto"/>
              <w:left w:val="single" w:sz="4" w:space="0" w:color="auto"/>
              <w:bottom w:val="single" w:sz="4" w:space="0" w:color="auto"/>
              <w:right w:val="single" w:sz="4" w:space="0" w:color="auto"/>
            </w:tcBorders>
            <w:vAlign w:val="center"/>
            <w:hideMark/>
          </w:tcPr>
          <w:p w14:paraId="6BF7B96C"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57</w:t>
            </w:r>
          </w:p>
        </w:tc>
        <w:tc>
          <w:tcPr>
            <w:tcW w:w="706" w:type="dxa"/>
            <w:tcBorders>
              <w:top w:val="single" w:sz="4" w:space="0" w:color="auto"/>
              <w:left w:val="single" w:sz="4" w:space="0" w:color="auto"/>
              <w:bottom w:val="single" w:sz="4" w:space="0" w:color="auto"/>
              <w:right w:val="single" w:sz="4" w:space="0" w:color="auto"/>
            </w:tcBorders>
            <w:vAlign w:val="center"/>
            <w:hideMark/>
          </w:tcPr>
          <w:p w14:paraId="199147AB"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57</w:t>
            </w:r>
          </w:p>
        </w:tc>
        <w:tc>
          <w:tcPr>
            <w:tcW w:w="706" w:type="dxa"/>
            <w:tcBorders>
              <w:top w:val="single" w:sz="4" w:space="0" w:color="auto"/>
              <w:left w:val="single" w:sz="4" w:space="0" w:color="auto"/>
              <w:bottom w:val="single" w:sz="4" w:space="0" w:color="auto"/>
              <w:right w:val="single" w:sz="4" w:space="0" w:color="auto"/>
            </w:tcBorders>
            <w:vAlign w:val="center"/>
            <w:hideMark/>
          </w:tcPr>
          <w:p w14:paraId="75772018"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56</w:t>
            </w:r>
          </w:p>
        </w:tc>
        <w:tc>
          <w:tcPr>
            <w:tcW w:w="681" w:type="dxa"/>
            <w:tcBorders>
              <w:top w:val="single" w:sz="4" w:space="0" w:color="auto"/>
              <w:left w:val="single" w:sz="4" w:space="0" w:color="auto"/>
              <w:bottom w:val="single" w:sz="4" w:space="0" w:color="auto"/>
              <w:right w:val="single" w:sz="4" w:space="0" w:color="auto"/>
            </w:tcBorders>
            <w:vAlign w:val="center"/>
            <w:hideMark/>
          </w:tcPr>
          <w:p w14:paraId="761722AA"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56</w:t>
            </w:r>
          </w:p>
        </w:tc>
        <w:tc>
          <w:tcPr>
            <w:tcW w:w="681" w:type="dxa"/>
            <w:tcBorders>
              <w:top w:val="single" w:sz="4" w:space="0" w:color="auto"/>
              <w:left w:val="single" w:sz="4" w:space="0" w:color="auto"/>
              <w:bottom w:val="single" w:sz="4" w:space="0" w:color="auto"/>
              <w:right w:val="single" w:sz="4" w:space="0" w:color="auto"/>
            </w:tcBorders>
            <w:vAlign w:val="center"/>
            <w:hideMark/>
          </w:tcPr>
          <w:p w14:paraId="7099CDF7"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57</w:t>
            </w:r>
          </w:p>
        </w:tc>
        <w:tc>
          <w:tcPr>
            <w:tcW w:w="786" w:type="dxa"/>
            <w:tcBorders>
              <w:top w:val="single" w:sz="4" w:space="0" w:color="auto"/>
              <w:left w:val="single" w:sz="4" w:space="0" w:color="auto"/>
              <w:bottom w:val="single" w:sz="4" w:space="0" w:color="auto"/>
              <w:right w:val="single" w:sz="4" w:space="0" w:color="auto"/>
            </w:tcBorders>
            <w:vAlign w:val="center"/>
            <w:hideMark/>
          </w:tcPr>
          <w:p w14:paraId="577F6075"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1.080</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4CA45FB7"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1600</w:t>
            </w:r>
          </w:p>
        </w:tc>
        <w:tc>
          <w:tcPr>
            <w:tcW w:w="876" w:type="dxa"/>
            <w:tcBorders>
              <w:top w:val="single" w:sz="4" w:space="0" w:color="auto"/>
              <w:left w:val="single" w:sz="4" w:space="0" w:color="auto"/>
              <w:bottom w:val="single" w:sz="4" w:space="0" w:color="auto"/>
              <w:right w:val="single" w:sz="4" w:space="0" w:color="auto"/>
            </w:tcBorders>
            <w:vAlign w:val="center"/>
            <w:hideMark/>
          </w:tcPr>
          <w:p w14:paraId="58F8C8F2"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570</w:t>
            </w:r>
          </w:p>
        </w:tc>
        <w:tc>
          <w:tcPr>
            <w:tcW w:w="885" w:type="dxa"/>
            <w:tcBorders>
              <w:top w:val="single" w:sz="4" w:space="0" w:color="auto"/>
              <w:left w:val="single" w:sz="4" w:space="0" w:color="auto"/>
              <w:bottom w:val="single" w:sz="4" w:space="0" w:color="auto"/>
              <w:right w:val="single" w:sz="4" w:space="0" w:color="auto"/>
            </w:tcBorders>
            <w:vAlign w:val="center"/>
            <w:hideMark/>
          </w:tcPr>
          <w:p w14:paraId="5B41C11B"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570</w:t>
            </w:r>
          </w:p>
        </w:tc>
        <w:tc>
          <w:tcPr>
            <w:tcW w:w="858" w:type="dxa"/>
            <w:tcBorders>
              <w:top w:val="single" w:sz="4" w:space="0" w:color="auto"/>
              <w:left w:val="single" w:sz="4" w:space="0" w:color="auto"/>
              <w:bottom w:val="single" w:sz="4" w:space="0" w:color="auto"/>
              <w:right w:val="single" w:sz="4" w:space="0" w:color="auto"/>
            </w:tcBorders>
            <w:vAlign w:val="center"/>
            <w:hideMark/>
          </w:tcPr>
          <w:p w14:paraId="049A16CF"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560</w:t>
            </w:r>
          </w:p>
        </w:tc>
        <w:tc>
          <w:tcPr>
            <w:tcW w:w="944" w:type="dxa"/>
            <w:tcBorders>
              <w:top w:val="single" w:sz="4" w:space="0" w:color="auto"/>
              <w:left w:val="single" w:sz="4" w:space="0" w:color="auto"/>
              <w:bottom w:val="single" w:sz="4" w:space="0" w:color="auto"/>
              <w:right w:val="single" w:sz="4" w:space="0" w:color="auto"/>
            </w:tcBorders>
            <w:vAlign w:val="center"/>
            <w:hideMark/>
          </w:tcPr>
          <w:p w14:paraId="2669A931"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560</w:t>
            </w:r>
          </w:p>
        </w:tc>
        <w:tc>
          <w:tcPr>
            <w:tcW w:w="793" w:type="dxa"/>
            <w:tcBorders>
              <w:top w:val="single" w:sz="4" w:space="0" w:color="auto"/>
              <w:left w:val="single" w:sz="4" w:space="0" w:color="auto"/>
              <w:bottom w:val="single" w:sz="4" w:space="0" w:color="auto"/>
              <w:right w:val="single" w:sz="4" w:space="0" w:color="auto"/>
            </w:tcBorders>
            <w:vAlign w:val="center"/>
            <w:hideMark/>
          </w:tcPr>
          <w:p w14:paraId="3E8C73CC"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570</w:t>
            </w:r>
          </w:p>
        </w:tc>
      </w:tr>
      <w:tr w:rsidR="00DF358A" w:rsidRPr="004E13E9" w14:paraId="64733F1F" w14:textId="77777777" w:rsidTr="00BB4F69">
        <w:trPr>
          <w:trHeight w:val="310"/>
          <w:jc w:val="center"/>
        </w:trPr>
        <w:tc>
          <w:tcPr>
            <w:tcW w:w="2438" w:type="dxa"/>
            <w:tcBorders>
              <w:top w:val="single" w:sz="4" w:space="0" w:color="auto"/>
              <w:left w:val="single" w:sz="4" w:space="0" w:color="auto"/>
              <w:bottom w:val="single" w:sz="4" w:space="0" w:color="auto"/>
              <w:right w:val="single" w:sz="4" w:space="0" w:color="auto"/>
            </w:tcBorders>
            <w:noWrap/>
            <w:vAlign w:val="center"/>
            <w:hideMark/>
          </w:tcPr>
          <w:p w14:paraId="07E3907C" w14:textId="77777777" w:rsidR="00DF358A" w:rsidRPr="004E13E9" w:rsidRDefault="00DF358A" w:rsidP="007E20D4">
            <w:pPr>
              <w:contextualSpacing/>
              <w:rPr>
                <w:rFonts w:ascii="Cambria" w:hAnsi="Cambria" w:cs="Arial"/>
                <w:sz w:val="14"/>
                <w:szCs w:val="14"/>
              </w:rPr>
            </w:pPr>
            <w:r w:rsidRPr="004E13E9">
              <w:rPr>
                <w:rFonts w:ascii="Cambria" w:hAnsi="Cambria"/>
                <w:sz w:val="14"/>
                <w:szCs w:val="14"/>
              </w:rPr>
              <w:t>Madrague</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402A9E84"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130</w:t>
            </w:r>
          </w:p>
        </w:tc>
        <w:tc>
          <w:tcPr>
            <w:tcW w:w="609" w:type="dxa"/>
            <w:tcBorders>
              <w:top w:val="single" w:sz="4" w:space="0" w:color="auto"/>
              <w:left w:val="single" w:sz="4" w:space="0" w:color="auto"/>
              <w:bottom w:val="single" w:sz="4" w:space="0" w:color="auto"/>
              <w:right w:val="single" w:sz="4" w:space="0" w:color="auto"/>
            </w:tcBorders>
            <w:vAlign w:val="center"/>
            <w:hideMark/>
          </w:tcPr>
          <w:p w14:paraId="3E101402"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14</w:t>
            </w: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09DC5357"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sz w:val="14"/>
                <w:szCs w:val="14"/>
              </w:rPr>
              <w:t>15</w:t>
            </w:r>
          </w:p>
        </w:tc>
        <w:tc>
          <w:tcPr>
            <w:tcW w:w="633" w:type="dxa"/>
            <w:tcBorders>
              <w:top w:val="single" w:sz="4" w:space="0" w:color="auto"/>
              <w:left w:val="single" w:sz="4" w:space="0" w:color="auto"/>
              <w:bottom w:val="single" w:sz="4" w:space="0" w:color="auto"/>
              <w:right w:val="single" w:sz="4" w:space="0" w:color="auto"/>
            </w:tcBorders>
            <w:vAlign w:val="center"/>
            <w:hideMark/>
          </w:tcPr>
          <w:p w14:paraId="6475F670"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12</w:t>
            </w:r>
          </w:p>
        </w:tc>
        <w:tc>
          <w:tcPr>
            <w:tcW w:w="706" w:type="dxa"/>
            <w:tcBorders>
              <w:top w:val="single" w:sz="4" w:space="0" w:color="auto"/>
              <w:left w:val="single" w:sz="4" w:space="0" w:color="auto"/>
              <w:bottom w:val="single" w:sz="4" w:space="0" w:color="auto"/>
              <w:right w:val="single" w:sz="4" w:space="0" w:color="auto"/>
            </w:tcBorders>
            <w:vAlign w:val="center"/>
            <w:hideMark/>
          </w:tcPr>
          <w:p w14:paraId="1C7C0B9E"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13</w:t>
            </w:r>
          </w:p>
        </w:tc>
        <w:tc>
          <w:tcPr>
            <w:tcW w:w="706" w:type="dxa"/>
            <w:tcBorders>
              <w:top w:val="single" w:sz="4" w:space="0" w:color="auto"/>
              <w:left w:val="single" w:sz="4" w:space="0" w:color="auto"/>
              <w:bottom w:val="single" w:sz="4" w:space="0" w:color="auto"/>
              <w:right w:val="single" w:sz="4" w:space="0" w:color="auto"/>
            </w:tcBorders>
            <w:vAlign w:val="center"/>
            <w:hideMark/>
          </w:tcPr>
          <w:p w14:paraId="5DD67993"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9</w:t>
            </w:r>
          </w:p>
        </w:tc>
        <w:tc>
          <w:tcPr>
            <w:tcW w:w="681" w:type="dxa"/>
            <w:tcBorders>
              <w:top w:val="single" w:sz="4" w:space="0" w:color="auto"/>
              <w:left w:val="single" w:sz="4" w:space="0" w:color="auto"/>
              <w:bottom w:val="single" w:sz="4" w:space="0" w:color="auto"/>
              <w:right w:val="single" w:sz="4" w:space="0" w:color="auto"/>
            </w:tcBorders>
            <w:vAlign w:val="center"/>
            <w:hideMark/>
          </w:tcPr>
          <w:p w14:paraId="0802D9B1"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10</w:t>
            </w:r>
          </w:p>
        </w:tc>
        <w:tc>
          <w:tcPr>
            <w:tcW w:w="681" w:type="dxa"/>
            <w:tcBorders>
              <w:top w:val="single" w:sz="4" w:space="0" w:color="auto"/>
              <w:left w:val="single" w:sz="4" w:space="0" w:color="auto"/>
              <w:bottom w:val="single" w:sz="4" w:space="0" w:color="auto"/>
              <w:right w:val="single" w:sz="4" w:space="0" w:color="auto"/>
            </w:tcBorders>
            <w:vAlign w:val="center"/>
            <w:hideMark/>
          </w:tcPr>
          <w:p w14:paraId="7066143E"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10</w:t>
            </w:r>
          </w:p>
        </w:tc>
        <w:tc>
          <w:tcPr>
            <w:tcW w:w="786" w:type="dxa"/>
            <w:tcBorders>
              <w:top w:val="single" w:sz="4" w:space="0" w:color="auto"/>
              <w:left w:val="single" w:sz="4" w:space="0" w:color="auto"/>
              <w:bottom w:val="single" w:sz="4" w:space="0" w:color="auto"/>
              <w:right w:val="single" w:sz="4" w:space="0" w:color="auto"/>
            </w:tcBorders>
            <w:vAlign w:val="center"/>
            <w:hideMark/>
          </w:tcPr>
          <w:p w14:paraId="17239087"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1.820</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4A6C4437"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sz w:val="14"/>
                <w:szCs w:val="14"/>
              </w:rPr>
              <w:t>1950</w:t>
            </w:r>
          </w:p>
        </w:tc>
        <w:tc>
          <w:tcPr>
            <w:tcW w:w="876" w:type="dxa"/>
            <w:tcBorders>
              <w:top w:val="single" w:sz="4" w:space="0" w:color="auto"/>
              <w:left w:val="single" w:sz="4" w:space="0" w:color="auto"/>
              <w:bottom w:val="single" w:sz="4" w:space="0" w:color="auto"/>
              <w:right w:val="single" w:sz="4" w:space="0" w:color="auto"/>
            </w:tcBorders>
            <w:vAlign w:val="center"/>
            <w:hideMark/>
          </w:tcPr>
          <w:p w14:paraId="3681BC29"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1560</w:t>
            </w:r>
          </w:p>
        </w:tc>
        <w:tc>
          <w:tcPr>
            <w:tcW w:w="885" w:type="dxa"/>
            <w:tcBorders>
              <w:top w:val="single" w:sz="4" w:space="0" w:color="auto"/>
              <w:left w:val="single" w:sz="4" w:space="0" w:color="auto"/>
              <w:bottom w:val="single" w:sz="4" w:space="0" w:color="auto"/>
              <w:right w:val="single" w:sz="4" w:space="0" w:color="auto"/>
            </w:tcBorders>
            <w:vAlign w:val="center"/>
            <w:hideMark/>
          </w:tcPr>
          <w:p w14:paraId="2A1C43FE"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sz w:val="14"/>
                <w:szCs w:val="14"/>
              </w:rPr>
              <w:t>1.690</w:t>
            </w:r>
          </w:p>
        </w:tc>
        <w:tc>
          <w:tcPr>
            <w:tcW w:w="858" w:type="dxa"/>
            <w:tcBorders>
              <w:top w:val="single" w:sz="4" w:space="0" w:color="auto"/>
              <w:left w:val="single" w:sz="4" w:space="0" w:color="auto"/>
              <w:bottom w:val="single" w:sz="4" w:space="0" w:color="auto"/>
              <w:right w:val="single" w:sz="4" w:space="0" w:color="auto"/>
            </w:tcBorders>
            <w:vAlign w:val="center"/>
            <w:hideMark/>
          </w:tcPr>
          <w:p w14:paraId="19692B9C"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1.690</w:t>
            </w:r>
          </w:p>
        </w:tc>
        <w:tc>
          <w:tcPr>
            <w:tcW w:w="944" w:type="dxa"/>
            <w:tcBorders>
              <w:top w:val="single" w:sz="4" w:space="0" w:color="auto"/>
              <w:left w:val="single" w:sz="4" w:space="0" w:color="auto"/>
              <w:bottom w:val="single" w:sz="4" w:space="0" w:color="auto"/>
              <w:right w:val="single" w:sz="4" w:space="0" w:color="auto"/>
            </w:tcBorders>
            <w:vAlign w:val="center"/>
            <w:hideMark/>
          </w:tcPr>
          <w:p w14:paraId="72BACC52"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1.300</w:t>
            </w:r>
          </w:p>
        </w:tc>
        <w:tc>
          <w:tcPr>
            <w:tcW w:w="793" w:type="dxa"/>
            <w:tcBorders>
              <w:top w:val="single" w:sz="4" w:space="0" w:color="auto"/>
              <w:left w:val="single" w:sz="4" w:space="0" w:color="auto"/>
              <w:bottom w:val="single" w:sz="4" w:space="0" w:color="auto"/>
              <w:right w:val="single" w:sz="4" w:space="0" w:color="auto"/>
            </w:tcBorders>
            <w:vAlign w:val="center"/>
            <w:hideMark/>
          </w:tcPr>
          <w:p w14:paraId="033D5F07"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cstheme="majorBidi"/>
                <w:sz w:val="16"/>
                <w:szCs w:val="16"/>
              </w:rPr>
              <w:t>1300</w:t>
            </w:r>
          </w:p>
        </w:tc>
      </w:tr>
      <w:tr w:rsidR="00DF358A" w:rsidRPr="004E13E9" w14:paraId="71DBCD51" w14:textId="77777777" w:rsidTr="00BB4F69">
        <w:trPr>
          <w:trHeight w:val="157"/>
          <w:jc w:val="center"/>
        </w:trPr>
        <w:tc>
          <w:tcPr>
            <w:tcW w:w="2438" w:type="dxa"/>
            <w:tcBorders>
              <w:top w:val="single" w:sz="4" w:space="0" w:color="auto"/>
              <w:left w:val="single" w:sz="4" w:space="0" w:color="auto"/>
              <w:bottom w:val="single" w:sz="4" w:space="0" w:color="auto"/>
              <w:right w:val="single" w:sz="4" w:space="0" w:color="auto"/>
            </w:tcBorders>
            <w:vAlign w:val="center"/>
            <w:hideMark/>
          </w:tcPr>
          <w:p w14:paraId="34496F37" w14:textId="77777777" w:rsidR="00DF358A" w:rsidRPr="004E13E9" w:rsidRDefault="00DF358A" w:rsidP="007E20D4">
            <w:pPr>
              <w:contextualSpacing/>
              <w:rPr>
                <w:rFonts w:ascii="Cambria" w:hAnsi="Cambria"/>
                <w:sz w:val="14"/>
                <w:szCs w:val="14"/>
              </w:rPr>
            </w:pPr>
            <w:r w:rsidRPr="004E13E9">
              <w:rPr>
                <w:rFonts w:ascii="Cambria" w:hAnsi="Cambria"/>
                <w:sz w:val="14"/>
                <w:szCs w:val="14"/>
              </w:rPr>
              <w:t>Petits navires côtiers</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003C717E"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N/A</w:t>
            </w:r>
          </w:p>
        </w:tc>
        <w:tc>
          <w:tcPr>
            <w:tcW w:w="609" w:type="dxa"/>
            <w:tcBorders>
              <w:top w:val="single" w:sz="4" w:space="0" w:color="auto"/>
              <w:left w:val="single" w:sz="4" w:space="0" w:color="auto"/>
              <w:bottom w:val="single" w:sz="4" w:space="0" w:color="auto"/>
              <w:right w:val="single" w:sz="4" w:space="0" w:color="auto"/>
            </w:tcBorders>
            <w:vAlign w:val="center"/>
            <w:hideMark/>
          </w:tcPr>
          <w:p w14:paraId="29DAA074"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0</w:t>
            </w: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434A4607" w14:textId="77777777" w:rsidR="00DF358A" w:rsidRPr="004E13E9" w:rsidRDefault="00DF358A" w:rsidP="007E20D4">
            <w:pPr>
              <w:widowControl w:val="0"/>
              <w:contextualSpacing/>
              <w:jc w:val="both"/>
              <w:rPr>
                <w:rFonts w:ascii="Cambria" w:hAnsi="Cambria" w:cs="Arial"/>
                <w:sz w:val="14"/>
                <w:szCs w:val="14"/>
              </w:rPr>
            </w:pPr>
          </w:p>
        </w:tc>
        <w:tc>
          <w:tcPr>
            <w:tcW w:w="633" w:type="dxa"/>
            <w:tcBorders>
              <w:top w:val="single" w:sz="4" w:space="0" w:color="auto"/>
              <w:left w:val="single" w:sz="4" w:space="0" w:color="auto"/>
              <w:bottom w:val="single" w:sz="4" w:space="0" w:color="auto"/>
              <w:right w:val="single" w:sz="4" w:space="0" w:color="auto"/>
            </w:tcBorders>
            <w:vAlign w:val="center"/>
          </w:tcPr>
          <w:p w14:paraId="136D5223" w14:textId="77777777" w:rsidR="00DF358A" w:rsidRPr="004E13E9" w:rsidRDefault="00DF358A" w:rsidP="007E20D4">
            <w:pPr>
              <w:widowControl w:val="0"/>
              <w:contextualSpacing/>
              <w:jc w:val="center"/>
              <w:rPr>
                <w:rFonts w:ascii="Cambria" w:hAnsi="Cambria" w:cs="Arial"/>
                <w:sz w:val="14"/>
                <w:szCs w:val="14"/>
              </w:rPr>
            </w:pPr>
          </w:p>
        </w:tc>
        <w:tc>
          <w:tcPr>
            <w:tcW w:w="706" w:type="dxa"/>
            <w:tcBorders>
              <w:top w:val="single" w:sz="4" w:space="0" w:color="auto"/>
              <w:left w:val="single" w:sz="4" w:space="0" w:color="auto"/>
              <w:bottom w:val="single" w:sz="4" w:space="0" w:color="auto"/>
              <w:right w:val="single" w:sz="4" w:space="0" w:color="auto"/>
            </w:tcBorders>
            <w:vAlign w:val="center"/>
            <w:hideMark/>
          </w:tcPr>
          <w:p w14:paraId="63F4C927"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1340</w:t>
            </w:r>
          </w:p>
        </w:tc>
        <w:tc>
          <w:tcPr>
            <w:tcW w:w="706" w:type="dxa"/>
            <w:tcBorders>
              <w:top w:val="single" w:sz="4" w:space="0" w:color="auto"/>
              <w:left w:val="single" w:sz="4" w:space="0" w:color="auto"/>
              <w:bottom w:val="single" w:sz="4" w:space="0" w:color="auto"/>
              <w:right w:val="single" w:sz="4" w:space="0" w:color="auto"/>
            </w:tcBorders>
            <w:vAlign w:val="center"/>
            <w:hideMark/>
          </w:tcPr>
          <w:p w14:paraId="40D5BF19"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173</w:t>
            </w:r>
          </w:p>
        </w:tc>
        <w:tc>
          <w:tcPr>
            <w:tcW w:w="681" w:type="dxa"/>
            <w:tcBorders>
              <w:top w:val="single" w:sz="4" w:space="0" w:color="auto"/>
              <w:left w:val="single" w:sz="4" w:space="0" w:color="auto"/>
              <w:bottom w:val="single" w:sz="4" w:space="0" w:color="auto"/>
              <w:right w:val="single" w:sz="4" w:space="0" w:color="auto"/>
            </w:tcBorders>
            <w:vAlign w:val="center"/>
            <w:hideMark/>
          </w:tcPr>
          <w:p w14:paraId="63110B6E"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830</w:t>
            </w:r>
          </w:p>
        </w:tc>
        <w:tc>
          <w:tcPr>
            <w:tcW w:w="681" w:type="dxa"/>
            <w:tcBorders>
              <w:top w:val="single" w:sz="4" w:space="0" w:color="auto"/>
              <w:left w:val="single" w:sz="4" w:space="0" w:color="auto"/>
              <w:bottom w:val="single" w:sz="4" w:space="0" w:color="auto"/>
              <w:right w:val="single" w:sz="4" w:space="0" w:color="auto"/>
            </w:tcBorders>
            <w:vAlign w:val="center"/>
            <w:hideMark/>
          </w:tcPr>
          <w:p w14:paraId="1FF063A3"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color w:val="auto"/>
                <w:sz w:val="16"/>
                <w:szCs w:val="16"/>
              </w:rPr>
              <w:t>1192</w:t>
            </w:r>
          </w:p>
        </w:tc>
        <w:tc>
          <w:tcPr>
            <w:tcW w:w="786" w:type="dxa"/>
            <w:tcBorders>
              <w:top w:val="single" w:sz="4" w:space="0" w:color="auto"/>
              <w:left w:val="single" w:sz="4" w:space="0" w:color="auto"/>
              <w:bottom w:val="single" w:sz="4" w:space="0" w:color="auto"/>
              <w:right w:val="single" w:sz="4" w:space="0" w:color="auto"/>
            </w:tcBorders>
            <w:vAlign w:val="center"/>
          </w:tcPr>
          <w:p w14:paraId="642B3489" w14:textId="77777777" w:rsidR="00DF358A" w:rsidRPr="004E13E9" w:rsidRDefault="00DF358A" w:rsidP="007E20D4">
            <w:pPr>
              <w:contextualSpacing/>
              <w:jc w:val="center"/>
              <w:rPr>
                <w:rFonts w:ascii="Cambria" w:hAnsi="Cambria" w:cs="Arial"/>
                <w:sz w:val="14"/>
                <w:szCs w:val="14"/>
              </w:rPr>
            </w:pP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688B612E" w14:textId="77777777" w:rsidR="00DF358A" w:rsidRPr="004E13E9" w:rsidRDefault="00DF358A" w:rsidP="007E20D4">
            <w:pPr>
              <w:widowControl w:val="0"/>
              <w:contextualSpacing/>
              <w:jc w:val="both"/>
              <w:rPr>
                <w:rFonts w:ascii="Cambria" w:hAnsi="Cambria" w:cs="Arial"/>
                <w:sz w:val="14"/>
                <w:szCs w:val="14"/>
              </w:rPr>
            </w:pPr>
          </w:p>
        </w:tc>
        <w:tc>
          <w:tcPr>
            <w:tcW w:w="876" w:type="dxa"/>
            <w:tcBorders>
              <w:top w:val="single" w:sz="4" w:space="0" w:color="auto"/>
              <w:left w:val="single" w:sz="4" w:space="0" w:color="auto"/>
              <w:bottom w:val="single" w:sz="4" w:space="0" w:color="auto"/>
              <w:right w:val="single" w:sz="4" w:space="0" w:color="auto"/>
            </w:tcBorders>
            <w:vAlign w:val="center"/>
          </w:tcPr>
          <w:p w14:paraId="461C13C0" w14:textId="77777777" w:rsidR="00DF358A" w:rsidRPr="004E13E9" w:rsidRDefault="00DF358A" w:rsidP="007E20D4">
            <w:pPr>
              <w:contextualSpacing/>
              <w:jc w:val="center"/>
              <w:rPr>
                <w:rFonts w:ascii="Cambria" w:hAnsi="Cambria"/>
                <w:sz w:val="14"/>
                <w:szCs w:val="14"/>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3E2E981F"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sz w:val="14"/>
                <w:szCs w:val="14"/>
              </w:rPr>
              <w:t>5.221</w:t>
            </w:r>
          </w:p>
        </w:tc>
        <w:tc>
          <w:tcPr>
            <w:tcW w:w="858" w:type="dxa"/>
            <w:tcBorders>
              <w:top w:val="single" w:sz="4" w:space="0" w:color="auto"/>
              <w:left w:val="single" w:sz="4" w:space="0" w:color="auto"/>
              <w:bottom w:val="single" w:sz="4" w:space="0" w:color="auto"/>
              <w:right w:val="single" w:sz="4" w:space="0" w:color="auto"/>
            </w:tcBorders>
            <w:vAlign w:val="center"/>
            <w:hideMark/>
          </w:tcPr>
          <w:p w14:paraId="1C8EC244"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4.131</w:t>
            </w:r>
          </w:p>
        </w:tc>
        <w:tc>
          <w:tcPr>
            <w:tcW w:w="944" w:type="dxa"/>
            <w:tcBorders>
              <w:top w:val="single" w:sz="4" w:space="0" w:color="auto"/>
              <w:left w:val="single" w:sz="4" w:space="0" w:color="auto"/>
              <w:bottom w:val="single" w:sz="4" w:space="0" w:color="auto"/>
              <w:right w:val="single" w:sz="4" w:space="0" w:color="auto"/>
            </w:tcBorders>
            <w:vAlign w:val="center"/>
            <w:hideMark/>
          </w:tcPr>
          <w:p w14:paraId="2BBF7ED9"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3.663</w:t>
            </w:r>
          </w:p>
        </w:tc>
        <w:tc>
          <w:tcPr>
            <w:tcW w:w="793" w:type="dxa"/>
            <w:tcBorders>
              <w:top w:val="single" w:sz="4" w:space="0" w:color="auto"/>
              <w:left w:val="single" w:sz="4" w:space="0" w:color="auto"/>
              <w:bottom w:val="single" w:sz="4" w:space="0" w:color="auto"/>
              <w:right w:val="single" w:sz="4" w:space="0" w:color="auto"/>
            </w:tcBorders>
            <w:vAlign w:val="center"/>
            <w:hideMark/>
          </w:tcPr>
          <w:p w14:paraId="6C7223FF"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cstheme="majorBidi"/>
                <w:sz w:val="16"/>
                <w:szCs w:val="16"/>
              </w:rPr>
              <w:t>4056</w:t>
            </w:r>
          </w:p>
        </w:tc>
      </w:tr>
      <w:tr w:rsidR="00DF358A" w:rsidRPr="004E13E9" w14:paraId="41B0BDE0" w14:textId="77777777" w:rsidTr="00BB4F69">
        <w:trPr>
          <w:trHeight w:val="249"/>
          <w:jc w:val="center"/>
        </w:trPr>
        <w:tc>
          <w:tcPr>
            <w:tcW w:w="2438" w:type="dxa"/>
            <w:tcBorders>
              <w:top w:val="single" w:sz="4" w:space="0" w:color="auto"/>
              <w:left w:val="single" w:sz="4" w:space="0" w:color="auto"/>
              <w:bottom w:val="single" w:sz="4" w:space="0" w:color="auto"/>
              <w:right w:val="single" w:sz="4" w:space="0" w:color="auto"/>
            </w:tcBorders>
            <w:vAlign w:val="center"/>
            <w:hideMark/>
          </w:tcPr>
          <w:p w14:paraId="18609AFB" w14:textId="77777777" w:rsidR="00DF358A" w:rsidRPr="004E13E9" w:rsidRDefault="00DF358A" w:rsidP="007E20D4">
            <w:pPr>
              <w:contextualSpacing/>
              <w:rPr>
                <w:rFonts w:ascii="Cambria" w:hAnsi="Cambria"/>
                <w:sz w:val="14"/>
                <w:szCs w:val="14"/>
              </w:rPr>
            </w:pPr>
            <w:r w:rsidRPr="004E13E9">
              <w:rPr>
                <w:rFonts w:ascii="Cambria" w:hAnsi="Cambria"/>
                <w:sz w:val="14"/>
                <w:szCs w:val="14"/>
              </w:rPr>
              <w:t>Autre (à préciser)</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4D266114"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5</w:t>
            </w:r>
          </w:p>
        </w:tc>
        <w:tc>
          <w:tcPr>
            <w:tcW w:w="609" w:type="dxa"/>
            <w:tcBorders>
              <w:top w:val="single" w:sz="4" w:space="0" w:color="auto"/>
              <w:left w:val="single" w:sz="4" w:space="0" w:color="auto"/>
              <w:bottom w:val="single" w:sz="4" w:space="0" w:color="auto"/>
              <w:right w:val="single" w:sz="4" w:space="0" w:color="auto"/>
            </w:tcBorders>
            <w:vAlign w:val="center"/>
            <w:hideMark/>
          </w:tcPr>
          <w:p w14:paraId="54672A8F"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87</w:t>
            </w: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14D8982D"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sz w:val="14"/>
                <w:szCs w:val="14"/>
              </w:rPr>
              <w:t>253</w:t>
            </w:r>
          </w:p>
        </w:tc>
        <w:tc>
          <w:tcPr>
            <w:tcW w:w="633" w:type="dxa"/>
            <w:tcBorders>
              <w:top w:val="single" w:sz="4" w:space="0" w:color="auto"/>
              <w:left w:val="single" w:sz="4" w:space="0" w:color="auto"/>
              <w:bottom w:val="single" w:sz="4" w:space="0" w:color="auto"/>
              <w:right w:val="single" w:sz="4" w:space="0" w:color="auto"/>
            </w:tcBorders>
            <w:vAlign w:val="center"/>
            <w:hideMark/>
          </w:tcPr>
          <w:p w14:paraId="5452C339" w14:textId="77777777" w:rsidR="00DF358A" w:rsidRPr="004E13E9" w:rsidRDefault="00DF358A" w:rsidP="007E20D4">
            <w:pPr>
              <w:widowControl w:val="0"/>
              <w:contextualSpacing/>
              <w:jc w:val="center"/>
              <w:rPr>
                <w:rFonts w:ascii="Cambria" w:hAnsi="Cambria" w:cs="Arial"/>
                <w:sz w:val="14"/>
                <w:szCs w:val="14"/>
              </w:rPr>
            </w:pPr>
            <w:r w:rsidRPr="004E13E9">
              <w:rPr>
                <w:rFonts w:ascii="Cambria" w:hAnsi="Cambria"/>
                <w:sz w:val="14"/>
                <w:szCs w:val="14"/>
              </w:rPr>
              <w:t>715</w:t>
            </w:r>
          </w:p>
        </w:tc>
        <w:tc>
          <w:tcPr>
            <w:tcW w:w="706" w:type="dxa"/>
            <w:tcBorders>
              <w:top w:val="single" w:sz="4" w:space="0" w:color="auto"/>
              <w:left w:val="single" w:sz="4" w:space="0" w:color="auto"/>
              <w:bottom w:val="single" w:sz="4" w:space="0" w:color="auto"/>
              <w:right w:val="single" w:sz="4" w:space="0" w:color="auto"/>
            </w:tcBorders>
            <w:vAlign w:val="center"/>
            <w:hideMark/>
          </w:tcPr>
          <w:p w14:paraId="0618497D"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361</w:t>
            </w:r>
          </w:p>
        </w:tc>
        <w:tc>
          <w:tcPr>
            <w:tcW w:w="706" w:type="dxa"/>
            <w:tcBorders>
              <w:top w:val="single" w:sz="4" w:space="0" w:color="auto"/>
              <w:left w:val="single" w:sz="4" w:space="0" w:color="auto"/>
              <w:bottom w:val="single" w:sz="4" w:space="0" w:color="auto"/>
              <w:right w:val="single" w:sz="4" w:space="0" w:color="auto"/>
            </w:tcBorders>
            <w:vAlign w:val="center"/>
            <w:hideMark/>
          </w:tcPr>
          <w:p w14:paraId="6CC7E379"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1.259</w:t>
            </w:r>
          </w:p>
        </w:tc>
        <w:tc>
          <w:tcPr>
            <w:tcW w:w="681" w:type="dxa"/>
            <w:tcBorders>
              <w:top w:val="single" w:sz="4" w:space="0" w:color="auto"/>
              <w:left w:val="single" w:sz="4" w:space="0" w:color="auto"/>
              <w:bottom w:val="single" w:sz="4" w:space="0" w:color="auto"/>
              <w:right w:val="single" w:sz="4" w:space="0" w:color="auto"/>
            </w:tcBorders>
            <w:vAlign w:val="center"/>
            <w:hideMark/>
          </w:tcPr>
          <w:p w14:paraId="4B6E9975"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631</w:t>
            </w:r>
          </w:p>
        </w:tc>
        <w:tc>
          <w:tcPr>
            <w:tcW w:w="681" w:type="dxa"/>
            <w:tcBorders>
              <w:top w:val="single" w:sz="4" w:space="0" w:color="auto"/>
              <w:left w:val="single" w:sz="4" w:space="0" w:color="auto"/>
              <w:bottom w:val="single" w:sz="4" w:space="0" w:color="auto"/>
              <w:right w:val="single" w:sz="4" w:space="0" w:color="auto"/>
            </w:tcBorders>
            <w:vAlign w:val="center"/>
            <w:hideMark/>
          </w:tcPr>
          <w:p w14:paraId="6D020B1F"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color w:val="auto"/>
                <w:sz w:val="16"/>
                <w:szCs w:val="16"/>
              </w:rPr>
              <w:t>222</w:t>
            </w:r>
          </w:p>
        </w:tc>
        <w:tc>
          <w:tcPr>
            <w:tcW w:w="786" w:type="dxa"/>
            <w:tcBorders>
              <w:top w:val="single" w:sz="4" w:space="0" w:color="auto"/>
              <w:left w:val="single" w:sz="4" w:space="0" w:color="auto"/>
              <w:bottom w:val="single" w:sz="4" w:space="0" w:color="auto"/>
              <w:right w:val="single" w:sz="4" w:space="0" w:color="auto"/>
            </w:tcBorders>
            <w:vAlign w:val="center"/>
            <w:hideMark/>
          </w:tcPr>
          <w:p w14:paraId="02719A81"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435</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5B40EC40"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sz w:val="14"/>
                <w:szCs w:val="14"/>
              </w:rPr>
              <w:t>1265</w:t>
            </w:r>
          </w:p>
        </w:tc>
        <w:tc>
          <w:tcPr>
            <w:tcW w:w="876" w:type="dxa"/>
            <w:tcBorders>
              <w:top w:val="single" w:sz="4" w:space="0" w:color="auto"/>
              <w:left w:val="single" w:sz="4" w:space="0" w:color="auto"/>
              <w:bottom w:val="single" w:sz="4" w:space="0" w:color="auto"/>
              <w:right w:val="single" w:sz="4" w:space="0" w:color="auto"/>
            </w:tcBorders>
            <w:vAlign w:val="center"/>
            <w:hideMark/>
          </w:tcPr>
          <w:p w14:paraId="64B44597"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3575</w:t>
            </w:r>
          </w:p>
        </w:tc>
        <w:tc>
          <w:tcPr>
            <w:tcW w:w="885" w:type="dxa"/>
            <w:tcBorders>
              <w:top w:val="single" w:sz="4" w:space="0" w:color="auto"/>
              <w:left w:val="single" w:sz="4" w:space="0" w:color="auto"/>
              <w:bottom w:val="single" w:sz="4" w:space="0" w:color="auto"/>
              <w:right w:val="single" w:sz="4" w:space="0" w:color="auto"/>
            </w:tcBorders>
            <w:vAlign w:val="center"/>
            <w:hideMark/>
          </w:tcPr>
          <w:p w14:paraId="72DEA9BD"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sz w:val="14"/>
                <w:szCs w:val="14"/>
              </w:rPr>
              <w:t>570</w:t>
            </w:r>
          </w:p>
        </w:tc>
        <w:tc>
          <w:tcPr>
            <w:tcW w:w="858" w:type="dxa"/>
            <w:tcBorders>
              <w:top w:val="single" w:sz="4" w:space="0" w:color="auto"/>
              <w:left w:val="single" w:sz="4" w:space="0" w:color="auto"/>
              <w:bottom w:val="single" w:sz="4" w:space="0" w:color="auto"/>
              <w:right w:val="single" w:sz="4" w:space="0" w:color="auto"/>
            </w:tcBorders>
            <w:vAlign w:val="center"/>
            <w:hideMark/>
          </w:tcPr>
          <w:p w14:paraId="6322A979"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2.530</w:t>
            </w:r>
          </w:p>
        </w:tc>
        <w:tc>
          <w:tcPr>
            <w:tcW w:w="944" w:type="dxa"/>
            <w:tcBorders>
              <w:top w:val="single" w:sz="4" w:space="0" w:color="auto"/>
              <w:left w:val="single" w:sz="4" w:space="0" w:color="auto"/>
              <w:bottom w:val="single" w:sz="4" w:space="0" w:color="auto"/>
              <w:right w:val="single" w:sz="4" w:space="0" w:color="auto"/>
            </w:tcBorders>
            <w:vAlign w:val="center"/>
            <w:hideMark/>
          </w:tcPr>
          <w:p w14:paraId="43CC83DD"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1.450</w:t>
            </w:r>
          </w:p>
        </w:tc>
        <w:tc>
          <w:tcPr>
            <w:tcW w:w="793" w:type="dxa"/>
            <w:tcBorders>
              <w:top w:val="single" w:sz="4" w:space="0" w:color="auto"/>
              <w:left w:val="single" w:sz="4" w:space="0" w:color="auto"/>
              <w:bottom w:val="single" w:sz="4" w:space="0" w:color="auto"/>
              <w:right w:val="single" w:sz="4" w:space="0" w:color="auto"/>
            </w:tcBorders>
            <w:vAlign w:val="center"/>
            <w:hideMark/>
          </w:tcPr>
          <w:p w14:paraId="17EB8742"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cstheme="majorBidi"/>
                <w:sz w:val="16"/>
                <w:szCs w:val="16"/>
              </w:rPr>
              <w:t>1110</w:t>
            </w:r>
          </w:p>
        </w:tc>
      </w:tr>
      <w:tr w:rsidR="00DF358A" w:rsidRPr="004E13E9" w14:paraId="7490F890" w14:textId="77777777" w:rsidTr="00BB4F69">
        <w:trPr>
          <w:trHeight w:val="310"/>
          <w:jc w:val="center"/>
        </w:trPr>
        <w:tc>
          <w:tcPr>
            <w:tcW w:w="2438" w:type="dxa"/>
            <w:tcBorders>
              <w:top w:val="single" w:sz="4" w:space="0" w:color="auto"/>
              <w:left w:val="single" w:sz="4" w:space="0" w:color="auto"/>
              <w:bottom w:val="single" w:sz="4" w:space="0" w:color="auto"/>
              <w:right w:val="single" w:sz="4" w:space="0" w:color="auto"/>
            </w:tcBorders>
            <w:noWrap/>
            <w:vAlign w:val="center"/>
            <w:hideMark/>
          </w:tcPr>
          <w:p w14:paraId="34711E7B" w14:textId="77777777" w:rsidR="00DF358A" w:rsidRPr="004E13E9" w:rsidRDefault="00DF358A" w:rsidP="007E20D4">
            <w:pPr>
              <w:contextualSpacing/>
              <w:rPr>
                <w:rFonts w:ascii="Cambria" w:hAnsi="Cambria"/>
                <w:b/>
                <w:bCs/>
                <w:sz w:val="14"/>
                <w:szCs w:val="14"/>
              </w:rPr>
            </w:pPr>
            <w:r w:rsidRPr="004E13E9">
              <w:rPr>
                <w:rFonts w:ascii="Cambria" w:hAnsi="Cambria"/>
                <w:b/>
                <w:sz w:val="14"/>
                <w:szCs w:val="14"/>
              </w:rPr>
              <w:t>Capacité totale de la flottille/de pêche</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72AB21EF" w14:textId="77777777" w:rsidR="00DF358A" w:rsidRPr="004E13E9" w:rsidRDefault="00DF358A" w:rsidP="007E20D4">
            <w:pPr>
              <w:contextualSpacing/>
              <w:jc w:val="right"/>
              <w:rPr>
                <w:rFonts w:ascii="Cambria" w:hAnsi="Cambria" w:cs="Arial"/>
                <w:sz w:val="14"/>
                <w:szCs w:val="14"/>
              </w:rPr>
            </w:pPr>
            <w:r w:rsidRPr="004E13E9">
              <w:rPr>
                <w:rFonts w:ascii="Cambria" w:hAnsi="Cambria"/>
                <w:sz w:val="14"/>
                <w:szCs w:val="14"/>
              </w:rPr>
              <w:t> </w:t>
            </w:r>
          </w:p>
        </w:tc>
        <w:tc>
          <w:tcPr>
            <w:tcW w:w="609" w:type="dxa"/>
            <w:tcBorders>
              <w:top w:val="single" w:sz="4" w:space="0" w:color="auto"/>
              <w:left w:val="single" w:sz="4" w:space="0" w:color="auto"/>
              <w:bottom w:val="single" w:sz="4" w:space="0" w:color="auto"/>
              <w:right w:val="single" w:sz="4" w:space="0" w:color="auto"/>
            </w:tcBorders>
            <w:vAlign w:val="center"/>
            <w:hideMark/>
          </w:tcPr>
          <w:p w14:paraId="2A41B214"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b/>
                <w:sz w:val="14"/>
                <w:szCs w:val="14"/>
              </w:rPr>
              <w:t>289</w:t>
            </w: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3559849B"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b/>
                <w:sz w:val="14"/>
                <w:szCs w:val="14"/>
              </w:rPr>
              <w:t>1.174</w:t>
            </w:r>
          </w:p>
        </w:tc>
        <w:tc>
          <w:tcPr>
            <w:tcW w:w="633" w:type="dxa"/>
            <w:tcBorders>
              <w:top w:val="single" w:sz="4" w:space="0" w:color="auto"/>
              <w:left w:val="single" w:sz="4" w:space="0" w:color="auto"/>
              <w:bottom w:val="single" w:sz="4" w:space="0" w:color="auto"/>
              <w:right w:val="single" w:sz="4" w:space="0" w:color="auto"/>
            </w:tcBorders>
            <w:vAlign w:val="center"/>
            <w:hideMark/>
          </w:tcPr>
          <w:p w14:paraId="4640F1E5" w14:textId="77777777" w:rsidR="00DF358A" w:rsidRPr="004E13E9" w:rsidRDefault="00DF358A" w:rsidP="007E20D4">
            <w:pPr>
              <w:widowControl w:val="0"/>
              <w:contextualSpacing/>
              <w:jc w:val="center"/>
              <w:rPr>
                <w:rFonts w:ascii="Cambria" w:hAnsi="Cambria"/>
                <w:b/>
                <w:sz w:val="14"/>
                <w:szCs w:val="14"/>
              </w:rPr>
            </w:pPr>
            <w:r w:rsidRPr="004E13E9">
              <w:rPr>
                <w:rFonts w:ascii="Cambria" w:hAnsi="Cambria"/>
                <w:b/>
                <w:sz w:val="14"/>
                <w:szCs w:val="14"/>
              </w:rPr>
              <w:t>1.115</w:t>
            </w: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448CB1E3" w14:textId="77777777" w:rsidR="00DF358A" w:rsidRPr="004E13E9" w:rsidRDefault="00DF358A" w:rsidP="007E20D4">
            <w:pPr>
              <w:widowControl w:val="0"/>
              <w:contextualSpacing/>
              <w:jc w:val="center"/>
              <w:rPr>
                <w:rFonts w:ascii="Cambria" w:hAnsi="Cambria" w:cs="Arial"/>
                <w:b/>
                <w:bCs/>
                <w:sz w:val="14"/>
                <w:szCs w:val="14"/>
              </w:rPr>
            </w:pPr>
            <w:r w:rsidRPr="004E13E9">
              <w:rPr>
                <w:rFonts w:ascii="Cambria" w:hAnsi="Cambria"/>
                <w:b/>
                <w:sz w:val="14"/>
                <w:szCs w:val="14"/>
              </w:rPr>
              <w:t>2.163</w:t>
            </w:r>
          </w:p>
        </w:tc>
        <w:tc>
          <w:tcPr>
            <w:tcW w:w="706" w:type="dxa"/>
            <w:tcBorders>
              <w:top w:val="single" w:sz="4" w:space="0" w:color="auto"/>
              <w:left w:val="single" w:sz="4" w:space="0" w:color="auto"/>
              <w:bottom w:val="single" w:sz="4" w:space="0" w:color="auto"/>
              <w:right w:val="single" w:sz="4" w:space="0" w:color="auto"/>
            </w:tcBorders>
            <w:vAlign w:val="center"/>
            <w:hideMark/>
          </w:tcPr>
          <w:p w14:paraId="6491272E" w14:textId="77777777" w:rsidR="00DF358A" w:rsidRPr="004E13E9" w:rsidRDefault="00DF358A" w:rsidP="007E20D4">
            <w:pPr>
              <w:widowControl w:val="0"/>
              <w:contextualSpacing/>
              <w:jc w:val="center"/>
              <w:rPr>
                <w:rFonts w:ascii="Cambria" w:hAnsi="Cambria"/>
                <w:b/>
                <w:bCs/>
                <w:sz w:val="14"/>
                <w:szCs w:val="14"/>
              </w:rPr>
            </w:pPr>
            <w:r w:rsidRPr="004E13E9">
              <w:rPr>
                <w:rFonts w:ascii="Cambria" w:hAnsi="Cambria"/>
                <w:b/>
                <w:sz w:val="14"/>
                <w:szCs w:val="14"/>
              </w:rPr>
              <w:t>1.818</w:t>
            </w:r>
          </w:p>
        </w:tc>
        <w:tc>
          <w:tcPr>
            <w:tcW w:w="681" w:type="dxa"/>
            <w:tcBorders>
              <w:top w:val="single" w:sz="4" w:space="0" w:color="auto"/>
              <w:left w:val="single" w:sz="4" w:space="0" w:color="auto"/>
              <w:bottom w:val="single" w:sz="4" w:space="0" w:color="auto"/>
              <w:right w:val="single" w:sz="4" w:space="0" w:color="auto"/>
            </w:tcBorders>
            <w:vAlign w:val="center"/>
            <w:hideMark/>
          </w:tcPr>
          <w:p w14:paraId="2F99081F" w14:textId="77777777" w:rsidR="00DF358A" w:rsidRPr="004E13E9" w:rsidRDefault="00DF358A" w:rsidP="007E20D4">
            <w:pPr>
              <w:contextualSpacing/>
              <w:jc w:val="center"/>
              <w:rPr>
                <w:rFonts w:ascii="Cambria" w:hAnsi="Cambria"/>
                <w:b/>
                <w:bCs/>
                <w:sz w:val="14"/>
                <w:szCs w:val="14"/>
              </w:rPr>
            </w:pPr>
            <w:r w:rsidRPr="004E13E9">
              <w:rPr>
                <w:rFonts w:ascii="Cambria" w:hAnsi="Cambria"/>
                <w:b/>
                <w:sz w:val="14"/>
                <w:szCs w:val="14"/>
              </w:rPr>
              <w:t>1.911</w:t>
            </w:r>
          </w:p>
        </w:tc>
        <w:tc>
          <w:tcPr>
            <w:tcW w:w="681" w:type="dxa"/>
            <w:tcBorders>
              <w:top w:val="single" w:sz="4" w:space="0" w:color="auto"/>
              <w:left w:val="single" w:sz="4" w:space="0" w:color="auto"/>
              <w:bottom w:val="single" w:sz="4" w:space="0" w:color="auto"/>
              <w:right w:val="single" w:sz="4" w:space="0" w:color="auto"/>
            </w:tcBorders>
            <w:vAlign w:val="center"/>
            <w:hideMark/>
          </w:tcPr>
          <w:p w14:paraId="1CD96322" w14:textId="77777777" w:rsidR="00DF358A" w:rsidRPr="004E13E9" w:rsidRDefault="00DF358A" w:rsidP="007E20D4">
            <w:pPr>
              <w:widowControl w:val="0"/>
              <w:contextualSpacing/>
              <w:jc w:val="center"/>
              <w:rPr>
                <w:rFonts w:ascii="Cambria" w:hAnsi="Cambria"/>
                <w:b/>
                <w:bCs/>
                <w:sz w:val="14"/>
                <w:szCs w:val="14"/>
              </w:rPr>
            </w:pPr>
            <w:r w:rsidRPr="004E13E9">
              <w:rPr>
                <w:rFonts w:ascii="Cambria" w:hAnsi="Cambria"/>
                <w:b/>
                <w:bCs/>
                <w:color w:val="auto"/>
                <w:sz w:val="16"/>
                <w:szCs w:val="16"/>
              </w:rPr>
              <w:t>1894</w:t>
            </w:r>
          </w:p>
        </w:tc>
        <w:tc>
          <w:tcPr>
            <w:tcW w:w="786" w:type="dxa"/>
            <w:tcBorders>
              <w:top w:val="single" w:sz="4" w:space="0" w:color="auto"/>
              <w:left w:val="single" w:sz="4" w:space="0" w:color="auto"/>
              <w:bottom w:val="single" w:sz="4" w:space="0" w:color="auto"/>
              <w:right w:val="single" w:sz="4" w:space="0" w:color="auto"/>
            </w:tcBorders>
            <w:vAlign w:val="center"/>
            <w:hideMark/>
          </w:tcPr>
          <w:p w14:paraId="5ABCC8F8" w14:textId="77777777" w:rsidR="00DF358A" w:rsidRPr="004E13E9" w:rsidRDefault="00DF358A" w:rsidP="007E20D4">
            <w:pPr>
              <w:contextualSpacing/>
              <w:jc w:val="center"/>
              <w:rPr>
                <w:rFonts w:ascii="Cambria" w:hAnsi="Cambria"/>
                <w:b/>
                <w:sz w:val="14"/>
                <w:szCs w:val="14"/>
              </w:rPr>
            </w:pPr>
            <w:r w:rsidRPr="004E13E9">
              <w:rPr>
                <w:rFonts w:ascii="Cambria" w:hAnsi="Cambria"/>
                <w:b/>
                <w:sz w:val="14"/>
                <w:szCs w:val="14"/>
              </w:rPr>
              <w:t>4.604</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1776C616"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b/>
                <w:sz w:val="14"/>
                <w:szCs w:val="14"/>
              </w:rPr>
              <w:t>19.335</w:t>
            </w:r>
          </w:p>
        </w:tc>
        <w:tc>
          <w:tcPr>
            <w:tcW w:w="876" w:type="dxa"/>
            <w:tcBorders>
              <w:top w:val="single" w:sz="4" w:space="0" w:color="auto"/>
              <w:left w:val="single" w:sz="4" w:space="0" w:color="auto"/>
              <w:bottom w:val="single" w:sz="4" w:space="0" w:color="auto"/>
              <w:right w:val="single" w:sz="4" w:space="0" w:color="auto"/>
            </w:tcBorders>
            <w:vAlign w:val="center"/>
            <w:hideMark/>
          </w:tcPr>
          <w:p w14:paraId="4299F45D" w14:textId="77777777" w:rsidR="00DF358A" w:rsidRPr="004E13E9" w:rsidRDefault="00DF358A" w:rsidP="007E20D4">
            <w:pPr>
              <w:contextualSpacing/>
              <w:jc w:val="center"/>
              <w:rPr>
                <w:rFonts w:ascii="Cambria" w:hAnsi="Cambria"/>
                <w:b/>
                <w:bCs/>
                <w:sz w:val="14"/>
                <w:szCs w:val="14"/>
              </w:rPr>
            </w:pPr>
            <w:r w:rsidRPr="004E13E9">
              <w:rPr>
                <w:rFonts w:ascii="Cambria" w:hAnsi="Cambria"/>
                <w:b/>
                <w:sz w:val="14"/>
                <w:szCs w:val="14"/>
              </w:rPr>
              <w:t>11.977</w:t>
            </w:r>
          </w:p>
        </w:tc>
        <w:tc>
          <w:tcPr>
            <w:tcW w:w="885" w:type="dxa"/>
            <w:tcBorders>
              <w:top w:val="single" w:sz="4" w:space="0" w:color="auto"/>
              <w:left w:val="single" w:sz="4" w:space="0" w:color="auto"/>
              <w:bottom w:val="single" w:sz="4" w:space="0" w:color="auto"/>
              <w:right w:val="single" w:sz="4" w:space="0" w:color="auto"/>
            </w:tcBorders>
            <w:vAlign w:val="center"/>
            <w:hideMark/>
          </w:tcPr>
          <w:p w14:paraId="27405A5F"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b/>
                <w:sz w:val="14"/>
                <w:szCs w:val="14"/>
              </w:rPr>
              <w:t>14.681</w:t>
            </w:r>
          </w:p>
        </w:tc>
        <w:tc>
          <w:tcPr>
            <w:tcW w:w="858" w:type="dxa"/>
            <w:tcBorders>
              <w:top w:val="single" w:sz="4" w:space="0" w:color="auto"/>
              <w:left w:val="single" w:sz="4" w:space="0" w:color="auto"/>
              <w:bottom w:val="single" w:sz="4" w:space="0" w:color="auto"/>
              <w:right w:val="single" w:sz="4" w:space="0" w:color="auto"/>
            </w:tcBorders>
            <w:vAlign w:val="center"/>
            <w:hideMark/>
          </w:tcPr>
          <w:p w14:paraId="6AD7A608" w14:textId="77777777" w:rsidR="00DF358A" w:rsidRPr="004E13E9" w:rsidRDefault="00DF358A" w:rsidP="007E20D4">
            <w:pPr>
              <w:contextualSpacing/>
              <w:jc w:val="center"/>
              <w:rPr>
                <w:rFonts w:ascii="Cambria" w:hAnsi="Cambria"/>
                <w:b/>
                <w:bCs/>
                <w:sz w:val="14"/>
                <w:szCs w:val="14"/>
              </w:rPr>
            </w:pPr>
            <w:r w:rsidRPr="004E13E9">
              <w:rPr>
                <w:rFonts w:ascii="Cambria" w:hAnsi="Cambria"/>
                <w:b/>
                <w:sz w:val="14"/>
                <w:szCs w:val="14"/>
              </w:rPr>
              <w:t>15.163</w:t>
            </w:r>
          </w:p>
        </w:tc>
        <w:tc>
          <w:tcPr>
            <w:tcW w:w="944" w:type="dxa"/>
            <w:tcBorders>
              <w:top w:val="single" w:sz="4" w:space="0" w:color="auto"/>
              <w:left w:val="single" w:sz="4" w:space="0" w:color="auto"/>
              <w:bottom w:val="single" w:sz="4" w:space="0" w:color="auto"/>
              <w:right w:val="single" w:sz="4" w:space="0" w:color="auto"/>
            </w:tcBorders>
            <w:vAlign w:val="center"/>
            <w:hideMark/>
          </w:tcPr>
          <w:p w14:paraId="6E097199" w14:textId="77777777" w:rsidR="00DF358A" w:rsidRPr="004E13E9" w:rsidRDefault="00DF358A" w:rsidP="007E20D4">
            <w:pPr>
              <w:spacing w:line="256" w:lineRule="auto"/>
              <w:contextualSpacing/>
              <w:jc w:val="center"/>
              <w:rPr>
                <w:rFonts w:ascii="Cambria" w:eastAsia="Cambria" w:hAnsi="Cambria" w:cs="Cambria"/>
                <w:sz w:val="14"/>
                <w:szCs w:val="14"/>
              </w:rPr>
            </w:pPr>
            <w:r w:rsidRPr="004E13E9">
              <w:rPr>
                <w:rFonts w:ascii="Cambria" w:hAnsi="Cambria"/>
                <w:b/>
                <w:sz w:val="14"/>
                <w:szCs w:val="14"/>
              </w:rPr>
              <w:t>13.712</w:t>
            </w:r>
          </w:p>
        </w:tc>
        <w:tc>
          <w:tcPr>
            <w:tcW w:w="793" w:type="dxa"/>
            <w:tcBorders>
              <w:top w:val="single" w:sz="4" w:space="0" w:color="auto"/>
              <w:left w:val="single" w:sz="4" w:space="0" w:color="auto"/>
              <w:bottom w:val="single" w:sz="4" w:space="0" w:color="auto"/>
              <w:right w:val="single" w:sz="4" w:space="0" w:color="auto"/>
            </w:tcBorders>
            <w:vAlign w:val="center"/>
            <w:hideMark/>
          </w:tcPr>
          <w:p w14:paraId="7B57DB9C" w14:textId="77777777" w:rsidR="00DF358A" w:rsidRPr="004E13E9" w:rsidRDefault="00DF358A" w:rsidP="007E20D4">
            <w:pPr>
              <w:widowControl w:val="0"/>
              <w:spacing w:line="256" w:lineRule="auto"/>
              <w:contextualSpacing/>
              <w:jc w:val="center"/>
              <w:rPr>
                <w:rFonts w:ascii="Cambria" w:hAnsi="Cambria"/>
                <w:b/>
                <w:bCs/>
                <w:sz w:val="14"/>
                <w:szCs w:val="14"/>
              </w:rPr>
            </w:pPr>
            <w:r w:rsidRPr="004E13E9">
              <w:rPr>
                <w:rFonts w:ascii="Cambria" w:hAnsi="Cambria" w:cstheme="majorBidi"/>
                <w:b/>
                <w:bCs/>
                <w:sz w:val="16"/>
                <w:szCs w:val="16"/>
              </w:rPr>
              <w:t>13.912</w:t>
            </w:r>
          </w:p>
        </w:tc>
      </w:tr>
      <w:tr w:rsidR="00DF358A" w:rsidRPr="004E13E9" w14:paraId="764E247A" w14:textId="77777777" w:rsidTr="00BB4F69">
        <w:trPr>
          <w:trHeight w:val="201"/>
          <w:jc w:val="center"/>
        </w:trPr>
        <w:tc>
          <w:tcPr>
            <w:tcW w:w="243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89CA71E" w14:textId="77777777" w:rsidR="00DF358A" w:rsidRPr="004E13E9" w:rsidRDefault="00DF358A" w:rsidP="007E20D4">
            <w:pPr>
              <w:contextualSpacing/>
              <w:rPr>
                <w:rFonts w:ascii="Cambria" w:hAnsi="Cambria"/>
                <w:b/>
                <w:bCs/>
                <w:sz w:val="14"/>
                <w:szCs w:val="14"/>
              </w:rPr>
            </w:pPr>
            <w:r w:rsidRPr="004E13E9">
              <w:rPr>
                <w:rFonts w:ascii="Cambria" w:hAnsi="Cambria"/>
                <w:b/>
                <w:sz w:val="14"/>
                <w:szCs w:val="14"/>
              </w:rPr>
              <w:t>Quota initial</w:t>
            </w:r>
          </w:p>
        </w:tc>
        <w:tc>
          <w:tcPr>
            <w:tcW w:w="119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CC41F03" w14:textId="77777777" w:rsidR="00DF358A" w:rsidRPr="004E13E9" w:rsidRDefault="00DF358A" w:rsidP="007E20D4">
            <w:pPr>
              <w:contextualSpacing/>
              <w:jc w:val="right"/>
              <w:rPr>
                <w:rFonts w:ascii="Cambria" w:hAnsi="Cambria" w:cs="Arial"/>
                <w:sz w:val="14"/>
                <w:szCs w:val="14"/>
              </w:rPr>
            </w:pPr>
            <w:r w:rsidRPr="004E13E9">
              <w:rPr>
                <w:rFonts w:ascii="Cambria" w:hAnsi="Cambria"/>
                <w:sz w:val="14"/>
                <w:szCs w:val="14"/>
              </w:rPr>
              <w:t> </w:t>
            </w:r>
          </w:p>
        </w:tc>
        <w:tc>
          <w:tcPr>
            <w:tcW w:w="609" w:type="dxa"/>
            <w:tcBorders>
              <w:top w:val="single" w:sz="4" w:space="0" w:color="auto"/>
              <w:left w:val="single" w:sz="4" w:space="0" w:color="auto"/>
              <w:bottom w:val="single" w:sz="4" w:space="0" w:color="auto"/>
              <w:right w:val="single" w:sz="4" w:space="0" w:color="auto"/>
            </w:tcBorders>
            <w:shd w:val="clear" w:color="auto" w:fill="D9D9D9"/>
          </w:tcPr>
          <w:p w14:paraId="7AE68C54" w14:textId="77777777" w:rsidR="00DF358A" w:rsidRPr="004E13E9" w:rsidRDefault="00DF358A" w:rsidP="007E20D4">
            <w:pPr>
              <w:contextualSpacing/>
              <w:jc w:val="center"/>
              <w:rPr>
                <w:rFonts w:ascii="Cambria" w:hAnsi="Cambria" w:cs="Arial"/>
                <w:sz w:val="14"/>
                <w:szCs w:val="14"/>
              </w:rPr>
            </w:pPr>
          </w:p>
        </w:tc>
        <w:tc>
          <w:tcPr>
            <w:tcW w:w="706"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9A27556" w14:textId="77777777" w:rsidR="00DF358A" w:rsidRPr="004E13E9" w:rsidRDefault="00DF358A" w:rsidP="007E20D4">
            <w:pPr>
              <w:widowControl w:val="0"/>
              <w:contextualSpacing/>
              <w:jc w:val="both"/>
              <w:rPr>
                <w:rFonts w:ascii="Cambria" w:hAnsi="Cambria" w:cs="Arial"/>
                <w:sz w:val="14"/>
                <w:szCs w:val="14"/>
              </w:rPr>
            </w:pPr>
          </w:p>
        </w:tc>
        <w:tc>
          <w:tcPr>
            <w:tcW w:w="633" w:type="dxa"/>
            <w:tcBorders>
              <w:top w:val="single" w:sz="4" w:space="0" w:color="auto"/>
              <w:left w:val="single" w:sz="4" w:space="0" w:color="auto"/>
              <w:bottom w:val="single" w:sz="4" w:space="0" w:color="auto"/>
              <w:right w:val="single" w:sz="4" w:space="0" w:color="auto"/>
            </w:tcBorders>
            <w:shd w:val="clear" w:color="auto" w:fill="D9D9D9"/>
          </w:tcPr>
          <w:p w14:paraId="687C6A23" w14:textId="77777777" w:rsidR="00DF358A" w:rsidRPr="004E13E9" w:rsidRDefault="00DF358A" w:rsidP="007E20D4">
            <w:pPr>
              <w:contextualSpacing/>
              <w:jc w:val="center"/>
              <w:rPr>
                <w:rFonts w:ascii="Cambria" w:hAnsi="Cambria" w:cs="Arial"/>
                <w:sz w:val="14"/>
                <w:szCs w:val="14"/>
              </w:rPr>
            </w:pPr>
          </w:p>
        </w:tc>
        <w:tc>
          <w:tcPr>
            <w:tcW w:w="70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00B156" w14:textId="77777777" w:rsidR="00DF358A" w:rsidRPr="004E13E9" w:rsidRDefault="00DF358A" w:rsidP="007E20D4">
            <w:pPr>
              <w:widowControl w:val="0"/>
              <w:contextualSpacing/>
              <w:jc w:val="both"/>
              <w:rPr>
                <w:rFonts w:ascii="Cambria" w:hAnsi="Cambria" w:cs="Arial"/>
                <w:sz w:val="14"/>
                <w:szCs w:val="14"/>
              </w:rPr>
            </w:pPr>
          </w:p>
        </w:tc>
        <w:tc>
          <w:tcPr>
            <w:tcW w:w="706" w:type="dxa"/>
            <w:tcBorders>
              <w:top w:val="single" w:sz="4" w:space="0" w:color="auto"/>
              <w:left w:val="single" w:sz="4" w:space="0" w:color="auto"/>
              <w:bottom w:val="single" w:sz="4" w:space="0" w:color="auto"/>
              <w:right w:val="single" w:sz="4" w:space="0" w:color="auto"/>
            </w:tcBorders>
            <w:shd w:val="clear" w:color="auto" w:fill="D9D9D9"/>
            <w:vAlign w:val="center"/>
          </w:tcPr>
          <w:p w14:paraId="1D9FE3F2" w14:textId="77777777" w:rsidR="00DF358A" w:rsidRPr="004E13E9" w:rsidRDefault="00DF358A" w:rsidP="007E20D4">
            <w:pPr>
              <w:widowControl w:val="0"/>
              <w:contextualSpacing/>
              <w:jc w:val="center"/>
              <w:rPr>
                <w:rFonts w:ascii="Cambria" w:hAnsi="Cambria"/>
                <w:sz w:val="14"/>
                <w:szCs w:val="14"/>
              </w:rPr>
            </w:pPr>
          </w:p>
        </w:tc>
        <w:tc>
          <w:tcPr>
            <w:tcW w:w="681" w:type="dxa"/>
            <w:tcBorders>
              <w:top w:val="single" w:sz="4" w:space="0" w:color="auto"/>
              <w:left w:val="single" w:sz="4" w:space="0" w:color="auto"/>
              <w:bottom w:val="single" w:sz="4" w:space="0" w:color="auto"/>
              <w:right w:val="single" w:sz="4" w:space="0" w:color="auto"/>
            </w:tcBorders>
            <w:shd w:val="clear" w:color="auto" w:fill="D9D9D9"/>
          </w:tcPr>
          <w:p w14:paraId="19F87B21" w14:textId="77777777" w:rsidR="00DF358A" w:rsidRPr="004E13E9" w:rsidRDefault="00DF358A" w:rsidP="007E20D4">
            <w:pPr>
              <w:contextualSpacing/>
              <w:jc w:val="center"/>
              <w:rPr>
                <w:rFonts w:ascii="Cambria" w:hAnsi="Cambria"/>
                <w:sz w:val="14"/>
                <w:szCs w:val="14"/>
              </w:rPr>
            </w:pPr>
          </w:p>
        </w:tc>
        <w:tc>
          <w:tcPr>
            <w:tcW w:w="681" w:type="dxa"/>
            <w:tcBorders>
              <w:top w:val="single" w:sz="4" w:space="0" w:color="auto"/>
              <w:left w:val="single" w:sz="4" w:space="0" w:color="auto"/>
              <w:bottom w:val="single" w:sz="4" w:space="0" w:color="auto"/>
              <w:right w:val="single" w:sz="4" w:space="0" w:color="auto"/>
            </w:tcBorders>
            <w:shd w:val="clear" w:color="auto" w:fill="D9D9D9"/>
          </w:tcPr>
          <w:p w14:paraId="6C986E03" w14:textId="77777777" w:rsidR="00DF358A" w:rsidRPr="004E13E9" w:rsidRDefault="00DF358A" w:rsidP="007E20D4">
            <w:pPr>
              <w:widowControl w:val="0"/>
              <w:contextualSpacing/>
              <w:jc w:val="center"/>
              <w:rPr>
                <w:rFonts w:ascii="Cambria" w:hAnsi="Cambria"/>
                <w:sz w:val="14"/>
                <w:szCs w:val="14"/>
              </w:rPr>
            </w:pPr>
          </w:p>
        </w:tc>
        <w:tc>
          <w:tcPr>
            <w:tcW w:w="78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EC15ECE" w14:textId="77777777" w:rsidR="00DF358A" w:rsidRPr="004E13E9" w:rsidRDefault="00DF358A" w:rsidP="007E20D4">
            <w:pPr>
              <w:contextualSpacing/>
              <w:jc w:val="center"/>
              <w:rPr>
                <w:rFonts w:ascii="Cambria" w:hAnsi="Cambria"/>
                <w:b/>
                <w:sz w:val="14"/>
                <w:szCs w:val="14"/>
              </w:rPr>
            </w:pPr>
            <w:r w:rsidRPr="004E13E9">
              <w:rPr>
                <w:rFonts w:ascii="Cambria" w:hAnsi="Cambria"/>
                <w:b/>
                <w:sz w:val="14"/>
                <w:szCs w:val="14"/>
              </w:rPr>
              <w:t>12.883</w:t>
            </w:r>
          </w:p>
        </w:tc>
        <w:tc>
          <w:tcPr>
            <w:tcW w:w="75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B5EC619" w14:textId="77777777" w:rsidR="00DF358A" w:rsidRPr="004E13E9" w:rsidRDefault="00DF358A" w:rsidP="007E20D4">
            <w:pPr>
              <w:contextualSpacing/>
              <w:jc w:val="center"/>
              <w:rPr>
                <w:rFonts w:ascii="Cambria" w:hAnsi="Cambria" w:cs="Arial"/>
                <w:b/>
                <w:bCs/>
                <w:sz w:val="14"/>
                <w:szCs w:val="14"/>
              </w:rPr>
            </w:pPr>
            <w:r w:rsidRPr="004E13E9">
              <w:rPr>
                <w:rFonts w:ascii="Cambria" w:hAnsi="Cambria"/>
                <w:b/>
                <w:sz w:val="14"/>
                <w:szCs w:val="14"/>
              </w:rPr>
              <w:t>17.044</w:t>
            </w:r>
          </w:p>
        </w:tc>
        <w:tc>
          <w:tcPr>
            <w:tcW w:w="8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DE28EF1" w14:textId="77777777" w:rsidR="00DF358A" w:rsidRPr="004E13E9" w:rsidRDefault="00DF358A" w:rsidP="007E20D4">
            <w:pPr>
              <w:contextualSpacing/>
              <w:jc w:val="center"/>
              <w:rPr>
                <w:rFonts w:ascii="Cambria" w:hAnsi="Cambria"/>
                <w:b/>
                <w:bCs/>
                <w:sz w:val="14"/>
                <w:szCs w:val="14"/>
              </w:rPr>
            </w:pPr>
            <w:r w:rsidRPr="004E13E9">
              <w:rPr>
                <w:rFonts w:ascii="Cambria" w:hAnsi="Cambria"/>
                <w:b/>
                <w:sz w:val="14"/>
                <w:szCs w:val="14"/>
              </w:rPr>
              <w:t>15.850</w:t>
            </w:r>
          </w:p>
        </w:tc>
        <w:tc>
          <w:tcPr>
            <w:tcW w:w="88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926F91" w14:textId="77777777" w:rsidR="00DF358A" w:rsidRPr="004E13E9" w:rsidRDefault="00DF358A" w:rsidP="007E20D4">
            <w:pPr>
              <w:contextualSpacing/>
              <w:jc w:val="center"/>
              <w:rPr>
                <w:rFonts w:ascii="Cambria" w:eastAsia="Times New Roman" w:hAnsi="Cambria" w:cs="Arial"/>
                <w:b/>
                <w:bCs/>
                <w:sz w:val="14"/>
                <w:szCs w:val="14"/>
              </w:rPr>
            </w:pPr>
            <w:r w:rsidRPr="004E13E9">
              <w:rPr>
                <w:rFonts w:ascii="Cambria" w:hAnsi="Cambria"/>
                <w:b/>
                <w:sz w:val="14"/>
                <w:szCs w:val="14"/>
              </w:rPr>
              <w:t>21.503</w:t>
            </w:r>
          </w:p>
        </w:tc>
        <w:tc>
          <w:tcPr>
            <w:tcW w:w="85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7CEFA78" w14:textId="77777777" w:rsidR="00DF358A" w:rsidRPr="004E13E9" w:rsidRDefault="00DF358A" w:rsidP="007E20D4">
            <w:pPr>
              <w:contextualSpacing/>
              <w:jc w:val="center"/>
              <w:rPr>
                <w:rFonts w:ascii="Cambria" w:hAnsi="Cambria"/>
                <w:b/>
                <w:bCs/>
                <w:sz w:val="14"/>
                <w:szCs w:val="14"/>
              </w:rPr>
            </w:pPr>
            <w:r w:rsidRPr="004E13E9">
              <w:rPr>
                <w:rFonts w:ascii="Cambria" w:hAnsi="Cambria"/>
                <w:b/>
                <w:sz w:val="14"/>
                <w:szCs w:val="14"/>
              </w:rPr>
              <w:t>21.503</w:t>
            </w:r>
          </w:p>
        </w:tc>
        <w:tc>
          <w:tcPr>
            <w:tcW w:w="9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A6BC3E8" w14:textId="77777777" w:rsidR="00DF358A" w:rsidRPr="004E13E9" w:rsidRDefault="00DF358A" w:rsidP="007E20D4">
            <w:pPr>
              <w:spacing w:line="256" w:lineRule="auto"/>
              <w:contextualSpacing/>
              <w:jc w:val="center"/>
              <w:rPr>
                <w:rFonts w:ascii="Cambria" w:eastAsia="Cambria" w:hAnsi="Cambria" w:cs="Cambria"/>
                <w:sz w:val="14"/>
                <w:szCs w:val="14"/>
              </w:rPr>
            </w:pPr>
            <w:r w:rsidRPr="004E13E9">
              <w:rPr>
                <w:rFonts w:ascii="Cambria" w:hAnsi="Cambria"/>
                <w:b/>
                <w:sz w:val="14"/>
                <w:szCs w:val="14"/>
              </w:rPr>
              <w:t>21.503</w:t>
            </w:r>
          </w:p>
        </w:tc>
        <w:tc>
          <w:tcPr>
            <w:tcW w:w="7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3476DDA" w14:textId="77777777" w:rsidR="00DF358A" w:rsidRPr="004E13E9" w:rsidRDefault="00DF358A" w:rsidP="007E20D4">
            <w:pPr>
              <w:widowControl w:val="0"/>
              <w:spacing w:line="256" w:lineRule="auto"/>
              <w:contextualSpacing/>
              <w:jc w:val="center"/>
              <w:rPr>
                <w:rFonts w:ascii="Cambria" w:hAnsi="Cambria"/>
                <w:b/>
                <w:bCs/>
                <w:sz w:val="14"/>
                <w:szCs w:val="14"/>
              </w:rPr>
            </w:pPr>
            <w:r w:rsidRPr="004E13E9">
              <w:rPr>
                <w:rFonts w:ascii="Cambria" w:hAnsi="Cambria"/>
                <w:b/>
                <w:sz w:val="14"/>
                <w:szCs w:val="14"/>
              </w:rPr>
              <w:t>25.164</w:t>
            </w:r>
          </w:p>
        </w:tc>
      </w:tr>
      <w:tr w:rsidR="00DF358A" w:rsidRPr="004E13E9" w14:paraId="173C15DB" w14:textId="77777777" w:rsidTr="00BB4F69">
        <w:trPr>
          <w:trHeight w:val="276"/>
          <w:jc w:val="center"/>
        </w:trPr>
        <w:tc>
          <w:tcPr>
            <w:tcW w:w="2438" w:type="dxa"/>
            <w:tcBorders>
              <w:top w:val="single" w:sz="4" w:space="0" w:color="auto"/>
              <w:left w:val="single" w:sz="4" w:space="0" w:color="auto"/>
              <w:bottom w:val="single" w:sz="4" w:space="0" w:color="auto"/>
              <w:right w:val="single" w:sz="4" w:space="0" w:color="auto"/>
            </w:tcBorders>
            <w:noWrap/>
            <w:vAlign w:val="center"/>
            <w:hideMark/>
          </w:tcPr>
          <w:p w14:paraId="2EDA45D2" w14:textId="77777777" w:rsidR="00DF358A" w:rsidRPr="004E13E9" w:rsidRDefault="00DF358A" w:rsidP="007E20D4">
            <w:pPr>
              <w:contextualSpacing/>
              <w:rPr>
                <w:rFonts w:ascii="Cambria" w:hAnsi="Cambria"/>
                <w:b/>
                <w:bCs/>
                <w:sz w:val="14"/>
                <w:szCs w:val="14"/>
              </w:rPr>
            </w:pPr>
            <w:r w:rsidRPr="004E13E9">
              <w:rPr>
                <w:rFonts w:ascii="Cambria" w:hAnsi="Cambria"/>
                <w:b/>
                <w:sz w:val="14"/>
                <w:szCs w:val="14"/>
              </w:rPr>
              <w:t>Pourcentage alloué aux prises accessoires</w:t>
            </w:r>
          </w:p>
        </w:tc>
        <w:tc>
          <w:tcPr>
            <w:tcW w:w="1190" w:type="dxa"/>
            <w:tcBorders>
              <w:top w:val="single" w:sz="4" w:space="0" w:color="auto"/>
              <w:left w:val="single" w:sz="4" w:space="0" w:color="auto"/>
              <w:bottom w:val="single" w:sz="4" w:space="0" w:color="auto"/>
              <w:right w:val="single" w:sz="4" w:space="0" w:color="auto"/>
            </w:tcBorders>
            <w:noWrap/>
            <w:vAlign w:val="center"/>
          </w:tcPr>
          <w:p w14:paraId="06B5598B" w14:textId="77777777" w:rsidR="00DF358A" w:rsidRPr="004E13E9" w:rsidRDefault="00DF358A" w:rsidP="007E20D4">
            <w:pPr>
              <w:contextualSpacing/>
              <w:jc w:val="right"/>
              <w:rPr>
                <w:rFonts w:ascii="Cambria" w:hAnsi="Cambria" w:cs="Arial"/>
                <w:sz w:val="14"/>
                <w:szCs w:val="14"/>
              </w:rPr>
            </w:pPr>
          </w:p>
        </w:tc>
        <w:tc>
          <w:tcPr>
            <w:tcW w:w="609" w:type="dxa"/>
            <w:tcBorders>
              <w:top w:val="single" w:sz="4" w:space="0" w:color="auto"/>
              <w:left w:val="single" w:sz="4" w:space="0" w:color="auto"/>
              <w:bottom w:val="single" w:sz="4" w:space="0" w:color="auto"/>
              <w:right w:val="single" w:sz="4" w:space="0" w:color="auto"/>
            </w:tcBorders>
          </w:tcPr>
          <w:p w14:paraId="7638CB36" w14:textId="77777777" w:rsidR="00DF358A" w:rsidRPr="004E13E9" w:rsidRDefault="00DF358A" w:rsidP="007E20D4">
            <w:pPr>
              <w:contextualSpacing/>
              <w:jc w:val="center"/>
              <w:rPr>
                <w:rFonts w:ascii="Cambria" w:hAnsi="Cambria" w:cs="Arial"/>
                <w:sz w:val="14"/>
                <w:szCs w:val="14"/>
              </w:rPr>
            </w:pPr>
          </w:p>
        </w:tc>
        <w:tc>
          <w:tcPr>
            <w:tcW w:w="706" w:type="dxa"/>
            <w:tcBorders>
              <w:top w:val="single" w:sz="4" w:space="0" w:color="auto"/>
              <w:left w:val="single" w:sz="4" w:space="0" w:color="auto"/>
              <w:bottom w:val="single" w:sz="4" w:space="0" w:color="auto"/>
              <w:right w:val="single" w:sz="4" w:space="0" w:color="auto"/>
            </w:tcBorders>
            <w:noWrap/>
            <w:vAlign w:val="center"/>
          </w:tcPr>
          <w:p w14:paraId="7BD8CCC7" w14:textId="77777777" w:rsidR="00DF358A" w:rsidRPr="004E13E9" w:rsidRDefault="00DF358A" w:rsidP="007E20D4">
            <w:pPr>
              <w:contextualSpacing/>
              <w:jc w:val="center"/>
              <w:rPr>
                <w:rFonts w:ascii="Cambria" w:hAnsi="Cambria" w:cs="Arial"/>
                <w:sz w:val="14"/>
                <w:szCs w:val="14"/>
              </w:rPr>
            </w:pPr>
          </w:p>
        </w:tc>
        <w:tc>
          <w:tcPr>
            <w:tcW w:w="633" w:type="dxa"/>
            <w:tcBorders>
              <w:top w:val="single" w:sz="4" w:space="0" w:color="auto"/>
              <w:left w:val="single" w:sz="4" w:space="0" w:color="auto"/>
              <w:bottom w:val="single" w:sz="4" w:space="0" w:color="auto"/>
              <w:right w:val="single" w:sz="4" w:space="0" w:color="auto"/>
            </w:tcBorders>
          </w:tcPr>
          <w:p w14:paraId="4734D95E" w14:textId="77777777" w:rsidR="00DF358A" w:rsidRPr="004E13E9" w:rsidRDefault="00DF358A" w:rsidP="007E20D4">
            <w:pPr>
              <w:contextualSpacing/>
              <w:jc w:val="center"/>
              <w:rPr>
                <w:rFonts w:ascii="Cambria" w:hAnsi="Cambria" w:cs="Arial"/>
                <w:sz w:val="14"/>
                <w:szCs w:val="14"/>
              </w:rPr>
            </w:pPr>
          </w:p>
        </w:tc>
        <w:tc>
          <w:tcPr>
            <w:tcW w:w="706" w:type="dxa"/>
            <w:tcBorders>
              <w:top w:val="single" w:sz="4" w:space="0" w:color="auto"/>
              <w:left w:val="single" w:sz="4" w:space="0" w:color="auto"/>
              <w:bottom w:val="single" w:sz="4" w:space="0" w:color="auto"/>
              <w:right w:val="single" w:sz="4" w:space="0" w:color="auto"/>
            </w:tcBorders>
            <w:vAlign w:val="center"/>
          </w:tcPr>
          <w:p w14:paraId="5183B45A" w14:textId="77777777" w:rsidR="00DF358A" w:rsidRPr="004E13E9" w:rsidRDefault="00DF358A" w:rsidP="007E20D4">
            <w:pPr>
              <w:contextualSpacing/>
              <w:jc w:val="center"/>
              <w:rPr>
                <w:rFonts w:ascii="Cambria" w:hAnsi="Cambria" w:cs="Arial"/>
                <w:sz w:val="14"/>
                <w:szCs w:val="14"/>
              </w:rPr>
            </w:pPr>
          </w:p>
        </w:tc>
        <w:tc>
          <w:tcPr>
            <w:tcW w:w="706" w:type="dxa"/>
            <w:tcBorders>
              <w:top w:val="single" w:sz="4" w:space="0" w:color="auto"/>
              <w:left w:val="single" w:sz="4" w:space="0" w:color="auto"/>
              <w:bottom w:val="single" w:sz="4" w:space="0" w:color="auto"/>
              <w:right w:val="single" w:sz="4" w:space="0" w:color="auto"/>
            </w:tcBorders>
            <w:vAlign w:val="center"/>
          </w:tcPr>
          <w:p w14:paraId="44AACC4B" w14:textId="77777777" w:rsidR="00DF358A" w:rsidRPr="004E13E9" w:rsidRDefault="00DF358A" w:rsidP="007E20D4">
            <w:pPr>
              <w:widowControl w:val="0"/>
              <w:contextualSpacing/>
              <w:jc w:val="center"/>
              <w:rPr>
                <w:rFonts w:ascii="Cambria" w:hAnsi="Cambria" w:cs="Arial"/>
                <w:sz w:val="14"/>
                <w:szCs w:val="14"/>
              </w:rPr>
            </w:pPr>
          </w:p>
        </w:tc>
        <w:tc>
          <w:tcPr>
            <w:tcW w:w="681" w:type="dxa"/>
            <w:tcBorders>
              <w:top w:val="single" w:sz="4" w:space="0" w:color="auto"/>
              <w:left w:val="single" w:sz="4" w:space="0" w:color="auto"/>
              <w:bottom w:val="single" w:sz="4" w:space="0" w:color="auto"/>
              <w:right w:val="single" w:sz="4" w:space="0" w:color="auto"/>
            </w:tcBorders>
          </w:tcPr>
          <w:p w14:paraId="676C2CCA" w14:textId="77777777" w:rsidR="00DF358A" w:rsidRPr="004E13E9" w:rsidRDefault="00DF358A" w:rsidP="007E20D4">
            <w:pPr>
              <w:contextualSpacing/>
              <w:jc w:val="center"/>
              <w:rPr>
                <w:rFonts w:ascii="Cambria" w:hAnsi="Cambria" w:cs="Arial"/>
                <w:sz w:val="14"/>
                <w:szCs w:val="14"/>
              </w:rPr>
            </w:pPr>
          </w:p>
        </w:tc>
        <w:tc>
          <w:tcPr>
            <w:tcW w:w="681" w:type="dxa"/>
            <w:tcBorders>
              <w:top w:val="single" w:sz="4" w:space="0" w:color="auto"/>
              <w:left w:val="single" w:sz="4" w:space="0" w:color="auto"/>
              <w:bottom w:val="single" w:sz="4" w:space="0" w:color="auto"/>
              <w:right w:val="single" w:sz="4" w:space="0" w:color="auto"/>
            </w:tcBorders>
          </w:tcPr>
          <w:p w14:paraId="3BFF2F87" w14:textId="77777777" w:rsidR="00DF358A" w:rsidRPr="004E13E9" w:rsidRDefault="00DF358A" w:rsidP="007E20D4">
            <w:pPr>
              <w:widowControl w:val="0"/>
              <w:contextualSpacing/>
              <w:jc w:val="center"/>
              <w:rPr>
                <w:rFonts w:ascii="Cambria" w:hAnsi="Cambria"/>
                <w:sz w:val="14"/>
                <w:szCs w:val="14"/>
              </w:rPr>
            </w:pPr>
          </w:p>
        </w:tc>
        <w:tc>
          <w:tcPr>
            <w:tcW w:w="786" w:type="dxa"/>
            <w:tcBorders>
              <w:top w:val="single" w:sz="4" w:space="0" w:color="auto"/>
              <w:left w:val="single" w:sz="4" w:space="0" w:color="auto"/>
              <w:bottom w:val="single" w:sz="4" w:space="0" w:color="auto"/>
              <w:right w:val="single" w:sz="4" w:space="0" w:color="auto"/>
            </w:tcBorders>
            <w:vAlign w:val="center"/>
          </w:tcPr>
          <w:p w14:paraId="47CF2855" w14:textId="77777777" w:rsidR="00DF358A" w:rsidRPr="004E13E9" w:rsidRDefault="00DF358A" w:rsidP="007E20D4">
            <w:pPr>
              <w:contextualSpacing/>
              <w:jc w:val="center"/>
              <w:rPr>
                <w:rFonts w:ascii="Cambria" w:hAnsi="Cambria"/>
                <w:b/>
                <w:sz w:val="14"/>
                <w:szCs w:val="14"/>
              </w:rPr>
            </w:pPr>
          </w:p>
        </w:tc>
        <w:tc>
          <w:tcPr>
            <w:tcW w:w="758" w:type="dxa"/>
            <w:tcBorders>
              <w:top w:val="single" w:sz="4" w:space="0" w:color="auto"/>
              <w:left w:val="single" w:sz="4" w:space="0" w:color="auto"/>
              <w:bottom w:val="single" w:sz="4" w:space="0" w:color="auto"/>
              <w:right w:val="single" w:sz="4" w:space="0" w:color="auto"/>
            </w:tcBorders>
            <w:noWrap/>
            <w:vAlign w:val="center"/>
          </w:tcPr>
          <w:p w14:paraId="714B19FF" w14:textId="77777777" w:rsidR="00DF358A" w:rsidRPr="004E13E9" w:rsidRDefault="00DF358A" w:rsidP="007E20D4">
            <w:pPr>
              <w:contextualSpacing/>
              <w:jc w:val="center"/>
              <w:rPr>
                <w:rFonts w:ascii="Cambria" w:hAnsi="Cambria" w:cs="Arial"/>
                <w:sz w:val="14"/>
                <w:szCs w:val="14"/>
              </w:rPr>
            </w:pPr>
          </w:p>
        </w:tc>
        <w:tc>
          <w:tcPr>
            <w:tcW w:w="876" w:type="dxa"/>
            <w:tcBorders>
              <w:top w:val="single" w:sz="4" w:space="0" w:color="auto"/>
              <w:left w:val="single" w:sz="4" w:space="0" w:color="auto"/>
              <w:bottom w:val="single" w:sz="4" w:space="0" w:color="auto"/>
              <w:right w:val="single" w:sz="4" w:space="0" w:color="auto"/>
            </w:tcBorders>
            <w:vAlign w:val="center"/>
          </w:tcPr>
          <w:p w14:paraId="693132A9" w14:textId="77777777" w:rsidR="00DF358A" w:rsidRPr="004E13E9" w:rsidRDefault="00DF358A" w:rsidP="007E20D4">
            <w:pPr>
              <w:contextualSpacing/>
              <w:jc w:val="center"/>
              <w:rPr>
                <w:rFonts w:ascii="Cambria" w:hAnsi="Cambria" w:cs="Arial"/>
                <w:b/>
                <w:bCs/>
                <w:sz w:val="14"/>
                <w:szCs w:val="14"/>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1F71744F" w14:textId="77777777" w:rsidR="00DF358A" w:rsidRPr="004E13E9" w:rsidRDefault="00DF358A" w:rsidP="007E20D4">
            <w:pPr>
              <w:contextualSpacing/>
              <w:jc w:val="center"/>
              <w:rPr>
                <w:rFonts w:ascii="Cambria" w:eastAsia="Times New Roman" w:hAnsi="Cambria" w:cs="Arial"/>
                <w:sz w:val="14"/>
                <w:szCs w:val="14"/>
              </w:rPr>
            </w:pPr>
            <w:r w:rsidRPr="004E13E9">
              <w:rPr>
                <w:rFonts w:ascii="Cambria" w:hAnsi="Cambria"/>
                <w:sz w:val="14"/>
                <w:szCs w:val="14"/>
              </w:rPr>
              <w:t>2,89%</w:t>
            </w:r>
          </w:p>
        </w:tc>
        <w:tc>
          <w:tcPr>
            <w:tcW w:w="858" w:type="dxa"/>
            <w:tcBorders>
              <w:top w:val="single" w:sz="4" w:space="0" w:color="auto"/>
              <w:left w:val="single" w:sz="4" w:space="0" w:color="auto"/>
              <w:bottom w:val="single" w:sz="4" w:space="0" w:color="auto"/>
              <w:right w:val="single" w:sz="4" w:space="0" w:color="auto"/>
            </w:tcBorders>
            <w:vAlign w:val="center"/>
            <w:hideMark/>
          </w:tcPr>
          <w:p w14:paraId="5E87B84A"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4,6%</w:t>
            </w:r>
          </w:p>
        </w:tc>
        <w:tc>
          <w:tcPr>
            <w:tcW w:w="944" w:type="dxa"/>
            <w:tcBorders>
              <w:top w:val="single" w:sz="4" w:space="0" w:color="auto"/>
              <w:left w:val="single" w:sz="4" w:space="0" w:color="auto"/>
              <w:bottom w:val="single" w:sz="4" w:space="0" w:color="auto"/>
              <w:right w:val="single" w:sz="4" w:space="0" w:color="auto"/>
            </w:tcBorders>
            <w:vAlign w:val="center"/>
            <w:hideMark/>
          </w:tcPr>
          <w:p w14:paraId="17B5D490"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w:t>
            </w:r>
          </w:p>
        </w:tc>
        <w:tc>
          <w:tcPr>
            <w:tcW w:w="793" w:type="dxa"/>
            <w:tcBorders>
              <w:top w:val="single" w:sz="4" w:space="0" w:color="auto"/>
              <w:left w:val="single" w:sz="4" w:space="0" w:color="auto"/>
              <w:bottom w:val="single" w:sz="4" w:space="0" w:color="auto"/>
              <w:right w:val="single" w:sz="4" w:space="0" w:color="auto"/>
            </w:tcBorders>
            <w:vAlign w:val="center"/>
            <w:hideMark/>
          </w:tcPr>
          <w:p w14:paraId="35A85E72"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cstheme="majorBidi"/>
                <w:sz w:val="16"/>
                <w:szCs w:val="16"/>
              </w:rPr>
              <w:t>1,92%</w:t>
            </w:r>
          </w:p>
        </w:tc>
      </w:tr>
      <w:tr w:rsidR="00DF358A" w:rsidRPr="004E13E9" w14:paraId="331DB242" w14:textId="77777777" w:rsidTr="00BB4F69">
        <w:trPr>
          <w:trHeight w:val="253"/>
          <w:jc w:val="center"/>
        </w:trPr>
        <w:tc>
          <w:tcPr>
            <w:tcW w:w="2438" w:type="dxa"/>
            <w:tcBorders>
              <w:top w:val="single" w:sz="4" w:space="0" w:color="auto"/>
              <w:left w:val="single" w:sz="4" w:space="0" w:color="auto"/>
              <w:bottom w:val="single" w:sz="4" w:space="0" w:color="auto"/>
              <w:right w:val="single" w:sz="4" w:space="0" w:color="auto"/>
            </w:tcBorders>
            <w:noWrap/>
            <w:vAlign w:val="center"/>
            <w:hideMark/>
          </w:tcPr>
          <w:p w14:paraId="771F2F3F" w14:textId="77777777" w:rsidR="00DF358A" w:rsidRPr="004E13E9" w:rsidRDefault="00DF358A" w:rsidP="007E20D4">
            <w:pPr>
              <w:widowControl w:val="0"/>
              <w:contextualSpacing/>
              <w:rPr>
                <w:rFonts w:ascii="Cambria" w:hAnsi="Cambria"/>
                <w:b/>
                <w:bCs/>
                <w:sz w:val="14"/>
                <w:szCs w:val="14"/>
              </w:rPr>
            </w:pPr>
            <w:r w:rsidRPr="004E13E9">
              <w:rPr>
                <w:rFonts w:ascii="Cambria" w:hAnsi="Cambria"/>
                <w:b/>
                <w:sz w:val="14"/>
                <w:szCs w:val="14"/>
              </w:rPr>
              <w:t>Allocation aux prises accessoires</w:t>
            </w:r>
          </w:p>
        </w:tc>
        <w:tc>
          <w:tcPr>
            <w:tcW w:w="1190" w:type="dxa"/>
            <w:tcBorders>
              <w:top w:val="single" w:sz="4" w:space="0" w:color="auto"/>
              <w:left w:val="single" w:sz="4" w:space="0" w:color="auto"/>
              <w:bottom w:val="single" w:sz="4" w:space="0" w:color="auto"/>
              <w:right w:val="single" w:sz="4" w:space="0" w:color="auto"/>
            </w:tcBorders>
            <w:noWrap/>
            <w:vAlign w:val="center"/>
          </w:tcPr>
          <w:p w14:paraId="0264890A" w14:textId="77777777" w:rsidR="00DF358A" w:rsidRPr="004E13E9" w:rsidRDefault="00DF358A" w:rsidP="007E20D4">
            <w:pPr>
              <w:widowControl w:val="0"/>
              <w:contextualSpacing/>
              <w:jc w:val="right"/>
              <w:rPr>
                <w:rFonts w:ascii="Cambria" w:hAnsi="Cambria"/>
                <w:sz w:val="14"/>
                <w:szCs w:val="14"/>
              </w:rPr>
            </w:pPr>
          </w:p>
        </w:tc>
        <w:tc>
          <w:tcPr>
            <w:tcW w:w="609" w:type="dxa"/>
            <w:tcBorders>
              <w:top w:val="single" w:sz="4" w:space="0" w:color="auto"/>
              <w:left w:val="single" w:sz="4" w:space="0" w:color="auto"/>
              <w:bottom w:val="single" w:sz="4" w:space="0" w:color="auto"/>
              <w:right w:val="single" w:sz="4" w:space="0" w:color="auto"/>
            </w:tcBorders>
          </w:tcPr>
          <w:p w14:paraId="65E9EF91" w14:textId="77777777" w:rsidR="00DF358A" w:rsidRPr="004E13E9" w:rsidRDefault="00DF358A" w:rsidP="007E20D4">
            <w:pPr>
              <w:widowControl w:val="0"/>
              <w:contextualSpacing/>
              <w:jc w:val="center"/>
              <w:rPr>
                <w:rFonts w:ascii="Cambria" w:hAnsi="Cambria"/>
                <w:sz w:val="14"/>
                <w:szCs w:val="14"/>
              </w:rPr>
            </w:pPr>
          </w:p>
        </w:tc>
        <w:tc>
          <w:tcPr>
            <w:tcW w:w="706" w:type="dxa"/>
            <w:tcBorders>
              <w:top w:val="single" w:sz="4" w:space="0" w:color="auto"/>
              <w:left w:val="single" w:sz="4" w:space="0" w:color="auto"/>
              <w:bottom w:val="single" w:sz="4" w:space="0" w:color="auto"/>
              <w:right w:val="single" w:sz="4" w:space="0" w:color="auto"/>
            </w:tcBorders>
            <w:noWrap/>
            <w:vAlign w:val="center"/>
          </w:tcPr>
          <w:p w14:paraId="5A986A97" w14:textId="77777777" w:rsidR="00DF358A" w:rsidRPr="004E13E9" w:rsidRDefault="00DF358A" w:rsidP="007E20D4">
            <w:pPr>
              <w:widowControl w:val="0"/>
              <w:contextualSpacing/>
              <w:jc w:val="center"/>
              <w:rPr>
                <w:rFonts w:ascii="Cambria" w:hAnsi="Cambria"/>
                <w:sz w:val="14"/>
                <w:szCs w:val="14"/>
              </w:rPr>
            </w:pPr>
          </w:p>
        </w:tc>
        <w:tc>
          <w:tcPr>
            <w:tcW w:w="633" w:type="dxa"/>
            <w:tcBorders>
              <w:top w:val="single" w:sz="4" w:space="0" w:color="auto"/>
              <w:left w:val="single" w:sz="4" w:space="0" w:color="auto"/>
              <w:bottom w:val="single" w:sz="4" w:space="0" w:color="auto"/>
              <w:right w:val="single" w:sz="4" w:space="0" w:color="auto"/>
            </w:tcBorders>
          </w:tcPr>
          <w:p w14:paraId="243DF654" w14:textId="77777777" w:rsidR="00DF358A" w:rsidRPr="004E13E9" w:rsidRDefault="00DF358A" w:rsidP="007E20D4">
            <w:pPr>
              <w:widowControl w:val="0"/>
              <w:contextualSpacing/>
              <w:jc w:val="center"/>
              <w:rPr>
                <w:rFonts w:ascii="Cambria" w:hAnsi="Cambria"/>
                <w:sz w:val="14"/>
                <w:szCs w:val="14"/>
              </w:rPr>
            </w:pPr>
          </w:p>
        </w:tc>
        <w:tc>
          <w:tcPr>
            <w:tcW w:w="706" w:type="dxa"/>
            <w:tcBorders>
              <w:top w:val="single" w:sz="4" w:space="0" w:color="auto"/>
              <w:left w:val="single" w:sz="4" w:space="0" w:color="auto"/>
              <w:bottom w:val="single" w:sz="4" w:space="0" w:color="auto"/>
              <w:right w:val="single" w:sz="4" w:space="0" w:color="auto"/>
            </w:tcBorders>
            <w:vAlign w:val="center"/>
          </w:tcPr>
          <w:p w14:paraId="781FB553" w14:textId="77777777" w:rsidR="00DF358A" w:rsidRPr="004E13E9" w:rsidRDefault="00DF358A" w:rsidP="007E20D4">
            <w:pPr>
              <w:widowControl w:val="0"/>
              <w:contextualSpacing/>
              <w:jc w:val="center"/>
              <w:rPr>
                <w:rFonts w:ascii="Cambria" w:hAnsi="Cambria"/>
                <w:sz w:val="14"/>
                <w:szCs w:val="14"/>
              </w:rPr>
            </w:pPr>
          </w:p>
        </w:tc>
        <w:tc>
          <w:tcPr>
            <w:tcW w:w="706" w:type="dxa"/>
            <w:tcBorders>
              <w:top w:val="single" w:sz="4" w:space="0" w:color="auto"/>
              <w:left w:val="single" w:sz="4" w:space="0" w:color="auto"/>
              <w:bottom w:val="single" w:sz="4" w:space="0" w:color="auto"/>
              <w:right w:val="single" w:sz="4" w:space="0" w:color="auto"/>
            </w:tcBorders>
            <w:vAlign w:val="center"/>
          </w:tcPr>
          <w:p w14:paraId="737C35EC" w14:textId="77777777" w:rsidR="00DF358A" w:rsidRPr="004E13E9" w:rsidRDefault="00DF358A" w:rsidP="007E20D4">
            <w:pPr>
              <w:widowControl w:val="0"/>
              <w:contextualSpacing/>
              <w:jc w:val="center"/>
              <w:rPr>
                <w:rFonts w:ascii="Cambria" w:hAnsi="Cambria"/>
                <w:sz w:val="14"/>
                <w:szCs w:val="14"/>
              </w:rPr>
            </w:pPr>
          </w:p>
        </w:tc>
        <w:tc>
          <w:tcPr>
            <w:tcW w:w="681" w:type="dxa"/>
            <w:tcBorders>
              <w:top w:val="single" w:sz="4" w:space="0" w:color="auto"/>
              <w:left w:val="single" w:sz="4" w:space="0" w:color="auto"/>
              <w:bottom w:val="single" w:sz="4" w:space="0" w:color="auto"/>
              <w:right w:val="single" w:sz="4" w:space="0" w:color="auto"/>
            </w:tcBorders>
          </w:tcPr>
          <w:p w14:paraId="7F2D99D7" w14:textId="77777777" w:rsidR="00DF358A" w:rsidRPr="004E13E9" w:rsidRDefault="00DF358A" w:rsidP="007E20D4">
            <w:pPr>
              <w:widowControl w:val="0"/>
              <w:contextualSpacing/>
              <w:jc w:val="center"/>
              <w:rPr>
                <w:rFonts w:ascii="Cambria" w:hAnsi="Cambria"/>
                <w:sz w:val="14"/>
                <w:szCs w:val="14"/>
              </w:rPr>
            </w:pPr>
          </w:p>
        </w:tc>
        <w:tc>
          <w:tcPr>
            <w:tcW w:w="681" w:type="dxa"/>
            <w:tcBorders>
              <w:top w:val="single" w:sz="4" w:space="0" w:color="auto"/>
              <w:left w:val="single" w:sz="4" w:space="0" w:color="auto"/>
              <w:bottom w:val="single" w:sz="4" w:space="0" w:color="auto"/>
              <w:right w:val="single" w:sz="4" w:space="0" w:color="auto"/>
            </w:tcBorders>
          </w:tcPr>
          <w:p w14:paraId="1373B7BB" w14:textId="77777777" w:rsidR="00DF358A" w:rsidRPr="004E13E9" w:rsidRDefault="00DF358A" w:rsidP="007E20D4">
            <w:pPr>
              <w:widowControl w:val="0"/>
              <w:contextualSpacing/>
              <w:jc w:val="center"/>
              <w:rPr>
                <w:rFonts w:ascii="Cambria" w:hAnsi="Cambria"/>
                <w:sz w:val="14"/>
                <w:szCs w:val="14"/>
              </w:rPr>
            </w:pPr>
          </w:p>
        </w:tc>
        <w:tc>
          <w:tcPr>
            <w:tcW w:w="786" w:type="dxa"/>
            <w:tcBorders>
              <w:top w:val="single" w:sz="4" w:space="0" w:color="auto"/>
              <w:left w:val="single" w:sz="4" w:space="0" w:color="auto"/>
              <w:bottom w:val="single" w:sz="4" w:space="0" w:color="auto"/>
              <w:right w:val="single" w:sz="4" w:space="0" w:color="auto"/>
            </w:tcBorders>
            <w:vAlign w:val="center"/>
          </w:tcPr>
          <w:p w14:paraId="595C46B1" w14:textId="77777777" w:rsidR="00DF358A" w:rsidRPr="004E13E9" w:rsidRDefault="00DF358A" w:rsidP="007E20D4">
            <w:pPr>
              <w:widowControl w:val="0"/>
              <w:contextualSpacing/>
              <w:jc w:val="center"/>
              <w:rPr>
                <w:rFonts w:ascii="Cambria" w:hAnsi="Cambria"/>
                <w:b/>
                <w:bCs/>
                <w:sz w:val="14"/>
                <w:szCs w:val="14"/>
              </w:rPr>
            </w:pPr>
          </w:p>
        </w:tc>
        <w:tc>
          <w:tcPr>
            <w:tcW w:w="758" w:type="dxa"/>
            <w:tcBorders>
              <w:top w:val="single" w:sz="4" w:space="0" w:color="auto"/>
              <w:left w:val="single" w:sz="4" w:space="0" w:color="auto"/>
              <w:bottom w:val="single" w:sz="4" w:space="0" w:color="auto"/>
              <w:right w:val="single" w:sz="4" w:space="0" w:color="auto"/>
            </w:tcBorders>
            <w:noWrap/>
            <w:vAlign w:val="center"/>
          </w:tcPr>
          <w:p w14:paraId="4410D243" w14:textId="77777777" w:rsidR="00DF358A" w:rsidRPr="004E13E9" w:rsidRDefault="00DF358A" w:rsidP="007E20D4">
            <w:pPr>
              <w:widowControl w:val="0"/>
              <w:contextualSpacing/>
              <w:jc w:val="center"/>
              <w:rPr>
                <w:rFonts w:ascii="Cambria" w:hAnsi="Cambria"/>
                <w:sz w:val="14"/>
                <w:szCs w:val="14"/>
              </w:rPr>
            </w:pPr>
          </w:p>
        </w:tc>
        <w:tc>
          <w:tcPr>
            <w:tcW w:w="876" w:type="dxa"/>
            <w:tcBorders>
              <w:top w:val="single" w:sz="4" w:space="0" w:color="auto"/>
              <w:left w:val="single" w:sz="4" w:space="0" w:color="auto"/>
              <w:bottom w:val="single" w:sz="4" w:space="0" w:color="auto"/>
              <w:right w:val="single" w:sz="4" w:space="0" w:color="auto"/>
            </w:tcBorders>
            <w:vAlign w:val="center"/>
          </w:tcPr>
          <w:p w14:paraId="545F25A3" w14:textId="77777777" w:rsidR="00DF358A" w:rsidRPr="004E13E9" w:rsidRDefault="00DF358A" w:rsidP="007E20D4">
            <w:pPr>
              <w:widowControl w:val="0"/>
              <w:contextualSpacing/>
              <w:jc w:val="center"/>
              <w:rPr>
                <w:rFonts w:ascii="Cambria" w:hAnsi="Cambria"/>
                <w:b/>
                <w:bCs/>
                <w:sz w:val="14"/>
                <w:szCs w:val="14"/>
              </w:rPr>
            </w:pPr>
          </w:p>
        </w:tc>
        <w:tc>
          <w:tcPr>
            <w:tcW w:w="885" w:type="dxa"/>
            <w:tcBorders>
              <w:top w:val="single" w:sz="4" w:space="0" w:color="auto"/>
              <w:left w:val="single" w:sz="4" w:space="0" w:color="auto"/>
              <w:bottom w:val="single" w:sz="4" w:space="0" w:color="auto"/>
              <w:right w:val="single" w:sz="4" w:space="0" w:color="auto"/>
            </w:tcBorders>
            <w:vAlign w:val="center"/>
          </w:tcPr>
          <w:p w14:paraId="6133BB20" w14:textId="77777777" w:rsidR="00DF358A" w:rsidRPr="004E13E9" w:rsidRDefault="00DF358A" w:rsidP="007E20D4">
            <w:pPr>
              <w:widowControl w:val="0"/>
              <w:contextualSpacing/>
              <w:jc w:val="center"/>
              <w:rPr>
                <w:rFonts w:ascii="Cambria" w:hAnsi="Cambria"/>
                <w:sz w:val="14"/>
                <w:szCs w:val="14"/>
              </w:rPr>
            </w:pPr>
          </w:p>
        </w:tc>
        <w:tc>
          <w:tcPr>
            <w:tcW w:w="858" w:type="dxa"/>
            <w:tcBorders>
              <w:top w:val="single" w:sz="4" w:space="0" w:color="auto"/>
              <w:left w:val="single" w:sz="4" w:space="0" w:color="auto"/>
              <w:bottom w:val="single" w:sz="4" w:space="0" w:color="auto"/>
              <w:right w:val="single" w:sz="4" w:space="0" w:color="auto"/>
            </w:tcBorders>
            <w:vAlign w:val="center"/>
          </w:tcPr>
          <w:p w14:paraId="189E9D75" w14:textId="77777777" w:rsidR="00DF358A" w:rsidRPr="004E13E9" w:rsidRDefault="00DF358A" w:rsidP="007E20D4">
            <w:pPr>
              <w:widowControl w:val="0"/>
              <w:contextualSpacing/>
              <w:jc w:val="center"/>
              <w:rPr>
                <w:rFonts w:ascii="Cambria" w:hAnsi="Cambria"/>
                <w:sz w:val="14"/>
                <w:szCs w:val="14"/>
              </w:rPr>
            </w:pPr>
          </w:p>
        </w:tc>
        <w:tc>
          <w:tcPr>
            <w:tcW w:w="944" w:type="dxa"/>
            <w:tcBorders>
              <w:top w:val="single" w:sz="4" w:space="0" w:color="auto"/>
              <w:left w:val="single" w:sz="4" w:space="0" w:color="auto"/>
              <w:bottom w:val="single" w:sz="4" w:space="0" w:color="auto"/>
              <w:right w:val="single" w:sz="4" w:space="0" w:color="auto"/>
            </w:tcBorders>
            <w:vAlign w:val="center"/>
          </w:tcPr>
          <w:p w14:paraId="180B5B63" w14:textId="77777777" w:rsidR="00DF358A" w:rsidRPr="004E13E9" w:rsidRDefault="00DF358A" w:rsidP="007E20D4">
            <w:pPr>
              <w:widowControl w:val="0"/>
              <w:contextualSpacing/>
              <w:jc w:val="center"/>
              <w:rPr>
                <w:rFonts w:ascii="Cambria" w:hAnsi="Cambria"/>
                <w:sz w:val="14"/>
                <w:szCs w:val="14"/>
              </w:rPr>
            </w:pPr>
          </w:p>
        </w:tc>
        <w:tc>
          <w:tcPr>
            <w:tcW w:w="793" w:type="dxa"/>
            <w:tcBorders>
              <w:top w:val="single" w:sz="4" w:space="0" w:color="auto"/>
              <w:left w:val="single" w:sz="4" w:space="0" w:color="auto"/>
              <w:bottom w:val="single" w:sz="4" w:space="0" w:color="auto"/>
              <w:right w:val="single" w:sz="4" w:space="0" w:color="auto"/>
            </w:tcBorders>
            <w:vAlign w:val="center"/>
            <w:hideMark/>
          </w:tcPr>
          <w:p w14:paraId="06BD9C31"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cstheme="majorBidi"/>
                <w:color w:val="auto"/>
                <w:sz w:val="16"/>
                <w:szCs w:val="16"/>
              </w:rPr>
              <w:t>483</w:t>
            </w:r>
          </w:p>
        </w:tc>
      </w:tr>
      <w:tr w:rsidR="00DF358A" w:rsidRPr="004E13E9" w14:paraId="473A7E97" w14:textId="77777777" w:rsidTr="00BB4F69">
        <w:trPr>
          <w:trHeight w:val="215"/>
          <w:jc w:val="center"/>
        </w:trPr>
        <w:tc>
          <w:tcPr>
            <w:tcW w:w="243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54C5922" w14:textId="77777777" w:rsidR="00DF358A" w:rsidRPr="004E13E9" w:rsidRDefault="00DF358A" w:rsidP="007E20D4">
            <w:pPr>
              <w:contextualSpacing/>
              <w:rPr>
                <w:rFonts w:ascii="Cambria" w:hAnsi="Cambria"/>
                <w:b/>
                <w:bCs/>
                <w:sz w:val="14"/>
                <w:szCs w:val="14"/>
              </w:rPr>
            </w:pPr>
            <w:r w:rsidRPr="004E13E9">
              <w:rPr>
                <w:rFonts w:ascii="Cambria" w:hAnsi="Cambria"/>
                <w:b/>
                <w:sz w:val="14"/>
                <w:szCs w:val="14"/>
              </w:rPr>
              <w:t>Quota ajusté (le cas échéant)</w:t>
            </w:r>
          </w:p>
        </w:tc>
        <w:tc>
          <w:tcPr>
            <w:tcW w:w="119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D0427F2" w14:textId="77777777" w:rsidR="00DF358A" w:rsidRPr="004E13E9" w:rsidRDefault="00DF358A" w:rsidP="007E20D4">
            <w:pPr>
              <w:contextualSpacing/>
              <w:jc w:val="right"/>
              <w:rPr>
                <w:rFonts w:ascii="Cambria" w:hAnsi="Cambria" w:cs="Arial"/>
                <w:sz w:val="14"/>
                <w:szCs w:val="14"/>
              </w:rPr>
            </w:pPr>
            <w:r w:rsidRPr="004E13E9">
              <w:rPr>
                <w:rFonts w:ascii="Cambria" w:hAnsi="Cambria"/>
                <w:sz w:val="14"/>
                <w:szCs w:val="14"/>
              </w:rPr>
              <w:t> </w:t>
            </w:r>
          </w:p>
        </w:tc>
        <w:tc>
          <w:tcPr>
            <w:tcW w:w="609" w:type="dxa"/>
            <w:tcBorders>
              <w:top w:val="single" w:sz="4" w:space="0" w:color="auto"/>
              <w:left w:val="single" w:sz="4" w:space="0" w:color="auto"/>
              <w:bottom w:val="single" w:sz="4" w:space="0" w:color="auto"/>
              <w:right w:val="single" w:sz="4" w:space="0" w:color="auto"/>
            </w:tcBorders>
            <w:shd w:val="clear" w:color="auto" w:fill="D9D9D9"/>
          </w:tcPr>
          <w:p w14:paraId="137D4A68" w14:textId="77777777" w:rsidR="00DF358A" w:rsidRPr="004E13E9" w:rsidRDefault="00DF358A" w:rsidP="007E20D4">
            <w:pPr>
              <w:contextualSpacing/>
              <w:jc w:val="center"/>
              <w:rPr>
                <w:rFonts w:ascii="Cambria" w:hAnsi="Cambria" w:cs="Arial"/>
                <w:sz w:val="14"/>
                <w:szCs w:val="14"/>
              </w:rPr>
            </w:pPr>
          </w:p>
        </w:tc>
        <w:tc>
          <w:tcPr>
            <w:tcW w:w="706"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89C22F1" w14:textId="77777777" w:rsidR="00DF358A" w:rsidRPr="004E13E9" w:rsidRDefault="00DF358A" w:rsidP="007E20D4">
            <w:pPr>
              <w:widowControl w:val="0"/>
              <w:contextualSpacing/>
              <w:jc w:val="both"/>
              <w:rPr>
                <w:rFonts w:ascii="Cambria" w:hAnsi="Cambria" w:cs="Arial"/>
                <w:sz w:val="14"/>
                <w:szCs w:val="14"/>
              </w:rPr>
            </w:pPr>
          </w:p>
        </w:tc>
        <w:tc>
          <w:tcPr>
            <w:tcW w:w="633" w:type="dxa"/>
            <w:tcBorders>
              <w:top w:val="single" w:sz="4" w:space="0" w:color="auto"/>
              <w:left w:val="single" w:sz="4" w:space="0" w:color="auto"/>
              <w:bottom w:val="single" w:sz="4" w:space="0" w:color="auto"/>
              <w:right w:val="single" w:sz="4" w:space="0" w:color="auto"/>
            </w:tcBorders>
            <w:shd w:val="clear" w:color="auto" w:fill="D9D9D9"/>
          </w:tcPr>
          <w:p w14:paraId="28F54301" w14:textId="77777777" w:rsidR="00DF358A" w:rsidRPr="004E13E9" w:rsidRDefault="00DF358A" w:rsidP="007E20D4">
            <w:pPr>
              <w:contextualSpacing/>
              <w:jc w:val="center"/>
              <w:rPr>
                <w:rFonts w:ascii="Cambria" w:hAnsi="Cambria" w:cs="Arial"/>
                <w:sz w:val="14"/>
                <w:szCs w:val="14"/>
              </w:rPr>
            </w:pPr>
          </w:p>
        </w:tc>
        <w:tc>
          <w:tcPr>
            <w:tcW w:w="70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41853D4" w14:textId="77777777" w:rsidR="00DF358A" w:rsidRPr="004E13E9" w:rsidRDefault="00DF358A" w:rsidP="007E20D4">
            <w:pPr>
              <w:widowControl w:val="0"/>
              <w:contextualSpacing/>
              <w:jc w:val="both"/>
              <w:rPr>
                <w:rFonts w:ascii="Cambria" w:hAnsi="Cambria" w:cs="Arial"/>
                <w:sz w:val="14"/>
                <w:szCs w:val="14"/>
              </w:rPr>
            </w:pPr>
          </w:p>
        </w:tc>
        <w:tc>
          <w:tcPr>
            <w:tcW w:w="706" w:type="dxa"/>
            <w:tcBorders>
              <w:top w:val="single" w:sz="4" w:space="0" w:color="auto"/>
              <w:left w:val="single" w:sz="4" w:space="0" w:color="auto"/>
              <w:bottom w:val="single" w:sz="4" w:space="0" w:color="auto"/>
              <w:right w:val="single" w:sz="4" w:space="0" w:color="auto"/>
            </w:tcBorders>
            <w:shd w:val="clear" w:color="auto" w:fill="D9D9D9"/>
            <w:vAlign w:val="center"/>
          </w:tcPr>
          <w:p w14:paraId="1454DD63" w14:textId="77777777" w:rsidR="00DF358A" w:rsidRPr="004E13E9" w:rsidRDefault="00DF358A" w:rsidP="007E20D4">
            <w:pPr>
              <w:widowControl w:val="0"/>
              <w:contextualSpacing/>
              <w:jc w:val="center"/>
              <w:rPr>
                <w:rFonts w:ascii="Cambria" w:hAnsi="Cambria" w:cs="Arial"/>
                <w:sz w:val="14"/>
                <w:szCs w:val="14"/>
              </w:rPr>
            </w:pPr>
          </w:p>
        </w:tc>
        <w:tc>
          <w:tcPr>
            <w:tcW w:w="681" w:type="dxa"/>
            <w:tcBorders>
              <w:top w:val="single" w:sz="4" w:space="0" w:color="auto"/>
              <w:left w:val="single" w:sz="4" w:space="0" w:color="auto"/>
              <w:bottom w:val="single" w:sz="4" w:space="0" w:color="auto"/>
              <w:right w:val="single" w:sz="4" w:space="0" w:color="auto"/>
            </w:tcBorders>
            <w:shd w:val="clear" w:color="auto" w:fill="D9D9D9"/>
          </w:tcPr>
          <w:p w14:paraId="16BDCBA0" w14:textId="77777777" w:rsidR="00DF358A" w:rsidRPr="004E13E9" w:rsidRDefault="00DF358A" w:rsidP="007E20D4">
            <w:pPr>
              <w:contextualSpacing/>
              <w:jc w:val="center"/>
              <w:rPr>
                <w:rFonts w:ascii="Cambria" w:hAnsi="Cambria" w:cs="Arial"/>
                <w:sz w:val="14"/>
                <w:szCs w:val="14"/>
              </w:rPr>
            </w:pPr>
          </w:p>
        </w:tc>
        <w:tc>
          <w:tcPr>
            <w:tcW w:w="681" w:type="dxa"/>
            <w:tcBorders>
              <w:top w:val="single" w:sz="4" w:space="0" w:color="auto"/>
              <w:left w:val="single" w:sz="4" w:space="0" w:color="auto"/>
              <w:bottom w:val="single" w:sz="4" w:space="0" w:color="auto"/>
              <w:right w:val="single" w:sz="4" w:space="0" w:color="auto"/>
            </w:tcBorders>
            <w:shd w:val="clear" w:color="auto" w:fill="D9D9D9"/>
          </w:tcPr>
          <w:p w14:paraId="0A39767F" w14:textId="77777777" w:rsidR="00DF358A" w:rsidRPr="004E13E9" w:rsidRDefault="00DF358A" w:rsidP="007E20D4">
            <w:pPr>
              <w:widowControl w:val="0"/>
              <w:contextualSpacing/>
              <w:jc w:val="center"/>
              <w:rPr>
                <w:rFonts w:ascii="Cambria" w:hAnsi="Cambria"/>
                <w:sz w:val="14"/>
                <w:szCs w:val="14"/>
              </w:rPr>
            </w:pPr>
          </w:p>
        </w:tc>
        <w:tc>
          <w:tcPr>
            <w:tcW w:w="786" w:type="dxa"/>
            <w:tcBorders>
              <w:top w:val="single" w:sz="4" w:space="0" w:color="auto"/>
              <w:left w:val="single" w:sz="4" w:space="0" w:color="auto"/>
              <w:bottom w:val="single" w:sz="4" w:space="0" w:color="auto"/>
              <w:right w:val="single" w:sz="4" w:space="0" w:color="auto"/>
            </w:tcBorders>
            <w:shd w:val="clear" w:color="auto" w:fill="D9D9D9"/>
            <w:vAlign w:val="center"/>
          </w:tcPr>
          <w:p w14:paraId="5983908B" w14:textId="77777777" w:rsidR="00DF358A" w:rsidRPr="004E13E9" w:rsidRDefault="00DF358A" w:rsidP="007E20D4">
            <w:pPr>
              <w:contextualSpacing/>
              <w:jc w:val="center"/>
              <w:rPr>
                <w:rFonts w:ascii="Cambria" w:hAnsi="Cambria"/>
                <w:b/>
                <w:sz w:val="14"/>
                <w:szCs w:val="14"/>
              </w:rPr>
            </w:pPr>
          </w:p>
        </w:tc>
        <w:tc>
          <w:tcPr>
            <w:tcW w:w="75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74D1D5B"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16.211</w:t>
            </w:r>
          </w:p>
        </w:tc>
        <w:tc>
          <w:tcPr>
            <w:tcW w:w="8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6C055F"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15.850</w:t>
            </w:r>
          </w:p>
        </w:tc>
        <w:tc>
          <w:tcPr>
            <w:tcW w:w="88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F16FB22" w14:textId="77777777" w:rsidR="00DF358A" w:rsidRPr="004E13E9" w:rsidRDefault="00DF358A" w:rsidP="007E20D4">
            <w:pPr>
              <w:contextualSpacing/>
              <w:jc w:val="center"/>
              <w:rPr>
                <w:rFonts w:ascii="Cambria" w:eastAsia="Times New Roman" w:hAnsi="Cambria" w:cs="Arial"/>
                <w:sz w:val="14"/>
                <w:szCs w:val="14"/>
              </w:rPr>
            </w:pPr>
            <w:r w:rsidRPr="004E13E9">
              <w:rPr>
                <w:rFonts w:ascii="Cambria" w:hAnsi="Cambria"/>
                <w:sz w:val="14"/>
                <w:szCs w:val="14"/>
              </w:rPr>
              <w:t>20.882</w:t>
            </w:r>
          </w:p>
        </w:tc>
        <w:tc>
          <w:tcPr>
            <w:tcW w:w="85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FAD173A"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21.414</w:t>
            </w:r>
          </w:p>
        </w:tc>
        <w:tc>
          <w:tcPr>
            <w:tcW w:w="9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60D7AC"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20.917</w:t>
            </w:r>
          </w:p>
        </w:tc>
        <w:tc>
          <w:tcPr>
            <w:tcW w:w="7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3EC5E4"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26.240</w:t>
            </w:r>
            <w:r w:rsidRPr="004E13E9">
              <w:rPr>
                <w:rFonts w:ascii="Cambria" w:hAnsi="Cambria"/>
                <w:sz w:val="14"/>
                <w:szCs w:val="14"/>
                <w:vertAlign w:val="superscript"/>
              </w:rPr>
              <w:footnoteReference w:id="20"/>
            </w:r>
          </w:p>
        </w:tc>
      </w:tr>
      <w:tr w:rsidR="00DF358A" w:rsidRPr="004E13E9" w14:paraId="1601BBDE" w14:textId="77777777" w:rsidTr="00BB4F69">
        <w:trPr>
          <w:trHeight w:val="275"/>
          <w:jc w:val="center"/>
        </w:trPr>
        <w:tc>
          <w:tcPr>
            <w:tcW w:w="2438" w:type="dxa"/>
            <w:tcBorders>
              <w:top w:val="single" w:sz="4" w:space="0" w:color="auto"/>
              <w:left w:val="single" w:sz="4" w:space="0" w:color="auto"/>
              <w:bottom w:val="single" w:sz="4" w:space="0" w:color="auto"/>
              <w:right w:val="single" w:sz="4" w:space="0" w:color="auto"/>
            </w:tcBorders>
            <w:vAlign w:val="center"/>
            <w:hideMark/>
          </w:tcPr>
          <w:p w14:paraId="2A173AA1" w14:textId="77777777" w:rsidR="00DF358A" w:rsidRPr="004E13E9" w:rsidRDefault="00DF358A" w:rsidP="007E20D4">
            <w:pPr>
              <w:widowControl w:val="0"/>
              <w:contextualSpacing/>
              <w:rPr>
                <w:rFonts w:ascii="Cambria" w:hAnsi="Cambria"/>
                <w:b/>
                <w:bCs/>
                <w:sz w:val="14"/>
                <w:szCs w:val="14"/>
              </w:rPr>
            </w:pPr>
            <w:r w:rsidRPr="004E13E9">
              <w:rPr>
                <w:rFonts w:ascii="Cambria" w:hAnsi="Cambria"/>
                <w:b/>
                <w:sz w:val="14"/>
                <w:szCs w:val="14"/>
              </w:rPr>
              <w:t>Quota de recherche scientifique (le cas échéant)</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5830E8CF" w14:textId="77777777" w:rsidR="00DF358A" w:rsidRPr="004E13E9" w:rsidRDefault="00DF358A" w:rsidP="007E20D4">
            <w:pPr>
              <w:widowControl w:val="0"/>
              <w:contextualSpacing/>
              <w:jc w:val="both"/>
              <w:rPr>
                <w:rFonts w:ascii="Cambria" w:hAnsi="Cambria"/>
                <w:b/>
                <w:bCs/>
                <w:sz w:val="14"/>
                <w:szCs w:val="14"/>
              </w:rPr>
            </w:pPr>
          </w:p>
        </w:tc>
        <w:tc>
          <w:tcPr>
            <w:tcW w:w="609" w:type="dxa"/>
            <w:tcBorders>
              <w:top w:val="single" w:sz="4" w:space="0" w:color="auto"/>
              <w:left w:val="single" w:sz="4" w:space="0" w:color="auto"/>
              <w:bottom w:val="single" w:sz="4" w:space="0" w:color="auto"/>
              <w:right w:val="single" w:sz="4" w:space="0" w:color="auto"/>
            </w:tcBorders>
          </w:tcPr>
          <w:p w14:paraId="6760417C" w14:textId="77777777" w:rsidR="00DF358A" w:rsidRPr="004E13E9" w:rsidRDefault="00DF358A" w:rsidP="007E20D4">
            <w:pPr>
              <w:widowControl w:val="0"/>
              <w:contextualSpacing/>
              <w:jc w:val="center"/>
              <w:rPr>
                <w:rFonts w:ascii="Cambria" w:hAnsi="Cambria"/>
                <w:b/>
                <w:bCs/>
                <w:sz w:val="14"/>
                <w:szCs w:val="14"/>
              </w:rPr>
            </w:pP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72BD2EA6" w14:textId="77777777" w:rsidR="00DF358A" w:rsidRPr="004E13E9" w:rsidRDefault="00DF358A" w:rsidP="007E20D4">
            <w:pPr>
              <w:widowControl w:val="0"/>
              <w:contextualSpacing/>
              <w:jc w:val="both"/>
              <w:rPr>
                <w:rFonts w:ascii="Cambria" w:hAnsi="Cambria"/>
                <w:b/>
                <w:bCs/>
                <w:sz w:val="14"/>
                <w:szCs w:val="14"/>
              </w:rPr>
            </w:pPr>
          </w:p>
        </w:tc>
        <w:tc>
          <w:tcPr>
            <w:tcW w:w="633" w:type="dxa"/>
            <w:tcBorders>
              <w:top w:val="single" w:sz="4" w:space="0" w:color="auto"/>
              <w:left w:val="single" w:sz="4" w:space="0" w:color="auto"/>
              <w:bottom w:val="single" w:sz="4" w:space="0" w:color="auto"/>
              <w:right w:val="single" w:sz="4" w:space="0" w:color="auto"/>
            </w:tcBorders>
          </w:tcPr>
          <w:p w14:paraId="5EB39921" w14:textId="77777777" w:rsidR="00DF358A" w:rsidRPr="004E13E9" w:rsidRDefault="00DF358A" w:rsidP="007E20D4">
            <w:pPr>
              <w:widowControl w:val="0"/>
              <w:contextualSpacing/>
              <w:jc w:val="center"/>
              <w:rPr>
                <w:rFonts w:ascii="Cambria" w:hAnsi="Cambria"/>
                <w:b/>
                <w:bCs/>
                <w:sz w:val="14"/>
                <w:szCs w:val="14"/>
              </w:rPr>
            </w:pP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2B066686" w14:textId="77777777" w:rsidR="00DF358A" w:rsidRPr="004E13E9" w:rsidRDefault="00DF358A" w:rsidP="007E20D4">
            <w:pPr>
              <w:widowControl w:val="0"/>
              <w:contextualSpacing/>
              <w:jc w:val="both"/>
              <w:rPr>
                <w:rFonts w:ascii="Cambria" w:hAnsi="Cambria"/>
                <w:b/>
                <w:bCs/>
                <w:sz w:val="14"/>
                <w:szCs w:val="14"/>
              </w:rPr>
            </w:pPr>
          </w:p>
        </w:tc>
        <w:tc>
          <w:tcPr>
            <w:tcW w:w="706" w:type="dxa"/>
            <w:tcBorders>
              <w:top w:val="single" w:sz="4" w:space="0" w:color="auto"/>
              <w:left w:val="single" w:sz="4" w:space="0" w:color="auto"/>
              <w:bottom w:val="single" w:sz="4" w:space="0" w:color="auto"/>
              <w:right w:val="single" w:sz="4" w:space="0" w:color="auto"/>
            </w:tcBorders>
            <w:vAlign w:val="center"/>
          </w:tcPr>
          <w:p w14:paraId="2F97ECDC" w14:textId="77777777" w:rsidR="00DF358A" w:rsidRPr="004E13E9" w:rsidRDefault="00DF358A" w:rsidP="007E20D4">
            <w:pPr>
              <w:widowControl w:val="0"/>
              <w:contextualSpacing/>
              <w:jc w:val="center"/>
              <w:rPr>
                <w:rFonts w:ascii="Cambria" w:hAnsi="Cambria"/>
                <w:b/>
                <w:bCs/>
                <w:sz w:val="14"/>
                <w:szCs w:val="14"/>
              </w:rPr>
            </w:pPr>
          </w:p>
        </w:tc>
        <w:tc>
          <w:tcPr>
            <w:tcW w:w="681" w:type="dxa"/>
            <w:tcBorders>
              <w:top w:val="single" w:sz="4" w:space="0" w:color="auto"/>
              <w:left w:val="single" w:sz="4" w:space="0" w:color="auto"/>
              <w:bottom w:val="single" w:sz="4" w:space="0" w:color="auto"/>
              <w:right w:val="single" w:sz="4" w:space="0" w:color="auto"/>
            </w:tcBorders>
          </w:tcPr>
          <w:p w14:paraId="72668704" w14:textId="77777777" w:rsidR="00DF358A" w:rsidRPr="004E13E9" w:rsidRDefault="00DF358A" w:rsidP="007E20D4">
            <w:pPr>
              <w:widowControl w:val="0"/>
              <w:contextualSpacing/>
              <w:jc w:val="center"/>
              <w:rPr>
                <w:rFonts w:ascii="Cambria" w:hAnsi="Cambria"/>
                <w:b/>
                <w:bCs/>
                <w:sz w:val="14"/>
                <w:szCs w:val="14"/>
              </w:rPr>
            </w:pPr>
          </w:p>
        </w:tc>
        <w:tc>
          <w:tcPr>
            <w:tcW w:w="681" w:type="dxa"/>
            <w:tcBorders>
              <w:top w:val="single" w:sz="4" w:space="0" w:color="auto"/>
              <w:left w:val="single" w:sz="4" w:space="0" w:color="auto"/>
              <w:bottom w:val="single" w:sz="4" w:space="0" w:color="auto"/>
              <w:right w:val="single" w:sz="4" w:space="0" w:color="auto"/>
            </w:tcBorders>
          </w:tcPr>
          <w:p w14:paraId="62568F26" w14:textId="77777777" w:rsidR="00DF358A" w:rsidRPr="004E13E9" w:rsidRDefault="00DF358A" w:rsidP="007E20D4">
            <w:pPr>
              <w:widowControl w:val="0"/>
              <w:contextualSpacing/>
              <w:jc w:val="center"/>
              <w:rPr>
                <w:rFonts w:ascii="Cambria" w:hAnsi="Cambria"/>
                <w:b/>
                <w:bCs/>
                <w:sz w:val="14"/>
                <w:szCs w:val="14"/>
              </w:rPr>
            </w:pPr>
          </w:p>
        </w:tc>
        <w:tc>
          <w:tcPr>
            <w:tcW w:w="786" w:type="dxa"/>
            <w:tcBorders>
              <w:top w:val="single" w:sz="4" w:space="0" w:color="auto"/>
              <w:left w:val="single" w:sz="4" w:space="0" w:color="auto"/>
              <w:bottom w:val="single" w:sz="4" w:space="0" w:color="auto"/>
              <w:right w:val="single" w:sz="4" w:space="0" w:color="auto"/>
            </w:tcBorders>
            <w:vAlign w:val="center"/>
          </w:tcPr>
          <w:p w14:paraId="2DBE97D2" w14:textId="77777777" w:rsidR="00DF358A" w:rsidRPr="004E13E9" w:rsidRDefault="00DF358A" w:rsidP="007E20D4">
            <w:pPr>
              <w:widowControl w:val="0"/>
              <w:contextualSpacing/>
              <w:jc w:val="center"/>
              <w:rPr>
                <w:rFonts w:ascii="Cambria" w:hAnsi="Cambria"/>
                <w:b/>
                <w:bCs/>
                <w:sz w:val="14"/>
                <w:szCs w:val="14"/>
              </w:rPr>
            </w:pP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03D3262A" w14:textId="77777777" w:rsidR="00DF358A" w:rsidRPr="004E13E9" w:rsidRDefault="00DF358A" w:rsidP="007E20D4">
            <w:pPr>
              <w:widowControl w:val="0"/>
              <w:contextualSpacing/>
              <w:jc w:val="both"/>
              <w:rPr>
                <w:rFonts w:ascii="Cambria" w:hAnsi="Cambria"/>
                <w:b/>
                <w:bCs/>
                <w:sz w:val="14"/>
                <w:szCs w:val="14"/>
              </w:rPr>
            </w:pPr>
          </w:p>
        </w:tc>
        <w:tc>
          <w:tcPr>
            <w:tcW w:w="876" w:type="dxa"/>
            <w:tcBorders>
              <w:top w:val="single" w:sz="4" w:space="0" w:color="auto"/>
              <w:left w:val="single" w:sz="4" w:space="0" w:color="auto"/>
              <w:bottom w:val="single" w:sz="4" w:space="0" w:color="auto"/>
              <w:right w:val="single" w:sz="4" w:space="0" w:color="auto"/>
            </w:tcBorders>
            <w:vAlign w:val="center"/>
          </w:tcPr>
          <w:p w14:paraId="566BC8B0" w14:textId="77777777" w:rsidR="00DF358A" w:rsidRPr="004E13E9" w:rsidRDefault="00DF358A" w:rsidP="007E20D4">
            <w:pPr>
              <w:widowControl w:val="0"/>
              <w:contextualSpacing/>
              <w:jc w:val="center"/>
              <w:rPr>
                <w:rFonts w:ascii="Cambria" w:hAnsi="Cambria"/>
                <w:b/>
                <w:bCs/>
                <w:sz w:val="14"/>
                <w:szCs w:val="14"/>
              </w:rPr>
            </w:pPr>
          </w:p>
        </w:tc>
        <w:tc>
          <w:tcPr>
            <w:tcW w:w="885" w:type="dxa"/>
            <w:tcBorders>
              <w:top w:val="single" w:sz="4" w:space="0" w:color="auto"/>
              <w:left w:val="single" w:sz="4" w:space="0" w:color="auto"/>
              <w:bottom w:val="single" w:sz="4" w:space="0" w:color="auto"/>
              <w:right w:val="single" w:sz="4" w:space="0" w:color="auto"/>
            </w:tcBorders>
            <w:vAlign w:val="center"/>
          </w:tcPr>
          <w:p w14:paraId="7FFEE0F3" w14:textId="77777777" w:rsidR="00DF358A" w:rsidRPr="004E13E9" w:rsidRDefault="00DF358A" w:rsidP="007E20D4">
            <w:pPr>
              <w:widowControl w:val="0"/>
              <w:contextualSpacing/>
              <w:jc w:val="center"/>
              <w:rPr>
                <w:rFonts w:ascii="Cambria" w:hAnsi="Cambria"/>
                <w:sz w:val="14"/>
                <w:szCs w:val="14"/>
              </w:rPr>
            </w:pPr>
          </w:p>
        </w:tc>
        <w:tc>
          <w:tcPr>
            <w:tcW w:w="858" w:type="dxa"/>
            <w:tcBorders>
              <w:top w:val="single" w:sz="4" w:space="0" w:color="auto"/>
              <w:left w:val="single" w:sz="4" w:space="0" w:color="auto"/>
              <w:bottom w:val="single" w:sz="4" w:space="0" w:color="auto"/>
              <w:right w:val="single" w:sz="4" w:space="0" w:color="auto"/>
            </w:tcBorders>
            <w:vAlign w:val="center"/>
          </w:tcPr>
          <w:p w14:paraId="7008C263" w14:textId="77777777" w:rsidR="00DF358A" w:rsidRPr="004E13E9" w:rsidRDefault="00DF358A" w:rsidP="007E20D4">
            <w:pPr>
              <w:widowControl w:val="0"/>
              <w:contextualSpacing/>
              <w:jc w:val="center"/>
              <w:rPr>
                <w:rFonts w:ascii="Cambria" w:hAnsi="Cambria"/>
                <w:sz w:val="14"/>
                <w:szCs w:val="14"/>
              </w:rPr>
            </w:pPr>
          </w:p>
        </w:tc>
        <w:tc>
          <w:tcPr>
            <w:tcW w:w="944" w:type="dxa"/>
            <w:tcBorders>
              <w:top w:val="single" w:sz="4" w:space="0" w:color="auto"/>
              <w:left w:val="single" w:sz="4" w:space="0" w:color="auto"/>
              <w:bottom w:val="single" w:sz="4" w:space="0" w:color="auto"/>
              <w:right w:val="single" w:sz="4" w:space="0" w:color="auto"/>
            </w:tcBorders>
            <w:vAlign w:val="center"/>
          </w:tcPr>
          <w:p w14:paraId="1B163066" w14:textId="77777777" w:rsidR="00DF358A" w:rsidRPr="004E13E9" w:rsidRDefault="00DF358A" w:rsidP="007E20D4">
            <w:pPr>
              <w:widowControl w:val="0"/>
              <w:contextualSpacing/>
              <w:jc w:val="center"/>
              <w:rPr>
                <w:rFonts w:ascii="Cambria" w:hAnsi="Cambria"/>
                <w:sz w:val="14"/>
                <w:szCs w:val="14"/>
              </w:rPr>
            </w:pPr>
          </w:p>
        </w:tc>
        <w:tc>
          <w:tcPr>
            <w:tcW w:w="793" w:type="dxa"/>
            <w:tcBorders>
              <w:top w:val="single" w:sz="4" w:space="0" w:color="auto"/>
              <w:left w:val="single" w:sz="4" w:space="0" w:color="auto"/>
              <w:bottom w:val="single" w:sz="4" w:space="0" w:color="auto"/>
              <w:right w:val="single" w:sz="4" w:space="0" w:color="auto"/>
            </w:tcBorders>
            <w:vAlign w:val="center"/>
            <w:hideMark/>
          </w:tcPr>
          <w:p w14:paraId="3D4B8A34"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1</w:t>
            </w:r>
          </w:p>
        </w:tc>
      </w:tr>
      <w:tr w:rsidR="00DF358A" w:rsidRPr="004E13E9" w14:paraId="7E5487FC" w14:textId="77777777" w:rsidTr="00BB4F69">
        <w:trPr>
          <w:trHeight w:val="310"/>
          <w:jc w:val="center"/>
        </w:trPr>
        <w:tc>
          <w:tcPr>
            <w:tcW w:w="2438" w:type="dxa"/>
            <w:tcBorders>
              <w:top w:val="single" w:sz="4" w:space="0" w:color="auto"/>
              <w:left w:val="single" w:sz="4" w:space="0" w:color="auto"/>
              <w:bottom w:val="single" w:sz="4" w:space="0" w:color="auto"/>
              <w:right w:val="single" w:sz="4" w:space="0" w:color="auto"/>
            </w:tcBorders>
            <w:vAlign w:val="center"/>
            <w:hideMark/>
          </w:tcPr>
          <w:p w14:paraId="5B90F85B" w14:textId="77777777" w:rsidR="00DF358A" w:rsidRPr="004E13E9" w:rsidRDefault="00DF358A" w:rsidP="007E20D4">
            <w:pPr>
              <w:contextualSpacing/>
              <w:rPr>
                <w:rFonts w:ascii="Cambria" w:hAnsi="Cambria"/>
                <w:b/>
                <w:bCs/>
                <w:sz w:val="14"/>
                <w:szCs w:val="14"/>
              </w:rPr>
            </w:pPr>
            <w:r w:rsidRPr="004E13E9">
              <w:rPr>
                <w:rFonts w:ascii="Cambria" w:hAnsi="Cambria"/>
                <w:b/>
                <w:sz w:val="14"/>
                <w:szCs w:val="14"/>
              </w:rPr>
              <w:t>Tolérance pour la pêche sportive/récréative (le cas échéant)</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6394AA8D" w14:textId="77777777" w:rsidR="00DF358A" w:rsidRPr="004E13E9" w:rsidRDefault="00DF358A" w:rsidP="007E20D4">
            <w:pPr>
              <w:contextualSpacing/>
              <w:jc w:val="right"/>
              <w:rPr>
                <w:rFonts w:ascii="Cambria" w:hAnsi="Cambria" w:cs="Arial"/>
                <w:b/>
                <w:bCs/>
                <w:sz w:val="14"/>
                <w:szCs w:val="14"/>
              </w:rPr>
            </w:pPr>
            <w:r w:rsidRPr="004E13E9">
              <w:rPr>
                <w:rFonts w:ascii="Cambria" w:hAnsi="Cambria"/>
                <w:b/>
                <w:sz w:val="14"/>
                <w:szCs w:val="14"/>
              </w:rPr>
              <w:t> </w:t>
            </w:r>
          </w:p>
        </w:tc>
        <w:tc>
          <w:tcPr>
            <w:tcW w:w="609" w:type="dxa"/>
            <w:tcBorders>
              <w:top w:val="single" w:sz="4" w:space="0" w:color="auto"/>
              <w:left w:val="single" w:sz="4" w:space="0" w:color="auto"/>
              <w:bottom w:val="single" w:sz="4" w:space="0" w:color="auto"/>
              <w:right w:val="single" w:sz="4" w:space="0" w:color="auto"/>
            </w:tcBorders>
          </w:tcPr>
          <w:p w14:paraId="595FC7DA" w14:textId="77777777" w:rsidR="00DF358A" w:rsidRPr="004E13E9" w:rsidRDefault="00DF358A" w:rsidP="007E20D4">
            <w:pPr>
              <w:contextualSpacing/>
              <w:jc w:val="center"/>
              <w:rPr>
                <w:rFonts w:ascii="Cambria" w:hAnsi="Cambria" w:cs="Arial"/>
                <w:b/>
                <w:bCs/>
                <w:sz w:val="14"/>
                <w:szCs w:val="14"/>
              </w:rPr>
            </w:pP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4A82CDDC" w14:textId="77777777" w:rsidR="00DF358A" w:rsidRPr="004E13E9" w:rsidRDefault="00DF358A" w:rsidP="007E20D4">
            <w:pPr>
              <w:widowControl w:val="0"/>
              <w:contextualSpacing/>
              <w:jc w:val="both"/>
              <w:rPr>
                <w:rFonts w:ascii="Cambria" w:hAnsi="Cambria" w:cs="Arial"/>
                <w:b/>
                <w:bCs/>
                <w:sz w:val="14"/>
                <w:szCs w:val="14"/>
              </w:rPr>
            </w:pPr>
          </w:p>
        </w:tc>
        <w:tc>
          <w:tcPr>
            <w:tcW w:w="633" w:type="dxa"/>
            <w:tcBorders>
              <w:top w:val="single" w:sz="4" w:space="0" w:color="auto"/>
              <w:left w:val="single" w:sz="4" w:space="0" w:color="auto"/>
              <w:bottom w:val="single" w:sz="4" w:space="0" w:color="auto"/>
              <w:right w:val="single" w:sz="4" w:space="0" w:color="auto"/>
            </w:tcBorders>
          </w:tcPr>
          <w:p w14:paraId="17205EB2" w14:textId="77777777" w:rsidR="00DF358A" w:rsidRPr="004E13E9" w:rsidRDefault="00DF358A" w:rsidP="007E20D4">
            <w:pPr>
              <w:contextualSpacing/>
              <w:jc w:val="center"/>
              <w:rPr>
                <w:rFonts w:ascii="Cambria" w:hAnsi="Cambria" w:cs="Arial"/>
                <w:b/>
                <w:bCs/>
                <w:sz w:val="14"/>
                <w:szCs w:val="14"/>
              </w:rPr>
            </w:pP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4FDD8A1C" w14:textId="77777777" w:rsidR="00DF358A" w:rsidRPr="004E13E9" w:rsidRDefault="00DF358A" w:rsidP="007E20D4">
            <w:pPr>
              <w:widowControl w:val="0"/>
              <w:contextualSpacing/>
              <w:jc w:val="both"/>
              <w:rPr>
                <w:rFonts w:ascii="Cambria" w:hAnsi="Cambria" w:cs="Arial"/>
                <w:b/>
                <w:bCs/>
                <w:sz w:val="14"/>
                <w:szCs w:val="14"/>
              </w:rPr>
            </w:pPr>
          </w:p>
        </w:tc>
        <w:tc>
          <w:tcPr>
            <w:tcW w:w="706" w:type="dxa"/>
            <w:tcBorders>
              <w:top w:val="single" w:sz="4" w:space="0" w:color="auto"/>
              <w:left w:val="single" w:sz="4" w:space="0" w:color="auto"/>
              <w:bottom w:val="single" w:sz="4" w:space="0" w:color="auto"/>
              <w:right w:val="single" w:sz="4" w:space="0" w:color="auto"/>
            </w:tcBorders>
            <w:vAlign w:val="center"/>
          </w:tcPr>
          <w:p w14:paraId="01083DE6" w14:textId="77777777" w:rsidR="00DF358A" w:rsidRPr="004E13E9" w:rsidRDefault="00DF358A" w:rsidP="007E20D4">
            <w:pPr>
              <w:widowControl w:val="0"/>
              <w:contextualSpacing/>
              <w:jc w:val="center"/>
              <w:rPr>
                <w:rFonts w:ascii="Cambria" w:hAnsi="Cambria" w:cs="Arial"/>
                <w:b/>
                <w:bCs/>
                <w:sz w:val="14"/>
                <w:szCs w:val="14"/>
              </w:rPr>
            </w:pPr>
          </w:p>
        </w:tc>
        <w:tc>
          <w:tcPr>
            <w:tcW w:w="681" w:type="dxa"/>
            <w:tcBorders>
              <w:top w:val="single" w:sz="4" w:space="0" w:color="auto"/>
              <w:left w:val="single" w:sz="4" w:space="0" w:color="auto"/>
              <w:bottom w:val="single" w:sz="4" w:space="0" w:color="auto"/>
              <w:right w:val="single" w:sz="4" w:space="0" w:color="auto"/>
            </w:tcBorders>
          </w:tcPr>
          <w:p w14:paraId="343B5F58" w14:textId="77777777" w:rsidR="00DF358A" w:rsidRPr="004E13E9" w:rsidRDefault="00DF358A" w:rsidP="007E20D4">
            <w:pPr>
              <w:contextualSpacing/>
              <w:jc w:val="center"/>
              <w:rPr>
                <w:rFonts w:ascii="Cambria" w:hAnsi="Cambria" w:cs="Arial"/>
                <w:b/>
                <w:bCs/>
                <w:sz w:val="14"/>
                <w:szCs w:val="14"/>
              </w:rPr>
            </w:pPr>
          </w:p>
        </w:tc>
        <w:tc>
          <w:tcPr>
            <w:tcW w:w="681" w:type="dxa"/>
            <w:tcBorders>
              <w:top w:val="single" w:sz="4" w:space="0" w:color="auto"/>
              <w:left w:val="single" w:sz="4" w:space="0" w:color="auto"/>
              <w:bottom w:val="single" w:sz="4" w:space="0" w:color="auto"/>
              <w:right w:val="single" w:sz="4" w:space="0" w:color="auto"/>
            </w:tcBorders>
          </w:tcPr>
          <w:p w14:paraId="64C5950D" w14:textId="77777777" w:rsidR="00DF358A" w:rsidRPr="004E13E9" w:rsidRDefault="00DF358A" w:rsidP="007E20D4">
            <w:pPr>
              <w:widowControl w:val="0"/>
              <w:contextualSpacing/>
              <w:jc w:val="center"/>
              <w:rPr>
                <w:rFonts w:ascii="Cambria" w:hAnsi="Cambria"/>
                <w:b/>
                <w:bCs/>
                <w:sz w:val="14"/>
                <w:szCs w:val="14"/>
              </w:rPr>
            </w:pPr>
          </w:p>
        </w:tc>
        <w:tc>
          <w:tcPr>
            <w:tcW w:w="786" w:type="dxa"/>
            <w:tcBorders>
              <w:top w:val="single" w:sz="4" w:space="0" w:color="auto"/>
              <w:left w:val="single" w:sz="4" w:space="0" w:color="auto"/>
              <w:bottom w:val="single" w:sz="4" w:space="0" w:color="auto"/>
              <w:right w:val="single" w:sz="4" w:space="0" w:color="auto"/>
            </w:tcBorders>
            <w:vAlign w:val="center"/>
          </w:tcPr>
          <w:p w14:paraId="0AF3F026" w14:textId="77777777" w:rsidR="00DF358A" w:rsidRPr="004E13E9" w:rsidRDefault="00DF358A" w:rsidP="007E20D4">
            <w:pPr>
              <w:contextualSpacing/>
              <w:jc w:val="center"/>
              <w:rPr>
                <w:rFonts w:ascii="Cambria" w:hAnsi="Cambria"/>
                <w:b/>
                <w:sz w:val="14"/>
                <w:szCs w:val="14"/>
              </w:rPr>
            </w:pP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4B50AA7C" w14:textId="77777777" w:rsidR="00DF358A" w:rsidRPr="004E13E9" w:rsidRDefault="00DF358A" w:rsidP="007E20D4">
            <w:pPr>
              <w:widowControl w:val="0"/>
              <w:contextualSpacing/>
              <w:jc w:val="both"/>
              <w:rPr>
                <w:rFonts w:ascii="Cambria" w:hAnsi="Cambria"/>
                <w:b/>
                <w:sz w:val="14"/>
                <w:szCs w:val="14"/>
              </w:rPr>
            </w:pPr>
          </w:p>
        </w:tc>
        <w:tc>
          <w:tcPr>
            <w:tcW w:w="876" w:type="dxa"/>
            <w:tcBorders>
              <w:top w:val="single" w:sz="4" w:space="0" w:color="auto"/>
              <w:left w:val="single" w:sz="4" w:space="0" w:color="auto"/>
              <w:bottom w:val="single" w:sz="4" w:space="0" w:color="auto"/>
              <w:right w:val="single" w:sz="4" w:space="0" w:color="auto"/>
            </w:tcBorders>
            <w:vAlign w:val="center"/>
          </w:tcPr>
          <w:p w14:paraId="70A9383A" w14:textId="77777777" w:rsidR="00DF358A" w:rsidRPr="004E13E9" w:rsidRDefault="00DF358A" w:rsidP="007E20D4">
            <w:pPr>
              <w:contextualSpacing/>
              <w:jc w:val="center"/>
              <w:rPr>
                <w:rFonts w:ascii="Cambria" w:hAnsi="Cambria" w:cs="Arial"/>
                <w:b/>
                <w:bCs/>
                <w:sz w:val="14"/>
                <w:szCs w:val="14"/>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26DEF977" w14:textId="77777777" w:rsidR="00DF358A" w:rsidRPr="004E13E9" w:rsidRDefault="00DF358A" w:rsidP="007E20D4">
            <w:pPr>
              <w:contextualSpacing/>
              <w:jc w:val="center"/>
              <w:rPr>
                <w:rFonts w:ascii="Cambria" w:eastAsia="Times New Roman" w:hAnsi="Cambria" w:cs="Arial"/>
                <w:sz w:val="14"/>
                <w:szCs w:val="14"/>
              </w:rPr>
            </w:pPr>
            <w:r w:rsidRPr="004E13E9">
              <w:rPr>
                <w:rFonts w:ascii="Cambria" w:hAnsi="Cambria"/>
                <w:sz w:val="14"/>
                <w:szCs w:val="14"/>
              </w:rPr>
              <w:t>150</w:t>
            </w:r>
          </w:p>
        </w:tc>
        <w:tc>
          <w:tcPr>
            <w:tcW w:w="858" w:type="dxa"/>
            <w:tcBorders>
              <w:top w:val="single" w:sz="4" w:space="0" w:color="auto"/>
              <w:left w:val="single" w:sz="4" w:space="0" w:color="auto"/>
              <w:bottom w:val="single" w:sz="4" w:space="0" w:color="auto"/>
              <w:right w:val="single" w:sz="4" w:space="0" w:color="auto"/>
            </w:tcBorders>
            <w:vAlign w:val="center"/>
            <w:hideMark/>
          </w:tcPr>
          <w:p w14:paraId="53150F63"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123</w:t>
            </w:r>
          </w:p>
        </w:tc>
        <w:tc>
          <w:tcPr>
            <w:tcW w:w="944" w:type="dxa"/>
            <w:tcBorders>
              <w:top w:val="single" w:sz="4" w:space="0" w:color="auto"/>
              <w:left w:val="single" w:sz="4" w:space="0" w:color="auto"/>
              <w:bottom w:val="single" w:sz="4" w:space="0" w:color="auto"/>
              <w:right w:val="single" w:sz="4" w:space="0" w:color="auto"/>
            </w:tcBorders>
            <w:vAlign w:val="center"/>
            <w:hideMark/>
          </w:tcPr>
          <w:p w14:paraId="69FC3BE7"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116</w:t>
            </w:r>
          </w:p>
        </w:tc>
        <w:tc>
          <w:tcPr>
            <w:tcW w:w="793" w:type="dxa"/>
            <w:tcBorders>
              <w:top w:val="single" w:sz="4" w:space="0" w:color="auto"/>
              <w:left w:val="single" w:sz="4" w:space="0" w:color="auto"/>
              <w:bottom w:val="single" w:sz="4" w:space="0" w:color="auto"/>
              <w:right w:val="single" w:sz="4" w:space="0" w:color="auto"/>
            </w:tcBorders>
            <w:vAlign w:val="center"/>
            <w:hideMark/>
          </w:tcPr>
          <w:p w14:paraId="0C92FF30"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134</w:t>
            </w:r>
          </w:p>
        </w:tc>
      </w:tr>
      <w:tr w:rsidR="00DF358A" w:rsidRPr="004E13E9" w14:paraId="14187BAE" w14:textId="77777777" w:rsidTr="00BB4F69">
        <w:trPr>
          <w:trHeight w:val="310"/>
          <w:jc w:val="center"/>
        </w:trPr>
        <w:tc>
          <w:tcPr>
            <w:tcW w:w="2438" w:type="dxa"/>
            <w:tcBorders>
              <w:top w:val="single" w:sz="4" w:space="0" w:color="auto"/>
              <w:left w:val="single" w:sz="4" w:space="0" w:color="auto"/>
              <w:bottom w:val="single" w:sz="4" w:space="0" w:color="auto"/>
              <w:right w:val="single" w:sz="4" w:space="0" w:color="auto"/>
            </w:tcBorders>
            <w:vAlign w:val="center"/>
            <w:hideMark/>
          </w:tcPr>
          <w:p w14:paraId="0BF1CD8E" w14:textId="77777777" w:rsidR="00DF358A" w:rsidRPr="004E13E9" w:rsidRDefault="00DF358A" w:rsidP="007E20D4">
            <w:pPr>
              <w:widowControl w:val="0"/>
              <w:contextualSpacing/>
              <w:rPr>
                <w:rFonts w:ascii="Cambria" w:hAnsi="Cambria"/>
                <w:b/>
                <w:bCs/>
                <w:sz w:val="14"/>
                <w:szCs w:val="14"/>
              </w:rPr>
            </w:pPr>
            <w:r w:rsidRPr="004E13E9">
              <w:rPr>
                <w:rFonts w:ascii="Cambria" w:hAnsi="Cambria"/>
                <w:b/>
                <w:sz w:val="14"/>
                <w:szCs w:val="14"/>
              </w:rPr>
              <w:t>Quota disponible</w:t>
            </w:r>
          </w:p>
        </w:tc>
        <w:tc>
          <w:tcPr>
            <w:tcW w:w="1190" w:type="dxa"/>
            <w:tcBorders>
              <w:top w:val="single" w:sz="4" w:space="0" w:color="auto"/>
              <w:left w:val="single" w:sz="4" w:space="0" w:color="auto"/>
              <w:bottom w:val="single" w:sz="4" w:space="0" w:color="auto"/>
              <w:right w:val="single" w:sz="4" w:space="0" w:color="auto"/>
            </w:tcBorders>
            <w:noWrap/>
            <w:vAlign w:val="center"/>
            <w:hideMark/>
          </w:tcPr>
          <w:p w14:paraId="56676F91" w14:textId="77777777" w:rsidR="00DF358A" w:rsidRPr="004E13E9" w:rsidRDefault="00DF358A" w:rsidP="007E20D4">
            <w:pPr>
              <w:widowControl w:val="0"/>
              <w:contextualSpacing/>
              <w:jc w:val="both"/>
              <w:rPr>
                <w:rFonts w:ascii="Cambria" w:hAnsi="Cambria"/>
                <w:b/>
                <w:bCs/>
                <w:sz w:val="14"/>
                <w:szCs w:val="14"/>
              </w:rPr>
            </w:pPr>
          </w:p>
        </w:tc>
        <w:tc>
          <w:tcPr>
            <w:tcW w:w="609" w:type="dxa"/>
            <w:tcBorders>
              <w:top w:val="single" w:sz="4" w:space="0" w:color="auto"/>
              <w:left w:val="single" w:sz="4" w:space="0" w:color="auto"/>
              <w:bottom w:val="single" w:sz="4" w:space="0" w:color="auto"/>
              <w:right w:val="single" w:sz="4" w:space="0" w:color="auto"/>
            </w:tcBorders>
          </w:tcPr>
          <w:p w14:paraId="592FE33E" w14:textId="77777777" w:rsidR="00DF358A" w:rsidRPr="004E13E9" w:rsidRDefault="00DF358A" w:rsidP="007E20D4">
            <w:pPr>
              <w:widowControl w:val="0"/>
              <w:contextualSpacing/>
              <w:jc w:val="center"/>
              <w:rPr>
                <w:rFonts w:ascii="Cambria" w:hAnsi="Cambria"/>
                <w:b/>
                <w:bCs/>
                <w:sz w:val="14"/>
                <w:szCs w:val="14"/>
              </w:rPr>
            </w:pP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1D2DAC00" w14:textId="77777777" w:rsidR="00DF358A" w:rsidRPr="004E13E9" w:rsidRDefault="00DF358A" w:rsidP="007E20D4">
            <w:pPr>
              <w:widowControl w:val="0"/>
              <w:contextualSpacing/>
              <w:jc w:val="both"/>
              <w:rPr>
                <w:rFonts w:ascii="Cambria" w:hAnsi="Cambria"/>
                <w:b/>
                <w:bCs/>
                <w:sz w:val="14"/>
                <w:szCs w:val="14"/>
              </w:rPr>
            </w:pPr>
          </w:p>
        </w:tc>
        <w:tc>
          <w:tcPr>
            <w:tcW w:w="633" w:type="dxa"/>
            <w:tcBorders>
              <w:top w:val="single" w:sz="4" w:space="0" w:color="auto"/>
              <w:left w:val="single" w:sz="4" w:space="0" w:color="auto"/>
              <w:bottom w:val="single" w:sz="4" w:space="0" w:color="auto"/>
              <w:right w:val="single" w:sz="4" w:space="0" w:color="auto"/>
            </w:tcBorders>
          </w:tcPr>
          <w:p w14:paraId="7C2C33BE" w14:textId="77777777" w:rsidR="00DF358A" w:rsidRPr="004E13E9" w:rsidRDefault="00DF358A" w:rsidP="007E20D4">
            <w:pPr>
              <w:widowControl w:val="0"/>
              <w:contextualSpacing/>
              <w:jc w:val="center"/>
              <w:rPr>
                <w:rFonts w:ascii="Cambria" w:hAnsi="Cambria"/>
                <w:b/>
                <w:bCs/>
                <w:sz w:val="14"/>
                <w:szCs w:val="14"/>
              </w:rPr>
            </w:pPr>
          </w:p>
        </w:tc>
        <w:tc>
          <w:tcPr>
            <w:tcW w:w="706" w:type="dxa"/>
            <w:tcBorders>
              <w:top w:val="single" w:sz="4" w:space="0" w:color="auto"/>
              <w:left w:val="single" w:sz="4" w:space="0" w:color="auto"/>
              <w:bottom w:val="single" w:sz="4" w:space="0" w:color="auto"/>
              <w:right w:val="single" w:sz="4" w:space="0" w:color="auto"/>
            </w:tcBorders>
            <w:noWrap/>
            <w:vAlign w:val="center"/>
            <w:hideMark/>
          </w:tcPr>
          <w:p w14:paraId="46CA059F" w14:textId="77777777" w:rsidR="00DF358A" w:rsidRPr="004E13E9" w:rsidRDefault="00DF358A" w:rsidP="007E20D4">
            <w:pPr>
              <w:widowControl w:val="0"/>
              <w:contextualSpacing/>
              <w:jc w:val="both"/>
              <w:rPr>
                <w:rFonts w:ascii="Cambria" w:hAnsi="Cambria"/>
                <w:b/>
                <w:bCs/>
                <w:sz w:val="14"/>
                <w:szCs w:val="14"/>
              </w:rPr>
            </w:pPr>
          </w:p>
        </w:tc>
        <w:tc>
          <w:tcPr>
            <w:tcW w:w="706" w:type="dxa"/>
            <w:tcBorders>
              <w:top w:val="single" w:sz="4" w:space="0" w:color="auto"/>
              <w:left w:val="single" w:sz="4" w:space="0" w:color="auto"/>
              <w:bottom w:val="single" w:sz="4" w:space="0" w:color="auto"/>
              <w:right w:val="single" w:sz="4" w:space="0" w:color="auto"/>
            </w:tcBorders>
            <w:vAlign w:val="center"/>
          </w:tcPr>
          <w:p w14:paraId="4F467981" w14:textId="77777777" w:rsidR="00DF358A" w:rsidRPr="004E13E9" w:rsidRDefault="00DF358A" w:rsidP="007E20D4">
            <w:pPr>
              <w:widowControl w:val="0"/>
              <w:contextualSpacing/>
              <w:jc w:val="center"/>
              <w:rPr>
                <w:rFonts w:ascii="Cambria" w:hAnsi="Cambria"/>
                <w:b/>
                <w:bCs/>
                <w:sz w:val="14"/>
                <w:szCs w:val="14"/>
              </w:rPr>
            </w:pPr>
          </w:p>
        </w:tc>
        <w:tc>
          <w:tcPr>
            <w:tcW w:w="681" w:type="dxa"/>
            <w:tcBorders>
              <w:top w:val="single" w:sz="4" w:space="0" w:color="auto"/>
              <w:left w:val="single" w:sz="4" w:space="0" w:color="auto"/>
              <w:bottom w:val="single" w:sz="4" w:space="0" w:color="auto"/>
              <w:right w:val="single" w:sz="4" w:space="0" w:color="auto"/>
            </w:tcBorders>
          </w:tcPr>
          <w:p w14:paraId="5DB03469" w14:textId="77777777" w:rsidR="00DF358A" w:rsidRPr="004E13E9" w:rsidRDefault="00DF358A" w:rsidP="007E20D4">
            <w:pPr>
              <w:widowControl w:val="0"/>
              <w:contextualSpacing/>
              <w:jc w:val="center"/>
              <w:rPr>
                <w:rFonts w:ascii="Cambria" w:hAnsi="Cambria"/>
                <w:b/>
                <w:bCs/>
                <w:sz w:val="14"/>
                <w:szCs w:val="14"/>
              </w:rPr>
            </w:pPr>
          </w:p>
        </w:tc>
        <w:tc>
          <w:tcPr>
            <w:tcW w:w="681" w:type="dxa"/>
            <w:tcBorders>
              <w:top w:val="single" w:sz="4" w:space="0" w:color="auto"/>
              <w:left w:val="single" w:sz="4" w:space="0" w:color="auto"/>
              <w:bottom w:val="single" w:sz="4" w:space="0" w:color="auto"/>
              <w:right w:val="single" w:sz="4" w:space="0" w:color="auto"/>
            </w:tcBorders>
          </w:tcPr>
          <w:p w14:paraId="4BD78539" w14:textId="77777777" w:rsidR="00DF358A" w:rsidRPr="004E13E9" w:rsidRDefault="00DF358A" w:rsidP="007E20D4">
            <w:pPr>
              <w:widowControl w:val="0"/>
              <w:contextualSpacing/>
              <w:jc w:val="center"/>
              <w:rPr>
                <w:rFonts w:ascii="Cambria" w:hAnsi="Cambria"/>
                <w:b/>
                <w:bCs/>
                <w:sz w:val="14"/>
                <w:szCs w:val="14"/>
              </w:rPr>
            </w:pPr>
          </w:p>
        </w:tc>
        <w:tc>
          <w:tcPr>
            <w:tcW w:w="786" w:type="dxa"/>
            <w:tcBorders>
              <w:top w:val="single" w:sz="4" w:space="0" w:color="auto"/>
              <w:left w:val="single" w:sz="4" w:space="0" w:color="auto"/>
              <w:bottom w:val="single" w:sz="4" w:space="0" w:color="auto"/>
              <w:right w:val="single" w:sz="4" w:space="0" w:color="auto"/>
            </w:tcBorders>
            <w:vAlign w:val="center"/>
          </w:tcPr>
          <w:p w14:paraId="261EB6D2" w14:textId="77777777" w:rsidR="00DF358A" w:rsidRPr="004E13E9" w:rsidRDefault="00DF358A" w:rsidP="007E20D4">
            <w:pPr>
              <w:widowControl w:val="0"/>
              <w:contextualSpacing/>
              <w:jc w:val="center"/>
              <w:rPr>
                <w:rFonts w:ascii="Cambria" w:hAnsi="Cambria"/>
                <w:b/>
                <w:bCs/>
                <w:sz w:val="14"/>
                <w:szCs w:val="14"/>
              </w:rPr>
            </w:pP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03586B56" w14:textId="77777777" w:rsidR="00DF358A" w:rsidRPr="004E13E9" w:rsidRDefault="00DF358A" w:rsidP="007E20D4">
            <w:pPr>
              <w:widowControl w:val="0"/>
              <w:contextualSpacing/>
              <w:jc w:val="both"/>
              <w:rPr>
                <w:rFonts w:ascii="Cambria" w:hAnsi="Cambria"/>
                <w:b/>
                <w:bCs/>
                <w:sz w:val="14"/>
                <w:szCs w:val="14"/>
              </w:rPr>
            </w:pPr>
          </w:p>
        </w:tc>
        <w:tc>
          <w:tcPr>
            <w:tcW w:w="876" w:type="dxa"/>
            <w:tcBorders>
              <w:top w:val="single" w:sz="4" w:space="0" w:color="auto"/>
              <w:left w:val="single" w:sz="4" w:space="0" w:color="auto"/>
              <w:bottom w:val="single" w:sz="4" w:space="0" w:color="auto"/>
              <w:right w:val="single" w:sz="4" w:space="0" w:color="auto"/>
            </w:tcBorders>
            <w:vAlign w:val="center"/>
          </w:tcPr>
          <w:p w14:paraId="721A7BEF" w14:textId="77777777" w:rsidR="00DF358A" w:rsidRPr="004E13E9" w:rsidRDefault="00DF358A" w:rsidP="007E20D4">
            <w:pPr>
              <w:widowControl w:val="0"/>
              <w:contextualSpacing/>
              <w:jc w:val="center"/>
              <w:rPr>
                <w:rFonts w:ascii="Cambria" w:hAnsi="Cambria"/>
                <w:b/>
                <w:bCs/>
                <w:sz w:val="14"/>
                <w:szCs w:val="14"/>
              </w:rPr>
            </w:pPr>
          </w:p>
        </w:tc>
        <w:tc>
          <w:tcPr>
            <w:tcW w:w="885" w:type="dxa"/>
            <w:tcBorders>
              <w:top w:val="single" w:sz="4" w:space="0" w:color="auto"/>
              <w:left w:val="single" w:sz="4" w:space="0" w:color="auto"/>
              <w:bottom w:val="single" w:sz="4" w:space="0" w:color="auto"/>
              <w:right w:val="single" w:sz="4" w:space="0" w:color="auto"/>
            </w:tcBorders>
            <w:vAlign w:val="center"/>
          </w:tcPr>
          <w:p w14:paraId="7D117AC7" w14:textId="77777777" w:rsidR="00DF358A" w:rsidRPr="004E13E9" w:rsidRDefault="00DF358A" w:rsidP="007E20D4">
            <w:pPr>
              <w:widowControl w:val="0"/>
              <w:contextualSpacing/>
              <w:jc w:val="center"/>
              <w:rPr>
                <w:rFonts w:ascii="Cambria" w:hAnsi="Cambria"/>
                <w:sz w:val="14"/>
                <w:szCs w:val="14"/>
              </w:rPr>
            </w:pPr>
          </w:p>
        </w:tc>
        <w:tc>
          <w:tcPr>
            <w:tcW w:w="858" w:type="dxa"/>
            <w:tcBorders>
              <w:top w:val="single" w:sz="4" w:space="0" w:color="auto"/>
              <w:left w:val="single" w:sz="4" w:space="0" w:color="auto"/>
              <w:bottom w:val="single" w:sz="4" w:space="0" w:color="auto"/>
              <w:right w:val="single" w:sz="4" w:space="0" w:color="auto"/>
            </w:tcBorders>
            <w:vAlign w:val="center"/>
          </w:tcPr>
          <w:p w14:paraId="22A02758" w14:textId="77777777" w:rsidR="00DF358A" w:rsidRPr="004E13E9" w:rsidRDefault="00DF358A" w:rsidP="007E20D4">
            <w:pPr>
              <w:widowControl w:val="0"/>
              <w:contextualSpacing/>
              <w:jc w:val="center"/>
              <w:rPr>
                <w:rFonts w:ascii="Cambria" w:hAnsi="Cambria"/>
                <w:sz w:val="14"/>
                <w:szCs w:val="14"/>
              </w:rPr>
            </w:pPr>
          </w:p>
        </w:tc>
        <w:tc>
          <w:tcPr>
            <w:tcW w:w="944" w:type="dxa"/>
            <w:tcBorders>
              <w:top w:val="single" w:sz="4" w:space="0" w:color="auto"/>
              <w:left w:val="single" w:sz="4" w:space="0" w:color="auto"/>
              <w:bottom w:val="single" w:sz="4" w:space="0" w:color="auto"/>
              <w:right w:val="single" w:sz="4" w:space="0" w:color="auto"/>
            </w:tcBorders>
            <w:vAlign w:val="center"/>
          </w:tcPr>
          <w:p w14:paraId="751228F7" w14:textId="77777777" w:rsidR="00DF358A" w:rsidRPr="004E13E9" w:rsidRDefault="00DF358A" w:rsidP="007E20D4">
            <w:pPr>
              <w:widowControl w:val="0"/>
              <w:contextualSpacing/>
              <w:jc w:val="center"/>
              <w:rPr>
                <w:rFonts w:ascii="Cambria" w:hAnsi="Cambria"/>
                <w:sz w:val="14"/>
                <w:szCs w:val="14"/>
              </w:rPr>
            </w:pPr>
          </w:p>
        </w:tc>
        <w:tc>
          <w:tcPr>
            <w:tcW w:w="793" w:type="dxa"/>
            <w:tcBorders>
              <w:top w:val="single" w:sz="4" w:space="0" w:color="auto"/>
              <w:left w:val="single" w:sz="4" w:space="0" w:color="auto"/>
              <w:bottom w:val="single" w:sz="4" w:space="0" w:color="auto"/>
              <w:right w:val="single" w:sz="4" w:space="0" w:color="auto"/>
            </w:tcBorders>
            <w:vAlign w:val="center"/>
            <w:hideMark/>
          </w:tcPr>
          <w:p w14:paraId="54BA8F4E"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sz w:val="14"/>
                <w:szCs w:val="14"/>
              </w:rPr>
              <w:t>25.610</w:t>
            </w:r>
          </w:p>
        </w:tc>
      </w:tr>
      <w:tr w:rsidR="00DF358A" w:rsidRPr="004E13E9" w14:paraId="0721A99B" w14:textId="77777777" w:rsidTr="00BB4F69">
        <w:trPr>
          <w:trHeight w:val="231"/>
          <w:jc w:val="center"/>
        </w:trPr>
        <w:tc>
          <w:tcPr>
            <w:tcW w:w="243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A4D7B9C" w14:textId="77777777" w:rsidR="00DF358A" w:rsidRPr="004E13E9" w:rsidRDefault="00DF358A" w:rsidP="007E20D4">
            <w:pPr>
              <w:contextualSpacing/>
              <w:rPr>
                <w:rFonts w:ascii="Cambria" w:hAnsi="Cambria"/>
                <w:b/>
                <w:bCs/>
                <w:sz w:val="14"/>
                <w:szCs w:val="14"/>
              </w:rPr>
            </w:pPr>
            <w:r w:rsidRPr="004E13E9">
              <w:rPr>
                <w:rFonts w:ascii="Cambria" w:hAnsi="Cambria"/>
                <w:b/>
                <w:sz w:val="14"/>
                <w:szCs w:val="14"/>
              </w:rPr>
              <w:t>Sous/surcapacité</w:t>
            </w:r>
          </w:p>
        </w:tc>
        <w:tc>
          <w:tcPr>
            <w:tcW w:w="119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98BC864" w14:textId="77777777" w:rsidR="00DF358A" w:rsidRPr="004E13E9" w:rsidRDefault="00DF358A" w:rsidP="007E20D4">
            <w:pPr>
              <w:contextualSpacing/>
              <w:jc w:val="right"/>
              <w:rPr>
                <w:rFonts w:ascii="Cambria" w:hAnsi="Cambria" w:cs="Arial"/>
                <w:sz w:val="14"/>
                <w:szCs w:val="14"/>
              </w:rPr>
            </w:pPr>
            <w:r w:rsidRPr="004E13E9">
              <w:rPr>
                <w:rFonts w:ascii="Cambria" w:hAnsi="Cambria"/>
                <w:sz w:val="14"/>
                <w:szCs w:val="14"/>
              </w:rPr>
              <w:t> </w:t>
            </w:r>
          </w:p>
        </w:tc>
        <w:tc>
          <w:tcPr>
            <w:tcW w:w="609" w:type="dxa"/>
            <w:tcBorders>
              <w:top w:val="single" w:sz="4" w:space="0" w:color="auto"/>
              <w:left w:val="single" w:sz="4" w:space="0" w:color="auto"/>
              <w:bottom w:val="single" w:sz="4" w:space="0" w:color="auto"/>
              <w:right w:val="single" w:sz="4" w:space="0" w:color="auto"/>
            </w:tcBorders>
            <w:shd w:val="clear" w:color="auto" w:fill="D9D9D9"/>
          </w:tcPr>
          <w:p w14:paraId="6293916C" w14:textId="77777777" w:rsidR="00DF358A" w:rsidRPr="004E13E9" w:rsidRDefault="00DF358A" w:rsidP="007E20D4">
            <w:pPr>
              <w:contextualSpacing/>
              <w:jc w:val="center"/>
              <w:rPr>
                <w:rFonts w:ascii="Cambria" w:hAnsi="Cambria" w:cs="Arial"/>
                <w:sz w:val="14"/>
                <w:szCs w:val="14"/>
              </w:rPr>
            </w:pPr>
          </w:p>
        </w:tc>
        <w:tc>
          <w:tcPr>
            <w:tcW w:w="706"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23EC80E" w14:textId="77777777" w:rsidR="00DF358A" w:rsidRPr="004E13E9" w:rsidRDefault="00DF358A" w:rsidP="007E20D4">
            <w:pPr>
              <w:widowControl w:val="0"/>
              <w:contextualSpacing/>
              <w:jc w:val="both"/>
              <w:rPr>
                <w:rFonts w:ascii="Cambria" w:hAnsi="Cambria" w:cs="Arial"/>
                <w:sz w:val="14"/>
                <w:szCs w:val="14"/>
              </w:rPr>
            </w:pPr>
          </w:p>
        </w:tc>
        <w:tc>
          <w:tcPr>
            <w:tcW w:w="633" w:type="dxa"/>
            <w:tcBorders>
              <w:top w:val="single" w:sz="4" w:space="0" w:color="auto"/>
              <w:left w:val="single" w:sz="4" w:space="0" w:color="auto"/>
              <w:bottom w:val="single" w:sz="4" w:space="0" w:color="auto"/>
              <w:right w:val="single" w:sz="4" w:space="0" w:color="auto"/>
            </w:tcBorders>
            <w:shd w:val="clear" w:color="auto" w:fill="D9D9D9"/>
          </w:tcPr>
          <w:p w14:paraId="4D8DA989" w14:textId="77777777" w:rsidR="00DF358A" w:rsidRPr="004E13E9" w:rsidRDefault="00DF358A" w:rsidP="007E20D4">
            <w:pPr>
              <w:contextualSpacing/>
              <w:jc w:val="center"/>
              <w:rPr>
                <w:rFonts w:ascii="Cambria" w:hAnsi="Cambria" w:cs="Arial"/>
                <w:sz w:val="14"/>
                <w:szCs w:val="14"/>
              </w:rPr>
            </w:pPr>
          </w:p>
        </w:tc>
        <w:tc>
          <w:tcPr>
            <w:tcW w:w="70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EADCE8D" w14:textId="77777777" w:rsidR="00DF358A" w:rsidRPr="004E13E9" w:rsidRDefault="00DF358A" w:rsidP="007E20D4">
            <w:pPr>
              <w:widowControl w:val="0"/>
              <w:contextualSpacing/>
              <w:jc w:val="both"/>
              <w:rPr>
                <w:rFonts w:ascii="Cambria" w:hAnsi="Cambria" w:cs="Arial"/>
                <w:sz w:val="14"/>
                <w:szCs w:val="14"/>
              </w:rPr>
            </w:pPr>
          </w:p>
        </w:tc>
        <w:tc>
          <w:tcPr>
            <w:tcW w:w="706" w:type="dxa"/>
            <w:tcBorders>
              <w:top w:val="single" w:sz="4" w:space="0" w:color="auto"/>
              <w:left w:val="single" w:sz="4" w:space="0" w:color="auto"/>
              <w:bottom w:val="single" w:sz="4" w:space="0" w:color="auto"/>
              <w:right w:val="single" w:sz="4" w:space="0" w:color="auto"/>
            </w:tcBorders>
            <w:shd w:val="clear" w:color="auto" w:fill="D9D9D9"/>
            <w:vAlign w:val="center"/>
          </w:tcPr>
          <w:p w14:paraId="7CD9D2A2" w14:textId="77777777" w:rsidR="00DF358A" w:rsidRPr="004E13E9" w:rsidRDefault="00DF358A" w:rsidP="007E20D4">
            <w:pPr>
              <w:widowControl w:val="0"/>
              <w:contextualSpacing/>
              <w:jc w:val="center"/>
              <w:rPr>
                <w:rFonts w:ascii="Cambria" w:hAnsi="Cambria" w:cs="Arial"/>
                <w:sz w:val="14"/>
                <w:szCs w:val="14"/>
              </w:rPr>
            </w:pPr>
          </w:p>
        </w:tc>
        <w:tc>
          <w:tcPr>
            <w:tcW w:w="681" w:type="dxa"/>
            <w:tcBorders>
              <w:top w:val="single" w:sz="4" w:space="0" w:color="auto"/>
              <w:left w:val="single" w:sz="4" w:space="0" w:color="auto"/>
              <w:bottom w:val="single" w:sz="4" w:space="0" w:color="auto"/>
              <w:right w:val="single" w:sz="4" w:space="0" w:color="auto"/>
            </w:tcBorders>
            <w:shd w:val="clear" w:color="auto" w:fill="D9D9D9"/>
          </w:tcPr>
          <w:p w14:paraId="4B7281C5" w14:textId="77777777" w:rsidR="00DF358A" w:rsidRPr="004E13E9" w:rsidRDefault="00DF358A" w:rsidP="007E20D4">
            <w:pPr>
              <w:contextualSpacing/>
              <w:jc w:val="center"/>
              <w:rPr>
                <w:rFonts w:ascii="Cambria" w:hAnsi="Cambria" w:cs="Arial"/>
                <w:sz w:val="14"/>
                <w:szCs w:val="14"/>
              </w:rPr>
            </w:pPr>
          </w:p>
        </w:tc>
        <w:tc>
          <w:tcPr>
            <w:tcW w:w="681" w:type="dxa"/>
            <w:tcBorders>
              <w:top w:val="single" w:sz="4" w:space="0" w:color="auto"/>
              <w:left w:val="single" w:sz="4" w:space="0" w:color="auto"/>
              <w:bottom w:val="single" w:sz="4" w:space="0" w:color="auto"/>
              <w:right w:val="single" w:sz="4" w:space="0" w:color="auto"/>
            </w:tcBorders>
            <w:shd w:val="clear" w:color="auto" w:fill="D9D9D9"/>
          </w:tcPr>
          <w:p w14:paraId="02E93238" w14:textId="77777777" w:rsidR="00DF358A" w:rsidRPr="004E13E9" w:rsidRDefault="00DF358A" w:rsidP="007E20D4">
            <w:pPr>
              <w:widowControl w:val="0"/>
              <w:contextualSpacing/>
              <w:jc w:val="center"/>
              <w:rPr>
                <w:rFonts w:ascii="Cambria" w:hAnsi="Cambria"/>
                <w:sz w:val="14"/>
                <w:szCs w:val="14"/>
              </w:rPr>
            </w:pPr>
          </w:p>
        </w:tc>
        <w:tc>
          <w:tcPr>
            <w:tcW w:w="786" w:type="dxa"/>
            <w:tcBorders>
              <w:top w:val="single" w:sz="4" w:space="0" w:color="auto"/>
              <w:left w:val="single" w:sz="4" w:space="0" w:color="auto"/>
              <w:bottom w:val="single" w:sz="4" w:space="0" w:color="auto"/>
              <w:right w:val="single" w:sz="4" w:space="0" w:color="auto"/>
            </w:tcBorders>
            <w:shd w:val="clear" w:color="auto" w:fill="D9D9D9"/>
          </w:tcPr>
          <w:p w14:paraId="4738450B" w14:textId="77777777" w:rsidR="00DF358A" w:rsidRPr="004E13E9" w:rsidRDefault="00DF358A" w:rsidP="007E20D4">
            <w:pPr>
              <w:contextualSpacing/>
              <w:jc w:val="center"/>
              <w:rPr>
                <w:rFonts w:ascii="Cambria" w:hAnsi="Cambria" w:cs="Arial"/>
                <w:sz w:val="14"/>
                <w:szCs w:val="14"/>
              </w:rPr>
            </w:pPr>
          </w:p>
        </w:tc>
        <w:tc>
          <w:tcPr>
            <w:tcW w:w="75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4BD8167"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3.124</w:t>
            </w:r>
          </w:p>
        </w:tc>
        <w:tc>
          <w:tcPr>
            <w:tcW w:w="8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51A2510"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-3.873</w:t>
            </w:r>
          </w:p>
        </w:tc>
        <w:tc>
          <w:tcPr>
            <w:tcW w:w="88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70C85B7" w14:textId="77777777" w:rsidR="00DF358A" w:rsidRPr="004E13E9" w:rsidRDefault="00DF358A" w:rsidP="007E20D4">
            <w:pPr>
              <w:contextualSpacing/>
              <w:jc w:val="center"/>
              <w:rPr>
                <w:rFonts w:ascii="Cambria" w:eastAsia="Times New Roman" w:hAnsi="Cambria" w:cs="Arial"/>
                <w:sz w:val="14"/>
                <w:szCs w:val="14"/>
              </w:rPr>
            </w:pPr>
            <w:r w:rsidRPr="004E13E9">
              <w:rPr>
                <w:rFonts w:ascii="Cambria" w:hAnsi="Cambria"/>
                <w:sz w:val="14"/>
                <w:szCs w:val="14"/>
              </w:rPr>
              <w:t>-6.201</w:t>
            </w:r>
          </w:p>
        </w:tc>
        <w:tc>
          <w:tcPr>
            <w:tcW w:w="85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672B272" w14:textId="77777777" w:rsidR="00DF358A" w:rsidRPr="004E13E9" w:rsidRDefault="00DF358A" w:rsidP="007E20D4">
            <w:pPr>
              <w:contextualSpacing/>
              <w:jc w:val="center"/>
              <w:rPr>
                <w:rFonts w:ascii="Cambria" w:hAnsi="Cambria"/>
                <w:sz w:val="14"/>
                <w:szCs w:val="14"/>
              </w:rPr>
            </w:pPr>
            <w:r w:rsidRPr="004E13E9">
              <w:rPr>
                <w:rFonts w:ascii="Cambria" w:hAnsi="Cambria"/>
                <w:sz w:val="14"/>
                <w:szCs w:val="14"/>
              </w:rPr>
              <w:t>-5.161</w:t>
            </w:r>
          </w:p>
        </w:tc>
        <w:tc>
          <w:tcPr>
            <w:tcW w:w="9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93487A5" w14:textId="77777777" w:rsidR="00DF358A" w:rsidRPr="004E13E9" w:rsidRDefault="00DF358A" w:rsidP="007E20D4">
            <w:pPr>
              <w:contextualSpacing/>
              <w:jc w:val="center"/>
              <w:rPr>
                <w:rFonts w:ascii="Cambria" w:hAnsi="Cambria" w:cs="Arial"/>
                <w:sz w:val="14"/>
                <w:szCs w:val="14"/>
              </w:rPr>
            </w:pPr>
            <w:r w:rsidRPr="004E13E9">
              <w:rPr>
                <w:rFonts w:ascii="Cambria" w:hAnsi="Cambria"/>
                <w:sz w:val="14"/>
                <w:szCs w:val="14"/>
              </w:rPr>
              <w:t>-7.205</w:t>
            </w:r>
          </w:p>
        </w:tc>
        <w:tc>
          <w:tcPr>
            <w:tcW w:w="7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F44A2AC" w14:textId="77777777" w:rsidR="00DF358A" w:rsidRPr="004E13E9" w:rsidRDefault="00DF358A" w:rsidP="007E20D4">
            <w:pPr>
              <w:widowControl w:val="0"/>
              <w:contextualSpacing/>
              <w:jc w:val="center"/>
              <w:rPr>
                <w:rFonts w:ascii="Cambria" w:hAnsi="Cambria"/>
                <w:sz w:val="14"/>
                <w:szCs w:val="14"/>
              </w:rPr>
            </w:pPr>
            <w:r w:rsidRPr="004E13E9">
              <w:rPr>
                <w:rFonts w:ascii="Cambria" w:hAnsi="Cambria" w:cstheme="majorBidi"/>
                <w:color w:val="auto"/>
                <w:sz w:val="16"/>
                <w:szCs w:val="16"/>
              </w:rPr>
              <w:t>-11.698</w:t>
            </w:r>
          </w:p>
        </w:tc>
      </w:tr>
    </w:tbl>
    <w:p w14:paraId="3174625F" w14:textId="77777777" w:rsidR="00DF358A" w:rsidRPr="004E13E9" w:rsidRDefault="00DF358A" w:rsidP="00DF358A">
      <w:pPr>
        <w:rPr>
          <w:rFonts w:eastAsia="MS Gothic" w:cs="Times New Roman"/>
          <w:iCs/>
          <w:color w:val="000000"/>
          <w:lang w:eastAsia="fr-FR" w:bidi="fr-FR"/>
        </w:rPr>
      </w:pPr>
    </w:p>
    <w:p w14:paraId="58EE9FCA" w14:textId="77777777" w:rsidR="00DF358A" w:rsidRPr="004E13E9" w:rsidRDefault="00DF358A" w:rsidP="00DF358A">
      <w:pPr>
        <w:contextualSpacing/>
        <w:rPr>
          <w:rFonts w:eastAsia="MS Gothic" w:cs="Times New Roman"/>
          <w:iCs/>
          <w:color w:val="000000"/>
          <w:lang w:eastAsia="fr-FR" w:bidi="fr-FR"/>
        </w:rPr>
        <w:sectPr w:rsidR="00DF358A" w:rsidRPr="004E13E9" w:rsidSect="00DF358A">
          <w:headerReference w:type="default" r:id="rId104"/>
          <w:pgSz w:w="16838" w:h="11906" w:orient="landscape" w:code="9"/>
          <w:pgMar w:top="1418" w:right="1418" w:bottom="1418" w:left="1418" w:header="851" w:footer="1134" w:gutter="0"/>
          <w:cols w:space="425"/>
          <w:docGrid w:linePitch="360"/>
        </w:sectPr>
      </w:pPr>
    </w:p>
    <w:p w14:paraId="03CC0BB5" w14:textId="77777777" w:rsidR="00DF358A" w:rsidRPr="004E13E9" w:rsidRDefault="00DF358A" w:rsidP="00DF358A">
      <w:pPr>
        <w:jc w:val="right"/>
        <w:rPr>
          <w:rFonts w:eastAsia="MS Gothic" w:cs="Times New Roman"/>
          <w:b/>
          <w:bCs/>
          <w:iCs/>
          <w:color w:val="000000"/>
          <w:lang w:eastAsia="fr-FR" w:bidi="fr-FR"/>
        </w:rPr>
      </w:pPr>
      <w:proofErr w:type="spellStart"/>
      <w:r w:rsidRPr="004E13E9">
        <w:rPr>
          <w:rFonts w:eastAsia="MS Gothic" w:cs="Times New Roman"/>
          <w:b/>
          <w:bCs/>
          <w:iCs/>
          <w:color w:val="000000"/>
          <w:lang w:eastAsia="fr-FR" w:bidi="fr-FR"/>
        </w:rPr>
        <w:t>Annexe</w:t>
      </w:r>
      <w:proofErr w:type="spellEnd"/>
      <w:r w:rsidRPr="004E13E9">
        <w:rPr>
          <w:rFonts w:eastAsia="MS Gothic" w:cs="Times New Roman"/>
          <w:b/>
          <w:bCs/>
          <w:iCs/>
          <w:color w:val="000000"/>
          <w:lang w:eastAsia="fr-FR" w:bidi="fr-FR"/>
        </w:rPr>
        <w:t xml:space="preserve"> 1</w:t>
      </w:r>
    </w:p>
    <w:p w14:paraId="45E9C08C" w14:textId="77777777" w:rsidR="00DF358A" w:rsidRPr="004E13E9" w:rsidRDefault="00DF358A" w:rsidP="00DF358A">
      <w:pPr>
        <w:jc w:val="center"/>
        <w:rPr>
          <w:rFonts w:eastAsia="MS Gothic" w:cs="Times New Roman"/>
          <w:b/>
          <w:bCs/>
          <w:iCs/>
          <w:color w:val="000000"/>
          <w:lang w:eastAsia="fr-FR" w:bidi="fr-FR"/>
        </w:rPr>
      </w:pPr>
      <w:proofErr w:type="spellStart"/>
      <w:r w:rsidRPr="004E13E9">
        <w:rPr>
          <w:rFonts w:eastAsia="MS Gothic" w:cs="Times New Roman"/>
          <w:b/>
          <w:bCs/>
          <w:iCs/>
          <w:color w:val="000000"/>
          <w:lang w:eastAsia="fr-FR" w:bidi="fr-FR"/>
        </w:rPr>
        <w:t>Liste</w:t>
      </w:r>
      <w:proofErr w:type="spellEnd"/>
      <w:r w:rsidRPr="004E13E9">
        <w:rPr>
          <w:rFonts w:eastAsia="MS Gothic" w:cs="Times New Roman"/>
          <w:b/>
          <w:bCs/>
          <w:iCs/>
          <w:color w:val="000000"/>
          <w:lang w:eastAsia="fr-FR" w:bidi="fr-FR"/>
        </w:rPr>
        <w:t xml:space="preserve"> des ports </w:t>
      </w:r>
      <w:proofErr w:type="spellStart"/>
      <w:r w:rsidRPr="004E13E9">
        <w:rPr>
          <w:rFonts w:eastAsia="MS Gothic" w:cs="Times New Roman"/>
          <w:b/>
          <w:bCs/>
          <w:iCs/>
          <w:color w:val="000000"/>
          <w:lang w:eastAsia="fr-FR" w:bidi="fr-FR"/>
        </w:rPr>
        <w:t>désignés</w:t>
      </w:r>
      <w:proofErr w:type="spellEnd"/>
    </w:p>
    <w:tbl>
      <w:tblPr>
        <w:tblW w:w="6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1732"/>
      </w:tblGrid>
      <w:tr w:rsidR="00DF358A" w:rsidRPr="004E13E9" w14:paraId="60437EE6" w14:textId="77777777" w:rsidTr="00BB4F69">
        <w:trPr>
          <w:trHeight w:val="294"/>
          <w:jc w:val="center"/>
        </w:trPr>
        <w:tc>
          <w:tcPr>
            <w:tcW w:w="4500" w:type="dxa"/>
            <w:shd w:val="clear" w:color="000000" w:fill="E8E8E8"/>
            <w:noWrap/>
            <w:vAlign w:val="bottom"/>
            <w:hideMark/>
          </w:tcPr>
          <w:p w14:paraId="338C91A1" w14:textId="77777777" w:rsidR="00DF358A" w:rsidRPr="004E13E9" w:rsidRDefault="00DF358A" w:rsidP="00BB4F69">
            <w:pPr>
              <w:rPr>
                <w:b/>
                <w:i/>
                <w:sz w:val="18"/>
                <w:szCs w:val="18"/>
                <w:lang w:val="en-GB"/>
              </w:rPr>
            </w:pPr>
            <w:r w:rsidRPr="004E13E9">
              <w:rPr>
                <w:b/>
                <w:i/>
                <w:sz w:val="18"/>
                <w:szCs w:val="18"/>
                <w:lang w:val="en-GB"/>
              </w:rPr>
              <w:t>Nom du port</w:t>
            </w:r>
          </w:p>
        </w:tc>
        <w:tc>
          <w:tcPr>
            <w:tcW w:w="1732" w:type="dxa"/>
            <w:shd w:val="clear" w:color="000000" w:fill="E8E8E8"/>
            <w:noWrap/>
            <w:vAlign w:val="bottom"/>
            <w:hideMark/>
          </w:tcPr>
          <w:p w14:paraId="32BB8E01" w14:textId="77777777" w:rsidR="00DF358A" w:rsidRPr="004E13E9" w:rsidRDefault="00DF358A" w:rsidP="00BB4F69">
            <w:pPr>
              <w:rPr>
                <w:b/>
                <w:i/>
                <w:sz w:val="18"/>
                <w:szCs w:val="18"/>
                <w:lang w:val="en-GB"/>
              </w:rPr>
            </w:pPr>
            <w:r w:rsidRPr="004E13E9">
              <w:rPr>
                <w:b/>
                <w:i/>
                <w:sz w:val="18"/>
                <w:szCs w:val="18"/>
                <w:lang w:val="en-GB"/>
              </w:rPr>
              <w:t xml:space="preserve">État </w:t>
            </w:r>
            <w:proofErr w:type="spellStart"/>
            <w:r w:rsidRPr="004E13E9">
              <w:rPr>
                <w:b/>
                <w:i/>
                <w:sz w:val="18"/>
                <w:szCs w:val="18"/>
                <w:lang w:val="en-GB"/>
              </w:rPr>
              <w:t>membre</w:t>
            </w:r>
            <w:proofErr w:type="spellEnd"/>
          </w:p>
        </w:tc>
      </w:tr>
      <w:tr w:rsidR="00DF358A" w:rsidRPr="004E13E9" w14:paraId="3FFE5B8E" w14:textId="77777777" w:rsidTr="00BB4F69">
        <w:trPr>
          <w:trHeight w:val="300"/>
          <w:jc w:val="center"/>
        </w:trPr>
        <w:tc>
          <w:tcPr>
            <w:tcW w:w="4500" w:type="dxa"/>
            <w:noWrap/>
            <w:vAlign w:val="bottom"/>
            <w:hideMark/>
          </w:tcPr>
          <w:p w14:paraId="186822C9" w14:textId="77777777" w:rsidR="00DF358A" w:rsidRPr="004E13E9" w:rsidRDefault="00DF358A" w:rsidP="00BB4F69">
            <w:pPr>
              <w:rPr>
                <w:sz w:val="18"/>
                <w:szCs w:val="18"/>
                <w:lang w:val="en-GB"/>
              </w:rPr>
            </w:pPr>
            <w:r w:rsidRPr="004E13E9">
              <w:rPr>
                <w:sz w:val="18"/>
                <w:szCs w:val="18"/>
                <w:lang w:val="en-GB"/>
              </w:rPr>
              <w:t>BANJOLE – RIBARSKA LUKA</w:t>
            </w:r>
          </w:p>
        </w:tc>
        <w:tc>
          <w:tcPr>
            <w:tcW w:w="1732" w:type="dxa"/>
            <w:noWrap/>
            <w:vAlign w:val="bottom"/>
            <w:hideMark/>
          </w:tcPr>
          <w:p w14:paraId="6E0B3BB4"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5D8BED2D" w14:textId="77777777" w:rsidTr="00BB4F69">
        <w:trPr>
          <w:trHeight w:val="300"/>
          <w:jc w:val="center"/>
        </w:trPr>
        <w:tc>
          <w:tcPr>
            <w:tcW w:w="4500" w:type="dxa"/>
            <w:noWrap/>
            <w:vAlign w:val="bottom"/>
            <w:hideMark/>
          </w:tcPr>
          <w:p w14:paraId="1C0B3779" w14:textId="77777777" w:rsidR="00DF358A" w:rsidRPr="004E13E9" w:rsidRDefault="00DF358A" w:rsidP="00BB4F69">
            <w:pPr>
              <w:rPr>
                <w:sz w:val="18"/>
                <w:szCs w:val="18"/>
                <w:lang w:val="en-GB"/>
              </w:rPr>
            </w:pPr>
            <w:r w:rsidRPr="004E13E9">
              <w:rPr>
                <w:sz w:val="18"/>
                <w:szCs w:val="18"/>
                <w:lang w:val="en-GB"/>
              </w:rPr>
              <w:t>BIOGRAD – GLAVNI MUL</w:t>
            </w:r>
          </w:p>
        </w:tc>
        <w:tc>
          <w:tcPr>
            <w:tcW w:w="1732" w:type="dxa"/>
            <w:noWrap/>
            <w:vAlign w:val="bottom"/>
            <w:hideMark/>
          </w:tcPr>
          <w:p w14:paraId="755BCB1C"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2630D103" w14:textId="77777777" w:rsidTr="00BB4F69">
        <w:trPr>
          <w:trHeight w:val="300"/>
          <w:jc w:val="center"/>
        </w:trPr>
        <w:tc>
          <w:tcPr>
            <w:tcW w:w="4500" w:type="dxa"/>
            <w:noWrap/>
            <w:vAlign w:val="bottom"/>
            <w:hideMark/>
          </w:tcPr>
          <w:p w14:paraId="5C16C8DD" w14:textId="77777777" w:rsidR="00DF358A" w:rsidRPr="004E13E9" w:rsidRDefault="00DF358A" w:rsidP="00BB4F69">
            <w:pPr>
              <w:rPr>
                <w:sz w:val="18"/>
                <w:szCs w:val="18"/>
                <w:lang w:val="en-GB"/>
              </w:rPr>
            </w:pPr>
            <w:r w:rsidRPr="004E13E9">
              <w:rPr>
                <w:sz w:val="18"/>
                <w:szCs w:val="18"/>
                <w:lang w:val="en-GB"/>
              </w:rPr>
              <w:t>BOL</w:t>
            </w:r>
          </w:p>
        </w:tc>
        <w:tc>
          <w:tcPr>
            <w:tcW w:w="1732" w:type="dxa"/>
            <w:noWrap/>
            <w:vAlign w:val="bottom"/>
            <w:hideMark/>
          </w:tcPr>
          <w:p w14:paraId="7124A73D"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339E3EC5" w14:textId="77777777" w:rsidTr="00BB4F69">
        <w:trPr>
          <w:trHeight w:val="300"/>
          <w:jc w:val="center"/>
        </w:trPr>
        <w:tc>
          <w:tcPr>
            <w:tcW w:w="4500" w:type="dxa"/>
            <w:noWrap/>
            <w:vAlign w:val="bottom"/>
            <w:hideMark/>
          </w:tcPr>
          <w:p w14:paraId="39CF31B0" w14:textId="77777777" w:rsidR="00DF358A" w:rsidRPr="004E13E9" w:rsidRDefault="00DF358A" w:rsidP="00BB4F69">
            <w:pPr>
              <w:rPr>
                <w:sz w:val="18"/>
                <w:szCs w:val="18"/>
                <w:lang w:val="en-GB"/>
              </w:rPr>
            </w:pPr>
            <w:r w:rsidRPr="004E13E9">
              <w:rPr>
                <w:sz w:val="18"/>
                <w:szCs w:val="18"/>
                <w:lang w:val="en-GB"/>
              </w:rPr>
              <w:t>BRAC-UVALA MASLINOVA</w:t>
            </w:r>
          </w:p>
        </w:tc>
        <w:tc>
          <w:tcPr>
            <w:tcW w:w="1732" w:type="dxa"/>
            <w:noWrap/>
            <w:vAlign w:val="bottom"/>
            <w:hideMark/>
          </w:tcPr>
          <w:p w14:paraId="5CB1FF5B"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42929EA2" w14:textId="77777777" w:rsidTr="00BB4F69">
        <w:trPr>
          <w:trHeight w:val="300"/>
          <w:jc w:val="center"/>
        </w:trPr>
        <w:tc>
          <w:tcPr>
            <w:tcW w:w="4500" w:type="dxa"/>
            <w:noWrap/>
            <w:vAlign w:val="bottom"/>
            <w:hideMark/>
          </w:tcPr>
          <w:p w14:paraId="58DAD6F1" w14:textId="77777777" w:rsidR="00DF358A" w:rsidRPr="004E13E9" w:rsidRDefault="00DF358A" w:rsidP="00BB4F69">
            <w:pPr>
              <w:rPr>
                <w:sz w:val="18"/>
                <w:szCs w:val="18"/>
                <w:lang w:val="en-GB"/>
              </w:rPr>
            </w:pPr>
            <w:r w:rsidRPr="004E13E9">
              <w:rPr>
                <w:sz w:val="18"/>
                <w:szCs w:val="18"/>
                <w:lang w:val="en-GB"/>
              </w:rPr>
              <w:t>BRIŽINE – RIBARSKA LUKA</w:t>
            </w:r>
          </w:p>
        </w:tc>
        <w:tc>
          <w:tcPr>
            <w:tcW w:w="1732" w:type="dxa"/>
            <w:noWrap/>
            <w:vAlign w:val="bottom"/>
            <w:hideMark/>
          </w:tcPr>
          <w:p w14:paraId="5E74D169"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20124558" w14:textId="77777777" w:rsidTr="00BB4F69">
        <w:trPr>
          <w:trHeight w:val="300"/>
          <w:jc w:val="center"/>
        </w:trPr>
        <w:tc>
          <w:tcPr>
            <w:tcW w:w="4500" w:type="dxa"/>
            <w:noWrap/>
            <w:vAlign w:val="bottom"/>
            <w:hideMark/>
          </w:tcPr>
          <w:p w14:paraId="0DDC7F80" w14:textId="77777777" w:rsidR="00DF358A" w:rsidRPr="004E13E9" w:rsidRDefault="00DF358A" w:rsidP="00BB4F69">
            <w:pPr>
              <w:rPr>
                <w:sz w:val="18"/>
                <w:szCs w:val="18"/>
                <w:lang w:val="en-GB"/>
              </w:rPr>
            </w:pPr>
            <w:r w:rsidRPr="004E13E9">
              <w:rPr>
                <w:sz w:val="18"/>
                <w:szCs w:val="18"/>
                <w:lang w:val="en-GB"/>
              </w:rPr>
              <w:t>BRNA</w:t>
            </w:r>
          </w:p>
        </w:tc>
        <w:tc>
          <w:tcPr>
            <w:tcW w:w="1732" w:type="dxa"/>
            <w:noWrap/>
            <w:vAlign w:val="bottom"/>
            <w:hideMark/>
          </w:tcPr>
          <w:p w14:paraId="5F141263"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7C638BEC" w14:textId="77777777" w:rsidTr="00BB4F69">
        <w:trPr>
          <w:trHeight w:val="300"/>
          <w:jc w:val="center"/>
        </w:trPr>
        <w:tc>
          <w:tcPr>
            <w:tcW w:w="4500" w:type="dxa"/>
            <w:noWrap/>
            <w:vAlign w:val="bottom"/>
            <w:hideMark/>
          </w:tcPr>
          <w:p w14:paraId="77FB1197" w14:textId="77777777" w:rsidR="00DF358A" w:rsidRPr="004E13E9" w:rsidRDefault="00DF358A" w:rsidP="00BB4F69">
            <w:pPr>
              <w:rPr>
                <w:sz w:val="18"/>
                <w:szCs w:val="18"/>
                <w:lang w:val="en-GB"/>
              </w:rPr>
            </w:pPr>
            <w:r w:rsidRPr="004E13E9">
              <w:rPr>
                <w:sz w:val="18"/>
                <w:szCs w:val="18"/>
                <w:lang w:val="en-GB"/>
              </w:rPr>
              <w:t>BUNARINA</w:t>
            </w:r>
          </w:p>
        </w:tc>
        <w:tc>
          <w:tcPr>
            <w:tcW w:w="1732" w:type="dxa"/>
            <w:noWrap/>
            <w:vAlign w:val="bottom"/>
            <w:hideMark/>
          </w:tcPr>
          <w:p w14:paraId="75DEB8C6"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48A93F1D" w14:textId="77777777" w:rsidTr="00BB4F69">
        <w:trPr>
          <w:trHeight w:val="300"/>
          <w:jc w:val="center"/>
        </w:trPr>
        <w:tc>
          <w:tcPr>
            <w:tcW w:w="4500" w:type="dxa"/>
            <w:noWrap/>
            <w:vAlign w:val="bottom"/>
            <w:hideMark/>
          </w:tcPr>
          <w:p w14:paraId="11FBD0A7" w14:textId="77777777" w:rsidR="00DF358A" w:rsidRPr="004E13E9" w:rsidRDefault="00DF358A" w:rsidP="00BB4F69">
            <w:pPr>
              <w:rPr>
                <w:sz w:val="18"/>
                <w:szCs w:val="18"/>
                <w:lang w:val="en-GB"/>
              </w:rPr>
            </w:pPr>
            <w:r w:rsidRPr="004E13E9">
              <w:rPr>
                <w:sz w:val="18"/>
                <w:szCs w:val="18"/>
                <w:lang w:val="en-GB"/>
              </w:rPr>
              <w:t>CAVTAT</w:t>
            </w:r>
          </w:p>
        </w:tc>
        <w:tc>
          <w:tcPr>
            <w:tcW w:w="1732" w:type="dxa"/>
            <w:noWrap/>
            <w:vAlign w:val="bottom"/>
            <w:hideMark/>
          </w:tcPr>
          <w:p w14:paraId="04804A26"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3A05B9E8" w14:textId="77777777" w:rsidTr="00BB4F69">
        <w:trPr>
          <w:trHeight w:val="300"/>
          <w:jc w:val="center"/>
        </w:trPr>
        <w:tc>
          <w:tcPr>
            <w:tcW w:w="4500" w:type="dxa"/>
            <w:noWrap/>
            <w:vAlign w:val="bottom"/>
            <w:hideMark/>
          </w:tcPr>
          <w:p w14:paraId="1FE714ED" w14:textId="77777777" w:rsidR="00DF358A" w:rsidRPr="004E13E9" w:rsidRDefault="00DF358A" w:rsidP="00BB4F69">
            <w:pPr>
              <w:rPr>
                <w:sz w:val="18"/>
                <w:szCs w:val="18"/>
                <w:lang w:val="en-GB"/>
              </w:rPr>
            </w:pPr>
            <w:r w:rsidRPr="004E13E9">
              <w:rPr>
                <w:sz w:val="18"/>
                <w:szCs w:val="18"/>
                <w:lang w:val="en-GB"/>
              </w:rPr>
              <w:t>CRES</w:t>
            </w:r>
          </w:p>
        </w:tc>
        <w:tc>
          <w:tcPr>
            <w:tcW w:w="1732" w:type="dxa"/>
            <w:noWrap/>
            <w:vAlign w:val="bottom"/>
            <w:hideMark/>
          </w:tcPr>
          <w:p w14:paraId="7F1A9652"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3D1E1755" w14:textId="77777777" w:rsidTr="00BB4F69">
        <w:trPr>
          <w:trHeight w:val="300"/>
          <w:jc w:val="center"/>
        </w:trPr>
        <w:tc>
          <w:tcPr>
            <w:tcW w:w="4500" w:type="dxa"/>
            <w:noWrap/>
            <w:vAlign w:val="bottom"/>
            <w:hideMark/>
          </w:tcPr>
          <w:p w14:paraId="08B9C556" w14:textId="77777777" w:rsidR="00DF358A" w:rsidRPr="004E13E9" w:rsidRDefault="00DF358A" w:rsidP="00BB4F69">
            <w:pPr>
              <w:rPr>
                <w:sz w:val="18"/>
                <w:szCs w:val="18"/>
                <w:lang w:val="en-GB"/>
              </w:rPr>
            </w:pPr>
            <w:r w:rsidRPr="004E13E9">
              <w:rPr>
                <w:sz w:val="18"/>
                <w:szCs w:val="18"/>
                <w:lang w:val="en-GB"/>
              </w:rPr>
              <w:t>CRIKVENICA-PAZDEHOVA</w:t>
            </w:r>
          </w:p>
        </w:tc>
        <w:tc>
          <w:tcPr>
            <w:tcW w:w="1732" w:type="dxa"/>
            <w:noWrap/>
            <w:vAlign w:val="bottom"/>
            <w:hideMark/>
          </w:tcPr>
          <w:p w14:paraId="59D435BA"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3D0115EB" w14:textId="77777777" w:rsidTr="00BB4F69">
        <w:trPr>
          <w:trHeight w:val="300"/>
          <w:jc w:val="center"/>
        </w:trPr>
        <w:tc>
          <w:tcPr>
            <w:tcW w:w="4500" w:type="dxa"/>
            <w:noWrap/>
            <w:vAlign w:val="bottom"/>
            <w:hideMark/>
          </w:tcPr>
          <w:p w14:paraId="4671EDE6" w14:textId="77777777" w:rsidR="00DF358A" w:rsidRPr="004E13E9" w:rsidRDefault="00DF358A" w:rsidP="00BB4F69">
            <w:pPr>
              <w:rPr>
                <w:sz w:val="18"/>
                <w:szCs w:val="18"/>
                <w:lang w:val="en-GB"/>
              </w:rPr>
            </w:pPr>
            <w:r w:rsidRPr="004E13E9">
              <w:rPr>
                <w:sz w:val="18"/>
                <w:szCs w:val="18"/>
                <w:lang w:val="en-GB"/>
              </w:rPr>
              <w:t>DUBROVNIK – GRUŽ</w:t>
            </w:r>
          </w:p>
        </w:tc>
        <w:tc>
          <w:tcPr>
            <w:tcW w:w="1732" w:type="dxa"/>
            <w:noWrap/>
            <w:vAlign w:val="bottom"/>
            <w:hideMark/>
          </w:tcPr>
          <w:p w14:paraId="1BC0581D"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590C881E" w14:textId="77777777" w:rsidTr="00BB4F69">
        <w:trPr>
          <w:trHeight w:val="300"/>
          <w:jc w:val="center"/>
        </w:trPr>
        <w:tc>
          <w:tcPr>
            <w:tcW w:w="4500" w:type="dxa"/>
            <w:noWrap/>
            <w:vAlign w:val="bottom"/>
            <w:hideMark/>
          </w:tcPr>
          <w:p w14:paraId="6DB2B9DA" w14:textId="77777777" w:rsidR="00DF358A" w:rsidRPr="004E13E9" w:rsidRDefault="00DF358A" w:rsidP="00BB4F69">
            <w:pPr>
              <w:rPr>
                <w:sz w:val="18"/>
                <w:szCs w:val="18"/>
                <w:lang w:val="en-GB"/>
              </w:rPr>
            </w:pPr>
            <w:r w:rsidRPr="004E13E9">
              <w:rPr>
                <w:sz w:val="18"/>
                <w:szCs w:val="18"/>
                <w:lang w:val="en-GB"/>
              </w:rPr>
              <w:t>FAŽANA</w:t>
            </w:r>
          </w:p>
        </w:tc>
        <w:tc>
          <w:tcPr>
            <w:tcW w:w="1732" w:type="dxa"/>
            <w:noWrap/>
            <w:vAlign w:val="bottom"/>
            <w:hideMark/>
          </w:tcPr>
          <w:p w14:paraId="7C90C618"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4463AB58" w14:textId="77777777" w:rsidTr="00BB4F69">
        <w:trPr>
          <w:trHeight w:val="300"/>
          <w:jc w:val="center"/>
        </w:trPr>
        <w:tc>
          <w:tcPr>
            <w:tcW w:w="4500" w:type="dxa"/>
            <w:noWrap/>
            <w:vAlign w:val="bottom"/>
            <w:hideMark/>
          </w:tcPr>
          <w:p w14:paraId="50CEDB69" w14:textId="77777777" w:rsidR="00DF358A" w:rsidRPr="004E13E9" w:rsidRDefault="00DF358A" w:rsidP="00BB4F69">
            <w:pPr>
              <w:rPr>
                <w:sz w:val="18"/>
                <w:szCs w:val="18"/>
                <w:lang w:val="en-GB"/>
              </w:rPr>
            </w:pPr>
            <w:r w:rsidRPr="004E13E9">
              <w:rPr>
                <w:sz w:val="18"/>
                <w:szCs w:val="18"/>
                <w:lang w:val="en-GB"/>
              </w:rPr>
              <w:t>FORTICA</w:t>
            </w:r>
          </w:p>
        </w:tc>
        <w:tc>
          <w:tcPr>
            <w:tcW w:w="1732" w:type="dxa"/>
            <w:noWrap/>
            <w:vAlign w:val="bottom"/>
            <w:hideMark/>
          </w:tcPr>
          <w:p w14:paraId="2AC4364B"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2DFA3AAC" w14:textId="77777777" w:rsidTr="00BB4F69">
        <w:trPr>
          <w:trHeight w:val="300"/>
          <w:jc w:val="center"/>
        </w:trPr>
        <w:tc>
          <w:tcPr>
            <w:tcW w:w="4500" w:type="dxa"/>
            <w:noWrap/>
            <w:vAlign w:val="bottom"/>
            <w:hideMark/>
          </w:tcPr>
          <w:p w14:paraId="3EB12F7A" w14:textId="77777777" w:rsidR="00DF358A" w:rsidRPr="004E13E9" w:rsidRDefault="00DF358A" w:rsidP="00BB4F69">
            <w:pPr>
              <w:rPr>
                <w:sz w:val="18"/>
                <w:szCs w:val="18"/>
                <w:lang w:val="en-GB"/>
              </w:rPr>
            </w:pPr>
            <w:r w:rsidRPr="004E13E9">
              <w:rPr>
                <w:sz w:val="18"/>
                <w:szCs w:val="18"/>
                <w:lang w:val="en-GB"/>
              </w:rPr>
              <w:t>FUNTANA</w:t>
            </w:r>
          </w:p>
        </w:tc>
        <w:tc>
          <w:tcPr>
            <w:tcW w:w="1732" w:type="dxa"/>
            <w:noWrap/>
            <w:vAlign w:val="bottom"/>
            <w:hideMark/>
          </w:tcPr>
          <w:p w14:paraId="2E77335D"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78960350" w14:textId="77777777" w:rsidTr="00BB4F69">
        <w:trPr>
          <w:trHeight w:val="300"/>
          <w:jc w:val="center"/>
        </w:trPr>
        <w:tc>
          <w:tcPr>
            <w:tcW w:w="4500" w:type="dxa"/>
            <w:noWrap/>
            <w:vAlign w:val="bottom"/>
            <w:hideMark/>
          </w:tcPr>
          <w:p w14:paraId="73A9A1B0" w14:textId="77777777" w:rsidR="00DF358A" w:rsidRPr="004E13E9" w:rsidRDefault="00DF358A" w:rsidP="00BB4F69">
            <w:pPr>
              <w:rPr>
                <w:sz w:val="18"/>
                <w:szCs w:val="18"/>
                <w:lang w:val="en-GB"/>
              </w:rPr>
            </w:pPr>
            <w:r w:rsidRPr="004E13E9">
              <w:rPr>
                <w:sz w:val="18"/>
                <w:szCs w:val="18"/>
                <w:lang w:val="en-GB"/>
              </w:rPr>
              <w:t>GAT CAÐAVICA</w:t>
            </w:r>
          </w:p>
        </w:tc>
        <w:tc>
          <w:tcPr>
            <w:tcW w:w="1732" w:type="dxa"/>
            <w:noWrap/>
            <w:vAlign w:val="bottom"/>
            <w:hideMark/>
          </w:tcPr>
          <w:p w14:paraId="4DACC889"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0F2CBA5C" w14:textId="77777777" w:rsidTr="00BB4F69">
        <w:trPr>
          <w:trHeight w:val="300"/>
          <w:jc w:val="center"/>
        </w:trPr>
        <w:tc>
          <w:tcPr>
            <w:tcW w:w="4500" w:type="dxa"/>
            <w:noWrap/>
            <w:vAlign w:val="bottom"/>
            <w:hideMark/>
          </w:tcPr>
          <w:p w14:paraId="2E0A0235" w14:textId="77777777" w:rsidR="00DF358A" w:rsidRPr="004E13E9" w:rsidRDefault="00DF358A" w:rsidP="00BB4F69">
            <w:pPr>
              <w:rPr>
                <w:sz w:val="18"/>
                <w:szCs w:val="18"/>
                <w:lang w:val="en-GB"/>
              </w:rPr>
            </w:pPr>
            <w:r w:rsidRPr="004E13E9">
              <w:rPr>
                <w:sz w:val="18"/>
                <w:szCs w:val="18"/>
                <w:lang w:val="en-GB"/>
              </w:rPr>
              <w:t>HVAR</w:t>
            </w:r>
          </w:p>
        </w:tc>
        <w:tc>
          <w:tcPr>
            <w:tcW w:w="1732" w:type="dxa"/>
            <w:noWrap/>
            <w:vAlign w:val="bottom"/>
            <w:hideMark/>
          </w:tcPr>
          <w:p w14:paraId="510385B1"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52C75A3E" w14:textId="77777777" w:rsidTr="00BB4F69">
        <w:trPr>
          <w:trHeight w:val="300"/>
          <w:jc w:val="center"/>
        </w:trPr>
        <w:tc>
          <w:tcPr>
            <w:tcW w:w="4500" w:type="dxa"/>
            <w:noWrap/>
            <w:vAlign w:val="bottom"/>
            <w:hideMark/>
          </w:tcPr>
          <w:p w14:paraId="41F613D8" w14:textId="77777777" w:rsidR="00DF358A" w:rsidRPr="004E13E9" w:rsidRDefault="00DF358A" w:rsidP="00BB4F69">
            <w:pPr>
              <w:rPr>
                <w:sz w:val="18"/>
                <w:szCs w:val="18"/>
                <w:lang w:val="en-GB"/>
              </w:rPr>
            </w:pPr>
            <w:r w:rsidRPr="004E13E9">
              <w:rPr>
                <w:sz w:val="18"/>
                <w:szCs w:val="18"/>
                <w:lang w:val="en-GB"/>
              </w:rPr>
              <w:t>HVAR – VIRA</w:t>
            </w:r>
          </w:p>
        </w:tc>
        <w:tc>
          <w:tcPr>
            <w:tcW w:w="1732" w:type="dxa"/>
            <w:noWrap/>
            <w:vAlign w:val="bottom"/>
            <w:hideMark/>
          </w:tcPr>
          <w:p w14:paraId="186416B2"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51C9E7C2" w14:textId="77777777" w:rsidTr="00BB4F69">
        <w:trPr>
          <w:trHeight w:val="300"/>
          <w:jc w:val="center"/>
        </w:trPr>
        <w:tc>
          <w:tcPr>
            <w:tcW w:w="4500" w:type="dxa"/>
            <w:noWrap/>
            <w:vAlign w:val="bottom"/>
            <w:hideMark/>
          </w:tcPr>
          <w:p w14:paraId="44DDE37A" w14:textId="77777777" w:rsidR="00DF358A" w:rsidRPr="004E13E9" w:rsidRDefault="00DF358A" w:rsidP="00BB4F69">
            <w:pPr>
              <w:rPr>
                <w:sz w:val="18"/>
                <w:szCs w:val="18"/>
                <w:lang w:val="en-GB"/>
              </w:rPr>
            </w:pPr>
            <w:r w:rsidRPr="004E13E9">
              <w:rPr>
                <w:sz w:val="18"/>
                <w:szCs w:val="18"/>
                <w:lang w:val="en-GB"/>
              </w:rPr>
              <w:t>ILOVIK</w:t>
            </w:r>
          </w:p>
        </w:tc>
        <w:tc>
          <w:tcPr>
            <w:tcW w:w="1732" w:type="dxa"/>
            <w:noWrap/>
            <w:vAlign w:val="bottom"/>
            <w:hideMark/>
          </w:tcPr>
          <w:p w14:paraId="0F6C88D4"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564571BA" w14:textId="77777777" w:rsidTr="00BB4F69">
        <w:trPr>
          <w:trHeight w:val="300"/>
          <w:jc w:val="center"/>
        </w:trPr>
        <w:tc>
          <w:tcPr>
            <w:tcW w:w="4500" w:type="dxa"/>
            <w:noWrap/>
            <w:vAlign w:val="bottom"/>
            <w:hideMark/>
          </w:tcPr>
          <w:p w14:paraId="49CCE6E7" w14:textId="77777777" w:rsidR="00DF358A" w:rsidRPr="004E13E9" w:rsidRDefault="00DF358A" w:rsidP="00BB4F69">
            <w:pPr>
              <w:rPr>
                <w:sz w:val="18"/>
                <w:szCs w:val="18"/>
                <w:lang w:val="en-GB"/>
              </w:rPr>
            </w:pPr>
            <w:r w:rsidRPr="004E13E9">
              <w:rPr>
                <w:sz w:val="18"/>
                <w:szCs w:val="18"/>
                <w:lang w:val="en-GB"/>
              </w:rPr>
              <w:t>JABLANAC</w:t>
            </w:r>
          </w:p>
        </w:tc>
        <w:tc>
          <w:tcPr>
            <w:tcW w:w="1732" w:type="dxa"/>
            <w:noWrap/>
            <w:vAlign w:val="bottom"/>
            <w:hideMark/>
          </w:tcPr>
          <w:p w14:paraId="54C2F532"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5B432388" w14:textId="77777777" w:rsidTr="00BB4F69">
        <w:trPr>
          <w:trHeight w:val="300"/>
          <w:jc w:val="center"/>
        </w:trPr>
        <w:tc>
          <w:tcPr>
            <w:tcW w:w="4500" w:type="dxa"/>
            <w:noWrap/>
            <w:vAlign w:val="bottom"/>
            <w:hideMark/>
          </w:tcPr>
          <w:p w14:paraId="4128E25C" w14:textId="77777777" w:rsidR="00DF358A" w:rsidRPr="004E13E9" w:rsidRDefault="00DF358A" w:rsidP="00BB4F69">
            <w:pPr>
              <w:rPr>
                <w:sz w:val="18"/>
                <w:szCs w:val="18"/>
                <w:lang w:val="en-GB"/>
              </w:rPr>
            </w:pPr>
            <w:r w:rsidRPr="004E13E9">
              <w:rPr>
                <w:sz w:val="18"/>
                <w:szCs w:val="18"/>
                <w:lang w:val="en-GB"/>
              </w:rPr>
              <w:t>JELSA</w:t>
            </w:r>
          </w:p>
        </w:tc>
        <w:tc>
          <w:tcPr>
            <w:tcW w:w="1732" w:type="dxa"/>
            <w:noWrap/>
            <w:vAlign w:val="bottom"/>
            <w:hideMark/>
          </w:tcPr>
          <w:p w14:paraId="5880AB94"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232E3C51" w14:textId="77777777" w:rsidTr="00BB4F69">
        <w:trPr>
          <w:trHeight w:val="300"/>
          <w:jc w:val="center"/>
        </w:trPr>
        <w:tc>
          <w:tcPr>
            <w:tcW w:w="4500" w:type="dxa"/>
            <w:noWrap/>
            <w:vAlign w:val="bottom"/>
            <w:hideMark/>
          </w:tcPr>
          <w:p w14:paraId="39B6FF49" w14:textId="77777777" w:rsidR="00DF358A" w:rsidRPr="004E13E9" w:rsidRDefault="00DF358A" w:rsidP="00BB4F69">
            <w:pPr>
              <w:rPr>
                <w:sz w:val="18"/>
                <w:szCs w:val="18"/>
                <w:lang w:val="en-GB"/>
              </w:rPr>
            </w:pPr>
            <w:r w:rsidRPr="004E13E9">
              <w:rPr>
                <w:sz w:val="18"/>
                <w:szCs w:val="18"/>
                <w:lang w:val="en-GB"/>
              </w:rPr>
              <w:t>JEZERA</w:t>
            </w:r>
          </w:p>
        </w:tc>
        <w:tc>
          <w:tcPr>
            <w:tcW w:w="1732" w:type="dxa"/>
            <w:noWrap/>
            <w:vAlign w:val="bottom"/>
            <w:hideMark/>
          </w:tcPr>
          <w:p w14:paraId="3C6C560E"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00F3F70E" w14:textId="77777777" w:rsidTr="00BB4F69">
        <w:trPr>
          <w:trHeight w:val="300"/>
          <w:jc w:val="center"/>
        </w:trPr>
        <w:tc>
          <w:tcPr>
            <w:tcW w:w="4500" w:type="dxa"/>
            <w:noWrap/>
            <w:vAlign w:val="bottom"/>
            <w:hideMark/>
          </w:tcPr>
          <w:p w14:paraId="3FCCB21D" w14:textId="77777777" w:rsidR="00DF358A" w:rsidRPr="004E13E9" w:rsidRDefault="00DF358A" w:rsidP="00BB4F69">
            <w:pPr>
              <w:rPr>
                <w:sz w:val="18"/>
                <w:szCs w:val="18"/>
                <w:lang w:val="en-GB"/>
              </w:rPr>
            </w:pPr>
            <w:r w:rsidRPr="004E13E9">
              <w:rPr>
                <w:sz w:val="18"/>
                <w:szCs w:val="18"/>
                <w:lang w:val="en-GB"/>
              </w:rPr>
              <w:t>KALI – BATALAŽA</w:t>
            </w:r>
          </w:p>
        </w:tc>
        <w:tc>
          <w:tcPr>
            <w:tcW w:w="1732" w:type="dxa"/>
            <w:noWrap/>
            <w:vAlign w:val="bottom"/>
            <w:hideMark/>
          </w:tcPr>
          <w:p w14:paraId="2AD9CF57"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7E89825E" w14:textId="77777777" w:rsidTr="00BB4F69">
        <w:trPr>
          <w:trHeight w:val="300"/>
          <w:jc w:val="center"/>
        </w:trPr>
        <w:tc>
          <w:tcPr>
            <w:tcW w:w="4500" w:type="dxa"/>
            <w:noWrap/>
            <w:vAlign w:val="bottom"/>
            <w:hideMark/>
          </w:tcPr>
          <w:p w14:paraId="2A597B46" w14:textId="77777777" w:rsidR="00DF358A" w:rsidRPr="004E13E9" w:rsidRDefault="00DF358A" w:rsidP="00BB4F69">
            <w:pPr>
              <w:rPr>
                <w:sz w:val="18"/>
                <w:szCs w:val="18"/>
                <w:lang w:val="en-GB"/>
              </w:rPr>
            </w:pPr>
            <w:r w:rsidRPr="004E13E9">
              <w:rPr>
                <w:sz w:val="18"/>
                <w:szCs w:val="18"/>
                <w:lang w:val="en-GB"/>
              </w:rPr>
              <w:t>KALI – VELA LAMJANA</w:t>
            </w:r>
          </w:p>
        </w:tc>
        <w:tc>
          <w:tcPr>
            <w:tcW w:w="1732" w:type="dxa"/>
            <w:noWrap/>
            <w:vAlign w:val="bottom"/>
            <w:hideMark/>
          </w:tcPr>
          <w:p w14:paraId="45DB0632"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158EA4CF" w14:textId="77777777" w:rsidTr="00BB4F69">
        <w:trPr>
          <w:trHeight w:val="300"/>
          <w:jc w:val="center"/>
        </w:trPr>
        <w:tc>
          <w:tcPr>
            <w:tcW w:w="4500" w:type="dxa"/>
            <w:noWrap/>
            <w:vAlign w:val="bottom"/>
            <w:hideMark/>
          </w:tcPr>
          <w:p w14:paraId="7C5B3C57" w14:textId="77777777" w:rsidR="00DF358A" w:rsidRPr="004E13E9" w:rsidRDefault="00DF358A" w:rsidP="00BB4F69">
            <w:pPr>
              <w:rPr>
                <w:sz w:val="18"/>
                <w:szCs w:val="18"/>
                <w:lang w:val="en-GB"/>
              </w:rPr>
            </w:pPr>
            <w:r w:rsidRPr="004E13E9">
              <w:rPr>
                <w:sz w:val="18"/>
                <w:szCs w:val="18"/>
                <w:lang w:val="en-GB"/>
              </w:rPr>
              <w:t>KARIGADOR</w:t>
            </w:r>
          </w:p>
        </w:tc>
        <w:tc>
          <w:tcPr>
            <w:tcW w:w="1732" w:type="dxa"/>
            <w:noWrap/>
            <w:vAlign w:val="bottom"/>
            <w:hideMark/>
          </w:tcPr>
          <w:p w14:paraId="5326E0E5"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04B7F883" w14:textId="77777777" w:rsidTr="00BB4F69">
        <w:trPr>
          <w:trHeight w:val="300"/>
          <w:jc w:val="center"/>
        </w:trPr>
        <w:tc>
          <w:tcPr>
            <w:tcW w:w="4500" w:type="dxa"/>
            <w:noWrap/>
            <w:vAlign w:val="bottom"/>
            <w:hideMark/>
          </w:tcPr>
          <w:p w14:paraId="1C555718" w14:textId="77777777" w:rsidR="00DF358A" w:rsidRPr="004E13E9" w:rsidRDefault="00DF358A" w:rsidP="00BB4F69">
            <w:pPr>
              <w:rPr>
                <w:sz w:val="18"/>
                <w:szCs w:val="18"/>
                <w:lang w:val="en-GB"/>
              </w:rPr>
            </w:pPr>
            <w:r w:rsidRPr="004E13E9">
              <w:rPr>
                <w:sz w:val="18"/>
                <w:szCs w:val="18"/>
                <w:lang w:val="en-GB"/>
              </w:rPr>
              <w:t>KAŠTEL GOMILICA</w:t>
            </w:r>
          </w:p>
        </w:tc>
        <w:tc>
          <w:tcPr>
            <w:tcW w:w="1732" w:type="dxa"/>
            <w:noWrap/>
            <w:vAlign w:val="bottom"/>
            <w:hideMark/>
          </w:tcPr>
          <w:p w14:paraId="10FAE88C"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16BF512A" w14:textId="77777777" w:rsidTr="00BB4F69">
        <w:trPr>
          <w:trHeight w:val="300"/>
          <w:jc w:val="center"/>
        </w:trPr>
        <w:tc>
          <w:tcPr>
            <w:tcW w:w="4500" w:type="dxa"/>
            <w:noWrap/>
            <w:vAlign w:val="bottom"/>
            <w:hideMark/>
          </w:tcPr>
          <w:p w14:paraId="20C56F2A" w14:textId="77777777" w:rsidR="00DF358A" w:rsidRPr="004E13E9" w:rsidRDefault="00DF358A" w:rsidP="00BB4F69">
            <w:pPr>
              <w:rPr>
                <w:sz w:val="18"/>
                <w:szCs w:val="18"/>
                <w:lang w:val="en-GB"/>
              </w:rPr>
            </w:pPr>
            <w:r w:rsidRPr="004E13E9">
              <w:rPr>
                <w:sz w:val="18"/>
                <w:szCs w:val="18"/>
                <w:lang w:val="en-GB"/>
              </w:rPr>
              <w:t>KAŠTEL KAMBELOVAC</w:t>
            </w:r>
          </w:p>
        </w:tc>
        <w:tc>
          <w:tcPr>
            <w:tcW w:w="1732" w:type="dxa"/>
            <w:noWrap/>
            <w:vAlign w:val="bottom"/>
            <w:hideMark/>
          </w:tcPr>
          <w:p w14:paraId="5146733A"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0DF7BB20" w14:textId="77777777" w:rsidTr="00BB4F69">
        <w:trPr>
          <w:trHeight w:val="300"/>
          <w:jc w:val="center"/>
        </w:trPr>
        <w:tc>
          <w:tcPr>
            <w:tcW w:w="4500" w:type="dxa"/>
            <w:noWrap/>
            <w:vAlign w:val="bottom"/>
            <w:hideMark/>
          </w:tcPr>
          <w:p w14:paraId="44996A9C" w14:textId="77777777" w:rsidR="00DF358A" w:rsidRPr="004E13E9" w:rsidRDefault="00DF358A" w:rsidP="00BB4F69">
            <w:pPr>
              <w:rPr>
                <w:sz w:val="18"/>
                <w:szCs w:val="18"/>
                <w:lang w:val="en-GB"/>
              </w:rPr>
            </w:pPr>
            <w:r w:rsidRPr="004E13E9">
              <w:rPr>
                <w:sz w:val="18"/>
                <w:szCs w:val="18"/>
                <w:lang w:val="en-GB"/>
              </w:rPr>
              <w:t>KAŠTEL STARI</w:t>
            </w:r>
          </w:p>
        </w:tc>
        <w:tc>
          <w:tcPr>
            <w:tcW w:w="1732" w:type="dxa"/>
            <w:noWrap/>
            <w:vAlign w:val="bottom"/>
            <w:hideMark/>
          </w:tcPr>
          <w:p w14:paraId="4C9BBEE8"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424CD675" w14:textId="77777777" w:rsidTr="00BB4F69">
        <w:trPr>
          <w:trHeight w:val="300"/>
          <w:jc w:val="center"/>
        </w:trPr>
        <w:tc>
          <w:tcPr>
            <w:tcW w:w="4500" w:type="dxa"/>
            <w:noWrap/>
            <w:vAlign w:val="bottom"/>
            <w:hideMark/>
          </w:tcPr>
          <w:p w14:paraId="73D2833A" w14:textId="77777777" w:rsidR="00DF358A" w:rsidRPr="004E13E9" w:rsidRDefault="00DF358A" w:rsidP="00BB4F69">
            <w:pPr>
              <w:rPr>
                <w:sz w:val="18"/>
                <w:szCs w:val="18"/>
                <w:lang w:val="en-GB"/>
              </w:rPr>
            </w:pPr>
            <w:r w:rsidRPr="004E13E9">
              <w:rPr>
                <w:sz w:val="18"/>
                <w:szCs w:val="18"/>
                <w:lang w:val="en-GB"/>
              </w:rPr>
              <w:t>KAŠTEL SUCURAC</w:t>
            </w:r>
          </w:p>
        </w:tc>
        <w:tc>
          <w:tcPr>
            <w:tcW w:w="1732" w:type="dxa"/>
            <w:noWrap/>
            <w:vAlign w:val="bottom"/>
            <w:hideMark/>
          </w:tcPr>
          <w:p w14:paraId="6E0148A5"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3E9F1895" w14:textId="77777777" w:rsidTr="00BB4F69">
        <w:trPr>
          <w:trHeight w:val="300"/>
          <w:jc w:val="center"/>
        </w:trPr>
        <w:tc>
          <w:tcPr>
            <w:tcW w:w="4500" w:type="dxa"/>
            <w:noWrap/>
            <w:vAlign w:val="bottom"/>
            <w:hideMark/>
          </w:tcPr>
          <w:p w14:paraId="18CC0B5E" w14:textId="77777777" w:rsidR="00DF358A" w:rsidRPr="004E13E9" w:rsidRDefault="00DF358A" w:rsidP="00BB4F69">
            <w:pPr>
              <w:rPr>
                <w:sz w:val="18"/>
                <w:szCs w:val="18"/>
                <w:lang w:val="en-GB"/>
              </w:rPr>
            </w:pPr>
            <w:r w:rsidRPr="004E13E9">
              <w:rPr>
                <w:sz w:val="18"/>
                <w:szCs w:val="18"/>
                <w:lang w:val="en-GB"/>
              </w:rPr>
              <w:t>KLENOVICA</w:t>
            </w:r>
          </w:p>
        </w:tc>
        <w:tc>
          <w:tcPr>
            <w:tcW w:w="1732" w:type="dxa"/>
            <w:noWrap/>
            <w:vAlign w:val="bottom"/>
            <w:hideMark/>
          </w:tcPr>
          <w:p w14:paraId="66DCC5DA"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5E0D58BE" w14:textId="77777777" w:rsidTr="00BB4F69">
        <w:trPr>
          <w:trHeight w:val="300"/>
          <w:jc w:val="center"/>
        </w:trPr>
        <w:tc>
          <w:tcPr>
            <w:tcW w:w="4500" w:type="dxa"/>
            <w:noWrap/>
            <w:vAlign w:val="bottom"/>
            <w:hideMark/>
          </w:tcPr>
          <w:p w14:paraId="787EE48B" w14:textId="77777777" w:rsidR="00DF358A" w:rsidRPr="004E13E9" w:rsidRDefault="00DF358A" w:rsidP="00BB4F69">
            <w:pPr>
              <w:rPr>
                <w:sz w:val="18"/>
                <w:szCs w:val="18"/>
                <w:lang w:val="en-GB"/>
              </w:rPr>
            </w:pPr>
            <w:r w:rsidRPr="004E13E9">
              <w:rPr>
                <w:sz w:val="18"/>
                <w:szCs w:val="18"/>
                <w:lang w:val="en-GB"/>
              </w:rPr>
              <w:t>KOMIŽA</w:t>
            </w:r>
          </w:p>
        </w:tc>
        <w:tc>
          <w:tcPr>
            <w:tcW w:w="1732" w:type="dxa"/>
            <w:noWrap/>
            <w:vAlign w:val="bottom"/>
            <w:hideMark/>
          </w:tcPr>
          <w:p w14:paraId="37128F39"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05FE5495" w14:textId="77777777" w:rsidTr="00BB4F69">
        <w:trPr>
          <w:trHeight w:val="300"/>
          <w:jc w:val="center"/>
        </w:trPr>
        <w:tc>
          <w:tcPr>
            <w:tcW w:w="4500" w:type="dxa"/>
            <w:noWrap/>
            <w:vAlign w:val="bottom"/>
            <w:hideMark/>
          </w:tcPr>
          <w:p w14:paraId="41126576" w14:textId="77777777" w:rsidR="00DF358A" w:rsidRPr="004E13E9" w:rsidRDefault="00DF358A" w:rsidP="00BB4F69">
            <w:pPr>
              <w:rPr>
                <w:sz w:val="18"/>
                <w:szCs w:val="18"/>
                <w:lang w:val="en-GB"/>
              </w:rPr>
            </w:pPr>
            <w:r w:rsidRPr="004E13E9">
              <w:rPr>
                <w:sz w:val="18"/>
                <w:szCs w:val="18"/>
                <w:lang w:val="en-GB"/>
              </w:rPr>
              <w:t>KRALJEVICA</w:t>
            </w:r>
          </w:p>
        </w:tc>
        <w:tc>
          <w:tcPr>
            <w:tcW w:w="1732" w:type="dxa"/>
            <w:noWrap/>
            <w:vAlign w:val="bottom"/>
            <w:hideMark/>
          </w:tcPr>
          <w:p w14:paraId="79CB440B"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6F4A5763" w14:textId="77777777" w:rsidTr="00BB4F69">
        <w:trPr>
          <w:trHeight w:val="300"/>
          <w:jc w:val="center"/>
        </w:trPr>
        <w:tc>
          <w:tcPr>
            <w:tcW w:w="4500" w:type="dxa"/>
            <w:noWrap/>
            <w:vAlign w:val="bottom"/>
            <w:hideMark/>
          </w:tcPr>
          <w:p w14:paraId="08FF91E7" w14:textId="77777777" w:rsidR="00DF358A" w:rsidRPr="004E13E9" w:rsidRDefault="00DF358A" w:rsidP="00BB4F69">
            <w:pPr>
              <w:rPr>
                <w:sz w:val="18"/>
                <w:szCs w:val="18"/>
                <w:lang w:val="en-GB"/>
              </w:rPr>
            </w:pPr>
            <w:r w:rsidRPr="004E13E9">
              <w:rPr>
                <w:sz w:val="18"/>
                <w:szCs w:val="18"/>
                <w:lang w:val="en-GB"/>
              </w:rPr>
              <w:t>KRILA JESENICE</w:t>
            </w:r>
          </w:p>
        </w:tc>
        <w:tc>
          <w:tcPr>
            <w:tcW w:w="1732" w:type="dxa"/>
            <w:noWrap/>
            <w:vAlign w:val="bottom"/>
            <w:hideMark/>
          </w:tcPr>
          <w:p w14:paraId="4F8D001E"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5C5DFBA4" w14:textId="77777777" w:rsidTr="00BB4F69">
        <w:trPr>
          <w:trHeight w:val="300"/>
          <w:jc w:val="center"/>
        </w:trPr>
        <w:tc>
          <w:tcPr>
            <w:tcW w:w="4500" w:type="dxa"/>
            <w:noWrap/>
            <w:vAlign w:val="bottom"/>
            <w:hideMark/>
          </w:tcPr>
          <w:p w14:paraId="12075EAA" w14:textId="77777777" w:rsidR="00DF358A" w:rsidRPr="004E13E9" w:rsidRDefault="00DF358A" w:rsidP="00BB4F69">
            <w:pPr>
              <w:rPr>
                <w:sz w:val="18"/>
                <w:szCs w:val="18"/>
                <w:lang w:val="en-GB"/>
              </w:rPr>
            </w:pPr>
            <w:r w:rsidRPr="004E13E9">
              <w:rPr>
                <w:sz w:val="18"/>
                <w:szCs w:val="18"/>
                <w:lang w:val="en-GB"/>
              </w:rPr>
              <w:t>KRK</w:t>
            </w:r>
          </w:p>
        </w:tc>
        <w:tc>
          <w:tcPr>
            <w:tcW w:w="1732" w:type="dxa"/>
            <w:noWrap/>
            <w:vAlign w:val="bottom"/>
            <w:hideMark/>
          </w:tcPr>
          <w:p w14:paraId="3FC7503D"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00EABFED" w14:textId="77777777" w:rsidTr="00BB4F69">
        <w:trPr>
          <w:trHeight w:val="300"/>
          <w:jc w:val="center"/>
        </w:trPr>
        <w:tc>
          <w:tcPr>
            <w:tcW w:w="4500" w:type="dxa"/>
            <w:noWrap/>
            <w:vAlign w:val="bottom"/>
            <w:hideMark/>
          </w:tcPr>
          <w:p w14:paraId="1C8BA75C" w14:textId="77777777" w:rsidR="00DF358A" w:rsidRPr="004E13E9" w:rsidRDefault="00DF358A" w:rsidP="00BB4F69">
            <w:pPr>
              <w:rPr>
                <w:sz w:val="18"/>
                <w:szCs w:val="18"/>
                <w:lang w:val="en-GB"/>
              </w:rPr>
            </w:pPr>
            <w:r w:rsidRPr="004E13E9">
              <w:rPr>
                <w:sz w:val="18"/>
                <w:szCs w:val="18"/>
                <w:lang w:val="en-GB"/>
              </w:rPr>
              <w:t>KRNICA</w:t>
            </w:r>
          </w:p>
        </w:tc>
        <w:tc>
          <w:tcPr>
            <w:tcW w:w="1732" w:type="dxa"/>
            <w:noWrap/>
            <w:vAlign w:val="bottom"/>
            <w:hideMark/>
          </w:tcPr>
          <w:p w14:paraId="34A033AA"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17868BDF" w14:textId="77777777" w:rsidTr="00BB4F69">
        <w:trPr>
          <w:trHeight w:val="300"/>
          <w:jc w:val="center"/>
        </w:trPr>
        <w:tc>
          <w:tcPr>
            <w:tcW w:w="4500" w:type="dxa"/>
            <w:noWrap/>
            <w:vAlign w:val="bottom"/>
            <w:hideMark/>
          </w:tcPr>
          <w:p w14:paraId="48D19F4B" w14:textId="77777777" w:rsidR="00DF358A" w:rsidRPr="004E13E9" w:rsidRDefault="00DF358A" w:rsidP="00BB4F69">
            <w:pPr>
              <w:rPr>
                <w:sz w:val="18"/>
                <w:szCs w:val="18"/>
                <w:lang w:val="en-GB"/>
              </w:rPr>
            </w:pPr>
            <w:r w:rsidRPr="004E13E9">
              <w:rPr>
                <w:sz w:val="18"/>
                <w:szCs w:val="18"/>
                <w:lang w:val="en-GB"/>
              </w:rPr>
              <w:t>KUKLJICA – RIBARSKI GAT</w:t>
            </w:r>
          </w:p>
        </w:tc>
        <w:tc>
          <w:tcPr>
            <w:tcW w:w="1732" w:type="dxa"/>
            <w:noWrap/>
            <w:vAlign w:val="bottom"/>
            <w:hideMark/>
          </w:tcPr>
          <w:p w14:paraId="2CD8E2EE"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619C6939" w14:textId="77777777" w:rsidTr="00BB4F69">
        <w:trPr>
          <w:trHeight w:val="300"/>
          <w:jc w:val="center"/>
        </w:trPr>
        <w:tc>
          <w:tcPr>
            <w:tcW w:w="4500" w:type="dxa"/>
            <w:noWrap/>
            <w:vAlign w:val="bottom"/>
            <w:hideMark/>
          </w:tcPr>
          <w:p w14:paraId="1FB0A176" w14:textId="77777777" w:rsidR="00DF358A" w:rsidRPr="004E13E9" w:rsidRDefault="00DF358A" w:rsidP="00BB4F69">
            <w:pPr>
              <w:rPr>
                <w:sz w:val="18"/>
                <w:szCs w:val="18"/>
                <w:lang w:val="en-GB"/>
              </w:rPr>
            </w:pPr>
            <w:r w:rsidRPr="004E13E9">
              <w:rPr>
                <w:sz w:val="18"/>
                <w:szCs w:val="18"/>
                <w:lang w:val="en-GB"/>
              </w:rPr>
              <w:t>LIŽNJAN – KUJE</w:t>
            </w:r>
          </w:p>
        </w:tc>
        <w:tc>
          <w:tcPr>
            <w:tcW w:w="1732" w:type="dxa"/>
            <w:noWrap/>
            <w:vAlign w:val="bottom"/>
            <w:hideMark/>
          </w:tcPr>
          <w:p w14:paraId="562EEF3A"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2CA767C5" w14:textId="77777777" w:rsidTr="00BB4F69">
        <w:trPr>
          <w:trHeight w:val="300"/>
          <w:jc w:val="center"/>
        </w:trPr>
        <w:tc>
          <w:tcPr>
            <w:tcW w:w="4500" w:type="dxa"/>
            <w:noWrap/>
            <w:vAlign w:val="bottom"/>
            <w:hideMark/>
          </w:tcPr>
          <w:p w14:paraId="487D91CA" w14:textId="77777777" w:rsidR="00DF358A" w:rsidRPr="004E13E9" w:rsidRDefault="00DF358A" w:rsidP="00BB4F69">
            <w:pPr>
              <w:rPr>
                <w:sz w:val="18"/>
                <w:szCs w:val="18"/>
                <w:lang w:val="en-GB"/>
              </w:rPr>
            </w:pPr>
            <w:r w:rsidRPr="004E13E9">
              <w:rPr>
                <w:sz w:val="18"/>
                <w:szCs w:val="18"/>
                <w:lang w:val="en-GB"/>
              </w:rPr>
              <w:t>LOVIŠTE</w:t>
            </w:r>
          </w:p>
        </w:tc>
        <w:tc>
          <w:tcPr>
            <w:tcW w:w="1732" w:type="dxa"/>
            <w:noWrap/>
            <w:vAlign w:val="bottom"/>
            <w:hideMark/>
          </w:tcPr>
          <w:p w14:paraId="144EC34F"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4FAFDB52" w14:textId="77777777" w:rsidTr="00BB4F69">
        <w:trPr>
          <w:trHeight w:val="300"/>
          <w:jc w:val="center"/>
        </w:trPr>
        <w:tc>
          <w:tcPr>
            <w:tcW w:w="4500" w:type="dxa"/>
            <w:noWrap/>
            <w:vAlign w:val="bottom"/>
            <w:hideMark/>
          </w:tcPr>
          <w:p w14:paraId="2D44C1A4" w14:textId="77777777" w:rsidR="00DF358A" w:rsidRPr="004E13E9" w:rsidRDefault="00DF358A" w:rsidP="00BB4F69">
            <w:pPr>
              <w:rPr>
                <w:sz w:val="18"/>
                <w:szCs w:val="18"/>
                <w:lang w:val="en-GB"/>
              </w:rPr>
            </w:pPr>
            <w:r w:rsidRPr="004E13E9">
              <w:rPr>
                <w:sz w:val="18"/>
                <w:szCs w:val="18"/>
                <w:lang w:val="en-GB"/>
              </w:rPr>
              <w:t>LUMBARDA</w:t>
            </w:r>
          </w:p>
        </w:tc>
        <w:tc>
          <w:tcPr>
            <w:tcW w:w="1732" w:type="dxa"/>
            <w:noWrap/>
            <w:vAlign w:val="bottom"/>
            <w:hideMark/>
          </w:tcPr>
          <w:p w14:paraId="41C57896"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2EA3233C" w14:textId="77777777" w:rsidTr="00BB4F69">
        <w:trPr>
          <w:trHeight w:val="300"/>
          <w:jc w:val="center"/>
        </w:trPr>
        <w:tc>
          <w:tcPr>
            <w:tcW w:w="4500" w:type="dxa"/>
            <w:noWrap/>
            <w:vAlign w:val="bottom"/>
            <w:hideMark/>
          </w:tcPr>
          <w:p w14:paraId="287DC7E9" w14:textId="77777777" w:rsidR="00DF358A" w:rsidRPr="004E13E9" w:rsidRDefault="00DF358A" w:rsidP="00BB4F69">
            <w:pPr>
              <w:rPr>
                <w:sz w:val="18"/>
                <w:szCs w:val="18"/>
                <w:lang w:val="en-GB"/>
              </w:rPr>
            </w:pPr>
            <w:r w:rsidRPr="004E13E9">
              <w:rPr>
                <w:sz w:val="18"/>
                <w:szCs w:val="18"/>
                <w:lang w:val="en-GB"/>
              </w:rPr>
              <w:t>MAKARSKA</w:t>
            </w:r>
          </w:p>
        </w:tc>
        <w:tc>
          <w:tcPr>
            <w:tcW w:w="1732" w:type="dxa"/>
            <w:noWrap/>
            <w:vAlign w:val="bottom"/>
            <w:hideMark/>
          </w:tcPr>
          <w:p w14:paraId="7C6AF76E"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330F3360" w14:textId="77777777" w:rsidTr="00BB4F69">
        <w:trPr>
          <w:trHeight w:val="300"/>
          <w:jc w:val="center"/>
        </w:trPr>
        <w:tc>
          <w:tcPr>
            <w:tcW w:w="4500" w:type="dxa"/>
            <w:noWrap/>
            <w:vAlign w:val="bottom"/>
            <w:hideMark/>
          </w:tcPr>
          <w:p w14:paraId="438B7A68" w14:textId="77777777" w:rsidR="00DF358A" w:rsidRPr="004E13E9" w:rsidRDefault="00DF358A" w:rsidP="00BB4F69">
            <w:pPr>
              <w:rPr>
                <w:sz w:val="18"/>
                <w:szCs w:val="18"/>
                <w:lang w:val="en-GB"/>
              </w:rPr>
            </w:pPr>
            <w:r w:rsidRPr="004E13E9">
              <w:rPr>
                <w:sz w:val="18"/>
                <w:szCs w:val="18"/>
                <w:lang w:val="en-GB"/>
              </w:rPr>
              <w:t>MALI LOŠINJ</w:t>
            </w:r>
          </w:p>
        </w:tc>
        <w:tc>
          <w:tcPr>
            <w:tcW w:w="1732" w:type="dxa"/>
            <w:noWrap/>
            <w:vAlign w:val="bottom"/>
            <w:hideMark/>
          </w:tcPr>
          <w:p w14:paraId="58E3B7CE"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5C3E252B" w14:textId="77777777" w:rsidTr="00BB4F69">
        <w:trPr>
          <w:trHeight w:val="300"/>
          <w:jc w:val="center"/>
        </w:trPr>
        <w:tc>
          <w:tcPr>
            <w:tcW w:w="4500" w:type="dxa"/>
            <w:noWrap/>
            <w:vAlign w:val="bottom"/>
            <w:hideMark/>
          </w:tcPr>
          <w:p w14:paraId="6932C609" w14:textId="77777777" w:rsidR="00DF358A" w:rsidRPr="004E13E9" w:rsidRDefault="00DF358A" w:rsidP="00BB4F69">
            <w:pPr>
              <w:rPr>
                <w:sz w:val="18"/>
                <w:szCs w:val="18"/>
                <w:lang w:val="en-GB"/>
              </w:rPr>
            </w:pPr>
            <w:r w:rsidRPr="004E13E9">
              <w:rPr>
                <w:sz w:val="18"/>
                <w:szCs w:val="18"/>
                <w:lang w:val="en-GB"/>
              </w:rPr>
              <w:t>MALINSKA</w:t>
            </w:r>
          </w:p>
        </w:tc>
        <w:tc>
          <w:tcPr>
            <w:tcW w:w="1732" w:type="dxa"/>
            <w:noWrap/>
            <w:vAlign w:val="bottom"/>
            <w:hideMark/>
          </w:tcPr>
          <w:p w14:paraId="5BE43124"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4AD9A386" w14:textId="77777777" w:rsidTr="00BB4F69">
        <w:trPr>
          <w:trHeight w:val="300"/>
          <w:jc w:val="center"/>
        </w:trPr>
        <w:tc>
          <w:tcPr>
            <w:tcW w:w="4500" w:type="dxa"/>
            <w:noWrap/>
            <w:vAlign w:val="bottom"/>
            <w:hideMark/>
          </w:tcPr>
          <w:p w14:paraId="5724BC76" w14:textId="77777777" w:rsidR="00DF358A" w:rsidRPr="004E13E9" w:rsidRDefault="00DF358A" w:rsidP="00BB4F69">
            <w:pPr>
              <w:rPr>
                <w:sz w:val="18"/>
                <w:szCs w:val="18"/>
                <w:lang w:val="en-GB"/>
              </w:rPr>
            </w:pPr>
            <w:r w:rsidRPr="004E13E9">
              <w:rPr>
                <w:sz w:val="18"/>
                <w:szCs w:val="18"/>
                <w:lang w:val="en-GB"/>
              </w:rPr>
              <w:t>MANDRE</w:t>
            </w:r>
          </w:p>
        </w:tc>
        <w:tc>
          <w:tcPr>
            <w:tcW w:w="1732" w:type="dxa"/>
            <w:noWrap/>
            <w:vAlign w:val="bottom"/>
            <w:hideMark/>
          </w:tcPr>
          <w:p w14:paraId="375ECC8A"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12F91640" w14:textId="77777777" w:rsidTr="00BB4F69">
        <w:trPr>
          <w:trHeight w:val="300"/>
          <w:jc w:val="center"/>
        </w:trPr>
        <w:tc>
          <w:tcPr>
            <w:tcW w:w="4500" w:type="dxa"/>
            <w:noWrap/>
            <w:vAlign w:val="bottom"/>
            <w:hideMark/>
          </w:tcPr>
          <w:p w14:paraId="1A6319E8" w14:textId="77777777" w:rsidR="00DF358A" w:rsidRPr="004E13E9" w:rsidRDefault="00DF358A" w:rsidP="00BB4F69">
            <w:pPr>
              <w:rPr>
                <w:sz w:val="18"/>
                <w:szCs w:val="18"/>
                <w:lang w:val="en-GB"/>
              </w:rPr>
            </w:pPr>
            <w:r w:rsidRPr="004E13E9">
              <w:rPr>
                <w:sz w:val="18"/>
                <w:szCs w:val="18"/>
                <w:lang w:val="en-GB"/>
              </w:rPr>
              <w:t>MARTINSKA</w:t>
            </w:r>
          </w:p>
        </w:tc>
        <w:tc>
          <w:tcPr>
            <w:tcW w:w="1732" w:type="dxa"/>
            <w:noWrap/>
            <w:vAlign w:val="bottom"/>
            <w:hideMark/>
          </w:tcPr>
          <w:p w14:paraId="66E5A508"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0A2EDAA4" w14:textId="77777777" w:rsidTr="00BB4F69">
        <w:trPr>
          <w:trHeight w:val="300"/>
          <w:jc w:val="center"/>
        </w:trPr>
        <w:tc>
          <w:tcPr>
            <w:tcW w:w="4500" w:type="dxa"/>
            <w:noWrap/>
            <w:vAlign w:val="bottom"/>
            <w:hideMark/>
          </w:tcPr>
          <w:p w14:paraId="78D74FC4" w14:textId="77777777" w:rsidR="00DF358A" w:rsidRPr="004E13E9" w:rsidRDefault="00DF358A" w:rsidP="00BB4F69">
            <w:pPr>
              <w:rPr>
                <w:sz w:val="18"/>
                <w:szCs w:val="18"/>
                <w:lang w:val="en-GB"/>
              </w:rPr>
            </w:pPr>
            <w:r w:rsidRPr="004E13E9">
              <w:rPr>
                <w:sz w:val="18"/>
                <w:szCs w:val="18"/>
                <w:lang w:val="en-GB"/>
              </w:rPr>
              <w:t>MEDULIN</w:t>
            </w:r>
          </w:p>
        </w:tc>
        <w:tc>
          <w:tcPr>
            <w:tcW w:w="1732" w:type="dxa"/>
            <w:noWrap/>
            <w:vAlign w:val="bottom"/>
            <w:hideMark/>
          </w:tcPr>
          <w:p w14:paraId="771C0D15"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0251DC4D" w14:textId="77777777" w:rsidTr="00BB4F69">
        <w:trPr>
          <w:trHeight w:val="300"/>
          <w:jc w:val="center"/>
        </w:trPr>
        <w:tc>
          <w:tcPr>
            <w:tcW w:w="4500" w:type="dxa"/>
            <w:noWrap/>
            <w:vAlign w:val="bottom"/>
            <w:hideMark/>
          </w:tcPr>
          <w:p w14:paraId="42866A5E" w14:textId="77777777" w:rsidR="00DF358A" w:rsidRPr="004E13E9" w:rsidRDefault="00DF358A" w:rsidP="00BB4F69">
            <w:pPr>
              <w:rPr>
                <w:sz w:val="18"/>
                <w:szCs w:val="18"/>
                <w:lang w:val="en-GB"/>
              </w:rPr>
            </w:pPr>
            <w:r w:rsidRPr="004E13E9">
              <w:rPr>
                <w:sz w:val="18"/>
                <w:szCs w:val="18"/>
                <w:lang w:val="en-GB"/>
              </w:rPr>
              <w:t>MILNA</w:t>
            </w:r>
          </w:p>
        </w:tc>
        <w:tc>
          <w:tcPr>
            <w:tcW w:w="1732" w:type="dxa"/>
            <w:noWrap/>
            <w:vAlign w:val="bottom"/>
            <w:hideMark/>
          </w:tcPr>
          <w:p w14:paraId="39AB791B"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1BF92C4F" w14:textId="77777777" w:rsidTr="00BB4F69">
        <w:trPr>
          <w:trHeight w:val="300"/>
          <w:jc w:val="center"/>
        </w:trPr>
        <w:tc>
          <w:tcPr>
            <w:tcW w:w="4500" w:type="dxa"/>
            <w:noWrap/>
            <w:vAlign w:val="bottom"/>
            <w:hideMark/>
          </w:tcPr>
          <w:p w14:paraId="197D2122" w14:textId="77777777" w:rsidR="00DF358A" w:rsidRPr="004E13E9" w:rsidRDefault="00DF358A" w:rsidP="00BB4F69">
            <w:pPr>
              <w:rPr>
                <w:sz w:val="18"/>
                <w:szCs w:val="18"/>
                <w:lang w:val="en-GB"/>
              </w:rPr>
            </w:pPr>
            <w:r w:rsidRPr="004E13E9">
              <w:rPr>
                <w:sz w:val="18"/>
                <w:szCs w:val="18"/>
                <w:lang w:val="en-GB"/>
              </w:rPr>
              <w:t>MOLAT – LUCINA</w:t>
            </w:r>
          </w:p>
        </w:tc>
        <w:tc>
          <w:tcPr>
            <w:tcW w:w="1732" w:type="dxa"/>
            <w:noWrap/>
            <w:vAlign w:val="bottom"/>
            <w:hideMark/>
          </w:tcPr>
          <w:p w14:paraId="706CE0CE"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3E495DFF" w14:textId="77777777" w:rsidTr="00BB4F69">
        <w:trPr>
          <w:trHeight w:val="300"/>
          <w:jc w:val="center"/>
        </w:trPr>
        <w:tc>
          <w:tcPr>
            <w:tcW w:w="4500" w:type="dxa"/>
            <w:noWrap/>
            <w:vAlign w:val="bottom"/>
            <w:hideMark/>
          </w:tcPr>
          <w:p w14:paraId="412594B6" w14:textId="77777777" w:rsidR="00DF358A" w:rsidRPr="004E13E9" w:rsidRDefault="00DF358A" w:rsidP="00BB4F69">
            <w:pPr>
              <w:rPr>
                <w:sz w:val="18"/>
                <w:szCs w:val="18"/>
                <w:lang w:val="en-GB"/>
              </w:rPr>
            </w:pPr>
            <w:r w:rsidRPr="004E13E9">
              <w:rPr>
                <w:sz w:val="18"/>
                <w:szCs w:val="18"/>
                <w:lang w:val="en-GB"/>
              </w:rPr>
              <w:t>MOLUNAT</w:t>
            </w:r>
          </w:p>
        </w:tc>
        <w:tc>
          <w:tcPr>
            <w:tcW w:w="1732" w:type="dxa"/>
            <w:noWrap/>
            <w:vAlign w:val="bottom"/>
            <w:hideMark/>
          </w:tcPr>
          <w:p w14:paraId="59C6E4EE"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38B6EC84" w14:textId="77777777" w:rsidTr="00BB4F69">
        <w:trPr>
          <w:trHeight w:val="300"/>
          <w:jc w:val="center"/>
        </w:trPr>
        <w:tc>
          <w:tcPr>
            <w:tcW w:w="4500" w:type="dxa"/>
            <w:noWrap/>
            <w:vAlign w:val="bottom"/>
            <w:hideMark/>
          </w:tcPr>
          <w:p w14:paraId="1FA7C9D1" w14:textId="77777777" w:rsidR="00DF358A" w:rsidRPr="004E13E9" w:rsidRDefault="00DF358A" w:rsidP="00BB4F69">
            <w:pPr>
              <w:rPr>
                <w:sz w:val="18"/>
                <w:szCs w:val="18"/>
                <w:lang w:val="en-GB"/>
              </w:rPr>
            </w:pPr>
            <w:r w:rsidRPr="004E13E9">
              <w:rPr>
                <w:sz w:val="18"/>
                <w:szCs w:val="18"/>
                <w:lang w:val="en-GB"/>
              </w:rPr>
              <w:t>MOŠCENICKA DRAGA</w:t>
            </w:r>
          </w:p>
        </w:tc>
        <w:tc>
          <w:tcPr>
            <w:tcW w:w="1732" w:type="dxa"/>
            <w:noWrap/>
            <w:vAlign w:val="bottom"/>
            <w:hideMark/>
          </w:tcPr>
          <w:p w14:paraId="02F62A06"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2257BBCE" w14:textId="77777777" w:rsidTr="00BB4F69">
        <w:trPr>
          <w:trHeight w:val="300"/>
          <w:jc w:val="center"/>
        </w:trPr>
        <w:tc>
          <w:tcPr>
            <w:tcW w:w="4500" w:type="dxa"/>
            <w:noWrap/>
            <w:vAlign w:val="bottom"/>
            <w:hideMark/>
          </w:tcPr>
          <w:p w14:paraId="5C9C509B" w14:textId="77777777" w:rsidR="00DF358A" w:rsidRPr="004E13E9" w:rsidRDefault="00DF358A" w:rsidP="00BB4F69">
            <w:pPr>
              <w:rPr>
                <w:sz w:val="18"/>
                <w:szCs w:val="18"/>
                <w:lang w:val="en-GB"/>
              </w:rPr>
            </w:pPr>
            <w:r w:rsidRPr="004E13E9">
              <w:rPr>
                <w:sz w:val="18"/>
                <w:szCs w:val="18"/>
                <w:lang w:val="en-GB"/>
              </w:rPr>
              <w:t>MURTER</w:t>
            </w:r>
          </w:p>
        </w:tc>
        <w:tc>
          <w:tcPr>
            <w:tcW w:w="1732" w:type="dxa"/>
            <w:noWrap/>
            <w:vAlign w:val="bottom"/>
            <w:hideMark/>
          </w:tcPr>
          <w:p w14:paraId="73CD342E"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668E24AF" w14:textId="77777777" w:rsidTr="00BB4F69">
        <w:trPr>
          <w:trHeight w:val="300"/>
          <w:jc w:val="center"/>
        </w:trPr>
        <w:tc>
          <w:tcPr>
            <w:tcW w:w="4500" w:type="dxa"/>
            <w:noWrap/>
            <w:vAlign w:val="bottom"/>
            <w:hideMark/>
          </w:tcPr>
          <w:p w14:paraId="1ACC8150" w14:textId="77777777" w:rsidR="00DF358A" w:rsidRPr="004E13E9" w:rsidRDefault="00DF358A" w:rsidP="00BB4F69">
            <w:pPr>
              <w:rPr>
                <w:sz w:val="18"/>
                <w:szCs w:val="18"/>
                <w:lang w:val="en-GB"/>
              </w:rPr>
            </w:pPr>
            <w:r w:rsidRPr="004E13E9">
              <w:rPr>
                <w:sz w:val="18"/>
                <w:szCs w:val="18"/>
                <w:lang w:val="en-GB"/>
              </w:rPr>
              <w:t>NOVALJA</w:t>
            </w:r>
          </w:p>
        </w:tc>
        <w:tc>
          <w:tcPr>
            <w:tcW w:w="1732" w:type="dxa"/>
            <w:noWrap/>
            <w:vAlign w:val="bottom"/>
            <w:hideMark/>
          </w:tcPr>
          <w:p w14:paraId="3289ABBC"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10066C25" w14:textId="77777777" w:rsidTr="00BB4F69">
        <w:trPr>
          <w:trHeight w:val="300"/>
          <w:jc w:val="center"/>
        </w:trPr>
        <w:tc>
          <w:tcPr>
            <w:tcW w:w="4500" w:type="dxa"/>
            <w:noWrap/>
            <w:vAlign w:val="bottom"/>
            <w:hideMark/>
          </w:tcPr>
          <w:p w14:paraId="76224229" w14:textId="77777777" w:rsidR="00DF358A" w:rsidRPr="004E13E9" w:rsidRDefault="00DF358A" w:rsidP="00BB4F69">
            <w:pPr>
              <w:rPr>
                <w:sz w:val="18"/>
                <w:szCs w:val="18"/>
                <w:lang w:val="en-GB"/>
              </w:rPr>
            </w:pPr>
            <w:r w:rsidRPr="004E13E9">
              <w:rPr>
                <w:sz w:val="18"/>
                <w:szCs w:val="18"/>
                <w:lang w:val="en-GB"/>
              </w:rPr>
              <w:t>NOVIGRAD</w:t>
            </w:r>
          </w:p>
        </w:tc>
        <w:tc>
          <w:tcPr>
            <w:tcW w:w="1732" w:type="dxa"/>
            <w:noWrap/>
            <w:vAlign w:val="bottom"/>
            <w:hideMark/>
          </w:tcPr>
          <w:p w14:paraId="1B511103"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7DDFE7F0" w14:textId="77777777" w:rsidTr="00BB4F69">
        <w:trPr>
          <w:trHeight w:val="300"/>
          <w:jc w:val="center"/>
        </w:trPr>
        <w:tc>
          <w:tcPr>
            <w:tcW w:w="4500" w:type="dxa"/>
            <w:noWrap/>
            <w:vAlign w:val="bottom"/>
            <w:hideMark/>
          </w:tcPr>
          <w:p w14:paraId="616F88ED" w14:textId="77777777" w:rsidR="00DF358A" w:rsidRPr="004E13E9" w:rsidRDefault="00DF358A" w:rsidP="00BB4F69">
            <w:pPr>
              <w:rPr>
                <w:sz w:val="18"/>
                <w:szCs w:val="18"/>
                <w:lang w:val="en-GB"/>
              </w:rPr>
            </w:pPr>
            <w:r w:rsidRPr="004E13E9">
              <w:rPr>
                <w:sz w:val="18"/>
                <w:szCs w:val="18"/>
                <w:lang w:val="en-GB"/>
              </w:rPr>
              <w:t>NOVIGRAD – PORPORELA</w:t>
            </w:r>
          </w:p>
        </w:tc>
        <w:tc>
          <w:tcPr>
            <w:tcW w:w="1732" w:type="dxa"/>
            <w:noWrap/>
            <w:vAlign w:val="bottom"/>
            <w:hideMark/>
          </w:tcPr>
          <w:p w14:paraId="0EE4E2DD"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094513F1" w14:textId="77777777" w:rsidTr="00BB4F69">
        <w:trPr>
          <w:trHeight w:val="300"/>
          <w:jc w:val="center"/>
        </w:trPr>
        <w:tc>
          <w:tcPr>
            <w:tcW w:w="4500" w:type="dxa"/>
            <w:noWrap/>
            <w:vAlign w:val="bottom"/>
            <w:hideMark/>
          </w:tcPr>
          <w:p w14:paraId="11D1D01C" w14:textId="77777777" w:rsidR="00DF358A" w:rsidRPr="004E13E9" w:rsidRDefault="00DF358A" w:rsidP="00BB4F69">
            <w:pPr>
              <w:rPr>
                <w:sz w:val="18"/>
                <w:szCs w:val="18"/>
                <w:lang w:val="en-GB"/>
              </w:rPr>
            </w:pPr>
            <w:r w:rsidRPr="004E13E9">
              <w:rPr>
                <w:sz w:val="18"/>
                <w:szCs w:val="18"/>
                <w:lang w:val="en-GB"/>
              </w:rPr>
              <w:t>OBALA ULJANIK</w:t>
            </w:r>
          </w:p>
        </w:tc>
        <w:tc>
          <w:tcPr>
            <w:tcW w:w="1732" w:type="dxa"/>
            <w:noWrap/>
            <w:vAlign w:val="bottom"/>
            <w:hideMark/>
          </w:tcPr>
          <w:p w14:paraId="392987A2"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480D0DC8" w14:textId="77777777" w:rsidTr="00BB4F69">
        <w:trPr>
          <w:trHeight w:val="300"/>
          <w:jc w:val="center"/>
        </w:trPr>
        <w:tc>
          <w:tcPr>
            <w:tcW w:w="4500" w:type="dxa"/>
            <w:noWrap/>
            <w:vAlign w:val="bottom"/>
            <w:hideMark/>
          </w:tcPr>
          <w:p w14:paraId="3A1ABFF8" w14:textId="77777777" w:rsidR="00DF358A" w:rsidRPr="004E13E9" w:rsidRDefault="00DF358A" w:rsidP="00BB4F69">
            <w:pPr>
              <w:rPr>
                <w:sz w:val="18"/>
                <w:szCs w:val="18"/>
                <w:lang w:val="en-GB"/>
              </w:rPr>
            </w:pPr>
            <w:r w:rsidRPr="004E13E9">
              <w:rPr>
                <w:sz w:val="18"/>
                <w:szCs w:val="18"/>
                <w:lang w:val="en-GB"/>
              </w:rPr>
              <w:t>OMIŠ</w:t>
            </w:r>
          </w:p>
        </w:tc>
        <w:tc>
          <w:tcPr>
            <w:tcW w:w="1732" w:type="dxa"/>
            <w:noWrap/>
            <w:vAlign w:val="bottom"/>
            <w:hideMark/>
          </w:tcPr>
          <w:p w14:paraId="2F436882"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1D572B92" w14:textId="77777777" w:rsidTr="00BB4F69">
        <w:trPr>
          <w:trHeight w:val="300"/>
          <w:jc w:val="center"/>
        </w:trPr>
        <w:tc>
          <w:tcPr>
            <w:tcW w:w="4500" w:type="dxa"/>
            <w:noWrap/>
            <w:vAlign w:val="bottom"/>
            <w:hideMark/>
          </w:tcPr>
          <w:p w14:paraId="37D6813B" w14:textId="77777777" w:rsidR="00DF358A" w:rsidRPr="004E13E9" w:rsidRDefault="00DF358A" w:rsidP="00BB4F69">
            <w:pPr>
              <w:rPr>
                <w:sz w:val="18"/>
                <w:szCs w:val="18"/>
                <w:lang w:val="en-GB"/>
              </w:rPr>
            </w:pPr>
            <w:r w:rsidRPr="004E13E9">
              <w:rPr>
                <w:sz w:val="18"/>
                <w:szCs w:val="18"/>
                <w:lang w:val="en-GB"/>
              </w:rPr>
              <w:t>OMIŠALJ</w:t>
            </w:r>
          </w:p>
        </w:tc>
        <w:tc>
          <w:tcPr>
            <w:tcW w:w="1732" w:type="dxa"/>
            <w:noWrap/>
            <w:vAlign w:val="bottom"/>
            <w:hideMark/>
          </w:tcPr>
          <w:p w14:paraId="3B288A87"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6E048F65" w14:textId="77777777" w:rsidTr="00BB4F69">
        <w:trPr>
          <w:trHeight w:val="300"/>
          <w:jc w:val="center"/>
        </w:trPr>
        <w:tc>
          <w:tcPr>
            <w:tcW w:w="4500" w:type="dxa"/>
            <w:noWrap/>
            <w:vAlign w:val="bottom"/>
            <w:hideMark/>
          </w:tcPr>
          <w:p w14:paraId="342F414D" w14:textId="77777777" w:rsidR="00DF358A" w:rsidRPr="004E13E9" w:rsidRDefault="00DF358A" w:rsidP="00BB4F69">
            <w:pPr>
              <w:rPr>
                <w:sz w:val="18"/>
                <w:szCs w:val="18"/>
                <w:lang w:val="en-GB"/>
              </w:rPr>
            </w:pPr>
            <w:r w:rsidRPr="004E13E9">
              <w:rPr>
                <w:sz w:val="18"/>
                <w:szCs w:val="18"/>
                <w:lang w:val="en-GB"/>
              </w:rPr>
              <w:t>OREBIC</w:t>
            </w:r>
          </w:p>
        </w:tc>
        <w:tc>
          <w:tcPr>
            <w:tcW w:w="1732" w:type="dxa"/>
            <w:noWrap/>
            <w:vAlign w:val="bottom"/>
            <w:hideMark/>
          </w:tcPr>
          <w:p w14:paraId="13E908D5"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681BACFE" w14:textId="77777777" w:rsidTr="00BB4F69">
        <w:trPr>
          <w:trHeight w:val="300"/>
          <w:jc w:val="center"/>
        </w:trPr>
        <w:tc>
          <w:tcPr>
            <w:tcW w:w="4500" w:type="dxa"/>
            <w:noWrap/>
            <w:vAlign w:val="bottom"/>
            <w:hideMark/>
          </w:tcPr>
          <w:p w14:paraId="3FFE027D" w14:textId="77777777" w:rsidR="00DF358A" w:rsidRPr="004E13E9" w:rsidRDefault="00DF358A" w:rsidP="00BB4F69">
            <w:pPr>
              <w:rPr>
                <w:sz w:val="18"/>
                <w:szCs w:val="18"/>
                <w:lang w:val="en-GB"/>
              </w:rPr>
            </w:pPr>
            <w:r w:rsidRPr="004E13E9">
              <w:rPr>
                <w:sz w:val="18"/>
                <w:szCs w:val="18"/>
                <w:lang w:val="en-GB"/>
              </w:rPr>
              <w:t>OSOR</w:t>
            </w:r>
          </w:p>
        </w:tc>
        <w:tc>
          <w:tcPr>
            <w:tcW w:w="1732" w:type="dxa"/>
            <w:noWrap/>
            <w:vAlign w:val="bottom"/>
            <w:hideMark/>
          </w:tcPr>
          <w:p w14:paraId="0EB2455D"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7ADAB53D" w14:textId="77777777" w:rsidTr="00BB4F69">
        <w:trPr>
          <w:trHeight w:val="300"/>
          <w:jc w:val="center"/>
        </w:trPr>
        <w:tc>
          <w:tcPr>
            <w:tcW w:w="4500" w:type="dxa"/>
            <w:noWrap/>
            <w:vAlign w:val="bottom"/>
            <w:hideMark/>
          </w:tcPr>
          <w:p w14:paraId="08C86C8F" w14:textId="77777777" w:rsidR="00DF358A" w:rsidRPr="004E13E9" w:rsidRDefault="00DF358A" w:rsidP="00BB4F69">
            <w:pPr>
              <w:rPr>
                <w:sz w:val="18"/>
                <w:szCs w:val="18"/>
                <w:lang w:val="en-GB"/>
              </w:rPr>
            </w:pPr>
            <w:r w:rsidRPr="004E13E9">
              <w:rPr>
                <w:sz w:val="18"/>
                <w:szCs w:val="18"/>
                <w:lang w:val="en-GB"/>
              </w:rPr>
              <w:t>PLOCE</w:t>
            </w:r>
          </w:p>
        </w:tc>
        <w:tc>
          <w:tcPr>
            <w:tcW w:w="1732" w:type="dxa"/>
            <w:noWrap/>
            <w:vAlign w:val="bottom"/>
            <w:hideMark/>
          </w:tcPr>
          <w:p w14:paraId="0BF96D17"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40F6038C" w14:textId="77777777" w:rsidTr="00BB4F69">
        <w:trPr>
          <w:trHeight w:val="300"/>
          <w:jc w:val="center"/>
        </w:trPr>
        <w:tc>
          <w:tcPr>
            <w:tcW w:w="4500" w:type="dxa"/>
            <w:noWrap/>
            <w:vAlign w:val="bottom"/>
            <w:hideMark/>
          </w:tcPr>
          <w:p w14:paraId="3367D39B" w14:textId="77777777" w:rsidR="00DF358A" w:rsidRPr="004E13E9" w:rsidRDefault="00DF358A" w:rsidP="00BB4F69">
            <w:pPr>
              <w:rPr>
                <w:sz w:val="18"/>
                <w:szCs w:val="18"/>
                <w:lang w:val="en-GB"/>
              </w:rPr>
            </w:pPr>
            <w:r w:rsidRPr="004E13E9">
              <w:rPr>
                <w:sz w:val="18"/>
                <w:szCs w:val="18"/>
                <w:lang w:val="en-GB"/>
              </w:rPr>
              <w:t>PLOMIN</w:t>
            </w:r>
          </w:p>
        </w:tc>
        <w:tc>
          <w:tcPr>
            <w:tcW w:w="1732" w:type="dxa"/>
            <w:noWrap/>
            <w:vAlign w:val="bottom"/>
            <w:hideMark/>
          </w:tcPr>
          <w:p w14:paraId="312DB142"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49C75603" w14:textId="77777777" w:rsidTr="00BB4F69">
        <w:trPr>
          <w:trHeight w:val="300"/>
          <w:jc w:val="center"/>
        </w:trPr>
        <w:tc>
          <w:tcPr>
            <w:tcW w:w="4500" w:type="dxa"/>
            <w:noWrap/>
            <w:vAlign w:val="bottom"/>
            <w:hideMark/>
          </w:tcPr>
          <w:p w14:paraId="38F2F225" w14:textId="77777777" w:rsidR="00DF358A" w:rsidRPr="004E13E9" w:rsidRDefault="00DF358A" w:rsidP="00BB4F69">
            <w:pPr>
              <w:rPr>
                <w:sz w:val="18"/>
                <w:szCs w:val="18"/>
                <w:lang w:val="en-GB"/>
              </w:rPr>
            </w:pPr>
            <w:r w:rsidRPr="004E13E9">
              <w:rPr>
                <w:sz w:val="18"/>
                <w:szCs w:val="18"/>
                <w:lang w:val="en-GB"/>
              </w:rPr>
              <w:t>PODGORA</w:t>
            </w:r>
          </w:p>
        </w:tc>
        <w:tc>
          <w:tcPr>
            <w:tcW w:w="1732" w:type="dxa"/>
            <w:noWrap/>
            <w:vAlign w:val="bottom"/>
            <w:hideMark/>
          </w:tcPr>
          <w:p w14:paraId="5B403893"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745C17BF" w14:textId="77777777" w:rsidTr="00BB4F69">
        <w:trPr>
          <w:trHeight w:val="300"/>
          <w:jc w:val="center"/>
        </w:trPr>
        <w:tc>
          <w:tcPr>
            <w:tcW w:w="4500" w:type="dxa"/>
            <w:noWrap/>
            <w:vAlign w:val="bottom"/>
            <w:hideMark/>
          </w:tcPr>
          <w:p w14:paraId="7F3B9F88" w14:textId="77777777" w:rsidR="00DF358A" w:rsidRPr="004E13E9" w:rsidRDefault="00DF358A" w:rsidP="00BB4F69">
            <w:pPr>
              <w:rPr>
                <w:sz w:val="18"/>
                <w:szCs w:val="18"/>
                <w:lang w:val="en-GB"/>
              </w:rPr>
            </w:pPr>
            <w:r w:rsidRPr="004E13E9">
              <w:rPr>
                <w:sz w:val="18"/>
                <w:szCs w:val="18"/>
                <w:lang w:val="en-GB"/>
              </w:rPr>
              <w:t>PODVRŠKE</w:t>
            </w:r>
          </w:p>
        </w:tc>
        <w:tc>
          <w:tcPr>
            <w:tcW w:w="1732" w:type="dxa"/>
            <w:noWrap/>
            <w:vAlign w:val="bottom"/>
            <w:hideMark/>
          </w:tcPr>
          <w:p w14:paraId="2D641A92"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066C8AD2" w14:textId="77777777" w:rsidTr="00BB4F69">
        <w:trPr>
          <w:trHeight w:val="300"/>
          <w:jc w:val="center"/>
        </w:trPr>
        <w:tc>
          <w:tcPr>
            <w:tcW w:w="4500" w:type="dxa"/>
            <w:noWrap/>
            <w:vAlign w:val="bottom"/>
            <w:hideMark/>
          </w:tcPr>
          <w:p w14:paraId="0C07E9E2" w14:textId="77777777" w:rsidR="00DF358A" w:rsidRPr="004E13E9" w:rsidRDefault="00DF358A" w:rsidP="00BB4F69">
            <w:pPr>
              <w:rPr>
                <w:sz w:val="18"/>
                <w:szCs w:val="18"/>
                <w:lang w:val="en-GB"/>
              </w:rPr>
            </w:pPr>
            <w:r w:rsidRPr="004E13E9">
              <w:rPr>
                <w:sz w:val="18"/>
                <w:szCs w:val="18"/>
                <w:lang w:val="en-GB"/>
              </w:rPr>
              <w:t>PORAT</w:t>
            </w:r>
          </w:p>
        </w:tc>
        <w:tc>
          <w:tcPr>
            <w:tcW w:w="1732" w:type="dxa"/>
            <w:noWrap/>
            <w:vAlign w:val="bottom"/>
            <w:hideMark/>
          </w:tcPr>
          <w:p w14:paraId="26A4415E"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75538EA9" w14:textId="77777777" w:rsidTr="00BB4F69">
        <w:trPr>
          <w:trHeight w:val="300"/>
          <w:jc w:val="center"/>
        </w:trPr>
        <w:tc>
          <w:tcPr>
            <w:tcW w:w="4500" w:type="dxa"/>
            <w:noWrap/>
            <w:vAlign w:val="bottom"/>
            <w:hideMark/>
          </w:tcPr>
          <w:p w14:paraId="0D163B56" w14:textId="77777777" w:rsidR="00DF358A" w:rsidRPr="004E13E9" w:rsidRDefault="00DF358A" w:rsidP="00BB4F69">
            <w:pPr>
              <w:rPr>
                <w:sz w:val="18"/>
                <w:szCs w:val="18"/>
                <w:lang w:val="en-GB"/>
              </w:rPr>
            </w:pPr>
            <w:r w:rsidRPr="004E13E9">
              <w:rPr>
                <w:sz w:val="18"/>
                <w:szCs w:val="18"/>
                <w:lang w:val="en-GB"/>
              </w:rPr>
              <w:t>POREC</w:t>
            </w:r>
          </w:p>
        </w:tc>
        <w:tc>
          <w:tcPr>
            <w:tcW w:w="1732" w:type="dxa"/>
            <w:noWrap/>
            <w:vAlign w:val="bottom"/>
            <w:hideMark/>
          </w:tcPr>
          <w:p w14:paraId="28EF09B1"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69175836" w14:textId="77777777" w:rsidTr="00BB4F69">
        <w:trPr>
          <w:trHeight w:val="300"/>
          <w:jc w:val="center"/>
        </w:trPr>
        <w:tc>
          <w:tcPr>
            <w:tcW w:w="4500" w:type="dxa"/>
            <w:noWrap/>
            <w:vAlign w:val="bottom"/>
            <w:hideMark/>
          </w:tcPr>
          <w:p w14:paraId="2194CE8D" w14:textId="77777777" w:rsidR="00DF358A" w:rsidRPr="004E13E9" w:rsidRDefault="00DF358A" w:rsidP="00BB4F69">
            <w:pPr>
              <w:rPr>
                <w:sz w:val="18"/>
                <w:szCs w:val="18"/>
                <w:lang w:val="en-GB"/>
              </w:rPr>
            </w:pPr>
            <w:r w:rsidRPr="004E13E9">
              <w:rPr>
                <w:sz w:val="18"/>
                <w:szCs w:val="18"/>
                <w:lang w:val="en-GB"/>
              </w:rPr>
              <w:t>PRAPRATNO</w:t>
            </w:r>
          </w:p>
        </w:tc>
        <w:tc>
          <w:tcPr>
            <w:tcW w:w="1732" w:type="dxa"/>
            <w:noWrap/>
            <w:vAlign w:val="bottom"/>
            <w:hideMark/>
          </w:tcPr>
          <w:p w14:paraId="64C4B317"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63CFE929" w14:textId="77777777" w:rsidTr="00BB4F69">
        <w:trPr>
          <w:trHeight w:val="300"/>
          <w:jc w:val="center"/>
        </w:trPr>
        <w:tc>
          <w:tcPr>
            <w:tcW w:w="4500" w:type="dxa"/>
            <w:noWrap/>
            <w:vAlign w:val="bottom"/>
            <w:hideMark/>
          </w:tcPr>
          <w:p w14:paraId="3FA00E2C" w14:textId="77777777" w:rsidR="00DF358A" w:rsidRPr="004E13E9" w:rsidRDefault="00DF358A" w:rsidP="00BB4F69">
            <w:pPr>
              <w:rPr>
                <w:sz w:val="18"/>
                <w:szCs w:val="18"/>
                <w:lang w:val="en-GB"/>
              </w:rPr>
            </w:pPr>
            <w:r w:rsidRPr="004E13E9">
              <w:rPr>
                <w:sz w:val="18"/>
                <w:szCs w:val="18"/>
                <w:lang w:val="en-GB"/>
              </w:rPr>
              <w:t>PRIMOŠTEN</w:t>
            </w:r>
          </w:p>
        </w:tc>
        <w:tc>
          <w:tcPr>
            <w:tcW w:w="1732" w:type="dxa"/>
            <w:noWrap/>
            <w:vAlign w:val="bottom"/>
            <w:hideMark/>
          </w:tcPr>
          <w:p w14:paraId="7A4C7FCE"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18617C5F" w14:textId="77777777" w:rsidTr="00BB4F69">
        <w:trPr>
          <w:trHeight w:val="300"/>
          <w:jc w:val="center"/>
        </w:trPr>
        <w:tc>
          <w:tcPr>
            <w:tcW w:w="4500" w:type="dxa"/>
            <w:noWrap/>
            <w:vAlign w:val="bottom"/>
            <w:hideMark/>
          </w:tcPr>
          <w:p w14:paraId="3A30B651" w14:textId="77777777" w:rsidR="00DF358A" w:rsidRPr="004E13E9" w:rsidRDefault="00DF358A" w:rsidP="00BB4F69">
            <w:pPr>
              <w:rPr>
                <w:sz w:val="18"/>
                <w:szCs w:val="18"/>
                <w:lang w:val="en-GB"/>
              </w:rPr>
            </w:pPr>
            <w:r w:rsidRPr="004E13E9">
              <w:rPr>
                <w:sz w:val="18"/>
                <w:szCs w:val="18"/>
                <w:lang w:val="en-GB"/>
              </w:rPr>
              <w:t>PRVIC – ŠEPURINE</w:t>
            </w:r>
          </w:p>
        </w:tc>
        <w:tc>
          <w:tcPr>
            <w:tcW w:w="1732" w:type="dxa"/>
            <w:noWrap/>
            <w:vAlign w:val="bottom"/>
            <w:hideMark/>
          </w:tcPr>
          <w:p w14:paraId="79CF14E5"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0BC0D4BE" w14:textId="77777777" w:rsidTr="00BB4F69">
        <w:trPr>
          <w:trHeight w:val="300"/>
          <w:jc w:val="center"/>
        </w:trPr>
        <w:tc>
          <w:tcPr>
            <w:tcW w:w="4500" w:type="dxa"/>
            <w:noWrap/>
            <w:vAlign w:val="bottom"/>
            <w:hideMark/>
          </w:tcPr>
          <w:p w14:paraId="6EED00A1" w14:textId="77777777" w:rsidR="00DF358A" w:rsidRPr="004E13E9" w:rsidRDefault="00DF358A" w:rsidP="00BB4F69">
            <w:pPr>
              <w:rPr>
                <w:sz w:val="18"/>
                <w:szCs w:val="18"/>
                <w:lang w:val="en-GB"/>
              </w:rPr>
            </w:pPr>
            <w:r w:rsidRPr="004E13E9">
              <w:rPr>
                <w:sz w:val="18"/>
                <w:szCs w:val="18"/>
                <w:lang w:val="en-GB"/>
              </w:rPr>
              <w:t>PUCIŠCA</w:t>
            </w:r>
          </w:p>
        </w:tc>
        <w:tc>
          <w:tcPr>
            <w:tcW w:w="1732" w:type="dxa"/>
            <w:noWrap/>
            <w:vAlign w:val="bottom"/>
            <w:hideMark/>
          </w:tcPr>
          <w:p w14:paraId="153E2291"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23893E81" w14:textId="77777777" w:rsidTr="00BB4F69">
        <w:trPr>
          <w:trHeight w:val="300"/>
          <w:jc w:val="center"/>
        </w:trPr>
        <w:tc>
          <w:tcPr>
            <w:tcW w:w="4500" w:type="dxa"/>
            <w:noWrap/>
            <w:vAlign w:val="bottom"/>
            <w:hideMark/>
          </w:tcPr>
          <w:p w14:paraId="7FAE3C1C" w14:textId="77777777" w:rsidR="00DF358A" w:rsidRPr="004E13E9" w:rsidRDefault="00DF358A" w:rsidP="00BB4F69">
            <w:pPr>
              <w:rPr>
                <w:sz w:val="18"/>
                <w:szCs w:val="18"/>
                <w:lang w:val="en-GB"/>
              </w:rPr>
            </w:pPr>
            <w:r w:rsidRPr="004E13E9">
              <w:rPr>
                <w:sz w:val="18"/>
                <w:szCs w:val="18"/>
                <w:lang w:val="en-GB"/>
              </w:rPr>
              <w:t>PULA – KORIJEN GATA RIJEKA</w:t>
            </w:r>
          </w:p>
        </w:tc>
        <w:tc>
          <w:tcPr>
            <w:tcW w:w="1732" w:type="dxa"/>
            <w:noWrap/>
            <w:vAlign w:val="bottom"/>
            <w:hideMark/>
          </w:tcPr>
          <w:p w14:paraId="5A44FC20"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4D73AE35" w14:textId="77777777" w:rsidTr="00BB4F69">
        <w:trPr>
          <w:trHeight w:val="300"/>
          <w:jc w:val="center"/>
        </w:trPr>
        <w:tc>
          <w:tcPr>
            <w:tcW w:w="4500" w:type="dxa"/>
            <w:noWrap/>
            <w:vAlign w:val="bottom"/>
            <w:hideMark/>
          </w:tcPr>
          <w:p w14:paraId="632F9D66" w14:textId="77777777" w:rsidR="00DF358A" w:rsidRPr="004E13E9" w:rsidRDefault="00DF358A" w:rsidP="00BB4F69">
            <w:pPr>
              <w:rPr>
                <w:sz w:val="18"/>
                <w:szCs w:val="18"/>
                <w:lang w:val="en-GB"/>
              </w:rPr>
            </w:pPr>
            <w:r w:rsidRPr="004E13E9">
              <w:rPr>
                <w:sz w:val="18"/>
                <w:szCs w:val="18"/>
                <w:lang w:val="en-GB"/>
              </w:rPr>
              <w:t>PUNAT</w:t>
            </w:r>
          </w:p>
        </w:tc>
        <w:tc>
          <w:tcPr>
            <w:tcW w:w="1732" w:type="dxa"/>
            <w:noWrap/>
            <w:vAlign w:val="bottom"/>
            <w:hideMark/>
          </w:tcPr>
          <w:p w14:paraId="34B63749"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4B5727BE" w14:textId="77777777" w:rsidTr="00BB4F69">
        <w:trPr>
          <w:trHeight w:val="300"/>
          <w:jc w:val="center"/>
        </w:trPr>
        <w:tc>
          <w:tcPr>
            <w:tcW w:w="4500" w:type="dxa"/>
            <w:noWrap/>
            <w:vAlign w:val="bottom"/>
            <w:hideMark/>
          </w:tcPr>
          <w:p w14:paraId="69EEF40E" w14:textId="77777777" w:rsidR="00DF358A" w:rsidRPr="004E13E9" w:rsidRDefault="00DF358A" w:rsidP="00BB4F69">
            <w:pPr>
              <w:rPr>
                <w:sz w:val="18"/>
                <w:szCs w:val="18"/>
                <w:lang w:val="en-GB"/>
              </w:rPr>
            </w:pPr>
            <w:r w:rsidRPr="004E13E9">
              <w:rPr>
                <w:sz w:val="18"/>
                <w:szCs w:val="18"/>
                <w:lang w:val="en-GB"/>
              </w:rPr>
              <w:t>RAB</w:t>
            </w:r>
          </w:p>
        </w:tc>
        <w:tc>
          <w:tcPr>
            <w:tcW w:w="1732" w:type="dxa"/>
            <w:noWrap/>
            <w:vAlign w:val="bottom"/>
            <w:hideMark/>
          </w:tcPr>
          <w:p w14:paraId="0F159DE6"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153C1E81" w14:textId="77777777" w:rsidTr="00BB4F69">
        <w:trPr>
          <w:trHeight w:val="300"/>
          <w:jc w:val="center"/>
        </w:trPr>
        <w:tc>
          <w:tcPr>
            <w:tcW w:w="4500" w:type="dxa"/>
            <w:noWrap/>
            <w:vAlign w:val="bottom"/>
            <w:hideMark/>
          </w:tcPr>
          <w:p w14:paraId="699C7DC9" w14:textId="77777777" w:rsidR="00DF358A" w:rsidRPr="004E13E9" w:rsidRDefault="00DF358A" w:rsidP="00BB4F69">
            <w:pPr>
              <w:rPr>
                <w:sz w:val="18"/>
                <w:szCs w:val="18"/>
                <w:lang w:val="en-GB"/>
              </w:rPr>
            </w:pPr>
            <w:r w:rsidRPr="004E13E9">
              <w:rPr>
                <w:sz w:val="18"/>
                <w:szCs w:val="18"/>
                <w:lang w:val="en-GB"/>
              </w:rPr>
              <w:t>RABAC</w:t>
            </w:r>
          </w:p>
        </w:tc>
        <w:tc>
          <w:tcPr>
            <w:tcW w:w="1732" w:type="dxa"/>
            <w:noWrap/>
            <w:vAlign w:val="bottom"/>
            <w:hideMark/>
          </w:tcPr>
          <w:p w14:paraId="33927916"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707A83B1" w14:textId="77777777" w:rsidTr="00BB4F69">
        <w:trPr>
          <w:trHeight w:val="300"/>
          <w:jc w:val="center"/>
        </w:trPr>
        <w:tc>
          <w:tcPr>
            <w:tcW w:w="4500" w:type="dxa"/>
            <w:noWrap/>
            <w:vAlign w:val="bottom"/>
            <w:hideMark/>
          </w:tcPr>
          <w:p w14:paraId="3E6B08B7" w14:textId="77777777" w:rsidR="00DF358A" w:rsidRPr="004E13E9" w:rsidRDefault="00DF358A" w:rsidP="00BB4F69">
            <w:pPr>
              <w:rPr>
                <w:sz w:val="18"/>
                <w:szCs w:val="18"/>
                <w:lang w:val="en-GB"/>
              </w:rPr>
            </w:pPr>
            <w:r w:rsidRPr="004E13E9">
              <w:rPr>
                <w:sz w:val="18"/>
                <w:szCs w:val="18"/>
                <w:lang w:val="en-GB"/>
              </w:rPr>
              <w:t>RIJEKA – DIO PUTNICKE LUKE</w:t>
            </w:r>
          </w:p>
        </w:tc>
        <w:tc>
          <w:tcPr>
            <w:tcW w:w="1732" w:type="dxa"/>
            <w:noWrap/>
            <w:vAlign w:val="bottom"/>
            <w:hideMark/>
          </w:tcPr>
          <w:p w14:paraId="2B3A23C2"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50207E9D" w14:textId="77777777" w:rsidTr="00BB4F69">
        <w:trPr>
          <w:trHeight w:val="300"/>
          <w:jc w:val="center"/>
        </w:trPr>
        <w:tc>
          <w:tcPr>
            <w:tcW w:w="4500" w:type="dxa"/>
            <w:noWrap/>
            <w:vAlign w:val="bottom"/>
            <w:hideMark/>
          </w:tcPr>
          <w:p w14:paraId="271B22AD" w14:textId="77777777" w:rsidR="00DF358A" w:rsidRPr="004E13E9" w:rsidRDefault="00DF358A" w:rsidP="00BB4F69">
            <w:pPr>
              <w:rPr>
                <w:sz w:val="18"/>
                <w:szCs w:val="18"/>
                <w:lang w:val="en-GB"/>
              </w:rPr>
            </w:pPr>
            <w:r w:rsidRPr="004E13E9">
              <w:rPr>
                <w:sz w:val="18"/>
                <w:szCs w:val="18"/>
                <w:lang w:val="en-GB"/>
              </w:rPr>
              <w:t>RIJEKA-LUKA RIJEKA</w:t>
            </w:r>
          </w:p>
        </w:tc>
        <w:tc>
          <w:tcPr>
            <w:tcW w:w="1732" w:type="dxa"/>
            <w:noWrap/>
            <w:vAlign w:val="bottom"/>
            <w:hideMark/>
          </w:tcPr>
          <w:p w14:paraId="570E069C"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4D5F09F9" w14:textId="77777777" w:rsidTr="00BB4F69">
        <w:trPr>
          <w:trHeight w:val="300"/>
          <w:jc w:val="center"/>
        </w:trPr>
        <w:tc>
          <w:tcPr>
            <w:tcW w:w="4500" w:type="dxa"/>
            <w:noWrap/>
            <w:vAlign w:val="bottom"/>
            <w:hideMark/>
          </w:tcPr>
          <w:p w14:paraId="09A6351D" w14:textId="77777777" w:rsidR="00DF358A" w:rsidRPr="004E13E9" w:rsidRDefault="00DF358A" w:rsidP="00BB4F69">
            <w:pPr>
              <w:rPr>
                <w:sz w:val="18"/>
                <w:szCs w:val="18"/>
                <w:lang w:val="en-GB"/>
              </w:rPr>
            </w:pPr>
            <w:r w:rsidRPr="004E13E9">
              <w:rPr>
                <w:sz w:val="18"/>
                <w:szCs w:val="18"/>
                <w:lang w:val="en-GB"/>
              </w:rPr>
              <w:t>ROGOZNICA</w:t>
            </w:r>
          </w:p>
        </w:tc>
        <w:tc>
          <w:tcPr>
            <w:tcW w:w="1732" w:type="dxa"/>
            <w:noWrap/>
            <w:vAlign w:val="bottom"/>
            <w:hideMark/>
          </w:tcPr>
          <w:p w14:paraId="4850587A"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58E01A9A" w14:textId="77777777" w:rsidTr="00BB4F69">
        <w:trPr>
          <w:trHeight w:val="300"/>
          <w:jc w:val="center"/>
        </w:trPr>
        <w:tc>
          <w:tcPr>
            <w:tcW w:w="4500" w:type="dxa"/>
            <w:noWrap/>
            <w:vAlign w:val="bottom"/>
            <w:hideMark/>
          </w:tcPr>
          <w:p w14:paraId="520E8480" w14:textId="77777777" w:rsidR="00DF358A" w:rsidRPr="004E13E9" w:rsidRDefault="00DF358A" w:rsidP="00BB4F69">
            <w:pPr>
              <w:rPr>
                <w:sz w:val="18"/>
                <w:szCs w:val="18"/>
                <w:lang w:val="en-GB"/>
              </w:rPr>
            </w:pPr>
            <w:r w:rsidRPr="004E13E9">
              <w:rPr>
                <w:sz w:val="18"/>
                <w:szCs w:val="18"/>
                <w:lang w:val="en-GB"/>
              </w:rPr>
              <w:t>ROVINJ – VALDIBORA</w:t>
            </w:r>
          </w:p>
        </w:tc>
        <w:tc>
          <w:tcPr>
            <w:tcW w:w="1732" w:type="dxa"/>
            <w:noWrap/>
            <w:vAlign w:val="bottom"/>
            <w:hideMark/>
          </w:tcPr>
          <w:p w14:paraId="11FE03AF"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6928C4E2" w14:textId="77777777" w:rsidTr="00BB4F69">
        <w:trPr>
          <w:trHeight w:val="300"/>
          <w:jc w:val="center"/>
        </w:trPr>
        <w:tc>
          <w:tcPr>
            <w:tcW w:w="4500" w:type="dxa"/>
            <w:noWrap/>
            <w:vAlign w:val="bottom"/>
            <w:hideMark/>
          </w:tcPr>
          <w:p w14:paraId="28697178" w14:textId="77777777" w:rsidR="00DF358A" w:rsidRPr="004E13E9" w:rsidRDefault="00DF358A" w:rsidP="00BB4F69">
            <w:pPr>
              <w:rPr>
                <w:sz w:val="18"/>
                <w:szCs w:val="18"/>
                <w:lang w:val="en-GB"/>
              </w:rPr>
            </w:pPr>
            <w:r w:rsidRPr="004E13E9">
              <w:rPr>
                <w:sz w:val="18"/>
                <w:szCs w:val="18"/>
                <w:lang w:val="en-GB"/>
              </w:rPr>
              <w:t>SALI – MARDEŠIC</w:t>
            </w:r>
          </w:p>
        </w:tc>
        <w:tc>
          <w:tcPr>
            <w:tcW w:w="1732" w:type="dxa"/>
            <w:noWrap/>
            <w:vAlign w:val="bottom"/>
            <w:hideMark/>
          </w:tcPr>
          <w:p w14:paraId="7032D52B"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796B55E5" w14:textId="77777777" w:rsidTr="00BB4F69">
        <w:trPr>
          <w:trHeight w:val="300"/>
          <w:jc w:val="center"/>
        </w:trPr>
        <w:tc>
          <w:tcPr>
            <w:tcW w:w="4500" w:type="dxa"/>
            <w:noWrap/>
            <w:vAlign w:val="bottom"/>
            <w:hideMark/>
          </w:tcPr>
          <w:p w14:paraId="5C161274" w14:textId="77777777" w:rsidR="00DF358A" w:rsidRPr="004E13E9" w:rsidRDefault="00DF358A" w:rsidP="00BB4F69">
            <w:pPr>
              <w:rPr>
                <w:sz w:val="18"/>
                <w:szCs w:val="18"/>
                <w:lang w:val="en-GB"/>
              </w:rPr>
            </w:pPr>
            <w:r w:rsidRPr="004E13E9">
              <w:rPr>
                <w:sz w:val="18"/>
                <w:szCs w:val="18"/>
                <w:lang w:val="en-GB"/>
              </w:rPr>
              <w:t>SANTA MARINA</w:t>
            </w:r>
          </w:p>
        </w:tc>
        <w:tc>
          <w:tcPr>
            <w:tcW w:w="1732" w:type="dxa"/>
            <w:noWrap/>
            <w:vAlign w:val="bottom"/>
            <w:hideMark/>
          </w:tcPr>
          <w:p w14:paraId="55CECBC0"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231274C6" w14:textId="77777777" w:rsidTr="00BB4F69">
        <w:trPr>
          <w:trHeight w:val="300"/>
          <w:jc w:val="center"/>
        </w:trPr>
        <w:tc>
          <w:tcPr>
            <w:tcW w:w="4500" w:type="dxa"/>
            <w:noWrap/>
            <w:vAlign w:val="bottom"/>
            <w:hideMark/>
          </w:tcPr>
          <w:p w14:paraId="25CB2788" w14:textId="77777777" w:rsidR="00DF358A" w:rsidRPr="004E13E9" w:rsidRDefault="00DF358A" w:rsidP="00BB4F69">
            <w:pPr>
              <w:rPr>
                <w:sz w:val="18"/>
                <w:szCs w:val="18"/>
                <w:lang w:val="en-GB"/>
              </w:rPr>
            </w:pPr>
            <w:r w:rsidRPr="004E13E9">
              <w:rPr>
                <w:sz w:val="18"/>
                <w:szCs w:val="18"/>
                <w:lang w:val="en-GB"/>
              </w:rPr>
              <w:t>SAVUDRIJA</w:t>
            </w:r>
          </w:p>
        </w:tc>
        <w:tc>
          <w:tcPr>
            <w:tcW w:w="1732" w:type="dxa"/>
            <w:noWrap/>
            <w:vAlign w:val="bottom"/>
            <w:hideMark/>
          </w:tcPr>
          <w:p w14:paraId="7DB85143"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61046598" w14:textId="77777777" w:rsidTr="00BB4F69">
        <w:trPr>
          <w:trHeight w:val="300"/>
          <w:jc w:val="center"/>
        </w:trPr>
        <w:tc>
          <w:tcPr>
            <w:tcW w:w="4500" w:type="dxa"/>
            <w:noWrap/>
            <w:vAlign w:val="bottom"/>
            <w:hideMark/>
          </w:tcPr>
          <w:p w14:paraId="1616861B" w14:textId="77777777" w:rsidR="00DF358A" w:rsidRPr="004E13E9" w:rsidRDefault="00DF358A" w:rsidP="00BB4F69">
            <w:pPr>
              <w:rPr>
                <w:sz w:val="18"/>
                <w:szCs w:val="18"/>
                <w:lang w:val="en-GB"/>
              </w:rPr>
            </w:pPr>
            <w:r w:rsidRPr="004E13E9">
              <w:rPr>
                <w:sz w:val="18"/>
                <w:szCs w:val="18"/>
                <w:lang w:val="en-GB"/>
              </w:rPr>
              <w:t>SEGET DONJI</w:t>
            </w:r>
          </w:p>
        </w:tc>
        <w:tc>
          <w:tcPr>
            <w:tcW w:w="1732" w:type="dxa"/>
            <w:noWrap/>
            <w:vAlign w:val="bottom"/>
            <w:hideMark/>
          </w:tcPr>
          <w:p w14:paraId="792379CB"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2E0BCED0" w14:textId="77777777" w:rsidTr="00BB4F69">
        <w:trPr>
          <w:trHeight w:val="300"/>
          <w:jc w:val="center"/>
        </w:trPr>
        <w:tc>
          <w:tcPr>
            <w:tcW w:w="4500" w:type="dxa"/>
            <w:noWrap/>
            <w:vAlign w:val="bottom"/>
            <w:hideMark/>
          </w:tcPr>
          <w:p w14:paraId="00BA5403" w14:textId="77777777" w:rsidR="00DF358A" w:rsidRPr="004E13E9" w:rsidRDefault="00DF358A" w:rsidP="00BB4F69">
            <w:pPr>
              <w:rPr>
                <w:sz w:val="18"/>
                <w:szCs w:val="18"/>
                <w:lang w:val="en-GB"/>
              </w:rPr>
            </w:pPr>
            <w:r w:rsidRPr="004E13E9">
              <w:rPr>
                <w:sz w:val="18"/>
                <w:szCs w:val="18"/>
                <w:lang w:val="en-GB"/>
              </w:rPr>
              <w:t>SENJ</w:t>
            </w:r>
          </w:p>
        </w:tc>
        <w:tc>
          <w:tcPr>
            <w:tcW w:w="1732" w:type="dxa"/>
            <w:noWrap/>
            <w:vAlign w:val="bottom"/>
            <w:hideMark/>
          </w:tcPr>
          <w:p w14:paraId="073597C3"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6CEA3AAC" w14:textId="77777777" w:rsidTr="00BB4F69">
        <w:trPr>
          <w:trHeight w:val="300"/>
          <w:jc w:val="center"/>
        </w:trPr>
        <w:tc>
          <w:tcPr>
            <w:tcW w:w="4500" w:type="dxa"/>
            <w:noWrap/>
            <w:vAlign w:val="bottom"/>
            <w:hideMark/>
          </w:tcPr>
          <w:p w14:paraId="1609BEAB" w14:textId="77777777" w:rsidR="00DF358A" w:rsidRPr="004E13E9" w:rsidRDefault="00DF358A" w:rsidP="00BB4F69">
            <w:pPr>
              <w:rPr>
                <w:sz w:val="18"/>
                <w:szCs w:val="18"/>
                <w:lang w:val="en-GB"/>
              </w:rPr>
            </w:pPr>
            <w:r w:rsidRPr="004E13E9">
              <w:rPr>
                <w:sz w:val="18"/>
                <w:szCs w:val="18"/>
                <w:lang w:val="en-GB"/>
              </w:rPr>
              <w:t>SILBA – PORAT</w:t>
            </w:r>
          </w:p>
        </w:tc>
        <w:tc>
          <w:tcPr>
            <w:tcW w:w="1732" w:type="dxa"/>
            <w:noWrap/>
            <w:vAlign w:val="bottom"/>
            <w:hideMark/>
          </w:tcPr>
          <w:p w14:paraId="0EE471B1"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5370CC9F" w14:textId="77777777" w:rsidTr="00BB4F69">
        <w:trPr>
          <w:trHeight w:val="300"/>
          <w:jc w:val="center"/>
        </w:trPr>
        <w:tc>
          <w:tcPr>
            <w:tcW w:w="4500" w:type="dxa"/>
            <w:noWrap/>
            <w:vAlign w:val="bottom"/>
            <w:hideMark/>
          </w:tcPr>
          <w:p w14:paraId="70D9D6D9" w14:textId="77777777" w:rsidR="00DF358A" w:rsidRPr="004E13E9" w:rsidRDefault="00DF358A" w:rsidP="00BB4F69">
            <w:pPr>
              <w:rPr>
                <w:sz w:val="18"/>
                <w:szCs w:val="18"/>
                <w:lang w:val="en-GB"/>
              </w:rPr>
            </w:pPr>
            <w:r w:rsidRPr="004E13E9">
              <w:rPr>
                <w:sz w:val="18"/>
                <w:szCs w:val="18"/>
                <w:lang w:val="en-GB"/>
              </w:rPr>
              <w:t>SLANO</w:t>
            </w:r>
          </w:p>
        </w:tc>
        <w:tc>
          <w:tcPr>
            <w:tcW w:w="1732" w:type="dxa"/>
            <w:noWrap/>
            <w:vAlign w:val="bottom"/>
            <w:hideMark/>
          </w:tcPr>
          <w:p w14:paraId="70143CE3"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578565E1" w14:textId="77777777" w:rsidTr="00BB4F69">
        <w:trPr>
          <w:trHeight w:val="300"/>
          <w:jc w:val="center"/>
        </w:trPr>
        <w:tc>
          <w:tcPr>
            <w:tcW w:w="4500" w:type="dxa"/>
            <w:noWrap/>
            <w:vAlign w:val="bottom"/>
            <w:hideMark/>
          </w:tcPr>
          <w:p w14:paraId="2966C8DA" w14:textId="77777777" w:rsidR="00DF358A" w:rsidRPr="004E13E9" w:rsidRDefault="00DF358A" w:rsidP="00BB4F69">
            <w:pPr>
              <w:rPr>
                <w:sz w:val="18"/>
                <w:szCs w:val="18"/>
                <w:lang w:val="en-GB"/>
              </w:rPr>
            </w:pPr>
            <w:r w:rsidRPr="004E13E9">
              <w:rPr>
                <w:sz w:val="18"/>
                <w:szCs w:val="18"/>
                <w:lang w:val="en-GB"/>
              </w:rPr>
              <w:t>SPLIT-SJEVERNA LUKA</w:t>
            </w:r>
          </w:p>
        </w:tc>
        <w:tc>
          <w:tcPr>
            <w:tcW w:w="1732" w:type="dxa"/>
            <w:noWrap/>
            <w:vAlign w:val="bottom"/>
            <w:hideMark/>
          </w:tcPr>
          <w:p w14:paraId="67342BE9"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7A3F1382" w14:textId="77777777" w:rsidTr="00BB4F69">
        <w:trPr>
          <w:trHeight w:val="300"/>
          <w:jc w:val="center"/>
        </w:trPr>
        <w:tc>
          <w:tcPr>
            <w:tcW w:w="4500" w:type="dxa"/>
            <w:noWrap/>
            <w:vAlign w:val="bottom"/>
            <w:hideMark/>
          </w:tcPr>
          <w:p w14:paraId="33A25995" w14:textId="77777777" w:rsidR="00DF358A" w:rsidRPr="004E13E9" w:rsidRDefault="00DF358A" w:rsidP="00BB4F69">
            <w:pPr>
              <w:rPr>
                <w:sz w:val="18"/>
                <w:szCs w:val="18"/>
                <w:lang w:val="en-GB"/>
              </w:rPr>
            </w:pPr>
            <w:r w:rsidRPr="004E13E9">
              <w:rPr>
                <w:sz w:val="18"/>
                <w:szCs w:val="18"/>
                <w:lang w:val="en-GB"/>
              </w:rPr>
              <w:t>STARI GRAD</w:t>
            </w:r>
          </w:p>
        </w:tc>
        <w:tc>
          <w:tcPr>
            <w:tcW w:w="1732" w:type="dxa"/>
            <w:noWrap/>
            <w:vAlign w:val="bottom"/>
            <w:hideMark/>
          </w:tcPr>
          <w:p w14:paraId="765371BB"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7AB5642A" w14:textId="77777777" w:rsidTr="00BB4F69">
        <w:trPr>
          <w:trHeight w:val="300"/>
          <w:jc w:val="center"/>
        </w:trPr>
        <w:tc>
          <w:tcPr>
            <w:tcW w:w="4500" w:type="dxa"/>
            <w:noWrap/>
            <w:vAlign w:val="bottom"/>
            <w:hideMark/>
          </w:tcPr>
          <w:p w14:paraId="60DC56BD" w14:textId="77777777" w:rsidR="00DF358A" w:rsidRPr="004E13E9" w:rsidRDefault="00DF358A" w:rsidP="00BB4F69">
            <w:pPr>
              <w:rPr>
                <w:sz w:val="18"/>
                <w:szCs w:val="18"/>
                <w:lang w:val="en-GB"/>
              </w:rPr>
            </w:pPr>
            <w:r w:rsidRPr="004E13E9">
              <w:rPr>
                <w:sz w:val="18"/>
                <w:szCs w:val="18"/>
                <w:lang w:val="en-GB"/>
              </w:rPr>
              <w:t>STOBREC</w:t>
            </w:r>
          </w:p>
        </w:tc>
        <w:tc>
          <w:tcPr>
            <w:tcW w:w="1732" w:type="dxa"/>
            <w:noWrap/>
            <w:vAlign w:val="bottom"/>
            <w:hideMark/>
          </w:tcPr>
          <w:p w14:paraId="7FF87BE1"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7B4FA274" w14:textId="77777777" w:rsidTr="00BB4F69">
        <w:trPr>
          <w:trHeight w:val="300"/>
          <w:jc w:val="center"/>
        </w:trPr>
        <w:tc>
          <w:tcPr>
            <w:tcW w:w="4500" w:type="dxa"/>
            <w:noWrap/>
            <w:vAlign w:val="bottom"/>
            <w:hideMark/>
          </w:tcPr>
          <w:p w14:paraId="1BD0A229" w14:textId="77777777" w:rsidR="00DF358A" w:rsidRPr="004E13E9" w:rsidRDefault="00DF358A" w:rsidP="00BB4F69">
            <w:pPr>
              <w:rPr>
                <w:sz w:val="18"/>
                <w:szCs w:val="18"/>
                <w:lang w:val="en-GB"/>
              </w:rPr>
            </w:pPr>
            <w:r w:rsidRPr="004E13E9">
              <w:rPr>
                <w:sz w:val="18"/>
                <w:szCs w:val="18"/>
                <w:lang w:val="en-GB"/>
              </w:rPr>
              <w:t>SUCURAJ</w:t>
            </w:r>
          </w:p>
        </w:tc>
        <w:tc>
          <w:tcPr>
            <w:tcW w:w="1732" w:type="dxa"/>
            <w:noWrap/>
            <w:vAlign w:val="bottom"/>
            <w:hideMark/>
          </w:tcPr>
          <w:p w14:paraId="2DE9BEF6"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5FD35D1E" w14:textId="77777777" w:rsidTr="00BB4F69">
        <w:trPr>
          <w:trHeight w:val="300"/>
          <w:jc w:val="center"/>
        </w:trPr>
        <w:tc>
          <w:tcPr>
            <w:tcW w:w="4500" w:type="dxa"/>
            <w:noWrap/>
            <w:vAlign w:val="bottom"/>
            <w:hideMark/>
          </w:tcPr>
          <w:p w14:paraId="39183A19" w14:textId="77777777" w:rsidR="00DF358A" w:rsidRPr="004E13E9" w:rsidRDefault="00DF358A" w:rsidP="00BB4F69">
            <w:pPr>
              <w:rPr>
                <w:sz w:val="18"/>
                <w:szCs w:val="18"/>
                <w:lang w:val="en-GB"/>
              </w:rPr>
            </w:pPr>
            <w:r w:rsidRPr="004E13E9">
              <w:rPr>
                <w:sz w:val="18"/>
                <w:szCs w:val="18"/>
                <w:lang w:val="en-GB"/>
              </w:rPr>
              <w:t>SUKOŠAN</w:t>
            </w:r>
          </w:p>
        </w:tc>
        <w:tc>
          <w:tcPr>
            <w:tcW w:w="1732" w:type="dxa"/>
            <w:noWrap/>
            <w:vAlign w:val="bottom"/>
            <w:hideMark/>
          </w:tcPr>
          <w:p w14:paraId="71799198"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6B9172A6" w14:textId="77777777" w:rsidTr="00BB4F69">
        <w:trPr>
          <w:trHeight w:val="300"/>
          <w:jc w:val="center"/>
        </w:trPr>
        <w:tc>
          <w:tcPr>
            <w:tcW w:w="4500" w:type="dxa"/>
            <w:noWrap/>
            <w:vAlign w:val="bottom"/>
            <w:hideMark/>
          </w:tcPr>
          <w:p w14:paraId="4AA82D20" w14:textId="77777777" w:rsidR="00DF358A" w:rsidRPr="004E13E9" w:rsidRDefault="00DF358A" w:rsidP="00BB4F69">
            <w:pPr>
              <w:rPr>
                <w:sz w:val="18"/>
                <w:szCs w:val="18"/>
                <w:lang w:val="en-GB"/>
              </w:rPr>
            </w:pPr>
            <w:r w:rsidRPr="004E13E9">
              <w:rPr>
                <w:sz w:val="18"/>
                <w:szCs w:val="18"/>
                <w:lang w:val="en-GB"/>
              </w:rPr>
              <w:t>SUMARTIN</w:t>
            </w:r>
          </w:p>
        </w:tc>
        <w:tc>
          <w:tcPr>
            <w:tcW w:w="1732" w:type="dxa"/>
            <w:noWrap/>
            <w:vAlign w:val="bottom"/>
            <w:hideMark/>
          </w:tcPr>
          <w:p w14:paraId="30D80DAD"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5BF7B6C1" w14:textId="77777777" w:rsidTr="00BB4F69">
        <w:trPr>
          <w:trHeight w:val="300"/>
          <w:jc w:val="center"/>
        </w:trPr>
        <w:tc>
          <w:tcPr>
            <w:tcW w:w="4500" w:type="dxa"/>
            <w:noWrap/>
            <w:vAlign w:val="bottom"/>
            <w:hideMark/>
          </w:tcPr>
          <w:p w14:paraId="45E82B1D" w14:textId="77777777" w:rsidR="00DF358A" w:rsidRPr="004E13E9" w:rsidRDefault="00DF358A" w:rsidP="00BB4F69">
            <w:pPr>
              <w:rPr>
                <w:sz w:val="18"/>
                <w:szCs w:val="18"/>
                <w:lang w:val="en-GB"/>
              </w:rPr>
            </w:pPr>
            <w:r w:rsidRPr="004E13E9">
              <w:rPr>
                <w:sz w:val="18"/>
                <w:szCs w:val="18"/>
                <w:lang w:val="en-GB"/>
              </w:rPr>
              <w:t>SUPETAR</w:t>
            </w:r>
          </w:p>
        </w:tc>
        <w:tc>
          <w:tcPr>
            <w:tcW w:w="1732" w:type="dxa"/>
            <w:noWrap/>
            <w:vAlign w:val="bottom"/>
            <w:hideMark/>
          </w:tcPr>
          <w:p w14:paraId="76CAC515"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2FA9B957" w14:textId="77777777" w:rsidTr="00BB4F69">
        <w:trPr>
          <w:trHeight w:val="300"/>
          <w:jc w:val="center"/>
        </w:trPr>
        <w:tc>
          <w:tcPr>
            <w:tcW w:w="4500" w:type="dxa"/>
            <w:noWrap/>
            <w:vAlign w:val="bottom"/>
            <w:hideMark/>
          </w:tcPr>
          <w:p w14:paraId="492AFB54" w14:textId="77777777" w:rsidR="00DF358A" w:rsidRPr="004E13E9" w:rsidRDefault="00DF358A" w:rsidP="00BB4F69">
            <w:pPr>
              <w:rPr>
                <w:sz w:val="18"/>
                <w:szCs w:val="18"/>
                <w:lang w:val="en-GB"/>
              </w:rPr>
            </w:pPr>
            <w:r w:rsidRPr="004E13E9">
              <w:rPr>
                <w:sz w:val="18"/>
                <w:szCs w:val="18"/>
                <w:lang w:val="en-GB"/>
              </w:rPr>
              <w:t>SUSTJEPAN</w:t>
            </w:r>
          </w:p>
        </w:tc>
        <w:tc>
          <w:tcPr>
            <w:tcW w:w="1732" w:type="dxa"/>
            <w:noWrap/>
            <w:vAlign w:val="bottom"/>
            <w:hideMark/>
          </w:tcPr>
          <w:p w14:paraId="10F8B0F7"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39F1B8B5" w14:textId="77777777" w:rsidTr="00BB4F69">
        <w:trPr>
          <w:trHeight w:val="300"/>
          <w:jc w:val="center"/>
        </w:trPr>
        <w:tc>
          <w:tcPr>
            <w:tcW w:w="4500" w:type="dxa"/>
            <w:noWrap/>
            <w:vAlign w:val="bottom"/>
            <w:hideMark/>
          </w:tcPr>
          <w:p w14:paraId="1D380EA2" w14:textId="77777777" w:rsidR="00DF358A" w:rsidRPr="004E13E9" w:rsidRDefault="00DF358A" w:rsidP="00BB4F69">
            <w:pPr>
              <w:rPr>
                <w:sz w:val="18"/>
                <w:szCs w:val="18"/>
                <w:lang w:val="en-GB"/>
              </w:rPr>
            </w:pPr>
            <w:r w:rsidRPr="004E13E9">
              <w:rPr>
                <w:sz w:val="18"/>
                <w:szCs w:val="18"/>
                <w:lang w:val="en-GB"/>
              </w:rPr>
              <w:t>SVETA FUSKA</w:t>
            </w:r>
          </w:p>
        </w:tc>
        <w:tc>
          <w:tcPr>
            <w:tcW w:w="1732" w:type="dxa"/>
            <w:noWrap/>
            <w:vAlign w:val="bottom"/>
            <w:hideMark/>
          </w:tcPr>
          <w:p w14:paraId="0A961008"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1F6611CD" w14:textId="77777777" w:rsidTr="00BB4F69">
        <w:trPr>
          <w:trHeight w:val="300"/>
          <w:jc w:val="center"/>
        </w:trPr>
        <w:tc>
          <w:tcPr>
            <w:tcW w:w="4500" w:type="dxa"/>
            <w:noWrap/>
            <w:vAlign w:val="bottom"/>
            <w:hideMark/>
          </w:tcPr>
          <w:p w14:paraId="0947BB45" w14:textId="77777777" w:rsidR="00DF358A" w:rsidRPr="004E13E9" w:rsidRDefault="00DF358A" w:rsidP="00BB4F69">
            <w:pPr>
              <w:rPr>
                <w:sz w:val="18"/>
                <w:szCs w:val="18"/>
                <w:lang w:val="en-GB"/>
              </w:rPr>
            </w:pPr>
            <w:r w:rsidRPr="004E13E9">
              <w:rPr>
                <w:sz w:val="18"/>
                <w:szCs w:val="18"/>
                <w:lang w:val="en-GB"/>
              </w:rPr>
              <w:t>SVETI MARTIN</w:t>
            </w:r>
          </w:p>
        </w:tc>
        <w:tc>
          <w:tcPr>
            <w:tcW w:w="1732" w:type="dxa"/>
            <w:noWrap/>
            <w:vAlign w:val="bottom"/>
            <w:hideMark/>
          </w:tcPr>
          <w:p w14:paraId="1FE7EC6F"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790ABC9A" w14:textId="77777777" w:rsidTr="00BB4F69">
        <w:trPr>
          <w:trHeight w:val="300"/>
          <w:jc w:val="center"/>
        </w:trPr>
        <w:tc>
          <w:tcPr>
            <w:tcW w:w="4500" w:type="dxa"/>
            <w:noWrap/>
            <w:vAlign w:val="bottom"/>
            <w:hideMark/>
          </w:tcPr>
          <w:p w14:paraId="29C5B725" w14:textId="77777777" w:rsidR="00DF358A" w:rsidRPr="004E13E9" w:rsidRDefault="00DF358A" w:rsidP="00BB4F69">
            <w:pPr>
              <w:rPr>
                <w:sz w:val="18"/>
                <w:szCs w:val="18"/>
                <w:lang w:val="en-GB"/>
              </w:rPr>
            </w:pPr>
            <w:r w:rsidRPr="004E13E9">
              <w:rPr>
                <w:sz w:val="18"/>
                <w:szCs w:val="18"/>
                <w:lang w:val="en-GB"/>
              </w:rPr>
              <w:t>TKON</w:t>
            </w:r>
          </w:p>
        </w:tc>
        <w:tc>
          <w:tcPr>
            <w:tcW w:w="1732" w:type="dxa"/>
            <w:noWrap/>
            <w:vAlign w:val="bottom"/>
            <w:hideMark/>
          </w:tcPr>
          <w:p w14:paraId="210FDFD5"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46C53523" w14:textId="77777777" w:rsidTr="00BB4F69">
        <w:trPr>
          <w:trHeight w:val="300"/>
          <w:jc w:val="center"/>
        </w:trPr>
        <w:tc>
          <w:tcPr>
            <w:tcW w:w="4500" w:type="dxa"/>
            <w:noWrap/>
            <w:vAlign w:val="bottom"/>
            <w:hideMark/>
          </w:tcPr>
          <w:p w14:paraId="2BF25210" w14:textId="77777777" w:rsidR="00DF358A" w:rsidRPr="004E13E9" w:rsidRDefault="00DF358A" w:rsidP="00BB4F69">
            <w:pPr>
              <w:rPr>
                <w:sz w:val="18"/>
                <w:szCs w:val="18"/>
                <w:lang w:val="en-GB"/>
              </w:rPr>
            </w:pPr>
            <w:r w:rsidRPr="004E13E9">
              <w:rPr>
                <w:sz w:val="18"/>
                <w:szCs w:val="18"/>
                <w:lang w:val="en-GB"/>
              </w:rPr>
              <w:t>TRIBUNJ</w:t>
            </w:r>
          </w:p>
        </w:tc>
        <w:tc>
          <w:tcPr>
            <w:tcW w:w="1732" w:type="dxa"/>
            <w:noWrap/>
            <w:vAlign w:val="bottom"/>
            <w:hideMark/>
          </w:tcPr>
          <w:p w14:paraId="0A42FBDE"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66B69524" w14:textId="77777777" w:rsidTr="00BB4F69">
        <w:trPr>
          <w:trHeight w:val="300"/>
          <w:jc w:val="center"/>
        </w:trPr>
        <w:tc>
          <w:tcPr>
            <w:tcW w:w="4500" w:type="dxa"/>
            <w:noWrap/>
            <w:vAlign w:val="bottom"/>
            <w:hideMark/>
          </w:tcPr>
          <w:p w14:paraId="1694501E" w14:textId="77777777" w:rsidR="00DF358A" w:rsidRPr="004E13E9" w:rsidRDefault="00DF358A" w:rsidP="00BB4F69">
            <w:pPr>
              <w:rPr>
                <w:sz w:val="18"/>
                <w:szCs w:val="18"/>
                <w:lang w:val="en-GB"/>
              </w:rPr>
            </w:pPr>
            <w:r w:rsidRPr="004E13E9">
              <w:rPr>
                <w:sz w:val="18"/>
                <w:szCs w:val="18"/>
                <w:lang w:val="en-GB"/>
              </w:rPr>
              <w:t>TROGIR – TRAJEKTNA RAMPA</w:t>
            </w:r>
          </w:p>
        </w:tc>
        <w:tc>
          <w:tcPr>
            <w:tcW w:w="1732" w:type="dxa"/>
            <w:noWrap/>
            <w:vAlign w:val="bottom"/>
            <w:hideMark/>
          </w:tcPr>
          <w:p w14:paraId="52D23E8D"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00A63742" w14:textId="77777777" w:rsidTr="00BB4F69">
        <w:trPr>
          <w:trHeight w:val="300"/>
          <w:jc w:val="center"/>
        </w:trPr>
        <w:tc>
          <w:tcPr>
            <w:tcW w:w="4500" w:type="dxa"/>
            <w:noWrap/>
            <w:vAlign w:val="bottom"/>
            <w:hideMark/>
          </w:tcPr>
          <w:p w14:paraId="058471D4" w14:textId="77777777" w:rsidR="00DF358A" w:rsidRPr="004E13E9" w:rsidRDefault="00DF358A" w:rsidP="00BB4F69">
            <w:pPr>
              <w:rPr>
                <w:sz w:val="18"/>
                <w:szCs w:val="18"/>
                <w:lang w:val="en-GB"/>
              </w:rPr>
            </w:pPr>
            <w:r w:rsidRPr="004E13E9">
              <w:rPr>
                <w:sz w:val="18"/>
                <w:szCs w:val="18"/>
                <w:lang w:val="en-GB"/>
              </w:rPr>
              <w:t>TRPANJ</w:t>
            </w:r>
          </w:p>
        </w:tc>
        <w:tc>
          <w:tcPr>
            <w:tcW w:w="1732" w:type="dxa"/>
            <w:noWrap/>
            <w:vAlign w:val="bottom"/>
            <w:hideMark/>
          </w:tcPr>
          <w:p w14:paraId="450F8D22"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238BD7B4" w14:textId="77777777" w:rsidTr="00BB4F69">
        <w:trPr>
          <w:trHeight w:val="300"/>
          <w:jc w:val="center"/>
        </w:trPr>
        <w:tc>
          <w:tcPr>
            <w:tcW w:w="4500" w:type="dxa"/>
            <w:noWrap/>
            <w:vAlign w:val="bottom"/>
            <w:hideMark/>
          </w:tcPr>
          <w:p w14:paraId="03A293A8" w14:textId="77777777" w:rsidR="00DF358A" w:rsidRPr="004E13E9" w:rsidRDefault="00DF358A" w:rsidP="00BB4F69">
            <w:pPr>
              <w:rPr>
                <w:sz w:val="18"/>
                <w:szCs w:val="18"/>
                <w:lang w:val="en-GB"/>
              </w:rPr>
            </w:pPr>
            <w:r w:rsidRPr="004E13E9">
              <w:rPr>
                <w:sz w:val="18"/>
                <w:szCs w:val="18"/>
                <w:lang w:val="en-GB"/>
              </w:rPr>
              <w:t>TRSTENIK</w:t>
            </w:r>
          </w:p>
        </w:tc>
        <w:tc>
          <w:tcPr>
            <w:tcW w:w="1732" w:type="dxa"/>
            <w:noWrap/>
            <w:vAlign w:val="bottom"/>
            <w:hideMark/>
          </w:tcPr>
          <w:p w14:paraId="0F073BBF"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7C995998" w14:textId="77777777" w:rsidTr="00BB4F69">
        <w:trPr>
          <w:trHeight w:val="300"/>
          <w:jc w:val="center"/>
        </w:trPr>
        <w:tc>
          <w:tcPr>
            <w:tcW w:w="4500" w:type="dxa"/>
            <w:noWrap/>
            <w:vAlign w:val="bottom"/>
            <w:hideMark/>
          </w:tcPr>
          <w:p w14:paraId="46DEC945" w14:textId="77777777" w:rsidR="00DF358A" w:rsidRPr="004E13E9" w:rsidRDefault="00DF358A" w:rsidP="00BB4F69">
            <w:pPr>
              <w:rPr>
                <w:sz w:val="18"/>
                <w:szCs w:val="18"/>
                <w:lang w:val="en-GB"/>
              </w:rPr>
            </w:pPr>
            <w:r w:rsidRPr="004E13E9">
              <w:rPr>
                <w:sz w:val="18"/>
                <w:szCs w:val="18"/>
                <w:lang w:val="en-GB"/>
              </w:rPr>
              <w:t>TURANJ</w:t>
            </w:r>
          </w:p>
        </w:tc>
        <w:tc>
          <w:tcPr>
            <w:tcW w:w="1732" w:type="dxa"/>
            <w:noWrap/>
            <w:vAlign w:val="bottom"/>
            <w:hideMark/>
          </w:tcPr>
          <w:p w14:paraId="6BDC46E9"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08B4EBA2" w14:textId="77777777" w:rsidTr="00BB4F69">
        <w:trPr>
          <w:trHeight w:val="300"/>
          <w:jc w:val="center"/>
        </w:trPr>
        <w:tc>
          <w:tcPr>
            <w:tcW w:w="4500" w:type="dxa"/>
            <w:noWrap/>
            <w:vAlign w:val="bottom"/>
            <w:hideMark/>
          </w:tcPr>
          <w:p w14:paraId="220F0D4A" w14:textId="77777777" w:rsidR="00DF358A" w:rsidRPr="004E13E9" w:rsidRDefault="00DF358A" w:rsidP="00BB4F69">
            <w:pPr>
              <w:rPr>
                <w:sz w:val="18"/>
                <w:szCs w:val="18"/>
                <w:lang w:val="en-GB"/>
              </w:rPr>
            </w:pPr>
            <w:r w:rsidRPr="004E13E9">
              <w:rPr>
                <w:sz w:val="18"/>
                <w:szCs w:val="18"/>
                <w:lang w:val="en-GB"/>
              </w:rPr>
              <w:t>UBLI – OPERATIVNA OBALA</w:t>
            </w:r>
          </w:p>
        </w:tc>
        <w:tc>
          <w:tcPr>
            <w:tcW w:w="1732" w:type="dxa"/>
            <w:noWrap/>
            <w:vAlign w:val="bottom"/>
            <w:hideMark/>
          </w:tcPr>
          <w:p w14:paraId="367D871B"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2190A142" w14:textId="77777777" w:rsidTr="00BB4F69">
        <w:trPr>
          <w:trHeight w:val="300"/>
          <w:jc w:val="center"/>
        </w:trPr>
        <w:tc>
          <w:tcPr>
            <w:tcW w:w="4500" w:type="dxa"/>
            <w:noWrap/>
            <w:vAlign w:val="bottom"/>
            <w:hideMark/>
          </w:tcPr>
          <w:p w14:paraId="1FC04AA5" w14:textId="77777777" w:rsidR="00DF358A" w:rsidRPr="004E13E9" w:rsidRDefault="00DF358A" w:rsidP="00BB4F69">
            <w:pPr>
              <w:rPr>
                <w:sz w:val="18"/>
                <w:szCs w:val="18"/>
                <w:lang w:val="en-GB"/>
              </w:rPr>
            </w:pPr>
            <w:r w:rsidRPr="004E13E9">
              <w:rPr>
                <w:sz w:val="18"/>
                <w:szCs w:val="18"/>
                <w:lang w:val="en-GB"/>
              </w:rPr>
              <w:t>UMAG</w:t>
            </w:r>
          </w:p>
        </w:tc>
        <w:tc>
          <w:tcPr>
            <w:tcW w:w="1732" w:type="dxa"/>
            <w:noWrap/>
            <w:vAlign w:val="bottom"/>
            <w:hideMark/>
          </w:tcPr>
          <w:p w14:paraId="2EFC5689"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20D51E1C" w14:textId="77777777" w:rsidTr="00BB4F69">
        <w:trPr>
          <w:trHeight w:val="300"/>
          <w:jc w:val="center"/>
        </w:trPr>
        <w:tc>
          <w:tcPr>
            <w:tcW w:w="4500" w:type="dxa"/>
            <w:noWrap/>
            <w:vAlign w:val="bottom"/>
            <w:hideMark/>
          </w:tcPr>
          <w:p w14:paraId="4487328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UVALA PALEŠ</w:t>
            </w:r>
          </w:p>
        </w:tc>
        <w:tc>
          <w:tcPr>
            <w:tcW w:w="1732" w:type="dxa"/>
            <w:noWrap/>
            <w:vAlign w:val="bottom"/>
            <w:hideMark/>
          </w:tcPr>
          <w:p w14:paraId="11A923F5"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EU-Croatia</w:t>
            </w:r>
          </w:p>
        </w:tc>
      </w:tr>
      <w:tr w:rsidR="00DF358A" w:rsidRPr="004E13E9" w14:paraId="4475E1E1" w14:textId="77777777" w:rsidTr="00BB4F69">
        <w:trPr>
          <w:trHeight w:val="300"/>
          <w:jc w:val="center"/>
        </w:trPr>
        <w:tc>
          <w:tcPr>
            <w:tcW w:w="4500" w:type="dxa"/>
            <w:noWrap/>
            <w:vAlign w:val="bottom"/>
            <w:hideMark/>
          </w:tcPr>
          <w:p w14:paraId="2AF0E32D" w14:textId="77777777" w:rsidR="00DF358A" w:rsidRPr="004E13E9" w:rsidRDefault="00DF358A" w:rsidP="00BB4F69">
            <w:pPr>
              <w:rPr>
                <w:sz w:val="18"/>
                <w:szCs w:val="18"/>
                <w:lang w:val="en-GB"/>
              </w:rPr>
            </w:pPr>
            <w:r w:rsidRPr="004E13E9">
              <w:rPr>
                <w:sz w:val="18"/>
                <w:szCs w:val="18"/>
                <w:lang w:val="en-GB"/>
              </w:rPr>
              <w:t>UVALA PELEŠ</w:t>
            </w:r>
          </w:p>
        </w:tc>
        <w:tc>
          <w:tcPr>
            <w:tcW w:w="1732" w:type="dxa"/>
            <w:noWrap/>
            <w:vAlign w:val="bottom"/>
            <w:hideMark/>
          </w:tcPr>
          <w:p w14:paraId="7648085D"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405EE059" w14:textId="77777777" w:rsidTr="00BB4F69">
        <w:trPr>
          <w:trHeight w:val="300"/>
          <w:jc w:val="center"/>
        </w:trPr>
        <w:tc>
          <w:tcPr>
            <w:tcW w:w="4500" w:type="dxa"/>
            <w:noWrap/>
            <w:vAlign w:val="bottom"/>
            <w:hideMark/>
          </w:tcPr>
          <w:p w14:paraId="79674595" w14:textId="77777777" w:rsidR="00DF358A" w:rsidRPr="004E13E9" w:rsidRDefault="00DF358A" w:rsidP="00BB4F69">
            <w:pPr>
              <w:rPr>
                <w:sz w:val="18"/>
                <w:szCs w:val="18"/>
                <w:lang w:val="en-GB"/>
              </w:rPr>
            </w:pPr>
            <w:r w:rsidRPr="004E13E9">
              <w:rPr>
                <w:sz w:val="18"/>
                <w:szCs w:val="18"/>
                <w:lang w:val="en-GB"/>
              </w:rPr>
              <w:t>UVALA VOZ</w:t>
            </w:r>
          </w:p>
        </w:tc>
        <w:tc>
          <w:tcPr>
            <w:tcW w:w="1732" w:type="dxa"/>
            <w:noWrap/>
            <w:vAlign w:val="bottom"/>
            <w:hideMark/>
          </w:tcPr>
          <w:p w14:paraId="09E564F6"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32F5A7A7" w14:textId="77777777" w:rsidTr="00BB4F69">
        <w:trPr>
          <w:trHeight w:val="300"/>
          <w:jc w:val="center"/>
        </w:trPr>
        <w:tc>
          <w:tcPr>
            <w:tcW w:w="4500" w:type="dxa"/>
            <w:noWrap/>
            <w:vAlign w:val="bottom"/>
            <w:hideMark/>
          </w:tcPr>
          <w:p w14:paraId="12D18BE7" w14:textId="77777777" w:rsidR="00DF358A" w:rsidRPr="004E13E9" w:rsidRDefault="00DF358A" w:rsidP="00BB4F69">
            <w:pPr>
              <w:rPr>
                <w:sz w:val="18"/>
                <w:szCs w:val="18"/>
                <w:lang w:val="en-GB"/>
              </w:rPr>
            </w:pPr>
            <w:r w:rsidRPr="004E13E9">
              <w:rPr>
                <w:sz w:val="18"/>
                <w:szCs w:val="18"/>
                <w:lang w:val="en-GB"/>
              </w:rPr>
              <w:t>VELA LUKA</w:t>
            </w:r>
          </w:p>
        </w:tc>
        <w:tc>
          <w:tcPr>
            <w:tcW w:w="1732" w:type="dxa"/>
            <w:noWrap/>
            <w:vAlign w:val="bottom"/>
            <w:hideMark/>
          </w:tcPr>
          <w:p w14:paraId="0BF0E108"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3A61D813" w14:textId="77777777" w:rsidTr="00BB4F69">
        <w:trPr>
          <w:trHeight w:val="300"/>
          <w:jc w:val="center"/>
        </w:trPr>
        <w:tc>
          <w:tcPr>
            <w:tcW w:w="4500" w:type="dxa"/>
            <w:noWrap/>
            <w:vAlign w:val="bottom"/>
            <w:hideMark/>
          </w:tcPr>
          <w:p w14:paraId="152D90E8" w14:textId="77777777" w:rsidR="00DF358A" w:rsidRPr="004E13E9" w:rsidRDefault="00DF358A" w:rsidP="00BB4F69">
            <w:pPr>
              <w:rPr>
                <w:sz w:val="18"/>
                <w:szCs w:val="18"/>
                <w:lang w:val="en-GB"/>
              </w:rPr>
            </w:pPr>
            <w:r w:rsidRPr="004E13E9">
              <w:rPr>
                <w:sz w:val="18"/>
                <w:szCs w:val="18"/>
                <w:lang w:val="en-GB"/>
              </w:rPr>
              <w:t>VIGANJ</w:t>
            </w:r>
          </w:p>
        </w:tc>
        <w:tc>
          <w:tcPr>
            <w:tcW w:w="1732" w:type="dxa"/>
            <w:noWrap/>
            <w:vAlign w:val="bottom"/>
            <w:hideMark/>
          </w:tcPr>
          <w:p w14:paraId="101CC297"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1C18659F" w14:textId="77777777" w:rsidTr="00BB4F69">
        <w:trPr>
          <w:trHeight w:val="300"/>
          <w:jc w:val="center"/>
        </w:trPr>
        <w:tc>
          <w:tcPr>
            <w:tcW w:w="4500" w:type="dxa"/>
            <w:noWrap/>
            <w:vAlign w:val="bottom"/>
            <w:hideMark/>
          </w:tcPr>
          <w:p w14:paraId="56AB13BD" w14:textId="77777777" w:rsidR="00DF358A" w:rsidRPr="004E13E9" w:rsidRDefault="00DF358A" w:rsidP="00BB4F69">
            <w:pPr>
              <w:rPr>
                <w:sz w:val="18"/>
                <w:szCs w:val="18"/>
                <w:lang w:val="en-GB"/>
              </w:rPr>
            </w:pPr>
            <w:r w:rsidRPr="004E13E9">
              <w:rPr>
                <w:sz w:val="18"/>
                <w:szCs w:val="18"/>
                <w:lang w:val="en-GB"/>
              </w:rPr>
              <w:t>VINIŠCE</w:t>
            </w:r>
          </w:p>
        </w:tc>
        <w:tc>
          <w:tcPr>
            <w:tcW w:w="1732" w:type="dxa"/>
            <w:noWrap/>
            <w:vAlign w:val="bottom"/>
            <w:hideMark/>
          </w:tcPr>
          <w:p w14:paraId="7C211465"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2244A68F" w14:textId="77777777" w:rsidTr="00BB4F69">
        <w:trPr>
          <w:trHeight w:val="300"/>
          <w:jc w:val="center"/>
        </w:trPr>
        <w:tc>
          <w:tcPr>
            <w:tcW w:w="4500" w:type="dxa"/>
            <w:noWrap/>
            <w:vAlign w:val="bottom"/>
            <w:hideMark/>
          </w:tcPr>
          <w:p w14:paraId="6EFF5336" w14:textId="77777777" w:rsidR="00DF358A" w:rsidRPr="004E13E9" w:rsidRDefault="00DF358A" w:rsidP="00BB4F69">
            <w:pPr>
              <w:rPr>
                <w:sz w:val="18"/>
                <w:szCs w:val="18"/>
                <w:lang w:val="en-GB"/>
              </w:rPr>
            </w:pPr>
            <w:r w:rsidRPr="004E13E9">
              <w:rPr>
                <w:sz w:val="18"/>
                <w:szCs w:val="18"/>
                <w:lang w:val="en-GB"/>
              </w:rPr>
              <w:t>VIR</w:t>
            </w:r>
          </w:p>
        </w:tc>
        <w:tc>
          <w:tcPr>
            <w:tcW w:w="1732" w:type="dxa"/>
            <w:noWrap/>
            <w:vAlign w:val="bottom"/>
            <w:hideMark/>
          </w:tcPr>
          <w:p w14:paraId="54281F46"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19CC8834" w14:textId="77777777" w:rsidTr="00BB4F69">
        <w:trPr>
          <w:trHeight w:val="300"/>
          <w:jc w:val="center"/>
        </w:trPr>
        <w:tc>
          <w:tcPr>
            <w:tcW w:w="4500" w:type="dxa"/>
            <w:noWrap/>
            <w:vAlign w:val="bottom"/>
            <w:hideMark/>
          </w:tcPr>
          <w:p w14:paraId="3EB68587" w14:textId="77777777" w:rsidR="00DF358A" w:rsidRPr="004E13E9" w:rsidRDefault="00DF358A" w:rsidP="00BB4F69">
            <w:pPr>
              <w:rPr>
                <w:sz w:val="18"/>
                <w:szCs w:val="18"/>
                <w:lang w:val="en-GB"/>
              </w:rPr>
            </w:pPr>
            <w:r w:rsidRPr="004E13E9">
              <w:rPr>
                <w:sz w:val="18"/>
                <w:szCs w:val="18"/>
                <w:lang w:val="en-GB"/>
              </w:rPr>
              <w:t>VIS</w:t>
            </w:r>
          </w:p>
        </w:tc>
        <w:tc>
          <w:tcPr>
            <w:tcW w:w="1732" w:type="dxa"/>
            <w:noWrap/>
            <w:vAlign w:val="bottom"/>
            <w:hideMark/>
          </w:tcPr>
          <w:p w14:paraId="7B2D741D"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3D024251" w14:textId="77777777" w:rsidTr="00BB4F69">
        <w:trPr>
          <w:trHeight w:val="300"/>
          <w:jc w:val="center"/>
        </w:trPr>
        <w:tc>
          <w:tcPr>
            <w:tcW w:w="4500" w:type="dxa"/>
            <w:noWrap/>
            <w:vAlign w:val="bottom"/>
            <w:hideMark/>
          </w:tcPr>
          <w:p w14:paraId="5691FC8B" w14:textId="77777777" w:rsidR="00DF358A" w:rsidRPr="004E13E9" w:rsidRDefault="00DF358A" w:rsidP="00BB4F69">
            <w:pPr>
              <w:rPr>
                <w:sz w:val="18"/>
                <w:szCs w:val="18"/>
                <w:lang w:val="en-GB"/>
              </w:rPr>
            </w:pPr>
            <w:r w:rsidRPr="004E13E9">
              <w:rPr>
                <w:sz w:val="18"/>
                <w:szCs w:val="18"/>
                <w:lang w:val="en-GB"/>
              </w:rPr>
              <w:t>VODICE</w:t>
            </w:r>
          </w:p>
        </w:tc>
        <w:tc>
          <w:tcPr>
            <w:tcW w:w="1732" w:type="dxa"/>
            <w:noWrap/>
            <w:vAlign w:val="bottom"/>
            <w:hideMark/>
          </w:tcPr>
          <w:p w14:paraId="39924F8A"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4FBC9E55" w14:textId="77777777" w:rsidTr="00BB4F69">
        <w:trPr>
          <w:trHeight w:val="300"/>
          <w:jc w:val="center"/>
        </w:trPr>
        <w:tc>
          <w:tcPr>
            <w:tcW w:w="4500" w:type="dxa"/>
            <w:noWrap/>
            <w:vAlign w:val="bottom"/>
            <w:hideMark/>
          </w:tcPr>
          <w:p w14:paraId="1AB6E775"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VRBOVSKA</w:t>
            </w:r>
          </w:p>
        </w:tc>
        <w:tc>
          <w:tcPr>
            <w:tcW w:w="1732" w:type="dxa"/>
            <w:noWrap/>
            <w:vAlign w:val="bottom"/>
            <w:hideMark/>
          </w:tcPr>
          <w:p w14:paraId="75DA38A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EU-Croatia</w:t>
            </w:r>
          </w:p>
        </w:tc>
      </w:tr>
      <w:tr w:rsidR="00DF358A" w:rsidRPr="004E13E9" w14:paraId="7AD07D7A" w14:textId="77777777" w:rsidTr="00BB4F69">
        <w:trPr>
          <w:trHeight w:val="300"/>
          <w:jc w:val="center"/>
        </w:trPr>
        <w:tc>
          <w:tcPr>
            <w:tcW w:w="4500" w:type="dxa"/>
            <w:noWrap/>
            <w:vAlign w:val="bottom"/>
            <w:hideMark/>
          </w:tcPr>
          <w:p w14:paraId="1213154C" w14:textId="77777777" w:rsidR="00DF358A" w:rsidRPr="004E13E9" w:rsidRDefault="00DF358A" w:rsidP="00BB4F69">
            <w:pPr>
              <w:rPr>
                <w:sz w:val="18"/>
                <w:szCs w:val="18"/>
                <w:lang w:val="en-GB"/>
              </w:rPr>
            </w:pPr>
            <w:r w:rsidRPr="004E13E9">
              <w:rPr>
                <w:sz w:val="18"/>
                <w:szCs w:val="18"/>
                <w:lang w:val="en-GB"/>
              </w:rPr>
              <w:t>VRSAR</w:t>
            </w:r>
          </w:p>
        </w:tc>
        <w:tc>
          <w:tcPr>
            <w:tcW w:w="1732" w:type="dxa"/>
            <w:noWrap/>
            <w:vAlign w:val="bottom"/>
            <w:hideMark/>
          </w:tcPr>
          <w:p w14:paraId="0124C61A"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4C5770BF" w14:textId="77777777" w:rsidTr="00BB4F69">
        <w:trPr>
          <w:trHeight w:val="300"/>
          <w:jc w:val="center"/>
        </w:trPr>
        <w:tc>
          <w:tcPr>
            <w:tcW w:w="4500" w:type="dxa"/>
            <w:noWrap/>
            <w:vAlign w:val="bottom"/>
            <w:hideMark/>
          </w:tcPr>
          <w:p w14:paraId="2B6AADB4" w14:textId="77777777" w:rsidR="00DF358A" w:rsidRPr="004E13E9" w:rsidRDefault="00DF358A" w:rsidP="00BB4F69">
            <w:pPr>
              <w:rPr>
                <w:sz w:val="18"/>
                <w:szCs w:val="18"/>
                <w:lang w:val="en-GB"/>
              </w:rPr>
            </w:pPr>
            <w:r w:rsidRPr="004E13E9">
              <w:rPr>
                <w:sz w:val="18"/>
                <w:szCs w:val="18"/>
                <w:lang w:val="en-GB"/>
              </w:rPr>
              <w:t>ZADAR – GAŽENICA</w:t>
            </w:r>
          </w:p>
        </w:tc>
        <w:tc>
          <w:tcPr>
            <w:tcW w:w="1732" w:type="dxa"/>
            <w:noWrap/>
            <w:vAlign w:val="bottom"/>
            <w:hideMark/>
          </w:tcPr>
          <w:p w14:paraId="3696A57D"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28F6F0A8" w14:textId="77777777" w:rsidTr="00BB4F69">
        <w:trPr>
          <w:trHeight w:val="300"/>
          <w:jc w:val="center"/>
        </w:trPr>
        <w:tc>
          <w:tcPr>
            <w:tcW w:w="4500" w:type="dxa"/>
            <w:noWrap/>
            <w:vAlign w:val="bottom"/>
            <w:hideMark/>
          </w:tcPr>
          <w:p w14:paraId="518D1C0A" w14:textId="77777777" w:rsidR="00DF358A" w:rsidRPr="004E13E9" w:rsidRDefault="00DF358A" w:rsidP="00BB4F69">
            <w:pPr>
              <w:rPr>
                <w:sz w:val="18"/>
                <w:szCs w:val="18"/>
                <w:lang w:val="en-GB"/>
              </w:rPr>
            </w:pPr>
            <w:r w:rsidRPr="004E13E9">
              <w:rPr>
                <w:sz w:val="18"/>
                <w:szCs w:val="18"/>
                <w:lang w:val="en-GB"/>
              </w:rPr>
              <w:t>ZADAR – KOD MOSTA</w:t>
            </w:r>
          </w:p>
        </w:tc>
        <w:tc>
          <w:tcPr>
            <w:tcW w:w="1732" w:type="dxa"/>
            <w:noWrap/>
            <w:vAlign w:val="bottom"/>
            <w:hideMark/>
          </w:tcPr>
          <w:p w14:paraId="2D797E81"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006FB82C" w14:textId="77777777" w:rsidTr="00BB4F69">
        <w:trPr>
          <w:trHeight w:val="300"/>
          <w:jc w:val="center"/>
        </w:trPr>
        <w:tc>
          <w:tcPr>
            <w:tcW w:w="4500" w:type="dxa"/>
            <w:noWrap/>
            <w:vAlign w:val="bottom"/>
            <w:hideMark/>
          </w:tcPr>
          <w:p w14:paraId="247B360C" w14:textId="77777777" w:rsidR="00DF358A" w:rsidRPr="004E13E9" w:rsidRDefault="00DF358A" w:rsidP="00BB4F69">
            <w:pPr>
              <w:rPr>
                <w:sz w:val="18"/>
                <w:szCs w:val="18"/>
                <w:lang w:val="en-GB"/>
              </w:rPr>
            </w:pPr>
            <w:r w:rsidRPr="004E13E9">
              <w:rPr>
                <w:sz w:val="18"/>
                <w:szCs w:val="18"/>
                <w:lang w:val="en-GB"/>
              </w:rPr>
              <w:t>ZAOSTROG</w:t>
            </w:r>
          </w:p>
        </w:tc>
        <w:tc>
          <w:tcPr>
            <w:tcW w:w="1732" w:type="dxa"/>
            <w:noWrap/>
            <w:vAlign w:val="bottom"/>
            <w:hideMark/>
          </w:tcPr>
          <w:p w14:paraId="25D53C1C"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6DE6B0F2" w14:textId="77777777" w:rsidTr="00BB4F69">
        <w:trPr>
          <w:trHeight w:val="300"/>
          <w:jc w:val="center"/>
        </w:trPr>
        <w:tc>
          <w:tcPr>
            <w:tcW w:w="4500" w:type="dxa"/>
            <w:noWrap/>
            <w:vAlign w:val="bottom"/>
            <w:hideMark/>
          </w:tcPr>
          <w:p w14:paraId="58F913B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ŠIBENIK – GAT SV. PETRA</w:t>
            </w:r>
          </w:p>
        </w:tc>
        <w:tc>
          <w:tcPr>
            <w:tcW w:w="1732" w:type="dxa"/>
            <w:noWrap/>
            <w:vAlign w:val="bottom"/>
            <w:hideMark/>
          </w:tcPr>
          <w:p w14:paraId="667692B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EU-Croatia</w:t>
            </w:r>
          </w:p>
        </w:tc>
      </w:tr>
      <w:tr w:rsidR="00DF358A" w:rsidRPr="004E13E9" w14:paraId="56FC5DCA" w14:textId="77777777" w:rsidTr="00BB4F69">
        <w:trPr>
          <w:trHeight w:val="300"/>
          <w:jc w:val="center"/>
        </w:trPr>
        <w:tc>
          <w:tcPr>
            <w:tcW w:w="4500" w:type="dxa"/>
            <w:noWrap/>
            <w:vAlign w:val="bottom"/>
            <w:hideMark/>
          </w:tcPr>
          <w:p w14:paraId="461F1E8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ŠIMUNI</w:t>
            </w:r>
          </w:p>
        </w:tc>
        <w:tc>
          <w:tcPr>
            <w:tcW w:w="1732" w:type="dxa"/>
            <w:noWrap/>
            <w:vAlign w:val="bottom"/>
            <w:hideMark/>
          </w:tcPr>
          <w:p w14:paraId="32E359E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EU-Croatia</w:t>
            </w:r>
          </w:p>
        </w:tc>
      </w:tr>
      <w:tr w:rsidR="00DF358A" w:rsidRPr="004E13E9" w14:paraId="507ECF17" w14:textId="77777777" w:rsidTr="00BB4F69">
        <w:trPr>
          <w:trHeight w:val="300"/>
          <w:jc w:val="center"/>
        </w:trPr>
        <w:tc>
          <w:tcPr>
            <w:tcW w:w="4500" w:type="dxa"/>
            <w:noWrap/>
            <w:vAlign w:val="bottom"/>
            <w:hideMark/>
          </w:tcPr>
          <w:p w14:paraId="2AA6DFAE" w14:textId="77777777" w:rsidR="00DF358A" w:rsidRPr="004E13E9" w:rsidRDefault="00DF358A" w:rsidP="00BB4F69">
            <w:pPr>
              <w:rPr>
                <w:sz w:val="18"/>
                <w:szCs w:val="18"/>
                <w:lang w:val="en-GB"/>
              </w:rPr>
            </w:pPr>
            <w:r w:rsidRPr="004E13E9">
              <w:rPr>
                <w:sz w:val="18"/>
                <w:szCs w:val="18"/>
                <w:lang w:val="en-GB"/>
              </w:rPr>
              <w:t>ŽUNAC</w:t>
            </w:r>
          </w:p>
        </w:tc>
        <w:tc>
          <w:tcPr>
            <w:tcW w:w="1732" w:type="dxa"/>
            <w:noWrap/>
            <w:vAlign w:val="bottom"/>
            <w:hideMark/>
          </w:tcPr>
          <w:p w14:paraId="5EDFF31F" w14:textId="77777777" w:rsidR="00DF358A" w:rsidRPr="004E13E9" w:rsidRDefault="00DF358A" w:rsidP="00BB4F69">
            <w:pPr>
              <w:rPr>
                <w:sz w:val="18"/>
                <w:szCs w:val="18"/>
                <w:lang w:val="en-GB"/>
              </w:rPr>
            </w:pPr>
            <w:r w:rsidRPr="004E13E9">
              <w:rPr>
                <w:sz w:val="18"/>
                <w:szCs w:val="18"/>
                <w:lang w:val="en-GB"/>
              </w:rPr>
              <w:t>EU-Croatia</w:t>
            </w:r>
          </w:p>
        </w:tc>
      </w:tr>
      <w:tr w:rsidR="00DF358A" w:rsidRPr="004E13E9" w14:paraId="7E9F0270" w14:textId="77777777" w:rsidTr="00BB4F69">
        <w:trPr>
          <w:trHeight w:val="300"/>
          <w:jc w:val="center"/>
        </w:trPr>
        <w:tc>
          <w:tcPr>
            <w:tcW w:w="4500" w:type="dxa"/>
            <w:noWrap/>
            <w:vAlign w:val="bottom"/>
            <w:hideMark/>
          </w:tcPr>
          <w:p w14:paraId="2BDB9599" w14:textId="77777777" w:rsidR="00DF358A" w:rsidRPr="004E13E9" w:rsidRDefault="00DF358A" w:rsidP="00BB4F69">
            <w:pPr>
              <w:rPr>
                <w:sz w:val="18"/>
                <w:szCs w:val="18"/>
                <w:lang w:val="en-GB"/>
              </w:rPr>
            </w:pPr>
            <w:r w:rsidRPr="004E13E9">
              <w:rPr>
                <w:sz w:val="18"/>
                <w:szCs w:val="18"/>
                <w:lang w:val="en-GB"/>
              </w:rPr>
              <w:t>AYIA NAPA FISHING SHELTER</w:t>
            </w:r>
          </w:p>
        </w:tc>
        <w:tc>
          <w:tcPr>
            <w:tcW w:w="1732" w:type="dxa"/>
            <w:noWrap/>
            <w:vAlign w:val="bottom"/>
            <w:hideMark/>
          </w:tcPr>
          <w:p w14:paraId="2206EC2B" w14:textId="77777777" w:rsidR="00DF358A" w:rsidRPr="004E13E9" w:rsidRDefault="00DF358A" w:rsidP="00BB4F69">
            <w:pPr>
              <w:rPr>
                <w:sz w:val="18"/>
                <w:szCs w:val="18"/>
                <w:lang w:val="en-GB"/>
              </w:rPr>
            </w:pPr>
            <w:r w:rsidRPr="004E13E9">
              <w:rPr>
                <w:sz w:val="18"/>
                <w:szCs w:val="18"/>
                <w:lang w:val="en-GB"/>
              </w:rPr>
              <w:t>EU-Cyprus</w:t>
            </w:r>
          </w:p>
        </w:tc>
      </w:tr>
      <w:tr w:rsidR="00DF358A" w:rsidRPr="004E13E9" w14:paraId="5E687330" w14:textId="77777777" w:rsidTr="00BB4F69">
        <w:trPr>
          <w:trHeight w:val="300"/>
          <w:jc w:val="center"/>
        </w:trPr>
        <w:tc>
          <w:tcPr>
            <w:tcW w:w="4500" w:type="dxa"/>
            <w:noWrap/>
            <w:vAlign w:val="bottom"/>
            <w:hideMark/>
          </w:tcPr>
          <w:p w14:paraId="352D7434" w14:textId="77777777" w:rsidR="00DF358A" w:rsidRPr="004E13E9" w:rsidRDefault="00DF358A" w:rsidP="00BB4F69">
            <w:pPr>
              <w:rPr>
                <w:sz w:val="18"/>
                <w:szCs w:val="18"/>
                <w:lang w:val="en-GB"/>
              </w:rPr>
            </w:pPr>
            <w:r w:rsidRPr="004E13E9">
              <w:rPr>
                <w:sz w:val="18"/>
                <w:szCs w:val="18"/>
                <w:lang w:val="en-GB"/>
              </w:rPr>
              <w:t>LARNACA</w:t>
            </w:r>
          </w:p>
        </w:tc>
        <w:tc>
          <w:tcPr>
            <w:tcW w:w="1732" w:type="dxa"/>
            <w:noWrap/>
            <w:vAlign w:val="bottom"/>
            <w:hideMark/>
          </w:tcPr>
          <w:p w14:paraId="2BCFCFED" w14:textId="77777777" w:rsidR="00DF358A" w:rsidRPr="004E13E9" w:rsidRDefault="00DF358A" w:rsidP="00BB4F69">
            <w:pPr>
              <w:rPr>
                <w:sz w:val="18"/>
                <w:szCs w:val="18"/>
                <w:lang w:val="en-GB"/>
              </w:rPr>
            </w:pPr>
            <w:r w:rsidRPr="004E13E9">
              <w:rPr>
                <w:sz w:val="18"/>
                <w:szCs w:val="18"/>
                <w:lang w:val="en-GB"/>
              </w:rPr>
              <w:t>EU-Cyprus</w:t>
            </w:r>
          </w:p>
        </w:tc>
      </w:tr>
      <w:tr w:rsidR="00DF358A" w:rsidRPr="004E13E9" w14:paraId="77EB2FC9" w14:textId="77777777" w:rsidTr="00BB4F69">
        <w:trPr>
          <w:trHeight w:val="300"/>
          <w:jc w:val="center"/>
        </w:trPr>
        <w:tc>
          <w:tcPr>
            <w:tcW w:w="4500" w:type="dxa"/>
            <w:noWrap/>
            <w:vAlign w:val="bottom"/>
            <w:hideMark/>
          </w:tcPr>
          <w:p w14:paraId="6817EC33" w14:textId="77777777" w:rsidR="00DF358A" w:rsidRPr="004E13E9" w:rsidRDefault="00DF358A" w:rsidP="00BB4F69">
            <w:pPr>
              <w:rPr>
                <w:sz w:val="18"/>
                <w:szCs w:val="18"/>
                <w:lang w:val="en-GB"/>
              </w:rPr>
            </w:pPr>
            <w:r w:rsidRPr="004E13E9">
              <w:rPr>
                <w:sz w:val="18"/>
                <w:szCs w:val="18"/>
                <w:lang w:val="en-GB"/>
              </w:rPr>
              <w:t>LARNACA FISHING SHELTER</w:t>
            </w:r>
          </w:p>
        </w:tc>
        <w:tc>
          <w:tcPr>
            <w:tcW w:w="1732" w:type="dxa"/>
            <w:noWrap/>
            <w:vAlign w:val="bottom"/>
            <w:hideMark/>
          </w:tcPr>
          <w:p w14:paraId="78CD52B7" w14:textId="77777777" w:rsidR="00DF358A" w:rsidRPr="004E13E9" w:rsidRDefault="00DF358A" w:rsidP="00BB4F69">
            <w:pPr>
              <w:rPr>
                <w:sz w:val="18"/>
                <w:szCs w:val="18"/>
                <w:lang w:val="en-GB"/>
              </w:rPr>
            </w:pPr>
            <w:r w:rsidRPr="004E13E9">
              <w:rPr>
                <w:sz w:val="18"/>
                <w:szCs w:val="18"/>
                <w:lang w:val="en-GB"/>
              </w:rPr>
              <w:t>EU-Cyprus</w:t>
            </w:r>
          </w:p>
        </w:tc>
      </w:tr>
      <w:tr w:rsidR="00DF358A" w:rsidRPr="004E13E9" w14:paraId="75977C1F" w14:textId="77777777" w:rsidTr="00BB4F69">
        <w:trPr>
          <w:trHeight w:val="300"/>
          <w:jc w:val="center"/>
        </w:trPr>
        <w:tc>
          <w:tcPr>
            <w:tcW w:w="4500" w:type="dxa"/>
            <w:noWrap/>
            <w:vAlign w:val="bottom"/>
            <w:hideMark/>
          </w:tcPr>
          <w:p w14:paraId="14953539" w14:textId="77777777" w:rsidR="00DF358A" w:rsidRPr="004E13E9" w:rsidRDefault="00DF358A" w:rsidP="00BB4F69">
            <w:pPr>
              <w:rPr>
                <w:sz w:val="18"/>
                <w:szCs w:val="18"/>
                <w:lang w:val="en-GB"/>
              </w:rPr>
            </w:pPr>
            <w:r w:rsidRPr="004E13E9">
              <w:rPr>
                <w:sz w:val="18"/>
                <w:szCs w:val="18"/>
                <w:lang w:val="en-GB"/>
              </w:rPr>
              <w:t>LATSI FISHING SHELTER</w:t>
            </w:r>
          </w:p>
        </w:tc>
        <w:tc>
          <w:tcPr>
            <w:tcW w:w="1732" w:type="dxa"/>
            <w:noWrap/>
            <w:vAlign w:val="bottom"/>
            <w:hideMark/>
          </w:tcPr>
          <w:p w14:paraId="3B278148" w14:textId="77777777" w:rsidR="00DF358A" w:rsidRPr="004E13E9" w:rsidRDefault="00DF358A" w:rsidP="00BB4F69">
            <w:pPr>
              <w:rPr>
                <w:sz w:val="18"/>
                <w:szCs w:val="18"/>
                <w:lang w:val="en-GB"/>
              </w:rPr>
            </w:pPr>
            <w:r w:rsidRPr="004E13E9">
              <w:rPr>
                <w:sz w:val="18"/>
                <w:szCs w:val="18"/>
                <w:lang w:val="en-GB"/>
              </w:rPr>
              <w:t>EU-Cyprus</w:t>
            </w:r>
          </w:p>
        </w:tc>
      </w:tr>
      <w:tr w:rsidR="00DF358A" w:rsidRPr="004E13E9" w14:paraId="6EB97B45" w14:textId="77777777" w:rsidTr="00BB4F69">
        <w:trPr>
          <w:trHeight w:val="300"/>
          <w:jc w:val="center"/>
        </w:trPr>
        <w:tc>
          <w:tcPr>
            <w:tcW w:w="4500" w:type="dxa"/>
            <w:noWrap/>
            <w:vAlign w:val="bottom"/>
            <w:hideMark/>
          </w:tcPr>
          <w:p w14:paraId="4F81B0B7" w14:textId="77777777" w:rsidR="00DF358A" w:rsidRPr="004E13E9" w:rsidRDefault="00DF358A" w:rsidP="00BB4F69">
            <w:pPr>
              <w:rPr>
                <w:sz w:val="18"/>
                <w:szCs w:val="18"/>
                <w:lang w:val="en-GB"/>
              </w:rPr>
            </w:pPr>
            <w:r w:rsidRPr="004E13E9">
              <w:rPr>
                <w:sz w:val="18"/>
                <w:szCs w:val="18"/>
                <w:lang w:val="en-GB"/>
              </w:rPr>
              <w:t>LIMASSOL NEW PORT</w:t>
            </w:r>
          </w:p>
        </w:tc>
        <w:tc>
          <w:tcPr>
            <w:tcW w:w="1732" w:type="dxa"/>
            <w:noWrap/>
            <w:vAlign w:val="bottom"/>
            <w:hideMark/>
          </w:tcPr>
          <w:p w14:paraId="3D653545" w14:textId="77777777" w:rsidR="00DF358A" w:rsidRPr="004E13E9" w:rsidRDefault="00DF358A" w:rsidP="00BB4F69">
            <w:pPr>
              <w:rPr>
                <w:sz w:val="18"/>
                <w:szCs w:val="18"/>
                <w:lang w:val="en-GB"/>
              </w:rPr>
            </w:pPr>
            <w:r w:rsidRPr="004E13E9">
              <w:rPr>
                <w:sz w:val="18"/>
                <w:szCs w:val="18"/>
                <w:lang w:val="en-GB"/>
              </w:rPr>
              <w:t>EU-Cyprus</w:t>
            </w:r>
          </w:p>
        </w:tc>
      </w:tr>
      <w:tr w:rsidR="00DF358A" w:rsidRPr="004E13E9" w14:paraId="3F47BE59" w14:textId="77777777" w:rsidTr="00BB4F69">
        <w:trPr>
          <w:trHeight w:val="300"/>
          <w:jc w:val="center"/>
        </w:trPr>
        <w:tc>
          <w:tcPr>
            <w:tcW w:w="4500" w:type="dxa"/>
            <w:noWrap/>
            <w:vAlign w:val="bottom"/>
            <w:hideMark/>
          </w:tcPr>
          <w:p w14:paraId="5CBAF2C9" w14:textId="77777777" w:rsidR="00DF358A" w:rsidRPr="004E13E9" w:rsidRDefault="00DF358A" w:rsidP="00BB4F69">
            <w:pPr>
              <w:rPr>
                <w:sz w:val="18"/>
                <w:szCs w:val="18"/>
                <w:lang w:val="en-GB"/>
              </w:rPr>
            </w:pPr>
            <w:r w:rsidRPr="004E13E9">
              <w:rPr>
                <w:sz w:val="18"/>
                <w:szCs w:val="18"/>
                <w:lang w:val="en-GB"/>
              </w:rPr>
              <w:t>LIMASSOL OLD PORT</w:t>
            </w:r>
          </w:p>
        </w:tc>
        <w:tc>
          <w:tcPr>
            <w:tcW w:w="1732" w:type="dxa"/>
            <w:noWrap/>
            <w:vAlign w:val="bottom"/>
            <w:hideMark/>
          </w:tcPr>
          <w:p w14:paraId="0B00F871" w14:textId="77777777" w:rsidR="00DF358A" w:rsidRPr="004E13E9" w:rsidRDefault="00DF358A" w:rsidP="00BB4F69">
            <w:pPr>
              <w:rPr>
                <w:sz w:val="18"/>
                <w:szCs w:val="18"/>
                <w:lang w:val="en-GB"/>
              </w:rPr>
            </w:pPr>
            <w:r w:rsidRPr="004E13E9">
              <w:rPr>
                <w:sz w:val="18"/>
                <w:szCs w:val="18"/>
                <w:lang w:val="en-GB"/>
              </w:rPr>
              <w:t>EU-Cyprus</w:t>
            </w:r>
          </w:p>
        </w:tc>
      </w:tr>
      <w:tr w:rsidR="00DF358A" w:rsidRPr="004E13E9" w14:paraId="55C65294" w14:textId="77777777" w:rsidTr="00BB4F69">
        <w:trPr>
          <w:trHeight w:val="300"/>
          <w:jc w:val="center"/>
        </w:trPr>
        <w:tc>
          <w:tcPr>
            <w:tcW w:w="4500" w:type="dxa"/>
            <w:noWrap/>
            <w:vAlign w:val="bottom"/>
            <w:hideMark/>
          </w:tcPr>
          <w:p w14:paraId="3E5E381F" w14:textId="77777777" w:rsidR="00DF358A" w:rsidRPr="004E13E9" w:rsidRDefault="00DF358A" w:rsidP="00BB4F69">
            <w:pPr>
              <w:rPr>
                <w:sz w:val="18"/>
                <w:szCs w:val="18"/>
                <w:lang w:val="en-GB"/>
              </w:rPr>
            </w:pPr>
            <w:r w:rsidRPr="004E13E9">
              <w:rPr>
                <w:sz w:val="18"/>
                <w:szCs w:val="18"/>
                <w:lang w:val="en-GB"/>
              </w:rPr>
              <w:t>PAFOS FISHING SHELTER</w:t>
            </w:r>
          </w:p>
        </w:tc>
        <w:tc>
          <w:tcPr>
            <w:tcW w:w="1732" w:type="dxa"/>
            <w:noWrap/>
            <w:vAlign w:val="bottom"/>
            <w:hideMark/>
          </w:tcPr>
          <w:p w14:paraId="3F9BC44B" w14:textId="77777777" w:rsidR="00DF358A" w:rsidRPr="004E13E9" w:rsidRDefault="00DF358A" w:rsidP="00BB4F69">
            <w:pPr>
              <w:rPr>
                <w:sz w:val="18"/>
                <w:szCs w:val="18"/>
                <w:lang w:val="en-GB"/>
              </w:rPr>
            </w:pPr>
            <w:r w:rsidRPr="004E13E9">
              <w:rPr>
                <w:sz w:val="18"/>
                <w:szCs w:val="18"/>
                <w:lang w:val="en-GB"/>
              </w:rPr>
              <w:t>EU-Cyprus</w:t>
            </w:r>
          </w:p>
        </w:tc>
      </w:tr>
      <w:tr w:rsidR="00DF358A" w:rsidRPr="004E13E9" w14:paraId="22A7374F" w14:textId="77777777" w:rsidTr="00BB4F69">
        <w:trPr>
          <w:trHeight w:val="300"/>
          <w:jc w:val="center"/>
        </w:trPr>
        <w:tc>
          <w:tcPr>
            <w:tcW w:w="4500" w:type="dxa"/>
            <w:noWrap/>
            <w:vAlign w:val="bottom"/>
            <w:hideMark/>
          </w:tcPr>
          <w:p w14:paraId="345ACFBC" w14:textId="77777777" w:rsidR="00DF358A" w:rsidRPr="004E13E9" w:rsidRDefault="00DF358A" w:rsidP="00BB4F69">
            <w:pPr>
              <w:rPr>
                <w:sz w:val="18"/>
                <w:szCs w:val="18"/>
                <w:lang w:val="en-GB"/>
              </w:rPr>
            </w:pPr>
            <w:r w:rsidRPr="004E13E9">
              <w:rPr>
                <w:sz w:val="18"/>
                <w:szCs w:val="18"/>
                <w:lang w:val="en-GB"/>
              </w:rPr>
              <w:t>PARALIMNI FISHING SHELTER</w:t>
            </w:r>
          </w:p>
        </w:tc>
        <w:tc>
          <w:tcPr>
            <w:tcW w:w="1732" w:type="dxa"/>
            <w:noWrap/>
            <w:vAlign w:val="bottom"/>
            <w:hideMark/>
          </w:tcPr>
          <w:p w14:paraId="1AE01C37" w14:textId="77777777" w:rsidR="00DF358A" w:rsidRPr="004E13E9" w:rsidRDefault="00DF358A" w:rsidP="00BB4F69">
            <w:pPr>
              <w:rPr>
                <w:sz w:val="18"/>
                <w:szCs w:val="18"/>
                <w:lang w:val="en-GB"/>
              </w:rPr>
            </w:pPr>
            <w:r w:rsidRPr="004E13E9">
              <w:rPr>
                <w:sz w:val="18"/>
                <w:szCs w:val="18"/>
                <w:lang w:val="en-GB"/>
              </w:rPr>
              <w:t>EU-Cyprus</w:t>
            </w:r>
          </w:p>
        </w:tc>
      </w:tr>
      <w:tr w:rsidR="00DF358A" w:rsidRPr="004E13E9" w14:paraId="47BB4CD7" w14:textId="77777777" w:rsidTr="00BB4F69">
        <w:trPr>
          <w:trHeight w:val="300"/>
          <w:jc w:val="center"/>
        </w:trPr>
        <w:tc>
          <w:tcPr>
            <w:tcW w:w="4500" w:type="dxa"/>
            <w:noWrap/>
            <w:vAlign w:val="bottom"/>
            <w:hideMark/>
          </w:tcPr>
          <w:p w14:paraId="04019690" w14:textId="77777777" w:rsidR="00DF358A" w:rsidRPr="004E13E9" w:rsidRDefault="00DF358A" w:rsidP="00BB4F69">
            <w:pPr>
              <w:rPr>
                <w:sz w:val="18"/>
                <w:szCs w:val="18"/>
                <w:lang w:val="en-GB"/>
              </w:rPr>
            </w:pPr>
            <w:r w:rsidRPr="004E13E9">
              <w:rPr>
                <w:sz w:val="18"/>
                <w:szCs w:val="18"/>
                <w:lang w:val="en-GB"/>
              </w:rPr>
              <w:t>ZYGI FISHING SHELTER</w:t>
            </w:r>
          </w:p>
        </w:tc>
        <w:tc>
          <w:tcPr>
            <w:tcW w:w="1732" w:type="dxa"/>
            <w:noWrap/>
            <w:vAlign w:val="bottom"/>
            <w:hideMark/>
          </w:tcPr>
          <w:p w14:paraId="4BF9C304" w14:textId="77777777" w:rsidR="00DF358A" w:rsidRPr="004E13E9" w:rsidRDefault="00DF358A" w:rsidP="00BB4F69">
            <w:pPr>
              <w:rPr>
                <w:sz w:val="18"/>
                <w:szCs w:val="18"/>
                <w:lang w:val="en-GB"/>
              </w:rPr>
            </w:pPr>
            <w:r w:rsidRPr="004E13E9">
              <w:rPr>
                <w:sz w:val="18"/>
                <w:szCs w:val="18"/>
                <w:lang w:val="en-GB"/>
              </w:rPr>
              <w:t>EU-Cyprus</w:t>
            </w:r>
          </w:p>
        </w:tc>
      </w:tr>
      <w:tr w:rsidR="00DF358A" w:rsidRPr="004E13E9" w14:paraId="3ED3EE09" w14:textId="77777777" w:rsidTr="00BB4F69">
        <w:trPr>
          <w:trHeight w:val="300"/>
          <w:jc w:val="center"/>
        </w:trPr>
        <w:tc>
          <w:tcPr>
            <w:tcW w:w="4500" w:type="dxa"/>
            <w:noWrap/>
            <w:vAlign w:val="bottom"/>
            <w:hideMark/>
          </w:tcPr>
          <w:p w14:paraId="777FAC85" w14:textId="77777777" w:rsidR="00DF358A" w:rsidRPr="004E13E9" w:rsidRDefault="00DF358A" w:rsidP="00BB4F69">
            <w:pPr>
              <w:rPr>
                <w:sz w:val="18"/>
                <w:szCs w:val="18"/>
                <w:lang w:val="en-GB"/>
              </w:rPr>
            </w:pPr>
            <w:r w:rsidRPr="004E13E9">
              <w:rPr>
                <w:sz w:val="18"/>
                <w:szCs w:val="18"/>
                <w:lang w:val="en-GB"/>
              </w:rPr>
              <w:t>BØNNERUP</w:t>
            </w:r>
          </w:p>
        </w:tc>
        <w:tc>
          <w:tcPr>
            <w:tcW w:w="1732" w:type="dxa"/>
            <w:noWrap/>
            <w:vAlign w:val="bottom"/>
            <w:hideMark/>
          </w:tcPr>
          <w:p w14:paraId="780A510A" w14:textId="77777777" w:rsidR="00DF358A" w:rsidRPr="004E13E9" w:rsidRDefault="00DF358A" w:rsidP="00BB4F69">
            <w:pPr>
              <w:rPr>
                <w:sz w:val="18"/>
                <w:szCs w:val="18"/>
                <w:lang w:val="en-GB"/>
              </w:rPr>
            </w:pPr>
            <w:r w:rsidRPr="004E13E9">
              <w:rPr>
                <w:sz w:val="18"/>
                <w:szCs w:val="18"/>
                <w:lang w:val="en-GB"/>
              </w:rPr>
              <w:t>EU-Denmark</w:t>
            </w:r>
          </w:p>
        </w:tc>
      </w:tr>
      <w:tr w:rsidR="00DF358A" w:rsidRPr="004E13E9" w14:paraId="00C578EB" w14:textId="77777777" w:rsidTr="00BB4F69">
        <w:trPr>
          <w:trHeight w:val="300"/>
          <w:jc w:val="center"/>
        </w:trPr>
        <w:tc>
          <w:tcPr>
            <w:tcW w:w="4500" w:type="dxa"/>
            <w:noWrap/>
            <w:vAlign w:val="bottom"/>
            <w:hideMark/>
          </w:tcPr>
          <w:p w14:paraId="635F9D6B" w14:textId="77777777" w:rsidR="00DF358A" w:rsidRPr="004E13E9" w:rsidRDefault="00DF358A" w:rsidP="00BB4F69">
            <w:pPr>
              <w:rPr>
                <w:sz w:val="18"/>
                <w:szCs w:val="18"/>
                <w:lang w:val="en-GB"/>
              </w:rPr>
            </w:pPr>
            <w:r w:rsidRPr="004E13E9">
              <w:rPr>
                <w:sz w:val="18"/>
                <w:szCs w:val="18"/>
                <w:lang w:val="en-GB"/>
              </w:rPr>
              <w:t>GILLELEJE</w:t>
            </w:r>
          </w:p>
        </w:tc>
        <w:tc>
          <w:tcPr>
            <w:tcW w:w="1732" w:type="dxa"/>
            <w:noWrap/>
            <w:vAlign w:val="bottom"/>
            <w:hideMark/>
          </w:tcPr>
          <w:p w14:paraId="6626FD04" w14:textId="77777777" w:rsidR="00DF358A" w:rsidRPr="004E13E9" w:rsidRDefault="00DF358A" w:rsidP="00BB4F69">
            <w:pPr>
              <w:rPr>
                <w:sz w:val="18"/>
                <w:szCs w:val="18"/>
                <w:lang w:val="en-GB"/>
              </w:rPr>
            </w:pPr>
            <w:r w:rsidRPr="004E13E9">
              <w:rPr>
                <w:sz w:val="18"/>
                <w:szCs w:val="18"/>
                <w:lang w:val="en-GB"/>
              </w:rPr>
              <w:t>EU-Denmark</w:t>
            </w:r>
          </w:p>
        </w:tc>
      </w:tr>
      <w:tr w:rsidR="00DF358A" w:rsidRPr="004E13E9" w14:paraId="0BD35A07" w14:textId="77777777" w:rsidTr="00BB4F69">
        <w:trPr>
          <w:trHeight w:val="300"/>
          <w:jc w:val="center"/>
        </w:trPr>
        <w:tc>
          <w:tcPr>
            <w:tcW w:w="4500" w:type="dxa"/>
            <w:noWrap/>
            <w:vAlign w:val="bottom"/>
            <w:hideMark/>
          </w:tcPr>
          <w:p w14:paraId="32BC8984" w14:textId="77777777" w:rsidR="00DF358A" w:rsidRPr="004E13E9" w:rsidRDefault="00DF358A" w:rsidP="00BB4F69">
            <w:pPr>
              <w:rPr>
                <w:sz w:val="18"/>
                <w:szCs w:val="18"/>
                <w:lang w:val="en-GB"/>
              </w:rPr>
            </w:pPr>
            <w:r w:rsidRPr="004E13E9">
              <w:rPr>
                <w:sz w:val="18"/>
                <w:szCs w:val="18"/>
                <w:lang w:val="en-GB"/>
              </w:rPr>
              <w:t>GRENÅ</w:t>
            </w:r>
          </w:p>
        </w:tc>
        <w:tc>
          <w:tcPr>
            <w:tcW w:w="1732" w:type="dxa"/>
            <w:noWrap/>
            <w:vAlign w:val="bottom"/>
            <w:hideMark/>
          </w:tcPr>
          <w:p w14:paraId="05F46500" w14:textId="77777777" w:rsidR="00DF358A" w:rsidRPr="004E13E9" w:rsidRDefault="00DF358A" w:rsidP="00BB4F69">
            <w:pPr>
              <w:rPr>
                <w:sz w:val="18"/>
                <w:szCs w:val="18"/>
                <w:lang w:val="en-GB"/>
              </w:rPr>
            </w:pPr>
            <w:r w:rsidRPr="004E13E9">
              <w:rPr>
                <w:sz w:val="18"/>
                <w:szCs w:val="18"/>
                <w:lang w:val="en-GB"/>
              </w:rPr>
              <w:t>EU-Denmark</w:t>
            </w:r>
          </w:p>
        </w:tc>
      </w:tr>
      <w:tr w:rsidR="00DF358A" w:rsidRPr="004E13E9" w14:paraId="3445CDA9" w14:textId="77777777" w:rsidTr="00BB4F69">
        <w:trPr>
          <w:trHeight w:val="300"/>
          <w:jc w:val="center"/>
        </w:trPr>
        <w:tc>
          <w:tcPr>
            <w:tcW w:w="4500" w:type="dxa"/>
            <w:noWrap/>
            <w:vAlign w:val="bottom"/>
            <w:hideMark/>
          </w:tcPr>
          <w:p w14:paraId="46317008" w14:textId="77777777" w:rsidR="00DF358A" w:rsidRPr="004E13E9" w:rsidRDefault="00DF358A" w:rsidP="00BB4F69">
            <w:pPr>
              <w:rPr>
                <w:sz w:val="18"/>
                <w:szCs w:val="18"/>
                <w:lang w:val="en-GB"/>
              </w:rPr>
            </w:pPr>
            <w:r w:rsidRPr="004E13E9">
              <w:rPr>
                <w:sz w:val="18"/>
                <w:szCs w:val="18"/>
                <w:lang w:val="en-GB"/>
              </w:rPr>
              <w:t>HANSTHOLM</w:t>
            </w:r>
          </w:p>
        </w:tc>
        <w:tc>
          <w:tcPr>
            <w:tcW w:w="1732" w:type="dxa"/>
            <w:noWrap/>
            <w:vAlign w:val="bottom"/>
            <w:hideMark/>
          </w:tcPr>
          <w:p w14:paraId="71A3CEEA" w14:textId="77777777" w:rsidR="00DF358A" w:rsidRPr="004E13E9" w:rsidRDefault="00DF358A" w:rsidP="00BB4F69">
            <w:pPr>
              <w:rPr>
                <w:sz w:val="18"/>
                <w:szCs w:val="18"/>
                <w:lang w:val="en-GB"/>
              </w:rPr>
            </w:pPr>
            <w:r w:rsidRPr="004E13E9">
              <w:rPr>
                <w:sz w:val="18"/>
                <w:szCs w:val="18"/>
                <w:lang w:val="en-GB"/>
              </w:rPr>
              <w:t>EU-Denmark</w:t>
            </w:r>
          </w:p>
        </w:tc>
      </w:tr>
      <w:tr w:rsidR="00DF358A" w:rsidRPr="004E13E9" w14:paraId="0994EE72" w14:textId="77777777" w:rsidTr="00BB4F69">
        <w:trPr>
          <w:trHeight w:val="300"/>
          <w:jc w:val="center"/>
        </w:trPr>
        <w:tc>
          <w:tcPr>
            <w:tcW w:w="4500" w:type="dxa"/>
            <w:noWrap/>
            <w:vAlign w:val="bottom"/>
            <w:hideMark/>
          </w:tcPr>
          <w:p w14:paraId="74EFA089" w14:textId="77777777" w:rsidR="00DF358A" w:rsidRPr="004E13E9" w:rsidRDefault="00DF358A" w:rsidP="00BB4F69">
            <w:pPr>
              <w:rPr>
                <w:sz w:val="18"/>
                <w:szCs w:val="18"/>
                <w:lang w:val="en-GB"/>
              </w:rPr>
            </w:pPr>
            <w:r w:rsidRPr="004E13E9">
              <w:rPr>
                <w:sz w:val="18"/>
                <w:szCs w:val="18"/>
                <w:lang w:val="en-GB"/>
              </w:rPr>
              <w:t>HELSINGØR</w:t>
            </w:r>
          </w:p>
        </w:tc>
        <w:tc>
          <w:tcPr>
            <w:tcW w:w="1732" w:type="dxa"/>
            <w:noWrap/>
            <w:vAlign w:val="bottom"/>
            <w:hideMark/>
          </w:tcPr>
          <w:p w14:paraId="27EEA74D" w14:textId="77777777" w:rsidR="00DF358A" w:rsidRPr="004E13E9" w:rsidRDefault="00DF358A" w:rsidP="00BB4F69">
            <w:pPr>
              <w:rPr>
                <w:sz w:val="18"/>
                <w:szCs w:val="18"/>
                <w:lang w:val="en-GB"/>
              </w:rPr>
            </w:pPr>
            <w:r w:rsidRPr="004E13E9">
              <w:rPr>
                <w:sz w:val="18"/>
                <w:szCs w:val="18"/>
                <w:lang w:val="en-GB"/>
              </w:rPr>
              <w:t>EU-Denmark</w:t>
            </w:r>
          </w:p>
        </w:tc>
      </w:tr>
      <w:tr w:rsidR="00DF358A" w:rsidRPr="004E13E9" w14:paraId="5E51AE11" w14:textId="77777777" w:rsidTr="00BB4F69">
        <w:trPr>
          <w:trHeight w:val="300"/>
          <w:jc w:val="center"/>
        </w:trPr>
        <w:tc>
          <w:tcPr>
            <w:tcW w:w="4500" w:type="dxa"/>
            <w:noWrap/>
            <w:vAlign w:val="bottom"/>
            <w:hideMark/>
          </w:tcPr>
          <w:p w14:paraId="318C4B1B" w14:textId="77777777" w:rsidR="00DF358A" w:rsidRPr="004E13E9" w:rsidRDefault="00DF358A" w:rsidP="00BB4F69">
            <w:pPr>
              <w:rPr>
                <w:sz w:val="18"/>
                <w:szCs w:val="18"/>
                <w:lang w:val="en-GB"/>
              </w:rPr>
            </w:pPr>
            <w:r w:rsidRPr="004E13E9">
              <w:rPr>
                <w:sz w:val="18"/>
                <w:szCs w:val="18"/>
                <w:lang w:val="en-GB"/>
              </w:rPr>
              <w:t>HIRTSHALS</w:t>
            </w:r>
          </w:p>
        </w:tc>
        <w:tc>
          <w:tcPr>
            <w:tcW w:w="1732" w:type="dxa"/>
            <w:noWrap/>
            <w:vAlign w:val="bottom"/>
            <w:hideMark/>
          </w:tcPr>
          <w:p w14:paraId="6E2A0D6B" w14:textId="77777777" w:rsidR="00DF358A" w:rsidRPr="004E13E9" w:rsidRDefault="00DF358A" w:rsidP="00BB4F69">
            <w:pPr>
              <w:rPr>
                <w:sz w:val="18"/>
                <w:szCs w:val="18"/>
                <w:lang w:val="en-GB"/>
              </w:rPr>
            </w:pPr>
            <w:r w:rsidRPr="004E13E9">
              <w:rPr>
                <w:sz w:val="18"/>
                <w:szCs w:val="18"/>
                <w:lang w:val="en-GB"/>
              </w:rPr>
              <w:t>EU-Denmark</w:t>
            </w:r>
          </w:p>
        </w:tc>
      </w:tr>
      <w:tr w:rsidR="00DF358A" w:rsidRPr="004E13E9" w14:paraId="767637FB" w14:textId="77777777" w:rsidTr="00BB4F69">
        <w:trPr>
          <w:trHeight w:val="300"/>
          <w:jc w:val="center"/>
        </w:trPr>
        <w:tc>
          <w:tcPr>
            <w:tcW w:w="4500" w:type="dxa"/>
            <w:noWrap/>
            <w:vAlign w:val="bottom"/>
            <w:hideMark/>
          </w:tcPr>
          <w:p w14:paraId="7E8FA71A" w14:textId="77777777" w:rsidR="00DF358A" w:rsidRPr="004E13E9" w:rsidRDefault="00DF358A" w:rsidP="00BB4F69">
            <w:pPr>
              <w:rPr>
                <w:sz w:val="18"/>
                <w:szCs w:val="18"/>
                <w:lang w:val="en-GB"/>
              </w:rPr>
            </w:pPr>
            <w:r w:rsidRPr="004E13E9">
              <w:rPr>
                <w:sz w:val="18"/>
                <w:szCs w:val="18"/>
                <w:lang w:val="en-GB"/>
              </w:rPr>
              <w:t>HVIDE SANDE</w:t>
            </w:r>
          </w:p>
        </w:tc>
        <w:tc>
          <w:tcPr>
            <w:tcW w:w="1732" w:type="dxa"/>
            <w:noWrap/>
            <w:vAlign w:val="bottom"/>
            <w:hideMark/>
          </w:tcPr>
          <w:p w14:paraId="680A83FC" w14:textId="77777777" w:rsidR="00DF358A" w:rsidRPr="004E13E9" w:rsidRDefault="00DF358A" w:rsidP="00BB4F69">
            <w:pPr>
              <w:rPr>
                <w:sz w:val="18"/>
                <w:szCs w:val="18"/>
                <w:lang w:val="en-GB"/>
              </w:rPr>
            </w:pPr>
            <w:r w:rsidRPr="004E13E9">
              <w:rPr>
                <w:sz w:val="18"/>
                <w:szCs w:val="18"/>
                <w:lang w:val="en-GB"/>
              </w:rPr>
              <w:t>EU-Denmark</w:t>
            </w:r>
          </w:p>
        </w:tc>
      </w:tr>
      <w:tr w:rsidR="00DF358A" w:rsidRPr="004E13E9" w14:paraId="6F576301" w14:textId="77777777" w:rsidTr="00BB4F69">
        <w:trPr>
          <w:trHeight w:val="300"/>
          <w:jc w:val="center"/>
        </w:trPr>
        <w:tc>
          <w:tcPr>
            <w:tcW w:w="4500" w:type="dxa"/>
            <w:noWrap/>
            <w:vAlign w:val="bottom"/>
            <w:hideMark/>
          </w:tcPr>
          <w:p w14:paraId="304E856E" w14:textId="77777777" w:rsidR="00DF358A" w:rsidRPr="004E13E9" w:rsidRDefault="00DF358A" w:rsidP="00BB4F69">
            <w:pPr>
              <w:rPr>
                <w:sz w:val="18"/>
                <w:szCs w:val="18"/>
                <w:lang w:val="en-GB"/>
              </w:rPr>
            </w:pPr>
            <w:r w:rsidRPr="004E13E9">
              <w:rPr>
                <w:sz w:val="18"/>
                <w:szCs w:val="18"/>
                <w:lang w:val="en-GB"/>
              </w:rPr>
              <w:t>SKAGEN</w:t>
            </w:r>
          </w:p>
        </w:tc>
        <w:tc>
          <w:tcPr>
            <w:tcW w:w="1732" w:type="dxa"/>
            <w:noWrap/>
            <w:vAlign w:val="bottom"/>
            <w:hideMark/>
          </w:tcPr>
          <w:p w14:paraId="4F61A081" w14:textId="77777777" w:rsidR="00DF358A" w:rsidRPr="004E13E9" w:rsidRDefault="00DF358A" w:rsidP="00BB4F69">
            <w:pPr>
              <w:rPr>
                <w:sz w:val="18"/>
                <w:szCs w:val="18"/>
                <w:lang w:val="en-GB"/>
              </w:rPr>
            </w:pPr>
            <w:r w:rsidRPr="004E13E9">
              <w:rPr>
                <w:sz w:val="18"/>
                <w:szCs w:val="18"/>
                <w:lang w:val="en-GB"/>
              </w:rPr>
              <w:t>EU-Denmark</w:t>
            </w:r>
          </w:p>
        </w:tc>
      </w:tr>
      <w:tr w:rsidR="00DF358A" w:rsidRPr="004E13E9" w14:paraId="04862BF1" w14:textId="77777777" w:rsidTr="00BB4F69">
        <w:trPr>
          <w:trHeight w:val="300"/>
          <w:jc w:val="center"/>
        </w:trPr>
        <w:tc>
          <w:tcPr>
            <w:tcW w:w="4500" w:type="dxa"/>
            <w:noWrap/>
            <w:vAlign w:val="bottom"/>
            <w:hideMark/>
          </w:tcPr>
          <w:p w14:paraId="067E1E05" w14:textId="77777777" w:rsidR="00DF358A" w:rsidRPr="004E13E9" w:rsidRDefault="00DF358A" w:rsidP="00BB4F69">
            <w:pPr>
              <w:rPr>
                <w:sz w:val="18"/>
                <w:szCs w:val="18"/>
                <w:lang w:val="en-GB"/>
              </w:rPr>
            </w:pPr>
            <w:r w:rsidRPr="004E13E9">
              <w:rPr>
                <w:sz w:val="18"/>
                <w:szCs w:val="18"/>
                <w:lang w:val="en-GB"/>
              </w:rPr>
              <w:t>THYBORØN</w:t>
            </w:r>
          </w:p>
        </w:tc>
        <w:tc>
          <w:tcPr>
            <w:tcW w:w="1732" w:type="dxa"/>
            <w:noWrap/>
            <w:vAlign w:val="bottom"/>
            <w:hideMark/>
          </w:tcPr>
          <w:p w14:paraId="2F5254A6" w14:textId="77777777" w:rsidR="00DF358A" w:rsidRPr="004E13E9" w:rsidRDefault="00DF358A" w:rsidP="00BB4F69">
            <w:pPr>
              <w:rPr>
                <w:sz w:val="18"/>
                <w:szCs w:val="18"/>
                <w:lang w:val="en-GB"/>
              </w:rPr>
            </w:pPr>
            <w:r w:rsidRPr="004E13E9">
              <w:rPr>
                <w:sz w:val="18"/>
                <w:szCs w:val="18"/>
                <w:lang w:val="en-GB"/>
              </w:rPr>
              <w:t>EU-Denmark</w:t>
            </w:r>
          </w:p>
        </w:tc>
      </w:tr>
      <w:tr w:rsidR="00DF358A" w:rsidRPr="004E13E9" w14:paraId="2068390E" w14:textId="77777777" w:rsidTr="00BB4F69">
        <w:trPr>
          <w:trHeight w:val="300"/>
          <w:jc w:val="center"/>
        </w:trPr>
        <w:tc>
          <w:tcPr>
            <w:tcW w:w="4500" w:type="dxa"/>
            <w:noWrap/>
            <w:vAlign w:val="bottom"/>
            <w:hideMark/>
          </w:tcPr>
          <w:p w14:paraId="2A50628B" w14:textId="77777777" w:rsidR="00DF358A" w:rsidRPr="004E13E9" w:rsidRDefault="00DF358A" w:rsidP="00BB4F69">
            <w:pPr>
              <w:rPr>
                <w:sz w:val="18"/>
                <w:szCs w:val="18"/>
                <w:lang w:val="en-GB"/>
              </w:rPr>
            </w:pPr>
            <w:r w:rsidRPr="004E13E9">
              <w:rPr>
                <w:sz w:val="18"/>
                <w:szCs w:val="18"/>
                <w:lang w:val="en-GB"/>
              </w:rPr>
              <w:t>A CORUÑA</w:t>
            </w:r>
          </w:p>
        </w:tc>
        <w:tc>
          <w:tcPr>
            <w:tcW w:w="1732" w:type="dxa"/>
            <w:noWrap/>
            <w:vAlign w:val="bottom"/>
            <w:hideMark/>
          </w:tcPr>
          <w:p w14:paraId="68E1257E"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1FF3C454" w14:textId="77777777" w:rsidTr="00BB4F69">
        <w:trPr>
          <w:trHeight w:val="300"/>
          <w:jc w:val="center"/>
        </w:trPr>
        <w:tc>
          <w:tcPr>
            <w:tcW w:w="4500" w:type="dxa"/>
            <w:noWrap/>
            <w:vAlign w:val="bottom"/>
            <w:hideMark/>
          </w:tcPr>
          <w:p w14:paraId="59617F3D" w14:textId="77777777" w:rsidR="00DF358A" w:rsidRPr="004E13E9" w:rsidRDefault="00DF358A" w:rsidP="00BB4F69">
            <w:pPr>
              <w:rPr>
                <w:sz w:val="18"/>
                <w:szCs w:val="18"/>
                <w:lang w:val="en-GB"/>
              </w:rPr>
            </w:pPr>
            <w:r w:rsidRPr="004E13E9">
              <w:rPr>
                <w:sz w:val="18"/>
                <w:szCs w:val="18"/>
                <w:lang w:val="en-GB"/>
              </w:rPr>
              <w:t>ADRA</w:t>
            </w:r>
          </w:p>
        </w:tc>
        <w:tc>
          <w:tcPr>
            <w:tcW w:w="1732" w:type="dxa"/>
            <w:noWrap/>
            <w:vAlign w:val="bottom"/>
            <w:hideMark/>
          </w:tcPr>
          <w:p w14:paraId="0C5B26FF"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13448D38" w14:textId="77777777" w:rsidTr="00BB4F69">
        <w:trPr>
          <w:trHeight w:val="300"/>
          <w:jc w:val="center"/>
        </w:trPr>
        <w:tc>
          <w:tcPr>
            <w:tcW w:w="4500" w:type="dxa"/>
            <w:noWrap/>
            <w:vAlign w:val="bottom"/>
            <w:hideMark/>
          </w:tcPr>
          <w:p w14:paraId="65BF8D20" w14:textId="77777777" w:rsidR="00DF358A" w:rsidRPr="004E13E9" w:rsidRDefault="00DF358A" w:rsidP="00BB4F69">
            <w:pPr>
              <w:rPr>
                <w:sz w:val="18"/>
                <w:szCs w:val="18"/>
                <w:lang w:val="en-GB"/>
              </w:rPr>
            </w:pPr>
            <w:r w:rsidRPr="004E13E9">
              <w:rPr>
                <w:sz w:val="18"/>
                <w:szCs w:val="18"/>
                <w:lang w:val="en-GB"/>
              </w:rPr>
              <w:t>AGAETE</w:t>
            </w:r>
          </w:p>
        </w:tc>
        <w:tc>
          <w:tcPr>
            <w:tcW w:w="1732" w:type="dxa"/>
            <w:noWrap/>
            <w:vAlign w:val="bottom"/>
            <w:hideMark/>
          </w:tcPr>
          <w:p w14:paraId="0095F0D3"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73382870" w14:textId="77777777" w:rsidTr="00BB4F69">
        <w:trPr>
          <w:trHeight w:val="300"/>
          <w:jc w:val="center"/>
        </w:trPr>
        <w:tc>
          <w:tcPr>
            <w:tcW w:w="4500" w:type="dxa"/>
            <w:noWrap/>
            <w:vAlign w:val="bottom"/>
            <w:hideMark/>
          </w:tcPr>
          <w:p w14:paraId="47EA6A85" w14:textId="77777777" w:rsidR="00DF358A" w:rsidRPr="004E13E9" w:rsidRDefault="00DF358A" w:rsidP="00BB4F69">
            <w:pPr>
              <w:rPr>
                <w:sz w:val="18"/>
                <w:szCs w:val="18"/>
                <w:lang w:val="en-GB"/>
              </w:rPr>
            </w:pPr>
            <w:r w:rsidRPr="004E13E9">
              <w:rPr>
                <w:sz w:val="18"/>
                <w:szCs w:val="18"/>
                <w:lang w:val="en-GB"/>
              </w:rPr>
              <w:t>AGUILAS</w:t>
            </w:r>
          </w:p>
        </w:tc>
        <w:tc>
          <w:tcPr>
            <w:tcW w:w="1732" w:type="dxa"/>
            <w:noWrap/>
            <w:vAlign w:val="bottom"/>
            <w:hideMark/>
          </w:tcPr>
          <w:p w14:paraId="0705591C"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017CCF72" w14:textId="77777777" w:rsidTr="00BB4F69">
        <w:trPr>
          <w:trHeight w:val="300"/>
          <w:jc w:val="center"/>
        </w:trPr>
        <w:tc>
          <w:tcPr>
            <w:tcW w:w="4500" w:type="dxa"/>
            <w:noWrap/>
            <w:vAlign w:val="bottom"/>
            <w:hideMark/>
          </w:tcPr>
          <w:p w14:paraId="4C744367" w14:textId="77777777" w:rsidR="00DF358A" w:rsidRPr="004E13E9" w:rsidRDefault="00DF358A" w:rsidP="00BB4F69">
            <w:pPr>
              <w:rPr>
                <w:sz w:val="18"/>
                <w:szCs w:val="18"/>
                <w:lang w:val="en-GB"/>
              </w:rPr>
            </w:pPr>
            <w:r w:rsidRPr="004E13E9">
              <w:rPr>
                <w:sz w:val="18"/>
                <w:szCs w:val="18"/>
                <w:lang w:val="en-GB"/>
              </w:rPr>
              <w:t>ALCUDIA</w:t>
            </w:r>
          </w:p>
        </w:tc>
        <w:tc>
          <w:tcPr>
            <w:tcW w:w="1732" w:type="dxa"/>
            <w:noWrap/>
            <w:vAlign w:val="bottom"/>
            <w:hideMark/>
          </w:tcPr>
          <w:p w14:paraId="234AA3DB"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0E241FCC" w14:textId="77777777" w:rsidTr="00BB4F69">
        <w:trPr>
          <w:trHeight w:val="300"/>
          <w:jc w:val="center"/>
        </w:trPr>
        <w:tc>
          <w:tcPr>
            <w:tcW w:w="4500" w:type="dxa"/>
            <w:noWrap/>
            <w:vAlign w:val="bottom"/>
            <w:hideMark/>
          </w:tcPr>
          <w:p w14:paraId="2C2EF573" w14:textId="77777777" w:rsidR="00DF358A" w:rsidRPr="004E13E9" w:rsidRDefault="00DF358A" w:rsidP="00BB4F69">
            <w:pPr>
              <w:rPr>
                <w:sz w:val="18"/>
                <w:szCs w:val="18"/>
                <w:lang w:val="en-GB"/>
              </w:rPr>
            </w:pPr>
            <w:r w:rsidRPr="004E13E9">
              <w:rPr>
                <w:sz w:val="18"/>
                <w:szCs w:val="18"/>
                <w:lang w:val="en-GB"/>
              </w:rPr>
              <w:t>ALGECIRAS</w:t>
            </w:r>
          </w:p>
        </w:tc>
        <w:tc>
          <w:tcPr>
            <w:tcW w:w="1732" w:type="dxa"/>
            <w:noWrap/>
            <w:vAlign w:val="bottom"/>
            <w:hideMark/>
          </w:tcPr>
          <w:p w14:paraId="208AF6A0"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46B63441" w14:textId="77777777" w:rsidTr="00BB4F69">
        <w:trPr>
          <w:trHeight w:val="300"/>
          <w:jc w:val="center"/>
        </w:trPr>
        <w:tc>
          <w:tcPr>
            <w:tcW w:w="4500" w:type="dxa"/>
            <w:noWrap/>
            <w:vAlign w:val="bottom"/>
            <w:hideMark/>
          </w:tcPr>
          <w:p w14:paraId="1AE491C4" w14:textId="77777777" w:rsidR="00DF358A" w:rsidRPr="004E13E9" w:rsidRDefault="00DF358A" w:rsidP="00BB4F69">
            <w:pPr>
              <w:rPr>
                <w:sz w:val="18"/>
                <w:szCs w:val="18"/>
                <w:lang w:val="en-GB"/>
              </w:rPr>
            </w:pPr>
            <w:r w:rsidRPr="004E13E9">
              <w:rPr>
                <w:sz w:val="18"/>
                <w:szCs w:val="18"/>
                <w:lang w:val="en-GB"/>
              </w:rPr>
              <w:t>ALICANTE</w:t>
            </w:r>
          </w:p>
        </w:tc>
        <w:tc>
          <w:tcPr>
            <w:tcW w:w="1732" w:type="dxa"/>
            <w:noWrap/>
            <w:vAlign w:val="bottom"/>
            <w:hideMark/>
          </w:tcPr>
          <w:p w14:paraId="4DB8D452"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70FC5EF6" w14:textId="77777777" w:rsidTr="00BB4F69">
        <w:trPr>
          <w:trHeight w:val="300"/>
          <w:jc w:val="center"/>
        </w:trPr>
        <w:tc>
          <w:tcPr>
            <w:tcW w:w="4500" w:type="dxa"/>
            <w:noWrap/>
            <w:vAlign w:val="bottom"/>
            <w:hideMark/>
          </w:tcPr>
          <w:p w14:paraId="56FF7755" w14:textId="77777777" w:rsidR="00DF358A" w:rsidRPr="004E13E9" w:rsidRDefault="00DF358A" w:rsidP="00BB4F69">
            <w:pPr>
              <w:rPr>
                <w:sz w:val="18"/>
                <w:szCs w:val="18"/>
                <w:lang w:val="en-GB"/>
              </w:rPr>
            </w:pPr>
            <w:r w:rsidRPr="004E13E9">
              <w:rPr>
                <w:sz w:val="18"/>
                <w:szCs w:val="18"/>
                <w:lang w:val="en-GB"/>
              </w:rPr>
              <w:t>AMPOLLA</w:t>
            </w:r>
          </w:p>
        </w:tc>
        <w:tc>
          <w:tcPr>
            <w:tcW w:w="1732" w:type="dxa"/>
            <w:noWrap/>
            <w:vAlign w:val="bottom"/>
            <w:hideMark/>
          </w:tcPr>
          <w:p w14:paraId="2191C9ED"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556CEF69" w14:textId="77777777" w:rsidTr="00BB4F69">
        <w:trPr>
          <w:trHeight w:val="300"/>
          <w:jc w:val="center"/>
        </w:trPr>
        <w:tc>
          <w:tcPr>
            <w:tcW w:w="4500" w:type="dxa"/>
            <w:noWrap/>
            <w:vAlign w:val="bottom"/>
            <w:hideMark/>
          </w:tcPr>
          <w:p w14:paraId="1CD409B7" w14:textId="77777777" w:rsidR="00DF358A" w:rsidRPr="004E13E9" w:rsidRDefault="00DF358A" w:rsidP="00BB4F69">
            <w:pPr>
              <w:rPr>
                <w:sz w:val="18"/>
                <w:szCs w:val="18"/>
                <w:lang w:val="en-GB"/>
              </w:rPr>
            </w:pPr>
            <w:r w:rsidRPr="004E13E9">
              <w:rPr>
                <w:sz w:val="18"/>
                <w:szCs w:val="18"/>
                <w:lang w:val="en-GB"/>
              </w:rPr>
              <w:t>ANDRATX</w:t>
            </w:r>
          </w:p>
        </w:tc>
        <w:tc>
          <w:tcPr>
            <w:tcW w:w="1732" w:type="dxa"/>
            <w:noWrap/>
            <w:vAlign w:val="bottom"/>
            <w:hideMark/>
          </w:tcPr>
          <w:p w14:paraId="0D857F2F"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76E0C0DD" w14:textId="77777777" w:rsidTr="00BB4F69">
        <w:trPr>
          <w:trHeight w:val="300"/>
          <w:jc w:val="center"/>
        </w:trPr>
        <w:tc>
          <w:tcPr>
            <w:tcW w:w="4500" w:type="dxa"/>
            <w:noWrap/>
            <w:vAlign w:val="bottom"/>
            <w:hideMark/>
          </w:tcPr>
          <w:p w14:paraId="4F2977F8" w14:textId="77777777" w:rsidR="00DF358A" w:rsidRPr="004E13E9" w:rsidRDefault="00DF358A" w:rsidP="00BB4F69">
            <w:pPr>
              <w:rPr>
                <w:sz w:val="18"/>
                <w:szCs w:val="18"/>
                <w:lang w:val="en-GB"/>
              </w:rPr>
            </w:pPr>
            <w:r w:rsidRPr="004E13E9">
              <w:rPr>
                <w:sz w:val="18"/>
                <w:szCs w:val="18"/>
                <w:lang w:val="en-GB"/>
              </w:rPr>
              <w:t>ARENYS DE MAR</w:t>
            </w:r>
          </w:p>
        </w:tc>
        <w:tc>
          <w:tcPr>
            <w:tcW w:w="1732" w:type="dxa"/>
            <w:noWrap/>
            <w:vAlign w:val="bottom"/>
            <w:hideMark/>
          </w:tcPr>
          <w:p w14:paraId="04EC435C"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76F77B96" w14:textId="77777777" w:rsidTr="00BB4F69">
        <w:trPr>
          <w:trHeight w:val="300"/>
          <w:jc w:val="center"/>
        </w:trPr>
        <w:tc>
          <w:tcPr>
            <w:tcW w:w="4500" w:type="dxa"/>
            <w:noWrap/>
            <w:vAlign w:val="bottom"/>
            <w:hideMark/>
          </w:tcPr>
          <w:p w14:paraId="2753D114" w14:textId="77777777" w:rsidR="00DF358A" w:rsidRPr="004E13E9" w:rsidRDefault="00DF358A" w:rsidP="00BB4F69">
            <w:pPr>
              <w:rPr>
                <w:sz w:val="18"/>
                <w:szCs w:val="18"/>
                <w:lang w:val="en-GB"/>
              </w:rPr>
            </w:pPr>
            <w:r w:rsidRPr="004E13E9">
              <w:rPr>
                <w:sz w:val="18"/>
                <w:szCs w:val="18"/>
                <w:lang w:val="en-GB"/>
              </w:rPr>
              <w:t>ARGUINEGUIN</w:t>
            </w:r>
          </w:p>
        </w:tc>
        <w:tc>
          <w:tcPr>
            <w:tcW w:w="1732" w:type="dxa"/>
            <w:noWrap/>
            <w:vAlign w:val="bottom"/>
            <w:hideMark/>
          </w:tcPr>
          <w:p w14:paraId="5588AA3B"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33DCD259" w14:textId="77777777" w:rsidTr="00BB4F69">
        <w:trPr>
          <w:trHeight w:val="300"/>
          <w:jc w:val="center"/>
        </w:trPr>
        <w:tc>
          <w:tcPr>
            <w:tcW w:w="4500" w:type="dxa"/>
            <w:noWrap/>
            <w:vAlign w:val="bottom"/>
            <w:hideMark/>
          </w:tcPr>
          <w:p w14:paraId="0F4D27C0" w14:textId="77777777" w:rsidR="00DF358A" w:rsidRPr="004E13E9" w:rsidRDefault="00DF358A" w:rsidP="00BB4F69">
            <w:pPr>
              <w:rPr>
                <w:sz w:val="18"/>
                <w:szCs w:val="18"/>
                <w:lang w:val="en-GB"/>
              </w:rPr>
            </w:pPr>
            <w:r w:rsidRPr="004E13E9">
              <w:rPr>
                <w:sz w:val="18"/>
                <w:szCs w:val="18"/>
                <w:lang w:val="en-GB"/>
              </w:rPr>
              <w:t>ARRECIFE DE LANZAROTE</w:t>
            </w:r>
          </w:p>
        </w:tc>
        <w:tc>
          <w:tcPr>
            <w:tcW w:w="1732" w:type="dxa"/>
            <w:noWrap/>
            <w:vAlign w:val="bottom"/>
            <w:hideMark/>
          </w:tcPr>
          <w:p w14:paraId="1DFAA6C7"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67A45298" w14:textId="77777777" w:rsidTr="00BB4F69">
        <w:trPr>
          <w:trHeight w:val="300"/>
          <w:jc w:val="center"/>
        </w:trPr>
        <w:tc>
          <w:tcPr>
            <w:tcW w:w="4500" w:type="dxa"/>
            <w:noWrap/>
            <w:vAlign w:val="bottom"/>
            <w:hideMark/>
          </w:tcPr>
          <w:p w14:paraId="397E60B2" w14:textId="77777777" w:rsidR="00DF358A" w:rsidRPr="004E13E9" w:rsidRDefault="00DF358A" w:rsidP="00BB4F69">
            <w:pPr>
              <w:rPr>
                <w:sz w:val="18"/>
                <w:szCs w:val="18"/>
                <w:lang w:val="en-GB"/>
              </w:rPr>
            </w:pPr>
            <w:r w:rsidRPr="004E13E9">
              <w:rPr>
                <w:sz w:val="18"/>
                <w:szCs w:val="18"/>
                <w:lang w:val="en-GB"/>
              </w:rPr>
              <w:t>AVILES</w:t>
            </w:r>
          </w:p>
        </w:tc>
        <w:tc>
          <w:tcPr>
            <w:tcW w:w="1732" w:type="dxa"/>
            <w:noWrap/>
            <w:vAlign w:val="bottom"/>
            <w:hideMark/>
          </w:tcPr>
          <w:p w14:paraId="405067A1"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0742838E" w14:textId="77777777" w:rsidTr="00BB4F69">
        <w:trPr>
          <w:trHeight w:val="300"/>
          <w:jc w:val="center"/>
        </w:trPr>
        <w:tc>
          <w:tcPr>
            <w:tcW w:w="4500" w:type="dxa"/>
            <w:noWrap/>
            <w:vAlign w:val="bottom"/>
            <w:hideMark/>
          </w:tcPr>
          <w:p w14:paraId="26017985" w14:textId="77777777" w:rsidR="00DF358A" w:rsidRPr="004E13E9" w:rsidRDefault="00DF358A" w:rsidP="00BB4F69">
            <w:pPr>
              <w:rPr>
                <w:sz w:val="18"/>
                <w:szCs w:val="18"/>
                <w:lang w:val="en-GB"/>
              </w:rPr>
            </w:pPr>
            <w:r w:rsidRPr="004E13E9">
              <w:rPr>
                <w:sz w:val="18"/>
                <w:szCs w:val="18"/>
                <w:lang w:val="en-GB"/>
              </w:rPr>
              <w:t>AZOHIA</w:t>
            </w:r>
          </w:p>
        </w:tc>
        <w:tc>
          <w:tcPr>
            <w:tcW w:w="1732" w:type="dxa"/>
            <w:noWrap/>
            <w:vAlign w:val="bottom"/>
            <w:hideMark/>
          </w:tcPr>
          <w:p w14:paraId="219FB72A"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3F9586D6" w14:textId="77777777" w:rsidTr="00BB4F69">
        <w:trPr>
          <w:trHeight w:val="300"/>
          <w:jc w:val="center"/>
        </w:trPr>
        <w:tc>
          <w:tcPr>
            <w:tcW w:w="4500" w:type="dxa"/>
            <w:noWrap/>
            <w:vAlign w:val="bottom"/>
            <w:hideMark/>
          </w:tcPr>
          <w:p w14:paraId="1DBD8208" w14:textId="77777777" w:rsidR="00DF358A" w:rsidRPr="004E13E9" w:rsidRDefault="00DF358A" w:rsidP="00BB4F69">
            <w:pPr>
              <w:rPr>
                <w:sz w:val="18"/>
                <w:szCs w:val="18"/>
                <w:lang w:val="en-GB"/>
              </w:rPr>
            </w:pPr>
            <w:r w:rsidRPr="004E13E9">
              <w:rPr>
                <w:sz w:val="18"/>
                <w:szCs w:val="18"/>
                <w:lang w:val="en-GB"/>
              </w:rPr>
              <w:t>BADALONA</w:t>
            </w:r>
          </w:p>
        </w:tc>
        <w:tc>
          <w:tcPr>
            <w:tcW w:w="1732" w:type="dxa"/>
            <w:noWrap/>
            <w:vAlign w:val="bottom"/>
            <w:hideMark/>
          </w:tcPr>
          <w:p w14:paraId="0A321D2A"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6E83FFD6" w14:textId="77777777" w:rsidTr="00BB4F69">
        <w:trPr>
          <w:trHeight w:val="300"/>
          <w:jc w:val="center"/>
        </w:trPr>
        <w:tc>
          <w:tcPr>
            <w:tcW w:w="4500" w:type="dxa"/>
            <w:noWrap/>
            <w:vAlign w:val="bottom"/>
            <w:hideMark/>
          </w:tcPr>
          <w:p w14:paraId="66628A85" w14:textId="77777777" w:rsidR="00DF358A" w:rsidRPr="004E13E9" w:rsidRDefault="00DF358A" w:rsidP="00BB4F69">
            <w:pPr>
              <w:rPr>
                <w:sz w:val="18"/>
                <w:szCs w:val="18"/>
                <w:lang w:val="en-GB"/>
              </w:rPr>
            </w:pPr>
            <w:r w:rsidRPr="004E13E9">
              <w:rPr>
                <w:sz w:val="18"/>
                <w:szCs w:val="18"/>
                <w:lang w:val="en-GB"/>
              </w:rPr>
              <w:t>BARBATE</w:t>
            </w:r>
          </w:p>
        </w:tc>
        <w:tc>
          <w:tcPr>
            <w:tcW w:w="1732" w:type="dxa"/>
            <w:noWrap/>
            <w:vAlign w:val="bottom"/>
            <w:hideMark/>
          </w:tcPr>
          <w:p w14:paraId="6D68F4CB"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6F6BE79F" w14:textId="77777777" w:rsidTr="00BB4F69">
        <w:trPr>
          <w:trHeight w:val="300"/>
          <w:jc w:val="center"/>
        </w:trPr>
        <w:tc>
          <w:tcPr>
            <w:tcW w:w="4500" w:type="dxa"/>
            <w:noWrap/>
            <w:vAlign w:val="bottom"/>
            <w:hideMark/>
          </w:tcPr>
          <w:p w14:paraId="58FAAAC1" w14:textId="77777777" w:rsidR="00DF358A" w:rsidRPr="004E13E9" w:rsidRDefault="00DF358A" w:rsidP="00BB4F69">
            <w:pPr>
              <w:rPr>
                <w:sz w:val="18"/>
                <w:szCs w:val="18"/>
                <w:lang w:val="en-GB"/>
              </w:rPr>
            </w:pPr>
            <w:r w:rsidRPr="004E13E9">
              <w:rPr>
                <w:sz w:val="18"/>
                <w:szCs w:val="18"/>
                <w:lang w:val="en-GB"/>
              </w:rPr>
              <w:t>BARCELONA</w:t>
            </w:r>
          </w:p>
        </w:tc>
        <w:tc>
          <w:tcPr>
            <w:tcW w:w="1732" w:type="dxa"/>
            <w:noWrap/>
            <w:vAlign w:val="bottom"/>
            <w:hideMark/>
          </w:tcPr>
          <w:p w14:paraId="23758B40"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59235D02" w14:textId="77777777" w:rsidTr="00BB4F69">
        <w:trPr>
          <w:trHeight w:val="300"/>
          <w:jc w:val="center"/>
        </w:trPr>
        <w:tc>
          <w:tcPr>
            <w:tcW w:w="4500" w:type="dxa"/>
            <w:noWrap/>
            <w:vAlign w:val="bottom"/>
            <w:hideMark/>
          </w:tcPr>
          <w:p w14:paraId="19A1A2A5" w14:textId="77777777" w:rsidR="00DF358A" w:rsidRPr="004E13E9" w:rsidRDefault="00DF358A" w:rsidP="00BB4F69">
            <w:pPr>
              <w:rPr>
                <w:sz w:val="18"/>
                <w:szCs w:val="18"/>
                <w:lang w:val="en-GB"/>
              </w:rPr>
            </w:pPr>
            <w:r w:rsidRPr="004E13E9">
              <w:rPr>
                <w:sz w:val="18"/>
                <w:szCs w:val="18"/>
                <w:lang w:val="en-GB"/>
              </w:rPr>
              <w:t>BENICARLO</w:t>
            </w:r>
          </w:p>
        </w:tc>
        <w:tc>
          <w:tcPr>
            <w:tcW w:w="1732" w:type="dxa"/>
            <w:noWrap/>
            <w:vAlign w:val="bottom"/>
            <w:hideMark/>
          </w:tcPr>
          <w:p w14:paraId="68E94C5C"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02DB3069" w14:textId="77777777" w:rsidTr="00BB4F69">
        <w:trPr>
          <w:trHeight w:val="300"/>
          <w:jc w:val="center"/>
        </w:trPr>
        <w:tc>
          <w:tcPr>
            <w:tcW w:w="4500" w:type="dxa"/>
            <w:noWrap/>
            <w:vAlign w:val="bottom"/>
            <w:hideMark/>
          </w:tcPr>
          <w:p w14:paraId="3CB3EBAB" w14:textId="77777777" w:rsidR="00DF358A" w:rsidRPr="004E13E9" w:rsidRDefault="00DF358A" w:rsidP="00BB4F69">
            <w:pPr>
              <w:rPr>
                <w:sz w:val="18"/>
                <w:szCs w:val="18"/>
                <w:lang w:val="en-GB"/>
              </w:rPr>
            </w:pPr>
            <w:r w:rsidRPr="004E13E9">
              <w:rPr>
                <w:sz w:val="18"/>
                <w:szCs w:val="18"/>
                <w:lang w:val="en-GB"/>
              </w:rPr>
              <w:t>BERMEO</w:t>
            </w:r>
          </w:p>
        </w:tc>
        <w:tc>
          <w:tcPr>
            <w:tcW w:w="1732" w:type="dxa"/>
            <w:noWrap/>
            <w:vAlign w:val="bottom"/>
            <w:hideMark/>
          </w:tcPr>
          <w:p w14:paraId="5D64E612"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24A7BA1D" w14:textId="77777777" w:rsidTr="00BB4F69">
        <w:trPr>
          <w:trHeight w:val="300"/>
          <w:jc w:val="center"/>
        </w:trPr>
        <w:tc>
          <w:tcPr>
            <w:tcW w:w="4500" w:type="dxa"/>
            <w:noWrap/>
            <w:vAlign w:val="bottom"/>
            <w:hideMark/>
          </w:tcPr>
          <w:p w14:paraId="2DDCE6E4" w14:textId="77777777" w:rsidR="00DF358A" w:rsidRPr="004E13E9" w:rsidRDefault="00DF358A" w:rsidP="00BB4F69">
            <w:pPr>
              <w:rPr>
                <w:sz w:val="18"/>
                <w:szCs w:val="18"/>
                <w:lang w:val="en-GB"/>
              </w:rPr>
            </w:pPr>
            <w:r w:rsidRPr="004E13E9">
              <w:rPr>
                <w:sz w:val="18"/>
                <w:szCs w:val="18"/>
                <w:lang w:val="en-GB"/>
              </w:rPr>
              <w:t>BLANES</w:t>
            </w:r>
          </w:p>
        </w:tc>
        <w:tc>
          <w:tcPr>
            <w:tcW w:w="1732" w:type="dxa"/>
            <w:noWrap/>
            <w:vAlign w:val="bottom"/>
            <w:hideMark/>
          </w:tcPr>
          <w:p w14:paraId="0E927BE5"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47654761" w14:textId="77777777" w:rsidTr="00BB4F69">
        <w:trPr>
          <w:trHeight w:val="300"/>
          <w:jc w:val="center"/>
        </w:trPr>
        <w:tc>
          <w:tcPr>
            <w:tcW w:w="4500" w:type="dxa"/>
            <w:noWrap/>
            <w:vAlign w:val="bottom"/>
            <w:hideMark/>
          </w:tcPr>
          <w:p w14:paraId="519BADAC" w14:textId="77777777" w:rsidR="00DF358A" w:rsidRPr="004E13E9" w:rsidRDefault="00DF358A" w:rsidP="00BB4F69">
            <w:pPr>
              <w:rPr>
                <w:sz w:val="18"/>
                <w:szCs w:val="18"/>
                <w:lang w:val="en-GB"/>
              </w:rPr>
            </w:pPr>
            <w:r w:rsidRPr="004E13E9">
              <w:rPr>
                <w:sz w:val="18"/>
                <w:szCs w:val="18"/>
                <w:lang w:val="en-GB"/>
              </w:rPr>
              <w:t>BURELA</w:t>
            </w:r>
          </w:p>
        </w:tc>
        <w:tc>
          <w:tcPr>
            <w:tcW w:w="1732" w:type="dxa"/>
            <w:noWrap/>
            <w:vAlign w:val="bottom"/>
            <w:hideMark/>
          </w:tcPr>
          <w:p w14:paraId="5C626FBB"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76FE113A" w14:textId="77777777" w:rsidTr="00BB4F69">
        <w:trPr>
          <w:trHeight w:val="300"/>
          <w:jc w:val="center"/>
        </w:trPr>
        <w:tc>
          <w:tcPr>
            <w:tcW w:w="4500" w:type="dxa"/>
            <w:noWrap/>
            <w:vAlign w:val="bottom"/>
            <w:hideMark/>
          </w:tcPr>
          <w:p w14:paraId="1370240A" w14:textId="77777777" w:rsidR="00DF358A" w:rsidRPr="004E13E9" w:rsidRDefault="00DF358A" w:rsidP="00BB4F69">
            <w:pPr>
              <w:rPr>
                <w:sz w:val="18"/>
                <w:szCs w:val="18"/>
                <w:lang w:val="en-GB"/>
              </w:rPr>
            </w:pPr>
            <w:r w:rsidRPr="004E13E9">
              <w:rPr>
                <w:sz w:val="18"/>
                <w:szCs w:val="18"/>
                <w:lang w:val="en-GB"/>
              </w:rPr>
              <w:t>BURRIANA</w:t>
            </w:r>
          </w:p>
        </w:tc>
        <w:tc>
          <w:tcPr>
            <w:tcW w:w="1732" w:type="dxa"/>
            <w:noWrap/>
            <w:vAlign w:val="bottom"/>
            <w:hideMark/>
          </w:tcPr>
          <w:p w14:paraId="50235844"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3E2407CD" w14:textId="77777777" w:rsidTr="00BB4F69">
        <w:trPr>
          <w:trHeight w:val="300"/>
          <w:jc w:val="center"/>
        </w:trPr>
        <w:tc>
          <w:tcPr>
            <w:tcW w:w="4500" w:type="dxa"/>
            <w:noWrap/>
            <w:vAlign w:val="bottom"/>
            <w:hideMark/>
          </w:tcPr>
          <w:p w14:paraId="0BE7C6D3" w14:textId="77777777" w:rsidR="00DF358A" w:rsidRPr="004E13E9" w:rsidRDefault="00DF358A" w:rsidP="00BB4F69">
            <w:pPr>
              <w:rPr>
                <w:sz w:val="18"/>
                <w:szCs w:val="18"/>
                <w:lang w:val="en-GB"/>
              </w:rPr>
            </w:pPr>
            <w:r w:rsidRPr="004E13E9">
              <w:rPr>
                <w:sz w:val="18"/>
                <w:szCs w:val="18"/>
                <w:lang w:val="en-GB"/>
              </w:rPr>
              <w:t>CABO PALOS</w:t>
            </w:r>
          </w:p>
        </w:tc>
        <w:tc>
          <w:tcPr>
            <w:tcW w:w="1732" w:type="dxa"/>
            <w:noWrap/>
            <w:vAlign w:val="bottom"/>
            <w:hideMark/>
          </w:tcPr>
          <w:p w14:paraId="55C33DBB"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0C0E04D6" w14:textId="77777777" w:rsidTr="00BB4F69">
        <w:trPr>
          <w:trHeight w:val="300"/>
          <w:jc w:val="center"/>
        </w:trPr>
        <w:tc>
          <w:tcPr>
            <w:tcW w:w="4500" w:type="dxa"/>
            <w:noWrap/>
            <w:vAlign w:val="bottom"/>
            <w:hideMark/>
          </w:tcPr>
          <w:p w14:paraId="074C0749" w14:textId="77777777" w:rsidR="00DF358A" w:rsidRPr="004E13E9" w:rsidRDefault="00DF358A" w:rsidP="00BB4F69">
            <w:pPr>
              <w:rPr>
                <w:sz w:val="18"/>
                <w:szCs w:val="18"/>
                <w:lang w:val="en-GB"/>
              </w:rPr>
            </w:pPr>
            <w:r w:rsidRPr="004E13E9">
              <w:rPr>
                <w:sz w:val="18"/>
                <w:szCs w:val="18"/>
                <w:lang w:val="en-GB"/>
              </w:rPr>
              <w:t>CADIZ</w:t>
            </w:r>
          </w:p>
        </w:tc>
        <w:tc>
          <w:tcPr>
            <w:tcW w:w="1732" w:type="dxa"/>
            <w:noWrap/>
            <w:vAlign w:val="bottom"/>
            <w:hideMark/>
          </w:tcPr>
          <w:p w14:paraId="0AC03DC2"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1B490193" w14:textId="77777777" w:rsidTr="00BB4F69">
        <w:trPr>
          <w:trHeight w:val="300"/>
          <w:jc w:val="center"/>
        </w:trPr>
        <w:tc>
          <w:tcPr>
            <w:tcW w:w="4500" w:type="dxa"/>
            <w:noWrap/>
            <w:vAlign w:val="bottom"/>
            <w:hideMark/>
          </w:tcPr>
          <w:p w14:paraId="10DC328D" w14:textId="77777777" w:rsidR="00DF358A" w:rsidRPr="004E13E9" w:rsidRDefault="00DF358A" w:rsidP="00BB4F69">
            <w:pPr>
              <w:rPr>
                <w:sz w:val="18"/>
                <w:szCs w:val="18"/>
                <w:lang w:val="en-GB"/>
              </w:rPr>
            </w:pPr>
            <w:r w:rsidRPr="004E13E9">
              <w:rPr>
                <w:sz w:val="18"/>
                <w:szCs w:val="18"/>
                <w:lang w:val="en-GB"/>
              </w:rPr>
              <w:t>CALA BONA</w:t>
            </w:r>
          </w:p>
        </w:tc>
        <w:tc>
          <w:tcPr>
            <w:tcW w:w="1732" w:type="dxa"/>
            <w:noWrap/>
            <w:vAlign w:val="bottom"/>
            <w:hideMark/>
          </w:tcPr>
          <w:p w14:paraId="6A8C1686"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23C4CB2D" w14:textId="77777777" w:rsidTr="00BB4F69">
        <w:trPr>
          <w:trHeight w:val="300"/>
          <w:jc w:val="center"/>
        </w:trPr>
        <w:tc>
          <w:tcPr>
            <w:tcW w:w="4500" w:type="dxa"/>
            <w:noWrap/>
            <w:vAlign w:val="bottom"/>
            <w:hideMark/>
          </w:tcPr>
          <w:p w14:paraId="5ACE37A5" w14:textId="77777777" w:rsidR="00DF358A" w:rsidRPr="004E13E9" w:rsidRDefault="00DF358A" w:rsidP="00BB4F69">
            <w:pPr>
              <w:rPr>
                <w:sz w:val="18"/>
                <w:szCs w:val="18"/>
                <w:lang w:val="en-GB"/>
              </w:rPr>
            </w:pPr>
            <w:r w:rsidRPr="004E13E9">
              <w:rPr>
                <w:sz w:val="18"/>
                <w:szCs w:val="18"/>
                <w:lang w:val="en-GB"/>
              </w:rPr>
              <w:t>CALA RATJADA</w:t>
            </w:r>
          </w:p>
        </w:tc>
        <w:tc>
          <w:tcPr>
            <w:tcW w:w="1732" w:type="dxa"/>
            <w:noWrap/>
            <w:vAlign w:val="bottom"/>
            <w:hideMark/>
          </w:tcPr>
          <w:p w14:paraId="3439AD94"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0CFE1CA4" w14:textId="77777777" w:rsidTr="00BB4F69">
        <w:trPr>
          <w:trHeight w:val="300"/>
          <w:jc w:val="center"/>
        </w:trPr>
        <w:tc>
          <w:tcPr>
            <w:tcW w:w="4500" w:type="dxa"/>
            <w:noWrap/>
            <w:vAlign w:val="bottom"/>
            <w:hideMark/>
          </w:tcPr>
          <w:p w14:paraId="4FB350F8" w14:textId="77777777" w:rsidR="00DF358A" w:rsidRPr="004E13E9" w:rsidRDefault="00DF358A" w:rsidP="00BB4F69">
            <w:pPr>
              <w:rPr>
                <w:sz w:val="18"/>
                <w:szCs w:val="18"/>
                <w:lang w:val="en-GB"/>
              </w:rPr>
            </w:pPr>
            <w:r w:rsidRPr="004E13E9">
              <w:rPr>
                <w:sz w:val="18"/>
                <w:szCs w:val="18"/>
                <w:lang w:val="en-GB"/>
              </w:rPr>
              <w:t>CALETA DE VELEZ</w:t>
            </w:r>
          </w:p>
        </w:tc>
        <w:tc>
          <w:tcPr>
            <w:tcW w:w="1732" w:type="dxa"/>
            <w:noWrap/>
            <w:vAlign w:val="bottom"/>
            <w:hideMark/>
          </w:tcPr>
          <w:p w14:paraId="2D3608D8"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53E33B35" w14:textId="77777777" w:rsidTr="00BB4F69">
        <w:trPr>
          <w:trHeight w:val="300"/>
          <w:jc w:val="center"/>
        </w:trPr>
        <w:tc>
          <w:tcPr>
            <w:tcW w:w="4500" w:type="dxa"/>
            <w:noWrap/>
            <w:vAlign w:val="bottom"/>
            <w:hideMark/>
          </w:tcPr>
          <w:p w14:paraId="0B9D6EB6" w14:textId="77777777" w:rsidR="00DF358A" w:rsidRPr="004E13E9" w:rsidRDefault="00DF358A" w:rsidP="00BB4F69">
            <w:pPr>
              <w:rPr>
                <w:sz w:val="18"/>
                <w:szCs w:val="18"/>
                <w:lang w:val="en-GB"/>
              </w:rPr>
            </w:pPr>
            <w:r w:rsidRPr="004E13E9">
              <w:rPr>
                <w:sz w:val="18"/>
                <w:szCs w:val="18"/>
                <w:lang w:val="en-GB"/>
              </w:rPr>
              <w:t>CALPE</w:t>
            </w:r>
          </w:p>
        </w:tc>
        <w:tc>
          <w:tcPr>
            <w:tcW w:w="1732" w:type="dxa"/>
            <w:noWrap/>
            <w:vAlign w:val="bottom"/>
            <w:hideMark/>
          </w:tcPr>
          <w:p w14:paraId="31ACF943"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18F69865" w14:textId="77777777" w:rsidTr="00BB4F69">
        <w:trPr>
          <w:trHeight w:val="300"/>
          <w:jc w:val="center"/>
        </w:trPr>
        <w:tc>
          <w:tcPr>
            <w:tcW w:w="4500" w:type="dxa"/>
            <w:noWrap/>
            <w:vAlign w:val="bottom"/>
            <w:hideMark/>
          </w:tcPr>
          <w:p w14:paraId="4F633F1D" w14:textId="77777777" w:rsidR="00DF358A" w:rsidRPr="004E13E9" w:rsidRDefault="00DF358A" w:rsidP="00BB4F69">
            <w:pPr>
              <w:rPr>
                <w:sz w:val="18"/>
                <w:szCs w:val="18"/>
                <w:lang w:val="en-GB"/>
              </w:rPr>
            </w:pPr>
            <w:r w:rsidRPr="004E13E9">
              <w:rPr>
                <w:sz w:val="18"/>
                <w:szCs w:val="18"/>
                <w:lang w:val="en-GB"/>
              </w:rPr>
              <w:t>CAMBRILS</w:t>
            </w:r>
          </w:p>
        </w:tc>
        <w:tc>
          <w:tcPr>
            <w:tcW w:w="1732" w:type="dxa"/>
            <w:noWrap/>
            <w:vAlign w:val="bottom"/>
            <w:hideMark/>
          </w:tcPr>
          <w:p w14:paraId="2D7913BA"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41F5DFF5" w14:textId="77777777" w:rsidTr="00BB4F69">
        <w:trPr>
          <w:trHeight w:val="300"/>
          <w:jc w:val="center"/>
        </w:trPr>
        <w:tc>
          <w:tcPr>
            <w:tcW w:w="4500" w:type="dxa"/>
            <w:noWrap/>
            <w:vAlign w:val="bottom"/>
            <w:hideMark/>
          </w:tcPr>
          <w:p w14:paraId="47411BA7" w14:textId="77777777" w:rsidR="00DF358A" w:rsidRPr="004E13E9" w:rsidRDefault="00DF358A" w:rsidP="00BB4F69">
            <w:pPr>
              <w:rPr>
                <w:sz w:val="18"/>
                <w:szCs w:val="18"/>
                <w:lang w:val="en-GB"/>
              </w:rPr>
            </w:pPr>
            <w:r w:rsidRPr="004E13E9">
              <w:rPr>
                <w:sz w:val="18"/>
                <w:szCs w:val="18"/>
                <w:lang w:val="en-GB"/>
              </w:rPr>
              <w:t>CARBONERAS</w:t>
            </w:r>
          </w:p>
        </w:tc>
        <w:tc>
          <w:tcPr>
            <w:tcW w:w="1732" w:type="dxa"/>
            <w:noWrap/>
            <w:vAlign w:val="bottom"/>
            <w:hideMark/>
          </w:tcPr>
          <w:p w14:paraId="27CEC204"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0F1EB1FA" w14:textId="77777777" w:rsidTr="00BB4F69">
        <w:trPr>
          <w:trHeight w:val="300"/>
          <w:jc w:val="center"/>
        </w:trPr>
        <w:tc>
          <w:tcPr>
            <w:tcW w:w="4500" w:type="dxa"/>
            <w:noWrap/>
            <w:vAlign w:val="bottom"/>
            <w:hideMark/>
          </w:tcPr>
          <w:p w14:paraId="109D7EF1" w14:textId="77777777" w:rsidR="00DF358A" w:rsidRPr="004E13E9" w:rsidRDefault="00DF358A" w:rsidP="00BB4F69">
            <w:pPr>
              <w:rPr>
                <w:sz w:val="18"/>
                <w:szCs w:val="18"/>
                <w:lang w:val="en-GB"/>
              </w:rPr>
            </w:pPr>
            <w:r w:rsidRPr="004E13E9">
              <w:rPr>
                <w:sz w:val="18"/>
                <w:szCs w:val="18"/>
                <w:lang w:val="en-GB"/>
              </w:rPr>
              <w:t>CARTAGENA</w:t>
            </w:r>
          </w:p>
        </w:tc>
        <w:tc>
          <w:tcPr>
            <w:tcW w:w="1732" w:type="dxa"/>
            <w:noWrap/>
            <w:vAlign w:val="bottom"/>
            <w:hideMark/>
          </w:tcPr>
          <w:p w14:paraId="051B9B3A"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652D8913" w14:textId="77777777" w:rsidTr="00BB4F69">
        <w:trPr>
          <w:trHeight w:val="300"/>
          <w:jc w:val="center"/>
        </w:trPr>
        <w:tc>
          <w:tcPr>
            <w:tcW w:w="4500" w:type="dxa"/>
            <w:noWrap/>
            <w:vAlign w:val="bottom"/>
            <w:hideMark/>
          </w:tcPr>
          <w:p w14:paraId="279E7640" w14:textId="77777777" w:rsidR="00DF358A" w:rsidRPr="004E13E9" w:rsidRDefault="00DF358A" w:rsidP="00BB4F69">
            <w:pPr>
              <w:rPr>
                <w:sz w:val="18"/>
                <w:szCs w:val="18"/>
                <w:lang w:val="en-GB"/>
              </w:rPr>
            </w:pPr>
            <w:r w:rsidRPr="004E13E9">
              <w:rPr>
                <w:sz w:val="18"/>
                <w:szCs w:val="18"/>
                <w:lang w:val="en-GB"/>
              </w:rPr>
              <w:t>CASAS DE ALCANAR</w:t>
            </w:r>
          </w:p>
        </w:tc>
        <w:tc>
          <w:tcPr>
            <w:tcW w:w="1732" w:type="dxa"/>
            <w:noWrap/>
            <w:vAlign w:val="bottom"/>
            <w:hideMark/>
          </w:tcPr>
          <w:p w14:paraId="052B3218"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56BC8DAC" w14:textId="77777777" w:rsidTr="00BB4F69">
        <w:trPr>
          <w:trHeight w:val="300"/>
          <w:jc w:val="center"/>
        </w:trPr>
        <w:tc>
          <w:tcPr>
            <w:tcW w:w="4500" w:type="dxa"/>
            <w:noWrap/>
            <w:vAlign w:val="bottom"/>
            <w:hideMark/>
          </w:tcPr>
          <w:p w14:paraId="1EF08D40" w14:textId="77777777" w:rsidR="00DF358A" w:rsidRPr="004E13E9" w:rsidRDefault="00DF358A" w:rsidP="00BB4F69">
            <w:pPr>
              <w:rPr>
                <w:sz w:val="18"/>
                <w:szCs w:val="18"/>
                <w:lang w:val="en-GB"/>
              </w:rPr>
            </w:pPr>
            <w:r w:rsidRPr="004E13E9">
              <w:rPr>
                <w:sz w:val="18"/>
                <w:szCs w:val="18"/>
                <w:lang w:val="en-GB"/>
              </w:rPr>
              <w:t>CASTELLON</w:t>
            </w:r>
          </w:p>
        </w:tc>
        <w:tc>
          <w:tcPr>
            <w:tcW w:w="1732" w:type="dxa"/>
            <w:noWrap/>
            <w:vAlign w:val="bottom"/>
            <w:hideMark/>
          </w:tcPr>
          <w:p w14:paraId="0D678095"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65B35A0D" w14:textId="77777777" w:rsidTr="00BB4F69">
        <w:trPr>
          <w:trHeight w:val="300"/>
          <w:jc w:val="center"/>
        </w:trPr>
        <w:tc>
          <w:tcPr>
            <w:tcW w:w="4500" w:type="dxa"/>
            <w:noWrap/>
            <w:vAlign w:val="bottom"/>
            <w:hideMark/>
          </w:tcPr>
          <w:p w14:paraId="1A93EC82" w14:textId="77777777" w:rsidR="00DF358A" w:rsidRPr="004E13E9" w:rsidRDefault="00DF358A" w:rsidP="00BB4F69">
            <w:pPr>
              <w:rPr>
                <w:sz w:val="18"/>
                <w:szCs w:val="18"/>
                <w:lang w:val="en-GB"/>
              </w:rPr>
            </w:pPr>
            <w:r w:rsidRPr="004E13E9">
              <w:rPr>
                <w:sz w:val="18"/>
                <w:szCs w:val="18"/>
                <w:lang w:val="en-GB"/>
              </w:rPr>
              <w:t>CELEIRO</w:t>
            </w:r>
          </w:p>
        </w:tc>
        <w:tc>
          <w:tcPr>
            <w:tcW w:w="1732" w:type="dxa"/>
            <w:noWrap/>
            <w:vAlign w:val="bottom"/>
            <w:hideMark/>
          </w:tcPr>
          <w:p w14:paraId="37E4F5B8"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3B8202E5" w14:textId="77777777" w:rsidTr="00BB4F69">
        <w:trPr>
          <w:trHeight w:val="300"/>
          <w:jc w:val="center"/>
        </w:trPr>
        <w:tc>
          <w:tcPr>
            <w:tcW w:w="4500" w:type="dxa"/>
            <w:noWrap/>
            <w:vAlign w:val="bottom"/>
            <w:hideMark/>
          </w:tcPr>
          <w:p w14:paraId="2C928622" w14:textId="77777777" w:rsidR="00DF358A" w:rsidRPr="004E13E9" w:rsidRDefault="00DF358A" w:rsidP="00BB4F69">
            <w:pPr>
              <w:rPr>
                <w:sz w:val="18"/>
                <w:szCs w:val="18"/>
                <w:lang w:val="en-GB"/>
              </w:rPr>
            </w:pPr>
            <w:r w:rsidRPr="004E13E9">
              <w:rPr>
                <w:sz w:val="18"/>
                <w:szCs w:val="18"/>
                <w:lang w:val="en-GB"/>
              </w:rPr>
              <w:t>CIUDADELA</w:t>
            </w:r>
          </w:p>
        </w:tc>
        <w:tc>
          <w:tcPr>
            <w:tcW w:w="1732" w:type="dxa"/>
            <w:noWrap/>
            <w:vAlign w:val="bottom"/>
            <w:hideMark/>
          </w:tcPr>
          <w:p w14:paraId="0C307EED"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5C2545DE" w14:textId="77777777" w:rsidTr="00BB4F69">
        <w:trPr>
          <w:trHeight w:val="300"/>
          <w:jc w:val="center"/>
        </w:trPr>
        <w:tc>
          <w:tcPr>
            <w:tcW w:w="4500" w:type="dxa"/>
            <w:noWrap/>
            <w:vAlign w:val="bottom"/>
            <w:hideMark/>
          </w:tcPr>
          <w:p w14:paraId="05B5D8E5" w14:textId="77777777" w:rsidR="00DF358A" w:rsidRPr="004E13E9" w:rsidRDefault="00DF358A" w:rsidP="00BB4F69">
            <w:pPr>
              <w:rPr>
                <w:sz w:val="18"/>
                <w:szCs w:val="18"/>
                <w:lang w:val="en-GB"/>
              </w:rPr>
            </w:pPr>
            <w:r w:rsidRPr="004E13E9">
              <w:rPr>
                <w:sz w:val="18"/>
                <w:szCs w:val="18"/>
                <w:lang w:val="en-GB"/>
              </w:rPr>
              <w:t>COLINDRES</w:t>
            </w:r>
          </w:p>
        </w:tc>
        <w:tc>
          <w:tcPr>
            <w:tcW w:w="1732" w:type="dxa"/>
            <w:noWrap/>
            <w:vAlign w:val="bottom"/>
            <w:hideMark/>
          </w:tcPr>
          <w:p w14:paraId="2C4E8A88"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1DAC8692" w14:textId="77777777" w:rsidTr="00BB4F69">
        <w:trPr>
          <w:trHeight w:val="300"/>
          <w:jc w:val="center"/>
        </w:trPr>
        <w:tc>
          <w:tcPr>
            <w:tcW w:w="4500" w:type="dxa"/>
            <w:noWrap/>
            <w:vAlign w:val="bottom"/>
            <w:hideMark/>
          </w:tcPr>
          <w:p w14:paraId="1CF633E9" w14:textId="77777777" w:rsidR="00DF358A" w:rsidRPr="004E13E9" w:rsidRDefault="00DF358A" w:rsidP="00BB4F69">
            <w:pPr>
              <w:rPr>
                <w:sz w:val="18"/>
                <w:szCs w:val="18"/>
                <w:lang w:val="en-GB"/>
              </w:rPr>
            </w:pPr>
            <w:r w:rsidRPr="004E13E9">
              <w:rPr>
                <w:sz w:val="18"/>
                <w:szCs w:val="18"/>
                <w:lang w:val="en-GB"/>
              </w:rPr>
              <w:t>COLONIA SAN JORGE</w:t>
            </w:r>
          </w:p>
        </w:tc>
        <w:tc>
          <w:tcPr>
            <w:tcW w:w="1732" w:type="dxa"/>
            <w:noWrap/>
            <w:vAlign w:val="bottom"/>
            <w:hideMark/>
          </w:tcPr>
          <w:p w14:paraId="2C323874"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2BAD235C" w14:textId="77777777" w:rsidTr="00BB4F69">
        <w:trPr>
          <w:trHeight w:val="300"/>
          <w:jc w:val="center"/>
        </w:trPr>
        <w:tc>
          <w:tcPr>
            <w:tcW w:w="4500" w:type="dxa"/>
            <w:noWrap/>
            <w:vAlign w:val="bottom"/>
            <w:hideMark/>
          </w:tcPr>
          <w:p w14:paraId="7EB34D00" w14:textId="77777777" w:rsidR="00DF358A" w:rsidRPr="004E13E9" w:rsidRDefault="00DF358A" w:rsidP="00BB4F69">
            <w:pPr>
              <w:rPr>
                <w:sz w:val="18"/>
                <w:szCs w:val="18"/>
                <w:lang w:val="en-GB"/>
              </w:rPr>
            </w:pPr>
            <w:r w:rsidRPr="004E13E9">
              <w:rPr>
                <w:sz w:val="18"/>
                <w:szCs w:val="18"/>
                <w:lang w:val="en-GB"/>
              </w:rPr>
              <w:t>CONIL</w:t>
            </w:r>
          </w:p>
        </w:tc>
        <w:tc>
          <w:tcPr>
            <w:tcW w:w="1732" w:type="dxa"/>
            <w:noWrap/>
            <w:vAlign w:val="bottom"/>
            <w:hideMark/>
          </w:tcPr>
          <w:p w14:paraId="3F9E0185"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2666B084" w14:textId="77777777" w:rsidTr="00BB4F69">
        <w:trPr>
          <w:trHeight w:val="300"/>
          <w:jc w:val="center"/>
        </w:trPr>
        <w:tc>
          <w:tcPr>
            <w:tcW w:w="4500" w:type="dxa"/>
            <w:noWrap/>
            <w:vAlign w:val="bottom"/>
            <w:hideMark/>
          </w:tcPr>
          <w:p w14:paraId="2C32444F" w14:textId="77777777" w:rsidR="00DF358A" w:rsidRPr="004E13E9" w:rsidRDefault="00DF358A" w:rsidP="00BB4F69">
            <w:pPr>
              <w:rPr>
                <w:sz w:val="18"/>
                <w:szCs w:val="18"/>
                <w:lang w:val="en-GB"/>
              </w:rPr>
            </w:pPr>
            <w:r w:rsidRPr="004E13E9">
              <w:rPr>
                <w:sz w:val="18"/>
                <w:szCs w:val="18"/>
                <w:lang w:val="en-GB"/>
              </w:rPr>
              <w:t>CORRALEJO</w:t>
            </w:r>
          </w:p>
        </w:tc>
        <w:tc>
          <w:tcPr>
            <w:tcW w:w="1732" w:type="dxa"/>
            <w:noWrap/>
            <w:vAlign w:val="bottom"/>
            <w:hideMark/>
          </w:tcPr>
          <w:p w14:paraId="1F7353E8"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41C22572" w14:textId="77777777" w:rsidTr="00BB4F69">
        <w:trPr>
          <w:trHeight w:val="300"/>
          <w:jc w:val="center"/>
        </w:trPr>
        <w:tc>
          <w:tcPr>
            <w:tcW w:w="4500" w:type="dxa"/>
            <w:noWrap/>
            <w:vAlign w:val="bottom"/>
            <w:hideMark/>
          </w:tcPr>
          <w:p w14:paraId="4C8E8B7F" w14:textId="77777777" w:rsidR="00DF358A" w:rsidRPr="004E13E9" w:rsidRDefault="00DF358A" w:rsidP="00BB4F69">
            <w:pPr>
              <w:rPr>
                <w:sz w:val="18"/>
                <w:szCs w:val="18"/>
                <w:lang w:val="en-GB"/>
              </w:rPr>
            </w:pPr>
            <w:r w:rsidRPr="004E13E9">
              <w:rPr>
                <w:sz w:val="18"/>
                <w:szCs w:val="18"/>
                <w:lang w:val="en-GB"/>
              </w:rPr>
              <w:t>CULLERA</w:t>
            </w:r>
          </w:p>
        </w:tc>
        <w:tc>
          <w:tcPr>
            <w:tcW w:w="1732" w:type="dxa"/>
            <w:noWrap/>
            <w:vAlign w:val="bottom"/>
            <w:hideMark/>
          </w:tcPr>
          <w:p w14:paraId="138A7549"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51D60DCC" w14:textId="77777777" w:rsidTr="00BB4F69">
        <w:trPr>
          <w:trHeight w:val="300"/>
          <w:jc w:val="center"/>
        </w:trPr>
        <w:tc>
          <w:tcPr>
            <w:tcW w:w="4500" w:type="dxa"/>
            <w:noWrap/>
            <w:vAlign w:val="bottom"/>
            <w:hideMark/>
          </w:tcPr>
          <w:p w14:paraId="50235B88" w14:textId="77777777" w:rsidR="00DF358A" w:rsidRPr="004E13E9" w:rsidRDefault="00DF358A" w:rsidP="00BB4F69">
            <w:pPr>
              <w:rPr>
                <w:sz w:val="18"/>
                <w:szCs w:val="18"/>
                <w:lang w:val="en-GB"/>
              </w:rPr>
            </w:pPr>
            <w:r w:rsidRPr="004E13E9">
              <w:rPr>
                <w:sz w:val="18"/>
                <w:szCs w:val="18"/>
                <w:lang w:val="en-GB"/>
              </w:rPr>
              <w:t>ESTEPONA</w:t>
            </w:r>
          </w:p>
        </w:tc>
        <w:tc>
          <w:tcPr>
            <w:tcW w:w="1732" w:type="dxa"/>
            <w:noWrap/>
            <w:vAlign w:val="bottom"/>
            <w:hideMark/>
          </w:tcPr>
          <w:p w14:paraId="777B576E"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015C29DC" w14:textId="77777777" w:rsidTr="00BB4F69">
        <w:trPr>
          <w:trHeight w:val="300"/>
          <w:jc w:val="center"/>
        </w:trPr>
        <w:tc>
          <w:tcPr>
            <w:tcW w:w="4500" w:type="dxa"/>
            <w:noWrap/>
            <w:vAlign w:val="bottom"/>
            <w:hideMark/>
          </w:tcPr>
          <w:p w14:paraId="1BDC283F" w14:textId="77777777" w:rsidR="00DF358A" w:rsidRPr="004E13E9" w:rsidRDefault="00DF358A" w:rsidP="00BB4F69">
            <w:pPr>
              <w:rPr>
                <w:sz w:val="18"/>
                <w:szCs w:val="18"/>
                <w:lang w:val="en-GB"/>
              </w:rPr>
            </w:pPr>
            <w:r w:rsidRPr="004E13E9">
              <w:rPr>
                <w:sz w:val="18"/>
                <w:szCs w:val="18"/>
                <w:lang w:val="en-GB"/>
              </w:rPr>
              <w:t>FORMENTERA (CALA SAVINA)</w:t>
            </w:r>
          </w:p>
        </w:tc>
        <w:tc>
          <w:tcPr>
            <w:tcW w:w="1732" w:type="dxa"/>
            <w:noWrap/>
            <w:vAlign w:val="bottom"/>
            <w:hideMark/>
          </w:tcPr>
          <w:p w14:paraId="6800CA42"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150A2952" w14:textId="77777777" w:rsidTr="00BB4F69">
        <w:trPr>
          <w:trHeight w:val="300"/>
          <w:jc w:val="center"/>
        </w:trPr>
        <w:tc>
          <w:tcPr>
            <w:tcW w:w="4500" w:type="dxa"/>
            <w:noWrap/>
            <w:vAlign w:val="bottom"/>
            <w:hideMark/>
          </w:tcPr>
          <w:p w14:paraId="47BE9545" w14:textId="77777777" w:rsidR="00DF358A" w:rsidRPr="004E13E9" w:rsidRDefault="00DF358A" w:rsidP="00BB4F69">
            <w:pPr>
              <w:rPr>
                <w:sz w:val="18"/>
                <w:szCs w:val="18"/>
                <w:lang w:val="en-GB"/>
              </w:rPr>
            </w:pPr>
            <w:r w:rsidRPr="004E13E9">
              <w:rPr>
                <w:sz w:val="18"/>
                <w:szCs w:val="18"/>
                <w:lang w:val="en-GB"/>
              </w:rPr>
              <w:t>FORNELLS</w:t>
            </w:r>
          </w:p>
        </w:tc>
        <w:tc>
          <w:tcPr>
            <w:tcW w:w="1732" w:type="dxa"/>
            <w:noWrap/>
            <w:vAlign w:val="bottom"/>
            <w:hideMark/>
          </w:tcPr>
          <w:p w14:paraId="75714252"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0EFFE145" w14:textId="77777777" w:rsidTr="00BB4F69">
        <w:trPr>
          <w:trHeight w:val="300"/>
          <w:jc w:val="center"/>
        </w:trPr>
        <w:tc>
          <w:tcPr>
            <w:tcW w:w="4500" w:type="dxa"/>
            <w:noWrap/>
            <w:vAlign w:val="bottom"/>
            <w:hideMark/>
          </w:tcPr>
          <w:p w14:paraId="41DFE70F" w14:textId="77777777" w:rsidR="00DF358A" w:rsidRPr="004E13E9" w:rsidRDefault="00DF358A" w:rsidP="00BB4F69">
            <w:pPr>
              <w:rPr>
                <w:sz w:val="18"/>
                <w:szCs w:val="18"/>
                <w:lang w:val="en-GB"/>
              </w:rPr>
            </w:pPr>
            <w:r w:rsidRPr="004E13E9">
              <w:rPr>
                <w:sz w:val="18"/>
                <w:szCs w:val="18"/>
                <w:lang w:val="en-GB"/>
              </w:rPr>
              <w:t>FUENGIROLA</w:t>
            </w:r>
          </w:p>
        </w:tc>
        <w:tc>
          <w:tcPr>
            <w:tcW w:w="1732" w:type="dxa"/>
            <w:noWrap/>
            <w:vAlign w:val="bottom"/>
            <w:hideMark/>
          </w:tcPr>
          <w:p w14:paraId="45B01419"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6B9317F8" w14:textId="77777777" w:rsidTr="00BB4F69">
        <w:trPr>
          <w:trHeight w:val="300"/>
          <w:jc w:val="center"/>
        </w:trPr>
        <w:tc>
          <w:tcPr>
            <w:tcW w:w="4500" w:type="dxa"/>
            <w:noWrap/>
            <w:vAlign w:val="bottom"/>
            <w:hideMark/>
          </w:tcPr>
          <w:p w14:paraId="0971D3E9" w14:textId="77777777" w:rsidR="00DF358A" w:rsidRPr="004E13E9" w:rsidRDefault="00DF358A" w:rsidP="00BB4F69">
            <w:pPr>
              <w:rPr>
                <w:sz w:val="18"/>
                <w:szCs w:val="18"/>
                <w:lang w:val="en-GB"/>
              </w:rPr>
            </w:pPr>
            <w:r w:rsidRPr="004E13E9">
              <w:rPr>
                <w:sz w:val="18"/>
                <w:szCs w:val="18"/>
                <w:lang w:val="en-GB"/>
              </w:rPr>
              <w:t>GANDIA</w:t>
            </w:r>
          </w:p>
        </w:tc>
        <w:tc>
          <w:tcPr>
            <w:tcW w:w="1732" w:type="dxa"/>
            <w:noWrap/>
            <w:vAlign w:val="bottom"/>
            <w:hideMark/>
          </w:tcPr>
          <w:p w14:paraId="6EDB3BD4"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1C2E97E8" w14:textId="77777777" w:rsidTr="00BB4F69">
        <w:trPr>
          <w:trHeight w:val="300"/>
          <w:jc w:val="center"/>
        </w:trPr>
        <w:tc>
          <w:tcPr>
            <w:tcW w:w="4500" w:type="dxa"/>
            <w:noWrap/>
            <w:vAlign w:val="bottom"/>
            <w:hideMark/>
          </w:tcPr>
          <w:p w14:paraId="050B6AED" w14:textId="77777777" w:rsidR="00DF358A" w:rsidRPr="004E13E9" w:rsidRDefault="00DF358A" w:rsidP="00BB4F69">
            <w:pPr>
              <w:rPr>
                <w:sz w:val="18"/>
                <w:szCs w:val="18"/>
                <w:lang w:val="en-GB"/>
              </w:rPr>
            </w:pPr>
            <w:r w:rsidRPr="004E13E9">
              <w:rPr>
                <w:sz w:val="18"/>
                <w:szCs w:val="18"/>
                <w:lang w:val="en-GB"/>
              </w:rPr>
              <w:t>GIJON</w:t>
            </w:r>
          </w:p>
        </w:tc>
        <w:tc>
          <w:tcPr>
            <w:tcW w:w="1732" w:type="dxa"/>
            <w:noWrap/>
            <w:vAlign w:val="bottom"/>
            <w:hideMark/>
          </w:tcPr>
          <w:p w14:paraId="2211B3E2"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5E9704AA" w14:textId="77777777" w:rsidTr="00BB4F69">
        <w:trPr>
          <w:trHeight w:val="300"/>
          <w:jc w:val="center"/>
        </w:trPr>
        <w:tc>
          <w:tcPr>
            <w:tcW w:w="4500" w:type="dxa"/>
            <w:noWrap/>
            <w:vAlign w:val="bottom"/>
            <w:hideMark/>
          </w:tcPr>
          <w:p w14:paraId="4286589A" w14:textId="77777777" w:rsidR="00DF358A" w:rsidRPr="004E13E9" w:rsidRDefault="00DF358A" w:rsidP="00BB4F69">
            <w:pPr>
              <w:rPr>
                <w:sz w:val="18"/>
                <w:szCs w:val="18"/>
                <w:lang w:val="en-GB"/>
              </w:rPr>
            </w:pPr>
            <w:r w:rsidRPr="004E13E9">
              <w:rPr>
                <w:sz w:val="18"/>
                <w:szCs w:val="18"/>
                <w:lang w:val="en-GB"/>
              </w:rPr>
              <w:t>GRAN TARAJAL</w:t>
            </w:r>
          </w:p>
        </w:tc>
        <w:tc>
          <w:tcPr>
            <w:tcW w:w="1732" w:type="dxa"/>
            <w:noWrap/>
            <w:vAlign w:val="bottom"/>
            <w:hideMark/>
          </w:tcPr>
          <w:p w14:paraId="3701E410"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29816D4F" w14:textId="77777777" w:rsidTr="00BB4F69">
        <w:trPr>
          <w:trHeight w:val="300"/>
          <w:jc w:val="center"/>
        </w:trPr>
        <w:tc>
          <w:tcPr>
            <w:tcW w:w="4500" w:type="dxa"/>
            <w:noWrap/>
            <w:vAlign w:val="bottom"/>
            <w:hideMark/>
          </w:tcPr>
          <w:p w14:paraId="629AD934" w14:textId="77777777" w:rsidR="00DF358A" w:rsidRPr="004E13E9" w:rsidRDefault="00DF358A" w:rsidP="00BB4F69">
            <w:pPr>
              <w:rPr>
                <w:sz w:val="18"/>
                <w:szCs w:val="18"/>
                <w:lang w:val="en-GB"/>
              </w:rPr>
            </w:pPr>
            <w:r w:rsidRPr="004E13E9">
              <w:rPr>
                <w:sz w:val="18"/>
                <w:szCs w:val="18"/>
                <w:lang w:val="en-GB"/>
              </w:rPr>
              <w:t>GUETARIA</w:t>
            </w:r>
          </w:p>
        </w:tc>
        <w:tc>
          <w:tcPr>
            <w:tcW w:w="1732" w:type="dxa"/>
            <w:noWrap/>
            <w:vAlign w:val="bottom"/>
            <w:hideMark/>
          </w:tcPr>
          <w:p w14:paraId="698B8BDC"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4A1884AA" w14:textId="77777777" w:rsidTr="00BB4F69">
        <w:trPr>
          <w:trHeight w:val="300"/>
          <w:jc w:val="center"/>
        </w:trPr>
        <w:tc>
          <w:tcPr>
            <w:tcW w:w="4500" w:type="dxa"/>
            <w:noWrap/>
            <w:vAlign w:val="bottom"/>
            <w:hideMark/>
          </w:tcPr>
          <w:p w14:paraId="654B493D" w14:textId="77777777" w:rsidR="00DF358A" w:rsidRPr="004E13E9" w:rsidRDefault="00DF358A" w:rsidP="00BB4F69">
            <w:pPr>
              <w:rPr>
                <w:sz w:val="18"/>
                <w:szCs w:val="18"/>
                <w:lang w:val="en-GB"/>
              </w:rPr>
            </w:pPr>
            <w:r w:rsidRPr="004E13E9">
              <w:rPr>
                <w:sz w:val="18"/>
                <w:szCs w:val="18"/>
                <w:lang w:val="en-GB"/>
              </w:rPr>
              <w:t>HONDARRIBIA</w:t>
            </w:r>
          </w:p>
        </w:tc>
        <w:tc>
          <w:tcPr>
            <w:tcW w:w="1732" w:type="dxa"/>
            <w:noWrap/>
            <w:vAlign w:val="bottom"/>
            <w:hideMark/>
          </w:tcPr>
          <w:p w14:paraId="14458553"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52435623" w14:textId="77777777" w:rsidTr="00BB4F69">
        <w:trPr>
          <w:trHeight w:val="300"/>
          <w:jc w:val="center"/>
        </w:trPr>
        <w:tc>
          <w:tcPr>
            <w:tcW w:w="4500" w:type="dxa"/>
            <w:noWrap/>
            <w:vAlign w:val="bottom"/>
            <w:hideMark/>
          </w:tcPr>
          <w:p w14:paraId="29A63A7C" w14:textId="77777777" w:rsidR="00DF358A" w:rsidRPr="004E13E9" w:rsidRDefault="00DF358A" w:rsidP="00BB4F69">
            <w:pPr>
              <w:rPr>
                <w:sz w:val="18"/>
                <w:szCs w:val="18"/>
                <w:lang w:val="en-GB"/>
              </w:rPr>
            </w:pPr>
            <w:r w:rsidRPr="004E13E9">
              <w:rPr>
                <w:sz w:val="18"/>
                <w:szCs w:val="18"/>
                <w:lang w:val="en-GB"/>
              </w:rPr>
              <w:t>HUELVA</w:t>
            </w:r>
          </w:p>
        </w:tc>
        <w:tc>
          <w:tcPr>
            <w:tcW w:w="1732" w:type="dxa"/>
            <w:noWrap/>
            <w:vAlign w:val="bottom"/>
            <w:hideMark/>
          </w:tcPr>
          <w:p w14:paraId="691E80E2"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0DF6DD07" w14:textId="77777777" w:rsidTr="00BB4F69">
        <w:trPr>
          <w:trHeight w:val="300"/>
          <w:jc w:val="center"/>
        </w:trPr>
        <w:tc>
          <w:tcPr>
            <w:tcW w:w="4500" w:type="dxa"/>
            <w:noWrap/>
            <w:vAlign w:val="bottom"/>
            <w:hideMark/>
          </w:tcPr>
          <w:p w14:paraId="7C4C561A" w14:textId="77777777" w:rsidR="00DF358A" w:rsidRPr="004E13E9" w:rsidRDefault="00DF358A" w:rsidP="00BB4F69">
            <w:pPr>
              <w:rPr>
                <w:sz w:val="18"/>
                <w:szCs w:val="18"/>
                <w:lang w:val="en-GB"/>
              </w:rPr>
            </w:pPr>
            <w:r w:rsidRPr="004E13E9">
              <w:rPr>
                <w:sz w:val="18"/>
                <w:szCs w:val="18"/>
                <w:lang w:val="en-GB"/>
              </w:rPr>
              <w:t>IBIZA</w:t>
            </w:r>
          </w:p>
        </w:tc>
        <w:tc>
          <w:tcPr>
            <w:tcW w:w="1732" w:type="dxa"/>
            <w:noWrap/>
            <w:vAlign w:val="bottom"/>
            <w:hideMark/>
          </w:tcPr>
          <w:p w14:paraId="17901809"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2FB6CD07" w14:textId="77777777" w:rsidTr="00BB4F69">
        <w:trPr>
          <w:trHeight w:val="300"/>
          <w:jc w:val="center"/>
        </w:trPr>
        <w:tc>
          <w:tcPr>
            <w:tcW w:w="4500" w:type="dxa"/>
            <w:noWrap/>
            <w:vAlign w:val="bottom"/>
            <w:hideMark/>
          </w:tcPr>
          <w:p w14:paraId="5289FB28" w14:textId="77777777" w:rsidR="00DF358A" w:rsidRPr="004E13E9" w:rsidRDefault="00DF358A" w:rsidP="00BB4F69">
            <w:pPr>
              <w:rPr>
                <w:sz w:val="18"/>
                <w:szCs w:val="18"/>
                <w:lang w:val="en-GB"/>
              </w:rPr>
            </w:pPr>
            <w:r w:rsidRPr="004E13E9">
              <w:rPr>
                <w:sz w:val="18"/>
                <w:szCs w:val="18"/>
                <w:lang w:val="en-GB"/>
              </w:rPr>
              <w:t>JAVEA</w:t>
            </w:r>
          </w:p>
        </w:tc>
        <w:tc>
          <w:tcPr>
            <w:tcW w:w="1732" w:type="dxa"/>
            <w:noWrap/>
            <w:vAlign w:val="bottom"/>
            <w:hideMark/>
          </w:tcPr>
          <w:p w14:paraId="12750E6B"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3A45A0F1" w14:textId="77777777" w:rsidTr="00BB4F69">
        <w:trPr>
          <w:trHeight w:val="300"/>
          <w:jc w:val="center"/>
        </w:trPr>
        <w:tc>
          <w:tcPr>
            <w:tcW w:w="4500" w:type="dxa"/>
            <w:noWrap/>
            <w:vAlign w:val="bottom"/>
            <w:hideMark/>
          </w:tcPr>
          <w:p w14:paraId="12E45B30" w14:textId="77777777" w:rsidR="00DF358A" w:rsidRPr="004E13E9" w:rsidRDefault="00DF358A" w:rsidP="00BB4F69">
            <w:pPr>
              <w:rPr>
                <w:sz w:val="18"/>
                <w:szCs w:val="18"/>
                <w:lang w:val="en-GB"/>
              </w:rPr>
            </w:pPr>
            <w:r w:rsidRPr="004E13E9">
              <w:rPr>
                <w:rFonts w:eastAsia="Times New Roman"/>
                <w:sz w:val="18"/>
                <w:szCs w:val="18"/>
                <w:lang w:val="en-GB" w:eastAsia="en-GB"/>
              </w:rPr>
              <w:t>L'AMETLLA DE MAR</w:t>
            </w:r>
          </w:p>
        </w:tc>
        <w:tc>
          <w:tcPr>
            <w:tcW w:w="1732" w:type="dxa"/>
            <w:noWrap/>
            <w:vAlign w:val="bottom"/>
            <w:hideMark/>
          </w:tcPr>
          <w:p w14:paraId="5D8B0B84"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711197F8" w14:textId="77777777" w:rsidTr="00BB4F69">
        <w:trPr>
          <w:trHeight w:val="300"/>
          <w:jc w:val="center"/>
        </w:trPr>
        <w:tc>
          <w:tcPr>
            <w:tcW w:w="4500" w:type="dxa"/>
            <w:noWrap/>
            <w:vAlign w:val="bottom"/>
            <w:hideMark/>
          </w:tcPr>
          <w:p w14:paraId="1C3C1D29" w14:textId="77777777" w:rsidR="00DF358A" w:rsidRPr="004E13E9" w:rsidRDefault="00DF358A" w:rsidP="00BB4F69">
            <w:pPr>
              <w:rPr>
                <w:sz w:val="18"/>
                <w:szCs w:val="18"/>
                <w:lang w:val="en-GB"/>
              </w:rPr>
            </w:pPr>
            <w:r w:rsidRPr="004E13E9">
              <w:rPr>
                <w:sz w:val="18"/>
                <w:szCs w:val="18"/>
                <w:lang w:val="en-GB"/>
              </w:rPr>
              <w:t>LA ESCALA</w:t>
            </w:r>
          </w:p>
        </w:tc>
        <w:tc>
          <w:tcPr>
            <w:tcW w:w="1732" w:type="dxa"/>
            <w:noWrap/>
            <w:vAlign w:val="bottom"/>
            <w:hideMark/>
          </w:tcPr>
          <w:p w14:paraId="49377F0B"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32E80C40" w14:textId="77777777" w:rsidTr="00BB4F69">
        <w:trPr>
          <w:trHeight w:val="300"/>
          <w:jc w:val="center"/>
        </w:trPr>
        <w:tc>
          <w:tcPr>
            <w:tcW w:w="4500" w:type="dxa"/>
            <w:noWrap/>
            <w:vAlign w:val="bottom"/>
            <w:hideMark/>
          </w:tcPr>
          <w:p w14:paraId="4AFFF02A" w14:textId="77777777" w:rsidR="00DF358A" w:rsidRPr="004E13E9" w:rsidRDefault="00DF358A" w:rsidP="00BB4F69">
            <w:pPr>
              <w:rPr>
                <w:sz w:val="18"/>
                <w:szCs w:val="18"/>
                <w:lang w:val="en-GB"/>
              </w:rPr>
            </w:pPr>
            <w:r w:rsidRPr="004E13E9">
              <w:rPr>
                <w:sz w:val="18"/>
                <w:szCs w:val="18"/>
                <w:lang w:val="en-GB"/>
              </w:rPr>
              <w:t>LA RESTINGA</w:t>
            </w:r>
          </w:p>
        </w:tc>
        <w:tc>
          <w:tcPr>
            <w:tcW w:w="1732" w:type="dxa"/>
            <w:noWrap/>
            <w:vAlign w:val="bottom"/>
            <w:hideMark/>
          </w:tcPr>
          <w:p w14:paraId="57AD6AD3"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7BE7D01D" w14:textId="77777777" w:rsidTr="00BB4F69">
        <w:trPr>
          <w:trHeight w:val="300"/>
          <w:jc w:val="center"/>
        </w:trPr>
        <w:tc>
          <w:tcPr>
            <w:tcW w:w="4500" w:type="dxa"/>
            <w:noWrap/>
            <w:vAlign w:val="bottom"/>
            <w:hideMark/>
          </w:tcPr>
          <w:p w14:paraId="0B2AC6CC" w14:textId="77777777" w:rsidR="00DF358A" w:rsidRPr="004E13E9" w:rsidRDefault="00DF358A" w:rsidP="00BB4F69">
            <w:pPr>
              <w:rPr>
                <w:sz w:val="18"/>
                <w:szCs w:val="18"/>
                <w:lang w:val="es-ES"/>
              </w:rPr>
            </w:pPr>
            <w:r w:rsidRPr="004E13E9">
              <w:rPr>
                <w:sz w:val="18"/>
                <w:szCs w:val="18"/>
                <w:lang w:val="es-ES"/>
              </w:rPr>
              <w:t>LA TIÑOSA - PUERTO DEL CARMEN</w:t>
            </w:r>
          </w:p>
        </w:tc>
        <w:tc>
          <w:tcPr>
            <w:tcW w:w="1732" w:type="dxa"/>
            <w:noWrap/>
            <w:vAlign w:val="bottom"/>
            <w:hideMark/>
          </w:tcPr>
          <w:p w14:paraId="031947E5"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21221B54" w14:textId="77777777" w:rsidTr="00BB4F69">
        <w:trPr>
          <w:trHeight w:val="300"/>
          <w:jc w:val="center"/>
        </w:trPr>
        <w:tc>
          <w:tcPr>
            <w:tcW w:w="4500" w:type="dxa"/>
            <w:noWrap/>
            <w:vAlign w:val="bottom"/>
            <w:hideMark/>
          </w:tcPr>
          <w:p w14:paraId="0727E406" w14:textId="77777777" w:rsidR="00DF358A" w:rsidRPr="004E13E9" w:rsidRDefault="00DF358A" w:rsidP="00BB4F69">
            <w:pPr>
              <w:rPr>
                <w:sz w:val="18"/>
                <w:szCs w:val="18"/>
                <w:lang w:val="en-GB"/>
              </w:rPr>
            </w:pPr>
            <w:r w:rsidRPr="004E13E9">
              <w:rPr>
                <w:sz w:val="18"/>
                <w:szCs w:val="18"/>
                <w:lang w:val="en-GB"/>
              </w:rPr>
              <w:t>LAREDO</w:t>
            </w:r>
          </w:p>
        </w:tc>
        <w:tc>
          <w:tcPr>
            <w:tcW w:w="1732" w:type="dxa"/>
            <w:noWrap/>
            <w:vAlign w:val="bottom"/>
            <w:hideMark/>
          </w:tcPr>
          <w:p w14:paraId="20636B8F"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2207DE86" w14:textId="77777777" w:rsidTr="00BB4F69">
        <w:trPr>
          <w:trHeight w:val="300"/>
          <w:jc w:val="center"/>
        </w:trPr>
        <w:tc>
          <w:tcPr>
            <w:tcW w:w="4500" w:type="dxa"/>
            <w:noWrap/>
            <w:vAlign w:val="bottom"/>
            <w:hideMark/>
          </w:tcPr>
          <w:p w14:paraId="347F18D8" w14:textId="77777777" w:rsidR="00DF358A" w:rsidRPr="004E13E9" w:rsidRDefault="00DF358A" w:rsidP="00BB4F69">
            <w:pPr>
              <w:rPr>
                <w:sz w:val="18"/>
                <w:szCs w:val="18"/>
                <w:lang w:val="en-GB"/>
              </w:rPr>
            </w:pPr>
            <w:r w:rsidRPr="004E13E9">
              <w:rPr>
                <w:sz w:val="18"/>
                <w:szCs w:val="18"/>
                <w:lang w:val="en-GB"/>
              </w:rPr>
              <w:t>LAS PALMAS</w:t>
            </w:r>
          </w:p>
        </w:tc>
        <w:tc>
          <w:tcPr>
            <w:tcW w:w="1732" w:type="dxa"/>
            <w:noWrap/>
            <w:vAlign w:val="bottom"/>
            <w:hideMark/>
          </w:tcPr>
          <w:p w14:paraId="0AE8DA35"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37381A57" w14:textId="77777777" w:rsidTr="00BB4F69">
        <w:trPr>
          <w:trHeight w:val="300"/>
          <w:jc w:val="center"/>
        </w:trPr>
        <w:tc>
          <w:tcPr>
            <w:tcW w:w="4500" w:type="dxa"/>
            <w:noWrap/>
            <w:vAlign w:val="bottom"/>
            <w:hideMark/>
          </w:tcPr>
          <w:p w14:paraId="22F08828" w14:textId="77777777" w:rsidR="00DF358A" w:rsidRPr="004E13E9" w:rsidRDefault="00DF358A" w:rsidP="00BB4F69">
            <w:pPr>
              <w:rPr>
                <w:sz w:val="18"/>
                <w:szCs w:val="18"/>
                <w:lang w:val="en-GB"/>
              </w:rPr>
            </w:pPr>
            <w:r w:rsidRPr="004E13E9">
              <w:rPr>
                <w:sz w:val="18"/>
                <w:szCs w:val="18"/>
                <w:lang w:val="en-GB"/>
              </w:rPr>
              <w:t>LLANSA</w:t>
            </w:r>
          </w:p>
        </w:tc>
        <w:tc>
          <w:tcPr>
            <w:tcW w:w="1732" w:type="dxa"/>
            <w:noWrap/>
            <w:vAlign w:val="bottom"/>
            <w:hideMark/>
          </w:tcPr>
          <w:p w14:paraId="00A43955"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725BCCDB" w14:textId="77777777" w:rsidTr="00BB4F69">
        <w:trPr>
          <w:trHeight w:val="300"/>
          <w:jc w:val="center"/>
        </w:trPr>
        <w:tc>
          <w:tcPr>
            <w:tcW w:w="4500" w:type="dxa"/>
            <w:noWrap/>
            <w:vAlign w:val="bottom"/>
            <w:hideMark/>
          </w:tcPr>
          <w:p w14:paraId="7E5758BD" w14:textId="77777777" w:rsidR="00DF358A" w:rsidRPr="004E13E9" w:rsidRDefault="00DF358A" w:rsidP="00BB4F69">
            <w:pPr>
              <w:rPr>
                <w:sz w:val="18"/>
                <w:szCs w:val="18"/>
                <w:lang w:val="en-GB"/>
              </w:rPr>
            </w:pPr>
            <w:r w:rsidRPr="004E13E9">
              <w:rPr>
                <w:sz w:val="18"/>
                <w:szCs w:val="18"/>
                <w:lang w:val="en-GB"/>
              </w:rPr>
              <w:t>LOS CRISTIANOS</w:t>
            </w:r>
          </w:p>
        </w:tc>
        <w:tc>
          <w:tcPr>
            <w:tcW w:w="1732" w:type="dxa"/>
            <w:noWrap/>
            <w:vAlign w:val="bottom"/>
            <w:hideMark/>
          </w:tcPr>
          <w:p w14:paraId="77F44DDB"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55BB98D9" w14:textId="77777777" w:rsidTr="00BB4F69">
        <w:trPr>
          <w:trHeight w:val="300"/>
          <w:jc w:val="center"/>
        </w:trPr>
        <w:tc>
          <w:tcPr>
            <w:tcW w:w="4500" w:type="dxa"/>
            <w:noWrap/>
            <w:vAlign w:val="bottom"/>
            <w:hideMark/>
          </w:tcPr>
          <w:p w14:paraId="46CEE8F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L´ESTARTIT</w:t>
            </w:r>
          </w:p>
        </w:tc>
        <w:tc>
          <w:tcPr>
            <w:tcW w:w="1732" w:type="dxa"/>
            <w:noWrap/>
            <w:vAlign w:val="bottom"/>
            <w:hideMark/>
          </w:tcPr>
          <w:p w14:paraId="0ACC2BD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EU-España</w:t>
            </w:r>
          </w:p>
        </w:tc>
      </w:tr>
      <w:tr w:rsidR="00DF358A" w:rsidRPr="004E13E9" w14:paraId="6C2363E3" w14:textId="77777777" w:rsidTr="00BB4F69">
        <w:trPr>
          <w:trHeight w:val="300"/>
          <w:jc w:val="center"/>
        </w:trPr>
        <w:tc>
          <w:tcPr>
            <w:tcW w:w="4500" w:type="dxa"/>
            <w:noWrap/>
            <w:vAlign w:val="bottom"/>
            <w:hideMark/>
          </w:tcPr>
          <w:p w14:paraId="18E39553" w14:textId="77777777" w:rsidR="00DF358A" w:rsidRPr="004E13E9" w:rsidRDefault="00DF358A" w:rsidP="00BB4F69">
            <w:pPr>
              <w:rPr>
                <w:sz w:val="18"/>
                <w:szCs w:val="18"/>
                <w:lang w:val="en-GB"/>
              </w:rPr>
            </w:pPr>
            <w:r w:rsidRPr="004E13E9">
              <w:rPr>
                <w:sz w:val="18"/>
                <w:szCs w:val="18"/>
                <w:lang w:val="en-GB"/>
              </w:rPr>
              <w:t>MAHON</w:t>
            </w:r>
          </w:p>
        </w:tc>
        <w:tc>
          <w:tcPr>
            <w:tcW w:w="1732" w:type="dxa"/>
            <w:noWrap/>
            <w:vAlign w:val="bottom"/>
            <w:hideMark/>
          </w:tcPr>
          <w:p w14:paraId="6DE4587B"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76B557AE" w14:textId="77777777" w:rsidTr="00BB4F69">
        <w:trPr>
          <w:trHeight w:val="300"/>
          <w:jc w:val="center"/>
        </w:trPr>
        <w:tc>
          <w:tcPr>
            <w:tcW w:w="4500" w:type="dxa"/>
            <w:noWrap/>
            <w:vAlign w:val="bottom"/>
            <w:hideMark/>
          </w:tcPr>
          <w:p w14:paraId="24BBE963" w14:textId="77777777" w:rsidR="00DF358A" w:rsidRPr="004E13E9" w:rsidRDefault="00DF358A" w:rsidP="00BB4F69">
            <w:pPr>
              <w:rPr>
                <w:sz w:val="18"/>
                <w:szCs w:val="18"/>
                <w:lang w:val="en-GB"/>
              </w:rPr>
            </w:pPr>
            <w:r w:rsidRPr="004E13E9">
              <w:rPr>
                <w:sz w:val="18"/>
                <w:szCs w:val="18"/>
                <w:lang w:val="en-GB"/>
              </w:rPr>
              <w:t>MARBELLA</w:t>
            </w:r>
          </w:p>
        </w:tc>
        <w:tc>
          <w:tcPr>
            <w:tcW w:w="1732" w:type="dxa"/>
            <w:noWrap/>
            <w:vAlign w:val="bottom"/>
            <w:hideMark/>
          </w:tcPr>
          <w:p w14:paraId="57F5406C"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6A9B7861" w14:textId="77777777" w:rsidTr="00BB4F69">
        <w:trPr>
          <w:trHeight w:val="300"/>
          <w:jc w:val="center"/>
        </w:trPr>
        <w:tc>
          <w:tcPr>
            <w:tcW w:w="4500" w:type="dxa"/>
            <w:noWrap/>
            <w:vAlign w:val="bottom"/>
            <w:hideMark/>
          </w:tcPr>
          <w:p w14:paraId="25F1B65C" w14:textId="77777777" w:rsidR="00DF358A" w:rsidRPr="004E13E9" w:rsidRDefault="00DF358A" w:rsidP="00BB4F69">
            <w:pPr>
              <w:rPr>
                <w:sz w:val="18"/>
                <w:szCs w:val="18"/>
                <w:lang w:val="en-GB"/>
              </w:rPr>
            </w:pPr>
            <w:r w:rsidRPr="004E13E9">
              <w:rPr>
                <w:sz w:val="18"/>
                <w:szCs w:val="18"/>
                <w:lang w:val="en-GB"/>
              </w:rPr>
              <w:t>MAZARRON</w:t>
            </w:r>
          </w:p>
        </w:tc>
        <w:tc>
          <w:tcPr>
            <w:tcW w:w="1732" w:type="dxa"/>
            <w:noWrap/>
            <w:vAlign w:val="bottom"/>
            <w:hideMark/>
          </w:tcPr>
          <w:p w14:paraId="44ED9C8C"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7134D096" w14:textId="77777777" w:rsidTr="00BB4F69">
        <w:trPr>
          <w:trHeight w:val="300"/>
          <w:jc w:val="center"/>
        </w:trPr>
        <w:tc>
          <w:tcPr>
            <w:tcW w:w="4500" w:type="dxa"/>
            <w:noWrap/>
            <w:vAlign w:val="bottom"/>
            <w:hideMark/>
          </w:tcPr>
          <w:p w14:paraId="6966130D" w14:textId="77777777" w:rsidR="00DF358A" w:rsidRPr="004E13E9" w:rsidRDefault="00DF358A" w:rsidP="00BB4F69">
            <w:pPr>
              <w:rPr>
                <w:sz w:val="18"/>
                <w:szCs w:val="18"/>
                <w:lang w:val="en-GB"/>
              </w:rPr>
            </w:pPr>
            <w:r w:rsidRPr="004E13E9">
              <w:rPr>
                <w:sz w:val="18"/>
                <w:szCs w:val="18"/>
                <w:lang w:val="en-GB"/>
              </w:rPr>
              <w:t>MOGAN</w:t>
            </w:r>
          </w:p>
        </w:tc>
        <w:tc>
          <w:tcPr>
            <w:tcW w:w="1732" w:type="dxa"/>
            <w:noWrap/>
            <w:vAlign w:val="bottom"/>
            <w:hideMark/>
          </w:tcPr>
          <w:p w14:paraId="0BF5D68F"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1093B896" w14:textId="77777777" w:rsidTr="00BB4F69">
        <w:trPr>
          <w:trHeight w:val="300"/>
          <w:jc w:val="center"/>
        </w:trPr>
        <w:tc>
          <w:tcPr>
            <w:tcW w:w="4500" w:type="dxa"/>
            <w:noWrap/>
            <w:vAlign w:val="bottom"/>
            <w:hideMark/>
          </w:tcPr>
          <w:p w14:paraId="123303E1" w14:textId="77777777" w:rsidR="00DF358A" w:rsidRPr="004E13E9" w:rsidRDefault="00DF358A" w:rsidP="00BB4F69">
            <w:pPr>
              <w:rPr>
                <w:sz w:val="18"/>
                <w:szCs w:val="18"/>
                <w:lang w:val="en-GB"/>
              </w:rPr>
            </w:pPr>
            <w:r w:rsidRPr="004E13E9">
              <w:rPr>
                <w:sz w:val="18"/>
                <w:szCs w:val="18"/>
                <w:lang w:val="en-GB"/>
              </w:rPr>
              <w:t>MORRO JABLE</w:t>
            </w:r>
          </w:p>
        </w:tc>
        <w:tc>
          <w:tcPr>
            <w:tcW w:w="1732" w:type="dxa"/>
            <w:noWrap/>
            <w:vAlign w:val="bottom"/>
            <w:hideMark/>
          </w:tcPr>
          <w:p w14:paraId="4A288C1B"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6D19CB4E" w14:textId="77777777" w:rsidTr="00BB4F69">
        <w:trPr>
          <w:trHeight w:val="300"/>
          <w:jc w:val="center"/>
        </w:trPr>
        <w:tc>
          <w:tcPr>
            <w:tcW w:w="4500" w:type="dxa"/>
            <w:noWrap/>
            <w:vAlign w:val="bottom"/>
            <w:hideMark/>
          </w:tcPr>
          <w:p w14:paraId="0E1CFEA1" w14:textId="77777777" w:rsidR="00DF358A" w:rsidRPr="004E13E9" w:rsidRDefault="00DF358A" w:rsidP="00BB4F69">
            <w:pPr>
              <w:rPr>
                <w:sz w:val="18"/>
                <w:szCs w:val="18"/>
                <w:lang w:val="en-GB"/>
              </w:rPr>
            </w:pPr>
            <w:r w:rsidRPr="004E13E9">
              <w:rPr>
                <w:sz w:val="18"/>
                <w:szCs w:val="18"/>
                <w:lang w:val="en-GB"/>
              </w:rPr>
              <w:t>MOTRIL</w:t>
            </w:r>
          </w:p>
        </w:tc>
        <w:tc>
          <w:tcPr>
            <w:tcW w:w="1732" w:type="dxa"/>
            <w:noWrap/>
            <w:vAlign w:val="bottom"/>
            <w:hideMark/>
          </w:tcPr>
          <w:p w14:paraId="09611971"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0E0CBE83" w14:textId="77777777" w:rsidTr="00BB4F69">
        <w:trPr>
          <w:trHeight w:val="300"/>
          <w:jc w:val="center"/>
        </w:trPr>
        <w:tc>
          <w:tcPr>
            <w:tcW w:w="4500" w:type="dxa"/>
            <w:noWrap/>
            <w:vAlign w:val="bottom"/>
            <w:hideMark/>
          </w:tcPr>
          <w:p w14:paraId="11996593" w14:textId="77777777" w:rsidR="00DF358A" w:rsidRPr="004E13E9" w:rsidRDefault="00DF358A" w:rsidP="00BB4F69">
            <w:pPr>
              <w:rPr>
                <w:sz w:val="18"/>
                <w:szCs w:val="18"/>
                <w:lang w:val="en-GB"/>
              </w:rPr>
            </w:pPr>
            <w:r w:rsidRPr="004E13E9">
              <w:rPr>
                <w:sz w:val="18"/>
                <w:szCs w:val="18"/>
                <w:lang w:val="en-GB"/>
              </w:rPr>
              <w:t>ONDARROA</w:t>
            </w:r>
          </w:p>
        </w:tc>
        <w:tc>
          <w:tcPr>
            <w:tcW w:w="1732" w:type="dxa"/>
            <w:noWrap/>
            <w:vAlign w:val="bottom"/>
            <w:hideMark/>
          </w:tcPr>
          <w:p w14:paraId="44DA8428"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203E7BF2" w14:textId="77777777" w:rsidTr="00BB4F69">
        <w:trPr>
          <w:trHeight w:val="300"/>
          <w:jc w:val="center"/>
        </w:trPr>
        <w:tc>
          <w:tcPr>
            <w:tcW w:w="4500" w:type="dxa"/>
            <w:noWrap/>
            <w:vAlign w:val="bottom"/>
            <w:hideMark/>
          </w:tcPr>
          <w:p w14:paraId="19F5621D" w14:textId="77777777" w:rsidR="00DF358A" w:rsidRPr="004E13E9" w:rsidRDefault="00DF358A" w:rsidP="00BB4F69">
            <w:pPr>
              <w:rPr>
                <w:sz w:val="18"/>
                <w:szCs w:val="18"/>
                <w:lang w:val="en-GB"/>
              </w:rPr>
            </w:pPr>
            <w:r w:rsidRPr="004E13E9">
              <w:rPr>
                <w:sz w:val="18"/>
                <w:szCs w:val="18"/>
                <w:lang w:val="en-GB"/>
              </w:rPr>
              <w:t>ORZOLA</w:t>
            </w:r>
          </w:p>
        </w:tc>
        <w:tc>
          <w:tcPr>
            <w:tcW w:w="1732" w:type="dxa"/>
            <w:noWrap/>
            <w:vAlign w:val="bottom"/>
            <w:hideMark/>
          </w:tcPr>
          <w:p w14:paraId="75C1A0B0"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4EC2BAD7" w14:textId="77777777" w:rsidTr="00BB4F69">
        <w:trPr>
          <w:trHeight w:val="300"/>
          <w:jc w:val="center"/>
        </w:trPr>
        <w:tc>
          <w:tcPr>
            <w:tcW w:w="4500" w:type="dxa"/>
            <w:noWrap/>
            <w:vAlign w:val="bottom"/>
            <w:hideMark/>
          </w:tcPr>
          <w:p w14:paraId="1825BE12" w14:textId="77777777" w:rsidR="00DF358A" w:rsidRPr="004E13E9" w:rsidRDefault="00DF358A" w:rsidP="00BB4F69">
            <w:pPr>
              <w:rPr>
                <w:sz w:val="18"/>
                <w:szCs w:val="18"/>
                <w:lang w:val="en-GB"/>
              </w:rPr>
            </w:pPr>
            <w:r w:rsidRPr="004E13E9">
              <w:rPr>
                <w:sz w:val="18"/>
                <w:szCs w:val="18"/>
                <w:lang w:val="en-GB"/>
              </w:rPr>
              <w:t>PALAMOS</w:t>
            </w:r>
          </w:p>
        </w:tc>
        <w:tc>
          <w:tcPr>
            <w:tcW w:w="1732" w:type="dxa"/>
            <w:noWrap/>
            <w:vAlign w:val="bottom"/>
            <w:hideMark/>
          </w:tcPr>
          <w:p w14:paraId="7AF97321"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26E16FE9" w14:textId="77777777" w:rsidTr="00BB4F69">
        <w:trPr>
          <w:trHeight w:val="300"/>
          <w:jc w:val="center"/>
        </w:trPr>
        <w:tc>
          <w:tcPr>
            <w:tcW w:w="4500" w:type="dxa"/>
            <w:noWrap/>
            <w:vAlign w:val="bottom"/>
            <w:hideMark/>
          </w:tcPr>
          <w:p w14:paraId="1F869BB4" w14:textId="77777777" w:rsidR="00DF358A" w:rsidRPr="004E13E9" w:rsidRDefault="00DF358A" w:rsidP="00BB4F69">
            <w:pPr>
              <w:rPr>
                <w:sz w:val="18"/>
                <w:szCs w:val="18"/>
                <w:lang w:val="en-GB"/>
              </w:rPr>
            </w:pPr>
            <w:r w:rsidRPr="004E13E9">
              <w:rPr>
                <w:sz w:val="18"/>
                <w:szCs w:val="18"/>
                <w:lang w:val="en-GB"/>
              </w:rPr>
              <w:t>PALMA DE MALLORCA</w:t>
            </w:r>
          </w:p>
        </w:tc>
        <w:tc>
          <w:tcPr>
            <w:tcW w:w="1732" w:type="dxa"/>
            <w:noWrap/>
            <w:vAlign w:val="bottom"/>
            <w:hideMark/>
          </w:tcPr>
          <w:p w14:paraId="0A101AD1"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31F2B456" w14:textId="77777777" w:rsidTr="00BB4F69">
        <w:trPr>
          <w:trHeight w:val="300"/>
          <w:jc w:val="center"/>
        </w:trPr>
        <w:tc>
          <w:tcPr>
            <w:tcW w:w="4500" w:type="dxa"/>
            <w:noWrap/>
            <w:vAlign w:val="bottom"/>
            <w:hideMark/>
          </w:tcPr>
          <w:p w14:paraId="318F0906" w14:textId="77777777" w:rsidR="00DF358A" w:rsidRPr="004E13E9" w:rsidRDefault="00DF358A" w:rsidP="00BB4F69">
            <w:pPr>
              <w:rPr>
                <w:sz w:val="18"/>
                <w:szCs w:val="18"/>
                <w:lang w:val="en-GB"/>
              </w:rPr>
            </w:pPr>
            <w:r w:rsidRPr="004E13E9">
              <w:rPr>
                <w:sz w:val="18"/>
                <w:szCs w:val="18"/>
                <w:lang w:val="en-GB"/>
              </w:rPr>
              <w:t>PASAJES</w:t>
            </w:r>
          </w:p>
        </w:tc>
        <w:tc>
          <w:tcPr>
            <w:tcW w:w="1732" w:type="dxa"/>
            <w:noWrap/>
            <w:vAlign w:val="bottom"/>
            <w:hideMark/>
          </w:tcPr>
          <w:p w14:paraId="5759FAAD"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314351DC" w14:textId="77777777" w:rsidTr="00BB4F69">
        <w:trPr>
          <w:trHeight w:val="300"/>
          <w:jc w:val="center"/>
        </w:trPr>
        <w:tc>
          <w:tcPr>
            <w:tcW w:w="4500" w:type="dxa"/>
            <w:noWrap/>
            <w:vAlign w:val="bottom"/>
            <w:hideMark/>
          </w:tcPr>
          <w:p w14:paraId="46FD19E3" w14:textId="77777777" w:rsidR="00DF358A" w:rsidRPr="004E13E9" w:rsidRDefault="00DF358A" w:rsidP="00BB4F69">
            <w:pPr>
              <w:rPr>
                <w:sz w:val="18"/>
                <w:szCs w:val="18"/>
                <w:lang w:val="en-GB"/>
              </w:rPr>
            </w:pPr>
            <w:r w:rsidRPr="004E13E9">
              <w:rPr>
                <w:sz w:val="18"/>
                <w:szCs w:val="18"/>
                <w:lang w:val="en-GB"/>
              </w:rPr>
              <w:t>PEÑISCOLA</w:t>
            </w:r>
          </w:p>
        </w:tc>
        <w:tc>
          <w:tcPr>
            <w:tcW w:w="1732" w:type="dxa"/>
            <w:noWrap/>
            <w:vAlign w:val="bottom"/>
            <w:hideMark/>
          </w:tcPr>
          <w:p w14:paraId="76D700B7"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13325452" w14:textId="77777777" w:rsidTr="00BB4F69">
        <w:trPr>
          <w:trHeight w:val="300"/>
          <w:jc w:val="center"/>
        </w:trPr>
        <w:tc>
          <w:tcPr>
            <w:tcW w:w="4500" w:type="dxa"/>
            <w:noWrap/>
            <w:vAlign w:val="bottom"/>
            <w:hideMark/>
          </w:tcPr>
          <w:p w14:paraId="7EA8359E" w14:textId="77777777" w:rsidR="00DF358A" w:rsidRPr="004E13E9" w:rsidRDefault="00DF358A" w:rsidP="00BB4F69">
            <w:pPr>
              <w:rPr>
                <w:sz w:val="18"/>
                <w:szCs w:val="18"/>
                <w:lang w:val="en-GB"/>
              </w:rPr>
            </w:pPr>
            <w:r w:rsidRPr="004E13E9">
              <w:rPr>
                <w:sz w:val="18"/>
                <w:szCs w:val="18"/>
                <w:lang w:val="en-GB"/>
              </w:rPr>
              <w:t>PLAYA DE SANTIAGO (GOMERA)</w:t>
            </w:r>
          </w:p>
        </w:tc>
        <w:tc>
          <w:tcPr>
            <w:tcW w:w="1732" w:type="dxa"/>
            <w:noWrap/>
            <w:vAlign w:val="bottom"/>
            <w:hideMark/>
          </w:tcPr>
          <w:p w14:paraId="161DE04B"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580360F2" w14:textId="77777777" w:rsidTr="00BB4F69">
        <w:trPr>
          <w:trHeight w:val="300"/>
          <w:jc w:val="center"/>
        </w:trPr>
        <w:tc>
          <w:tcPr>
            <w:tcW w:w="4500" w:type="dxa"/>
            <w:noWrap/>
            <w:vAlign w:val="bottom"/>
            <w:hideMark/>
          </w:tcPr>
          <w:p w14:paraId="0CD994AD" w14:textId="77777777" w:rsidR="00DF358A" w:rsidRPr="004E13E9" w:rsidRDefault="00DF358A" w:rsidP="00BB4F69">
            <w:pPr>
              <w:rPr>
                <w:sz w:val="18"/>
                <w:szCs w:val="18"/>
                <w:lang w:val="es-ES"/>
              </w:rPr>
            </w:pPr>
            <w:r w:rsidRPr="004E13E9">
              <w:rPr>
                <w:sz w:val="18"/>
                <w:szCs w:val="18"/>
                <w:lang w:val="es-ES"/>
              </w:rPr>
              <w:t>PLAYA SAN JUAN - GUIA ISORA</w:t>
            </w:r>
          </w:p>
        </w:tc>
        <w:tc>
          <w:tcPr>
            <w:tcW w:w="1732" w:type="dxa"/>
            <w:noWrap/>
            <w:vAlign w:val="bottom"/>
            <w:hideMark/>
          </w:tcPr>
          <w:p w14:paraId="12295DE2"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5D5441B9" w14:textId="77777777" w:rsidTr="00BB4F69">
        <w:trPr>
          <w:trHeight w:val="300"/>
          <w:jc w:val="center"/>
        </w:trPr>
        <w:tc>
          <w:tcPr>
            <w:tcW w:w="4500" w:type="dxa"/>
            <w:noWrap/>
            <w:vAlign w:val="bottom"/>
            <w:hideMark/>
          </w:tcPr>
          <w:p w14:paraId="14AB0673" w14:textId="77777777" w:rsidR="00DF358A" w:rsidRPr="004E13E9" w:rsidRDefault="00DF358A" w:rsidP="00BB4F69">
            <w:pPr>
              <w:rPr>
                <w:sz w:val="18"/>
                <w:szCs w:val="18"/>
                <w:lang w:val="en-GB"/>
              </w:rPr>
            </w:pPr>
            <w:r w:rsidRPr="004E13E9">
              <w:rPr>
                <w:sz w:val="18"/>
                <w:szCs w:val="18"/>
                <w:lang w:val="en-GB"/>
              </w:rPr>
              <w:t>POLLENSA</w:t>
            </w:r>
          </w:p>
        </w:tc>
        <w:tc>
          <w:tcPr>
            <w:tcW w:w="1732" w:type="dxa"/>
            <w:noWrap/>
            <w:vAlign w:val="bottom"/>
            <w:hideMark/>
          </w:tcPr>
          <w:p w14:paraId="002317CA"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5CAED4FF" w14:textId="77777777" w:rsidTr="00BB4F69">
        <w:trPr>
          <w:trHeight w:val="300"/>
          <w:jc w:val="center"/>
        </w:trPr>
        <w:tc>
          <w:tcPr>
            <w:tcW w:w="4500" w:type="dxa"/>
            <w:noWrap/>
            <w:vAlign w:val="bottom"/>
            <w:hideMark/>
          </w:tcPr>
          <w:p w14:paraId="046A4FE5" w14:textId="77777777" w:rsidR="00DF358A" w:rsidRPr="004E13E9" w:rsidRDefault="00DF358A" w:rsidP="00BB4F69">
            <w:pPr>
              <w:rPr>
                <w:sz w:val="18"/>
                <w:szCs w:val="18"/>
                <w:lang w:val="en-GB"/>
              </w:rPr>
            </w:pPr>
            <w:r w:rsidRPr="004E13E9">
              <w:rPr>
                <w:sz w:val="18"/>
                <w:szCs w:val="18"/>
                <w:lang w:val="en-GB"/>
              </w:rPr>
              <w:t>PORT DE LA SELVA</w:t>
            </w:r>
          </w:p>
        </w:tc>
        <w:tc>
          <w:tcPr>
            <w:tcW w:w="1732" w:type="dxa"/>
            <w:noWrap/>
            <w:vAlign w:val="bottom"/>
            <w:hideMark/>
          </w:tcPr>
          <w:p w14:paraId="7D87C573"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2A0EADFB" w14:textId="77777777" w:rsidTr="00BB4F69">
        <w:trPr>
          <w:trHeight w:val="300"/>
          <w:jc w:val="center"/>
        </w:trPr>
        <w:tc>
          <w:tcPr>
            <w:tcW w:w="4500" w:type="dxa"/>
            <w:noWrap/>
            <w:vAlign w:val="bottom"/>
            <w:hideMark/>
          </w:tcPr>
          <w:p w14:paraId="3A2E1D2B" w14:textId="77777777" w:rsidR="00DF358A" w:rsidRPr="004E13E9" w:rsidRDefault="00DF358A" w:rsidP="00BB4F69">
            <w:pPr>
              <w:rPr>
                <w:sz w:val="18"/>
                <w:szCs w:val="18"/>
                <w:lang w:val="en-GB"/>
              </w:rPr>
            </w:pPr>
            <w:r w:rsidRPr="004E13E9">
              <w:rPr>
                <w:sz w:val="18"/>
                <w:szCs w:val="18"/>
                <w:lang w:val="en-GB"/>
              </w:rPr>
              <w:t>PORTO COLOM</w:t>
            </w:r>
          </w:p>
        </w:tc>
        <w:tc>
          <w:tcPr>
            <w:tcW w:w="1732" w:type="dxa"/>
            <w:noWrap/>
            <w:vAlign w:val="bottom"/>
            <w:hideMark/>
          </w:tcPr>
          <w:p w14:paraId="1621CEFE"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4450D319" w14:textId="77777777" w:rsidTr="00BB4F69">
        <w:trPr>
          <w:trHeight w:val="300"/>
          <w:jc w:val="center"/>
        </w:trPr>
        <w:tc>
          <w:tcPr>
            <w:tcW w:w="4500" w:type="dxa"/>
            <w:noWrap/>
            <w:vAlign w:val="bottom"/>
            <w:hideMark/>
          </w:tcPr>
          <w:p w14:paraId="10354982" w14:textId="77777777" w:rsidR="00DF358A" w:rsidRPr="004E13E9" w:rsidRDefault="00DF358A" w:rsidP="00BB4F69">
            <w:pPr>
              <w:rPr>
                <w:sz w:val="18"/>
                <w:szCs w:val="18"/>
                <w:lang w:val="en-GB"/>
              </w:rPr>
            </w:pPr>
            <w:r w:rsidRPr="004E13E9">
              <w:rPr>
                <w:sz w:val="18"/>
                <w:szCs w:val="18"/>
                <w:lang w:val="en-GB"/>
              </w:rPr>
              <w:t>PUERTO DEL ROSARIO</w:t>
            </w:r>
          </w:p>
        </w:tc>
        <w:tc>
          <w:tcPr>
            <w:tcW w:w="1732" w:type="dxa"/>
            <w:noWrap/>
            <w:vAlign w:val="bottom"/>
            <w:hideMark/>
          </w:tcPr>
          <w:p w14:paraId="6751B31A"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54CEB5B3" w14:textId="77777777" w:rsidTr="00BB4F69">
        <w:trPr>
          <w:trHeight w:val="300"/>
          <w:jc w:val="center"/>
        </w:trPr>
        <w:tc>
          <w:tcPr>
            <w:tcW w:w="4500" w:type="dxa"/>
            <w:noWrap/>
            <w:vAlign w:val="bottom"/>
            <w:hideMark/>
          </w:tcPr>
          <w:p w14:paraId="6BBF3A13" w14:textId="77777777" w:rsidR="00DF358A" w:rsidRPr="004E13E9" w:rsidRDefault="00DF358A" w:rsidP="00BB4F69">
            <w:pPr>
              <w:rPr>
                <w:sz w:val="18"/>
                <w:szCs w:val="18"/>
                <w:lang w:val="en-GB"/>
              </w:rPr>
            </w:pPr>
            <w:r w:rsidRPr="004E13E9">
              <w:rPr>
                <w:sz w:val="18"/>
                <w:szCs w:val="18"/>
                <w:lang w:val="en-GB"/>
              </w:rPr>
              <w:t>ROQUETAS DE MAR</w:t>
            </w:r>
          </w:p>
        </w:tc>
        <w:tc>
          <w:tcPr>
            <w:tcW w:w="1732" w:type="dxa"/>
            <w:noWrap/>
            <w:vAlign w:val="bottom"/>
            <w:hideMark/>
          </w:tcPr>
          <w:p w14:paraId="2223DC7F"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5F9B0FC9" w14:textId="77777777" w:rsidTr="00BB4F69">
        <w:trPr>
          <w:trHeight w:val="300"/>
          <w:jc w:val="center"/>
        </w:trPr>
        <w:tc>
          <w:tcPr>
            <w:tcW w:w="4500" w:type="dxa"/>
            <w:noWrap/>
            <w:vAlign w:val="bottom"/>
            <w:hideMark/>
          </w:tcPr>
          <w:p w14:paraId="191D6B65" w14:textId="77777777" w:rsidR="00DF358A" w:rsidRPr="004E13E9" w:rsidRDefault="00DF358A" w:rsidP="00BB4F69">
            <w:pPr>
              <w:rPr>
                <w:sz w:val="18"/>
                <w:szCs w:val="18"/>
                <w:lang w:val="en-GB"/>
              </w:rPr>
            </w:pPr>
            <w:r w:rsidRPr="004E13E9">
              <w:rPr>
                <w:sz w:val="18"/>
                <w:szCs w:val="18"/>
                <w:lang w:val="en-GB"/>
              </w:rPr>
              <w:t>ROSAS</w:t>
            </w:r>
          </w:p>
        </w:tc>
        <w:tc>
          <w:tcPr>
            <w:tcW w:w="1732" w:type="dxa"/>
            <w:noWrap/>
            <w:vAlign w:val="bottom"/>
            <w:hideMark/>
          </w:tcPr>
          <w:p w14:paraId="18ADD397"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6FFF139D" w14:textId="77777777" w:rsidTr="00BB4F69">
        <w:trPr>
          <w:trHeight w:val="300"/>
          <w:jc w:val="center"/>
        </w:trPr>
        <w:tc>
          <w:tcPr>
            <w:tcW w:w="4500" w:type="dxa"/>
            <w:noWrap/>
            <w:vAlign w:val="bottom"/>
            <w:hideMark/>
          </w:tcPr>
          <w:p w14:paraId="5AB97A3E" w14:textId="77777777" w:rsidR="00DF358A" w:rsidRPr="004E13E9" w:rsidRDefault="00DF358A" w:rsidP="00BB4F69">
            <w:pPr>
              <w:rPr>
                <w:sz w:val="18"/>
                <w:szCs w:val="18"/>
                <w:lang w:val="en-GB"/>
              </w:rPr>
            </w:pPr>
            <w:r w:rsidRPr="004E13E9">
              <w:rPr>
                <w:sz w:val="18"/>
                <w:szCs w:val="18"/>
                <w:lang w:val="en-GB"/>
              </w:rPr>
              <w:t>S’ESTANYOL DE MIGJORN</w:t>
            </w:r>
          </w:p>
        </w:tc>
        <w:tc>
          <w:tcPr>
            <w:tcW w:w="1732" w:type="dxa"/>
            <w:noWrap/>
            <w:vAlign w:val="bottom"/>
            <w:hideMark/>
          </w:tcPr>
          <w:p w14:paraId="18938FC4"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7E748DB6" w14:textId="77777777" w:rsidTr="00BB4F69">
        <w:trPr>
          <w:trHeight w:val="300"/>
          <w:jc w:val="center"/>
        </w:trPr>
        <w:tc>
          <w:tcPr>
            <w:tcW w:w="4500" w:type="dxa"/>
            <w:noWrap/>
            <w:vAlign w:val="bottom"/>
            <w:hideMark/>
          </w:tcPr>
          <w:p w14:paraId="27A05DD4" w14:textId="77777777" w:rsidR="00DF358A" w:rsidRPr="004E13E9" w:rsidRDefault="00DF358A" w:rsidP="00BB4F69">
            <w:pPr>
              <w:rPr>
                <w:sz w:val="18"/>
                <w:szCs w:val="18"/>
                <w:lang w:val="en-GB"/>
              </w:rPr>
            </w:pPr>
            <w:r w:rsidRPr="004E13E9">
              <w:rPr>
                <w:sz w:val="18"/>
                <w:szCs w:val="18"/>
                <w:lang w:val="en-GB"/>
              </w:rPr>
              <w:t>SAN ANTONI DE PORTMANY</w:t>
            </w:r>
          </w:p>
        </w:tc>
        <w:tc>
          <w:tcPr>
            <w:tcW w:w="1732" w:type="dxa"/>
            <w:noWrap/>
            <w:vAlign w:val="bottom"/>
            <w:hideMark/>
          </w:tcPr>
          <w:p w14:paraId="4E3C6827"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58D472D6" w14:textId="77777777" w:rsidTr="00BB4F69">
        <w:trPr>
          <w:trHeight w:val="300"/>
          <w:jc w:val="center"/>
        </w:trPr>
        <w:tc>
          <w:tcPr>
            <w:tcW w:w="4500" w:type="dxa"/>
            <w:noWrap/>
            <w:vAlign w:val="bottom"/>
            <w:hideMark/>
          </w:tcPr>
          <w:p w14:paraId="586D6E62" w14:textId="77777777" w:rsidR="00DF358A" w:rsidRPr="004E13E9" w:rsidRDefault="00DF358A" w:rsidP="00BB4F69">
            <w:pPr>
              <w:rPr>
                <w:sz w:val="18"/>
                <w:szCs w:val="18"/>
                <w:lang w:val="es-ES"/>
              </w:rPr>
            </w:pPr>
            <w:r w:rsidRPr="004E13E9">
              <w:rPr>
                <w:sz w:val="18"/>
                <w:szCs w:val="18"/>
                <w:lang w:val="es-ES"/>
              </w:rPr>
              <w:t>SAN CARLOS DE LA RAPITA</w:t>
            </w:r>
          </w:p>
        </w:tc>
        <w:tc>
          <w:tcPr>
            <w:tcW w:w="1732" w:type="dxa"/>
            <w:noWrap/>
            <w:vAlign w:val="bottom"/>
            <w:hideMark/>
          </w:tcPr>
          <w:p w14:paraId="79309BC3"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1C50D26F" w14:textId="77777777" w:rsidTr="00BB4F69">
        <w:trPr>
          <w:trHeight w:val="300"/>
          <w:jc w:val="center"/>
        </w:trPr>
        <w:tc>
          <w:tcPr>
            <w:tcW w:w="4500" w:type="dxa"/>
            <w:noWrap/>
            <w:vAlign w:val="bottom"/>
            <w:hideMark/>
          </w:tcPr>
          <w:p w14:paraId="69466444" w14:textId="77777777" w:rsidR="00DF358A" w:rsidRPr="004E13E9" w:rsidRDefault="00DF358A" w:rsidP="00BB4F69">
            <w:pPr>
              <w:rPr>
                <w:sz w:val="18"/>
                <w:szCs w:val="18"/>
                <w:lang w:val="en-GB"/>
              </w:rPr>
            </w:pPr>
            <w:r w:rsidRPr="004E13E9">
              <w:rPr>
                <w:sz w:val="18"/>
                <w:szCs w:val="18"/>
                <w:lang w:val="en-GB"/>
              </w:rPr>
              <w:t>SAN FELIU DE GUIXOLS</w:t>
            </w:r>
          </w:p>
        </w:tc>
        <w:tc>
          <w:tcPr>
            <w:tcW w:w="1732" w:type="dxa"/>
            <w:noWrap/>
            <w:vAlign w:val="bottom"/>
            <w:hideMark/>
          </w:tcPr>
          <w:p w14:paraId="4C816D74"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68E3D59B" w14:textId="77777777" w:rsidTr="00BB4F69">
        <w:trPr>
          <w:trHeight w:val="300"/>
          <w:jc w:val="center"/>
        </w:trPr>
        <w:tc>
          <w:tcPr>
            <w:tcW w:w="4500" w:type="dxa"/>
            <w:noWrap/>
            <w:vAlign w:val="bottom"/>
            <w:hideMark/>
          </w:tcPr>
          <w:p w14:paraId="63A5B740" w14:textId="77777777" w:rsidR="00DF358A" w:rsidRPr="004E13E9" w:rsidRDefault="00DF358A" w:rsidP="00BB4F69">
            <w:pPr>
              <w:rPr>
                <w:sz w:val="18"/>
                <w:szCs w:val="18"/>
                <w:lang w:val="en-GB"/>
              </w:rPr>
            </w:pPr>
            <w:r w:rsidRPr="004E13E9">
              <w:rPr>
                <w:sz w:val="18"/>
                <w:szCs w:val="18"/>
                <w:lang w:val="en-GB"/>
              </w:rPr>
              <w:t>SAN PEDRO DEL PINATAR</w:t>
            </w:r>
          </w:p>
        </w:tc>
        <w:tc>
          <w:tcPr>
            <w:tcW w:w="1732" w:type="dxa"/>
            <w:noWrap/>
            <w:vAlign w:val="bottom"/>
            <w:hideMark/>
          </w:tcPr>
          <w:p w14:paraId="677404AA"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6E693F81" w14:textId="77777777" w:rsidTr="00BB4F69">
        <w:trPr>
          <w:trHeight w:val="300"/>
          <w:jc w:val="center"/>
        </w:trPr>
        <w:tc>
          <w:tcPr>
            <w:tcW w:w="4500" w:type="dxa"/>
            <w:noWrap/>
            <w:vAlign w:val="bottom"/>
            <w:hideMark/>
          </w:tcPr>
          <w:p w14:paraId="07869213" w14:textId="77777777" w:rsidR="00DF358A" w:rsidRPr="004E13E9" w:rsidRDefault="00DF358A" w:rsidP="00BB4F69">
            <w:pPr>
              <w:rPr>
                <w:sz w:val="18"/>
                <w:szCs w:val="18"/>
                <w:lang w:val="es-ES"/>
              </w:rPr>
            </w:pPr>
            <w:r w:rsidRPr="004E13E9">
              <w:rPr>
                <w:sz w:val="18"/>
                <w:szCs w:val="18"/>
                <w:lang w:val="es-ES"/>
              </w:rPr>
              <w:t>SAN VICENTE DE LA BARQUERA</w:t>
            </w:r>
          </w:p>
        </w:tc>
        <w:tc>
          <w:tcPr>
            <w:tcW w:w="1732" w:type="dxa"/>
            <w:noWrap/>
            <w:vAlign w:val="bottom"/>
            <w:hideMark/>
          </w:tcPr>
          <w:p w14:paraId="509E928E"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02E8F2D1" w14:textId="77777777" w:rsidTr="00BB4F69">
        <w:trPr>
          <w:trHeight w:val="300"/>
          <w:jc w:val="center"/>
        </w:trPr>
        <w:tc>
          <w:tcPr>
            <w:tcW w:w="4500" w:type="dxa"/>
            <w:noWrap/>
            <w:vAlign w:val="bottom"/>
            <w:hideMark/>
          </w:tcPr>
          <w:p w14:paraId="56B6239C" w14:textId="77777777" w:rsidR="00DF358A" w:rsidRPr="004E13E9" w:rsidRDefault="00DF358A" w:rsidP="00BB4F69">
            <w:pPr>
              <w:rPr>
                <w:sz w:val="18"/>
                <w:szCs w:val="18"/>
                <w:lang w:val="es-ES"/>
              </w:rPr>
            </w:pPr>
            <w:r w:rsidRPr="004E13E9">
              <w:rPr>
                <w:sz w:val="18"/>
                <w:szCs w:val="18"/>
                <w:lang w:val="es-ES"/>
              </w:rPr>
              <w:t>SANTA CRUZ DE LA PALMA</w:t>
            </w:r>
          </w:p>
        </w:tc>
        <w:tc>
          <w:tcPr>
            <w:tcW w:w="1732" w:type="dxa"/>
            <w:noWrap/>
            <w:vAlign w:val="bottom"/>
            <w:hideMark/>
          </w:tcPr>
          <w:p w14:paraId="2480F94E"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39FCC507" w14:textId="77777777" w:rsidTr="00BB4F69">
        <w:trPr>
          <w:trHeight w:val="300"/>
          <w:jc w:val="center"/>
        </w:trPr>
        <w:tc>
          <w:tcPr>
            <w:tcW w:w="4500" w:type="dxa"/>
            <w:noWrap/>
            <w:vAlign w:val="bottom"/>
            <w:hideMark/>
          </w:tcPr>
          <w:p w14:paraId="3DB7E85C" w14:textId="77777777" w:rsidR="00DF358A" w:rsidRPr="004E13E9" w:rsidRDefault="00DF358A" w:rsidP="00BB4F69">
            <w:pPr>
              <w:rPr>
                <w:sz w:val="18"/>
                <w:szCs w:val="18"/>
                <w:lang w:val="en-GB"/>
              </w:rPr>
            </w:pPr>
            <w:r w:rsidRPr="004E13E9">
              <w:rPr>
                <w:sz w:val="18"/>
                <w:szCs w:val="18"/>
                <w:lang w:val="en-GB"/>
              </w:rPr>
              <w:t>SANTA CRUZ DE TENERIFE</w:t>
            </w:r>
          </w:p>
        </w:tc>
        <w:tc>
          <w:tcPr>
            <w:tcW w:w="1732" w:type="dxa"/>
            <w:noWrap/>
            <w:vAlign w:val="bottom"/>
            <w:hideMark/>
          </w:tcPr>
          <w:p w14:paraId="5359E03F"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526DD867" w14:textId="77777777" w:rsidTr="00BB4F69">
        <w:trPr>
          <w:trHeight w:val="300"/>
          <w:jc w:val="center"/>
        </w:trPr>
        <w:tc>
          <w:tcPr>
            <w:tcW w:w="4500" w:type="dxa"/>
            <w:noWrap/>
            <w:vAlign w:val="bottom"/>
            <w:hideMark/>
          </w:tcPr>
          <w:p w14:paraId="311F65DA" w14:textId="77777777" w:rsidR="00DF358A" w:rsidRPr="004E13E9" w:rsidRDefault="00DF358A" w:rsidP="00BB4F69">
            <w:pPr>
              <w:rPr>
                <w:sz w:val="18"/>
                <w:szCs w:val="18"/>
                <w:lang w:val="en-GB"/>
              </w:rPr>
            </w:pPr>
            <w:r w:rsidRPr="004E13E9">
              <w:rPr>
                <w:sz w:val="18"/>
                <w:szCs w:val="18"/>
                <w:lang w:val="en-GB"/>
              </w:rPr>
              <w:t>SANTA POLA</w:t>
            </w:r>
          </w:p>
        </w:tc>
        <w:tc>
          <w:tcPr>
            <w:tcW w:w="1732" w:type="dxa"/>
            <w:noWrap/>
            <w:vAlign w:val="bottom"/>
            <w:hideMark/>
          </w:tcPr>
          <w:p w14:paraId="1C931A8A"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4C4C4AA0" w14:textId="77777777" w:rsidTr="00BB4F69">
        <w:trPr>
          <w:trHeight w:val="300"/>
          <w:jc w:val="center"/>
        </w:trPr>
        <w:tc>
          <w:tcPr>
            <w:tcW w:w="4500" w:type="dxa"/>
            <w:noWrap/>
            <w:vAlign w:val="bottom"/>
            <w:hideMark/>
          </w:tcPr>
          <w:p w14:paraId="5B13D111" w14:textId="77777777" w:rsidR="00DF358A" w:rsidRPr="004E13E9" w:rsidRDefault="00DF358A" w:rsidP="00BB4F69">
            <w:pPr>
              <w:rPr>
                <w:sz w:val="18"/>
                <w:szCs w:val="18"/>
                <w:lang w:val="en-GB"/>
              </w:rPr>
            </w:pPr>
            <w:r w:rsidRPr="004E13E9">
              <w:rPr>
                <w:sz w:val="18"/>
                <w:szCs w:val="18"/>
                <w:lang w:val="en-GB"/>
              </w:rPr>
              <w:t>SANTANDER</w:t>
            </w:r>
          </w:p>
        </w:tc>
        <w:tc>
          <w:tcPr>
            <w:tcW w:w="1732" w:type="dxa"/>
            <w:noWrap/>
            <w:vAlign w:val="bottom"/>
            <w:hideMark/>
          </w:tcPr>
          <w:p w14:paraId="2248575D"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79B77C5D" w14:textId="77777777" w:rsidTr="00BB4F69">
        <w:trPr>
          <w:trHeight w:val="300"/>
          <w:jc w:val="center"/>
        </w:trPr>
        <w:tc>
          <w:tcPr>
            <w:tcW w:w="4500" w:type="dxa"/>
            <w:noWrap/>
            <w:vAlign w:val="bottom"/>
            <w:hideMark/>
          </w:tcPr>
          <w:p w14:paraId="25D7ACAD" w14:textId="77777777" w:rsidR="00DF358A" w:rsidRPr="004E13E9" w:rsidRDefault="00DF358A" w:rsidP="00BB4F69">
            <w:pPr>
              <w:rPr>
                <w:sz w:val="18"/>
                <w:szCs w:val="18"/>
                <w:lang w:val="en-GB"/>
              </w:rPr>
            </w:pPr>
            <w:r w:rsidRPr="004E13E9">
              <w:rPr>
                <w:sz w:val="18"/>
                <w:szCs w:val="18"/>
                <w:lang w:val="en-GB"/>
              </w:rPr>
              <w:t>SANTAÑI</w:t>
            </w:r>
          </w:p>
        </w:tc>
        <w:tc>
          <w:tcPr>
            <w:tcW w:w="1732" w:type="dxa"/>
            <w:noWrap/>
            <w:vAlign w:val="bottom"/>
            <w:hideMark/>
          </w:tcPr>
          <w:p w14:paraId="5E082670"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230A6647" w14:textId="77777777" w:rsidTr="00BB4F69">
        <w:trPr>
          <w:trHeight w:val="300"/>
          <w:jc w:val="center"/>
        </w:trPr>
        <w:tc>
          <w:tcPr>
            <w:tcW w:w="4500" w:type="dxa"/>
            <w:noWrap/>
            <w:vAlign w:val="bottom"/>
            <w:hideMark/>
          </w:tcPr>
          <w:p w14:paraId="0F2AE849" w14:textId="77777777" w:rsidR="00DF358A" w:rsidRPr="004E13E9" w:rsidRDefault="00DF358A" w:rsidP="00BB4F69">
            <w:pPr>
              <w:rPr>
                <w:sz w:val="18"/>
                <w:szCs w:val="18"/>
                <w:lang w:val="en-GB"/>
              </w:rPr>
            </w:pPr>
            <w:r w:rsidRPr="004E13E9">
              <w:rPr>
                <w:sz w:val="18"/>
                <w:szCs w:val="18"/>
                <w:lang w:val="en-GB"/>
              </w:rPr>
              <w:t>SANTOÑA</w:t>
            </w:r>
          </w:p>
        </w:tc>
        <w:tc>
          <w:tcPr>
            <w:tcW w:w="1732" w:type="dxa"/>
            <w:noWrap/>
            <w:vAlign w:val="bottom"/>
            <w:hideMark/>
          </w:tcPr>
          <w:p w14:paraId="7C1DEC97"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77A9219D" w14:textId="77777777" w:rsidTr="00BB4F69">
        <w:trPr>
          <w:trHeight w:val="300"/>
          <w:jc w:val="center"/>
        </w:trPr>
        <w:tc>
          <w:tcPr>
            <w:tcW w:w="4500" w:type="dxa"/>
            <w:noWrap/>
            <w:vAlign w:val="bottom"/>
            <w:hideMark/>
          </w:tcPr>
          <w:p w14:paraId="61026A5D" w14:textId="77777777" w:rsidR="00DF358A" w:rsidRPr="004E13E9" w:rsidRDefault="00DF358A" w:rsidP="00BB4F69">
            <w:pPr>
              <w:rPr>
                <w:sz w:val="18"/>
                <w:szCs w:val="18"/>
                <w:lang w:val="en-GB"/>
              </w:rPr>
            </w:pPr>
            <w:r w:rsidRPr="004E13E9">
              <w:rPr>
                <w:sz w:val="18"/>
                <w:szCs w:val="18"/>
                <w:lang w:val="en-GB"/>
              </w:rPr>
              <w:t>SOLLER</w:t>
            </w:r>
          </w:p>
        </w:tc>
        <w:tc>
          <w:tcPr>
            <w:tcW w:w="1732" w:type="dxa"/>
            <w:noWrap/>
            <w:vAlign w:val="bottom"/>
            <w:hideMark/>
          </w:tcPr>
          <w:p w14:paraId="34B750F2"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04022787" w14:textId="77777777" w:rsidTr="00BB4F69">
        <w:trPr>
          <w:trHeight w:val="300"/>
          <w:jc w:val="center"/>
        </w:trPr>
        <w:tc>
          <w:tcPr>
            <w:tcW w:w="4500" w:type="dxa"/>
            <w:noWrap/>
            <w:vAlign w:val="bottom"/>
            <w:hideMark/>
          </w:tcPr>
          <w:p w14:paraId="2E7B6BBD" w14:textId="77777777" w:rsidR="00DF358A" w:rsidRPr="004E13E9" w:rsidRDefault="00DF358A" w:rsidP="00BB4F69">
            <w:pPr>
              <w:rPr>
                <w:sz w:val="18"/>
                <w:szCs w:val="18"/>
                <w:lang w:val="en-GB"/>
              </w:rPr>
            </w:pPr>
            <w:r w:rsidRPr="004E13E9">
              <w:rPr>
                <w:sz w:val="18"/>
                <w:szCs w:val="18"/>
                <w:lang w:val="en-GB"/>
              </w:rPr>
              <w:t>TALIARTE - MELENARA</w:t>
            </w:r>
          </w:p>
        </w:tc>
        <w:tc>
          <w:tcPr>
            <w:tcW w:w="1732" w:type="dxa"/>
            <w:noWrap/>
            <w:vAlign w:val="bottom"/>
            <w:hideMark/>
          </w:tcPr>
          <w:p w14:paraId="4FE0F41F"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7EA8B711" w14:textId="77777777" w:rsidTr="00BB4F69">
        <w:trPr>
          <w:trHeight w:val="300"/>
          <w:jc w:val="center"/>
        </w:trPr>
        <w:tc>
          <w:tcPr>
            <w:tcW w:w="4500" w:type="dxa"/>
            <w:noWrap/>
            <w:vAlign w:val="bottom"/>
            <w:hideMark/>
          </w:tcPr>
          <w:p w14:paraId="61B3067C" w14:textId="77777777" w:rsidR="00DF358A" w:rsidRPr="004E13E9" w:rsidRDefault="00DF358A" w:rsidP="00BB4F69">
            <w:pPr>
              <w:rPr>
                <w:sz w:val="18"/>
                <w:szCs w:val="18"/>
                <w:lang w:val="en-GB"/>
              </w:rPr>
            </w:pPr>
            <w:r w:rsidRPr="004E13E9">
              <w:rPr>
                <w:sz w:val="18"/>
                <w:szCs w:val="18"/>
                <w:lang w:val="en-GB"/>
              </w:rPr>
              <w:t>TARIFA</w:t>
            </w:r>
          </w:p>
        </w:tc>
        <w:tc>
          <w:tcPr>
            <w:tcW w:w="1732" w:type="dxa"/>
            <w:noWrap/>
            <w:vAlign w:val="bottom"/>
            <w:hideMark/>
          </w:tcPr>
          <w:p w14:paraId="2C0CB5D7"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1EDD9EA4" w14:textId="77777777" w:rsidTr="00BB4F69">
        <w:trPr>
          <w:trHeight w:val="300"/>
          <w:jc w:val="center"/>
        </w:trPr>
        <w:tc>
          <w:tcPr>
            <w:tcW w:w="4500" w:type="dxa"/>
            <w:noWrap/>
            <w:vAlign w:val="bottom"/>
            <w:hideMark/>
          </w:tcPr>
          <w:p w14:paraId="29840FB2" w14:textId="77777777" w:rsidR="00DF358A" w:rsidRPr="004E13E9" w:rsidRDefault="00DF358A" w:rsidP="00BB4F69">
            <w:pPr>
              <w:rPr>
                <w:sz w:val="18"/>
                <w:szCs w:val="18"/>
                <w:lang w:val="en-GB"/>
              </w:rPr>
            </w:pPr>
            <w:r w:rsidRPr="004E13E9">
              <w:rPr>
                <w:sz w:val="18"/>
                <w:szCs w:val="18"/>
                <w:lang w:val="en-GB"/>
              </w:rPr>
              <w:t>TARRAGONA</w:t>
            </w:r>
          </w:p>
        </w:tc>
        <w:tc>
          <w:tcPr>
            <w:tcW w:w="1732" w:type="dxa"/>
            <w:noWrap/>
            <w:vAlign w:val="bottom"/>
            <w:hideMark/>
          </w:tcPr>
          <w:p w14:paraId="4A5AF7B4"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5888B728" w14:textId="77777777" w:rsidTr="00BB4F69">
        <w:trPr>
          <w:trHeight w:val="300"/>
          <w:jc w:val="center"/>
        </w:trPr>
        <w:tc>
          <w:tcPr>
            <w:tcW w:w="4500" w:type="dxa"/>
            <w:noWrap/>
            <w:vAlign w:val="bottom"/>
            <w:hideMark/>
          </w:tcPr>
          <w:p w14:paraId="371BC2C9" w14:textId="77777777" w:rsidR="00DF358A" w:rsidRPr="004E13E9" w:rsidRDefault="00DF358A" w:rsidP="00BB4F69">
            <w:pPr>
              <w:rPr>
                <w:sz w:val="18"/>
                <w:szCs w:val="18"/>
                <w:lang w:val="en-GB"/>
              </w:rPr>
            </w:pPr>
            <w:r w:rsidRPr="004E13E9">
              <w:rPr>
                <w:sz w:val="18"/>
                <w:szCs w:val="18"/>
                <w:lang w:val="en-GB"/>
              </w:rPr>
              <w:t>TAZACORTE</w:t>
            </w:r>
          </w:p>
        </w:tc>
        <w:tc>
          <w:tcPr>
            <w:tcW w:w="1732" w:type="dxa"/>
            <w:noWrap/>
            <w:vAlign w:val="bottom"/>
            <w:hideMark/>
          </w:tcPr>
          <w:p w14:paraId="3F0C5E41"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666D3DD5" w14:textId="77777777" w:rsidTr="00BB4F69">
        <w:trPr>
          <w:trHeight w:val="300"/>
          <w:jc w:val="center"/>
        </w:trPr>
        <w:tc>
          <w:tcPr>
            <w:tcW w:w="4500" w:type="dxa"/>
            <w:noWrap/>
            <w:vAlign w:val="bottom"/>
            <w:hideMark/>
          </w:tcPr>
          <w:p w14:paraId="0FE767AE" w14:textId="77777777" w:rsidR="00DF358A" w:rsidRPr="004E13E9" w:rsidRDefault="00DF358A" w:rsidP="00BB4F69">
            <w:pPr>
              <w:rPr>
                <w:sz w:val="18"/>
                <w:szCs w:val="18"/>
                <w:lang w:val="en-GB"/>
              </w:rPr>
            </w:pPr>
            <w:r w:rsidRPr="004E13E9">
              <w:rPr>
                <w:sz w:val="18"/>
                <w:szCs w:val="18"/>
                <w:lang w:val="en-GB"/>
              </w:rPr>
              <w:t>TORREDEMBARRA</w:t>
            </w:r>
          </w:p>
        </w:tc>
        <w:tc>
          <w:tcPr>
            <w:tcW w:w="1732" w:type="dxa"/>
            <w:noWrap/>
            <w:vAlign w:val="bottom"/>
            <w:hideMark/>
          </w:tcPr>
          <w:p w14:paraId="3B813223"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6590BB99" w14:textId="77777777" w:rsidTr="00BB4F69">
        <w:trPr>
          <w:trHeight w:val="300"/>
          <w:jc w:val="center"/>
        </w:trPr>
        <w:tc>
          <w:tcPr>
            <w:tcW w:w="4500" w:type="dxa"/>
            <w:noWrap/>
            <w:vAlign w:val="bottom"/>
            <w:hideMark/>
          </w:tcPr>
          <w:p w14:paraId="07E9FB69" w14:textId="77777777" w:rsidR="00DF358A" w:rsidRPr="004E13E9" w:rsidRDefault="00DF358A" w:rsidP="00BB4F69">
            <w:pPr>
              <w:rPr>
                <w:sz w:val="18"/>
                <w:szCs w:val="18"/>
                <w:lang w:val="en-GB"/>
              </w:rPr>
            </w:pPr>
            <w:r w:rsidRPr="004E13E9">
              <w:rPr>
                <w:sz w:val="18"/>
                <w:szCs w:val="18"/>
                <w:lang w:val="en-GB"/>
              </w:rPr>
              <w:t>TORREVIEJA</w:t>
            </w:r>
          </w:p>
        </w:tc>
        <w:tc>
          <w:tcPr>
            <w:tcW w:w="1732" w:type="dxa"/>
            <w:noWrap/>
            <w:vAlign w:val="bottom"/>
            <w:hideMark/>
          </w:tcPr>
          <w:p w14:paraId="365E9541"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643C9E74" w14:textId="77777777" w:rsidTr="00BB4F69">
        <w:trPr>
          <w:trHeight w:val="300"/>
          <w:jc w:val="center"/>
        </w:trPr>
        <w:tc>
          <w:tcPr>
            <w:tcW w:w="4500" w:type="dxa"/>
            <w:noWrap/>
            <w:vAlign w:val="bottom"/>
            <w:hideMark/>
          </w:tcPr>
          <w:p w14:paraId="7C79C661" w14:textId="77777777" w:rsidR="00DF358A" w:rsidRPr="004E13E9" w:rsidRDefault="00DF358A" w:rsidP="00BB4F69">
            <w:pPr>
              <w:rPr>
                <w:sz w:val="18"/>
                <w:szCs w:val="18"/>
                <w:lang w:val="en-GB"/>
              </w:rPr>
            </w:pPr>
            <w:r w:rsidRPr="004E13E9">
              <w:rPr>
                <w:sz w:val="18"/>
                <w:szCs w:val="18"/>
                <w:lang w:val="en-GB"/>
              </w:rPr>
              <w:t>VALLE GRAN REY</w:t>
            </w:r>
          </w:p>
        </w:tc>
        <w:tc>
          <w:tcPr>
            <w:tcW w:w="1732" w:type="dxa"/>
            <w:noWrap/>
            <w:vAlign w:val="bottom"/>
            <w:hideMark/>
          </w:tcPr>
          <w:p w14:paraId="66BC635C"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25CB2244" w14:textId="77777777" w:rsidTr="00BB4F69">
        <w:trPr>
          <w:trHeight w:val="300"/>
          <w:jc w:val="center"/>
        </w:trPr>
        <w:tc>
          <w:tcPr>
            <w:tcW w:w="4500" w:type="dxa"/>
            <w:noWrap/>
            <w:vAlign w:val="bottom"/>
            <w:hideMark/>
          </w:tcPr>
          <w:p w14:paraId="0497C6C6" w14:textId="77777777" w:rsidR="00DF358A" w:rsidRPr="004E13E9" w:rsidRDefault="00DF358A" w:rsidP="00BB4F69">
            <w:pPr>
              <w:rPr>
                <w:sz w:val="18"/>
                <w:szCs w:val="18"/>
                <w:lang w:val="en-GB"/>
              </w:rPr>
            </w:pPr>
            <w:r w:rsidRPr="004E13E9">
              <w:rPr>
                <w:sz w:val="18"/>
                <w:szCs w:val="18"/>
                <w:lang w:val="en-GB"/>
              </w:rPr>
              <w:t>VIGO</w:t>
            </w:r>
          </w:p>
        </w:tc>
        <w:tc>
          <w:tcPr>
            <w:tcW w:w="1732" w:type="dxa"/>
            <w:noWrap/>
            <w:vAlign w:val="bottom"/>
            <w:hideMark/>
          </w:tcPr>
          <w:p w14:paraId="4DB14C5B"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286D9197" w14:textId="77777777" w:rsidTr="00BB4F69">
        <w:trPr>
          <w:trHeight w:val="300"/>
          <w:jc w:val="center"/>
        </w:trPr>
        <w:tc>
          <w:tcPr>
            <w:tcW w:w="4500" w:type="dxa"/>
            <w:noWrap/>
            <w:vAlign w:val="bottom"/>
            <w:hideMark/>
          </w:tcPr>
          <w:p w14:paraId="7CEE510F" w14:textId="77777777" w:rsidR="00DF358A" w:rsidRPr="004E13E9" w:rsidRDefault="00DF358A" w:rsidP="00BB4F69">
            <w:pPr>
              <w:rPr>
                <w:sz w:val="18"/>
                <w:szCs w:val="18"/>
                <w:lang w:val="en-GB"/>
              </w:rPr>
            </w:pPr>
            <w:r w:rsidRPr="004E13E9">
              <w:rPr>
                <w:sz w:val="18"/>
                <w:szCs w:val="18"/>
                <w:lang w:val="en-GB"/>
              </w:rPr>
              <w:t>VILANOVA I LA GELTRU</w:t>
            </w:r>
          </w:p>
        </w:tc>
        <w:tc>
          <w:tcPr>
            <w:tcW w:w="1732" w:type="dxa"/>
            <w:noWrap/>
            <w:vAlign w:val="bottom"/>
            <w:hideMark/>
          </w:tcPr>
          <w:p w14:paraId="5DA89BCB"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381BCA6C" w14:textId="77777777" w:rsidTr="00BB4F69">
        <w:trPr>
          <w:trHeight w:val="300"/>
          <w:jc w:val="center"/>
        </w:trPr>
        <w:tc>
          <w:tcPr>
            <w:tcW w:w="4500" w:type="dxa"/>
            <w:noWrap/>
            <w:vAlign w:val="bottom"/>
            <w:hideMark/>
          </w:tcPr>
          <w:p w14:paraId="0E771557" w14:textId="77777777" w:rsidR="00DF358A" w:rsidRPr="004E13E9" w:rsidRDefault="00DF358A" w:rsidP="00BB4F69">
            <w:pPr>
              <w:rPr>
                <w:sz w:val="18"/>
                <w:szCs w:val="18"/>
                <w:lang w:val="en-GB"/>
              </w:rPr>
            </w:pPr>
            <w:r w:rsidRPr="004E13E9">
              <w:rPr>
                <w:sz w:val="18"/>
                <w:szCs w:val="18"/>
                <w:lang w:val="en-GB"/>
              </w:rPr>
              <w:t>VILLAJOYOSA</w:t>
            </w:r>
          </w:p>
        </w:tc>
        <w:tc>
          <w:tcPr>
            <w:tcW w:w="1732" w:type="dxa"/>
            <w:noWrap/>
            <w:vAlign w:val="bottom"/>
            <w:hideMark/>
          </w:tcPr>
          <w:p w14:paraId="097A6906"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25F064B8" w14:textId="77777777" w:rsidTr="00BB4F69">
        <w:trPr>
          <w:trHeight w:val="300"/>
          <w:jc w:val="center"/>
        </w:trPr>
        <w:tc>
          <w:tcPr>
            <w:tcW w:w="4500" w:type="dxa"/>
            <w:noWrap/>
            <w:vAlign w:val="bottom"/>
            <w:hideMark/>
          </w:tcPr>
          <w:p w14:paraId="1D315067" w14:textId="77777777" w:rsidR="00DF358A" w:rsidRPr="004E13E9" w:rsidRDefault="00DF358A" w:rsidP="00BB4F69">
            <w:pPr>
              <w:rPr>
                <w:sz w:val="18"/>
                <w:szCs w:val="18"/>
                <w:lang w:val="en-GB"/>
              </w:rPr>
            </w:pPr>
            <w:r w:rsidRPr="004E13E9">
              <w:rPr>
                <w:sz w:val="18"/>
                <w:szCs w:val="18"/>
                <w:lang w:val="en-GB"/>
              </w:rPr>
              <w:t>VINAROZ</w:t>
            </w:r>
          </w:p>
        </w:tc>
        <w:tc>
          <w:tcPr>
            <w:tcW w:w="1732" w:type="dxa"/>
            <w:noWrap/>
            <w:vAlign w:val="bottom"/>
            <w:hideMark/>
          </w:tcPr>
          <w:p w14:paraId="07E6379E" w14:textId="77777777" w:rsidR="00DF358A" w:rsidRPr="004E13E9" w:rsidRDefault="00DF358A" w:rsidP="00BB4F69">
            <w:pPr>
              <w:rPr>
                <w:sz w:val="18"/>
                <w:szCs w:val="18"/>
                <w:lang w:val="en-GB"/>
              </w:rPr>
            </w:pPr>
            <w:r w:rsidRPr="004E13E9">
              <w:rPr>
                <w:sz w:val="18"/>
                <w:szCs w:val="18"/>
                <w:lang w:val="en-GB"/>
              </w:rPr>
              <w:t>EU-España</w:t>
            </w:r>
          </w:p>
        </w:tc>
      </w:tr>
      <w:tr w:rsidR="00DF358A" w:rsidRPr="004E13E9" w14:paraId="1A72FEE7" w14:textId="77777777" w:rsidTr="00BB4F69">
        <w:trPr>
          <w:trHeight w:val="300"/>
          <w:jc w:val="center"/>
        </w:trPr>
        <w:tc>
          <w:tcPr>
            <w:tcW w:w="4500" w:type="dxa"/>
            <w:noWrap/>
            <w:vAlign w:val="bottom"/>
            <w:hideMark/>
          </w:tcPr>
          <w:p w14:paraId="1254A2CA" w14:textId="77777777" w:rsidR="00DF358A" w:rsidRPr="004E13E9" w:rsidRDefault="00DF358A" w:rsidP="00BB4F69">
            <w:pPr>
              <w:rPr>
                <w:sz w:val="18"/>
                <w:szCs w:val="18"/>
                <w:lang w:val="en-GB"/>
              </w:rPr>
            </w:pPr>
            <w:r w:rsidRPr="004E13E9">
              <w:rPr>
                <w:sz w:val="18"/>
                <w:szCs w:val="18"/>
                <w:lang w:val="en-GB"/>
              </w:rPr>
              <w:t>AGDE</w:t>
            </w:r>
          </w:p>
        </w:tc>
        <w:tc>
          <w:tcPr>
            <w:tcW w:w="1732" w:type="dxa"/>
            <w:noWrap/>
            <w:vAlign w:val="bottom"/>
            <w:hideMark/>
          </w:tcPr>
          <w:p w14:paraId="53F5DED9"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21E29359" w14:textId="77777777" w:rsidTr="00BB4F69">
        <w:trPr>
          <w:trHeight w:val="300"/>
          <w:jc w:val="center"/>
        </w:trPr>
        <w:tc>
          <w:tcPr>
            <w:tcW w:w="4500" w:type="dxa"/>
            <w:noWrap/>
            <w:vAlign w:val="bottom"/>
            <w:hideMark/>
          </w:tcPr>
          <w:p w14:paraId="48A9B61D" w14:textId="77777777" w:rsidR="00DF358A" w:rsidRPr="004E13E9" w:rsidRDefault="00DF358A" w:rsidP="00BB4F69">
            <w:pPr>
              <w:rPr>
                <w:sz w:val="18"/>
                <w:szCs w:val="18"/>
                <w:lang w:val="en-GB"/>
              </w:rPr>
            </w:pPr>
            <w:r w:rsidRPr="004E13E9">
              <w:rPr>
                <w:sz w:val="18"/>
                <w:szCs w:val="18"/>
                <w:lang w:val="en-GB"/>
              </w:rPr>
              <w:t>AJACCIO</w:t>
            </w:r>
          </w:p>
        </w:tc>
        <w:tc>
          <w:tcPr>
            <w:tcW w:w="1732" w:type="dxa"/>
            <w:noWrap/>
            <w:vAlign w:val="bottom"/>
            <w:hideMark/>
          </w:tcPr>
          <w:p w14:paraId="31BC5A57"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2CF87127" w14:textId="77777777" w:rsidTr="00BB4F69">
        <w:trPr>
          <w:trHeight w:val="300"/>
          <w:jc w:val="center"/>
        </w:trPr>
        <w:tc>
          <w:tcPr>
            <w:tcW w:w="4500" w:type="dxa"/>
            <w:noWrap/>
            <w:vAlign w:val="bottom"/>
            <w:hideMark/>
          </w:tcPr>
          <w:p w14:paraId="0C3B8BB6" w14:textId="77777777" w:rsidR="00DF358A" w:rsidRPr="004E13E9" w:rsidRDefault="00DF358A" w:rsidP="00BB4F69">
            <w:pPr>
              <w:rPr>
                <w:sz w:val="18"/>
                <w:szCs w:val="18"/>
                <w:lang w:val="en-GB"/>
              </w:rPr>
            </w:pPr>
            <w:r w:rsidRPr="004E13E9">
              <w:rPr>
                <w:sz w:val="18"/>
                <w:szCs w:val="18"/>
                <w:lang w:val="en-GB"/>
              </w:rPr>
              <w:t>ARCACHON</w:t>
            </w:r>
          </w:p>
        </w:tc>
        <w:tc>
          <w:tcPr>
            <w:tcW w:w="1732" w:type="dxa"/>
            <w:noWrap/>
            <w:vAlign w:val="bottom"/>
            <w:hideMark/>
          </w:tcPr>
          <w:p w14:paraId="636B7871"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1A553C0E" w14:textId="77777777" w:rsidTr="00BB4F69">
        <w:trPr>
          <w:trHeight w:val="300"/>
          <w:jc w:val="center"/>
        </w:trPr>
        <w:tc>
          <w:tcPr>
            <w:tcW w:w="4500" w:type="dxa"/>
            <w:noWrap/>
            <w:vAlign w:val="bottom"/>
            <w:hideMark/>
          </w:tcPr>
          <w:p w14:paraId="5219A06F" w14:textId="77777777" w:rsidR="00DF358A" w:rsidRPr="004E13E9" w:rsidRDefault="00DF358A" w:rsidP="00BB4F69">
            <w:pPr>
              <w:rPr>
                <w:sz w:val="18"/>
                <w:szCs w:val="18"/>
                <w:lang w:val="en-GB"/>
              </w:rPr>
            </w:pPr>
            <w:r w:rsidRPr="004E13E9">
              <w:rPr>
                <w:sz w:val="18"/>
                <w:szCs w:val="18"/>
                <w:lang w:val="en-GB"/>
              </w:rPr>
              <w:t>ARGELÈS-SUR-MER</w:t>
            </w:r>
          </w:p>
        </w:tc>
        <w:tc>
          <w:tcPr>
            <w:tcW w:w="1732" w:type="dxa"/>
            <w:noWrap/>
            <w:vAlign w:val="bottom"/>
            <w:hideMark/>
          </w:tcPr>
          <w:p w14:paraId="3C2CB62A"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39D8A007" w14:textId="77777777" w:rsidTr="00BB4F69">
        <w:trPr>
          <w:trHeight w:val="300"/>
          <w:jc w:val="center"/>
        </w:trPr>
        <w:tc>
          <w:tcPr>
            <w:tcW w:w="4500" w:type="dxa"/>
            <w:noWrap/>
            <w:vAlign w:val="bottom"/>
            <w:hideMark/>
          </w:tcPr>
          <w:p w14:paraId="52EDB3E9" w14:textId="77777777" w:rsidR="00DF358A" w:rsidRPr="004E13E9" w:rsidRDefault="00DF358A" w:rsidP="00BB4F69">
            <w:pPr>
              <w:rPr>
                <w:sz w:val="18"/>
                <w:szCs w:val="18"/>
                <w:lang w:val="en-GB"/>
              </w:rPr>
            </w:pPr>
            <w:r w:rsidRPr="004E13E9">
              <w:rPr>
                <w:sz w:val="18"/>
                <w:szCs w:val="18"/>
                <w:lang w:val="en-GB"/>
              </w:rPr>
              <w:t>AUDIERNE</w:t>
            </w:r>
          </w:p>
        </w:tc>
        <w:tc>
          <w:tcPr>
            <w:tcW w:w="1732" w:type="dxa"/>
            <w:noWrap/>
            <w:vAlign w:val="bottom"/>
            <w:hideMark/>
          </w:tcPr>
          <w:p w14:paraId="041BCEC9"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1B09572C" w14:textId="77777777" w:rsidTr="00BB4F69">
        <w:trPr>
          <w:trHeight w:val="300"/>
          <w:jc w:val="center"/>
        </w:trPr>
        <w:tc>
          <w:tcPr>
            <w:tcW w:w="4500" w:type="dxa"/>
            <w:noWrap/>
            <w:vAlign w:val="bottom"/>
            <w:hideMark/>
          </w:tcPr>
          <w:p w14:paraId="4680106C" w14:textId="77777777" w:rsidR="00DF358A" w:rsidRPr="004E13E9" w:rsidRDefault="00DF358A" w:rsidP="00BB4F69">
            <w:pPr>
              <w:rPr>
                <w:sz w:val="18"/>
                <w:szCs w:val="18"/>
                <w:lang w:val="en-GB"/>
              </w:rPr>
            </w:pPr>
            <w:r w:rsidRPr="004E13E9">
              <w:rPr>
                <w:sz w:val="18"/>
                <w:szCs w:val="18"/>
                <w:lang w:val="en-GB"/>
              </w:rPr>
              <w:t>BASTIA</w:t>
            </w:r>
          </w:p>
        </w:tc>
        <w:tc>
          <w:tcPr>
            <w:tcW w:w="1732" w:type="dxa"/>
            <w:noWrap/>
            <w:vAlign w:val="bottom"/>
            <w:hideMark/>
          </w:tcPr>
          <w:p w14:paraId="3A02DDF2"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44B4DB32" w14:textId="77777777" w:rsidTr="00BB4F69">
        <w:trPr>
          <w:trHeight w:val="300"/>
          <w:jc w:val="center"/>
        </w:trPr>
        <w:tc>
          <w:tcPr>
            <w:tcW w:w="4500" w:type="dxa"/>
            <w:noWrap/>
            <w:vAlign w:val="bottom"/>
            <w:hideMark/>
          </w:tcPr>
          <w:p w14:paraId="5061E6AF" w14:textId="77777777" w:rsidR="00DF358A" w:rsidRPr="004E13E9" w:rsidRDefault="00DF358A" w:rsidP="00BB4F69">
            <w:pPr>
              <w:rPr>
                <w:sz w:val="18"/>
                <w:szCs w:val="18"/>
                <w:lang w:val="en-GB"/>
              </w:rPr>
            </w:pPr>
            <w:r w:rsidRPr="004E13E9">
              <w:rPr>
                <w:sz w:val="18"/>
                <w:szCs w:val="18"/>
                <w:lang w:val="en-GB"/>
              </w:rPr>
              <w:t>BAYONNE</w:t>
            </w:r>
          </w:p>
        </w:tc>
        <w:tc>
          <w:tcPr>
            <w:tcW w:w="1732" w:type="dxa"/>
            <w:noWrap/>
            <w:vAlign w:val="bottom"/>
            <w:hideMark/>
          </w:tcPr>
          <w:p w14:paraId="56DBAE26"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20A3C0F8" w14:textId="77777777" w:rsidTr="00BB4F69">
        <w:trPr>
          <w:trHeight w:val="300"/>
          <w:jc w:val="center"/>
        </w:trPr>
        <w:tc>
          <w:tcPr>
            <w:tcW w:w="4500" w:type="dxa"/>
            <w:noWrap/>
            <w:vAlign w:val="bottom"/>
            <w:hideMark/>
          </w:tcPr>
          <w:p w14:paraId="6949DC83" w14:textId="77777777" w:rsidR="00DF358A" w:rsidRPr="004E13E9" w:rsidRDefault="00DF358A" w:rsidP="00BB4F69">
            <w:pPr>
              <w:rPr>
                <w:sz w:val="18"/>
                <w:szCs w:val="18"/>
                <w:lang w:val="en-GB"/>
              </w:rPr>
            </w:pPr>
            <w:r w:rsidRPr="004E13E9">
              <w:rPr>
                <w:sz w:val="18"/>
                <w:szCs w:val="18"/>
                <w:lang w:val="en-GB"/>
              </w:rPr>
              <w:t>BONIFACIO</w:t>
            </w:r>
          </w:p>
        </w:tc>
        <w:tc>
          <w:tcPr>
            <w:tcW w:w="1732" w:type="dxa"/>
            <w:noWrap/>
            <w:vAlign w:val="bottom"/>
            <w:hideMark/>
          </w:tcPr>
          <w:p w14:paraId="519D7524"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482CF607" w14:textId="77777777" w:rsidTr="00BB4F69">
        <w:trPr>
          <w:trHeight w:val="300"/>
          <w:jc w:val="center"/>
        </w:trPr>
        <w:tc>
          <w:tcPr>
            <w:tcW w:w="4500" w:type="dxa"/>
            <w:noWrap/>
            <w:vAlign w:val="bottom"/>
            <w:hideMark/>
          </w:tcPr>
          <w:p w14:paraId="452EAA3B" w14:textId="77777777" w:rsidR="00DF358A" w:rsidRPr="004E13E9" w:rsidRDefault="00DF358A" w:rsidP="00BB4F69">
            <w:pPr>
              <w:rPr>
                <w:sz w:val="18"/>
                <w:szCs w:val="18"/>
                <w:lang w:val="en-GB"/>
              </w:rPr>
            </w:pPr>
            <w:r w:rsidRPr="004E13E9">
              <w:rPr>
                <w:sz w:val="18"/>
                <w:szCs w:val="18"/>
                <w:lang w:val="en-GB"/>
              </w:rPr>
              <w:t>BOULOGNE SUR MER</w:t>
            </w:r>
          </w:p>
        </w:tc>
        <w:tc>
          <w:tcPr>
            <w:tcW w:w="1732" w:type="dxa"/>
            <w:noWrap/>
            <w:vAlign w:val="bottom"/>
            <w:hideMark/>
          </w:tcPr>
          <w:p w14:paraId="2A4585DB"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1BF9385C" w14:textId="77777777" w:rsidTr="00BB4F69">
        <w:trPr>
          <w:trHeight w:val="300"/>
          <w:jc w:val="center"/>
        </w:trPr>
        <w:tc>
          <w:tcPr>
            <w:tcW w:w="4500" w:type="dxa"/>
            <w:noWrap/>
            <w:vAlign w:val="bottom"/>
            <w:hideMark/>
          </w:tcPr>
          <w:p w14:paraId="7FE751B7" w14:textId="77777777" w:rsidR="00DF358A" w:rsidRPr="004E13E9" w:rsidRDefault="00DF358A" w:rsidP="00BB4F69">
            <w:pPr>
              <w:rPr>
                <w:sz w:val="18"/>
                <w:szCs w:val="18"/>
                <w:lang w:val="en-GB"/>
              </w:rPr>
            </w:pPr>
            <w:r w:rsidRPr="004E13E9">
              <w:rPr>
                <w:sz w:val="18"/>
                <w:szCs w:val="18"/>
                <w:lang w:val="en-GB"/>
              </w:rPr>
              <w:t>CAGNES SUR MER</w:t>
            </w:r>
          </w:p>
        </w:tc>
        <w:tc>
          <w:tcPr>
            <w:tcW w:w="1732" w:type="dxa"/>
            <w:noWrap/>
            <w:vAlign w:val="bottom"/>
            <w:hideMark/>
          </w:tcPr>
          <w:p w14:paraId="6836DE40"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5064C114" w14:textId="77777777" w:rsidTr="00BB4F69">
        <w:trPr>
          <w:trHeight w:val="300"/>
          <w:jc w:val="center"/>
        </w:trPr>
        <w:tc>
          <w:tcPr>
            <w:tcW w:w="4500" w:type="dxa"/>
            <w:noWrap/>
            <w:vAlign w:val="bottom"/>
            <w:hideMark/>
          </w:tcPr>
          <w:p w14:paraId="42F3E59B" w14:textId="77777777" w:rsidR="00DF358A" w:rsidRPr="004E13E9" w:rsidRDefault="00DF358A" w:rsidP="00BB4F69">
            <w:pPr>
              <w:rPr>
                <w:sz w:val="18"/>
                <w:szCs w:val="18"/>
                <w:lang w:val="en-GB"/>
              </w:rPr>
            </w:pPr>
            <w:r w:rsidRPr="004E13E9">
              <w:rPr>
                <w:sz w:val="18"/>
                <w:szCs w:val="18"/>
                <w:lang w:val="en-GB"/>
              </w:rPr>
              <w:t>CALVI</w:t>
            </w:r>
          </w:p>
        </w:tc>
        <w:tc>
          <w:tcPr>
            <w:tcW w:w="1732" w:type="dxa"/>
            <w:noWrap/>
            <w:vAlign w:val="bottom"/>
            <w:hideMark/>
          </w:tcPr>
          <w:p w14:paraId="21BC5064"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14D93E13" w14:textId="77777777" w:rsidTr="00BB4F69">
        <w:trPr>
          <w:trHeight w:val="300"/>
          <w:jc w:val="center"/>
        </w:trPr>
        <w:tc>
          <w:tcPr>
            <w:tcW w:w="4500" w:type="dxa"/>
            <w:noWrap/>
            <w:vAlign w:val="bottom"/>
            <w:hideMark/>
          </w:tcPr>
          <w:p w14:paraId="444FF14F" w14:textId="77777777" w:rsidR="00DF358A" w:rsidRPr="004E13E9" w:rsidRDefault="00DF358A" w:rsidP="00BB4F69">
            <w:pPr>
              <w:rPr>
                <w:sz w:val="18"/>
                <w:szCs w:val="18"/>
                <w:lang w:val="en-GB"/>
              </w:rPr>
            </w:pPr>
            <w:r w:rsidRPr="004E13E9">
              <w:rPr>
                <w:sz w:val="18"/>
                <w:szCs w:val="18"/>
                <w:lang w:val="en-GB"/>
              </w:rPr>
              <w:t>CANNES</w:t>
            </w:r>
          </w:p>
        </w:tc>
        <w:tc>
          <w:tcPr>
            <w:tcW w:w="1732" w:type="dxa"/>
            <w:noWrap/>
            <w:vAlign w:val="bottom"/>
            <w:hideMark/>
          </w:tcPr>
          <w:p w14:paraId="49E943C2"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5BE7E610" w14:textId="77777777" w:rsidTr="00BB4F69">
        <w:trPr>
          <w:trHeight w:val="300"/>
          <w:jc w:val="center"/>
        </w:trPr>
        <w:tc>
          <w:tcPr>
            <w:tcW w:w="4500" w:type="dxa"/>
            <w:noWrap/>
            <w:vAlign w:val="bottom"/>
            <w:hideMark/>
          </w:tcPr>
          <w:p w14:paraId="6D2F1526" w14:textId="77777777" w:rsidR="00DF358A" w:rsidRPr="004E13E9" w:rsidRDefault="00DF358A" w:rsidP="00BB4F69">
            <w:pPr>
              <w:rPr>
                <w:sz w:val="18"/>
                <w:szCs w:val="18"/>
                <w:lang w:val="en-GB"/>
              </w:rPr>
            </w:pPr>
            <w:r w:rsidRPr="004E13E9">
              <w:rPr>
                <w:sz w:val="18"/>
                <w:szCs w:val="18"/>
                <w:lang w:val="en-GB"/>
              </w:rPr>
              <w:t>CARGESE</w:t>
            </w:r>
          </w:p>
        </w:tc>
        <w:tc>
          <w:tcPr>
            <w:tcW w:w="1732" w:type="dxa"/>
            <w:noWrap/>
            <w:vAlign w:val="bottom"/>
            <w:hideMark/>
          </w:tcPr>
          <w:p w14:paraId="424B4020"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1C71308D" w14:textId="77777777" w:rsidTr="00BB4F69">
        <w:trPr>
          <w:trHeight w:val="300"/>
          <w:jc w:val="center"/>
        </w:trPr>
        <w:tc>
          <w:tcPr>
            <w:tcW w:w="4500" w:type="dxa"/>
            <w:noWrap/>
            <w:vAlign w:val="bottom"/>
            <w:hideMark/>
          </w:tcPr>
          <w:p w14:paraId="6A71D6DE" w14:textId="77777777" w:rsidR="00DF358A" w:rsidRPr="004E13E9" w:rsidRDefault="00DF358A" w:rsidP="00BB4F69">
            <w:pPr>
              <w:rPr>
                <w:sz w:val="18"/>
                <w:szCs w:val="18"/>
                <w:lang w:val="en-GB"/>
              </w:rPr>
            </w:pPr>
            <w:r w:rsidRPr="004E13E9">
              <w:rPr>
                <w:sz w:val="18"/>
                <w:szCs w:val="18"/>
                <w:lang w:val="en-GB"/>
              </w:rPr>
              <w:t>CARNON</w:t>
            </w:r>
          </w:p>
        </w:tc>
        <w:tc>
          <w:tcPr>
            <w:tcW w:w="1732" w:type="dxa"/>
            <w:noWrap/>
            <w:vAlign w:val="bottom"/>
            <w:hideMark/>
          </w:tcPr>
          <w:p w14:paraId="2C4CE16F"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73622219" w14:textId="77777777" w:rsidTr="00BB4F69">
        <w:trPr>
          <w:trHeight w:val="300"/>
          <w:jc w:val="center"/>
        </w:trPr>
        <w:tc>
          <w:tcPr>
            <w:tcW w:w="4500" w:type="dxa"/>
            <w:noWrap/>
            <w:vAlign w:val="bottom"/>
            <w:hideMark/>
          </w:tcPr>
          <w:p w14:paraId="3D6040CD" w14:textId="77777777" w:rsidR="00DF358A" w:rsidRPr="004E13E9" w:rsidRDefault="00DF358A" w:rsidP="00BB4F69">
            <w:pPr>
              <w:rPr>
                <w:sz w:val="18"/>
                <w:szCs w:val="18"/>
                <w:lang w:val="en-GB"/>
              </w:rPr>
            </w:pPr>
            <w:r w:rsidRPr="004E13E9">
              <w:rPr>
                <w:sz w:val="18"/>
                <w:szCs w:val="18"/>
                <w:lang w:val="en-GB"/>
              </w:rPr>
              <w:t>CARRY-LE-ROUET</w:t>
            </w:r>
          </w:p>
        </w:tc>
        <w:tc>
          <w:tcPr>
            <w:tcW w:w="1732" w:type="dxa"/>
            <w:noWrap/>
            <w:vAlign w:val="bottom"/>
            <w:hideMark/>
          </w:tcPr>
          <w:p w14:paraId="30A2DF6D"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51D36B95" w14:textId="77777777" w:rsidTr="00BB4F69">
        <w:trPr>
          <w:trHeight w:val="300"/>
          <w:jc w:val="center"/>
        </w:trPr>
        <w:tc>
          <w:tcPr>
            <w:tcW w:w="4500" w:type="dxa"/>
            <w:noWrap/>
            <w:vAlign w:val="bottom"/>
            <w:hideMark/>
          </w:tcPr>
          <w:p w14:paraId="16C3208E" w14:textId="77777777" w:rsidR="00DF358A" w:rsidRPr="004E13E9" w:rsidRDefault="00DF358A" w:rsidP="00BB4F69">
            <w:pPr>
              <w:rPr>
                <w:sz w:val="18"/>
                <w:szCs w:val="18"/>
                <w:lang w:val="en-GB"/>
              </w:rPr>
            </w:pPr>
            <w:r w:rsidRPr="004E13E9">
              <w:rPr>
                <w:sz w:val="18"/>
                <w:szCs w:val="18"/>
                <w:lang w:val="en-GB"/>
              </w:rPr>
              <w:t>CENTURI</w:t>
            </w:r>
          </w:p>
        </w:tc>
        <w:tc>
          <w:tcPr>
            <w:tcW w:w="1732" w:type="dxa"/>
            <w:noWrap/>
            <w:vAlign w:val="bottom"/>
            <w:hideMark/>
          </w:tcPr>
          <w:p w14:paraId="56C4AAA5"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5DE95383" w14:textId="77777777" w:rsidTr="00BB4F69">
        <w:trPr>
          <w:trHeight w:val="300"/>
          <w:jc w:val="center"/>
        </w:trPr>
        <w:tc>
          <w:tcPr>
            <w:tcW w:w="4500" w:type="dxa"/>
            <w:noWrap/>
            <w:vAlign w:val="bottom"/>
            <w:hideMark/>
          </w:tcPr>
          <w:p w14:paraId="36D325B2" w14:textId="77777777" w:rsidR="00DF358A" w:rsidRPr="004E13E9" w:rsidRDefault="00DF358A" w:rsidP="00BB4F69">
            <w:pPr>
              <w:rPr>
                <w:sz w:val="18"/>
                <w:szCs w:val="18"/>
                <w:lang w:val="en-GB"/>
              </w:rPr>
            </w:pPr>
            <w:r w:rsidRPr="004E13E9">
              <w:rPr>
                <w:sz w:val="18"/>
                <w:szCs w:val="18"/>
                <w:lang w:val="en-GB"/>
              </w:rPr>
              <w:t>CHERBOURG</w:t>
            </w:r>
          </w:p>
        </w:tc>
        <w:tc>
          <w:tcPr>
            <w:tcW w:w="1732" w:type="dxa"/>
            <w:noWrap/>
            <w:vAlign w:val="bottom"/>
            <w:hideMark/>
          </w:tcPr>
          <w:p w14:paraId="5D59ED16"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38A755B9" w14:textId="77777777" w:rsidTr="00BB4F69">
        <w:trPr>
          <w:trHeight w:val="300"/>
          <w:jc w:val="center"/>
        </w:trPr>
        <w:tc>
          <w:tcPr>
            <w:tcW w:w="4500" w:type="dxa"/>
            <w:noWrap/>
            <w:vAlign w:val="bottom"/>
            <w:hideMark/>
          </w:tcPr>
          <w:p w14:paraId="5B359F5B" w14:textId="77777777" w:rsidR="00DF358A" w:rsidRPr="004E13E9" w:rsidRDefault="00DF358A" w:rsidP="00BB4F69">
            <w:pPr>
              <w:rPr>
                <w:sz w:val="18"/>
                <w:szCs w:val="18"/>
                <w:lang w:val="en-GB"/>
              </w:rPr>
            </w:pPr>
            <w:r w:rsidRPr="004E13E9">
              <w:rPr>
                <w:sz w:val="18"/>
                <w:szCs w:val="18"/>
                <w:lang w:val="en-GB"/>
              </w:rPr>
              <w:t>COGOLIN</w:t>
            </w:r>
          </w:p>
        </w:tc>
        <w:tc>
          <w:tcPr>
            <w:tcW w:w="1732" w:type="dxa"/>
            <w:noWrap/>
            <w:vAlign w:val="bottom"/>
            <w:hideMark/>
          </w:tcPr>
          <w:p w14:paraId="332F4CF0"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6DAF65AD" w14:textId="77777777" w:rsidTr="00BB4F69">
        <w:trPr>
          <w:trHeight w:val="300"/>
          <w:jc w:val="center"/>
        </w:trPr>
        <w:tc>
          <w:tcPr>
            <w:tcW w:w="4500" w:type="dxa"/>
            <w:noWrap/>
            <w:vAlign w:val="bottom"/>
            <w:hideMark/>
          </w:tcPr>
          <w:p w14:paraId="06907F70" w14:textId="77777777" w:rsidR="00DF358A" w:rsidRPr="004E13E9" w:rsidRDefault="00DF358A" w:rsidP="00BB4F69">
            <w:pPr>
              <w:rPr>
                <w:sz w:val="18"/>
                <w:szCs w:val="18"/>
                <w:lang w:val="en-GB"/>
              </w:rPr>
            </w:pPr>
            <w:r w:rsidRPr="004E13E9">
              <w:rPr>
                <w:sz w:val="18"/>
                <w:szCs w:val="18"/>
                <w:lang w:val="en-GB"/>
              </w:rPr>
              <w:t>CONCARNEAU</w:t>
            </w:r>
          </w:p>
        </w:tc>
        <w:tc>
          <w:tcPr>
            <w:tcW w:w="1732" w:type="dxa"/>
            <w:noWrap/>
            <w:vAlign w:val="bottom"/>
            <w:hideMark/>
          </w:tcPr>
          <w:p w14:paraId="7075AE5F"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5D7937BA" w14:textId="77777777" w:rsidTr="00BB4F69">
        <w:trPr>
          <w:trHeight w:val="300"/>
          <w:jc w:val="center"/>
        </w:trPr>
        <w:tc>
          <w:tcPr>
            <w:tcW w:w="4500" w:type="dxa"/>
            <w:noWrap/>
            <w:vAlign w:val="bottom"/>
            <w:hideMark/>
          </w:tcPr>
          <w:p w14:paraId="7CDC7EBA" w14:textId="77777777" w:rsidR="00DF358A" w:rsidRPr="004E13E9" w:rsidRDefault="00DF358A" w:rsidP="00BB4F69">
            <w:pPr>
              <w:rPr>
                <w:sz w:val="18"/>
                <w:szCs w:val="18"/>
                <w:lang w:val="en-GB"/>
              </w:rPr>
            </w:pPr>
            <w:r w:rsidRPr="004E13E9">
              <w:rPr>
                <w:sz w:val="18"/>
                <w:szCs w:val="18"/>
                <w:lang w:val="en-GB"/>
              </w:rPr>
              <w:t>DOUARNENEZ</w:t>
            </w:r>
          </w:p>
        </w:tc>
        <w:tc>
          <w:tcPr>
            <w:tcW w:w="1732" w:type="dxa"/>
            <w:noWrap/>
            <w:vAlign w:val="bottom"/>
            <w:hideMark/>
          </w:tcPr>
          <w:p w14:paraId="31F6A087"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0675BBB9" w14:textId="77777777" w:rsidTr="00BB4F69">
        <w:trPr>
          <w:trHeight w:val="300"/>
          <w:jc w:val="center"/>
        </w:trPr>
        <w:tc>
          <w:tcPr>
            <w:tcW w:w="4500" w:type="dxa"/>
            <w:noWrap/>
            <w:vAlign w:val="bottom"/>
            <w:hideMark/>
          </w:tcPr>
          <w:p w14:paraId="0E5BCEDD" w14:textId="77777777" w:rsidR="00DF358A" w:rsidRPr="004E13E9" w:rsidRDefault="00DF358A" w:rsidP="00BB4F69">
            <w:pPr>
              <w:rPr>
                <w:sz w:val="18"/>
                <w:szCs w:val="18"/>
                <w:lang w:val="en-GB"/>
              </w:rPr>
            </w:pPr>
            <w:r w:rsidRPr="004E13E9">
              <w:rPr>
                <w:sz w:val="18"/>
                <w:szCs w:val="18"/>
                <w:lang w:val="en-GB"/>
              </w:rPr>
              <w:t>ERQUY</w:t>
            </w:r>
          </w:p>
        </w:tc>
        <w:tc>
          <w:tcPr>
            <w:tcW w:w="1732" w:type="dxa"/>
            <w:noWrap/>
            <w:vAlign w:val="bottom"/>
            <w:hideMark/>
          </w:tcPr>
          <w:p w14:paraId="731BA429"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7AAC2C1D" w14:textId="77777777" w:rsidTr="00BB4F69">
        <w:trPr>
          <w:trHeight w:val="300"/>
          <w:jc w:val="center"/>
        </w:trPr>
        <w:tc>
          <w:tcPr>
            <w:tcW w:w="4500" w:type="dxa"/>
            <w:noWrap/>
            <w:vAlign w:val="bottom"/>
            <w:hideMark/>
          </w:tcPr>
          <w:p w14:paraId="6DAF6160" w14:textId="77777777" w:rsidR="00DF358A" w:rsidRPr="004E13E9" w:rsidRDefault="00DF358A" w:rsidP="00BB4F69">
            <w:pPr>
              <w:rPr>
                <w:sz w:val="18"/>
                <w:szCs w:val="18"/>
                <w:lang w:val="en-GB"/>
              </w:rPr>
            </w:pPr>
            <w:r w:rsidRPr="004E13E9">
              <w:rPr>
                <w:sz w:val="18"/>
                <w:szCs w:val="18"/>
                <w:lang w:val="en-GB"/>
              </w:rPr>
              <w:t>FRONTIGNAN PLAGE</w:t>
            </w:r>
          </w:p>
        </w:tc>
        <w:tc>
          <w:tcPr>
            <w:tcW w:w="1732" w:type="dxa"/>
            <w:noWrap/>
            <w:vAlign w:val="bottom"/>
            <w:hideMark/>
          </w:tcPr>
          <w:p w14:paraId="7C37906A"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63382112" w14:textId="77777777" w:rsidTr="00BB4F69">
        <w:trPr>
          <w:trHeight w:val="300"/>
          <w:jc w:val="center"/>
        </w:trPr>
        <w:tc>
          <w:tcPr>
            <w:tcW w:w="4500" w:type="dxa"/>
            <w:noWrap/>
            <w:vAlign w:val="bottom"/>
            <w:hideMark/>
          </w:tcPr>
          <w:p w14:paraId="3A254D3F" w14:textId="77777777" w:rsidR="00DF358A" w:rsidRPr="004E13E9" w:rsidRDefault="00DF358A" w:rsidP="00BB4F69">
            <w:pPr>
              <w:rPr>
                <w:sz w:val="18"/>
                <w:szCs w:val="18"/>
                <w:lang w:val="en-GB"/>
              </w:rPr>
            </w:pPr>
            <w:r w:rsidRPr="004E13E9">
              <w:rPr>
                <w:sz w:val="18"/>
                <w:szCs w:val="18"/>
                <w:lang w:val="en-GB"/>
              </w:rPr>
              <w:t>GALÉRIA</w:t>
            </w:r>
          </w:p>
        </w:tc>
        <w:tc>
          <w:tcPr>
            <w:tcW w:w="1732" w:type="dxa"/>
            <w:noWrap/>
            <w:vAlign w:val="bottom"/>
            <w:hideMark/>
          </w:tcPr>
          <w:p w14:paraId="44113557"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704AE8B3" w14:textId="77777777" w:rsidTr="00BB4F69">
        <w:trPr>
          <w:trHeight w:val="300"/>
          <w:jc w:val="center"/>
        </w:trPr>
        <w:tc>
          <w:tcPr>
            <w:tcW w:w="4500" w:type="dxa"/>
            <w:noWrap/>
            <w:vAlign w:val="bottom"/>
            <w:hideMark/>
          </w:tcPr>
          <w:p w14:paraId="7B59A0E7" w14:textId="77777777" w:rsidR="00DF358A" w:rsidRPr="004E13E9" w:rsidRDefault="00DF358A" w:rsidP="00BB4F69">
            <w:pPr>
              <w:rPr>
                <w:sz w:val="18"/>
                <w:szCs w:val="18"/>
                <w:lang w:val="en-GB"/>
              </w:rPr>
            </w:pPr>
            <w:r w:rsidRPr="004E13E9">
              <w:rPr>
                <w:sz w:val="18"/>
                <w:szCs w:val="18"/>
                <w:lang w:val="en-GB"/>
              </w:rPr>
              <w:t>GRANVILLE</w:t>
            </w:r>
          </w:p>
        </w:tc>
        <w:tc>
          <w:tcPr>
            <w:tcW w:w="1732" w:type="dxa"/>
            <w:noWrap/>
            <w:vAlign w:val="bottom"/>
            <w:hideMark/>
          </w:tcPr>
          <w:p w14:paraId="387EB74D"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1E85302C" w14:textId="77777777" w:rsidTr="00BB4F69">
        <w:trPr>
          <w:trHeight w:val="300"/>
          <w:jc w:val="center"/>
        </w:trPr>
        <w:tc>
          <w:tcPr>
            <w:tcW w:w="4500" w:type="dxa"/>
            <w:noWrap/>
            <w:vAlign w:val="bottom"/>
            <w:hideMark/>
          </w:tcPr>
          <w:p w14:paraId="04CE122B" w14:textId="77777777" w:rsidR="00DF358A" w:rsidRPr="004E13E9" w:rsidRDefault="00DF358A" w:rsidP="00BB4F69">
            <w:pPr>
              <w:rPr>
                <w:sz w:val="18"/>
                <w:szCs w:val="18"/>
                <w:lang w:val="en-GB"/>
              </w:rPr>
            </w:pPr>
            <w:r w:rsidRPr="004E13E9">
              <w:rPr>
                <w:sz w:val="18"/>
                <w:szCs w:val="18"/>
                <w:lang w:val="en-GB"/>
              </w:rPr>
              <w:t>GRAU-DU-ROI</w:t>
            </w:r>
          </w:p>
        </w:tc>
        <w:tc>
          <w:tcPr>
            <w:tcW w:w="1732" w:type="dxa"/>
            <w:noWrap/>
            <w:vAlign w:val="bottom"/>
            <w:hideMark/>
          </w:tcPr>
          <w:p w14:paraId="709BA7E7"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5ABD619D" w14:textId="77777777" w:rsidTr="00BB4F69">
        <w:trPr>
          <w:trHeight w:val="300"/>
          <w:jc w:val="center"/>
        </w:trPr>
        <w:tc>
          <w:tcPr>
            <w:tcW w:w="4500" w:type="dxa"/>
            <w:noWrap/>
            <w:vAlign w:val="bottom"/>
            <w:hideMark/>
          </w:tcPr>
          <w:p w14:paraId="7695C725" w14:textId="77777777" w:rsidR="00DF358A" w:rsidRPr="004E13E9" w:rsidRDefault="00DF358A" w:rsidP="00BB4F69">
            <w:pPr>
              <w:rPr>
                <w:sz w:val="18"/>
                <w:szCs w:val="18"/>
                <w:lang w:val="en-GB"/>
              </w:rPr>
            </w:pPr>
            <w:r w:rsidRPr="004E13E9">
              <w:rPr>
                <w:sz w:val="18"/>
                <w:szCs w:val="18"/>
                <w:lang w:val="en-GB"/>
              </w:rPr>
              <w:t>GRUISSAN</w:t>
            </w:r>
          </w:p>
        </w:tc>
        <w:tc>
          <w:tcPr>
            <w:tcW w:w="1732" w:type="dxa"/>
            <w:noWrap/>
            <w:vAlign w:val="bottom"/>
            <w:hideMark/>
          </w:tcPr>
          <w:p w14:paraId="6B05DB5D"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0F08F8F3" w14:textId="77777777" w:rsidTr="00BB4F69">
        <w:trPr>
          <w:trHeight w:val="300"/>
          <w:jc w:val="center"/>
        </w:trPr>
        <w:tc>
          <w:tcPr>
            <w:tcW w:w="4500" w:type="dxa"/>
            <w:noWrap/>
            <w:vAlign w:val="bottom"/>
            <w:hideMark/>
          </w:tcPr>
          <w:p w14:paraId="2E56B45B" w14:textId="77777777" w:rsidR="00DF358A" w:rsidRPr="004E13E9" w:rsidRDefault="00DF358A" w:rsidP="00BB4F69">
            <w:pPr>
              <w:rPr>
                <w:sz w:val="18"/>
                <w:szCs w:val="18"/>
                <w:lang w:val="en-GB"/>
              </w:rPr>
            </w:pPr>
            <w:r w:rsidRPr="004E13E9">
              <w:rPr>
                <w:sz w:val="18"/>
                <w:szCs w:val="18"/>
                <w:lang w:val="en-GB"/>
              </w:rPr>
              <w:t>HYÈRES</w:t>
            </w:r>
          </w:p>
        </w:tc>
        <w:tc>
          <w:tcPr>
            <w:tcW w:w="1732" w:type="dxa"/>
            <w:noWrap/>
            <w:vAlign w:val="bottom"/>
            <w:hideMark/>
          </w:tcPr>
          <w:p w14:paraId="4F51C540"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6593054F" w14:textId="77777777" w:rsidTr="00BB4F69">
        <w:trPr>
          <w:trHeight w:val="300"/>
          <w:jc w:val="center"/>
        </w:trPr>
        <w:tc>
          <w:tcPr>
            <w:tcW w:w="4500" w:type="dxa"/>
            <w:noWrap/>
            <w:vAlign w:val="bottom"/>
            <w:hideMark/>
          </w:tcPr>
          <w:p w14:paraId="66434DCE" w14:textId="77777777" w:rsidR="00DF358A" w:rsidRPr="004E13E9" w:rsidRDefault="00DF358A" w:rsidP="00BB4F69">
            <w:pPr>
              <w:rPr>
                <w:sz w:val="18"/>
                <w:szCs w:val="18"/>
                <w:lang w:val="en-GB"/>
              </w:rPr>
            </w:pPr>
            <w:r w:rsidRPr="004E13E9">
              <w:rPr>
                <w:sz w:val="18"/>
                <w:szCs w:val="18"/>
                <w:lang w:val="en-GB"/>
              </w:rPr>
              <w:t>HYÈRES</w:t>
            </w:r>
          </w:p>
        </w:tc>
        <w:tc>
          <w:tcPr>
            <w:tcW w:w="1732" w:type="dxa"/>
            <w:noWrap/>
            <w:vAlign w:val="bottom"/>
            <w:hideMark/>
          </w:tcPr>
          <w:p w14:paraId="3F0CB546"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377659A6" w14:textId="77777777" w:rsidTr="00BB4F69">
        <w:trPr>
          <w:trHeight w:val="300"/>
          <w:jc w:val="center"/>
        </w:trPr>
        <w:tc>
          <w:tcPr>
            <w:tcW w:w="4500" w:type="dxa"/>
            <w:noWrap/>
            <w:vAlign w:val="bottom"/>
            <w:hideMark/>
          </w:tcPr>
          <w:p w14:paraId="543FA175" w14:textId="77777777" w:rsidR="00DF358A" w:rsidRPr="004E13E9" w:rsidRDefault="00DF358A" w:rsidP="00BB4F69">
            <w:pPr>
              <w:rPr>
                <w:sz w:val="18"/>
                <w:szCs w:val="18"/>
                <w:lang w:val="en-GB"/>
              </w:rPr>
            </w:pPr>
            <w:r w:rsidRPr="004E13E9">
              <w:rPr>
                <w:sz w:val="18"/>
                <w:szCs w:val="18"/>
                <w:lang w:val="en-GB"/>
              </w:rPr>
              <w:t>L’ÎLE-ROUSSE</w:t>
            </w:r>
          </w:p>
        </w:tc>
        <w:tc>
          <w:tcPr>
            <w:tcW w:w="1732" w:type="dxa"/>
            <w:noWrap/>
            <w:vAlign w:val="bottom"/>
            <w:hideMark/>
          </w:tcPr>
          <w:p w14:paraId="2821E5B7"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0F3F8FE9" w14:textId="77777777" w:rsidTr="00BB4F69">
        <w:trPr>
          <w:trHeight w:val="300"/>
          <w:jc w:val="center"/>
        </w:trPr>
        <w:tc>
          <w:tcPr>
            <w:tcW w:w="4500" w:type="dxa"/>
            <w:noWrap/>
            <w:vAlign w:val="bottom"/>
            <w:hideMark/>
          </w:tcPr>
          <w:p w14:paraId="525A09AC" w14:textId="77777777" w:rsidR="00DF358A" w:rsidRPr="004E13E9" w:rsidRDefault="00DF358A" w:rsidP="00BB4F69">
            <w:pPr>
              <w:rPr>
                <w:sz w:val="18"/>
                <w:szCs w:val="18"/>
                <w:lang w:val="en-GB"/>
              </w:rPr>
            </w:pPr>
            <w:r w:rsidRPr="004E13E9">
              <w:rPr>
                <w:sz w:val="18"/>
                <w:szCs w:val="18"/>
                <w:lang w:val="en-GB"/>
              </w:rPr>
              <w:t>LA CIOTAT</w:t>
            </w:r>
          </w:p>
        </w:tc>
        <w:tc>
          <w:tcPr>
            <w:tcW w:w="1732" w:type="dxa"/>
            <w:noWrap/>
            <w:vAlign w:val="bottom"/>
            <w:hideMark/>
          </w:tcPr>
          <w:p w14:paraId="6331F98D"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48D81217" w14:textId="77777777" w:rsidTr="00BB4F69">
        <w:trPr>
          <w:trHeight w:val="300"/>
          <w:jc w:val="center"/>
        </w:trPr>
        <w:tc>
          <w:tcPr>
            <w:tcW w:w="4500" w:type="dxa"/>
            <w:noWrap/>
            <w:vAlign w:val="bottom"/>
            <w:hideMark/>
          </w:tcPr>
          <w:p w14:paraId="14809086" w14:textId="77777777" w:rsidR="00DF358A" w:rsidRPr="004E13E9" w:rsidRDefault="00DF358A" w:rsidP="00BB4F69">
            <w:pPr>
              <w:rPr>
                <w:sz w:val="18"/>
                <w:szCs w:val="18"/>
                <w:lang w:val="en-GB"/>
              </w:rPr>
            </w:pPr>
            <w:r w:rsidRPr="004E13E9">
              <w:rPr>
                <w:sz w:val="18"/>
                <w:szCs w:val="18"/>
                <w:lang w:val="en-GB"/>
              </w:rPr>
              <w:t>LA COTINIÈRE</w:t>
            </w:r>
          </w:p>
        </w:tc>
        <w:tc>
          <w:tcPr>
            <w:tcW w:w="1732" w:type="dxa"/>
            <w:noWrap/>
            <w:vAlign w:val="bottom"/>
            <w:hideMark/>
          </w:tcPr>
          <w:p w14:paraId="233524F8"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01D4FB75" w14:textId="77777777" w:rsidTr="00BB4F69">
        <w:trPr>
          <w:trHeight w:val="300"/>
          <w:jc w:val="center"/>
        </w:trPr>
        <w:tc>
          <w:tcPr>
            <w:tcW w:w="4500" w:type="dxa"/>
            <w:noWrap/>
            <w:vAlign w:val="bottom"/>
            <w:hideMark/>
          </w:tcPr>
          <w:p w14:paraId="243AC796" w14:textId="77777777" w:rsidR="00DF358A" w:rsidRPr="004E13E9" w:rsidRDefault="00DF358A" w:rsidP="00BB4F69">
            <w:pPr>
              <w:rPr>
                <w:sz w:val="18"/>
                <w:szCs w:val="18"/>
                <w:lang w:val="en-GB"/>
              </w:rPr>
            </w:pPr>
            <w:r w:rsidRPr="004E13E9">
              <w:rPr>
                <w:sz w:val="18"/>
                <w:szCs w:val="18"/>
                <w:lang w:val="en-GB"/>
              </w:rPr>
              <w:t>LA ROCHELLE</w:t>
            </w:r>
          </w:p>
        </w:tc>
        <w:tc>
          <w:tcPr>
            <w:tcW w:w="1732" w:type="dxa"/>
            <w:noWrap/>
            <w:vAlign w:val="bottom"/>
            <w:hideMark/>
          </w:tcPr>
          <w:p w14:paraId="7E07870D"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1BC4ED53" w14:textId="77777777" w:rsidTr="00BB4F69">
        <w:trPr>
          <w:trHeight w:val="300"/>
          <w:jc w:val="center"/>
        </w:trPr>
        <w:tc>
          <w:tcPr>
            <w:tcW w:w="4500" w:type="dxa"/>
            <w:noWrap/>
            <w:vAlign w:val="bottom"/>
            <w:hideMark/>
          </w:tcPr>
          <w:p w14:paraId="62BF632F" w14:textId="77777777" w:rsidR="00DF358A" w:rsidRPr="004E13E9" w:rsidRDefault="00DF358A" w:rsidP="00BB4F69">
            <w:pPr>
              <w:rPr>
                <w:sz w:val="18"/>
                <w:szCs w:val="18"/>
                <w:lang w:val="en-GB"/>
              </w:rPr>
            </w:pPr>
            <w:r w:rsidRPr="004E13E9">
              <w:rPr>
                <w:sz w:val="18"/>
                <w:szCs w:val="18"/>
                <w:lang w:val="en-GB"/>
              </w:rPr>
              <w:t>LA TURBALLE</w:t>
            </w:r>
          </w:p>
        </w:tc>
        <w:tc>
          <w:tcPr>
            <w:tcW w:w="1732" w:type="dxa"/>
            <w:noWrap/>
            <w:vAlign w:val="bottom"/>
            <w:hideMark/>
          </w:tcPr>
          <w:p w14:paraId="634CFE4E"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57B55381" w14:textId="77777777" w:rsidTr="00BB4F69">
        <w:trPr>
          <w:trHeight w:val="300"/>
          <w:jc w:val="center"/>
        </w:trPr>
        <w:tc>
          <w:tcPr>
            <w:tcW w:w="4500" w:type="dxa"/>
            <w:noWrap/>
            <w:vAlign w:val="bottom"/>
            <w:hideMark/>
          </w:tcPr>
          <w:p w14:paraId="6CD14DB6" w14:textId="77777777" w:rsidR="00DF358A" w:rsidRPr="004E13E9" w:rsidRDefault="00DF358A" w:rsidP="00BB4F69">
            <w:pPr>
              <w:rPr>
                <w:sz w:val="18"/>
                <w:szCs w:val="18"/>
                <w:lang w:val="en-GB"/>
              </w:rPr>
            </w:pPr>
            <w:r w:rsidRPr="004E13E9">
              <w:rPr>
                <w:sz w:val="18"/>
                <w:szCs w:val="18"/>
                <w:lang w:val="en-GB"/>
              </w:rPr>
              <w:t>LE BARCARÈS</w:t>
            </w:r>
          </w:p>
        </w:tc>
        <w:tc>
          <w:tcPr>
            <w:tcW w:w="1732" w:type="dxa"/>
            <w:noWrap/>
            <w:vAlign w:val="bottom"/>
            <w:hideMark/>
          </w:tcPr>
          <w:p w14:paraId="349F20AD"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5BB18921" w14:textId="77777777" w:rsidTr="00BB4F69">
        <w:trPr>
          <w:trHeight w:val="300"/>
          <w:jc w:val="center"/>
        </w:trPr>
        <w:tc>
          <w:tcPr>
            <w:tcW w:w="4500" w:type="dxa"/>
            <w:noWrap/>
            <w:vAlign w:val="bottom"/>
            <w:hideMark/>
          </w:tcPr>
          <w:p w14:paraId="625160B7" w14:textId="77777777" w:rsidR="00DF358A" w:rsidRPr="004E13E9" w:rsidRDefault="00DF358A" w:rsidP="00BB4F69">
            <w:pPr>
              <w:rPr>
                <w:sz w:val="18"/>
                <w:szCs w:val="18"/>
                <w:lang w:val="en-GB"/>
              </w:rPr>
            </w:pPr>
            <w:r w:rsidRPr="004E13E9">
              <w:rPr>
                <w:sz w:val="18"/>
                <w:szCs w:val="18"/>
                <w:lang w:val="en-GB"/>
              </w:rPr>
              <w:t>LE CONQUET</w:t>
            </w:r>
          </w:p>
        </w:tc>
        <w:tc>
          <w:tcPr>
            <w:tcW w:w="1732" w:type="dxa"/>
            <w:noWrap/>
            <w:vAlign w:val="bottom"/>
            <w:hideMark/>
          </w:tcPr>
          <w:p w14:paraId="66F8390D"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24A8E7E5" w14:textId="77777777" w:rsidTr="00BB4F69">
        <w:trPr>
          <w:trHeight w:val="300"/>
          <w:jc w:val="center"/>
        </w:trPr>
        <w:tc>
          <w:tcPr>
            <w:tcW w:w="4500" w:type="dxa"/>
            <w:noWrap/>
            <w:vAlign w:val="bottom"/>
            <w:hideMark/>
          </w:tcPr>
          <w:p w14:paraId="44E695EC" w14:textId="77777777" w:rsidR="00DF358A" w:rsidRPr="004E13E9" w:rsidRDefault="00DF358A" w:rsidP="00BB4F69">
            <w:pPr>
              <w:rPr>
                <w:sz w:val="18"/>
                <w:szCs w:val="18"/>
                <w:lang w:val="en-GB"/>
              </w:rPr>
            </w:pPr>
            <w:r w:rsidRPr="004E13E9">
              <w:rPr>
                <w:sz w:val="18"/>
                <w:szCs w:val="18"/>
                <w:lang w:val="en-GB"/>
              </w:rPr>
              <w:t>LE GUILVINEC</w:t>
            </w:r>
          </w:p>
        </w:tc>
        <w:tc>
          <w:tcPr>
            <w:tcW w:w="1732" w:type="dxa"/>
            <w:noWrap/>
            <w:vAlign w:val="bottom"/>
            <w:hideMark/>
          </w:tcPr>
          <w:p w14:paraId="5D125DE4"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786D7EFB" w14:textId="77777777" w:rsidTr="00BB4F69">
        <w:trPr>
          <w:trHeight w:val="300"/>
          <w:jc w:val="center"/>
        </w:trPr>
        <w:tc>
          <w:tcPr>
            <w:tcW w:w="4500" w:type="dxa"/>
            <w:noWrap/>
            <w:vAlign w:val="bottom"/>
            <w:hideMark/>
          </w:tcPr>
          <w:p w14:paraId="7ED4FD86" w14:textId="77777777" w:rsidR="00DF358A" w:rsidRPr="004E13E9" w:rsidRDefault="00DF358A" w:rsidP="00BB4F69">
            <w:pPr>
              <w:rPr>
                <w:sz w:val="18"/>
                <w:szCs w:val="18"/>
                <w:lang w:val="en-GB"/>
              </w:rPr>
            </w:pPr>
            <w:r w:rsidRPr="004E13E9">
              <w:rPr>
                <w:sz w:val="18"/>
                <w:szCs w:val="18"/>
                <w:lang w:val="en-GB"/>
              </w:rPr>
              <w:t>LE LAVANDOU</w:t>
            </w:r>
          </w:p>
        </w:tc>
        <w:tc>
          <w:tcPr>
            <w:tcW w:w="1732" w:type="dxa"/>
            <w:noWrap/>
            <w:vAlign w:val="bottom"/>
            <w:hideMark/>
          </w:tcPr>
          <w:p w14:paraId="4C0F0CDE"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4EF1D3F3" w14:textId="77777777" w:rsidTr="00BB4F69">
        <w:trPr>
          <w:trHeight w:val="300"/>
          <w:jc w:val="center"/>
        </w:trPr>
        <w:tc>
          <w:tcPr>
            <w:tcW w:w="4500" w:type="dxa"/>
            <w:noWrap/>
            <w:vAlign w:val="bottom"/>
            <w:hideMark/>
          </w:tcPr>
          <w:p w14:paraId="1BAD5753" w14:textId="77777777" w:rsidR="00DF358A" w:rsidRPr="004E13E9" w:rsidRDefault="00DF358A" w:rsidP="00BB4F69">
            <w:pPr>
              <w:rPr>
                <w:sz w:val="18"/>
                <w:szCs w:val="18"/>
                <w:lang w:val="en-GB"/>
              </w:rPr>
            </w:pPr>
            <w:r w:rsidRPr="004E13E9">
              <w:rPr>
                <w:sz w:val="18"/>
                <w:szCs w:val="18"/>
                <w:lang w:val="en-GB"/>
              </w:rPr>
              <w:t>LES SABLES D’OLONNE</w:t>
            </w:r>
          </w:p>
        </w:tc>
        <w:tc>
          <w:tcPr>
            <w:tcW w:w="1732" w:type="dxa"/>
            <w:noWrap/>
            <w:vAlign w:val="bottom"/>
            <w:hideMark/>
          </w:tcPr>
          <w:p w14:paraId="63FBD39B"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07194676" w14:textId="77777777" w:rsidTr="00BB4F69">
        <w:trPr>
          <w:trHeight w:val="300"/>
          <w:jc w:val="center"/>
        </w:trPr>
        <w:tc>
          <w:tcPr>
            <w:tcW w:w="4500" w:type="dxa"/>
            <w:noWrap/>
            <w:vAlign w:val="bottom"/>
            <w:hideMark/>
          </w:tcPr>
          <w:p w14:paraId="2E5CE7AC" w14:textId="77777777" w:rsidR="00DF358A" w:rsidRPr="004E13E9" w:rsidRDefault="00DF358A" w:rsidP="00BB4F69">
            <w:pPr>
              <w:rPr>
                <w:sz w:val="18"/>
                <w:szCs w:val="18"/>
                <w:lang w:val="fr-FR"/>
              </w:rPr>
            </w:pPr>
            <w:r w:rsidRPr="004E13E9">
              <w:rPr>
                <w:sz w:val="18"/>
                <w:szCs w:val="18"/>
                <w:lang w:val="fr-FR"/>
              </w:rPr>
              <w:t>LES SAINTES-MARIES -DE-LA-MER</w:t>
            </w:r>
          </w:p>
        </w:tc>
        <w:tc>
          <w:tcPr>
            <w:tcW w:w="1732" w:type="dxa"/>
            <w:noWrap/>
            <w:vAlign w:val="bottom"/>
            <w:hideMark/>
          </w:tcPr>
          <w:p w14:paraId="3D307585"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700FA227" w14:textId="77777777" w:rsidTr="00BB4F69">
        <w:trPr>
          <w:trHeight w:val="300"/>
          <w:jc w:val="center"/>
        </w:trPr>
        <w:tc>
          <w:tcPr>
            <w:tcW w:w="4500" w:type="dxa"/>
            <w:noWrap/>
            <w:vAlign w:val="bottom"/>
            <w:hideMark/>
          </w:tcPr>
          <w:p w14:paraId="6FB0D9DB" w14:textId="77777777" w:rsidR="00DF358A" w:rsidRPr="004E13E9" w:rsidRDefault="00DF358A" w:rsidP="00BB4F69">
            <w:pPr>
              <w:rPr>
                <w:sz w:val="18"/>
                <w:szCs w:val="18"/>
                <w:lang w:val="en-GB"/>
              </w:rPr>
            </w:pPr>
            <w:r w:rsidRPr="004E13E9">
              <w:rPr>
                <w:sz w:val="18"/>
                <w:szCs w:val="18"/>
                <w:lang w:val="en-GB"/>
              </w:rPr>
              <w:t>LEUCATE</w:t>
            </w:r>
          </w:p>
        </w:tc>
        <w:tc>
          <w:tcPr>
            <w:tcW w:w="1732" w:type="dxa"/>
            <w:noWrap/>
            <w:vAlign w:val="bottom"/>
            <w:hideMark/>
          </w:tcPr>
          <w:p w14:paraId="6EA2A137"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6D2E418E" w14:textId="77777777" w:rsidTr="00BB4F69">
        <w:trPr>
          <w:trHeight w:val="300"/>
          <w:jc w:val="center"/>
        </w:trPr>
        <w:tc>
          <w:tcPr>
            <w:tcW w:w="4500" w:type="dxa"/>
            <w:noWrap/>
            <w:vAlign w:val="bottom"/>
            <w:hideMark/>
          </w:tcPr>
          <w:p w14:paraId="22CCB705" w14:textId="77777777" w:rsidR="00DF358A" w:rsidRPr="004E13E9" w:rsidRDefault="00DF358A" w:rsidP="00BB4F69">
            <w:pPr>
              <w:rPr>
                <w:sz w:val="18"/>
                <w:szCs w:val="18"/>
                <w:lang w:val="en-GB"/>
              </w:rPr>
            </w:pPr>
            <w:r w:rsidRPr="004E13E9">
              <w:rPr>
                <w:sz w:val="18"/>
                <w:szCs w:val="18"/>
                <w:lang w:val="en-GB"/>
              </w:rPr>
              <w:t>LOGUIVY-DE-LA-MER</w:t>
            </w:r>
          </w:p>
        </w:tc>
        <w:tc>
          <w:tcPr>
            <w:tcW w:w="1732" w:type="dxa"/>
            <w:noWrap/>
            <w:vAlign w:val="bottom"/>
            <w:hideMark/>
          </w:tcPr>
          <w:p w14:paraId="2295F03E"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52D4C664" w14:textId="77777777" w:rsidTr="00BB4F69">
        <w:trPr>
          <w:trHeight w:val="300"/>
          <w:jc w:val="center"/>
        </w:trPr>
        <w:tc>
          <w:tcPr>
            <w:tcW w:w="4500" w:type="dxa"/>
            <w:noWrap/>
            <w:vAlign w:val="bottom"/>
            <w:hideMark/>
          </w:tcPr>
          <w:p w14:paraId="2295C5EB" w14:textId="77777777" w:rsidR="00DF358A" w:rsidRPr="004E13E9" w:rsidRDefault="00DF358A" w:rsidP="00BB4F69">
            <w:pPr>
              <w:rPr>
                <w:sz w:val="18"/>
                <w:szCs w:val="18"/>
                <w:lang w:val="en-GB"/>
              </w:rPr>
            </w:pPr>
            <w:r w:rsidRPr="004E13E9">
              <w:rPr>
                <w:sz w:val="18"/>
                <w:szCs w:val="18"/>
                <w:lang w:val="en-GB"/>
              </w:rPr>
              <w:t>LORIENT</w:t>
            </w:r>
          </w:p>
        </w:tc>
        <w:tc>
          <w:tcPr>
            <w:tcW w:w="1732" w:type="dxa"/>
            <w:noWrap/>
            <w:vAlign w:val="bottom"/>
            <w:hideMark/>
          </w:tcPr>
          <w:p w14:paraId="66D6A069"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437E45EE" w14:textId="77777777" w:rsidTr="00BB4F69">
        <w:trPr>
          <w:trHeight w:val="300"/>
          <w:jc w:val="center"/>
        </w:trPr>
        <w:tc>
          <w:tcPr>
            <w:tcW w:w="4500" w:type="dxa"/>
            <w:noWrap/>
            <w:vAlign w:val="bottom"/>
            <w:hideMark/>
          </w:tcPr>
          <w:p w14:paraId="47CBD9E5" w14:textId="77777777" w:rsidR="00DF358A" w:rsidRPr="004E13E9" w:rsidRDefault="00DF358A" w:rsidP="00BB4F69">
            <w:pPr>
              <w:rPr>
                <w:sz w:val="18"/>
                <w:szCs w:val="18"/>
                <w:lang w:val="en-GB"/>
              </w:rPr>
            </w:pPr>
            <w:r w:rsidRPr="004E13E9">
              <w:rPr>
                <w:sz w:val="18"/>
                <w:szCs w:val="18"/>
                <w:lang w:val="en-GB"/>
              </w:rPr>
              <w:t>MACCINAGGIO</w:t>
            </w:r>
          </w:p>
        </w:tc>
        <w:tc>
          <w:tcPr>
            <w:tcW w:w="1732" w:type="dxa"/>
            <w:noWrap/>
            <w:vAlign w:val="bottom"/>
            <w:hideMark/>
          </w:tcPr>
          <w:p w14:paraId="727311C9"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2B685993" w14:textId="77777777" w:rsidTr="00BB4F69">
        <w:trPr>
          <w:trHeight w:val="300"/>
          <w:jc w:val="center"/>
        </w:trPr>
        <w:tc>
          <w:tcPr>
            <w:tcW w:w="4500" w:type="dxa"/>
            <w:noWrap/>
            <w:vAlign w:val="bottom"/>
            <w:hideMark/>
          </w:tcPr>
          <w:p w14:paraId="5E4D835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MARSEILLAN PLAGE</w:t>
            </w:r>
          </w:p>
        </w:tc>
        <w:tc>
          <w:tcPr>
            <w:tcW w:w="1732" w:type="dxa"/>
            <w:noWrap/>
            <w:vAlign w:val="bottom"/>
            <w:hideMark/>
          </w:tcPr>
          <w:p w14:paraId="5EB39BA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EU-France</w:t>
            </w:r>
          </w:p>
        </w:tc>
      </w:tr>
      <w:tr w:rsidR="00DF358A" w:rsidRPr="004E13E9" w14:paraId="4C4AFFBE" w14:textId="77777777" w:rsidTr="00BB4F69">
        <w:trPr>
          <w:trHeight w:val="300"/>
          <w:jc w:val="center"/>
        </w:trPr>
        <w:tc>
          <w:tcPr>
            <w:tcW w:w="4500" w:type="dxa"/>
            <w:noWrap/>
            <w:vAlign w:val="bottom"/>
            <w:hideMark/>
          </w:tcPr>
          <w:p w14:paraId="5D411D70" w14:textId="77777777" w:rsidR="00DF358A" w:rsidRPr="004E13E9" w:rsidRDefault="00DF358A" w:rsidP="00BB4F69">
            <w:pPr>
              <w:rPr>
                <w:sz w:val="18"/>
                <w:szCs w:val="18"/>
                <w:lang w:val="en-GB"/>
              </w:rPr>
            </w:pPr>
            <w:r w:rsidRPr="004E13E9">
              <w:rPr>
                <w:sz w:val="18"/>
                <w:szCs w:val="18"/>
                <w:lang w:val="en-GB"/>
              </w:rPr>
              <w:t>MARSEILLE</w:t>
            </w:r>
          </w:p>
        </w:tc>
        <w:tc>
          <w:tcPr>
            <w:tcW w:w="1732" w:type="dxa"/>
            <w:noWrap/>
            <w:vAlign w:val="bottom"/>
            <w:hideMark/>
          </w:tcPr>
          <w:p w14:paraId="26134501"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167C3260" w14:textId="77777777" w:rsidTr="00BB4F69">
        <w:trPr>
          <w:trHeight w:val="300"/>
          <w:jc w:val="center"/>
        </w:trPr>
        <w:tc>
          <w:tcPr>
            <w:tcW w:w="4500" w:type="dxa"/>
            <w:noWrap/>
            <w:vAlign w:val="bottom"/>
            <w:hideMark/>
          </w:tcPr>
          <w:p w14:paraId="744207B1" w14:textId="77777777" w:rsidR="00DF358A" w:rsidRPr="004E13E9" w:rsidRDefault="00DF358A" w:rsidP="00BB4F69">
            <w:pPr>
              <w:rPr>
                <w:sz w:val="18"/>
                <w:szCs w:val="18"/>
                <w:lang w:val="en-GB"/>
              </w:rPr>
            </w:pPr>
            <w:r w:rsidRPr="004E13E9">
              <w:rPr>
                <w:sz w:val="18"/>
                <w:szCs w:val="18"/>
                <w:lang w:val="en-GB"/>
              </w:rPr>
              <w:t>MARTIGUES</w:t>
            </w:r>
          </w:p>
        </w:tc>
        <w:tc>
          <w:tcPr>
            <w:tcW w:w="1732" w:type="dxa"/>
            <w:noWrap/>
            <w:vAlign w:val="bottom"/>
            <w:hideMark/>
          </w:tcPr>
          <w:p w14:paraId="242E122E"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77431255" w14:textId="77777777" w:rsidTr="00BB4F69">
        <w:trPr>
          <w:trHeight w:val="300"/>
          <w:jc w:val="center"/>
        </w:trPr>
        <w:tc>
          <w:tcPr>
            <w:tcW w:w="4500" w:type="dxa"/>
            <w:noWrap/>
            <w:vAlign w:val="bottom"/>
            <w:hideMark/>
          </w:tcPr>
          <w:p w14:paraId="35A5412D" w14:textId="77777777" w:rsidR="00DF358A" w:rsidRPr="004E13E9" w:rsidRDefault="00DF358A" w:rsidP="00BB4F69">
            <w:pPr>
              <w:rPr>
                <w:sz w:val="18"/>
                <w:szCs w:val="18"/>
                <w:lang w:val="en-GB"/>
              </w:rPr>
            </w:pPr>
            <w:r w:rsidRPr="004E13E9">
              <w:rPr>
                <w:sz w:val="18"/>
                <w:szCs w:val="18"/>
                <w:lang w:val="en-GB"/>
              </w:rPr>
              <w:t>MENTON</w:t>
            </w:r>
          </w:p>
        </w:tc>
        <w:tc>
          <w:tcPr>
            <w:tcW w:w="1732" w:type="dxa"/>
            <w:noWrap/>
            <w:vAlign w:val="bottom"/>
            <w:hideMark/>
          </w:tcPr>
          <w:p w14:paraId="1FC22CF2"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162E602B" w14:textId="77777777" w:rsidTr="00BB4F69">
        <w:trPr>
          <w:trHeight w:val="300"/>
          <w:jc w:val="center"/>
        </w:trPr>
        <w:tc>
          <w:tcPr>
            <w:tcW w:w="4500" w:type="dxa"/>
            <w:noWrap/>
            <w:vAlign w:val="bottom"/>
            <w:hideMark/>
          </w:tcPr>
          <w:p w14:paraId="63233F96" w14:textId="77777777" w:rsidR="00DF358A" w:rsidRPr="004E13E9" w:rsidRDefault="00DF358A" w:rsidP="00BB4F69">
            <w:pPr>
              <w:rPr>
                <w:sz w:val="18"/>
                <w:szCs w:val="18"/>
                <w:lang w:val="en-GB"/>
              </w:rPr>
            </w:pPr>
            <w:r w:rsidRPr="004E13E9">
              <w:rPr>
                <w:sz w:val="18"/>
                <w:szCs w:val="18"/>
                <w:lang w:val="en-GB"/>
              </w:rPr>
              <w:t>PALAVAS-LES-FLOTS</w:t>
            </w:r>
          </w:p>
        </w:tc>
        <w:tc>
          <w:tcPr>
            <w:tcW w:w="1732" w:type="dxa"/>
            <w:noWrap/>
            <w:vAlign w:val="bottom"/>
            <w:hideMark/>
          </w:tcPr>
          <w:p w14:paraId="5A4B4F4F"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712CE42B" w14:textId="77777777" w:rsidTr="00BB4F69">
        <w:trPr>
          <w:trHeight w:val="300"/>
          <w:jc w:val="center"/>
        </w:trPr>
        <w:tc>
          <w:tcPr>
            <w:tcW w:w="4500" w:type="dxa"/>
            <w:noWrap/>
            <w:vAlign w:val="bottom"/>
            <w:hideMark/>
          </w:tcPr>
          <w:p w14:paraId="0C2C1CA1" w14:textId="77777777" w:rsidR="00DF358A" w:rsidRPr="004E13E9" w:rsidRDefault="00DF358A" w:rsidP="00BB4F69">
            <w:pPr>
              <w:rPr>
                <w:sz w:val="18"/>
                <w:szCs w:val="18"/>
                <w:lang w:val="en-GB"/>
              </w:rPr>
            </w:pPr>
            <w:r w:rsidRPr="004E13E9">
              <w:rPr>
                <w:sz w:val="18"/>
                <w:szCs w:val="18"/>
                <w:lang w:val="en-GB"/>
              </w:rPr>
              <w:t>PORT DE BOUC</w:t>
            </w:r>
          </w:p>
        </w:tc>
        <w:tc>
          <w:tcPr>
            <w:tcW w:w="1732" w:type="dxa"/>
            <w:noWrap/>
            <w:vAlign w:val="bottom"/>
            <w:hideMark/>
          </w:tcPr>
          <w:p w14:paraId="1352F926"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134CD984" w14:textId="77777777" w:rsidTr="00BB4F69">
        <w:trPr>
          <w:trHeight w:val="300"/>
          <w:jc w:val="center"/>
        </w:trPr>
        <w:tc>
          <w:tcPr>
            <w:tcW w:w="4500" w:type="dxa"/>
            <w:noWrap/>
            <w:vAlign w:val="bottom"/>
            <w:hideMark/>
          </w:tcPr>
          <w:p w14:paraId="623A3CC1" w14:textId="77777777" w:rsidR="00DF358A" w:rsidRPr="004E13E9" w:rsidRDefault="00DF358A" w:rsidP="00BB4F69">
            <w:pPr>
              <w:rPr>
                <w:sz w:val="18"/>
                <w:szCs w:val="18"/>
                <w:lang w:val="fr-FR"/>
              </w:rPr>
            </w:pPr>
            <w:r w:rsidRPr="004E13E9">
              <w:rPr>
                <w:sz w:val="18"/>
                <w:szCs w:val="18"/>
                <w:lang w:val="fr-FR"/>
              </w:rPr>
              <w:t>PORT SAINT LOUIS DU RHÔNE</w:t>
            </w:r>
          </w:p>
        </w:tc>
        <w:tc>
          <w:tcPr>
            <w:tcW w:w="1732" w:type="dxa"/>
            <w:noWrap/>
            <w:vAlign w:val="bottom"/>
            <w:hideMark/>
          </w:tcPr>
          <w:p w14:paraId="6F39B11F"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5278702F" w14:textId="77777777" w:rsidTr="00BB4F69">
        <w:trPr>
          <w:trHeight w:val="300"/>
          <w:jc w:val="center"/>
        </w:trPr>
        <w:tc>
          <w:tcPr>
            <w:tcW w:w="4500" w:type="dxa"/>
            <w:noWrap/>
            <w:vAlign w:val="bottom"/>
            <w:hideMark/>
          </w:tcPr>
          <w:p w14:paraId="06415C1F" w14:textId="77777777" w:rsidR="00DF358A" w:rsidRPr="004E13E9" w:rsidRDefault="00DF358A" w:rsidP="00BB4F69">
            <w:pPr>
              <w:rPr>
                <w:sz w:val="18"/>
                <w:szCs w:val="18"/>
                <w:lang w:val="en-GB"/>
              </w:rPr>
            </w:pPr>
            <w:r w:rsidRPr="004E13E9">
              <w:rPr>
                <w:sz w:val="18"/>
                <w:szCs w:val="18"/>
                <w:lang w:val="en-GB"/>
              </w:rPr>
              <w:t>PORT-LA-NOUVELLE</w:t>
            </w:r>
          </w:p>
        </w:tc>
        <w:tc>
          <w:tcPr>
            <w:tcW w:w="1732" w:type="dxa"/>
            <w:noWrap/>
            <w:vAlign w:val="bottom"/>
            <w:hideMark/>
          </w:tcPr>
          <w:p w14:paraId="1477C976"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55F8F852" w14:textId="77777777" w:rsidTr="00BB4F69">
        <w:trPr>
          <w:trHeight w:val="300"/>
          <w:jc w:val="center"/>
        </w:trPr>
        <w:tc>
          <w:tcPr>
            <w:tcW w:w="4500" w:type="dxa"/>
            <w:noWrap/>
            <w:vAlign w:val="bottom"/>
            <w:hideMark/>
          </w:tcPr>
          <w:p w14:paraId="71749D6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PORT-VENDRES</w:t>
            </w:r>
          </w:p>
        </w:tc>
        <w:tc>
          <w:tcPr>
            <w:tcW w:w="1732" w:type="dxa"/>
            <w:noWrap/>
            <w:vAlign w:val="bottom"/>
            <w:hideMark/>
          </w:tcPr>
          <w:p w14:paraId="21C6781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EU-France</w:t>
            </w:r>
          </w:p>
        </w:tc>
      </w:tr>
      <w:tr w:rsidR="00DF358A" w:rsidRPr="004E13E9" w14:paraId="1D218245" w14:textId="77777777" w:rsidTr="00BB4F69">
        <w:trPr>
          <w:trHeight w:val="300"/>
          <w:jc w:val="center"/>
        </w:trPr>
        <w:tc>
          <w:tcPr>
            <w:tcW w:w="4500" w:type="dxa"/>
            <w:noWrap/>
            <w:vAlign w:val="bottom"/>
            <w:hideMark/>
          </w:tcPr>
          <w:p w14:paraId="4B5B3AF4" w14:textId="77777777" w:rsidR="00DF358A" w:rsidRPr="004E13E9" w:rsidRDefault="00DF358A" w:rsidP="00BB4F69">
            <w:pPr>
              <w:rPr>
                <w:sz w:val="18"/>
                <w:szCs w:val="18"/>
                <w:lang w:val="en-GB"/>
              </w:rPr>
            </w:pPr>
            <w:r w:rsidRPr="004E13E9">
              <w:rPr>
                <w:sz w:val="18"/>
                <w:szCs w:val="18"/>
                <w:lang w:val="en-GB"/>
              </w:rPr>
              <w:t>PORTO-VECCHIO</w:t>
            </w:r>
          </w:p>
        </w:tc>
        <w:tc>
          <w:tcPr>
            <w:tcW w:w="1732" w:type="dxa"/>
            <w:noWrap/>
            <w:vAlign w:val="bottom"/>
            <w:hideMark/>
          </w:tcPr>
          <w:p w14:paraId="05F18254"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7D720AE5" w14:textId="77777777" w:rsidTr="00BB4F69">
        <w:trPr>
          <w:trHeight w:val="300"/>
          <w:jc w:val="center"/>
        </w:trPr>
        <w:tc>
          <w:tcPr>
            <w:tcW w:w="4500" w:type="dxa"/>
            <w:noWrap/>
            <w:vAlign w:val="bottom"/>
            <w:hideMark/>
          </w:tcPr>
          <w:p w14:paraId="298F5BEC" w14:textId="77777777" w:rsidR="00DF358A" w:rsidRPr="004E13E9" w:rsidRDefault="00DF358A" w:rsidP="00BB4F69">
            <w:pPr>
              <w:rPr>
                <w:sz w:val="18"/>
                <w:szCs w:val="18"/>
                <w:lang w:val="en-GB"/>
              </w:rPr>
            </w:pPr>
            <w:r w:rsidRPr="004E13E9">
              <w:rPr>
                <w:sz w:val="18"/>
                <w:szCs w:val="18"/>
                <w:lang w:val="en-GB"/>
              </w:rPr>
              <w:t>PROPRIANO</w:t>
            </w:r>
          </w:p>
        </w:tc>
        <w:tc>
          <w:tcPr>
            <w:tcW w:w="1732" w:type="dxa"/>
            <w:noWrap/>
            <w:vAlign w:val="bottom"/>
            <w:hideMark/>
          </w:tcPr>
          <w:p w14:paraId="7BC631D1"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19B95243" w14:textId="77777777" w:rsidTr="00BB4F69">
        <w:trPr>
          <w:trHeight w:val="300"/>
          <w:jc w:val="center"/>
        </w:trPr>
        <w:tc>
          <w:tcPr>
            <w:tcW w:w="4500" w:type="dxa"/>
            <w:noWrap/>
            <w:vAlign w:val="bottom"/>
            <w:hideMark/>
          </w:tcPr>
          <w:p w14:paraId="1B18E9A8" w14:textId="77777777" w:rsidR="00DF358A" w:rsidRPr="004E13E9" w:rsidRDefault="00DF358A" w:rsidP="00BB4F69">
            <w:pPr>
              <w:rPr>
                <w:sz w:val="18"/>
                <w:szCs w:val="18"/>
                <w:lang w:val="en-GB"/>
              </w:rPr>
            </w:pPr>
            <w:r w:rsidRPr="004E13E9">
              <w:rPr>
                <w:sz w:val="18"/>
                <w:szCs w:val="18"/>
                <w:lang w:val="en-GB"/>
              </w:rPr>
              <w:t>QUIBERON</w:t>
            </w:r>
          </w:p>
        </w:tc>
        <w:tc>
          <w:tcPr>
            <w:tcW w:w="1732" w:type="dxa"/>
            <w:noWrap/>
            <w:vAlign w:val="bottom"/>
            <w:hideMark/>
          </w:tcPr>
          <w:p w14:paraId="25C88C41"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1C8C5331" w14:textId="77777777" w:rsidTr="00BB4F69">
        <w:trPr>
          <w:trHeight w:val="300"/>
          <w:jc w:val="center"/>
        </w:trPr>
        <w:tc>
          <w:tcPr>
            <w:tcW w:w="4500" w:type="dxa"/>
            <w:noWrap/>
            <w:vAlign w:val="bottom"/>
            <w:hideMark/>
          </w:tcPr>
          <w:p w14:paraId="7595941A" w14:textId="77777777" w:rsidR="00DF358A" w:rsidRPr="004E13E9" w:rsidRDefault="00DF358A" w:rsidP="00BB4F69">
            <w:pPr>
              <w:rPr>
                <w:sz w:val="18"/>
                <w:szCs w:val="18"/>
                <w:lang w:val="en-GB"/>
              </w:rPr>
            </w:pPr>
            <w:r w:rsidRPr="004E13E9">
              <w:rPr>
                <w:sz w:val="18"/>
                <w:szCs w:val="18"/>
                <w:lang w:val="en-GB"/>
              </w:rPr>
              <w:t>ROSCOFF</w:t>
            </w:r>
          </w:p>
        </w:tc>
        <w:tc>
          <w:tcPr>
            <w:tcW w:w="1732" w:type="dxa"/>
            <w:noWrap/>
            <w:vAlign w:val="bottom"/>
            <w:hideMark/>
          </w:tcPr>
          <w:p w14:paraId="065F9964"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51B1AA8E" w14:textId="77777777" w:rsidTr="00BB4F69">
        <w:trPr>
          <w:trHeight w:val="300"/>
          <w:jc w:val="center"/>
        </w:trPr>
        <w:tc>
          <w:tcPr>
            <w:tcW w:w="4500" w:type="dxa"/>
            <w:noWrap/>
            <w:vAlign w:val="bottom"/>
            <w:hideMark/>
          </w:tcPr>
          <w:p w14:paraId="4E604BAD" w14:textId="77777777" w:rsidR="00DF358A" w:rsidRPr="004E13E9" w:rsidRDefault="00DF358A" w:rsidP="00BB4F69">
            <w:pPr>
              <w:rPr>
                <w:sz w:val="18"/>
                <w:szCs w:val="18"/>
                <w:lang w:val="en-GB"/>
              </w:rPr>
            </w:pPr>
            <w:r w:rsidRPr="004E13E9">
              <w:rPr>
                <w:sz w:val="18"/>
                <w:szCs w:val="18"/>
                <w:lang w:val="en-GB"/>
              </w:rPr>
              <w:t>ROYAN</w:t>
            </w:r>
          </w:p>
        </w:tc>
        <w:tc>
          <w:tcPr>
            <w:tcW w:w="1732" w:type="dxa"/>
            <w:noWrap/>
            <w:vAlign w:val="bottom"/>
            <w:hideMark/>
          </w:tcPr>
          <w:p w14:paraId="5F44139F"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24033E05" w14:textId="77777777" w:rsidTr="00BB4F69">
        <w:trPr>
          <w:trHeight w:val="300"/>
          <w:jc w:val="center"/>
        </w:trPr>
        <w:tc>
          <w:tcPr>
            <w:tcW w:w="4500" w:type="dxa"/>
            <w:noWrap/>
            <w:vAlign w:val="bottom"/>
            <w:hideMark/>
          </w:tcPr>
          <w:p w14:paraId="27E8E3BA" w14:textId="77777777" w:rsidR="00DF358A" w:rsidRPr="004E13E9" w:rsidRDefault="00DF358A" w:rsidP="00BB4F69">
            <w:pPr>
              <w:rPr>
                <w:sz w:val="18"/>
                <w:szCs w:val="18"/>
                <w:lang w:val="en-GB"/>
              </w:rPr>
            </w:pPr>
            <w:r w:rsidRPr="004E13E9">
              <w:rPr>
                <w:sz w:val="18"/>
                <w:szCs w:val="18"/>
                <w:lang w:val="en-GB"/>
              </w:rPr>
              <w:t>SAGONE</w:t>
            </w:r>
          </w:p>
        </w:tc>
        <w:tc>
          <w:tcPr>
            <w:tcW w:w="1732" w:type="dxa"/>
            <w:noWrap/>
            <w:vAlign w:val="bottom"/>
            <w:hideMark/>
          </w:tcPr>
          <w:p w14:paraId="2C751DC1"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39A9988B" w14:textId="77777777" w:rsidTr="00BB4F69">
        <w:trPr>
          <w:trHeight w:val="300"/>
          <w:jc w:val="center"/>
        </w:trPr>
        <w:tc>
          <w:tcPr>
            <w:tcW w:w="4500" w:type="dxa"/>
            <w:noWrap/>
            <w:vAlign w:val="bottom"/>
            <w:hideMark/>
          </w:tcPr>
          <w:p w14:paraId="2B6F158B" w14:textId="77777777" w:rsidR="00DF358A" w:rsidRPr="004E13E9" w:rsidRDefault="00DF358A" w:rsidP="00BB4F69">
            <w:pPr>
              <w:rPr>
                <w:sz w:val="18"/>
                <w:szCs w:val="18"/>
                <w:lang w:val="fr-FR"/>
              </w:rPr>
            </w:pPr>
            <w:r w:rsidRPr="004E13E9">
              <w:rPr>
                <w:sz w:val="18"/>
                <w:szCs w:val="18"/>
                <w:lang w:val="fr-FR"/>
              </w:rPr>
              <w:t>SAINT GILLES CROIX DE VIE</w:t>
            </w:r>
          </w:p>
        </w:tc>
        <w:tc>
          <w:tcPr>
            <w:tcW w:w="1732" w:type="dxa"/>
            <w:noWrap/>
            <w:vAlign w:val="bottom"/>
            <w:hideMark/>
          </w:tcPr>
          <w:p w14:paraId="5F9A3329"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2CBE5B2B" w14:textId="77777777" w:rsidTr="00BB4F69">
        <w:trPr>
          <w:trHeight w:val="300"/>
          <w:jc w:val="center"/>
        </w:trPr>
        <w:tc>
          <w:tcPr>
            <w:tcW w:w="4500" w:type="dxa"/>
            <w:noWrap/>
            <w:vAlign w:val="bottom"/>
            <w:hideMark/>
          </w:tcPr>
          <w:p w14:paraId="3A4DCE82" w14:textId="77777777" w:rsidR="00DF358A" w:rsidRPr="004E13E9" w:rsidRDefault="00DF358A" w:rsidP="00BB4F69">
            <w:pPr>
              <w:rPr>
                <w:sz w:val="18"/>
                <w:szCs w:val="18"/>
                <w:lang w:val="en-GB"/>
              </w:rPr>
            </w:pPr>
            <w:r w:rsidRPr="004E13E9">
              <w:rPr>
                <w:sz w:val="18"/>
                <w:szCs w:val="18"/>
                <w:lang w:val="en-GB"/>
              </w:rPr>
              <w:t>SAINT JEAN CAP FERRAT</w:t>
            </w:r>
          </w:p>
        </w:tc>
        <w:tc>
          <w:tcPr>
            <w:tcW w:w="1732" w:type="dxa"/>
            <w:noWrap/>
            <w:vAlign w:val="bottom"/>
            <w:hideMark/>
          </w:tcPr>
          <w:p w14:paraId="55F82C0A"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020E3E61" w14:textId="77777777" w:rsidTr="00BB4F69">
        <w:trPr>
          <w:trHeight w:val="300"/>
          <w:jc w:val="center"/>
        </w:trPr>
        <w:tc>
          <w:tcPr>
            <w:tcW w:w="4500" w:type="dxa"/>
            <w:noWrap/>
            <w:vAlign w:val="bottom"/>
            <w:hideMark/>
          </w:tcPr>
          <w:p w14:paraId="1DBC4ACD" w14:textId="77777777" w:rsidR="00DF358A" w:rsidRPr="004E13E9" w:rsidRDefault="00DF358A" w:rsidP="00BB4F69">
            <w:pPr>
              <w:rPr>
                <w:sz w:val="18"/>
                <w:szCs w:val="18"/>
                <w:lang w:val="en-GB"/>
              </w:rPr>
            </w:pPr>
            <w:r w:rsidRPr="004E13E9">
              <w:rPr>
                <w:sz w:val="18"/>
                <w:szCs w:val="18"/>
                <w:lang w:val="en-GB"/>
              </w:rPr>
              <w:t>SAINT MALO</w:t>
            </w:r>
          </w:p>
        </w:tc>
        <w:tc>
          <w:tcPr>
            <w:tcW w:w="1732" w:type="dxa"/>
            <w:noWrap/>
            <w:vAlign w:val="bottom"/>
            <w:hideMark/>
          </w:tcPr>
          <w:p w14:paraId="5B8E6D91"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0DE1D3E2" w14:textId="77777777" w:rsidTr="00BB4F69">
        <w:trPr>
          <w:trHeight w:val="300"/>
          <w:jc w:val="center"/>
        </w:trPr>
        <w:tc>
          <w:tcPr>
            <w:tcW w:w="4500" w:type="dxa"/>
            <w:noWrap/>
            <w:vAlign w:val="bottom"/>
            <w:hideMark/>
          </w:tcPr>
          <w:p w14:paraId="777BB586"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SAINT MANDRIER</w:t>
            </w:r>
          </w:p>
        </w:tc>
        <w:tc>
          <w:tcPr>
            <w:tcW w:w="1732" w:type="dxa"/>
            <w:noWrap/>
            <w:vAlign w:val="bottom"/>
            <w:hideMark/>
          </w:tcPr>
          <w:p w14:paraId="5FEFCEE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EU-France</w:t>
            </w:r>
          </w:p>
        </w:tc>
      </w:tr>
      <w:tr w:rsidR="00DF358A" w:rsidRPr="004E13E9" w14:paraId="5ED21B57" w14:textId="77777777" w:rsidTr="00BB4F69">
        <w:trPr>
          <w:trHeight w:val="300"/>
          <w:jc w:val="center"/>
        </w:trPr>
        <w:tc>
          <w:tcPr>
            <w:tcW w:w="4500" w:type="dxa"/>
            <w:noWrap/>
            <w:vAlign w:val="bottom"/>
            <w:hideMark/>
          </w:tcPr>
          <w:p w14:paraId="2B8A35A8" w14:textId="77777777" w:rsidR="00DF358A" w:rsidRPr="004E13E9" w:rsidRDefault="00DF358A" w:rsidP="00BB4F69">
            <w:pPr>
              <w:rPr>
                <w:sz w:val="18"/>
                <w:szCs w:val="18"/>
                <w:lang w:val="en-GB"/>
              </w:rPr>
            </w:pPr>
            <w:r w:rsidRPr="004E13E9">
              <w:rPr>
                <w:sz w:val="18"/>
                <w:szCs w:val="18"/>
                <w:lang w:val="en-GB"/>
              </w:rPr>
              <w:t>SAINT-CYPRIEN</w:t>
            </w:r>
          </w:p>
        </w:tc>
        <w:tc>
          <w:tcPr>
            <w:tcW w:w="1732" w:type="dxa"/>
            <w:noWrap/>
            <w:vAlign w:val="bottom"/>
            <w:hideMark/>
          </w:tcPr>
          <w:p w14:paraId="70393C7B"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0B6FA874" w14:textId="77777777" w:rsidTr="00BB4F69">
        <w:trPr>
          <w:trHeight w:val="300"/>
          <w:jc w:val="center"/>
        </w:trPr>
        <w:tc>
          <w:tcPr>
            <w:tcW w:w="4500" w:type="dxa"/>
            <w:noWrap/>
            <w:vAlign w:val="bottom"/>
            <w:hideMark/>
          </w:tcPr>
          <w:p w14:paraId="3D6FBEBC" w14:textId="77777777" w:rsidR="00DF358A" w:rsidRPr="004E13E9" w:rsidRDefault="00DF358A" w:rsidP="00BB4F69">
            <w:pPr>
              <w:rPr>
                <w:sz w:val="18"/>
                <w:szCs w:val="18"/>
                <w:lang w:val="en-GB"/>
              </w:rPr>
            </w:pPr>
            <w:r w:rsidRPr="004E13E9">
              <w:rPr>
                <w:sz w:val="18"/>
                <w:szCs w:val="18"/>
                <w:lang w:val="en-GB"/>
              </w:rPr>
              <w:t>SAINT-FLORENT</w:t>
            </w:r>
          </w:p>
        </w:tc>
        <w:tc>
          <w:tcPr>
            <w:tcW w:w="1732" w:type="dxa"/>
            <w:noWrap/>
            <w:vAlign w:val="bottom"/>
            <w:hideMark/>
          </w:tcPr>
          <w:p w14:paraId="02F4FBE1"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6540D97C" w14:textId="77777777" w:rsidTr="00BB4F69">
        <w:trPr>
          <w:trHeight w:val="300"/>
          <w:jc w:val="center"/>
        </w:trPr>
        <w:tc>
          <w:tcPr>
            <w:tcW w:w="4500" w:type="dxa"/>
            <w:noWrap/>
            <w:vAlign w:val="bottom"/>
            <w:hideMark/>
          </w:tcPr>
          <w:p w14:paraId="559E2915" w14:textId="77777777" w:rsidR="00DF358A" w:rsidRPr="004E13E9" w:rsidRDefault="00DF358A" w:rsidP="00BB4F69">
            <w:pPr>
              <w:rPr>
                <w:sz w:val="18"/>
                <w:szCs w:val="18"/>
                <w:lang w:val="en-GB"/>
              </w:rPr>
            </w:pPr>
            <w:r w:rsidRPr="004E13E9">
              <w:rPr>
                <w:sz w:val="18"/>
                <w:szCs w:val="18"/>
                <w:lang w:val="en-GB"/>
              </w:rPr>
              <w:t>SAINT-JEAN-DE-LUZ</w:t>
            </w:r>
          </w:p>
        </w:tc>
        <w:tc>
          <w:tcPr>
            <w:tcW w:w="1732" w:type="dxa"/>
            <w:noWrap/>
            <w:vAlign w:val="bottom"/>
            <w:hideMark/>
          </w:tcPr>
          <w:p w14:paraId="2F9AEB47"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63D0F23F" w14:textId="77777777" w:rsidTr="00BB4F69">
        <w:trPr>
          <w:trHeight w:val="300"/>
          <w:jc w:val="center"/>
        </w:trPr>
        <w:tc>
          <w:tcPr>
            <w:tcW w:w="4500" w:type="dxa"/>
            <w:noWrap/>
            <w:vAlign w:val="bottom"/>
            <w:hideMark/>
          </w:tcPr>
          <w:p w14:paraId="03E449F6" w14:textId="77777777" w:rsidR="00DF358A" w:rsidRPr="004E13E9" w:rsidRDefault="00DF358A" w:rsidP="00BB4F69">
            <w:pPr>
              <w:rPr>
                <w:sz w:val="18"/>
                <w:szCs w:val="18"/>
                <w:lang w:val="en-GB"/>
              </w:rPr>
            </w:pPr>
            <w:r w:rsidRPr="004E13E9">
              <w:rPr>
                <w:sz w:val="18"/>
                <w:szCs w:val="18"/>
                <w:lang w:val="en-GB"/>
              </w:rPr>
              <w:t>SAINT-QUAY-PORTRIEUX</w:t>
            </w:r>
          </w:p>
        </w:tc>
        <w:tc>
          <w:tcPr>
            <w:tcW w:w="1732" w:type="dxa"/>
            <w:noWrap/>
            <w:vAlign w:val="bottom"/>
            <w:hideMark/>
          </w:tcPr>
          <w:p w14:paraId="67F602A9"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492EAD94" w14:textId="77777777" w:rsidTr="00BB4F69">
        <w:trPr>
          <w:trHeight w:val="300"/>
          <w:jc w:val="center"/>
        </w:trPr>
        <w:tc>
          <w:tcPr>
            <w:tcW w:w="4500" w:type="dxa"/>
            <w:noWrap/>
            <w:vAlign w:val="bottom"/>
            <w:hideMark/>
          </w:tcPr>
          <w:p w14:paraId="61EA4775" w14:textId="77777777" w:rsidR="00DF358A" w:rsidRPr="004E13E9" w:rsidRDefault="00DF358A" w:rsidP="00BB4F69">
            <w:pPr>
              <w:rPr>
                <w:sz w:val="18"/>
                <w:szCs w:val="18"/>
                <w:lang w:val="en-GB"/>
              </w:rPr>
            </w:pPr>
            <w:r w:rsidRPr="004E13E9">
              <w:rPr>
                <w:sz w:val="18"/>
                <w:szCs w:val="18"/>
                <w:lang w:val="en-GB"/>
              </w:rPr>
              <w:t>SAINT-RAPHAËL</w:t>
            </w:r>
          </w:p>
        </w:tc>
        <w:tc>
          <w:tcPr>
            <w:tcW w:w="1732" w:type="dxa"/>
            <w:noWrap/>
            <w:vAlign w:val="bottom"/>
            <w:hideMark/>
          </w:tcPr>
          <w:p w14:paraId="73C434E8"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34771DB4" w14:textId="77777777" w:rsidTr="00BB4F69">
        <w:trPr>
          <w:trHeight w:val="300"/>
          <w:jc w:val="center"/>
        </w:trPr>
        <w:tc>
          <w:tcPr>
            <w:tcW w:w="4500" w:type="dxa"/>
            <w:noWrap/>
            <w:vAlign w:val="bottom"/>
            <w:hideMark/>
          </w:tcPr>
          <w:p w14:paraId="1EC5E60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SAN'T AMBROGGIO</w:t>
            </w:r>
          </w:p>
        </w:tc>
        <w:tc>
          <w:tcPr>
            <w:tcW w:w="1732" w:type="dxa"/>
            <w:noWrap/>
            <w:vAlign w:val="bottom"/>
            <w:hideMark/>
          </w:tcPr>
          <w:p w14:paraId="291562AC"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EU-France</w:t>
            </w:r>
          </w:p>
        </w:tc>
      </w:tr>
      <w:tr w:rsidR="00DF358A" w:rsidRPr="004E13E9" w14:paraId="0C9B89C5" w14:textId="77777777" w:rsidTr="00BB4F69">
        <w:trPr>
          <w:trHeight w:val="300"/>
          <w:jc w:val="center"/>
        </w:trPr>
        <w:tc>
          <w:tcPr>
            <w:tcW w:w="4500" w:type="dxa"/>
            <w:noWrap/>
            <w:vAlign w:val="bottom"/>
            <w:hideMark/>
          </w:tcPr>
          <w:p w14:paraId="58BB453A" w14:textId="77777777" w:rsidR="00DF358A" w:rsidRPr="004E13E9" w:rsidRDefault="00DF358A" w:rsidP="00BB4F69">
            <w:pPr>
              <w:rPr>
                <w:sz w:val="18"/>
                <w:szCs w:val="18"/>
                <w:lang w:val="en-GB"/>
              </w:rPr>
            </w:pPr>
            <w:r w:rsidRPr="004E13E9">
              <w:rPr>
                <w:sz w:val="18"/>
                <w:szCs w:val="18"/>
                <w:lang w:val="en-GB"/>
              </w:rPr>
              <w:t>SANARY</w:t>
            </w:r>
          </w:p>
        </w:tc>
        <w:tc>
          <w:tcPr>
            <w:tcW w:w="1732" w:type="dxa"/>
            <w:noWrap/>
            <w:vAlign w:val="bottom"/>
            <w:hideMark/>
          </w:tcPr>
          <w:p w14:paraId="235B9CD0"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73036F58" w14:textId="77777777" w:rsidTr="00BB4F69">
        <w:trPr>
          <w:trHeight w:val="300"/>
          <w:jc w:val="center"/>
        </w:trPr>
        <w:tc>
          <w:tcPr>
            <w:tcW w:w="4500" w:type="dxa"/>
            <w:noWrap/>
            <w:vAlign w:val="bottom"/>
            <w:hideMark/>
          </w:tcPr>
          <w:p w14:paraId="4600F281" w14:textId="77777777" w:rsidR="00DF358A" w:rsidRPr="004E13E9" w:rsidRDefault="00DF358A" w:rsidP="00BB4F69">
            <w:pPr>
              <w:rPr>
                <w:sz w:val="18"/>
                <w:szCs w:val="18"/>
                <w:lang w:val="en-GB"/>
              </w:rPr>
            </w:pPr>
            <w:r w:rsidRPr="004E13E9">
              <w:rPr>
                <w:sz w:val="18"/>
                <w:szCs w:val="18"/>
                <w:lang w:val="en-GB"/>
              </w:rPr>
              <w:t>SANTA MARIA POGGIO</w:t>
            </w:r>
          </w:p>
        </w:tc>
        <w:tc>
          <w:tcPr>
            <w:tcW w:w="1732" w:type="dxa"/>
            <w:noWrap/>
            <w:vAlign w:val="bottom"/>
            <w:hideMark/>
          </w:tcPr>
          <w:p w14:paraId="2D641196"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4FD2B956" w14:textId="77777777" w:rsidTr="00BB4F69">
        <w:trPr>
          <w:trHeight w:val="300"/>
          <w:jc w:val="center"/>
        </w:trPr>
        <w:tc>
          <w:tcPr>
            <w:tcW w:w="4500" w:type="dxa"/>
            <w:noWrap/>
            <w:vAlign w:val="bottom"/>
            <w:hideMark/>
          </w:tcPr>
          <w:p w14:paraId="65D38A96" w14:textId="77777777" w:rsidR="00DF358A" w:rsidRPr="004E13E9" w:rsidRDefault="00DF358A" w:rsidP="00BB4F69">
            <w:pPr>
              <w:rPr>
                <w:sz w:val="18"/>
                <w:szCs w:val="18"/>
                <w:lang w:val="en-GB"/>
              </w:rPr>
            </w:pPr>
            <w:r w:rsidRPr="004E13E9">
              <w:rPr>
                <w:sz w:val="18"/>
                <w:szCs w:val="18"/>
                <w:lang w:val="en-GB"/>
              </w:rPr>
              <w:t>SARI-SOLENZARA</w:t>
            </w:r>
          </w:p>
        </w:tc>
        <w:tc>
          <w:tcPr>
            <w:tcW w:w="1732" w:type="dxa"/>
            <w:noWrap/>
            <w:vAlign w:val="bottom"/>
            <w:hideMark/>
          </w:tcPr>
          <w:p w14:paraId="7F789400"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33C316FF" w14:textId="77777777" w:rsidTr="00BB4F69">
        <w:trPr>
          <w:trHeight w:val="300"/>
          <w:jc w:val="center"/>
        </w:trPr>
        <w:tc>
          <w:tcPr>
            <w:tcW w:w="4500" w:type="dxa"/>
            <w:noWrap/>
            <w:vAlign w:val="bottom"/>
            <w:hideMark/>
          </w:tcPr>
          <w:p w14:paraId="621D0376" w14:textId="77777777" w:rsidR="00DF358A" w:rsidRPr="004E13E9" w:rsidRDefault="00DF358A" w:rsidP="00BB4F69">
            <w:pPr>
              <w:rPr>
                <w:sz w:val="18"/>
                <w:szCs w:val="18"/>
                <w:lang w:val="en-GB"/>
              </w:rPr>
            </w:pPr>
            <w:r w:rsidRPr="004E13E9">
              <w:rPr>
                <w:sz w:val="18"/>
                <w:szCs w:val="18"/>
                <w:lang w:val="en-GB"/>
              </w:rPr>
              <w:t>SÈTE</w:t>
            </w:r>
          </w:p>
        </w:tc>
        <w:tc>
          <w:tcPr>
            <w:tcW w:w="1732" w:type="dxa"/>
            <w:noWrap/>
            <w:vAlign w:val="bottom"/>
            <w:hideMark/>
          </w:tcPr>
          <w:p w14:paraId="0E1AC34D"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6FE220BD" w14:textId="77777777" w:rsidTr="00BB4F69">
        <w:trPr>
          <w:trHeight w:val="300"/>
          <w:jc w:val="center"/>
        </w:trPr>
        <w:tc>
          <w:tcPr>
            <w:tcW w:w="4500" w:type="dxa"/>
            <w:noWrap/>
            <w:vAlign w:val="bottom"/>
            <w:hideMark/>
          </w:tcPr>
          <w:p w14:paraId="5E560D0D" w14:textId="77777777" w:rsidR="00DF358A" w:rsidRPr="004E13E9" w:rsidRDefault="00DF358A" w:rsidP="00BB4F69">
            <w:pPr>
              <w:rPr>
                <w:sz w:val="18"/>
                <w:szCs w:val="18"/>
                <w:lang w:val="en-GB"/>
              </w:rPr>
            </w:pPr>
            <w:r w:rsidRPr="004E13E9">
              <w:rPr>
                <w:sz w:val="18"/>
                <w:szCs w:val="18"/>
                <w:lang w:val="en-GB"/>
              </w:rPr>
              <w:t>THÉOULE SUR MER</w:t>
            </w:r>
          </w:p>
        </w:tc>
        <w:tc>
          <w:tcPr>
            <w:tcW w:w="1732" w:type="dxa"/>
            <w:noWrap/>
            <w:vAlign w:val="bottom"/>
            <w:hideMark/>
          </w:tcPr>
          <w:p w14:paraId="263F9274"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5700DC99" w14:textId="77777777" w:rsidTr="00BB4F69">
        <w:trPr>
          <w:trHeight w:val="300"/>
          <w:jc w:val="center"/>
        </w:trPr>
        <w:tc>
          <w:tcPr>
            <w:tcW w:w="4500" w:type="dxa"/>
            <w:noWrap/>
            <w:vAlign w:val="bottom"/>
            <w:hideMark/>
          </w:tcPr>
          <w:p w14:paraId="510EE021" w14:textId="77777777" w:rsidR="00DF358A" w:rsidRPr="004E13E9" w:rsidRDefault="00DF358A" w:rsidP="00BB4F69">
            <w:pPr>
              <w:rPr>
                <w:sz w:val="18"/>
                <w:szCs w:val="18"/>
                <w:lang w:val="en-GB"/>
              </w:rPr>
            </w:pPr>
            <w:r w:rsidRPr="004E13E9">
              <w:rPr>
                <w:sz w:val="18"/>
                <w:szCs w:val="18"/>
                <w:lang w:val="en-GB"/>
              </w:rPr>
              <w:t>TIZZANO</w:t>
            </w:r>
          </w:p>
        </w:tc>
        <w:tc>
          <w:tcPr>
            <w:tcW w:w="1732" w:type="dxa"/>
            <w:noWrap/>
            <w:vAlign w:val="bottom"/>
            <w:hideMark/>
          </w:tcPr>
          <w:p w14:paraId="42B93A5D"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6486985C" w14:textId="77777777" w:rsidTr="00BB4F69">
        <w:trPr>
          <w:trHeight w:val="300"/>
          <w:jc w:val="center"/>
        </w:trPr>
        <w:tc>
          <w:tcPr>
            <w:tcW w:w="4500" w:type="dxa"/>
            <w:noWrap/>
            <w:vAlign w:val="bottom"/>
            <w:hideMark/>
          </w:tcPr>
          <w:p w14:paraId="571BB91D" w14:textId="77777777" w:rsidR="00DF358A" w:rsidRPr="004E13E9" w:rsidRDefault="00DF358A" w:rsidP="00BB4F69">
            <w:pPr>
              <w:rPr>
                <w:sz w:val="18"/>
                <w:szCs w:val="18"/>
                <w:lang w:val="en-GB"/>
              </w:rPr>
            </w:pPr>
            <w:r w:rsidRPr="004E13E9">
              <w:rPr>
                <w:sz w:val="18"/>
                <w:szCs w:val="18"/>
                <w:lang w:val="en-GB"/>
              </w:rPr>
              <w:t>TOULON</w:t>
            </w:r>
          </w:p>
        </w:tc>
        <w:tc>
          <w:tcPr>
            <w:tcW w:w="1732" w:type="dxa"/>
            <w:noWrap/>
            <w:vAlign w:val="bottom"/>
            <w:hideMark/>
          </w:tcPr>
          <w:p w14:paraId="5D997E13"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37883CE1" w14:textId="77777777" w:rsidTr="00BB4F69">
        <w:trPr>
          <w:trHeight w:val="300"/>
          <w:jc w:val="center"/>
        </w:trPr>
        <w:tc>
          <w:tcPr>
            <w:tcW w:w="4500" w:type="dxa"/>
            <w:noWrap/>
            <w:vAlign w:val="bottom"/>
            <w:hideMark/>
          </w:tcPr>
          <w:p w14:paraId="1A8FEC1F" w14:textId="77777777" w:rsidR="00DF358A" w:rsidRPr="004E13E9" w:rsidRDefault="00DF358A" w:rsidP="00BB4F69">
            <w:pPr>
              <w:rPr>
                <w:sz w:val="18"/>
                <w:szCs w:val="18"/>
                <w:lang w:val="en-GB"/>
              </w:rPr>
            </w:pPr>
            <w:r w:rsidRPr="004E13E9">
              <w:rPr>
                <w:sz w:val="18"/>
                <w:szCs w:val="18"/>
                <w:lang w:val="en-GB"/>
              </w:rPr>
              <w:t>TREBEURDEN</w:t>
            </w:r>
          </w:p>
        </w:tc>
        <w:tc>
          <w:tcPr>
            <w:tcW w:w="1732" w:type="dxa"/>
            <w:noWrap/>
            <w:vAlign w:val="bottom"/>
            <w:hideMark/>
          </w:tcPr>
          <w:p w14:paraId="1E622DEA"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45F9F3FB" w14:textId="77777777" w:rsidTr="00BB4F69">
        <w:trPr>
          <w:trHeight w:val="300"/>
          <w:jc w:val="center"/>
        </w:trPr>
        <w:tc>
          <w:tcPr>
            <w:tcW w:w="4500" w:type="dxa"/>
            <w:noWrap/>
            <w:vAlign w:val="bottom"/>
            <w:hideMark/>
          </w:tcPr>
          <w:p w14:paraId="00945989" w14:textId="77777777" w:rsidR="00DF358A" w:rsidRPr="004E13E9" w:rsidRDefault="00DF358A" w:rsidP="00BB4F69">
            <w:pPr>
              <w:rPr>
                <w:sz w:val="18"/>
                <w:szCs w:val="18"/>
                <w:lang w:val="en-GB"/>
              </w:rPr>
            </w:pPr>
            <w:r w:rsidRPr="004E13E9">
              <w:rPr>
                <w:sz w:val="18"/>
                <w:szCs w:val="18"/>
                <w:lang w:val="en-GB"/>
              </w:rPr>
              <w:t>VALLAURIS GOLFE-JUAN</w:t>
            </w:r>
          </w:p>
        </w:tc>
        <w:tc>
          <w:tcPr>
            <w:tcW w:w="1732" w:type="dxa"/>
            <w:noWrap/>
            <w:vAlign w:val="bottom"/>
            <w:hideMark/>
          </w:tcPr>
          <w:p w14:paraId="563B8F6C" w14:textId="77777777" w:rsidR="00DF358A" w:rsidRPr="004E13E9" w:rsidRDefault="00DF358A" w:rsidP="00BB4F69">
            <w:pPr>
              <w:rPr>
                <w:sz w:val="18"/>
                <w:szCs w:val="18"/>
                <w:lang w:val="en-GB"/>
              </w:rPr>
            </w:pPr>
            <w:r w:rsidRPr="004E13E9">
              <w:rPr>
                <w:sz w:val="18"/>
                <w:szCs w:val="18"/>
                <w:lang w:val="en-GB"/>
              </w:rPr>
              <w:t>EU-France</w:t>
            </w:r>
          </w:p>
        </w:tc>
      </w:tr>
      <w:tr w:rsidR="00DF358A" w:rsidRPr="004E13E9" w14:paraId="2C8A7358" w14:textId="77777777" w:rsidTr="00BB4F69">
        <w:trPr>
          <w:trHeight w:val="300"/>
          <w:jc w:val="center"/>
        </w:trPr>
        <w:tc>
          <w:tcPr>
            <w:tcW w:w="4500" w:type="dxa"/>
            <w:noWrap/>
            <w:vAlign w:val="bottom"/>
            <w:hideMark/>
          </w:tcPr>
          <w:p w14:paraId="2111D00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ACHILLEIO MAGNISIAS</w:t>
            </w:r>
          </w:p>
        </w:tc>
        <w:tc>
          <w:tcPr>
            <w:tcW w:w="1732" w:type="dxa"/>
            <w:noWrap/>
            <w:vAlign w:val="bottom"/>
            <w:hideMark/>
          </w:tcPr>
          <w:p w14:paraId="43659ED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048021C" w14:textId="77777777" w:rsidTr="00BB4F69">
        <w:trPr>
          <w:trHeight w:val="300"/>
          <w:jc w:val="center"/>
        </w:trPr>
        <w:tc>
          <w:tcPr>
            <w:tcW w:w="4500" w:type="dxa"/>
            <w:noWrap/>
            <w:vAlign w:val="bottom"/>
            <w:hideMark/>
          </w:tcPr>
          <w:p w14:paraId="5677D26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ADAMANTAS </w:t>
            </w:r>
          </w:p>
        </w:tc>
        <w:tc>
          <w:tcPr>
            <w:tcW w:w="1732" w:type="dxa"/>
            <w:noWrap/>
            <w:vAlign w:val="bottom"/>
            <w:hideMark/>
          </w:tcPr>
          <w:p w14:paraId="4DCEC42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53B5C5AD" w14:textId="77777777" w:rsidTr="00BB4F69">
        <w:trPr>
          <w:trHeight w:val="300"/>
          <w:jc w:val="center"/>
        </w:trPr>
        <w:tc>
          <w:tcPr>
            <w:tcW w:w="4500" w:type="dxa"/>
            <w:noWrap/>
            <w:vAlign w:val="bottom"/>
            <w:hideMark/>
          </w:tcPr>
          <w:p w14:paraId="35859BE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AGIA ANNA NAXOU</w:t>
            </w:r>
          </w:p>
        </w:tc>
        <w:tc>
          <w:tcPr>
            <w:tcW w:w="1732" w:type="dxa"/>
            <w:noWrap/>
            <w:vAlign w:val="bottom"/>
            <w:hideMark/>
          </w:tcPr>
          <w:p w14:paraId="61BABB7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0299871" w14:textId="77777777" w:rsidTr="00BB4F69">
        <w:trPr>
          <w:trHeight w:val="300"/>
          <w:jc w:val="center"/>
        </w:trPr>
        <w:tc>
          <w:tcPr>
            <w:tcW w:w="4500" w:type="dxa"/>
            <w:noWrap/>
            <w:vAlign w:val="bottom"/>
            <w:hideMark/>
          </w:tcPr>
          <w:p w14:paraId="7F6D5FB3" w14:textId="77777777" w:rsidR="00DF358A" w:rsidRPr="004E13E9" w:rsidRDefault="00DF358A" w:rsidP="00BB4F69">
            <w:pPr>
              <w:rPr>
                <w:sz w:val="18"/>
                <w:szCs w:val="18"/>
                <w:lang w:val="en-GB"/>
              </w:rPr>
            </w:pPr>
            <w:r w:rsidRPr="004E13E9">
              <w:rPr>
                <w:sz w:val="18"/>
                <w:szCs w:val="18"/>
                <w:lang w:val="en-GB"/>
              </w:rPr>
              <w:t xml:space="preserve">AGIA GALINI </w:t>
            </w:r>
            <w:r w:rsidRPr="004E13E9">
              <w:rPr>
                <w:rFonts w:eastAsia="Times New Roman"/>
                <w:sz w:val="18"/>
                <w:szCs w:val="18"/>
                <w:lang w:val="en-GB" w:eastAsia="en-GB"/>
              </w:rPr>
              <w:t>RETHYMNOU</w:t>
            </w:r>
          </w:p>
        </w:tc>
        <w:tc>
          <w:tcPr>
            <w:tcW w:w="1732" w:type="dxa"/>
            <w:noWrap/>
            <w:vAlign w:val="bottom"/>
            <w:hideMark/>
          </w:tcPr>
          <w:p w14:paraId="21FD5EC6"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31A5AA23" w14:textId="77777777" w:rsidTr="00BB4F69">
        <w:trPr>
          <w:trHeight w:val="300"/>
          <w:jc w:val="center"/>
        </w:trPr>
        <w:tc>
          <w:tcPr>
            <w:tcW w:w="4500" w:type="dxa"/>
            <w:noWrap/>
            <w:vAlign w:val="bottom"/>
            <w:hideMark/>
          </w:tcPr>
          <w:p w14:paraId="26C9D79B" w14:textId="77777777" w:rsidR="00DF358A" w:rsidRPr="004E13E9" w:rsidRDefault="00DF358A" w:rsidP="00BB4F69">
            <w:pPr>
              <w:rPr>
                <w:sz w:val="18"/>
                <w:szCs w:val="18"/>
                <w:lang w:val="en-GB"/>
              </w:rPr>
            </w:pPr>
            <w:r w:rsidRPr="004E13E9">
              <w:rPr>
                <w:sz w:val="18"/>
                <w:szCs w:val="18"/>
                <w:lang w:val="en-GB"/>
              </w:rPr>
              <w:t xml:space="preserve">AGIA KYRIAKI </w:t>
            </w:r>
            <w:r w:rsidRPr="004E13E9">
              <w:rPr>
                <w:rFonts w:eastAsia="Times New Roman"/>
                <w:sz w:val="18"/>
                <w:szCs w:val="18"/>
                <w:lang w:val="en-GB" w:eastAsia="en-GB"/>
              </w:rPr>
              <w:t>TRIKERON</w:t>
            </w:r>
          </w:p>
        </w:tc>
        <w:tc>
          <w:tcPr>
            <w:tcW w:w="1732" w:type="dxa"/>
            <w:noWrap/>
            <w:vAlign w:val="bottom"/>
            <w:hideMark/>
          </w:tcPr>
          <w:p w14:paraId="286123C3"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49E436A2" w14:textId="77777777" w:rsidTr="00BB4F69">
        <w:trPr>
          <w:trHeight w:val="300"/>
          <w:jc w:val="center"/>
        </w:trPr>
        <w:tc>
          <w:tcPr>
            <w:tcW w:w="4500" w:type="dxa"/>
            <w:noWrap/>
            <w:vAlign w:val="bottom"/>
            <w:hideMark/>
          </w:tcPr>
          <w:p w14:paraId="3B7CC054" w14:textId="77777777" w:rsidR="00DF358A" w:rsidRPr="004E13E9" w:rsidRDefault="00DF358A" w:rsidP="00BB4F69">
            <w:pPr>
              <w:rPr>
                <w:sz w:val="18"/>
                <w:szCs w:val="18"/>
                <w:lang w:val="en-GB"/>
              </w:rPr>
            </w:pPr>
            <w:r w:rsidRPr="004E13E9">
              <w:rPr>
                <w:rFonts w:eastAsia="Times New Roman"/>
                <w:sz w:val="18"/>
                <w:szCs w:val="18"/>
                <w:lang w:val="en-GB" w:eastAsia="en-GB"/>
              </w:rPr>
              <w:t xml:space="preserve">AGIA MARINA (LEROS) </w:t>
            </w:r>
          </w:p>
        </w:tc>
        <w:tc>
          <w:tcPr>
            <w:tcW w:w="1732" w:type="dxa"/>
            <w:noWrap/>
            <w:vAlign w:val="bottom"/>
            <w:hideMark/>
          </w:tcPr>
          <w:p w14:paraId="3BEB3886"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3F271936" w14:textId="77777777" w:rsidTr="00BB4F69">
        <w:trPr>
          <w:trHeight w:val="300"/>
          <w:jc w:val="center"/>
        </w:trPr>
        <w:tc>
          <w:tcPr>
            <w:tcW w:w="4500" w:type="dxa"/>
            <w:noWrap/>
            <w:vAlign w:val="bottom"/>
            <w:hideMark/>
          </w:tcPr>
          <w:p w14:paraId="5310C96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AGIA SOTIRA LIMNOU</w:t>
            </w:r>
          </w:p>
        </w:tc>
        <w:tc>
          <w:tcPr>
            <w:tcW w:w="1732" w:type="dxa"/>
            <w:noWrap/>
            <w:vAlign w:val="bottom"/>
            <w:hideMark/>
          </w:tcPr>
          <w:p w14:paraId="460B6B7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E53DA7E" w14:textId="77777777" w:rsidTr="00BB4F69">
        <w:trPr>
          <w:trHeight w:val="300"/>
          <w:jc w:val="center"/>
        </w:trPr>
        <w:tc>
          <w:tcPr>
            <w:tcW w:w="4500" w:type="dxa"/>
            <w:noWrap/>
            <w:vAlign w:val="bottom"/>
            <w:hideMark/>
          </w:tcPr>
          <w:p w14:paraId="59FF0A0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AGIOKAMPOS </w:t>
            </w:r>
          </w:p>
        </w:tc>
        <w:tc>
          <w:tcPr>
            <w:tcW w:w="1732" w:type="dxa"/>
            <w:noWrap/>
            <w:vAlign w:val="bottom"/>
            <w:hideMark/>
          </w:tcPr>
          <w:p w14:paraId="283181F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2E566D5" w14:textId="77777777" w:rsidTr="00BB4F69">
        <w:trPr>
          <w:trHeight w:val="300"/>
          <w:jc w:val="center"/>
        </w:trPr>
        <w:tc>
          <w:tcPr>
            <w:tcW w:w="4500" w:type="dxa"/>
            <w:noWrap/>
            <w:vAlign w:val="bottom"/>
            <w:hideMark/>
          </w:tcPr>
          <w:p w14:paraId="41F1CD9E" w14:textId="77777777" w:rsidR="00DF358A" w:rsidRPr="004E13E9" w:rsidRDefault="00DF358A" w:rsidP="00BB4F69">
            <w:pPr>
              <w:rPr>
                <w:sz w:val="18"/>
                <w:szCs w:val="18"/>
                <w:lang w:val="en-GB"/>
              </w:rPr>
            </w:pPr>
            <w:r w:rsidRPr="004E13E9">
              <w:rPr>
                <w:sz w:val="18"/>
                <w:szCs w:val="18"/>
                <w:lang w:val="en-GB"/>
              </w:rPr>
              <w:t xml:space="preserve">AGIOS EFSTRATIOS </w:t>
            </w:r>
          </w:p>
        </w:tc>
        <w:tc>
          <w:tcPr>
            <w:tcW w:w="1732" w:type="dxa"/>
            <w:noWrap/>
            <w:vAlign w:val="bottom"/>
            <w:hideMark/>
          </w:tcPr>
          <w:p w14:paraId="746A08ED"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0C857616" w14:textId="77777777" w:rsidTr="00BB4F69">
        <w:trPr>
          <w:trHeight w:val="300"/>
          <w:jc w:val="center"/>
        </w:trPr>
        <w:tc>
          <w:tcPr>
            <w:tcW w:w="4500" w:type="dxa"/>
            <w:noWrap/>
            <w:vAlign w:val="bottom"/>
            <w:hideMark/>
          </w:tcPr>
          <w:p w14:paraId="55A6C13C"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AGIOS GEORGIOS LICHADAS</w:t>
            </w:r>
          </w:p>
        </w:tc>
        <w:tc>
          <w:tcPr>
            <w:tcW w:w="1732" w:type="dxa"/>
            <w:noWrap/>
            <w:vAlign w:val="bottom"/>
            <w:hideMark/>
          </w:tcPr>
          <w:p w14:paraId="794FFC0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2625033" w14:textId="77777777" w:rsidTr="00BB4F69">
        <w:trPr>
          <w:trHeight w:val="300"/>
          <w:jc w:val="center"/>
        </w:trPr>
        <w:tc>
          <w:tcPr>
            <w:tcW w:w="4500" w:type="dxa"/>
            <w:noWrap/>
            <w:vAlign w:val="bottom"/>
            <w:hideMark/>
          </w:tcPr>
          <w:p w14:paraId="770FEB1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AGIOS IOANNIS (PILIOU)</w:t>
            </w:r>
          </w:p>
        </w:tc>
        <w:tc>
          <w:tcPr>
            <w:tcW w:w="1732" w:type="dxa"/>
            <w:noWrap/>
            <w:vAlign w:val="bottom"/>
            <w:hideMark/>
          </w:tcPr>
          <w:p w14:paraId="38BB3EB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5F3C513" w14:textId="77777777" w:rsidTr="00BB4F69">
        <w:trPr>
          <w:trHeight w:val="300"/>
          <w:jc w:val="center"/>
        </w:trPr>
        <w:tc>
          <w:tcPr>
            <w:tcW w:w="4500" w:type="dxa"/>
            <w:noWrap/>
            <w:vAlign w:val="bottom"/>
            <w:hideMark/>
          </w:tcPr>
          <w:p w14:paraId="10AB53D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AGIOS IOANNIS THEOLOGOS</w:t>
            </w:r>
          </w:p>
        </w:tc>
        <w:tc>
          <w:tcPr>
            <w:tcW w:w="1732" w:type="dxa"/>
            <w:noWrap/>
            <w:vAlign w:val="bottom"/>
            <w:hideMark/>
          </w:tcPr>
          <w:p w14:paraId="17BC82D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F29DA58" w14:textId="77777777" w:rsidTr="00BB4F69">
        <w:trPr>
          <w:trHeight w:val="300"/>
          <w:jc w:val="center"/>
        </w:trPr>
        <w:tc>
          <w:tcPr>
            <w:tcW w:w="4500" w:type="dxa"/>
            <w:noWrap/>
            <w:vAlign w:val="bottom"/>
            <w:hideMark/>
          </w:tcPr>
          <w:p w14:paraId="63DC3D5F" w14:textId="77777777" w:rsidR="00DF358A" w:rsidRPr="004E13E9" w:rsidRDefault="00DF358A" w:rsidP="00BB4F69">
            <w:pPr>
              <w:rPr>
                <w:sz w:val="18"/>
                <w:szCs w:val="18"/>
                <w:lang w:val="en-GB"/>
              </w:rPr>
            </w:pPr>
            <w:r w:rsidRPr="004E13E9">
              <w:rPr>
                <w:sz w:val="18"/>
                <w:szCs w:val="18"/>
                <w:lang w:val="en-GB"/>
              </w:rPr>
              <w:t xml:space="preserve">AGIOS KIRYKOS </w:t>
            </w:r>
            <w:r w:rsidRPr="004E13E9">
              <w:rPr>
                <w:rFonts w:eastAsia="Times New Roman"/>
                <w:sz w:val="18"/>
                <w:szCs w:val="18"/>
                <w:lang w:val="en-GB" w:eastAsia="en-GB"/>
              </w:rPr>
              <w:t>IKARIAS</w:t>
            </w:r>
          </w:p>
        </w:tc>
        <w:tc>
          <w:tcPr>
            <w:tcW w:w="1732" w:type="dxa"/>
            <w:noWrap/>
            <w:vAlign w:val="bottom"/>
            <w:hideMark/>
          </w:tcPr>
          <w:p w14:paraId="132B4CB1"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5138DCBA" w14:textId="77777777" w:rsidTr="00BB4F69">
        <w:trPr>
          <w:trHeight w:val="300"/>
          <w:jc w:val="center"/>
        </w:trPr>
        <w:tc>
          <w:tcPr>
            <w:tcW w:w="4500" w:type="dxa"/>
            <w:noWrap/>
            <w:vAlign w:val="bottom"/>
            <w:hideMark/>
          </w:tcPr>
          <w:p w14:paraId="03AA5D1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AGIOS KONSTANTINOS FTHIOTIDAS </w:t>
            </w:r>
          </w:p>
        </w:tc>
        <w:tc>
          <w:tcPr>
            <w:tcW w:w="1732" w:type="dxa"/>
            <w:noWrap/>
            <w:vAlign w:val="bottom"/>
            <w:hideMark/>
          </w:tcPr>
          <w:p w14:paraId="39C18C8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3903979" w14:textId="77777777" w:rsidTr="00BB4F69">
        <w:trPr>
          <w:trHeight w:val="300"/>
          <w:jc w:val="center"/>
        </w:trPr>
        <w:tc>
          <w:tcPr>
            <w:tcW w:w="4500" w:type="dxa"/>
            <w:noWrap/>
            <w:vAlign w:val="bottom"/>
            <w:hideMark/>
          </w:tcPr>
          <w:p w14:paraId="0D78A29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AGIOS NIKOLAOS (ANAFI)</w:t>
            </w:r>
          </w:p>
        </w:tc>
        <w:tc>
          <w:tcPr>
            <w:tcW w:w="1732" w:type="dxa"/>
            <w:noWrap/>
            <w:vAlign w:val="bottom"/>
            <w:hideMark/>
          </w:tcPr>
          <w:p w14:paraId="680143B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6B644C4" w14:textId="77777777" w:rsidTr="00BB4F69">
        <w:trPr>
          <w:trHeight w:val="300"/>
          <w:jc w:val="center"/>
        </w:trPr>
        <w:tc>
          <w:tcPr>
            <w:tcW w:w="4500" w:type="dxa"/>
            <w:noWrap/>
            <w:vAlign w:val="bottom"/>
            <w:hideMark/>
          </w:tcPr>
          <w:p w14:paraId="1EF996F3"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AGIOS NIKOLAOS (LASITHIOU)</w:t>
            </w:r>
          </w:p>
        </w:tc>
        <w:tc>
          <w:tcPr>
            <w:tcW w:w="1732" w:type="dxa"/>
            <w:noWrap/>
            <w:vAlign w:val="bottom"/>
            <w:hideMark/>
          </w:tcPr>
          <w:p w14:paraId="6820A066"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D324724" w14:textId="77777777" w:rsidTr="00BB4F69">
        <w:trPr>
          <w:trHeight w:val="300"/>
          <w:jc w:val="center"/>
        </w:trPr>
        <w:tc>
          <w:tcPr>
            <w:tcW w:w="4500" w:type="dxa"/>
            <w:noWrap/>
            <w:vAlign w:val="bottom"/>
            <w:hideMark/>
          </w:tcPr>
          <w:p w14:paraId="5978F9A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AGIOS NIKOLAOS VOLIMON </w:t>
            </w:r>
          </w:p>
        </w:tc>
        <w:tc>
          <w:tcPr>
            <w:tcW w:w="1732" w:type="dxa"/>
            <w:noWrap/>
            <w:vAlign w:val="bottom"/>
            <w:hideMark/>
          </w:tcPr>
          <w:p w14:paraId="110D7AF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6BF96478" w14:textId="77777777" w:rsidTr="00BB4F69">
        <w:trPr>
          <w:trHeight w:val="300"/>
          <w:jc w:val="center"/>
        </w:trPr>
        <w:tc>
          <w:tcPr>
            <w:tcW w:w="4500" w:type="dxa"/>
            <w:noWrap/>
            <w:vAlign w:val="bottom"/>
            <w:hideMark/>
          </w:tcPr>
          <w:p w14:paraId="1CE016E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AGIOS STEFANOS (AVLIOTON)</w:t>
            </w:r>
          </w:p>
        </w:tc>
        <w:tc>
          <w:tcPr>
            <w:tcW w:w="1732" w:type="dxa"/>
            <w:noWrap/>
            <w:vAlign w:val="bottom"/>
            <w:hideMark/>
          </w:tcPr>
          <w:p w14:paraId="5BDA97A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5E5CE3F" w14:textId="77777777" w:rsidTr="00BB4F69">
        <w:trPr>
          <w:trHeight w:val="300"/>
          <w:jc w:val="center"/>
        </w:trPr>
        <w:tc>
          <w:tcPr>
            <w:tcW w:w="4500" w:type="dxa"/>
            <w:noWrap/>
            <w:vAlign w:val="bottom"/>
            <w:hideMark/>
          </w:tcPr>
          <w:p w14:paraId="59903844" w14:textId="77777777" w:rsidR="00DF358A" w:rsidRPr="004E13E9" w:rsidRDefault="00DF358A" w:rsidP="00BB4F69">
            <w:pPr>
              <w:rPr>
                <w:sz w:val="18"/>
                <w:szCs w:val="18"/>
                <w:lang w:val="en-GB"/>
              </w:rPr>
            </w:pPr>
            <w:r w:rsidRPr="004E13E9">
              <w:rPr>
                <w:sz w:val="18"/>
                <w:szCs w:val="18"/>
                <w:lang w:val="en-GB"/>
              </w:rPr>
              <w:t xml:space="preserve">AIDIPSOS </w:t>
            </w:r>
          </w:p>
        </w:tc>
        <w:tc>
          <w:tcPr>
            <w:tcW w:w="1732" w:type="dxa"/>
            <w:noWrap/>
            <w:vAlign w:val="bottom"/>
            <w:hideMark/>
          </w:tcPr>
          <w:p w14:paraId="0CCB7F78"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046D4B7C" w14:textId="77777777" w:rsidTr="00BB4F69">
        <w:trPr>
          <w:trHeight w:val="300"/>
          <w:jc w:val="center"/>
        </w:trPr>
        <w:tc>
          <w:tcPr>
            <w:tcW w:w="4500" w:type="dxa"/>
            <w:noWrap/>
            <w:vAlign w:val="bottom"/>
            <w:hideMark/>
          </w:tcPr>
          <w:p w14:paraId="0C2634C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AIGIALI AMORGOU</w:t>
            </w:r>
          </w:p>
        </w:tc>
        <w:tc>
          <w:tcPr>
            <w:tcW w:w="1732" w:type="dxa"/>
            <w:noWrap/>
            <w:vAlign w:val="bottom"/>
            <w:hideMark/>
          </w:tcPr>
          <w:p w14:paraId="30C4AEA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66CBBB7E" w14:textId="77777777" w:rsidTr="00BB4F69">
        <w:trPr>
          <w:trHeight w:val="300"/>
          <w:jc w:val="center"/>
        </w:trPr>
        <w:tc>
          <w:tcPr>
            <w:tcW w:w="4500" w:type="dxa"/>
            <w:noWrap/>
            <w:vAlign w:val="bottom"/>
            <w:hideMark/>
          </w:tcPr>
          <w:p w14:paraId="6FF58F76" w14:textId="77777777" w:rsidR="00DF358A" w:rsidRPr="004E13E9" w:rsidRDefault="00DF358A" w:rsidP="00BB4F69">
            <w:pPr>
              <w:rPr>
                <w:sz w:val="18"/>
                <w:szCs w:val="18"/>
                <w:lang w:val="en-GB"/>
              </w:rPr>
            </w:pPr>
            <w:r w:rsidRPr="004E13E9">
              <w:rPr>
                <w:sz w:val="18"/>
                <w:szCs w:val="18"/>
                <w:lang w:val="en-GB"/>
              </w:rPr>
              <w:t xml:space="preserve">AIGINA </w:t>
            </w:r>
          </w:p>
        </w:tc>
        <w:tc>
          <w:tcPr>
            <w:tcW w:w="1732" w:type="dxa"/>
            <w:noWrap/>
            <w:vAlign w:val="bottom"/>
            <w:hideMark/>
          </w:tcPr>
          <w:p w14:paraId="3A8DA3A5"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709C8824" w14:textId="77777777" w:rsidTr="00BB4F69">
        <w:trPr>
          <w:trHeight w:val="300"/>
          <w:jc w:val="center"/>
        </w:trPr>
        <w:tc>
          <w:tcPr>
            <w:tcW w:w="4500" w:type="dxa"/>
            <w:noWrap/>
            <w:vAlign w:val="bottom"/>
            <w:hideMark/>
          </w:tcPr>
          <w:p w14:paraId="30E4C6B6" w14:textId="77777777" w:rsidR="00DF358A" w:rsidRPr="004E13E9" w:rsidRDefault="00DF358A" w:rsidP="00BB4F69">
            <w:pPr>
              <w:rPr>
                <w:sz w:val="18"/>
                <w:szCs w:val="18"/>
                <w:lang w:val="en-GB"/>
              </w:rPr>
            </w:pPr>
            <w:r w:rsidRPr="004E13E9">
              <w:rPr>
                <w:sz w:val="18"/>
                <w:szCs w:val="18"/>
                <w:lang w:val="en-GB"/>
              </w:rPr>
              <w:t xml:space="preserve">AIGIO </w:t>
            </w:r>
          </w:p>
        </w:tc>
        <w:tc>
          <w:tcPr>
            <w:tcW w:w="1732" w:type="dxa"/>
            <w:noWrap/>
            <w:vAlign w:val="bottom"/>
            <w:hideMark/>
          </w:tcPr>
          <w:p w14:paraId="53A80A35"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6FDE1623" w14:textId="77777777" w:rsidTr="00BB4F69">
        <w:trPr>
          <w:trHeight w:val="300"/>
          <w:jc w:val="center"/>
        </w:trPr>
        <w:tc>
          <w:tcPr>
            <w:tcW w:w="4500" w:type="dxa"/>
            <w:noWrap/>
            <w:vAlign w:val="bottom"/>
            <w:hideMark/>
          </w:tcPr>
          <w:p w14:paraId="401FB4B4" w14:textId="77777777" w:rsidR="00DF358A" w:rsidRPr="004E13E9" w:rsidRDefault="00DF358A" w:rsidP="00BB4F69">
            <w:pPr>
              <w:rPr>
                <w:sz w:val="18"/>
                <w:szCs w:val="18"/>
                <w:lang w:val="en-GB"/>
              </w:rPr>
            </w:pPr>
            <w:r w:rsidRPr="004E13E9">
              <w:rPr>
                <w:sz w:val="18"/>
                <w:szCs w:val="18"/>
                <w:lang w:val="en-GB"/>
              </w:rPr>
              <w:t xml:space="preserve">ALEXANDROUPOLI </w:t>
            </w:r>
          </w:p>
        </w:tc>
        <w:tc>
          <w:tcPr>
            <w:tcW w:w="1732" w:type="dxa"/>
            <w:noWrap/>
            <w:vAlign w:val="bottom"/>
            <w:hideMark/>
          </w:tcPr>
          <w:p w14:paraId="1B643F53"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281BDE97" w14:textId="77777777" w:rsidTr="00BB4F69">
        <w:trPr>
          <w:trHeight w:val="300"/>
          <w:jc w:val="center"/>
        </w:trPr>
        <w:tc>
          <w:tcPr>
            <w:tcW w:w="4500" w:type="dxa"/>
            <w:noWrap/>
            <w:vAlign w:val="bottom"/>
            <w:hideMark/>
          </w:tcPr>
          <w:p w14:paraId="3604256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ALIVERI </w:t>
            </w:r>
          </w:p>
        </w:tc>
        <w:tc>
          <w:tcPr>
            <w:tcW w:w="1732" w:type="dxa"/>
            <w:noWrap/>
            <w:vAlign w:val="bottom"/>
            <w:hideMark/>
          </w:tcPr>
          <w:p w14:paraId="581B3DB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7F1B54F" w14:textId="77777777" w:rsidTr="00BB4F69">
        <w:trPr>
          <w:trHeight w:val="300"/>
          <w:jc w:val="center"/>
        </w:trPr>
        <w:tc>
          <w:tcPr>
            <w:tcW w:w="4500" w:type="dxa"/>
            <w:noWrap/>
            <w:vAlign w:val="bottom"/>
            <w:hideMark/>
          </w:tcPr>
          <w:p w14:paraId="50370E6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ALYKES ACHAIAS</w:t>
            </w:r>
          </w:p>
        </w:tc>
        <w:tc>
          <w:tcPr>
            <w:tcW w:w="1732" w:type="dxa"/>
            <w:noWrap/>
            <w:vAlign w:val="bottom"/>
            <w:hideMark/>
          </w:tcPr>
          <w:p w14:paraId="6B30BDE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4329683" w14:textId="77777777" w:rsidTr="00BB4F69">
        <w:trPr>
          <w:trHeight w:val="300"/>
          <w:jc w:val="center"/>
        </w:trPr>
        <w:tc>
          <w:tcPr>
            <w:tcW w:w="4500" w:type="dxa"/>
            <w:noWrap/>
            <w:vAlign w:val="bottom"/>
            <w:hideMark/>
          </w:tcPr>
          <w:p w14:paraId="1EC57DA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ALYKES PAROU</w:t>
            </w:r>
          </w:p>
        </w:tc>
        <w:tc>
          <w:tcPr>
            <w:tcW w:w="1732" w:type="dxa"/>
            <w:noWrap/>
            <w:vAlign w:val="bottom"/>
            <w:hideMark/>
          </w:tcPr>
          <w:p w14:paraId="197337D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600F8058" w14:textId="77777777" w:rsidTr="00BB4F69">
        <w:trPr>
          <w:trHeight w:val="300"/>
          <w:jc w:val="center"/>
        </w:trPr>
        <w:tc>
          <w:tcPr>
            <w:tcW w:w="4500" w:type="dxa"/>
            <w:noWrap/>
            <w:vAlign w:val="bottom"/>
            <w:hideMark/>
          </w:tcPr>
          <w:p w14:paraId="53C50425"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ALYPA (PALAIOKASTRITSAS) </w:t>
            </w:r>
          </w:p>
        </w:tc>
        <w:tc>
          <w:tcPr>
            <w:tcW w:w="1732" w:type="dxa"/>
            <w:noWrap/>
            <w:vAlign w:val="bottom"/>
            <w:hideMark/>
          </w:tcPr>
          <w:p w14:paraId="483CD04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708B634" w14:textId="77777777" w:rsidTr="00BB4F69">
        <w:trPr>
          <w:trHeight w:val="300"/>
          <w:jc w:val="center"/>
        </w:trPr>
        <w:tc>
          <w:tcPr>
            <w:tcW w:w="4500" w:type="dxa"/>
            <w:noWrap/>
            <w:vAlign w:val="bottom"/>
            <w:hideMark/>
          </w:tcPr>
          <w:p w14:paraId="4DBBAB86"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AMALIAPOLI </w:t>
            </w:r>
          </w:p>
        </w:tc>
        <w:tc>
          <w:tcPr>
            <w:tcW w:w="1732" w:type="dxa"/>
            <w:noWrap/>
            <w:vAlign w:val="bottom"/>
            <w:hideMark/>
          </w:tcPr>
          <w:p w14:paraId="33B021A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AA2299E" w14:textId="77777777" w:rsidTr="00BB4F69">
        <w:trPr>
          <w:trHeight w:val="300"/>
          <w:jc w:val="center"/>
        </w:trPr>
        <w:tc>
          <w:tcPr>
            <w:tcW w:w="4500" w:type="dxa"/>
            <w:noWrap/>
            <w:vAlign w:val="bottom"/>
            <w:hideMark/>
          </w:tcPr>
          <w:p w14:paraId="74429FE3"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AMFILOCHIA </w:t>
            </w:r>
          </w:p>
        </w:tc>
        <w:tc>
          <w:tcPr>
            <w:tcW w:w="1732" w:type="dxa"/>
            <w:noWrap/>
            <w:vAlign w:val="bottom"/>
            <w:hideMark/>
          </w:tcPr>
          <w:p w14:paraId="3AFCADB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5DD258D5" w14:textId="77777777" w:rsidTr="00BB4F69">
        <w:trPr>
          <w:trHeight w:val="300"/>
          <w:jc w:val="center"/>
        </w:trPr>
        <w:tc>
          <w:tcPr>
            <w:tcW w:w="4500" w:type="dxa"/>
            <w:noWrap/>
            <w:vAlign w:val="bottom"/>
            <w:hideMark/>
          </w:tcPr>
          <w:p w14:paraId="0A2352D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AMMOUDIA PREVEZAS</w:t>
            </w:r>
          </w:p>
        </w:tc>
        <w:tc>
          <w:tcPr>
            <w:tcW w:w="1732" w:type="dxa"/>
            <w:noWrap/>
            <w:vAlign w:val="bottom"/>
            <w:hideMark/>
          </w:tcPr>
          <w:p w14:paraId="082DBDA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2AF5C31" w14:textId="77777777" w:rsidTr="00BB4F69">
        <w:trPr>
          <w:trHeight w:val="300"/>
          <w:jc w:val="center"/>
        </w:trPr>
        <w:tc>
          <w:tcPr>
            <w:tcW w:w="4500" w:type="dxa"/>
            <w:noWrap/>
            <w:vAlign w:val="bottom"/>
            <w:hideMark/>
          </w:tcPr>
          <w:p w14:paraId="69A6CC0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AMMOULIANI ALIEFTIKO KATAFYGIO - GRASTRI </w:t>
            </w:r>
          </w:p>
        </w:tc>
        <w:tc>
          <w:tcPr>
            <w:tcW w:w="1732" w:type="dxa"/>
            <w:noWrap/>
            <w:vAlign w:val="bottom"/>
            <w:hideMark/>
          </w:tcPr>
          <w:p w14:paraId="3EEF056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2DBC110" w14:textId="77777777" w:rsidTr="00BB4F69">
        <w:trPr>
          <w:trHeight w:val="300"/>
          <w:jc w:val="center"/>
        </w:trPr>
        <w:tc>
          <w:tcPr>
            <w:tcW w:w="4500" w:type="dxa"/>
            <w:noWrap/>
            <w:vAlign w:val="bottom"/>
            <w:hideMark/>
          </w:tcPr>
          <w:p w14:paraId="4C70B5D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ANDROS </w:t>
            </w:r>
          </w:p>
        </w:tc>
        <w:tc>
          <w:tcPr>
            <w:tcW w:w="1732" w:type="dxa"/>
            <w:noWrap/>
            <w:vAlign w:val="bottom"/>
            <w:hideMark/>
          </w:tcPr>
          <w:p w14:paraId="1AFCE4A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5254F4D" w14:textId="77777777" w:rsidTr="00BB4F69">
        <w:trPr>
          <w:trHeight w:val="300"/>
          <w:jc w:val="center"/>
        </w:trPr>
        <w:tc>
          <w:tcPr>
            <w:tcW w:w="4500" w:type="dxa"/>
            <w:noWrap/>
            <w:vAlign w:val="bottom"/>
            <w:hideMark/>
          </w:tcPr>
          <w:p w14:paraId="738A7513"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ANTIKYRA </w:t>
            </w:r>
          </w:p>
        </w:tc>
        <w:tc>
          <w:tcPr>
            <w:tcW w:w="1732" w:type="dxa"/>
            <w:noWrap/>
            <w:vAlign w:val="bottom"/>
            <w:hideMark/>
          </w:tcPr>
          <w:p w14:paraId="21BA5A4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D26BAAF" w14:textId="77777777" w:rsidTr="00BB4F69">
        <w:trPr>
          <w:trHeight w:val="300"/>
          <w:jc w:val="center"/>
        </w:trPr>
        <w:tc>
          <w:tcPr>
            <w:tcW w:w="4500" w:type="dxa"/>
            <w:noWrap/>
            <w:vAlign w:val="bottom"/>
            <w:hideMark/>
          </w:tcPr>
          <w:p w14:paraId="035FEEBB" w14:textId="77777777" w:rsidR="00DF358A" w:rsidRPr="004E13E9" w:rsidRDefault="00DF358A" w:rsidP="00BB4F69">
            <w:pPr>
              <w:rPr>
                <w:sz w:val="18"/>
                <w:szCs w:val="18"/>
                <w:lang w:val="en-GB"/>
              </w:rPr>
            </w:pPr>
            <w:r w:rsidRPr="004E13E9">
              <w:rPr>
                <w:sz w:val="18"/>
                <w:szCs w:val="18"/>
                <w:lang w:val="en-GB"/>
              </w:rPr>
              <w:t xml:space="preserve">ARGOSTOLI </w:t>
            </w:r>
          </w:p>
        </w:tc>
        <w:tc>
          <w:tcPr>
            <w:tcW w:w="1732" w:type="dxa"/>
            <w:noWrap/>
            <w:vAlign w:val="bottom"/>
            <w:hideMark/>
          </w:tcPr>
          <w:p w14:paraId="1256206D"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11BC00A0" w14:textId="77777777" w:rsidTr="00BB4F69">
        <w:trPr>
          <w:trHeight w:val="300"/>
          <w:jc w:val="center"/>
        </w:trPr>
        <w:tc>
          <w:tcPr>
            <w:tcW w:w="4500" w:type="dxa"/>
            <w:noWrap/>
            <w:vAlign w:val="bottom"/>
            <w:hideMark/>
          </w:tcPr>
          <w:p w14:paraId="21D4912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ARILLAS PERDIKAS</w:t>
            </w:r>
          </w:p>
        </w:tc>
        <w:tc>
          <w:tcPr>
            <w:tcW w:w="1732" w:type="dxa"/>
            <w:noWrap/>
            <w:vAlign w:val="bottom"/>
            <w:hideMark/>
          </w:tcPr>
          <w:p w14:paraId="72D2881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32AC970" w14:textId="77777777" w:rsidTr="00BB4F69">
        <w:trPr>
          <w:trHeight w:val="300"/>
          <w:jc w:val="center"/>
        </w:trPr>
        <w:tc>
          <w:tcPr>
            <w:tcW w:w="4500" w:type="dxa"/>
            <w:noWrap/>
            <w:vAlign w:val="bottom"/>
            <w:hideMark/>
          </w:tcPr>
          <w:p w14:paraId="7470AFFF" w14:textId="77777777" w:rsidR="00DF358A" w:rsidRPr="004E13E9" w:rsidRDefault="00DF358A" w:rsidP="00BB4F69">
            <w:pPr>
              <w:rPr>
                <w:sz w:val="18"/>
                <w:szCs w:val="18"/>
                <w:lang w:val="en-GB"/>
              </w:rPr>
            </w:pPr>
            <w:r w:rsidRPr="004E13E9">
              <w:rPr>
                <w:sz w:val="18"/>
                <w:szCs w:val="18"/>
                <w:lang w:val="en-GB"/>
              </w:rPr>
              <w:t xml:space="preserve">ARKITSA </w:t>
            </w:r>
          </w:p>
        </w:tc>
        <w:tc>
          <w:tcPr>
            <w:tcW w:w="1732" w:type="dxa"/>
            <w:noWrap/>
            <w:vAlign w:val="bottom"/>
            <w:hideMark/>
          </w:tcPr>
          <w:p w14:paraId="221CBA7B"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1536C1FD" w14:textId="77777777" w:rsidTr="00BB4F69">
        <w:trPr>
          <w:trHeight w:val="300"/>
          <w:jc w:val="center"/>
        </w:trPr>
        <w:tc>
          <w:tcPr>
            <w:tcW w:w="4500" w:type="dxa"/>
            <w:noWrap/>
            <w:vAlign w:val="bottom"/>
            <w:hideMark/>
          </w:tcPr>
          <w:p w14:paraId="5B7EB5D6"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ARTAKI EVVOIAS</w:t>
            </w:r>
          </w:p>
        </w:tc>
        <w:tc>
          <w:tcPr>
            <w:tcW w:w="1732" w:type="dxa"/>
            <w:noWrap/>
            <w:vAlign w:val="bottom"/>
            <w:hideMark/>
          </w:tcPr>
          <w:p w14:paraId="2712BF0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DB21C44" w14:textId="77777777" w:rsidTr="00BB4F69">
        <w:trPr>
          <w:trHeight w:val="300"/>
          <w:jc w:val="center"/>
        </w:trPr>
        <w:tc>
          <w:tcPr>
            <w:tcW w:w="4500" w:type="dxa"/>
            <w:noWrap/>
            <w:vAlign w:val="bottom"/>
            <w:hideMark/>
          </w:tcPr>
          <w:p w14:paraId="70BCCFF6" w14:textId="77777777" w:rsidR="00DF358A" w:rsidRPr="004E13E9" w:rsidRDefault="00DF358A" w:rsidP="00BB4F69">
            <w:pPr>
              <w:rPr>
                <w:sz w:val="18"/>
                <w:szCs w:val="18"/>
                <w:lang w:val="en-GB"/>
              </w:rPr>
            </w:pPr>
            <w:r w:rsidRPr="004E13E9">
              <w:rPr>
                <w:sz w:val="18"/>
                <w:szCs w:val="18"/>
                <w:lang w:val="en-GB"/>
              </w:rPr>
              <w:t xml:space="preserve">ASTAKOS </w:t>
            </w:r>
          </w:p>
        </w:tc>
        <w:tc>
          <w:tcPr>
            <w:tcW w:w="1732" w:type="dxa"/>
            <w:noWrap/>
            <w:vAlign w:val="bottom"/>
            <w:hideMark/>
          </w:tcPr>
          <w:p w14:paraId="16831465"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20E31C32" w14:textId="77777777" w:rsidTr="00BB4F69">
        <w:trPr>
          <w:trHeight w:val="300"/>
          <w:jc w:val="center"/>
        </w:trPr>
        <w:tc>
          <w:tcPr>
            <w:tcW w:w="4500" w:type="dxa"/>
            <w:noWrap/>
            <w:vAlign w:val="bottom"/>
            <w:hideMark/>
          </w:tcPr>
          <w:p w14:paraId="74F331AB" w14:textId="77777777" w:rsidR="00DF358A" w:rsidRPr="004E13E9" w:rsidRDefault="00DF358A" w:rsidP="00BB4F69">
            <w:pPr>
              <w:rPr>
                <w:sz w:val="18"/>
                <w:szCs w:val="18"/>
                <w:lang w:val="en-GB"/>
              </w:rPr>
            </w:pPr>
            <w:r w:rsidRPr="004E13E9">
              <w:rPr>
                <w:sz w:val="18"/>
                <w:szCs w:val="18"/>
                <w:lang w:val="en-GB"/>
              </w:rPr>
              <w:t xml:space="preserve">ASTYPALAIA </w:t>
            </w:r>
          </w:p>
        </w:tc>
        <w:tc>
          <w:tcPr>
            <w:tcW w:w="1732" w:type="dxa"/>
            <w:noWrap/>
            <w:vAlign w:val="bottom"/>
            <w:hideMark/>
          </w:tcPr>
          <w:p w14:paraId="30C56C93"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3D62DAF9" w14:textId="77777777" w:rsidTr="00BB4F69">
        <w:trPr>
          <w:trHeight w:val="300"/>
          <w:jc w:val="center"/>
        </w:trPr>
        <w:tc>
          <w:tcPr>
            <w:tcW w:w="4500" w:type="dxa"/>
            <w:noWrap/>
            <w:vAlign w:val="bottom"/>
            <w:hideMark/>
          </w:tcPr>
          <w:p w14:paraId="43BD670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ATALANTI </w:t>
            </w:r>
          </w:p>
        </w:tc>
        <w:tc>
          <w:tcPr>
            <w:tcW w:w="1732" w:type="dxa"/>
            <w:noWrap/>
            <w:vAlign w:val="bottom"/>
            <w:hideMark/>
          </w:tcPr>
          <w:p w14:paraId="54257E15"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7D6C123" w14:textId="77777777" w:rsidTr="00BB4F69">
        <w:trPr>
          <w:trHeight w:val="300"/>
          <w:jc w:val="center"/>
        </w:trPr>
        <w:tc>
          <w:tcPr>
            <w:tcW w:w="4500" w:type="dxa"/>
            <w:noWrap/>
            <w:vAlign w:val="bottom"/>
            <w:hideMark/>
          </w:tcPr>
          <w:p w14:paraId="1477592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ATHERINOLAKKOS </w:t>
            </w:r>
          </w:p>
        </w:tc>
        <w:tc>
          <w:tcPr>
            <w:tcW w:w="1732" w:type="dxa"/>
            <w:noWrap/>
            <w:vAlign w:val="bottom"/>
            <w:hideMark/>
          </w:tcPr>
          <w:p w14:paraId="41A3E6B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E853D4C" w14:textId="77777777" w:rsidTr="00BB4F69">
        <w:trPr>
          <w:trHeight w:val="300"/>
          <w:jc w:val="center"/>
        </w:trPr>
        <w:tc>
          <w:tcPr>
            <w:tcW w:w="4500" w:type="dxa"/>
            <w:noWrap/>
            <w:vAlign w:val="bottom"/>
            <w:hideMark/>
          </w:tcPr>
          <w:p w14:paraId="14BC409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ATHINIOS THIRAS</w:t>
            </w:r>
          </w:p>
        </w:tc>
        <w:tc>
          <w:tcPr>
            <w:tcW w:w="1732" w:type="dxa"/>
            <w:noWrap/>
            <w:vAlign w:val="bottom"/>
            <w:hideMark/>
          </w:tcPr>
          <w:p w14:paraId="1505E74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E2A3CDD" w14:textId="77777777" w:rsidTr="00BB4F69">
        <w:trPr>
          <w:trHeight w:val="300"/>
          <w:jc w:val="center"/>
        </w:trPr>
        <w:tc>
          <w:tcPr>
            <w:tcW w:w="4500" w:type="dxa"/>
            <w:noWrap/>
            <w:vAlign w:val="bottom"/>
            <w:hideMark/>
          </w:tcPr>
          <w:p w14:paraId="788D452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BATSI ANDROU</w:t>
            </w:r>
          </w:p>
        </w:tc>
        <w:tc>
          <w:tcPr>
            <w:tcW w:w="1732" w:type="dxa"/>
            <w:noWrap/>
            <w:vAlign w:val="bottom"/>
            <w:hideMark/>
          </w:tcPr>
          <w:p w14:paraId="5EA3D4D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9E6D76B" w14:textId="77777777" w:rsidTr="00BB4F69">
        <w:trPr>
          <w:trHeight w:val="300"/>
          <w:jc w:val="center"/>
        </w:trPr>
        <w:tc>
          <w:tcPr>
            <w:tcW w:w="4500" w:type="dxa"/>
            <w:noWrap/>
            <w:vAlign w:val="bottom"/>
            <w:hideMark/>
          </w:tcPr>
          <w:p w14:paraId="456DB98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CHALASTRA THESSALONIKIS</w:t>
            </w:r>
          </w:p>
        </w:tc>
        <w:tc>
          <w:tcPr>
            <w:tcW w:w="1732" w:type="dxa"/>
            <w:noWrap/>
            <w:vAlign w:val="bottom"/>
            <w:hideMark/>
          </w:tcPr>
          <w:p w14:paraId="1D74838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D6F2CD2" w14:textId="77777777" w:rsidTr="00BB4F69">
        <w:trPr>
          <w:trHeight w:val="300"/>
          <w:jc w:val="center"/>
        </w:trPr>
        <w:tc>
          <w:tcPr>
            <w:tcW w:w="4500" w:type="dxa"/>
            <w:noWrap/>
            <w:vAlign w:val="bottom"/>
            <w:hideMark/>
          </w:tcPr>
          <w:p w14:paraId="47E2E3A3" w14:textId="77777777" w:rsidR="00DF358A" w:rsidRPr="004E13E9" w:rsidRDefault="00DF358A" w:rsidP="00BB4F69">
            <w:pPr>
              <w:rPr>
                <w:sz w:val="18"/>
                <w:szCs w:val="18"/>
                <w:lang w:val="en-GB"/>
              </w:rPr>
            </w:pPr>
            <w:r w:rsidRPr="004E13E9">
              <w:rPr>
                <w:sz w:val="18"/>
                <w:szCs w:val="18"/>
                <w:lang w:val="en-GB"/>
              </w:rPr>
              <w:t xml:space="preserve">CHALKIDA </w:t>
            </w:r>
          </w:p>
        </w:tc>
        <w:tc>
          <w:tcPr>
            <w:tcW w:w="1732" w:type="dxa"/>
            <w:noWrap/>
            <w:vAlign w:val="bottom"/>
            <w:hideMark/>
          </w:tcPr>
          <w:p w14:paraId="6643ADCB"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59838B0E" w14:textId="77777777" w:rsidTr="00BB4F69">
        <w:trPr>
          <w:trHeight w:val="300"/>
          <w:jc w:val="center"/>
        </w:trPr>
        <w:tc>
          <w:tcPr>
            <w:tcW w:w="4500" w:type="dxa"/>
            <w:noWrap/>
            <w:vAlign w:val="bottom"/>
            <w:hideMark/>
          </w:tcPr>
          <w:p w14:paraId="3D17599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CHANIA </w:t>
            </w:r>
          </w:p>
        </w:tc>
        <w:tc>
          <w:tcPr>
            <w:tcW w:w="1732" w:type="dxa"/>
            <w:noWrap/>
            <w:vAlign w:val="bottom"/>
            <w:hideMark/>
          </w:tcPr>
          <w:p w14:paraId="43D4E5E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9DB823E" w14:textId="77777777" w:rsidTr="00BB4F69">
        <w:trPr>
          <w:trHeight w:val="300"/>
          <w:jc w:val="center"/>
        </w:trPr>
        <w:tc>
          <w:tcPr>
            <w:tcW w:w="4500" w:type="dxa"/>
            <w:noWrap/>
            <w:vAlign w:val="bottom"/>
            <w:hideMark/>
          </w:tcPr>
          <w:p w14:paraId="267A7945"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CHERSONISOS IRAKLEIOU</w:t>
            </w:r>
          </w:p>
        </w:tc>
        <w:tc>
          <w:tcPr>
            <w:tcW w:w="1732" w:type="dxa"/>
            <w:noWrap/>
            <w:vAlign w:val="bottom"/>
            <w:hideMark/>
          </w:tcPr>
          <w:p w14:paraId="438B161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B9D163F" w14:textId="77777777" w:rsidTr="00BB4F69">
        <w:trPr>
          <w:trHeight w:val="300"/>
          <w:jc w:val="center"/>
        </w:trPr>
        <w:tc>
          <w:tcPr>
            <w:tcW w:w="4500" w:type="dxa"/>
            <w:noWrap/>
            <w:vAlign w:val="bottom"/>
            <w:hideMark/>
          </w:tcPr>
          <w:p w14:paraId="0520511B" w14:textId="77777777" w:rsidR="00DF358A" w:rsidRPr="004E13E9" w:rsidRDefault="00DF358A" w:rsidP="00BB4F69">
            <w:pPr>
              <w:rPr>
                <w:sz w:val="18"/>
                <w:szCs w:val="18"/>
                <w:lang w:val="en-GB"/>
              </w:rPr>
            </w:pPr>
            <w:r w:rsidRPr="004E13E9">
              <w:rPr>
                <w:sz w:val="18"/>
                <w:szCs w:val="18"/>
                <w:lang w:val="en-GB"/>
              </w:rPr>
              <w:t xml:space="preserve">CHIOS </w:t>
            </w:r>
          </w:p>
        </w:tc>
        <w:tc>
          <w:tcPr>
            <w:tcW w:w="1732" w:type="dxa"/>
            <w:noWrap/>
            <w:vAlign w:val="bottom"/>
            <w:hideMark/>
          </w:tcPr>
          <w:p w14:paraId="43D41E59"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13215AAA" w14:textId="77777777" w:rsidTr="00BB4F69">
        <w:trPr>
          <w:trHeight w:val="300"/>
          <w:jc w:val="center"/>
        </w:trPr>
        <w:tc>
          <w:tcPr>
            <w:tcW w:w="4500" w:type="dxa"/>
            <w:noWrap/>
            <w:vAlign w:val="bottom"/>
            <w:hideMark/>
          </w:tcPr>
          <w:p w14:paraId="146B4788" w14:textId="77777777" w:rsidR="00DF358A" w:rsidRPr="004E13E9" w:rsidRDefault="00DF358A" w:rsidP="00BB4F69">
            <w:pPr>
              <w:rPr>
                <w:sz w:val="18"/>
                <w:szCs w:val="18"/>
                <w:lang w:val="en-GB"/>
              </w:rPr>
            </w:pPr>
            <w:r w:rsidRPr="004E13E9">
              <w:rPr>
                <w:sz w:val="18"/>
                <w:szCs w:val="18"/>
                <w:lang w:val="en-GB"/>
              </w:rPr>
              <w:t xml:space="preserve">CHORA SFAKION </w:t>
            </w:r>
          </w:p>
        </w:tc>
        <w:tc>
          <w:tcPr>
            <w:tcW w:w="1732" w:type="dxa"/>
            <w:noWrap/>
            <w:vAlign w:val="bottom"/>
            <w:hideMark/>
          </w:tcPr>
          <w:p w14:paraId="72A3DB4F"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1E651C97" w14:textId="77777777" w:rsidTr="00BB4F69">
        <w:trPr>
          <w:trHeight w:val="300"/>
          <w:jc w:val="center"/>
        </w:trPr>
        <w:tc>
          <w:tcPr>
            <w:tcW w:w="4500" w:type="dxa"/>
            <w:noWrap/>
            <w:vAlign w:val="bottom"/>
            <w:hideMark/>
          </w:tcPr>
          <w:p w14:paraId="019FF41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DIAPORI LIMNOU</w:t>
            </w:r>
          </w:p>
        </w:tc>
        <w:tc>
          <w:tcPr>
            <w:tcW w:w="1732" w:type="dxa"/>
            <w:noWrap/>
            <w:vAlign w:val="bottom"/>
            <w:hideMark/>
          </w:tcPr>
          <w:p w14:paraId="7062EE83"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0C47499" w14:textId="77777777" w:rsidTr="00BB4F69">
        <w:trPr>
          <w:trHeight w:val="300"/>
          <w:jc w:val="center"/>
        </w:trPr>
        <w:tc>
          <w:tcPr>
            <w:tcW w:w="4500" w:type="dxa"/>
            <w:noWrap/>
            <w:vAlign w:val="bottom"/>
            <w:hideMark/>
          </w:tcPr>
          <w:p w14:paraId="28069BC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DONOUSA </w:t>
            </w:r>
          </w:p>
        </w:tc>
        <w:tc>
          <w:tcPr>
            <w:tcW w:w="1732" w:type="dxa"/>
            <w:noWrap/>
            <w:vAlign w:val="bottom"/>
            <w:hideMark/>
          </w:tcPr>
          <w:p w14:paraId="20921F3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298D775" w14:textId="77777777" w:rsidTr="00BB4F69">
        <w:trPr>
          <w:trHeight w:val="300"/>
          <w:jc w:val="center"/>
        </w:trPr>
        <w:tc>
          <w:tcPr>
            <w:tcW w:w="4500" w:type="dxa"/>
            <w:noWrap/>
            <w:vAlign w:val="bottom"/>
            <w:hideMark/>
          </w:tcPr>
          <w:p w14:paraId="2BB9CF7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ELEFSINA </w:t>
            </w:r>
          </w:p>
        </w:tc>
        <w:tc>
          <w:tcPr>
            <w:tcW w:w="1732" w:type="dxa"/>
            <w:noWrap/>
            <w:vAlign w:val="bottom"/>
            <w:hideMark/>
          </w:tcPr>
          <w:p w14:paraId="12593026"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53C6D2E4" w14:textId="77777777" w:rsidTr="00BB4F69">
        <w:trPr>
          <w:trHeight w:val="300"/>
          <w:jc w:val="center"/>
        </w:trPr>
        <w:tc>
          <w:tcPr>
            <w:tcW w:w="4500" w:type="dxa"/>
            <w:noWrap/>
            <w:vAlign w:val="bottom"/>
            <w:hideMark/>
          </w:tcPr>
          <w:p w14:paraId="3C8E591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ELEFTHERES KAVALAS</w:t>
            </w:r>
          </w:p>
        </w:tc>
        <w:tc>
          <w:tcPr>
            <w:tcW w:w="1732" w:type="dxa"/>
            <w:noWrap/>
            <w:vAlign w:val="bottom"/>
            <w:hideMark/>
          </w:tcPr>
          <w:p w14:paraId="3BFC293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E504F02" w14:textId="77777777" w:rsidTr="00BB4F69">
        <w:trPr>
          <w:trHeight w:val="300"/>
          <w:jc w:val="center"/>
        </w:trPr>
        <w:tc>
          <w:tcPr>
            <w:tcW w:w="4500" w:type="dxa"/>
            <w:noWrap/>
            <w:vAlign w:val="bottom"/>
            <w:hideMark/>
          </w:tcPr>
          <w:p w14:paraId="0D95447B" w14:textId="77777777" w:rsidR="00DF358A" w:rsidRPr="004E13E9" w:rsidRDefault="00DF358A" w:rsidP="00BB4F69">
            <w:pPr>
              <w:rPr>
                <w:sz w:val="18"/>
                <w:szCs w:val="18"/>
                <w:lang w:val="en-GB"/>
              </w:rPr>
            </w:pPr>
            <w:r w:rsidRPr="004E13E9">
              <w:rPr>
                <w:sz w:val="18"/>
                <w:szCs w:val="18"/>
                <w:lang w:val="en-GB"/>
              </w:rPr>
              <w:t xml:space="preserve">EPIDAVROS </w:t>
            </w:r>
          </w:p>
        </w:tc>
        <w:tc>
          <w:tcPr>
            <w:tcW w:w="1732" w:type="dxa"/>
            <w:noWrap/>
            <w:vAlign w:val="bottom"/>
            <w:hideMark/>
          </w:tcPr>
          <w:p w14:paraId="3270D962"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0341D20B" w14:textId="77777777" w:rsidTr="00BB4F69">
        <w:trPr>
          <w:trHeight w:val="300"/>
          <w:jc w:val="center"/>
        </w:trPr>
        <w:tc>
          <w:tcPr>
            <w:tcW w:w="4500" w:type="dxa"/>
            <w:noWrap/>
            <w:vAlign w:val="bottom"/>
            <w:hideMark/>
          </w:tcPr>
          <w:p w14:paraId="59F3C15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ERATEINI </w:t>
            </w:r>
          </w:p>
        </w:tc>
        <w:tc>
          <w:tcPr>
            <w:tcW w:w="1732" w:type="dxa"/>
            <w:noWrap/>
            <w:vAlign w:val="bottom"/>
            <w:hideMark/>
          </w:tcPr>
          <w:p w14:paraId="774DEB1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6CF75C3F" w14:textId="77777777" w:rsidTr="00BB4F69">
        <w:trPr>
          <w:trHeight w:val="300"/>
          <w:jc w:val="center"/>
        </w:trPr>
        <w:tc>
          <w:tcPr>
            <w:tcW w:w="4500" w:type="dxa"/>
            <w:noWrap/>
            <w:vAlign w:val="bottom"/>
            <w:hideMark/>
          </w:tcPr>
          <w:p w14:paraId="0F23921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EREIKOUSA KERKYRAS</w:t>
            </w:r>
          </w:p>
        </w:tc>
        <w:tc>
          <w:tcPr>
            <w:tcW w:w="1732" w:type="dxa"/>
            <w:noWrap/>
            <w:vAlign w:val="bottom"/>
            <w:hideMark/>
          </w:tcPr>
          <w:p w14:paraId="62A848A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A7F93DA" w14:textId="77777777" w:rsidTr="00BB4F69">
        <w:trPr>
          <w:trHeight w:val="300"/>
          <w:jc w:val="center"/>
        </w:trPr>
        <w:tc>
          <w:tcPr>
            <w:tcW w:w="4500" w:type="dxa"/>
            <w:noWrap/>
            <w:vAlign w:val="bottom"/>
            <w:hideMark/>
          </w:tcPr>
          <w:p w14:paraId="689ABE3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ERETRIA </w:t>
            </w:r>
          </w:p>
        </w:tc>
        <w:tc>
          <w:tcPr>
            <w:tcW w:w="1732" w:type="dxa"/>
            <w:noWrap/>
            <w:vAlign w:val="bottom"/>
            <w:hideMark/>
          </w:tcPr>
          <w:p w14:paraId="13804263"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DC6B137" w14:textId="77777777" w:rsidTr="00BB4F69">
        <w:trPr>
          <w:trHeight w:val="300"/>
          <w:jc w:val="center"/>
        </w:trPr>
        <w:tc>
          <w:tcPr>
            <w:tcW w:w="4500" w:type="dxa"/>
            <w:noWrap/>
            <w:vAlign w:val="bottom"/>
            <w:hideMark/>
          </w:tcPr>
          <w:p w14:paraId="4B57DB66" w14:textId="77777777" w:rsidR="00DF358A" w:rsidRPr="004E13E9" w:rsidRDefault="00DF358A" w:rsidP="00BB4F69">
            <w:pPr>
              <w:rPr>
                <w:sz w:val="18"/>
                <w:szCs w:val="18"/>
                <w:lang w:val="en-GB"/>
              </w:rPr>
            </w:pPr>
            <w:r w:rsidRPr="004E13E9">
              <w:rPr>
                <w:sz w:val="18"/>
                <w:szCs w:val="18"/>
                <w:lang w:val="en-GB"/>
              </w:rPr>
              <w:t xml:space="preserve">ERMIONI </w:t>
            </w:r>
          </w:p>
        </w:tc>
        <w:tc>
          <w:tcPr>
            <w:tcW w:w="1732" w:type="dxa"/>
            <w:noWrap/>
            <w:vAlign w:val="bottom"/>
            <w:hideMark/>
          </w:tcPr>
          <w:p w14:paraId="0488C3A8"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1D88101C" w14:textId="77777777" w:rsidTr="00BB4F69">
        <w:trPr>
          <w:trHeight w:val="300"/>
          <w:jc w:val="center"/>
        </w:trPr>
        <w:tc>
          <w:tcPr>
            <w:tcW w:w="4500" w:type="dxa"/>
            <w:noWrap/>
            <w:vAlign w:val="bottom"/>
            <w:hideMark/>
          </w:tcPr>
          <w:p w14:paraId="1A8952C4" w14:textId="77777777" w:rsidR="00DF358A" w:rsidRPr="004E13E9" w:rsidRDefault="00DF358A" w:rsidP="00BB4F69">
            <w:pPr>
              <w:rPr>
                <w:sz w:val="18"/>
                <w:szCs w:val="18"/>
                <w:lang w:val="en-GB"/>
              </w:rPr>
            </w:pPr>
            <w:r w:rsidRPr="004E13E9">
              <w:rPr>
                <w:sz w:val="18"/>
                <w:szCs w:val="18"/>
                <w:lang w:val="en-GB"/>
              </w:rPr>
              <w:t xml:space="preserve">ERMOUPOLI </w:t>
            </w:r>
            <w:r w:rsidRPr="004E13E9">
              <w:rPr>
                <w:rFonts w:eastAsia="Times New Roman"/>
                <w:sz w:val="18"/>
                <w:szCs w:val="18"/>
                <w:lang w:val="en-GB" w:eastAsia="en-GB"/>
              </w:rPr>
              <w:t>SYROU</w:t>
            </w:r>
          </w:p>
        </w:tc>
        <w:tc>
          <w:tcPr>
            <w:tcW w:w="1732" w:type="dxa"/>
            <w:noWrap/>
            <w:vAlign w:val="bottom"/>
            <w:hideMark/>
          </w:tcPr>
          <w:p w14:paraId="2138DD21"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050F86F8" w14:textId="77777777" w:rsidTr="00BB4F69">
        <w:trPr>
          <w:trHeight w:val="300"/>
          <w:jc w:val="center"/>
        </w:trPr>
        <w:tc>
          <w:tcPr>
            <w:tcW w:w="4500" w:type="dxa"/>
            <w:noWrap/>
            <w:vAlign w:val="bottom"/>
            <w:hideMark/>
          </w:tcPr>
          <w:p w14:paraId="07DEC2D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EVDILOS IKARIAS</w:t>
            </w:r>
          </w:p>
        </w:tc>
        <w:tc>
          <w:tcPr>
            <w:tcW w:w="1732" w:type="dxa"/>
            <w:noWrap/>
            <w:vAlign w:val="bottom"/>
            <w:hideMark/>
          </w:tcPr>
          <w:p w14:paraId="07E55C3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7120739" w14:textId="77777777" w:rsidTr="00BB4F69">
        <w:trPr>
          <w:trHeight w:val="300"/>
          <w:jc w:val="center"/>
        </w:trPr>
        <w:tc>
          <w:tcPr>
            <w:tcW w:w="4500" w:type="dxa"/>
            <w:noWrap/>
            <w:vAlign w:val="bottom"/>
            <w:hideMark/>
          </w:tcPr>
          <w:p w14:paraId="3FB99B88" w14:textId="77777777" w:rsidR="00DF358A" w:rsidRPr="004E13E9" w:rsidRDefault="00DF358A" w:rsidP="00BB4F69">
            <w:pPr>
              <w:rPr>
                <w:sz w:val="18"/>
                <w:szCs w:val="18"/>
                <w:lang w:val="en-GB"/>
              </w:rPr>
            </w:pPr>
            <w:r w:rsidRPr="004E13E9">
              <w:rPr>
                <w:sz w:val="18"/>
                <w:szCs w:val="18"/>
                <w:lang w:val="en-GB"/>
              </w:rPr>
              <w:t xml:space="preserve">FANARI </w:t>
            </w:r>
            <w:r w:rsidRPr="004E13E9">
              <w:rPr>
                <w:rFonts w:eastAsia="Times New Roman"/>
                <w:sz w:val="18"/>
                <w:szCs w:val="18"/>
                <w:lang w:val="en-GB" w:eastAsia="en-GB"/>
              </w:rPr>
              <w:t>RODOPIS</w:t>
            </w:r>
          </w:p>
        </w:tc>
        <w:tc>
          <w:tcPr>
            <w:tcW w:w="1732" w:type="dxa"/>
            <w:noWrap/>
            <w:vAlign w:val="bottom"/>
            <w:hideMark/>
          </w:tcPr>
          <w:p w14:paraId="4E90762A"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4AF30E3D" w14:textId="77777777" w:rsidTr="00BB4F69">
        <w:trPr>
          <w:trHeight w:val="300"/>
          <w:jc w:val="center"/>
        </w:trPr>
        <w:tc>
          <w:tcPr>
            <w:tcW w:w="4500" w:type="dxa"/>
            <w:noWrap/>
            <w:vAlign w:val="bottom"/>
            <w:hideMark/>
          </w:tcPr>
          <w:p w14:paraId="29ABC0A5"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FISKARDO </w:t>
            </w:r>
          </w:p>
        </w:tc>
        <w:tc>
          <w:tcPr>
            <w:tcW w:w="1732" w:type="dxa"/>
            <w:noWrap/>
            <w:vAlign w:val="bottom"/>
            <w:hideMark/>
          </w:tcPr>
          <w:p w14:paraId="3D0A307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88BEE30" w14:textId="77777777" w:rsidTr="00BB4F69">
        <w:trPr>
          <w:trHeight w:val="300"/>
          <w:jc w:val="center"/>
        </w:trPr>
        <w:tc>
          <w:tcPr>
            <w:tcW w:w="4500" w:type="dxa"/>
            <w:noWrap/>
            <w:vAlign w:val="bottom"/>
            <w:hideMark/>
          </w:tcPr>
          <w:p w14:paraId="69762A6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FOLEGANDROS </w:t>
            </w:r>
          </w:p>
        </w:tc>
        <w:tc>
          <w:tcPr>
            <w:tcW w:w="1732" w:type="dxa"/>
            <w:noWrap/>
            <w:vAlign w:val="bottom"/>
            <w:hideMark/>
          </w:tcPr>
          <w:p w14:paraId="75458F0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5DCC9E2E" w14:textId="77777777" w:rsidTr="00BB4F69">
        <w:trPr>
          <w:trHeight w:val="300"/>
          <w:jc w:val="center"/>
        </w:trPr>
        <w:tc>
          <w:tcPr>
            <w:tcW w:w="4500" w:type="dxa"/>
            <w:noWrap/>
            <w:vAlign w:val="bottom"/>
            <w:hideMark/>
          </w:tcPr>
          <w:p w14:paraId="7B3D4C39" w14:textId="77777777" w:rsidR="00DF358A" w:rsidRPr="004E13E9" w:rsidRDefault="00DF358A" w:rsidP="00BB4F69">
            <w:pPr>
              <w:rPr>
                <w:sz w:val="18"/>
                <w:szCs w:val="18"/>
                <w:lang w:val="en-GB"/>
              </w:rPr>
            </w:pPr>
            <w:r w:rsidRPr="004E13E9">
              <w:rPr>
                <w:sz w:val="18"/>
                <w:szCs w:val="18"/>
                <w:lang w:val="en-GB"/>
              </w:rPr>
              <w:t xml:space="preserve">FOURNOI </w:t>
            </w:r>
            <w:r w:rsidRPr="004E13E9">
              <w:rPr>
                <w:rFonts w:eastAsia="Times New Roman"/>
                <w:sz w:val="18"/>
                <w:szCs w:val="18"/>
                <w:lang w:val="en-GB" w:eastAsia="en-GB"/>
              </w:rPr>
              <w:t>IKARIAS</w:t>
            </w:r>
          </w:p>
        </w:tc>
        <w:tc>
          <w:tcPr>
            <w:tcW w:w="1732" w:type="dxa"/>
            <w:noWrap/>
            <w:vAlign w:val="bottom"/>
            <w:hideMark/>
          </w:tcPr>
          <w:p w14:paraId="79A22E06"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3F8CC846" w14:textId="77777777" w:rsidTr="00BB4F69">
        <w:trPr>
          <w:trHeight w:val="300"/>
          <w:jc w:val="center"/>
        </w:trPr>
        <w:tc>
          <w:tcPr>
            <w:tcW w:w="4500" w:type="dxa"/>
            <w:noWrap/>
            <w:vAlign w:val="bottom"/>
            <w:hideMark/>
          </w:tcPr>
          <w:p w14:paraId="0DDD2A3F" w14:textId="77777777" w:rsidR="00DF358A" w:rsidRPr="004E13E9" w:rsidRDefault="00DF358A" w:rsidP="00BB4F69">
            <w:pPr>
              <w:rPr>
                <w:sz w:val="18"/>
                <w:szCs w:val="18"/>
                <w:lang w:val="en-GB"/>
              </w:rPr>
            </w:pPr>
            <w:r w:rsidRPr="004E13E9">
              <w:rPr>
                <w:rFonts w:eastAsia="Times New Roman"/>
                <w:sz w:val="18"/>
                <w:szCs w:val="18"/>
                <w:lang w:val="en-GB" w:eastAsia="en-GB"/>
              </w:rPr>
              <w:t>FRY KASOU</w:t>
            </w:r>
          </w:p>
        </w:tc>
        <w:tc>
          <w:tcPr>
            <w:tcW w:w="1732" w:type="dxa"/>
            <w:noWrap/>
            <w:vAlign w:val="bottom"/>
            <w:hideMark/>
          </w:tcPr>
          <w:p w14:paraId="78AA7D10"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2B669E52" w14:textId="77777777" w:rsidTr="00BB4F69">
        <w:trPr>
          <w:trHeight w:val="300"/>
          <w:jc w:val="center"/>
        </w:trPr>
        <w:tc>
          <w:tcPr>
            <w:tcW w:w="4500" w:type="dxa"/>
            <w:noWrap/>
            <w:vAlign w:val="bottom"/>
            <w:hideMark/>
          </w:tcPr>
          <w:p w14:paraId="16EBE9D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GAIOS </w:t>
            </w:r>
          </w:p>
        </w:tc>
        <w:tc>
          <w:tcPr>
            <w:tcW w:w="1732" w:type="dxa"/>
            <w:noWrap/>
            <w:vAlign w:val="bottom"/>
            <w:hideMark/>
          </w:tcPr>
          <w:p w14:paraId="7376B0B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73B9E87" w14:textId="77777777" w:rsidTr="00BB4F69">
        <w:trPr>
          <w:trHeight w:val="300"/>
          <w:jc w:val="center"/>
        </w:trPr>
        <w:tc>
          <w:tcPr>
            <w:tcW w:w="4500" w:type="dxa"/>
            <w:noWrap/>
            <w:vAlign w:val="bottom"/>
            <w:hideMark/>
          </w:tcPr>
          <w:p w14:paraId="1AD4860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GALAXIDI </w:t>
            </w:r>
          </w:p>
        </w:tc>
        <w:tc>
          <w:tcPr>
            <w:tcW w:w="1732" w:type="dxa"/>
            <w:noWrap/>
            <w:vAlign w:val="bottom"/>
            <w:hideMark/>
          </w:tcPr>
          <w:p w14:paraId="6626BD5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2730F8C" w14:textId="77777777" w:rsidTr="00BB4F69">
        <w:trPr>
          <w:trHeight w:val="300"/>
          <w:jc w:val="center"/>
        </w:trPr>
        <w:tc>
          <w:tcPr>
            <w:tcW w:w="4500" w:type="dxa"/>
            <w:noWrap/>
            <w:vAlign w:val="bottom"/>
            <w:hideMark/>
          </w:tcPr>
          <w:p w14:paraId="453DAA03" w14:textId="77777777" w:rsidR="00DF358A" w:rsidRPr="004E13E9" w:rsidRDefault="00DF358A" w:rsidP="00BB4F69">
            <w:pPr>
              <w:rPr>
                <w:sz w:val="18"/>
                <w:szCs w:val="18"/>
                <w:lang w:val="en-GB"/>
              </w:rPr>
            </w:pPr>
            <w:r w:rsidRPr="004E13E9">
              <w:rPr>
                <w:sz w:val="18"/>
                <w:szCs w:val="18"/>
                <w:lang w:val="en-GB"/>
              </w:rPr>
              <w:t xml:space="preserve">GAVRIO </w:t>
            </w:r>
            <w:r w:rsidRPr="004E13E9">
              <w:rPr>
                <w:rFonts w:eastAsia="Times New Roman"/>
                <w:sz w:val="18"/>
                <w:szCs w:val="18"/>
                <w:lang w:val="en-GB" w:eastAsia="en-GB"/>
              </w:rPr>
              <w:t>ANDROU</w:t>
            </w:r>
          </w:p>
        </w:tc>
        <w:tc>
          <w:tcPr>
            <w:tcW w:w="1732" w:type="dxa"/>
            <w:noWrap/>
            <w:vAlign w:val="bottom"/>
            <w:hideMark/>
          </w:tcPr>
          <w:p w14:paraId="69B0106D"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68631461" w14:textId="77777777" w:rsidTr="00BB4F69">
        <w:trPr>
          <w:trHeight w:val="300"/>
          <w:jc w:val="center"/>
        </w:trPr>
        <w:tc>
          <w:tcPr>
            <w:tcW w:w="4500" w:type="dxa"/>
            <w:noWrap/>
            <w:vAlign w:val="bottom"/>
            <w:hideMark/>
          </w:tcPr>
          <w:p w14:paraId="3328418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GEORGIOUPOLI </w:t>
            </w:r>
          </w:p>
        </w:tc>
        <w:tc>
          <w:tcPr>
            <w:tcW w:w="1732" w:type="dxa"/>
            <w:noWrap/>
            <w:vAlign w:val="bottom"/>
            <w:hideMark/>
          </w:tcPr>
          <w:p w14:paraId="2A67BA4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C365B64" w14:textId="77777777" w:rsidTr="00BB4F69">
        <w:trPr>
          <w:trHeight w:val="300"/>
          <w:jc w:val="center"/>
        </w:trPr>
        <w:tc>
          <w:tcPr>
            <w:tcW w:w="4500" w:type="dxa"/>
            <w:noWrap/>
            <w:vAlign w:val="bottom"/>
            <w:hideMark/>
          </w:tcPr>
          <w:p w14:paraId="3C11C978" w14:textId="77777777" w:rsidR="00DF358A" w:rsidRPr="004E13E9" w:rsidRDefault="00DF358A" w:rsidP="00BB4F69">
            <w:pPr>
              <w:rPr>
                <w:sz w:val="18"/>
                <w:szCs w:val="18"/>
                <w:lang w:val="en-GB"/>
              </w:rPr>
            </w:pPr>
            <w:r w:rsidRPr="004E13E9">
              <w:rPr>
                <w:sz w:val="18"/>
                <w:szCs w:val="18"/>
                <w:lang w:val="en-GB"/>
              </w:rPr>
              <w:t xml:space="preserve">GLOSSA </w:t>
            </w:r>
            <w:r w:rsidRPr="004E13E9">
              <w:rPr>
                <w:rFonts w:eastAsia="Times New Roman"/>
                <w:sz w:val="18"/>
                <w:szCs w:val="18"/>
                <w:lang w:val="en-GB" w:eastAsia="en-GB"/>
              </w:rPr>
              <w:t>SKOPELOU</w:t>
            </w:r>
          </w:p>
        </w:tc>
        <w:tc>
          <w:tcPr>
            <w:tcW w:w="1732" w:type="dxa"/>
            <w:noWrap/>
            <w:vAlign w:val="bottom"/>
            <w:hideMark/>
          </w:tcPr>
          <w:p w14:paraId="116AE094"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63584893" w14:textId="77777777" w:rsidTr="00BB4F69">
        <w:trPr>
          <w:trHeight w:val="300"/>
          <w:jc w:val="center"/>
        </w:trPr>
        <w:tc>
          <w:tcPr>
            <w:tcW w:w="4500" w:type="dxa"/>
            <w:noWrap/>
            <w:vAlign w:val="bottom"/>
            <w:hideMark/>
          </w:tcPr>
          <w:p w14:paraId="5C5CEC0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GLYFA </w:t>
            </w:r>
          </w:p>
        </w:tc>
        <w:tc>
          <w:tcPr>
            <w:tcW w:w="1732" w:type="dxa"/>
            <w:noWrap/>
            <w:vAlign w:val="bottom"/>
            <w:hideMark/>
          </w:tcPr>
          <w:p w14:paraId="73D8E86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8E82719" w14:textId="77777777" w:rsidTr="00BB4F69">
        <w:trPr>
          <w:trHeight w:val="300"/>
          <w:jc w:val="center"/>
        </w:trPr>
        <w:tc>
          <w:tcPr>
            <w:tcW w:w="4500" w:type="dxa"/>
            <w:noWrap/>
            <w:vAlign w:val="bottom"/>
            <w:hideMark/>
          </w:tcPr>
          <w:p w14:paraId="4CE5202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GRITSA PIERIAS</w:t>
            </w:r>
          </w:p>
        </w:tc>
        <w:tc>
          <w:tcPr>
            <w:tcW w:w="1732" w:type="dxa"/>
            <w:noWrap/>
            <w:vAlign w:val="bottom"/>
            <w:hideMark/>
          </w:tcPr>
          <w:p w14:paraId="0D0FF9A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508F04C6" w14:textId="77777777" w:rsidTr="00BB4F69">
        <w:trPr>
          <w:trHeight w:val="300"/>
          <w:jc w:val="center"/>
        </w:trPr>
        <w:tc>
          <w:tcPr>
            <w:tcW w:w="4500" w:type="dxa"/>
            <w:noWrap/>
            <w:vAlign w:val="bottom"/>
            <w:hideMark/>
          </w:tcPr>
          <w:p w14:paraId="3D30B7DC"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GYTHEIO </w:t>
            </w:r>
          </w:p>
        </w:tc>
        <w:tc>
          <w:tcPr>
            <w:tcW w:w="1732" w:type="dxa"/>
            <w:noWrap/>
            <w:vAlign w:val="bottom"/>
            <w:hideMark/>
          </w:tcPr>
          <w:p w14:paraId="110A3B3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617A928D" w14:textId="77777777" w:rsidTr="00BB4F69">
        <w:trPr>
          <w:trHeight w:val="300"/>
          <w:jc w:val="center"/>
        </w:trPr>
        <w:tc>
          <w:tcPr>
            <w:tcW w:w="4500" w:type="dxa"/>
            <w:noWrap/>
            <w:vAlign w:val="bottom"/>
            <w:hideMark/>
          </w:tcPr>
          <w:p w14:paraId="19B6FE91" w14:textId="77777777" w:rsidR="00DF358A" w:rsidRPr="004E13E9" w:rsidRDefault="00DF358A" w:rsidP="00BB4F69">
            <w:pPr>
              <w:rPr>
                <w:sz w:val="18"/>
                <w:szCs w:val="18"/>
                <w:lang w:val="en-GB"/>
              </w:rPr>
            </w:pPr>
            <w:r w:rsidRPr="004E13E9">
              <w:rPr>
                <w:sz w:val="18"/>
                <w:szCs w:val="18"/>
                <w:lang w:val="en-GB"/>
              </w:rPr>
              <w:t xml:space="preserve">IERAPETRA </w:t>
            </w:r>
          </w:p>
        </w:tc>
        <w:tc>
          <w:tcPr>
            <w:tcW w:w="1732" w:type="dxa"/>
            <w:noWrap/>
            <w:vAlign w:val="bottom"/>
            <w:hideMark/>
          </w:tcPr>
          <w:p w14:paraId="1C50C3F7"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6DA49665" w14:textId="77777777" w:rsidTr="00BB4F69">
        <w:trPr>
          <w:trHeight w:val="300"/>
          <w:jc w:val="center"/>
        </w:trPr>
        <w:tc>
          <w:tcPr>
            <w:tcW w:w="4500" w:type="dxa"/>
            <w:noWrap/>
            <w:vAlign w:val="bottom"/>
            <w:hideMark/>
          </w:tcPr>
          <w:p w14:paraId="3655116D" w14:textId="77777777" w:rsidR="00DF358A" w:rsidRPr="004E13E9" w:rsidRDefault="00DF358A" w:rsidP="00BB4F69">
            <w:pPr>
              <w:rPr>
                <w:sz w:val="18"/>
                <w:szCs w:val="18"/>
                <w:lang w:val="en-GB"/>
              </w:rPr>
            </w:pPr>
            <w:r w:rsidRPr="004E13E9">
              <w:rPr>
                <w:sz w:val="18"/>
                <w:szCs w:val="18"/>
                <w:lang w:val="en-GB"/>
              </w:rPr>
              <w:t xml:space="preserve">IERISSOS </w:t>
            </w:r>
          </w:p>
        </w:tc>
        <w:tc>
          <w:tcPr>
            <w:tcW w:w="1732" w:type="dxa"/>
            <w:noWrap/>
            <w:vAlign w:val="bottom"/>
            <w:hideMark/>
          </w:tcPr>
          <w:p w14:paraId="788A5324"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21223809" w14:textId="77777777" w:rsidTr="00BB4F69">
        <w:trPr>
          <w:trHeight w:val="300"/>
          <w:jc w:val="center"/>
        </w:trPr>
        <w:tc>
          <w:tcPr>
            <w:tcW w:w="4500" w:type="dxa"/>
            <w:noWrap/>
            <w:vAlign w:val="bottom"/>
            <w:hideMark/>
          </w:tcPr>
          <w:p w14:paraId="5E2A868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IGOUMENITSA </w:t>
            </w:r>
          </w:p>
        </w:tc>
        <w:tc>
          <w:tcPr>
            <w:tcW w:w="1732" w:type="dxa"/>
            <w:noWrap/>
            <w:vAlign w:val="bottom"/>
            <w:hideMark/>
          </w:tcPr>
          <w:p w14:paraId="2077707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53A5ED4F" w14:textId="77777777" w:rsidTr="00BB4F69">
        <w:trPr>
          <w:trHeight w:val="300"/>
          <w:jc w:val="center"/>
        </w:trPr>
        <w:tc>
          <w:tcPr>
            <w:tcW w:w="4500" w:type="dxa"/>
            <w:noWrap/>
            <w:vAlign w:val="bottom"/>
            <w:hideMark/>
          </w:tcPr>
          <w:p w14:paraId="38CC6A9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ILIA EVVOIAS</w:t>
            </w:r>
          </w:p>
        </w:tc>
        <w:tc>
          <w:tcPr>
            <w:tcW w:w="1732" w:type="dxa"/>
            <w:noWrap/>
            <w:vAlign w:val="bottom"/>
            <w:hideMark/>
          </w:tcPr>
          <w:p w14:paraId="1521FAF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48BE089" w14:textId="77777777" w:rsidTr="00BB4F69">
        <w:trPr>
          <w:trHeight w:val="300"/>
          <w:jc w:val="center"/>
        </w:trPr>
        <w:tc>
          <w:tcPr>
            <w:tcW w:w="4500" w:type="dxa"/>
            <w:noWrap/>
            <w:vAlign w:val="bottom"/>
            <w:hideMark/>
          </w:tcPr>
          <w:p w14:paraId="1F8DDB26"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IMEROLIA (KASSIOPIS) </w:t>
            </w:r>
          </w:p>
        </w:tc>
        <w:tc>
          <w:tcPr>
            <w:tcW w:w="1732" w:type="dxa"/>
            <w:noWrap/>
            <w:vAlign w:val="bottom"/>
            <w:hideMark/>
          </w:tcPr>
          <w:p w14:paraId="201D066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F4C4CC7" w14:textId="77777777" w:rsidTr="00BB4F69">
        <w:trPr>
          <w:trHeight w:val="300"/>
          <w:jc w:val="center"/>
        </w:trPr>
        <w:tc>
          <w:tcPr>
            <w:tcW w:w="4500" w:type="dxa"/>
            <w:noWrap/>
            <w:vAlign w:val="bottom"/>
            <w:hideMark/>
          </w:tcPr>
          <w:p w14:paraId="55319AF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IMEROS RODOPIS</w:t>
            </w:r>
          </w:p>
        </w:tc>
        <w:tc>
          <w:tcPr>
            <w:tcW w:w="1732" w:type="dxa"/>
            <w:noWrap/>
            <w:vAlign w:val="bottom"/>
            <w:hideMark/>
          </w:tcPr>
          <w:p w14:paraId="6B121213"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ACA5097" w14:textId="77777777" w:rsidTr="00BB4F69">
        <w:trPr>
          <w:trHeight w:val="300"/>
          <w:jc w:val="center"/>
        </w:trPr>
        <w:tc>
          <w:tcPr>
            <w:tcW w:w="4500" w:type="dxa"/>
            <w:noWrap/>
            <w:vAlign w:val="bottom"/>
            <w:hideMark/>
          </w:tcPr>
          <w:p w14:paraId="1D2A3B1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IOS </w:t>
            </w:r>
          </w:p>
        </w:tc>
        <w:tc>
          <w:tcPr>
            <w:tcW w:w="1732" w:type="dxa"/>
            <w:noWrap/>
            <w:vAlign w:val="bottom"/>
            <w:hideMark/>
          </w:tcPr>
          <w:p w14:paraId="7829E886"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C5D8485" w14:textId="77777777" w:rsidTr="00BB4F69">
        <w:trPr>
          <w:trHeight w:val="300"/>
          <w:jc w:val="center"/>
        </w:trPr>
        <w:tc>
          <w:tcPr>
            <w:tcW w:w="4500" w:type="dxa"/>
            <w:noWrap/>
            <w:vAlign w:val="bottom"/>
            <w:hideMark/>
          </w:tcPr>
          <w:p w14:paraId="3E82B10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IRAKLEIA </w:t>
            </w:r>
          </w:p>
        </w:tc>
        <w:tc>
          <w:tcPr>
            <w:tcW w:w="1732" w:type="dxa"/>
            <w:noWrap/>
            <w:vAlign w:val="bottom"/>
            <w:hideMark/>
          </w:tcPr>
          <w:p w14:paraId="36CF5E3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6433BB42" w14:textId="77777777" w:rsidTr="00BB4F69">
        <w:trPr>
          <w:trHeight w:val="300"/>
          <w:jc w:val="center"/>
        </w:trPr>
        <w:tc>
          <w:tcPr>
            <w:tcW w:w="4500" w:type="dxa"/>
            <w:noWrap/>
            <w:vAlign w:val="bottom"/>
            <w:hideMark/>
          </w:tcPr>
          <w:p w14:paraId="3AB1D2C9" w14:textId="77777777" w:rsidR="00DF358A" w:rsidRPr="004E13E9" w:rsidRDefault="00DF358A" w:rsidP="00BB4F69">
            <w:pPr>
              <w:rPr>
                <w:sz w:val="18"/>
                <w:szCs w:val="18"/>
                <w:lang w:val="en-GB"/>
              </w:rPr>
            </w:pPr>
            <w:r w:rsidRPr="004E13E9">
              <w:rPr>
                <w:sz w:val="18"/>
                <w:szCs w:val="18"/>
                <w:lang w:val="en-GB"/>
              </w:rPr>
              <w:t xml:space="preserve">IRAKLEIO </w:t>
            </w:r>
          </w:p>
        </w:tc>
        <w:tc>
          <w:tcPr>
            <w:tcW w:w="1732" w:type="dxa"/>
            <w:noWrap/>
            <w:vAlign w:val="bottom"/>
            <w:hideMark/>
          </w:tcPr>
          <w:p w14:paraId="52F03525"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2DE773C8" w14:textId="77777777" w:rsidTr="00BB4F69">
        <w:trPr>
          <w:trHeight w:val="300"/>
          <w:jc w:val="center"/>
        </w:trPr>
        <w:tc>
          <w:tcPr>
            <w:tcW w:w="4500" w:type="dxa"/>
            <w:noWrap/>
            <w:vAlign w:val="bottom"/>
            <w:hideMark/>
          </w:tcPr>
          <w:p w14:paraId="2FA3C59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ITEAS</w:t>
            </w:r>
          </w:p>
        </w:tc>
        <w:tc>
          <w:tcPr>
            <w:tcW w:w="1732" w:type="dxa"/>
            <w:noWrap/>
            <w:vAlign w:val="bottom"/>
            <w:hideMark/>
          </w:tcPr>
          <w:p w14:paraId="38E114C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E12F086" w14:textId="77777777" w:rsidTr="00BB4F69">
        <w:trPr>
          <w:trHeight w:val="300"/>
          <w:jc w:val="center"/>
        </w:trPr>
        <w:tc>
          <w:tcPr>
            <w:tcW w:w="4500" w:type="dxa"/>
            <w:noWrap/>
            <w:vAlign w:val="bottom"/>
            <w:hideMark/>
          </w:tcPr>
          <w:p w14:paraId="235196C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KALAMARIA </w:t>
            </w:r>
          </w:p>
        </w:tc>
        <w:tc>
          <w:tcPr>
            <w:tcW w:w="1732" w:type="dxa"/>
            <w:noWrap/>
            <w:vAlign w:val="bottom"/>
            <w:hideMark/>
          </w:tcPr>
          <w:p w14:paraId="0C12F37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6190EAF2" w14:textId="77777777" w:rsidTr="00BB4F69">
        <w:trPr>
          <w:trHeight w:val="300"/>
          <w:jc w:val="center"/>
        </w:trPr>
        <w:tc>
          <w:tcPr>
            <w:tcW w:w="4500" w:type="dxa"/>
            <w:noWrap/>
            <w:vAlign w:val="bottom"/>
            <w:hideMark/>
          </w:tcPr>
          <w:p w14:paraId="47A22BC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KALAMATA </w:t>
            </w:r>
          </w:p>
        </w:tc>
        <w:tc>
          <w:tcPr>
            <w:tcW w:w="1732" w:type="dxa"/>
            <w:noWrap/>
            <w:vAlign w:val="bottom"/>
            <w:hideMark/>
          </w:tcPr>
          <w:p w14:paraId="33766F1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EF62493" w14:textId="77777777" w:rsidTr="00BB4F69">
        <w:trPr>
          <w:trHeight w:val="300"/>
          <w:jc w:val="center"/>
        </w:trPr>
        <w:tc>
          <w:tcPr>
            <w:tcW w:w="4500" w:type="dxa"/>
            <w:noWrap/>
            <w:vAlign w:val="bottom"/>
            <w:hideMark/>
          </w:tcPr>
          <w:p w14:paraId="0F92301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KALANTOS NAXOU</w:t>
            </w:r>
          </w:p>
        </w:tc>
        <w:tc>
          <w:tcPr>
            <w:tcW w:w="1732" w:type="dxa"/>
            <w:noWrap/>
            <w:vAlign w:val="bottom"/>
            <w:hideMark/>
          </w:tcPr>
          <w:p w14:paraId="764BA49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27E7A2D" w14:textId="77777777" w:rsidTr="00BB4F69">
        <w:trPr>
          <w:trHeight w:val="300"/>
          <w:jc w:val="center"/>
        </w:trPr>
        <w:tc>
          <w:tcPr>
            <w:tcW w:w="4500" w:type="dxa"/>
            <w:noWrap/>
            <w:vAlign w:val="bottom"/>
            <w:hideMark/>
          </w:tcPr>
          <w:p w14:paraId="53E5EEA6"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KALLIRACHI THASOU</w:t>
            </w:r>
          </w:p>
        </w:tc>
        <w:tc>
          <w:tcPr>
            <w:tcW w:w="1732" w:type="dxa"/>
            <w:noWrap/>
            <w:vAlign w:val="bottom"/>
            <w:hideMark/>
          </w:tcPr>
          <w:p w14:paraId="3701289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45687A2" w14:textId="77777777" w:rsidTr="00BB4F69">
        <w:trPr>
          <w:trHeight w:val="300"/>
          <w:jc w:val="center"/>
        </w:trPr>
        <w:tc>
          <w:tcPr>
            <w:tcW w:w="4500" w:type="dxa"/>
            <w:noWrap/>
            <w:vAlign w:val="bottom"/>
            <w:hideMark/>
          </w:tcPr>
          <w:p w14:paraId="0921E3F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KALOI LIMENES IRAKLEIOU</w:t>
            </w:r>
          </w:p>
        </w:tc>
        <w:tc>
          <w:tcPr>
            <w:tcW w:w="1732" w:type="dxa"/>
            <w:noWrap/>
            <w:vAlign w:val="bottom"/>
            <w:hideMark/>
          </w:tcPr>
          <w:p w14:paraId="74336FD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9C505DB" w14:textId="77777777" w:rsidTr="00BB4F69">
        <w:trPr>
          <w:trHeight w:val="300"/>
          <w:jc w:val="center"/>
        </w:trPr>
        <w:tc>
          <w:tcPr>
            <w:tcW w:w="4500" w:type="dxa"/>
            <w:noWrap/>
            <w:vAlign w:val="bottom"/>
            <w:hideMark/>
          </w:tcPr>
          <w:p w14:paraId="369E4DDC" w14:textId="77777777" w:rsidR="00DF358A" w:rsidRPr="004E13E9" w:rsidRDefault="00DF358A" w:rsidP="00BB4F69">
            <w:pPr>
              <w:rPr>
                <w:sz w:val="18"/>
                <w:szCs w:val="18"/>
                <w:lang w:val="en-GB"/>
              </w:rPr>
            </w:pPr>
            <w:r w:rsidRPr="004E13E9">
              <w:rPr>
                <w:sz w:val="18"/>
                <w:szCs w:val="18"/>
                <w:lang w:val="en-GB"/>
              </w:rPr>
              <w:t xml:space="preserve">KALYMNOS </w:t>
            </w:r>
          </w:p>
        </w:tc>
        <w:tc>
          <w:tcPr>
            <w:tcW w:w="1732" w:type="dxa"/>
            <w:noWrap/>
            <w:vAlign w:val="bottom"/>
            <w:hideMark/>
          </w:tcPr>
          <w:p w14:paraId="721DBC12"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12861C3B" w14:textId="77777777" w:rsidTr="00BB4F69">
        <w:trPr>
          <w:trHeight w:val="300"/>
          <w:jc w:val="center"/>
        </w:trPr>
        <w:tc>
          <w:tcPr>
            <w:tcW w:w="4500" w:type="dxa"/>
            <w:noWrap/>
            <w:vAlign w:val="bottom"/>
            <w:hideMark/>
          </w:tcPr>
          <w:p w14:paraId="167EA490" w14:textId="77777777" w:rsidR="00DF358A" w:rsidRPr="004E13E9" w:rsidRDefault="00DF358A" w:rsidP="00BB4F69">
            <w:pPr>
              <w:rPr>
                <w:sz w:val="18"/>
                <w:szCs w:val="18"/>
                <w:lang w:val="en-GB"/>
              </w:rPr>
            </w:pPr>
            <w:r w:rsidRPr="004E13E9">
              <w:rPr>
                <w:sz w:val="18"/>
                <w:szCs w:val="18"/>
                <w:lang w:val="en-GB"/>
              </w:rPr>
              <w:t xml:space="preserve">KAMARES </w:t>
            </w:r>
            <w:r w:rsidRPr="004E13E9">
              <w:rPr>
                <w:rFonts w:eastAsia="Times New Roman"/>
                <w:sz w:val="18"/>
                <w:szCs w:val="18"/>
                <w:lang w:val="en-GB" w:eastAsia="en-GB"/>
              </w:rPr>
              <w:t>SIFNOU</w:t>
            </w:r>
          </w:p>
        </w:tc>
        <w:tc>
          <w:tcPr>
            <w:tcW w:w="1732" w:type="dxa"/>
            <w:noWrap/>
            <w:vAlign w:val="bottom"/>
            <w:hideMark/>
          </w:tcPr>
          <w:p w14:paraId="137BE17C"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23E0F4A8" w14:textId="77777777" w:rsidTr="00BB4F69">
        <w:trPr>
          <w:trHeight w:val="300"/>
          <w:jc w:val="center"/>
        </w:trPr>
        <w:tc>
          <w:tcPr>
            <w:tcW w:w="4500" w:type="dxa"/>
            <w:noWrap/>
            <w:vAlign w:val="bottom"/>
            <w:hideMark/>
          </w:tcPr>
          <w:p w14:paraId="3DF5B02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KAMARIOTISSA SAMOTHRAKIS</w:t>
            </w:r>
          </w:p>
        </w:tc>
        <w:tc>
          <w:tcPr>
            <w:tcW w:w="1732" w:type="dxa"/>
            <w:noWrap/>
            <w:vAlign w:val="bottom"/>
            <w:hideMark/>
          </w:tcPr>
          <w:p w14:paraId="157425F5"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393E122" w14:textId="77777777" w:rsidTr="00BB4F69">
        <w:trPr>
          <w:trHeight w:val="300"/>
          <w:jc w:val="center"/>
        </w:trPr>
        <w:tc>
          <w:tcPr>
            <w:tcW w:w="4500" w:type="dxa"/>
            <w:noWrap/>
            <w:vAlign w:val="bottom"/>
            <w:hideMark/>
          </w:tcPr>
          <w:p w14:paraId="0816A3E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KAPSALI </w:t>
            </w:r>
          </w:p>
        </w:tc>
        <w:tc>
          <w:tcPr>
            <w:tcW w:w="1732" w:type="dxa"/>
            <w:noWrap/>
            <w:vAlign w:val="bottom"/>
            <w:hideMark/>
          </w:tcPr>
          <w:p w14:paraId="679AAAB5"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53F9B27" w14:textId="77777777" w:rsidTr="00BB4F69">
        <w:trPr>
          <w:trHeight w:val="300"/>
          <w:jc w:val="center"/>
        </w:trPr>
        <w:tc>
          <w:tcPr>
            <w:tcW w:w="4500" w:type="dxa"/>
            <w:noWrap/>
            <w:vAlign w:val="bottom"/>
            <w:hideMark/>
          </w:tcPr>
          <w:p w14:paraId="4B30A719" w14:textId="77777777" w:rsidR="00DF358A" w:rsidRPr="004E13E9" w:rsidRDefault="00DF358A" w:rsidP="00BB4F69">
            <w:pPr>
              <w:rPr>
                <w:sz w:val="18"/>
                <w:szCs w:val="18"/>
                <w:lang w:val="en-GB"/>
              </w:rPr>
            </w:pPr>
            <w:r w:rsidRPr="004E13E9">
              <w:rPr>
                <w:sz w:val="18"/>
                <w:szCs w:val="18"/>
                <w:lang w:val="en-GB"/>
              </w:rPr>
              <w:t xml:space="preserve">KARDAMAINA </w:t>
            </w:r>
            <w:r w:rsidRPr="004E13E9">
              <w:rPr>
                <w:rFonts w:eastAsia="Times New Roman"/>
                <w:sz w:val="18"/>
                <w:szCs w:val="18"/>
                <w:lang w:val="en-GB" w:eastAsia="en-GB"/>
              </w:rPr>
              <w:t>(KOS)</w:t>
            </w:r>
          </w:p>
        </w:tc>
        <w:tc>
          <w:tcPr>
            <w:tcW w:w="1732" w:type="dxa"/>
            <w:noWrap/>
            <w:vAlign w:val="bottom"/>
            <w:hideMark/>
          </w:tcPr>
          <w:p w14:paraId="24874A71"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333FE779" w14:textId="77777777" w:rsidTr="00BB4F69">
        <w:trPr>
          <w:trHeight w:val="300"/>
          <w:jc w:val="center"/>
        </w:trPr>
        <w:tc>
          <w:tcPr>
            <w:tcW w:w="4500" w:type="dxa"/>
            <w:noWrap/>
            <w:vAlign w:val="bottom"/>
            <w:hideMark/>
          </w:tcPr>
          <w:p w14:paraId="243019A9" w14:textId="77777777" w:rsidR="00DF358A" w:rsidRPr="004E13E9" w:rsidRDefault="00DF358A" w:rsidP="00BB4F69">
            <w:pPr>
              <w:rPr>
                <w:sz w:val="18"/>
                <w:szCs w:val="18"/>
                <w:lang w:val="en-GB"/>
              </w:rPr>
            </w:pPr>
            <w:r w:rsidRPr="004E13E9">
              <w:rPr>
                <w:sz w:val="18"/>
                <w:szCs w:val="18"/>
                <w:lang w:val="en-GB"/>
              </w:rPr>
              <w:t xml:space="preserve">KARDAMYLA </w:t>
            </w:r>
          </w:p>
        </w:tc>
        <w:tc>
          <w:tcPr>
            <w:tcW w:w="1732" w:type="dxa"/>
            <w:noWrap/>
            <w:vAlign w:val="bottom"/>
            <w:hideMark/>
          </w:tcPr>
          <w:p w14:paraId="645530D9"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5B525813" w14:textId="77777777" w:rsidTr="00BB4F69">
        <w:trPr>
          <w:trHeight w:val="300"/>
          <w:jc w:val="center"/>
        </w:trPr>
        <w:tc>
          <w:tcPr>
            <w:tcW w:w="4500" w:type="dxa"/>
            <w:noWrap/>
            <w:vAlign w:val="bottom"/>
            <w:hideMark/>
          </w:tcPr>
          <w:p w14:paraId="359FE35A" w14:textId="77777777" w:rsidR="00DF358A" w:rsidRPr="004E13E9" w:rsidRDefault="00DF358A" w:rsidP="00BB4F69">
            <w:pPr>
              <w:rPr>
                <w:sz w:val="18"/>
                <w:szCs w:val="18"/>
                <w:lang w:val="en-GB"/>
              </w:rPr>
            </w:pPr>
            <w:r w:rsidRPr="004E13E9">
              <w:rPr>
                <w:sz w:val="18"/>
                <w:szCs w:val="18"/>
                <w:lang w:val="en-GB"/>
              </w:rPr>
              <w:t xml:space="preserve">KARLOVASI </w:t>
            </w:r>
          </w:p>
        </w:tc>
        <w:tc>
          <w:tcPr>
            <w:tcW w:w="1732" w:type="dxa"/>
            <w:noWrap/>
            <w:vAlign w:val="bottom"/>
            <w:hideMark/>
          </w:tcPr>
          <w:p w14:paraId="51E1B7BB"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182A6A2C" w14:textId="77777777" w:rsidTr="00BB4F69">
        <w:trPr>
          <w:trHeight w:val="300"/>
          <w:jc w:val="center"/>
        </w:trPr>
        <w:tc>
          <w:tcPr>
            <w:tcW w:w="4500" w:type="dxa"/>
            <w:noWrap/>
            <w:vAlign w:val="bottom"/>
            <w:hideMark/>
          </w:tcPr>
          <w:p w14:paraId="0109B443" w14:textId="77777777" w:rsidR="00DF358A" w:rsidRPr="004E13E9" w:rsidRDefault="00DF358A" w:rsidP="00BB4F69">
            <w:pPr>
              <w:rPr>
                <w:sz w:val="18"/>
                <w:szCs w:val="18"/>
                <w:lang w:val="en-GB"/>
              </w:rPr>
            </w:pPr>
            <w:r w:rsidRPr="004E13E9">
              <w:rPr>
                <w:sz w:val="18"/>
                <w:szCs w:val="18"/>
                <w:lang w:val="en-GB"/>
              </w:rPr>
              <w:t xml:space="preserve">KARPATHOS </w:t>
            </w:r>
          </w:p>
        </w:tc>
        <w:tc>
          <w:tcPr>
            <w:tcW w:w="1732" w:type="dxa"/>
            <w:noWrap/>
            <w:vAlign w:val="bottom"/>
            <w:hideMark/>
          </w:tcPr>
          <w:p w14:paraId="6C551C45"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78ED732E" w14:textId="77777777" w:rsidTr="00BB4F69">
        <w:trPr>
          <w:trHeight w:val="300"/>
          <w:jc w:val="center"/>
        </w:trPr>
        <w:tc>
          <w:tcPr>
            <w:tcW w:w="4500" w:type="dxa"/>
            <w:noWrap/>
            <w:vAlign w:val="bottom"/>
            <w:hideMark/>
          </w:tcPr>
          <w:p w14:paraId="2E37D69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KARYANI</w:t>
            </w:r>
          </w:p>
        </w:tc>
        <w:tc>
          <w:tcPr>
            <w:tcW w:w="1732" w:type="dxa"/>
            <w:noWrap/>
            <w:vAlign w:val="bottom"/>
            <w:hideMark/>
          </w:tcPr>
          <w:p w14:paraId="2F30A9C3"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EDD7593" w14:textId="77777777" w:rsidTr="00BB4F69">
        <w:trPr>
          <w:trHeight w:val="300"/>
          <w:jc w:val="center"/>
        </w:trPr>
        <w:tc>
          <w:tcPr>
            <w:tcW w:w="4500" w:type="dxa"/>
            <w:noWrap/>
            <w:vAlign w:val="bottom"/>
            <w:hideMark/>
          </w:tcPr>
          <w:p w14:paraId="4868A7A4" w14:textId="77777777" w:rsidR="00DF358A" w:rsidRPr="004E13E9" w:rsidRDefault="00DF358A" w:rsidP="00BB4F69">
            <w:pPr>
              <w:rPr>
                <w:sz w:val="18"/>
                <w:szCs w:val="18"/>
                <w:lang w:val="en-GB"/>
              </w:rPr>
            </w:pPr>
            <w:r w:rsidRPr="004E13E9">
              <w:rPr>
                <w:sz w:val="18"/>
                <w:szCs w:val="18"/>
                <w:lang w:val="en-GB"/>
              </w:rPr>
              <w:t xml:space="preserve">KARYSTOS </w:t>
            </w:r>
          </w:p>
        </w:tc>
        <w:tc>
          <w:tcPr>
            <w:tcW w:w="1732" w:type="dxa"/>
            <w:noWrap/>
            <w:vAlign w:val="bottom"/>
            <w:hideMark/>
          </w:tcPr>
          <w:p w14:paraId="71F42933"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5298917D" w14:textId="77777777" w:rsidTr="00BB4F69">
        <w:trPr>
          <w:trHeight w:val="300"/>
          <w:jc w:val="center"/>
        </w:trPr>
        <w:tc>
          <w:tcPr>
            <w:tcW w:w="4500" w:type="dxa"/>
            <w:noWrap/>
            <w:vAlign w:val="bottom"/>
            <w:hideMark/>
          </w:tcPr>
          <w:p w14:paraId="50F45F8B" w14:textId="77777777" w:rsidR="00DF358A" w:rsidRPr="004E13E9" w:rsidRDefault="00DF358A" w:rsidP="00BB4F69">
            <w:pPr>
              <w:rPr>
                <w:sz w:val="18"/>
                <w:szCs w:val="18"/>
                <w:lang w:val="en-GB"/>
              </w:rPr>
            </w:pPr>
            <w:r w:rsidRPr="004E13E9">
              <w:rPr>
                <w:sz w:val="18"/>
                <w:szCs w:val="18"/>
                <w:lang w:val="en-GB"/>
              </w:rPr>
              <w:t xml:space="preserve">KATAKOLO </w:t>
            </w:r>
          </w:p>
        </w:tc>
        <w:tc>
          <w:tcPr>
            <w:tcW w:w="1732" w:type="dxa"/>
            <w:noWrap/>
            <w:vAlign w:val="bottom"/>
            <w:hideMark/>
          </w:tcPr>
          <w:p w14:paraId="4A023ADA"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1D8307C6" w14:textId="77777777" w:rsidTr="00BB4F69">
        <w:trPr>
          <w:trHeight w:val="300"/>
          <w:jc w:val="center"/>
        </w:trPr>
        <w:tc>
          <w:tcPr>
            <w:tcW w:w="4500" w:type="dxa"/>
            <w:noWrap/>
            <w:vAlign w:val="bottom"/>
            <w:hideMark/>
          </w:tcPr>
          <w:p w14:paraId="42124F83"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KATAPOLA </w:t>
            </w:r>
          </w:p>
        </w:tc>
        <w:tc>
          <w:tcPr>
            <w:tcW w:w="1732" w:type="dxa"/>
            <w:noWrap/>
            <w:vAlign w:val="bottom"/>
            <w:hideMark/>
          </w:tcPr>
          <w:p w14:paraId="53812C0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71E8CB2" w14:textId="77777777" w:rsidTr="00BB4F69">
        <w:trPr>
          <w:trHeight w:val="300"/>
          <w:jc w:val="center"/>
        </w:trPr>
        <w:tc>
          <w:tcPr>
            <w:tcW w:w="4500" w:type="dxa"/>
            <w:noWrap/>
            <w:vAlign w:val="bottom"/>
            <w:hideMark/>
          </w:tcPr>
          <w:p w14:paraId="46CDFABD" w14:textId="77777777" w:rsidR="00DF358A" w:rsidRPr="004E13E9" w:rsidRDefault="00DF358A" w:rsidP="00BB4F69">
            <w:pPr>
              <w:rPr>
                <w:sz w:val="18"/>
                <w:szCs w:val="18"/>
                <w:lang w:val="en-GB"/>
              </w:rPr>
            </w:pPr>
            <w:r w:rsidRPr="004E13E9">
              <w:rPr>
                <w:sz w:val="18"/>
                <w:szCs w:val="18"/>
                <w:lang w:val="en-GB"/>
              </w:rPr>
              <w:t xml:space="preserve">KAVALA </w:t>
            </w:r>
          </w:p>
        </w:tc>
        <w:tc>
          <w:tcPr>
            <w:tcW w:w="1732" w:type="dxa"/>
            <w:noWrap/>
            <w:vAlign w:val="bottom"/>
            <w:hideMark/>
          </w:tcPr>
          <w:p w14:paraId="67190D42"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03E750F8" w14:textId="77777777" w:rsidTr="00BB4F69">
        <w:trPr>
          <w:trHeight w:val="300"/>
          <w:jc w:val="center"/>
        </w:trPr>
        <w:tc>
          <w:tcPr>
            <w:tcW w:w="4500" w:type="dxa"/>
            <w:noWrap/>
            <w:vAlign w:val="bottom"/>
            <w:hideMark/>
          </w:tcPr>
          <w:p w14:paraId="7A085BD5"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KEFALOS KOS</w:t>
            </w:r>
          </w:p>
        </w:tc>
        <w:tc>
          <w:tcPr>
            <w:tcW w:w="1732" w:type="dxa"/>
            <w:noWrap/>
            <w:vAlign w:val="bottom"/>
            <w:hideMark/>
          </w:tcPr>
          <w:p w14:paraId="2DB7EC0C"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BE2EFF7" w14:textId="77777777" w:rsidTr="00BB4F69">
        <w:trPr>
          <w:trHeight w:val="300"/>
          <w:jc w:val="center"/>
        </w:trPr>
        <w:tc>
          <w:tcPr>
            <w:tcW w:w="4500" w:type="dxa"/>
            <w:noWrap/>
            <w:vAlign w:val="bottom"/>
            <w:hideMark/>
          </w:tcPr>
          <w:p w14:paraId="5C19EDF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KERAMIDI</w:t>
            </w:r>
          </w:p>
        </w:tc>
        <w:tc>
          <w:tcPr>
            <w:tcW w:w="1732" w:type="dxa"/>
            <w:noWrap/>
            <w:vAlign w:val="bottom"/>
            <w:hideMark/>
          </w:tcPr>
          <w:p w14:paraId="69CA2B1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10F6BB4" w14:textId="77777777" w:rsidTr="00BB4F69">
        <w:trPr>
          <w:trHeight w:val="300"/>
          <w:jc w:val="center"/>
        </w:trPr>
        <w:tc>
          <w:tcPr>
            <w:tcW w:w="4500" w:type="dxa"/>
            <w:noWrap/>
            <w:vAlign w:val="bottom"/>
            <w:hideMark/>
          </w:tcPr>
          <w:p w14:paraId="1C1C807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KERAMOTI </w:t>
            </w:r>
          </w:p>
        </w:tc>
        <w:tc>
          <w:tcPr>
            <w:tcW w:w="1732" w:type="dxa"/>
            <w:noWrap/>
            <w:vAlign w:val="bottom"/>
            <w:hideMark/>
          </w:tcPr>
          <w:p w14:paraId="0C7935B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A5EDA3B" w14:textId="77777777" w:rsidTr="00BB4F69">
        <w:trPr>
          <w:trHeight w:val="300"/>
          <w:jc w:val="center"/>
        </w:trPr>
        <w:tc>
          <w:tcPr>
            <w:tcW w:w="4500" w:type="dxa"/>
            <w:noWrap/>
            <w:vAlign w:val="bottom"/>
            <w:hideMark/>
          </w:tcPr>
          <w:p w14:paraId="67A39C46" w14:textId="77777777" w:rsidR="00DF358A" w:rsidRPr="004E13E9" w:rsidRDefault="00DF358A" w:rsidP="00BB4F69">
            <w:pPr>
              <w:rPr>
                <w:sz w:val="18"/>
                <w:szCs w:val="18"/>
                <w:lang w:val="en-GB"/>
              </w:rPr>
            </w:pPr>
            <w:r w:rsidRPr="004E13E9">
              <w:rPr>
                <w:sz w:val="18"/>
                <w:szCs w:val="18"/>
                <w:lang w:val="en-GB"/>
              </w:rPr>
              <w:t xml:space="preserve">KERATSINI </w:t>
            </w:r>
          </w:p>
        </w:tc>
        <w:tc>
          <w:tcPr>
            <w:tcW w:w="1732" w:type="dxa"/>
            <w:noWrap/>
            <w:vAlign w:val="bottom"/>
            <w:hideMark/>
          </w:tcPr>
          <w:p w14:paraId="0AAF1900"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48DD95E9" w14:textId="77777777" w:rsidTr="00BB4F69">
        <w:trPr>
          <w:trHeight w:val="300"/>
          <w:jc w:val="center"/>
        </w:trPr>
        <w:tc>
          <w:tcPr>
            <w:tcW w:w="4500" w:type="dxa"/>
            <w:noWrap/>
            <w:vAlign w:val="bottom"/>
            <w:hideMark/>
          </w:tcPr>
          <w:p w14:paraId="23E70358" w14:textId="77777777" w:rsidR="00DF358A" w:rsidRPr="004E13E9" w:rsidRDefault="00DF358A" w:rsidP="00BB4F69">
            <w:pPr>
              <w:rPr>
                <w:sz w:val="18"/>
                <w:szCs w:val="18"/>
                <w:lang w:val="en-GB"/>
              </w:rPr>
            </w:pPr>
            <w:r w:rsidRPr="004E13E9">
              <w:rPr>
                <w:sz w:val="18"/>
                <w:szCs w:val="18"/>
                <w:lang w:val="en-GB"/>
              </w:rPr>
              <w:t xml:space="preserve">KERKYRA </w:t>
            </w:r>
          </w:p>
        </w:tc>
        <w:tc>
          <w:tcPr>
            <w:tcW w:w="1732" w:type="dxa"/>
            <w:noWrap/>
            <w:vAlign w:val="bottom"/>
            <w:hideMark/>
          </w:tcPr>
          <w:p w14:paraId="70780ED3"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56BD4C11" w14:textId="77777777" w:rsidTr="00BB4F69">
        <w:trPr>
          <w:trHeight w:val="300"/>
          <w:jc w:val="center"/>
        </w:trPr>
        <w:tc>
          <w:tcPr>
            <w:tcW w:w="4500" w:type="dxa"/>
            <w:noWrap/>
            <w:vAlign w:val="bottom"/>
            <w:hideMark/>
          </w:tcPr>
          <w:p w14:paraId="77CCDCC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KIATO </w:t>
            </w:r>
          </w:p>
        </w:tc>
        <w:tc>
          <w:tcPr>
            <w:tcW w:w="1732" w:type="dxa"/>
            <w:noWrap/>
            <w:vAlign w:val="bottom"/>
            <w:hideMark/>
          </w:tcPr>
          <w:p w14:paraId="093F26B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6D1DC80F" w14:textId="77777777" w:rsidTr="00BB4F69">
        <w:trPr>
          <w:trHeight w:val="300"/>
          <w:jc w:val="center"/>
        </w:trPr>
        <w:tc>
          <w:tcPr>
            <w:tcW w:w="4500" w:type="dxa"/>
            <w:noWrap/>
            <w:vAlign w:val="bottom"/>
            <w:hideMark/>
          </w:tcPr>
          <w:p w14:paraId="371BFF3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KIMOLOS </w:t>
            </w:r>
          </w:p>
        </w:tc>
        <w:tc>
          <w:tcPr>
            <w:tcW w:w="1732" w:type="dxa"/>
            <w:noWrap/>
            <w:vAlign w:val="bottom"/>
            <w:hideMark/>
          </w:tcPr>
          <w:p w14:paraId="481BC9E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5FB7F70A" w14:textId="77777777" w:rsidTr="00BB4F69">
        <w:trPr>
          <w:trHeight w:val="300"/>
          <w:jc w:val="center"/>
        </w:trPr>
        <w:tc>
          <w:tcPr>
            <w:tcW w:w="4500" w:type="dxa"/>
            <w:noWrap/>
            <w:vAlign w:val="bottom"/>
            <w:hideMark/>
          </w:tcPr>
          <w:p w14:paraId="2A90CE2D" w14:textId="77777777" w:rsidR="00DF358A" w:rsidRPr="004E13E9" w:rsidRDefault="00DF358A" w:rsidP="00BB4F69">
            <w:pPr>
              <w:rPr>
                <w:sz w:val="18"/>
                <w:szCs w:val="18"/>
                <w:lang w:val="en-GB"/>
              </w:rPr>
            </w:pPr>
            <w:r w:rsidRPr="004E13E9">
              <w:rPr>
                <w:sz w:val="18"/>
                <w:szCs w:val="18"/>
                <w:lang w:val="en-GB"/>
              </w:rPr>
              <w:t xml:space="preserve">KISSAMOS </w:t>
            </w:r>
          </w:p>
        </w:tc>
        <w:tc>
          <w:tcPr>
            <w:tcW w:w="1732" w:type="dxa"/>
            <w:noWrap/>
            <w:vAlign w:val="bottom"/>
            <w:hideMark/>
          </w:tcPr>
          <w:p w14:paraId="10426F64"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68F309C9" w14:textId="77777777" w:rsidTr="00BB4F69">
        <w:trPr>
          <w:trHeight w:val="300"/>
          <w:jc w:val="center"/>
        </w:trPr>
        <w:tc>
          <w:tcPr>
            <w:tcW w:w="4500" w:type="dxa"/>
            <w:noWrap/>
            <w:vAlign w:val="bottom"/>
            <w:hideMark/>
          </w:tcPr>
          <w:p w14:paraId="2F8D1ED0" w14:textId="77777777" w:rsidR="00DF358A" w:rsidRPr="004E13E9" w:rsidRDefault="00DF358A" w:rsidP="00BB4F69">
            <w:pPr>
              <w:rPr>
                <w:sz w:val="18"/>
                <w:szCs w:val="18"/>
                <w:lang w:val="en-GB"/>
              </w:rPr>
            </w:pPr>
            <w:r w:rsidRPr="004E13E9">
              <w:rPr>
                <w:sz w:val="18"/>
                <w:szCs w:val="18"/>
                <w:lang w:val="en-GB"/>
              </w:rPr>
              <w:t xml:space="preserve">KITROS </w:t>
            </w:r>
            <w:r w:rsidRPr="004E13E9">
              <w:rPr>
                <w:rFonts w:eastAsia="Times New Roman"/>
                <w:sz w:val="18"/>
                <w:szCs w:val="18"/>
                <w:lang w:val="en-GB" w:eastAsia="en-GB"/>
              </w:rPr>
              <w:t>(PINDA) PIERIAS</w:t>
            </w:r>
          </w:p>
        </w:tc>
        <w:tc>
          <w:tcPr>
            <w:tcW w:w="1732" w:type="dxa"/>
            <w:noWrap/>
            <w:vAlign w:val="bottom"/>
            <w:hideMark/>
          </w:tcPr>
          <w:p w14:paraId="53E3E5C8"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285ED61D" w14:textId="77777777" w:rsidTr="00BB4F69">
        <w:trPr>
          <w:trHeight w:val="300"/>
          <w:jc w:val="center"/>
        </w:trPr>
        <w:tc>
          <w:tcPr>
            <w:tcW w:w="4500" w:type="dxa"/>
            <w:noWrap/>
            <w:vAlign w:val="bottom"/>
            <w:hideMark/>
          </w:tcPr>
          <w:p w14:paraId="4ECB65F2" w14:textId="77777777" w:rsidR="00DF358A" w:rsidRPr="004E13E9" w:rsidRDefault="00DF358A" w:rsidP="00BB4F69">
            <w:pPr>
              <w:rPr>
                <w:sz w:val="18"/>
                <w:szCs w:val="18"/>
                <w:lang w:val="en-GB"/>
              </w:rPr>
            </w:pPr>
            <w:r w:rsidRPr="004E13E9">
              <w:rPr>
                <w:sz w:val="18"/>
                <w:szCs w:val="18"/>
                <w:lang w:val="en-GB"/>
              </w:rPr>
              <w:t xml:space="preserve">KOILADA </w:t>
            </w:r>
          </w:p>
        </w:tc>
        <w:tc>
          <w:tcPr>
            <w:tcW w:w="1732" w:type="dxa"/>
            <w:noWrap/>
            <w:vAlign w:val="bottom"/>
            <w:hideMark/>
          </w:tcPr>
          <w:p w14:paraId="6C12CD67"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462F9C9F" w14:textId="77777777" w:rsidTr="00BB4F69">
        <w:trPr>
          <w:trHeight w:val="300"/>
          <w:jc w:val="center"/>
        </w:trPr>
        <w:tc>
          <w:tcPr>
            <w:tcW w:w="4500" w:type="dxa"/>
            <w:noWrap/>
            <w:vAlign w:val="bottom"/>
            <w:hideMark/>
          </w:tcPr>
          <w:p w14:paraId="5948ED60" w14:textId="77777777" w:rsidR="00DF358A" w:rsidRPr="004E13E9" w:rsidRDefault="00DF358A" w:rsidP="00BB4F69">
            <w:pPr>
              <w:rPr>
                <w:sz w:val="18"/>
                <w:szCs w:val="18"/>
                <w:lang w:val="en-GB"/>
              </w:rPr>
            </w:pPr>
            <w:r w:rsidRPr="004E13E9">
              <w:rPr>
                <w:sz w:val="18"/>
                <w:szCs w:val="18"/>
                <w:lang w:val="en-GB"/>
              </w:rPr>
              <w:t xml:space="preserve">KOKKINOS PYRGOS </w:t>
            </w:r>
          </w:p>
        </w:tc>
        <w:tc>
          <w:tcPr>
            <w:tcW w:w="1732" w:type="dxa"/>
            <w:noWrap/>
            <w:vAlign w:val="bottom"/>
            <w:hideMark/>
          </w:tcPr>
          <w:p w14:paraId="5DC769B8"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07AE89A0" w14:textId="77777777" w:rsidTr="00BB4F69">
        <w:trPr>
          <w:trHeight w:val="300"/>
          <w:jc w:val="center"/>
        </w:trPr>
        <w:tc>
          <w:tcPr>
            <w:tcW w:w="4500" w:type="dxa"/>
            <w:noWrap/>
            <w:vAlign w:val="bottom"/>
            <w:hideMark/>
          </w:tcPr>
          <w:p w14:paraId="2B98655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KOLYMPARI CHANION</w:t>
            </w:r>
          </w:p>
        </w:tc>
        <w:tc>
          <w:tcPr>
            <w:tcW w:w="1732" w:type="dxa"/>
            <w:noWrap/>
            <w:vAlign w:val="bottom"/>
            <w:hideMark/>
          </w:tcPr>
          <w:p w14:paraId="1075865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29708E4" w14:textId="77777777" w:rsidTr="00BB4F69">
        <w:trPr>
          <w:trHeight w:val="300"/>
          <w:jc w:val="center"/>
        </w:trPr>
        <w:tc>
          <w:tcPr>
            <w:tcW w:w="4500" w:type="dxa"/>
            <w:noWrap/>
            <w:vAlign w:val="bottom"/>
            <w:hideMark/>
          </w:tcPr>
          <w:p w14:paraId="4DE27B71" w14:textId="77777777" w:rsidR="00DF358A" w:rsidRPr="004E13E9" w:rsidRDefault="00DF358A" w:rsidP="00BB4F69">
            <w:pPr>
              <w:rPr>
                <w:sz w:val="18"/>
                <w:szCs w:val="18"/>
                <w:lang w:val="en-GB"/>
              </w:rPr>
            </w:pPr>
            <w:r w:rsidRPr="004E13E9">
              <w:rPr>
                <w:sz w:val="18"/>
                <w:szCs w:val="18"/>
                <w:lang w:val="en-GB"/>
              </w:rPr>
              <w:t xml:space="preserve">KORINTHOS </w:t>
            </w:r>
          </w:p>
        </w:tc>
        <w:tc>
          <w:tcPr>
            <w:tcW w:w="1732" w:type="dxa"/>
            <w:noWrap/>
            <w:vAlign w:val="bottom"/>
            <w:hideMark/>
          </w:tcPr>
          <w:p w14:paraId="04A6805C"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21F8138A" w14:textId="77777777" w:rsidTr="00BB4F69">
        <w:trPr>
          <w:trHeight w:val="300"/>
          <w:jc w:val="center"/>
        </w:trPr>
        <w:tc>
          <w:tcPr>
            <w:tcW w:w="4500" w:type="dxa"/>
            <w:noWrap/>
            <w:vAlign w:val="bottom"/>
            <w:hideMark/>
          </w:tcPr>
          <w:p w14:paraId="773CC08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KORISSIA </w:t>
            </w:r>
          </w:p>
        </w:tc>
        <w:tc>
          <w:tcPr>
            <w:tcW w:w="1732" w:type="dxa"/>
            <w:noWrap/>
            <w:vAlign w:val="bottom"/>
            <w:hideMark/>
          </w:tcPr>
          <w:p w14:paraId="70B319F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54D4B90" w14:textId="77777777" w:rsidTr="00BB4F69">
        <w:trPr>
          <w:trHeight w:val="300"/>
          <w:jc w:val="center"/>
        </w:trPr>
        <w:tc>
          <w:tcPr>
            <w:tcW w:w="4500" w:type="dxa"/>
            <w:noWrap/>
            <w:vAlign w:val="bottom"/>
            <w:hideMark/>
          </w:tcPr>
          <w:p w14:paraId="451263E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KORONI </w:t>
            </w:r>
          </w:p>
        </w:tc>
        <w:tc>
          <w:tcPr>
            <w:tcW w:w="1732" w:type="dxa"/>
            <w:noWrap/>
            <w:vAlign w:val="bottom"/>
            <w:hideMark/>
          </w:tcPr>
          <w:p w14:paraId="6D8EAB4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2514944" w14:textId="77777777" w:rsidTr="00BB4F69">
        <w:trPr>
          <w:trHeight w:val="300"/>
          <w:jc w:val="center"/>
        </w:trPr>
        <w:tc>
          <w:tcPr>
            <w:tcW w:w="4500" w:type="dxa"/>
            <w:noWrap/>
            <w:vAlign w:val="bottom"/>
            <w:hideMark/>
          </w:tcPr>
          <w:p w14:paraId="51589087" w14:textId="77777777" w:rsidR="00DF358A" w:rsidRPr="004E13E9" w:rsidRDefault="00DF358A" w:rsidP="00BB4F69">
            <w:pPr>
              <w:rPr>
                <w:sz w:val="18"/>
                <w:szCs w:val="18"/>
                <w:lang w:val="en-GB"/>
              </w:rPr>
            </w:pPr>
            <w:r w:rsidRPr="004E13E9">
              <w:rPr>
                <w:rFonts w:eastAsia="Times New Roman"/>
                <w:sz w:val="18"/>
                <w:szCs w:val="18"/>
                <w:lang w:val="en-GB" w:eastAsia="en-GB"/>
              </w:rPr>
              <w:t>KORTHIOU</w:t>
            </w:r>
            <w:r w:rsidRPr="004E13E9">
              <w:rPr>
                <w:sz w:val="18"/>
                <w:szCs w:val="18"/>
                <w:lang w:val="en-GB"/>
              </w:rPr>
              <w:t xml:space="preserve"> ANDROU</w:t>
            </w:r>
          </w:p>
        </w:tc>
        <w:tc>
          <w:tcPr>
            <w:tcW w:w="1732" w:type="dxa"/>
            <w:noWrap/>
            <w:vAlign w:val="bottom"/>
            <w:hideMark/>
          </w:tcPr>
          <w:p w14:paraId="4DAD743E"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5A870FD9" w14:textId="77777777" w:rsidTr="00BB4F69">
        <w:trPr>
          <w:trHeight w:val="300"/>
          <w:jc w:val="center"/>
        </w:trPr>
        <w:tc>
          <w:tcPr>
            <w:tcW w:w="4500" w:type="dxa"/>
            <w:noWrap/>
            <w:vAlign w:val="bottom"/>
            <w:hideMark/>
          </w:tcPr>
          <w:p w14:paraId="537467E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KOS </w:t>
            </w:r>
          </w:p>
        </w:tc>
        <w:tc>
          <w:tcPr>
            <w:tcW w:w="1732" w:type="dxa"/>
            <w:noWrap/>
            <w:vAlign w:val="bottom"/>
            <w:hideMark/>
          </w:tcPr>
          <w:p w14:paraId="33C2FD95"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9D8AB2E" w14:textId="77777777" w:rsidTr="00BB4F69">
        <w:trPr>
          <w:trHeight w:val="300"/>
          <w:jc w:val="center"/>
        </w:trPr>
        <w:tc>
          <w:tcPr>
            <w:tcW w:w="4500" w:type="dxa"/>
            <w:noWrap/>
            <w:vAlign w:val="bottom"/>
            <w:hideMark/>
          </w:tcPr>
          <w:p w14:paraId="0A77E60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KOTSINAS LIMNOU</w:t>
            </w:r>
          </w:p>
        </w:tc>
        <w:tc>
          <w:tcPr>
            <w:tcW w:w="1732" w:type="dxa"/>
            <w:noWrap/>
            <w:vAlign w:val="bottom"/>
            <w:hideMark/>
          </w:tcPr>
          <w:p w14:paraId="34C161F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7D277CB" w14:textId="77777777" w:rsidTr="00BB4F69">
        <w:trPr>
          <w:trHeight w:val="300"/>
          <w:jc w:val="center"/>
        </w:trPr>
        <w:tc>
          <w:tcPr>
            <w:tcW w:w="4500" w:type="dxa"/>
            <w:noWrap/>
            <w:vAlign w:val="bottom"/>
            <w:hideMark/>
          </w:tcPr>
          <w:p w14:paraId="082BEB1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KOUFONISI </w:t>
            </w:r>
          </w:p>
        </w:tc>
        <w:tc>
          <w:tcPr>
            <w:tcW w:w="1732" w:type="dxa"/>
            <w:noWrap/>
            <w:vAlign w:val="bottom"/>
            <w:hideMark/>
          </w:tcPr>
          <w:p w14:paraId="17E7847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7CEEA9B" w14:textId="77777777" w:rsidTr="00BB4F69">
        <w:trPr>
          <w:trHeight w:val="300"/>
          <w:jc w:val="center"/>
        </w:trPr>
        <w:tc>
          <w:tcPr>
            <w:tcW w:w="4500" w:type="dxa"/>
            <w:noWrap/>
            <w:vAlign w:val="bottom"/>
            <w:hideMark/>
          </w:tcPr>
          <w:p w14:paraId="504A6C0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KOUREMENOS </w:t>
            </w:r>
          </w:p>
        </w:tc>
        <w:tc>
          <w:tcPr>
            <w:tcW w:w="1732" w:type="dxa"/>
            <w:noWrap/>
            <w:vAlign w:val="bottom"/>
            <w:hideMark/>
          </w:tcPr>
          <w:p w14:paraId="52202F9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67438B81" w14:textId="77777777" w:rsidTr="00BB4F69">
        <w:trPr>
          <w:trHeight w:val="300"/>
          <w:jc w:val="center"/>
        </w:trPr>
        <w:tc>
          <w:tcPr>
            <w:tcW w:w="4500" w:type="dxa"/>
            <w:noWrap/>
            <w:vAlign w:val="bottom"/>
            <w:hideMark/>
          </w:tcPr>
          <w:p w14:paraId="180B16F9" w14:textId="77777777" w:rsidR="00DF358A" w:rsidRPr="004E13E9" w:rsidRDefault="00DF358A" w:rsidP="00BB4F69">
            <w:pPr>
              <w:rPr>
                <w:sz w:val="18"/>
                <w:szCs w:val="18"/>
                <w:lang w:val="en-GB"/>
              </w:rPr>
            </w:pPr>
            <w:r w:rsidRPr="004E13E9">
              <w:rPr>
                <w:sz w:val="18"/>
                <w:szCs w:val="18"/>
                <w:lang w:val="en-GB"/>
              </w:rPr>
              <w:t xml:space="preserve">KYLLINI </w:t>
            </w:r>
          </w:p>
        </w:tc>
        <w:tc>
          <w:tcPr>
            <w:tcW w:w="1732" w:type="dxa"/>
            <w:noWrap/>
            <w:vAlign w:val="bottom"/>
            <w:hideMark/>
          </w:tcPr>
          <w:p w14:paraId="7C7D200D"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141C3E28" w14:textId="77777777" w:rsidTr="00BB4F69">
        <w:trPr>
          <w:trHeight w:val="300"/>
          <w:jc w:val="center"/>
        </w:trPr>
        <w:tc>
          <w:tcPr>
            <w:tcW w:w="4500" w:type="dxa"/>
            <w:noWrap/>
            <w:vAlign w:val="bottom"/>
            <w:hideMark/>
          </w:tcPr>
          <w:p w14:paraId="254BCC93" w14:textId="77777777" w:rsidR="00DF358A" w:rsidRPr="004E13E9" w:rsidRDefault="00DF358A" w:rsidP="00BB4F69">
            <w:pPr>
              <w:rPr>
                <w:sz w:val="18"/>
                <w:szCs w:val="18"/>
                <w:lang w:val="en-GB"/>
              </w:rPr>
            </w:pPr>
            <w:r w:rsidRPr="004E13E9">
              <w:rPr>
                <w:sz w:val="18"/>
                <w:szCs w:val="18"/>
                <w:lang w:val="en-GB"/>
              </w:rPr>
              <w:t xml:space="preserve">KYMI </w:t>
            </w:r>
          </w:p>
        </w:tc>
        <w:tc>
          <w:tcPr>
            <w:tcW w:w="1732" w:type="dxa"/>
            <w:noWrap/>
            <w:vAlign w:val="bottom"/>
            <w:hideMark/>
          </w:tcPr>
          <w:p w14:paraId="67F3EEC7"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40E7A219" w14:textId="77777777" w:rsidTr="00BB4F69">
        <w:trPr>
          <w:trHeight w:val="300"/>
          <w:jc w:val="center"/>
        </w:trPr>
        <w:tc>
          <w:tcPr>
            <w:tcW w:w="4500" w:type="dxa"/>
            <w:noWrap/>
            <w:vAlign w:val="bottom"/>
            <w:hideMark/>
          </w:tcPr>
          <w:p w14:paraId="1A8953A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KYPARISSIA </w:t>
            </w:r>
          </w:p>
        </w:tc>
        <w:tc>
          <w:tcPr>
            <w:tcW w:w="1732" w:type="dxa"/>
            <w:noWrap/>
            <w:vAlign w:val="bottom"/>
            <w:hideMark/>
          </w:tcPr>
          <w:p w14:paraId="215B26A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248B756" w14:textId="77777777" w:rsidTr="00BB4F69">
        <w:trPr>
          <w:trHeight w:val="300"/>
          <w:jc w:val="center"/>
        </w:trPr>
        <w:tc>
          <w:tcPr>
            <w:tcW w:w="4500" w:type="dxa"/>
            <w:noWrap/>
            <w:vAlign w:val="bottom"/>
            <w:hideMark/>
          </w:tcPr>
          <w:p w14:paraId="11427E7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LARDOU</w:t>
            </w:r>
          </w:p>
        </w:tc>
        <w:tc>
          <w:tcPr>
            <w:tcW w:w="1732" w:type="dxa"/>
            <w:noWrap/>
            <w:vAlign w:val="bottom"/>
            <w:hideMark/>
          </w:tcPr>
          <w:p w14:paraId="3EFA457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A31E915" w14:textId="77777777" w:rsidTr="00BB4F69">
        <w:trPr>
          <w:trHeight w:val="300"/>
          <w:jc w:val="center"/>
        </w:trPr>
        <w:tc>
          <w:tcPr>
            <w:tcW w:w="4500" w:type="dxa"/>
            <w:noWrap/>
            <w:vAlign w:val="bottom"/>
            <w:hideMark/>
          </w:tcPr>
          <w:p w14:paraId="5AAE196F" w14:textId="77777777" w:rsidR="00DF358A" w:rsidRPr="004E13E9" w:rsidRDefault="00DF358A" w:rsidP="00BB4F69">
            <w:pPr>
              <w:rPr>
                <w:sz w:val="18"/>
                <w:szCs w:val="18"/>
                <w:lang w:val="en-GB"/>
              </w:rPr>
            </w:pPr>
            <w:r w:rsidRPr="004E13E9">
              <w:rPr>
                <w:sz w:val="18"/>
                <w:szCs w:val="18"/>
                <w:lang w:val="en-GB"/>
              </w:rPr>
              <w:t xml:space="preserve">LAVRIO </w:t>
            </w:r>
          </w:p>
        </w:tc>
        <w:tc>
          <w:tcPr>
            <w:tcW w:w="1732" w:type="dxa"/>
            <w:noWrap/>
            <w:vAlign w:val="bottom"/>
            <w:hideMark/>
          </w:tcPr>
          <w:p w14:paraId="6412A431"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09BA67B7" w14:textId="77777777" w:rsidTr="00BB4F69">
        <w:trPr>
          <w:trHeight w:val="300"/>
          <w:jc w:val="center"/>
        </w:trPr>
        <w:tc>
          <w:tcPr>
            <w:tcW w:w="4500" w:type="dxa"/>
            <w:noWrap/>
            <w:vAlign w:val="bottom"/>
            <w:hideMark/>
          </w:tcPr>
          <w:p w14:paraId="27C79915" w14:textId="77777777" w:rsidR="00DF358A" w:rsidRPr="004E13E9" w:rsidRDefault="00DF358A" w:rsidP="00BB4F69">
            <w:pPr>
              <w:rPr>
                <w:sz w:val="18"/>
                <w:szCs w:val="18"/>
                <w:lang w:val="en-GB"/>
              </w:rPr>
            </w:pPr>
            <w:r w:rsidRPr="004E13E9">
              <w:rPr>
                <w:sz w:val="18"/>
                <w:szCs w:val="18"/>
                <w:lang w:val="en-GB"/>
              </w:rPr>
              <w:t xml:space="preserve">LEFKADA </w:t>
            </w:r>
          </w:p>
        </w:tc>
        <w:tc>
          <w:tcPr>
            <w:tcW w:w="1732" w:type="dxa"/>
            <w:noWrap/>
            <w:vAlign w:val="bottom"/>
            <w:hideMark/>
          </w:tcPr>
          <w:p w14:paraId="2F4874ED"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12CF9E53" w14:textId="77777777" w:rsidTr="00BB4F69">
        <w:trPr>
          <w:trHeight w:val="300"/>
          <w:jc w:val="center"/>
        </w:trPr>
        <w:tc>
          <w:tcPr>
            <w:tcW w:w="4500" w:type="dxa"/>
            <w:noWrap/>
            <w:vAlign w:val="bottom"/>
            <w:hideMark/>
          </w:tcPr>
          <w:p w14:paraId="4F29931F" w14:textId="77777777" w:rsidR="00DF358A" w:rsidRPr="004E13E9" w:rsidRDefault="00DF358A" w:rsidP="00BB4F69">
            <w:pPr>
              <w:rPr>
                <w:sz w:val="18"/>
                <w:szCs w:val="18"/>
                <w:lang w:val="en-GB"/>
              </w:rPr>
            </w:pPr>
            <w:r w:rsidRPr="004E13E9">
              <w:rPr>
                <w:sz w:val="18"/>
                <w:szCs w:val="18"/>
                <w:lang w:val="en-GB"/>
              </w:rPr>
              <w:t xml:space="preserve">LEFKIMMI </w:t>
            </w:r>
          </w:p>
        </w:tc>
        <w:tc>
          <w:tcPr>
            <w:tcW w:w="1732" w:type="dxa"/>
            <w:noWrap/>
            <w:vAlign w:val="bottom"/>
            <w:hideMark/>
          </w:tcPr>
          <w:p w14:paraId="08FDFC95"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23EE02A0" w14:textId="77777777" w:rsidTr="00BB4F69">
        <w:trPr>
          <w:trHeight w:val="300"/>
          <w:jc w:val="center"/>
        </w:trPr>
        <w:tc>
          <w:tcPr>
            <w:tcW w:w="4500" w:type="dxa"/>
            <w:noWrap/>
            <w:vAlign w:val="bottom"/>
            <w:hideMark/>
          </w:tcPr>
          <w:p w14:paraId="41F9807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LEONIDIO </w:t>
            </w:r>
          </w:p>
        </w:tc>
        <w:tc>
          <w:tcPr>
            <w:tcW w:w="1732" w:type="dxa"/>
            <w:noWrap/>
            <w:vAlign w:val="bottom"/>
            <w:hideMark/>
          </w:tcPr>
          <w:p w14:paraId="1BC306F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E24B88C" w14:textId="77777777" w:rsidTr="00BB4F69">
        <w:trPr>
          <w:trHeight w:val="300"/>
          <w:jc w:val="center"/>
        </w:trPr>
        <w:tc>
          <w:tcPr>
            <w:tcW w:w="4500" w:type="dxa"/>
            <w:noWrap/>
            <w:vAlign w:val="bottom"/>
            <w:hideMark/>
          </w:tcPr>
          <w:p w14:paraId="7CE77B0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LIMENARIA THASOU</w:t>
            </w:r>
          </w:p>
        </w:tc>
        <w:tc>
          <w:tcPr>
            <w:tcW w:w="1732" w:type="dxa"/>
            <w:noWrap/>
            <w:vAlign w:val="bottom"/>
            <w:hideMark/>
          </w:tcPr>
          <w:p w14:paraId="5766CF1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719F78D" w14:textId="77777777" w:rsidTr="00BB4F69">
        <w:trPr>
          <w:trHeight w:val="300"/>
          <w:jc w:val="center"/>
        </w:trPr>
        <w:tc>
          <w:tcPr>
            <w:tcW w:w="4500" w:type="dxa"/>
            <w:noWrap/>
            <w:vAlign w:val="bottom"/>
            <w:hideMark/>
          </w:tcPr>
          <w:p w14:paraId="01C8960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LIMNI EVVOIAS </w:t>
            </w:r>
          </w:p>
        </w:tc>
        <w:tc>
          <w:tcPr>
            <w:tcW w:w="1732" w:type="dxa"/>
            <w:noWrap/>
            <w:vAlign w:val="bottom"/>
            <w:hideMark/>
          </w:tcPr>
          <w:p w14:paraId="072F27E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73F3564" w14:textId="77777777" w:rsidTr="00BB4F69">
        <w:trPr>
          <w:trHeight w:val="300"/>
          <w:jc w:val="center"/>
        </w:trPr>
        <w:tc>
          <w:tcPr>
            <w:tcW w:w="4500" w:type="dxa"/>
            <w:noWrap/>
            <w:vAlign w:val="bottom"/>
            <w:hideMark/>
          </w:tcPr>
          <w:p w14:paraId="7A3A9CA6"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LINOPERAMATA (RODIA) IRAKLEIOU</w:t>
            </w:r>
          </w:p>
        </w:tc>
        <w:tc>
          <w:tcPr>
            <w:tcW w:w="1732" w:type="dxa"/>
            <w:noWrap/>
            <w:vAlign w:val="bottom"/>
            <w:hideMark/>
          </w:tcPr>
          <w:p w14:paraId="3598855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AA2DF9C" w14:textId="77777777" w:rsidTr="00BB4F69">
        <w:trPr>
          <w:trHeight w:val="300"/>
          <w:jc w:val="center"/>
        </w:trPr>
        <w:tc>
          <w:tcPr>
            <w:tcW w:w="4500" w:type="dxa"/>
            <w:noWrap/>
            <w:vAlign w:val="bottom"/>
            <w:hideMark/>
          </w:tcPr>
          <w:p w14:paraId="0EF0035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LITHI CHIOU</w:t>
            </w:r>
          </w:p>
        </w:tc>
        <w:tc>
          <w:tcPr>
            <w:tcW w:w="1732" w:type="dxa"/>
            <w:noWrap/>
            <w:vAlign w:val="bottom"/>
            <w:hideMark/>
          </w:tcPr>
          <w:p w14:paraId="28BBE09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B03B99B" w14:textId="77777777" w:rsidTr="00BB4F69">
        <w:trPr>
          <w:trHeight w:val="300"/>
          <w:jc w:val="center"/>
        </w:trPr>
        <w:tc>
          <w:tcPr>
            <w:tcW w:w="4500" w:type="dxa"/>
            <w:noWrap/>
            <w:vAlign w:val="bottom"/>
            <w:hideMark/>
          </w:tcPr>
          <w:p w14:paraId="656941B4" w14:textId="77777777" w:rsidR="00DF358A" w:rsidRPr="004E13E9" w:rsidRDefault="00DF358A" w:rsidP="00BB4F69">
            <w:pPr>
              <w:rPr>
                <w:sz w:val="18"/>
                <w:szCs w:val="18"/>
                <w:lang w:val="en-GB"/>
              </w:rPr>
            </w:pPr>
            <w:r w:rsidRPr="004E13E9">
              <w:rPr>
                <w:sz w:val="18"/>
                <w:szCs w:val="18"/>
                <w:lang w:val="en-GB"/>
              </w:rPr>
              <w:t xml:space="preserve">LIVADI </w:t>
            </w:r>
            <w:r w:rsidRPr="004E13E9">
              <w:rPr>
                <w:rFonts w:eastAsia="Times New Roman"/>
                <w:sz w:val="18"/>
                <w:szCs w:val="18"/>
                <w:lang w:val="en-GB" w:eastAsia="en-GB"/>
              </w:rPr>
              <w:t>SERIFOU</w:t>
            </w:r>
          </w:p>
        </w:tc>
        <w:tc>
          <w:tcPr>
            <w:tcW w:w="1732" w:type="dxa"/>
            <w:noWrap/>
            <w:vAlign w:val="bottom"/>
            <w:hideMark/>
          </w:tcPr>
          <w:p w14:paraId="120A9506"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715EBE0A" w14:textId="77777777" w:rsidTr="00BB4F69">
        <w:trPr>
          <w:trHeight w:val="300"/>
          <w:jc w:val="center"/>
        </w:trPr>
        <w:tc>
          <w:tcPr>
            <w:tcW w:w="4500" w:type="dxa"/>
            <w:noWrap/>
            <w:vAlign w:val="bottom"/>
            <w:hideMark/>
          </w:tcPr>
          <w:p w14:paraId="18F4528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LIXOURI </w:t>
            </w:r>
          </w:p>
        </w:tc>
        <w:tc>
          <w:tcPr>
            <w:tcW w:w="1732" w:type="dxa"/>
            <w:noWrap/>
            <w:vAlign w:val="bottom"/>
            <w:hideMark/>
          </w:tcPr>
          <w:p w14:paraId="700E584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18DF424" w14:textId="77777777" w:rsidTr="00BB4F69">
        <w:trPr>
          <w:trHeight w:val="300"/>
          <w:jc w:val="center"/>
        </w:trPr>
        <w:tc>
          <w:tcPr>
            <w:tcW w:w="4500" w:type="dxa"/>
            <w:noWrap/>
            <w:vAlign w:val="bottom"/>
            <w:hideMark/>
          </w:tcPr>
          <w:p w14:paraId="5AAD82D6" w14:textId="77777777" w:rsidR="00DF358A" w:rsidRPr="004E13E9" w:rsidRDefault="00DF358A" w:rsidP="00BB4F69">
            <w:pPr>
              <w:rPr>
                <w:sz w:val="18"/>
                <w:szCs w:val="18"/>
                <w:lang w:val="en-GB"/>
              </w:rPr>
            </w:pPr>
            <w:r w:rsidRPr="004E13E9">
              <w:rPr>
                <w:sz w:val="18"/>
                <w:szCs w:val="18"/>
                <w:lang w:val="en-GB"/>
              </w:rPr>
              <w:t xml:space="preserve">LYGIA LEFKADAS </w:t>
            </w:r>
          </w:p>
        </w:tc>
        <w:tc>
          <w:tcPr>
            <w:tcW w:w="1732" w:type="dxa"/>
            <w:noWrap/>
            <w:vAlign w:val="bottom"/>
            <w:hideMark/>
          </w:tcPr>
          <w:p w14:paraId="4D8139A9"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4267472E" w14:textId="77777777" w:rsidTr="00BB4F69">
        <w:trPr>
          <w:trHeight w:val="300"/>
          <w:jc w:val="center"/>
        </w:trPr>
        <w:tc>
          <w:tcPr>
            <w:tcW w:w="4500" w:type="dxa"/>
            <w:noWrap/>
            <w:vAlign w:val="bottom"/>
            <w:hideMark/>
          </w:tcPr>
          <w:p w14:paraId="6DDBEA8F" w14:textId="77777777" w:rsidR="00DF358A" w:rsidRPr="004E13E9" w:rsidRDefault="00DF358A" w:rsidP="00BB4F69">
            <w:pPr>
              <w:rPr>
                <w:sz w:val="18"/>
                <w:szCs w:val="18"/>
                <w:lang w:val="en-GB"/>
              </w:rPr>
            </w:pPr>
            <w:r w:rsidRPr="004E13E9">
              <w:rPr>
                <w:sz w:val="18"/>
                <w:szCs w:val="18"/>
                <w:lang w:val="en-GB"/>
              </w:rPr>
              <w:t xml:space="preserve">LYGIA PREVEZAS </w:t>
            </w:r>
          </w:p>
        </w:tc>
        <w:tc>
          <w:tcPr>
            <w:tcW w:w="1732" w:type="dxa"/>
            <w:noWrap/>
            <w:vAlign w:val="bottom"/>
            <w:hideMark/>
          </w:tcPr>
          <w:p w14:paraId="28C255EE"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55F76C97" w14:textId="77777777" w:rsidTr="00BB4F69">
        <w:trPr>
          <w:trHeight w:val="300"/>
          <w:jc w:val="center"/>
        </w:trPr>
        <w:tc>
          <w:tcPr>
            <w:tcW w:w="4500" w:type="dxa"/>
            <w:noWrap/>
            <w:vAlign w:val="bottom"/>
            <w:hideMark/>
          </w:tcPr>
          <w:p w14:paraId="0F2280A3"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MAISTROS EVROU</w:t>
            </w:r>
          </w:p>
        </w:tc>
        <w:tc>
          <w:tcPr>
            <w:tcW w:w="1732" w:type="dxa"/>
            <w:noWrap/>
            <w:vAlign w:val="bottom"/>
            <w:hideMark/>
          </w:tcPr>
          <w:p w14:paraId="39ADA74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60A5BEAC" w14:textId="77777777" w:rsidTr="00BB4F69">
        <w:trPr>
          <w:trHeight w:val="300"/>
          <w:jc w:val="center"/>
        </w:trPr>
        <w:tc>
          <w:tcPr>
            <w:tcW w:w="4500" w:type="dxa"/>
            <w:noWrap/>
            <w:vAlign w:val="bottom"/>
            <w:hideMark/>
          </w:tcPr>
          <w:p w14:paraId="100DCB3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MAKRI EVROU</w:t>
            </w:r>
          </w:p>
        </w:tc>
        <w:tc>
          <w:tcPr>
            <w:tcW w:w="1732" w:type="dxa"/>
            <w:noWrap/>
            <w:vAlign w:val="bottom"/>
            <w:hideMark/>
          </w:tcPr>
          <w:p w14:paraId="7C3A38E6"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6EED60D" w14:textId="77777777" w:rsidTr="00BB4F69">
        <w:trPr>
          <w:trHeight w:val="300"/>
          <w:jc w:val="center"/>
        </w:trPr>
        <w:tc>
          <w:tcPr>
            <w:tcW w:w="4500" w:type="dxa"/>
            <w:noWrap/>
            <w:vAlign w:val="bottom"/>
            <w:hideMark/>
          </w:tcPr>
          <w:p w14:paraId="5190B4B5"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MANTOUDI </w:t>
            </w:r>
          </w:p>
        </w:tc>
        <w:tc>
          <w:tcPr>
            <w:tcW w:w="1732" w:type="dxa"/>
            <w:noWrap/>
            <w:vAlign w:val="bottom"/>
            <w:hideMark/>
          </w:tcPr>
          <w:p w14:paraId="377176F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68711E3" w14:textId="77777777" w:rsidTr="00BB4F69">
        <w:trPr>
          <w:trHeight w:val="300"/>
          <w:jc w:val="center"/>
        </w:trPr>
        <w:tc>
          <w:tcPr>
            <w:tcW w:w="4500" w:type="dxa"/>
            <w:noWrap/>
            <w:vAlign w:val="bottom"/>
            <w:hideMark/>
          </w:tcPr>
          <w:p w14:paraId="63967A2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MARMARI EVVOIAS</w:t>
            </w:r>
          </w:p>
        </w:tc>
        <w:tc>
          <w:tcPr>
            <w:tcW w:w="1732" w:type="dxa"/>
            <w:noWrap/>
            <w:vAlign w:val="bottom"/>
            <w:hideMark/>
          </w:tcPr>
          <w:p w14:paraId="1ED9044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6BE0BFCE" w14:textId="77777777" w:rsidTr="00BB4F69">
        <w:trPr>
          <w:trHeight w:val="300"/>
          <w:jc w:val="center"/>
        </w:trPr>
        <w:tc>
          <w:tcPr>
            <w:tcW w:w="4500" w:type="dxa"/>
            <w:noWrap/>
            <w:vAlign w:val="bottom"/>
            <w:hideMark/>
          </w:tcPr>
          <w:p w14:paraId="06C5D403" w14:textId="77777777" w:rsidR="00DF358A" w:rsidRPr="004E13E9" w:rsidRDefault="00DF358A" w:rsidP="00BB4F69">
            <w:pPr>
              <w:rPr>
                <w:sz w:val="18"/>
                <w:szCs w:val="18"/>
                <w:lang w:val="en-GB"/>
              </w:rPr>
            </w:pPr>
            <w:r w:rsidRPr="004E13E9">
              <w:rPr>
                <w:sz w:val="18"/>
                <w:szCs w:val="18"/>
                <w:lang w:val="en-GB"/>
              </w:rPr>
              <w:t xml:space="preserve">MARONEIA </w:t>
            </w:r>
            <w:r w:rsidRPr="004E13E9">
              <w:rPr>
                <w:rFonts w:eastAsia="Times New Roman"/>
                <w:sz w:val="18"/>
                <w:szCs w:val="18"/>
                <w:lang w:val="en-GB" w:eastAsia="en-GB"/>
              </w:rPr>
              <w:t>RODOPIS</w:t>
            </w:r>
          </w:p>
        </w:tc>
        <w:tc>
          <w:tcPr>
            <w:tcW w:w="1732" w:type="dxa"/>
            <w:noWrap/>
            <w:vAlign w:val="bottom"/>
            <w:hideMark/>
          </w:tcPr>
          <w:p w14:paraId="6E632073"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47821D06" w14:textId="77777777" w:rsidTr="00BB4F69">
        <w:trPr>
          <w:trHeight w:val="300"/>
          <w:jc w:val="center"/>
        </w:trPr>
        <w:tc>
          <w:tcPr>
            <w:tcW w:w="4500" w:type="dxa"/>
            <w:noWrap/>
            <w:vAlign w:val="bottom"/>
            <w:hideMark/>
          </w:tcPr>
          <w:p w14:paraId="282B2E8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MASTICHARI KOS</w:t>
            </w:r>
          </w:p>
        </w:tc>
        <w:tc>
          <w:tcPr>
            <w:tcW w:w="1732" w:type="dxa"/>
            <w:noWrap/>
            <w:vAlign w:val="bottom"/>
            <w:hideMark/>
          </w:tcPr>
          <w:p w14:paraId="1BA5ED0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D7853F5" w14:textId="77777777" w:rsidTr="00BB4F69">
        <w:trPr>
          <w:trHeight w:val="300"/>
          <w:jc w:val="center"/>
        </w:trPr>
        <w:tc>
          <w:tcPr>
            <w:tcW w:w="4500" w:type="dxa"/>
            <w:noWrap/>
            <w:vAlign w:val="bottom"/>
            <w:hideMark/>
          </w:tcPr>
          <w:p w14:paraId="65A04AF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MATHRAKI KERKYRAS</w:t>
            </w:r>
          </w:p>
        </w:tc>
        <w:tc>
          <w:tcPr>
            <w:tcW w:w="1732" w:type="dxa"/>
            <w:noWrap/>
            <w:vAlign w:val="bottom"/>
            <w:hideMark/>
          </w:tcPr>
          <w:p w14:paraId="5168D32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69280633" w14:textId="77777777" w:rsidTr="00BB4F69">
        <w:trPr>
          <w:trHeight w:val="300"/>
          <w:jc w:val="center"/>
        </w:trPr>
        <w:tc>
          <w:tcPr>
            <w:tcW w:w="4500" w:type="dxa"/>
            <w:noWrap/>
            <w:vAlign w:val="bottom"/>
            <w:hideMark/>
          </w:tcPr>
          <w:p w14:paraId="4C39B5F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MAVRA LITHARIA KORINTHIAS</w:t>
            </w:r>
          </w:p>
        </w:tc>
        <w:tc>
          <w:tcPr>
            <w:tcW w:w="1732" w:type="dxa"/>
            <w:noWrap/>
            <w:vAlign w:val="bottom"/>
            <w:hideMark/>
          </w:tcPr>
          <w:p w14:paraId="5D06CE5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CA13F51" w14:textId="77777777" w:rsidTr="00BB4F69">
        <w:trPr>
          <w:trHeight w:val="300"/>
          <w:jc w:val="center"/>
        </w:trPr>
        <w:tc>
          <w:tcPr>
            <w:tcW w:w="4500" w:type="dxa"/>
            <w:noWrap/>
            <w:vAlign w:val="bottom"/>
            <w:hideMark/>
          </w:tcPr>
          <w:p w14:paraId="3F82BDC0" w14:textId="77777777" w:rsidR="00DF358A" w:rsidRPr="004E13E9" w:rsidRDefault="00DF358A" w:rsidP="00BB4F69">
            <w:pPr>
              <w:rPr>
                <w:sz w:val="18"/>
                <w:szCs w:val="18"/>
                <w:lang w:val="en-GB"/>
              </w:rPr>
            </w:pPr>
            <w:r w:rsidRPr="004E13E9">
              <w:rPr>
                <w:sz w:val="18"/>
                <w:szCs w:val="18"/>
                <w:lang w:val="en-GB"/>
              </w:rPr>
              <w:t xml:space="preserve">MAVROLIMNI </w:t>
            </w:r>
            <w:r w:rsidRPr="004E13E9">
              <w:rPr>
                <w:rFonts w:eastAsia="Times New Roman"/>
                <w:sz w:val="18"/>
                <w:szCs w:val="18"/>
                <w:lang w:val="en-GB" w:eastAsia="en-GB"/>
              </w:rPr>
              <w:t>KORINTHIAS</w:t>
            </w:r>
          </w:p>
        </w:tc>
        <w:tc>
          <w:tcPr>
            <w:tcW w:w="1732" w:type="dxa"/>
            <w:noWrap/>
            <w:vAlign w:val="bottom"/>
            <w:hideMark/>
          </w:tcPr>
          <w:p w14:paraId="15B645D2"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427B3253" w14:textId="77777777" w:rsidTr="00BB4F69">
        <w:trPr>
          <w:trHeight w:val="300"/>
          <w:jc w:val="center"/>
        </w:trPr>
        <w:tc>
          <w:tcPr>
            <w:tcW w:w="4500" w:type="dxa"/>
            <w:noWrap/>
            <w:vAlign w:val="bottom"/>
            <w:hideMark/>
          </w:tcPr>
          <w:p w14:paraId="2106B87B" w14:textId="77777777" w:rsidR="00DF358A" w:rsidRPr="004E13E9" w:rsidRDefault="00DF358A" w:rsidP="00BB4F69">
            <w:pPr>
              <w:rPr>
                <w:sz w:val="18"/>
                <w:szCs w:val="18"/>
                <w:lang w:val="en-GB"/>
              </w:rPr>
            </w:pPr>
            <w:r w:rsidRPr="004E13E9">
              <w:rPr>
                <w:sz w:val="18"/>
                <w:szCs w:val="18"/>
                <w:lang w:val="en-GB"/>
              </w:rPr>
              <w:t xml:space="preserve">MEGISTI </w:t>
            </w:r>
          </w:p>
        </w:tc>
        <w:tc>
          <w:tcPr>
            <w:tcW w:w="1732" w:type="dxa"/>
            <w:noWrap/>
            <w:vAlign w:val="bottom"/>
            <w:hideMark/>
          </w:tcPr>
          <w:p w14:paraId="19E0070D"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0386BCA4" w14:textId="77777777" w:rsidTr="00BB4F69">
        <w:trPr>
          <w:trHeight w:val="300"/>
          <w:jc w:val="center"/>
        </w:trPr>
        <w:tc>
          <w:tcPr>
            <w:tcW w:w="4500" w:type="dxa"/>
            <w:noWrap/>
            <w:vAlign w:val="bottom"/>
            <w:hideMark/>
          </w:tcPr>
          <w:p w14:paraId="0B466143" w14:textId="77777777" w:rsidR="00DF358A" w:rsidRPr="004E13E9" w:rsidRDefault="00DF358A" w:rsidP="00BB4F69">
            <w:pPr>
              <w:rPr>
                <w:sz w:val="18"/>
                <w:szCs w:val="18"/>
                <w:lang w:val="en-GB"/>
              </w:rPr>
            </w:pPr>
            <w:r w:rsidRPr="004E13E9">
              <w:rPr>
                <w:sz w:val="18"/>
                <w:szCs w:val="18"/>
                <w:lang w:val="en-GB"/>
              </w:rPr>
              <w:t xml:space="preserve">MERICHAS </w:t>
            </w:r>
            <w:r w:rsidRPr="004E13E9">
              <w:rPr>
                <w:rFonts w:eastAsia="Times New Roman"/>
                <w:sz w:val="18"/>
                <w:szCs w:val="18"/>
                <w:lang w:val="en-GB" w:eastAsia="en-GB"/>
              </w:rPr>
              <w:t>KYTHNOU</w:t>
            </w:r>
          </w:p>
        </w:tc>
        <w:tc>
          <w:tcPr>
            <w:tcW w:w="1732" w:type="dxa"/>
            <w:noWrap/>
            <w:vAlign w:val="bottom"/>
            <w:hideMark/>
          </w:tcPr>
          <w:p w14:paraId="260E0947"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2B8A888B" w14:textId="77777777" w:rsidTr="00BB4F69">
        <w:trPr>
          <w:trHeight w:val="300"/>
          <w:jc w:val="center"/>
        </w:trPr>
        <w:tc>
          <w:tcPr>
            <w:tcW w:w="4500" w:type="dxa"/>
            <w:noWrap/>
            <w:vAlign w:val="bottom"/>
            <w:hideMark/>
          </w:tcPr>
          <w:p w14:paraId="62FF9CDE" w14:textId="77777777" w:rsidR="00DF358A" w:rsidRPr="004E13E9" w:rsidRDefault="00DF358A" w:rsidP="00BB4F69">
            <w:pPr>
              <w:rPr>
                <w:sz w:val="18"/>
                <w:szCs w:val="18"/>
                <w:lang w:val="en-GB"/>
              </w:rPr>
            </w:pPr>
            <w:r w:rsidRPr="004E13E9">
              <w:rPr>
                <w:sz w:val="18"/>
                <w:szCs w:val="18"/>
                <w:lang w:val="en-GB"/>
              </w:rPr>
              <w:t xml:space="preserve">MESOLONGI </w:t>
            </w:r>
          </w:p>
        </w:tc>
        <w:tc>
          <w:tcPr>
            <w:tcW w:w="1732" w:type="dxa"/>
            <w:noWrap/>
            <w:vAlign w:val="bottom"/>
            <w:hideMark/>
          </w:tcPr>
          <w:p w14:paraId="0331E0D2"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45401615" w14:textId="77777777" w:rsidTr="00BB4F69">
        <w:trPr>
          <w:trHeight w:val="300"/>
          <w:jc w:val="center"/>
        </w:trPr>
        <w:tc>
          <w:tcPr>
            <w:tcW w:w="4500" w:type="dxa"/>
            <w:noWrap/>
            <w:vAlign w:val="bottom"/>
            <w:hideMark/>
          </w:tcPr>
          <w:p w14:paraId="7CA5156F" w14:textId="77777777" w:rsidR="00DF358A" w:rsidRPr="004E13E9" w:rsidRDefault="00DF358A" w:rsidP="00BB4F69">
            <w:pPr>
              <w:rPr>
                <w:sz w:val="18"/>
                <w:szCs w:val="18"/>
                <w:lang w:val="en-GB"/>
              </w:rPr>
            </w:pPr>
            <w:r w:rsidRPr="004E13E9">
              <w:rPr>
                <w:sz w:val="18"/>
                <w:szCs w:val="18"/>
                <w:lang w:val="en-GB"/>
              </w:rPr>
              <w:t xml:space="preserve">MESTA </w:t>
            </w:r>
          </w:p>
        </w:tc>
        <w:tc>
          <w:tcPr>
            <w:tcW w:w="1732" w:type="dxa"/>
            <w:noWrap/>
            <w:vAlign w:val="bottom"/>
            <w:hideMark/>
          </w:tcPr>
          <w:p w14:paraId="64344B78"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14703E3B" w14:textId="77777777" w:rsidTr="00BB4F69">
        <w:trPr>
          <w:trHeight w:val="300"/>
          <w:jc w:val="center"/>
        </w:trPr>
        <w:tc>
          <w:tcPr>
            <w:tcW w:w="4500" w:type="dxa"/>
            <w:noWrap/>
            <w:vAlign w:val="bottom"/>
            <w:hideMark/>
          </w:tcPr>
          <w:p w14:paraId="469BF52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METHANA TROIZINIAS</w:t>
            </w:r>
          </w:p>
        </w:tc>
        <w:tc>
          <w:tcPr>
            <w:tcW w:w="1732" w:type="dxa"/>
            <w:noWrap/>
            <w:vAlign w:val="bottom"/>
            <w:hideMark/>
          </w:tcPr>
          <w:p w14:paraId="6818A49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522BA7C" w14:textId="77777777" w:rsidTr="00BB4F69">
        <w:trPr>
          <w:trHeight w:val="300"/>
          <w:jc w:val="center"/>
        </w:trPr>
        <w:tc>
          <w:tcPr>
            <w:tcW w:w="4500" w:type="dxa"/>
            <w:noWrap/>
            <w:vAlign w:val="bottom"/>
            <w:hideMark/>
          </w:tcPr>
          <w:p w14:paraId="3110287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MONEMVASIA </w:t>
            </w:r>
          </w:p>
        </w:tc>
        <w:tc>
          <w:tcPr>
            <w:tcW w:w="1732" w:type="dxa"/>
            <w:noWrap/>
            <w:vAlign w:val="bottom"/>
            <w:hideMark/>
          </w:tcPr>
          <w:p w14:paraId="53EC23B5"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A72C956" w14:textId="77777777" w:rsidTr="00BB4F69">
        <w:trPr>
          <w:trHeight w:val="300"/>
          <w:jc w:val="center"/>
        </w:trPr>
        <w:tc>
          <w:tcPr>
            <w:tcW w:w="4500" w:type="dxa"/>
            <w:noWrap/>
            <w:vAlign w:val="bottom"/>
            <w:hideMark/>
          </w:tcPr>
          <w:p w14:paraId="4058F7D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MOUDROS </w:t>
            </w:r>
          </w:p>
        </w:tc>
        <w:tc>
          <w:tcPr>
            <w:tcW w:w="1732" w:type="dxa"/>
            <w:noWrap/>
            <w:vAlign w:val="bottom"/>
            <w:hideMark/>
          </w:tcPr>
          <w:p w14:paraId="302805C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515CDBA0" w14:textId="77777777" w:rsidTr="00BB4F69">
        <w:trPr>
          <w:trHeight w:val="300"/>
          <w:jc w:val="center"/>
        </w:trPr>
        <w:tc>
          <w:tcPr>
            <w:tcW w:w="4500" w:type="dxa"/>
            <w:noWrap/>
            <w:vAlign w:val="bottom"/>
            <w:hideMark/>
          </w:tcPr>
          <w:p w14:paraId="70A2AF7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MOUTSOUNA NAXOU</w:t>
            </w:r>
          </w:p>
        </w:tc>
        <w:tc>
          <w:tcPr>
            <w:tcW w:w="1732" w:type="dxa"/>
            <w:noWrap/>
            <w:vAlign w:val="bottom"/>
            <w:hideMark/>
          </w:tcPr>
          <w:p w14:paraId="2C33916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D5EDE21" w14:textId="77777777" w:rsidTr="00BB4F69">
        <w:trPr>
          <w:trHeight w:val="300"/>
          <w:jc w:val="center"/>
        </w:trPr>
        <w:tc>
          <w:tcPr>
            <w:tcW w:w="4500" w:type="dxa"/>
            <w:noWrap/>
            <w:vAlign w:val="bottom"/>
            <w:hideMark/>
          </w:tcPr>
          <w:p w14:paraId="72627B76"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MYKONOS </w:t>
            </w:r>
          </w:p>
        </w:tc>
        <w:tc>
          <w:tcPr>
            <w:tcW w:w="1732" w:type="dxa"/>
            <w:noWrap/>
            <w:vAlign w:val="bottom"/>
            <w:hideMark/>
          </w:tcPr>
          <w:p w14:paraId="4727651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BECBE47" w14:textId="77777777" w:rsidTr="00BB4F69">
        <w:trPr>
          <w:trHeight w:val="300"/>
          <w:jc w:val="center"/>
        </w:trPr>
        <w:tc>
          <w:tcPr>
            <w:tcW w:w="4500" w:type="dxa"/>
            <w:noWrap/>
            <w:vAlign w:val="bottom"/>
            <w:hideMark/>
          </w:tcPr>
          <w:p w14:paraId="4B7C7499" w14:textId="77777777" w:rsidR="00DF358A" w:rsidRPr="004E13E9" w:rsidRDefault="00DF358A" w:rsidP="00BB4F69">
            <w:pPr>
              <w:rPr>
                <w:sz w:val="18"/>
                <w:szCs w:val="18"/>
                <w:lang w:val="en-GB"/>
              </w:rPr>
            </w:pPr>
            <w:r w:rsidRPr="004E13E9">
              <w:rPr>
                <w:sz w:val="18"/>
                <w:szCs w:val="18"/>
                <w:lang w:val="en-GB"/>
              </w:rPr>
              <w:t xml:space="preserve">MYRINA </w:t>
            </w:r>
            <w:r w:rsidRPr="004E13E9">
              <w:rPr>
                <w:rFonts w:eastAsia="Times New Roman"/>
                <w:sz w:val="18"/>
                <w:szCs w:val="18"/>
                <w:lang w:val="en-GB" w:eastAsia="en-GB"/>
              </w:rPr>
              <w:t>LIMNOU</w:t>
            </w:r>
          </w:p>
        </w:tc>
        <w:tc>
          <w:tcPr>
            <w:tcW w:w="1732" w:type="dxa"/>
            <w:noWrap/>
            <w:vAlign w:val="bottom"/>
            <w:hideMark/>
          </w:tcPr>
          <w:p w14:paraId="0091FEE8"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4DC63DC3" w14:textId="77777777" w:rsidTr="00BB4F69">
        <w:trPr>
          <w:trHeight w:val="300"/>
          <w:jc w:val="center"/>
        </w:trPr>
        <w:tc>
          <w:tcPr>
            <w:tcW w:w="4500" w:type="dxa"/>
            <w:noWrap/>
            <w:vAlign w:val="bottom"/>
            <w:hideMark/>
          </w:tcPr>
          <w:p w14:paraId="444CAC3F" w14:textId="77777777" w:rsidR="00DF358A" w:rsidRPr="004E13E9" w:rsidRDefault="00DF358A" w:rsidP="00BB4F69">
            <w:pPr>
              <w:rPr>
                <w:sz w:val="18"/>
                <w:szCs w:val="18"/>
                <w:lang w:val="en-GB"/>
              </w:rPr>
            </w:pPr>
            <w:r w:rsidRPr="004E13E9">
              <w:rPr>
                <w:sz w:val="18"/>
                <w:szCs w:val="18"/>
                <w:lang w:val="en-GB"/>
              </w:rPr>
              <w:t xml:space="preserve">MYTIKAS </w:t>
            </w:r>
          </w:p>
        </w:tc>
        <w:tc>
          <w:tcPr>
            <w:tcW w:w="1732" w:type="dxa"/>
            <w:noWrap/>
            <w:vAlign w:val="bottom"/>
            <w:hideMark/>
          </w:tcPr>
          <w:p w14:paraId="4C78B50B"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2EDCD778" w14:textId="77777777" w:rsidTr="00BB4F69">
        <w:trPr>
          <w:trHeight w:val="300"/>
          <w:jc w:val="center"/>
        </w:trPr>
        <w:tc>
          <w:tcPr>
            <w:tcW w:w="4500" w:type="dxa"/>
            <w:noWrap/>
            <w:vAlign w:val="bottom"/>
            <w:hideMark/>
          </w:tcPr>
          <w:p w14:paraId="493C48B7" w14:textId="77777777" w:rsidR="00DF358A" w:rsidRPr="004E13E9" w:rsidRDefault="00DF358A" w:rsidP="00BB4F69">
            <w:pPr>
              <w:rPr>
                <w:sz w:val="18"/>
                <w:szCs w:val="18"/>
                <w:lang w:val="en-GB"/>
              </w:rPr>
            </w:pPr>
            <w:r w:rsidRPr="004E13E9">
              <w:rPr>
                <w:sz w:val="18"/>
                <w:szCs w:val="18"/>
                <w:lang w:val="en-GB"/>
              </w:rPr>
              <w:t xml:space="preserve">MYTILINI </w:t>
            </w:r>
          </w:p>
        </w:tc>
        <w:tc>
          <w:tcPr>
            <w:tcW w:w="1732" w:type="dxa"/>
            <w:noWrap/>
            <w:vAlign w:val="bottom"/>
            <w:hideMark/>
          </w:tcPr>
          <w:p w14:paraId="28BE7D62"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59B876CF" w14:textId="77777777" w:rsidTr="00BB4F69">
        <w:trPr>
          <w:trHeight w:val="300"/>
          <w:jc w:val="center"/>
        </w:trPr>
        <w:tc>
          <w:tcPr>
            <w:tcW w:w="4500" w:type="dxa"/>
            <w:noWrap/>
            <w:vAlign w:val="bottom"/>
            <w:hideMark/>
          </w:tcPr>
          <w:p w14:paraId="6942D94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NAFPAKTOS </w:t>
            </w:r>
          </w:p>
        </w:tc>
        <w:tc>
          <w:tcPr>
            <w:tcW w:w="1732" w:type="dxa"/>
            <w:noWrap/>
            <w:vAlign w:val="bottom"/>
            <w:hideMark/>
          </w:tcPr>
          <w:p w14:paraId="44966BF5"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FE94DAD" w14:textId="77777777" w:rsidTr="00BB4F69">
        <w:trPr>
          <w:trHeight w:val="300"/>
          <w:jc w:val="center"/>
        </w:trPr>
        <w:tc>
          <w:tcPr>
            <w:tcW w:w="4500" w:type="dxa"/>
            <w:noWrap/>
            <w:vAlign w:val="bottom"/>
            <w:hideMark/>
          </w:tcPr>
          <w:p w14:paraId="14B2D71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NAOUSA PAROU</w:t>
            </w:r>
          </w:p>
        </w:tc>
        <w:tc>
          <w:tcPr>
            <w:tcW w:w="1732" w:type="dxa"/>
            <w:noWrap/>
            <w:vAlign w:val="bottom"/>
            <w:hideMark/>
          </w:tcPr>
          <w:p w14:paraId="2BF34D4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B7742B4" w14:textId="77777777" w:rsidTr="00BB4F69">
        <w:trPr>
          <w:trHeight w:val="300"/>
          <w:jc w:val="center"/>
        </w:trPr>
        <w:tc>
          <w:tcPr>
            <w:tcW w:w="4500" w:type="dxa"/>
            <w:noWrap/>
            <w:vAlign w:val="bottom"/>
            <w:hideMark/>
          </w:tcPr>
          <w:p w14:paraId="2455C35C" w14:textId="77777777" w:rsidR="00DF358A" w:rsidRPr="004E13E9" w:rsidRDefault="00DF358A" w:rsidP="00BB4F69">
            <w:pPr>
              <w:rPr>
                <w:sz w:val="18"/>
                <w:szCs w:val="18"/>
                <w:lang w:val="en-GB"/>
              </w:rPr>
            </w:pPr>
            <w:r w:rsidRPr="004E13E9">
              <w:rPr>
                <w:sz w:val="18"/>
                <w:szCs w:val="18"/>
                <w:lang w:val="en-GB"/>
              </w:rPr>
              <w:t xml:space="preserve">NAXOS </w:t>
            </w:r>
          </w:p>
        </w:tc>
        <w:tc>
          <w:tcPr>
            <w:tcW w:w="1732" w:type="dxa"/>
            <w:noWrap/>
            <w:vAlign w:val="bottom"/>
            <w:hideMark/>
          </w:tcPr>
          <w:p w14:paraId="09346E47"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4EB6795B" w14:textId="77777777" w:rsidTr="00BB4F69">
        <w:trPr>
          <w:trHeight w:val="300"/>
          <w:jc w:val="center"/>
        </w:trPr>
        <w:tc>
          <w:tcPr>
            <w:tcW w:w="4500" w:type="dxa"/>
            <w:noWrap/>
            <w:vAlign w:val="bottom"/>
            <w:hideMark/>
          </w:tcPr>
          <w:p w14:paraId="6946D3F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NEA FOKAIA CHALKIDIKIS</w:t>
            </w:r>
          </w:p>
        </w:tc>
        <w:tc>
          <w:tcPr>
            <w:tcW w:w="1732" w:type="dxa"/>
            <w:noWrap/>
            <w:vAlign w:val="bottom"/>
            <w:hideMark/>
          </w:tcPr>
          <w:p w14:paraId="5D3ED67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FACCE35" w14:textId="77777777" w:rsidTr="00BB4F69">
        <w:trPr>
          <w:trHeight w:val="300"/>
          <w:jc w:val="center"/>
        </w:trPr>
        <w:tc>
          <w:tcPr>
            <w:tcW w:w="4500" w:type="dxa"/>
            <w:noWrap/>
            <w:vAlign w:val="bottom"/>
            <w:hideMark/>
          </w:tcPr>
          <w:p w14:paraId="495A8800" w14:textId="77777777" w:rsidR="00DF358A" w:rsidRPr="004E13E9" w:rsidRDefault="00DF358A" w:rsidP="00BB4F69">
            <w:pPr>
              <w:rPr>
                <w:sz w:val="18"/>
                <w:szCs w:val="18"/>
                <w:lang w:val="en-GB"/>
              </w:rPr>
            </w:pPr>
            <w:r w:rsidRPr="004E13E9">
              <w:rPr>
                <w:sz w:val="18"/>
                <w:szCs w:val="18"/>
                <w:lang w:val="en-GB"/>
              </w:rPr>
              <w:t xml:space="preserve">NEA KALLIKRATEIA </w:t>
            </w:r>
          </w:p>
        </w:tc>
        <w:tc>
          <w:tcPr>
            <w:tcW w:w="1732" w:type="dxa"/>
            <w:noWrap/>
            <w:vAlign w:val="bottom"/>
            <w:hideMark/>
          </w:tcPr>
          <w:p w14:paraId="31205014"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6FE76855" w14:textId="77777777" w:rsidTr="00BB4F69">
        <w:trPr>
          <w:trHeight w:val="300"/>
          <w:jc w:val="center"/>
        </w:trPr>
        <w:tc>
          <w:tcPr>
            <w:tcW w:w="4500" w:type="dxa"/>
            <w:noWrap/>
            <w:vAlign w:val="bottom"/>
            <w:hideMark/>
          </w:tcPr>
          <w:p w14:paraId="636F90E8" w14:textId="77777777" w:rsidR="00DF358A" w:rsidRPr="004E13E9" w:rsidRDefault="00DF358A" w:rsidP="00BB4F69">
            <w:pPr>
              <w:rPr>
                <w:sz w:val="18"/>
                <w:szCs w:val="18"/>
                <w:lang w:val="en-GB"/>
              </w:rPr>
            </w:pPr>
            <w:r w:rsidRPr="004E13E9">
              <w:rPr>
                <w:sz w:val="18"/>
                <w:szCs w:val="18"/>
                <w:lang w:val="en-GB"/>
              </w:rPr>
              <w:t xml:space="preserve">NEA MICHANIONA </w:t>
            </w:r>
          </w:p>
        </w:tc>
        <w:tc>
          <w:tcPr>
            <w:tcW w:w="1732" w:type="dxa"/>
            <w:noWrap/>
            <w:vAlign w:val="bottom"/>
            <w:hideMark/>
          </w:tcPr>
          <w:p w14:paraId="4A170353"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6609446E" w14:textId="77777777" w:rsidTr="00BB4F69">
        <w:trPr>
          <w:trHeight w:val="300"/>
          <w:jc w:val="center"/>
        </w:trPr>
        <w:tc>
          <w:tcPr>
            <w:tcW w:w="4500" w:type="dxa"/>
            <w:noWrap/>
            <w:vAlign w:val="bottom"/>
            <w:hideMark/>
          </w:tcPr>
          <w:p w14:paraId="1B9A7546" w14:textId="77777777" w:rsidR="00DF358A" w:rsidRPr="004E13E9" w:rsidRDefault="00DF358A" w:rsidP="00BB4F69">
            <w:pPr>
              <w:rPr>
                <w:sz w:val="18"/>
                <w:szCs w:val="18"/>
                <w:lang w:val="en-GB"/>
              </w:rPr>
            </w:pPr>
            <w:r w:rsidRPr="004E13E9">
              <w:rPr>
                <w:sz w:val="18"/>
                <w:szCs w:val="18"/>
                <w:lang w:val="en-GB"/>
              </w:rPr>
              <w:t xml:space="preserve">NEA MOUDANIA </w:t>
            </w:r>
          </w:p>
        </w:tc>
        <w:tc>
          <w:tcPr>
            <w:tcW w:w="1732" w:type="dxa"/>
            <w:noWrap/>
            <w:vAlign w:val="bottom"/>
            <w:hideMark/>
          </w:tcPr>
          <w:p w14:paraId="0F91C397"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02217031" w14:textId="77777777" w:rsidTr="00BB4F69">
        <w:trPr>
          <w:trHeight w:val="300"/>
          <w:jc w:val="center"/>
        </w:trPr>
        <w:tc>
          <w:tcPr>
            <w:tcW w:w="4500" w:type="dxa"/>
            <w:noWrap/>
            <w:vAlign w:val="bottom"/>
            <w:hideMark/>
          </w:tcPr>
          <w:p w14:paraId="0C93223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NEA PERAMOS ATTIKIS</w:t>
            </w:r>
          </w:p>
        </w:tc>
        <w:tc>
          <w:tcPr>
            <w:tcW w:w="1732" w:type="dxa"/>
            <w:noWrap/>
            <w:vAlign w:val="bottom"/>
            <w:hideMark/>
          </w:tcPr>
          <w:p w14:paraId="0394E4F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653DDE4A" w14:textId="77777777" w:rsidTr="00BB4F69">
        <w:trPr>
          <w:trHeight w:val="300"/>
          <w:jc w:val="center"/>
        </w:trPr>
        <w:tc>
          <w:tcPr>
            <w:tcW w:w="4500" w:type="dxa"/>
            <w:noWrap/>
            <w:vAlign w:val="bottom"/>
            <w:hideMark/>
          </w:tcPr>
          <w:p w14:paraId="57D9B6B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NEA POTIDAIA </w:t>
            </w:r>
          </w:p>
        </w:tc>
        <w:tc>
          <w:tcPr>
            <w:tcW w:w="1732" w:type="dxa"/>
            <w:noWrap/>
            <w:vAlign w:val="bottom"/>
            <w:hideMark/>
          </w:tcPr>
          <w:p w14:paraId="56430C5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CDEB6B2" w14:textId="77777777" w:rsidTr="00BB4F69">
        <w:trPr>
          <w:trHeight w:val="300"/>
          <w:jc w:val="center"/>
        </w:trPr>
        <w:tc>
          <w:tcPr>
            <w:tcW w:w="4500" w:type="dxa"/>
            <w:noWrap/>
            <w:vAlign w:val="bottom"/>
            <w:hideMark/>
          </w:tcPr>
          <w:p w14:paraId="1185B7E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NEA RODA CHALKIDIKIS</w:t>
            </w:r>
          </w:p>
        </w:tc>
        <w:tc>
          <w:tcPr>
            <w:tcW w:w="1732" w:type="dxa"/>
            <w:noWrap/>
            <w:vAlign w:val="bottom"/>
            <w:hideMark/>
          </w:tcPr>
          <w:p w14:paraId="51ED6F96"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646C21D3" w14:textId="77777777" w:rsidTr="00BB4F69">
        <w:trPr>
          <w:trHeight w:val="300"/>
          <w:jc w:val="center"/>
        </w:trPr>
        <w:tc>
          <w:tcPr>
            <w:tcW w:w="4500" w:type="dxa"/>
            <w:noWrap/>
            <w:vAlign w:val="bottom"/>
            <w:hideMark/>
          </w:tcPr>
          <w:p w14:paraId="27137F0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NEA SKIONI CHALKIDIKIS</w:t>
            </w:r>
          </w:p>
        </w:tc>
        <w:tc>
          <w:tcPr>
            <w:tcW w:w="1732" w:type="dxa"/>
            <w:noWrap/>
            <w:vAlign w:val="bottom"/>
            <w:hideMark/>
          </w:tcPr>
          <w:p w14:paraId="31FD7B33"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04D4F36" w14:textId="77777777" w:rsidTr="00BB4F69">
        <w:trPr>
          <w:trHeight w:val="300"/>
          <w:jc w:val="center"/>
        </w:trPr>
        <w:tc>
          <w:tcPr>
            <w:tcW w:w="4500" w:type="dxa"/>
            <w:noWrap/>
            <w:vAlign w:val="bottom"/>
            <w:hideMark/>
          </w:tcPr>
          <w:p w14:paraId="235A94BD" w14:textId="77777777" w:rsidR="00DF358A" w:rsidRPr="004E13E9" w:rsidRDefault="00DF358A" w:rsidP="00BB4F69">
            <w:pPr>
              <w:rPr>
                <w:sz w:val="18"/>
                <w:szCs w:val="18"/>
                <w:lang w:val="en-GB"/>
              </w:rPr>
            </w:pPr>
            <w:r w:rsidRPr="004E13E9">
              <w:rPr>
                <w:sz w:val="18"/>
                <w:szCs w:val="18"/>
                <w:lang w:val="en-GB"/>
              </w:rPr>
              <w:t xml:space="preserve">NEA STYRA </w:t>
            </w:r>
          </w:p>
        </w:tc>
        <w:tc>
          <w:tcPr>
            <w:tcW w:w="1732" w:type="dxa"/>
            <w:noWrap/>
            <w:vAlign w:val="bottom"/>
            <w:hideMark/>
          </w:tcPr>
          <w:p w14:paraId="6508DE84"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4E9A3EA3" w14:textId="77777777" w:rsidTr="00BB4F69">
        <w:trPr>
          <w:trHeight w:val="300"/>
          <w:jc w:val="center"/>
        </w:trPr>
        <w:tc>
          <w:tcPr>
            <w:tcW w:w="4500" w:type="dxa"/>
            <w:noWrap/>
            <w:vAlign w:val="bottom"/>
            <w:hideMark/>
          </w:tcPr>
          <w:p w14:paraId="50E49B9D" w14:textId="77777777" w:rsidR="00DF358A" w:rsidRPr="004E13E9" w:rsidRDefault="00DF358A" w:rsidP="00BB4F69">
            <w:pPr>
              <w:rPr>
                <w:sz w:val="18"/>
                <w:szCs w:val="18"/>
                <w:lang w:val="en-GB"/>
              </w:rPr>
            </w:pPr>
            <w:r w:rsidRPr="004E13E9">
              <w:rPr>
                <w:sz w:val="18"/>
                <w:szCs w:val="18"/>
                <w:lang w:val="en-GB"/>
              </w:rPr>
              <w:t>NEAPOLI</w:t>
            </w:r>
          </w:p>
        </w:tc>
        <w:tc>
          <w:tcPr>
            <w:tcW w:w="1732" w:type="dxa"/>
            <w:noWrap/>
            <w:vAlign w:val="bottom"/>
            <w:hideMark/>
          </w:tcPr>
          <w:p w14:paraId="6D32BD6F"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3577B441" w14:textId="77777777" w:rsidTr="00BB4F69">
        <w:trPr>
          <w:trHeight w:val="300"/>
          <w:jc w:val="center"/>
        </w:trPr>
        <w:tc>
          <w:tcPr>
            <w:tcW w:w="4500" w:type="dxa"/>
            <w:noWrap/>
            <w:vAlign w:val="bottom"/>
            <w:hideMark/>
          </w:tcPr>
          <w:p w14:paraId="0E61E20A" w14:textId="77777777" w:rsidR="00DF358A" w:rsidRPr="004E13E9" w:rsidRDefault="00DF358A" w:rsidP="00BB4F69">
            <w:pPr>
              <w:rPr>
                <w:sz w:val="18"/>
                <w:szCs w:val="18"/>
                <w:lang w:val="en-GB"/>
              </w:rPr>
            </w:pPr>
            <w:r w:rsidRPr="004E13E9">
              <w:rPr>
                <w:sz w:val="18"/>
                <w:szCs w:val="18"/>
                <w:lang w:val="en-GB"/>
              </w:rPr>
              <w:t xml:space="preserve">NEOS MARMARAS </w:t>
            </w:r>
          </w:p>
        </w:tc>
        <w:tc>
          <w:tcPr>
            <w:tcW w:w="1732" w:type="dxa"/>
            <w:noWrap/>
            <w:vAlign w:val="bottom"/>
            <w:hideMark/>
          </w:tcPr>
          <w:p w14:paraId="5C293F8C"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1DDA40C5" w14:textId="77777777" w:rsidTr="00BB4F69">
        <w:trPr>
          <w:trHeight w:val="300"/>
          <w:jc w:val="center"/>
        </w:trPr>
        <w:tc>
          <w:tcPr>
            <w:tcW w:w="4500" w:type="dxa"/>
            <w:noWrap/>
            <w:vAlign w:val="bottom"/>
            <w:hideMark/>
          </w:tcPr>
          <w:p w14:paraId="4C4AE5A6"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OLYMPIADA CHALKIDIKIS</w:t>
            </w:r>
          </w:p>
        </w:tc>
        <w:tc>
          <w:tcPr>
            <w:tcW w:w="1732" w:type="dxa"/>
            <w:noWrap/>
            <w:vAlign w:val="bottom"/>
            <w:hideMark/>
          </w:tcPr>
          <w:p w14:paraId="7058E87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C96B566" w14:textId="77777777" w:rsidTr="00BB4F69">
        <w:trPr>
          <w:trHeight w:val="300"/>
          <w:jc w:val="center"/>
        </w:trPr>
        <w:tc>
          <w:tcPr>
            <w:tcW w:w="4500" w:type="dxa"/>
            <w:noWrap/>
            <w:vAlign w:val="bottom"/>
            <w:hideMark/>
          </w:tcPr>
          <w:p w14:paraId="58F39A02" w14:textId="77777777" w:rsidR="00DF358A" w:rsidRPr="004E13E9" w:rsidRDefault="00DF358A" w:rsidP="00BB4F69">
            <w:pPr>
              <w:rPr>
                <w:sz w:val="18"/>
                <w:szCs w:val="18"/>
                <w:lang w:val="en-GB"/>
              </w:rPr>
            </w:pPr>
            <w:r w:rsidRPr="004E13E9">
              <w:rPr>
                <w:sz w:val="18"/>
                <w:szCs w:val="18"/>
                <w:lang w:val="en-GB"/>
              </w:rPr>
              <w:t xml:space="preserve">OREOI </w:t>
            </w:r>
          </w:p>
        </w:tc>
        <w:tc>
          <w:tcPr>
            <w:tcW w:w="1732" w:type="dxa"/>
            <w:noWrap/>
            <w:vAlign w:val="bottom"/>
            <w:hideMark/>
          </w:tcPr>
          <w:p w14:paraId="146833C4"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03E41707" w14:textId="77777777" w:rsidTr="00BB4F69">
        <w:trPr>
          <w:trHeight w:val="300"/>
          <w:jc w:val="center"/>
        </w:trPr>
        <w:tc>
          <w:tcPr>
            <w:tcW w:w="4500" w:type="dxa"/>
            <w:noWrap/>
            <w:vAlign w:val="bottom"/>
            <w:hideMark/>
          </w:tcPr>
          <w:p w14:paraId="3CBA0A0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ORMOS MARATHOKAMPOU</w:t>
            </w:r>
          </w:p>
        </w:tc>
        <w:tc>
          <w:tcPr>
            <w:tcW w:w="1732" w:type="dxa"/>
            <w:noWrap/>
            <w:vAlign w:val="bottom"/>
            <w:hideMark/>
          </w:tcPr>
          <w:p w14:paraId="481FB80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6C92364" w14:textId="77777777" w:rsidTr="00BB4F69">
        <w:trPr>
          <w:trHeight w:val="300"/>
          <w:jc w:val="center"/>
        </w:trPr>
        <w:tc>
          <w:tcPr>
            <w:tcW w:w="4500" w:type="dxa"/>
            <w:noWrap/>
            <w:vAlign w:val="bottom"/>
            <w:hideMark/>
          </w:tcPr>
          <w:p w14:paraId="60540E4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ORMOS PANAGIAS CHALKIDIKIS</w:t>
            </w:r>
          </w:p>
        </w:tc>
        <w:tc>
          <w:tcPr>
            <w:tcW w:w="1732" w:type="dxa"/>
            <w:noWrap/>
            <w:vAlign w:val="bottom"/>
            <w:hideMark/>
          </w:tcPr>
          <w:p w14:paraId="13B4B67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5D8E368A" w14:textId="77777777" w:rsidTr="00BB4F69">
        <w:trPr>
          <w:trHeight w:val="300"/>
          <w:jc w:val="center"/>
        </w:trPr>
        <w:tc>
          <w:tcPr>
            <w:tcW w:w="4500" w:type="dxa"/>
            <w:noWrap/>
            <w:vAlign w:val="bottom"/>
            <w:hideMark/>
          </w:tcPr>
          <w:p w14:paraId="3D5F683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OROPOS </w:t>
            </w:r>
          </w:p>
        </w:tc>
        <w:tc>
          <w:tcPr>
            <w:tcW w:w="1732" w:type="dxa"/>
            <w:noWrap/>
            <w:vAlign w:val="bottom"/>
            <w:hideMark/>
          </w:tcPr>
          <w:p w14:paraId="102E5C0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BC860F0" w14:textId="77777777" w:rsidTr="00BB4F69">
        <w:trPr>
          <w:trHeight w:val="300"/>
          <w:jc w:val="center"/>
        </w:trPr>
        <w:tc>
          <w:tcPr>
            <w:tcW w:w="4500" w:type="dxa"/>
            <w:noWrap/>
            <w:vAlign w:val="bottom"/>
            <w:hideMark/>
          </w:tcPr>
          <w:p w14:paraId="33CF217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OTHONOI </w:t>
            </w:r>
          </w:p>
        </w:tc>
        <w:tc>
          <w:tcPr>
            <w:tcW w:w="1732" w:type="dxa"/>
            <w:noWrap/>
            <w:vAlign w:val="bottom"/>
            <w:hideMark/>
          </w:tcPr>
          <w:p w14:paraId="2C441AE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44B4A24" w14:textId="77777777" w:rsidTr="00BB4F69">
        <w:trPr>
          <w:trHeight w:val="300"/>
          <w:jc w:val="center"/>
        </w:trPr>
        <w:tc>
          <w:tcPr>
            <w:tcW w:w="4500" w:type="dxa"/>
            <w:noWrap/>
            <w:vAlign w:val="bottom"/>
            <w:hideMark/>
          </w:tcPr>
          <w:p w14:paraId="613BB54C" w14:textId="77777777" w:rsidR="00DF358A" w:rsidRPr="004E13E9" w:rsidRDefault="00DF358A" w:rsidP="00BB4F69">
            <w:pPr>
              <w:rPr>
                <w:sz w:val="18"/>
                <w:szCs w:val="18"/>
                <w:lang w:val="en-GB"/>
              </w:rPr>
            </w:pPr>
            <w:r w:rsidRPr="004E13E9">
              <w:rPr>
                <w:sz w:val="18"/>
                <w:szCs w:val="18"/>
                <w:lang w:val="en-GB"/>
              </w:rPr>
              <w:t xml:space="preserve">OURANOUPOLI </w:t>
            </w:r>
            <w:r w:rsidRPr="004E13E9">
              <w:rPr>
                <w:rFonts w:eastAsia="Times New Roman"/>
                <w:sz w:val="18"/>
                <w:szCs w:val="18"/>
                <w:lang w:val="en-GB" w:eastAsia="en-GB"/>
              </w:rPr>
              <w:t>CHALKIDIKIS</w:t>
            </w:r>
          </w:p>
        </w:tc>
        <w:tc>
          <w:tcPr>
            <w:tcW w:w="1732" w:type="dxa"/>
            <w:noWrap/>
            <w:vAlign w:val="bottom"/>
            <w:hideMark/>
          </w:tcPr>
          <w:p w14:paraId="4AA703D8"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7026E226" w14:textId="77777777" w:rsidTr="00BB4F69">
        <w:trPr>
          <w:trHeight w:val="300"/>
          <w:jc w:val="center"/>
        </w:trPr>
        <w:tc>
          <w:tcPr>
            <w:tcW w:w="4500" w:type="dxa"/>
            <w:noWrap/>
            <w:vAlign w:val="bottom"/>
            <w:hideMark/>
          </w:tcPr>
          <w:p w14:paraId="5768044B" w14:textId="77777777" w:rsidR="00DF358A" w:rsidRPr="004E13E9" w:rsidRDefault="00DF358A" w:rsidP="00BB4F69">
            <w:pPr>
              <w:rPr>
                <w:sz w:val="18"/>
                <w:szCs w:val="18"/>
                <w:lang w:val="en-GB"/>
              </w:rPr>
            </w:pPr>
            <w:r w:rsidRPr="004E13E9">
              <w:rPr>
                <w:sz w:val="18"/>
                <w:szCs w:val="18"/>
                <w:lang w:val="en-GB"/>
              </w:rPr>
              <w:t xml:space="preserve">PACHI MEGARON </w:t>
            </w:r>
          </w:p>
        </w:tc>
        <w:tc>
          <w:tcPr>
            <w:tcW w:w="1732" w:type="dxa"/>
            <w:noWrap/>
            <w:vAlign w:val="bottom"/>
            <w:hideMark/>
          </w:tcPr>
          <w:p w14:paraId="4C799A72"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4316EC0B" w14:textId="77777777" w:rsidTr="00BB4F69">
        <w:trPr>
          <w:trHeight w:val="300"/>
          <w:jc w:val="center"/>
        </w:trPr>
        <w:tc>
          <w:tcPr>
            <w:tcW w:w="4500" w:type="dxa"/>
            <w:noWrap/>
            <w:vAlign w:val="bottom"/>
            <w:hideMark/>
          </w:tcPr>
          <w:p w14:paraId="1EBECABC" w14:textId="77777777" w:rsidR="00DF358A" w:rsidRPr="004E13E9" w:rsidRDefault="00DF358A" w:rsidP="00BB4F69">
            <w:pPr>
              <w:rPr>
                <w:sz w:val="18"/>
                <w:szCs w:val="18"/>
                <w:lang w:val="en-GB"/>
              </w:rPr>
            </w:pPr>
            <w:r w:rsidRPr="004E13E9">
              <w:rPr>
                <w:sz w:val="18"/>
                <w:szCs w:val="18"/>
                <w:lang w:val="en-GB"/>
              </w:rPr>
              <w:t xml:space="preserve">PALAIA FOKAIA </w:t>
            </w:r>
          </w:p>
        </w:tc>
        <w:tc>
          <w:tcPr>
            <w:tcW w:w="1732" w:type="dxa"/>
            <w:noWrap/>
            <w:vAlign w:val="bottom"/>
            <w:hideMark/>
          </w:tcPr>
          <w:p w14:paraId="18745CC0"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5BA3882F" w14:textId="77777777" w:rsidTr="00BB4F69">
        <w:trPr>
          <w:trHeight w:val="300"/>
          <w:jc w:val="center"/>
        </w:trPr>
        <w:tc>
          <w:tcPr>
            <w:tcW w:w="4500" w:type="dxa"/>
            <w:noWrap/>
            <w:vAlign w:val="bottom"/>
            <w:hideMark/>
          </w:tcPr>
          <w:p w14:paraId="616A47F9" w14:textId="77777777" w:rsidR="00DF358A" w:rsidRPr="004E13E9" w:rsidRDefault="00DF358A" w:rsidP="00BB4F69">
            <w:pPr>
              <w:rPr>
                <w:sz w:val="18"/>
                <w:szCs w:val="18"/>
                <w:lang w:val="en-GB"/>
              </w:rPr>
            </w:pPr>
            <w:r w:rsidRPr="004E13E9">
              <w:rPr>
                <w:sz w:val="18"/>
                <w:szCs w:val="18"/>
                <w:lang w:val="en-GB"/>
              </w:rPr>
              <w:t xml:space="preserve">PALAIOCHORA </w:t>
            </w:r>
            <w:r w:rsidRPr="004E13E9">
              <w:rPr>
                <w:rFonts w:eastAsia="Times New Roman"/>
                <w:sz w:val="18"/>
                <w:szCs w:val="18"/>
                <w:lang w:val="en-GB" w:eastAsia="en-GB"/>
              </w:rPr>
              <w:t>CHANION</w:t>
            </w:r>
          </w:p>
        </w:tc>
        <w:tc>
          <w:tcPr>
            <w:tcW w:w="1732" w:type="dxa"/>
            <w:noWrap/>
            <w:vAlign w:val="bottom"/>
            <w:hideMark/>
          </w:tcPr>
          <w:p w14:paraId="4557FD77"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62D0D8F7" w14:textId="77777777" w:rsidTr="00BB4F69">
        <w:trPr>
          <w:trHeight w:val="300"/>
          <w:jc w:val="center"/>
        </w:trPr>
        <w:tc>
          <w:tcPr>
            <w:tcW w:w="4500" w:type="dxa"/>
            <w:noWrap/>
            <w:vAlign w:val="bottom"/>
            <w:hideMark/>
          </w:tcPr>
          <w:p w14:paraId="2BAC57A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PALAIROS AITOLOAKARNANIAS</w:t>
            </w:r>
          </w:p>
        </w:tc>
        <w:tc>
          <w:tcPr>
            <w:tcW w:w="1732" w:type="dxa"/>
            <w:noWrap/>
            <w:vAlign w:val="bottom"/>
            <w:hideMark/>
          </w:tcPr>
          <w:p w14:paraId="0DAA8C3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6866142" w14:textId="77777777" w:rsidTr="00BB4F69">
        <w:trPr>
          <w:trHeight w:val="300"/>
          <w:jc w:val="center"/>
        </w:trPr>
        <w:tc>
          <w:tcPr>
            <w:tcW w:w="4500" w:type="dxa"/>
            <w:noWrap/>
            <w:vAlign w:val="bottom"/>
            <w:hideMark/>
          </w:tcPr>
          <w:p w14:paraId="0120592C"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PARALIA ASTROUS </w:t>
            </w:r>
          </w:p>
        </w:tc>
        <w:tc>
          <w:tcPr>
            <w:tcW w:w="1732" w:type="dxa"/>
            <w:noWrap/>
            <w:vAlign w:val="bottom"/>
            <w:hideMark/>
          </w:tcPr>
          <w:p w14:paraId="51098D8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5DA319D2" w14:textId="77777777" w:rsidTr="00BB4F69">
        <w:trPr>
          <w:trHeight w:val="300"/>
          <w:jc w:val="center"/>
        </w:trPr>
        <w:tc>
          <w:tcPr>
            <w:tcW w:w="4500" w:type="dxa"/>
            <w:noWrap/>
            <w:vAlign w:val="bottom"/>
            <w:hideMark/>
          </w:tcPr>
          <w:p w14:paraId="1C4E0CA7" w14:textId="77777777" w:rsidR="00DF358A" w:rsidRPr="004E13E9" w:rsidRDefault="00DF358A" w:rsidP="00BB4F69">
            <w:pPr>
              <w:rPr>
                <w:sz w:val="18"/>
                <w:szCs w:val="18"/>
                <w:lang w:val="en-GB"/>
              </w:rPr>
            </w:pPr>
            <w:r w:rsidRPr="004E13E9">
              <w:rPr>
                <w:sz w:val="18"/>
                <w:szCs w:val="18"/>
                <w:lang w:val="en-GB"/>
              </w:rPr>
              <w:t xml:space="preserve">PARALIA KATERINIS </w:t>
            </w:r>
          </w:p>
        </w:tc>
        <w:tc>
          <w:tcPr>
            <w:tcW w:w="1732" w:type="dxa"/>
            <w:noWrap/>
            <w:vAlign w:val="bottom"/>
            <w:hideMark/>
          </w:tcPr>
          <w:p w14:paraId="794816E4"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367FAF99" w14:textId="77777777" w:rsidTr="00BB4F69">
        <w:trPr>
          <w:trHeight w:val="300"/>
          <w:jc w:val="center"/>
        </w:trPr>
        <w:tc>
          <w:tcPr>
            <w:tcW w:w="4500" w:type="dxa"/>
            <w:noWrap/>
            <w:vAlign w:val="bottom"/>
            <w:hideMark/>
          </w:tcPr>
          <w:p w14:paraId="552263D5" w14:textId="77777777" w:rsidR="00DF358A" w:rsidRPr="004E13E9" w:rsidRDefault="00DF358A" w:rsidP="00BB4F69">
            <w:pPr>
              <w:rPr>
                <w:rFonts w:eastAsia="Times New Roman"/>
                <w:sz w:val="18"/>
                <w:szCs w:val="18"/>
                <w:lang w:val="it-IT" w:eastAsia="en-GB"/>
              </w:rPr>
            </w:pPr>
            <w:r w:rsidRPr="004E13E9">
              <w:rPr>
                <w:rFonts w:eastAsia="Times New Roman"/>
                <w:sz w:val="18"/>
                <w:szCs w:val="18"/>
                <w:lang w:val="it-IT" w:eastAsia="en-GB"/>
              </w:rPr>
              <w:t>PARALIA PETRION (AGIOI APOSTOLOI DYSTION)</w:t>
            </w:r>
          </w:p>
        </w:tc>
        <w:tc>
          <w:tcPr>
            <w:tcW w:w="1732" w:type="dxa"/>
            <w:noWrap/>
            <w:vAlign w:val="bottom"/>
            <w:hideMark/>
          </w:tcPr>
          <w:p w14:paraId="235CB45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9CC2AAB" w14:textId="77777777" w:rsidTr="00BB4F69">
        <w:trPr>
          <w:trHeight w:val="300"/>
          <w:jc w:val="center"/>
        </w:trPr>
        <w:tc>
          <w:tcPr>
            <w:tcW w:w="4500" w:type="dxa"/>
            <w:noWrap/>
            <w:vAlign w:val="bottom"/>
            <w:hideMark/>
          </w:tcPr>
          <w:p w14:paraId="5B803E5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PARGA </w:t>
            </w:r>
          </w:p>
        </w:tc>
        <w:tc>
          <w:tcPr>
            <w:tcW w:w="1732" w:type="dxa"/>
            <w:noWrap/>
            <w:vAlign w:val="bottom"/>
            <w:hideMark/>
          </w:tcPr>
          <w:p w14:paraId="61E3C36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935D8F2" w14:textId="77777777" w:rsidTr="00BB4F69">
        <w:trPr>
          <w:trHeight w:val="300"/>
          <w:jc w:val="center"/>
        </w:trPr>
        <w:tc>
          <w:tcPr>
            <w:tcW w:w="4500" w:type="dxa"/>
            <w:noWrap/>
            <w:vAlign w:val="bottom"/>
            <w:hideMark/>
          </w:tcPr>
          <w:p w14:paraId="288DE3AD" w14:textId="77777777" w:rsidR="00DF358A" w:rsidRPr="004E13E9" w:rsidRDefault="00DF358A" w:rsidP="00BB4F69">
            <w:pPr>
              <w:rPr>
                <w:sz w:val="18"/>
                <w:szCs w:val="18"/>
                <w:lang w:val="en-GB"/>
              </w:rPr>
            </w:pPr>
            <w:r w:rsidRPr="004E13E9">
              <w:rPr>
                <w:sz w:val="18"/>
                <w:szCs w:val="18"/>
                <w:lang w:val="en-GB"/>
              </w:rPr>
              <w:t xml:space="preserve">PAROIKIA </w:t>
            </w:r>
            <w:r w:rsidRPr="004E13E9">
              <w:rPr>
                <w:rFonts w:eastAsia="Times New Roman"/>
                <w:sz w:val="18"/>
                <w:szCs w:val="18"/>
                <w:lang w:val="en-GB" w:eastAsia="en-GB"/>
              </w:rPr>
              <w:t>PAROU</w:t>
            </w:r>
          </w:p>
        </w:tc>
        <w:tc>
          <w:tcPr>
            <w:tcW w:w="1732" w:type="dxa"/>
            <w:noWrap/>
            <w:vAlign w:val="bottom"/>
            <w:hideMark/>
          </w:tcPr>
          <w:p w14:paraId="66641992"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2026FB88" w14:textId="77777777" w:rsidTr="00BB4F69">
        <w:trPr>
          <w:trHeight w:val="300"/>
          <w:jc w:val="center"/>
        </w:trPr>
        <w:tc>
          <w:tcPr>
            <w:tcW w:w="4500" w:type="dxa"/>
            <w:noWrap/>
            <w:vAlign w:val="bottom"/>
            <w:hideMark/>
          </w:tcPr>
          <w:p w14:paraId="11D08CC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PARTHENI LEROU</w:t>
            </w:r>
          </w:p>
        </w:tc>
        <w:tc>
          <w:tcPr>
            <w:tcW w:w="1732" w:type="dxa"/>
            <w:noWrap/>
            <w:vAlign w:val="bottom"/>
            <w:hideMark/>
          </w:tcPr>
          <w:p w14:paraId="08B4EE4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63AEF7E8" w14:textId="77777777" w:rsidTr="00BB4F69">
        <w:trPr>
          <w:trHeight w:val="300"/>
          <w:jc w:val="center"/>
        </w:trPr>
        <w:tc>
          <w:tcPr>
            <w:tcW w:w="4500" w:type="dxa"/>
            <w:noWrap/>
            <w:vAlign w:val="bottom"/>
            <w:hideMark/>
          </w:tcPr>
          <w:p w14:paraId="128C580A" w14:textId="77777777" w:rsidR="00DF358A" w:rsidRPr="004E13E9" w:rsidRDefault="00DF358A" w:rsidP="00BB4F69">
            <w:pPr>
              <w:rPr>
                <w:sz w:val="18"/>
                <w:szCs w:val="18"/>
                <w:lang w:val="en-GB"/>
              </w:rPr>
            </w:pPr>
            <w:r w:rsidRPr="004E13E9">
              <w:rPr>
                <w:sz w:val="18"/>
                <w:szCs w:val="18"/>
                <w:lang w:val="en-GB"/>
              </w:rPr>
              <w:t xml:space="preserve">PATITIRI </w:t>
            </w:r>
            <w:r w:rsidRPr="004E13E9">
              <w:rPr>
                <w:rFonts w:eastAsia="Times New Roman"/>
                <w:sz w:val="18"/>
                <w:szCs w:val="18"/>
                <w:lang w:val="en-GB" w:eastAsia="en-GB"/>
              </w:rPr>
              <w:t>ALONISOU</w:t>
            </w:r>
          </w:p>
        </w:tc>
        <w:tc>
          <w:tcPr>
            <w:tcW w:w="1732" w:type="dxa"/>
            <w:noWrap/>
            <w:vAlign w:val="bottom"/>
            <w:hideMark/>
          </w:tcPr>
          <w:p w14:paraId="2D1A43FC"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24211311" w14:textId="77777777" w:rsidTr="00BB4F69">
        <w:trPr>
          <w:trHeight w:val="300"/>
          <w:jc w:val="center"/>
        </w:trPr>
        <w:tc>
          <w:tcPr>
            <w:tcW w:w="4500" w:type="dxa"/>
            <w:noWrap/>
            <w:vAlign w:val="bottom"/>
            <w:hideMark/>
          </w:tcPr>
          <w:p w14:paraId="4A69658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PATMOS </w:t>
            </w:r>
          </w:p>
        </w:tc>
        <w:tc>
          <w:tcPr>
            <w:tcW w:w="1732" w:type="dxa"/>
            <w:noWrap/>
            <w:vAlign w:val="bottom"/>
            <w:hideMark/>
          </w:tcPr>
          <w:p w14:paraId="4869F67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2B79D2D" w14:textId="77777777" w:rsidTr="00BB4F69">
        <w:trPr>
          <w:trHeight w:val="300"/>
          <w:jc w:val="center"/>
        </w:trPr>
        <w:tc>
          <w:tcPr>
            <w:tcW w:w="4500" w:type="dxa"/>
            <w:noWrap/>
            <w:vAlign w:val="bottom"/>
            <w:hideMark/>
          </w:tcPr>
          <w:p w14:paraId="23E532DE" w14:textId="77777777" w:rsidR="00DF358A" w:rsidRPr="004E13E9" w:rsidRDefault="00DF358A" w:rsidP="00BB4F69">
            <w:pPr>
              <w:rPr>
                <w:sz w:val="18"/>
                <w:szCs w:val="18"/>
                <w:lang w:val="en-GB"/>
              </w:rPr>
            </w:pPr>
            <w:r w:rsidRPr="004E13E9">
              <w:rPr>
                <w:sz w:val="18"/>
                <w:szCs w:val="18"/>
                <w:lang w:val="en-GB"/>
              </w:rPr>
              <w:t xml:space="preserve">PATRA </w:t>
            </w:r>
          </w:p>
        </w:tc>
        <w:tc>
          <w:tcPr>
            <w:tcW w:w="1732" w:type="dxa"/>
            <w:noWrap/>
            <w:vAlign w:val="bottom"/>
            <w:hideMark/>
          </w:tcPr>
          <w:p w14:paraId="2ADD3143"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2682125D" w14:textId="77777777" w:rsidTr="00BB4F69">
        <w:trPr>
          <w:trHeight w:val="300"/>
          <w:jc w:val="center"/>
        </w:trPr>
        <w:tc>
          <w:tcPr>
            <w:tcW w:w="4500" w:type="dxa"/>
            <w:noWrap/>
            <w:vAlign w:val="bottom"/>
            <w:hideMark/>
          </w:tcPr>
          <w:p w14:paraId="591585E9" w14:textId="77777777" w:rsidR="00DF358A" w:rsidRPr="004E13E9" w:rsidRDefault="00DF358A" w:rsidP="00BB4F69">
            <w:pPr>
              <w:rPr>
                <w:sz w:val="18"/>
                <w:szCs w:val="18"/>
                <w:lang w:val="en-GB"/>
              </w:rPr>
            </w:pPr>
            <w:r w:rsidRPr="004E13E9">
              <w:rPr>
                <w:sz w:val="18"/>
                <w:szCs w:val="18"/>
                <w:lang w:val="en-GB"/>
              </w:rPr>
              <w:t xml:space="preserve">PEFKI </w:t>
            </w:r>
            <w:r w:rsidRPr="004E13E9">
              <w:rPr>
                <w:rFonts w:eastAsia="Times New Roman"/>
                <w:sz w:val="18"/>
                <w:szCs w:val="18"/>
                <w:lang w:val="en-GB" w:eastAsia="en-GB"/>
              </w:rPr>
              <w:t>EVVOIAS</w:t>
            </w:r>
          </w:p>
        </w:tc>
        <w:tc>
          <w:tcPr>
            <w:tcW w:w="1732" w:type="dxa"/>
            <w:noWrap/>
            <w:vAlign w:val="bottom"/>
            <w:hideMark/>
          </w:tcPr>
          <w:p w14:paraId="29BF2F30"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7A7E7ABE" w14:textId="77777777" w:rsidTr="00BB4F69">
        <w:trPr>
          <w:trHeight w:val="300"/>
          <w:jc w:val="center"/>
        </w:trPr>
        <w:tc>
          <w:tcPr>
            <w:tcW w:w="4500" w:type="dxa"/>
            <w:noWrap/>
            <w:vAlign w:val="bottom"/>
            <w:hideMark/>
          </w:tcPr>
          <w:p w14:paraId="6707500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PERAMA GERAS </w:t>
            </w:r>
          </w:p>
        </w:tc>
        <w:tc>
          <w:tcPr>
            <w:tcW w:w="1732" w:type="dxa"/>
            <w:noWrap/>
            <w:vAlign w:val="bottom"/>
            <w:hideMark/>
          </w:tcPr>
          <w:p w14:paraId="1E95F90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42154A0" w14:textId="77777777" w:rsidTr="00BB4F69">
        <w:trPr>
          <w:trHeight w:val="300"/>
          <w:jc w:val="center"/>
        </w:trPr>
        <w:tc>
          <w:tcPr>
            <w:tcW w:w="4500" w:type="dxa"/>
            <w:noWrap/>
            <w:vAlign w:val="bottom"/>
            <w:hideMark/>
          </w:tcPr>
          <w:p w14:paraId="6137D3F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PERAMA PEIRAIA</w:t>
            </w:r>
          </w:p>
        </w:tc>
        <w:tc>
          <w:tcPr>
            <w:tcW w:w="1732" w:type="dxa"/>
            <w:noWrap/>
            <w:vAlign w:val="bottom"/>
            <w:hideMark/>
          </w:tcPr>
          <w:p w14:paraId="35CC929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96A45C1" w14:textId="77777777" w:rsidTr="00BB4F69">
        <w:trPr>
          <w:trHeight w:val="300"/>
          <w:jc w:val="center"/>
        </w:trPr>
        <w:tc>
          <w:tcPr>
            <w:tcW w:w="4500" w:type="dxa"/>
            <w:noWrap/>
            <w:vAlign w:val="bottom"/>
            <w:hideMark/>
          </w:tcPr>
          <w:p w14:paraId="0DB82B76"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PERIGIALI LEFKADAS</w:t>
            </w:r>
          </w:p>
        </w:tc>
        <w:tc>
          <w:tcPr>
            <w:tcW w:w="1732" w:type="dxa"/>
            <w:noWrap/>
            <w:vAlign w:val="bottom"/>
            <w:hideMark/>
          </w:tcPr>
          <w:p w14:paraId="6D67FD3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637FF423" w14:textId="77777777" w:rsidTr="00BB4F69">
        <w:trPr>
          <w:trHeight w:val="300"/>
          <w:jc w:val="center"/>
        </w:trPr>
        <w:tc>
          <w:tcPr>
            <w:tcW w:w="4500" w:type="dxa"/>
            <w:noWrap/>
            <w:vAlign w:val="bottom"/>
            <w:hideMark/>
          </w:tcPr>
          <w:p w14:paraId="0D02D30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PETRA LESVOU</w:t>
            </w:r>
          </w:p>
        </w:tc>
        <w:tc>
          <w:tcPr>
            <w:tcW w:w="1732" w:type="dxa"/>
            <w:noWrap/>
            <w:vAlign w:val="bottom"/>
            <w:hideMark/>
          </w:tcPr>
          <w:p w14:paraId="4067A70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57EA8DC2" w14:textId="77777777" w:rsidTr="00BB4F69">
        <w:trPr>
          <w:trHeight w:val="300"/>
          <w:jc w:val="center"/>
        </w:trPr>
        <w:tc>
          <w:tcPr>
            <w:tcW w:w="4500" w:type="dxa"/>
            <w:noWrap/>
            <w:vAlign w:val="bottom"/>
            <w:hideMark/>
          </w:tcPr>
          <w:p w14:paraId="3EC5C3D3"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PETRITI (KORISSION) KERKYRAS </w:t>
            </w:r>
          </w:p>
        </w:tc>
        <w:tc>
          <w:tcPr>
            <w:tcW w:w="1732" w:type="dxa"/>
            <w:noWrap/>
            <w:vAlign w:val="bottom"/>
            <w:hideMark/>
          </w:tcPr>
          <w:p w14:paraId="43F638B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56272664" w14:textId="77777777" w:rsidTr="00BB4F69">
        <w:trPr>
          <w:trHeight w:val="300"/>
          <w:jc w:val="center"/>
        </w:trPr>
        <w:tc>
          <w:tcPr>
            <w:tcW w:w="4500" w:type="dxa"/>
            <w:noWrap/>
            <w:vAlign w:val="bottom"/>
            <w:hideMark/>
          </w:tcPr>
          <w:p w14:paraId="5C4D3E0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PIGADI PTELEOU MAGNISIAS</w:t>
            </w:r>
          </w:p>
        </w:tc>
        <w:tc>
          <w:tcPr>
            <w:tcW w:w="1732" w:type="dxa"/>
            <w:noWrap/>
            <w:vAlign w:val="bottom"/>
            <w:hideMark/>
          </w:tcPr>
          <w:p w14:paraId="1A51FB6C"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A0F3C1E" w14:textId="77777777" w:rsidTr="00BB4F69">
        <w:trPr>
          <w:trHeight w:val="300"/>
          <w:jc w:val="center"/>
        </w:trPr>
        <w:tc>
          <w:tcPr>
            <w:tcW w:w="4500" w:type="dxa"/>
            <w:noWrap/>
            <w:vAlign w:val="bottom"/>
            <w:hideMark/>
          </w:tcPr>
          <w:p w14:paraId="36F8A11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PISO LIVADI PAROU</w:t>
            </w:r>
          </w:p>
        </w:tc>
        <w:tc>
          <w:tcPr>
            <w:tcW w:w="1732" w:type="dxa"/>
            <w:noWrap/>
            <w:vAlign w:val="bottom"/>
            <w:hideMark/>
          </w:tcPr>
          <w:p w14:paraId="7B48FC9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1F4CDCD" w14:textId="77777777" w:rsidTr="00BB4F69">
        <w:trPr>
          <w:trHeight w:val="300"/>
          <w:jc w:val="center"/>
        </w:trPr>
        <w:tc>
          <w:tcPr>
            <w:tcW w:w="4500" w:type="dxa"/>
            <w:noWrap/>
            <w:vAlign w:val="bottom"/>
            <w:hideMark/>
          </w:tcPr>
          <w:p w14:paraId="7582302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PLAKA LIMNOU</w:t>
            </w:r>
          </w:p>
        </w:tc>
        <w:tc>
          <w:tcPr>
            <w:tcW w:w="1732" w:type="dxa"/>
            <w:noWrap/>
            <w:vAlign w:val="bottom"/>
            <w:hideMark/>
          </w:tcPr>
          <w:p w14:paraId="1E7D24A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2991E2A" w14:textId="77777777" w:rsidTr="00BB4F69">
        <w:trPr>
          <w:trHeight w:val="300"/>
          <w:jc w:val="center"/>
        </w:trPr>
        <w:tc>
          <w:tcPr>
            <w:tcW w:w="4500" w:type="dxa"/>
            <w:noWrap/>
            <w:vAlign w:val="bottom"/>
            <w:hideMark/>
          </w:tcPr>
          <w:p w14:paraId="6787F9DA" w14:textId="77777777" w:rsidR="00DF358A" w:rsidRPr="004E13E9" w:rsidRDefault="00DF358A" w:rsidP="00BB4F69">
            <w:pPr>
              <w:rPr>
                <w:sz w:val="18"/>
                <w:szCs w:val="18"/>
                <w:lang w:val="en-GB"/>
              </w:rPr>
            </w:pPr>
            <w:r w:rsidRPr="004E13E9">
              <w:rPr>
                <w:sz w:val="18"/>
                <w:szCs w:val="18"/>
                <w:lang w:val="en-GB"/>
              </w:rPr>
              <w:t xml:space="preserve">PLATAMONAS </w:t>
            </w:r>
          </w:p>
        </w:tc>
        <w:tc>
          <w:tcPr>
            <w:tcW w:w="1732" w:type="dxa"/>
            <w:noWrap/>
            <w:vAlign w:val="bottom"/>
            <w:hideMark/>
          </w:tcPr>
          <w:p w14:paraId="66890BDE"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39EA48DE" w14:textId="77777777" w:rsidTr="00BB4F69">
        <w:trPr>
          <w:trHeight w:val="300"/>
          <w:jc w:val="center"/>
        </w:trPr>
        <w:tc>
          <w:tcPr>
            <w:tcW w:w="4500" w:type="dxa"/>
            <w:noWrap/>
            <w:vAlign w:val="bottom"/>
            <w:hideMark/>
          </w:tcPr>
          <w:p w14:paraId="3726F4E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PLATANIAS MAGNISIAS</w:t>
            </w:r>
          </w:p>
        </w:tc>
        <w:tc>
          <w:tcPr>
            <w:tcW w:w="1732" w:type="dxa"/>
            <w:noWrap/>
            <w:vAlign w:val="bottom"/>
            <w:hideMark/>
          </w:tcPr>
          <w:p w14:paraId="6C8EB60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4AEA4BC" w14:textId="77777777" w:rsidTr="00BB4F69">
        <w:trPr>
          <w:trHeight w:val="300"/>
          <w:jc w:val="center"/>
        </w:trPr>
        <w:tc>
          <w:tcPr>
            <w:tcW w:w="4500" w:type="dxa"/>
            <w:noWrap/>
            <w:vAlign w:val="bottom"/>
            <w:hideMark/>
          </w:tcPr>
          <w:p w14:paraId="6BFA3F2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PLATARIA THESPROTIAS</w:t>
            </w:r>
          </w:p>
        </w:tc>
        <w:tc>
          <w:tcPr>
            <w:tcW w:w="1732" w:type="dxa"/>
            <w:noWrap/>
            <w:vAlign w:val="bottom"/>
            <w:hideMark/>
          </w:tcPr>
          <w:p w14:paraId="7A5547C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CE9CFC9" w14:textId="77777777" w:rsidTr="00BB4F69">
        <w:trPr>
          <w:trHeight w:val="300"/>
          <w:jc w:val="center"/>
        </w:trPr>
        <w:tc>
          <w:tcPr>
            <w:tcW w:w="4500" w:type="dxa"/>
            <w:noWrap/>
            <w:vAlign w:val="bottom"/>
            <w:hideMark/>
          </w:tcPr>
          <w:p w14:paraId="2AF2903F" w14:textId="77777777" w:rsidR="00DF358A" w:rsidRPr="004E13E9" w:rsidRDefault="00DF358A" w:rsidP="00BB4F69">
            <w:pPr>
              <w:rPr>
                <w:sz w:val="18"/>
                <w:szCs w:val="18"/>
                <w:lang w:val="en-GB"/>
              </w:rPr>
            </w:pPr>
            <w:r w:rsidRPr="004E13E9">
              <w:rPr>
                <w:sz w:val="18"/>
                <w:szCs w:val="18"/>
                <w:lang w:val="en-GB"/>
              </w:rPr>
              <w:t>PLATYGIALI</w:t>
            </w:r>
            <w:r w:rsidRPr="004E13E9">
              <w:rPr>
                <w:rFonts w:eastAsia="Times New Roman"/>
                <w:sz w:val="18"/>
                <w:szCs w:val="18"/>
                <w:lang w:val="en-GB" w:eastAsia="en-GB"/>
              </w:rPr>
              <w:t xml:space="preserve"> ASTAKOU</w:t>
            </w:r>
          </w:p>
        </w:tc>
        <w:tc>
          <w:tcPr>
            <w:tcW w:w="1732" w:type="dxa"/>
            <w:noWrap/>
            <w:vAlign w:val="bottom"/>
            <w:hideMark/>
          </w:tcPr>
          <w:p w14:paraId="36949375"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1B35DBC2" w14:textId="77777777" w:rsidTr="00BB4F69">
        <w:trPr>
          <w:trHeight w:val="300"/>
          <w:jc w:val="center"/>
        </w:trPr>
        <w:tc>
          <w:tcPr>
            <w:tcW w:w="4500" w:type="dxa"/>
            <w:noWrap/>
            <w:vAlign w:val="bottom"/>
            <w:hideMark/>
          </w:tcPr>
          <w:p w14:paraId="30D53B85"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PLATYS GIALOS SIFNOU</w:t>
            </w:r>
          </w:p>
        </w:tc>
        <w:tc>
          <w:tcPr>
            <w:tcW w:w="1732" w:type="dxa"/>
            <w:noWrap/>
            <w:vAlign w:val="bottom"/>
            <w:hideMark/>
          </w:tcPr>
          <w:p w14:paraId="7F592D9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27C930E" w14:textId="77777777" w:rsidTr="00BB4F69">
        <w:trPr>
          <w:trHeight w:val="300"/>
          <w:jc w:val="center"/>
        </w:trPr>
        <w:tc>
          <w:tcPr>
            <w:tcW w:w="4500" w:type="dxa"/>
            <w:noWrap/>
            <w:vAlign w:val="bottom"/>
            <w:hideMark/>
          </w:tcPr>
          <w:p w14:paraId="7C3C716C"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PLIMMYRI RODOU</w:t>
            </w:r>
          </w:p>
        </w:tc>
        <w:tc>
          <w:tcPr>
            <w:tcW w:w="1732" w:type="dxa"/>
            <w:noWrap/>
            <w:vAlign w:val="bottom"/>
            <w:hideMark/>
          </w:tcPr>
          <w:p w14:paraId="35D8352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5FD5BBBF" w14:textId="77777777" w:rsidTr="00BB4F69">
        <w:trPr>
          <w:trHeight w:val="300"/>
          <w:jc w:val="center"/>
        </w:trPr>
        <w:tc>
          <w:tcPr>
            <w:tcW w:w="4500" w:type="dxa"/>
            <w:noWrap/>
            <w:vAlign w:val="bottom"/>
            <w:hideMark/>
          </w:tcPr>
          <w:p w14:paraId="40225129" w14:textId="77777777" w:rsidR="00DF358A" w:rsidRPr="004E13E9" w:rsidRDefault="00DF358A" w:rsidP="00BB4F69">
            <w:pPr>
              <w:rPr>
                <w:sz w:val="18"/>
                <w:szCs w:val="18"/>
                <w:lang w:val="en-GB"/>
              </w:rPr>
            </w:pPr>
            <w:r w:rsidRPr="004E13E9">
              <w:rPr>
                <w:sz w:val="18"/>
                <w:szCs w:val="18"/>
                <w:lang w:val="en-GB"/>
              </w:rPr>
              <w:t xml:space="preserve">PLOMARI </w:t>
            </w:r>
          </w:p>
        </w:tc>
        <w:tc>
          <w:tcPr>
            <w:tcW w:w="1732" w:type="dxa"/>
            <w:noWrap/>
            <w:vAlign w:val="bottom"/>
            <w:hideMark/>
          </w:tcPr>
          <w:p w14:paraId="7F9059E6"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2C8CAD5D" w14:textId="77777777" w:rsidTr="00BB4F69">
        <w:trPr>
          <w:trHeight w:val="300"/>
          <w:jc w:val="center"/>
        </w:trPr>
        <w:tc>
          <w:tcPr>
            <w:tcW w:w="4500" w:type="dxa"/>
            <w:noWrap/>
            <w:vAlign w:val="bottom"/>
            <w:hideMark/>
          </w:tcPr>
          <w:p w14:paraId="25907D8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POLITIKA</w:t>
            </w:r>
          </w:p>
        </w:tc>
        <w:tc>
          <w:tcPr>
            <w:tcW w:w="1732" w:type="dxa"/>
            <w:noWrap/>
            <w:vAlign w:val="bottom"/>
            <w:hideMark/>
          </w:tcPr>
          <w:p w14:paraId="332BA60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3754422" w14:textId="77777777" w:rsidTr="00BB4F69">
        <w:trPr>
          <w:trHeight w:val="300"/>
          <w:jc w:val="center"/>
        </w:trPr>
        <w:tc>
          <w:tcPr>
            <w:tcW w:w="4500" w:type="dxa"/>
            <w:noWrap/>
            <w:vAlign w:val="bottom"/>
            <w:hideMark/>
          </w:tcPr>
          <w:p w14:paraId="2BE38E52" w14:textId="77777777" w:rsidR="00DF358A" w:rsidRPr="004E13E9" w:rsidRDefault="00DF358A" w:rsidP="00BB4F69">
            <w:pPr>
              <w:rPr>
                <w:sz w:val="18"/>
                <w:szCs w:val="18"/>
                <w:lang w:val="en-GB"/>
              </w:rPr>
            </w:pPr>
            <w:r w:rsidRPr="004E13E9">
              <w:rPr>
                <w:sz w:val="18"/>
                <w:szCs w:val="18"/>
                <w:lang w:val="en-GB"/>
              </w:rPr>
              <w:t xml:space="preserve">POROS </w:t>
            </w:r>
            <w:r w:rsidRPr="004E13E9">
              <w:rPr>
                <w:rFonts w:eastAsia="Times New Roman"/>
                <w:sz w:val="18"/>
                <w:szCs w:val="18"/>
                <w:lang w:val="en-GB" w:eastAsia="en-GB"/>
              </w:rPr>
              <w:t>KEFALLINIAS</w:t>
            </w:r>
            <w:r w:rsidRPr="004E13E9">
              <w:rPr>
                <w:sz w:val="18"/>
                <w:szCs w:val="18"/>
                <w:lang w:val="en-GB"/>
              </w:rPr>
              <w:t xml:space="preserve"> </w:t>
            </w:r>
          </w:p>
        </w:tc>
        <w:tc>
          <w:tcPr>
            <w:tcW w:w="1732" w:type="dxa"/>
            <w:noWrap/>
            <w:vAlign w:val="bottom"/>
            <w:hideMark/>
          </w:tcPr>
          <w:p w14:paraId="53D7A8D8"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2F062F7C" w14:textId="77777777" w:rsidTr="00BB4F69">
        <w:trPr>
          <w:trHeight w:val="300"/>
          <w:jc w:val="center"/>
        </w:trPr>
        <w:tc>
          <w:tcPr>
            <w:tcW w:w="4500" w:type="dxa"/>
            <w:noWrap/>
            <w:vAlign w:val="bottom"/>
            <w:hideMark/>
          </w:tcPr>
          <w:p w14:paraId="14C381C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POROS TROIZINIAS</w:t>
            </w:r>
          </w:p>
        </w:tc>
        <w:tc>
          <w:tcPr>
            <w:tcW w:w="1732" w:type="dxa"/>
            <w:noWrap/>
            <w:vAlign w:val="bottom"/>
            <w:hideMark/>
          </w:tcPr>
          <w:p w14:paraId="2B56765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8B3C7D7" w14:textId="77777777" w:rsidTr="00BB4F69">
        <w:trPr>
          <w:trHeight w:val="300"/>
          <w:jc w:val="center"/>
        </w:trPr>
        <w:tc>
          <w:tcPr>
            <w:tcW w:w="4500" w:type="dxa"/>
            <w:noWrap/>
            <w:vAlign w:val="bottom"/>
            <w:hideMark/>
          </w:tcPr>
          <w:p w14:paraId="1B588004" w14:textId="77777777" w:rsidR="00DF358A" w:rsidRPr="004E13E9" w:rsidRDefault="00DF358A" w:rsidP="00BB4F69">
            <w:pPr>
              <w:rPr>
                <w:sz w:val="18"/>
                <w:szCs w:val="18"/>
                <w:lang w:val="en-GB"/>
              </w:rPr>
            </w:pPr>
            <w:r w:rsidRPr="004E13E9">
              <w:rPr>
                <w:sz w:val="18"/>
                <w:szCs w:val="18"/>
                <w:lang w:val="en-GB"/>
              </w:rPr>
              <w:t xml:space="preserve">PORTO KOUFO </w:t>
            </w:r>
            <w:r w:rsidRPr="004E13E9">
              <w:rPr>
                <w:rFonts w:eastAsia="Times New Roman"/>
                <w:sz w:val="18"/>
                <w:szCs w:val="18"/>
                <w:lang w:val="en-GB" w:eastAsia="en-GB"/>
              </w:rPr>
              <w:t>CHALKIDIKIS</w:t>
            </w:r>
          </w:p>
        </w:tc>
        <w:tc>
          <w:tcPr>
            <w:tcW w:w="1732" w:type="dxa"/>
            <w:noWrap/>
            <w:vAlign w:val="bottom"/>
            <w:hideMark/>
          </w:tcPr>
          <w:p w14:paraId="2D33D65F"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06FC5F80" w14:textId="77777777" w:rsidTr="00BB4F69">
        <w:trPr>
          <w:trHeight w:val="300"/>
          <w:jc w:val="center"/>
        </w:trPr>
        <w:tc>
          <w:tcPr>
            <w:tcW w:w="4500" w:type="dxa"/>
            <w:noWrap/>
            <w:vAlign w:val="bottom"/>
            <w:hideMark/>
          </w:tcPr>
          <w:p w14:paraId="640647F6" w14:textId="77777777" w:rsidR="00DF358A" w:rsidRPr="004E13E9" w:rsidRDefault="00DF358A" w:rsidP="00BB4F69">
            <w:pPr>
              <w:rPr>
                <w:sz w:val="18"/>
                <w:szCs w:val="18"/>
                <w:lang w:val="en-GB"/>
              </w:rPr>
            </w:pPr>
            <w:r w:rsidRPr="004E13E9">
              <w:rPr>
                <w:sz w:val="18"/>
                <w:szCs w:val="18"/>
                <w:lang w:val="en-GB"/>
              </w:rPr>
              <w:t xml:space="preserve">PORTO LAGOS </w:t>
            </w:r>
          </w:p>
        </w:tc>
        <w:tc>
          <w:tcPr>
            <w:tcW w:w="1732" w:type="dxa"/>
            <w:noWrap/>
            <w:vAlign w:val="bottom"/>
            <w:hideMark/>
          </w:tcPr>
          <w:p w14:paraId="6003A5CC"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12248B3E" w14:textId="77777777" w:rsidTr="00BB4F69">
        <w:trPr>
          <w:trHeight w:val="300"/>
          <w:jc w:val="center"/>
        </w:trPr>
        <w:tc>
          <w:tcPr>
            <w:tcW w:w="4500" w:type="dxa"/>
            <w:noWrap/>
            <w:vAlign w:val="bottom"/>
            <w:hideMark/>
          </w:tcPr>
          <w:p w14:paraId="1AE8638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PORTO RAFTI </w:t>
            </w:r>
          </w:p>
        </w:tc>
        <w:tc>
          <w:tcPr>
            <w:tcW w:w="1732" w:type="dxa"/>
            <w:noWrap/>
            <w:vAlign w:val="bottom"/>
            <w:hideMark/>
          </w:tcPr>
          <w:p w14:paraId="603FFEF3"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CFE113B" w14:textId="77777777" w:rsidTr="00BB4F69">
        <w:trPr>
          <w:trHeight w:val="300"/>
          <w:jc w:val="center"/>
        </w:trPr>
        <w:tc>
          <w:tcPr>
            <w:tcW w:w="4500" w:type="dxa"/>
            <w:noWrap/>
            <w:vAlign w:val="bottom"/>
            <w:hideMark/>
          </w:tcPr>
          <w:p w14:paraId="1EFE90A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PORTOCHELI </w:t>
            </w:r>
          </w:p>
        </w:tc>
        <w:tc>
          <w:tcPr>
            <w:tcW w:w="1732" w:type="dxa"/>
            <w:noWrap/>
            <w:vAlign w:val="bottom"/>
            <w:hideMark/>
          </w:tcPr>
          <w:p w14:paraId="26FF58C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16A277F" w14:textId="77777777" w:rsidTr="00BB4F69">
        <w:trPr>
          <w:trHeight w:val="300"/>
          <w:jc w:val="center"/>
        </w:trPr>
        <w:tc>
          <w:tcPr>
            <w:tcW w:w="4500" w:type="dxa"/>
            <w:noWrap/>
            <w:vAlign w:val="bottom"/>
            <w:hideMark/>
          </w:tcPr>
          <w:p w14:paraId="29E7C1B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POUNTA PAROU</w:t>
            </w:r>
          </w:p>
        </w:tc>
        <w:tc>
          <w:tcPr>
            <w:tcW w:w="1732" w:type="dxa"/>
            <w:noWrap/>
            <w:vAlign w:val="bottom"/>
            <w:hideMark/>
          </w:tcPr>
          <w:p w14:paraId="3AFFC66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9A29BEC" w14:textId="77777777" w:rsidTr="00BB4F69">
        <w:trPr>
          <w:trHeight w:val="300"/>
          <w:jc w:val="center"/>
        </w:trPr>
        <w:tc>
          <w:tcPr>
            <w:tcW w:w="4500" w:type="dxa"/>
            <w:noWrap/>
            <w:vAlign w:val="bottom"/>
            <w:hideMark/>
          </w:tcPr>
          <w:p w14:paraId="6079E5B6" w14:textId="77777777" w:rsidR="00DF358A" w:rsidRPr="004E13E9" w:rsidRDefault="00DF358A" w:rsidP="00BB4F69">
            <w:pPr>
              <w:rPr>
                <w:sz w:val="18"/>
                <w:szCs w:val="18"/>
                <w:lang w:val="en-GB"/>
              </w:rPr>
            </w:pPr>
            <w:r w:rsidRPr="004E13E9">
              <w:rPr>
                <w:sz w:val="18"/>
                <w:szCs w:val="18"/>
                <w:lang w:val="en-GB"/>
              </w:rPr>
              <w:t xml:space="preserve">PREVEZA </w:t>
            </w:r>
          </w:p>
        </w:tc>
        <w:tc>
          <w:tcPr>
            <w:tcW w:w="1732" w:type="dxa"/>
            <w:noWrap/>
            <w:vAlign w:val="bottom"/>
            <w:hideMark/>
          </w:tcPr>
          <w:p w14:paraId="3F6E6843"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63188C7F" w14:textId="77777777" w:rsidTr="00BB4F69">
        <w:trPr>
          <w:trHeight w:val="300"/>
          <w:jc w:val="center"/>
        </w:trPr>
        <w:tc>
          <w:tcPr>
            <w:tcW w:w="4500" w:type="dxa"/>
            <w:noWrap/>
            <w:vAlign w:val="bottom"/>
            <w:hideMark/>
          </w:tcPr>
          <w:p w14:paraId="3E446E7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PSAROPOULI (PARALIA VASILIKON)</w:t>
            </w:r>
          </w:p>
        </w:tc>
        <w:tc>
          <w:tcPr>
            <w:tcW w:w="1732" w:type="dxa"/>
            <w:noWrap/>
            <w:vAlign w:val="bottom"/>
            <w:hideMark/>
          </w:tcPr>
          <w:p w14:paraId="624DF0B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FEA5739" w14:textId="77777777" w:rsidTr="00BB4F69">
        <w:trPr>
          <w:trHeight w:val="300"/>
          <w:jc w:val="center"/>
        </w:trPr>
        <w:tc>
          <w:tcPr>
            <w:tcW w:w="4500" w:type="dxa"/>
            <w:noWrap/>
            <w:vAlign w:val="bottom"/>
            <w:hideMark/>
          </w:tcPr>
          <w:p w14:paraId="3FD2D32E" w14:textId="77777777" w:rsidR="00DF358A" w:rsidRPr="004E13E9" w:rsidRDefault="00DF358A" w:rsidP="00BB4F69">
            <w:pPr>
              <w:rPr>
                <w:sz w:val="18"/>
                <w:szCs w:val="18"/>
                <w:lang w:val="en-GB"/>
              </w:rPr>
            </w:pPr>
            <w:r w:rsidRPr="004E13E9">
              <w:rPr>
                <w:sz w:val="18"/>
                <w:szCs w:val="18"/>
                <w:lang w:val="en-GB"/>
              </w:rPr>
              <w:t xml:space="preserve">PYLOS </w:t>
            </w:r>
          </w:p>
        </w:tc>
        <w:tc>
          <w:tcPr>
            <w:tcW w:w="1732" w:type="dxa"/>
            <w:noWrap/>
            <w:vAlign w:val="bottom"/>
            <w:hideMark/>
          </w:tcPr>
          <w:p w14:paraId="15FC6CE5"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59F163F9" w14:textId="77777777" w:rsidTr="00BB4F69">
        <w:trPr>
          <w:trHeight w:val="300"/>
          <w:jc w:val="center"/>
        </w:trPr>
        <w:tc>
          <w:tcPr>
            <w:tcW w:w="4500" w:type="dxa"/>
            <w:noWrap/>
            <w:vAlign w:val="bottom"/>
            <w:hideMark/>
          </w:tcPr>
          <w:p w14:paraId="2C20EAD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PYRGOS PERAMATOS LESVOU</w:t>
            </w:r>
          </w:p>
        </w:tc>
        <w:tc>
          <w:tcPr>
            <w:tcW w:w="1732" w:type="dxa"/>
            <w:noWrap/>
            <w:vAlign w:val="bottom"/>
            <w:hideMark/>
          </w:tcPr>
          <w:p w14:paraId="05DF133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27B3770" w14:textId="77777777" w:rsidTr="00BB4F69">
        <w:trPr>
          <w:trHeight w:val="300"/>
          <w:jc w:val="center"/>
        </w:trPr>
        <w:tc>
          <w:tcPr>
            <w:tcW w:w="4500" w:type="dxa"/>
            <w:noWrap/>
            <w:vAlign w:val="bottom"/>
            <w:hideMark/>
          </w:tcPr>
          <w:p w14:paraId="1C952160" w14:textId="77777777" w:rsidR="00DF358A" w:rsidRPr="004E13E9" w:rsidRDefault="00DF358A" w:rsidP="00BB4F69">
            <w:pPr>
              <w:rPr>
                <w:sz w:val="18"/>
                <w:szCs w:val="18"/>
                <w:lang w:val="en-GB"/>
              </w:rPr>
            </w:pPr>
            <w:r w:rsidRPr="004E13E9">
              <w:rPr>
                <w:sz w:val="18"/>
                <w:szCs w:val="18"/>
                <w:lang w:val="en-GB"/>
              </w:rPr>
              <w:t xml:space="preserve">PYTHAGOREIO </w:t>
            </w:r>
            <w:r w:rsidRPr="004E13E9">
              <w:rPr>
                <w:rFonts w:eastAsia="Times New Roman"/>
                <w:sz w:val="18"/>
                <w:szCs w:val="18"/>
                <w:lang w:val="en-GB" w:eastAsia="en-GB"/>
              </w:rPr>
              <w:t>SAMOU</w:t>
            </w:r>
          </w:p>
        </w:tc>
        <w:tc>
          <w:tcPr>
            <w:tcW w:w="1732" w:type="dxa"/>
            <w:noWrap/>
            <w:vAlign w:val="bottom"/>
            <w:hideMark/>
          </w:tcPr>
          <w:p w14:paraId="202E1227"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0DEDDB46" w14:textId="77777777" w:rsidTr="00BB4F69">
        <w:trPr>
          <w:trHeight w:val="300"/>
          <w:jc w:val="center"/>
        </w:trPr>
        <w:tc>
          <w:tcPr>
            <w:tcW w:w="4500" w:type="dxa"/>
            <w:noWrap/>
            <w:vAlign w:val="bottom"/>
            <w:hideMark/>
          </w:tcPr>
          <w:p w14:paraId="6C0A924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RACHES FTHIOTIDAS </w:t>
            </w:r>
          </w:p>
        </w:tc>
        <w:tc>
          <w:tcPr>
            <w:tcW w:w="1732" w:type="dxa"/>
            <w:noWrap/>
            <w:vAlign w:val="bottom"/>
            <w:hideMark/>
          </w:tcPr>
          <w:p w14:paraId="6C9AE91C"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9FC2510" w14:textId="77777777" w:rsidTr="00BB4F69">
        <w:trPr>
          <w:trHeight w:val="300"/>
          <w:jc w:val="center"/>
        </w:trPr>
        <w:tc>
          <w:tcPr>
            <w:tcW w:w="4500" w:type="dxa"/>
            <w:noWrap/>
            <w:vAlign w:val="bottom"/>
            <w:hideMark/>
          </w:tcPr>
          <w:p w14:paraId="7901C8E5"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RAFINA </w:t>
            </w:r>
          </w:p>
        </w:tc>
        <w:tc>
          <w:tcPr>
            <w:tcW w:w="1732" w:type="dxa"/>
            <w:noWrap/>
            <w:vAlign w:val="bottom"/>
            <w:hideMark/>
          </w:tcPr>
          <w:p w14:paraId="5484E96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B20FBF6" w14:textId="77777777" w:rsidTr="00BB4F69">
        <w:trPr>
          <w:trHeight w:val="300"/>
          <w:jc w:val="center"/>
        </w:trPr>
        <w:tc>
          <w:tcPr>
            <w:tcW w:w="4500" w:type="dxa"/>
            <w:noWrap/>
            <w:vAlign w:val="bottom"/>
            <w:hideMark/>
          </w:tcPr>
          <w:p w14:paraId="29269335" w14:textId="77777777" w:rsidR="00DF358A" w:rsidRPr="004E13E9" w:rsidRDefault="00DF358A" w:rsidP="00BB4F69">
            <w:pPr>
              <w:rPr>
                <w:sz w:val="18"/>
                <w:szCs w:val="18"/>
                <w:lang w:val="en-GB"/>
              </w:rPr>
            </w:pPr>
            <w:r w:rsidRPr="004E13E9">
              <w:rPr>
                <w:sz w:val="18"/>
                <w:szCs w:val="18"/>
                <w:lang w:val="en-GB"/>
              </w:rPr>
              <w:t xml:space="preserve">RETHYMNO </w:t>
            </w:r>
          </w:p>
        </w:tc>
        <w:tc>
          <w:tcPr>
            <w:tcW w:w="1732" w:type="dxa"/>
            <w:noWrap/>
            <w:vAlign w:val="bottom"/>
            <w:hideMark/>
          </w:tcPr>
          <w:p w14:paraId="47EA1B2A"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33704D40" w14:textId="77777777" w:rsidTr="00BB4F69">
        <w:trPr>
          <w:trHeight w:val="300"/>
          <w:jc w:val="center"/>
        </w:trPr>
        <w:tc>
          <w:tcPr>
            <w:tcW w:w="4500" w:type="dxa"/>
            <w:noWrap/>
            <w:vAlign w:val="bottom"/>
            <w:hideMark/>
          </w:tcPr>
          <w:p w14:paraId="3B6F072D" w14:textId="77777777" w:rsidR="00DF358A" w:rsidRPr="004E13E9" w:rsidRDefault="00DF358A" w:rsidP="00BB4F69">
            <w:pPr>
              <w:rPr>
                <w:sz w:val="18"/>
                <w:szCs w:val="18"/>
                <w:lang w:val="en-GB"/>
              </w:rPr>
            </w:pPr>
            <w:r w:rsidRPr="004E13E9">
              <w:rPr>
                <w:sz w:val="18"/>
                <w:szCs w:val="18"/>
                <w:lang w:val="en-GB"/>
              </w:rPr>
              <w:t>RODOS</w:t>
            </w:r>
          </w:p>
        </w:tc>
        <w:tc>
          <w:tcPr>
            <w:tcW w:w="1732" w:type="dxa"/>
            <w:noWrap/>
            <w:vAlign w:val="bottom"/>
            <w:hideMark/>
          </w:tcPr>
          <w:p w14:paraId="2D731819"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377FD646" w14:textId="77777777" w:rsidTr="00BB4F69">
        <w:trPr>
          <w:trHeight w:val="300"/>
          <w:jc w:val="center"/>
        </w:trPr>
        <w:tc>
          <w:tcPr>
            <w:tcW w:w="4500" w:type="dxa"/>
            <w:noWrap/>
            <w:vAlign w:val="bottom"/>
            <w:hideMark/>
          </w:tcPr>
          <w:p w14:paraId="765065B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SAGIADA</w:t>
            </w:r>
          </w:p>
        </w:tc>
        <w:tc>
          <w:tcPr>
            <w:tcW w:w="1732" w:type="dxa"/>
            <w:noWrap/>
            <w:vAlign w:val="bottom"/>
            <w:hideMark/>
          </w:tcPr>
          <w:p w14:paraId="055C0D8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F2DE7B8" w14:textId="77777777" w:rsidTr="00BB4F69">
        <w:trPr>
          <w:trHeight w:val="300"/>
          <w:jc w:val="center"/>
        </w:trPr>
        <w:tc>
          <w:tcPr>
            <w:tcW w:w="4500" w:type="dxa"/>
            <w:noWrap/>
            <w:vAlign w:val="bottom"/>
            <w:hideMark/>
          </w:tcPr>
          <w:p w14:paraId="3E4C1A4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SALAMINA </w:t>
            </w:r>
          </w:p>
        </w:tc>
        <w:tc>
          <w:tcPr>
            <w:tcW w:w="1732" w:type="dxa"/>
            <w:noWrap/>
            <w:vAlign w:val="bottom"/>
            <w:hideMark/>
          </w:tcPr>
          <w:p w14:paraId="0899611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5616B47C" w14:textId="77777777" w:rsidTr="00BB4F69">
        <w:trPr>
          <w:trHeight w:val="300"/>
          <w:jc w:val="center"/>
        </w:trPr>
        <w:tc>
          <w:tcPr>
            <w:tcW w:w="4500" w:type="dxa"/>
            <w:noWrap/>
            <w:vAlign w:val="bottom"/>
            <w:hideMark/>
          </w:tcPr>
          <w:p w14:paraId="1F1F8B89" w14:textId="77777777" w:rsidR="00DF358A" w:rsidRPr="004E13E9" w:rsidRDefault="00DF358A" w:rsidP="00BB4F69">
            <w:pPr>
              <w:rPr>
                <w:sz w:val="18"/>
                <w:szCs w:val="18"/>
                <w:lang w:val="en-GB"/>
              </w:rPr>
            </w:pPr>
            <w:r w:rsidRPr="004E13E9">
              <w:rPr>
                <w:sz w:val="18"/>
                <w:szCs w:val="18"/>
                <w:lang w:val="en-GB"/>
              </w:rPr>
              <w:t xml:space="preserve">SAMI </w:t>
            </w:r>
            <w:r w:rsidRPr="004E13E9">
              <w:rPr>
                <w:rFonts w:eastAsia="Times New Roman"/>
                <w:sz w:val="18"/>
                <w:szCs w:val="18"/>
                <w:lang w:val="en-GB" w:eastAsia="en-GB"/>
              </w:rPr>
              <w:t>KEFALLINIAS</w:t>
            </w:r>
          </w:p>
        </w:tc>
        <w:tc>
          <w:tcPr>
            <w:tcW w:w="1732" w:type="dxa"/>
            <w:noWrap/>
            <w:vAlign w:val="bottom"/>
            <w:hideMark/>
          </w:tcPr>
          <w:p w14:paraId="1838CCD5"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74C458A4" w14:textId="77777777" w:rsidTr="00BB4F69">
        <w:trPr>
          <w:trHeight w:val="300"/>
          <w:jc w:val="center"/>
        </w:trPr>
        <w:tc>
          <w:tcPr>
            <w:tcW w:w="4500" w:type="dxa"/>
            <w:noWrap/>
            <w:vAlign w:val="bottom"/>
            <w:hideMark/>
          </w:tcPr>
          <w:p w14:paraId="4016E039" w14:textId="77777777" w:rsidR="00DF358A" w:rsidRPr="004E13E9" w:rsidRDefault="00DF358A" w:rsidP="00BB4F69">
            <w:pPr>
              <w:rPr>
                <w:sz w:val="18"/>
                <w:szCs w:val="18"/>
                <w:lang w:val="en-GB"/>
              </w:rPr>
            </w:pPr>
            <w:r w:rsidRPr="004E13E9">
              <w:rPr>
                <w:sz w:val="18"/>
                <w:szCs w:val="18"/>
                <w:lang w:val="en-GB"/>
              </w:rPr>
              <w:t xml:space="preserve">SAMOS </w:t>
            </w:r>
            <w:r w:rsidRPr="004E13E9">
              <w:rPr>
                <w:rFonts w:eastAsia="Times New Roman"/>
                <w:sz w:val="18"/>
                <w:szCs w:val="18"/>
                <w:lang w:val="en-GB" w:eastAsia="en-GB"/>
              </w:rPr>
              <w:t xml:space="preserve">- </w:t>
            </w:r>
            <w:r w:rsidRPr="004E13E9">
              <w:rPr>
                <w:sz w:val="18"/>
                <w:szCs w:val="18"/>
                <w:lang w:val="en-GB"/>
              </w:rPr>
              <w:t xml:space="preserve">VATHY </w:t>
            </w:r>
          </w:p>
        </w:tc>
        <w:tc>
          <w:tcPr>
            <w:tcW w:w="1732" w:type="dxa"/>
            <w:noWrap/>
            <w:vAlign w:val="bottom"/>
            <w:hideMark/>
          </w:tcPr>
          <w:p w14:paraId="48A4C91E"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45C62A3F" w14:textId="77777777" w:rsidTr="00BB4F69">
        <w:trPr>
          <w:trHeight w:val="300"/>
          <w:jc w:val="center"/>
        </w:trPr>
        <w:tc>
          <w:tcPr>
            <w:tcW w:w="4500" w:type="dxa"/>
            <w:noWrap/>
            <w:vAlign w:val="bottom"/>
            <w:hideMark/>
          </w:tcPr>
          <w:p w14:paraId="2B89762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SARTI CHALKIDIKIS</w:t>
            </w:r>
          </w:p>
        </w:tc>
        <w:tc>
          <w:tcPr>
            <w:tcW w:w="1732" w:type="dxa"/>
            <w:noWrap/>
            <w:vAlign w:val="bottom"/>
            <w:hideMark/>
          </w:tcPr>
          <w:p w14:paraId="53858ED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A1963F0" w14:textId="77777777" w:rsidTr="00BB4F69">
        <w:trPr>
          <w:trHeight w:val="300"/>
          <w:jc w:val="center"/>
        </w:trPr>
        <w:tc>
          <w:tcPr>
            <w:tcW w:w="4500" w:type="dxa"/>
            <w:noWrap/>
            <w:vAlign w:val="bottom"/>
            <w:hideMark/>
          </w:tcPr>
          <w:p w14:paraId="5E4F7FB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SCHOINOUSA </w:t>
            </w:r>
          </w:p>
        </w:tc>
        <w:tc>
          <w:tcPr>
            <w:tcW w:w="1732" w:type="dxa"/>
            <w:noWrap/>
            <w:vAlign w:val="bottom"/>
            <w:hideMark/>
          </w:tcPr>
          <w:p w14:paraId="2AE263B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43445B7B" w14:textId="77777777" w:rsidTr="00BB4F69">
        <w:trPr>
          <w:trHeight w:val="300"/>
          <w:jc w:val="center"/>
        </w:trPr>
        <w:tc>
          <w:tcPr>
            <w:tcW w:w="4500" w:type="dxa"/>
            <w:noWrap/>
            <w:vAlign w:val="bottom"/>
            <w:hideMark/>
          </w:tcPr>
          <w:p w14:paraId="4B1BC7F4" w14:textId="77777777" w:rsidR="00DF358A" w:rsidRPr="004E13E9" w:rsidRDefault="00DF358A" w:rsidP="00BB4F69">
            <w:pPr>
              <w:rPr>
                <w:sz w:val="18"/>
                <w:szCs w:val="18"/>
                <w:lang w:val="en-GB"/>
              </w:rPr>
            </w:pPr>
            <w:r w:rsidRPr="004E13E9">
              <w:rPr>
                <w:sz w:val="18"/>
                <w:szCs w:val="18"/>
                <w:lang w:val="en-GB"/>
              </w:rPr>
              <w:t xml:space="preserve">SIGRI </w:t>
            </w:r>
            <w:r w:rsidRPr="004E13E9">
              <w:rPr>
                <w:rFonts w:eastAsia="Times New Roman"/>
                <w:sz w:val="18"/>
                <w:szCs w:val="18"/>
                <w:lang w:val="en-GB" w:eastAsia="en-GB"/>
              </w:rPr>
              <w:t>LESVOU</w:t>
            </w:r>
          </w:p>
        </w:tc>
        <w:tc>
          <w:tcPr>
            <w:tcW w:w="1732" w:type="dxa"/>
            <w:noWrap/>
            <w:vAlign w:val="bottom"/>
            <w:hideMark/>
          </w:tcPr>
          <w:p w14:paraId="03D2A659"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40550494" w14:textId="77777777" w:rsidTr="00BB4F69">
        <w:trPr>
          <w:trHeight w:val="300"/>
          <w:jc w:val="center"/>
        </w:trPr>
        <w:tc>
          <w:tcPr>
            <w:tcW w:w="4500" w:type="dxa"/>
            <w:noWrap/>
            <w:vAlign w:val="bottom"/>
            <w:hideMark/>
          </w:tcPr>
          <w:p w14:paraId="30764B8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SIKINOS </w:t>
            </w:r>
          </w:p>
        </w:tc>
        <w:tc>
          <w:tcPr>
            <w:tcW w:w="1732" w:type="dxa"/>
            <w:noWrap/>
            <w:vAlign w:val="bottom"/>
            <w:hideMark/>
          </w:tcPr>
          <w:p w14:paraId="453C960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665B9307" w14:textId="77777777" w:rsidTr="00BB4F69">
        <w:trPr>
          <w:trHeight w:val="300"/>
          <w:jc w:val="center"/>
        </w:trPr>
        <w:tc>
          <w:tcPr>
            <w:tcW w:w="4500" w:type="dxa"/>
            <w:noWrap/>
            <w:vAlign w:val="bottom"/>
            <w:hideMark/>
          </w:tcPr>
          <w:p w14:paraId="189D80C7" w14:textId="77777777" w:rsidR="00DF358A" w:rsidRPr="004E13E9" w:rsidRDefault="00DF358A" w:rsidP="00BB4F69">
            <w:pPr>
              <w:rPr>
                <w:sz w:val="18"/>
                <w:szCs w:val="18"/>
                <w:lang w:val="en-GB"/>
              </w:rPr>
            </w:pPr>
            <w:r w:rsidRPr="004E13E9">
              <w:rPr>
                <w:sz w:val="18"/>
                <w:szCs w:val="18"/>
                <w:lang w:val="en-GB"/>
              </w:rPr>
              <w:t xml:space="preserve">SITEIA </w:t>
            </w:r>
          </w:p>
        </w:tc>
        <w:tc>
          <w:tcPr>
            <w:tcW w:w="1732" w:type="dxa"/>
            <w:noWrap/>
            <w:vAlign w:val="bottom"/>
            <w:hideMark/>
          </w:tcPr>
          <w:p w14:paraId="6D62120E"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0C6413D4" w14:textId="77777777" w:rsidTr="00BB4F69">
        <w:trPr>
          <w:trHeight w:val="300"/>
          <w:jc w:val="center"/>
        </w:trPr>
        <w:tc>
          <w:tcPr>
            <w:tcW w:w="4500" w:type="dxa"/>
            <w:noWrap/>
            <w:vAlign w:val="bottom"/>
            <w:hideMark/>
          </w:tcPr>
          <w:p w14:paraId="62245BC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SKALA KALLONIS LESVOU</w:t>
            </w:r>
          </w:p>
        </w:tc>
        <w:tc>
          <w:tcPr>
            <w:tcW w:w="1732" w:type="dxa"/>
            <w:noWrap/>
            <w:vAlign w:val="bottom"/>
            <w:hideMark/>
          </w:tcPr>
          <w:p w14:paraId="27E1617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919BED8" w14:textId="77777777" w:rsidTr="00BB4F69">
        <w:trPr>
          <w:trHeight w:val="300"/>
          <w:jc w:val="center"/>
        </w:trPr>
        <w:tc>
          <w:tcPr>
            <w:tcW w:w="4500" w:type="dxa"/>
            <w:noWrap/>
            <w:vAlign w:val="bottom"/>
            <w:hideMark/>
          </w:tcPr>
          <w:p w14:paraId="7659757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SKALA KAMEIROU RODOS</w:t>
            </w:r>
          </w:p>
        </w:tc>
        <w:tc>
          <w:tcPr>
            <w:tcW w:w="1732" w:type="dxa"/>
            <w:noWrap/>
            <w:vAlign w:val="bottom"/>
            <w:hideMark/>
          </w:tcPr>
          <w:p w14:paraId="60FB708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5634C871" w14:textId="77777777" w:rsidTr="00BB4F69">
        <w:trPr>
          <w:trHeight w:val="300"/>
          <w:jc w:val="center"/>
        </w:trPr>
        <w:tc>
          <w:tcPr>
            <w:tcW w:w="4500" w:type="dxa"/>
            <w:noWrap/>
            <w:vAlign w:val="bottom"/>
            <w:hideMark/>
          </w:tcPr>
          <w:p w14:paraId="5BBB3457" w14:textId="77777777" w:rsidR="00DF358A" w:rsidRPr="004E13E9" w:rsidRDefault="00DF358A" w:rsidP="00BB4F69">
            <w:pPr>
              <w:rPr>
                <w:sz w:val="18"/>
                <w:szCs w:val="18"/>
                <w:lang w:val="en-GB"/>
              </w:rPr>
            </w:pPr>
            <w:r w:rsidRPr="004E13E9">
              <w:rPr>
                <w:sz w:val="18"/>
                <w:szCs w:val="18"/>
                <w:lang w:val="en-GB"/>
              </w:rPr>
              <w:t xml:space="preserve">SKALA POLICHNITOU </w:t>
            </w:r>
            <w:r w:rsidRPr="004E13E9">
              <w:rPr>
                <w:rFonts w:eastAsia="Times New Roman"/>
                <w:sz w:val="18"/>
                <w:szCs w:val="18"/>
                <w:lang w:val="en-GB" w:eastAsia="en-GB"/>
              </w:rPr>
              <w:t>LESVOU</w:t>
            </w:r>
          </w:p>
        </w:tc>
        <w:tc>
          <w:tcPr>
            <w:tcW w:w="1732" w:type="dxa"/>
            <w:noWrap/>
            <w:vAlign w:val="bottom"/>
            <w:hideMark/>
          </w:tcPr>
          <w:p w14:paraId="37D3DF92"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1707E596" w14:textId="77777777" w:rsidTr="00BB4F69">
        <w:trPr>
          <w:trHeight w:val="300"/>
          <w:jc w:val="center"/>
        </w:trPr>
        <w:tc>
          <w:tcPr>
            <w:tcW w:w="4500" w:type="dxa"/>
            <w:noWrap/>
            <w:vAlign w:val="bottom"/>
            <w:hideMark/>
          </w:tcPr>
          <w:p w14:paraId="41FA802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SKALA SYKAMINEAS LESVOU</w:t>
            </w:r>
          </w:p>
        </w:tc>
        <w:tc>
          <w:tcPr>
            <w:tcW w:w="1732" w:type="dxa"/>
            <w:noWrap/>
            <w:vAlign w:val="bottom"/>
            <w:hideMark/>
          </w:tcPr>
          <w:p w14:paraId="4214121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D933900" w14:textId="77777777" w:rsidTr="00BB4F69">
        <w:trPr>
          <w:trHeight w:val="300"/>
          <w:jc w:val="center"/>
        </w:trPr>
        <w:tc>
          <w:tcPr>
            <w:tcW w:w="4500" w:type="dxa"/>
            <w:noWrap/>
            <w:vAlign w:val="bottom"/>
            <w:hideMark/>
          </w:tcPr>
          <w:p w14:paraId="24FF796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SKIATHOS </w:t>
            </w:r>
          </w:p>
        </w:tc>
        <w:tc>
          <w:tcPr>
            <w:tcW w:w="1732" w:type="dxa"/>
            <w:noWrap/>
            <w:vAlign w:val="bottom"/>
            <w:hideMark/>
          </w:tcPr>
          <w:p w14:paraId="77E1D41C"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5DA4165A" w14:textId="77777777" w:rsidTr="00BB4F69">
        <w:trPr>
          <w:trHeight w:val="300"/>
          <w:jc w:val="center"/>
        </w:trPr>
        <w:tc>
          <w:tcPr>
            <w:tcW w:w="4500" w:type="dxa"/>
            <w:noWrap/>
            <w:vAlign w:val="bottom"/>
            <w:hideMark/>
          </w:tcPr>
          <w:p w14:paraId="03FE6E2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SKYROS </w:t>
            </w:r>
          </w:p>
        </w:tc>
        <w:tc>
          <w:tcPr>
            <w:tcW w:w="1732" w:type="dxa"/>
            <w:noWrap/>
            <w:vAlign w:val="bottom"/>
            <w:hideMark/>
          </w:tcPr>
          <w:p w14:paraId="52D5582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5FE422EA" w14:textId="77777777" w:rsidTr="00BB4F69">
        <w:trPr>
          <w:trHeight w:val="300"/>
          <w:jc w:val="center"/>
        </w:trPr>
        <w:tc>
          <w:tcPr>
            <w:tcW w:w="4500" w:type="dxa"/>
            <w:noWrap/>
            <w:vAlign w:val="bottom"/>
            <w:hideMark/>
          </w:tcPr>
          <w:p w14:paraId="7AFA6564" w14:textId="77777777" w:rsidR="00DF358A" w:rsidRPr="004E13E9" w:rsidRDefault="00DF358A" w:rsidP="00BB4F69">
            <w:pPr>
              <w:rPr>
                <w:sz w:val="18"/>
                <w:szCs w:val="18"/>
                <w:lang w:val="en-GB"/>
              </w:rPr>
            </w:pPr>
            <w:r w:rsidRPr="004E13E9">
              <w:rPr>
                <w:sz w:val="18"/>
                <w:szCs w:val="18"/>
                <w:lang w:val="en-GB"/>
              </w:rPr>
              <w:t xml:space="preserve">SOUDA </w:t>
            </w:r>
          </w:p>
        </w:tc>
        <w:tc>
          <w:tcPr>
            <w:tcW w:w="1732" w:type="dxa"/>
            <w:noWrap/>
            <w:vAlign w:val="bottom"/>
            <w:hideMark/>
          </w:tcPr>
          <w:p w14:paraId="7310A057"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5EC25BE1" w14:textId="77777777" w:rsidTr="00BB4F69">
        <w:trPr>
          <w:trHeight w:val="300"/>
          <w:jc w:val="center"/>
        </w:trPr>
        <w:tc>
          <w:tcPr>
            <w:tcW w:w="4500" w:type="dxa"/>
            <w:noWrap/>
            <w:vAlign w:val="bottom"/>
            <w:hideMark/>
          </w:tcPr>
          <w:p w14:paraId="4E1C47D8" w14:textId="77777777" w:rsidR="00DF358A" w:rsidRPr="004E13E9" w:rsidRDefault="00DF358A" w:rsidP="00BB4F69">
            <w:pPr>
              <w:rPr>
                <w:sz w:val="18"/>
                <w:szCs w:val="18"/>
                <w:lang w:val="en-GB"/>
              </w:rPr>
            </w:pPr>
            <w:r w:rsidRPr="004E13E9">
              <w:rPr>
                <w:sz w:val="18"/>
                <w:szCs w:val="18"/>
                <w:lang w:val="en-GB"/>
              </w:rPr>
              <w:t xml:space="preserve">STAVROS </w:t>
            </w:r>
            <w:r w:rsidRPr="004E13E9">
              <w:rPr>
                <w:rFonts w:eastAsia="Times New Roman"/>
                <w:sz w:val="18"/>
                <w:szCs w:val="18"/>
                <w:lang w:val="en-GB" w:eastAsia="en-GB"/>
              </w:rPr>
              <w:t>THESSALONIKIS</w:t>
            </w:r>
          </w:p>
        </w:tc>
        <w:tc>
          <w:tcPr>
            <w:tcW w:w="1732" w:type="dxa"/>
            <w:noWrap/>
            <w:vAlign w:val="bottom"/>
            <w:hideMark/>
          </w:tcPr>
          <w:p w14:paraId="2DFD0555"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248F8229" w14:textId="77777777" w:rsidTr="00BB4F69">
        <w:trPr>
          <w:trHeight w:val="300"/>
          <w:jc w:val="center"/>
        </w:trPr>
        <w:tc>
          <w:tcPr>
            <w:tcW w:w="4500" w:type="dxa"/>
            <w:noWrap/>
            <w:vAlign w:val="bottom"/>
            <w:hideMark/>
          </w:tcPr>
          <w:p w14:paraId="614BA3F3" w14:textId="77777777" w:rsidR="00DF358A" w:rsidRPr="004E13E9" w:rsidRDefault="00DF358A" w:rsidP="00BB4F69">
            <w:pPr>
              <w:rPr>
                <w:sz w:val="18"/>
                <w:szCs w:val="18"/>
                <w:lang w:val="en-GB"/>
              </w:rPr>
            </w:pPr>
            <w:r w:rsidRPr="004E13E9">
              <w:rPr>
                <w:sz w:val="18"/>
                <w:szCs w:val="18"/>
                <w:lang w:val="en-GB"/>
              </w:rPr>
              <w:t xml:space="preserve">STOMIO </w:t>
            </w:r>
            <w:r w:rsidRPr="004E13E9">
              <w:rPr>
                <w:rFonts w:eastAsia="Times New Roman"/>
                <w:sz w:val="18"/>
                <w:szCs w:val="18"/>
                <w:lang w:val="en-GB" w:eastAsia="en-GB"/>
              </w:rPr>
              <w:t>LARISAS</w:t>
            </w:r>
          </w:p>
        </w:tc>
        <w:tc>
          <w:tcPr>
            <w:tcW w:w="1732" w:type="dxa"/>
            <w:noWrap/>
            <w:vAlign w:val="bottom"/>
            <w:hideMark/>
          </w:tcPr>
          <w:p w14:paraId="2DDD799F"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6CDE10CF" w14:textId="77777777" w:rsidTr="00BB4F69">
        <w:trPr>
          <w:trHeight w:val="300"/>
          <w:jc w:val="center"/>
        </w:trPr>
        <w:tc>
          <w:tcPr>
            <w:tcW w:w="4500" w:type="dxa"/>
            <w:noWrap/>
            <w:vAlign w:val="bottom"/>
            <w:hideMark/>
          </w:tcPr>
          <w:p w14:paraId="3081179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STYLIDA </w:t>
            </w:r>
          </w:p>
        </w:tc>
        <w:tc>
          <w:tcPr>
            <w:tcW w:w="1732" w:type="dxa"/>
            <w:noWrap/>
            <w:vAlign w:val="bottom"/>
            <w:hideMark/>
          </w:tcPr>
          <w:p w14:paraId="6373CF2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5E5C625" w14:textId="77777777" w:rsidTr="00BB4F69">
        <w:trPr>
          <w:trHeight w:val="300"/>
          <w:jc w:val="center"/>
        </w:trPr>
        <w:tc>
          <w:tcPr>
            <w:tcW w:w="4500" w:type="dxa"/>
            <w:noWrap/>
            <w:vAlign w:val="bottom"/>
            <w:hideMark/>
          </w:tcPr>
          <w:p w14:paraId="1E37BDA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SYMI </w:t>
            </w:r>
          </w:p>
        </w:tc>
        <w:tc>
          <w:tcPr>
            <w:tcW w:w="1732" w:type="dxa"/>
            <w:noWrap/>
            <w:vAlign w:val="bottom"/>
            <w:hideMark/>
          </w:tcPr>
          <w:p w14:paraId="5B736B3C"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7169DEA0" w14:textId="77777777" w:rsidTr="00BB4F69">
        <w:trPr>
          <w:trHeight w:val="300"/>
          <w:jc w:val="center"/>
        </w:trPr>
        <w:tc>
          <w:tcPr>
            <w:tcW w:w="4500" w:type="dxa"/>
            <w:noWrap/>
            <w:vAlign w:val="bottom"/>
            <w:hideMark/>
          </w:tcPr>
          <w:p w14:paraId="0AEF621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SYVOTA LEFKADAS</w:t>
            </w:r>
          </w:p>
        </w:tc>
        <w:tc>
          <w:tcPr>
            <w:tcW w:w="1732" w:type="dxa"/>
            <w:noWrap/>
            <w:vAlign w:val="bottom"/>
            <w:hideMark/>
          </w:tcPr>
          <w:p w14:paraId="1C93E94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6C06561" w14:textId="77777777" w:rsidTr="00BB4F69">
        <w:trPr>
          <w:trHeight w:val="300"/>
          <w:jc w:val="center"/>
        </w:trPr>
        <w:tc>
          <w:tcPr>
            <w:tcW w:w="4500" w:type="dxa"/>
            <w:noWrap/>
            <w:vAlign w:val="bottom"/>
            <w:hideMark/>
          </w:tcPr>
          <w:p w14:paraId="058E8E0C" w14:textId="77777777" w:rsidR="00DF358A" w:rsidRPr="004E13E9" w:rsidRDefault="00DF358A" w:rsidP="00BB4F69">
            <w:pPr>
              <w:rPr>
                <w:sz w:val="18"/>
                <w:szCs w:val="18"/>
                <w:lang w:val="en-GB"/>
              </w:rPr>
            </w:pPr>
            <w:r w:rsidRPr="004E13E9">
              <w:rPr>
                <w:sz w:val="18"/>
                <w:szCs w:val="18"/>
                <w:lang w:val="en-GB"/>
              </w:rPr>
              <w:t xml:space="preserve">THASOS </w:t>
            </w:r>
          </w:p>
        </w:tc>
        <w:tc>
          <w:tcPr>
            <w:tcW w:w="1732" w:type="dxa"/>
            <w:noWrap/>
            <w:vAlign w:val="bottom"/>
            <w:hideMark/>
          </w:tcPr>
          <w:p w14:paraId="48EC27D1"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126524F9" w14:textId="77777777" w:rsidTr="00BB4F69">
        <w:trPr>
          <w:trHeight w:val="300"/>
          <w:jc w:val="center"/>
        </w:trPr>
        <w:tc>
          <w:tcPr>
            <w:tcW w:w="4500" w:type="dxa"/>
            <w:noWrap/>
            <w:vAlign w:val="bottom"/>
            <w:hideMark/>
          </w:tcPr>
          <w:p w14:paraId="3DFDF5A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TINOS </w:t>
            </w:r>
          </w:p>
        </w:tc>
        <w:tc>
          <w:tcPr>
            <w:tcW w:w="1732" w:type="dxa"/>
            <w:noWrap/>
            <w:vAlign w:val="bottom"/>
            <w:hideMark/>
          </w:tcPr>
          <w:p w14:paraId="52C6097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3FBD1F81" w14:textId="77777777" w:rsidTr="00BB4F69">
        <w:trPr>
          <w:trHeight w:val="300"/>
          <w:jc w:val="center"/>
        </w:trPr>
        <w:tc>
          <w:tcPr>
            <w:tcW w:w="4500" w:type="dxa"/>
            <w:noWrap/>
            <w:vAlign w:val="bottom"/>
            <w:hideMark/>
          </w:tcPr>
          <w:p w14:paraId="4D480DA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TOLO ARGOLIDAS</w:t>
            </w:r>
          </w:p>
        </w:tc>
        <w:tc>
          <w:tcPr>
            <w:tcW w:w="1732" w:type="dxa"/>
            <w:noWrap/>
            <w:vAlign w:val="bottom"/>
            <w:hideMark/>
          </w:tcPr>
          <w:p w14:paraId="60412F36"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0F65D316" w14:textId="77777777" w:rsidTr="00BB4F69">
        <w:trPr>
          <w:trHeight w:val="300"/>
          <w:jc w:val="center"/>
        </w:trPr>
        <w:tc>
          <w:tcPr>
            <w:tcW w:w="4500" w:type="dxa"/>
            <w:noWrap/>
            <w:vAlign w:val="bottom"/>
            <w:hideMark/>
          </w:tcPr>
          <w:p w14:paraId="556E7F7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TRYPITI CHALKIDIKIS</w:t>
            </w:r>
          </w:p>
        </w:tc>
        <w:tc>
          <w:tcPr>
            <w:tcW w:w="1732" w:type="dxa"/>
            <w:noWrap/>
            <w:vAlign w:val="bottom"/>
            <w:hideMark/>
          </w:tcPr>
          <w:p w14:paraId="0B1DC045"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5F37F6F" w14:textId="77777777" w:rsidTr="00BB4F69">
        <w:trPr>
          <w:trHeight w:val="300"/>
          <w:jc w:val="center"/>
        </w:trPr>
        <w:tc>
          <w:tcPr>
            <w:tcW w:w="4500" w:type="dxa"/>
            <w:noWrap/>
            <w:vAlign w:val="bottom"/>
            <w:hideMark/>
          </w:tcPr>
          <w:p w14:paraId="505FB96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VARKIZA </w:t>
            </w:r>
          </w:p>
        </w:tc>
        <w:tc>
          <w:tcPr>
            <w:tcW w:w="1732" w:type="dxa"/>
            <w:noWrap/>
            <w:vAlign w:val="bottom"/>
            <w:hideMark/>
          </w:tcPr>
          <w:p w14:paraId="03595A8D"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EC9516E" w14:textId="77777777" w:rsidTr="00BB4F69">
        <w:trPr>
          <w:trHeight w:val="300"/>
          <w:jc w:val="center"/>
        </w:trPr>
        <w:tc>
          <w:tcPr>
            <w:tcW w:w="4500" w:type="dxa"/>
            <w:noWrap/>
            <w:vAlign w:val="bottom"/>
            <w:hideMark/>
          </w:tcPr>
          <w:p w14:paraId="396C7F3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VASILIKI LEFKADAS</w:t>
            </w:r>
          </w:p>
        </w:tc>
        <w:tc>
          <w:tcPr>
            <w:tcW w:w="1732" w:type="dxa"/>
            <w:noWrap/>
            <w:vAlign w:val="bottom"/>
            <w:hideMark/>
          </w:tcPr>
          <w:p w14:paraId="125A570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A2ED0D2" w14:textId="77777777" w:rsidTr="00BB4F69">
        <w:trPr>
          <w:trHeight w:val="300"/>
          <w:jc w:val="center"/>
        </w:trPr>
        <w:tc>
          <w:tcPr>
            <w:tcW w:w="4500" w:type="dxa"/>
            <w:noWrap/>
            <w:vAlign w:val="bottom"/>
            <w:hideMark/>
          </w:tcPr>
          <w:p w14:paraId="7C45B10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VATHY ITHAKIS </w:t>
            </w:r>
          </w:p>
        </w:tc>
        <w:tc>
          <w:tcPr>
            <w:tcW w:w="1732" w:type="dxa"/>
            <w:noWrap/>
            <w:vAlign w:val="bottom"/>
            <w:hideMark/>
          </w:tcPr>
          <w:p w14:paraId="18A5C2CC"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5F6382B" w14:textId="77777777" w:rsidTr="00BB4F69">
        <w:trPr>
          <w:trHeight w:val="300"/>
          <w:jc w:val="center"/>
        </w:trPr>
        <w:tc>
          <w:tcPr>
            <w:tcW w:w="4500" w:type="dxa"/>
            <w:noWrap/>
            <w:vAlign w:val="bottom"/>
            <w:hideMark/>
          </w:tcPr>
          <w:p w14:paraId="610DD16B" w14:textId="77777777" w:rsidR="00DF358A" w:rsidRPr="004E13E9" w:rsidRDefault="00DF358A" w:rsidP="00BB4F69">
            <w:pPr>
              <w:rPr>
                <w:sz w:val="18"/>
                <w:szCs w:val="18"/>
                <w:lang w:val="en-GB"/>
              </w:rPr>
            </w:pPr>
            <w:r w:rsidRPr="004E13E9">
              <w:rPr>
                <w:sz w:val="18"/>
                <w:szCs w:val="18"/>
                <w:lang w:val="en-GB"/>
              </w:rPr>
              <w:t xml:space="preserve">VLYCHADA </w:t>
            </w:r>
            <w:r w:rsidRPr="004E13E9">
              <w:rPr>
                <w:rFonts w:eastAsia="Times New Roman"/>
                <w:sz w:val="18"/>
                <w:szCs w:val="18"/>
                <w:lang w:val="en-GB" w:eastAsia="en-GB"/>
              </w:rPr>
              <w:t>THIRAS</w:t>
            </w:r>
          </w:p>
        </w:tc>
        <w:tc>
          <w:tcPr>
            <w:tcW w:w="1732" w:type="dxa"/>
            <w:noWrap/>
            <w:vAlign w:val="bottom"/>
            <w:hideMark/>
          </w:tcPr>
          <w:p w14:paraId="6A27DA7F"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6BA0416B" w14:textId="77777777" w:rsidTr="00BB4F69">
        <w:trPr>
          <w:trHeight w:val="300"/>
          <w:jc w:val="center"/>
        </w:trPr>
        <w:tc>
          <w:tcPr>
            <w:tcW w:w="4500" w:type="dxa"/>
            <w:noWrap/>
            <w:vAlign w:val="bottom"/>
            <w:hideMark/>
          </w:tcPr>
          <w:p w14:paraId="21D59108"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VLYCHOS LEFKADAS</w:t>
            </w:r>
          </w:p>
        </w:tc>
        <w:tc>
          <w:tcPr>
            <w:tcW w:w="1732" w:type="dxa"/>
            <w:noWrap/>
            <w:vAlign w:val="bottom"/>
            <w:hideMark/>
          </w:tcPr>
          <w:p w14:paraId="1929975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2246615" w14:textId="77777777" w:rsidTr="00BB4F69">
        <w:trPr>
          <w:trHeight w:val="300"/>
          <w:jc w:val="center"/>
        </w:trPr>
        <w:tc>
          <w:tcPr>
            <w:tcW w:w="4500" w:type="dxa"/>
            <w:noWrap/>
            <w:vAlign w:val="bottom"/>
            <w:hideMark/>
          </w:tcPr>
          <w:p w14:paraId="7DFA8B05" w14:textId="77777777" w:rsidR="00DF358A" w:rsidRPr="004E13E9" w:rsidRDefault="00DF358A" w:rsidP="00BB4F69">
            <w:pPr>
              <w:rPr>
                <w:sz w:val="18"/>
                <w:szCs w:val="18"/>
                <w:lang w:val="en-GB"/>
              </w:rPr>
            </w:pPr>
            <w:r w:rsidRPr="004E13E9">
              <w:rPr>
                <w:sz w:val="18"/>
                <w:szCs w:val="18"/>
                <w:lang w:val="en-GB"/>
              </w:rPr>
              <w:t>VOLAKAS</w:t>
            </w:r>
            <w:r w:rsidRPr="004E13E9">
              <w:rPr>
                <w:rFonts w:eastAsia="Times New Roman"/>
                <w:sz w:val="18"/>
                <w:szCs w:val="18"/>
                <w:lang w:val="en-GB" w:eastAsia="en-GB"/>
              </w:rPr>
              <w:t xml:space="preserve"> NAXOU</w:t>
            </w:r>
          </w:p>
        </w:tc>
        <w:tc>
          <w:tcPr>
            <w:tcW w:w="1732" w:type="dxa"/>
            <w:noWrap/>
            <w:vAlign w:val="bottom"/>
            <w:hideMark/>
          </w:tcPr>
          <w:p w14:paraId="0FB4476A"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3CA14E50" w14:textId="77777777" w:rsidTr="00BB4F69">
        <w:trPr>
          <w:trHeight w:val="300"/>
          <w:jc w:val="center"/>
        </w:trPr>
        <w:tc>
          <w:tcPr>
            <w:tcW w:w="4500" w:type="dxa"/>
            <w:noWrap/>
            <w:vAlign w:val="bottom"/>
            <w:hideMark/>
          </w:tcPr>
          <w:p w14:paraId="196CEC6D" w14:textId="77777777" w:rsidR="00DF358A" w:rsidRPr="004E13E9" w:rsidRDefault="00DF358A" w:rsidP="00BB4F69">
            <w:pPr>
              <w:rPr>
                <w:sz w:val="18"/>
                <w:szCs w:val="18"/>
                <w:lang w:val="en-GB"/>
              </w:rPr>
            </w:pPr>
            <w:r w:rsidRPr="004E13E9">
              <w:rPr>
                <w:sz w:val="18"/>
                <w:szCs w:val="18"/>
                <w:lang w:val="en-GB"/>
              </w:rPr>
              <w:t xml:space="preserve">VOLOS </w:t>
            </w:r>
          </w:p>
        </w:tc>
        <w:tc>
          <w:tcPr>
            <w:tcW w:w="1732" w:type="dxa"/>
            <w:noWrap/>
            <w:vAlign w:val="bottom"/>
            <w:hideMark/>
          </w:tcPr>
          <w:p w14:paraId="02B6DF4D"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680EC3A7" w14:textId="77777777" w:rsidTr="00BB4F69">
        <w:trPr>
          <w:trHeight w:val="300"/>
          <w:jc w:val="center"/>
        </w:trPr>
        <w:tc>
          <w:tcPr>
            <w:tcW w:w="4500" w:type="dxa"/>
            <w:noWrap/>
            <w:vAlign w:val="bottom"/>
            <w:hideMark/>
          </w:tcPr>
          <w:p w14:paraId="1346158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VONITSA </w:t>
            </w:r>
          </w:p>
        </w:tc>
        <w:tc>
          <w:tcPr>
            <w:tcW w:w="1732" w:type="dxa"/>
            <w:noWrap/>
            <w:vAlign w:val="bottom"/>
            <w:hideMark/>
          </w:tcPr>
          <w:p w14:paraId="02B4AAF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24025EA2" w14:textId="77777777" w:rsidTr="00BB4F69">
        <w:trPr>
          <w:trHeight w:val="300"/>
          <w:jc w:val="center"/>
        </w:trPr>
        <w:tc>
          <w:tcPr>
            <w:tcW w:w="4500" w:type="dxa"/>
            <w:noWrap/>
            <w:vAlign w:val="bottom"/>
            <w:hideMark/>
          </w:tcPr>
          <w:p w14:paraId="1974D14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 xml:space="preserve">XYLOKASTRO </w:t>
            </w:r>
          </w:p>
        </w:tc>
        <w:tc>
          <w:tcPr>
            <w:tcW w:w="1732" w:type="dxa"/>
            <w:noWrap/>
            <w:vAlign w:val="bottom"/>
            <w:hideMark/>
          </w:tcPr>
          <w:p w14:paraId="318DB26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EU-Greece</w:t>
            </w:r>
          </w:p>
        </w:tc>
      </w:tr>
      <w:tr w:rsidR="00DF358A" w:rsidRPr="004E13E9" w14:paraId="1DD57E75" w14:textId="77777777" w:rsidTr="00BB4F69">
        <w:trPr>
          <w:trHeight w:val="300"/>
          <w:jc w:val="center"/>
        </w:trPr>
        <w:tc>
          <w:tcPr>
            <w:tcW w:w="4500" w:type="dxa"/>
            <w:noWrap/>
            <w:vAlign w:val="bottom"/>
            <w:hideMark/>
          </w:tcPr>
          <w:p w14:paraId="09F52354" w14:textId="77777777" w:rsidR="00DF358A" w:rsidRPr="004E13E9" w:rsidRDefault="00DF358A" w:rsidP="00BB4F69">
            <w:pPr>
              <w:rPr>
                <w:sz w:val="18"/>
                <w:szCs w:val="18"/>
                <w:lang w:val="en-GB"/>
              </w:rPr>
            </w:pPr>
            <w:r w:rsidRPr="004E13E9">
              <w:rPr>
                <w:sz w:val="18"/>
                <w:szCs w:val="18"/>
                <w:lang w:val="en-GB"/>
              </w:rPr>
              <w:t xml:space="preserve">ZAKYNTHOS </w:t>
            </w:r>
          </w:p>
        </w:tc>
        <w:tc>
          <w:tcPr>
            <w:tcW w:w="1732" w:type="dxa"/>
            <w:noWrap/>
            <w:vAlign w:val="bottom"/>
            <w:hideMark/>
          </w:tcPr>
          <w:p w14:paraId="1C590304" w14:textId="77777777" w:rsidR="00DF358A" w:rsidRPr="004E13E9" w:rsidRDefault="00DF358A" w:rsidP="00BB4F69">
            <w:pPr>
              <w:rPr>
                <w:sz w:val="18"/>
                <w:szCs w:val="18"/>
                <w:lang w:val="en-GB"/>
              </w:rPr>
            </w:pPr>
            <w:r w:rsidRPr="004E13E9">
              <w:rPr>
                <w:sz w:val="18"/>
                <w:szCs w:val="18"/>
                <w:lang w:val="en-GB"/>
              </w:rPr>
              <w:t>EU-Greece</w:t>
            </w:r>
          </w:p>
        </w:tc>
      </w:tr>
      <w:tr w:rsidR="00DF358A" w:rsidRPr="004E13E9" w14:paraId="361B0707" w14:textId="77777777" w:rsidTr="00BB4F69">
        <w:trPr>
          <w:trHeight w:val="300"/>
          <w:jc w:val="center"/>
        </w:trPr>
        <w:tc>
          <w:tcPr>
            <w:tcW w:w="4500" w:type="dxa"/>
            <w:noWrap/>
            <w:vAlign w:val="bottom"/>
            <w:hideMark/>
          </w:tcPr>
          <w:p w14:paraId="2261055B" w14:textId="77777777" w:rsidR="00DF358A" w:rsidRPr="004E13E9" w:rsidRDefault="00DF358A" w:rsidP="00BB4F69">
            <w:pPr>
              <w:rPr>
                <w:sz w:val="18"/>
                <w:szCs w:val="18"/>
                <w:lang w:val="en-GB"/>
              </w:rPr>
            </w:pPr>
            <w:r w:rsidRPr="004E13E9">
              <w:rPr>
                <w:sz w:val="18"/>
                <w:szCs w:val="18"/>
                <w:lang w:val="en-GB"/>
              </w:rPr>
              <w:t>AN DAINGEAN, CO. KERRY</w:t>
            </w:r>
          </w:p>
        </w:tc>
        <w:tc>
          <w:tcPr>
            <w:tcW w:w="1732" w:type="dxa"/>
            <w:noWrap/>
            <w:vAlign w:val="bottom"/>
            <w:hideMark/>
          </w:tcPr>
          <w:p w14:paraId="7F172608" w14:textId="77777777" w:rsidR="00DF358A" w:rsidRPr="004E13E9" w:rsidRDefault="00DF358A" w:rsidP="00BB4F69">
            <w:pPr>
              <w:rPr>
                <w:sz w:val="18"/>
                <w:szCs w:val="18"/>
                <w:lang w:val="en-GB"/>
              </w:rPr>
            </w:pPr>
            <w:r w:rsidRPr="004E13E9">
              <w:rPr>
                <w:sz w:val="18"/>
                <w:szCs w:val="18"/>
                <w:lang w:val="en-GB"/>
              </w:rPr>
              <w:t>EU-Ireland</w:t>
            </w:r>
          </w:p>
        </w:tc>
      </w:tr>
      <w:tr w:rsidR="00DF358A" w:rsidRPr="004E13E9" w14:paraId="18BFB4F3" w14:textId="77777777" w:rsidTr="00BB4F69">
        <w:trPr>
          <w:trHeight w:val="300"/>
          <w:jc w:val="center"/>
        </w:trPr>
        <w:tc>
          <w:tcPr>
            <w:tcW w:w="4500" w:type="dxa"/>
            <w:noWrap/>
            <w:vAlign w:val="bottom"/>
            <w:hideMark/>
          </w:tcPr>
          <w:p w14:paraId="45E976C7" w14:textId="77777777" w:rsidR="00DF358A" w:rsidRPr="004E13E9" w:rsidRDefault="00DF358A" w:rsidP="00BB4F69">
            <w:pPr>
              <w:rPr>
                <w:sz w:val="18"/>
                <w:szCs w:val="18"/>
                <w:lang w:val="en-GB"/>
              </w:rPr>
            </w:pPr>
            <w:r w:rsidRPr="004E13E9">
              <w:rPr>
                <w:sz w:val="18"/>
                <w:szCs w:val="18"/>
                <w:lang w:val="en-GB"/>
              </w:rPr>
              <w:t>BALTIMORE, CO. CORK</w:t>
            </w:r>
          </w:p>
        </w:tc>
        <w:tc>
          <w:tcPr>
            <w:tcW w:w="1732" w:type="dxa"/>
            <w:noWrap/>
            <w:vAlign w:val="bottom"/>
            <w:hideMark/>
          </w:tcPr>
          <w:p w14:paraId="287E84F7" w14:textId="77777777" w:rsidR="00DF358A" w:rsidRPr="004E13E9" w:rsidRDefault="00DF358A" w:rsidP="00BB4F69">
            <w:pPr>
              <w:rPr>
                <w:sz w:val="18"/>
                <w:szCs w:val="18"/>
                <w:lang w:val="en-GB"/>
              </w:rPr>
            </w:pPr>
            <w:r w:rsidRPr="004E13E9">
              <w:rPr>
                <w:sz w:val="18"/>
                <w:szCs w:val="18"/>
                <w:lang w:val="en-GB"/>
              </w:rPr>
              <w:t>EU-Ireland</w:t>
            </w:r>
          </w:p>
        </w:tc>
      </w:tr>
      <w:tr w:rsidR="00DF358A" w:rsidRPr="004E13E9" w14:paraId="551CB5FE" w14:textId="77777777" w:rsidTr="00BB4F69">
        <w:trPr>
          <w:trHeight w:val="300"/>
          <w:jc w:val="center"/>
        </w:trPr>
        <w:tc>
          <w:tcPr>
            <w:tcW w:w="4500" w:type="dxa"/>
            <w:noWrap/>
            <w:vAlign w:val="bottom"/>
            <w:hideMark/>
          </w:tcPr>
          <w:p w14:paraId="0D8D911E" w14:textId="77777777" w:rsidR="00DF358A" w:rsidRPr="004E13E9" w:rsidRDefault="00DF358A" w:rsidP="00BB4F69">
            <w:pPr>
              <w:rPr>
                <w:sz w:val="18"/>
                <w:szCs w:val="18"/>
                <w:lang w:val="en-GB"/>
              </w:rPr>
            </w:pPr>
            <w:r w:rsidRPr="004E13E9">
              <w:rPr>
                <w:sz w:val="18"/>
                <w:szCs w:val="18"/>
                <w:lang w:val="en-GB"/>
              </w:rPr>
              <w:t>CASTLETOWNBERE, CO. CORK</w:t>
            </w:r>
          </w:p>
        </w:tc>
        <w:tc>
          <w:tcPr>
            <w:tcW w:w="1732" w:type="dxa"/>
            <w:noWrap/>
            <w:vAlign w:val="bottom"/>
            <w:hideMark/>
          </w:tcPr>
          <w:p w14:paraId="0B04E047" w14:textId="77777777" w:rsidR="00DF358A" w:rsidRPr="004E13E9" w:rsidRDefault="00DF358A" w:rsidP="00BB4F69">
            <w:pPr>
              <w:rPr>
                <w:sz w:val="18"/>
                <w:szCs w:val="18"/>
                <w:lang w:val="en-GB"/>
              </w:rPr>
            </w:pPr>
            <w:r w:rsidRPr="004E13E9">
              <w:rPr>
                <w:sz w:val="18"/>
                <w:szCs w:val="18"/>
                <w:lang w:val="en-GB"/>
              </w:rPr>
              <w:t>EU-Ireland</w:t>
            </w:r>
          </w:p>
        </w:tc>
      </w:tr>
      <w:tr w:rsidR="00DF358A" w:rsidRPr="004E13E9" w14:paraId="00B86481" w14:textId="77777777" w:rsidTr="00BB4F69">
        <w:trPr>
          <w:trHeight w:val="300"/>
          <w:jc w:val="center"/>
        </w:trPr>
        <w:tc>
          <w:tcPr>
            <w:tcW w:w="4500" w:type="dxa"/>
            <w:noWrap/>
            <w:vAlign w:val="bottom"/>
            <w:hideMark/>
          </w:tcPr>
          <w:p w14:paraId="497EC5F0" w14:textId="77777777" w:rsidR="00DF358A" w:rsidRPr="004E13E9" w:rsidRDefault="00DF358A" w:rsidP="00BB4F69">
            <w:pPr>
              <w:rPr>
                <w:sz w:val="18"/>
                <w:szCs w:val="18"/>
                <w:lang w:val="en-GB"/>
              </w:rPr>
            </w:pPr>
            <w:r w:rsidRPr="004E13E9">
              <w:rPr>
                <w:sz w:val="18"/>
                <w:szCs w:val="18"/>
                <w:lang w:val="en-GB"/>
              </w:rPr>
              <w:t>CLOGHERHEAD, CO. LOUTH</w:t>
            </w:r>
          </w:p>
        </w:tc>
        <w:tc>
          <w:tcPr>
            <w:tcW w:w="1732" w:type="dxa"/>
            <w:noWrap/>
            <w:vAlign w:val="bottom"/>
            <w:hideMark/>
          </w:tcPr>
          <w:p w14:paraId="1F7C5AE9" w14:textId="77777777" w:rsidR="00DF358A" w:rsidRPr="004E13E9" w:rsidRDefault="00DF358A" w:rsidP="00BB4F69">
            <w:pPr>
              <w:rPr>
                <w:sz w:val="18"/>
                <w:szCs w:val="18"/>
                <w:lang w:val="en-GB"/>
              </w:rPr>
            </w:pPr>
            <w:r w:rsidRPr="004E13E9">
              <w:rPr>
                <w:sz w:val="18"/>
                <w:szCs w:val="18"/>
                <w:lang w:val="en-GB"/>
              </w:rPr>
              <w:t>EU-Ireland</w:t>
            </w:r>
          </w:p>
        </w:tc>
      </w:tr>
      <w:tr w:rsidR="00DF358A" w:rsidRPr="004E13E9" w14:paraId="570146D2" w14:textId="77777777" w:rsidTr="00BB4F69">
        <w:trPr>
          <w:trHeight w:val="300"/>
          <w:jc w:val="center"/>
        </w:trPr>
        <w:tc>
          <w:tcPr>
            <w:tcW w:w="4500" w:type="dxa"/>
            <w:noWrap/>
            <w:vAlign w:val="bottom"/>
            <w:hideMark/>
          </w:tcPr>
          <w:p w14:paraId="3CF463C2" w14:textId="77777777" w:rsidR="00DF358A" w:rsidRPr="004E13E9" w:rsidRDefault="00DF358A" w:rsidP="00BB4F69">
            <w:pPr>
              <w:rPr>
                <w:sz w:val="18"/>
                <w:szCs w:val="18"/>
                <w:lang w:val="en-GB"/>
              </w:rPr>
            </w:pPr>
            <w:r w:rsidRPr="004E13E9">
              <w:rPr>
                <w:sz w:val="18"/>
                <w:szCs w:val="18"/>
                <w:lang w:val="en-GB"/>
              </w:rPr>
              <w:t>DUNMORE EAST, CO. WATERFORD</w:t>
            </w:r>
          </w:p>
        </w:tc>
        <w:tc>
          <w:tcPr>
            <w:tcW w:w="1732" w:type="dxa"/>
            <w:noWrap/>
            <w:vAlign w:val="bottom"/>
            <w:hideMark/>
          </w:tcPr>
          <w:p w14:paraId="06A3DA7B" w14:textId="77777777" w:rsidR="00DF358A" w:rsidRPr="004E13E9" w:rsidRDefault="00DF358A" w:rsidP="00BB4F69">
            <w:pPr>
              <w:rPr>
                <w:sz w:val="18"/>
                <w:szCs w:val="18"/>
                <w:lang w:val="en-GB"/>
              </w:rPr>
            </w:pPr>
            <w:r w:rsidRPr="004E13E9">
              <w:rPr>
                <w:sz w:val="18"/>
                <w:szCs w:val="18"/>
                <w:lang w:val="en-GB"/>
              </w:rPr>
              <w:t>EU-Ireland</w:t>
            </w:r>
          </w:p>
        </w:tc>
      </w:tr>
      <w:tr w:rsidR="00DF358A" w:rsidRPr="004E13E9" w14:paraId="11AF2450" w14:textId="77777777" w:rsidTr="00BB4F69">
        <w:trPr>
          <w:trHeight w:val="300"/>
          <w:jc w:val="center"/>
        </w:trPr>
        <w:tc>
          <w:tcPr>
            <w:tcW w:w="4500" w:type="dxa"/>
            <w:noWrap/>
            <w:vAlign w:val="bottom"/>
            <w:hideMark/>
          </w:tcPr>
          <w:p w14:paraId="6706D196" w14:textId="77777777" w:rsidR="00DF358A" w:rsidRPr="004E13E9" w:rsidRDefault="00DF358A" w:rsidP="00BB4F69">
            <w:pPr>
              <w:rPr>
                <w:sz w:val="18"/>
                <w:szCs w:val="18"/>
                <w:lang w:val="en-GB"/>
              </w:rPr>
            </w:pPr>
            <w:r w:rsidRPr="004E13E9">
              <w:rPr>
                <w:sz w:val="18"/>
                <w:szCs w:val="18"/>
                <w:lang w:val="en-GB"/>
              </w:rPr>
              <w:t>HOWTH, CO. DUBLIN</w:t>
            </w:r>
          </w:p>
        </w:tc>
        <w:tc>
          <w:tcPr>
            <w:tcW w:w="1732" w:type="dxa"/>
            <w:noWrap/>
            <w:vAlign w:val="bottom"/>
            <w:hideMark/>
          </w:tcPr>
          <w:p w14:paraId="0BA34588" w14:textId="77777777" w:rsidR="00DF358A" w:rsidRPr="004E13E9" w:rsidRDefault="00DF358A" w:rsidP="00BB4F69">
            <w:pPr>
              <w:rPr>
                <w:sz w:val="18"/>
                <w:szCs w:val="18"/>
                <w:lang w:val="en-GB"/>
              </w:rPr>
            </w:pPr>
            <w:r w:rsidRPr="004E13E9">
              <w:rPr>
                <w:sz w:val="18"/>
                <w:szCs w:val="18"/>
                <w:lang w:val="en-GB"/>
              </w:rPr>
              <w:t>EU-Ireland</w:t>
            </w:r>
          </w:p>
        </w:tc>
      </w:tr>
      <w:tr w:rsidR="00DF358A" w:rsidRPr="004E13E9" w14:paraId="1034F4C2" w14:textId="77777777" w:rsidTr="00BB4F69">
        <w:trPr>
          <w:trHeight w:val="300"/>
          <w:jc w:val="center"/>
        </w:trPr>
        <w:tc>
          <w:tcPr>
            <w:tcW w:w="4500" w:type="dxa"/>
            <w:noWrap/>
            <w:vAlign w:val="bottom"/>
            <w:hideMark/>
          </w:tcPr>
          <w:p w14:paraId="0710C37E" w14:textId="77777777" w:rsidR="00DF358A" w:rsidRPr="004E13E9" w:rsidRDefault="00DF358A" w:rsidP="00BB4F69">
            <w:pPr>
              <w:rPr>
                <w:sz w:val="18"/>
                <w:szCs w:val="18"/>
                <w:lang w:val="en-GB"/>
              </w:rPr>
            </w:pPr>
            <w:r w:rsidRPr="004E13E9">
              <w:rPr>
                <w:sz w:val="18"/>
                <w:szCs w:val="18"/>
                <w:lang w:val="en-GB"/>
              </w:rPr>
              <w:t>KILLYBEGS, CO. DONEGAL</w:t>
            </w:r>
          </w:p>
        </w:tc>
        <w:tc>
          <w:tcPr>
            <w:tcW w:w="1732" w:type="dxa"/>
            <w:noWrap/>
            <w:vAlign w:val="bottom"/>
            <w:hideMark/>
          </w:tcPr>
          <w:p w14:paraId="2928759E" w14:textId="77777777" w:rsidR="00DF358A" w:rsidRPr="004E13E9" w:rsidRDefault="00DF358A" w:rsidP="00BB4F69">
            <w:pPr>
              <w:rPr>
                <w:sz w:val="18"/>
                <w:szCs w:val="18"/>
                <w:lang w:val="en-GB"/>
              </w:rPr>
            </w:pPr>
            <w:r w:rsidRPr="004E13E9">
              <w:rPr>
                <w:sz w:val="18"/>
                <w:szCs w:val="18"/>
                <w:lang w:val="en-GB"/>
              </w:rPr>
              <w:t>EU-Ireland</w:t>
            </w:r>
          </w:p>
        </w:tc>
      </w:tr>
      <w:tr w:rsidR="00DF358A" w:rsidRPr="004E13E9" w14:paraId="626B9812" w14:textId="77777777" w:rsidTr="00BB4F69">
        <w:trPr>
          <w:trHeight w:val="300"/>
          <w:jc w:val="center"/>
        </w:trPr>
        <w:tc>
          <w:tcPr>
            <w:tcW w:w="4500" w:type="dxa"/>
            <w:noWrap/>
            <w:vAlign w:val="bottom"/>
            <w:hideMark/>
          </w:tcPr>
          <w:p w14:paraId="5A9E7F75" w14:textId="77777777" w:rsidR="00DF358A" w:rsidRPr="004E13E9" w:rsidRDefault="00DF358A" w:rsidP="00BB4F69">
            <w:pPr>
              <w:rPr>
                <w:sz w:val="18"/>
                <w:szCs w:val="18"/>
                <w:lang w:val="en-GB"/>
              </w:rPr>
            </w:pPr>
            <w:r w:rsidRPr="004E13E9">
              <w:rPr>
                <w:sz w:val="18"/>
                <w:szCs w:val="18"/>
                <w:lang w:val="en-GB"/>
              </w:rPr>
              <w:t xml:space="preserve">PORT OF CORK, </w:t>
            </w:r>
            <w:proofErr w:type="gramStart"/>
            <w:r w:rsidRPr="004E13E9">
              <w:rPr>
                <w:rFonts w:eastAsia="Times New Roman"/>
                <w:sz w:val="18"/>
                <w:szCs w:val="18"/>
                <w:lang w:val="en-GB" w:eastAsia="en-GB"/>
              </w:rPr>
              <w:t>CO.</w:t>
            </w:r>
            <w:r w:rsidRPr="004E13E9">
              <w:rPr>
                <w:sz w:val="18"/>
                <w:szCs w:val="18"/>
                <w:lang w:val="en-GB"/>
              </w:rPr>
              <w:t>CORK</w:t>
            </w:r>
            <w:proofErr w:type="gramEnd"/>
          </w:p>
        </w:tc>
        <w:tc>
          <w:tcPr>
            <w:tcW w:w="1732" w:type="dxa"/>
            <w:noWrap/>
            <w:vAlign w:val="bottom"/>
            <w:hideMark/>
          </w:tcPr>
          <w:p w14:paraId="0D8C8233" w14:textId="77777777" w:rsidR="00DF358A" w:rsidRPr="004E13E9" w:rsidRDefault="00DF358A" w:rsidP="00BB4F69">
            <w:pPr>
              <w:rPr>
                <w:sz w:val="18"/>
                <w:szCs w:val="18"/>
                <w:lang w:val="en-GB"/>
              </w:rPr>
            </w:pPr>
            <w:r w:rsidRPr="004E13E9">
              <w:rPr>
                <w:sz w:val="18"/>
                <w:szCs w:val="18"/>
                <w:lang w:val="en-GB"/>
              </w:rPr>
              <w:t>EU-Ireland</w:t>
            </w:r>
          </w:p>
        </w:tc>
      </w:tr>
      <w:tr w:rsidR="00DF358A" w:rsidRPr="004E13E9" w14:paraId="3A503E0B" w14:textId="77777777" w:rsidTr="00BB4F69">
        <w:trPr>
          <w:trHeight w:val="300"/>
          <w:jc w:val="center"/>
        </w:trPr>
        <w:tc>
          <w:tcPr>
            <w:tcW w:w="4500" w:type="dxa"/>
            <w:noWrap/>
            <w:vAlign w:val="bottom"/>
            <w:hideMark/>
          </w:tcPr>
          <w:p w14:paraId="54B5D78F" w14:textId="77777777" w:rsidR="00DF358A" w:rsidRPr="004E13E9" w:rsidRDefault="00DF358A" w:rsidP="00BB4F69">
            <w:pPr>
              <w:rPr>
                <w:sz w:val="18"/>
                <w:szCs w:val="18"/>
                <w:lang w:val="en-GB"/>
              </w:rPr>
            </w:pPr>
            <w:r w:rsidRPr="004E13E9">
              <w:rPr>
                <w:sz w:val="18"/>
                <w:szCs w:val="18"/>
                <w:lang w:val="en-GB"/>
              </w:rPr>
              <w:t>ROS A MHIL, CO. GALWAY</w:t>
            </w:r>
          </w:p>
        </w:tc>
        <w:tc>
          <w:tcPr>
            <w:tcW w:w="1732" w:type="dxa"/>
            <w:noWrap/>
            <w:vAlign w:val="bottom"/>
            <w:hideMark/>
          </w:tcPr>
          <w:p w14:paraId="5F1B6DCD" w14:textId="77777777" w:rsidR="00DF358A" w:rsidRPr="004E13E9" w:rsidRDefault="00DF358A" w:rsidP="00BB4F69">
            <w:pPr>
              <w:rPr>
                <w:sz w:val="18"/>
                <w:szCs w:val="18"/>
                <w:lang w:val="en-GB"/>
              </w:rPr>
            </w:pPr>
            <w:r w:rsidRPr="004E13E9">
              <w:rPr>
                <w:sz w:val="18"/>
                <w:szCs w:val="18"/>
                <w:lang w:val="en-GB"/>
              </w:rPr>
              <w:t>EU-Ireland</w:t>
            </w:r>
          </w:p>
        </w:tc>
      </w:tr>
      <w:tr w:rsidR="00DF358A" w:rsidRPr="004E13E9" w14:paraId="470AE6DB" w14:textId="77777777" w:rsidTr="00BB4F69">
        <w:trPr>
          <w:trHeight w:val="300"/>
          <w:jc w:val="center"/>
        </w:trPr>
        <w:tc>
          <w:tcPr>
            <w:tcW w:w="4500" w:type="dxa"/>
            <w:noWrap/>
            <w:vAlign w:val="bottom"/>
            <w:hideMark/>
          </w:tcPr>
          <w:p w14:paraId="33690D67" w14:textId="77777777" w:rsidR="00DF358A" w:rsidRPr="004E13E9" w:rsidRDefault="00DF358A" w:rsidP="00BB4F69">
            <w:pPr>
              <w:rPr>
                <w:sz w:val="18"/>
                <w:szCs w:val="18"/>
                <w:lang w:val="en-GB"/>
              </w:rPr>
            </w:pPr>
            <w:r w:rsidRPr="004E13E9">
              <w:rPr>
                <w:sz w:val="18"/>
                <w:szCs w:val="18"/>
                <w:lang w:val="en-GB"/>
              </w:rPr>
              <w:t>UNION HALL, CO. CORK</w:t>
            </w:r>
          </w:p>
        </w:tc>
        <w:tc>
          <w:tcPr>
            <w:tcW w:w="1732" w:type="dxa"/>
            <w:noWrap/>
            <w:vAlign w:val="bottom"/>
            <w:hideMark/>
          </w:tcPr>
          <w:p w14:paraId="6034075A" w14:textId="77777777" w:rsidR="00DF358A" w:rsidRPr="004E13E9" w:rsidRDefault="00DF358A" w:rsidP="00BB4F69">
            <w:pPr>
              <w:rPr>
                <w:sz w:val="18"/>
                <w:szCs w:val="18"/>
                <w:lang w:val="en-GB"/>
              </w:rPr>
            </w:pPr>
            <w:r w:rsidRPr="004E13E9">
              <w:rPr>
                <w:sz w:val="18"/>
                <w:szCs w:val="18"/>
                <w:lang w:val="en-GB"/>
              </w:rPr>
              <w:t>EU-Ireland</w:t>
            </w:r>
          </w:p>
        </w:tc>
      </w:tr>
      <w:tr w:rsidR="00DF358A" w:rsidRPr="004E13E9" w14:paraId="73ABE9AB" w14:textId="77777777" w:rsidTr="00BB4F69">
        <w:trPr>
          <w:trHeight w:val="300"/>
          <w:jc w:val="center"/>
        </w:trPr>
        <w:tc>
          <w:tcPr>
            <w:tcW w:w="4500" w:type="dxa"/>
            <w:noWrap/>
            <w:vAlign w:val="bottom"/>
            <w:hideMark/>
          </w:tcPr>
          <w:p w14:paraId="08472D43" w14:textId="77777777" w:rsidR="00DF358A" w:rsidRPr="004E13E9" w:rsidRDefault="00DF358A" w:rsidP="00BB4F69">
            <w:pPr>
              <w:rPr>
                <w:sz w:val="18"/>
                <w:szCs w:val="18"/>
                <w:lang w:val="en-GB"/>
              </w:rPr>
            </w:pPr>
            <w:r w:rsidRPr="004E13E9">
              <w:rPr>
                <w:sz w:val="18"/>
                <w:szCs w:val="18"/>
                <w:lang w:val="en-GB"/>
              </w:rPr>
              <w:t>ACCIAROLI</w:t>
            </w:r>
          </w:p>
        </w:tc>
        <w:tc>
          <w:tcPr>
            <w:tcW w:w="1732" w:type="dxa"/>
            <w:noWrap/>
            <w:vAlign w:val="bottom"/>
            <w:hideMark/>
          </w:tcPr>
          <w:p w14:paraId="2DA024AE"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6E166954" w14:textId="77777777" w:rsidTr="00BB4F69">
        <w:trPr>
          <w:trHeight w:val="300"/>
          <w:jc w:val="center"/>
        </w:trPr>
        <w:tc>
          <w:tcPr>
            <w:tcW w:w="4500" w:type="dxa"/>
            <w:noWrap/>
            <w:vAlign w:val="bottom"/>
            <w:hideMark/>
          </w:tcPr>
          <w:p w14:paraId="253049BF" w14:textId="77777777" w:rsidR="00DF358A" w:rsidRPr="004E13E9" w:rsidRDefault="00DF358A" w:rsidP="00BB4F69">
            <w:pPr>
              <w:rPr>
                <w:sz w:val="18"/>
                <w:szCs w:val="18"/>
                <w:lang w:val="en-GB"/>
              </w:rPr>
            </w:pPr>
            <w:r w:rsidRPr="004E13E9">
              <w:rPr>
                <w:sz w:val="18"/>
                <w:szCs w:val="18"/>
                <w:lang w:val="en-GB"/>
              </w:rPr>
              <w:t>AGROPOLI</w:t>
            </w:r>
          </w:p>
        </w:tc>
        <w:tc>
          <w:tcPr>
            <w:tcW w:w="1732" w:type="dxa"/>
            <w:noWrap/>
            <w:vAlign w:val="bottom"/>
            <w:hideMark/>
          </w:tcPr>
          <w:p w14:paraId="4889EB58"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2C351102" w14:textId="77777777" w:rsidTr="00BB4F69">
        <w:trPr>
          <w:trHeight w:val="300"/>
          <w:jc w:val="center"/>
        </w:trPr>
        <w:tc>
          <w:tcPr>
            <w:tcW w:w="4500" w:type="dxa"/>
            <w:noWrap/>
            <w:vAlign w:val="bottom"/>
            <w:hideMark/>
          </w:tcPr>
          <w:p w14:paraId="6CD3BDF7" w14:textId="77777777" w:rsidR="00DF358A" w:rsidRPr="004E13E9" w:rsidRDefault="00DF358A" w:rsidP="00BB4F69">
            <w:pPr>
              <w:rPr>
                <w:sz w:val="18"/>
                <w:szCs w:val="18"/>
                <w:lang w:val="en-GB"/>
              </w:rPr>
            </w:pPr>
            <w:r w:rsidRPr="004E13E9">
              <w:rPr>
                <w:sz w:val="18"/>
                <w:szCs w:val="18"/>
                <w:lang w:val="en-GB"/>
              </w:rPr>
              <w:t>ALASSIO</w:t>
            </w:r>
          </w:p>
        </w:tc>
        <w:tc>
          <w:tcPr>
            <w:tcW w:w="1732" w:type="dxa"/>
            <w:noWrap/>
            <w:vAlign w:val="bottom"/>
            <w:hideMark/>
          </w:tcPr>
          <w:p w14:paraId="122B8FB7"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034DD1C" w14:textId="77777777" w:rsidTr="00BB4F69">
        <w:trPr>
          <w:trHeight w:val="300"/>
          <w:jc w:val="center"/>
        </w:trPr>
        <w:tc>
          <w:tcPr>
            <w:tcW w:w="4500" w:type="dxa"/>
            <w:noWrap/>
            <w:vAlign w:val="bottom"/>
            <w:hideMark/>
          </w:tcPr>
          <w:p w14:paraId="0ADA560B" w14:textId="77777777" w:rsidR="00DF358A" w:rsidRPr="004E13E9" w:rsidRDefault="00DF358A" w:rsidP="00BB4F69">
            <w:pPr>
              <w:rPr>
                <w:sz w:val="18"/>
                <w:szCs w:val="18"/>
                <w:lang w:val="en-GB"/>
              </w:rPr>
            </w:pPr>
            <w:r w:rsidRPr="004E13E9">
              <w:rPr>
                <w:sz w:val="18"/>
                <w:szCs w:val="18"/>
                <w:lang w:val="en-GB"/>
              </w:rPr>
              <w:t>ALGHERO</w:t>
            </w:r>
          </w:p>
        </w:tc>
        <w:tc>
          <w:tcPr>
            <w:tcW w:w="1732" w:type="dxa"/>
            <w:noWrap/>
            <w:vAlign w:val="bottom"/>
            <w:hideMark/>
          </w:tcPr>
          <w:p w14:paraId="75238F14"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E2621D0" w14:textId="77777777" w:rsidTr="00BB4F69">
        <w:trPr>
          <w:trHeight w:val="300"/>
          <w:jc w:val="center"/>
        </w:trPr>
        <w:tc>
          <w:tcPr>
            <w:tcW w:w="4500" w:type="dxa"/>
            <w:noWrap/>
            <w:vAlign w:val="bottom"/>
            <w:hideMark/>
          </w:tcPr>
          <w:p w14:paraId="37137C46" w14:textId="77777777" w:rsidR="00DF358A" w:rsidRPr="004E13E9" w:rsidRDefault="00DF358A" w:rsidP="00BB4F69">
            <w:pPr>
              <w:rPr>
                <w:sz w:val="18"/>
                <w:szCs w:val="18"/>
                <w:lang w:val="en-GB"/>
              </w:rPr>
            </w:pPr>
            <w:r w:rsidRPr="004E13E9">
              <w:rPr>
                <w:sz w:val="18"/>
                <w:szCs w:val="18"/>
                <w:lang w:val="en-GB"/>
              </w:rPr>
              <w:t>AMANTEA</w:t>
            </w:r>
          </w:p>
        </w:tc>
        <w:tc>
          <w:tcPr>
            <w:tcW w:w="1732" w:type="dxa"/>
            <w:noWrap/>
            <w:vAlign w:val="bottom"/>
            <w:hideMark/>
          </w:tcPr>
          <w:p w14:paraId="01936213"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5164E33C" w14:textId="77777777" w:rsidTr="00BB4F69">
        <w:trPr>
          <w:trHeight w:val="300"/>
          <w:jc w:val="center"/>
        </w:trPr>
        <w:tc>
          <w:tcPr>
            <w:tcW w:w="4500" w:type="dxa"/>
            <w:noWrap/>
            <w:vAlign w:val="bottom"/>
            <w:hideMark/>
          </w:tcPr>
          <w:p w14:paraId="67EBD0CC" w14:textId="77777777" w:rsidR="00DF358A" w:rsidRPr="004E13E9" w:rsidRDefault="00DF358A" w:rsidP="00BB4F69">
            <w:pPr>
              <w:rPr>
                <w:sz w:val="18"/>
                <w:szCs w:val="18"/>
                <w:lang w:val="en-GB"/>
              </w:rPr>
            </w:pPr>
            <w:r w:rsidRPr="004E13E9">
              <w:rPr>
                <w:sz w:val="18"/>
                <w:szCs w:val="18"/>
                <w:lang w:val="en-GB"/>
              </w:rPr>
              <w:t>ANCONA</w:t>
            </w:r>
          </w:p>
        </w:tc>
        <w:tc>
          <w:tcPr>
            <w:tcW w:w="1732" w:type="dxa"/>
            <w:noWrap/>
            <w:vAlign w:val="bottom"/>
            <w:hideMark/>
          </w:tcPr>
          <w:p w14:paraId="5CB61C34"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2CF9C956" w14:textId="77777777" w:rsidTr="00BB4F69">
        <w:trPr>
          <w:trHeight w:val="300"/>
          <w:jc w:val="center"/>
        </w:trPr>
        <w:tc>
          <w:tcPr>
            <w:tcW w:w="4500" w:type="dxa"/>
            <w:noWrap/>
            <w:vAlign w:val="bottom"/>
            <w:hideMark/>
          </w:tcPr>
          <w:p w14:paraId="266E67AA" w14:textId="77777777" w:rsidR="00DF358A" w:rsidRPr="004E13E9" w:rsidRDefault="00DF358A" w:rsidP="00BB4F69">
            <w:pPr>
              <w:rPr>
                <w:sz w:val="18"/>
                <w:szCs w:val="18"/>
                <w:lang w:val="en-GB"/>
              </w:rPr>
            </w:pPr>
            <w:r w:rsidRPr="004E13E9">
              <w:rPr>
                <w:sz w:val="18"/>
                <w:szCs w:val="18"/>
                <w:lang w:val="en-GB"/>
              </w:rPr>
              <w:t>ANDORRA</w:t>
            </w:r>
          </w:p>
        </w:tc>
        <w:tc>
          <w:tcPr>
            <w:tcW w:w="1732" w:type="dxa"/>
            <w:noWrap/>
            <w:vAlign w:val="bottom"/>
            <w:hideMark/>
          </w:tcPr>
          <w:p w14:paraId="748BA9B0"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2CB62A8D" w14:textId="77777777" w:rsidTr="00BB4F69">
        <w:trPr>
          <w:trHeight w:val="300"/>
          <w:jc w:val="center"/>
        </w:trPr>
        <w:tc>
          <w:tcPr>
            <w:tcW w:w="4500" w:type="dxa"/>
            <w:noWrap/>
            <w:vAlign w:val="bottom"/>
            <w:hideMark/>
          </w:tcPr>
          <w:p w14:paraId="05ADC096" w14:textId="77777777" w:rsidR="00DF358A" w:rsidRPr="004E13E9" w:rsidRDefault="00DF358A" w:rsidP="00BB4F69">
            <w:pPr>
              <w:rPr>
                <w:sz w:val="18"/>
                <w:szCs w:val="18"/>
                <w:lang w:val="en-GB"/>
              </w:rPr>
            </w:pPr>
            <w:r w:rsidRPr="004E13E9">
              <w:rPr>
                <w:sz w:val="18"/>
                <w:szCs w:val="18"/>
                <w:lang w:val="en-GB"/>
              </w:rPr>
              <w:t>ARBATAX</w:t>
            </w:r>
          </w:p>
        </w:tc>
        <w:tc>
          <w:tcPr>
            <w:tcW w:w="1732" w:type="dxa"/>
            <w:noWrap/>
            <w:vAlign w:val="bottom"/>
            <w:hideMark/>
          </w:tcPr>
          <w:p w14:paraId="75C1F3E2"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F4F3E35" w14:textId="77777777" w:rsidTr="00BB4F69">
        <w:trPr>
          <w:trHeight w:val="300"/>
          <w:jc w:val="center"/>
        </w:trPr>
        <w:tc>
          <w:tcPr>
            <w:tcW w:w="4500" w:type="dxa"/>
            <w:noWrap/>
            <w:vAlign w:val="bottom"/>
            <w:hideMark/>
          </w:tcPr>
          <w:p w14:paraId="638B2A07" w14:textId="77777777" w:rsidR="00DF358A" w:rsidRPr="004E13E9" w:rsidRDefault="00DF358A" w:rsidP="00BB4F69">
            <w:pPr>
              <w:rPr>
                <w:sz w:val="18"/>
                <w:szCs w:val="18"/>
                <w:lang w:val="en-GB"/>
              </w:rPr>
            </w:pPr>
            <w:r w:rsidRPr="004E13E9">
              <w:rPr>
                <w:sz w:val="18"/>
                <w:szCs w:val="18"/>
                <w:lang w:val="en-GB"/>
              </w:rPr>
              <w:t>ARENZANO</w:t>
            </w:r>
          </w:p>
        </w:tc>
        <w:tc>
          <w:tcPr>
            <w:tcW w:w="1732" w:type="dxa"/>
            <w:noWrap/>
            <w:vAlign w:val="bottom"/>
            <w:hideMark/>
          </w:tcPr>
          <w:p w14:paraId="6CD84155"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6FCB4478" w14:textId="77777777" w:rsidTr="00BB4F69">
        <w:trPr>
          <w:trHeight w:val="300"/>
          <w:jc w:val="center"/>
        </w:trPr>
        <w:tc>
          <w:tcPr>
            <w:tcW w:w="4500" w:type="dxa"/>
            <w:noWrap/>
            <w:vAlign w:val="bottom"/>
            <w:hideMark/>
          </w:tcPr>
          <w:p w14:paraId="5E12597C" w14:textId="77777777" w:rsidR="00DF358A" w:rsidRPr="004E13E9" w:rsidRDefault="00DF358A" w:rsidP="00BB4F69">
            <w:pPr>
              <w:rPr>
                <w:sz w:val="18"/>
                <w:szCs w:val="18"/>
                <w:lang w:val="en-GB"/>
              </w:rPr>
            </w:pPr>
            <w:r w:rsidRPr="004E13E9">
              <w:rPr>
                <w:sz w:val="18"/>
                <w:szCs w:val="18"/>
                <w:lang w:val="en-GB"/>
              </w:rPr>
              <w:t>ARMA DI TAGGIA</w:t>
            </w:r>
          </w:p>
        </w:tc>
        <w:tc>
          <w:tcPr>
            <w:tcW w:w="1732" w:type="dxa"/>
            <w:noWrap/>
            <w:vAlign w:val="bottom"/>
            <w:hideMark/>
          </w:tcPr>
          <w:p w14:paraId="00FFC8E9"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4CA699D4" w14:textId="77777777" w:rsidTr="00BB4F69">
        <w:trPr>
          <w:trHeight w:val="300"/>
          <w:jc w:val="center"/>
        </w:trPr>
        <w:tc>
          <w:tcPr>
            <w:tcW w:w="4500" w:type="dxa"/>
            <w:noWrap/>
            <w:vAlign w:val="bottom"/>
            <w:hideMark/>
          </w:tcPr>
          <w:p w14:paraId="640EA7C7" w14:textId="77777777" w:rsidR="00DF358A" w:rsidRPr="004E13E9" w:rsidRDefault="00DF358A" w:rsidP="00BB4F69">
            <w:pPr>
              <w:rPr>
                <w:sz w:val="18"/>
                <w:szCs w:val="18"/>
                <w:lang w:val="en-GB"/>
              </w:rPr>
            </w:pPr>
            <w:r w:rsidRPr="004E13E9">
              <w:rPr>
                <w:sz w:val="18"/>
                <w:szCs w:val="18"/>
                <w:lang w:val="en-GB"/>
              </w:rPr>
              <w:t>AUGUSTA</w:t>
            </w:r>
          </w:p>
        </w:tc>
        <w:tc>
          <w:tcPr>
            <w:tcW w:w="1732" w:type="dxa"/>
            <w:noWrap/>
            <w:vAlign w:val="bottom"/>
            <w:hideMark/>
          </w:tcPr>
          <w:p w14:paraId="21477029"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4ABA1CB3" w14:textId="77777777" w:rsidTr="00BB4F69">
        <w:trPr>
          <w:trHeight w:val="300"/>
          <w:jc w:val="center"/>
        </w:trPr>
        <w:tc>
          <w:tcPr>
            <w:tcW w:w="4500" w:type="dxa"/>
            <w:noWrap/>
            <w:vAlign w:val="bottom"/>
            <w:hideMark/>
          </w:tcPr>
          <w:p w14:paraId="2E68380D" w14:textId="77777777" w:rsidR="00DF358A" w:rsidRPr="004E13E9" w:rsidRDefault="00DF358A" w:rsidP="00BB4F69">
            <w:pPr>
              <w:rPr>
                <w:sz w:val="18"/>
                <w:szCs w:val="18"/>
                <w:lang w:val="en-GB"/>
              </w:rPr>
            </w:pPr>
            <w:r w:rsidRPr="004E13E9">
              <w:rPr>
                <w:sz w:val="18"/>
                <w:szCs w:val="18"/>
                <w:lang w:val="en-GB"/>
              </w:rPr>
              <w:t>BAGNARA CALABRA</w:t>
            </w:r>
          </w:p>
        </w:tc>
        <w:tc>
          <w:tcPr>
            <w:tcW w:w="1732" w:type="dxa"/>
            <w:noWrap/>
            <w:vAlign w:val="bottom"/>
            <w:hideMark/>
          </w:tcPr>
          <w:p w14:paraId="6F3B22FC"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867D766" w14:textId="77777777" w:rsidTr="00BB4F69">
        <w:trPr>
          <w:trHeight w:val="300"/>
          <w:jc w:val="center"/>
        </w:trPr>
        <w:tc>
          <w:tcPr>
            <w:tcW w:w="4500" w:type="dxa"/>
            <w:noWrap/>
            <w:vAlign w:val="bottom"/>
            <w:hideMark/>
          </w:tcPr>
          <w:p w14:paraId="60EBE24E" w14:textId="77777777" w:rsidR="00DF358A" w:rsidRPr="004E13E9" w:rsidRDefault="00DF358A" w:rsidP="00BB4F69">
            <w:pPr>
              <w:rPr>
                <w:sz w:val="18"/>
                <w:szCs w:val="18"/>
                <w:lang w:val="en-GB"/>
              </w:rPr>
            </w:pPr>
            <w:r w:rsidRPr="004E13E9">
              <w:rPr>
                <w:sz w:val="18"/>
                <w:szCs w:val="18"/>
                <w:lang w:val="en-GB"/>
              </w:rPr>
              <w:t>BARI</w:t>
            </w:r>
          </w:p>
        </w:tc>
        <w:tc>
          <w:tcPr>
            <w:tcW w:w="1732" w:type="dxa"/>
            <w:noWrap/>
            <w:vAlign w:val="bottom"/>
            <w:hideMark/>
          </w:tcPr>
          <w:p w14:paraId="5455BE06"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235707B" w14:textId="77777777" w:rsidTr="00BB4F69">
        <w:trPr>
          <w:trHeight w:val="300"/>
          <w:jc w:val="center"/>
        </w:trPr>
        <w:tc>
          <w:tcPr>
            <w:tcW w:w="4500" w:type="dxa"/>
            <w:noWrap/>
            <w:vAlign w:val="bottom"/>
            <w:hideMark/>
          </w:tcPr>
          <w:p w14:paraId="42BF617C" w14:textId="77777777" w:rsidR="00DF358A" w:rsidRPr="004E13E9" w:rsidRDefault="00DF358A" w:rsidP="00BB4F69">
            <w:pPr>
              <w:rPr>
                <w:sz w:val="18"/>
                <w:szCs w:val="18"/>
                <w:lang w:val="en-GB"/>
              </w:rPr>
            </w:pPr>
            <w:r w:rsidRPr="004E13E9">
              <w:rPr>
                <w:sz w:val="18"/>
                <w:szCs w:val="18"/>
                <w:lang w:val="en-GB"/>
              </w:rPr>
              <w:t>BISCEGLIE</w:t>
            </w:r>
          </w:p>
        </w:tc>
        <w:tc>
          <w:tcPr>
            <w:tcW w:w="1732" w:type="dxa"/>
            <w:noWrap/>
            <w:vAlign w:val="bottom"/>
            <w:hideMark/>
          </w:tcPr>
          <w:p w14:paraId="430BAE95"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382414F" w14:textId="77777777" w:rsidTr="00BB4F69">
        <w:trPr>
          <w:trHeight w:val="300"/>
          <w:jc w:val="center"/>
        </w:trPr>
        <w:tc>
          <w:tcPr>
            <w:tcW w:w="4500" w:type="dxa"/>
            <w:noWrap/>
            <w:vAlign w:val="bottom"/>
            <w:hideMark/>
          </w:tcPr>
          <w:p w14:paraId="4728FD2B" w14:textId="77777777" w:rsidR="00DF358A" w:rsidRPr="004E13E9" w:rsidRDefault="00DF358A" w:rsidP="00BB4F69">
            <w:pPr>
              <w:rPr>
                <w:sz w:val="18"/>
                <w:szCs w:val="18"/>
                <w:lang w:val="en-GB"/>
              </w:rPr>
            </w:pPr>
            <w:r w:rsidRPr="004E13E9">
              <w:rPr>
                <w:sz w:val="18"/>
                <w:szCs w:val="18"/>
                <w:lang w:val="en-GB"/>
              </w:rPr>
              <w:t>BORDIGHERA</w:t>
            </w:r>
          </w:p>
        </w:tc>
        <w:tc>
          <w:tcPr>
            <w:tcW w:w="1732" w:type="dxa"/>
            <w:noWrap/>
            <w:vAlign w:val="bottom"/>
            <w:hideMark/>
          </w:tcPr>
          <w:p w14:paraId="0A853656"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4EA4A542" w14:textId="77777777" w:rsidTr="00BB4F69">
        <w:trPr>
          <w:trHeight w:val="300"/>
          <w:jc w:val="center"/>
        </w:trPr>
        <w:tc>
          <w:tcPr>
            <w:tcW w:w="4500" w:type="dxa"/>
            <w:noWrap/>
            <w:vAlign w:val="bottom"/>
            <w:hideMark/>
          </w:tcPr>
          <w:p w14:paraId="271032CA" w14:textId="77777777" w:rsidR="00DF358A" w:rsidRPr="004E13E9" w:rsidRDefault="00DF358A" w:rsidP="00BB4F69">
            <w:pPr>
              <w:rPr>
                <w:sz w:val="18"/>
                <w:szCs w:val="18"/>
                <w:lang w:val="en-GB"/>
              </w:rPr>
            </w:pPr>
            <w:r w:rsidRPr="004E13E9">
              <w:rPr>
                <w:sz w:val="18"/>
                <w:szCs w:val="18"/>
                <w:lang w:val="en-GB"/>
              </w:rPr>
              <w:t>BOSA</w:t>
            </w:r>
          </w:p>
        </w:tc>
        <w:tc>
          <w:tcPr>
            <w:tcW w:w="1732" w:type="dxa"/>
            <w:noWrap/>
            <w:vAlign w:val="bottom"/>
            <w:hideMark/>
          </w:tcPr>
          <w:p w14:paraId="337946FA"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4795C82A" w14:textId="77777777" w:rsidTr="00BB4F69">
        <w:trPr>
          <w:trHeight w:val="300"/>
          <w:jc w:val="center"/>
        </w:trPr>
        <w:tc>
          <w:tcPr>
            <w:tcW w:w="4500" w:type="dxa"/>
            <w:noWrap/>
            <w:vAlign w:val="bottom"/>
            <w:hideMark/>
          </w:tcPr>
          <w:p w14:paraId="1D64B6E9" w14:textId="77777777" w:rsidR="00DF358A" w:rsidRPr="004E13E9" w:rsidRDefault="00DF358A" w:rsidP="00BB4F69">
            <w:pPr>
              <w:rPr>
                <w:sz w:val="18"/>
                <w:szCs w:val="18"/>
                <w:lang w:val="en-GB"/>
              </w:rPr>
            </w:pPr>
            <w:r w:rsidRPr="004E13E9">
              <w:rPr>
                <w:sz w:val="18"/>
                <w:szCs w:val="18"/>
                <w:lang w:val="en-GB"/>
              </w:rPr>
              <w:t>BRINDISI</w:t>
            </w:r>
          </w:p>
        </w:tc>
        <w:tc>
          <w:tcPr>
            <w:tcW w:w="1732" w:type="dxa"/>
            <w:noWrap/>
            <w:vAlign w:val="bottom"/>
            <w:hideMark/>
          </w:tcPr>
          <w:p w14:paraId="3BC9CBA2"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2258263" w14:textId="77777777" w:rsidTr="00BB4F69">
        <w:trPr>
          <w:trHeight w:val="300"/>
          <w:jc w:val="center"/>
        </w:trPr>
        <w:tc>
          <w:tcPr>
            <w:tcW w:w="4500" w:type="dxa"/>
            <w:noWrap/>
            <w:vAlign w:val="bottom"/>
            <w:hideMark/>
          </w:tcPr>
          <w:p w14:paraId="582CC394" w14:textId="77777777" w:rsidR="00DF358A" w:rsidRPr="004E13E9" w:rsidRDefault="00DF358A" w:rsidP="00BB4F69">
            <w:pPr>
              <w:rPr>
                <w:sz w:val="18"/>
                <w:szCs w:val="18"/>
                <w:lang w:val="en-GB"/>
              </w:rPr>
            </w:pPr>
            <w:r w:rsidRPr="004E13E9">
              <w:rPr>
                <w:sz w:val="18"/>
                <w:szCs w:val="18"/>
                <w:lang w:val="en-GB"/>
              </w:rPr>
              <w:t>CAGLIARI</w:t>
            </w:r>
          </w:p>
        </w:tc>
        <w:tc>
          <w:tcPr>
            <w:tcW w:w="1732" w:type="dxa"/>
            <w:noWrap/>
            <w:vAlign w:val="bottom"/>
            <w:hideMark/>
          </w:tcPr>
          <w:p w14:paraId="4857FA2E"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AB9DFE7" w14:textId="77777777" w:rsidTr="00BB4F69">
        <w:trPr>
          <w:trHeight w:val="300"/>
          <w:jc w:val="center"/>
        </w:trPr>
        <w:tc>
          <w:tcPr>
            <w:tcW w:w="4500" w:type="dxa"/>
            <w:noWrap/>
            <w:vAlign w:val="bottom"/>
            <w:hideMark/>
          </w:tcPr>
          <w:p w14:paraId="2407FB57" w14:textId="77777777" w:rsidR="00DF358A" w:rsidRPr="004E13E9" w:rsidRDefault="00DF358A" w:rsidP="00BB4F69">
            <w:pPr>
              <w:rPr>
                <w:sz w:val="18"/>
                <w:szCs w:val="18"/>
                <w:lang w:val="en-GB"/>
              </w:rPr>
            </w:pPr>
            <w:r w:rsidRPr="004E13E9">
              <w:rPr>
                <w:sz w:val="18"/>
                <w:szCs w:val="18"/>
                <w:lang w:val="en-GB"/>
              </w:rPr>
              <w:t>CALA GONONE</w:t>
            </w:r>
          </w:p>
        </w:tc>
        <w:tc>
          <w:tcPr>
            <w:tcW w:w="1732" w:type="dxa"/>
            <w:noWrap/>
            <w:vAlign w:val="bottom"/>
            <w:hideMark/>
          </w:tcPr>
          <w:p w14:paraId="6141F752"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480B030" w14:textId="77777777" w:rsidTr="00BB4F69">
        <w:trPr>
          <w:trHeight w:val="300"/>
          <w:jc w:val="center"/>
        </w:trPr>
        <w:tc>
          <w:tcPr>
            <w:tcW w:w="4500" w:type="dxa"/>
            <w:noWrap/>
            <w:vAlign w:val="bottom"/>
            <w:hideMark/>
          </w:tcPr>
          <w:p w14:paraId="07CF75F7" w14:textId="77777777" w:rsidR="00DF358A" w:rsidRPr="004E13E9" w:rsidRDefault="00DF358A" w:rsidP="00BB4F69">
            <w:pPr>
              <w:rPr>
                <w:sz w:val="18"/>
                <w:szCs w:val="18"/>
                <w:lang w:val="en-GB"/>
              </w:rPr>
            </w:pPr>
            <w:r w:rsidRPr="004E13E9">
              <w:rPr>
                <w:sz w:val="18"/>
                <w:szCs w:val="18"/>
                <w:lang w:val="en-GB"/>
              </w:rPr>
              <w:t>CALASETTA</w:t>
            </w:r>
          </w:p>
        </w:tc>
        <w:tc>
          <w:tcPr>
            <w:tcW w:w="1732" w:type="dxa"/>
            <w:noWrap/>
            <w:vAlign w:val="bottom"/>
            <w:hideMark/>
          </w:tcPr>
          <w:p w14:paraId="3CED3E6D"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EE25899" w14:textId="77777777" w:rsidTr="00BB4F69">
        <w:trPr>
          <w:trHeight w:val="300"/>
          <w:jc w:val="center"/>
        </w:trPr>
        <w:tc>
          <w:tcPr>
            <w:tcW w:w="4500" w:type="dxa"/>
            <w:noWrap/>
            <w:vAlign w:val="bottom"/>
            <w:hideMark/>
          </w:tcPr>
          <w:p w14:paraId="07F4246A" w14:textId="77777777" w:rsidR="00DF358A" w:rsidRPr="004E13E9" w:rsidRDefault="00DF358A" w:rsidP="00BB4F69">
            <w:pPr>
              <w:rPr>
                <w:sz w:val="18"/>
                <w:szCs w:val="18"/>
                <w:lang w:val="en-GB"/>
              </w:rPr>
            </w:pPr>
            <w:r w:rsidRPr="004E13E9">
              <w:rPr>
                <w:sz w:val="18"/>
                <w:szCs w:val="18"/>
                <w:lang w:val="en-GB"/>
              </w:rPr>
              <w:t>CAMOGLI</w:t>
            </w:r>
          </w:p>
        </w:tc>
        <w:tc>
          <w:tcPr>
            <w:tcW w:w="1732" w:type="dxa"/>
            <w:noWrap/>
            <w:vAlign w:val="bottom"/>
            <w:hideMark/>
          </w:tcPr>
          <w:p w14:paraId="3C25BD77"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B53355E" w14:textId="77777777" w:rsidTr="00BB4F69">
        <w:trPr>
          <w:trHeight w:val="300"/>
          <w:jc w:val="center"/>
        </w:trPr>
        <w:tc>
          <w:tcPr>
            <w:tcW w:w="4500" w:type="dxa"/>
            <w:noWrap/>
            <w:vAlign w:val="bottom"/>
            <w:hideMark/>
          </w:tcPr>
          <w:p w14:paraId="1C6D9B4F"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CAPRAIA ISOLA</w:t>
            </w:r>
          </w:p>
        </w:tc>
        <w:tc>
          <w:tcPr>
            <w:tcW w:w="1732" w:type="dxa"/>
            <w:noWrap/>
            <w:vAlign w:val="bottom"/>
            <w:hideMark/>
          </w:tcPr>
          <w:p w14:paraId="33EBE23E"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EU-Italy</w:t>
            </w:r>
          </w:p>
        </w:tc>
      </w:tr>
      <w:tr w:rsidR="00DF358A" w:rsidRPr="004E13E9" w14:paraId="7E6D42D3" w14:textId="77777777" w:rsidTr="00BB4F69">
        <w:trPr>
          <w:trHeight w:val="300"/>
          <w:jc w:val="center"/>
        </w:trPr>
        <w:tc>
          <w:tcPr>
            <w:tcW w:w="4500" w:type="dxa"/>
            <w:noWrap/>
            <w:vAlign w:val="bottom"/>
            <w:hideMark/>
          </w:tcPr>
          <w:p w14:paraId="423356F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CARIATI</w:t>
            </w:r>
          </w:p>
        </w:tc>
        <w:tc>
          <w:tcPr>
            <w:tcW w:w="1732" w:type="dxa"/>
            <w:noWrap/>
            <w:vAlign w:val="bottom"/>
            <w:hideMark/>
          </w:tcPr>
          <w:p w14:paraId="469C8A2A"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EU-Italy</w:t>
            </w:r>
          </w:p>
        </w:tc>
      </w:tr>
      <w:tr w:rsidR="00DF358A" w:rsidRPr="004E13E9" w14:paraId="377B2B67" w14:textId="77777777" w:rsidTr="00BB4F69">
        <w:trPr>
          <w:trHeight w:val="300"/>
          <w:jc w:val="center"/>
        </w:trPr>
        <w:tc>
          <w:tcPr>
            <w:tcW w:w="4500" w:type="dxa"/>
            <w:noWrap/>
            <w:vAlign w:val="bottom"/>
            <w:hideMark/>
          </w:tcPr>
          <w:p w14:paraId="40A98320" w14:textId="77777777" w:rsidR="00DF358A" w:rsidRPr="004E13E9" w:rsidRDefault="00DF358A" w:rsidP="00BB4F69">
            <w:pPr>
              <w:rPr>
                <w:sz w:val="18"/>
                <w:szCs w:val="18"/>
                <w:lang w:val="en-GB"/>
              </w:rPr>
            </w:pPr>
            <w:r w:rsidRPr="004E13E9">
              <w:rPr>
                <w:sz w:val="18"/>
                <w:szCs w:val="18"/>
                <w:lang w:val="en-GB"/>
              </w:rPr>
              <w:t>CARLOFORTE</w:t>
            </w:r>
          </w:p>
        </w:tc>
        <w:tc>
          <w:tcPr>
            <w:tcW w:w="1732" w:type="dxa"/>
            <w:noWrap/>
            <w:vAlign w:val="bottom"/>
            <w:hideMark/>
          </w:tcPr>
          <w:p w14:paraId="421840CF"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49425840" w14:textId="77777777" w:rsidTr="00BB4F69">
        <w:trPr>
          <w:trHeight w:val="300"/>
          <w:jc w:val="center"/>
        </w:trPr>
        <w:tc>
          <w:tcPr>
            <w:tcW w:w="4500" w:type="dxa"/>
            <w:noWrap/>
            <w:vAlign w:val="bottom"/>
            <w:hideMark/>
          </w:tcPr>
          <w:p w14:paraId="0B3CDEF8" w14:textId="77777777" w:rsidR="00DF358A" w:rsidRPr="004E13E9" w:rsidRDefault="00DF358A" w:rsidP="00BB4F69">
            <w:pPr>
              <w:rPr>
                <w:sz w:val="18"/>
                <w:szCs w:val="18"/>
                <w:lang w:val="en-GB"/>
              </w:rPr>
            </w:pPr>
            <w:r w:rsidRPr="004E13E9">
              <w:rPr>
                <w:sz w:val="18"/>
                <w:szCs w:val="18"/>
                <w:lang w:val="en-GB"/>
              </w:rPr>
              <w:t>CASTELLAMMARE DEL GOLFO</w:t>
            </w:r>
          </w:p>
        </w:tc>
        <w:tc>
          <w:tcPr>
            <w:tcW w:w="1732" w:type="dxa"/>
            <w:noWrap/>
            <w:vAlign w:val="bottom"/>
            <w:hideMark/>
          </w:tcPr>
          <w:p w14:paraId="39428DAF"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CA309B6" w14:textId="77777777" w:rsidTr="00BB4F69">
        <w:trPr>
          <w:trHeight w:val="300"/>
          <w:jc w:val="center"/>
        </w:trPr>
        <w:tc>
          <w:tcPr>
            <w:tcW w:w="4500" w:type="dxa"/>
            <w:noWrap/>
            <w:vAlign w:val="bottom"/>
            <w:hideMark/>
          </w:tcPr>
          <w:p w14:paraId="11407BC0" w14:textId="77777777" w:rsidR="00DF358A" w:rsidRPr="004E13E9" w:rsidRDefault="00DF358A" w:rsidP="00BB4F69">
            <w:pPr>
              <w:rPr>
                <w:sz w:val="18"/>
                <w:szCs w:val="18"/>
                <w:lang w:val="en-GB"/>
              </w:rPr>
            </w:pPr>
            <w:r w:rsidRPr="004E13E9">
              <w:rPr>
                <w:sz w:val="18"/>
                <w:szCs w:val="18"/>
                <w:lang w:val="en-GB"/>
              </w:rPr>
              <w:t>CASTELLAMMARE DI STABIA</w:t>
            </w:r>
          </w:p>
        </w:tc>
        <w:tc>
          <w:tcPr>
            <w:tcW w:w="1732" w:type="dxa"/>
            <w:noWrap/>
            <w:vAlign w:val="bottom"/>
            <w:hideMark/>
          </w:tcPr>
          <w:p w14:paraId="71D828D3"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2FD00AC9" w14:textId="77777777" w:rsidTr="00BB4F69">
        <w:trPr>
          <w:trHeight w:val="300"/>
          <w:jc w:val="center"/>
        </w:trPr>
        <w:tc>
          <w:tcPr>
            <w:tcW w:w="4500" w:type="dxa"/>
            <w:noWrap/>
            <w:vAlign w:val="bottom"/>
            <w:hideMark/>
          </w:tcPr>
          <w:p w14:paraId="65B843B0" w14:textId="77777777" w:rsidR="00DF358A" w:rsidRPr="004E13E9" w:rsidRDefault="00DF358A" w:rsidP="00BB4F69">
            <w:pPr>
              <w:rPr>
                <w:sz w:val="18"/>
                <w:szCs w:val="18"/>
                <w:lang w:val="en-GB"/>
              </w:rPr>
            </w:pPr>
            <w:r w:rsidRPr="004E13E9">
              <w:rPr>
                <w:sz w:val="18"/>
                <w:szCs w:val="18"/>
                <w:lang w:val="en-GB"/>
              </w:rPr>
              <w:t>CASTELSARDO</w:t>
            </w:r>
          </w:p>
        </w:tc>
        <w:tc>
          <w:tcPr>
            <w:tcW w:w="1732" w:type="dxa"/>
            <w:noWrap/>
            <w:vAlign w:val="bottom"/>
            <w:hideMark/>
          </w:tcPr>
          <w:p w14:paraId="69099618"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55F4D5D" w14:textId="77777777" w:rsidTr="00BB4F69">
        <w:trPr>
          <w:trHeight w:val="300"/>
          <w:jc w:val="center"/>
        </w:trPr>
        <w:tc>
          <w:tcPr>
            <w:tcW w:w="4500" w:type="dxa"/>
            <w:noWrap/>
            <w:vAlign w:val="bottom"/>
            <w:hideMark/>
          </w:tcPr>
          <w:p w14:paraId="5B3A825B" w14:textId="77777777" w:rsidR="00DF358A" w:rsidRPr="004E13E9" w:rsidRDefault="00DF358A" w:rsidP="00BB4F69">
            <w:pPr>
              <w:rPr>
                <w:sz w:val="18"/>
                <w:szCs w:val="18"/>
                <w:lang w:val="en-GB"/>
              </w:rPr>
            </w:pPr>
            <w:r w:rsidRPr="004E13E9">
              <w:rPr>
                <w:sz w:val="18"/>
                <w:szCs w:val="18"/>
                <w:lang w:val="en-GB"/>
              </w:rPr>
              <w:t>CASTIGLIONE DELLA PESCAIA</w:t>
            </w:r>
          </w:p>
        </w:tc>
        <w:tc>
          <w:tcPr>
            <w:tcW w:w="1732" w:type="dxa"/>
            <w:noWrap/>
            <w:vAlign w:val="bottom"/>
            <w:hideMark/>
          </w:tcPr>
          <w:p w14:paraId="6EA7C5E1"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5BCC400D" w14:textId="77777777" w:rsidTr="00BB4F69">
        <w:trPr>
          <w:trHeight w:val="300"/>
          <w:jc w:val="center"/>
        </w:trPr>
        <w:tc>
          <w:tcPr>
            <w:tcW w:w="4500" w:type="dxa"/>
            <w:noWrap/>
            <w:vAlign w:val="bottom"/>
            <w:hideMark/>
          </w:tcPr>
          <w:p w14:paraId="2427AFBF" w14:textId="77777777" w:rsidR="00DF358A" w:rsidRPr="004E13E9" w:rsidRDefault="00DF358A" w:rsidP="00BB4F69">
            <w:pPr>
              <w:rPr>
                <w:sz w:val="18"/>
                <w:szCs w:val="18"/>
                <w:lang w:val="en-GB"/>
              </w:rPr>
            </w:pPr>
            <w:r w:rsidRPr="004E13E9">
              <w:rPr>
                <w:sz w:val="18"/>
                <w:szCs w:val="18"/>
                <w:lang w:val="en-GB"/>
              </w:rPr>
              <w:t>CATANIA</w:t>
            </w:r>
          </w:p>
        </w:tc>
        <w:tc>
          <w:tcPr>
            <w:tcW w:w="1732" w:type="dxa"/>
            <w:noWrap/>
            <w:vAlign w:val="bottom"/>
            <w:hideMark/>
          </w:tcPr>
          <w:p w14:paraId="218DE664"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2D2EC6B5" w14:textId="77777777" w:rsidTr="00BB4F69">
        <w:trPr>
          <w:trHeight w:val="300"/>
          <w:jc w:val="center"/>
        </w:trPr>
        <w:tc>
          <w:tcPr>
            <w:tcW w:w="4500" w:type="dxa"/>
            <w:noWrap/>
            <w:vAlign w:val="bottom"/>
            <w:hideMark/>
          </w:tcPr>
          <w:p w14:paraId="45C215A1" w14:textId="77777777" w:rsidR="00DF358A" w:rsidRPr="004E13E9" w:rsidRDefault="00DF358A" w:rsidP="00BB4F69">
            <w:pPr>
              <w:rPr>
                <w:sz w:val="18"/>
                <w:szCs w:val="18"/>
                <w:lang w:val="en-GB"/>
              </w:rPr>
            </w:pPr>
            <w:r w:rsidRPr="004E13E9">
              <w:rPr>
                <w:sz w:val="18"/>
                <w:szCs w:val="18"/>
                <w:lang w:val="en-GB"/>
              </w:rPr>
              <w:t>CESENATICO</w:t>
            </w:r>
          </w:p>
        </w:tc>
        <w:tc>
          <w:tcPr>
            <w:tcW w:w="1732" w:type="dxa"/>
            <w:noWrap/>
            <w:vAlign w:val="bottom"/>
            <w:hideMark/>
          </w:tcPr>
          <w:p w14:paraId="41C49256"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4570F5FF" w14:textId="77777777" w:rsidTr="00BB4F69">
        <w:trPr>
          <w:trHeight w:val="300"/>
          <w:jc w:val="center"/>
        </w:trPr>
        <w:tc>
          <w:tcPr>
            <w:tcW w:w="4500" w:type="dxa"/>
            <w:noWrap/>
            <w:vAlign w:val="bottom"/>
            <w:hideMark/>
          </w:tcPr>
          <w:p w14:paraId="7689E2F2" w14:textId="77777777" w:rsidR="00DF358A" w:rsidRPr="004E13E9" w:rsidRDefault="00DF358A" w:rsidP="00BB4F69">
            <w:pPr>
              <w:rPr>
                <w:sz w:val="18"/>
                <w:szCs w:val="18"/>
                <w:lang w:val="en-GB"/>
              </w:rPr>
            </w:pPr>
            <w:r w:rsidRPr="004E13E9">
              <w:rPr>
                <w:sz w:val="18"/>
                <w:szCs w:val="18"/>
                <w:lang w:val="en-GB"/>
              </w:rPr>
              <w:t>CETRARO</w:t>
            </w:r>
          </w:p>
        </w:tc>
        <w:tc>
          <w:tcPr>
            <w:tcW w:w="1732" w:type="dxa"/>
            <w:noWrap/>
            <w:vAlign w:val="bottom"/>
            <w:hideMark/>
          </w:tcPr>
          <w:p w14:paraId="22D44BE9"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59A6C886" w14:textId="77777777" w:rsidTr="00BB4F69">
        <w:trPr>
          <w:trHeight w:val="300"/>
          <w:jc w:val="center"/>
        </w:trPr>
        <w:tc>
          <w:tcPr>
            <w:tcW w:w="4500" w:type="dxa"/>
            <w:noWrap/>
            <w:vAlign w:val="bottom"/>
            <w:hideMark/>
          </w:tcPr>
          <w:p w14:paraId="199A1500" w14:textId="77777777" w:rsidR="00DF358A" w:rsidRPr="004E13E9" w:rsidRDefault="00DF358A" w:rsidP="00BB4F69">
            <w:pPr>
              <w:rPr>
                <w:sz w:val="18"/>
                <w:szCs w:val="18"/>
                <w:lang w:val="en-GB"/>
              </w:rPr>
            </w:pPr>
            <w:r w:rsidRPr="004E13E9">
              <w:rPr>
                <w:sz w:val="18"/>
                <w:szCs w:val="18"/>
                <w:lang w:val="en-GB"/>
              </w:rPr>
              <w:t>CHIOGGIA</w:t>
            </w:r>
          </w:p>
        </w:tc>
        <w:tc>
          <w:tcPr>
            <w:tcW w:w="1732" w:type="dxa"/>
            <w:noWrap/>
            <w:vAlign w:val="bottom"/>
            <w:hideMark/>
          </w:tcPr>
          <w:p w14:paraId="472460EA"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5B8603B3" w14:textId="77777777" w:rsidTr="00BB4F69">
        <w:trPr>
          <w:trHeight w:val="300"/>
          <w:jc w:val="center"/>
        </w:trPr>
        <w:tc>
          <w:tcPr>
            <w:tcW w:w="4500" w:type="dxa"/>
            <w:noWrap/>
            <w:vAlign w:val="bottom"/>
            <w:hideMark/>
          </w:tcPr>
          <w:p w14:paraId="6E679C83" w14:textId="77777777" w:rsidR="00DF358A" w:rsidRPr="004E13E9" w:rsidRDefault="00DF358A" w:rsidP="00BB4F69">
            <w:pPr>
              <w:rPr>
                <w:sz w:val="18"/>
                <w:szCs w:val="18"/>
                <w:lang w:val="en-GB"/>
              </w:rPr>
            </w:pPr>
            <w:r w:rsidRPr="004E13E9">
              <w:rPr>
                <w:sz w:val="18"/>
                <w:szCs w:val="18"/>
                <w:lang w:val="en-GB"/>
              </w:rPr>
              <w:t>CIVITANOVA MARCHE</w:t>
            </w:r>
          </w:p>
        </w:tc>
        <w:tc>
          <w:tcPr>
            <w:tcW w:w="1732" w:type="dxa"/>
            <w:noWrap/>
            <w:vAlign w:val="bottom"/>
            <w:hideMark/>
          </w:tcPr>
          <w:p w14:paraId="17EC33A5"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5FBF830D" w14:textId="77777777" w:rsidTr="00BB4F69">
        <w:trPr>
          <w:trHeight w:val="300"/>
          <w:jc w:val="center"/>
        </w:trPr>
        <w:tc>
          <w:tcPr>
            <w:tcW w:w="4500" w:type="dxa"/>
            <w:noWrap/>
            <w:vAlign w:val="bottom"/>
            <w:hideMark/>
          </w:tcPr>
          <w:p w14:paraId="3F48E429" w14:textId="77777777" w:rsidR="00DF358A" w:rsidRPr="004E13E9" w:rsidRDefault="00DF358A" w:rsidP="00BB4F69">
            <w:pPr>
              <w:rPr>
                <w:sz w:val="18"/>
                <w:szCs w:val="18"/>
                <w:lang w:val="en-GB"/>
              </w:rPr>
            </w:pPr>
            <w:r w:rsidRPr="004E13E9">
              <w:rPr>
                <w:sz w:val="18"/>
                <w:szCs w:val="18"/>
                <w:lang w:val="en-GB"/>
              </w:rPr>
              <w:t>CIVITAVECCHIA</w:t>
            </w:r>
          </w:p>
        </w:tc>
        <w:tc>
          <w:tcPr>
            <w:tcW w:w="1732" w:type="dxa"/>
            <w:noWrap/>
            <w:vAlign w:val="bottom"/>
            <w:hideMark/>
          </w:tcPr>
          <w:p w14:paraId="6A65D594"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469EF634" w14:textId="77777777" w:rsidTr="00BB4F69">
        <w:trPr>
          <w:trHeight w:val="300"/>
          <w:jc w:val="center"/>
        </w:trPr>
        <w:tc>
          <w:tcPr>
            <w:tcW w:w="4500" w:type="dxa"/>
            <w:noWrap/>
            <w:vAlign w:val="bottom"/>
            <w:hideMark/>
          </w:tcPr>
          <w:p w14:paraId="51138654" w14:textId="77777777" w:rsidR="00DF358A" w:rsidRPr="004E13E9" w:rsidRDefault="00DF358A" w:rsidP="00BB4F69">
            <w:pPr>
              <w:rPr>
                <w:sz w:val="18"/>
                <w:szCs w:val="18"/>
                <w:lang w:val="en-GB"/>
              </w:rPr>
            </w:pPr>
            <w:r w:rsidRPr="004E13E9">
              <w:rPr>
                <w:sz w:val="18"/>
                <w:szCs w:val="18"/>
                <w:lang w:val="en-GB"/>
              </w:rPr>
              <w:t>CORIGLIANO CALABRO</w:t>
            </w:r>
          </w:p>
        </w:tc>
        <w:tc>
          <w:tcPr>
            <w:tcW w:w="1732" w:type="dxa"/>
            <w:noWrap/>
            <w:vAlign w:val="bottom"/>
            <w:hideMark/>
          </w:tcPr>
          <w:p w14:paraId="751520F9"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CEC8FCD" w14:textId="77777777" w:rsidTr="00BB4F69">
        <w:trPr>
          <w:trHeight w:val="300"/>
          <w:jc w:val="center"/>
        </w:trPr>
        <w:tc>
          <w:tcPr>
            <w:tcW w:w="4500" w:type="dxa"/>
            <w:noWrap/>
            <w:vAlign w:val="bottom"/>
            <w:hideMark/>
          </w:tcPr>
          <w:p w14:paraId="5B580B92" w14:textId="77777777" w:rsidR="00DF358A" w:rsidRPr="004E13E9" w:rsidRDefault="00DF358A" w:rsidP="00BB4F69">
            <w:pPr>
              <w:rPr>
                <w:sz w:val="18"/>
                <w:szCs w:val="18"/>
                <w:lang w:val="en-GB"/>
              </w:rPr>
            </w:pPr>
            <w:r w:rsidRPr="004E13E9">
              <w:rPr>
                <w:sz w:val="18"/>
                <w:szCs w:val="18"/>
                <w:lang w:val="en-GB"/>
              </w:rPr>
              <w:t>CROTONE</w:t>
            </w:r>
          </w:p>
        </w:tc>
        <w:tc>
          <w:tcPr>
            <w:tcW w:w="1732" w:type="dxa"/>
            <w:noWrap/>
            <w:vAlign w:val="bottom"/>
            <w:hideMark/>
          </w:tcPr>
          <w:p w14:paraId="5BC0C258"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4514A716" w14:textId="77777777" w:rsidTr="00BB4F69">
        <w:trPr>
          <w:trHeight w:val="300"/>
          <w:jc w:val="center"/>
        </w:trPr>
        <w:tc>
          <w:tcPr>
            <w:tcW w:w="4500" w:type="dxa"/>
            <w:noWrap/>
            <w:vAlign w:val="bottom"/>
            <w:hideMark/>
          </w:tcPr>
          <w:p w14:paraId="6A55592D" w14:textId="77777777" w:rsidR="00DF358A" w:rsidRPr="004E13E9" w:rsidRDefault="00DF358A" w:rsidP="00BB4F69">
            <w:pPr>
              <w:rPr>
                <w:sz w:val="18"/>
                <w:szCs w:val="18"/>
                <w:lang w:val="en-GB"/>
              </w:rPr>
            </w:pPr>
            <w:r w:rsidRPr="004E13E9">
              <w:rPr>
                <w:sz w:val="18"/>
                <w:szCs w:val="18"/>
                <w:lang w:val="en-GB"/>
              </w:rPr>
              <w:t>FANO</w:t>
            </w:r>
          </w:p>
        </w:tc>
        <w:tc>
          <w:tcPr>
            <w:tcW w:w="1732" w:type="dxa"/>
            <w:noWrap/>
            <w:vAlign w:val="bottom"/>
            <w:hideMark/>
          </w:tcPr>
          <w:p w14:paraId="674B0BE8"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587302C" w14:textId="77777777" w:rsidTr="00BB4F69">
        <w:trPr>
          <w:trHeight w:val="300"/>
          <w:jc w:val="center"/>
        </w:trPr>
        <w:tc>
          <w:tcPr>
            <w:tcW w:w="4500" w:type="dxa"/>
            <w:noWrap/>
            <w:vAlign w:val="bottom"/>
            <w:hideMark/>
          </w:tcPr>
          <w:p w14:paraId="445ACEBC" w14:textId="77777777" w:rsidR="00DF358A" w:rsidRPr="004E13E9" w:rsidRDefault="00DF358A" w:rsidP="00BB4F69">
            <w:pPr>
              <w:rPr>
                <w:sz w:val="18"/>
                <w:szCs w:val="18"/>
                <w:lang w:val="en-GB"/>
              </w:rPr>
            </w:pPr>
            <w:r w:rsidRPr="004E13E9">
              <w:rPr>
                <w:sz w:val="18"/>
                <w:szCs w:val="18"/>
                <w:lang w:val="en-GB"/>
              </w:rPr>
              <w:t>FAVIGNANA</w:t>
            </w:r>
          </w:p>
        </w:tc>
        <w:tc>
          <w:tcPr>
            <w:tcW w:w="1732" w:type="dxa"/>
            <w:noWrap/>
            <w:vAlign w:val="bottom"/>
            <w:hideMark/>
          </w:tcPr>
          <w:p w14:paraId="6AB9D0AB"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16264D0" w14:textId="77777777" w:rsidTr="00BB4F69">
        <w:trPr>
          <w:trHeight w:val="300"/>
          <w:jc w:val="center"/>
        </w:trPr>
        <w:tc>
          <w:tcPr>
            <w:tcW w:w="4500" w:type="dxa"/>
            <w:noWrap/>
            <w:vAlign w:val="bottom"/>
            <w:hideMark/>
          </w:tcPr>
          <w:p w14:paraId="5E4FF215" w14:textId="77777777" w:rsidR="00DF358A" w:rsidRPr="004E13E9" w:rsidRDefault="00DF358A" w:rsidP="00BB4F69">
            <w:pPr>
              <w:rPr>
                <w:sz w:val="18"/>
                <w:szCs w:val="18"/>
                <w:lang w:val="en-GB"/>
              </w:rPr>
            </w:pPr>
            <w:r w:rsidRPr="004E13E9">
              <w:rPr>
                <w:sz w:val="18"/>
                <w:szCs w:val="18"/>
                <w:lang w:val="en-GB"/>
              </w:rPr>
              <w:t>FINALE LIGURE</w:t>
            </w:r>
          </w:p>
        </w:tc>
        <w:tc>
          <w:tcPr>
            <w:tcW w:w="1732" w:type="dxa"/>
            <w:noWrap/>
            <w:vAlign w:val="bottom"/>
            <w:hideMark/>
          </w:tcPr>
          <w:p w14:paraId="3C06F143"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46428FEA" w14:textId="77777777" w:rsidTr="00BB4F69">
        <w:trPr>
          <w:trHeight w:val="300"/>
          <w:jc w:val="center"/>
        </w:trPr>
        <w:tc>
          <w:tcPr>
            <w:tcW w:w="4500" w:type="dxa"/>
            <w:noWrap/>
            <w:vAlign w:val="bottom"/>
            <w:hideMark/>
          </w:tcPr>
          <w:p w14:paraId="66C278B8" w14:textId="77777777" w:rsidR="00DF358A" w:rsidRPr="004E13E9" w:rsidRDefault="00DF358A" w:rsidP="00BB4F69">
            <w:pPr>
              <w:rPr>
                <w:sz w:val="18"/>
                <w:szCs w:val="18"/>
                <w:lang w:val="en-GB"/>
              </w:rPr>
            </w:pPr>
            <w:r w:rsidRPr="004E13E9">
              <w:rPr>
                <w:sz w:val="18"/>
                <w:szCs w:val="18"/>
                <w:lang w:val="en-GB"/>
              </w:rPr>
              <w:t>FIUMICINO</w:t>
            </w:r>
          </w:p>
        </w:tc>
        <w:tc>
          <w:tcPr>
            <w:tcW w:w="1732" w:type="dxa"/>
            <w:noWrap/>
            <w:vAlign w:val="bottom"/>
            <w:hideMark/>
          </w:tcPr>
          <w:p w14:paraId="4D9E201B"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618C739F" w14:textId="77777777" w:rsidTr="00BB4F69">
        <w:trPr>
          <w:trHeight w:val="300"/>
          <w:jc w:val="center"/>
        </w:trPr>
        <w:tc>
          <w:tcPr>
            <w:tcW w:w="4500" w:type="dxa"/>
            <w:noWrap/>
            <w:vAlign w:val="bottom"/>
            <w:hideMark/>
          </w:tcPr>
          <w:p w14:paraId="0297D143" w14:textId="77777777" w:rsidR="00DF358A" w:rsidRPr="004E13E9" w:rsidRDefault="00DF358A" w:rsidP="00BB4F69">
            <w:pPr>
              <w:rPr>
                <w:sz w:val="18"/>
                <w:szCs w:val="18"/>
                <w:lang w:val="en-GB"/>
              </w:rPr>
            </w:pPr>
            <w:r w:rsidRPr="004E13E9">
              <w:rPr>
                <w:sz w:val="18"/>
                <w:szCs w:val="18"/>
                <w:lang w:val="en-GB"/>
              </w:rPr>
              <w:t>FORIO</w:t>
            </w:r>
          </w:p>
        </w:tc>
        <w:tc>
          <w:tcPr>
            <w:tcW w:w="1732" w:type="dxa"/>
            <w:noWrap/>
            <w:vAlign w:val="bottom"/>
            <w:hideMark/>
          </w:tcPr>
          <w:p w14:paraId="1543B53C"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68B2C70C" w14:textId="77777777" w:rsidTr="00BB4F69">
        <w:trPr>
          <w:trHeight w:val="300"/>
          <w:jc w:val="center"/>
        </w:trPr>
        <w:tc>
          <w:tcPr>
            <w:tcW w:w="4500" w:type="dxa"/>
            <w:noWrap/>
            <w:vAlign w:val="bottom"/>
            <w:hideMark/>
          </w:tcPr>
          <w:p w14:paraId="643C8DC6" w14:textId="77777777" w:rsidR="00DF358A" w:rsidRPr="004E13E9" w:rsidRDefault="00DF358A" w:rsidP="00BB4F69">
            <w:pPr>
              <w:rPr>
                <w:sz w:val="18"/>
                <w:szCs w:val="18"/>
                <w:lang w:val="en-GB"/>
              </w:rPr>
            </w:pPr>
            <w:r w:rsidRPr="004E13E9">
              <w:rPr>
                <w:sz w:val="18"/>
                <w:szCs w:val="18"/>
                <w:lang w:val="en-GB"/>
              </w:rPr>
              <w:t>GAETA</w:t>
            </w:r>
          </w:p>
        </w:tc>
        <w:tc>
          <w:tcPr>
            <w:tcW w:w="1732" w:type="dxa"/>
            <w:noWrap/>
            <w:vAlign w:val="bottom"/>
            <w:hideMark/>
          </w:tcPr>
          <w:p w14:paraId="0217DE2B"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34B486F" w14:textId="77777777" w:rsidTr="00BB4F69">
        <w:trPr>
          <w:trHeight w:val="300"/>
          <w:jc w:val="center"/>
        </w:trPr>
        <w:tc>
          <w:tcPr>
            <w:tcW w:w="4500" w:type="dxa"/>
            <w:noWrap/>
            <w:vAlign w:val="bottom"/>
            <w:hideMark/>
          </w:tcPr>
          <w:p w14:paraId="2D8B16BE" w14:textId="77777777" w:rsidR="00DF358A" w:rsidRPr="004E13E9" w:rsidRDefault="00DF358A" w:rsidP="00BB4F69">
            <w:pPr>
              <w:rPr>
                <w:sz w:val="18"/>
                <w:szCs w:val="18"/>
                <w:lang w:val="en-GB"/>
              </w:rPr>
            </w:pPr>
            <w:r w:rsidRPr="004E13E9">
              <w:rPr>
                <w:sz w:val="18"/>
                <w:szCs w:val="18"/>
                <w:lang w:val="en-GB"/>
              </w:rPr>
              <w:t xml:space="preserve">GALLIPOLI </w:t>
            </w:r>
          </w:p>
        </w:tc>
        <w:tc>
          <w:tcPr>
            <w:tcW w:w="1732" w:type="dxa"/>
            <w:noWrap/>
            <w:vAlign w:val="bottom"/>
            <w:hideMark/>
          </w:tcPr>
          <w:p w14:paraId="4BF43969"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16CBEBA1" w14:textId="77777777" w:rsidTr="00BB4F69">
        <w:trPr>
          <w:trHeight w:val="300"/>
          <w:jc w:val="center"/>
        </w:trPr>
        <w:tc>
          <w:tcPr>
            <w:tcW w:w="4500" w:type="dxa"/>
            <w:noWrap/>
            <w:vAlign w:val="bottom"/>
            <w:hideMark/>
          </w:tcPr>
          <w:p w14:paraId="2A26BB9E" w14:textId="77777777" w:rsidR="00DF358A" w:rsidRPr="004E13E9" w:rsidRDefault="00DF358A" w:rsidP="00BB4F69">
            <w:pPr>
              <w:rPr>
                <w:sz w:val="18"/>
                <w:szCs w:val="18"/>
                <w:lang w:val="en-GB"/>
              </w:rPr>
            </w:pPr>
            <w:r w:rsidRPr="004E13E9">
              <w:rPr>
                <w:sz w:val="18"/>
                <w:szCs w:val="18"/>
                <w:lang w:val="en-GB"/>
              </w:rPr>
              <w:t>GELA</w:t>
            </w:r>
          </w:p>
        </w:tc>
        <w:tc>
          <w:tcPr>
            <w:tcW w:w="1732" w:type="dxa"/>
            <w:noWrap/>
            <w:vAlign w:val="bottom"/>
            <w:hideMark/>
          </w:tcPr>
          <w:p w14:paraId="2AF86874"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744959B" w14:textId="77777777" w:rsidTr="00BB4F69">
        <w:trPr>
          <w:trHeight w:val="300"/>
          <w:jc w:val="center"/>
        </w:trPr>
        <w:tc>
          <w:tcPr>
            <w:tcW w:w="4500" w:type="dxa"/>
            <w:noWrap/>
            <w:vAlign w:val="bottom"/>
            <w:hideMark/>
          </w:tcPr>
          <w:p w14:paraId="281B4FE3" w14:textId="77777777" w:rsidR="00DF358A" w:rsidRPr="004E13E9" w:rsidRDefault="00DF358A" w:rsidP="00BB4F69">
            <w:pPr>
              <w:rPr>
                <w:sz w:val="18"/>
                <w:szCs w:val="18"/>
                <w:lang w:val="en-GB"/>
              </w:rPr>
            </w:pPr>
            <w:r w:rsidRPr="004E13E9">
              <w:rPr>
                <w:sz w:val="18"/>
                <w:szCs w:val="18"/>
                <w:lang w:val="en-GB"/>
              </w:rPr>
              <w:t>GENOVA</w:t>
            </w:r>
          </w:p>
        </w:tc>
        <w:tc>
          <w:tcPr>
            <w:tcW w:w="1732" w:type="dxa"/>
            <w:noWrap/>
            <w:vAlign w:val="bottom"/>
            <w:hideMark/>
          </w:tcPr>
          <w:p w14:paraId="3AD48D7C"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D0A69A1" w14:textId="77777777" w:rsidTr="00BB4F69">
        <w:trPr>
          <w:trHeight w:val="300"/>
          <w:jc w:val="center"/>
        </w:trPr>
        <w:tc>
          <w:tcPr>
            <w:tcW w:w="4500" w:type="dxa"/>
            <w:noWrap/>
            <w:vAlign w:val="bottom"/>
            <w:hideMark/>
          </w:tcPr>
          <w:p w14:paraId="6D2C20B1" w14:textId="77777777" w:rsidR="00DF358A" w:rsidRPr="004E13E9" w:rsidRDefault="00DF358A" w:rsidP="00BB4F69">
            <w:pPr>
              <w:rPr>
                <w:sz w:val="18"/>
                <w:szCs w:val="18"/>
                <w:lang w:val="en-GB"/>
              </w:rPr>
            </w:pPr>
            <w:r w:rsidRPr="004E13E9">
              <w:rPr>
                <w:sz w:val="18"/>
                <w:szCs w:val="18"/>
                <w:lang w:val="en-GB"/>
              </w:rPr>
              <w:t>GIOIA TAURO</w:t>
            </w:r>
          </w:p>
        </w:tc>
        <w:tc>
          <w:tcPr>
            <w:tcW w:w="1732" w:type="dxa"/>
            <w:noWrap/>
            <w:vAlign w:val="bottom"/>
            <w:hideMark/>
          </w:tcPr>
          <w:p w14:paraId="50EF07C8"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A6407ED" w14:textId="77777777" w:rsidTr="00BB4F69">
        <w:trPr>
          <w:trHeight w:val="300"/>
          <w:jc w:val="center"/>
        </w:trPr>
        <w:tc>
          <w:tcPr>
            <w:tcW w:w="4500" w:type="dxa"/>
            <w:noWrap/>
            <w:vAlign w:val="bottom"/>
            <w:hideMark/>
          </w:tcPr>
          <w:p w14:paraId="13834DDC" w14:textId="77777777" w:rsidR="00DF358A" w:rsidRPr="004E13E9" w:rsidRDefault="00DF358A" w:rsidP="00BB4F69">
            <w:pPr>
              <w:rPr>
                <w:sz w:val="18"/>
                <w:szCs w:val="18"/>
                <w:lang w:val="en-GB"/>
              </w:rPr>
            </w:pPr>
            <w:r w:rsidRPr="004E13E9">
              <w:rPr>
                <w:sz w:val="18"/>
                <w:szCs w:val="18"/>
                <w:lang w:val="en-GB"/>
              </w:rPr>
              <w:t>GIULIANOVA</w:t>
            </w:r>
          </w:p>
        </w:tc>
        <w:tc>
          <w:tcPr>
            <w:tcW w:w="1732" w:type="dxa"/>
            <w:noWrap/>
            <w:vAlign w:val="bottom"/>
            <w:hideMark/>
          </w:tcPr>
          <w:p w14:paraId="2F4EBAE1"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7ECD28A" w14:textId="77777777" w:rsidTr="00BB4F69">
        <w:trPr>
          <w:trHeight w:val="300"/>
          <w:jc w:val="center"/>
        </w:trPr>
        <w:tc>
          <w:tcPr>
            <w:tcW w:w="4500" w:type="dxa"/>
            <w:noWrap/>
            <w:vAlign w:val="bottom"/>
            <w:hideMark/>
          </w:tcPr>
          <w:p w14:paraId="6A910628" w14:textId="77777777" w:rsidR="00DF358A" w:rsidRPr="004E13E9" w:rsidRDefault="00DF358A" w:rsidP="00BB4F69">
            <w:pPr>
              <w:rPr>
                <w:sz w:val="18"/>
                <w:szCs w:val="18"/>
                <w:lang w:val="en-GB"/>
              </w:rPr>
            </w:pPr>
            <w:r w:rsidRPr="004E13E9">
              <w:rPr>
                <w:sz w:val="18"/>
                <w:szCs w:val="18"/>
                <w:lang w:val="en-GB"/>
              </w:rPr>
              <w:t>GOLFO ARANCI</w:t>
            </w:r>
          </w:p>
        </w:tc>
        <w:tc>
          <w:tcPr>
            <w:tcW w:w="1732" w:type="dxa"/>
            <w:noWrap/>
            <w:vAlign w:val="bottom"/>
            <w:hideMark/>
          </w:tcPr>
          <w:p w14:paraId="58A61E7F"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6217FF3" w14:textId="77777777" w:rsidTr="00BB4F69">
        <w:trPr>
          <w:trHeight w:val="300"/>
          <w:jc w:val="center"/>
        </w:trPr>
        <w:tc>
          <w:tcPr>
            <w:tcW w:w="4500" w:type="dxa"/>
            <w:noWrap/>
            <w:vAlign w:val="bottom"/>
            <w:hideMark/>
          </w:tcPr>
          <w:p w14:paraId="5355E142" w14:textId="77777777" w:rsidR="00DF358A" w:rsidRPr="004E13E9" w:rsidRDefault="00DF358A" w:rsidP="00BB4F69">
            <w:pPr>
              <w:rPr>
                <w:sz w:val="18"/>
                <w:szCs w:val="18"/>
                <w:lang w:val="en-GB"/>
              </w:rPr>
            </w:pPr>
            <w:r w:rsidRPr="004E13E9">
              <w:rPr>
                <w:sz w:val="18"/>
                <w:szCs w:val="18"/>
                <w:lang w:val="en-GB"/>
              </w:rPr>
              <w:t>GRADO</w:t>
            </w:r>
          </w:p>
        </w:tc>
        <w:tc>
          <w:tcPr>
            <w:tcW w:w="1732" w:type="dxa"/>
            <w:noWrap/>
            <w:vAlign w:val="bottom"/>
            <w:hideMark/>
          </w:tcPr>
          <w:p w14:paraId="20AF74D3"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25E5CCF" w14:textId="77777777" w:rsidTr="00BB4F69">
        <w:trPr>
          <w:trHeight w:val="300"/>
          <w:jc w:val="center"/>
        </w:trPr>
        <w:tc>
          <w:tcPr>
            <w:tcW w:w="4500" w:type="dxa"/>
            <w:noWrap/>
            <w:vAlign w:val="bottom"/>
            <w:hideMark/>
          </w:tcPr>
          <w:p w14:paraId="4E3630B8" w14:textId="77777777" w:rsidR="00DF358A" w:rsidRPr="004E13E9" w:rsidRDefault="00DF358A" w:rsidP="00BB4F69">
            <w:pPr>
              <w:rPr>
                <w:sz w:val="18"/>
                <w:szCs w:val="18"/>
                <w:lang w:val="en-GB"/>
              </w:rPr>
            </w:pPr>
            <w:r w:rsidRPr="004E13E9">
              <w:rPr>
                <w:sz w:val="18"/>
                <w:szCs w:val="18"/>
                <w:lang w:val="en-GB"/>
              </w:rPr>
              <w:t>IMPERIA</w:t>
            </w:r>
          </w:p>
        </w:tc>
        <w:tc>
          <w:tcPr>
            <w:tcW w:w="1732" w:type="dxa"/>
            <w:noWrap/>
            <w:vAlign w:val="bottom"/>
            <w:hideMark/>
          </w:tcPr>
          <w:p w14:paraId="0FF7D977"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1BD5B5B4" w14:textId="77777777" w:rsidTr="00BB4F69">
        <w:trPr>
          <w:trHeight w:val="300"/>
          <w:jc w:val="center"/>
        </w:trPr>
        <w:tc>
          <w:tcPr>
            <w:tcW w:w="4500" w:type="dxa"/>
            <w:noWrap/>
            <w:vAlign w:val="bottom"/>
            <w:hideMark/>
          </w:tcPr>
          <w:p w14:paraId="691B3BFA" w14:textId="77777777" w:rsidR="00DF358A" w:rsidRPr="004E13E9" w:rsidRDefault="00DF358A" w:rsidP="00BB4F69">
            <w:pPr>
              <w:rPr>
                <w:sz w:val="18"/>
                <w:szCs w:val="18"/>
                <w:lang w:val="en-GB"/>
              </w:rPr>
            </w:pPr>
            <w:r w:rsidRPr="004E13E9">
              <w:rPr>
                <w:sz w:val="18"/>
                <w:szCs w:val="18"/>
                <w:lang w:val="en-GB"/>
              </w:rPr>
              <w:t>ISCHIA</w:t>
            </w:r>
          </w:p>
        </w:tc>
        <w:tc>
          <w:tcPr>
            <w:tcW w:w="1732" w:type="dxa"/>
            <w:noWrap/>
            <w:vAlign w:val="bottom"/>
            <w:hideMark/>
          </w:tcPr>
          <w:p w14:paraId="54D8CA4C"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693D3D37" w14:textId="77777777" w:rsidTr="00BB4F69">
        <w:trPr>
          <w:trHeight w:val="300"/>
          <w:jc w:val="center"/>
        </w:trPr>
        <w:tc>
          <w:tcPr>
            <w:tcW w:w="4500" w:type="dxa"/>
            <w:noWrap/>
            <w:vAlign w:val="bottom"/>
            <w:hideMark/>
          </w:tcPr>
          <w:p w14:paraId="70A88A09" w14:textId="77777777" w:rsidR="00DF358A" w:rsidRPr="004E13E9" w:rsidRDefault="00DF358A" w:rsidP="00BB4F69">
            <w:pPr>
              <w:rPr>
                <w:sz w:val="18"/>
                <w:szCs w:val="18"/>
                <w:lang w:val="en-GB"/>
              </w:rPr>
            </w:pPr>
            <w:r w:rsidRPr="004E13E9">
              <w:rPr>
                <w:sz w:val="18"/>
                <w:szCs w:val="18"/>
                <w:lang w:val="en-GB"/>
              </w:rPr>
              <w:t>LA CALETTA DI SINISCOLA</w:t>
            </w:r>
          </w:p>
        </w:tc>
        <w:tc>
          <w:tcPr>
            <w:tcW w:w="1732" w:type="dxa"/>
            <w:noWrap/>
            <w:vAlign w:val="bottom"/>
            <w:hideMark/>
          </w:tcPr>
          <w:p w14:paraId="0CC47EB2"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41A798D5" w14:textId="77777777" w:rsidTr="00BB4F69">
        <w:trPr>
          <w:trHeight w:val="300"/>
          <w:jc w:val="center"/>
        </w:trPr>
        <w:tc>
          <w:tcPr>
            <w:tcW w:w="4500" w:type="dxa"/>
            <w:noWrap/>
            <w:vAlign w:val="bottom"/>
            <w:hideMark/>
          </w:tcPr>
          <w:p w14:paraId="6D625CEA" w14:textId="77777777" w:rsidR="00DF358A" w:rsidRPr="004E13E9" w:rsidRDefault="00DF358A" w:rsidP="00BB4F69">
            <w:pPr>
              <w:rPr>
                <w:sz w:val="18"/>
                <w:szCs w:val="18"/>
                <w:lang w:val="en-GB"/>
              </w:rPr>
            </w:pPr>
            <w:r w:rsidRPr="004E13E9">
              <w:rPr>
                <w:sz w:val="18"/>
                <w:szCs w:val="18"/>
                <w:lang w:val="en-GB"/>
              </w:rPr>
              <w:t>LA MADDALENA</w:t>
            </w:r>
          </w:p>
        </w:tc>
        <w:tc>
          <w:tcPr>
            <w:tcW w:w="1732" w:type="dxa"/>
            <w:noWrap/>
            <w:vAlign w:val="bottom"/>
            <w:hideMark/>
          </w:tcPr>
          <w:p w14:paraId="71937976"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2906EB6E" w14:textId="77777777" w:rsidTr="00BB4F69">
        <w:trPr>
          <w:trHeight w:val="300"/>
          <w:jc w:val="center"/>
        </w:trPr>
        <w:tc>
          <w:tcPr>
            <w:tcW w:w="4500" w:type="dxa"/>
            <w:noWrap/>
            <w:vAlign w:val="bottom"/>
            <w:hideMark/>
          </w:tcPr>
          <w:p w14:paraId="559EEBAF" w14:textId="77777777" w:rsidR="00DF358A" w:rsidRPr="004E13E9" w:rsidRDefault="00DF358A" w:rsidP="00BB4F69">
            <w:pPr>
              <w:rPr>
                <w:sz w:val="18"/>
                <w:szCs w:val="18"/>
                <w:lang w:val="en-GB"/>
              </w:rPr>
            </w:pPr>
            <w:r w:rsidRPr="004E13E9">
              <w:rPr>
                <w:sz w:val="18"/>
                <w:szCs w:val="18"/>
                <w:lang w:val="en-GB"/>
              </w:rPr>
              <w:t>LA SPEZIA</w:t>
            </w:r>
          </w:p>
        </w:tc>
        <w:tc>
          <w:tcPr>
            <w:tcW w:w="1732" w:type="dxa"/>
            <w:noWrap/>
            <w:vAlign w:val="bottom"/>
            <w:hideMark/>
          </w:tcPr>
          <w:p w14:paraId="4CC47D47"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A1859BF" w14:textId="77777777" w:rsidTr="00BB4F69">
        <w:trPr>
          <w:trHeight w:val="300"/>
          <w:jc w:val="center"/>
        </w:trPr>
        <w:tc>
          <w:tcPr>
            <w:tcW w:w="4500" w:type="dxa"/>
            <w:noWrap/>
            <w:vAlign w:val="bottom"/>
            <w:hideMark/>
          </w:tcPr>
          <w:p w14:paraId="09829E40" w14:textId="77777777" w:rsidR="00DF358A" w:rsidRPr="004E13E9" w:rsidRDefault="00DF358A" w:rsidP="00BB4F69">
            <w:pPr>
              <w:rPr>
                <w:sz w:val="18"/>
                <w:szCs w:val="18"/>
                <w:lang w:val="en-GB"/>
              </w:rPr>
            </w:pPr>
            <w:r w:rsidRPr="004E13E9">
              <w:rPr>
                <w:sz w:val="18"/>
                <w:szCs w:val="18"/>
                <w:lang w:val="en-GB"/>
              </w:rPr>
              <w:t>LAMPEDUSA</w:t>
            </w:r>
          </w:p>
        </w:tc>
        <w:tc>
          <w:tcPr>
            <w:tcW w:w="1732" w:type="dxa"/>
            <w:noWrap/>
            <w:vAlign w:val="bottom"/>
            <w:hideMark/>
          </w:tcPr>
          <w:p w14:paraId="72FDB512"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83D37F3" w14:textId="77777777" w:rsidTr="00BB4F69">
        <w:trPr>
          <w:trHeight w:val="300"/>
          <w:jc w:val="center"/>
        </w:trPr>
        <w:tc>
          <w:tcPr>
            <w:tcW w:w="4500" w:type="dxa"/>
            <w:noWrap/>
            <w:vAlign w:val="bottom"/>
            <w:hideMark/>
          </w:tcPr>
          <w:p w14:paraId="63379E92" w14:textId="77777777" w:rsidR="00DF358A" w:rsidRPr="004E13E9" w:rsidRDefault="00DF358A" w:rsidP="00BB4F69">
            <w:pPr>
              <w:rPr>
                <w:sz w:val="18"/>
                <w:szCs w:val="18"/>
                <w:lang w:val="en-GB"/>
              </w:rPr>
            </w:pPr>
            <w:r w:rsidRPr="004E13E9">
              <w:rPr>
                <w:sz w:val="18"/>
                <w:szCs w:val="18"/>
                <w:lang w:val="en-GB"/>
              </w:rPr>
              <w:t>LICATA</w:t>
            </w:r>
          </w:p>
        </w:tc>
        <w:tc>
          <w:tcPr>
            <w:tcW w:w="1732" w:type="dxa"/>
            <w:noWrap/>
            <w:vAlign w:val="bottom"/>
            <w:hideMark/>
          </w:tcPr>
          <w:p w14:paraId="67CB2AFE"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AD64034" w14:textId="77777777" w:rsidTr="00BB4F69">
        <w:trPr>
          <w:trHeight w:val="300"/>
          <w:jc w:val="center"/>
        </w:trPr>
        <w:tc>
          <w:tcPr>
            <w:tcW w:w="4500" w:type="dxa"/>
            <w:noWrap/>
            <w:vAlign w:val="bottom"/>
            <w:hideMark/>
          </w:tcPr>
          <w:p w14:paraId="5F9851C6" w14:textId="77777777" w:rsidR="00DF358A" w:rsidRPr="004E13E9" w:rsidRDefault="00DF358A" w:rsidP="00BB4F69">
            <w:pPr>
              <w:rPr>
                <w:sz w:val="18"/>
                <w:szCs w:val="18"/>
                <w:lang w:val="en-GB"/>
              </w:rPr>
            </w:pPr>
            <w:r w:rsidRPr="004E13E9">
              <w:rPr>
                <w:sz w:val="18"/>
                <w:szCs w:val="18"/>
                <w:lang w:val="en-GB"/>
              </w:rPr>
              <w:t>LIPARI</w:t>
            </w:r>
          </w:p>
        </w:tc>
        <w:tc>
          <w:tcPr>
            <w:tcW w:w="1732" w:type="dxa"/>
            <w:noWrap/>
            <w:vAlign w:val="bottom"/>
            <w:hideMark/>
          </w:tcPr>
          <w:p w14:paraId="7185F35E"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8105343" w14:textId="77777777" w:rsidTr="00BB4F69">
        <w:trPr>
          <w:trHeight w:val="300"/>
          <w:jc w:val="center"/>
        </w:trPr>
        <w:tc>
          <w:tcPr>
            <w:tcW w:w="4500" w:type="dxa"/>
            <w:noWrap/>
            <w:vAlign w:val="bottom"/>
            <w:hideMark/>
          </w:tcPr>
          <w:p w14:paraId="4869E9D3" w14:textId="77777777" w:rsidR="00DF358A" w:rsidRPr="004E13E9" w:rsidRDefault="00DF358A" w:rsidP="00BB4F69">
            <w:pPr>
              <w:rPr>
                <w:sz w:val="18"/>
                <w:szCs w:val="18"/>
                <w:lang w:val="en-GB"/>
              </w:rPr>
            </w:pPr>
            <w:r w:rsidRPr="004E13E9">
              <w:rPr>
                <w:sz w:val="18"/>
                <w:szCs w:val="18"/>
                <w:lang w:val="en-GB"/>
              </w:rPr>
              <w:t>LIVORNO</w:t>
            </w:r>
          </w:p>
        </w:tc>
        <w:tc>
          <w:tcPr>
            <w:tcW w:w="1732" w:type="dxa"/>
            <w:noWrap/>
            <w:vAlign w:val="bottom"/>
            <w:hideMark/>
          </w:tcPr>
          <w:p w14:paraId="223C22D0"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58A1CFC3" w14:textId="77777777" w:rsidTr="00BB4F69">
        <w:trPr>
          <w:trHeight w:val="300"/>
          <w:jc w:val="center"/>
        </w:trPr>
        <w:tc>
          <w:tcPr>
            <w:tcW w:w="4500" w:type="dxa"/>
            <w:noWrap/>
            <w:vAlign w:val="bottom"/>
            <w:hideMark/>
          </w:tcPr>
          <w:p w14:paraId="2557190B" w14:textId="77777777" w:rsidR="00DF358A" w:rsidRPr="004E13E9" w:rsidRDefault="00DF358A" w:rsidP="00BB4F69">
            <w:pPr>
              <w:rPr>
                <w:sz w:val="18"/>
                <w:szCs w:val="18"/>
                <w:lang w:val="en-GB"/>
              </w:rPr>
            </w:pPr>
            <w:r w:rsidRPr="004E13E9">
              <w:rPr>
                <w:sz w:val="18"/>
                <w:szCs w:val="18"/>
                <w:lang w:val="en-GB"/>
              </w:rPr>
              <w:t>LOANO</w:t>
            </w:r>
          </w:p>
        </w:tc>
        <w:tc>
          <w:tcPr>
            <w:tcW w:w="1732" w:type="dxa"/>
            <w:noWrap/>
            <w:vAlign w:val="bottom"/>
            <w:hideMark/>
          </w:tcPr>
          <w:p w14:paraId="19687D76"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4517047" w14:textId="77777777" w:rsidTr="00BB4F69">
        <w:trPr>
          <w:trHeight w:val="300"/>
          <w:jc w:val="center"/>
        </w:trPr>
        <w:tc>
          <w:tcPr>
            <w:tcW w:w="4500" w:type="dxa"/>
            <w:noWrap/>
            <w:vAlign w:val="bottom"/>
            <w:hideMark/>
          </w:tcPr>
          <w:p w14:paraId="52AC5902" w14:textId="77777777" w:rsidR="00DF358A" w:rsidRPr="004E13E9" w:rsidRDefault="00DF358A" w:rsidP="00BB4F69">
            <w:pPr>
              <w:rPr>
                <w:sz w:val="18"/>
                <w:szCs w:val="18"/>
                <w:lang w:val="en-GB"/>
              </w:rPr>
            </w:pPr>
            <w:r w:rsidRPr="004E13E9">
              <w:rPr>
                <w:sz w:val="18"/>
                <w:szCs w:val="18"/>
                <w:lang w:val="en-GB"/>
              </w:rPr>
              <w:t>MANFREDONIA</w:t>
            </w:r>
          </w:p>
        </w:tc>
        <w:tc>
          <w:tcPr>
            <w:tcW w:w="1732" w:type="dxa"/>
            <w:noWrap/>
            <w:vAlign w:val="bottom"/>
            <w:hideMark/>
          </w:tcPr>
          <w:p w14:paraId="38DF9484"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6B5D6CC4" w14:textId="77777777" w:rsidTr="00BB4F69">
        <w:trPr>
          <w:trHeight w:val="300"/>
          <w:jc w:val="center"/>
        </w:trPr>
        <w:tc>
          <w:tcPr>
            <w:tcW w:w="4500" w:type="dxa"/>
            <w:noWrap/>
            <w:vAlign w:val="bottom"/>
            <w:hideMark/>
          </w:tcPr>
          <w:p w14:paraId="734D5C4F" w14:textId="77777777" w:rsidR="00DF358A" w:rsidRPr="004E13E9" w:rsidRDefault="00DF358A" w:rsidP="00BB4F69">
            <w:pPr>
              <w:rPr>
                <w:sz w:val="18"/>
                <w:szCs w:val="18"/>
                <w:lang w:val="en-GB"/>
              </w:rPr>
            </w:pPr>
            <w:r w:rsidRPr="004E13E9">
              <w:rPr>
                <w:sz w:val="18"/>
                <w:szCs w:val="18"/>
                <w:lang w:val="en-GB"/>
              </w:rPr>
              <w:t>MARETTIMO</w:t>
            </w:r>
          </w:p>
        </w:tc>
        <w:tc>
          <w:tcPr>
            <w:tcW w:w="1732" w:type="dxa"/>
            <w:noWrap/>
            <w:vAlign w:val="bottom"/>
            <w:hideMark/>
          </w:tcPr>
          <w:p w14:paraId="79DB411A"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1F224779" w14:textId="77777777" w:rsidTr="00BB4F69">
        <w:trPr>
          <w:trHeight w:val="300"/>
          <w:jc w:val="center"/>
        </w:trPr>
        <w:tc>
          <w:tcPr>
            <w:tcW w:w="4500" w:type="dxa"/>
            <w:noWrap/>
            <w:vAlign w:val="bottom"/>
            <w:hideMark/>
          </w:tcPr>
          <w:p w14:paraId="7A2291D0" w14:textId="77777777" w:rsidR="00DF358A" w:rsidRPr="004E13E9" w:rsidRDefault="00DF358A" w:rsidP="00BB4F69">
            <w:pPr>
              <w:rPr>
                <w:sz w:val="18"/>
                <w:szCs w:val="18"/>
                <w:lang w:val="en-GB"/>
              </w:rPr>
            </w:pPr>
            <w:r w:rsidRPr="004E13E9">
              <w:rPr>
                <w:sz w:val="18"/>
                <w:szCs w:val="18"/>
                <w:lang w:val="en-GB"/>
              </w:rPr>
              <w:t>MARINA DI CAMEROTA</w:t>
            </w:r>
          </w:p>
        </w:tc>
        <w:tc>
          <w:tcPr>
            <w:tcW w:w="1732" w:type="dxa"/>
            <w:noWrap/>
            <w:vAlign w:val="bottom"/>
            <w:hideMark/>
          </w:tcPr>
          <w:p w14:paraId="1B40C716"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901E7D6" w14:textId="77777777" w:rsidTr="00BB4F69">
        <w:trPr>
          <w:trHeight w:val="300"/>
          <w:jc w:val="center"/>
        </w:trPr>
        <w:tc>
          <w:tcPr>
            <w:tcW w:w="4500" w:type="dxa"/>
            <w:noWrap/>
            <w:vAlign w:val="bottom"/>
            <w:hideMark/>
          </w:tcPr>
          <w:p w14:paraId="011CB471" w14:textId="77777777" w:rsidR="00DF358A" w:rsidRPr="004E13E9" w:rsidRDefault="00DF358A" w:rsidP="00BB4F69">
            <w:pPr>
              <w:rPr>
                <w:sz w:val="18"/>
                <w:szCs w:val="18"/>
                <w:lang w:val="en-GB"/>
              </w:rPr>
            </w:pPr>
            <w:r w:rsidRPr="004E13E9">
              <w:rPr>
                <w:sz w:val="18"/>
                <w:szCs w:val="18"/>
                <w:lang w:val="en-GB"/>
              </w:rPr>
              <w:t>MARSALA</w:t>
            </w:r>
          </w:p>
        </w:tc>
        <w:tc>
          <w:tcPr>
            <w:tcW w:w="1732" w:type="dxa"/>
            <w:noWrap/>
            <w:vAlign w:val="bottom"/>
            <w:hideMark/>
          </w:tcPr>
          <w:p w14:paraId="45431177"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FDD1110" w14:textId="77777777" w:rsidTr="00BB4F69">
        <w:trPr>
          <w:trHeight w:val="300"/>
          <w:jc w:val="center"/>
        </w:trPr>
        <w:tc>
          <w:tcPr>
            <w:tcW w:w="4500" w:type="dxa"/>
            <w:noWrap/>
            <w:vAlign w:val="bottom"/>
            <w:hideMark/>
          </w:tcPr>
          <w:p w14:paraId="1927C760" w14:textId="77777777" w:rsidR="00DF358A" w:rsidRPr="004E13E9" w:rsidRDefault="00DF358A" w:rsidP="00BB4F69">
            <w:pPr>
              <w:rPr>
                <w:sz w:val="18"/>
                <w:szCs w:val="18"/>
                <w:lang w:val="en-GB"/>
              </w:rPr>
            </w:pPr>
            <w:r w:rsidRPr="004E13E9">
              <w:rPr>
                <w:sz w:val="18"/>
                <w:szCs w:val="18"/>
                <w:lang w:val="en-GB"/>
              </w:rPr>
              <w:t>MESSINA</w:t>
            </w:r>
          </w:p>
        </w:tc>
        <w:tc>
          <w:tcPr>
            <w:tcW w:w="1732" w:type="dxa"/>
            <w:noWrap/>
            <w:vAlign w:val="bottom"/>
            <w:hideMark/>
          </w:tcPr>
          <w:p w14:paraId="26185E0E"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2E01FAF1" w14:textId="77777777" w:rsidTr="00BB4F69">
        <w:trPr>
          <w:trHeight w:val="300"/>
          <w:jc w:val="center"/>
        </w:trPr>
        <w:tc>
          <w:tcPr>
            <w:tcW w:w="4500" w:type="dxa"/>
            <w:noWrap/>
            <w:vAlign w:val="bottom"/>
            <w:hideMark/>
          </w:tcPr>
          <w:p w14:paraId="2EE43B5A" w14:textId="77777777" w:rsidR="00DF358A" w:rsidRPr="004E13E9" w:rsidRDefault="00DF358A" w:rsidP="00BB4F69">
            <w:pPr>
              <w:rPr>
                <w:sz w:val="18"/>
                <w:szCs w:val="18"/>
                <w:lang w:val="en-GB"/>
              </w:rPr>
            </w:pPr>
            <w:r w:rsidRPr="004E13E9">
              <w:rPr>
                <w:sz w:val="18"/>
                <w:szCs w:val="18"/>
                <w:lang w:val="en-GB"/>
              </w:rPr>
              <w:t>MILAZZO</w:t>
            </w:r>
          </w:p>
        </w:tc>
        <w:tc>
          <w:tcPr>
            <w:tcW w:w="1732" w:type="dxa"/>
            <w:noWrap/>
            <w:vAlign w:val="bottom"/>
            <w:hideMark/>
          </w:tcPr>
          <w:p w14:paraId="04C5A971"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049372C" w14:textId="77777777" w:rsidTr="00BB4F69">
        <w:trPr>
          <w:trHeight w:val="300"/>
          <w:jc w:val="center"/>
        </w:trPr>
        <w:tc>
          <w:tcPr>
            <w:tcW w:w="4500" w:type="dxa"/>
            <w:noWrap/>
            <w:vAlign w:val="bottom"/>
            <w:hideMark/>
          </w:tcPr>
          <w:p w14:paraId="1D04AD72" w14:textId="77777777" w:rsidR="00DF358A" w:rsidRPr="004E13E9" w:rsidRDefault="00DF358A" w:rsidP="00BB4F69">
            <w:pPr>
              <w:rPr>
                <w:sz w:val="18"/>
                <w:szCs w:val="18"/>
                <w:lang w:val="en-GB"/>
              </w:rPr>
            </w:pPr>
            <w:r w:rsidRPr="004E13E9">
              <w:rPr>
                <w:sz w:val="18"/>
                <w:szCs w:val="18"/>
                <w:lang w:val="en-GB"/>
              </w:rPr>
              <w:t xml:space="preserve">MOLA DI BARI </w:t>
            </w:r>
          </w:p>
        </w:tc>
        <w:tc>
          <w:tcPr>
            <w:tcW w:w="1732" w:type="dxa"/>
            <w:noWrap/>
            <w:vAlign w:val="bottom"/>
            <w:hideMark/>
          </w:tcPr>
          <w:p w14:paraId="577EA33D"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7A85A7C" w14:textId="77777777" w:rsidTr="00BB4F69">
        <w:trPr>
          <w:trHeight w:val="300"/>
          <w:jc w:val="center"/>
        </w:trPr>
        <w:tc>
          <w:tcPr>
            <w:tcW w:w="4500" w:type="dxa"/>
            <w:noWrap/>
            <w:vAlign w:val="bottom"/>
            <w:hideMark/>
          </w:tcPr>
          <w:p w14:paraId="03D66EED" w14:textId="77777777" w:rsidR="00DF358A" w:rsidRPr="004E13E9" w:rsidRDefault="00DF358A" w:rsidP="00BB4F69">
            <w:pPr>
              <w:rPr>
                <w:sz w:val="18"/>
                <w:szCs w:val="18"/>
                <w:lang w:val="en-GB"/>
              </w:rPr>
            </w:pPr>
            <w:r w:rsidRPr="004E13E9">
              <w:rPr>
                <w:sz w:val="18"/>
                <w:szCs w:val="18"/>
                <w:lang w:val="en-GB"/>
              </w:rPr>
              <w:t>MOLFETTA</w:t>
            </w:r>
          </w:p>
        </w:tc>
        <w:tc>
          <w:tcPr>
            <w:tcW w:w="1732" w:type="dxa"/>
            <w:noWrap/>
            <w:vAlign w:val="bottom"/>
            <w:hideMark/>
          </w:tcPr>
          <w:p w14:paraId="546A28B4"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5862F9B9" w14:textId="77777777" w:rsidTr="00BB4F69">
        <w:trPr>
          <w:trHeight w:val="300"/>
          <w:jc w:val="center"/>
        </w:trPr>
        <w:tc>
          <w:tcPr>
            <w:tcW w:w="4500" w:type="dxa"/>
            <w:noWrap/>
            <w:vAlign w:val="bottom"/>
            <w:hideMark/>
          </w:tcPr>
          <w:p w14:paraId="60A3F966" w14:textId="77777777" w:rsidR="00DF358A" w:rsidRPr="004E13E9" w:rsidRDefault="00DF358A" w:rsidP="00BB4F69">
            <w:pPr>
              <w:rPr>
                <w:sz w:val="18"/>
                <w:szCs w:val="18"/>
                <w:lang w:val="en-GB"/>
              </w:rPr>
            </w:pPr>
            <w:r w:rsidRPr="004E13E9">
              <w:rPr>
                <w:sz w:val="18"/>
                <w:szCs w:val="18"/>
                <w:lang w:val="en-GB"/>
              </w:rPr>
              <w:t>MONOPOLI</w:t>
            </w:r>
          </w:p>
        </w:tc>
        <w:tc>
          <w:tcPr>
            <w:tcW w:w="1732" w:type="dxa"/>
            <w:noWrap/>
            <w:vAlign w:val="bottom"/>
            <w:hideMark/>
          </w:tcPr>
          <w:p w14:paraId="0DA39A4B"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503B5F76" w14:textId="77777777" w:rsidTr="00BB4F69">
        <w:trPr>
          <w:trHeight w:val="300"/>
          <w:jc w:val="center"/>
        </w:trPr>
        <w:tc>
          <w:tcPr>
            <w:tcW w:w="4500" w:type="dxa"/>
            <w:noWrap/>
            <w:vAlign w:val="bottom"/>
            <w:hideMark/>
          </w:tcPr>
          <w:p w14:paraId="68131D2C" w14:textId="77777777" w:rsidR="00DF358A" w:rsidRPr="004E13E9" w:rsidRDefault="00DF358A" w:rsidP="00BB4F69">
            <w:pPr>
              <w:rPr>
                <w:sz w:val="18"/>
                <w:szCs w:val="18"/>
                <w:lang w:val="en-GB"/>
              </w:rPr>
            </w:pPr>
            <w:r w:rsidRPr="004E13E9">
              <w:rPr>
                <w:sz w:val="18"/>
                <w:szCs w:val="18"/>
                <w:lang w:val="en-GB"/>
              </w:rPr>
              <w:t>MONTEROSSO</w:t>
            </w:r>
          </w:p>
        </w:tc>
        <w:tc>
          <w:tcPr>
            <w:tcW w:w="1732" w:type="dxa"/>
            <w:noWrap/>
            <w:vAlign w:val="bottom"/>
            <w:hideMark/>
          </w:tcPr>
          <w:p w14:paraId="40532190"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5B0EBBA" w14:textId="77777777" w:rsidTr="00BB4F69">
        <w:trPr>
          <w:trHeight w:val="300"/>
          <w:jc w:val="center"/>
        </w:trPr>
        <w:tc>
          <w:tcPr>
            <w:tcW w:w="4500" w:type="dxa"/>
            <w:noWrap/>
            <w:vAlign w:val="bottom"/>
            <w:hideMark/>
          </w:tcPr>
          <w:p w14:paraId="10CA1D05" w14:textId="77777777" w:rsidR="00DF358A" w:rsidRPr="004E13E9" w:rsidRDefault="00DF358A" w:rsidP="00BB4F69">
            <w:pPr>
              <w:rPr>
                <w:sz w:val="18"/>
                <w:szCs w:val="18"/>
                <w:lang w:val="en-GB"/>
              </w:rPr>
            </w:pPr>
            <w:r w:rsidRPr="004E13E9">
              <w:rPr>
                <w:sz w:val="18"/>
                <w:szCs w:val="18"/>
                <w:lang w:val="en-GB"/>
              </w:rPr>
              <w:t>NAPOLI</w:t>
            </w:r>
          </w:p>
        </w:tc>
        <w:tc>
          <w:tcPr>
            <w:tcW w:w="1732" w:type="dxa"/>
            <w:noWrap/>
            <w:vAlign w:val="bottom"/>
            <w:hideMark/>
          </w:tcPr>
          <w:p w14:paraId="34C7F28D"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750F6D5" w14:textId="77777777" w:rsidTr="00BB4F69">
        <w:trPr>
          <w:trHeight w:val="300"/>
          <w:jc w:val="center"/>
        </w:trPr>
        <w:tc>
          <w:tcPr>
            <w:tcW w:w="4500" w:type="dxa"/>
            <w:noWrap/>
            <w:vAlign w:val="bottom"/>
            <w:hideMark/>
          </w:tcPr>
          <w:p w14:paraId="1F503CFA" w14:textId="77777777" w:rsidR="00DF358A" w:rsidRPr="004E13E9" w:rsidRDefault="00DF358A" w:rsidP="00BB4F69">
            <w:pPr>
              <w:rPr>
                <w:sz w:val="18"/>
                <w:szCs w:val="18"/>
                <w:lang w:val="en-GB"/>
              </w:rPr>
            </w:pPr>
            <w:r w:rsidRPr="004E13E9">
              <w:rPr>
                <w:sz w:val="18"/>
                <w:szCs w:val="18"/>
                <w:lang w:val="en-GB"/>
              </w:rPr>
              <w:t>OLBIA</w:t>
            </w:r>
          </w:p>
        </w:tc>
        <w:tc>
          <w:tcPr>
            <w:tcW w:w="1732" w:type="dxa"/>
            <w:noWrap/>
            <w:vAlign w:val="bottom"/>
            <w:hideMark/>
          </w:tcPr>
          <w:p w14:paraId="644006C7"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65E0BEC" w14:textId="77777777" w:rsidTr="00BB4F69">
        <w:trPr>
          <w:trHeight w:val="300"/>
          <w:jc w:val="center"/>
        </w:trPr>
        <w:tc>
          <w:tcPr>
            <w:tcW w:w="4500" w:type="dxa"/>
            <w:noWrap/>
            <w:vAlign w:val="bottom"/>
            <w:hideMark/>
          </w:tcPr>
          <w:p w14:paraId="481A0A7E" w14:textId="77777777" w:rsidR="00DF358A" w:rsidRPr="004E13E9" w:rsidRDefault="00DF358A" w:rsidP="00BB4F69">
            <w:pPr>
              <w:rPr>
                <w:sz w:val="18"/>
                <w:szCs w:val="18"/>
                <w:lang w:val="en-GB"/>
              </w:rPr>
            </w:pPr>
            <w:r w:rsidRPr="004E13E9">
              <w:rPr>
                <w:sz w:val="18"/>
                <w:szCs w:val="18"/>
                <w:lang w:val="en-GB"/>
              </w:rPr>
              <w:t>ORISTANO</w:t>
            </w:r>
          </w:p>
        </w:tc>
        <w:tc>
          <w:tcPr>
            <w:tcW w:w="1732" w:type="dxa"/>
            <w:noWrap/>
            <w:vAlign w:val="bottom"/>
            <w:hideMark/>
          </w:tcPr>
          <w:p w14:paraId="2A1157B2"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23AF3077" w14:textId="77777777" w:rsidTr="00BB4F69">
        <w:trPr>
          <w:trHeight w:val="300"/>
          <w:jc w:val="center"/>
        </w:trPr>
        <w:tc>
          <w:tcPr>
            <w:tcW w:w="4500" w:type="dxa"/>
            <w:noWrap/>
            <w:vAlign w:val="bottom"/>
            <w:hideMark/>
          </w:tcPr>
          <w:p w14:paraId="10FC48C9" w14:textId="77777777" w:rsidR="00DF358A" w:rsidRPr="004E13E9" w:rsidRDefault="00DF358A" w:rsidP="00BB4F69">
            <w:pPr>
              <w:rPr>
                <w:sz w:val="18"/>
                <w:szCs w:val="18"/>
                <w:lang w:val="en-GB"/>
              </w:rPr>
            </w:pPr>
            <w:r w:rsidRPr="004E13E9">
              <w:rPr>
                <w:sz w:val="18"/>
                <w:szCs w:val="18"/>
                <w:lang w:val="en-GB"/>
              </w:rPr>
              <w:t>ORTONA</w:t>
            </w:r>
          </w:p>
        </w:tc>
        <w:tc>
          <w:tcPr>
            <w:tcW w:w="1732" w:type="dxa"/>
            <w:noWrap/>
            <w:vAlign w:val="bottom"/>
            <w:hideMark/>
          </w:tcPr>
          <w:p w14:paraId="3980F7CC"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02BA01A" w14:textId="77777777" w:rsidTr="00BB4F69">
        <w:trPr>
          <w:trHeight w:val="300"/>
          <w:jc w:val="center"/>
        </w:trPr>
        <w:tc>
          <w:tcPr>
            <w:tcW w:w="4500" w:type="dxa"/>
            <w:noWrap/>
            <w:vAlign w:val="bottom"/>
            <w:hideMark/>
          </w:tcPr>
          <w:p w14:paraId="12E31987" w14:textId="77777777" w:rsidR="00DF358A" w:rsidRPr="004E13E9" w:rsidRDefault="00DF358A" w:rsidP="00BB4F69">
            <w:pPr>
              <w:rPr>
                <w:sz w:val="18"/>
                <w:szCs w:val="18"/>
                <w:lang w:val="en-GB"/>
              </w:rPr>
            </w:pPr>
            <w:r w:rsidRPr="004E13E9">
              <w:rPr>
                <w:sz w:val="18"/>
                <w:szCs w:val="18"/>
                <w:lang w:val="en-GB"/>
              </w:rPr>
              <w:t>OTRANTO</w:t>
            </w:r>
          </w:p>
        </w:tc>
        <w:tc>
          <w:tcPr>
            <w:tcW w:w="1732" w:type="dxa"/>
            <w:noWrap/>
            <w:vAlign w:val="bottom"/>
            <w:hideMark/>
          </w:tcPr>
          <w:p w14:paraId="2D5710C8"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671DA7FA" w14:textId="77777777" w:rsidTr="00BB4F69">
        <w:trPr>
          <w:trHeight w:val="300"/>
          <w:jc w:val="center"/>
        </w:trPr>
        <w:tc>
          <w:tcPr>
            <w:tcW w:w="4500" w:type="dxa"/>
            <w:noWrap/>
            <w:vAlign w:val="bottom"/>
            <w:hideMark/>
          </w:tcPr>
          <w:p w14:paraId="24A9B7F3" w14:textId="77777777" w:rsidR="00DF358A" w:rsidRPr="004E13E9" w:rsidRDefault="00DF358A" w:rsidP="00BB4F69">
            <w:pPr>
              <w:rPr>
                <w:sz w:val="18"/>
                <w:szCs w:val="18"/>
                <w:lang w:val="en-GB"/>
              </w:rPr>
            </w:pPr>
            <w:r w:rsidRPr="004E13E9">
              <w:rPr>
                <w:sz w:val="18"/>
                <w:szCs w:val="18"/>
                <w:lang w:val="en-GB"/>
              </w:rPr>
              <w:t>PALERMO</w:t>
            </w:r>
          </w:p>
        </w:tc>
        <w:tc>
          <w:tcPr>
            <w:tcW w:w="1732" w:type="dxa"/>
            <w:noWrap/>
            <w:vAlign w:val="bottom"/>
            <w:hideMark/>
          </w:tcPr>
          <w:p w14:paraId="1E02A917"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5ABC38C9" w14:textId="77777777" w:rsidTr="00BB4F69">
        <w:trPr>
          <w:trHeight w:val="300"/>
          <w:jc w:val="center"/>
        </w:trPr>
        <w:tc>
          <w:tcPr>
            <w:tcW w:w="4500" w:type="dxa"/>
            <w:noWrap/>
            <w:vAlign w:val="bottom"/>
            <w:hideMark/>
          </w:tcPr>
          <w:p w14:paraId="77C20CBD" w14:textId="77777777" w:rsidR="00DF358A" w:rsidRPr="004E13E9" w:rsidRDefault="00DF358A" w:rsidP="00BB4F69">
            <w:pPr>
              <w:rPr>
                <w:sz w:val="18"/>
                <w:szCs w:val="18"/>
                <w:lang w:val="en-GB"/>
              </w:rPr>
            </w:pPr>
            <w:r w:rsidRPr="004E13E9">
              <w:rPr>
                <w:sz w:val="18"/>
                <w:szCs w:val="18"/>
                <w:lang w:val="en-GB"/>
              </w:rPr>
              <w:t>PANTELLERIA</w:t>
            </w:r>
          </w:p>
        </w:tc>
        <w:tc>
          <w:tcPr>
            <w:tcW w:w="1732" w:type="dxa"/>
            <w:noWrap/>
            <w:vAlign w:val="bottom"/>
            <w:hideMark/>
          </w:tcPr>
          <w:p w14:paraId="6A6FB694"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284C438A" w14:textId="77777777" w:rsidTr="00BB4F69">
        <w:trPr>
          <w:trHeight w:val="300"/>
          <w:jc w:val="center"/>
        </w:trPr>
        <w:tc>
          <w:tcPr>
            <w:tcW w:w="4500" w:type="dxa"/>
            <w:noWrap/>
            <w:vAlign w:val="bottom"/>
            <w:hideMark/>
          </w:tcPr>
          <w:p w14:paraId="01DB5BE1" w14:textId="77777777" w:rsidR="00DF358A" w:rsidRPr="004E13E9" w:rsidRDefault="00DF358A" w:rsidP="00BB4F69">
            <w:pPr>
              <w:rPr>
                <w:sz w:val="18"/>
                <w:szCs w:val="18"/>
                <w:lang w:val="en-GB"/>
              </w:rPr>
            </w:pPr>
            <w:r w:rsidRPr="004E13E9">
              <w:rPr>
                <w:sz w:val="18"/>
                <w:szCs w:val="18"/>
                <w:lang w:val="en-GB"/>
              </w:rPr>
              <w:t>PESARO</w:t>
            </w:r>
          </w:p>
        </w:tc>
        <w:tc>
          <w:tcPr>
            <w:tcW w:w="1732" w:type="dxa"/>
            <w:noWrap/>
            <w:vAlign w:val="bottom"/>
            <w:hideMark/>
          </w:tcPr>
          <w:p w14:paraId="57606695"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4778C85B" w14:textId="77777777" w:rsidTr="00BB4F69">
        <w:trPr>
          <w:trHeight w:val="300"/>
          <w:jc w:val="center"/>
        </w:trPr>
        <w:tc>
          <w:tcPr>
            <w:tcW w:w="4500" w:type="dxa"/>
            <w:noWrap/>
            <w:vAlign w:val="bottom"/>
            <w:hideMark/>
          </w:tcPr>
          <w:p w14:paraId="10C7D4B6" w14:textId="77777777" w:rsidR="00DF358A" w:rsidRPr="004E13E9" w:rsidRDefault="00DF358A" w:rsidP="00BB4F69">
            <w:pPr>
              <w:rPr>
                <w:sz w:val="18"/>
                <w:szCs w:val="18"/>
                <w:lang w:val="en-GB"/>
              </w:rPr>
            </w:pPr>
            <w:r w:rsidRPr="004E13E9">
              <w:rPr>
                <w:sz w:val="18"/>
                <w:szCs w:val="18"/>
                <w:lang w:val="en-GB"/>
              </w:rPr>
              <w:t>PESCARA</w:t>
            </w:r>
          </w:p>
        </w:tc>
        <w:tc>
          <w:tcPr>
            <w:tcW w:w="1732" w:type="dxa"/>
            <w:noWrap/>
            <w:vAlign w:val="bottom"/>
            <w:hideMark/>
          </w:tcPr>
          <w:p w14:paraId="5D37F9D8"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5A86F7E" w14:textId="77777777" w:rsidTr="00BB4F69">
        <w:trPr>
          <w:trHeight w:val="300"/>
          <w:jc w:val="center"/>
        </w:trPr>
        <w:tc>
          <w:tcPr>
            <w:tcW w:w="4500" w:type="dxa"/>
            <w:noWrap/>
            <w:vAlign w:val="bottom"/>
            <w:hideMark/>
          </w:tcPr>
          <w:p w14:paraId="7FAB32AE" w14:textId="77777777" w:rsidR="00DF358A" w:rsidRPr="004E13E9" w:rsidRDefault="00DF358A" w:rsidP="00BB4F69">
            <w:pPr>
              <w:rPr>
                <w:sz w:val="18"/>
                <w:szCs w:val="18"/>
                <w:lang w:val="en-GB"/>
              </w:rPr>
            </w:pPr>
            <w:r w:rsidRPr="004E13E9">
              <w:rPr>
                <w:sz w:val="18"/>
                <w:szCs w:val="18"/>
                <w:lang w:val="en-GB"/>
              </w:rPr>
              <w:t>PILA DI PORTO TOLLE</w:t>
            </w:r>
          </w:p>
        </w:tc>
        <w:tc>
          <w:tcPr>
            <w:tcW w:w="1732" w:type="dxa"/>
            <w:noWrap/>
            <w:vAlign w:val="bottom"/>
            <w:hideMark/>
          </w:tcPr>
          <w:p w14:paraId="65C4456E"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4852BD20" w14:textId="77777777" w:rsidTr="00BB4F69">
        <w:trPr>
          <w:trHeight w:val="300"/>
          <w:jc w:val="center"/>
        </w:trPr>
        <w:tc>
          <w:tcPr>
            <w:tcW w:w="4500" w:type="dxa"/>
            <w:noWrap/>
            <w:vAlign w:val="bottom"/>
            <w:hideMark/>
          </w:tcPr>
          <w:p w14:paraId="19CA0925" w14:textId="77777777" w:rsidR="00DF358A" w:rsidRPr="004E13E9" w:rsidRDefault="00DF358A" w:rsidP="00BB4F69">
            <w:pPr>
              <w:rPr>
                <w:sz w:val="18"/>
                <w:szCs w:val="18"/>
                <w:lang w:val="en-GB"/>
              </w:rPr>
            </w:pPr>
            <w:r w:rsidRPr="004E13E9">
              <w:rPr>
                <w:sz w:val="18"/>
                <w:szCs w:val="18"/>
                <w:lang w:val="en-GB"/>
              </w:rPr>
              <w:t>PONZA</w:t>
            </w:r>
          </w:p>
        </w:tc>
        <w:tc>
          <w:tcPr>
            <w:tcW w:w="1732" w:type="dxa"/>
            <w:noWrap/>
            <w:vAlign w:val="bottom"/>
            <w:hideMark/>
          </w:tcPr>
          <w:p w14:paraId="76CD9825"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46B3B42F" w14:textId="77777777" w:rsidTr="00BB4F69">
        <w:trPr>
          <w:trHeight w:val="300"/>
          <w:jc w:val="center"/>
        </w:trPr>
        <w:tc>
          <w:tcPr>
            <w:tcW w:w="4500" w:type="dxa"/>
            <w:noWrap/>
            <w:vAlign w:val="bottom"/>
            <w:hideMark/>
          </w:tcPr>
          <w:p w14:paraId="292E4DDE" w14:textId="77777777" w:rsidR="00DF358A" w:rsidRPr="004E13E9" w:rsidRDefault="00DF358A" w:rsidP="00BB4F69">
            <w:pPr>
              <w:rPr>
                <w:sz w:val="18"/>
                <w:szCs w:val="18"/>
                <w:lang w:val="en-GB"/>
              </w:rPr>
            </w:pPr>
            <w:r w:rsidRPr="004E13E9">
              <w:rPr>
                <w:sz w:val="18"/>
                <w:szCs w:val="18"/>
                <w:lang w:val="en-GB"/>
              </w:rPr>
              <w:t>PORTICELLO</w:t>
            </w:r>
          </w:p>
        </w:tc>
        <w:tc>
          <w:tcPr>
            <w:tcW w:w="1732" w:type="dxa"/>
            <w:noWrap/>
            <w:vAlign w:val="bottom"/>
            <w:hideMark/>
          </w:tcPr>
          <w:p w14:paraId="706DFDEF"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5D04FD0" w14:textId="77777777" w:rsidTr="00BB4F69">
        <w:trPr>
          <w:trHeight w:val="300"/>
          <w:jc w:val="center"/>
        </w:trPr>
        <w:tc>
          <w:tcPr>
            <w:tcW w:w="4500" w:type="dxa"/>
            <w:noWrap/>
            <w:vAlign w:val="bottom"/>
            <w:hideMark/>
          </w:tcPr>
          <w:p w14:paraId="77143A60" w14:textId="77777777" w:rsidR="00DF358A" w:rsidRPr="004E13E9" w:rsidRDefault="00DF358A" w:rsidP="00BB4F69">
            <w:pPr>
              <w:rPr>
                <w:sz w:val="18"/>
                <w:szCs w:val="18"/>
                <w:lang w:val="en-GB"/>
              </w:rPr>
            </w:pPr>
            <w:r w:rsidRPr="004E13E9">
              <w:rPr>
                <w:sz w:val="18"/>
                <w:szCs w:val="18"/>
                <w:lang w:val="en-GB"/>
              </w:rPr>
              <w:t>PORTO CESAREO</w:t>
            </w:r>
          </w:p>
        </w:tc>
        <w:tc>
          <w:tcPr>
            <w:tcW w:w="1732" w:type="dxa"/>
            <w:noWrap/>
            <w:vAlign w:val="bottom"/>
            <w:hideMark/>
          </w:tcPr>
          <w:p w14:paraId="5E1063C4"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1C3C99CA" w14:textId="77777777" w:rsidTr="00BB4F69">
        <w:trPr>
          <w:trHeight w:val="300"/>
          <w:jc w:val="center"/>
        </w:trPr>
        <w:tc>
          <w:tcPr>
            <w:tcW w:w="4500" w:type="dxa"/>
            <w:noWrap/>
            <w:vAlign w:val="bottom"/>
            <w:hideMark/>
          </w:tcPr>
          <w:p w14:paraId="1392B0D6" w14:textId="77777777" w:rsidR="00DF358A" w:rsidRPr="004E13E9" w:rsidRDefault="00DF358A" w:rsidP="00BB4F69">
            <w:pPr>
              <w:rPr>
                <w:sz w:val="18"/>
                <w:szCs w:val="18"/>
                <w:lang w:val="en-GB"/>
              </w:rPr>
            </w:pPr>
            <w:r w:rsidRPr="004E13E9">
              <w:rPr>
                <w:sz w:val="18"/>
                <w:szCs w:val="18"/>
                <w:lang w:val="en-GB"/>
              </w:rPr>
              <w:t>PORTO EMPEDOCLE</w:t>
            </w:r>
          </w:p>
        </w:tc>
        <w:tc>
          <w:tcPr>
            <w:tcW w:w="1732" w:type="dxa"/>
            <w:noWrap/>
            <w:vAlign w:val="bottom"/>
            <w:hideMark/>
          </w:tcPr>
          <w:p w14:paraId="7D96C626"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2845EAD0" w14:textId="77777777" w:rsidTr="00BB4F69">
        <w:trPr>
          <w:trHeight w:val="300"/>
          <w:jc w:val="center"/>
        </w:trPr>
        <w:tc>
          <w:tcPr>
            <w:tcW w:w="4500" w:type="dxa"/>
            <w:noWrap/>
            <w:vAlign w:val="bottom"/>
            <w:hideMark/>
          </w:tcPr>
          <w:p w14:paraId="5BE4A922" w14:textId="77777777" w:rsidR="00DF358A" w:rsidRPr="004E13E9" w:rsidRDefault="00DF358A" w:rsidP="00BB4F69">
            <w:pPr>
              <w:rPr>
                <w:sz w:val="18"/>
                <w:szCs w:val="18"/>
                <w:lang w:val="en-GB"/>
              </w:rPr>
            </w:pPr>
            <w:r w:rsidRPr="004E13E9">
              <w:rPr>
                <w:sz w:val="18"/>
                <w:szCs w:val="18"/>
                <w:lang w:val="en-GB"/>
              </w:rPr>
              <w:t>PORTO GARIBALDI</w:t>
            </w:r>
          </w:p>
        </w:tc>
        <w:tc>
          <w:tcPr>
            <w:tcW w:w="1732" w:type="dxa"/>
            <w:noWrap/>
            <w:vAlign w:val="bottom"/>
            <w:hideMark/>
          </w:tcPr>
          <w:p w14:paraId="6E395384"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6F566582" w14:textId="77777777" w:rsidTr="00BB4F69">
        <w:trPr>
          <w:trHeight w:val="300"/>
          <w:jc w:val="center"/>
        </w:trPr>
        <w:tc>
          <w:tcPr>
            <w:tcW w:w="4500" w:type="dxa"/>
            <w:noWrap/>
            <w:vAlign w:val="bottom"/>
            <w:hideMark/>
          </w:tcPr>
          <w:p w14:paraId="1D4DEAC8" w14:textId="77777777" w:rsidR="00DF358A" w:rsidRPr="004E13E9" w:rsidRDefault="00DF358A" w:rsidP="00BB4F69">
            <w:pPr>
              <w:rPr>
                <w:sz w:val="18"/>
                <w:szCs w:val="18"/>
                <w:lang w:val="en-GB"/>
              </w:rPr>
            </w:pPr>
            <w:r w:rsidRPr="004E13E9">
              <w:rPr>
                <w:sz w:val="18"/>
                <w:szCs w:val="18"/>
                <w:lang w:val="en-GB"/>
              </w:rPr>
              <w:t>PORTO S. GIORGIO</w:t>
            </w:r>
          </w:p>
        </w:tc>
        <w:tc>
          <w:tcPr>
            <w:tcW w:w="1732" w:type="dxa"/>
            <w:noWrap/>
            <w:vAlign w:val="bottom"/>
            <w:hideMark/>
          </w:tcPr>
          <w:p w14:paraId="5134BD7E"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2785CD7" w14:textId="77777777" w:rsidTr="00BB4F69">
        <w:trPr>
          <w:trHeight w:val="300"/>
          <w:jc w:val="center"/>
        </w:trPr>
        <w:tc>
          <w:tcPr>
            <w:tcW w:w="4500" w:type="dxa"/>
            <w:noWrap/>
            <w:vAlign w:val="bottom"/>
            <w:hideMark/>
          </w:tcPr>
          <w:p w14:paraId="60812B27" w14:textId="77777777" w:rsidR="00DF358A" w:rsidRPr="004E13E9" w:rsidRDefault="00DF358A" w:rsidP="00BB4F69">
            <w:pPr>
              <w:rPr>
                <w:sz w:val="18"/>
                <w:szCs w:val="18"/>
                <w:lang w:val="en-GB"/>
              </w:rPr>
            </w:pPr>
            <w:r w:rsidRPr="004E13E9">
              <w:rPr>
                <w:sz w:val="18"/>
                <w:szCs w:val="18"/>
                <w:lang w:val="en-GB"/>
              </w:rPr>
              <w:t>PORTO SANTO STEFANO</w:t>
            </w:r>
          </w:p>
        </w:tc>
        <w:tc>
          <w:tcPr>
            <w:tcW w:w="1732" w:type="dxa"/>
            <w:noWrap/>
            <w:vAlign w:val="bottom"/>
            <w:hideMark/>
          </w:tcPr>
          <w:p w14:paraId="56616BFB"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0D0FC09" w14:textId="77777777" w:rsidTr="00BB4F69">
        <w:trPr>
          <w:trHeight w:val="300"/>
          <w:jc w:val="center"/>
        </w:trPr>
        <w:tc>
          <w:tcPr>
            <w:tcW w:w="4500" w:type="dxa"/>
            <w:noWrap/>
            <w:vAlign w:val="bottom"/>
            <w:hideMark/>
          </w:tcPr>
          <w:p w14:paraId="0E8E8A16" w14:textId="77777777" w:rsidR="00DF358A" w:rsidRPr="004E13E9" w:rsidRDefault="00DF358A" w:rsidP="00BB4F69">
            <w:pPr>
              <w:rPr>
                <w:sz w:val="18"/>
                <w:szCs w:val="18"/>
                <w:lang w:val="en-GB"/>
              </w:rPr>
            </w:pPr>
            <w:r w:rsidRPr="004E13E9">
              <w:rPr>
                <w:sz w:val="18"/>
                <w:szCs w:val="18"/>
                <w:lang w:val="en-GB"/>
              </w:rPr>
              <w:t>PORTO TORRES</w:t>
            </w:r>
          </w:p>
        </w:tc>
        <w:tc>
          <w:tcPr>
            <w:tcW w:w="1732" w:type="dxa"/>
            <w:noWrap/>
            <w:vAlign w:val="bottom"/>
            <w:hideMark/>
          </w:tcPr>
          <w:p w14:paraId="0D5429B7"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5F9A5420" w14:textId="77777777" w:rsidTr="00BB4F69">
        <w:trPr>
          <w:trHeight w:val="300"/>
          <w:jc w:val="center"/>
        </w:trPr>
        <w:tc>
          <w:tcPr>
            <w:tcW w:w="4500" w:type="dxa"/>
            <w:noWrap/>
            <w:vAlign w:val="bottom"/>
            <w:hideMark/>
          </w:tcPr>
          <w:p w14:paraId="1C61EC11" w14:textId="77777777" w:rsidR="00DF358A" w:rsidRPr="004E13E9" w:rsidRDefault="00DF358A" w:rsidP="00BB4F69">
            <w:pPr>
              <w:rPr>
                <w:sz w:val="18"/>
                <w:szCs w:val="18"/>
                <w:lang w:val="en-GB"/>
              </w:rPr>
            </w:pPr>
            <w:r w:rsidRPr="004E13E9">
              <w:rPr>
                <w:sz w:val="18"/>
                <w:szCs w:val="18"/>
                <w:lang w:val="en-GB"/>
              </w:rPr>
              <w:t>PORTOFERRAIO</w:t>
            </w:r>
          </w:p>
        </w:tc>
        <w:tc>
          <w:tcPr>
            <w:tcW w:w="1732" w:type="dxa"/>
            <w:noWrap/>
            <w:vAlign w:val="bottom"/>
            <w:hideMark/>
          </w:tcPr>
          <w:p w14:paraId="73AA1952"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014ECF2" w14:textId="77777777" w:rsidTr="00BB4F69">
        <w:trPr>
          <w:trHeight w:val="300"/>
          <w:jc w:val="center"/>
        </w:trPr>
        <w:tc>
          <w:tcPr>
            <w:tcW w:w="4500" w:type="dxa"/>
            <w:noWrap/>
            <w:vAlign w:val="bottom"/>
            <w:hideMark/>
          </w:tcPr>
          <w:p w14:paraId="3E9A3AD9" w14:textId="77777777" w:rsidR="00DF358A" w:rsidRPr="004E13E9" w:rsidRDefault="00DF358A" w:rsidP="00BB4F69">
            <w:pPr>
              <w:rPr>
                <w:sz w:val="18"/>
                <w:szCs w:val="18"/>
                <w:lang w:val="en-GB"/>
              </w:rPr>
            </w:pPr>
            <w:r w:rsidRPr="004E13E9">
              <w:rPr>
                <w:sz w:val="18"/>
                <w:szCs w:val="18"/>
                <w:lang w:val="en-GB"/>
              </w:rPr>
              <w:t>PORTOFINO</w:t>
            </w:r>
          </w:p>
        </w:tc>
        <w:tc>
          <w:tcPr>
            <w:tcW w:w="1732" w:type="dxa"/>
            <w:noWrap/>
            <w:vAlign w:val="bottom"/>
            <w:hideMark/>
          </w:tcPr>
          <w:p w14:paraId="3DD06DE6"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B166C1B" w14:textId="77777777" w:rsidTr="00BB4F69">
        <w:trPr>
          <w:trHeight w:val="300"/>
          <w:jc w:val="center"/>
        </w:trPr>
        <w:tc>
          <w:tcPr>
            <w:tcW w:w="4500" w:type="dxa"/>
            <w:noWrap/>
            <w:vAlign w:val="bottom"/>
            <w:hideMark/>
          </w:tcPr>
          <w:p w14:paraId="3DD2B1F7" w14:textId="77777777" w:rsidR="00DF358A" w:rsidRPr="004E13E9" w:rsidRDefault="00DF358A" w:rsidP="00BB4F69">
            <w:pPr>
              <w:rPr>
                <w:sz w:val="18"/>
                <w:szCs w:val="18"/>
                <w:lang w:val="en-GB"/>
              </w:rPr>
            </w:pPr>
            <w:r w:rsidRPr="004E13E9">
              <w:rPr>
                <w:sz w:val="18"/>
                <w:szCs w:val="18"/>
                <w:lang w:val="en-GB"/>
              </w:rPr>
              <w:t>PORTOPALO DI CAPO PASSERO</w:t>
            </w:r>
          </w:p>
        </w:tc>
        <w:tc>
          <w:tcPr>
            <w:tcW w:w="1732" w:type="dxa"/>
            <w:noWrap/>
            <w:vAlign w:val="bottom"/>
            <w:hideMark/>
          </w:tcPr>
          <w:p w14:paraId="57023775"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1FCB866B" w14:textId="77777777" w:rsidTr="00BB4F69">
        <w:trPr>
          <w:trHeight w:val="300"/>
          <w:jc w:val="center"/>
        </w:trPr>
        <w:tc>
          <w:tcPr>
            <w:tcW w:w="4500" w:type="dxa"/>
            <w:noWrap/>
            <w:vAlign w:val="bottom"/>
            <w:hideMark/>
          </w:tcPr>
          <w:p w14:paraId="763E1129" w14:textId="77777777" w:rsidR="00DF358A" w:rsidRPr="004E13E9" w:rsidRDefault="00DF358A" w:rsidP="00BB4F69">
            <w:pPr>
              <w:rPr>
                <w:sz w:val="18"/>
                <w:szCs w:val="18"/>
                <w:lang w:val="en-GB"/>
              </w:rPr>
            </w:pPr>
            <w:r w:rsidRPr="004E13E9">
              <w:rPr>
                <w:sz w:val="18"/>
                <w:szCs w:val="18"/>
                <w:lang w:val="en-GB"/>
              </w:rPr>
              <w:t>PORTOSCUSO</w:t>
            </w:r>
          </w:p>
        </w:tc>
        <w:tc>
          <w:tcPr>
            <w:tcW w:w="1732" w:type="dxa"/>
            <w:noWrap/>
            <w:vAlign w:val="bottom"/>
            <w:hideMark/>
          </w:tcPr>
          <w:p w14:paraId="46254B6E"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492224AC" w14:textId="77777777" w:rsidTr="00BB4F69">
        <w:trPr>
          <w:trHeight w:val="300"/>
          <w:jc w:val="center"/>
        </w:trPr>
        <w:tc>
          <w:tcPr>
            <w:tcW w:w="4500" w:type="dxa"/>
            <w:noWrap/>
            <w:vAlign w:val="bottom"/>
            <w:hideMark/>
          </w:tcPr>
          <w:p w14:paraId="5DF066F9" w14:textId="77777777" w:rsidR="00DF358A" w:rsidRPr="004E13E9" w:rsidRDefault="00DF358A" w:rsidP="00BB4F69">
            <w:pPr>
              <w:rPr>
                <w:sz w:val="18"/>
                <w:szCs w:val="18"/>
                <w:lang w:val="en-GB"/>
              </w:rPr>
            </w:pPr>
            <w:r w:rsidRPr="004E13E9">
              <w:rPr>
                <w:sz w:val="18"/>
                <w:szCs w:val="18"/>
                <w:lang w:val="en-GB"/>
              </w:rPr>
              <w:t>POZZUOLI</w:t>
            </w:r>
          </w:p>
        </w:tc>
        <w:tc>
          <w:tcPr>
            <w:tcW w:w="1732" w:type="dxa"/>
            <w:noWrap/>
            <w:vAlign w:val="bottom"/>
            <w:hideMark/>
          </w:tcPr>
          <w:p w14:paraId="6AAB4FD2"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A8C029D" w14:textId="77777777" w:rsidTr="00BB4F69">
        <w:trPr>
          <w:trHeight w:val="300"/>
          <w:jc w:val="center"/>
        </w:trPr>
        <w:tc>
          <w:tcPr>
            <w:tcW w:w="4500" w:type="dxa"/>
            <w:noWrap/>
            <w:vAlign w:val="bottom"/>
            <w:hideMark/>
          </w:tcPr>
          <w:p w14:paraId="3DE5BE37" w14:textId="77777777" w:rsidR="00DF358A" w:rsidRPr="004E13E9" w:rsidRDefault="00DF358A" w:rsidP="00BB4F69">
            <w:pPr>
              <w:rPr>
                <w:sz w:val="18"/>
                <w:szCs w:val="18"/>
                <w:lang w:val="en-GB"/>
              </w:rPr>
            </w:pPr>
            <w:r w:rsidRPr="004E13E9">
              <w:rPr>
                <w:sz w:val="18"/>
                <w:szCs w:val="18"/>
                <w:lang w:val="en-GB"/>
              </w:rPr>
              <w:t>PROCIDA</w:t>
            </w:r>
          </w:p>
        </w:tc>
        <w:tc>
          <w:tcPr>
            <w:tcW w:w="1732" w:type="dxa"/>
            <w:noWrap/>
            <w:vAlign w:val="bottom"/>
            <w:hideMark/>
          </w:tcPr>
          <w:p w14:paraId="31BF14C1"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5395597E" w14:textId="77777777" w:rsidTr="00BB4F69">
        <w:trPr>
          <w:trHeight w:val="300"/>
          <w:jc w:val="center"/>
        </w:trPr>
        <w:tc>
          <w:tcPr>
            <w:tcW w:w="4500" w:type="dxa"/>
            <w:noWrap/>
            <w:vAlign w:val="bottom"/>
            <w:hideMark/>
          </w:tcPr>
          <w:p w14:paraId="384CF3FD" w14:textId="77777777" w:rsidR="00DF358A" w:rsidRPr="004E13E9" w:rsidRDefault="00DF358A" w:rsidP="00BB4F69">
            <w:pPr>
              <w:rPr>
                <w:sz w:val="18"/>
                <w:szCs w:val="18"/>
                <w:lang w:val="en-GB"/>
              </w:rPr>
            </w:pPr>
            <w:r w:rsidRPr="004E13E9">
              <w:rPr>
                <w:sz w:val="18"/>
                <w:szCs w:val="18"/>
                <w:lang w:val="en-GB"/>
              </w:rPr>
              <w:t>RAVENNA</w:t>
            </w:r>
          </w:p>
        </w:tc>
        <w:tc>
          <w:tcPr>
            <w:tcW w:w="1732" w:type="dxa"/>
            <w:noWrap/>
            <w:vAlign w:val="bottom"/>
            <w:hideMark/>
          </w:tcPr>
          <w:p w14:paraId="7B38F82A"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55F585B8" w14:textId="77777777" w:rsidTr="00BB4F69">
        <w:trPr>
          <w:trHeight w:val="300"/>
          <w:jc w:val="center"/>
        </w:trPr>
        <w:tc>
          <w:tcPr>
            <w:tcW w:w="4500" w:type="dxa"/>
            <w:noWrap/>
            <w:vAlign w:val="bottom"/>
            <w:hideMark/>
          </w:tcPr>
          <w:p w14:paraId="239728E4" w14:textId="77777777" w:rsidR="00DF358A" w:rsidRPr="004E13E9" w:rsidRDefault="00DF358A" w:rsidP="00BB4F69">
            <w:pPr>
              <w:rPr>
                <w:sz w:val="18"/>
                <w:szCs w:val="18"/>
                <w:lang w:val="en-GB"/>
              </w:rPr>
            </w:pPr>
            <w:r w:rsidRPr="004E13E9">
              <w:rPr>
                <w:sz w:val="18"/>
                <w:szCs w:val="18"/>
                <w:lang w:val="en-GB"/>
              </w:rPr>
              <w:t>REGGIO CALABRIA</w:t>
            </w:r>
          </w:p>
        </w:tc>
        <w:tc>
          <w:tcPr>
            <w:tcW w:w="1732" w:type="dxa"/>
            <w:noWrap/>
            <w:vAlign w:val="bottom"/>
            <w:hideMark/>
          </w:tcPr>
          <w:p w14:paraId="79087ECD"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7D2B9ED" w14:textId="77777777" w:rsidTr="00BB4F69">
        <w:trPr>
          <w:trHeight w:val="300"/>
          <w:jc w:val="center"/>
        </w:trPr>
        <w:tc>
          <w:tcPr>
            <w:tcW w:w="4500" w:type="dxa"/>
            <w:noWrap/>
            <w:vAlign w:val="bottom"/>
            <w:hideMark/>
          </w:tcPr>
          <w:p w14:paraId="4717B870" w14:textId="77777777" w:rsidR="00DF358A" w:rsidRPr="004E13E9" w:rsidRDefault="00DF358A" w:rsidP="00BB4F69">
            <w:pPr>
              <w:rPr>
                <w:sz w:val="18"/>
                <w:szCs w:val="18"/>
                <w:lang w:val="en-GB"/>
              </w:rPr>
            </w:pPr>
            <w:r w:rsidRPr="004E13E9">
              <w:rPr>
                <w:sz w:val="18"/>
                <w:szCs w:val="18"/>
                <w:lang w:val="en-GB"/>
              </w:rPr>
              <w:t>RIMINI</w:t>
            </w:r>
          </w:p>
        </w:tc>
        <w:tc>
          <w:tcPr>
            <w:tcW w:w="1732" w:type="dxa"/>
            <w:noWrap/>
            <w:vAlign w:val="bottom"/>
            <w:hideMark/>
          </w:tcPr>
          <w:p w14:paraId="740B7D4C"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1BE81254" w14:textId="77777777" w:rsidTr="00BB4F69">
        <w:trPr>
          <w:trHeight w:val="300"/>
          <w:jc w:val="center"/>
        </w:trPr>
        <w:tc>
          <w:tcPr>
            <w:tcW w:w="4500" w:type="dxa"/>
            <w:noWrap/>
            <w:vAlign w:val="bottom"/>
            <w:hideMark/>
          </w:tcPr>
          <w:p w14:paraId="6A33B9E6" w14:textId="77777777" w:rsidR="00DF358A" w:rsidRPr="004E13E9" w:rsidRDefault="00DF358A" w:rsidP="00BB4F69">
            <w:pPr>
              <w:rPr>
                <w:sz w:val="18"/>
                <w:szCs w:val="18"/>
                <w:lang w:val="en-GB"/>
              </w:rPr>
            </w:pPr>
            <w:r w:rsidRPr="004E13E9">
              <w:rPr>
                <w:sz w:val="18"/>
                <w:szCs w:val="18"/>
                <w:lang w:val="en-GB"/>
              </w:rPr>
              <w:t>RIPOSTO</w:t>
            </w:r>
          </w:p>
        </w:tc>
        <w:tc>
          <w:tcPr>
            <w:tcW w:w="1732" w:type="dxa"/>
            <w:noWrap/>
            <w:vAlign w:val="bottom"/>
            <w:hideMark/>
          </w:tcPr>
          <w:p w14:paraId="5D6F8FAF"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47BFBE8" w14:textId="77777777" w:rsidTr="00BB4F69">
        <w:trPr>
          <w:trHeight w:val="300"/>
          <w:jc w:val="center"/>
        </w:trPr>
        <w:tc>
          <w:tcPr>
            <w:tcW w:w="4500" w:type="dxa"/>
            <w:noWrap/>
            <w:vAlign w:val="bottom"/>
            <w:hideMark/>
          </w:tcPr>
          <w:p w14:paraId="3113ED9E" w14:textId="77777777" w:rsidR="00DF358A" w:rsidRPr="004E13E9" w:rsidRDefault="00DF358A" w:rsidP="00BB4F69">
            <w:pPr>
              <w:rPr>
                <w:sz w:val="18"/>
                <w:szCs w:val="18"/>
                <w:lang w:val="en-GB"/>
              </w:rPr>
            </w:pPr>
            <w:r w:rsidRPr="004E13E9">
              <w:rPr>
                <w:sz w:val="18"/>
                <w:szCs w:val="18"/>
                <w:lang w:val="en-GB"/>
              </w:rPr>
              <w:t>ROCCELLA JONICA</w:t>
            </w:r>
          </w:p>
        </w:tc>
        <w:tc>
          <w:tcPr>
            <w:tcW w:w="1732" w:type="dxa"/>
            <w:noWrap/>
            <w:vAlign w:val="bottom"/>
            <w:hideMark/>
          </w:tcPr>
          <w:p w14:paraId="648F9CB7"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29ACE0E6" w14:textId="77777777" w:rsidTr="00BB4F69">
        <w:trPr>
          <w:trHeight w:val="300"/>
          <w:jc w:val="center"/>
        </w:trPr>
        <w:tc>
          <w:tcPr>
            <w:tcW w:w="4500" w:type="dxa"/>
            <w:noWrap/>
            <w:vAlign w:val="bottom"/>
            <w:hideMark/>
          </w:tcPr>
          <w:p w14:paraId="537BF4E8" w14:textId="77777777" w:rsidR="00DF358A" w:rsidRPr="004E13E9" w:rsidRDefault="00DF358A" w:rsidP="00BB4F69">
            <w:pPr>
              <w:rPr>
                <w:sz w:val="18"/>
                <w:szCs w:val="18"/>
                <w:lang w:val="en-GB"/>
              </w:rPr>
            </w:pPr>
            <w:r w:rsidRPr="004E13E9">
              <w:rPr>
                <w:sz w:val="18"/>
                <w:szCs w:val="18"/>
                <w:lang w:val="en-GB"/>
              </w:rPr>
              <w:t>S. BENEDETTO DEL TRONTO</w:t>
            </w:r>
          </w:p>
        </w:tc>
        <w:tc>
          <w:tcPr>
            <w:tcW w:w="1732" w:type="dxa"/>
            <w:noWrap/>
            <w:vAlign w:val="bottom"/>
            <w:hideMark/>
          </w:tcPr>
          <w:p w14:paraId="556F4B69"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150C14C4" w14:textId="77777777" w:rsidTr="00BB4F69">
        <w:trPr>
          <w:trHeight w:val="300"/>
          <w:jc w:val="center"/>
        </w:trPr>
        <w:tc>
          <w:tcPr>
            <w:tcW w:w="4500" w:type="dxa"/>
            <w:noWrap/>
            <w:vAlign w:val="bottom"/>
            <w:hideMark/>
          </w:tcPr>
          <w:p w14:paraId="683CA4A7" w14:textId="77777777" w:rsidR="00DF358A" w:rsidRPr="004E13E9" w:rsidRDefault="00DF358A" w:rsidP="00BB4F69">
            <w:pPr>
              <w:rPr>
                <w:sz w:val="18"/>
                <w:szCs w:val="18"/>
                <w:lang w:val="en-GB"/>
              </w:rPr>
            </w:pPr>
            <w:r w:rsidRPr="004E13E9">
              <w:rPr>
                <w:sz w:val="18"/>
                <w:szCs w:val="18"/>
                <w:lang w:val="en-GB"/>
              </w:rPr>
              <w:t>S. VITO LO CAPO</w:t>
            </w:r>
          </w:p>
        </w:tc>
        <w:tc>
          <w:tcPr>
            <w:tcW w:w="1732" w:type="dxa"/>
            <w:noWrap/>
            <w:vAlign w:val="bottom"/>
            <w:hideMark/>
          </w:tcPr>
          <w:p w14:paraId="79859758"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1D6574F" w14:textId="77777777" w:rsidTr="00BB4F69">
        <w:trPr>
          <w:trHeight w:val="300"/>
          <w:jc w:val="center"/>
        </w:trPr>
        <w:tc>
          <w:tcPr>
            <w:tcW w:w="4500" w:type="dxa"/>
            <w:noWrap/>
            <w:vAlign w:val="bottom"/>
            <w:hideMark/>
          </w:tcPr>
          <w:p w14:paraId="0B85582E" w14:textId="77777777" w:rsidR="00DF358A" w:rsidRPr="004E13E9" w:rsidRDefault="00DF358A" w:rsidP="00BB4F69">
            <w:pPr>
              <w:rPr>
                <w:sz w:val="18"/>
                <w:szCs w:val="18"/>
                <w:lang w:val="en-GB"/>
              </w:rPr>
            </w:pPr>
            <w:r w:rsidRPr="004E13E9">
              <w:rPr>
                <w:sz w:val="18"/>
                <w:szCs w:val="18"/>
                <w:lang w:val="en-GB"/>
              </w:rPr>
              <w:t>SALERNO</w:t>
            </w:r>
          </w:p>
        </w:tc>
        <w:tc>
          <w:tcPr>
            <w:tcW w:w="1732" w:type="dxa"/>
            <w:noWrap/>
            <w:vAlign w:val="bottom"/>
            <w:hideMark/>
          </w:tcPr>
          <w:p w14:paraId="1594A04D"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3B64D39" w14:textId="77777777" w:rsidTr="00BB4F69">
        <w:trPr>
          <w:trHeight w:val="300"/>
          <w:jc w:val="center"/>
        </w:trPr>
        <w:tc>
          <w:tcPr>
            <w:tcW w:w="4500" w:type="dxa"/>
            <w:noWrap/>
            <w:vAlign w:val="bottom"/>
            <w:hideMark/>
          </w:tcPr>
          <w:p w14:paraId="16E0210F" w14:textId="77777777" w:rsidR="00DF358A" w:rsidRPr="004E13E9" w:rsidRDefault="00DF358A" w:rsidP="00BB4F69">
            <w:pPr>
              <w:rPr>
                <w:sz w:val="18"/>
                <w:szCs w:val="18"/>
                <w:lang w:val="en-GB"/>
              </w:rPr>
            </w:pPr>
            <w:r w:rsidRPr="004E13E9">
              <w:rPr>
                <w:sz w:val="18"/>
                <w:szCs w:val="18"/>
                <w:lang w:val="en-GB"/>
              </w:rPr>
              <w:t>SANREMO</w:t>
            </w:r>
          </w:p>
        </w:tc>
        <w:tc>
          <w:tcPr>
            <w:tcW w:w="1732" w:type="dxa"/>
            <w:noWrap/>
            <w:vAlign w:val="bottom"/>
            <w:hideMark/>
          </w:tcPr>
          <w:p w14:paraId="2F60E823"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E4D3A23" w14:textId="77777777" w:rsidTr="00BB4F69">
        <w:trPr>
          <w:trHeight w:val="300"/>
          <w:jc w:val="center"/>
        </w:trPr>
        <w:tc>
          <w:tcPr>
            <w:tcW w:w="4500" w:type="dxa"/>
            <w:noWrap/>
            <w:vAlign w:val="bottom"/>
            <w:hideMark/>
          </w:tcPr>
          <w:p w14:paraId="73BD5A9F" w14:textId="77777777" w:rsidR="00DF358A" w:rsidRPr="004E13E9" w:rsidRDefault="00DF358A" w:rsidP="00BB4F69">
            <w:pPr>
              <w:rPr>
                <w:sz w:val="18"/>
                <w:szCs w:val="18"/>
                <w:lang w:val="en-GB"/>
              </w:rPr>
            </w:pPr>
            <w:r w:rsidRPr="004E13E9">
              <w:rPr>
                <w:sz w:val="18"/>
                <w:szCs w:val="18"/>
                <w:lang w:val="en-GB"/>
              </w:rPr>
              <w:t>SANT' AGATA DI MILITELLO</w:t>
            </w:r>
          </w:p>
        </w:tc>
        <w:tc>
          <w:tcPr>
            <w:tcW w:w="1732" w:type="dxa"/>
            <w:noWrap/>
            <w:vAlign w:val="bottom"/>
            <w:hideMark/>
          </w:tcPr>
          <w:p w14:paraId="424A7A93"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13E7E78" w14:textId="77777777" w:rsidTr="00BB4F69">
        <w:trPr>
          <w:trHeight w:val="300"/>
          <w:jc w:val="center"/>
        </w:trPr>
        <w:tc>
          <w:tcPr>
            <w:tcW w:w="4500" w:type="dxa"/>
            <w:noWrap/>
            <w:vAlign w:val="bottom"/>
            <w:hideMark/>
          </w:tcPr>
          <w:p w14:paraId="33BC174C" w14:textId="77777777" w:rsidR="00DF358A" w:rsidRPr="004E13E9" w:rsidRDefault="00DF358A" w:rsidP="00BB4F69">
            <w:pPr>
              <w:rPr>
                <w:sz w:val="18"/>
                <w:szCs w:val="18"/>
                <w:lang w:val="en-GB"/>
              </w:rPr>
            </w:pPr>
            <w:r w:rsidRPr="004E13E9">
              <w:rPr>
                <w:sz w:val="18"/>
                <w:szCs w:val="18"/>
                <w:lang w:val="en-GB"/>
              </w:rPr>
              <w:t>SANT' ANTIOCO</w:t>
            </w:r>
          </w:p>
        </w:tc>
        <w:tc>
          <w:tcPr>
            <w:tcW w:w="1732" w:type="dxa"/>
            <w:noWrap/>
            <w:vAlign w:val="bottom"/>
            <w:hideMark/>
          </w:tcPr>
          <w:p w14:paraId="51D69C7E"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DAA7783" w14:textId="77777777" w:rsidTr="00BB4F69">
        <w:trPr>
          <w:trHeight w:val="300"/>
          <w:jc w:val="center"/>
        </w:trPr>
        <w:tc>
          <w:tcPr>
            <w:tcW w:w="4500" w:type="dxa"/>
            <w:noWrap/>
            <w:vAlign w:val="bottom"/>
            <w:hideMark/>
          </w:tcPr>
          <w:p w14:paraId="45867C43" w14:textId="77777777" w:rsidR="00DF358A" w:rsidRPr="004E13E9" w:rsidRDefault="00DF358A" w:rsidP="00BB4F69">
            <w:pPr>
              <w:rPr>
                <w:sz w:val="18"/>
                <w:szCs w:val="18"/>
                <w:lang w:val="en-GB"/>
              </w:rPr>
            </w:pPr>
            <w:r w:rsidRPr="004E13E9">
              <w:rPr>
                <w:sz w:val="18"/>
                <w:szCs w:val="18"/>
                <w:lang w:val="en-GB"/>
              </w:rPr>
              <w:t xml:space="preserve">SANTA FOCA DI MELENDUGNO     </w:t>
            </w:r>
          </w:p>
        </w:tc>
        <w:tc>
          <w:tcPr>
            <w:tcW w:w="1732" w:type="dxa"/>
            <w:noWrap/>
            <w:vAlign w:val="bottom"/>
            <w:hideMark/>
          </w:tcPr>
          <w:p w14:paraId="5359F8CB"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4364A5B0" w14:textId="77777777" w:rsidTr="00BB4F69">
        <w:trPr>
          <w:trHeight w:val="300"/>
          <w:jc w:val="center"/>
        </w:trPr>
        <w:tc>
          <w:tcPr>
            <w:tcW w:w="4500" w:type="dxa"/>
            <w:noWrap/>
            <w:vAlign w:val="bottom"/>
            <w:hideMark/>
          </w:tcPr>
          <w:p w14:paraId="4FB7A86B" w14:textId="77777777" w:rsidR="00DF358A" w:rsidRPr="004E13E9" w:rsidRDefault="00DF358A" w:rsidP="00BB4F69">
            <w:pPr>
              <w:rPr>
                <w:sz w:val="18"/>
                <w:szCs w:val="18"/>
                <w:lang w:val="en-GB"/>
              </w:rPr>
            </w:pPr>
            <w:r w:rsidRPr="004E13E9">
              <w:rPr>
                <w:sz w:val="18"/>
                <w:szCs w:val="18"/>
                <w:lang w:val="en-GB"/>
              </w:rPr>
              <w:t>SANTA MARGHERITA LIGURE</w:t>
            </w:r>
          </w:p>
        </w:tc>
        <w:tc>
          <w:tcPr>
            <w:tcW w:w="1732" w:type="dxa"/>
            <w:noWrap/>
            <w:vAlign w:val="bottom"/>
            <w:hideMark/>
          </w:tcPr>
          <w:p w14:paraId="53C4E3D1"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1E79C157" w14:textId="77777777" w:rsidTr="00BB4F69">
        <w:trPr>
          <w:trHeight w:val="300"/>
          <w:jc w:val="center"/>
        </w:trPr>
        <w:tc>
          <w:tcPr>
            <w:tcW w:w="4500" w:type="dxa"/>
            <w:noWrap/>
            <w:vAlign w:val="bottom"/>
            <w:hideMark/>
          </w:tcPr>
          <w:p w14:paraId="073525D6" w14:textId="77777777" w:rsidR="00DF358A" w:rsidRPr="004E13E9" w:rsidRDefault="00DF358A" w:rsidP="00BB4F69">
            <w:pPr>
              <w:rPr>
                <w:sz w:val="18"/>
                <w:szCs w:val="18"/>
                <w:lang w:val="en-GB"/>
              </w:rPr>
            </w:pPr>
            <w:r w:rsidRPr="004E13E9">
              <w:rPr>
                <w:sz w:val="18"/>
                <w:szCs w:val="18"/>
                <w:lang w:val="en-GB"/>
              </w:rPr>
              <w:t>SANTA MARIA DI LEUCA</w:t>
            </w:r>
          </w:p>
        </w:tc>
        <w:tc>
          <w:tcPr>
            <w:tcW w:w="1732" w:type="dxa"/>
            <w:noWrap/>
            <w:vAlign w:val="bottom"/>
            <w:hideMark/>
          </w:tcPr>
          <w:p w14:paraId="1CF92E81"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4E3736A" w14:textId="77777777" w:rsidTr="00BB4F69">
        <w:trPr>
          <w:trHeight w:val="300"/>
          <w:jc w:val="center"/>
        </w:trPr>
        <w:tc>
          <w:tcPr>
            <w:tcW w:w="4500" w:type="dxa"/>
            <w:noWrap/>
            <w:vAlign w:val="bottom"/>
            <w:hideMark/>
          </w:tcPr>
          <w:p w14:paraId="3FFADC1B" w14:textId="77777777" w:rsidR="00DF358A" w:rsidRPr="004E13E9" w:rsidRDefault="00DF358A" w:rsidP="00BB4F69">
            <w:pPr>
              <w:rPr>
                <w:sz w:val="18"/>
                <w:szCs w:val="18"/>
                <w:lang w:val="en-GB"/>
              </w:rPr>
            </w:pPr>
            <w:r w:rsidRPr="004E13E9">
              <w:rPr>
                <w:sz w:val="18"/>
                <w:szCs w:val="18"/>
                <w:lang w:val="en-GB"/>
              </w:rPr>
              <w:t>SANTA MARIA LA SCALA</w:t>
            </w:r>
          </w:p>
        </w:tc>
        <w:tc>
          <w:tcPr>
            <w:tcW w:w="1732" w:type="dxa"/>
            <w:noWrap/>
            <w:vAlign w:val="bottom"/>
            <w:hideMark/>
          </w:tcPr>
          <w:p w14:paraId="15DAC5D0"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2CE54ED" w14:textId="77777777" w:rsidTr="00BB4F69">
        <w:trPr>
          <w:trHeight w:val="300"/>
          <w:jc w:val="center"/>
        </w:trPr>
        <w:tc>
          <w:tcPr>
            <w:tcW w:w="4500" w:type="dxa"/>
            <w:noWrap/>
            <w:vAlign w:val="bottom"/>
            <w:hideMark/>
          </w:tcPr>
          <w:p w14:paraId="24CF5B7D" w14:textId="77777777" w:rsidR="00DF358A" w:rsidRPr="004E13E9" w:rsidRDefault="00DF358A" w:rsidP="00BB4F69">
            <w:pPr>
              <w:rPr>
                <w:sz w:val="18"/>
                <w:szCs w:val="18"/>
                <w:lang w:val="en-GB"/>
              </w:rPr>
            </w:pPr>
            <w:r w:rsidRPr="004E13E9">
              <w:rPr>
                <w:sz w:val="18"/>
                <w:szCs w:val="18"/>
                <w:lang w:val="en-GB"/>
              </w:rPr>
              <w:t>SANTA MARINELLA</w:t>
            </w:r>
          </w:p>
        </w:tc>
        <w:tc>
          <w:tcPr>
            <w:tcW w:w="1732" w:type="dxa"/>
            <w:noWrap/>
            <w:vAlign w:val="bottom"/>
            <w:hideMark/>
          </w:tcPr>
          <w:p w14:paraId="41F583CE"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40E8F72D" w14:textId="77777777" w:rsidTr="00BB4F69">
        <w:trPr>
          <w:trHeight w:val="300"/>
          <w:jc w:val="center"/>
        </w:trPr>
        <w:tc>
          <w:tcPr>
            <w:tcW w:w="4500" w:type="dxa"/>
            <w:noWrap/>
            <w:vAlign w:val="bottom"/>
            <w:hideMark/>
          </w:tcPr>
          <w:p w14:paraId="409CA878" w14:textId="77777777" w:rsidR="00DF358A" w:rsidRPr="004E13E9" w:rsidRDefault="00DF358A" w:rsidP="00BB4F69">
            <w:pPr>
              <w:rPr>
                <w:sz w:val="18"/>
                <w:szCs w:val="18"/>
                <w:lang w:val="en-GB"/>
              </w:rPr>
            </w:pPr>
            <w:r w:rsidRPr="004E13E9">
              <w:rPr>
                <w:sz w:val="18"/>
                <w:szCs w:val="18"/>
                <w:lang w:val="en-GB"/>
              </w:rPr>
              <w:t>SANTA TERESA DI GALLURA</w:t>
            </w:r>
          </w:p>
        </w:tc>
        <w:tc>
          <w:tcPr>
            <w:tcW w:w="1732" w:type="dxa"/>
            <w:noWrap/>
            <w:vAlign w:val="bottom"/>
            <w:hideMark/>
          </w:tcPr>
          <w:p w14:paraId="54F7C90E"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6FC71933" w14:textId="77777777" w:rsidTr="00BB4F69">
        <w:trPr>
          <w:trHeight w:val="300"/>
          <w:jc w:val="center"/>
        </w:trPr>
        <w:tc>
          <w:tcPr>
            <w:tcW w:w="4500" w:type="dxa"/>
            <w:noWrap/>
            <w:vAlign w:val="bottom"/>
            <w:hideMark/>
          </w:tcPr>
          <w:p w14:paraId="445F5210" w14:textId="77777777" w:rsidR="00DF358A" w:rsidRPr="004E13E9" w:rsidRDefault="00DF358A" w:rsidP="00BB4F69">
            <w:pPr>
              <w:rPr>
                <w:sz w:val="18"/>
                <w:szCs w:val="18"/>
                <w:lang w:val="en-GB"/>
              </w:rPr>
            </w:pPr>
            <w:r w:rsidRPr="004E13E9">
              <w:rPr>
                <w:sz w:val="18"/>
                <w:szCs w:val="18"/>
                <w:lang w:val="en-GB"/>
              </w:rPr>
              <w:t>SAPRI</w:t>
            </w:r>
          </w:p>
        </w:tc>
        <w:tc>
          <w:tcPr>
            <w:tcW w:w="1732" w:type="dxa"/>
            <w:noWrap/>
            <w:vAlign w:val="bottom"/>
            <w:hideMark/>
          </w:tcPr>
          <w:p w14:paraId="17DC0C0D"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27582CB8" w14:textId="77777777" w:rsidTr="00BB4F69">
        <w:trPr>
          <w:trHeight w:val="300"/>
          <w:jc w:val="center"/>
        </w:trPr>
        <w:tc>
          <w:tcPr>
            <w:tcW w:w="4500" w:type="dxa"/>
            <w:noWrap/>
            <w:vAlign w:val="bottom"/>
            <w:hideMark/>
          </w:tcPr>
          <w:p w14:paraId="441EA87F" w14:textId="77777777" w:rsidR="00DF358A" w:rsidRPr="004E13E9" w:rsidRDefault="00DF358A" w:rsidP="00BB4F69">
            <w:pPr>
              <w:rPr>
                <w:sz w:val="18"/>
                <w:szCs w:val="18"/>
                <w:lang w:val="en-GB"/>
              </w:rPr>
            </w:pPr>
            <w:r w:rsidRPr="004E13E9">
              <w:rPr>
                <w:sz w:val="18"/>
                <w:szCs w:val="18"/>
                <w:lang w:val="en-GB"/>
              </w:rPr>
              <w:t>SAVONA</w:t>
            </w:r>
          </w:p>
        </w:tc>
        <w:tc>
          <w:tcPr>
            <w:tcW w:w="1732" w:type="dxa"/>
            <w:noWrap/>
            <w:vAlign w:val="bottom"/>
            <w:hideMark/>
          </w:tcPr>
          <w:p w14:paraId="6732EA6C"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10DF62A" w14:textId="77777777" w:rsidTr="00BB4F69">
        <w:trPr>
          <w:trHeight w:val="300"/>
          <w:jc w:val="center"/>
        </w:trPr>
        <w:tc>
          <w:tcPr>
            <w:tcW w:w="4500" w:type="dxa"/>
            <w:noWrap/>
            <w:vAlign w:val="bottom"/>
            <w:hideMark/>
          </w:tcPr>
          <w:p w14:paraId="7CB84F81" w14:textId="77777777" w:rsidR="00DF358A" w:rsidRPr="004E13E9" w:rsidRDefault="00DF358A" w:rsidP="00BB4F69">
            <w:pPr>
              <w:rPr>
                <w:sz w:val="18"/>
                <w:szCs w:val="18"/>
                <w:lang w:val="en-GB"/>
              </w:rPr>
            </w:pPr>
            <w:r w:rsidRPr="004E13E9">
              <w:rPr>
                <w:sz w:val="18"/>
                <w:szCs w:val="18"/>
                <w:lang w:val="en-GB"/>
              </w:rPr>
              <w:t>SCHIAVONEA</w:t>
            </w:r>
          </w:p>
        </w:tc>
        <w:tc>
          <w:tcPr>
            <w:tcW w:w="1732" w:type="dxa"/>
            <w:noWrap/>
            <w:vAlign w:val="bottom"/>
            <w:hideMark/>
          </w:tcPr>
          <w:p w14:paraId="45CEFEB3"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574832EE" w14:textId="77777777" w:rsidTr="00BB4F69">
        <w:trPr>
          <w:trHeight w:val="300"/>
          <w:jc w:val="center"/>
        </w:trPr>
        <w:tc>
          <w:tcPr>
            <w:tcW w:w="4500" w:type="dxa"/>
            <w:noWrap/>
            <w:vAlign w:val="bottom"/>
            <w:hideMark/>
          </w:tcPr>
          <w:p w14:paraId="7FA97AA0" w14:textId="77777777" w:rsidR="00DF358A" w:rsidRPr="004E13E9" w:rsidRDefault="00DF358A" w:rsidP="00BB4F69">
            <w:pPr>
              <w:rPr>
                <w:sz w:val="18"/>
                <w:szCs w:val="18"/>
                <w:lang w:val="en-GB"/>
              </w:rPr>
            </w:pPr>
            <w:r w:rsidRPr="004E13E9">
              <w:rPr>
                <w:sz w:val="18"/>
                <w:szCs w:val="18"/>
                <w:lang w:val="en-GB"/>
              </w:rPr>
              <w:t>SCIACCA</w:t>
            </w:r>
          </w:p>
        </w:tc>
        <w:tc>
          <w:tcPr>
            <w:tcW w:w="1732" w:type="dxa"/>
            <w:noWrap/>
            <w:vAlign w:val="bottom"/>
            <w:hideMark/>
          </w:tcPr>
          <w:p w14:paraId="23D2565F"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BB776ED" w14:textId="77777777" w:rsidTr="00BB4F69">
        <w:trPr>
          <w:trHeight w:val="300"/>
          <w:jc w:val="center"/>
        </w:trPr>
        <w:tc>
          <w:tcPr>
            <w:tcW w:w="4500" w:type="dxa"/>
            <w:noWrap/>
            <w:vAlign w:val="bottom"/>
            <w:hideMark/>
          </w:tcPr>
          <w:p w14:paraId="07D6CC0D" w14:textId="77777777" w:rsidR="00DF358A" w:rsidRPr="004E13E9" w:rsidRDefault="00DF358A" w:rsidP="00BB4F69">
            <w:pPr>
              <w:rPr>
                <w:sz w:val="18"/>
                <w:szCs w:val="18"/>
                <w:lang w:val="en-GB"/>
              </w:rPr>
            </w:pPr>
            <w:r w:rsidRPr="004E13E9">
              <w:rPr>
                <w:sz w:val="18"/>
                <w:szCs w:val="18"/>
                <w:lang w:val="en-GB"/>
              </w:rPr>
              <w:t>SESTRI LEVANTE</w:t>
            </w:r>
          </w:p>
        </w:tc>
        <w:tc>
          <w:tcPr>
            <w:tcW w:w="1732" w:type="dxa"/>
            <w:noWrap/>
            <w:vAlign w:val="bottom"/>
            <w:hideMark/>
          </w:tcPr>
          <w:p w14:paraId="565EBE4D"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1307A026" w14:textId="77777777" w:rsidTr="00BB4F69">
        <w:trPr>
          <w:trHeight w:val="300"/>
          <w:jc w:val="center"/>
        </w:trPr>
        <w:tc>
          <w:tcPr>
            <w:tcW w:w="4500" w:type="dxa"/>
            <w:noWrap/>
            <w:vAlign w:val="bottom"/>
            <w:hideMark/>
          </w:tcPr>
          <w:p w14:paraId="185A2B9B" w14:textId="77777777" w:rsidR="00DF358A" w:rsidRPr="004E13E9" w:rsidRDefault="00DF358A" w:rsidP="00BB4F69">
            <w:pPr>
              <w:rPr>
                <w:sz w:val="18"/>
                <w:szCs w:val="18"/>
                <w:lang w:val="en-GB"/>
              </w:rPr>
            </w:pPr>
            <w:r w:rsidRPr="004E13E9">
              <w:rPr>
                <w:sz w:val="18"/>
                <w:szCs w:val="18"/>
                <w:lang w:val="en-GB"/>
              </w:rPr>
              <w:t>SEVELLETRI</w:t>
            </w:r>
          </w:p>
        </w:tc>
        <w:tc>
          <w:tcPr>
            <w:tcW w:w="1732" w:type="dxa"/>
            <w:noWrap/>
            <w:vAlign w:val="bottom"/>
            <w:hideMark/>
          </w:tcPr>
          <w:p w14:paraId="5647940D"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2F4B897" w14:textId="77777777" w:rsidTr="00BB4F69">
        <w:trPr>
          <w:trHeight w:val="300"/>
          <w:jc w:val="center"/>
        </w:trPr>
        <w:tc>
          <w:tcPr>
            <w:tcW w:w="4500" w:type="dxa"/>
            <w:noWrap/>
            <w:vAlign w:val="bottom"/>
            <w:hideMark/>
          </w:tcPr>
          <w:p w14:paraId="26979B16" w14:textId="77777777" w:rsidR="00DF358A" w:rsidRPr="004E13E9" w:rsidRDefault="00DF358A" w:rsidP="00BB4F69">
            <w:pPr>
              <w:rPr>
                <w:sz w:val="18"/>
                <w:szCs w:val="18"/>
                <w:lang w:val="en-GB"/>
              </w:rPr>
            </w:pPr>
            <w:r w:rsidRPr="004E13E9">
              <w:rPr>
                <w:sz w:val="18"/>
                <w:szCs w:val="18"/>
                <w:lang w:val="en-GB"/>
              </w:rPr>
              <w:t>TARANTO</w:t>
            </w:r>
          </w:p>
        </w:tc>
        <w:tc>
          <w:tcPr>
            <w:tcW w:w="1732" w:type="dxa"/>
            <w:noWrap/>
            <w:vAlign w:val="bottom"/>
            <w:hideMark/>
          </w:tcPr>
          <w:p w14:paraId="21256732"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8B14697" w14:textId="77777777" w:rsidTr="00BB4F69">
        <w:trPr>
          <w:trHeight w:val="300"/>
          <w:jc w:val="center"/>
        </w:trPr>
        <w:tc>
          <w:tcPr>
            <w:tcW w:w="4500" w:type="dxa"/>
            <w:noWrap/>
            <w:vAlign w:val="bottom"/>
            <w:hideMark/>
          </w:tcPr>
          <w:p w14:paraId="715A4102" w14:textId="77777777" w:rsidR="00DF358A" w:rsidRPr="004E13E9" w:rsidRDefault="00DF358A" w:rsidP="00BB4F69">
            <w:pPr>
              <w:rPr>
                <w:sz w:val="18"/>
                <w:szCs w:val="18"/>
                <w:lang w:val="en-GB"/>
              </w:rPr>
            </w:pPr>
            <w:r w:rsidRPr="004E13E9">
              <w:rPr>
                <w:sz w:val="18"/>
                <w:szCs w:val="18"/>
                <w:lang w:val="en-GB"/>
              </w:rPr>
              <w:t>TERMINI IMERESE</w:t>
            </w:r>
          </w:p>
        </w:tc>
        <w:tc>
          <w:tcPr>
            <w:tcW w:w="1732" w:type="dxa"/>
            <w:noWrap/>
            <w:vAlign w:val="bottom"/>
            <w:hideMark/>
          </w:tcPr>
          <w:p w14:paraId="2E7CE6DC"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52042E47" w14:textId="77777777" w:rsidTr="00BB4F69">
        <w:trPr>
          <w:trHeight w:val="300"/>
          <w:jc w:val="center"/>
        </w:trPr>
        <w:tc>
          <w:tcPr>
            <w:tcW w:w="4500" w:type="dxa"/>
            <w:noWrap/>
            <w:vAlign w:val="bottom"/>
            <w:hideMark/>
          </w:tcPr>
          <w:p w14:paraId="13EDB8F8" w14:textId="77777777" w:rsidR="00DF358A" w:rsidRPr="004E13E9" w:rsidRDefault="00DF358A" w:rsidP="00BB4F69">
            <w:pPr>
              <w:rPr>
                <w:sz w:val="18"/>
                <w:szCs w:val="18"/>
                <w:lang w:val="en-GB"/>
              </w:rPr>
            </w:pPr>
            <w:r w:rsidRPr="004E13E9">
              <w:rPr>
                <w:sz w:val="18"/>
                <w:szCs w:val="18"/>
                <w:lang w:val="en-GB"/>
              </w:rPr>
              <w:t>TERMOLI</w:t>
            </w:r>
          </w:p>
        </w:tc>
        <w:tc>
          <w:tcPr>
            <w:tcW w:w="1732" w:type="dxa"/>
            <w:noWrap/>
            <w:vAlign w:val="bottom"/>
            <w:hideMark/>
          </w:tcPr>
          <w:p w14:paraId="21DDB8B8"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C069E64" w14:textId="77777777" w:rsidTr="00BB4F69">
        <w:trPr>
          <w:trHeight w:val="300"/>
          <w:jc w:val="center"/>
        </w:trPr>
        <w:tc>
          <w:tcPr>
            <w:tcW w:w="4500" w:type="dxa"/>
            <w:noWrap/>
            <w:vAlign w:val="bottom"/>
            <w:hideMark/>
          </w:tcPr>
          <w:p w14:paraId="057045EB" w14:textId="77777777" w:rsidR="00DF358A" w:rsidRPr="004E13E9" w:rsidRDefault="00DF358A" w:rsidP="00BB4F69">
            <w:pPr>
              <w:rPr>
                <w:sz w:val="18"/>
                <w:szCs w:val="18"/>
                <w:lang w:val="en-GB"/>
              </w:rPr>
            </w:pPr>
            <w:r w:rsidRPr="004E13E9">
              <w:rPr>
                <w:sz w:val="18"/>
                <w:szCs w:val="18"/>
                <w:lang w:val="en-GB"/>
              </w:rPr>
              <w:t>TERRACINA</w:t>
            </w:r>
          </w:p>
        </w:tc>
        <w:tc>
          <w:tcPr>
            <w:tcW w:w="1732" w:type="dxa"/>
            <w:noWrap/>
            <w:vAlign w:val="bottom"/>
            <w:hideMark/>
          </w:tcPr>
          <w:p w14:paraId="3F36FFF8"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7BA7F28" w14:textId="77777777" w:rsidTr="00BB4F69">
        <w:trPr>
          <w:trHeight w:val="300"/>
          <w:jc w:val="center"/>
        </w:trPr>
        <w:tc>
          <w:tcPr>
            <w:tcW w:w="4500" w:type="dxa"/>
            <w:noWrap/>
            <w:vAlign w:val="bottom"/>
            <w:hideMark/>
          </w:tcPr>
          <w:p w14:paraId="64F73F3D" w14:textId="77777777" w:rsidR="00DF358A" w:rsidRPr="004E13E9" w:rsidRDefault="00DF358A" w:rsidP="00BB4F69">
            <w:pPr>
              <w:rPr>
                <w:sz w:val="18"/>
                <w:szCs w:val="18"/>
                <w:lang w:val="en-GB"/>
              </w:rPr>
            </w:pPr>
            <w:r w:rsidRPr="004E13E9">
              <w:rPr>
                <w:sz w:val="18"/>
                <w:szCs w:val="18"/>
                <w:lang w:val="en-GB"/>
              </w:rPr>
              <w:t>TERRASINI</w:t>
            </w:r>
          </w:p>
        </w:tc>
        <w:tc>
          <w:tcPr>
            <w:tcW w:w="1732" w:type="dxa"/>
            <w:noWrap/>
            <w:vAlign w:val="bottom"/>
            <w:hideMark/>
          </w:tcPr>
          <w:p w14:paraId="7C41E9FD"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2B95C7C3" w14:textId="77777777" w:rsidTr="00BB4F69">
        <w:trPr>
          <w:trHeight w:val="300"/>
          <w:jc w:val="center"/>
        </w:trPr>
        <w:tc>
          <w:tcPr>
            <w:tcW w:w="4500" w:type="dxa"/>
            <w:noWrap/>
            <w:vAlign w:val="bottom"/>
            <w:hideMark/>
          </w:tcPr>
          <w:p w14:paraId="18ACD8E8" w14:textId="77777777" w:rsidR="00DF358A" w:rsidRPr="004E13E9" w:rsidRDefault="00DF358A" w:rsidP="00BB4F69">
            <w:pPr>
              <w:rPr>
                <w:sz w:val="18"/>
                <w:szCs w:val="18"/>
                <w:lang w:val="en-GB"/>
              </w:rPr>
            </w:pPr>
            <w:r w:rsidRPr="004E13E9">
              <w:rPr>
                <w:sz w:val="18"/>
                <w:szCs w:val="18"/>
                <w:lang w:val="en-GB"/>
              </w:rPr>
              <w:t>TORRE ANNUNZIATA</w:t>
            </w:r>
          </w:p>
        </w:tc>
        <w:tc>
          <w:tcPr>
            <w:tcW w:w="1732" w:type="dxa"/>
            <w:noWrap/>
            <w:vAlign w:val="bottom"/>
            <w:hideMark/>
          </w:tcPr>
          <w:p w14:paraId="3A09F8AD"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1FEC36FE" w14:textId="77777777" w:rsidTr="00BB4F69">
        <w:trPr>
          <w:trHeight w:val="300"/>
          <w:jc w:val="center"/>
        </w:trPr>
        <w:tc>
          <w:tcPr>
            <w:tcW w:w="4500" w:type="dxa"/>
            <w:noWrap/>
            <w:vAlign w:val="bottom"/>
            <w:hideMark/>
          </w:tcPr>
          <w:p w14:paraId="2C1D3F2F" w14:textId="77777777" w:rsidR="00DF358A" w:rsidRPr="004E13E9" w:rsidRDefault="00DF358A" w:rsidP="00BB4F69">
            <w:pPr>
              <w:rPr>
                <w:sz w:val="18"/>
                <w:szCs w:val="18"/>
                <w:lang w:val="en-GB"/>
              </w:rPr>
            </w:pPr>
            <w:r w:rsidRPr="004E13E9">
              <w:rPr>
                <w:sz w:val="18"/>
                <w:szCs w:val="18"/>
                <w:lang w:val="en-GB"/>
              </w:rPr>
              <w:t>TORRE DEL GRECO</w:t>
            </w:r>
          </w:p>
        </w:tc>
        <w:tc>
          <w:tcPr>
            <w:tcW w:w="1732" w:type="dxa"/>
            <w:noWrap/>
            <w:vAlign w:val="bottom"/>
            <w:hideMark/>
          </w:tcPr>
          <w:p w14:paraId="790DC284"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6193EBF3" w14:textId="77777777" w:rsidTr="00BB4F69">
        <w:trPr>
          <w:trHeight w:val="300"/>
          <w:jc w:val="center"/>
        </w:trPr>
        <w:tc>
          <w:tcPr>
            <w:tcW w:w="4500" w:type="dxa"/>
            <w:noWrap/>
            <w:vAlign w:val="bottom"/>
            <w:hideMark/>
          </w:tcPr>
          <w:p w14:paraId="44067D9F" w14:textId="77777777" w:rsidR="00DF358A" w:rsidRPr="004E13E9" w:rsidRDefault="00DF358A" w:rsidP="00BB4F69">
            <w:pPr>
              <w:rPr>
                <w:sz w:val="18"/>
                <w:szCs w:val="18"/>
                <w:lang w:val="en-GB"/>
              </w:rPr>
            </w:pPr>
            <w:r w:rsidRPr="004E13E9">
              <w:rPr>
                <w:sz w:val="18"/>
                <w:szCs w:val="18"/>
                <w:lang w:val="en-GB"/>
              </w:rPr>
              <w:t>TRANI</w:t>
            </w:r>
          </w:p>
        </w:tc>
        <w:tc>
          <w:tcPr>
            <w:tcW w:w="1732" w:type="dxa"/>
            <w:noWrap/>
            <w:vAlign w:val="bottom"/>
            <w:hideMark/>
          </w:tcPr>
          <w:p w14:paraId="480E2450"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6C26ACF3" w14:textId="77777777" w:rsidTr="00BB4F69">
        <w:trPr>
          <w:trHeight w:val="300"/>
          <w:jc w:val="center"/>
        </w:trPr>
        <w:tc>
          <w:tcPr>
            <w:tcW w:w="4500" w:type="dxa"/>
            <w:noWrap/>
            <w:vAlign w:val="bottom"/>
            <w:hideMark/>
          </w:tcPr>
          <w:p w14:paraId="02CFAFC9" w14:textId="77777777" w:rsidR="00DF358A" w:rsidRPr="004E13E9" w:rsidRDefault="00DF358A" w:rsidP="00BB4F69">
            <w:pPr>
              <w:rPr>
                <w:sz w:val="18"/>
                <w:szCs w:val="18"/>
                <w:lang w:val="en-GB"/>
              </w:rPr>
            </w:pPr>
            <w:r w:rsidRPr="004E13E9">
              <w:rPr>
                <w:sz w:val="18"/>
                <w:szCs w:val="18"/>
                <w:lang w:val="en-GB"/>
              </w:rPr>
              <w:t>TRAPANI</w:t>
            </w:r>
          </w:p>
        </w:tc>
        <w:tc>
          <w:tcPr>
            <w:tcW w:w="1732" w:type="dxa"/>
            <w:noWrap/>
            <w:vAlign w:val="bottom"/>
            <w:hideMark/>
          </w:tcPr>
          <w:p w14:paraId="749751B6"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68007129" w14:textId="77777777" w:rsidTr="00BB4F69">
        <w:trPr>
          <w:trHeight w:val="300"/>
          <w:jc w:val="center"/>
        </w:trPr>
        <w:tc>
          <w:tcPr>
            <w:tcW w:w="4500" w:type="dxa"/>
            <w:noWrap/>
            <w:vAlign w:val="bottom"/>
            <w:hideMark/>
          </w:tcPr>
          <w:p w14:paraId="22C5E489" w14:textId="77777777" w:rsidR="00DF358A" w:rsidRPr="004E13E9" w:rsidRDefault="00DF358A" w:rsidP="00BB4F69">
            <w:pPr>
              <w:rPr>
                <w:sz w:val="18"/>
                <w:szCs w:val="18"/>
                <w:lang w:val="en-GB"/>
              </w:rPr>
            </w:pPr>
            <w:r w:rsidRPr="004E13E9">
              <w:rPr>
                <w:sz w:val="18"/>
                <w:szCs w:val="18"/>
                <w:lang w:val="en-GB"/>
              </w:rPr>
              <w:t>TRICASE</w:t>
            </w:r>
          </w:p>
        </w:tc>
        <w:tc>
          <w:tcPr>
            <w:tcW w:w="1732" w:type="dxa"/>
            <w:noWrap/>
            <w:vAlign w:val="bottom"/>
            <w:hideMark/>
          </w:tcPr>
          <w:p w14:paraId="1CDD11CC"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72ACB4D3" w14:textId="77777777" w:rsidTr="00BB4F69">
        <w:trPr>
          <w:trHeight w:val="300"/>
          <w:jc w:val="center"/>
        </w:trPr>
        <w:tc>
          <w:tcPr>
            <w:tcW w:w="4500" w:type="dxa"/>
            <w:noWrap/>
            <w:vAlign w:val="bottom"/>
            <w:hideMark/>
          </w:tcPr>
          <w:p w14:paraId="7402189E" w14:textId="77777777" w:rsidR="00DF358A" w:rsidRPr="004E13E9" w:rsidRDefault="00DF358A" w:rsidP="00BB4F69">
            <w:pPr>
              <w:rPr>
                <w:sz w:val="18"/>
                <w:szCs w:val="18"/>
                <w:lang w:val="en-GB"/>
              </w:rPr>
            </w:pPr>
            <w:r w:rsidRPr="004E13E9">
              <w:rPr>
                <w:sz w:val="18"/>
                <w:szCs w:val="18"/>
                <w:lang w:val="en-GB"/>
              </w:rPr>
              <w:t>VARAZZE</w:t>
            </w:r>
          </w:p>
        </w:tc>
        <w:tc>
          <w:tcPr>
            <w:tcW w:w="1732" w:type="dxa"/>
            <w:noWrap/>
            <w:vAlign w:val="bottom"/>
            <w:hideMark/>
          </w:tcPr>
          <w:p w14:paraId="0F7766BA"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24FA361C" w14:textId="77777777" w:rsidTr="00BB4F69">
        <w:trPr>
          <w:trHeight w:val="300"/>
          <w:jc w:val="center"/>
        </w:trPr>
        <w:tc>
          <w:tcPr>
            <w:tcW w:w="4500" w:type="dxa"/>
            <w:noWrap/>
            <w:vAlign w:val="bottom"/>
            <w:hideMark/>
          </w:tcPr>
          <w:p w14:paraId="66A1F8E3" w14:textId="77777777" w:rsidR="00DF358A" w:rsidRPr="004E13E9" w:rsidRDefault="00DF358A" w:rsidP="00BB4F69">
            <w:pPr>
              <w:rPr>
                <w:sz w:val="18"/>
                <w:szCs w:val="18"/>
                <w:lang w:val="en-GB"/>
              </w:rPr>
            </w:pPr>
            <w:r w:rsidRPr="004E13E9">
              <w:rPr>
                <w:sz w:val="18"/>
                <w:szCs w:val="18"/>
                <w:lang w:val="en-GB"/>
              </w:rPr>
              <w:t>VASTO</w:t>
            </w:r>
          </w:p>
        </w:tc>
        <w:tc>
          <w:tcPr>
            <w:tcW w:w="1732" w:type="dxa"/>
            <w:noWrap/>
            <w:vAlign w:val="bottom"/>
            <w:hideMark/>
          </w:tcPr>
          <w:p w14:paraId="6ED60E94"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33F92DB7" w14:textId="77777777" w:rsidTr="00BB4F69">
        <w:trPr>
          <w:trHeight w:val="300"/>
          <w:jc w:val="center"/>
        </w:trPr>
        <w:tc>
          <w:tcPr>
            <w:tcW w:w="4500" w:type="dxa"/>
            <w:noWrap/>
            <w:vAlign w:val="bottom"/>
            <w:hideMark/>
          </w:tcPr>
          <w:p w14:paraId="2DFA8AD8" w14:textId="77777777" w:rsidR="00DF358A" w:rsidRPr="004E13E9" w:rsidRDefault="00DF358A" w:rsidP="00BB4F69">
            <w:pPr>
              <w:rPr>
                <w:sz w:val="18"/>
                <w:szCs w:val="18"/>
                <w:lang w:val="en-GB"/>
              </w:rPr>
            </w:pPr>
            <w:r w:rsidRPr="004E13E9">
              <w:rPr>
                <w:sz w:val="18"/>
                <w:szCs w:val="18"/>
                <w:lang w:val="en-GB"/>
              </w:rPr>
              <w:t>VIAREGGIO</w:t>
            </w:r>
          </w:p>
        </w:tc>
        <w:tc>
          <w:tcPr>
            <w:tcW w:w="1732" w:type="dxa"/>
            <w:noWrap/>
            <w:vAlign w:val="bottom"/>
            <w:hideMark/>
          </w:tcPr>
          <w:p w14:paraId="7FAD3C8F"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1C693E99" w14:textId="77777777" w:rsidTr="00BB4F69">
        <w:trPr>
          <w:trHeight w:val="300"/>
          <w:jc w:val="center"/>
        </w:trPr>
        <w:tc>
          <w:tcPr>
            <w:tcW w:w="4500" w:type="dxa"/>
            <w:noWrap/>
            <w:vAlign w:val="bottom"/>
            <w:hideMark/>
          </w:tcPr>
          <w:p w14:paraId="795B9161" w14:textId="77777777" w:rsidR="00DF358A" w:rsidRPr="004E13E9" w:rsidRDefault="00DF358A" w:rsidP="00BB4F69">
            <w:pPr>
              <w:rPr>
                <w:sz w:val="18"/>
                <w:szCs w:val="18"/>
                <w:lang w:val="en-GB"/>
              </w:rPr>
            </w:pPr>
            <w:r w:rsidRPr="004E13E9">
              <w:rPr>
                <w:sz w:val="18"/>
                <w:szCs w:val="18"/>
                <w:lang w:val="en-GB"/>
              </w:rPr>
              <w:t>VIBO VALENTIA MARINA</w:t>
            </w:r>
          </w:p>
        </w:tc>
        <w:tc>
          <w:tcPr>
            <w:tcW w:w="1732" w:type="dxa"/>
            <w:noWrap/>
            <w:vAlign w:val="bottom"/>
            <w:hideMark/>
          </w:tcPr>
          <w:p w14:paraId="48E53684"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19E0F53" w14:textId="77777777" w:rsidTr="00BB4F69">
        <w:trPr>
          <w:trHeight w:val="300"/>
          <w:jc w:val="center"/>
        </w:trPr>
        <w:tc>
          <w:tcPr>
            <w:tcW w:w="4500" w:type="dxa"/>
            <w:noWrap/>
            <w:vAlign w:val="bottom"/>
            <w:hideMark/>
          </w:tcPr>
          <w:p w14:paraId="0C93227E" w14:textId="77777777" w:rsidR="00DF358A" w:rsidRPr="004E13E9" w:rsidRDefault="00DF358A" w:rsidP="00BB4F69">
            <w:pPr>
              <w:rPr>
                <w:sz w:val="18"/>
                <w:szCs w:val="18"/>
                <w:lang w:val="en-GB"/>
              </w:rPr>
            </w:pPr>
            <w:r w:rsidRPr="004E13E9">
              <w:rPr>
                <w:sz w:val="18"/>
                <w:szCs w:val="18"/>
                <w:lang w:val="en-GB"/>
              </w:rPr>
              <w:t>VIESTE</w:t>
            </w:r>
          </w:p>
        </w:tc>
        <w:tc>
          <w:tcPr>
            <w:tcW w:w="1732" w:type="dxa"/>
            <w:noWrap/>
            <w:vAlign w:val="bottom"/>
            <w:hideMark/>
          </w:tcPr>
          <w:p w14:paraId="039EE404"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2D1A3C1A" w14:textId="77777777" w:rsidTr="00BB4F69">
        <w:trPr>
          <w:trHeight w:val="300"/>
          <w:jc w:val="center"/>
        </w:trPr>
        <w:tc>
          <w:tcPr>
            <w:tcW w:w="4500" w:type="dxa"/>
            <w:noWrap/>
            <w:vAlign w:val="bottom"/>
            <w:hideMark/>
          </w:tcPr>
          <w:p w14:paraId="27BE9A87" w14:textId="77777777" w:rsidR="00DF358A" w:rsidRPr="004E13E9" w:rsidRDefault="00DF358A" w:rsidP="00BB4F69">
            <w:pPr>
              <w:rPr>
                <w:sz w:val="18"/>
                <w:szCs w:val="18"/>
                <w:lang w:val="en-GB"/>
              </w:rPr>
            </w:pPr>
            <w:r w:rsidRPr="004E13E9">
              <w:rPr>
                <w:sz w:val="18"/>
                <w:szCs w:val="18"/>
                <w:lang w:val="en-GB"/>
              </w:rPr>
              <w:t>VILLA SAN GIOVANNI</w:t>
            </w:r>
          </w:p>
        </w:tc>
        <w:tc>
          <w:tcPr>
            <w:tcW w:w="1732" w:type="dxa"/>
            <w:noWrap/>
            <w:vAlign w:val="bottom"/>
            <w:hideMark/>
          </w:tcPr>
          <w:p w14:paraId="563AE96F"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08048744" w14:textId="77777777" w:rsidTr="00BB4F69">
        <w:trPr>
          <w:trHeight w:val="300"/>
          <w:jc w:val="center"/>
        </w:trPr>
        <w:tc>
          <w:tcPr>
            <w:tcW w:w="4500" w:type="dxa"/>
            <w:noWrap/>
            <w:vAlign w:val="bottom"/>
            <w:hideMark/>
          </w:tcPr>
          <w:p w14:paraId="62807B79" w14:textId="77777777" w:rsidR="00DF358A" w:rsidRPr="004E13E9" w:rsidRDefault="00DF358A" w:rsidP="00BB4F69">
            <w:pPr>
              <w:rPr>
                <w:sz w:val="18"/>
                <w:szCs w:val="18"/>
                <w:lang w:val="en-GB"/>
              </w:rPr>
            </w:pPr>
            <w:r w:rsidRPr="004E13E9">
              <w:rPr>
                <w:sz w:val="18"/>
                <w:szCs w:val="18"/>
                <w:lang w:val="en-GB"/>
              </w:rPr>
              <w:t xml:space="preserve">VILLASIMIUS </w:t>
            </w:r>
          </w:p>
        </w:tc>
        <w:tc>
          <w:tcPr>
            <w:tcW w:w="1732" w:type="dxa"/>
            <w:noWrap/>
            <w:vAlign w:val="bottom"/>
            <w:hideMark/>
          </w:tcPr>
          <w:p w14:paraId="760DBC7A" w14:textId="77777777" w:rsidR="00DF358A" w:rsidRPr="004E13E9" w:rsidRDefault="00DF358A" w:rsidP="00BB4F69">
            <w:pPr>
              <w:rPr>
                <w:sz w:val="18"/>
                <w:szCs w:val="18"/>
                <w:lang w:val="en-GB"/>
              </w:rPr>
            </w:pPr>
            <w:r w:rsidRPr="004E13E9">
              <w:rPr>
                <w:sz w:val="18"/>
                <w:szCs w:val="18"/>
                <w:lang w:val="en-GB"/>
              </w:rPr>
              <w:t>EU-Italy</w:t>
            </w:r>
          </w:p>
        </w:tc>
      </w:tr>
      <w:tr w:rsidR="00DF358A" w:rsidRPr="004E13E9" w14:paraId="5988321C" w14:textId="77777777" w:rsidTr="00BB4F69">
        <w:trPr>
          <w:trHeight w:val="300"/>
          <w:jc w:val="center"/>
        </w:trPr>
        <w:tc>
          <w:tcPr>
            <w:tcW w:w="4500" w:type="dxa"/>
            <w:noWrap/>
            <w:vAlign w:val="bottom"/>
            <w:hideMark/>
          </w:tcPr>
          <w:p w14:paraId="30C5E165" w14:textId="77777777" w:rsidR="00DF358A" w:rsidRPr="004E13E9" w:rsidRDefault="00DF358A" w:rsidP="00BB4F69">
            <w:pPr>
              <w:rPr>
                <w:sz w:val="18"/>
                <w:szCs w:val="18"/>
                <w:lang w:val="en-GB"/>
              </w:rPr>
            </w:pPr>
            <w:r w:rsidRPr="004E13E9">
              <w:rPr>
                <w:sz w:val="18"/>
                <w:szCs w:val="18"/>
                <w:lang w:val="en-GB"/>
              </w:rPr>
              <w:t>GNEJNA</w:t>
            </w:r>
          </w:p>
        </w:tc>
        <w:tc>
          <w:tcPr>
            <w:tcW w:w="1732" w:type="dxa"/>
            <w:noWrap/>
            <w:vAlign w:val="bottom"/>
            <w:hideMark/>
          </w:tcPr>
          <w:p w14:paraId="3264A12E" w14:textId="77777777" w:rsidR="00DF358A" w:rsidRPr="004E13E9" w:rsidRDefault="00DF358A" w:rsidP="00BB4F69">
            <w:pPr>
              <w:rPr>
                <w:sz w:val="18"/>
                <w:szCs w:val="18"/>
                <w:lang w:val="en-GB"/>
              </w:rPr>
            </w:pPr>
            <w:r w:rsidRPr="004E13E9">
              <w:rPr>
                <w:sz w:val="18"/>
                <w:szCs w:val="18"/>
                <w:lang w:val="en-GB"/>
              </w:rPr>
              <w:t>EU-Malta</w:t>
            </w:r>
          </w:p>
        </w:tc>
      </w:tr>
      <w:tr w:rsidR="00DF358A" w:rsidRPr="004E13E9" w14:paraId="160413CF" w14:textId="77777777" w:rsidTr="00BB4F69">
        <w:trPr>
          <w:trHeight w:val="300"/>
          <w:jc w:val="center"/>
        </w:trPr>
        <w:tc>
          <w:tcPr>
            <w:tcW w:w="4500" w:type="dxa"/>
            <w:noWrap/>
            <w:vAlign w:val="bottom"/>
            <w:hideMark/>
          </w:tcPr>
          <w:p w14:paraId="58F73230" w14:textId="77777777" w:rsidR="00DF358A" w:rsidRPr="004E13E9" w:rsidRDefault="00DF358A" w:rsidP="00BB4F69">
            <w:pPr>
              <w:rPr>
                <w:sz w:val="18"/>
                <w:szCs w:val="18"/>
                <w:lang w:val="en-GB"/>
              </w:rPr>
            </w:pPr>
            <w:r w:rsidRPr="004E13E9">
              <w:rPr>
                <w:sz w:val="18"/>
                <w:szCs w:val="18"/>
                <w:lang w:val="en-GB"/>
              </w:rPr>
              <w:t>MARFA/CIRKEWWA</w:t>
            </w:r>
          </w:p>
        </w:tc>
        <w:tc>
          <w:tcPr>
            <w:tcW w:w="1732" w:type="dxa"/>
            <w:noWrap/>
            <w:vAlign w:val="bottom"/>
            <w:hideMark/>
          </w:tcPr>
          <w:p w14:paraId="1E4D495C" w14:textId="77777777" w:rsidR="00DF358A" w:rsidRPr="004E13E9" w:rsidRDefault="00DF358A" w:rsidP="00BB4F69">
            <w:pPr>
              <w:rPr>
                <w:sz w:val="18"/>
                <w:szCs w:val="18"/>
                <w:lang w:val="en-GB"/>
              </w:rPr>
            </w:pPr>
            <w:r w:rsidRPr="004E13E9">
              <w:rPr>
                <w:sz w:val="18"/>
                <w:szCs w:val="18"/>
                <w:lang w:val="en-GB"/>
              </w:rPr>
              <w:t>EU-Malta</w:t>
            </w:r>
          </w:p>
        </w:tc>
      </w:tr>
      <w:tr w:rsidR="00DF358A" w:rsidRPr="004E13E9" w14:paraId="528DD58D" w14:textId="77777777" w:rsidTr="00BB4F69">
        <w:trPr>
          <w:trHeight w:val="300"/>
          <w:jc w:val="center"/>
        </w:trPr>
        <w:tc>
          <w:tcPr>
            <w:tcW w:w="4500" w:type="dxa"/>
            <w:noWrap/>
            <w:vAlign w:val="bottom"/>
            <w:hideMark/>
          </w:tcPr>
          <w:p w14:paraId="3578A752" w14:textId="77777777" w:rsidR="00DF358A" w:rsidRPr="004E13E9" w:rsidRDefault="00DF358A" w:rsidP="00BB4F69">
            <w:pPr>
              <w:rPr>
                <w:sz w:val="18"/>
                <w:szCs w:val="18"/>
                <w:lang w:val="en-GB"/>
              </w:rPr>
            </w:pPr>
            <w:r w:rsidRPr="004E13E9">
              <w:rPr>
                <w:sz w:val="18"/>
                <w:szCs w:val="18"/>
                <w:lang w:val="en-GB"/>
              </w:rPr>
              <w:t>MARSALFORN (GOZO)</w:t>
            </w:r>
          </w:p>
        </w:tc>
        <w:tc>
          <w:tcPr>
            <w:tcW w:w="1732" w:type="dxa"/>
            <w:noWrap/>
            <w:vAlign w:val="bottom"/>
            <w:hideMark/>
          </w:tcPr>
          <w:p w14:paraId="70B7B453" w14:textId="77777777" w:rsidR="00DF358A" w:rsidRPr="004E13E9" w:rsidRDefault="00DF358A" w:rsidP="00BB4F69">
            <w:pPr>
              <w:rPr>
                <w:sz w:val="18"/>
                <w:szCs w:val="18"/>
                <w:lang w:val="en-GB"/>
              </w:rPr>
            </w:pPr>
            <w:r w:rsidRPr="004E13E9">
              <w:rPr>
                <w:sz w:val="18"/>
                <w:szCs w:val="18"/>
                <w:lang w:val="en-GB"/>
              </w:rPr>
              <w:t>EU-Malta</w:t>
            </w:r>
          </w:p>
        </w:tc>
      </w:tr>
      <w:tr w:rsidR="00DF358A" w:rsidRPr="004E13E9" w14:paraId="2EE5E684" w14:textId="77777777" w:rsidTr="00BB4F69">
        <w:trPr>
          <w:trHeight w:val="300"/>
          <w:jc w:val="center"/>
        </w:trPr>
        <w:tc>
          <w:tcPr>
            <w:tcW w:w="4500" w:type="dxa"/>
            <w:noWrap/>
            <w:vAlign w:val="bottom"/>
            <w:hideMark/>
          </w:tcPr>
          <w:p w14:paraId="264676BD" w14:textId="77777777" w:rsidR="00DF358A" w:rsidRPr="004E13E9" w:rsidRDefault="00DF358A" w:rsidP="00BB4F69">
            <w:pPr>
              <w:rPr>
                <w:sz w:val="18"/>
                <w:szCs w:val="18"/>
                <w:lang w:val="en-GB"/>
              </w:rPr>
            </w:pPr>
            <w:r w:rsidRPr="004E13E9">
              <w:rPr>
                <w:sz w:val="18"/>
                <w:szCs w:val="18"/>
                <w:lang w:val="en-GB"/>
              </w:rPr>
              <w:t>MARSAXLOKK</w:t>
            </w:r>
          </w:p>
        </w:tc>
        <w:tc>
          <w:tcPr>
            <w:tcW w:w="1732" w:type="dxa"/>
            <w:noWrap/>
            <w:vAlign w:val="bottom"/>
            <w:hideMark/>
          </w:tcPr>
          <w:p w14:paraId="7845F571" w14:textId="77777777" w:rsidR="00DF358A" w:rsidRPr="004E13E9" w:rsidRDefault="00DF358A" w:rsidP="00BB4F69">
            <w:pPr>
              <w:rPr>
                <w:sz w:val="18"/>
                <w:szCs w:val="18"/>
                <w:lang w:val="en-GB"/>
              </w:rPr>
            </w:pPr>
            <w:r w:rsidRPr="004E13E9">
              <w:rPr>
                <w:sz w:val="18"/>
                <w:szCs w:val="18"/>
                <w:lang w:val="en-GB"/>
              </w:rPr>
              <w:t>EU-Malta</w:t>
            </w:r>
          </w:p>
        </w:tc>
      </w:tr>
      <w:tr w:rsidR="00DF358A" w:rsidRPr="004E13E9" w14:paraId="37766467" w14:textId="77777777" w:rsidTr="00BB4F69">
        <w:trPr>
          <w:trHeight w:val="300"/>
          <w:jc w:val="center"/>
        </w:trPr>
        <w:tc>
          <w:tcPr>
            <w:tcW w:w="4500" w:type="dxa"/>
            <w:noWrap/>
            <w:vAlign w:val="bottom"/>
            <w:hideMark/>
          </w:tcPr>
          <w:p w14:paraId="44C9102C" w14:textId="77777777" w:rsidR="00DF358A" w:rsidRPr="004E13E9" w:rsidRDefault="00DF358A" w:rsidP="00BB4F69">
            <w:pPr>
              <w:rPr>
                <w:sz w:val="18"/>
                <w:szCs w:val="18"/>
                <w:lang w:val="en-GB"/>
              </w:rPr>
            </w:pPr>
            <w:r w:rsidRPr="004E13E9">
              <w:rPr>
                <w:sz w:val="18"/>
                <w:szCs w:val="18"/>
                <w:lang w:val="en-GB"/>
              </w:rPr>
              <w:t>MELLIEHA (GHADIRA)</w:t>
            </w:r>
          </w:p>
        </w:tc>
        <w:tc>
          <w:tcPr>
            <w:tcW w:w="1732" w:type="dxa"/>
            <w:noWrap/>
            <w:vAlign w:val="bottom"/>
            <w:hideMark/>
          </w:tcPr>
          <w:p w14:paraId="707E46FE" w14:textId="77777777" w:rsidR="00DF358A" w:rsidRPr="004E13E9" w:rsidRDefault="00DF358A" w:rsidP="00BB4F69">
            <w:pPr>
              <w:rPr>
                <w:sz w:val="18"/>
                <w:szCs w:val="18"/>
                <w:lang w:val="en-GB"/>
              </w:rPr>
            </w:pPr>
            <w:r w:rsidRPr="004E13E9">
              <w:rPr>
                <w:sz w:val="18"/>
                <w:szCs w:val="18"/>
                <w:lang w:val="en-GB"/>
              </w:rPr>
              <w:t>EU-Malta</w:t>
            </w:r>
          </w:p>
        </w:tc>
      </w:tr>
      <w:tr w:rsidR="00DF358A" w:rsidRPr="004E13E9" w14:paraId="6764674F" w14:textId="77777777" w:rsidTr="00BB4F69">
        <w:trPr>
          <w:trHeight w:val="300"/>
          <w:jc w:val="center"/>
        </w:trPr>
        <w:tc>
          <w:tcPr>
            <w:tcW w:w="4500" w:type="dxa"/>
            <w:noWrap/>
            <w:vAlign w:val="bottom"/>
            <w:hideMark/>
          </w:tcPr>
          <w:p w14:paraId="53F68D12" w14:textId="77777777" w:rsidR="00DF358A" w:rsidRPr="004E13E9" w:rsidRDefault="00DF358A" w:rsidP="00BB4F69">
            <w:pPr>
              <w:rPr>
                <w:sz w:val="18"/>
                <w:szCs w:val="18"/>
                <w:lang w:val="en-GB"/>
              </w:rPr>
            </w:pPr>
            <w:r w:rsidRPr="004E13E9">
              <w:rPr>
                <w:sz w:val="18"/>
                <w:szCs w:val="18"/>
                <w:lang w:val="en-GB"/>
              </w:rPr>
              <w:t>MGARR (GOZO)</w:t>
            </w:r>
          </w:p>
        </w:tc>
        <w:tc>
          <w:tcPr>
            <w:tcW w:w="1732" w:type="dxa"/>
            <w:noWrap/>
            <w:vAlign w:val="bottom"/>
            <w:hideMark/>
          </w:tcPr>
          <w:p w14:paraId="348EDA95" w14:textId="77777777" w:rsidR="00DF358A" w:rsidRPr="004E13E9" w:rsidRDefault="00DF358A" w:rsidP="00BB4F69">
            <w:pPr>
              <w:rPr>
                <w:sz w:val="18"/>
                <w:szCs w:val="18"/>
                <w:lang w:val="en-GB"/>
              </w:rPr>
            </w:pPr>
            <w:r w:rsidRPr="004E13E9">
              <w:rPr>
                <w:sz w:val="18"/>
                <w:szCs w:val="18"/>
                <w:lang w:val="en-GB"/>
              </w:rPr>
              <w:t>EU-Malta</w:t>
            </w:r>
          </w:p>
        </w:tc>
      </w:tr>
      <w:tr w:rsidR="00DF358A" w:rsidRPr="004E13E9" w14:paraId="42BB8F51" w14:textId="77777777" w:rsidTr="00BB4F69">
        <w:trPr>
          <w:trHeight w:val="300"/>
          <w:jc w:val="center"/>
        </w:trPr>
        <w:tc>
          <w:tcPr>
            <w:tcW w:w="4500" w:type="dxa"/>
            <w:noWrap/>
            <w:vAlign w:val="bottom"/>
            <w:hideMark/>
          </w:tcPr>
          <w:p w14:paraId="11DC3218" w14:textId="77777777" w:rsidR="00DF358A" w:rsidRPr="004E13E9" w:rsidRDefault="00DF358A" w:rsidP="00BB4F69">
            <w:pPr>
              <w:rPr>
                <w:sz w:val="18"/>
                <w:szCs w:val="18"/>
                <w:lang w:val="en-GB"/>
              </w:rPr>
            </w:pPr>
            <w:proofErr w:type="gramStart"/>
            <w:r w:rsidRPr="004E13E9">
              <w:rPr>
                <w:sz w:val="18"/>
                <w:szCs w:val="18"/>
                <w:lang w:val="en-GB"/>
              </w:rPr>
              <w:t>ST.PAUL'S</w:t>
            </w:r>
            <w:proofErr w:type="gramEnd"/>
            <w:r w:rsidRPr="004E13E9">
              <w:rPr>
                <w:sz w:val="18"/>
                <w:szCs w:val="18"/>
                <w:lang w:val="en-GB"/>
              </w:rPr>
              <w:t xml:space="preserve"> BAY</w:t>
            </w:r>
          </w:p>
        </w:tc>
        <w:tc>
          <w:tcPr>
            <w:tcW w:w="1732" w:type="dxa"/>
            <w:noWrap/>
            <w:vAlign w:val="bottom"/>
            <w:hideMark/>
          </w:tcPr>
          <w:p w14:paraId="477A87E1" w14:textId="77777777" w:rsidR="00DF358A" w:rsidRPr="004E13E9" w:rsidRDefault="00DF358A" w:rsidP="00BB4F69">
            <w:pPr>
              <w:rPr>
                <w:sz w:val="18"/>
                <w:szCs w:val="18"/>
                <w:lang w:val="en-GB"/>
              </w:rPr>
            </w:pPr>
            <w:r w:rsidRPr="004E13E9">
              <w:rPr>
                <w:sz w:val="18"/>
                <w:szCs w:val="18"/>
                <w:lang w:val="en-GB"/>
              </w:rPr>
              <w:t>EU-Malta</w:t>
            </w:r>
          </w:p>
        </w:tc>
      </w:tr>
      <w:tr w:rsidR="00DF358A" w:rsidRPr="004E13E9" w14:paraId="6C637699" w14:textId="77777777" w:rsidTr="00BB4F69">
        <w:trPr>
          <w:trHeight w:val="300"/>
          <w:jc w:val="center"/>
        </w:trPr>
        <w:tc>
          <w:tcPr>
            <w:tcW w:w="4500" w:type="dxa"/>
            <w:noWrap/>
            <w:vAlign w:val="bottom"/>
            <w:hideMark/>
          </w:tcPr>
          <w:p w14:paraId="3075E254" w14:textId="77777777" w:rsidR="00DF358A" w:rsidRPr="004E13E9" w:rsidRDefault="00DF358A" w:rsidP="00BB4F69">
            <w:pPr>
              <w:rPr>
                <w:sz w:val="18"/>
                <w:szCs w:val="18"/>
                <w:lang w:val="en-GB"/>
              </w:rPr>
            </w:pPr>
            <w:r w:rsidRPr="004E13E9">
              <w:rPr>
                <w:sz w:val="18"/>
                <w:szCs w:val="18"/>
                <w:lang w:val="en-GB"/>
              </w:rPr>
              <w:t>VALLETTA</w:t>
            </w:r>
          </w:p>
        </w:tc>
        <w:tc>
          <w:tcPr>
            <w:tcW w:w="1732" w:type="dxa"/>
            <w:noWrap/>
            <w:vAlign w:val="bottom"/>
            <w:hideMark/>
          </w:tcPr>
          <w:p w14:paraId="35788A6E" w14:textId="77777777" w:rsidR="00DF358A" w:rsidRPr="004E13E9" w:rsidRDefault="00DF358A" w:rsidP="00BB4F69">
            <w:pPr>
              <w:rPr>
                <w:sz w:val="18"/>
                <w:szCs w:val="18"/>
                <w:lang w:val="en-GB"/>
              </w:rPr>
            </w:pPr>
            <w:r w:rsidRPr="004E13E9">
              <w:rPr>
                <w:sz w:val="18"/>
                <w:szCs w:val="18"/>
                <w:lang w:val="en-GB"/>
              </w:rPr>
              <w:t>EU-Malta</w:t>
            </w:r>
          </w:p>
        </w:tc>
      </w:tr>
      <w:tr w:rsidR="00DF358A" w:rsidRPr="004E13E9" w14:paraId="4EEE771A" w14:textId="77777777" w:rsidTr="00BB4F69">
        <w:trPr>
          <w:trHeight w:val="300"/>
          <w:jc w:val="center"/>
        </w:trPr>
        <w:tc>
          <w:tcPr>
            <w:tcW w:w="4500" w:type="dxa"/>
            <w:noWrap/>
            <w:vAlign w:val="bottom"/>
            <w:hideMark/>
          </w:tcPr>
          <w:p w14:paraId="3EC9C737" w14:textId="77777777" w:rsidR="00DF358A" w:rsidRPr="004E13E9" w:rsidRDefault="00DF358A" w:rsidP="00BB4F69">
            <w:pPr>
              <w:rPr>
                <w:sz w:val="18"/>
                <w:szCs w:val="18"/>
                <w:lang w:val="en-GB"/>
              </w:rPr>
            </w:pPr>
            <w:r w:rsidRPr="004E13E9">
              <w:rPr>
                <w:sz w:val="18"/>
                <w:szCs w:val="18"/>
                <w:lang w:val="en-GB"/>
              </w:rPr>
              <w:t>CANIÇAL</w:t>
            </w:r>
          </w:p>
        </w:tc>
        <w:tc>
          <w:tcPr>
            <w:tcW w:w="1732" w:type="dxa"/>
            <w:noWrap/>
            <w:vAlign w:val="bottom"/>
            <w:hideMark/>
          </w:tcPr>
          <w:p w14:paraId="5DEC57BB"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0856F789" w14:textId="77777777" w:rsidTr="00BB4F69">
        <w:trPr>
          <w:trHeight w:val="300"/>
          <w:jc w:val="center"/>
        </w:trPr>
        <w:tc>
          <w:tcPr>
            <w:tcW w:w="4500" w:type="dxa"/>
            <w:noWrap/>
            <w:vAlign w:val="bottom"/>
            <w:hideMark/>
          </w:tcPr>
          <w:p w14:paraId="2D5BF5F1" w14:textId="77777777" w:rsidR="00DF358A" w:rsidRPr="004E13E9" w:rsidRDefault="00DF358A" w:rsidP="00BB4F69">
            <w:pPr>
              <w:rPr>
                <w:sz w:val="18"/>
                <w:szCs w:val="18"/>
                <w:lang w:val="en-GB"/>
              </w:rPr>
            </w:pPr>
            <w:r w:rsidRPr="004E13E9">
              <w:rPr>
                <w:sz w:val="18"/>
                <w:szCs w:val="18"/>
                <w:lang w:val="en-GB"/>
              </w:rPr>
              <w:t>FIGUEIRA DA FOZ</w:t>
            </w:r>
          </w:p>
        </w:tc>
        <w:tc>
          <w:tcPr>
            <w:tcW w:w="1732" w:type="dxa"/>
            <w:noWrap/>
            <w:vAlign w:val="bottom"/>
            <w:hideMark/>
          </w:tcPr>
          <w:p w14:paraId="3BF6DBB1"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26C31E04" w14:textId="77777777" w:rsidTr="00BB4F69">
        <w:trPr>
          <w:trHeight w:val="300"/>
          <w:jc w:val="center"/>
        </w:trPr>
        <w:tc>
          <w:tcPr>
            <w:tcW w:w="4500" w:type="dxa"/>
            <w:noWrap/>
            <w:vAlign w:val="bottom"/>
            <w:hideMark/>
          </w:tcPr>
          <w:p w14:paraId="0B62FB45" w14:textId="77777777" w:rsidR="00DF358A" w:rsidRPr="004E13E9" w:rsidRDefault="00DF358A" w:rsidP="00BB4F69">
            <w:pPr>
              <w:rPr>
                <w:sz w:val="18"/>
                <w:szCs w:val="18"/>
                <w:lang w:val="en-GB"/>
              </w:rPr>
            </w:pPr>
            <w:r w:rsidRPr="004E13E9">
              <w:rPr>
                <w:sz w:val="18"/>
                <w:szCs w:val="18"/>
                <w:lang w:val="en-GB"/>
              </w:rPr>
              <w:t>FUNCHAL</w:t>
            </w:r>
          </w:p>
        </w:tc>
        <w:tc>
          <w:tcPr>
            <w:tcW w:w="1732" w:type="dxa"/>
            <w:noWrap/>
            <w:vAlign w:val="bottom"/>
            <w:hideMark/>
          </w:tcPr>
          <w:p w14:paraId="6F4E37E4"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6565B40F" w14:textId="77777777" w:rsidTr="00BB4F69">
        <w:trPr>
          <w:trHeight w:val="300"/>
          <w:jc w:val="center"/>
        </w:trPr>
        <w:tc>
          <w:tcPr>
            <w:tcW w:w="4500" w:type="dxa"/>
            <w:noWrap/>
            <w:vAlign w:val="bottom"/>
            <w:hideMark/>
          </w:tcPr>
          <w:p w14:paraId="2663406B" w14:textId="77777777" w:rsidR="00DF358A" w:rsidRPr="004E13E9" w:rsidRDefault="00DF358A" w:rsidP="00BB4F69">
            <w:pPr>
              <w:rPr>
                <w:sz w:val="18"/>
                <w:szCs w:val="18"/>
                <w:lang w:val="en-GB"/>
              </w:rPr>
            </w:pPr>
            <w:r w:rsidRPr="004E13E9">
              <w:rPr>
                <w:sz w:val="18"/>
                <w:szCs w:val="18"/>
                <w:lang w:val="en-GB"/>
              </w:rPr>
              <w:t>HORTA (FAIAL)</w:t>
            </w:r>
          </w:p>
        </w:tc>
        <w:tc>
          <w:tcPr>
            <w:tcW w:w="1732" w:type="dxa"/>
            <w:noWrap/>
            <w:vAlign w:val="bottom"/>
            <w:hideMark/>
          </w:tcPr>
          <w:p w14:paraId="48AB0EDB"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3443EE80" w14:textId="77777777" w:rsidTr="00BB4F69">
        <w:trPr>
          <w:trHeight w:val="300"/>
          <w:jc w:val="center"/>
        </w:trPr>
        <w:tc>
          <w:tcPr>
            <w:tcW w:w="4500" w:type="dxa"/>
            <w:noWrap/>
            <w:vAlign w:val="bottom"/>
            <w:hideMark/>
          </w:tcPr>
          <w:p w14:paraId="09B98EC0" w14:textId="77777777" w:rsidR="00DF358A" w:rsidRPr="004E13E9" w:rsidRDefault="00DF358A" w:rsidP="00BB4F69">
            <w:pPr>
              <w:rPr>
                <w:sz w:val="18"/>
                <w:szCs w:val="18"/>
                <w:lang w:val="en-GB"/>
              </w:rPr>
            </w:pPr>
            <w:r w:rsidRPr="004E13E9">
              <w:rPr>
                <w:sz w:val="18"/>
                <w:szCs w:val="18"/>
                <w:lang w:val="en-GB"/>
              </w:rPr>
              <w:t>LAJES (FLORES)</w:t>
            </w:r>
          </w:p>
        </w:tc>
        <w:tc>
          <w:tcPr>
            <w:tcW w:w="1732" w:type="dxa"/>
            <w:noWrap/>
            <w:vAlign w:val="bottom"/>
            <w:hideMark/>
          </w:tcPr>
          <w:p w14:paraId="2EA6136C"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6D762FB6" w14:textId="77777777" w:rsidTr="00BB4F69">
        <w:trPr>
          <w:trHeight w:val="300"/>
          <w:jc w:val="center"/>
        </w:trPr>
        <w:tc>
          <w:tcPr>
            <w:tcW w:w="4500" w:type="dxa"/>
            <w:noWrap/>
            <w:vAlign w:val="bottom"/>
            <w:hideMark/>
          </w:tcPr>
          <w:p w14:paraId="2D217D4B" w14:textId="77777777" w:rsidR="00DF358A" w:rsidRPr="004E13E9" w:rsidRDefault="00DF358A" w:rsidP="00BB4F69">
            <w:pPr>
              <w:rPr>
                <w:sz w:val="18"/>
                <w:szCs w:val="18"/>
                <w:lang w:val="en-GB"/>
              </w:rPr>
            </w:pPr>
            <w:r w:rsidRPr="004E13E9">
              <w:rPr>
                <w:sz w:val="18"/>
                <w:szCs w:val="18"/>
                <w:lang w:val="en-GB"/>
              </w:rPr>
              <w:t>MADALENA (PICO)</w:t>
            </w:r>
          </w:p>
        </w:tc>
        <w:tc>
          <w:tcPr>
            <w:tcW w:w="1732" w:type="dxa"/>
            <w:noWrap/>
            <w:vAlign w:val="bottom"/>
            <w:hideMark/>
          </w:tcPr>
          <w:p w14:paraId="78D06316"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2CF9709F" w14:textId="77777777" w:rsidTr="00BB4F69">
        <w:trPr>
          <w:trHeight w:val="300"/>
          <w:jc w:val="center"/>
        </w:trPr>
        <w:tc>
          <w:tcPr>
            <w:tcW w:w="4500" w:type="dxa"/>
            <w:noWrap/>
            <w:vAlign w:val="bottom"/>
            <w:hideMark/>
          </w:tcPr>
          <w:p w14:paraId="6A114889" w14:textId="77777777" w:rsidR="00DF358A" w:rsidRPr="004E13E9" w:rsidRDefault="00DF358A" w:rsidP="00BB4F69">
            <w:pPr>
              <w:rPr>
                <w:sz w:val="18"/>
                <w:szCs w:val="18"/>
                <w:lang w:val="en-GB"/>
              </w:rPr>
            </w:pPr>
            <w:r w:rsidRPr="004E13E9">
              <w:rPr>
                <w:sz w:val="18"/>
                <w:szCs w:val="18"/>
                <w:lang w:val="en-GB"/>
              </w:rPr>
              <w:t>MATOSINHOS</w:t>
            </w:r>
          </w:p>
        </w:tc>
        <w:tc>
          <w:tcPr>
            <w:tcW w:w="1732" w:type="dxa"/>
            <w:noWrap/>
            <w:vAlign w:val="bottom"/>
            <w:hideMark/>
          </w:tcPr>
          <w:p w14:paraId="34188D82"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01E62A40" w14:textId="77777777" w:rsidTr="00BB4F69">
        <w:trPr>
          <w:trHeight w:val="300"/>
          <w:jc w:val="center"/>
        </w:trPr>
        <w:tc>
          <w:tcPr>
            <w:tcW w:w="4500" w:type="dxa"/>
            <w:noWrap/>
            <w:vAlign w:val="bottom"/>
            <w:hideMark/>
          </w:tcPr>
          <w:p w14:paraId="786246AB" w14:textId="77777777" w:rsidR="00DF358A" w:rsidRPr="004E13E9" w:rsidRDefault="00DF358A" w:rsidP="00BB4F69">
            <w:pPr>
              <w:rPr>
                <w:sz w:val="18"/>
                <w:szCs w:val="18"/>
                <w:lang w:val="en-GB"/>
              </w:rPr>
            </w:pPr>
            <w:r w:rsidRPr="004E13E9">
              <w:rPr>
                <w:sz w:val="18"/>
                <w:szCs w:val="18"/>
                <w:lang w:val="en-GB"/>
              </w:rPr>
              <w:t>OLHAO</w:t>
            </w:r>
          </w:p>
        </w:tc>
        <w:tc>
          <w:tcPr>
            <w:tcW w:w="1732" w:type="dxa"/>
            <w:noWrap/>
            <w:vAlign w:val="bottom"/>
            <w:hideMark/>
          </w:tcPr>
          <w:p w14:paraId="6D3E1630"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29E03C2D" w14:textId="77777777" w:rsidTr="00BB4F69">
        <w:trPr>
          <w:trHeight w:val="300"/>
          <w:jc w:val="center"/>
        </w:trPr>
        <w:tc>
          <w:tcPr>
            <w:tcW w:w="4500" w:type="dxa"/>
            <w:noWrap/>
            <w:vAlign w:val="bottom"/>
            <w:hideMark/>
          </w:tcPr>
          <w:p w14:paraId="75EF81A2"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PAUL DO MAR</w:t>
            </w:r>
          </w:p>
        </w:tc>
        <w:tc>
          <w:tcPr>
            <w:tcW w:w="1732" w:type="dxa"/>
            <w:noWrap/>
            <w:vAlign w:val="bottom"/>
            <w:hideMark/>
          </w:tcPr>
          <w:p w14:paraId="004D206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EU-Portugal</w:t>
            </w:r>
          </w:p>
        </w:tc>
      </w:tr>
      <w:tr w:rsidR="00DF358A" w:rsidRPr="004E13E9" w14:paraId="76BF8CAA" w14:textId="77777777" w:rsidTr="00BB4F69">
        <w:trPr>
          <w:trHeight w:val="300"/>
          <w:jc w:val="center"/>
        </w:trPr>
        <w:tc>
          <w:tcPr>
            <w:tcW w:w="4500" w:type="dxa"/>
            <w:noWrap/>
            <w:vAlign w:val="bottom"/>
            <w:hideMark/>
          </w:tcPr>
          <w:p w14:paraId="1A714565" w14:textId="77777777" w:rsidR="00DF358A" w:rsidRPr="004E13E9" w:rsidRDefault="00DF358A" w:rsidP="00BB4F69">
            <w:pPr>
              <w:rPr>
                <w:sz w:val="18"/>
                <w:szCs w:val="18"/>
                <w:lang w:val="en-GB"/>
              </w:rPr>
            </w:pPr>
            <w:r w:rsidRPr="004E13E9">
              <w:rPr>
                <w:sz w:val="18"/>
                <w:szCs w:val="18"/>
                <w:lang w:val="en-GB"/>
              </w:rPr>
              <w:t>PENICHE</w:t>
            </w:r>
          </w:p>
        </w:tc>
        <w:tc>
          <w:tcPr>
            <w:tcW w:w="1732" w:type="dxa"/>
            <w:noWrap/>
            <w:vAlign w:val="bottom"/>
            <w:hideMark/>
          </w:tcPr>
          <w:p w14:paraId="067FFAA7"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22FFF19D" w14:textId="77777777" w:rsidTr="00BB4F69">
        <w:trPr>
          <w:trHeight w:val="300"/>
          <w:jc w:val="center"/>
        </w:trPr>
        <w:tc>
          <w:tcPr>
            <w:tcW w:w="4500" w:type="dxa"/>
            <w:noWrap/>
            <w:vAlign w:val="bottom"/>
            <w:hideMark/>
          </w:tcPr>
          <w:p w14:paraId="2D845836" w14:textId="77777777" w:rsidR="00DF358A" w:rsidRPr="004E13E9" w:rsidRDefault="00DF358A" w:rsidP="00BB4F69">
            <w:pPr>
              <w:rPr>
                <w:sz w:val="18"/>
                <w:szCs w:val="18"/>
                <w:lang w:val="en-GB"/>
              </w:rPr>
            </w:pPr>
            <w:r w:rsidRPr="004E13E9">
              <w:rPr>
                <w:sz w:val="18"/>
                <w:szCs w:val="18"/>
                <w:lang w:val="en-GB"/>
              </w:rPr>
              <w:t>PONTA DELGADA (SAO MIGUEL)</w:t>
            </w:r>
          </w:p>
        </w:tc>
        <w:tc>
          <w:tcPr>
            <w:tcW w:w="1732" w:type="dxa"/>
            <w:noWrap/>
            <w:vAlign w:val="bottom"/>
            <w:hideMark/>
          </w:tcPr>
          <w:p w14:paraId="4938CC3C"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15D0E050" w14:textId="77777777" w:rsidTr="00BB4F69">
        <w:trPr>
          <w:trHeight w:val="300"/>
          <w:jc w:val="center"/>
        </w:trPr>
        <w:tc>
          <w:tcPr>
            <w:tcW w:w="4500" w:type="dxa"/>
            <w:noWrap/>
            <w:vAlign w:val="bottom"/>
            <w:hideMark/>
          </w:tcPr>
          <w:p w14:paraId="4FE4E961" w14:textId="77777777" w:rsidR="00DF358A" w:rsidRPr="004E13E9" w:rsidRDefault="00DF358A" w:rsidP="00BB4F69">
            <w:pPr>
              <w:rPr>
                <w:sz w:val="18"/>
                <w:szCs w:val="18"/>
                <w:lang w:val="en-GB"/>
              </w:rPr>
            </w:pPr>
            <w:r w:rsidRPr="004E13E9">
              <w:rPr>
                <w:sz w:val="18"/>
                <w:szCs w:val="18"/>
                <w:lang w:val="en-GB"/>
              </w:rPr>
              <w:t>PORTO DA CASA (CORVO)</w:t>
            </w:r>
          </w:p>
        </w:tc>
        <w:tc>
          <w:tcPr>
            <w:tcW w:w="1732" w:type="dxa"/>
            <w:noWrap/>
            <w:vAlign w:val="bottom"/>
            <w:hideMark/>
          </w:tcPr>
          <w:p w14:paraId="1BDA03CF"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0944FEFF" w14:textId="77777777" w:rsidTr="00BB4F69">
        <w:trPr>
          <w:trHeight w:val="300"/>
          <w:jc w:val="center"/>
        </w:trPr>
        <w:tc>
          <w:tcPr>
            <w:tcW w:w="4500" w:type="dxa"/>
            <w:noWrap/>
            <w:vAlign w:val="bottom"/>
            <w:hideMark/>
          </w:tcPr>
          <w:p w14:paraId="093A14D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PORTO MONIZ</w:t>
            </w:r>
          </w:p>
        </w:tc>
        <w:tc>
          <w:tcPr>
            <w:tcW w:w="1732" w:type="dxa"/>
            <w:noWrap/>
            <w:vAlign w:val="bottom"/>
            <w:hideMark/>
          </w:tcPr>
          <w:p w14:paraId="143D2870"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EU-Portugal</w:t>
            </w:r>
          </w:p>
        </w:tc>
      </w:tr>
      <w:tr w:rsidR="00DF358A" w:rsidRPr="004E13E9" w14:paraId="72D3826D" w14:textId="77777777" w:rsidTr="00BB4F69">
        <w:trPr>
          <w:trHeight w:val="300"/>
          <w:jc w:val="center"/>
        </w:trPr>
        <w:tc>
          <w:tcPr>
            <w:tcW w:w="4500" w:type="dxa"/>
            <w:noWrap/>
            <w:vAlign w:val="bottom"/>
            <w:hideMark/>
          </w:tcPr>
          <w:p w14:paraId="36F739D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PORTO SANTO</w:t>
            </w:r>
          </w:p>
        </w:tc>
        <w:tc>
          <w:tcPr>
            <w:tcW w:w="1732" w:type="dxa"/>
            <w:noWrap/>
            <w:vAlign w:val="bottom"/>
            <w:hideMark/>
          </w:tcPr>
          <w:p w14:paraId="45734965"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EU-Portugal</w:t>
            </w:r>
          </w:p>
        </w:tc>
      </w:tr>
      <w:tr w:rsidR="00DF358A" w:rsidRPr="004E13E9" w14:paraId="1C32856F" w14:textId="77777777" w:rsidTr="00BB4F69">
        <w:trPr>
          <w:trHeight w:val="300"/>
          <w:jc w:val="center"/>
        </w:trPr>
        <w:tc>
          <w:tcPr>
            <w:tcW w:w="4500" w:type="dxa"/>
            <w:noWrap/>
            <w:vAlign w:val="bottom"/>
            <w:hideMark/>
          </w:tcPr>
          <w:p w14:paraId="373F8E87" w14:textId="77777777" w:rsidR="00DF358A" w:rsidRPr="004E13E9" w:rsidRDefault="00DF358A" w:rsidP="00BB4F69">
            <w:pPr>
              <w:rPr>
                <w:sz w:val="18"/>
                <w:szCs w:val="18"/>
                <w:lang w:val="en-GB"/>
              </w:rPr>
            </w:pPr>
            <w:r w:rsidRPr="004E13E9">
              <w:rPr>
                <w:sz w:val="18"/>
                <w:szCs w:val="18"/>
                <w:lang w:val="en-GB"/>
              </w:rPr>
              <w:t>PRAIA (GRACIOSA)</w:t>
            </w:r>
          </w:p>
        </w:tc>
        <w:tc>
          <w:tcPr>
            <w:tcW w:w="1732" w:type="dxa"/>
            <w:noWrap/>
            <w:vAlign w:val="bottom"/>
            <w:hideMark/>
          </w:tcPr>
          <w:p w14:paraId="1C4B9F7F"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399BDF1E" w14:textId="77777777" w:rsidTr="00BB4F69">
        <w:trPr>
          <w:trHeight w:val="300"/>
          <w:jc w:val="center"/>
        </w:trPr>
        <w:tc>
          <w:tcPr>
            <w:tcW w:w="4500" w:type="dxa"/>
            <w:noWrap/>
            <w:vAlign w:val="bottom"/>
            <w:hideMark/>
          </w:tcPr>
          <w:p w14:paraId="5935B2F0" w14:textId="77777777" w:rsidR="00DF358A" w:rsidRPr="004E13E9" w:rsidRDefault="00DF358A" w:rsidP="00BB4F69">
            <w:pPr>
              <w:rPr>
                <w:sz w:val="18"/>
                <w:szCs w:val="18"/>
                <w:lang w:val="en-GB"/>
              </w:rPr>
            </w:pPr>
            <w:r w:rsidRPr="004E13E9">
              <w:rPr>
                <w:sz w:val="18"/>
                <w:szCs w:val="18"/>
                <w:lang w:val="en-GB"/>
              </w:rPr>
              <w:t>PRAIA DA VITORIA (TERCEIRA)</w:t>
            </w:r>
          </w:p>
        </w:tc>
        <w:tc>
          <w:tcPr>
            <w:tcW w:w="1732" w:type="dxa"/>
            <w:noWrap/>
            <w:vAlign w:val="bottom"/>
            <w:hideMark/>
          </w:tcPr>
          <w:p w14:paraId="7C1E8331"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05D8AD87" w14:textId="77777777" w:rsidTr="00BB4F69">
        <w:trPr>
          <w:trHeight w:val="300"/>
          <w:jc w:val="center"/>
        </w:trPr>
        <w:tc>
          <w:tcPr>
            <w:tcW w:w="4500" w:type="dxa"/>
            <w:noWrap/>
            <w:vAlign w:val="bottom"/>
            <w:hideMark/>
          </w:tcPr>
          <w:p w14:paraId="2BCB6687" w14:textId="77777777" w:rsidR="00DF358A" w:rsidRPr="004E13E9" w:rsidRDefault="00DF358A" w:rsidP="00BB4F69">
            <w:pPr>
              <w:rPr>
                <w:sz w:val="18"/>
                <w:szCs w:val="18"/>
                <w:lang w:val="en-GB"/>
              </w:rPr>
            </w:pPr>
            <w:r w:rsidRPr="004E13E9">
              <w:rPr>
                <w:sz w:val="18"/>
                <w:szCs w:val="18"/>
                <w:lang w:val="en-GB"/>
              </w:rPr>
              <w:t>RABO DE PEIXE</w:t>
            </w:r>
          </w:p>
        </w:tc>
        <w:tc>
          <w:tcPr>
            <w:tcW w:w="1732" w:type="dxa"/>
            <w:noWrap/>
            <w:vAlign w:val="bottom"/>
            <w:hideMark/>
          </w:tcPr>
          <w:p w14:paraId="352920B6"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50FA5181" w14:textId="77777777" w:rsidTr="00BB4F69">
        <w:trPr>
          <w:trHeight w:val="300"/>
          <w:jc w:val="center"/>
        </w:trPr>
        <w:tc>
          <w:tcPr>
            <w:tcW w:w="4500" w:type="dxa"/>
            <w:noWrap/>
            <w:vAlign w:val="bottom"/>
            <w:hideMark/>
          </w:tcPr>
          <w:p w14:paraId="6485CB7D" w14:textId="77777777" w:rsidR="00DF358A" w:rsidRPr="004E13E9" w:rsidRDefault="00DF358A" w:rsidP="00BB4F69">
            <w:pPr>
              <w:rPr>
                <w:sz w:val="18"/>
                <w:szCs w:val="18"/>
                <w:lang w:val="en-GB"/>
              </w:rPr>
            </w:pPr>
            <w:r w:rsidRPr="004E13E9">
              <w:rPr>
                <w:sz w:val="18"/>
                <w:szCs w:val="18"/>
                <w:lang w:val="en-GB"/>
              </w:rPr>
              <w:t>SESIMBRA</w:t>
            </w:r>
          </w:p>
        </w:tc>
        <w:tc>
          <w:tcPr>
            <w:tcW w:w="1732" w:type="dxa"/>
            <w:noWrap/>
            <w:vAlign w:val="bottom"/>
            <w:hideMark/>
          </w:tcPr>
          <w:p w14:paraId="7BDC6421"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66DA04F4" w14:textId="77777777" w:rsidTr="00BB4F69">
        <w:trPr>
          <w:trHeight w:val="300"/>
          <w:jc w:val="center"/>
        </w:trPr>
        <w:tc>
          <w:tcPr>
            <w:tcW w:w="4500" w:type="dxa"/>
            <w:noWrap/>
            <w:vAlign w:val="bottom"/>
            <w:hideMark/>
          </w:tcPr>
          <w:p w14:paraId="2E15A418" w14:textId="77777777" w:rsidR="00DF358A" w:rsidRPr="004E13E9" w:rsidRDefault="00DF358A" w:rsidP="00BB4F69">
            <w:pPr>
              <w:rPr>
                <w:sz w:val="18"/>
                <w:szCs w:val="18"/>
                <w:lang w:val="en-GB"/>
              </w:rPr>
            </w:pPr>
            <w:r w:rsidRPr="004E13E9">
              <w:rPr>
                <w:sz w:val="18"/>
                <w:szCs w:val="18"/>
                <w:lang w:val="en-GB"/>
              </w:rPr>
              <w:t>SINES</w:t>
            </w:r>
          </w:p>
        </w:tc>
        <w:tc>
          <w:tcPr>
            <w:tcW w:w="1732" w:type="dxa"/>
            <w:noWrap/>
            <w:vAlign w:val="bottom"/>
            <w:hideMark/>
          </w:tcPr>
          <w:p w14:paraId="0F450B95"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1ACA902B" w14:textId="77777777" w:rsidTr="00BB4F69">
        <w:trPr>
          <w:trHeight w:val="300"/>
          <w:jc w:val="center"/>
        </w:trPr>
        <w:tc>
          <w:tcPr>
            <w:tcW w:w="4500" w:type="dxa"/>
            <w:noWrap/>
            <w:vAlign w:val="bottom"/>
            <w:hideMark/>
          </w:tcPr>
          <w:p w14:paraId="54FCFCD3" w14:textId="77777777" w:rsidR="00DF358A" w:rsidRPr="004E13E9" w:rsidRDefault="00DF358A" w:rsidP="00BB4F69">
            <w:pPr>
              <w:rPr>
                <w:sz w:val="18"/>
                <w:szCs w:val="18"/>
                <w:lang w:val="en-GB"/>
              </w:rPr>
            </w:pPr>
            <w:r w:rsidRPr="004E13E9">
              <w:rPr>
                <w:sz w:val="18"/>
                <w:szCs w:val="18"/>
                <w:lang w:val="en-GB"/>
              </w:rPr>
              <w:t>VELAS (SAO JORGE)</w:t>
            </w:r>
          </w:p>
        </w:tc>
        <w:tc>
          <w:tcPr>
            <w:tcW w:w="1732" w:type="dxa"/>
            <w:noWrap/>
            <w:vAlign w:val="bottom"/>
            <w:hideMark/>
          </w:tcPr>
          <w:p w14:paraId="087C11FB"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3B3A19FC" w14:textId="77777777" w:rsidTr="00BB4F69">
        <w:trPr>
          <w:trHeight w:val="300"/>
          <w:jc w:val="center"/>
        </w:trPr>
        <w:tc>
          <w:tcPr>
            <w:tcW w:w="4500" w:type="dxa"/>
            <w:noWrap/>
            <w:vAlign w:val="bottom"/>
            <w:hideMark/>
          </w:tcPr>
          <w:p w14:paraId="68098E1F" w14:textId="77777777" w:rsidR="00DF358A" w:rsidRPr="004E13E9" w:rsidRDefault="00DF358A" w:rsidP="00BB4F69">
            <w:pPr>
              <w:rPr>
                <w:sz w:val="18"/>
                <w:szCs w:val="18"/>
                <w:lang w:val="en-GB"/>
              </w:rPr>
            </w:pPr>
            <w:r w:rsidRPr="004E13E9">
              <w:rPr>
                <w:sz w:val="18"/>
                <w:szCs w:val="18"/>
                <w:lang w:val="en-GB"/>
              </w:rPr>
              <w:t>VIANA DO CASTELO</w:t>
            </w:r>
          </w:p>
        </w:tc>
        <w:tc>
          <w:tcPr>
            <w:tcW w:w="1732" w:type="dxa"/>
            <w:noWrap/>
            <w:vAlign w:val="bottom"/>
            <w:hideMark/>
          </w:tcPr>
          <w:p w14:paraId="519E268F"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058503E7" w14:textId="77777777" w:rsidTr="00BB4F69">
        <w:trPr>
          <w:trHeight w:val="300"/>
          <w:jc w:val="center"/>
        </w:trPr>
        <w:tc>
          <w:tcPr>
            <w:tcW w:w="4500" w:type="dxa"/>
            <w:noWrap/>
            <w:vAlign w:val="bottom"/>
            <w:hideMark/>
          </w:tcPr>
          <w:p w14:paraId="3F03B0D0" w14:textId="77777777" w:rsidR="00DF358A" w:rsidRPr="004E13E9" w:rsidRDefault="00DF358A" w:rsidP="00BB4F69">
            <w:pPr>
              <w:rPr>
                <w:sz w:val="18"/>
                <w:szCs w:val="18"/>
                <w:lang w:val="pt-PT"/>
              </w:rPr>
            </w:pPr>
            <w:r w:rsidRPr="004E13E9">
              <w:rPr>
                <w:sz w:val="18"/>
                <w:szCs w:val="18"/>
                <w:lang w:val="pt-PT"/>
              </w:rPr>
              <w:t>VILA DO PORTO (SANTA MARIA)</w:t>
            </w:r>
          </w:p>
        </w:tc>
        <w:tc>
          <w:tcPr>
            <w:tcW w:w="1732" w:type="dxa"/>
            <w:noWrap/>
            <w:vAlign w:val="bottom"/>
            <w:hideMark/>
          </w:tcPr>
          <w:p w14:paraId="0BA2F45B"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5CAF519F" w14:textId="77777777" w:rsidTr="00BB4F69">
        <w:trPr>
          <w:trHeight w:val="300"/>
          <w:jc w:val="center"/>
        </w:trPr>
        <w:tc>
          <w:tcPr>
            <w:tcW w:w="4500" w:type="dxa"/>
            <w:noWrap/>
            <w:vAlign w:val="bottom"/>
            <w:hideMark/>
          </w:tcPr>
          <w:p w14:paraId="5AF37B46" w14:textId="77777777" w:rsidR="00DF358A" w:rsidRPr="004E13E9" w:rsidRDefault="00DF358A" w:rsidP="00BB4F69">
            <w:pPr>
              <w:rPr>
                <w:sz w:val="18"/>
                <w:szCs w:val="18"/>
                <w:lang w:val="pt-PT"/>
              </w:rPr>
            </w:pPr>
            <w:r w:rsidRPr="004E13E9">
              <w:rPr>
                <w:sz w:val="18"/>
                <w:szCs w:val="18"/>
                <w:lang w:val="pt-PT"/>
              </w:rPr>
              <w:t>VILA FRANCA DO CAMPO (S. MIGUEL)</w:t>
            </w:r>
          </w:p>
        </w:tc>
        <w:tc>
          <w:tcPr>
            <w:tcW w:w="1732" w:type="dxa"/>
            <w:noWrap/>
            <w:vAlign w:val="bottom"/>
            <w:hideMark/>
          </w:tcPr>
          <w:p w14:paraId="49CD1BC6" w14:textId="77777777" w:rsidR="00DF358A" w:rsidRPr="004E13E9" w:rsidRDefault="00DF358A" w:rsidP="00BB4F69">
            <w:pPr>
              <w:rPr>
                <w:sz w:val="18"/>
                <w:szCs w:val="18"/>
                <w:lang w:val="en-GB"/>
              </w:rPr>
            </w:pPr>
            <w:r w:rsidRPr="004E13E9">
              <w:rPr>
                <w:sz w:val="18"/>
                <w:szCs w:val="18"/>
                <w:lang w:val="en-GB"/>
              </w:rPr>
              <w:t>EU-Portugal</w:t>
            </w:r>
          </w:p>
        </w:tc>
      </w:tr>
      <w:tr w:rsidR="00DF358A" w:rsidRPr="004E13E9" w14:paraId="2FADA2EF" w14:textId="77777777" w:rsidTr="00BB4F69">
        <w:trPr>
          <w:trHeight w:val="300"/>
          <w:jc w:val="center"/>
        </w:trPr>
        <w:tc>
          <w:tcPr>
            <w:tcW w:w="4500" w:type="dxa"/>
            <w:noWrap/>
            <w:vAlign w:val="bottom"/>
            <w:hideMark/>
          </w:tcPr>
          <w:p w14:paraId="4CDB20AB" w14:textId="77777777" w:rsidR="00DF358A" w:rsidRPr="004E13E9" w:rsidRDefault="00DF358A" w:rsidP="00BB4F69">
            <w:pPr>
              <w:rPr>
                <w:sz w:val="18"/>
                <w:szCs w:val="18"/>
                <w:lang w:val="en-GB"/>
              </w:rPr>
            </w:pPr>
            <w:r w:rsidRPr="004E13E9">
              <w:rPr>
                <w:sz w:val="18"/>
                <w:szCs w:val="18"/>
                <w:lang w:val="en-GB"/>
              </w:rPr>
              <w:t>BARSEBÄCKSHAMN</w:t>
            </w:r>
          </w:p>
        </w:tc>
        <w:tc>
          <w:tcPr>
            <w:tcW w:w="1732" w:type="dxa"/>
            <w:noWrap/>
            <w:vAlign w:val="bottom"/>
            <w:hideMark/>
          </w:tcPr>
          <w:p w14:paraId="0D812D25"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02C3D900" w14:textId="77777777" w:rsidTr="00BB4F69">
        <w:trPr>
          <w:trHeight w:val="300"/>
          <w:jc w:val="center"/>
        </w:trPr>
        <w:tc>
          <w:tcPr>
            <w:tcW w:w="4500" w:type="dxa"/>
            <w:noWrap/>
            <w:vAlign w:val="bottom"/>
            <w:hideMark/>
          </w:tcPr>
          <w:p w14:paraId="33507108" w14:textId="77777777" w:rsidR="00DF358A" w:rsidRPr="004E13E9" w:rsidRDefault="00DF358A" w:rsidP="00BB4F69">
            <w:pPr>
              <w:rPr>
                <w:sz w:val="18"/>
                <w:szCs w:val="18"/>
                <w:lang w:val="en-GB"/>
              </w:rPr>
            </w:pPr>
            <w:r w:rsidRPr="004E13E9">
              <w:rPr>
                <w:sz w:val="18"/>
                <w:szCs w:val="18"/>
                <w:lang w:val="en-GB"/>
              </w:rPr>
              <w:t>BLÄSINGE</w:t>
            </w:r>
          </w:p>
        </w:tc>
        <w:tc>
          <w:tcPr>
            <w:tcW w:w="1732" w:type="dxa"/>
            <w:noWrap/>
            <w:vAlign w:val="bottom"/>
            <w:hideMark/>
          </w:tcPr>
          <w:p w14:paraId="300D2150"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3D373BE7" w14:textId="77777777" w:rsidTr="00BB4F69">
        <w:trPr>
          <w:trHeight w:val="300"/>
          <w:jc w:val="center"/>
        </w:trPr>
        <w:tc>
          <w:tcPr>
            <w:tcW w:w="4500" w:type="dxa"/>
            <w:noWrap/>
            <w:vAlign w:val="bottom"/>
            <w:hideMark/>
          </w:tcPr>
          <w:p w14:paraId="2E688DCC" w14:textId="77777777" w:rsidR="00DF358A" w:rsidRPr="004E13E9" w:rsidRDefault="00DF358A" w:rsidP="00BB4F69">
            <w:pPr>
              <w:rPr>
                <w:sz w:val="18"/>
                <w:szCs w:val="18"/>
                <w:lang w:val="en-GB"/>
              </w:rPr>
            </w:pPr>
            <w:r w:rsidRPr="004E13E9">
              <w:rPr>
                <w:sz w:val="18"/>
                <w:szCs w:val="18"/>
                <w:lang w:val="en-GB"/>
              </w:rPr>
              <w:t>BONDHAMN</w:t>
            </w:r>
          </w:p>
        </w:tc>
        <w:tc>
          <w:tcPr>
            <w:tcW w:w="1732" w:type="dxa"/>
            <w:noWrap/>
            <w:vAlign w:val="bottom"/>
            <w:hideMark/>
          </w:tcPr>
          <w:p w14:paraId="7C1498CF"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4C6F0C72" w14:textId="77777777" w:rsidTr="00BB4F69">
        <w:trPr>
          <w:trHeight w:val="300"/>
          <w:jc w:val="center"/>
        </w:trPr>
        <w:tc>
          <w:tcPr>
            <w:tcW w:w="4500" w:type="dxa"/>
            <w:noWrap/>
            <w:vAlign w:val="bottom"/>
            <w:hideMark/>
          </w:tcPr>
          <w:p w14:paraId="0B01ECC1" w14:textId="77777777" w:rsidR="00DF358A" w:rsidRPr="004E13E9" w:rsidRDefault="00DF358A" w:rsidP="00BB4F69">
            <w:pPr>
              <w:rPr>
                <w:sz w:val="18"/>
                <w:szCs w:val="18"/>
                <w:lang w:val="en-GB"/>
              </w:rPr>
            </w:pPr>
            <w:r w:rsidRPr="004E13E9">
              <w:rPr>
                <w:sz w:val="18"/>
                <w:szCs w:val="18"/>
                <w:lang w:val="en-GB"/>
              </w:rPr>
              <w:t>BYXELKROK</w:t>
            </w:r>
          </w:p>
        </w:tc>
        <w:tc>
          <w:tcPr>
            <w:tcW w:w="1732" w:type="dxa"/>
            <w:noWrap/>
            <w:vAlign w:val="bottom"/>
            <w:hideMark/>
          </w:tcPr>
          <w:p w14:paraId="63E467CD"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2D65F71F" w14:textId="77777777" w:rsidTr="00BB4F69">
        <w:trPr>
          <w:trHeight w:val="300"/>
          <w:jc w:val="center"/>
        </w:trPr>
        <w:tc>
          <w:tcPr>
            <w:tcW w:w="4500" w:type="dxa"/>
            <w:noWrap/>
            <w:vAlign w:val="bottom"/>
            <w:hideMark/>
          </w:tcPr>
          <w:p w14:paraId="5B3D5D9C" w14:textId="77777777" w:rsidR="00DF358A" w:rsidRPr="004E13E9" w:rsidRDefault="00DF358A" w:rsidP="00BB4F69">
            <w:pPr>
              <w:rPr>
                <w:sz w:val="18"/>
                <w:szCs w:val="18"/>
                <w:lang w:val="en-GB"/>
              </w:rPr>
            </w:pPr>
            <w:r w:rsidRPr="004E13E9">
              <w:rPr>
                <w:sz w:val="18"/>
                <w:szCs w:val="18"/>
                <w:lang w:val="en-GB"/>
              </w:rPr>
              <w:t>ELLÖS</w:t>
            </w:r>
          </w:p>
        </w:tc>
        <w:tc>
          <w:tcPr>
            <w:tcW w:w="1732" w:type="dxa"/>
            <w:noWrap/>
            <w:vAlign w:val="bottom"/>
            <w:hideMark/>
          </w:tcPr>
          <w:p w14:paraId="5C3D0E99"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496A6442" w14:textId="77777777" w:rsidTr="00BB4F69">
        <w:trPr>
          <w:trHeight w:val="300"/>
          <w:jc w:val="center"/>
        </w:trPr>
        <w:tc>
          <w:tcPr>
            <w:tcW w:w="4500" w:type="dxa"/>
            <w:noWrap/>
            <w:vAlign w:val="bottom"/>
            <w:hideMark/>
          </w:tcPr>
          <w:p w14:paraId="3BC63D8C" w14:textId="77777777" w:rsidR="00DF358A" w:rsidRPr="004E13E9" w:rsidRDefault="00DF358A" w:rsidP="00BB4F69">
            <w:pPr>
              <w:rPr>
                <w:sz w:val="18"/>
                <w:szCs w:val="18"/>
                <w:lang w:val="en-GB"/>
              </w:rPr>
            </w:pPr>
            <w:r w:rsidRPr="004E13E9">
              <w:rPr>
                <w:sz w:val="18"/>
                <w:szCs w:val="18"/>
                <w:lang w:val="en-GB"/>
              </w:rPr>
              <w:t>ENGESBERG</w:t>
            </w:r>
          </w:p>
        </w:tc>
        <w:tc>
          <w:tcPr>
            <w:tcW w:w="1732" w:type="dxa"/>
            <w:noWrap/>
            <w:vAlign w:val="bottom"/>
            <w:hideMark/>
          </w:tcPr>
          <w:p w14:paraId="3F34032B"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6096DCC5" w14:textId="77777777" w:rsidTr="00BB4F69">
        <w:trPr>
          <w:trHeight w:val="300"/>
          <w:jc w:val="center"/>
        </w:trPr>
        <w:tc>
          <w:tcPr>
            <w:tcW w:w="4500" w:type="dxa"/>
            <w:noWrap/>
            <w:vAlign w:val="bottom"/>
            <w:hideMark/>
          </w:tcPr>
          <w:p w14:paraId="11951770" w14:textId="77777777" w:rsidR="00DF358A" w:rsidRPr="004E13E9" w:rsidRDefault="00DF358A" w:rsidP="00BB4F69">
            <w:pPr>
              <w:rPr>
                <w:sz w:val="18"/>
                <w:szCs w:val="18"/>
                <w:lang w:val="en-GB"/>
              </w:rPr>
            </w:pPr>
            <w:r w:rsidRPr="004E13E9">
              <w:rPr>
                <w:sz w:val="18"/>
                <w:szCs w:val="18"/>
                <w:lang w:val="en-GB"/>
              </w:rPr>
              <w:t>GRANKULLAVIK</w:t>
            </w:r>
          </w:p>
        </w:tc>
        <w:tc>
          <w:tcPr>
            <w:tcW w:w="1732" w:type="dxa"/>
            <w:noWrap/>
            <w:vAlign w:val="bottom"/>
            <w:hideMark/>
          </w:tcPr>
          <w:p w14:paraId="1FB0E6E7"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0076897B" w14:textId="77777777" w:rsidTr="00BB4F69">
        <w:trPr>
          <w:trHeight w:val="300"/>
          <w:jc w:val="center"/>
        </w:trPr>
        <w:tc>
          <w:tcPr>
            <w:tcW w:w="4500" w:type="dxa"/>
            <w:noWrap/>
            <w:vAlign w:val="bottom"/>
            <w:hideMark/>
          </w:tcPr>
          <w:p w14:paraId="16A05BE4"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GÖTEBORG</w:t>
            </w:r>
          </w:p>
        </w:tc>
        <w:tc>
          <w:tcPr>
            <w:tcW w:w="1732" w:type="dxa"/>
            <w:noWrap/>
            <w:vAlign w:val="bottom"/>
            <w:hideMark/>
          </w:tcPr>
          <w:p w14:paraId="20F20A01"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EU-Sweden</w:t>
            </w:r>
          </w:p>
        </w:tc>
      </w:tr>
      <w:tr w:rsidR="00DF358A" w:rsidRPr="004E13E9" w14:paraId="67B3AF2A" w14:textId="77777777" w:rsidTr="00BB4F69">
        <w:trPr>
          <w:trHeight w:val="300"/>
          <w:jc w:val="center"/>
        </w:trPr>
        <w:tc>
          <w:tcPr>
            <w:tcW w:w="4500" w:type="dxa"/>
            <w:noWrap/>
            <w:vAlign w:val="bottom"/>
            <w:hideMark/>
          </w:tcPr>
          <w:p w14:paraId="5E84E13D" w14:textId="77777777" w:rsidR="00DF358A" w:rsidRPr="004E13E9" w:rsidRDefault="00DF358A" w:rsidP="00BB4F69">
            <w:pPr>
              <w:rPr>
                <w:sz w:val="18"/>
                <w:szCs w:val="18"/>
                <w:lang w:val="en-GB"/>
              </w:rPr>
            </w:pPr>
            <w:r w:rsidRPr="004E13E9">
              <w:rPr>
                <w:sz w:val="18"/>
                <w:szCs w:val="18"/>
                <w:lang w:val="en-GB"/>
              </w:rPr>
              <w:t>KARLSKRONA, HANDELSHAMNEN</w:t>
            </w:r>
          </w:p>
        </w:tc>
        <w:tc>
          <w:tcPr>
            <w:tcW w:w="1732" w:type="dxa"/>
            <w:noWrap/>
            <w:vAlign w:val="bottom"/>
            <w:hideMark/>
          </w:tcPr>
          <w:p w14:paraId="2AC1CBC9"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20135B74" w14:textId="77777777" w:rsidTr="00BB4F69">
        <w:trPr>
          <w:trHeight w:val="300"/>
          <w:jc w:val="center"/>
        </w:trPr>
        <w:tc>
          <w:tcPr>
            <w:tcW w:w="4500" w:type="dxa"/>
            <w:noWrap/>
            <w:vAlign w:val="bottom"/>
            <w:hideMark/>
          </w:tcPr>
          <w:p w14:paraId="7353D398" w14:textId="77777777" w:rsidR="00DF358A" w:rsidRPr="004E13E9" w:rsidRDefault="00DF358A" w:rsidP="00BB4F69">
            <w:pPr>
              <w:rPr>
                <w:sz w:val="18"/>
                <w:szCs w:val="18"/>
                <w:lang w:val="en-GB"/>
              </w:rPr>
            </w:pPr>
            <w:r w:rsidRPr="004E13E9">
              <w:rPr>
                <w:sz w:val="18"/>
                <w:szCs w:val="18"/>
                <w:lang w:val="en-GB"/>
              </w:rPr>
              <w:t>KARLSKRONA, SALTÖ</w:t>
            </w:r>
          </w:p>
        </w:tc>
        <w:tc>
          <w:tcPr>
            <w:tcW w:w="1732" w:type="dxa"/>
            <w:noWrap/>
            <w:vAlign w:val="bottom"/>
            <w:hideMark/>
          </w:tcPr>
          <w:p w14:paraId="71E9594A"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533A64E8" w14:textId="77777777" w:rsidTr="00BB4F69">
        <w:trPr>
          <w:trHeight w:val="300"/>
          <w:jc w:val="center"/>
        </w:trPr>
        <w:tc>
          <w:tcPr>
            <w:tcW w:w="4500" w:type="dxa"/>
            <w:noWrap/>
            <w:vAlign w:val="bottom"/>
            <w:hideMark/>
          </w:tcPr>
          <w:p w14:paraId="21A83674" w14:textId="77777777" w:rsidR="00DF358A" w:rsidRPr="004E13E9" w:rsidRDefault="00DF358A" w:rsidP="00BB4F69">
            <w:pPr>
              <w:rPr>
                <w:sz w:val="18"/>
                <w:szCs w:val="18"/>
                <w:lang w:val="en-GB"/>
              </w:rPr>
            </w:pPr>
            <w:r w:rsidRPr="004E13E9">
              <w:rPr>
                <w:sz w:val="18"/>
                <w:szCs w:val="18"/>
                <w:lang w:val="en-GB"/>
              </w:rPr>
              <w:t>KUNGSHAMN</w:t>
            </w:r>
          </w:p>
        </w:tc>
        <w:tc>
          <w:tcPr>
            <w:tcW w:w="1732" w:type="dxa"/>
            <w:noWrap/>
            <w:vAlign w:val="bottom"/>
            <w:hideMark/>
          </w:tcPr>
          <w:p w14:paraId="4D3DB44A"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51601703" w14:textId="77777777" w:rsidTr="00BB4F69">
        <w:trPr>
          <w:trHeight w:val="300"/>
          <w:jc w:val="center"/>
        </w:trPr>
        <w:tc>
          <w:tcPr>
            <w:tcW w:w="4500" w:type="dxa"/>
            <w:noWrap/>
            <w:vAlign w:val="bottom"/>
            <w:hideMark/>
          </w:tcPr>
          <w:p w14:paraId="023DF2F3" w14:textId="77777777" w:rsidR="00DF358A" w:rsidRPr="004E13E9" w:rsidRDefault="00DF358A" w:rsidP="00BB4F69">
            <w:pPr>
              <w:rPr>
                <w:sz w:val="18"/>
                <w:szCs w:val="18"/>
                <w:lang w:val="en-GB"/>
              </w:rPr>
            </w:pPr>
            <w:r w:rsidRPr="004E13E9">
              <w:rPr>
                <w:sz w:val="18"/>
                <w:szCs w:val="18"/>
                <w:lang w:val="en-GB"/>
              </w:rPr>
              <w:t>LIMHAMN</w:t>
            </w:r>
          </w:p>
        </w:tc>
        <w:tc>
          <w:tcPr>
            <w:tcW w:w="1732" w:type="dxa"/>
            <w:noWrap/>
            <w:vAlign w:val="bottom"/>
            <w:hideMark/>
          </w:tcPr>
          <w:p w14:paraId="1D9DFF83"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396BBC2F" w14:textId="77777777" w:rsidTr="00BB4F69">
        <w:trPr>
          <w:trHeight w:val="300"/>
          <w:jc w:val="center"/>
        </w:trPr>
        <w:tc>
          <w:tcPr>
            <w:tcW w:w="4500" w:type="dxa"/>
            <w:noWrap/>
            <w:vAlign w:val="bottom"/>
            <w:hideMark/>
          </w:tcPr>
          <w:p w14:paraId="6E5FB770" w14:textId="77777777" w:rsidR="00DF358A" w:rsidRPr="004E13E9" w:rsidRDefault="00DF358A" w:rsidP="00BB4F69">
            <w:pPr>
              <w:rPr>
                <w:sz w:val="18"/>
                <w:szCs w:val="18"/>
                <w:lang w:val="en-GB"/>
              </w:rPr>
            </w:pPr>
            <w:r w:rsidRPr="004E13E9">
              <w:rPr>
                <w:sz w:val="18"/>
                <w:szCs w:val="18"/>
                <w:lang w:val="en-GB"/>
              </w:rPr>
              <w:t>LOMMA</w:t>
            </w:r>
          </w:p>
        </w:tc>
        <w:tc>
          <w:tcPr>
            <w:tcW w:w="1732" w:type="dxa"/>
            <w:noWrap/>
            <w:vAlign w:val="bottom"/>
            <w:hideMark/>
          </w:tcPr>
          <w:p w14:paraId="690D2C5C"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6AFD9E40" w14:textId="77777777" w:rsidTr="00BB4F69">
        <w:trPr>
          <w:trHeight w:val="300"/>
          <w:jc w:val="center"/>
        </w:trPr>
        <w:tc>
          <w:tcPr>
            <w:tcW w:w="4500" w:type="dxa"/>
            <w:noWrap/>
            <w:vAlign w:val="bottom"/>
            <w:hideMark/>
          </w:tcPr>
          <w:p w14:paraId="751F2D17" w14:textId="77777777" w:rsidR="00DF358A" w:rsidRPr="004E13E9" w:rsidRDefault="00DF358A" w:rsidP="00BB4F69">
            <w:pPr>
              <w:rPr>
                <w:sz w:val="18"/>
                <w:szCs w:val="18"/>
                <w:lang w:val="en-GB"/>
              </w:rPr>
            </w:pPr>
            <w:r w:rsidRPr="004E13E9">
              <w:rPr>
                <w:sz w:val="18"/>
                <w:szCs w:val="18"/>
                <w:lang w:val="en-GB"/>
              </w:rPr>
              <w:t>LYSEKIL</w:t>
            </w:r>
          </w:p>
        </w:tc>
        <w:tc>
          <w:tcPr>
            <w:tcW w:w="1732" w:type="dxa"/>
            <w:noWrap/>
            <w:vAlign w:val="bottom"/>
            <w:hideMark/>
          </w:tcPr>
          <w:p w14:paraId="4811B946"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7326D15A" w14:textId="77777777" w:rsidTr="00BB4F69">
        <w:trPr>
          <w:trHeight w:val="300"/>
          <w:jc w:val="center"/>
        </w:trPr>
        <w:tc>
          <w:tcPr>
            <w:tcW w:w="4500" w:type="dxa"/>
            <w:noWrap/>
            <w:vAlign w:val="bottom"/>
            <w:hideMark/>
          </w:tcPr>
          <w:p w14:paraId="1EACE5B4" w14:textId="77777777" w:rsidR="00DF358A" w:rsidRPr="004E13E9" w:rsidRDefault="00DF358A" w:rsidP="00BB4F69">
            <w:pPr>
              <w:rPr>
                <w:sz w:val="18"/>
                <w:szCs w:val="18"/>
                <w:lang w:val="en-GB"/>
              </w:rPr>
            </w:pPr>
            <w:r w:rsidRPr="004E13E9">
              <w:rPr>
                <w:sz w:val="18"/>
                <w:szCs w:val="18"/>
                <w:lang w:val="en-GB"/>
              </w:rPr>
              <w:t>MELLANFJÄRDEN</w:t>
            </w:r>
          </w:p>
        </w:tc>
        <w:tc>
          <w:tcPr>
            <w:tcW w:w="1732" w:type="dxa"/>
            <w:noWrap/>
            <w:vAlign w:val="bottom"/>
            <w:hideMark/>
          </w:tcPr>
          <w:p w14:paraId="69F4E5F5"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6D1F7EA9" w14:textId="77777777" w:rsidTr="00BB4F69">
        <w:trPr>
          <w:trHeight w:val="300"/>
          <w:jc w:val="center"/>
        </w:trPr>
        <w:tc>
          <w:tcPr>
            <w:tcW w:w="4500" w:type="dxa"/>
            <w:noWrap/>
            <w:vAlign w:val="bottom"/>
            <w:hideMark/>
          </w:tcPr>
          <w:p w14:paraId="333A525F" w14:textId="77777777" w:rsidR="00DF358A" w:rsidRPr="004E13E9" w:rsidRDefault="00DF358A" w:rsidP="00BB4F69">
            <w:pPr>
              <w:rPr>
                <w:sz w:val="18"/>
                <w:szCs w:val="18"/>
                <w:lang w:val="en-GB"/>
              </w:rPr>
            </w:pPr>
            <w:r w:rsidRPr="004E13E9">
              <w:rPr>
                <w:sz w:val="18"/>
                <w:szCs w:val="18"/>
                <w:lang w:val="en-GB"/>
              </w:rPr>
              <w:t>MOLLÖSUND</w:t>
            </w:r>
          </w:p>
        </w:tc>
        <w:tc>
          <w:tcPr>
            <w:tcW w:w="1732" w:type="dxa"/>
            <w:noWrap/>
            <w:vAlign w:val="bottom"/>
            <w:hideMark/>
          </w:tcPr>
          <w:p w14:paraId="5F76D6E8"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49BE8DA0" w14:textId="77777777" w:rsidTr="00BB4F69">
        <w:trPr>
          <w:trHeight w:val="300"/>
          <w:jc w:val="center"/>
        </w:trPr>
        <w:tc>
          <w:tcPr>
            <w:tcW w:w="4500" w:type="dxa"/>
            <w:noWrap/>
            <w:vAlign w:val="bottom"/>
            <w:hideMark/>
          </w:tcPr>
          <w:p w14:paraId="6C4B0750" w14:textId="77777777" w:rsidR="00DF358A" w:rsidRPr="004E13E9" w:rsidRDefault="00DF358A" w:rsidP="00BB4F69">
            <w:pPr>
              <w:rPr>
                <w:sz w:val="18"/>
                <w:szCs w:val="18"/>
                <w:lang w:val="en-GB"/>
              </w:rPr>
            </w:pPr>
            <w:r w:rsidRPr="004E13E9">
              <w:rPr>
                <w:sz w:val="18"/>
                <w:szCs w:val="18"/>
                <w:lang w:val="en-GB"/>
              </w:rPr>
              <w:t>NOGERSUND</w:t>
            </w:r>
          </w:p>
        </w:tc>
        <w:tc>
          <w:tcPr>
            <w:tcW w:w="1732" w:type="dxa"/>
            <w:noWrap/>
            <w:vAlign w:val="bottom"/>
            <w:hideMark/>
          </w:tcPr>
          <w:p w14:paraId="156473E3"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0D22660E" w14:textId="77777777" w:rsidTr="00BB4F69">
        <w:trPr>
          <w:trHeight w:val="300"/>
          <w:jc w:val="center"/>
        </w:trPr>
        <w:tc>
          <w:tcPr>
            <w:tcW w:w="4500" w:type="dxa"/>
            <w:noWrap/>
            <w:vAlign w:val="bottom"/>
            <w:hideMark/>
          </w:tcPr>
          <w:p w14:paraId="2E4C1BE0" w14:textId="77777777" w:rsidR="00DF358A" w:rsidRPr="004E13E9" w:rsidRDefault="00DF358A" w:rsidP="00BB4F69">
            <w:pPr>
              <w:rPr>
                <w:sz w:val="18"/>
                <w:szCs w:val="18"/>
                <w:lang w:val="en-GB"/>
              </w:rPr>
            </w:pPr>
            <w:r w:rsidRPr="004E13E9">
              <w:rPr>
                <w:sz w:val="18"/>
                <w:szCs w:val="18"/>
                <w:lang w:val="en-GB"/>
              </w:rPr>
              <w:t>NORRSUNDET</w:t>
            </w:r>
          </w:p>
        </w:tc>
        <w:tc>
          <w:tcPr>
            <w:tcW w:w="1732" w:type="dxa"/>
            <w:noWrap/>
            <w:vAlign w:val="bottom"/>
            <w:hideMark/>
          </w:tcPr>
          <w:p w14:paraId="38D637AB"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61A95C34" w14:textId="77777777" w:rsidTr="00BB4F69">
        <w:trPr>
          <w:trHeight w:val="300"/>
          <w:jc w:val="center"/>
        </w:trPr>
        <w:tc>
          <w:tcPr>
            <w:tcW w:w="4500" w:type="dxa"/>
            <w:noWrap/>
            <w:vAlign w:val="bottom"/>
            <w:hideMark/>
          </w:tcPr>
          <w:p w14:paraId="7BB1CCC6"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NÄRSHAMN</w:t>
            </w:r>
          </w:p>
        </w:tc>
        <w:tc>
          <w:tcPr>
            <w:tcW w:w="1732" w:type="dxa"/>
            <w:noWrap/>
            <w:vAlign w:val="bottom"/>
            <w:hideMark/>
          </w:tcPr>
          <w:p w14:paraId="6F09AFC7"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EU-Sweden</w:t>
            </w:r>
          </w:p>
        </w:tc>
      </w:tr>
      <w:tr w:rsidR="00DF358A" w:rsidRPr="004E13E9" w14:paraId="06C3FFD5" w14:textId="77777777" w:rsidTr="00BB4F69">
        <w:trPr>
          <w:trHeight w:val="300"/>
          <w:jc w:val="center"/>
        </w:trPr>
        <w:tc>
          <w:tcPr>
            <w:tcW w:w="4500" w:type="dxa"/>
            <w:noWrap/>
            <w:vAlign w:val="bottom"/>
            <w:hideMark/>
          </w:tcPr>
          <w:p w14:paraId="39431AEC" w14:textId="77777777" w:rsidR="00DF358A" w:rsidRPr="004E13E9" w:rsidRDefault="00DF358A" w:rsidP="00BB4F69">
            <w:pPr>
              <w:rPr>
                <w:sz w:val="18"/>
                <w:szCs w:val="18"/>
                <w:lang w:val="en-GB"/>
              </w:rPr>
            </w:pPr>
            <w:r w:rsidRPr="004E13E9">
              <w:rPr>
                <w:sz w:val="18"/>
                <w:szCs w:val="18"/>
                <w:lang w:val="en-GB"/>
              </w:rPr>
              <w:t>OXELÖSUND</w:t>
            </w:r>
          </w:p>
        </w:tc>
        <w:tc>
          <w:tcPr>
            <w:tcW w:w="1732" w:type="dxa"/>
            <w:noWrap/>
            <w:vAlign w:val="bottom"/>
            <w:hideMark/>
          </w:tcPr>
          <w:p w14:paraId="5E6C9604"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71295166" w14:textId="77777777" w:rsidTr="00BB4F69">
        <w:trPr>
          <w:trHeight w:val="300"/>
          <w:jc w:val="center"/>
        </w:trPr>
        <w:tc>
          <w:tcPr>
            <w:tcW w:w="4500" w:type="dxa"/>
            <w:noWrap/>
            <w:vAlign w:val="bottom"/>
            <w:hideMark/>
          </w:tcPr>
          <w:p w14:paraId="283A42D5" w14:textId="77777777" w:rsidR="00DF358A" w:rsidRPr="004E13E9" w:rsidRDefault="00DF358A" w:rsidP="00BB4F69">
            <w:pPr>
              <w:rPr>
                <w:sz w:val="18"/>
                <w:szCs w:val="18"/>
                <w:lang w:val="en-GB"/>
              </w:rPr>
            </w:pPr>
            <w:r w:rsidRPr="004E13E9">
              <w:rPr>
                <w:sz w:val="18"/>
                <w:szCs w:val="18"/>
                <w:lang w:val="en-GB"/>
              </w:rPr>
              <w:t>RONEHAMN</w:t>
            </w:r>
          </w:p>
        </w:tc>
        <w:tc>
          <w:tcPr>
            <w:tcW w:w="1732" w:type="dxa"/>
            <w:noWrap/>
            <w:vAlign w:val="bottom"/>
            <w:hideMark/>
          </w:tcPr>
          <w:p w14:paraId="5E229E8C"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6EB60667" w14:textId="77777777" w:rsidTr="00BB4F69">
        <w:trPr>
          <w:trHeight w:val="300"/>
          <w:jc w:val="center"/>
        </w:trPr>
        <w:tc>
          <w:tcPr>
            <w:tcW w:w="4500" w:type="dxa"/>
            <w:noWrap/>
            <w:vAlign w:val="bottom"/>
            <w:hideMark/>
          </w:tcPr>
          <w:p w14:paraId="5924AF83" w14:textId="77777777" w:rsidR="00DF358A" w:rsidRPr="004E13E9" w:rsidRDefault="00DF358A" w:rsidP="00BB4F69">
            <w:pPr>
              <w:rPr>
                <w:sz w:val="18"/>
                <w:szCs w:val="18"/>
                <w:lang w:val="en-GB"/>
              </w:rPr>
            </w:pPr>
            <w:r w:rsidRPr="004E13E9">
              <w:rPr>
                <w:sz w:val="18"/>
                <w:szCs w:val="18"/>
                <w:lang w:val="en-GB"/>
              </w:rPr>
              <w:t>RÖNNÄNG</w:t>
            </w:r>
          </w:p>
        </w:tc>
        <w:tc>
          <w:tcPr>
            <w:tcW w:w="1732" w:type="dxa"/>
            <w:noWrap/>
            <w:vAlign w:val="bottom"/>
            <w:hideMark/>
          </w:tcPr>
          <w:p w14:paraId="6F6E1F5C"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0FBD59C5" w14:textId="77777777" w:rsidTr="00BB4F69">
        <w:trPr>
          <w:trHeight w:val="300"/>
          <w:jc w:val="center"/>
        </w:trPr>
        <w:tc>
          <w:tcPr>
            <w:tcW w:w="4500" w:type="dxa"/>
            <w:noWrap/>
            <w:vAlign w:val="bottom"/>
            <w:hideMark/>
          </w:tcPr>
          <w:p w14:paraId="58209288" w14:textId="77777777" w:rsidR="00DF358A" w:rsidRPr="004E13E9" w:rsidRDefault="00DF358A" w:rsidP="00BB4F69">
            <w:pPr>
              <w:rPr>
                <w:sz w:val="18"/>
                <w:szCs w:val="18"/>
                <w:lang w:val="en-GB"/>
              </w:rPr>
            </w:pPr>
            <w:r w:rsidRPr="004E13E9">
              <w:rPr>
                <w:sz w:val="18"/>
                <w:szCs w:val="18"/>
                <w:lang w:val="en-GB"/>
              </w:rPr>
              <w:t>SIMRISHAMN</w:t>
            </w:r>
          </w:p>
        </w:tc>
        <w:tc>
          <w:tcPr>
            <w:tcW w:w="1732" w:type="dxa"/>
            <w:noWrap/>
            <w:vAlign w:val="bottom"/>
            <w:hideMark/>
          </w:tcPr>
          <w:p w14:paraId="74A241A5"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706FA259" w14:textId="77777777" w:rsidTr="00BB4F69">
        <w:trPr>
          <w:trHeight w:val="300"/>
          <w:jc w:val="center"/>
        </w:trPr>
        <w:tc>
          <w:tcPr>
            <w:tcW w:w="4500" w:type="dxa"/>
            <w:noWrap/>
            <w:vAlign w:val="bottom"/>
            <w:hideMark/>
          </w:tcPr>
          <w:p w14:paraId="6E2993BC" w14:textId="77777777" w:rsidR="00DF358A" w:rsidRPr="004E13E9" w:rsidRDefault="00DF358A" w:rsidP="00BB4F69">
            <w:pPr>
              <w:rPr>
                <w:sz w:val="18"/>
                <w:szCs w:val="18"/>
                <w:lang w:val="en-GB"/>
              </w:rPr>
            </w:pPr>
            <w:r w:rsidRPr="004E13E9">
              <w:rPr>
                <w:sz w:val="18"/>
                <w:szCs w:val="18"/>
                <w:lang w:val="en-GB"/>
              </w:rPr>
              <w:t>SKAGSHAMN</w:t>
            </w:r>
          </w:p>
        </w:tc>
        <w:tc>
          <w:tcPr>
            <w:tcW w:w="1732" w:type="dxa"/>
            <w:noWrap/>
            <w:vAlign w:val="bottom"/>
            <w:hideMark/>
          </w:tcPr>
          <w:p w14:paraId="4C1583D7"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3998C63A" w14:textId="77777777" w:rsidTr="00BB4F69">
        <w:trPr>
          <w:trHeight w:val="300"/>
          <w:jc w:val="center"/>
        </w:trPr>
        <w:tc>
          <w:tcPr>
            <w:tcW w:w="4500" w:type="dxa"/>
            <w:noWrap/>
            <w:vAlign w:val="bottom"/>
            <w:hideMark/>
          </w:tcPr>
          <w:p w14:paraId="05B428F8" w14:textId="77777777" w:rsidR="00DF358A" w:rsidRPr="004E13E9" w:rsidRDefault="00DF358A" w:rsidP="00BB4F69">
            <w:pPr>
              <w:rPr>
                <w:sz w:val="18"/>
                <w:szCs w:val="18"/>
                <w:lang w:val="en-GB"/>
              </w:rPr>
            </w:pPr>
            <w:r w:rsidRPr="004E13E9">
              <w:rPr>
                <w:sz w:val="18"/>
                <w:szCs w:val="18"/>
                <w:lang w:val="en-GB"/>
              </w:rPr>
              <w:t>SKEPPSMALEN</w:t>
            </w:r>
          </w:p>
        </w:tc>
        <w:tc>
          <w:tcPr>
            <w:tcW w:w="1732" w:type="dxa"/>
            <w:noWrap/>
            <w:vAlign w:val="bottom"/>
            <w:hideMark/>
          </w:tcPr>
          <w:p w14:paraId="6B9476A7"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18659CCF" w14:textId="77777777" w:rsidTr="00BB4F69">
        <w:trPr>
          <w:trHeight w:val="300"/>
          <w:jc w:val="center"/>
        </w:trPr>
        <w:tc>
          <w:tcPr>
            <w:tcW w:w="4500" w:type="dxa"/>
            <w:noWrap/>
            <w:vAlign w:val="bottom"/>
            <w:hideMark/>
          </w:tcPr>
          <w:p w14:paraId="34F965BB" w14:textId="77777777" w:rsidR="00DF358A" w:rsidRPr="004E13E9" w:rsidRDefault="00DF358A" w:rsidP="00BB4F69">
            <w:pPr>
              <w:rPr>
                <w:sz w:val="18"/>
                <w:szCs w:val="18"/>
                <w:lang w:val="en-GB"/>
              </w:rPr>
            </w:pPr>
            <w:r w:rsidRPr="004E13E9">
              <w:rPr>
                <w:sz w:val="18"/>
                <w:szCs w:val="18"/>
                <w:lang w:val="en-GB"/>
              </w:rPr>
              <w:t>SPIKARNA, ALNÖN</w:t>
            </w:r>
          </w:p>
        </w:tc>
        <w:tc>
          <w:tcPr>
            <w:tcW w:w="1732" w:type="dxa"/>
            <w:noWrap/>
            <w:vAlign w:val="bottom"/>
            <w:hideMark/>
          </w:tcPr>
          <w:p w14:paraId="5EC0756C"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0E3718AB" w14:textId="77777777" w:rsidTr="00BB4F69">
        <w:trPr>
          <w:trHeight w:val="300"/>
          <w:jc w:val="center"/>
        </w:trPr>
        <w:tc>
          <w:tcPr>
            <w:tcW w:w="4500" w:type="dxa"/>
            <w:noWrap/>
            <w:vAlign w:val="bottom"/>
            <w:hideMark/>
          </w:tcPr>
          <w:p w14:paraId="0D3D6C3F" w14:textId="77777777" w:rsidR="00DF358A" w:rsidRPr="004E13E9" w:rsidRDefault="00DF358A" w:rsidP="00BB4F69">
            <w:pPr>
              <w:rPr>
                <w:sz w:val="18"/>
                <w:szCs w:val="18"/>
                <w:lang w:val="en-GB"/>
              </w:rPr>
            </w:pPr>
            <w:r w:rsidRPr="004E13E9">
              <w:rPr>
                <w:sz w:val="18"/>
                <w:szCs w:val="18"/>
                <w:lang w:val="en-GB"/>
              </w:rPr>
              <w:t>STRÖMSTAD</w:t>
            </w:r>
          </w:p>
        </w:tc>
        <w:tc>
          <w:tcPr>
            <w:tcW w:w="1732" w:type="dxa"/>
            <w:noWrap/>
            <w:vAlign w:val="bottom"/>
            <w:hideMark/>
          </w:tcPr>
          <w:p w14:paraId="086E6576"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200F9AB8" w14:textId="77777777" w:rsidTr="00BB4F69">
        <w:trPr>
          <w:trHeight w:val="300"/>
          <w:jc w:val="center"/>
        </w:trPr>
        <w:tc>
          <w:tcPr>
            <w:tcW w:w="4500" w:type="dxa"/>
            <w:noWrap/>
            <w:vAlign w:val="bottom"/>
            <w:hideMark/>
          </w:tcPr>
          <w:p w14:paraId="72B9FF75" w14:textId="77777777" w:rsidR="00DF358A" w:rsidRPr="004E13E9" w:rsidRDefault="00DF358A" w:rsidP="00BB4F69">
            <w:pPr>
              <w:rPr>
                <w:sz w:val="18"/>
                <w:szCs w:val="18"/>
                <w:lang w:val="en-GB"/>
              </w:rPr>
            </w:pPr>
            <w:r w:rsidRPr="004E13E9">
              <w:rPr>
                <w:sz w:val="18"/>
                <w:szCs w:val="18"/>
                <w:lang w:val="en-GB"/>
              </w:rPr>
              <w:t>STURKÖ-EKENABBEN</w:t>
            </w:r>
          </w:p>
        </w:tc>
        <w:tc>
          <w:tcPr>
            <w:tcW w:w="1732" w:type="dxa"/>
            <w:noWrap/>
            <w:vAlign w:val="bottom"/>
            <w:hideMark/>
          </w:tcPr>
          <w:p w14:paraId="648A1334"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1E64B6CF" w14:textId="77777777" w:rsidTr="00BB4F69">
        <w:trPr>
          <w:trHeight w:val="300"/>
          <w:jc w:val="center"/>
        </w:trPr>
        <w:tc>
          <w:tcPr>
            <w:tcW w:w="4500" w:type="dxa"/>
            <w:noWrap/>
            <w:vAlign w:val="bottom"/>
            <w:hideMark/>
          </w:tcPr>
          <w:p w14:paraId="11AF3CBE" w14:textId="77777777" w:rsidR="00DF358A" w:rsidRPr="004E13E9" w:rsidRDefault="00DF358A" w:rsidP="00BB4F69">
            <w:pPr>
              <w:rPr>
                <w:sz w:val="18"/>
                <w:szCs w:val="18"/>
                <w:lang w:val="en-GB"/>
              </w:rPr>
            </w:pPr>
            <w:r w:rsidRPr="004E13E9">
              <w:rPr>
                <w:sz w:val="18"/>
                <w:szCs w:val="18"/>
                <w:lang w:val="en-GB"/>
              </w:rPr>
              <w:t>STURKÖ-SANDA</w:t>
            </w:r>
          </w:p>
        </w:tc>
        <w:tc>
          <w:tcPr>
            <w:tcW w:w="1732" w:type="dxa"/>
            <w:noWrap/>
            <w:vAlign w:val="bottom"/>
            <w:hideMark/>
          </w:tcPr>
          <w:p w14:paraId="0ABA0BD6"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333CBC66" w14:textId="77777777" w:rsidTr="00BB4F69">
        <w:trPr>
          <w:trHeight w:val="300"/>
          <w:jc w:val="center"/>
        </w:trPr>
        <w:tc>
          <w:tcPr>
            <w:tcW w:w="4500" w:type="dxa"/>
            <w:noWrap/>
            <w:vAlign w:val="bottom"/>
            <w:hideMark/>
          </w:tcPr>
          <w:p w14:paraId="18C5E12B"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TRELLEBORG</w:t>
            </w:r>
          </w:p>
        </w:tc>
        <w:tc>
          <w:tcPr>
            <w:tcW w:w="1732" w:type="dxa"/>
            <w:noWrap/>
            <w:vAlign w:val="bottom"/>
            <w:hideMark/>
          </w:tcPr>
          <w:p w14:paraId="7A5BEA69" w14:textId="77777777" w:rsidR="00DF358A" w:rsidRPr="004E13E9" w:rsidRDefault="00DF358A" w:rsidP="00BB4F69">
            <w:pPr>
              <w:rPr>
                <w:rFonts w:eastAsia="Times New Roman"/>
                <w:sz w:val="18"/>
                <w:szCs w:val="18"/>
                <w:lang w:val="en-GB" w:eastAsia="en-GB"/>
              </w:rPr>
            </w:pPr>
            <w:r w:rsidRPr="004E13E9">
              <w:rPr>
                <w:rFonts w:eastAsia="Times New Roman"/>
                <w:sz w:val="18"/>
                <w:szCs w:val="18"/>
                <w:lang w:val="en-GB" w:eastAsia="en-GB"/>
              </w:rPr>
              <w:t>EU-Sweden</w:t>
            </w:r>
          </w:p>
        </w:tc>
      </w:tr>
      <w:tr w:rsidR="00DF358A" w:rsidRPr="004E13E9" w14:paraId="72F3BFF4" w14:textId="77777777" w:rsidTr="00BB4F69">
        <w:trPr>
          <w:trHeight w:val="300"/>
          <w:jc w:val="center"/>
        </w:trPr>
        <w:tc>
          <w:tcPr>
            <w:tcW w:w="4500" w:type="dxa"/>
            <w:noWrap/>
            <w:vAlign w:val="bottom"/>
            <w:hideMark/>
          </w:tcPr>
          <w:p w14:paraId="3C147171" w14:textId="77777777" w:rsidR="00DF358A" w:rsidRPr="004E13E9" w:rsidRDefault="00DF358A" w:rsidP="00BB4F69">
            <w:pPr>
              <w:rPr>
                <w:sz w:val="18"/>
                <w:szCs w:val="18"/>
                <w:lang w:val="en-GB"/>
              </w:rPr>
            </w:pPr>
            <w:r w:rsidRPr="004E13E9">
              <w:rPr>
                <w:sz w:val="18"/>
                <w:szCs w:val="18"/>
                <w:lang w:val="en-GB"/>
              </w:rPr>
              <w:t>TRÄSLÖVSLÄGE</w:t>
            </w:r>
          </w:p>
        </w:tc>
        <w:tc>
          <w:tcPr>
            <w:tcW w:w="1732" w:type="dxa"/>
            <w:noWrap/>
            <w:vAlign w:val="bottom"/>
            <w:hideMark/>
          </w:tcPr>
          <w:p w14:paraId="7750D477"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0E3AF798" w14:textId="77777777" w:rsidTr="00BB4F69">
        <w:trPr>
          <w:trHeight w:val="300"/>
          <w:jc w:val="center"/>
        </w:trPr>
        <w:tc>
          <w:tcPr>
            <w:tcW w:w="4500" w:type="dxa"/>
            <w:noWrap/>
            <w:vAlign w:val="bottom"/>
            <w:hideMark/>
          </w:tcPr>
          <w:p w14:paraId="0C17F50C" w14:textId="77777777" w:rsidR="00DF358A" w:rsidRPr="004E13E9" w:rsidRDefault="00DF358A" w:rsidP="00BB4F69">
            <w:pPr>
              <w:rPr>
                <w:sz w:val="18"/>
                <w:szCs w:val="18"/>
                <w:lang w:val="en-GB"/>
              </w:rPr>
            </w:pPr>
            <w:r w:rsidRPr="004E13E9">
              <w:rPr>
                <w:sz w:val="18"/>
                <w:szCs w:val="18"/>
                <w:lang w:val="en-GB"/>
              </w:rPr>
              <w:t>VÄSTERVIK</w:t>
            </w:r>
          </w:p>
        </w:tc>
        <w:tc>
          <w:tcPr>
            <w:tcW w:w="1732" w:type="dxa"/>
            <w:noWrap/>
            <w:vAlign w:val="bottom"/>
            <w:hideMark/>
          </w:tcPr>
          <w:p w14:paraId="0E207526" w14:textId="77777777" w:rsidR="00DF358A" w:rsidRPr="004E13E9" w:rsidRDefault="00DF358A" w:rsidP="00BB4F69">
            <w:pPr>
              <w:rPr>
                <w:sz w:val="18"/>
                <w:szCs w:val="18"/>
                <w:lang w:val="en-GB"/>
              </w:rPr>
            </w:pPr>
            <w:r w:rsidRPr="004E13E9">
              <w:rPr>
                <w:sz w:val="18"/>
                <w:szCs w:val="18"/>
                <w:lang w:val="en-GB"/>
              </w:rPr>
              <w:t>EU-Sweden</w:t>
            </w:r>
          </w:p>
        </w:tc>
      </w:tr>
      <w:tr w:rsidR="00DF358A" w:rsidRPr="004E13E9" w14:paraId="487059D8" w14:textId="77777777" w:rsidTr="00BB4F69">
        <w:trPr>
          <w:trHeight w:val="300"/>
          <w:jc w:val="center"/>
        </w:trPr>
        <w:tc>
          <w:tcPr>
            <w:tcW w:w="4500" w:type="dxa"/>
            <w:noWrap/>
            <w:vAlign w:val="bottom"/>
            <w:hideMark/>
          </w:tcPr>
          <w:p w14:paraId="07392BF5" w14:textId="77777777" w:rsidR="00DF358A" w:rsidRPr="004E13E9" w:rsidRDefault="00DF358A" w:rsidP="00BB4F69">
            <w:pPr>
              <w:rPr>
                <w:sz w:val="18"/>
                <w:szCs w:val="18"/>
                <w:lang w:val="en-GB"/>
              </w:rPr>
            </w:pPr>
            <w:r w:rsidRPr="004E13E9">
              <w:rPr>
                <w:sz w:val="18"/>
                <w:szCs w:val="18"/>
                <w:lang w:val="en-GB"/>
              </w:rPr>
              <w:t>YSTAD</w:t>
            </w:r>
          </w:p>
        </w:tc>
        <w:tc>
          <w:tcPr>
            <w:tcW w:w="1732" w:type="dxa"/>
            <w:noWrap/>
            <w:vAlign w:val="bottom"/>
            <w:hideMark/>
          </w:tcPr>
          <w:p w14:paraId="37581026" w14:textId="77777777" w:rsidR="00DF358A" w:rsidRPr="004E13E9" w:rsidRDefault="00DF358A" w:rsidP="00BB4F69">
            <w:pPr>
              <w:rPr>
                <w:sz w:val="18"/>
                <w:szCs w:val="18"/>
                <w:lang w:val="en-GB"/>
              </w:rPr>
            </w:pPr>
            <w:r w:rsidRPr="004E13E9">
              <w:rPr>
                <w:sz w:val="18"/>
                <w:szCs w:val="18"/>
                <w:lang w:val="en-GB"/>
              </w:rPr>
              <w:t>EU-Sweden</w:t>
            </w:r>
          </w:p>
        </w:tc>
      </w:tr>
    </w:tbl>
    <w:p w14:paraId="19339DB8" w14:textId="77777777" w:rsidR="00DF358A" w:rsidRPr="004E13E9" w:rsidRDefault="00DF358A" w:rsidP="00DF358A">
      <w:pPr>
        <w:rPr>
          <w:rFonts w:eastAsia="MS Gothic" w:cs="Times New Roman"/>
          <w:iCs/>
          <w:color w:val="000000"/>
          <w:lang w:eastAsia="fr-FR" w:bidi="fr-FR"/>
        </w:rPr>
      </w:pPr>
    </w:p>
    <w:p w14:paraId="42E32EFD" w14:textId="77777777" w:rsidR="006972C0" w:rsidRPr="004E13E9" w:rsidRDefault="006972C0">
      <w:pPr>
        <w:rPr>
          <w:b/>
          <w:bCs/>
          <w:lang w:val="fr-FR" w:eastAsia="en-GB"/>
        </w:rPr>
      </w:pPr>
    </w:p>
    <w:p w14:paraId="12E7A330" w14:textId="77777777" w:rsidR="006972C0" w:rsidRPr="004E13E9" w:rsidRDefault="006972C0">
      <w:pPr>
        <w:rPr>
          <w:b/>
          <w:bCs/>
          <w:lang w:val="fr-FR" w:eastAsia="en-GB"/>
        </w:rPr>
      </w:pPr>
    </w:p>
    <w:p w14:paraId="473F9AE3" w14:textId="208E6C90" w:rsidR="00F81B4D" w:rsidRPr="004E13E9" w:rsidRDefault="00C67DD6">
      <w:pPr>
        <w:rPr>
          <w:b/>
          <w:bCs/>
          <w:lang w:val="fr-FR" w:eastAsia="en-GB"/>
        </w:rPr>
        <w:sectPr w:rsidR="00F81B4D" w:rsidRPr="004E13E9" w:rsidSect="00304E87">
          <w:footnotePr>
            <w:numFmt w:val="chicago"/>
          </w:footnotePr>
          <w:pgSz w:w="11907" w:h="16840" w:code="9"/>
          <w:pgMar w:top="1418" w:right="1418" w:bottom="1418" w:left="1418" w:header="851" w:footer="1134" w:gutter="0"/>
          <w:cols w:space="720"/>
          <w:docGrid w:linePitch="272"/>
        </w:sectPr>
      </w:pPr>
      <w:r w:rsidRPr="004E13E9">
        <w:rPr>
          <w:b/>
          <w:bCs/>
          <w:lang w:val="fr-FR" w:eastAsia="en-GB"/>
        </w:rPr>
        <w:br w:type="page"/>
      </w:r>
    </w:p>
    <w:p w14:paraId="1050B8D1" w14:textId="1E50ED7A" w:rsidR="008B0FF3" w:rsidRPr="004E13E9" w:rsidRDefault="008B0FF3" w:rsidP="008B0FF3">
      <w:pPr>
        <w:rPr>
          <w:lang w:val="it-IT" w:eastAsia="en-GB"/>
        </w:rPr>
      </w:pPr>
      <w:r w:rsidRPr="004E13E9">
        <w:rPr>
          <w:b/>
          <w:bCs/>
          <w:lang w:val="it-IT" w:eastAsia="en-GB"/>
        </w:rPr>
        <w:t>Islande</w:t>
      </w:r>
    </w:p>
    <w:p w14:paraId="4F8083E5" w14:textId="77777777" w:rsidR="008B0FF3" w:rsidRPr="004E13E9" w:rsidRDefault="008B0FF3">
      <w:pPr>
        <w:rPr>
          <w:lang w:val="it-IT"/>
        </w:rPr>
      </w:pPr>
    </w:p>
    <w:p w14:paraId="69810AD6" w14:textId="77777777" w:rsidR="0062309A" w:rsidRPr="004E13E9" w:rsidRDefault="0062309A" w:rsidP="0062309A">
      <w:pPr>
        <w:rPr>
          <w:rFonts w:eastAsia="Yu Mincho" w:cs="Times New Roman"/>
          <w:b/>
          <w:bCs/>
          <w:lang w:val="fr-FR"/>
        </w:rPr>
      </w:pPr>
      <w:r w:rsidRPr="004E13E9">
        <w:rPr>
          <w:rFonts w:eastAsia="Yu Mincho" w:cs="Times New Roman"/>
          <w:b/>
          <w:bCs/>
          <w:lang w:val="fr-FR"/>
        </w:rPr>
        <w:t>Année du plan de pêche : 2026</w:t>
      </w:r>
    </w:p>
    <w:p w14:paraId="1689AF87" w14:textId="77777777" w:rsidR="0062309A" w:rsidRPr="004E13E9" w:rsidRDefault="0062309A" w:rsidP="0062309A">
      <w:pPr>
        <w:rPr>
          <w:rFonts w:eastAsia="Yu Mincho" w:cs="Times New Roman"/>
          <w:b/>
          <w:bCs/>
          <w:lang w:val="fr-FR"/>
        </w:rPr>
      </w:pPr>
    </w:p>
    <w:p w14:paraId="3B1F8437" w14:textId="77777777" w:rsidR="0062309A" w:rsidRPr="004E13E9" w:rsidRDefault="0062309A" w:rsidP="0062309A">
      <w:pPr>
        <w:ind w:left="426" w:hanging="426"/>
        <w:contextualSpacing/>
        <w:jc w:val="both"/>
        <w:rPr>
          <w:rFonts w:eastAsia="Yu Mincho" w:cs="Times New Roman"/>
          <w:b/>
          <w:lang w:val="fr-FR"/>
        </w:rPr>
      </w:pPr>
      <w:r w:rsidRPr="004E13E9">
        <w:rPr>
          <w:rFonts w:eastAsia="Yu Mincho" w:cs="Times New Roman"/>
          <w:b/>
          <w:lang w:val="fr-FR"/>
        </w:rPr>
        <w:t xml:space="preserve">1. </w:t>
      </w:r>
      <w:r w:rsidRPr="004E13E9">
        <w:rPr>
          <w:rFonts w:eastAsia="Yu Mincho" w:cs="Times New Roman"/>
          <w:b/>
          <w:lang w:val="fr-FR"/>
        </w:rPr>
        <w:tab/>
        <w:t>Détails du plan annuel de pêche pour les navires de capture et les madragues</w:t>
      </w:r>
    </w:p>
    <w:p w14:paraId="43201855" w14:textId="77777777" w:rsidR="0062309A" w:rsidRPr="004E13E9" w:rsidRDefault="0062309A" w:rsidP="0062309A">
      <w:pPr>
        <w:widowControl w:val="0"/>
        <w:contextualSpacing/>
        <w:jc w:val="both"/>
        <w:rPr>
          <w:rFonts w:eastAsia="MS Gothic" w:cs="Times New Roman"/>
          <w:color w:val="000000"/>
          <w:lang w:val="fr-FR" w:eastAsia="fr-FR" w:bidi="fr-FR"/>
        </w:rPr>
      </w:pPr>
    </w:p>
    <w:p w14:paraId="4152535D" w14:textId="77777777" w:rsidR="0062309A" w:rsidRPr="004E13E9" w:rsidRDefault="0062309A" w:rsidP="0062309A">
      <w:pPr>
        <w:widowControl w:val="0"/>
        <w:jc w:val="both"/>
        <w:rPr>
          <w:rFonts w:eastAsia="MS Gothic" w:cs="Times New Roman"/>
          <w:b/>
          <w:bCs/>
          <w:i/>
          <w:iCs/>
          <w:color w:val="000000"/>
          <w:lang w:val="fr-FR" w:eastAsia="fr-FR" w:bidi="fr-FR"/>
        </w:rPr>
      </w:pPr>
      <w:r w:rsidRPr="004E13E9">
        <w:rPr>
          <w:rFonts w:eastAsia="MS Gothic" w:cs="Times New Roman"/>
          <w:b/>
          <w:bCs/>
          <w:i/>
          <w:iCs/>
          <w:color w:val="000000"/>
          <w:lang w:val="fr-FR" w:eastAsia="fr-FR" w:bidi="fr-FR"/>
        </w:rPr>
        <w:t>1a) Présentation (paragraphe 12)</w:t>
      </w:r>
    </w:p>
    <w:p w14:paraId="0E54F280" w14:textId="77777777" w:rsidR="0062309A" w:rsidRPr="004E13E9" w:rsidRDefault="0062309A" w:rsidP="0062309A">
      <w:pPr>
        <w:widowControl w:val="0"/>
        <w:contextualSpacing/>
        <w:jc w:val="both"/>
        <w:rPr>
          <w:rFonts w:eastAsia="MS Gothic" w:cs="Times New Roman"/>
          <w:color w:val="000000"/>
          <w:lang w:val="fr-FR" w:eastAsia="fr-FR" w:bidi="fr-FR"/>
        </w:rPr>
      </w:pPr>
    </w:p>
    <w:p w14:paraId="6BE7D890" w14:textId="77777777" w:rsidR="0062309A" w:rsidRPr="004E13E9" w:rsidRDefault="0062309A" w:rsidP="0062309A">
      <w:pPr>
        <w:spacing w:line="259" w:lineRule="auto"/>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Le quota de thon rouge de l’Atlantique Est alloué à l’Islande au titre de l’année 2026 est de 253,14 t. L'Islande demande de transférer 10,2 % de son quota inutilisé de 2025 à 2026, soit 22,86 t. En 2025, le quota utilisé était de 150 kg en tant que prises accessoires et 200 tonnes ont été transférées à une autre CPC. Si cette demande est approuvée, le quota ajusté pour 2026 sera de 276 t.</w:t>
      </w:r>
    </w:p>
    <w:p w14:paraId="386BF1C4" w14:textId="77777777" w:rsidR="0062309A" w:rsidRPr="004E13E9" w:rsidRDefault="0062309A" w:rsidP="0062309A">
      <w:pPr>
        <w:widowControl w:val="0"/>
        <w:contextualSpacing/>
        <w:jc w:val="both"/>
        <w:rPr>
          <w:rFonts w:eastAsia="MS Gothic" w:cs="Times New Roman"/>
          <w:color w:val="000000"/>
          <w:lang w:val="fr-FR" w:eastAsia="fr-FR" w:bidi="fr-FR"/>
        </w:rPr>
      </w:pPr>
    </w:p>
    <w:p w14:paraId="2026C3F2" w14:textId="3E9FF3FA" w:rsidR="0062309A" w:rsidRPr="004E13E9" w:rsidRDefault="0062309A" w:rsidP="0062309A">
      <w:pPr>
        <w:widowControl w:val="0"/>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La réserve pour les prises accessoires s’</w:t>
      </w:r>
      <w:r w:rsidR="002506D6" w:rsidRPr="004E13E9">
        <w:rPr>
          <w:rFonts w:eastAsia="MS Gothic" w:cs="Times New Roman"/>
          <w:color w:val="000000"/>
          <w:lang w:val="fr-FR" w:eastAsia="fr-FR" w:bidi="fr-FR"/>
        </w:rPr>
        <w:t>élèvera</w:t>
      </w:r>
      <w:r w:rsidRPr="004E13E9">
        <w:rPr>
          <w:rFonts w:eastAsia="MS Gothic" w:cs="Times New Roman"/>
          <w:color w:val="000000"/>
          <w:lang w:val="fr-FR" w:eastAsia="fr-FR" w:bidi="fr-FR"/>
        </w:rPr>
        <w:t xml:space="preserve"> à 5 t. Les éventuelles prises accessoires de thon rouge par d'autres navires de pêche islandais seront déclarées à la Commission internationale pour la conservation des thonidés de l'Atlantique (ICCAT).</w:t>
      </w:r>
    </w:p>
    <w:p w14:paraId="0A37E94B" w14:textId="77777777" w:rsidR="0062309A" w:rsidRPr="004E13E9" w:rsidRDefault="0062309A" w:rsidP="0062309A">
      <w:pPr>
        <w:widowControl w:val="0"/>
        <w:contextualSpacing/>
        <w:jc w:val="both"/>
        <w:rPr>
          <w:rFonts w:eastAsia="MS Gothic" w:cs="Times New Roman"/>
          <w:color w:val="000000"/>
          <w:lang w:val="fr-FR" w:eastAsia="fr-FR" w:bidi="fr-FR"/>
        </w:rPr>
      </w:pPr>
    </w:p>
    <w:p w14:paraId="1DFD9593" w14:textId="77777777" w:rsidR="0062309A" w:rsidRPr="004E13E9" w:rsidRDefault="0062309A" w:rsidP="0062309A">
      <w:pPr>
        <w:widowControl w:val="0"/>
        <w:contextualSpacing/>
        <w:jc w:val="both"/>
        <w:rPr>
          <w:rFonts w:eastAsia="Yu Mincho" w:cs="Times New Roman"/>
          <w:lang w:val="fr-FR" w:bidi="fr-FR"/>
        </w:rPr>
      </w:pPr>
      <w:r w:rsidRPr="004E13E9">
        <w:rPr>
          <w:rFonts w:eastAsia="Yu Mincho" w:cs="Times New Roman"/>
          <w:lang w:val="fr-FR" w:bidi="fr-FR"/>
        </w:rPr>
        <w:t xml:space="preserve">Conformément à la réglementation relative à la pêche au thon rouge, un maximum de trois palangriers islandais </w:t>
      </w:r>
      <w:proofErr w:type="gramStart"/>
      <w:r w:rsidRPr="004E13E9">
        <w:rPr>
          <w:rFonts w:eastAsia="Yu Mincho" w:cs="Times New Roman"/>
          <w:lang w:val="fr-FR" w:bidi="fr-FR"/>
        </w:rPr>
        <w:t>peut</w:t>
      </w:r>
      <w:proofErr w:type="gramEnd"/>
      <w:r w:rsidRPr="004E13E9">
        <w:rPr>
          <w:rFonts w:eastAsia="Yu Mincho" w:cs="Times New Roman"/>
          <w:lang w:val="fr-FR" w:bidi="fr-FR"/>
        </w:rPr>
        <w:t xml:space="preserve"> être autorisé à cibler le thon rouge en 2026. Chaque navire se verra attribuer un quota individuel, dans les limites du quota islandais, qui pourra être ajusté en fonction du nombre de navires de pêche autorisés. Conformément à la Recommandation 25-04 de l’ICCAT, l'Islande soumettra au Secrétariat de l’ICCAT, au plus tard 15 jours avant le début de la campagne de pêche, les informations pertinentes concernant les navires autorisés, ainsi que toute modification ultérieure du plan de pêche annuel.</w:t>
      </w:r>
    </w:p>
    <w:p w14:paraId="245FEC24" w14:textId="77777777" w:rsidR="0062309A" w:rsidRPr="004E13E9" w:rsidRDefault="0062309A" w:rsidP="0062309A">
      <w:pPr>
        <w:widowControl w:val="0"/>
        <w:contextualSpacing/>
        <w:jc w:val="both"/>
        <w:rPr>
          <w:rFonts w:eastAsia="MS Gothic" w:cs="Times New Roman"/>
          <w:color w:val="000000"/>
          <w:lang w:val="fr-FR" w:eastAsia="fr-FR" w:bidi="fr-FR"/>
        </w:rPr>
      </w:pPr>
    </w:p>
    <w:p w14:paraId="0EF2DC5A" w14:textId="77777777" w:rsidR="0062309A" w:rsidRPr="004E13E9" w:rsidRDefault="0062309A" w:rsidP="0062309A">
      <w:pPr>
        <w:widowControl w:val="0"/>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 xml:space="preserve">Les 5 t réservées aux prises accessoires par d'autres navires de pêche islandais seront ajustées pour couvrir toutes les captures, si nécessaire. </w:t>
      </w:r>
    </w:p>
    <w:p w14:paraId="15FC0FD0" w14:textId="77777777" w:rsidR="0062309A" w:rsidRPr="004E13E9" w:rsidRDefault="0062309A" w:rsidP="0062309A">
      <w:pPr>
        <w:widowControl w:val="0"/>
        <w:contextualSpacing/>
        <w:jc w:val="both"/>
        <w:rPr>
          <w:rFonts w:eastAsia="MS Gothic" w:cs="Times New Roman"/>
          <w:color w:val="000000"/>
          <w:lang w:val="fr-FR" w:eastAsia="fr-FR" w:bidi="fr-FR"/>
        </w:rPr>
      </w:pPr>
    </w:p>
    <w:p w14:paraId="01F74B00" w14:textId="77777777" w:rsidR="0062309A" w:rsidRPr="004E13E9" w:rsidRDefault="0062309A" w:rsidP="0062309A">
      <w:pPr>
        <w:widowControl w:val="0"/>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Tous les navires islandais sont équipés d'un système de surveillance des navires (VMS) et sont tenus d'émettre toutes les heures. Tous les navires de pêche sont tenus d'avoir des carnets de pêche électroniques et les débarquements sont contrôlés et enregistrés dans la base de données de la Direction islandaise des pêches (DF).</w:t>
      </w:r>
    </w:p>
    <w:p w14:paraId="0704E777" w14:textId="77777777" w:rsidR="0062309A" w:rsidRPr="004E13E9" w:rsidRDefault="0062309A" w:rsidP="0062309A">
      <w:pPr>
        <w:widowControl w:val="0"/>
        <w:contextualSpacing/>
        <w:jc w:val="both"/>
        <w:rPr>
          <w:rFonts w:eastAsia="MS Gothic" w:cs="Times New Roman"/>
          <w:b/>
          <w:color w:val="000000"/>
          <w:lang w:val="fr-FR" w:eastAsia="fr-FR" w:bidi="fr-FR"/>
        </w:rPr>
      </w:pPr>
    </w:p>
    <w:p w14:paraId="62307701" w14:textId="77777777" w:rsidR="0062309A" w:rsidRPr="004E13E9" w:rsidRDefault="0062309A" w:rsidP="0062309A">
      <w:pPr>
        <w:widowControl w:val="0"/>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Tous les navires de pêche islandais sont tenus d'enregistrer toutes les prises et les prises accessoires dans des journaux de bord électroniques.</w:t>
      </w:r>
    </w:p>
    <w:p w14:paraId="785249BA" w14:textId="77777777" w:rsidR="0062309A" w:rsidRPr="004E13E9" w:rsidRDefault="0062309A" w:rsidP="0062309A">
      <w:pPr>
        <w:widowControl w:val="0"/>
        <w:contextualSpacing/>
        <w:jc w:val="both"/>
        <w:rPr>
          <w:rFonts w:eastAsia="MS Gothic" w:cs="Times New Roman"/>
          <w:color w:val="000000"/>
          <w:lang w:val="fr-FR" w:eastAsia="fr-FR" w:bidi="fr-FR"/>
        </w:rPr>
      </w:pPr>
    </w:p>
    <w:p w14:paraId="07E35677" w14:textId="77777777" w:rsidR="0062309A" w:rsidRPr="004E13E9" w:rsidRDefault="0062309A" w:rsidP="0062309A">
      <w:pPr>
        <w:widowControl w:val="0"/>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Le système de gestion des pêcheries islandaises est fondé sur les quotas individuels transférables (ITQ) et tous les navires de pêche ont besoin d'un permis de pêche général et d'un quota suffisant pour la capture escomptée avant de quitter le port pour toute activité de pêche.</w:t>
      </w:r>
    </w:p>
    <w:p w14:paraId="3778CA4E" w14:textId="77777777" w:rsidR="0062309A" w:rsidRPr="004E13E9" w:rsidRDefault="0062309A" w:rsidP="0062309A">
      <w:pPr>
        <w:widowControl w:val="0"/>
        <w:contextualSpacing/>
        <w:jc w:val="both"/>
        <w:rPr>
          <w:rFonts w:eastAsia="MS Gothic" w:cs="Times New Roman"/>
          <w:color w:val="000000"/>
          <w:lang w:val="fr-FR" w:eastAsia="fr-FR" w:bidi="fr-FR"/>
        </w:rPr>
      </w:pPr>
    </w:p>
    <w:p w14:paraId="2FF5D938" w14:textId="6F0629DD" w:rsidR="0062309A" w:rsidRPr="004E13E9" w:rsidRDefault="0062309A" w:rsidP="0062309A">
      <w:pPr>
        <w:widowControl w:val="0"/>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 xml:space="preserve">L'Islande gère tous les ans plus d'un million de tonnes de pêcheries commerciales avec des ITQ ainsi que les carnets de pêche électronique et il est obligatoire de peser toutes les captures au débarquement. La DF conserve des registres de tout le quota alloué et de tous les débarquements ; la consommation du quota par chaque navire est mise à jour après le débarquement dans un registre </w:t>
      </w:r>
      <w:r w:rsidR="00551CF5" w:rsidRPr="004E13E9">
        <w:rPr>
          <w:rFonts w:eastAsia="MS Gothic" w:cs="Times New Roman"/>
          <w:color w:val="000000"/>
          <w:lang w:val="fr-FR" w:eastAsia="fr-FR" w:bidi="fr-FR"/>
        </w:rPr>
        <w:t>des débarquements</w:t>
      </w:r>
      <w:r w:rsidRPr="004E13E9">
        <w:rPr>
          <w:rFonts w:eastAsia="MS Gothic" w:cs="Times New Roman"/>
          <w:color w:val="000000"/>
          <w:lang w:val="fr-FR" w:eastAsia="fr-FR" w:bidi="fr-FR"/>
        </w:rPr>
        <w:t xml:space="preserve"> en ligne auprès de la DF, qui est accessible au public à l'adresse </w:t>
      </w:r>
      <w:hyperlink r:id="rId105" w:history="1">
        <w:r w:rsidRPr="004E13E9">
          <w:rPr>
            <w:rFonts w:eastAsia="Yu Mincho" w:cs="Times New Roman"/>
            <w:color w:val="0563C1"/>
            <w:lang w:val="fr-FR"/>
          </w:rPr>
          <w:t>www.island.is/fiskistofa</w:t>
        </w:r>
      </w:hyperlink>
      <w:r w:rsidRPr="004E13E9">
        <w:rPr>
          <w:rFonts w:eastAsia="Yu Mincho" w:cs="Times New Roman"/>
          <w:lang w:val="fr-FR"/>
        </w:rPr>
        <w:t>.</w:t>
      </w:r>
    </w:p>
    <w:p w14:paraId="059B0CBE" w14:textId="77777777" w:rsidR="0062309A" w:rsidRPr="004E13E9" w:rsidRDefault="0062309A" w:rsidP="0062309A">
      <w:pPr>
        <w:widowControl w:val="0"/>
        <w:contextualSpacing/>
        <w:jc w:val="both"/>
        <w:rPr>
          <w:rFonts w:eastAsia="MS Gothic" w:cs="Times New Roman"/>
          <w:color w:val="000000"/>
          <w:lang w:val="fr-FR" w:eastAsia="fr-FR" w:bidi="fr-FR"/>
        </w:rPr>
      </w:pPr>
    </w:p>
    <w:p w14:paraId="28448EDF" w14:textId="77777777" w:rsidR="0062309A" w:rsidRPr="004E13E9" w:rsidRDefault="0062309A" w:rsidP="0062309A">
      <w:pPr>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Les rejets d'espèces commerciales ne sont pas autorisés. Les thons rouges sous-taille doivent être relâchés vivants ou débarqués et enregistrés s'ils sont morts lorsqu'ils sont embarqués à bord. Aucune capture de spécimen de thon rouge de moins de 30 kg n'a été enregistrée par les navires islandais, que ce soit de manière ciblée ou en tant que prises accessoires.</w:t>
      </w:r>
    </w:p>
    <w:p w14:paraId="300F969E" w14:textId="77777777" w:rsidR="002506D6" w:rsidRPr="004E13E9" w:rsidRDefault="002506D6" w:rsidP="0062309A">
      <w:pPr>
        <w:contextualSpacing/>
        <w:jc w:val="both"/>
        <w:rPr>
          <w:rFonts w:eastAsia="MS Gothic" w:cs="Times New Roman"/>
          <w:color w:val="000000"/>
          <w:lang w:val="fr-FR" w:eastAsia="fr-FR" w:bidi="fr-FR"/>
        </w:rPr>
      </w:pPr>
    </w:p>
    <w:p w14:paraId="014B6216" w14:textId="1C6028F2" w:rsidR="0062309A" w:rsidRPr="004E13E9" w:rsidRDefault="0062309A" w:rsidP="0062309A">
      <w:pPr>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Le quota de thon rouge de l'Islande sera ajusté si nécessaire entre les prises accessoires et les captures palangrières. Cet ajustement sera géré par la DF comme toutes les autres captures commerciales en Islande. Tous les ajustements seront déclarés à l’ICCAT.</w:t>
      </w:r>
    </w:p>
    <w:p w14:paraId="43FE8756" w14:textId="77777777" w:rsidR="0062309A" w:rsidRPr="004E13E9" w:rsidRDefault="0062309A" w:rsidP="0062309A">
      <w:pPr>
        <w:contextualSpacing/>
        <w:jc w:val="both"/>
        <w:rPr>
          <w:rFonts w:eastAsia="MS Gothic" w:cs="Times New Roman"/>
          <w:color w:val="000000"/>
          <w:lang w:val="fr-FR" w:eastAsia="fr-FR" w:bidi="fr-FR"/>
        </w:rPr>
      </w:pPr>
    </w:p>
    <w:p w14:paraId="169AC191" w14:textId="77777777" w:rsidR="0062309A" w:rsidRPr="004E13E9" w:rsidRDefault="0062309A" w:rsidP="0062309A">
      <w:pPr>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Des inspecteurs de la DF islandaise devront se trouver à bord des palangriers ciblant le thon rouge pendant au moins 20 % des opérations de pêche. Les navires doivent avoir l'autorisation écrite de la DF avant de quitter le port sans inspecteur.</w:t>
      </w:r>
    </w:p>
    <w:p w14:paraId="4A009604" w14:textId="77777777" w:rsidR="0062309A" w:rsidRPr="004E13E9" w:rsidRDefault="0062309A" w:rsidP="0062309A">
      <w:pPr>
        <w:contextualSpacing/>
        <w:jc w:val="both"/>
        <w:rPr>
          <w:rFonts w:eastAsia="MS Gothic" w:cs="Times New Roman"/>
          <w:color w:val="000000"/>
          <w:lang w:val="fr-FR" w:eastAsia="fr-FR" w:bidi="fr-FR"/>
        </w:rPr>
      </w:pPr>
    </w:p>
    <w:p w14:paraId="0BECA080" w14:textId="77777777" w:rsidR="002506D6" w:rsidRPr="004E13E9" w:rsidRDefault="002506D6">
      <w:pPr>
        <w:rPr>
          <w:rFonts w:eastAsia="MS Gothic" w:cs="Times New Roman"/>
          <w:color w:val="000000"/>
          <w:lang w:val="fr-FR" w:eastAsia="fr-FR" w:bidi="fr-FR"/>
        </w:rPr>
      </w:pPr>
      <w:r w:rsidRPr="004E13E9">
        <w:rPr>
          <w:rFonts w:eastAsia="MS Gothic" w:cs="Times New Roman"/>
          <w:color w:val="000000"/>
          <w:lang w:val="fr-FR" w:eastAsia="fr-FR" w:bidi="fr-FR"/>
        </w:rPr>
        <w:br w:type="page"/>
      </w:r>
    </w:p>
    <w:p w14:paraId="1387F617" w14:textId="611208E8" w:rsidR="0062309A" w:rsidRPr="004E13E9" w:rsidRDefault="0062309A" w:rsidP="0062309A">
      <w:pPr>
        <w:widowControl w:val="0"/>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L'Institut de recherche marine et en eaux douces (MFRI) en Islande informera la DF sur les méthodes pertinentes de formation et d'échantillonnage pour les inspecteurs aux fins de la collecte de données biologiques. Des données biologiques seront également recueillies lors des débarquements par la DF et le MFRI.</w:t>
      </w:r>
    </w:p>
    <w:p w14:paraId="61F893A4" w14:textId="77777777" w:rsidR="0062309A" w:rsidRPr="004E13E9" w:rsidRDefault="0062309A" w:rsidP="0062309A">
      <w:pPr>
        <w:widowControl w:val="0"/>
        <w:contextualSpacing/>
        <w:jc w:val="both"/>
        <w:rPr>
          <w:rFonts w:eastAsia="MS Gothic" w:cs="Times New Roman"/>
          <w:color w:val="000000"/>
          <w:lang w:val="fr-FR" w:eastAsia="fr-FR" w:bidi="fr-FR"/>
        </w:rPr>
      </w:pPr>
    </w:p>
    <w:p w14:paraId="1844D8C4" w14:textId="77777777" w:rsidR="0062309A" w:rsidRPr="004E13E9" w:rsidRDefault="0062309A" w:rsidP="0062309A">
      <w:pPr>
        <w:widowControl w:val="0"/>
        <w:contextualSpacing/>
        <w:jc w:val="both"/>
        <w:rPr>
          <w:rFonts w:eastAsia="Yu Mincho" w:cs="Times New Roman"/>
          <w:lang w:val="fr-FR" w:bidi="fr-FR"/>
        </w:rPr>
      </w:pPr>
      <w:r w:rsidRPr="004E13E9">
        <w:rPr>
          <w:rFonts w:eastAsia="Yu Mincho" w:cs="Times New Roman"/>
          <w:lang w:val="fr-FR" w:bidi="fr-FR"/>
        </w:rPr>
        <w:t>La campagne de pêche à la palangre débutera le 1er août et se terminera le 31 décembre. La zone de pêche se situe au Sud de l'Islande, dans l'Atlantique Nord-Est, à l'Ouest de 10°O et au Nord de 42°N. Les navires doivent être titulaires d'un permis général de pêche et doivent disposer d'un quota suffisant d'autres espèces à l'intérieur de la zone économique exclusive (ZEE) islandaise afin de permettre les prises accessoires d'autres espèces. Lorsque le navire souhaitera utiliser son quota de thon rouge, il devra notifier son intention à la DF islandaise et sera dès lors soumis au régime de gestion de l’ICCAT. Dès que les quotas individuels auront été pêchés, le permis de pêche de thon rouge expirera. Les autorités islandaises fermeront les pêcheries lorsque le quota sera épuisé, ou les navires notifieront la fin des opérations de pêche en 2026.</w:t>
      </w:r>
    </w:p>
    <w:p w14:paraId="243C970B" w14:textId="77777777" w:rsidR="0062309A" w:rsidRPr="004E13E9" w:rsidRDefault="0062309A" w:rsidP="0062309A">
      <w:pPr>
        <w:widowControl w:val="0"/>
        <w:contextualSpacing/>
        <w:jc w:val="both"/>
        <w:rPr>
          <w:rFonts w:eastAsia="MS Gothic" w:cs="Times New Roman"/>
          <w:color w:val="000000"/>
          <w:lang w:val="fr-FR" w:eastAsia="fr-FR" w:bidi="fr-FR"/>
        </w:rPr>
      </w:pPr>
    </w:p>
    <w:p w14:paraId="437B518B" w14:textId="77777777" w:rsidR="0062309A" w:rsidRPr="004E13E9" w:rsidRDefault="0062309A" w:rsidP="0062309A">
      <w:pPr>
        <w:widowControl w:val="0"/>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 xml:space="preserve">En 2015, la DF islandaise a mis en œuvre le système eBCD et envisage de délivrer en </w:t>
      </w:r>
      <w:r w:rsidRPr="004E13E9">
        <w:rPr>
          <w:rFonts w:eastAsia="Yu Mincho" w:cs="Times New Roman"/>
          <w:lang w:val="fr-FR" w:bidi="fr-FR"/>
        </w:rPr>
        <w:t xml:space="preserve">2026 </w:t>
      </w:r>
      <w:r w:rsidRPr="004E13E9">
        <w:rPr>
          <w:rFonts w:eastAsia="MS Gothic" w:cs="Times New Roman"/>
          <w:color w:val="000000"/>
          <w:lang w:val="fr-FR" w:eastAsia="fr-FR" w:bidi="fr-FR"/>
        </w:rPr>
        <w:t>tous les certificats par voie électronique.</w:t>
      </w:r>
    </w:p>
    <w:p w14:paraId="6CF42573" w14:textId="77777777" w:rsidR="0062309A" w:rsidRPr="004E13E9" w:rsidRDefault="0062309A" w:rsidP="0062309A">
      <w:pPr>
        <w:widowControl w:val="0"/>
        <w:jc w:val="both"/>
        <w:rPr>
          <w:rFonts w:eastAsia="MS Gothic" w:cs="Times New Roman"/>
          <w:b/>
          <w:bCs/>
          <w:i/>
          <w:iCs/>
          <w:color w:val="000000"/>
          <w:lang w:val="fr-FR" w:eastAsia="fr-FR" w:bidi="fr-FR"/>
        </w:rPr>
      </w:pPr>
    </w:p>
    <w:p w14:paraId="6D4D9274" w14:textId="77777777" w:rsidR="0062309A" w:rsidRPr="004E13E9" w:rsidRDefault="0062309A" w:rsidP="0062309A">
      <w:pPr>
        <w:widowControl w:val="0"/>
        <w:jc w:val="both"/>
        <w:rPr>
          <w:rFonts w:eastAsia="MS Gothic" w:cs="Times New Roman"/>
          <w:b/>
          <w:bCs/>
          <w:i/>
          <w:iCs/>
          <w:lang w:val="fr-FR" w:eastAsia="fr-FR" w:bidi="fr-FR"/>
        </w:rPr>
      </w:pPr>
      <w:r w:rsidRPr="004E13E9">
        <w:rPr>
          <w:rFonts w:eastAsia="MS Gothic" w:cs="Times New Roman"/>
          <w:b/>
          <w:bCs/>
          <w:i/>
          <w:iCs/>
          <w:color w:val="000000"/>
          <w:lang w:val="fr-FR" w:eastAsia="fr-FR" w:bidi="fr-FR"/>
        </w:rPr>
        <w:t xml:space="preserve">1b) </w:t>
      </w:r>
      <w:r w:rsidRPr="004E13E9">
        <w:rPr>
          <w:rFonts w:eastAsia="MS Gothic" w:cs="Times New Roman"/>
          <w:b/>
          <w:bCs/>
          <w:i/>
          <w:iCs/>
          <w:lang w:val="fr-FR" w:eastAsia="fr-FR" w:bidi="fr-FR"/>
        </w:rPr>
        <w:t>Report (paragraphe 6)</w:t>
      </w:r>
    </w:p>
    <w:p w14:paraId="53F858B6" w14:textId="77777777" w:rsidR="0062309A" w:rsidRPr="004E13E9" w:rsidRDefault="0062309A" w:rsidP="0062309A">
      <w:pPr>
        <w:widowControl w:val="0"/>
        <w:contextualSpacing/>
        <w:jc w:val="both"/>
        <w:rPr>
          <w:rFonts w:eastAsia="MS Gothic" w:cs="Times New Roman"/>
          <w:color w:val="000000"/>
          <w:lang w:val="fr-FR" w:eastAsia="fr-FR" w:bidi="fr-FR"/>
        </w:rPr>
      </w:pPr>
    </w:p>
    <w:p w14:paraId="79701F99" w14:textId="77777777" w:rsidR="0062309A" w:rsidRPr="004E13E9" w:rsidRDefault="0062309A" w:rsidP="0062309A">
      <w:pPr>
        <w:widowControl w:val="0"/>
        <w:contextualSpacing/>
        <w:jc w:val="both"/>
        <w:rPr>
          <w:rFonts w:eastAsia="MS Gothic" w:cs="Times New Roman"/>
          <w:b/>
          <w:bCs/>
          <w:i/>
          <w:iCs/>
          <w:color w:val="000000"/>
          <w:lang w:val="fr-FR" w:eastAsia="fr-FR" w:bidi="fr-FR"/>
        </w:rPr>
      </w:pPr>
      <w:r w:rsidRPr="004E13E9">
        <w:rPr>
          <w:rFonts w:eastAsia="Yu Mincho" w:cs="Times New Roman"/>
          <w:lang w:val="fr-FR"/>
        </w:rPr>
        <w:t>L'Islande demande un transfert de 22,86 tonnes de 2025 à 2026.</w:t>
      </w:r>
    </w:p>
    <w:p w14:paraId="5D79167C" w14:textId="77777777" w:rsidR="0062309A" w:rsidRPr="004E13E9" w:rsidRDefault="0062309A" w:rsidP="0062309A">
      <w:pPr>
        <w:widowControl w:val="0"/>
        <w:contextualSpacing/>
        <w:jc w:val="both"/>
        <w:rPr>
          <w:rFonts w:eastAsia="MS Gothic" w:cs="Times New Roman"/>
          <w:b/>
          <w:bCs/>
          <w:i/>
          <w:iCs/>
          <w:color w:val="000000"/>
          <w:lang w:val="fr-FR" w:eastAsia="fr-FR" w:bidi="fr-FR"/>
        </w:rPr>
      </w:pPr>
    </w:p>
    <w:p w14:paraId="09606E17" w14:textId="77777777" w:rsidR="0062309A" w:rsidRPr="004E13E9" w:rsidRDefault="0062309A" w:rsidP="0062309A">
      <w:pPr>
        <w:widowControl w:val="0"/>
        <w:contextualSpacing/>
        <w:jc w:val="both"/>
        <w:rPr>
          <w:rFonts w:eastAsia="MS Gothic" w:cs="Times New Roman"/>
          <w:b/>
          <w:bCs/>
          <w:i/>
          <w:iCs/>
          <w:color w:val="000000"/>
          <w:lang w:val="fr-FR" w:eastAsia="fr-FR" w:bidi="fr-FR"/>
        </w:rPr>
      </w:pPr>
      <w:r w:rsidRPr="004E13E9">
        <w:rPr>
          <w:rFonts w:eastAsia="MS Gothic" w:cs="Times New Roman"/>
          <w:b/>
          <w:bCs/>
          <w:i/>
          <w:iCs/>
          <w:color w:val="000000"/>
          <w:lang w:val="fr-FR" w:eastAsia="fr-FR" w:bidi="fr-FR"/>
        </w:rPr>
        <w:t>1c) Destination de la capture</w:t>
      </w:r>
    </w:p>
    <w:p w14:paraId="536C1011" w14:textId="77777777" w:rsidR="0062309A" w:rsidRPr="004E13E9" w:rsidRDefault="0062309A" w:rsidP="0062309A">
      <w:pPr>
        <w:widowControl w:val="0"/>
        <w:jc w:val="both"/>
        <w:rPr>
          <w:rFonts w:eastAsia="MS Gothic" w:cs="Times New Roman"/>
          <w:b/>
          <w:bCs/>
          <w:i/>
          <w:iCs/>
          <w:color w:val="000000"/>
          <w:lang w:val="fr-FR" w:eastAsia="fr-FR" w:bidi="fr-FR"/>
        </w:rPr>
      </w:pPr>
    </w:p>
    <w:p w14:paraId="73B1405A" w14:textId="77777777" w:rsidR="0062309A" w:rsidRPr="004E13E9" w:rsidRDefault="0062309A" w:rsidP="0062309A">
      <w:pPr>
        <w:widowControl w:val="0"/>
        <w:jc w:val="both"/>
        <w:rPr>
          <w:rFonts w:eastAsia="MS Gothic" w:cs="Times New Roman"/>
          <w:color w:val="000000"/>
          <w:lang w:val="fr-FR" w:eastAsia="fr-FR" w:bidi="fr-FR"/>
        </w:rPr>
      </w:pPr>
      <w:r w:rsidRPr="004E13E9">
        <w:rPr>
          <w:rFonts w:eastAsia="MS Gothic" w:cs="Times New Roman"/>
          <w:color w:val="000000"/>
          <w:lang w:val="fr-FR" w:eastAsia="fr-FR" w:bidi="fr-FR"/>
        </w:rPr>
        <w:t>La destination de la capture sera uniquement le débarquement.</w:t>
      </w:r>
    </w:p>
    <w:p w14:paraId="71FEB746" w14:textId="77777777" w:rsidR="0062309A" w:rsidRPr="004E13E9" w:rsidRDefault="0062309A" w:rsidP="0062309A">
      <w:pPr>
        <w:widowControl w:val="0"/>
        <w:jc w:val="both"/>
        <w:rPr>
          <w:rFonts w:eastAsia="MS Gothic" w:cs="Times New Roman"/>
          <w:b/>
          <w:bCs/>
          <w:i/>
          <w:iCs/>
          <w:color w:val="000000"/>
          <w:lang w:val="fr-FR" w:eastAsia="fr-FR" w:bidi="fr-FR"/>
        </w:rPr>
      </w:pPr>
    </w:p>
    <w:p w14:paraId="53C9FEED" w14:textId="77777777" w:rsidR="0062309A" w:rsidRPr="004E13E9" w:rsidRDefault="0062309A" w:rsidP="0062309A">
      <w:pPr>
        <w:widowControl w:val="0"/>
        <w:jc w:val="both"/>
        <w:rPr>
          <w:rFonts w:eastAsia="MS Gothic" w:cs="Times New Roman"/>
          <w:b/>
          <w:bCs/>
          <w:i/>
          <w:iCs/>
          <w:color w:val="000000"/>
          <w:lang w:val="fr-FR" w:eastAsia="fr-FR" w:bidi="fr-FR"/>
        </w:rPr>
      </w:pPr>
      <w:r w:rsidRPr="004E13E9">
        <w:rPr>
          <w:rFonts w:eastAsia="MS Gothic" w:cs="Times New Roman"/>
          <w:b/>
          <w:bCs/>
          <w:i/>
          <w:iCs/>
          <w:color w:val="000000"/>
          <w:lang w:val="fr-FR" w:eastAsia="fr-FR" w:bidi="fr-FR"/>
        </w:rPr>
        <w:t>1d)</w:t>
      </w:r>
    </w:p>
    <w:tbl>
      <w:tblPr>
        <w:tblStyle w:val="TableGrid9"/>
        <w:tblW w:w="0" w:type="auto"/>
        <w:tblLook w:val="04A0" w:firstRow="1" w:lastRow="0" w:firstColumn="1" w:lastColumn="0" w:noHBand="0" w:noVBand="1"/>
      </w:tblPr>
      <w:tblGrid>
        <w:gridCol w:w="453"/>
        <w:gridCol w:w="2412"/>
        <w:gridCol w:w="3327"/>
        <w:gridCol w:w="2256"/>
        <w:gridCol w:w="612"/>
      </w:tblGrid>
      <w:tr w:rsidR="0062309A" w:rsidRPr="004E13E9" w14:paraId="6C750E63" w14:textId="77777777" w:rsidTr="002506D6">
        <w:tc>
          <w:tcPr>
            <w:tcW w:w="453" w:type="dxa"/>
          </w:tcPr>
          <w:p w14:paraId="0745A5BD" w14:textId="77777777" w:rsidR="0062309A" w:rsidRPr="004E13E9" w:rsidRDefault="0062309A" w:rsidP="0062309A">
            <w:pPr>
              <w:widowControl w:val="0"/>
              <w:rPr>
                <w:rFonts w:ascii="Cambria" w:hAnsi="Cambria"/>
                <w:sz w:val="20"/>
                <w:szCs w:val="20"/>
              </w:rPr>
            </w:pPr>
          </w:p>
        </w:tc>
        <w:tc>
          <w:tcPr>
            <w:tcW w:w="2422" w:type="dxa"/>
            <w:vAlign w:val="center"/>
          </w:tcPr>
          <w:p w14:paraId="15F3FCC2" w14:textId="77777777" w:rsidR="0062309A" w:rsidRPr="004E13E9" w:rsidRDefault="0062309A" w:rsidP="0062309A">
            <w:pPr>
              <w:widowControl w:val="0"/>
              <w:jc w:val="center"/>
              <w:rPr>
                <w:rFonts w:ascii="Cambria" w:hAnsi="Cambria"/>
                <w:i/>
                <w:sz w:val="20"/>
                <w:szCs w:val="20"/>
              </w:rPr>
            </w:pPr>
            <w:r w:rsidRPr="004E13E9">
              <w:rPr>
                <w:rFonts w:ascii="Cambria" w:hAnsi="Cambria"/>
                <w:i/>
                <w:sz w:val="20"/>
                <w:szCs w:val="20"/>
              </w:rPr>
              <w:t>Exigence de l’ICCAT</w:t>
            </w:r>
          </w:p>
          <w:p w14:paraId="4C3461B0" w14:textId="77777777" w:rsidR="0062309A" w:rsidRPr="004E13E9" w:rsidRDefault="0062309A" w:rsidP="0062309A">
            <w:pPr>
              <w:widowControl w:val="0"/>
              <w:jc w:val="center"/>
              <w:rPr>
                <w:rFonts w:ascii="Cambria" w:hAnsi="Cambria"/>
                <w:i/>
                <w:sz w:val="20"/>
                <w:szCs w:val="20"/>
              </w:rPr>
            </w:pPr>
            <w:r w:rsidRPr="004E13E9">
              <w:rPr>
                <w:rFonts w:ascii="Cambria" w:hAnsi="Cambria"/>
                <w:i/>
                <w:color w:val="auto"/>
                <w:sz w:val="20"/>
                <w:szCs w:val="20"/>
              </w:rPr>
              <w:t xml:space="preserve">(en vertu de la </w:t>
            </w:r>
            <w:hyperlink r:id="rId106" w:history="1">
              <w:r w:rsidRPr="004E13E9">
                <w:rPr>
                  <w:rFonts w:ascii="Cambria" w:hAnsi="Cambria"/>
                  <w:i/>
                  <w:color w:val="0563C1"/>
                  <w:sz w:val="20"/>
                  <w:szCs w:val="20"/>
                </w:rPr>
                <w:t>Rec. 25-04</w:t>
              </w:r>
            </w:hyperlink>
            <w:r w:rsidRPr="004E13E9">
              <w:rPr>
                <w:rFonts w:ascii="Cambria" w:hAnsi="Cambria"/>
                <w:i/>
                <w:color w:val="auto"/>
                <w:sz w:val="20"/>
                <w:szCs w:val="20"/>
              </w:rPr>
              <w:t>)</w:t>
            </w:r>
          </w:p>
        </w:tc>
        <w:tc>
          <w:tcPr>
            <w:tcW w:w="3357" w:type="dxa"/>
          </w:tcPr>
          <w:p w14:paraId="10947428" w14:textId="77777777" w:rsidR="0062309A" w:rsidRPr="004E13E9" w:rsidRDefault="0062309A" w:rsidP="0062309A">
            <w:pPr>
              <w:widowControl w:val="0"/>
              <w:jc w:val="both"/>
              <w:rPr>
                <w:rFonts w:ascii="Cambria" w:hAnsi="Cambria"/>
                <w:i/>
                <w:sz w:val="20"/>
                <w:szCs w:val="20"/>
              </w:rPr>
            </w:pPr>
            <w:r w:rsidRPr="004E13E9">
              <w:rPr>
                <w:rFonts w:ascii="Cambria" w:hAnsi="Cambria"/>
                <w:i/>
                <w:color w:val="auto"/>
                <w:sz w:val="20"/>
                <w:szCs w:val="20"/>
              </w:rPr>
              <w:t>Explication des actions prises par la CPC à des fins de mise en œuvre</w:t>
            </w:r>
          </w:p>
        </w:tc>
        <w:tc>
          <w:tcPr>
            <w:tcW w:w="2268" w:type="dxa"/>
          </w:tcPr>
          <w:p w14:paraId="2A38E67E" w14:textId="77777777" w:rsidR="0062309A" w:rsidRPr="004E13E9" w:rsidRDefault="0062309A" w:rsidP="0062309A">
            <w:pPr>
              <w:widowControl w:val="0"/>
              <w:jc w:val="both"/>
              <w:rPr>
                <w:rFonts w:ascii="Cambria" w:hAnsi="Cambria"/>
                <w:i/>
                <w:sz w:val="20"/>
                <w:szCs w:val="20"/>
              </w:rPr>
            </w:pPr>
            <w:r w:rsidRPr="004E13E9">
              <w:rPr>
                <w:rFonts w:ascii="Cambria" w:hAnsi="Cambria"/>
                <w:i/>
                <w:color w:val="auto"/>
                <w:sz w:val="20"/>
                <w:szCs w:val="20"/>
              </w:rPr>
              <w:t>Lois ou réglementations nationales pertinentes (le cas échéant)</w:t>
            </w:r>
          </w:p>
        </w:tc>
        <w:tc>
          <w:tcPr>
            <w:tcW w:w="560" w:type="dxa"/>
          </w:tcPr>
          <w:p w14:paraId="63EF3FF2" w14:textId="77777777" w:rsidR="0062309A" w:rsidRPr="004E13E9" w:rsidRDefault="0062309A" w:rsidP="0062309A">
            <w:pPr>
              <w:widowControl w:val="0"/>
              <w:jc w:val="center"/>
              <w:rPr>
                <w:rFonts w:ascii="Cambria" w:hAnsi="Cambria"/>
                <w:i/>
                <w:sz w:val="20"/>
                <w:szCs w:val="20"/>
              </w:rPr>
            </w:pPr>
            <w:r w:rsidRPr="004E13E9">
              <w:rPr>
                <w:rFonts w:ascii="Cambria" w:hAnsi="Cambria"/>
                <w:i/>
                <w:sz w:val="20"/>
                <w:szCs w:val="20"/>
              </w:rPr>
              <w:t>Note</w:t>
            </w:r>
          </w:p>
        </w:tc>
      </w:tr>
      <w:tr w:rsidR="0062309A" w:rsidRPr="000926DE" w14:paraId="04E28735" w14:textId="77777777" w:rsidTr="002506D6">
        <w:tc>
          <w:tcPr>
            <w:tcW w:w="453" w:type="dxa"/>
          </w:tcPr>
          <w:p w14:paraId="61B5E63F" w14:textId="77777777" w:rsidR="0062309A" w:rsidRPr="004E13E9" w:rsidRDefault="0062309A" w:rsidP="0062309A">
            <w:pPr>
              <w:widowControl w:val="0"/>
              <w:rPr>
                <w:rFonts w:ascii="Cambria" w:hAnsi="Cambria"/>
                <w:b/>
                <w:sz w:val="20"/>
                <w:szCs w:val="20"/>
              </w:rPr>
            </w:pPr>
            <w:r w:rsidRPr="004E13E9">
              <w:rPr>
                <w:rFonts w:ascii="Cambria" w:hAnsi="Cambria"/>
                <w:b/>
                <w:sz w:val="20"/>
                <w:szCs w:val="20"/>
              </w:rPr>
              <w:t>1</w:t>
            </w:r>
          </w:p>
        </w:tc>
        <w:tc>
          <w:tcPr>
            <w:tcW w:w="2422" w:type="dxa"/>
          </w:tcPr>
          <w:p w14:paraId="1A4EE983" w14:textId="77777777" w:rsidR="0062309A" w:rsidRPr="004E13E9" w:rsidRDefault="0062309A" w:rsidP="0062309A">
            <w:pPr>
              <w:widowControl w:val="0"/>
              <w:rPr>
                <w:rFonts w:ascii="Cambria" w:hAnsi="Cambria"/>
                <w:b/>
                <w:sz w:val="20"/>
                <w:szCs w:val="20"/>
              </w:rPr>
            </w:pPr>
            <w:r w:rsidRPr="004E13E9">
              <w:rPr>
                <w:rFonts w:ascii="Cambria" w:hAnsi="Cambria"/>
                <w:b/>
                <w:color w:val="auto"/>
                <w:sz w:val="20"/>
                <w:szCs w:val="20"/>
              </w:rPr>
              <w:t>Enregistrement et déclaration de la capture (paragraphes 74-88)</w:t>
            </w:r>
          </w:p>
        </w:tc>
        <w:tc>
          <w:tcPr>
            <w:tcW w:w="3357" w:type="dxa"/>
          </w:tcPr>
          <w:p w14:paraId="60610C46" w14:textId="77777777" w:rsidR="0062309A" w:rsidRPr="004E13E9" w:rsidRDefault="0062309A" w:rsidP="0062309A">
            <w:pPr>
              <w:widowControl w:val="0"/>
              <w:jc w:val="both"/>
              <w:rPr>
                <w:rFonts w:ascii="Cambria" w:hAnsi="Cambria"/>
                <w:sz w:val="20"/>
                <w:szCs w:val="20"/>
              </w:rPr>
            </w:pPr>
            <w:r w:rsidRPr="004E13E9">
              <w:rPr>
                <w:rFonts w:ascii="Cambria" w:hAnsi="Cambria"/>
                <w:sz w:val="20"/>
                <w:szCs w:val="20"/>
              </w:rPr>
              <w:t>Tous les navires de pêche islandais ont des carnets de pêche électroniques, tous les débarquements sont saisis dans la base de données en ligne de la DF. Toutes les captures doivent être enregistrées dans le journal de bord. Les rejets morts d'espèces commerciales ne sont pas autorisés. Toutes les captures sont décomptées du quota.</w:t>
            </w:r>
          </w:p>
        </w:tc>
        <w:tc>
          <w:tcPr>
            <w:tcW w:w="2268" w:type="dxa"/>
          </w:tcPr>
          <w:p w14:paraId="0620B06D" w14:textId="77777777" w:rsidR="0062309A" w:rsidRPr="004E13E9" w:rsidRDefault="0062309A" w:rsidP="0062309A">
            <w:pPr>
              <w:widowControl w:val="0"/>
              <w:jc w:val="both"/>
              <w:rPr>
                <w:rFonts w:ascii="Cambria" w:hAnsi="Cambria"/>
                <w:sz w:val="20"/>
                <w:szCs w:val="20"/>
              </w:rPr>
            </w:pPr>
            <w:r w:rsidRPr="004E13E9">
              <w:rPr>
                <w:rFonts w:ascii="Cambria" w:hAnsi="Cambria"/>
                <w:sz w:val="20"/>
                <w:szCs w:val="20"/>
              </w:rPr>
              <w:t>Loi sur les pêches de l'Islande et Règlementation sur les pêcheries de thon rouge.</w:t>
            </w:r>
          </w:p>
        </w:tc>
        <w:tc>
          <w:tcPr>
            <w:tcW w:w="560" w:type="dxa"/>
          </w:tcPr>
          <w:p w14:paraId="2F1CF4A7" w14:textId="77777777" w:rsidR="0062309A" w:rsidRPr="004E13E9" w:rsidRDefault="0062309A" w:rsidP="0062309A">
            <w:pPr>
              <w:widowControl w:val="0"/>
              <w:rPr>
                <w:rFonts w:ascii="Cambria" w:hAnsi="Cambria"/>
                <w:sz w:val="20"/>
                <w:szCs w:val="20"/>
              </w:rPr>
            </w:pPr>
          </w:p>
        </w:tc>
      </w:tr>
      <w:tr w:rsidR="0062309A" w:rsidRPr="000926DE" w14:paraId="52B6921A" w14:textId="77777777" w:rsidTr="002506D6">
        <w:tc>
          <w:tcPr>
            <w:tcW w:w="453" w:type="dxa"/>
          </w:tcPr>
          <w:p w14:paraId="0169BC3F" w14:textId="77777777" w:rsidR="0062309A" w:rsidRPr="004E13E9" w:rsidRDefault="0062309A" w:rsidP="0062309A">
            <w:pPr>
              <w:widowControl w:val="0"/>
              <w:rPr>
                <w:rFonts w:ascii="Cambria" w:hAnsi="Cambria"/>
                <w:b/>
                <w:sz w:val="20"/>
                <w:szCs w:val="20"/>
              </w:rPr>
            </w:pPr>
            <w:r w:rsidRPr="004E13E9">
              <w:rPr>
                <w:rFonts w:ascii="Cambria" w:hAnsi="Cambria"/>
                <w:b/>
                <w:sz w:val="20"/>
                <w:szCs w:val="20"/>
              </w:rPr>
              <w:t>2</w:t>
            </w:r>
          </w:p>
        </w:tc>
        <w:tc>
          <w:tcPr>
            <w:tcW w:w="2422" w:type="dxa"/>
          </w:tcPr>
          <w:p w14:paraId="50677502" w14:textId="77777777" w:rsidR="0062309A" w:rsidRPr="004E13E9" w:rsidRDefault="0062309A" w:rsidP="0062309A">
            <w:pPr>
              <w:widowControl w:val="0"/>
              <w:rPr>
                <w:rFonts w:ascii="Cambria" w:hAnsi="Cambria"/>
                <w:b/>
                <w:sz w:val="20"/>
                <w:szCs w:val="20"/>
              </w:rPr>
            </w:pPr>
            <w:r w:rsidRPr="004E13E9">
              <w:rPr>
                <w:rFonts w:ascii="Cambria" w:hAnsi="Cambria"/>
                <w:b/>
                <w:color w:val="auto"/>
                <w:sz w:val="20"/>
                <w:szCs w:val="20"/>
              </w:rPr>
              <w:t>Périodes d’ouverture de la pêche (paragraphes 28-32)</w:t>
            </w:r>
          </w:p>
        </w:tc>
        <w:tc>
          <w:tcPr>
            <w:tcW w:w="3357" w:type="dxa"/>
          </w:tcPr>
          <w:p w14:paraId="7ED54E33" w14:textId="000C6129" w:rsidR="0062309A" w:rsidRPr="004E13E9" w:rsidRDefault="0062309A" w:rsidP="002506D6">
            <w:pPr>
              <w:widowControl w:val="0"/>
              <w:jc w:val="both"/>
              <w:rPr>
                <w:rFonts w:ascii="Cambria" w:hAnsi="Cambria"/>
                <w:sz w:val="20"/>
                <w:szCs w:val="20"/>
              </w:rPr>
            </w:pPr>
            <w:r w:rsidRPr="004E13E9">
              <w:rPr>
                <w:rFonts w:ascii="Cambria" w:hAnsi="Cambria"/>
                <w:sz w:val="20"/>
                <w:szCs w:val="20"/>
              </w:rPr>
              <w:t>La saison de pêche à la palangre commence le 1er août et se clôture lorsque le quota est pêché ou le 31 décembre. La zone de pêche se situe au sud de l'Islande, dans l'Atlantique Nord-Est, à l'ouest de 10°W et au nord de 42°N.</w:t>
            </w:r>
          </w:p>
        </w:tc>
        <w:tc>
          <w:tcPr>
            <w:tcW w:w="2268" w:type="dxa"/>
          </w:tcPr>
          <w:p w14:paraId="5825E7C6" w14:textId="77777777" w:rsidR="0062309A" w:rsidRPr="004E13E9" w:rsidRDefault="0062309A" w:rsidP="0062309A">
            <w:pPr>
              <w:widowControl w:val="0"/>
              <w:jc w:val="both"/>
              <w:rPr>
                <w:rFonts w:ascii="Cambria" w:hAnsi="Cambria"/>
                <w:sz w:val="20"/>
                <w:szCs w:val="20"/>
              </w:rPr>
            </w:pPr>
            <w:r w:rsidRPr="004E13E9">
              <w:rPr>
                <w:rFonts w:ascii="Cambria" w:hAnsi="Cambria"/>
                <w:sz w:val="20"/>
                <w:szCs w:val="20"/>
              </w:rPr>
              <w:t>Loi sur les pêches de l'Islande et Règlementation sur les pêcheries de thon rouge.</w:t>
            </w:r>
          </w:p>
        </w:tc>
        <w:tc>
          <w:tcPr>
            <w:tcW w:w="560" w:type="dxa"/>
          </w:tcPr>
          <w:p w14:paraId="41396A7A" w14:textId="77777777" w:rsidR="0062309A" w:rsidRPr="004E13E9" w:rsidRDefault="0062309A" w:rsidP="0062309A">
            <w:pPr>
              <w:spacing w:after="160" w:line="259" w:lineRule="auto"/>
              <w:rPr>
                <w:rFonts w:ascii="Cambria" w:hAnsi="Cambria"/>
                <w:sz w:val="20"/>
                <w:szCs w:val="20"/>
              </w:rPr>
            </w:pPr>
          </w:p>
        </w:tc>
      </w:tr>
      <w:tr w:rsidR="0062309A" w:rsidRPr="000926DE" w14:paraId="7B52814C" w14:textId="77777777" w:rsidTr="002506D6">
        <w:tc>
          <w:tcPr>
            <w:tcW w:w="453" w:type="dxa"/>
          </w:tcPr>
          <w:p w14:paraId="410FC9BC" w14:textId="77777777" w:rsidR="0062309A" w:rsidRPr="004E13E9" w:rsidRDefault="0062309A" w:rsidP="0062309A">
            <w:pPr>
              <w:widowControl w:val="0"/>
              <w:rPr>
                <w:rFonts w:ascii="Cambria" w:hAnsi="Cambria"/>
                <w:b/>
                <w:sz w:val="20"/>
                <w:szCs w:val="20"/>
              </w:rPr>
            </w:pPr>
            <w:r w:rsidRPr="004E13E9">
              <w:rPr>
                <w:rFonts w:ascii="Cambria" w:hAnsi="Cambria"/>
                <w:b/>
                <w:sz w:val="20"/>
                <w:szCs w:val="20"/>
              </w:rPr>
              <w:t>3</w:t>
            </w:r>
          </w:p>
        </w:tc>
        <w:tc>
          <w:tcPr>
            <w:tcW w:w="2422" w:type="dxa"/>
          </w:tcPr>
          <w:p w14:paraId="15BB066B" w14:textId="77777777" w:rsidR="0062309A" w:rsidRPr="004E13E9" w:rsidRDefault="0062309A" w:rsidP="0062309A">
            <w:pPr>
              <w:widowControl w:val="0"/>
              <w:rPr>
                <w:rFonts w:ascii="Cambria" w:hAnsi="Cambria"/>
                <w:b/>
                <w:sz w:val="20"/>
                <w:szCs w:val="20"/>
              </w:rPr>
            </w:pPr>
            <w:r w:rsidRPr="004E13E9">
              <w:rPr>
                <w:rFonts w:ascii="Cambria" w:hAnsi="Cambria"/>
                <w:b/>
                <w:color w:val="auto"/>
                <w:sz w:val="20"/>
                <w:szCs w:val="20"/>
              </w:rPr>
              <w:t>Taille minimale (paragraphes 33-35)</w:t>
            </w:r>
          </w:p>
        </w:tc>
        <w:tc>
          <w:tcPr>
            <w:tcW w:w="3357" w:type="dxa"/>
          </w:tcPr>
          <w:p w14:paraId="57B2133E" w14:textId="630F5994" w:rsidR="0062309A" w:rsidRPr="004E13E9" w:rsidRDefault="0062309A" w:rsidP="002506D6">
            <w:pPr>
              <w:widowControl w:val="0"/>
              <w:jc w:val="both"/>
              <w:rPr>
                <w:rFonts w:ascii="Cambria" w:hAnsi="Cambria"/>
                <w:sz w:val="20"/>
                <w:szCs w:val="20"/>
              </w:rPr>
            </w:pPr>
            <w:r w:rsidRPr="004E13E9">
              <w:rPr>
                <w:rFonts w:ascii="Cambria" w:hAnsi="Cambria"/>
                <w:sz w:val="20"/>
                <w:szCs w:val="20"/>
              </w:rPr>
              <w:t>Les poissons sous-taille doivent être remis à l’eau vivants, les rejets sont interdits. S'ils sont morts, ils doivent être débarqués et consignés.</w:t>
            </w:r>
          </w:p>
        </w:tc>
        <w:tc>
          <w:tcPr>
            <w:tcW w:w="2268" w:type="dxa"/>
          </w:tcPr>
          <w:p w14:paraId="65990E82" w14:textId="77777777" w:rsidR="0062309A" w:rsidRPr="004E13E9" w:rsidRDefault="0062309A" w:rsidP="0062309A">
            <w:pPr>
              <w:widowControl w:val="0"/>
              <w:jc w:val="both"/>
              <w:rPr>
                <w:rFonts w:ascii="Cambria" w:hAnsi="Cambria"/>
                <w:sz w:val="20"/>
                <w:szCs w:val="20"/>
              </w:rPr>
            </w:pPr>
            <w:r w:rsidRPr="004E13E9">
              <w:rPr>
                <w:rFonts w:ascii="Cambria" w:hAnsi="Cambria"/>
                <w:sz w:val="20"/>
                <w:szCs w:val="20"/>
              </w:rPr>
              <w:t>Loi sur les pêches de l'Islande et Règlementation sur les pêcheries de thon rouge.</w:t>
            </w:r>
          </w:p>
        </w:tc>
        <w:tc>
          <w:tcPr>
            <w:tcW w:w="560" w:type="dxa"/>
          </w:tcPr>
          <w:p w14:paraId="3BCE7B07" w14:textId="77777777" w:rsidR="0062309A" w:rsidRPr="004E13E9" w:rsidRDefault="0062309A" w:rsidP="0062309A">
            <w:pPr>
              <w:widowControl w:val="0"/>
              <w:rPr>
                <w:rFonts w:ascii="Cambria" w:hAnsi="Cambria"/>
                <w:sz w:val="20"/>
                <w:szCs w:val="20"/>
              </w:rPr>
            </w:pPr>
          </w:p>
        </w:tc>
      </w:tr>
      <w:tr w:rsidR="0062309A" w:rsidRPr="000926DE" w14:paraId="37B5C42A" w14:textId="77777777" w:rsidTr="002506D6">
        <w:tc>
          <w:tcPr>
            <w:tcW w:w="453" w:type="dxa"/>
          </w:tcPr>
          <w:p w14:paraId="273744EF" w14:textId="77777777" w:rsidR="0062309A" w:rsidRPr="004E13E9" w:rsidRDefault="0062309A" w:rsidP="0062309A">
            <w:pPr>
              <w:widowControl w:val="0"/>
              <w:rPr>
                <w:rFonts w:ascii="Cambria" w:hAnsi="Cambria"/>
                <w:b/>
                <w:sz w:val="20"/>
                <w:szCs w:val="20"/>
              </w:rPr>
            </w:pPr>
            <w:r w:rsidRPr="004E13E9">
              <w:rPr>
                <w:rFonts w:ascii="Cambria" w:hAnsi="Cambria"/>
                <w:b/>
                <w:sz w:val="20"/>
                <w:szCs w:val="20"/>
              </w:rPr>
              <w:t>4</w:t>
            </w:r>
          </w:p>
        </w:tc>
        <w:tc>
          <w:tcPr>
            <w:tcW w:w="2422" w:type="dxa"/>
          </w:tcPr>
          <w:p w14:paraId="0E5C5646" w14:textId="77777777" w:rsidR="0062309A" w:rsidRPr="004E13E9" w:rsidRDefault="0062309A" w:rsidP="0062309A">
            <w:pPr>
              <w:widowControl w:val="0"/>
              <w:rPr>
                <w:rFonts w:ascii="Cambria" w:hAnsi="Cambria"/>
                <w:b/>
                <w:sz w:val="20"/>
                <w:szCs w:val="20"/>
              </w:rPr>
            </w:pPr>
            <w:r w:rsidRPr="004E13E9">
              <w:rPr>
                <w:rFonts w:ascii="Cambria" w:hAnsi="Cambria"/>
                <w:b/>
                <w:color w:val="auto"/>
                <w:sz w:val="20"/>
                <w:szCs w:val="20"/>
              </w:rPr>
              <w:t>Prises accessoires (paragraphe 37)</w:t>
            </w:r>
          </w:p>
        </w:tc>
        <w:tc>
          <w:tcPr>
            <w:tcW w:w="3357" w:type="dxa"/>
          </w:tcPr>
          <w:p w14:paraId="07667FEB" w14:textId="77777777" w:rsidR="0062309A" w:rsidRPr="004E13E9" w:rsidRDefault="0062309A" w:rsidP="0062309A">
            <w:pPr>
              <w:widowControl w:val="0"/>
              <w:jc w:val="both"/>
              <w:rPr>
                <w:rFonts w:ascii="Cambria" w:hAnsi="Cambria"/>
                <w:sz w:val="20"/>
                <w:szCs w:val="20"/>
              </w:rPr>
            </w:pPr>
            <w:r w:rsidRPr="004E13E9">
              <w:rPr>
                <w:rFonts w:ascii="Cambria" w:hAnsi="Cambria"/>
                <w:sz w:val="20"/>
                <w:szCs w:val="20"/>
              </w:rPr>
              <w:t xml:space="preserve">Les rejets d'espèces commerciales sont interdits par la flottille islandaise et toutes les espèces commerciales et non commerciales doivent être débarquées. Toutes les prises d'espèces commerciales et non commerciales doivent être consignées dans les carnets de pêche. Cela s’applique également à toutes les prises accessoires de thon rouge réalisées par des navires islandais. 5 t sont réservées aux prises accessoires pour l'année 2026. </w:t>
            </w:r>
          </w:p>
        </w:tc>
        <w:tc>
          <w:tcPr>
            <w:tcW w:w="2268" w:type="dxa"/>
          </w:tcPr>
          <w:p w14:paraId="02460E9A" w14:textId="77777777" w:rsidR="0062309A" w:rsidRPr="004E13E9" w:rsidRDefault="0062309A" w:rsidP="0062309A">
            <w:pPr>
              <w:widowControl w:val="0"/>
              <w:jc w:val="both"/>
              <w:rPr>
                <w:rFonts w:ascii="Cambria" w:hAnsi="Cambria"/>
                <w:sz w:val="20"/>
                <w:szCs w:val="20"/>
              </w:rPr>
            </w:pPr>
            <w:r w:rsidRPr="004E13E9">
              <w:rPr>
                <w:rFonts w:ascii="Cambria" w:hAnsi="Cambria"/>
                <w:sz w:val="20"/>
                <w:szCs w:val="20"/>
              </w:rPr>
              <w:t>Loi islandaise sur la pêche, loi sur le traitement des stocks marins commerciaux.</w:t>
            </w:r>
          </w:p>
        </w:tc>
        <w:tc>
          <w:tcPr>
            <w:tcW w:w="560" w:type="dxa"/>
          </w:tcPr>
          <w:p w14:paraId="54AACE36" w14:textId="77777777" w:rsidR="0062309A" w:rsidRPr="004E13E9" w:rsidRDefault="0062309A" w:rsidP="0062309A">
            <w:pPr>
              <w:widowControl w:val="0"/>
              <w:rPr>
                <w:rFonts w:ascii="Cambria" w:hAnsi="Cambria"/>
                <w:sz w:val="20"/>
                <w:szCs w:val="20"/>
              </w:rPr>
            </w:pPr>
          </w:p>
        </w:tc>
      </w:tr>
      <w:tr w:rsidR="0062309A" w:rsidRPr="000926DE" w14:paraId="43C611EA" w14:textId="77777777" w:rsidTr="002506D6">
        <w:tc>
          <w:tcPr>
            <w:tcW w:w="453" w:type="dxa"/>
          </w:tcPr>
          <w:p w14:paraId="533341DE" w14:textId="77777777" w:rsidR="0062309A" w:rsidRPr="004E13E9" w:rsidRDefault="0062309A" w:rsidP="0062309A">
            <w:pPr>
              <w:widowControl w:val="0"/>
              <w:rPr>
                <w:rFonts w:ascii="Cambria" w:hAnsi="Cambria"/>
                <w:b/>
                <w:sz w:val="20"/>
                <w:szCs w:val="20"/>
              </w:rPr>
            </w:pPr>
            <w:r w:rsidRPr="004E13E9">
              <w:rPr>
                <w:rFonts w:ascii="Cambria" w:hAnsi="Cambria"/>
                <w:b/>
                <w:sz w:val="20"/>
                <w:szCs w:val="20"/>
              </w:rPr>
              <w:t>5</w:t>
            </w:r>
          </w:p>
        </w:tc>
        <w:tc>
          <w:tcPr>
            <w:tcW w:w="2422" w:type="dxa"/>
          </w:tcPr>
          <w:p w14:paraId="7072CDD8" w14:textId="77777777" w:rsidR="0062309A" w:rsidRPr="004E13E9" w:rsidRDefault="0062309A" w:rsidP="0062309A">
            <w:pPr>
              <w:widowControl w:val="0"/>
              <w:jc w:val="both"/>
              <w:rPr>
                <w:rFonts w:ascii="Cambria" w:hAnsi="Cambria"/>
                <w:b/>
                <w:sz w:val="20"/>
                <w:szCs w:val="20"/>
              </w:rPr>
            </w:pPr>
            <w:r w:rsidRPr="004E13E9">
              <w:rPr>
                <w:rFonts w:ascii="Cambria" w:hAnsi="Cambria"/>
                <w:b/>
                <w:bCs/>
                <w:color w:val="auto"/>
                <w:sz w:val="20"/>
                <w:szCs w:val="20"/>
              </w:rPr>
              <w:t>Pêcheries récréatives et sportives (paragraphes 38-46)</w:t>
            </w:r>
          </w:p>
        </w:tc>
        <w:tc>
          <w:tcPr>
            <w:tcW w:w="3357" w:type="dxa"/>
          </w:tcPr>
          <w:p w14:paraId="7F4FBC65" w14:textId="77777777" w:rsidR="0062309A" w:rsidRPr="004E13E9" w:rsidRDefault="0062309A" w:rsidP="0062309A">
            <w:pPr>
              <w:widowControl w:val="0"/>
              <w:jc w:val="both"/>
              <w:rPr>
                <w:rFonts w:ascii="Cambria" w:hAnsi="Cambria"/>
                <w:sz w:val="20"/>
                <w:szCs w:val="20"/>
              </w:rPr>
            </w:pPr>
            <w:r w:rsidRPr="004E13E9">
              <w:rPr>
                <w:rFonts w:ascii="Cambria" w:hAnsi="Cambria"/>
                <w:sz w:val="20"/>
                <w:szCs w:val="20"/>
              </w:rPr>
              <w:t xml:space="preserve">Aucune pêcherie récréative ou sportive ciblant le thon rouge de l'Atlantique Est ne sera autorisée en 2026. </w:t>
            </w:r>
          </w:p>
        </w:tc>
        <w:tc>
          <w:tcPr>
            <w:tcW w:w="2268" w:type="dxa"/>
          </w:tcPr>
          <w:p w14:paraId="30FB624F" w14:textId="77777777" w:rsidR="0062309A" w:rsidRPr="004E13E9" w:rsidRDefault="0062309A" w:rsidP="0062309A">
            <w:pPr>
              <w:widowControl w:val="0"/>
              <w:jc w:val="both"/>
              <w:rPr>
                <w:rFonts w:ascii="Cambria" w:hAnsi="Cambria"/>
                <w:sz w:val="20"/>
                <w:szCs w:val="20"/>
              </w:rPr>
            </w:pPr>
            <w:r w:rsidRPr="004E13E9">
              <w:rPr>
                <w:rFonts w:ascii="Cambria" w:hAnsi="Cambria"/>
                <w:sz w:val="20"/>
                <w:szCs w:val="20"/>
              </w:rPr>
              <w:t>Réglementation sur les pêcheries de thon rouge.</w:t>
            </w:r>
          </w:p>
        </w:tc>
        <w:tc>
          <w:tcPr>
            <w:tcW w:w="560" w:type="dxa"/>
          </w:tcPr>
          <w:p w14:paraId="36F72EAA" w14:textId="77777777" w:rsidR="0062309A" w:rsidRPr="004E13E9" w:rsidRDefault="0062309A" w:rsidP="0062309A">
            <w:pPr>
              <w:widowControl w:val="0"/>
              <w:rPr>
                <w:rFonts w:ascii="Cambria" w:hAnsi="Cambria"/>
                <w:sz w:val="20"/>
                <w:szCs w:val="20"/>
              </w:rPr>
            </w:pPr>
          </w:p>
        </w:tc>
      </w:tr>
      <w:tr w:rsidR="0062309A" w:rsidRPr="000926DE" w14:paraId="78729954" w14:textId="77777777" w:rsidTr="002506D6">
        <w:tc>
          <w:tcPr>
            <w:tcW w:w="453" w:type="dxa"/>
          </w:tcPr>
          <w:p w14:paraId="20AA15E7" w14:textId="77777777" w:rsidR="0062309A" w:rsidRPr="004E13E9" w:rsidRDefault="0062309A" w:rsidP="0062309A">
            <w:pPr>
              <w:widowControl w:val="0"/>
              <w:rPr>
                <w:rFonts w:ascii="Cambria" w:hAnsi="Cambria"/>
                <w:b/>
                <w:sz w:val="20"/>
                <w:szCs w:val="20"/>
              </w:rPr>
            </w:pPr>
            <w:r w:rsidRPr="004E13E9">
              <w:rPr>
                <w:rFonts w:ascii="Cambria" w:hAnsi="Cambria"/>
                <w:b/>
                <w:sz w:val="20"/>
                <w:szCs w:val="20"/>
              </w:rPr>
              <w:t>6</w:t>
            </w:r>
          </w:p>
        </w:tc>
        <w:tc>
          <w:tcPr>
            <w:tcW w:w="2422" w:type="dxa"/>
          </w:tcPr>
          <w:p w14:paraId="3816F4DE" w14:textId="77777777" w:rsidR="0062309A" w:rsidRPr="004E13E9" w:rsidRDefault="0062309A" w:rsidP="0062309A">
            <w:pPr>
              <w:widowControl w:val="0"/>
              <w:jc w:val="both"/>
              <w:rPr>
                <w:rFonts w:ascii="Cambria" w:hAnsi="Cambria"/>
                <w:b/>
                <w:sz w:val="20"/>
                <w:szCs w:val="20"/>
              </w:rPr>
            </w:pPr>
            <w:r w:rsidRPr="004E13E9">
              <w:rPr>
                <w:rFonts w:ascii="Cambria" w:hAnsi="Cambria"/>
                <w:b/>
                <w:color w:val="auto"/>
                <w:sz w:val="20"/>
                <w:szCs w:val="20"/>
              </w:rPr>
              <w:t xml:space="preserve">Transbordement (paragraphes 89-94) </w:t>
            </w:r>
          </w:p>
        </w:tc>
        <w:tc>
          <w:tcPr>
            <w:tcW w:w="3357" w:type="dxa"/>
          </w:tcPr>
          <w:p w14:paraId="63BCBA18" w14:textId="77777777" w:rsidR="0062309A" w:rsidRPr="004E13E9" w:rsidRDefault="0062309A" w:rsidP="0062309A">
            <w:pPr>
              <w:widowControl w:val="0"/>
              <w:jc w:val="both"/>
              <w:rPr>
                <w:rFonts w:ascii="Cambria" w:hAnsi="Cambria"/>
                <w:sz w:val="20"/>
                <w:szCs w:val="20"/>
              </w:rPr>
            </w:pPr>
            <w:r w:rsidRPr="004E13E9">
              <w:rPr>
                <w:rFonts w:ascii="Cambria" w:hAnsi="Cambria"/>
                <w:sz w:val="20"/>
                <w:szCs w:val="20"/>
              </w:rPr>
              <w:t>Le transbordement n'est pas autorisé.</w:t>
            </w:r>
          </w:p>
        </w:tc>
        <w:tc>
          <w:tcPr>
            <w:tcW w:w="2268" w:type="dxa"/>
          </w:tcPr>
          <w:p w14:paraId="5A3C1591" w14:textId="77777777" w:rsidR="0062309A" w:rsidRPr="004E13E9" w:rsidRDefault="0062309A" w:rsidP="0062309A">
            <w:pPr>
              <w:widowControl w:val="0"/>
              <w:jc w:val="both"/>
              <w:rPr>
                <w:rFonts w:ascii="Cambria" w:hAnsi="Cambria"/>
                <w:sz w:val="20"/>
                <w:szCs w:val="20"/>
              </w:rPr>
            </w:pPr>
            <w:r w:rsidRPr="004E13E9">
              <w:rPr>
                <w:rFonts w:ascii="Cambria" w:hAnsi="Cambria"/>
                <w:sz w:val="20"/>
                <w:szCs w:val="20"/>
              </w:rPr>
              <w:t>Loi sur les pêches de l'Islande et Règlementation sur les pêcheries de thon rouge.</w:t>
            </w:r>
          </w:p>
        </w:tc>
        <w:tc>
          <w:tcPr>
            <w:tcW w:w="560" w:type="dxa"/>
          </w:tcPr>
          <w:p w14:paraId="4E143643" w14:textId="77777777" w:rsidR="0062309A" w:rsidRPr="004E13E9" w:rsidRDefault="0062309A" w:rsidP="0062309A">
            <w:pPr>
              <w:widowControl w:val="0"/>
              <w:rPr>
                <w:rFonts w:ascii="Cambria" w:hAnsi="Cambria"/>
                <w:sz w:val="20"/>
                <w:szCs w:val="20"/>
              </w:rPr>
            </w:pPr>
          </w:p>
        </w:tc>
      </w:tr>
      <w:tr w:rsidR="0062309A" w:rsidRPr="000926DE" w14:paraId="5959E5D5" w14:textId="77777777" w:rsidTr="002506D6">
        <w:tc>
          <w:tcPr>
            <w:tcW w:w="453" w:type="dxa"/>
          </w:tcPr>
          <w:p w14:paraId="5F71286B" w14:textId="77777777" w:rsidR="0062309A" w:rsidRPr="004E13E9" w:rsidRDefault="0062309A" w:rsidP="0062309A">
            <w:pPr>
              <w:widowControl w:val="0"/>
              <w:rPr>
                <w:rFonts w:ascii="Cambria" w:hAnsi="Cambria"/>
                <w:b/>
                <w:sz w:val="20"/>
                <w:szCs w:val="20"/>
              </w:rPr>
            </w:pPr>
            <w:r w:rsidRPr="004E13E9">
              <w:rPr>
                <w:rFonts w:ascii="Cambria" w:hAnsi="Cambria"/>
                <w:b/>
                <w:color w:val="auto"/>
                <w:sz w:val="20"/>
                <w:szCs w:val="20"/>
              </w:rPr>
              <w:t>7</w:t>
            </w:r>
          </w:p>
        </w:tc>
        <w:tc>
          <w:tcPr>
            <w:tcW w:w="2422" w:type="dxa"/>
          </w:tcPr>
          <w:p w14:paraId="13288949" w14:textId="77777777" w:rsidR="0062309A" w:rsidRPr="004E13E9" w:rsidRDefault="0062309A" w:rsidP="0062309A">
            <w:pPr>
              <w:widowControl w:val="0"/>
              <w:rPr>
                <w:rFonts w:ascii="Cambria" w:hAnsi="Cambria"/>
                <w:b/>
                <w:sz w:val="20"/>
                <w:szCs w:val="20"/>
              </w:rPr>
            </w:pPr>
            <w:r w:rsidRPr="004E13E9">
              <w:rPr>
                <w:rFonts w:ascii="Cambria" w:hAnsi="Cambria"/>
                <w:b/>
                <w:color w:val="auto"/>
                <w:sz w:val="20"/>
                <w:szCs w:val="20"/>
              </w:rPr>
              <w:t>VMS (paragraphes 222-228)</w:t>
            </w:r>
          </w:p>
        </w:tc>
        <w:tc>
          <w:tcPr>
            <w:tcW w:w="3357" w:type="dxa"/>
          </w:tcPr>
          <w:p w14:paraId="15276507" w14:textId="77777777" w:rsidR="0062309A" w:rsidRPr="004E13E9" w:rsidRDefault="0062309A" w:rsidP="0062309A">
            <w:pPr>
              <w:widowControl w:val="0"/>
              <w:jc w:val="both"/>
              <w:rPr>
                <w:rFonts w:ascii="Cambria" w:hAnsi="Cambria"/>
                <w:sz w:val="20"/>
                <w:szCs w:val="20"/>
              </w:rPr>
            </w:pPr>
            <w:r w:rsidRPr="004E13E9">
              <w:rPr>
                <w:rFonts w:ascii="Cambria" w:hAnsi="Cambria"/>
                <w:sz w:val="20"/>
                <w:szCs w:val="20"/>
              </w:rPr>
              <w:t xml:space="preserve">Tous les navires de pêche islandais sont équipés d'un système VMS et sont tenus d'émettre toutes les heures. </w:t>
            </w:r>
          </w:p>
        </w:tc>
        <w:tc>
          <w:tcPr>
            <w:tcW w:w="2268" w:type="dxa"/>
          </w:tcPr>
          <w:p w14:paraId="235B772A" w14:textId="77777777" w:rsidR="0062309A" w:rsidRPr="004E13E9" w:rsidRDefault="0062309A" w:rsidP="0062309A">
            <w:pPr>
              <w:widowControl w:val="0"/>
              <w:jc w:val="both"/>
              <w:rPr>
                <w:rFonts w:ascii="Cambria" w:hAnsi="Cambria"/>
                <w:sz w:val="20"/>
                <w:szCs w:val="20"/>
              </w:rPr>
            </w:pPr>
            <w:r w:rsidRPr="004E13E9">
              <w:rPr>
                <w:rFonts w:ascii="Cambria" w:hAnsi="Cambria"/>
                <w:sz w:val="20"/>
                <w:szCs w:val="20"/>
              </w:rPr>
              <w:t>Loi islandaise sur la pêche</w:t>
            </w:r>
          </w:p>
        </w:tc>
        <w:tc>
          <w:tcPr>
            <w:tcW w:w="560" w:type="dxa"/>
          </w:tcPr>
          <w:p w14:paraId="06F753E3" w14:textId="77777777" w:rsidR="0062309A" w:rsidRPr="004E13E9" w:rsidRDefault="0062309A" w:rsidP="0062309A">
            <w:pPr>
              <w:widowControl w:val="0"/>
              <w:rPr>
                <w:rFonts w:ascii="Cambria" w:hAnsi="Cambria"/>
                <w:sz w:val="20"/>
                <w:szCs w:val="20"/>
              </w:rPr>
            </w:pPr>
          </w:p>
        </w:tc>
      </w:tr>
      <w:tr w:rsidR="0062309A" w:rsidRPr="000926DE" w14:paraId="08D9C84F" w14:textId="77777777" w:rsidTr="002506D6">
        <w:tc>
          <w:tcPr>
            <w:tcW w:w="453" w:type="dxa"/>
          </w:tcPr>
          <w:p w14:paraId="68D30953" w14:textId="77777777" w:rsidR="0062309A" w:rsidRPr="004E13E9" w:rsidRDefault="0062309A" w:rsidP="0062309A">
            <w:pPr>
              <w:widowControl w:val="0"/>
              <w:rPr>
                <w:rFonts w:ascii="Cambria" w:hAnsi="Cambria"/>
                <w:b/>
                <w:sz w:val="20"/>
                <w:szCs w:val="20"/>
              </w:rPr>
            </w:pPr>
            <w:r w:rsidRPr="004E13E9">
              <w:rPr>
                <w:rFonts w:ascii="Cambria" w:hAnsi="Cambria"/>
                <w:b/>
                <w:sz w:val="20"/>
                <w:szCs w:val="20"/>
              </w:rPr>
              <w:t>8</w:t>
            </w:r>
          </w:p>
        </w:tc>
        <w:tc>
          <w:tcPr>
            <w:tcW w:w="2422" w:type="dxa"/>
          </w:tcPr>
          <w:p w14:paraId="0319930B" w14:textId="77777777" w:rsidR="0062309A" w:rsidRPr="004E13E9" w:rsidRDefault="0062309A" w:rsidP="0062309A">
            <w:pPr>
              <w:widowControl w:val="0"/>
              <w:rPr>
                <w:rFonts w:ascii="Cambria" w:hAnsi="Cambria"/>
                <w:b/>
                <w:sz w:val="20"/>
                <w:szCs w:val="20"/>
              </w:rPr>
            </w:pPr>
            <w:r w:rsidRPr="004E13E9">
              <w:rPr>
                <w:rFonts w:ascii="Cambria" w:hAnsi="Cambria"/>
                <w:b/>
                <w:bCs/>
                <w:color w:val="auto"/>
                <w:sz w:val="20"/>
                <w:szCs w:val="20"/>
              </w:rPr>
              <w:t xml:space="preserve">Programme d'observateurs des CPC </w:t>
            </w:r>
            <w:r w:rsidRPr="004E13E9">
              <w:rPr>
                <w:rFonts w:ascii="Cambria" w:hAnsi="Cambria"/>
                <w:b/>
                <w:color w:val="auto"/>
                <w:sz w:val="20"/>
                <w:szCs w:val="20"/>
              </w:rPr>
              <w:t>(paragraphes 95-100)</w:t>
            </w:r>
          </w:p>
        </w:tc>
        <w:tc>
          <w:tcPr>
            <w:tcW w:w="3357" w:type="dxa"/>
          </w:tcPr>
          <w:p w14:paraId="072AB0F7" w14:textId="77777777" w:rsidR="0062309A" w:rsidRPr="004E13E9" w:rsidRDefault="0062309A" w:rsidP="0062309A">
            <w:pPr>
              <w:widowControl w:val="0"/>
              <w:jc w:val="both"/>
              <w:rPr>
                <w:rFonts w:ascii="Cambria" w:hAnsi="Cambria"/>
                <w:sz w:val="20"/>
                <w:szCs w:val="20"/>
              </w:rPr>
            </w:pPr>
            <w:r w:rsidRPr="004E13E9">
              <w:rPr>
                <w:rFonts w:ascii="Cambria" w:hAnsi="Cambria"/>
                <w:sz w:val="20"/>
                <w:szCs w:val="20"/>
              </w:rPr>
              <w:t>Il n’y a pas d’observateurs en Islande, il n’y a que des inspecteurs employés à plein temps par la DF. Des inspecteurs devront se trouver à bord du navire pendant au moins 20 % des opérations de pêche. Le navire a besoin de l'autorisation écrite de la DF avant de quitter le port sans inspecteur.</w:t>
            </w:r>
          </w:p>
        </w:tc>
        <w:tc>
          <w:tcPr>
            <w:tcW w:w="2268" w:type="dxa"/>
          </w:tcPr>
          <w:p w14:paraId="0BD3AE68" w14:textId="77777777" w:rsidR="0062309A" w:rsidRPr="004E13E9" w:rsidRDefault="0062309A" w:rsidP="0062309A">
            <w:pPr>
              <w:widowControl w:val="0"/>
              <w:jc w:val="both"/>
              <w:rPr>
                <w:rFonts w:ascii="Cambria" w:hAnsi="Cambria"/>
                <w:sz w:val="20"/>
                <w:szCs w:val="20"/>
              </w:rPr>
            </w:pPr>
            <w:r w:rsidRPr="004E13E9">
              <w:rPr>
                <w:rFonts w:ascii="Cambria" w:hAnsi="Cambria"/>
                <w:sz w:val="20"/>
                <w:szCs w:val="20"/>
              </w:rPr>
              <w:t>Loi sur les pêches de l'Islande et Règlementation sur les pêcheries de thon rouge.</w:t>
            </w:r>
          </w:p>
        </w:tc>
        <w:tc>
          <w:tcPr>
            <w:tcW w:w="560" w:type="dxa"/>
          </w:tcPr>
          <w:p w14:paraId="52D67881" w14:textId="77777777" w:rsidR="0062309A" w:rsidRPr="004E13E9" w:rsidRDefault="0062309A" w:rsidP="0062309A">
            <w:pPr>
              <w:widowControl w:val="0"/>
              <w:rPr>
                <w:rFonts w:ascii="Cambria" w:hAnsi="Cambria"/>
                <w:sz w:val="20"/>
                <w:szCs w:val="20"/>
              </w:rPr>
            </w:pPr>
          </w:p>
        </w:tc>
      </w:tr>
      <w:tr w:rsidR="0062309A" w:rsidRPr="00C712A4" w14:paraId="55F6037D" w14:textId="77777777" w:rsidTr="002506D6">
        <w:tc>
          <w:tcPr>
            <w:tcW w:w="453" w:type="dxa"/>
          </w:tcPr>
          <w:p w14:paraId="25E62A4F" w14:textId="77777777" w:rsidR="0062309A" w:rsidRPr="004E13E9" w:rsidRDefault="0062309A" w:rsidP="0062309A">
            <w:pPr>
              <w:widowControl w:val="0"/>
              <w:rPr>
                <w:rFonts w:ascii="Cambria" w:hAnsi="Cambria"/>
                <w:b/>
                <w:sz w:val="20"/>
                <w:szCs w:val="20"/>
              </w:rPr>
            </w:pPr>
            <w:r w:rsidRPr="004E13E9">
              <w:rPr>
                <w:rFonts w:ascii="Cambria" w:hAnsi="Cambria"/>
                <w:b/>
                <w:sz w:val="20"/>
                <w:szCs w:val="20"/>
              </w:rPr>
              <w:t>9</w:t>
            </w:r>
          </w:p>
        </w:tc>
        <w:tc>
          <w:tcPr>
            <w:tcW w:w="2422" w:type="dxa"/>
          </w:tcPr>
          <w:p w14:paraId="09F1E79A" w14:textId="77777777" w:rsidR="0062309A" w:rsidRPr="004E13E9" w:rsidRDefault="0062309A" w:rsidP="0062309A">
            <w:pPr>
              <w:widowControl w:val="0"/>
              <w:jc w:val="both"/>
              <w:rPr>
                <w:rFonts w:ascii="Cambria" w:hAnsi="Cambria"/>
                <w:b/>
                <w:sz w:val="20"/>
                <w:szCs w:val="20"/>
              </w:rPr>
            </w:pPr>
            <w:r w:rsidRPr="004E13E9">
              <w:rPr>
                <w:rFonts w:ascii="Cambria" w:hAnsi="Cambria"/>
                <w:b/>
                <w:color w:val="auto"/>
                <w:sz w:val="20"/>
                <w:szCs w:val="20"/>
              </w:rPr>
              <w:t>Programme d'observateurs régionaux (paragraphes 101-107)</w:t>
            </w:r>
          </w:p>
        </w:tc>
        <w:tc>
          <w:tcPr>
            <w:tcW w:w="3357" w:type="dxa"/>
          </w:tcPr>
          <w:p w14:paraId="204EBCB0" w14:textId="77777777" w:rsidR="0062309A" w:rsidRPr="004E13E9" w:rsidRDefault="0062309A" w:rsidP="0062309A">
            <w:pPr>
              <w:widowControl w:val="0"/>
              <w:jc w:val="both"/>
              <w:rPr>
                <w:rFonts w:ascii="Cambria" w:hAnsi="Cambria"/>
                <w:sz w:val="20"/>
                <w:szCs w:val="20"/>
              </w:rPr>
            </w:pPr>
            <w:r w:rsidRPr="004E13E9">
              <w:rPr>
                <w:rFonts w:ascii="Cambria" w:hAnsi="Cambria"/>
                <w:sz w:val="20"/>
                <w:szCs w:val="20"/>
              </w:rPr>
              <w:t xml:space="preserve">N.A. Pêche à la palangre uniquement par </w:t>
            </w:r>
            <w:proofErr w:type="gramStart"/>
            <w:r w:rsidRPr="004E13E9">
              <w:rPr>
                <w:rFonts w:ascii="Cambria" w:hAnsi="Cambria"/>
                <w:sz w:val="20"/>
                <w:szCs w:val="20"/>
              </w:rPr>
              <w:t>trois navires maximum</w:t>
            </w:r>
            <w:proofErr w:type="gramEnd"/>
            <w:r w:rsidRPr="004E13E9">
              <w:rPr>
                <w:rFonts w:ascii="Cambria" w:hAnsi="Cambria"/>
                <w:sz w:val="20"/>
                <w:szCs w:val="20"/>
              </w:rPr>
              <w:t>.</w:t>
            </w:r>
          </w:p>
        </w:tc>
        <w:tc>
          <w:tcPr>
            <w:tcW w:w="2268" w:type="dxa"/>
          </w:tcPr>
          <w:p w14:paraId="07A97931" w14:textId="77777777" w:rsidR="0062309A" w:rsidRPr="004E13E9" w:rsidRDefault="0062309A" w:rsidP="0062309A">
            <w:pPr>
              <w:widowControl w:val="0"/>
              <w:jc w:val="both"/>
              <w:rPr>
                <w:rFonts w:ascii="Cambria" w:hAnsi="Cambria"/>
                <w:sz w:val="20"/>
                <w:szCs w:val="20"/>
              </w:rPr>
            </w:pPr>
          </w:p>
        </w:tc>
        <w:tc>
          <w:tcPr>
            <w:tcW w:w="560" w:type="dxa"/>
          </w:tcPr>
          <w:p w14:paraId="0B9B0AB2" w14:textId="77777777" w:rsidR="0062309A" w:rsidRPr="004E13E9" w:rsidRDefault="0062309A" w:rsidP="0062309A">
            <w:pPr>
              <w:widowControl w:val="0"/>
              <w:rPr>
                <w:rFonts w:ascii="Cambria" w:hAnsi="Cambria"/>
                <w:sz w:val="20"/>
                <w:szCs w:val="20"/>
              </w:rPr>
            </w:pPr>
          </w:p>
        </w:tc>
      </w:tr>
      <w:tr w:rsidR="0062309A" w:rsidRPr="000926DE" w14:paraId="6877CCD4" w14:textId="77777777" w:rsidTr="002506D6">
        <w:tc>
          <w:tcPr>
            <w:tcW w:w="453" w:type="dxa"/>
          </w:tcPr>
          <w:p w14:paraId="59F0AE6C" w14:textId="77777777" w:rsidR="0062309A" w:rsidRPr="004E13E9" w:rsidRDefault="0062309A" w:rsidP="0062309A">
            <w:pPr>
              <w:widowControl w:val="0"/>
              <w:rPr>
                <w:rFonts w:ascii="Cambria" w:hAnsi="Cambria"/>
                <w:b/>
                <w:sz w:val="20"/>
                <w:szCs w:val="20"/>
              </w:rPr>
            </w:pPr>
            <w:r w:rsidRPr="004E13E9">
              <w:rPr>
                <w:rFonts w:ascii="Cambria" w:hAnsi="Cambria"/>
                <w:b/>
                <w:sz w:val="20"/>
                <w:szCs w:val="20"/>
              </w:rPr>
              <w:t>10</w:t>
            </w:r>
          </w:p>
        </w:tc>
        <w:tc>
          <w:tcPr>
            <w:tcW w:w="2422" w:type="dxa"/>
          </w:tcPr>
          <w:p w14:paraId="0160412D" w14:textId="77777777" w:rsidR="0062309A" w:rsidRPr="004E13E9" w:rsidRDefault="0062309A" w:rsidP="0062309A">
            <w:pPr>
              <w:widowControl w:val="0"/>
              <w:jc w:val="both"/>
              <w:rPr>
                <w:rFonts w:ascii="Cambria" w:hAnsi="Cambria"/>
                <w:b/>
                <w:sz w:val="20"/>
                <w:szCs w:val="20"/>
              </w:rPr>
            </w:pPr>
            <w:r w:rsidRPr="004E13E9">
              <w:rPr>
                <w:rFonts w:ascii="Cambria" w:hAnsi="Cambria"/>
                <w:b/>
                <w:sz w:val="20"/>
                <w:szCs w:val="20"/>
              </w:rPr>
              <w:t>Législation nationale</w:t>
            </w:r>
          </w:p>
        </w:tc>
        <w:tc>
          <w:tcPr>
            <w:tcW w:w="3357" w:type="dxa"/>
          </w:tcPr>
          <w:p w14:paraId="64B109F3" w14:textId="77777777" w:rsidR="0062309A" w:rsidRPr="004E13E9" w:rsidRDefault="0062309A" w:rsidP="0062309A">
            <w:pPr>
              <w:widowControl w:val="0"/>
              <w:jc w:val="both"/>
              <w:rPr>
                <w:rFonts w:ascii="Cambria" w:hAnsi="Cambria"/>
                <w:sz w:val="20"/>
                <w:szCs w:val="20"/>
              </w:rPr>
            </w:pPr>
            <w:r w:rsidRPr="004E13E9">
              <w:rPr>
                <w:rFonts w:ascii="Cambria" w:hAnsi="Cambria"/>
                <w:sz w:val="20"/>
                <w:szCs w:val="20"/>
              </w:rPr>
              <w:t>Règles et exigences de l’ICCAT mises en œuvre par des actes juridiques et des règlements.</w:t>
            </w:r>
          </w:p>
        </w:tc>
        <w:tc>
          <w:tcPr>
            <w:tcW w:w="2268" w:type="dxa"/>
          </w:tcPr>
          <w:p w14:paraId="76D7AEBA" w14:textId="77777777" w:rsidR="0062309A" w:rsidRPr="004E13E9" w:rsidRDefault="0062309A" w:rsidP="0062309A">
            <w:pPr>
              <w:widowControl w:val="0"/>
              <w:jc w:val="both"/>
              <w:rPr>
                <w:rFonts w:ascii="Cambria" w:hAnsi="Cambria"/>
                <w:sz w:val="20"/>
                <w:szCs w:val="20"/>
              </w:rPr>
            </w:pPr>
            <w:r w:rsidRPr="004E13E9">
              <w:rPr>
                <w:rFonts w:ascii="Cambria" w:hAnsi="Cambria"/>
                <w:sz w:val="20"/>
                <w:szCs w:val="20"/>
              </w:rPr>
              <w:t>La loi islandaise sur la pêche et le règlement sur la pêche au thon rouge.</w:t>
            </w:r>
          </w:p>
        </w:tc>
        <w:tc>
          <w:tcPr>
            <w:tcW w:w="560" w:type="dxa"/>
          </w:tcPr>
          <w:p w14:paraId="4B57201D" w14:textId="77777777" w:rsidR="0062309A" w:rsidRPr="004E13E9" w:rsidRDefault="0062309A" w:rsidP="0062309A">
            <w:pPr>
              <w:widowControl w:val="0"/>
              <w:rPr>
                <w:rFonts w:ascii="Cambria" w:hAnsi="Cambria"/>
                <w:sz w:val="20"/>
                <w:szCs w:val="20"/>
              </w:rPr>
            </w:pPr>
          </w:p>
        </w:tc>
      </w:tr>
      <w:tr w:rsidR="0062309A" w:rsidRPr="004E13E9" w14:paraId="7257E80F" w14:textId="77777777" w:rsidTr="002506D6">
        <w:tc>
          <w:tcPr>
            <w:tcW w:w="453" w:type="dxa"/>
          </w:tcPr>
          <w:p w14:paraId="56F9C81E" w14:textId="77777777" w:rsidR="0062309A" w:rsidRPr="004E13E9" w:rsidRDefault="0062309A" w:rsidP="0062309A">
            <w:pPr>
              <w:widowControl w:val="0"/>
              <w:rPr>
                <w:rFonts w:ascii="Cambria" w:hAnsi="Cambria"/>
                <w:b/>
                <w:bCs/>
                <w:iCs/>
                <w:sz w:val="20"/>
                <w:szCs w:val="20"/>
              </w:rPr>
            </w:pPr>
          </w:p>
        </w:tc>
        <w:tc>
          <w:tcPr>
            <w:tcW w:w="2422" w:type="dxa"/>
          </w:tcPr>
          <w:p w14:paraId="477EFE57" w14:textId="77777777" w:rsidR="0062309A" w:rsidRPr="004E13E9" w:rsidRDefault="0062309A" w:rsidP="0062309A">
            <w:pPr>
              <w:widowControl w:val="0"/>
              <w:rPr>
                <w:rFonts w:ascii="Cambria" w:hAnsi="Cambria"/>
                <w:i/>
                <w:sz w:val="20"/>
                <w:szCs w:val="20"/>
              </w:rPr>
            </w:pPr>
            <w:r w:rsidRPr="004E13E9">
              <w:rPr>
                <w:rFonts w:ascii="Cambria" w:hAnsi="Cambria"/>
                <w:i/>
                <w:sz w:val="20"/>
                <w:szCs w:val="20"/>
              </w:rPr>
              <w:t>Autres exigences, telles que : programme de marquage (paragr. 44), etc.</w:t>
            </w:r>
          </w:p>
        </w:tc>
        <w:tc>
          <w:tcPr>
            <w:tcW w:w="3357" w:type="dxa"/>
          </w:tcPr>
          <w:p w14:paraId="6DF02878" w14:textId="77777777" w:rsidR="0062309A" w:rsidRPr="004E13E9" w:rsidRDefault="0062309A" w:rsidP="0062309A">
            <w:pPr>
              <w:widowControl w:val="0"/>
              <w:jc w:val="both"/>
              <w:rPr>
                <w:rFonts w:ascii="Cambria" w:hAnsi="Cambria"/>
                <w:sz w:val="20"/>
                <w:szCs w:val="20"/>
                <w:lang w:val="en-US"/>
              </w:rPr>
            </w:pPr>
          </w:p>
        </w:tc>
        <w:tc>
          <w:tcPr>
            <w:tcW w:w="2268" w:type="dxa"/>
          </w:tcPr>
          <w:p w14:paraId="314D6DC5" w14:textId="77777777" w:rsidR="0062309A" w:rsidRPr="004E13E9" w:rsidRDefault="0062309A" w:rsidP="0062309A">
            <w:pPr>
              <w:widowControl w:val="0"/>
              <w:jc w:val="both"/>
              <w:rPr>
                <w:rFonts w:ascii="Cambria" w:hAnsi="Cambria"/>
                <w:sz w:val="20"/>
                <w:szCs w:val="20"/>
                <w:lang w:val="en-US"/>
              </w:rPr>
            </w:pPr>
          </w:p>
        </w:tc>
        <w:tc>
          <w:tcPr>
            <w:tcW w:w="560" w:type="dxa"/>
          </w:tcPr>
          <w:p w14:paraId="0278E0E2" w14:textId="77777777" w:rsidR="0062309A" w:rsidRPr="004E13E9" w:rsidRDefault="0062309A" w:rsidP="0062309A">
            <w:pPr>
              <w:widowControl w:val="0"/>
              <w:rPr>
                <w:rFonts w:ascii="Cambria" w:hAnsi="Cambria"/>
                <w:sz w:val="20"/>
                <w:szCs w:val="20"/>
                <w:lang w:val="en-US"/>
              </w:rPr>
            </w:pPr>
          </w:p>
        </w:tc>
      </w:tr>
    </w:tbl>
    <w:p w14:paraId="316E7CDE" w14:textId="77777777" w:rsidR="0062309A" w:rsidRPr="004E13E9" w:rsidRDefault="0062309A" w:rsidP="0062309A">
      <w:pPr>
        <w:widowControl w:val="0"/>
        <w:rPr>
          <w:rFonts w:eastAsia="MS Gothic" w:cs="Times New Roman"/>
          <w:b/>
          <w:i/>
          <w:iCs/>
          <w:lang w:val="fr-FR" w:eastAsia="fr-FR" w:bidi="fr-FR"/>
        </w:rPr>
      </w:pPr>
    </w:p>
    <w:p w14:paraId="3433420A" w14:textId="77777777" w:rsidR="0062309A" w:rsidRPr="004E13E9" w:rsidRDefault="0062309A" w:rsidP="0062309A">
      <w:pPr>
        <w:widowControl w:val="0"/>
        <w:rPr>
          <w:rFonts w:eastAsia="MS Gothic" w:cs="Times New Roman"/>
          <w:b/>
          <w:i/>
          <w:iCs/>
          <w:lang w:val="fr-FR" w:eastAsia="fr-FR" w:bidi="fr-FR"/>
        </w:rPr>
      </w:pPr>
      <w:r w:rsidRPr="004E13E9">
        <w:rPr>
          <w:rFonts w:eastAsia="MS Gothic" w:cs="Times New Roman"/>
          <w:b/>
          <w:i/>
          <w:iCs/>
          <w:lang w:val="fr-FR" w:eastAsia="fr-FR" w:bidi="fr-FR"/>
        </w:rPr>
        <w:t>1e) Ports désignés (paragraphe 80)</w:t>
      </w:r>
    </w:p>
    <w:p w14:paraId="2D793919" w14:textId="77777777" w:rsidR="0062309A" w:rsidRPr="004E13E9" w:rsidRDefault="0062309A" w:rsidP="0062309A">
      <w:pPr>
        <w:widowControl w:val="0"/>
        <w:jc w:val="both"/>
        <w:rPr>
          <w:rFonts w:eastAsia="MS Gothic" w:cs="Times New Roman"/>
          <w:lang w:val="fr-FR" w:eastAsia="fr-FR" w:bidi="fr-FR"/>
        </w:rPr>
      </w:pPr>
    </w:p>
    <w:p w14:paraId="1E904827" w14:textId="77777777" w:rsidR="0062309A" w:rsidRPr="004E13E9" w:rsidRDefault="0062309A" w:rsidP="0062309A">
      <w:pPr>
        <w:widowControl w:val="0"/>
        <w:jc w:val="both"/>
        <w:rPr>
          <w:rFonts w:eastAsia="Yu Mincho" w:cs="Times New Roman"/>
          <w:lang w:val="fr-FR"/>
        </w:rPr>
      </w:pPr>
      <w:r w:rsidRPr="004E13E9">
        <w:rPr>
          <w:rFonts w:eastAsia="MS Gothic" w:cs="Times New Roman"/>
          <w:lang w:val="fr-FR" w:eastAsia="fr-FR" w:bidi="fr-FR"/>
        </w:rPr>
        <w:t xml:space="preserve">La liste des ports autorisés pour 2026 est la suivante : </w:t>
      </w:r>
      <w:r w:rsidRPr="004E13E9">
        <w:rPr>
          <w:rFonts w:eastAsia="Yu Mincho" w:cs="Times New Roman"/>
          <w:lang w:val="fr-FR"/>
        </w:rPr>
        <w:t xml:space="preserve">Reykjavik, </w:t>
      </w:r>
      <w:proofErr w:type="spellStart"/>
      <w:r w:rsidRPr="004E13E9">
        <w:rPr>
          <w:rFonts w:eastAsia="Yu Mincho" w:cs="Times New Roman"/>
          <w:lang w:val="fr-FR"/>
        </w:rPr>
        <w:t>Hafnarfjordur</w:t>
      </w:r>
      <w:proofErr w:type="spellEnd"/>
      <w:r w:rsidRPr="004E13E9">
        <w:rPr>
          <w:rFonts w:eastAsia="Yu Mincho" w:cs="Times New Roman"/>
          <w:lang w:val="fr-FR"/>
        </w:rPr>
        <w:t xml:space="preserve">, Hofn i </w:t>
      </w:r>
      <w:proofErr w:type="spellStart"/>
      <w:r w:rsidRPr="004E13E9">
        <w:rPr>
          <w:rFonts w:eastAsia="Yu Mincho" w:cs="Times New Roman"/>
          <w:lang w:val="fr-FR"/>
        </w:rPr>
        <w:t>Hornafirdi</w:t>
      </w:r>
      <w:proofErr w:type="spellEnd"/>
      <w:r w:rsidRPr="004E13E9">
        <w:rPr>
          <w:rFonts w:eastAsia="Yu Mincho" w:cs="Times New Roman"/>
          <w:lang w:val="fr-FR"/>
        </w:rPr>
        <w:t xml:space="preserve">, Vestmannaeyjar, </w:t>
      </w:r>
      <w:proofErr w:type="spellStart"/>
      <w:r w:rsidRPr="004E13E9">
        <w:rPr>
          <w:rFonts w:eastAsia="Yu Mincho" w:cs="Times New Roman"/>
          <w:lang w:val="fr-FR"/>
        </w:rPr>
        <w:t>Grindavik</w:t>
      </w:r>
      <w:proofErr w:type="spellEnd"/>
      <w:r w:rsidRPr="004E13E9">
        <w:rPr>
          <w:rFonts w:eastAsia="Yu Mincho" w:cs="Times New Roman"/>
          <w:lang w:val="fr-FR"/>
        </w:rPr>
        <w:t xml:space="preserve">, </w:t>
      </w:r>
      <w:proofErr w:type="spellStart"/>
      <w:r w:rsidRPr="004E13E9">
        <w:rPr>
          <w:rFonts w:eastAsia="Yu Mincho" w:cs="Times New Roman"/>
          <w:lang w:val="fr-FR"/>
        </w:rPr>
        <w:t>Thorlakshofn</w:t>
      </w:r>
      <w:proofErr w:type="spellEnd"/>
      <w:r w:rsidRPr="004E13E9">
        <w:rPr>
          <w:rFonts w:eastAsia="Yu Mincho" w:cs="Times New Roman"/>
          <w:lang w:val="fr-FR"/>
        </w:rPr>
        <w:t xml:space="preserve">, </w:t>
      </w:r>
      <w:proofErr w:type="spellStart"/>
      <w:r w:rsidRPr="004E13E9">
        <w:rPr>
          <w:rFonts w:eastAsia="Yu Mincho" w:cs="Times New Roman"/>
          <w:lang w:val="fr-FR"/>
        </w:rPr>
        <w:t>Sandgerdi</w:t>
      </w:r>
      <w:proofErr w:type="spellEnd"/>
      <w:r w:rsidRPr="004E13E9">
        <w:rPr>
          <w:rFonts w:eastAsia="Yu Mincho" w:cs="Times New Roman"/>
          <w:lang w:val="fr-FR"/>
        </w:rPr>
        <w:t xml:space="preserve">, Keflavik, Akranes, </w:t>
      </w:r>
      <w:proofErr w:type="spellStart"/>
      <w:r w:rsidRPr="004E13E9">
        <w:rPr>
          <w:rFonts w:eastAsia="Yu Mincho" w:cs="Times New Roman"/>
          <w:lang w:val="fr-FR"/>
        </w:rPr>
        <w:t>Olafsvik</w:t>
      </w:r>
      <w:proofErr w:type="spellEnd"/>
      <w:r w:rsidRPr="004E13E9">
        <w:rPr>
          <w:rFonts w:eastAsia="Yu Mincho" w:cs="Times New Roman"/>
          <w:lang w:val="fr-FR"/>
        </w:rPr>
        <w:t xml:space="preserve">, </w:t>
      </w:r>
      <w:proofErr w:type="spellStart"/>
      <w:r w:rsidRPr="004E13E9">
        <w:rPr>
          <w:rFonts w:eastAsia="Yu Mincho" w:cs="Times New Roman"/>
          <w:lang w:val="fr-FR"/>
        </w:rPr>
        <w:t>Grundarfjordur</w:t>
      </w:r>
      <w:proofErr w:type="spellEnd"/>
      <w:r w:rsidRPr="004E13E9">
        <w:rPr>
          <w:rFonts w:eastAsia="Yu Mincho" w:cs="Times New Roman"/>
          <w:lang w:val="fr-FR"/>
        </w:rPr>
        <w:t xml:space="preserve">, </w:t>
      </w:r>
      <w:proofErr w:type="spellStart"/>
      <w:r w:rsidRPr="004E13E9">
        <w:rPr>
          <w:rFonts w:eastAsia="Yu Mincho" w:cs="Times New Roman"/>
          <w:lang w:val="fr-FR"/>
        </w:rPr>
        <w:t>Stykkisholmur</w:t>
      </w:r>
      <w:proofErr w:type="spellEnd"/>
      <w:r w:rsidRPr="004E13E9">
        <w:rPr>
          <w:rFonts w:eastAsia="Yu Mincho" w:cs="Times New Roman"/>
          <w:lang w:val="fr-FR"/>
        </w:rPr>
        <w:t>.</w:t>
      </w:r>
    </w:p>
    <w:p w14:paraId="202CD25E" w14:textId="77777777" w:rsidR="0062309A" w:rsidRPr="004E13E9" w:rsidRDefault="0062309A" w:rsidP="0062309A">
      <w:pPr>
        <w:widowControl w:val="0"/>
        <w:ind w:left="426" w:hanging="426"/>
        <w:jc w:val="both"/>
        <w:rPr>
          <w:rFonts w:eastAsia="MS Gothic" w:cs="Times New Roman"/>
          <w:b/>
          <w:lang w:val="fr-FR" w:eastAsia="fr-FR" w:bidi="fr-FR"/>
        </w:rPr>
      </w:pPr>
    </w:p>
    <w:p w14:paraId="728F1D96" w14:textId="77777777" w:rsidR="0062309A" w:rsidRPr="004E13E9" w:rsidRDefault="0062309A" w:rsidP="0062309A">
      <w:pPr>
        <w:widowControl w:val="0"/>
        <w:ind w:left="426" w:hanging="426"/>
        <w:jc w:val="both"/>
        <w:rPr>
          <w:rFonts w:eastAsia="MS Gothic" w:cs="Times New Roman"/>
          <w:b/>
          <w:lang w:val="fr-FR" w:eastAsia="fr-FR" w:bidi="fr-FR"/>
        </w:rPr>
      </w:pPr>
    </w:p>
    <w:p w14:paraId="776F0198" w14:textId="77777777" w:rsidR="0062309A" w:rsidRPr="004E13E9" w:rsidRDefault="0062309A" w:rsidP="0062309A">
      <w:pPr>
        <w:widowControl w:val="0"/>
        <w:ind w:left="426" w:hanging="426"/>
        <w:contextualSpacing/>
        <w:jc w:val="both"/>
        <w:rPr>
          <w:rFonts w:eastAsia="MS Gothic" w:cs="Times New Roman"/>
          <w:b/>
          <w:lang w:val="fr-FR" w:eastAsia="fr-FR" w:bidi="fr-FR"/>
        </w:rPr>
      </w:pPr>
      <w:r w:rsidRPr="004E13E9">
        <w:rPr>
          <w:rFonts w:eastAsia="MS Gothic" w:cs="Times New Roman"/>
          <w:b/>
          <w:lang w:val="fr-FR" w:eastAsia="fr-FR" w:bidi="fr-FR"/>
        </w:rPr>
        <w:t>2.</w:t>
      </w:r>
      <w:r w:rsidRPr="004E13E9">
        <w:rPr>
          <w:rFonts w:eastAsia="MS Gothic" w:cs="Times New Roman"/>
          <w:b/>
          <w:lang w:val="fr-FR" w:eastAsia="fr-FR" w:bidi="fr-FR"/>
        </w:rPr>
        <w:tab/>
        <w:t>Plan annuel de gestion de la capacité de pêche (paragraphes 14-21)</w:t>
      </w:r>
    </w:p>
    <w:p w14:paraId="789D1907" w14:textId="77777777" w:rsidR="0062309A" w:rsidRPr="004E13E9" w:rsidRDefault="0062309A" w:rsidP="0062309A">
      <w:pPr>
        <w:widowControl w:val="0"/>
        <w:rPr>
          <w:rFonts w:eastAsia="MS Gothic" w:cs="Times New Roman"/>
          <w:b/>
          <w:lang w:val="fr-FR" w:eastAsia="fr-FR" w:bidi="fr-FR"/>
        </w:rPr>
      </w:pPr>
    </w:p>
    <w:p w14:paraId="3DD628A4" w14:textId="77777777" w:rsidR="0062309A" w:rsidRPr="004E13E9" w:rsidRDefault="0062309A" w:rsidP="0062309A">
      <w:pPr>
        <w:widowControl w:val="0"/>
        <w:jc w:val="both"/>
        <w:rPr>
          <w:rFonts w:eastAsia="MS Gothic" w:cs="Times New Roman"/>
          <w:iCs/>
          <w:lang w:val="fr-FR" w:eastAsia="ja-JP" w:bidi="fr-FR"/>
        </w:rPr>
      </w:pPr>
      <w:r w:rsidRPr="004E13E9">
        <w:rPr>
          <w:rFonts w:eastAsia="MS Gothic" w:cs="Times New Roman"/>
          <w:iCs/>
          <w:lang w:val="fr-FR" w:eastAsia="ja-JP" w:bidi="fr-FR"/>
        </w:rPr>
        <w:t>Voir tableau ci-dessous.</w:t>
      </w:r>
    </w:p>
    <w:p w14:paraId="5BE1E23C" w14:textId="77777777" w:rsidR="0062309A" w:rsidRPr="004E13E9" w:rsidRDefault="0062309A" w:rsidP="0062309A">
      <w:pPr>
        <w:widowControl w:val="0"/>
        <w:jc w:val="both"/>
        <w:rPr>
          <w:rFonts w:eastAsia="MS Gothic" w:cs="Times New Roman"/>
          <w:i/>
          <w:lang w:val="fr-FR" w:eastAsia="ja-JP" w:bidi="fr-FR"/>
        </w:rPr>
      </w:pPr>
    </w:p>
    <w:p w14:paraId="03B0FCA8" w14:textId="77777777" w:rsidR="0062309A" w:rsidRPr="004E13E9" w:rsidRDefault="0062309A" w:rsidP="0062309A">
      <w:pPr>
        <w:widowControl w:val="0"/>
        <w:jc w:val="both"/>
        <w:rPr>
          <w:rFonts w:eastAsia="MS Gothic" w:cs="Times New Roman"/>
          <w:i/>
          <w:lang w:val="fr-FR" w:eastAsia="ja-JP" w:bidi="fr-FR"/>
        </w:rPr>
      </w:pPr>
    </w:p>
    <w:p w14:paraId="37D958E0" w14:textId="77777777" w:rsidR="0062309A" w:rsidRPr="004E13E9" w:rsidRDefault="0062309A" w:rsidP="0062309A">
      <w:pPr>
        <w:spacing w:after="160" w:line="259" w:lineRule="auto"/>
        <w:ind w:left="426" w:hanging="426"/>
        <w:rPr>
          <w:rFonts w:eastAsia="Yu Mincho" w:cs="Times New Roman"/>
          <w:b/>
          <w:lang w:val="fr-FR"/>
        </w:rPr>
      </w:pPr>
      <w:r w:rsidRPr="004E13E9">
        <w:rPr>
          <w:rFonts w:eastAsia="Yu Mincho" w:cs="Times New Roman"/>
          <w:b/>
          <w:lang w:val="fr-FR"/>
        </w:rPr>
        <w:t>3.</w:t>
      </w:r>
      <w:r w:rsidRPr="004E13E9">
        <w:rPr>
          <w:rFonts w:eastAsia="Yu Mincho" w:cs="Times New Roman"/>
          <w:b/>
          <w:lang w:val="fr-FR"/>
        </w:rPr>
        <w:tab/>
        <w:t xml:space="preserve">Plan annuel de gestion de l’élevage (paragraphes </w:t>
      </w:r>
      <w:r w:rsidRPr="004E13E9">
        <w:rPr>
          <w:rFonts w:eastAsia="Yu Mincho" w:cs="Times New Roman"/>
          <w:b/>
          <w:color w:val="0563C1"/>
          <w:sz w:val="22"/>
          <w:szCs w:val="22"/>
          <w:lang w:val="fr-FR"/>
        </w:rPr>
        <w:t>22 et 23</w:t>
      </w:r>
      <w:r w:rsidRPr="004E13E9">
        <w:rPr>
          <w:rFonts w:eastAsia="Yu Mincho" w:cs="Times New Roman"/>
          <w:b/>
          <w:lang w:val="fr-FR"/>
        </w:rPr>
        <w:t>), le cas échéant</w:t>
      </w:r>
    </w:p>
    <w:p w14:paraId="28336AC9" w14:textId="77777777" w:rsidR="0062309A" w:rsidRPr="004E13E9" w:rsidRDefault="0062309A" w:rsidP="0062309A">
      <w:pPr>
        <w:widowControl w:val="0"/>
        <w:jc w:val="both"/>
        <w:rPr>
          <w:rFonts w:eastAsia="MS Gothic" w:cs="Times New Roman"/>
          <w:b/>
          <w:lang w:val="fr-FR" w:eastAsia="fr-FR" w:bidi="fr-FR"/>
        </w:rPr>
      </w:pPr>
    </w:p>
    <w:p w14:paraId="0D67A249" w14:textId="505D7990" w:rsidR="002506D6" w:rsidRPr="004E13E9" w:rsidRDefault="0062309A" w:rsidP="002506D6">
      <w:pPr>
        <w:widowControl w:val="0"/>
        <w:jc w:val="both"/>
        <w:rPr>
          <w:rFonts w:eastAsia="MS Gothic" w:cs="Times New Roman"/>
          <w:b/>
          <w:lang w:val="fr-FR" w:eastAsia="fr-FR" w:bidi="fr-FR"/>
        </w:rPr>
      </w:pPr>
      <w:r w:rsidRPr="004E13E9">
        <w:rPr>
          <w:rFonts w:eastAsia="MS Gothic" w:cs="Times New Roman"/>
          <w:iCs/>
          <w:lang w:val="fr-FR" w:eastAsia="fr-FR" w:bidi="fr-FR"/>
        </w:rPr>
        <w:t>Non applicable - Pas d'élevage.</w:t>
      </w:r>
      <w:r w:rsidR="002506D6" w:rsidRPr="004E13E9">
        <w:rPr>
          <w:rFonts w:eastAsia="MS Gothic" w:cs="Times New Roman"/>
          <w:b/>
          <w:lang w:val="fr-FR" w:eastAsia="fr-FR" w:bidi="fr-FR"/>
        </w:rPr>
        <w:br w:type="page"/>
      </w:r>
    </w:p>
    <w:p w14:paraId="670867F1" w14:textId="7531AA85" w:rsidR="0062309A" w:rsidRPr="004E13E9" w:rsidRDefault="0062309A" w:rsidP="0062309A">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4.</w:t>
      </w:r>
      <w:r w:rsidRPr="004E13E9">
        <w:rPr>
          <w:rFonts w:eastAsia="MS Gothic" w:cs="Times New Roman"/>
          <w:b/>
          <w:lang w:val="fr-FR" w:eastAsia="fr-FR" w:bidi="fr-FR"/>
        </w:rPr>
        <w:tab/>
        <w:t xml:space="preserve">Plan annuel d’aquaculture (paragraphe 10 e) de la </w:t>
      </w:r>
      <w:hyperlink r:id="rId107" w:history="1">
        <w:r w:rsidRPr="004E13E9">
          <w:rPr>
            <w:rFonts w:eastAsia="MS Gothic" w:cs="Times New Roman"/>
            <w:b/>
            <w:color w:val="0563C1"/>
            <w:lang w:val="fr-FR" w:eastAsia="fr-FR" w:bidi="fr-FR"/>
          </w:rPr>
          <w:t xml:space="preserve">Rec. 25-04 </w:t>
        </w:r>
      </w:hyperlink>
      <w:r w:rsidRPr="004E13E9">
        <w:rPr>
          <w:rFonts w:eastAsia="MS Gothic" w:cs="Times New Roman"/>
          <w:b/>
          <w:lang w:val="fr-FR" w:eastAsia="fr-FR" w:bidi="fr-FR"/>
        </w:rPr>
        <w:t xml:space="preserve">conformément à la </w:t>
      </w:r>
      <w:hyperlink r:id="rId108" w:history="1">
        <w:r w:rsidRPr="004E13E9">
          <w:rPr>
            <w:rFonts w:eastAsia="MS Gothic" w:cs="Times New Roman"/>
            <w:b/>
            <w:color w:val="0563C1"/>
            <w:lang w:val="fr-FR" w:eastAsia="fr-FR" w:bidi="fr-FR"/>
          </w:rPr>
          <w:t>Rec. 24-07</w:t>
        </w:r>
      </w:hyperlink>
      <w:r w:rsidRPr="004E13E9">
        <w:rPr>
          <w:rFonts w:eastAsia="MS Gothic" w:cs="Times New Roman"/>
          <w:b/>
          <w:lang w:val="fr-FR" w:eastAsia="fr-FR" w:bidi="fr-FR"/>
        </w:rPr>
        <w:t>), le cas échéant</w:t>
      </w:r>
    </w:p>
    <w:p w14:paraId="4888786B" w14:textId="77777777" w:rsidR="0062309A" w:rsidRPr="004E13E9" w:rsidRDefault="0062309A" w:rsidP="0062309A">
      <w:pPr>
        <w:widowControl w:val="0"/>
        <w:ind w:left="426" w:hanging="426"/>
        <w:rPr>
          <w:rFonts w:eastAsia="MS Gothic" w:cs="Times New Roman"/>
          <w:lang w:val="fr-FR" w:eastAsia="fr-FR" w:bidi="fr-FR"/>
        </w:rPr>
      </w:pPr>
    </w:p>
    <w:p w14:paraId="368081FB" w14:textId="77777777" w:rsidR="0062309A" w:rsidRPr="004E13E9" w:rsidRDefault="0062309A" w:rsidP="0062309A">
      <w:pPr>
        <w:widowControl w:val="0"/>
        <w:ind w:left="426" w:hanging="426"/>
        <w:rPr>
          <w:rFonts w:eastAsia="MS Gothic" w:cs="Times New Roman"/>
          <w:lang w:val="fr-FR" w:eastAsia="fr-FR" w:bidi="fr-FR"/>
        </w:rPr>
      </w:pPr>
      <w:r w:rsidRPr="004E13E9">
        <w:rPr>
          <w:rFonts w:eastAsia="MS Gothic" w:cs="Times New Roman"/>
          <w:iCs/>
          <w:lang w:val="fr-FR" w:eastAsia="fr-FR" w:bidi="fr-FR"/>
        </w:rPr>
        <w:t>Non applicable -Pas de poissons d’</w:t>
      </w:r>
      <w:proofErr w:type="spellStart"/>
      <w:r w:rsidRPr="004E13E9">
        <w:rPr>
          <w:rFonts w:eastAsia="MS Gothic" w:cs="Times New Roman"/>
          <w:iCs/>
          <w:lang w:val="fr-FR" w:eastAsia="fr-FR" w:bidi="fr-FR"/>
        </w:rPr>
        <w:t>aqualculture</w:t>
      </w:r>
      <w:proofErr w:type="spellEnd"/>
      <w:r w:rsidRPr="004E13E9">
        <w:rPr>
          <w:rFonts w:eastAsia="MS Gothic" w:cs="Times New Roman"/>
          <w:iCs/>
          <w:lang w:val="fr-FR" w:eastAsia="fr-FR" w:bidi="fr-FR"/>
        </w:rPr>
        <w:t>.</w:t>
      </w:r>
    </w:p>
    <w:p w14:paraId="7B073D3E" w14:textId="77777777" w:rsidR="0062309A" w:rsidRPr="004E13E9" w:rsidRDefault="0062309A" w:rsidP="0062309A">
      <w:pPr>
        <w:widowControl w:val="0"/>
        <w:ind w:left="426" w:hanging="426"/>
        <w:rPr>
          <w:rFonts w:eastAsia="MS Gothic" w:cs="Times New Roman"/>
          <w:lang w:val="fr-FR" w:eastAsia="fr-FR" w:bidi="fr-FR"/>
        </w:rPr>
      </w:pPr>
    </w:p>
    <w:p w14:paraId="5FC5632A" w14:textId="77777777" w:rsidR="0062309A" w:rsidRPr="004E13E9" w:rsidRDefault="0062309A" w:rsidP="0062309A">
      <w:pPr>
        <w:widowControl w:val="0"/>
        <w:ind w:left="426" w:hanging="426"/>
        <w:rPr>
          <w:rFonts w:eastAsia="MS Gothic" w:cs="Times New Roman"/>
          <w:lang w:val="fr-FR" w:eastAsia="fr-FR" w:bidi="fr-FR"/>
        </w:rPr>
      </w:pPr>
    </w:p>
    <w:p w14:paraId="327A34F9" w14:textId="77777777" w:rsidR="0062309A" w:rsidRPr="004E13E9" w:rsidRDefault="0062309A" w:rsidP="0062309A">
      <w:pPr>
        <w:widowControl w:val="0"/>
        <w:ind w:left="426" w:hanging="426"/>
        <w:rPr>
          <w:rFonts w:eastAsia="MS Gothic" w:cs="Times New Roman"/>
          <w:b/>
          <w:lang w:val="fr-FR" w:eastAsia="fr-FR" w:bidi="fr-FR"/>
        </w:rPr>
      </w:pPr>
      <w:r w:rsidRPr="004E13E9">
        <w:rPr>
          <w:rFonts w:eastAsia="MS Gothic" w:cs="Times New Roman"/>
          <w:b/>
          <w:bCs/>
          <w:lang w:val="fr-FR" w:eastAsia="fr-FR" w:bidi="fr-FR"/>
        </w:rPr>
        <w:t>5.</w:t>
      </w:r>
      <w:r w:rsidRPr="004E13E9">
        <w:rPr>
          <w:rFonts w:eastAsia="MS Gothic" w:cs="Times New Roman"/>
          <w:b/>
          <w:lang w:val="fr-FR" w:eastAsia="fr-FR" w:bidi="fr-FR"/>
        </w:rPr>
        <w:t xml:space="preserve"> </w:t>
      </w:r>
      <w:r w:rsidRPr="004E13E9">
        <w:rPr>
          <w:rFonts w:eastAsia="MS Gothic" w:cs="Times New Roman"/>
          <w:b/>
          <w:lang w:val="fr-FR" w:eastAsia="fr-FR" w:bidi="fr-FR"/>
        </w:rPr>
        <w:tab/>
        <w:t>Plan de suivi, contrôle et inspection</w:t>
      </w:r>
    </w:p>
    <w:p w14:paraId="154F11D2" w14:textId="77777777" w:rsidR="0062309A" w:rsidRPr="004E13E9" w:rsidRDefault="0062309A" w:rsidP="0062309A">
      <w:pPr>
        <w:widowControl w:val="0"/>
        <w:rPr>
          <w:rFonts w:eastAsia="MS Gothic" w:cs="Times New Roman"/>
          <w:b/>
          <w:lang w:val="fr-FR" w:eastAsia="fr-FR" w:bidi="fr-FR"/>
        </w:rPr>
      </w:pPr>
    </w:p>
    <w:p w14:paraId="156B6535" w14:textId="77777777" w:rsidR="0062309A" w:rsidRPr="004E13E9" w:rsidRDefault="0062309A" w:rsidP="0062309A">
      <w:pPr>
        <w:widowControl w:val="0"/>
        <w:rPr>
          <w:rFonts w:eastAsia="MS Gothic" w:cs="Times New Roman"/>
          <w:b/>
          <w:i/>
          <w:iCs/>
          <w:lang w:val="fr-FR" w:eastAsia="fr-FR" w:bidi="fr-FR"/>
        </w:rPr>
      </w:pPr>
      <w:r w:rsidRPr="004E13E9">
        <w:rPr>
          <w:rFonts w:eastAsia="MS Gothic" w:cs="Times New Roman"/>
          <w:b/>
          <w:i/>
          <w:iCs/>
          <w:lang w:val="fr-FR" w:eastAsia="fr-FR" w:bidi="fr-FR"/>
        </w:rPr>
        <w:t>5a) Suivi, contrôle et inspection de la CPC (paragraphe 10 c)</w:t>
      </w:r>
    </w:p>
    <w:p w14:paraId="54165368" w14:textId="77777777" w:rsidR="0062309A" w:rsidRPr="004E13E9" w:rsidRDefault="0062309A" w:rsidP="0062309A">
      <w:pPr>
        <w:widowControl w:val="0"/>
        <w:rPr>
          <w:rFonts w:eastAsia="MS Gothic" w:cs="Times New Roman"/>
          <w:b/>
          <w:lang w:val="fr-FR" w:eastAsia="fr-FR" w:bidi="fr-FR"/>
        </w:rPr>
      </w:pPr>
    </w:p>
    <w:p w14:paraId="778A9C9D" w14:textId="77777777" w:rsidR="0062309A" w:rsidRPr="004E13E9" w:rsidRDefault="0062309A" w:rsidP="0062309A">
      <w:pPr>
        <w:widowControl w:val="0"/>
        <w:jc w:val="both"/>
        <w:rPr>
          <w:rFonts w:eastAsia="MS Gothic" w:cs="Times New Roman"/>
          <w:color w:val="000000"/>
          <w:lang w:val="fr-FR" w:eastAsia="fr-FR" w:bidi="fr-FR"/>
        </w:rPr>
      </w:pPr>
      <w:r w:rsidRPr="004E13E9">
        <w:rPr>
          <w:rFonts w:eastAsia="MS Gothic" w:cs="Times New Roman"/>
          <w:color w:val="000000"/>
          <w:lang w:val="fr-FR" w:eastAsia="fr-FR" w:bidi="fr-FR"/>
        </w:rPr>
        <w:t>Les palangriers ciblant le thon rouge ont besoin d'une permission écrite de la DF, en qualité d’autorité compétente, pour quitter le port pour aller pêcher le thon rouge sans un inspecteur à bord mandaté par la DF. La couverture requise est d'au moins 20 % des opérations de pêche en jours. Les inspecteurs de la DF sont présents à tous les débarquements de thon rouge.</w:t>
      </w:r>
    </w:p>
    <w:p w14:paraId="1BA71917" w14:textId="77777777" w:rsidR="0062309A" w:rsidRPr="004E13E9" w:rsidRDefault="0062309A" w:rsidP="0062309A">
      <w:pPr>
        <w:widowControl w:val="0"/>
        <w:jc w:val="both"/>
        <w:rPr>
          <w:rFonts w:eastAsia="MS Gothic" w:cs="Times New Roman"/>
          <w:color w:val="000000"/>
          <w:lang w:val="fr-FR" w:eastAsia="fr-FR" w:bidi="fr-FR"/>
        </w:rPr>
      </w:pPr>
    </w:p>
    <w:p w14:paraId="747A4A1D" w14:textId="77777777" w:rsidR="0062309A" w:rsidRPr="004E13E9" w:rsidRDefault="0062309A" w:rsidP="0062309A">
      <w:pPr>
        <w:widowControl w:val="0"/>
        <w:jc w:val="both"/>
        <w:rPr>
          <w:rFonts w:eastAsia="MS Gothic" w:cs="Times New Roman"/>
          <w:color w:val="000000"/>
          <w:lang w:val="fr-FR" w:eastAsia="fr-FR" w:bidi="fr-FR"/>
        </w:rPr>
      </w:pPr>
      <w:r w:rsidRPr="004E13E9">
        <w:rPr>
          <w:rFonts w:eastAsia="MS Gothic" w:cs="Times New Roman"/>
          <w:color w:val="000000"/>
          <w:lang w:val="fr-FR" w:eastAsia="fr-FR" w:bidi="fr-FR"/>
        </w:rPr>
        <w:t>Tous les navires islandais sont équipés d'un système VMS et sont tenus d'émettre toutes les heures.</w:t>
      </w:r>
    </w:p>
    <w:p w14:paraId="127A34AC" w14:textId="77777777" w:rsidR="0062309A" w:rsidRPr="004E13E9" w:rsidRDefault="0062309A" w:rsidP="0062309A">
      <w:pPr>
        <w:widowControl w:val="0"/>
        <w:jc w:val="both"/>
        <w:rPr>
          <w:rFonts w:eastAsia="MS Gothic" w:cs="Times New Roman"/>
          <w:color w:val="000000"/>
          <w:lang w:val="fr-FR" w:eastAsia="fr-FR" w:bidi="fr-FR"/>
        </w:rPr>
      </w:pPr>
    </w:p>
    <w:p w14:paraId="754360F4" w14:textId="77777777" w:rsidR="0062309A" w:rsidRPr="004E13E9" w:rsidRDefault="0062309A" w:rsidP="0062309A">
      <w:pPr>
        <w:widowControl w:val="0"/>
        <w:jc w:val="both"/>
        <w:rPr>
          <w:rFonts w:eastAsia="MS Gothic" w:cs="Times New Roman"/>
          <w:color w:val="000000"/>
          <w:lang w:val="fr-FR" w:eastAsia="fr-FR" w:bidi="fr-FR"/>
        </w:rPr>
      </w:pPr>
      <w:r w:rsidRPr="004E13E9">
        <w:rPr>
          <w:rFonts w:eastAsia="MS Gothic" w:cs="Times New Roman"/>
          <w:color w:val="000000"/>
          <w:lang w:val="fr-FR" w:eastAsia="fr-FR" w:bidi="fr-FR"/>
        </w:rPr>
        <w:t>Toutes les captures d'espèces commerciales et non commerciales doivent être enregistrées dans des journaux de bord électroniques, cela s'applique également à toutes les prises accessoires de thon rouge par les navires islandais.</w:t>
      </w:r>
    </w:p>
    <w:p w14:paraId="34EB72DE" w14:textId="77777777" w:rsidR="0062309A" w:rsidRPr="004E13E9" w:rsidRDefault="0062309A" w:rsidP="0062309A">
      <w:pPr>
        <w:widowControl w:val="0"/>
        <w:jc w:val="both"/>
        <w:rPr>
          <w:rFonts w:eastAsia="MS Gothic" w:cs="Times New Roman"/>
          <w:color w:val="000000"/>
          <w:lang w:val="fr-FR" w:eastAsia="fr-FR" w:bidi="fr-FR"/>
        </w:rPr>
      </w:pPr>
    </w:p>
    <w:p w14:paraId="47A27CCC" w14:textId="77777777" w:rsidR="0062309A" w:rsidRPr="004E13E9" w:rsidRDefault="0062309A" w:rsidP="0062309A">
      <w:pPr>
        <w:widowControl w:val="0"/>
        <w:jc w:val="both"/>
        <w:rPr>
          <w:rFonts w:eastAsia="MS Gothic" w:cs="Times New Roman"/>
          <w:color w:val="000000"/>
          <w:lang w:val="fr-FR" w:eastAsia="fr-FR" w:bidi="fr-FR"/>
        </w:rPr>
      </w:pPr>
      <w:r w:rsidRPr="004E13E9">
        <w:rPr>
          <w:rFonts w:eastAsia="MS Gothic" w:cs="Times New Roman"/>
          <w:color w:val="000000"/>
          <w:lang w:val="fr-FR" w:eastAsia="fr-FR" w:bidi="fr-FR"/>
        </w:rPr>
        <w:t>Les navires sont tenus d'être titulaire d'un permis général de pêche et de disposer d'un quota suffisant d'autres espèces à l'intérieur de la ZEE islandaise pour les prises accessoires d'autres espèces. Lorsque le navire souhaitera utiliser son quota de thon rouge, il devra notifier son intention à la DF et sera dès lors soumis au régime de gestion de l’ICCAT.</w:t>
      </w:r>
    </w:p>
    <w:p w14:paraId="3F9A8942" w14:textId="77777777" w:rsidR="0062309A" w:rsidRPr="004E13E9" w:rsidRDefault="0062309A" w:rsidP="0062309A">
      <w:pPr>
        <w:widowControl w:val="0"/>
        <w:jc w:val="both"/>
        <w:rPr>
          <w:rFonts w:eastAsia="MS Gothic" w:cs="Times New Roman"/>
          <w:color w:val="000000"/>
          <w:lang w:val="fr-FR" w:eastAsia="fr-FR" w:bidi="fr-FR"/>
        </w:rPr>
      </w:pPr>
    </w:p>
    <w:p w14:paraId="26907914" w14:textId="77777777" w:rsidR="0062309A" w:rsidRPr="004E13E9" w:rsidRDefault="0062309A" w:rsidP="0062309A">
      <w:pPr>
        <w:widowControl w:val="0"/>
        <w:jc w:val="both"/>
        <w:rPr>
          <w:rFonts w:eastAsia="MS Gothic" w:cs="Times New Roman"/>
          <w:i/>
          <w:iCs/>
          <w:color w:val="000000"/>
          <w:lang w:val="fr-FR" w:eastAsia="fr-FR" w:bidi="fr-FR"/>
        </w:rPr>
      </w:pPr>
      <w:r w:rsidRPr="004E13E9">
        <w:rPr>
          <w:rFonts w:eastAsia="MS Gothic" w:cs="Times New Roman"/>
          <w:i/>
          <w:iCs/>
          <w:color w:val="000000"/>
          <w:lang w:val="fr-FR" w:eastAsia="fr-FR" w:bidi="fr-FR"/>
        </w:rPr>
        <w:t>Liste des points de contact :</w:t>
      </w:r>
    </w:p>
    <w:p w14:paraId="761D3B47" w14:textId="77777777" w:rsidR="002506D6" w:rsidRPr="004E13E9" w:rsidRDefault="002506D6" w:rsidP="0062309A">
      <w:pPr>
        <w:widowControl w:val="0"/>
        <w:jc w:val="both"/>
        <w:rPr>
          <w:rFonts w:eastAsia="MS Gothic" w:cs="Times New Roman"/>
          <w:i/>
          <w:iCs/>
          <w:color w:val="000000"/>
          <w:lang w:val="fr-FR" w:eastAsia="fr-FR" w:bidi="fr-FR"/>
        </w:rPr>
      </w:pPr>
    </w:p>
    <w:p w14:paraId="0F81AE6A" w14:textId="77777777" w:rsidR="0062309A" w:rsidRPr="004E13E9" w:rsidRDefault="0062309A" w:rsidP="00487A5C">
      <w:pPr>
        <w:widowControl w:val="0"/>
        <w:numPr>
          <w:ilvl w:val="0"/>
          <w:numId w:val="29"/>
        </w:numPr>
        <w:spacing w:after="160" w:line="259" w:lineRule="auto"/>
        <w:jc w:val="both"/>
        <w:rPr>
          <w:rFonts w:eastAsia="Yu Mincho" w:cs="Times New Roman"/>
          <w:lang w:val="fr-FR"/>
        </w:rPr>
      </w:pPr>
      <w:r w:rsidRPr="004E13E9">
        <w:rPr>
          <w:rFonts w:eastAsia="Yu Mincho" w:cs="Times New Roman"/>
          <w:lang w:val="fr-FR"/>
        </w:rPr>
        <w:t>Agnar Bragi Bragason (chef de département), Conseiller juridique, Département des ressources, ministère de l'Industrie (</w:t>
      </w:r>
      <w:hyperlink r:id="rId109" w:history="1">
        <w:r w:rsidRPr="004E13E9">
          <w:rPr>
            <w:rFonts w:eastAsia="Yu Mincho" w:cs="Times New Roman"/>
            <w:color w:val="0563C1"/>
            <w:lang w:val="fr-FR"/>
          </w:rPr>
          <w:t>agnar.bragi.bragason@atrn.is</w:t>
        </w:r>
      </w:hyperlink>
      <w:r w:rsidRPr="004E13E9">
        <w:rPr>
          <w:rFonts w:eastAsia="Yu Mincho" w:cs="Times New Roman"/>
          <w:lang w:val="fr-FR"/>
        </w:rPr>
        <w:t>)</w:t>
      </w:r>
    </w:p>
    <w:p w14:paraId="7D0CCA2F" w14:textId="77777777" w:rsidR="0062309A" w:rsidRPr="004E13E9" w:rsidRDefault="0062309A" w:rsidP="00487A5C">
      <w:pPr>
        <w:widowControl w:val="0"/>
        <w:numPr>
          <w:ilvl w:val="0"/>
          <w:numId w:val="29"/>
        </w:numPr>
        <w:spacing w:after="160" w:line="259" w:lineRule="auto"/>
        <w:jc w:val="both"/>
        <w:rPr>
          <w:rFonts w:eastAsia="Yu Mincho" w:cs="Times New Roman"/>
          <w:lang w:val="fr-FR"/>
        </w:rPr>
      </w:pPr>
      <w:r w:rsidRPr="004E13E9">
        <w:rPr>
          <w:rFonts w:eastAsia="Yu Mincho" w:cs="Times New Roman"/>
          <w:lang w:val="fr-FR"/>
        </w:rPr>
        <w:t xml:space="preserve">Skúli Kristinn Skúlason, Conseiller spécial, Département des ressources, </w:t>
      </w:r>
      <w:proofErr w:type="gramStart"/>
      <w:r w:rsidRPr="004E13E9">
        <w:rPr>
          <w:rFonts w:eastAsia="Yu Mincho" w:cs="Times New Roman"/>
          <w:lang w:val="fr-FR"/>
        </w:rPr>
        <w:t>Ministère de l'Industrie</w:t>
      </w:r>
      <w:proofErr w:type="gramEnd"/>
      <w:r w:rsidRPr="004E13E9">
        <w:rPr>
          <w:rFonts w:eastAsia="Yu Mincho" w:cs="Times New Roman"/>
          <w:lang w:val="fr-FR"/>
        </w:rPr>
        <w:t xml:space="preserve"> (</w:t>
      </w:r>
      <w:hyperlink r:id="rId110" w:history="1">
        <w:r w:rsidRPr="004E13E9">
          <w:rPr>
            <w:rFonts w:eastAsia="Yu Mincho" w:cs="Times New Roman"/>
            <w:color w:val="0563C1"/>
            <w:lang w:val="fr-FR"/>
          </w:rPr>
          <w:t>skuli.kristinn.skulason@atrn.is</w:t>
        </w:r>
      </w:hyperlink>
      <w:r w:rsidRPr="004E13E9">
        <w:rPr>
          <w:rFonts w:eastAsia="Yu Mincho" w:cs="Times New Roman"/>
          <w:lang w:val="fr-FR"/>
        </w:rPr>
        <w:t>)</w:t>
      </w:r>
    </w:p>
    <w:p w14:paraId="6EB55752" w14:textId="77777777" w:rsidR="0062309A" w:rsidRPr="004E13E9" w:rsidRDefault="0062309A" w:rsidP="00487A5C">
      <w:pPr>
        <w:widowControl w:val="0"/>
        <w:numPr>
          <w:ilvl w:val="0"/>
          <w:numId w:val="29"/>
        </w:numPr>
        <w:spacing w:after="160" w:line="259" w:lineRule="auto"/>
        <w:jc w:val="both"/>
        <w:rPr>
          <w:rFonts w:eastAsia="Yu Mincho" w:cs="Times New Roman"/>
          <w:lang w:val="fr-FR"/>
        </w:rPr>
      </w:pPr>
      <w:r w:rsidRPr="004E13E9">
        <w:rPr>
          <w:rFonts w:eastAsia="Yu Mincho" w:cs="Times New Roman"/>
          <w:lang w:val="fr-FR"/>
        </w:rPr>
        <w:t>Guðjón Rafn Steinsson, Direction des pêches (</w:t>
      </w:r>
      <w:hyperlink r:id="rId111" w:history="1">
        <w:r w:rsidRPr="004E13E9">
          <w:rPr>
            <w:rFonts w:eastAsia="Yu Mincho" w:cs="Times New Roman"/>
            <w:color w:val="0563C1"/>
            <w:lang w:val="fr-FR"/>
          </w:rPr>
          <w:t>gudjon.r.steinsson@fiskistofa.is</w:t>
        </w:r>
      </w:hyperlink>
      <w:r w:rsidRPr="004E13E9">
        <w:rPr>
          <w:rFonts w:eastAsia="Yu Mincho" w:cs="Times New Roman"/>
          <w:lang w:val="fr-FR"/>
        </w:rPr>
        <w:t>)</w:t>
      </w:r>
    </w:p>
    <w:p w14:paraId="3DE3D482" w14:textId="77777777" w:rsidR="0062309A" w:rsidRPr="004E13E9" w:rsidRDefault="0062309A" w:rsidP="0062309A">
      <w:pPr>
        <w:widowControl w:val="0"/>
        <w:rPr>
          <w:rFonts w:eastAsia="MS Gothic" w:cs="Times New Roman"/>
          <w:b/>
          <w:i/>
          <w:iCs/>
          <w:lang w:val="fr-FR" w:eastAsia="fr-FR" w:bidi="fr-FR"/>
        </w:rPr>
      </w:pPr>
    </w:p>
    <w:p w14:paraId="685C5278" w14:textId="77777777" w:rsidR="0062309A" w:rsidRPr="004E13E9" w:rsidRDefault="0062309A" w:rsidP="0062309A">
      <w:pPr>
        <w:spacing w:after="160" w:line="259" w:lineRule="auto"/>
        <w:ind w:left="426" w:hanging="426"/>
        <w:rPr>
          <w:rFonts w:eastAsia="Yu Mincho" w:cs="Times New Roman"/>
          <w:b/>
          <w:i/>
          <w:iCs/>
          <w:lang w:val="fr-FR"/>
        </w:rPr>
      </w:pPr>
      <w:r w:rsidRPr="004E13E9">
        <w:rPr>
          <w:rFonts w:eastAsia="Yu Mincho" w:cs="Times New Roman"/>
          <w:b/>
          <w:i/>
          <w:iCs/>
          <w:lang w:val="fr-FR"/>
        </w:rPr>
        <w:t>5b) Programme d’inspection internationale conjointe (JIS) (paragraphes 232-235)</w:t>
      </w:r>
    </w:p>
    <w:p w14:paraId="38D4BE3B" w14:textId="77777777" w:rsidR="0062309A" w:rsidRPr="004E13E9" w:rsidRDefault="0062309A" w:rsidP="0062309A">
      <w:pPr>
        <w:widowControl w:val="0"/>
        <w:jc w:val="both"/>
        <w:rPr>
          <w:rFonts w:eastAsia="Yu Mincho" w:cs="Times New Roman"/>
          <w:iCs/>
          <w:lang w:val="fr-FR" w:bidi="fr-FR"/>
        </w:rPr>
      </w:pPr>
      <w:r w:rsidRPr="004E13E9">
        <w:rPr>
          <w:rFonts w:eastAsia="Yu Mincho" w:cs="Times New Roman"/>
          <w:iCs/>
          <w:lang w:val="fr-FR" w:bidi="fr-FR"/>
        </w:rPr>
        <w:t>Non applicable. L'Islande n'autorise que trois palangriers maximum dans l’Atlantique Nord-Est et n'est donc pas tenue de faire partie d'un plan d'inspection international de l'ICCAT.</w:t>
      </w:r>
    </w:p>
    <w:p w14:paraId="5492A1D8" w14:textId="77777777" w:rsidR="0062309A" w:rsidRPr="004E13E9" w:rsidRDefault="0062309A" w:rsidP="0062309A">
      <w:pPr>
        <w:widowControl w:val="0"/>
        <w:jc w:val="both"/>
        <w:rPr>
          <w:rFonts w:eastAsia="Yu Mincho" w:cs="Times New Roman"/>
          <w:iCs/>
          <w:lang w:val="fr-FR" w:bidi="fr-FR"/>
        </w:rPr>
      </w:pPr>
    </w:p>
    <w:p w14:paraId="1857AF17" w14:textId="77777777" w:rsidR="0062309A" w:rsidRPr="004E13E9" w:rsidRDefault="0062309A" w:rsidP="0062309A">
      <w:pPr>
        <w:widowControl w:val="0"/>
        <w:ind w:left="426" w:hanging="426"/>
        <w:contextualSpacing/>
        <w:jc w:val="both"/>
        <w:rPr>
          <w:rFonts w:eastAsia="MS Gothic" w:cs="Times New Roman"/>
          <w:b/>
          <w:lang w:val="fr-FR" w:eastAsia="fr-FR" w:bidi="fr-FR"/>
        </w:rPr>
      </w:pPr>
      <w:r w:rsidRPr="004E13E9">
        <w:rPr>
          <w:rFonts w:eastAsia="MS Gothic" w:cs="Times New Roman"/>
          <w:b/>
          <w:lang w:val="fr-FR" w:eastAsia="fr-FR" w:bidi="fr-FR"/>
        </w:rPr>
        <w:t xml:space="preserve">6. </w:t>
      </w:r>
      <w:r w:rsidRPr="004E13E9">
        <w:rPr>
          <w:rFonts w:eastAsia="MS Gothic" w:cs="Times New Roman"/>
          <w:b/>
          <w:lang w:val="fr-FR" w:eastAsia="fr-FR" w:bidi="fr-FR"/>
        </w:rPr>
        <w:tab/>
        <w:t>Autres</w:t>
      </w:r>
    </w:p>
    <w:p w14:paraId="76E4D41A" w14:textId="77777777" w:rsidR="0062309A" w:rsidRPr="004E13E9" w:rsidRDefault="0062309A" w:rsidP="0062309A">
      <w:pPr>
        <w:widowControl w:val="0"/>
        <w:ind w:left="426" w:hanging="426"/>
        <w:jc w:val="both"/>
        <w:rPr>
          <w:rFonts w:eastAsia="MS Gothic" w:cs="Times New Roman"/>
          <w:b/>
          <w:lang w:val="fr-FR" w:eastAsia="fr-FR" w:bidi="fr-FR"/>
        </w:rPr>
      </w:pPr>
    </w:p>
    <w:p w14:paraId="43A9E5FA" w14:textId="77777777" w:rsidR="0062309A" w:rsidRPr="004E13E9" w:rsidRDefault="0062309A" w:rsidP="0062309A">
      <w:pPr>
        <w:widowControl w:val="0"/>
        <w:ind w:left="426" w:hanging="426"/>
        <w:jc w:val="both"/>
        <w:rPr>
          <w:rFonts w:eastAsia="MS Gothic" w:cs="Times New Roman"/>
          <w:i/>
          <w:lang w:val="fr-FR" w:eastAsia="fr-FR" w:bidi="fr-FR"/>
        </w:rPr>
      </w:pPr>
      <w:r w:rsidRPr="004E13E9">
        <w:rPr>
          <w:rFonts w:eastAsia="MS Gothic" w:cs="Times New Roman"/>
          <w:bCs/>
          <w:lang w:val="fr-FR" w:eastAsia="fr-FR" w:bidi="fr-FR"/>
        </w:rPr>
        <w:t>Non applicable.</w:t>
      </w:r>
    </w:p>
    <w:p w14:paraId="67E87D76" w14:textId="77777777" w:rsidR="0062309A" w:rsidRPr="004E13E9" w:rsidRDefault="0062309A" w:rsidP="0062309A">
      <w:pPr>
        <w:widowControl w:val="0"/>
        <w:jc w:val="both"/>
        <w:rPr>
          <w:rFonts w:eastAsia="MS Gothic" w:cs="Times New Roman"/>
          <w:i/>
          <w:lang w:val="fr-FR" w:eastAsia="fr-FR" w:bidi="fr-FR"/>
        </w:rPr>
        <w:sectPr w:rsidR="0062309A" w:rsidRPr="004E13E9" w:rsidSect="0062309A">
          <w:headerReference w:type="default" r:id="rId112"/>
          <w:headerReference w:type="first" r:id="rId113"/>
          <w:footerReference w:type="first" r:id="rId114"/>
          <w:type w:val="continuous"/>
          <w:pgSz w:w="11906" w:h="16838" w:code="9"/>
          <w:pgMar w:top="1418" w:right="1418" w:bottom="1418" w:left="1418" w:header="851" w:footer="1134" w:gutter="0"/>
          <w:cols w:space="425"/>
          <w:docGrid w:linePitch="360"/>
        </w:sectPr>
      </w:pPr>
    </w:p>
    <w:p w14:paraId="5D22094F" w14:textId="77777777" w:rsidR="0062309A" w:rsidRPr="004E13E9" w:rsidRDefault="0062309A" w:rsidP="0062309A">
      <w:pPr>
        <w:rPr>
          <w:rFonts w:eastAsia="MS Gothic" w:cs="Times New Roman"/>
          <w:b/>
          <w:bCs/>
          <w:iCs/>
          <w:lang w:val="fr-FR" w:eastAsia="fr-FR" w:bidi="fr-FR"/>
        </w:rPr>
      </w:pPr>
      <w:r w:rsidRPr="004E13E9">
        <w:rPr>
          <w:rFonts w:eastAsia="MS Gothic" w:cs="Times New Roman"/>
          <w:b/>
          <w:bCs/>
          <w:iCs/>
          <w:lang w:val="fr-FR" w:eastAsia="fr-FR" w:bidi="fr-FR"/>
        </w:rPr>
        <w:t>Tableau sur la capacité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5"/>
        <w:gridCol w:w="679"/>
        <w:gridCol w:w="559"/>
        <w:gridCol w:w="560"/>
        <w:gridCol w:w="560"/>
        <w:gridCol w:w="560"/>
        <w:gridCol w:w="560"/>
        <w:gridCol w:w="560"/>
        <w:gridCol w:w="560"/>
        <w:gridCol w:w="252"/>
        <w:gridCol w:w="591"/>
        <w:gridCol w:w="708"/>
        <w:gridCol w:w="423"/>
        <w:gridCol w:w="1215"/>
        <w:gridCol w:w="1229"/>
        <w:gridCol w:w="963"/>
        <w:gridCol w:w="820"/>
      </w:tblGrid>
      <w:tr w:rsidR="0062309A" w:rsidRPr="004E13E9" w14:paraId="1B9B5A47"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noWrap/>
            <w:vAlign w:val="center"/>
            <w:hideMark/>
          </w:tcPr>
          <w:p w14:paraId="7DCBF5AF" w14:textId="77777777" w:rsidR="0062309A" w:rsidRPr="004E13E9" w:rsidRDefault="0062309A" w:rsidP="0062309A">
            <w:pPr>
              <w:widowControl w:val="0"/>
              <w:jc w:val="center"/>
              <w:rPr>
                <w:rFonts w:eastAsia="Times New Roman" w:cs="Calibri"/>
                <w:i/>
                <w:iCs/>
                <w:color w:val="000000"/>
                <w:sz w:val="14"/>
                <w:szCs w:val="14"/>
                <w:lang w:val="fr-FR" w:eastAsia="fr-FR" w:bidi="fr-FR"/>
              </w:rPr>
            </w:pPr>
            <w:r w:rsidRPr="004E13E9">
              <w:rPr>
                <w:rFonts w:eastAsia="MS Gothic" w:cs="Times New Roman"/>
                <w:i/>
                <w:color w:val="000000"/>
                <w:sz w:val="14"/>
                <w:szCs w:val="14"/>
                <w:lang w:val="fr-FR" w:eastAsia="fr-FR" w:bidi="fr-FR"/>
              </w:rPr>
              <w:t>Type de navires thoniers</w:t>
            </w:r>
          </w:p>
        </w:tc>
        <w:tc>
          <w:tcPr>
            <w:tcW w:w="243" w:type="pct"/>
            <w:tcBorders>
              <w:top w:val="single" w:sz="4" w:space="0" w:color="auto"/>
              <w:left w:val="single" w:sz="4" w:space="0" w:color="auto"/>
              <w:bottom w:val="single" w:sz="4" w:space="0" w:color="auto"/>
              <w:right w:val="single" w:sz="4" w:space="0" w:color="auto"/>
            </w:tcBorders>
            <w:noWrap/>
            <w:vAlign w:val="center"/>
            <w:hideMark/>
          </w:tcPr>
          <w:p w14:paraId="149D408D" w14:textId="77777777" w:rsidR="0062309A" w:rsidRPr="004E13E9" w:rsidRDefault="0062309A" w:rsidP="0062309A">
            <w:pPr>
              <w:widowControl w:val="0"/>
              <w:jc w:val="both"/>
              <w:rPr>
                <w:rFonts w:eastAsia="Times New Roman" w:cs="Calibri"/>
                <w:i/>
                <w:iCs/>
                <w:color w:val="000000"/>
                <w:sz w:val="14"/>
                <w:szCs w:val="14"/>
                <w:lang w:val="fr-FR" w:eastAsia="fr-FR" w:bidi="fr-FR"/>
              </w:rPr>
            </w:pPr>
          </w:p>
        </w:tc>
        <w:tc>
          <w:tcPr>
            <w:tcW w:w="600" w:type="pct"/>
            <w:gridSpan w:val="3"/>
            <w:tcBorders>
              <w:top w:val="single" w:sz="4" w:space="0" w:color="auto"/>
              <w:left w:val="single" w:sz="4" w:space="0" w:color="auto"/>
              <w:bottom w:val="single" w:sz="4" w:space="0" w:color="auto"/>
              <w:right w:val="single" w:sz="4" w:space="0" w:color="auto"/>
            </w:tcBorders>
            <w:hideMark/>
          </w:tcPr>
          <w:p w14:paraId="6FC20C01" w14:textId="77777777" w:rsidR="0062309A" w:rsidRPr="004E13E9" w:rsidRDefault="0062309A" w:rsidP="0062309A">
            <w:pPr>
              <w:widowControl w:val="0"/>
              <w:jc w:val="center"/>
              <w:rPr>
                <w:rFonts w:eastAsia="Times New Roman" w:cs="Calibri"/>
                <w:i/>
                <w:iCs/>
                <w:color w:val="000000"/>
                <w:sz w:val="14"/>
                <w:szCs w:val="14"/>
                <w:lang w:val="fr-FR" w:eastAsia="fr-FR" w:bidi="fr-FR"/>
              </w:rPr>
            </w:pPr>
            <w:r w:rsidRPr="004E13E9">
              <w:rPr>
                <w:rFonts w:eastAsia="MS Gothic" w:cs="Times New Roman"/>
                <w:i/>
                <w:color w:val="000000"/>
                <w:sz w:val="14"/>
                <w:szCs w:val="14"/>
                <w:lang w:val="fr-FR" w:eastAsia="fr-FR" w:bidi="fr-FR"/>
              </w:rPr>
              <w:t>Année de réf.</w:t>
            </w:r>
          </w:p>
        </w:tc>
        <w:tc>
          <w:tcPr>
            <w:tcW w:w="800" w:type="pct"/>
            <w:gridSpan w:val="4"/>
            <w:tcBorders>
              <w:top w:val="single" w:sz="4" w:space="0" w:color="auto"/>
              <w:left w:val="single" w:sz="4" w:space="0" w:color="auto"/>
              <w:bottom w:val="single" w:sz="4" w:space="0" w:color="auto"/>
              <w:right w:val="single" w:sz="4" w:space="0" w:color="auto"/>
            </w:tcBorders>
            <w:vAlign w:val="center"/>
            <w:hideMark/>
          </w:tcPr>
          <w:p w14:paraId="025377B5" w14:textId="77777777" w:rsidR="0062309A" w:rsidRPr="004E13E9" w:rsidRDefault="0062309A" w:rsidP="0062309A">
            <w:pPr>
              <w:widowControl w:val="0"/>
              <w:jc w:val="center"/>
              <w:rPr>
                <w:rFonts w:eastAsia="Times New Roman" w:cs="Times New Roman"/>
                <w:color w:val="000000"/>
                <w:sz w:val="14"/>
                <w:szCs w:val="14"/>
                <w:lang w:val="fr-FR" w:eastAsia="fr-FR" w:bidi="fr-FR"/>
              </w:rPr>
            </w:pPr>
            <w:r w:rsidRPr="004E13E9">
              <w:rPr>
                <w:rFonts w:eastAsia="MS Gothic" w:cs="Times New Roman"/>
                <w:i/>
                <w:color w:val="000000"/>
                <w:sz w:val="14"/>
                <w:szCs w:val="14"/>
                <w:lang w:val="fr-FR" w:eastAsia="fr-FR" w:bidi="fr-FR"/>
              </w:rPr>
              <w:t>Nombre de navires</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723F940" w14:textId="77777777" w:rsidR="0062309A" w:rsidRPr="004E13E9" w:rsidRDefault="0062309A" w:rsidP="0062309A">
            <w:pPr>
              <w:widowControl w:val="0"/>
              <w:jc w:val="both"/>
              <w:rPr>
                <w:rFonts w:eastAsia="Times New Roman" w:cs="Times New Roman"/>
                <w:color w:val="000000"/>
                <w:sz w:val="14"/>
                <w:szCs w:val="14"/>
                <w:lang w:val="fr-FR" w:eastAsia="fr-FR" w:bidi="fr-FR"/>
              </w:rPr>
            </w:pPr>
          </w:p>
        </w:tc>
        <w:tc>
          <w:tcPr>
            <w:tcW w:w="615" w:type="pct"/>
            <w:gridSpan w:val="3"/>
            <w:tcBorders>
              <w:top w:val="single" w:sz="4" w:space="0" w:color="auto"/>
              <w:left w:val="single" w:sz="4" w:space="0" w:color="auto"/>
              <w:bottom w:val="single" w:sz="4" w:space="0" w:color="auto"/>
              <w:right w:val="single" w:sz="4" w:space="0" w:color="auto"/>
            </w:tcBorders>
            <w:hideMark/>
          </w:tcPr>
          <w:p w14:paraId="1A1DE352" w14:textId="77777777" w:rsidR="0062309A" w:rsidRPr="004E13E9" w:rsidRDefault="0062309A" w:rsidP="0062309A">
            <w:pPr>
              <w:widowControl w:val="0"/>
              <w:jc w:val="center"/>
              <w:rPr>
                <w:rFonts w:eastAsia="Times New Roman" w:cs="Calibri"/>
                <w:i/>
                <w:iCs/>
                <w:color w:val="000000"/>
                <w:sz w:val="14"/>
                <w:szCs w:val="14"/>
                <w:lang w:val="fr-FR" w:eastAsia="fr-FR" w:bidi="fr-FR"/>
              </w:rPr>
            </w:pPr>
            <w:r w:rsidRPr="004E13E9">
              <w:rPr>
                <w:rFonts w:eastAsia="MS Gothic" w:cs="Times New Roman"/>
                <w:i/>
                <w:color w:val="000000"/>
                <w:sz w:val="14"/>
                <w:szCs w:val="14"/>
                <w:lang w:val="fr-FR" w:eastAsia="fr-FR" w:bidi="fr-FR"/>
              </w:rPr>
              <w:t>Année de réf.</w:t>
            </w:r>
          </w:p>
        </w:tc>
        <w:tc>
          <w:tcPr>
            <w:tcW w:w="1510" w:type="pct"/>
            <w:gridSpan w:val="4"/>
            <w:tcBorders>
              <w:top w:val="single" w:sz="4" w:space="0" w:color="auto"/>
              <w:left w:val="single" w:sz="4" w:space="0" w:color="auto"/>
              <w:bottom w:val="single" w:sz="4" w:space="0" w:color="auto"/>
              <w:right w:val="single" w:sz="4" w:space="0" w:color="auto"/>
            </w:tcBorders>
            <w:hideMark/>
          </w:tcPr>
          <w:p w14:paraId="07A68DD2" w14:textId="77777777" w:rsidR="0062309A" w:rsidRPr="004E13E9" w:rsidRDefault="0062309A" w:rsidP="0062309A">
            <w:pPr>
              <w:widowControl w:val="0"/>
              <w:jc w:val="center"/>
              <w:rPr>
                <w:rFonts w:eastAsia="Times New Roman" w:cs="Calibri"/>
                <w:i/>
                <w:iCs/>
                <w:color w:val="000000"/>
                <w:sz w:val="14"/>
                <w:szCs w:val="14"/>
                <w:lang w:val="fr-FR" w:eastAsia="fr-FR" w:bidi="fr-FR"/>
              </w:rPr>
            </w:pPr>
            <w:r w:rsidRPr="004E13E9">
              <w:rPr>
                <w:rFonts w:eastAsia="MS Gothic" w:cs="Times New Roman"/>
                <w:i/>
                <w:color w:val="000000"/>
                <w:sz w:val="14"/>
                <w:szCs w:val="14"/>
                <w:lang w:val="fr-FR" w:eastAsia="fr-FR" w:bidi="fr-FR"/>
              </w:rPr>
              <w:t>Capacité de pêche</w:t>
            </w:r>
          </w:p>
        </w:tc>
      </w:tr>
      <w:tr w:rsidR="0062309A" w:rsidRPr="004E13E9" w14:paraId="7CF57319"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noWrap/>
            <w:vAlign w:val="center"/>
            <w:hideMark/>
          </w:tcPr>
          <w:p w14:paraId="31E316FB" w14:textId="77777777" w:rsidR="0062309A" w:rsidRPr="004E13E9" w:rsidRDefault="0062309A" w:rsidP="0062309A">
            <w:pPr>
              <w:widowControl w:val="0"/>
              <w:jc w:val="both"/>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Type</w:t>
            </w:r>
          </w:p>
        </w:tc>
        <w:tc>
          <w:tcPr>
            <w:tcW w:w="243" w:type="pct"/>
            <w:tcBorders>
              <w:top w:val="single" w:sz="4" w:space="0" w:color="auto"/>
              <w:left w:val="single" w:sz="4" w:space="0" w:color="auto"/>
              <w:bottom w:val="single" w:sz="4" w:space="0" w:color="auto"/>
              <w:right w:val="single" w:sz="4" w:space="0" w:color="auto"/>
            </w:tcBorders>
            <w:vAlign w:val="center"/>
            <w:hideMark/>
          </w:tcPr>
          <w:p w14:paraId="6FF57612"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 xml:space="preserve">Meilleurs taux de capture définis par le SCRS </w:t>
            </w:r>
          </w:p>
          <w:p w14:paraId="36BF770B"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en 2009 (t)</w:t>
            </w:r>
          </w:p>
        </w:tc>
        <w:tc>
          <w:tcPr>
            <w:tcW w:w="200" w:type="pct"/>
            <w:tcBorders>
              <w:top w:val="single" w:sz="4" w:space="0" w:color="auto"/>
              <w:left w:val="single" w:sz="4" w:space="0" w:color="auto"/>
              <w:bottom w:val="single" w:sz="4" w:space="0" w:color="auto"/>
              <w:right w:val="single" w:sz="4" w:space="0" w:color="auto"/>
            </w:tcBorders>
            <w:vAlign w:val="center"/>
            <w:hideMark/>
          </w:tcPr>
          <w:p w14:paraId="6A46A70D"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2006</w:t>
            </w: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3383978F"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2008</w:t>
            </w:r>
          </w:p>
        </w:tc>
        <w:tc>
          <w:tcPr>
            <w:tcW w:w="200" w:type="pct"/>
            <w:tcBorders>
              <w:top w:val="single" w:sz="4" w:space="0" w:color="auto"/>
              <w:left w:val="single" w:sz="4" w:space="0" w:color="auto"/>
              <w:bottom w:val="single" w:sz="4" w:space="0" w:color="auto"/>
              <w:right w:val="single" w:sz="4" w:space="0" w:color="auto"/>
            </w:tcBorders>
            <w:vAlign w:val="center"/>
            <w:hideMark/>
          </w:tcPr>
          <w:p w14:paraId="5A5A09C3"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2018</w:t>
            </w:r>
          </w:p>
        </w:tc>
        <w:tc>
          <w:tcPr>
            <w:tcW w:w="200" w:type="pct"/>
            <w:tcBorders>
              <w:top w:val="single" w:sz="4" w:space="0" w:color="auto"/>
              <w:left w:val="single" w:sz="4" w:space="0" w:color="auto"/>
              <w:bottom w:val="single" w:sz="4" w:space="0" w:color="auto"/>
              <w:right w:val="single" w:sz="4" w:space="0" w:color="auto"/>
            </w:tcBorders>
            <w:vAlign w:val="center"/>
            <w:hideMark/>
          </w:tcPr>
          <w:p w14:paraId="4B355C40"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2023</w:t>
            </w:r>
          </w:p>
        </w:tc>
        <w:tc>
          <w:tcPr>
            <w:tcW w:w="200" w:type="pct"/>
            <w:tcBorders>
              <w:top w:val="single" w:sz="4" w:space="0" w:color="auto"/>
              <w:left w:val="single" w:sz="4" w:space="0" w:color="auto"/>
              <w:bottom w:val="single" w:sz="4" w:space="0" w:color="auto"/>
              <w:right w:val="single" w:sz="4" w:space="0" w:color="auto"/>
            </w:tcBorders>
            <w:vAlign w:val="center"/>
            <w:hideMark/>
          </w:tcPr>
          <w:p w14:paraId="5920D7FE"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2024</w:t>
            </w:r>
          </w:p>
        </w:tc>
        <w:tc>
          <w:tcPr>
            <w:tcW w:w="200" w:type="pct"/>
            <w:tcBorders>
              <w:top w:val="single" w:sz="4" w:space="0" w:color="auto"/>
              <w:left w:val="single" w:sz="4" w:space="0" w:color="auto"/>
              <w:bottom w:val="single" w:sz="4" w:space="0" w:color="auto"/>
              <w:right w:val="single" w:sz="4" w:space="0" w:color="auto"/>
            </w:tcBorders>
            <w:vAlign w:val="center"/>
            <w:hideMark/>
          </w:tcPr>
          <w:p w14:paraId="5C0B15D2"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2025</w:t>
            </w:r>
          </w:p>
        </w:tc>
        <w:tc>
          <w:tcPr>
            <w:tcW w:w="200" w:type="pct"/>
            <w:tcBorders>
              <w:top w:val="single" w:sz="4" w:space="0" w:color="auto"/>
              <w:left w:val="single" w:sz="4" w:space="0" w:color="auto"/>
              <w:bottom w:val="single" w:sz="4" w:space="0" w:color="auto"/>
              <w:right w:val="single" w:sz="4" w:space="0" w:color="auto"/>
            </w:tcBorders>
            <w:vAlign w:val="center"/>
            <w:hideMark/>
          </w:tcPr>
          <w:p w14:paraId="3050FE5E"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2026</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E3B3743" w14:textId="77777777" w:rsidR="0062309A" w:rsidRPr="004E13E9" w:rsidRDefault="0062309A" w:rsidP="0062309A">
            <w:pPr>
              <w:widowControl w:val="0"/>
              <w:jc w:val="both"/>
              <w:rPr>
                <w:rFonts w:eastAsia="Times New Roman" w:cs="Calibri"/>
                <w:color w:val="000000"/>
                <w:sz w:val="14"/>
                <w:szCs w:val="14"/>
                <w:lang w:val="fr-FR" w:eastAsia="fr-FR" w:bidi="fr-FR"/>
              </w:rPr>
            </w:pPr>
          </w:p>
        </w:tc>
        <w:tc>
          <w:tcPr>
            <w:tcW w:w="211" w:type="pct"/>
            <w:tcBorders>
              <w:top w:val="single" w:sz="4" w:space="0" w:color="auto"/>
              <w:left w:val="single" w:sz="4" w:space="0" w:color="auto"/>
              <w:bottom w:val="single" w:sz="4" w:space="0" w:color="auto"/>
              <w:right w:val="single" w:sz="4" w:space="0" w:color="auto"/>
            </w:tcBorders>
            <w:vAlign w:val="center"/>
            <w:hideMark/>
          </w:tcPr>
          <w:p w14:paraId="30C3DA62"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2006</w:t>
            </w:r>
          </w:p>
        </w:tc>
        <w:tc>
          <w:tcPr>
            <w:tcW w:w="253" w:type="pct"/>
            <w:tcBorders>
              <w:top w:val="single" w:sz="4" w:space="0" w:color="auto"/>
              <w:left w:val="single" w:sz="4" w:space="0" w:color="auto"/>
              <w:bottom w:val="single" w:sz="4" w:space="0" w:color="auto"/>
              <w:right w:val="single" w:sz="4" w:space="0" w:color="auto"/>
            </w:tcBorders>
            <w:vAlign w:val="center"/>
            <w:hideMark/>
          </w:tcPr>
          <w:p w14:paraId="649DC1A8"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2008</w:t>
            </w:r>
          </w:p>
        </w:tc>
        <w:tc>
          <w:tcPr>
            <w:tcW w:w="151" w:type="pct"/>
            <w:tcBorders>
              <w:top w:val="single" w:sz="4" w:space="0" w:color="auto"/>
              <w:left w:val="single" w:sz="4" w:space="0" w:color="auto"/>
              <w:bottom w:val="single" w:sz="4" w:space="0" w:color="auto"/>
              <w:right w:val="single" w:sz="4" w:space="0" w:color="auto"/>
            </w:tcBorders>
            <w:vAlign w:val="center"/>
            <w:hideMark/>
          </w:tcPr>
          <w:p w14:paraId="131B44FE"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2018</w:t>
            </w:r>
          </w:p>
        </w:tc>
        <w:tc>
          <w:tcPr>
            <w:tcW w:w="434" w:type="pct"/>
            <w:tcBorders>
              <w:top w:val="single" w:sz="4" w:space="0" w:color="auto"/>
              <w:left w:val="single" w:sz="4" w:space="0" w:color="auto"/>
              <w:bottom w:val="single" w:sz="4" w:space="0" w:color="auto"/>
              <w:right w:val="single" w:sz="4" w:space="0" w:color="auto"/>
            </w:tcBorders>
            <w:vAlign w:val="center"/>
            <w:hideMark/>
          </w:tcPr>
          <w:p w14:paraId="18327A86"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2023</w:t>
            </w:r>
          </w:p>
        </w:tc>
        <w:tc>
          <w:tcPr>
            <w:tcW w:w="439" w:type="pct"/>
            <w:tcBorders>
              <w:top w:val="single" w:sz="4" w:space="0" w:color="auto"/>
              <w:left w:val="single" w:sz="4" w:space="0" w:color="auto"/>
              <w:bottom w:val="single" w:sz="4" w:space="0" w:color="auto"/>
              <w:right w:val="single" w:sz="4" w:space="0" w:color="auto"/>
            </w:tcBorders>
            <w:vAlign w:val="center"/>
            <w:hideMark/>
          </w:tcPr>
          <w:p w14:paraId="63932DA3"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2024</w:t>
            </w:r>
          </w:p>
        </w:tc>
        <w:tc>
          <w:tcPr>
            <w:tcW w:w="344" w:type="pct"/>
            <w:tcBorders>
              <w:top w:val="single" w:sz="4" w:space="0" w:color="auto"/>
              <w:left w:val="single" w:sz="4" w:space="0" w:color="auto"/>
              <w:bottom w:val="single" w:sz="4" w:space="0" w:color="auto"/>
              <w:right w:val="single" w:sz="4" w:space="0" w:color="auto"/>
            </w:tcBorders>
            <w:vAlign w:val="center"/>
            <w:hideMark/>
          </w:tcPr>
          <w:p w14:paraId="204AA095"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2025</w:t>
            </w:r>
          </w:p>
        </w:tc>
        <w:tc>
          <w:tcPr>
            <w:tcW w:w="293" w:type="pct"/>
            <w:tcBorders>
              <w:top w:val="single" w:sz="4" w:space="0" w:color="auto"/>
              <w:left w:val="single" w:sz="4" w:space="0" w:color="auto"/>
              <w:bottom w:val="single" w:sz="4" w:space="0" w:color="auto"/>
              <w:right w:val="single" w:sz="4" w:space="0" w:color="auto"/>
            </w:tcBorders>
            <w:vAlign w:val="center"/>
            <w:hideMark/>
          </w:tcPr>
          <w:p w14:paraId="69FF29DA"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2026</w:t>
            </w:r>
          </w:p>
        </w:tc>
      </w:tr>
      <w:tr w:rsidR="0062309A" w:rsidRPr="004E13E9" w14:paraId="4A4275A1"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noWrap/>
            <w:vAlign w:val="center"/>
            <w:hideMark/>
          </w:tcPr>
          <w:p w14:paraId="6F4D7D4A" w14:textId="77777777" w:rsidR="0062309A" w:rsidRPr="004E13E9" w:rsidRDefault="0062309A" w:rsidP="0062309A">
            <w:pPr>
              <w:widowControl w:val="0"/>
              <w:jc w:val="both"/>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Senneur de plus de 40 m</w:t>
            </w:r>
          </w:p>
        </w:tc>
        <w:tc>
          <w:tcPr>
            <w:tcW w:w="243" w:type="pct"/>
            <w:tcBorders>
              <w:top w:val="single" w:sz="4" w:space="0" w:color="auto"/>
              <w:left w:val="single" w:sz="4" w:space="0" w:color="auto"/>
              <w:bottom w:val="single" w:sz="4" w:space="0" w:color="auto"/>
              <w:right w:val="single" w:sz="4" w:space="0" w:color="auto"/>
            </w:tcBorders>
            <w:noWrap/>
            <w:vAlign w:val="center"/>
            <w:hideMark/>
          </w:tcPr>
          <w:p w14:paraId="0ACC7FCA"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70,66</w:t>
            </w:r>
          </w:p>
        </w:tc>
        <w:tc>
          <w:tcPr>
            <w:tcW w:w="200" w:type="pct"/>
            <w:tcBorders>
              <w:top w:val="single" w:sz="4" w:space="0" w:color="auto"/>
              <w:left w:val="single" w:sz="4" w:space="0" w:color="auto"/>
              <w:bottom w:val="single" w:sz="4" w:space="0" w:color="auto"/>
              <w:right w:val="single" w:sz="4" w:space="0" w:color="auto"/>
            </w:tcBorders>
            <w:vAlign w:val="center"/>
          </w:tcPr>
          <w:p w14:paraId="624F1E41"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10489475"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4B74151C"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3F5AAD63"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14BA7D1E"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tcPr>
          <w:p w14:paraId="515EACAF"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381385AC"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FFBF7FE"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6065A350"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36371E50"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hideMark/>
          </w:tcPr>
          <w:p w14:paraId="7B92AC44" w14:textId="77777777" w:rsidR="0062309A" w:rsidRPr="004E13E9" w:rsidRDefault="0062309A" w:rsidP="0062309A">
            <w:pPr>
              <w:rPr>
                <w:rFonts w:eastAsia="MS Gothic" w:cs="Times New Roman"/>
                <w:sz w:val="14"/>
                <w:szCs w:val="14"/>
              </w:rPr>
            </w:pPr>
          </w:p>
        </w:tc>
        <w:tc>
          <w:tcPr>
            <w:tcW w:w="434" w:type="pct"/>
            <w:tcBorders>
              <w:top w:val="single" w:sz="4" w:space="0" w:color="auto"/>
              <w:left w:val="single" w:sz="4" w:space="0" w:color="auto"/>
              <w:bottom w:val="single" w:sz="4" w:space="0" w:color="auto"/>
              <w:right w:val="single" w:sz="4" w:space="0" w:color="auto"/>
            </w:tcBorders>
            <w:vAlign w:val="center"/>
            <w:hideMark/>
          </w:tcPr>
          <w:p w14:paraId="44E7984D" w14:textId="77777777" w:rsidR="0062309A" w:rsidRPr="004E13E9" w:rsidRDefault="0062309A" w:rsidP="0062309A">
            <w:pPr>
              <w:rPr>
                <w:rFonts w:eastAsia="MS Gothic" w:cs="Times New Roman"/>
                <w:sz w:val="14"/>
                <w:szCs w:val="14"/>
              </w:rPr>
            </w:pPr>
          </w:p>
        </w:tc>
        <w:tc>
          <w:tcPr>
            <w:tcW w:w="439" w:type="pct"/>
            <w:tcBorders>
              <w:top w:val="single" w:sz="4" w:space="0" w:color="auto"/>
              <w:left w:val="single" w:sz="4" w:space="0" w:color="auto"/>
              <w:bottom w:val="single" w:sz="4" w:space="0" w:color="auto"/>
              <w:right w:val="single" w:sz="4" w:space="0" w:color="auto"/>
            </w:tcBorders>
            <w:vAlign w:val="center"/>
            <w:hideMark/>
          </w:tcPr>
          <w:p w14:paraId="03CA9586" w14:textId="77777777" w:rsidR="0062309A" w:rsidRPr="004E13E9" w:rsidRDefault="0062309A" w:rsidP="0062309A">
            <w:pPr>
              <w:rPr>
                <w:rFonts w:eastAsia="MS Gothic" w:cs="Times New Roman"/>
                <w:sz w:val="14"/>
                <w:szCs w:val="14"/>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0DD6D71A" w14:textId="77777777" w:rsidR="0062309A" w:rsidRPr="004E13E9" w:rsidRDefault="0062309A" w:rsidP="0062309A">
            <w:pPr>
              <w:rPr>
                <w:rFonts w:eastAsia="MS Gothic" w:cs="Times New Roman"/>
                <w:sz w:val="14"/>
                <w:szCs w:val="14"/>
              </w:rPr>
            </w:pPr>
          </w:p>
        </w:tc>
        <w:tc>
          <w:tcPr>
            <w:tcW w:w="293" w:type="pct"/>
            <w:tcBorders>
              <w:top w:val="single" w:sz="4" w:space="0" w:color="auto"/>
              <w:left w:val="single" w:sz="4" w:space="0" w:color="auto"/>
              <w:bottom w:val="single" w:sz="4" w:space="0" w:color="auto"/>
              <w:right w:val="single" w:sz="4" w:space="0" w:color="auto"/>
            </w:tcBorders>
            <w:vAlign w:val="center"/>
          </w:tcPr>
          <w:p w14:paraId="0606B460" w14:textId="77777777" w:rsidR="0062309A" w:rsidRPr="004E13E9" w:rsidRDefault="0062309A" w:rsidP="0062309A">
            <w:pPr>
              <w:widowControl w:val="0"/>
              <w:jc w:val="center"/>
              <w:rPr>
                <w:rFonts w:eastAsia="Times New Roman" w:cs="Calibri"/>
                <w:color w:val="000000"/>
                <w:sz w:val="14"/>
                <w:szCs w:val="14"/>
                <w:lang w:val="fr-FR" w:eastAsia="ja-JP" w:bidi="fr-FR"/>
              </w:rPr>
            </w:pPr>
          </w:p>
        </w:tc>
      </w:tr>
      <w:tr w:rsidR="0062309A" w:rsidRPr="004E13E9" w14:paraId="4949D5DA"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noWrap/>
            <w:vAlign w:val="center"/>
            <w:hideMark/>
          </w:tcPr>
          <w:p w14:paraId="72A78883" w14:textId="77777777" w:rsidR="0062309A" w:rsidRPr="004E13E9" w:rsidRDefault="0062309A" w:rsidP="0062309A">
            <w:pPr>
              <w:widowControl w:val="0"/>
              <w:jc w:val="both"/>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Senneur entre 24 et 40 m</w:t>
            </w:r>
          </w:p>
        </w:tc>
        <w:tc>
          <w:tcPr>
            <w:tcW w:w="243" w:type="pct"/>
            <w:tcBorders>
              <w:top w:val="single" w:sz="4" w:space="0" w:color="auto"/>
              <w:left w:val="single" w:sz="4" w:space="0" w:color="auto"/>
              <w:bottom w:val="single" w:sz="4" w:space="0" w:color="auto"/>
              <w:right w:val="single" w:sz="4" w:space="0" w:color="auto"/>
            </w:tcBorders>
            <w:noWrap/>
            <w:vAlign w:val="center"/>
            <w:hideMark/>
          </w:tcPr>
          <w:p w14:paraId="202D006E"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49,78</w:t>
            </w:r>
          </w:p>
        </w:tc>
        <w:tc>
          <w:tcPr>
            <w:tcW w:w="200" w:type="pct"/>
            <w:tcBorders>
              <w:top w:val="single" w:sz="4" w:space="0" w:color="auto"/>
              <w:left w:val="single" w:sz="4" w:space="0" w:color="auto"/>
              <w:bottom w:val="single" w:sz="4" w:space="0" w:color="auto"/>
              <w:right w:val="single" w:sz="4" w:space="0" w:color="auto"/>
            </w:tcBorders>
            <w:vAlign w:val="center"/>
          </w:tcPr>
          <w:p w14:paraId="797632BB"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468527AB"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7D4FAF26"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74FF3173"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7D18F14D"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tcPr>
          <w:p w14:paraId="40EDFFCC"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057B1373"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DA5CA30"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3C4A821B"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116E2A84"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hideMark/>
          </w:tcPr>
          <w:p w14:paraId="4A61C239" w14:textId="77777777" w:rsidR="0062309A" w:rsidRPr="004E13E9" w:rsidRDefault="0062309A" w:rsidP="0062309A">
            <w:pPr>
              <w:rPr>
                <w:rFonts w:eastAsia="MS Gothic" w:cs="Times New Roman"/>
                <w:sz w:val="14"/>
                <w:szCs w:val="14"/>
              </w:rPr>
            </w:pPr>
          </w:p>
        </w:tc>
        <w:tc>
          <w:tcPr>
            <w:tcW w:w="434" w:type="pct"/>
            <w:tcBorders>
              <w:top w:val="single" w:sz="4" w:space="0" w:color="auto"/>
              <w:left w:val="single" w:sz="4" w:space="0" w:color="auto"/>
              <w:bottom w:val="single" w:sz="4" w:space="0" w:color="auto"/>
              <w:right w:val="single" w:sz="4" w:space="0" w:color="auto"/>
            </w:tcBorders>
            <w:vAlign w:val="center"/>
            <w:hideMark/>
          </w:tcPr>
          <w:p w14:paraId="2364EE5C" w14:textId="77777777" w:rsidR="0062309A" w:rsidRPr="004E13E9" w:rsidRDefault="0062309A" w:rsidP="0062309A">
            <w:pPr>
              <w:rPr>
                <w:rFonts w:eastAsia="MS Gothic" w:cs="Times New Roman"/>
                <w:sz w:val="14"/>
                <w:szCs w:val="14"/>
              </w:rPr>
            </w:pPr>
          </w:p>
        </w:tc>
        <w:tc>
          <w:tcPr>
            <w:tcW w:w="439" w:type="pct"/>
            <w:tcBorders>
              <w:top w:val="single" w:sz="4" w:space="0" w:color="auto"/>
              <w:left w:val="single" w:sz="4" w:space="0" w:color="auto"/>
              <w:bottom w:val="single" w:sz="4" w:space="0" w:color="auto"/>
              <w:right w:val="single" w:sz="4" w:space="0" w:color="auto"/>
            </w:tcBorders>
            <w:vAlign w:val="center"/>
            <w:hideMark/>
          </w:tcPr>
          <w:p w14:paraId="7218F73E" w14:textId="77777777" w:rsidR="0062309A" w:rsidRPr="004E13E9" w:rsidRDefault="0062309A" w:rsidP="0062309A">
            <w:pPr>
              <w:rPr>
                <w:rFonts w:eastAsia="MS Gothic" w:cs="Times New Roman"/>
                <w:sz w:val="14"/>
                <w:szCs w:val="14"/>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42D1EBBA" w14:textId="77777777" w:rsidR="0062309A" w:rsidRPr="004E13E9" w:rsidRDefault="0062309A" w:rsidP="0062309A">
            <w:pPr>
              <w:rPr>
                <w:rFonts w:eastAsia="MS Gothic" w:cs="Times New Roman"/>
                <w:sz w:val="14"/>
                <w:szCs w:val="14"/>
              </w:rPr>
            </w:pPr>
          </w:p>
        </w:tc>
        <w:tc>
          <w:tcPr>
            <w:tcW w:w="293" w:type="pct"/>
            <w:tcBorders>
              <w:top w:val="single" w:sz="4" w:space="0" w:color="auto"/>
              <w:left w:val="single" w:sz="4" w:space="0" w:color="auto"/>
              <w:bottom w:val="single" w:sz="4" w:space="0" w:color="auto"/>
              <w:right w:val="single" w:sz="4" w:space="0" w:color="auto"/>
            </w:tcBorders>
            <w:vAlign w:val="center"/>
          </w:tcPr>
          <w:p w14:paraId="0A4D0F1F" w14:textId="77777777" w:rsidR="0062309A" w:rsidRPr="004E13E9" w:rsidRDefault="0062309A" w:rsidP="0062309A">
            <w:pPr>
              <w:widowControl w:val="0"/>
              <w:jc w:val="center"/>
              <w:rPr>
                <w:rFonts w:eastAsia="Times New Roman" w:cs="Calibri"/>
                <w:color w:val="000000"/>
                <w:sz w:val="14"/>
                <w:szCs w:val="14"/>
                <w:lang w:val="fr-FR" w:eastAsia="ja-JP" w:bidi="fr-FR"/>
              </w:rPr>
            </w:pPr>
          </w:p>
        </w:tc>
      </w:tr>
      <w:tr w:rsidR="0062309A" w:rsidRPr="004E13E9" w14:paraId="64C18A93"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noWrap/>
            <w:vAlign w:val="center"/>
            <w:hideMark/>
          </w:tcPr>
          <w:p w14:paraId="309DF1E0" w14:textId="77777777" w:rsidR="0062309A" w:rsidRPr="004E13E9" w:rsidRDefault="0062309A" w:rsidP="0062309A">
            <w:pPr>
              <w:widowControl w:val="0"/>
              <w:jc w:val="both"/>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Senneur de moins de 24m</w:t>
            </w:r>
          </w:p>
        </w:tc>
        <w:tc>
          <w:tcPr>
            <w:tcW w:w="243" w:type="pct"/>
            <w:tcBorders>
              <w:top w:val="single" w:sz="4" w:space="0" w:color="auto"/>
              <w:left w:val="single" w:sz="4" w:space="0" w:color="auto"/>
              <w:bottom w:val="single" w:sz="4" w:space="0" w:color="auto"/>
              <w:right w:val="single" w:sz="4" w:space="0" w:color="auto"/>
            </w:tcBorders>
            <w:noWrap/>
            <w:vAlign w:val="center"/>
            <w:hideMark/>
          </w:tcPr>
          <w:p w14:paraId="3654E482"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33,68</w:t>
            </w:r>
          </w:p>
        </w:tc>
        <w:tc>
          <w:tcPr>
            <w:tcW w:w="200" w:type="pct"/>
            <w:tcBorders>
              <w:top w:val="single" w:sz="4" w:space="0" w:color="auto"/>
              <w:left w:val="single" w:sz="4" w:space="0" w:color="auto"/>
              <w:bottom w:val="single" w:sz="4" w:space="0" w:color="auto"/>
              <w:right w:val="single" w:sz="4" w:space="0" w:color="auto"/>
            </w:tcBorders>
            <w:vAlign w:val="center"/>
          </w:tcPr>
          <w:p w14:paraId="71CF29AA"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337E41D0"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0DAFA780"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26B9924C"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382E3B50"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tcPr>
          <w:p w14:paraId="60A62D66"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62288AE1"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864B7FF"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5AF39ECE"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4F2037A0"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hideMark/>
          </w:tcPr>
          <w:p w14:paraId="2202D975" w14:textId="77777777" w:rsidR="0062309A" w:rsidRPr="004E13E9" w:rsidRDefault="0062309A" w:rsidP="0062309A">
            <w:pPr>
              <w:rPr>
                <w:rFonts w:eastAsia="MS Gothic" w:cs="Times New Roman"/>
                <w:sz w:val="14"/>
                <w:szCs w:val="14"/>
              </w:rPr>
            </w:pPr>
          </w:p>
        </w:tc>
        <w:tc>
          <w:tcPr>
            <w:tcW w:w="434" w:type="pct"/>
            <w:tcBorders>
              <w:top w:val="single" w:sz="4" w:space="0" w:color="auto"/>
              <w:left w:val="single" w:sz="4" w:space="0" w:color="auto"/>
              <w:bottom w:val="single" w:sz="4" w:space="0" w:color="auto"/>
              <w:right w:val="single" w:sz="4" w:space="0" w:color="auto"/>
            </w:tcBorders>
            <w:vAlign w:val="center"/>
            <w:hideMark/>
          </w:tcPr>
          <w:p w14:paraId="625D194B" w14:textId="77777777" w:rsidR="0062309A" w:rsidRPr="004E13E9" w:rsidRDefault="0062309A" w:rsidP="0062309A">
            <w:pPr>
              <w:rPr>
                <w:rFonts w:eastAsia="MS Gothic" w:cs="Times New Roman"/>
                <w:sz w:val="14"/>
                <w:szCs w:val="14"/>
              </w:rPr>
            </w:pPr>
          </w:p>
        </w:tc>
        <w:tc>
          <w:tcPr>
            <w:tcW w:w="439" w:type="pct"/>
            <w:tcBorders>
              <w:top w:val="single" w:sz="4" w:space="0" w:color="auto"/>
              <w:left w:val="single" w:sz="4" w:space="0" w:color="auto"/>
              <w:bottom w:val="single" w:sz="4" w:space="0" w:color="auto"/>
              <w:right w:val="single" w:sz="4" w:space="0" w:color="auto"/>
            </w:tcBorders>
            <w:vAlign w:val="center"/>
            <w:hideMark/>
          </w:tcPr>
          <w:p w14:paraId="28A05081" w14:textId="77777777" w:rsidR="0062309A" w:rsidRPr="004E13E9" w:rsidRDefault="0062309A" w:rsidP="0062309A">
            <w:pPr>
              <w:rPr>
                <w:rFonts w:eastAsia="MS Gothic" w:cs="Times New Roman"/>
                <w:sz w:val="14"/>
                <w:szCs w:val="14"/>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293D1AD0" w14:textId="77777777" w:rsidR="0062309A" w:rsidRPr="004E13E9" w:rsidRDefault="0062309A" w:rsidP="0062309A">
            <w:pPr>
              <w:rPr>
                <w:rFonts w:eastAsia="MS Gothic" w:cs="Times New Roman"/>
                <w:sz w:val="14"/>
                <w:szCs w:val="14"/>
              </w:rPr>
            </w:pPr>
          </w:p>
        </w:tc>
        <w:tc>
          <w:tcPr>
            <w:tcW w:w="293" w:type="pct"/>
            <w:tcBorders>
              <w:top w:val="single" w:sz="4" w:space="0" w:color="auto"/>
              <w:left w:val="single" w:sz="4" w:space="0" w:color="auto"/>
              <w:bottom w:val="single" w:sz="4" w:space="0" w:color="auto"/>
              <w:right w:val="single" w:sz="4" w:space="0" w:color="auto"/>
            </w:tcBorders>
            <w:vAlign w:val="center"/>
          </w:tcPr>
          <w:p w14:paraId="283A6F03" w14:textId="77777777" w:rsidR="0062309A" w:rsidRPr="004E13E9" w:rsidRDefault="0062309A" w:rsidP="0062309A">
            <w:pPr>
              <w:widowControl w:val="0"/>
              <w:jc w:val="center"/>
              <w:rPr>
                <w:rFonts w:eastAsia="Times New Roman" w:cs="Calibri"/>
                <w:color w:val="000000"/>
                <w:sz w:val="14"/>
                <w:szCs w:val="14"/>
                <w:lang w:val="fr-FR" w:eastAsia="ja-JP" w:bidi="fr-FR"/>
              </w:rPr>
            </w:pPr>
          </w:p>
        </w:tc>
      </w:tr>
      <w:tr w:rsidR="0062309A" w:rsidRPr="004E13E9" w14:paraId="4B43162A"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noWrap/>
            <w:vAlign w:val="center"/>
            <w:hideMark/>
          </w:tcPr>
          <w:p w14:paraId="6FEE03FD" w14:textId="77777777" w:rsidR="0062309A" w:rsidRPr="004E13E9" w:rsidRDefault="0062309A" w:rsidP="0062309A">
            <w:pPr>
              <w:widowControl w:val="0"/>
              <w:jc w:val="both"/>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Flottille totale de senneurs</w:t>
            </w:r>
          </w:p>
        </w:tc>
        <w:tc>
          <w:tcPr>
            <w:tcW w:w="243" w:type="pct"/>
            <w:tcBorders>
              <w:top w:val="single" w:sz="4" w:space="0" w:color="auto"/>
              <w:left w:val="single" w:sz="4" w:space="0" w:color="auto"/>
              <w:bottom w:val="single" w:sz="4" w:space="0" w:color="auto"/>
              <w:right w:val="single" w:sz="4" w:space="0" w:color="auto"/>
            </w:tcBorders>
            <w:noWrap/>
            <w:vAlign w:val="center"/>
            <w:hideMark/>
          </w:tcPr>
          <w:p w14:paraId="191BF1E8" w14:textId="77777777" w:rsidR="0062309A" w:rsidRPr="004E13E9" w:rsidRDefault="0062309A" w:rsidP="0062309A">
            <w:pPr>
              <w:widowControl w:val="0"/>
              <w:jc w:val="both"/>
              <w:rPr>
                <w:rFonts w:eastAsia="Times New Roman" w:cs="Calibri"/>
                <w:b/>
                <w:bCs/>
                <w:color w:val="000000"/>
                <w:sz w:val="14"/>
                <w:szCs w:val="14"/>
                <w:lang w:val="fr-FR" w:eastAsia="fr-FR"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601C0175"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2D70DDD7"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5DFB5001"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0D391A79"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62B93AD8"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tcPr>
          <w:p w14:paraId="771354B8"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3BA61865"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E02B6C7"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792AD332"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7AF51C5F"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hideMark/>
          </w:tcPr>
          <w:p w14:paraId="284E686B" w14:textId="77777777" w:rsidR="0062309A" w:rsidRPr="004E13E9" w:rsidRDefault="0062309A" w:rsidP="0062309A">
            <w:pPr>
              <w:rPr>
                <w:rFonts w:eastAsia="MS Gothic" w:cs="Times New Roman"/>
                <w:sz w:val="14"/>
                <w:szCs w:val="14"/>
              </w:rPr>
            </w:pPr>
          </w:p>
        </w:tc>
        <w:tc>
          <w:tcPr>
            <w:tcW w:w="434" w:type="pct"/>
            <w:tcBorders>
              <w:top w:val="single" w:sz="4" w:space="0" w:color="auto"/>
              <w:left w:val="single" w:sz="4" w:space="0" w:color="auto"/>
              <w:bottom w:val="single" w:sz="4" w:space="0" w:color="auto"/>
              <w:right w:val="single" w:sz="4" w:space="0" w:color="auto"/>
            </w:tcBorders>
            <w:vAlign w:val="center"/>
            <w:hideMark/>
          </w:tcPr>
          <w:p w14:paraId="630886BE" w14:textId="77777777" w:rsidR="0062309A" w:rsidRPr="004E13E9" w:rsidRDefault="0062309A" w:rsidP="0062309A">
            <w:pPr>
              <w:rPr>
                <w:rFonts w:eastAsia="MS Gothic" w:cs="Times New Roman"/>
                <w:sz w:val="14"/>
                <w:szCs w:val="14"/>
              </w:rPr>
            </w:pPr>
          </w:p>
        </w:tc>
        <w:tc>
          <w:tcPr>
            <w:tcW w:w="439" w:type="pct"/>
            <w:tcBorders>
              <w:top w:val="single" w:sz="4" w:space="0" w:color="auto"/>
              <w:left w:val="single" w:sz="4" w:space="0" w:color="auto"/>
              <w:bottom w:val="single" w:sz="4" w:space="0" w:color="auto"/>
              <w:right w:val="single" w:sz="4" w:space="0" w:color="auto"/>
            </w:tcBorders>
            <w:vAlign w:val="center"/>
            <w:hideMark/>
          </w:tcPr>
          <w:p w14:paraId="592617DD" w14:textId="77777777" w:rsidR="0062309A" w:rsidRPr="004E13E9" w:rsidRDefault="0062309A" w:rsidP="0062309A">
            <w:pPr>
              <w:rPr>
                <w:rFonts w:eastAsia="MS Gothic" w:cs="Times New Roman"/>
                <w:sz w:val="14"/>
                <w:szCs w:val="14"/>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256E6842" w14:textId="77777777" w:rsidR="0062309A" w:rsidRPr="004E13E9" w:rsidRDefault="0062309A" w:rsidP="0062309A">
            <w:pPr>
              <w:rPr>
                <w:rFonts w:eastAsia="MS Gothic" w:cs="Times New Roman"/>
                <w:sz w:val="14"/>
                <w:szCs w:val="14"/>
              </w:rPr>
            </w:pPr>
          </w:p>
        </w:tc>
        <w:tc>
          <w:tcPr>
            <w:tcW w:w="293" w:type="pct"/>
            <w:tcBorders>
              <w:top w:val="single" w:sz="4" w:space="0" w:color="auto"/>
              <w:left w:val="single" w:sz="4" w:space="0" w:color="auto"/>
              <w:bottom w:val="single" w:sz="4" w:space="0" w:color="auto"/>
              <w:right w:val="single" w:sz="4" w:space="0" w:color="auto"/>
            </w:tcBorders>
            <w:vAlign w:val="center"/>
          </w:tcPr>
          <w:p w14:paraId="17A25FD4"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r>
      <w:tr w:rsidR="0062309A" w:rsidRPr="004E13E9" w14:paraId="6F9C0B67"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noWrap/>
            <w:vAlign w:val="center"/>
            <w:hideMark/>
          </w:tcPr>
          <w:p w14:paraId="67B63467" w14:textId="77777777" w:rsidR="0062309A" w:rsidRPr="004E13E9" w:rsidRDefault="0062309A" w:rsidP="0062309A">
            <w:pPr>
              <w:widowControl w:val="0"/>
              <w:jc w:val="both"/>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Palangrier de plus de 40 m</w:t>
            </w:r>
          </w:p>
        </w:tc>
        <w:tc>
          <w:tcPr>
            <w:tcW w:w="243" w:type="pct"/>
            <w:tcBorders>
              <w:top w:val="single" w:sz="4" w:space="0" w:color="auto"/>
              <w:left w:val="single" w:sz="4" w:space="0" w:color="auto"/>
              <w:bottom w:val="single" w:sz="4" w:space="0" w:color="auto"/>
              <w:right w:val="single" w:sz="4" w:space="0" w:color="auto"/>
            </w:tcBorders>
            <w:noWrap/>
            <w:vAlign w:val="center"/>
            <w:hideMark/>
          </w:tcPr>
          <w:p w14:paraId="540549E1"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25</w:t>
            </w:r>
          </w:p>
        </w:tc>
        <w:tc>
          <w:tcPr>
            <w:tcW w:w="200" w:type="pct"/>
            <w:tcBorders>
              <w:top w:val="single" w:sz="4" w:space="0" w:color="auto"/>
              <w:left w:val="single" w:sz="4" w:space="0" w:color="auto"/>
              <w:bottom w:val="single" w:sz="4" w:space="0" w:color="auto"/>
              <w:right w:val="single" w:sz="4" w:space="0" w:color="auto"/>
            </w:tcBorders>
            <w:vAlign w:val="center"/>
          </w:tcPr>
          <w:p w14:paraId="69F01D3E"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3B9ED1EE"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56E85B58"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2B052E8A"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3</w:t>
            </w:r>
          </w:p>
        </w:tc>
        <w:tc>
          <w:tcPr>
            <w:tcW w:w="200" w:type="pct"/>
            <w:tcBorders>
              <w:top w:val="single" w:sz="4" w:space="0" w:color="auto"/>
              <w:left w:val="single" w:sz="4" w:space="0" w:color="auto"/>
              <w:bottom w:val="single" w:sz="4" w:space="0" w:color="auto"/>
              <w:right w:val="single" w:sz="4" w:space="0" w:color="auto"/>
            </w:tcBorders>
            <w:vAlign w:val="center"/>
            <w:hideMark/>
          </w:tcPr>
          <w:p w14:paraId="00D7295F"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3</w:t>
            </w:r>
          </w:p>
        </w:tc>
        <w:tc>
          <w:tcPr>
            <w:tcW w:w="200" w:type="pct"/>
            <w:tcBorders>
              <w:top w:val="single" w:sz="4" w:space="0" w:color="auto"/>
              <w:left w:val="single" w:sz="4" w:space="0" w:color="auto"/>
              <w:bottom w:val="single" w:sz="4" w:space="0" w:color="auto"/>
              <w:right w:val="single" w:sz="4" w:space="0" w:color="auto"/>
            </w:tcBorders>
            <w:vAlign w:val="center"/>
            <w:hideMark/>
          </w:tcPr>
          <w:p w14:paraId="595ACEB1"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3</w:t>
            </w:r>
          </w:p>
        </w:tc>
        <w:tc>
          <w:tcPr>
            <w:tcW w:w="200" w:type="pct"/>
            <w:tcBorders>
              <w:top w:val="single" w:sz="4" w:space="0" w:color="auto"/>
              <w:left w:val="single" w:sz="4" w:space="0" w:color="auto"/>
              <w:bottom w:val="single" w:sz="4" w:space="0" w:color="auto"/>
              <w:right w:val="single" w:sz="4" w:space="0" w:color="auto"/>
            </w:tcBorders>
            <w:vAlign w:val="center"/>
            <w:hideMark/>
          </w:tcPr>
          <w:p w14:paraId="0BB84A73"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3</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80CDD2B" w14:textId="77777777" w:rsidR="0062309A" w:rsidRPr="004E13E9" w:rsidRDefault="0062309A" w:rsidP="0062309A">
            <w:pPr>
              <w:widowControl w:val="0"/>
              <w:jc w:val="both"/>
              <w:rPr>
                <w:rFonts w:eastAsia="Times New Roman" w:cs="Calibri"/>
                <w:color w:val="000000"/>
                <w:sz w:val="14"/>
                <w:szCs w:val="14"/>
                <w:lang w:val="fr-FR" w:eastAsia="fr-FR"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608D87B8"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309C9A87"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hideMark/>
          </w:tcPr>
          <w:p w14:paraId="02E0EA1D" w14:textId="77777777" w:rsidR="0062309A" w:rsidRPr="004E13E9" w:rsidRDefault="0062309A" w:rsidP="0062309A">
            <w:pPr>
              <w:rPr>
                <w:rFonts w:eastAsia="MS Gothic" w:cs="Times New Roman"/>
                <w:sz w:val="14"/>
                <w:szCs w:val="14"/>
              </w:rPr>
            </w:pPr>
          </w:p>
        </w:tc>
        <w:tc>
          <w:tcPr>
            <w:tcW w:w="434" w:type="pct"/>
            <w:tcBorders>
              <w:top w:val="single" w:sz="4" w:space="0" w:color="auto"/>
              <w:left w:val="single" w:sz="4" w:space="0" w:color="auto"/>
              <w:bottom w:val="single" w:sz="4" w:space="0" w:color="auto"/>
              <w:right w:val="single" w:sz="4" w:space="0" w:color="auto"/>
            </w:tcBorders>
            <w:vAlign w:val="center"/>
            <w:hideMark/>
          </w:tcPr>
          <w:p w14:paraId="09820F70"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75</w:t>
            </w:r>
          </w:p>
        </w:tc>
        <w:tc>
          <w:tcPr>
            <w:tcW w:w="439" w:type="pct"/>
            <w:tcBorders>
              <w:top w:val="single" w:sz="4" w:space="0" w:color="auto"/>
              <w:left w:val="single" w:sz="4" w:space="0" w:color="auto"/>
              <w:bottom w:val="single" w:sz="4" w:space="0" w:color="auto"/>
              <w:right w:val="single" w:sz="4" w:space="0" w:color="auto"/>
            </w:tcBorders>
            <w:vAlign w:val="center"/>
            <w:hideMark/>
          </w:tcPr>
          <w:p w14:paraId="5D96F84E"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75</w:t>
            </w:r>
          </w:p>
        </w:tc>
        <w:tc>
          <w:tcPr>
            <w:tcW w:w="344" w:type="pct"/>
            <w:tcBorders>
              <w:top w:val="single" w:sz="4" w:space="0" w:color="auto"/>
              <w:left w:val="single" w:sz="4" w:space="0" w:color="auto"/>
              <w:bottom w:val="single" w:sz="4" w:space="0" w:color="auto"/>
              <w:right w:val="single" w:sz="4" w:space="0" w:color="auto"/>
            </w:tcBorders>
            <w:vAlign w:val="center"/>
            <w:hideMark/>
          </w:tcPr>
          <w:p w14:paraId="03C0B726"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75</w:t>
            </w:r>
          </w:p>
        </w:tc>
        <w:tc>
          <w:tcPr>
            <w:tcW w:w="293" w:type="pct"/>
            <w:tcBorders>
              <w:top w:val="single" w:sz="4" w:space="0" w:color="auto"/>
              <w:left w:val="single" w:sz="4" w:space="0" w:color="auto"/>
              <w:bottom w:val="single" w:sz="4" w:space="0" w:color="auto"/>
              <w:right w:val="single" w:sz="4" w:space="0" w:color="auto"/>
            </w:tcBorders>
            <w:vAlign w:val="center"/>
            <w:hideMark/>
          </w:tcPr>
          <w:p w14:paraId="133EE9CD"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75</w:t>
            </w:r>
          </w:p>
        </w:tc>
      </w:tr>
      <w:tr w:rsidR="0062309A" w:rsidRPr="004E13E9" w14:paraId="757978FB"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noWrap/>
            <w:vAlign w:val="center"/>
            <w:hideMark/>
          </w:tcPr>
          <w:p w14:paraId="506E5585" w14:textId="77777777" w:rsidR="0062309A" w:rsidRPr="004E13E9" w:rsidRDefault="0062309A" w:rsidP="0062309A">
            <w:pPr>
              <w:widowControl w:val="0"/>
              <w:jc w:val="both"/>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Palangrier entre 24 et 40 m</w:t>
            </w:r>
          </w:p>
        </w:tc>
        <w:tc>
          <w:tcPr>
            <w:tcW w:w="243" w:type="pct"/>
            <w:tcBorders>
              <w:top w:val="single" w:sz="4" w:space="0" w:color="auto"/>
              <w:left w:val="single" w:sz="4" w:space="0" w:color="auto"/>
              <w:bottom w:val="single" w:sz="4" w:space="0" w:color="auto"/>
              <w:right w:val="single" w:sz="4" w:space="0" w:color="auto"/>
            </w:tcBorders>
            <w:noWrap/>
            <w:vAlign w:val="center"/>
            <w:hideMark/>
          </w:tcPr>
          <w:p w14:paraId="33D3A6C2"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5,68</w:t>
            </w:r>
          </w:p>
        </w:tc>
        <w:tc>
          <w:tcPr>
            <w:tcW w:w="200" w:type="pct"/>
            <w:tcBorders>
              <w:top w:val="single" w:sz="4" w:space="0" w:color="auto"/>
              <w:left w:val="single" w:sz="4" w:space="0" w:color="auto"/>
              <w:bottom w:val="single" w:sz="4" w:space="0" w:color="auto"/>
              <w:right w:val="single" w:sz="4" w:space="0" w:color="auto"/>
            </w:tcBorders>
            <w:vAlign w:val="center"/>
          </w:tcPr>
          <w:p w14:paraId="59B13957"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7EF1A8C6"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17E4C2E5"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3E15948C"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5CF09207"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tcPr>
          <w:p w14:paraId="141F0836"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058AC827"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82D2D0D"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38261DFF"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2959840C"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hideMark/>
          </w:tcPr>
          <w:p w14:paraId="6A2B93FA" w14:textId="77777777" w:rsidR="0062309A" w:rsidRPr="004E13E9" w:rsidRDefault="0062309A" w:rsidP="0062309A">
            <w:pPr>
              <w:rPr>
                <w:rFonts w:eastAsia="MS Gothic" w:cs="Times New Roman"/>
                <w:sz w:val="14"/>
                <w:szCs w:val="14"/>
              </w:rPr>
            </w:pPr>
          </w:p>
        </w:tc>
        <w:tc>
          <w:tcPr>
            <w:tcW w:w="434" w:type="pct"/>
            <w:tcBorders>
              <w:top w:val="single" w:sz="4" w:space="0" w:color="auto"/>
              <w:left w:val="single" w:sz="4" w:space="0" w:color="auto"/>
              <w:bottom w:val="single" w:sz="4" w:space="0" w:color="auto"/>
              <w:right w:val="single" w:sz="4" w:space="0" w:color="auto"/>
            </w:tcBorders>
            <w:vAlign w:val="center"/>
            <w:hideMark/>
          </w:tcPr>
          <w:p w14:paraId="24D8D2EF" w14:textId="77777777" w:rsidR="0062309A" w:rsidRPr="004E13E9" w:rsidRDefault="0062309A" w:rsidP="0062309A">
            <w:pPr>
              <w:rPr>
                <w:rFonts w:eastAsia="MS Gothic" w:cs="Times New Roman"/>
                <w:sz w:val="14"/>
                <w:szCs w:val="14"/>
              </w:rPr>
            </w:pPr>
          </w:p>
        </w:tc>
        <w:tc>
          <w:tcPr>
            <w:tcW w:w="439" w:type="pct"/>
            <w:tcBorders>
              <w:top w:val="single" w:sz="4" w:space="0" w:color="auto"/>
              <w:left w:val="single" w:sz="4" w:space="0" w:color="auto"/>
              <w:bottom w:val="single" w:sz="4" w:space="0" w:color="auto"/>
              <w:right w:val="single" w:sz="4" w:space="0" w:color="auto"/>
            </w:tcBorders>
            <w:vAlign w:val="center"/>
            <w:hideMark/>
          </w:tcPr>
          <w:p w14:paraId="2D20F0FE" w14:textId="77777777" w:rsidR="0062309A" w:rsidRPr="004E13E9" w:rsidRDefault="0062309A" w:rsidP="0062309A">
            <w:pPr>
              <w:rPr>
                <w:rFonts w:eastAsia="MS Gothic" w:cs="Times New Roman"/>
                <w:sz w:val="14"/>
                <w:szCs w:val="14"/>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63CA15C4" w14:textId="77777777" w:rsidR="0062309A" w:rsidRPr="004E13E9" w:rsidRDefault="0062309A" w:rsidP="0062309A">
            <w:pPr>
              <w:rPr>
                <w:rFonts w:eastAsia="MS Gothic" w:cs="Times New Roman"/>
                <w:sz w:val="14"/>
                <w:szCs w:val="14"/>
              </w:rPr>
            </w:pPr>
          </w:p>
        </w:tc>
        <w:tc>
          <w:tcPr>
            <w:tcW w:w="293" w:type="pct"/>
            <w:tcBorders>
              <w:top w:val="single" w:sz="4" w:space="0" w:color="auto"/>
              <w:left w:val="single" w:sz="4" w:space="0" w:color="auto"/>
              <w:bottom w:val="single" w:sz="4" w:space="0" w:color="auto"/>
              <w:right w:val="single" w:sz="4" w:space="0" w:color="auto"/>
            </w:tcBorders>
            <w:vAlign w:val="center"/>
          </w:tcPr>
          <w:p w14:paraId="5AB1E3B5" w14:textId="77777777" w:rsidR="0062309A" w:rsidRPr="004E13E9" w:rsidRDefault="0062309A" w:rsidP="0062309A">
            <w:pPr>
              <w:widowControl w:val="0"/>
              <w:jc w:val="center"/>
              <w:rPr>
                <w:rFonts w:eastAsia="Times New Roman" w:cs="Calibri"/>
                <w:color w:val="000000"/>
                <w:sz w:val="14"/>
                <w:szCs w:val="14"/>
                <w:lang w:val="fr-FR" w:eastAsia="ja-JP" w:bidi="fr-FR"/>
              </w:rPr>
            </w:pPr>
          </w:p>
        </w:tc>
      </w:tr>
      <w:tr w:rsidR="0062309A" w:rsidRPr="004E13E9" w14:paraId="18A0AE78"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noWrap/>
            <w:vAlign w:val="center"/>
            <w:hideMark/>
          </w:tcPr>
          <w:p w14:paraId="50233A68" w14:textId="77777777" w:rsidR="0062309A" w:rsidRPr="004E13E9" w:rsidRDefault="0062309A" w:rsidP="0062309A">
            <w:pPr>
              <w:widowControl w:val="0"/>
              <w:jc w:val="both"/>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Palangrier de moins de 24m</w:t>
            </w:r>
          </w:p>
        </w:tc>
        <w:tc>
          <w:tcPr>
            <w:tcW w:w="243" w:type="pct"/>
            <w:tcBorders>
              <w:top w:val="single" w:sz="4" w:space="0" w:color="auto"/>
              <w:left w:val="single" w:sz="4" w:space="0" w:color="auto"/>
              <w:bottom w:val="single" w:sz="4" w:space="0" w:color="auto"/>
              <w:right w:val="single" w:sz="4" w:space="0" w:color="auto"/>
            </w:tcBorders>
            <w:noWrap/>
            <w:vAlign w:val="center"/>
            <w:hideMark/>
          </w:tcPr>
          <w:p w14:paraId="7284801E"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5</w:t>
            </w:r>
          </w:p>
        </w:tc>
        <w:tc>
          <w:tcPr>
            <w:tcW w:w="200" w:type="pct"/>
            <w:tcBorders>
              <w:top w:val="single" w:sz="4" w:space="0" w:color="auto"/>
              <w:left w:val="single" w:sz="4" w:space="0" w:color="auto"/>
              <w:bottom w:val="single" w:sz="4" w:space="0" w:color="auto"/>
              <w:right w:val="single" w:sz="4" w:space="0" w:color="auto"/>
            </w:tcBorders>
            <w:vAlign w:val="center"/>
          </w:tcPr>
          <w:p w14:paraId="60340505"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46B1700D"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20247765"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32051AE9"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08E61F7C"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tcPr>
          <w:p w14:paraId="7F528C6B"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1CE1E3CD"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0ECFDED"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3ED62764"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38B20D4E"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hideMark/>
          </w:tcPr>
          <w:p w14:paraId="21B54B58" w14:textId="77777777" w:rsidR="0062309A" w:rsidRPr="004E13E9" w:rsidRDefault="0062309A" w:rsidP="0062309A">
            <w:pPr>
              <w:rPr>
                <w:rFonts w:eastAsia="MS Gothic" w:cs="Times New Roman"/>
                <w:sz w:val="14"/>
                <w:szCs w:val="14"/>
              </w:rPr>
            </w:pPr>
          </w:p>
        </w:tc>
        <w:tc>
          <w:tcPr>
            <w:tcW w:w="434" w:type="pct"/>
            <w:tcBorders>
              <w:top w:val="single" w:sz="4" w:space="0" w:color="auto"/>
              <w:left w:val="single" w:sz="4" w:space="0" w:color="auto"/>
              <w:bottom w:val="single" w:sz="4" w:space="0" w:color="auto"/>
              <w:right w:val="single" w:sz="4" w:space="0" w:color="auto"/>
            </w:tcBorders>
            <w:vAlign w:val="center"/>
            <w:hideMark/>
          </w:tcPr>
          <w:p w14:paraId="431838EC" w14:textId="77777777" w:rsidR="0062309A" w:rsidRPr="004E13E9" w:rsidRDefault="0062309A" w:rsidP="0062309A">
            <w:pPr>
              <w:rPr>
                <w:rFonts w:eastAsia="MS Gothic" w:cs="Times New Roman"/>
                <w:sz w:val="14"/>
                <w:szCs w:val="14"/>
              </w:rPr>
            </w:pPr>
          </w:p>
        </w:tc>
        <w:tc>
          <w:tcPr>
            <w:tcW w:w="439" w:type="pct"/>
            <w:tcBorders>
              <w:top w:val="single" w:sz="4" w:space="0" w:color="auto"/>
              <w:left w:val="single" w:sz="4" w:space="0" w:color="auto"/>
              <w:bottom w:val="single" w:sz="4" w:space="0" w:color="auto"/>
              <w:right w:val="single" w:sz="4" w:space="0" w:color="auto"/>
            </w:tcBorders>
            <w:vAlign w:val="center"/>
            <w:hideMark/>
          </w:tcPr>
          <w:p w14:paraId="134C9A4B" w14:textId="77777777" w:rsidR="0062309A" w:rsidRPr="004E13E9" w:rsidRDefault="0062309A" w:rsidP="0062309A">
            <w:pPr>
              <w:rPr>
                <w:rFonts w:eastAsia="MS Gothic" w:cs="Times New Roman"/>
                <w:sz w:val="14"/>
                <w:szCs w:val="14"/>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7CC7D994" w14:textId="77777777" w:rsidR="0062309A" w:rsidRPr="004E13E9" w:rsidRDefault="0062309A" w:rsidP="0062309A">
            <w:pPr>
              <w:rPr>
                <w:rFonts w:eastAsia="MS Gothic" w:cs="Times New Roman"/>
                <w:sz w:val="14"/>
                <w:szCs w:val="14"/>
              </w:rPr>
            </w:pPr>
          </w:p>
        </w:tc>
        <w:tc>
          <w:tcPr>
            <w:tcW w:w="293" w:type="pct"/>
            <w:tcBorders>
              <w:top w:val="single" w:sz="4" w:space="0" w:color="auto"/>
              <w:left w:val="single" w:sz="4" w:space="0" w:color="auto"/>
              <w:bottom w:val="single" w:sz="4" w:space="0" w:color="auto"/>
              <w:right w:val="single" w:sz="4" w:space="0" w:color="auto"/>
            </w:tcBorders>
            <w:vAlign w:val="center"/>
          </w:tcPr>
          <w:p w14:paraId="19F2F4A9" w14:textId="77777777" w:rsidR="0062309A" w:rsidRPr="004E13E9" w:rsidRDefault="0062309A" w:rsidP="0062309A">
            <w:pPr>
              <w:widowControl w:val="0"/>
              <w:jc w:val="center"/>
              <w:rPr>
                <w:rFonts w:eastAsia="Times New Roman" w:cs="Calibri"/>
                <w:color w:val="000000"/>
                <w:sz w:val="14"/>
                <w:szCs w:val="14"/>
                <w:lang w:val="fr-FR" w:eastAsia="ja-JP" w:bidi="fr-FR"/>
              </w:rPr>
            </w:pPr>
          </w:p>
        </w:tc>
      </w:tr>
      <w:tr w:rsidR="0062309A" w:rsidRPr="004E13E9" w14:paraId="40AAC572"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noWrap/>
            <w:vAlign w:val="center"/>
            <w:hideMark/>
          </w:tcPr>
          <w:p w14:paraId="6751F879" w14:textId="77777777" w:rsidR="0062309A" w:rsidRPr="004E13E9" w:rsidRDefault="0062309A" w:rsidP="0062309A">
            <w:pPr>
              <w:widowControl w:val="0"/>
              <w:jc w:val="both"/>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Flottille totale de palangriers</w:t>
            </w:r>
          </w:p>
        </w:tc>
        <w:tc>
          <w:tcPr>
            <w:tcW w:w="243" w:type="pct"/>
            <w:tcBorders>
              <w:top w:val="single" w:sz="4" w:space="0" w:color="auto"/>
              <w:left w:val="single" w:sz="4" w:space="0" w:color="auto"/>
              <w:bottom w:val="single" w:sz="4" w:space="0" w:color="auto"/>
              <w:right w:val="single" w:sz="4" w:space="0" w:color="auto"/>
            </w:tcBorders>
            <w:noWrap/>
            <w:vAlign w:val="center"/>
            <w:hideMark/>
          </w:tcPr>
          <w:p w14:paraId="4EB633B7" w14:textId="77777777" w:rsidR="0062309A" w:rsidRPr="004E13E9" w:rsidRDefault="0062309A" w:rsidP="0062309A">
            <w:pPr>
              <w:widowControl w:val="0"/>
              <w:jc w:val="both"/>
              <w:rPr>
                <w:rFonts w:eastAsia="Times New Roman" w:cs="Calibri"/>
                <w:b/>
                <w:bCs/>
                <w:color w:val="000000"/>
                <w:sz w:val="14"/>
                <w:szCs w:val="14"/>
                <w:lang w:val="fr-FR" w:eastAsia="fr-FR"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3EEAD3B0"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51C7E978"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7D5474F6"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2C17EF70" w14:textId="77777777" w:rsidR="0062309A" w:rsidRPr="004E13E9" w:rsidRDefault="0062309A" w:rsidP="0062309A">
            <w:pPr>
              <w:widowControl w:val="0"/>
              <w:jc w:val="center"/>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3</w:t>
            </w:r>
          </w:p>
        </w:tc>
        <w:tc>
          <w:tcPr>
            <w:tcW w:w="200" w:type="pct"/>
            <w:tcBorders>
              <w:top w:val="single" w:sz="4" w:space="0" w:color="auto"/>
              <w:left w:val="single" w:sz="4" w:space="0" w:color="auto"/>
              <w:bottom w:val="single" w:sz="4" w:space="0" w:color="auto"/>
              <w:right w:val="single" w:sz="4" w:space="0" w:color="auto"/>
            </w:tcBorders>
            <w:vAlign w:val="center"/>
            <w:hideMark/>
          </w:tcPr>
          <w:p w14:paraId="2D496F16" w14:textId="77777777" w:rsidR="0062309A" w:rsidRPr="004E13E9" w:rsidRDefault="0062309A" w:rsidP="0062309A">
            <w:pPr>
              <w:widowControl w:val="0"/>
              <w:jc w:val="center"/>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3</w:t>
            </w:r>
          </w:p>
        </w:tc>
        <w:tc>
          <w:tcPr>
            <w:tcW w:w="200" w:type="pct"/>
            <w:tcBorders>
              <w:top w:val="single" w:sz="4" w:space="0" w:color="auto"/>
              <w:left w:val="single" w:sz="4" w:space="0" w:color="auto"/>
              <w:bottom w:val="single" w:sz="4" w:space="0" w:color="auto"/>
              <w:right w:val="single" w:sz="4" w:space="0" w:color="auto"/>
            </w:tcBorders>
            <w:vAlign w:val="center"/>
            <w:hideMark/>
          </w:tcPr>
          <w:p w14:paraId="753758D5" w14:textId="77777777" w:rsidR="0062309A" w:rsidRPr="004E13E9" w:rsidRDefault="0062309A" w:rsidP="0062309A">
            <w:pPr>
              <w:widowControl w:val="0"/>
              <w:jc w:val="center"/>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3</w:t>
            </w:r>
          </w:p>
        </w:tc>
        <w:tc>
          <w:tcPr>
            <w:tcW w:w="200" w:type="pct"/>
            <w:tcBorders>
              <w:top w:val="single" w:sz="4" w:space="0" w:color="auto"/>
              <w:left w:val="single" w:sz="4" w:space="0" w:color="auto"/>
              <w:bottom w:val="single" w:sz="4" w:space="0" w:color="auto"/>
              <w:right w:val="single" w:sz="4" w:space="0" w:color="auto"/>
            </w:tcBorders>
            <w:vAlign w:val="center"/>
            <w:hideMark/>
          </w:tcPr>
          <w:p w14:paraId="6757EC45"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3</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3100DE0" w14:textId="77777777" w:rsidR="0062309A" w:rsidRPr="004E13E9" w:rsidRDefault="0062309A" w:rsidP="0062309A">
            <w:pPr>
              <w:widowControl w:val="0"/>
              <w:jc w:val="both"/>
              <w:rPr>
                <w:rFonts w:eastAsia="Times New Roman" w:cs="Calibri"/>
                <w:color w:val="000000"/>
                <w:sz w:val="14"/>
                <w:szCs w:val="14"/>
                <w:lang w:val="fr-FR" w:eastAsia="fr-FR"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09F1190E"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015AD6ED"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hideMark/>
          </w:tcPr>
          <w:p w14:paraId="14F3F55A" w14:textId="77777777" w:rsidR="0062309A" w:rsidRPr="004E13E9" w:rsidRDefault="0062309A" w:rsidP="0062309A">
            <w:pPr>
              <w:rPr>
                <w:rFonts w:eastAsia="MS Gothic" w:cs="Times New Roman"/>
                <w:sz w:val="14"/>
                <w:szCs w:val="14"/>
              </w:rPr>
            </w:pPr>
          </w:p>
        </w:tc>
        <w:tc>
          <w:tcPr>
            <w:tcW w:w="434" w:type="pct"/>
            <w:tcBorders>
              <w:top w:val="single" w:sz="4" w:space="0" w:color="auto"/>
              <w:left w:val="single" w:sz="4" w:space="0" w:color="auto"/>
              <w:bottom w:val="single" w:sz="4" w:space="0" w:color="auto"/>
              <w:right w:val="single" w:sz="4" w:space="0" w:color="auto"/>
            </w:tcBorders>
            <w:vAlign w:val="center"/>
            <w:hideMark/>
          </w:tcPr>
          <w:p w14:paraId="6E183A76" w14:textId="77777777" w:rsidR="0062309A" w:rsidRPr="004E13E9" w:rsidRDefault="0062309A" w:rsidP="0062309A">
            <w:pPr>
              <w:rPr>
                <w:rFonts w:eastAsia="MS Gothic" w:cs="Times New Roman"/>
                <w:sz w:val="14"/>
                <w:szCs w:val="14"/>
              </w:rPr>
            </w:pPr>
          </w:p>
        </w:tc>
        <w:tc>
          <w:tcPr>
            <w:tcW w:w="439" w:type="pct"/>
            <w:tcBorders>
              <w:top w:val="single" w:sz="4" w:space="0" w:color="auto"/>
              <w:left w:val="single" w:sz="4" w:space="0" w:color="auto"/>
              <w:bottom w:val="single" w:sz="4" w:space="0" w:color="auto"/>
              <w:right w:val="single" w:sz="4" w:space="0" w:color="auto"/>
            </w:tcBorders>
            <w:vAlign w:val="center"/>
            <w:hideMark/>
          </w:tcPr>
          <w:p w14:paraId="3287B21F" w14:textId="77777777" w:rsidR="0062309A" w:rsidRPr="004E13E9" w:rsidRDefault="0062309A" w:rsidP="0062309A">
            <w:pPr>
              <w:rPr>
                <w:rFonts w:eastAsia="MS Gothic" w:cs="Times New Roman"/>
                <w:sz w:val="14"/>
                <w:szCs w:val="14"/>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1AC92B0D" w14:textId="77777777" w:rsidR="0062309A" w:rsidRPr="004E13E9" w:rsidRDefault="0062309A" w:rsidP="0062309A">
            <w:pPr>
              <w:rPr>
                <w:rFonts w:eastAsia="MS Gothic" w:cs="Times New Roman"/>
                <w:sz w:val="14"/>
                <w:szCs w:val="14"/>
              </w:rPr>
            </w:pPr>
          </w:p>
        </w:tc>
        <w:tc>
          <w:tcPr>
            <w:tcW w:w="293" w:type="pct"/>
            <w:tcBorders>
              <w:top w:val="single" w:sz="4" w:space="0" w:color="auto"/>
              <w:left w:val="single" w:sz="4" w:space="0" w:color="auto"/>
              <w:bottom w:val="single" w:sz="4" w:space="0" w:color="auto"/>
              <w:right w:val="single" w:sz="4" w:space="0" w:color="auto"/>
            </w:tcBorders>
            <w:vAlign w:val="center"/>
          </w:tcPr>
          <w:p w14:paraId="328558C1"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r>
      <w:tr w:rsidR="0062309A" w:rsidRPr="004E13E9" w14:paraId="387CC1CE"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noWrap/>
            <w:vAlign w:val="center"/>
            <w:hideMark/>
          </w:tcPr>
          <w:p w14:paraId="72657E61" w14:textId="77777777" w:rsidR="0062309A" w:rsidRPr="004E13E9" w:rsidRDefault="0062309A" w:rsidP="0062309A">
            <w:pPr>
              <w:widowControl w:val="0"/>
              <w:jc w:val="both"/>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Canneur</w:t>
            </w:r>
          </w:p>
        </w:tc>
        <w:tc>
          <w:tcPr>
            <w:tcW w:w="243" w:type="pct"/>
            <w:tcBorders>
              <w:top w:val="single" w:sz="4" w:space="0" w:color="auto"/>
              <w:left w:val="single" w:sz="4" w:space="0" w:color="auto"/>
              <w:bottom w:val="single" w:sz="4" w:space="0" w:color="auto"/>
              <w:right w:val="single" w:sz="4" w:space="0" w:color="auto"/>
            </w:tcBorders>
            <w:noWrap/>
            <w:vAlign w:val="center"/>
            <w:hideMark/>
          </w:tcPr>
          <w:p w14:paraId="3AAE3285"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19,75</w:t>
            </w:r>
          </w:p>
        </w:tc>
        <w:tc>
          <w:tcPr>
            <w:tcW w:w="200" w:type="pct"/>
            <w:tcBorders>
              <w:top w:val="single" w:sz="4" w:space="0" w:color="auto"/>
              <w:left w:val="single" w:sz="4" w:space="0" w:color="auto"/>
              <w:bottom w:val="single" w:sz="4" w:space="0" w:color="auto"/>
              <w:right w:val="single" w:sz="4" w:space="0" w:color="auto"/>
            </w:tcBorders>
            <w:vAlign w:val="center"/>
          </w:tcPr>
          <w:p w14:paraId="47D4E5B8"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4D7D8FAC"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64FD8C6E"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6E0134B8"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3F50721A"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tcPr>
          <w:p w14:paraId="0C3621A5"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13B57463"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33EAB58"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06401D59"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64B292A8"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hideMark/>
          </w:tcPr>
          <w:p w14:paraId="31B12122" w14:textId="77777777" w:rsidR="0062309A" w:rsidRPr="004E13E9" w:rsidRDefault="0062309A" w:rsidP="0062309A">
            <w:pPr>
              <w:rPr>
                <w:rFonts w:eastAsia="MS Gothic" w:cs="Times New Roman"/>
                <w:sz w:val="14"/>
                <w:szCs w:val="14"/>
              </w:rPr>
            </w:pPr>
          </w:p>
        </w:tc>
        <w:tc>
          <w:tcPr>
            <w:tcW w:w="434" w:type="pct"/>
            <w:tcBorders>
              <w:top w:val="single" w:sz="4" w:space="0" w:color="auto"/>
              <w:left w:val="single" w:sz="4" w:space="0" w:color="auto"/>
              <w:bottom w:val="single" w:sz="4" w:space="0" w:color="auto"/>
              <w:right w:val="single" w:sz="4" w:space="0" w:color="auto"/>
            </w:tcBorders>
            <w:vAlign w:val="center"/>
            <w:hideMark/>
          </w:tcPr>
          <w:p w14:paraId="7350D09E" w14:textId="77777777" w:rsidR="0062309A" w:rsidRPr="004E13E9" w:rsidRDefault="0062309A" w:rsidP="0062309A">
            <w:pPr>
              <w:rPr>
                <w:rFonts w:eastAsia="MS Gothic" w:cs="Times New Roman"/>
                <w:sz w:val="14"/>
                <w:szCs w:val="14"/>
              </w:rPr>
            </w:pPr>
          </w:p>
        </w:tc>
        <w:tc>
          <w:tcPr>
            <w:tcW w:w="439" w:type="pct"/>
            <w:tcBorders>
              <w:top w:val="single" w:sz="4" w:space="0" w:color="auto"/>
              <w:left w:val="single" w:sz="4" w:space="0" w:color="auto"/>
              <w:bottom w:val="single" w:sz="4" w:space="0" w:color="auto"/>
              <w:right w:val="single" w:sz="4" w:space="0" w:color="auto"/>
            </w:tcBorders>
            <w:vAlign w:val="center"/>
            <w:hideMark/>
          </w:tcPr>
          <w:p w14:paraId="7E60313C" w14:textId="77777777" w:rsidR="0062309A" w:rsidRPr="004E13E9" w:rsidRDefault="0062309A" w:rsidP="0062309A">
            <w:pPr>
              <w:rPr>
                <w:rFonts w:eastAsia="MS Gothic" w:cs="Times New Roman"/>
                <w:sz w:val="14"/>
                <w:szCs w:val="14"/>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4B4DC41B" w14:textId="77777777" w:rsidR="0062309A" w:rsidRPr="004E13E9" w:rsidRDefault="0062309A" w:rsidP="0062309A">
            <w:pPr>
              <w:rPr>
                <w:rFonts w:eastAsia="MS Gothic" w:cs="Times New Roman"/>
                <w:sz w:val="14"/>
                <w:szCs w:val="14"/>
              </w:rPr>
            </w:pPr>
          </w:p>
        </w:tc>
        <w:tc>
          <w:tcPr>
            <w:tcW w:w="293" w:type="pct"/>
            <w:tcBorders>
              <w:top w:val="single" w:sz="4" w:space="0" w:color="auto"/>
              <w:left w:val="single" w:sz="4" w:space="0" w:color="auto"/>
              <w:bottom w:val="single" w:sz="4" w:space="0" w:color="auto"/>
              <w:right w:val="single" w:sz="4" w:space="0" w:color="auto"/>
            </w:tcBorders>
            <w:vAlign w:val="center"/>
          </w:tcPr>
          <w:p w14:paraId="01691CA6"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r>
      <w:tr w:rsidR="0062309A" w:rsidRPr="004E13E9" w14:paraId="088BF4EF"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noWrap/>
            <w:vAlign w:val="center"/>
            <w:hideMark/>
          </w:tcPr>
          <w:p w14:paraId="2523C9D7" w14:textId="77777777" w:rsidR="0062309A" w:rsidRPr="004E13E9" w:rsidRDefault="0062309A" w:rsidP="0062309A">
            <w:pPr>
              <w:widowControl w:val="0"/>
              <w:jc w:val="both"/>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Ligne à main</w:t>
            </w:r>
          </w:p>
        </w:tc>
        <w:tc>
          <w:tcPr>
            <w:tcW w:w="243" w:type="pct"/>
            <w:tcBorders>
              <w:top w:val="single" w:sz="4" w:space="0" w:color="auto"/>
              <w:left w:val="single" w:sz="4" w:space="0" w:color="auto"/>
              <w:bottom w:val="single" w:sz="4" w:space="0" w:color="auto"/>
              <w:right w:val="single" w:sz="4" w:space="0" w:color="auto"/>
            </w:tcBorders>
            <w:noWrap/>
            <w:vAlign w:val="center"/>
            <w:hideMark/>
          </w:tcPr>
          <w:p w14:paraId="6902FF6A"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5</w:t>
            </w:r>
          </w:p>
        </w:tc>
        <w:tc>
          <w:tcPr>
            <w:tcW w:w="200" w:type="pct"/>
            <w:tcBorders>
              <w:top w:val="single" w:sz="4" w:space="0" w:color="auto"/>
              <w:left w:val="single" w:sz="4" w:space="0" w:color="auto"/>
              <w:bottom w:val="single" w:sz="4" w:space="0" w:color="auto"/>
              <w:right w:val="single" w:sz="4" w:space="0" w:color="auto"/>
            </w:tcBorders>
            <w:vAlign w:val="center"/>
          </w:tcPr>
          <w:p w14:paraId="330D7C32"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27625937"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03055EA9"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000D3E68"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171FDA6D"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tcPr>
          <w:p w14:paraId="3C0B4C60"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187DE45E"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0AEB215"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38F2917E"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4CC45BA6"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hideMark/>
          </w:tcPr>
          <w:p w14:paraId="23FCD715" w14:textId="77777777" w:rsidR="0062309A" w:rsidRPr="004E13E9" w:rsidRDefault="0062309A" w:rsidP="0062309A">
            <w:pPr>
              <w:rPr>
                <w:rFonts w:eastAsia="MS Gothic" w:cs="Times New Roman"/>
                <w:sz w:val="14"/>
                <w:szCs w:val="14"/>
              </w:rPr>
            </w:pPr>
          </w:p>
        </w:tc>
        <w:tc>
          <w:tcPr>
            <w:tcW w:w="434" w:type="pct"/>
            <w:tcBorders>
              <w:top w:val="single" w:sz="4" w:space="0" w:color="auto"/>
              <w:left w:val="single" w:sz="4" w:space="0" w:color="auto"/>
              <w:bottom w:val="single" w:sz="4" w:space="0" w:color="auto"/>
              <w:right w:val="single" w:sz="4" w:space="0" w:color="auto"/>
            </w:tcBorders>
            <w:vAlign w:val="center"/>
            <w:hideMark/>
          </w:tcPr>
          <w:p w14:paraId="35D40A0F" w14:textId="77777777" w:rsidR="0062309A" w:rsidRPr="004E13E9" w:rsidRDefault="0062309A" w:rsidP="0062309A">
            <w:pPr>
              <w:rPr>
                <w:rFonts w:eastAsia="MS Gothic" w:cs="Times New Roman"/>
                <w:sz w:val="14"/>
                <w:szCs w:val="14"/>
              </w:rPr>
            </w:pPr>
          </w:p>
        </w:tc>
        <w:tc>
          <w:tcPr>
            <w:tcW w:w="439" w:type="pct"/>
            <w:tcBorders>
              <w:top w:val="single" w:sz="4" w:space="0" w:color="auto"/>
              <w:left w:val="single" w:sz="4" w:space="0" w:color="auto"/>
              <w:bottom w:val="single" w:sz="4" w:space="0" w:color="auto"/>
              <w:right w:val="single" w:sz="4" w:space="0" w:color="auto"/>
            </w:tcBorders>
            <w:vAlign w:val="center"/>
            <w:hideMark/>
          </w:tcPr>
          <w:p w14:paraId="2292BB97" w14:textId="77777777" w:rsidR="0062309A" w:rsidRPr="004E13E9" w:rsidRDefault="0062309A" w:rsidP="0062309A">
            <w:pPr>
              <w:rPr>
                <w:rFonts w:eastAsia="MS Gothic" w:cs="Times New Roman"/>
                <w:sz w:val="14"/>
                <w:szCs w:val="14"/>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72335709" w14:textId="77777777" w:rsidR="0062309A" w:rsidRPr="004E13E9" w:rsidRDefault="0062309A" w:rsidP="0062309A">
            <w:pPr>
              <w:rPr>
                <w:rFonts w:eastAsia="MS Gothic" w:cs="Times New Roman"/>
                <w:sz w:val="14"/>
                <w:szCs w:val="14"/>
              </w:rPr>
            </w:pPr>
          </w:p>
        </w:tc>
        <w:tc>
          <w:tcPr>
            <w:tcW w:w="293" w:type="pct"/>
            <w:tcBorders>
              <w:top w:val="single" w:sz="4" w:space="0" w:color="auto"/>
              <w:left w:val="single" w:sz="4" w:space="0" w:color="auto"/>
              <w:bottom w:val="single" w:sz="4" w:space="0" w:color="auto"/>
              <w:right w:val="single" w:sz="4" w:space="0" w:color="auto"/>
            </w:tcBorders>
            <w:vAlign w:val="center"/>
          </w:tcPr>
          <w:p w14:paraId="369EE38A" w14:textId="77777777" w:rsidR="0062309A" w:rsidRPr="004E13E9" w:rsidRDefault="0062309A" w:rsidP="0062309A">
            <w:pPr>
              <w:widowControl w:val="0"/>
              <w:jc w:val="center"/>
              <w:rPr>
                <w:rFonts w:eastAsia="Times New Roman" w:cs="Calibri"/>
                <w:color w:val="000000"/>
                <w:sz w:val="14"/>
                <w:szCs w:val="14"/>
                <w:lang w:val="fr-FR" w:eastAsia="ja-JP" w:bidi="fr-FR"/>
              </w:rPr>
            </w:pPr>
          </w:p>
        </w:tc>
      </w:tr>
      <w:tr w:rsidR="0062309A" w:rsidRPr="004E13E9" w14:paraId="68AA723F"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noWrap/>
            <w:vAlign w:val="center"/>
            <w:hideMark/>
          </w:tcPr>
          <w:p w14:paraId="7C403975" w14:textId="77777777" w:rsidR="0062309A" w:rsidRPr="004E13E9" w:rsidRDefault="0062309A" w:rsidP="0062309A">
            <w:pPr>
              <w:widowControl w:val="0"/>
              <w:jc w:val="both"/>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Chalutier</w:t>
            </w:r>
          </w:p>
        </w:tc>
        <w:tc>
          <w:tcPr>
            <w:tcW w:w="243" w:type="pct"/>
            <w:tcBorders>
              <w:top w:val="single" w:sz="4" w:space="0" w:color="auto"/>
              <w:left w:val="single" w:sz="4" w:space="0" w:color="auto"/>
              <w:bottom w:val="single" w:sz="4" w:space="0" w:color="auto"/>
              <w:right w:val="single" w:sz="4" w:space="0" w:color="auto"/>
            </w:tcBorders>
            <w:noWrap/>
            <w:vAlign w:val="center"/>
            <w:hideMark/>
          </w:tcPr>
          <w:p w14:paraId="46E92607"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10</w:t>
            </w:r>
          </w:p>
        </w:tc>
        <w:tc>
          <w:tcPr>
            <w:tcW w:w="200" w:type="pct"/>
            <w:tcBorders>
              <w:top w:val="single" w:sz="4" w:space="0" w:color="auto"/>
              <w:left w:val="single" w:sz="4" w:space="0" w:color="auto"/>
              <w:bottom w:val="single" w:sz="4" w:space="0" w:color="auto"/>
              <w:right w:val="single" w:sz="4" w:space="0" w:color="auto"/>
            </w:tcBorders>
            <w:vAlign w:val="center"/>
          </w:tcPr>
          <w:p w14:paraId="7964C35D"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29A7CB69"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1</w:t>
            </w:r>
          </w:p>
        </w:tc>
        <w:tc>
          <w:tcPr>
            <w:tcW w:w="200" w:type="pct"/>
            <w:tcBorders>
              <w:top w:val="single" w:sz="4" w:space="0" w:color="auto"/>
              <w:left w:val="single" w:sz="4" w:space="0" w:color="auto"/>
              <w:bottom w:val="single" w:sz="4" w:space="0" w:color="auto"/>
              <w:right w:val="single" w:sz="4" w:space="0" w:color="auto"/>
            </w:tcBorders>
            <w:vAlign w:val="center"/>
            <w:hideMark/>
          </w:tcPr>
          <w:p w14:paraId="2533421B" w14:textId="77777777" w:rsidR="0062309A" w:rsidRPr="004E13E9" w:rsidRDefault="0062309A" w:rsidP="0062309A">
            <w:pPr>
              <w:widowControl w:val="0"/>
              <w:jc w:val="both"/>
              <w:rPr>
                <w:rFonts w:eastAsia="Times New Roman" w:cs="Calibri"/>
                <w:color w:val="000000"/>
                <w:sz w:val="14"/>
                <w:szCs w:val="14"/>
                <w:lang w:val="fr-FR" w:eastAsia="fr-FR" w:bidi="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3A7BB9CF"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37941649"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tcPr>
          <w:p w14:paraId="4727D16D"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5D9A1372"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AE8D5E0"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5161EDEE"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34F1B188"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10</w:t>
            </w:r>
          </w:p>
        </w:tc>
        <w:tc>
          <w:tcPr>
            <w:tcW w:w="151" w:type="pct"/>
            <w:tcBorders>
              <w:top w:val="single" w:sz="4" w:space="0" w:color="auto"/>
              <w:left w:val="single" w:sz="4" w:space="0" w:color="auto"/>
              <w:bottom w:val="single" w:sz="4" w:space="0" w:color="auto"/>
              <w:right w:val="single" w:sz="4" w:space="0" w:color="auto"/>
            </w:tcBorders>
            <w:vAlign w:val="center"/>
            <w:hideMark/>
          </w:tcPr>
          <w:p w14:paraId="373481BA" w14:textId="77777777" w:rsidR="0062309A" w:rsidRPr="004E13E9" w:rsidRDefault="0062309A" w:rsidP="0062309A">
            <w:pPr>
              <w:widowControl w:val="0"/>
              <w:jc w:val="both"/>
              <w:rPr>
                <w:rFonts w:eastAsia="Times New Roman" w:cs="Calibri"/>
                <w:color w:val="000000"/>
                <w:sz w:val="14"/>
                <w:szCs w:val="14"/>
                <w:lang w:val="fr-FR" w:eastAsia="fr-FR" w:bidi="fr-FR"/>
              </w:rPr>
            </w:pPr>
          </w:p>
        </w:tc>
        <w:tc>
          <w:tcPr>
            <w:tcW w:w="434" w:type="pct"/>
            <w:tcBorders>
              <w:top w:val="single" w:sz="4" w:space="0" w:color="auto"/>
              <w:left w:val="single" w:sz="4" w:space="0" w:color="auto"/>
              <w:bottom w:val="single" w:sz="4" w:space="0" w:color="auto"/>
              <w:right w:val="single" w:sz="4" w:space="0" w:color="auto"/>
            </w:tcBorders>
            <w:vAlign w:val="center"/>
            <w:hideMark/>
          </w:tcPr>
          <w:p w14:paraId="746195CF" w14:textId="77777777" w:rsidR="0062309A" w:rsidRPr="004E13E9" w:rsidRDefault="0062309A" w:rsidP="0062309A">
            <w:pPr>
              <w:rPr>
                <w:rFonts w:eastAsia="MS Gothic" w:cs="Times New Roman"/>
                <w:sz w:val="14"/>
                <w:szCs w:val="14"/>
              </w:rPr>
            </w:pPr>
          </w:p>
        </w:tc>
        <w:tc>
          <w:tcPr>
            <w:tcW w:w="439" w:type="pct"/>
            <w:tcBorders>
              <w:top w:val="single" w:sz="4" w:space="0" w:color="auto"/>
              <w:left w:val="single" w:sz="4" w:space="0" w:color="auto"/>
              <w:bottom w:val="single" w:sz="4" w:space="0" w:color="auto"/>
              <w:right w:val="single" w:sz="4" w:space="0" w:color="auto"/>
            </w:tcBorders>
            <w:vAlign w:val="center"/>
            <w:hideMark/>
          </w:tcPr>
          <w:p w14:paraId="5EBD0CD9" w14:textId="77777777" w:rsidR="0062309A" w:rsidRPr="004E13E9" w:rsidRDefault="0062309A" w:rsidP="0062309A">
            <w:pPr>
              <w:rPr>
                <w:rFonts w:eastAsia="MS Gothic" w:cs="Times New Roman"/>
                <w:sz w:val="14"/>
                <w:szCs w:val="14"/>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15A2DB58" w14:textId="77777777" w:rsidR="0062309A" w:rsidRPr="004E13E9" w:rsidRDefault="0062309A" w:rsidP="0062309A">
            <w:pPr>
              <w:rPr>
                <w:rFonts w:eastAsia="MS Gothic" w:cs="Times New Roman"/>
                <w:sz w:val="14"/>
                <w:szCs w:val="14"/>
              </w:rPr>
            </w:pPr>
          </w:p>
        </w:tc>
        <w:tc>
          <w:tcPr>
            <w:tcW w:w="293" w:type="pct"/>
            <w:tcBorders>
              <w:top w:val="single" w:sz="4" w:space="0" w:color="auto"/>
              <w:left w:val="single" w:sz="4" w:space="0" w:color="auto"/>
              <w:bottom w:val="single" w:sz="4" w:space="0" w:color="auto"/>
              <w:right w:val="single" w:sz="4" w:space="0" w:color="auto"/>
            </w:tcBorders>
            <w:vAlign w:val="center"/>
          </w:tcPr>
          <w:p w14:paraId="23C571C6" w14:textId="77777777" w:rsidR="0062309A" w:rsidRPr="004E13E9" w:rsidRDefault="0062309A" w:rsidP="0062309A">
            <w:pPr>
              <w:widowControl w:val="0"/>
              <w:jc w:val="center"/>
              <w:rPr>
                <w:rFonts w:eastAsia="Times New Roman" w:cs="Calibri"/>
                <w:color w:val="000000"/>
                <w:sz w:val="14"/>
                <w:szCs w:val="14"/>
                <w:lang w:val="fr-FR" w:eastAsia="ja-JP" w:bidi="fr-FR"/>
              </w:rPr>
            </w:pPr>
          </w:p>
        </w:tc>
      </w:tr>
      <w:tr w:rsidR="0062309A" w:rsidRPr="004E13E9" w14:paraId="347BB013"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noWrap/>
            <w:vAlign w:val="center"/>
            <w:hideMark/>
          </w:tcPr>
          <w:p w14:paraId="6DEDD95D" w14:textId="77777777" w:rsidR="0062309A" w:rsidRPr="004E13E9" w:rsidRDefault="0062309A" w:rsidP="0062309A">
            <w:pPr>
              <w:widowControl w:val="0"/>
              <w:jc w:val="both"/>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Madrague</w:t>
            </w:r>
          </w:p>
        </w:tc>
        <w:tc>
          <w:tcPr>
            <w:tcW w:w="243" w:type="pct"/>
            <w:tcBorders>
              <w:top w:val="single" w:sz="4" w:space="0" w:color="auto"/>
              <w:left w:val="single" w:sz="4" w:space="0" w:color="auto"/>
              <w:bottom w:val="single" w:sz="4" w:space="0" w:color="auto"/>
              <w:right w:val="single" w:sz="4" w:space="0" w:color="auto"/>
            </w:tcBorders>
            <w:noWrap/>
            <w:vAlign w:val="center"/>
            <w:hideMark/>
          </w:tcPr>
          <w:p w14:paraId="58B8B600"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130</w:t>
            </w:r>
          </w:p>
        </w:tc>
        <w:tc>
          <w:tcPr>
            <w:tcW w:w="200" w:type="pct"/>
            <w:tcBorders>
              <w:top w:val="single" w:sz="4" w:space="0" w:color="auto"/>
              <w:left w:val="single" w:sz="4" w:space="0" w:color="auto"/>
              <w:bottom w:val="single" w:sz="4" w:space="0" w:color="auto"/>
              <w:right w:val="single" w:sz="4" w:space="0" w:color="auto"/>
            </w:tcBorders>
            <w:vAlign w:val="center"/>
          </w:tcPr>
          <w:p w14:paraId="412B0986"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2B192642"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7EDD7DE0"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1232FAA8"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48C6B14F"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tcPr>
          <w:p w14:paraId="098CF8F9"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003810B3"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1E544E6"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5390E2ED"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785E8F39"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hideMark/>
          </w:tcPr>
          <w:p w14:paraId="5EA9889F" w14:textId="77777777" w:rsidR="0062309A" w:rsidRPr="004E13E9" w:rsidRDefault="0062309A" w:rsidP="0062309A">
            <w:pPr>
              <w:rPr>
                <w:rFonts w:eastAsia="MS Gothic" w:cs="Times New Roman"/>
                <w:sz w:val="14"/>
                <w:szCs w:val="14"/>
              </w:rPr>
            </w:pPr>
          </w:p>
        </w:tc>
        <w:tc>
          <w:tcPr>
            <w:tcW w:w="434" w:type="pct"/>
            <w:tcBorders>
              <w:top w:val="single" w:sz="4" w:space="0" w:color="auto"/>
              <w:left w:val="single" w:sz="4" w:space="0" w:color="auto"/>
              <w:bottom w:val="single" w:sz="4" w:space="0" w:color="auto"/>
              <w:right w:val="single" w:sz="4" w:space="0" w:color="auto"/>
            </w:tcBorders>
            <w:vAlign w:val="center"/>
            <w:hideMark/>
          </w:tcPr>
          <w:p w14:paraId="28EB32F9" w14:textId="77777777" w:rsidR="0062309A" w:rsidRPr="004E13E9" w:rsidRDefault="0062309A" w:rsidP="0062309A">
            <w:pPr>
              <w:rPr>
                <w:rFonts w:eastAsia="MS Gothic" w:cs="Times New Roman"/>
                <w:sz w:val="14"/>
                <w:szCs w:val="14"/>
              </w:rPr>
            </w:pPr>
          </w:p>
        </w:tc>
        <w:tc>
          <w:tcPr>
            <w:tcW w:w="439" w:type="pct"/>
            <w:tcBorders>
              <w:top w:val="single" w:sz="4" w:space="0" w:color="auto"/>
              <w:left w:val="single" w:sz="4" w:space="0" w:color="auto"/>
              <w:bottom w:val="single" w:sz="4" w:space="0" w:color="auto"/>
              <w:right w:val="single" w:sz="4" w:space="0" w:color="auto"/>
            </w:tcBorders>
            <w:vAlign w:val="center"/>
            <w:hideMark/>
          </w:tcPr>
          <w:p w14:paraId="620F53EB" w14:textId="77777777" w:rsidR="0062309A" w:rsidRPr="004E13E9" w:rsidRDefault="0062309A" w:rsidP="0062309A">
            <w:pPr>
              <w:rPr>
                <w:rFonts w:eastAsia="MS Gothic" w:cs="Times New Roman"/>
                <w:sz w:val="14"/>
                <w:szCs w:val="14"/>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011359EF" w14:textId="77777777" w:rsidR="0062309A" w:rsidRPr="004E13E9" w:rsidRDefault="0062309A" w:rsidP="0062309A">
            <w:pPr>
              <w:rPr>
                <w:rFonts w:eastAsia="MS Gothic" w:cs="Times New Roman"/>
                <w:sz w:val="14"/>
                <w:szCs w:val="14"/>
              </w:rPr>
            </w:pPr>
          </w:p>
        </w:tc>
        <w:tc>
          <w:tcPr>
            <w:tcW w:w="293" w:type="pct"/>
            <w:tcBorders>
              <w:top w:val="single" w:sz="4" w:space="0" w:color="auto"/>
              <w:left w:val="single" w:sz="4" w:space="0" w:color="auto"/>
              <w:bottom w:val="single" w:sz="4" w:space="0" w:color="auto"/>
              <w:right w:val="single" w:sz="4" w:space="0" w:color="auto"/>
            </w:tcBorders>
            <w:vAlign w:val="center"/>
          </w:tcPr>
          <w:p w14:paraId="5E6DC717"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r>
      <w:tr w:rsidR="0062309A" w:rsidRPr="004E13E9" w14:paraId="7574939E"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vAlign w:val="center"/>
            <w:hideMark/>
          </w:tcPr>
          <w:p w14:paraId="081E8B5E" w14:textId="77777777" w:rsidR="0062309A" w:rsidRPr="004E13E9" w:rsidRDefault="0062309A" w:rsidP="0062309A">
            <w:pPr>
              <w:widowControl w:val="0"/>
              <w:jc w:val="both"/>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Petits navires côtiers</w:t>
            </w:r>
          </w:p>
        </w:tc>
        <w:tc>
          <w:tcPr>
            <w:tcW w:w="243" w:type="pct"/>
            <w:tcBorders>
              <w:top w:val="single" w:sz="4" w:space="0" w:color="auto"/>
              <w:left w:val="single" w:sz="4" w:space="0" w:color="auto"/>
              <w:bottom w:val="single" w:sz="4" w:space="0" w:color="auto"/>
              <w:right w:val="single" w:sz="4" w:space="0" w:color="auto"/>
            </w:tcBorders>
            <w:noWrap/>
            <w:vAlign w:val="center"/>
            <w:hideMark/>
          </w:tcPr>
          <w:p w14:paraId="16D54D0C"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N/A</w:t>
            </w:r>
          </w:p>
        </w:tc>
        <w:tc>
          <w:tcPr>
            <w:tcW w:w="200" w:type="pct"/>
            <w:tcBorders>
              <w:top w:val="single" w:sz="4" w:space="0" w:color="auto"/>
              <w:left w:val="single" w:sz="4" w:space="0" w:color="auto"/>
              <w:bottom w:val="single" w:sz="4" w:space="0" w:color="auto"/>
              <w:right w:val="single" w:sz="4" w:space="0" w:color="auto"/>
            </w:tcBorders>
            <w:vAlign w:val="center"/>
          </w:tcPr>
          <w:p w14:paraId="0FF98C2B"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73831A0C"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078B22B1"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7FBE9C2A"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4E79FC7B"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tcPr>
          <w:p w14:paraId="38D7D306"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4AC76CF0"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FAB1245"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40E8CE2A"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3E39E6B7"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hideMark/>
          </w:tcPr>
          <w:p w14:paraId="4E54E2EE" w14:textId="77777777" w:rsidR="0062309A" w:rsidRPr="004E13E9" w:rsidRDefault="0062309A" w:rsidP="0062309A">
            <w:pPr>
              <w:rPr>
                <w:rFonts w:eastAsia="MS Gothic" w:cs="Times New Roman"/>
                <w:sz w:val="14"/>
                <w:szCs w:val="14"/>
              </w:rPr>
            </w:pPr>
          </w:p>
        </w:tc>
        <w:tc>
          <w:tcPr>
            <w:tcW w:w="434" w:type="pct"/>
            <w:tcBorders>
              <w:top w:val="single" w:sz="4" w:space="0" w:color="auto"/>
              <w:left w:val="single" w:sz="4" w:space="0" w:color="auto"/>
              <w:bottom w:val="single" w:sz="4" w:space="0" w:color="auto"/>
              <w:right w:val="single" w:sz="4" w:space="0" w:color="auto"/>
            </w:tcBorders>
            <w:vAlign w:val="center"/>
            <w:hideMark/>
          </w:tcPr>
          <w:p w14:paraId="2992A63E" w14:textId="77777777" w:rsidR="0062309A" w:rsidRPr="004E13E9" w:rsidRDefault="0062309A" w:rsidP="0062309A">
            <w:pPr>
              <w:rPr>
                <w:rFonts w:eastAsia="MS Gothic" w:cs="Times New Roman"/>
                <w:sz w:val="14"/>
                <w:szCs w:val="14"/>
              </w:rPr>
            </w:pPr>
          </w:p>
        </w:tc>
        <w:tc>
          <w:tcPr>
            <w:tcW w:w="439" w:type="pct"/>
            <w:tcBorders>
              <w:top w:val="single" w:sz="4" w:space="0" w:color="auto"/>
              <w:left w:val="single" w:sz="4" w:space="0" w:color="auto"/>
              <w:bottom w:val="single" w:sz="4" w:space="0" w:color="auto"/>
              <w:right w:val="single" w:sz="4" w:space="0" w:color="auto"/>
            </w:tcBorders>
            <w:vAlign w:val="center"/>
            <w:hideMark/>
          </w:tcPr>
          <w:p w14:paraId="7A0073EF" w14:textId="77777777" w:rsidR="0062309A" w:rsidRPr="004E13E9" w:rsidRDefault="0062309A" w:rsidP="0062309A">
            <w:pPr>
              <w:rPr>
                <w:rFonts w:eastAsia="MS Gothic" w:cs="Times New Roman"/>
                <w:sz w:val="14"/>
                <w:szCs w:val="14"/>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7E6C88BD" w14:textId="77777777" w:rsidR="0062309A" w:rsidRPr="004E13E9" w:rsidRDefault="0062309A" w:rsidP="0062309A">
            <w:pPr>
              <w:rPr>
                <w:rFonts w:eastAsia="MS Gothic" w:cs="Times New Roman"/>
                <w:sz w:val="14"/>
                <w:szCs w:val="14"/>
              </w:rPr>
            </w:pPr>
          </w:p>
        </w:tc>
        <w:tc>
          <w:tcPr>
            <w:tcW w:w="293" w:type="pct"/>
            <w:tcBorders>
              <w:top w:val="single" w:sz="4" w:space="0" w:color="auto"/>
              <w:left w:val="single" w:sz="4" w:space="0" w:color="auto"/>
              <w:bottom w:val="single" w:sz="4" w:space="0" w:color="auto"/>
              <w:right w:val="single" w:sz="4" w:space="0" w:color="auto"/>
            </w:tcBorders>
            <w:vAlign w:val="center"/>
          </w:tcPr>
          <w:p w14:paraId="24C6B0AD"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r>
      <w:tr w:rsidR="0062309A" w:rsidRPr="004E13E9" w14:paraId="3AE767C6"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vAlign w:val="center"/>
            <w:hideMark/>
          </w:tcPr>
          <w:p w14:paraId="14500C23" w14:textId="77777777" w:rsidR="0062309A" w:rsidRPr="004E13E9" w:rsidRDefault="0062309A" w:rsidP="0062309A">
            <w:pPr>
              <w:widowControl w:val="0"/>
              <w:jc w:val="both"/>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Autre (à préciser)</w:t>
            </w:r>
          </w:p>
        </w:tc>
        <w:tc>
          <w:tcPr>
            <w:tcW w:w="243" w:type="pct"/>
            <w:tcBorders>
              <w:top w:val="single" w:sz="4" w:space="0" w:color="auto"/>
              <w:left w:val="single" w:sz="4" w:space="0" w:color="auto"/>
              <w:bottom w:val="single" w:sz="4" w:space="0" w:color="auto"/>
              <w:right w:val="single" w:sz="4" w:space="0" w:color="auto"/>
            </w:tcBorders>
            <w:noWrap/>
            <w:vAlign w:val="center"/>
            <w:hideMark/>
          </w:tcPr>
          <w:p w14:paraId="5DEE5861"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5</w:t>
            </w:r>
          </w:p>
        </w:tc>
        <w:tc>
          <w:tcPr>
            <w:tcW w:w="200" w:type="pct"/>
            <w:tcBorders>
              <w:top w:val="single" w:sz="4" w:space="0" w:color="auto"/>
              <w:left w:val="single" w:sz="4" w:space="0" w:color="auto"/>
              <w:bottom w:val="single" w:sz="4" w:space="0" w:color="auto"/>
              <w:right w:val="single" w:sz="4" w:space="0" w:color="auto"/>
            </w:tcBorders>
            <w:vAlign w:val="center"/>
          </w:tcPr>
          <w:p w14:paraId="1BC16DE3"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66A15F7A"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57D8A622"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2D6A45E3"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6107DFA4"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vAlign w:val="center"/>
          </w:tcPr>
          <w:p w14:paraId="061B900A"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6A7193F7"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2465DBF"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00873B43"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5EF928C5"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hideMark/>
          </w:tcPr>
          <w:p w14:paraId="179DE696" w14:textId="77777777" w:rsidR="0062309A" w:rsidRPr="004E13E9" w:rsidRDefault="0062309A" w:rsidP="0062309A">
            <w:pPr>
              <w:rPr>
                <w:rFonts w:eastAsia="MS Gothic" w:cs="Times New Roman"/>
                <w:sz w:val="14"/>
                <w:szCs w:val="14"/>
              </w:rPr>
            </w:pPr>
          </w:p>
        </w:tc>
        <w:tc>
          <w:tcPr>
            <w:tcW w:w="434" w:type="pct"/>
            <w:tcBorders>
              <w:top w:val="single" w:sz="4" w:space="0" w:color="auto"/>
              <w:left w:val="single" w:sz="4" w:space="0" w:color="auto"/>
              <w:bottom w:val="single" w:sz="4" w:space="0" w:color="auto"/>
              <w:right w:val="single" w:sz="4" w:space="0" w:color="auto"/>
            </w:tcBorders>
            <w:vAlign w:val="center"/>
            <w:hideMark/>
          </w:tcPr>
          <w:p w14:paraId="1FA3BF58" w14:textId="77777777" w:rsidR="0062309A" w:rsidRPr="004E13E9" w:rsidRDefault="0062309A" w:rsidP="0062309A">
            <w:pPr>
              <w:rPr>
                <w:rFonts w:eastAsia="MS Gothic" w:cs="Times New Roman"/>
                <w:sz w:val="14"/>
                <w:szCs w:val="14"/>
              </w:rPr>
            </w:pPr>
          </w:p>
        </w:tc>
        <w:tc>
          <w:tcPr>
            <w:tcW w:w="439" w:type="pct"/>
            <w:tcBorders>
              <w:top w:val="single" w:sz="4" w:space="0" w:color="auto"/>
              <w:left w:val="single" w:sz="4" w:space="0" w:color="auto"/>
              <w:bottom w:val="single" w:sz="4" w:space="0" w:color="auto"/>
              <w:right w:val="single" w:sz="4" w:space="0" w:color="auto"/>
            </w:tcBorders>
            <w:vAlign w:val="center"/>
            <w:hideMark/>
          </w:tcPr>
          <w:p w14:paraId="67F044F2" w14:textId="77777777" w:rsidR="0062309A" w:rsidRPr="004E13E9" w:rsidRDefault="0062309A" w:rsidP="0062309A">
            <w:pPr>
              <w:rPr>
                <w:rFonts w:eastAsia="MS Gothic" w:cs="Times New Roman"/>
                <w:sz w:val="14"/>
                <w:szCs w:val="14"/>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0791D7AD" w14:textId="77777777" w:rsidR="0062309A" w:rsidRPr="004E13E9" w:rsidRDefault="0062309A" w:rsidP="0062309A">
            <w:pPr>
              <w:rPr>
                <w:rFonts w:eastAsia="MS Gothic" w:cs="Times New Roman"/>
                <w:sz w:val="14"/>
                <w:szCs w:val="14"/>
              </w:rPr>
            </w:pPr>
          </w:p>
        </w:tc>
        <w:tc>
          <w:tcPr>
            <w:tcW w:w="293" w:type="pct"/>
            <w:tcBorders>
              <w:top w:val="single" w:sz="4" w:space="0" w:color="auto"/>
              <w:left w:val="single" w:sz="4" w:space="0" w:color="auto"/>
              <w:bottom w:val="single" w:sz="4" w:space="0" w:color="auto"/>
              <w:right w:val="single" w:sz="4" w:space="0" w:color="auto"/>
            </w:tcBorders>
            <w:vAlign w:val="center"/>
          </w:tcPr>
          <w:p w14:paraId="010BC093"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r>
      <w:tr w:rsidR="0062309A" w:rsidRPr="004E13E9" w14:paraId="4D55F93D"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noWrap/>
            <w:vAlign w:val="center"/>
            <w:hideMark/>
          </w:tcPr>
          <w:p w14:paraId="5A84DC63" w14:textId="77777777" w:rsidR="0062309A" w:rsidRPr="004E13E9" w:rsidRDefault="0062309A" w:rsidP="0062309A">
            <w:pPr>
              <w:widowControl w:val="0"/>
              <w:jc w:val="both"/>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Capacité totale de la flottille/de pêche</w:t>
            </w:r>
          </w:p>
        </w:tc>
        <w:tc>
          <w:tcPr>
            <w:tcW w:w="243" w:type="pct"/>
            <w:tcBorders>
              <w:top w:val="single" w:sz="4" w:space="0" w:color="auto"/>
              <w:left w:val="single" w:sz="4" w:space="0" w:color="auto"/>
              <w:bottom w:val="single" w:sz="4" w:space="0" w:color="auto"/>
              <w:right w:val="single" w:sz="4" w:space="0" w:color="auto"/>
            </w:tcBorders>
            <w:noWrap/>
            <w:vAlign w:val="center"/>
            <w:hideMark/>
          </w:tcPr>
          <w:p w14:paraId="3607B5E1" w14:textId="77777777" w:rsidR="0062309A" w:rsidRPr="004E13E9" w:rsidRDefault="0062309A" w:rsidP="0062309A">
            <w:pPr>
              <w:widowControl w:val="0"/>
              <w:jc w:val="both"/>
              <w:rPr>
                <w:rFonts w:eastAsia="Times New Roman" w:cs="Calibri"/>
                <w:b/>
                <w:bCs/>
                <w:color w:val="000000"/>
                <w:sz w:val="14"/>
                <w:szCs w:val="14"/>
                <w:lang w:val="fr-FR" w:eastAsia="fr-FR"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60D95280"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0C3EE992" w14:textId="77777777" w:rsidR="0062309A" w:rsidRPr="004E13E9" w:rsidRDefault="0062309A" w:rsidP="0062309A">
            <w:pPr>
              <w:widowControl w:val="0"/>
              <w:jc w:val="center"/>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1</w:t>
            </w:r>
          </w:p>
        </w:tc>
        <w:tc>
          <w:tcPr>
            <w:tcW w:w="200" w:type="pct"/>
            <w:tcBorders>
              <w:top w:val="single" w:sz="4" w:space="0" w:color="auto"/>
              <w:left w:val="single" w:sz="4" w:space="0" w:color="auto"/>
              <w:bottom w:val="single" w:sz="4" w:space="0" w:color="auto"/>
              <w:right w:val="single" w:sz="4" w:space="0" w:color="auto"/>
            </w:tcBorders>
            <w:vAlign w:val="center"/>
            <w:hideMark/>
          </w:tcPr>
          <w:p w14:paraId="64933D2F" w14:textId="77777777" w:rsidR="0062309A" w:rsidRPr="004E13E9" w:rsidRDefault="0062309A" w:rsidP="0062309A">
            <w:pPr>
              <w:widowControl w:val="0"/>
              <w:jc w:val="both"/>
              <w:rPr>
                <w:rFonts w:eastAsia="Times New Roman" w:cs="Calibri"/>
                <w:b/>
                <w:bCs/>
                <w:color w:val="000000"/>
                <w:sz w:val="14"/>
                <w:szCs w:val="14"/>
                <w:lang w:val="fr-FR" w:eastAsia="fr-FR" w:bidi="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7F9F2849" w14:textId="77777777" w:rsidR="0062309A" w:rsidRPr="004E13E9" w:rsidRDefault="0062309A" w:rsidP="0062309A">
            <w:pPr>
              <w:widowControl w:val="0"/>
              <w:jc w:val="center"/>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3</w:t>
            </w:r>
          </w:p>
        </w:tc>
        <w:tc>
          <w:tcPr>
            <w:tcW w:w="200" w:type="pct"/>
            <w:tcBorders>
              <w:top w:val="single" w:sz="4" w:space="0" w:color="auto"/>
              <w:left w:val="single" w:sz="4" w:space="0" w:color="auto"/>
              <w:bottom w:val="single" w:sz="4" w:space="0" w:color="auto"/>
              <w:right w:val="single" w:sz="4" w:space="0" w:color="auto"/>
            </w:tcBorders>
            <w:vAlign w:val="center"/>
            <w:hideMark/>
          </w:tcPr>
          <w:p w14:paraId="17D96E29" w14:textId="77777777" w:rsidR="0062309A" w:rsidRPr="004E13E9" w:rsidRDefault="0062309A" w:rsidP="0062309A">
            <w:pPr>
              <w:widowControl w:val="0"/>
              <w:jc w:val="center"/>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3</w:t>
            </w:r>
          </w:p>
        </w:tc>
        <w:tc>
          <w:tcPr>
            <w:tcW w:w="200" w:type="pct"/>
            <w:tcBorders>
              <w:top w:val="single" w:sz="4" w:space="0" w:color="auto"/>
              <w:left w:val="single" w:sz="4" w:space="0" w:color="auto"/>
              <w:bottom w:val="single" w:sz="4" w:space="0" w:color="auto"/>
              <w:right w:val="single" w:sz="4" w:space="0" w:color="auto"/>
            </w:tcBorders>
            <w:vAlign w:val="center"/>
            <w:hideMark/>
          </w:tcPr>
          <w:p w14:paraId="0B63D544" w14:textId="77777777" w:rsidR="0062309A" w:rsidRPr="004E13E9" w:rsidRDefault="0062309A" w:rsidP="0062309A">
            <w:pPr>
              <w:widowControl w:val="0"/>
              <w:jc w:val="center"/>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3</w:t>
            </w:r>
          </w:p>
        </w:tc>
        <w:tc>
          <w:tcPr>
            <w:tcW w:w="200" w:type="pct"/>
            <w:tcBorders>
              <w:top w:val="single" w:sz="4" w:space="0" w:color="auto"/>
              <w:left w:val="single" w:sz="4" w:space="0" w:color="auto"/>
              <w:bottom w:val="single" w:sz="4" w:space="0" w:color="auto"/>
              <w:right w:val="single" w:sz="4" w:space="0" w:color="auto"/>
            </w:tcBorders>
            <w:vAlign w:val="center"/>
            <w:hideMark/>
          </w:tcPr>
          <w:p w14:paraId="0FF9584A"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3</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BBCC667" w14:textId="77777777" w:rsidR="0062309A" w:rsidRPr="004E13E9" w:rsidRDefault="0062309A" w:rsidP="0062309A">
            <w:pPr>
              <w:widowControl w:val="0"/>
              <w:jc w:val="both"/>
              <w:rPr>
                <w:rFonts w:eastAsia="Times New Roman" w:cs="Calibri"/>
                <w:color w:val="000000"/>
                <w:sz w:val="14"/>
                <w:szCs w:val="14"/>
                <w:lang w:val="fr-FR" w:eastAsia="fr-FR"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44144E1C"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5A056934" w14:textId="77777777" w:rsidR="0062309A" w:rsidRPr="004E13E9" w:rsidRDefault="0062309A" w:rsidP="0062309A">
            <w:pPr>
              <w:widowControl w:val="0"/>
              <w:jc w:val="center"/>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10</w:t>
            </w:r>
          </w:p>
        </w:tc>
        <w:tc>
          <w:tcPr>
            <w:tcW w:w="151" w:type="pct"/>
            <w:tcBorders>
              <w:top w:val="single" w:sz="4" w:space="0" w:color="auto"/>
              <w:left w:val="single" w:sz="4" w:space="0" w:color="auto"/>
              <w:bottom w:val="single" w:sz="4" w:space="0" w:color="auto"/>
              <w:right w:val="single" w:sz="4" w:space="0" w:color="auto"/>
            </w:tcBorders>
            <w:vAlign w:val="center"/>
            <w:hideMark/>
          </w:tcPr>
          <w:p w14:paraId="1CA1D259" w14:textId="77777777" w:rsidR="0062309A" w:rsidRPr="004E13E9" w:rsidRDefault="0062309A" w:rsidP="0062309A">
            <w:pPr>
              <w:widowControl w:val="0"/>
              <w:jc w:val="both"/>
              <w:rPr>
                <w:rFonts w:eastAsia="Times New Roman" w:cs="Calibri"/>
                <w:b/>
                <w:bCs/>
                <w:color w:val="000000"/>
                <w:sz w:val="14"/>
                <w:szCs w:val="14"/>
                <w:lang w:val="fr-FR" w:eastAsia="fr-FR" w:bidi="fr-FR"/>
              </w:rPr>
            </w:pPr>
          </w:p>
        </w:tc>
        <w:tc>
          <w:tcPr>
            <w:tcW w:w="434" w:type="pct"/>
            <w:tcBorders>
              <w:top w:val="single" w:sz="4" w:space="0" w:color="auto"/>
              <w:left w:val="single" w:sz="4" w:space="0" w:color="auto"/>
              <w:bottom w:val="single" w:sz="4" w:space="0" w:color="auto"/>
              <w:right w:val="single" w:sz="4" w:space="0" w:color="auto"/>
            </w:tcBorders>
            <w:noWrap/>
            <w:vAlign w:val="center"/>
            <w:hideMark/>
          </w:tcPr>
          <w:p w14:paraId="070F6DBD" w14:textId="77777777" w:rsidR="0062309A" w:rsidRPr="004E13E9" w:rsidRDefault="0062309A" w:rsidP="0062309A">
            <w:pPr>
              <w:widowControl w:val="0"/>
              <w:jc w:val="center"/>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75</w:t>
            </w:r>
          </w:p>
        </w:tc>
        <w:tc>
          <w:tcPr>
            <w:tcW w:w="439" w:type="pct"/>
            <w:tcBorders>
              <w:top w:val="single" w:sz="4" w:space="0" w:color="auto"/>
              <w:left w:val="single" w:sz="4" w:space="0" w:color="auto"/>
              <w:bottom w:val="single" w:sz="4" w:space="0" w:color="auto"/>
              <w:right w:val="single" w:sz="4" w:space="0" w:color="auto"/>
            </w:tcBorders>
            <w:noWrap/>
            <w:vAlign w:val="center"/>
            <w:hideMark/>
          </w:tcPr>
          <w:p w14:paraId="75F1911F" w14:textId="77777777" w:rsidR="0062309A" w:rsidRPr="004E13E9" w:rsidRDefault="0062309A" w:rsidP="0062309A">
            <w:pPr>
              <w:widowControl w:val="0"/>
              <w:jc w:val="center"/>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75</w:t>
            </w:r>
          </w:p>
        </w:tc>
        <w:tc>
          <w:tcPr>
            <w:tcW w:w="344" w:type="pct"/>
            <w:tcBorders>
              <w:top w:val="single" w:sz="4" w:space="0" w:color="auto"/>
              <w:left w:val="single" w:sz="4" w:space="0" w:color="auto"/>
              <w:bottom w:val="single" w:sz="4" w:space="0" w:color="auto"/>
              <w:right w:val="single" w:sz="4" w:space="0" w:color="auto"/>
            </w:tcBorders>
            <w:noWrap/>
            <w:vAlign w:val="center"/>
            <w:hideMark/>
          </w:tcPr>
          <w:p w14:paraId="4F594B92" w14:textId="77777777" w:rsidR="0062309A" w:rsidRPr="004E13E9" w:rsidRDefault="0062309A" w:rsidP="0062309A">
            <w:pPr>
              <w:widowControl w:val="0"/>
              <w:jc w:val="center"/>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75</w:t>
            </w:r>
          </w:p>
        </w:tc>
        <w:tc>
          <w:tcPr>
            <w:tcW w:w="293" w:type="pct"/>
            <w:tcBorders>
              <w:top w:val="single" w:sz="4" w:space="0" w:color="auto"/>
              <w:left w:val="single" w:sz="4" w:space="0" w:color="auto"/>
              <w:bottom w:val="single" w:sz="4" w:space="0" w:color="auto"/>
              <w:right w:val="single" w:sz="4" w:space="0" w:color="auto"/>
            </w:tcBorders>
            <w:vAlign w:val="center"/>
            <w:hideMark/>
          </w:tcPr>
          <w:p w14:paraId="2FB4FCE0" w14:textId="77777777" w:rsidR="0062309A" w:rsidRPr="004E13E9" w:rsidRDefault="0062309A" w:rsidP="0062309A">
            <w:pPr>
              <w:widowControl w:val="0"/>
              <w:jc w:val="center"/>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75</w:t>
            </w:r>
          </w:p>
        </w:tc>
      </w:tr>
      <w:tr w:rsidR="0062309A" w:rsidRPr="004E13E9" w14:paraId="61F77B08"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6476728" w14:textId="77777777" w:rsidR="0062309A" w:rsidRPr="004E13E9" w:rsidRDefault="0062309A" w:rsidP="0062309A">
            <w:pPr>
              <w:widowControl w:val="0"/>
              <w:jc w:val="both"/>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Quota initial</w:t>
            </w:r>
          </w:p>
        </w:tc>
        <w:tc>
          <w:tcPr>
            <w:tcW w:w="243"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C4D6D1B" w14:textId="77777777" w:rsidR="0062309A" w:rsidRPr="004E13E9" w:rsidRDefault="0062309A" w:rsidP="0062309A">
            <w:pPr>
              <w:widowControl w:val="0"/>
              <w:jc w:val="both"/>
              <w:rPr>
                <w:rFonts w:eastAsia="Times New Roman" w:cs="Calibri"/>
                <w:b/>
                <w:bCs/>
                <w:color w:val="000000"/>
                <w:sz w:val="14"/>
                <w:szCs w:val="14"/>
                <w:lang w:val="fr-FR" w:eastAsia="fr-FR" w:bidi="fr-FR"/>
              </w:rPr>
            </w:pP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tcPr>
          <w:p w14:paraId="315F7D26"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3750FA90"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8A94566"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0D820C9"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E6EAAD8" w14:textId="77777777" w:rsidR="0062309A" w:rsidRPr="004E13E9" w:rsidRDefault="0062309A" w:rsidP="0062309A">
            <w:pPr>
              <w:rPr>
                <w:rFonts w:eastAsia="MS Gothic" w:cs="Times New Roman"/>
                <w:sz w:val="14"/>
                <w:szCs w:val="14"/>
              </w:rPr>
            </w:pP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tcPr>
          <w:p w14:paraId="469CE28E"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tcPr>
          <w:p w14:paraId="0BAC435F"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AA1488F"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shd w:val="clear" w:color="auto" w:fill="D9D9D9"/>
            <w:vAlign w:val="center"/>
          </w:tcPr>
          <w:p w14:paraId="486986DE"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367C23A"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51,53</w:t>
            </w:r>
          </w:p>
        </w:tc>
        <w:tc>
          <w:tcPr>
            <w:tcW w:w="15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E92DACE" w14:textId="77777777" w:rsidR="0062309A" w:rsidRPr="004E13E9" w:rsidRDefault="0062309A" w:rsidP="0062309A">
            <w:pPr>
              <w:widowControl w:val="0"/>
              <w:jc w:val="both"/>
              <w:rPr>
                <w:rFonts w:eastAsia="Times New Roman" w:cs="Calibri"/>
                <w:color w:val="000000"/>
                <w:sz w:val="14"/>
                <w:szCs w:val="14"/>
                <w:lang w:val="fr-FR" w:eastAsia="fr-FR" w:bidi="fr-FR"/>
              </w:rPr>
            </w:pPr>
          </w:p>
        </w:tc>
        <w:tc>
          <w:tcPr>
            <w:tcW w:w="43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2E0B900"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224</w:t>
            </w: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225F643"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224</w:t>
            </w:r>
          </w:p>
        </w:tc>
        <w:tc>
          <w:tcPr>
            <w:tcW w:w="34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5654A32"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224</w:t>
            </w:r>
          </w:p>
        </w:tc>
        <w:tc>
          <w:tcPr>
            <w:tcW w:w="29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9DC42B3"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253,14</w:t>
            </w:r>
          </w:p>
        </w:tc>
      </w:tr>
      <w:tr w:rsidR="0062309A" w:rsidRPr="004E13E9" w14:paraId="72C2E08B" w14:textId="77777777" w:rsidTr="00BB4F69">
        <w:trPr>
          <w:trHeight w:val="397"/>
        </w:trPr>
        <w:tc>
          <w:tcPr>
            <w:tcW w:w="1142"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6E37CFF9" w14:textId="77777777" w:rsidR="0062309A" w:rsidRPr="004E13E9" w:rsidRDefault="0062309A" w:rsidP="0062309A">
            <w:pPr>
              <w:widowControl w:val="0"/>
              <w:jc w:val="both"/>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 xml:space="preserve">Quota ajusté (le cas échéant) </w:t>
            </w:r>
          </w:p>
        </w:tc>
        <w:tc>
          <w:tcPr>
            <w:tcW w:w="243"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6E327D23"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tcPr>
          <w:p w14:paraId="21F7A752"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34DAB527"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tcPr>
          <w:p w14:paraId="45647422"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tcPr>
          <w:p w14:paraId="39C80376"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tcPr>
          <w:p w14:paraId="493987CE"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tcPr>
          <w:p w14:paraId="3F1BBDAE"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tcPr>
          <w:p w14:paraId="26489FDE"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tcPr>
          <w:p w14:paraId="4B29D174"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shd w:val="clear" w:color="auto" w:fill="D9D9D9"/>
            <w:vAlign w:val="center"/>
          </w:tcPr>
          <w:p w14:paraId="1E5525C3"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shd w:val="clear" w:color="auto" w:fill="D9D9D9"/>
            <w:vAlign w:val="center"/>
          </w:tcPr>
          <w:p w14:paraId="43965C6B"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shd w:val="clear" w:color="auto" w:fill="D9D9D9"/>
            <w:vAlign w:val="center"/>
          </w:tcPr>
          <w:p w14:paraId="7A643FA5"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43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2EAA7C8"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NA</w:t>
            </w: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F3393D3"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NA</w:t>
            </w:r>
          </w:p>
        </w:tc>
        <w:tc>
          <w:tcPr>
            <w:tcW w:w="34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8BADC58" w14:textId="77777777" w:rsidR="0062309A" w:rsidRPr="004E13E9" w:rsidRDefault="0062309A" w:rsidP="0062309A">
            <w:pPr>
              <w:widowControl w:val="0"/>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24</w:t>
            </w:r>
          </w:p>
          <w:p w14:paraId="63A3FBE0"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(224-200 transférées à l’UE)</w:t>
            </w:r>
          </w:p>
        </w:tc>
        <w:tc>
          <w:tcPr>
            <w:tcW w:w="29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502AD66"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276 (253,14 + 22,86)</w:t>
            </w:r>
          </w:p>
        </w:tc>
      </w:tr>
      <w:tr w:rsidR="0062309A" w:rsidRPr="004E13E9" w14:paraId="1287AEDD"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noWrap/>
            <w:vAlign w:val="center"/>
            <w:hideMark/>
          </w:tcPr>
          <w:p w14:paraId="392D2111" w14:textId="77777777" w:rsidR="0062309A" w:rsidRPr="004E13E9" w:rsidRDefault="0062309A" w:rsidP="0062309A">
            <w:pPr>
              <w:widowControl w:val="0"/>
              <w:jc w:val="both"/>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Pourcentage alloué aux prises accessoires</w:t>
            </w:r>
          </w:p>
        </w:tc>
        <w:tc>
          <w:tcPr>
            <w:tcW w:w="243" w:type="pct"/>
            <w:tcBorders>
              <w:top w:val="single" w:sz="4" w:space="0" w:color="auto"/>
              <w:left w:val="single" w:sz="4" w:space="0" w:color="auto"/>
              <w:bottom w:val="single" w:sz="4" w:space="0" w:color="auto"/>
              <w:right w:val="single" w:sz="4" w:space="0" w:color="auto"/>
            </w:tcBorders>
            <w:noWrap/>
            <w:vAlign w:val="center"/>
            <w:hideMark/>
          </w:tcPr>
          <w:p w14:paraId="135A6AA9" w14:textId="77777777" w:rsidR="0062309A" w:rsidRPr="004E13E9" w:rsidRDefault="0062309A" w:rsidP="0062309A">
            <w:pPr>
              <w:widowControl w:val="0"/>
              <w:jc w:val="both"/>
              <w:rPr>
                <w:rFonts w:eastAsia="Times New Roman" w:cs="Calibri"/>
                <w:b/>
                <w:bCs/>
                <w:color w:val="000000"/>
                <w:sz w:val="14"/>
                <w:szCs w:val="14"/>
                <w:lang w:val="fr-FR" w:eastAsia="fr-FR"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0EBA94F0"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26F06FDD"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71003F5C" w14:textId="77777777" w:rsidR="0062309A" w:rsidRPr="004E13E9" w:rsidRDefault="0062309A" w:rsidP="0062309A">
            <w:pPr>
              <w:rPr>
                <w:rFonts w:eastAsia="MS Gothic" w:cs="Times New Roman"/>
                <w:sz w:val="14"/>
                <w:szCs w:val="14"/>
                <w:lang w:val="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318B909A" w14:textId="77777777" w:rsidR="0062309A" w:rsidRPr="004E13E9" w:rsidRDefault="0062309A" w:rsidP="0062309A">
            <w:pPr>
              <w:rPr>
                <w:rFonts w:eastAsia="MS Gothic" w:cs="Times New Roman"/>
                <w:sz w:val="14"/>
                <w:szCs w:val="14"/>
                <w:lang w:val="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5237383D" w14:textId="77777777" w:rsidR="0062309A" w:rsidRPr="004E13E9" w:rsidRDefault="0062309A" w:rsidP="0062309A">
            <w:pPr>
              <w:rPr>
                <w:rFonts w:eastAsia="MS Gothic" w:cs="Times New Roman"/>
                <w:sz w:val="14"/>
                <w:szCs w:val="14"/>
                <w:lang w:val="fr-FR"/>
              </w:rPr>
            </w:pPr>
          </w:p>
        </w:tc>
        <w:tc>
          <w:tcPr>
            <w:tcW w:w="200" w:type="pct"/>
            <w:tcBorders>
              <w:top w:val="single" w:sz="4" w:space="0" w:color="auto"/>
              <w:left w:val="single" w:sz="4" w:space="0" w:color="auto"/>
              <w:bottom w:val="single" w:sz="4" w:space="0" w:color="auto"/>
              <w:right w:val="single" w:sz="4" w:space="0" w:color="auto"/>
            </w:tcBorders>
            <w:vAlign w:val="center"/>
          </w:tcPr>
          <w:p w14:paraId="2B756343"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516DD8C8"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E224985"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046B5D7E"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25EE6D16"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hideMark/>
          </w:tcPr>
          <w:p w14:paraId="46DBB551" w14:textId="77777777" w:rsidR="0062309A" w:rsidRPr="004E13E9" w:rsidRDefault="0062309A" w:rsidP="0062309A">
            <w:pPr>
              <w:rPr>
                <w:rFonts w:eastAsia="MS Gothic" w:cs="Times New Roman"/>
                <w:sz w:val="14"/>
                <w:szCs w:val="14"/>
                <w:lang w:val="fr-FR"/>
              </w:rPr>
            </w:pPr>
          </w:p>
        </w:tc>
        <w:tc>
          <w:tcPr>
            <w:tcW w:w="434" w:type="pct"/>
            <w:tcBorders>
              <w:top w:val="single" w:sz="4" w:space="0" w:color="auto"/>
              <w:left w:val="single" w:sz="4" w:space="0" w:color="auto"/>
              <w:bottom w:val="single" w:sz="4" w:space="0" w:color="auto"/>
              <w:right w:val="single" w:sz="4" w:space="0" w:color="auto"/>
            </w:tcBorders>
            <w:vAlign w:val="center"/>
            <w:hideMark/>
          </w:tcPr>
          <w:p w14:paraId="75C7B379"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5,4%</w:t>
            </w:r>
          </w:p>
        </w:tc>
        <w:tc>
          <w:tcPr>
            <w:tcW w:w="439" w:type="pct"/>
            <w:tcBorders>
              <w:top w:val="single" w:sz="4" w:space="0" w:color="auto"/>
              <w:left w:val="single" w:sz="4" w:space="0" w:color="auto"/>
              <w:bottom w:val="single" w:sz="4" w:space="0" w:color="auto"/>
              <w:right w:val="single" w:sz="4" w:space="0" w:color="auto"/>
            </w:tcBorders>
            <w:vAlign w:val="center"/>
            <w:hideMark/>
          </w:tcPr>
          <w:p w14:paraId="093D1B00"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5,4%</w:t>
            </w:r>
          </w:p>
        </w:tc>
        <w:tc>
          <w:tcPr>
            <w:tcW w:w="344" w:type="pct"/>
            <w:tcBorders>
              <w:top w:val="single" w:sz="4" w:space="0" w:color="auto"/>
              <w:left w:val="single" w:sz="4" w:space="0" w:color="auto"/>
              <w:bottom w:val="single" w:sz="4" w:space="0" w:color="auto"/>
              <w:right w:val="single" w:sz="4" w:space="0" w:color="auto"/>
            </w:tcBorders>
            <w:vAlign w:val="center"/>
            <w:hideMark/>
          </w:tcPr>
          <w:p w14:paraId="0841942A"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10,7%</w:t>
            </w:r>
          </w:p>
        </w:tc>
        <w:tc>
          <w:tcPr>
            <w:tcW w:w="293" w:type="pct"/>
            <w:tcBorders>
              <w:top w:val="single" w:sz="4" w:space="0" w:color="auto"/>
              <w:left w:val="single" w:sz="4" w:space="0" w:color="auto"/>
              <w:bottom w:val="single" w:sz="4" w:space="0" w:color="auto"/>
              <w:right w:val="single" w:sz="4" w:space="0" w:color="auto"/>
            </w:tcBorders>
            <w:vAlign w:val="center"/>
            <w:hideMark/>
          </w:tcPr>
          <w:p w14:paraId="56DDB578"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w:t>
            </w:r>
          </w:p>
        </w:tc>
      </w:tr>
      <w:tr w:rsidR="0062309A" w:rsidRPr="004E13E9" w14:paraId="56780399"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noWrap/>
            <w:vAlign w:val="center"/>
            <w:hideMark/>
          </w:tcPr>
          <w:p w14:paraId="7A4C07D5" w14:textId="77777777" w:rsidR="0062309A" w:rsidRPr="004E13E9" w:rsidRDefault="0062309A" w:rsidP="0062309A">
            <w:pPr>
              <w:widowControl w:val="0"/>
              <w:jc w:val="both"/>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Allocation aux prises accessoires</w:t>
            </w:r>
          </w:p>
        </w:tc>
        <w:tc>
          <w:tcPr>
            <w:tcW w:w="243" w:type="pct"/>
            <w:tcBorders>
              <w:top w:val="single" w:sz="4" w:space="0" w:color="auto"/>
              <w:left w:val="single" w:sz="4" w:space="0" w:color="auto"/>
              <w:bottom w:val="single" w:sz="4" w:space="0" w:color="auto"/>
              <w:right w:val="single" w:sz="4" w:space="0" w:color="auto"/>
            </w:tcBorders>
            <w:noWrap/>
            <w:vAlign w:val="center"/>
          </w:tcPr>
          <w:p w14:paraId="51D57562"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050505F3"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tcPr>
          <w:p w14:paraId="2CC1EA7C"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264D5B29"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00AEEBA5"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5192D1D0"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0887ED3D"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61A4DF7A"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tcPr>
          <w:p w14:paraId="0D1E2C81"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599E1AE4"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tcPr>
          <w:p w14:paraId="217A885A"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tcPr>
          <w:p w14:paraId="74CDB145"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434" w:type="pct"/>
            <w:tcBorders>
              <w:top w:val="single" w:sz="4" w:space="0" w:color="auto"/>
              <w:left w:val="single" w:sz="4" w:space="0" w:color="auto"/>
              <w:bottom w:val="single" w:sz="4" w:space="0" w:color="auto"/>
              <w:right w:val="single" w:sz="4" w:space="0" w:color="auto"/>
            </w:tcBorders>
            <w:vAlign w:val="center"/>
            <w:hideMark/>
          </w:tcPr>
          <w:p w14:paraId="12169656"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12</w:t>
            </w:r>
          </w:p>
        </w:tc>
        <w:tc>
          <w:tcPr>
            <w:tcW w:w="439" w:type="pct"/>
            <w:tcBorders>
              <w:top w:val="single" w:sz="4" w:space="0" w:color="auto"/>
              <w:left w:val="single" w:sz="4" w:space="0" w:color="auto"/>
              <w:bottom w:val="single" w:sz="4" w:space="0" w:color="auto"/>
              <w:right w:val="single" w:sz="4" w:space="0" w:color="auto"/>
            </w:tcBorders>
            <w:vAlign w:val="center"/>
            <w:hideMark/>
          </w:tcPr>
          <w:p w14:paraId="079214DF"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12</w:t>
            </w:r>
          </w:p>
        </w:tc>
        <w:tc>
          <w:tcPr>
            <w:tcW w:w="344" w:type="pct"/>
            <w:tcBorders>
              <w:top w:val="single" w:sz="4" w:space="0" w:color="auto"/>
              <w:left w:val="single" w:sz="4" w:space="0" w:color="auto"/>
              <w:bottom w:val="single" w:sz="4" w:space="0" w:color="auto"/>
              <w:right w:val="single" w:sz="4" w:space="0" w:color="auto"/>
            </w:tcBorders>
            <w:vAlign w:val="center"/>
            <w:hideMark/>
          </w:tcPr>
          <w:p w14:paraId="0A376843"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24</w:t>
            </w:r>
          </w:p>
        </w:tc>
        <w:tc>
          <w:tcPr>
            <w:tcW w:w="293" w:type="pct"/>
            <w:tcBorders>
              <w:top w:val="single" w:sz="4" w:space="0" w:color="auto"/>
              <w:left w:val="single" w:sz="4" w:space="0" w:color="auto"/>
              <w:bottom w:val="single" w:sz="4" w:space="0" w:color="auto"/>
              <w:right w:val="single" w:sz="4" w:space="0" w:color="auto"/>
            </w:tcBorders>
            <w:vAlign w:val="center"/>
            <w:hideMark/>
          </w:tcPr>
          <w:p w14:paraId="0AA77D21"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5</w:t>
            </w:r>
          </w:p>
        </w:tc>
      </w:tr>
      <w:tr w:rsidR="0062309A" w:rsidRPr="000926DE" w14:paraId="0F5C88D6"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vAlign w:val="center"/>
          </w:tcPr>
          <w:p w14:paraId="552EEFA7" w14:textId="77777777" w:rsidR="0062309A" w:rsidRPr="004E13E9" w:rsidRDefault="0062309A" w:rsidP="0062309A">
            <w:pPr>
              <w:widowControl w:val="0"/>
              <w:jc w:val="both"/>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Quota de recherche scientifique</w:t>
            </w:r>
          </w:p>
          <w:p w14:paraId="04ACC92A" w14:textId="77777777" w:rsidR="0062309A" w:rsidRPr="004E13E9" w:rsidRDefault="0062309A" w:rsidP="0062309A">
            <w:pPr>
              <w:widowControl w:val="0"/>
              <w:jc w:val="both"/>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(le cas échéant)</w:t>
            </w:r>
          </w:p>
          <w:p w14:paraId="73AE0E85"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43" w:type="pct"/>
            <w:tcBorders>
              <w:top w:val="single" w:sz="4" w:space="0" w:color="auto"/>
              <w:left w:val="single" w:sz="4" w:space="0" w:color="auto"/>
              <w:bottom w:val="single" w:sz="4" w:space="0" w:color="auto"/>
              <w:right w:val="single" w:sz="4" w:space="0" w:color="auto"/>
            </w:tcBorders>
            <w:noWrap/>
            <w:vAlign w:val="center"/>
          </w:tcPr>
          <w:p w14:paraId="77700258"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1F16D7E4"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tcPr>
          <w:p w14:paraId="4A650B49"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216ED7F9"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346026E0"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67C03AC9"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549C21EF"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04CEC3C4"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tcPr>
          <w:p w14:paraId="0B38E5F0"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vAlign w:val="center"/>
          </w:tcPr>
          <w:p w14:paraId="20D9D05A"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tcPr>
          <w:p w14:paraId="5F1ACDF5"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tcPr>
          <w:p w14:paraId="225C11DD"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434" w:type="pct"/>
            <w:tcBorders>
              <w:top w:val="single" w:sz="4" w:space="0" w:color="auto"/>
              <w:left w:val="single" w:sz="4" w:space="0" w:color="auto"/>
              <w:bottom w:val="single" w:sz="4" w:space="0" w:color="auto"/>
              <w:right w:val="single" w:sz="4" w:space="0" w:color="auto"/>
            </w:tcBorders>
            <w:noWrap/>
            <w:vAlign w:val="center"/>
          </w:tcPr>
          <w:p w14:paraId="4126074E"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439" w:type="pct"/>
            <w:tcBorders>
              <w:top w:val="single" w:sz="4" w:space="0" w:color="auto"/>
              <w:left w:val="single" w:sz="4" w:space="0" w:color="auto"/>
              <w:bottom w:val="single" w:sz="4" w:space="0" w:color="auto"/>
              <w:right w:val="single" w:sz="4" w:space="0" w:color="auto"/>
            </w:tcBorders>
            <w:noWrap/>
            <w:vAlign w:val="center"/>
          </w:tcPr>
          <w:p w14:paraId="6AF301C4"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344" w:type="pct"/>
            <w:tcBorders>
              <w:top w:val="single" w:sz="4" w:space="0" w:color="auto"/>
              <w:left w:val="single" w:sz="4" w:space="0" w:color="auto"/>
              <w:bottom w:val="single" w:sz="4" w:space="0" w:color="auto"/>
              <w:right w:val="single" w:sz="4" w:space="0" w:color="auto"/>
            </w:tcBorders>
            <w:noWrap/>
            <w:vAlign w:val="center"/>
          </w:tcPr>
          <w:p w14:paraId="0797B285"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293" w:type="pct"/>
            <w:tcBorders>
              <w:top w:val="single" w:sz="4" w:space="0" w:color="auto"/>
              <w:left w:val="single" w:sz="4" w:space="0" w:color="auto"/>
              <w:bottom w:val="single" w:sz="4" w:space="0" w:color="auto"/>
              <w:right w:val="single" w:sz="4" w:space="0" w:color="auto"/>
            </w:tcBorders>
            <w:vAlign w:val="center"/>
          </w:tcPr>
          <w:p w14:paraId="61A84499"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r>
      <w:tr w:rsidR="0062309A" w:rsidRPr="004E13E9" w14:paraId="0EE81F53"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vAlign w:val="center"/>
            <w:hideMark/>
          </w:tcPr>
          <w:p w14:paraId="6BFA38C1" w14:textId="77777777" w:rsidR="0062309A" w:rsidRPr="004E13E9" w:rsidRDefault="0062309A" w:rsidP="0062309A">
            <w:pPr>
              <w:widowControl w:val="0"/>
              <w:jc w:val="both"/>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Tolérance pour la pêche sportive/récréative</w:t>
            </w:r>
          </w:p>
          <w:p w14:paraId="79603B19" w14:textId="77777777" w:rsidR="0062309A" w:rsidRPr="004E13E9" w:rsidRDefault="0062309A" w:rsidP="0062309A">
            <w:pPr>
              <w:widowControl w:val="0"/>
              <w:jc w:val="both"/>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(le cas échéant)</w:t>
            </w:r>
          </w:p>
        </w:tc>
        <w:tc>
          <w:tcPr>
            <w:tcW w:w="243" w:type="pct"/>
            <w:tcBorders>
              <w:top w:val="single" w:sz="4" w:space="0" w:color="auto"/>
              <w:left w:val="single" w:sz="4" w:space="0" w:color="auto"/>
              <w:bottom w:val="single" w:sz="4" w:space="0" w:color="auto"/>
              <w:right w:val="single" w:sz="4" w:space="0" w:color="auto"/>
            </w:tcBorders>
            <w:noWrap/>
            <w:vAlign w:val="center"/>
          </w:tcPr>
          <w:p w14:paraId="7BC81900" w14:textId="77777777" w:rsidR="0062309A" w:rsidRPr="004E13E9" w:rsidRDefault="0062309A" w:rsidP="0062309A">
            <w:pPr>
              <w:widowControl w:val="0"/>
              <w:jc w:val="right"/>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tcPr>
          <w:p w14:paraId="46741CFF"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tcPr>
          <w:p w14:paraId="6F89302F"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7D0A7B33"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162544BF"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2ECB188C"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tcPr>
          <w:p w14:paraId="40797F70"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tcPr>
          <w:p w14:paraId="101AB798"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tcPr>
          <w:p w14:paraId="6C01F5C4"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tcPr>
          <w:p w14:paraId="223E5F35"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tcPr>
          <w:p w14:paraId="4DD74999"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tcPr>
          <w:p w14:paraId="572F4826"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434" w:type="pct"/>
            <w:tcBorders>
              <w:top w:val="single" w:sz="4" w:space="0" w:color="auto"/>
              <w:left w:val="single" w:sz="4" w:space="0" w:color="auto"/>
              <w:bottom w:val="single" w:sz="4" w:space="0" w:color="auto"/>
              <w:right w:val="single" w:sz="4" w:space="0" w:color="auto"/>
            </w:tcBorders>
            <w:noWrap/>
            <w:vAlign w:val="center"/>
          </w:tcPr>
          <w:p w14:paraId="4BEFC447"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439" w:type="pct"/>
            <w:tcBorders>
              <w:top w:val="single" w:sz="4" w:space="0" w:color="auto"/>
              <w:left w:val="single" w:sz="4" w:space="0" w:color="auto"/>
              <w:bottom w:val="single" w:sz="4" w:space="0" w:color="auto"/>
              <w:right w:val="single" w:sz="4" w:space="0" w:color="auto"/>
            </w:tcBorders>
            <w:noWrap/>
            <w:vAlign w:val="center"/>
          </w:tcPr>
          <w:p w14:paraId="4849B5E7"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344" w:type="pct"/>
            <w:tcBorders>
              <w:top w:val="single" w:sz="4" w:space="0" w:color="auto"/>
              <w:left w:val="single" w:sz="4" w:space="0" w:color="auto"/>
              <w:bottom w:val="single" w:sz="4" w:space="0" w:color="auto"/>
              <w:right w:val="single" w:sz="4" w:space="0" w:color="auto"/>
            </w:tcBorders>
            <w:noWrap/>
            <w:vAlign w:val="center"/>
          </w:tcPr>
          <w:p w14:paraId="4ED43E27"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93" w:type="pct"/>
            <w:tcBorders>
              <w:top w:val="single" w:sz="4" w:space="0" w:color="auto"/>
              <w:left w:val="single" w:sz="4" w:space="0" w:color="auto"/>
              <w:bottom w:val="single" w:sz="4" w:space="0" w:color="auto"/>
              <w:right w:val="single" w:sz="4" w:space="0" w:color="auto"/>
            </w:tcBorders>
          </w:tcPr>
          <w:p w14:paraId="3F6132D6"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r>
      <w:tr w:rsidR="0062309A" w:rsidRPr="004E13E9" w14:paraId="1492516B"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vAlign w:val="center"/>
            <w:hideMark/>
          </w:tcPr>
          <w:p w14:paraId="7A0675FC" w14:textId="77777777" w:rsidR="0062309A" w:rsidRPr="004E13E9" w:rsidRDefault="0062309A" w:rsidP="0062309A">
            <w:pPr>
              <w:widowControl w:val="0"/>
              <w:jc w:val="both"/>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Quota disponible</w:t>
            </w:r>
          </w:p>
        </w:tc>
        <w:tc>
          <w:tcPr>
            <w:tcW w:w="243" w:type="pct"/>
            <w:tcBorders>
              <w:top w:val="single" w:sz="4" w:space="0" w:color="auto"/>
              <w:left w:val="single" w:sz="4" w:space="0" w:color="auto"/>
              <w:bottom w:val="single" w:sz="4" w:space="0" w:color="auto"/>
              <w:right w:val="single" w:sz="4" w:space="0" w:color="auto"/>
            </w:tcBorders>
            <w:noWrap/>
            <w:vAlign w:val="center"/>
          </w:tcPr>
          <w:p w14:paraId="64E945A5" w14:textId="77777777" w:rsidR="0062309A" w:rsidRPr="004E13E9" w:rsidRDefault="0062309A" w:rsidP="0062309A">
            <w:pPr>
              <w:widowControl w:val="0"/>
              <w:jc w:val="right"/>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tcPr>
          <w:p w14:paraId="6421C9F1"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noWrap/>
            <w:vAlign w:val="center"/>
          </w:tcPr>
          <w:p w14:paraId="7F4D1E2E"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4C8BBFAC"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28451828"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7DBC74DE"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tcPr>
          <w:p w14:paraId="41DC6DA5"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tcPr>
          <w:p w14:paraId="40673CAA"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tcPr>
          <w:p w14:paraId="538F2AE9"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11" w:type="pct"/>
            <w:tcBorders>
              <w:top w:val="single" w:sz="4" w:space="0" w:color="auto"/>
              <w:left w:val="single" w:sz="4" w:space="0" w:color="auto"/>
              <w:bottom w:val="single" w:sz="4" w:space="0" w:color="auto"/>
              <w:right w:val="single" w:sz="4" w:space="0" w:color="auto"/>
            </w:tcBorders>
          </w:tcPr>
          <w:p w14:paraId="366E0EBA" w14:textId="77777777" w:rsidR="0062309A" w:rsidRPr="004E13E9" w:rsidRDefault="0062309A" w:rsidP="0062309A">
            <w:pPr>
              <w:widowControl w:val="0"/>
              <w:jc w:val="both"/>
              <w:rPr>
                <w:rFonts w:eastAsia="Times New Roman" w:cs="Calibri"/>
                <w:b/>
                <w:bCs/>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vAlign w:val="center"/>
          </w:tcPr>
          <w:p w14:paraId="3737C67E"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151" w:type="pct"/>
            <w:tcBorders>
              <w:top w:val="single" w:sz="4" w:space="0" w:color="auto"/>
              <w:left w:val="single" w:sz="4" w:space="0" w:color="auto"/>
              <w:bottom w:val="single" w:sz="4" w:space="0" w:color="auto"/>
              <w:right w:val="single" w:sz="4" w:space="0" w:color="auto"/>
            </w:tcBorders>
            <w:vAlign w:val="center"/>
          </w:tcPr>
          <w:p w14:paraId="71C6B034" w14:textId="77777777" w:rsidR="0062309A" w:rsidRPr="004E13E9" w:rsidRDefault="0062309A" w:rsidP="0062309A">
            <w:pPr>
              <w:widowControl w:val="0"/>
              <w:jc w:val="center"/>
              <w:rPr>
                <w:rFonts w:eastAsia="Times New Roman" w:cs="Calibri"/>
                <w:b/>
                <w:bCs/>
                <w:color w:val="000000"/>
                <w:sz w:val="14"/>
                <w:szCs w:val="14"/>
                <w:lang w:val="fr-FR" w:eastAsia="ja-JP" w:bidi="fr-FR"/>
              </w:rPr>
            </w:pPr>
          </w:p>
        </w:tc>
        <w:tc>
          <w:tcPr>
            <w:tcW w:w="434" w:type="pct"/>
            <w:tcBorders>
              <w:top w:val="single" w:sz="4" w:space="0" w:color="auto"/>
              <w:left w:val="single" w:sz="4" w:space="0" w:color="auto"/>
              <w:bottom w:val="single" w:sz="4" w:space="0" w:color="auto"/>
              <w:right w:val="single" w:sz="4" w:space="0" w:color="auto"/>
            </w:tcBorders>
            <w:noWrap/>
            <w:vAlign w:val="center"/>
            <w:hideMark/>
          </w:tcPr>
          <w:p w14:paraId="6E62B253" w14:textId="77777777" w:rsidR="0062309A" w:rsidRPr="004E13E9" w:rsidRDefault="0062309A" w:rsidP="0062309A">
            <w:pPr>
              <w:widowControl w:val="0"/>
              <w:jc w:val="center"/>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212 (224 - 12)</w:t>
            </w:r>
          </w:p>
        </w:tc>
        <w:tc>
          <w:tcPr>
            <w:tcW w:w="439" w:type="pct"/>
            <w:tcBorders>
              <w:top w:val="single" w:sz="4" w:space="0" w:color="auto"/>
              <w:left w:val="single" w:sz="4" w:space="0" w:color="auto"/>
              <w:bottom w:val="single" w:sz="4" w:space="0" w:color="auto"/>
              <w:right w:val="single" w:sz="4" w:space="0" w:color="auto"/>
            </w:tcBorders>
            <w:noWrap/>
            <w:vAlign w:val="center"/>
            <w:hideMark/>
          </w:tcPr>
          <w:p w14:paraId="5B6008AC" w14:textId="77777777" w:rsidR="0062309A" w:rsidRPr="004E13E9" w:rsidRDefault="0062309A" w:rsidP="0062309A">
            <w:pPr>
              <w:widowControl w:val="0"/>
              <w:jc w:val="center"/>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212 (224 - 12)</w:t>
            </w:r>
          </w:p>
        </w:tc>
        <w:tc>
          <w:tcPr>
            <w:tcW w:w="344" w:type="pct"/>
            <w:tcBorders>
              <w:top w:val="single" w:sz="4" w:space="0" w:color="auto"/>
              <w:left w:val="single" w:sz="4" w:space="0" w:color="auto"/>
              <w:bottom w:val="single" w:sz="4" w:space="0" w:color="auto"/>
              <w:right w:val="single" w:sz="4" w:space="0" w:color="auto"/>
            </w:tcBorders>
            <w:noWrap/>
            <w:vAlign w:val="center"/>
            <w:hideMark/>
          </w:tcPr>
          <w:p w14:paraId="0E398554" w14:textId="77777777" w:rsidR="0062309A" w:rsidRPr="004E13E9" w:rsidRDefault="0062309A" w:rsidP="0062309A">
            <w:pPr>
              <w:widowControl w:val="0"/>
              <w:jc w:val="center"/>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0 (24-24)</w:t>
            </w:r>
          </w:p>
        </w:tc>
        <w:tc>
          <w:tcPr>
            <w:tcW w:w="293" w:type="pct"/>
            <w:tcBorders>
              <w:top w:val="single" w:sz="4" w:space="0" w:color="auto"/>
              <w:left w:val="single" w:sz="4" w:space="0" w:color="auto"/>
              <w:bottom w:val="single" w:sz="4" w:space="0" w:color="auto"/>
              <w:right w:val="single" w:sz="4" w:space="0" w:color="auto"/>
            </w:tcBorders>
            <w:hideMark/>
          </w:tcPr>
          <w:p w14:paraId="4FBCAEFF" w14:textId="77777777" w:rsidR="0062309A" w:rsidRPr="004E13E9" w:rsidRDefault="0062309A" w:rsidP="0062309A">
            <w:pPr>
              <w:widowControl w:val="0"/>
              <w:jc w:val="center"/>
              <w:rPr>
                <w:rFonts w:eastAsia="Times New Roman" w:cs="Calibri"/>
                <w:b/>
                <w:bCs/>
                <w:color w:val="000000"/>
                <w:sz w:val="14"/>
                <w:szCs w:val="14"/>
                <w:lang w:val="fr-FR" w:eastAsia="fr-FR" w:bidi="fr-FR"/>
              </w:rPr>
            </w:pPr>
            <w:r w:rsidRPr="004E13E9">
              <w:rPr>
                <w:rFonts w:eastAsia="Times New Roman" w:cs="Calibri"/>
                <w:b/>
                <w:bCs/>
                <w:sz w:val="14"/>
                <w:szCs w:val="14"/>
                <w:lang w:val="fr-FR" w:eastAsia="ja-JP"/>
              </w:rPr>
              <w:t>271 (276-5)</w:t>
            </w:r>
          </w:p>
        </w:tc>
      </w:tr>
      <w:tr w:rsidR="0062309A" w:rsidRPr="004E13E9" w14:paraId="5D3621DD" w14:textId="77777777" w:rsidTr="00BB4F69">
        <w:trPr>
          <w:trHeight w:val="20"/>
        </w:trPr>
        <w:tc>
          <w:tcPr>
            <w:tcW w:w="1142"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C4A351C" w14:textId="77777777" w:rsidR="0062309A" w:rsidRPr="004E13E9" w:rsidRDefault="0062309A" w:rsidP="0062309A">
            <w:pPr>
              <w:widowControl w:val="0"/>
              <w:jc w:val="both"/>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Sous/surcapacité</w:t>
            </w:r>
          </w:p>
        </w:tc>
        <w:tc>
          <w:tcPr>
            <w:tcW w:w="243"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5E458B3" w14:textId="77777777" w:rsidR="0062309A" w:rsidRPr="004E13E9" w:rsidRDefault="0062309A" w:rsidP="0062309A">
            <w:pPr>
              <w:widowControl w:val="0"/>
              <w:jc w:val="right"/>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 </w:t>
            </w:r>
          </w:p>
        </w:tc>
        <w:tc>
          <w:tcPr>
            <w:tcW w:w="200" w:type="pct"/>
            <w:tcBorders>
              <w:top w:val="single" w:sz="4" w:space="0" w:color="auto"/>
              <w:left w:val="single" w:sz="4" w:space="0" w:color="auto"/>
              <w:bottom w:val="single" w:sz="4" w:space="0" w:color="auto"/>
              <w:right w:val="single" w:sz="4" w:space="0" w:color="auto"/>
            </w:tcBorders>
            <w:shd w:val="clear" w:color="auto" w:fill="D9D9D9"/>
          </w:tcPr>
          <w:p w14:paraId="342BA997"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A15C22D" w14:textId="77777777" w:rsidR="0062309A" w:rsidRPr="004E13E9" w:rsidRDefault="0062309A" w:rsidP="0062309A">
            <w:pPr>
              <w:widowControl w:val="0"/>
              <w:jc w:val="both"/>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 </w:t>
            </w: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FC6F449" w14:textId="77777777" w:rsidR="0062309A" w:rsidRPr="004E13E9" w:rsidRDefault="0062309A" w:rsidP="0062309A">
            <w:pPr>
              <w:widowControl w:val="0"/>
              <w:jc w:val="both"/>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 </w:t>
            </w: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E96A0B7" w14:textId="77777777" w:rsidR="0062309A" w:rsidRPr="004E13E9" w:rsidRDefault="0062309A" w:rsidP="0062309A">
            <w:pPr>
              <w:widowControl w:val="0"/>
              <w:jc w:val="both"/>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 </w:t>
            </w: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3A03A43" w14:textId="77777777" w:rsidR="0062309A" w:rsidRPr="004E13E9" w:rsidRDefault="0062309A" w:rsidP="0062309A">
            <w:pPr>
              <w:widowControl w:val="0"/>
              <w:jc w:val="both"/>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 </w:t>
            </w:r>
          </w:p>
        </w:tc>
        <w:tc>
          <w:tcPr>
            <w:tcW w:w="200" w:type="pct"/>
            <w:tcBorders>
              <w:top w:val="single" w:sz="4" w:space="0" w:color="auto"/>
              <w:left w:val="single" w:sz="4" w:space="0" w:color="auto"/>
              <w:bottom w:val="single" w:sz="4" w:space="0" w:color="auto"/>
              <w:right w:val="single" w:sz="4" w:space="0" w:color="auto"/>
            </w:tcBorders>
            <w:shd w:val="clear" w:color="auto" w:fill="D9D9D9"/>
          </w:tcPr>
          <w:p w14:paraId="74E7F580"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00" w:type="pct"/>
            <w:tcBorders>
              <w:top w:val="single" w:sz="4" w:space="0" w:color="auto"/>
              <w:left w:val="single" w:sz="4" w:space="0" w:color="auto"/>
              <w:bottom w:val="single" w:sz="4" w:space="0" w:color="auto"/>
              <w:right w:val="single" w:sz="4" w:space="0" w:color="auto"/>
            </w:tcBorders>
            <w:shd w:val="clear" w:color="auto" w:fill="D9D9D9"/>
          </w:tcPr>
          <w:p w14:paraId="01C2358D" w14:textId="77777777" w:rsidR="0062309A" w:rsidRPr="004E13E9" w:rsidRDefault="0062309A" w:rsidP="0062309A">
            <w:pPr>
              <w:widowControl w:val="0"/>
              <w:jc w:val="center"/>
              <w:rPr>
                <w:rFonts w:eastAsia="Times New Roman" w:cs="Calibri"/>
                <w:color w:val="000000"/>
                <w:sz w:val="14"/>
                <w:szCs w:val="14"/>
                <w:lang w:val="fr-FR" w:eastAsia="ja-JP"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28D140E" w14:textId="77777777" w:rsidR="0062309A" w:rsidRPr="004E13E9" w:rsidRDefault="0062309A" w:rsidP="0062309A">
            <w:pPr>
              <w:widowControl w:val="0"/>
              <w:jc w:val="both"/>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 </w:t>
            </w:r>
          </w:p>
        </w:tc>
        <w:tc>
          <w:tcPr>
            <w:tcW w:w="211" w:type="pct"/>
            <w:tcBorders>
              <w:top w:val="single" w:sz="4" w:space="0" w:color="auto"/>
              <w:left w:val="single" w:sz="4" w:space="0" w:color="auto"/>
              <w:bottom w:val="single" w:sz="4" w:space="0" w:color="auto"/>
              <w:right w:val="single" w:sz="4" w:space="0" w:color="auto"/>
            </w:tcBorders>
            <w:shd w:val="clear" w:color="auto" w:fill="D9D9D9"/>
          </w:tcPr>
          <w:p w14:paraId="4947088C" w14:textId="77777777" w:rsidR="0062309A" w:rsidRPr="004E13E9" w:rsidRDefault="0062309A" w:rsidP="0062309A">
            <w:pPr>
              <w:widowControl w:val="0"/>
              <w:jc w:val="both"/>
              <w:rPr>
                <w:rFonts w:eastAsia="Times New Roman" w:cs="Calibri"/>
                <w:color w:val="000000"/>
                <w:sz w:val="14"/>
                <w:szCs w:val="14"/>
                <w:lang w:val="fr-FR" w:eastAsia="ja-JP" w:bidi="fr-FR"/>
              </w:rPr>
            </w:pPr>
          </w:p>
        </w:tc>
        <w:tc>
          <w:tcPr>
            <w:tcW w:w="25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51FBAD3"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-41,53</w:t>
            </w:r>
          </w:p>
        </w:tc>
        <w:tc>
          <w:tcPr>
            <w:tcW w:w="15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D4F13EE" w14:textId="77777777" w:rsidR="0062309A" w:rsidRPr="004E13E9" w:rsidRDefault="0062309A" w:rsidP="0062309A">
            <w:pPr>
              <w:widowControl w:val="0"/>
              <w:jc w:val="both"/>
              <w:rPr>
                <w:rFonts w:eastAsia="Times New Roman" w:cs="Calibri"/>
                <w:color w:val="000000"/>
                <w:sz w:val="14"/>
                <w:szCs w:val="14"/>
                <w:lang w:val="fr-FR" w:eastAsia="fr-FR" w:bidi="fr-FR"/>
              </w:rPr>
            </w:pPr>
          </w:p>
        </w:tc>
        <w:tc>
          <w:tcPr>
            <w:tcW w:w="43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DBC8527"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-137</w:t>
            </w: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44CEE08"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-137</w:t>
            </w:r>
          </w:p>
        </w:tc>
        <w:tc>
          <w:tcPr>
            <w:tcW w:w="34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654599C"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75</w:t>
            </w:r>
          </w:p>
        </w:tc>
        <w:tc>
          <w:tcPr>
            <w:tcW w:w="293" w:type="pct"/>
            <w:tcBorders>
              <w:top w:val="single" w:sz="4" w:space="0" w:color="auto"/>
              <w:left w:val="single" w:sz="4" w:space="0" w:color="auto"/>
              <w:bottom w:val="single" w:sz="4" w:space="0" w:color="auto"/>
              <w:right w:val="single" w:sz="4" w:space="0" w:color="auto"/>
            </w:tcBorders>
            <w:shd w:val="clear" w:color="auto" w:fill="D9D9D9"/>
            <w:hideMark/>
          </w:tcPr>
          <w:p w14:paraId="4CFE920F" w14:textId="77777777" w:rsidR="0062309A" w:rsidRPr="004E13E9" w:rsidRDefault="0062309A" w:rsidP="0062309A">
            <w:pPr>
              <w:widowControl w:val="0"/>
              <w:jc w:val="center"/>
              <w:rPr>
                <w:rFonts w:eastAsia="Times New Roman" w:cs="Calibri"/>
                <w:color w:val="000000"/>
                <w:sz w:val="14"/>
                <w:szCs w:val="14"/>
                <w:lang w:val="fr-FR" w:eastAsia="fr-FR" w:bidi="fr-FR"/>
              </w:rPr>
            </w:pPr>
            <w:r w:rsidRPr="004E13E9">
              <w:rPr>
                <w:rFonts w:eastAsia="Times New Roman" w:cs="Calibri"/>
                <w:sz w:val="14"/>
                <w:szCs w:val="14"/>
                <w:lang w:val="fr-FR" w:eastAsia="ja-JP"/>
              </w:rPr>
              <w:t>-196</w:t>
            </w:r>
          </w:p>
        </w:tc>
      </w:tr>
    </w:tbl>
    <w:p w14:paraId="00BE0204" w14:textId="77777777" w:rsidR="0062309A" w:rsidRPr="004E13E9" w:rsidRDefault="0062309A" w:rsidP="0062309A">
      <w:pPr>
        <w:spacing w:after="160" w:line="259" w:lineRule="auto"/>
        <w:rPr>
          <w:rFonts w:eastAsia="Yu Mincho" w:cs="Times New Roman"/>
          <w:b/>
          <w:bCs/>
          <w:lang w:val="fr-FR"/>
        </w:rPr>
      </w:pPr>
    </w:p>
    <w:p w14:paraId="28862FE1" w14:textId="77777777" w:rsidR="0062309A" w:rsidRPr="004E13E9" w:rsidRDefault="0062309A">
      <w:pPr>
        <w:rPr>
          <w:lang w:val="it-IT"/>
        </w:rPr>
      </w:pPr>
    </w:p>
    <w:p w14:paraId="67DFA243" w14:textId="37894942" w:rsidR="007E20D4" w:rsidRPr="004E13E9" w:rsidRDefault="007E20D4">
      <w:pPr>
        <w:rPr>
          <w:b/>
          <w:bCs/>
          <w:lang w:val="it-IT" w:eastAsia="en-GB"/>
        </w:rPr>
        <w:sectPr w:rsidR="007E20D4" w:rsidRPr="004E13E9" w:rsidSect="002506D6">
          <w:footnotePr>
            <w:numFmt w:val="chicago"/>
          </w:footnotePr>
          <w:pgSz w:w="16840" w:h="11907" w:orient="landscape" w:code="9"/>
          <w:pgMar w:top="1418" w:right="1418" w:bottom="1418" w:left="1418" w:header="851" w:footer="1134" w:gutter="0"/>
          <w:cols w:space="720"/>
          <w:docGrid w:linePitch="272"/>
        </w:sectPr>
      </w:pPr>
      <w:r w:rsidRPr="004E13E9">
        <w:rPr>
          <w:b/>
          <w:bCs/>
          <w:lang w:val="it-IT" w:eastAsia="en-GB"/>
        </w:rPr>
        <w:br w:type="page"/>
      </w:r>
    </w:p>
    <w:p w14:paraId="62803E18" w14:textId="700072F5" w:rsidR="001802EF" w:rsidRPr="004E13E9" w:rsidRDefault="001802EF" w:rsidP="001802EF">
      <w:pPr>
        <w:rPr>
          <w:lang w:val="fr-FR" w:eastAsia="en-GB"/>
        </w:rPr>
      </w:pPr>
      <w:r w:rsidRPr="004E13E9">
        <w:rPr>
          <w:b/>
          <w:bCs/>
          <w:lang w:val="fr-FR" w:eastAsia="en-GB"/>
        </w:rPr>
        <w:t>Japon</w:t>
      </w:r>
    </w:p>
    <w:p w14:paraId="1F783B1B" w14:textId="77777777" w:rsidR="001802EF" w:rsidRPr="004E13E9" w:rsidRDefault="001802EF">
      <w:pPr>
        <w:rPr>
          <w:lang w:val="fr-FR"/>
        </w:rPr>
      </w:pPr>
    </w:p>
    <w:p w14:paraId="473D4746" w14:textId="77777777" w:rsidR="006A3093" w:rsidRPr="004E13E9" w:rsidRDefault="006A3093" w:rsidP="006A3093">
      <w:pPr>
        <w:widowControl w:val="0"/>
        <w:jc w:val="both"/>
        <w:rPr>
          <w:rFonts w:eastAsia="MS Gothic" w:cs="Times New Roman"/>
          <w:b/>
          <w:lang w:val="fr-FR" w:eastAsia="fr-FR" w:bidi="fr-FR"/>
        </w:rPr>
      </w:pPr>
      <w:r w:rsidRPr="004E13E9">
        <w:rPr>
          <w:rFonts w:eastAsia="MS Gothic" w:cs="Times New Roman"/>
          <w:b/>
          <w:lang w:val="fr-FR" w:eastAsia="fr-FR" w:bidi="fr-FR"/>
        </w:rPr>
        <w:t>Année du plan de pêche : 2026</w:t>
      </w:r>
    </w:p>
    <w:p w14:paraId="14E421F9" w14:textId="77777777" w:rsidR="006A3093" w:rsidRPr="004E13E9" w:rsidRDefault="006A3093" w:rsidP="006A3093">
      <w:pPr>
        <w:widowControl w:val="0"/>
        <w:jc w:val="both"/>
        <w:rPr>
          <w:rFonts w:eastAsia="MS Gothic" w:cs="Times New Roman"/>
          <w:lang w:val="fr-FR" w:eastAsia="fr-FR" w:bidi="fr-FR"/>
        </w:rPr>
      </w:pPr>
    </w:p>
    <w:p w14:paraId="0EF80342" w14:textId="77777777" w:rsidR="006A3093" w:rsidRPr="004E13E9" w:rsidRDefault="006A3093" w:rsidP="006A3093">
      <w:pPr>
        <w:ind w:left="426" w:hanging="426"/>
        <w:rPr>
          <w:rFonts w:eastAsia="Yu Mincho" w:cs="Times New Roman"/>
          <w:b/>
          <w:lang w:val="fr-FR"/>
        </w:rPr>
      </w:pPr>
      <w:r w:rsidRPr="004E13E9">
        <w:rPr>
          <w:rFonts w:eastAsia="Yu Mincho" w:cs="Times New Roman"/>
          <w:b/>
          <w:lang w:val="fr-FR"/>
        </w:rPr>
        <w:t xml:space="preserve">1. </w:t>
      </w:r>
      <w:r w:rsidRPr="004E13E9">
        <w:rPr>
          <w:rFonts w:eastAsia="Yu Mincho" w:cs="Times New Roman"/>
          <w:b/>
          <w:lang w:val="fr-FR"/>
        </w:rPr>
        <w:tab/>
        <w:t>Détails du plan annuel de pêche pour les navires de capture et les madragues</w:t>
      </w:r>
    </w:p>
    <w:p w14:paraId="5BA1BE7C" w14:textId="77777777" w:rsidR="006A3093" w:rsidRPr="004E13E9" w:rsidRDefault="006A3093" w:rsidP="006A3093">
      <w:pPr>
        <w:widowControl w:val="0"/>
        <w:jc w:val="both"/>
        <w:rPr>
          <w:rFonts w:eastAsia="MS Gothic" w:cs="Times New Roman"/>
          <w:b/>
          <w:bCs/>
          <w:i/>
          <w:iCs/>
          <w:color w:val="000000"/>
          <w:lang w:val="fr-FR" w:eastAsia="fr-FR" w:bidi="fr-FR"/>
        </w:rPr>
      </w:pPr>
    </w:p>
    <w:p w14:paraId="67158E22" w14:textId="77777777" w:rsidR="006A3093" w:rsidRPr="004E13E9" w:rsidRDefault="006A3093" w:rsidP="006A3093">
      <w:pPr>
        <w:widowControl w:val="0"/>
        <w:jc w:val="both"/>
        <w:rPr>
          <w:rFonts w:eastAsia="MS Gothic" w:cs="Times New Roman"/>
          <w:b/>
          <w:bCs/>
          <w:i/>
          <w:iCs/>
          <w:color w:val="000000"/>
          <w:lang w:val="fr-FR" w:eastAsia="fr-FR" w:bidi="fr-FR"/>
        </w:rPr>
      </w:pPr>
      <w:r w:rsidRPr="004E13E9">
        <w:rPr>
          <w:rFonts w:eastAsia="MS Gothic" w:cs="Times New Roman"/>
          <w:b/>
          <w:bCs/>
          <w:i/>
          <w:iCs/>
          <w:color w:val="000000"/>
          <w:lang w:val="fr-FR" w:eastAsia="fr-FR" w:bidi="fr-FR"/>
        </w:rPr>
        <w:t>1a) Présentation (paragraphe 12)</w:t>
      </w:r>
    </w:p>
    <w:p w14:paraId="40FAAE8E" w14:textId="77777777" w:rsidR="006A3093" w:rsidRPr="004E13E9" w:rsidRDefault="006A3093" w:rsidP="006A3093">
      <w:pPr>
        <w:contextualSpacing/>
        <w:rPr>
          <w:rFonts w:eastAsia="Yu Mincho" w:cs="Times New Roman"/>
          <w:b/>
          <w:bCs/>
          <w:i/>
          <w:iCs/>
          <w:lang w:val="fr-FR"/>
        </w:rPr>
      </w:pPr>
    </w:p>
    <w:p w14:paraId="6C074F41" w14:textId="77777777" w:rsidR="006A3093" w:rsidRPr="004E13E9" w:rsidRDefault="006A3093" w:rsidP="006A3093">
      <w:pPr>
        <w:jc w:val="both"/>
        <w:rPr>
          <w:rFonts w:eastAsia="Yu Mincho" w:cs="Times New Roman"/>
          <w:szCs w:val="22"/>
          <w:lang w:val="fr-FR"/>
        </w:rPr>
      </w:pPr>
      <w:r w:rsidRPr="004E13E9">
        <w:rPr>
          <w:rFonts w:eastAsia="Yu Mincho" w:cs="Times New Roman"/>
          <w:szCs w:val="22"/>
          <w:lang w:val="fr-FR"/>
        </w:rPr>
        <w:t xml:space="preserve">Le quota initial du Japon pour la saison de pêche 2026 (du 1er août 2026 au 31 juillet 2027) est de 3.559,41 t. </w:t>
      </w:r>
      <w:bookmarkStart w:id="25" w:name="_Hlk160528830"/>
      <w:r w:rsidRPr="004E13E9">
        <w:rPr>
          <w:rFonts w:eastAsia="Yu Mincho" w:cs="Times New Roman"/>
          <w:szCs w:val="22"/>
          <w:lang w:val="fr-FR"/>
        </w:rPr>
        <w:t>Au 21 janvier 2026, le quota disponible pour 2026 dans le tableau de la capacité est de 4.008,16 t, ce qui inclut le transfert de 14,89% de son quota de 2025 à 2026,</w:t>
      </w:r>
      <w:bookmarkEnd w:id="25"/>
      <w:r w:rsidRPr="004E13E9">
        <w:rPr>
          <w:rFonts w:eastAsia="Yu Mincho" w:cs="Times New Roman"/>
          <w:szCs w:val="22"/>
          <w:lang w:val="fr-FR"/>
        </w:rPr>
        <w:t xml:space="preserve"> les rejets morts, ainsi que le quota de prises accessoires. Voir "</w:t>
      </w:r>
      <w:r w:rsidRPr="004E13E9">
        <w:rPr>
          <w:rFonts w:eastAsia="Yu Mincho" w:cs="Times New Roman"/>
          <w:i/>
          <w:szCs w:val="22"/>
          <w:lang w:val="fr-FR"/>
        </w:rPr>
        <w:t>1 b) Report</w:t>
      </w:r>
      <w:r w:rsidRPr="004E13E9">
        <w:rPr>
          <w:rFonts w:eastAsia="Yu Mincho" w:cs="Times New Roman"/>
          <w:szCs w:val="22"/>
          <w:lang w:val="fr-FR"/>
        </w:rPr>
        <w:t xml:space="preserve">" pour le calcul spécifique. </w:t>
      </w:r>
    </w:p>
    <w:p w14:paraId="6F78705D" w14:textId="77777777" w:rsidR="006A3093" w:rsidRPr="004E13E9" w:rsidRDefault="006A3093" w:rsidP="006A3093">
      <w:pPr>
        <w:widowControl w:val="0"/>
        <w:jc w:val="both"/>
        <w:rPr>
          <w:rFonts w:eastAsia="MS Gothic" w:cs="Times New Roman"/>
          <w:b/>
          <w:lang w:val="fr-FR" w:eastAsia="fr-FR" w:bidi="fr-FR"/>
        </w:rPr>
      </w:pPr>
    </w:p>
    <w:p w14:paraId="7A7B9472" w14:textId="77777777"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lang w:val="fr-FR" w:eastAsia="fr-FR" w:bidi="fr-FR"/>
        </w:rPr>
        <w:t>Tous les navires de pêche japonais qui capturent du thon rouge dans l’Atlantique Est sont des grands palangriers thoniers (LSTLV). Le ministère de l’agriculture, de la sylviculture et de la pêche, qui s'est vu attribué des compétences en vertu de la loi sur la pêche, a émis l’ordonnance ministérielle afin d’établir un système de gestion juridiquement contraignant qui prévoyait des quotas individuels. L'agence des pêches du Japon (FAJ) est un bureau extra-ministériel du ministère de l'agriculture, de la sylviculture et de la pêche du Japon qui applique la législation sur la pêche et l'ordonnance ministérielle sur les pêcheurs japonais.</w:t>
      </w:r>
    </w:p>
    <w:p w14:paraId="71FAD292" w14:textId="77777777" w:rsidR="006A3093" w:rsidRPr="004E13E9" w:rsidRDefault="006A3093" w:rsidP="006A3093">
      <w:pPr>
        <w:widowControl w:val="0"/>
        <w:jc w:val="both"/>
        <w:rPr>
          <w:rFonts w:eastAsia="MS Gothic" w:cs="Times New Roman"/>
          <w:sz w:val="14"/>
          <w:szCs w:val="14"/>
          <w:lang w:val="fr-FR" w:eastAsia="fr-FR" w:bidi="fr-FR"/>
        </w:rPr>
      </w:pPr>
    </w:p>
    <w:p w14:paraId="3E6D204D" w14:textId="77777777" w:rsidR="006A3093" w:rsidRPr="004E13E9" w:rsidRDefault="006A3093" w:rsidP="006A3093">
      <w:pPr>
        <w:widowControl w:val="0"/>
        <w:jc w:val="both"/>
        <w:rPr>
          <w:rFonts w:eastAsia="MS Gothic" w:cs="Times New Roman"/>
          <w:szCs w:val="24"/>
          <w:lang w:val="fr-FR" w:eastAsia="fr-FR" w:bidi="fr-FR"/>
        </w:rPr>
      </w:pPr>
      <w:r w:rsidRPr="004E13E9">
        <w:rPr>
          <w:rFonts w:eastAsia="MS Gothic" w:cs="Times New Roman"/>
          <w:lang w:val="fr-FR" w:eastAsia="fr-FR" w:bidi="fr-FR"/>
        </w:rPr>
        <w:t>Le ministère exige que les opérateurs de pêche déclarent les prises quotidiennes de thon rouge (y compris la prise zéro) tous les deux jours, conformément à l’ordonnance. Cette déclaration doit contenir des informations pertinentes, dont la date, l'heure, le lieu (latitude et longitude), les quantités capturées, les poids de chaque thon rouge, les numéros des marques et le nombre de remises à l’eau de spécimens vivants et de rejets morts, y compris les poissons en dessous de la taille minimum. La FAJ fait un suivi de la capture de chaque navire par rapport à son quota individuel.</w:t>
      </w:r>
    </w:p>
    <w:p w14:paraId="7B7D0E26" w14:textId="77777777" w:rsidR="006A3093" w:rsidRPr="004E13E9" w:rsidRDefault="006A3093" w:rsidP="006A3093">
      <w:pPr>
        <w:widowControl w:val="0"/>
        <w:jc w:val="both"/>
        <w:rPr>
          <w:rFonts w:eastAsia="MS Gothic" w:cs="Times New Roman"/>
          <w:sz w:val="14"/>
          <w:szCs w:val="14"/>
          <w:lang w:val="fr-FR" w:eastAsia="fr-FR" w:bidi="fr-FR"/>
        </w:rPr>
      </w:pPr>
    </w:p>
    <w:p w14:paraId="0794C264" w14:textId="77777777"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lang w:val="fr-FR" w:eastAsia="fr-FR" w:bidi="fr-FR"/>
        </w:rPr>
        <w:t xml:space="preserve">En ce qui concerne les prises accessoires, tous les navires de capture japonais ciblant des espèces autres que le thon rouge opèrent autour de l'équateur ou plus au sud, de ce fait la possibilité de prise accessoire de thon rouge est négligeable. Compte tenu de ces circonstances, le ministère réserve 1 t pour les prises accessoires. En 2025, 11 poissons capturés accidentellement ont été déclarés et tous ont été remis à l’eau à partir du flanc du navire et aucun n’a été retenu. </w:t>
      </w:r>
    </w:p>
    <w:p w14:paraId="70F23018" w14:textId="77777777" w:rsidR="006A3093" w:rsidRPr="004E13E9" w:rsidRDefault="006A3093" w:rsidP="006A3093">
      <w:pPr>
        <w:widowControl w:val="0"/>
        <w:jc w:val="both"/>
        <w:rPr>
          <w:rFonts w:eastAsia="MS Gothic" w:cs="Times New Roman"/>
          <w:lang w:val="fr-FR" w:eastAsia="fr-FR" w:bidi="fr-FR"/>
        </w:rPr>
      </w:pPr>
    </w:p>
    <w:p w14:paraId="162C0AA6" w14:textId="77777777"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lang w:val="fr-FR" w:eastAsia="fr-FR" w:bidi="fr-FR"/>
        </w:rPr>
        <w:t>L'ordonnance ministérielle interdit les débarquements dans les ports, sauf dans le cas des ports désignés. L'ordonnance ministérielle n'autorise les pêcheurs de thon rouge à débarquer que dans 10 ports nationaux désignés par voie d’ordonnance. Dans ces dix ports, tous les thons rouges débarqués à la fois par les navires de pêche et les navires de charge seront intégralement inspectés par les inspecteurs officiels de la FAJ qui vérifieront le poids total et les marques, et qui compteront le nombre de thons rouges et compareront les informations recueillies avec les données antérieurement déclarées, dont le rapport quotidien.</w:t>
      </w:r>
    </w:p>
    <w:p w14:paraId="32A13495" w14:textId="77777777" w:rsidR="006A3093" w:rsidRPr="004E13E9" w:rsidRDefault="006A3093" w:rsidP="006A3093">
      <w:pPr>
        <w:widowControl w:val="0"/>
        <w:jc w:val="both"/>
        <w:rPr>
          <w:rFonts w:eastAsia="MS Gothic" w:cs="Times New Roman"/>
          <w:lang w:val="fr-FR" w:eastAsia="fr-FR" w:bidi="fr-FR"/>
        </w:rPr>
      </w:pPr>
    </w:p>
    <w:p w14:paraId="6D6B0D65" w14:textId="01F3C799"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lang w:val="fr-FR" w:eastAsia="fr-FR" w:bidi="fr-FR"/>
        </w:rPr>
        <w:t xml:space="preserve">Les navires de pêche japonais opèrent pratiquement pendant la même période entre la fin du mois de septembre et le début du mois de janvier sans entrer dans les ports pendant cette période. C'est pourquoi les observateurs sont embarqués à bord des navires de thon rouge désignés et contrôlent les opérations de thon rouge tout au long de la totalité des sorties de pêche, visant à couvrir au moins 20% de leurs navires actifs. En outre, comme la principale zone de pêche du thon rouge est habituellement située dans une zone très limitée au large des côtes de l'Irlande, la représentation spatiale devrait susciter peu de préoccupations. Après la saison principale de pêche, le quota restant </w:t>
      </w:r>
      <w:proofErr w:type="gramStart"/>
      <w:r w:rsidRPr="004E13E9">
        <w:rPr>
          <w:rFonts w:eastAsia="MS Gothic" w:cs="Times New Roman"/>
          <w:lang w:val="fr-FR" w:eastAsia="fr-FR" w:bidi="fr-FR"/>
        </w:rPr>
        <w:t>peut être</w:t>
      </w:r>
      <w:proofErr w:type="gramEnd"/>
      <w:r w:rsidRPr="004E13E9">
        <w:rPr>
          <w:rFonts w:eastAsia="MS Gothic" w:cs="Times New Roman"/>
          <w:lang w:val="fr-FR" w:eastAsia="fr-FR" w:bidi="fr-FR"/>
        </w:rPr>
        <w:t xml:space="preserve"> consommé dans les autres zones de pêche conformément à la Recommandation 25-04. </w:t>
      </w:r>
    </w:p>
    <w:p w14:paraId="3B081AD5" w14:textId="77777777" w:rsidR="00A1495F" w:rsidRPr="004E13E9" w:rsidRDefault="00A1495F" w:rsidP="006A3093">
      <w:pPr>
        <w:widowControl w:val="0"/>
        <w:jc w:val="both"/>
        <w:rPr>
          <w:rFonts w:eastAsia="Yu Mincho" w:cs="Times New Roman"/>
          <w:lang w:val="fr-FR"/>
        </w:rPr>
      </w:pPr>
    </w:p>
    <w:p w14:paraId="3EEDD0A8" w14:textId="77777777" w:rsidR="006A3093" w:rsidRPr="004E13E9" w:rsidRDefault="006A3093" w:rsidP="006A3093">
      <w:pPr>
        <w:widowControl w:val="0"/>
        <w:jc w:val="both"/>
        <w:rPr>
          <w:rFonts w:eastAsia="MS Gothic" w:cs="Times New Roman"/>
          <w:b/>
          <w:bCs/>
          <w:i/>
          <w:iCs/>
          <w:lang w:val="fr-FR" w:eastAsia="fr-FR" w:bidi="fr-FR"/>
        </w:rPr>
      </w:pPr>
      <w:r w:rsidRPr="004E13E9">
        <w:rPr>
          <w:rFonts w:eastAsia="MS Gothic" w:cs="Times New Roman"/>
          <w:b/>
          <w:bCs/>
          <w:i/>
          <w:iCs/>
          <w:color w:val="000000"/>
          <w:lang w:val="fr-FR" w:eastAsia="fr-FR" w:bidi="fr-FR"/>
        </w:rPr>
        <w:t xml:space="preserve">1b) </w:t>
      </w:r>
      <w:r w:rsidRPr="004E13E9">
        <w:rPr>
          <w:rFonts w:eastAsia="MS Gothic" w:cs="Times New Roman"/>
          <w:b/>
          <w:bCs/>
          <w:i/>
          <w:iCs/>
          <w:lang w:val="fr-FR" w:eastAsia="fr-FR" w:bidi="fr-FR"/>
        </w:rPr>
        <w:t>Report (paragraphe 6)</w:t>
      </w:r>
    </w:p>
    <w:p w14:paraId="446A8556" w14:textId="77777777" w:rsidR="006A3093" w:rsidRPr="004E13E9" w:rsidRDefault="006A3093" w:rsidP="006A3093">
      <w:pPr>
        <w:rPr>
          <w:rFonts w:eastAsia="Yu Mincho" w:cs="Times New Roman"/>
          <w:lang w:val="fr-FR"/>
        </w:rPr>
      </w:pPr>
    </w:p>
    <w:p w14:paraId="458A18F2" w14:textId="77777777"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szCs w:val="24"/>
          <w:lang w:val="fr-FR" w:eastAsia="fr-FR" w:bidi="fr-FR"/>
        </w:rPr>
        <w:t xml:space="preserve">Conformément au paragraphe 6 de la Recommandation 25-04, le Japon souhaite demander le transfert de son quota de 2025 à 2026. La capture de thon rouge de l’Est au cours de la saison de pêche 2025, au 21 janvier 2026, était de 2.805,95 t, chiffre qui inclut 1,58 t de rejets morts. La quantité de captures est susceptible de changer, car certains navires sont encore en activité. À ce stade, 3.269,70 t (quota de capture de 2025) moins 2.805,95 t égalent 463,75 t (14,89%), qui sont transférées à la saison de pêche de 2026 en tant que sous-consommation. En outre, le quota réservé pour les rejets morts (14 t) ainsi que le quota de prises accessoires pour les navires sans quota individuel de thon rouge (1 t) sont mis en réserve. </w:t>
      </w:r>
    </w:p>
    <w:p w14:paraId="07F872C5" w14:textId="77777777" w:rsidR="00A1495F" w:rsidRPr="004E13E9" w:rsidRDefault="00A1495F">
      <w:pPr>
        <w:rPr>
          <w:rFonts w:eastAsia="MS Gothic" w:cs="Times New Roman"/>
          <w:lang w:val="fr-FR" w:eastAsia="fr-FR" w:bidi="fr-FR"/>
        </w:rPr>
      </w:pPr>
      <w:r w:rsidRPr="004E13E9">
        <w:rPr>
          <w:rFonts w:eastAsia="MS Gothic" w:cs="Times New Roman"/>
          <w:lang w:val="fr-FR" w:eastAsia="fr-FR" w:bidi="fr-FR"/>
        </w:rPr>
        <w:br w:type="page"/>
      </w:r>
    </w:p>
    <w:p w14:paraId="3C2C1682" w14:textId="3E135D8B"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lang w:val="fr-FR" w:eastAsia="fr-FR" w:bidi="fr-FR"/>
        </w:rPr>
        <w:t>En conclusion, le quota disponible pour 2026 dans le tableau de la capacité est de 4.008,16 t en conséquence :</w:t>
      </w:r>
    </w:p>
    <w:p w14:paraId="0268576A" w14:textId="77777777" w:rsidR="006A3093" w:rsidRPr="004E13E9" w:rsidRDefault="006A3093" w:rsidP="006A3093">
      <w:pPr>
        <w:widowControl w:val="0"/>
        <w:jc w:val="both"/>
        <w:rPr>
          <w:rFonts w:eastAsia="MS Gothic" w:cs="Times New Roman"/>
          <w:lang w:val="fr-FR" w:eastAsia="fr-FR" w:bidi="fr-FR"/>
        </w:rPr>
      </w:pPr>
    </w:p>
    <w:p w14:paraId="77EE3D58" w14:textId="77777777"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lang w:val="fr-FR" w:eastAsia="fr-FR" w:bidi="fr-FR"/>
        </w:rPr>
        <w:t>AQ : Quota ajusté (IQ ± Transferts + Report – Surconsommation) = 3.559,41 + 0 + 463,75 – 0 = 4.023,16 t</w:t>
      </w:r>
    </w:p>
    <w:p w14:paraId="09B44FE3" w14:textId="77777777" w:rsidR="006A3093" w:rsidRPr="004E13E9" w:rsidRDefault="006A3093" w:rsidP="006A3093">
      <w:pPr>
        <w:widowControl w:val="0"/>
        <w:jc w:val="both"/>
        <w:rPr>
          <w:rFonts w:eastAsia="Yu Mincho" w:cs="Times New Roman"/>
          <w:lang w:val="fr-FR" w:eastAsia="ja-JP"/>
        </w:rPr>
      </w:pPr>
      <w:r w:rsidRPr="004E13E9">
        <w:rPr>
          <w:rFonts w:eastAsia="MS Gothic" w:cs="Times New Roman"/>
          <w:lang w:val="fr-FR" w:eastAsia="fr-FR" w:bidi="fr-FR"/>
        </w:rPr>
        <w:t xml:space="preserve">Quota disponible (AQ – (prises accessoires + recherche scientifique + tolérance pour la pêcherie sportive/récréative) – rejets morts) </w:t>
      </w:r>
      <w:r w:rsidRPr="004E13E9">
        <w:rPr>
          <w:rFonts w:eastAsia="MS Gothic" w:cs="Times New Roman"/>
          <w:color w:val="000000"/>
          <w:lang w:val="fr-FR" w:eastAsia="fr-FR" w:bidi="fr-FR"/>
        </w:rPr>
        <w:t>= 4.023,16</w:t>
      </w:r>
      <w:r w:rsidRPr="004E13E9">
        <w:rPr>
          <w:rFonts w:eastAsia="Yu Mincho" w:cs="Times New Roman"/>
          <w:szCs w:val="22"/>
          <w:lang w:val="fr-FR"/>
        </w:rPr>
        <w:t xml:space="preserve"> </w:t>
      </w:r>
      <w:r w:rsidRPr="004E13E9">
        <w:rPr>
          <w:rFonts w:eastAsia="Yu Mincho" w:cs="Times New Roman"/>
          <w:lang w:val="fr-FR" w:eastAsia="ja-JP"/>
        </w:rPr>
        <w:t xml:space="preserve">– (1+ 0 + 0) – </w:t>
      </w:r>
      <w:r w:rsidRPr="004E13E9">
        <w:rPr>
          <w:rFonts w:eastAsia="Yu Mincho" w:cs="Times New Roman"/>
          <w:szCs w:val="22"/>
          <w:lang w:val="fr-FR"/>
        </w:rPr>
        <w:t>14 = 4.008.</w:t>
      </w:r>
      <w:r w:rsidRPr="004E13E9">
        <w:rPr>
          <w:rFonts w:eastAsia="Yu Mincho" w:cs="Times New Roman"/>
          <w:lang w:val="fr-FR" w:eastAsia="ja-JP"/>
        </w:rPr>
        <w:t>16 t</w:t>
      </w:r>
    </w:p>
    <w:p w14:paraId="656965B2" w14:textId="77777777" w:rsidR="006A3093" w:rsidRPr="004E13E9" w:rsidRDefault="006A3093" w:rsidP="006A3093">
      <w:pPr>
        <w:widowControl w:val="0"/>
        <w:jc w:val="both"/>
        <w:rPr>
          <w:rFonts w:eastAsia="MS Gothic" w:cs="Times New Roman"/>
          <w:lang w:val="fr-FR" w:eastAsia="fr-FR" w:bidi="fr-FR"/>
        </w:rPr>
      </w:pPr>
    </w:p>
    <w:p w14:paraId="176F3A47" w14:textId="77777777" w:rsidR="006A3093" w:rsidRPr="004E13E9" w:rsidRDefault="006A3093" w:rsidP="006A3093">
      <w:pPr>
        <w:widowControl w:val="0"/>
        <w:jc w:val="both"/>
        <w:rPr>
          <w:rFonts w:eastAsia="MS Gothic" w:cs="Times New Roman"/>
          <w:i/>
          <w:lang w:val="fr-FR" w:eastAsia="fr-FR" w:bidi="fr-FR"/>
        </w:rPr>
      </w:pPr>
      <w:r w:rsidRPr="004E13E9">
        <w:rPr>
          <w:rFonts w:eastAsia="MS Gothic" w:cs="Times New Roman"/>
          <w:lang w:val="fr-FR" w:eastAsia="fr-FR" w:bidi="fr-FR"/>
        </w:rPr>
        <w:t>Veuillez noter que le quota ajusté pour 2026 pourrait faire l'objet d'un nouvel ajustement en fonction des captures totales finales de la saison de pêche 2025 et, par conséquent, du quota disponible.</w:t>
      </w:r>
    </w:p>
    <w:p w14:paraId="211B7CC1" w14:textId="77777777" w:rsidR="006A3093" w:rsidRPr="004E13E9" w:rsidRDefault="006A3093" w:rsidP="006A3093">
      <w:pPr>
        <w:rPr>
          <w:rFonts w:eastAsia="Yu Mincho" w:cs="Times New Roman"/>
          <w:iCs/>
          <w:lang w:val="fr-FR"/>
        </w:rPr>
      </w:pPr>
    </w:p>
    <w:p w14:paraId="368DAC1D" w14:textId="77777777" w:rsidR="006A3093" w:rsidRPr="004E13E9" w:rsidRDefault="006A3093" w:rsidP="006A3093">
      <w:pPr>
        <w:rPr>
          <w:rFonts w:eastAsia="Yu Mincho" w:cs="Times New Roman"/>
          <w:b/>
          <w:bCs/>
          <w:i/>
          <w:lang w:val="fr-FR"/>
        </w:rPr>
      </w:pPr>
      <w:r w:rsidRPr="004E13E9">
        <w:rPr>
          <w:rFonts w:eastAsia="Yu Mincho" w:cs="Times New Roman"/>
          <w:b/>
          <w:bCs/>
          <w:i/>
          <w:lang w:val="fr-FR"/>
        </w:rPr>
        <w:t>1c) Destination de la capture</w:t>
      </w:r>
    </w:p>
    <w:p w14:paraId="7410B09F" w14:textId="77777777" w:rsidR="006A3093" w:rsidRPr="004E13E9" w:rsidRDefault="006A3093" w:rsidP="006A3093">
      <w:pPr>
        <w:ind w:left="426"/>
        <w:rPr>
          <w:rFonts w:eastAsia="Yu Mincho" w:cs="Times New Roman"/>
          <w:iCs/>
          <w:lang w:val="fr-FR"/>
        </w:rPr>
      </w:pPr>
    </w:p>
    <w:p w14:paraId="3F54A6AB" w14:textId="77777777" w:rsidR="006A3093" w:rsidRPr="004E13E9" w:rsidRDefault="006A3093" w:rsidP="006A3093">
      <w:pPr>
        <w:rPr>
          <w:rFonts w:eastAsia="Yu Mincho" w:cs="Times New Roman"/>
          <w:iCs/>
          <w:lang w:val="fr-FR"/>
        </w:rPr>
      </w:pPr>
      <w:r w:rsidRPr="004E13E9">
        <w:rPr>
          <w:rFonts w:eastAsia="Yu Mincho" w:cs="Times New Roman"/>
          <w:iCs/>
          <w:lang w:val="fr-FR"/>
        </w:rPr>
        <w:t>Tous les thons rouges capturés par les navires japonais seront débarqués.</w:t>
      </w:r>
    </w:p>
    <w:p w14:paraId="2D8ABEF8" w14:textId="77777777" w:rsidR="006A3093" w:rsidRPr="004E13E9" w:rsidRDefault="006A3093" w:rsidP="006A3093">
      <w:pPr>
        <w:rPr>
          <w:rFonts w:eastAsia="Yu Mincho" w:cs="Times New Roman"/>
          <w:iCs/>
          <w:lang w:val="fr-FR"/>
        </w:rPr>
      </w:pPr>
    </w:p>
    <w:p w14:paraId="3ECD098F" w14:textId="77777777" w:rsidR="006A3093" w:rsidRPr="004E13E9" w:rsidRDefault="006A3093" w:rsidP="006A3093">
      <w:pPr>
        <w:rPr>
          <w:rFonts w:eastAsia="Yu Mincho" w:cs="Times New Roman"/>
          <w:b/>
          <w:bCs/>
          <w:i/>
          <w:lang w:val="fr-FR"/>
        </w:rPr>
      </w:pPr>
      <w:r w:rsidRPr="004E13E9">
        <w:rPr>
          <w:rFonts w:eastAsia="Yu Mincho" w:cs="Times New Roman"/>
          <w:b/>
          <w:bCs/>
          <w:i/>
          <w:lang w:val="fr-FR"/>
        </w:rPr>
        <w:t>1d)</w:t>
      </w:r>
    </w:p>
    <w:tbl>
      <w:tblPr>
        <w:tblStyle w:val="TableGrid10"/>
        <w:tblW w:w="0" w:type="auto"/>
        <w:tblLook w:val="04A0" w:firstRow="1" w:lastRow="0" w:firstColumn="1" w:lastColumn="0" w:noHBand="0" w:noVBand="1"/>
      </w:tblPr>
      <w:tblGrid>
        <w:gridCol w:w="453"/>
        <w:gridCol w:w="2739"/>
        <w:gridCol w:w="3040"/>
        <w:gridCol w:w="1985"/>
        <w:gridCol w:w="843"/>
      </w:tblGrid>
      <w:tr w:rsidR="006A3093" w:rsidRPr="004E13E9" w14:paraId="5F47061C" w14:textId="77777777" w:rsidTr="0087073D">
        <w:tc>
          <w:tcPr>
            <w:tcW w:w="453" w:type="dxa"/>
          </w:tcPr>
          <w:p w14:paraId="5AF48824" w14:textId="77777777" w:rsidR="006A3093" w:rsidRPr="004E13E9" w:rsidRDefault="006A3093" w:rsidP="006A3093">
            <w:pPr>
              <w:widowControl w:val="0"/>
              <w:rPr>
                <w:rFonts w:ascii="Cambria" w:hAnsi="Cambria"/>
                <w:sz w:val="20"/>
                <w:szCs w:val="20"/>
              </w:rPr>
            </w:pPr>
          </w:p>
        </w:tc>
        <w:tc>
          <w:tcPr>
            <w:tcW w:w="2739" w:type="dxa"/>
          </w:tcPr>
          <w:p w14:paraId="7217BB12" w14:textId="77777777" w:rsidR="006A3093" w:rsidRPr="004E13E9" w:rsidRDefault="006A3093" w:rsidP="006A3093">
            <w:pPr>
              <w:widowControl w:val="0"/>
              <w:jc w:val="center"/>
              <w:rPr>
                <w:rFonts w:ascii="Cambria" w:hAnsi="Cambria"/>
                <w:i/>
                <w:sz w:val="20"/>
                <w:szCs w:val="20"/>
              </w:rPr>
            </w:pPr>
            <w:r w:rsidRPr="004E13E9">
              <w:rPr>
                <w:rFonts w:ascii="Cambria" w:hAnsi="Cambria"/>
                <w:i/>
                <w:sz w:val="20"/>
                <w:szCs w:val="20"/>
              </w:rPr>
              <w:t>Exigence de l’ICCAT</w:t>
            </w:r>
          </w:p>
          <w:p w14:paraId="13709442" w14:textId="77777777" w:rsidR="006A3093" w:rsidRPr="004E13E9" w:rsidRDefault="006A3093" w:rsidP="006A3093">
            <w:pPr>
              <w:widowControl w:val="0"/>
              <w:jc w:val="center"/>
              <w:rPr>
                <w:rFonts w:ascii="Cambria" w:hAnsi="Cambria"/>
                <w:i/>
                <w:color w:val="auto"/>
                <w:sz w:val="20"/>
                <w:szCs w:val="20"/>
              </w:rPr>
            </w:pPr>
            <w:r w:rsidRPr="004E13E9">
              <w:rPr>
                <w:rFonts w:ascii="Cambria" w:hAnsi="Cambria"/>
                <w:i/>
                <w:color w:val="auto"/>
                <w:sz w:val="20"/>
                <w:szCs w:val="20"/>
              </w:rPr>
              <w:t>(en vertu de la</w:t>
            </w:r>
          </w:p>
          <w:p w14:paraId="60F45F0C" w14:textId="77777777" w:rsidR="006A3093" w:rsidRPr="004E13E9" w:rsidRDefault="006A3093" w:rsidP="006A3093">
            <w:pPr>
              <w:widowControl w:val="0"/>
              <w:jc w:val="center"/>
              <w:rPr>
                <w:rFonts w:ascii="Cambria" w:hAnsi="Cambria"/>
                <w:i/>
                <w:sz w:val="20"/>
                <w:szCs w:val="20"/>
              </w:rPr>
            </w:pPr>
            <w:r w:rsidRPr="004E13E9">
              <w:rPr>
                <w:rFonts w:ascii="Cambria" w:hAnsi="Cambria"/>
                <w:i/>
                <w:color w:val="auto"/>
                <w:sz w:val="20"/>
                <w:szCs w:val="20"/>
              </w:rPr>
              <w:t xml:space="preserve"> </w:t>
            </w:r>
            <w:hyperlink r:id="rId115" w:history="1"/>
            <w:hyperlink r:id="rId116" w:history="1">
              <w:r w:rsidRPr="004E13E9">
                <w:rPr>
                  <w:rFonts w:ascii="Cambria" w:hAnsi="Cambria"/>
                  <w:i/>
                  <w:color w:val="0563C1"/>
                  <w:sz w:val="20"/>
                  <w:szCs w:val="20"/>
                </w:rPr>
                <w:t>Rec. 25-04</w:t>
              </w:r>
            </w:hyperlink>
            <w:r w:rsidRPr="004E13E9">
              <w:rPr>
                <w:rFonts w:ascii="Cambria" w:hAnsi="Cambria"/>
                <w:i/>
                <w:color w:val="auto"/>
                <w:sz w:val="20"/>
                <w:szCs w:val="20"/>
              </w:rPr>
              <w:t>)</w:t>
            </w:r>
          </w:p>
        </w:tc>
        <w:tc>
          <w:tcPr>
            <w:tcW w:w="3040" w:type="dxa"/>
          </w:tcPr>
          <w:p w14:paraId="19EF3C9C" w14:textId="77777777" w:rsidR="006A3093" w:rsidRPr="004E13E9" w:rsidRDefault="006A3093" w:rsidP="006A3093">
            <w:pPr>
              <w:widowControl w:val="0"/>
              <w:jc w:val="center"/>
              <w:rPr>
                <w:rFonts w:ascii="Cambria" w:hAnsi="Cambria"/>
                <w:i/>
                <w:sz w:val="20"/>
                <w:szCs w:val="20"/>
              </w:rPr>
            </w:pPr>
            <w:r w:rsidRPr="004E13E9">
              <w:rPr>
                <w:rFonts w:ascii="Cambria" w:hAnsi="Cambria"/>
                <w:i/>
                <w:sz w:val="20"/>
                <w:szCs w:val="20"/>
              </w:rPr>
              <w:t>Explication des actions entreprises par la CPC à des fins de mise en œuvre</w:t>
            </w:r>
          </w:p>
        </w:tc>
        <w:tc>
          <w:tcPr>
            <w:tcW w:w="1985" w:type="dxa"/>
          </w:tcPr>
          <w:p w14:paraId="09F4D9B5" w14:textId="77777777" w:rsidR="006A3093" w:rsidRPr="004E13E9" w:rsidRDefault="006A3093" w:rsidP="006A3093">
            <w:pPr>
              <w:widowControl w:val="0"/>
              <w:jc w:val="center"/>
              <w:rPr>
                <w:rFonts w:ascii="Cambria" w:hAnsi="Cambria"/>
                <w:i/>
                <w:sz w:val="20"/>
                <w:szCs w:val="20"/>
              </w:rPr>
            </w:pPr>
            <w:r w:rsidRPr="004E13E9">
              <w:rPr>
                <w:rFonts w:ascii="Cambria" w:hAnsi="Cambria"/>
                <w:i/>
                <w:sz w:val="20"/>
                <w:szCs w:val="20"/>
              </w:rPr>
              <w:t>Lois ou réglementations nationales pertinentes (le cas échéant)</w:t>
            </w:r>
          </w:p>
        </w:tc>
        <w:tc>
          <w:tcPr>
            <w:tcW w:w="843" w:type="dxa"/>
          </w:tcPr>
          <w:p w14:paraId="1150AE9A" w14:textId="77777777" w:rsidR="006A3093" w:rsidRPr="004E13E9" w:rsidRDefault="006A3093" w:rsidP="006A3093">
            <w:pPr>
              <w:widowControl w:val="0"/>
              <w:jc w:val="center"/>
              <w:rPr>
                <w:rFonts w:ascii="Cambria" w:hAnsi="Cambria"/>
                <w:i/>
                <w:sz w:val="20"/>
                <w:szCs w:val="20"/>
              </w:rPr>
            </w:pPr>
            <w:r w:rsidRPr="004E13E9">
              <w:rPr>
                <w:rFonts w:ascii="Cambria" w:hAnsi="Cambria"/>
                <w:i/>
                <w:sz w:val="20"/>
                <w:szCs w:val="20"/>
              </w:rPr>
              <w:t>Note</w:t>
            </w:r>
          </w:p>
        </w:tc>
      </w:tr>
      <w:tr w:rsidR="006A3093" w:rsidRPr="000926DE" w14:paraId="54B439AD" w14:textId="77777777" w:rsidTr="0087073D">
        <w:tc>
          <w:tcPr>
            <w:tcW w:w="453" w:type="dxa"/>
          </w:tcPr>
          <w:p w14:paraId="42C25AE8" w14:textId="77777777" w:rsidR="006A3093" w:rsidRPr="004E13E9" w:rsidRDefault="006A3093" w:rsidP="006A3093">
            <w:pPr>
              <w:widowControl w:val="0"/>
              <w:rPr>
                <w:rFonts w:ascii="Cambria" w:hAnsi="Cambria"/>
                <w:b/>
                <w:sz w:val="20"/>
                <w:szCs w:val="20"/>
              </w:rPr>
            </w:pPr>
            <w:r w:rsidRPr="004E13E9">
              <w:rPr>
                <w:rFonts w:ascii="Cambria" w:hAnsi="Cambria"/>
                <w:b/>
                <w:sz w:val="20"/>
                <w:szCs w:val="20"/>
              </w:rPr>
              <w:t>1</w:t>
            </w:r>
          </w:p>
        </w:tc>
        <w:tc>
          <w:tcPr>
            <w:tcW w:w="2739" w:type="dxa"/>
          </w:tcPr>
          <w:p w14:paraId="35263DFD" w14:textId="77777777" w:rsidR="006A3093" w:rsidRPr="004E13E9" w:rsidRDefault="006A3093" w:rsidP="006A3093">
            <w:pPr>
              <w:widowControl w:val="0"/>
              <w:rPr>
                <w:rFonts w:ascii="Cambria" w:hAnsi="Cambria"/>
                <w:b/>
                <w:sz w:val="20"/>
                <w:szCs w:val="20"/>
              </w:rPr>
            </w:pPr>
            <w:r w:rsidRPr="004E13E9">
              <w:rPr>
                <w:rFonts w:ascii="Cambria" w:hAnsi="Cambria"/>
                <w:b/>
                <w:color w:val="auto"/>
                <w:sz w:val="20"/>
                <w:szCs w:val="20"/>
              </w:rPr>
              <w:t>Enregistrement et déclaration de la capture (paragraphes 74-88)</w:t>
            </w:r>
          </w:p>
        </w:tc>
        <w:tc>
          <w:tcPr>
            <w:tcW w:w="3040" w:type="dxa"/>
          </w:tcPr>
          <w:p w14:paraId="1724E63C" w14:textId="77777777" w:rsidR="006A3093" w:rsidRPr="004E13E9" w:rsidRDefault="006A3093" w:rsidP="006A3093">
            <w:pPr>
              <w:widowControl w:val="0"/>
              <w:jc w:val="both"/>
              <w:rPr>
                <w:rFonts w:ascii="Cambria" w:hAnsi="Cambria"/>
                <w:sz w:val="20"/>
                <w:szCs w:val="20"/>
              </w:rPr>
            </w:pPr>
            <w:r w:rsidRPr="004E13E9">
              <w:rPr>
                <w:rFonts w:ascii="Cambria" w:hAnsi="Cambria"/>
                <w:sz w:val="20"/>
                <w:szCs w:val="20"/>
              </w:rPr>
              <w:t>Le ministère exige que les opérateurs de pêche communiquent à la FAJ des informations quotidiennes incluant la date, l’heure, la localisation, le poids et le nombre de thons rouges capturés dans l’océan Atlantique Est (y compris les remises à l’eau et les rejets de poissons morts sous-taille) tous les deux jours. En outre, le ministère exige également que les opérateurs tiennent un carnet de pêche relié ou électronique de leurs opérations.</w:t>
            </w:r>
          </w:p>
        </w:tc>
        <w:tc>
          <w:tcPr>
            <w:tcW w:w="1985" w:type="dxa"/>
          </w:tcPr>
          <w:p w14:paraId="7DA13EAB" w14:textId="77777777" w:rsidR="006A3093" w:rsidRPr="004E13E9" w:rsidRDefault="006A3093" w:rsidP="006A3093">
            <w:pPr>
              <w:widowControl w:val="0"/>
              <w:jc w:val="both"/>
              <w:rPr>
                <w:rFonts w:ascii="Cambria" w:hAnsi="Cambria"/>
                <w:sz w:val="20"/>
                <w:szCs w:val="20"/>
              </w:rPr>
            </w:pPr>
            <w:r w:rsidRPr="004E13E9">
              <w:rPr>
                <w:rFonts w:ascii="Cambria" w:hAnsi="Cambria"/>
                <w:sz w:val="20"/>
                <w:szCs w:val="20"/>
              </w:rPr>
              <w:t>Législation sur la pêche, articles 26, 52.</w:t>
            </w:r>
          </w:p>
          <w:p w14:paraId="2DEE3323" w14:textId="77777777" w:rsidR="006A3093" w:rsidRPr="004E13E9" w:rsidRDefault="006A3093" w:rsidP="006A3093">
            <w:pPr>
              <w:widowControl w:val="0"/>
              <w:jc w:val="both"/>
              <w:rPr>
                <w:rFonts w:ascii="Cambria" w:hAnsi="Cambria"/>
                <w:sz w:val="20"/>
                <w:szCs w:val="20"/>
              </w:rPr>
            </w:pPr>
          </w:p>
          <w:p w14:paraId="262C99DC" w14:textId="77777777" w:rsidR="006A3093" w:rsidRPr="004E13E9" w:rsidRDefault="006A3093" w:rsidP="006A3093">
            <w:pPr>
              <w:widowControl w:val="0"/>
              <w:jc w:val="both"/>
              <w:rPr>
                <w:rFonts w:ascii="Cambria" w:hAnsi="Cambria"/>
                <w:sz w:val="20"/>
                <w:szCs w:val="20"/>
              </w:rPr>
            </w:pPr>
            <w:r w:rsidRPr="004E13E9">
              <w:rPr>
                <w:rFonts w:ascii="Cambria" w:hAnsi="Cambria"/>
                <w:sz w:val="20"/>
                <w:szCs w:val="20"/>
              </w:rPr>
              <w:t>Ordonnance ministérielle du ministère de l’agriculture, de la sylviculture et de la pêche, Articles 14 et 26.</w:t>
            </w:r>
          </w:p>
        </w:tc>
        <w:tc>
          <w:tcPr>
            <w:tcW w:w="843" w:type="dxa"/>
          </w:tcPr>
          <w:p w14:paraId="18176617" w14:textId="77777777" w:rsidR="006A3093" w:rsidRPr="004E13E9" w:rsidRDefault="006A3093" w:rsidP="006A3093">
            <w:pPr>
              <w:widowControl w:val="0"/>
              <w:rPr>
                <w:rFonts w:ascii="Cambria" w:hAnsi="Cambria"/>
                <w:sz w:val="20"/>
                <w:szCs w:val="20"/>
              </w:rPr>
            </w:pPr>
          </w:p>
        </w:tc>
      </w:tr>
      <w:tr w:rsidR="006A3093" w:rsidRPr="00C712A4" w14:paraId="08D5B6E9" w14:textId="77777777" w:rsidTr="0087073D">
        <w:tc>
          <w:tcPr>
            <w:tcW w:w="453" w:type="dxa"/>
          </w:tcPr>
          <w:p w14:paraId="211579F7" w14:textId="77777777" w:rsidR="006A3093" w:rsidRPr="004E13E9" w:rsidRDefault="006A3093" w:rsidP="006A3093">
            <w:pPr>
              <w:widowControl w:val="0"/>
              <w:rPr>
                <w:rFonts w:ascii="Cambria" w:hAnsi="Cambria"/>
                <w:b/>
                <w:sz w:val="20"/>
                <w:szCs w:val="20"/>
              </w:rPr>
            </w:pPr>
            <w:r w:rsidRPr="004E13E9">
              <w:rPr>
                <w:rFonts w:ascii="Cambria" w:hAnsi="Cambria"/>
                <w:b/>
                <w:sz w:val="20"/>
                <w:szCs w:val="20"/>
              </w:rPr>
              <w:t>2</w:t>
            </w:r>
          </w:p>
        </w:tc>
        <w:tc>
          <w:tcPr>
            <w:tcW w:w="2739" w:type="dxa"/>
          </w:tcPr>
          <w:p w14:paraId="4FF4C395" w14:textId="77777777" w:rsidR="006A3093" w:rsidRPr="004E13E9" w:rsidRDefault="006A3093" w:rsidP="006A3093">
            <w:pPr>
              <w:widowControl w:val="0"/>
              <w:rPr>
                <w:rFonts w:ascii="Cambria" w:hAnsi="Cambria"/>
                <w:b/>
                <w:sz w:val="20"/>
                <w:szCs w:val="20"/>
              </w:rPr>
            </w:pPr>
            <w:r w:rsidRPr="004E13E9">
              <w:rPr>
                <w:rFonts w:ascii="Cambria" w:hAnsi="Cambria"/>
                <w:b/>
                <w:color w:val="auto"/>
                <w:sz w:val="20"/>
                <w:szCs w:val="20"/>
              </w:rPr>
              <w:t>Périodes d’ouverture de la pêche (paragraphes 28-32)</w:t>
            </w:r>
          </w:p>
        </w:tc>
        <w:tc>
          <w:tcPr>
            <w:tcW w:w="3040" w:type="dxa"/>
          </w:tcPr>
          <w:p w14:paraId="7C001693" w14:textId="77777777" w:rsidR="006A3093" w:rsidRPr="004E13E9" w:rsidRDefault="006A3093" w:rsidP="006A3093">
            <w:pPr>
              <w:widowControl w:val="0"/>
              <w:jc w:val="both"/>
              <w:rPr>
                <w:rFonts w:ascii="Cambria" w:hAnsi="Cambria"/>
                <w:sz w:val="20"/>
                <w:szCs w:val="20"/>
              </w:rPr>
            </w:pPr>
            <w:r w:rsidRPr="004E13E9">
              <w:rPr>
                <w:rFonts w:ascii="Cambria" w:hAnsi="Cambria"/>
                <w:sz w:val="20"/>
                <w:szCs w:val="20"/>
              </w:rPr>
              <w:t>Le ministère interdit aux opérateurs de pêcher du thon rouge dans la zone délimitée à l’ouest de 10°W et au nord de 42°N entre le 1er février et le 31 juillet et dans d’autres zones entre le 1er juin et le 31 décembre.</w:t>
            </w:r>
          </w:p>
        </w:tc>
        <w:tc>
          <w:tcPr>
            <w:tcW w:w="1985" w:type="dxa"/>
          </w:tcPr>
          <w:p w14:paraId="2A6EF160" w14:textId="77777777" w:rsidR="006A3093" w:rsidRPr="004E13E9" w:rsidRDefault="006A3093" w:rsidP="006A3093">
            <w:pPr>
              <w:widowControl w:val="0"/>
              <w:jc w:val="both"/>
              <w:rPr>
                <w:rFonts w:ascii="Cambria" w:hAnsi="Cambria"/>
                <w:sz w:val="20"/>
                <w:szCs w:val="20"/>
              </w:rPr>
            </w:pPr>
            <w:r w:rsidRPr="004E13E9">
              <w:rPr>
                <w:rFonts w:ascii="Cambria" w:hAnsi="Cambria"/>
                <w:sz w:val="20"/>
                <w:szCs w:val="20"/>
              </w:rPr>
              <w:t xml:space="preserve">Ordonnance ministérielle du </w:t>
            </w:r>
            <w:proofErr w:type="gramStart"/>
            <w:r w:rsidRPr="004E13E9">
              <w:rPr>
                <w:rFonts w:ascii="Cambria" w:hAnsi="Cambria"/>
                <w:sz w:val="20"/>
                <w:szCs w:val="20"/>
              </w:rPr>
              <w:t>Ministère de l'agriculture</w:t>
            </w:r>
            <w:proofErr w:type="gramEnd"/>
            <w:r w:rsidRPr="004E13E9">
              <w:rPr>
                <w:rFonts w:ascii="Cambria" w:hAnsi="Cambria"/>
                <w:sz w:val="20"/>
                <w:szCs w:val="20"/>
              </w:rPr>
              <w:t>, de la sylviculture et de la pêche, Article 23.</w:t>
            </w:r>
          </w:p>
        </w:tc>
        <w:tc>
          <w:tcPr>
            <w:tcW w:w="843" w:type="dxa"/>
          </w:tcPr>
          <w:p w14:paraId="7D2EBFF8" w14:textId="77777777" w:rsidR="006A3093" w:rsidRPr="004E13E9" w:rsidRDefault="006A3093" w:rsidP="006A3093">
            <w:pPr>
              <w:widowControl w:val="0"/>
              <w:rPr>
                <w:rFonts w:ascii="Cambria" w:hAnsi="Cambria"/>
                <w:sz w:val="20"/>
                <w:szCs w:val="20"/>
              </w:rPr>
            </w:pPr>
          </w:p>
          <w:p w14:paraId="058793F8" w14:textId="77777777" w:rsidR="006A3093" w:rsidRPr="004E13E9" w:rsidRDefault="006A3093" w:rsidP="006A3093">
            <w:pPr>
              <w:widowControl w:val="0"/>
              <w:jc w:val="both"/>
              <w:rPr>
                <w:rFonts w:ascii="Cambria" w:hAnsi="Cambria"/>
                <w:sz w:val="20"/>
                <w:szCs w:val="20"/>
              </w:rPr>
            </w:pPr>
          </w:p>
          <w:p w14:paraId="3D4442C6" w14:textId="77777777" w:rsidR="006A3093" w:rsidRPr="004E13E9" w:rsidRDefault="006A3093" w:rsidP="006A3093">
            <w:pPr>
              <w:widowControl w:val="0"/>
              <w:jc w:val="both"/>
              <w:rPr>
                <w:rFonts w:ascii="Cambria" w:hAnsi="Cambria"/>
                <w:sz w:val="20"/>
                <w:szCs w:val="20"/>
              </w:rPr>
            </w:pPr>
          </w:p>
          <w:p w14:paraId="7EC269D0" w14:textId="77777777" w:rsidR="006A3093" w:rsidRPr="004E13E9" w:rsidRDefault="006A3093" w:rsidP="006A3093">
            <w:pPr>
              <w:widowControl w:val="0"/>
              <w:jc w:val="both"/>
              <w:rPr>
                <w:rFonts w:ascii="Cambria" w:hAnsi="Cambria"/>
                <w:sz w:val="20"/>
                <w:szCs w:val="20"/>
              </w:rPr>
            </w:pPr>
          </w:p>
          <w:p w14:paraId="03624022" w14:textId="77777777" w:rsidR="006A3093" w:rsidRPr="004E13E9" w:rsidRDefault="006A3093" w:rsidP="006A3093">
            <w:pPr>
              <w:widowControl w:val="0"/>
              <w:jc w:val="both"/>
              <w:rPr>
                <w:rFonts w:ascii="Cambria" w:hAnsi="Cambria"/>
                <w:sz w:val="20"/>
                <w:szCs w:val="20"/>
              </w:rPr>
            </w:pPr>
          </w:p>
          <w:p w14:paraId="6B431DA8" w14:textId="77777777" w:rsidR="006A3093" w:rsidRPr="004E13E9" w:rsidRDefault="006A3093" w:rsidP="006A3093">
            <w:pPr>
              <w:widowControl w:val="0"/>
              <w:jc w:val="both"/>
              <w:rPr>
                <w:rFonts w:ascii="Cambria" w:hAnsi="Cambria"/>
                <w:sz w:val="20"/>
                <w:szCs w:val="20"/>
              </w:rPr>
            </w:pPr>
          </w:p>
        </w:tc>
      </w:tr>
      <w:tr w:rsidR="006A3093" w:rsidRPr="000926DE" w14:paraId="02FD0020" w14:textId="77777777" w:rsidTr="0087073D">
        <w:tc>
          <w:tcPr>
            <w:tcW w:w="453" w:type="dxa"/>
          </w:tcPr>
          <w:p w14:paraId="09D6CC4F" w14:textId="77777777" w:rsidR="006A3093" w:rsidRPr="004E13E9" w:rsidRDefault="006A3093" w:rsidP="006A3093">
            <w:pPr>
              <w:widowControl w:val="0"/>
              <w:rPr>
                <w:rFonts w:ascii="Cambria" w:hAnsi="Cambria"/>
                <w:b/>
                <w:sz w:val="20"/>
                <w:szCs w:val="20"/>
              </w:rPr>
            </w:pPr>
            <w:r w:rsidRPr="004E13E9">
              <w:rPr>
                <w:rFonts w:ascii="Cambria" w:hAnsi="Cambria"/>
                <w:b/>
                <w:sz w:val="20"/>
                <w:szCs w:val="20"/>
              </w:rPr>
              <w:t>3</w:t>
            </w:r>
          </w:p>
        </w:tc>
        <w:tc>
          <w:tcPr>
            <w:tcW w:w="2739" w:type="dxa"/>
          </w:tcPr>
          <w:p w14:paraId="1068A701" w14:textId="77777777" w:rsidR="006A3093" w:rsidRPr="004E13E9" w:rsidRDefault="006A3093" w:rsidP="006A3093">
            <w:pPr>
              <w:widowControl w:val="0"/>
              <w:rPr>
                <w:rFonts w:ascii="Cambria" w:hAnsi="Cambria"/>
                <w:b/>
                <w:sz w:val="20"/>
                <w:szCs w:val="20"/>
              </w:rPr>
            </w:pPr>
            <w:r w:rsidRPr="004E13E9">
              <w:rPr>
                <w:rFonts w:ascii="Cambria" w:hAnsi="Cambria"/>
                <w:b/>
                <w:bCs/>
                <w:color w:val="auto"/>
                <w:sz w:val="20"/>
                <w:szCs w:val="20"/>
              </w:rPr>
              <w:t>Taille minimale (</w:t>
            </w:r>
            <w:r w:rsidRPr="004E13E9">
              <w:rPr>
                <w:rFonts w:ascii="Cambria" w:hAnsi="Cambria"/>
                <w:b/>
                <w:color w:val="auto"/>
                <w:sz w:val="20"/>
                <w:szCs w:val="20"/>
              </w:rPr>
              <w:t xml:space="preserve">paragraphes </w:t>
            </w:r>
            <w:r w:rsidRPr="004E13E9">
              <w:rPr>
                <w:rFonts w:ascii="Cambria" w:hAnsi="Cambria"/>
                <w:b/>
                <w:bCs/>
                <w:color w:val="auto"/>
                <w:sz w:val="20"/>
                <w:szCs w:val="20"/>
              </w:rPr>
              <w:t>33-35)</w:t>
            </w:r>
          </w:p>
        </w:tc>
        <w:tc>
          <w:tcPr>
            <w:tcW w:w="3040" w:type="dxa"/>
          </w:tcPr>
          <w:p w14:paraId="19DB7C99" w14:textId="77777777" w:rsidR="006A3093" w:rsidRPr="004E13E9" w:rsidRDefault="006A3093" w:rsidP="006A3093">
            <w:pPr>
              <w:widowControl w:val="0"/>
              <w:jc w:val="both"/>
              <w:rPr>
                <w:rFonts w:ascii="Cambria" w:hAnsi="Cambria"/>
                <w:sz w:val="20"/>
                <w:szCs w:val="20"/>
              </w:rPr>
            </w:pPr>
            <w:r w:rsidRPr="004E13E9">
              <w:rPr>
                <w:rFonts w:ascii="Cambria" w:hAnsi="Cambria"/>
                <w:sz w:val="20"/>
                <w:szCs w:val="20"/>
              </w:rPr>
              <w:t>Le ministère interdit aux opérateurs de pêche de capturer du thon rouge pesant moins de 30 kg.</w:t>
            </w:r>
          </w:p>
          <w:p w14:paraId="1447CC02" w14:textId="77777777" w:rsidR="006A3093" w:rsidRPr="004E13E9" w:rsidRDefault="006A3093" w:rsidP="006A3093">
            <w:pPr>
              <w:widowControl w:val="0"/>
              <w:jc w:val="both"/>
              <w:rPr>
                <w:rFonts w:ascii="Cambria" w:hAnsi="Cambria"/>
                <w:sz w:val="20"/>
                <w:szCs w:val="20"/>
              </w:rPr>
            </w:pPr>
          </w:p>
          <w:p w14:paraId="1B69E06B" w14:textId="77777777" w:rsidR="006A3093" w:rsidRPr="004E13E9" w:rsidRDefault="006A3093" w:rsidP="00A1495F">
            <w:pPr>
              <w:widowControl w:val="0"/>
              <w:jc w:val="both"/>
              <w:rPr>
                <w:rFonts w:ascii="Cambria" w:hAnsi="Cambria"/>
                <w:sz w:val="20"/>
              </w:rPr>
            </w:pPr>
            <w:r w:rsidRPr="004E13E9">
              <w:rPr>
                <w:rFonts w:ascii="Cambria" w:hAnsi="Cambria"/>
                <w:sz w:val="20"/>
              </w:rPr>
              <w:t>Le navire de pêche devra cesser ses activités et quitter la zone de pêche lorsque le nombre de thons rouges pesant entre 8 et 30 kg dépassera 5% du nombre total de thons rouges capturés dans la journée. Le poids des rejets morts de thons rouges inférieurs au poids minimum est déduit du quota du Japon.</w:t>
            </w:r>
          </w:p>
          <w:p w14:paraId="7DA9557E" w14:textId="35F5A3E9" w:rsidR="0087073D" w:rsidRPr="004E13E9" w:rsidRDefault="0087073D" w:rsidP="00A1495F">
            <w:pPr>
              <w:widowControl w:val="0"/>
              <w:jc w:val="both"/>
              <w:rPr>
                <w:rFonts w:ascii="Cambria" w:hAnsi="Cambria"/>
                <w:sz w:val="20"/>
                <w:szCs w:val="20"/>
              </w:rPr>
            </w:pPr>
          </w:p>
        </w:tc>
        <w:tc>
          <w:tcPr>
            <w:tcW w:w="1985" w:type="dxa"/>
          </w:tcPr>
          <w:p w14:paraId="6441B8A2" w14:textId="77777777" w:rsidR="006A3093" w:rsidRPr="004E13E9" w:rsidRDefault="006A3093" w:rsidP="006A3093">
            <w:pPr>
              <w:widowControl w:val="0"/>
              <w:jc w:val="both"/>
              <w:rPr>
                <w:rFonts w:ascii="Cambria" w:hAnsi="Cambria"/>
                <w:sz w:val="20"/>
                <w:szCs w:val="20"/>
              </w:rPr>
            </w:pPr>
            <w:r w:rsidRPr="004E13E9">
              <w:rPr>
                <w:rFonts w:ascii="Cambria" w:hAnsi="Cambria"/>
                <w:sz w:val="20"/>
                <w:szCs w:val="20"/>
              </w:rPr>
              <w:t>Ordonnance ministérielle du ministère de l’agriculture, de la sylviculture et de la pêche, Article 23.</w:t>
            </w:r>
          </w:p>
        </w:tc>
        <w:tc>
          <w:tcPr>
            <w:tcW w:w="843" w:type="dxa"/>
          </w:tcPr>
          <w:p w14:paraId="4855146A" w14:textId="77777777" w:rsidR="006A3093" w:rsidRPr="004E13E9" w:rsidRDefault="006A3093" w:rsidP="006A3093">
            <w:pPr>
              <w:widowControl w:val="0"/>
              <w:rPr>
                <w:rFonts w:ascii="Cambria" w:hAnsi="Cambria"/>
                <w:sz w:val="20"/>
                <w:szCs w:val="20"/>
              </w:rPr>
            </w:pPr>
          </w:p>
        </w:tc>
      </w:tr>
      <w:tr w:rsidR="006A3093" w:rsidRPr="000926DE" w14:paraId="1946551D" w14:textId="77777777" w:rsidTr="0087073D">
        <w:tc>
          <w:tcPr>
            <w:tcW w:w="453" w:type="dxa"/>
          </w:tcPr>
          <w:p w14:paraId="3EFA8864" w14:textId="77777777" w:rsidR="006A3093" w:rsidRPr="004E13E9" w:rsidRDefault="006A3093" w:rsidP="006A3093">
            <w:pPr>
              <w:widowControl w:val="0"/>
              <w:rPr>
                <w:rFonts w:ascii="Cambria" w:hAnsi="Cambria"/>
                <w:b/>
                <w:sz w:val="20"/>
                <w:szCs w:val="20"/>
              </w:rPr>
            </w:pPr>
            <w:r w:rsidRPr="004E13E9">
              <w:rPr>
                <w:rFonts w:ascii="Cambria" w:hAnsi="Cambria"/>
                <w:b/>
                <w:sz w:val="20"/>
                <w:szCs w:val="20"/>
              </w:rPr>
              <w:t>4</w:t>
            </w:r>
          </w:p>
        </w:tc>
        <w:tc>
          <w:tcPr>
            <w:tcW w:w="2739" w:type="dxa"/>
          </w:tcPr>
          <w:p w14:paraId="2C4F4A16" w14:textId="77777777" w:rsidR="006A3093" w:rsidRPr="004E13E9" w:rsidRDefault="006A3093" w:rsidP="006A3093">
            <w:pPr>
              <w:widowControl w:val="0"/>
              <w:rPr>
                <w:rFonts w:ascii="Cambria" w:hAnsi="Cambria"/>
                <w:b/>
                <w:sz w:val="20"/>
                <w:szCs w:val="20"/>
              </w:rPr>
            </w:pPr>
            <w:r w:rsidRPr="004E13E9">
              <w:rPr>
                <w:rFonts w:ascii="Cambria" w:hAnsi="Cambria"/>
                <w:b/>
                <w:color w:val="auto"/>
                <w:sz w:val="20"/>
                <w:szCs w:val="20"/>
              </w:rPr>
              <w:t xml:space="preserve">Prises accessoires (paragraphe 37) </w:t>
            </w:r>
          </w:p>
        </w:tc>
        <w:tc>
          <w:tcPr>
            <w:tcW w:w="3040" w:type="dxa"/>
          </w:tcPr>
          <w:p w14:paraId="78D9EBBB" w14:textId="77777777" w:rsidR="006A3093" w:rsidRPr="004E13E9" w:rsidRDefault="006A3093" w:rsidP="006A3093">
            <w:pPr>
              <w:widowControl w:val="0"/>
              <w:jc w:val="both"/>
              <w:rPr>
                <w:rFonts w:ascii="Cambria" w:hAnsi="Cambria"/>
                <w:sz w:val="20"/>
                <w:szCs w:val="20"/>
              </w:rPr>
            </w:pPr>
            <w:r w:rsidRPr="004E13E9">
              <w:rPr>
                <w:rFonts w:ascii="Cambria" w:hAnsi="Cambria"/>
                <w:sz w:val="20"/>
                <w:szCs w:val="20"/>
              </w:rPr>
              <w:t>Le ministère interdit aux navires dépourvus de quotas de thon rouge de capturer, transborder ou débarquer du thon rouge.</w:t>
            </w:r>
          </w:p>
          <w:p w14:paraId="5B35588C" w14:textId="77777777" w:rsidR="006A3093" w:rsidRPr="004E13E9" w:rsidRDefault="006A3093" w:rsidP="006A3093">
            <w:pPr>
              <w:widowControl w:val="0"/>
              <w:jc w:val="both"/>
              <w:rPr>
                <w:rFonts w:ascii="Cambria" w:hAnsi="Cambria"/>
                <w:color w:val="auto"/>
                <w:sz w:val="20"/>
                <w:szCs w:val="20"/>
                <w:lang w:eastAsia="ja-JP"/>
              </w:rPr>
            </w:pPr>
            <w:r w:rsidRPr="004E13E9">
              <w:rPr>
                <w:rFonts w:ascii="Cambria" w:hAnsi="Cambria"/>
                <w:sz w:val="20"/>
              </w:rPr>
              <w:t xml:space="preserve">Tous les navires de capture japonais ciblant d'autres espèces de poissons que le thon rouge </w:t>
            </w:r>
            <w:proofErr w:type="gramStart"/>
            <w:r w:rsidRPr="004E13E9">
              <w:rPr>
                <w:rFonts w:ascii="Cambria" w:hAnsi="Cambria"/>
                <w:sz w:val="20"/>
              </w:rPr>
              <w:t>opèrent</w:t>
            </w:r>
            <w:proofErr w:type="gramEnd"/>
            <w:r w:rsidRPr="004E13E9">
              <w:rPr>
                <w:rFonts w:ascii="Cambria" w:hAnsi="Cambria"/>
                <w:sz w:val="20"/>
              </w:rPr>
              <w:t xml:space="preserve"> autour de l'équateur ou plus au Sud, de sorte que la possibilité de prises accessoires de thon rouge est négligeable. Compte tenu des circonstances, le ministère réserve au minimum 1 t </w:t>
            </w:r>
            <w:r w:rsidRPr="004E13E9">
              <w:rPr>
                <w:rFonts w:ascii="Cambria" w:hAnsi="Cambria"/>
                <w:color w:val="auto"/>
                <w:sz w:val="20"/>
                <w:szCs w:val="20"/>
              </w:rPr>
              <w:t xml:space="preserve">(soit, moins de </w:t>
            </w:r>
            <w:r w:rsidRPr="004E13E9">
              <w:rPr>
                <w:rFonts w:ascii="Cambria" w:hAnsi="Cambria"/>
                <w:color w:val="auto"/>
                <w:sz w:val="20"/>
                <w:szCs w:val="20"/>
                <w:lang w:eastAsia="ja-JP"/>
              </w:rPr>
              <w:t>0,04</w:t>
            </w:r>
            <w:r w:rsidRPr="004E13E9">
              <w:rPr>
                <w:rFonts w:ascii="Cambria" w:hAnsi="Cambria"/>
                <w:color w:val="auto"/>
                <w:sz w:val="20"/>
                <w:szCs w:val="20"/>
              </w:rPr>
              <w:t xml:space="preserve">%) </w:t>
            </w:r>
            <w:r w:rsidRPr="004E13E9">
              <w:rPr>
                <w:rFonts w:ascii="Cambria" w:hAnsi="Cambria"/>
                <w:sz w:val="20"/>
              </w:rPr>
              <w:t>pour les prises accessoires.</w:t>
            </w:r>
          </w:p>
        </w:tc>
        <w:tc>
          <w:tcPr>
            <w:tcW w:w="1985" w:type="dxa"/>
          </w:tcPr>
          <w:p w14:paraId="2892D731" w14:textId="77777777" w:rsidR="006A3093" w:rsidRPr="004E13E9" w:rsidRDefault="006A3093" w:rsidP="006A3093">
            <w:pPr>
              <w:widowControl w:val="0"/>
              <w:rPr>
                <w:rFonts w:ascii="Cambria" w:hAnsi="Cambria"/>
                <w:sz w:val="20"/>
                <w:szCs w:val="20"/>
              </w:rPr>
            </w:pPr>
            <w:r w:rsidRPr="004E13E9">
              <w:rPr>
                <w:rFonts w:ascii="Cambria" w:hAnsi="Cambria"/>
                <w:sz w:val="20"/>
                <w:szCs w:val="20"/>
              </w:rPr>
              <w:t>Législation sur la pêche, Articles 19 et 25.</w:t>
            </w:r>
          </w:p>
        </w:tc>
        <w:tc>
          <w:tcPr>
            <w:tcW w:w="843" w:type="dxa"/>
          </w:tcPr>
          <w:p w14:paraId="24562E98" w14:textId="77777777" w:rsidR="006A3093" w:rsidRPr="004E13E9" w:rsidRDefault="006A3093" w:rsidP="006A3093">
            <w:pPr>
              <w:widowControl w:val="0"/>
              <w:rPr>
                <w:rFonts w:ascii="Cambria" w:hAnsi="Cambria"/>
                <w:sz w:val="20"/>
                <w:szCs w:val="20"/>
              </w:rPr>
            </w:pPr>
          </w:p>
        </w:tc>
      </w:tr>
      <w:tr w:rsidR="006A3093" w:rsidRPr="004E13E9" w14:paraId="791D34B1" w14:textId="77777777" w:rsidTr="0087073D">
        <w:tc>
          <w:tcPr>
            <w:tcW w:w="453" w:type="dxa"/>
          </w:tcPr>
          <w:p w14:paraId="3A3BEF7C" w14:textId="77777777" w:rsidR="006A3093" w:rsidRPr="004E13E9" w:rsidRDefault="006A3093" w:rsidP="006A3093">
            <w:pPr>
              <w:widowControl w:val="0"/>
              <w:rPr>
                <w:rFonts w:ascii="Cambria" w:hAnsi="Cambria"/>
                <w:b/>
                <w:sz w:val="20"/>
                <w:szCs w:val="20"/>
              </w:rPr>
            </w:pPr>
            <w:r w:rsidRPr="004E13E9">
              <w:rPr>
                <w:rFonts w:ascii="Cambria" w:hAnsi="Cambria"/>
                <w:b/>
                <w:sz w:val="20"/>
                <w:szCs w:val="20"/>
              </w:rPr>
              <w:t>5</w:t>
            </w:r>
          </w:p>
        </w:tc>
        <w:tc>
          <w:tcPr>
            <w:tcW w:w="2739" w:type="dxa"/>
          </w:tcPr>
          <w:p w14:paraId="285F397F" w14:textId="77777777" w:rsidR="006A3093" w:rsidRPr="004E13E9" w:rsidRDefault="006A3093" w:rsidP="006A3093">
            <w:pPr>
              <w:widowControl w:val="0"/>
              <w:rPr>
                <w:rFonts w:ascii="Cambria" w:hAnsi="Cambria"/>
                <w:b/>
                <w:sz w:val="20"/>
                <w:szCs w:val="20"/>
              </w:rPr>
            </w:pPr>
            <w:r w:rsidRPr="004E13E9">
              <w:rPr>
                <w:rFonts w:ascii="Cambria" w:hAnsi="Cambria"/>
                <w:b/>
                <w:bCs/>
                <w:color w:val="auto"/>
                <w:sz w:val="20"/>
                <w:szCs w:val="20"/>
              </w:rPr>
              <w:t>Pêcheries récréatives et sportives (paragraphes 38-46)</w:t>
            </w:r>
          </w:p>
        </w:tc>
        <w:tc>
          <w:tcPr>
            <w:tcW w:w="3040" w:type="dxa"/>
          </w:tcPr>
          <w:p w14:paraId="682D819E" w14:textId="77777777" w:rsidR="006A3093" w:rsidRPr="004E13E9" w:rsidRDefault="006A3093" w:rsidP="006A3093">
            <w:pPr>
              <w:widowControl w:val="0"/>
              <w:jc w:val="both"/>
              <w:rPr>
                <w:rFonts w:ascii="Cambria" w:hAnsi="Cambria"/>
                <w:sz w:val="20"/>
                <w:szCs w:val="20"/>
              </w:rPr>
            </w:pPr>
            <w:r w:rsidRPr="004E13E9">
              <w:rPr>
                <w:rFonts w:ascii="Cambria" w:hAnsi="Cambria"/>
                <w:sz w:val="20"/>
                <w:szCs w:val="20"/>
              </w:rPr>
              <w:t>Il n'y a pas de navires de pêche récréative ou sportive dans la zone de l’ICCAT.</w:t>
            </w:r>
          </w:p>
        </w:tc>
        <w:tc>
          <w:tcPr>
            <w:tcW w:w="1985" w:type="dxa"/>
          </w:tcPr>
          <w:p w14:paraId="34D28B5A" w14:textId="77777777" w:rsidR="006A3093" w:rsidRPr="004E13E9" w:rsidRDefault="006A3093" w:rsidP="006A3093">
            <w:pPr>
              <w:widowControl w:val="0"/>
              <w:rPr>
                <w:rFonts w:ascii="Cambria" w:hAnsi="Cambria"/>
                <w:sz w:val="20"/>
                <w:szCs w:val="20"/>
              </w:rPr>
            </w:pPr>
            <w:r w:rsidRPr="004E13E9">
              <w:rPr>
                <w:rFonts w:ascii="Cambria" w:hAnsi="Cambria"/>
                <w:sz w:val="20"/>
                <w:szCs w:val="20"/>
              </w:rPr>
              <w:t>Non applicable</w:t>
            </w:r>
          </w:p>
        </w:tc>
        <w:tc>
          <w:tcPr>
            <w:tcW w:w="843" w:type="dxa"/>
          </w:tcPr>
          <w:p w14:paraId="0C38C654" w14:textId="77777777" w:rsidR="006A3093" w:rsidRPr="004E13E9" w:rsidRDefault="006A3093" w:rsidP="006A3093">
            <w:pPr>
              <w:widowControl w:val="0"/>
              <w:rPr>
                <w:rFonts w:ascii="Cambria" w:hAnsi="Cambria"/>
                <w:sz w:val="20"/>
                <w:szCs w:val="20"/>
              </w:rPr>
            </w:pPr>
          </w:p>
        </w:tc>
      </w:tr>
      <w:tr w:rsidR="006A3093" w:rsidRPr="000926DE" w14:paraId="251ED832" w14:textId="77777777" w:rsidTr="0087073D">
        <w:tc>
          <w:tcPr>
            <w:tcW w:w="453" w:type="dxa"/>
          </w:tcPr>
          <w:p w14:paraId="707B62A2" w14:textId="77777777" w:rsidR="006A3093" w:rsidRPr="004E13E9" w:rsidRDefault="006A3093" w:rsidP="006A3093">
            <w:pPr>
              <w:widowControl w:val="0"/>
              <w:rPr>
                <w:rFonts w:ascii="Cambria" w:hAnsi="Cambria"/>
                <w:b/>
                <w:sz w:val="20"/>
                <w:szCs w:val="20"/>
              </w:rPr>
            </w:pPr>
            <w:r w:rsidRPr="004E13E9">
              <w:rPr>
                <w:rFonts w:ascii="Cambria" w:hAnsi="Cambria"/>
                <w:b/>
                <w:sz w:val="20"/>
                <w:szCs w:val="20"/>
              </w:rPr>
              <w:t>6</w:t>
            </w:r>
          </w:p>
        </w:tc>
        <w:tc>
          <w:tcPr>
            <w:tcW w:w="2739" w:type="dxa"/>
          </w:tcPr>
          <w:p w14:paraId="4883D644" w14:textId="77777777" w:rsidR="006A3093" w:rsidRPr="004E13E9" w:rsidRDefault="006A3093" w:rsidP="006A3093">
            <w:pPr>
              <w:widowControl w:val="0"/>
              <w:rPr>
                <w:rFonts w:ascii="Cambria" w:hAnsi="Cambria"/>
                <w:b/>
                <w:sz w:val="20"/>
                <w:szCs w:val="20"/>
              </w:rPr>
            </w:pPr>
            <w:r w:rsidRPr="004E13E9">
              <w:rPr>
                <w:rFonts w:ascii="Cambria" w:hAnsi="Cambria"/>
                <w:b/>
                <w:color w:val="auto"/>
                <w:sz w:val="20"/>
                <w:szCs w:val="20"/>
              </w:rPr>
              <w:t xml:space="preserve">Transbordement (paragraphes 89-94) </w:t>
            </w:r>
          </w:p>
        </w:tc>
        <w:tc>
          <w:tcPr>
            <w:tcW w:w="3040" w:type="dxa"/>
          </w:tcPr>
          <w:p w14:paraId="04BFBA76" w14:textId="77777777" w:rsidR="006A3093" w:rsidRPr="004E13E9" w:rsidRDefault="006A3093" w:rsidP="006A3093">
            <w:pPr>
              <w:widowControl w:val="0"/>
              <w:jc w:val="both"/>
              <w:rPr>
                <w:rFonts w:ascii="Cambria" w:hAnsi="Cambria"/>
                <w:sz w:val="20"/>
                <w:szCs w:val="20"/>
              </w:rPr>
            </w:pPr>
            <w:r w:rsidRPr="004E13E9">
              <w:rPr>
                <w:rFonts w:ascii="Cambria" w:hAnsi="Cambria"/>
                <w:sz w:val="20"/>
                <w:szCs w:val="20"/>
              </w:rPr>
              <w:t>Le ministère interdit les transbordements de thon rouge en mer et ne permet que le transbordement dans les ports inscrits sur le site web de l’ICCAT avec une autorisation préalable.</w:t>
            </w:r>
          </w:p>
        </w:tc>
        <w:tc>
          <w:tcPr>
            <w:tcW w:w="1985" w:type="dxa"/>
          </w:tcPr>
          <w:p w14:paraId="4A60E67B" w14:textId="77777777" w:rsidR="006A3093" w:rsidRPr="004E13E9" w:rsidRDefault="006A3093" w:rsidP="006A3093">
            <w:pPr>
              <w:widowControl w:val="0"/>
              <w:rPr>
                <w:rFonts w:ascii="Cambria" w:hAnsi="Cambria"/>
                <w:sz w:val="20"/>
                <w:szCs w:val="20"/>
              </w:rPr>
            </w:pPr>
            <w:r w:rsidRPr="004E13E9">
              <w:rPr>
                <w:rFonts w:ascii="Cambria" w:hAnsi="Cambria"/>
                <w:sz w:val="20"/>
                <w:szCs w:val="20"/>
              </w:rPr>
              <w:t>Ordonnance ministérielle du ministère de l’agriculture, de la sylviculture et de la pêche, Article 59.</w:t>
            </w:r>
          </w:p>
        </w:tc>
        <w:tc>
          <w:tcPr>
            <w:tcW w:w="843" w:type="dxa"/>
          </w:tcPr>
          <w:p w14:paraId="0276DD92" w14:textId="77777777" w:rsidR="006A3093" w:rsidRPr="004E13E9" w:rsidRDefault="006A3093" w:rsidP="006A3093">
            <w:pPr>
              <w:widowControl w:val="0"/>
              <w:rPr>
                <w:rFonts w:ascii="Cambria" w:hAnsi="Cambria"/>
                <w:sz w:val="20"/>
                <w:szCs w:val="20"/>
              </w:rPr>
            </w:pPr>
          </w:p>
        </w:tc>
      </w:tr>
      <w:tr w:rsidR="006A3093" w:rsidRPr="000926DE" w14:paraId="531D5BF8" w14:textId="77777777" w:rsidTr="0087073D">
        <w:tc>
          <w:tcPr>
            <w:tcW w:w="453" w:type="dxa"/>
          </w:tcPr>
          <w:p w14:paraId="2B58CBD0" w14:textId="77777777" w:rsidR="006A3093" w:rsidRPr="004E13E9" w:rsidRDefault="006A3093" w:rsidP="006A3093">
            <w:pPr>
              <w:widowControl w:val="0"/>
              <w:rPr>
                <w:rFonts w:ascii="Cambria" w:hAnsi="Cambria"/>
                <w:b/>
                <w:sz w:val="20"/>
                <w:szCs w:val="20"/>
              </w:rPr>
            </w:pPr>
            <w:r w:rsidRPr="004E13E9">
              <w:rPr>
                <w:rFonts w:ascii="Cambria" w:hAnsi="Cambria"/>
                <w:b/>
                <w:sz w:val="20"/>
                <w:szCs w:val="20"/>
              </w:rPr>
              <w:t>7</w:t>
            </w:r>
          </w:p>
        </w:tc>
        <w:tc>
          <w:tcPr>
            <w:tcW w:w="2739" w:type="dxa"/>
          </w:tcPr>
          <w:p w14:paraId="088FA649" w14:textId="77777777" w:rsidR="006A3093" w:rsidRPr="004E13E9" w:rsidRDefault="006A3093" w:rsidP="006A3093">
            <w:pPr>
              <w:widowControl w:val="0"/>
              <w:rPr>
                <w:rFonts w:ascii="Cambria" w:hAnsi="Cambria"/>
                <w:b/>
                <w:sz w:val="20"/>
                <w:szCs w:val="20"/>
              </w:rPr>
            </w:pPr>
            <w:r w:rsidRPr="004E13E9">
              <w:rPr>
                <w:rFonts w:ascii="Cambria" w:hAnsi="Cambria"/>
                <w:b/>
                <w:color w:val="auto"/>
                <w:sz w:val="20"/>
                <w:szCs w:val="20"/>
              </w:rPr>
              <w:t>VMS (paragraphes 222-228)</w:t>
            </w:r>
          </w:p>
        </w:tc>
        <w:tc>
          <w:tcPr>
            <w:tcW w:w="3040" w:type="dxa"/>
          </w:tcPr>
          <w:p w14:paraId="09EAE915" w14:textId="77777777" w:rsidR="006A3093" w:rsidRPr="004E13E9" w:rsidRDefault="006A3093" w:rsidP="006A3093">
            <w:pPr>
              <w:widowControl w:val="0"/>
              <w:jc w:val="both"/>
              <w:rPr>
                <w:rFonts w:ascii="Cambria" w:hAnsi="Cambria"/>
                <w:sz w:val="20"/>
                <w:szCs w:val="20"/>
              </w:rPr>
            </w:pPr>
            <w:r w:rsidRPr="004E13E9">
              <w:rPr>
                <w:rFonts w:ascii="Cambria" w:hAnsi="Cambria"/>
                <w:sz w:val="20"/>
                <w:szCs w:val="20"/>
              </w:rPr>
              <w:t>Le ministère exige que les navires de pêche soient équipés d'un VMS qui transmet automatiquement les données toutes les deux heures à la FAJ.</w:t>
            </w:r>
          </w:p>
          <w:p w14:paraId="13FC84B4" w14:textId="77777777" w:rsidR="006A3093" w:rsidRPr="004E13E9" w:rsidRDefault="006A3093" w:rsidP="006A3093">
            <w:pPr>
              <w:widowControl w:val="0"/>
              <w:jc w:val="both"/>
              <w:rPr>
                <w:rFonts w:ascii="Cambria" w:hAnsi="Cambria"/>
                <w:sz w:val="20"/>
                <w:szCs w:val="20"/>
              </w:rPr>
            </w:pPr>
            <w:r w:rsidRPr="004E13E9">
              <w:rPr>
                <w:rFonts w:ascii="Cambria" w:hAnsi="Cambria"/>
                <w:sz w:val="20"/>
                <w:szCs w:val="20"/>
              </w:rPr>
              <w:t>La FAJ transmet au Secrétariat de l’ICCAT les données VMS des navires de pêche de thon rouge.</w:t>
            </w:r>
          </w:p>
        </w:tc>
        <w:tc>
          <w:tcPr>
            <w:tcW w:w="1985" w:type="dxa"/>
          </w:tcPr>
          <w:p w14:paraId="597B9819" w14:textId="77777777" w:rsidR="006A3093" w:rsidRPr="004E13E9" w:rsidRDefault="006A3093" w:rsidP="006A3093">
            <w:pPr>
              <w:widowControl w:val="0"/>
              <w:jc w:val="both"/>
              <w:rPr>
                <w:rFonts w:ascii="Cambria" w:hAnsi="Cambria"/>
                <w:sz w:val="20"/>
                <w:szCs w:val="20"/>
              </w:rPr>
            </w:pPr>
            <w:r w:rsidRPr="004E13E9">
              <w:rPr>
                <w:rFonts w:ascii="Cambria" w:hAnsi="Cambria"/>
                <w:sz w:val="20"/>
                <w:szCs w:val="20"/>
              </w:rPr>
              <w:t>Loi sur la pêche, article 52. Ordonnance ministérielle du ministère de l’Agriculture, de la sylviculture et de la pêche, Article 15.</w:t>
            </w:r>
          </w:p>
        </w:tc>
        <w:tc>
          <w:tcPr>
            <w:tcW w:w="843" w:type="dxa"/>
          </w:tcPr>
          <w:p w14:paraId="7586E573" w14:textId="77777777" w:rsidR="006A3093" w:rsidRPr="004E13E9" w:rsidRDefault="006A3093" w:rsidP="006A3093">
            <w:pPr>
              <w:widowControl w:val="0"/>
              <w:rPr>
                <w:rFonts w:ascii="Cambria" w:hAnsi="Cambria"/>
                <w:sz w:val="20"/>
                <w:szCs w:val="20"/>
              </w:rPr>
            </w:pPr>
          </w:p>
        </w:tc>
      </w:tr>
      <w:tr w:rsidR="006A3093" w:rsidRPr="004E13E9" w14:paraId="313F39B2" w14:textId="77777777" w:rsidTr="0087073D">
        <w:tc>
          <w:tcPr>
            <w:tcW w:w="453" w:type="dxa"/>
          </w:tcPr>
          <w:p w14:paraId="285E2837" w14:textId="77777777" w:rsidR="006A3093" w:rsidRPr="004E13E9" w:rsidRDefault="006A3093" w:rsidP="006A3093">
            <w:pPr>
              <w:widowControl w:val="0"/>
              <w:rPr>
                <w:rFonts w:ascii="Cambria" w:hAnsi="Cambria"/>
                <w:b/>
                <w:sz w:val="20"/>
                <w:szCs w:val="20"/>
              </w:rPr>
            </w:pPr>
            <w:r w:rsidRPr="004E13E9">
              <w:rPr>
                <w:rFonts w:ascii="Cambria" w:hAnsi="Cambria"/>
                <w:b/>
                <w:sz w:val="20"/>
                <w:szCs w:val="20"/>
              </w:rPr>
              <w:t>8</w:t>
            </w:r>
          </w:p>
        </w:tc>
        <w:tc>
          <w:tcPr>
            <w:tcW w:w="2739" w:type="dxa"/>
          </w:tcPr>
          <w:p w14:paraId="3F3987C5" w14:textId="77777777" w:rsidR="006A3093" w:rsidRPr="004E13E9" w:rsidRDefault="006A3093" w:rsidP="006A3093">
            <w:pPr>
              <w:widowControl w:val="0"/>
              <w:rPr>
                <w:rFonts w:ascii="Cambria" w:hAnsi="Cambria"/>
                <w:b/>
                <w:sz w:val="20"/>
                <w:szCs w:val="20"/>
              </w:rPr>
            </w:pPr>
            <w:r w:rsidRPr="004E13E9">
              <w:rPr>
                <w:rFonts w:ascii="Cambria" w:hAnsi="Cambria"/>
                <w:b/>
                <w:color w:val="auto"/>
                <w:sz w:val="20"/>
                <w:szCs w:val="20"/>
              </w:rPr>
              <w:t>Programme d’observateurs des CPC (paragraphes 95-100)</w:t>
            </w:r>
          </w:p>
        </w:tc>
        <w:tc>
          <w:tcPr>
            <w:tcW w:w="3040" w:type="dxa"/>
          </w:tcPr>
          <w:p w14:paraId="1D1A567A" w14:textId="77777777" w:rsidR="006A3093" w:rsidRPr="004E13E9" w:rsidRDefault="006A3093" w:rsidP="006A3093">
            <w:pPr>
              <w:widowControl w:val="0"/>
              <w:jc w:val="both"/>
              <w:rPr>
                <w:rFonts w:ascii="Cambria" w:hAnsi="Cambria"/>
                <w:sz w:val="20"/>
                <w:szCs w:val="20"/>
              </w:rPr>
            </w:pPr>
            <w:r w:rsidRPr="004E13E9">
              <w:rPr>
                <w:rFonts w:ascii="Cambria" w:hAnsi="Cambria"/>
                <w:sz w:val="20"/>
                <w:szCs w:val="20"/>
              </w:rPr>
              <w:t xml:space="preserve">La FAJ assurera une couverture d’observateurs de 20% du nombre de ses LSTLV, qui sont autorisés à pêcher du thon rouge. </w:t>
            </w:r>
          </w:p>
        </w:tc>
        <w:tc>
          <w:tcPr>
            <w:tcW w:w="1985" w:type="dxa"/>
          </w:tcPr>
          <w:p w14:paraId="16744BDB" w14:textId="77777777" w:rsidR="006A3093" w:rsidRPr="004E13E9" w:rsidRDefault="006A3093" w:rsidP="006A3093">
            <w:pPr>
              <w:widowControl w:val="0"/>
              <w:rPr>
                <w:rFonts w:ascii="Cambria" w:hAnsi="Cambria"/>
                <w:sz w:val="20"/>
                <w:szCs w:val="20"/>
              </w:rPr>
            </w:pPr>
            <w:r w:rsidRPr="004E13E9">
              <w:rPr>
                <w:rFonts w:ascii="Cambria" w:hAnsi="Cambria"/>
                <w:sz w:val="20"/>
                <w:szCs w:val="20"/>
              </w:rPr>
              <w:t>Non applicable</w:t>
            </w:r>
          </w:p>
        </w:tc>
        <w:tc>
          <w:tcPr>
            <w:tcW w:w="843" w:type="dxa"/>
          </w:tcPr>
          <w:p w14:paraId="068ED99E" w14:textId="77777777" w:rsidR="006A3093" w:rsidRPr="004E13E9" w:rsidRDefault="006A3093" w:rsidP="006A3093">
            <w:pPr>
              <w:widowControl w:val="0"/>
              <w:rPr>
                <w:rFonts w:ascii="Cambria" w:hAnsi="Cambria"/>
                <w:sz w:val="20"/>
                <w:szCs w:val="20"/>
              </w:rPr>
            </w:pPr>
          </w:p>
        </w:tc>
      </w:tr>
      <w:tr w:rsidR="006A3093" w:rsidRPr="004E13E9" w14:paraId="29DF2BDC" w14:textId="77777777" w:rsidTr="0087073D">
        <w:tc>
          <w:tcPr>
            <w:tcW w:w="453" w:type="dxa"/>
          </w:tcPr>
          <w:p w14:paraId="61953D73" w14:textId="77777777" w:rsidR="006A3093" w:rsidRPr="004E13E9" w:rsidRDefault="006A3093" w:rsidP="006A3093">
            <w:pPr>
              <w:widowControl w:val="0"/>
              <w:rPr>
                <w:rFonts w:ascii="Cambria" w:hAnsi="Cambria"/>
                <w:b/>
                <w:sz w:val="20"/>
                <w:szCs w:val="20"/>
              </w:rPr>
            </w:pPr>
            <w:r w:rsidRPr="004E13E9">
              <w:rPr>
                <w:rFonts w:ascii="Cambria" w:hAnsi="Cambria"/>
                <w:b/>
                <w:sz w:val="20"/>
                <w:szCs w:val="20"/>
              </w:rPr>
              <w:t>9</w:t>
            </w:r>
          </w:p>
        </w:tc>
        <w:tc>
          <w:tcPr>
            <w:tcW w:w="2739" w:type="dxa"/>
          </w:tcPr>
          <w:p w14:paraId="3563522C" w14:textId="77777777" w:rsidR="006A3093" w:rsidRPr="004E13E9" w:rsidRDefault="006A3093" w:rsidP="006A3093">
            <w:pPr>
              <w:widowControl w:val="0"/>
              <w:rPr>
                <w:rFonts w:ascii="Cambria" w:hAnsi="Cambria"/>
                <w:b/>
                <w:sz w:val="20"/>
                <w:szCs w:val="20"/>
              </w:rPr>
            </w:pPr>
            <w:r w:rsidRPr="004E13E9">
              <w:rPr>
                <w:rFonts w:ascii="Cambria" w:hAnsi="Cambria"/>
                <w:b/>
                <w:color w:val="auto"/>
                <w:sz w:val="20"/>
                <w:szCs w:val="20"/>
              </w:rPr>
              <w:t>Programme d'observateurs régionaux (paragraphes 101-107)</w:t>
            </w:r>
          </w:p>
        </w:tc>
        <w:tc>
          <w:tcPr>
            <w:tcW w:w="3040" w:type="dxa"/>
          </w:tcPr>
          <w:p w14:paraId="3E544351" w14:textId="77777777" w:rsidR="006A3093" w:rsidRPr="004E13E9" w:rsidRDefault="006A3093" w:rsidP="006A3093">
            <w:pPr>
              <w:widowControl w:val="0"/>
              <w:jc w:val="both"/>
              <w:rPr>
                <w:rFonts w:ascii="Cambria" w:hAnsi="Cambria"/>
                <w:sz w:val="20"/>
                <w:szCs w:val="20"/>
              </w:rPr>
            </w:pPr>
            <w:r w:rsidRPr="004E13E9">
              <w:rPr>
                <w:rFonts w:ascii="Cambria" w:hAnsi="Cambria"/>
                <w:sz w:val="20"/>
                <w:szCs w:val="20"/>
              </w:rPr>
              <w:t>Les navires de pêche japonais capturant le thon rouge ne sont pas des senneurs et le Japon ne compte aucune ferme de thon rouge enregistrée.</w:t>
            </w:r>
          </w:p>
        </w:tc>
        <w:tc>
          <w:tcPr>
            <w:tcW w:w="1985" w:type="dxa"/>
          </w:tcPr>
          <w:p w14:paraId="41A75264" w14:textId="77777777" w:rsidR="006A3093" w:rsidRPr="004E13E9" w:rsidRDefault="006A3093" w:rsidP="006A3093">
            <w:pPr>
              <w:widowControl w:val="0"/>
              <w:rPr>
                <w:rFonts w:ascii="Cambria" w:hAnsi="Cambria"/>
                <w:sz w:val="20"/>
                <w:szCs w:val="20"/>
              </w:rPr>
            </w:pPr>
            <w:r w:rsidRPr="004E13E9">
              <w:rPr>
                <w:rFonts w:ascii="Cambria" w:hAnsi="Cambria"/>
                <w:sz w:val="20"/>
                <w:szCs w:val="20"/>
              </w:rPr>
              <w:t>Non applicable</w:t>
            </w:r>
          </w:p>
          <w:p w14:paraId="4B10A99C" w14:textId="77777777" w:rsidR="006A3093" w:rsidRPr="004E13E9" w:rsidRDefault="006A3093" w:rsidP="006A3093">
            <w:pPr>
              <w:widowControl w:val="0"/>
              <w:rPr>
                <w:rFonts w:ascii="Cambria" w:hAnsi="Cambria"/>
                <w:sz w:val="20"/>
                <w:szCs w:val="20"/>
              </w:rPr>
            </w:pPr>
          </w:p>
        </w:tc>
        <w:tc>
          <w:tcPr>
            <w:tcW w:w="843" w:type="dxa"/>
          </w:tcPr>
          <w:p w14:paraId="594792FF" w14:textId="77777777" w:rsidR="006A3093" w:rsidRPr="004E13E9" w:rsidRDefault="006A3093" w:rsidP="006A3093">
            <w:pPr>
              <w:widowControl w:val="0"/>
              <w:rPr>
                <w:rFonts w:ascii="Cambria" w:hAnsi="Cambria"/>
                <w:sz w:val="20"/>
                <w:szCs w:val="20"/>
              </w:rPr>
            </w:pPr>
          </w:p>
        </w:tc>
      </w:tr>
      <w:tr w:rsidR="006A3093" w:rsidRPr="000926DE" w14:paraId="67D14709" w14:textId="77777777" w:rsidTr="0087073D">
        <w:tc>
          <w:tcPr>
            <w:tcW w:w="453" w:type="dxa"/>
          </w:tcPr>
          <w:p w14:paraId="71A26DFC" w14:textId="77777777" w:rsidR="006A3093" w:rsidRPr="004E13E9" w:rsidRDefault="006A3093" w:rsidP="006A3093">
            <w:pPr>
              <w:widowControl w:val="0"/>
              <w:rPr>
                <w:rFonts w:ascii="Cambria" w:hAnsi="Cambria"/>
                <w:b/>
                <w:sz w:val="20"/>
                <w:szCs w:val="20"/>
              </w:rPr>
            </w:pPr>
            <w:r w:rsidRPr="004E13E9">
              <w:rPr>
                <w:rFonts w:ascii="Cambria" w:hAnsi="Cambria"/>
                <w:b/>
                <w:sz w:val="20"/>
                <w:szCs w:val="20"/>
              </w:rPr>
              <w:t>10</w:t>
            </w:r>
          </w:p>
        </w:tc>
        <w:tc>
          <w:tcPr>
            <w:tcW w:w="2739" w:type="dxa"/>
          </w:tcPr>
          <w:p w14:paraId="7F625F4B" w14:textId="77777777" w:rsidR="006A3093" w:rsidRPr="004E13E9" w:rsidRDefault="006A3093" w:rsidP="006A3093">
            <w:pPr>
              <w:widowControl w:val="0"/>
              <w:rPr>
                <w:rFonts w:ascii="Cambria" w:hAnsi="Cambria"/>
                <w:b/>
                <w:sz w:val="20"/>
                <w:szCs w:val="20"/>
              </w:rPr>
            </w:pPr>
            <w:r w:rsidRPr="004E13E9">
              <w:rPr>
                <w:rFonts w:ascii="Cambria" w:hAnsi="Cambria"/>
                <w:b/>
                <w:bCs/>
                <w:iCs/>
                <w:color w:val="auto"/>
                <w:sz w:val="20"/>
                <w:szCs w:val="20"/>
              </w:rPr>
              <w:t>Législation nationale</w:t>
            </w:r>
          </w:p>
        </w:tc>
        <w:tc>
          <w:tcPr>
            <w:tcW w:w="3040" w:type="dxa"/>
          </w:tcPr>
          <w:p w14:paraId="7BEEBF19" w14:textId="77777777" w:rsidR="006A3093" w:rsidRPr="004E13E9" w:rsidRDefault="006A3093" w:rsidP="006A3093">
            <w:pPr>
              <w:widowControl w:val="0"/>
              <w:jc w:val="both"/>
              <w:rPr>
                <w:rFonts w:ascii="Cambria" w:hAnsi="Cambria"/>
                <w:sz w:val="20"/>
                <w:szCs w:val="20"/>
              </w:rPr>
            </w:pPr>
            <w:r w:rsidRPr="004E13E9">
              <w:rPr>
                <w:rFonts w:ascii="Cambria" w:hAnsi="Cambria"/>
                <w:sz w:val="20"/>
                <w:szCs w:val="20"/>
              </w:rPr>
              <w:t xml:space="preserve">Les recommandations pertinentes ont été transposées dans les réglementations nationales japonaises. Voir </w:t>
            </w:r>
            <w:r w:rsidRPr="004E13E9">
              <w:rPr>
                <w:rFonts w:ascii="Cambria" w:hAnsi="Cambria"/>
                <w:i/>
                <w:iCs/>
                <w:sz w:val="20"/>
                <w:szCs w:val="20"/>
              </w:rPr>
              <w:t>lois ou réglementations nationales pertinentes (le cas échéant).</w:t>
            </w:r>
          </w:p>
        </w:tc>
        <w:tc>
          <w:tcPr>
            <w:tcW w:w="1985" w:type="dxa"/>
          </w:tcPr>
          <w:p w14:paraId="11260FDB" w14:textId="77777777" w:rsidR="006A3093" w:rsidRPr="004E13E9" w:rsidRDefault="006A3093" w:rsidP="006A3093">
            <w:pPr>
              <w:widowControl w:val="0"/>
              <w:rPr>
                <w:rFonts w:ascii="Cambria" w:hAnsi="Cambria"/>
                <w:sz w:val="20"/>
                <w:szCs w:val="20"/>
              </w:rPr>
            </w:pPr>
            <w:r w:rsidRPr="004E13E9">
              <w:rPr>
                <w:rFonts w:ascii="Cambria" w:hAnsi="Cambria"/>
                <w:sz w:val="20"/>
                <w:szCs w:val="20"/>
              </w:rPr>
              <w:t>Loi sur la pêche</w:t>
            </w:r>
          </w:p>
          <w:p w14:paraId="7C3AFC14" w14:textId="77777777" w:rsidR="006A3093" w:rsidRPr="004E13E9" w:rsidRDefault="006A3093" w:rsidP="006A3093">
            <w:pPr>
              <w:widowControl w:val="0"/>
              <w:rPr>
                <w:rFonts w:ascii="Cambria" w:hAnsi="Cambria"/>
                <w:sz w:val="20"/>
                <w:szCs w:val="20"/>
              </w:rPr>
            </w:pPr>
            <w:r w:rsidRPr="004E13E9">
              <w:rPr>
                <w:rFonts w:ascii="Cambria" w:hAnsi="Cambria"/>
                <w:sz w:val="20"/>
                <w:szCs w:val="20"/>
              </w:rPr>
              <w:t>Ordonnance ministérielle du ministère de l’agriculture, de la sylviculture et de la pêche.</w:t>
            </w:r>
          </w:p>
        </w:tc>
        <w:tc>
          <w:tcPr>
            <w:tcW w:w="843" w:type="dxa"/>
          </w:tcPr>
          <w:p w14:paraId="7DE57BF4" w14:textId="77777777" w:rsidR="006A3093" w:rsidRPr="004E13E9" w:rsidRDefault="006A3093" w:rsidP="006A3093">
            <w:pPr>
              <w:widowControl w:val="0"/>
              <w:rPr>
                <w:rFonts w:ascii="Cambria" w:hAnsi="Cambria"/>
                <w:sz w:val="20"/>
                <w:szCs w:val="20"/>
              </w:rPr>
            </w:pPr>
          </w:p>
        </w:tc>
      </w:tr>
      <w:tr w:rsidR="006A3093" w:rsidRPr="004E13E9" w14:paraId="0E881614" w14:textId="77777777" w:rsidTr="0087073D">
        <w:tc>
          <w:tcPr>
            <w:tcW w:w="453" w:type="dxa"/>
          </w:tcPr>
          <w:p w14:paraId="629F06CC" w14:textId="77777777" w:rsidR="006A3093" w:rsidRPr="004E13E9" w:rsidRDefault="006A3093" w:rsidP="006A3093">
            <w:pPr>
              <w:widowControl w:val="0"/>
              <w:rPr>
                <w:rFonts w:ascii="Cambria" w:hAnsi="Cambria"/>
                <w:i/>
                <w:sz w:val="20"/>
                <w:szCs w:val="20"/>
              </w:rPr>
            </w:pPr>
          </w:p>
        </w:tc>
        <w:tc>
          <w:tcPr>
            <w:tcW w:w="2739" w:type="dxa"/>
          </w:tcPr>
          <w:p w14:paraId="09D4BAD8" w14:textId="77777777" w:rsidR="006A3093" w:rsidRPr="004E13E9" w:rsidRDefault="006A3093" w:rsidP="006A3093">
            <w:pPr>
              <w:widowControl w:val="0"/>
              <w:jc w:val="both"/>
              <w:rPr>
                <w:rFonts w:ascii="Cambria" w:hAnsi="Cambria"/>
                <w:i/>
                <w:sz w:val="20"/>
                <w:szCs w:val="20"/>
              </w:rPr>
            </w:pPr>
            <w:r w:rsidRPr="004E13E9">
              <w:rPr>
                <w:rFonts w:ascii="Cambria" w:hAnsi="Cambria"/>
                <w:i/>
                <w:color w:val="auto"/>
                <w:sz w:val="20"/>
                <w:szCs w:val="20"/>
              </w:rPr>
              <w:t>Autres exigences, telles que : programme de marquage (paragraphe 44), etc.</w:t>
            </w:r>
          </w:p>
        </w:tc>
        <w:tc>
          <w:tcPr>
            <w:tcW w:w="3040" w:type="dxa"/>
          </w:tcPr>
          <w:p w14:paraId="4110B82D" w14:textId="77777777" w:rsidR="006A3093" w:rsidRPr="004E13E9" w:rsidRDefault="006A3093" w:rsidP="006A3093">
            <w:pPr>
              <w:widowControl w:val="0"/>
              <w:rPr>
                <w:rFonts w:ascii="Cambria" w:hAnsi="Cambria"/>
                <w:sz w:val="20"/>
                <w:szCs w:val="20"/>
              </w:rPr>
            </w:pPr>
            <w:r w:rsidRPr="004E13E9">
              <w:rPr>
                <w:rFonts w:ascii="Cambria" w:hAnsi="Cambria"/>
                <w:sz w:val="20"/>
                <w:szCs w:val="20"/>
              </w:rPr>
              <w:t>Non applicable</w:t>
            </w:r>
          </w:p>
        </w:tc>
        <w:tc>
          <w:tcPr>
            <w:tcW w:w="1985" w:type="dxa"/>
          </w:tcPr>
          <w:p w14:paraId="397669AB" w14:textId="77777777" w:rsidR="006A3093" w:rsidRPr="004E13E9" w:rsidRDefault="006A3093" w:rsidP="006A3093">
            <w:pPr>
              <w:widowControl w:val="0"/>
              <w:rPr>
                <w:rFonts w:ascii="Cambria" w:hAnsi="Cambria"/>
                <w:sz w:val="20"/>
                <w:szCs w:val="20"/>
              </w:rPr>
            </w:pPr>
            <w:r w:rsidRPr="004E13E9">
              <w:rPr>
                <w:rFonts w:ascii="Cambria" w:hAnsi="Cambria"/>
                <w:sz w:val="20"/>
                <w:szCs w:val="20"/>
              </w:rPr>
              <w:t>Non applicable</w:t>
            </w:r>
          </w:p>
        </w:tc>
        <w:tc>
          <w:tcPr>
            <w:tcW w:w="843" w:type="dxa"/>
          </w:tcPr>
          <w:p w14:paraId="0EC09E5D" w14:textId="77777777" w:rsidR="006A3093" w:rsidRPr="004E13E9" w:rsidRDefault="006A3093" w:rsidP="006A3093">
            <w:pPr>
              <w:widowControl w:val="0"/>
              <w:rPr>
                <w:rFonts w:ascii="Cambria" w:hAnsi="Cambria"/>
                <w:sz w:val="20"/>
                <w:szCs w:val="20"/>
              </w:rPr>
            </w:pPr>
          </w:p>
        </w:tc>
      </w:tr>
    </w:tbl>
    <w:p w14:paraId="15C3AAE6" w14:textId="77777777" w:rsidR="006A3093" w:rsidRPr="004E13E9" w:rsidRDefault="006A3093" w:rsidP="006A3093">
      <w:pPr>
        <w:widowControl w:val="0"/>
        <w:rPr>
          <w:rFonts w:eastAsia="MS Gothic" w:cs="Times New Roman"/>
          <w:b/>
          <w:lang w:val="fr-FR" w:eastAsia="fr-FR" w:bidi="fr-FR"/>
        </w:rPr>
      </w:pPr>
    </w:p>
    <w:p w14:paraId="0E8004C9" w14:textId="77777777" w:rsidR="006A3093" w:rsidRPr="004E13E9" w:rsidRDefault="006A3093" w:rsidP="006A3093">
      <w:pPr>
        <w:widowControl w:val="0"/>
        <w:rPr>
          <w:rFonts w:eastAsia="MS Gothic" w:cs="Times New Roman"/>
          <w:b/>
          <w:lang w:val="fr-FR" w:eastAsia="fr-FR" w:bidi="fr-FR"/>
        </w:rPr>
      </w:pPr>
    </w:p>
    <w:p w14:paraId="681E8633" w14:textId="77777777" w:rsidR="00A1495F" w:rsidRPr="004E13E9" w:rsidRDefault="00A1495F">
      <w:pPr>
        <w:rPr>
          <w:rFonts w:eastAsia="MS Gothic" w:cs="Times New Roman"/>
          <w:b/>
          <w:i/>
          <w:iCs/>
          <w:lang w:val="fr-FR" w:eastAsia="fr-FR" w:bidi="fr-FR"/>
        </w:rPr>
      </w:pPr>
      <w:r w:rsidRPr="004E13E9">
        <w:rPr>
          <w:rFonts w:eastAsia="MS Gothic" w:cs="Times New Roman"/>
          <w:b/>
          <w:i/>
          <w:iCs/>
          <w:lang w:val="fr-FR" w:eastAsia="fr-FR" w:bidi="fr-FR"/>
        </w:rPr>
        <w:br w:type="page"/>
      </w:r>
    </w:p>
    <w:p w14:paraId="60445495" w14:textId="2B9E047A" w:rsidR="006A3093" w:rsidRPr="004E13E9" w:rsidRDefault="006A3093" w:rsidP="006A3093">
      <w:pPr>
        <w:widowControl w:val="0"/>
        <w:rPr>
          <w:rFonts w:eastAsia="MS Gothic" w:cs="Times New Roman"/>
          <w:b/>
          <w:i/>
          <w:iCs/>
          <w:lang w:val="fr-FR" w:eastAsia="fr-FR" w:bidi="fr-FR"/>
        </w:rPr>
      </w:pPr>
      <w:r w:rsidRPr="004E13E9">
        <w:rPr>
          <w:rFonts w:eastAsia="MS Gothic" w:cs="Times New Roman"/>
          <w:b/>
          <w:i/>
          <w:iCs/>
          <w:lang w:val="fr-FR" w:eastAsia="fr-FR" w:bidi="fr-FR"/>
        </w:rPr>
        <w:t>1e) Ports désignés (paragraphe 80)</w:t>
      </w:r>
    </w:p>
    <w:p w14:paraId="386DAF7F" w14:textId="77777777" w:rsidR="006A3093" w:rsidRPr="004E13E9" w:rsidRDefault="006A3093" w:rsidP="006A3093">
      <w:pPr>
        <w:rPr>
          <w:rFonts w:eastAsia="Yu Mincho" w:cs="Times New Roman"/>
          <w:bCs/>
          <w:lang w:val="fr-FR" w:eastAsia="ja-JP"/>
        </w:rPr>
      </w:pPr>
    </w:p>
    <w:p w14:paraId="62F26D08" w14:textId="77777777" w:rsidR="006A3093" w:rsidRPr="004E13E9" w:rsidRDefault="006A3093" w:rsidP="006A3093">
      <w:pPr>
        <w:widowControl w:val="0"/>
        <w:rPr>
          <w:rFonts w:eastAsia="MS Gothic" w:cs="Times New Roman"/>
          <w:b/>
          <w:bCs/>
          <w:lang w:val="fr-FR" w:eastAsia="ja-JP" w:bidi="fr-FR"/>
        </w:rPr>
      </w:pPr>
      <w:r w:rsidRPr="004E13E9">
        <w:rPr>
          <w:rFonts w:eastAsia="MS Gothic" w:cs="Times New Roman"/>
          <w:b/>
          <w:bCs/>
          <w:lang w:val="fr-FR" w:eastAsia="ja-JP" w:bidi="fr-FR"/>
        </w:rPr>
        <w:t>Liste des ports nationaux à des fins de débarquement :</w:t>
      </w:r>
    </w:p>
    <w:p w14:paraId="094DBA34" w14:textId="77777777" w:rsidR="006A3093" w:rsidRPr="004E13E9" w:rsidRDefault="006A3093" w:rsidP="006A3093">
      <w:pPr>
        <w:widowControl w:val="0"/>
        <w:rPr>
          <w:rFonts w:eastAsia="MS Gothic" w:cs="Times New Roman"/>
          <w:b/>
          <w:bCs/>
          <w:lang w:val="fr-FR" w:eastAsia="ja-JP" w:bidi="fr-FR"/>
        </w:rPr>
      </w:pPr>
    </w:p>
    <w:tbl>
      <w:tblPr>
        <w:tblStyle w:val="TableGrid"/>
        <w:tblW w:w="0" w:type="auto"/>
        <w:tblLook w:val="04A0" w:firstRow="1" w:lastRow="0" w:firstColumn="1" w:lastColumn="0" w:noHBand="0" w:noVBand="1"/>
      </w:tblPr>
      <w:tblGrid>
        <w:gridCol w:w="453"/>
        <w:gridCol w:w="1527"/>
      </w:tblGrid>
      <w:tr w:rsidR="006A3093" w:rsidRPr="004E13E9" w14:paraId="42FD37B0" w14:textId="77777777" w:rsidTr="00BB4F69">
        <w:tc>
          <w:tcPr>
            <w:tcW w:w="453" w:type="dxa"/>
            <w:tcBorders>
              <w:top w:val="single" w:sz="4" w:space="0" w:color="auto"/>
              <w:left w:val="single" w:sz="4" w:space="0" w:color="auto"/>
              <w:bottom w:val="single" w:sz="4" w:space="0" w:color="auto"/>
              <w:right w:val="single" w:sz="4" w:space="0" w:color="auto"/>
            </w:tcBorders>
            <w:hideMark/>
          </w:tcPr>
          <w:p w14:paraId="05ED1EC2" w14:textId="77777777" w:rsidR="006A3093" w:rsidRPr="004E13E9" w:rsidRDefault="006A3093" w:rsidP="006A3093">
            <w:pPr>
              <w:widowControl w:val="0"/>
              <w:rPr>
                <w:rFonts w:ascii="Cambria" w:hAnsi="Cambria"/>
                <w:sz w:val="20"/>
                <w:szCs w:val="20"/>
                <w:lang w:val="en-GB" w:eastAsia="ja-JP"/>
              </w:rPr>
            </w:pPr>
            <w:r w:rsidRPr="004E13E9">
              <w:rPr>
                <w:rFonts w:ascii="Cambria" w:hAnsi="Cambria"/>
                <w:sz w:val="20"/>
                <w:szCs w:val="20"/>
                <w:lang w:val="en-GB" w:eastAsia="ja-JP"/>
              </w:rPr>
              <w:t>1</w:t>
            </w:r>
          </w:p>
        </w:tc>
        <w:tc>
          <w:tcPr>
            <w:tcW w:w="1527" w:type="dxa"/>
            <w:tcBorders>
              <w:top w:val="single" w:sz="4" w:space="0" w:color="auto"/>
              <w:left w:val="nil"/>
              <w:bottom w:val="single" w:sz="4" w:space="0" w:color="auto"/>
              <w:right w:val="single" w:sz="4" w:space="0" w:color="auto"/>
            </w:tcBorders>
            <w:vAlign w:val="bottom"/>
            <w:hideMark/>
          </w:tcPr>
          <w:p w14:paraId="74C19EFD" w14:textId="77777777" w:rsidR="006A3093" w:rsidRPr="004E13E9" w:rsidRDefault="006A3093" w:rsidP="006A3093">
            <w:pPr>
              <w:widowControl w:val="0"/>
              <w:rPr>
                <w:rFonts w:ascii="Cambria" w:hAnsi="Cambria"/>
                <w:sz w:val="20"/>
                <w:szCs w:val="20"/>
                <w:lang w:val="en-GB" w:eastAsia="ja-JP"/>
              </w:rPr>
            </w:pPr>
            <w:r w:rsidRPr="004E13E9">
              <w:rPr>
                <w:rFonts w:ascii="Cambria" w:hAnsi="Cambria"/>
                <w:sz w:val="20"/>
                <w:szCs w:val="20"/>
                <w:lang w:val="en-GB" w:eastAsia="ja-JP"/>
              </w:rPr>
              <w:t>Tokyo</w:t>
            </w:r>
          </w:p>
        </w:tc>
      </w:tr>
      <w:tr w:rsidR="006A3093" w:rsidRPr="004E13E9" w14:paraId="2AB5BBF5" w14:textId="77777777" w:rsidTr="00BB4F69">
        <w:tc>
          <w:tcPr>
            <w:tcW w:w="453" w:type="dxa"/>
            <w:tcBorders>
              <w:top w:val="single" w:sz="4" w:space="0" w:color="auto"/>
              <w:left w:val="single" w:sz="4" w:space="0" w:color="auto"/>
              <w:bottom w:val="single" w:sz="4" w:space="0" w:color="auto"/>
              <w:right w:val="single" w:sz="4" w:space="0" w:color="auto"/>
            </w:tcBorders>
            <w:hideMark/>
          </w:tcPr>
          <w:p w14:paraId="074E2472" w14:textId="77777777" w:rsidR="006A3093" w:rsidRPr="004E13E9" w:rsidRDefault="006A3093" w:rsidP="006A3093">
            <w:pPr>
              <w:widowControl w:val="0"/>
              <w:rPr>
                <w:rFonts w:ascii="Cambria" w:hAnsi="Cambria"/>
                <w:sz w:val="20"/>
                <w:szCs w:val="20"/>
                <w:lang w:val="en-GB" w:eastAsia="ja-JP"/>
              </w:rPr>
            </w:pPr>
            <w:r w:rsidRPr="004E13E9">
              <w:rPr>
                <w:rFonts w:ascii="Cambria" w:hAnsi="Cambria"/>
                <w:sz w:val="20"/>
                <w:szCs w:val="20"/>
                <w:lang w:val="en-GB" w:eastAsia="ja-JP"/>
              </w:rPr>
              <w:t>2</w:t>
            </w:r>
          </w:p>
        </w:tc>
        <w:tc>
          <w:tcPr>
            <w:tcW w:w="1527" w:type="dxa"/>
            <w:tcBorders>
              <w:top w:val="single" w:sz="4" w:space="0" w:color="auto"/>
              <w:left w:val="nil"/>
              <w:bottom w:val="single" w:sz="4" w:space="0" w:color="auto"/>
              <w:right w:val="single" w:sz="4" w:space="0" w:color="auto"/>
            </w:tcBorders>
            <w:vAlign w:val="bottom"/>
            <w:hideMark/>
          </w:tcPr>
          <w:p w14:paraId="5BD8E428" w14:textId="77777777" w:rsidR="006A3093" w:rsidRPr="004E13E9" w:rsidRDefault="006A3093" w:rsidP="006A3093">
            <w:pPr>
              <w:widowControl w:val="0"/>
              <w:rPr>
                <w:rFonts w:ascii="Cambria" w:hAnsi="Cambria"/>
                <w:sz w:val="20"/>
                <w:szCs w:val="20"/>
                <w:lang w:val="en-GB" w:eastAsia="ja-JP"/>
              </w:rPr>
            </w:pPr>
            <w:r w:rsidRPr="004E13E9">
              <w:rPr>
                <w:rFonts w:ascii="Cambria" w:hAnsi="Cambria"/>
                <w:sz w:val="20"/>
                <w:szCs w:val="20"/>
                <w:lang w:val="en-GB" w:eastAsia="ja-JP"/>
              </w:rPr>
              <w:t>Kawasaki</w:t>
            </w:r>
          </w:p>
        </w:tc>
      </w:tr>
      <w:tr w:rsidR="006A3093" w:rsidRPr="004E13E9" w14:paraId="4EB1FBA1" w14:textId="77777777" w:rsidTr="00BB4F69">
        <w:tc>
          <w:tcPr>
            <w:tcW w:w="453" w:type="dxa"/>
            <w:tcBorders>
              <w:top w:val="single" w:sz="4" w:space="0" w:color="auto"/>
              <w:left w:val="single" w:sz="4" w:space="0" w:color="auto"/>
              <w:bottom w:val="single" w:sz="4" w:space="0" w:color="auto"/>
              <w:right w:val="single" w:sz="4" w:space="0" w:color="auto"/>
            </w:tcBorders>
            <w:hideMark/>
          </w:tcPr>
          <w:p w14:paraId="18F86F49" w14:textId="77777777" w:rsidR="006A3093" w:rsidRPr="004E13E9" w:rsidRDefault="006A3093" w:rsidP="006A3093">
            <w:pPr>
              <w:widowControl w:val="0"/>
              <w:rPr>
                <w:rFonts w:ascii="Cambria" w:hAnsi="Cambria"/>
                <w:sz w:val="20"/>
                <w:szCs w:val="20"/>
                <w:lang w:val="en-GB" w:eastAsia="ja-JP"/>
              </w:rPr>
            </w:pPr>
            <w:r w:rsidRPr="004E13E9">
              <w:rPr>
                <w:rFonts w:ascii="Cambria" w:hAnsi="Cambria"/>
                <w:sz w:val="20"/>
                <w:szCs w:val="20"/>
                <w:lang w:val="en-GB" w:eastAsia="ja-JP"/>
              </w:rPr>
              <w:t>3</w:t>
            </w:r>
          </w:p>
        </w:tc>
        <w:tc>
          <w:tcPr>
            <w:tcW w:w="1527" w:type="dxa"/>
            <w:tcBorders>
              <w:top w:val="single" w:sz="4" w:space="0" w:color="auto"/>
              <w:left w:val="nil"/>
              <w:bottom w:val="single" w:sz="4" w:space="0" w:color="auto"/>
              <w:right w:val="single" w:sz="4" w:space="0" w:color="auto"/>
            </w:tcBorders>
            <w:vAlign w:val="bottom"/>
            <w:hideMark/>
          </w:tcPr>
          <w:p w14:paraId="0DD20FBA" w14:textId="77777777" w:rsidR="006A3093" w:rsidRPr="004E13E9" w:rsidRDefault="006A3093" w:rsidP="006A3093">
            <w:pPr>
              <w:widowControl w:val="0"/>
              <w:rPr>
                <w:rFonts w:ascii="Cambria" w:hAnsi="Cambria"/>
                <w:sz w:val="20"/>
                <w:szCs w:val="20"/>
                <w:lang w:val="en-GB" w:eastAsia="ja-JP"/>
              </w:rPr>
            </w:pPr>
            <w:r w:rsidRPr="004E13E9">
              <w:rPr>
                <w:rFonts w:ascii="Cambria" w:hAnsi="Cambria"/>
                <w:sz w:val="20"/>
                <w:szCs w:val="20"/>
                <w:lang w:val="en-GB" w:eastAsia="ja-JP"/>
              </w:rPr>
              <w:t>Yokohama</w:t>
            </w:r>
          </w:p>
        </w:tc>
      </w:tr>
      <w:tr w:rsidR="006A3093" w:rsidRPr="004E13E9" w14:paraId="35D52DA7" w14:textId="77777777" w:rsidTr="00BB4F69">
        <w:tc>
          <w:tcPr>
            <w:tcW w:w="453" w:type="dxa"/>
            <w:tcBorders>
              <w:top w:val="single" w:sz="4" w:space="0" w:color="auto"/>
              <w:left w:val="single" w:sz="4" w:space="0" w:color="auto"/>
              <w:bottom w:val="single" w:sz="4" w:space="0" w:color="auto"/>
              <w:right w:val="single" w:sz="4" w:space="0" w:color="auto"/>
            </w:tcBorders>
            <w:hideMark/>
          </w:tcPr>
          <w:p w14:paraId="1D0F3E03" w14:textId="77777777" w:rsidR="006A3093" w:rsidRPr="004E13E9" w:rsidRDefault="006A3093" w:rsidP="006A3093">
            <w:pPr>
              <w:widowControl w:val="0"/>
              <w:rPr>
                <w:rFonts w:ascii="Cambria" w:hAnsi="Cambria"/>
                <w:sz w:val="20"/>
                <w:szCs w:val="20"/>
                <w:lang w:val="en-GB" w:eastAsia="ja-JP"/>
              </w:rPr>
            </w:pPr>
            <w:r w:rsidRPr="004E13E9">
              <w:rPr>
                <w:rFonts w:ascii="Cambria" w:hAnsi="Cambria"/>
                <w:sz w:val="20"/>
                <w:szCs w:val="20"/>
                <w:lang w:val="en-GB" w:eastAsia="ja-JP"/>
              </w:rPr>
              <w:t>4</w:t>
            </w:r>
          </w:p>
        </w:tc>
        <w:tc>
          <w:tcPr>
            <w:tcW w:w="1527" w:type="dxa"/>
            <w:tcBorders>
              <w:top w:val="single" w:sz="4" w:space="0" w:color="auto"/>
              <w:left w:val="nil"/>
              <w:bottom w:val="single" w:sz="4" w:space="0" w:color="auto"/>
              <w:right w:val="single" w:sz="4" w:space="0" w:color="auto"/>
            </w:tcBorders>
            <w:vAlign w:val="bottom"/>
            <w:hideMark/>
          </w:tcPr>
          <w:p w14:paraId="6CCAA97E" w14:textId="77777777" w:rsidR="006A3093" w:rsidRPr="004E13E9" w:rsidRDefault="006A3093" w:rsidP="006A3093">
            <w:pPr>
              <w:widowControl w:val="0"/>
              <w:rPr>
                <w:rFonts w:ascii="Cambria" w:hAnsi="Cambria"/>
                <w:sz w:val="20"/>
                <w:szCs w:val="20"/>
                <w:lang w:val="en-GB" w:eastAsia="ja-JP"/>
              </w:rPr>
            </w:pPr>
            <w:r w:rsidRPr="004E13E9">
              <w:rPr>
                <w:rFonts w:ascii="Cambria" w:hAnsi="Cambria"/>
                <w:sz w:val="20"/>
                <w:szCs w:val="20"/>
                <w:lang w:val="en-GB" w:eastAsia="ja-JP"/>
              </w:rPr>
              <w:t>Yokosuka</w:t>
            </w:r>
          </w:p>
        </w:tc>
      </w:tr>
      <w:tr w:rsidR="006A3093" w:rsidRPr="004E13E9" w14:paraId="4E5D73D7" w14:textId="77777777" w:rsidTr="00BB4F69">
        <w:tc>
          <w:tcPr>
            <w:tcW w:w="453" w:type="dxa"/>
            <w:tcBorders>
              <w:top w:val="single" w:sz="4" w:space="0" w:color="auto"/>
              <w:left w:val="single" w:sz="4" w:space="0" w:color="auto"/>
              <w:bottom w:val="single" w:sz="4" w:space="0" w:color="auto"/>
              <w:right w:val="single" w:sz="4" w:space="0" w:color="auto"/>
            </w:tcBorders>
            <w:hideMark/>
          </w:tcPr>
          <w:p w14:paraId="4E452247" w14:textId="77777777" w:rsidR="006A3093" w:rsidRPr="004E13E9" w:rsidRDefault="006A3093" w:rsidP="006A3093">
            <w:pPr>
              <w:widowControl w:val="0"/>
              <w:rPr>
                <w:rFonts w:ascii="Cambria" w:hAnsi="Cambria"/>
                <w:sz w:val="20"/>
                <w:szCs w:val="20"/>
                <w:lang w:val="en-GB" w:eastAsia="ja-JP"/>
              </w:rPr>
            </w:pPr>
            <w:r w:rsidRPr="004E13E9">
              <w:rPr>
                <w:rFonts w:ascii="Cambria" w:hAnsi="Cambria"/>
                <w:sz w:val="20"/>
                <w:szCs w:val="20"/>
                <w:lang w:val="en-GB" w:eastAsia="ja-JP"/>
              </w:rPr>
              <w:t>5</w:t>
            </w:r>
          </w:p>
        </w:tc>
        <w:tc>
          <w:tcPr>
            <w:tcW w:w="1527" w:type="dxa"/>
            <w:tcBorders>
              <w:top w:val="single" w:sz="4" w:space="0" w:color="auto"/>
              <w:left w:val="nil"/>
              <w:bottom w:val="single" w:sz="4" w:space="0" w:color="auto"/>
              <w:right w:val="single" w:sz="4" w:space="0" w:color="auto"/>
            </w:tcBorders>
            <w:vAlign w:val="bottom"/>
            <w:hideMark/>
          </w:tcPr>
          <w:p w14:paraId="4D40E9FD" w14:textId="77777777" w:rsidR="006A3093" w:rsidRPr="004E13E9" w:rsidRDefault="006A3093" w:rsidP="006A3093">
            <w:pPr>
              <w:widowControl w:val="0"/>
              <w:rPr>
                <w:rFonts w:ascii="Cambria" w:hAnsi="Cambria"/>
                <w:sz w:val="20"/>
                <w:szCs w:val="20"/>
                <w:lang w:val="en-GB" w:eastAsia="ja-JP"/>
              </w:rPr>
            </w:pPr>
            <w:r w:rsidRPr="004E13E9">
              <w:rPr>
                <w:rFonts w:ascii="Cambria" w:hAnsi="Cambria"/>
                <w:sz w:val="20"/>
                <w:szCs w:val="20"/>
                <w:lang w:val="en-GB" w:eastAsia="ja-JP"/>
              </w:rPr>
              <w:t>Misaki</w:t>
            </w:r>
          </w:p>
        </w:tc>
      </w:tr>
      <w:tr w:rsidR="006A3093" w:rsidRPr="004E13E9" w14:paraId="1634A570" w14:textId="77777777" w:rsidTr="00BB4F69">
        <w:tc>
          <w:tcPr>
            <w:tcW w:w="453" w:type="dxa"/>
            <w:tcBorders>
              <w:top w:val="single" w:sz="4" w:space="0" w:color="auto"/>
              <w:left w:val="single" w:sz="4" w:space="0" w:color="auto"/>
              <w:bottom w:val="single" w:sz="4" w:space="0" w:color="auto"/>
              <w:right w:val="single" w:sz="4" w:space="0" w:color="auto"/>
            </w:tcBorders>
            <w:hideMark/>
          </w:tcPr>
          <w:p w14:paraId="7231CC47" w14:textId="77777777" w:rsidR="006A3093" w:rsidRPr="004E13E9" w:rsidRDefault="006A3093" w:rsidP="006A3093">
            <w:pPr>
              <w:widowControl w:val="0"/>
              <w:rPr>
                <w:rFonts w:ascii="Cambria" w:hAnsi="Cambria"/>
                <w:sz w:val="20"/>
                <w:szCs w:val="20"/>
                <w:lang w:val="en-GB" w:eastAsia="ja-JP"/>
              </w:rPr>
            </w:pPr>
            <w:r w:rsidRPr="004E13E9">
              <w:rPr>
                <w:rFonts w:ascii="Cambria" w:hAnsi="Cambria"/>
                <w:sz w:val="20"/>
                <w:szCs w:val="20"/>
                <w:lang w:val="en-GB" w:eastAsia="ja-JP"/>
              </w:rPr>
              <w:t>6</w:t>
            </w:r>
          </w:p>
        </w:tc>
        <w:tc>
          <w:tcPr>
            <w:tcW w:w="1527" w:type="dxa"/>
            <w:tcBorders>
              <w:top w:val="single" w:sz="4" w:space="0" w:color="auto"/>
              <w:left w:val="nil"/>
              <w:bottom w:val="single" w:sz="4" w:space="0" w:color="auto"/>
              <w:right w:val="single" w:sz="4" w:space="0" w:color="auto"/>
            </w:tcBorders>
            <w:vAlign w:val="bottom"/>
            <w:hideMark/>
          </w:tcPr>
          <w:p w14:paraId="7B76C370" w14:textId="77777777" w:rsidR="006A3093" w:rsidRPr="004E13E9" w:rsidRDefault="006A3093" w:rsidP="006A3093">
            <w:pPr>
              <w:widowControl w:val="0"/>
              <w:rPr>
                <w:rFonts w:ascii="Cambria" w:hAnsi="Cambria"/>
                <w:sz w:val="20"/>
                <w:szCs w:val="20"/>
                <w:lang w:val="en-GB" w:eastAsia="ja-JP"/>
              </w:rPr>
            </w:pPr>
            <w:r w:rsidRPr="004E13E9">
              <w:rPr>
                <w:rFonts w:ascii="Cambria" w:hAnsi="Cambria"/>
                <w:sz w:val="20"/>
                <w:szCs w:val="20"/>
                <w:lang w:val="en-GB" w:eastAsia="ja-JP"/>
              </w:rPr>
              <w:t>Shimizu</w:t>
            </w:r>
          </w:p>
        </w:tc>
      </w:tr>
      <w:tr w:rsidR="006A3093" w:rsidRPr="004E13E9" w14:paraId="3D6013F3" w14:textId="77777777" w:rsidTr="00BB4F69">
        <w:tc>
          <w:tcPr>
            <w:tcW w:w="453" w:type="dxa"/>
            <w:tcBorders>
              <w:top w:val="single" w:sz="4" w:space="0" w:color="auto"/>
              <w:left w:val="single" w:sz="4" w:space="0" w:color="auto"/>
              <w:bottom w:val="single" w:sz="4" w:space="0" w:color="auto"/>
              <w:right w:val="single" w:sz="4" w:space="0" w:color="auto"/>
            </w:tcBorders>
            <w:hideMark/>
          </w:tcPr>
          <w:p w14:paraId="7CBB7600" w14:textId="77777777" w:rsidR="006A3093" w:rsidRPr="004E13E9" w:rsidRDefault="006A3093" w:rsidP="006A3093">
            <w:pPr>
              <w:widowControl w:val="0"/>
              <w:rPr>
                <w:rFonts w:ascii="Cambria" w:hAnsi="Cambria"/>
                <w:sz w:val="20"/>
                <w:szCs w:val="20"/>
                <w:lang w:val="en-GB" w:eastAsia="ja-JP"/>
              </w:rPr>
            </w:pPr>
            <w:r w:rsidRPr="004E13E9">
              <w:rPr>
                <w:rFonts w:ascii="Cambria" w:hAnsi="Cambria"/>
                <w:sz w:val="20"/>
                <w:szCs w:val="20"/>
                <w:lang w:val="en-GB" w:eastAsia="ja-JP"/>
              </w:rPr>
              <w:t>7</w:t>
            </w:r>
          </w:p>
        </w:tc>
        <w:tc>
          <w:tcPr>
            <w:tcW w:w="1527" w:type="dxa"/>
            <w:tcBorders>
              <w:top w:val="single" w:sz="4" w:space="0" w:color="auto"/>
              <w:left w:val="nil"/>
              <w:bottom w:val="single" w:sz="4" w:space="0" w:color="auto"/>
              <w:right w:val="single" w:sz="4" w:space="0" w:color="auto"/>
            </w:tcBorders>
            <w:vAlign w:val="bottom"/>
            <w:hideMark/>
          </w:tcPr>
          <w:p w14:paraId="3EAAE6AB" w14:textId="77777777" w:rsidR="006A3093" w:rsidRPr="004E13E9" w:rsidRDefault="006A3093" w:rsidP="006A3093">
            <w:pPr>
              <w:widowControl w:val="0"/>
              <w:rPr>
                <w:rFonts w:ascii="Cambria" w:hAnsi="Cambria"/>
                <w:sz w:val="20"/>
                <w:szCs w:val="20"/>
                <w:lang w:val="en-GB" w:eastAsia="ja-JP"/>
              </w:rPr>
            </w:pPr>
            <w:proofErr w:type="spellStart"/>
            <w:r w:rsidRPr="004E13E9">
              <w:rPr>
                <w:rFonts w:ascii="Cambria" w:hAnsi="Cambria"/>
                <w:sz w:val="20"/>
                <w:szCs w:val="20"/>
                <w:lang w:val="en-GB" w:eastAsia="ja-JP"/>
              </w:rPr>
              <w:t>Oigawa</w:t>
            </w:r>
            <w:proofErr w:type="spellEnd"/>
          </w:p>
        </w:tc>
      </w:tr>
      <w:tr w:rsidR="006A3093" w:rsidRPr="004E13E9" w14:paraId="36B9B3D9" w14:textId="77777777" w:rsidTr="00BB4F69">
        <w:tc>
          <w:tcPr>
            <w:tcW w:w="453" w:type="dxa"/>
            <w:tcBorders>
              <w:top w:val="single" w:sz="4" w:space="0" w:color="auto"/>
              <w:left w:val="single" w:sz="4" w:space="0" w:color="auto"/>
              <w:bottom w:val="single" w:sz="4" w:space="0" w:color="auto"/>
              <w:right w:val="single" w:sz="4" w:space="0" w:color="auto"/>
            </w:tcBorders>
            <w:hideMark/>
          </w:tcPr>
          <w:p w14:paraId="29EA2559" w14:textId="77777777" w:rsidR="006A3093" w:rsidRPr="004E13E9" w:rsidRDefault="006A3093" w:rsidP="006A3093">
            <w:pPr>
              <w:widowControl w:val="0"/>
              <w:rPr>
                <w:rFonts w:ascii="Cambria" w:hAnsi="Cambria"/>
                <w:sz w:val="20"/>
                <w:szCs w:val="20"/>
                <w:lang w:val="en-GB" w:eastAsia="ja-JP"/>
              </w:rPr>
            </w:pPr>
            <w:r w:rsidRPr="004E13E9">
              <w:rPr>
                <w:rFonts w:ascii="Cambria" w:hAnsi="Cambria"/>
                <w:sz w:val="20"/>
                <w:szCs w:val="20"/>
                <w:lang w:val="en-GB" w:eastAsia="ja-JP"/>
              </w:rPr>
              <w:t>8</w:t>
            </w:r>
          </w:p>
        </w:tc>
        <w:tc>
          <w:tcPr>
            <w:tcW w:w="1527" w:type="dxa"/>
            <w:tcBorders>
              <w:top w:val="single" w:sz="4" w:space="0" w:color="auto"/>
              <w:left w:val="nil"/>
              <w:bottom w:val="single" w:sz="4" w:space="0" w:color="auto"/>
              <w:right w:val="single" w:sz="4" w:space="0" w:color="auto"/>
            </w:tcBorders>
            <w:vAlign w:val="bottom"/>
            <w:hideMark/>
          </w:tcPr>
          <w:p w14:paraId="16A79988" w14:textId="77777777" w:rsidR="006A3093" w:rsidRPr="004E13E9" w:rsidRDefault="006A3093" w:rsidP="006A3093">
            <w:pPr>
              <w:widowControl w:val="0"/>
              <w:rPr>
                <w:rFonts w:ascii="Cambria" w:hAnsi="Cambria"/>
                <w:sz w:val="20"/>
                <w:szCs w:val="20"/>
                <w:lang w:val="en-GB" w:eastAsia="ja-JP"/>
              </w:rPr>
            </w:pPr>
            <w:proofErr w:type="spellStart"/>
            <w:r w:rsidRPr="004E13E9">
              <w:rPr>
                <w:rFonts w:ascii="Cambria" w:hAnsi="Cambria"/>
                <w:sz w:val="20"/>
                <w:szCs w:val="20"/>
                <w:lang w:val="en-GB" w:eastAsia="ja-JP"/>
              </w:rPr>
              <w:t>Yaizu</w:t>
            </w:r>
            <w:proofErr w:type="spellEnd"/>
          </w:p>
        </w:tc>
      </w:tr>
      <w:tr w:rsidR="006A3093" w:rsidRPr="004E13E9" w14:paraId="4871C7FB" w14:textId="77777777" w:rsidTr="00BB4F69">
        <w:tc>
          <w:tcPr>
            <w:tcW w:w="453" w:type="dxa"/>
            <w:tcBorders>
              <w:top w:val="single" w:sz="4" w:space="0" w:color="auto"/>
              <w:left w:val="single" w:sz="4" w:space="0" w:color="auto"/>
              <w:bottom w:val="single" w:sz="4" w:space="0" w:color="auto"/>
              <w:right w:val="single" w:sz="4" w:space="0" w:color="auto"/>
            </w:tcBorders>
            <w:hideMark/>
          </w:tcPr>
          <w:p w14:paraId="0D356394" w14:textId="77777777" w:rsidR="006A3093" w:rsidRPr="004E13E9" w:rsidRDefault="006A3093" w:rsidP="006A3093">
            <w:pPr>
              <w:widowControl w:val="0"/>
              <w:rPr>
                <w:rFonts w:ascii="Cambria" w:hAnsi="Cambria"/>
                <w:sz w:val="20"/>
                <w:szCs w:val="20"/>
                <w:lang w:val="en-GB" w:eastAsia="ja-JP"/>
              </w:rPr>
            </w:pPr>
            <w:r w:rsidRPr="004E13E9">
              <w:rPr>
                <w:rFonts w:ascii="Cambria" w:hAnsi="Cambria"/>
                <w:sz w:val="20"/>
                <w:szCs w:val="20"/>
                <w:lang w:val="en-GB" w:eastAsia="ja-JP"/>
              </w:rPr>
              <w:t>9</w:t>
            </w:r>
          </w:p>
        </w:tc>
        <w:tc>
          <w:tcPr>
            <w:tcW w:w="1527" w:type="dxa"/>
            <w:tcBorders>
              <w:top w:val="single" w:sz="4" w:space="0" w:color="auto"/>
              <w:left w:val="nil"/>
              <w:bottom w:val="single" w:sz="4" w:space="0" w:color="auto"/>
              <w:right w:val="single" w:sz="4" w:space="0" w:color="auto"/>
            </w:tcBorders>
            <w:vAlign w:val="bottom"/>
            <w:hideMark/>
          </w:tcPr>
          <w:p w14:paraId="5439CCC7" w14:textId="77777777" w:rsidR="006A3093" w:rsidRPr="004E13E9" w:rsidRDefault="006A3093" w:rsidP="006A3093">
            <w:pPr>
              <w:widowControl w:val="0"/>
              <w:rPr>
                <w:rFonts w:ascii="Cambria" w:hAnsi="Cambria"/>
                <w:sz w:val="20"/>
                <w:szCs w:val="20"/>
                <w:lang w:val="en-GB" w:eastAsia="ja-JP"/>
              </w:rPr>
            </w:pPr>
            <w:proofErr w:type="spellStart"/>
            <w:r w:rsidRPr="004E13E9">
              <w:rPr>
                <w:rFonts w:ascii="Cambria" w:hAnsi="Cambria"/>
                <w:sz w:val="20"/>
                <w:szCs w:val="20"/>
                <w:lang w:val="en-GB" w:eastAsia="ja-JP"/>
              </w:rPr>
              <w:t>Kesennuma</w:t>
            </w:r>
            <w:proofErr w:type="spellEnd"/>
          </w:p>
        </w:tc>
      </w:tr>
      <w:tr w:rsidR="006A3093" w:rsidRPr="004E13E9" w14:paraId="2A2E13DC" w14:textId="77777777" w:rsidTr="00BB4F69">
        <w:tc>
          <w:tcPr>
            <w:tcW w:w="453" w:type="dxa"/>
            <w:tcBorders>
              <w:top w:val="single" w:sz="4" w:space="0" w:color="auto"/>
              <w:left w:val="single" w:sz="4" w:space="0" w:color="auto"/>
              <w:bottom w:val="single" w:sz="4" w:space="0" w:color="auto"/>
              <w:right w:val="single" w:sz="4" w:space="0" w:color="auto"/>
            </w:tcBorders>
            <w:hideMark/>
          </w:tcPr>
          <w:p w14:paraId="5011D248" w14:textId="77777777" w:rsidR="006A3093" w:rsidRPr="004E13E9" w:rsidRDefault="006A3093" w:rsidP="006A3093">
            <w:pPr>
              <w:widowControl w:val="0"/>
              <w:rPr>
                <w:rFonts w:ascii="Cambria" w:hAnsi="Cambria"/>
                <w:sz w:val="20"/>
                <w:szCs w:val="20"/>
                <w:lang w:val="en-GB" w:eastAsia="ja-JP"/>
              </w:rPr>
            </w:pPr>
            <w:r w:rsidRPr="004E13E9">
              <w:rPr>
                <w:rFonts w:ascii="Cambria" w:hAnsi="Cambria"/>
                <w:sz w:val="20"/>
                <w:szCs w:val="20"/>
                <w:lang w:val="en-GB" w:eastAsia="ja-JP"/>
              </w:rPr>
              <w:t>10</w:t>
            </w:r>
          </w:p>
        </w:tc>
        <w:tc>
          <w:tcPr>
            <w:tcW w:w="1527" w:type="dxa"/>
            <w:tcBorders>
              <w:top w:val="single" w:sz="4" w:space="0" w:color="auto"/>
              <w:left w:val="nil"/>
              <w:bottom w:val="single" w:sz="4" w:space="0" w:color="auto"/>
              <w:right w:val="single" w:sz="4" w:space="0" w:color="auto"/>
            </w:tcBorders>
            <w:vAlign w:val="bottom"/>
            <w:hideMark/>
          </w:tcPr>
          <w:p w14:paraId="56BCF5C9" w14:textId="77777777" w:rsidR="006A3093" w:rsidRPr="004E13E9" w:rsidRDefault="006A3093" w:rsidP="006A3093">
            <w:pPr>
              <w:widowControl w:val="0"/>
              <w:rPr>
                <w:rFonts w:ascii="Cambria" w:hAnsi="Cambria"/>
                <w:sz w:val="20"/>
                <w:szCs w:val="20"/>
                <w:lang w:val="en-GB" w:eastAsia="ja-JP"/>
              </w:rPr>
            </w:pPr>
            <w:proofErr w:type="spellStart"/>
            <w:r w:rsidRPr="004E13E9">
              <w:rPr>
                <w:rFonts w:ascii="Cambria" w:hAnsi="Cambria"/>
                <w:sz w:val="20"/>
                <w:szCs w:val="20"/>
                <w:lang w:val="en-GB" w:eastAsia="ja-JP"/>
              </w:rPr>
              <w:t>Kushikino</w:t>
            </w:r>
            <w:proofErr w:type="spellEnd"/>
          </w:p>
        </w:tc>
      </w:tr>
    </w:tbl>
    <w:p w14:paraId="44BCB1B8" w14:textId="77777777" w:rsidR="006A3093" w:rsidRPr="004E13E9" w:rsidRDefault="006A3093" w:rsidP="006A3093">
      <w:pPr>
        <w:widowControl w:val="0"/>
        <w:rPr>
          <w:rFonts w:eastAsia="MS Gothic" w:cs="Times New Roman"/>
          <w:b/>
          <w:bCs/>
          <w:lang w:val="en-GB" w:eastAsia="ja-JP" w:bidi="fr-FR"/>
        </w:rPr>
      </w:pPr>
    </w:p>
    <w:p w14:paraId="15FAAEAC" w14:textId="77777777" w:rsidR="006A3093" w:rsidRPr="004E13E9" w:rsidRDefault="006A3093" w:rsidP="006A3093">
      <w:pPr>
        <w:widowControl w:val="0"/>
        <w:rPr>
          <w:rFonts w:eastAsia="MS Gothic" w:cs="Times New Roman"/>
          <w:b/>
          <w:bCs/>
          <w:lang w:val="fr-FR" w:eastAsia="ja-JP" w:bidi="fr-FR"/>
        </w:rPr>
      </w:pPr>
      <w:r w:rsidRPr="004E13E9">
        <w:rPr>
          <w:rFonts w:eastAsia="MS Gothic" w:cs="Times New Roman"/>
          <w:b/>
          <w:bCs/>
          <w:lang w:val="fr-FR" w:eastAsia="ja-JP" w:bidi="fr-FR"/>
        </w:rPr>
        <w:t>Liste des ports de pays tiers à des fins de transbordement :</w:t>
      </w:r>
    </w:p>
    <w:p w14:paraId="4D0BB342" w14:textId="77777777" w:rsidR="006A3093" w:rsidRPr="004E13E9" w:rsidRDefault="006A3093" w:rsidP="006A3093">
      <w:pPr>
        <w:widowControl w:val="0"/>
        <w:rPr>
          <w:rFonts w:eastAsia="MS Gothic" w:cs="Times New Roman"/>
          <w:b/>
          <w:bCs/>
          <w:lang w:val="fr-FR" w:eastAsia="ja-JP" w:bidi="fr-FR"/>
        </w:rPr>
      </w:pPr>
    </w:p>
    <w:tbl>
      <w:tblPr>
        <w:tblW w:w="5167" w:type="dxa"/>
        <w:tblInd w:w="-5" w:type="dxa"/>
        <w:tblCellMar>
          <w:left w:w="99" w:type="dxa"/>
          <w:right w:w="99" w:type="dxa"/>
        </w:tblCellMar>
        <w:tblLook w:val="04A0" w:firstRow="1" w:lastRow="0" w:firstColumn="1" w:lastColumn="0" w:noHBand="0" w:noVBand="1"/>
      </w:tblPr>
      <w:tblGrid>
        <w:gridCol w:w="1032"/>
        <w:gridCol w:w="2009"/>
        <w:gridCol w:w="2126"/>
      </w:tblGrid>
      <w:tr w:rsidR="006A3093" w:rsidRPr="004E13E9" w14:paraId="680FF4C4" w14:textId="77777777" w:rsidTr="00BB4F69">
        <w:trPr>
          <w:trHeight w:val="240"/>
        </w:trPr>
        <w:tc>
          <w:tcPr>
            <w:tcW w:w="1032" w:type="dxa"/>
            <w:tcBorders>
              <w:top w:val="single" w:sz="4" w:space="0" w:color="auto"/>
              <w:left w:val="single" w:sz="4" w:space="0" w:color="auto"/>
              <w:bottom w:val="single" w:sz="4" w:space="0" w:color="auto"/>
              <w:right w:val="single" w:sz="4" w:space="0" w:color="auto"/>
            </w:tcBorders>
          </w:tcPr>
          <w:p w14:paraId="54E8BC59" w14:textId="77777777" w:rsidR="006A3093" w:rsidRPr="004E13E9" w:rsidRDefault="006A3093" w:rsidP="006A3093">
            <w:pPr>
              <w:widowControl w:val="0"/>
              <w:rPr>
                <w:rFonts w:eastAsia="MS Gothic" w:cs="Times New Roman"/>
                <w:lang w:val="fr-FR" w:eastAsia="ja-JP" w:bidi="fr-FR"/>
              </w:rPr>
            </w:pPr>
          </w:p>
        </w:tc>
        <w:tc>
          <w:tcPr>
            <w:tcW w:w="2009" w:type="dxa"/>
            <w:tcBorders>
              <w:top w:val="single" w:sz="4" w:space="0" w:color="auto"/>
              <w:left w:val="single" w:sz="4" w:space="0" w:color="auto"/>
              <w:bottom w:val="single" w:sz="4" w:space="0" w:color="auto"/>
              <w:right w:val="single" w:sz="4" w:space="0" w:color="auto"/>
            </w:tcBorders>
            <w:noWrap/>
            <w:vAlign w:val="center"/>
            <w:hideMark/>
          </w:tcPr>
          <w:p w14:paraId="7F8E8635" w14:textId="77777777" w:rsidR="006A3093" w:rsidRPr="004E13E9" w:rsidRDefault="006A3093" w:rsidP="006A3093">
            <w:pPr>
              <w:widowControl w:val="0"/>
              <w:rPr>
                <w:rFonts w:eastAsia="MS Gothic" w:cs="Times New Roman"/>
                <w:b/>
                <w:bCs/>
                <w:lang w:eastAsia="ja-JP" w:bidi="fr-FR"/>
              </w:rPr>
            </w:pPr>
            <w:r w:rsidRPr="004E13E9">
              <w:rPr>
                <w:rFonts w:eastAsia="MS Gothic" w:cs="Times New Roman"/>
                <w:b/>
                <w:bCs/>
                <w:lang w:val="en-GB" w:eastAsia="ja-JP" w:bidi="fr-FR"/>
              </w:rPr>
              <w:t>Pays</w:t>
            </w:r>
          </w:p>
        </w:tc>
        <w:tc>
          <w:tcPr>
            <w:tcW w:w="2126" w:type="dxa"/>
            <w:tcBorders>
              <w:top w:val="single" w:sz="4" w:space="0" w:color="auto"/>
              <w:left w:val="nil"/>
              <w:bottom w:val="single" w:sz="4" w:space="0" w:color="auto"/>
              <w:right w:val="single" w:sz="4" w:space="0" w:color="auto"/>
            </w:tcBorders>
            <w:noWrap/>
            <w:vAlign w:val="center"/>
            <w:hideMark/>
          </w:tcPr>
          <w:p w14:paraId="19BFA454" w14:textId="77777777" w:rsidR="006A3093" w:rsidRPr="004E13E9" w:rsidRDefault="006A3093" w:rsidP="006A3093">
            <w:pPr>
              <w:widowControl w:val="0"/>
              <w:rPr>
                <w:rFonts w:eastAsia="MS Gothic" w:cs="Times New Roman"/>
                <w:b/>
                <w:bCs/>
                <w:lang w:eastAsia="ja-JP" w:bidi="fr-FR"/>
              </w:rPr>
            </w:pPr>
            <w:r w:rsidRPr="004E13E9">
              <w:rPr>
                <w:rFonts w:eastAsia="MS Gothic" w:cs="Times New Roman"/>
                <w:b/>
                <w:bCs/>
                <w:lang w:val="en-GB" w:eastAsia="ja-JP" w:bidi="fr-FR"/>
              </w:rPr>
              <w:t>Port</w:t>
            </w:r>
          </w:p>
        </w:tc>
      </w:tr>
      <w:tr w:rsidR="006A3093" w:rsidRPr="004E13E9" w14:paraId="65597D3D" w14:textId="77777777" w:rsidTr="00BB4F69">
        <w:trPr>
          <w:trHeight w:val="240"/>
        </w:trPr>
        <w:tc>
          <w:tcPr>
            <w:tcW w:w="1032" w:type="dxa"/>
            <w:tcBorders>
              <w:top w:val="nil"/>
              <w:left w:val="single" w:sz="4" w:space="0" w:color="auto"/>
              <w:bottom w:val="single" w:sz="4" w:space="0" w:color="auto"/>
              <w:right w:val="single" w:sz="4" w:space="0" w:color="auto"/>
            </w:tcBorders>
            <w:hideMark/>
          </w:tcPr>
          <w:p w14:paraId="472E03A1" w14:textId="77777777" w:rsidR="006A3093" w:rsidRPr="004E13E9" w:rsidRDefault="006A3093" w:rsidP="006A3093">
            <w:pPr>
              <w:widowControl w:val="0"/>
              <w:rPr>
                <w:rFonts w:eastAsia="MS Gothic" w:cs="Times New Roman"/>
                <w:lang w:val="en-GB" w:eastAsia="ja-JP" w:bidi="fr-FR"/>
              </w:rPr>
            </w:pPr>
            <w:r w:rsidRPr="004E13E9">
              <w:rPr>
                <w:rFonts w:eastAsia="MS Gothic" w:cs="Times New Roman"/>
                <w:lang w:val="en-GB" w:eastAsia="ja-JP" w:bidi="fr-FR"/>
              </w:rPr>
              <w:t>1</w:t>
            </w:r>
          </w:p>
        </w:tc>
        <w:tc>
          <w:tcPr>
            <w:tcW w:w="2009" w:type="dxa"/>
            <w:tcBorders>
              <w:top w:val="nil"/>
              <w:left w:val="single" w:sz="4" w:space="0" w:color="auto"/>
              <w:bottom w:val="single" w:sz="4" w:space="0" w:color="auto"/>
              <w:right w:val="single" w:sz="4" w:space="0" w:color="auto"/>
            </w:tcBorders>
            <w:noWrap/>
            <w:vAlign w:val="center"/>
            <w:hideMark/>
          </w:tcPr>
          <w:p w14:paraId="4B4E1E11" w14:textId="77777777" w:rsidR="006A3093" w:rsidRPr="004E13E9" w:rsidRDefault="006A3093" w:rsidP="006A3093">
            <w:pPr>
              <w:widowControl w:val="0"/>
              <w:rPr>
                <w:rFonts w:eastAsia="MS Gothic" w:cs="Times New Roman"/>
                <w:lang w:eastAsia="ja-JP" w:bidi="fr-FR"/>
              </w:rPr>
            </w:pPr>
            <w:r w:rsidRPr="004E13E9">
              <w:rPr>
                <w:rFonts w:eastAsia="MS Gothic" w:cs="Times New Roman"/>
                <w:lang w:val="en-GB" w:eastAsia="ja-JP" w:bidi="fr-FR"/>
              </w:rPr>
              <w:t>Cabo Verde</w:t>
            </w:r>
          </w:p>
        </w:tc>
        <w:tc>
          <w:tcPr>
            <w:tcW w:w="2126" w:type="dxa"/>
            <w:tcBorders>
              <w:top w:val="nil"/>
              <w:left w:val="nil"/>
              <w:bottom w:val="single" w:sz="4" w:space="0" w:color="auto"/>
              <w:right w:val="single" w:sz="4" w:space="0" w:color="auto"/>
            </w:tcBorders>
            <w:noWrap/>
            <w:vAlign w:val="center"/>
            <w:hideMark/>
          </w:tcPr>
          <w:p w14:paraId="0EE43F35" w14:textId="77777777" w:rsidR="006A3093" w:rsidRPr="004E13E9" w:rsidRDefault="006A3093" w:rsidP="006A3093">
            <w:pPr>
              <w:widowControl w:val="0"/>
              <w:rPr>
                <w:rFonts w:eastAsia="MS Gothic" w:cs="Times New Roman"/>
                <w:lang w:eastAsia="ja-JP" w:bidi="fr-FR"/>
              </w:rPr>
            </w:pPr>
            <w:r w:rsidRPr="004E13E9">
              <w:rPr>
                <w:rFonts w:eastAsia="MS Gothic" w:cs="Times New Roman"/>
                <w:lang w:val="en-GB" w:eastAsia="ja-JP" w:bidi="fr-FR"/>
              </w:rPr>
              <w:t>Mindelo</w:t>
            </w:r>
          </w:p>
        </w:tc>
      </w:tr>
      <w:tr w:rsidR="006A3093" w:rsidRPr="004E13E9" w14:paraId="20F293B5" w14:textId="77777777" w:rsidTr="00BB4F69">
        <w:trPr>
          <w:trHeight w:val="240"/>
        </w:trPr>
        <w:tc>
          <w:tcPr>
            <w:tcW w:w="1032" w:type="dxa"/>
            <w:tcBorders>
              <w:top w:val="nil"/>
              <w:left w:val="single" w:sz="4" w:space="0" w:color="auto"/>
              <w:bottom w:val="single" w:sz="4" w:space="0" w:color="auto"/>
              <w:right w:val="single" w:sz="4" w:space="0" w:color="auto"/>
            </w:tcBorders>
            <w:hideMark/>
          </w:tcPr>
          <w:p w14:paraId="352674B6" w14:textId="77777777" w:rsidR="006A3093" w:rsidRPr="004E13E9" w:rsidRDefault="006A3093" w:rsidP="006A3093">
            <w:pPr>
              <w:widowControl w:val="0"/>
              <w:rPr>
                <w:rFonts w:eastAsia="MS Gothic" w:cs="Times New Roman"/>
                <w:lang w:val="en-GB" w:eastAsia="ja-JP" w:bidi="fr-FR"/>
              </w:rPr>
            </w:pPr>
            <w:r w:rsidRPr="004E13E9">
              <w:rPr>
                <w:rFonts w:eastAsia="MS Gothic" w:cs="Times New Roman"/>
                <w:lang w:val="en-GB" w:eastAsia="ja-JP" w:bidi="fr-FR"/>
              </w:rPr>
              <w:t>2</w:t>
            </w:r>
          </w:p>
        </w:tc>
        <w:tc>
          <w:tcPr>
            <w:tcW w:w="2009" w:type="dxa"/>
            <w:tcBorders>
              <w:top w:val="nil"/>
              <w:left w:val="single" w:sz="4" w:space="0" w:color="auto"/>
              <w:bottom w:val="single" w:sz="4" w:space="0" w:color="auto"/>
              <w:right w:val="single" w:sz="4" w:space="0" w:color="auto"/>
            </w:tcBorders>
            <w:noWrap/>
            <w:vAlign w:val="center"/>
            <w:hideMark/>
          </w:tcPr>
          <w:p w14:paraId="1F584502" w14:textId="77777777" w:rsidR="006A3093" w:rsidRPr="004E13E9" w:rsidRDefault="006A3093" w:rsidP="006A3093">
            <w:pPr>
              <w:widowControl w:val="0"/>
              <w:rPr>
                <w:rFonts w:eastAsia="MS Gothic" w:cs="Times New Roman"/>
                <w:lang w:eastAsia="ja-JP" w:bidi="fr-FR"/>
              </w:rPr>
            </w:pPr>
            <w:r w:rsidRPr="004E13E9">
              <w:rPr>
                <w:rFonts w:eastAsia="MS Gothic" w:cs="Times New Roman"/>
                <w:lang w:eastAsia="ja-JP" w:bidi="fr-FR"/>
              </w:rPr>
              <w:t>Islande</w:t>
            </w:r>
          </w:p>
        </w:tc>
        <w:tc>
          <w:tcPr>
            <w:tcW w:w="2126" w:type="dxa"/>
            <w:tcBorders>
              <w:top w:val="nil"/>
              <w:left w:val="nil"/>
              <w:bottom w:val="single" w:sz="4" w:space="0" w:color="auto"/>
              <w:right w:val="single" w:sz="4" w:space="0" w:color="auto"/>
            </w:tcBorders>
            <w:noWrap/>
            <w:vAlign w:val="center"/>
            <w:hideMark/>
          </w:tcPr>
          <w:p w14:paraId="185C1DDE" w14:textId="77777777" w:rsidR="006A3093" w:rsidRPr="004E13E9" w:rsidRDefault="006A3093" w:rsidP="006A3093">
            <w:pPr>
              <w:widowControl w:val="0"/>
              <w:rPr>
                <w:rFonts w:eastAsia="MS Gothic" w:cs="Times New Roman"/>
                <w:lang w:eastAsia="ja-JP" w:bidi="fr-FR"/>
              </w:rPr>
            </w:pPr>
            <w:r w:rsidRPr="004E13E9">
              <w:rPr>
                <w:rFonts w:eastAsia="MS Gothic" w:cs="Times New Roman"/>
                <w:lang w:val="en-GB" w:eastAsia="ja-JP" w:bidi="fr-FR"/>
              </w:rPr>
              <w:t>Reykjavík</w:t>
            </w:r>
          </w:p>
        </w:tc>
      </w:tr>
      <w:tr w:rsidR="006A3093" w:rsidRPr="004E13E9" w14:paraId="38143D56" w14:textId="77777777" w:rsidTr="00BB4F69">
        <w:trPr>
          <w:trHeight w:val="240"/>
        </w:trPr>
        <w:tc>
          <w:tcPr>
            <w:tcW w:w="1032" w:type="dxa"/>
            <w:tcBorders>
              <w:top w:val="nil"/>
              <w:left w:val="single" w:sz="4" w:space="0" w:color="auto"/>
              <w:bottom w:val="single" w:sz="4" w:space="0" w:color="auto"/>
              <w:right w:val="single" w:sz="4" w:space="0" w:color="auto"/>
            </w:tcBorders>
          </w:tcPr>
          <w:p w14:paraId="15195A3A" w14:textId="77777777" w:rsidR="006A3093" w:rsidRPr="004E13E9" w:rsidRDefault="006A3093" w:rsidP="006A3093">
            <w:pPr>
              <w:widowControl w:val="0"/>
              <w:rPr>
                <w:rFonts w:eastAsia="MS Gothic" w:cs="Times New Roman"/>
                <w:lang w:val="en-GB" w:eastAsia="ja-JP" w:bidi="fr-FR"/>
              </w:rPr>
            </w:pPr>
            <w:r w:rsidRPr="004E13E9">
              <w:rPr>
                <w:rFonts w:eastAsia="MS Gothic" w:cs="Times New Roman"/>
                <w:lang w:val="en-GB" w:eastAsia="ja-JP" w:bidi="fr-FR"/>
              </w:rPr>
              <w:t>3</w:t>
            </w:r>
          </w:p>
        </w:tc>
        <w:tc>
          <w:tcPr>
            <w:tcW w:w="2009" w:type="dxa"/>
            <w:tcBorders>
              <w:top w:val="nil"/>
              <w:left w:val="single" w:sz="4" w:space="0" w:color="auto"/>
              <w:bottom w:val="single" w:sz="4" w:space="0" w:color="auto"/>
              <w:right w:val="single" w:sz="4" w:space="0" w:color="auto"/>
            </w:tcBorders>
            <w:noWrap/>
            <w:vAlign w:val="center"/>
          </w:tcPr>
          <w:p w14:paraId="08A723E3" w14:textId="77777777" w:rsidR="006A3093" w:rsidRPr="004E13E9" w:rsidRDefault="006A3093" w:rsidP="006A3093">
            <w:pPr>
              <w:widowControl w:val="0"/>
              <w:rPr>
                <w:rFonts w:eastAsia="MS Gothic" w:cs="Times New Roman"/>
                <w:lang w:val="en-GB" w:eastAsia="ja-JP" w:bidi="fr-FR"/>
              </w:rPr>
            </w:pPr>
            <w:r w:rsidRPr="004E13E9">
              <w:rPr>
                <w:rFonts w:eastAsia="MS Gothic" w:cs="Times New Roman"/>
                <w:lang w:val="en-GB" w:eastAsia="ja-JP" w:bidi="fr-FR"/>
              </w:rPr>
              <w:t>Maroc</w:t>
            </w:r>
          </w:p>
        </w:tc>
        <w:tc>
          <w:tcPr>
            <w:tcW w:w="2126" w:type="dxa"/>
            <w:tcBorders>
              <w:top w:val="nil"/>
              <w:left w:val="nil"/>
              <w:bottom w:val="single" w:sz="4" w:space="0" w:color="auto"/>
              <w:right w:val="single" w:sz="4" w:space="0" w:color="auto"/>
            </w:tcBorders>
            <w:noWrap/>
            <w:vAlign w:val="center"/>
          </w:tcPr>
          <w:p w14:paraId="0F187384" w14:textId="77777777" w:rsidR="006A3093" w:rsidRPr="004E13E9" w:rsidRDefault="006A3093" w:rsidP="006A3093">
            <w:pPr>
              <w:widowControl w:val="0"/>
              <w:rPr>
                <w:rFonts w:eastAsia="MS Gothic" w:cs="Times New Roman"/>
                <w:lang w:val="en-GB" w:eastAsia="ja-JP" w:bidi="fr-FR"/>
              </w:rPr>
            </w:pPr>
            <w:r w:rsidRPr="004E13E9">
              <w:rPr>
                <w:rFonts w:eastAsia="MS Gothic" w:cs="Times New Roman"/>
                <w:lang w:val="en-GB" w:eastAsia="ja-JP" w:bidi="fr-FR"/>
              </w:rPr>
              <w:t>Tanger Ville</w:t>
            </w:r>
          </w:p>
        </w:tc>
      </w:tr>
      <w:tr w:rsidR="006A3093" w:rsidRPr="004E13E9" w14:paraId="21A27749" w14:textId="77777777" w:rsidTr="00BB4F69">
        <w:trPr>
          <w:trHeight w:val="240"/>
        </w:trPr>
        <w:tc>
          <w:tcPr>
            <w:tcW w:w="1032" w:type="dxa"/>
            <w:tcBorders>
              <w:top w:val="nil"/>
              <w:left w:val="single" w:sz="4" w:space="0" w:color="auto"/>
              <w:bottom w:val="single" w:sz="4" w:space="0" w:color="auto"/>
              <w:right w:val="single" w:sz="4" w:space="0" w:color="auto"/>
            </w:tcBorders>
            <w:hideMark/>
          </w:tcPr>
          <w:p w14:paraId="7B81D06C" w14:textId="77777777" w:rsidR="006A3093" w:rsidRPr="004E13E9" w:rsidRDefault="006A3093" w:rsidP="006A3093">
            <w:pPr>
              <w:widowControl w:val="0"/>
              <w:rPr>
                <w:rFonts w:eastAsia="MS Gothic" w:cs="Times New Roman"/>
                <w:lang w:val="en-GB" w:eastAsia="ja-JP" w:bidi="fr-FR"/>
              </w:rPr>
            </w:pPr>
            <w:r w:rsidRPr="004E13E9">
              <w:rPr>
                <w:rFonts w:eastAsia="MS Gothic" w:cs="Times New Roman"/>
                <w:lang w:val="en-GB" w:eastAsia="ja-JP" w:bidi="fr-FR"/>
              </w:rPr>
              <w:t>4</w:t>
            </w:r>
          </w:p>
        </w:tc>
        <w:tc>
          <w:tcPr>
            <w:tcW w:w="2009" w:type="dxa"/>
            <w:vMerge w:val="restart"/>
            <w:tcBorders>
              <w:top w:val="nil"/>
              <w:left w:val="single" w:sz="4" w:space="0" w:color="auto"/>
              <w:bottom w:val="single" w:sz="4" w:space="0" w:color="auto"/>
              <w:right w:val="single" w:sz="4" w:space="0" w:color="auto"/>
            </w:tcBorders>
            <w:noWrap/>
            <w:vAlign w:val="center"/>
            <w:hideMark/>
          </w:tcPr>
          <w:p w14:paraId="3E25CAAD" w14:textId="77777777" w:rsidR="006A3093" w:rsidRPr="004E13E9" w:rsidRDefault="006A3093" w:rsidP="006A3093">
            <w:pPr>
              <w:widowControl w:val="0"/>
              <w:rPr>
                <w:rFonts w:eastAsia="MS Gothic" w:cs="Times New Roman"/>
                <w:lang w:eastAsia="ja-JP" w:bidi="fr-FR"/>
              </w:rPr>
            </w:pPr>
            <w:r w:rsidRPr="004E13E9">
              <w:rPr>
                <w:rFonts w:eastAsia="MS Gothic" w:cs="Times New Roman"/>
                <w:lang w:val="en-GB" w:eastAsia="ja-JP" w:bidi="fr-FR"/>
              </w:rPr>
              <w:t>Panama</w:t>
            </w:r>
          </w:p>
        </w:tc>
        <w:tc>
          <w:tcPr>
            <w:tcW w:w="2126" w:type="dxa"/>
            <w:tcBorders>
              <w:top w:val="nil"/>
              <w:left w:val="nil"/>
              <w:bottom w:val="single" w:sz="4" w:space="0" w:color="auto"/>
              <w:right w:val="single" w:sz="4" w:space="0" w:color="auto"/>
            </w:tcBorders>
            <w:noWrap/>
            <w:vAlign w:val="center"/>
            <w:hideMark/>
          </w:tcPr>
          <w:p w14:paraId="4ADD2A09" w14:textId="77777777" w:rsidR="006A3093" w:rsidRPr="004E13E9" w:rsidRDefault="006A3093" w:rsidP="006A3093">
            <w:pPr>
              <w:widowControl w:val="0"/>
              <w:rPr>
                <w:rFonts w:eastAsia="MS Gothic" w:cs="Times New Roman"/>
                <w:lang w:eastAsia="ja-JP" w:bidi="fr-FR"/>
              </w:rPr>
            </w:pPr>
            <w:r w:rsidRPr="004E13E9">
              <w:rPr>
                <w:rFonts w:eastAsia="MS Gothic" w:cs="Times New Roman"/>
                <w:lang w:val="en-GB" w:eastAsia="ja-JP" w:bidi="fr-FR"/>
              </w:rPr>
              <w:t>Cristóbal</w:t>
            </w:r>
          </w:p>
        </w:tc>
      </w:tr>
      <w:tr w:rsidR="006A3093" w:rsidRPr="004E13E9" w14:paraId="04D25401" w14:textId="77777777" w:rsidTr="00BB4F69">
        <w:trPr>
          <w:trHeight w:val="240"/>
        </w:trPr>
        <w:tc>
          <w:tcPr>
            <w:tcW w:w="1032" w:type="dxa"/>
            <w:tcBorders>
              <w:top w:val="nil"/>
              <w:left w:val="single" w:sz="4" w:space="0" w:color="auto"/>
              <w:bottom w:val="single" w:sz="4" w:space="0" w:color="auto"/>
              <w:right w:val="single" w:sz="4" w:space="0" w:color="auto"/>
            </w:tcBorders>
            <w:hideMark/>
          </w:tcPr>
          <w:p w14:paraId="70C6E117" w14:textId="77777777" w:rsidR="006A3093" w:rsidRPr="004E13E9" w:rsidRDefault="006A3093" w:rsidP="006A3093">
            <w:pPr>
              <w:widowControl w:val="0"/>
              <w:rPr>
                <w:rFonts w:eastAsia="MS Gothic" w:cs="Times New Roman"/>
                <w:lang w:eastAsia="ja-JP" w:bidi="fr-FR"/>
              </w:rPr>
            </w:pPr>
            <w:r w:rsidRPr="004E13E9">
              <w:rPr>
                <w:rFonts w:eastAsia="MS Gothic" w:cs="Times New Roman"/>
                <w:lang w:eastAsia="ja-JP" w:bidi="fr-FR"/>
              </w:rPr>
              <w:t>5</w:t>
            </w:r>
          </w:p>
        </w:tc>
        <w:tc>
          <w:tcPr>
            <w:tcW w:w="2009" w:type="dxa"/>
            <w:vMerge/>
            <w:tcBorders>
              <w:top w:val="nil"/>
              <w:left w:val="single" w:sz="4" w:space="0" w:color="auto"/>
              <w:bottom w:val="single" w:sz="4" w:space="0" w:color="auto"/>
              <w:right w:val="single" w:sz="4" w:space="0" w:color="auto"/>
            </w:tcBorders>
            <w:vAlign w:val="center"/>
            <w:hideMark/>
          </w:tcPr>
          <w:p w14:paraId="18B62AB1" w14:textId="77777777" w:rsidR="006A3093" w:rsidRPr="004E13E9" w:rsidRDefault="006A3093" w:rsidP="006A3093">
            <w:pPr>
              <w:widowControl w:val="0"/>
              <w:rPr>
                <w:rFonts w:eastAsia="MS Gothic" w:cs="Times New Roman"/>
                <w:lang w:eastAsia="ja-JP" w:bidi="fr-FR"/>
              </w:rPr>
            </w:pPr>
          </w:p>
        </w:tc>
        <w:tc>
          <w:tcPr>
            <w:tcW w:w="2126" w:type="dxa"/>
            <w:tcBorders>
              <w:top w:val="nil"/>
              <w:left w:val="nil"/>
              <w:bottom w:val="single" w:sz="4" w:space="0" w:color="auto"/>
              <w:right w:val="single" w:sz="4" w:space="0" w:color="auto"/>
            </w:tcBorders>
            <w:noWrap/>
            <w:vAlign w:val="center"/>
            <w:hideMark/>
          </w:tcPr>
          <w:p w14:paraId="1F907B2E" w14:textId="77777777" w:rsidR="006A3093" w:rsidRPr="004E13E9" w:rsidRDefault="006A3093" w:rsidP="006A3093">
            <w:pPr>
              <w:widowControl w:val="0"/>
              <w:rPr>
                <w:rFonts w:eastAsia="MS Gothic" w:cs="Times New Roman"/>
                <w:lang w:eastAsia="ja-JP" w:bidi="fr-FR"/>
              </w:rPr>
            </w:pPr>
            <w:r w:rsidRPr="004E13E9">
              <w:rPr>
                <w:rFonts w:eastAsia="MS Gothic" w:cs="Times New Roman"/>
                <w:lang w:val="en-GB" w:eastAsia="ja-JP" w:bidi="fr-FR"/>
              </w:rPr>
              <w:t>Balboa</w:t>
            </w:r>
          </w:p>
        </w:tc>
      </w:tr>
      <w:tr w:rsidR="006A3093" w:rsidRPr="004E13E9" w14:paraId="161498FD" w14:textId="77777777" w:rsidTr="00BB4F69">
        <w:trPr>
          <w:trHeight w:val="240"/>
        </w:trPr>
        <w:tc>
          <w:tcPr>
            <w:tcW w:w="1032" w:type="dxa"/>
            <w:tcBorders>
              <w:top w:val="nil"/>
              <w:left w:val="single" w:sz="4" w:space="0" w:color="auto"/>
              <w:bottom w:val="single" w:sz="4" w:space="0" w:color="auto"/>
              <w:right w:val="single" w:sz="4" w:space="0" w:color="auto"/>
            </w:tcBorders>
            <w:hideMark/>
          </w:tcPr>
          <w:p w14:paraId="13ED57FF" w14:textId="77777777" w:rsidR="006A3093" w:rsidRPr="004E13E9" w:rsidRDefault="006A3093" w:rsidP="006A3093">
            <w:pPr>
              <w:widowControl w:val="0"/>
              <w:rPr>
                <w:rFonts w:eastAsia="MS Gothic" w:cs="Times New Roman"/>
                <w:lang w:val="en-GB" w:eastAsia="ja-JP" w:bidi="fr-FR"/>
              </w:rPr>
            </w:pPr>
            <w:r w:rsidRPr="004E13E9">
              <w:rPr>
                <w:rFonts w:eastAsia="MS Gothic" w:cs="Times New Roman"/>
                <w:lang w:val="en-GB" w:eastAsia="ja-JP" w:bidi="fr-FR"/>
              </w:rPr>
              <w:t>6</w:t>
            </w:r>
          </w:p>
        </w:tc>
        <w:tc>
          <w:tcPr>
            <w:tcW w:w="2009" w:type="dxa"/>
            <w:tcBorders>
              <w:top w:val="nil"/>
              <w:left w:val="single" w:sz="4" w:space="0" w:color="auto"/>
              <w:bottom w:val="single" w:sz="4" w:space="0" w:color="auto"/>
              <w:right w:val="single" w:sz="4" w:space="0" w:color="auto"/>
            </w:tcBorders>
            <w:noWrap/>
            <w:vAlign w:val="center"/>
            <w:hideMark/>
          </w:tcPr>
          <w:p w14:paraId="13559CDE" w14:textId="77777777" w:rsidR="006A3093" w:rsidRPr="004E13E9" w:rsidRDefault="006A3093" w:rsidP="006A3093">
            <w:pPr>
              <w:widowControl w:val="0"/>
              <w:rPr>
                <w:rFonts w:eastAsia="MS Gothic" w:cs="Times New Roman"/>
                <w:lang w:eastAsia="ja-JP" w:bidi="fr-FR"/>
              </w:rPr>
            </w:pPr>
            <w:r w:rsidRPr="004E13E9">
              <w:rPr>
                <w:rFonts w:eastAsia="MS Gothic" w:cs="Times New Roman"/>
                <w:lang w:val="en-GB" w:eastAsia="ja-JP" w:bidi="fr-FR"/>
              </w:rPr>
              <w:t>Afrique du Sud</w:t>
            </w:r>
          </w:p>
        </w:tc>
        <w:tc>
          <w:tcPr>
            <w:tcW w:w="2126" w:type="dxa"/>
            <w:tcBorders>
              <w:top w:val="nil"/>
              <w:left w:val="nil"/>
              <w:bottom w:val="single" w:sz="4" w:space="0" w:color="auto"/>
              <w:right w:val="single" w:sz="4" w:space="0" w:color="auto"/>
            </w:tcBorders>
            <w:noWrap/>
            <w:vAlign w:val="center"/>
            <w:hideMark/>
          </w:tcPr>
          <w:p w14:paraId="566FB236" w14:textId="77777777" w:rsidR="006A3093" w:rsidRPr="004E13E9" w:rsidRDefault="006A3093" w:rsidP="006A3093">
            <w:pPr>
              <w:widowControl w:val="0"/>
              <w:rPr>
                <w:rFonts w:eastAsia="MS Gothic" w:cs="Times New Roman"/>
                <w:lang w:eastAsia="ja-JP" w:bidi="fr-FR"/>
              </w:rPr>
            </w:pPr>
            <w:r w:rsidRPr="004E13E9">
              <w:rPr>
                <w:rFonts w:eastAsia="MS Gothic" w:cs="Times New Roman"/>
                <w:lang w:val="en-GB" w:eastAsia="ja-JP" w:bidi="fr-FR"/>
              </w:rPr>
              <w:t>Le Cap</w:t>
            </w:r>
          </w:p>
        </w:tc>
      </w:tr>
      <w:tr w:rsidR="006A3093" w:rsidRPr="004E13E9" w14:paraId="3817891E" w14:textId="77777777" w:rsidTr="00BB4F69">
        <w:trPr>
          <w:trHeight w:val="240"/>
        </w:trPr>
        <w:tc>
          <w:tcPr>
            <w:tcW w:w="1032" w:type="dxa"/>
            <w:tcBorders>
              <w:top w:val="nil"/>
              <w:left w:val="single" w:sz="4" w:space="0" w:color="auto"/>
              <w:bottom w:val="single" w:sz="4" w:space="0" w:color="auto"/>
              <w:right w:val="single" w:sz="4" w:space="0" w:color="auto"/>
            </w:tcBorders>
            <w:hideMark/>
          </w:tcPr>
          <w:p w14:paraId="2F3DCD72" w14:textId="77777777" w:rsidR="006A3093" w:rsidRPr="004E13E9" w:rsidRDefault="006A3093" w:rsidP="006A3093">
            <w:pPr>
              <w:widowControl w:val="0"/>
              <w:rPr>
                <w:rFonts w:eastAsia="MS Gothic" w:cs="Times New Roman"/>
                <w:lang w:val="en-GB" w:eastAsia="ja-JP" w:bidi="fr-FR"/>
              </w:rPr>
            </w:pPr>
            <w:r w:rsidRPr="004E13E9">
              <w:rPr>
                <w:rFonts w:eastAsia="MS Gothic" w:cs="Times New Roman"/>
                <w:lang w:val="en-GB" w:eastAsia="ja-JP" w:bidi="fr-FR"/>
              </w:rPr>
              <w:t>7</w:t>
            </w:r>
          </w:p>
        </w:tc>
        <w:tc>
          <w:tcPr>
            <w:tcW w:w="2009" w:type="dxa"/>
            <w:tcBorders>
              <w:top w:val="nil"/>
              <w:left w:val="single" w:sz="4" w:space="0" w:color="auto"/>
              <w:bottom w:val="single" w:sz="4" w:space="0" w:color="auto"/>
              <w:right w:val="single" w:sz="4" w:space="0" w:color="auto"/>
            </w:tcBorders>
            <w:noWrap/>
            <w:vAlign w:val="center"/>
            <w:hideMark/>
          </w:tcPr>
          <w:p w14:paraId="70FF5658" w14:textId="77777777" w:rsidR="006A3093" w:rsidRPr="004E13E9" w:rsidRDefault="006A3093" w:rsidP="006A3093">
            <w:pPr>
              <w:widowControl w:val="0"/>
              <w:rPr>
                <w:rFonts w:eastAsia="MS Gothic" w:cs="Times New Roman"/>
                <w:lang w:eastAsia="ja-JP" w:bidi="fr-FR"/>
              </w:rPr>
            </w:pPr>
            <w:r w:rsidRPr="004E13E9">
              <w:rPr>
                <w:rFonts w:eastAsia="MS Gothic" w:cs="Times New Roman"/>
                <w:lang w:val="en-GB" w:eastAsia="ja-JP" w:bidi="fr-FR"/>
              </w:rPr>
              <w:t>UE-Espagne</w:t>
            </w:r>
          </w:p>
        </w:tc>
        <w:tc>
          <w:tcPr>
            <w:tcW w:w="2126" w:type="dxa"/>
            <w:tcBorders>
              <w:top w:val="nil"/>
              <w:left w:val="nil"/>
              <w:bottom w:val="single" w:sz="4" w:space="0" w:color="auto"/>
              <w:right w:val="single" w:sz="4" w:space="0" w:color="auto"/>
            </w:tcBorders>
            <w:noWrap/>
            <w:vAlign w:val="center"/>
            <w:hideMark/>
          </w:tcPr>
          <w:p w14:paraId="0EA05633" w14:textId="77777777" w:rsidR="006A3093" w:rsidRPr="004E13E9" w:rsidRDefault="006A3093" w:rsidP="006A3093">
            <w:pPr>
              <w:widowControl w:val="0"/>
              <w:rPr>
                <w:rFonts w:eastAsia="MS Gothic" w:cs="Times New Roman"/>
                <w:lang w:eastAsia="ja-JP" w:bidi="fr-FR"/>
              </w:rPr>
            </w:pPr>
            <w:r w:rsidRPr="004E13E9">
              <w:rPr>
                <w:rFonts w:eastAsia="MS Gothic" w:cs="Times New Roman"/>
                <w:lang w:val="en-GB" w:eastAsia="ja-JP" w:bidi="fr-FR"/>
              </w:rPr>
              <w:t>Las Palmas</w:t>
            </w:r>
          </w:p>
        </w:tc>
      </w:tr>
    </w:tbl>
    <w:p w14:paraId="79F40C47" w14:textId="77777777" w:rsidR="006A3093" w:rsidRPr="004E13E9" w:rsidRDefault="006A3093" w:rsidP="006A3093">
      <w:pPr>
        <w:widowControl w:val="0"/>
        <w:ind w:left="426" w:hanging="426"/>
        <w:rPr>
          <w:rFonts w:eastAsia="MS Gothic" w:cs="Times New Roman"/>
          <w:b/>
          <w:lang w:val="fr-FR" w:eastAsia="fr-FR" w:bidi="fr-FR"/>
        </w:rPr>
      </w:pPr>
    </w:p>
    <w:p w14:paraId="2287EB78" w14:textId="77777777" w:rsidR="006A3093" w:rsidRPr="004E13E9" w:rsidRDefault="006A3093" w:rsidP="006A3093">
      <w:pPr>
        <w:widowControl w:val="0"/>
        <w:ind w:left="426" w:hanging="426"/>
        <w:rPr>
          <w:rFonts w:eastAsia="MS Gothic" w:cs="Times New Roman"/>
          <w:b/>
          <w:lang w:val="fr-FR" w:eastAsia="fr-FR" w:bidi="fr-FR"/>
        </w:rPr>
      </w:pPr>
    </w:p>
    <w:p w14:paraId="53610ED1" w14:textId="77777777" w:rsidR="006A3093" w:rsidRPr="004E13E9" w:rsidRDefault="006A3093" w:rsidP="006A3093">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2.</w:t>
      </w:r>
      <w:r w:rsidRPr="004E13E9">
        <w:rPr>
          <w:rFonts w:eastAsia="MS Gothic" w:cs="Times New Roman"/>
          <w:b/>
          <w:lang w:val="fr-FR" w:eastAsia="fr-FR" w:bidi="fr-FR"/>
        </w:rPr>
        <w:tab/>
        <w:t>Plan annuel de gestion de la capacité de pêche (paragraphes 14-21)</w:t>
      </w:r>
    </w:p>
    <w:p w14:paraId="4D8258EB" w14:textId="77777777" w:rsidR="006A3093" w:rsidRPr="004E13E9" w:rsidRDefault="006A3093" w:rsidP="006A3093">
      <w:pPr>
        <w:widowControl w:val="0"/>
        <w:rPr>
          <w:rFonts w:eastAsia="MS Gothic" w:cs="Times New Roman"/>
          <w:b/>
          <w:lang w:val="fr-FR" w:eastAsia="fr-FR" w:bidi="fr-FR"/>
        </w:rPr>
      </w:pPr>
    </w:p>
    <w:p w14:paraId="1C9A05EA" w14:textId="77777777" w:rsidR="006A3093" w:rsidRPr="004E13E9" w:rsidRDefault="006A3093" w:rsidP="006A3093">
      <w:pPr>
        <w:widowControl w:val="0"/>
        <w:jc w:val="both"/>
        <w:rPr>
          <w:rFonts w:eastAsia="MS Gothic" w:cs="Times New Roman"/>
          <w:szCs w:val="24"/>
          <w:lang w:val="fr-FR" w:eastAsia="fr-FR" w:bidi="fr-FR"/>
        </w:rPr>
      </w:pPr>
      <w:r w:rsidRPr="004E13E9">
        <w:rPr>
          <w:rFonts w:eastAsia="MS Gothic" w:cs="Times New Roman"/>
          <w:szCs w:val="24"/>
          <w:lang w:val="fr-FR" w:eastAsia="fr-FR" w:bidi="fr-FR"/>
        </w:rPr>
        <w:t>Le ministère allouera un quota individuel à chaque LSTLV, qui est supérieur au volume de capture recommandé (à savoir 25 t par LSTLV de plus de 40 m) estimé par le SCRS (cf</w:t>
      </w:r>
      <w:r w:rsidRPr="004E13E9">
        <w:rPr>
          <w:rFonts w:eastAsia="MS Gothic" w:cs="Times New Roman"/>
          <w:i/>
          <w:iCs/>
          <w:szCs w:val="24"/>
          <w:lang w:val="fr-FR" w:eastAsia="fr-FR" w:bidi="fr-FR"/>
        </w:rPr>
        <w:t>.</w:t>
      </w:r>
      <w:r w:rsidRPr="004E13E9">
        <w:rPr>
          <w:rFonts w:eastAsia="MS Gothic" w:cs="Times New Roman"/>
          <w:szCs w:val="24"/>
          <w:lang w:val="fr-FR" w:eastAsia="fr-FR" w:bidi="fr-FR"/>
        </w:rPr>
        <w:t xml:space="preserve"> tableau de la capacité). Par conséquent, le Japon, qui a respecté l’obligation d'ajustement de la capacité stipulée dans la Rec. 25-04, fait en sorte que sa capacité de pêche soit proportionnelle au quota qui lui est alloué.</w:t>
      </w:r>
    </w:p>
    <w:p w14:paraId="5BE1B3FA" w14:textId="77777777" w:rsidR="006A3093" w:rsidRPr="004E13E9" w:rsidRDefault="006A3093" w:rsidP="006A3093">
      <w:pPr>
        <w:widowControl w:val="0"/>
        <w:jc w:val="both"/>
        <w:rPr>
          <w:rFonts w:eastAsia="MS Gothic" w:cs="Times New Roman"/>
          <w:szCs w:val="24"/>
          <w:lang w:val="fr-FR" w:eastAsia="fr-FR" w:bidi="fr-FR"/>
        </w:rPr>
      </w:pPr>
    </w:p>
    <w:p w14:paraId="7CC27314" w14:textId="77777777" w:rsidR="006A3093" w:rsidRPr="004E13E9" w:rsidRDefault="006A3093" w:rsidP="006A3093">
      <w:pPr>
        <w:widowControl w:val="0"/>
        <w:jc w:val="both"/>
        <w:rPr>
          <w:rFonts w:eastAsia="MS Gothic" w:cs="Times New Roman"/>
          <w:b/>
          <w:lang w:val="fr-FR" w:eastAsia="fr-FR" w:bidi="fr-FR"/>
        </w:rPr>
      </w:pPr>
    </w:p>
    <w:p w14:paraId="4AC5D0BC" w14:textId="77777777" w:rsidR="006A3093" w:rsidRPr="004E13E9" w:rsidRDefault="006A3093" w:rsidP="006A3093">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3.</w:t>
      </w:r>
      <w:r w:rsidRPr="004E13E9">
        <w:rPr>
          <w:rFonts w:eastAsia="MS Gothic" w:cs="Times New Roman"/>
          <w:b/>
          <w:lang w:val="fr-FR" w:eastAsia="fr-FR" w:bidi="fr-FR"/>
        </w:rPr>
        <w:tab/>
        <w:t>Plan annuel de gestion de l’élevage (paragraphes 22 et 23), le cas échéant</w:t>
      </w:r>
    </w:p>
    <w:p w14:paraId="21E5898D" w14:textId="77777777" w:rsidR="006A3093" w:rsidRPr="004E13E9" w:rsidRDefault="006A3093" w:rsidP="006A3093">
      <w:pPr>
        <w:widowControl w:val="0"/>
        <w:jc w:val="both"/>
        <w:rPr>
          <w:rFonts w:eastAsia="MS Gothic" w:cs="Times New Roman"/>
          <w:lang w:val="fr-FR" w:eastAsia="fr-FR" w:bidi="fr-FR"/>
        </w:rPr>
      </w:pPr>
    </w:p>
    <w:p w14:paraId="7DDAA41C" w14:textId="77777777"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lang w:val="fr-FR" w:eastAsia="fr-FR" w:bidi="fr-FR"/>
        </w:rPr>
        <w:t>Non applicable.</w:t>
      </w:r>
    </w:p>
    <w:p w14:paraId="47D6C7B9" w14:textId="77777777" w:rsidR="006A3093" w:rsidRPr="004E13E9" w:rsidRDefault="006A3093" w:rsidP="006A3093">
      <w:pPr>
        <w:widowControl w:val="0"/>
        <w:rPr>
          <w:rFonts w:eastAsia="MS Gothic" w:cs="Times New Roman"/>
          <w:b/>
          <w:lang w:val="fr-FR" w:eastAsia="ja-JP" w:bidi="fr-FR"/>
        </w:rPr>
      </w:pPr>
    </w:p>
    <w:p w14:paraId="15B8E04C" w14:textId="77777777" w:rsidR="006A3093" w:rsidRPr="004E13E9" w:rsidRDefault="006A3093" w:rsidP="006A3093">
      <w:pPr>
        <w:widowControl w:val="0"/>
        <w:rPr>
          <w:rFonts w:eastAsia="MS Gothic" w:cs="Times New Roman"/>
          <w:b/>
          <w:lang w:val="fr-FR" w:eastAsia="ja-JP" w:bidi="fr-FR"/>
        </w:rPr>
      </w:pPr>
    </w:p>
    <w:p w14:paraId="70818026" w14:textId="77777777" w:rsidR="006A3093" w:rsidRPr="004E13E9" w:rsidRDefault="006A3093" w:rsidP="006A3093">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4.</w:t>
      </w:r>
      <w:r w:rsidRPr="004E13E9">
        <w:rPr>
          <w:rFonts w:eastAsia="MS Gothic" w:cs="Times New Roman"/>
          <w:b/>
          <w:lang w:val="fr-FR" w:eastAsia="fr-FR" w:bidi="fr-FR"/>
        </w:rPr>
        <w:tab/>
        <w:t xml:space="preserve">Plan annuel d’aquaculture (paragraphe 10 e) de la </w:t>
      </w:r>
      <w:hyperlink r:id="rId117" w:history="1">
        <w:r w:rsidRPr="004E13E9">
          <w:rPr>
            <w:rFonts w:eastAsia="MS Gothic" w:cs="Times New Roman"/>
            <w:b/>
            <w:color w:val="0563C1"/>
            <w:lang w:val="fr-FR" w:eastAsia="fr-FR" w:bidi="fr-FR"/>
          </w:rPr>
          <w:t xml:space="preserve">Rec. 25-04 </w:t>
        </w:r>
      </w:hyperlink>
      <w:r w:rsidRPr="004E13E9">
        <w:rPr>
          <w:rFonts w:eastAsia="MS Gothic" w:cs="Times New Roman"/>
          <w:b/>
          <w:lang w:val="fr-FR" w:eastAsia="fr-FR" w:bidi="fr-FR"/>
        </w:rPr>
        <w:t xml:space="preserve">conformément à la </w:t>
      </w:r>
      <w:hyperlink r:id="rId118" w:history="1">
        <w:r w:rsidRPr="004E13E9">
          <w:rPr>
            <w:rFonts w:eastAsia="MS Gothic" w:cs="Times New Roman"/>
            <w:b/>
            <w:color w:val="0563C1"/>
            <w:lang w:val="fr-FR" w:eastAsia="fr-FR" w:bidi="fr-FR"/>
          </w:rPr>
          <w:t>Rec. 24-07</w:t>
        </w:r>
      </w:hyperlink>
      <w:r w:rsidRPr="004E13E9">
        <w:rPr>
          <w:rFonts w:eastAsia="MS Gothic" w:cs="Times New Roman"/>
          <w:b/>
          <w:lang w:val="fr-FR" w:eastAsia="fr-FR" w:bidi="fr-FR"/>
        </w:rPr>
        <w:t>), le cas échéant</w:t>
      </w:r>
    </w:p>
    <w:p w14:paraId="331E2904" w14:textId="77777777" w:rsidR="006A3093" w:rsidRPr="004E13E9" w:rsidRDefault="006A3093" w:rsidP="006A3093">
      <w:pPr>
        <w:widowControl w:val="0"/>
        <w:jc w:val="both"/>
        <w:rPr>
          <w:rFonts w:eastAsia="MS Gothic" w:cs="Times New Roman"/>
          <w:lang w:val="fr-FR" w:eastAsia="fr-FR" w:bidi="fr-FR"/>
        </w:rPr>
      </w:pPr>
    </w:p>
    <w:p w14:paraId="271857FF" w14:textId="77777777"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lang w:val="fr-FR" w:eastAsia="fr-FR" w:bidi="fr-FR"/>
        </w:rPr>
        <w:t>Non applicable.</w:t>
      </w:r>
    </w:p>
    <w:p w14:paraId="6BF4876F" w14:textId="77777777" w:rsidR="006A3093" w:rsidRPr="004E13E9" w:rsidRDefault="006A3093" w:rsidP="006A3093">
      <w:pPr>
        <w:widowControl w:val="0"/>
        <w:rPr>
          <w:rFonts w:eastAsia="MS Gothic" w:cs="Times New Roman"/>
          <w:b/>
          <w:lang w:val="fr-FR" w:eastAsia="ja-JP" w:bidi="fr-FR"/>
        </w:rPr>
      </w:pPr>
    </w:p>
    <w:p w14:paraId="063E4527" w14:textId="77777777" w:rsidR="00A1495F" w:rsidRPr="004E13E9" w:rsidRDefault="00A1495F" w:rsidP="006A3093">
      <w:pPr>
        <w:widowControl w:val="0"/>
        <w:ind w:left="426" w:hanging="426"/>
        <w:rPr>
          <w:rFonts w:eastAsia="MS Gothic" w:cs="Times New Roman"/>
          <w:b/>
          <w:lang w:val="fr-FR" w:eastAsia="fr-FR" w:bidi="fr-FR"/>
        </w:rPr>
      </w:pPr>
    </w:p>
    <w:p w14:paraId="731A1352" w14:textId="77DA2159" w:rsidR="006A3093" w:rsidRPr="004E13E9" w:rsidRDefault="006A3093" w:rsidP="006A3093">
      <w:pPr>
        <w:widowControl w:val="0"/>
        <w:ind w:left="426" w:hanging="426"/>
        <w:rPr>
          <w:rFonts w:eastAsia="MS Gothic" w:cs="Times New Roman"/>
          <w:b/>
          <w:lang w:val="fr-FR" w:eastAsia="fr-FR" w:bidi="fr-FR"/>
        </w:rPr>
      </w:pPr>
      <w:r w:rsidRPr="004E13E9">
        <w:rPr>
          <w:rFonts w:eastAsia="MS Gothic" w:cs="Times New Roman"/>
          <w:b/>
          <w:lang w:val="fr-FR" w:eastAsia="fr-FR" w:bidi="fr-FR"/>
        </w:rPr>
        <w:t xml:space="preserve">5. </w:t>
      </w:r>
      <w:r w:rsidRPr="004E13E9">
        <w:rPr>
          <w:rFonts w:eastAsia="MS Gothic" w:cs="Times New Roman"/>
          <w:b/>
          <w:lang w:val="fr-FR" w:eastAsia="fr-FR" w:bidi="fr-FR"/>
        </w:rPr>
        <w:tab/>
        <w:t>Plan de suivi, contrôle et inspection</w:t>
      </w:r>
    </w:p>
    <w:p w14:paraId="4A6424B4" w14:textId="77777777" w:rsidR="006A3093" w:rsidRPr="004E13E9" w:rsidRDefault="006A3093" w:rsidP="006A3093">
      <w:pPr>
        <w:widowControl w:val="0"/>
        <w:rPr>
          <w:rFonts w:eastAsia="MS Gothic" w:cs="Times New Roman"/>
          <w:b/>
          <w:lang w:val="fr-FR" w:eastAsia="fr-FR" w:bidi="fr-FR"/>
        </w:rPr>
      </w:pPr>
    </w:p>
    <w:p w14:paraId="7EE0E73A" w14:textId="77777777" w:rsidR="006A3093" w:rsidRPr="004E13E9" w:rsidRDefault="006A3093" w:rsidP="006A3093">
      <w:pPr>
        <w:widowControl w:val="0"/>
        <w:rPr>
          <w:rFonts w:eastAsia="MS Gothic" w:cs="Times New Roman"/>
          <w:b/>
          <w:i/>
          <w:iCs/>
          <w:lang w:val="fr-FR" w:eastAsia="fr-FR" w:bidi="fr-FR"/>
        </w:rPr>
      </w:pPr>
      <w:r w:rsidRPr="004E13E9">
        <w:rPr>
          <w:rFonts w:eastAsia="MS Gothic" w:cs="Times New Roman"/>
          <w:b/>
          <w:i/>
          <w:iCs/>
          <w:lang w:val="fr-FR" w:eastAsia="fr-FR" w:bidi="fr-FR"/>
        </w:rPr>
        <w:t>5a) Suivi, contrôle et inspection de la CPC (paragraphe 10 c)</w:t>
      </w:r>
    </w:p>
    <w:p w14:paraId="1513941C" w14:textId="77777777" w:rsidR="006A3093" w:rsidRPr="004E13E9" w:rsidRDefault="006A3093" w:rsidP="006A3093">
      <w:pPr>
        <w:widowControl w:val="0"/>
        <w:rPr>
          <w:rFonts w:eastAsia="MS Gothic" w:cs="Times New Roman"/>
          <w:b/>
          <w:lang w:val="fr-FR" w:eastAsia="fr-FR" w:bidi="fr-FR"/>
        </w:rPr>
      </w:pPr>
    </w:p>
    <w:p w14:paraId="2B25A959" w14:textId="77777777" w:rsidR="006A3093" w:rsidRPr="004E13E9" w:rsidRDefault="006A3093" w:rsidP="006A3093">
      <w:pPr>
        <w:widowControl w:val="0"/>
        <w:ind w:left="426" w:hanging="426"/>
        <w:jc w:val="both"/>
        <w:rPr>
          <w:rFonts w:eastAsia="MS Gothic" w:cs="Times New Roman"/>
          <w:bCs/>
          <w:i/>
          <w:iCs/>
          <w:lang w:val="fr-FR" w:eastAsia="fr-FR" w:bidi="fr-FR"/>
        </w:rPr>
      </w:pPr>
      <w:r w:rsidRPr="004E13E9">
        <w:rPr>
          <w:rFonts w:eastAsia="MS Gothic" w:cs="Times New Roman"/>
          <w:bCs/>
          <w:i/>
          <w:iCs/>
          <w:lang w:val="fr-FR" w:eastAsia="fr-FR" w:bidi="fr-FR"/>
        </w:rPr>
        <w:t xml:space="preserve">(i) </w:t>
      </w:r>
      <w:r w:rsidRPr="004E13E9">
        <w:rPr>
          <w:rFonts w:eastAsia="MS Gothic" w:cs="Times New Roman"/>
          <w:bCs/>
          <w:i/>
          <w:iCs/>
          <w:lang w:val="fr-FR" w:eastAsia="fr-FR" w:bidi="fr-FR"/>
        </w:rPr>
        <w:tab/>
        <w:t xml:space="preserve">Caractéristique de la pêcherie japonaise de EBFT </w:t>
      </w:r>
    </w:p>
    <w:p w14:paraId="5EDE977E" w14:textId="77777777" w:rsidR="006A3093" w:rsidRPr="004E13E9" w:rsidRDefault="006A3093" w:rsidP="006A3093">
      <w:pPr>
        <w:widowControl w:val="0"/>
        <w:ind w:firstLine="720"/>
        <w:jc w:val="both"/>
        <w:rPr>
          <w:rFonts w:eastAsia="MS Gothic" w:cs="Times New Roman"/>
          <w:lang w:val="fr-FR" w:eastAsia="fr-FR" w:bidi="fr-FR"/>
        </w:rPr>
      </w:pPr>
    </w:p>
    <w:p w14:paraId="651D69E6" w14:textId="7DA75D8F" w:rsidR="00A1495F" w:rsidRPr="004E13E9" w:rsidRDefault="006A3093" w:rsidP="00A1495F">
      <w:pPr>
        <w:widowControl w:val="0"/>
        <w:jc w:val="both"/>
        <w:rPr>
          <w:rFonts w:eastAsia="MS Gothic" w:cs="Times New Roman"/>
          <w:bCs/>
          <w:i/>
          <w:iCs/>
          <w:lang w:val="fr-FR" w:eastAsia="fr-FR" w:bidi="fr-FR"/>
        </w:rPr>
      </w:pPr>
      <w:r w:rsidRPr="004E13E9">
        <w:rPr>
          <w:rFonts w:eastAsia="MS Gothic" w:cs="Times New Roman"/>
          <w:lang w:val="fr-FR" w:eastAsia="fr-FR" w:bidi="fr-FR"/>
        </w:rPr>
        <w:t xml:space="preserve">Le nord-est de l’océan Atlantique, au large de la côte ouest de l’Irlande, est le principal lieu de pêche de EBFT de la flottille japonaise. La saison de pêche commence généralement à la fin du mois de septembre et s’achève au début du mois de janvier. La zone de pêche de EBFT est éloignée des zones de pêche du thon obèse, qui est une autre cible principale pour la flottille japonaise et capturée autour de l'équateur. Cela signifie que les LSTLV qui ciblent le EBFT se distinguent, par leur emplacement, des LSTLV qui ciblent d’autres poissons, tels que le thon obèse. </w:t>
      </w:r>
      <w:r w:rsidR="00A1495F" w:rsidRPr="004E13E9">
        <w:rPr>
          <w:rFonts w:eastAsia="MS Gothic" w:cs="Times New Roman"/>
          <w:bCs/>
          <w:i/>
          <w:iCs/>
          <w:lang w:val="fr-FR" w:eastAsia="fr-FR" w:bidi="fr-FR"/>
        </w:rPr>
        <w:br w:type="page"/>
      </w:r>
    </w:p>
    <w:p w14:paraId="7E923BBE" w14:textId="619D283C" w:rsidR="006A3093" w:rsidRPr="004E13E9" w:rsidRDefault="006A3093" w:rsidP="006A3093">
      <w:pPr>
        <w:widowControl w:val="0"/>
        <w:ind w:left="426" w:hanging="426"/>
        <w:jc w:val="both"/>
        <w:rPr>
          <w:rFonts w:eastAsia="MS Gothic" w:cs="Times New Roman"/>
          <w:bCs/>
          <w:i/>
          <w:iCs/>
          <w:lang w:val="fr-FR" w:eastAsia="fr-FR" w:bidi="fr-FR"/>
        </w:rPr>
      </w:pPr>
      <w:r w:rsidRPr="004E13E9">
        <w:rPr>
          <w:rFonts w:eastAsia="MS Gothic" w:cs="Times New Roman"/>
          <w:bCs/>
          <w:i/>
          <w:iCs/>
          <w:lang w:val="fr-FR" w:eastAsia="fr-FR" w:bidi="fr-FR"/>
        </w:rPr>
        <w:t xml:space="preserve">(ii) </w:t>
      </w:r>
      <w:r w:rsidRPr="004E13E9">
        <w:rPr>
          <w:rFonts w:eastAsia="MS Gothic" w:cs="Times New Roman"/>
          <w:bCs/>
          <w:i/>
          <w:iCs/>
          <w:lang w:val="fr-FR" w:eastAsia="fr-FR" w:bidi="fr-FR"/>
        </w:rPr>
        <w:tab/>
        <w:t>Suivi de la pêcherie de EBFT conformément à la Rec. 25-04 et autres mesures de l'ICCAT</w:t>
      </w:r>
    </w:p>
    <w:p w14:paraId="4B0AE00F" w14:textId="77777777" w:rsidR="006A3093" w:rsidRPr="004E13E9" w:rsidRDefault="006A3093" w:rsidP="006A3093">
      <w:pPr>
        <w:widowControl w:val="0"/>
        <w:ind w:firstLine="720"/>
        <w:jc w:val="both"/>
        <w:rPr>
          <w:rFonts w:eastAsia="MS Gothic" w:cs="Times New Roman"/>
          <w:lang w:val="fr-FR" w:eastAsia="fr-FR" w:bidi="fr-FR"/>
        </w:rPr>
      </w:pPr>
    </w:p>
    <w:p w14:paraId="7B4278FC" w14:textId="77777777"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lang w:val="fr-FR" w:eastAsia="fr-FR" w:bidi="fr-FR"/>
        </w:rPr>
        <w:t xml:space="preserve">La FAJ fait un suivi permanent des emplacements des LSTLV dans l’ensemble de l’océan Atlantique par le biais du VMS. L'agence délivre des autorisations aux LSTLV afin qu’ils réalisent des activités de pêche de EBFT et leur attribue des quotas. La FAJ veille par le biais du VMS à ce que les LSTLV sans autorisation ni quota n’opèrent pas dans les zones de pêche de EBFT. En outre, la FAJ exige que les navires autorisés transmettent un rapport de capture quotidien à la FAJ pendant la saison de pêche du thon rouge. La FAJ surveille de près les captures cumulées pour s'assurer que les navires autorisés respectent leurs quotas. </w:t>
      </w:r>
    </w:p>
    <w:p w14:paraId="40285E13" w14:textId="77777777" w:rsidR="006A3093" w:rsidRPr="004E13E9" w:rsidRDefault="006A3093" w:rsidP="006A3093">
      <w:pPr>
        <w:widowControl w:val="0"/>
        <w:jc w:val="both"/>
        <w:rPr>
          <w:rFonts w:eastAsia="MS Gothic" w:cs="Times New Roman"/>
          <w:lang w:val="fr-FR" w:eastAsia="fr-FR" w:bidi="fr-FR"/>
        </w:rPr>
      </w:pPr>
    </w:p>
    <w:p w14:paraId="67ADC28F" w14:textId="77777777"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lang w:val="fr-FR" w:eastAsia="fr-FR" w:bidi="fr-FR"/>
        </w:rPr>
        <w:t>La FAJ distribue les marques officielles uniquement aux LSTLV disposant de quotas de EBFT. L'ordonnance ministérielle exige que les pêcheurs japonais apposent la marque sur chaque thon rouge qu’ils ont capturé. Le débarquement de tout EBFT sans marque constitue une infraction de l’ordonnance ministérielle.</w:t>
      </w:r>
    </w:p>
    <w:p w14:paraId="100DE8FB" w14:textId="77777777" w:rsidR="006A3093" w:rsidRPr="004E13E9" w:rsidRDefault="006A3093" w:rsidP="006A3093">
      <w:pPr>
        <w:widowControl w:val="0"/>
        <w:jc w:val="both"/>
        <w:rPr>
          <w:rFonts w:eastAsia="Yu Mincho" w:cs="Times New Roman"/>
          <w:color w:val="000000"/>
          <w:szCs w:val="22"/>
          <w:lang w:val="fr-FR"/>
        </w:rPr>
      </w:pPr>
    </w:p>
    <w:p w14:paraId="00AF906C" w14:textId="77777777"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lang w:val="fr-FR" w:eastAsia="fr-FR" w:bidi="fr-FR"/>
        </w:rPr>
        <w:t>Les exigences en matière de déclaration concernant le transbordement sont également définies dans l'ordonnance ministérielle. Les LSTLV doivent obtenir l'autorisation de la FAJ avant le transbordement dans les ports. La FAJ reçoit également une déclaration de transbordement conforme à la Recommandation de l'ICCAT. La FAJ examine ces informations et vérifie la cohérence avec le montant des captures cumulées. Ces informations seront vérifiées lors des inspections des débarquements effectuées par les inspecteurs de la FAJ lors du débarquement du thon rouge au Japon.</w:t>
      </w:r>
    </w:p>
    <w:p w14:paraId="6A442B4A" w14:textId="77777777" w:rsidR="006A3093" w:rsidRPr="004E13E9" w:rsidRDefault="006A3093" w:rsidP="006A3093">
      <w:pPr>
        <w:widowControl w:val="0"/>
        <w:ind w:left="720"/>
        <w:contextualSpacing/>
        <w:jc w:val="both"/>
        <w:rPr>
          <w:rFonts w:eastAsia="MS Gothic" w:cs="Times New Roman"/>
          <w:lang w:val="fr-FR" w:eastAsia="ja-JP" w:bidi="fr-FR"/>
        </w:rPr>
      </w:pPr>
    </w:p>
    <w:p w14:paraId="543DAE98" w14:textId="77777777" w:rsidR="006A3093" w:rsidRPr="004E13E9" w:rsidRDefault="006A3093" w:rsidP="006A3093">
      <w:pPr>
        <w:widowControl w:val="0"/>
        <w:ind w:left="426" w:hanging="426"/>
        <w:jc w:val="both"/>
        <w:rPr>
          <w:rFonts w:eastAsia="MS Gothic" w:cs="Times New Roman"/>
          <w:bCs/>
          <w:i/>
          <w:iCs/>
          <w:lang w:val="fr-FR" w:eastAsia="fr-FR" w:bidi="fr-FR"/>
        </w:rPr>
      </w:pPr>
      <w:r w:rsidRPr="004E13E9">
        <w:rPr>
          <w:rFonts w:eastAsia="MS Gothic" w:cs="Times New Roman"/>
          <w:bCs/>
          <w:i/>
          <w:iCs/>
          <w:lang w:val="fr-FR" w:eastAsia="fr-FR" w:bidi="fr-FR"/>
        </w:rPr>
        <w:t xml:space="preserve">(iii) </w:t>
      </w:r>
      <w:r w:rsidRPr="004E13E9">
        <w:rPr>
          <w:rFonts w:eastAsia="MS Gothic" w:cs="Times New Roman"/>
          <w:bCs/>
          <w:i/>
          <w:iCs/>
          <w:lang w:val="fr-FR" w:eastAsia="fr-FR" w:bidi="fr-FR"/>
        </w:rPr>
        <w:tab/>
        <w:t>Mesure complémentaire adoptée par la FAJ (1) - Très faible capacité des LSTLV japonais</w:t>
      </w:r>
    </w:p>
    <w:p w14:paraId="5D5FD40F" w14:textId="77777777" w:rsidR="006A3093" w:rsidRPr="004E13E9" w:rsidRDefault="006A3093" w:rsidP="006A3093">
      <w:pPr>
        <w:widowControl w:val="0"/>
        <w:jc w:val="both"/>
        <w:rPr>
          <w:rFonts w:eastAsia="MS Gothic" w:cs="Times New Roman"/>
          <w:lang w:val="fr-FR" w:eastAsia="fr-FR" w:bidi="fr-FR"/>
        </w:rPr>
      </w:pPr>
    </w:p>
    <w:p w14:paraId="4057314B" w14:textId="77777777"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lang w:val="fr-FR" w:eastAsia="fr-FR" w:bidi="fr-FR"/>
        </w:rPr>
        <w:t>En outre, la FAJ limitera le nombre de navires de capture pêchant le thon rouge bien au-dessous de la limite énoncée dans la Recommandation 25-04. Le tableau de la capacité montre que le nombre de navires de la flottille japonaise de EBFT est très faible (40 navires lors de la saison de pêche 2026 prévus à compter du 21 janvier 2026), par rapport à la limite calculée conformément à la Rec. 25-04 et les recommandations antérieures (4.008,16 t (quota disponible)/25 t (pour un LSTLV supérieur à 40 m) = 160,33 navires).</w:t>
      </w:r>
    </w:p>
    <w:p w14:paraId="6C0AEF06" w14:textId="77777777" w:rsidR="006A3093" w:rsidRPr="004E13E9" w:rsidRDefault="006A3093" w:rsidP="006A3093">
      <w:pPr>
        <w:widowControl w:val="0"/>
        <w:ind w:left="426" w:hanging="426"/>
        <w:jc w:val="both"/>
        <w:rPr>
          <w:rFonts w:eastAsia="MS Gothic" w:cs="Times New Roman"/>
          <w:bCs/>
          <w:i/>
          <w:iCs/>
          <w:lang w:val="fr-FR" w:eastAsia="fr-FR" w:bidi="fr-FR"/>
        </w:rPr>
      </w:pPr>
    </w:p>
    <w:p w14:paraId="7A809EC7" w14:textId="77777777" w:rsidR="006A3093" w:rsidRPr="004E13E9" w:rsidRDefault="006A3093" w:rsidP="006A3093">
      <w:pPr>
        <w:widowControl w:val="0"/>
        <w:ind w:left="426" w:hanging="426"/>
        <w:jc w:val="both"/>
        <w:rPr>
          <w:rFonts w:eastAsia="MS Gothic" w:cs="Times New Roman"/>
          <w:bCs/>
          <w:i/>
          <w:iCs/>
          <w:lang w:val="fr-FR" w:eastAsia="fr-FR" w:bidi="fr-FR"/>
        </w:rPr>
      </w:pPr>
      <w:r w:rsidRPr="004E13E9">
        <w:rPr>
          <w:rFonts w:eastAsia="MS Gothic" w:cs="Times New Roman"/>
          <w:bCs/>
          <w:i/>
          <w:iCs/>
          <w:lang w:val="fr-FR" w:eastAsia="fr-FR" w:bidi="fr-FR"/>
        </w:rPr>
        <w:t xml:space="preserve">(iv) </w:t>
      </w:r>
      <w:r w:rsidRPr="004E13E9">
        <w:rPr>
          <w:rFonts w:eastAsia="MS Gothic" w:cs="Times New Roman"/>
          <w:bCs/>
          <w:i/>
          <w:iCs/>
          <w:lang w:val="fr-FR" w:eastAsia="fr-FR" w:bidi="fr-FR"/>
        </w:rPr>
        <w:tab/>
        <w:t>Mesure supplémentaire adoptée par la FAJ (2) - Inspection à 100% des débarquements par les fonctionnaires de la FAJ</w:t>
      </w:r>
    </w:p>
    <w:p w14:paraId="3358442F" w14:textId="77777777" w:rsidR="006A3093" w:rsidRPr="004E13E9" w:rsidRDefault="006A3093" w:rsidP="006A3093">
      <w:pPr>
        <w:widowControl w:val="0"/>
        <w:ind w:firstLine="720"/>
        <w:jc w:val="both"/>
        <w:rPr>
          <w:rFonts w:eastAsia="MS Gothic" w:cs="Times New Roman"/>
          <w:lang w:val="fr-FR" w:eastAsia="fr-FR" w:bidi="fr-FR"/>
        </w:rPr>
      </w:pPr>
    </w:p>
    <w:p w14:paraId="5C3C9DB5" w14:textId="77777777" w:rsidR="006A3093" w:rsidRPr="004E13E9" w:rsidRDefault="006A3093" w:rsidP="006A3093">
      <w:pPr>
        <w:jc w:val="both"/>
        <w:rPr>
          <w:rFonts w:eastAsia="Yu Mincho" w:cs="Times New Roman"/>
          <w:szCs w:val="22"/>
          <w:lang w:val="fr-FR"/>
        </w:rPr>
      </w:pPr>
      <w:r w:rsidRPr="004E13E9">
        <w:rPr>
          <w:rFonts w:eastAsia="MS Gothic" w:cs="Times New Roman"/>
          <w:lang w:val="fr-FR" w:eastAsia="fr-FR" w:bidi="fr-FR"/>
        </w:rPr>
        <w:t xml:space="preserve">L'ordonnance ministérielle interdit le débarquement de thon rouge dans tout port étranger. Tous les thons capturés par les pêcheurs japonais, y compris ceux acheminés par des navires de charge, doivent être débarqués dans 10 ports désignés du Japon. Ces ports sont la destination finale du thon rouge capturé par des pêcheurs japonais ; ce système permet à la FAJ de procéder à des inspections directes des débarquements d’EBFT débarqué. En fait, la FAJ a mis en œuvre des inspections intégrales des débarquements d’EBFT capturé par les LSTLV japonais depuis 2009. Une série d'informations collectées au moyen des mesures de suivi, contrôle et </w:t>
      </w:r>
      <w:proofErr w:type="gramStart"/>
      <w:r w:rsidRPr="004E13E9">
        <w:rPr>
          <w:rFonts w:eastAsia="MS Gothic" w:cs="Times New Roman"/>
          <w:lang w:val="fr-FR" w:eastAsia="fr-FR" w:bidi="fr-FR"/>
        </w:rPr>
        <w:t>surveillance mentionnées</w:t>
      </w:r>
      <w:proofErr w:type="gramEnd"/>
      <w:r w:rsidRPr="004E13E9">
        <w:rPr>
          <w:rFonts w:eastAsia="MS Gothic" w:cs="Times New Roman"/>
          <w:lang w:val="fr-FR" w:eastAsia="fr-FR" w:bidi="fr-FR"/>
        </w:rPr>
        <w:t xml:space="preserve"> ci-dessus (par exemple, poids et nombre d'EBFT, apposition de marques en plastique) sont utilisées lors des inspections débarquements. </w:t>
      </w:r>
      <w:r w:rsidRPr="004E13E9">
        <w:rPr>
          <w:rFonts w:eastAsia="Yu Mincho" w:cs="Times New Roman"/>
          <w:szCs w:val="22"/>
          <w:lang w:val="fr-FR"/>
        </w:rPr>
        <w:t>Cette inspection de 100% des débarquements est mise en œuvre comme l'une des mesures alternatives conformément à la Recommandation 25-04, paragraphe 234.</w:t>
      </w:r>
    </w:p>
    <w:p w14:paraId="4334E298" w14:textId="77777777" w:rsidR="00A1495F" w:rsidRPr="004E13E9" w:rsidRDefault="00A1495F" w:rsidP="006A3093">
      <w:pPr>
        <w:widowControl w:val="0"/>
        <w:ind w:left="426" w:hanging="426"/>
        <w:jc w:val="both"/>
        <w:rPr>
          <w:rFonts w:eastAsia="MS Gothic" w:cs="Times New Roman"/>
          <w:bCs/>
          <w:i/>
          <w:iCs/>
          <w:lang w:val="fr-FR" w:eastAsia="fr-FR" w:bidi="fr-FR"/>
        </w:rPr>
      </w:pPr>
    </w:p>
    <w:p w14:paraId="4EC51526" w14:textId="1F2756AD" w:rsidR="006A3093" w:rsidRPr="004E13E9" w:rsidRDefault="006A3093" w:rsidP="006A3093">
      <w:pPr>
        <w:widowControl w:val="0"/>
        <w:ind w:left="426" w:hanging="426"/>
        <w:jc w:val="both"/>
        <w:rPr>
          <w:rFonts w:eastAsia="MS Gothic" w:cs="Times New Roman"/>
          <w:b/>
          <w:lang w:val="fr-FR" w:eastAsia="fr-FR" w:bidi="fr-FR"/>
        </w:rPr>
      </w:pPr>
      <w:r w:rsidRPr="004E13E9">
        <w:rPr>
          <w:rFonts w:eastAsia="MS Gothic" w:cs="Times New Roman"/>
          <w:bCs/>
          <w:i/>
          <w:iCs/>
          <w:lang w:val="fr-FR" w:eastAsia="fr-FR" w:bidi="fr-FR"/>
        </w:rPr>
        <w:t>(v)</w:t>
      </w:r>
      <w:r w:rsidRPr="004E13E9">
        <w:rPr>
          <w:rFonts w:eastAsia="MS Gothic" w:cs="Times New Roman"/>
          <w:bCs/>
          <w:i/>
          <w:iCs/>
          <w:lang w:val="fr-FR" w:eastAsia="fr-FR" w:bidi="fr-FR"/>
        </w:rPr>
        <w:tab/>
        <w:t>Coopération avec l'État du port et l'État importateur</w:t>
      </w:r>
    </w:p>
    <w:p w14:paraId="79C92359" w14:textId="77777777" w:rsidR="006A3093" w:rsidRPr="004E13E9" w:rsidRDefault="006A3093" w:rsidP="006A3093">
      <w:pPr>
        <w:widowControl w:val="0"/>
        <w:jc w:val="both"/>
        <w:rPr>
          <w:rFonts w:eastAsia="MS Gothic" w:cs="Times New Roman"/>
          <w:lang w:val="fr-FR" w:eastAsia="fr-FR" w:bidi="fr-FR"/>
        </w:rPr>
      </w:pPr>
    </w:p>
    <w:p w14:paraId="345E17A7" w14:textId="77777777" w:rsidR="006A3093" w:rsidRPr="004E13E9" w:rsidRDefault="006A3093" w:rsidP="006A3093">
      <w:pPr>
        <w:jc w:val="both"/>
        <w:rPr>
          <w:rFonts w:eastAsia="Yu Mincho" w:cs="Times New Roman"/>
          <w:szCs w:val="22"/>
          <w:lang w:val="fr-FR"/>
        </w:rPr>
      </w:pPr>
      <w:r w:rsidRPr="004E13E9">
        <w:rPr>
          <w:rFonts w:eastAsia="Yu Mincho" w:cs="Times New Roman"/>
          <w:szCs w:val="22"/>
          <w:lang w:val="fr-FR"/>
        </w:rPr>
        <w:t xml:space="preserve">De nombreux BFT-E capturés par les LSTLV japonais sont également soumis à une inspection au port par les CPC côtières. Lorsque les LSTLV ont épuisé leurs quotas individuels de thon rouge, ils se dirigent généralement vers l'un des sept ports étrangers désignés (voir 1e) pour des transbordements de thon rouge au port, conformément à la Recommandation 25-04. Au cours de ce transbordement au port, les LSTLV peuvent être soumis à des inspections par l'État du port conformément à la Recommandation 25-11. </w:t>
      </w:r>
    </w:p>
    <w:p w14:paraId="18BE2123" w14:textId="77777777" w:rsidR="006A3093" w:rsidRPr="004E13E9" w:rsidRDefault="006A3093" w:rsidP="006A3093">
      <w:pPr>
        <w:jc w:val="both"/>
        <w:rPr>
          <w:rFonts w:eastAsia="Yu Mincho" w:cs="Times New Roman"/>
          <w:szCs w:val="22"/>
          <w:lang w:val="fr-FR"/>
        </w:rPr>
      </w:pPr>
    </w:p>
    <w:p w14:paraId="5109E96C" w14:textId="77777777" w:rsidR="006A3093" w:rsidRPr="004E13E9" w:rsidRDefault="006A3093" w:rsidP="006A3093">
      <w:pPr>
        <w:jc w:val="both"/>
        <w:rPr>
          <w:rFonts w:eastAsia="MS Gothic" w:cs="Times New Roman"/>
          <w:lang w:val="fr-FR" w:eastAsia="fr-FR" w:bidi="fr-FR"/>
        </w:rPr>
      </w:pPr>
      <w:r w:rsidRPr="004E13E9">
        <w:rPr>
          <w:rFonts w:eastAsia="Yu Mincho" w:cs="Times New Roman"/>
          <w:szCs w:val="22"/>
          <w:lang w:val="fr-FR"/>
        </w:rPr>
        <w:t xml:space="preserve">Le Japon exige que les thons rouges de l’Est capturés par les navires japonais soient débarqués dans l'un des ports japonais désignés. Par conséquent, les navires transporteurs doivent se rendre au Japon pour débarquer les thons rouges de l’Est. </w:t>
      </w:r>
      <w:r w:rsidRPr="004E13E9">
        <w:rPr>
          <w:rFonts w:eastAsia="MS Gothic" w:cs="Times New Roman"/>
          <w:lang w:val="fr-FR" w:eastAsia="fr-FR" w:bidi="fr-FR"/>
        </w:rPr>
        <w:t>Il est rare qu’un navire de capture transportant du EBFT rentre au Japon à la fin de la saison de pêche du thon rouge, car, dans la plupart des cas, les LSTLV japonais changent d’espèce-cible et se mettent à pêcher du thon obèse (en se déplaçant vers le Sud) et poursuivent leurs opérations dans la zone de l’ICCAT.</w:t>
      </w:r>
    </w:p>
    <w:p w14:paraId="044CA66F" w14:textId="77777777" w:rsidR="006A3093" w:rsidRPr="004E13E9" w:rsidRDefault="006A3093" w:rsidP="006A3093">
      <w:pPr>
        <w:widowControl w:val="0"/>
        <w:jc w:val="both"/>
        <w:rPr>
          <w:rFonts w:eastAsia="MS Gothic" w:cs="Times New Roman"/>
          <w:b/>
          <w:lang w:val="fr-FR" w:eastAsia="ja-JP" w:bidi="fr-FR"/>
        </w:rPr>
      </w:pPr>
    </w:p>
    <w:p w14:paraId="2F14F6D0" w14:textId="77777777" w:rsidR="00A1495F" w:rsidRPr="004E13E9" w:rsidRDefault="00A1495F">
      <w:pPr>
        <w:rPr>
          <w:rFonts w:eastAsia="MS Gothic" w:cs="Times New Roman"/>
          <w:bCs/>
          <w:i/>
          <w:iCs/>
          <w:lang w:val="fr-FR" w:eastAsia="fr-FR" w:bidi="fr-FR"/>
        </w:rPr>
      </w:pPr>
      <w:r w:rsidRPr="004E13E9">
        <w:rPr>
          <w:rFonts w:eastAsia="MS Gothic" w:cs="Times New Roman"/>
          <w:bCs/>
          <w:i/>
          <w:iCs/>
          <w:lang w:val="fr-FR" w:eastAsia="fr-FR" w:bidi="fr-FR"/>
        </w:rPr>
        <w:br w:type="page"/>
      </w:r>
    </w:p>
    <w:p w14:paraId="0B99ADC5" w14:textId="5EE5C073" w:rsidR="006A3093" w:rsidRPr="004E13E9" w:rsidRDefault="006A3093" w:rsidP="006A3093">
      <w:pPr>
        <w:widowControl w:val="0"/>
        <w:ind w:left="426" w:hanging="426"/>
        <w:jc w:val="both"/>
        <w:rPr>
          <w:rFonts w:eastAsia="MS Gothic" w:cs="Times New Roman"/>
          <w:b/>
          <w:lang w:val="fr-FR" w:eastAsia="fr-FR" w:bidi="fr-FR"/>
        </w:rPr>
      </w:pPr>
      <w:r w:rsidRPr="004E13E9">
        <w:rPr>
          <w:rFonts w:eastAsia="MS Gothic" w:cs="Times New Roman"/>
          <w:bCs/>
          <w:i/>
          <w:iCs/>
          <w:lang w:val="fr-FR" w:eastAsia="fr-FR" w:bidi="fr-FR"/>
        </w:rPr>
        <w:t>(vi)</w:t>
      </w:r>
      <w:r w:rsidRPr="004E13E9">
        <w:rPr>
          <w:rFonts w:eastAsia="MS Gothic" w:cs="Times New Roman"/>
          <w:bCs/>
          <w:i/>
          <w:iCs/>
          <w:lang w:val="fr-FR" w:eastAsia="fr-FR" w:bidi="fr-FR"/>
        </w:rPr>
        <w:tab/>
        <w:t>Analyse des risques de la pêche illicite du thon rouge</w:t>
      </w:r>
    </w:p>
    <w:p w14:paraId="21AC0FF2" w14:textId="77777777" w:rsidR="006A3093" w:rsidRPr="004E13E9" w:rsidRDefault="006A3093" w:rsidP="006A3093">
      <w:pPr>
        <w:widowControl w:val="0"/>
        <w:jc w:val="both"/>
        <w:rPr>
          <w:rFonts w:eastAsia="MS Gothic" w:cs="Times New Roman"/>
          <w:lang w:val="fr-FR" w:eastAsia="fr-FR" w:bidi="fr-FR"/>
        </w:rPr>
      </w:pPr>
    </w:p>
    <w:p w14:paraId="60EC854A" w14:textId="77777777"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lang w:val="fr-FR" w:eastAsia="fr-FR" w:bidi="fr-FR"/>
        </w:rPr>
        <w:t>Dans un cas hypothétique où un grand palangrier thonier japonais capture illégalement le thon rouge malgré les mesures de suivi, contrôle et surveillance décrites ci-dessus, le navire doit vendre le poisson quelque part dans le monde. L’État importateur, en particulier s’il est membre de l’ICCAT, exigera un document électronique de documentation des captures de thon rouge (eBCD) pour importer l</w:t>
      </w:r>
      <w:r w:rsidRPr="004E13E9">
        <w:rPr>
          <w:rFonts w:eastAsia="MS Gothic" w:cs="Times New Roman"/>
          <w:caps/>
          <w:lang w:val="fr-FR" w:eastAsia="fr-FR" w:bidi="fr-FR"/>
        </w:rPr>
        <w:t>’e</w:t>
      </w:r>
      <w:r w:rsidRPr="004E13E9">
        <w:rPr>
          <w:rFonts w:eastAsia="MS Gothic" w:cs="Times New Roman"/>
          <w:lang w:val="fr-FR" w:eastAsia="fr-FR" w:bidi="fr-FR"/>
        </w:rPr>
        <w:t>BFT. Cependant, la FAJ ne validera jamais l’eBCD pour l'exportation de ces poissons vers les États de marché.</w:t>
      </w:r>
    </w:p>
    <w:p w14:paraId="6CC24192" w14:textId="77777777" w:rsidR="006A3093" w:rsidRPr="004E13E9" w:rsidRDefault="006A3093" w:rsidP="006A3093">
      <w:pPr>
        <w:widowControl w:val="0"/>
        <w:jc w:val="both"/>
        <w:rPr>
          <w:rFonts w:eastAsia="MS Gothic" w:cs="Times New Roman"/>
          <w:lang w:val="fr-FR" w:eastAsia="fr-FR" w:bidi="fr-FR"/>
        </w:rPr>
      </w:pPr>
    </w:p>
    <w:p w14:paraId="735A6822" w14:textId="77777777"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lang w:val="fr-FR" w:eastAsia="fr-FR" w:bidi="fr-FR"/>
        </w:rPr>
        <w:t xml:space="preserve">Dans un autre cas hypothétique, si un LSTLV japonais capture illégalement du thon rouge et tente de le ramener au Japon, ce type d’EBFT capturé illégalement ne pourra pas être débarqué et peut être facilement identifié par les inspections des débarquements de la FAJ ou des opérateurs commerciaux au Japon parce qu’une marque officielle n’est pas apposée sur le poisson et que le poisson n’est pas accompagné d’un eBCD. En outre, l'ordonnance ministérielle interdit aux opérateurs commerciaux d'acheter ces poissons illégaux. </w:t>
      </w:r>
    </w:p>
    <w:p w14:paraId="6E59E858" w14:textId="77777777" w:rsidR="006A3093" w:rsidRPr="004E13E9" w:rsidRDefault="006A3093" w:rsidP="006A3093">
      <w:pPr>
        <w:widowControl w:val="0"/>
        <w:jc w:val="both"/>
        <w:rPr>
          <w:rFonts w:eastAsia="MS Gothic" w:cs="Times New Roman"/>
          <w:bCs/>
          <w:i/>
          <w:iCs/>
          <w:lang w:val="fr-FR" w:eastAsia="fr-FR" w:bidi="fr-FR"/>
        </w:rPr>
      </w:pPr>
    </w:p>
    <w:p w14:paraId="0A336BE3" w14:textId="77777777" w:rsidR="006A3093" w:rsidRPr="004E13E9" w:rsidRDefault="006A3093" w:rsidP="006A3093">
      <w:pPr>
        <w:tabs>
          <w:tab w:val="left" w:pos="426"/>
        </w:tabs>
        <w:spacing w:after="160" w:line="259" w:lineRule="auto"/>
        <w:rPr>
          <w:rFonts w:eastAsia="Yu Mincho" w:cs="Times New Roman"/>
          <w:color w:val="000000"/>
          <w:szCs w:val="22"/>
          <w:lang w:val="fr-FR"/>
        </w:rPr>
      </w:pPr>
      <w:r w:rsidRPr="004E13E9">
        <w:rPr>
          <w:rFonts w:eastAsia="MS Gothic" w:cs="Times New Roman"/>
          <w:bCs/>
          <w:i/>
          <w:iCs/>
          <w:lang w:val="fr-FR" w:eastAsia="fr-FR" w:bidi="fr-FR"/>
        </w:rPr>
        <w:t>(vii)</w:t>
      </w:r>
      <w:r w:rsidRPr="004E13E9">
        <w:rPr>
          <w:rFonts w:eastAsia="MS Gothic" w:cs="Times New Roman"/>
          <w:bCs/>
          <w:i/>
          <w:iCs/>
          <w:lang w:val="fr-FR" w:eastAsia="fr-FR" w:bidi="fr-FR"/>
        </w:rPr>
        <w:tab/>
        <w:t>Points de contact</w:t>
      </w:r>
    </w:p>
    <w:p w14:paraId="71BE96F0" w14:textId="77777777" w:rsidR="006A3093" w:rsidRPr="004E13E9" w:rsidRDefault="006A3093" w:rsidP="006A3093">
      <w:pPr>
        <w:widowControl w:val="0"/>
        <w:ind w:left="426"/>
        <w:contextualSpacing/>
        <w:jc w:val="both"/>
        <w:rPr>
          <w:rFonts w:eastAsia="Yu Mincho" w:cs="Times New Roman"/>
          <w:i/>
          <w:color w:val="000000"/>
          <w:szCs w:val="22"/>
          <w:lang w:val="fr-FR"/>
        </w:rPr>
      </w:pPr>
    </w:p>
    <w:tbl>
      <w:tblPr>
        <w:tblStyle w:val="TableGrid"/>
        <w:tblW w:w="0" w:type="auto"/>
        <w:tblInd w:w="-5" w:type="dxa"/>
        <w:tblLook w:val="04A0" w:firstRow="1" w:lastRow="0" w:firstColumn="1" w:lastColumn="0" w:noHBand="0" w:noVBand="1"/>
      </w:tblPr>
      <w:tblGrid>
        <w:gridCol w:w="2393"/>
        <w:gridCol w:w="3515"/>
        <w:gridCol w:w="3157"/>
      </w:tblGrid>
      <w:tr w:rsidR="006A3093" w:rsidRPr="004E13E9" w14:paraId="76D5543B" w14:textId="77777777" w:rsidTr="00BB4F69">
        <w:tc>
          <w:tcPr>
            <w:tcW w:w="2393" w:type="dxa"/>
          </w:tcPr>
          <w:p w14:paraId="37B16D39" w14:textId="77777777" w:rsidR="006A3093" w:rsidRPr="004E13E9" w:rsidRDefault="006A3093" w:rsidP="006A3093">
            <w:pPr>
              <w:contextualSpacing/>
              <w:rPr>
                <w:rFonts w:ascii="Cambria" w:hAnsi="Cambria"/>
                <w:iCs/>
                <w:sz w:val="16"/>
                <w:szCs w:val="16"/>
                <w:lang w:eastAsia="ja-JP"/>
              </w:rPr>
            </w:pPr>
            <w:r w:rsidRPr="004E13E9">
              <w:rPr>
                <w:rFonts w:ascii="Cambria" w:hAnsi="Cambria"/>
                <w:iCs/>
                <w:sz w:val="16"/>
                <w:szCs w:val="16"/>
                <w:lang w:eastAsia="ja-JP"/>
              </w:rPr>
              <w:t>Nom</w:t>
            </w:r>
          </w:p>
        </w:tc>
        <w:tc>
          <w:tcPr>
            <w:tcW w:w="3515" w:type="dxa"/>
          </w:tcPr>
          <w:p w14:paraId="2CB7FD3F" w14:textId="77777777" w:rsidR="006A3093" w:rsidRPr="004E13E9" w:rsidRDefault="006A3093" w:rsidP="006A3093">
            <w:pPr>
              <w:contextualSpacing/>
              <w:rPr>
                <w:rFonts w:ascii="Cambria" w:hAnsi="Cambria"/>
                <w:iCs/>
                <w:sz w:val="16"/>
                <w:szCs w:val="16"/>
                <w:lang w:eastAsia="ja-JP"/>
              </w:rPr>
            </w:pPr>
            <w:r w:rsidRPr="004E13E9">
              <w:rPr>
                <w:rFonts w:ascii="Cambria" w:hAnsi="Cambria"/>
                <w:iCs/>
                <w:sz w:val="16"/>
                <w:szCs w:val="16"/>
                <w:lang w:eastAsia="ja-JP"/>
              </w:rPr>
              <w:t>Adresse professionnelle</w:t>
            </w:r>
          </w:p>
        </w:tc>
        <w:tc>
          <w:tcPr>
            <w:tcW w:w="3157" w:type="dxa"/>
          </w:tcPr>
          <w:p w14:paraId="297B360D" w14:textId="77777777" w:rsidR="006A3093" w:rsidRPr="004E13E9" w:rsidRDefault="006A3093" w:rsidP="006A3093">
            <w:pPr>
              <w:contextualSpacing/>
              <w:rPr>
                <w:rFonts w:ascii="Cambria" w:hAnsi="Cambria"/>
                <w:iCs/>
                <w:sz w:val="16"/>
                <w:szCs w:val="16"/>
                <w:lang w:eastAsia="ja-JP"/>
              </w:rPr>
            </w:pPr>
            <w:r w:rsidRPr="004E13E9">
              <w:rPr>
                <w:rFonts w:ascii="Cambria" w:hAnsi="Cambria"/>
                <w:iCs/>
                <w:sz w:val="16"/>
                <w:szCs w:val="16"/>
                <w:lang w:eastAsia="ja-JP"/>
              </w:rPr>
              <w:t>E-mail</w:t>
            </w:r>
          </w:p>
        </w:tc>
      </w:tr>
      <w:tr w:rsidR="006A3093" w:rsidRPr="006A2397" w14:paraId="65386A2B" w14:textId="77777777" w:rsidTr="00BB4F69">
        <w:tc>
          <w:tcPr>
            <w:tcW w:w="2393" w:type="dxa"/>
          </w:tcPr>
          <w:p w14:paraId="710D4E85" w14:textId="77777777" w:rsidR="006A3093" w:rsidRPr="004E13E9" w:rsidRDefault="006A3093" w:rsidP="006A3093">
            <w:pPr>
              <w:contextualSpacing/>
              <w:rPr>
                <w:rFonts w:ascii="Cambria" w:hAnsi="Cambria"/>
                <w:iCs/>
                <w:sz w:val="16"/>
                <w:szCs w:val="16"/>
                <w:lang w:eastAsia="ja-JP"/>
              </w:rPr>
            </w:pPr>
            <w:r w:rsidRPr="004E13E9">
              <w:rPr>
                <w:rFonts w:ascii="Cambria" w:hAnsi="Cambria"/>
                <w:sz w:val="16"/>
                <w:szCs w:val="16"/>
                <w:lang w:eastAsia="ja-JP"/>
              </w:rPr>
              <w:t>Chika FUKUGAMA</w:t>
            </w:r>
          </w:p>
        </w:tc>
        <w:tc>
          <w:tcPr>
            <w:tcW w:w="3515" w:type="dxa"/>
          </w:tcPr>
          <w:p w14:paraId="268A4485" w14:textId="77777777" w:rsidR="006A3093" w:rsidRPr="004E13E9" w:rsidRDefault="006A3093" w:rsidP="006A3093">
            <w:pPr>
              <w:contextualSpacing/>
              <w:rPr>
                <w:rFonts w:ascii="Cambria" w:hAnsi="Cambria"/>
                <w:iCs/>
                <w:sz w:val="16"/>
                <w:szCs w:val="16"/>
                <w:lang w:eastAsia="ja-JP"/>
              </w:rPr>
            </w:pPr>
            <w:r w:rsidRPr="004E13E9">
              <w:rPr>
                <w:rFonts w:ascii="Cambria" w:hAnsi="Cambria"/>
                <w:iCs/>
                <w:sz w:val="16"/>
                <w:szCs w:val="16"/>
                <w:lang w:eastAsia="ja-JP"/>
              </w:rPr>
              <w:t>Division des affaires internationales, Agence de la pêche du Japon</w:t>
            </w:r>
          </w:p>
        </w:tc>
        <w:tc>
          <w:tcPr>
            <w:tcW w:w="3157" w:type="dxa"/>
          </w:tcPr>
          <w:p w14:paraId="21737411" w14:textId="77777777" w:rsidR="006A3093" w:rsidRPr="004E13E9" w:rsidRDefault="006A3093" w:rsidP="006A3093">
            <w:pPr>
              <w:contextualSpacing/>
              <w:rPr>
                <w:rFonts w:ascii="Cambria" w:hAnsi="Cambria"/>
                <w:iCs/>
                <w:sz w:val="16"/>
                <w:szCs w:val="16"/>
                <w:lang w:eastAsia="ja-JP"/>
              </w:rPr>
            </w:pPr>
            <w:r w:rsidRPr="004E13E9">
              <w:rPr>
                <w:rFonts w:ascii="Cambria" w:hAnsi="Cambria"/>
                <w:iCs/>
                <w:sz w:val="16"/>
                <w:szCs w:val="16"/>
                <w:lang w:eastAsia="ja-JP"/>
              </w:rPr>
              <w:t>chika_fukugama740@maff.go.jp</w:t>
            </w:r>
          </w:p>
        </w:tc>
      </w:tr>
      <w:tr w:rsidR="006A3093" w:rsidRPr="006A2397" w14:paraId="247F0C24" w14:textId="77777777" w:rsidTr="00BB4F69">
        <w:tc>
          <w:tcPr>
            <w:tcW w:w="2393" w:type="dxa"/>
          </w:tcPr>
          <w:p w14:paraId="404DE417" w14:textId="77777777" w:rsidR="006A3093" w:rsidRPr="004E13E9" w:rsidRDefault="006A3093" w:rsidP="006A3093">
            <w:pPr>
              <w:contextualSpacing/>
              <w:rPr>
                <w:rFonts w:ascii="Cambria" w:hAnsi="Cambria"/>
                <w:iCs/>
                <w:sz w:val="16"/>
                <w:szCs w:val="16"/>
                <w:lang w:eastAsia="ja-JP"/>
              </w:rPr>
            </w:pPr>
            <w:r w:rsidRPr="004E13E9">
              <w:rPr>
                <w:rFonts w:ascii="Cambria" w:hAnsi="Cambria"/>
                <w:iCs/>
                <w:sz w:val="16"/>
                <w:szCs w:val="16"/>
                <w:lang w:eastAsia="ja-JP"/>
              </w:rPr>
              <w:t>Masataka KAWANO</w:t>
            </w:r>
          </w:p>
        </w:tc>
        <w:tc>
          <w:tcPr>
            <w:tcW w:w="3515" w:type="dxa"/>
          </w:tcPr>
          <w:p w14:paraId="0734127D" w14:textId="77777777" w:rsidR="006A3093" w:rsidRPr="004E13E9" w:rsidRDefault="006A3093" w:rsidP="006A3093">
            <w:pPr>
              <w:contextualSpacing/>
              <w:rPr>
                <w:rFonts w:ascii="Cambria" w:hAnsi="Cambria"/>
                <w:iCs/>
                <w:sz w:val="16"/>
                <w:szCs w:val="16"/>
                <w:lang w:eastAsia="ja-JP"/>
              </w:rPr>
            </w:pPr>
            <w:r w:rsidRPr="004E13E9">
              <w:rPr>
                <w:rFonts w:ascii="Cambria" w:hAnsi="Cambria"/>
                <w:iCs/>
                <w:sz w:val="16"/>
                <w:szCs w:val="16"/>
                <w:lang w:eastAsia="ja-JP"/>
              </w:rPr>
              <w:t>Division des affaires internationales, Agence de la pêche du Japon</w:t>
            </w:r>
          </w:p>
        </w:tc>
        <w:tc>
          <w:tcPr>
            <w:tcW w:w="3157" w:type="dxa"/>
          </w:tcPr>
          <w:p w14:paraId="73B5E780" w14:textId="77777777" w:rsidR="006A3093" w:rsidRPr="004E13E9" w:rsidRDefault="006A3093" w:rsidP="006A3093">
            <w:pPr>
              <w:contextualSpacing/>
              <w:rPr>
                <w:rFonts w:ascii="Cambria" w:hAnsi="Cambria"/>
                <w:iCs/>
                <w:sz w:val="16"/>
                <w:szCs w:val="16"/>
                <w:lang w:eastAsia="ja-JP"/>
              </w:rPr>
            </w:pPr>
            <w:r w:rsidRPr="004E13E9">
              <w:rPr>
                <w:rFonts w:ascii="Cambria" w:hAnsi="Cambria"/>
                <w:iCs/>
                <w:sz w:val="16"/>
                <w:szCs w:val="16"/>
                <w:lang w:eastAsia="ja-JP"/>
              </w:rPr>
              <w:t>masataka_kawano320@maff.go.jp</w:t>
            </w:r>
          </w:p>
        </w:tc>
      </w:tr>
    </w:tbl>
    <w:p w14:paraId="3901979F" w14:textId="77777777" w:rsidR="006A3093" w:rsidRPr="004E13E9" w:rsidRDefault="006A3093" w:rsidP="006A3093">
      <w:pPr>
        <w:widowControl w:val="0"/>
        <w:jc w:val="both"/>
        <w:rPr>
          <w:rFonts w:eastAsia="MS Gothic" w:cs="Times New Roman"/>
          <w:bCs/>
          <w:i/>
          <w:iCs/>
          <w:lang w:val="fr-FR" w:eastAsia="fr-FR" w:bidi="fr-FR"/>
        </w:rPr>
      </w:pPr>
    </w:p>
    <w:p w14:paraId="0D2280BD" w14:textId="77777777" w:rsidR="006A3093" w:rsidRPr="004E13E9" w:rsidRDefault="006A3093" w:rsidP="006A3093">
      <w:pPr>
        <w:widowControl w:val="0"/>
        <w:ind w:left="426" w:hanging="426"/>
        <w:jc w:val="both"/>
        <w:rPr>
          <w:rFonts w:eastAsia="MS Gothic" w:cs="Times New Roman"/>
          <w:b/>
          <w:lang w:val="fr-FR" w:eastAsia="fr-FR" w:bidi="fr-FR"/>
        </w:rPr>
      </w:pPr>
      <w:r w:rsidRPr="004E13E9">
        <w:rPr>
          <w:rFonts w:eastAsia="MS Gothic" w:cs="Times New Roman"/>
          <w:bCs/>
          <w:i/>
          <w:iCs/>
          <w:lang w:val="fr-FR" w:eastAsia="fr-FR" w:bidi="fr-FR"/>
        </w:rPr>
        <w:t>(viii)</w:t>
      </w:r>
      <w:r w:rsidRPr="004E13E9">
        <w:rPr>
          <w:rFonts w:eastAsia="MS Gothic" w:cs="Times New Roman"/>
          <w:bCs/>
          <w:i/>
          <w:iCs/>
          <w:lang w:val="fr-FR" w:eastAsia="fr-FR" w:bidi="fr-FR"/>
        </w:rPr>
        <w:tab/>
        <w:t>Conclusion</w:t>
      </w:r>
    </w:p>
    <w:p w14:paraId="7FB17B31" w14:textId="77777777" w:rsidR="006A3093" w:rsidRPr="004E13E9" w:rsidRDefault="006A3093" w:rsidP="006A3093">
      <w:pPr>
        <w:widowControl w:val="0"/>
        <w:jc w:val="both"/>
        <w:rPr>
          <w:rFonts w:eastAsia="MS Gothic" w:cs="Times New Roman"/>
          <w:lang w:val="fr-FR" w:eastAsia="fr-FR" w:bidi="fr-FR"/>
        </w:rPr>
      </w:pPr>
    </w:p>
    <w:p w14:paraId="56D01144" w14:textId="77777777"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lang w:val="fr-FR" w:eastAsia="fr-FR" w:bidi="fr-FR"/>
        </w:rPr>
        <w:t>En conclusion, le Japon met pleinement en œuvre les mesures MCS et le contrôle de la capacité conformément aux recommandations pertinentes de l’ICCAT. En outre, le Japon adopte des mesures MCS additionnelles très efficaces, notamment une inspection à 100% des débarquements. En outre, l’application des LSTLV japonais est également assurée grâce à l'assistance et à la coopération des États du port et de l'État de marché éventuel. Ces mesures combinées devraient éliminer toute possibilité de pêche IUU de thon rouge de l'Est par les navires japonais. Compte tenu de l'efficacité des mesures combinées, la FAJ ne va pas envoyer son navire d'inspection pour la pêche du thon rouge.</w:t>
      </w:r>
    </w:p>
    <w:p w14:paraId="07335152" w14:textId="77777777" w:rsidR="006A3093" w:rsidRPr="004E13E9" w:rsidRDefault="006A3093" w:rsidP="006A3093">
      <w:pPr>
        <w:widowControl w:val="0"/>
        <w:rPr>
          <w:rFonts w:eastAsia="MS Gothic" w:cs="Times New Roman"/>
          <w:lang w:val="fr-FR" w:eastAsia="fr-FR" w:bidi="fr-FR"/>
        </w:rPr>
      </w:pPr>
    </w:p>
    <w:p w14:paraId="56C374AE" w14:textId="77777777" w:rsidR="006A3093" w:rsidRPr="004E13E9" w:rsidRDefault="006A3093" w:rsidP="006A3093">
      <w:pPr>
        <w:widowControl w:val="0"/>
        <w:ind w:left="426" w:hanging="426"/>
        <w:jc w:val="both"/>
        <w:rPr>
          <w:rFonts w:eastAsia="MS Gothic" w:cs="Times New Roman"/>
          <w:b/>
          <w:i/>
          <w:iCs/>
          <w:lang w:val="fr-FR" w:eastAsia="fr-FR" w:bidi="fr-FR"/>
        </w:rPr>
      </w:pPr>
      <w:r w:rsidRPr="004E13E9">
        <w:rPr>
          <w:rFonts w:eastAsia="MS Gothic" w:cs="Times New Roman"/>
          <w:b/>
          <w:i/>
          <w:iCs/>
          <w:lang w:val="fr-FR" w:eastAsia="fr-FR" w:bidi="fr-FR"/>
        </w:rPr>
        <w:t>5b) Programme d’inspection internationale conjointe (JIS) (paragraphes 232-235)</w:t>
      </w:r>
    </w:p>
    <w:p w14:paraId="23601267" w14:textId="77777777" w:rsidR="006A3093" w:rsidRPr="004E13E9" w:rsidRDefault="006A3093" w:rsidP="006A3093">
      <w:pPr>
        <w:widowControl w:val="0"/>
        <w:jc w:val="both"/>
        <w:rPr>
          <w:rFonts w:eastAsia="MS Gothic" w:cs="Times New Roman"/>
          <w:i/>
          <w:lang w:val="fr-FR" w:eastAsia="fr-FR" w:bidi="fr-FR"/>
        </w:rPr>
      </w:pPr>
    </w:p>
    <w:p w14:paraId="37AEAF11" w14:textId="77777777"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lang w:val="fr-FR" w:eastAsia="fr-FR" w:bidi="fr-FR"/>
        </w:rPr>
        <w:t>Le Japon ne fera pas partie d'un plan d'inspection internationale de l'ICCAT, en raison des mesures alternatives décrites dans le sous-paragraphe précédent.</w:t>
      </w:r>
    </w:p>
    <w:p w14:paraId="437EFB1D" w14:textId="524D46C7" w:rsidR="006A3093" w:rsidRPr="004E13E9" w:rsidRDefault="006A3093" w:rsidP="006A3093">
      <w:pPr>
        <w:widowControl w:val="0"/>
        <w:tabs>
          <w:tab w:val="left" w:pos="1262"/>
        </w:tabs>
        <w:jc w:val="both"/>
        <w:rPr>
          <w:rFonts w:eastAsia="MS Gothic" w:cs="Times New Roman"/>
          <w:lang w:val="fr-FR" w:eastAsia="fr-FR" w:bidi="fr-FR"/>
        </w:rPr>
      </w:pPr>
    </w:p>
    <w:p w14:paraId="79745C80" w14:textId="77777777" w:rsidR="006A3093" w:rsidRPr="004E13E9" w:rsidRDefault="006A3093" w:rsidP="006A3093">
      <w:pPr>
        <w:widowControl w:val="0"/>
        <w:jc w:val="both"/>
        <w:rPr>
          <w:rFonts w:eastAsia="MS Gothic" w:cs="Times New Roman"/>
          <w:lang w:val="fr-FR" w:eastAsia="fr-FR" w:bidi="fr-FR"/>
        </w:rPr>
      </w:pPr>
    </w:p>
    <w:p w14:paraId="000D99F5" w14:textId="77777777" w:rsidR="006A3093" w:rsidRPr="004E13E9" w:rsidRDefault="006A3093" w:rsidP="006A3093">
      <w:pPr>
        <w:widowControl w:val="0"/>
        <w:ind w:left="426" w:hanging="426"/>
        <w:jc w:val="both"/>
        <w:rPr>
          <w:rFonts w:eastAsia="MS Gothic" w:cs="Times New Roman"/>
          <w:b/>
          <w:lang w:val="fr-FR" w:eastAsia="fr-FR" w:bidi="fr-FR"/>
        </w:rPr>
      </w:pPr>
      <w:bookmarkStart w:id="26" w:name="_Hlk77253697"/>
      <w:r w:rsidRPr="004E13E9">
        <w:rPr>
          <w:rFonts w:eastAsia="MS Gothic" w:cs="Times New Roman"/>
          <w:b/>
          <w:lang w:val="fr-FR" w:eastAsia="fr-FR" w:bidi="fr-FR"/>
        </w:rPr>
        <w:t>6.</w:t>
      </w:r>
      <w:r w:rsidRPr="004E13E9">
        <w:rPr>
          <w:rFonts w:eastAsia="MS Gothic" w:cs="Times New Roman"/>
          <w:b/>
          <w:lang w:val="fr-FR" w:eastAsia="fr-FR" w:bidi="fr-FR"/>
        </w:rPr>
        <w:tab/>
        <w:t>Autres</w:t>
      </w:r>
    </w:p>
    <w:p w14:paraId="24D7FE6F" w14:textId="77777777" w:rsidR="006A3093" w:rsidRPr="004E13E9" w:rsidRDefault="006A3093" w:rsidP="006A3093">
      <w:pPr>
        <w:widowControl w:val="0"/>
        <w:jc w:val="both"/>
        <w:rPr>
          <w:rFonts w:eastAsia="MS Gothic" w:cs="Times New Roman"/>
          <w:lang w:val="fr-FR" w:eastAsia="fr-FR" w:bidi="fr-FR"/>
        </w:rPr>
      </w:pPr>
    </w:p>
    <w:bookmarkEnd w:id="26"/>
    <w:p w14:paraId="0D48A52C" w14:textId="77777777" w:rsidR="006A3093" w:rsidRPr="004E13E9" w:rsidRDefault="006A3093" w:rsidP="006A3093">
      <w:pPr>
        <w:widowControl w:val="0"/>
        <w:jc w:val="both"/>
        <w:rPr>
          <w:rFonts w:eastAsia="MS Gothic" w:cs="Times New Roman"/>
          <w:lang w:val="fr-FR" w:eastAsia="fr-FR" w:bidi="fr-FR"/>
        </w:rPr>
      </w:pPr>
      <w:r w:rsidRPr="004E13E9">
        <w:rPr>
          <w:rFonts w:eastAsia="MS Gothic" w:cs="Times New Roman"/>
          <w:lang w:val="fr-FR" w:eastAsia="fr-FR" w:bidi="fr-FR"/>
        </w:rPr>
        <w:t>Non applicable.</w:t>
      </w:r>
    </w:p>
    <w:p w14:paraId="36F5369E" w14:textId="77777777" w:rsidR="006A3093" w:rsidRPr="004E13E9" w:rsidRDefault="006A3093" w:rsidP="006A3093">
      <w:pPr>
        <w:spacing w:after="160" w:line="259" w:lineRule="auto"/>
        <w:rPr>
          <w:rFonts w:eastAsia="Yu Mincho" w:cs="Times New Roman"/>
          <w:bCs/>
          <w:lang w:val="fr-FR" w:eastAsia="ja-JP"/>
        </w:rPr>
        <w:sectPr w:rsidR="006A3093" w:rsidRPr="004E13E9" w:rsidSect="006A3093">
          <w:headerReference w:type="default" r:id="rId119"/>
          <w:pgSz w:w="11906" w:h="16838" w:code="9"/>
          <w:pgMar w:top="1418" w:right="1418" w:bottom="1418" w:left="1418" w:header="851" w:footer="1134" w:gutter="0"/>
          <w:cols w:space="425"/>
          <w:docGrid w:linePitch="360"/>
        </w:sectPr>
      </w:pPr>
    </w:p>
    <w:p w14:paraId="783D16A0" w14:textId="77777777" w:rsidR="006A3093" w:rsidRPr="004E13E9" w:rsidRDefault="006A3093" w:rsidP="006A3093">
      <w:pPr>
        <w:rPr>
          <w:rFonts w:eastAsia="MS Gothic" w:cs="Times New Roman"/>
          <w:b/>
          <w:bCs/>
          <w:lang w:val="fr-FR" w:eastAsia="fr-FR" w:bidi="fr-FR"/>
        </w:rPr>
      </w:pPr>
      <w:r w:rsidRPr="004E13E9">
        <w:rPr>
          <w:rFonts w:eastAsia="MS Gothic" w:cs="Times New Roman"/>
          <w:b/>
          <w:bCs/>
          <w:lang w:val="fr-FR" w:eastAsia="fr-FR" w:bidi="fr-FR"/>
        </w:rPr>
        <w:t>Tableau de la capacité</w:t>
      </w:r>
    </w:p>
    <w:tbl>
      <w:tblPr>
        <w:tblW w:w="1540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5"/>
        <w:gridCol w:w="829"/>
        <w:gridCol w:w="596"/>
        <w:gridCol w:w="596"/>
        <w:gridCol w:w="597"/>
        <w:gridCol w:w="596"/>
        <w:gridCol w:w="596"/>
        <w:gridCol w:w="596"/>
        <w:gridCol w:w="599"/>
        <w:gridCol w:w="247"/>
        <w:gridCol w:w="868"/>
        <w:gridCol w:w="931"/>
        <w:gridCol w:w="927"/>
        <w:gridCol w:w="962"/>
        <w:gridCol w:w="1100"/>
        <w:gridCol w:w="962"/>
        <w:gridCol w:w="965"/>
      </w:tblGrid>
      <w:tr w:rsidR="006A3093" w:rsidRPr="004E13E9" w14:paraId="4FB87F0D" w14:textId="77777777" w:rsidTr="00142152">
        <w:trPr>
          <w:trHeight w:val="18"/>
        </w:trPr>
        <w:tc>
          <w:tcPr>
            <w:tcW w:w="3435" w:type="dxa"/>
            <w:noWrap/>
            <w:vAlign w:val="center"/>
            <w:hideMark/>
          </w:tcPr>
          <w:p w14:paraId="5C352A2A" w14:textId="77777777" w:rsidR="006A3093" w:rsidRPr="004E13E9" w:rsidRDefault="006A3093" w:rsidP="006A3093">
            <w:pPr>
              <w:widowControl w:val="0"/>
              <w:contextualSpacing/>
              <w:jc w:val="center"/>
              <w:rPr>
                <w:rFonts w:eastAsia="MS Gothic" w:cs="Times New Roman"/>
                <w:i/>
                <w:color w:val="000000"/>
                <w:sz w:val="16"/>
                <w:szCs w:val="16"/>
                <w:lang w:val="fr-FR" w:eastAsia="fr-FR" w:bidi="fr-FR"/>
              </w:rPr>
            </w:pPr>
            <w:r w:rsidRPr="004E13E9">
              <w:rPr>
                <w:rFonts w:eastAsia="MS Gothic" w:cs="Times New Roman"/>
                <w:i/>
                <w:color w:val="000000"/>
                <w:sz w:val="16"/>
                <w:szCs w:val="16"/>
                <w:lang w:val="fr-FR" w:eastAsia="fr-FR" w:bidi="fr-FR"/>
              </w:rPr>
              <w:t>Type de navires thoniers</w:t>
            </w:r>
          </w:p>
        </w:tc>
        <w:tc>
          <w:tcPr>
            <w:tcW w:w="829" w:type="dxa"/>
            <w:noWrap/>
            <w:vAlign w:val="center"/>
            <w:hideMark/>
          </w:tcPr>
          <w:p w14:paraId="7E9F661F"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1789" w:type="dxa"/>
            <w:gridSpan w:val="3"/>
          </w:tcPr>
          <w:p w14:paraId="441D9D6F" w14:textId="77777777" w:rsidR="006A3093" w:rsidRPr="004E13E9" w:rsidRDefault="006A3093" w:rsidP="006A3093">
            <w:pPr>
              <w:widowControl w:val="0"/>
              <w:contextualSpacing/>
              <w:jc w:val="center"/>
              <w:rPr>
                <w:rFonts w:eastAsia="MS Gothic" w:cs="Times New Roman"/>
                <w:i/>
                <w:color w:val="000000"/>
                <w:sz w:val="16"/>
                <w:szCs w:val="16"/>
                <w:lang w:val="fr-FR" w:eastAsia="fr-FR" w:bidi="fr-FR"/>
              </w:rPr>
            </w:pPr>
            <w:r w:rsidRPr="004E13E9">
              <w:rPr>
                <w:rFonts w:eastAsia="MS Gothic" w:cs="Times New Roman"/>
                <w:i/>
                <w:color w:val="000000"/>
                <w:sz w:val="16"/>
                <w:szCs w:val="16"/>
                <w:lang w:val="fr-FR" w:eastAsia="fr-FR" w:bidi="fr-FR"/>
              </w:rPr>
              <w:t>Année de réf.</w:t>
            </w:r>
          </w:p>
        </w:tc>
        <w:tc>
          <w:tcPr>
            <w:tcW w:w="2387" w:type="dxa"/>
            <w:gridSpan w:val="4"/>
            <w:vAlign w:val="center"/>
          </w:tcPr>
          <w:p w14:paraId="3F2D9400"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i/>
                <w:color w:val="000000"/>
                <w:sz w:val="16"/>
                <w:szCs w:val="16"/>
                <w:lang w:val="fr-FR" w:eastAsia="fr-FR" w:bidi="fr-FR"/>
              </w:rPr>
              <w:t>Nombre de navires</w:t>
            </w:r>
          </w:p>
        </w:tc>
        <w:tc>
          <w:tcPr>
            <w:tcW w:w="247" w:type="dxa"/>
            <w:shd w:val="clear" w:color="auto" w:fill="D9D9D9"/>
            <w:vAlign w:val="center"/>
            <w:hideMark/>
          </w:tcPr>
          <w:p w14:paraId="52939453"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726" w:type="dxa"/>
            <w:gridSpan w:val="3"/>
          </w:tcPr>
          <w:p w14:paraId="02AE0335" w14:textId="77777777" w:rsidR="006A3093" w:rsidRPr="004E13E9" w:rsidRDefault="006A3093" w:rsidP="006A3093">
            <w:pPr>
              <w:widowControl w:val="0"/>
              <w:contextualSpacing/>
              <w:jc w:val="center"/>
              <w:rPr>
                <w:rFonts w:eastAsia="MS Gothic" w:cs="Times New Roman"/>
                <w:i/>
                <w:color w:val="000000"/>
                <w:sz w:val="16"/>
                <w:szCs w:val="16"/>
                <w:lang w:val="fr-FR" w:eastAsia="fr-FR" w:bidi="fr-FR"/>
              </w:rPr>
            </w:pPr>
            <w:r w:rsidRPr="004E13E9">
              <w:rPr>
                <w:rFonts w:eastAsia="MS Gothic" w:cs="Times New Roman"/>
                <w:i/>
                <w:color w:val="000000"/>
                <w:sz w:val="16"/>
                <w:szCs w:val="16"/>
                <w:lang w:val="fr-FR" w:eastAsia="fr-FR" w:bidi="fr-FR"/>
              </w:rPr>
              <w:t>Année de réf.</w:t>
            </w:r>
          </w:p>
        </w:tc>
        <w:tc>
          <w:tcPr>
            <w:tcW w:w="3989" w:type="dxa"/>
            <w:gridSpan w:val="4"/>
          </w:tcPr>
          <w:p w14:paraId="68BDAD91" w14:textId="77777777" w:rsidR="006A3093" w:rsidRPr="004E13E9" w:rsidRDefault="006A3093" w:rsidP="006A3093">
            <w:pPr>
              <w:widowControl w:val="0"/>
              <w:contextualSpacing/>
              <w:jc w:val="center"/>
              <w:rPr>
                <w:rFonts w:eastAsia="MS Gothic" w:cs="Times New Roman"/>
                <w:i/>
                <w:color w:val="000000"/>
                <w:sz w:val="16"/>
                <w:szCs w:val="16"/>
                <w:lang w:val="fr-FR" w:eastAsia="fr-FR" w:bidi="fr-FR"/>
              </w:rPr>
            </w:pPr>
            <w:r w:rsidRPr="004E13E9">
              <w:rPr>
                <w:rFonts w:eastAsia="MS Gothic" w:cs="Times New Roman"/>
                <w:i/>
                <w:color w:val="000000"/>
                <w:sz w:val="16"/>
                <w:szCs w:val="16"/>
                <w:lang w:val="fr-FR" w:eastAsia="fr-FR" w:bidi="fr-FR"/>
              </w:rPr>
              <w:t>Capacité de pêche</w:t>
            </w:r>
          </w:p>
        </w:tc>
      </w:tr>
      <w:tr w:rsidR="00294375" w:rsidRPr="004E13E9" w14:paraId="5B3C5343" w14:textId="77777777" w:rsidTr="00142152">
        <w:trPr>
          <w:trHeight w:val="18"/>
        </w:trPr>
        <w:tc>
          <w:tcPr>
            <w:tcW w:w="3435" w:type="dxa"/>
            <w:noWrap/>
            <w:vAlign w:val="center"/>
            <w:hideMark/>
          </w:tcPr>
          <w:p w14:paraId="73EEEB5D"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Type</w:t>
            </w:r>
          </w:p>
        </w:tc>
        <w:tc>
          <w:tcPr>
            <w:tcW w:w="829" w:type="dxa"/>
            <w:vAlign w:val="center"/>
            <w:hideMark/>
          </w:tcPr>
          <w:p w14:paraId="2FC8403A"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Meilleur taux de capture définis par le SCRS en 2009 (t)</w:t>
            </w:r>
          </w:p>
        </w:tc>
        <w:tc>
          <w:tcPr>
            <w:tcW w:w="596" w:type="dxa"/>
            <w:vAlign w:val="center"/>
          </w:tcPr>
          <w:p w14:paraId="3054CB36"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2006</w:t>
            </w:r>
          </w:p>
        </w:tc>
        <w:tc>
          <w:tcPr>
            <w:tcW w:w="596" w:type="dxa"/>
            <w:noWrap/>
            <w:vAlign w:val="center"/>
            <w:hideMark/>
          </w:tcPr>
          <w:p w14:paraId="40049DCD"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2008</w:t>
            </w:r>
          </w:p>
        </w:tc>
        <w:tc>
          <w:tcPr>
            <w:tcW w:w="597" w:type="dxa"/>
            <w:vAlign w:val="center"/>
            <w:hideMark/>
          </w:tcPr>
          <w:p w14:paraId="0C268A62"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2018</w:t>
            </w:r>
          </w:p>
        </w:tc>
        <w:tc>
          <w:tcPr>
            <w:tcW w:w="596" w:type="dxa"/>
            <w:vAlign w:val="center"/>
            <w:hideMark/>
          </w:tcPr>
          <w:p w14:paraId="3D977AF6"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2023</w:t>
            </w:r>
          </w:p>
        </w:tc>
        <w:tc>
          <w:tcPr>
            <w:tcW w:w="596" w:type="dxa"/>
            <w:vAlign w:val="center"/>
            <w:hideMark/>
          </w:tcPr>
          <w:p w14:paraId="77551365"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2024</w:t>
            </w:r>
          </w:p>
        </w:tc>
        <w:tc>
          <w:tcPr>
            <w:tcW w:w="596" w:type="dxa"/>
            <w:vAlign w:val="center"/>
          </w:tcPr>
          <w:p w14:paraId="15D5F657"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2025</w:t>
            </w:r>
          </w:p>
        </w:tc>
        <w:tc>
          <w:tcPr>
            <w:tcW w:w="599" w:type="dxa"/>
            <w:vAlign w:val="center"/>
          </w:tcPr>
          <w:p w14:paraId="4C5829C4"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2026</w:t>
            </w:r>
          </w:p>
        </w:tc>
        <w:tc>
          <w:tcPr>
            <w:tcW w:w="247" w:type="dxa"/>
            <w:shd w:val="clear" w:color="000000" w:fill="D9D9D9"/>
            <w:vAlign w:val="center"/>
            <w:hideMark/>
          </w:tcPr>
          <w:p w14:paraId="6D472CF3"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868" w:type="dxa"/>
            <w:vAlign w:val="center"/>
          </w:tcPr>
          <w:p w14:paraId="5E9463EE"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2006</w:t>
            </w:r>
          </w:p>
        </w:tc>
        <w:tc>
          <w:tcPr>
            <w:tcW w:w="931" w:type="dxa"/>
            <w:vAlign w:val="center"/>
            <w:hideMark/>
          </w:tcPr>
          <w:p w14:paraId="7DCA92D3"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2008</w:t>
            </w:r>
          </w:p>
        </w:tc>
        <w:tc>
          <w:tcPr>
            <w:tcW w:w="927" w:type="dxa"/>
            <w:vAlign w:val="center"/>
            <w:hideMark/>
          </w:tcPr>
          <w:p w14:paraId="5F6FA209"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2018</w:t>
            </w:r>
          </w:p>
        </w:tc>
        <w:tc>
          <w:tcPr>
            <w:tcW w:w="962" w:type="dxa"/>
            <w:vAlign w:val="center"/>
            <w:hideMark/>
          </w:tcPr>
          <w:p w14:paraId="58A816FF"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2023</w:t>
            </w:r>
          </w:p>
        </w:tc>
        <w:tc>
          <w:tcPr>
            <w:tcW w:w="1100" w:type="dxa"/>
            <w:vAlign w:val="center"/>
            <w:hideMark/>
          </w:tcPr>
          <w:p w14:paraId="43872BC6"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2024</w:t>
            </w:r>
          </w:p>
        </w:tc>
        <w:tc>
          <w:tcPr>
            <w:tcW w:w="962" w:type="dxa"/>
            <w:vAlign w:val="center"/>
            <w:hideMark/>
          </w:tcPr>
          <w:p w14:paraId="33A71D6D"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2025</w:t>
            </w:r>
          </w:p>
        </w:tc>
        <w:tc>
          <w:tcPr>
            <w:tcW w:w="965" w:type="dxa"/>
            <w:vAlign w:val="center"/>
          </w:tcPr>
          <w:p w14:paraId="2D20B7EA"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2026</w:t>
            </w:r>
          </w:p>
        </w:tc>
      </w:tr>
      <w:tr w:rsidR="00294375" w:rsidRPr="004E13E9" w14:paraId="158D8840" w14:textId="77777777" w:rsidTr="00142152">
        <w:trPr>
          <w:trHeight w:val="18"/>
        </w:trPr>
        <w:tc>
          <w:tcPr>
            <w:tcW w:w="3435" w:type="dxa"/>
            <w:noWrap/>
            <w:vAlign w:val="center"/>
            <w:hideMark/>
          </w:tcPr>
          <w:p w14:paraId="34532794"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Senneur de plus de 40 m</w:t>
            </w:r>
          </w:p>
        </w:tc>
        <w:tc>
          <w:tcPr>
            <w:tcW w:w="829" w:type="dxa"/>
            <w:noWrap/>
            <w:vAlign w:val="center"/>
            <w:hideMark/>
          </w:tcPr>
          <w:p w14:paraId="7522245E"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70,66</w:t>
            </w:r>
          </w:p>
        </w:tc>
        <w:tc>
          <w:tcPr>
            <w:tcW w:w="596" w:type="dxa"/>
          </w:tcPr>
          <w:p w14:paraId="39DA0E8E"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6" w:type="dxa"/>
            <w:noWrap/>
            <w:vAlign w:val="center"/>
            <w:hideMark/>
          </w:tcPr>
          <w:p w14:paraId="7D6D2058"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7" w:type="dxa"/>
            <w:vAlign w:val="center"/>
            <w:hideMark/>
          </w:tcPr>
          <w:p w14:paraId="5E7ECA1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411C2448"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6FA8BA04"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tcPr>
          <w:p w14:paraId="36F51FD1"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9" w:type="dxa"/>
          </w:tcPr>
          <w:p w14:paraId="74D27235"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47" w:type="dxa"/>
            <w:shd w:val="clear" w:color="000000" w:fill="D9D9D9"/>
            <w:vAlign w:val="center"/>
            <w:hideMark/>
          </w:tcPr>
          <w:p w14:paraId="487460ED"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868" w:type="dxa"/>
          </w:tcPr>
          <w:p w14:paraId="33B73FBC"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31" w:type="dxa"/>
            <w:vAlign w:val="center"/>
            <w:hideMark/>
          </w:tcPr>
          <w:p w14:paraId="1814EEC2"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27" w:type="dxa"/>
            <w:vAlign w:val="center"/>
            <w:hideMark/>
          </w:tcPr>
          <w:p w14:paraId="76184BAF"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1D1C7628"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1100" w:type="dxa"/>
            <w:vAlign w:val="center"/>
            <w:hideMark/>
          </w:tcPr>
          <w:p w14:paraId="67EDA07D"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2232D1F3"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5" w:type="dxa"/>
          </w:tcPr>
          <w:p w14:paraId="12AD1865"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r>
      <w:tr w:rsidR="00294375" w:rsidRPr="004E13E9" w14:paraId="145D0AB8" w14:textId="77777777" w:rsidTr="00142152">
        <w:trPr>
          <w:trHeight w:val="18"/>
        </w:trPr>
        <w:tc>
          <w:tcPr>
            <w:tcW w:w="3435" w:type="dxa"/>
            <w:noWrap/>
            <w:vAlign w:val="center"/>
            <w:hideMark/>
          </w:tcPr>
          <w:p w14:paraId="71B0C382"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Senneur entre 24 et 40 m</w:t>
            </w:r>
          </w:p>
        </w:tc>
        <w:tc>
          <w:tcPr>
            <w:tcW w:w="829" w:type="dxa"/>
            <w:noWrap/>
            <w:vAlign w:val="center"/>
            <w:hideMark/>
          </w:tcPr>
          <w:p w14:paraId="25493E46"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49,78</w:t>
            </w:r>
          </w:p>
        </w:tc>
        <w:tc>
          <w:tcPr>
            <w:tcW w:w="596" w:type="dxa"/>
          </w:tcPr>
          <w:p w14:paraId="05E6DA93"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6" w:type="dxa"/>
            <w:noWrap/>
            <w:vAlign w:val="center"/>
            <w:hideMark/>
          </w:tcPr>
          <w:p w14:paraId="045BF666"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7" w:type="dxa"/>
            <w:vAlign w:val="center"/>
            <w:hideMark/>
          </w:tcPr>
          <w:p w14:paraId="570854FC"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75B12EA5"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29576DBF"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tcPr>
          <w:p w14:paraId="1A1A1154"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9" w:type="dxa"/>
          </w:tcPr>
          <w:p w14:paraId="75178E4B"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47" w:type="dxa"/>
            <w:shd w:val="clear" w:color="000000" w:fill="D9D9D9"/>
            <w:vAlign w:val="center"/>
            <w:hideMark/>
          </w:tcPr>
          <w:p w14:paraId="23BAB7B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868" w:type="dxa"/>
          </w:tcPr>
          <w:p w14:paraId="4D27246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31" w:type="dxa"/>
            <w:vAlign w:val="center"/>
            <w:hideMark/>
          </w:tcPr>
          <w:p w14:paraId="71AB4D7D"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27" w:type="dxa"/>
            <w:vAlign w:val="center"/>
            <w:hideMark/>
          </w:tcPr>
          <w:p w14:paraId="53C8B3B6"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55A33E55"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1100" w:type="dxa"/>
            <w:vAlign w:val="center"/>
            <w:hideMark/>
          </w:tcPr>
          <w:p w14:paraId="729B2E53"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464D122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5" w:type="dxa"/>
          </w:tcPr>
          <w:p w14:paraId="15BD25B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r>
      <w:tr w:rsidR="00294375" w:rsidRPr="004E13E9" w14:paraId="7FB8C034" w14:textId="77777777" w:rsidTr="00142152">
        <w:trPr>
          <w:trHeight w:val="18"/>
        </w:trPr>
        <w:tc>
          <w:tcPr>
            <w:tcW w:w="3435" w:type="dxa"/>
            <w:noWrap/>
            <w:vAlign w:val="center"/>
            <w:hideMark/>
          </w:tcPr>
          <w:p w14:paraId="5070E685"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Senneur de moins de 24m</w:t>
            </w:r>
          </w:p>
        </w:tc>
        <w:tc>
          <w:tcPr>
            <w:tcW w:w="829" w:type="dxa"/>
            <w:noWrap/>
            <w:vAlign w:val="center"/>
            <w:hideMark/>
          </w:tcPr>
          <w:p w14:paraId="16486691"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33,68</w:t>
            </w:r>
          </w:p>
        </w:tc>
        <w:tc>
          <w:tcPr>
            <w:tcW w:w="596" w:type="dxa"/>
          </w:tcPr>
          <w:p w14:paraId="729391E1"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6" w:type="dxa"/>
            <w:noWrap/>
            <w:vAlign w:val="center"/>
            <w:hideMark/>
          </w:tcPr>
          <w:p w14:paraId="22505056"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7" w:type="dxa"/>
            <w:vAlign w:val="center"/>
            <w:hideMark/>
          </w:tcPr>
          <w:p w14:paraId="7E26C6C9"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30A4FB2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444454B2"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tcPr>
          <w:p w14:paraId="0C7213B9"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9" w:type="dxa"/>
          </w:tcPr>
          <w:p w14:paraId="0F6B58A2"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47" w:type="dxa"/>
            <w:shd w:val="clear" w:color="000000" w:fill="D9D9D9"/>
            <w:vAlign w:val="center"/>
            <w:hideMark/>
          </w:tcPr>
          <w:p w14:paraId="2433E9B6"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868" w:type="dxa"/>
          </w:tcPr>
          <w:p w14:paraId="7699C10F"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31" w:type="dxa"/>
            <w:vAlign w:val="center"/>
            <w:hideMark/>
          </w:tcPr>
          <w:p w14:paraId="03904368"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27" w:type="dxa"/>
            <w:vAlign w:val="center"/>
            <w:hideMark/>
          </w:tcPr>
          <w:p w14:paraId="50769012"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6F81F195"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1100" w:type="dxa"/>
            <w:vAlign w:val="center"/>
            <w:hideMark/>
          </w:tcPr>
          <w:p w14:paraId="671DC24F"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7BB4412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5" w:type="dxa"/>
          </w:tcPr>
          <w:p w14:paraId="4D34DABF"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r>
      <w:tr w:rsidR="00294375" w:rsidRPr="004E13E9" w14:paraId="3D27331B" w14:textId="77777777" w:rsidTr="00142152">
        <w:trPr>
          <w:trHeight w:val="18"/>
        </w:trPr>
        <w:tc>
          <w:tcPr>
            <w:tcW w:w="3435" w:type="dxa"/>
            <w:noWrap/>
            <w:vAlign w:val="center"/>
            <w:hideMark/>
          </w:tcPr>
          <w:p w14:paraId="6DB27D87"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Flottille totale de senneurs</w:t>
            </w:r>
          </w:p>
        </w:tc>
        <w:tc>
          <w:tcPr>
            <w:tcW w:w="829" w:type="dxa"/>
            <w:noWrap/>
            <w:vAlign w:val="center"/>
            <w:hideMark/>
          </w:tcPr>
          <w:p w14:paraId="7386A0F2"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tcPr>
          <w:p w14:paraId="0ED95C54"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596" w:type="dxa"/>
            <w:noWrap/>
            <w:vAlign w:val="center"/>
            <w:hideMark/>
          </w:tcPr>
          <w:p w14:paraId="43B7B218"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 </w:t>
            </w:r>
          </w:p>
        </w:tc>
        <w:tc>
          <w:tcPr>
            <w:tcW w:w="597" w:type="dxa"/>
            <w:vAlign w:val="center"/>
            <w:hideMark/>
          </w:tcPr>
          <w:p w14:paraId="793829AB"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 </w:t>
            </w:r>
          </w:p>
        </w:tc>
        <w:tc>
          <w:tcPr>
            <w:tcW w:w="596" w:type="dxa"/>
            <w:vAlign w:val="center"/>
            <w:hideMark/>
          </w:tcPr>
          <w:p w14:paraId="7AA374FC"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 </w:t>
            </w:r>
          </w:p>
        </w:tc>
        <w:tc>
          <w:tcPr>
            <w:tcW w:w="596" w:type="dxa"/>
            <w:vAlign w:val="center"/>
            <w:hideMark/>
          </w:tcPr>
          <w:p w14:paraId="6BCBEF17"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 </w:t>
            </w:r>
          </w:p>
        </w:tc>
        <w:tc>
          <w:tcPr>
            <w:tcW w:w="596" w:type="dxa"/>
          </w:tcPr>
          <w:p w14:paraId="09A035D4"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599" w:type="dxa"/>
          </w:tcPr>
          <w:p w14:paraId="623DABDA"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47" w:type="dxa"/>
            <w:shd w:val="clear" w:color="000000" w:fill="D9D9D9"/>
            <w:vAlign w:val="center"/>
            <w:hideMark/>
          </w:tcPr>
          <w:p w14:paraId="72F6BFFB"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 </w:t>
            </w:r>
          </w:p>
        </w:tc>
        <w:tc>
          <w:tcPr>
            <w:tcW w:w="868" w:type="dxa"/>
          </w:tcPr>
          <w:p w14:paraId="7F2FEEB3"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931" w:type="dxa"/>
            <w:vAlign w:val="center"/>
            <w:hideMark/>
          </w:tcPr>
          <w:p w14:paraId="6CE5463B"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 </w:t>
            </w:r>
          </w:p>
        </w:tc>
        <w:tc>
          <w:tcPr>
            <w:tcW w:w="927" w:type="dxa"/>
            <w:vAlign w:val="center"/>
            <w:hideMark/>
          </w:tcPr>
          <w:p w14:paraId="32C4335B"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 </w:t>
            </w:r>
          </w:p>
        </w:tc>
        <w:tc>
          <w:tcPr>
            <w:tcW w:w="962" w:type="dxa"/>
            <w:vAlign w:val="center"/>
            <w:hideMark/>
          </w:tcPr>
          <w:p w14:paraId="2BF2EF85"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 </w:t>
            </w:r>
          </w:p>
        </w:tc>
        <w:tc>
          <w:tcPr>
            <w:tcW w:w="1100" w:type="dxa"/>
            <w:vAlign w:val="center"/>
            <w:hideMark/>
          </w:tcPr>
          <w:p w14:paraId="21DB8368"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 </w:t>
            </w:r>
          </w:p>
        </w:tc>
        <w:tc>
          <w:tcPr>
            <w:tcW w:w="962" w:type="dxa"/>
            <w:vAlign w:val="center"/>
            <w:hideMark/>
          </w:tcPr>
          <w:p w14:paraId="7D4CE832"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 </w:t>
            </w:r>
          </w:p>
        </w:tc>
        <w:tc>
          <w:tcPr>
            <w:tcW w:w="965" w:type="dxa"/>
          </w:tcPr>
          <w:p w14:paraId="0A74C7F2"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r>
      <w:tr w:rsidR="00294375" w:rsidRPr="004E13E9" w14:paraId="49CFEE59" w14:textId="77777777" w:rsidTr="00142152">
        <w:trPr>
          <w:trHeight w:val="18"/>
        </w:trPr>
        <w:tc>
          <w:tcPr>
            <w:tcW w:w="3435" w:type="dxa"/>
            <w:noWrap/>
            <w:vAlign w:val="center"/>
            <w:hideMark/>
          </w:tcPr>
          <w:p w14:paraId="23E06262"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Palangrier de plus de 40 m</w:t>
            </w:r>
          </w:p>
        </w:tc>
        <w:tc>
          <w:tcPr>
            <w:tcW w:w="829" w:type="dxa"/>
            <w:noWrap/>
            <w:vAlign w:val="center"/>
            <w:hideMark/>
          </w:tcPr>
          <w:p w14:paraId="722B1FB1"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25</w:t>
            </w:r>
          </w:p>
        </w:tc>
        <w:tc>
          <w:tcPr>
            <w:tcW w:w="596" w:type="dxa"/>
            <w:vAlign w:val="center"/>
          </w:tcPr>
          <w:p w14:paraId="7B6BBE30"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sz w:val="16"/>
                <w:szCs w:val="16"/>
                <w:lang w:val="fr-FR" w:eastAsia="fr-FR" w:bidi="fr-FR"/>
              </w:rPr>
              <w:t>47</w:t>
            </w:r>
          </w:p>
        </w:tc>
        <w:tc>
          <w:tcPr>
            <w:tcW w:w="596" w:type="dxa"/>
            <w:noWrap/>
            <w:vAlign w:val="center"/>
            <w:hideMark/>
          </w:tcPr>
          <w:p w14:paraId="6F6C1F10"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49</w:t>
            </w:r>
          </w:p>
        </w:tc>
        <w:tc>
          <w:tcPr>
            <w:tcW w:w="597" w:type="dxa"/>
            <w:vAlign w:val="center"/>
            <w:hideMark/>
          </w:tcPr>
          <w:p w14:paraId="21F08ABF"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36</w:t>
            </w:r>
          </w:p>
        </w:tc>
        <w:tc>
          <w:tcPr>
            <w:tcW w:w="596" w:type="dxa"/>
            <w:vAlign w:val="center"/>
            <w:hideMark/>
          </w:tcPr>
          <w:p w14:paraId="24078473"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41</w:t>
            </w:r>
          </w:p>
        </w:tc>
        <w:tc>
          <w:tcPr>
            <w:tcW w:w="596" w:type="dxa"/>
            <w:vAlign w:val="center"/>
            <w:hideMark/>
          </w:tcPr>
          <w:p w14:paraId="4F70F90E"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42</w:t>
            </w:r>
          </w:p>
        </w:tc>
        <w:tc>
          <w:tcPr>
            <w:tcW w:w="596" w:type="dxa"/>
            <w:vAlign w:val="center"/>
          </w:tcPr>
          <w:p w14:paraId="3C0F80A7"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40</w:t>
            </w:r>
          </w:p>
        </w:tc>
        <w:tc>
          <w:tcPr>
            <w:tcW w:w="599" w:type="dxa"/>
            <w:vAlign w:val="center"/>
          </w:tcPr>
          <w:p w14:paraId="39C75618"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40</w:t>
            </w:r>
          </w:p>
        </w:tc>
        <w:tc>
          <w:tcPr>
            <w:tcW w:w="247" w:type="dxa"/>
            <w:shd w:val="clear" w:color="000000" w:fill="D9D9D9"/>
            <w:vAlign w:val="center"/>
            <w:hideMark/>
          </w:tcPr>
          <w:p w14:paraId="2F3E9EE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868" w:type="dxa"/>
            <w:vAlign w:val="center"/>
          </w:tcPr>
          <w:p w14:paraId="1061CE25"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1.175</w:t>
            </w:r>
          </w:p>
        </w:tc>
        <w:tc>
          <w:tcPr>
            <w:tcW w:w="931" w:type="dxa"/>
            <w:vAlign w:val="center"/>
            <w:hideMark/>
          </w:tcPr>
          <w:p w14:paraId="132E21F5"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1.225</w:t>
            </w:r>
          </w:p>
        </w:tc>
        <w:tc>
          <w:tcPr>
            <w:tcW w:w="927" w:type="dxa"/>
            <w:vAlign w:val="center"/>
            <w:hideMark/>
          </w:tcPr>
          <w:p w14:paraId="6BD9768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900</w:t>
            </w:r>
          </w:p>
        </w:tc>
        <w:tc>
          <w:tcPr>
            <w:tcW w:w="962" w:type="dxa"/>
            <w:vAlign w:val="center"/>
            <w:hideMark/>
          </w:tcPr>
          <w:p w14:paraId="10A5715D"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1.025</w:t>
            </w:r>
          </w:p>
        </w:tc>
        <w:tc>
          <w:tcPr>
            <w:tcW w:w="1100" w:type="dxa"/>
            <w:vAlign w:val="center"/>
            <w:hideMark/>
          </w:tcPr>
          <w:p w14:paraId="35FABF8C"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1.050</w:t>
            </w:r>
          </w:p>
        </w:tc>
        <w:tc>
          <w:tcPr>
            <w:tcW w:w="962" w:type="dxa"/>
            <w:vAlign w:val="center"/>
            <w:hideMark/>
          </w:tcPr>
          <w:p w14:paraId="6F9331A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1.000</w:t>
            </w:r>
          </w:p>
        </w:tc>
        <w:tc>
          <w:tcPr>
            <w:tcW w:w="965" w:type="dxa"/>
            <w:vAlign w:val="center"/>
          </w:tcPr>
          <w:p w14:paraId="7CE3CA2C"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1.000</w:t>
            </w:r>
          </w:p>
        </w:tc>
      </w:tr>
      <w:tr w:rsidR="00294375" w:rsidRPr="004E13E9" w14:paraId="391AB603" w14:textId="77777777" w:rsidTr="00142152">
        <w:trPr>
          <w:trHeight w:val="18"/>
        </w:trPr>
        <w:tc>
          <w:tcPr>
            <w:tcW w:w="3435" w:type="dxa"/>
            <w:noWrap/>
            <w:vAlign w:val="center"/>
            <w:hideMark/>
          </w:tcPr>
          <w:p w14:paraId="48F7A99E"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Palangrier entre 24 et 40 m</w:t>
            </w:r>
          </w:p>
        </w:tc>
        <w:tc>
          <w:tcPr>
            <w:tcW w:w="829" w:type="dxa"/>
            <w:noWrap/>
            <w:vAlign w:val="center"/>
            <w:hideMark/>
          </w:tcPr>
          <w:p w14:paraId="6032F1B5"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5,68</w:t>
            </w:r>
          </w:p>
        </w:tc>
        <w:tc>
          <w:tcPr>
            <w:tcW w:w="596" w:type="dxa"/>
            <w:vAlign w:val="center"/>
          </w:tcPr>
          <w:p w14:paraId="1D6F8865"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6" w:type="dxa"/>
            <w:noWrap/>
            <w:vAlign w:val="center"/>
            <w:hideMark/>
          </w:tcPr>
          <w:p w14:paraId="5AD043C9"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7" w:type="dxa"/>
            <w:vAlign w:val="center"/>
            <w:hideMark/>
          </w:tcPr>
          <w:p w14:paraId="02C55F99"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68F1216F"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059C89A7"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tcPr>
          <w:p w14:paraId="61598C7B"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9" w:type="dxa"/>
            <w:vAlign w:val="center"/>
          </w:tcPr>
          <w:p w14:paraId="436F2918"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47" w:type="dxa"/>
            <w:shd w:val="clear" w:color="000000" w:fill="D9D9D9"/>
            <w:vAlign w:val="center"/>
            <w:hideMark/>
          </w:tcPr>
          <w:p w14:paraId="1A885277"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868" w:type="dxa"/>
            <w:vAlign w:val="center"/>
          </w:tcPr>
          <w:p w14:paraId="7AD06369"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31" w:type="dxa"/>
            <w:vAlign w:val="center"/>
            <w:hideMark/>
          </w:tcPr>
          <w:p w14:paraId="2782BE97"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27" w:type="dxa"/>
            <w:vAlign w:val="center"/>
            <w:hideMark/>
          </w:tcPr>
          <w:p w14:paraId="5DD65BAE"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0387FE3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1100" w:type="dxa"/>
            <w:vAlign w:val="center"/>
            <w:hideMark/>
          </w:tcPr>
          <w:p w14:paraId="1330ACA6"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4D5C0AE9"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5" w:type="dxa"/>
            <w:vAlign w:val="center"/>
          </w:tcPr>
          <w:p w14:paraId="5F1B65BC"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r>
      <w:tr w:rsidR="00294375" w:rsidRPr="004E13E9" w14:paraId="42770CAD" w14:textId="77777777" w:rsidTr="00142152">
        <w:trPr>
          <w:trHeight w:val="18"/>
        </w:trPr>
        <w:tc>
          <w:tcPr>
            <w:tcW w:w="3435" w:type="dxa"/>
            <w:noWrap/>
            <w:vAlign w:val="center"/>
            <w:hideMark/>
          </w:tcPr>
          <w:p w14:paraId="50C56D53"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Palangrier de moins de 24m</w:t>
            </w:r>
          </w:p>
        </w:tc>
        <w:tc>
          <w:tcPr>
            <w:tcW w:w="829" w:type="dxa"/>
            <w:noWrap/>
            <w:vAlign w:val="center"/>
            <w:hideMark/>
          </w:tcPr>
          <w:p w14:paraId="40FFF9FF"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5</w:t>
            </w:r>
          </w:p>
        </w:tc>
        <w:tc>
          <w:tcPr>
            <w:tcW w:w="596" w:type="dxa"/>
            <w:vAlign w:val="center"/>
          </w:tcPr>
          <w:p w14:paraId="3726743E"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596" w:type="dxa"/>
            <w:noWrap/>
            <w:vAlign w:val="center"/>
          </w:tcPr>
          <w:p w14:paraId="594648BC"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597" w:type="dxa"/>
            <w:vAlign w:val="center"/>
          </w:tcPr>
          <w:p w14:paraId="786148CF"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596" w:type="dxa"/>
            <w:vAlign w:val="center"/>
          </w:tcPr>
          <w:p w14:paraId="47331859"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596" w:type="dxa"/>
            <w:vAlign w:val="center"/>
          </w:tcPr>
          <w:p w14:paraId="0E39DE95"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596" w:type="dxa"/>
            <w:vAlign w:val="center"/>
          </w:tcPr>
          <w:p w14:paraId="5D1CC235"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599" w:type="dxa"/>
            <w:vAlign w:val="center"/>
          </w:tcPr>
          <w:p w14:paraId="3353616B"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47" w:type="dxa"/>
            <w:shd w:val="clear" w:color="000000" w:fill="D9D9D9"/>
            <w:vAlign w:val="center"/>
          </w:tcPr>
          <w:p w14:paraId="20CD0A82"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868" w:type="dxa"/>
            <w:vAlign w:val="center"/>
          </w:tcPr>
          <w:p w14:paraId="7518DF63"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31" w:type="dxa"/>
            <w:vAlign w:val="center"/>
          </w:tcPr>
          <w:p w14:paraId="563EC1B7"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27" w:type="dxa"/>
            <w:vAlign w:val="center"/>
          </w:tcPr>
          <w:p w14:paraId="409A60EC"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62" w:type="dxa"/>
            <w:vAlign w:val="center"/>
          </w:tcPr>
          <w:p w14:paraId="7D851699"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1100" w:type="dxa"/>
            <w:vAlign w:val="center"/>
          </w:tcPr>
          <w:p w14:paraId="75C0D5C1"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62" w:type="dxa"/>
            <w:vAlign w:val="center"/>
          </w:tcPr>
          <w:p w14:paraId="01D535CB"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65" w:type="dxa"/>
            <w:vAlign w:val="center"/>
          </w:tcPr>
          <w:p w14:paraId="6B7D56C7"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r>
      <w:tr w:rsidR="00294375" w:rsidRPr="004E13E9" w14:paraId="043CFB28" w14:textId="77777777" w:rsidTr="00142152">
        <w:trPr>
          <w:trHeight w:val="18"/>
        </w:trPr>
        <w:tc>
          <w:tcPr>
            <w:tcW w:w="3435" w:type="dxa"/>
            <w:noWrap/>
            <w:vAlign w:val="center"/>
            <w:hideMark/>
          </w:tcPr>
          <w:p w14:paraId="6C2E277B"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Flottille totale de palangriers</w:t>
            </w:r>
          </w:p>
        </w:tc>
        <w:tc>
          <w:tcPr>
            <w:tcW w:w="829" w:type="dxa"/>
            <w:noWrap/>
            <w:vAlign w:val="center"/>
            <w:hideMark/>
          </w:tcPr>
          <w:p w14:paraId="41AD8355"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tcPr>
          <w:p w14:paraId="38943237"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47</w:t>
            </w:r>
          </w:p>
        </w:tc>
        <w:tc>
          <w:tcPr>
            <w:tcW w:w="596" w:type="dxa"/>
            <w:noWrap/>
            <w:vAlign w:val="center"/>
            <w:hideMark/>
          </w:tcPr>
          <w:p w14:paraId="285735C2"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49</w:t>
            </w:r>
          </w:p>
        </w:tc>
        <w:tc>
          <w:tcPr>
            <w:tcW w:w="597" w:type="dxa"/>
            <w:vAlign w:val="center"/>
            <w:hideMark/>
          </w:tcPr>
          <w:p w14:paraId="34B61BC9"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36</w:t>
            </w:r>
          </w:p>
        </w:tc>
        <w:tc>
          <w:tcPr>
            <w:tcW w:w="596" w:type="dxa"/>
            <w:vAlign w:val="center"/>
            <w:hideMark/>
          </w:tcPr>
          <w:p w14:paraId="4954AC5C"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41</w:t>
            </w:r>
          </w:p>
        </w:tc>
        <w:tc>
          <w:tcPr>
            <w:tcW w:w="596" w:type="dxa"/>
            <w:vAlign w:val="center"/>
            <w:hideMark/>
          </w:tcPr>
          <w:p w14:paraId="5065240E"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42</w:t>
            </w:r>
          </w:p>
        </w:tc>
        <w:tc>
          <w:tcPr>
            <w:tcW w:w="596" w:type="dxa"/>
            <w:vAlign w:val="center"/>
          </w:tcPr>
          <w:p w14:paraId="532516BC"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40</w:t>
            </w:r>
          </w:p>
        </w:tc>
        <w:tc>
          <w:tcPr>
            <w:tcW w:w="599" w:type="dxa"/>
            <w:vAlign w:val="center"/>
          </w:tcPr>
          <w:p w14:paraId="50E6087B"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40</w:t>
            </w:r>
          </w:p>
        </w:tc>
        <w:tc>
          <w:tcPr>
            <w:tcW w:w="247" w:type="dxa"/>
            <w:shd w:val="clear" w:color="000000" w:fill="D9D9D9"/>
            <w:vAlign w:val="center"/>
            <w:hideMark/>
          </w:tcPr>
          <w:p w14:paraId="23E03CE3"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868" w:type="dxa"/>
            <w:vAlign w:val="center"/>
          </w:tcPr>
          <w:p w14:paraId="6C8CA103" w14:textId="77777777" w:rsidR="006A3093" w:rsidRPr="004E13E9" w:rsidRDefault="006A3093" w:rsidP="006A3093">
            <w:pPr>
              <w:widowControl w:val="0"/>
              <w:contextualSpacing/>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1.175</w:t>
            </w:r>
          </w:p>
        </w:tc>
        <w:tc>
          <w:tcPr>
            <w:tcW w:w="931" w:type="dxa"/>
            <w:vAlign w:val="center"/>
            <w:hideMark/>
          </w:tcPr>
          <w:p w14:paraId="6A09D40B" w14:textId="77777777" w:rsidR="006A3093" w:rsidRPr="004E13E9" w:rsidRDefault="006A3093" w:rsidP="006A3093">
            <w:pPr>
              <w:widowControl w:val="0"/>
              <w:contextualSpacing/>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1.225</w:t>
            </w:r>
          </w:p>
        </w:tc>
        <w:tc>
          <w:tcPr>
            <w:tcW w:w="927" w:type="dxa"/>
            <w:vAlign w:val="center"/>
            <w:hideMark/>
          </w:tcPr>
          <w:p w14:paraId="16188FD4" w14:textId="77777777" w:rsidR="006A3093" w:rsidRPr="004E13E9" w:rsidRDefault="006A3093" w:rsidP="006A3093">
            <w:pPr>
              <w:widowControl w:val="0"/>
              <w:contextualSpacing/>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900</w:t>
            </w:r>
          </w:p>
        </w:tc>
        <w:tc>
          <w:tcPr>
            <w:tcW w:w="962" w:type="dxa"/>
            <w:vAlign w:val="center"/>
            <w:hideMark/>
          </w:tcPr>
          <w:p w14:paraId="475265B9" w14:textId="77777777" w:rsidR="006A3093" w:rsidRPr="004E13E9" w:rsidRDefault="006A3093" w:rsidP="006A3093">
            <w:pPr>
              <w:widowControl w:val="0"/>
              <w:contextualSpacing/>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1.025</w:t>
            </w:r>
          </w:p>
        </w:tc>
        <w:tc>
          <w:tcPr>
            <w:tcW w:w="1100" w:type="dxa"/>
            <w:vAlign w:val="center"/>
            <w:hideMark/>
          </w:tcPr>
          <w:p w14:paraId="3F153C67" w14:textId="77777777" w:rsidR="006A3093" w:rsidRPr="004E13E9" w:rsidRDefault="006A3093" w:rsidP="006A3093">
            <w:pPr>
              <w:widowControl w:val="0"/>
              <w:contextualSpacing/>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1.050</w:t>
            </w:r>
          </w:p>
        </w:tc>
        <w:tc>
          <w:tcPr>
            <w:tcW w:w="962" w:type="dxa"/>
            <w:vAlign w:val="center"/>
            <w:hideMark/>
          </w:tcPr>
          <w:p w14:paraId="2CBB1F39" w14:textId="77777777" w:rsidR="006A3093" w:rsidRPr="004E13E9" w:rsidRDefault="006A3093" w:rsidP="006A3093">
            <w:pPr>
              <w:widowControl w:val="0"/>
              <w:contextualSpacing/>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1.000</w:t>
            </w:r>
          </w:p>
        </w:tc>
        <w:tc>
          <w:tcPr>
            <w:tcW w:w="965" w:type="dxa"/>
            <w:vAlign w:val="center"/>
          </w:tcPr>
          <w:p w14:paraId="21A9A573"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1.000</w:t>
            </w:r>
          </w:p>
        </w:tc>
      </w:tr>
      <w:tr w:rsidR="00294375" w:rsidRPr="004E13E9" w14:paraId="5948D4C0" w14:textId="77777777" w:rsidTr="00142152">
        <w:trPr>
          <w:trHeight w:val="18"/>
        </w:trPr>
        <w:tc>
          <w:tcPr>
            <w:tcW w:w="3435" w:type="dxa"/>
            <w:noWrap/>
            <w:vAlign w:val="center"/>
            <w:hideMark/>
          </w:tcPr>
          <w:p w14:paraId="327BE0DC"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xml:space="preserve">Canneur </w:t>
            </w:r>
          </w:p>
        </w:tc>
        <w:tc>
          <w:tcPr>
            <w:tcW w:w="829" w:type="dxa"/>
            <w:noWrap/>
            <w:vAlign w:val="center"/>
            <w:hideMark/>
          </w:tcPr>
          <w:p w14:paraId="556E1BA8"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19,75</w:t>
            </w:r>
          </w:p>
        </w:tc>
        <w:tc>
          <w:tcPr>
            <w:tcW w:w="596" w:type="dxa"/>
          </w:tcPr>
          <w:p w14:paraId="7C27DDA9"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6" w:type="dxa"/>
            <w:noWrap/>
            <w:vAlign w:val="center"/>
            <w:hideMark/>
          </w:tcPr>
          <w:p w14:paraId="206F903C"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7" w:type="dxa"/>
            <w:vAlign w:val="center"/>
            <w:hideMark/>
          </w:tcPr>
          <w:p w14:paraId="72FD20BD"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73DDF5C8"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252AF511"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tcPr>
          <w:p w14:paraId="7C0846F1"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9" w:type="dxa"/>
          </w:tcPr>
          <w:p w14:paraId="64968D79"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47" w:type="dxa"/>
            <w:shd w:val="clear" w:color="000000" w:fill="D9D9D9"/>
            <w:vAlign w:val="center"/>
            <w:hideMark/>
          </w:tcPr>
          <w:p w14:paraId="7EBE59F5"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868" w:type="dxa"/>
          </w:tcPr>
          <w:p w14:paraId="678E07A2"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31" w:type="dxa"/>
            <w:vAlign w:val="center"/>
            <w:hideMark/>
          </w:tcPr>
          <w:p w14:paraId="4EC7C6F7"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27" w:type="dxa"/>
            <w:vAlign w:val="center"/>
            <w:hideMark/>
          </w:tcPr>
          <w:p w14:paraId="6128C7E5"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7489980C"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1100" w:type="dxa"/>
            <w:vAlign w:val="center"/>
            <w:hideMark/>
          </w:tcPr>
          <w:p w14:paraId="5D9AE7DD"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1ABDEB85"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5" w:type="dxa"/>
          </w:tcPr>
          <w:p w14:paraId="030105D1"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r>
      <w:tr w:rsidR="00294375" w:rsidRPr="004E13E9" w14:paraId="52F2D179" w14:textId="77777777" w:rsidTr="00142152">
        <w:trPr>
          <w:trHeight w:val="18"/>
        </w:trPr>
        <w:tc>
          <w:tcPr>
            <w:tcW w:w="3435" w:type="dxa"/>
            <w:noWrap/>
            <w:vAlign w:val="center"/>
            <w:hideMark/>
          </w:tcPr>
          <w:p w14:paraId="5A16C1F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Ligne à main</w:t>
            </w:r>
          </w:p>
        </w:tc>
        <w:tc>
          <w:tcPr>
            <w:tcW w:w="829" w:type="dxa"/>
            <w:noWrap/>
            <w:vAlign w:val="center"/>
            <w:hideMark/>
          </w:tcPr>
          <w:p w14:paraId="361AEC27"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5</w:t>
            </w:r>
          </w:p>
        </w:tc>
        <w:tc>
          <w:tcPr>
            <w:tcW w:w="596" w:type="dxa"/>
          </w:tcPr>
          <w:p w14:paraId="41E27773"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6" w:type="dxa"/>
            <w:noWrap/>
            <w:vAlign w:val="center"/>
            <w:hideMark/>
          </w:tcPr>
          <w:p w14:paraId="280D441B"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7" w:type="dxa"/>
            <w:vAlign w:val="center"/>
            <w:hideMark/>
          </w:tcPr>
          <w:p w14:paraId="1FFA84AC"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68C06B3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38DCECD3"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tcPr>
          <w:p w14:paraId="0E763312"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9" w:type="dxa"/>
          </w:tcPr>
          <w:p w14:paraId="6791F9E6"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47" w:type="dxa"/>
            <w:shd w:val="clear" w:color="000000" w:fill="D9D9D9"/>
            <w:vAlign w:val="center"/>
            <w:hideMark/>
          </w:tcPr>
          <w:p w14:paraId="662CEDE1"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868" w:type="dxa"/>
          </w:tcPr>
          <w:p w14:paraId="64AEBE35"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31" w:type="dxa"/>
            <w:vAlign w:val="center"/>
            <w:hideMark/>
          </w:tcPr>
          <w:p w14:paraId="1EC3DF8E"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27" w:type="dxa"/>
            <w:vAlign w:val="center"/>
            <w:hideMark/>
          </w:tcPr>
          <w:p w14:paraId="5B641E6E"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2AF0459E"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1100" w:type="dxa"/>
            <w:vAlign w:val="center"/>
            <w:hideMark/>
          </w:tcPr>
          <w:p w14:paraId="5EAB8834"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75950981"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5" w:type="dxa"/>
          </w:tcPr>
          <w:p w14:paraId="719A992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r>
      <w:tr w:rsidR="00294375" w:rsidRPr="004E13E9" w14:paraId="3FF5E0C1" w14:textId="77777777" w:rsidTr="00142152">
        <w:trPr>
          <w:trHeight w:val="18"/>
        </w:trPr>
        <w:tc>
          <w:tcPr>
            <w:tcW w:w="3435" w:type="dxa"/>
            <w:noWrap/>
            <w:vAlign w:val="center"/>
            <w:hideMark/>
          </w:tcPr>
          <w:p w14:paraId="485AFA7B"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Chalutier</w:t>
            </w:r>
          </w:p>
        </w:tc>
        <w:tc>
          <w:tcPr>
            <w:tcW w:w="829" w:type="dxa"/>
            <w:noWrap/>
            <w:vAlign w:val="center"/>
            <w:hideMark/>
          </w:tcPr>
          <w:p w14:paraId="65480D42"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10</w:t>
            </w:r>
          </w:p>
        </w:tc>
        <w:tc>
          <w:tcPr>
            <w:tcW w:w="596" w:type="dxa"/>
          </w:tcPr>
          <w:p w14:paraId="18318F3F"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6" w:type="dxa"/>
            <w:noWrap/>
            <w:vAlign w:val="center"/>
            <w:hideMark/>
          </w:tcPr>
          <w:p w14:paraId="4051177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7" w:type="dxa"/>
            <w:vAlign w:val="center"/>
            <w:hideMark/>
          </w:tcPr>
          <w:p w14:paraId="01FCFC55"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6168F7C8"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12F6A8A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tcPr>
          <w:p w14:paraId="1BAFBB0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9" w:type="dxa"/>
          </w:tcPr>
          <w:p w14:paraId="3FA59D4E"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47" w:type="dxa"/>
            <w:shd w:val="clear" w:color="000000" w:fill="D9D9D9"/>
            <w:vAlign w:val="center"/>
            <w:hideMark/>
          </w:tcPr>
          <w:p w14:paraId="4F909CE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868" w:type="dxa"/>
          </w:tcPr>
          <w:p w14:paraId="79E0A634"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31" w:type="dxa"/>
            <w:vAlign w:val="center"/>
            <w:hideMark/>
          </w:tcPr>
          <w:p w14:paraId="3A5519FE"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27" w:type="dxa"/>
            <w:vAlign w:val="center"/>
            <w:hideMark/>
          </w:tcPr>
          <w:p w14:paraId="6DD2FDE9"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5263CF47"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1100" w:type="dxa"/>
            <w:vAlign w:val="center"/>
            <w:hideMark/>
          </w:tcPr>
          <w:p w14:paraId="5A13A58B"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3EC29BA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5" w:type="dxa"/>
          </w:tcPr>
          <w:p w14:paraId="4ADA9E4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r>
      <w:tr w:rsidR="00294375" w:rsidRPr="004E13E9" w14:paraId="5DBDA5C2" w14:textId="77777777" w:rsidTr="00142152">
        <w:trPr>
          <w:trHeight w:val="18"/>
        </w:trPr>
        <w:tc>
          <w:tcPr>
            <w:tcW w:w="3435" w:type="dxa"/>
            <w:noWrap/>
            <w:vAlign w:val="center"/>
            <w:hideMark/>
          </w:tcPr>
          <w:p w14:paraId="56BC2E58"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Madrague</w:t>
            </w:r>
          </w:p>
        </w:tc>
        <w:tc>
          <w:tcPr>
            <w:tcW w:w="829" w:type="dxa"/>
            <w:noWrap/>
            <w:vAlign w:val="center"/>
            <w:hideMark/>
          </w:tcPr>
          <w:p w14:paraId="0C4AC4D5"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130</w:t>
            </w:r>
          </w:p>
        </w:tc>
        <w:tc>
          <w:tcPr>
            <w:tcW w:w="596" w:type="dxa"/>
          </w:tcPr>
          <w:p w14:paraId="2B6DD135"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6" w:type="dxa"/>
            <w:noWrap/>
            <w:vAlign w:val="center"/>
            <w:hideMark/>
          </w:tcPr>
          <w:p w14:paraId="2EFFB014"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7" w:type="dxa"/>
            <w:vAlign w:val="center"/>
            <w:hideMark/>
          </w:tcPr>
          <w:p w14:paraId="2212B03B"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41FF8D6B"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03E10E6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tcPr>
          <w:p w14:paraId="6BF13DCF"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9" w:type="dxa"/>
          </w:tcPr>
          <w:p w14:paraId="20DD0C3D"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47" w:type="dxa"/>
            <w:shd w:val="clear" w:color="000000" w:fill="D9D9D9"/>
            <w:vAlign w:val="center"/>
            <w:hideMark/>
          </w:tcPr>
          <w:p w14:paraId="5B2B3223"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868" w:type="dxa"/>
          </w:tcPr>
          <w:p w14:paraId="232F487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31" w:type="dxa"/>
            <w:vAlign w:val="center"/>
            <w:hideMark/>
          </w:tcPr>
          <w:p w14:paraId="67FC290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27" w:type="dxa"/>
            <w:vAlign w:val="center"/>
            <w:hideMark/>
          </w:tcPr>
          <w:p w14:paraId="4FBF51B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79AF3864"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1100" w:type="dxa"/>
            <w:vAlign w:val="center"/>
            <w:hideMark/>
          </w:tcPr>
          <w:p w14:paraId="52133CC7"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470F8039"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5" w:type="dxa"/>
          </w:tcPr>
          <w:p w14:paraId="38B6F40F"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r>
      <w:tr w:rsidR="00294375" w:rsidRPr="004E13E9" w14:paraId="030F0437" w14:textId="77777777" w:rsidTr="00142152">
        <w:trPr>
          <w:trHeight w:val="18"/>
        </w:trPr>
        <w:tc>
          <w:tcPr>
            <w:tcW w:w="3435" w:type="dxa"/>
            <w:vAlign w:val="center"/>
            <w:hideMark/>
          </w:tcPr>
          <w:p w14:paraId="4F8CFA2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xml:space="preserve">Petits navires côtiers </w:t>
            </w:r>
          </w:p>
        </w:tc>
        <w:tc>
          <w:tcPr>
            <w:tcW w:w="829" w:type="dxa"/>
            <w:noWrap/>
            <w:vAlign w:val="center"/>
            <w:hideMark/>
          </w:tcPr>
          <w:p w14:paraId="6E65EC4E"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N/A</w:t>
            </w:r>
          </w:p>
        </w:tc>
        <w:tc>
          <w:tcPr>
            <w:tcW w:w="596" w:type="dxa"/>
          </w:tcPr>
          <w:p w14:paraId="57275E6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6" w:type="dxa"/>
            <w:noWrap/>
            <w:vAlign w:val="center"/>
            <w:hideMark/>
          </w:tcPr>
          <w:p w14:paraId="1C5C7466"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7" w:type="dxa"/>
            <w:vAlign w:val="center"/>
            <w:hideMark/>
          </w:tcPr>
          <w:p w14:paraId="21EA39A2"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31B1C7C1"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0C491108"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tcPr>
          <w:p w14:paraId="6A1F122E"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9" w:type="dxa"/>
          </w:tcPr>
          <w:p w14:paraId="45096A58"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47" w:type="dxa"/>
            <w:shd w:val="clear" w:color="000000" w:fill="D9D9D9"/>
            <w:vAlign w:val="center"/>
            <w:hideMark/>
          </w:tcPr>
          <w:p w14:paraId="15418092"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868" w:type="dxa"/>
          </w:tcPr>
          <w:p w14:paraId="0CEE2946"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31" w:type="dxa"/>
            <w:vAlign w:val="center"/>
            <w:hideMark/>
          </w:tcPr>
          <w:p w14:paraId="27B219CE"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27" w:type="dxa"/>
            <w:vAlign w:val="center"/>
            <w:hideMark/>
          </w:tcPr>
          <w:p w14:paraId="7694B03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41398A58"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1100" w:type="dxa"/>
            <w:vAlign w:val="center"/>
            <w:hideMark/>
          </w:tcPr>
          <w:p w14:paraId="577D33C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79372829"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5" w:type="dxa"/>
          </w:tcPr>
          <w:p w14:paraId="540C9DD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r>
      <w:tr w:rsidR="00294375" w:rsidRPr="004E13E9" w14:paraId="1F851777" w14:textId="77777777" w:rsidTr="00142152">
        <w:trPr>
          <w:trHeight w:val="18"/>
        </w:trPr>
        <w:tc>
          <w:tcPr>
            <w:tcW w:w="3435" w:type="dxa"/>
            <w:vAlign w:val="center"/>
            <w:hideMark/>
          </w:tcPr>
          <w:p w14:paraId="722168AD"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Autre (à préciser)</w:t>
            </w:r>
          </w:p>
        </w:tc>
        <w:tc>
          <w:tcPr>
            <w:tcW w:w="829" w:type="dxa"/>
            <w:noWrap/>
            <w:vAlign w:val="center"/>
            <w:hideMark/>
          </w:tcPr>
          <w:p w14:paraId="06B9A59F"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5</w:t>
            </w:r>
          </w:p>
        </w:tc>
        <w:tc>
          <w:tcPr>
            <w:tcW w:w="596" w:type="dxa"/>
          </w:tcPr>
          <w:p w14:paraId="1B13770B"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6" w:type="dxa"/>
            <w:noWrap/>
            <w:vAlign w:val="center"/>
            <w:hideMark/>
          </w:tcPr>
          <w:p w14:paraId="54CA8FE6"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7" w:type="dxa"/>
            <w:vAlign w:val="center"/>
            <w:hideMark/>
          </w:tcPr>
          <w:p w14:paraId="79FF5F84"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5500398C"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04AC8D99"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tcPr>
          <w:p w14:paraId="6AC0E2F9"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9" w:type="dxa"/>
          </w:tcPr>
          <w:p w14:paraId="04D053BC"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47" w:type="dxa"/>
            <w:shd w:val="clear" w:color="000000" w:fill="D9D9D9"/>
            <w:vAlign w:val="center"/>
            <w:hideMark/>
          </w:tcPr>
          <w:p w14:paraId="47290EA4"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868" w:type="dxa"/>
          </w:tcPr>
          <w:p w14:paraId="0D237E07"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31" w:type="dxa"/>
            <w:vAlign w:val="center"/>
            <w:hideMark/>
          </w:tcPr>
          <w:p w14:paraId="25A67ADB"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27" w:type="dxa"/>
            <w:vAlign w:val="center"/>
            <w:hideMark/>
          </w:tcPr>
          <w:p w14:paraId="7EC3F2C1"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3E44D617"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1100" w:type="dxa"/>
            <w:vAlign w:val="center"/>
            <w:hideMark/>
          </w:tcPr>
          <w:p w14:paraId="71D6137C"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2" w:type="dxa"/>
            <w:vAlign w:val="center"/>
            <w:hideMark/>
          </w:tcPr>
          <w:p w14:paraId="3CB661CD"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65" w:type="dxa"/>
          </w:tcPr>
          <w:p w14:paraId="3BD2C2B9"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r>
      <w:tr w:rsidR="00294375" w:rsidRPr="004E13E9" w14:paraId="045075C6" w14:textId="77777777" w:rsidTr="00142152">
        <w:trPr>
          <w:trHeight w:val="18"/>
        </w:trPr>
        <w:tc>
          <w:tcPr>
            <w:tcW w:w="3435" w:type="dxa"/>
            <w:noWrap/>
            <w:vAlign w:val="center"/>
            <w:hideMark/>
          </w:tcPr>
          <w:p w14:paraId="4FE1E50E"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Capacité totale de la flottille/de pêche</w:t>
            </w:r>
          </w:p>
        </w:tc>
        <w:tc>
          <w:tcPr>
            <w:tcW w:w="829" w:type="dxa"/>
            <w:noWrap/>
            <w:vAlign w:val="center"/>
            <w:hideMark/>
          </w:tcPr>
          <w:p w14:paraId="281D261A" w14:textId="77777777" w:rsidR="006A3093" w:rsidRPr="004E13E9" w:rsidRDefault="006A3093" w:rsidP="006A3093">
            <w:pPr>
              <w:widowControl w:val="0"/>
              <w:contextualSpacing/>
              <w:jc w:val="right"/>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tcPr>
          <w:p w14:paraId="014B6906"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47</w:t>
            </w:r>
          </w:p>
        </w:tc>
        <w:tc>
          <w:tcPr>
            <w:tcW w:w="596" w:type="dxa"/>
            <w:noWrap/>
            <w:vAlign w:val="center"/>
            <w:hideMark/>
          </w:tcPr>
          <w:p w14:paraId="4508B9C9"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49</w:t>
            </w:r>
          </w:p>
        </w:tc>
        <w:tc>
          <w:tcPr>
            <w:tcW w:w="597" w:type="dxa"/>
            <w:vAlign w:val="center"/>
            <w:hideMark/>
          </w:tcPr>
          <w:p w14:paraId="7ACC2D1B"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36</w:t>
            </w:r>
          </w:p>
        </w:tc>
        <w:tc>
          <w:tcPr>
            <w:tcW w:w="596" w:type="dxa"/>
            <w:vAlign w:val="center"/>
            <w:hideMark/>
          </w:tcPr>
          <w:p w14:paraId="05EB6F5B"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sz w:val="16"/>
                <w:szCs w:val="16"/>
                <w:lang w:val="fr-FR" w:eastAsia="fr-FR" w:bidi="fr-FR"/>
              </w:rPr>
              <w:t>41</w:t>
            </w:r>
            <w:r w:rsidRPr="004E13E9">
              <w:rPr>
                <w:rFonts w:eastAsia="MS Gothic" w:cs="Times New Roman"/>
                <w:sz w:val="16"/>
                <w:szCs w:val="16"/>
                <w:vertAlign w:val="superscript"/>
                <w:lang w:val="fr-FR" w:eastAsia="fr-FR" w:bidi="fr-FR"/>
              </w:rPr>
              <w:t>*1</w:t>
            </w:r>
          </w:p>
        </w:tc>
        <w:tc>
          <w:tcPr>
            <w:tcW w:w="596" w:type="dxa"/>
            <w:vAlign w:val="center"/>
            <w:hideMark/>
          </w:tcPr>
          <w:p w14:paraId="341BA3FE"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sz w:val="16"/>
                <w:szCs w:val="16"/>
                <w:lang w:val="fr-FR" w:eastAsia="fr-FR" w:bidi="fr-FR"/>
              </w:rPr>
              <w:t>42</w:t>
            </w:r>
            <w:r w:rsidRPr="004E13E9">
              <w:rPr>
                <w:rFonts w:eastAsia="MS Gothic" w:cs="Times New Roman"/>
                <w:sz w:val="16"/>
                <w:szCs w:val="16"/>
                <w:vertAlign w:val="superscript"/>
                <w:lang w:val="fr-FR" w:eastAsia="fr-FR" w:bidi="fr-FR"/>
              </w:rPr>
              <w:t>*2</w:t>
            </w:r>
          </w:p>
        </w:tc>
        <w:tc>
          <w:tcPr>
            <w:tcW w:w="596" w:type="dxa"/>
            <w:vAlign w:val="center"/>
          </w:tcPr>
          <w:p w14:paraId="236F0803"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40</w:t>
            </w:r>
            <w:r w:rsidRPr="004E13E9">
              <w:rPr>
                <w:rFonts w:eastAsia="MS Gothic" w:cs="Times New Roman"/>
                <w:color w:val="000000"/>
                <w:sz w:val="16"/>
                <w:szCs w:val="16"/>
                <w:vertAlign w:val="superscript"/>
                <w:lang w:val="fr-FR" w:eastAsia="fr-FR" w:bidi="fr-FR"/>
              </w:rPr>
              <w:t>*3</w:t>
            </w:r>
          </w:p>
        </w:tc>
        <w:tc>
          <w:tcPr>
            <w:tcW w:w="599" w:type="dxa"/>
            <w:vAlign w:val="center"/>
          </w:tcPr>
          <w:p w14:paraId="75933287"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40</w:t>
            </w:r>
          </w:p>
        </w:tc>
        <w:tc>
          <w:tcPr>
            <w:tcW w:w="247" w:type="dxa"/>
            <w:shd w:val="clear" w:color="000000" w:fill="D9D9D9"/>
            <w:vAlign w:val="center"/>
            <w:hideMark/>
          </w:tcPr>
          <w:p w14:paraId="2B066446"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868" w:type="dxa"/>
            <w:vAlign w:val="center"/>
          </w:tcPr>
          <w:p w14:paraId="2F419564"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1.175</w:t>
            </w:r>
          </w:p>
        </w:tc>
        <w:tc>
          <w:tcPr>
            <w:tcW w:w="931" w:type="dxa"/>
            <w:vAlign w:val="center"/>
            <w:hideMark/>
          </w:tcPr>
          <w:p w14:paraId="020CED81"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1.225</w:t>
            </w:r>
          </w:p>
        </w:tc>
        <w:tc>
          <w:tcPr>
            <w:tcW w:w="927" w:type="dxa"/>
            <w:vAlign w:val="center"/>
            <w:hideMark/>
          </w:tcPr>
          <w:p w14:paraId="45002EF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900</w:t>
            </w:r>
          </w:p>
        </w:tc>
        <w:tc>
          <w:tcPr>
            <w:tcW w:w="962" w:type="dxa"/>
            <w:noWrap/>
            <w:vAlign w:val="center"/>
            <w:hideMark/>
          </w:tcPr>
          <w:p w14:paraId="331700BE"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1.025</w:t>
            </w:r>
          </w:p>
        </w:tc>
        <w:tc>
          <w:tcPr>
            <w:tcW w:w="1100" w:type="dxa"/>
            <w:noWrap/>
            <w:vAlign w:val="center"/>
            <w:hideMark/>
          </w:tcPr>
          <w:p w14:paraId="1484544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1.050</w:t>
            </w:r>
          </w:p>
        </w:tc>
        <w:tc>
          <w:tcPr>
            <w:tcW w:w="962" w:type="dxa"/>
            <w:noWrap/>
            <w:vAlign w:val="center"/>
            <w:hideMark/>
          </w:tcPr>
          <w:p w14:paraId="33A2578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1.000</w:t>
            </w:r>
          </w:p>
        </w:tc>
        <w:tc>
          <w:tcPr>
            <w:tcW w:w="965" w:type="dxa"/>
            <w:vAlign w:val="center"/>
          </w:tcPr>
          <w:p w14:paraId="7603A15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1.000</w:t>
            </w:r>
          </w:p>
        </w:tc>
      </w:tr>
      <w:tr w:rsidR="00294375" w:rsidRPr="004E13E9" w14:paraId="391CBC8C" w14:textId="77777777" w:rsidTr="00142152">
        <w:trPr>
          <w:trHeight w:val="18"/>
        </w:trPr>
        <w:tc>
          <w:tcPr>
            <w:tcW w:w="3435" w:type="dxa"/>
            <w:shd w:val="clear" w:color="auto" w:fill="D9D9D9"/>
            <w:noWrap/>
            <w:vAlign w:val="center"/>
            <w:hideMark/>
          </w:tcPr>
          <w:p w14:paraId="1DC2DC36"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 xml:space="preserve">Quota initial </w:t>
            </w:r>
          </w:p>
        </w:tc>
        <w:tc>
          <w:tcPr>
            <w:tcW w:w="829" w:type="dxa"/>
            <w:shd w:val="clear" w:color="auto" w:fill="D9D9D9"/>
            <w:noWrap/>
            <w:vAlign w:val="center"/>
            <w:hideMark/>
          </w:tcPr>
          <w:p w14:paraId="5786CEB2" w14:textId="77777777" w:rsidR="006A3093" w:rsidRPr="004E13E9" w:rsidRDefault="006A3093" w:rsidP="006A3093">
            <w:pPr>
              <w:widowControl w:val="0"/>
              <w:contextualSpacing/>
              <w:jc w:val="right"/>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shd w:val="clear" w:color="auto" w:fill="D9D9D9"/>
          </w:tcPr>
          <w:p w14:paraId="69B45CA7"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6" w:type="dxa"/>
            <w:shd w:val="clear" w:color="auto" w:fill="D9D9D9"/>
            <w:noWrap/>
            <w:vAlign w:val="center"/>
            <w:hideMark/>
          </w:tcPr>
          <w:p w14:paraId="47535247"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7" w:type="dxa"/>
            <w:shd w:val="clear" w:color="auto" w:fill="D9D9D9"/>
            <w:vAlign w:val="center"/>
            <w:hideMark/>
          </w:tcPr>
          <w:p w14:paraId="62883EF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shd w:val="clear" w:color="auto" w:fill="D9D9D9"/>
            <w:vAlign w:val="center"/>
            <w:hideMark/>
          </w:tcPr>
          <w:p w14:paraId="1FE37287"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shd w:val="clear" w:color="auto" w:fill="D9D9D9"/>
            <w:vAlign w:val="center"/>
            <w:hideMark/>
          </w:tcPr>
          <w:p w14:paraId="73AD69C0"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shd w:val="clear" w:color="auto" w:fill="D9D9D9"/>
          </w:tcPr>
          <w:p w14:paraId="5EBEDA3E"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9" w:type="dxa"/>
            <w:shd w:val="clear" w:color="auto" w:fill="D9D9D9"/>
          </w:tcPr>
          <w:p w14:paraId="5AC76127"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47" w:type="dxa"/>
            <w:shd w:val="clear" w:color="auto" w:fill="D9D9D9"/>
            <w:vAlign w:val="center"/>
            <w:hideMark/>
          </w:tcPr>
          <w:p w14:paraId="2DE6ECD6"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868" w:type="dxa"/>
            <w:shd w:val="clear" w:color="auto" w:fill="D9D9D9"/>
          </w:tcPr>
          <w:p w14:paraId="0F189527" w14:textId="77777777" w:rsidR="006A3093" w:rsidRPr="004E13E9" w:rsidRDefault="006A3093" w:rsidP="006A3093">
            <w:pPr>
              <w:widowControl w:val="0"/>
              <w:contextualSpacing/>
              <w:jc w:val="both"/>
              <w:rPr>
                <w:rFonts w:eastAsia="MS Gothic" w:cs="Times New Roman"/>
                <w:strike/>
                <w:color w:val="000000"/>
                <w:sz w:val="16"/>
                <w:szCs w:val="16"/>
                <w:lang w:val="fr-FR" w:eastAsia="fr-FR" w:bidi="fr-FR"/>
              </w:rPr>
            </w:pPr>
          </w:p>
        </w:tc>
        <w:tc>
          <w:tcPr>
            <w:tcW w:w="931" w:type="dxa"/>
            <w:shd w:val="clear" w:color="auto" w:fill="D9D9D9"/>
            <w:vAlign w:val="center"/>
            <w:hideMark/>
          </w:tcPr>
          <w:p w14:paraId="3D1EB09E"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2.430,54</w:t>
            </w:r>
          </w:p>
        </w:tc>
        <w:tc>
          <w:tcPr>
            <w:tcW w:w="927" w:type="dxa"/>
            <w:shd w:val="clear" w:color="auto" w:fill="D9D9D9"/>
            <w:vAlign w:val="center"/>
            <w:hideMark/>
          </w:tcPr>
          <w:p w14:paraId="5D6A60C2"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2.279</w:t>
            </w:r>
          </w:p>
        </w:tc>
        <w:tc>
          <w:tcPr>
            <w:tcW w:w="962" w:type="dxa"/>
            <w:shd w:val="clear" w:color="auto" w:fill="D9D9D9"/>
            <w:vAlign w:val="center"/>
            <w:hideMark/>
          </w:tcPr>
          <w:p w14:paraId="550ED7A1"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3.114</w:t>
            </w:r>
          </w:p>
        </w:tc>
        <w:tc>
          <w:tcPr>
            <w:tcW w:w="1100" w:type="dxa"/>
            <w:shd w:val="clear" w:color="auto" w:fill="D9D9D9"/>
            <w:vAlign w:val="center"/>
            <w:hideMark/>
          </w:tcPr>
          <w:p w14:paraId="35731D92"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3.114</w:t>
            </w:r>
          </w:p>
        </w:tc>
        <w:tc>
          <w:tcPr>
            <w:tcW w:w="962" w:type="dxa"/>
            <w:shd w:val="clear" w:color="auto" w:fill="D9D9D9"/>
            <w:vAlign w:val="center"/>
            <w:hideMark/>
          </w:tcPr>
          <w:p w14:paraId="1C423AF7"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3.114</w:t>
            </w:r>
          </w:p>
        </w:tc>
        <w:tc>
          <w:tcPr>
            <w:tcW w:w="965" w:type="dxa"/>
            <w:shd w:val="clear" w:color="auto" w:fill="D9D9D9"/>
          </w:tcPr>
          <w:p w14:paraId="33DCCFCD"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3.559,41</w:t>
            </w:r>
          </w:p>
        </w:tc>
      </w:tr>
      <w:tr w:rsidR="00294375" w:rsidRPr="004E13E9" w14:paraId="543E1108" w14:textId="77777777" w:rsidTr="00142152">
        <w:trPr>
          <w:trHeight w:val="18"/>
        </w:trPr>
        <w:tc>
          <w:tcPr>
            <w:tcW w:w="3435" w:type="dxa"/>
            <w:shd w:val="clear" w:color="auto" w:fill="D9D9D9"/>
            <w:noWrap/>
            <w:vAlign w:val="center"/>
          </w:tcPr>
          <w:p w14:paraId="1E7A0EDE" w14:textId="77777777" w:rsidR="006A3093" w:rsidRPr="004E13E9" w:rsidRDefault="006A3093" w:rsidP="006A3093">
            <w:pPr>
              <w:widowControl w:val="0"/>
              <w:contextualSpacing/>
              <w:jc w:val="both"/>
              <w:rPr>
                <w:rFonts w:eastAsia="Times New Roman" w:cs="Calibri"/>
                <w:b/>
                <w:bCs/>
                <w:color w:val="000000"/>
                <w:sz w:val="16"/>
                <w:szCs w:val="16"/>
                <w:lang w:val="fr-FR" w:eastAsia="fr-FR" w:bidi="fr-FR"/>
              </w:rPr>
            </w:pPr>
            <w:r w:rsidRPr="004E13E9">
              <w:rPr>
                <w:rFonts w:eastAsia="MS Gothic" w:cs="Times New Roman"/>
                <w:b/>
                <w:color w:val="000000"/>
                <w:sz w:val="16"/>
                <w:szCs w:val="16"/>
                <w:lang w:val="fr-FR" w:eastAsia="fr-FR" w:bidi="fr-FR"/>
              </w:rPr>
              <w:t xml:space="preserve">Quota ajusté (le cas échéant) </w:t>
            </w:r>
          </w:p>
        </w:tc>
        <w:tc>
          <w:tcPr>
            <w:tcW w:w="829" w:type="dxa"/>
            <w:shd w:val="clear" w:color="auto" w:fill="D9D9D9"/>
            <w:noWrap/>
            <w:vAlign w:val="center"/>
          </w:tcPr>
          <w:p w14:paraId="4B99237A" w14:textId="77777777" w:rsidR="006A3093" w:rsidRPr="004E13E9" w:rsidRDefault="006A3093" w:rsidP="006A3093">
            <w:pPr>
              <w:widowControl w:val="0"/>
              <w:contextualSpacing/>
              <w:jc w:val="right"/>
              <w:rPr>
                <w:rFonts w:eastAsia="Times New Roman" w:cs="Calibri"/>
                <w:color w:val="000000"/>
                <w:sz w:val="16"/>
                <w:szCs w:val="16"/>
                <w:lang w:val="fr-FR" w:eastAsia="ja-JP" w:bidi="fr-FR"/>
              </w:rPr>
            </w:pPr>
          </w:p>
        </w:tc>
        <w:tc>
          <w:tcPr>
            <w:tcW w:w="596" w:type="dxa"/>
            <w:shd w:val="clear" w:color="auto" w:fill="D9D9D9"/>
          </w:tcPr>
          <w:p w14:paraId="4CF2EE70"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596" w:type="dxa"/>
            <w:shd w:val="clear" w:color="auto" w:fill="D9D9D9"/>
            <w:noWrap/>
            <w:vAlign w:val="center"/>
          </w:tcPr>
          <w:p w14:paraId="1EB226D7"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597" w:type="dxa"/>
            <w:shd w:val="clear" w:color="auto" w:fill="D9D9D9"/>
            <w:vAlign w:val="center"/>
          </w:tcPr>
          <w:p w14:paraId="3388CC04"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596" w:type="dxa"/>
            <w:shd w:val="clear" w:color="auto" w:fill="D9D9D9"/>
            <w:vAlign w:val="center"/>
          </w:tcPr>
          <w:p w14:paraId="22077AFD"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596" w:type="dxa"/>
            <w:shd w:val="clear" w:color="auto" w:fill="D9D9D9"/>
            <w:vAlign w:val="center"/>
          </w:tcPr>
          <w:p w14:paraId="140604F8"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596" w:type="dxa"/>
            <w:shd w:val="clear" w:color="auto" w:fill="D9D9D9"/>
          </w:tcPr>
          <w:p w14:paraId="45F95564"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599" w:type="dxa"/>
            <w:shd w:val="clear" w:color="auto" w:fill="D9D9D9"/>
          </w:tcPr>
          <w:p w14:paraId="094DB91E" w14:textId="77777777" w:rsidR="006A3093" w:rsidRPr="004E13E9" w:rsidRDefault="006A3093" w:rsidP="006A3093">
            <w:pPr>
              <w:widowControl w:val="0"/>
              <w:contextualSpacing/>
              <w:jc w:val="center"/>
              <w:rPr>
                <w:rFonts w:eastAsia="Times New Roman" w:cs="Calibri"/>
                <w:color w:val="000000"/>
                <w:sz w:val="16"/>
                <w:szCs w:val="16"/>
                <w:lang w:val="fr-FR" w:eastAsia="ja-JP" w:bidi="fr-FR"/>
              </w:rPr>
            </w:pPr>
          </w:p>
        </w:tc>
        <w:tc>
          <w:tcPr>
            <w:tcW w:w="247" w:type="dxa"/>
            <w:shd w:val="clear" w:color="auto" w:fill="D9D9D9"/>
            <w:vAlign w:val="center"/>
          </w:tcPr>
          <w:p w14:paraId="05C37AEF"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868" w:type="dxa"/>
            <w:shd w:val="clear" w:color="auto" w:fill="D9D9D9"/>
          </w:tcPr>
          <w:p w14:paraId="374FDDCB"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931" w:type="dxa"/>
            <w:shd w:val="clear" w:color="auto" w:fill="D9D9D9"/>
            <w:vAlign w:val="center"/>
          </w:tcPr>
          <w:p w14:paraId="0DFC8CB7" w14:textId="77777777" w:rsidR="006A3093" w:rsidRPr="004E13E9" w:rsidRDefault="006A3093" w:rsidP="006A3093">
            <w:pPr>
              <w:widowControl w:val="0"/>
              <w:contextualSpacing/>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2.529</w:t>
            </w:r>
          </w:p>
        </w:tc>
        <w:tc>
          <w:tcPr>
            <w:tcW w:w="927" w:type="dxa"/>
            <w:shd w:val="clear" w:color="auto" w:fill="D9D9D9"/>
            <w:vAlign w:val="center"/>
          </w:tcPr>
          <w:p w14:paraId="2CAF0566" w14:textId="77777777" w:rsidR="006A3093" w:rsidRPr="004E13E9" w:rsidRDefault="006A3093" w:rsidP="006A3093">
            <w:pPr>
              <w:widowControl w:val="0"/>
              <w:contextualSpacing/>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2.279,00</w:t>
            </w:r>
          </w:p>
        </w:tc>
        <w:tc>
          <w:tcPr>
            <w:tcW w:w="962" w:type="dxa"/>
            <w:shd w:val="clear" w:color="auto" w:fill="D9D9D9"/>
            <w:vAlign w:val="center"/>
          </w:tcPr>
          <w:p w14:paraId="516EE761" w14:textId="77777777" w:rsidR="006A3093" w:rsidRPr="004E13E9" w:rsidRDefault="006A3093" w:rsidP="006A3093">
            <w:pPr>
              <w:widowControl w:val="0"/>
              <w:contextualSpacing/>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3.158,39</w:t>
            </w:r>
          </w:p>
        </w:tc>
        <w:tc>
          <w:tcPr>
            <w:tcW w:w="1100" w:type="dxa"/>
            <w:shd w:val="clear" w:color="auto" w:fill="D9D9D9"/>
            <w:vAlign w:val="center"/>
          </w:tcPr>
          <w:p w14:paraId="26AF5F76"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r w:rsidRPr="004E13E9">
              <w:rPr>
                <w:rFonts w:eastAsia="MS Gothic" w:cs="Times New Roman"/>
                <w:color w:val="000000"/>
                <w:sz w:val="16"/>
                <w:szCs w:val="16"/>
                <w:lang w:val="fr-FR" w:eastAsia="fr-FR" w:bidi="fr-FR"/>
              </w:rPr>
              <w:t>3.184,40</w:t>
            </w:r>
          </w:p>
        </w:tc>
        <w:tc>
          <w:tcPr>
            <w:tcW w:w="962" w:type="dxa"/>
            <w:shd w:val="clear" w:color="auto" w:fill="D9D9D9"/>
            <w:vAlign w:val="center"/>
          </w:tcPr>
          <w:p w14:paraId="30EE08EF"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r w:rsidRPr="004E13E9">
              <w:rPr>
                <w:rFonts w:eastAsia="MS Gothic" w:cs="Times New Roman"/>
                <w:color w:val="000000"/>
                <w:sz w:val="16"/>
                <w:szCs w:val="16"/>
                <w:lang w:val="fr-FR" w:eastAsia="fr-FR" w:bidi="fr-FR"/>
              </w:rPr>
              <w:t>3.269,70</w:t>
            </w:r>
          </w:p>
        </w:tc>
        <w:tc>
          <w:tcPr>
            <w:tcW w:w="965" w:type="dxa"/>
            <w:shd w:val="clear" w:color="auto" w:fill="D9D9D9"/>
          </w:tcPr>
          <w:p w14:paraId="36D99536" w14:textId="77777777" w:rsidR="006A3093" w:rsidRPr="004E13E9" w:rsidRDefault="006A3093" w:rsidP="006A3093">
            <w:pPr>
              <w:widowControl w:val="0"/>
              <w:contextualSpacing/>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4.023,16</w:t>
            </w:r>
          </w:p>
        </w:tc>
      </w:tr>
      <w:tr w:rsidR="00294375" w:rsidRPr="004E13E9" w14:paraId="04160315" w14:textId="77777777" w:rsidTr="00142152">
        <w:trPr>
          <w:trHeight w:val="18"/>
        </w:trPr>
        <w:tc>
          <w:tcPr>
            <w:tcW w:w="3435" w:type="dxa"/>
            <w:noWrap/>
            <w:vAlign w:val="center"/>
            <w:hideMark/>
          </w:tcPr>
          <w:p w14:paraId="6C2046A1"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Pourcentage alloué aux prises accessoires</w:t>
            </w:r>
          </w:p>
        </w:tc>
        <w:tc>
          <w:tcPr>
            <w:tcW w:w="829" w:type="dxa"/>
            <w:noWrap/>
            <w:vAlign w:val="center"/>
            <w:hideMark/>
          </w:tcPr>
          <w:p w14:paraId="2D428FD1" w14:textId="77777777" w:rsidR="006A3093" w:rsidRPr="004E13E9" w:rsidRDefault="006A3093" w:rsidP="006A3093">
            <w:pPr>
              <w:widowControl w:val="0"/>
              <w:contextualSpacing/>
              <w:jc w:val="right"/>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tcPr>
          <w:p w14:paraId="6D940C2E"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6" w:type="dxa"/>
            <w:noWrap/>
            <w:vAlign w:val="center"/>
            <w:hideMark/>
          </w:tcPr>
          <w:p w14:paraId="63A436F2"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7" w:type="dxa"/>
            <w:vAlign w:val="center"/>
            <w:hideMark/>
          </w:tcPr>
          <w:p w14:paraId="2DDCD408"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0BBF02E3"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vAlign w:val="center"/>
            <w:hideMark/>
          </w:tcPr>
          <w:p w14:paraId="39DE78FC"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tcPr>
          <w:p w14:paraId="26D43011"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9" w:type="dxa"/>
          </w:tcPr>
          <w:p w14:paraId="3544D1D2"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47" w:type="dxa"/>
            <w:shd w:val="clear" w:color="000000" w:fill="D9D9D9"/>
            <w:vAlign w:val="center"/>
            <w:hideMark/>
          </w:tcPr>
          <w:p w14:paraId="2C32305E"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868" w:type="dxa"/>
          </w:tcPr>
          <w:p w14:paraId="1C766024"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31" w:type="dxa"/>
            <w:vAlign w:val="center"/>
            <w:hideMark/>
          </w:tcPr>
          <w:p w14:paraId="0452FE54"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927" w:type="dxa"/>
            <w:vAlign w:val="center"/>
            <w:hideMark/>
          </w:tcPr>
          <w:p w14:paraId="7EF3874C"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xml:space="preserve">moins de 0,04% </w:t>
            </w:r>
          </w:p>
          <w:p w14:paraId="5F9A63F2"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(1 t)</w:t>
            </w:r>
            <w:r w:rsidRPr="004E13E9">
              <w:rPr>
                <w:rFonts w:eastAsia="MS Gothic" w:cs="Times New Roman"/>
                <w:color w:val="000000"/>
                <w:sz w:val="16"/>
                <w:szCs w:val="16"/>
                <w:vertAlign w:val="superscript"/>
                <w:lang w:val="fr-FR" w:eastAsia="fr-FR" w:bidi="fr-FR"/>
              </w:rPr>
              <w:t>*8</w:t>
            </w:r>
          </w:p>
        </w:tc>
        <w:tc>
          <w:tcPr>
            <w:tcW w:w="962" w:type="dxa"/>
            <w:vAlign w:val="center"/>
            <w:hideMark/>
          </w:tcPr>
          <w:p w14:paraId="40F92623"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xml:space="preserve">moins de 0,03% </w:t>
            </w:r>
          </w:p>
          <w:p w14:paraId="3138E3C8"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(1 t)</w:t>
            </w:r>
            <w:r w:rsidRPr="004E13E9">
              <w:rPr>
                <w:rFonts w:eastAsia="MS Gothic" w:cs="Times New Roman"/>
                <w:color w:val="000000"/>
                <w:sz w:val="16"/>
                <w:szCs w:val="16"/>
                <w:vertAlign w:val="superscript"/>
                <w:lang w:val="fr-FR" w:eastAsia="fr-FR" w:bidi="fr-FR"/>
              </w:rPr>
              <w:t xml:space="preserve"> *8</w:t>
            </w:r>
          </w:p>
        </w:tc>
        <w:tc>
          <w:tcPr>
            <w:tcW w:w="1100" w:type="dxa"/>
            <w:vAlign w:val="center"/>
            <w:hideMark/>
          </w:tcPr>
          <w:p w14:paraId="6E874C0A" w14:textId="77777777" w:rsidR="006A3093" w:rsidRPr="004E13E9" w:rsidRDefault="006A3093" w:rsidP="006A3093">
            <w:pPr>
              <w:widowControl w:val="0"/>
              <w:contextualSpacing/>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moins de 0,04% (1 t)</w:t>
            </w:r>
            <w:r w:rsidRPr="004E13E9">
              <w:rPr>
                <w:rFonts w:eastAsia="MS Gothic" w:cs="Times New Roman"/>
                <w:color w:val="000000"/>
                <w:sz w:val="16"/>
                <w:szCs w:val="16"/>
                <w:vertAlign w:val="superscript"/>
                <w:lang w:val="fr-FR" w:eastAsia="fr-FR" w:bidi="fr-FR"/>
              </w:rPr>
              <w:t xml:space="preserve"> *8</w:t>
            </w:r>
          </w:p>
          <w:p w14:paraId="577D1A69"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62" w:type="dxa"/>
            <w:vAlign w:val="center"/>
            <w:hideMark/>
          </w:tcPr>
          <w:p w14:paraId="756B14DE"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moins de 0,04% (1 t)</w:t>
            </w:r>
            <w:r w:rsidRPr="004E13E9">
              <w:rPr>
                <w:rFonts w:eastAsia="MS Gothic" w:cs="Times New Roman"/>
                <w:color w:val="000000"/>
                <w:sz w:val="16"/>
                <w:szCs w:val="16"/>
                <w:vertAlign w:val="superscript"/>
                <w:lang w:val="fr-FR" w:eastAsia="fr-FR" w:bidi="fr-FR"/>
              </w:rPr>
              <w:t xml:space="preserve"> *8</w:t>
            </w:r>
          </w:p>
        </w:tc>
        <w:tc>
          <w:tcPr>
            <w:tcW w:w="965" w:type="dxa"/>
            <w:vAlign w:val="center"/>
          </w:tcPr>
          <w:p w14:paraId="280C89F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moins de 0,04% (1 t)</w:t>
            </w:r>
            <w:r w:rsidRPr="004E13E9">
              <w:rPr>
                <w:rFonts w:eastAsia="MS Gothic" w:cs="Times New Roman"/>
                <w:color w:val="000000"/>
                <w:sz w:val="16"/>
                <w:szCs w:val="16"/>
                <w:vertAlign w:val="superscript"/>
                <w:lang w:val="fr-FR" w:eastAsia="fr-FR" w:bidi="fr-FR"/>
              </w:rPr>
              <w:t xml:space="preserve"> *8</w:t>
            </w:r>
          </w:p>
        </w:tc>
      </w:tr>
      <w:tr w:rsidR="00294375" w:rsidRPr="004E13E9" w14:paraId="09A8C84E" w14:textId="77777777" w:rsidTr="00142152">
        <w:trPr>
          <w:trHeight w:val="18"/>
        </w:trPr>
        <w:tc>
          <w:tcPr>
            <w:tcW w:w="3435" w:type="dxa"/>
            <w:noWrap/>
            <w:vAlign w:val="center"/>
          </w:tcPr>
          <w:p w14:paraId="5B80E623" w14:textId="77777777" w:rsidR="006A3093" w:rsidRPr="004E13E9" w:rsidRDefault="006A3093" w:rsidP="006A3093">
            <w:pPr>
              <w:widowControl w:val="0"/>
              <w:contextualSpacing/>
              <w:jc w:val="both"/>
              <w:rPr>
                <w:rFonts w:eastAsia="Times New Roman" w:cs="Calibri"/>
                <w:b/>
                <w:bCs/>
                <w:color w:val="000000"/>
                <w:sz w:val="16"/>
                <w:szCs w:val="16"/>
                <w:lang w:val="fr-FR" w:eastAsia="fr-FR" w:bidi="fr-FR"/>
              </w:rPr>
            </w:pPr>
            <w:r w:rsidRPr="004E13E9">
              <w:rPr>
                <w:rFonts w:eastAsia="MS Gothic" w:cs="Times New Roman"/>
                <w:b/>
                <w:color w:val="000000"/>
                <w:sz w:val="16"/>
                <w:szCs w:val="16"/>
                <w:lang w:val="fr-FR" w:eastAsia="fr-FR" w:bidi="fr-FR"/>
              </w:rPr>
              <w:t>Allocation aux prises accessoires</w:t>
            </w:r>
          </w:p>
        </w:tc>
        <w:tc>
          <w:tcPr>
            <w:tcW w:w="829" w:type="dxa"/>
            <w:noWrap/>
            <w:vAlign w:val="center"/>
          </w:tcPr>
          <w:p w14:paraId="7B09BEAD" w14:textId="77777777" w:rsidR="006A3093" w:rsidRPr="004E13E9" w:rsidRDefault="006A3093" w:rsidP="006A3093">
            <w:pPr>
              <w:widowControl w:val="0"/>
              <w:contextualSpacing/>
              <w:jc w:val="right"/>
              <w:rPr>
                <w:rFonts w:eastAsia="Times New Roman" w:cs="Calibri"/>
                <w:color w:val="000000"/>
                <w:sz w:val="16"/>
                <w:szCs w:val="16"/>
                <w:lang w:val="fr-FR" w:eastAsia="ja-JP" w:bidi="fr-FR"/>
              </w:rPr>
            </w:pPr>
          </w:p>
        </w:tc>
        <w:tc>
          <w:tcPr>
            <w:tcW w:w="596" w:type="dxa"/>
          </w:tcPr>
          <w:p w14:paraId="3FE4FD9D"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596" w:type="dxa"/>
            <w:noWrap/>
            <w:vAlign w:val="center"/>
          </w:tcPr>
          <w:p w14:paraId="4EE25929"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597" w:type="dxa"/>
            <w:vAlign w:val="center"/>
          </w:tcPr>
          <w:p w14:paraId="5C834DAA"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596" w:type="dxa"/>
            <w:vAlign w:val="center"/>
          </w:tcPr>
          <w:p w14:paraId="34474F72"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596" w:type="dxa"/>
            <w:vAlign w:val="center"/>
          </w:tcPr>
          <w:p w14:paraId="2EBF9657"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596" w:type="dxa"/>
          </w:tcPr>
          <w:p w14:paraId="06F75DDA"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599" w:type="dxa"/>
          </w:tcPr>
          <w:p w14:paraId="5AD82A4B" w14:textId="77777777" w:rsidR="006A3093" w:rsidRPr="004E13E9" w:rsidRDefault="006A3093" w:rsidP="006A3093">
            <w:pPr>
              <w:widowControl w:val="0"/>
              <w:contextualSpacing/>
              <w:jc w:val="center"/>
              <w:rPr>
                <w:rFonts w:eastAsia="Times New Roman" w:cs="Calibri"/>
                <w:color w:val="000000"/>
                <w:sz w:val="16"/>
                <w:szCs w:val="16"/>
                <w:lang w:val="fr-FR" w:eastAsia="ja-JP" w:bidi="fr-FR"/>
              </w:rPr>
            </w:pPr>
          </w:p>
        </w:tc>
        <w:tc>
          <w:tcPr>
            <w:tcW w:w="247" w:type="dxa"/>
            <w:shd w:val="clear" w:color="000000" w:fill="D9D9D9"/>
            <w:vAlign w:val="center"/>
          </w:tcPr>
          <w:p w14:paraId="31DB5EA2"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868" w:type="dxa"/>
          </w:tcPr>
          <w:p w14:paraId="47CA2918"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931" w:type="dxa"/>
            <w:vAlign w:val="center"/>
          </w:tcPr>
          <w:p w14:paraId="3197590F"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927" w:type="dxa"/>
            <w:vAlign w:val="center"/>
          </w:tcPr>
          <w:p w14:paraId="1640580A" w14:textId="77777777" w:rsidR="006A3093" w:rsidRPr="004E13E9" w:rsidRDefault="006A3093" w:rsidP="006A3093">
            <w:pPr>
              <w:widowControl w:val="0"/>
              <w:contextualSpacing/>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1 t</w:t>
            </w:r>
          </w:p>
        </w:tc>
        <w:tc>
          <w:tcPr>
            <w:tcW w:w="962" w:type="dxa"/>
            <w:vAlign w:val="center"/>
          </w:tcPr>
          <w:p w14:paraId="3D7E24F7" w14:textId="77777777" w:rsidR="006A3093" w:rsidRPr="004E13E9" w:rsidRDefault="006A3093" w:rsidP="006A3093">
            <w:pPr>
              <w:widowControl w:val="0"/>
              <w:contextualSpacing/>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1 t</w:t>
            </w:r>
          </w:p>
        </w:tc>
        <w:tc>
          <w:tcPr>
            <w:tcW w:w="1100" w:type="dxa"/>
            <w:vAlign w:val="center"/>
          </w:tcPr>
          <w:p w14:paraId="2B5CED73" w14:textId="77777777" w:rsidR="006A3093" w:rsidRPr="004E13E9" w:rsidRDefault="006A3093" w:rsidP="006A3093">
            <w:pPr>
              <w:widowControl w:val="0"/>
              <w:contextualSpacing/>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1 t</w:t>
            </w:r>
          </w:p>
        </w:tc>
        <w:tc>
          <w:tcPr>
            <w:tcW w:w="962" w:type="dxa"/>
            <w:vAlign w:val="center"/>
          </w:tcPr>
          <w:p w14:paraId="270E26D3" w14:textId="77777777" w:rsidR="006A3093" w:rsidRPr="004E13E9" w:rsidRDefault="006A3093" w:rsidP="006A3093">
            <w:pPr>
              <w:widowControl w:val="0"/>
              <w:contextualSpacing/>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1 t</w:t>
            </w:r>
          </w:p>
        </w:tc>
        <w:tc>
          <w:tcPr>
            <w:tcW w:w="965" w:type="dxa"/>
          </w:tcPr>
          <w:p w14:paraId="64F44285" w14:textId="77777777" w:rsidR="006A3093" w:rsidRPr="004E13E9" w:rsidRDefault="006A3093" w:rsidP="006A3093">
            <w:pPr>
              <w:widowControl w:val="0"/>
              <w:contextualSpacing/>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1 t</w:t>
            </w:r>
          </w:p>
        </w:tc>
      </w:tr>
      <w:tr w:rsidR="00294375" w:rsidRPr="006A2397" w14:paraId="28DE811A" w14:textId="77777777" w:rsidTr="00142152">
        <w:trPr>
          <w:trHeight w:val="18"/>
        </w:trPr>
        <w:tc>
          <w:tcPr>
            <w:tcW w:w="3435" w:type="dxa"/>
            <w:vAlign w:val="center"/>
          </w:tcPr>
          <w:p w14:paraId="2B18FF9A" w14:textId="77777777" w:rsidR="006A3093" w:rsidRPr="004E13E9" w:rsidRDefault="006A3093" w:rsidP="006A3093">
            <w:pPr>
              <w:widowControl w:val="0"/>
              <w:contextualSpacing/>
              <w:jc w:val="both"/>
              <w:rPr>
                <w:rFonts w:eastAsia="Times New Roman" w:cs="Calibri"/>
                <w:b/>
                <w:bCs/>
                <w:color w:val="000000"/>
                <w:sz w:val="16"/>
                <w:szCs w:val="16"/>
                <w:lang w:val="fr-FR" w:eastAsia="fr-FR" w:bidi="fr-FR"/>
              </w:rPr>
            </w:pPr>
            <w:r w:rsidRPr="004E13E9">
              <w:rPr>
                <w:rFonts w:eastAsia="MS Gothic" w:cs="Times New Roman"/>
                <w:b/>
                <w:color w:val="000000"/>
                <w:sz w:val="16"/>
                <w:szCs w:val="16"/>
                <w:lang w:val="fr-FR" w:eastAsia="fr-FR" w:bidi="fr-FR"/>
              </w:rPr>
              <w:t>Quota de recherche scientifique</w:t>
            </w:r>
          </w:p>
          <w:p w14:paraId="79127150"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(le cas échéant)</w:t>
            </w:r>
          </w:p>
        </w:tc>
        <w:tc>
          <w:tcPr>
            <w:tcW w:w="829" w:type="dxa"/>
            <w:noWrap/>
            <w:vAlign w:val="center"/>
          </w:tcPr>
          <w:p w14:paraId="5391F702" w14:textId="77777777" w:rsidR="006A3093" w:rsidRPr="004E13E9" w:rsidRDefault="006A3093" w:rsidP="006A3093">
            <w:pPr>
              <w:widowControl w:val="0"/>
              <w:contextualSpacing/>
              <w:jc w:val="right"/>
              <w:rPr>
                <w:rFonts w:eastAsia="MS Gothic" w:cs="Times New Roman"/>
                <w:b/>
                <w:color w:val="000000"/>
                <w:sz w:val="16"/>
                <w:szCs w:val="16"/>
                <w:lang w:val="fr-FR" w:eastAsia="fr-FR" w:bidi="fr-FR"/>
              </w:rPr>
            </w:pPr>
          </w:p>
        </w:tc>
        <w:tc>
          <w:tcPr>
            <w:tcW w:w="596" w:type="dxa"/>
          </w:tcPr>
          <w:p w14:paraId="21BDE5C4"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596" w:type="dxa"/>
            <w:noWrap/>
            <w:vAlign w:val="center"/>
          </w:tcPr>
          <w:p w14:paraId="0D24421C"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597" w:type="dxa"/>
            <w:vAlign w:val="center"/>
          </w:tcPr>
          <w:p w14:paraId="4308DE99"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596" w:type="dxa"/>
            <w:vAlign w:val="center"/>
          </w:tcPr>
          <w:p w14:paraId="465076C9"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596" w:type="dxa"/>
            <w:vAlign w:val="center"/>
          </w:tcPr>
          <w:p w14:paraId="17E9E9BE"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596" w:type="dxa"/>
          </w:tcPr>
          <w:p w14:paraId="03B8E702"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599" w:type="dxa"/>
          </w:tcPr>
          <w:p w14:paraId="6782E80E"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47" w:type="dxa"/>
            <w:shd w:val="clear" w:color="000000" w:fill="D9D9D9"/>
            <w:vAlign w:val="center"/>
          </w:tcPr>
          <w:p w14:paraId="240D40FF"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868" w:type="dxa"/>
          </w:tcPr>
          <w:p w14:paraId="2B833D4C"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931" w:type="dxa"/>
            <w:vAlign w:val="center"/>
          </w:tcPr>
          <w:p w14:paraId="64D34B19"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927" w:type="dxa"/>
            <w:vAlign w:val="center"/>
          </w:tcPr>
          <w:p w14:paraId="18F4EAA8"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962" w:type="dxa"/>
            <w:noWrap/>
            <w:vAlign w:val="center"/>
          </w:tcPr>
          <w:p w14:paraId="06DAEA14"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1100" w:type="dxa"/>
            <w:noWrap/>
            <w:vAlign w:val="center"/>
          </w:tcPr>
          <w:p w14:paraId="1752B9D7"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962" w:type="dxa"/>
            <w:noWrap/>
            <w:vAlign w:val="center"/>
          </w:tcPr>
          <w:p w14:paraId="5BB025E6"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965" w:type="dxa"/>
          </w:tcPr>
          <w:p w14:paraId="0FAADC9F"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r>
      <w:tr w:rsidR="00294375" w:rsidRPr="004E13E9" w14:paraId="19B99EF4" w14:textId="77777777" w:rsidTr="00142152">
        <w:trPr>
          <w:trHeight w:val="18"/>
        </w:trPr>
        <w:tc>
          <w:tcPr>
            <w:tcW w:w="3435" w:type="dxa"/>
            <w:vAlign w:val="center"/>
          </w:tcPr>
          <w:p w14:paraId="7B0B84E7"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Tolérance pour la pêche sportive/récréative</w:t>
            </w:r>
          </w:p>
          <w:p w14:paraId="03F6968C"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(le cas échéant)</w:t>
            </w:r>
          </w:p>
        </w:tc>
        <w:tc>
          <w:tcPr>
            <w:tcW w:w="829" w:type="dxa"/>
            <w:noWrap/>
            <w:vAlign w:val="center"/>
          </w:tcPr>
          <w:p w14:paraId="25FA1975" w14:textId="77777777" w:rsidR="006A3093" w:rsidRPr="004E13E9" w:rsidRDefault="006A3093" w:rsidP="006A3093">
            <w:pPr>
              <w:widowControl w:val="0"/>
              <w:contextualSpacing/>
              <w:jc w:val="right"/>
              <w:rPr>
                <w:rFonts w:eastAsia="MS Gothic" w:cs="Times New Roman"/>
                <w:b/>
                <w:color w:val="000000"/>
                <w:sz w:val="16"/>
                <w:szCs w:val="16"/>
                <w:lang w:val="fr-FR" w:eastAsia="fr-FR" w:bidi="fr-FR"/>
              </w:rPr>
            </w:pPr>
          </w:p>
        </w:tc>
        <w:tc>
          <w:tcPr>
            <w:tcW w:w="596" w:type="dxa"/>
          </w:tcPr>
          <w:p w14:paraId="06AF5182"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596" w:type="dxa"/>
            <w:noWrap/>
            <w:vAlign w:val="center"/>
          </w:tcPr>
          <w:p w14:paraId="0ED69DF4"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597" w:type="dxa"/>
            <w:vAlign w:val="center"/>
          </w:tcPr>
          <w:p w14:paraId="5A76562E"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596" w:type="dxa"/>
            <w:vAlign w:val="center"/>
          </w:tcPr>
          <w:p w14:paraId="08D519ED"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596" w:type="dxa"/>
            <w:vAlign w:val="center"/>
          </w:tcPr>
          <w:p w14:paraId="72504C32"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596" w:type="dxa"/>
          </w:tcPr>
          <w:p w14:paraId="0D8815B9"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599" w:type="dxa"/>
          </w:tcPr>
          <w:p w14:paraId="38B621EA"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47" w:type="dxa"/>
            <w:shd w:val="clear" w:color="000000" w:fill="D9D9D9"/>
            <w:vAlign w:val="center"/>
          </w:tcPr>
          <w:p w14:paraId="3E3FE154"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868" w:type="dxa"/>
          </w:tcPr>
          <w:p w14:paraId="33B42CC2"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931" w:type="dxa"/>
            <w:vAlign w:val="center"/>
          </w:tcPr>
          <w:p w14:paraId="2225CEC4"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927" w:type="dxa"/>
            <w:vAlign w:val="center"/>
          </w:tcPr>
          <w:p w14:paraId="1F7A0933"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962" w:type="dxa"/>
            <w:noWrap/>
            <w:vAlign w:val="center"/>
          </w:tcPr>
          <w:p w14:paraId="27BFB4C2"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1100" w:type="dxa"/>
            <w:noWrap/>
            <w:vAlign w:val="center"/>
          </w:tcPr>
          <w:p w14:paraId="0086380B"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962" w:type="dxa"/>
            <w:noWrap/>
            <w:vAlign w:val="center"/>
          </w:tcPr>
          <w:p w14:paraId="3820AF00"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c>
          <w:tcPr>
            <w:tcW w:w="965" w:type="dxa"/>
          </w:tcPr>
          <w:p w14:paraId="58E664E6"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p>
        </w:tc>
      </w:tr>
      <w:tr w:rsidR="00294375" w:rsidRPr="004E13E9" w14:paraId="051F18C6" w14:textId="77777777" w:rsidTr="00142152">
        <w:trPr>
          <w:trHeight w:val="18"/>
        </w:trPr>
        <w:tc>
          <w:tcPr>
            <w:tcW w:w="3435" w:type="dxa"/>
            <w:vAlign w:val="center"/>
          </w:tcPr>
          <w:p w14:paraId="0113B07D" w14:textId="77777777" w:rsidR="006A3093" w:rsidRPr="004E13E9" w:rsidRDefault="006A3093" w:rsidP="006A3093">
            <w:pPr>
              <w:widowControl w:val="0"/>
              <w:contextualSpacing/>
              <w:jc w:val="both"/>
              <w:rPr>
                <w:rFonts w:eastAsia="Times New Roman" w:cs="Calibri"/>
                <w:b/>
                <w:bCs/>
                <w:color w:val="000000"/>
                <w:sz w:val="16"/>
                <w:szCs w:val="16"/>
                <w:lang w:val="fr-FR" w:eastAsia="fr-FR" w:bidi="fr-FR"/>
              </w:rPr>
            </w:pPr>
            <w:r w:rsidRPr="004E13E9">
              <w:rPr>
                <w:rFonts w:eastAsia="MS Gothic" w:cs="Times New Roman"/>
                <w:b/>
                <w:color w:val="000000"/>
                <w:sz w:val="16"/>
                <w:szCs w:val="16"/>
                <w:lang w:val="fr-FR" w:eastAsia="fr-FR" w:bidi="fr-FR"/>
              </w:rPr>
              <w:t>Quota disponible</w:t>
            </w:r>
          </w:p>
        </w:tc>
        <w:tc>
          <w:tcPr>
            <w:tcW w:w="829" w:type="dxa"/>
            <w:noWrap/>
            <w:vAlign w:val="center"/>
          </w:tcPr>
          <w:p w14:paraId="6B666793" w14:textId="77777777" w:rsidR="006A3093" w:rsidRPr="004E13E9" w:rsidRDefault="006A3093" w:rsidP="006A3093">
            <w:pPr>
              <w:widowControl w:val="0"/>
              <w:contextualSpacing/>
              <w:jc w:val="right"/>
              <w:rPr>
                <w:rFonts w:eastAsia="Times New Roman" w:cs="Calibri"/>
                <w:b/>
                <w:bCs/>
                <w:color w:val="000000"/>
                <w:sz w:val="16"/>
                <w:szCs w:val="16"/>
                <w:lang w:val="fr-FR" w:eastAsia="ja-JP" w:bidi="fr-FR"/>
              </w:rPr>
            </w:pPr>
          </w:p>
        </w:tc>
        <w:tc>
          <w:tcPr>
            <w:tcW w:w="596" w:type="dxa"/>
          </w:tcPr>
          <w:p w14:paraId="52A06D23" w14:textId="77777777" w:rsidR="006A3093" w:rsidRPr="004E13E9" w:rsidRDefault="006A3093" w:rsidP="006A3093">
            <w:pPr>
              <w:widowControl w:val="0"/>
              <w:contextualSpacing/>
              <w:jc w:val="both"/>
              <w:rPr>
                <w:rFonts w:eastAsia="Times New Roman" w:cs="Calibri"/>
                <w:b/>
                <w:bCs/>
                <w:color w:val="000000"/>
                <w:sz w:val="16"/>
                <w:szCs w:val="16"/>
                <w:lang w:val="fr-FR" w:eastAsia="ja-JP" w:bidi="fr-FR"/>
              </w:rPr>
            </w:pPr>
          </w:p>
        </w:tc>
        <w:tc>
          <w:tcPr>
            <w:tcW w:w="596" w:type="dxa"/>
            <w:noWrap/>
            <w:vAlign w:val="center"/>
          </w:tcPr>
          <w:p w14:paraId="6F87AAF5" w14:textId="77777777" w:rsidR="006A3093" w:rsidRPr="004E13E9" w:rsidRDefault="006A3093" w:rsidP="006A3093">
            <w:pPr>
              <w:widowControl w:val="0"/>
              <w:contextualSpacing/>
              <w:jc w:val="both"/>
              <w:rPr>
                <w:rFonts w:eastAsia="Times New Roman" w:cs="Calibri"/>
                <w:b/>
                <w:bCs/>
                <w:color w:val="000000"/>
                <w:sz w:val="16"/>
                <w:szCs w:val="16"/>
                <w:lang w:val="fr-FR" w:eastAsia="ja-JP" w:bidi="fr-FR"/>
              </w:rPr>
            </w:pPr>
          </w:p>
        </w:tc>
        <w:tc>
          <w:tcPr>
            <w:tcW w:w="597" w:type="dxa"/>
            <w:vAlign w:val="center"/>
          </w:tcPr>
          <w:p w14:paraId="42B671A3" w14:textId="77777777" w:rsidR="006A3093" w:rsidRPr="004E13E9" w:rsidRDefault="006A3093" w:rsidP="006A3093">
            <w:pPr>
              <w:widowControl w:val="0"/>
              <w:contextualSpacing/>
              <w:jc w:val="both"/>
              <w:rPr>
                <w:rFonts w:eastAsia="Times New Roman" w:cs="Calibri"/>
                <w:b/>
                <w:bCs/>
                <w:color w:val="000000"/>
                <w:sz w:val="16"/>
                <w:szCs w:val="16"/>
                <w:lang w:val="fr-FR" w:eastAsia="ja-JP" w:bidi="fr-FR"/>
              </w:rPr>
            </w:pPr>
          </w:p>
        </w:tc>
        <w:tc>
          <w:tcPr>
            <w:tcW w:w="596" w:type="dxa"/>
            <w:vAlign w:val="center"/>
          </w:tcPr>
          <w:p w14:paraId="6C326523" w14:textId="77777777" w:rsidR="006A3093" w:rsidRPr="004E13E9" w:rsidRDefault="006A3093" w:rsidP="006A3093">
            <w:pPr>
              <w:widowControl w:val="0"/>
              <w:contextualSpacing/>
              <w:jc w:val="both"/>
              <w:rPr>
                <w:rFonts w:eastAsia="Times New Roman" w:cs="Calibri"/>
                <w:b/>
                <w:bCs/>
                <w:color w:val="000000"/>
                <w:sz w:val="16"/>
                <w:szCs w:val="16"/>
                <w:lang w:val="fr-FR" w:eastAsia="ja-JP" w:bidi="fr-FR"/>
              </w:rPr>
            </w:pPr>
          </w:p>
        </w:tc>
        <w:tc>
          <w:tcPr>
            <w:tcW w:w="596" w:type="dxa"/>
            <w:vAlign w:val="center"/>
          </w:tcPr>
          <w:p w14:paraId="645ED145" w14:textId="77777777" w:rsidR="006A3093" w:rsidRPr="004E13E9" w:rsidRDefault="006A3093" w:rsidP="006A3093">
            <w:pPr>
              <w:widowControl w:val="0"/>
              <w:contextualSpacing/>
              <w:jc w:val="both"/>
              <w:rPr>
                <w:rFonts w:eastAsia="Times New Roman" w:cs="Calibri"/>
                <w:b/>
                <w:bCs/>
                <w:color w:val="000000"/>
                <w:sz w:val="16"/>
                <w:szCs w:val="16"/>
                <w:lang w:val="fr-FR" w:eastAsia="ja-JP" w:bidi="fr-FR"/>
              </w:rPr>
            </w:pPr>
          </w:p>
        </w:tc>
        <w:tc>
          <w:tcPr>
            <w:tcW w:w="596" w:type="dxa"/>
          </w:tcPr>
          <w:p w14:paraId="248F3117" w14:textId="77777777" w:rsidR="006A3093" w:rsidRPr="004E13E9" w:rsidRDefault="006A3093" w:rsidP="006A3093">
            <w:pPr>
              <w:widowControl w:val="0"/>
              <w:contextualSpacing/>
              <w:jc w:val="both"/>
              <w:rPr>
                <w:rFonts w:eastAsia="Times New Roman" w:cs="Calibri"/>
                <w:b/>
                <w:bCs/>
                <w:color w:val="000000"/>
                <w:sz w:val="16"/>
                <w:szCs w:val="16"/>
                <w:lang w:val="fr-FR" w:eastAsia="ja-JP" w:bidi="fr-FR"/>
              </w:rPr>
            </w:pPr>
          </w:p>
        </w:tc>
        <w:tc>
          <w:tcPr>
            <w:tcW w:w="599" w:type="dxa"/>
          </w:tcPr>
          <w:p w14:paraId="245AFDD9" w14:textId="77777777" w:rsidR="006A3093" w:rsidRPr="004E13E9" w:rsidRDefault="006A3093" w:rsidP="006A3093">
            <w:pPr>
              <w:widowControl w:val="0"/>
              <w:contextualSpacing/>
              <w:jc w:val="center"/>
              <w:rPr>
                <w:rFonts w:eastAsia="Times New Roman" w:cs="Calibri"/>
                <w:color w:val="000000"/>
                <w:sz w:val="16"/>
                <w:szCs w:val="16"/>
                <w:lang w:val="fr-FR" w:eastAsia="ja-JP" w:bidi="fr-FR"/>
              </w:rPr>
            </w:pPr>
          </w:p>
        </w:tc>
        <w:tc>
          <w:tcPr>
            <w:tcW w:w="247" w:type="dxa"/>
            <w:shd w:val="clear" w:color="000000" w:fill="D9D9D9"/>
            <w:vAlign w:val="center"/>
          </w:tcPr>
          <w:p w14:paraId="51C9340A" w14:textId="77777777" w:rsidR="006A3093" w:rsidRPr="004E13E9" w:rsidRDefault="006A3093" w:rsidP="006A3093">
            <w:pPr>
              <w:widowControl w:val="0"/>
              <w:contextualSpacing/>
              <w:jc w:val="both"/>
              <w:rPr>
                <w:rFonts w:eastAsia="Times New Roman" w:cs="Calibri"/>
                <w:b/>
                <w:bCs/>
                <w:color w:val="000000"/>
                <w:sz w:val="16"/>
                <w:szCs w:val="16"/>
                <w:lang w:val="fr-FR" w:eastAsia="ja-JP" w:bidi="fr-FR"/>
              </w:rPr>
            </w:pPr>
          </w:p>
        </w:tc>
        <w:tc>
          <w:tcPr>
            <w:tcW w:w="868" w:type="dxa"/>
          </w:tcPr>
          <w:p w14:paraId="2EDE450A" w14:textId="77777777" w:rsidR="006A3093" w:rsidRPr="004E13E9" w:rsidRDefault="006A3093" w:rsidP="006A3093">
            <w:pPr>
              <w:widowControl w:val="0"/>
              <w:contextualSpacing/>
              <w:jc w:val="both"/>
              <w:rPr>
                <w:rFonts w:eastAsia="Times New Roman" w:cs="Calibri"/>
                <w:b/>
                <w:bCs/>
                <w:color w:val="000000"/>
                <w:sz w:val="16"/>
                <w:szCs w:val="16"/>
                <w:lang w:val="fr-FR" w:eastAsia="ja-JP" w:bidi="fr-FR"/>
              </w:rPr>
            </w:pPr>
          </w:p>
        </w:tc>
        <w:tc>
          <w:tcPr>
            <w:tcW w:w="931" w:type="dxa"/>
            <w:vAlign w:val="center"/>
          </w:tcPr>
          <w:p w14:paraId="200B6F92" w14:textId="77777777" w:rsidR="006A3093" w:rsidRPr="004E13E9" w:rsidRDefault="006A3093" w:rsidP="006A3093">
            <w:pPr>
              <w:widowControl w:val="0"/>
              <w:contextualSpacing/>
              <w:jc w:val="both"/>
              <w:rPr>
                <w:rFonts w:eastAsia="Times New Roman" w:cs="Calibri"/>
                <w:color w:val="000000"/>
                <w:sz w:val="16"/>
                <w:szCs w:val="16"/>
                <w:lang w:val="fr-FR" w:eastAsia="ja-JP" w:bidi="fr-FR"/>
              </w:rPr>
            </w:pPr>
          </w:p>
        </w:tc>
        <w:tc>
          <w:tcPr>
            <w:tcW w:w="927" w:type="dxa"/>
            <w:vAlign w:val="center"/>
          </w:tcPr>
          <w:p w14:paraId="71C3ECD5" w14:textId="77777777" w:rsidR="006A3093" w:rsidRPr="004E13E9" w:rsidRDefault="006A3093" w:rsidP="006A3093">
            <w:pPr>
              <w:widowControl w:val="0"/>
              <w:contextualSpacing/>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2.264</w:t>
            </w:r>
          </w:p>
        </w:tc>
        <w:tc>
          <w:tcPr>
            <w:tcW w:w="962" w:type="dxa"/>
            <w:noWrap/>
            <w:vAlign w:val="center"/>
          </w:tcPr>
          <w:p w14:paraId="04619B72" w14:textId="77777777" w:rsidR="006A3093" w:rsidRPr="004E13E9" w:rsidRDefault="006A3093" w:rsidP="006A3093">
            <w:pPr>
              <w:widowControl w:val="0"/>
              <w:contextualSpacing/>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3.143,39</w:t>
            </w:r>
            <w:r w:rsidRPr="004E13E9">
              <w:rPr>
                <w:rFonts w:eastAsia="MS Gothic" w:cs="Times New Roman"/>
                <w:color w:val="000000"/>
                <w:sz w:val="16"/>
                <w:szCs w:val="16"/>
                <w:vertAlign w:val="superscript"/>
                <w:lang w:val="fr-FR" w:eastAsia="fr-FR" w:bidi="fr-FR"/>
              </w:rPr>
              <w:t>*4</w:t>
            </w:r>
          </w:p>
        </w:tc>
        <w:tc>
          <w:tcPr>
            <w:tcW w:w="1100" w:type="dxa"/>
            <w:noWrap/>
            <w:vAlign w:val="center"/>
          </w:tcPr>
          <w:p w14:paraId="2F9525D4" w14:textId="77777777" w:rsidR="006A3093" w:rsidRPr="004E13E9" w:rsidRDefault="006A3093" w:rsidP="006A3093">
            <w:pPr>
              <w:widowControl w:val="0"/>
              <w:contextualSpacing/>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3.169,40</w:t>
            </w:r>
            <w:r w:rsidRPr="004E13E9">
              <w:rPr>
                <w:rFonts w:eastAsia="MS Gothic" w:cs="Times New Roman"/>
                <w:color w:val="000000"/>
                <w:sz w:val="16"/>
                <w:szCs w:val="16"/>
                <w:vertAlign w:val="superscript"/>
                <w:lang w:val="fr-FR" w:eastAsia="fr-FR" w:bidi="fr-FR"/>
              </w:rPr>
              <w:t>*5</w:t>
            </w:r>
          </w:p>
        </w:tc>
        <w:tc>
          <w:tcPr>
            <w:tcW w:w="962" w:type="dxa"/>
            <w:noWrap/>
            <w:vAlign w:val="center"/>
          </w:tcPr>
          <w:p w14:paraId="07D8FF73" w14:textId="77777777" w:rsidR="006A3093" w:rsidRPr="004E13E9" w:rsidRDefault="006A3093" w:rsidP="006A3093">
            <w:pPr>
              <w:widowControl w:val="0"/>
              <w:contextualSpacing/>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3.254,70</w:t>
            </w:r>
            <w:r w:rsidRPr="004E13E9">
              <w:rPr>
                <w:rFonts w:eastAsia="MS Gothic" w:cs="Times New Roman"/>
                <w:color w:val="000000"/>
                <w:sz w:val="16"/>
                <w:szCs w:val="16"/>
                <w:vertAlign w:val="superscript"/>
                <w:lang w:val="fr-FR" w:eastAsia="fr-FR" w:bidi="fr-FR"/>
              </w:rPr>
              <w:t>*6</w:t>
            </w:r>
          </w:p>
        </w:tc>
        <w:tc>
          <w:tcPr>
            <w:tcW w:w="965" w:type="dxa"/>
          </w:tcPr>
          <w:p w14:paraId="2ACC928E" w14:textId="77777777" w:rsidR="006A3093" w:rsidRPr="004E13E9" w:rsidRDefault="006A3093" w:rsidP="006A3093">
            <w:pPr>
              <w:widowControl w:val="0"/>
              <w:contextualSpacing/>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4.008,16</w:t>
            </w:r>
            <w:r w:rsidRPr="004E13E9">
              <w:rPr>
                <w:rFonts w:eastAsia="MS Gothic" w:cs="Times New Roman"/>
                <w:color w:val="000000"/>
                <w:sz w:val="16"/>
                <w:szCs w:val="16"/>
                <w:vertAlign w:val="superscript"/>
                <w:lang w:val="fr-FR" w:eastAsia="fr-FR" w:bidi="fr-FR"/>
              </w:rPr>
              <w:t>*7</w:t>
            </w:r>
          </w:p>
        </w:tc>
      </w:tr>
      <w:tr w:rsidR="00294375" w:rsidRPr="004E13E9" w14:paraId="27112D97" w14:textId="77777777" w:rsidTr="00142152">
        <w:trPr>
          <w:trHeight w:val="18"/>
        </w:trPr>
        <w:tc>
          <w:tcPr>
            <w:tcW w:w="3435" w:type="dxa"/>
            <w:shd w:val="clear" w:color="auto" w:fill="D9D9D9"/>
            <w:noWrap/>
            <w:vAlign w:val="center"/>
            <w:hideMark/>
          </w:tcPr>
          <w:p w14:paraId="15060679" w14:textId="77777777" w:rsidR="006A3093" w:rsidRPr="004E13E9" w:rsidRDefault="006A3093" w:rsidP="006A3093">
            <w:pPr>
              <w:widowControl w:val="0"/>
              <w:contextualSpacing/>
              <w:jc w:val="both"/>
              <w:rPr>
                <w:rFonts w:eastAsia="MS Gothic" w:cs="Times New Roman"/>
                <w:b/>
                <w:color w:val="000000"/>
                <w:sz w:val="16"/>
                <w:szCs w:val="16"/>
                <w:lang w:val="fr-FR" w:eastAsia="fr-FR" w:bidi="fr-FR"/>
              </w:rPr>
            </w:pPr>
            <w:r w:rsidRPr="004E13E9">
              <w:rPr>
                <w:rFonts w:eastAsia="MS Gothic" w:cs="Times New Roman"/>
                <w:b/>
                <w:color w:val="000000"/>
                <w:sz w:val="16"/>
                <w:szCs w:val="16"/>
                <w:lang w:val="fr-FR" w:eastAsia="fr-FR" w:bidi="fr-FR"/>
              </w:rPr>
              <w:t>Sous/surcapacité</w:t>
            </w:r>
          </w:p>
        </w:tc>
        <w:tc>
          <w:tcPr>
            <w:tcW w:w="829" w:type="dxa"/>
            <w:shd w:val="clear" w:color="auto" w:fill="D9D9D9"/>
            <w:noWrap/>
            <w:vAlign w:val="center"/>
            <w:hideMark/>
          </w:tcPr>
          <w:p w14:paraId="23331FAF" w14:textId="77777777" w:rsidR="006A3093" w:rsidRPr="004E13E9" w:rsidRDefault="006A3093" w:rsidP="006A3093">
            <w:pPr>
              <w:widowControl w:val="0"/>
              <w:contextualSpacing/>
              <w:jc w:val="right"/>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shd w:val="clear" w:color="auto" w:fill="D9D9D9"/>
          </w:tcPr>
          <w:p w14:paraId="7B533A3D"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6" w:type="dxa"/>
            <w:shd w:val="clear" w:color="auto" w:fill="D9D9D9"/>
            <w:noWrap/>
            <w:vAlign w:val="center"/>
            <w:hideMark/>
          </w:tcPr>
          <w:p w14:paraId="42EE22CE"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7" w:type="dxa"/>
            <w:shd w:val="clear" w:color="auto" w:fill="D9D9D9"/>
            <w:vAlign w:val="center"/>
            <w:hideMark/>
          </w:tcPr>
          <w:p w14:paraId="44BA215C"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shd w:val="clear" w:color="auto" w:fill="D9D9D9"/>
            <w:vAlign w:val="center"/>
            <w:hideMark/>
          </w:tcPr>
          <w:p w14:paraId="339EAF2C"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shd w:val="clear" w:color="auto" w:fill="D9D9D9"/>
            <w:vAlign w:val="center"/>
            <w:hideMark/>
          </w:tcPr>
          <w:p w14:paraId="69B30246"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596" w:type="dxa"/>
            <w:shd w:val="clear" w:color="auto" w:fill="D9D9D9"/>
          </w:tcPr>
          <w:p w14:paraId="136B28B9"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599" w:type="dxa"/>
            <w:shd w:val="clear" w:color="auto" w:fill="D9D9D9"/>
          </w:tcPr>
          <w:p w14:paraId="11060D43" w14:textId="77777777" w:rsidR="006A3093" w:rsidRPr="004E13E9" w:rsidRDefault="006A3093" w:rsidP="006A3093">
            <w:pPr>
              <w:widowControl w:val="0"/>
              <w:contextualSpacing/>
              <w:jc w:val="center"/>
              <w:rPr>
                <w:rFonts w:eastAsia="MS Gothic" w:cs="Times New Roman"/>
                <w:color w:val="000000"/>
                <w:sz w:val="16"/>
                <w:szCs w:val="16"/>
                <w:lang w:val="fr-FR" w:eastAsia="fr-FR" w:bidi="fr-FR"/>
              </w:rPr>
            </w:pPr>
          </w:p>
        </w:tc>
        <w:tc>
          <w:tcPr>
            <w:tcW w:w="247" w:type="dxa"/>
            <w:shd w:val="clear" w:color="auto" w:fill="D9D9D9"/>
            <w:vAlign w:val="center"/>
            <w:hideMark/>
          </w:tcPr>
          <w:p w14:paraId="303784D4"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868" w:type="dxa"/>
            <w:shd w:val="clear" w:color="auto" w:fill="D9D9D9"/>
          </w:tcPr>
          <w:p w14:paraId="5CEF896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31" w:type="dxa"/>
            <w:shd w:val="clear" w:color="auto" w:fill="D9D9D9"/>
            <w:vAlign w:val="center"/>
            <w:hideMark/>
          </w:tcPr>
          <w:p w14:paraId="6C777D86" w14:textId="77777777" w:rsidR="006A3093" w:rsidRPr="004E13E9" w:rsidRDefault="006A3093" w:rsidP="006A3093">
            <w:pPr>
              <w:widowControl w:val="0"/>
              <w:contextualSpacing/>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 </w:t>
            </w:r>
          </w:p>
          <w:p w14:paraId="3F176B9A"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p>
        </w:tc>
        <w:tc>
          <w:tcPr>
            <w:tcW w:w="927" w:type="dxa"/>
            <w:shd w:val="clear" w:color="auto" w:fill="D9D9D9"/>
            <w:vAlign w:val="center"/>
            <w:hideMark/>
          </w:tcPr>
          <w:p w14:paraId="0087B868"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-1.364,00</w:t>
            </w:r>
          </w:p>
        </w:tc>
        <w:tc>
          <w:tcPr>
            <w:tcW w:w="962" w:type="dxa"/>
            <w:shd w:val="clear" w:color="auto" w:fill="D9D9D9"/>
            <w:vAlign w:val="center"/>
            <w:hideMark/>
          </w:tcPr>
          <w:p w14:paraId="71BA2FDE"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-2.118,39</w:t>
            </w:r>
          </w:p>
        </w:tc>
        <w:tc>
          <w:tcPr>
            <w:tcW w:w="1100" w:type="dxa"/>
            <w:shd w:val="clear" w:color="auto" w:fill="D9D9D9"/>
            <w:vAlign w:val="center"/>
            <w:hideMark/>
          </w:tcPr>
          <w:p w14:paraId="0ECB396F"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-2.119,40</w:t>
            </w:r>
          </w:p>
        </w:tc>
        <w:tc>
          <w:tcPr>
            <w:tcW w:w="962" w:type="dxa"/>
            <w:shd w:val="clear" w:color="auto" w:fill="D9D9D9"/>
            <w:vAlign w:val="center"/>
            <w:hideMark/>
          </w:tcPr>
          <w:p w14:paraId="256717FD"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-2.254,70</w:t>
            </w:r>
          </w:p>
        </w:tc>
        <w:tc>
          <w:tcPr>
            <w:tcW w:w="965" w:type="dxa"/>
            <w:shd w:val="clear" w:color="auto" w:fill="D9D9D9"/>
            <w:vAlign w:val="center"/>
          </w:tcPr>
          <w:p w14:paraId="7F101561" w14:textId="77777777" w:rsidR="006A3093" w:rsidRPr="004E13E9" w:rsidRDefault="006A3093" w:rsidP="006A3093">
            <w:pPr>
              <w:widowControl w:val="0"/>
              <w:contextualSpacing/>
              <w:jc w:val="both"/>
              <w:rPr>
                <w:rFonts w:eastAsia="MS Gothic" w:cs="Times New Roman"/>
                <w:color w:val="000000"/>
                <w:sz w:val="16"/>
                <w:szCs w:val="16"/>
                <w:lang w:val="fr-FR" w:eastAsia="fr-FR" w:bidi="fr-FR"/>
              </w:rPr>
            </w:pPr>
            <w:r w:rsidRPr="004E13E9">
              <w:rPr>
                <w:rFonts w:eastAsia="MS Gothic" w:cs="Times New Roman"/>
                <w:color w:val="000000"/>
                <w:sz w:val="16"/>
                <w:szCs w:val="16"/>
                <w:lang w:val="fr-FR" w:eastAsia="fr-FR" w:bidi="fr-FR"/>
              </w:rPr>
              <w:t>-3.008,16</w:t>
            </w:r>
          </w:p>
        </w:tc>
      </w:tr>
    </w:tbl>
    <w:p w14:paraId="25838BE0" w14:textId="77777777" w:rsidR="006A3093" w:rsidRPr="004E13E9" w:rsidRDefault="006A3093" w:rsidP="006A3093">
      <w:pPr>
        <w:tabs>
          <w:tab w:val="left" w:pos="142"/>
        </w:tabs>
        <w:rPr>
          <w:rFonts w:eastAsia="MS Gothic" w:cs="Times New Roman"/>
          <w:sz w:val="14"/>
          <w:szCs w:val="14"/>
          <w:lang w:val="fr-FR" w:eastAsia="fr-FR" w:bidi="fr-FR"/>
        </w:rPr>
      </w:pPr>
      <w:r w:rsidRPr="004E13E9">
        <w:rPr>
          <w:rFonts w:eastAsia="MS Gothic" w:cs="Times New Roman"/>
          <w:sz w:val="14"/>
          <w:szCs w:val="14"/>
          <w:vertAlign w:val="superscript"/>
          <w:lang w:val="fr-FR" w:eastAsia="fr-FR" w:bidi="fr-FR"/>
        </w:rPr>
        <w:t xml:space="preserve">*1 </w:t>
      </w:r>
      <w:r w:rsidRPr="004E13E9">
        <w:rPr>
          <w:rFonts w:eastAsia="MS Gothic" w:cs="Times New Roman"/>
          <w:sz w:val="14"/>
          <w:szCs w:val="14"/>
          <w:lang w:val="fr-FR" w:eastAsia="fr-FR" w:bidi="fr-FR"/>
        </w:rPr>
        <w:t>Deux des 41 navires ont annulé leur opération pour le BFT-E pendant la saison de pêche 2023.</w:t>
      </w:r>
    </w:p>
    <w:p w14:paraId="4299EA37" w14:textId="77777777" w:rsidR="006A3093" w:rsidRPr="004E13E9" w:rsidRDefault="006A3093" w:rsidP="006A3093">
      <w:pPr>
        <w:tabs>
          <w:tab w:val="left" w:pos="142"/>
        </w:tabs>
        <w:rPr>
          <w:rFonts w:eastAsia="MS Gothic" w:cs="Times New Roman"/>
          <w:sz w:val="14"/>
          <w:szCs w:val="14"/>
          <w:lang w:val="fr-FR" w:eastAsia="fr-FR" w:bidi="fr-FR"/>
        </w:rPr>
      </w:pPr>
      <w:r w:rsidRPr="004E13E9">
        <w:rPr>
          <w:rFonts w:eastAsia="MS Gothic" w:cs="Times New Roman"/>
          <w:sz w:val="14"/>
          <w:szCs w:val="14"/>
          <w:vertAlign w:val="superscript"/>
          <w:lang w:val="fr-FR" w:eastAsia="fr-FR" w:bidi="fr-FR"/>
        </w:rPr>
        <w:t>*2</w:t>
      </w:r>
      <w:r w:rsidRPr="004E13E9">
        <w:rPr>
          <w:rFonts w:eastAsia="MS Gothic" w:cs="Times New Roman"/>
          <w:sz w:val="14"/>
          <w:szCs w:val="14"/>
          <w:lang w:val="fr-FR" w:eastAsia="fr-FR" w:bidi="fr-FR"/>
        </w:rPr>
        <w:t xml:space="preserve"> Trois des 42 navires ont annulé leur opération pour le BFT-E pendant la saison de pêche 2024.</w:t>
      </w:r>
    </w:p>
    <w:p w14:paraId="25BB11A7" w14:textId="77777777" w:rsidR="006A3093" w:rsidRPr="004E13E9" w:rsidRDefault="006A3093" w:rsidP="006A3093">
      <w:pPr>
        <w:tabs>
          <w:tab w:val="left" w:pos="142"/>
        </w:tabs>
        <w:rPr>
          <w:rFonts w:eastAsia="MS Gothic" w:cs="Times New Roman"/>
          <w:sz w:val="14"/>
          <w:szCs w:val="14"/>
          <w:lang w:val="fr-FR" w:eastAsia="fr-FR" w:bidi="fr-FR"/>
        </w:rPr>
      </w:pPr>
      <w:r w:rsidRPr="004E13E9">
        <w:rPr>
          <w:rFonts w:eastAsia="MS Gothic" w:cs="Times New Roman"/>
          <w:sz w:val="14"/>
          <w:szCs w:val="14"/>
          <w:vertAlign w:val="superscript"/>
          <w:lang w:val="fr-FR" w:eastAsia="fr-FR" w:bidi="fr-FR"/>
        </w:rPr>
        <w:t xml:space="preserve">*3 </w:t>
      </w:r>
      <w:r w:rsidRPr="004E13E9">
        <w:rPr>
          <w:rFonts w:eastAsia="MS Gothic" w:cs="Times New Roman"/>
          <w:sz w:val="14"/>
          <w:szCs w:val="14"/>
          <w:lang w:val="fr-FR" w:eastAsia="fr-FR" w:bidi="fr-FR"/>
        </w:rPr>
        <w:t>Trois des 40 navires ont annulé leur opération pour le BFT-E pendant la saison de pêche 2025.Chiffres provisoires. Une fois que le nombre de navires aura été confirmé, ces chiffres seront révisés et communiqués au Secrétariat.</w:t>
      </w:r>
    </w:p>
    <w:p w14:paraId="14A10D0F" w14:textId="77777777" w:rsidR="006A3093" w:rsidRPr="004E13E9" w:rsidRDefault="006A3093" w:rsidP="006A3093">
      <w:pPr>
        <w:tabs>
          <w:tab w:val="left" w:pos="142"/>
        </w:tabs>
        <w:rPr>
          <w:rFonts w:eastAsia="MS Gothic" w:cs="Times New Roman"/>
          <w:sz w:val="14"/>
          <w:szCs w:val="14"/>
          <w:lang w:val="fr-FR" w:eastAsia="fr-FR" w:bidi="fr-FR"/>
        </w:rPr>
      </w:pPr>
      <w:r w:rsidRPr="004E13E9">
        <w:rPr>
          <w:rFonts w:eastAsia="MS Gothic" w:cs="Times New Roman"/>
          <w:sz w:val="14"/>
          <w:szCs w:val="14"/>
          <w:vertAlign w:val="superscript"/>
          <w:lang w:val="fr-FR" w:eastAsia="fr-FR" w:bidi="fr-FR"/>
        </w:rPr>
        <w:t>*4</w:t>
      </w:r>
      <w:r w:rsidRPr="004E13E9">
        <w:rPr>
          <w:rFonts w:eastAsia="MS Gothic" w:cs="Times New Roman"/>
          <w:sz w:val="14"/>
          <w:szCs w:val="14"/>
          <w:lang w:val="fr-FR" w:eastAsia="fr-FR" w:bidi="fr-FR"/>
        </w:rPr>
        <w:t xml:space="preserve"> 3.114,00 t (quota initial pour 2023) + 44,39 t (report de 2022 (paragraphe 6 de la Rec. 22-08)) - 15 t (*8) = 3.143,39 t.</w:t>
      </w:r>
    </w:p>
    <w:p w14:paraId="017EC6AE" w14:textId="77777777" w:rsidR="006A3093" w:rsidRPr="004E13E9" w:rsidRDefault="006A3093" w:rsidP="006A3093">
      <w:pPr>
        <w:tabs>
          <w:tab w:val="left" w:pos="142"/>
        </w:tabs>
        <w:rPr>
          <w:rFonts w:eastAsia="MS Gothic" w:cs="Times New Roman"/>
          <w:sz w:val="14"/>
          <w:szCs w:val="14"/>
          <w:lang w:val="fr-FR" w:eastAsia="fr-FR" w:bidi="fr-FR"/>
        </w:rPr>
      </w:pPr>
      <w:r w:rsidRPr="004E13E9">
        <w:rPr>
          <w:rFonts w:eastAsia="MS Gothic" w:cs="Times New Roman"/>
          <w:sz w:val="14"/>
          <w:szCs w:val="14"/>
          <w:vertAlign w:val="superscript"/>
          <w:lang w:val="fr-FR" w:eastAsia="fr-FR" w:bidi="fr-FR"/>
        </w:rPr>
        <w:t>*5</w:t>
      </w:r>
      <w:r w:rsidRPr="004E13E9">
        <w:rPr>
          <w:rFonts w:eastAsia="MS Gothic" w:cs="Times New Roman"/>
          <w:sz w:val="14"/>
          <w:szCs w:val="14"/>
          <w:lang w:val="fr-FR" w:eastAsia="fr-FR" w:bidi="fr-FR"/>
        </w:rPr>
        <w:t xml:space="preserve"> 3.114,00 t (quota initial pour 2024) + 70,4 t (report de 2023 (paragraphe 6 de la Rec. 22-08)) - 15 t (*8) = 3.169,4 t.</w:t>
      </w:r>
    </w:p>
    <w:p w14:paraId="7798A699" w14:textId="77777777" w:rsidR="006A3093" w:rsidRPr="004E13E9" w:rsidRDefault="006A3093" w:rsidP="006A3093">
      <w:pPr>
        <w:tabs>
          <w:tab w:val="left" w:pos="142"/>
        </w:tabs>
        <w:rPr>
          <w:rFonts w:eastAsia="MS Gothic" w:cs="Times New Roman"/>
          <w:sz w:val="14"/>
          <w:szCs w:val="14"/>
          <w:lang w:val="fr-FR" w:eastAsia="fr-FR" w:bidi="fr-FR"/>
        </w:rPr>
      </w:pPr>
      <w:r w:rsidRPr="004E13E9">
        <w:rPr>
          <w:rFonts w:eastAsia="MS Gothic" w:cs="Times New Roman"/>
          <w:sz w:val="14"/>
          <w:szCs w:val="14"/>
          <w:vertAlign w:val="superscript"/>
          <w:lang w:val="fr-FR" w:eastAsia="fr-FR" w:bidi="fr-FR"/>
        </w:rPr>
        <w:t>*6</w:t>
      </w:r>
      <w:r w:rsidRPr="004E13E9">
        <w:rPr>
          <w:rFonts w:eastAsia="MS Gothic" w:cs="Times New Roman"/>
          <w:sz w:val="14"/>
          <w:szCs w:val="14"/>
          <w:lang w:val="fr-FR" w:eastAsia="fr-FR" w:bidi="fr-FR"/>
        </w:rPr>
        <w:t xml:space="preserve"> 3.114,00 t (quota initial pour 2025) + 155,7 t (report de 2024 (paragraphe 6 de la Rec. 24-05)) - 15 t (*8) = 3.254,7 t.</w:t>
      </w:r>
    </w:p>
    <w:p w14:paraId="363C2DED" w14:textId="77777777" w:rsidR="006A3093" w:rsidRPr="004E13E9" w:rsidRDefault="006A3093" w:rsidP="006A3093">
      <w:pPr>
        <w:tabs>
          <w:tab w:val="left" w:pos="142"/>
        </w:tabs>
        <w:rPr>
          <w:rFonts w:eastAsia="MS Gothic" w:cs="Times New Roman"/>
          <w:sz w:val="14"/>
          <w:szCs w:val="14"/>
          <w:lang w:val="fr-FR" w:eastAsia="fr-FR" w:bidi="fr-FR"/>
        </w:rPr>
      </w:pPr>
      <w:r w:rsidRPr="004E13E9">
        <w:rPr>
          <w:rFonts w:eastAsia="MS Gothic" w:cs="Times New Roman"/>
          <w:sz w:val="14"/>
          <w:szCs w:val="14"/>
          <w:vertAlign w:val="superscript"/>
          <w:lang w:val="fr-FR" w:eastAsia="fr-FR" w:bidi="fr-FR"/>
        </w:rPr>
        <w:t>*7</w:t>
      </w:r>
      <w:r w:rsidRPr="004E13E9">
        <w:rPr>
          <w:rFonts w:eastAsia="MS Gothic" w:cs="Times New Roman"/>
          <w:sz w:val="14"/>
          <w:szCs w:val="14"/>
          <w:lang w:val="fr-FR" w:eastAsia="fr-FR" w:bidi="fr-FR"/>
        </w:rPr>
        <w:t xml:space="preserve"> 3.559,41 t (quota initial pour 2026) + 463,75 t (report de 2025 (paragraphe 6 de la Rec. 24-05)) - 15 t (*8) = 4.008,16 t</w:t>
      </w:r>
    </w:p>
    <w:p w14:paraId="5AC61F2B" w14:textId="3DEDCC3E" w:rsidR="00B82E87" w:rsidRPr="004E13E9" w:rsidRDefault="006A3093" w:rsidP="00142152">
      <w:pPr>
        <w:tabs>
          <w:tab w:val="left" w:pos="142"/>
        </w:tabs>
        <w:rPr>
          <w:sz w:val="14"/>
          <w:szCs w:val="14"/>
          <w:lang w:val="fr-FR"/>
        </w:rPr>
      </w:pPr>
      <w:r w:rsidRPr="004E13E9">
        <w:rPr>
          <w:rFonts w:eastAsia="MS Gothic" w:cs="Times New Roman"/>
          <w:sz w:val="14"/>
          <w:szCs w:val="14"/>
          <w:vertAlign w:val="superscript"/>
          <w:lang w:val="fr-FR" w:eastAsia="fr-FR" w:bidi="fr-FR"/>
        </w:rPr>
        <w:t>*8</w:t>
      </w:r>
      <w:r w:rsidRPr="004E13E9">
        <w:rPr>
          <w:rFonts w:eastAsia="MS Gothic" w:cs="Times New Roman"/>
          <w:sz w:val="14"/>
          <w:szCs w:val="14"/>
          <w:lang w:val="fr-FR" w:eastAsia="fr-FR" w:bidi="fr-FR"/>
        </w:rPr>
        <w:t xml:space="preserve"> Le Japon réserve 14 t pour les rejets morts de la pêcherie de thon rouge et alloue 1 t pour les prises accessoires des autres pêcheries. </w:t>
      </w:r>
    </w:p>
    <w:p w14:paraId="69590716" w14:textId="77777777" w:rsidR="00B82E87" w:rsidRPr="004E13E9" w:rsidRDefault="00B82E87" w:rsidP="00442735">
      <w:pPr>
        <w:rPr>
          <w:b/>
          <w:bCs/>
          <w:lang w:val="fr-FR" w:eastAsia="en-GB"/>
        </w:rPr>
        <w:sectPr w:rsidR="00B82E87" w:rsidRPr="004E13E9" w:rsidSect="00294375">
          <w:footnotePr>
            <w:numFmt w:val="chicago"/>
          </w:footnotePr>
          <w:pgSz w:w="16840" w:h="11907" w:orient="landscape" w:code="9"/>
          <w:pgMar w:top="1418" w:right="1418" w:bottom="1418" w:left="1418" w:header="851" w:footer="1134" w:gutter="0"/>
          <w:cols w:space="720"/>
          <w:docGrid w:linePitch="272"/>
        </w:sectPr>
      </w:pPr>
    </w:p>
    <w:p w14:paraId="7516D2A3" w14:textId="2E0E7462" w:rsidR="00442735" w:rsidRPr="004E13E9" w:rsidRDefault="00442735" w:rsidP="00442735">
      <w:pPr>
        <w:rPr>
          <w:lang w:val="fr-FR" w:eastAsia="en-GB"/>
        </w:rPr>
      </w:pPr>
      <w:r w:rsidRPr="004E13E9">
        <w:rPr>
          <w:b/>
          <w:bCs/>
          <w:lang w:val="fr-FR" w:eastAsia="en-GB"/>
        </w:rPr>
        <w:t>Corée</w:t>
      </w:r>
    </w:p>
    <w:p w14:paraId="24448E61" w14:textId="77777777" w:rsidR="00442735" w:rsidRPr="004E13E9" w:rsidRDefault="00442735">
      <w:pPr>
        <w:rPr>
          <w:lang w:val="fr-FR"/>
        </w:rPr>
      </w:pPr>
    </w:p>
    <w:p w14:paraId="3813D75F" w14:textId="77777777" w:rsidR="00473589" w:rsidRPr="004E13E9" w:rsidRDefault="00473589" w:rsidP="00473589">
      <w:pPr>
        <w:widowControl w:val="0"/>
        <w:jc w:val="both"/>
        <w:rPr>
          <w:rFonts w:eastAsia="Malgun Gothic" w:cs="Times New Roman"/>
          <w:b/>
          <w:lang w:val="fr-FR" w:eastAsia="fr-FR" w:bidi="fr-FR"/>
        </w:rPr>
      </w:pPr>
      <w:r w:rsidRPr="004E13E9">
        <w:rPr>
          <w:rFonts w:eastAsia="MS Gothic" w:cs="Times New Roman"/>
          <w:b/>
          <w:lang w:val="fr-FR" w:eastAsia="fr-FR" w:bidi="fr-FR"/>
        </w:rPr>
        <w:t>Année du plan de pêche : 2026</w:t>
      </w:r>
    </w:p>
    <w:p w14:paraId="6C3A22E3" w14:textId="77777777" w:rsidR="00473589" w:rsidRPr="004E13E9" w:rsidRDefault="00473589" w:rsidP="00473589">
      <w:pPr>
        <w:widowControl w:val="0"/>
        <w:jc w:val="both"/>
        <w:rPr>
          <w:rFonts w:eastAsia="MS Gothic" w:cs="Times New Roman"/>
          <w:sz w:val="14"/>
          <w:szCs w:val="14"/>
          <w:lang w:val="fr-FR" w:eastAsia="fr-FR" w:bidi="fr-FR"/>
        </w:rPr>
      </w:pPr>
    </w:p>
    <w:p w14:paraId="0D595455" w14:textId="77777777" w:rsidR="00473589" w:rsidRPr="004E13E9" w:rsidRDefault="00473589" w:rsidP="00473589">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 xml:space="preserve">1. </w:t>
      </w:r>
      <w:r w:rsidRPr="004E13E9">
        <w:rPr>
          <w:rFonts w:eastAsia="MS Gothic" w:cs="Times New Roman"/>
          <w:b/>
          <w:lang w:val="fr-FR" w:eastAsia="fr-FR" w:bidi="fr-FR"/>
        </w:rPr>
        <w:tab/>
        <w:t>Détails du plan annuel de pêche pour les navires de capture et les madragues</w:t>
      </w:r>
    </w:p>
    <w:p w14:paraId="3704E9B7" w14:textId="77777777" w:rsidR="00473589" w:rsidRPr="004E13E9" w:rsidRDefault="00473589" w:rsidP="00473589">
      <w:pPr>
        <w:widowControl w:val="0"/>
        <w:jc w:val="both"/>
        <w:rPr>
          <w:rFonts w:eastAsia="MS Gothic" w:cs="Times New Roman"/>
          <w:i/>
          <w:lang w:val="fr-FR" w:eastAsia="fr-FR" w:bidi="fr-FR"/>
        </w:rPr>
      </w:pPr>
    </w:p>
    <w:p w14:paraId="5286EB18" w14:textId="77777777" w:rsidR="00473589" w:rsidRPr="004E13E9" w:rsidRDefault="00473589" w:rsidP="00473589">
      <w:pPr>
        <w:rPr>
          <w:b/>
          <w:bCs/>
          <w:i/>
          <w:iCs/>
          <w:lang w:val="fr-FR"/>
        </w:rPr>
      </w:pPr>
      <w:r w:rsidRPr="004E13E9">
        <w:rPr>
          <w:b/>
          <w:bCs/>
          <w:i/>
          <w:iCs/>
          <w:lang w:val="fr-FR"/>
        </w:rPr>
        <w:t>1a) Présentation (paragraphe 12)</w:t>
      </w:r>
    </w:p>
    <w:p w14:paraId="1CF5DADA" w14:textId="77777777" w:rsidR="00473589" w:rsidRPr="004E13E9" w:rsidRDefault="00473589" w:rsidP="00473589">
      <w:pPr>
        <w:widowControl w:val="0"/>
        <w:contextualSpacing/>
        <w:jc w:val="both"/>
        <w:rPr>
          <w:rFonts w:eastAsia="Malgun Gothic" w:cs="Times New Roman"/>
          <w:lang w:val="fr-FR" w:eastAsia="fr-FR" w:bidi="fr-FR"/>
        </w:rPr>
      </w:pPr>
      <w:r w:rsidRPr="004E13E9">
        <w:rPr>
          <w:rFonts w:eastAsia="Malgun Gothic" w:cs="Times New Roman"/>
          <w:lang w:val="fr-FR" w:eastAsia="fr-FR" w:bidi="fr-FR"/>
        </w:rPr>
        <w:t xml:space="preserve">Le quota ajusté de thon rouge de la Corée </w:t>
      </w:r>
      <w:r w:rsidRPr="004E13E9">
        <w:rPr>
          <w:rFonts w:eastAsia="MS Gothic" w:cs="Times New Roman"/>
          <w:lang w:val="fr-FR" w:eastAsia="fr-FR" w:bidi="fr-FR"/>
        </w:rPr>
        <w:t xml:space="preserve">au titre de </w:t>
      </w:r>
      <w:r w:rsidRPr="004E13E9">
        <w:rPr>
          <w:rFonts w:eastAsia="MS Gothic" w:cs="Times New Roman"/>
          <w:bCs/>
          <w:lang w:val="fr-FR" w:eastAsia="fr-FR" w:bidi="fr-FR"/>
        </w:rPr>
        <w:t>2026</w:t>
      </w:r>
      <w:r w:rsidRPr="004E13E9">
        <w:rPr>
          <w:rFonts w:eastAsia="MS Gothic" w:cs="Times New Roman"/>
          <w:b/>
          <w:lang w:val="fr-FR" w:eastAsia="fr-FR" w:bidi="fr-FR"/>
        </w:rPr>
        <w:t xml:space="preserve"> </w:t>
      </w:r>
      <w:r w:rsidRPr="004E13E9">
        <w:rPr>
          <w:rFonts w:eastAsia="MS Gothic" w:cs="Times New Roman"/>
          <w:lang w:val="fr-FR" w:eastAsia="fr-FR" w:bidi="fr-FR"/>
        </w:rPr>
        <w:t>s’élèvera à 440,323</w:t>
      </w:r>
      <w:r w:rsidRPr="004E13E9">
        <w:rPr>
          <w:rFonts w:eastAsia="Malgun Gothic" w:cs="Times New Roman"/>
          <w:lang w:val="fr-FR" w:eastAsia="fr-FR" w:bidi="fr-FR"/>
        </w:rPr>
        <w:t xml:space="preserve"> t, sous réserve de l'approbation de la Sous-commission 2.</w:t>
      </w:r>
    </w:p>
    <w:p w14:paraId="1ED99C96" w14:textId="77777777" w:rsidR="00473589" w:rsidRPr="004E13E9" w:rsidRDefault="00473589" w:rsidP="00473589">
      <w:pPr>
        <w:widowControl w:val="0"/>
        <w:contextualSpacing/>
        <w:jc w:val="both"/>
        <w:rPr>
          <w:rFonts w:eastAsia="Malgun Gothic" w:cs="Times New Roman"/>
          <w:lang w:val="fr-FR" w:eastAsia="fr-FR" w:bidi="fr-FR"/>
        </w:rPr>
      </w:pPr>
    </w:p>
    <w:p w14:paraId="1D58F399" w14:textId="77777777" w:rsidR="00473589" w:rsidRPr="004E13E9" w:rsidRDefault="00473589" w:rsidP="00473589">
      <w:pPr>
        <w:widowControl w:val="0"/>
        <w:contextualSpacing/>
        <w:jc w:val="center"/>
        <w:rPr>
          <w:rFonts w:eastAsia="Malgun Gothic" w:cs="Times New Roman"/>
          <w:lang w:val="fr-FR" w:eastAsia="ko-KR" w:bidi="fr-FR"/>
        </w:rPr>
      </w:pPr>
      <w:r w:rsidRPr="004E13E9">
        <w:rPr>
          <w:rFonts w:eastAsia="Malgun Gothic" w:cs="Times New Roman"/>
          <w:lang w:val="fr-FR" w:eastAsia="fr-FR" w:bidi="fr-FR"/>
        </w:rPr>
        <w:t xml:space="preserve">368,93 t de quota initial + 50 t de quota </w:t>
      </w:r>
      <w:r w:rsidRPr="004E13E9">
        <w:rPr>
          <w:rFonts w:eastAsia="MS Gothic" w:cs="Times New Roman"/>
          <w:lang w:val="fr-FR" w:eastAsia="fr-FR" w:bidi="fr-FR"/>
        </w:rPr>
        <w:t>transféré par le Taipei chinois</w:t>
      </w:r>
      <w:r w:rsidRPr="004E13E9">
        <w:rPr>
          <w:rFonts w:eastAsia="Malgun Gothic" w:cs="Times New Roman"/>
          <w:lang w:val="fr-FR" w:eastAsia="fr-FR" w:bidi="fr-FR"/>
        </w:rPr>
        <w:t xml:space="preserve"> + 21,393 t de quota inutilisé reporté de 2025</w:t>
      </w:r>
      <w:r w:rsidRPr="004E13E9">
        <w:rPr>
          <w:rFonts w:eastAsia="Malgun Gothic"/>
          <w:lang w:val="fr-FR" w:eastAsia="ko-KR"/>
        </w:rPr>
        <w:t>.</w:t>
      </w:r>
    </w:p>
    <w:p w14:paraId="7885E488" w14:textId="77777777" w:rsidR="00473589" w:rsidRPr="004E13E9" w:rsidRDefault="00473589" w:rsidP="00473589">
      <w:pPr>
        <w:widowControl w:val="0"/>
        <w:contextualSpacing/>
        <w:jc w:val="center"/>
        <w:rPr>
          <w:rFonts w:eastAsia="Malgun Gothic" w:cs="Times New Roman"/>
          <w:lang w:val="fr-FR" w:eastAsia="ko-KR" w:bidi="fr-FR"/>
        </w:rPr>
      </w:pPr>
    </w:p>
    <w:p w14:paraId="439D3F33" w14:textId="77777777" w:rsidR="00473589" w:rsidRPr="004E13E9" w:rsidRDefault="00473589" w:rsidP="00473589">
      <w:pPr>
        <w:contextualSpacing/>
        <w:jc w:val="both"/>
        <w:rPr>
          <w:rFonts w:eastAsia="Malgun Gothic" w:cs="Times New Roman"/>
          <w:szCs w:val="24"/>
          <w:lang w:val="fr-FR" w:eastAsia="fr-FR" w:bidi="fr-FR"/>
        </w:rPr>
      </w:pPr>
      <w:r w:rsidRPr="004E13E9">
        <w:rPr>
          <w:rFonts w:eastAsia="MS Gothic" w:cs="Times New Roman"/>
          <w:lang w:val="fr-FR" w:eastAsia="fr-FR" w:bidi="fr-FR"/>
        </w:rPr>
        <w:t>La palangre est le seul type d’engin utilisé par la Corée dans sa pêcherie de thon rouge</w:t>
      </w:r>
      <w:r w:rsidRPr="004E13E9">
        <w:rPr>
          <w:rFonts w:eastAsia="MS Gothic" w:cs="Times New Roman"/>
          <w:szCs w:val="24"/>
          <w:lang w:val="fr-FR" w:eastAsia="fr-FR" w:bidi="fr-FR"/>
        </w:rPr>
        <w:t xml:space="preserve"> La période d’ouverture de la saison de pêche pour le groupe d'engins de pêche à la palangre s'étendra du 1er septembre au 31 décembre </w:t>
      </w:r>
      <w:r w:rsidRPr="004E13E9">
        <w:rPr>
          <w:rFonts w:eastAsia="Malgun Gothic" w:cs="Times New Roman"/>
          <w:lang w:val="fr-FR" w:eastAsia="fr-FR" w:bidi="fr-FR"/>
        </w:rPr>
        <w:t>2026</w:t>
      </w:r>
      <w:r w:rsidRPr="004E13E9">
        <w:rPr>
          <w:rFonts w:eastAsia="MS Gothic" w:cs="Times New Roman"/>
          <w:szCs w:val="24"/>
          <w:lang w:val="fr-FR" w:eastAsia="fr-FR" w:bidi="fr-FR"/>
        </w:rPr>
        <w:t>.</w:t>
      </w:r>
    </w:p>
    <w:p w14:paraId="028E62DE" w14:textId="77777777" w:rsidR="00473589" w:rsidRPr="004E13E9" w:rsidRDefault="00473589" w:rsidP="00473589">
      <w:pPr>
        <w:widowControl w:val="0"/>
        <w:contextualSpacing/>
        <w:jc w:val="both"/>
        <w:rPr>
          <w:rFonts w:eastAsia="Malgun Gothic" w:cs="Times New Roman"/>
          <w:szCs w:val="24"/>
          <w:lang w:val="fr-FR" w:eastAsia="ko-KR" w:bidi="fr-FR"/>
        </w:rPr>
      </w:pPr>
    </w:p>
    <w:p w14:paraId="2B73A23C" w14:textId="77777777" w:rsidR="00473589" w:rsidRPr="004E13E9" w:rsidRDefault="00473589" w:rsidP="00473589">
      <w:pPr>
        <w:widowControl w:val="0"/>
        <w:contextualSpacing/>
        <w:jc w:val="both"/>
        <w:rPr>
          <w:rFonts w:eastAsia="Malgun Gothic" w:cs="Times New Roman"/>
          <w:szCs w:val="24"/>
          <w:lang w:val="fr-FR" w:eastAsia="fr-FR" w:bidi="fr-FR"/>
        </w:rPr>
      </w:pPr>
      <w:r w:rsidRPr="004E13E9">
        <w:rPr>
          <w:rFonts w:eastAsia="MS Gothic" w:cs="Times New Roman"/>
          <w:szCs w:val="24"/>
          <w:lang w:val="fr-FR" w:eastAsia="fr-FR" w:bidi="fr-FR"/>
        </w:rPr>
        <w:t xml:space="preserve">Étant donné que les palangriers coréens pêchant le thon rouge opèrent dans la zone délimitée à l'ouest de 10°O et au nord de 42°N et qu'aucun autre thonier coréen n'opère autour ou dans les zones tempérées de l’ICCAT, la possibilité que des prises accessoires se produisent est pratiquement nulle. Néanmoins, la Corée réservera 0,5 t de son quota pour les prises accessoires. Par conséquent, </w:t>
      </w:r>
      <w:r w:rsidRPr="004E13E9">
        <w:rPr>
          <w:rFonts w:eastAsia="Malgun Gothic"/>
          <w:lang w:val="fr-FR" w:eastAsia="ko-KR"/>
        </w:rPr>
        <w:t>439,823</w:t>
      </w:r>
      <w:r w:rsidRPr="004E13E9">
        <w:rPr>
          <w:lang w:val="fr-FR"/>
        </w:rPr>
        <w:t xml:space="preserve"> </w:t>
      </w:r>
      <w:r w:rsidRPr="004E13E9">
        <w:rPr>
          <w:rFonts w:eastAsia="MS Gothic" w:cs="Times New Roman"/>
          <w:szCs w:val="24"/>
          <w:lang w:val="fr-FR" w:eastAsia="fr-FR" w:bidi="fr-FR"/>
        </w:rPr>
        <w:t xml:space="preserve">t sur </w:t>
      </w:r>
      <w:r w:rsidRPr="004E13E9">
        <w:rPr>
          <w:rFonts w:eastAsia="Malgun Gothic"/>
          <w:lang w:val="fr-FR" w:eastAsia="ko-KR"/>
        </w:rPr>
        <w:t xml:space="preserve">440,323 </w:t>
      </w:r>
      <w:r w:rsidRPr="004E13E9">
        <w:rPr>
          <w:rFonts w:eastAsia="MS Gothic" w:cs="Times New Roman"/>
          <w:szCs w:val="24"/>
          <w:lang w:val="fr-FR" w:eastAsia="fr-FR" w:bidi="fr-FR"/>
        </w:rPr>
        <w:t>t seront allouées au groupe d'engins de pêche à la palangre. Le montant de toute prise accessoire sera déduit du quota de la Corée et les données seront communiquées au Secrétariat de l’ICCAT. Jusqu'à présent, la Corée n'a pas réalisé de prises accessoires de thon rouge.</w:t>
      </w:r>
    </w:p>
    <w:p w14:paraId="0E23AB7F" w14:textId="77777777" w:rsidR="00473589" w:rsidRPr="004E13E9" w:rsidRDefault="00473589" w:rsidP="00473589">
      <w:pPr>
        <w:widowControl w:val="0"/>
        <w:contextualSpacing/>
        <w:jc w:val="both"/>
        <w:rPr>
          <w:rFonts w:eastAsia="Malgun Gothic" w:cs="Times New Roman"/>
          <w:color w:val="000000"/>
          <w:lang w:val="fr-FR" w:eastAsia="ko-KR" w:bidi="fr-FR"/>
        </w:rPr>
      </w:pPr>
    </w:p>
    <w:p w14:paraId="0976ED7F" w14:textId="77777777" w:rsidR="00473589" w:rsidRPr="004E13E9" w:rsidRDefault="00473589" w:rsidP="00473589">
      <w:pPr>
        <w:widowControl w:val="0"/>
        <w:contextualSpacing/>
        <w:jc w:val="both"/>
        <w:rPr>
          <w:rFonts w:eastAsia="MS Gothic" w:cs="Times New Roman"/>
          <w:szCs w:val="24"/>
          <w:lang w:val="fr-FR" w:eastAsia="fr-FR" w:bidi="fr-FR"/>
        </w:rPr>
      </w:pPr>
      <w:r w:rsidRPr="004E13E9">
        <w:rPr>
          <w:rFonts w:eastAsia="MS Gothic" w:cs="Times New Roman"/>
          <w:szCs w:val="24"/>
          <w:lang w:val="fr-FR" w:eastAsia="fr-FR" w:bidi="fr-FR"/>
        </w:rPr>
        <w:t xml:space="preserve">Les navires de pêche de thon rouge doivent être équipés d'un système de surveillance des navires (VMS) opérationnel à plein temps, remplissant les normes minimales établies dans la Rec. 18-10. Les navires de pêche de thon rouge transmettent </w:t>
      </w:r>
      <w:proofErr w:type="gramStart"/>
      <w:r w:rsidRPr="004E13E9">
        <w:rPr>
          <w:rFonts w:eastAsia="MS Gothic" w:cs="Times New Roman"/>
          <w:szCs w:val="24"/>
          <w:lang w:val="fr-FR" w:eastAsia="fr-FR" w:bidi="fr-FR"/>
        </w:rPr>
        <w:t>leur positions</w:t>
      </w:r>
      <w:proofErr w:type="gramEnd"/>
      <w:r w:rsidRPr="004E13E9">
        <w:rPr>
          <w:rFonts w:eastAsia="MS Gothic" w:cs="Times New Roman"/>
          <w:szCs w:val="24"/>
          <w:lang w:val="fr-FR" w:eastAsia="fr-FR" w:bidi="fr-FR"/>
        </w:rPr>
        <w:t xml:space="preserve"> par satellite au Centre de surveillance des pêches (FMC) de la Corée toutes les 20 minutes, mais les positions déclarées toutes les heures sont ensuite transmises au Secrétariat conformément à la Rec. 25-04 et à la Rec. 21-16. Les navires de pêche au thon rouge ne peuvent transborder leurs prises de thon rouge que dans les ports enregistrés auprès de l'ICCAT, avec une autorisation préalable. Le MOF atteindra une couverture d'observateurs supérieure à 20 % pour la saison de pêche </w:t>
      </w:r>
      <w:r w:rsidRPr="004E13E9">
        <w:rPr>
          <w:rFonts w:eastAsia="Malgun Gothic" w:cs="Times New Roman"/>
          <w:lang w:val="fr-FR" w:eastAsia="fr-FR" w:bidi="fr-FR"/>
        </w:rPr>
        <w:t>2026</w:t>
      </w:r>
      <w:r w:rsidRPr="004E13E9">
        <w:rPr>
          <w:rFonts w:eastAsia="MS Gothic" w:cs="Times New Roman"/>
          <w:szCs w:val="24"/>
          <w:lang w:val="fr-FR" w:eastAsia="fr-FR" w:bidi="fr-FR"/>
        </w:rPr>
        <w:t>. Les navires de capture de thon rouge apposeront une marque en plastique valide sur chaque thon rouge hissé à bord.</w:t>
      </w:r>
    </w:p>
    <w:p w14:paraId="3281EA1E" w14:textId="77777777" w:rsidR="00473589" w:rsidRPr="004E13E9" w:rsidRDefault="00473589" w:rsidP="00473589">
      <w:pPr>
        <w:widowControl w:val="0"/>
        <w:jc w:val="both"/>
        <w:rPr>
          <w:rFonts w:eastAsia="Malgun Gothic" w:cs="Times New Roman"/>
          <w:color w:val="000000"/>
          <w:lang w:val="fr-FR" w:eastAsia="fr-FR" w:bidi="fr-FR"/>
        </w:rPr>
      </w:pPr>
    </w:p>
    <w:p w14:paraId="3CFF5797" w14:textId="77777777" w:rsidR="00473589" w:rsidRPr="004E13E9" w:rsidRDefault="00473589" w:rsidP="00473589">
      <w:pPr>
        <w:contextualSpacing/>
        <w:jc w:val="both"/>
        <w:rPr>
          <w:rFonts w:eastAsia="MS Gothic" w:cs="Times New Roman"/>
          <w:lang w:val="fr-FR" w:eastAsia="fr-FR" w:bidi="fr-FR"/>
        </w:rPr>
      </w:pPr>
      <w:r w:rsidRPr="004E13E9">
        <w:rPr>
          <w:rFonts w:eastAsia="MS Gothic" w:cs="Times New Roman"/>
          <w:lang w:val="fr-FR" w:eastAsia="fr-FR" w:bidi="fr-FR"/>
        </w:rPr>
        <w:t>Le quota de thon rouge de la Corée sera alloué à des palangriers, de quatre à six, de quelques compagnies de pêche qui ont des registres historiques de pêche de thon rouge. Le MOF déterminera le quota individuel de chacun de ces navires en consultation avec ces compagnies. Les détails de l’allocation de quota seront soumis au Secrétariat au plus tard 15 jours avant le début de la saison de pêche conformément au paragraphe 52 de la Recommandation 25-04. Les navires de pêche autorisés sont tenus de déclarer leur capture quotidienne (prise zéro y compris) au MOF avant la fin du lendemain de leur capture. Cette déclaration doit contenir des informations/données pertinentes, dont la date, l'heure, le lieu (latitude et longitude), le nombre de spécimens capturés, le poids de chaque thon rouge, le nombre et le poids du poisson rejeté/remis à l'eau (les rejets seront déduits du quota), etc. Toute surconsommation éventuelle du quota individuel d’un navire sera gérée conformément aux dispositions pertinentes de loi sur le développement des pêcheries en eaux lointaines qui régit les pêcheries opérant en eaux lointaines de la Corée.</w:t>
      </w:r>
    </w:p>
    <w:p w14:paraId="0CC5F4DD" w14:textId="24CEC24B" w:rsidR="00473589" w:rsidRPr="004E13E9" w:rsidRDefault="00473589" w:rsidP="00473589">
      <w:pPr>
        <w:rPr>
          <w:rFonts w:eastAsia="MS Gothic" w:cs="Times New Roman"/>
          <w:b/>
          <w:bCs/>
          <w:i/>
          <w:iCs/>
          <w:color w:val="000000"/>
          <w:lang w:val="fr-FR" w:eastAsia="fr-FR" w:bidi="fr-FR"/>
        </w:rPr>
      </w:pPr>
    </w:p>
    <w:p w14:paraId="214F80C7" w14:textId="77777777" w:rsidR="00473589" w:rsidRPr="004E13E9" w:rsidRDefault="00473589" w:rsidP="00473589">
      <w:pPr>
        <w:widowControl w:val="0"/>
        <w:jc w:val="both"/>
        <w:rPr>
          <w:rFonts w:eastAsia="MS Gothic" w:cs="Times New Roman"/>
          <w:b/>
          <w:bCs/>
          <w:i/>
          <w:iCs/>
          <w:lang w:val="fr-FR" w:eastAsia="fr-FR" w:bidi="fr-FR"/>
        </w:rPr>
      </w:pPr>
      <w:r w:rsidRPr="004E13E9">
        <w:rPr>
          <w:rFonts w:eastAsia="MS Gothic" w:cs="Times New Roman"/>
          <w:b/>
          <w:bCs/>
          <w:i/>
          <w:iCs/>
          <w:color w:val="000000"/>
          <w:lang w:val="fr-FR" w:eastAsia="fr-FR" w:bidi="fr-FR"/>
        </w:rPr>
        <w:t xml:space="preserve">1b) </w:t>
      </w:r>
      <w:r w:rsidRPr="004E13E9">
        <w:rPr>
          <w:rFonts w:eastAsia="MS Gothic" w:cs="Times New Roman"/>
          <w:b/>
          <w:bCs/>
          <w:i/>
          <w:iCs/>
          <w:lang w:val="fr-FR" w:eastAsia="fr-FR" w:bidi="fr-FR"/>
        </w:rPr>
        <w:t>Report (paragraphe 6)</w:t>
      </w:r>
    </w:p>
    <w:p w14:paraId="020C1881" w14:textId="77777777" w:rsidR="00473589" w:rsidRPr="004E13E9" w:rsidRDefault="00473589" w:rsidP="00473589">
      <w:pPr>
        <w:contextualSpacing/>
        <w:rPr>
          <w:color w:val="000000"/>
          <w:lang w:val="fr-FR"/>
        </w:rPr>
      </w:pPr>
    </w:p>
    <w:p w14:paraId="2514C7E9" w14:textId="77777777" w:rsidR="00473589" w:rsidRPr="004E13E9" w:rsidRDefault="00473589" w:rsidP="00473589">
      <w:pPr>
        <w:widowControl w:val="0"/>
        <w:jc w:val="both"/>
        <w:rPr>
          <w:rFonts w:eastAsia="MS Gothic" w:cs="Times New Roman"/>
          <w:color w:val="000000"/>
          <w:lang w:val="fr-FR" w:eastAsia="fr-FR" w:bidi="fr-FR"/>
        </w:rPr>
      </w:pPr>
      <w:r w:rsidRPr="004E13E9">
        <w:rPr>
          <w:rFonts w:eastAsia="MS Gothic" w:cs="Times New Roman"/>
          <w:color w:val="000000"/>
          <w:lang w:val="fr-FR" w:eastAsia="fr-FR" w:bidi="fr-FR"/>
        </w:rPr>
        <w:t xml:space="preserve">La Corée souhaite demander le report de son quota de 2025 non utilisé à hauteur de </w:t>
      </w:r>
      <w:r w:rsidRPr="004E13E9">
        <w:rPr>
          <w:rFonts w:eastAsia="Malgun Gothic"/>
          <w:lang w:val="fr-FR" w:eastAsia="ko-KR"/>
        </w:rPr>
        <w:t xml:space="preserve">21,393 </w:t>
      </w:r>
      <w:r w:rsidRPr="004E13E9">
        <w:rPr>
          <w:rFonts w:eastAsia="MS Gothic" w:cs="Times New Roman"/>
          <w:color w:val="000000"/>
          <w:lang w:val="fr-FR" w:eastAsia="fr-FR" w:bidi="fr-FR"/>
        </w:rPr>
        <w:t>t à 2026, conformément au paragraphe 6 de la Rec. 25-04.</w:t>
      </w:r>
    </w:p>
    <w:p w14:paraId="2945EE38" w14:textId="77777777" w:rsidR="00473589" w:rsidRPr="004E13E9" w:rsidRDefault="00473589" w:rsidP="00473589">
      <w:pPr>
        <w:widowControl w:val="0"/>
        <w:jc w:val="both"/>
        <w:rPr>
          <w:rFonts w:eastAsia="MS Gothic" w:cs="Times New Roman"/>
          <w:color w:val="000000"/>
          <w:lang w:val="fr-FR" w:eastAsia="fr-FR" w:bidi="fr-FR"/>
        </w:rPr>
      </w:pPr>
    </w:p>
    <w:p w14:paraId="7AD0AA24" w14:textId="77777777" w:rsidR="00473589" w:rsidRPr="004E13E9" w:rsidRDefault="00473589" w:rsidP="00473589">
      <w:pPr>
        <w:widowControl w:val="0"/>
        <w:jc w:val="center"/>
        <w:rPr>
          <w:rFonts w:eastAsia="MS Gothic" w:cs="Times New Roman"/>
          <w:color w:val="000000"/>
          <w:lang w:val="fr-FR" w:eastAsia="fr-FR" w:bidi="fr-FR"/>
        </w:rPr>
      </w:pPr>
      <w:r w:rsidRPr="004E13E9">
        <w:rPr>
          <w:rFonts w:eastAsia="MS Gothic" w:cs="Times New Roman"/>
          <w:color w:val="000000"/>
          <w:lang w:val="fr-FR" w:eastAsia="fr-FR" w:bidi="fr-FR"/>
        </w:rPr>
        <w:t>Quota ajusté de 2025 (</w:t>
      </w:r>
      <w:r w:rsidRPr="004E13E9">
        <w:rPr>
          <w:rFonts w:eastAsia="Malgun Gothic"/>
          <w:lang w:val="fr-FR" w:eastAsia="ko-KR"/>
        </w:rPr>
        <w:t xml:space="preserve">279,224 </w:t>
      </w:r>
      <w:r w:rsidRPr="004E13E9">
        <w:rPr>
          <w:rFonts w:eastAsia="MS Gothic" w:cs="Times New Roman"/>
          <w:color w:val="000000"/>
          <w:lang w:val="fr-FR" w:eastAsia="fr-FR" w:bidi="fr-FR"/>
        </w:rPr>
        <w:t>t) - prise finale de 2025 (</w:t>
      </w:r>
      <w:r w:rsidRPr="004E13E9">
        <w:rPr>
          <w:rFonts w:eastAsia="Malgun Gothic"/>
          <w:lang w:val="fr-FR" w:eastAsia="ko-KR"/>
        </w:rPr>
        <w:t xml:space="preserve">257,831 </w:t>
      </w:r>
      <w:r w:rsidRPr="004E13E9">
        <w:rPr>
          <w:rFonts w:eastAsia="MS Gothic" w:cs="Times New Roman"/>
          <w:color w:val="000000"/>
          <w:lang w:val="fr-FR" w:eastAsia="fr-FR" w:bidi="fr-FR"/>
        </w:rPr>
        <w:t>t) = quota non utilisé (</w:t>
      </w:r>
      <w:r w:rsidRPr="004E13E9">
        <w:rPr>
          <w:rFonts w:eastAsia="Malgun Gothic"/>
          <w:lang w:val="fr-FR" w:eastAsia="ko-KR"/>
        </w:rPr>
        <w:t>21,393</w:t>
      </w:r>
      <w:r w:rsidRPr="004E13E9">
        <w:rPr>
          <w:rFonts w:eastAsia="MS Gothic" w:cs="Times New Roman"/>
          <w:color w:val="000000"/>
          <w:lang w:val="fr-FR" w:eastAsia="fr-FR" w:bidi="fr-FR"/>
        </w:rPr>
        <w:t> t).</w:t>
      </w:r>
    </w:p>
    <w:p w14:paraId="321C1214" w14:textId="77777777" w:rsidR="00473589" w:rsidRPr="004E13E9" w:rsidRDefault="00473589" w:rsidP="00473589">
      <w:pPr>
        <w:widowControl w:val="0"/>
        <w:jc w:val="both"/>
        <w:rPr>
          <w:b/>
          <w:bCs/>
          <w:i/>
          <w:lang w:val="fr-FR"/>
        </w:rPr>
      </w:pPr>
    </w:p>
    <w:p w14:paraId="79EE4B6D" w14:textId="77777777" w:rsidR="00473589" w:rsidRPr="004E13E9" w:rsidRDefault="00473589" w:rsidP="00473589">
      <w:pPr>
        <w:contextualSpacing/>
        <w:jc w:val="both"/>
        <w:rPr>
          <w:b/>
          <w:bCs/>
          <w:i/>
        </w:rPr>
      </w:pPr>
      <w:r w:rsidRPr="004E13E9">
        <w:rPr>
          <w:b/>
          <w:bCs/>
          <w:i/>
        </w:rPr>
        <w:t>1c) Destination de la capture</w:t>
      </w:r>
    </w:p>
    <w:p w14:paraId="45D07D59" w14:textId="77777777" w:rsidR="00473589" w:rsidRPr="004E13E9" w:rsidRDefault="00473589" w:rsidP="00473589">
      <w:pPr>
        <w:contextualSpacing/>
        <w:rPr>
          <w:rFonts w:eastAsia="MS Gothic" w:cs="Times New Roman"/>
          <w:lang w:eastAsia="fr-FR" w:bidi="fr-FR"/>
        </w:rPr>
      </w:pPr>
    </w:p>
    <w:p w14:paraId="6A6596C5" w14:textId="77777777" w:rsidR="00473589" w:rsidRPr="004E13E9" w:rsidRDefault="00473589" w:rsidP="00487A5C">
      <w:pPr>
        <w:pStyle w:val="ListParagraph"/>
        <w:numPr>
          <w:ilvl w:val="0"/>
          <w:numId w:val="34"/>
        </w:numPr>
        <w:spacing w:after="0" w:line="240" w:lineRule="auto"/>
        <w:rPr>
          <w:rFonts w:ascii="Cambria" w:eastAsia="MS Gothic" w:hAnsi="Cambria" w:cs="Times New Roman"/>
          <w:sz w:val="20"/>
          <w:szCs w:val="20"/>
          <w:lang w:eastAsia="fr-FR" w:bidi="fr-FR"/>
        </w:rPr>
      </w:pPr>
      <w:r w:rsidRPr="004E13E9">
        <w:rPr>
          <w:rFonts w:ascii="Cambria" w:eastAsia="MS Gothic" w:hAnsi="Cambria" w:cs="Times New Roman"/>
          <w:sz w:val="20"/>
          <w:szCs w:val="20"/>
          <w:lang w:eastAsia="fr-FR" w:bidi="fr-FR"/>
        </w:rPr>
        <w:t>Élevage : Non</w:t>
      </w:r>
    </w:p>
    <w:p w14:paraId="5E3D4433" w14:textId="793837CD" w:rsidR="00B87E9A" w:rsidRPr="004E13E9" w:rsidRDefault="00473589" w:rsidP="00487A5C">
      <w:pPr>
        <w:pStyle w:val="ListParagraph"/>
        <w:numPr>
          <w:ilvl w:val="0"/>
          <w:numId w:val="34"/>
        </w:numPr>
        <w:spacing w:after="0" w:line="240" w:lineRule="auto"/>
        <w:rPr>
          <w:rFonts w:ascii="Cambria" w:hAnsi="Cambria"/>
          <w:b/>
          <w:bCs/>
          <w:i/>
          <w:iCs/>
        </w:rPr>
      </w:pPr>
      <w:r w:rsidRPr="004E13E9">
        <w:rPr>
          <w:rFonts w:ascii="Cambria" w:eastAsia="MS Gothic" w:hAnsi="Cambria" w:cs="Times New Roman"/>
          <w:sz w:val="20"/>
          <w:szCs w:val="20"/>
          <w:lang w:eastAsia="fr-FR" w:bidi="fr-FR"/>
        </w:rPr>
        <w:t>Débarquement : Oui</w:t>
      </w:r>
      <w:r w:rsidR="00B87E9A" w:rsidRPr="004E13E9">
        <w:rPr>
          <w:rFonts w:ascii="Cambria" w:hAnsi="Cambria"/>
          <w:b/>
          <w:bCs/>
          <w:i/>
          <w:iCs/>
        </w:rPr>
        <w:br w:type="page"/>
      </w:r>
    </w:p>
    <w:p w14:paraId="2F8D92F9" w14:textId="77499DF2" w:rsidR="00473589" w:rsidRPr="004E13E9" w:rsidRDefault="00473589" w:rsidP="00473589">
      <w:pPr>
        <w:contextualSpacing/>
        <w:rPr>
          <w:b/>
          <w:bCs/>
          <w:i/>
          <w:iCs/>
        </w:rPr>
      </w:pPr>
      <w:r w:rsidRPr="004E13E9">
        <w:rPr>
          <w:b/>
          <w:bCs/>
          <w:i/>
          <w:iCs/>
        </w:rPr>
        <w:t>1 d)</w:t>
      </w:r>
    </w:p>
    <w:tbl>
      <w:tblPr>
        <w:tblStyle w:val="TableGrid"/>
        <w:tblW w:w="0" w:type="auto"/>
        <w:tblLook w:val="04A0" w:firstRow="1" w:lastRow="0" w:firstColumn="1" w:lastColumn="0" w:noHBand="0" w:noVBand="1"/>
      </w:tblPr>
      <w:tblGrid>
        <w:gridCol w:w="454"/>
        <w:gridCol w:w="2825"/>
        <w:gridCol w:w="3194"/>
        <w:gridCol w:w="1975"/>
        <w:gridCol w:w="612"/>
      </w:tblGrid>
      <w:tr w:rsidR="00473589" w:rsidRPr="004E13E9" w14:paraId="7068C1AF" w14:textId="77777777" w:rsidTr="00E62E84">
        <w:tc>
          <w:tcPr>
            <w:tcW w:w="454" w:type="dxa"/>
            <w:vAlign w:val="center"/>
          </w:tcPr>
          <w:p w14:paraId="654C23CF" w14:textId="77777777" w:rsidR="00473589" w:rsidRPr="004E13E9" w:rsidRDefault="00473589" w:rsidP="00E62E84">
            <w:pPr>
              <w:widowControl w:val="0"/>
              <w:jc w:val="center"/>
              <w:rPr>
                <w:rFonts w:ascii="Cambria" w:hAnsi="Cambria"/>
                <w:sz w:val="20"/>
                <w:szCs w:val="20"/>
              </w:rPr>
            </w:pPr>
          </w:p>
        </w:tc>
        <w:tc>
          <w:tcPr>
            <w:tcW w:w="2825" w:type="dxa"/>
            <w:vAlign w:val="center"/>
          </w:tcPr>
          <w:p w14:paraId="3506B5BC" w14:textId="77777777" w:rsidR="00473589" w:rsidRPr="004E13E9" w:rsidRDefault="00473589" w:rsidP="00E62E84">
            <w:pPr>
              <w:widowControl w:val="0"/>
              <w:jc w:val="center"/>
              <w:rPr>
                <w:rFonts w:ascii="Cambria" w:hAnsi="Cambria"/>
                <w:i/>
                <w:sz w:val="20"/>
                <w:szCs w:val="20"/>
              </w:rPr>
            </w:pPr>
            <w:r w:rsidRPr="004E13E9">
              <w:rPr>
                <w:rFonts w:ascii="Cambria" w:hAnsi="Cambria"/>
                <w:i/>
                <w:sz w:val="20"/>
                <w:szCs w:val="20"/>
              </w:rPr>
              <w:t>Exigence de l’ICCAT</w:t>
            </w:r>
          </w:p>
          <w:p w14:paraId="5D76B899" w14:textId="77777777" w:rsidR="00473589" w:rsidRPr="004E13E9" w:rsidRDefault="00473589" w:rsidP="00E62E84">
            <w:pPr>
              <w:widowControl w:val="0"/>
              <w:jc w:val="center"/>
              <w:rPr>
                <w:rFonts w:ascii="Cambria" w:hAnsi="Cambria"/>
                <w:i/>
                <w:sz w:val="20"/>
                <w:szCs w:val="20"/>
              </w:rPr>
            </w:pPr>
            <w:r w:rsidRPr="004E13E9">
              <w:rPr>
                <w:rFonts w:ascii="Cambria" w:hAnsi="Cambria"/>
                <w:i/>
                <w:color w:val="auto"/>
                <w:sz w:val="20"/>
                <w:szCs w:val="20"/>
              </w:rPr>
              <w:t xml:space="preserve">(en vertu de la </w:t>
            </w:r>
            <w:hyperlink r:id="rId120" w:history="1">
              <w:r w:rsidRPr="004E13E9">
                <w:rPr>
                  <w:rFonts w:ascii="Cambria" w:hAnsi="Cambria"/>
                  <w:i/>
                  <w:color w:val="0563C1"/>
                  <w:sz w:val="20"/>
                  <w:szCs w:val="20"/>
                </w:rPr>
                <w:t>Rec. 25-04</w:t>
              </w:r>
            </w:hyperlink>
            <w:r w:rsidRPr="004E13E9">
              <w:rPr>
                <w:rFonts w:ascii="Cambria" w:hAnsi="Cambria"/>
                <w:i/>
                <w:color w:val="auto"/>
                <w:sz w:val="20"/>
                <w:szCs w:val="20"/>
              </w:rPr>
              <w:t>)</w:t>
            </w:r>
          </w:p>
        </w:tc>
        <w:tc>
          <w:tcPr>
            <w:tcW w:w="3194" w:type="dxa"/>
            <w:vAlign w:val="center"/>
          </w:tcPr>
          <w:p w14:paraId="2E94B47A" w14:textId="77777777" w:rsidR="00473589" w:rsidRPr="004E13E9" w:rsidRDefault="00473589" w:rsidP="00E62E84">
            <w:pPr>
              <w:widowControl w:val="0"/>
              <w:jc w:val="center"/>
              <w:rPr>
                <w:rFonts w:ascii="Cambria" w:hAnsi="Cambria"/>
                <w:i/>
                <w:sz w:val="20"/>
                <w:szCs w:val="20"/>
              </w:rPr>
            </w:pPr>
            <w:r w:rsidRPr="004E13E9">
              <w:rPr>
                <w:rFonts w:ascii="Cambria" w:hAnsi="Cambria"/>
                <w:i/>
                <w:sz w:val="20"/>
                <w:szCs w:val="20"/>
              </w:rPr>
              <w:t>Explication des actions entreprises par la CPC à des fins de mise en œuvre</w:t>
            </w:r>
          </w:p>
        </w:tc>
        <w:tc>
          <w:tcPr>
            <w:tcW w:w="1975" w:type="dxa"/>
            <w:vAlign w:val="center"/>
          </w:tcPr>
          <w:p w14:paraId="19DC7F91" w14:textId="77777777" w:rsidR="00473589" w:rsidRPr="004E13E9" w:rsidRDefault="00473589" w:rsidP="00E62E84">
            <w:pPr>
              <w:widowControl w:val="0"/>
              <w:jc w:val="center"/>
              <w:rPr>
                <w:rFonts w:ascii="Cambria" w:hAnsi="Cambria"/>
                <w:i/>
                <w:sz w:val="20"/>
                <w:szCs w:val="20"/>
              </w:rPr>
            </w:pPr>
            <w:r w:rsidRPr="004E13E9">
              <w:rPr>
                <w:rFonts w:ascii="Cambria" w:hAnsi="Cambria"/>
                <w:i/>
                <w:sz w:val="20"/>
                <w:szCs w:val="20"/>
              </w:rPr>
              <w:t>Lois ou réglementations nationales pertinentes (le cas échéant)</w:t>
            </w:r>
          </w:p>
        </w:tc>
        <w:tc>
          <w:tcPr>
            <w:tcW w:w="612" w:type="dxa"/>
            <w:vAlign w:val="center"/>
          </w:tcPr>
          <w:p w14:paraId="3B16AFF3" w14:textId="77777777" w:rsidR="00473589" w:rsidRPr="004E13E9" w:rsidRDefault="00473589" w:rsidP="00E62E84">
            <w:pPr>
              <w:widowControl w:val="0"/>
              <w:jc w:val="center"/>
              <w:rPr>
                <w:rFonts w:ascii="Cambria" w:hAnsi="Cambria"/>
                <w:i/>
                <w:sz w:val="20"/>
                <w:szCs w:val="20"/>
              </w:rPr>
            </w:pPr>
            <w:r w:rsidRPr="004E13E9">
              <w:rPr>
                <w:rFonts w:ascii="Cambria" w:hAnsi="Cambria"/>
                <w:i/>
                <w:sz w:val="20"/>
                <w:szCs w:val="20"/>
              </w:rPr>
              <w:t>Note</w:t>
            </w:r>
          </w:p>
        </w:tc>
      </w:tr>
      <w:tr w:rsidR="00473589" w:rsidRPr="006A2397" w14:paraId="0665F152" w14:textId="77777777" w:rsidTr="00E62E84">
        <w:trPr>
          <w:trHeight w:val="2613"/>
        </w:trPr>
        <w:tc>
          <w:tcPr>
            <w:tcW w:w="454" w:type="dxa"/>
          </w:tcPr>
          <w:p w14:paraId="7DDB508E" w14:textId="77777777" w:rsidR="00473589" w:rsidRPr="004E13E9" w:rsidRDefault="00473589" w:rsidP="00E62E84">
            <w:pPr>
              <w:widowControl w:val="0"/>
              <w:rPr>
                <w:rFonts w:ascii="Cambria" w:hAnsi="Cambria"/>
                <w:b/>
                <w:sz w:val="20"/>
                <w:szCs w:val="20"/>
              </w:rPr>
            </w:pPr>
            <w:r w:rsidRPr="004E13E9">
              <w:rPr>
                <w:rFonts w:ascii="Cambria" w:hAnsi="Cambria"/>
                <w:b/>
                <w:sz w:val="20"/>
                <w:szCs w:val="20"/>
              </w:rPr>
              <w:t>1</w:t>
            </w:r>
          </w:p>
        </w:tc>
        <w:tc>
          <w:tcPr>
            <w:tcW w:w="2825" w:type="dxa"/>
          </w:tcPr>
          <w:p w14:paraId="61AE4CB2" w14:textId="77777777" w:rsidR="00473589" w:rsidRPr="004E13E9" w:rsidRDefault="00473589" w:rsidP="00E62E84">
            <w:pPr>
              <w:widowControl w:val="0"/>
              <w:rPr>
                <w:rFonts w:ascii="Cambria" w:hAnsi="Cambria"/>
                <w:b/>
                <w:sz w:val="20"/>
                <w:szCs w:val="20"/>
              </w:rPr>
            </w:pPr>
            <w:r w:rsidRPr="004E13E9">
              <w:rPr>
                <w:rFonts w:ascii="Cambria" w:hAnsi="Cambria"/>
                <w:b/>
                <w:sz w:val="20"/>
                <w:szCs w:val="20"/>
              </w:rPr>
              <w:t>Enregistrement et déclaration de la capture (</w:t>
            </w:r>
            <w:r w:rsidRPr="004E13E9">
              <w:rPr>
                <w:rFonts w:ascii="Cambria" w:hAnsi="Cambria"/>
                <w:b/>
                <w:color w:val="auto"/>
                <w:sz w:val="20"/>
                <w:szCs w:val="20"/>
              </w:rPr>
              <w:t>paragraphes</w:t>
            </w:r>
            <w:r w:rsidRPr="004E13E9">
              <w:rPr>
                <w:rFonts w:ascii="Cambria" w:hAnsi="Cambria"/>
                <w:b/>
                <w:sz w:val="20"/>
                <w:szCs w:val="20"/>
              </w:rPr>
              <w:t xml:space="preserve"> 74-88)</w:t>
            </w:r>
          </w:p>
        </w:tc>
        <w:tc>
          <w:tcPr>
            <w:tcW w:w="3194" w:type="dxa"/>
          </w:tcPr>
          <w:p w14:paraId="76C14544"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 xml:space="preserve">Les capitaines des palangriers autorisés conserveront un carnet de pêche relié ainsi qu’un carnet de pêche électronique faisant état des opérations réalisées et y consigneront toutes les informations nécessaires. Les rapports de capture bihebdomadaires et mensuels seront transmis. </w:t>
            </w:r>
          </w:p>
          <w:p w14:paraId="6F8B4486"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Tous les poissons morts (conservés ou rejetés) seront déduits du quota.</w:t>
            </w:r>
          </w:p>
          <w:p w14:paraId="4CD0CE93" w14:textId="77777777" w:rsidR="00473589" w:rsidRPr="004E13E9" w:rsidRDefault="00473589" w:rsidP="00E62E84">
            <w:pPr>
              <w:widowControl w:val="0"/>
              <w:jc w:val="both"/>
              <w:rPr>
                <w:rFonts w:ascii="Cambria" w:hAnsi="Cambria"/>
                <w:sz w:val="20"/>
                <w:szCs w:val="20"/>
              </w:rPr>
            </w:pPr>
          </w:p>
        </w:tc>
        <w:tc>
          <w:tcPr>
            <w:tcW w:w="1975" w:type="dxa"/>
          </w:tcPr>
          <w:p w14:paraId="0191CE06"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Loi sur le développement des pêches en eaux lointaines, Article 13-1, 13-2, 16</w:t>
            </w:r>
          </w:p>
        </w:tc>
        <w:tc>
          <w:tcPr>
            <w:tcW w:w="612" w:type="dxa"/>
          </w:tcPr>
          <w:p w14:paraId="51996FE1" w14:textId="77777777" w:rsidR="00473589" w:rsidRPr="004E13E9" w:rsidRDefault="00473589" w:rsidP="00E62E84">
            <w:pPr>
              <w:widowControl w:val="0"/>
              <w:rPr>
                <w:rFonts w:ascii="Cambria" w:hAnsi="Cambria"/>
                <w:sz w:val="20"/>
                <w:szCs w:val="20"/>
              </w:rPr>
            </w:pPr>
          </w:p>
        </w:tc>
      </w:tr>
      <w:tr w:rsidR="00473589" w:rsidRPr="006A2397" w14:paraId="474DF175" w14:textId="77777777" w:rsidTr="00E62E84">
        <w:trPr>
          <w:trHeight w:val="1633"/>
        </w:trPr>
        <w:tc>
          <w:tcPr>
            <w:tcW w:w="454" w:type="dxa"/>
          </w:tcPr>
          <w:p w14:paraId="0FE788EB" w14:textId="77777777" w:rsidR="00473589" w:rsidRPr="004E13E9" w:rsidRDefault="00473589" w:rsidP="00E62E84">
            <w:pPr>
              <w:widowControl w:val="0"/>
              <w:rPr>
                <w:rFonts w:ascii="Cambria" w:hAnsi="Cambria"/>
                <w:b/>
                <w:sz w:val="20"/>
                <w:szCs w:val="20"/>
              </w:rPr>
            </w:pPr>
            <w:r w:rsidRPr="004E13E9">
              <w:rPr>
                <w:rFonts w:ascii="Cambria" w:hAnsi="Cambria"/>
                <w:b/>
                <w:sz w:val="20"/>
                <w:szCs w:val="20"/>
              </w:rPr>
              <w:t>2</w:t>
            </w:r>
          </w:p>
        </w:tc>
        <w:tc>
          <w:tcPr>
            <w:tcW w:w="2825" w:type="dxa"/>
          </w:tcPr>
          <w:p w14:paraId="407C66B4" w14:textId="77777777" w:rsidR="00473589" w:rsidRPr="004E13E9" w:rsidRDefault="00473589" w:rsidP="00E62E84">
            <w:pPr>
              <w:widowControl w:val="0"/>
              <w:jc w:val="both"/>
              <w:rPr>
                <w:rFonts w:ascii="Cambria" w:hAnsi="Cambria"/>
                <w:b/>
                <w:sz w:val="20"/>
                <w:szCs w:val="20"/>
              </w:rPr>
            </w:pPr>
            <w:r w:rsidRPr="004E13E9">
              <w:rPr>
                <w:rFonts w:ascii="Cambria" w:hAnsi="Cambria"/>
                <w:b/>
                <w:sz w:val="20"/>
                <w:szCs w:val="20"/>
              </w:rPr>
              <w:t>Périodes d’ouverture de la pêche (</w:t>
            </w:r>
            <w:r w:rsidRPr="004E13E9">
              <w:rPr>
                <w:rFonts w:ascii="Cambria" w:hAnsi="Cambria"/>
                <w:b/>
                <w:color w:val="auto"/>
                <w:sz w:val="20"/>
                <w:szCs w:val="20"/>
              </w:rPr>
              <w:t>paragraphes</w:t>
            </w:r>
            <w:r w:rsidRPr="004E13E9">
              <w:rPr>
                <w:rFonts w:ascii="Cambria" w:hAnsi="Cambria"/>
                <w:b/>
                <w:sz w:val="20"/>
                <w:szCs w:val="20"/>
              </w:rPr>
              <w:t xml:space="preserve"> 28-32)</w:t>
            </w:r>
          </w:p>
        </w:tc>
        <w:tc>
          <w:tcPr>
            <w:tcW w:w="3194" w:type="dxa"/>
          </w:tcPr>
          <w:p w14:paraId="7F7CDE3B" w14:textId="77777777" w:rsidR="00473589" w:rsidRPr="004E13E9" w:rsidRDefault="00473589" w:rsidP="00E62E84">
            <w:pPr>
              <w:widowControl w:val="0"/>
              <w:jc w:val="both"/>
              <w:rPr>
                <w:rFonts w:ascii="Cambria" w:eastAsia="Malgun Gothic" w:hAnsi="Cambria"/>
                <w:sz w:val="20"/>
                <w:szCs w:val="20"/>
              </w:rPr>
            </w:pPr>
            <w:r w:rsidRPr="004E13E9">
              <w:rPr>
                <w:rFonts w:ascii="Cambria" w:hAnsi="Cambria"/>
                <w:sz w:val="20"/>
                <w:szCs w:val="20"/>
              </w:rPr>
              <w:t>Six de nos palangriers sous pavillon coréen au maximum captureront du thon rouge du 1er septembre au 31 décembre 2026 dans la zone délimitée à l’Ouest de 10ºO et au Nord de 42ºN.</w:t>
            </w:r>
          </w:p>
        </w:tc>
        <w:tc>
          <w:tcPr>
            <w:tcW w:w="1975" w:type="dxa"/>
          </w:tcPr>
          <w:p w14:paraId="74666B47"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Loi sur le développement des pêcheries en eaux lointaines, Article 13-1, 13-2</w:t>
            </w:r>
          </w:p>
        </w:tc>
        <w:tc>
          <w:tcPr>
            <w:tcW w:w="612" w:type="dxa"/>
          </w:tcPr>
          <w:p w14:paraId="182E67B9" w14:textId="77777777" w:rsidR="00473589" w:rsidRPr="004E13E9" w:rsidRDefault="00473589" w:rsidP="00E62E84">
            <w:pPr>
              <w:widowControl w:val="0"/>
              <w:rPr>
                <w:rFonts w:ascii="Cambria" w:hAnsi="Cambria"/>
                <w:sz w:val="20"/>
                <w:szCs w:val="20"/>
              </w:rPr>
            </w:pPr>
          </w:p>
        </w:tc>
      </w:tr>
      <w:tr w:rsidR="00473589" w:rsidRPr="006A2397" w14:paraId="60F32C23" w14:textId="77777777" w:rsidTr="00E62E84">
        <w:trPr>
          <w:trHeight w:val="2407"/>
        </w:trPr>
        <w:tc>
          <w:tcPr>
            <w:tcW w:w="454" w:type="dxa"/>
          </w:tcPr>
          <w:p w14:paraId="1434F9C3" w14:textId="77777777" w:rsidR="00473589" w:rsidRPr="004E13E9" w:rsidRDefault="00473589" w:rsidP="00E62E84">
            <w:pPr>
              <w:widowControl w:val="0"/>
              <w:rPr>
                <w:rFonts w:ascii="Cambria" w:hAnsi="Cambria"/>
                <w:b/>
                <w:sz w:val="20"/>
                <w:szCs w:val="20"/>
              </w:rPr>
            </w:pPr>
            <w:r w:rsidRPr="004E13E9">
              <w:rPr>
                <w:rFonts w:ascii="Cambria" w:hAnsi="Cambria"/>
                <w:b/>
                <w:sz w:val="20"/>
                <w:szCs w:val="20"/>
              </w:rPr>
              <w:t>3</w:t>
            </w:r>
          </w:p>
        </w:tc>
        <w:tc>
          <w:tcPr>
            <w:tcW w:w="2825" w:type="dxa"/>
          </w:tcPr>
          <w:p w14:paraId="4F5E62AA" w14:textId="77777777" w:rsidR="00473589" w:rsidRPr="004E13E9" w:rsidRDefault="00473589" w:rsidP="00E62E84">
            <w:pPr>
              <w:widowControl w:val="0"/>
              <w:jc w:val="both"/>
              <w:rPr>
                <w:rFonts w:ascii="Cambria" w:hAnsi="Cambria"/>
                <w:b/>
                <w:sz w:val="20"/>
                <w:szCs w:val="20"/>
              </w:rPr>
            </w:pPr>
            <w:r w:rsidRPr="004E13E9">
              <w:rPr>
                <w:rFonts w:ascii="Cambria" w:hAnsi="Cambria"/>
                <w:b/>
                <w:sz w:val="20"/>
                <w:szCs w:val="20"/>
              </w:rPr>
              <w:t>Limites de taille minimale (</w:t>
            </w:r>
            <w:r w:rsidRPr="004E13E9">
              <w:rPr>
                <w:rFonts w:ascii="Cambria" w:hAnsi="Cambria"/>
                <w:b/>
                <w:color w:val="auto"/>
                <w:sz w:val="20"/>
                <w:szCs w:val="20"/>
              </w:rPr>
              <w:t>paragraphes</w:t>
            </w:r>
            <w:r w:rsidRPr="004E13E9">
              <w:rPr>
                <w:rFonts w:ascii="Cambria" w:hAnsi="Cambria"/>
                <w:b/>
                <w:sz w:val="20"/>
                <w:szCs w:val="20"/>
              </w:rPr>
              <w:t xml:space="preserve"> 33-35)</w:t>
            </w:r>
          </w:p>
        </w:tc>
        <w:tc>
          <w:tcPr>
            <w:tcW w:w="3194" w:type="dxa"/>
          </w:tcPr>
          <w:p w14:paraId="72FBEFC4"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Les navires coréens de capture de thon rouge ne sont pas autorisés à capturer du thon rouge pesant moins de 30 kg ou mesurant moins de 115 cm de longueur à la fourche.</w:t>
            </w:r>
          </w:p>
          <w:p w14:paraId="462A3481" w14:textId="77777777" w:rsidR="00473589" w:rsidRPr="004E13E9" w:rsidRDefault="00473589" w:rsidP="00E62E84">
            <w:pPr>
              <w:widowControl w:val="0"/>
              <w:jc w:val="both"/>
              <w:rPr>
                <w:rFonts w:ascii="Cambria" w:eastAsia="Malgun Gothic" w:hAnsi="Cambria"/>
                <w:sz w:val="20"/>
                <w:szCs w:val="20"/>
              </w:rPr>
            </w:pPr>
          </w:p>
          <w:p w14:paraId="5C2D0DE8"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Les poissons en deçà de ces tailles minimales qui sont rejetés morts devront être décomptés du quota de thon rouge de la Corée.</w:t>
            </w:r>
          </w:p>
        </w:tc>
        <w:tc>
          <w:tcPr>
            <w:tcW w:w="1975" w:type="dxa"/>
          </w:tcPr>
          <w:p w14:paraId="477B5D57"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Loi sur le développement des pêcheries en eaux lointaines, Article 13-1, 13-2</w:t>
            </w:r>
          </w:p>
        </w:tc>
        <w:tc>
          <w:tcPr>
            <w:tcW w:w="612" w:type="dxa"/>
          </w:tcPr>
          <w:p w14:paraId="62B8A733" w14:textId="77777777" w:rsidR="00473589" w:rsidRPr="004E13E9" w:rsidRDefault="00473589" w:rsidP="00E62E84">
            <w:pPr>
              <w:widowControl w:val="0"/>
              <w:rPr>
                <w:rFonts w:ascii="Cambria" w:hAnsi="Cambria"/>
                <w:sz w:val="20"/>
                <w:szCs w:val="20"/>
              </w:rPr>
            </w:pPr>
          </w:p>
        </w:tc>
      </w:tr>
      <w:tr w:rsidR="00473589" w:rsidRPr="006A2397" w14:paraId="6BC6E295" w14:textId="77777777" w:rsidTr="00E62E84">
        <w:trPr>
          <w:trHeight w:val="1690"/>
        </w:trPr>
        <w:tc>
          <w:tcPr>
            <w:tcW w:w="454" w:type="dxa"/>
          </w:tcPr>
          <w:p w14:paraId="6BF12808" w14:textId="77777777" w:rsidR="00473589" w:rsidRPr="004E13E9" w:rsidRDefault="00473589" w:rsidP="00E62E84">
            <w:pPr>
              <w:widowControl w:val="0"/>
              <w:rPr>
                <w:rFonts w:ascii="Cambria" w:hAnsi="Cambria"/>
                <w:b/>
                <w:sz w:val="20"/>
                <w:szCs w:val="20"/>
              </w:rPr>
            </w:pPr>
            <w:r w:rsidRPr="004E13E9">
              <w:rPr>
                <w:rFonts w:ascii="Cambria" w:hAnsi="Cambria"/>
                <w:b/>
                <w:sz w:val="20"/>
                <w:szCs w:val="20"/>
              </w:rPr>
              <w:t>4</w:t>
            </w:r>
          </w:p>
        </w:tc>
        <w:tc>
          <w:tcPr>
            <w:tcW w:w="2825" w:type="dxa"/>
          </w:tcPr>
          <w:p w14:paraId="1D99BBA3" w14:textId="77777777" w:rsidR="00473589" w:rsidRPr="004E13E9" w:rsidRDefault="00473589" w:rsidP="00E62E84">
            <w:pPr>
              <w:contextualSpacing/>
              <w:jc w:val="both"/>
              <w:rPr>
                <w:rFonts w:ascii="Cambria" w:hAnsi="Cambria"/>
                <w:b/>
                <w:color w:val="auto"/>
                <w:sz w:val="20"/>
                <w:szCs w:val="20"/>
              </w:rPr>
            </w:pPr>
            <w:r w:rsidRPr="004E13E9">
              <w:rPr>
                <w:rFonts w:ascii="Cambria" w:hAnsi="Cambria"/>
                <w:b/>
                <w:color w:val="auto"/>
                <w:sz w:val="20"/>
                <w:szCs w:val="20"/>
              </w:rPr>
              <w:t xml:space="preserve">Prises accessoires </w:t>
            </w:r>
          </w:p>
          <w:p w14:paraId="2DC01217" w14:textId="77777777" w:rsidR="00473589" w:rsidRPr="004E13E9" w:rsidRDefault="00473589" w:rsidP="00E62E84">
            <w:pPr>
              <w:widowControl w:val="0"/>
              <w:jc w:val="both"/>
              <w:rPr>
                <w:rFonts w:ascii="Cambria" w:hAnsi="Cambria"/>
                <w:b/>
                <w:sz w:val="20"/>
                <w:szCs w:val="20"/>
              </w:rPr>
            </w:pPr>
            <w:r w:rsidRPr="004E13E9">
              <w:rPr>
                <w:rFonts w:ascii="Cambria" w:hAnsi="Cambria"/>
                <w:b/>
                <w:color w:val="auto"/>
                <w:sz w:val="20"/>
                <w:szCs w:val="20"/>
              </w:rPr>
              <w:t>(paragraphe 37)</w:t>
            </w:r>
          </w:p>
        </w:tc>
        <w:tc>
          <w:tcPr>
            <w:tcW w:w="3194" w:type="dxa"/>
          </w:tcPr>
          <w:p w14:paraId="3C82C6D6"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Les prises accessoires, rejets morts y compris, seront déduites du quota coréen. La Corée réservera 0,5 t du quota à cette fin.</w:t>
            </w:r>
          </w:p>
          <w:p w14:paraId="0012C85A"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Aucune prise accessoire n’a eu lieu en 2025.</w:t>
            </w:r>
          </w:p>
        </w:tc>
        <w:tc>
          <w:tcPr>
            <w:tcW w:w="1975" w:type="dxa"/>
          </w:tcPr>
          <w:p w14:paraId="6B9CD88B"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Loi sur le développement des pêcheries en eaux lointaines, Article 13-1, 13-2</w:t>
            </w:r>
          </w:p>
        </w:tc>
        <w:tc>
          <w:tcPr>
            <w:tcW w:w="612" w:type="dxa"/>
          </w:tcPr>
          <w:p w14:paraId="7B2C4102" w14:textId="77777777" w:rsidR="00473589" w:rsidRPr="004E13E9" w:rsidRDefault="00473589" w:rsidP="00E62E84">
            <w:pPr>
              <w:widowControl w:val="0"/>
              <w:rPr>
                <w:rFonts w:ascii="Cambria" w:hAnsi="Cambria"/>
                <w:sz w:val="20"/>
                <w:szCs w:val="20"/>
              </w:rPr>
            </w:pPr>
          </w:p>
        </w:tc>
      </w:tr>
      <w:tr w:rsidR="00473589" w:rsidRPr="006A2397" w14:paraId="320FAB80" w14:textId="77777777" w:rsidTr="00E62E84">
        <w:trPr>
          <w:trHeight w:val="795"/>
        </w:trPr>
        <w:tc>
          <w:tcPr>
            <w:tcW w:w="454" w:type="dxa"/>
          </w:tcPr>
          <w:p w14:paraId="47EF6DE2" w14:textId="77777777" w:rsidR="00473589" w:rsidRPr="004E13E9" w:rsidRDefault="00473589" w:rsidP="00E62E84">
            <w:pPr>
              <w:widowControl w:val="0"/>
              <w:rPr>
                <w:rFonts w:ascii="Cambria" w:hAnsi="Cambria"/>
                <w:b/>
                <w:sz w:val="20"/>
                <w:szCs w:val="20"/>
              </w:rPr>
            </w:pPr>
            <w:r w:rsidRPr="004E13E9">
              <w:rPr>
                <w:rFonts w:ascii="Cambria" w:hAnsi="Cambria"/>
                <w:b/>
                <w:sz w:val="20"/>
                <w:szCs w:val="20"/>
              </w:rPr>
              <w:t>5</w:t>
            </w:r>
          </w:p>
        </w:tc>
        <w:tc>
          <w:tcPr>
            <w:tcW w:w="2825" w:type="dxa"/>
          </w:tcPr>
          <w:p w14:paraId="47574567" w14:textId="77777777" w:rsidR="00473589" w:rsidRPr="004E13E9" w:rsidRDefault="00473589" w:rsidP="00E62E84">
            <w:pPr>
              <w:widowControl w:val="0"/>
              <w:jc w:val="both"/>
              <w:rPr>
                <w:rFonts w:ascii="Cambria" w:hAnsi="Cambria"/>
                <w:b/>
                <w:sz w:val="20"/>
                <w:szCs w:val="20"/>
              </w:rPr>
            </w:pPr>
            <w:r w:rsidRPr="004E13E9">
              <w:rPr>
                <w:rFonts w:ascii="Cambria" w:hAnsi="Cambria"/>
                <w:b/>
                <w:bCs/>
                <w:sz w:val="20"/>
                <w:szCs w:val="20"/>
              </w:rPr>
              <w:t>Pêcheries récréatives et sportives (</w:t>
            </w:r>
            <w:r w:rsidRPr="004E13E9">
              <w:rPr>
                <w:rFonts w:ascii="Cambria" w:hAnsi="Cambria"/>
                <w:b/>
                <w:color w:val="auto"/>
                <w:sz w:val="20"/>
                <w:szCs w:val="20"/>
              </w:rPr>
              <w:t>paragraphes</w:t>
            </w:r>
            <w:r w:rsidRPr="004E13E9">
              <w:rPr>
                <w:rFonts w:ascii="Cambria" w:hAnsi="Cambria"/>
                <w:b/>
                <w:bCs/>
                <w:sz w:val="20"/>
                <w:szCs w:val="20"/>
              </w:rPr>
              <w:t xml:space="preserve"> 38-46)</w:t>
            </w:r>
          </w:p>
        </w:tc>
        <w:tc>
          <w:tcPr>
            <w:tcW w:w="3194" w:type="dxa"/>
          </w:tcPr>
          <w:p w14:paraId="7A0E5323"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Non applicable. La Corée ne compte aucune pêcherie récréative ou sportive dans la zone de la Convention de l’ICCAT.</w:t>
            </w:r>
          </w:p>
        </w:tc>
        <w:tc>
          <w:tcPr>
            <w:tcW w:w="1975" w:type="dxa"/>
          </w:tcPr>
          <w:p w14:paraId="129853F0" w14:textId="77777777" w:rsidR="00473589" w:rsidRPr="004E13E9" w:rsidRDefault="00473589" w:rsidP="00E62E84">
            <w:pPr>
              <w:widowControl w:val="0"/>
              <w:rPr>
                <w:rFonts w:ascii="Cambria" w:hAnsi="Cambria"/>
                <w:sz w:val="20"/>
                <w:szCs w:val="20"/>
              </w:rPr>
            </w:pPr>
          </w:p>
        </w:tc>
        <w:tc>
          <w:tcPr>
            <w:tcW w:w="612" w:type="dxa"/>
          </w:tcPr>
          <w:p w14:paraId="78D8D927" w14:textId="77777777" w:rsidR="00473589" w:rsidRPr="004E13E9" w:rsidRDefault="00473589" w:rsidP="00E62E84">
            <w:pPr>
              <w:widowControl w:val="0"/>
              <w:rPr>
                <w:rFonts w:ascii="Cambria" w:hAnsi="Cambria"/>
                <w:sz w:val="20"/>
                <w:szCs w:val="20"/>
              </w:rPr>
            </w:pPr>
          </w:p>
        </w:tc>
      </w:tr>
      <w:tr w:rsidR="00473589" w:rsidRPr="006A2397" w14:paraId="53DE344D" w14:textId="77777777" w:rsidTr="00E62E84">
        <w:tc>
          <w:tcPr>
            <w:tcW w:w="454" w:type="dxa"/>
          </w:tcPr>
          <w:p w14:paraId="1E330A92" w14:textId="77777777" w:rsidR="00473589" w:rsidRPr="004E13E9" w:rsidRDefault="00473589" w:rsidP="00E62E84">
            <w:pPr>
              <w:widowControl w:val="0"/>
              <w:rPr>
                <w:rFonts w:ascii="Cambria" w:hAnsi="Cambria"/>
                <w:b/>
                <w:sz w:val="20"/>
                <w:szCs w:val="20"/>
              </w:rPr>
            </w:pPr>
            <w:bookmarkStart w:id="27" w:name="_Hlk65576068"/>
            <w:r w:rsidRPr="004E13E9">
              <w:rPr>
                <w:rFonts w:ascii="Cambria" w:hAnsi="Cambria"/>
                <w:b/>
                <w:sz w:val="20"/>
                <w:szCs w:val="20"/>
              </w:rPr>
              <w:t>6</w:t>
            </w:r>
          </w:p>
        </w:tc>
        <w:tc>
          <w:tcPr>
            <w:tcW w:w="2825" w:type="dxa"/>
          </w:tcPr>
          <w:p w14:paraId="272937F1" w14:textId="77777777" w:rsidR="00473589" w:rsidRPr="004E13E9" w:rsidRDefault="00473589" w:rsidP="00E62E84">
            <w:pPr>
              <w:widowControl w:val="0"/>
              <w:jc w:val="both"/>
              <w:rPr>
                <w:rFonts w:ascii="Cambria" w:hAnsi="Cambria"/>
                <w:b/>
                <w:sz w:val="20"/>
                <w:szCs w:val="20"/>
              </w:rPr>
            </w:pPr>
            <w:r w:rsidRPr="004E13E9">
              <w:rPr>
                <w:rFonts w:ascii="Cambria" w:hAnsi="Cambria"/>
                <w:b/>
                <w:sz w:val="20"/>
                <w:szCs w:val="20"/>
              </w:rPr>
              <w:t>Transbordement (</w:t>
            </w:r>
            <w:r w:rsidRPr="004E13E9">
              <w:rPr>
                <w:rFonts w:ascii="Cambria" w:hAnsi="Cambria"/>
                <w:b/>
                <w:color w:val="auto"/>
                <w:sz w:val="20"/>
                <w:szCs w:val="20"/>
              </w:rPr>
              <w:t xml:space="preserve">paragraphes </w:t>
            </w:r>
            <w:r w:rsidRPr="004E13E9">
              <w:rPr>
                <w:rFonts w:ascii="Cambria" w:hAnsi="Cambria"/>
                <w:b/>
                <w:sz w:val="20"/>
                <w:szCs w:val="20"/>
              </w:rPr>
              <w:t>89-94)</w:t>
            </w:r>
          </w:p>
        </w:tc>
        <w:tc>
          <w:tcPr>
            <w:tcW w:w="3194" w:type="dxa"/>
          </w:tcPr>
          <w:p w14:paraId="7353D52A" w14:textId="77777777" w:rsidR="00473589" w:rsidRPr="004E13E9" w:rsidRDefault="00473589" w:rsidP="00E62E84">
            <w:pPr>
              <w:pStyle w:val="NormalWeb"/>
              <w:spacing w:before="0" w:beforeAutospacing="0" w:after="0"/>
              <w:contextualSpacing/>
              <w:jc w:val="both"/>
              <w:rPr>
                <w:rFonts w:ascii="Cambria" w:hAnsi="Cambria"/>
                <w:sz w:val="20"/>
                <w:szCs w:val="20"/>
              </w:rPr>
            </w:pPr>
            <w:r w:rsidRPr="004E13E9">
              <w:rPr>
                <w:rFonts w:ascii="Cambria" w:hAnsi="Cambria"/>
                <w:sz w:val="20"/>
                <w:szCs w:val="20"/>
              </w:rPr>
              <w:t>Les opérations de transbordement de thon rouge en mer sont interdites et seul le transbordement au port est autorisé en vertu de la réglementation nationale. Le transbordement de thon rouge ne devra avoir lieu que dans les ports désignés. La Corée a également mis en place un solide système d'autorisation de transbordement, en vertu duquel tous les navires de pêche hauturière coréens doivent être autorisés par le FMC de Corée avant d'effectuer un transbordement.</w:t>
            </w:r>
          </w:p>
          <w:p w14:paraId="7225AA6F"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 xml:space="preserve">Au cours de la saison 2026, il est prévu que les navires coréens utilisent le port du Cap, de Dakar, de </w:t>
            </w:r>
            <w:proofErr w:type="spellStart"/>
            <w:r w:rsidRPr="004E13E9">
              <w:rPr>
                <w:rFonts w:ascii="Cambria" w:hAnsi="Cambria"/>
                <w:sz w:val="20"/>
                <w:szCs w:val="20"/>
              </w:rPr>
              <w:t>Mindelo</w:t>
            </w:r>
            <w:proofErr w:type="spellEnd"/>
            <w:r w:rsidRPr="004E13E9">
              <w:rPr>
                <w:rFonts w:ascii="Cambria" w:hAnsi="Cambria"/>
                <w:sz w:val="20"/>
                <w:szCs w:val="20"/>
              </w:rPr>
              <w:t xml:space="preserve">, de </w:t>
            </w:r>
            <w:r w:rsidRPr="004E13E9">
              <w:rPr>
                <w:rFonts w:ascii="Cambria" w:eastAsia="Malgun Gothic" w:hAnsi="Cambria"/>
                <w:color w:val="auto"/>
                <w:sz w:val="20"/>
                <w:lang w:eastAsia="ko-KR"/>
              </w:rPr>
              <w:t>Shimizu</w:t>
            </w:r>
            <w:r w:rsidRPr="004E13E9">
              <w:rPr>
                <w:rFonts w:ascii="Cambria" w:hAnsi="Cambria"/>
                <w:sz w:val="20"/>
              </w:rPr>
              <w:t xml:space="preserve"> et les ports nationaux désignés.</w:t>
            </w:r>
          </w:p>
        </w:tc>
        <w:tc>
          <w:tcPr>
            <w:tcW w:w="1975" w:type="dxa"/>
          </w:tcPr>
          <w:p w14:paraId="2A086008" w14:textId="77777777" w:rsidR="00473589" w:rsidRPr="004E13E9" w:rsidRDefault="00473589" w:rsidP="00E62E84">
            <w:pPr>
              <w:widowControl w:val="0"/>
              <w:rPr>
                <w:rFonts w:ascii="Cambria" w:hAnsi="Cambria"/>
                <w:sz w:val="20"/>
                <w:szCs w:val="20"/>
              </w:rPr>
            </w:pPr>
            <w:r w:rsidRPr="004E13E9">
              <w:rPr>
                <w:rFonts w:ascii="Cambria" w:hAnsi="Cambria"/>
                <w:sz w:val="20"/>
                <w:szCs w:val="20"/>
              </w:rPr>
              <w:t>Loi sur le développement des pêches en eaux lointaines, Article 13-1, 13-2, 16</w:t>
            </w:r>
          </w:p>
        </w:tc>
        <w:tc>
          <w:tcPr>
            <w:tcW w:w="612" w:type="dxa"/>
          </w:tcPr>
          <w:p w14:paraId="1E58E88D" w14:textId="77777777" w:rsidR="00473589" w:rsidRPr="004E13E9" w:rsidRDefault="00473589" w:rsidP="00E62E84">
            <w:pPr>
              <w:widowControl w:val="0"/>
              <w:rPr>
                <w:rFonts w:ascii="Cambria" w:hAnsi="Cambria"/>
                <w:sz w:val="20"/>
                <w:szCs w:val="20"/>
              </w:rPr>
            </w:pPr>
          </w:p>
        </w:tc>
      </w:tr>
      <w:bookmarkEnd w:id="27"/>
      <w:tr w:rsidR="00473589" w:rsidRPr="006A2397" w14:paraId="535CB661" w14:textId="77777777" w:rsidTr="00E62E84">
        <w:trPr>
          <w:trHeight w:val="2207"/>
        </w:trPr>
        <w:tc>
          <w:tcPr>
            <w:tcW w:w="454" w:type="dxa"/>
          </w:tcPr>
          <w:p w14:paraId="0E8947F7" w14:textId="77777777" w:rsidR="00473589" w:rsidRPr="004E13E9" w:rsidRDefault="00473589" w:rsidP="00E62E84">
            <w:pPr>
              <w:widowControl w:val="0"/>
              <w:rPr>
                <w:rFonts w:ascii="Cambria" w:hAnsi="Cambria"/>
                <w:b/>
                <w:sz w:val="20"/>
                <w:szCs w:val="20"/>
              </w:rPr>
            </w:pPr>
            <w:r w:rsidRPr="004E13E9">
              <w:rPr>
                <w:rFonts w:ascii="Cambria" w:hAnsi="Cambria"/>
                <w:b/>
                <w:color w:val="auto"/>
                <w:sz w:val="20"/>
                <w:szCs w:val="20"/>
              </w:rPr>
              <w:t>7</w:t>
            </w:r>
          </w:p>
        </w:tc>
        <w:tc>
          <w:tcPr>
            <w:tcW w:w="2825" w:type="dxa"/>
          </w:tcPr>
          <w:p w14:paraId="439A87FA" w14:textId="77777777" w:rsidR="00473589" w:rsidRPr="004E13E9" w:rsidRDefault="00473589" w:rsidP="00E62E84">
            <w:pPr>
              <w:widowControl w:val="0"/>
              <w:rPr>
                <w:rFonts w:ascii="Cambria" w:hAnsi="Cambria"/>
                <w:b/>
                <w:sz w:val="20"/>
                <w:szCs w:val="20"/>
              </w:rPr>
            </w:pPr>
            <w:r w:rsidRPr="004E13E9">
              <w:rPr>
                <w:rFonts w:ascii="Cambria" w:hAnsi="Cambria"/>
                <w:b/>
                <w:color w:val="auto"/>
                <w:sz w:val="20"/>
                <w:szCs w:val="20"/>
              </w:rPr>
              <w:t>VMS (paragraphes 222-228)</w:t>
            </w:r>
          </w:p>
        </w:tc>
        <w:tc>
          <w:tcPr>
            <w:tcW w:w="3194" w:type="dxa"/>
          </w:tcPr>
          <w:p w14:paraId="1A5F52F8"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Les navires de pêche de thon rouge sont équipés d'un VMS opérationnel fonctionnant sans interruption qui transmet leurs données de position toutes les heures au Secrétariat, par l’intermédiaire du FMC de la Corée. Tout retard dans la transmission des données ou toute défaillance de la transmission est surveillé et traité immédiatement.</w:t>
            </w:r>
          </w:p>
        </w:tc>
        <w:tc>
          <w:tcPr>
            <w:tcW w:w="1975" w:type="dxa"/>
          </w:tcPr>
          <w:p w14:paraId="55FEC311"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Loi sur le développement des pêches en eaux lointaines, Article 13-1, 13-2, 15</w:t>
            </w:r>
          </w:p>
        </w:tc>
        <w:tc>
          <w:tcPr>
            <w:tcW w:w="612" w:type="dxa"/>
          </w:tcPr>
          <w:p w14:paraId="298E4E40" w14:textId="77777777" w:rsidR="00473589" w:rsidRPr="004E13E9" w:rsidRDefault="00473589" w:rsidP="00E62E84">
            <w:pPr>
              <w:widowControl w:val="0"/>
              <w:rPr>
                <w:rFonts w:ascii="Cambria" w:hAnsi="Cambria"/>
                <w:sz w:val="20"/>
                <w:szCs w:val="20"/>
              </w:rPr>
            </w:pPr>
          </w:p>
        </w:tc>
      </w:tr>
      <w:tr w:rsidR="00473589" w:rsidRPr="006A2397" w14:paraId="3D84C70C" w14:textId="77777777" w:rsidTr="00E62E84">
        <w:tc>
          <w:tcPr>
            <w:tcW w:w="454" w:type="dxa"/>
          </w:tcPr>
          <w:p w14:paraId="26CD8BDE" w14:textId="77777777" w:rsidR="00473589" w:rsidRPr="004E13E9" w:rsidRDefault="00473589" w:rsidP="00E62E84">
            <w:pPr>
              <w:widowControl w:val="0"/>
              <w:rPr>
                <w:rFonts w:ascii="Cambria" w:hAnsi="Cambria"/>
                <w:b/>
                <w:sz w:val="20"/>
                <w:szCs w:val="20"/>
              </w:rPr>
            </w:pPr>
            <w:r w:rsidRPr="004E13E9">
              <w:rPr>
                <w:rFonts w:ascii="Cambria" w:hAnsi="Cambria"/>
                <w:b/>
                <w:sz w:val="20"/>
                <w:szCs w:val="20"/>
              </w:rPr>
              <w:t>8</w:t>
            </w:r>
          </w:p>
        </w:tc>
        <w:tc>
          <w:tcPr>
            <w:tcW w:w="2825" w:type="dxa"/>
          </w:tcPr>
          <w:p w14:paraId="367B9B51" w14:textId="77777777" w:rsidR="00473589" w:rsidRPr="004E13E9" w:rsidRDefault="00473589" w:rsidP="00E62E84">
            <w:pPr>
              <w:widowControl w:val="0"/>
              <w:rPr>
                <w:rFonts w:ascii="Cambria" w:hAnsi="Cambria"/>
                <w:b/>
                <w:sz w:val="20"/>
                <w:szCs w:val="20"/>
              </w:rPr>
            </w:pPr>
            <w:r w:rsidRPr="004E13E9">
              <w:rPr>
                <w:rFonts w:ascii="Cambria" w:hAnsi="Cambria"/>
                <w:b/>
                <w:bCs/>
                <w:sz w:val="20"/>
                <w:szCs w:val="20"/>
              </w:rPr>
              <w:t xml:space="preserve">Programme d'observateurs des CPC </w:t>
            </w:r>
            <w:r w:rsidRPr="004E13E9">
              <w:rPr>
                <w:rFonts w:ascii="Cambria" w:hAnsi="Cambria"/>
                <w:b/>
                <w:sz w:val="20"/>
                <w:szCs w:val="20"/>
              </w:rPr>
              <w:t>(</w:t>
            </w:r>
            <w:r w:rsidRPr="004E13E9">
              <w:rPr>
                <w:rFonts w:ascii="Cambria" w:hAnsi="Cambria"/>
                <w:b/>
                <w:color w:val="auto"/>
                <w:sz w:val="20"/>
                <w:szCs w:val="20"/>
              </w:rPr>
              <w:t>paragraphes</w:t>
            </w:r>
            <w:r w:rsidRPr="004E13E9">
              <w:rPr>
                <w:rFonts w:ascii="Cambria" w:hAnsi="Cambria"/>
                <w:b/>
                <w:sz w:val="20"/>
                <w:szCs w:val="20"/>
              </w:rPr>
              <w:t xml:space="preserve"> 95-100)</w:t>
            </w:r>
          </w:p>
        </w:tc>
        <w:tc>
          <w:tcPr>
            <w:tcW w:w="3194" w:type="dxa"/>
          </w:tcPr>
          <w:p w14:paraId="3F0239D5"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 xml:space="preserve">Le </w:t>
            </w:r>
            <w:proofErr w:type="spellStart"/>
            <w:r w:rsidRPr="004E13E9">
              <w:rPr>
                <w:rFonts w:ascii="Cambria" w:hAnsi="Cambria"/>
                <w:sz w:val="20"/>
                <w:szCs w:val="20"/>
              </w:rPr>
              <w:t>MoF</w:t>
            </w:r>
            <w:proofErr w:type="spellEnd"/>
            <w:r w:rsidRPr="004E13E9">
              <w:rPr>
                <w:rFonts w:ascii="Cambria" w:hAnsi="Cambria"/>
                <w:sz w:val="20"/>
                <w:szCs w:val="20"/>
              </w:rPr>
              <w:t xml:space="preserve"> déploiera une couverture d’observateurs de plus de 20% pendant la saison de pêche de 2026.</w:t>
            </w:r>
          </w:p>
        </w:tc>
        <w:tc>
          <w:tcPr>
            <w:tcW w:w="1975" w:type="dxa"/>
          </w:tcPr>
          <w:p w14:paraId="53717E30" w14:textId="77777777" w:rsidR="00473589" w:rsidRPr="004E13E9" w:rsidRDefault="00473589" w:rsidP="00E62E84">
            <w:pPr>
              <w:widowControl w:val="0"/>
              <w:rPr>
                <w:rFonts w:ascii="Cambria" w:hAnsi="Cambria"/>
                <w:sz w:val="20"/>
                <w:szCs w:val="20"/>
              </w:rPr>
            </w:pPr>
            <w:r w:rsidRPr="004E13E9">
              <w:rPr>
                <w:rFonts w:ascii="Cambria" w:hAnsi="Cambria"/>
                <w:sz w:val="20"/>
                <w:szCs w:val="20"/>
              </w:rPr>
              <w:t>Loi sur le développement des pêches en eaux lointaines, Article 13-1,13-2, 21</w:t>
            </w:r>
          </w:p>
        </w:tc>
        <w:tc>
          <w:tcPr>
            <w:tcW w:w="612" w:type="dxa"/>
          </w:tcPr>
          <w:p w14:paraId="4402E129" w14:textId="77777777" w:rsidR="00473589" w:rsidRPr="004E13E9" w:rsidRDefault="00473589" w:rsidP="00E62E84">
            <w:pPr>
              <w:widowControl w:val="0"/>
              <w:rPr>
                <w:rFonts w:ascii="Cambria" w:hAnsi="Cambria"/>
                <w:sz w:val="20"/>
                <w:szCs w:val="20"/>
              </w:rPr>
            </w:pPr>
          </w:p>
        </w:tc>
      </w:tr>
      <w:tr w:rsidR="00473589" w:rsidRPr="006A2397" w14:paraId="1C019738" w14:textId="77777777" w:rsidTr="00E62E84">
        <w:tc>
          <w:tcPr>
            <w:tcW w:w="454" w:type="dxa"/>
          </w:tcPr>
          <w:p w14:paraId="29D4F971" w14:textId="77777777" w:rsidR="00473589" w:rsidRPr="004E13E9" w:rsidRDefault="00473589" w:rsidP="00E62E84">
            <w:pPr>
              <w:widowControl w:val="0"/>
              <w:rPr>
                <w:rFonts w:ascii="Cambria" w:hAnsi="Cambria"/>
                <w:b/>
                <w:sz w:val="20"/>
                <w:szCs w:val="20"/>
              </w:rPr>
            </w:pPr>
            <w:r w:rsidRPr="004E13E9">
              <w:rPr>
                <w:rFonts w:ascii="Cambria" w:hAnsi="Cambria"/>
                <w:b/>
                <w:sz w:val="20"/>
                <w:szCs w:val="20"/>
              </w:rPr>
              <w:t>9</w:t>
            </w:r>
          </w:p>
        </w:tc>
        <w:tc>
          <w:tcPr>
            <w:tcW w:w="2825" w:type="dxa"/>
          </w:tcPr>
          <w:p w14:paraId="6A7234F9" w14:textId="77777777" w:rsidR="00473589" w:rsidRPr="004E13E9" w:rsidRDefault="00473589" w:rsidP="00E62E84">
            <w:pPr>
              <w:widowControl w:val="0"/>
              <w:rPr>
                <w:rFonts w:ascii="Cambria" w:hAnsi="Cambria"/>
                <w:b/>
                <w:sz w:val="20"/>
                <w:szCs w:val="20"/>
              </w:rPr>
            </w:pPr>
            <w:r w:rsidRPr="004E13E9">
              <w:rPr>
                <w:rFonts w:ascii="Cambria" w:hAnsi="Cambria"/>
                <w:b/>
                <w:color w:val="auto"/>
                <w:sz w:val="20"/>
                <w:szCs w:val="20"/>
              </w:rPr>
              <w:t>Programme d'observateurs régionaux (paragraphes 101-107)</w:t>
            </w:r>
          </w:p>
        </w:tc>
        <w:tc>
          <w:tcPr>
            <w:tcW w:w="3194" w:type="dxa"/>
          </w:tcPr>
          <w:p w14:paraId="3A6714E4"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 xml:space="preserve">Non applicable. </w:t>
            </w:r>
          </w:p>
          <w:p w14:paraId="1F993FE7"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(La Corée n'exploite pas de senneurs pour pêcher le thon rouge et n'est pas une CPC d'élevage).</w:t>
            </w:r>
          </w:p>
        </w:tc>
        <w:tc>
          <w:tcPr>
            <w:tcW w:w="1975" w:type="dxa"/>
          </w:tcPr>
          <w:p w14:paraId="553548EC" w14:textId="77777777" w:rsidR="00473589" w:rsidRPr="004E13E9" w:rsidRDefault="00473589" w:rsidP="00E62E84">
            <w:pPr>
              <w:widowControl w:val="0"/>
              <w:rPr>
                <w:rFonts w:ascii="Cambria" w:hAnsi="Cambria"/>
                <w:sz w:val="20"/>
                <w:szCs w:val="20"/>
              </w:rPr>
            </w:pPr>
          </w:p>
        </w:tc>
        <w:tc>
          <w:tcPr>
            <w:tcW w:w="612" w:type="dxa"/>
          </w:tcPr>
          <w:p w14:paraId="783B74ED" w14:textId="77777777" w:rsidR="00473589" w:rsidRPr="004E13E9" w:rsidRDefault="00473589" w:rsidP="00E62E84">
            <w:pPr>
              <w:widowControl w:val="0"/>
              <w:rPr>
                <w:rFonts w:ascii="Cambria" w:hAnsi="Cambria"/>
                <w:sz w:val="20"/>
                <w:szCs w:val="20"/>
              </w:rPr>
            </w:pPr>
          </w:p>
        </w:tc>
      </w:tr>
      <w:tr w:rsidR="00473589" w:rsidRPr="006A2397" w14:paraId="45A17C8F" w14:textId="77777777" w:rsidTr="00E62E84">
        <w:tc>
          <w:tcPr>
            <w:tcW w:w="454" w:type="dxa"/>
          </w:tcPr>
          <w:p w14:paraId="04130136" w14:textId="77777777" w:rsidR="00473589" w:rsidRPr="004E13E9" w:rsidRDefault="00473589" w:rsidP="00E62E84">
            <w:pPr>
              <w:widowControl w:val="0"/>
              <w:rPr>
                <w:rFonts w:ascii="Cambria" w:hAnsi="Cambria"/>
                <w:b/>
                <w:sz w:val="20"/>
                <w:szCs w:val="20"/>
              </w:rPr>
            </w:pPr>
            <w:r w:rsidRPr="004E13E9">
              <w:rPr>
                <w:rFonts w:ascii="Cambria" w:hAnsi="Cambria"/>
                <w:b/>
                <w:bCs/>
                <w:iCs/>
                <w:color w:val="auto"/>
                <w:sz w:val="20"/>
                <w:szCs w:val="20"/>
              </w:rPr>
              <w:t>10</w:t>
            </w:r>
          </w:p>
        </w:tc>
        <w:tc>
          <w:tcPr>
            <w:tcW w:w="2825" w:type="dxa"/>
          </w:tcPr>
          <w:p w14:paraId="68221B21" w14:textId="77777777" w:rsidR="00473589" w:rsidRPr="004E13E9" w:rsidRDefault="00473589" w:rsidP="00E62E84">
            <w:pPr>
              <w:widowControl w:val="0"/>
              <w:rPr>
                <w:rFonts w:ascii="Cambria" w:hAnsi="Cambria"/>
                <w:b/>
                <w:sz w:val="20"/>
                <w:szCs w:val="20"/>
              </w:rPr>
            </w:pPr>
            <w:r w:rsidRPr="004E13E9">
              <w:rPr>
                <w:rFonts w:ascii="Cambria" w:hAnsi="Cambria"/>
                <w:b/>
                <w:bCs/>
                <w:iCs/>
                <w:color w:val="auto"/>
                <w:sz w:val="20"/>
                <w:szCs w:val="20"/>
              </w:rPr>
              <w:t>Législation nationale</w:t>
            </w:r>
          </w:p>
        </w:tc>
        <w:tc>
          <w:tcPr>
            <w:tcW w:w="3194" w:type="dxa"/>
          </w:tcPr>
          <w:p w14:paraId="7F77A8C3" w14:textId="77777777" w:rsidR="00473589" w:rsidRPr="004E13E9" w:rsidRDefault="00473589" w:rsidP="00E62E84">
            <w:pPr>
              <w:widowControl w:val="0"/>
              <w:jc w:val="both"/>
              <w:rPr>
                <w:rFonts w:ascii="Cambria" w:hAnsi="Cambria"/>
                <w:color w:val="auto"/>
                <w:sz w:val="20"/>
                <w:szCs w:val="20"/>
              </w:rPr>
            </w:pPr>
            <w:r w:rsidRPr="004E13E9">
              <w:rPr>
                <w:rFonts w:ascii="Cambria" w:hAnsi="Cambria"/>
                <w:color w:val="auto"/>
                <w:sz w:val="20"/>
                <w:szCs w:val="20"/>
              </w:rPr>
              <w:t>L’article 13 de la Loi sur le développement des pêches en eaux lointaines de la Corée stipule que : Tout opérateur d'une entreprise de pêche en eaux lointaines et toute personne pratiquant la pêche en eaux lointaines doit mener consciencieusement des opérations de pêche dans le cadre des opérations autorisées et doit se conformer aux résolutions prises par les organisations internationales de pêche pour la conservation et la gestion des ressources et aux normes internationales concernant la pêche en haute mer.</w:t>
            </w:r>
          </w:p>
          <w:p w14:paraId="2C9230A2" w14:textId="77777777" w:rsidR="00473589" w:rsidRPr="004E13E9" w:rsidRDefault="00473589" w:rsidP="00E62E84">
            <w:pPr>
              <w:widowControl w:val="0"/>
              <w:jc w:val="both"/>
              <w:rPr>
                <w:rFonts w:ascii="Cambria" w:eastAsia="Malgun Gothic" w:hAnsi="Cambria"/>
                <w:color w:val="auto"/>
                <w:sz w:val="20"/>
                <w:szCs w:val="20"/>
                <w:lang w:eastAsia="ko-KR"/>
              </w:rPr>
            </w:pPr>
          </w:p>
        </w:tc>
        <w:tc>
          <w:tcPr>
            <w:tcW w:w="1975" w:type="dxa"/>
          </w:tcPr>
          <w:p w14:paraId="7F6090FD" w14:textId="77777777" w:rsidR="00473589" w:rsidRPr="004E13E9" w:rsidRDefault="00473589" w:rsidP="00E62E84">
            <w:pPr>
              <w:widowControl w:val="0"/>
              <w:rPr>
                <w:rFonts w:ascii="Cambria" w:hAnsi="Cambria"/>
                <w:sz w:val="20"/>
                <w:szCs w:val="20"/>
              </w:rPr>
            </w:pPr>
          </w:p>
        </w:tc>
        <w:tc>
          <w:tcPr>
            <w:tcW w:w="612" w:type="dxa"/>
          </w:tcPr>
          <w:p w14:paraId="36A72775" w14:textId="77777777" w:rsidR="00473589" w:rsidRPr="004E13E9" w:rsidRDefault="00473589" w:rsidP="00E62E84">
            <w:pPr>
              <w:widowControl w:val="0"/>
              <w:rPr>
                <w:rFonts w:ascii="Cambria" w:hAnsi="Cambria"/>
                <w:sz w:val="20"/>
                <w:szCs w:val="20"/>
              </w:rPr>
            </w:pPr>
          </w:p>
        </w:tc>
      </w:tr>
      <w:tr w:rsidR="00473589" w:rsidRPr="006A2397" w14:paraId="1801333E" w14:textId="77777777" w:rsidTr="00E62E84">
        <w:trPr>
          <w:trHeight w:val="1408"/>
        </w:trPr>
        <w:tc>
          <w:tcPr>
            <w:tcW w:w="454" w:type="dxa"/>
          </w:tcPr>
          <w:p w14:paraId="5F34579C" w14:textId="77777777" w:rsidR="00473589" w:rsidRPr="004E13E9" w:rsidRDefault="00473589" w:rsidP="00E62E84">
            <w:pPr>
              <w:widowControl w:val="0"/>
              <w:jc w:val="both"/>
              <w:rPr>
                <w:rFonts w:ascii="Cambria" w:hAnsi="Cambria"/>
                <w:i/>
                <w:sz w:val="20"/>
                <w:szCs w:val="20"/>
              </w:rPr>
            </w:pPr>
          </w:p>
        </w:tc>
        <w:tc>
          <w:tcPr>
            <w:tcW w:w="2825" w:type="dxa"/>
          </w:tcPr>
          <w:p w14:paraId="7611D775" w14:textId="77777777" w:rsidR="00473589" w:rsidRPr="004E13E9" w:rsidRDefault="00473589" w:rsidP="00E62E84">
            <w:pPr>
              <w:widowControl w:val="0"/>
              <w:jc w:val="both"/>
              <w:rPr>
                <w:rFonts w:ascii="Cambria" w:hAnsi="Cambria"/>
                <w:i/>
                <w:sz w:val="20"/>
                <w:szCs w:val="20"/>
              </w:rPr>
            </w:pPr>
            <w:r w:rsidRPr="004E13E9">
              <w:rPr>
                <w:rFonts w:ascii="Cambria" w:hAnsi="Cambria"/>
                <w:i/>
                <w:color w:val="auto"/>
                <w:sz w:val="20"/>
                <w:szCs w:val="20"/>
              </w:rPr>
              <w:t>Autres exigences, telles que : programme de marquage (paragraphe 44), etc.</w:t>
            </w:r>
          </w:p>
        </w:tc>
        <w:tc>
          <w:tcPr>
            <w:tcW w:w="3194" w:type="dxa"/>
          </w:tcPr>
          <w:p w14:paraId="258390E7" w14:textId="77777777" w:rsidR="00473589" w:rsidRPr="004E13E9" w:rsidRDefault="00473589" w:rsidP="00E62E84">
            <w:pPr>
              <w:widowControl w:val="0"/>
              <w:jc w:val="both"/>
              <w:rPr>
                <w:rFonts w:ascii="Cambria" w:hAnsi="Cambria"/>
                <w:sz w:val="20"/>
                <w:szCs w:val="20"/>
              </w:rPr>
            </w:pPr>
            <w:r w:rsidRPr="004E13E9">
              <w:rPr>
                <w:rFonts w:ascii="Cambria" w:hAnsi="Cambria"/>
                <w:sz w:val="20"/>
                <w:szCs w:val="20"/>
              </w:rPr>
              <w:t>Depuis 2017, la Corée mène un programme de marquage avec des marques archives (mini PAT) réalisé par des observateurs scientifiques dans le cadre du GBYP.</w:t>
            </w:r>
          </w:p>
        </w:tc>
        <w:tc>
          <w:tcPr>
            <w:tcW w:w="1975" w:type="dxa"/>
          </w:tcPr>
          <w:p w14:paraId="435AA8E3" w14:textId="77777777" w:rsidR="00473589" w:rsidRPr="004E13E9" w:rsidRDefault="00473589" w:rsidP="00E62E84">
            <w:pPr>
              <w:widowControl w:val="0"/>
              <w:rPr>
                <w:rFonts w:ascii="Cambria" w:hAnsi="Cambria"/>
                <w:sz w:val="20"/>
                <w:szCs w:val="20"/>
              </w:rPr>
            </w:pPr>
          </w:p>
        </w:tc>
        <w:tc>
          <w:tcPr>
            <w:tcW w:w="612" w:type="dxa"/>
          </w:tcPr>
          <w:p w14:paraId="080DE46F" w14:textId="77777777" w:rsidR="00473589" w:rsidRPr="004E13E9" w:rsidRDefault="00473589" w:rsidP="00E62E84">
            <w:pPr>
              <w:widowControl w:val="0"/>
              <w:rPr>
                <w:rFonts w:ascii="Cambria" w:hAnsi="Cambria"/>
                <w:sz w:val="20"/>
                <w:szCs w:val="20"/>
              </w:rPr>
            </w:pPr>
          </w:p>
        </w:tc>
      </w:tr>
    </w:tbl>
    <w:p w14:paraId="07DFFF77" w14:textId="77777777" w:rsidR="00B87E9A" w:rsidRPr="004E13E9" w:rsidRDefault="00B87E9A">
      <w:pPr>
        <w:rPr>
          <w:rFonts w:eastAsia="MS Gothic" w:cs="Times New Roman"/>
          <w:b/>
          <w:i/>
          <w:iCs/>
          <w:lang w:val="fr-FR" w:eastAsia="fr-FR" w:bidi="fr-FR"/>
        </w:rPr>
      </w:pPr>
      <w:r w:rsidRPr="004E13E9">
        <w:rPr>
          <w:rFonts w:eastAsia="MS Gothic" w:cs="Times New Roman"/>
          <w:b/>
          <w:i/>
          <w:iCs/>
          <w:lang w:val="fr-FR" w:eastAsia="fr-FR" w:bidi="fr-FR"/>
        </w:rPr>
        <w:br w:type="page"/>
      </w:r>
    </w:p>
    <w:p w14:paraId="0235D60F" w14:textId="4A6460BD" w:rsidR="00473589" w:rsidRPr="004E13E9" w:rsidRDefault="00473589" w:rsidP="00473589">
      <w:pPr>
        <w:widowControl w:val="0"/>
        <w:rPr>
          <w:rFonts w:eastAsia="MS Gothic" w:cs="Times New Roman"/>
          <w:b/>
          <w:i/>
          <w:iCs/>
          <w:lang w:val="fr-FR" w:eastAsia="fr-FR" w:bidi="fr-FR"/>
        </w:rPr>
      </w:pPr>
      <w:r w:rsidRPr="004E13E9">
        <w:rPr>
          <w:rFonts w:eastAsia="MS Gothic" w:cs="Times New Roman"/>
          <w:b/>
          <w:i/>
          <w:iCs/>
          <w:lang w:val="fr-FR" w:eastAsia="fr-FR" w:bidi="fr-FR"/>
        </w:rPr>
        <w:t>1e) Ports désignés (paragraphe 80)</w:t>
      </w:r>
    </w:p>
    <w:p w14:paraId="6661AE27" w14:textId="77777777" w:rsidR="00473589" w:rsidRPr="004E13E9" w:rsidRDefault="00473589" w:rsidP="00473589">
      <w:pPr>
        <w:widowControl w:val="0"/>
        <w:rPr>
          <w:rFonts w:eastAsia="MS Gothic" w:cs="Times New Roman"/>
          <w:lang w:val="fr-FR" w:eastAsia="fr-FR" w:bidi="fr-FR"/>
        </w:rPr>
      </w:pPr>
    </w:p>
    <w:p w14:paraId="4C62F60E" w14:textId="77777777" w:rsidR="00473589" w:rsidRPr="004E13E9" w:rsidRDefault="00473589" w:rsidP="00473589">
      <w:pPr>
        <w:widowControl w:val="0"/>
        <w:rPr>
          <w:rFonts w:eastAsia="MS Gothic" w:cs="Times New Roman"/>
          <w:lang w:val="fr-FR" w:eastAsia="fr-FR" w:bidi="fr-FR"/>
        </w:rPr>
      </w:pPr>
      <w:r w:rsidRPr="004E13E9">
        <w:rPr>
          <w:rFonts w:eastAsia="MS Gothic" w:cs="Times New Roman"/>
          <w:lang w:val="fr-FR" w:eastAsia="fr-FR" w:bidi="fr-FR"/>
        </w:rPr>
        <w:t>Les ports de tiers pour le transbordement et le débarquement (paragraphes 80-84) sont les suivants :</w:t>
      </w:r>
    </w:p>
    <w:p w14:paraId="0B864730" w14:textId="77777777" w:rsidR="00473589" w:rsidRPr="004E13E9" w:rsidRDefault="00473589" w:rsidP="00473589">
      <w:pPr>
        <w:widowControl w:val="0"/>
        <w:rPr>
          <w:rFonts w:eastAsia="MS Gothic" w:cs="Times New Roman"/>
          <w:lang w:val="fr-FR" w:eastAsia="fr-FR" w:bidi="fr-FR"/>
        </w:rPr>
      </w:pPr>
    </w:p>
    <w:tbl>
      <w:tblPr>
        <w:tblStyle w:val="TableGrid"/>
        <w:tblW w:w="0" w:type="auto"/>
        <w:jc w:val="center"/>
        <w:tblLook w:val="04A0" w:firstRow="1" w:lastRow="0" w:firstColumn="1" w:lastColumn="0" w:noHBand="0" w:noVBand="1"/>
      </w:tblPr>
      <w:tblGrid>
        <w:gridCol w:w="517"/>
        <w:gridCol w:w="2001"/>
        <w:gridCol w:w="2097"/>
      </w:tblGrid>
      <w:tr w:rsidR="00473589" w:rsidRPr="004E13E9" w14:paraId="01FE5D39" w14:textId="77777777" w:rsidTr="00E62E84">
        <w:trPr>
          <w:trHeight w:val="220"/>
          <w:jc w:val="center"/>
        </w:trPr>
        <w:tc>
          <w:tcPr>
            <w:tcW w:w="517" w:type="dxa"/>
            <w:tcBorders>
              <w:top w:val="single" w:sz="4" w:space="0" w:color="auto"/>
              <w:left w:val="single" w:sz="4" w:space="0" w:color="auto"/>
              <w:bottom w:val="single" w:sz="4" w:space="0" w:color="auto"/>
              <w:right w:val="single" w:sz="4" w:space="0" w:color="auto"/>
            </w:tcBorders>
          </w:tcPr>
          <w:p w14:paraId="3965B695" w14:textId="77777777" w:rsidR="00473589" w:rsidRPr="004E13E9" w:rsidRDefault="00473589" w:rsidP="00E62E84">
            <w:pPr>
              <w:rPr>
                <w:rFonts w:ascii="Cambria" w:eastAsiaTheme="minorEastAsia" w:hAnsi="Cambria"/>
                <w:color w:val="auto"/>
                <w:sz w:val="20"/>
                <w:szCs w:val="20"/>
                <w:lang w:eastAsia="ko-KR"/>
              </w:rPr>
            </w:pPr>
          </w:p>
        </w:tc>
        <w:tc>
          <w:tcPr>
            <w:tcW w:w="2001" w:type="dxa"/>
            <w:tcBorders>
              <w:top w:val="single" w:sz="4" w:space="0" w:color="auto"/>
              <w:left w:val="single" w:sz="4" w:space="0" w:color="auto"/>
              <w:bottom w:val="single" w:sz="4" w:space="0" w:color="auto"/>
              <w:right w:val="single" w:sz="4" w:space="0" w:color="auto"/>
            </w:tcBorders>
            <w:hideMark/>
          </w:tcPr>
          <w:p w14:paraId="0E1A4A2C" w14:textId="77777777" w:rsidR="00473589" w:rsidRPr="004E13E9" w:rsidRDefault="00473589" w:rsidP="00E62E84">
            <w:pPr>
              <w:jc w:val="center"/>
              <w:rPr>
                <w:rFonts w:ascii="Cambria" w:eastAsiaTheme="minorEastAsia" w:hAnsi="Cambria"/>
                <w:i/>
                <w:iCs/>
                <w:color w:val="auto"/>
                <w:sz w:val="20"/>
                <w:szCs w:val="20"/>
                <w:lang w:eastAsia="ko-KR"/>
              </w:rPr>
            </w:pPr>
            <w:r w:rsidRPr="004E13E9">
              <w:rPr>
                <w:rFonts w:ascii="Cambria" w:eastAsiaTheme="minorEastAsia" w:hAnsi="Cambria"/>
                <w:i/>
                <w:iCs/>
                <w:color w:val="auto"/>
                <w:sz w:val="20"/>
                <w:szCs w:val="20"/>
                <w:lang w:eastAsia="ko-KR"/>
              </w:rPr>
              <w:t>Pays</w:t>
            </w:r>
          </w:p>
        </w:tc>
        <w:tc>
          <w:tcPr>
            <w:tcW w:w="2097" w:type="dxa"/>
            <w:tcBorders>
              <w:top w:val="single" w:sz="4" w:space="0" w:color="auto"/>
              <w:left w:val="single" w:sz="4" w:space="0" w:color="auto"/>
              <w:bottom w:val="single" w:sz="4" w:space="0" w:color="auto"/>
              <w:right w:val="single" w:sz="4" w:space="0" w:color="auto"/>
            </w:tcBorders>
            <w:hideMark/>
          </w:tcPr>
          <w:p w14:paraId="219C3DDF" w14:textId="77777777" w:rsidR="00473589" w:rsidRPr="004E13E9" w:rsidRDefault="00473589" w:rsidP="00E62E84">
            <w:pPr>
              <w:jc w:val="center"/>
              <w:rPr>
                <w:rFonts w:ascii="Cambria" w:eastAsiaTheme="minorEastAsia" w:hAnsi="Cambria"/>
                <w:i/>
                <w:iCs/>
                <w:color w:val="auto"/>
                <w:sz w:val="20"/>
                <w:szCs w:val="20"/>
                <w:lang w:eastAsia="ko-KR"/>
              </w:rPr>
            </w:pPr>
            <w:r w:rsidRPr="004E13E9">
              <w:rPr>
                <w:rFonts w:ascii="Cambria" w:eastAsiaTheme="minorEastAsia" w:hAnsi="Cambria"/>
                <w:i/>
                <w:iCs/>
                <w:color w:val="auto"/>
                <w:sz w:val="20"/>
                <w:szCs w:val="20"/>
                <w:lang w:eastAsia="ko-KR"/>
              </w:rPr>
              <w:t>Port</w:t>
            </w:r>
          </w:p>
        </w:tc>
      </w:tr>
      <w:tr w:rsidR="00473589" w:rsidRPr="004E13E9" w14:paraId="7B76680D" w14:textId="77777777" w:rsidTr="00E62E84">
        <w:trPr>
          <w:trHeight w:val="251"/>
          <w:jc w:val="center"/>
        </w:trPr>
        <w:tc>
          <w:tcPr>
            <w:tcW w:w="517" w:type="dxa"/>
            <w:tcBorders>
              <w:top w:val="single" w:sz="4" w:space="0" w:color="auto"/>
              <w:left w:val="single" w:sz="4" w:space="0" w:color="auto"/>
              <w:bottom w:val="single" w:sz="4" w:space="0" w:color="auto"/>
              <w:right w:val="single" w:sz="4" w:space="0" w:color="auto"/>
            </w:tcBorders>
            <w:hideMark/>
          </w:tcPr>
          <w:p w14:paraId="164AF295" w14:textId="77777777" w:rsidR="00473589" w:rsidRPr="004E13E9" w:rsidRDefault="00473589" w:rsidP="00E62E84">
            <w:pPr>
              <w:jc w:val="center"/>
              <w:rPr>
                <w:rFonts w:ascii="Cambria" w:eastAsiaTheme="minorEastAsia" w:hAnsi="Cambria"/>
                <w:color w:val="auto"/>
                <w:sz w:val="20"/>
                <w:szCs w:val="20"/>
                <w:lang w:eastAsia="ko-KR"/>
              </w:rPr>
            </w:pPr>
            <w:r w:rsidRPr="004E13E9">
              <w:rPr>
                <w:rFonts w:ascii="Cambria" w:eastAsiaTheme="minorEastAsia" w:hAnsi="Cambria"/>
                <w:color w:val="auto"/>
                <w:sz w:val="20"/>
                <w:szCs w:val="20"/>
                <w:lang w:eastAsia="ko-KR"/>
              </w:rPr>
              <w:t>1</w:t>
            </w:r>
          </w:p>
        </w:tc>
        <w:tc>
          <w:tcPr>
            <w:tcW w:w="2001" w:type="dxa"/>
            <w:tcBorders>
              <w:top w:val="single" w:sz="4" w:space="0" w:color="auto"/>
              <w:left w:val="single" w:sz="4" w:space="0" w:color="auto"/>
              <w:bottom w:val="single" w:sz="4" w:space="0" w:color="auto"/>
              <w:right w:val="single" w:sz="4" w:space="0" w:color="auto"/>
            </w:tcBorders>
            <w:hideMark/>
          </w:tcPr>
          <w:p w14:paraId="5448EB50" w14:textId="77777777" w:rsidR="00473589" w:rsidRPr="004E13E9" w:rsidRDefault="00473589" w:rsidP="00E62E84">
            <w:pPr>
              <w:jc w:val="center"/>
              <w:rPr>
                <w:rFonts w:ascii="Cambria" w:eastAsiaTheme="minorEastAsia" w:hAnsi="Cambria"/>
                <w:color w:val="auto"/>
                <w:sz w:val="20"/>
                <w:szCs w:val="20"/>
                <w:lang w:eastAsia="ko-KR"/>
              </w:rPr>
            </w:pPr>
            <w:r w:rsidRPr="004E13E9">
              <w:rPr>
                <w:rFonts w:ascii="Cambria" w:eastAsiaTheme="minorEastAsia" w:hAnsi="Cambria"/>
                <w:color w:val="auto"/>
                <w:sz w:val="20"/>
                <w:szCs w:val="20"/>
                <w:lang w:eastAsia="ko-KR"/>
              </w:rPr>
              <w:t>Afrique du Sud</w:t>
            </w:r>
          </w:p>
        </w:tc>
        <w:tc>
          <w:tcPr>
            <w:tcW w:w="2097" w:type="dxa"/>
            <w:tcBorders>
              <w:top w:val="single" w:sz="4" w:space="0" w:color="auto"/>
              <w:left w:val="single" w:sz="4" w:space="0" w:color="auto"/>
              <w:bottom w:val="single" w:sz="4" w:space="0" w:color="auto"/>
              <w:right w:val="single" w:sz="4" w:space="0" w:color="auto"/>
            </w:tcBorders>
            <w:hideMark/>
          </w:tcPr>
          <w:p w14:paraId="0C783ADA" w14:textId="77777777" w:rsidR="00473589" w:rsidRPr="004E13E9" w:rsidRDefault="00473589" w:rsidP="00E62E84">
            <w:pPr>
              <w:jc w:val="center"/>
              <w:rPr>
                <w:rFonts w:ascii="Cambria" w:eastAsiaTheme="minorEastAsia" w:hAnsi="Cambria"/>
                <w:color w:val="auto"/>
                <w:sz w:val="20"/>
                <w:szCs w:val="20"/>
                <w:lang w:eastAsia="ko-KR"/>
              </w:rPr>
            </w:pPr>
            <w:r w:rsidRPr="004E13E9">
              <w:rPr>
                <w:rFonts w:ascii="Cambria" w:eastAsiaTheme="minorEastAsia" w:hAnsi="Cambria"/>
                <w:color w:val="auto"/>
                <w:sz w:val="20"/>
                <w:szCs w:val="20"/>
                <w:lang w:eastAsia="ko-KR"/>
              </w:rPr>
              <w:t>Le Cap</w:t>
            </w:r>
          </w:p>
        </w:tc>
      </w:tr>
      <w:tr w:rsidR="00473589" w:rsidRPr="004E13E9" w14:paraId="12E12994" w14:textId="77777777" w:rsidTr="00E62E84">
        <w:trPr>
          <w:trHeight w:val="155"/>
          <w:jc w:val="center"/>
        </w:trPr>
        <w:tc>
          <w:tcPr>
            <w:tcW w:w="517" w:type="dxa"/>
            <w:tcBorders>
              <w:top w:val="single" w:sz="4" w:space="0" w:color="auto"/>
              <w:left w:val="single" w:sz="4" w:space="0" w:color="auto"/>
              <w:bottom w:val="single" w:sz="4" w:space="0" w:color="auto"/>
              <w:right w:val="single" w:sz="4" w:space="0" w:color="auto"/>
            </w:tcBorders>
            <w:hideMark/>
          </w:tcPr>
          <w:p w14:paraId="0882B708" w14:textId="77777777" w:rsidR="00473589" w:rsidRPr="004E13E9" w:rsidRDefault="00473589" w:rsidP="00E62E84">
            <w:pPr>
              <w:jc w:val="center"/>
              <w:rPr>
                <w:rFonts w:ascii="Cambria" w:eastAsiaTheme="minorEastAsia" w:hAnsi="Cambria"/>
                <w:color w:val="auto"/>
                <w:sz w:val="20"/>
                <w:szCs w:val="20"/>
                <w:lang w:eastAsia="ko-KR"/>
              </w:rPr>
            </w:pPr>
            <w:r w:rsidRPr="004E13E9">
              <w:rPr>
                <w:rFonts w:ascii="Cambria" w:eastAsiaTheme="minorEastAsia" w:hAnsi="Cambria"/>
                <w:color w:val="auto"/>
                <w:sz w:val="20"/>
                <w:szCs w:val="20"/>
                <w:lang w:eastAsia="ko-KR"/>
              </w:rPr>
              <w:t>2</w:t>
            </w:r>
          </w:p>
        </w:tc>
        <w:tc>
          <w:tcPr>
            <w:tcW w:w="2001" w:type="dxa"/>
            <w:tcBorders>
              <w:top w:val="single" w:sz="4" w:space="0" w:color="auto"/>
              <w:left w:val="single" w:sz="4" w:space="0" w:color="auto"/>
              <w:bottom w:val="single" w:sz="4" w:space="0" w:color="auto"/>
              <w:right w:val="single" w:sz="4" w:space="0" w:color="auto"/>
            </w:tcBorders>
            <w:hideMark/>
          </w:tcPr>
          <w:p w14:paraId="19B46E92" w14:textId="77777777" w:rsidR="00473589" w:rsidRPr="004E13E9" w:rsidRDefault="00473589" w:rsidP="00E62E84">
            <w:pPr>
              <w:jc w:val="center"/>
              <w:rPr>
                <w:rFonts w:ascii="Cambria" w:eastAsiaTheme="minorEastAsia" w:hAnsi="Cambria"/>
                <w:color w:val="auto"/>
                <w:sz w:val="20"/>
                <w:szCs w:val="20"/>
                <w:lang w:eastAsia="ko-KR"/>
              </w:rPr>
            </w:pPr>
            <w:r w:rsidRPr="004E13E9">
              <w:rPr>
                <w:rFonts w:ascii="Cambria" w:eastAsiaTheme="minorEastAsia" w:hAnsi="Cambria"/>
                <w:color w:val="auto"/>
                <w:sz w:val="20"/>
                <w:szCs w:val="20"/>
                <w:lang w:eastAsia="ko-KR"/>
              </w:rPr>
              <w:t>Sénégal</w:t>
            </w:r>
          </w:p>
        </w:tc>
        <w:tc>
          <w:tcPr>
            <w:tcW w:w="2097" w:type="dxa"/>
            <w:tcBorders>
              <w:top w:val="single" w:sz="4" w:space="0" w:color="auto"/>
              <w:left w:val="single" w:sz="4" w:space="0" w:color="auto"/>
              <w:bottom w:val="single" w:sz="4" w:space="0" w:color="auto"/>
              <w:right w:val="single" w:sz="4" w:space="0" w:color="auto"/>
            </w:tcBorders>
            <w:hideMark/>
          </w:tcPr>
          <w:p w14:paraId="3A02A783" w14:textId="77777777" w:rsidR="00473589" w:rsidRPr="004E13E9" w:rsidRDefault="00473589" w:rsidP="00E62E84">
            <w:pPr>
              <w:jc w:val="center"/>
              <w:rPr>
                <w:rFonts w:ascii="Cambria" w:eastAsiaTheme="minorEastAsia" w:hAnsi="Cambria"/>
                <w:color w:val="auto"/>
                <w:sz w:val="20"/>
                <w:szCs w:val="20"/>
                <w:lang w:eastAsia="ko-KR"/>
              </w:rPr>
            </w:pPr>
            <w:r w:rsidRPr="004E13E9">
              <w:rPr>
                <w:rFonts w:ascii="Cambria" w:eastAsiaTheme="minorEastAsia" w:hAnsi="Cambria"/>
                <w:color w:val="auto"/>
                <w:sz w:val="20"/>
                <w:szCs w:val="20"/>
                <w:lang w:eastAsia="ko-KR"/>
              </w:rPr>
              <w:t>Dakar</w:t>
            </w:r>
          </w:p>
        </w:tc>
      </w:tr>
      <w:tr w:rsidR="00473589" w:rsidRPr="004E13E9" w14:paraId="0BBE4601" w14:textId="77777777" w:rsidTr="00E62E84">
        <w:trPr>
          <w:trHeight w:val="187"/>
          <w:jc w:val="center"/>
        </w:trPr>
        <w:tc>
          <w:tcPr>
            <w:tcW w:w="517" w:type="dxa"/>
            <w:tcBorders>
              <w:top w:val="single" w:sz="4" w:space="0" w:color="auto"/>
              <w:left w:val="single" w:sz="4" w:space="0" w:color="auto"/>
              <w:bottom w:val="single" w:sz="4" w:space="0" w:color="auto"/>
              <w:right w:val="single" w:sz="4" w:space="0" w:color="auto"/>
            </w:tcBorders>
            <w:hideMark/>
          </w:tcPr>
          <w:p w14:paraId="6304D633" w14:textId="77777777" w:rsidR="00473589" w:rsidRPr="004E13E9" w:rsidRDefault="00473589" w:rsidP="00E62E84">
            <w:pPr>
              <w:jc w:val="center"/>
              <w:rPr>
                <w:rFonts w:ascii="Cambria" w:eastAsiaTheme="minorEastAsia" w:hAnsi="Cambria"/>
                <w:color w:val="auto"/>
                <w:sz w:val="20"/>
                <w:szCs w:val="20"/>
                <w:lang w:eastAsia="ko-KR"/>
              </w:rPr>
            </w:pPr>
            <w:r w:rsidRPr="004E13E9">
              <w:rPr>
                <w:rFonts w:ascii="Cambria" w:eastAsiaTheme="minorEastAsia" w:hAnsi="Cambria"/>
                <w:color w:val="auto"/>
                <w:sz w:val="20"/>
                <w:szCs w:val="20"/>
                <w:lang w:eastAsia="ko-KR"/>
              </w:rPr>
              <w:t>3</w:t>
            </w:r>
          </w:p>
        </w:tc>
        <w:tc>
          <w:tcPr>
            <w:tcW w:w="2001" w:type="dxa"/>
            <w:tcBorders>
              <w:top w:val="single" w:sz="4" w:space="0" w:color="auto"/>
              <w:left w:val="single" w:sz="4" w:space="0" w:color="auto"/>
              <w:bottom w:val="single" w:sz="4" w:space="0" w:color="auto"/>
              <w:right w:val="single" w:sz="4" w:space="0" w:color="auto"/>
            </w:tcBorders>
            <w:hideMark/>
          </w:tcPr>
          <w:p w14:paraId="4B9A4EA6" w14:textId="77777777" w:rsidR="00473589" w:rsidRPr="004E13E9" w:rsidRDefault="00473589" w:rsidP="00E62E84">
            <w:pPr>
              <w:jc w:val="center"/>
              <w:rPr>
                <w:rFonts w:ascii="Cambria" w:eastAsiaTheme="minorEastAsia" w:hAnsi="Cambria"/>
                <w:color w:val="auto"/>
                <w:sz w:val="20"/>
                <w:szCs w:val="20"/>
                <w:lang w:eastAsia="ko-KR"/>
              </w:rPr>
            </w:pPr>
            <w:r w:rsidRPr="004E13E9">
              <w:rPr>
                <w:rFonts w:ascii="Cambria" w:eastAsiaTheme="minorEastAsia" w:hAnsi="Cambria"/>
                <w:color w:val="auto"/>
                <w:sz w:val="20"/>
                <w:szCs w:val="20"/>
                <w:lang w:eastAsia="ko-KR"/>
              </w:rPr>
              <w:t>Cabo Verde</w:t>
            </w:r>
          </w:p>
        </w:tc>
        <w:tc>
          <w:tcPr>
            <w:tcW w:w="2097" w:type="dxa"/>
            <w:tcBorders>
              <w:top w:val="single" w:sz="4" w:space="0" w:color="auto"/>
              <w:left w:val="single" w:sz="4" w:space="0" w:color="auto"/>
              <w:bottom w:val="single" w:sz="4" w:space="0" w:color="auto"/>
              <w:right w:val="single" w:sz="4" w:space="0" w:color="auto"/>
            </w:tcBorders>
            <w:hideMark/>
          </w:tcPr>
          <w:p w14:paraId="79C81443" w14:textId="77777777" w:rsidR="00473589" w:rsidRPr="004E13E9" w:rsidRDefault="00473589" w:rsidP="00E62E84">
            <w:pPr>
              <w:jc w:val="center"/>
              <w:rPr>
                <w:rFonts w:ascii="Cambria" w:eastAsiaTheme="minorEastAsia" w:hAnsi="Cambria"/>
                <w:color w:val="auto"/>
                <w:sz w:val="20"/>
                <w:szCs w:val="20"/>
                <w:lang w:eastAsia="ko-KR"/>
              </w:rPr>
            </w:pPr>
            <w:proofErr w:type="spellStart"/>
            <w:r w:rsidRPr="004E13E9">
              <w:rPr>
                <w:rFonts w:ascii="Cambria" w:eastAsiaTheme="minorEastAsia" w:hAnsi="Cambria"/>
                <w:color w:val="auto"/>
                <w:sz w:val="20"/>
                <w:szCs w:val="20"/>
                <w:lang w:eastAsia="ko-KR"/>
              </w:rPr>
              <w:t>Mindelo</w:t>
            </w:r>
            <w:proofErr w:type="spellEnd"/>
          </w:p>
        </w:tc>
      </w:tr>
      <w:tr w:rsidR="00473589" w:rsidRPr="004E13E9" w14:paraId="76D8C350" w14:textId="77777777" w:rsidTr="00E62E84">
        <w:trPr>
          <w:trHeight w:val="91"/>
          <w:jc w:val="center"/>
        </w:trPr>
        <w:tc>
          <w:tcPr>
            <w:tcW w:w="517" w:type="dxa"/>
            <w:tcBorders>
              <w:top w:val="single" w:sz="4" w:space="0" w:color="auto"/>
              <w:left w:val="single" w:sz="4" w:space="0" w:color="auto"/>
              <w:bottom w:val="single" w:sz="4" w:space="0" w:color="auto"/>
              <w:right w:val="single" w:sz="4" w:space="0" w:color="auto"/>
            </w:tcBorders>
            <w:hideMark/>
          </w:tcPr>
          <w:p w14:paraId="1D904AFD" w14:textId="77777777" w:rsidR="00473589" w:rsidRPr="004E13E9" w:rsidRDefault="00473589" w:rsidP="00E62E84">
            <w:pPr>
              <w:jc w:val="center"/>
              <w:rPr>
                <w:rFonts w:ascii="Cambria" w:eastAsiaTheme="minorEastAsia" w:hAnsi="Cambria"/>
                <w:color w:val="auto"/>
                <w:sz w:val="20"/>
                <w:szCs w:val="20"/>
                <w:lang w:eastAsia="ko-KR"/>
              </w:rPr>
            </w:pPr>
            <w:r w:rsidRPr="004E13E9">
              <w:rPr>
                <w:rFonts w:ascii="Cambria" w:eastAsiaTheme="minorEastAsia" w:hAnsi="Cambria"/>
                <w:color w:val="auto"/>
                <w:sz w:val="20"/>
                <w:szCs w:val="20"/>
                <w:lang w:eastAsia="ko-KR"/>
              </w:rPr>
              <w:t>4</w:t>
            </w:r>
          </w:p>
        </w:tc>
        <w:tc>
          <w:tcPr>
            <w:tcW w:w="2001" w:type="dxa"/>
            <w:tcBorders>
              <w:top w:val="single" w:sz="4" w:space="0" w:color="auto"/>
              <w:left w:val="single" w:sz="4" w:space="0" w:color="auto"/>
              <w:bottom w:val="single" w:sz="4" w:space="0" w:color="auto"/>
              <w:right w:val="single" w:sz="4" w:space="0" w:color="auto"/>
            </w:tcBorders>
            <w:hideMark/>
          </w:tcPr>
          <w:p w14:paraId="43998F59" w14:textId="77777777" w:rsidR="00473589" w:rsidRPr="004E13E9" w:rsidRDefault="00473589" w:rsidP="00E62E84">
            <w:pPr>
              <w:jc w:val="center"/>
              <w:rPr>
                <w:rFonts w:ascii="Cambria" w:eastAsiaTheme="minorEastAsia" w:hAnsi="Cambria"/>
                <w:color w:val="auto"/>
                <w:sz w:val="20"/>
                <w:szCs w:val="20"/>
                <w:lang w:eastAsia="ko-KR"/>
              </w:rPr>
            </w:pPr>
            <w:r w:rsidRPr="004E13E9">
              <w:rPr>
                <w:rFonts w:ascii="Cambria" w:eastAsiaTheme="minorEastAsia" w:hAnsi="Cambria"/>
                <w:color w:val="auto"/>
                <w:sz w:val="20"/>
                <w:szCs w:val="20"/>
                <w:lang w:eastAsia="ko-KR"/>
              </w:rPr>
              <w:t>Japon</w:t>
            </w:r>
          </w:p>
        </w:tc>
        <w:tc>
          <w:tcPr>
            <w:tcW w:w="2097" w:type="dxa"/>
            <w:tcBorders>
              <w:top w:val="single" w:sz="4" w:space="0" w:color="auto"/>
              <w:left w:val="single" w:sz="4" w:space="0" w:color="auto"/>
              <w:bottom w:val="single" w:sz="4" w:space="0" w:color="auto"/>
              <w:right w:val="single" w:sz="4" w:space="0" w:color="auto"/>
            </w:tcBorders>
            <w:hideMark/>
          </w:tcPr>
          <w:p w14:paraId="751D0F16" w14:textId="77777777" w:rsidR="00473589" w:rsidRPr="004E13E9" w:rsidRDefault="00473589" w:rsidP="00E62E84">
            <w:pPr>
              <w:jc w:val="center"/>
              <w:rPr>
                <w:rFonts w:ascii="Cambria" w:eastAsiaTheme="minorEastAsia" w:hAnsi="Cambria"/>
                <w:color w:val="auto"/>
                <w:sz w:val="20"/>
                <w:szCs w:val="20"/>
                <w:lang w:eastAsia="ko-KR"/>
              </w:rPr>
            </w:pPr>
            <w:r w:rsidRPr="004E13E9">
              <w:rPr>
                <w:rFonts w:ascii="Cambria" w:eastAsiaTheme="minorEastAsia" w:hAnsi="Cambria"/>
                <w:color w:val="auto"/>
                <w:sz w:val="20"/>
                <w:szCs w:val="20"/>
                <w:lang w:eastAsia="ko-KR"/>
              </w:rPr>
              <w:t>Shimizu</w:t>
            </w:r>
          </w:p>
        </w:tc>
      </w:tr>
    </w:tbl>
    <w:p w14:paraId="74C9CBDF" w14:textId="77777777" w:rsidR="00473589" w:rsidRPr="004E13E9" w:rsidRDefault="00473589" w:rsidP="00473589">
      <w:pPr>
        <w:widowControl w:val="0"/>
        <w:rPr>
          <w:rFonts w:eastAsia="MS Gothic" w:cs="Times New Roman"/>
          <w:lang w:eastAsia="fr-FR" w:bidi="fr-FR"/>
        </w:rPr>
      </w:pPr>
    </w:p>
    <w:p w14:paraId="7C9F14EE" w14:textId="77777777" w:rsidR="00473589" w:rsidRPr="004E13E9" w:rsidRDefault="00473589" w:rsidP="00473589">
      <w:pPr>
        <w:widowControl w:val="0"/>
        <w:rPr>
          <w:rFonts w:eastAsia="MS Gothic" w:cs="Times New Roman"/>
          <w:lang w:eastAsia="fr-FR" w:bidi="fr-FR"/>
        </w:rPr>
      </w:pPr>
      <w:proofErr w:type="spellStart"/>
      <w:r w:rsidRPr="004E13E9">
        <w:rPr>
          <w:rFonts w:eastAsia="MS Gothic" w:cs="Times New Roman"/>
          <w:lang w:eastAsia="fr-FR" w:bidi="fr-FR"/>
        </w:rPr>
        <w:t>Liste</w:t>
      </w:r>
      <w:proofErr w:type="spellEnd"/>
      <w:r w:rsidRPr="004E13E9">
        <w:rPr>
          <w:rFonts w:eastAsia="MS Gothic" w:cs="Times New Roman"/>
          <w:lang w:eastAsia="fr-FR" w:bidi="fr-FR"/>
        </w:rPr>
        <w:t xml:space="preserve"> des ports </w:t>
      </w:r>
      <w:proofErr w:type="spellStart"/>
      <w:proofErr w:type="gramStart"/>
      <w:r w:rsidRPr="004E13E9">
        <w:rPr>
          <w:rFonts w:eastAsia="MS Gothic" w:cs="Times New Roman"/>
          <w:lang w:eastAsia="fr-FR" w:bidi="fr-FR"/>
        </w:rPr>
        <w:t>nationaux</w:t>
      </w:r>
      <w:proofErr w:type="spellEnd"/>
      <w:r w:rsidRPr="004E13E9">
        <w:rPr>
          <w:rFonts w:eastAsia="MS Gothic" w:cs="Times New Roman"/>
          <w:lang w:eastAsia="fr-FR" w:bidi="fr-FR"/>
        </w:rPr>
        <w:t> :</w:t>
      </w:r>
      <w:proofErr w:type="gramEnd"/>
    </w:p>
    <w:p w14:paraId="7DF2F674" w14:textId="77777777" w:rsidR="00473589" w:rsidRPr="004E13E9" w:rsidRDefault="00473589" w:rsidP="00473589">
      <w:pPr>
        <w:widowControl w:val="0"/>
        <w:rPr>
          <w:rFonts w:eastAsia="MS Gothic" w:cs="Times New Roman"/>
          <w:lang w:eastAsia="fr-FR" w:bidi="fr-FR"/>
        </w:rPr>
      </w:pPr>
    </w:p>
    <w:tbl>
      <w:tblPr>
        <w:tblStyle w:val="TableGrid"/>
        <w:tblW w:w="0" w:type="auto"/>
        <w:jc w:val="center"/>
        <w:tblLook w:val="04A0" w:firstRow="1" w:lastRow="0" w:firstColumn="1" w:lastColumn="0" w:noHBand="0" w:noVBand="1"/>
      </w:tblPr>
      <w:tblGrid>
        <w:gridCol w:w="2169"/>
        <w:gridCol w:w="2169"/>
        <w:gridCol w:w="2169"/>
        <w:gridCol w:w="2169"/>
      </w:tblGrid>
      <w:tr w:rsidR="00473589" w:rsidRPr="004E13E9" w14:paraId="21D2801F" w14:textId="77777777" w:rsidTr="00E62E84">
        <w:trPr>
          <w:trHeight w:val="245"/>
          <w:jc w:val="center"/>
        </w:trPr>
        <w:tc>
          <w:tcPr>
            <w:tcW w:w="2169" w:type="dxa"/>
          </w:tcPr>
          <w:p w14:paraId="6CE5B40D"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eastAsia="Malgun Gothic" w:hAnsi="Cambria"/>
                <w:bCs/>
                <w:color w:val="auto"/>
                <w:sz w:val="20"/>
                <w:szCs w:val="20"/>
                <w:lang w:eastAsia="ko-KR"/>
              </w:rPr>
              <w:t>Boryeong</w:t>
            </w:r>
            <w:proofErr w:type="spellEnd"/>
          </w:p>
        </w:tc>
        <w:tc>
          <w:tcPr>
            <w:tcW w:w="2169" w:type="dxa"/>
          </w:tcPr>
          <w:p w14:paraId="433956ED" w14:textId="77777777" w:rsidR="00473589" w:rsidRPr="004E13E9" w:rsidRDefault="00473589" w:rsidP="00E62E84">
            <w:pPr>
              <w:rPr>
                <w:rFonts w:ascii="Cambria" w:eastAsia="Malgun Gothic" w:hAnsi="Cambria"/>
                <w:bCs/>
                <w:color w:val="auto"/>
                <w:sz w:val="20"/>
                <w:szCs w:val="20"/>
                <w:lang w:eastAsia="ko-KR"/>
              </w:rPr>
            </w:pPr>
            <w:r w:rsidRPr="004E13E9">
              <w:rPr>
                <w:rFonts w:ascii="Cambria" w:eastAsia="Malgun Gothic" w:hAnsi="Cambria"/>
                <w:bCs/>
                <w:color w:val="auto"/>
                <w:sz w:val="20"/>
                <w:szCs w:val="20"/>
                <w:lang w:eastAsia="ko-KR"/>
              </w:rPr>
              <w:t>Hadong</w:t>
            </w:r>
          </w:p>
        </w:tc>
        <w:tc>
          <w:tcPr>
            <w:tcW w:w="2169" w:type="dxa"/>
          </w:tcPr>
          <w:p w14:paraId="09C893D9" w14:textId="77777777" w:rsidR="00473589" w:rsidRPr="004E13E9" w:rsidRDefault="00473589" w:rsidP="00E62E84">
            <w:pPr>
              <w:rPr>
                <w:rFonts w:ascii="Cambria" w:eastAsia="Malgun Gothic" w:hAnsi="Cambria"/>
                <w:bCs/>
                <w:color w:val="auto"/>
                <w:sz w:val="20"/>
                <w:szCs w:val="20"/>
                <w:lang w:eastAsia="ko-KR"/>
              </w:rPr>
            </w:pPr>
            <w:r w:rsidRPr="004E13E9">
              <w:rPr>
                <w:rFonts w:ascii="Cambria" w:eastAsia="Malgun Gothic" w:hAnsi="Cambria"/>
                <w:bCs/>
                <w:color w:val="auto"/>
                <w:sz w:val="20"/>
                <w:szCs w:val="20"/>
                <w:lang w:eastAsia="ko-KR"/>
              </w:rPr>
              <w:t>Mokpo</w:t>
            </w:r>
          </w:p>
        </w:tc>
        <w:tc>
          <w:tcPr>
            <w:tcW w:w="2169" w:type="dxa"/>
          </w:tcPr>
          <w:p w14:paraId="6EDCA5D3" w14:textId="77777777" w:rsidR="00473589" w:rsidRPr="004E13E9" w:rsidRDefault="00473589" w:rsidP="00E62E84">
            <w:pPr>
              <w:rPr>
                <w:rFonts w:ascii="Cambria" w:eastAsia="Malgun Gothic" w:hAnsi="Cambria"/>
                <w:bCs/>
                <w:color w:val="auto"/>
                <w:sz w:val="20"/>
                <w:szCs w:val="20"/>
                <w:lang w:eastAsia="ko-KR"/>
              </w:rPr>
            </w:pPr>
            <w:r w:rsidRPr="004E13E9">
              <w:rPr>
                <w:rFonts w:ascii="Cambria" w:eastAsia="Malgun Gothic" w:hAnsi="Cambria"/>
                <w:bCs/>
                <w:color w:val="auto"/>
                <w:sz w:val="20"/>
                <w:szCs w:val="20"/>
                <w:lang w:eastAsia="ko-KR"/>
              </w:rPr>
              <w:t>Seoul</w:t>
            </w:r>
          </w:p>
        </w:tc>
      </w:tr>
      <w:tr w:rsidR="00473589" w:rsidRPr="004E13E9" w14:paraId="538ACBA3" w14:textId="77777777" w:rsidTr="00E62E84">
        <w:trPr>
          <w:trHeight w:val="256"/>
          <w:jc w:val="center"/>
        </w:trPr>
        <w:tc>
          <w:tcPr>
            <w:tcW w:w="2169" w:type="dxa"/>
          </w:tcPr>
          <w:p w14:paraId="2389F177" w14:textId="77777777" w:rsidR="00473589" w:rsidRPr="004E13E9" w:rsidRDefault="00473589" w:rsidP="00E62E84">
            <w:pPr>
              <w:rPr>
                <w:rFonts w:ascii="Cambria" w:eastAsia="Malgun Gothic" w:hAnsi="Cambria"/>
                <w:bCs/>
                <w:color w:val="auto"/>
                <w:sz w:val="20"/>
                <w:szCs w:val="20"/>
                <w:lang w:eastAsia="ko-KR"/>
              </w:rPr>
            </w:pPr>
            <w:r w:rsidRPr="004E13E9">
              <w:rPr>
                <w:rFonts w:ascii="Cambria" w:eastAsia="Malgun Gothic" w:hAnsi="Cambria"/>
                <w:bCs/>
                <w:color w:val="auto"/>
                <w:sz w:val="20"/>
                <w:szCs w:val="20"/>
                <w:lang w:eastAsia="ko-KR"/>
              </w:rPr>
              <w:t>Busan</w:t>
            </w:r>
          </w:p>
        </w:tc>
        <w:tc>
          <w:tcPr>
            <w:tcW w:w="2169" w:type="dxa"/>
          </w:tcPr>
          <w:p w14:paraId="7E0131A7" w14:textId="77777777" w:rsidR="00473589" w:rsidRPr="004E13E9" w:rsidRDefault="00473589" w:rsidP="00E62E84">
            <w:pPr>
              <w:rPr>
                <w:rFonts w:ascii="Cambria" w:eastAsia="Malgun Gothic" w:hAnsi="Cambria"/>
                <w:bCs/>
                <w:color w:val="auto"/>
                <w:sz w:val="20"/>
                <w:szCs w:val="20"/>
                <w:lang w:eastAsia="ko-KR"/>
              </w:rPr>
            </w:pPr>
            <w:r w:rsidRPr="004E13E9">
              <w:rPr>
                <w:rFonts w:ascii="Cambria" w:eastAsia="Malgun Gothic" w:hAnsi="Cambria"/>
                <w:bCs/>
                <w:color w:val="auto"/>
                <w:sz w:val="20"/>
                <w:szCs w:val="20"/>
                <w:lang w:eastAsia="ko-KR"/>
              </w:rPr>
              <w:t>Hosan</w:t>
            </w:r>
          </w:p>
        </w:tc>
        <w:tc>
          <w:tcPr>
            <w:tcW w:w="2169" w:type="dxa"/>
          </w:tcPr>
          <w:p w14:paraId="0EDAC231"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eastAsia="Malgun Gothic" w:hAnsi="Cambria"/>
                <w:bCs/>
                <w:color w:val="auto"/>
                <w:sz w:val="20"/>
                <w:szCs w:val="20"/>
                <w:lang w:eastAsia="ko-KR"/>
              </w:rPr>
              <w:t>Okgye</w:t>
            </w:r>
            <w:proofErr w:type="spellEnd"/>
          </w:p>
        </w:tc>
        <w:tc>
          <w:tcPr>
            <w:tcW w:w="2169" w:type="dxa"/>
          </w:tcPr>
          <w:p w14:paraId="79588247"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eastAsia="Malgun Gothic" w:hAnsi="Cambria"/>
                <w:bCs/>
                <w:color w:val="auto"/>
                <w:sz w:val="20"/>
                <w:szCs w:val="20"/>
                <w:lang w:eastAsia="ko-KR"/>
              </w:rPr>
              <w:t>Sokcho</w:t>
            </w:r>
            <w:proofErr w:type="spellEnd"/>
          </w:p>
        </w:tc>
      </w:tr>
      <w:tr w:rsidR="00473589" w:rsidRPr="004E13E9" w14:paraId="15A864BE" w14:textId="77777777" w:rsidTr="00E62E84">
        <w:trPr>
          <w:trHeight w:val="245"/>
          <w:jc w:val="center"/>
        </w:trPr>
        <w:tc>
          <w:tcPr>
            <w:tcW w:w="2169" w:type="dxa"/>
          </w:tcPr>
          <w:p w14:paraId="0EB31126"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eastAsia="Malgun Gothic" w:hAnsi="Cambria"/>
                <w:bCs/>
                <w:color w:val="auto"/>
                <w:sz w:val="20"/>
                <w:szCs w:val="20"/>
                <w:lang w:eastAsia="ko-KR"/>
              </w:rPr>
              <w:t>Daesan</w:t>
            </w:r>
            <w:proofErr w:type="spellEnd"/>
          </w:p>
        </w:tc>
        <w:tc>
          <w:tcPr>
            <w:tcW w:w="2169" w:type="dxa"/>
          </w:tcPr>
          <w:p w14:paraId="06A5859F" w14:textId="77777777" w:rsidR="00473589" w:rsidRPr="004E13E9" w:rsidRDefault="00473589" w:rsidP="00E62E84">
            <w:pPr>
              <w:rPr>
                <w:rFonts w:ascii="Cambria" w:eastAsia="Malgun Gothic" w:hAnsi="Cambria"/>
                <w:bCs/>
                <w:color w:val="auto"/>
                <w:sz w:val="20"/>
                <w:szCs w:val="20"/>
                <w:lang w:eastAsia="ko-KR"/>
              </w:rPr>
            </w:pPr>
            <w:r w:rsidRPr="004E13E9">
              <w:rPr>
                <w:rFonts w:ascii="Cambria" w:eastAsia="Malgun Gothic" w:hAnsi="Cambria"/>
                <w:bCs/>
                <w:color w:val="auto"/>
                <w:sz w:val="20"/>
                <w:szCs w:val="20"/>
                <w:lang w:eastAsia="ko-KR"/>
              </w:rPr>
              <w:t>Incheon</w:t>
            </w:r>
          </w:p>
        </w:tc>
        <w:tc>
          <w:tcPr>
            <w:tcW w:w="2169" w:type="dxa"/>
          </w:tcPr>
          <w:p w14:paraId="1703DBB0" w14:textId="77777777" w:rsidR="00473589" w:rsidRPr="004E13E9" w:rsidRDefault="00473589" w:rsidP="00E62E84">
            <w:pPr>
              <w:rPr>
                <w:rFonts w:ascii="Cambria" w:eastAsia="Malgun Gothic" w:hAnsi="Cambria"/>
                <w:bCs/>
                <w:color w:val="auto"/>
                <w:sz w:val="20"/>
                <w:szCs w:val="20"/>
                <w:lang w:eastAsia="ko-KR"/>
              </w:rPr>
            </w:pPr>
            <w:r w:rsidRPr="004E13E9">
              <w:rPr>
                <w:rFonts w:ascii="Cambria" w:eastAsia="Malgun Gothic" w:hAnsi="Cambria"/>
                <w:bCs/>
                <w:color w:val="auto"/>
                <w:sz w:val="20"/>
                <w:szCs w:val="20"/>
                <w:lang w:eastAsia="ko-KR"/>
              </w:rPr>
              <w:t>Okpo</w:t>
            </w:r>
          </w:p>
        </w:tc>
        <w:tc>
          <w:tcPr>
            <w:tcW w:w="2169" w:type="dxa"/>
          </w:tcPr>
          <w:p w14:paraId="0A0FA7E3" w14:textId="77777777" w:rsidR="00473589" w:rsidRPr="004E13E9" w:rsidRDefault="00473589" w:rsidP="00E62E84">
            <w:pPr>
              <w:rPr>
                <w:rFonts w:ascii="Cambria" w:eastAsia="Malgun Gothic" w:hAnsi="Cambria"/>
                <w:bCs/>
                <w:color w:val="auto"/>
                <w:sz w:val="20"/>
                <w:szCs w:val="20"/>
                <w:lang w:eastAsia="ko-KR"/>
              </w:rPr>
            </w:pPr>
            <w:r w:rsidRPr="004E13E9">
              <w:rPr>
                <w:rFonts w:ascii="Cambria" w:eastAsia="Malgun Gothic" w:hAnsi="Cambria"/>
                <w:bCs/>
                <w:color w:val="auto"/>
                <w:sz w:val="20"/>
                <w:szCs w:val="20"/>
                <w:lang w:eastAsia="ko-KR"/>
              </w:rPr>
              <w:t>Taean</w:t>
            </w:r>
          </w:p>
        </w:tc>
      </w:tr>
      <w:tr w:rsidR="00473589" w:rsidRPr="004E13E9" w14:paraId="3B9339C4" w14:textId="77777777" w:rsidTr="00E62E84">
        <w:trPr>
          <w:trHeight w:val="245"/>
          <w:jc w:val="center"/>
        </w:trPr>
        <w:tc>
          <w:tcPr>
            <w:tcW w:w="2169" w:type="dxa"/>
          </w:tcPr>
          <w:p w14:paraId="782D861E"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hAnsi="Cambria"/>
                <w:bCs/>
                <w:color w:val="auto"/>
                <w:sz w:val="20"/>
                <w:szCs w:val="20"/>
                <w:lang w:eastAsia="ja-JP"/>
              </w:rPr>
              <w:t>Donghae·Mukho</w:t>
            </w:r>
            <w:proofErr w:type="spellEnd"/>
          </w:p>
        </w:tc>
        <w:tc>
          <w:tcPr>
            <w:tcW w:w="2169" w:type="dxa"/>
          </w:tcPr>
          <w:p w14:paraId="057F167A"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eastAsia="Malgun Gothic" w:hAnsi="Cambria"/>
                <w:bCs/>
                <w:color w:val="auto"/>
                <w:sz w:val="20"/>
                <w:szCs w:val="20"/>
                <w:lang w:eastAsia="ko-KR"/>
              </w:rPr>
              <w:t>Janghang</w:t>
            </w:r>
            <w:proofErr w:type="spellEnd"/>
          </w:p>
        </w:tc>
        <w:tc>
          <w:tcPr>
            <w:tcW w:w="2169" w:type="dxa"/>
          </w:tcPr>
          <w:p w14:paraId="778DF73F" w14:textId="77777777" w:rsidR="00473589" w:rsidRPr="004E13E9" w:rsidRDefault="00473589" w:rsidP="00E62E84">
            <w:pPr>
              <w:rPr>
                <w:rFonts w:ascii="Cambria" w:eastAsia="Malgun Gothic" w:hAnsi="Cambria"/>
                <w:bCs/>
                <w:color w:val="auto"/>
                <w:sz w:val="20"/>
                <w:szCs w:val="20"/>
                <w:lang w:eastAsia="ko-KR"/>
              </w:rPr>
            </w:pPr>
            <w:r w:rsidRPr="004E13E9">
              <w:rPr>
                <w:rFonts w:ascii="Cambria" w:eastAsia="Malgun Gothic" w:hAnsi="Cambria"/>
                <w:bCs/>
                <w:color w:val="auto"/>
                <w:sz w:val="20"/>
                <w:szCs w:val="20"/>
                <w:lang w:eastAsia="ko-KR"/>
              </w:rPr>
              <w:t>Pohang</w:t>
            </w:r>
          </w:p>
        </w:tc>
        <w:tc>
          <w:tcPr>
            <w:tcW w:w="2169" w:type="dxa"/>
          </w:tcPr>
          <w:p w14:paraId="1C531D2E"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eastAsia="Malgun Gothic" w:hAnsi="Cambria"/>
                <w:bCs/>
                <w:color w:val="auto"/>
                <w:sz w:val="20"/>
                <w:szCs w:val="20"/>
                <w:lang w:eastAsia="ko-KR"/>
              </w:rPr>
              <w:t>Tongyeong</w:t>
            </w:r>
            <w:proofErr w:type="spellEnd"/>
          </w:p>
        </w:tc>
      </w:tr>
      <w:tr w:rsidR="00473589" w:rsidRPr="004E13E9" w14:paraId="1296A7C2" w14:textId="77777777" w:rsidTr="00E62E84">
        <w:trPr>
          <w:trHeight w:val="256"/>
          <w:jc w:val="center"/>
        </w:trPr>
        <w:tc>
          <w:tcPr>
            <w:tcW w:w="2169" w:type="dxa"/>
          </w:tcPr>
          <w:p w14:paraId="1A1BD5B1"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eastAsia="Malgun Gothic" w:hAnsi="Cambria"/>
                <w:bCs/>
                <w:color w:val="auto"/>
                <w:sz w:val="20"/>
                <w:szCs w:val="20"/>
                <w:lang w:eastAsia="ko-KR"/>
              </w:rPr>
              <w:t>Gohyeon</w:t>
            </w:r>
            <w:proofErr w:type="spellEnd"/>
          </w:p>
        </w:tc>
        <w:tc>
          <w:tcPr>
            <w:tcW w:w="2169" w:type="dxa"/>
          </w:tcPr>
          <w:p w14:paraId="38E1B7B3"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eastAsia="Malgun Gothic" w:hAnsi="Cambria"/>
                <w:bCs/>
                <w:color w:val="auto"/>
                <w:sz w:val="20"/>
                <w:szCs w:val="20"/>
                <w:lang w:eastAsia="ko-KR"/>
              </w:rPr>
              <w:t>Jangseungpo</w:t>
            </w:r>
            <w:proofErr w:type="spellEnd"/>
          </w:p>
        </w:tc>
        <w:tc>
          <w:tcPr>
            <w:tcW w:w="2169" w:type="dxa"/>
          </w:tcPr>
          <w:p w14:paraId="4651240C"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hAnsi="Cambria"/>
                <w:bCs/>
                <w:color w:val="auto"/>
                <w:sz w:val="20"/>
                <w:szCs w:val="20"/>
                <w:lang w:eastAsia="ja-JP"/>
              </w:rPr>
              <w:t>Pyeongtaek·Dangjin</w:t>
            </w:r>
            <w:proofErr w:type="spellEnd"/>
          </w:p>
        </w:tc>
        <w:tc>
          <w:tcPr>
            <w:tcW w:w="2169" w:type="dxa"/>
          </w:tcPr>
          <w:p w14:paraId="31E0A7EB" w14:textId="77777777" w:rsidR="00473589" w:rsidRPr="004E13E9" w:rsidRDefault="00473589" w:rsidP="00E62E84">
            <w:pPr>
              <w:rPr>
                <w:rFonts w:ascii="Cambria" w:eastAsia="Malgun Gothic" w:hAnsi="Cambria"/>
                <w:bCs/>
                <w:color w:val="auto"/>
                <w:sz w:val="20"/>
                <w:szCs w:val="20"/>
                <w:lang w:eastAsia="ko-KR"/>
              </w:rPr>
            </w:pPr>
            <w:r w:rsidRPr="004E13E9">
              <w:rPr>
                <w:rFonts w:ascii="Cambria" w:eastAsia="Malgun Gothic" w:hAnsi="Cambria"/>
                <w:bCs/>
                <w:color w:val="auto"/>
                <w:sz w:val="20"/>
                <w:szCs w:val="20"/>
                <w:lang w:eastAsia="ko-KR"/>
              </w:rPr>
              <w:t>Ulsan</w:t>
            </w:r>
          </w:p>
        </w:tc>
      </w:tr>
      <w:tr w:rsidR="00473589" w:rsidRPr="004E13E9" w14:paraId="32C6818A" w14:textId="77777777" w:rsidTr="00E62E84">
        <w:trPr>
          <w:trHeight w:val="245"/>
          <w:jc w:val="center"/>
        </w:trPr>
        <w:tc>
          <w:tcPr>
            <w:tcW w:w="2169" w:type="dxa"/>
          </w:tcPr>
          <w:p w14:paraId="38AE7899"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eastAsia="Malgun Gothic" w:hAnsi="Cambria"/>
                <w:bCs/>
                <w:color w:val="auto"/>
                <w:sz w:val="20"/>
                <w:szCs w:val="20"/>
                <w:lang w:eastAsia="ko-KR"/>
              </w:rPr>
              <w:t>Gunsan</w:t>
            </w:r>
            <w:proofErr w:type="spellEnd"/>
          </w:p>
        </w:tc>
        <w:tc>
          <w:tcPr>
            <w:tcW w:w="2169" w:type="dxa"/>
          </w:tcPr>
          <w:p w14:paraId="18554520"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eastAsia="Malgun Gothic" w:hAnsi="Cambria"/>
                <w:bCs/>
                <w:color w:val="auto"/>
                <w:sz w:val="20"/>
                <w:szCs w:val="20"/>
                <w:lang w:eastAsia="ko-KR"/>
              </w:rPr>
              <w:t>Jeju</w:t>
            </w:r>
            <w:proofErr w:type="spellEnd"/>
          </w:p>
        </w:tc>
        <w:tc>
          <w:tcPr>
            <w:tcW w:w="2169" w:type="dxa"/>
          </w:tcPr>
          <w:p w14:paraId="1A49914D"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eastAsia="Malgun Gothic" w:hAnsi="Cambria"/>
                <w:bCs/>
                <w:color w:val="auto"/>
                <w:sz w:val="20"/>
                <w:szCs w:val="20"/>
                <w:lang w:eastAsia="ko-KR"/>
              </w:rPr>
              <w:t>Samcheok</w:t>
            </w:r>
            <w:proofErr w:type="spellEnd"/>
          </w:p>
        </w:tc>
        <w:tc>
          <w:tcPr>
            <w:tcW w:w="2169" w:type="dxa"/>
          </w:tcPr>
          <w:p w14:paraId="1358050D" w14:textId="77777777" w:rsidR="00473589" w:rsidRPr="004E13E9" w:rsidRDefault="00473589" w:rsidP="00E62E84">
            <w:pPr>
              <w:rPr>
                <w:rFonts w:ascii="Cambria" w:eastAsia="Malgun Gothic" w:hAnsi="Cambria"/>
                <w:bCs/>
                <w:color w:val="auto"/>
                <w:sz w:val="20"/>
                <w:szCs w:val="20"/>
                <w:lang w:eastAsia="ko-KR"/>
              </w:rPr>
            </w:pPr>
            <w:r w:rsidRPr="004E13E9">
              <w:rPr>
                <w:rFonts w:ascii="Cambria" w:eastAsia="Malgun Gothic" w:hAnsi="Cambria"/>
                <w:bCs/>
                <w:color w:val="auto"/>
                <w:sz w:val="20"/>
                <w:szCs w:val="20"/>
                <w:lang w:eastAsia="ko-KR"/>
              </w:rPr>
              <w:t>Wando</w:t>
            </w:r>
          </w:p>
        </w:tc>
      </w:tr>
      <w:tr w:rsidR="00473589" w:rsidRPr="004E13E9" w14:paraId="1D6BD450" w14:textId="77777777" w:rsidTr="00E62E84">
        <w:trPr>
          <w:trHeight w:val="256"/>
          <w:jc w:val="center"/>
        </w:trPr>
        <w:tc>
          <w:tcPr>
            <w:tcW w:w="2169" w:type="dxa"/>
          </w:tcPr>
          <w:p w14:paraId="04645F5B"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eastAsia="Malgun Gothic" w:hAnsi="Cambria"/>
                <w:bCs/>
                <w:color w:val="auto"/>
                <w:sz w:val="20"/>
                <w:szCs w:val="20"/>
                <w:lang w:eastAsia="ko-KR"/>
              </w:rPr>
              <w:t>Gwangyang</w:t>
            </w:r>
            <w:proofErr w:type="spellEnd"/>
          </w:p>
        </w:tc>
        <w:tc>
          <w:tcPr>
            <w:tcW w:w="2169" w:type="dxa"/>
          </w:tcPr>
          <w:p w14:paraId="19AADFD5" w14:textId="77777777" w:rsidR="00473589" w:rsidRPr="004E13E9" w:rsidRDefault="00473589" w:rsidP="00E62E84">
            <w:pPr>
              <w:rPr>
                <w:rFonts w:ascii="Cambria" w:eastAsia="Malgun Gothic" w:hAnsi="Cambria"/>
                <w:bCs/>
                <w:color w:val="auto"/>
                <w:sz w:val="20"/>
                <w:szCs w:val="20"/>
                <w:lang w:eastAsia="ko-KR"/>
              </w:rPr>
            </w:pPr>
            <w:r w:rsidRPr="004E13E9">
              <w:rPr>
                <w:rFonts w:ascii="Cambria" w:eastAsia="Malgun Gothic" w:hAnsi="Cambria"/>
                <w:bCs/>
                <w:color w:val="auto"/>
                <w:sz w:val="20"/>
                <w:szCs w:val="20"/>
                <w:lang w:eastAsia="ko-KR"/>
              </w:rPr>
              <w:t>Jinhae</w:t>
            </w:r>
          </w:p>
        </w:tc>
        <w:tc>
          <w:tcPr>
            <w:tcW w:w="2169" w:type="dxa"/>
          </w:tcPr>
          <w:p w14:paraId="4B59A394"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eastAsia="Malgun Gothic" w:hAnsi="Cambria"/>
                <w:bCs/>
                <w:color w:val="auto"/>
                <w:sz w:val="20"/>
                <w:szCs w:val="20"/>
                <w:lang w:eastAsia="ko-KR"/>
              </w:rPr>
              <w:t>Samcheonpo</w:t>
            </w:r>
            <w:proofErr w:type="spellEnd"/>
          </w:p>
        </w:tc>
        <w:tc>
          <w:tcPr>
            <w:tcW w:w="2169" w:type="dxa"/>
          </w:tcPr>
          <w:p w14:paraId="48E53D41"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eastAsia="Malgun Gothic" w:hAnsi="Cambria"/>
                <w:bCs/>
                <w:color w:val="auto"/>
                <w:sz w:val="20"/>
                <w:szCs w:val="20"/>
                <w:lang w:eastAsia="ko-KR"/>
              </w:rPr>
              <w:t>Yeosu</w:t>
            </w:r>
            <w:proofErr w:type="spellEnd"/>
          </w:p>
        </w:tc>
      </w:tr>
      <w:tr w:rsidR="00473589" w:rsidRPr="004E13E9" w14:paraId="70287278" w14:textId="77777777" w:rsidTr="00E62E84">
        <w:trPr>
          <w:trHeight w:val="245"/>
          <w:jc w:val="center"/>
        </w:trPr>
        <w:tc>
          <w:tcPr>
            <w:tcW w:w="2169" w:type="dxa"/>
          </w:tcPr>
          <w:p w14:paraId="4CBCB18A"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eastAsia="Malgun Gothic" w:hAnsi="Cambria"/>
                <w:bCs/>
                <w:color w:val="auto"/>
                <w:sz w:val="20"/>
                <w:szCs w:val="20"/>
                <w:lang w:eastAsia="ko-KR"/>
              </w:rPr>
              <w:t>Gyeongin</w:t>
            </w:r>
            <w:proofErr w:type="spellEnd"/>
          </w:p>
        </w:tc>
        <w:tc>
          <w:tcPr>
            <w:tcW w:w="2169" w:type="dxa"/>
          </w:tcPr>
          <w:p w14:paraId="7DF3E8F9" w14:textId="77777777" w:rsidR="00473589" w:rsidRPr="004E13E9" w:rsidRDefault="00473589" w:rsidP="00E62E84">
            <w:pPr>
              <w:rPr>
                <w:rFonts w:ascii="Cambria" w:eastAsia="Malgun Gothic" w:hAnsi="Cambria"/>
                <w:bCs/>
                <w:color w:val="auto"/>
                <w:sz w:val="20"/>
                <w:szCs w:val="20"/>
                <w:lang w:eastAsia="ko-KR"/>
              </w:rPr>
            </w:pPr>
            <w:r w:rsidRPr="004E13E9">
              <w:rPr>
                <w:rFonts w:ascii="Cambria" w:eastAsia="Malgun Gothic" w:hAnsi="Cambria"/>
                <w:bCs/>
                <w:color w:val="auto"/>
                <w:sz w:val="20"/>
                <w:szCs w:val="20"/>
                <w:lang w:eastAsia="ko-KR"/>
              </w:rPr>
              <w:t>Masan</w:t>
            </w:r>
          </w:p>
        </w:tc>
        <w:tc>
          <w:tcPr>
            <w:tcW w:w="2169" w:type="dxa"/>
          </w:tcPr>
          <w:p w14:paraId="113DA39A" w14:textId="77777777" w:rsidR="00473589" w:rsidRPr="004E13E9" w:rsidRDefault="00473589" w:rsidP="00E62E84">
            <w:pPr>
              <w:rPr>
                <w:rFonts w:ascii="Cambria" w:eastAsia="Malgun Gothic" w:hAnsi="Cambria"/>
                <w:bCs/>
                <w:color w:val="auto"/>
                <w:sz w:val="20"/>
                <w:szCs w:val="20"/>
                <w:lang w:eastAsia="ko-KR"/>
              </w:rPr>
            </w:pPr>
            <w:proofErr w:type="spellStart"/>
            <w:r w:rsidRPr="004E13E9">
              <w:rPr>
                <w:rFonts w:ascii="Cambria" w:eastAsia="Malgun Gothic" w:hAnsi="Cambria"/>
                <w:bCs/>
                <w:color w:val="auto"/>
                <w:sz w:val="20"/>
                <w:szCs w:val="20"/>
                <w:lang w:eastAsia="ko-KR"/>
              </w:rPr>
              <w:t>Seogwipo</w:t>
            </w:r>
            <w:proofErr w:type="spellEnd"/>
          </w:p>
        </w:tc>
        <w:tc>
          <w:tcPr>
            <w:tcW w:w="2169" w:type="dxa"/>
          </w:tcPr>
          <w:p w14:paraId="04BA0A43" w14:textId="77777777" w:rsidR="00473589" w:rsidRPr="004E13E9" w:rsidRDefault="00473589" w:rsidP="00E62E84">
            <w:pPr>
              <w:rPr>
                <w:rFonts w:ascii="Cambria" w:eastAsia="Malgun Gothic" w:hAnsi="Cambria"/>
                <w:bCs/>
                <w:color w:val="auto"/>
                <w:sz w:val="20"/>
                <w:szCs w:val="20"/>
                <w:lang w:eastAsia="ko-KR"/>
              </w:rPr>
            </w:pPr>
          </w:p>
        </w:tc>
      </w:tr>
    </w:tbl>
    <w:p w14:paraId="5ABC6665" w14:textId="77777777" w:rsidR="00473589" w:rsidRPr="004E13E9" w:rsidRDefault="00473589" w:rsidP="00487A5C">
      <w:pPr>
        <w:pStyle w:val="ListParagraph"/>
        <w:widowControl w:val="0"/>
        <w:numPr>
          <w:ilvl w:val="0"/>
          <w:numId w:val="35"/>
        </w:numPr>
        <w:spacing w:after="0" w:line="240" w:lineRule="auto"/>
        <w:rPr>
          <w:rFonts w:ascii="Cambria" w:hAnsi="Cambria"/>
          <w:bCs/>
          <w:sz w:val="20"/>
          <w:szCs w:val="20"/>
          <w:lang w:eastAsia="ja-JP"/>
        </w:rPr>
        <w:sectPr w:rsidR="00473589" w:rsidRPr="004E13E9" w:rsidSect="00473589">
          <w:headerReference w:type="default" r:id="rId121"/>
          <w:footerReference w:type="default" r:id="rId122"/>
          <w:headerReference w:type="first" r:id="rId123"/>
          <w:footerReference w:type="first" r:id="rId124"/>
          <w:pgSz w:w="11906" w:h="16838" w:code="9"/>
          <w:pgMar w:top="1418" w:right="1418" w:bottom="1361" w:left="1418" w:header="851" w:footer="1134" w:gutter="0"/>
          <w:cols w:space="708"/>
          <w:docGrid w:linePitch="360"/>
        </w:sectPr>
      </w:pPr>
    </w:p>
    <w:p w14:paraId="08B113D3" w14:textId="77777777" w:rsidR="00473589" w:rsidRPr="004E13E9" w:rsidRDefault="00473589" w:rsidP="00473589">
      <w:pPr>
        <w:widowControl w:val="0"/>
        <w:rPr>
          <w:rFonts w:eastAsia="MS Gothic" w:cs="Times New Roman"/>
          <w:lang w:eastAsia="fr-FR" w:bidi="fr-FR"/>
        </w:rPr>
        <w:sectPr w:rsidR="00473589" w:rsidRPr="004E13E9" w:rsidSect="00473589">
          <w:type w:val="continuous"/>
          <w:pgSz w:w="11906" w:h="16838" w:code="9"/>
          <w:pgMar w:top="1418" w:right="1418" w:bottom="1361" w:left="1418" w:header="851" w:footer="1134" w:gutter="0"/>
          <w:cols w:num="2" w:space="708"/>
          <w:docGrid w:linePitch="360"/>
        </w:sectPr>
      </w:pPr>
    </w:p>
    <w:p w14:paraId="0C52450C" w14:textId="77777777" w:rsidR="00473589" w:rsidRPr="004E13E9" w:rsidRDefault="00473589" w:rsidP="00473589">
      <w:pPr>
        <w:widowControl w:val="0"/>
        <w:rPr>
          <w:rFonts w:eastAsia="MS Gothic" w:cs="Times New Roman"/>
          <w:lang w:eastAsia="fr-FR" w:bidi="fr-FR"/>
        </w:rPr>
      </w:pPr>
    </w:p>
    <w:p w14:paraId="4B2F8419" w14:textId="77777777" w:rsidR="00473589" w:rsidRPr="004E13E9" w:rsidRDefault="00473589" w:rsidP="00473589">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2.</w:t>
      </w:r>
      <w:r w:rsidRPr="004E13E9">
        <w:rPr>
          <w:rFonts w:eastAsia="MS Gothic" w:cs="Times New Roman"/>
          <w:b/>
          <w:lang w:val="fr-FR" w:eastAsia="fr-FR" w:bidi="fr-FR"/>
        </w:rPr>
        <w:tab/>
        <w:t>Plan annuel de gestion de la capacité de pêche (paragraphes 14-21)</w:t>
      </w:r>
    </w:p>
    <w:p w14:paraId="78EB8965" w14:textId="77777777" w:rsidR="00473589" w:rsidRPr="004E13E9" w:rsidRDefault="00473589" w:rsidP="00473589">
      <w:pPr>
        <w:widowControl w:val="0"/>
        <w:rPr>
          <w:rFonts w:eastAsia="MS Gothic" w:cs="Times New Roman"/>
          <w:b/>
          <w:lang w:val="fr-FR" w:eastAsia="fr-FR" w:bidi="fr-FR"/>
        </w:rPr>
      </w:pPr>
    </w:p>
    <w:p w14:paraId="7F02F17B" w14:textId="77777777" w:rsidR="00473589" w:rsidRPr="004E13E9" w:rsidRDefault="00473589" w:rsidP="00473589">
      <w:pPr>
        <w:widowControl w:val="0"/>
        <w:jc w:val="both"/>
        <w:rPr>
          <w:rFonts w:eastAsia="Malgun Gothic" w:cs="Times New Roman"/>
          <w:b/>
          <w:lang w:val="fr-FR" w:eastAsia="fr-FR" w:bidi="fr-FR"/>
        </w:rPr>
      </w:pPr>
      <w:r w:rsidRPr="004E13E9">
        <w:rPr>
          <w:rFonts w:eastAsia="MS Gothic" w:cs="Times New Roman"/>
          <w:iCs/>
          <w:lang w:val="fr-FR" w:eastAsia="fr-FR" w:bidi="fr-FR"/>
        </w:rPr>
        <w:t>La Corée n’opérera pas plus de six palangriers en 2026 même si le nombre maximum de palangriers (de plus de 40 m) qu’elle peut opérer s’élève à 10 conformément au meilleur taux de capture défini par le SCRS et la capacité correspondante. Veuillez consulter les informations détaillées présentées à la dernière page.</w:t>
      </w:r>
    </w:p>
    <w:p w14:paraId="2EF6FD63" w14:textId="77777777" w:rsidR="00473589" w:rsidRPr="004E13E9" w:rsidRDefault="00473589" w:rsidP="00473589">
      <w:pPr>
        <w:widowControl w:val="0"/>
        <w:jc w:val="both"/>
        <w:rPr>
          <w:rFonts w:eastAsia="MS Gothic" w:cs="Times New Roman"/>
          <w:i/>
          <w:lang w:val="fr-FR" w:eastAsia="ja-JP" w:bidi="fr-FR"/>
        </w:rPr>
      </w:pPr>
    </w:p>
    <w:p w14:paraId="546382A0" w14:textId="77777777" w:rsidR="00473589" w:rsidRPr="004E13E9" w:rsidRDefault="00473589" w:rsidP="00473589">
      <w:pPr>
        <w:widowControl w:val="0"/>
        <w:jc w:val="both"/>
        <w:rPr>
          <w:rFonts w:eastAsia="MS Gothic" w:cs="Times New Roman"/>
          <w:i/>
          <w:lang w:val="fr-FR" w:eastAsia="ja-JP" w:bidi="fr-FR"/>
        </w:rPr>
      </w:pPr>
    </w:p>
    <w:p w14:paraId="08970ECB" w14:textId="77777777" w:rsidR="00473589" w:rsidRPr="004E13E9" w:rsidRDefault="00473589" w:rsidP="00473589">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3.</w:t>
      </w:r>
      <w:r w:rsidRPr="004E13E9">
        <w:rPr>
          <w:rFonts w:eastAsia="MS Gothic" w:cs="Times New Roman"/>
          <w:b/>
          <w:lang w:val="fr-FR" w:eastAsia="fr-FR" w:bidi="fr-FR"/>
        </w:rPr>
        <w:tab/>
        <w:t>Plan annuel de gestion de l’élevage (paragraphes 22 et 23), le cas échéant</w:t>
      </w:r>
    </w:p>
    <w:p w14:paraId="261F2CFB" w14:textId="77777777" w:rsidR="00473589" w:rsidRPr="004E13E9" w:rsidRDefault="00473589" w:rsidP="00473589">
      <w:pPr>
        <w:widowControl w:val="0"/>
        <w:jc w:val="both"/>
        <w:rPr>
          <w:rFonts w:eastAsia="MS Gothic" w:cs="Times New Roman"/>
          <w:b/>
          <w:lang w:val="fr-FR" w:eastAsia="fr-FR" w:bidi="fr-FR"/>
        </w:rPr>
      </w:pPr>
    </w:p>
    <w:p w14:paraId="150D6B9C" w14:textId="77777777" w:rsidR="00473589" w:rsidRPr="004E13E9" w:rsidRDefault="00473589" w:rsidP="00473589">
      <w:pPr>
        <w:widowControl w:val="0"/>
        <w:jc w:val="both"/>
        <w:rPr>
          <w:rFonts w:eastAsia="Malgun Gothic" w:cs="Times New Roman"/>
          <w:lang w:val="fr-FR" w:eastAsia="fr-FR" w:bidi="fr-FR"/>
        </w:rPr>
      </w:pPr>
      <w:r w:rsidRPr="004E13E9">
        <w:rPr>
          <w:rFonts w:eastAsia="MS Gothic" w:cs="Times New Roman"/>
          <w:lang w:val="fr-FR" w:eastAsia="fr-FR" w:bidi="fr-FR"/>
        </w:rPr>
        <w:t>Non applicable. La Corée n'est pas une CPC d’élevage.</w:t>
      </w:r>
    </w:p>
    <w:p w14:paraId="3EE5EBA8" w14:textId="77777777" w:rsidR="00473589" w:rsidRPr="004E13E9" w:rsidRDefault="00473589" w:rsidP="00473589">
      <w:pPr>
        <w:widowControl w:val="0"/>
        <w:rPr>
          <w:rFonts w:eastAsia="MS Gothic" w:cs="Times New Roman"/>
          <w:b/>
          <w:lang w:val="fr-FR" w:eastAsia="ja-JP" w:bidi="fr-FR"/>
        </w:rPr>
      </w:pPr>
    </w:p>
    <w:p w14:paraId="158E5769" w14:textId="77777777" w:rsidR="00473589" w:rsidRPr="004E13E9" w:rsidRDefault="00473589" w:rsidP="00473589">
      <w:pPr>
        <w:widowControl w:val="0"/>
        <w:rPr>
          <w:rFonts w:eastAsia="MS Gothic" w:cs="Times New Roman"/>
          <w:b/>
          <w:lang w:val="fr-FR" w:eastAsia="ja-JP" w:bidi="fr-FR"/>
        </w:rPr>
      </w:pPr>
    </w:p>
    <w:p w14:paraId="10BC26A6" w14:textId="77777777" w:rsidR="00473589" w:rsidRPr="004E13E9" w:rsidRDefault="00473589" w:rsidP="00473589">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4.</w:t>
      </w:r>
      <w:r w:rsidRPr="004E13E9">
        <w:rPr>
          <w:rFonts w:eastAsia="MS Gothic" w:cs="Times New Roman"/>
          <w:b/>
          <w:lang w:val="fr-FR" w:eastAsia="fr-FR" w:bidi="fr-FR"/>
        </w:rPr>
        <w:tab/>
        <w:t xml:space="preserve">Plan annuel d’aquaculture (paragraphe 10 e) de la </w:t>
      </w:r>
      <w:hyperlink r:id="rId125" w:history="1">
        <w:r w:rsidRPr="004E13E9">
          <w:rPr>
            <w:rFonts w:eastAsia="MS Gothic" w:cs="Times New Roman"/>
            <w:b/>
            <w:color w:val="0563C1"/>
            <w:lang w:val="fr-FR" w:eastAsia="fr-FR" w:bidi="fr-FR"/>
          </w:rPr>
          <w:t xml:space="preserve">Rec. 25-04 </w:t>
        </w:r>
      </w:hyperlink>
      <w:r w:rsidRPr="004E13E9">
        <w:rPr>
          <w:rFonts w:eastAsia="MS Gothic" w:cs="Times New Roman"/>
          <w:b/>
          <w:lang w:val="fr-FR" w:eastAsia="fr-FR" w:bidi="fr-FR"/>
        </w:rPr>
        <w:t xml:space="preserve">conformément à la </w:t>
      </w:r>
      <w:hyperlink r:id="rId126" w:history="1">
        <w:r w:rsidRPr="004E13E9">
          <w:rPr>
            <w:rFonts w:eastAsia="MS Gothic" w:cs="Times New Roman"/>
            <w:b/>
            <w:color w:val="0563C1"/>
            <w:lang w:val="fr-FR" w:eastAsia="fr-FR" w:bidi="fr-FR"/>
          </w:rPr>
          <w:t>Rec. 24-07</w:t>
        </w:r>
      </w:hyperlink>
      <w:r w:rsidRPr="004E13E9">
        <w:rPr>
          <w:rFonts w:eastAsia="MS Gothic" w:cs="Times New Roman"/>
          <w:b/>
          <w:lang w:val="fr-FR" w:eastAsia="fr-FR" w:bidi="fr-FR"/>
        </w:rPr>
        <w:t>), le cas échéant</w:t>
      </w:r>
    </w:p>
    <w:p w14:paraId="1D235711" w14:textId="77777777" w:rsidR="00473589" w:rsidRPr="004E13E9" w:rsidRDefault="00473589" w:rsidP="00473589">
      <w:pPr>
        <w:widowControl w:val="0"/>
        <w:rPr>
          <w:rFonts w:eastAsia="MS Gothic" w:cs="Times New Roman"/>
          <w:b/>
          <w:lang w:val="fr-FR" w:eastAsia="ja-JP" w:bidi="fr-FR"/>
        </w:rPr>
      </w:pPr>
    </w:p>
    <w:p w14:paraId="6FCFF9D2" w14:textId="77777777" w:rsidR="00473589" w:rsidRPr="004E13E9" w:rsidRDefault="00473589" w:rsidP="00473589">
      <w:pPr>
        <w:widowControl w:val="0"/>
        <w:jc w:val="both"/>
        <w:rPr>
          <w:rFonts w:eastAsia="Malgun Gothic" w:cs="Times New Roman"/>
          <w:lang w:val="fr-FR" w:eastAsia="fr-FR" w:bidi="fr-FR"/>
        </w:rPr>
      </w:pPr>
      <w:r w:rsidRPr="004E13E9">
        <w:rPr>
          <w:rFonts w:eastAsia="MS Gothic" w:cs="Times New Roman"/>
          <w:lang w:val="fr-FR" w:eastAsia="fr-FR" w:bidi="fr-FR"/>
        </w:rPr>
        <w:t>Non applicable. La Corée n'est pas une CPC d’élevage.</w:t>
      </w:r>
    </w:p>
    <w:p w14:paraId="18AFD48B" w14:textId="77777777" w:rsidR="00473589" w:rsidRPr="004E13E9" w:rsidRDefault="00473589" w:rsidP="00473589">
      <w:pPr>
        <w:widowControl w:val="0"/>
        <w:rPr>
          <w:rFonts w:eastAsia="MS Gothic" w:cs="Times New Roman"/>
          <w:b/>
          <w:lang w:val="fr-FR" w:eastAsia="ja-JP" w:bidi="fr-FR"/>
        </w:rPr>
      </w:pPr>
    </w:p>
    <w:p w14:paraId="4FBC0CF4" w14:textId="18B64A5F" w:rsidR="00473589" w:rsidRPr="004E13E9" w:rsidRDefault="00473589" w:rsidP="00473589">
      <w:pPr>
        <w:rPr>
          <w:rFonts w:eastAsia="MS Gothic" w:cs="Times New Roman"/>
          <w:b/>
          <w:bCs/>
          <w:lang w:val="fr-FR" w:eastAsia="fr-FR" w:bidi="fr-FR"/>
        </w:rPr>
      </w:pPr>
    </w:p>
    <w:p w14:paraId="7C49CF51" w14:textId="77777777" w:rsidR="00473589" w:rsidRPr="004E13E9" w:rsidRDefault="00473589" w:rsidP="00473589">
      <w:pPr>
        <w:widowControl w:val="0"/>
        <w:ind w:left="540" w:hanging="540"/>
        <w:rPr>
          <w:rFonts w:eastAsia="MS Gothic" w:cs="Times New Roman"/>
          <w:b/>
          <w:lang w:val="fr-FR" w:eastAsia="fr-FR" w:bidi="fr-FR"/>
        </w:rPr>
      </w:pPr>
      <w:r w:rsidRPr="004E13E9">
        <w:rPr>
          <w:rFonts w:eastAsia="MS Gothic" w:cs="Times New Roman"/>
          <w:b/>
          <w:bCs/>
          <w:lang w:val="fr-FR" w:eastAsia="fr-FR" w:bidi="fr-FR"/>
        </w:rPr>
        <w:t>5.</w:t>
      </w:r>
      <w:r w:rsidRPr="004E13E9">
        <w:rPr>
          <w:rFonts w:eastAsia="MS Gothic" w:cs="Times New Roman"/>
          <w:b/>
          <w:lang w:val="fr-FR" w:eastAsia="fr-FR" w:bidi="fr-FR"/>
        </w:rPr>
        <w:tab/>
        <w:t>Plan de suivi, contrôle et inspection</w:t>
      </w:r>
    </w:p>
    <w:p w14:paraId="36A35F19" w14:textId="77777777" w:rsidR="00473589" w:rsidRPr="004E13E9" w:rsidRDefault="00473589" w:rsidP="00473589">
      <w:pPr>
        <w:widowControl w:val="0"/>
        <w:rPr>
          <w:rFonts w:eastAsia="MS Gothic" w:cs="Times New Roman"/>
          <w:b/>
          <w:lang w:val="fr-FR" w:eastAsia="fr-FR" w:bidi="fr-FR"/>
        </w:rPr>
      </w:pPr>
    </w:p>
    <w:p w14:paraId="3484018C" w14:textId="77777777" w:rsidR="00473589" w:rsidRPr="004E13E9" w:rsidRDefault="00473589" w:rsidP="00473589">
      <w:pPr>
        <w:widowControl w:val="0"/>
        <w:rPr>
          <w:rFonts w:eastAsia="MS Gothic" w:cs="Times New Roman"/>
          <w:b/>
          <w:i/>
          <w:iCs/>
          <w:lang w:val="fr-FR" w:eastAsia="fr-FR" w:bidi="fr-FR"/>
        </w:rPr>
      </w:pPr>
      <w:r w:rsidRPr="004E13E9">
        <w:rPr>
          <w:rFonts w:eastAsia="MS Gothic" w:cs="Times New Roman"/>
          <w:b/>
          <w:i/>
          <w:iCs/>
          <w:lang w:val="fr-FR" w:eastAsia="fr-FR" w:bidi="fr-FR"/>
        </w:rPr>
        <w:t>5a) Suivi, contrôle et inspection de la CPC (paragraphe 10 c)</w:t>
      </w:r>
    </w:p>
    <w:p w14:paraId="473C2BEE" w14:textId="77777777" w:rsidR="00473589" w:rsidRPr="004E13E9" w:rsidRDefault="00473589" w:rsidP="00473589">
      <w:pPr>
        <w:widowControl w:val="0"/>
        <w:rPr>
          <w:rFonts w:eastAsia="MS Gothic" w:cs="Times New Roman"/>
          <w:b/>
          <w:lang w:val="fr-FR" w:eastAsia="fr-FR" w:bidi="fr-FR"/>
        </w:rPr>
      </w:pPr>
    </w:p>
    <w:p w14:paraId="6A6E1BA8" w14:textId="77777777" w:rsidR="00473589" w:rsidRPr="004E13E9" w:rsidRDefault="00473589" w:rsidP="00473589">
      <w:pPr>
        <w:widowControl w:val="0"/>
        <w:contextualSpacing/>
        <w:jc w:val="both"/>
        <w:rPr>
          <w:rFonts w:eastAsia="MS Gothic"/>
          <w:lang w:val="fr-FR" w:eastAsia="fr-FR" w:bidi="fr-FR"/>
        </w:rPr>
      </w:pPr>
      <w:r w:rsidRPr="004E13E9">
        <w:rPr>
          <w:rFonts w:eastAsia="MS Gothic" w:cs="Times New Roman"/>
          <w:lang w:val="fr-FR" w:eastAsia="fr-FR" w:bidi="fr-FR"/>
        </w:rPr>
        <w:t xml:space="preserve">Les capitaines des navires coréens doivent présenter aux autorités compétentes du port, au moins 4 heures avant l’heure estimée d'arrivée, les informations nécessaires requises en vertu du paragraphe 85. De plus, après chaque sortie, ils doivent soumettre, dans les 48 heures, une déclaration de débarquement aux autorités compétentes de la CPC où les débarquements ont lieu, et au FMC de la Corée. Les navires coréens doivent déclarer tous les jours leurs prises au FMC de la Corée et les activités de transbordement/débarquement doivent également être déclarées, conformément aux dispositions pertinentes de la Loi sur le développement des pêches en eaux lointaines. Le FMC de la Corée analyse toutes les informations pertinentes, dont le registre VMS, et, le MOF ouvre une enquête lorsque des cas suspects sont identifiés par le FMC. Toute infraction ou non-application sera gérée conformément aux dispositions pertinentes de la Loi sur le développement des pêches en eaux lointaines qui régit les pêcheries opérant en eaux lointaines. </w:t>
      </w:r>
      <w:r w:rsidRPr="004E13E9">
        <w:rPr>
          <w:rFonts w:eastAsia="MS Gothic"/>
          <w:lang w:val="fr-FR" w:eastAsia="fr-FR" w:bidi="fr-FR"/>
        </w:rPr>
        <w:t>Au moins 60 % des navires de pêche au thon rouge coréens rentrant dans les ports coréens seront inspectés par le FMC coréen.</w:t>
      </w:r>
    </w:p>
    <w:p w14:paraId="1D27DFD7" w14:textId="77777777" w:rsidR="00473589" w:rsidRPr="004E13E9" w:rsidRDefault="00473589" w:rsidP="00473589">
      <w:pPr>
        <w:widowControl w:val="0"/>
        <w:contextualSpacing/>
        <w:jc w:val="both"/>
        <w:rPr>
          <w:bCs/>
          <w:lang w:val="fr-FR"/>
        </w:rPr>
      </w:pPr>
    </w:p>
    <w:p w14:paraId="1DC2EC7C" w14:textId="77777777" w:rsidR="00473589" w:rsidRPr="004E13E9" w:rsidRDefault="00473589" w:rsidP="00473589">
      <w:pPr>
        <w:contextualSpacing/>
        <w:jc w:val="both"/>
        <w:rPr>
          <w:bCs/>
          <w:lang w:val="fr-FR"/>
        </w:rPr>
      </w:pPr>
      <w:r w:rsidRPr="004E13E9">
        <w:rPr>
          <w:bCs/>
          <w:lang w:val="fr-FR"/>
        </w:rPr>
        <w:t>Les autorités compétentes suivantes en matière de contrôle sont responsables de la mise en œuvre du plan de surveillance, de contrôle et d'inspection :</w:t>
      </w:r>
    </w:p>
    <w:p w14:paraId="59F71F6C" w14:textId="77777777" w:rsidR="00473589" w:rsidRPr="004E13E9" w:rsidRDefault="00473589" w:rsidP="00473589">
      <w:pPr>
        <w:contextualSpacing/>
        <w:jc w:val="both"/>
        <w:rPr>
          <w:bCs/>
          <w:lang w:val="fr-FR"/>
        </w:rPr>
      </w:pPr>
    </w:p>
    <w:p w14:paraId="787D4BEC" w14:textId="77777777" w:rsidR="00473589" w:rsidRPr="004E13E9" w:rsidRDefault="00473589" w:rsidP="00487A5C">
      <w:pPr>
        <w:pStyle w:val="ListParagraph"/>
        <w:numPr>
          <w:ilvl w:val="0"/>
          <w:numId w:val="36"/>
        </w:numPr>
        <w:spacing w:after="0" w:line="240" w:lineRule="auto"/>
        <w:ind w:left="1276" w:hanging="556"/>
        <w:jc w:val="both"/>
        <w:rPr>
          <w:rFonts w:ascii="Cambria" w:hAnsi="Cambria"/>
          <w:bCs/>
          <w:sz w:val="20"/>
          <w:szCs w:val="20"/>
        </w:rPr>
      </w:pPr>
      <w:r w:rsidRPr="004E13E9">
        <w:rPr>
          <w:rFonts w:ascii="Cambria" w:hAnsi="Cambria"/>
          <w:bCs/>
          <w:sz w:val="20"/>
          <w:szCs w:val="20"/>
        </w:rPr>
        <w:t>Central :</w:t>
      </w:r>
      <w:r w:rsidRPr="004E13E9">
        <w:rPr>
          <w:rFonts w:ascii="Cambria" w:hAnsi="Cambria"/>
          <w:b/>
          <w:sz w:val="20"/>
          <w:szCs w:val="20"/>
        </w:rPr>
        <w:t xml:space="preserve"> </w:t>
      </w:r>
      <w:r w:rsidRPr="004E13E9">
        <w:rPr>
          <w:rFonts w:ascii="Cambria" w:hAnsi="Cambria"/>
          <w:bCs/>
          <w:sz w:val="20"/>
          <w:szCs w:val="20"/>
        </w:rPr>
        <w:t>Division de la coopération internationale, ministère des océans et de la pêche</w:t>
      </w:r>
    </w:p>
    <w:p w14:paraId="79D686D4" w14:textId="77777777" w:rsidR="00473589" w:rsidRPr="004E13E9" w:rsidRDefault="00473589" w:rsidP="00473589">
      <w:pPr>
        <w:pStyle w:val="ListParagraph"/>
        <w:ind w:left="1440" w:hanging="164"/>
        <w:rPr>
          <w:rFonts w:ascii="Cambria" w:eastAsia="Malgun Gothic" w:hAnsi="Cambria"/>
          <w:bCs/>
          <w:iCs/>
          <w:sz w:val="20"/>
          <w:szCs w:val="20"/>
          <w:lang w:val="en-US" w:eastAsia="ko-KR"/>
        </w:rPr>
      </w:pPr>
      <w:r w:rsidRPr="004E13E9">
        <w:rPr>
          <w:rFonts w:ascii="Cambria" w:hAnsi="Cambria"/>
          <w:bCs/>
          <w:iCs/>
          <w:sz w:val="20"/>
          <w:szCs w:val="20"/>
          <w:lang w:val="en-US"/>
        </w:rPr>
        <w:t xml:space="preserve">M. </w:t>
      </w:r>
      <w:proofErr w:type="spellStart"/>
      <w:r w:rsidRPr="004E13E9">
        <w:rPr>
          <w:rFonts w:ascii="Cambria" w:hAnsi="Cambria"/>
          <w:bCs/>
          <w:iCs/>
          <w:sz w:val="20"/>
          <w:szCs w:val="20"/>
          <w:lang w:val="en-US"/>
        </w:rPr>
        <w:t>Royun</w:t>
      </w:r>
      <w:proofErr w:type="spellEnd"/>
      <w:r w:rsidRPr="004E13E9">
        <w:rPr>
          <w:rFonts w:ascii="Cambria" w:hAnsi="Cambria"/>
          <w:bCs/>
          <w:iCs/>
          <w:sz w:val="20"/>
          <w:szCs w:val="20"/>
          <w:lang w:val="en-US"/>
        </w:rPr>
        <w:t xml:space="preserve"> Kim / 100ro@korea.kr / (+82) 51-773-5467</w:t>
      </w:r>
    </w:p>
    <w:p w14:paraId="35FF7B03" w14:textId="77777777" w:rsidR="00473589" w:rsidRPr="004E13E9" w:rsidRDefault="00473589" w:rsidP="00473589">
      <w:pPr>
        <w:pStyle w:val="ListParagraph"/>
        <w:spacing w:after="0" w:line="240" w:lineRule="auto"/>
        <w:ind w:left="1276"/>
        <w:jc w:val="both"/>
        <w:rPr>
          <w:rFonts w:ascii="Cambria" w:hAnsi="Cambria"/>
          <w:bCs/>
          <w:sz w:val="20"/>
          <w:szCs w:val="20"/>
          <w:lang w:val="en-US"/>
        </w:rPr>
      </w:pPr>
    </w:p>
    <w:p w14:paraId="251EEFA5" w14:textId="77777777" w:rsidR="00473589" w:rsidRPr="004E13E9" w:rsidRDefault="00473589" w:rsidP="00487A5C">
      <w:pPr>
        <w:pStyle w:val="ListParagraph"/>
        <w:numPr>
          <w:ilvl w:val="0"/>
          <w:numId w:val="36"/>
        </w:numPr>
        <w:spacing w:after="0" w:line="240" w:lineRule="auto"/>
        <w:ind w:left="1276" w:hanging="556"/>
        <w:jc w:val="both"/>
        <w:rPr>
          <w:rFonts w:ascii="Cambria" w:hAnsi="Cambria"/>
          <w:bCs/>
          <w:sz w:val="20"/>
          <w:szCs w:val="20"/>
        </w:rPr>
      </w:pPr>
      <w:r w:rsidRPr="004E13E9">
        <w:rPr>
          <w:rFonts w:ascii="Cambria" w:hAnsi="Cambria"/>
          <w:bCs/>
          <w:sz w:val="20"/>
          <w:szCs w:val="20"/>
        </w:rPr>
        <w:t>Surveillance:</w:t>
      </w:r>
      <w:r w:rsidRPr="004E13E9">
        <w:rPr>
          <w:rFonts w:ascii="Cambria" w:hAnsi="Cambria"/>
          <w:b/>
          <w:sz w:val="20"/>
          <w:szCs w:val="20"/>
        </w:rPr>
        <w:t xml:space="preserve"> </w:t>
      </w:r>
      <w:r w:rsidRPr="004E13E9">
        <w:rPr>
          <w:rFonts w:ascii="Cambria" w:hAnsi="Cambria"/>
          <w:bCs/>
          <w:sz w:val="20"/>
          <w:szCs w:val="20"/>
        </w:rPr>
        <w:t>Centre de surveillance des pêches (FMC) de Corée</w:t>
      </w:r>
    </w:p>
    <w:p w14:paraId="2EDC4058" w14:textId="77777777" w:rsidR="00473589" w:rsidRPr="004E13E9" w:rsidRDefault="00473589" w:rsidP="00473589">
      <w:pPr>
        <w:pStyle w:val="ListParagraph"/>
        <w:spacing w:after="0" w:line="240" w:lineRule="auto"/>
        <w:ind w:left="1276"/>
        <w:jc w:val="both"/>
        <w:rPr>
          <w:rFonts w:ascii="Cambria" w:hAnsi="Cambria"/>
          <w:bCs/>
          <w:sz w:val="20"/>
          <w:szCs w:val="20"/>
        </w:rPr>
      </w:pPr>
      <w:r w:rsidRPr="004E13E9">
        <w:rPr>
          <w:rFonts w:ascii="Cambria" w:hAnsi="Cambria"/>
          <w:bCs/>
          <w:sz w:val="20"/>
          <w:szCs w:val="20"/>
        </w:rPr>
        <w:t xml:space="preserve">Équipe chargée de la surveillance / </w:t>
      </w:r>
      <w:hyperlink r:id="rId127" w:history="1">
        <w:r w:rsidRPr="004E13E9">
          <w:rPr>
            <w:rStyle w:val="Hyperlink"/>
            <w:rFonts w:ascii="Cambria" w:eastAsia="Malgun Gothic" w:hAnsi="Cambria"/>
            <w:sz w:val="20"/>
            <w:szCs w:val="20"/>
            <w:u w:val="none"/>
            <w:lang w:eastAsia="ko-KR"/>
          </w:rPr>
          <w:t>fmc2014@korea.kr</w:t>
        </w:r>
      </w:hyperlink>
      <w:r w:rsidRPr="004E13E9">
        <w:rPr>
          <w:rFonts w:ascii="Cambria" w:eastAsia="Malgun Gothic" w:hAnsi="Cambria"/>
          <w:sz w:val="20"/>
          <w:szCs w:val="20"/>
          <w:lang w:eastAsia="ko-KR"/>
        </w:rPr>
        <w:t xml:space="preserve"> </w:t>
      </w:r>
      <w:r w:rsidRPr="004E13E9">
        <w:rPr>
          <w:rFonts w:ascii="Cambria" w:hAnsi="Cambria"/>
          <w:bCs/>
          <w:sz w:val="20"/>
          <w:szCs w:val="20"/>
        </w:rPr>
        <w:t>/ (+82) 51-410-1405</w:t>
      </w:r>
    </w:p>
    <w:p w14:paraId="529D3AAC" w14:textId="77777777" w:rsidR="00473589" w:rsidRPr="004E13E9" w:rsidRDefault="00473589" w:rsidP="00473589">
      <w:pPr>
        <w:pStyle w:val="ListParagraph"/>
        <w:spacing w:after="0" w:line="240" w:lineRule="auto"/>
        <w:ind w:left="1276"/>
        <w:jc w:val="both"/>
        <w:rPr>
          <w:rFonts w:ascii="Cambria" w:hAnsi="Cambria"/>
          <w:bCs/>
          <w:sz w:val="20"/>
          <w:szCs w:val="20"/>
        </w:rPr>
      </w:pPr>
    </w:p>
    <w:p w14:paraId="74E0B5FE" w14:textId="77777777" w:rsidR="00473589" w:rsidRPr="004E13E9" w:rsidRDefault="00473589" w:rsidP="00487A5C">
      <w:pPr>
        <w:pStyle w:val="ListParagraph"/>
        <w:numPr>
          <w:ilvl w:val="0"/>
          <w:numId w:val="36"/>
        </w:numPr>
        <w:spacing w:after="0" w:line="240" w:lineRule="auto"/>
        <w:ind w:left="1276" w:hanging="556"/>
        <w:jc w:val="both"/>
        <w:rPr>
          <w:rFonts w:ascii="Cambria" w:hAnsi="Cambria"/>
          <w:bCs/>
          <w:sz w:val="20"/>
          <w:szCs w:val="20"/>
        </w:rPr>
      </w:pPr>
      <w:r w:rsidRPr="004E13E9">
        <w:rPr>
          <w:rFonts w:ascii="Cambria" w:hAnsi="Cambria"/>
          <w:bCs/>
          <w:sz w:val="20"/>
          <w:szCs w:val="20"/>
        </w:rPr>
        <w:t>Inspection portuaire</w:t>
      </w:r>
      <w:r w:rsidRPr="004E13E9">
        <w:rPr>
          <w:rFonts w:ascii="Cambria" w:hAnsi="Cambria"/>
          <w:b/>
          <w:sz w:val="20"/>
          <w:szCs w:val="20"/>
        </w:rPr>
        <w:t xml:space="preserve"> </w:t>
      </w:r>
      <w:r w:rsidRPr="004E13E9">
        <w:rPr>
          <w:rFonts w:ascii="Cambria" w:hAnsi="Cambria"/>
          <w:bCs/>
          <w:sz w:val="20"/>
          <w:szCs w:val="20"/>
        </w:rPr>
        <w:t xml:space="preserve">: </w:t>
      </w:r>
      <w:proofErr w:type="spellStart"/>
      <w:r w:rsidRPr="004E13E9">
        <w:rPr>
          <w:rFonts w:ascii="Cambria" w:hAnsi="Cambria"/>
          <w:bCs/>
          <w:sz w:val="20"/>
          <w:szCs w:val="20"/>
        </w:rPr>
        <w:t>Quarantine</w:t>
      </w:r>
      <w:proofErr w:type="spellEnd"/>
      <w:r w:rsidRPr="004E13E9">
        <w:rPr>
          <w:rFonts w:ascii="Cambria" w:hAnsi="Cambria"/>
          <w:bCs/>
          <w:sz w:val="20"/>
          <w:szCs w:val="20"/>
        </w:rPr>
        <w:t xml:space="preserve"> and Inspection Division, National </w:t>
      </w:r>
      <w:proofErr w:type="spellStart"/>
      <w:r w:rsidRPr="004E13E9">
        <w:rPr>
          <w:rFonts w:ascii="Cambria" w:hAnsi="Cambria"/>
          <w:bCs/>
          <w:sz w:val="20"/>
          <w:szCs w:val="20"/>
        </w:rPr>
        <w:t>Fishery</w:t>
      </w:r>
      <w:proofErr w:type="spellEnd"/>
      <w:r w:rsidRPr="004E13E9">
        <w:rPr>
          <w:rFonts w:ascii="Cambria" w:hAnsi="Cambria"/>
          <w:bCs/>
          <w:sz w:val="20"/>
          <w:szCs w:val="20"/>
        </w:rPr>
        <w:t xml:space="preserve"> </w:t>
      </w:r>
      <w:proofErr w:type="spellStart"/>
      <w:r w:rsidRPr="004E13E9">
        <w:rPr>
          <w:rFonts w:ascii="Cambria" w:hAnsi="Cambria"/>
          <w:bCs/>
          <w:sz w:val="20"/>
          <w:szCs w:val="20"/>
        </w:rPr>
        <w:t>Products</w:t>
      </w:r>
      <w:proofErr w:type="spellEnd"/>
      <w:r w:rsidRPr="004E13E9">
        <w:rPr>
          <w:rFonts w:ascii="Cambria" w:hAnsi="Cambria"/>
          <w:bCs/>
          <w:sz w:val="20"/>
          <w:szCs w:val="20"/>
        </w:rPr>
        <w:t xml:space="preserve"> </w:t>
      </w:r>
      <w:proofErr w:type="spellStart"/>
      <w:r w:rsidRPr="004E13E9">
        <w:rPr>
          <w:rFonts w:ascii="Cambria" w:hAnsi="Cambria"/>
          <w:bCs/>
          <w:sz w:val="20"/>
          <w:szCs w:val="20"/>
        </w:rPr>
        <w:t>Quality</w:t>
      </w:r>
      <w:proofErr w:type="spellEnd"/>
      <w:r w:rsidRPr="004E13E9">
        <w:rPr>
          <w:rFonts w:ascii="Cambria" w:hAnsi="Cambria"/>
          <w:bCs/>
          <w:sz w:val="20"/>
          <w:szCs w:val="20"/>
        </w:rPr>
        <w:t xml:space="preserve"> Management Service (Division de la quarantaine et de l'inspection, Service national de gestion de la qualité des produits de la pêche)</w:t>
      </w:r>
    </w:p>
    <w:p w14:paraId="6BB2C57C" w14:textId="77777777" w:rsidR="00473589" w:rsidRPr="004E13E9" w:rsidRDefault="00473589" w:rsidP="00473589">
      <w:pPr>
        <w:pStyle w:val="ListParagraph"/>
        <w:spacing w:after="0" w:line="240" w:lineRule="auto"/>
        <w:ind w:left="1276"/>
        <w:jc w:val="both"/>
        <w:rPr>
          <w:rFonts w:ascii="Cambria" w:hAnsi="Cambria"/>
          <w:bCs/>
          <w:sz w:val="20"/>
          <w:szCs w:val="20"/>
        </w:rPr>
      </w:pPr>
      <w:r w:rsidRPr="004E13E9">
        <w:rPr>
          <w:rFonts w:ascii="Cambria" w:hAnsi="Cambria"/>
          <w:bCs/>
          <w:sz w:val="20"/>
          <w:szCs w:val="20"/>
        </w:rPr>
        <w:t xml:space="preserve">Mme Minkyung Kim / </w:t>
      </w:r>
      <w:hyperlink r:id="rId128" w:history="1">
        <w:r w:rsidRPr="004E13E9">
          <w:rPr>
            <w:rStyle w:val="Hyperlink"/>
            <w:rFonts w:ascii="Cambria" w:eastAsia="Malgun Gothic" w:hAnsi="Cambria"/>
            <w:sz w:val="20"/>
            <w:szCs w:val="20"/>
            <w:u w:val="none"/>
            <w:lang w:eastAsia="ko-KR"/>
          </w:rPr>
          <w:t>kyung91206@korea.kr</w:t>
        </w:r>
      </w:hyperlink>
      <w:r w:rsidRPr="004E13E9">
        <w:rPr>
          <w:rFonts w:ascii="Cambria" w:hAnsi="Cambria"/>
          <w:bCs/>
          <w:sz w:val="20"/>
          <w:szCs w:val="20"/>
        </w:rPr>
        <w:t xml:space="preserve"> / (+82) 51- 400-5741</w:t>
      </w:r>
    </w:p>
    <w:p w14:paraId="444F1BC2" w14:textId="77777777" w:rsidR="00473589" w:rsidRPr="004E13E9" w:rsidRDefault="00473589" w:rsidP="00473589">
      <w:pPr>
        <w:contextualSpacing/>
        <w:jc w:val="both"/>
        <w:rPr>
          <w:b/>
          <w:i/>
          <w:iCs/>
          <w:lang w:val="fr-FR"/>
        </w:rPr>
      </w:pPr>
    </w:p>
    <w:p w14:paraId="29E8C91B" w14:textId="77777777" w:rsidR="00473589" w:rsidRPr="004E13E9" w:rsidRDefault="00473589" w:rsidP="00473589">
      <w:pPr>
        <w:widowControl w:val="0"/>
        <w:ind w:left="426" w:hanging="426"/>
        <w:jc w:val="both"/>
        <w:rPr>
          <w:rFonts w:eastAsia="MS Gothic" w:cs="Times New Roman"/>
          <w:b/>
          <w:i/>
          <w:iCs/>
          <w:lang w:val="fr-FR" w:eastAsia="fr-FR" w:bidi="fr-FR"/>
        </w:rPr>
      </w:pPr>
      <w:r w:rsidRPr="004E13E9">
        <w:rPr>
          <w:rFonts w:eastAsia="MS Gothic" w:cs="Times New Roman"/>
          <w:b/>
          <w:i/>
          <w:iCs/>
          <w:lang w:val="fr-FR" w:eastAsia="fr-FR" w:bidi="fr-FR"/>
        </w:rPr>
        <w:t>5b) Programme d’inspection internationale conjointe (JIS) (paragraphes 232-235)</w:t>
      </w:r>
    </w:p>
    <w:p w14:paraId="6277CC4D" w14:textId="77777777" w:rsidR="00473589" w:rsidRPr="004E13E9" w:rsidRDefault="00473589" w:rsidP="00473589">
      <w:pPr>
        <w:widowControl w:val="0"/>
        <w:rPr>
          <w:rFonts w:eastAsia="MS Gothic" w:cs="Times New Roman"/>
          <w:b/>
          <w:lang w:val="fr-FR" w:eastAsia="fr-FR" w:bidi="fr-FR"/>
        </w:rPr>
      </w:pPr>
    </w:p>
    <w:p w14:paraId="28E5885B" w14:textId="77777777" w:rsidR="00473589" w:rsidRPr="004E13E9" w:rsidRDefault="00473589" w:rsidP="00473589">
      <w:pPr>
        <w:widowControl w:val="0"/>
        <w:jc w:val="both"/>
        <w:rPr>
          <w:rFonts w:eastAsia="Malgun Gothic" w:cs="Times New Roman"/>
          <w:lang w:val="fr-FR" w:eastAsia="fr-FR" w:bidi="fr-FR"/>
        </w:rPr>
      </w:pPr>
      <w:r w:rsidRPr="004E13E9">
        <w:rPr>
          <w:rFonts w:eastAsia="MS Gothic" w:cs="Times New Roman"/>
          <w:lang w:val="fr-FR" w:eastAsia="fr-FR" w:bidi="fr-FR"/>
        </w:rPr>
        <w:t>La Corée n’a pas l’intention de déployer de navire d’inspection dans la zone de la Convention de l’ICCAT en 2026 aux fins de l’inspection internationale conjointe, mais les navires de pêche coréens coopéreront pleinement aux activités d'arraisonnement et d'inspection.</w:t>
      </w:r>
    </w:p>
    <w:p w14:paraId="08ACD17F" w14:textId="77777777" w:rsidR="00473589" w:rsidRPr="004E13E9" w:rsidRDefault="00473589" w:rsidP="00473589">
      <w:pPr>
        <w:widowControl w:val="0"/>
        <w:jc w:val="both"/>
        <w:rPr>
          <w:rFonts w:eastAsia="MS Gothic" w:cs="Times New Roman"/>
          <w:i/>
          <w:lang w:val="fr-FR" w:eastAsia="fr-FR" w:bidi="fr-FR"/>
        </w:rPr>
      </w:pPr>
    </w:p>
    <w:p w14:paraId="68ED9EB8" w14:textId="77777777" w:rsidR="00473589" w:rsidRPr="004E13E9" w:rsidRDefault="00473589" w:rsidP="00473589">
      <w:pPr>
        <w:widowControl w:val="0"/>
        <w:jc w:val="both"/>
        <w:rPr>
          <w:rFonts w:eastAsia="MS Gothic" w:cs="Times New Roman"/>
          <w:i/>
          <w:lang w:val="fr-FR" w:eastAsia="fr-FR" w:bidi="fr-FR"/>
        </w:rPr>
      </w:pPr>
    </w:p>
    <w:p w14:paraId="7EEEF1C6" w14:textId="77777777" w:rsidR="00473589" w:rsidRPr="004E13E9" w:rsidRDefault="00473589" w:rsidP="00473589">
      <w:pPr>
        <w:ind w:left="426" w:hanging="426"/>
        <w:rPr>
          <w:b/>
          <w:lang w:val="fr-FR"/>
        </w:rPr>
      </w:pPr>
      <w:r w:rsidRPr="004E13E9">
        <w:rPr>
          <w:b/>
          <w:lang w:val="fr-FR"/>
        </w:rPr>
        <w:t>6.</w:t>
      </w:r>
      <w:r w:rsidRPr="004E13E9">
        <w:rPr>
          <w:b/>
          <w:lang w:val="fr-FR"/>
        </w:rPr>
        <w:tab/>
        <w:t>Autres</w:t>
      </w:r>
    </w:p>
    <w:p w14:paraId="2FBE3F94" w14:textId="77777777" w:rsidR="00473589" w:rsidRPr="004E13E9" w:rsidRDefault="00473589" w:rsidP="00473589">
      <w:pPr>
        <w:widowControl w:val="0"/>
        <w:jc w:val="both"/>
        <w:rPr>
          <w:rFonts w:eastAsia="MS Gothic" w:cs="Times New Roman"/>
          <w:iCs/>
          <w:lang w:val="fr-FR" w:eastAsia="fr-FR" w:bidi="fr-FR"/>
        </w:rPr>
      </w:pPr>
      <w:r w:rsidRPr="004E13E9">
        <w:rPr>
          <w:rFonts w:eastAsia="MS Gothic" w:cs="Times New Roman"/>
          <w:iCs/>
          <w:lang w:val="fr-FR" w:eastAsia="fr-FR" w:bidi="fr-FR"/>
        </w:rPr>
        <w:t>Néant.</w:t>
      </w:r>
    </w:p>
    <w:p w14:paraId="3099D3FA" w14:textId="77777777" w:rsidR="00473589" w:rsidRPr="004E13E9" w:rsidRDefault="00473589" w:rsidP="00473589">
      <w:pPr>
        <w:rPr>
          <w:b/>
          <w:bCs/>
          <w:lang w:val="fr-FR"/>
        </w:rPr>
      </w:pPr>
    </w:p>
    <w:p w14:paraId="1865F50A" w14:textId="77777777" w:rsidR="00473589" w:rsidRPr="004E13E9" w:rsidRDefault="00473589" w:rsidP="00473589">
      <w:pPr>
        <w:rPr>
          <w:b/>
          <w:bCs/>
          <w:lang w:val="fr-FR"/>
        </w:rPr>
        <w:sectPr w:rsidR="00473589" w:rsidRPr="004E13E9" w:rsidSect="00473589">
          <w:type w:val="continuous"/>
          <w:pgSz w:w="11906" w:h="16838" w:code="9"/>
          <w:pgMar w:top="1418" w:right="1418" w:bottom="1361" w:left="1418" w:header="851" w:footer="1134" w:gutter="0"/>
          <w:cols w:space="708"/>
          <w:docGrid w:linePitch="360"/>
        </w:sectPr>
      </w:pPr>
    </w:p>
    <w:p w14:paraId="1A764498" w14:textId="77777777" w:rsidR="00473589" w:rsidRPr="004E13E9" w:rsidRDefault="00473589" w:rsidP="00473589">
      <w:pPr>
        <w:rPr>
          <w:rFonts w:eastAsia="MS Gothic" w:cs="Times New Roman"/>
          <w:b/>
          <w:bCs/>
          <w:iCs/>
          <w:lang w:val="fr-FR" w:eastAsia="fr-FR" w:bidi="fr-FR"/>
        </w:rPr>
      </w:pPr>
      <w:r w:rsidRPr="004E13E9">
        <w:rPr>
          <w:rFonts w:eastAsia="MS Gothic" w:cs="Times New Roman"/>
          <w:b/>
          <w:bCs/>
          <w:iCs/>
          <w:lang w:val="fr-FR" w:eastAsia="fr-FR" w:bidi="fr-FR"/>
        </w:rPr>
        <w:t>Tableau sur la capacité</w:t>
      </w:r>
    </w:p>
    <w:tbl>
      <w:tblPr>
        <w:tblW w:w="1559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1134"/>
        <w:gridCol w:w="739"/>
        <w:gridCol w:w="820"/>
        <w:gridCol w:w="709"/>
        <w:gridCol w:w="709"/>
        <w:gridCol w:w="708"/>
        <w:gridCol w:w="709"/>
        <w:gridCol w:w="709"/>
        <w:gridCol w:w="283"/>
        <w:gridCol w:w="709"/>
        <w:gridCol w:w="709"/>
        <w:gridCol w:w="850"/>
        <w:gridCol w:w="851"/>
        <w:gridCol w:w="850"/>
        <w:gridCol w:w="1276"/>
        <w:gridCol w:w="992"/>
      </w:tblGrid>
      <w:tr w:rsidR="00473589" w:rsidRPr="004E13E9" w14:paraId="3FEAA58E" w14:textId="77777777" w:rsidTr="00E62E84">
        <w:trPr>
          <w:trHeight w:val="20"/>
        </w:trPr>
        <w:tc>
          <w:tcPr>
            <w:tcW w:w="2836" w:type="dxa"/>
            <w:noWrap/>
            <w:vAlign w:val="center"/>
            <w:hideMark/>
          </w:tcPr>
          <w:p w14:paraId="46324B64" w14:textId="77777777" w:rsidR="00473589" w:rsidRPr="004E13E9" w:rsidRDefault="00473589" w:rsidP="00E62E84">
            <w:pPr>
              <w:widowControl w:val="0"/>
              <w:jc w:val="center"/>
              <w:rPr>
                <w:rFonts w:eastAsia="Times New Roman" w:cs="Calibri"/>
                <w:i/>
                <w:iCs/>
                <w:color w:val="000000"/>
                <w:sz w:val="16"/>
                <w:szCs w:val="16"/>
                <w:lang w:eastAsia="fr-FR" w:bidi="fr-FR"/>
              </w:rPr>
            </w:pPr>
            <w:r w:rsidRPr="004E13E9">
              <w:rPr>
                <w:rFonts w:eastAsia="MS Gothic" w:cs="Times New Roman"/>
                <w:i/>
                <w:color w:val="000000"/>
                <w:sz w:val="16"/>
                <w:szCs w:val="16"/>
                <w:lang w:eastAsia="fr-FR" w:bidi="fr-FR"/>
              </w:rPr>
              <w:t xml:space="preserve">Type de </w:t>
            </w:r>
            <w:proofErr w:type="spellStart"/>
            <w:r w:rsidRPr="004E13E9">
              <w:rPr>
                <w:rFonts w:eastAsia="MS Gothic" w:cs="Times New Roman"/>
                <w:i/>
                <w:color w:val="000000"/>
                <w:sz w:val="16"/>
                <w:szCs w:val="16"/>
                <w:lang w:eastAsia="fr-FR" w:bidi="fr-FR"/>
              </w:rPr>
              <w:t>navires</w:t>
            </w:r>
            <w:proofErr w:type="spellEnd"/>
            <w:r w:rsidRPr="004E13E9">
              <w:rPr>
                <w:rFonts w:eastAsia="MS Gothic" w:cs="Times New Roman"/>
                <w:i/>
                <w:color w:val="000000"/>
                <w:sz w:val="16"/>
                <w:szCs w:val="16"/>
                <w:lang w:eastAsia="fr-FR" w:bidi="fr-FR"/>
              </w:rPr>
              <w:t xml:space="preserve"> </w:t>
            </w:r>
            <w:proofErr w:type="spellStart"/>
            <w:r w:rsidRPr="004E13E9">
              <w:rPr>
                <w:rFonts w:eastAsia="MS Gothic" w:cs="Times New Roman"/>
                <w:i/>
                <w:color w:val="000000"/>
                <w:sz w:val="16"/>
                <w:szCs w:val="16"/>
                <w:lang w:eastAsia="fr-FR" w:bidi="fr-FR"/>
              </w:rPr>
              <w:t>thoniers</w:t>
            </w:r>
            <w:proofErr w:type="spellEnd"/>
          </w:p>
        </w:tc>
        <w:tc>
          <w:tcPr>
            <w:tcW w:w="1134" w:type="dxa"/>
            <w:noWrap/>
            <w:vAlign w:val="center"/>
            <w:hideMark/>
          </w:tcPr>
          <w:p w14:paraId="128322CF"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268" w:type="dxa"/>
            <w:gridSpan w:val="3"/>
          </w:tcPr>
          <w:p w14:paraId="4BDB0CC1" w14:textId="77777777" w:rsidR="00473589" w:rsidRPr="004E13E9" w:rsidRDefault="00473589" w:rsidP="00E62E84">
            <w:pPr>
              <w:widowControl w:val="0"/>
              <w:jc w:val="center"/>
              <w:rPr>
                <w:rFonts w:eastAsia="Times New Roman" w:cs="Calibri"/>
                <w:i/>
                <w:iCs/>
                <w:color w:val="000000"/>
                <w:sz w:val="16"/>
                <w:szCs w:val="16"/>
                <w:lang w:eastAsia="fr-FR" w:bidi="fr-FR"/>
              </w:rPr>
            </w:pPr>
            <w:r w:rsidRPr="004E13E9">
              <w:rPr>
                <w:rFonts w:eastAsia="MS Gothic" w:cs="Times New Roman"/>
                <w:i/>
                <w:color w:val="000000"/>
                <w:sz w:val="16"/>
                <w:szCs w:val="16"/>
                <w:lang w:eastAsia="fr-FR" w:bidi="fr-FR"/>
              </w:rPr>
              <w:t xml:space="preserve">Année de </w:t>
            </w:r>
            <w:proofErr w:type="spellStart"/>
            <w:r w:rsidRPr="004E13E9">
              <w:rPr>
                <w:rFonts w:eastAsia="MS Gothic" w:cs="Times New Roman"/>
                <w:i/>
                <w:color w:val="000000"/>
                <w:sz w:val="16"/>
                <w:szCs w:val="16"/>
                <w:lang w:eastAsia="fr-FR" w:bidi="fr-FR"/>
              </w:rPr>
              <w:t>réf</w:t>
            </w:r>
            <w:proofErr w:type="spellEnd"/>
            <w:r w:rsidRPr="004E13E9">
              <w:rPr>
                <w:rFonts w:eastAsia="MS Gothic" w:cs="Times New Roman"/>
                <w:i/>
                <w:color w:val="000000"/>
                <w:sz w:val="16"/>
                <w:szCs w:val="16"/>
                <w:lang w:eastAsia="fr-FR" w:bidi="fr-FR"/>
              </w:rPr>
              <w:t>.</w:t>
            </w:r>
          </w:p>
        </w:tc>
        <w:tc>
          <w:tcPr>
            <w:tcW w:w="2835" w:type="dxa"/>
            <w:gridSpan w:val="4"/>
            <w:vAlign w:val="center"/>
          </w:tcPr>
          <w:p w14:paraId="2D8532BD" w14:textId="77777777" w:rsidR="00473589" w:rsidRPr="004E13E9" w:rsidRDefault="00473589" w:rsidP="00E62E84">
            <w:pPr>
              <w:widowControl w:val="0"/>
              <w:jc w:val="center"/>
              <w:rPr>
                <w:rFonts w:eastAsia="Times New Roman" w:cs="Times New Roman"/>
                <w:color w:val="000000"/>
                <w:sz w:val="16"/>
                <w:szCs w:val="16"/>
                <w:lang w:eastAsia="fr-FR" w:bidi="fr-FR"/>
              </w:rPr>
            </w:pPr>
            <w:r w:rsidRPr="004E13E9">
              <w:rPr>
                <w:rFonts w:eastAsia="MS Gothic" w:cs="Times New Roman"/>
                <w:i/>
                <w:color w:val="000000"/>
                <w:sz w:val="16"/>
                <w:szCs w:val="16"/>
                <w:lang w:eastAsia="fr-FR" w:bidi="fr-FR"/>
              </w:rPr>
              <w:t xml:space="preserve">Nombre de </w:t>
            </w:r>
            <w:proofErr w:type="spellStart"/>
            <w:r w:rsidRPr="004E13E9">
              <w:rPr>
                <w:rFonts w:eastAsia="MS Gothic" w:cs="Times New Roman"/>
                <w:i/>
                <w:color w:val="000000"/>
                <w:sz w:val="16"/>
                <w:szCs w:val="16"/>
                <w:lang w:eastAsia="fr-FR" w:bidi="fr-FR"/>
              </w:rPr>
              <w:t>navires</w:t>
            </w:r>
            <w:proofErr w:type="spellEnd"/>
          </w:p>
        </w:tc>
        <w:tc>
          <w:tcPr>
            <w:tcW w:w="283" w:type="dxa"/>
            <w:shd w:val="clear" w:color="auto" w:fill="D9D9D9"/>
            <w:vAlign w:val="center"/>
            <w:hideMark/>
          </w:tcPr>
          <w:p w14:paraId="69F84257" w14:textId="77777777" w:rsidR="00473589" w:rsidRPr="004E13E9" w:rsidRDefault="00473589" w:rsidP="00E62E84">
            <w:pPr>
              <w:widowControl w:val="0"/>
              <w:jc w:val="center"/>
              <w:rPr>
                <w:rFonts w:eastAsia="Times New Roman" w:cs="Times New Roman"/>
                <w:color w:val="000000"/>
                <w:sz w:val="16"/>
                <w:szCs w:val="16"/>
                <w:lang w:eastAsia="ja-JP" w:bidi="fr-FR"/>
              </w:rPr>
            </w:pPr>
          </w:p>
        </w:tc>
        <w:tc>
          <w:tcPr>
            <w:tcW w:w="2268" w:type="dxa"/>
            <w:gridSpan w:val="3"/>
          </w:tcPr>
          <w:p w14:paraId="741600F5" w14:textId="77777777" w:rsidR="00473589" w:rsidRPr="004E13E9" w:rsidRDefault="00473589" w:rsidP="00E62E84">
            <w:pPr>
              <w:widowControl w:val="0"/>
              <w:jc w:val="center"/>
              <w:rPr>
                <w:rFonts w:eastAsia="Times New Roman" w:cs="Calibri"/>
                <w:i/>
                <w:iCs/>
                <w:color w:val="000000"/>
                <w:sz w:val="16"/>
                <w:szCs w:val="16"/>
                <w:lang w:eastAsia="fr-FR" w:bidi="fr-FR"/>
              </w:rPr>
            </w:pPr>
            <w:r w:rsidRPr="004E13E9">
              <w:rPr>
                <w:rFonts w:eastAsia="MS Gothic" w:cs="Times New Roman"/>
                <w:i/>
                <w:color w:val="000000"/>
                <w:sz w:val="16"/>
                <w:szCs w:val="16"/>
                <w:lang w:eastAsia="fr-FR" w:bidi="fr-FR"/>
              </w:rPr>
              <w:t xml:space="preserve">Année de </w:t>
            </w:r>
            <w:proofErr w:type="spellStart"/>
            <w:r w:rsidRPr="004E13E9">
              <w:rPr>
                <w:rFonts w:eastAsia="MS Gothic" w:cs="Times New Roman"/>
                <w:i/>
                <w:color w:val="000000"/>
                <w:sz w:val="16"/>
                <w:szCs w:val="16"/>
                <w:lang w:eastAsia="fr-FR" w:bidi="fr-FR"/>
              </w:rPr>
              <w:t>réf</w:t>
            </w:r>
            <w:proofErr w:type="spellEnd"/>
            <w:r w:rsidRPr="004E13E9">
              <w:rPr>
                <w:rFonts w:eastAsia="MS Gothic" w:cs="Times New Roman"/>
                <w:i/>
                <w:color w:val="000000"/>
                <w:sz w:val="16"/>
                <w:szCs w:val="16"/>
                <w:lang w:eastAsia="fr-FR" w:bidi="fr-FR"/>
              </w:rPr>
              <w:t>.</w:t>
            </w:r>
          </w:p>
        </w:tc>
        <w:tc>
          <w:tcPr>
            <w:tcW w:w="3969" w:type="dxa"/>
            <w:gridSpan w:val="4"/>
          </w:tcPr>
          <w:p w14:paraId="0B2FB2CA" w14:textId="77777777" w:rsidR="00473589" w:rsidRPr="004E13E9" w:rsidRDefault="00473589" w:rsidP="00E62E84">
            <w:pPr>
              <w:widowControl w:val="0"/>
              <w:jc w:val="center"/>
              <w:rPr>
                <w:rFonts w:eastAsia="Times New Roman" w:cs="Calibri"/>
                <w:i/>
                <w:iCs/>
                <w:color w:val="000000"/>
                <w:sz w:val="16"/>
                <w:szCs w:val="16"/>
                <w:lang w:eastAsia="fr-FR" w:bidi="fr-FR"/>
              </w:rPr>
            </w:pPr>
            <w:proofErr w:type="spellStart"/>
            <w:r w:rsidRPr="004E13E9">
              <w:rPr>
                <w:rFonts w:eastAsia="MS Gothic" w:cs="Times New Roman"/>
                <w:i/>
                <w:color w:val="000000"/>
                <w:sz w:val="16"/>
                <w:szCs w:val="16"/>
                <w:lang w:eastAsia="fr-FR" w:bidi="fr-FR"/>
              </w:rPr>
              <w:t>Capacité</w:t>
            </w:r>
            <w:proofErr w:type="spellEnd"/>
            <w:r w:rsidRPr="004E13E9">
              <w:rPr>
                <w:rFonts w:eastAsia="MS Gothic" w:cs="Times New Roman"/>
                <w:i/>
                <w:color w:val="000000"/>
                <w:sz w:val="16"/>
                <w:szCs w:val="16"/>
                <w:lang w:eastAsia="fr-FR" w:bidi="fr-FR"/>
              </w:rPr>
              <w:t xml:space="preserve"> de </w:t>
            </w:r>
            <w:proofErr w:type="spellStart"/>
            <w:r w:rsidRPr="004E13E9">
              <w:rPr>
                <w:rFonts w:eastAsia="MS Gothic" w:cs="Times New Roman"/>
                <w:i/>
                <w:color w:val="000000"/>
                <w:sz w:val="16"/>
                <w:szCs w:val="16"/>
                <w:lang w:eastAsia="fr-FR" w:bidi="fr-FR"/>
              </w:rPr>
              <w:t>pêche</w:t>
            </w:r>
            <w:proofErr w:type="spellEnd"/>
          </w:p>
        </w:tc>
      </w:tr>
      <w:tr w:rsidR="00473589" w:rsidRPr="004E13E9" w14:paraId="734624E1" w14:textId="77777777" w:rsidTr="00E62E84">
        <w:trPr>
          <w:trHeight w:val="20"/>
        </w:trPr>
        <w:tc>
          <w:tcPr>
            <w:tcW w:w="2836" w:type="dxa"/>
            <w:noWrap/>
            <w:vAlign w:val="center"/>
            <w:hideMark/>
          </w:tcPr>
          <w:p w14:paraId="27DE1EF1" w14:textId="77777777" w:rsidR="00473589" w:rsidRPr="004E13E9" w:rsidRDefault="00473589" w:rsidP="00E62E84">
            <w:pPr>
              <w:widowControl w:val="0"/>
              <w:jc w:val="both"/>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Type</w:t>
            </w:r>
          </w:p>
        </w:tc>
        <w:tc>
          <w:tcPr>
            <w:tcW w:w="1134" w:type="dxa"/>
            <w:vAlign w:val="center"/>
            <w:hideMark/>
          </w:tcPr>
          <w:p w14:paraId="0F55BBAD" w14:textId="77777777" w:rsidR="00473589" w:rsidRPr="004E13E9" w:rsidRDefault="00473589" w:rsidP="00E62E84">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Meilleurs taux de capture définis par le SCRS en 2009 (t)</w:t>
            </w:r>
          </w:p>
        </w:tc>
        <w:tc>
          <w:tcPr>
            <w:tcW w:w="739" w:type="dxa"/>
            <w:vAlign w:val="center"/>
          </w:tcPr>
          <w:p w14:paraId="670D9132"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2006</w:t>
            </w:r>
          </w:p>
        </w:tc>
        <w:tc>
          <w:tcPr>
            <w:tcW w:w="820" w:type="dxa"/>
            <w:noWrap/>
            <w:vAlign w:val="center"/>
            <w:hideMark/>
          </w:tcPr>
          <w:p w14:paraId="0E881198"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2008</w:t>
            </w:r>
          </w:p>
        </w:tc>
        <w:tc>
          <w:tcPr>
            <w:tcW w:w="709" w:type="dxa"/>
            <w:vAlign w:val="center"/>
            <w:hideMark/>
          </w:tcPr>
          <w:p w14:paraId="1517B350"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2018</w:t>
            </w:r>
          </w:p>
        </w:tc>
        <w:tc>
          <w:tcPr>
            <w:tcW w:w="709" w:type="dxa"/>
            <w:vAlign w:val="center"/>
            <w:hideMark/>
          </w:tcPr>
          <w:p w14:paraId="4946B54A"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2023</w:t>
            </w:r>
          </w:p>
        </w:tc>
        <w:tc>
          <w:tcPr>
            <w:tcW w:w="708" w:type="dxa"/>
            <w:vAlign w:val="center"/>
            <w:hideMark/>
          </w:tcPr>
          <w:p w14:paraId="38A5BEAF"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2024</w:t>
            </w:r>
          </w:p>
        </w:tc>
        <w:tc>
          <w:tcPr>
            <w:tcW w:w="709" w:type="dxa"/>
            <w:vAlign w:val="center"/>
          </w:tcPr>
          <w:p w14:paraId="49912181"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2025</w:t>
            </w:r>
          </w:p>
        </w:tc>
        <w:tc>
          <w:tcPr>
            <w:tcW w:w="709" w:type="dxa"/>
            <w:vAlign w:val="center"/>
          </w:tcPr>
          <w:p w14:paraId="5FBF3B36"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2026</w:t>
            </w:r>
          </w:p>
        </w:tc>
        <w:tc>
          <w:tcPr>
            <w:tcW w:w="283" w:type="dxa"/>
            <w:shd w:val="clear" w:color="000000" w:fill="D9D9D9"/>
            <w:vAlign w:val="center"/>
            <w:hideMark/>
          </w:tcPr>
          <w:p w14:paraId="464F6F4B"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706D6091"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2006</w:t>
            </w:r>
          </w:p>
        </w:tc>
        <w:tc>
          <w:tcPr>
            <w:tcW w:w="709" w:type="dxa"/>
            <w:vAlign w:val="center"/>
            <w:hideMark/>
          </w:tcPr>
          <w:p w14:paraId="2F1E9017"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2008</w:t>
            </w:r>
          </w:p>
        </w:tc>
        <w:tc>
          <w:tcPr>
            <w:tcW w:w="850" w:type="dxa"/>
            <w:vAlign w:val="center"/>
            <w:hideMark/>
          </w:tcPr>
          <w:p w14:paraId="428A8E1C"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2018</w:t>
            </w:r>
          </w:p>
        </w:tc>
        <w:tc>
          <w:tcPr>
            <w:tcW w:w="851" w:type="dxa"/>
            <w:vAlign w:val="center"/>
            <w:hideMark/>
          </w:tcPr>
          <w:p w14:paraId="587A9426"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2023</w:t>
            </w:r>
          </w:p>
        </w:tc>
        <w:tc>
          <w:tcPr>
            <w:tcW w:w="850" w:type="dxa"/>
            <w:vAlign w:val="center"/>
            <w:hideMark/>
          </w:tcPr>
          <w:p w14:paraId="719256AF"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2024</w:t>
            </w:r>
          </w:p>
        </w:tc>
        <w:tc>
          <w:tcPr>
            <w:tcW w:w="1276" w:type="dxa"/>
            <w:vAlign w:val="center"/>
            <w:hideMark/>
          </w:tcPr>
          <w:p w14:paraId="16147276"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2025</w:t>
            </w:r>
          </w:p>
        </w:tc>
        <w:tc>
          <w:tcPr>
            <w:tcW w:w="992" w:type="dxa"/>
            <w:vAlign w:val="center"/>
          </w:tcPr>
          <w:p w14:paraId="2977C826"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2026</w:t>
            </w:r>
          </w:p>
        </w:tc>
      </w:tr>
      <w:tr w:rsidR="00473589" w:rsidRPr="004E13E9" w14:paraId="17D29B18" w14:textId="77777777" w:rsidTr="00E62E84">
        <w:trPr>
          <w:trHeight w:val="20"/>
        </w:trPr>
        <w:tc>
          <w:tcPr>
            <w:tcW w:w="2836" w:type="dxa"/>
            <w:noWrap/>
            <w:vAlign w:val="center"/>
            <w:hideMark/>
          </w:tcPr>
          <w:p w14:paraId="6501CC17" w14:textId="77777777" w:rsidR="00473589" w:rsidRPr="004E13E9" w:rsidRDefault="00473589" w:rsidP="00E62E84">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Senneur de plus de 40 m</w:t>
            </w:r>
          </w:p>
        </w:tc>
        <w:tc>
          <w:tcPr>
            <w:tcW w:w="1134" w:type="dxa"/>
            <w:noWrap/>
            <w:vAlign w:val="center"/>
            <w:hideMark/>
          </w:tcPr>
          <w:p w14:paraId="10FF6E0B"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70,66</w:t>
            </w:r>
          </w:p>
        </w:tc>
        <w:tc>
          <w:tcPr>
            <w:tcW w:w="739" w:type="dxa"/>
            <w:vAlign w:val="center"/>
          </w:tcPr>
          <w:p w14:paraId="322D4DC0"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20" w:type="dxa"/>
            <w:noWrap/>
            <w:vAlign w:val="center"/>
            <w:hideMark/>
          </w:tcPr>
          <w:p w14:paraId="0F0C899B"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6F07C464"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18061C4D"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8" w:type="dxa"/>
            <w:vAlign w:val="center"/>
            <w:hideMark/>
          </w:tcPr>
          <w:p w14:paraId="3D788612"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53BC410C"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78184166"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83" w:type="dxa"/>
            <w:shd w:val="clear" w:color="000000" w:fill="D9D9D9"/>
            <w:vAlign w:val="center"/>
            <w:hideMark/>
          </w:tcPr>
          <w:p w14:paraId="5591D04D"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55F109B1"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1B0D9E79"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0" w:type="dxa"/>
            <w:vAlign w:val="center"/>
            <w:hideMark/>
          </w:tcPr>
          <w:p w14:paraId="74855342"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1" w:type="dxa"/>
            <w:vAlign w:val="center"/>
            <w:hideMark/>
          </w:tcPr>
          <w:p w14:paraId="39D7F9DF"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0" w:type="dxa"/>
            <w:vAlign w:val="center"/>
            <w:hideMark/>
          </w:tcPr>
          <w:p w14:paraId="2D99B342"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1276" w:type="dxa"/>
            <w:vAlign w:val="center"/>
            <w:hideMark/>
          </w:tcPr>
          <w:p w14:paraId="7C7EBD3F"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992" w:type="dxa"/>
            <w:vAlign w:val="center"/>
          </w:tcPr>
          <w:p w14:paraId="252F04A9" w14:textId="77777777" w:rsidR="00473589" w:rsidRPr="004E13E9" w:rsidRDefault="00473589" w:rsidP="00E62E84">
            <w:pPr>
              <w:widowControl w:val="0"/>
              <w:jc w:val="center"/>
              <w:rPr>
                <w:rFonts w:eastAsia="Times New Roman" w:cs="Calibri"/>
                <w:color w:val="000000"/>
                <w:sz w:val="16"/>
                <w:szCs w:val="16"/>
                <w:lang w:eastAsia="ja-JP" w:bidi="fr-FR"/>
              </w:rPr>
            </w:pPr>
          </w:p>
        </w:tc>
      </w:tr>
      <w:tr w:rsidR="00473589" w:rsidRPr="004E13E9" w14:paraId="056521EE" w14:textId="77777777" w:rsidTr="00E62E84">
        <w:trPr>
          <w:trHeight w:val="20"/>
        </w:trPr>
        <w:tc>
          <w:tcPr>
            <w:tcW w:w="2836" w:type="dxa"/>
            <w:noWrap/>
            <w:vAlign w:val="center"/>
            <w:hideMark/>
          </w:tcPr>
          <w:p w14:paraId="05949714" w14:textId="77777777" w:rsidR="00473589" w:rsidRPr="004E13E9" w:rsidRDefault="00473589" w:rsidP="00E62E84">
            <w:pPr>
              <w:widowControl w:val="0"/>
              <w:jc w:val="both"/>
              <w:rPr>
                <w:rFonts w:eastAsia="Times New Roman" w:cs="Calibri"/>
                <w:color w:val="000000"/>
                <w:sz w:val="16"/>
                <w:szCs w:val="16"/>
                <w:lang w:eastAsia="fr-FR" w:bidi="fr-FR"/>
              </w:rPr>
            </w:pPr>
            <w:proofErr w:type="spellStart"/>
            <w:r w:rsidRPr="004E13E9">
              <w:rPr>
                <w:rFonts w:eastAsia="MS Gothic" w:cs="Times New Roman"/>
                <w:color w:val="000000"/>
                <w:sz w:val="16"/>
                <w:szCs w:val="16"/>
                <w:lang w:eastAsia="fr-FR" w:bidi="fr-FR"/>
              </w:rPr>
              <w:t>Senneur</w:t>
            </w:r>
            <w:proofErr w:type="spellEnd"/>
            <w:r w:rsidRPr="004E13E9">
              <w:rPr>
                <w:rFonts w:eastAsia="MS Gothic" w:cs="Times New Roman"/>
                <w:color w:val="000000"/>
                <w:sz w:val="16"/>
                <w:szCs w:val="16"/>
                <w:lang w:eastAsia="fr-FR" w:bidi="fr-FR"/>
              </w:rPr>
              <w:t xml:space="preserve"> entre 24 et 40 m</w:t>
            </w:r>
          </w:p>
        </w:tc>
        <w:tc>
          <w:tcPr>
            <w:tcW w:w="1134" w:type="dxa"/>
            <w:noWrap/>
            <w:vAlign w:val="center"/>
            <w:hideMark/>
          </w:tcPr>
          <w:p w14:paraId="307485F3"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49,78</w:t>
            </w:r>
          </w:p>
        </w:tc>
        <w:tc>
          <w:tcPr>
            <w:tcW w:w="739" w:type="dxa"/>
            <w:vAlign w:val="center"/>
          </w:tcPr>
          <w:p w14:paraId="01439126"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20" w:type="dxa"/>
            <w:noWrap/>
            <w:vAlign w:val="center"/>
            <w:hideMark/>
          </w:tcPr>
          <w:p w14:paraId="1824186D"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3BC9DB3A"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49EC05F1"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8" w:type="dxa"/>
            <w:vAlign w:val="center"/>
            <w:hideMark/>
          </w:tcPr>
          <w:p w14:paraId="7EACC3D1"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44E11DE4"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0B447C23"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83" w:type="dxa"/>
            <w:shd w:val="clear" w:color="000000" w:fill="D9D9D9"/>
            <w:vAlign w:val="center"/>
            <w:hideMark/>
          </w:tcPr>
          <w:p w14:paraId="5D5B090E"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08773CB9"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6161487E"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0" w:type="dxa"/>
            <w:vAlign w:val="center"/>
            <w:hideMark/>
          </w:tcPr>
          <w:p w14:paraId="6C26E7F5"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1" w:type="dxa"/>
            <w:vAlign w:val="center"/>
            <w:hideMark/>
          </w:tcPr>
          <w:p w14:paraId="2B9D8835"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0" w:type="dxa"/>
            <w:vAlign w:val="center"/>
            <w:hideMark/>
          </w:tcPr>
          <w:p w14:paraId="557F29CD"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1276" w:type="dxa"/>
            <w:vAlign w:val="center"/>
            <w:hideMark/>
          </w:tcPr>
          <w:p w14:paraId="0A73816E"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992" w:type="dxa"/>
            <w:vAlign w:val="center"/>
          </w:tcPr>
          <w:p w14:paraId="0C391847" w14:textId="77777777" w:rsidR="00473589" w:rsidRPr="004E13E9" w:rsidRDefault="00473589" w:rsidP="00E62E84">
            <w:pPr>
              <w:widowControl w:val="0"/>
              <w:jc w:val="center"/>
              <w:rPr>
                <w:rFonts w:eastAsia="Times New Roman" w:cs="Calibri"/>
                <w:color w:val="000000"/>
                <w:sz w:val="16"/>
                <w:szCs w:val="16"/>
                <w:lang w:eastAsia="ja-JP" w:bidi="fr-FR"/>
              </w:rPr>
            </w:pPr>
          </w:p>
        </w:tc>
      </w:tr>
      <w:tr w:rsidR="00473589" w:rsidRPr="004E13E9" w14:paraId="26BD00E6" w14:textId="77777777" w:rsidTr="00E62E84">
        <w:trPr>
          <w:trHeight w:val="20"/>
        </w:trPr>
        <w:tc>
          <w:tcPr>
            <w:tcW w:w="2836" w:type="dxa"/>
            <w:noWrap/>
            <w:vAlign w:val="center"/>
            <w:hideMark/>
          </w:tcPr>
          <w:p w14:paraId="13D35B8A" w14:textId="77777777" w:rsidR="00473589" w:rsidRPr="004E13E9" w:rsidRDefault="00473589" w:rsidP="00E62E84">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Senneur de moins de 24m</w:t>
            </w:r>
          </w:p>
        </w:tc>
        <w:tc>
          <w:tcPr>
            <w:tcW w:w="1134" w:type="dxa"/>
            <w:noWrap/>
            <w:vAlign w:val="center"/>
            <w:hideMark/>
          </w:tcPr>
          <w:p w14:paraId="2E6B79D3"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33,68</w:t>
            </w:r>
          </w:p>
        </w:tc>
        <w:tc>
          <w:tcPr>
            <w:tcW w:w="739" w:type="dxa"/>
            <w:vAlign w:val="center"/>
          </w:tcPr>
          <w:p w14:paraId="6C2D726F"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20" w:type="dxa"/>
            <w:noWrap/>
            <w:vAlign w:val="center"/>
            <w:hideMark/>
          </w:tcPr>
          <w:p w14:paraId="268C03E9"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647ED796"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71217C71"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8" w:type="dxa"/>
            <w:vAlign w:val="center"/>
            <w:hideMark/>
          </w:tcPr>
          <w:p w14:paraId="2CAFEAEC"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73D41A8D"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2B0B839E"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83" w:type="dxa"/>
            <w:shd w:val="clear" w:color="000000" w:fill="D9D9D9"/>
            <w:vAlign w:val="center"/>
            <w:hideMark/>
          </w:tcPr>
          <w:p w14:paraId="73C5098E"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690C7F86"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1F852A19"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0" w:type="dxa"/>
            <w:vAlign w:val="center"/>
            <w:hideMark/>
          </w:tcPr>
          <w:p w14:paraId="52ACC292"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1" w:type="dxa"/>
            <w:vAlign w:val="center"/>
            <w:hideMark/>
          </w:tcPr>
          <w:p w14:paraId="48B12B70"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0" w:type="dxa"/>
            <w:vAlign w:val="center"/>
            <w:hideMark/>
          </w:tcPr>
          <w:p w14:paraId="4FDC3DB4"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1276" w:type="dxa"/>
            <w:vAlign w:val="center"/>
            <w:hideMark/>
          </w:tcPr>
          <w:p w14:paraId="4F38104F"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992" w:type="dxa"/>
            <w:vAlign w:val="center"/>
          </w:tcPr>
          <w:p w14:paraId="34D69272" w14:textId="77777777" w:rsidR="00473589" w:rsidRPr="004E13E9" w:rsidRDefault="00473589" w:rsidP="00E62E84">
            <w:pPr>
              <w:widowControl w:val="0"/>
              <w:jc w:val="center"/>
              <w:rPr>
                <w:rFonts w:eastAsia="Times New Roman" w:cs="Calibri"/>
                <w:color w:val="000000"/>
                <w:sz w:val="16"/>
                <w:szCs w:val="16"/>
                <w:lang w:eastAsia="ja-JP" w:bidi="fr-FR"/>
              </w:rPr>
            </w:pPr>
          </w:p>
        </w:tc>
      </w:tr>
      <w:tr w:rsidR="00473589" w:rsidRPr="004E13E9" w14:paraId="0AF16377" w14:textId="77777777" w:rsidTr="00E62E84">
        <w:trPr>
          <w:trHeight w:val="20"/>
        </w:trPr>
        <w:tc>
          <w:tcPr>
            <w:tcW w:w="2836" w:type="dxa"/>
            <w:noWrap/>
            <w:vAlign w:val="center"/>
            <w:hideMark/>
          </w:tcPr>
          <w:p w14:paraId="3BD83718" w14:textId="77777777" w:rsidR="00473589" w:rsidRPr="004E13E9" w:rsidRDefault="00473589" w:rsidP="00E62E84">
            <w:pPr>
              <w:widowControl w:val="0"/>
              <w:jc w:val="both"/>
              <w:rPr>
                <w:rFonts w:eastAsia="Times New Roman" w:cs="Calibri"/>
                <w:b/>
                <w:bCs/>
                <w:color w:val="000000"/>
                <w:sz w:val="16"/>
                <w:szCs w:val="16"/>
                <w:lang w:eastAsia="fr-FR" w:bidi="fr-FR"/>
              </w:rPr>
            </w:pPr>
            <w:proofErr w:type="spellStart"/>
            <w:r w:rsidRPr="004E13E9">
              <w:rPr>
                <w:rFonts w:eastAsia="MS Gothic" w:cs="Times New Roman"/>
                <w:b/>
                <w:color w:val="000000"/>
                <w:sz w:val="16"/>
                <w:szCs w:val="16"/>
                <w:lang w:eastAsia="fr-FR" w:bidi="fr-FR"/>
              </w:rPr>
              <w:t>Flottille</w:t>
            </w:r>
            <w:proofErr w:type="spellEnd"/>
            <w:r w:rsidRPr="004E13E9">
              <w:rPr>
                <w:rFonts w:eastAsia="MS Gothic" w:cs="Times New Roman"/>
                <w:b/>
                <w:color w:val="000000"/>
                <w:sz w:val="16"/>
                <w:szCs w:val="16"/>
                <w:lang w:eastAsia="fr-FR" w:bidi="fr-FR"/>
              </w:rPr>
              <w:t xml:space="preserve"> totale de </w:t>
            </w:r>
            <w:proofErr w:type="spellStart"/>
            <w:r w:rsidRPr="004E13E9">
              <w:rPr>
                <w:rFonts w:eastAsia="MS Gothic" w:cs="Times New Roman"/>
                <w:b/>
                <w:color w:val="000000"/>
                <w:sz w:val="16"/>
                <w:szCs w:val="16"/>
                <w:lang w:eastAsia="fr-FR" w:bidi="fr-FR"/>
              </w:rPr>
              <w:t>senneurs</w:t>
            </w:r>
            <w:proofErr w:type="spellEnd"/>
          </w:p>
        </w:tc>
        <w:tc>
          <w:tcPr>
            <w:tcW w:w="1134" w:type="dxa"/>
            <w:noWrap/>
            <w:vAlign w:val="center"/>
            <w:hideMark/>
          </w:tcPr>
          <w:p w14:paraId="70C66EC1" w14:textId="77777777" w:rsidR="00473589" w:rsidRPr="004E13E9" w:rsidRDefault="00473589" w:rsidP="00E62E84">
            <w:pPr>
              <w:widowControl w:val="0"/>
              <w:jc w:val="both"/>
              <w:rPr>
                <w:rFonts w:eastAsia="Times New Roman" w:cs="Times New Roman"/>
                <w:color w:val="000000"/>
                <w:sz w:val="16"/>
                <w:szCs w:val="16"/>
                <w:lang w:eastAsia="fr-FR" w:bidi="fr-FR"/>
              </w:rPr>
            </w:pPr>
            <w:r w:rsidRPr="004E13E9">
              <w:rPr>
                <w:rFonts w:eastAsia="MS Gothic" w:cs="Times New Roman"/>
                <w:color w:val="000000"/>
                <w:sz w:val="16"/>
                <w:szCs w:val="16"/>
                <w:lang w:eastAsia="fr-FR" w:bidi="fr-FR"/>
              </w:rPr>
              <w:t> </w:t>
            </w:r>
          </w:p>
        </w:tc>
        <w:tc>
          <w:tcPr>
            <w:tcW w:w="739" w:type="dxa"/>
            <w:vAlign w:val="center"/>
          </w:tcPr>
          <w:p w14:paraId="0793D68E"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20" w:type="dxa"/>
            <w:noWrap/>
            <w:vAlign w:val="center"/>
            <w:hideMark/>
          </w:tcPr>
          <w:p w14:paraId="4D9AC38D"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454CDA61"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30629321"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8" w:type="dxa"/>
            <w:vAlign w:val="center"/>
            <w:hideMark/>
          </w:tcPr>
          <w:p w14:paraId="50B3354D"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06109C6C"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464D9FB8"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83" w:type="dxa"/>
            <w:shd w:val="clear" w:color="000000" w:fill="D9D9D9"/>
            <w:vAlign w:val="center"/>
            <w:hideMark/>
          </w:tcPr>
          <w:p w14:paraId="2AF5306F"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1B4FDCF5"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61DC532E"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0" w:type="dxa"/>
            <w:vAlign w:val="center"/>
            <w:hideMark/>
          </w:tcPr>
          <w:p w14:paraId="5C70040B"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1" w:type="dxa"/>
            <w:vAlign w:val="center"/>
            <w:hideMark/>
          </w:tcPr>
          <w:p w14:paraId="50580F42"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0" w:type="dxa"/>
            <w:vAlign w:val="center"/>
            <w:hideMark/>
          </w:tcPr>
          <w:p w14:paraId="5D4E3B14"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1276" w:type="dxa"/>
            <w:vAlign w:val="center"/>
            <w:hideMark/>
          </w:tcPr>
          <w:p w14:paraId="1D3D61E2"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992" w:type="dxa"/>
            <w:vAlign w:val="center"/>
          </w:tcPr>
          <w:p w14:paraId="56E0D8FE" w14:textId="77777777" w:rsidR="00473589" w:rsidRPr="004E13E9" w:rsidRDefault="00473589" w:rsidP="00E62E84">
            <w:pPr>
              <w:widowControl w:val="0"/>
              <w:jc w:val="center"/>
              <w:rPr>
                <w:rFonts w:eastAsia="Times New Roman" w:cs="Calibri"/>
                <w:b/>
                <w:bCs/>
                <w:color w:val="000000"/>
                <w:sz w:val="16"/>
                <w:szCs w:val="16"/>
                <w:lang w:eastAsia="ja-JP" w:bidi="fr-FR"/>
              </w:rPr>
            </w:pPr>
          </w:p>
        </w:tc>
      </w:tr>
      <w:tr w:rsidR="00473589" w:rsidRPr="004E13E9" w14:paraId="4C029EC6" w14:textId="77777777" w:rsidTr="00E62E84">
        <w:trPr>
          <w:trHeight w:val="20"/>
        </w:trPr>
        <w:tc>
          <w:tcPr>
            <w:tcW w:w="2836" w:type="dxa"/>
            <w:noWrap/>
            <w:vAlign w:val="center"/>
            <w:hideMark/>
          </w:tcPr>
          <w:p w14:paraId="698181E0" w14:textId="77777777" w:rsidR="00473589" w:rsidRPr="004E13E9" w:rsidRDefault="00473589" w:rsidP="00E62E84">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Palangrier de plus de 40 m</w:t>
            </w:r>
          </w:p>
        </w:tc>
        <w:tc>
          <w:tcPr>
            <w:tcW w:w="1134" w:type="dxa"/>
            <w:noWrap/>
            <w:vAlign w:val="center"/>
            <w:hideMark/>
          </w:tcPr>
          <w:p w14:paraId="286070AD"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25</w:t>
            </w:r>
          </w:p>
        </w:tc>
        <w:tc>
          <w:tcPr>
            <w:tcW w:w="739" w:type="dxa"/>
            <w:vAlign w:val="center"/>
          </w:tcPr>
          <w:p w14:paraId="16CF71D2"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20" w:type="dxa"/>
            <w:noWrap/>
            <w:vAlign w:val="center"/>
            <w:hideMark/>
          </w:tcPr>
          <w:p w14:paraId="2F4E3804"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66C7CA2B" w14:textId="77777777" w:rsidR="00473589" w:rsidRPr="004E13E9" w:rsidRDefault="00473589" w:rsidP="00E62E84">
            <w:pPr>
              <w:widowControl w:val="0"/>
              <w:jc w:val="center"/>
              <w:rPr>
                <w:rFonts w:eastAsia="Malgun Gothic" w:cs="Calibri"/>
                <w:color w:val="000000"/>
                <w:sz w:val="16"/>
                <w:szCs w:val="16"/>
                <w:lang w:eastAsia="fr-FR" w:bidi="fr-FR"/>
              </w:rPr>
            </w:pPr>
            <w:r w:rsidRPr="004E13E9">
              <w:rPr>
                <w:rFonts w:eastAsia="MS Gothic" w:cs="Times New Roman"/>
                <w:color w:val="000000"/>
                <w:sz w:val="16"/>
                <w:szCs w:val="16"/>
                <w:lang w:eastAsia="fr-FR" w:bidi="fr-FR"/>
              </w:rPr>
              <w:t>3</w:t>
            </w:r>
          </w:p>
        </w:tc>
        <w:tc>
          <w:tcPr>
            <w:tcW w:w="709" w:type="dxa"/>
            <w:vAlign w:val="center"/>
            <w:hideMark/>
          </w:tcPr>
          <w:p w14:paraId="19A3AFDC"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4</w:t>
            </w:r>
          </w:p>
        </w:tc>
        <w:tc>
          <w:tcPr>
            <w:tcW w:w="708" w:type="dxa"/>
            <w:vAlign w:val="center"/>
            <w:hideMark/>
          </w:tcPr>
          <w:p w14:paraId="379E5567"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4</w:t>
            </w:r>
          </w:p>
        </w:tc>
        <w:tc>
          <w:tcPr>
            <w:tcW w:w="709" w:type="dxa"/>
            <w:vAlign w:val="center"/>
          </w:tcPr>
          <w:p w14:paraId="503F1906" w14:textId="77777777" w:rsidR="00473589" w:rsidRPr="004E13E9" w:rsidRDefault="00473589" w:rsidP="00E62E84">
            <w:pPr>
              <w:widowControl w:val="0"/>
              <w:jc w:val="center"/>
              <w:rPr>
                <w:rFonts w:eastAsia="Malgun Gothic" w:cs="Calibri"/>
                <w:color w:val="000000"/>
                <w:sz w:val="16"/>
                <w:szCs w:val="16"/>
                <w:lang w:eastAsia="fr-FR" w:bidi="fr-FR"/>
              </w:rPr>
            </w:pPr>
            <w:r w:rsidRPr="004E13E9">
              <w:rPr>
                <w:rFonts w:eastAsia="MS Gothic" w:cs="Times New Roman"/>
                <w:color w:val="000000"/>
                <w:sz w:val="16"/>
                <w:szCs w:val="16"/>
                <w:lang w:eastAsia="fr-FR" w:bidi="fr-FR"/>
              </w:rPr>
              <w:t>4</w:t>
            </w:r>
          </w:p>
        </w:tc>
        <w:tc>
          <w:tcPr>
            <w:tcW w:w="709" w:type="dxa"/>
            <w:vAlign w:val="center"/>
          </w:tcPr>
          <w:p w14:paraId="1FAFD565"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6</w:t>
            </w:r>
          </w:p>
        </w:tc>
        <w:tc>
          <w:tcPr>
            <w:tcW w:w="283" w:type="dxa"/>
            <w:shd w:val="clear" w:color="000000" w:fill="D9D9D9"/>
            <w:vAlign w:val="center"/>
            <w:hideMark/>
          </w:tcPr>
          <w:p w14:paraId="379A51D8"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36429041"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32A4DDB6"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0" w:type="dxa"/>
            <w:vAlign w:val="center"/>
            <w:hideMark/>
          </w:tcPr>
          <w:p w14:paraId="79DA6F9F"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75</w:t>
            </w:r>
          </w:p>
        </w:tc>
        <w:tc>
          <w:tcPr>
            <w:tcW w:w="851" w:type="dxa"/>
            <w:vAlign w:val="center"/>
            <w:hideMark/>
          </w:tcPr>
          <w:p w14:paraId="4BF9252A"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b/>
                <w:color w:val="000000"/>
                <w:sz w:val="16"/>
                <w:szCs w:val="16"/>
                <w:lang w:eastAsia="fr-FR" w:bidi="fr-FR"/>
              </w:rPr>
              <w:t>100</w:t>
            </w:r>
          </w:p>
        </w:tc>
        <w:tc>
          <w:tcPr>
            <w:tcW w:w="850" w:type="dxa"/>
            <w:vAlign w:val="center"/>
            <w:hideMark/>
          </w:tcPr>
          <w:p w14:paraId="3013A695"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b/>
                <w:color w:val="000000"/>
                <w:sz w:val="16"/>
                <w:szCs w:val="16"/>
                <w:lang w:eastAsia="fr-FR" w:bidi="fr-FR"/>
              </w:rPr>
              <w:t>100</w:t>
            </w:r>
          </w:p>
        </w:tc>
        <w:tc>
          <w:tcPr>
            <w:tcW w:w="1276" w:type="dxa"/>
            <w:vAlign w:val="center"/>
            <w:hideMark/>
          </w:tcPr>
          <w:p w14:paraId="7CEA724C"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b/>
                <w:color w:val="000000"/>
                <w:sz w:val="16"/>
                <w:szCs w:val="16"/>
                <w:lang w:eastAsia="fr-FR" w:bidi="fr-FR"/>
              </w:rPr>
              <w:t>100</w:t>
            </w:r>
          </w:p>
        </w:tc>
        <w:tc>
          <w:tcPr>
            <w:tcW w:w="992" w:type="dxa"/>
            <w:vAlign w:val="center"/>
          </w:tcPr>
          <w:p w14:paraId="492FDB73" w14:textId="77777777" w:rsidR="00473589" w:rsidRPr="004E13E9" w:rsidRDefault="00473589" w:rsidP="00E62E84">
            <w:pPr>
              <w:widowControl w:val="0"/>
              <w:jc w:val="center"/>
              <w:rPr>
                <w:rFonts w:eastAsia="Malgun Gothic" w:cs="Calibri"/>
                <w:b/>
                <w:color w:val="000000"/>
                <w:sz w:val="16"/>
                <w:szCs w:val="16"/>
                <w:lang w:eastAsia="fr-FR" w:bidi="fr-FR"/>
              </w:rPr>
            </w:pPr>
            <w:r w:rsidRPr="004E13E9">
              <w:rPr>
                <w:rFonts w:eastAsia="MS Gothic" w:cs="Times New Roman"/>
                <w:b/>
                <w:color w:val="000000"/>
                <w:sz w:val="16"/>
                <w:szCs w:val="16"/>
                <w:lang w:eastAsia="fr-FR" w:bidi="fr-FR"/>
              </w:rPr>
              <w:t>150</w:t>
            </w:r>
          </w:p>
        </w:tc>
      </w:tr>
      <w:tr w:rsidR="00473589" w:rsidRPr="004E13E9" w14:paraId="0331D87C" w14:textId="77777777" w:rsidTr="00E62E84">
        <w:trPr>
          <w:trHeight w:val="20"/>
        </w:trPr>
        <w:tc>
          <w:tcPr>
            <w:tcW w:w="2836" w:type="dxa"/>
            <w:noWrap/>
            <w:vAlign w:val="center"/>
            <w:hideMark/>
          </w:tcPr>
          <w:p w14:paraId="1B91DD29" w14:textId="77777777" w:rsidR="00473589" w:rsidRPr="004E13E9" w:rsidRDefault="00473589" w:rsidP="00E62E84">
            <w:pPr>
              <w:widowControl w:val="0"/>
              <w:jc w:val="both"/>
              <w:rPr>
                <w:rFonts w:eastAsia="Times New Roman" w:cs="Calibri"/>
                <w:color w:val="000000"/>
                <w:sz w:val="16"/>
                <w:szCs w:val="16"/>
                <w:lang w:eastAsia="fr-FR" w:bidi="fr-FR"/>
              </w:rPr>
            </w:pPr>
            <w:proofErr w:type="spellStart"/>
            <w:r w:rsidRPr="004E13E9">
              <w:rPr>
                <w:rFonts w:eastAsia="MS Gothic" w:cs="Times New Roman"/>
                <w:color w:val="000000"/>
                <w:sz w:val="16"/>
                <w:szCs w:val="16"/>
                <w:lang w:eastAsia="fr-FR" w:bidi="fr-FR"/>
              </w:rPr>
              <w:t>Palangrier</w:t>
            </w:r>
            <w:proofErr w:type="spellEnd"/>
            <w:r w:rsidRPr="004E13E9">
              <w:rPr>
                <w:rFonts w:eastAsia="MS Gothic" w:cs="Times New Roman"/>
                <w:color w:val="000000"/>
                <w:sz w:val="16"/>
                <w:szCs w:val="16"/>
                <w:lang w:eastAsia="fr-FR" w:bidi="fr-FR"/>
              </w:rPr>
              <w:t xml:space="preserve"> entre 24 et 40 m</w:t>
            </w:r>
          </w:p>
        </w:tc>
        <w:tc>
          <w:tcPr>
            <w:tcW w:w="1134" w:type="dxa"/>
            <w:noWrap/>
            <w:vAlign w:val="center"/>
            <w:hideMark/>
          </w:tcPr>
          <w:p w14:paraId="45DE2F75"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5,68</w:t>
            </w:r>
          </w:p>
        </w:tc>
        <w:tc>
          <w:tcPr>
            <w:tcW w:w="739" w:type="dxa"/>
            <w:vAlign w:val="center"/>
          </w:tcPr>
          <w:p w14:paraId="77CF72DE"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20" w:type="dxa"/>
            <w:noWrap/>
            <w:vAlign w:val="center"/>
            <w:hideMark/>
          </w:tcPr>
          <w:p w14:paraId="6C76A6E8"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1EEE00A7"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2B9BCF93"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8" w:type="dxa"/>
            <w:vAlign w:val="center"/>
            <w:hideMark/>
          </w:tcPr>
          <w:p w14:paraId="13770A21"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58CC51A7"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31656051"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83" w:type="dxa"/>
            <w:shd w:val="clear" w:color="000000" w:fill="D9D9D9"/>
            <w:vAlign w:val="center"/>
            <w:hideMark/>
          </w:tcPr>
          <w:p w14:paraId="192CC571"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659F3480"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27ADF209"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0" w:type="dxa"/>
            <w:vAlign w:val="center"/>
            <w:hideMark/>
          </w:tcPr>
          <w:p w14:paraId="572B0D73"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1" w:type="dxa"/>
            <w:vAlign w:val="center"/>
            <w:hideMark/>
          </w:tcPr>
          <w:p w14:paraId="29AFC7E0"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0" w:type="dxa"/>
            <w:vAlign w:val="center"/>
            <w:hideMark/>
          </w:tcPr>
          <w:p w14:paraId="5793A0B5"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1276" w:type="dxa"/>
            <w:vAlign w:val="center"/>
            <w:hideMark/>
          </w:tcPr>
          <w:p w14:paraId="558932C5"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992" w:type="dxa"/>
            <w:vAlign w:val="center"/>
          </w:tcPr>
          <w:p w14:paraId="0B6D8271" w14:textId="77777777" w:rsidR="00473589" w:rsidRPr="004E13E9" w:rsidRDefault="00473589" w:rsidP="00E62E84">
            <w:pPr>
              <w:widowControl w:val="0"/>
              <w:jc w:val="center"/>
              <w:rPr>
                <w:rFonts w:eastAsia="Times New Roman" w:cs="Calibri"/>
                <w:color w:val="000000"/>
                <w:sz w:val="16"/>
                <w:szCs w:val="16"/>
                <w:lang w:eastAsia="ja-JP" w:bidi="fr-FR"/>
              </w:rPr>
            </w:pPr>
          </w:p>
        </w:tc>
      </w:tr>
      <w:tr w:rsidR="00473589" w:rsidRPr="004E13E9" w14:paraId="5E37A772" w14:textId="77777777" w:rsidTr="00E62E84">
        <w:trPr>
          <w:trHeight w:val="20"/>
        </w:trPr>
        <w:tc>
          <w:tcPr>
            <w:tcW w:w="2836" w:type="dxa"/>
            <w:noWrap/>
            <w:vAlign w:val="center"/>
            <w:hideMark/>
          </w:tcPr>
          <w:p w14:paraId="2A4ABFB3" w14:textId="77777777" w:rsidR="00473589" w:rsidRPr="004E13E9" w:rsidRDefault="00473589" w:rsidP="00E62E84">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Palangrier de moins de 24m</w:t>
            </w:r>
          </w:p>
        </w:tc>
        <w:tc>
          <w:tcPr>
            <w:tcW w:w="1134" w:type="dxa"/>
            <w:noWrap/>
            <w:vAlign w:val="center"/>
            <w:hideMark/>
          </w:tcPr>
          <w:p w14:paraId="10A907C8"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5</w:t>
            </w:r>
          </w:p>
        </w:tc>
        <w:tc>
          <w:tcPr>
            <w:tcW w:w="739" w:type="dxa"/>
            <w:vAlign w:val="center"/>
          </w:tcPr>
          <w:p w14:paraId="3F9C2E4A"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20" w:type="dxa"/>
            <w:noWrap/>
            <w:vAlign w:val="center"/>
            <w:hideMark/>
          </w:tcPr>
          <w:p w14:paraId="65A8B448"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14192179"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2325E757"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8" w:type="dxa"/>
            <w:vAlign w:val="center"/>
            <w:hideMark/>
          </w:tcPr>
          <w:p w14:paraId="0028B9EB"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35712086"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4FF97857"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83" w:type="dxa"/>
            <w:shd w:val="clear" w:color="000000" w:fill="D9D9D9"/>
            <w:vAlign w:val="center"/>
            <w:hideMark/>
          </w:tcPr>
          <w:p w14:paraId="308A8AA8"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4DF61BD5"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75969B2F"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0" w:type="dxa"/>
            <w:vAlign w:val="center"/>
            <w:hideMark/>
          </w:tcPr>
          <w:p w14:paraId="2DCC4DFD"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1" w:type="dxa"/>
            <w:vAlign w:val="center"/>
            <w:hideMark/>
          </w:tcPr>
          <w:p w14:paraId="11D8BCC1"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0" w:type="dxa"/>
            <w:vAlign w:val="center"/>
            <w:hideMark/>
          </w:tcPr>
          <w:p w14:paraId="42CDE36C"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1276" w:type="dxa"/>
            <w:vAlign w:val="center"/>
            <w:hideMark/>
          </w:tcPr>
          <w:p w14:paraId="6F9A7F9F"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992" w:type="dxa"/>
            <w:vAlign w:val="center"/>
          </w:tcPr>
          <w:p w14:paraId="151EEB5A" w14:textId="77777777" w:rsidR="00473589" w:rsidRPr="004E13E9" w:rsidRDefault="00473589" w:rsidP="00E62E84">
            <w:pPr>
              <w:widowControl w:val="0"/>
              <w:jc w:val="center"/>
              <w:rPr>
                <w:rFonts w:eastAsia="Times New Roman" w:cs="Calibri"/>
                <w:color w:val="000000"/>
                <w:sz w:val="16"/>
                <w:szCs w:val="16"/>
                <w:lang w:eastAsia="ja-JP" w:bidi="fr-FR"/>
              </w:rPr>
            </w:pPr>
          </w:p>
        </w:tc>
      </w:tr>
      <w:tr w:rsidR="00473589" w:rsidRPr="004E13E9" w14:paraId="71B34501" w14:textId="77777777" w:rsidTr="00E62E84">
        <w:trPr>
          <w:trHeight w:val="20"/>
        </w:trPr>
        <w:tc>
          <w:tcPr>
            <w:tcW w:w="2836" w:type="dxa"/>
            <w:noWrap/>
            <w:vAlign w:val="center"/>
            <w:hideMark/>
          </w:tcPr>
          <w:p w14:paraId="181FB2C2" w14:textId="77777777" w:rsidR="00473589" w:rsidRPr="004E13E9" w:rsidRDefault="00473589" w:rsidP="00E62E84">
            <w:pPr>
              <w:widowControl w:val="0"/>
              <w:jc w:val="both"/>
              <w:rPr>
                <w:rFonts w:eastAsia="Times New Roman" w:cs="Calibri"/>
                <w:b/>
                <w:bCs/>
                <w:color w:val="000000"/>
                <w:sz w:val="16"/>
                <w:szCs w:val="16"/>
                <w:lang w:eastAsia="fr-FR" w:bidi="fr-FR"/>
              </w:rPr>
            </w:pPr>
            <w:proofErr w:type="spellStart"/>
            <w:r w:rsidRPr="004E13E9">
              <w:rPr>
                <w:rFonts w:eastAsia="MS Gothic" w:cs="Times New Roman"/>
                <w:b/>
                <w:color w:val="000000"/>
                <w:sz w:val="16"/>
                <w:szCs w:val="16"/>
                <w:lang w:eastAsia="fr-FR" w:bidi="fr-FR"/>
              </w:rPr>
              <w:t>Flottille</w:t>
            </w:r>
            <w:proofErr w:type="spellEnd"/>
            <w:r w:rsidRPr="004E13E9">
              <w:rPr>
                <w:rFonts w:eastAsia="MS Gothic" w:cs="Times New Roman"/>
                <w:b/>
                <w:color w:val="000000"/>
                <w:sz w:val="16"/>
                <w:szCs w:val="16"/>
                <w:lang w:eastAsia="fr-FR" w:bidi="fr-FR"/>
              </w:rPr>
              <w:t xml:space="preserve"> </w:t>
            </w:r>
            <w:proofErr w:type="spellStart"/>
            <w:r w:rsidRPr="004E13E9">
              <w:rPr>
                <w:rFonts w:eastAsia="MS Gothic" w:cs="Times New Roman"/>
                <w:b/>
                <w:color w:val="000000"/>
                <w:sz w:val="16"/>
                <w:szCs w:val="16"/>
                <w:lang w:eastAsia="fr-FR" w:bidi="fr-FR"/>
              </w:rPr>
              <w:t>totale</w:t>
            </w:r>
            <w:proofErr w:type="spellEnd"/>
            <w:r w:rsidRPr="004E13E9">
              <w:rPr>
                <w:rFonts w:eastAsia="MS Gothic" w:cs="Times New Roman"/>
                <w:b/>
                <w:color w:val="000000"/>
                <w:sz w:val="16"/>
                <w:szCs w:val="16"/>
                <w:lang w:eastAsia="fr-FR" w:bidi="fr-FR"/>
              </w:rPr>
              <w:t xml:space="preserve"> de </w:t>
            </w:r>
            <w:proofErr w:type="spellStart"/>
            <w:r w:rsidRPr="004E13E9">
              <w:rPr>
                <w:rFonts w:eastAsia="MS Gothic" w:cs="Times New Roman"/>
                <w:b/>
                <w:color w:val="000000"/>
                <w:sz w:val="16"/>
                <w:szCs w:val="16"/>
                <w:lang w:eastAsia="fr-FR" w:bidi="fr-FR"/>
              </w:rPr>
              <w:t>palangriers</w:t>
            </w:r>
            <w:proofErr w:type="spellEnd"/>
          </w:p>
        </w:tc>
        <w:tc>
          <w:tcPr>
            <w:tcW w:w="1134" w:type="dxa"/>
            <w:noWrap/>
            <w:vAlign w:val="center"/>
            <w:hideMark/>
          </w:tcPr>
          <w:p w14:paraId="13197700" w14:textId="77777777" w:rsidR="00473589" w:rsidRPr="004E13E9" w:rsidRDefault="00473589" w:rsidP="00E62E84">
            <w:pPr>
              <w:widowControl w:val="0"/>
              <w:jc w:val="both"/>
              <w:rPr>
                <w:rFonts w:eastAsia="Times New Roman" w:cs="Times New Roman"/>
                <w:color w:val="000000"/>
                <w:sz w:val="16"/>
                <w:szCs w:val="16"/>
                <w:lang w:eastAsia="fr-FR" w:bidi="fr-FR"/>
              </w:rPr>
            </w:pPr>
            <w:r w:rsidRPr="004E13E9">
              <w:rPr>
                <w:rFonts w:eastAsia="MS Gothic" w:cs="Times New Roman"/>
                <w:color w:val="000000"/>
                <w:sz w:val="16"/>
                <w:szCs w:val="16"/>
                <w:lang w:eastAsia="fr-FR" w:bidi="fr-FR"/>
              </w:rPr>
              <w:t> </w:t>
            </w:r>
          </w:p>
        </w:tc>
        <w:tc>
          <w:tcPr>
            <w:tcW w:w="739" w:type="dxa"/>
            <w:vAlign w:val="center"/>
          </w:tcPr>
          <w:p w14:paraId="52F6E928"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20" w:type="dxa"/>
            <w:noWrap/>
            <w:vAlign w:val="center"/>
            <w:hideMark/>
          </w:tcPr>
          <w:p w14:paraId="655B792C"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01447E6E"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3</w:t>
            </w:r>
          </w:p>
        </w:tc>
        <w:tc>
          <w:tcPr>
            <w:tcW w:w="709" w:type="dxa"/>
            <w:vAlign w:val="center"/>
            <w:hideMark/>
          </w:tcPr>
          <w:p w14:paraId="3BB2F596"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4</w:t>
            </w:r>
          </w:p>
        </w:tc>
        <w:tc>
          <w:tcPr>
            <w:tcW w:w="708" w:type="dxa"/>
            <w:vAlign w:val="center"/>
            <w:hideMark/>
          </w:tcPr>
          <w:p w14:paraId="5B845B1A"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4</w:t>
            </w:r>
          </w:p>
        </w:tc>
        <w:tc>
          <w:tcPr>
            <w:tcW w:w="709" w:type="dxa"/>
            <w:vAlign w:val="center"/>
          </w:tcPr>
          <w:p w14:paraId="7FA7D10E" w14:textId="77777777" w:rsidR="00473589" w:rsidRPr="004E13E9" w:rsidRDefault="00473589" w:rsidP="00E62E84">
            <w:pPr>
              <w:widowControl w:val="0"/>
              <w:jc w:val="center"/>
              <w:rPr>
                <w:rFonts w:eastAsia="Malgun Gothic" w:cs="Calibri"/>
                <w:b/>
                <w:bCs/>
                <w:color w:val="000000"/>
                <w:sz w:val="16"/>
                <w:szCs w:val="16"/>
                <w:lang w:eastAsia="fr-FR" w:bidi="fr-FR"/>
              </w:rPr>
            </w:pPr>
            <w:r w:rsidRPr="004E13E9">
              <w:rPr>
                <w:rFonts w:eastAsia="MS Gothic" w:cs="Times New Roman"/>
                <w:b/>
                <w:color w:val="000000"/>
                <w:sz w:val="16"/>
                <w:szCs w:val="16"/>
                <w:lang w:eastAsia="fr-FR" w:bidi="fr-FR"/>
              </w:rPr>
              <w:t>4</w:t>
            </w:r>
          </w:p>
        </w:tc>
        <w:tc>
          <w:tcPr>
            <w:tcW w:w="709" w:type="dxa"/>
            <w:vAlign w:val="center"/>
          </w:tcPr>
          <w:p w14:paraId="640BF368"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6</w:t>
            </w:r>
          </w:p>
        </w:tc>
        <w:tc>
          <w:tcPr>
            <w:tcW w:w="283" w:type="dxa"/>
            <w:shd w:val="clear" w:color="000000" w:fill="D9D9D9"/>
            <w:vAlign w:val="center"/>
            <w:hideMark/>
          </w:tcPr>
          <w:p w14:paraId="3985B738"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59D2C266"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0578A1D8"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0" w:type="dxa"/>
            <w:vAlign w:val="center"/>
            <w:hideMark/>
          </w:tcPr>
          <w:p w14:paraId="7FE58653"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75</w:t>
            </w:r>
          </w:p>
        </w:tc>
        <w:tc>
          <w:tcPr>
            <w:tcW w:w="851" w:type="dxa"/>
            <w:vAlign w:val="center"/>
            <w:hideMark/>
          </w:tcPr>
          <w:p w14:paraId="235F1A76"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100</w:t>
            </w:r>
          </w:p>
        </w:tc>
        <w:tc>
          <w:tcPr>
            <w:tcW w:w="850" w:type="dxa"/>
            <w:vAlign w:val="center"/>
            <w:hideMark/>
          </w:tcPr>
          <w:p w14:paraId="1286E189"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100</w:t>
            </w:r>
          </w:p>
        </w:tc>
        <w:tc>
          <w:tcPr>
            <w:tcW w:w="1276" w:type="dxa"/>
            <w:vAlign w:val="center"/>
            <w:hideMark/>
          </w:tcPr>
          <w:p w14:paraId="5B86EEE1"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100</w:t>
            </w:r>
          </w:p>
        </w:tc>
        <w:tc>
          <w:tcPr>
            <w:tcW w:w="992" w:type="dxa"/>
            <w:vAlign w:val="center"/>
          </w:tcPr>
          <w:p w14:paraId="62870AB9" w14:textId="77777777" w:rsidR="00473589" w:rsidRPr="004E13E9" w:rsidRDefault="00473589" w:rsidP="00E62E84">
            <w:pPr>
              <w:widowControl w:val="0"/>
              <w:jc w:val="center"/>
              <w:rPr>
                <w:rFonts w:eastAsia="Malgun Gothic" w:cs="Calibri"/>
                <w:b/>
                <w:bCs/>
                <w:color w:val="000000"/>
                <w:sz w:val="16"/>
                <w:szCs w:val="16"/>
                <w:lang w:eastAsia="fr-FR" w:bidi="fr-FR"/>
              </w:rPr>
            </w:pPr>
            <w:r w:rsidRPr="004E13E9">
              <w:rPr>
                <w:rFonts w:eastAsia="MS Gothic" w:cs="Times New Roman"/>
                <w:b/>
                <w:color w:val="000000"/>
                <w:sz w:val="16"/>
                <w:szCs w:val="16"/>
                <w:lang w:eastAsia="fr-FR" w:bidi="fr-FR"/>
              </w:rPr>
              <w:t>150</w:t>
            </w:r>
          </w:p>
        </w:tc>
      </w:tr>
      <w:tr w:rsidR="00473589" w:rsidRPr="004E13E9" w14:paraId="0C80502F" w14:textId="77777777" w:rsidTr="00E62E84">
        <w:trPr>
          <w:trHeight w:val="20"/>
        </w:trPr>
        <w:tc>
          <w:tcPr>
            <w:tcW w:w="2836" w:type="dxa"/>
            <w:noWrap/>
            <w:vAlign w:val="center"/>
            <w:hideMark/>
          </w:tcPr>
          <w:p w14:paraId="056B237D" w14:textId="77777777" w:rsidR="00473589" w:rsidRPr="004E13E9" w:rsidRDefault="00473589" w:rsidP="00E62E84">
            <w:pPr>
              <w:widowControl w:val="0"/>
              <w:jc w:val="both"/>
              <w:rPr>
                <w:rFonts w:eastAsia="Times New Roman" w:cs="Calibri"/>
                <w:color w:val="000000"/>
                <w:sz w:val="16"/>
                <w:szCs w:val="16"/>
                <w:lang w:eastAsia="fr-FR" w:bidi="fr-FR"/>
              </w:rPr>
            </w:pPr>
            <w:proofErr w:type="spellStart"/>
            <w:r w:rsidRPr="004E13E9">
              <w:rPr>
                <w:rFonts w:eastAsia="MS Gothic" w:cs="Times New Roman"/>
                <w:color w:val="000000"/>
                <w:sz w:val="16"/>
                <w:szCs w:val="16"/>
                <w:lang w:eastAsia="fr-FR" w:bidi="fr-FR"/>
              </w:rPr>
              <w:t>Canneur</w:t>
            </w:r>
            <w:proofErr w:type="spellEnd"/>
          </w:p>
        </w:tc>
        <w:tc>
          <w:tcPr>
            <w:tcW w:w="1134" w:type="dxa"/>
            <w:noWrap/>
            <w:vAlign w:val="center"/>
            <w:hideMark/>
          </w:tcPr>
          <w:p w14:paraId="7A3D2A14"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19,75</w:t>
            </w:r>
          </w:p>
        </w:tc>
        <w:tc>
          <w:tcPr>
            <w:tcW w:w="739" w:type="dxa"/>
            <w:vAlign w:val="center"/>
          </w:tcPr>
          <w:p w14:paraId="17843FE6"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20" w:type="dxa"/>
            <w:noWrap/>
            <w:vAlign w:val="center"/>
            <w:hideMark/>
          </w:tcPr>
          <w:p w14:paraId="47940D22"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15C89C22"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4C1A8277"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8" w:type="dxa"/>
            <w:vAlign w:val="center"/>
            <w:hideMark/>
          </w:tcPr>
          <w:p w14:paraId="300BFF53"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574EE2CD"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085FAF8A"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83" w:type="dxa"/>
            <w:shd w:val="clear" w:color="000000" w:fill="D9D9D9"/>
            <w:vAlign w:val="center"/>
            <w:hideMark/>
          </w:tcPr>
          <w:p w14:paraId="59DDE52C"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30ADB0FC"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126B91E2"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0" w:type="dxa"/>
            <w:vAlign w:val="center"/>
            <w:hideMark/>
          </w:tcPr>
          <w:p w14:paraId="43C858E1"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1" w:type="dxa"/>
            <w:vAlign w:val="center"/>
            <w:hideMark/>
          </w:tcPr>
          <w:p w14:paraId="7806780A"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0" w:type="dxa"/>
            <w:vAlign w:val="center"/>
            <w:hideMark/>
          </w:tcPr>
          <w:p w14:paraId="2B3822B4"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1276" w:type="dxa"/>
            <w:vAlign w:val="center"/>
            <w:hideMark/>
          </w:tcPr>
          <w:p w14:paraId="23980BAA"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992" w:type="dxa"/>
            <w:vAlign w:val="center"/>
          </w:tcPr>
          <w:p w14:paraId="1B043C0C" w14:textId="77777777" w:rsidR="00473589" w:rsidRPr="004E13E9" w:rsidRDefault="00473589" w:rsidP="00E62E84">
            <w:pPr>
              <w:widowControl w:val="0"/>
              <w:jc w:val="center"/>
              <w:rPr>
                <w:rFonts w:eastAsia="Times New Roman" w:cs="Calibri"/>
                <w:b/>
                <w:bCs/>
                <w:color w:val="000000"/>
                <w:sz w:val="16"/>
                <w:szCs w:val="16"/>
                <w:lang w:eastAsia="ja-JP" w:bidi="fr-FR"/>
              </w:rPr>
            </w:pPr>
          </w:p>
        </w:tc>
      </w:tr>
      <w:tr w:rsidR="00473589" w:rsidRPr="004E13E9" w14:paraId="33E6D966" w14:textId="77777777" w:rsidTr="00E62E84">
        <w:trPr>
          <w:trHeight w:val="20"/>
        </w:trPr>
        <w:tc>
          <w:tcPr>
            <w:tcW w:w="2836" w:type="dxa"/>
            <w:noWrap/>
            <w:vAlign w:val="center"/>
            <w:hideMark/>
          </w:tcPr>
          <w:p w14:paraId="3190DAEA" w14:textId="77777777" w:rsidR="00473589" w:rsidRPr="004E13E9" w:rsidRDefault="00473589" w:rsidP="00E62E84">
            <w:pPr>
              <w:widowControl w:val="0"/>
              <w:jc w:val="both"/>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Ligne à main</w:t>
            </w:r>
          </w:p>
        </w:tc>
        <w:tc>
          <w:tcPr>
            <w:tcW w:w="1134" w:type="dxa"/>
            <w:noWrap/>
            <w:vAlign w:val="center"/>
            <w:hideMark/>
          </w:tcPr>
          <w:p w14:paraId="1D2B138F"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5</w:t>
            </w:r>
          </w:p>
        </w:tc>
        <w:tc>
          <w:tcPr>
            <w:tcW w:w="739" w:type="dxa"/>
            <w:vAlign w:val="center"/>
          </w:tcPr>
          <w:p w14:paraId="189A128B"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20" w:type="dxa"/>
            <w:noWrap/>
            <w:vAlign w:val="center"/>
            <w:hideMark/>
          </w:tcPr>
          <w:p w14:paraId="69C61DCF"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70727AB1"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72D9D91A"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8" w:type="dxa"/>
            <w:vAlign w:val="center"/>
            <w:hideMark/>
          </w:tcPr>
          <w:p w14:paraId="2A6A9D94"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572BF63B"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4C920981"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83" w:type="dxa"/>
            <w:shd w:val="clear" w:color="000000" w:fill="D9D9D9"/>
            <w:vAlign w:val="center"/>
            <w:hideMark/>
          </w:tcPr>
          <w:p w14:paraId="19836C10"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61D55F41"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51B4185B"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0" w:type="dxa"/>
            <w:vAlign w:val="center"/>
            <w:hideMark/>
          </w:tcPr>
          <w:p w14:paraId="05172970"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1" w:type="dxa"/>
            <w:vAlign w:val="center"/>
            <w:hideMark/>
          </w:tcPr>
          <w:p w14:paraId="649D6103"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0" w:type="dxa"/>
            <w:vAlign w:val="center"/>
            <w:hideMark/>
          </w:tcPr>
          <w:p w14:paraId="049F9A31"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1276" w:type="dxa"/>
            <w:vAlign w:val="center"/>
            <w:hideMark/>
          </w:tcPr>
          <w:p w14:paraId="79EB0511"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992" w:type="dxa"/>
            <w:vAlign w:val="center"/>
          </w:tcPr>
          <w:p w14:paraId="482E5104" w14:textId="77777777" w:rsidR="00473589" w:rsidRPr="004E13E9" w:rsidRDefault="00473589" w:rsidP="00E62E84">
            <w:pPr>
              <w:widowControl w:val="0"/>
              <w:jc w:val="center"/>
              <w:rPr>
                <w:rFonts w:eastAsia="Times New Roman" w:cs="Calibri"/>
                <w:color w:val="000000"/>
                <w:sz w:val="16"/>
                <w:szCs w:val="16"/>
                <w:lang w:eastAsia="ja-JP" w:bidi="fr-FR"/>
              </w:rPr>
            </w:pPr>
          </w:p>
        </w:tc>
      </w:tr>
      <w:tr w:rsidR="00473589" w:rsidRPr="004E13E9" w14:paraId="259873E2" w14:textId="77777777" w:rsidTr="00E62E84">
        <w:trPr>
          <w:trHeight w:val="20"/>
        </w:trPr>
        <w:tc>
          <w:tcPr>
            <w:tcW w:w="2836" w:type="dxa"/>
            <w:noWrap/>
            <w:vAlign w:val="center"/>
            <w:hideMark/>
          </w:tcPr>
          <w:p w14:paraId="3A2EFAD1" w14:textId="77777777" w:rsidR="00473589" w:rsidRPr="004E13E9" w:rsidRDefault="00473589" w:rsidP="00E62E84">
            <w:pPr>
              <w:widowControl w:val="0"/>
              <w:jc w:val="both"/>
              <w:rPr>
                <w:rFonts w:eastAsia="Times New Roman" w:cs="Calibri"/>
                <w:color w:val="000000"/>
                <w:sz w:val="16"/>
                <w:szCs w:val="16"/>
                <w:lang w:eastAsia="fr-FR" w:bidi="fr-FR"/>
              </w:rPr>
            </w:pPr>
            <w:proofErr w:type="spellStart"/>
            <w:r w:rsidRPr="004E13E9">
              <w:rPr>
                <w:rFonts w:eastAsia="MS Gothic" w:cs="Times New Roman"/>
                <w:color w:val="000000"/>
                <w:sz w:val="16"/>
                <w:szCs w:val="16"/>
                <w:lang w:eastAsia="fr-FR" w:bidi="fr-FR"/>
              </w:rPr>
              <w:t>Chalutier</w:t>
            </w:r>
            <w:proofErr w:type="spellEnd"/>
          </w:p>
        </w:tc>
        <w:tc>
          <w:tcPr>
            <w:tcW w:w="1134" w:type="dxa"/>
            <w:noWrap/>
            <w:vAlign w:val="center"/>
            <w:hideMark/>
          </w:tcPr>
          <w:p w14:paraId="3758F8D2"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10</w:t>
            </w:r>
          </w:p>
        </w:tc>
        <w:tc>
          <w:tcPr>
            <w:tcW w:w="739" w:type="dxa"/>
            <w:vAlign w:val="center"/>
          </w:tcPr>
          <w:p w14:paraId="6B4E6268"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20" w:type="dxa"/>
            <w:noWrap/>
            <w:vAlign w:val="center"/>
            <w:hideMark/>
          </w:tcPr>
          <w:p w14:paraId="392232FB"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700AA31E"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6320B13B"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8" w:type="dxa"/>
            <w:vAlign w:val="center"/>
            <w:hideMark/>
          </w:tcPr>
          <w:p w14:paraId="783BFDAC"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307F9623"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29AF90DC"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83" w:type="dxa"/>
            <w:shd w:val="clear" w:color="000000" w:fill="D9D9D9"/>
            <w:vAlign w:val="center"/>
            <w:hideMark/>
          </w:tcPr>
          <w:p w14:paraId="4F552116"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0FE328AE"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hideMark/>
          </w:tcPr>
          <w:p w14:paraId="189C4CF7"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0" w:type="dxa"/>
            <w:vAlign w:val="center"/>
            <w:hideMark/>
          </w:tcPr>
          <w:p w14:paraId="3F416A96"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1" w:type="dxa"/>
            <w:vAlign w:val="center"/>
            <w:hideMark/>
          </w:tcPr>
          <w:p w14:paraId="4BA2C193"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0" w:type="dxa"/>
            <w:vAlign w:val="center"/>
            <w:hideMark/>
          </w:tcPr>
          <w:p w14:paraId="3DE91060"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1276" w:type="dxa"/>
            <w:vAlign w:val="center"/>
            <w:hideMark/>
          </w:tcPr>
          <w:p w14:paraId="312602E6"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992" w:type="dxa"/>
            <w:vAlign w:val="center"/>
          </w:tcPr>
          <w:p w14:paraId="1A4A0B19" w14:textId="77777777" w:rsidR="00473589" w:rsidRPr="004E13E9" w:rsidRDefault="00473589" w:rsidP="00E62E84">
            <w:pPr>
              <w:widowControl w:val="0"/>
              <w:jc w:val="center"/>
              <w:rPr>
                <w:rFonts w:eastAsia="Times New Roman" w:cs="Calibri"/>
                <w:color w:val="000000"/>
                <w:sz w:val="16"/>
                <w:szCs w:val="16"/>
                <w:lang w:eastAsia="ja-JP" w:bidi="fr-FR"/>
              </w:rPr>
            </w:pPr>
          </w:p>
        </w:tc>
      </w:tr>
      <w:tr w:rsidR="00473589" w:rsidRPr="004E13E9" w14:paraId="3585A6C8" w14:textId="77777777" w:rsidTr="00E62E84">
        <w:trPr>
          <w:trHeight w:val="20"/>
        </w:trPr>
        <w:tc>
          <w:tcPr>
            <w:tcW w:w="2836" w:type="dxa"/>
            <w:noWrap/>
            <w:vAlign w:val="center"/>
            <w:hideMark/>
          </w:tcPr>
          <w:p w14:paraId="64A2689C" w14:textId="77777777" w:rsidR="00473589" w:rsidRPr="004E13E9" w:rsidRDefault="00473589" w:rsidP="00E62E84">
            <w:pPr>
              <w:widowControl w:val="0"/>
              <w:jc w:val="both"/>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Madrague</w:t>
            </w:r>
          </w:p>
        </w:tc>
        <w:tc>
          <w:tcPr>
            <w:tcW w:w="1134" w:type="dxa"/>
            <w:noWrap/>
            <w:vAlign w:val="center"/>
            <w:hideMark/>
          </w:tcPr>
          <w:p w14:paraId="45941BC3"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130</w:t>
            </w:r>
          </w:p>
        </w:tc>
        <w:tc>
          <w:tcPr>
            <w:tcW w:w="739" w:type="dxa"/>
            <w:vAlign w:val="center"/>
          </w:tcPr>
          <w:p w14:paraId="5DF9E1AD"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20" w:type="dxa"/>
            <w:noWrap/>
            <w:vAlign w:val="center"/>
            <w:hideMark/>
          </w:tcPr>
          <w:p w14:paraId="5653A1E2"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6176347D"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0EC89400"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8" w:type="dxa"/>
            <w:vAlign w:val="center"/>
            <w:hideMark/>
          </w:tcPr>
          <w:p w14:paraId="3FE28FC1"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71B1AB16"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47FD723D"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83" w:type="dxa"/>
            <w:shd w:val="clear" w:color="000000" w:fill="D9D9D9"/>
            <w:vAlign w:val="center"/>
            <w:hideMark/>
          </w:tcPr>
          <w:p w14:paraId="611462C1"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661D62B9"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10614088"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0" w:type="dxa"/>
            <w:vAlign w:val="center"/>
            <w:hideMark/>
          </w:tcPr>
          <w:p w14:paraId="7DF55567"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1" w:type="dxa"/>
            <w:vAlign w:val="center"/>
            <w:hideMark/>
          </w:tcPr>
          <w:p w14:paraId="47DA52DE"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0" w:type="dxa"/>
            <w:vAlign w:val="center"/>
            <w:hideMark/>
          </w:tcPr>
          <w:p w14:paraId="1DA9F1A2"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1276" w:type="dxa"/>
            <w:vAlign w:val="center"/>
            <w:hideMark/>
          </w:tcPr>
          <w:p w14:paraId="1BA7854F"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992" w:type="dxa"/>
            <w:vAlign w:val="center"/>
          </w:tcPr>
          <w:p w14:paraId="04B1D6AF" w14:textId="77777777" w:rsidR="00473589" w:rsidRPr="004E13E9" w:rsidRDefault="00473589" w:rsidP="00E62E84">
            <w:pPr>
              <w:widowControl w:val="0"/>
              <w:jc w:val="center"/>
              <w:rPr>
                <w:rFonts w:eastAsia="Times New Roman" w:cs="Calibri"/>
                <w:b/>
                <w:bCs/>
                <w:color w:val="000000"/>
                <w:sz w:val="16"/>
                <w:szCs w:val="16"/>
                <w:lang w:eastAsia="ja-JP" w:bidi="fr-FR"/>
              </w:rPr>
            </w:pPr>
          </w:p>
        </w:tc>
      </w:tr>
      <w:tr w:rsidR="00473589" w:rsidRPr="004E13E9" w14:paraId="2290B93D" w14:textId="77777777" w:rsidTr="00E62E84">
        <w:trPr>
          <w:trHeight w:val="20"/>
        </w:trPr>
        <w:tc>
          <w:tcPr>
            <w:tcW w:w="2836" w:type="dxa"/>
            <w:vAlign w:val="center"/>
            <w:hideMark/>
          </w:tcPr>
          <w:p w14:paraId="635C0AC4" w14:textId="77777777" w:rsidR="00473589" w:rsidRPr="004E13E9" w:rsidRDefault="00473589" w:rsidP="00E62E84">
            <w:pPr>
              <w:widowControl w:val="0"/>
              <w:jc w:val="both"/>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 xml:space="preserve">Petits </w:t>
            </w:r>
            <w:proofErr w:type="spellStart"/>
            <w:r w:rsidRPr="004E13E9">
              <w:rPr>
                <w:rFonts w:eastAsia="MS Gothic" w:cs="Times New Roman"/>
                <w:color w:val="000000"/>
                <w:sz w:val="16"/>
                <w:szCs w:val="16"/>
                <w:lang w:eastAsia="fr-FR" w:bidi="fr-FR"/>
              </w:rPr>
              <w:t>navires</w:t>
            </w:r>
            <w:proofErr w:type="spellEnd"/>
            <w:r w:rsidRPr="004E13E9">
              <w:rPr>
                <w:rFonts w:eastAsia="MS Gothic" w:cs="Times New Roman"/>
                <w:color w:val="000000"/>
                <w:sz w:val="16"/>
                <w:szCs w:val="16"/>
                <w:lang w:eastAsia="fr-FR" w:bidi="fr-FR"/>
              </w:rPr>
              <w:t xml:space="preserve"> côtiers</w:t>
            </w:r>
          </w:p>
        </w:tc>
        <w:tc>
          <w:tcPr>
            <w:tcW w:w="1134" w:type="dxa"/>
            <w:noWrap/>
            <w:vAlign w:val="center"/>
            <w:hideMark/>
          </w:tcPr>
          <w:p w14:paraId="5D15DF50"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N/A</w:t>
            </w:r>
          </w:p>
        </w:tc>
        <w:tc>
          <w:tcPr>
            <w:tcW w:w="739" w:type="dxa"/>
            <w:vAlign w:val="center"/>
          </w:tcPr>
          <w:p w14:paraId="2B24DF4C"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20" w:type="dxa"/>
            <w:noWrap/>
            <w:vAlign w:val="center"/>
            <w:hideMark/>
          </w:tcPr>
          <w:p w14:paraId="40973B47"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04C9F660"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52FD83B6"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8" w:type="dxa"/>
            <w:vAlign w:val="center"/>
            <w:hideMark/>
          </w:tcPr>
          <w:p w14:paraId="62B2B7DB"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7D44251F"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3A510AED"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83" w:type="dxa"/>
            <w:shd w:val="clear" w:color="000000" w:fill="D9D9D9"/>
            <w:vAlign w:val="center"/>
            <w:hideMark/>
          </w:tcPr>
          <w:p w14:paraId="521CF8E5"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3C853804"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5DC2CE96"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0" w:type="dxa"/>
            <w:vAlign w:val="center"/>
            <w:hideMark/>
          </w:tcPr>
          <w:p w14:paraId="157C483B"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1" w:type="dxa"/>
            <w:vAlign w:val="center"/>
            <w:hideMark/>
          </w:tcPr>
          <w:p w14:paraId="5BEBBCF3"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0" w:type="dxa"/>
            <w:vAlign w:val="center"/>
            <w:hideMark/>
          </w:tcPr>
          <w:p w14:paraId="7DBC94FC"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1276" w:type="dxa"/>
            <w:vAlign w:val="center"/>
            <w:hideMark/>
          </w:tcPr>
          <w:p w14:paraId="46AC782A"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992" w:type="dxa"/>
            <w:vAlign w:val="center"/>
          </w:tcPr>
          <w:p w14:paraId="618ABD65" w14:textId="77777777" w:rsidR="00473589" w:rsidRPr="004E13E9" w:rsidRDefault="00473589" w:rsidP="00E62E84">
            <w:pPr>
              <w:widowControl w:val="0"/>
              <w:jc w:val="center"/>
              <w:rPr>
                <w:rFonts w:eastAsia="Times New Roman" w:cs="Calibri"/>
                <w:b/>
                <w:bCs/>
                <w:color w:val="000000"/>
                <w:sz w:val="16"/>
                <w:szCs w:val="16"/>
                <w:lang w:eastAsia="ja-JP" w:bidi="fr-FR"/>
              </w:rPr>
            </w:pPr>
          </w:p>
        </w:tc>
      </w:tr>
      <w:tr w:rsidR="00473589" w:rsidRPr="004E13E9" w14:paraId="601989BF" w14:textId="77777777" w:rsidTr="00E62E84">
        <w:trPr>
          <w:trHeight w:val="20"/>
        </w:trPr>
        <w:tc>
          <w:tcPr>
            <w:tcW w:w="2836" w:type="dxa"/>
            <w:vAlign w:val="center"/>
            <w:hideMark/>
          </w:tcPr>
          <w:p w14:paraId="251F2211" w14:textId="77777777" w:rsidR="00473589" w:rsidRPr="004E13E9" w:rsidRDefault="00473589" w:rsidP="00E62E84">
            <w:pPr>
              <w:widowControl w:val="0"/>
              <w:jc w:val="both"/>
              <w:rPr>
                <w:rFonts w:eastAsia="Times New Roman" w:cs="Calibri"/>
                <w:color w:val="000000"/>
                <w:sz w:val="16"/>
                <w:szCs w:val="16"/>
                <w:lang w:eastAsia="fr-FR" w:bidi="fr-FR"/>
              </w:rPr>
            </w:pPr>
            <w:proofErr w:type="spellStart"/>
            <w:r w:rsidRPr="004E13E9">
              <w:rPr>
                <w:rFonts w:eastAsia="MS Gothic" w:cs="Times New Roman"/>
                <w:color w:val="000000"/>
                <w:sz w:val="16"/>
                <w:szCs w:val="16"/>
                <w:lang w:eastAsia="fr-FR" w:bidi="fr-FR"/>
              </w:rPr>
              <w:t>Autre</w:t>
            </w:r>
            <w:proofErr w:type="spellEnd"/>
            <w:r w:rsidRPr="004E13E9">
              <w:rPr>
                <w:rFonts w:eastAsia="MS Gothic" w:cs="Times New Roman"/>
                <w:color w:val="000000"/>
                <w:sz w:val="16"/>
                <w:szCs w:val="16"/>
                <w:lang w:eastAsia="fr-FR" w:bidi="fr-FR"/>
              </w:rPr>
              <w:t xml:space="preserve"> (à préciser)</w:t>
            </w:r>
          </w:p>
        </w:tc>
        <w:tc>
          <w:tcPr>
            <w:tcW w:w="1134" w:type="dxa"/>
            <w:noWrap/>
            <w:vAlign w:val="center"/>
            <w:hideMark/>
          </w:tcPr>
          <w:p w14:paraId="366AB5E7"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5</w:t>
            </w:r>
          </w:p>
        </w:tc>
        <w:tc>
          <w:tcPr>
            <w:tcW w:w="739" w:type="dxa"/>
            <w:vAlign w:val="center"/>
          </w:tcPr>
          <w:p w14:paraId="36D11C96"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20" w:type="dxa"/>
            <w:noWrap/>
            <w:vAlign w:val="center"/>
            <w:hideMark/>
          </w:tcPr>
          <w:p w14:paraId="0F426CC7"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0253D04F"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646B1B26"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8" w:type="dxa"/>
            <w:vAlign w:val="center"/>
            <w:hideMark/>
          </w:tcPr>
          <w:p w14:paraId="7BFD6056"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4265CACA"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5621717C"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83" w:type="dxa"/>
            <w:shd w:val="clear" w:color="000000" w:fill="D9D9D9"/>
            <w:vAlign w:val="center"/>
            <w:hideMark/>
          </w:tcPr>
          <w:p w14:paraId="5C0B9489"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434E3A97"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2B2A7F22"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0" w:type="dxa"/>
            <w:vAlign w:val="center"/>
            <w:hideMark/>
          </w:tcPr>
          <w:p w14:paraId="185C11BF"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1" w:type="dxa"/>
            <w:vAlign w:val="center"/>
            <w:hideMark/>
          </w:tcPr>
          <w:p w14:paraId="1F21906D"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0" w:type="dxa"/>
            <w:vAlign w:val="center"/>
            <w:hideMark/>
          </w:tcPr>
          <w:p w14:paraId="65AE5660"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1276" w:type="dxa"/>
            <w:vAlign w:val="center"/>
            <w:hideMark/>
          </w:tcPr>
          <w:p w14:paraId="6C34843A"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992" w:type="dxa"/>
            <w:vAlign w:val="center"/>
          </w:tcPr>
          <w:p w14:paraId="35C19FBB" w14:textId="77777777" w:rsidR="00473589" w:rsidRPr="004E13E9" w:rsidRDefault="00473589" w:rsidP="00E62E84">
            <w:pPr>
              <w:widowControl w:val="0"/>
              <w:jc w:val="center"/>
              <w:rPr>
                <w:rFonts w:eastAsia="Times New Roman" w:cs="Calibri"/>
                <w:b/>
                <w:bCs/>
                <w:color w:val="000000"/>
                <w:sz w:val="16"/>
                <w:szCs w:val="16"/>
                <w:lang w:eastAsia="ja-JP" w:bidi="fr-FR"/>
              </w:rPr>
            </w:pPr>
          </w:p>
        </w:tc>
      </w:tr>
      <w:tr w:rsidR="00473589" w:rsidRPr="004E13E9" w14:paraId="0AD226E1" w14:textId="77777777" w:rsidTr="00E62E84">
        <w:trPr>
          <w:trHeight w:val="20"/>
        </w:trPr>
        <w:tc>
          <w:tcPr>
            <w:tcW w:w="2836" w:type="dxa"/>
            <w:noWrap/>
            <w:vAlign w:val="center"/>
            <w:hideMark/>
          </w:tcPr>
          <w:p w14:paraId="4EC642CC" w14:textId="77777777" w:rsidR="00473589" w:rsidRPr="004E13E9" w:rsidRDefault="00473589" w:rsidP="00E62E84">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16"/>
                <w:lang w:val="fr-FR" w:eastAsia="fr-FR" w:bidi="fr-FR"/>
              </w:rPr>
              <w:t>Capacité totale de la flottille/de pêche</w:t>
            </w:r>
          </w:p>
        </w:tc>
        <w:tc>
          <w:tcPr>
            <w:tcW w:w="1134" w:type="dxa"/>
            <w:noWrap/>
            <w:vAlign w:val="center"/>
            <w:hideMark/>
          </w:tcPr>
          <w:p w14:paraId="26FD60DB" w14:textId="77777777" w:rsidR="00473589" w:rsidRPr="004E13E9" w:rsidRDefault="00473589" w:rsidP="00E62E84">
            <w:pPr>
              <w:widowControl w:val="0"/>
              <w:jc w:val="right"/>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739" w:type="dxa"/>
            <w:vAlign w:val="center"/>
          </w:tcPr>
          <w:p w14:paraId="617975BE" w14:textId="77777777" w:rsidR="00473589" w:rsidRPr="004E13E9" w:rsidRDefault="00473589" w:rsidP="00E62E84">
            <w:pPr>
              <w:widowControl w:val="0"/>
              <w:jc w:val="center"/>
              <w:rPr>
                <w:rFonts w:eastAsia="Times New Roman" w:cs="Calibri"/>
                <w:b/>
                <w:bCs/>
                <w:color w:val="000000"/>
                <w:sz w:val="16"/>
                <w:szCs w:val="16"/>
                <w:lang w:val="fr-FR" w:eastAsia="ja-JP" w:bidi="fr-FR"/>
              </w:rPr>
            </w:pPr>
          </w:p>
        </w:tc>
        <w:tc>
          <w:tcPr>
            <w:tcW w:w="820" w:type="dxa"/>
            <w:noWrap/>
            <w:vAlign w:val="center"/>
            <w:hideMark/>
          </w:tcPr>
          <w:p w14:paraId="0BA6DF1B" w14:textId="77777777" w:rsidR="00473589" w:rsidRPr="004E13E9" w:rsidRDefault="00473589" w:rsidP="00E62E84">
            <w:pPr>
              <w:widowControl w:val="0"/>
              <w:jc w:val="center"/>
              <w:rPr>
                <w:rFonts w:eastAsia="Times New Roman" w:cs="Calibri"/>
                <w:b/>
                <w:bCs/>
                <w:color w:val="000000"/>
                <w:sz w:val="16"/>
                <w:szCs w:val="16"/>
                <w:lang w:val="fr-FR" w:eastAsia="ja-JP" w:bidi="fr-FR"/>
              </w:rPr>
            </w:pPr>
          </w:p>
        </w:tc>
        <w:tc>
          <w:tcPr>
            <w:tcW w:w="709" w:type="dxa"/>
            <w:vAlign w:val="center"/>
            <w:hideMark/>
          </w:tcPr>
          <w:p w14:paraId="1BC9C390"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3</w:t>
            </w:r>
          </w:p>
        </w:tc>
        <w:tc>
          <w:tcPr>
            <w:tcW w:w="709" w:type="dxa"/>
            <w:vAlign w:val="center"/>
            <w:hideMark/>
          </w:tcPr>
          <w:p w14:paraId="266019FF"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4</w:t>
            </w:r>
          </w:p>
        </w:tc>
        <w:tc>
          <w:tcPr>
            <w:tcW w:w="708" w:type="dxa"/>
            <w:vAlign w:val="center"/>
            <w:hideMark/>
          </w:tcPr>
          <w:p w14:paraId="4FD20555"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4</w:t>
            </w:r>
          </w:p>
        </w:tc>
        <w:tc>
          <w:tcPr>
            <w:tcW w:w="709" w:type="dxa"/>
            <w:vAlign w:val="center"/>
          </w:tcPr>
          <w:p w14:paraId="47236279" w14:textId="77777777" w:rsidR="00473589" w:rsidRPr="004E13E9" w:rsidRDefault="00473589" w:rsidP="00E62E84">
            <w:pPr>
              <w:widowControl w:val="0"/>
              <w:jc w:val="center"/>
              <w:rPr>
                <w:rFonts w:eastAsia="Malgun Gothic" w:cs="Calibri"/>
                <w:b/>
                <w:bCs/>
                <w:color w:val="000000"/>
                <w:sz w:val="16"/>
                <w:szCs w:val="16"/>
                <w:lang w:eastAsia="fr-FR" w:bidi="fr-FR"/>
              </w:rPr>
            </w:pPr>
            <w:r w:rsidRPr="004E13E9">
              <w:rPr>
                <w:rFonts w:eastAsia="MS Gothic" w:cs="Times New Roman"/>
                <w:b/>
                <w:color w:val="000000"/>
                <w:sz w:val="16"/>
                <w:szCs w:val="16"/>
                <w:lang w:eastAsia="fr-FR" w:bidi="fr-FR"/>
              </w:rPr>
              <w:t>4</w:t>
            </w:r>
          </w:p>
        </w:tc>
        <w:tc>
          <w:tcPr>
            <w:tcW w:w="709" w:type="dxa"/>
            <w:vAlign w:val="center"/>
          </w:tcPr>
          <w:p w14:paraId="33859892"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83" w:type="dxa"/>
            <w:shd w:val="clear" w:color="000000" w:fill="D9D9D9"/>
            <w:vAlign w:val="center"/>
            <w:hideMark/>
          </w:tcPr>
          <w:p w14:paraId="273ADFFF"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18B01401"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hideMark/>
          </w:tcPr>
          <w:p w14:paraId="35FC2016"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0" w:type="dxa"/>
            <w:vAlign w:val="center"/>
            <w:hideMark/>
          </w:tcPr>
          <w:p w14:paraId="2467CEE6"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75</w:t>
            </w:r>
          </w:p>
        </w:tc>
        <w:tc>
          <w:tcPr>
            <w:tcW w:w="851" w:type="dxa"/>
            <w:noWrap/>
            <w:vAlign w:val="center"/>
            <w:hideMark/>
          </w:tcPr>
          <w:p w14:paraId="3D791E67"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100</w:t>
            </w:r>
          </w:p>
        </w:tc>
        <w:tc>
          <w:tcPr>
            <w:tcW w:w="850" w:type="dxa"/>
            <w:noWrap/>
            <w:vAlign w:val="center"/>
            <w:hideMark/>
          </w:tcPr>
          <w:p w14:paraId="6A902EE1"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100</w:t>
            </w:r>
          </w:p>
        </w:tc>
        <w:tc>
          <w:tcPr>
            <w:tcW w:w="1276" w:type="dxa"/>
            <w:noWrap/>
            <w:vAlign w:val="center"/>
            <w:hideMark/>
          </w:tcPr>
          <w:p w14:paraId="3863694C"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100</w:t>
            </w:r>
          </w:p>
        </w:tc>
        <w:tc>
          <w:tcPr>
            <w:tcW w:w="992" w:type="dxa"/>
            <w:vAlign w:val="center"/>
          </w:tcPr>
          <w:p w14:paraId="58CB503D" w14:textId="77777777" w:rsidR="00473589" w:rsidRPr="004E13E9" w:rsidRDefault="00473589" w:rsidP="00E62E84">
            <w:pPr>
              <w:widowControl w:val="0"/>
              <w:jc w:val="center"/>
              <w:rPr>
                <w:rFonts w:eastAsia="Malgun Gothic" w:cs="Calibri"/>
                <w:b/>
                <w:bCs/>
                <w:color w:val="000000"/>
                <w:sz w:val="16"/>
                <w:szCs w:val="16"/>
                <w:lang w:eastAsia="fr-FR" w:bidi="fr-FR"/>
              </w:rPr>
            </w:pPr>
            <w:r w:rsidRPr="004E13E9">
              <w:rPr>
                <w:rFonts w:eastAsia="MS Gothic" w:cs="Times New Roman"/>
                <w:b/>
                <w:color w:val="000000"/>
                <w:sz w:val="16"/>
                <w:szCs w:val="16"/>
                <w:lang w:eastAsia="fr-FR" w:bidi="fr-FR"/>
              </w:rPr>
              <w:t>150</w:t>
            </w:r>
          </w:p>
        </w:tc>
      </w:tr>
      <w:tr w:rsidR="00473589" w:rsidRPr="004E13E9" w14:paraId="5E241416" w14:textId="77777777" w:rsidTr="00E62E84">
        <w:trPr>
          <w:trHeight w:val="20"/>
        </w:trPr>
        <w:tc>
          <w:tcPr>
            <w:tcW w:w="2836" w:type="dxa"/>
            <w:shd w:val="clear" w:color="auto" w:fill="D9D9D9"/>
            <w:noWrap/>
            <w:vAlign w:val="center"/>
            <w:hideMark/>
          </w:tcPr>
          <w:p w14:paraId="3B2A3CBC" w14:textId="77777777" w:rsidR="00473589" w:rsidRPr="004E13E9" w:rsidRDefault="00473589" w:rsidP="00E62E84">
            <w:pPr>
              <w:widowControl w:val="0"/>
              <w:jc w:val="both"/>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Quota initial</w:t>
            </w:r>
          </w:p>
        </w:tc>
        <w:tc>
          <w:tcPr>
            <w:tcW w:w="1134" w:type="dxa"/>
            <w:shd w:val="clear" w:color="auto" w:fill="D9D9D9"/>
            <w:noWrap/>
            <w:vAlign w:val="center"/>
            <w:hideMark/>
          </w:tcPr>
          <w:p w14:paraId="5E68DE93" w14:textId="77777777" w:rsidR="00473589" w:rsidRPr="004E13E9" w:rsidRDefault="00473589" w:rsidP="00E62E84">
            <w:pPr>
              <w:widowControl w:val="0"/>
              <w:jc w:val="right"/>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 </w:t>
            </w:r>
          </w:p>
        </w:tc>
        <w:tc>
          <w:tcPr>
            <w:tcW w:w="739" w:type="dxa"/>
            <w:shd w:val="clear" w:color="auto" w:fill="D9D9D9"/>
            <w:vAlign w:val="center"/>
          </w:tcPr>
          <w:p w14:paraId="782F84EA"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20" w:type="dxa"/>
            <w:shd w:val="clear" w:color="auto" w:fill="D9D9D9"/>
            <w:noWrap/>
            <w:vAlign w:val="center"/>
            <w:hideMark/>
          </w:tcPr>
          <w:p w14:paraId="520B0B34"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shd w:val="clear" w:color="auto" w:fill="D9D9D9"/>
            <w:vAlign w:val="center"/>
          </w:tcPr>
          <w:p w14:paraId="0CB9B005"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shd w:val="clear" w:color="auto" w:fill="D9D9D9"/>
            <w:vAlign w:val="center"/>
          </w:tcPr>
          <w:p w14:paraId="4AA27965"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8" w:type="dxa"/>
            <w:shd w:val="clear" w:color="auto" w:fill="D9D9D9"/>
            <w:vAlign w:val="center"/>
          </w:tcPr>
          <w:p w14:paraId="5617FFC4"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shd w:val="clear" w:color="auto" w:fill="D9D9D9"/>
            <w:vAlign w:val="center"/>
          </w:tcPr>
          <w:p w14:paraId="71BBE781" w14:textId="77777777" w:rsidR="00473589" w:rsidRPr="004E13E9" w:rsidRDefault="00473589" w:rsidP="00E62E84">
            <w:pPr>
              <w:widowControl w:val="0"/>
              <w:jc w:val="center"/>
              <w:rPr>
                <w:rFonts w:eastAsia="Malgun Gothic" w:cs="Calibri"/>
                <w:color w:val="000000"/>
                <w:sz w:val="16"/>
                <w:szCs w:val="16"/>
                <w:lang w:eastAsia="ko-KR" w:bidi="fr-FR"/>
              </w:rPr>
            </w:pPr>
          </w:p>
        </w:tc>
        <w:tc>
          <w:tcPr>
            <w:tcW w:w="709" w:type="dxa"/>
            <w:shd w:val="clear" w:color="auto" w:fill="D9D9D9"/>
            <w:vAlign w:val="center"/>
          </w:tcPr>
          <w:p w14:paraId="50AD2FE1" w14:textId="77777777" w:rsidR="00473589" w:rsidRPr="004E13E9" w:rsidRDefault="00473589" w:rsidP="00E62E84">
            <w:pPr>
              <w:widowControl w:val="0"/>
              <w:jc w:val="center"/>
              <w:rPr>
                <w:rFonts w:eastAsia="Malgun Gothic" w:cs="Calibri"/>
                <w:color w:val="000000"/>
                <w:sz w:val="16"/>
                <w:szCs w:val="16"/>
                <w:lang w:eastAsia="ko-KR" w:bidi="fr-FR"/>
              </w:rPr>
            </w:pPr>
          </w:p>
        </w:tc>
        <w:tc>
          <w:tcPr>
            <w:tcW w:w="283" w:type="dxa"/>
            <w:shd w:val="clear" w:color="auto" w:fill="D9D9D9"/>
            <w:vAlign w:val="center"/>
            <w:hideMark/>
          </w:tcPr>
          <w:p w14:paraId="1F12B9DC"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shd w:val="clear" w:color="auto" w:fill="D9D9D9"/>
            <w:vAlign w:val="center"/>
          </w:tcPr>
          <w:p w14:paraId="2C70EEB6"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shd w:val="clear" w:color="auto" w:fill="D9D9D9"/>
            <w:vAlign w:val="center"/>
            <w:hideMark/>
          </w:tcPr>
          <w:p w14:paraId="03828208"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0" w:type="dxa"/>
            <w:shd w:val="clear" w:color="auto" w:fill="D9D9D9"/>
            <w:vAlign w:val="center"/>
            <w:hideMark/>
          </w:tcPr>
          <w:p w14:paraId="40C30C14"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160</w:t>
            </w:r>
          </w:p>
        </w:tc>
        <w:tc>
          <w:tcPr>
            <w:tcW w:w="851" w:type="dxa"/>
            <w:shd w:val="clear" w:color="auto" w:fill="D9D9D9"/>
            <w:vAlign w:val="center"/>
            <w:hideMark/>
          </w:tcPr>
          <w:p w14:paraId="15B32453"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221</w:t>
            </w:r>
          </w:p>
        </w:tc>
        <w:tc>
          <w:tcPr>
            <w:tcW w:w="850" w:type="dxa"/>
            <w:shd w:val="clear" w:color="auto" w:fill="D9D9D9"/>
            <w:vAlign w:val="center"/>
            <w:hideMark/>
          </w:tcPr>
          <w:p w14:paraId="14853B74"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221</w:t>
            </w:r>
          </w:p>
        </w:tc>
        <w:tc>
          <w:tcPr>
            <w:tcW w:w="1276" w:type="dxa"/>
            <w:shd w:val="clear" w:color="auto" w:fill="D9D9D9"/>
            <w:vAlign w:val="center"/>
            <w:hideMark/>
          </w:tcPr>
          <w:p w14:paraId="56468690"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221</w:t>
            </w:r>
          </w:p>
        </w:tc>
        <w:tc>
          <w:tcPr>
            <w:tcW w:w="992" w:type="dxa"/>
            <w:shd w:val="clear" w:color="auto" w:fill="D9D9D9"/>
            <w:vAlign w:val="center"/>
          </w:tcPr>
          <w:p w14:paraId="6AA52FB5"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368,93</w:t>
            </w:r>
          </w:p>
        </w:tc>
      </w:tr>
      <w:tr w:rsidR="00473589" w:rsidRPr="004E13E9" w14:paraId="12DD3D31" w14:textId="77777777" w:rsidTr="00E62E84">
        <w:trPr>
          <w:trHeight w:val="20"/>
        </w:trPr>
        <w:tc>
          <w:tcPr>
            <w:tcW w:w="2836" w:type="dxa"/>
            <w:shd w:val="clear" w:color="auto" w:fill="D9D9D9"/>
            <w:noWrap/>
            <w:vAlign w:val="center"/>
          </w:tcPr>
          <w:p w14:paraId="292367F6" w14:textId="77777777" w:rsidR="00473589" w:rsidRPr="004E13E9" w:rsidRDefault="00473589" w:rsidP="00E62E84">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16"/>
                <w:lang w:val="fr-FR" w:eastAsia="fr-FR" w:bidi="fr-FR"/>
              </w:rPr>
              <w:t>Quota ajusté (le cas échéant)</w:t>
            </w:r>
          </w:p>
        </w:tc>
        <w:tc>
          <w:tcPr>
            <w:tcW w:w="1134" w:type="dxa"/>
            <w:shd w:val="clear" w:color="auto" w:fill="D9D9D9"/>
            <w:noWrap/>
            <w:vAlign w:val="center"/>
          </w:tcPr>
          <w:p w14:paraId="4E580549" w14:textId="77777777" w:rsidR="00473589" w:rsidRPr="004E13E9" w:rsidRDefault="00473589" w:rsidP="00E62E84">
            <w:pPr>
              <w:widowControl w:val="0"/>
              <w:jc w:val="right"/>
              <w:rPr>
                <w:rFonts w:eastAsia="Times New Roman" w:cs="Calibri"/>
                <w:color w:val="000000"/>
                <w:sz w:val="16"/>
                <w:szCs w:val="16"/>
                <w:lang w:val="fr-FR" w:eastAsia="ja-JP" w:bidi="fr-FR"/>
              </w:rPr>
            </w:pPr>
          </w:p>
        </w:tc>
        <w:tc>
          <w:tcPr>
            <w:tcW w:w="739" w:type="dxa"/>
            <w:shd w:val="clear" w:color="auto" w:fill="D9D9D9"/>
            <w:vAlign w:val="center"/>
          </w:tcPr>
          <w:p w14:paraId="21CF8ED9"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820" w:type="dxa"/>
            <w:shd w:val="clear" w:color="auto" w:fill="D9D9D9"/>
            <w:noWrap/>
            <w:vAlign w:val="center"/>
          </w:tcPr>
          <w:p w14:paraId="32A7DFB1"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709" w:type="dxa"/>
            <w:shd w:val="clear" w:color="auto" w:fill="D9D9D9"/>
            <w:vAlign w:val="center"/>
          </w:tcPr>
          <w:p w14:paraId="6D3D605D"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709" w:type="dxa"/>
            <w:shd w:val="clear" w:color="auto" w:fill="D9D9D9"/>
            <w:vAlign w:val="center"/>
          </w:tcPr>
          <w:p w14:paraId="66A6D288"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708" w:type="dxa"/>
            <w:shd w:val="clear" w:color="auto" w:fill="D9D9D9"/>
            <w:vAlign w:val="center"/>
          </w:tcPr>
          <w:p w14:paraId="28E7AA43"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709" w:type="dxa"/>
            <w:shd w:val="clear" w:color="auto" w:fill="D9D9D9"/>
            <w:vAlign w:val="center"/>
          </w:tcPr>
          <w:p w14:paraId="5A7B93AC"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709" w:type="dxa"/>
            <w:shd w:val="clear" w:color="auto" w:fill="D9D9D9"/>
            <w:vAlign w:val="center"/>
          </w:tcPr>
          <w:p w14:paraId="51DD0453"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283" w:type="dxa"/>
            <w:shd w:val="clear" w:color="auto" w:fill="D9D9D9"/>
            <w:vAlign w:val="center"/>
          </w:tcPr>
          <w:p w14:paraId="26FBD200"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709" w:type="dxa"/>
            <w:shd w:val="clear" w:color="auto" w:fill="D9D9D9"/>
            <w:vAlign w:val="center"/>
          </w:tcPr>
          <w:p w14:paraId="25B4086B"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709" w:type="dxa"/>
            <w:shd w:val="clear" w:color="auto" w:fill="D9D9D9"/>
            <w:vAlign w:val="center"/>
          </w:tcPr>
          <w:p w14:paraId="06B3B01D"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850" w:type="dxa"/>
            <w:shd w:val="clear" w:color="auto" w:fill="D9D9D9"/>
            <w:vAlign w:val="center"/>
          </w:tcPr>
          <w:p w14:paraId="367807B3"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205,8</w:t>
            </w:r>
          </w:p>
        </w:tc>
        <w:tc>
          <w:tcPr>
            <w:tcW w:w="851" w:type="dxa"/>
            <w:shd w:val="clear" w:color="auto" w:fill="D9D9D9"/>
            <w:vAlign w:val="center"/>
          </w:tcPr>
          <w:p w14:paraId="35CC3C96"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sz w:val="16"/>
                <w:szCs w:val="16"/>
                <w:lang w:eastAsia="fr-FR" w:bidi="fr-FR"/>
              </w:rPr>
              <w:t>278,724 (221+50+7,724)</w:t>
            </w:r>
          </w:p>
        </w:tc>
        <w:tc>
          <w:tcPr>
            <w:tcW w:w="850" w:type="dxa"/>
            <w:shd w:val="clear" w:color="auto" w:fill="D9D9D9"/>
            <w:vAlign w:val="center"/>
          </w:tcPr>
          <w:p w14:paraId="773D292B"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sz w:val="16"/>
                <w:szCs w:val="16"/>
                <w:lang w:eastAsia="fr-FR" w:bidi="fr-FR"/>
              </w:rPr>
              <w:t>276,179 (221+50+5,179)</w:t>
            </w:r>
          </w:p>
        </w:tc>
        <w:tc>
          <w:tcPr>
            <w:tcW w:w="1276" w:type="dxa"/>
            <w:shd w:val="clear" w:color="auto" w:fill="D9D9D9"/>
            <w:vAlign w:val="center"/>
          </w:tcPr>
          <w:p w14:paraId="00615F4B"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sz w:val="16"/>
                <w:szCs w:val="16"/>
                <w:lang w:eastAsia="fr-FR" w:bidi="fr-FR"/>
              </w:rPr>
              <w:t>279,224 (221+50+8,224)</w:t>
            </w:r>
          </w:p>
        </w:tc>
        <w:tc>
          <w:tcPr>
            <w:tcW w:w="992" w:type="dxa"/>
            <w:shd w:val="clear" w:color="auto" w:fill="D9D9D9"/>
            <w:vAlign w:val="center"/>
          </w:tcPr>
          <w:p w14:paraId="32917FB6" w14:textId="77777777" w:rsidR="00473589" w:rsidRPr="004E13E9" w:rsidRDefault="00473589" w:rsidP="00E62E84">
            <w:pPr>
              <w:widowControl w:val="0"/>
              <w:jc w:val="center"/>
              <w:rPr>
                <w:rFonts w:eastAsia="Malgun Gothic" w:cs="Calibri"/>
                <w:color w:val="000000"/>
                <w:sz w:val="16"/>
                <w:szCs w:val="16"/>
                <w:lang w:eastAsia="fr-FR" w:bidi="fr-FR"/>
              </w:rPr>
            </w:pPr>
            <w:r w:rsidRPr="004E13E9">
              <w:rPr>
                <w:rFonts w:eastAsia="MS Gothic" w:cs="Times New Roman"/>
                <w:color w:val="000000"/>
                <w:sz w:val="16"/>
                <w:szCs w:val="16"/>
                <w:lang w:eastAsia="fr-FR" w:bidi="fr-FR"/>
              </w:rPr>
              <w:t xml:space="preserve">440,323 (368,93 + 50 + </w:t>
            </w:r>
            <w:proofErr w:type="gramStart"/>
            <w:r w:rsidRPr="004E13E9">
              <w:rPr>
                <w:rFonts w:eastAsia="MS Gothic" w:cs="Times New Roman"/>
                <w:color w:val="000000"/>
                <w:sz w:val="16"/>
                <w:szCs w:val="16"/>
                <w:lang w:eastAsia="fr-FR" w:bidi="fr-FR"/>
              </w:rPr>
              <w:t>21,393)*</w:t>
            </w:r>
            <w:proofErr w:type="gramEnd"/>
          </w:p>
        </w:tc>
      </w:tr>
      <w:tr w:rsidR="00473589" w:rsidRPr="004E13E9" w14:paraId="7538520A" w14:textId="77777777" w:rsidTr="00E62E84">
        <w:trPr>
          <w:trHeight w:val="20"/>
        </w:trPr>
        <w:tc>
          <w:tcPr>
            <w:tcW w:w="2836" w:type="dxa"/>
            <w:noWrap/>
            <w:vAlign w:val="center"/>
            <w:hideMark/>
          </w:tcPr>
          <w:p w14:paraId="4C813B05" w14:textId="77777777" w:rsidR="00473589" w:rsidRPr="004E13E9" w:rsidRDefault="00473589" w:rsidP="00E62E84">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16"/>
                <w:lang w:val="fr-FR" w:eastAsia="fr-FR" w:bidi="fr-FR"/>
              </w:rPr>
              <w:t>Pourcentage alloué aux prises accessoires</w:t>
            </w:r>
          </w:p>
        </w:tc>
        <w:tc>
          <w:tcPr>
            <w:tcW w:w="1134" w:type="dxa"/>
            <w:noWrap/>
            <w:vAlign w:val="center"/>
            <w:hideMark/>
          </w:tcPr>
          <w:p w14:paraId="14C20DD4" w14:textId="77777777" w:rsidR="00473589" w:rsidRPr="004E13E9" w:rsidRDefault="00473589" w:rsidP="00E62E84">
            <w:pPr>
              <w:widowControl w:val="0"/>
              <w:jc w:val="right"/>
              <w:rPr>
                <w:rFonts w:eastAsia="Times New Roman" w:cs="Calibri"/>
                <w:color w:val="000000"/>
                <w:sz w:val="16"/>
                <w:szCs w:val="16"/>
                <w:lang w:val="fr-FR" w:eastAsia="fr-FR" w:bidi="fr-FR"/>
              </w:rPr>
            </w:pPr>
            <w:r w:rsidRPr="004E13E9">
              <w:rPr>
                <w:rFonts w:eastAsia="MS Gothic" w:cs="Times New Roman"/>
                <w:color w:val="000000"/>
                <w:sz w:val="16"/>
                <w:szCs w:val="16"/>
                <w:lang w:val="fr-FR" w:eastAsia="fr-FR" w:bidi="fr-FR"/>
              </w:rPr>
              <w:t> </w:t>
            </w:r>
          </w:p>
        </w:tc>
        <w:tc>
          <w:tcPr>
            <w:tcW w:w="739" w:type="dxa"/>
            <w:vAlign w:val="center"/>
          </w:tcPr>
          <w:p w14:paraId="73993DC7"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820" w:type="dxa"/>
            <w:noWrap/>
            <w:vAlign w:val="center"/>
            <w:hideMark/>
          </w:tcPr>
          <w:p w14:paraId="58E3EB3C"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709" w:type="dxa"/>
            <w:vAlign w:val="center"/>
          </w:tcPr>
          <w:p w14:paraId="3AC44506"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709" w:type="dxa"/>
            <w:vAlign w:val="center"/>
          </w:tcPr>
          <w:p w14:paraId="1698C40F"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708" w:type="dxa"/>
            <w:vAlign w:val="center"/>
          </w:tcPr>
          <w:p w14:paraId="7DA634DC"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709" w:type="dxa"/>
            <w:vAlign w:val="center"/>
          </w:tcPr>
          <w:p w14:paraId="6C46CBB6"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709" w:type="dxa"/>
            <w:vAlign w:val="center"/>
          </w:tcPr>
          <w:p w14:paraId="7302059E"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283" w:type="dxa"/>
            <w:shd w:val="clear" w:color="000000" w:fill="D9D9D9"/>
            <w:vAlign w:val="center"/>
            <w:hideMark/>
          </w:tcPr>
          <w:p w14:paraId="2F9E6C05"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709" w:type="dxa"/>
            <w:vAlign w:val="center"/>
          </w:tcPr>
          <w:p w14:paraId="6BA2CBC3"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709" w:type="dxa"/>
            <w:vAlign w:val="center"/>
            <w:hideMark/>
          </w:tcPr>
          <w:p w14:paraId="5F6FF0C6"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850" w:type="dxa"/>
            <w:vAlign w:val="center"/>
          </w:tcPr>
          <w:p w14:paraId="6474BC5C"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851" w:type="dxa"/>
            <w:vAlign w:val="center"/>
            <w:hideMark/>
          </w:tcPr>
          <w:p w14:paraId="6D6B0CDB"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0,18</w:t>
            </w:r>
          </w:p>
        </w:tc>
        <w:tc>
          <w:tcPr>
            <w:tcW w:w="850" w:type="dxa"/>
            <w:vAlign w:val="center"/>
            <w:hideMark/>
          </w:tcPr>
          <w:p w14:paraId="3ED91BEE"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0,18</w:t>
            </w:r>
          </w:p>
        </w:tc>
        <w:tc>
          <w:tcPr>
            <w:tcW w:w="1276" w:type="dxa"/>
            <w:vAlign w:val="center"/>
            <w:hideMark/>
          </w:tcPr>
          <w:p w14:paraId="2A11425E"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0,18</w:t>
            </w:r>
          </w:p>
        </w:tc>
        <w:tc>
          <w:tcPr>
            <w:tcW w:w="992" w:type="dxa"/>
            <w:vAlign w:val="center"/>
          </w:tcPr>
          <w:p w14:paraId="732BDFDF"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0,11</w:t>
            </w:r>
          </w:p>
        </w:tc>
      </w:tr>
      <w:tr w:rsidR="00473589" w:rsidRPr="004E13E9" w14:paraId="17CEED0F" w14:textId="77777777" w:rsidTr="00E62E84">
        <w:trPr>
          <w:trHeight w:val="20"/>
        </w:trPr>
        <w:tc>
          <w:tcPr>
            <w:tcW w:w="2836" w:type="dxa"/>
            <w:noWrap/>
            <w:vAlign w:val="center"/>
          </w:tcPr>
          <w:p w14:paraId="0CB0365B" w14:textId="77777777" w:rsidR="00473589" w:rsidRPr="004E13E9" w:rsidRDefault="00473589" w:rsidP="00E62E84">
            <w:pPr>
              <w:widowControl w:val="0"/>
              <w:jc w:val="both"/>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 xml:space="preserve">Allocation aux </w:t>
            </w:r>
            <w:proofErr w:type="spellStart"/>
            <w:r w:rsidRPr="004E13E9">
              <w:rPr>
                <w:rFonts w:eastAsia="MS Gothic" w:cs="Times New Roman"/>
                <w:b/>
                <w:color w:val="000000"/>
                <w:sz w:val="16"/>
                <w:szCs w:val="16"/>
                <w:lang w:eastAsia="fr-FR" w:bidi="fr-FR"/>
              </w:rPr>
              <w:t>prises</w:t>
            </w:r>
            <w:proofErr w:type="spellEnd"/>
            <w:r w:rsidRPr="004E13E9">
              <w:rPr>
                <w:rFonts w:eastAsia="MS Gothic" w:cs="Times New Roman"/>
                <w:b/>
                <w:color w:val="000000"/>
                <w:sz w:val="16"/>
                <w:szCs w:val="16"/>
                <w:lang w:eastAsia="fr-FR" w:bidi="fr-FR"/>
              </w:rPr>
              <w:t xml:space="preserve"> </w:t>
            </w:r>
            <w:proofErr w:type="spellStart"/>
            <w:r w:rsidRPr="004E13E9">
              <w:rPr>
                <w:rFonts w:eastAsia="MS Gothic" w:cs="Times New Roman"/>
                <w:b/>
                <w:color w:val="000000"/>
                <w:sz w:val="16"/>
                <w:szCs w:val="16"/>
                <w:lang w:eastAsia="fr-FR" w:bidi="fr-FR"/>
              </w:rPr>
              <w:t>accessoires</w:t>
            </w:r>
            <w:proofErr w:type="spellEnd"/>
          </w:p>
        </w:tc>
        <w:tc>
          <w:tcPr>
            <w:tcW w:w="1134" w:type="dxa"/>
            <w:noWrap/>
            <w:vAlign w:val="center"/>
          </w:tcPr>
          <w:p w14:paraId="5F220A1D" w14:textId="77777777" w:rsidR="00473589" w:rsidRPr="004E13E9" w:rsidRDefault="00473589" w:rsidP="00E62E84">
            <w:pPr>
              <w:widowControl w:val="0"/>
              <w:jc w:val="right"/>
              <w:rPr>
                <w:rFonts w:eastAsia="Times New Roman" w:cs="Calibri"/>
                <w:color w:val="000000"/>
                <w:sz w:val="16"/>
                <w:szCs w:val="16"/>
                <w:lang w:eastAsia="ja-JP" w:bidi="fr-FR"/>
              </w:rPr>
            </w:pPr>
          </w:p>
        </w:tc>
        <w:tc>
          <w:tcPr>
            <w:tcW w:w="739" w:type="dxa"/>
            <w:vAlign w:val="center"/>
          </w:tcPr>
          <w:p w14:paraId="37EAD832"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20" w:type="dxa"/>
            <w:noWrap/>
            <w:vAlign w:val="center"/>
          </w:tcPr>
          <w:p w14:paraId="4774D1F3"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67A744AC"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17025BD2"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8" w:type="dxa"/>
            <w:vAlign w:val="center"/>
          </w:tcPr>
          <w:p w14:paraId="508938E4"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3B58661C"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49520D7F"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83" w:type="dxa"/>
            <w:shd w:val="clear" w:color="000000" w:fill="D9D9D9"/>
            <w:vAlign w:val="center"/>
          </w:tcPr>
          <w:p w14:paraId="6BDCAC5B"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0BCD1C7E"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709" w:type="dxa"/>
            <w:vAlign w:val="center"/>
          </w:tcPr>
          <w:p w14:paraId="56CAC3F2"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0" w:type="dxa"/>
            <w:vAlign w:val="center"/>
          </w:tcPr>
          <w:p w14:paraId="3BCC0144"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851" w:type="dxa"/>
            <w:vAlign w:val="center"/>
          </w:tcPr>
          <w:p w14:paraId="1C596C31"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0,5</w:t>
            </w:r>
          </w:p>
        </w:tc>
        <w:tc>
          <w:tcPr>
            <w:tcW w:w="850" w:type="dxa"/>
            <w:vAlign w:val="center"/>
          </w:tcPr>
          <w:p w14:paraId="2D984927"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0,5</w:t>
            </w:r>
          </w:p>
        </w:tc>
        <w:tc>
          <w:tcPr>
            <w:tcW w:w="1276" w:type="dxa"/>
            <w:vAlign w:val="center"/>
          </w:tcPr>
          <w:p w14:paraId="463B1D3B"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0,5</w:t>
            </w:r>
          </w:p>
        </w:tc>
        <w:tc>
          <w:tcPr>
            <w:tcW w:w="992" w:type="dxa"/>
            <w:vAlign w:val="center"/>
          </w:tcPr>
          <w:p w14:paraId="64DD45E2"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0,5</w:t>
            </w:r>
          </w:p>
        </w:tc>
      </w:tr>
      <w:tr w:rsidR="00473589" w:rsidRPr="006A2397" w14:paraId="02E93BD8" w14:textId="77777777" w:rsidTr="00E62E84">
        <w:trPr>
          <w:trHeight w:val="20"/>
        </w:trPr>
        <w:tc>
          <w:tcPr>
            <w:tcW w:w="2836" w:type="dxa"/>
            <w:vAlign w:val="center"/>
          </w:tcPr>
          <w:p w14:paraId="786918E2" w14:textId="77777777" w:rsidR="00473589" w:rsidRPr="004E13E9" w:rsidRDefault="00473589" w:rsidP="00E62E84">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16"/>
                <w:lang w:val="fr-FR" w:eastAsia="fr-FR" w:bidi="fr-FR"/>
              </w:rPr>
              <w:t>Quota de recherche scientifique</w:t>
            </w:r>
          </w:p>
          <w:p w14:paraId="72EC9E65" w14:textId="77777777" w:rsidR="00473589" w:rsidRPr="004E13E9" w:rsidRDefault="00473589" w:rsidP="00E62E84">
            <w:pPr>
              <w:widowControl w:val="0"/>
              <w:jc w:val="both"/>
              <w:rPr>
                <w:rFonts w:eastAsia="Times New Roman" w:cs="Calibri"/>
                <w:b/>
                <w:bCs/>
                <w:color w:val="000000"/>
                <w:sz w:val="16"/>
                <w:szCs w:val="16"/>
                <w:lang w:val="fr-FR" w:eastAsia="ja-JP" w:bidi="fr-FR"/>
              </w:rPr>
            </w:pPr>
            <w:r w:rsidRPr="004E13E9">
              <w:rPr>
                <w:rFonts w:eastAsia="MS Gothic" w:cs="Times New Roman"/>
                <w:b/>
                <w:color w:val="000000"/>
                <w:sz w:val="16"/>
                <w:szCs w:val="16"/>
                <w:lang w:val="fr-FR" w:eastAsia="fr-FR" w:bidi="fr-FR"/>
              </w:rPr>
              <w:t>(le cas échéant)</w:t>
            </w:r>
          </w:p>
        </w:tc>
        <w:tc>
          <w:tcPr>
            <w:tcW w:w="1134" w:type="dxa"/>
            <w:noWrap/>
            <w:vAlign w:val="center"/>
          </w:tcPr>
          <w:p w14:paraId="7A85721D" w14:textId="77777777" w:rsidR="00473589" w:rsidRPr="004E13E9" w:rsidRDefault="00473589" w:rsidP="00E62E84">
            <w:pPr>
              <w:widowControl w:val="0"/>
              <w:jc w:val="right"/>
              <w:rPr>
                <w:rFonts w:eastAsia="Times New Roman" w:cs="Calibri"/>
                <w:b/>
                <w:bCs/>
                <w:color w:val="000000"/>
                <w:sz w:val="16"/>
                <w:szCs w:val="16"/>
                <w:lang w:val="fr-FR" w:eastAsia="ja-JP" w:bidi="fr-FR"/>
              </w:rPr>
            </w:pPr>
          </w:p>
        </w:tc>
        <w:tc>
          <w:tcPr>
            <w:tcW w:w="739" w:type="dxa"/>
            <w:vAlign w:val="center"/>
          </w:tcPr>
          <w:p w14:paraId="6C77B240" w14:textId="77777777" w:rsidR="00473589" w:rsidRPr="004E13E9" w:rsidRDefault="00473589" w:rsidP="00E62E84">
            <w:pPr>
              <w:widowControl w:val="0"/>
              <w:jc w:val="center"/>
              <w:rPr>
                <w:rFonts w:eastAsia="Times New Roman" w:cs="Calibri"/>
                <w:b/>
                <w:bCs/>
                <w:color w:val="000000"/>
                <w:sz w:val="16"/>
                <w:szCs w:val="16"/>
                <w:lang w:val="fr-FR" w:eastAsia="ja-JP" w:bidi="fr-FR"/>
              </w:rPr>
            </w:pPr>
          </w:p>
        </w:tc>
        <w:tc>
          <w:tcPr>
            <w:tcW w:w="820" w:type="dxa"/>
            <w:noWrap/>
            <w:vAlign w:val="center"/>
          </w:tcPr>
          <w:p w14:paraId="46FE3ADC" w14:textId="77777777" w:rsidR="00473589" w:rsidRPr="004E13E9" w:rsidRDefault="00473589" w:rsidP="00E62E84">
            <w:pPr>
              <w:widowControl w:val="0"/>
              <w:jc w:val="center"/>
              <w:rPr>
                <w:rFonts w:eastAsia="Times New Roman" w:cs="Calibri"/>
                <w:b/>
                <w:bCs/>
                <w:color w:val="000000"/>
                <w:sz w:val="16"/>
                <w:szCs w:val="16"/>
                <w:lang w:val="fr-FR" w:eastAsia="ja-JP" w:bidi="fr-FR"/>
              </w:rPr>
            </w:pPr>
          </w:p>
        </w:tc>
        <w:tc>
          <w:tcPr>
            <w:tcW w:w="709" w:type="dxa"/>
            <w:vAlign w:val="center"/>
          </w:tcPr>
          <w:p w14:paraId="2224DC45" w14:textId="77777777" w:rsidR="00473589" w:rsidRPr="004E13E9" w:rsidRDefault="00473589" w:rsidP="00E62E84">
            <w:pPr>
              <w:widowControl w:val="0"/>
              <w:jc w:val="center"/>
              <w:rPr>
                <w:rFonts w:eastAsia="Times New Roman" w:cs="Calibri"/>
                <w:b/>
                <w:bCs/>
                <w:color w:val="000000"/>
                <w:sz w:val="16"/>
                <w:szCs w:val="16"/>
                <w:lang w:val="fr-FR" w:eastAsia="ja-JP" w:bidi="fr-FR"/>
              </w:rPr>
            </w:pPr>
          </w:p>
        </w:tc>
        <w:tc>
          <w:tcPr>
            <w:tcW w:w="709" w:type="dxa"/>
            <w:vAlign w:val="center"/>
          </w:tcPr>
          <w:p w14:paraId="7B230E71" w14:textId="77777777" w:rsidR="00473589" w:rsidRPr="004E13E9" w:rsidRDefault="00473589" w:rsidP="00E62E84">
            <w:pPr>
              <w:widowControl w:val="0"/>
              <w:jc w:val="center"/>
              <w:rPr>
                <w:rFonts w:eastAsia="Times New Roman" w:cs="Calibri"/>
                <w:b/>
                <w:bCs/>
                <w:color w:val="000000"/>
                <w:sz w:val="16"/>
                <w:szCs w:val="16"/>
                <w:lang w:val="fr-FR" w:eastAsia="ja-JP" w:bidi="fr-FR"/>
              </w:rPr>
            </w:pPr>
          </w:p>
        </w:tc>
        <w:tc>
          <w:tcPr>
            <w:tcW w:w="708" w:type="dxa"/>
            <w:vAlign w:val="center"/>
          </w:tcPr>
          <w:p w14:paraId="0AEDFAEB" w14:textId="77777777" w:rsidR="00473589" w:rsidRPr="004E13E9" w:rsidRDefault="00473589" w:rsidP="00E62E84">
            <w:pPr>
              <w:widowControl w:val="0"/>
              <w:jc w:val="center"/>
              <w:rPr>
                <w:rFonts w:eastAsia="Times New Roman" w:cs="Calibri"/>
                <w:b/>
                <w:bCs/>
                <w:color w:val="000000"/>
                <w:sz w:val="16"/>
                <w:szCs w:val="16"/>
                <w:lang w:val="fr-FR" w:eastAsia="ja-JP" w:bidi="fr-FR"/>
              </w:rPr>
            </w:pPr>
          </w:p>
        </w:tc>
        <w:tc>
          <w:tcPr>
            <w:tcW w:w="709" w:type="dxa"/>
            <w:vAlign w:val="center"/>
          </w:tcPr>
          <w:p w14:paraId="66BFB234" w14:textId="77777777" w:rsidR="00473589" w:rsidRPr="004E13E9" w:rsidRDefault="00473589" w:rsidP="00E62E84">
            <w:pPr>
              <w:widowControl w:val="0"/>
              <w:jc w:val="center"/>
              <w:rPr>
                <w:rFonts w:eastAsia="Times New Roman" w:cs="Calibri"/>
                <w:b/>
                <w:bCs/>
                <w:color w:val="000000"/>
                <w:sz w:val="16"/>
                <w:szCs w:val="16"/>
                <w:lang w:val="fr-FR" w:eastAsia="ja-JP" w:bidi="fr-FR"/>
              </w:rPr>
            </w:pPr>
          </w:p>
        </w:tc>
        <w:tc>
          <w:tcPr>
            <w:tcW w:w="709" w:type="dxa"/>
            <w:vAlign w:val="center"/>
          </w:tcPr>
          <w:p w14:paraId="632474DE" w14:textId="77777777" w:rsidR="00473589" w:rsidRPr="004E13E9" w:rsidRDefault="00473589" w:rsidP="00E62E84">
            <w:pPr>
              <w:widowControl w:val="0"/>
              <w:jc w:val="center"/>
              <w:rPr>
                <w:rFonts w:eastAsia="Times New Roman" w:cs="Calibri"/>
                <w:color w:val="000000"/>
                <w:sz w:val="16"/>
                <w:szCs w:val="16"/>
                <w:lang w:val="fr-FR" w:eastAsia="ja-JP" w:bidi="fr-FR"/>
              </w:rPr>
            </w:pPr>
          </w:p>
        </w:tc>
        <w:tc>
          <w:tcPr>
            <w:tcW w:w="283" w:type="dxa"/>
            <w:shd w:val="clear" w:color="000000" w:fill="D9D9D9"/>
            <w:vAlign w:val="center"/>
          </w:tcPr>
          <w:p w14:paraId="08A44BC8" w14:textId="77777777" w:rsidR="00473589" w:rsidRPr="004E13E9" w:rsidRDefault="00473589" w:rsidP="00E62E84">
            <w:pPr>
              <w:widowControl w:val="0"/>
              <w:jc w:val="center"/>
              <w:rPr>
                <w:rFonts w:eastAsia="Times New Roman" w:cs="Calibri"/>
                <w:b/>
                <w:bCs/>
                <w:color w:val="000000"/>
                <w:sz w:val="16"/>
                <w:szCs w:val="16"/>
                <w:lang w:val="fr-FR" w:eastAsia="ja-JP" w:bidi="fr-FR"/>
              </w:rPr>
            </w:pPr>
          </w:p>
        </w:tc>
        <w:tc>
          <w:tcPr>
            <w:tcW w:w="709" w:type="dxa"/>
            <w:vAlign w:val="center"/>
          </w:tcPr>
          <w:p w14:paraId="21FBF70C" w14:textId="77777777" w:rsidR="00473589" w:rsidRPr="004E13E9" w:rsidRDefault="00473589" w:rsidP="00E62E84">
            <w:pPr>
              <w:widowControl w:val="0"/>
              <w:jc w:val="center"/>
              <w:rPr>
                <w:rFonts w:eastAsia="Times New Roman" w:cs="Calibri"/>
                <w:b/>
                <w:bCs/>
                <w:color w:val="000000"/>
                <w:sz w:val="16"/>
                <w:szCs w:val="16"/>
                <w:lang w:val="fr-FR" w:eastAsia="ja-JP" w:bidi="fr-FR"/>
              </w:rPr>
            </w:pPr>
          </w:p>
        </w:tc>
        <w:tc>
          <w:tcPr>
            <w:tcW w:w="709" w:type="dxa"/>
            <w:vAlign w:val="center"/>
          </w:tcPr>
          <w:p w14:paraId="5A415476" w14:textId="77777777" w:rsidR="00473589" w:rsidRPr="004E13E9" w:rsidRDefault="00473589" w:rsidP="00E62E84">
            <w:pPr>
              <w:widowControl w:val="0"/>
              <w:jc w:val="center"/>
              <w:rPr>
                <w:rFonts w:eastAsia="Times New Roman" w:cs="Calibri"/>
                <w:b/>
                <w:bCs/>
                <w:color w:val="000000"/>
                <w:sz w:val="16"/>
                <w:szCs w:val="16"/>
                <w:lang w:val="fr-FR" w:eastAsia="ja-JP" w:bidi="fr-FR"/>
              </w:rPr>
            </w:pPr>
          </w:p>
        </w:tc>
        <w:tc>
          <w:tcPr>
            <w:tcW w:w="850" w:type="dxa"/>
            <w:vAlign w:val="center"/>
          </w:tcPr>
          <w:p w14:paraId="17520930" w14:textId="77777777" w:rsidR="00473589" w:rsidRPr="004E13E9" w:rsidRDefault="00473589" w:rsidP="00E62E84">
            <w:pPr>
              <w:widowControl w:val="0"/>
              <w:jc w:val="center"/>
              <w:rPr>
                <w:rFonts w:eastAsia="Times New Roman" w:cs="Calibri"/>
                <w:b/>
                <w:bCs/>
                <w:color w:val="000000"/>
                <w:sz w:val="16"/>
                <w:szCs w:val="16"/>
                <w:lang w:val="fr-FR" w:eastAsia="ja-JP" w:bidi="fr-FR"/>
              </w:rPr>
            </w:pPr>
          </w:p>
        </w:tc>
        <w:tc>
          <w:tcPr>
            <w:tcW w:w="851" w:type="dxa"/>
            <w:noWrap/>
            <w:vAlign w:val="center"/>
          </w:tcPr>
          <w:p w14:paraId="41373381" w14:textId="77777777" w:rsidR="00473589" w:rsidRPr="004E13E9" w:rsidRDefault="00473589" w:rsidP="00E62E84">
            <w:pPr>
              <w:widowControl w:val="0"/>
              <w:jc w:val="center"/>
              <w:rPr>
                <w:rFonts w:eastAsia="Times New Roman" w:cs="Calibri"/>
                <w:b/>
                <w:bCs/>
                <w:color w:val="000000"/>
                <w:sz w:val="16"/>
                <w:szCs w:val="16"/>
                <w:lang w:val="fr-FR" w:eastAsia="ja-JP" w:bidi="fr-FR"/>
              </w:rPr>
            </w:pPr>
          </w:p>
        </w:tc>
        <w:tc>
          <w:tcPr>
            <w:tcW w:w="850" w:type="dxa"/>
            <w:noWrap/>
            <w:vAlign w:val="center"/>
          </w:tcPr>
          <w:p w14:paraId="7DBFB71F" w14:textId="77777777" w:rsidR="00473589" w:rsidRPr="004E13E9" w:rsidRDefault="00473589" w:rsidP="00E62E84">
            <w:pPr>
              <w:widowControl w:val="0"/>
              <w:jc w:val="center"/>
              <w:rPr>
                <w:rFonts w:eastAsia="Times New Roman" w:cs="Calibri"/>
                <w:b/>
                <w:bCs/>
                <w:color w:val="000000"/>
                <w:sz w:val="16"/>
                <w:szCs w:val="16"/>
                <w:lang w:val="fr-FR" w:eastAsia="ja-JP" w:bidi="fr-FR"/>
              </w:rPr>
            </w:pPr>
          </w:p>
        </w:tc>
        <w:tc>
          <w:tcPr>
            <w:tcW w:w="1276" w:type="dxa"/>
            <w:noWrap/>
            <w:vAlign w:val="center"/>
          </w:tcPr>
          <w:p w14:paraId="3EE1299B" w14:textId="77777777" w:rsidR="00473589" w:rsidRPr="004E13E9" w:rsidRDefault="00473589" w:rsidP="00E62E84">
            <w:pPr>
              <w:widowControl w:val="0"/>
              <w:jc w:val="center"/>
              <w:rPr>
                <w:rFonts w:eastAsia="Times New Roman" w:cs="Calibri"/>
                <w:b/>
                <w:bCs/>
                <w:color w:val="000000"/>
                <w:sz w:val="16"/>
                <w:szCs w:val="16"/>
                <w:lang w:val="fr-FR" w:eastAsia="ja-JP" w:bidi="fr-FR"/>
              </w:rPr>
            </w:pPr>
          </w:p>
        </w:tc>
        <w:tc>
          <w:tcPr>
            <w:tcW w:w="992" w:type="dxa"/>
            <w:vAlign w:val="center"/>
          </w:tcPr>
          <w:p w14:paraId="5F05F733" w14:textId="77777777" w:rsidR="00473589" w:rsidRPr="004E13E9" w:rsidRDefault="00473589" w:rsidP="00E62E84">
            <w:pPr>
              <w:widowControl w:val="0"/>
              <w:jc w:val="center"/>
              <w:rPr>
                <w:rFonts w:eastAsia="Times New Roman" w:cs="Calibri"/>
                <w:b/>
                <w:bCs/>
                <w:color w:val="000000"/>
                <w:sz w:val="16"/>
                <w:szCs w:val="16"/>
                <w:lang w:val="fr-FR" w:eastAsia="ja-JP" w:bidi="fr-FR"/>
              </w:rPr>
            </w:pPr>
          </w:p>
        </w:tc>
      </w:tr>
      <w:tr w:rsidR="00473589" w:rsidRPr="004E13E9" w14:paraId="427CDAC5" w14:textId="77777777" w:rsidTr="00E62E84">
        <w:trPr>
          <w:trHeight w:val="20"/>
        </w:trPr>
        <w:tc>
          <w:tcPr>
            <w:tcW w:w="2836" w:type="dxa"/>
            <w:vAlign w:val="center"/>
          </w:tcPr>
          <w:p w14:paraId="48A9788D" w14:textId="77777777" w:rsidR="00473589" w:rsidRPr="004E13E9" w:rsidRDefault="00473589" w:rsidP="00E62E84">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16"/>
                <w:lang w:val="fr-FR" w:eastAsia="fr-FR" w:bidi="fr-FR"/>
              </w:rPr>
              <w:t>Tolérance pour la pêche sportive/récréative</w:t>
            </w:r>
          </w:p>
          <w:p w14:paraId="2882A413" w14:textId="77777777" w:rsidR="00473589" w:rsidRPr="004E13E9" w:rsidRDefault="00473589" w:rsidP="00E62E84">
            <w:pPr>
              <w:widowControl w:val="0"/>
              <w:jc w:val="both"/>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 xml:space="preserve">(le </w:t>
            </w:r>
            <w:proofErr w:type="spellStart"/>
            <w:r w:rsidRPr="004E13E9">
              <w:rPr>
                <w:rFonts w:eastAsia="MS Gothic" w:cs="Times New Roman"/>
                <w:b/>
                <w:color w:val="000000"/>
                <w:sz w:val="16"/>
                <w:szCs w:val="16"/>
                <w:lang w:eastAsia="fr-FR" w:bidi="fr-FR"/>
              </w:rPr>
              <w:t>cas</w:t>
            </w:r>
            <w:proofErr w:type="spellEnd"/>
            <w:r w:rsidRPr="004E13E9">
              <w:rPr>
                <w:rFonts w:eastAsia="MS Gothic" w:cs="Times New Roman"/>
                <w:b/>
                <w:color w:val="000000"/>
                <w:sz w:val="16"/>
                <w:szCs w:val="16"/>
                <w:lang w:eastAsia="fr-FR" w:bidi="fr-FR"/>
              </w:rPr>
              <w:t xml:space="preserve"> échéant)</w:t>
            </w:r>
          </w:p>
        </w:tc>
        <w:tc>
          <w:tcPr>
            <w:tcW w:w="1134" w:type="dxa"/>
            <w:noWrap/>
            <w:vAlign w:val="center"/>
          </w:tcPr>
          <w:p w14:paraId="36DD3822" w14:textId="77777777" w:rsidR="00473589" w:rsidRPr="004E13E9" w:rsidRDefault="00473589" w:rsidP="00E62E84">
            <w:pPr>
              <w:widowControl w:val="0"/>
              <w:jc w:val="right"/>
              <w:rPr>
                <w:rFonts w:eastAsia="Times New Roman" w:cs="Calibri"/>
                <w:b/>
                <w:bCs/>
                <w:color w:val="000000"/>
                <w:sz w:val="16"/>
                <w:szCs w:val="16"/>
                <w:lang w:eastAsia="ja-JP" w:bidi="fr-FR"/>
              </w:rPr>
            </w:pPr>
          </w:p>
        </w:tc>
        <w:tc>
          <w:tcPr>
            <w:tcW w:w="739" w:type="dxa"/>
            <w:vAlign w:val="center"/>
          </w:tcPr>
          <w:p w14:paraId="5FBF31EA"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20" w:type="dxa"/>
            <w:noWrap/>
            <w:vAlign w:val="center"/>
          </w:tcPr>
          <w:p w14:paraId="44EAB560"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7B3CF5C5"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6CAD74DC"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8" w:type="dxa"/>
            <w:vAlign w:val="center"/>
          </w:tcPr>
          <w:p w14:paraId="55690425"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38D0F2C2"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42FDC4DC"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83" w:type="dxa"/>
            <w:shd w:val="clear" w:color="000000" w:fill="D9D9D9"/>
            <w:vAlign w:val="center"/>
          </w:tcPr>
          <w:p w14:paraId="1C75F13C"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73B43EF2"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64DFB3F0"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0" w:type="dxa"/>
            <w:vAlign w:val="center"/>
          </w:tcPr>
          <w:p w14:paraId="7506D8EC"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1" w:type="dxa"/>
            <w:noWrap/>
            <w:vAlign w:val="center"/>
          </w:tcPr>
          <w:p w14:paraId="22BCD4AA"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0" w:type="dxa"/>
            <w:noWrap/>
            <w:vAlign w:val="center"/>
          </w:tcPr>
          <w:p w14:paraId="41374C35"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1276" w:type="dxa"/>
            <w:noWrap/>
            <w:vAlign w:val="center"/>
          </w:tcPr>
          <w:p w14:paraId="01736DEA"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992" w:type="dxa"/>
            <w:vAlign w:val="center"/>
          </w:tcPr>
          <w:p w14:paraId="444C699F" w14:textId="77777777" w:rsidR="00473589" w:rsidRPr="004E13E9" w:rsidRDefault="00473589" w:rsidP="00E62E84">
            <w:pPr>
              <w:widowControl w:val="0"/>
              <w:jc w:val="center"/>
              <w:rPr>
                <w:rFonts w:eastAsia="Times New Roman" w:cs="Calibri"/>
                <w:b/>
                <w:bCs/>
                <w:color w:val="000000"/>
                <w:sz w:val="16"/>
                <w:szCs w:val="16"/>
                <w:lang w:eastAsia="ja-JP" w:bidi="fr-FR"/>
              </w:rPr>
            </w:pPr>
          </w:p>
        </w:tc>
      </w:tr>
      <w:tr w:rsidR="00473589" w:rsidRPr="004E13E9" w14:paraId="092213A6" w14:textId="77777777" w:rsidTr="00E62E84">
        <w:trPr>
          <w:trHeight w:val="20"/>
        </w:trPr>
        <w:tc>
          <w:tcPr>
            <w:tcW w:w="2836" w:type="dxa"/>
            <w:vAlign w:val="center"/>
          </w:tcPr>
          <w:p w14:paraId="4AE18CFC" w14:textId="77777777" w:rsidR="00473589" w:rsidRPr="004E13E9" w:rsidRDefault="00473589" w:rsidP="00E62E84">
            <w:pPr>
              <w:widowControl w:val="0"/>
              <w:jc w:val="both"/>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Quota disponible</w:t>
            </w:r>
          </w:p>
        </w:tc>
        <w:tc>
          <w:tcPr>
            <w:tcW w:w="1134" w:type="dxa"/>
            <w:noWrap/>
            <w:vAlign w:val="center"/>
          </w:tcPr>
          <w:p w14:paraId="49EA7C15" w14:textId="77777777" w:rsidR="00473589" w:rsidRPr="004E13E9" w:rsidRDefault="00473589" w:rsidP="00E62E84">
            <w:pPr>
              <w:widowControl w:val="0"/>
              <w:jc w:val="right"/>
              <w:rPr>
                <w:rFonts w:eastAsia="Times New Roman" w:cs="Calibri"/>
                <w:b/>
                <w:bCs/>
                <w:color w:val="000000"/>
                <w:sz w:val="16"/>
                <w:szCs w:val="16"/>
                <w:lang w:eastAsia="ja-JP" w:bidi="fr-FR"/>
              </w:rPr>
            </w:pPr>
          </w:p>
        </w:tc>
        <w:tc>
          <w:tcPr>
            <w:tcW w:w="739" w:type="dxa"/>
            <w:vAlign w:val="center"/>
          </w:tcPr>
          <w:p w14:paraId="43A717FB"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20" w:type="dxa"/>
            <w:noWrap/>
            <w:vAlign w:val="center"/>
          </w:tcPr>
          <w:p w14:paraId="7C4FD6AA"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1DEB39D6"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641686CE"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8" w:type="dxa"/>
            <w:vAlign w:val="center"/>
          </w:tcPr>
          <w:p w14:paraId="4F3E724A"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29B3587A"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605600C2"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83" w:type="dxa"/>
            <w:shd w:val="clear" w:color="000000" w:fill="D9D9D9"/>
            <w:vAlign w:val="center"/>
          </w:tcPr>
          <w:p w14:paraId="5E67F468"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55182321"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709" w:type="dxa"/>
            <w:vAlign w:val="center"/>
          </w:tcPr>
          <w:p w14:paraId="1A0891AA"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0" w:type="dxa"/>
            <w:vAlign w:val="center"/>
          </w:tcPr>
          <w:p w14:paraId="55C8F714" w14:textId="77777777" w:rsidR="00473589" w:rsidRPr="004E13E9" w:rsidRDefault="00473589" w:rsidP="00E62E84">
            <w:pPr>
              <w:widowControl w:val="0"/>
              <w:jc w:val="center"/>
              <w:rPr>
                <w:rFonts w:eastAsia="Times New Roman" w:cs="Calibri"/>
                <w:b/>
                <w:bCs/>
                <w:color w:val="000000"/>
                <w:sz w:val="16"/>
                <w:szCs w:val="16"/>
                <w:lang w:eastAsia="ja-JP" w:bidi="fr-FR"/>
              </w:rPr>
            </w:pPr>
          </w:p>
        </w:tc>
        <w:tc>
          <w:tcPr>
            <w:tcW w:w="851" w:type="dxa"/>
            <w:noWrap/>
            <w:vAlign w:val="center"/>
          </w:tcPr>
          <w:p w14:paraId="19BBAFAE" w14:textId="77777777" w:rsidR="00473589" w:rsidRPr="004E13E9" w:rsidRDefault="00473589" w:rsidP="00E62E84">
            <w:pPr>
              <w:widowControl w:val="0"/>
              <w:jc w:val="center"/>
              <w:rPr>
                <w:rFonts w:eastAsia="MS Gothic" w:cs="Times New Roman"/>
                <w:sz w:val="16"/>
                <w:szCs w:val="16"/>
                <w:lang w:eastAsia="fr-FR" w:bidi="fr-FR"/>
              </w:rPr>
            </w:pPr>
            <w:r w:rsidRPr="004E13E9">
              <w:rPr>
                <w:rFonts w:eastAsia="MS Gothic" w:cs="Times New Roman"/>
                <w:sz w:val="16"/>
                <w:szCs w:val="16"/>
                <w:lang w:eastAsia="fr-FR" w:bidi="fr-FR"/>
              </w:rPr>
              <w:t xml:space="preserve">278,224  </w:t>
            </w:r>
          </w:p>
          <w:p w14:paraId="504F71E3"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sz w:val="16"/>
                <w:szCs w:val="16"/>
                <w:lang w:eastAsia="fr-FR" w:bidi="fr-FR"/>
              </w:rPr>
              <w:t>(278,724-0,5)</w:t>
            </w:r>
          </w:p>
        </w:tc>
        <w:tc>
          <w:tcPr>
            <w:tcW w:w="850" w:type="dxa"/>
            <w:noWrap/>
            <w:vAlign w:val="center"/>
          </w:tcPr>
          <w:p w14:paraId="12D0FCD7"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sz w:val="16"/>
                <w:szCs w:val="16"/>
                <w:lang w:eastAsia="fr-FR" w:bidi="fr-FR"/>
              </w:rPr>
              <w:t>275,679 (276,179-0,5)</w:t>
            </w:r>
          </w:p>
        </w:tc>
        <w:tc>
          <w:tcPr>
            <w:tcW w:w="1276" w:type="dxa"/>
            <w:noWrap/>
            <w:vAlign w:val="center"/>
          </w:tcPr>
          <w:p w14:paraId="768082BE"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sz w:val="16"/>
                <w:szCs w:val="16"/>
                <w:lang w:eastAsia="fr-FR" w:bidi="fr-FR"/>
              </w:rPr>
              <w:t>278,724 (279,224-0,5)</w:t>
            </w:r>
          </w:p>
        </w:tc>
        <w:tc>
          <w:tcPr>
            <w:tcW w:w="992" w:type="dxa"/>
            <w:vAlign w:val="center"/>
          </w:tcPr>
          <w:p w14:paraId="3B24AD88" w14:textId="77777777" w:rsidR="00473589" w:rsidRPr="004E13E9" w:rsidRDefault="00473589" w:rsidP="00E62E84">
            <w:pPr>
              <w:widowControl w:val="0"/>
              <w:jc w:val="center"/>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439,823 (440,323 – 0,5)</w:t>
            </w:r>
          </w:p>
        </w:tc>
      </w:tr>
      <w:tr w:rsidR="00473589" w:rsidRPr="004E13E9" w14:paraId="490FA28C" w14:textId="77777777" w:rsidTr="00E62E84">
        <w:trPr>
          <w:trHeight w:val="20"/>
        </w:trPr>
        <w:tc>
          <w:tcPr>
            <w:tcW w:w="2836" w:type="dxa"/>
            <w:shd w:val="clear" w:color="auto" w:fill="D9D9D9"/>
            <w:noWrap/>
            <w:vAlign w:val="center"/>
            <w:hideMark/>
          </w:tcPr>
          <w:p w14:paraId="7B588797" w14:textId="77777777" w:rsidR="00473589" w:rsidRPr="004E13E9" w:rsidRDefault="00473589" w:rsidP="00E62E84">
            <w:pPr>
              <w:widowControl w:val="0"/>
              <w:jc w:val="both"/>
              <w:rPr>
                <w:rFonts w:eastAsia="Times New Roman" w:cs="Calibri"/>
                <w:b/>
                <w:bCs/>
                <w:color w:val="000000"/>
                <w:sz w:val="16"/>
                <w:szCs w:val="16"/>
                <w:lang w:eastAsia="fr-FR" w:bidi="fr-FR"/>
              </w:rPr>
            </w:pPr>
            <w:r w:rsidRPr="004E13E9">
              <w:rPr>
                <w:rFonts w:eastAsia="MS Gothic" w:cs="Times New Roman"/>
                <w:b/>
                <w:color w:val="000000"/>
                <w:sz w:val="16"/>
                <w:szCs w:val="16"/>
                <w:lang w:eastAsia="fr-FR" w:bidi="fr-FR"/>
              </w:rPr>
              <w:t>Sous/</w:t>
            </w:r>
            <w:proofErr w:type="spellStart"/>
            <w:r w:rsidRPr="004E13E9">
              <w:rPr>
                <w:rFonts w:eastAsia="MS Gothic" w:cs="Times New Roman"/>
                <w:b/>
                <w:color w:val="000000"/>
                <w:sz w:val="16"/>
                <w:szCs w:val="16"/>
                <w:lang w:eastAsia="fr-FR" w:bidi="fr-FR"/>
              </w:rPr>
              <w:t>surcapacité</w:t>
            </w:r>
            <w:proofErr w:type="spellEnd"/>
          </w:p>
        </w:tc>
        <w:tc>
          <w:tcPr>
            <w:tcW w:w="1134" w:type="dxa"/>
            <w:shd w:val="clear" w:color="auto" w:fill="D9D9D9"/>
            <w:noWrap/>
            <w:vAlign w:val="center"/>
            <w:hideMark/>
          </w:tcPr>
          <w:p w14:paraId="0E56A637" w14:textId="77777777" w:rsidR="00473589" w:rsidRPr="004E13E9" w:rsidRDefault="00473589" w:rsidP="00E62E84">
            <w:pPr>
              <w:widowControl w:val="0"/>
              <w:jc w:val="right"/>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 </w:t>
            </w:r>
          </w:p>
        </w:tc>
        <w:tc>
          <w:tcPr>
            <w:tcW w:w="739" w:type="dxa"/>
            <w:shd w:val="clear" w:color="auto" w:fill="D9D9D9"/>
          </w:tcPr>
          <w:p w14:paraId="2D335749" w14:textId="77777777" w:rsidR="00473589" w:rsidRPr="004E13E9" w:rsidRDefault="00473589" w:rsidP="00E62E84">
            <w:pPr>
              <w:widowControl w:val="0"/>
              <w:jc w:val="both"/>
              <w:rPr>
                <w:rFonts w:eastAsia="Times New Roman" w:cs="Calibri"/>
                <w:color w:val="000000"/>
                <w:sz w:val="16"/>
                <w:szCs w:val="16"/>
                <w:lang w:eastAsia="ja-JP" w:bidi="fr-FR"/>
              </w:rPr>
            </w:pPr>
          </w:p>
        </w:tc>
        <w:tc>
          <w:tcPr>
            <w:tcW w:w="820" w:type="dxa"/>
            <w:shd w:val="clear" w:color="auto" w:fill="D9D9D9"/>
            <w:noWrap/>
            <w:vAlign w:val="center"/>
            <w:hideMark/>
          </w:tcPr>
          <w:p w14:paraId="25A8540D" w14:textId="77777777" w:rsidR="00473589" w:rsidRPr="004E13E9" w:rsidRDefault="00473589" w:rsidP="00E62E84">
            <w:pPr>
              <w:widowControl w:val="0"/>
              <w:jc w:val="both"/>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 </w:t>
            </w:r>
          </w:p>
        </w:tc>
        <w:tc>
          <w:tcPr>
            <w:tcW w:w="709" w:type="dxa"/>
            <w:shd w:val="clear" w:color="auto" w:fill="D9D9D9"/>
            <w:vAlign w:val="center"/>
            <w:hideMark/>
          </w:tcPr>
          <w:p w14:paraId="45AD49F8" w14:textId="77777777" w:rsidR="00473589" w:rsidRPr="004E13E9" w:rsidRDefault="00473589" w:rsidP="00E62E84">
            <w:pPr>
              <w:widowControl w:val="0"/>
              <w:jc w:val="both"/>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 </w:t>
            </w:r>
          </w:p>
        </w:tc>
        <w:tc>
          <w:tcPr>
            <w:tcW w:w="709" w:type="dxa"/>
            <w:shd w:val="clear" w:color="auto" w:fill="D9D9D9"/>
            <w:vAlign w:val="center"/>
            <w:hideMark/>
          </w:tcPr>
          <w:p w14:paraId="23FB815E" w14:textId="77777777" w:rsidR="00473589" w:rsidRPr="004E13E9" w:rsidRDefault="00473589" w:rsidP="00E62E84">
            <w:pPr>
              <w:widowControl w:val="0"/>
              <w:jc w:val="both"/>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 </w:t>
            </w:r>
          </w:p>
        </w:tc>
        <w:tc>
          <w:tcPr>
            <w:tcW w:w="708" w:type="dxa"/>
            <w:shd w:val="clear" w:color="auto" w:fill="D9D9D9"/>
            <w:vAlign w:val="center"/>
            <w:hideMark/>
          </w:tcPr>
          <w:p w14:paraId="029EB790" w14:textId="77777777" w:rsidR="00473589" w:rsidRPr="004E13E9" w:rsidRDefault="00473589" w:rsidP="00E62E84">
            <w:pPr>
              <w:widowControl w:val="0"/>
              <w:jc w:val="both"/>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 </w:t>
            </w:r>
          </w:p>
        </w:tc>
        <w:tc>
          <w:tcPr>
            <w:tcW w:w="709" w:type="dxa"/>
            <w:shd w:val="clear" w:color="auto" w:fill="D9D9D9"/>
          </w:tcPr>
          <w:p w14:paraId="1DF4BC92" w14:textId="77777777" w:rsidR="00473589" w:rsidRPr="004E13E9" w:rsidRDefault="00473589" w:rsidP="00E62E84">
            <w:pPr>
              <w:widowControl w:val="0"/>
              <w:jc w:val="both"/>
              <w:rPr>
                <w:rFonts w:eastAsia="Times New Roman" w:cs="Calibri"/>
                <w:color w:val="000000"/>
                <w:sz w:val="16"/>
                <w:szCs w:val="16"/>
                <w:lang w:eastAsia="ja-JP" w:bidi="fr-FR"/>
              </w:rPr>
            </w:pPr>
          </w:p>
        </w:tc>
        <w:tc>
          <w:tcPr>
            <w:tcW w:w="709" w:type="dxa"/>
            <w:shd w:val="clear" w:color="auto" w:fill="D9D9D9"/>
          </w:tcPr>
          <w:p w14:paraId="50F2FBCA" w14:textId="77777777" w:rsidR="00473589" w:rsidRPr="004E13E9" w:rsidRDefault="00473589" w:rsidP="00E62E84">
            <w:pPr>
              <w:widowControl w:val="0"/>
              <w:jc w:val="center"/>
              <w:rPr>
                <w:rFonts w:eastAsia="Times New Roman" w:cs="Calibri"/>
                <w:color w:val="000000"/>
                <w:sz w:val="16"/>
                <w:szCs w:val="16"/>
                <w:lang w:eastAsia="ja-JP" w:bidi="fr-FR"/>
              </w:rPr>
            </w:pPr>
          </w:p>
        </w:tc>
        <w:tc>
          <w:tcPr>
            <w:tcW w:w="283" w:type="dxa"/>
            <w:shd w:val="clear" w:color="auto" w:fill="D9D9D9"/>
            <w:vAlign w:val="center"/>
            <w:hideMark/>
          </w:tcPr>
          <w:p w14:paraId="14B2618E" w14:textId="77777777" w:rsidR="00473589" w:rsidRPr="004E13E9" w:rsidRDefault="00473589" w:rsidP="00E62E84">
            <w:pPr>
              <w:widowControl w:val="0"/>
              <w:jc w:val="both"/>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 </w:t>
            </w:r>
          </w:p>
        </w:tc>
        <w:tc>
          <w:tcPr>
            <w:tcW w:w="709" w:type="dxa"/>
            <w:shd w:val="clear" w:color="auto" w:fill="D9D9D9"/>
          </w:tcPr>
          <w:p w14:paraId="1A555104" w14:textId="77777777" w:rsidR="00473589" w:rsidRPr="004E13E9" w:rsidRDefault="00473589" w:rsidP="00E62E84">
            <w:pPr>
              <w:widowControl w:val="0"/>
              <w:jc w:val="both"/>
              <w:rPr>
                <w:rFonts w:eastAsia="Times New Roman" w:cs="Calibri"/>
                <w:color w:val="000000"/>
                <w:sz w:val="16"/>
                <w:szCs w:val="16"/>
                <w:lang w:eastAsia="ja-JP" w:bidi="fr-FR"/>
              </w:rPr>
            </w:pPr>
          </w:p>
        </w:tc>
        <w:tc>
          <w:tcPr>
            <w:tcW w:w="709" w:type="dxa"/>
            <w:shd w:val="clear" w:color="auto" w:fill="D9D9D9"/>
            <w:vAlign w:val="center"/>
            <w:hideMark/>
          </w:tcPr>
          <w:p w14:paraId="5611C46B" w14:textId="77777777" w:rsidR="00473589" w:rsidRPr="004E13E9" w:rsidRDefault="00473589" w:rsidP="00E62E84">
            <w:pPr>
              <w:widowControl w:val="0"/>
              <w:jc w:val="both"/>
              <w:rPr>
                <w:rFonts w:eastAsia="Times New Roman" w:cs="Calibri"/>
                <w:color w:val="000000"/>
                <w:sz w:val="16"/>
                <w:szCs w:val="16"/>
                <w:lang w:eastAsia="fr-FR" w:bidi="fr-FR"/>
              </w:rPr>
            </w:pPr>
            <w:r w:rsidRPr="004E13E9">
              <w:rPr>
                <w:rFonts w:eastAsia="MS Gothic" w:cs="Times New Roman"/>
                <w:color w:val="000000"/>
                <w:sz w:val="16"/>
                <w:szCs w:val="16"/>
                <w:lang w:eastAsia="fr-FR" w:bidi="fr-FR"/>
              </w:rPr>
              <w:t> </w:t>
            </w:r>
          </w:p>
        </w:tc>
        <w:tc>
          <w:tcPr>
            <w:tcW w:w="850" w:type="dxa"/>
            <w:shd w:val="clear" w:color="auto" w:fill="D9D9D9"/>
            <w:vAlign w:val="center"/>
            <w:hideMark/>
          </w:tcPr>
          <w:p w14:paraId="02A91F08" w14:textId="77777777" w:rsidR="00473589" w:rsidRPr="004E13E9" w:rsidRDefault="00473589" w:rsidP="00E62E84">
            <w:pPr>
              <w:widowControl w:val="0"/>
              <w:jc w:val="both"/>
              <w:rPr>
                <w:rFonts w:eastAsia="Times New Roman" w:cs="Calibri"/>
                <w:color w:val="000000"/>
                <w:sz w:val="16"/>
                <w:szCs w:val="16"/>
                <w:lang w:eastAsia="fr-FR" w:bidi="fr-FR"/>
              </w:rPr>
            </w:pPr>
            <w:r w:rsidRPr="004E13E9">
              <w:rPr>
                <w:rFonts w:eastAsia="MS Gothic" w:cs="Times New Roman"/>
                <w:sz w:val="16"/>
                <w:szCs w:val="16"/>
                <w:lang w:eastAsia="fr-FR" w:bidi="fr-FR"/>
              </w:rPr>
              <w:t> -130,8</w:t>
            </w:r>
          </w:p>
        </w:tc>
        <w:tc>
          <w:tcPr>
            <w:tcW w:w="851" w:type="dxa"/>
            <w:shd w:val="clear" w:color="auto" w:fill="D9D9D9"/>
            <w:vAlign w:val="center"/>
            <w:hideMark/>
          </w:tcPr>
          <w:p w14:paraId="2D18276F"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sz w:val="16"/>
                <w:szCs w:val="16"/>
                <w:lang w:eastAsia="fr-FR" w:bidi="fr-FR"/>
              </w:rPr>
              <w:t>-178,224</w:t>
            </w:r>
          </w:p>
        </w:tc>
        <w:tc>
          <w:tcPr>
            <w:tcW w:w="850" w:type="dxa"/>
            <w:shd w:val="clear" w:color="auto" w:fill="D9D9D9"/>
            <w:vAlign w:val="center"/>
            <w:hideMark/>
          </w:tcPr>
          <w:p w14:paraId="12ADA9A4"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sz w:val="16"/>
                <w:szCs w:val="16"/>
                <w:lang w:eastAsia="fr-FR" w:bidi="fr-FR"/>
              </w:rPr>
              <w:t>-175,679</w:t>
            </w:r>
          </w:p>
        </w:tc>
        <w:tc>
          <w:tcPr>
            <w:tcW w:w="1276" w:type="dxa"/>
            <w:shd w:val="clear" w:color="auto" w:fill="D9D9D9"/>
            <w:vAlign w:val="center"/>
            <w:hideMark/>
          </w:tcPr>
          <w:p w14:paraId="2B51BAAB" w14:textId="77777777" w:rsidR="00473589" w:rsidRPr="004E13E9" w:rsidRDefault="00473589" w:rsidP="00E62E84">
            <w:pPr>
              <w:widowControl w:val="0"/>
              <w:jc w:val="center"/>
              <w:rPr>
                <w:rFonts w:eastAsia="Times New Roman" w:cs="Calibri"/>
                <w:color w:val="000000"/>
                <w:sz w:val="16"/>
                <w:szCs w:val="16"/>
                <w:lang w:eastAsia="fr-FR" w:bidi="fr-FR"/>
              </w:rPr>
            </w:pPr>
            <w:r w:rsidRPr="004E13E9">
              <w:rPr>
                <w:rFonts w:eastAsia="MS Gothic" w:cs="Times New Roman"/>
                <w:sz w:val="16"/>
                <w:szCs w:val="16"/>
                <w:lang w:eastAsia="fr-FR" w:bidi="fr-FR"/>
              </w:rPr>
              <w:t>-178,724</w:t>
            </w:r>
          </w:p>
        </w:tc>
        <w:tc>
          <w:tcPr>
            <w:tcW w:w="992" w:type="dxa"/>
            <w:shd w:val="clear" w:color="auto" w:fill="D9D9D9"/>
            <w:vAlign w:val="center"/>
          </w:tcPr>
          <w:p w14:paraId="7972ED89" w14:textId="77777777" w:rsidR="00473589" w:rsidRPr="004E13E9" w:rsidRDefault="00473589" w:rsidP="00E62E84">
            <w:pPr>
              <w:widowControl w:val="0"/>
              <w:jc w:val="center"/>
              <w:rPr>
                <w:rFonts w:eastAsia="Malgun Gothic" w:cs="Calibri"/>
                <w:color w:val="000000"/>
                <w:sz w:val="16"/>
                <w:szCs w:val="16"/>
                <w:lang w:eastAsia="fr-FR" w:bidi="fr-FR"/>
              </w:rPr>
            </w:pPr>
            <w:r w:rsidRPr="004E13E9">
              <w:rPr>
                <w:rFonts w:eastAsia="MS Gothic" w:cs="Times New Roman"/>
                <w:color w:val="000000"/>
                <w:sz w:val="16"/>
                <w:szCs w:val="16"/>
                <w:lang w:eastAsia="fr-FR" w:bidi="fr-FR"/>
              </w:rPr>
              <w:t>-289,823</w:t>
            </w:r>
          </w:p>
        </w:tc>
      </w:tr>
    </w:tbl>
    <w:p w14:paraId="77DB9F69" w14:textId="77777777" w:rsidR="00473589" w:rsidRPr="004E13E9" w:rsidRDefault="00473589" w:rsidP="00473589">
      <w:pPr>
        <w:widowControl w:val="0"/>
        <w:jc w:val="both"/>
        <w:rPr>
          <w:rFonts w:eastAsia="Malgun Gothic" w:cs="Times New Roman"/>
          <w:sz w:val="16"/>
          <w:szCs w:val="16"/>
          <w:lang w:val="fr-FR" w:eastAsia="fr-FR" w:bidi="fr-FR"/>
        </w:rPr>
      </w:pPr>
      <w:r w:rsidRPr="004E13E9">
        <w:rPr>
          <w:rFonts w:eastAsia="MS Gothic" w:cs="Times New Roman"/>
          <w:sz w:val="16"/>
          <w:szCs w:val="16"/>
          <w:lang w:val="fr-FR" w:eastAsia="fr-FR" w:bidi="fr-FR"/>
        </w:rPr>
        <w:t>* 368,93 t de quota initial + 50 t de transfert de quota du Taipei chinois + 21,393 t de quota inutilisé reporté de 2025 - 0,5 t pour d'éventuelles prises accessoires.</w:t>
      </w:r>
    </w:p>
    <w:p w14:paraId="3353FCBE" w14:textId="77777777" w:rsidR="00473589" w:rsidRPr="004E13E9" w:rsidRDefault="00473589">
      <w:pPr>
        <w:rPr>
          <w:lang w:val="fr-FR"/>
        </w:rPr>
      </w:pPr>
    </w:p>
    <w:p w14:paraId="68B93EDD" w14:textId="77777777" w:rsidR="00142152" w:rsidRPr="004E13E9" w:rsidRDefault="00142152">
      <w:pPr>
        <w:rPr>
          <w:b/>
          <w:bCs/>
          <w:lang w:val="fr-FR" w:eastAsia="en-GB"/>
        </w:rPr>
        <w:sectPr w:rsidR="00142152" w:rsidRPr="004E13E9" w:rsidSect="00473589">
          <w:footnotePr>
            <w:numFmt w:val="chicago"/>
          </w:footnotePr>
          <w:pgSz w:w="16840" w:h="11907" w:orient="landscape" w:code="9"/>
          <w:pgMar w:top="1418" w:right="1418" w:bottom="1418" w:left="1418" w:header="851" w:footer="1134" w:gutter="0"/>
          <w:cols w:space="720"/>
          <w:docGrid w:linePitch="272"/>
        </w:sectPr>
      </w:pPr>
      <w:r w:rsidRPr="004E13E9">
        <w:rPr>
          <w:b/>
          <w:bCs/>
          <w:lang w:val="fr-FR" w:eastAsia="en-GB"/>
        </w:rPr>
        <w:br w:type="page"/>
      </w:r>
    </w:p>
    <w:p w14:paraId="204443AC" w14:textId="66F0ED95" w:rsidR="008552C7" w:rsidRPr="004E13E9" w:rsidRDefault="008552C7" w:rsidP="008552C7">
      <w:pPr>
        <w:rPr>
          <w:lang w:val="it-IT" w:eastAsia="en-GB"/>
        </w:rPr>
      </w:pPr>
      <w:proofErr w:type="spellStart"/>
      <w:r w:rsidRPr="004E13E9">
        <w:rPr>
          <w:b/>
          <w:bCs/>
          <w:lang w:val="it-IT" w:eastAsia="en-GB"/>
        </w:rPr>
        <w:t>Libye</w:t>
      </w:r>
      <w:proofErr w:type="spellEnd"/>
    </w:p>
    <w:p w14:paraId="40769523" w14:textId="77777777" w:rsidR="008552C7" w:rsidRPr="004E13E9" w:rsidRDefault="008552C7">
      <w:pPr>
        <w:rPr>
          <w:lang w:val="it-IT"/>
        </w:rPr>
      </w:pPr>
    </w:p>
    <w:p w14:paraId="6B9AEACC" w14:textId="77777777" w:rsidR="00EA1783" w:rsidRPr="004E13E9" w:rsidRDefault="00EA1783" w:rsidP="00EA1783">
      <w:pPr>
        <w:widowControl w:val="0"/>
        <w:jc w:val="both"/>
        <w:rPr>
          <w:rFonts w:eastAsia="MS Gothic" w:cs="Times New Roman"/>
          <w:b/>
          <w:lang w:val="fr-FR" w:eastAsia="fr-FR" w:bidi="fr-FR"/>
        </w:rPr>
      </w:pPr>
      <w:r w:rsidRPr="004E13E9">
        <w:rPr>
          <w:rFonts w:eastAsia="MS Gothic" w:cs="Times New Roman"/>
          <w:b/>
          <w:lang w:val="fr-FR" w:eastAsia="fr-FR" w:bidi="fr-FR"/>
        </w:rPr>
        <w:t xml:space="preserve">Année du plan de pêche : </w:t>
      </w:r>
      <w:r w:rsidRPr="004E13E9">
        <w:rPr>
          <w:b/>
          <w:lang w:val="fr-FR"/>
        </w:rPr>
        <w:t>2026</w:t>
      </w:r>
    </w:p>
    <w:p w14:paraId="5DCF6E80" w14:textId="77777777" w:rsidR="00EA1783" w:rsidRPr="004E13E9" w:rsidRDefault="00EA1783" w:rsidP="00EA1783">
      <w:pPr>
        <w:widowControl w:val="0"/>
        <w:jc w:val="both"/>
        <w:rPr>
          <w:rFonts w:eastAsia="MS Gothic" w:cs="Times New Roman"/>
          <w:b/>
          <w:lang w:val="fr-FR" w:eastAsia="fr-FR" w:bidi="fr-FR"/>
        </w:rPr>
      </w:pPr>
    </w:p>
    <w:p w14:paraId="79CF1FD4" w14:textId="77777777" w:rsidR="00EA1783" w:rsidRPr="004E13E9" w:rsidRDefault="00EA1783" w:rsidP="00EA1783">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 xml:space="preserve">1. </w:t>
      </w:r>
      <w:r w:rsidRPr="004E13E9">
        <w:rPr>
          <w:rFonts w:eastAsia="MS Gothic" w:cs="Times New Roman"/>
          <w:b/>
          <w:lang w:val="fr-FR" w:eastAsia="fr-FR" w:bidi="fr-FR"/>
        </w:rPr>
        <w:tab/>
        <w:t>Détails du plan annuel de pêche pour les navires de capture et les madragues</w:t>
      </w:r>
    </w:p>
    <w:p w14:paraId="1A050779" w14:textId="77777777" w:rsidR="00EA1783" w:rsidRPr="004E13E9" w:rsidRDefault="00EA1783" w:rsidP="00EA1783">
      <w:pPr>
        <w:widowControl w:val="0"/>
        <w:jc w:val="both"/>
        <w:rPr>
          <w:rFonts w:eastAsia="MS Gothic" w:cs="Times New Roman"/>
          <w:b/>
          <w:lang w:val="fr-FR" w:eastAsia="fr-FR" w:bidi="fr-FR"/>
        </w:rPr>
      </w:pPr>
    </w:p>
    <w:p w14:paraId="4DFC5F62" w14:textId="77777777" w:rsidR="00EA1783" w:rsidRPr="004E13E9" w:rsidRDefault="00EA1783" w:rsidP="00EA1783">
      <w:pPr>
        <w:widowControl w:val="0"/>
        <w:contextualSpacing/>
        <w:jc w:val="both"/>
        <w:rPr>
          <w:lang w:val="fr-FR"/>
        </w:rPr>
      </w:pPr>
      <w:r w:rsidRPr="004E13E9">
        <w:rPr>
          <w:lang w:val="fr-FR"/>
        </w:rPr>
        <w:t>Le gouvernement libyen soumet par la présente son plan de pêche, d'élevage, d'inspection et de gestion de la capacité pour la saison 2026 de pêche au thon rouge de la Méditerranée. Ce plan a été élaboré en totale conformité avec la Recommandation 25-04 de l’ICCAT. Le quota de la Libye pour 2026 a été fixé à 2.950 t, reflétant l'engagement collectif en faveur d'une gestion durable des ressources de thon rouge.</w:t>
      </w:r>
    </w:p>
    <w:p w14:paraId="65E415CE" w14:textId="77777777" w:rsidR="00EA1783" w:rsidRPr="004E13E9" w:rsidRDefault="00EA1783" w:rsidP="00EA1783">
      <w:pPr>
        <w:widowControl w:val="0"/>
        <w:contextualSpacing/>
        <w:jc w:val="both"/>
        <w:rPr>
          <w:rFonts w:eastAsia="MS Gothic" w:cs="Times New Roman"/>
          <w:color w:val="000000"/>
          <w:lang w:val="fr-FR" w:eastAsia="fr-FR" w:bidi="fr-FR"/>
        </w:rPr>
      </w:pPr>
    </w:p>
    <w:p w14:paraId="7A256C8E" w14:textId="77777777" w:rsidR="00EA1783" w:rsidRPr="004E13E9" w:rsidRDefault="00EA1783" w:rsidP="00EA1783">
      <w:pPr>
        <w:widowControl w:val="0"/>
        <w:jc w:val="both"/>
        <w:rPr>
          <w:rFonts w:eastAsia="MS Gothic" w:cs="Times New Roman"/>
          <w:i/>
          <w:lang w:val="fr-FR" w:eastAsia="fr-FR" w:bidi="fr-FR"/>
        </w:rPr>
      </w:pPr>
    </w:p>
    <w:p w14:paraId="08C272EF" w14:textId="77777777" w:rsidR="00EA1783" w:rsidRPr="004E13E9" w:rsidRDefault="00EA1783" w:rsidP="00EA1783">
      <w:pPr>
        <w:rPr>
          <w:b/>
          <w:bCs/>
          <w:i/>
          <w:iCs/>
          <w:lang w:val="fr-FR"/>
        </w:rPr>
      </w:pPr>
      <w:r w:rsidRPr="004E13E9">
        <w:rPr>
          <w:b/>
          <w:bCs/>
          <w:i/>
          <w:iCs/>
          <w:lang w:val="fr-FR"/>
        </w:rPr>
        <w:t>1a) Présentation (paragraphe 12)</w:t>
      </w:r>
    </w:p>
    <w:p w14:paraId="26BFEB4E" w14:textId="77777777" w:rsidR="00EA1783" w:rsidRPr="004E13E9" w:rsidRDefault="00EA1783" w:rsidP="00EA1783">
      <w:pPr>
        <w:widowControl w:val="0"/>
        <w:jc w:val="both"/>
        <w:rPr>
          <w:lang w:val="fr-FR"/>
        </w:rPr>
      </w:pPr>
      <w:r w:rsidRPr="004E13E9">
        <w:rPr>
          <w:lang w:val="fr-FR"/>
        </w:rPr>
        <w:t>En prévision de la saison 2026, la Libye a ajusté sa capacité de pêche en stricte conformité avec les méthodologies de l’ICCAT. Le plan de pêche attribue des quotas individuels à 15 senneurs autorisés, chacun dépassant 24 mètres de long, qui participeront activement à la pêche au thon rouge de la Méditerranée.</w:t>
      </w:r>
    </w:p>
    <w:p w14:paraId="2BB2D6D2" w14:textId="77777777" w:rsidR="00EA1783" w:rsidRPr="004E13E9" w:rsidRDefault="00EA1783" w:rsidP="00EA1783">
      <w:pPr>
        <w:widowControl w:val="0"/>
        <w:jc w:val="both"/>
        <w:rPr>
          <w:lang w:val="fr-FR"/>
        </w:rPr>
      </w:pPr>
    </w:p>
    <w:p w14:paraId="06E7F4B5" w14:textId="77777777" w:rsidR="00EA1783" w:rsidRPr="004E13E9" w:rsidRDefault="00EA1783" w:rsidP="00EA1783">
      <w:pPr>
        <w:widowControl w:val="0"/>
        <w:jc w:val="both"/>
      </w:pPr>
      <w:r w:rsidRPr="004E13E9">
        <w:rPr>
          <w:lang w:val="fr-FR"/>
        </w:rPr>
        <w:t xml:space="preserve">Les autorisations de pêche seront délivrées par le ministère des Richesses marines et dûment communiquées à l’ICCAT. </w:t>
      </w:r>
      <w:r w:rsidRPr="004E13E9">
        <w:t xml:space="preserve">La gestion des </w:t>
      </w:r>
      <w:proofErr w:type="spellStart"/>
      <w:r w:rsidRPr="004E13E9">
        <w:t>activités</w:t>
      </w:r>
      <w:proofErr w:type="spellEnd"/>
      <w:r w:rsidRPr="004E13E9">
        <w:t xml:space="preserve"> de </w:t>
      </w:r>
      <w:proofErr w:type="spellStart"/>
      <w:r w:rsidRPr="004E13E9">
        <w:t>pêche</w:t>
      </w:r>
      <w:proofErr w:type="spellEnd"/>
      <w:r w:rsidRPr="004E13E9">
        <w:t xml:space="preserve"> est </w:t>
      </w:r>
      <w:proofErr w:type="spellStart"/>
      <w:r w:rsidRPr="004E13E9">
        <w:t>régie</w:t>
      </w:r>
      <w:proofErr w:type="spellEnd"/>
      <w:r w:rsidRPr="004E13E9">
        <w:t xml:space="preserve"> </w:t>
      </w:r>
      <w:proofErr w:type="gramStart"/>
      <w:r w:rsidRPr="004E13E9">
        <w:t>par :</w:t>
      </w:r>
      <w:proofErr w:type="gramEnd"/>
    </w:p>
    <w:p w14:paraId="0BA382FF" w14:textId="77777777" w:rsidR="00EA1783" w:rsidRPr="004E13E9" w:rsidRDefault="00EA1783" w:rsidP="00EA1783">
      <w:pPr>
        <w:widowControl w:val="0"/>
        <w:jc w:val="both"/>
      </w:pPr>
    </w:p>
    <w:p w14:paraId="1AE52FCE" w14:textId="77777777" w:rsidR="00EA1783" w:rsidRPr="004E13E9" w:rsidRDefault="00EA1783" w:rsidP="00487A5C">
      <w:pPr>
        <w:widowControl w:val="0"/>
        <w:numPr>
          <w:ilvl w:val="0"/>
          <w:numId w:val="37"/>
        </w:numPr>
        <w:jc w:val="both"/>
      </w:pPr>
      <w:r w:rsidRPr="004E13E9">
        <w:t xml:space="preserve">la </w:t>
      </w:r>
      <w:proofErr w:type="spellStart"/>
      <w:r w:rsidRPr="004E13E9">
        <w:t>Recommandation</w:t>
      </w:r>
      <w:proofErr w:type="spellEnd"/>
      <w:r w:rsidRPr="004E13E9">
        <w:t xml:space="preserve"> 25-04 de </w:t>
      </w:r>
      <w:proofErr w:type="spellStart"/>
      <w:r w:rsidRPr="004E13E9">
        <w:t>l'ICCAT</w:t>
      </w:r>
      <w:proofErr w:type="spellEnd"/>
    </w:p>
    <w:p w14:paraId="6567AA08" w14:textId="77777777" w:rsidR="00EA1783" w:rsidRPr="004E13E9" w:rsidRDefault="00EA1783" w:rsidP="00487A5C">
      <w:pPr>
        <w:widowControl w:val="0"/>
        <w:numPr>
          <w:ilvl w:val="0"/>
          <w:numId w:val="37"/>
        </w:numPr>
        <w:jc w:val="both"/>
        <w:rPr>
          <w:lang w:val="fr-FR"/>
        </w:rPr>
      </w:pPr>
      <w:r w:rsidRPr="004E13E9">
        <w:rPr>
          <w:lang w:val="fr-FR"/>
        </w:rPr>
        <w:t>la Loi n°14/1989 réglementant la pêche et l'aquaculture en Libye.</w:t>
      </w:r>
    </w:p>
    <w:p w14:paraId="54F2D796" w14:textId="77777777" w:rsidR="00EA1783" w:rsidRPr="004E13E9" w:rsidRDefault="00EA1783" w:rsidP="00487A5C">
      <w:pPr>
        <w:widowControl w:val="0"/>
        <w:numPr>
          <w:ilvl w:val="0"/>
          <w:numId w:val="37"/>
        </w:numPr>
        <w:jc w:val="both"/>
        <w:rPr>
          <w:lang w:val="fr-FR"/>
        </w:rPr>
      </w:pPr>
      <w:r w:rsidRPr="004E13E9">
        <w:rPr>
          <w:lang w:val="fr-FR"/>
        </w:rPr>
        <w:t>Le Décret ministériel n° 32/2022, tel que modifié par le décret n° 35/2023.</w:t>
      </w:r>
    </w:p>
    <w:p w14:paraId="034577CD" w14:textId="77777777" w:rsidR="00EA1783" w:rsidRPr="004E13E9" w:rsidRDefault="00EA1783" w:rsidP="00EA1783">
      <w:pPr>
        <w:widowControl w:val="0"/>
        <w:jc w:val="both"/>
        <w:rPr>
          <w:lang w:val="fr-FR"/>
        </w:rPr>
      </w:pPr>
    </w:p>
    <w:p w14:paraId="1B11B2F1" w14:textId="77777777" w:rsidR="00EA1783" w:rsidRPr="004E13E9" w:rsidRDefault="00EA1783" w:rsidP="00EA1783">
      <w:pPr>
        <w:widowControl w:val="0"/>
        <w:jc w:val="both"/>
        <w:rPr>
          <w:lang w:val="fr-FR"/>
        </w:rPr>
      </w:pPr>
      <w:r w:rsidRPr="004E13E9">
        <w:rPr>
          <w:lang w:val="fr-FR"/>
        </w:rPr>
        <w:t>Sur le quota alloué, incluant le report du quota non utilisé de 2025, 2.950 tonnes devront être réparties entre les 15 senneurs, tandis que 10 tonnes seront réservées aux prises accessoires ou aux dépassements mineurs.</w:t>
      </w:r>
    </w:p>
    <w:p w14:paraId="110A7543" w14:textId="77777777" w:rsidR="00EA1783" w:rsidRPr="004E13E9" w:rsidRDefault="00EA1783" w:rsidP="00EA1783">
      <w:pPr>
        <w:widowControl w:val="0"/>
        <w:jc w:val="both"/>
        <w:rPr>
          <w:lang w:val="fr-FR"/>
        </w:rPr>
      </w:pPr>
    </w:p>
    <w:p w14:paraId="59414E2D" w14:textId="77777777" w:rsidR="00EA1783" w:rsidRPr="004E13E9" w:rsidRDefault="00EA1783" w:rsidP="00EA1783">
      <w:pPr>
        <w:widowControl w:val="0"/>
        <w:jc w:val="both"/>
        <w:rPr>
          <w:lang w:val="fr-FR"/>
        </w:rPr>
      </w:pPr>
      <w:r w:rsidRPr="004E13E9">
        <w:rPr>
          <w:lang w:val="fr-FR"/>
        </w:rPr>
        <w:t>La Libye communiquera à l’ICCAT la liste des navires autorisés et leurs quotas dans les délais requis. Les opérations de pêche conjointe (JFO) entre navires libyens seront autorisées, et les JFO avec des navires d'autres CPC pourront être autorisées conformément au paragraphe 73 de la Recommandation 25-04.</w:t>
      </w:r>
    </w:p>
    <w:p w14:paraId="3960EF16" w14:textId="77777777" w:rsidR="00EA1783" w:rsidRPr="004E13E9" w:rsidRDefault="00EA1783" w:rsidP="00EA1783">
      <w:pPr>
        <w:widowControl w:val="0"/>
        <w:jc w:val="both"/>
        <w:rPr>
          <w:rFonts w:eastAsia="MS Gothic" w:cs="Times New Roman"/>
          <w:lang w:val="fr-FR" w:eastAsia="fr-FR" w:bidi="fr-FR"/>
        </w:rPr>
      </w:pPr>
    </w:p>
    <w:p w14:paraId="56C0F78E" w14:textId="77777777" w:rsidR="00EA1783" w:rsidRPr="004E13E9" w:rsidRDefault="00EA1783" w:rsidP="00EA1783">
      <w:pPr>
        <w:widowControl w:val="0"/>
        <w:jc w:val="both"/>
        <w:rPr>
          <w:rFonts w:eastAsia="MS Gothic" w:cs="Times New Roman"/>
          <w:b/>
          <w:bCs/>
          <w:i/>
          <w:iCs/>
          <w:lang w:val="fr-FR" w:eastAsia="fr-FR" w:bidi="fr-FR"/>
        </w:rPr>
      </w:pPr>
      <w:r w:rsidRPr="004E13E9">
        <w:rPr>
          <w:rFonts w:eastAsia="MS Gothic" w:cs="Times New Roman"/>
          <w:b/>
          <w:bCs/>
          <w:i/>
          <w:iCs/>
          <w:color w:val="000000"/>
          <w:lang w:val="fr-FR" w:eastAsia="fr-FR" w:bidi="fr-FR"/>
        </w:rPr>
        <w:t xml:space="preserve">1b) </w:t>
      </w:r>
      <w:r w:rsidRPr="004E13E9">
        <w:rPr>
          <w:rFonts w:eastAsia="MS Gothic" w:cs="Times New Roman"/>
          <w:b/>
          <w:bCs/>
          <w:i/>
          <w:iCs/>
          <w:lang w:val="fr-FR" w:eastAsia="fr-FR" w:bidi="fr-FR"/>
        </w:rPr>
        <w:t>Report (paragraphe 6)</w:t>
      </w:r>
    </w:p>
    <w:p w14:paraId="43E5F740" w14:textId="77777777" w:rsidR="00EA1783" w:rsidRPr="004E13E9" w:rsidRDefault="00EA1783" w:rsidP="00EA1783">
      <w:pPr>
        <w:widowControl w:val="0"/>
        <w:jc w:val="both"/>
        <w:rPr>
          <w:rFonts w:eastAsia="MS Gothic" w:cs="Times New Roman"/>
          <w:lang w:val="fr-FR" w:eastAsia="fr-FR" w:bidi="fr-FR"/>
        </w:rPr>
      </w:pPr>
    </w:p>
    <w:p w14:paraId="684B24F8" w14:textId="77777777" w:rsidR="00EA1783" w:rsidRPr="004E13E9" w:rsidRDefault="00EA1783" w:rsidP="00EA1783">
      <w:pPr>
        <w:widowControl w:val="0"/>
        <w:jc w:val="both"/>
        <w:rPr>
          <w:iCs/>
          <w:lang w:val="fr-FR"/>
        </w:rPr>
      </w:pPr>
      <w:r w:rsidRPr="004E13E9">
        <w:rPr>
          <w:iCs/>
          <w:lang w:val="fr-FR"/>
        </w:rPr>
        <w:t>La Libye disposait d'un quota inutilisé de 18 t en 2025, qui sera reporté à 2026 conformément aux dispositions du paragraphe 6 de la Rec. 25-04. Par conséquent, le quota total de la Libye pour 2026 sera équivalent à 2.968 t.</w:t>
      </w:r>
    </w:p>
    <w:p w14:paraId="25D62C51" w14:textId="77777777" w:rsidR="00EA1783" w:rsidRPr="004E13E9" w:rsidRDefault="00EA1783" w:rsidP="00EA1783">
      <w:pPr>
        <w:widowControl w:val="0"/>
        <w:jc w:val="both"/>
        <w:rPr>
          <w:iCs/>
          <w:lang w:val="fr-FR"/>
        </w:rPr>
      </w:pPr>
    </w:p>
    <w:p w14:paraId="246EDA52" w14:textId="77777777" w:rsidR="00EA1783" w:rsidRPr="004E13E9" w:rsidRDefault="00EA1783" w:rsidP="00EA1783">
      <w:pPr>
        <w:widowControl w:val="0"/>
        <w:jc w:val="both"/>
        <w:rPr>
          <w:rFonts w:eastAsia="MS Gothic" w:cs="Times New Roman"/>
          <w:b/>
          <w:bCs/>
          <w:i/>
          <w:iCs/>
          <w:lang w:val="fr-FR" w:eastAsia="fr-FR" w:bidi="fr-FR"/>
        </w:rPr>
      </w:pPr>
      <w:r w:rsidRPr="004E13E9">
        <w:rPr>
          <w:rFonts w:eastAsia="MS Gothic" w:cs="Times New Roman"/>
          <w:b/>
          <w:bCs/>
          <w:i/>
          <w:iCs/>
          <w:lang w:val="fr-FR" w:eastAsia="fr-FR" w:bidi="fr-FR"/>
        </w:rPr>
        <w:t>1 c) Destination de la capture</w:t>
      </w:r>
    </w:p>
    <w:p w14:paraId="4BBA4CC9" w14:textId="77777777" w:rsidR="00EA1783" w:rsidRPr="004E13E9" w:rsidRDefault="00EA1783" w:rsidP="00EA1783">
      <w:pPr>
        <w:widowControl w:val="0"/>
        <w:jc w:val="both"/>
        <w:rPr>
          <w:rFonts w:eastAsia="MS Gothic" w:cs="Times New Roman"/>
          <w:lang w:val="fr-FR" w:eastAsia="fr-FR" w:bidi="fr-FR"/>
        </w:rPr>
      </w:pPr>
    </w:p>
    <w:p w14:paraId="4520A26C" w14:textId="77777777" w:rsidR="00EA1783" w:rsidRPr="004E13E9" w:rsidRDefault="00EA1783" w:rsidP="00EA1783">
      <w:pPr>
        <w:widowControl w:val="0"/>
        <w:jc w:val="both"/>
        <w:rPr>
          <w:rFonts w:eastAsia="MS Gothic"/>
          <w:color w:val="000000"/>
          <w:lang w:val="fr-FR" w:eastAsia="fr-FR" w:bidi="fr-FR"/>
        </w:rPr>
      </w:pPr>
      <w:r w:rsidRPr="004E13E9">
        <w:rPr>
          <w:iCs/>
          <w:lang w:val="fr-FR"/>
        </w:rPr>
        <w:t>Toutes les captures seront destinées à l'élevage, conformément aux formulaires et procédures de l’ICCAT. La destination de l'élevage sera indiquée ultérieurement dans les formulaires prévus à cet effet.</w:t>
      </w:r>
    </w:p>
    <w:p w14:paraId="1003D630" w14:textId="77777777" w:rsidR="00EA1783" w:rsidRPr="004E13E9" w:rsidRDefault="00EA1783" w:rsidP="00EA1783">
      <w:pPr>
        <w:rPr>
          <w:rFonts w:eastAsia="MS Gothic"/>
          <w:b/>
          <w:bCs/>
          <w:i/>
          <w:iCs/>
          <w:color w:val="000000"/>
          <w:lang w:val="fr-FR" w:eastAsia="fr-FR" w:bidi="fr-FR"/>
        </w:rPr>
      </w:pPr>
      <w:r w:rsidRPr="004E13E9">
        <w:rPr>
          <w:rFonts w:eastAsia="MS Gothic"/>
          <w:b/>
          <w:bCs/>
          <w:i/>
          <w:iCs/>
          <w:color w:val="000000"/>
          <w:lang w:val="fr-FR" w:eastAsia="fr-FR" w:bidi="fr-FR"/>
        </w:rPr>
        <w:br w:type="page"/>
      </w:r>
    </w:p>
    <w:p w14:paraId="7E3CB7D1" w14:textId="77777777" w:rsidR="00EA1783" w:rsidRPr="004E13E9" w:rsidRDefault="00EA1783" w:rsidP="00EA1783">
      <w:pPr>
        <w:widowControl w:val="0"/>
        <w:jc w:val="both"/>
        <w:rPr>
          <w:rFonts w:eastAsia="MS Gothic"/>
          <w:b/>
          <w:bCs/>
          <w:i/>
          <w:iCs/>
          <w:color w:val="000000"/>
          <w:lang w:val="fr-FR" w:eastAsia="fr-FR" w:bidi="fr-FR"/>
        </w:rPr>
      </w:pPr>
      <w:r w:rsidRPr="004E13E9">
        <w:rPr>
          <w:rFonts w:eastAsia="MS Gothic"/>
          <w:b/>
          <w:bCs/>
          <w:i/>
          <w:iCs/>
          <w:color w:val="000000"/>
          <w:lang w:val="fr-FR" w:eastAsia="fr-FR" w:bidi="fr-FR"/>
        </w:rPr>
        <w:t xml:space="preserve">1 d) </w:t>
      </w:r>
    </w:p>
    <w:p w14:paraId="7A64B898" w14:textId="77777777" w:rsidR="00EA1783" w:rsidRPr="004E13E9" w:rsidRDefault="00EA1783" w:rsidP="00EA1783">
      <w:pPr>
        <w:widowControl w:val="0"/>
        <w:jc w:val="both"/>
        <w:rPr>
          <w:rFonts w:eastAsia="MS Gothic"/>
          <w:color w:val="000000"/>
          <w:lang w:val="fr-FR" w:eastAsia="fr-FR" w:bidi="fr-FR"/>
        </w:rPr>
      </w:pPr>
    </w:p>
    <w:p w14:paraId="050AA02D" w14:textId="77777777" w:rsidR="00EA1783" w:rsidRPr="004E13E9" w:rsidRDefault="00EA1783" w:rsidP="00EA1783">
      <w:pPr>
        <w:autoSpaceDE w:val="0"/>
        <w:autoSpaceDN w:val="0"/>
        <w:adjustRightInd w:val="0"/>
        <w:jc w:val="both"/>
        <w:rPr>
          <w:rFonts w:eastAsia="MS Gothic"/>
          <w:color w:val="000000"/>
          <w:lang w:val="fr-FR" w:eastAsia="fr-FR" w:bidi="fr-FR"/>
        </w:rPr>
      </w:pPr>
      <w:r w:rsidRPr="004E13E9">
        <w:rPr>
          <w:rFonts w:eastAsia="MS Gothic"/>
          <w:color w:val="000000"/>
          <w:lang w:val="fr-FR" w:eastAsia="fr-FR" w:bidi="fr-FR"/>
        </w:rPr>
        <w:t>Le tableau ci-dessous résume les mesures prises pour mettre en œuvre les exigences de la Recommandation de l’ICCAT.</w:t>
      </w:r>
    </w:p>
    <w:tbl>
      <w:tblPr>
        <w:tblStyle w:val="TableGrid"/>
        <w:tblW w:w="0" w:type="auto"/>
        <w:tblLayout w:type="fixed"/>
        <w:tblLook w:val="04A0" w:firstRow="1" w:lastRow="0" w:firstColumn="1" w:lastColumn="0" w:noHBand="0" w:noVBand="1"/>
      </w:tblPr>
      <w:tblGrid>
        <w:gridCol w:w="453"/>
        <w:gridCol w:w="2283"/>
        <w:gridCol w:w="3308"/>
        <w:gridCol w:w="1748"/>
        <w:gridCol w:w="1268"/>
      </w:tblGrid>
      <w:tr w:rsidR="00EA1783" w:rsidRPr="004E13E9" w14:paraId="561C857C" w14:textId="77777777" w:rsidTr="00E62E84">
        <w:tc>
          <w:tcPr>
            <w:tcW w:w="453" w:type="dxa"/>
          </w:tcPr>
          <w:p w14:paraId="03AF82B1" w14:textId="77777777" w:rsidR="00EA1783" w:rsidRPr="004E13E9" w:rsidRDefault="00EA1783" w:rsidP="00E62E84">
            <w:pPr>
              <w:widowControl w:val="0"/>
              <w:rPr>
                <w:rFonts w:ascii="Cambria" w:hAnsi="Cambria"/>
                <w:sz w:val="20"/>
                <w:szCs w:val="20"/>
              </w:rPr>
            </w:pPr>
          </w:p>
          <w:p w14:paraId="7F357772" w14:textId="77777777" w:rsidR="00EA1783" w:rsidRPr="004E13E9" w:rsidRDefault="00EA1783" w:rsidP="00E62E84">
            <w:pPr>
              <w:widowControl w:val="0"/>
              <w:jc w:val="both"/>
              <w:rPr>
                <w:rFonts w:ascii="Cambria" w:hAnsi="Cambria"/>
                <w:sz w:val="20"/>
                <w:szCs w:val="20"/>
              </w:rPr>
            </w:pPr>
          </w:p>
        </w:tc>
        <w:tc>
          <w:tcPr>
            <w:tcW w:w="2283" w:type="dxa"/>
            <w:vAlign w:val="center"/>
          </w:tcPr>
          <w:p w14:paraId="413444A1" w14:textId="77777777" w:rsidR="00EA1783" w:rsidRPr="004E13E9" w:rsidRDefault="00EA1783" w:rsidP="00E62E84">
            <w:pPr>
              <w:widowControl w:val="0"/>
              <w:jc w:val="center"/>
              <w:rPr>
                <w:rFonts w:ascii="Cambria" w:hAnsi="Cambria"/>
                <w:i/>
                <w:sz w:val="20"/>
                <w:szCs w:val="20"/>
              </w:rPr>
            </w:pPr>
            <w:r w:rsidRPr="004E13E9">
              <w:rPr>
                <w:rFonts w:ascii="Cambria" w:hAnsi="Cambria"/>
                <w:i/>
                <w:sz w:val="20"/>
                <w:szCs w:val="20"/>
              </w:rPr>
              <w:t>Exigence de l’ICCAT</w:t>
            </w:r>
          </w:p>
          <w:p w14:paraId="0D39A3D7" w14:textId="77777777" w:rsidR="00EA1783" w:rsidRPr="004E13E9" w:rsidRDefault="00EA1783" w:rsidP="00E62E84">
            <w:pPr>
              <w:widowControl w:val="0"/>
              <w:jc w:val="center"/>
              <w:rPr>
                <w:rFonts w:ascii="Cambria" w:hAnsi="Cambria"/>
                <w:i/>
                <w:sz w:val="20"/>
                <w:szCs w:val="20"/>
              </w:rPr>
            </w:pPr>
            <w:r w:rsidRPr="004E13E9">
              <w:rPr>
                <w:rFonts w:ascii="Cambria" w:hAnsi="Cambria"/>
                <w:i/>
                <w:color w:val="auto"/>
                <w:sz w:val="20"/>
                <w:szCs w:val="20"/>
              </w:rPr>
              <w:t xml:space="preserve">(en vertu de la </w:t>
            </w:r>
            <w:hyperlink r:id="rId129" w:history="1">
              <w:r w:rsidRPr="004E13E9">
                <w:rPr>
                  <w:rFonts w:ascii="Cambria" w:hAnsi="Cambria"/>
                  <w:i/>
                  <w:color w:val="0563C1"/>
                  <w:sz w:val="20"/>
                  <w:szCs w:val="20"/>
                </w:rPr>
                <w:t>Rec. 25-04</w:t>
              </w:r>
            </w:hyperlink>
            <w:r w:rsidRPr="004E13E9">
              <w:rPr>
                <w:rFonts w:ascii="Cambria" w:hAnsi="Cambria"/>
                <w:i/>
                <w:color w:val="auto"/>
                <w:sz w:val="20"/>
                <w:szCs w:val="20"/>
              </w:rPr>
              <w:t>)</w:t>
            </w:r>
          </w:p>
        </w:tc>
        <w:tc>
          <w:tcPr>
            <w:tcW w:w="3308" w:type="dxa"/>
            <w:vAlign w:val="center"/>
          </w:tcPr>
          <w:p w14:paraId="774F304A" w14:textId="77777777" w:rsidR="00EA1783" w:rsidRPr="004E13E9" w:rsidRDefault="00EA1783" w:rsidP="00E62E84">
            <w:pPr>
              <w:widowControl w:val="0"/>
              <w:jc w:val="center"/>
              <w:rPr>
                <w:rFonts w:ascii="Cambria" w:hAnsi="Cambria"/>
                <w:i/>
                <w:sz w:val="20"/>
                <w:szCs w:val="20"/>
              </w:rPr>
            </w:pPr>
            <w:r w:rsidRPr="004E13E9">
              <w:rPr>
                <w:rFonts w:ascii="Cambria" w:hAnsi="Cambria"/>
                <w:i/>
                <w:color w:val="auto"/>
                <w:sz w:val="20"/>
                <w:szCs w:val="20"/>
              </w:rPr>
              <w:t>Explication des actions prises par la CPC à des fins de mise en œuvre</w:t>
            </w:r>
          </w:p>
        </w:tc>
        <w:tc>
          <w:tcPr>
            <w:tcW w:w="1748" w:type="dxa"/>
            <w:vAlign w:val="center"/>
          </w:tcPr>
          <w:p w14:paraId="33FC8823" w14:textId="77777777" w:rsidR="00EA1783" w:rsidRPr="004E13E9" w:rsidRDefault="00EA1783" w:rsidP="00E62E84">
            <w:pPr>
              <w:widowControl w:val="0"/>
              <w:jc w:val="center"/>
              <w:rPr>
                <w:rFonts w:ascii="Cambria" w:hAnsi="Cambria"/>
                <w:i/>
                <w:sz w:val="20"/>
                <w:szCs w:val="20"/>
              </w:rPr>
            </w:pPr>
            <w:r w:rsidRPr="004E13E9">
              <w:rPr>
                <w:rFonts w:ascii="Cambria" w:hAnsi="Cambria"/>
                <w:i/>
                <w:color w:val="auto"/>
                <w:sz w:val="20"/>
                <w:szCs w:val="20"/>
              </w:rPr>
              <w:t>Lois ou réglementations nationales pertinentes (le cas échéant)</w:t>
            </w:r>
          </w:p>
        </w:tc>
        <w:tc>
          <w:tcPr>
            <w:tcW w:w="1268" w:type="dxa"/>
            <w:vAlign w:val="center"/>
          </w:tcPr>
          <w:p w14:paraId="79FF66ED" w14:textId="77777777" w:rsidR="00EA1783" w:rsidRPr="004E13E9" w:rsidRDefault="00EA1783" w:rsidP="00E62E84">
            <w:pPr>
              <w:widowControl w:val="0"/>
              <w:jc w:val="center"/>
              <w:rPr>
                <w:rFonts w:ascii="Cambria" w:hAnsi="Cambria"/>
                <w:i/>
                <w:sz w:val="20"/>
                <w:szCs w:val="20"/>
              </w:rPr>
            </w:pPr>
            <w:r w:rsidRPr="004E13E9">
              <w:rPr>
                <w:rFonts w:ascii="Cambria" w:hAnsi="Cambria"/>
                <w:i/>
                <w:color w:val="auto"/>
                <w:sz w:val="20"/>
                <w:szCs w:val="20"/>
              </w:rPr>
              <w:t>Note</w:t>
            </w:r>
          </w:p>
        </w:tc>
      </w:tr>
      <w:tr w:rsidR="00EA1783" w:rsidRPr="004E13E9" w14:paraId="652FC6D9" w14:textId="77777777" w:rsidTr="00E62E84">
        <w:tc>
          <w:tcPr>
            <w:tcW w:w="453" w:type="dxa"/>
          </w:tcPr>
          <w:p w14:paraId="1F39DBC3" w14:textId="77777777" w:rsidR="00EA1783" w:rsidRPr="004E13E9" w:rsidRDefault="00EA1783" w:rsidP="00E62E84">
            <w:pPr>
              <w:widowControl w:val="0"/>
              <w:jc w:val="both"/>
              <w:rPr>
                <w:rFonts w:ascii="Cambria" w:hAnsi="Cambria"/>
                <w:b/>
                <w:sz w:val="20"/>
                <w:szCs w:val="20"/>
              </w:rPr>
            </w:pPr>
            <w:r w:rsidRPr="004E13E9">
              <w:rPr>
                <w:rFonts w:ascii="Cambria" w:hAnsi="Cambria"/>
                <w:b/>
                <w:sz w:val="20"/>
                <w:szCs w:val="20"/>
              </w:rPr>
              <w:t>1</w:t>
            </w:r>
          </w:p>
        </w:tc>
        <w:tc>
          <w:tcPr>
            <w:tcW w:w="2283" w:type="dxa"/>
          </w:tcPr>
          <w:p w14:paraId="09B08908" w14:textId="77777777" w:rsidR="00EA1783" w:rsidRPr="004E13E9" w:rsidRDefault="00EA1783" w:rsidP="00E62E84">
            <w:pPr>
              <w:widowControl w:val="0"/>
              <w:jc w:val="both"/>
              <w:rPr>
                <w:rFonts w:ascii="Cambria" w:hAnsi="Cambria"/>
                <w:b/>
                <w:sz w:val="20"/>
                <w:szCs w:val="20"/>
              </w:rPr>
            </w:pPr>
            <w:r w:rsidRPr="004E13E9">
              <w:rPr>
                <w:rFonts w:ascii="Cambria" w:hAnsi="Cambria"/>
                <w:b/>
                <w:color w:val="auto"/>
                <w:sz w:val="20"/>
                <w:szCs w:val="20"/>
              </w:rPr>
              <w:t>Enregistrement et déclaration de la capture (paragraphes 74-88)</w:t>
            </w:r>
          </w:p>
        </w:tc>
        <w:tc>
          <w:tcPr>
            <w:tcW w:w="3308" w:type="dxa"/>
          </w:tcPr>
          <w:p w14:paraId="5485AC6E" w14:textId="77777777" w:rsidR="00EA1783" w:rsidRPr="004E13E9" w:rsidRDefault="00EA1783" w:rsidP="00E62E84">
            <w:pPr>
              <w:jc w:val="both"/>
              <w:rPr>
                <w:rFonts w:ascii="Cambria" w:hAnsi="Cambria"/>
                <w:sz w:val="20"/>
              </w:rPr>
            </w:pPr>
            <w:r w:rsidRPr="004E13E9">
              <w:rPr>
                <w:rFonts w:ascii="Cambria" w:hAnsi="Cambria"/>
                <w:sz w:val="20"/>
              </w:rPr>
              <w:t>Les capitaines de tous les navires libyens autorisés à pêcher le thon rouge devront tenir des carnets de pêche reliés conformément aux procédures décrites à l'annexe 2 de la Recommandation 25-04 de l’ICCAT. Ces carnets de pêche doivent consigner toutes les opérations de pêche avec précision et exactitude. Conformément au paragraphe 74 de la Recommandation 25-04, les rapports hebdomadaires et mensuels sur les captures, y compris les déclarations de captures nulles, doivent être compilés et transmis par les autorités libyennes au Secrétariat de l’ICCAT. Ce cadre de déclaration garantit un suivi continu, la transparence et la responsabilité des activités de pêche nationales.</w:t>
            </w:r>
          </w:p>
          <w:p w14:paraId="2734DE77" w14:textId="77777777" w:rsidR="00EA1783" w:rsidRPr="004E13E9" w:rsidRDefault="00EA1783" w:rsidP="00E62E84">
            <w:pPr>
              <w:jc w:val="both"/>
              <w:rPr>
                <w:rFonts w:ascii="Cambria" w:hAnsi="Cambria"/>
                <w:sz w:val="20"/>
                <w:szCs w:val="20"/>
              </w:rPr>
            </w:pPr>
          </w:p>
        </w:tc>
        <w:tc>
          <w:tcPr>
            <w:tcW w:w="1748" w:type="dxa"/>
          </w:tcPr>
          <w:p w14:paraId="3247414A"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Art. 15</w:t>
            </w:r>
          </w:p>
          <w:p w14:paraId="72A0875A"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Décret nº35/2023</w:t>
            </w:r>
          </w:p>
          <w:p w14:paraId="13756EE0" w14:textId="77777777" w:rsidR="00EA1783" w:rsidRPr="004E13E9" w:rsidRDefault="00EA1783" w:rsidP="00E62E84">
            <w:pPr>
              <w:widowControl w:val="0"/>
              <w:jc w:val="both"/>
              <w:rPr>
                <w:rFonts w:ascii="Cambria" w:hAnsi="Cambria"/>
                <w:sz w:val="20"/>
                <w:szCs w:val="20"/>
              </w:rPr>
            </w:pPr>
          </w:p>
        </w:tc>
        <w:tc>
          <w:tcPr>
            <w:tcW w:w="1268" w:type="dxa"/>
          </w:tcPr>
          <w:p w14:paraId="1B2B3F80" w14:textId="77777777" w:rsidR="00EA1783" w:rsidRPr="004E13E9" w:rsidRDefault="00EA1783" w:rsidP="00E62E84">
            <w:pPr>
              <w:widowControl w:val="0"/>
              <w:jc w:val="both"/>
              <w:rPr>
                <w:rFonts w:ascii="Cambria" w:hAnsi="Cambria"/>
                <w:sz w:val="20"/>
                <w:szCs w:val="20"/>
              </w:rPr>
            </w:pPr>
          </w:p>
        </w:tc>
      </w:tr>
      <w:tr w:rsidR="00EA1783" w:rsidRPr="004E13E9" w14:paraId="467C0842" w14:textId="77777777" w:rsidTr="00E62E84">
        <w:tc>
          <w:tcPr>
            <w:tcW w:w="453" w:type="dxa"/>
          </w:tcPr>
          <w:p w14:paraId="74EC5942" w14:textId="77777777" w:rsidR="00EA1783" w:rsidRPr="004E13E9" w:rsidRDefault="00EA1783" w:rsidP="00E62E84">
            <w:pPr>
              <w:widowControl w:val="0"/>
              <w:jc w:val="both"/>
              <w:rPr>
                <w:rFonts w:ascii="Cambria" w:hAnsi="Cambria"/>
                <w:b/>
                <w:sz w:val="20"/>
                <w:szCs w:val="20"/>
              </w:rPr>
            </w:pPr>
            <w:r w:rsidRPr="004E13E9">
              <w:rPr>
                <w:rFonts w:ascii="Cambria" w:hAnsi="Cambria"/>
                <w:b/>
                <w:sz w:val="20"/>
                <w:szCs w:val="20"/>
              </w:rPr>
              <w:t>2</w:t>
            </w:r>
          </w:p>
        </w:tc>
        <w:tc>
          <w:tcPr>
            <w:tcW w:w="2283" w:type="dxa"/>
          </w:tcPr>
          <w:p w14:paraId="2A291E6E" w14:textId="77777777" w:rsidR="00EA1783" w:rsidRPr="004E13E9" w:rsidRDefault="00EA1783" w:rsidP="00E62E84">
            <w:pPr>
              <w:widowControl w:val="0"/>
              <w:jc w:val="both"/>
              <w:rPr>
                <w:rFonts w:ascii="Cambria" w:hAnsi="Cambria"/>
                <w:b/>
                <w:sz w:val="20"/>
                <w:szCs w:val="20"/>
              </w:rPr>
            </w:pPr>
            <w:r w:rsidRPr="004E13E9">
              <w:rPr>
                <w:rFonts w:ascii="Cambria" w:hAnsi="Cambria"/>
                <w:b/>
                <w:color w:val="auto"/>
                <w:sz w:val="20"/>
                <w:szCs w:val="20"/>
              </w:rPr>
              <w:t>Périodes d’ouverture de la pêche (paragraphes 28-32)</w:t>
            </w:r>
          </w:p>
        </w:tc>
        <w:tc>
          <w:tcPr>
            <w:tcW w:w="3308" w:type="dxa"/>
          </w:tcPr>
          <w:p w14:paraId="068139B5" w14:textId="77777777" w:rsidR="00EA1783" w:rsidRPr="004E13E9" w:rsidRDefault="00EA1783" w:rsidP="00E62E84">
            <w:pPr>
              <w:jc w:val="both"/>
              <w:rPr>
                <w:rFonts w:ascii="Cambria" w:hAnsi="Cambria"/>
                <w:sz w:val="20"/>
                <w:szCs w:val="20"/>
              </w:rPr>
            </w:pPr>
            <w:r w:rsidRPr="004E13E9">
              <w:rPr>
                <w:rFonts w:ascii="Cambria" w:hAnsi="Cambria"/>
                <w:sz w:val="20"/>
                <w:szCs w:val="20"/>
              </w:rPr>
              <w:t>Conformément à la Recommandation 25-04 de l’ICCAT, les senneurs libyens sont autorisés à opérer exclusivement dans l'Atlantique Est et la Méditerranée pendant la période de pêche désignée, du 19 mai au 1er juillet.</w:t>
            </w:r>
          </w:p>
          <w:p w14:paraId="268F7CC4" w14:textId="77777777" w:rsidR="00EA1783" w:rsidRPr="004E13E9" w:rsidRDefault="00EA1783" w:rsidP="00E62E84">
            <w:pPr>
              <w:rPr>
                <w:rFonts w:ascii="Cambria" w:hAnsi="Cambria"/>
                <w:sz w:val="20"/>
                <w:szCs w:val="20"/>
              </w:rPr>
            </w:pPr>
          </w:p>
          <w:p w14:paraId="69B244E4" w14:textId="77777777" w:rsidR="00EA1783" w:rsidRPr="004E13E9" w:rsidRDefault="00EA1783" w:rsidP="00E62E84">
            <w:pPr>
              <w:jc w:val="both"/>
              <w:rPr>
                <w:rFonts w:ascii="Cambria" w:hAnsi="Cambria"/>
                <w:sz w:val="20"/>
              </w:rPr>
            </w:pPr>
            <w:r w:rsidRPr="004E13E9">
              <w:rPr>
                <w:rFonts w:ascii="Cambria" w:hAnsi="Cambria"/>
                <w:sz w:val="20"/>
              </w:rPr>
              <w:t>Par dérogation, et dans le strict respect du paragraphe 29 de la Recommandation, un maximum de trois senneurs libyens opérant dans les zones FAO 37.3.1 et 37.3.2 peuvent commencer à pêcher du 15 mai au 1er juillet, à condition que leurs captures soient destinées à des unités d'élevage de CPC situées dans les zones susmentionnées.</w:t>
            </w:r>
          </w:p>
          <w:p w14:paraId="7709C8EC" w14:textId="77777777" w:rsidR="00EA1783" w:rsidRPr="004E13E9" w:rsidRDefault="00EA1783" w:rsidP="00E62E84">
            <w:pPr>
              <w:jc w:val="both"/>
              <w:rPr>
                <w:rFonts w:ascii="Cambria" w:hAnsi="Cambria"/>
                <w:sz w:val="20"/>
              </w:rPr>
            </w:pPr>
          </w:p>
          <w:p w14:paraId="4D6E0DBB" w14:textId="77777777" w:rsidR="00EA1783" w:rsidRPr="004E13E9" w:rsidRDefault="00EA1783" w:rsidP="00E62E84">
            <w:pPr>
              <w:jc w:val="both"/>
              <w:rPr>
                <w:rFonts w:ascii="Cambria" w:hAnsi="Cambria"/>
                <w:sz w:val="20"/>
              </w:rPr>
            </w:pPr>
            <w:r w:rsidRPr="004E13E9">
              <w:rPr>
                <w:rFonts w:ascii="Cambria" w:hAnsi="Cambria"/>
                <w:sz w:val="20"/>
              </w:rPr>
              <w:t>En outre, conformément au paragraphe 30 de la Recommandation 25-04, la Libye se réserve le droit de prolonger la période de pêche autorisée pour les navires concernés jusqu'à dix jours supplémentaires en cas de conditions météorologiques défavorables. Ces prolongations ne sont accordées que lorsque la vitesse du vent atteint force 4 ou plus sur l'échelle de Beaufort et doivent être justifiées par des rapports VMS attestant l'inactivité du navire. Dans le cas des opérations de pêche conjointe (JFO), l'inactivité simultanée de tous les navires participants doit être démontrée.</w:t>
            </w:r>
          </w:p>
          <w:p w14:paraId="12118C7D" w14:textId="77777777" w:rsidR="00EA1783" w:rsidRPr="004E13E9" w:rsidRDefault="00EA1783" w:rsidP="00E62E84">
            <w:pPr>
              <w:jc w:val="both"/>
              <w:rPr>
                <w:rFonts w:ascii="Cambria" w:hAnsi="Cambria"/>
                <w:sz w:val="20"/>
              </w:rPr>
            </w:pPr>
          </w:p>
          <w:p w14:paraId="46474AD0" w14:textId="77777777" w:rsidR="00EA1783" w:rsidRPr="004E13E9" w:rsidRDefault="00EA1783" w:rsidP="00E62E84">
            <w:pPr>
              <w:jc w:val="both"/>
              <w:rPr>
                <w:rFonts w:ascii="Cambria" w:hAnsi="Cambria"/>
                <w:sz w:val="20"/>
              </w:rPr>
            </w:pPr>
            <w:r w:rsidRPr="004E13E9">
              <w:rPr>
                <w:rFonts w:ascii="Cambria" w:hAnsi="Cambria"/>
                <w:sz w:val="20"/>
              </w:rPr>
              <w:t>L'administration libyenne devra notifier au Secrétariat de l'ICCAT la clôture officielle de la campagne de pêche conformément aux dispositions de la Recommandation 25-04. Ce cadre garantit que les activités de pêche sont menées dans les limites temporelles prescrites, tout en préservant la flexibilité opérationnelle dans des circonstances exceptionnelles.</w:t>
            </w:r>
          </w:p>
          <w:p w14:paraId="380DD844" w14:textId="77777777" w:rsidR="00EA1783" w:rsidRPr="004E13E9" w:rsidRDefault="00EA1783" w:rsidP="00E62E84">
            <w:pPr>
              <w:widowControl w:val="0"/>
              <w:jc w:val="both"/>
              <w:rPr>
                <w:rFonts w:ascii="Cambria" w:hAnsi="Cambria"/>
                <w:sz w:val="20"/>
                <w:szCs w:val="20"/>
              </w:rPr>
            </w:pPr>
          </w:p>
        </w:tc>
        <w:tc>
          <w:tcPr>
            <w:tcW w:w="1748" w:type="dxa"/>
          </w:tcPr>
          <w:p w14:paraId="062E8638"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Art. 12</w:t>
            </w:r>
          </w:p>
          <w:p w14:paraId="41DFB9D5"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Décret nº35/2023</w:t>
            </w:r>
          </w:p>
          <w:p w14:paraId="3EE8EFA7" w14:textId="77777777" w:rsidR="00EA1783" w:rsidRPr="004E13E9" w:rsidRDefault="00EA1783" w:rsidP="00E62E84">
            <w:pPr>
              <w:widowControl w:val="0"/>
              <w:jc w:val="both"/>
              <w:rPr>
                <w:rFonts w:ascii="Cambria" w:hAnsi="Cambria"/>
                <w:sz w:val="20"/>
                <w:szCs w:val="20"/>
              </w:rPr>
            </w:pPr>
          </w:p>
        </w:tc>
        <w:tc>
          <w:tcPr>
            <w:tcW w:w="1268" w:type="dxa"/>
          </w:tcPr>
          <w:p w14:paraId="093EBA41" w14:textId="77777777" w:rsidR="00EA1783" w:rsidRPr="004E13E9" w:rsidRDefault="00EA1783" w:rsidP="00E62E84">
            <w:pPr>
              <w:widowControl w:val="0"/>
              <w:jc w:val="both"/>
              <w:rPr>
                <w:rFonts w:ascii="Cambria" w:hAnsi="Cambria"/>
                <w:sz w:val="20"/>
                <w:szCs w:val="20"/>
              </w:rPr>
            </w:pPr>
          </w:p>
        </w:tc>
      </w:tr>
      <w:tr w:rsidR="00EA1783" w:rsidRPr="004E13E9" w14:paraId="625F45B6" w14:textId="77777777" w:rsidTr="00E62E84">
        <w:tc>
          <w:tcPr>
            <w:tcW w:w="453" w:type="dxa"/>
          </w:tcPr>
          <w:p w14:paraId="1F55B21B" w14:textId="77777777" w:rsidR="00EA1783" w:rsidRPr="004E13E9" w:rsidRDefault="00EA1783" w:rsidP="00E62E84">
            <w:pPr>
              <w:widowControl w:val="0"/>
              <w:jc w:val="both"/>
              <w:rPr>
                <w:rFonts w:ascii="Cambria" w:hAnsi="Cambria"/>
                <w:b/>
                <w:sz w:val="20"/>
                <w:szCs w:val="20"/>
              </w:rPr>
            </w:pPr>
            <w:r w:rsidRPr="004E13E9">
              <w:rPr>
                <w:rFonts w:ascii="Cambria" w:hAnsi="Cambria"/>
                <w:b/>
                <w:sz w:val="20"/>
                <w:szCs w:val="20"/>
              </w:rPr>
              <w:t>3</w:t>
            </w:r>
          </w:p>
        </w:tc>
        <w:tc>
          <w:tcPr>
            <w:tcW w:w="2283" w:type="dxa"/>
          </w:tcPr>
          <w:p w14:paraId="359E7F64" w14:textId="77777777" w:rsidR="00EA1783" w:rsidRPr="004E13E9" w:rsidRDefault="00EA1783" w:rsidP="00E62E84">
            <w:pPr>
              <w:widowControl w:val="0"/>
              <w:jc w:val="both"/>
              <w:rPr>
                <w:rFonts w:ascii="Cambria" w:hAnsi="Cambria"/>
                <w:b/>
                <w:sz w:val="20"/>
                <w:szCs w:val="20"/>
              </w:rPr>
            </w:pPr>
            <w:r w:rsidRPr="004E13E9">
              <w:rPr>
                <w:rFonts w:ascii="Cambria" w:hAnsi="Cambria"/>
                <w:b/>
                <w:color w:val="auto"/>
                <w:sz w:val="20"/>
                <w:szCs w:val="20"/>
              </w:rPr>
              <w:t>Taille minimale (paragraphes 33-35)</w:t>
            </w:r>
          </w:p>
        </w:tc>
        <w:tc>
          <w:tcPr>
            <w:tcW w:w="3308" w:type="dxa"/>
          </w:tcPr>
          <w:p w14:paraId="1C89E10B" w14:textId="77777777" w:rsidR="00EA1783" w:rsidRPr="004E13E9" w:rsidRDefault="00EA1783" w:rsidP="00E62E84">
            <w:pPr>
              <w:widowControl w:val="0"/>
              <w:autoSpaceDE w:val="0"/>
              <w:autoSpaceDN w:val="0"/>
              <w:adjustRightInd w:val="0"/>
              <w:jc w:val="both"/>
              <w:rPr>
                <w:rFonts w:ascii="Cambria" w:hAnsi="Cambria"/>
                <w:sz w:val="20"/>
                <w:szCs w:val="20"/>
              </w:rPr>
            </w:pPr>
            <w:r w:rsidRPr="004E13E9">
              <w:rPr>
                <w:rFonts w:ascii="Cambria" w:eastAsia="Times New Roman" w:hAnsi="Cambria" w:cs="Arial"/>
                <w:sz w:val="20"/>
                <w:szCs w:val="20"/>
              </w:rPr>
              <w:t xml:space="preserve">La capture, la rétention à bord, le débarquement, le transbordement, le transfert, la vente, l’exposition en vue de la vente de thon rouge d’un poids inférieur à 30 kg ou mesurant moins de 115 cm de longueur à la </w:t>
            </w:r>
            <w:r w:rsidRPr="004E13E9">
              <w:rPr>
                <w:rFonts w:ascii="Cambria" w:hAnsi="Cambria"/>
                <w:sz w:val="20"/>
                <w:szCs w:val="20"/>
              </w:rPr>
              <w:t>fourche sont interdits en vertu du paragraphe 33 de la Rec. 25-04</w:t>
            </w:r>
            <w:r w:rsidRPr="004E13E9">
              <w:rPr>
                <w:rFonts w:ascii="Cambria" w:eastAsia="Times New Roman" w:hAnsi="Cambria" w:cs="Arial"/>
                <w:sz w:val="20"/>
                <w:szCs w:val="20"/>
              </w:rPr>
              <w:t>.</w:t>
            </w:r>
          </w:p>
          <w:p w14:paraId="708B21EF" w14:textId="77777777" w:rsidR="00EA1783" w:rsidRPr="004E13E9" w:rsidRDefault="00EA1783" w:rsidP="00E62E84">
            <w:pPr>
              <w:bidi/>
              <w:jc w:val="center"/>
              <w:rPr>
                <w:rFonts w:ascii="Cambria" w:hAnsi="Cambria"/>
                <w:sz w:val="20"/>
                <w:szCs w:val="20"/>
              </w:rPr>
            </w:pPr>
          </w:p>
          <w:p w14:paraId="24A1BDD8" w14:textId="77777777" w:rsidR="00EA1783" w:rsidRPr="004E13E9" w:rsidRDefault="00EA1783" w:rsidP="00E62E84">
            <w:pPr>
              <w:widowControl w:val="0"/>
              <w:autoSpaceDE w:val="0"/>
              <w:autoSpaceDN w:val="0"/>
              <w:adjustRightInd w:val="0"/>
              <w:jc w:val="both"/>
              <w:rPr>
                <w:rFonts w:ascii="Cambria" w:eastAsia="Times New Roman" w:hAnsi="Cambria" w:cs="Arial"/>
                <w:sz w:val="20"/>
                <w:szCs w:val="20"/>
              </w:rPr>
            </w:pPr>
            <w:r w:rsidRPr="004E13E9">
              <w:rPr>
                <w:rFonts w:ascii="Cambria" w:hAnsi="Cambria"/>
                <w:sz w:val="20"/>
                <w:szCs w:val="20"/>
              </w:rPr>
              <w:t>Une prise accidentelle de 5% maxi</w:t>
            </w:r>
            <w:r w:rsidRPr="004E13E9">
              <w:rPr>
                <w:rFonts w:ascii="Cambria" w:eastAsia="Times New Roman" w:hAnsi="Cambria" w:cs="Arial"/>
                <w:sz w:val="20"/>
                <w:szCs w:val="20"/>
              </w:rPr>
              <w:t xml:space="preserve">mum de thon rouge </w:t>
            </w:r>
            <w:r w:rsidRPr="004E13E9">
              <w:rPr>
                <w:rFonts w:ascii="Cambria" w:hAnsi="Cambria"/>
                <w:sz w:val="20"/>
                <w:szCs w:val="20"/>
              </w:rPr>
              <w:t>pesant</w:t>
            </w:r>
            <w:r w:rsidRPr="004E13E9">
              <w:rPr>
                <w:rFonts w:ascii="Cambria" w:eastAsia="Times New Roman" w:hAnsi="Cambria" w:cs="Arial"/>
                <w:sz w:val="20"/>
                <w:szCs w:val="20"/>
              </w:rPr>
              <w:t xml:space="preserve"> entre 8 et 30 kg sera décomptée du quota imparti à la Libye.</w:t>
            </w:r>
          </w:p>
          <w:p w14:paraId="6BFCD039" w14:textId="77777777" w:rsidR="00EA1783" w:rsidRPr="004E13E9" w:rsidRDefault="00EA1783" w:rsidP="00E62E84">
            <w:pPr>
              <w:widowControl w:val="0"/>
              <w:jc w:val="both"/>
              <w:rPr>
                <w:rFonts w:ascii="Cambria" w:hAnsi="Cambria"/>
                <w:sz w:val="20"/>
                <w:szCs w:val="20"/>
              </w:rPr>
            </w:pPr>
          </w:p>
        </w:tc>
        <w:tc>
          <w:tcPr>
            <w:tcW w:w="1748" w:type="dxa"/>
          </w:tcPr>
          <w:p w14:paraId="5CCD02DB"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Art. 31/32</w:t>
            </w:r>
          </w:p>
          <w:p w14:paraId="3FF377FB"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Décret nº35/2023</w:t>
            </w:r>
          </w:p>
          <w:p w14:paraId="7A4EABA7" w14:textId="77777777" w:rsidR="00EA1783" w:rsidRPr="004E13E9" w:rsidRDefault="00EA1783" w:rsidP="00E62E84">
            <w:pPr>
              <w:jc w:val="both"/>
              <w:rPr>
                <w:rFonts w:ascii="Cambria" w:eastAsia="Times New Roman" w:hAnsi="Cambria" w:cs="Arial"/>
                <w:sz w:val="20"/>
                <w:szCs w:val="20"/>
              </w:rPr>
            </w:pPr>
          </w:p>
          <w:p w14:paraId="371C0CD8" w14:textId="77777777" w:rsidR="00EA1783" w:rsidRPr="004E13E9" w:rsidRDefault="00EA1783" w:rsidP="00E62E84">
            <w:pPr>
              <w:widowControl w:val="0"/>
              <w:jc w:val="both"/>
              <w:rPr>
                <w:rFonts w:ascii="Cambria" w:hAnsi="Cambria"/>
                <w:sz w:val="20"/>
                <w:szCs w:val="20"/>
                <w:lang w:bidi="ar-LY"/>
              </w:rPr>
            </w:pPr>
          </w:p>
          <w:p w14:paraId="4A2598F4" w14:textId="77777777" w:rsidR="00EA1783" w:rsidRPr="004E13E9" w:rsidRDefault="00EA1783" w:rsidP="00E62E84">
            <w:pPr>
              <w:jc w:val="both"/>
              <w:rPr>
                <w:rFonts w:ascii="Cambria" w:eastAsia="Times New Roman" w:hAnsi="Cambria" w:cs="Arial"/>
                <w:sz w:val="20"/>
                <w:szCs w:val="20"/>
                <w:lang w:bidi="ar-LY"/>
              </w:rPr>
            </w:pPr>
          </w:p>
          <w:p w14:paraId="1F69A45B" w14:textId="77777777" w:rsidR="00EA1783" w:rsidRPr="004E13E9" w:rsidRDefault="00EA1783" w:rsidP="00E62E84">
            <w:pPr>
              <w:widowControl w:val="0"/>
              <w:jc w:val="both"/>
              <w:rPr>
                <w:rFonts w:ascii="Cambria" w:hAnsi="Cambria"/>
                <w:sz w:val="20"/>
                <w:szCs w:val="20"/>
              </w:rPr>
            </w:pPr>
          </w:p>
        </w:tc>
        <w:tc>
          <w:tcPr>
            <w:tcW w:w="1268" w:type="dxa"/>
          </w:tcPr>
          <w:p w14:paraId="32D2F720" w14:textId="77777777" w:rsidR="00EA1783" w:rsidRPr="004E13E9" w:rsidRDefault="00EA1783" w:rsidP="00E62E84">
            <w:pPr>
              <w:widowControl w:val="0"/>
              <w:jc w:val="both"/>
              <w:rPr>
                <w:rFonts w:ascii="Cambria" w:hAnsi="Cambria"/>
                <w:sz w:val="20"/>
                <w:szCs w:val="20"/>
              </w:rPr>
            </w:pPr>
          </w:p>
        </w:tc>
      </w:tr>
      <w:tr w:rsidR="00EA1783" w:rsidRPr="004E13E9" w14:paraId="36D95077" w14:textId="77777777" w:rsidTr="00E62E84">
        <w:tc>
          <w:tcPr>
            <w:tcW w:w="453" w:type="dxa"/>
          </w:tcPr>
          <w:p w14:paraId="7C025511" w14:textId="77777777" w:rsidR="00EA1783" w:rsidRPr="004E13E9" w:rsidRDefault="00EA1783" w:rsidP="00E62E84">
            <w:pPr>
              <w:widowControl w:val="0"/>
              <w:jc w:val="both"/>
              <w:rPr>
                <w:rFonts w:ascii="Cambria" w:hAnsi="Cambria"/>
                <w:b/>
                <w:sz w:val="20"/>
                <w:szCs w:val="20"/>
              </w:rPr>
            </w:pPr>
            <w:r w:rsidRPr="004E13E9">
              <w:rPr>
                <w:rFonts w:ascii="Cambria" w:hAnsi="Cambria"/>
                <w:b/>
                <w:sz w:val="20"/>
                <w:szCs w:val="20"/>
              </w:rPr>
              <w:t>4</w:t>
            </w:r>
          </w:p>
        </w:tc>
        <w:tc>
          <w:tcPr>
            <w:tcW w:w="2283" w:type="dxa"/>
          </w:tcPr>
          <w:p w14:paraId="00867A58" w14:textId="77777777" w:rsidR="00EA1783" w:rsidRPr="004E13E9" w:rsidRDefault="00EA1783" w:rsidP="00E62E84">
            <w:pPr>
              <w:widowControl w:val="0"/>
              <w:jc w:val="both"/>
              <w:rPr>
                <w:rFonts w:ascii="Cambria" w:hAnsi="Cambria"/>
                <w:b/>
                <w:sz w:val="20"/>
                <w:szCs w:val="20"/>
              </w:rPr>
            </w:pPr>
            <w:r w:rsidRPr="004E13E9">
              <w:rPr>
                <w:rFonts w:ascii="Cambria" w:hAnsi="Cambria"/>
                <w:b/>
                <w:color w:val="auto"/>
                <w:sz w:val="20"/>
                <w:szCs w:val="20"/>
              </w:rPr>
              <w:t xml:space="preserve">Prises accessoires (paragraphe 37) </w:t>
            </w:r>
          </w:p>
        </w:tc>
        <w:tc>
          <w:tcPr>
            <w:tcW w:w="3308" w:type="dxa"/>
          </w:tcPr>
          <w:p w14:paraId="42103D89" w14:textId="77777777" w:rsidR="00EA1783" w:rsidRPr="004E13E9" w:rsidRDefault="00EA1783" w:rsidP="00E62E84">
            <w:pPr>
              <w:widowControl w:val="0"/>
              <w:autoSpaceDE w:val="0"/>
              <w:autoSpaceDN w:val="0"/>
              <w:adjustRightInd w:val="0"/>
              <w:jc w:val="both"/>
              <w:rPr>
                <w:rFonts w:ascii="Cambria" w:hAnsi="Cambria"/>
                <w:sz w:val="20"/>
                <w:szCs w:val="20"/>
              </w:rPr>
            </w:pPr>
            <w:r w:rsidRPr="004E13E9">
              <w:rPr>
                <w:rFonts w:ascii="Cambria" w:hAnsi="Cambria"/>
                <w:sz w:val="20"/>
              </w:rPr>
              <w:t>Les navires de pêche libyens doivent, dans la mesure du possible, remettre à l'eau les thons rouges capturés accidentellement en tant que prises accessoires ; lorsque cela n'est pas possible, la quantité rejetée — en précisant si les poissons étaient vivants ou morts — doit être immédiatement déclarée à l'autorité compétente. Un quota annuel de prises accessoires de 10 tonnes est établi par la présente, en référence aux niveaux de prises accessoires enregistrés au cours des années précédentes à des fins de suivi comparatif. Toutes les prises accessoires, y compris les rejets, seront entièrement décomptées du quota national alloué à la Libye. La méthodologie utilisée pour calculer les niveaux autorisés de prises accessoires, exprimés par rapport au total des captures détenues à bord (en poids ou en nombre de spécimens), doit être clairement définie et appliquée de manière cohérente afin de garantir le respect des procédures de gestion de l’ICCAT.</w:t>
            </w:r>
          </w:p>
        </w:tc>
        <w:tc>
          <w:tcPr>
            <w:tcW w:w="1748" w:type="dxa"/>
          </w:tcPr>
          <w:p w14:paraId="04159A20"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Art. 37</w:t>
            </w:r>
          </w:p>
          <w:p w14:paraId="4BC66509"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Décret nº35/2023</w:t>
            </w:r>
          </w:p>
          <w:p w14:paraId="151EF8F1" w14:textId="77777777" w:rsidR="00EA1783" w:rsidRPr="004E13E9" w:rsidRDefault="00EA1783" w:rsidP="00E62E84">
            <w:pPr>
              <w:widowControl w:val="0"/>
              <w:jc w:val="both"/>
              <w:rPr>
                <w:rFonts w:ascii="Cambria" w:hAnsi="Cambria"/>
                <w:sz w:val="20"/>
                <w:szCs w:val="20"/>
              </w:rPr>
            </w:pPr>
          </w:p>
        </w:tc>
        <w:tc>
          <w:tcPr>
            <w:tcW w:w="1268" w:type="dxa"/>
          </w:tcPr>
          <w:p w14:paraId="6040F3E4" w14:textId="77777777" w:rsidR="00EA1783" w:rsidRPr="004E13E9" w:rsidRDefault="00EA1783" w:rsidP="00E62E84">
            <w:pPr>
              <w:widowControl w:val="0"/>
              <w:jc w:val="both"/>
              <w:rPr>
                <w:rFonts w:ascii="Cambria" w:hAnsi="Cambria"/>
                <w:sz w:val="20"/>
                <w:szCs w:val="20"/>
              </w:rPr>
            </w:pPr>
          </w:p>
        </w:tc>
      </w:tr>
      <w:tr w:rsidR="00EA1783" w:rsidRPr="004E13E9" w14:paraId="64886283" w14:textId="77777777" w:rsidTr="00E62E84">
        <w:tc>
          <w:tcPr>
            <w:tcW w:w="453" w:type="dxa"/>
          </w:tcPr>
          <w:p w14:paraId="49F0A884" w14:textId="77777777" w:rsidR="00EA1783" w:rsidRPr="004E13E9" w:rsidRDefault="00EA1783" w:rsidP="00E62E84">
            <w:pPr>
              <w:widowControl w:val="0"/>
              <w:jc w:val="both"/>
              <w:rPr>
                <w:rFonts w:ascii="Cambria" w:hAnsi="Cambria"/>
                <w:b/>
                <w:sz w:val="20"/>
                <w:szCs w:val="20"/>
              </w:rPr>
            </w:pPr>
            <w:r w:rsidRPr="004E13E9">
              <w:rPr>
                <w:rFonts w:ascii="Cambria" w:hAnsi="Cambria"/>
                <w:b/>
                <w:sz w:val="20"/>
                <w:szCs w:val="20"/>
              </w:rPr>
              <w:t>5</w:t>
            </w:r>
          </w:p>
        </w:tc>
        <w:tc>
          <w:tcPr>
            <w:tcW w:w="2283" w:type="dxa"/>
          </w:tcPr>
          <w:p w14:paraId="307DAE24" w14:textId="77777777" w:rsidR="00EA1783" w:rsidRPr="004E13E9" w:rsidRDefault="00EA1783" w:rsidP="00E62E84">
            <w:pPr>
              <w:widowControl w:val="0"/>
              <w:jc w:val="both"/>
              <w:rPr>
                <w:rFonts w:ascii="Cambria" w:hAnsi="Cambria"/>
                <w:b/>
                <w:sz w:val="20"/>
                <w:szCs w:val="20"/>
              </w:rPr>
            </w:pPr>
            <w:r w:rsidRPr="004E13E9">
              <w:rPr>
                <w:rFonts w:ascii="Cambria" w:hAnsi="Cambria"/>
                <w:b/>
                <w:bCs/>
                <w:color w:val="auto"/>
                <w:sz w:val="20"/>
                <w:szCs w:val="20"/>
              </w:rPr>
              <w:t>Pêcheries récréatives et sportives (paragraphes 38-46)</w:t>
            </w:r>
          </w:p>
        </w:tc>
        <w:tc>
          <w:tcPr>
            <w:tcW w:w="3308" w:type="dxa"/>
          </w:tcPr>
          <w:p w14:paraId="608E5AEA"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Aucune pêcherie récréative ou sportive n’est autorisée.</w:t>
            </w:r>
          </w:p>
        </w:tc>
        <w:tc>
          <w:tcPr>
            <w:tcW w:w="1748" w:type="dxa"/>
          </w:tcPr>
          <w:p w14:paraId="5042B9EB"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Art. 7 et 8 Décret nº 35/2023</w:t>
            </w:r>
          </w:p>
          <w:p w14:paraId="2AE35054" w14:textId="77777777" w:rsidR="00EA1783" w:rsidRPr="004E13E9" w:rsidRDefault="00EA1783" w:rsidP="00E62E84">
            <w:pPr>
              <w:widowControl w:val="0"/>
              <w:jc w:val="both"/>
              <w:rPr>
                <w:rFonts w:ascii="Cambria" w:hAnsi="Cambria"/>
                <w:sz w:val="20"/>
                <w:szCs w:val="20"/>
              </w:rPr>
            </w:pPr>
          </w:p>
        </w:tc>
        <w:tc>
          <w:tcPr>
            <w:tcW w:w="1268" w:type="dxa"/>
          </w:tcPr>
          <w:p w14:paraId="6D8D65D4" w14:textId="77777777" w:rsidR="00EA1783" w:rsidRPr="004E13E9" w:rsidRDefault="00EA1783" w:rsidP="00E62E84">
            <w:pPr>
              <w:widowControl w:val="0"/>
              <w:jc w:val="both"/>
              <w:rPr>
                <w:rFonts w:ascii="Cambria" w:hAnsi="Cambria"/>
                <w:sz w:val="20"/>
                <w:szCs w:val="20"/>
              </w:rPr>
            </w:pPr>
          </w:p>
        </w:tc>
      </w:tr>
      <w:tr w:rsidR="00EA1783" w:rsidRPr="004E13E9" w14:paraId="77802A56" w14:textId="77777777" w:rsidTr="00E62E84">
        <w:tc>
          <w:tcPr>
            <w:tcW w:w="453" w:type="dxa"/>
          </w:tcPr>
          <w:p w14:paraId="5F381607" w14:textId="77777777" w:rsidR="00EA1783" w:rsidRPr="004E13E9" w:rsidRDefault="00EA1783" w:rsidP="00E62E84">
            <w:pPr>
              <w:widowControl w:val="0"/>
              <w:jc w:val="both"/>
              <w:rPr>
                <w:rFonts w:ascii="Cambria" w:hAnsi="Cambria"/>
                <w:b/>
                <w:sz w:val="20"/>
                <w:szCs w:val="20"/>
              </w:rPr>
            </w:pPr>
            <w:r w:rsidRPr="004E13E9">
              <w:rPr>
                <w:rFonts w:ascii="Cambria" w:hAnsi="Cambria"/>
                <w:b/>
                <w:sz w:val="20"/>
                <w:szCs w:val="20"/>
              </w:rPr>
              <w:t>6</w:t>
            </w:r>
          </w:p>
        </w:tc>
        <w:tc>
          <w:tcPr>
            <w:tcW w:w="2283" w:type="dxa"/>
          </w:tcPr>
          <w:p w14:paraId="05B1ED9A" w14:textId="77777777" w:rsidR="00EA1783" w:rsidRPr="004E13E9" w:rsidRDefault="00EA1783" w:rsidP="00E62E84">
            <w:pPr>
              <w:widowControl w:val="0"/>
              <w:jc w:val="both"/>
              <w:rPr>
                <w:rFonts w:ascii="Cambria" w:hAnsi="Cambria"/>
                <w:b/>
                <w:sz w:val="20"/>
                <w:szCs w:val="20"/>
              </w:rPr>
            </w:pPr>
            <w:r w:rsidRPr="004E13E9">
              <w:rPr>
                <w:rFonts w:ascii="Cambria" w:hAnsi="Cambria"/>
                <w:b/>
                <w:color w:val="auto"/>
                <w:sz w:val="20"/>
                <w:szCs w:val="20"/>
              </w:rPr>
              <w:t xml:space="preserve">Transbordement (paragraphes 89-94) </w:t>
            </w:r>
          </w:p>
        </w:tc>
        <w:tc>
          <w:tcPr>
            <w:tcW w:w="3308" w:type="dxa"/>
          </w:tcPr>
          <w:p w14:paraId="15F4E55F" w14:textId="77777777" w:rsidR="00EA1783" w:rsidRPr="004E13E9" w:rsidRDefault="00EA1783" w:rsidP="00E62E84">
            <w:pPr>
              <w:jc w:val="both"/>
              <w:rPr>
                <w:rFonts w:ascii="Cambria" w:hAnsi="Cambria"/>
                <w:sz w:val="20"/>
              </w:rPr>
            </w:pPr>
            <w:r w:rsidRPr="004E13E9">
              <w:rPr>
                <w:rFonts w:ascii="Cambria" w:hAnsi="Cambria"/>
                <w:sz w:val="20"/>
              </w:rPr>
              <w:t>Le transbordement en mer de thon rouge est strictement interdit. Tous les navires de pêche libyens autorisés doivent débarquer leurs captures exclusivement dans les ports désignés par l'autorité compétente en matière de pêche, à savoir Al-</w:t>
            </w:r>
            <w:proofErr w:type="spellStart"/>
            <w:r w:rsidRPr="004E13E9">
              <w:rPr>
                <w:rFonts w:ascii="Cambria" w:hAnsi="Cambria"/>
                <w:sz w:val="20"/>
              </w:rPr>
              <w:t>Khoms</w:t>
            </w:r>
            <w:proofErr w:type="spellEnd"/>
            <w:r w:rsidRPr="004E13E9">
              <w:rPr>
                <w:rFonts w:ascii="Cambria" w:hAnsi="Cambria"/>
                <w:sz w:val="20"/>
              </w:rPr>
              <w:t>, Tripoli, Misurata et Tobrouk. Les navires qui ont l'intention d'entrer dans l'un de ces ports pour débarquer doivent obtenir au préalable l'autorisation d'entrée des autorités portuaires compétentes. Tous les débarquements de thon rouge sont soumis à l'inspection des autorités portuaires et des autorités chargées de la pêche, et les résultats de ces inspections doivent être officiellement communiqués à l'État du pavillon du navire de pêche au moyen d'un rapport officiel.</w:t>
            </w:r>
          </w:p>
          <w:p w14:paraId="6F10185E" w14:textId="77777777" w:rsidR="00EA1783" w:rsidRPr="004E13E9" w:rsidRDefault="00EA1783" w:rsidP="00E62E84">
            <w:pPr>
              <w:widowControl w:val="0"/>
              <w:jc w:val="both"/>
              <w:rPr>
                <w:rFonts w:ascii="Cambria" w:hAnsi="Cambria"/>
                <w:sz w:val="20"/>
                <w:szCs w:val="20"/>
              </w:rPr>
            </w:pPr>
          </w:p>
        </w:tc>
        <w:tc>
          <w:tcPr>
            <w:tcW w:w="1748" w:type="dxa"/>
          </w:tcPr>
          <w:p w14:paraId="5783CA74"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Art. 32</w:t>
            </w:r>
          </w:p>
          <w:p w14:paraId="75FAAB2A"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Décret nº35/2023</w:t>
            </w:r>
          </w:p>
          <w:p w14:paraId="2C856118" w14:textId="77777777" w:rsidR="00EA1783" w:rsidRPr="004E13E9" w:rsidRDefault="00EA1783" w:rsidP="00E62E84">
            <w:pPr>
              <w:widowControl w:val="0"/>
              <w:jc w:val="both"/>
              <w:rPr>
                <w:rFonts w:ascii="Cambria" w:hAnsi="Cambria"/>
                <w:sz w:val="20"/>
                <w:szCs w:val="20"/>
              </w:rPr>
            </w:pPr>
          </w:p>
          <w:p w14:paraId="13EAB2DC" w14:textId="77777777" w:rsidR="00EA1783" w:rsidRPr="004E13E9" w:rsidRDefault="00EA1783" w:rsidP="00E62E84">
            <w:pPr>
              <w:widowControl w:val="0"/>
              <w:jc w:val="both"/>
              <w:rPr>
                <w:rFonts w:ascii="Cambria" w:hAnsi="Cambria"/>
                <w:sz w:val="20"/>
                <w:szCs w:val="20"/>
              </w:rPr>
            </w:pPr>
          </w:p>
        </w:tc>
        <w:tc>
          <w:tcPr>
            <w:tcW w:w="1268" w:type="dxa"/>
          </w:tcPr>
          <w:p w14:paraId="2DDC4CEF" w14:textId="77777777" w:rsidR="00EA1783" w:rsidRPr="004E13E9" w:rsidRDefault="00EA1783" w:rsidP="00E62E84">
            <w:pPr>
              <w:widowControl w:val="0"/>
              <w:jc w:val="both"/>
              <w:rPr>
                <w:rFonts w:ascii="Cambria" w:hAnsi="Cambria"/>
                <w:sz w:val="20"/>
                <w:szCs w:val="20"/>
              </w:rPr>
            </w:pPr>
          </w:p>
        </w:tc>
      </w:tr>
      <w:tr w:rsidR="00EA1783" w:rsidRPr="006A2397" w14:paraId="103E5AF3" w14:textId="77777777" w:rsidTr="00E62E84">
        <w:tc>
          <w:tcPr>
            <w:tcW w:w="453" w:type="dxa"/>
          </w:tcPr>
          <w:p w14:paraId="0AE52A52" w14:textId="77777777" w:rsidR="00EA1783" w:rsidRPr="004E13E9" w:rsidRDefault="00EA1783" w:rsidP="00E62E84">
            <w:pPr>
              <w:widowControl w:val="0"/>
              <w:jc w:val="both"/>
              <w:rPr>
                <w:rFonts w:ascii="Cambria" w:hAnsi="Cambria"/>
                <w:b/>
                <w:sz w:val="20"/>
                <w:szCs w:val="20"/>
              </w:rPr>
            </w:pPr>
            <w:r w:rsidRPr="004E13E9">
              <w:rPr>
                <w:rFonts w:ascii="Cambria" w:hAnsi="Cambria"/>
                <w:b/>
                <w:color w:val="auto"/>
                <w:sz w:val="20"/>
                <w:szCs w:val="20"/>
              </w:rPr>
              <w:t>7</w:t>
            </w:r>
          </w:p>
        </w:tc>
        <w:tc>
          <w:tcPr>
            <w:tcW w:w="2283" w:type="dxa"/>
          </w:tcPr>
          <w:p w14:paraId="14952FAF" w14:textId="77777777" w:rsidR="00EA1783" w:rsidRPr="004E13E9" w:rsidRDefault="00EA1783" w:rsidP="00E62E84">
            <w:pPr>
              <w:widowControl w:val="0"/>
              <w:jc w:val="both"/>
              <w:rPr>
                <w:rFonts w:ascii="Cambria" w:hAnsi="Cambria"/>
                <w:b/>
                <w:sz w:val="20"/>
                <w:szCs w:val="20"/>
              </w:rPr>
            </w:pPr>
            <w:r w:rsidRPr="004E13E9">
              <w:rPr>
                <w:rFonts w:ascii="Cambria" w:hAnsi="Cambria"/>
                <w:b/>
                <w:color w:val="auto"/>
                <w:sz w:val="20"/>
                <w:szCs w:val="20"/>
              </w:rPr>
              <w:t>VMS (paragraphes 222-228)</w:t>
            </w:r>
          </w:p>
        </w:tc>
        <w:tc>
          <w:tcPr>
            <w:tcW w:w="3308" w:type="dxa"/>
          </w:tcPr>
          <w:p w14:paraId="3A530047" w14:textId="77777777" w:rsidR="00EA1783" w:rsidRPr="004E13E9" w:rsidRDefault="00EA1783" w:rsidP="00E62E84">
            <w:pPr>
              <w:widowControl w:val="0"/>
              <w:jc w:val="both"/>
              <w:rPr>
                <w:rFonts w:ascii="Cambria" w:hAnsi="Cambria"/>
                <w:sz w:val="20"/>
                <w:szCs w:val="20"/>
              </w:rPr>
            </w:pPr>
            <w:r w:rsidRPr="004E13E9">
              <w:rPr>
                <w:rFonts w:ascii="Cambria" w:hAnsi="Cambria"/>
                <w:sz w:val="20"/>
              </w:rPr>
              <w:t>Tous les navires de pêche engagés dans des opérations de pêche au thon rouge doivent être équipés d'un système de surveillance des navires (VMS) pleinement opérationnel. La transmission des données de position devra commencer au plus tard quinze (15) jours avant la période de pêche autorisée du navire et se poursuivre pendant quinze (15) jours après l'expiration de cette autorisation. L'autorité chargée de la pêche surveille les transmissions VMS toutes les heures, et toute interruption doit faire l'objet d'une enquête immédiate et être corrigée. Lorsque la transmission ne peut être rétablie dans les vingt-quatre (24) heures, le navire concerné est tenu de retourner au port sans délai.</w:t>
            </w:r>
          </w:p>
          <w:p w14:paraId="1D3E6402" w14:textId="77777777" w:rsidR="00EA1783" w:rsidRPr="004E13E9" w:rsidRDefault="00EA1783" w:rsidP="00E62E84">
            <w:pPr>
              <w:widowControl w:val="0"/>
              <w:jc w:val="both"/>
              <w:rPr>
                <w:rFonts w:ascii="Cambria" w:hAnsi="Cambria"/>
                <w:sz w:val="20"/>
                <w:szCs w:val="20"/>
              </w:rPr>
            </w:pPr>
          </w:p>
        </w:tc>
        <w:tc>
          <w:tcPr>
            <w:tcW w:w="1748" w:type="dxa"/>
          </w:tcPr>
          <w:p w14:paraId="7D8F6DC0" w14:textId="77777777" w:rsidR="00EA1783" w:rsidRPr="004E13E9" w:rsidRDefault="00EA1783" w:rsidP="00E62E84">
            <w:pPr>
              <w:widowControl w:val="0"/>
              <w:rPr>
                <w:rFonts w:ascii="Cambria" w:hAnsi="Cambria"/>
                <w:sz w:val="20"/>
                <w:szCs w:val="20"/>
              </w:rPr>
            </w:pPr>
            <w:r w:rsidRPr="004E13E9">
              <w:rPr>
                <w:rFonts w:ascii="Cambria" w:hAnsi="Cambria"/>
                <w:sz w:val="20"/>
                <w:szCs w:val="20"/>
              </w:rPr>
              <w:t>Art. 8, 34  Décret nº35/2023</w:t>
            </w:r>
          </w:p>
          <w:p w14:paraId="02725477" w14:textId="77777777" w:rsidR="00EA1783" w:rsidRPr="004E13E9" w:rsidRDefault="00EA1783" w:rsidP="00E62E84">
            <w:pPr>
              <w:widowControl w:val="0"/>
              <w:rPr>
                <w:rFonts w:ascii="Cambria" w:hAnsi="Cambria"/>
                <w:sz w:val="20"/>
                <w:szCs w:val="20"/>
              </w:rPr>
            </w:pPr>
          </w:p>
          <w:p w14:paraId="771F1A7D"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La transmission débute 15 jours avant l'autorisation et se poursuit 15 jours après la fin de la campagne de pêche.</w:t>
            </w:r>
          </w:p>
        </w:tc>
        <w:tc>
          <w:tcPr>
            <w:tcW w:w="1268" w:type="dxa"/>
          </w:tcPr>
          <w:p w14:paraId="7F4835A1"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 xml:space="preserve">Les centres VMS devront transmettre régulièrement les données à l'ICCAT et à l’autorité.   </w:t>
            </w:r>
          </w:p>
        </w:tc>
      </w:tr>
      <w:tr w:rsidR="00EA1783" w:rsidRPr="004E13E9" w14:paraId="7E30A790" w14:textId="77777777" w:rsidTr="00E62E84">
        <w:tc>
          <w:tcPr>
            <w:tcW w:w="453" w:type="dxa"/>
          </w:tcPr>
          <w:p w14:paraId="4333E0B0" w14:textId="77777777" w:rsidR="00EA1783" w:rsidRPr="004E13E9" w:rsidRDefault="00EA1783" w:rsidP="00E62E84">
            <w:pPr>
              <w:widowControl w:val="0"/>
              <w:jc w:val="both"/>
              <w:rPr>
                <w:rFonts w:ascii="Cambria" w:hAnsi="Cambria"/>
                <w:b/>
                <w:sz w:val="20"/>
                <w:szCs w:val="20"/>
              </w:rPr>
            </w:pPr>
            <w:r w:rsidRPr="004E13E9">
              <w:rPr>
                <w:rFonts w:ascii="Cambria" w:hAnsi="Cambria"/>
                <w:b/>
                <w:sz w:val="20"/>
                <w:szCs w:val="20"/>
              </w:rPr>
              <w:t>8</w:t>
            </w:r>
          </w:p>
        </w:tc>
        <w:tc>
          <w:tcPr>
            <w:tcW w:w="2283" w:type="dxa"/>
          </w:tcPr>
          <w:p w14:paraId="383F938F" w14:textId="77777777" w:rsidR="00EA1783" w:rsidRPr="004E13E9" w:rsidRDefault="00EA1783" w:rsidP="00E62E84">
            <w:pPr>
              <w:widowControl w:val="0"/>
              <w:rPr>
                <w:rFonts w:ascii="Cambria" w:hAnsi="Cambria"/>
                <w:b/>
                <w:sz w:val="20"/>
                <w:szCs w:val="20"/>
              </w:rPr>
            </w:pPr>
            <w:r w:rsidRPr="004E13E9">
              <w:rPr>
                <w:rFonts w:ascii="Cambria" w:hAnsi="Cambria"/>
                <w:b/>
                <w:bCs/>
                <w:color w:val="auto"/>
                <w:sz w:val="20"/>
                <w:szCs w:val="20"/>
              </w:rPr>
              <w:t xml:space="preserve">Programme d'observateurs des CPC </w:t>
            </w:r>
            <w:r w:rsidRPr="004E13E9">
              <w:rPr>
                <w:rFonts w:ascii="Cambria" w:hAnsi="Cambria"/>
                <w:b/>
                <w:color w:val="auto"/>
                <w:sz w:val="20"/>
                <w:szCs w:val="20"/>
              </w:rPr>
              <w:t>(paragraphes 95-100)</w:t>
            </w:r>
          </w:p>
        </w:tc>
        <w:tc>
          <w:tcPr>
            <w:tcW w:w="3308" w:type="dxa"/>
          </w:tcPr>
          <w:p w14:paraId="7A0CA3B2"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Des observateurs nationaux couvriront 100% des activités des navires de remorquage et des navires auxiliaires (« autres navires de thon rouge », le cas échéant).</w:t>
            </w:r>
          </w:p>
          <w:p w14:paraId="51F0E032" w14:textId="77777777" w:rsidR="00EA1783" w:rsidRPr="004E13E9" w:rsidRDefault="00EA1783" w:rsidP="00E62E84">
            <w:pPr>
              <w:widowControl w:val="0"/>
              <w:jc w:val="both"/>
              <w:rPr>
                <w:rFonts w:ascii="Cambria" w:hAnsi="Cambria"/>
                <w:sz w:val="20"/>
                <w:szCs w:val="20"/>
              </w:rPr>
            </w:pPr>
          </w:p>
          <w:p w14:paraId="20D5B3CF" w14:textId="77777777" w:rsidR="00EA1783" w:rsidRPr="004E13E9" w:rsidRDefault="00EA1783" w:rsidP="00E62E84">
            <w:pPr>
              <w:jc w:val="both"/>
              <w:rPr>
                <w:rFonts w:ascii="Cambria" w:hAnsi="Cambria"/>
                <w:sz w:val="20"/>
                <w:szCs w:val="20"/>
              </w:rPr>
            </w:pPr>
            <w:r w:rsidRPr="004E13E9">
              <w:rPr>
                <w:rFonts w:ascii="Cambria" w:hAnsi="Cambria"/>
                <w:sz w:val="20"/>
                <w:szCs w:val="20"/>
              </w:rPr>
              <w:t>Les observateurs nationaux ne devront pas être déployés à bord des navires de pêche. À des fins scientifiques, l'autorité compétente peut désigner des chercheurs qualifiés pour accompagner les opérations, à condition que ces désignations ne se substituent pas aux exigences obligatoires du programme régional d'observateurs de l’ICCAT ni ne les affaiblissent.</w:t>
            </w:r>
          </w:p>
          <w:p w14:paraId="415FD747" w14:textId="77777777" w:rsidR="00EA1783" w:rsidRPr="004E13E9" w:rsidRDefault="00EA1783" w:rsidP="00E62E84">
            <w:pPr>
              <w:widowControl w:val="0"/>
              <w:jc w:val="both"/>
              <w:rPr>
                <w:rFonts w:ascii="Cambria" w:hAnsi="Cambria"/>
                <w:sz w:val="20"/>
                <w:szCs w:val="20"/>
              </w:rPr>
            </w:pPr>
          </w:p>
        </w:tc>
        <w:tc>
          <w:tcPr>
            <w:tcW w:w="1748" w:type="dxa"/>
          </w:tcPr>
          <w:p w14:paraId="14D298C9"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Art. 14/15</w:t>
            </w:r>
          </w:p>
          <w:p w14:paraId="6E3C1043"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Décret nº35/2023</w:t>
            </w:r>
          </w:p>
          <w:p w14:paraId="1148D1DB" w14:textId="77777777" w:rsidR="00EA1783" w:rsidRPr="004E13E9" w:rsidRDefault="00EA1783" w:rsidP="00E62E84">
            <w:pPr>
              <w:widowControl w:val="0"/>
              <w:jc w:val="both"/>
              <w:rPr>
                <w:rFonts w:ascii="Cambria" w:hAnsi="Cambria"/>
                <w:sz w:val="20"/>
                <w:szCs w:val="20"/>
              </w:rPr>
            </w:pPr>
          </w:p>
        </w:tc>
        <w:tc>
          <w:tcPr>
            <w:tcW w:w="1268" w:type="dxa"/>
          </w:tcPr>
          <w:p w14:paraId="31A7673F" w14:textId="77777777" w:rsidR="00EA1783" w:rsidRPr="004E13E9" w:rsidRDefault="00EA1783" w:rsidP="00E62E84">
            <w:pPr>
              <w:widowControl w:val="0"/>
              <w:jc w:val="both"/>
              <w:rPr>
                <w:rFonts w:ascii="Cambria" w:hAnsi="Cambria"/>
                <w:sz w:val="20"/>
                <w:szCs w:val="20"/>
              </w:rPr>
            </w:pPr>
          </w:p>
        </w:tc>
      </w:tr>
      <w:tr w:rsidR="00EA1783" w:rsidRPr="004E13E9" w14:paraId="197766F9" w14:textId="77777777" w:rsidTr="00E62E84">
        <w:tc>
          <w:tcPr>
            <w:tcW w:w="453" w:type="dxa"/>
          </w:tcPr>
          <w:p w14:paraId="2B992AB0" w14:textId="77777777" w:rsidR="00EA1783" w:rsidRPr="004E13E9" w:rsidRDefault="00EA1783" w:rsidP="00E62E84">
            <w:pPr>
              <w:widowControl w:val="0"/>
              <w:jc w:val="both"/>
              <w:rPr>
                <w:rFonts w:ascii="Cambria" w:hAnsi="Cambria"/>
                <w:b/>
                <w:sz w:val="20"/>
                <w:szCs w:val="20"/>
              </w:rPr>
            </w:pPr>
            <w:r w:rsidRPr="004E13E9">
              <w:rPr>
                <w:rFonts w:ascii="Cambria" w:hAnsi="Cambria"/>
                <w:b/>
                <w:sz w:val="20"/>
                <w:szCs w:val="20"/>
              </w:rPr>
              <w:t>9</w:t>
            </w:r>
          </w:p>
        </w:tc>
        <w:tc>
          <w:tcPr>
            <w:tcW w:w="2283" w:type="dxa"/>
          </w:tcPr>
          <w:p w14:paraId="2E0760A7" w14:textId="77777777" w:rsidR="00EA1783" w:rsidRPr="004E13E9" w:rsidRDefault="00EA1783" w:rsidP="00E62E84">
            <w:pPr>
              <w:widowControl w:val="0"/>
              <w:rPr>
                <w:rFonts w:ascii="Cambria" w:hAnsi="Cambria"/>
                <w:b/>
                <w:sz w:val="20"/>
                <w:szCs w:val="20"/>
              </w:rPr>
            </w:pPr>
            <w:r w:rsidRPr="004E13E9">
              <w:rPr>
                <w:rFonts w:ascii="Cambria" w:hAnsi="Cambria"/>
                <w:b/>
                <w:color w:val="auto"/>
                <w:sz w:val="20"/>
                <w:szCs w:val="20"/>
              </w:rPr>
              <w:t>Programme d'observateurs régionaux (paragraphes 101-107)</w:t>
            </w:r>
          </w:p>
        </w:tc>
        <w:tc>
          <w:tcPr>
            <w:tcW w:w="3308" w:type="dxa"/>
          </w:tcPr>
          <w:p w14:paraId="6C13C1C7"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 xml:space="preserve">Tous les navires de capture autorisés à pêcher du thon rouge pendant la saison 2026 feront l’objet d’une couverture complète d'observation (100 %) par des observateurs régionaux placés à bord de ceux-ci. </w:t>
            </w:r>
          </w:p>
        </w:tc>
        <w:tc>
          <w:tcPr>
            <w:tcW w:w="1748" w:type="dxa"/>
          </w:tcPr>
          <w:p w14:paraId="4CFDEAB3"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Art. 14</w:t>
            </w:r>
          </w:p>
          <w:p w14:paraId="4421B529"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Décret nº35/2023</w:t>
            </w:r>
          </w:p>
          <w:p w14:paraId="5C2FC175" w14:textId="77777777" w:rsidR="00EA1783" w:rsidRPr="004E13E9" w:rsidRDefault="00EA1783" w:rsidP="00E62E84">
            <w:pPr>
              <w:bidi/>
              <w:jc w:val="right"/>
              <w:rPr>
                <w:rFonts w:ascii="Cambria" w:eastAsia="Times New Roman" w:hAnsi="Cambria" w:cs="Arial"/>
                <w:sz w:val="20"/>
                <w:szCs w:val="20"/>
              </w:rPr>
            </w:pPr>
          </w:p>
        </w:tc>
        <w:tc>
          <w:tcPr>
            <w:tcW w:w="1268" w:type="dxa"/>
          </w:tcPr>
          <w:p w14:paraId="2F1D7DFF" w14:textId="77777777" w:rsidR="00EA1783" w:rsidRPr="004E13E9" w:rsidRDefault="00EA1783" w:rsidP="00E62E84">
            <w:pPr>
              <w:widowControl w:val="0"/>
              <w:jc w:val="both"/>
              <w:rPr>
                <w:rFonts w:ascii="Cambria" w:hAnsi="Cambria"/>
                <w:sz w:val="20"/>
                <w:szCs w:val="20"/>
              </w:rPr>
            </w:pPr>
          </w:p>
        </w:tc>
      </w:tr>
      <w:tr w:rsidR="00EA1783" w:rsidRPr="006A2397" w14:paraId="4E8D9F15" w14:textId="77777777" w:rsidTr="00E62E84">
        <w:tc>
          <w:tcPr>
            <w:tcW w:w="453" w:type="dxa"/>
          </w:tcPr>
          <w:p w14:paraId="14B60EF0" w14:textId="77777777" w:rsidR="00EA1783" w:rsidRPr="004E13E9" w:rsidRDefault="00EA1783" w:rsidP="00E62E84">
            <w:pPr>
              <w:widowControl w:val="0"/>
              <w:jc w:val="both"/>
              <w:rPr>
                <w:rFonts w:ascii="Cambria" w:hAnsi="Cambria"/>
                <w:b/>
                <w:sz w:val="20"/>
                <w:szCs w:val="20"/>
              </w:rPr>
            </w:pPr>
            <w:r w:rsidRPr="004E13E9">
              <w:rPr>
                <w:rFonts w:ascii="Cambria" w:hAnsi="Cambria"/>
                <w:b/>
                <w:sz w:val="20"/>
                <w:szCs w:val="20"/>
              </w:rPr>
              <w:t>10</w:t>
            </w:r>
          </w:p>
        </w:tc>
        <w:tc>
          <w:tcPr>
            <w:tcW w:w="2283" w:type="dxa"/>
          </w:tcPr>
          <w:p w14:paraId="2767D4AC" w14:textId="77777777" w:rsidR="00EA1783" w:rsidRPr="004E13E9" w:rsidRDefault="00EA1783" w:rsidP="00E62E84">
            <w:pPr>
              <w:widowControl w:val="0"/>
              <w:jc w:val="both"/>
              <w:rPr>
                <w:rFonts w:ascii="Cambria" w:hAnsi="Cambria"/>
                <w:b/>
                <w:sz w:val="20"/>
                <w:szCs w:val="20"/>
              </w:rPr>
            </w:pPr>
            <w:r w:rsidRPr="004E13E9">
              <w:rPr>
                <w:rFonts w:ascii="Cambria" w:hAnsi="Cambria"/>
                <w:b/>
                <w:sz w:val="20"/>
                <w:szCs w:val="20"/>
              </w:rPr>
              <w:t>Législation nationale</w:t>
            </w:r>
          </w:p>
        </w:tc>
        <w:tc>
          <w:tcPr>
            <w:tcW w:w="3308" w:type="dxa"/>
          </w:tcPr>
          <w:p w14:paraId="555688E6"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Loi 14/1989 sur la pêche et l'aquaculture en Libye et Décret ministériel (émis par le ministère de l'Agriculture, de l'élevage et de la richesse marine) nº32/2022, modifié par le Décret nº35/2023 (émis par le Gouvernement de l'unité nationale) adoptant la Rec.</w:t>
            </w:r>
            <w:r w:rsidRPr="004E13E9">
              <w:rPr>
                <w:rFonts w:ascii="Cambria" w:hAnsi="Cambria"/>
              </w:rPr>
              <w:t> </w:t>
            </w:r>
            <w:r w:rsidRPr="004E13E9">
              <w:rPr>
                <w:rFonts w:ascii="Cambria" w:hAnsi="Cambria"/>
                <w:sz w:val="20"/>
                <w:szCs w:val="20"/>
              </w:rPr>
              <w:t>22-08 et modifiant le Décret nº205/2013, pour établir un plan pluriannuel de rétablissement du thon rouge dans l'Atlantique Est et la Méditerranée.</w:t>
            </w:r>
          </w:p>
        </w:tc>
        <w:tc>
          <w:tcPr>
            <w:tcW w:w="1748" w:type="dxa"/>
          </w:tcPr>
          <w:p w14:paraId="73CEC528" w14:textId="77777777" w:rsidR="00EA1783" w:rsidRPr="004E13E9" w:rsidRDefault="00EA1783" w:rsidP="00E62E84">
            <w:pPr>
              <w:bidi/>
              <w:jc w:val="right"/>
              <w:rPr>
                <w:rFonts w:ascii="Cambria" w:eastAsia="Times New Roman" w:hAnsi="Cambria" w:cs="Arial"/>
                <w:sz w:val="20"/>
                <w:szCs w:val="20"/>
              </w:rPr>
            </w:pPr>
          </w:p>
        </w:tc>
        <w:tc>
          <w:tcPr>
            <w:tcW w:w="1268" w:type="dxa"/>
          </w:tcPr>
          <w:p w14:paraId="5E6E750F" w14:textId="77777777" w:rsidR="00EA1783" w:rsidRPr="004E13E9" w:rsidRDefault="00EA1783" w:rsidP="00E62E84">
            <w:pPr>
              <w:widowControl w:val="0"/>
              <w:jc w:val="both"/>
              <w:rPr>
                <w:rFonts w:ascii="Cambria" w:hAnsi="Cambria"/>
                <w:sz w:val="20"/>
                <w:szCs w:val="20"/>
              </w:rPr>
            </w:pPr>
          </w:p>
        </w:tc>
      </w:tr>
      <w:tr w:rsidR="00EA1783" w:rsidRPr="006A2397" w14:paraId="4AA8233A" w14:textId="77777777" w:rsidTr="00E62E84">
        <w:tc>
          <w:tcPr>
            <w:tcW w:w="453" w:type="dxa"/>
          </w:tcPr>
          <w:p w14:paraId="2A1CD248" w14:textId="77777777" w:rsidR="00EA1783" w:rsidRPr="004E13E9" w:rsidRDefault="00EA1783" w:rsidP="00E62E84">
            <w:pPr>
              <w:widowControl w:val="0"/>
              <w:jc w:val="both"/>
              <w:rPr>
                <w:rFonts w:ascii="Cambria" w:hAnsi="Cambria"/>
                <w:b/>
                <w:sz w:val="20"/>
                <w:szCs w:val="20"/>
              </w:rPr>
            </w:pPr>
          </w:p>
        </w:tc>
        <w:tc>
          <w:tcPr>
            <w:tcW w:w="2283" w:type="dxa"/>
          </w:tcPr>
          <w:p w14:paraId="2EBBCBFB" w14:textId="77777777" w:rsidR="00EA1783" w:rsidRPr="004E13E9" w:rsidRDefault="00EA1783" w:rsidP="00E62E84">
            <w:pPr>
              <w:widowControl w:val="0"/>
              <w:jc w:val="both"/>
              <w:rPr>
                <w:rFonts w:ascii="Cambria" w:hAnsi="Cambria"/>
                <w:b/>
                <w:sz w:val="20"/>
                <w:szCs w:val="20"/>
              </w:rPr>
            </w:pPr>
            <w:r w:rsidRPr="004E13E9">
              <w:rPr>
                <w:rFonts w:ascii="Cambria" w:hAnsi="Cambria"/>
                <w:i/>
                <w:sz w:val="20"/>
                <w:szCs w:val="20"/>
              </w:rPr>
              <w:t>Autres exigences, telles que : programme de marquage (paragr. 44), etc.</w:t>
            </w:r>
          </w:p>
        </w:tc>
        <w:tc>
          <w:tcPr>
            <w:tcW w:w="3308" w:type="dxa"/>
          </w:tcPr>
          <w:p w14:paraId="758D1C05" w14:textId="77777777" w:rsidR="00EA1783" w:rsidRPr="004E13E9" w:rsidRDefault="00EA1783" w:rsidP="00E62E84">
            <w:pPr>
              <w:widowControl w:val="0"/>
              <w:jc w:val="both"/>
              <w:rPr>
                <w:rFonts w:ascii="Cambria" w:hAnsi="Cambria"/>
                <w:sz w:val="20"/>
                <w:szCs w:val="20"/>
              </w:rPr>
            </w:pPr>
            <w:r w:rsidRPr="004E13E9">
              <w:rPr>
                <w:rFonts w:ascii="Cambria" w:hAnsi="Cambria"/>
                <w:sz w:val="20"/>
                <w:szCs w:val="20"/>
              </w:rPr>
              <w:t>Aucun programme de marquage n’est mis en œuvre dans les eaux libyennes.</w:t>
            </w:r>
          </w:p>
        </w:tc>
        <w:tc>
          <w:tcPr>
            <w:tcW w:w="1748" w:type="dxa"/>
          </w:tcPr>
          <w:p w14:paraId="4178E2BA" w14:textId="77777777" w:rsidR="00EA1783" w:rsidRPr="004E13E9" w:rsidRDefault="00EA1783" w:rsidP="00E62E84">
            <w:pPr>
              <w:bidi/>
              <w:jc w:val="right"/>
              <w:rPr>
                <w:rFonts w:ascii="Cambria" w:eastAsia="Times New Roman" w:hAnsi="Cambria" w:cs="Arial"/>
                <w:sz w:val="20"/>
                <w:szCs w:val="20"/>
              </w:rPr>
            </w:pPr>
          </w:p>
        </w:tc>
        <w:tc>
          <w:tcPr>
            <w:tcW w:w="1268" w:type="dxa"/>
          </w:tcPr>
          <w:p w14:paraId="559EDD99" w14:textId="77777777" w:rsidR="00EA1783" w:rsidRPr="004E13E9" w:rsidRDefault="00EA1783" w:rsidP="00E62E84">
            <w:pPr>
              <w:widowControl w:val="0"/>
              <w:jc w:val="both"/>
              <w:rPr>
                <w:rFonts w:ascii="Cambria" w:hAnsi="Cambria"/>
                <w:sz w:val="20"/>
                <w:szCs w:val="20"/>
              </w:rPr>
            </w:pPr>
          </w:p>
        </w:tc>
      </w:tr>
    </w:tbl>
    <w:p w14:paraId="2F5C5072" w14:textId="77777777" w:rsidR="00EA1783" w:rsidRPr="004E13E9" w:rsidRDefault="00EA1783" w:rsidP="00EA1783">
      <w:pPr>
        <w:widowControl w:val="0"/>
        <w:rPr>
          <w:rFonts w:eastAsia="MS Gothic" w:cs="Times New Roman"/>
          <w:b/>
          <w:i/>
          <w:iCs/>
          <w:lang w:val="fr-FR" w:eastAsia="fr-FR" w:bidi="fr-FR"/>
        </w:rPr>
      </w:pPr>
    </w:p>
    <w:p w14:paraId="0387003B" w14:textId="77777777" w:rsidR="00EA1783" w:rsidRPr="004E13E9" w:rsidRDefault="00EA1783" w:rsidP="00EA1783">
      <w:pPr>
        <w:widowControl w:val="0"/>
        <w:rPr>
          <w:rFonts w:eastAsia="MS Gothic" w:cs="Times New Roman"/>
          <w:b/>
          <w:i/>
          <w:iCs/>
          <w:lang w:val="fr-FR" w:eastAsia="fr-FR" w:bidi="fr-FR"/>
        </w:rPr>
      </w:pPr>
      <w:r w:rsidRPr="004E13E9">
        <w:rPr>
          <w:rFonts w:eastAsia="MS Gothic" w:cs="Times New Roman"/>
          <w:b/>
          <w:i/>
          <w:iCs/>
          <w:lang w:val="fr-FR" w:eastAsia="fr-FR" w:bidi="fr-FR"/>
        </w:rPr>
        <w:t>1e) Ports désignés (paragraphe 80)</w:t>
      </w:r>
    </w:p>
    <w:p w14:paraId="6D20909A" w14:textId="77777777" w:rsidR="00EA1783" w:rsidRPr="004E13E9" w:rsidRDefault="00EA1783" w:rsidP="00EA1783">
      <w:pPr>
        <w:rPr>
          <w:lang w:val="fr-FR" w:eastAsia="ja-JP"/>
        </w:rPr>
      </w:pPr>
    </w:p>
    <w:p w14:paraId="1558547E" w14:textId="77777777" w:rsidR="00EA1783" w:rsidRPr="004E13E9" w:rsidRDefault="00EA1783" w:rsidP="00EA1783">
      <w:pPr>
        <w:rPr>
          <w:lang w:val="fr-FR" w:eastAsia="ja-JP"/>
        </w:rPr>
      </w:pPr>
      <w:r w:rsidRPr="004E13E9">
        <w:rPr>
          <w:lang w:val="fr-FR" w:eastAsia="ja-JP"/>
        </w:rPr>
        <w:t xml:space="preserve">La liste des ports désignés contenue dans le formulaire CP24 est la suivante : Tripoli, </w:t>
      </w:r>
      <w:proofErr w:type="spellStart"/>
      <w:r w:rsidRPr="004E13E9">
        <w:rPr>
          <w:lang w:val="fr-FR" w:eastAsia="ja-JP"/>
        </w:rPr>
        <w:t>Alkhoums</w:t>
      </w:r>
      <w:proofErr w:type="spellEnd"/>
      <w:r w:rsidRPr="004E13E9">
        <w:rPr>
          <w:lang w:val="fr-FR" w:eastAsia="ja-JP"/>
        </w:rPr>
        <w:t xml:space="preserve">, </w:t>
      </w:r>
      <w:proofErr w:type="spellStart"/>
      <w:r w:rsidRPr="004E13E9">
        <w:rPr>
          <w:lang w:val="fr-FR" w:eastAsia="ja-JP"/>
        </w:rPr>
        <w:t>Musratah</w:t>
      </w:r>
      <w:proofErr w:type="spellEnd"/>
      <w:r w:rsidRPr="004E13E9">
        <w:rPr>
          <w:lang w:val="fr-FR" w:eastAsia="ja-JP"/>
        </w:rPr>
        <w:t xml:space="preserve"> et </w:t>
      </w:r>
      <w:proofErr w:type="spellStart"/>
      <w:r w:rsidRPr="004E13E9">
        <w:rPr>
          <w:lang w:val="fr-FR" w:eastAsia="ja-JP"/>
        </w:rPr>
        <w:t>Topruk</w:t>
      </w:r>
      <w:proofErr w:type="spellEnd"/>
      <w:r w:rsidRPr="004E13E9">
        <w:rPr>
          <w:lang w:val="fr-FR" w:eastAsia="ja-JP"/>
        </w:rPr>
        <w:t>.</w:t>
      </w:r>
    </w:p>
    <w:p w14:paraId="78AE12A7" w14:textId="77777777" w:rsidR="00EA1783" w:rsidRPr="004E13E9" w:rsidRDefault="00EA1783" w:rsidP="00EA1783">
      <w:pPr>
        <w:rPr>
          <w:lang w:val="fr-FR" w:eastAsia="ja-JP"/>
        </w:rPr>
      </w:pPr>
    </w:p>
    <w:p w14:paraId="490E894D" w14:textId="77777777" w:rsidR="00EA1783" w:rsidRPr="004E13E9" w:rsidRDefault="00EA1783" w:rsidP="00EA1783">
      <w:pPr>
        <w:rPr>
          <w:b/>
          <w:lang w:val="fr-FR"/>
        </w:rPr>
      </w:pPr>
    </w:p>
    <w:p w14:paraId="4DB639E5" w14:textId="77777777" w:rsidR="00EA1783" w:rsidRPr="004E13E9" w:rsidRDefault="00EA1783" w:rsidP="00EA1783">
      <w:pPr>
        <w:ind w:left="426" w:hanging="426"/>
        <w:rPr>
          <w:b/>
          <w:lang w:val="fr-FR"/>
        </w:rPr>
      </w:pPr>
      <w:r w:rsidRPr="004E13E9">
        <w:rPr>
          <w:b/>
          <w:lang w:val="fr-FR"/>
        </w:rPr>
        <w:t>2.</w:t>
      </w:r>
      <w:r w:rsidRPr="004E13E9">
        <w:rPr>
          <w:b/>
          <w:lang w:val="fr-FR"/>
        </w:rPr>
        <w:tab/>
        <w:t>Plan annuel de gestion de la capacité de pêche (paragraphes 14-21)</w:t>
      </w:r>
    </w:p>
    <w:p w14:paraId="3AEF7B8F" w14:textId="77777777" w:rsidR="00756459" w:rsidRPr="004E13E9" w:rsidRDefault="00756459" w:rsidP="00EA1783">
      <w:pPr>
        <w:autoSpaceDE w:val="0"/>
        <w:autoSpaceDN w:val="0"/>
        <w:adjustRightInd w:val="0"/>
        <w:jc w:val="both"/>
        <w:rPr>
          <w:rFonts w:eastAsia="MS Gothic" w:cs="Times New Roman"/>
          <w:color w:val="000000"/>
          <w:lang w:val="fr-FR" w:eastAsia="fr-FR" w:bidi="fr-FR"/>
        </w:rPr>
      </w:pPr>
    </w:p>
    <w:p w14:paraId="62D7E7BF" w14:textId="7199F8EC" w:rsidR="00EA1783" w:rsidRPr="004E13E9" w:rsidRDefault="00EA1783" w:rsidP="00EA1783">
      <w:pPr>
        <w:autoSpaceDE w:val="0"/>
        <w:autoSpaceDN w:val="0"/>
        <w:adjustRightInd w:val="0"/>
        <w:jc w:val="both"/>
        <w:rPr>
          <w:rFonts w:eastAsia="MS Gothic"/>
          <w:color w:val="000000"/>
          <w:lang w:val="fr-FR" w:eastAsia="fr-FR" w:bidi="fr-FR"/>
        </w:rPr>
      </w:pPr>
      <w:r w:rsidRPr="004E13E9">
        <w:rPr>
          <w:rFonts w:eastAsia="MS Gothic" w:cs="Times New Roman"/>
          <w:color w:val="000000"/>
          <w:lang w:val="fr-FR" w:eastAsia="fr-FR" w:bidi="fr-FR"/>
        </w:rPr>
        <w:t xml:space="preserve">Conformément aux recommandations du SCRS, la Libye s’est efforcée de maintenir sa capacité de pêche à un faible niveau. Aux termes du paragraphe 21 de la Rec. </w:t>
      </w:r>
      <w:r w:rsidRPr="004E13E9">
        <w:rPr>
          <w:lang w:val="fr-FR"/>
        </w:rPr>
        <w:t xml:space="preserve">25-04, </w:t>
      </w:r>
      <w:r w:rsidRPr="004E13E9">
        <w:rPr>
          <w:rFonts w:eastAsia="MS Gothic" w:cs="Times New Roman"/>
          <w:color w:val="000000"/>
          <w:lang w:val="fr-FR" w:eastAsia="fr-FR" w:bidi="fr-FR"/>
        </w:rPr>
        <w:t>la Libye devra ajuster sa capacité de pêche d’une manière proportionnelle aux « meilleurs taux de capture » indiqués par le SCRS et au quota attribué à chaque engin de pêche (</w:t>
      </w:r>
      <w:r w:rsidRPr="004E13E9">
        <w:rPr>
          <w:rFonts w:eastAsia="MS Gothic" w:cs="Times New Roman"/>
          <w:b/>
          <w:bCs/>
          <w:color w:val="000000"/>
          <w:lang w:val="fr-FR" w:eastAsia="fr-FR" w:bidi="fr-FR"/>
        </w:rPr>
        <w:t>tableau 2</w:t>
      </w:r>
      <w:r w:rsidRPr="004E13E9">
        <w:rPr>
          <w:rFonts w:eastAsia="MS Gothic" w:cs="Times New Roman"/>
          <w:color w:val="000000"/>
          <w:lang w:val="fr-FR" w:eastAsia="fr-FR" w:bidi="fr-FR"/>
        </w:rPr>
        <w:t>).</w:t>
      </w:r>
    </w:p>
    <w:p w14:paraId="0FE27743" w14:textId="77777777" w:rsidR="00EA1783" w:rsidRPr="004E13E9" w:rsidRDefault="00EA1783" w:rsidP="00EA1783">
      <w:pPr>
        <w:widowControl w:val="0"/>
        <w:jc w:val="both"/>
        <w:rPr>
          <w:rFonts w:eastAsia="MS Gothic" w:cs="Times New Roman"/>
          <w:i/>
          <w:lang w:val="fr-FR" w:eastAsia="ja-JP" w:bidi="fr-FR"/>
        </w:rPr>
      </w:pPr>
    </w:p>
    <w:p w14:paraId="7E05F5E4" w14:textId="77777777" w:rsidR="00EA1783" w:rsidRPr="004E13E9" w:rsidRDefault="00EA1783" w:rsidP="00EA1783">
      <w:pPr>
        <w:widowControl w:val="0"/>
        <w:jc w:val="both"/>
        <w:rPr>
          <w:rFonts w:eastAsia="MS Gothic" w:cs="Times New Roman"/>
          <w:i/>
          <w:lang w:val="fr-FR" w:eastAsia="ja-JP" w:bidi="fr-FR"/>
        </w:rPr>
      </w:pPr>
    </w:p>
    <w:p w14:paraId="45B720A4" w14:textId="77777777" w:rsidR="00EA1783" w:rsidRPr="004E13E9" w:rsidRDefault="00EA1783" w:rsidP="00EA1783">
      <w:pPr>
        <w:rPr>
          <w:b/>
          <w:lang w:val="fr-FR"/>
        </w:rPr>
      </w:pPr>
      <w:r w:rsidRPr="004E13E9">
        <w:rPr>
          <w:b/>
          <w:lang w:val="fr-FR"/>
        </w:rPr>
        <w:br w:type="page"/>
      </w:r>
    </w:p>
    <w:p w14:paraId="1D6C1450" w14:textId="77777777" w:rsidR="00EA1783" w:rsidRPr="004E13E9" w:rsidRDefault="00EA1783" w:rsidP="00EA1783">
      <w:pPr>
        <w:ind w:left="426" w:hanging="426"/>
        <w:rPr>
          <w:b/>
          <w:lang w:val="fr-FR"/>
        </w:rPr>
      </w:pPr>
      <w:r w:rsidRPr="004E13E9">
        <w:rPr>
          <w:b/>
          <w:lang w:val="fr-FR"/>
        </w:rPr>
        <w:t>3.</w:t>
      </w:r>
      <w:r w:rsidRPr="004E13E9">
        <w:rPr>
          <w:b/>
          <w:lang w:val="fr-FR"/>
        </w:rPr>
        <w:tab/>
        <w:t xml:space="preserve">Plan annuel de gestion de l’élevage (paragraphes </w:t>
      </w:r>
      <w:r w:rsidRPr="004E13E9">
        <w:rPr>
          <w:rStyle w:val="Hyperlink"/>
          <w:b/>
          <w:u w:val="none"/>
          <w:lang w:val="fr-FR"/>
        </w:rPr>
        <w:t>22 et 23</w:t>
      </w:r>
      <w:r w:rsidRPr="004E13E9">
        <w:rPr>
          <w:b/>
          <w:lang w:val="fr-FR"/>
        </w:rPr>
        <w:t>), le cas échéant</w:t>
      </w:r>
    </w:p>
    <w:p w14:paraId="635FE9D2" w14:textId="77777777" w:rsidR="00756459" w:rsidRPr="004E13E9" w:rsidRDefault="00756459" w:rsidP="00EA1783">
      <w:pPr>
        <w:widowControl w:val="0"/>
        <w:jc w:val="both"/>
        <w:rPr>
          <w:lang w:val="fr-FR"/>
        </w:rPr>
      </w:pPr>
    </w:p>
    <w:p w14:paraId="565407A5" w14:textId="7A85356F" w:rsidR="00EA1783" w:rsidRPr="004E13E9" w:rsidRDefault="00EA1783" w:rsidP="00EA1783">
      <w:pPr>
        <w:widowControl w:val="0"/>
        <w:jc w:val="both"/>
        <w:rPr>
          <w:lang w:val="fr-FR"/>
        </w:rPr>
      </w:pPr>
      <w:r w:rsidRPr="004E13E9">
        <w:rPr>
          <w:lang w:val="fr-FR"/>
        </w:rPr>
        <w:t>Conformément aux paragraphes 22 et 23 de la Rec. 25-04, la Libye a dûment communiqué au Secrétariat de l'ICCAT l'existence de trois fermes d'élevage de thon rouge autorisées, d'une capacité totale de 1.800 tonnes. Nonobstant cette notification, aucune activité d’élevage ne sera entreprise au cours de l'année 2026 en raison des conditions de sécurité qui prévalent.</w:t>
      </w:r>
    </w:p>
    <w:p w14:paraId="70B622D3" w14:textId="77777777" w:rsidR="00EA1783" w:rsidRPr="004E13E9" w:rsidRDefault="00EA1783" w:rsidP="00EA1783">
      <w:pPr>
        <w:widowControl w:val="0"/>
        <w:jc w:val="both"/>
        <w:rPr>
          <w:rFonts w:eastAsia="MS Gothic" w:cs="Times New Roman"/>
          <w:b/>
          <w:lang w:val="fr-FR" w:eastAsia="ja-JP" w:bidi="fr-FR"/>
        </w:rPr>
      </w:pPr>
    </w:p>
    <w:p w14:paraId="1662E959" w14:textId="77777777" w:rsidR="00EA1783" w:rsidRPr="004E13E9" w:rsidRDefault="00EA1783" w:rsidP="00EA1783">
      <w:pPr>
        <w:widowControl w:val="0"/>
        <w:jc w:val="both"/>
        <w:rPr>
          <w:rFonts w:eastAsia="MS Gothic" w:cs="Times New Roman"/>
          <w:b/>
          <w:lang w:val="fr-FR" w:eastAsia="ja-JP" w:bidi="fr-FR"/>
        </w:rPr>
      </w:pPr>
    </w:p>
    <w:p w14:paraId="6B9EB600" w14:textId="77777777" w:rsidR="00EA1783" w:rsidRPr="004E13E9" w:rsidRDefault="00EA1783" w:rsidP="00EA1783">
      <w:pPr>
        <w:widowControl w:val="0"/>
        <w:ind w:left="426" w:hanging="426"/>
        <w:jc w:val="both"/>
        <w:rPr>
          <w:rFonts w:eastAsia="MS Gothic" w:cs="Times New Roman"/>
          <w:b/>
          <w:lang w:val="fr-FR" w:eastAsia="fr-FR" w:bidi="fr-FR"/>
        </w:rPr>
      </w:pPr>
      <w:bookmarkStart w:id="28" w:name="_Hlk189649358"/>
      <w:r w:rsidRPr="004E13E9">
        <w:rPr>
          <w:rFonts w:eastAsia="MS Gothic" w:cs="Times New Roman"/>
          <w:b/>
          <w:lang w:val="fr-FR" w:eastAsia="fr-FR" w:bidi="fr-FR"/>
        </w:rPr>
        <w:t>4.</w:t>
      </w:r>
      <w:r w:rsidRPr="004E13E9">
        <w:rPr>
          <w:rFonts w:eastAsia="MS Gothic" w:cs="Times New Roman"/>
          <w:b/>
          <w:lang w:val="fr-FR" w:eastAsia="fr-FR" w:bidi="fr-FR"/>
        </w:rPr>
        <w:tab/>
        <w:t xml:space="preserve">Plan annuel d’aquaculture (paragraphe 10 e) de la </w:t>
      </w:r>
      <w:hyperlink r:id="rId130" w:history="1">
        <w:r w:rsidRPr="004E13E9">
          <w:rPr>
            <w:rFonts w:eastAsia="MS Gothic" w:cs="Times New Roman"/>
            <w:b/>
            <w:color w:val="0563C1"/>
            <w:lang w:val="fr-FR" w:eastAsia="fr-FR" w:bidi="fr-FR"/>
          </w:rPr>
          <w:t xml:space="preserve">Rec. 25-04 </w:t>
        </w:r>
      </w:hyperlink>
      <w:r w:rsidRPr="004E13E9">
        <w:rPr>
          <w:rFonts w:eastAsia="MS Gothic" w:cs="Times New Roman"/>
          <w:b/>
          <w:lang w:val="fr-FR" w:eastAsia="fr-FR" w:bidi="fr-FR"/>
        </w:rPr>
        <w:t xml:space="preserve">conformément à la </w:t>
      </w:r>
      <w:hyperlink r:id="rId131" w:history="1">
        <w:r w:rsidRPr="004E13E9">
          <w:rPr>
            <w:rFonts w:eastAsia="MS Gothic" w:cs="Times New Roman"/>
            <w:b/>
            <w:color w:val="0563C1"/>
            <w:lang w:val="fr-FR" w:eastAsia="fr-FR" w:bidi="fr-FR"/>
          </w:rPr>
          <w:t>Rec. 24-07</w:t>
        </w:r>
      </w:hyperlink>
      <w:r w:rsidRPr="004E13E9">
        <w:rPr>
          <w:rFonts w:eastAsia="MS Gothic" w:cs="Times New Roman"/>
          <w:b/>
          <w:lang w:val="fr-FR" w:eastAsia="fr-FR" w:bidi="fr-FR"/>
        </w:rPr>
        <w:t>), le cas échéant</w:t>
      </w:r>
    </w:p>
    <w:p w14:paraId="42B90075" w14:textId="77777777" w:rsidR="00EA1783" w:rsidRPr="004E13E9" w:rsidRDefault="00EA1783" w:rsidP="00EA1783">
      <w:pPr>
        <w:widowControl w:val="0"/>
        <w:ind w:left="426" w:hanging="426"/>
        <w:rPr>
          <w:rFonts w:eastAsia="MS Gothic" w:cs="Times New Roman"/>
          <w:lang w:val="fr-FR" w:eastAsia="fr-FR" w:bidi="fr-FR"/>
        </w:rPr>
      </w:pPr>
    </w:p>
    <w:p w14:paraId="4E53560E" w14:textId="77777777" w:rsidR="00EA1783" w:rsidRPr="004E13E9" w:rsidRDefault="00EA1783" w:rsidP="00EA1783">
      <w:pPr>
        <w:widowControl w:val="0"/>
        <w:ind w:left="426" w:hanging="426"/>
        <w:rPr>
          <w:rFonts w:eastAsia="MS Gothic" w:cs="Times New Roman"/>
          <w:lang w:val="fr-FR" w:eastAsia="fr-FR" w:bidi="fr-FR"/>
        </w:rPr>
      </w:pPr>
      <w:r w:rsidRPr="004E13E9">
        <w:rPr>
          <w:rFonts w:eastAsia="MS Gothic" w:cs="Times New Roman"/>
          <w:lang w:val="fr-FR" w:eastAsia="fr-FR" w:bidi="fr-FR"/>
        </w:rPr>
        <w:t xml:space="preserve">Ce cas ne s’applique pas au </w:t>
      </w:r>
      <w:proofErr w:type="gramStart"/>
      <w:r w:rsidRPr="004E13E9">
        <w:rPr>
          <w:rFonts w:eastAsia="MS Gothic" w:cs="Times New Roman"/>
          <w:lang w:val="fr-FR" w:eastAsia="fr-FR" w:bidi="fr-FR"/>
        </w:rPr>
        <w:t>plan</w:t>
      </w:r>
      <w:proofErr w:type="gramEnd"/>
      <w:r w:rsidRPr="004E13E9">
        <w:rPr>
          <w:rFonts w:eastAsia="MS Gothic" w:cs="Times New Roman"/>
          <w:lang w:val="fr-FR" w:eastAsia="fr-FR" w:bidi="fr-FR"/>
        </w:rPr>
        <w:t xml:space="preserve"> de la Libye.</w:t>
      </w:r>
    </w:p>
    <w:p w14:paraId="6E1930D9" w14:textId="77777777" w:rsidR="00EA1783" w:rsidRPr="004E13E9" w:rsidRDefault="00EA1783" w:rsidP="00EA1783">
      <w:pPr>
        <w:widowControl w:val="0"/>
        <w:ind w:left="426" w:hanging="426"/>
        <w:rPr>
          <w:rFonts w:eastAsia="MS Gothic" w:cs="Times New Roman"/>
          <w:lang w:val="fr-FR" w:eastAsia="fr-FR" w:bidi="fr-FR"/>
        </w:rPr>
      </w:pPr>
    </w:p>
    <w:p w14:paraId="5773E5E6" w14:textId="77777777" w:rsidR="00EA1783" w:rsidRPr="004E13E9" w:rsidRDefault="00EA1783" w:rsidP="00EA1783">
      <w:pPr>
        <w:widowControl w:val="0"/>
        <w:ind w:left="426" w:hanging="426"/>
        <w:rPr>
          <w:rFonts w:eastAsia="MS Gothic" w:cs="Times New Roman"/>
          <w:lang w:val="fr-FR" w:eastAsia="fr-FR" w:bidi="fr-FR"/>
        </w:rPr>
      </w:pPr>
    </w:p>
    <w:p w14:paraId="14478625" w14:textId="77777777" w:rsidR="00EA1783" w:rsidRPr="004E13E9" w:rsidRDefault="00EA1783" w:rsidP="00EA1783">
      <w:pPr>
        <w:widowControl w:val="0"/>
        <w:ind w:left="426" w:hanging="426"/>
        <w:rPr>
          <w:rFonts w:eastAsia="MS Gothic" w:cs="Times New Roman"/>
          <w:b/>
          <w:lang w:val="fr-FR" w:eastAsia="fr-FR" w:bidi="fr-FR"/>
        </w:rPr>
      </w:pPr>
      <w:r w:rsidRPr="004E13E9">
        <w:rPr>
          <w:rFonts w:eastAsia="MS Gothic" w:cs="Times New Roman"/>
          <w:b/>
          <w:bCs/>
          <w:lang w:val="fr-FR" w:eastAsia="fr-FR" w:bidi="fr-FR"/>
        </w:rPr>
        <w:t>5.</w:t>
      </w:r>
      <w:r w:rsidRPr="004E13E9">
        <w:rPr>
          <w:rFonts w:eastAsia="MS Gothic" w:cs="Times New Roman"/>
          <w:b/>
          <w:lang w:val="fr-FR" w:eastAsia="fr-FR" w:bidi="fr-FR"/>
        </w:rPr>
        <w:t xml:space="preserve"> </w:t>
      </w:r>
      <w:r w:rsidRPr="004E13E9">
        <w:rPr>
          <w:rFonts w:eastAsia="MS Gothic" w:cs="Times New Roman"/>
          <w:b/>
          <w:lang w:val="fr-FR" w:eastAsia="fr-FR" w:bidi="fr-FR"/>
        </w:rPr>
        <w:tab/>
        <w:t>Plan de suivi, contrôle et inspection</w:t>
      </w:r>
    </w:p>
    <w:p w14:paraId="16F1E7E6" w14:textId="77777777" w:rsidR="00EA1783" w:rsidRPr="004E13E9" w:rsidRDefault="00EA1783" w:rsidP="00EA1783">
      <w:pPr>
        <w:widowControl w:val="0"/>
        <w:rPr>
          <w:rFonts w:eastAsia="MS Gothic" w:cs="Times New Roman"/>
          <w:b/>
          <w:lang w:val="fr-FR" w:eastAsia="fr-FR" w:bidi="fr-FR"/>
        </w:rPr>
      </w:pPr>
    </w:p>
    <w:p w14:paraId="595A2DB5" w14:textId="77777777" w:rsidR="00EA1783" w:rsidRPr="004E13E9" w:rsidRDefault="00EA1783" w:rsidP="00EA1783">
      <w:pPr>
        <w:widowControl w:val="0"/>
        <w:rPr>
          <w:rFonts w:eastAsia="MS Gothic" w:cs="Times New Roman"/>
          <w:b/>
          <w:i/>
          <w:iCs/>
          <w:lang w:val="fr-FR" w:eastAsia="fr-FR" w:bidi="fr-FR"/>
        </w:rPr>
      </w:pPr>
      <w:bookmarkStart w:id="29" w:name="_Hlk157769889"/>
      <w:r w:rsidRPr="004E13E9">
        <w:rPr>
          <w:rFonts w:eastAsia="MS Gothic" w:cs="Times New Roman"/>
          <w:b/>
          <w:i/>
          <w:iCs/>
          <w:lang w:val="fr-FR" w:eastAsia="fr-FR" w:bidi="fr-FR"/>
        </w:rPr>
        <w:t>5a) Suivi, contrôle et inspection de la CPC (paragraphe 10 c)</w:t>
      </w:r>
    </w:p>
    <w:bookmarkEnd w:id="28"/>
    <w:bookmarkEnd w:id="29"/>
    <w:p w14:paraId="739859B5" w14:textId="77777777" w:rsidR="00EA1783" w:rsidRPr="004E13E9" w:rsidRDefault="00EA1783" w:rsidP="00EA1783">
      <w:pPr>
        <w:widowControl w:val="0"/>
        <w:jc w:val="both"/>
        <w:rPr>
          <w:rFonts w:eastAsia="MS Gothic" w:cs="Times New Roman"/>
          <w:i/>
          <w:lang w:val="fr-FR" w:eastAsia="fr-FR" w:bidi="fr-FR"/>
        </w:rPr>
      </w:pPr>
    </w:p>
    <w:p w14:paraId="36B6769B" w14:textId="77777777" w:rsidR="00EA1783" w:rsidRPr="004E13E9" w:rsidRDefault="00EA1783" w:rsidP="00EA1783">
      <w:pPr>
        <w:widowControl w:val="0"/>
        <w:jc w:val="both"/>
        <w:rPr>
          <w:rFonts w:eastAsia="MS Gothic" w:cs="Times New Roman"/>
          <w:iCs/>
          <w:lang w:val="fr-FR" w:eastAsia="fr-FR" w:bidi="fr-FR"/>
        </w:rPr>
      </w:pPr>
      <w:r w:rsidRPr="004E13E9">
        <w:rPr>
          <w:rFonts w:eastAsia="MS Gothic" w:cs="Times New Roman"/>
          <w:iCs/>
          <w:lang w:val="fr-FR" w:eastAsia="fr-FR" w:bidi="fr-FR"/>
        </w:rPr>
        <w:t>Le ministère des Richesses marines (MOMW) est désigné comme étant l'autorité compétente responsable d’assurer que le plan de suivi, de contrôle et d'inspection est mis en œuvre de manière pleinement conforme aux dispositions de la Rec. 25-04 de l’ICCAT.</w:t>
      </w:r>
    </w:p>
    <w:p w14:paraId="10F0E9E9" w14:textId="77777777" w:rsidR="00EA1783" w:rsidRPr="004E13E9" w:rsidRDefault="00EA1783" w:rsidP="00EA1783">
      <w:pPr>
        <w:widowControl w:val="0"/>
        <w:jc w:val="both"/>
        <w:rPr>
          <w:rFonts w:eastAsia="MS Gothic" w:cs="Times New Roman"/>
          <w:iCs/>
          <w:lang w:val="fr-FR" w:eastAsia="fr-FR" w:bidi="fr-FR"/>
        </w:rPr>
      </w:pPr>
    </w:p>
    <w:p w14:paraId="054A3BB5" w14:textId="77777777" w:rsidR="00EA1783" w:rsidRPr="004E13E9" w:rsidRDefault="00EA1783" w:rsidP="00EA1783">
      <w:pPr>
        <w:widowControl w:val="0"/>
        <w:jc w:val="both"/>
        <w:rPr>
          <w:rFonts w:eastAsia="MS Gothic" w:cs="Times New Roman"/>
          <w:iCs/>
          <w:lang w:val="fr-FR" w:eastAsia="fr-FR" w:bidi="fr-FR"/>
        </w:rPr>
      </w:pPr>
      <w:r w:rsidRPr="004E13E9">
        <w:rPr>
          <w:rFonts w:eastAsia="MS Gothic" w:cs="Times New Roman"/>
          <w:iCs/>
          <w:lang w:val="fr-FR" w:eastAsia="fr-FR" w:bidi="fr-FR"/>
        </w:rPr>
        <w:t>Les points de contact officiels du MOMW chargés de l’exécution du présent plan sont :</w:t>
      </w:r>
    </w:p>
    <w:p w14:paraId="0BE13ABE" w14:textId="77777777" w:rsidR="00EA1783" w:rsidRPr="004E13E9" w:rsidRDefault="00EA1783" w:rsidP="00EA1783">
      <w:pPr>
        <w:widowControl w:val="0"/>
        <w:jc w:val="both"/>
        <w:rPr>
          <w:rFonts w:eastAsia="MS Gothic" w:cs="Times New Roman"/>
          <w:iCs/>
          <w:lang w:val="fr-FR" w:eastAsia="fr-FR" w:bidi="fr-FR"/>
        </w:rPr>
      </w:pPr>
    </w:p>
    <w:p w14:paraId="5A973009" w14:textId="77777777" w:rsidR="00EA1783" w:rsidRPr="004E13E9" w:rsidRDefault="00EA1783" w:rsidP="00EA1783">
      <w:pPr>
        <w:widowControl w:val="0"/>
        <w:ind w:left="426" w:hanging="426"/>
        <w:jc w:val="both"/>
        <w:rPr>
          <w:rFonts w:eastAsia="MS Gothic" w:cs="Times New Roman"/>
          <w:iCs/>
          <w:lang w:val="fr-FR" w:eastAsia="fr-FR" w:bidi="fr-FR"/>
        </w:rPr>
      </w:pPr>
      <w:r w:rsidRPr="004E13E9">
        <w:rPr>
          <w:rFonts w:eastAsia="MS Gothic" w:cs="Times New Roman"/>
          <w:iCs/>
          <w:lang w:val="fr-FR" w:eastAsia="fr-FR" w:bidi="fr-FR"/>
        </w:rPr>
        <w:t>-</w:t>
      </w:r>
      <w:r w:rsidRPr="004E13E9">
        <w:rPr>
          <w:rFonts w:eastAsia="MS Gothic" w:cs="Times New Roman"/>
          <w:iCs/>
          <w:lang w:val="fr-FR" w:eastAsia="fr-FR" w:bidi="fr-FR"/>
        </w:rPr>
        <w:tab/>
        <w:t>Hasan Fouzi Gafri (Chef de l'administration des ports de pêche) (</w:t>
      </w:r>
      <w:hyperlink r:id="rId132" w:history="1">
        <w:r w:rsidRPr="004E13E9">
          <w:rPr>
            <w:rStyle w:val="Hyperlink"/>
            <w:rFonts w:eastAsia="MS Gothic" w:cs="Times New Roman"/>
            <w:iCs/>
            <w:u w:val="none"/>
            <w:lang w:val="fr-FR" w:eastAsia="fr-FR" w:bidi="fr-FR"/>
          </w:rPr>
          <w:t>gafrihasan@gmail.com</w:t>
        </w:r>
      </w:hyperlink>
      <w:r w:rsidRPr="004E13E9">
        <w:rPr>
          <w:rFonts w:eastAsia="MS Gothic" w:cs="Times New Roman"/>
          <w:iCs/>
          <w:lang w:val="fr-FR" w:eastAsia="fr-FR" w:bidi="fr-FR"/>
        </w:rPr>
        <w:t>), et</w:t>
      </w:r>
    </w:p>
    <w:p w14:paraId="751ABF21" w14:textId="77777777" w:rsidR="00EA1783" w:rsidRPr="004E13E9" w:rsidRDefault="00EA1783" w:rsidP="00EA1783">
      <w:pPr>
        <w:widowControl w:val="0"/>
        <w:ind w:left="426" w:hanging="426"/>
        <w:jc w:val="both"/>
        <w:rPr>
          <w:rFonts w:eastAsia="MS Gothic" w:cs="Times New Roman"/>
          <w:iCs/>
          <w:lang w:val="fr-FR" w:eastAsia="fr-FR" w:bidi="fr-FR"/>
        </w:rPr>
      </w:pPr>
      <w:r w:rsidRPr="004E13E9">
        <w:rPr>
          <w:rFonts w:eastAsia="MS Gothic" w:cs="Times New Roman"/>
          <w:iCs/>
          <w:lang w:val="fr-FR" w:eastAsia="fr-FR" w:bidi="fr-FR"/>
        </w:rPr>
        <w:t>-</w:t>
      </w:r>
      <w:r w:rsidRPr="004E13E9">
        <w:rPr>
          <w:rFonts w:eastAsia="MS Gothic" w:cs="Times New Roman"/>
          <w:iCs/>
          <w:lang w:val="fr-FR" w:eastAsia="fr-FR" w:bidi="fr-FR"/>
        </w:rPr>
        <w:tab/>
        <w:t>Mohamed Noor Rabeie (Chef du département d'enregistrement des navires) (</w:t>
      </w:r>
      <w:hyperlink r:id="rId133" w:history="1">
        <w:r w:rsidRPr="004E13E9">
          <w:rPr>
            <w:rStyle w:val="Hyperlink"/>
            <w:rFonts w:eastAsia="MS Gothic" w:cs="Times New Roman"/>
            <w:iCs/>
            <w:u w:val="none"/>
            <w:lang w:val="fr-FR" w:eastAsia="fr-FR" w:bidi="fr-FR"/>
          </w:rPr>
          <w:t>Elrabeie.Mohamed@gmail.com</w:t>
        </w:r>
      </w:hyperlink>
      <w:r w:rsidRPr="004E13E9">
        <w:rPr>
          <w:lang w:val="fr-FR"/>
        </w:rPr>
        <w:t>)</w:t>
      </w:r>
    </w:p>
    <w:p w14:paraId="1E234A7A" w14:textId="77777777" w:rsidR="00EA1783" w:rsidRPr="004E13E9" w:rsidRDefault="00EA1783" w:rsidP="00EA1783">
      <w:pPr>
        <w:widowControl w:val="0"/>
        <w:jc w:val="both"/>
        <w:rPr>
          <w:rFonts w:eastAsia="MS Gothic" w:cs="Times New Roman"/>
          <w:i/>
          <w:lang w:val="fr-FR" w:eastAsia="fr-FR" w:bidi="fr-FR"/>
        </w:rPr>
      </w:pPr>
    </w:p>
    <w:p w14:paraId="4AECFCF7" w14:textId="77777777" w:rsidR="00EA1783" w:rsidRPr="004E13E9" w:rsidRDefault="00EA1783" w:rsidP="00EA1783">
      <w:pPr>
        <w:widowControl w:val="0"/>
        <w:jc w:val="both"/>
        <w:rPr>
          <w:rFonts w:eastAsia="MS Gothic" w:cs="Times New Roman"/>
          <w:iCs/>
          <w:lang w:val="fr-FR" w:eastAsia="fr-FR" w:bidi="fr-FR"/>
        </w:rPr>
      </w:pPr>
      <w:r w:rsidRPr="004E13E9">
        <w:rPr>
          <w:rFonts w:eastAsia="MS Gothic" w:cs="Times New Roman"/>
          <w:color w:val="000000"/>
          <w:lang w:val="fr-FR" w:eastAsia="fr-FR" w:bidi="fr-FR"/>
        </w:rPr>
        <w:t>Ce cadre est établi en vertu de la loi sur les pêches et l’aquaculture nº14/1989, du décret nº32/2022, amendé par le décret nº35/</w:t>
      </w:r>
      <w:r w:rsidRPr="004E13E9">
        <w:rPr>
          <w:lang w:val="fr-FR"/>
        </w:rPr>
        <w:t>2023</w:t>
      </w:r>
      <w:r w:rsidRPr="004E13E9">
        <w:rPr>
          <w:rFonts w:eastAsia="MS Gothic" w:cs="Times New Roman"/>
          <w:color w:val="000000"/>
          <w:lang w:val="fr-FR" w:eastAsia="fr-FR" w:bidi="fr-FR"/>
        </w:rPr>
        <w:t>, et à la loi nº229/2005 sur la garde-côtière et la sécurité portuaire, telle que modifiée en 2019 :</w:t>
      </w:r>
    </w:p>
    <w:p w14:paraId="00B176FC" w14:textId="77777777" w:rsidR="00EA1783" w:rsidRPr="004E13E9" w:rsidRDefault="00EA1783" w:rsidP="00EA1783">
      <w:pPr>
        <w:rPr>
          <w:rFonts w:eastAsia="MS Gothic" w:cs="Times New Roman"/>
          <w:color w:val="000000"/>
          <w:lang w:val="fr-FR" w:eastAsia="fr-FR" w:bidi="fr-FR"/>
        </w:rPr>
      </w:pPr>
    </w:p>
    <w:p w14:paraId="332E6090" w14:textId="77777777" w:rsidR="00EA1783" w:rsidRPr="004E13E9" w:rsidRDefault="00EA1783" w:rsidP="00EA1783">
      <w:pPr>
        <w:jc w:val="both"/>
        <w:rPr>
          <w:rFonts w:eastAsia="MS Gothic" w:cs="Times New Roman"/>
          <w:color w:val="000000"/>
          <w:lang w:val="fr-FR" w:eastAsia="fr-FR" w:bidi="fr-FR"/>
        </w:rPr>
      </w:pPr>
      <w:r w:rsidRPr="004E13E9">
        <w:rPr>
          <w:rFonts w:eastAsia="MS Gothic" w:cs="Times New Roman"/>
          <w:color w:val="000000"/>
          <w:lang w:val="fr-FR" w:eastAsia="fr-FR" w:bidi="fr-FR"/>
        </w:rPr>
        <w:t>Avant l’entrée dans un port désigné, les capitaines des navires de capture et des navires auxiliaires, ou leurs représentants dûment nommés, devront soumettre aux autorités portuaires pertinentes, une notification préalable à l’arrivée, au moins 4 heures avant l’heure d’arrivée estimée. Cette notification devra inclure les éléments ci-après :</w:t>
      </w:r>
    </w:p>
    <w:p w14:paraId="153B44F0" w14:textId="77777777" w:rsidR="00EA1783" w:rsidRPr="004E13E9" w:rsidRDefault="00EA1783" w:rsidP="00EA1783">
      <w:pPr>
        <w:rPr>
          <w:rFonts w:eastAsia="MS Gothic"/>
          <w:color w:val="000000"/>
          <w:sz w:val="8"/>
          <w:szCs w:val="8"/>
          <w:lang w:val="fr-FR" w:eastAsia="fr-FR" w:bidi="fr-FR"/>
        </w:rPr>
      </w:pPr>
    </w:p>
    <w:p w14:paraId="1DD07B40" w14:textId="77777777" w:rsidR="00EA1783" w:rsidRPr="004E13E9" w:rsidRDefault="00EA1783" w:rsidP="00EA1783">
      <w:pPr>
        <w:autoSpaceDE w:val="0"/>
        <w:autoSpaceDN w:val="0"/>
        <w:adjustRightInd w:val="0"/>
        <w:ind w:left="851" w:hanging="425"/>
        <w:jc w:val="both"/>
        <w:rPr>
          <w:rFonts w:eastAsia="MS Gothic"/>
          <w:color w:val="000000"/>
          <w:lang w:val="fr-FR" w:eastAsia="fr-FR" w:bidi="fr-FR"/>
        </w:rPr>
      </w:pPr>
      <w:r w:rsidRPr="004E13E9">
        <w:rPr>
          <w:rFonts w:eastAsia="MS Gothic" w:cs="Times New Roman"/>
          <w:color w:val="000000"/>
          <w:lang w:val="fr-FR" w:eastAsia="fr-FR" w:bidi="fr-FR"/>
        </w:rPr>
        <w:t xml:space="preserve">i) </w:t>
      </w:r>
      <w:r w:rsidRPr="004E13E9">
        <w:rPr>
          <w:rFonts w:eastAsia="MS Gothic" w:cs="Times New Roman"/>
          <w:color w:val="000000"/>
          <w:lang w:val="fr-FR" w:eastAsia="fr-FR" w:bidi="fr-FR"/>
        </w:rPr>
        <w:tab/>
        <w:t>heure estimée d’arrivée;</w:t>
      </w:r>
    </w:p>
    <w:p w14:paraId="62151017" w14:textId="77777777" w:rsidR="00EA1783" w:rsidRPr="004E13E9" w:rsidRDefault="00EA1783" w:rsidP="00EA1783">
      <w:pPr>
        <w:autoSpaceDE w:val="0"/>
        <w:autoSpaceDN w:val="0"/>
        <w:adjustRightInd w:val="0"/>
        <w:ind w:left="851" w:hanging="425"/>
        <w:jc w:val="both"/>
        <w:rPr>
          <w:rFonts w:eastAsia="MS Gothic"/>
          <w:color w:val="000000"/>
          <w:lang w:val="fr-FR" w:eastAsia="fr-FR" w:bidi="fr-FR"/>
        </w:rPr>
      </w:pPr>
      <w:r w:rsidRPr="004E13E9">
        <w:rPr>
          <w:rFonts w:eastAsia="MS Gothic" w:cs="Times New Roman"/>
          <w:color w:val="000000"/>
          <w:lang w:val="fr-FR" w:eastAsia="fr-FR" w:bidi="fr-FR"/>
        </w:rPr>
        <w:t xml:space="preserve">ii) </w:t>
      </w:r>
      <w:r w:rsidRPr="004E13E9">
        <w:rPr>
          <w:rFonts w:eastAsia="MS Gothic" w:cs="Times New Roman"/>
          <w:color w:val="000000"/>
          <w:lang w:val="fr-FR" w:eastAsia="fr-FR" w:bidi="fr-FR"/>
        </w:rPr>
        <w:tab/>
        <w:t>volume estimé de thon rouge retenu à bord (thons rouges morts le cas échéant),</w:t>
      </w:r>
    </w:p>
    <w:p w14:paraId="5D172FA3" w14:textId="77777777" w:rsidR="00EA1783" w:rsidRPr="004E13E9" w:rsidRDefault="00EA1783" w:rsidP="00EA1783">
      <w:pPr>
        <w:autoSpaceDE w:val="0"/>
        <w:autoSpaceDN w:val="0"/>
        <w:adjustRightInd w:val="0"/>
        <w:ind w:left="851" w:hanging="425"/>
        <w:jc w:val="both"/>
        <w:rPr>
          <w:rFonts w:eastAsia="MS Gothic"/>
          <w:color w:val="000000"/>
          <w:lang w:val="fr-FR" w:eastAsia="fr-FR" w:bidi="fr-FR"/>
        </w:rPr>
      </w:pPr>
      <w:r w:rsidRPr="004E13E9">
        <w:rPr>
          <w:rFonts w:eastAsia="MS Gothic" w:cs="Times New Roman"/>
          <w:color w:val="000000"/>
          <w:lang w:val="fr-FR" w:eastAsia="fr-FR" w:bidi="fr-FR"/>
        </w:rPr>
        <w:t>iii)</w:t>
      </w:r>
      <w:r w:rsidRPr="004E13E9">
        <w:rPr>
          <w:rFonts w:eastAsia="MS Gothic" w:cs="Times New Roman"/>
          <w:color w:val="000000"/>
          <w:lang w:val="fr-FR" w:eastAsia="fr-FR" w:bidi="fr-FR"/>
        </w:rPr>
        <w:tab/>
        <w:t>zone géographique où la capture a été réalisée.</w:t>
      </w:r>
    </w:p>
    <w:p w14:paraId="5D8B6A50" w14:textId="77777777" w:rsidR="00EA1783" w:rsidRPr="004E13E9" w:rsidRDefault="00EA1783" w:rsidP="00EA1783">
      <w:pPr>
        <w:autoSpaceDE w:val="0"/>
        <w:autoSpaceDN w:val="0"/>
        <w:adjustRightInd w:val="0"/>
        <w:jc w:val="both"/>
        <w:rPr>
          <w:rFonts w:eastAsia="MS Gothic" w:cs="Times New Roman"/>
          <w:color w:val="000000"/>
          <w:lang w:val="fr-FR" w:eastAsia="fr-FR" w:bidi="fr-FR"/>
        </w:rPr>
      </w:pPr>
    </w:p>
    <w:p w14:paraId="487A60B2" w14:textId="77777777" w:rsidR="00EA1783" w:rsidRPr="004E13E9" w:rsidRDefault="00EA1783" w:rsidP="00EA1783">
      <w:pPr>
        <w:autoSpaceDE w:val="0"/>
        <w:autoSpaceDN w:val="0"/>
        <w:adjustRightInd w:val="0"/>
        <w:jc w:val="both"/>
        <w:rPr>
          <w:rFonts w:eastAsia="MS Gothic"/>
          <w:color w:val="000000"/>
          <w:lang w:val="fr-FR" w:eastAsia="fr-FR" w:bidi="fr-FR"/>
        </w:rPr>
      </w:pPr>
      <w:r w:rsidRPr="004E13E9">
        <w:rPr>
          <w:rFonts w:eastAsia="MS Gothic" w:cs="Times New Roman"/>
          <w:color w:val="000000"/>
          <w:lang w:val="fr-FR" w:eastAsia="fr-FR" w:bidi="fr-FR"/>
        </w:rPr>
        <w:t>Les autorités de l’État du port devront tenir un registre de toutes les notifications préalables de l’année en cours.</w:t>
      </w:r>
    </w:p>
    <w:p w14:paraId="19DC5A24" w14:textId="77777777" w:rsidR="00EA1783" w:rsidRPr="004E13E9" w:rsidRDefault="00EA1783" w:rsidP="00EA1783">
      <w:pPr>
        <w:autoSpaceDE w:val="0"/>
        <w:autoSpaceDN w:val="0"/>
        <w:adjustRightInd w:val="0"/>
        <w:jc w:val="both"/>
        <w:rPr>
          <w:rFonts w:eastAsia="MS Gothic" w:cs="Times New Roman"/>
          <w:color w:val="000000"/>
          <w:lang w:val="fr-FR" w:eastAsia="fr-FR" w:bidi="fr-FR"/>
        </w:rPr>
      </w:pPr>
    </w:p>
    <w:p w14:paraId="357AE9E0" w14:textId="77777777" w:rsidR="00EA1783" w:rsidRPr="004E13E9" w:rsidRDefault="00EA1783" w:rsidP="00EA1783">
      <w:pPr>
        <w:autoSpaceDE w:val="0"/>
        <w:autoSpaceDN w:val="0"/>
        <w:adjustRightInd w:val="0"/>
        <w:jc w:val="both"/>
        <w:rPr>
          <w:rFonts w:eastAsia="MS Gothic"/>
          <w:color w:val="000000"/>
          <w:lang w:val="fr-FR" w:eastAsia="fr-FR" w:bidi="fr-FR"/>
        </w:rPr>
      </w:pPr>
      <w:r w:rsidRPr="004E13E9">
        <w:rPr>
          <w:rFonts w:eastAsia="MS Gothic" w:cs="Times New Roman"/>
          <w:color w:val="000000"/>
          <w:lang w:val="fr-FR" w:eastAsia="fr-FR" w:bidi="fr-FR"/>
        </w:rPr>
        <w:t>Les inspecteurs des pêches de l'autorité des pêches/ garde-côtière doivent être formés à cet effet.</w:t>
      </w:r>
    </w:p>
    <w:p w14:paraId="476B0533" w14:textId="77777777" w:rsidR="00EA1783" w:rsidRPr="004E13E9" w:rsidRDefault="00EA1783" w:rsidP="00EA1783">
      <w:pPr>
        <w:autoSpaceDE w:val="0"/>
        <w:autoSpaceDN w:val="0"/>
        <w:adjustRightInd w:val="0"/>
        <w:jc w:val="both"/>
        <w:rPr>
          <w:rFonts w:eastAsia="MS Gothic" w:cs="Times New Roman"/>
          <w:color w:val="000000"/>
          <w:lang w:val="fr-FR" w:eastAsia="fr-FR" w:bidi="fr-FR"/>
        </w:rPr>
      </w:pPr>
    </w:p>
    <w:p w14:paraId="6FB352A9" w14:textId="77777777" w:rsidR="00EA1783" w:rsidRPr="004E13E9" w:rsidRDefault="00EA1783" w:rsidP="00EA1783">
      <w:pPr>
        <w:autoSpaceDE w:val="0"/>
        <w:autoSpaceDN w:val="0"/>
        <w:adjustRightInd w:val="0"/>
        <w:jc w:val="both"/>
        <w:rPr>
          <w:rFonts w:eastAsia="MS Gothic"/>
          <w:color w:val="000000"/>
          <w:lang w:val="fr-FR" w:eastAsia="fr-FR" w:bidi="fr-FR"/>
        </w:rPr>
      </w:pPr>
      <w:r w:rsidRPr="004E13E9">
        <w:rPr>
          <w:rFonts w:eastAsia="MS Gothic" w:cs="Times New Roman"/>
          <w:color w:val="000000"/>
          <w:lang w:val="fr-FR" w:eastAsia="fr-FR" w:bidi="fr-FR"/>
        </w:rPr>
        <w:t>Étant donné que la plus grande partie du quota est capturée par la flottille de senneurs en haute mer et transférée dans des cages de fermes situées dans les zones de compétence d'autres CPC, seul un pourcentage minimal peut être inspecté à l'arrivée / au débarquement dans les ports libyens, ce qui ne permet pas un système fiable d'évaluation des risques couvrant le quota, la taille de la flottille et l'effort de pêche. Cependant, la Libye cherchera à coopérer avec les CPC d’élevage recevant du poisson capturé par les navires de capture libyens afin d'obtenir des statistiques supplémentaires à cet égard. Cela devra s’appliquer en cas de prises accessoires et de poissons morts.</w:t>
      </w:r>
    </w:p>
    <w:p w14:paraId="4D771521" w14:textId="77777777" w:rsidR="00EA1783" w:rsidRPr="004E13E9" w:rsidRDefault="00EA1783" w:rsidP="00EA1783">
      <w:pPr>
        <w:autoSpaceDE w:val="0"/>
        <w:autoSpaceDN w:val="0"/>
        <w:adjustRightInd w:val="0"/>
        <w:jc w:val="both"/>
        <w:rPr>
          <w:rFonts w:eastAsia="MS Gothic"/>
          <w:color w:val="000000"/>
          <w:lang w:val="fr-FR" w:eastAsia="fr-FR"/>
        </w:rPr>
      </w:pPr>
    </w:p>
    <w:p w14:paraId="6C727704" w14:textId="77777777" w:rsidR="00EA1783" w:rsidRPr="004E13E9" w:rsidRDefault="00EA1783" w:rsidP="00EA1783">
      <w:pPr>
        <w:autoSpaceDE w:val="0"/>
        <w:autoSpaceDN w:val="0"/>
        <w:adjustRightInd w:val="0"/>
        <w:jc w:val="both"/>
        <w:rPr>
          <w:rFonts w:eastAsia="MS Gothic" w:cs="Times New Roman"/>
          <w:color w:val="000000"/>
          <w:lang w:val="fr-FR" w:eastAsia="fr-FR" w:bidi="fr-FR"/>
        </w:rPr>
      </w:pPr>
      <w:r w:rsidRPr="004E13E9">
        <w:rPr>
          <w:rFonts w:eastAsia="MS Gothic" w:cs="Times New Roman"/>
          <w:color w:val="000000"/>
          <w:lang w:val="fr-FR" w:eastAsia="fr-FR" w:bidi="fr-FR"/>
        </w:rPr>
        <w:t>En cas de débarquement dans des ports d’autres CPC, les capitaines des navires de capture libyens devront transmettre dans les 48 heures une déclaration de débarquement aux autorités compétentes de la CPC dans laquelle le débarquement a lieu, ainsi qu’à la Libye. Le capitaine du navire de capture autorisé devra être responsable de l’exhaustivité et de l’exactitude de la déclaration, et en certifier, laquelle devra indiquer, au minimum, les volumes de thons rouges débarqués ainsi que la zone où ils ont été capturés. Toutes les prises débarquées devront être pesées et pas uniquement estimées.</w:t>
      </w:r>
      <w:r w:rsidRPr="004E13E9">
        <w:rPr>
          <w:rFonts w:eastAsia="MS Gothic" w:cs="Times New Roman"/>
          <w:color w:val="000000"/>
          <w:lang w:val="fr-FR" w:eastAsia="fr-FR" w:bidi="fr-FR"/>
        </w:rPr>
        <w:br w:type="page"/>
      </w:r>
    </w:p>
    <w:p w14:paraId="7E4CC118" w14:textId="77777777" w:rsidR="00EA1783" w:rsidRPr="004E13E9" w:rsidRDefault="00EA1783" w:rsidP="00EA1783">
      <w:pPr>
        <w:autoSpaceDE w:val="0"/>
        <w:autoSpaceDN w:val="0"/>
        <w:adjustRightInd w:val="0"/>
        <w:jc w:val="both"/>
        <w:rPr>
          <w:rFonts w:eastAsia="MS Gothic"/>
          <w:color w:val="000000"/>
          <w:lang w:val="fr-FR" w:eastAsia="fr-FR" w:bidi="fr-FR"/>
        </w:rPr>
      </w:pPr>
      <w:r w:rsidRPr="004E13E9">
        <w:rPr>
          <w:rFonts w:eastAsia="MS Gothic" w:cs="Times New Roman"/>
          <w:color w:val="000000"/>
          <w:lang w:val="fr-FR" w:eastAsia="fr-FR" w:bidi="fr-FR"/>
        </w:rPr>
        <w:t>En cas de débarquements en Libye par des navires de capture d'autres CPC, la Libye enverra un registre du débarquement à l'autorité de la CPC du pavillon du navire de pêche dans les 48 heures suivant la fin du débarquement.</w:t>
      </w:r>
    </w:p>
    <w:p w14:paraId="6198C49B" w14:textId="77777777" w:rsidR="00EA1783" w:rsidRPr="004E13E9" w:rsidRDefault="00EA1783" w:rsidP="00EA1783">
      <w:pPr>
        <w:autoSpaceDE w:val="0"/>
        <w:autoSpaceDN w:val="0"/>
        <w:adjustRightInd w:val="0"/>
        <w:jc w:val="both"/>
        <w:rPr>
          <w:rFonts w:eastAsia="MS Gothic"/>
          <w:color w:val="000000"/>
          <w:lang w:val="fr-FR" w:eastAsia="fr-FR"/>
        </w:rPr>
      </w:pPr>
    </w:p>
    <w:p w14:paraId="3CBB5722" w14:textId="77777777" w:rsidR="00EA1783" w:rsidRPr="004E13E9" w:rsidRDefault="00EA1783" w:rsidP="00EA1783">
      <w:pPr>
        <w:widowControl w:val="0"/>
        <w:tabs>
          <w:tab w:val="left" w:pos="426"/>
        </w:tabs>
        <w:jc w:val="both"/>
        <w:rPr>
          <w:rFonts w:eastAsia="Calibri" w:cs="Times New Roman"/>
          <w:i/>
          <w:iCs/>
          <w:color w:val="000000"/>
          <w:lang w:val="fr-FR" w:eastAsia="fr-FR" w:bidi="fr-FR"/>
        </w:rPr>
      </w:pPr>
      <w:r w:rsidRPr="004E13E9">
        <w:rPr>
          <w:rFonts w:eastAsia="MS Gothic" w:cs="Times New Roman"/>
          <w:i/>
          <w:iCs/>
          <w:color w:val="000000"/>
          <w:lang w:val="fr-FR" w:eastAsia="fr-FR" w:bidi="fr-FR"/>
        </w:rPr>
        <w:t>a.1) Mesures visant à respecter les quotas</w:t>
      </w:r>
    </w:p>
    <w:p w14:paraId="7A0A919C" w14:textId="77777777" w:rsidR="00EA1783" w:rsidRPr="004E13E9" w:rsidRDefault="00EA1783" w:rsidP="00EA1783">
      <w:pPr>
        <w:autoSpaceDE w:val="0"/>
        <w:autoSpaceDN w:val="0"/>
        <w:adjustRightInd w:val="0"/>
        <w:jc w:val="both"/>
        <w:rPr>
          <w:rFonts w:eastAsia="MS Gothic"/>
          <w:color w:val="000000"/>
          <w:lang w:val="fr-FR" w:eastAsia="fr-FR"/>
        </w:rPr>
      </w:pPr>
    </w:p>
    <w:p w14:paraId="0280FAD9" w14:textId="77777777" w:rsidR="00EA1783" w:rsidRPr="004E13E9" w:rsidRDefault="00EA1783" w:rsidP="00EA1783">
      <w:pPr>
        <w:jc w:val="both"/>
        <w:rPr>
          <w:rFonts w:eastAsia="MS Gothic" w:cs="Times New Roman"/>
          <w:color w:val="000000"/>
          <w:lang w:val="fr-FR" w:eastAsia="fr-FR" w:bidi="fr-FR"/>
        </w:rPr>
      </w:pPr>
      <w:r w:rsidRPr="004E13E9">
        <w:rPr>
          <w:rFonts w:eastAsia="MS Gothic" w:cs="Times New Roman"/>
          <w:color w:val="000000"/>
          <w:lang w:val="fr-FR" w:eastAsia="fr-FR" w:bidi="fr-FR"/>
        </w:rPr>
        <w:t>Les autorités de la pêche mettront en place une unité de contrôle 24 heures sur 24, 7 jours sur 7, pendant la saison de pêche.</w:t>
      </w:r>
    </w:p>
    <w:p w14:paraId="2923FCF9" w14:textId="77777777" w:rsidR="00EA1783" w:rsidRPr="004E13E9" w:rsidRDefault="00EA1783" w:rsidP="00EA1783">
      <w:pPr>
        <w:widowControl w:val="0"/>
        <w:jc w:val="both"/>
        <w:rPr>
          <w:rFonts w:eastAsia="MS Gothic" w:cs="Times New Roman"/>
          <w:color w:val="000000"/>
          <w:lang w:val="fr-FR" w:eastAsia="fr-FR" w:bidi="ar-LY"/>
        </w:rPr>
      </w:pPr>
    </w:p>
    <w:p w14:paraId="64ACA164" w14:textId="77777777" w:rsidR="00EA1783" w:rsidRPr="004E13E9" w:rsidRDefault="00EA1783" w:rsidP="00EA1783">
      <w:pPr>
        <w:jc w:val="both"/>
        <w:rPr>
          <w:rFonts w:eastAsia="MS Gothic" w:cs="Times New Roman"/>
          <w:color w:val="000000"/>
          <w:lang w:val="fr-FR" w:eastAsia="fr-FR" w:bidi="fr-FR"/>
        </w:rPr>
      </w:pPr>
      <w:r w:rsidRPr="004E13E9">
        <w:rPr>
          <w:rFonts w:eastAsia="MS Gothic" w:cs="Times New Roman"/>
          <w:color w:val="000000"/>
          <w:lang w:val="fr-FR" w:eastAsia="fr-FR" w:bidi="fr-FR"/>
        </w:rPr>
        <w:t xml:space="preserve">Les opérateurs et les capitaines des navires de pêche autorisés doivent se conformer à la Rec. </w:t>
      </w:r>
      <w:r w:rsidRPr="004E13E9">
        <w:rPr>
          <w:lang w:val="fr-FR"/>
        </w:rPr>
        <w:t>25-04 de l’ICCAT.</w:t>
      </w:r>
    </w:p>
    <w:p w14:paraId="4DB86E5E" w14:textId="77777777" w:rsidR="00EA1783" w:rsidRPr="004E13E9" w:rsidRDefault="00EA1783" w:rsidP="00EA1783">
      <w:pPr>
        <w:widowControl w:val="0"/>
        <w:jc w:val="both"/>
        <w:rPr>
          <w:rFonts w:eastAsia="MS Gothic" w:cs="Times New Roman"/>
          <w:color w:val="000000"/>
          <w:lang w:val="fr-FR" w:eastAsia="fr-FR" w:bidi="ar-LY"/>
        </w:rPr>
      </w:pPr>
    </w:p>
    <w:p w14:paraId="376EDB59" w14:textId="77777777" w:rsidR="00EA1783" w:rsidRPr="004E13E9" w:rsidRDefault="00EA1783" w:rsidP="00EA1783">
      <w:pPr>
        <w:widowControl w:val="0"/>
        <w:jc w:val="both"/>
        <w:rPr>
          <w:rFonts w:eastAsia="MS Gothic" w:cs="Times New Roman"/>
          <w:color w:val="000000"/>
          <w:lang w:val="fr-FR" w:eastAsia="fr-FR" w:bidi="fr-FR"/>
        </w:rPr>
      </w:pPr>
      <w:r w:rsidRPr="004E13E9">
        <w:rPr>
          <w:rFonts w:eastAsia="MS Gothic" w:cs="Times New Roman"/>
          <w:color w:val="000000"/>
          <w:lang w:val="fr-FR" w:eastAsia="fr-FR" w:bidi="fr-FR"/>
        </w:rPr>
        <w:t>Les opérations de pêche conjointes (JFO) et leurs clés de répartition respectives seront notifiées au Secrétariat de l'ICCAT dans les délais impartis.</w:t>
      </w:r>
    </w:p>
    <w:p w14:paraId="32E1BEF3" w14:textId="77777777" w:rsidR="00EA1783" w:rsidRPr="004E13E9" w:rsidRDefault="00EA1783" w:rsidP="00EA1783">
      <w:pPr>
        <w:widowControl w:val="0"/>
        <w:ind w:left="720"/>
        <w:jc w:val="both"/>
        <w:rPr>
          <w:rFonts w:eastAsia="MS Gothic" w:cs="Times New Roman"/>
          <w:color w:val="000000"/>
          <w:lang w:val="fr-FR" w:eastAsia="fr-FR" w:bidi="ar-LY"/>
        </w:rPr>
      </w:pPr>
    </w:p>
    <w:p w14:paraId="19672D0C" w14:textId="77777777" w:rsidR="00EA1783" w:rsidRPr="004E13E9" w:rsidRDefault="00EA1783" w:rsidP="00EA1783">
      <w:pPr>
        <w:jc w:val="both"/>
        <w:rPr>
          <w:rFonts w:eastAsia="MS Gothic" w:cs="Times New Roman"/>
          <w:color w:val="000000"/>
          <w:lang w:val="fr-FR" w:eastAsia="fr-FR" w:bidi="fr-FR"/>
        </w:rPr>
      </w:pPr>
      <w:r w:rsidRPr="004E13E9">
        <w:rPr>
          <w:rFonts w:eastAsia="MS Gothic" w:cs="Times New Roman"/>
          <w:color w:val="000000"/>
          <w:lang w:val="fr-FR" w:eastAsia="fr-FR" w:bidi="fr-FR"/>
        </w:rPr>
        <w:t>Le respect de la limite du quota individuel sera surveillé par les autorités des pêches et fera l’objet d’une vérification par croisement avec les observateurs du ROP déployés à bord des navires de pêche.</w:t>
      </w:r>
    </w:p>
    <w:p w14:paraId="2637E4C0" w14:textId="77777777" w:rsidR="00EA1783" w:rsidRPr="004E13E9" w:rsidRDefault="00EA1783" w:rsidP="00EA1783">
      <w:pPr>
        <w:widowControl w:val="0"/>
        <w:jc w:val="both"/>
        <w:rPr>
          <w:rFonts w:eastAsia="MS Gothic" w:cs="Times New Roman"/>
          <w:color w:val="000000"/>
          <w:lang w:val="fr-FR" w:eastAsia="fr-FR" w:bidi="fr-FR"/>
        </w:rPr>
      </w:pPr>
    </w:p>
    <w:p w14:paraId="494F66DA" w14:textId="77777777" w:rsidR="00EA1783" w:rsidRPr="004E13E9" w:rsidRDefault="00EA1783" w:rsidP="00EA1783">
      <w:pPr>
        <w:jc w:val="both"/>
        <w:rPr>
          <w:rFonts w:eastAsia="MS Gothic" w:cs="Times New Roman"/>
          <w:color w:val="000000"/>
          <w:lang w:val="fr-FR" w:eastAsia="fr-FR" w:bidi="fr-FR"/>
        </w:rPr>
      </w:pPr>
      <w:r w:rsidRPr="004E13E9">
        <w:rPr>
          <w:rFonts w:eastAsia="MS Gothic" w:cs="Times New Roman"/>
          <w:color w:val="000000"/>
          <w:lang w:val="fr-FR" w:eastAsia="fr-FR" w:bidi="fr-FR"/>
        </w:rPr>
        <w:t>Tous les navires ou les opérations de pêche conjointes dont le quota est épuisé devront rentrer immédiatement au port.</w:t>
      </w:r>
    </w:p>
    <w:p w14:paraId="06298F84" w14:textId="77777777" w:rsidR="00EA1783" w:rsidRPr="004E13E9" w:rsidRDefault="00EA1783" w:rsidP="00EA1783">
      <w:pPr>
        <w:jc w:val="both"/>
        <w:rPr>
          <w:rFonts w:eastAsia="MS Gothic" w:cs="Times New Roman"/>
          <w:color w:val="000000"/>
          <w:lang w:val="fr-FR" w:eastAsia="fr-FR" w:bidi="fr-FR"/>
        </w:rPr>
      </w:pPr>
    </w:p>
    <w:p w14:paraId="03737806" w14:textId="77777777" w:rsidR="00EA1783" w:rsidRPr="004E13E9" w:rsidRDefault="00EA1783" w:rsidP="00EA1783">
      <w:pPr>
        <w:jc w:val="both"/>
        <w:rPr>
          <w:rFonts w:eastAsia="MS Gothic" w:cs="Times New Roman"/>
          <w:color w:val="000000"/>
          <w:lang w:val="fr-FR" w:eastAsia="fr-FR" w:bidi="fr-FR"/>
        </w:rPr>
      </w:pPr>
      <w:r w:rsidRPr="004E13E9">
        <w:rPr>
          <w:rFonts w:eastAsia="MS Gothic" w:cs="Times New Roman"/>
          <w:color w:val="000000"/>
          <w:lang w:val="fr-FR" w:eastAsia="fr-FR" w:bidi="fr-FR"/>
        </w:rPr>
        <w:t>Tous les navires de pêche capturant du thon rouge devront rejoindre le système eBCD.</w:t>
      </w:r>
    </w:p>
    <w:p w14:paraId="7FD03313" w14:textId="77777777" w:rsidR="00EA1783" w:rsidRPr="004E13E9" w:rsidRDefault="00EA1783" w:rsidP="00EA1783">
      <w:pPr>
        <w:widowControl w:val="0"/>
        <w:ind w:left="720"/>
        <w:jc w:val="both"/>
        <w:rPr>
          <w:rFonts w:eastAsia="MS Gothic" w:cs="Times New Roman"/>
          <w:color w:val="000000"/>
          <w:lang w:val="fr-FR" w:eastAsia="fr-FR" w:bidi="ar-LY"/>
        </w:rPr>
      </w:pPr>
    </w:p>
    <w:p w14:paraId="7144693E" w14:textId="77777777" w:rsidR="00EA1783" w:rsidRPr="004E13E9" w:rsidRDefault="00EA1783" w:rsidP="00EA1783">
      <w:pPr>
        <w:jc w:val="both"/>
        <w:rPr>
          <w:rFonts w:eastAsia="Times New Roman" w:cs="Arial"/>
          <w:color w:val="000000"/>
          <w:lang w:val="fr-FR"/>
        </w:rPr>
      </w:pPr>
      <w:r w:rsidRPr="004E13E9">
        <w:rPr>
          <w:rFonts w:eastAsia="Times New Roman" w:cs="Arial"/>
          <w:color w:val="000000"/>
          <w:lang w:val="fr-FR"/>
        </w:rPr>
        <w:t>Les navires de capture devront être autorisés à transférer leurs prises uniquement aux fermes des CPC pouvant garantir l'utilisation de systèmes stéréoscopiques afin de procéder à une estimation des poissons vivants lors de l’arrivée des cages de remorquage dans leurs fermes.</w:t>
      </w:r>
    </w:p>
    <w:p w14:paraId="68866DC7" w14:textId="77777777" w:rsidR="00EA1783" w:rsidRPr="004E13E9" w:rsidRDefault="00EA1783" w:rsidP="00EA1783">
      <w:pPr>
        <w:jc w:val="both"/>
        <w:rPr>
          <w:rFonts w:eastAsia="Times New Roman" w:cs="Arial"/>
          <w:color w:val="000000"/>
          <w:lang w:val="fr-FR" w:bidi="ar-LY"/>
        </w:rPr>
      </w:pPr>
    </w:p>
    <w:p w14:paraId="082E47AF" w14:textId="77777777" w:rsidR="00EA1783" w:rsidRPr="004E13E9" w:rsidRDefault="00EA1783" w:rsidP="00EA1783">
      <w:pPr>
        <w:widowControl w:val="0"/>
        <w:tabs>
          <w:tab w:val="left" w:pos="426"/>
        </w:tabs>
        <w:jc w:val="both"/>
        <w:rPr>
          <w:rFonts w:eastAsia="Calibri" w:cs="Times New Roman"/>
          <w:i/>
          <w:color w:val="000000"/>
          <w:lang w:val="fr-FR" w:eastAsia="fr-FR" w:bidi="fr-FR"/>
        </w:rPr>
      </w:pPr>
      <w:r w:rsidRPr="004E13E9">
        <w:rPr>
          <w:rFonts w:eastAsia="MS Gothic" w:cs="Times New Roman"/>
          <w:i/>
          <w:color w:val="000000"/>
          <w:lang w:val="fr-FR" w:eastAsia="fr-FR" w:bidi="fr-FR"/>
        </w:rPr>
        <w:t>a.2)</w:t>
      </w:r>
      <w:r w:rsidRPr="004E13E9">
        <w:rPr>
          <w:rFonts w:eastAsia="MS Gothic" w:cs="Times New Roman"/>
          <w:i/>
          <w:color w:val="000000"/>
          <w:lang w:val="fr-FR" w:eastAsia="fr-FR" w:bidi="fr-FR"/>
        </w:rPr>
        <w:tab/>
        <w:t>Application du plan de pêche</w:t>
      </w:r>
    </w:p>
    <w:p w14:paraId="7280B6A0" w14:textId="77777777" w:rsidR="00EA1783" w:rsidRPr="004E13E9" w:rsidRDefault="00EA1783" w:rsidP="00EA1783">
      <w:pPr>
        <w:jc w:val="both"/>
        <w:rPr>
          <w:rFonts w:eastAsia="Times New Roman" w:cs="Arial"/>
          <w:color w:val="000000"/>
          <w:lang w:val="fr-FR" w:bidi="ar-LY"/>
        </w:rPr>
      </w:pPr>
    </w:p>
    <w:p w14:paraId="4EEAFEDA" w14:textId="77777777" w:rsidR="00EA1783" w:rsidRPr="004E13E9" w:rsidRDefault="00EA1783" w:rsidP="00EA1783">
      <w:pPr>
        <w:jc w:val="both"/>
        <w:rPr>
          <w:rFonts w:eastAsia="Times New Roman" w:cs="Tahoma"/>
          <w:color w:val="000000"/>
          <w:lang w:val="fr-FR" w:eastAsia="fr-FR" w:bidi="fr-FR"/>
        </w:rPr>
      </w:pPr>
      <w:r w:rsidRPr="004E13E9">
        <w:rPr>
          <w:rFonts w:eastAsia="MS Gothic" w:cs="Times New Roman"/>
          <w:color w:val="000000"/>
          <w:lang w:val="fr-FR" w:eastAsia="fr-FR" w:bidi="fr-FR"/>
        </w:rPr>
        <w:t>Réglementations</w:t>
      </w:r>
    </w:p>
    <w:p w14:paraId="283FCC3C" w14:textId="77777777" w:rsidR="00EA1783" w:rsidRPr="004E13E9" w:rsidRDefault="00EA1783" w:rsidP="00EA1783">
      <w:pPr>
        <w:jc w:val="both"/>
        <w:rPr>
          <w:rFonts w:eastAsia="MS Gothic" w:cs="Times New Roman"/>
          <w:color w:val="000000"/>
          <w:lang w:val="fr-FR" w:eastAsia="fr-FR" w:bidi="fr-FR"/>
        </w:rPr>
      </w:pPr>
    </w:p>
    <w:p w14:paraId="328AE7E0" w14:textId="77777777" w:rsidR="00EA1783" w:rsidRPr="004E13E9" w:rsidRDefault="00EA1783" w:rsidP="00EA1783">
      <w:pPr>
        <w:jc w:val="both"/>
        <w:rPr>
          <w:rFonts w:eastAsia="Times New Roman" w:cs="Tahoma"/>
          <w:color w:val="000000"/>
          <w:lang w:val="fr-FR" w:eastAsia="fr-FR" w:bidi="fr-FR"/>
        </w:rPr>
      </w:pPr>
      <w:r w:rsidRPr="004E13E9">
        <w:rPr>
          <w:rFonts w:eastAsia="MS Gothic" w:cs="Times New Roman"/>
          <w:color w:val="000000"/>
          <w:lang w:val="fr-FR" w:eastAsia="fr-FR" w:bidi="fr-FR"/>
        </w:rPr>
        <w:t>Décret ministériel (émis par le ministère de l'agriculture, de l'élevage et des ressources marines) nº33/2019, amendé par le décret nº35/</w:t>
      </w:r>
      <w:r w:rsidRPr="004E13E9">
        <w:rPr>
          <w:lang w:val="fr-FR"/>
        </w:rPr>
        <w:t xml:space="preserve">2023 </w:t>
      </w:r>
      <w:r w:rsidRPr="004E13E9">
        <w:rPr>
          <w:rFonts w:eastAsia="MS Gothic" w:cs="Times New Roman"/>
          <w:color w:val="000000"/>
          <w:lang w:val="fr-FR" w:eastAsia="fr-FR" w:bidi="fr-FR"/>
        </w:rPr>
        <w:t xml:space="preserve">délivré par le ministère des richesses marines, adoptant la Rec. </w:t>
      </w:r>
      <w:r w:rsidRPr="004E13E9">
        <w:rPr>
          <w:lang w:val="fr-FR"/>
        </w:rPr>
        <w:t>25-04</w:t>
      </w:r>
      <w:r w:rsidRPr="004E13E9">
        <w:rPr>
          <w:rFonts w:eastAsia="MS Gothic" w:cs="Times New Roman"/>
          <w:color w:val="000000"/>
          <w:lang w:val="fr-FR" w:eastAsia="fr-FR" w:bidi="fr-FR"/>
        </w:rPr>
        <w:t xml:space="preserve"> et amendant le décret nº205/2013, établissant un programme pluriannuel de rétablissement pour le thon rouge de l’Atlantique Est et de la Méditerranée.   </w:t>
      </w:r>
    </w:p>
    <w:p w14:paraId="15EE3A32" w14:textId="77777777" w:rsidR="00EA1783" w:rsidRPr="004E13E9" w:rsidRDefault="00EA1783" w:rsidP="00EA1783">
      <w:pPr>
        <w:jc w:val="both"/>
        <w:rPr>
          <w:rFonts w:eastAsia="Times New Roman" w:cs="Tahoma"/>
          <w:color w:val="000000"/>
          <w:lang w:val="fr-FR" w:eastAsia="en-GB"/>
        </w:rPr>
      </w:pPr>
    </w:p>
    <w:p w14:paraId="6F3B3E05" w14:textId="77777777" w:rsidR="00EA1783" w:rsidRPr="004E13E9" w:rsidRDefault="00EA1783" w:rsidP="00EA1783">
      <w:pPr>
        <w:jc w:val="both"/>
        <w:rPr>
          <w:rFonts w:eastAsia="Times New Roman" w:cs="Tahoma"/>
          <w:color w:val="000000"/>
          <w:lang w:val="fr-FR" w:eastAsia="fr-FR" w:bidi="fr-FR"/>
        </w:rPr>
      </w:pPr>
      <w:r w:rsidRPr="004E13E9">
        <w:rPr>
          <w:rFonts w:eastAsia="MS Gothic" w:cs="Times New Roman"/>
          <w:color w:val="000000"/>
          <w:lang w:val="fr-FR" w:eastAsia="fr-FR" w:bidi="fr-FR"/>
        </w:rPr>
        <w:t>Loi nº14/1989 organisant la pêche et l'aquaculture en Libye.</w:t>
      </w:r>
    </w:p>
    <w:p w14:paraId="4EC725F3" w14:textId="77777777" w:rsidR="00EA1783" w:rsidRPr="004E13E9" w:rsidRDefault="00EA1783" w:rsidP="00EA1783">
      <w:pPr>
        <w:jc w:val="both"/>
        <w:rPr>
          <w:rFonts w:eastAsia="Times New Roman" w:cs="Arial"/>
          <w:bCs/>
          <w:iCs/>
          <w:lang w:val="fr-FR"/>
        </w:rPr>
      </w:pPr>
    </w:p>
    <w:p w14:paraId="4907B6EA" w14:textId="77777777" w:rsidR="00EA1783" w:rsidRPr="004E13E9" w:rsidRDefault="00EA1783" w:rsidP="00EA1783">
      <w:pPr>
        <w:jc w:val="both"/>
        <w:rPr>
          <w:rFonts w:eastAsia="Calibri" w:cs="Arial"/>
          <w:bCs/>
          <w:iCs/>
          <w:lang w:val="fr-FR"/>
        </w:rPr>
      </w:pPr>
      <w:r w:rsidRPr="004E13E9">
        <w:rPr>
          <w:rFonts w:eastAsia="Times New Roman" w:cs="Arial"/>
          <w:bCs/>
          <w:iCs/>
          <w:lang w:val="fr-FR"/>
        </w:rPr>
        <w:t>Application de sanctions</w:t>
      </w:r>
    </w:p>
    <w:p w14:paraId="48010E77" w14:textId="77777777" w:rsidR="00EA1783" w:rsidRPr="004E13E9" w:rsidRDefault="00EA1783" w:rsidP="00EA1783">
      <w:pPr>
        <w:jc w:val="both"/>
        <w:rPr>
          <w:rFonts w:eastAsia="Calibri" w:cs="Arial"/>
          <w:b/>
          <w:bCs/>
          <w:lang w:val="fr-FR" w:bidi="ar-LY"/>
        </w:rPr>
      </w:pPr>
    </w:p>
    <w:p w14:paraId="6B94D4CD" w14:textId="77777777" w:rsidR="00EA1783" w:rsidRPr="004E13E9" w:rsidRDefault="00EA1783" w:rsidP="00EA1783">
      <w:pPr>
        <w:jc w:val="both"/>
        <w:rPr>
          <w:rFonts w:eastAsia="Times New Roman" w:cs="Arial"/>
          <w:color w:val="000000"/>
          <w:lang w:val="fr-FR"/>
        </w:rPr>
      </w:pPr>
      <w:r w:rsidRPr="004E13E9">
        <w:rPr>
          <w:rFonts w:eastAsia="Times New Roman" w:cs="Arial"/>
          <w:color w:val="000000"/>
          <w:lang w:val="fr-FR"/>
        </w:rPr>
        <w:t>Le non-respect des réglementations relatives aux opérations de pêche de thon rouge donnera lieu à des pénalisations stipulées à l’article 20 du décret nº32/2022 (confiscation de l’engin de pêche, remise à l'eau des prises, suspension ou retrait du permis, diminution ou retrait du quota). Ce décret qui est entré en vigueur cette année permettra d’accroître l’efficacité des mesures.</w:t>
      </w:r>
      <w:bookmarkStart w:id="30" w:name="_Hlk189649393"/>
    </w:p>
    <w:p w14:paraId="47B4BA0D" w14:textId="77777777" w:rsidR="00EA1783" w:rsidRPr="004E13E9" w:rsidRDefault="00EA1783" w:rsidP="00EA1783">
      <w:pPr>
        <w:jc w:val="both"/>
        <w:rPr>
          <w:rFonts w:eastAsia="MS Gothic" w:cs="Times New Roman"/>
          <w:b/>
          <w:i/>
          <w:iCs/>
          <w:lang w:val="fr-FR" w:eastAsia="fr-FR" w:bidi="fr-FR"/>
        </w:rPr>
      </w:pPr>
    </w:p>
    <w:bookmarkEnd w:id="30"/>
    <w:p w14:paraId="7B526F0B" w14:textId="77777777" w:rsidR="00EA1783" w:rsidRPr="004E13E9" w:rsidRDefault="00EA1783" w:rsidP="00EA1783">
      <w:pPr>
        <w:ind w:left="426" w:hanging="426"/>
        <w:rPr>
          <w:b/>
          <w:i/>
          <w:iCs/>
          <w:lang w:val="fr-FR"/>
        </w:rPr>
      </w:pPr>
      <w:r w:rsidRPr="004E13E9">
        <w:rPr>
          <w:b/>
          <w:i/>
          <w:iCs/>
          <w:lang w:val="fr-FR"/>
        </w:rPr>
        <w:t>5b) Programme d’inspection internationale conjointe (JIS) (paragraphes 232-235)</w:t>
      </w:r>
    </w:p>
    <w:p w14:paraId="247AEF89" w14:textId="77777777" w:rsidR="00EA1783" w:rsidRPr="004E13E9" w:rsidRDefault="00EA1783" w:rsidP="00EA1783">
      <w:pPr>
        <w:widowControl w:val="0"/>
        <w:jc w:val="both"/>
        <w:rPr>
          <w:rFonts w:eastAsia="MS Gothic" w:cs="Times New Roman"/>
          <w:b/>
          <w:color w:val="000000"/>
          <w:lang w:val="fr-FR" w:eastAsia="fr-FR" w:bidi="ar-LY"/>
        </w:rPr>
      </w:pPr>
      <w:r w:rsidRPr="004E13E9">
        <w:rPr>
          <w:iCs/>
          <w:lang w:val="fr-FR"/>
        </w:rPr>
        <w:t>La participation au programme d'inspection internationale conjointe n'est actuellement pas envisageable en raison de contraintes budgétaires.</w:t>
      </w:r>
    </w:p>
    <w:p w14:paraId="1B441C09" w14:textId="77777777" w:rsidR="00EA1783" w:rsidRPr="004E13E9" w:rsidRDefault="00EA1783" w:rsidP="00EA1783">
      <w:pPr>
        <w:widowControl w:val="0"/>
        <w:jc w:val="both"/>
        <w:rPr>
          <w:rFonts w:eastAsia="MS Gothic" w:cs="Times New Roman"/>
          <w:b/>
          <w:color w:val="000000"/>
          <w:lang w:val="fr-FR" w:eastAsia="fr-FR" w:bidi="ar-LY"/>
        </w:rPr>
      </w:pPr>
    </w:p>
    <w:p w14:paraId="1EF440C4" w14:textId="77777777" w:rsidR="00EA1783" w:rsidRPr="004E13E9" w:rsidRDefault="00EA1783" w:rsidP="00EA1783">
      <w:pPr>
        <w:widowControl w:val="0"/>
        <w:ind w:left="426" w:hanging="426"/>
        <w:contextualSpacing/>
        <w:jc w:val="both"/>
        <w:rPr>
          <w:rFonts w:eastAsia="MS Gothic" w:cs="Times New Roman"/>
          <w:b/>
          <w:lang w:val="fr-FR" w:eastAsia="fr-FR" w:bidi="fr-FR"/>
        </w:rPr>
      </w:pPr>
      <w:bookmarkStart w:id="31" w:name="_Hlk189649400"/>
      <w:r w:rsidRPr="004E13E9">
        <w:rPr>
          <w:rFonts w:eastAsia="MS Gothic" w:cs="Times New Roman"/>
          <w:b/>
          <w:lang w:val="fr-FR" w:eastAsia="fr-FR" w:bidi="fr-FR"/>
        </w:rPr>
        <w:t xml:space="preserve">6. </w:t>
      </w:r>
      <w:r w:rsidRPr="004E13E9">
        <w:rPr>
          <w:rFonts w:eastAsia="MS Gothic" w:cs="Times New Roman"/>
          <w:b/>
          <w:lang w:val="fr-FR" w:eastAsia="fr-FR" w:bidi="fr-FR"/>
        </w:rPr>
        <w:tab/>
        <w:t>Autres</w:t>
      </w:r>
    </w:p>
    <w:bookmarkEnd w:id="31"/>
    <w:p w14:paraId="1B655B39" w14:textId="77777777" w:rsidR="00EA1783" w:rsidRPr="004E13E9" w:rsidRDefault="00EA1783" w:rsidP="00EA1783">
      <w:pPr>
        <w:widowControl w:val="0"/>
        <w:jc w:val="both"/>
        <w:rPr>
          <w:rFonts w:eastAsia="MS Gothic" w:cs="Times New Roman"/>
          <w:b/>
          <w:lang w:val="fr-FR" w:eastAsia="fr-FR" w:bidi="fr-FR"/>
        </w:rPr>
      </w:pPr>
    </w:p>
    <w:p w14:paraId="1A696024" w14:textId="77777777" w:rsidR="00EA1783" w:rsidRPr="004E13E9" w:rsidRDefault="00EA1783" w:rsidP="00EA1783">
      <w:pPr>
        <w:rPr>
          <w:lang w:val="fr-FR"/>
        </w:rPr>
      </w:pPr>
      <w:r w:rsidRPr="004E13E9">
        <w:rPr>
          <w:lang w:val="fr-FR"/>
        </w:rPr>
        <w:t>N/A</w:t>
      </w:r>
    </w:p>
    <w:p w14:paraId="579A1507" w14:textId="77777777" w:rsidR="00EA1783" w:rsidRPr="004E13E9" w:rsidRDefault="00EA1783" w:rsidP="00EA1783">
      <w:pPr>
        <w:widowControl w:val="0"/>
        <w:jc w:val="both"/>
        <w:rPr>
          <w:rFonts w:eastAsia="MS Gothic" w:cs="Times New Roman"/>
          <w:iCs/>
          <w:lang w:val="fr-FR" w:eastAsia="fr-FR" w:bidi="fr-FR"/>
        </w:rPr>
      </w:pPr>
    </w:p>
    <w:p w14:paraId="4D25801D" w14:textId="77777777" w:rsidR="00EA1783" w:rsidRPr="004E13E9" w:rsidRDefault="00EA1783" w:rsidP="00EA1783">
      <w:pPr>
        <w:widowControl w:val="0"/>
        <w:jc w:val="both"/>
        <w:rPr>
          <w:rFonts w:eastAsia="MS Gothic" w:cs="Times New Roman"/>
          <w:color w:val="000000"/>
          <w:lang w:val="fr-FR" w:eastAsia="fr-FR" w:bidi="fr-FR"/>
        </w:rPr>
        <w:sectPr w:rsidR="00EA1783" w:rsidRPr="004E13E9" w:rsidSect="00EA1783">
          <w:headerReference w:type="default" r:id="rId134"/>
          <w:footerReference w:type="default" r:id="rId135"/>
          <w:headerReference w:type="first" r:id="rId136"/>
          <w:footerReference w:type="first" r:id="rId137"/>
          <w:pgSz w:w="11906" w:h="16838" w:code="9"/>
          <w:pgMar w:top="1418" w:right="1418" w:bottom="1418" w:left="1418" w:header="851" w:footer="1134" w:gutter="0"/>
          <w:cols w:space="425"/>
          <w:docGrid w:linePitch="360"/>
        </w:sectPr>
      </w:pPr>
    </w:p>
    <w:p w14:paraId="32B0B8D2" w14:textId="77777777" w:rsidR="00EA1783" w:rsidRPr="004E13E9" w:rsidRDefault="00EA1783" w:rsidP="00EA1783">
      <w:pPr>
        <w:rPr>
          <w:rFonts w:eastAsia="MS Gothic" w:cs="Times New Roman"/>
          <w:b/>
          <w:bCs/>
          <w:iCs/>
          <w:lang w:val="fr-FR" w:eastAsia="fr-FR" w:bidi="fr-FR"/>
        </w:rPr>
      </w:pPr>
      <w:r w:rsidRPr="004E13E9">
        <w:rPr>
          <w:rFonts w:eastAsia="MS Gothic" w:cs="Times New Roman"/>
          <w:b/>
          <w:bCs/>
          <w:iCs/>
          <w:lang w:val="fr-FR" w:eastAsia="fr-FR" w:bidi="fr-FR"/>
        </w:rPr>
        <w:t>Tableau sur la capacité</w:t>
      </w:r>
    </w:p>
    <w:p w14:paraId="40AF136D" w14:textId="77777777" w:rsidR="00EA1783" w:rsidRPr="004E13E9" w:rsidRDefault="00EA1783" w:rsidP="00EA1783">
      <w:pPr>
        <w:rPr>
          <w:sz w:val="16"/>
          <w:szCs w:val="16"/>
          <w:lang w:val="fr-FR"/>
        </w:rPr>
      </w:pP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gridCol w:w="1644"/>
        <w:gridCol w:w="567"/>
        <w:gridCol w:w="567"/>
        <w:gridCol w:w="573"/>
        <w:gridCol w:w="567"/>
        <w:gridCol w:w="567"/>
        <w:gridCol w:w="567"/>
        <w:gridCol w:w="573"/>
        <w:gridCol w:w="251"/>
        <w:gridCol w:w="573"/>
        <w:gridCol w:w="565"/>
        <w:gridCol w:w="714"/>
        <w:gridCol w:w="700"/>
        <w:gridCol w:w="731"/>
        <w:gridCol w:w="776"/>
        <w:gridCol w:w="892"/>
      </w:tblGrid>
      <w:tr w:rsidR="00EA1783" w:rsidRPr="004E13E9" w14:paraId="3CE5F5CE"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noWrap/>
            <w:vAlign w:val="center"/>
            <w:hideMark/>
          </w:tcPr>
          <w:p w14:paraId="17890CD9" w14:textId="77777777" w:rsidR="00EA1783" w:rsidRPr="004E13E9" w:rsidRDefault="00EA1783" w:rsidP="00E62E84">
            <w:pPr>
              <w:rPr>
                <w:i/>
                <w:iCs/>
                <w:sz w:val="16"/>
                <w:szCs w:val="16"/>
                <w:lang w:bidi="fr-FR"/>
              </w:rPr>
            </w:pPr>
            <w:r w:rsidRPr="004E13E9">
              <w:rPr>
                <w:i/>
                <w:sz w:val="16"/>
                <w:szCs w:val="16"/>
                <w:lang w:bidi="fr-FR"/>
              </w:rPr>
              <w:t xml:space="preserve">Type de </w:t>
            </w:r>
            <w:proofErr w:type="spellStart"/>
            <w:r w:rsidRPr="004E13E9">
              <w:rPr>
                <w:i/>
                <w:sz w:val="16"/>
                <w:szCs w:val="16"/>
                <w:lang w:bidi="fr-FR"/>
              </w:rPr>
              <w:t>navires</w:t>
            </w:r>
            <w:proofErr w:type="spellEnd"/>
            <w:r w:rsidRPr="004E13E9">
              <w:rPr>
                <w:i/>
                <w:sz w:val="16"/>
                <w:szCs w:val="16"/>
                <w:lang w:bidi="fr-FR"/>
              </w:rPr>
              <w:t xml:space="preserve"> </w:t>
            </w:r>
            <w:proofErr w:type="spellStart"/>
            <w:r w:rsidRPr="004E13E9">
              <w:rPr>
                <w:i/>
                <w:sz w:val="16"/>
                <w:szCs w:val="16"/>
                <w:lang w:bidi="fr-FR"/>
              </w:rPr>
              <w:t>thoniers</w:t>
            </w:r>
            <w:proofErr w:type="spellEnd"/>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7FBEA8E9" w14:textId="77777777" w:rsidR="00EA1783" w:rsidRPr="004E13E9" w:rsidRDefault="00EA1783" w:rsidP="00E62E84">
            <w:pPr>
              <w:rPr>
                <w:i/>
                <w:iCs/>
                <w:sz w:val="16"/>
                <w:szCs w:val="16"/>
                <w:lang w:bidi="fr-FR"/>
              </w:rPr>
            </w:pPr>
          </w:p>
        </w:tc>
        <w:tc>
          <w:tcPr>
            <w:tcW w:w="605" w:type="pct"/>
            <w:gridSpan w:val="3"/>
            <w:tcBorders>
              <w:top w:val="single" w:sz="4" w:space="0" w:color="auto"/>
              <w:left w:val="single" w:sz="4" w:space="0" w:color="auto"/>
              <w:bottom w:val="single" w:sz="4" w:space="0" w:color="auto"/>
              <w:right w:val="single" w:sz="4" w:space="0" w:color="auto"/>
            </w:tcBorders>
            <w:hideMark/>
          </w:tcPr>
          <w:p w14:paraId="5062E8CE" w14:textId="77777777" w:rsidR="00EA1783" w:rsidRPr="004E13E9" w:rsidRDefault="00EA1783" w:rsidP="00E62E84">
            <w:pPr>
              <w:jc w:val="center"/>
              <w:rPr>
                <w:i/>
                <w:iCs/>
                <w:sz w:val="16"/>
                <w:szCs w:val="16"/>
                <w:lang w:bidi="fr-FR"/>
              </w:rPr>
            </w:pPr>
            <w:r w:rsidRPr="004E13E9">
              <w:rPr>
                <w:i/>
                <w:sz w:val="16"/>
                <w:szCs w:val="16"/>
                <w:lang w:bidi="fr-FR"/>
              </w:rPr>
              <w:t xml:space="preserve">Année de </w:t>
            </w:r>
            <w:proofErr w:type="spellStart"/>
            <w:r w:rsidRPr="004E13E9">
              <w:rPr>
                <w:i/>
                <w:sz w:val="16"/>
                <w:szCs w:val="16"/>
                <w:lang w:bidi="fr-FR"/>
              </w:rPr>
              <w:t>réf</w:t>
            </w:r>
            <w:proofErr w:type="spellEnd"/>
            <w:r w:rsidRPr="004E13E9">
              <w:rPr>
                <w:i/>
                <w:sz w:val="16"/>
                <w:szCs w:val="16"/>
                <w:lang w:bidi="fr-FR"/>
              </w:rPr>
              <w:t>.</w:t>
            </w:r>
          </w:p>
        </w:tc>
        <w:tc>
          <w:tcPr>
            <w:tcW w:w="806" w:type="pct"/>
            <w:gridSpan w:val="4"/>
            <w:tcBorders>
              <w:top w:val="single" w:sz="4" w:space="0" w:color="auto"/>
              <w:left w:val="single" w:sz="4" w:space="0" w:color="auto"/>
              <w:bottom w:val="single" w:sz="4" w:space="0" w:color="auto"/>
              <w:right w:val="single" w:sz="4" w:space="0" w:color="auto"/>
            </w:tcBorders>
            <w:vAlign w:val="center"/>
            <w:hideMark/>
          </w:tcPr>
          <w:p w14:paraId="7D8A11E8" w14:textId="77777777" w:rsidR="00EA1783" w:rsidRPr="004E13E9" w:rsidRDefault="00EA1783" w:rsidP="00E62E84">
            <w:pPr>
              <w:jc w:val="center"/>
              <w:rPr>
                <w:sz w:val="16"/>
                <w:szCs w:val="16"/>
                <w:lang w:bidi="fr-FR"/>
              </w:rPr>
            </w:pPr>
            <w:r w:rsidRPr="004E13E9">
              <w:rPr>
                <w:i/>
                <w:sz w:val="16"/>
                <w:szCs w:val="16"/>
                <w:lang w:bidi="fr-FR"/>
              </w:rPr>
              <w:t xml:space="preserve">Nombre de </w:t>
            </w:r>
            <w:proofErr w:type="spellStart"/>
            <w:r w:rsidRPr="004E13E9">
              <w:rPr>
                <w:i/>
                <w:sz w:val="16"/>
                <w:szCs w:val="16"/>
                <w:lang w:bidi="fr-FR"/>
              </w:rPr>
              <w:t>navires</w:t>
            </w:r>
            <w:proofErr w:type="spellEnd"/>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4DDE0C7" w14:textId="77777777" w:rsidR="00EA1783" w:rsidRPr="004E13E9" w:rsidRDefault="00EA1783" w:rsidP="00E62E84">
            <w:pPr>
              <w:jc w:val="center"/>
              <w:rPr>
                <w:sz w:val="16"/>
                <w:szCs w:val="16"/>
                <w:lang w:bidi="fr-FR"/>
              </w:rPr>
            </w:pPr>
          </w:p>
        </w:tc>
        <w:tc>
          <w:tcPr>
            <w:tcW w:w="656" w:type="pct"/>
            <w:gridSpan w:val="3"/>
            <w:tcBorders>
              <w:top w:val="single" w:sz="4" w:space="0" w:color="auto"/>
              <w:left w:val="single" w:sz="4" w:space="0" w:color="auto"/>
              <w:bottom w:val="single" w:sz="4" w:space="0" w:color="auto"/>
              <w:right w:val="single" w:sz="4" w:space="0" w:color="auto"/>
            </w:tcBorders>
            <w:hideMark/>
          </w:tcPr>
          <w:p w14:paraId="3F04F08F" w14:textId="77777777" w:rsidR="00EA1783" w:rsidRPr="004E13E9" w:rsidRDefault="00EA1783" w:rsidP="00E62E84">
            <w:pPr>
              <w:jc w:val="center"/>
              <w:rPr>
                <w:i/>
                <w:iCs/>
                <w:sz w:val="16"/>
                <w:szCs w:val="16"/>
                <w:lang w:bidi="fr-FR"/>
              </w:rPr>
            </w:pPr>
            <w:r w:rsidRPr="004E13E9">
              <w:rPr>
                <w:i/>
                <w:sz w:val="16"/>
                <w:szCs w:val="16"/>
                <w:lang w:bidi="fr-FR"/>
              </w:rPr>
              <w:t xml:space="preserve">Année de </w:t>
            </w:r>
            <w:proofErr w:type="spellStart"/>
            <w:r w:rsidRPr="004E13E9">
              <w:rPr>
                <w:i/>
                <w:sz w:val="16"/>
                <w:szCs w:val="16"/>
                <w:lang w:bidi="fr-FR"/>
              </w:rPr>
              <w:t>réf</w:t>
            </w:r>
            <w:proofErr w:type="spellEnd"/>
            <w:r w:rsidRPr="004E13E9">
              <w:rPr>
                <w:i/>
                <w:sz w:val="16"/>
                <w:szCs w:val="16"/>
                <w:lang w:bidi="fr-FR"/>
              </w:rPr>
              <w:t>.</w:t>
            </w:r>
          </w:p>
        </w:tc>
        <w:tc>
          <w:tcPr>
            <w:tcW w:w="1098" w:type="pct"/>
            <w:gridSpan w:val="4"/>
            <w:tcBorders>
              <w:top w:val="single" w:sz="4" w:space="0" w:color="auto"/>
              <w:left w:val="single" w:sz="4" w:space="0" w:color="auto"/>
              <w:bottom w:val="single" w:sz="4" w:space="0" w:color="auto"/>
              <w:right w:val="single" w:sz="4" w:space="0" w:color="auto"/>
            </w:tcBorders>
            <w:hideMark/>
          </w:tcPr>
          <w:p w14:paraId="3B8D759E" w14:textId="77777777" w:rsidR="00EA1783" w:rsidRPr="004E13E9" w:rsidRDefault="00EA1783" w:rsidP="00E62E84">
            <w:pPr>
              <w:jc w:val="center"/>
              <w:rPr>
                <w:i/>
                <w:iCs/>
                <w:sz w:val="16"/>
                <w:szCs w:val="16"/>
                <w:lang w:bidi="fr-FR"/>
              </w:rPr>
            </w:pPr>
            <w:proofErr w:type="spellStart"/>
            <w:r w:rsidRPr="004E13E9">
              <w:rPr>
                <w:i/>
                <w:sz w:val="16"/>
                <w:szCs w:val="16"/>
                <w:lang w:bidi="fr-FR"/>
              </w:rPr>
              <w:t>Capacité</w:t>
            </w:r>
            <w:proofErr w:type="spellEnd"/>
            <w:r w:rsidRPr="004E13E9">
              <w:rPr>
                <w:i/>
                <w:sz w:val="16"/>
                <w:szCs w:val="16"/>
                <w:lang w:bidi="fr-FR"/>
              </w:rPr>
              <w:t xml:space="preserve"> de </w:t>
            </w:r>
            <w:proofErr w:type="spellStart"/>
            <w:r w:rsidRPr="004E13E9">
              <w:rPr>
                <w:i/>
                <w:sz w:val="16"/>
                <w:szCs w:val="16"/>
                <w:lang w:bidi="fr-FR"/>
              </w:rPr>
              <w:t>pêche</w:t>
            </w:r>
            <w:proofErr w:type="spellEnd"/>
          </w:p>
        </w:tc>
      </w:tr>
      <w:tr w:rsidR="00EA1783" w:rsidRPr="004E13E9" w14:paraId="1A07188E"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noWrap/>
            <w:vAlign w:val="center"/>
            <w:hideMark/>
          </w:tcPr>
          <w:p w14:paraId="5D13BDA5" w14:textId="77777777" w:rsidR="00EA1783" w:rsidRPr="004E13E9" w:rsidRDefault="00EA1783" w:rsidP="00E62E84">
            <w:pPr>
              <w:rPr>
                <w:b/>
                <w:bCs/>
                <w:sz w:val="16"/>
                <w:szCs w:val="16"/>
                <w:lang w:bidi="fr-FR"/>
              </w:rPr>
            </w:pPr>
            <w:r w:rsidRPr="004E13E9">
              <w:rPr>
                <w:b/>
                <w:sz w:val="16"/>
                <w:szCs w:val="16"/>
                <w:lang w:bidi="fr-FR"/>
              </w:rPr>
              <w:t>Type</w:t>
            </w:r>
          </w:p>
        </w:tc>
        <w:tc>
          <w:tcPr>
            <w:tcW w:w="582" w:type="pct"/>
            <w:tcBorders>
              <w:top w:val="single" w:sz="4" w:space="0" w:color="auto"/>
              <w:left w:val="single" w:sz="4" w:space="0" w:color="auto"/>
              <w:bottom w:val="single" w:sz="4" w:space="0" w:color="auto"/>
              <w:right w:val="single" w:sz="4" w:space="0" w:color="auto"/>
            </w:tcBorders>
            <w:vAlign w:val="center"/>
            <w:hideMark/>
          </w:tcPr>
          <w:p w14:paraId="595F4CAA" w14:textId="77777777" w:rsidR="00EA1783" w:rsidRPr="004E13E9" w:rsidRDefault="00EA1783" w:rsidP="00E62E84">
            <w:pPr>
              <w:rPr>
                <w:sz w:val="16"/>
                <w:szCs w:val="16"/>
                <w:lang w:val="fr-FR" w:bidi="fr-FR"/>
              </w:rPr>
            </w:pPr>
            <w:r w:rsidRPr="004E13E9">
              <w:rPr>
                <w:sz w:val="16"/>
                <w:szCs w:val="16"/>
                <w:lang w:val="fr-FR" w:bidi="fr-FR"/>
              </w:rPr>
              <w:t xml:space="preserve">Meilleurs taux de capture </w:t>
            </w:r>
          </w:p>
          <w:p w14:paraId="380CFAE9" w14:textId="77777777" w:rsidR="00EA1783" w:rsidRPr="004E13E9" w:rsidRDefault="00EA1783" w:rsidP="00E62E84">
            <w:pPr>
              <w:rPr>
                <w:sz w:val="16"/>
                <w:szCs w:val="16"/>
                <w:lang w:val="fr-FR" w:bidi="fr-FR"/>
              </w:rPr>
            </w:pPr>
            <w:r w:rsidRPr="004E13E9">
              <w:rPr>
                <w:sz w:val="16"/>
                <w:szCs w:val="16"/>
                <w:lang w:val="fr-FR" w:bidi="fr-FR"/>
              </w:rPr>
              <w:t xml:space="preserve">définis par le SCRS </w:t>
            </w:r>
          </w:p>
          <w:p w14:paraId="65029EB9" w14:textId="77777777" w:rsidR="00EA1783" w:rsidRPr="004E13E9" w:rsidRDefault="00EA1783" w:rsidP="00E62E84">
            <w:pPr>
              <w:rPr>
                <w:sz w:val="16"/>
                <w:szCs w:val="16"/>
                <w:lang w:bidi="fr-FR"/>
              </w:rPr>
            </w:pPr>
            <w:proofErr w:type="spellStart"/>
            <w:r w:rsidRPr="004E13E9">
              <w:rPr>
                <w:sz w:val="16"/>
                <w:szCs w:val="16"/>
                <w:lang w:bidi="fr-FR"/>
              </w:rPr>
              <w:t>en</w:t>
            </w:r>
            <w:proofErr w:type="spellEnd"/>
            <w:r w:rsidRPr="004E13E9">
              <w:rPr>
                <w:sz w:val="16"/>
                <w:szCs w:val="16"/>
                <w:lang w:bidi="fr-FR"/>
              </w:rPr>
              <w:t xml:space="preserve"> 2009 (t)</w:t>
            </w:r>
          </w:p>
        </w:tc>
        <w:tc>
          <w:tcPr>
            <w:tcW w:w="201" w:type="pct"/>
            <w:tcBorders>
              <w:top w:val="single" w:sz="4" w:space="0" w:color="auto"/>
              <w:left w:val="single" w:sz="4" w:space="0" w:color="auto"/>
              <w:bottom w:val="single" w:sz="4" w:space="0" w:color="auto"/>
              <w:right w:val="single" w:sz="4" w:space="0" w:color="auto"/>
            </w:tcBorders>
            <w:vAlign w:val="center"/>
            <w:hideMark/>
          </w:tcPr>
          <w:p w14:paraId="3090167E" w14:textId="77777777" w:rsidR="00EA1783" w:rsidRPr="004E13E9" w:rsidRDefault="00EA1783" w:rsidP="00E62E84">
            <w:pPr>
              <w:jc w:val="center"/>
              <w:rPr>
                <w:sz w:val="14"/>
                <w:szCs w:val="14"/>
                <w:lang w:bidi="fr-FR"/>
              </w:rPr>
            </w:pPr>
            <w:r w:rsidRPr="004E13E9">
              <w:rPr>
                <w:sz w:val="14"/>
                <w:szCs w:val="14"/>
                <w:lang w:bidi="fr-FR"/>
              </w:rPr>
              <w:t>2006</w:t>
            </w:r>
          </w:p>
        </w:tc>
        <w:tc>
          <w:tcPr>
            <w:tcW w:w="201" w:type="pct"/>
            <w:tcBorders>
              <w:top w:val="single" w:sz="4" w:space="0" w:color="auto"/>
              <w:left w:val="single" w:sz="4" w:space="0" w:color="auto"/>
              <w:bottom w:val="single" w:sz="4" w:space="0" w:color="auto"/>
              <w:right w:val="single" w:sz="4" w:space="0" w:color="auto"/>
            </w:tcBorders>
            <w:noWrap/>
            <w:vAlign w:val="center"/>
            <w:hideMark/>
          </w:tcPr>
          <w:p w14:paraId="22BBC035" w14:textId="77777777" w:rsidR="00EA1783" w:rsidRPr="004E13E9" w:rsidRDefault="00EA1783" w:rsidP="00E62E84">
            <w:pPr>
              <w:jc w:val="center"/>
              <w:rPr>
                <w:sz w:val="14"/>
                <w:szCs w:val="14"/>
                <w:lang w:bidi="fr-FR"/>
              </w:rPr>
            </w:pPr>
            <w:r w:rsidRPr="004E13E9">
              <w:rPr>
                <w:sz w:val="14"/>
                <w:szCs w:val="14"/>
                <w:lang w:bidi="fr-FR"/>
              </w:rPr>
              <w:t>2008</w:t>
            </w:r>
          </w:p>
        </w:tc>
        <w:tc>
          <w:tcPr>
            <w:tcW w:w="203" w:type="pct"/>
            <w:tcBorders>
              <w:top w:val="single" w:sz="4" w:space="0" w:color="auto"/>
              <w:left w:val="single" w:sz="4" w:space="0" w:color="auto"/>
              <w:bottom w:val="single" w:sz="4" w:space="0" w:color="auto"/>
              <w:right w:val="single" w:sz="4" w:space="0" w:color="auto"/>
            </w:tcBorders>
            <w:vAlign w:val="center"/>
            <w:hideMark/>
          </w:tcPr>
          <w:p w14:paraId="17C98254" w14:textId="77777777" w:rsidR="00EA1783" w:rsidRPr="004E13E9" w:rsidRDefault="00EA1783" w:rsidP="00E62E84">
            <w:pPr>
              <w:jc w:val="center"/>
              <w:rPr>
                <w:sz w:val="14"/>
                <w:szCs w:val="14"/>
                <w:lang w:bidi="fr-FR"/>
              </w:rPr>
            </w:pPr>
            <w:r w:rsidRPr="004E13E9">
              <w:rPr>
                <w:sz w:val="14"/>
                <w:szCs w:val="14"/>
                <w:lang w:bidi="fr-FR"/>
              </w:rPr>
              <w:t>2018</w:t>
            </w:r>
          </w:p>
        </w:tc>
        <w:tc>
          <w:tcPr>
            <w:tcW w:w="201" w:type="pct"/>
            <w:tcBorders>
              <w:top w:val="single" w:sz="4" w:space="0" w:color="auto"/>
              <w:left w:val="single" w:sz="4" w:space="0" w:color="auto"/>
              <w:bottom w:val="single" w:sz="4" w:space="0" w:color="auto"/>
              <w:right w:val="single" w:sz="4" w:space="0" w:color="auto"/>
            </w:tcBorders>
            <w:vAlign w:val="center"/>
            <w:hideMark/>
          </w:tcPr>
          <w:p w14:paraId="28999886" w14:textId="77777777" w:rsidR="00EA1783" w:rsidRPr="004E13E9" w:rsidRDefault="00EA1783" w:rsidP="00E62E84">
            <w:pPr>
              <w:jc w:val="center"/>
              <w:rPr>
                <w:sz w:val="14"/>
                <w:szCs w:val="14"/>
                <w:lang w:bidi="fr-FR"/>
              </w:rPr>
            </w:pPr>
            <w:r w:rsidRPr="004E13E9">
              <w:rPr>
                <w:sz w:val="14"/>
                <w:szCs w:val="14"/>
                <w:lang w:bidi="fr-FR"/>
              </w:rPr>
              <w:t>2023</w:t>
            </w:r>
          </w:p>
        </w:tc>
        <w:tc>
          <w:tcPr>
            <w:tcW w:w="201" w:type="pct"/>
            <w:tcBorders>
              <w:top w:val="single" w:sz="4" w:space="0" w:color="auto"/>
              <w:left w:val="single" w:sz="4" w:space="0" w:color="auto"/>
              <w:bottom w:val="single" w:sz="4" w:space="0" w:color="auto"/>
              <w:right w:val="single" w:sz="4" w:space="0" w:color="auto"/>
            </w:tcBorders>
            <w:vAlign w:val="center"/>
            <w:hideMark/>
          </w:tcPr>
          <w:p w14:paraId="277D1583" w14:textId="77777777" w:rsidR="00EA1783" w:rsidRPr="004E13E9" w:rsidRDefault="00EA1783" w:rsidP="00E62E84">
            <w:pPr>
              <w:jc w:val="center"/>
              <w:rPr>
                <w:sz w:val="14"/>
                <w:szCs w:val="14"/>
                <w:lang w:bidi="fr-FR"/>
              </w:rPr>
            </w:pPr>
            <w:r w:rsidRPr="004E13E9">
              <w:rPr>
                <w:sz w:val="14"/>
                <w:szCs w:val="14"/>
                <w:lang w:bidi="fr-FR"/>
              </w:rPr>
              <w:t>2024</w:t>
            </w:r>
          </w:p>
        </w:tc>
        <w:tc>
          <w:tcPr>
            <w:tcW w:w="201" w:type="pct"/>
            <w:tcBorders>
              <w:top w:val="single" w:sz="4" w:space="0" w:color="auto"/>
              <w:left w:val="single" w:sz="4" w:space="0" w:color="auto"/>
              <w:bottom w:val="single" w:sz="4" w:space="0" w:color="auto"/>
              <w:right w:val="single" w:sz="4" w:space="0" w:color="auto"/>
            </w:tcBorders>
            <w:vAlign w:val="center"/>
            <w:hideMark/>
          </w:tcPr>
          <w:p w14:paraId="04AF0B59" w14:textId="77777777" w:rsidR="00EA1783" w:rsidRPr="004E13E9" w:rsidRDefault="00EA1783" w:rsidP="00E62E84">
            <w:pPr>
              <w:jc w:val="center"/>
              <w:rPr>
                <w:sz w:val="14"/>
                <w:szCs w:val="14"/>
                <w:lang w:bidi="fr-FR"/>
              </w:rPr>
            </w:pPr>
            <w:r w:rsidRPr="004E13E9">
              <w:rPr>
                <w:sz w:val="14"/>
                <w:szCs w:val="14"/>
                <w:lang w:bidi="fr-FR"/>
              </w:rPr>
              <w:t>2025</w:t>
            </w:r>
          </w:p>
        </w:tc>
        <w:tc>
          <w:tcPr>
            <w:tcW w:w="203" w:type="pct"/>
            <w:tcBorders>
              <w:top w:val="single" w:sz="4" w:space="0" w:color="auto"/>
              <w:left w:val="single" w:sz="4" w:space="0" w:color="auto"/>
              <w:bottom w:val="single" w:sz="4" w:space="0" w:color="auto"/>
              <w:right w:val="single" w:sz="4" w:space="0" w:color="auto"/>
            </w:tcBorders>
            <w:vAlign w:val="center"/>
            <w:hideMark/>
          </w:tcPr>
          <w:p w14:paraId="4A53171E" w14:textId="77777777" w:rsidR="00EA1783" w:rsidRPr="004E13E9" w:rsidRDefault="00EA1783" w:rsidP="00E62E84">
            <w:pPr>
              <w:jc w:val="center"/>
              <w:rPr>
                <w:sz w:val="14"/>
                <w:szCs w:val="14"/>
                <w:lang w:bidi="fr-FR"/>
              </w:rPr>
            </w:pPr>
            <w:r w:rsidRPr="004E13E9">
              <w:rPr>
                <w:sz w:val="14"/>
                <w:szCs w:val="14"/>
                <w:lang w:bidi="fr-FR"/>
              </w:rPr>
              <w:t>2026</w:t>
            </w: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0AAC62B" w14:textId="77777777" w:rsidR="00EA1783" w:rsidRPr="004E13E9" w:rsidRDefault="00EA1783" w:rsidP="00E62E84">
            <w:pPr>
              <w:rPr>
                <w:sz w:val="16"/>
                <w:szCs w:val="16"/>
                <w:lang w:bidi="fr-FR"/>
              </w:rPr>
            </w:pPr>
          </w:p>
        </w:tc>
        <w:tc>
          <w:tcPr>
            <w:tcW w:w="203" w:type="pct"/>
            <w:tcBorders>
              <w:top w:val="single" w:sz="4" w:space="0" w:color="auto"/>
              <w:left w:val="single" w:sz="4" w:space="0" w:color="auto"/>
              <w:bottom w:val="single" w:sz="4" w:space="0" w:color="auto"/>
              <w:right w:val="single" w:sz="4" w:space="0" w:color="auto"/>
            </w:tcBorders>
            <w:vAlign w:val="center"/>
            <w:hideMark/>
          </w:tcPr>
          <w:p w14:paraId="62814B84" w14:textId="77777777" w:rsidR="00EA1783" w:rsidRPr="004E13E9" w:rsidRDefault="00EA1783" w:rsidP="00E62E84">
            <w:pPr>
              <w:rPr>
                <w:sz w:val="14"/>
                <w:szCs w:val="14"/>
                <w:lang w:bidi="fr-FR"/>
              </w:rPr>
            </w:pPr>
            <w:r w:rsidRPr="004E13E9">
              <w:rPr>
                <w:sz w:val="14"/>
                <w:szCs w:val="14"/>
                <w:lang w:bidi="fr-FR"/>
              </w:rPr>
              <w:t>2006</w:t>
            </w:r>
          </w:p>
        </w:tc>
        <w:tc>
          <w:tcPr>
            <w:tcW w:w="200" w:type="pct"/>
            <w:tcBorders>
              <w:top w:val="single" w:sz="4" w:space="0" w:color="auto"/>
              <w:left w:val="single" w:sz="4" w:space="0" w:color="auto"/>
              <w:bottom w:val="single" w:sz="4" w:space="0" w:color="auto"/>
              <w:right w:val="single" w:sz="4" w:space="0" w:color="auto"/>
            </w:tcBorders>
            <w:vAlign w:val="center"/>
            <w:hideMark/>
          </w:tcPr>
          <w:p w14:paraId="153AF660" w14:textId="77777777" w:rsidR="00EA1783" w:rsidRPr="004E13E9" w:rsidRDefault="00EA1783" w:rsidP="00E62E84">
            <w:pPr>
              <w:rPr>
                <w:sz w:val="14"/>
                <w:szCs w:val="14"/>
                <w:lang w:bidi="fr-FR"/>
              </w:rPr>
            </w:pPr>
            <w:r w:rsidRPr="004E13E9">
              <w:rPr>
                <w:sz w:val="14"/>
                <w:szCs w:val="14"/>
                <w:lang w:bidi="fr-FR"/>
              </w:rPr>
              <w:t>2008</w:t>
            </w:r>
          </w:p>
        </w:tc>
        <w:tc>
          <w:tcPr>
            <w:tcW w:w="253" w:type="pct"/>
            <w:tcBorders>
              <w:top w:val="single" w:sz="4" w:space="0" w:color="auto"/>
              <w:left w:val="single" w:sz="4" w:space="0" w:color="auto"/>
              <w:bottom w:val="single" w:sz="4" w:space="0" w:color="auto"/>
              <w:right w:val="single" w:sz="4" w:space="0" w:color="auto"/>
            </w:tcBorders>
            <w:vAlign w:val="center"/>
            <w:hideMark/>
          </w:tcPr>
          <w:p w14:paraId="120A782D" w14:textId="77777777" w:rsidR="00EA1783" w:rsidRPr="004E13E9" w:rsidRDefault="00EA1783" w:rsidP="00E62E84">
            <w:pPr>
              <w:rPr>
                <w:sz w:val="14"/>
                <w:szCs w:val="14"/>
                <w:lang w:bidi="fr-FR"/>
              </w:rPr>
            </w:pPr>
            <w:r w:rsidRPr="004E13E9">
              <w:rPr>
                <w:sz w:val="14"/>
                <w:szCs w:val="14"/>
                <w:lang w:bidi="fr-FR"/>
              </w:rPr>
              <w:t>2018</w:t>
            </w:r>
          </w:p>
        </w:tc>
        <w:tc>
          <w:tcPr>
            <w:tcW w:w="248" w:type="pct"/>
            <w:tcBorders>
              <w:top w:val="single" w:sz="4" w:space="0" w:color="auto"/>
              <w:left w:val="single" w:sz="4" w:space="0" w:color="auto"/>
              <w:bottom w:val="single" w:sz="4" w:space="0" w:color="auto"/>
              <w:right w:val="single" w:sz="4" w:space="0" w:color="auto"/>
            </w:tcBorders>
            <w:vAlign w:val="center"/>
            <w:hideMark/>
          </w:tcPr>
          <w:p w14:paraId="36B10BC6" w14:textId="77777777" w:rsidR="00EA1783" w:rsidRPr="004E13E9" w:rsidRDefault="00EA1783" w:rsidP="00E62E84">
            <w:pPr>
              <w:rPr>
                <w:sz w:val="14"/>
                <w:szCs w:val="14"/>
                <w:lang w:bidi="fr-FR"/>
              </w:rPr>
            </w:pPr>
            <w:r w:rsidRPr="004E13E9">
              <w:rPr>
                <w:sz w:val="14"/>
                <w:szCs w:val="14"/>
                <w:lang w:bidi="fr-FR"/>
              </w:rPr>
              <w:t>2023</w:t>
            </w:r>
          </w:p>
        </w:tc>
        <w:tc>
          <w:tcPr>
            <w:tcW w:w="259" w:type="pct"/>
            <w:tcBorders>
              <w:top w:val="single" w:sz="4" w:space="0" w:color="auto"/>
              <w:left w:val="single" w:sz="4" w:space="0" w:color="auto"/>
              <w:bottom w:val="single" w:sz="4" w:space="0" w:color="auto"/>
              <w:right w:val="single" w:sz="4" w:space="0" w:color="auto"/>
            </w:tcBorders>
            <w:vAlign w:val="center"/>
            <w:hideMark/>
          </w:tcPr>
          <w:p w14:paraId="411D71F6" w14:textId="77777777" w:rsidR="00EA1783" w:rsidRPr="004E13E9" w:rsidRDefault="00EA1783" w:rsidP="00E62E84">
            <w:pPr>
              <w:rPr>
                <w:sz w:val="14"/>
                <w:szCs w:val="14"/>
                <w:lang w:bidi="fr-FR"/>
              </w:rPr>
            </w:pPr>
            <w:r w:rsidRPr="004E13E9">
              <w:rPr>
                <w:sz w:val="14"/>
                <w:szCs w:val="14"/>
                <w:lang w:bidi="fr-FR"/>
              </w:rPr>
              <w:t>2024</w:t>
            </w:r>
          </w:p>
        </w:tc>
        <w:tc>
          <w:tcPr>
            <w:tcW w:w="275" w:type="pct"/>
            <w:tcBorders>
              <w:top w:val="single" w:sz="4" w:space="0" w:color="auto"/>
              <w:left w:val="single" w:sz="4" w:space="0" w:color="auto"/>
              <w:bottom w:val="single" w:sz="4" w:space="0" w:color="auto"/>
              <w:right w:val="single" w:sz="4" w:space="0" w:color="auto"/>
            </w:tcBorders>
            <w:vAlign w:val="center"/>
            <w:hideMark/>
          </w:tcPr>
          <w:p w14:paraId="21A9CBB4" w14:textId="77777777" w:rsidR="00EA1783" w:rsidRPr="004E13E9" w:rsidRDefault="00EA1783" w:rsidP="00E62E84">
            <w:pPr>
              <w:rPr>
                <w:sz w:val="14"/>
                <w:szCs w:val="14"/>
                <w:lang w:bidi="fr-FR"/>
              </w:rPr>
            </w:pPr>
            <w:r w:rsidRPr="004E13E9">
              <w:rPr>
                <w:sz w:val="14"/>
                <w:szCs w:val="14"/>
                <w:lang w:bidi="fr-FR"/>
              </w:rPr>
              <w:t>2025</w:t>
            </w:r>
          </w:p>
        </w:tc>
        <w:tc>
          <w:tcPr>
            <w:tcW w:w="316" w:type="pct"/>
            <w:tcBorders>
              <w:top w:val="single" w:sz="4" w:space="0" w:color="auto"/>
              <w:left w:val="single" w:sz="4" w:space="0" w:color="auto"/>
              <w:bottom w:val="single" w:sz="4" w:space="0" w:color="auto"/>
              <w:right w:val="single" w:sz="4" w:space="0" w:color="auto"/>
            </w:tcBorders>
            <w:vAlign w:val="center"/>
            <w:hideMark/>
          </w:tcPr>
          <w:p w14:paraId="09F869FF" w14:textId="77777777" w:rsidR="00EA1783" w:rsidRPr="004E13E9" w:rsidRDefault="00EA1783" w:rsidP="00E62E84">
            <w:pPr>
              <w:rPr>
                <w:sz w:val="14"/>
                <w:szCs w:val="14"/>
                <w:lang w:bidi="fr-FR"/>
              </w:rPr>
            </w:pPr>
            <w:r w:rsidRPr="004E13E9">
              <w:rPr>
                <w:sz w:val="14"/>
                <w:szCs w:val="14"/>
                <w:lang w:bidi="fr-FR"/>
              </w:rPr>
              <w:t>2026</w:t>
            </w:r>
          </w:p>
        </w:tc>
      </w:tr>
      <w:tr w:rsidR="00EA1783" w:rsidRPr="004E13E9" w14:paraId="3FE0CF81"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noWrap/>
            <w:vAlign w:val="center"/>
            <w:hideMark/>
          </w:tcPr>
          <w:p w14:paraId="1D45CCEA" w14:textId="77777777" w:rsidR="00EA1783" w:rsidRPr="004E13E9" w:rsidRDefault="00EA1783" w:rsidP="00E62E84">
            <w:pPr>
              <w:rPr>
                <w:sz w:val="16"/>
                <w:szCs w:val="16"/>
                <w:lang w:val="fr-FR" w:bidi="fr-FR"/>
              </w:rPr>
            </w:pPr>
            <w:r w:rsidRPr="004E13E9">
              <w:rPr>
                <w:sz w:val="16"/>
                <w:szCs w:val="16"/>
                <w:lang w:val="fr-FR" w:bidi="fr-FR"/>
              </w:rPr>
              <w:t>Senneur de plus de 40 m</w:t>
            </w:r>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19D2F1DF" w14:textId="77777777" w:rsidR="00EA1783" w:rsidRPr="004E13E9" w:rsidRDefault="00EA1783" w:rsidP="00E62E84">
            <w:pPr>
              <w:rPr>
                <w:sz w:val="16"/>
                <w:szCs w:val="16"/>
                <w:lang w:bidi="fr-FR"/>
              </w:rPr>
            </w:pPr>
            <w:r w:rsidRPr="004E13E9">
              <w:rPr>
                <w:sz w:val="16"/>
                <w:szCs w:val="16"/>
                <w:lang w:bidi="fr-FR"/>
              </w:rPr>
              <w:t>70,66</w:t>
            </w:r>
          </w:p>
        </w:tc>
        <w:tc>
          <w:tcPr>
            <w:tcW w:w="201" w:type="pct"/>
            <w:tcBorders>
              <w:top w:val="single" w:sz="4" w:space="0" w:color="auto"/>
              <w:left w:val="single" w:sz="4" w:space="0" w:color="auto"/>
              <w:bottom w:val="single" w:sz="4" w:space="0" w:color="auto"/>
              <w:right w:val="single" w:sz="4" w:space="0" w:color="auto"/>
            </w:tcBorders>
            <w:hideMark/>
          </w:tcPr>
          <w:p w14:paraId="4C95A8B7" w14:textId="77777777" w:rsidR="00EA1783" w:rsidRPr="004E13E9" w:rsidRDefault="00EA1783" w:rsidP="00E62E84">
            <w:pPr>
              <w:rPr>
                <w:sz w:val="16"/>
                <w:szCs w:val="16"/>
                <w:lang w:bidi="fr-FR"/>
              </w:rPr>
            </w:pPr>
            <w:r w:rsidRPr="004E13E9">
              <w:rPr>
                <w:sz w:val="16"/>
                <w:szCs w:val="16"/>
                <w:lang w:bidi="fr-FR"/>
              </w:rPr>
              <w:t>1</w:t>
            </w:r>
          </w:p>
        </w:tc>
        <w:tc>
          <w:tcPr>
            <w:tcW w:w="201" w:type="pct"/>
            <w:tcBorders>
              <w:top w:val="single" w:sz="4" w:space="0" w:color="auto"/>
              <w:left w:val="single" w:sz="4" w:space="0" w:color="auto"/>
              <w:bottom w:val="single" w:sz="4" w:space="0" w:color="auto"/>
              <w:right w:val="single" w:sz="4" w:space="0" w:color="auto"/>
            </w:tcBorders>
            <w:noWrap/>
            <w:vAlign w:val="center"/>
            <w:hideMark/>
          </w:tcPr>
          <w:p w14:paraId="247650DE" w14:textId="77777777" w:rsidR="00EA1783" w:rsidRPr="004E13E9" w:rsidRDefault="00EA1783" w:rsidP="00E62E84">
            <w:pPr>
              <w:rPr>
                <w:sz w:val="16"/>
                <w:szCs w:val="16"/>
                <w:lang w:bidi="fr-FR"/>
              </w:rPr>
            </w:pPr>
            <w:r w:rsidRPr="004E13E9">
              <w:rPr>
                <w:sz w:val="16"/>
                <w:szCs w:val="16"/>
                <w:lang w:bidi="fr-FR"/>
              </w:rPr>
              <w:t>1</w:t>
            </w:r>
          </w:p>
        </w:tc>
        <w:tc>
          <w:tcPr>
            <w:tcW w:w="203" w:type="pct"/>
            <w:tcBorders>
              <w:top w:val="single" w:sz="4" w:space="0" w:color="auto"/>
              <w:left w:val="single" w:sz="4" w:space="0" w:color="auto"/>
              <w:bottom w:val="single" w:sz="4" w:space="0" w:color="auto"/>
              <w:right w:val="single" w:sz="4" w:space="0" w:color="auto"/>
            </w:tcBorders>
            <w:vAlign w:val="center"/>
            <w:hideMark/>
          </w:tcPr>
          <w:p w14:paraId="6A092D10"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7D12A589"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4F657A18"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hideMark/>
          </w:tcPr>
          <w:p w14:paraId="0309D858" w14:textId="77777777" w:rsidR="00EA1783" w:rsidRPr="004E13E9" w:rsidRDefault="00EA1783" w:rsidP="00E62E84">
            <w:pPr>
              <w:rPr>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vAlign w:val="center"/>
            <w:hideMark/>
          </w:tcPr>
          <w:p w14:paraId="2BBD517B" w14:textId="77777777" w:rsidR="00EA1783" w:rsidRPr="004E13E9" w:rsidRDefault="00EA1783" w:rsidP="00E62E84">
            <w:pPr>
              <w:rPr>
                <w:sz w:val="16"/>
                <w:szCs w:val="16"/>
                <w:lang w:bidi="fr-FR"/>
              </w:rPr>
            </w:pPr>
            <w:r w:rsidRPr="004E13E9">
              <w:rPr>
                <w:sz w:val="16"/>
                <w:szCs w:val="16"/>
                <w:lang w:bidi="fr-FR"/>
              </w:rPr>
              <w:t>0</w:t>
            </w: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8EBA74B" w14:textId="77777777" w:rsidR="00EA1783" w:rsidRPr="004E13E9" w:rsidRDefault="00EA1783" w:rsidP="00E62E84">
            <w:pPr>
              <w:rPr>
                <w:sz w:val="16"/>
                <w:szCs w:val="16"/>
                <w:lang w:bidi="fr-FR"/>
              </w:rPr>
            </w:pPr>
            <w:r w:rsidRPr="004E13E9">
              <w:rPr>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hideMark/>
          </w:tcPr>
          <w:p w14:paraId="237D96EE" w14:textId="77777777" w:rsidR="00EA1783" w:rsidRPr="004E13E9" w:rsidRDefault="00EA1783" w:rsidP="00E62E84">
            <w:pPr>
              <w:rPr>
                <w:sz w:val="16"/>
                <w:szCs w:val="16"/>
                <w:lang w:bidi="fr-FR"/>
              </w:rPr>
            </w:pPr>
            <w:r w:rsidRPr="004E13E9">
              <w:rPr>
                <w:sz w:val="16"/>
                <w:szCs w:val="16"/>
                <w:lang w:bidi="fr-FR"/>
              </w:rPr>
              <w:t>71</w:t>
            </w:r>
          </w:p>
        </w:tc>
        <w:tc>
          <w:tcPr>
            <w:tcW w:w="200" w:type="pct"/>
            <w:tcBorders>
              <w:top w:val="single" w:sz="4" w:space="0" w:color="auto"/>
              <w:left w:val="single" w:sz="4" w:space="0" w:color="auto"/>
              <w:bottom w:val="single" w:sz="4" w:space="0" w:color="auto"/>
              <w:right w:val="single" w:sz="4" w:space="0" w:color="auto"/>
            </w:tcBorders>
            <w:vAlign w:val="center"/>
            <w:hideMark/>
          </w:tcPr>
          <w:p w14:paraId="2413E228" w14:textId="77777777" w:rsidR="00EA1783" w:rsidRPr="004E13E9" w:rsidRDefault="00EA1783" w:rsidP="00E62E84">
            <w:pPr>
              <w:rPr>
                <w:sz w:val="16"/>
                <w:szCs w:val="16"/>
                <w:lang w:bidi="fr-FR"/>
              </w:rPr>
            </w:pPr>
            <w:r w:rsidRPr="004E13E9">
              <w:rPr>
                <w:sz w:val="16"/>
                <w:szCs w:val="16"/>
                <w:lang w:bidi="fr-FR"/>
              </w:rPr>
              <w:t>71</w:t>
            </w:r>
          </w:p>
        </w:tc>
        <w:tc>
          <w:tcPr>
            <w:tcW w:w="253" w:type="pct"/>
            <w:tcBorders>
              <w:top w:val="single" w:sz="4" w:space="0" w:color="auto"/>
              <w:left w:val="single" w:sz="4" w:space="0" w:color="auto"/>
              <w:bottom w:val="single" w:sz="4" w:space="0" w:color="auto"/>
              <w:right w:val="single" w:sz="4" w:space="0" w:color="auto"/>
            </w:tcBorders>
            <w:vAlign w:val="center"/>
            <w:hideMark/>
          </w:tcPr>
          <w:p w14:paraId="29D7ED21" w14:textId="77777777" w:rsidR="00EA1783" w:rsidRPr="004E13E9" w:rsidRDefault="00EA1783" w:rsidP="00E62E84">
            <w:pPr>
              <w:rPr>
                <w:sz w:val="16"/>
                <w:szCs w:val="16"/>
                <w:lang w:bidi="fr-FR"/>
              </w:rPr>
            </w:pPr>
            <w:r w:rsidRPr="004E13E9">
              <w:rPr>
                <w:sz w:val="16"/>
                <w:szCs w:val="16"/>
                <w:lang w:bidi="fr-FR"/>
              </w:rPr>
              <w:t>0</w:t>
            </w:r>
          </w:p>
        </w:tc>
        <w:tc>
          <w:tcPr>
            <w:tcW w:w="248" w:type="pct"/>
            <w:tcBorders>
              <w:top w:val="single" w:sz="4" w:space="0" w:color="auto"/>
              <w:left w:val="single" w:sz="4" w:space="0" w:color="auto"/>
              <w:bottom w:val="single" w:sz="4" w:space="0" w:color="auto"/>
              <w:right w:val="single" w:sz="4" w:space="0" w:color="auto"/>
            </w:tcBorders>
            <w:hideMark/>
          </w:tcPr>
          <w:p w14:paraId="5BB0C13C" w14:textId="77777777" w:rsidR="00EA1783" w:rsidRPr="004E13E9" w:rsidRDefault="00EA1783" w:rsidP="00E62E84">
            <w:pPr>
              <w:rPr>
                <w:sz w:val="16"/>
                <w:szCs w:val="16"/>
                <w:lang w:bidi="fr-FR"/>
              </w:rPr>
            </w:pPr>
            <w:r w:rsidRPr="004E13E9">
              <w:rPr>
                <w:sz w:val="16"/>
                <w:szCs w:val="16"/>
                <w:lang w:bidi="fr-FR"/>
              </w:rPr>
              <w:t>0</w:t>
            </w:r>
          </w:p>
        </w:tc>
        <w:tc>
          <w:tcPr>
            <w:tcW w:w="259" w:type="pct"/>
            <w:tcBorders>
              <w:top w:val="single" w:sz="4" w:space="0" w:color="auto"/>
              <w:left w:val="single" w:sz="4" w:space="0" w:color="auto"/>
              <w:bottom w:val="single" w:sz="4" w:space="0" w:color="auto"/>
              <w:right w:val="single" w:sz="4" w:space="0" w:color="auto"/>
            </w:tcBorders>
            <w:vAlign w:val="center"/>
            <w:hideMark/>
          </w:tcPr>
          <w:p w14:paraId="26F2081E" w14:textId="77777777" w:rsidR="00EA1783" w:rsidRPr="004E13E9" w:rsidRDefault="00EA1783" w:rsidP="00E62E84">
            <w:pPr>
              <w:rPr>
                <w:sz w:val="16"/>
                <w:szCs w:val="16"/>
                <w:lang w:bidi="fr-FR"/>
              </w:rPr>
            </w:pPr>
            <w:r w:rsidRPr="004E13E9">
              <w:rPr>
                <w:sz w:val="16"/>
                <w:szCs w:val="16"/>
                <w:lang w:bidi="fr-FR"/>
              </w:rPr>
              <w:t>0</w:t>
            </w:r>
          </w:p>
        </w:tc>
        <w:tc>
          <w:tcPr>
            <w:tcW w:w="275" w:type="pct"/>
            <w:tcBorders>
              <w:top w:val="single" w:sz="4" w:space="0" w:color="auto"/>
              <w:left w:val="single" w:sz="4" w:space="0" w:color="auto"/>
              <w:bottom w:val="single" w:sz="4" w:space="0" w:color="auto"/>
              <w:right w:val="single" w:sz="4" w:space="0" w:color="auto"/>
            </w:tcBorders>
            <w:vAlign w:val="center"/>
            <w:hideMark/>
          </w:tcPr>
          <w:p w14:paraId="2E2E4143" w14:textId="77777777" w:rsidR="00EA1783" w:rsidRPr="004E13E9" w:rsidRDefault="00EA1783" w:rsidP="00E62E84">
            <w:pPr>
              <w:rPr>
                <w:sz w:val="16"/>
                <w:szCs w:val="16"/>
                <w:lang w:bidi="fr-FR"/>
              </w:rPr>
            </w:pPr>
            <w:r w:rsidRPr="004E13E9">
              <w:rPr>
                <w:sz w:val="16"/>
                <w:szCs w:val="16"/>
                <w:lang w:bidi="fr-FR"/>
              </w:rPr>
              <w:t>0</w:t>
            </w:r>
          </w:p>
        </w:tc>
        <w:tc>
          <w:tcPr>
            <w:tcW w:w="316" w:type="pct"/>
            <w:tcBorders>
              <w:top w:val="single" w:sz="4" w:space="0" w:color="auto"/>
              <w:left w:val="single" w:sz="4" w:space="0" w:color="auto"/>
              <w:bottom w:val="single" w:sz="4" w:space="0" w:color="auto"/>
              <w:right w:val="single" w:sz="4" w:space="0" w:color="auto"/>
            </w:tcBorders>
            <w:vAlign w:val="center"/>
            <w:hideMark/>
          </w:tcPr>
          <w:p w14:paraId="3F8A836D" w14:textId="77777777" w:rsidR="00EA1783" w:rsidRPr="004E13E9" w:rsidRDefault="00EA1783" w:rsidP="00E62E84">
            <w:pPr>
              <w:rPr>
                <w:sz w:val="16"/>
                <w:szCs w:val="16"/>
                <w:lang w:bidi="fr-FR"/>
              </w:rPr>
            </w:pPr>
            <w:r w:rsidRPr="004E13E9">
              <w:rPr>
                <w:sz w:val="16"/>
                <w:szCs w:val="16"/>
                <w:lang w:bidi="fr-FR"/>
              </w:rPr>
              <w:t>0</w:t>
            </w:r>
          </w:p>
        </w:tc>
      </w:tr>
      <w:tr w:rsidR="00EA1783" w:rsidRPr="004E13E9" w14:paraId="091EF2B2"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noWrap/>
            <w:vAlign w:val="center"/>
            <w:hideMark/>
          </w:tcPr>
          <w:p w14:paraId="2E8558B6" w14:textId="77777777" w:rsidR="00EA1783" w:rsidRPr="004E13E9" w:rsidRDefault="00EA1783" w:rsidP="00E62E84">
            <w:pPr>
              <w:rPr>
                <w:sz w:val="16"/>
                <w:szCs w:val="16"/>
                <w:lang w:bidi="fr-FR"/>
              </w:rPr>
            </w:pPr>
            <w:proofErr w:type="spellStart"/>
            <w:r w:rsidRPr="004E13E9">
              <w:rPr>
                <w:sz w:val="16"/>
                <w:szCs w:val="16"/>
                <w:lang w:bidi="fr-FR"/>
              </w:rPr>
              <w:t>Senneur</w:t>
            </w:r>
            <w:proofErr w:type="spellEnd"/>
            <w:r w:rsidRPr="004E13E9">
              <w:rPr>
                <w:sz w:val="16"/>
                <w:szCs w:val="16"/>
                <w:lang w:bidi="fr-FR"/>
              </w:rPr>
              <w:t xml:space="preserve"> entre 24 et 40 m</w:t>
            </w:r>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4CA91795" w14:textId="77777777" w:rsidR="00EA1783" w:rsidRPr="004E13E9" w:rsidRDefault="00EA1783" w:rsidP="00E62E84">
            <w:pPr>
              <w:rPr>
                <w:sz w:val="16"/>
                <w:szCs w:val="16"/>
                <w:lang w:bidi="fr-FR"/>
              </w:rPr>
            </w:pPr>
            <w:r w:rsidRPr="004E13E9">
              <w:rPr>
                <w:sz w:val="16"/>
                <w:szCs w:val="16"/>
                <w:lang w:bidi="fr-FR"/>
              </w:rPr>
              <w:t>49,78</w:t>
            </w:r>
          </w:p>
        </w:tc>
        <w:tc>
          <w:tcPr>
            <w:tcW w:w="201" w:type="pct"/>
            <w:tcBorders>
              <w:top w:val="single" w:sz="4" w:space="0" w:color="auto"/>
              <w:left w:val="single" w:sz="4" w:space="0" w:color="auto"/>
              <w:bottom w:val="single" w:sz="4" w:space="0" w:color="auto"/>
              <w:right w:val="single" w:sz="4" w:space="0" w:color="auto"/>
            </w:tcBorders>
            <w:hideMark/>
          </w:tcPr>
          <w:p w14:paraId="0DFA8453" w14:textId="77777777" w:rsidR="00EA1783" w:rsidRPr="004E13E9" w:rsidRDefault="00EA1783" w:rsidP="00E62E84">
            <w:pPr>
              <w:rPr>
                <w:sz w:val="16"/>
                <w:szCs w:val="16"/>
                <w:lang w:bidi="fr-FR"/>
              </w:rPr>
            </w:pPr>
            <w:r w:rsidRPr="004E13E9">
              <w:rPr>
                <w:sz w:val="16"/>
                <w:szCs w:val="16"/>
                <w:lang w:bidi="fr-FR"/>
              </w:rPr>
              <w:t>31</w:t>
            </w:r>
          </w:p>
        </w:tc>
        <w:tc>
          <w:tcPr>
            <w:tcW w:w="201" w:type="pct"/>
            <w:tcBorders>
              <w:top w:val="single" w:sz="4" w:space="0" w:color="auto"/>
              <w:left w:val="single" w:sz="4" w:space="0" w:color="auto"/>
              <w:bottom w:val="single" w:sz="4" w:space="0" w:color="auto"/>
              <w:right w:val="single" w:sz="4" w:space="0" w:color="auto"/>
            </w:tcBorders>
            <w:noWrap/>
            <w:hideMark/>
          </w:tcPr>
          <w:p w14:paraId="5EB32BC8" w14:textId="77777777" w:rsidR="00EA1783" w:rsidRPr="004E13E9" w:rsidRDefault="00EA1783" w:rsidP="00E62E84">
            <w:pPr>
              <w:rPr>
                <w:sz w:val="16"/>
                <w:szCs w:val="16"/>
                <w:lang w:bidi="fr-FR"/>
              </w:rPr>
            </w:pPr>
            <w:r w:rsidRPr="004E13E9">
              <w:rPr>
                <w:sz w:val="16"/>
                <w:szCs w:val="16"/>
                <w:lang w:bidi="fr-FR"/>
              </w:rPr>
              <w:t>31</w:t>
            </w:r>
          </w:p>
        </w:tc>
        <w:tc>
          <w:tcPr>
            <w:tcW w:w="203" w:type="pct"/>
            <w:tcBorders>
              <w:top w:val="single" w:sz="4" w:space="0" w:color="auto"/>
              <w:left w:val="single" w:sz="4" w:space="0" w:color="auto"/>
              <w:bottom w:val="single" w:sz="4" w:space="0" w:color="auto"/>
              <w:right w:val="single" w:sz="4" w:space="0" w:color="auto"/>
            </w:tcBorders>
            <w:hideMark/>
          </w:tcPr>
          <w:p w14:paraId="1AA38A60" w14:textId="77777777" w:rsidR="00EA1783" w:rsidRPr="004E13E9" w:rsidRDefault="00EA1783" w:rsidP="00E62E84">
            <w:pPr>
              <w:rPr>
                <w:sz w:val="16"/>
                <w:szCs w:val="16"/>
                <w:lang w:bidi="fr-FR"/>
              </w:rPr>
            </w:pPr>
            <w:r w:rsidRPr="004E13E9">
              <w:rPr>
                <w:sz w:val="16"/>
                <w:szCs w:val="16"/>
                <w:lang w:bidi="fr-FR"/>
              </w:rPr>
              <w:t>15</w:t>
            </w:r>
          </w:p>
        </w:tc>
        <w:tc>
          <w:tcPr>
            <w:tcW w:w="201" w:type="pct"/>
            <w:tcBorders>
              <w:top w:val="single" w:sz="4" w:space="0" w:color="auto"/>
              <w:left w:val="single" w:sz="4" w:space="0" w:color="auto"/>
              <w:bottom w:val="single" w:sz="4" w:space="0" w:color="auto"/>
              <w:right w:val="single" w:sz="4" w:space="0" w:color="auto"/>
            </w:tcBorders>
            <w:hideMark/>
          </w:tcPr>
          <w:p w14:paraId="0F003BE0" w14:textId="77777777" w:rsidR="00EA1783" w:rsidRPr="004E13E9" w:rsidRDefault="00EA1783" w:rsidP="00E62E84">
            <w:pPr>
              <w:rPr>
                <w:sz w:val="16"/>
                <w:szCs w:val="16"/>
                <w:lang w:bidi="fr-FR"/>
              </w:rPr>
            </w:pPr>
            <w:r w:rsidRPr="004E13E9">
              <w:rPr>
                <w:sz w:val="16"/>
                <w:szCs w:val="16"/>
                <w:lang w:bidi="fr-FR"/>
              </w:rPr>
              <w:t>15</w:t>
            </w:r>
          </w:p>
        </w:tc>
        <w:tc>
          <w:tcPr>
            <w:tcW w:w="201" w:type="pct"/>
            <w:tcBorders>
              <w:top w:val="single" w:sz="4" w:space="0" w:color="auto"/>
              <w:left w:val="single" w:sz="4" w:space="0" w:color="auto"/>
              <w:bottom w:val="single" w:sz="4" w:space="0" w:color="auto"/>
              <w:right w:val="single" w:sz="4" w:space="0" w:color="auto"/>
            </w:tcBorders>
            <w:hideMark/>
          </w:tcPr>
          <w:p w14:paraId="1705C04B" w14:textId="77777777" w:rsidR="00EA1783" w:rsidRPr="004E13E9" w:rsidRDefault="00EA1783" w:rsidP="00E62E84">
            <w:pPr>
              <w:rPr>
                <w:sz w:val="16"/>
                <w:szCs w:val="16"/>
                <w:lang w:bidi="fr-FR"/>
              </w:rPr>
            </w:pPr>
            <w:r w:rsidRPr="004E13E9">
              <w:rPr>
                <w:sz w:val="16"/>
                <w:szCs w:val="16"/>
                <w:lang w:bidi="fr-FR"/>
              </w:rPr>
              <w:t>15</w:t>
            </w:r>
          </w:p>
        </w:tc>
        <w:tc>
          <w:tcPr>
            <w:tcW w:w="201" w:type="pct"/>
            <w:tcBorders>
              <w:top w:val="single" w:sz="4" w:space="0" w:color="auto"/>
              <w:left w:val="single" w:sz="4" w:space="0" w:color="auto"/>
              <w:bottom w:val="single" w:sz="4" w:space="0" w:color="auto"/>
              <w:right w:val="single" w:sz="4" w:space="0" w:color="auto"/>
            </w:tcBorders>
            <w:hideMark/>
          </w:tcPr>
          <w:p w14:paraId="52AEAE66" w14:textId="77777777" w:rsidR="00EA1783" w:rsidRPr="004E13E9" w:rsidRDefault="00EA1783" w:rsidP="00E62E84">
            <w:pPr>
              <w:rPr>
                <w:sz w:val="16"/>
                <w:szCs w:val="16"/>
                <w:lang w:bidi="fr-FR"/>
              </w:rPr>
            </w:pPr>
            <w:r w:rsidRPr="004E13E9">
              <w:rPr>
                <w:sz w:val="16"/>
                <w:szCs w:val="16"/>
                <w:lang w:bidi="fr-FR"/>
              </w:rPr>
              <w:t>15</w:t>
            </w:r>
          </w:p>
        </w:tc>
        <w:tc>
          <w:tcPr>
            <w:tcW w:w="203" w:type="pct"/>
            <w:tcBorders>
              <w:top w:val="single" w:sz="4" w:space="0" w:color="auto"/>
              <w:left w:val="single" w:sz="4" w:space="0" w:color="auto"/>
              <w:bottom w:val="single" w:sz="4" w:space="0" w:color="auto"/>
              <w:right w:val="single" w:sz="4" w:space="0" w:color="auto"/>
            </w:tcBorders>
            <w:hideMark/>
          </w:tcPr>
          <w:p w14:paraId="12655EE4" w14:textId="77777777" w:rsidR="00EA1783" w:rsidRPr="004E13E9" w:rsidRDefault="00EA1783" w:rsidP="00E62E84">
            <w:pPr>
              <w:rPr>
                <w:sz w:val="16"/>
                <w:szCs w:val="16"/>
                <w:lang w:bidi="fr-FR"/>
              </w:rPr>
            </w:pPr>
            <w:r w:rsidRPr="004E13E9">
              <w:rPr>
                <w:sz w:val="16"/>
                <w:szCs w:val="16"/>
                <w:lang w:bidi="fr-FR"/>
              </w:rPr>
              <w:t>15</w:t>
            </w: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5F61084" w14:textId="77777777" w:rsidR="00EA1783" w:rsidRPr="004E13E9" w:rsidRDefault="00EA1783" w:rsidP="00E62E84">
            <w:pPr>
              <w:rPr>
                <w:sz w:val="16"/>
                <w:szCs w:val="16"/>
                <w:lang w:bidi="fr-FR"/>
              </w:rPr>
            </w:pPr>
            <w:r w:rsidRPr="004E13E9">
              <w:rPr>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hideMark/>
          </w:tcPr>
          <w:p w14:paraId="5BE480ED" w14:textId="77777777" w:rsidR="00EA1783" w:rsidRPr="004E13E9" w:rsidRDefault="00EA1783" w:rsidP="00E62E84">
            <w:pPr>
              <w:rPr>
                <w:sz w:val="16"/>
                <w:szCs w:val="16"/>
                <w:lang w:bidi="fr-FR"/>
              </w:rPr>
            </w:pPr>
            <w:r w:rsidRPr="004E13E9">
              <w:rPr>
                <w:sz w:val="16"/>
                <w:szCs w:val="16"/>
                <w:lang w:bidi="fr-FR"/>
              </w:rPr>
              <w:t>1543</w:t>
            </w:r>
          </w:p>
        </w:tc>
        <w:tc>
          <w:tcPr>
            <w:tcW w:w="200" w:type="pct"/>
            <w:tcBorders>
              <w:top w:val="single" w:sz="4" w:space="0" w:color="auto"/>
              <w:left w:val="single" w:sz="4" w:space="0" w:color="auto"/>
              <w:bottom w:val="single" w:sz="4" w:space="0" w:color="auto"/>
              <w:right w:val="single" w:sz="4" w:space="0" w:color="auto"/>
            </w:tcBorders>
            <w:vAlign w:val="center"/>
            <w:hideMark/>
          </w:tcPr>
          <w:p w14:paraId="6832F04B" w14:textId="77777777" w:rsidR="00EA1783" w:rsidRPr="004E13E9" w:rsidRDefault="00EA1783" w:rsidP="00E62E84">
            <w:pPr>
              <w:rPr>
                <w:sz w:val="16"/>
                <w:szCs w:val="16"/>
                <w:lang w:bidi="fr-FR"/>
              </w:rPr>
            </w:pPr>
            <w:r w:rsidRPr="004E13E9">
              <w:rPr>
                <w:sz w:val="16"/>
                <w:szCs w:val="16"/>
                <w:lang w:bidi="fr-FR"/>
              </w:rPr>
              <w:t>1543</w:t>
            </w:r>
          </w:p>
        </w:tc>
        <w:tc>
          <w:tcPr>
            <w:tcW w:w="253" w:type="pct"/>
            <w:tcBorders>
              <w:top w:val="single" w:sz="4" w:space="0" w:color="auto"/>
              <w:left w:val="single" w:sz="4" w:space="0" w:color="auto"/>
              <w:bottom w:val="single" w:sz="4" w:space="0" w:color="auto"/>
              <w:right w:val="single" w:sz="4" w:space="0" w:color="auto"/>
            </w:tcBorders>
            <w:vAlign w:val="center"/>
            <w:hideMark/>
          </w:tcPr>
          <w:p w14:paraId="0539522E" w14:textId="77777777" w:rsidR="00EA1783" w:rsidRPr="004E13E9" w:rsidRDefault="00EA1783" w:rsidP="00E62E84">
            <w:pPr>
              <w:rPr>
                <w:sz w:val="16"/>
                <w:szCs w:val="16"/>
                <w:lang w:bidi="fr-FR"/>
              </w:rPr>
            </w:pPr>
            <w:r w:rsidRPr="004E13E9">
              <w:rPr>
                <w:sz w:val="16"/>
                <w:szCs w:val="16"/>
                <w:lang w:bidi="fr-FR"/>
              </w:rPr>
              <w:t>747</w:t>
            </w:r>
          </w:p>
        </w:tc>
        <w:tc>
          <w:tcPr>
            <w:tcW w:w="248" w:type="pct"/>
            <w:tcBorders>
              <w:top w:val="single" w:sz="4" w:space="0" w:color="auto"/>
              <w:left w:val="single" w:sz="4" w:space="0" w:color="auto"/>
              <w:bottom w:val="single" w:sz="4" w:space="0" w:color="auto"/>
              <w:right w:val="single" w:sz="4" w:space="0" w:color="auto"/>
            </w:tcBorders>
            <w:hideMark/>
          </w:tcPr>
          <w:p w14:paraId="03125587" w14:textId="77777777" w:rsidR="00EA1783" w:rsidRPr="004E13E9" w:rsidRDefault="00EA1783" w:rsidP="00E62E84">
            <w:pPr>
              <w:rPr>
                <w:sz w:val="16"/>
                <w:szCs w:val="16"/>
                <w:lang w:bidi="fr-FR"/>
              </w:rPr>
            </w:pPr>
            <w:r w:rsidRPr="004E13E9">
              <w:rPr>
                <w:sz w:val="16"/>
                <w:szCs w:val="16"/>
                <w:lang w:bidi="fr-FR"/>
              </w:rPr>
              <w:t>747</w:t>
            </w:r>
          </w:p>
        </w:tc>
        <w:tc>
          <w:tcPr>
            <w:tcW w:w="259" w:type="pct"/>
            <w:tcBorders>
              <w:top w:val="single" w:sz="4" w:space="0" w:color="auto"/>
              <w:left w:val="single" w:sz="4" w:space="0" w:color="auto"/>
              <w:bottom w:val="single" w:sz="4" w:space="0" w:color="auto"/>
              <w:right w:val="single" w:sz="4" w:space="0" w:color="auto"/>
            </w:tcBorders>
            <w:vAlign w:val="center"/>
            <w:hideMark/>
          </w:tcPr>
          <w:p w14:paraId="7167D2F6" w14:textId="77777777" w:rsidR="00EA1783" w:rsidRPr="004E13E9" w:rsidRDefault="00EA1783" w:rsidP="00E62E84">
            <w:pPr>
              <w:rPr>
                <w:sz w:val="16"/>
                <w:szCs w:val="16"/>
                <w:lang w:bidi="fr-FR"/>
              </w:rPr>
            </w:pPr>
            <w:r w:rsidRPr="004E13E9">
              <w:rPr>
                <w:sz w:val="16"/>
                <w:szCs w:val="16"/>
                <w:lang w:bidi="fr-FR"/>
              </w:rPr>
              <w:t>747</w:t>
            </w:r>
          </w:p>
        </w:tc>
        <w:tc>
          <w:tcPr>
            <w:tcW w:w="275" w:type="pct"/>
            <w:tcBorders>
              <w:top w:val="single" w:sz="4" w:space="0" w:color="auto"/>
              <w:left w:val="single" w:sz="4" w:space="0" w:color="auto"/>
              <w:bottom w:val="single" w:sz="4" w:space="0" w:color="auto"/>
              <w:right w:val="single" w:sz="4" w:space="0" w:color="auto"/>
            </w:tcBorders>
            <w:vAlign w:val="center"/>
            <w:hideMark/>
          </w:tcPr>
          <w:p w14:paraId="37152D0B" w14:textId="77777777" w:rsidR="00EA1783" w:rsidRPr="004E13E9" w:rsidRDefault="00EA1783" w:rsidP="00E62E84">
            <w:pPr>
              <w:rPr>
                <w:sz w:val="16"/>
                <w:szCs w:val="16"/>
                <w:lang w:bidi="fr-FR"/>
              </w:rPr>
            </w:pPr>
            <w:r w:rsidRPr="004E13E9">
              <w:rPr>
                <w:sz w:val="16"/>
                <w:szCs w:val="16"/>
                <w:lang w:bidi="fr-FR"/>
              </w:rPr>
              <w:t>747</w:t>
            </w:r>
          </w:p>
        </w:tc>
        <w:tc>
          <w:tcPr>
            <w:tcW w:w="316" w:type="pct"/>
            <w:tcBorders>
              <w:top w:val="single" w:sz="4" w:space="0" w:color="auto"/>
              <w:left w:val="single" w:sz="4" w:space="0" w:color="auto"/>
              <w:bottom w:val="single" w:sz="4" w:space="0" w:color="auto"/>
              <w:right w:val="single" w:sz="4" w:space="0" w:color="auto"/>
            </w:tcBorders>
            <w:vAlign w:val="center"/>
            <w:hideMark/>
          </w:tcPr>
          <w:p w14:paraId="426DCB59" w14:textId="77777777" w:rsidR="00EA1783" w:rsidRPr="004E13E9" w:rsidRDefault="00EA1783" w:rsidP="00E62E84">
            <w:pPr>
              <w:rPr>
                <w:sz w:val="16"/>
                <w:szCs w:val="16"/>
                <w:lang w:bidi="fr-FR"/>
              </w:rPr>
            </w:pPr>
            <w:r w:rsidRPr="004E13E9">
              <w:rPr>
                <w:sz w:val="16"/>
                <w:szCs w:val="16"/>
                <w:lang w:bidi="fr-FR"/>
              </w:rPr>
              <w:t>747</w:t>
            </w:r>
          </w:p>
        </w:tc>
      </w:tr>
      <w:tr w:rsidR="00EA1783" w:rsidRPr="004E13E9" w14:paraId="442B5BE9"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noWrap/>
            <w:vAlign w:val="center"/>
            <w:hideMark/>
          </w:tcPr>
          <w:p w14:paraId="03515695" w14:textId="77777777" w:rsidR="00EA1783" w:rsidRPr="004E13E9" w:rsidRDefault="00EA1783" w:rsidP="00E62E84">
            <w:pPr>
              <w:rPr>
                <w:sz w:val="16"/>
                <w:szCs w:val="16"/>
                <w:lang w:val="fr-FR" w:bidi="fr-FR"/>
              </w:rPr>
            </w:pPr>
            <w:r w:rsidRPr="004E13E9">
              <w:rPr>
                <w:sz w:val="16"/>
                <w:szCs w:val="16"/>
                <w:lang w:val="fr-FR" w:bidi="fr-FR"/>
              </w:rPr>
              <w:t>Senneur de moins de 24m</w:t>
            </w:r>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62734348" w14:textId="77777777" w:rsidR="00EA1783" w:rsidRPr="004E13E9" w:rsidRDefault="00EA1783" w:rsidP="00E62E84">
            <w:pPr>
              <w:rPr>
                <w:sz w:val="16"/>
                <w:szCs w:val="16"/>
                <w:lang w:bidi="fr-FR"/>
              </w:rPr>
            </w:pPr>
            <w:r w:rsidRPr="004E13E9">
              <w:rPr>
                <w:sz w:val="16"/>
                <w:szCs w:val="16"/>
                <w:lang w:bidi="fr-FR"/>
              </w:rPr>
              <w:t>33,68</w:t>
            </w:r>
          </w:p>
        </w:tc>
        <w:tc>
          <w:tcPr>
            <w:tcW w:w="201" w:type="pct"/>
            <w:tcBorders>
              <w:top w:val="single" w:sz="4" w:space="0" w:color="auto"/>
              <w:left w:val="single" w:sz="4" w:space="0" w:color="auto"/>
              <w:bottom w:val="single" w:sz="4" w:space="0" w:color="auto"/>
              <w:right w:val="single" w:sz="4" w:space="0" w:color="auto"/>
            </w:tcBorders>
            <w:hideMark/>
          </w:tcPr>
          <w:p w14:paraId="7AE900FD" w14:textId="77777777" w:rsidR="00EA1783" w:rsidRPr="004E13E9" w:rsidRDefault="00EA1783" w:rsidP="00E62E84">
            <w:pPr>
              <w:rPr>
                <w:sz w:val="16"/>
                <w:szCs w:val="16"/>
                <w:lang w:bidi="fr-FR"/>
              </w:rPr>
            </w:pPr>
            <w:r w:rsidRPr="004E13E9">
              <w:rPr>
                <w:sz w:val="16"/>
                <w:szCs w:val="16"/>
                <w:lang w:bidi="fr-FR"/>
              </w:rPr>
              <w:t>1</w:t>
            </w:r>
          </w:p>
        </w:tc>
        <w:tc>
          <w:tcPr>
            <w:tcW w:w="201" w:type="pct"/>
            <w:tcBorders>
              <w:top w:val="single" w:sz="4" w:space="0" w:color="auto"/>
              <w:left w:val="single" w:sz="4" w:space="0" w:color="auto"/>
              <w:bottom w:val="single" w:sz="4" w:space="0" w:color="auto"/>
              <w:right w:val="single" w:sz="4" w:space="0" w:color="auto"/>
            </w:tcBorders>
            <w:noWrap/>
            <w:hideMark/>
          </w:tcPr>
          <w:p w14:paraId="57D7E6F7" w14:textId="77777777" w:rsidR="00EA1783" w:rsidRPr="004E13E9" w:rsidRDefault="00EA1783" w:rsidP="00E62E84">
            <w:pPr>
              <w:rPr>
                <w:sz w:val="16"/>
                <w:szCs w:val="16"/>
                <w:lang w:bidi="fr-FR"/>
              </w:rPr>
            </w:pPr>
            <w:r w:rsidRPr="004E13E9">
              <w:rPr>
                <w:sz w:val="16"/>
                <w:szCs w:val="16"/>
                <w:lang w:bidi="fr-FR"/>
              </w:rPr>
              <w:t>1</w:t>
            </w:r>
          </w:p>
        </w:tc>
        <w:tc>
          <w:tcPr>
            <w:tcW w:w="203" w:type="pct"/>
            <w:tcBorders>
              <w:top w:val="single" w:sz="4" w:space="0" w:color="auto"/>
              <w:left w:val="single" w:sz="4" w:space="0" w:color="auto"/>
              <w:bottom w:val="single" w:sz="4" w:space="0" w:color="auto"/>
              <w:right w:val="single" w:sz="4" w:space="0" w:color="auto"/>
            </w:tcBorders>
            <w:hideMark/>
          </w:tcPr>
          <w:p w14:paraId="10C471B8"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hideMark/>
          </w:tcPr>
          <w:p w14:paraId="5B4B471B"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hideMark/>
          </w:tcPr>
          <w:p w14:paraId="71F3B78A"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hideMark/>
          </w:tcPr>
          <w:p w14:paraId="2DD51614" w14:textId="77777777" w:rsidR="00EA1783" w:rsidRPr="004E13E9" w:rsidRDefault="00EA1783" w:rsidP="00E62E84">
            <w:pPr>
              <w:rPr>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hideMark/>
          </w:tcPr>
          <w:p w14:paraId="62BCDB4D" w14:textId="77777777" w:rsidR="00EA1783" w:rsidRPr="004E13E9" w:rsidRDefault="00EA1783" w:rsidP="00E62E84">
            <w:pPr>
              <w:rPr>
                <w:sz w:val="16"/>
                <w:szCs w:val="16"/>
                <w:lang w:bidi="fr-FR"/>
              </w:rPr>
            </w:pPr>
            <w:r w:rsidRPr="004E13E9">
              <w:rPr>
                <w:sz w:val="16"/>
                <w:szCs w:val="16"/>
                <w:lang w:bidi="fr-FR"/>
              </w:rPr>
              <w:t>0</w:t>
            </w: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235F13E" w14:textId="77777777" w:rsidR="00EA1783" w:rsidRPr="004E13E9" w:rsidRDefault="00EA1783" w:rsidP="00E62E84">
            <w:pPr>
              <w:rPr>
                <w:sz w:val="16"/>
                <w:szCs w:val="16"/>
                <w:lang w:bidi="fr-FR"/>
              </w:rPr>
            </w:pPr>
            <w:r w:rsidRPr="004E13E9">
              <w:rPr>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hideMark/>
          </w:tcPr>
          <w:p w14:paraId="6A7489F3" w14:textId="77777777" w:rsidR="00EA1783" w:rsidRPr="004E13E9" w:rsidRDefault="00EA1783" w:rsidP="00E62E84">
            <w:pPr>
              <w:rPr>
                <w:sz w:val="16"/>
                <w:szCs w:val="16"/>
                <w:lang w:bidi="fr-FR"/>
              </w:rPr>
            </w:pPr>
            <w:r w:rsidRPr="004E13E9">
              <w:rPr>
                <w:sz w:val="16"/>
                <w:szCs w:val="16"/>
                <w:lang w:bidi="fr-FR"/>
              </w:rPr>
              <w:t>34</w:t>
            </w:r>
          </w:p>
        </w:tc>
        <w:tc>
          <w:tcPr>
            <w:tcW w:w="200" w:type="pct"/>
            <w:tcBorders>
              <w:top w:val="single" w:sz="4" w:space="0" w:color="auto"/>
              <w:left w:val="single" w:sz="4" w:space="0" w:color="auto"/>
              <w:bottom w:val="single" w:sz="4" w:space="0" w:color="auto"/>
              <w:right w:val="single" w:sz="4" w:space="0" w:color="auto"/>
            </w:tcBorders>
            <w:vAlign w:val="center"/>
            <w:hideMark/>
          </w:tcPr>
          <w:p w14:paraId="13DD127D" w14:textId="77777777" w:rsidR="00EA1783" w:rsidRPr="004E13E9" w:rsidRDefault="00EA1783" w:rsidP="00E62E84">
            <w:pPr>
              <w:rPr>
                <w:sz w:val="16"/>
                <w:szCs w:val="16"/>
                <w:lang w:bidi="fr-FR"/>
              </w:rPr>
            </w:pPr>
            <w:r w:rsidRPr="004E13E9">
              <w:rPr>
                <w:sz w:val="16"/>
                <w:szCs w:val="16"/>
                <w:lang w:bidi="fr-FR"/>
              </w:rPr>
              <w:t>34</w:t>
            </w:r>
          </w:p>
        </w:tc>
        <w:tc>
          <w:tcPr>
            <w:tcW w:w="253" w:type="pct"/>
            <w:tcBorders>
              <w:top w:val="single" w:sz="4" w:space="0" w:color="auto"/>
              <w:left w:val="single" w:sz="4" w:space="0" w:color="auto"/>
              <w:bottom w:val="single" w:sz="4" w:space="0" w:color="auto"/>
              <w:right w:val="single" w:sz="4" w:space="0" w:color="auto"/>
            </w:tcBorders>
            <w:vAlign w:val="center"/>
            <w:hideMark/>
          </w:tcPr>
          <w:p w14:paraId="231AFC69" w14:textId="77777777" w:rsidR="00EA1783" w:rsidRPr="004E13E9" w:rsidRDefault="00EA1783" w:rsidP="00E62E84">
            <w:pPr>
              <w:rPr>
                <w:sz w:val="16"/>
                <w:szCs w:val="16"/>
                <w:lang w:bidi="fr-FR"/>
              </w:rPr>
            </w:pPr>
            <w:r w:rsidRPr="004E13E9">
              <w:rPr>
                <w:sz w:val="16"/>
                <w:szCs w:val="16"/>
                <w:lang w:bidi="fr-FR"/>
              </w:rPr>
              <w:t>0</w:t>
            </w:r>
          </w:p>
        </w:tc>
        <w:tc>
          <w:tcPr>
            <w:tcW w:w="248" w:type="pct"/>
            <w:tcBorders>
              <w:top w:val="single" w:sz="4" w:space="0" w:color="auto"/>
              <w:left w:val="single" w:sz="4" w:space="0" w:color="auto"/>
              <w:bottom w:val="single" w:sz="4" w:space="0" w:color="auto"/>
              <w:right w:val="single" w:sz="4" w:space="0" w:color="auto"/>
            </w:tcBorders>
            <w:hideMark/>
          </w:tcPr>
          <w:p w14:paraId="5D52080F" w14:textId="77777777" w:rsidR="00EA1783" w:rsidRPr="004E13E9" w:rsidRDefault="00EA1783" w:rsidP="00E62E84">
            <w:pPr>
              <w:rPr>
                <w:sz w:val="16"/>
                <w:szCs w:val="16"/>
                <w:lang w:bidi="fr-FR"/>
              </w:rPr>
            </w:pPr>
            <w:r w:rsidRPr="004E13E9">
              <w:rPr>
                <w:sz w:val="16"/>
                <w:szCs w:val="16"/>
                <w:lang w:bidi="fr-FR"/>
              </w:rPr>
              <w:t>0</w:t>
            </w:r>
          </w:p>
        </w:tc>
        <w:tc>
          <w:tcPr>
            <w:tcW w:w="259" w:type="pct"/>
            <w:tcBorders>
              <w:top w:val="single" w:sz="4" w:space="0" w:color="auto"/>
              <w:left w:val="single" w:sz="4" w:space="0" w:color="auto"/>
              <w:bottom w:val="single" w:sz="4" w:space="0" w:color="auto"/>
              <w:right w:val="single" w:sz="4" w:space="0" w:color="auto"/>
            </w:tcBorders>
            <w:vAlign w:val="center"/>
            <w:hideMark/>
          </w:tcPr>
          <w:p w14:paraId="2F0BFEF8" w14:textId="77777777" w:rsidR="00EA1783" w:rsidRPr="004E13E9" w:rsidRDefault="00EA1783" w:rsidP="00E62E84">
            <w:pPr>
              <w:rPr>
                <w:sz w:val="16"/>
                <w:szCs w:val="16"/>
                <w:lang w:bidi="fr-FR"/>
              </w:rPr>
            </w:pPr>
            <w:r w:rsidRPr="004E13E9">
              <w:rPr>
                <w:sz w:val="16"/>
                <w:szCs w:val="16"/>
                <w:lang w:bidi="fr-FR"/>
              </w:rPr>
              <w:t>0</w:t>
            </w:r>
          </w:p>
        </w:tc>
        <w:tc>
          <w:tcPr>
            <w:tcW w:w="275" w:type="pct"/>
            <w:tcBorders>
              <w:top w:val="single" w:sz="4" w:space="0" w:color="auto"/>
              <w:left w:val="single" w:sz="4" w:space="0" w:color="auto"/>
              <w:bottom w:val="single" w:sz="4" w:space="0" w:color="auto"/>
              <w:right w:val="single" w:sz="4" w:space="0" w:color="auto"/>
            </w:tcBorders>
            <w:vAlign w:val="center"/>
            <w:hideMark/>
          </w:tcPr>
          <w:p w14:paraId="7A41298F" w14:textId="77777777" w:rsidR="00EA1783" w:rsidRPr="004E13E9" w:rsidRDefault="00EA1783" w:rsidP="00E62E84">
            <w:pPr>
              <w:rPr>
                <w:sz w:val="16"/>
                <w:szCs w:val="16"/>
                <w:lang w:bidi="fr-FR"/>
              </w:rPr>
            </w:pPr>
            <w:r w:rsidRPr="004E13E9">
              <w:rPr>
                <w:sz w:val="16"/>
                <w:szCs w:val="16"/>
                <w:lang w:bidi="fr-FR"/>
              </w:rPr>
              <w:t>0</w:t>
            </w:r>
          </w:p>
        </w:tc>
        <w:tc>
          <w:tcPr>
            <w:tcW w:w="316" w:type="pct"/>
            <w:tcBorders>
              <w:top w:val="single" w:sz="4" w:space="0" w:color="auto"/>
              <w:left w:val="single" w:sz="4" w:space="0" w:color="auto"/>
              <w:bottom w:val="single" w:sz="4" w:space="0" w:color="auto"/>
              <w:right w:val="single" w:sz="4" w:space="0" w:color="auto"/>
            </w:tcBorders>
            <w:vAlign w:val="center"/>
            <w:hideMark/>
          </w:tcPr>
          <w:p w14:paraId="30E45F5E" w14:textId="77777777" w:rsidR="00EA1783" w:rsidRPr="004E13E9" w:rsidRDefault="00EA1783" w:rsidP="00E62E84">
            <w:pPr>
              <w:rPr>
                <w:sz w:val="16"/>
                <w:szCs w:val="16"/>
                <w:lang w:bidi="fr-FR"/>
              </w:rPr>
            </w:pPr>
            <w:r w:rsidRPr="004E13E9">
              <w:rPr>
                <w:sz w:val="16"/>
                <w:szCs w:val="16"/>
                <w:lang w:bidi="fr-FR"/>
              </w:rPr>
              <w:t>0</w:t>
            </w:r>
          </w:p>
        </w:tc>
      </w:tr>
      <w:tr w:rsidR="00EA1783" w:rsidRPr="004E13E9" w14:paraId="09AABE5E"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noWrap/>
            <w:vAlign w:val="center"/>
            <w:hideMark/>
          </w:tcPr>
          <w:p w14:paraId="4E71CD6A" w14:textId="77777777" w:rsidR="00EA1783" w:rsidRPr="004E13E9" w:rsidRDefault="00EA1783" w:rsidP="00E62E84">
            <w:pPr>
              <w:rPr>
                <w:b/>
                <w:bCs/>
                <w:sz w:val="16"/>
                <w:szCs w:val="16"/>
                <w:lang w:bidi="fr-FR"/>
              </w:rPr>
            </w:pPr>
            <w:proofErr w:type="spellStart"/>
            <w:r w:rsidRPr="004E13E9">
              <w:rPr>
                <w:b/>
                <w:sz w:val="16"/>
                <w:szCs w:val="16"/>
                <w:lang w:bidi="fr-FR"/>
              </w:rPr>
              <w:t>Flottille</w:t>
            </w:r>
            <w:proofErr w:type="spellEnd"/>
            <w:r w:rsidRPr="004E13E9">
              <w:rPr>
                <w:b/>
                <w:sz w:val="16"/>
                <w:szCs w:val="16"/>
                <w:lang w:bidi="fr-FR"/>
              </w:rPr>
              <w:t xml:space="preserve"> </w:t>
            </w:r>
            <w:proofErr w:type="spellStart"/>
            <w:r w:rsidRPr="004E13E9">
              <w:rPr>
                <w:b/>
                <w:sz w:val="16"/>
                <w:szCs w:val="16"/>
                <w:lang w:bidi="fr-FR"/>
              </w:rPr>
              <w:t>totale</w:t>
            </w:r>
            <w:proofErr w:type="spellEnd"/>
            <w:r w:rsidRPr="004E13E9">
              <w:rPr>
                <w:b/>
                <w:sz w:val="16"/>
                <w:szCs w:val="16"/>
                <w:lang w:bidi="fr-FR"/>
              </w:rPr>
              <w:t xml:space="preserve"> de </w:t>
            </w:r>
            <w:proofErr w:type="spellStart"/>
            <w:r w:rsidRPr="004E13E9">
              <w:rPr>
                <w:b/>
                <w:sz w:val="16"/>
                <w:szCs w:val="16"/>
                <w:lang w:bidi="fr-FR"/>
              </w:rPr>
              <w:t>senneurs</w:t>
            </w:r>
            <w:proofErr w:type="spellEnd"/>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7EE23831" w14:textId="77777777" w:rsidR="00EA1783" w:rsidRPr="004E13E9" w:rsidRDefault="00EA1783" w:rsidP="00E62E84">
            <w:pPr>
              <w:rPr>
                <w:sz w:val="16"/>
                <w:szCs w:val="16"/>
                <w:lang w:bidi="fr-FR"/>
              </w:rPr>
            </w:pPr>
            <w:r w:rsidRPr="004E13E9">
              <w:rPr>
                <w:sz w:val="16"/>
                <w:szCs w:val="16"/>
                <w:lang w:bidi="fr-FR"/>
              </w:rPr>
              <w:t> </w:t>
            </w:r>
          </w:p>
        </w:tc>
        <w:tc>
          <w:tcPr>
            <w:tcW w:w="201" w:type="pct"/>
            <w:tcBorders>
              <w:top w:val="single" w:sz="4" w:space="0" w:color="auto"/>
              <w:left w:val="single" w:sz="4" w:space="0" w:color="auto"/>
              <w:bottom w:val="single" w:sz="4" w:space="0" w:color="auto"/>
              <w:right w:val="single" w:sz="4" w:space="0" w:color="auto"/>
            </w:tcBorders>
            <w:hideMark/>
          </w:tcPr>
          <w:p w14:paraId="4792A417" w14:textId="77777777" w:rsidR="00EA1783" w:rsidRPr="004E13E9" w:rsidRDefault="00EA1783" w:rsidP="00E62E84">
            <w:pPr>
              <w:rPr>
                <w:b/>
                <w:bCs/>
                <w:sz w:val="16"/>
                <w:szCs w:val="16"/>
                <w:lang w:bidi="fr-FR"/>
              </w:rPr>
            </w:pPr>
            <w:r w:rsidRPr="004E13E9">
              <w:rPr>
                <w:sz w:val="16"/>
                <w:szCs w:val="16"/>
                <w:lang w:bidi="fr-FR"/>
              </w:rPr>
              <w:t>33</w:t>
            </w:r>
          </w:p>
        </w:tc>
        <w:tc>
          <w:tcPr>
            <w:tcW w:w="201" w:type="pct"/>
            <w:tcBorders>
              <w:top w:val="single" w:sz="4" w:space="0" w:color="auto"/>
              <w:left w:val="single" w:sz="4" w:space="0" w:color="auto"/>
              <w:bottom w:val="single" w:sz="4" w:space="0" w:color="auto"/>
              <w:right w:val="single" w:sz="4" w:space="0" w:color="auto"/>
            </w:tcBorders>
            <w:noWrap/>
            <w:vAlign w:val="center"/>
            <w:hideMark/>
          </w:tcPr>
          <w:p w14:paraId="5FADDC99" w14:textId="77777777" w:rsidR="00EA1783" w:rsidRPr="004E13E9" w:rsidRDefault="00EA1783" w:rsidP="00E62E84">
            <w:pPr>
              <w:rPr>
                <w:b/>
                <w:bCs/>
                <w:sz w:val="16"/>
                <w:szCs w:val="16"/>
                <w:lang w:bidi="fr-FR"/>
              </w:rPr>
            </w:pPr>
            <w:r w:rsidRPr="004E13E9">
              <w:rPr>
                <w:sz w:val="16"/>
                <w:szCs w:val="16"/>
                <w:lang w:bidi="fr-FR"/>
              </w:rPr>
              <w:t>33</w:t>
            </w:r>
          </w:p>
        </w:tc>
        <w:tc>
          <w:tcPr>
            <w:tcW w:w="203" w:type="pct"/>
            <w:tcBorders>
              <w:top w:val="single" w:sz="4" w:space="0" w:color="auto"/>
              <w:left w:val="single" w:sz="4" w:space="0" w:color="auto"/>
              <w:bottom w:val="single" w:sz="4" w:space="0" w:color="auto"/>
              <w:right w:val="single" w:sz="4" w:space="0" w:color="auto"/>
            </w:tcBorders>
            <w:vAlign w:val="center"/>
            <w:hideMark/>
          </w:tcPr>
          <w:p w14:paraId="2BF4B60C" w14:textId="77777777" w:rsidR="00EA1783" w:rsidRPr="004E13E9" w:rsidRDefault="00EA1783" w:rsidP="00E62E84">
            <w:pPr>
              <w:rPr>
                <w:b/>
                <w:bCs/>
                <w:sz w:val="16"/>
                <w:szCs w:val="16"/>
                <w:lang w:bidi="fr-FR"/>
              </w:rPr>
            </w:pPr>
            <w:r w:rsidRPr="004E13E9">
              <w:rPr>
                <w:sz w:val="16"/>
                <w:szCs w:val="16"/>
                <w:lang w:bidi="fr-FR"/>
              </w:rPr>
              <w:t>15</w:t>
            </w:r>
          </w:p>
        </w:tc>
        <w:tc>
          <w:tcPr>
            <w:tcW w:w="201" w:type="pct"/>
            <w:tcBorders>
              <w:top w:val="single" w:sz="4" w:space="0" w:color="auto"/>
              <w:left w:val="single" w:sz="4" w:space="0" w:color="auto"/>
              <w:bottom w:val="single" w:sz="4" w:space="0" w:color="auto"/>
              <w:right w:val="single" w:sz="4" w:space="0" w:color="auto"/>
            </w:tcBorders>
            <w:vAlign w:val="center"/>
            <w:hideMark/>
          </w:tcPr>
          <w:p w14:paraId="65F8A361" w14:textId="77777777" w:rsidR="00EA1783" w:rsidRPr="004E13E9" w:rsidRDefault="00EA1783" w:rsidP="00E62E84">
            <w:pPr>
              <w:rPr>
                <w:b/>
                <w:bCs/>
                <w:sz w:val="16"/>
                <w:szCs w:val="16"/>
                <w:lang w:bidi="fr-FR"/>
              </w:rPr>
            </w:pPr>
            <w:r w:rsidRPr="004E13E9">
              <w:rPr>
                <w:sz w:val="16"/>
                <w:szCs w:val="16"/>
                <w:lang w:bidi="fr-FR"/>
              </w:rPr>
              <w:t>15</w:t>
            </w:r>
          </w:p>
        </w:tc>
        <w:tc>
          <w:tcPr>
            <w:tcW w:w="201" w:type="pct"/>
            <w:tcBorders>
              <w:top w:val="single" w:sz="4" w:space="0" w:color="auto"/>
              <w:left w:val="single" w:sz="4" w:space="0" w:color="auto"/>
              <w:bottom w:val="single" w:sz="4" w:space="0" w:color="auto"/>
              <w:right w:val="single" w:sz="4" w:space="0" w:color="auto"/>
            </w:tcBorders>
            <w:vAlign w:val="center"/>
            <w:hideMark/>
          </w:tcPr>
          <w:p w14:paraId="0EA0A2D9" w14:textId="77777777" w:rsidR="00EA1783" w:rsidRPr="004E13E9" w:rsidRDefault="00EA1783" w:rsidP="00E62E84">
            <w:pPr>
              <w:rPr>
                <w:b/>
                <w:bCs/>
                <w:sz w:val="16"/>
                <w:szCs w:val="16"/>
                <w:lang w:bidi="fr-FR"/>
              </w:rPr>
            </w:pPr>
            <w:r w:rsidRPr="004E13E9">
              <w:rPr>
                <w:sz w:val="16"/>
                <w:szCs w:val="16"/>
                <w:lang w:bidi="fr-FR"/>
              </w:rPr>
              <w:t>15</w:t>
            </w:r>
          </w:p>
        </w:tc>
        <w:tc>
          <w:tcPr>
            <w:tcW w:w="201" w:type="pct"/>
            <w:tcBorders>
              <w:top w:val="single" w:sz="4" w:space="0" w:color="auto"/>
              <w:left w:val="single" w:sz="4" w:space="0" w:color="auto"/>
              <w:bottom w:val="single" w:sz="4" w:space="0" w:color="auto"/>
              <w:right w:val="single" w:sz="4" w:space="0" w:color="auto"/>
            </w:tcBorders>
            <w:hideMark/>
          </w:tcPr>
          <w:p w14:paraId="439413CE" w14:textId="77777777" w:rsidR="00EA1783" w:rsidRPr="004E13E9" w:rsidRDefault="00EA1783" w:rsidP="00E62E84">
            <w:pPr>
              <w:rPr>
                <w:b/>
                <w:bCs/>
                <w:sz w:val="16"/>
                <w:szCs w:val="16"/>
                <w:lang w:bidi="fr-FR"/>
              </w:rPr>
            </w:pPr>
            <w:r w:rsidRPr="004E13E9">
              <w:rPr>
                <w:sz w:val="16"/>
                <w:szCs w:val="16"/>
                <w:lang w:bidi="fr-FR"/>
              </w:rPr>
              <w:t>15</w:t>
            </w:r>
          </w:p>
        </w:tc>
        <w:tc>
          <w:tcPr>
            <w:tcW w:w="203" w:type="pct"/>
            <w:tcBorders>
              <w:top w:val="single" w:sz="4" w:space="0" w:color="auto"/>
              <w:left w:val="single" w:sz="4" w:space="0" w:color="auto"/>
              <w:bottom w:val="single" w:sz="4" w:space="0" w:color="auto"/>
              <w:right w:val="single" w:sz="4" w:space="0" w:color="auto"/>
            </w:tcBorders>
            <w:vAlign w:val="center"/>
            <w:hideMark/>
          </w:tcPr>
          <w:p w14:paraId="22C8AFC9" w14:textId="77777777" w:rsidR="00EA1783" w:rsidRPr="004E13E9" w:rsidRDefault="00EA1783" w:rsidP="00E62E84">
            <w:pPr>
              <w:rPr>
                <w:sz w:val="16"/>
                <w:szCs w:val="16"/>
                <w:lang w:bidi="fr-FR"/>
              </w:rPr>
            </w:pPr>
            <w:r w:rsidRPr="004E13E9">
              <w:rPr>
                <w:sz w:val="16"/>
                <w:szCs w:val="16"/>
                <w:lang w:bidi="fr-FR"/>
              </w:rPr>
              <w:t>15</w:t>
            </w: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80C85B8" w14:textId="77777777" w:rsidR="00EA1783" w:rsidRPr="004E13E9" w:rsidRDefault="00EA1783" w:rsidP="00E62E84">
            <w:pPr>
              <w:rPr>
                <w:b/>
                <w:bCs/>
                <w:sz w:val="16"/>
                <w:szCs w:val="16"/>
                <w:lang w:bidi="fr-FR"/>
              </w:rPr>
            </w:pPr>
            <w:r w:rsidRPr="004E13E9">
              <w:rPr>
                <w:b/>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hideMark/>
          </w:tcPr>
          <w:p w14:paraId="63729332" w14:textId="77777777" w:rsidR="00EA1783" w:rsidRPr="004E13E9" w:rsidRDefault="00EA1783" w:rsidP="00E62E84">
            <w:pPr>
              <w:rPr>
                <w:b/>
                <w:bCs/>
                <w:sz w:val="16"/>
                <w:szCs w:val="16"/>
                <w:lang w:bidi="fr-FR"/>
              </w:rPr>
            </w:pPr>
            <w:r w:rsidRPr="004E13E9">
              <w:rPr>
                <w:sz w:val="16"/>
                <w:szCs w:val="16"/>
                <w:lang w:bidi="fr-FR"/>
              </w:rPr>
              <w:t>1648</w:t>
            </w:r>
          </w:p>
        </w:tc>
        <w:tc>
          <w:tcPr>
            <w:tcW w:w="200" w:type="pct"/>
            <w:tcBorders>
              <w:top w:val="single" w:sz="4" w:space="0" w:color="auto"/>
              <w:left w:val="single" w:sz="4" w:space="0" w:color="auto"/>
              <w:bottom w:val="single" w:sz="4" w:space="0" w:color="auto"/>
              <w:right w:val="single" w:sz="4" w:space="0" w:color="auto"/>
            </w:tcBorders>
            <w:vAlign w:val="center"/>
            <w:hideMark/>
          </w:tcPr>
          <w:p w14:paraId="3D85DD93" w14:textId="77777777" w:rsidR="00EA1783" w:rsidRPr="004E13E9" w:rsidRDefault="00EA1783" w:rsidP="00E62E84">
            <w:pPr>
              <w:rPr>
                <w:b/>
                <w:bCs/>
                <w:sz w:val="16"/>
                <w:szCs w:val="16"/>
                <w:lang w:bidi="fr-FR"/>
              </w:rPr>
            </w:pPr>
            <w:r w:rsidRPr="004E13E9">
              <w:rPr>
                <w:sz w:val="16"/>
                <w:szCs w:val="16"/>
                <w:lang w:bidi="fr-FR"/>
              </w:rPr>
              <w:t>1648</w:t>
            </w:r>
          </w:p>
        </w:tc>
        <w:tc>
          <w:tcPr>
            <w:tcW w:w="253" w:type="pct"/>
            <w:tcBorders>
              <w:top w:val="single" w:sz="4" w:space="0" w:color="auto"/>
              <w:left w:val="single" w:sz="4" w:space="0" w:color="auto"/>
              <w:bottom w:val="single" w:sz="4" w:space="0" w:color="auto"/>
              <w:right w:val="single" w:sz="4" w:space="0" w:color="auto"/>
            </w:tcBorders>
            <w:vAlign w:val="center"/>
            <w:hideMark/>
          </w:tcPr>
          <w:p w14:paraId="53922645" w14:textId="77777777" w:rsidR="00EA1783" w:rsidRPr="004E13E9" w:rsidRDefault="00EA1783" w:rsidP="00E62E84">
            <w:pPr>
              <w:rPr>
                <w:b/>
                <w:bCs/>
                <w:sz w:val="16"/>
                <w:szCs w:val="16"/>
                <w:lang w:bidi="fr-FR"/>
              </w:rPr>
            </w:pPr>
            <w:r w:rsidRPr="004E13E9">
              <w:rPr>
                <w:sz w:val="16"/>
                <w:szCs w:val="16"/>
                <w:lang w:bidi="fr-FR"/>
              </w:rPr>
              <w:t>747</w:t>
            </w:r>
          </w:p>
        </w:tc>
        <w:tc>
          <w:tcPr>
            <w:tcW w:w="248" w:type="pct"/>
            <w:tcBorders>
              <w:top w:val="single" w:sz="4" w:space="0" w:color="auto"/>
              <w:left w:val="single" w:sz="4" w:space="0" w:color="auto"/>
              <w:bottom w:val="single" w:sz="4" w:space="0" w:color="auto"/>
              <w:right w:val="single" w:sz="4" w:space="0" w:color="auto"/>
            </w:tcBorders>
            <w:hideMark/>
          </w:tcPr>
          <w:p w14:paraId="28D3050D" w14:textId="77777777" w:rsidR="00EA1783" w:rsidRPr="004E13E9" w:rsidRDefault="00EA1783" w:rsidP="00E62E84">
            <w:pPr>
              <w:rPr>
                <w:b/>
                <w:bCs/>
                <w:sz w:val="16"/>
                <w:szCs w:val="16"/>
                <w:lang w:bidi="fr-FR"/>
              </w:rPr>
            </w:pPr>
            <w:r w:rsidRPr="004E13E9">
              <w:rPr>
                <w:sz w:val="16"/>
                <w:szCs w:val="16"/>
                <w:lang w:bidi="fr-FR"/>
              </w:rPr>
              <w:t>747</w:t>
            </w:r>
          </w:p>
        </w:tc>
        <w:tc>
          <w:tcPr>
            <w:tcW w:w="259" w:type="pct"/>
            <w:tcBorders>
              <w:top w:val="single" w:sz="4" w:space="0" w:color="auto"/>
              <w:left w:val="single" w:sz="4" w:space="0" w:color="auto"/>
              <w:bottom w:val="single" w:sz="4" w:space="0" w:color="auto"/>
              <w:right w:val="single" w:sz="4" w:space="0" w:color="auto"/>
            </w:tcBorders>
            <w:vAlign w:val="center"/>
            <w:hideMark/>
          </w:tcPr>
          <w:p w14:paraId="42759159" w14:textId="77777777" w:rsidR="00EA1783" w:rsidRPr="004E13E9" w:rsidRDefault="00EA1783" w:rsidP="00E62E84">
            <w:pPr>
              <w:rPr>
                <w:b/>
                <w:bCs/>
                <w:sz w:val="16"/>
                <w:szCs w:val="16"/>
                <w:lang w:bidi="fr-FR"/>
              </w:rPr>
            </w:pPr>
            <w:r w:rsidRPr="004E13E9">
              <w:rPr>
                <w:sz w:val="16"/>
                <w:szCs w:val="16"/>
                <w:lang w:bidi="fr-FR"/>
              </w:rPr>
              <w:t>747</w:t>
            </w:r>
          </w:p>
        </w:tc>
        <w:tc>
          <w:tcPr>
            <w:tcW w:w="275" w:type="pct"/>
            <w:tcBorders>
              <w:top w:val="single" w:sz="4" w:space="0" w:color="auto"/>
              <w:left w:val="single" w:sz="4" w:space="0" w:color="auto"/>
              <w:bottom w:val="single" w:sz="4" w:space="0" w:color="auto"/>
              <w:right w:val="single" w:sz="4" w:space="0" w:color="auto"/>
            </w:tcBorders>
            <w:vAlign w:val="center"/>
            <w:hideMark/>
          </w:tcPr>
          <w:p w14:paraId="3355E411" w14:textId="77777777" w:rsidR="00EA1783" w:rsidRPr="004E13E9" w:rsidRDefault="00EA1783" w:rsidP="00E62E84">
            <w:pPr>
              <w:rPr>
                <w:b/>
                <w:bCs/>
                <w:sz w:val="16"/>
                <w:szCs w:val="16"/>
                <w:lang w:bidi="fr-FR"/>
              </w:rPr>
            </w:pPr>
            <w:r w:rsidRPr="004E13E9">
              <w:rPr>
                <w:sz w:val="16"/>
                <w:szCs w:val="16"/>
                <w:lang w:bidi="fr-FR"/>
              </w:rPr>
              <w:t>747</w:t>
            </w:r>
          </w:p>
        </w:tc>
        <w:tc>
          <w:tcPr>
            <w:tcW w:w="316" w:type="pct"/>
            <w:tcBorders>
              <w:top w:val="single" w:sz="4" w:space="0" w:color="auto"/>
              <w:left w:val="single" w:sz="4" w:space="0" w:color="auto"/>
              <w:bottom w:val="single" w:sz="4" w:space="0" w:color="auto"/>
              <w:right w:val="single" w:sz="4" w:space="0" w:color="auto"/>
            </w:tcBorders>
            <w:vAlign w:val="center"/>
            <w:hideMark/>
          </w:tcPr>
          <w:p w14:paraId="011B26C3" w14:textId="77777777" w:rsidR="00EA1783" w:rsidRPr="004E13E9" w:rsidRDefault="00EA1783" w:rsidP="00E62E84">
            <w:pPr>
              <w:rPr>
                <w:b/>
                <w:bCs/>
                <w:sz w:val="16"/>
                <w:szCs w:val="16"/>
                <w:lang w:bidi="fr-FR"/>
              </w:rPr>
            </w:pPr>
            <w:r w:rsidRPr="004E13E9">
              <w:rPr>
                <w:sz w:val="16"/>
                <w:szCs w:val="16"/>
                <w:lang w:bidi="fr-FR"/>
              </w:rPr>
              <w:t>747</w:t>
            </w:r>
          </w:p>
        </w:tc>
      </w:tr>
      <w:tr w:rsidR="00EA1783" w:rsidRPr="004E13E9" w14:paraId="5615C680"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noWrap/>
            <w:vAlign w:val="center"/>
            <w:hideMark/>
          </w:tcPr>
          <w:p w14:paraId="7655C01D" w14:textId="77777777" w:rsidR="00EA1783" w:rsidRPr="004E13E9" w:rsidRDefault="00EA1783" w:rsidP="00E62E84">
            <w:pPr>
              <w:rPr>
                <w:sz w:val="16"/>
                <w:szCs w:val="16"/>
                <w:lang w:val="fr-FR" w:bidi="fr-FR"/>
              </w:rPr>
            </w:pPr>
            <w:r w:rsidRPr="004E13E9">
              <w:rPr>
                <w:sz w:val="16"/>
                <w:szCs w:val="16"/>
                <w:lang w:val="fr-FR" w:bidi="fr-FR"/>
              </w:rPr>
              <w:t>Palangrier de plus de 40 m</w:t>
            </w:r>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52B80511" w14:textId="77777777" w:rsidR="00EA1783" w:rsidRPr="004E13E9" w:rsidRDefault="00EA1783" w:rsidP="00E62E84">
            <w:pPr>
              <w:rPr>
                <w:sz w:val="16"/>
                <w:szCs w:val="16"/>
                <w:lang w:bidi="fr-FR"/>
              </w:rPr>
            </w:pPr>
            <w:r w:rsidRPr="004E13E9">
              <w:rPr>
                <w:sz w:val="16"/>
                <w:szCs w:val="16"/>
                <w:lang w:bidi="fr-FR"/>
              </w:rPr>
              <w:t>25</w:t>
            </w:r>
          </w:p>
        </w:tc>
        <w:tc>
          <w:tcPr>
            <w:tcW w:w="201" w:type="pct"/>
            <w:tcBorders>
              <w:top w:val="single" w:sz="4" w:space="0" w:color="auto"/>
              <w:left w:val="single" w:sz="4" w:space="0" w:color="auto"/>
              <w:bottom w:val="single" w:sz="4" w:space="0" w:color="auto"/>
              <w:right w:val="single" w:sz="4" w:space="0" w:color="auto"/>
            </w:tcBorders>
            <w:hideMark/>
          </w:tcPr>
          <w:p w14:paraId="78A74E64" w14:textId="77777777" w:rsidR="00EA1783" w:rsidRPr="004E13E9" w:rsidRDefault="00EA1783" w:rsidP="00E62E84">
            <w:pPr>
              <w:rPr>
                <w:sz w:val="16"/>
                <w:szCs w:val="16"/>
                <w:lang w:bidi="fr-FR"/>
              </w:rPr>
            </w:pPr>
            <w:r w:rsidRPr="004E13E9">
              <w:rPr>
                <w:sz w:val="16"/>
                <w:szCs w:val="16"/>
                <w:lang w:bidi="fr-FR"/>
              </w:rPr>
              <w:t>5</w:t>
            </w:r>
          </w:p>
        </w:tc>
        <w:tc>
          <w:tcPr>
            <w:tcW w:w="201" w:type="pct"/>
            <w:tcBorders>
              <w:top w:val="single" w:sz="4" w:space="0" w:color="auto"/>
              <w:left w:val="single" w:sz="4" w:space="0" w:color="auto"/>
              <w:bottom w:val="single" w:sz="4" w:space="0" w:color="auto"/>
              <w:right w:val="single" w:sz="4" w:space="0" w:color="auto"/>
            </w:tcBorders>
            <w:noWrap/>
            <w:vAlign w:val="center"/>
            <w:hideMark/>
          </w:tcPr>
          <w:p w14:paraId="45773DC6" w14:textId="77777777" w:rsidR="00EA1783" w:rsidRPr="004E13E9" w:rsidRDefault="00EA1783" w:rsidP="00E62E84">
            <w:pPr>
              <w:rPr>
                <w:sz w:val="16"/>
                <w:szCs w:val="16"/>
                <w:lang w:bidi="fr-FR"/>
              </w:rPr>
            </w:pPr>
            <w:r w:rsidRPr="004E13E9">
              <w:rPr>
                <w:sz w:val="16"/>
                <w:szCs w:val="16"/>
                <w:lang w:bidi="fr-FR"/>
              </w:rPr>
              <w:t>5</w:t>
            </w:r>
          </w:p>
        </w:tc>
        <w:tc>
          <w:tcPr>
            <w:tcW w:w="203" w:type="pct"/>
            <w:tcBorders>
              <w:top w:val="single" w:sz="4" w:space="0" w:color="auto"/>
              <w:left w:val="single" w:sz="4" w:space="0" w:color="auto"/>
              <w:bottom w:val="single" w:sz="4" w:space="0" w:color="auto"/>
              <w:right w:val="single" w:sz="4" w:space="0" w:color="auto"/>
            </w:tcBorders>
            <w:vAlign w:val="center"/>
            <w:hideMark/>
          </w:tcPr>
          <w:p w14:paraId="0A89C10E"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61BFEDAE"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1B0E23E0"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hideMark/>
          </w:tcPr>
          <w:p w14:paraId="0882FEED" w14:textId="77777777" w:rsidR="00EA1783" w:rsidRPr="004E13E9" w:rsidRDefault="00EA1783" w:rsidP="00E62E84">
            <w:pPr>
              <w:rPr>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hideMark/>
          </w:tcPr>
          <w:p w14:paraId="247A8691" w14:textId="77777777" w:rsidR="00EA1783" w:rsidRPr="004E13E9" w:rsidRDefault="00EA1783" w:rsidP="00E62E84">
            <w:pPr>
              <w:rPr>
                <w:sz w:val="16"/>
                <w:szCs w:val="16"/>
                <w:lang w:bidi="fr-FR"/>
              </w:rPr>
            </w:pPr>
            <w:r w:rsidRPr="004E13E9">
              <w:rPr>
                <w:sz w:val="16"/>
                <w:szCs w:val="16"/>
                <w:lang w:bidi="fr-FR"/>
              </w:rPr>
              <w:t>0</w:t>
            </w: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B89328F" w14:textId="77777777" w:rsidR="00EA1783" w:rsidRPr="004E13E9" w:rsidRDefault="00EA1783" w:rsidP="00E62E84">
            <w:pPr>
              <w:rPr>
                <w:sz w:val="16"/>
                <w:szCs w:val="16"/>
                <w:lang w:bidi="fr-FR"/>
              </w:rPr>
            </w:pPr>
            <w:r w:rsidRPr="004E13E9">
              <w:rPr>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hideMark/>
          </w:tcPr>
          <w:p w14:paraId="29654F2C" w14:textId="77777777" w:rsidR="00EA1783" w:rsidRPr="004E13E9" w:rsidRDefault="00EA1783" w:rsidP="00E62E84">
            <w:pPr>
              <w:rPr>
                <w:sz w:val="16"/>
                <w:szCs w:val="16"/>
                <w:lang w:bidi="fr-FR"/>
              </w:rPr>
            </w:pPr>
            <w:r w:rsidRPr="004E13E9">
              <w:rPr>
                <w:sz w:val="16"/>
                <w:szCs w:val="16"/>
                <w:lang w:bidi="fr-FR"/>
              </w:rPr>
              <w:t>125</w:t>
            </w:r>
          </w:p>
        </w:tc>
        <w:tc>
          <w:tcPr>
            <w:tcW w:w="200" w:type="pct"/>
            <w:tcBorders>
              <w:top w:val="single" w:sz="4" w:space="0" w:color="auto"/>
              <w:left w:val="single" w:sz="4" w:space="0" w:color="auto"/>
              <w:bottom w:val="single" w:sz="4" w:space="0" w:color="auto"/>
              <w:right w:val="single" w:sz="4" w:space="0" w:color="auto"/>
            </w:tcBorders>
            <w:vAlign w:val="center"/>
            <w:hideMark/>
          </w:tcPr>
          <w:p w14:paraId="2E9B1FCE" w14:textId="77777777" w:rsidR="00EA1783" w:rsidRPr="004E13E9" w:rsidRDefault="00EA1783" w:rsidP="00E62E84">
            <w:pPr>
              <w:rPr>
                <w:sz w:val="16"/>
                <w:szCs w:val="16"/>
                <w:lang w:bidi="fr-FR"/>
              </w:rPr>
            </w:pPr>
            <w:r w:rsidRPr="004E13E9">
              <w:rPr>
                <w:sz w:val="16"/>
                <w:szCs w:val="16"/>
                <w:lang w:bidi="fr-FR"/>
              </w:rPr>
              <w:t>125</w:t>
            </w:r>
          </w:p>
        </w:tc>
        <w:tc>
          <w:tcPr>
            <w:tcW w:w="253" w:type="pct"/>
            <w:tcBorders>
              <w:top w:val="single" w:sz="4" w:space="0" w:color="auto"/>
              <w:left w:val="single" w:sz="4" w:space="0" w:color="auto"/>
              <w:bottom w:val="single" w:sz="4" w:space="0" w:color="auto"/>
              <w:right w:val="single" w:sz="4" w:space="0" w:color="auto"/>
            </w:tcBorders>
            <w:vAlign w:val="center"/>
            <w:hideMark/>
          </w:tcPr>
          <w:p w14:paraId="101FECFE" w14:textId="77777777" w:rsidR="00EA1783" w:rsidRPr="004E13E9" w:rsidRDefault="00EA1783" w:rsidP="00E62E84">
            <w:pPr>
              <w:rPr>
                <w:sz w:val="16"/>
                <w:szCs w:val="16"/>
                <w:lang w:bidi="fr-FR"/>
              </w:rPr>
            </w:pPr>
            <w:r w:rsidRPr="004E13E9">
              <w:rPr>
                <w:sz w:val="16"/>
                <w:szCs w:val="16"/>
                <w:lang w:bidi="fr-FR"/>
              </w:rPr>
              <w:t>0</w:t>
            </w:r>
          </w:p>
        </w:tc>
        <w:tc>
          <w:tcPr>
            <w:tcW w:w="248" w:type="pct"/>
            <w:tcBorders>
              <w:top w:val="single" w:sz="4" w:space="0" w:color="auto"/>
              <w:left w:val="single" w:sz="4" w:space="0" w:color="auto"/>
              <w:bottom w:val="single" w:sz="4" w:space="0" w:color="auto"/>
              <w:right w:val="single" w:sz="4" w:space="0" w:color="auto"/>
            </w:tcBorders>
            <w:hideMark/>
          </w:tcPr>
          <w:p w14:paraId="33D386DE" w14:textId="77777777" w:rsidR="00EA1783" w:rsidRPr="004E13E9" w:rsidRDefault="00EA1783" w:rsidP="00E62E84">
            <w:pPr>
              <w:rPr>
                <w:sz w:val="16"/>
                <w:szCs w:val="16"/>
                <w:lang w:bidi="fr-FR"/>
              </w:rPr>
            </w:pPr>
            <w:r w:rsidRPr="004E13E9">
              <w:rPr>
                <w:sz w:val="16"/>
                <w:szCs w:val="16"/>
                <w:lang w:bidi="fr-FR"/>
              </w:rPr>
              <w:t>0</w:t>
            </w:r>
          </w:p>
        </w:tc>
        <w:tc>
          <w:tcPr>
            <w:tcW w:w="259" w:type="pct"/>
            <w:tcBorders>
              <w:top w:val="single" w:sz="4" w:space="0" w:color="auto"/>
              <w:left w:val="single" w:sz="4" w:space="0" w:color="auto"/>
              <w:bottom w:val="single" w:sz="4" w:space="0" w:color="auto"/>
              <w:right w:val="single" w:sz="4" w:space="0" w:color="auto"/>
            </w:tcBorders>
            <w:vAlign w:val="center"/>
            <w:hideMark/>
          </w:tcPr>
          <w:p w14:paraId="54E9CE23" w14:textId="77777777" w:rsidR="00EA1783" w:rsidRPr="004E13E9" w:rsidRDefault="00EA1783" w:rsidP="00E62E84">
            <w:pPr>
              <w:rPr>
                <w:sz w:val="16"/>
                <w:szCs w:val="16"/>
                <w:lang w:bidi="fr-FR"/>
              </w:rPr>
            </w:pPr>
            <w:r w:rsidRPr="004E13E9">
              <w:rPr>
                <w:sz w:val="16"/>
                <w:szCs w:val="16"/>
                <w:lang w:bidi="fr-FR"/>
              </w:rPr>
              <w:t>0</w:t>
            </w:r>
          </w:p>
        </w:tc>
        <w:tc>
          <w:tcPr>
            <w:tcW w:w="275" w:type="pct"/>
            <w:tcBorders>
              <w:top w:val="single" w:sz="4" w:space="0" w:color="auto"/>
              <w:left w:val="single" w:sz="4" w:space="0" w:color="auto"/>
              <w:bottom w:val="single" w:sz="4" w:space="0" w:color="auto"/>
              <w:right w:val="single" w:sz="4" w:space="0" w:color="auto"/>
            </w:tcBorders>
            <w:vAlign w:val="center"/>
            <w:hideMark/>
          </w:tcPr>
          <w:p w14:paraId="2895E63D" w14:textId="77777777" w:rsidR="00EA1783" w:rsidRPr="004E13E9" w:rsidRDefault="00EA1783" w:rsidP="00E62E84">
            <w:pPr>
              <w:rPr>
                <w:sz w:val="16"/>
                <w:szCs w:val="16"/>
                <w:lang w:bidi="fr-FR"/>
              </w:rPr>
            </w:pPr>
            <w:r w:rsidRPr="004E13E9">
              <w:rPr>
                <w:sz w:val="16"/>
                <w:szCs w:val="16"/>
                <w:lang w:bidi="fr-FR"/>
              </w:rPr>
              <w:t>0</w:t>
            </w:r>
          </w:p>
        </w:tc>
        <w:tc>
          <w:tcPr>
            <w:tcW w:w="316" w:type="pct"/>
            <w:tcBorders>
              <w:top w:val="single" w:sz="4" w:space="0" w:color="auto"/>
              <w:left w:val="single" w:sz="4" w:space="0" w:color="auto"/>
              <w:bottom w:val="single" w:sz="4" w:space="0" w:color="auto"/>
              <w:right w:val="single" w:sz="4" w:space="0" w:color="auto"/>
            </w:tcBorders>
            <w:vAlign w:val="center"/>
            <w:hideMark/>
          </w:tcPr>
          <w:p w14:paraId="19AE7D9E" w14:textId="77777777" w:rsidR="00EA1783" w:rsidRPr="004E13E9" w:rsidRDefault="00EA1783" w:rsidP="00E62E84">
            <w:pPr>
              <w:rPr>
                <w:sz w:val="16"/>
                <w:szCs w:val="16"/>
                <w:lang w:bidi="fr-FR"/>
              </w:rPr>
            </w:pPr>
            <w:r w:rsidRPr="004E13E9">
              <w:rPr>
                <w:sz w:val="16"/>
                <w:szCs w:val="16"/>
                <w:lang w:bidi="fr-FR"/>
              </w:rPr>
              <w:t>0</w:t>
            </w:r>
          </w:p>
        </w:tc>
      </w:tr>
      <w:tr w:rsidR="00EA1783" w:rsidRPr="004E13E9" w14:paraId="0CD499DF"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noWrap/>
            <w:vAlign w:val="center"/>
            <w:hideMark/>
          </w:tcPr>
          <w:p w14:paraId="1C6D0DDE" w14:textId="77777777" w:rsidR="00EA1783" w:rsidRPr="004E13E9" w:rsidRDefault="00EA1783" w:rsidP="00E62E84">
            <w:pPr>
              <w:rPr>
                <w:sz w:val="16"/>
                <w:szCs w:val="16"/>
                <w:lang w:bidi="fr-FR"/>
              </w:rPr>
            </w:pPr>
            <w:proofErr w:type="spellStart"/>
            <w:r w:rsidRPr="004E13E9">
              <w:rPr>
                <w:sz w:val="16"/>
                <w:szCs w:val="16"/>
                <w:lang w:bidi="fr-FR"/>
              </w:rPr>
              <w:t>Palangrier</w:t>
            </w:r>
            <w:proofErr w:type="spellEnd"/>
            <w:r w:rsidRPr="004E13E9">
              <w:rPr>
                <w:sz w:val="16"/>
                <w:szCs w:val="16"/>
                <w:lang w:bidi="fr-FR"/>
              </w:rPr>
              <w:t xml:space="preserve"> entre 24 et 40 m</w:t>
            </w:r>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1EB9D0AC" w14:textId="77777777" w:rsidR="00EA1783" w:rsidRPr="004E13E9" w:rsidRDefault="00EA1783" w:rsidP="00E62E84">
            <w:pPr>
              <w:rPr>
                <w:sz w:val="16"/>
                <w:szCs w:val="16"/>
                <w:lang w:bidi="fr-FR"/>
              </w:rPr>
            </w:pPr>
            <w:r w:rsidRPr="004E13E9">
              <w:rPr>
                <w:sz w:val="16"/>
                <w:szCs w:val="16"/>
                <w:lang w:bidi="fr-FR"/>
              </w:rPr>
              <w:t>5,68</w:t>
            </w:r>
          </w:p>
        </w:tc>
        <w:tc>
          <w:tcPr>
            <w:tcW w:w="201" w:type="pct"/>
            <w:tcBorders>
              <w:top w:val="single" w:sz="4" w:space="0" w:color="auto"/>
              <w:left w:val="single" w:sz="4" w:space="0" w:color="auto"/>
              <w:bottom w:val="single" w:sz="4" w:space="0" w:color="auto"/>
              <w:right w:val="single" w:sz="4" w:space="0" w:color="auto"/>
            </w:tcBorders>
            <w:hideMark/>
          </w:tcPr>
          <w:p w14:paraId="598713D9"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noWrap/>
            <w:hideMark/>
          </w:tcPr>
          <w:p w14:paraId="2E1162F8" w14:textId="77777777" w:rsidR="00EA1783" w:rsidRPr="004E13E9" w:rsidRDefault="00EA1783" w:rsidP="00E62E84">
            <w:pPr>
              <w:rPr>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hideMark/>
          </w:tcPr>
          <w:p w14:paraId="6C0E9696"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06B3F82C"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4144773E"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hideMark/>
          </w:tcPr>
          <w:p w14:paraId="7A9F5565" w14:textId="77777777" w:rsidR="00EA1783" w:rsidRPr="004E13E9" w:rsidRDefault="00EA1783" w:rsidP="00E62E84">
            <w:pPr>
              <w:rPr>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hideMark/>
          </w:tcPr>
          <w:p w14:paraId="4D9BF5A8" w14:textId="77777777" w:rsidR="00EA1783" w:rsidRPr="004E13E9" w:rsidRDefault="00EA1783" w:rsidP="00E62E84">
            <w:pPr>
              <w:rPr>
                <w:sz w:val="16"/>
                <w:szCs w:val="16"/>
                <w:lang w:bidi="fr-FR"/>
              </w:rPr>
            </w:pPr>
            <w:r w:rsidRPr="004E13E9">
              <w:rPr>
                <w:sz w:val="16"/>
                <w:szCs w:val="16"/>
                <w:lang w:bidi="fr-FR"/>
              </w:rPr>
              <w:t>0</w:t>
            </w: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32C1282" w14:textId="77777777" w:rsidR="00EA1783" w:rsidRPr="004E13E9" w:rsidRDefault="00EA1783" w:rsidP="00E62E84">
            <w:pPr>
              <w:rPr>
                <w:sz w:val="16"/>
                <w:szCs w:val="16"/>
                <w:lang w:bidi="fr-FR"/>
              </w:rPr>
            </w:pPr>
            <w:r w:rsidRPr="004E13E9">
              <w:rPr>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hideMark/>
          </w:tcPr>
          <w:p w14:paraId="7CCEF551" w14:textId="77777777" w:rsidR="00EA1783" w:rsidRPr="004E13E9" w:rsidRDefault="00EA1783" w:rsidP="00E62E84">
            <w:pPr>
              <w:rPr>
                <w:sz w:val="16"/>
                <w:szCs w:val="16"/>
                <w:lang w:bidi="fr-FR"/>
              </w:rPr>
            </w:pPr>
            <w:r w:rsidRPr="004E13E9">
              <w:rPr>
                <w:sz w:val="16"/>
                <w:szCs w:val="16"/>
                <w:lang w:bidi="fr-FR"/>
              </w:rPr>
              <w:t>0</w:t>
            </w:r>
          </w:p>
        </w:tc>
        <w:tc>
          <w:tcPr>
            <w:tcW w:w="200" w:type="pct"/>
            <w:tcBorders>
              <w:top w:val="single" w:sz="4" w:space="0" w:color="auto"/>
              <w:left w:val="single" w:sz="4" w:space="0" w:color="auto"/>
              <w:bottom w:val="single" w:sz="4" w:space="0" w:color="auto"/>
              <w:right w:val="single" w:sz="4" w:space="0" w:color="auto"/>
            </w:tcBorders>
            <w:hideMark/>
          </w:tcPr>
          <w:p w14:paraId="2AA61A71" w14:textId="77777777" w:rsidR="00EA1783" w:rsidRPr="004E13E9" w:rsidRDefault="00EA1783" w:rsidP="00E62E84">
            <w:pPr>
              <w:rPr>
                <w:sz w:val="16"/>
                <w:szCs w:val="16"/>
                <w:lang w:bidi="fr-FR"/>
              </w:rPr>
            </w:pPr>
            <w:r w:rsidRPr="004E13E9">
              <w:rPr>
                <w:sz w:val="16"/>
                <w:szCs w:val="16"/>
                <w:lang w:bidi="fr-FR"/>
              </w:rPr>
              <w:t>0</w:t>
            </w:r>
          </w:p>
        </w:tc>
        <w:tc>
          <w:tcPr>
            <w:tcW w:w="253" w:type="pct"/>
            <w:tcBorders>
              <w:top w:val="single" w:sz="4" w:space="0" w:color="auto"/>
              <w:left w:val="single" w:sz="4" w:space="0" w:color="auto"/>
              <w:bottom w:val="single" w:sz="4" w:space="0" w:color="auto"/>
              <w:right w:val="single" w:sz="4" w:space="0" w:color="auto"/>
            </w:tcBorders>
            <w:hideMark/>
          </w:tcPr>
          <w:p w14:paraId="415117D3" w14:textId="77777777" w:rsidR="00EA1783" w:rsidRPr="004E13E9" w:rsidRDefault="00EA1783" w:rsidP="00E62E84">
            <w:pPr>
              <w:rPr>
                <w:sz w:val="16"/>
                <w:szCs w:val="16"/>
                <w:lang w:bidi="fr-FR"/>
              </w:rPr>
            </w:pPr>
            <w:r w:rsidRPr="004E13E9">
              <w:rPr>
                <w:sz w:val="16"/>
                <w:szCs w:val="16"/>
                <w:lang w:bidi="fr-FR"/>
              </w:rPr>
              <w:t>0</w:t>
            </w:r>
          </w:p>
        </w:tc>
        <w:tc>
          <w:tcPr>
            <w:tcW w:w="248" w:type="pct"/>
            <w:tcBorders>
              <w:top w:val="single" w:sz="4" w:space="0" w:color="auto"/>
              <w:left w:val="single" w:sz="4" w:space="0" w:color="auto"/>
              <w:bottom w:val="single" w:sz="4" w:space="0" w:color="auto"/>
              <w:right w:val="single" w:sz="4" w:space="0" w:color="auto"/>
            </w:tcBorders>
            <w:hideMark/>
          </w:tcPr>
          <w:p w14:paraId="5F0BCB06" w14:textId="77777777" w:rsidR="00EA1783" w:rsidRPr="004E13E9" w:rsidRDefault="00EA1783" w:rsidP="00E62E84">
            <w:pPr>
              <w:rPr>
                <w:sz w:val="16"/>
                <w:szCs w:val="16"/>
                <w:lang w:bidi="fr-FR"/>
              </w:rPr>
            </w:pPr>
            <w:r w:rsidRPr="004E13E9">
              <w:rPr>
                <w:sz w:val="16"/>
                <w:szCs w:val="16"/>
                <w:lang w:bidi="fr-FR"/>
              </w:rPr>
              <w:t>0</w:t>
            </w:r>
          </w:p>
        </w:tc>
        <w:tc>
          <w:tcPr>
            <w:tcW w:w="259" w:type="pct"/>
            <w:tcBorders>
              <w:top w:val="single" w:sz="4" w:space="0" w:color="auto"/>
              <w:left w:val="single" w:sz="4" w:space="0" w:color="auto"/>
              <w:bottom w:val="single" w:sz="4" w:space="0" w:color="auto"/>
              <w:right w:val="single" w:sz="4" w:space="0" w:color="auto"/>
            </w:tcBorders>
            <w:hideMark/>
          </w:tcPr>
          <w:p w14:paraId="6278890F" w14:textId="77777777" w:rsidR="00EA1783" w:rsidRPr="004E13E9" w:rsidRDefault="00EA1783" w:rsidP="00E62E84">
            <w:pPr>
              <w:rPr>
                <w:sz w:val="16"/>
                <w:szCs w:val="16"/>
                <w:lang w:bidi="fr-FR"/>
              </w:rPr>
            </w:pPr>
            <w:r w:rsidRPr="004E13E9">
              <w:rPr>
                <w:sz w:val="16"/>
                <w:szCs w:val="16"/>
                <w:lang w:bidi="fr-FR"/>
              </w:rPr>
              <w:t>0</w:t>
            </w:r>
          </w:p>
        </w:tc>
        <w:tc>
          <w:tcPr>
            <w:tcW w:w="275" w:type="pct"/>
            <w:tcBorders>
              <w:top w:val="single" w:sz="4" w:space="0" w:color="auto"/>
              <w:left w:val="single" w:sz="4" w:space="0" w:color="auto"/>
              <w:bottom w:val="single" w:sz="4" w:space="0" w:color="auto"/>
              <w:right w:val="single" w:sz="4" w:space="0" w:color="auto"/>
            </w:tcBorders>
            <w:hideMark/>
          </w:tcPr>
          <w:p w14:paraId="452EE329" w14:textId="77777777" w:rsidR="00EA1783" w:rsidRPr="004E13E9" w:rsidRDefault="00EA1783" w:rsidP="00E62E84">
            <w:pPr>
              <w:rPr>
                <w:sz w:val="16"/>
                <w:szCs w:val="16"/>
                <w:lang w:bidi="fr-FR"/>
              </w:rPr>
            </w:pPr>
            <w:r w:rsidRPr="004E13E9">
              <w:rPr>
                <w:sz w:val="16"/>
                <w:szCs w:val="16"/>
                <w:lang w:bidi="fr-FR"/>
              </w:rPr>
              <w:t>0</w:t>
            </w:r>
          </w:p>
        </w:tc>
        <w:tc>
          <w:tcPr>
            <w:tcW w:w="316" w:type="pct"/>
            <w:tcBorders>
              <w:top w:val="single" w:sz="4" w:space="0" w:color="auto"/>
              <w:left w:val="single" w:sz="4" w:space="0" w:color="auto"/>
              <w:bottom w:val="single" w:sz="4" w:space="0" w:color="auto"/>
              <w:right w:val="single" w:sz="4" w:space="0" w:color="auto"/>
            </w:tcBorders>
            <w:hideMark/>
          </w:tcPr>
          <w:p w14:paraId="32CD6626" w14:textId="77777777" w:rsidR="00EA1783" w:rsidRPr="004E13E9" w:rsidRDefault="00EA1783" w:rsidP="00E62E84">
            <w:pPr>
              <w:rPr>
                <w:sz w:val="16"/>
                <w:szCs w:val="16"/>
                <w:lang w:bidi="fr-FR"/>
              </w:rPr>
            </w:pPr>
            <w:r w:rsidRPr="004E13E9">
              <w:rPr>
                <w:sz w:val="16"/>
                <w:szCs w:val="16"/>
                <w:lang w:bidi="fr-FR"/>
              </w:rPr>
              <w:t>0</w:t>
            </w:r>
          </w:p>
        </w:tc>
      </w:tr>
      <w:tr w:rsidR="00EA1783" w:rsidRPr="004E13E9" w14:paraId="16671FD8"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noWrap/>
            <w:vAlign w:val="center"/>
            <w:hideMark/>
          </w:tcPr>
          <w:p w14:paraId="531FC039" w14:textId="77777777" w:rsidR="00EA1783" w:rsidRPr="004E13E9" w:rsidRDefault="00EA1783" w:rsidP="00E62E84">
            <w:pPr>
              <w:rPr>
                <w:sz w:val="16"/>
                <w:szCs w:val="16"/>
                <w:lang w:val="fr-FR" w:bidi="fr-FR"/>
              </w:rPr>
            </w:pPr>
            <w:r w:rsidRPr="004E13E9">
              <w:rPr>
                <w:sz w:val="16"/>
                <w:szCs w:val="16"/>
                <w:lang w:val="fr-FR" w:bidi="fr-FR"/>
              </w:rPr>
              <w:t>Palangrier de moins de 24m</w:t>
            </w:r>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041E3E1A" w14:textId="77777777" w:rsidR="00EA1783" w:rsidRPr="004E13E9" w:rsidRDefault="00EA1783" w:rsidP="00E62E84">
            <w:pPr>
              <w:rPr>
                <w:sz w:val="16"/>
                <w:szCs w:val="16"/>
                <w:lang w:bidi="fr-FR"/>
              </w:rPr>
            </w:pPr>
            <w:r w:rsidRPr="004E13E9">
              <w:rPr>
                <w:sz w:val="16"/>
                <w:szCs w:val="16"/>
                <w:lang w:bidi="fr-FR"/>
              </w:rPr>
              <w:t>5</w:t>
            </w:r>
          </w:p>
        </w:tc>
        <w:tc>
          <w:tcPr>
            <w:tcW w:w="201" w:type="pct"/>
            <w:tcBorders>
              <w:top w:val="single" w:sz="4" w:space="0" w:color="auto"/>
              <w:left w:val="single" w:sz="4" w:space="0" w:color="auto"/>
              <w:bottom w:val="single" w:sz="4" w:space="0" w:color="auto"/>
              <w:right w:val="single" w:sz="4" w:space="0" w:color="auto"/>
            </w:tcBorders>
            <w:hideMark/>
          </w:tcPr>
          <w:p w14:paraId="1741146F"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noWrap/>
            <w:hideMark/>
          </w:tcPr>
          <w:p w14:paraId="36B9A783" w14:textId="77777777" w:rsidR="00EA1783" w:rsidRPr="004E13E9" w:rsidRDefault="00EA1783" w:rsidP="00E62E84">
            <w:pPr>
              <w:rPr>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hideMark/>
          </w:tcPr>
          <w:p w14:paraId="0B5C277B"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696359D2"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2379B9B6"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hideMark/>
          </w:tcPr>
          <w:p w14:paraId="0FD64E97" w14:textId="77777777" w:rsidR="00EA1783" w:rsidRPr="004E13E9" w:rsidRDefault="00EA1783" w:rsidP="00E62E84">
            <w:pPr>
              <w:rPr>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hideMark/>
          </w:tcPr>
          <w:p w14:paraId="2B91B7AC" w14:textId="77777777" w:rsidR="00EA1783" w:rsidRPr="004E13E9" w:rsidRDefault="00EA1783" w:rsidP="00E62E84">
            <w:pPr>
              <w:rPr>
                <w:sz w:val="16"/>
                <w:szCs w:val="16"/>
                <w:lang w:bidi="fr-FR"/>
              </w:rPr>
            </w:pPr>
            <w:r w:rsidRPr="004E13E9">
              <w:rPr>
                <w:sz w:val="16"/>
                <w:szCs w:val="16"/>
                <w:lang w:bidi="fr-FR"/>
              </w:rPr>
              <w:t>0</w:t>
            </w: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03FF989" w14:textId="77777777" w:rsidR="00EA1783" w:rsidRPr="004E13E9" w:rsidRDefault="00EA1783" w:rsidP="00E62E84">
            <w:pPr>
              <w:rPr>
                <w:sz w:val="16"/>
                <w:szCs w:val="16"/>
                <w:lang w:bidi="fr-FR"/>
              </w:rPr>
            </w:pPr>
            <w:r w:rsidRPr="004E13E9">
              <w:rPr>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hideMark/>
          </w:tcPr>
          <w:p w14:paraId="0154AB28" w14:textId="77777777" w:rsidR="00EA1783" w:rsidRPr="004E13E9" w:rsidRDefault="00EA1783" w:rsidP="00E62E84">
            <w:pPr>
              <w:rPr>
                <w:sz w:val="16"/>
                <w:szCs w:val="16"/>
                <w:lang w:bidi="fr-FR"/>
              </w:rPr>
            </w:pPr>
            <w:r w:rsidRPr="004E13E9">
              <w:rPr>
                <w:sz w:val="16"/>
                <w:szCs w:val="16"/>
                <w:lang w:bidi="fr-FR"/>
              </w:rPr>
              <w:t>0</w:t>
            </w:r>
          </w:p>
        </w:tc>
        <w:tc>
          <w:tcPr>
            <w:tcW w:w="200" w:type="pct"/>
            <w:tcBorders>
              <w:top w:val="single" w:sz="4" w:space="0" w:color="auto"/>
              <w:left w:val="single" w:sz="4" w:space="0" w:color="auto"/>
              <w:bottom w:val="single" w:sz="4" w:space="0" w:color="auto"/>
              <w:right w:val="single" w:sz="4" w:space="0" w:color="auto"/>
            </w:tcBorders>
            <w:hideMark/>
          </w:tcPr>
          <w:p w14:paraId="2836BB5B" w14:textId="77777777" w:rsidR="00EA1783" w:rsidRPr="004E13E9" w:rsidRDefault="00EA1783" w:rsidP="00E62E84">
            <w:pPr>
              <w:rPr>
                <w:sz w:val="16"/>
                <w:szCs w:val="16"/>
                <w:lang w:bidi="fr-FR"/>
              </w:rPr>
            </w:pPr>
            <w:r w:rsidRPr="004E13E9">
              <w:rPr>
                <w:sz w:val="16"/>
                <w:szCs w:val="16"/>
                <w:lang w:bidi="fr-FR"/>
              </w:rPr>
              <w:t>0</w:t>
            </w:r>
          </w:p>
        </w:tc>
        <w:tc>
          <w:tcPr>
            <w:tcW w:w="253" w:type="pct"/>
            <w:tcBorders>
              <w:top w:val="single" w:sz="4" w:space="0" w:color="auto"/>
              <w:left w:val="single" w:sz="4" w:space="0" w:color="auto"/>
              <w:bottom w:val="single" w:sz="4" w:space="0" w:color="auto"/>
              <w:right w:val="single" w:sz="4" w:space="0" w:color="auto"/>
            </w:tcBorders>
            <w:hideMark/>
          </w:tcPr>
          <w:p w14:paraId="56BE50C6" w14:textId="77777777" w:rsidR="00EA1783" w:rsidRPr="004E13E9" w:rsidRDefault="00EA1783" w:rsidP="00E62E84">
            <w:pPr>
              <w:rPr>
                <w:sz w:val="16"/>
                <w:szCs w:val="16"/>
                <w:lang w:bidi="fr-FR"/>
              </w:rPr>
            </w:pPr>
            <w:r w:rsidRPr="004E13E9">
              <w:rPr>
                <w:sz w:val="16"/>
                <w:szCs w:val="16"/>
                <w:lang w:bidi="fr-FR"/>
              </w:rPr>
              <w:t>0</w:t>
            </w:r>
          </w:p>
        </w:tc>
        <w:tc>
          <w:tcPr>
            <w:tcW w:w="248" w:type="pct"/>
            <w:tcBorders>
              <w:top w:val="single" w:sz="4" w:space="0" w:color="auto"/>
              <w:left w:val="single" w:sz="4" w:space="0" w:color="auto"/>
              <w:bottom w:val="single" w:sz="4" w:space="0" w:color="auto"/>
              <w:right w:val="single" w:sz="4" w:space="0" w:color="auto"/>
            </w:tcBorders>
            <w:hideMark/>
          </w:tcPr>
          <w:p w14:paraId="5E2DA28B" w14:textId="77777777" w:rsidR="00EA1783" w:rsidRPr="004E13E9" w:rsidRDefault="00EA1783" w:rsidP="00E62E84">
            <w:pPr>
              <w:rPr>
                <w:sz w:val="16"/>
                <w:szCs w:val="16"/>
                <w:lang w:bidi="fr-FR"/>
              </w:rPr>
            </w:pPr>
            <w:r w:rsidRPr="004E13E9">
              <w:rPr>
                <w:sz w:val="16"/>
                <w:szCs w:val="16"/>
                <w:lang w:bidi="fr-FR"/>
              </w:rPr>
              <w:t>0</w:t>
            </w:r>
          </w:p>
        </w:tc>
        <w:tc>
          <w:tcPr>
            <w:tcW w:w="259" w:type="pct"/>
            <w:tcBorders>
              <w:top w:val="single" w:sz="4" w:space="0" w:color="auto"/>
              <w:left w:val="single" w:sz="4" w:space="0" w:color="auto"/>
              <w:bottom w:val="single" w:sz="4" w:space="0" w:color="auto"/>
              <w:right w:val="single" w:sz="4" w:space="0" w:color="auto"/>
            </w:tcBorders>
            <w:hideMark/>
          </w:tcPr>
          <w:p w14:paraId="17C19227" w14:textId="77777777" w:rsidR="00EA1783" w:rsidRPr="004E13E9" w:rsidRDefault="00EA1783" w:rsidP="00E62E84">
            <w:pPr>
              <w:rPr>
                <w:sz w:val="16"/>
                <w:szCs w:val="16"/>
                <w:lang w:bidi="fr-FR"/>
              </w:rPr>
            </w:pPr>
            <w:r w:rsidRPr="004E13E9">
              <w:rPr>
                <w:sz w:val="16"/>
                <w:szCs w:val="16"/>
                <w:lang w:bidi="fr-FR"/>
              </w:rPr>
              <w:t>0</w:t>
            </w:r>
          </w:p>
        </w:tc>
        <w:tc>
          <w:tcPr>
            <w:tcW w:w="275" w:type="pct"/>
            <w:tcBorders>
              <w:top w:val="single" w:sz="4" w:space="0" w:color="auto"/>
              <w:left w:val="single" w:sz="4" w:space="0" w:color="auto"/>
              <w:bottom w:val="single" w:sz="4" w:space="0" w:color="auto"/>
              <w:right w:val="single" w:sz="4" w:space="0" w:color="auto"/>
            </w:tcBorders>
            <w:hideMark/>
          </w:tcPr>
          <w:p w14:paraId="7810ABF8" w14:textId="77777777" w:rsidR="00EA1783" w:rsidRPr="004E13E9" w:rsidRDefault="00EA1783" w:rsidP="00E62E84">
            <w:pPr>
              <w:rPr>
                <w:sz w:val="16"/>
                <w:szCs w:val="16"/>
                <w:lang w:bidi="fr-FR"/>
              </w:rPr>
            </w:pPr>
            <w:r w:rsidRPr="004E13E9">
              <w:rPr>
                <w:sz w:val="16"/>
                <w:szCs w:val="16"/>
                <w:lang w:bidi="fr-FR"/>
              </w:rPr>
              <w:t>0</w:t>
            </w:r>
          </w:p>
        </w:tc>
        <w:tc>
          <w:tcPr>
            <w:tcW w:w="316" w:type="pct"/>
            <w:tcBorders>
              <w:top w:val="single" w:sz="4" w:space="0" w:color="auto"/>
              <w:left w:val="single" w:sz="4" w:space="0" w:color="auto"/>
              <w:bottom w:val="single" w:sz="4" w:space="0" w:color="auto"/>
              <w:right w:val="single" w:sz="4" w:space="0" w:color="auto"/>
            </w:tcBorders>
            <w:hideMark/>
          </w:tcPr>
          <w:p w14:paraId="32A24613" w14:textId="77777777" w:rsidR="00EA1783" w:rsidRPr="004E13E9" w:rsidRDefault="00EA1783" w:rsidP="00E62E84">
            <w:pPr>
              <w:rPr>
                <w:sz w:val="16"/>
                <w:szCs w:val="16"/>
                <w:lang w:bidi="fr-FR"/>
              </w:rPr>
            </w:pPr>
            <w:r w:rsidRPr="004E13E9">
              <w:rPr>
                <w:sz w:val="16"/>
                <w:szCs w:val="16"/>
                <w:lang w:bidi="fr-FR"/>
              </w:rPr>
              <w:t>0</w:t>
            </w:r>
          </w:p>
        </w:tc>
      </w:tr>
      <w:tr w:rsidR="00EA1783" w:rsidRPr="004E13E9" w14:paraId="328060FE"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noWrap/>
            <w:vAlign w:val="center"/>
            <w:hideMark/>
          </w:tcPr>
          <w:p w14:paraId="0D3D6C40" w14:textId="77777777" w:rsidR="00EA1783" w:rsidRPr="004E13E9" w:rsidRDefault="00EA1783" w:rsidP="00E62E84">
            <w:pPr>
              <w:rPr>
                <w:b/>
                <w:bCs/>
                <w:sz w:val="16"/>
                <w:szCs w:val="16"/>
                <w:lang w:bidi="fr-FR"/>
              </w:rPr>
            </w:pPr>
            <w:proofErr w:type="spellStart"/>
            <w:r w:rsidRPr="004E13E9">
              <w:rPr>
                <w:b/>
                <w:sz w:val="16"/>
                <w:szCs w:val="16"/>
                <w:lang w:bidi="fr-FR"/>
              </w:rPr>
              <w:t>Flottille</w:t>
            </w:r>
            <w:proofErr w:type="spellEnd"/>
            <w:r w:rsidRPr="004E13E9">
              <w:rPr>
                <w:b/>
                <w:sz w:val="16"/>
                <w:szCs w:val="16"/>
                <w:lang w:bidi="fr-FR"/>
              </w:rPr>
              <w:t xml:space="preserve"> </w:t>
            </w:r>
            <w:proofErr w:type="spellStart"/>
            <w:r w:rsidRPr="004E13E9">
              <w:rPr>
                <w:b/>
                <w:sz w:val="16"/>
                <w:szCs w:val="16"/>
                <w:lang w:bidi="fr-FR"/>
              </w:rPr>
              <w:t>totale</w:t>
            </w:r>
            <w:proofErr w:type="spellEnd"/>
            <w:r w:rsidRPr="004E13E9">
              <w:rPr>
                <w:b/>
                <w:sz w:val="16"/>
                <w:szCs w:val="16"/>
                <w:lang w:bidi="fr-FR"/>
              </w:rPr>
              <w:t xml:space="preserve"> de </w:t>
            </w:r>
            <w:proofErr w:type="spellStart"/>
            <w:r w:rsidRPr="004E13E9">
              <w:rPr>
                <w:b/>
                <w:sz w:val="16"/>
                <w:szCs w:val="16"/>
                <w:lang w:bidi="fr-FR"/>
              </w:rPr>
              <w:t>palangriers</w:t>
            </w:r>
            <w:proofErr w:type="spellEnd"/>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086E915F" w14:textId="77777777" w:rsidR="00EA1783" w:rsidRPr="004E13E9" w:rsidRDefault="00EA1783" w:rsidP="00E62E84">
            <w:pPr>
              <w:rPr>
                <w:sz w:val="16"/>
                <w:szCs w:val="16"/>
                <w:lang w:bidi="fr-FR"/>
              </w:rPr>
            </w:pPr>
            <w:r w:rsidRPr="004E13E9">
              <w:rPr>
                <w:sz w:val="16"/>
                <w:szCs w:val="16"/>
                <w:lang w:bidi="fr-FR"/>
              </w:rPr>
              <w:t> </w:t>
            </w:r>
          </w:p>
        </w:tc>
        <w:tc>
          <w:tcPr>
            <w:tcW w:w="201" w:type="pct"/>
            <w:tcBorders>
              <w:top w:val="single" w:sz="4" w:space="0" w:color="auto"/>
              <w:left w:val="single" w:sz="4" w:space="0" w:color="auto"/>
              <w:bottom w:val="single" w:sz="4" w:space="0" w:color="auto"/>
              <w:right w:val="single" w:sz="4" w:space="0" w:color="auto"/>
            </w:tcBorders>
            <w:hideMark/>
          </w:tcPr>
          <w:p w14:paraId="14CB8CE1" w14:textId="77777777" w:rsidR="00EA1783" w:rsidRPr="004E13E9" w:rsidRDefault="00EA1783" w:rsidP="00E62E84">
            <w:pPr>
              <w:rPr>
                <w:b/>
                <w:bCs/>
                <w:sz w:val="16"/>
                <w:szCs w:val="16"/>
                <w:lang w:bidi="fr-FR"/>
              </w:rPr>
            </w:pPr>
            <w:r w:rsidRPr="004E13E9">
              <w:rPr>
                <w:sz w:val="16"/>
                <w:szCs w:val="16"/>
                <w:lang w:bidi="fr-FR"/>
              </w:rPr>
              <w:t>5</w:t>
            </w:r>
          </w:p>
        </w:tc>
        <w:tc>
          <w:tcPr>
            <w:tcW w:w="201" w:type="pct"/>
            <w:tcBorders>
              <w:top w:val="single" w:sz="4" w:space="0" w:color="auto"/>
              <w:left w:val="single" w:sz="4" w:space="0" w:color="auto"/>
              <w:bottom w:val="single" w:sz="4" w:space="0" w:color="auto"/>
              <w:right w:val="single" w:sz="4" w:space="0" w:color="auto"/>
            </w:tcBorders>
            <w:noWrap/>
            <w:vAlign w:val="center"/>
            <w:hideMark/>
          </w:tcPr>
          <w:p w14:paraId="5FE86363" w14:textId="77777777" w:rsidR="00EA1783" w:rsidRPr="004E13E9" w:rsidRDefault="00EA1783" w:rsidP="00E62E84">
            <w:pPr>
              <w:rPr>
                <w:b/>
                <w:bCs/>
                <w:sz w:val="16"/>
                <w:szCs w:val="16"/>
                <w:lang w:bidi="fr-FR"/>
              </w:rPr>
            </w:pPr>
            <w:r w:rsidRPr="004E13E9">
              <w:rPr>
                <w:sz w:val="16"/>
                <w:szCs w:val="16"/>
                <w:lang w:bidi="fr-FR"/>
              </w:rPr>
              <w:t>5</w:t>
            </w:r>
          </w:p>
        </w:tc>
        <w:tc>
          <w:tcPr>
            <w:tcW w:w="203" w:type="pct"/>
            <w:tcBorders>
              <w:top w:val="single" w:sz="4" w:space="0" w:color="auto"/>
              <w:left w:val="single" w:sz="4" w:space="0" w:color="auto"/>
              <w:bottom w:val="single" w:sz="4" w:space="0" w:color="auto"/>
              <w:right w:val="single" w:sz="4" w:space="0" w:color="auto"/>
            </w:tcBorders>
            <w:vAlign w:val="center"/>
            <w:hideMark/>
          </w:tcPr>
          <w:p w14:paraId="7139AA06" w14:textId="77777777" w:rsidR="00EA1783" w:rsidRPr="004E13E9" w:rsidRDefault="00EA1783" w:rsidP="00E62E84">
            <w:pPr>
              <w:rPr>
                <w:b/>
                <w:bCs/>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4C3C98F2"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4BC463FD"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hideMark/>
          </w:tcPr>
          <w:p w14:paraId="483CC637" w14:textId="77777777" w:rsidR="00EA1783" w:rsidRPr="004E13E9" w:rsidRDefault="00EA1783" w:rsidP="00E62E84">
            <w:pPr>
              <w:rPr>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hideMark/>
          </w:tcPr>
          <w:p w14:paraId="5E8CF5A2" w14:textId="77777777" w:rsidR="00EA1783" w:rsidRPr="004E13E9" w:rsidRDefault="00EA1783" w:rsidP="00E62E84">
            <w:pPr>
              <w:rPr>
                <w:sz w:val="16"/>
                <w:szCs w:val="16"/>
                <w:lang w:bidi="fr-FR"/>
              </w:rPr>
            </w:pPr>
            <w:r w:rsidRPr="004E13E9">
              <w:rPr>
                <w:sz w:val="16"/>
                <w:szCs w:val="16"/>
                <w:lang w:bidi="fr-FR"/>
              </w:rPr>
              <w:t>0</w:t>
            </w: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0B836E5" w14:textId="77777777" w:rsidR="00EA1783" w:rsidRPr="004E13E9" w:rsidRDefault="00EA1783" w:rsidP="00E62E84">
            <w:pPr>
              <w:rPr>
                <w:b/>
                <w:bCs/>
                <w:sz w:val="16"/>
                <w:szCs w:val="16"/>
                <w:lang w:bidi="fr-FR"/>
              </w:rPr>
            </w:pPr>
            <w:r w:rsidRPr="004E13E9">
              <w:rPr>
                <w:b/>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hideMark/>
          </w:tcPr>
          <w:p w14:paraId="161ED060" w14:textId="77777777" w:rsidR="00EA1783" w:rsidRPr="004E13E9" w:rsidRDefault="00EA1783" w:rsidP="00E62E84">
            <w:pPr>
              <w:rPr>
                <w:sz w:val="16"/>
                <w:szCs w:val="16"/>
                <w:lang w:bidi="fr-FR"/>
              </w:rPr>
            </w:pPr>
            <w:r w:rsidRPr="004E13E9">
              <w:rPr>
                <w:sz w:val="16"/>
                <w:szCs w:val="16"/>
                <w:lang w:bidi="fr-FR"/>
              </w:rPr>
              <w:t>125</w:t>
            </w:r>
          </w:p>
        </w:tc>
        <w:tc>
          <w:tcPr>
            <w:tcW w:w="200" w:type="pct"/>
            <w:tcBorders>
              <w:top w:val="single" w:sz="4" w:space="0" w:color="auto"/>
              <w:left w:val="single" w:sz="4" w:space="0" w:color="auto"/>
              <w:bottom w:val="single" w:sz="4" w:space="0" w:color="auto"/>
              <w:right w:val="single" w:sz="4" w:space="0" w:color="auto"/>
            </w:tcBorders>
            <w:vAlign w:val="center"/>
            <w:hideMark/>
          </w:tcPr>
          <w:p w14:paraId="372CBCE8" w14:textId="77777777" w:rsidR="00EA1783" w:rsidRPr="004E13E9" w:rsidRDefault="00EA1783" w:rsidP="00E62E84">
            <w:pPr>
              <w:rPr>
                <w:sz w:val="16"/>
                <w:szCs w:val="16"/>
                <w:lang w:bidi="fr-FR"/>
              </w:rPr>
            </w:pPr>
            <w:r w:rsidRPr="004E13E9">
              <w:rPr>
                <w:sz w:val="16"/>
                <w:szCs w:val="16"/>
                <w:lang w:bidi="fr-FR"/>
              </w:rPr>
              <w:t>125</w:t>
            </w:r>
          </w:p>
        </w:tc>
        <w:tc>
          <w:tcPr>
            <w:tcW w:w="253" w:type="pct"/>
            <w:tcBorders>
              <w:top w:val="single" w:sz="4" w:space="0" w:color="auto"/>
              <w:left w:val="single" w:sz="4" w:space="0" w:color="auto"/>
              <w:bottom w:val="single" w:sz="4" w:space="0" w:color="auto"/>
              <w:right w:val="single" w:sz="4" w:space="0" w:color="auto"/>
            </w:tcBorders>
            <w:vAlign w:val="center"/>
            <w:hideMark/>
          </w:tcPr>
          <w:p w14:paraId="4A57D571" w14:textId="77777777" w:rsidR="00EA1783" w:rsidRPr="004E13E9" w:rsidRDefault="00EA1783" w:rsidP="00E62E84">
            <w:pPr>
              <w:rPr>
                <w:sz w:val="16"/>
                <w:szCs w:val="16"/>
                <w:lang w:bidi="fr-FR"/>
              </w:rPr>
            </w:pPr>
            <w:r w:rsidRPr="004E13E9">
              <w:rPr>
                <w:sz w:val="16"/>
                <w:szCs w:val="16"/>
                <w:lang w:bidi="fr-FR"/>
              </w:rPr>
              <w:t>0</w:t>
            </w:r>
          </w:p>
        </w:tc>
        <w:tc>
          <w:tcPr>
            <w:tcW w:w="248" w:type="pct"/>
            <w:tcBorders>
              <w:top w:val="single" w:sz="4" w:space="0" w:color="auto"/>
              <w:left w:val="single" w:sz="4" w:space="0" w:color="auto"/>
              <w:bottom w:val="single" w:sz="4" w:space="0" w:color="auto"/>
              <w:right w:val="single" w:sz="4" w:space="0" w:color="auto"/>
            </w:tcBorders>
            <w:hideMark/>
          </w:tcPr>
          <w:p w14:paraId="26A41CA1" w14:textId="77777777" w:rsidR="00EA1783" w:rsidRPr="004E13E9" w:rsidRDefault="00EA1783" w:rsidP="00E62E84">
            <w:pPr>
              <w:rPr>
                <w:sz w:val="16"/>
                <w:szCs w:val="16"/>
                <w:lang w:bidi="fr-FR"/>
              </w:rPr>
            </w:pPr>
            <w:r w:rsidRPr="004E13E9">
              <w:rPr>
                <w:sz w:val="16"/>
                <w:szCs w:val="16"/>
                <w:lang w:bidi="fr-FR"/>
              </w:rPr>
              <w:t>0</w:t>
            </w:r>
          </w:p>
        </w:tc>
        <w:tc>
          <w:tcPr>
            <w:tcW w:w="259" w:type="pct"/>
            <w:tcBorders>
              <w:top w:val="single" w:sz="4" w:space="0" w:color="auto"/>
              <w:left w:val="single" w:sz="4" w:space="0" w:color="auto"/>
              <w:bottom w:val="single" w:sz="4" w:space="0" w:color="auto"/>
              <w:right w:val="single" w:sz="4" w:space="0" w:color="auto"/>
            </w:tcBorders>
            <w:vAlign w:val="center"/>
            <w:hideMark/>
          </w:tcPr>
          <w:p w14:paraId="00EB1865" w14:textId="77777777" w:rsidR="00EA1783" w:rsidRPr="004E13E9" w:rsidRDefault="00EA1783" w:rsidP="00E62E84">
            <w:pPr>
              <w:rPr>
                <w:sz w:val="16"/>
                <w:szCs w:val="16"/>
                <w:lang w:bidi="fr-FR"/>
              </w:rPr>
            </w:pPr>
            <w:r w:rsidRPr="004E13E9">
              <w:rPr>
                <w:sz w:val="16"/>
                <w:szCs w:val="16"/>
                <w:lang w:bidi="fr-FR"/>
              </w:rPr>
              <w:t>0</w:t>
            </w:r>
          </w:p>
        </w:tc>
        <w:tc>
          <w:tcPr>
            <w:tcW w:w="275" w:type="pct"/>
            <w:tcBorders>
              <w:top w:val="single" w:sz="4" w:space="0" w:color="auto"/>
              <w:left w:val="single" w:sz="4" w:space="0" w:color="auto"/>
              <w:bottom w:val="single" w:sz="4" w:space="0" w:color="auto"/>
              <w:right w:val="single" w:sz="4" w:space="0" w:color="auto"/>
            </w:tcBorders>
            <w:vAlign w:val="center"/>
            <w:hideMark/>
          </w:tcPr>
          <w:p w14:paraId="56138E3E" w14:textId="77777777" w:rsidR="00EA1783" w:rsidRPr="004E13E9" w:rsidRDefault="00EA1783" w:rsidP="00E62E84">
            <w:pPr>
              <w:rPr>
                <w:sz w:val="16"/>
                <w:szCs w:val="16"/>
                <w:lang w:bidi="fr-FR"/>
              </w:rPr>
            </w:pPr>
            <w:r w:rsidRPr="004E13E9">
              <w:rPr>
                <w:sz w:val="16"/>
                <w:szCs w:val="16"/>
                <w:lang w:bidi="fr-FR"/>
              </w:rPr>
              <w:t>0</w:t>
            </w:r>
          </w:p>
        </w:tc>
        <w:tc>
          <w:tcPr>
            <w:tcW w:w="316" w:type="pct"/>
            <w:tcBorders>
              <w:top w:val="single" w:sz="4" w:space="0" w:color="auto"/>
              <w:left w:val="single" w:sz="4" w:space="0" w:color="auto"/>
              <w:bottom w:val="single" w:sz="4" w:space="0" w:color="auto"/>
              <w:right w:val="single" w:sz="4" w:space="0" w:color="auto"/>
            </w:tcBorders>
            <w:vAlign w:val="center"/>
            <w:hideMark/>
          </w:tcPr>
          <w:p w14:paraId="4744B92A" w14:textId="77777777" w:rsidR="00EA1783" w:rsidRPr="004E13E9" w:rsidRDefault="00EA1783" w:rsidP="00E62E84">
            <w:pPr>
              <w:rPr>
                <w:sz w:val="16"/>
                <w:szCs w:val="16"/>
                <w:lang w:bidi="fr-FR"/>
              </w:rPr>
            </w:pPr>
            <w:r w:rsidRPr="004E13E9">
              <w:rPr>
                <w:sz w:val="16"/>
                <w:szCs w:val="16"/>
                <w:lang w:bidi="fr-FR"/>
              </w:rPr>
              <w:t>0</w:t>
            </w:r>
          </w:p>
        </w:tc>
      </w:tr>
      <w:tr w:rsidR="00EA1783" w:rsidRPr="004E13E9" w14:paraId="0B4803C1"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noWrap/>
            <w:vAlign w:val="center"/>
            <w:hideMark/>
          </w:tcPr>
          <w:p w14:paraId="0215B6DC" w14:textId="77777777" w:rsidR="00EA1783" w:rsidRPr="004E13E9" w:rsidRDefault="00EA1783" w:rsidP="00E62E84">
            <w:pPr>
              <w:rPr>
                <w:sz w:val="16"/>
                <w:szCs w:val="16"/>
                <w:lang w:bidi="fr-FR"/>
              </w:rPr>
            </w:pPr>
            <w:proofErr w:type="spellStart"/>
            <w:r w:rsidRPr="004E13E9">
              <w:rPr>
                <w:sz w:val="16"/>
                <w:szCs w:val="16"/>
                <w:lang w:bidi="fr-FR"/>
              </w:rPr>
              <w:t>Canneur</w:t>
            </w:r>
            <w:proofErr w:type="spellEnd"/>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1614CD72" w14:textId="77777777" w:rsidR="00EA1783" w:rsidRPr="004E13E9" w:rsidRDefault="00EA1783" w:rsidP="00E62E84">
            <w:pPr>
              <w:rPr>
                <w:sz w:val="16"/>
                <w:szCs w:val="16"/>
                <w:lang w:bidi="fr-FR"/>
              </w:rPr>
            </w:pPr>
            <w:r w:rsidRPr="004E13E9">
              <w:rPr>
                <w:sz w:val="16"/>
                <w:szCs w:val="16"/>
                <w:lang w:bidi="fr-FR"/>
              </w:rPr>
              <w:t>19,75</w:t>
            </w:r>
          </w:p>
        </w:tc>
        <w:tc>
          <w:tcPr>
            <w:tcW w:w="201" w:type="pct"/>
            <w:tcBorders>
              <w:top w:val="single" w:sz="4" w:space="0" w:color="auto"/>
              <w:left w:val="single" w:sz="4" w:space="0" w:color="auto"/>
              <w:bottom w:val="single" w:sz="4" w:space="0" w:color="auto"/>
              <w:right w:val="single" w:sz="4" w:space="0" w:color="auto"/>
            </w:tcBorders>
            <w:hideMark/>
          </w:tcPr>
          <w:p w14:paraId="371A58BF" w14:textId="77777777" w:rsidR="00EA1783" w:rsidRPr="004E13E9" w:rsidRDefault="00EA1783" w:rsidP="00E62E84">
            <w:pPr>
              <w:rPr>
                <w:b/>
                <w:bCs/>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noWrap/>
            <w:vAlign w:val="center"/>
            <w:hideMark/>
          </w:tcPr>
          <w:p w14:paraId="08CB6910" w14:textId="77777777" w:rsidR="00EA1783" w:rsidRPr="004E13E9" w:rsidRDefault="00EA1783" w:rsidP="00E62E84">
            <w:pPr>
              <w:rPr>
                <w:b/>
                <w:bCs/>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vAlign w:val="center"/>
            <w:hideMark/>
          </w:tcPr>
          <w:p w14:paraId="7E8A3DD6" w14:textId="77777777" w:rsidR="00EA1783" w:rsidRPr="004E13E9" w:rsidRDefault="00EA1783" w:rsidP="00E62E84">
            <w:pPr>
              <w:rPr>
                <w:b/>
                <w:bCs/>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18732F55"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15EB9BA2"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hideMark/>
          </w:tcPr>
          <w:p w14:paraId="0ABE61D5" w14:textId="77777777" w:rsidR="00EA1783" w:rsidRPr="004E13E9" w:rsidRDefault="00EA1783" w:rsidP="00E62E84">
            <w:pPr>
              <w:rPr>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hideMark/>
          </w:tcPr>
          <w:p w14:paraId="44BBE2E6" w14:textId="77777777" w:rsidR="00EA1783" w:rsidRPr="004E13E9" w:rsidRDefault="00EA1783" w:rsidP="00E62E84">
            <w:pPr>
              <w:rPr>
                <w:sz w:val="16"/>
                <w:szCs w:val="16"/>
                <w:lang w:bidi="fr-FR"/>
              </w:rPr>
            </w:pPr>
            <w:r w:rsidRPr="004E13E9">
              <w:rPr>
                <w:sz w:val="16"/>
                <w:szCs w:val="16"/>
                <w:lang w:bidi="fr-FR"/>
              </w:rPr>
              <w:t>0</w:t>
            </w: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6FC6612" w14:textId="77777777" w:rsidR="00EA1783" w:rsidRPr="004E13E9" w:rsidRDefault="00EA1783" w:rsidP="00E62E84">
            <w:pPr>
              <w:rPr>
                <w:b/>
                <w:bCs/>
                <w:sz w:val="16"/>
                <w:szCs w:val="16"/>
                <w:lang w:bidi="fr-FR"/>
              </w:rPr>
            </w:pPr>
            <w:r w:rsidRPr="004E13E9">
              <w:rPr>
                <w:b/>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hideMark/>
          </w:tcPr>
          <w:p w14:paraId="4BE4BC8C" w14:textId="77777777" w:rsidR="00EA1783" w:rsidRPr="004E13E9" w:rsidRDefault="00EA1783" w:rsidP="00E62E84">
            <w:pPr>
              <w:rPr>
                <w:sz w:val="16"/>
                <w:szCs w:val="16"/>
                <w:lang w:bidi="fr-FR"/>
              </w:rPr>
            </w:pPr>
            <w:r w:rsidRPr="004E13E9">
              <w:rPr>
                <w:sz w:val="16"/>
                <w:szCs w:val="16"/>
                <w:lang w:bidi="fr-FR"/>
              </w:rPr>
              <w:t>0</w:t>
            </w:r>
          </w:p>
        </w:tc>
        <w:tc>
          <w:tcPr>
            <w:tcW w:w="200" w:type="pct"/>
            <w:tcBorders>
              <w:top w:val="single" w:sz="4" w:space="0" w:color="auto"/>
              <w:left w:val="single" w:sz="4" w:space="0" w:color="auto"/>
              <w:bottom w:val="single" w:sz="4" w:space="0" w:color="auto"/>
              <w:right w:val="single" w:sz="4" w:space="0" w:color="auto"/>
            </w:tcBorders>
            <w:vAlign w:val="center"/>
            <w:hideMark/>
          </w:tcPr>
          <w:p w14:paraId="21221204" w14:textId="77777777" w:rsidR="00EA1783" w:rsidRPr="004E13E9" w:rsidRDefault="00EA1783" w:rsidP="00E62E84">
            <w:pPr>
              <w:rPr>
                <w:sz w:val="16"/>
                <w:szCs w:val="16"/>
                <w:lang w:bidi="fr-FR"/>
              </w:rPr>
            </w:pPr>
            <w:r w:rsidRPr="004E13E9">
              <w:rPr>
                <w:sz w:val="16"/>
                <w:szCs w:val="16"/>
                <w:lang w:bidi="fr-FR"/>
              </w:rPr>
              <w:t>0</w:t>
            </w:r>
          </w:p>
        </w:tc>
        <w:tc>
          <w:tcPr>
            <w:tcW w:w="253" w:type="pct"/>
            <w:tcBorders>
              <w:top w:val="single" w:sz="4" w:space="0" w:color="auto"/>
              <w:left w:val="single" w:sz="4" w:space="0" w:color="auto"/>
              <w:bottom w:val="single" w:sz="4" w:space="0" w:color="auto"/>
              <w:right w:val="single" w:sz="4" w:space="0" w:color="auto"/>
            </w:tcBorders>
            <w:vAlign w:val="center"/>
            <w:hideMark/>
          </w:tcPr>
          <w:p w14:paraId="3319DE0C" w14:textId="77777777" w:rsidR="00EA1783" w:rsidRPr="004E13E9" w:rsidRDefault="00EA1783" w:rsidP="00E62E84">
            <w:pPr>
              <w:rPr>
                <w:sz w:val="16"/>
                <w:szCs w:val="16"/>
                <w:lang w:bidi="fr-FR"/>
              </w:rPr>
            </w:pPr>
            <w:r w:rsidRPr="004E13E9">
              <w:rPr>
                <w:sz w:val="16"/>
                <w:szCs w:val="16"/>
                <w:lang w:bidi="fr-FR"/>
              </w:rPr>
              <w:t>0</w:t>
            </w:r>
          </w:p>
        </w:tc>
        <w:tc>
          <w:tcPr>
            <w:tcW w:w="248" w:type="pct"/>
            <w:tcBorders>
              <w:top w:val="single" w:sz="4" w:space="0" w:color="auto"/>
              <w:left w:val="single" w:sz="4" w:space="0" w:color="auto"/>
              <w:bottom w:val="single" w:sz="4" w:space="0" w:color="auto"/>
              <w:right w:val="single" w:sz="4" w:space="0" w:color="auto"/>
            </w:tcBorders>
            <w:hideMark/>
          </w:tcPr>
          <w:p w14:paraId="02684DDA" w14:textId="77777777" w:rsidR="00EA1783" w:rsidRPr="004E13E9" w:rsidRDefault="00EA1783" w:rsidP="00E62E84">
            <w:pPr>
              <w:rPr>
                <w:sz w:val="16"/>
                <w:szCs w:val="16"/>
                <w:lang w:bidi="fr-FR"/>
              </w:rPr>
            </w:pPr>
            <w:r w:rsidRPr="004E13E9">
              <w:rPr>
                <w:sz w:val="16"/>
                <w:szCs w:val="16"/>
                <w:lang w:bidi="fr-FR"/>
              </w:rPr>
              <w:t>0</w:t>
            </w:r>
          </w:p>
        </w:tc>
        <w:tc>
          <w:tcPr>
            <w:tcW w:w="259" w:type="pct"/>
            <w:tcBorders>
              <w:top w:val="single" w:sz="4" w:space="0" w:color="auto"/>
              <w:left w:val="single" w:sz="4" w:space="0" w:color="auto"/>
              <w:bottom w:val="single" w:sz="4" w:space="0" w:color="auto"/>
              <w:right w:val="single" w:sz="4" w:space="0" w:color="auto"/>
            </w:tcBorders>
            <w:vAlign w:val="center"/>
            <w:hideMark/>
          </w:tcPr>
          <w:p w14:paraId="767F4F5A" w14:textId="77777777" w:rsidR="00EA1783" w:rsidRPr="004E13E9" w:rsidRDefault="00EA1783" w:rsidP="00E62E84">
            <w:pPr>
              <w:rPr>
                <w:sz w:val="16"/>
                <w:szCs w:val="16"/>
                <w:lang w:bidi="fr-FR"/>
              </w:rPr>
            </w:pPr>
            <w:r w:rsidRPr="004E13E9">
              <w:rPr>
                <w:sz w:val="16"/>
                <w:szCs w:val="16"/>
                <w:lang w:bidi="fr-FR"/>
              </w:rPr>
              <w:t>0</w:t>
            </w:r>
          </w:p>
        </w:tc>
        <w:tc>
          <w:tcPr>
            <w:tcW w:w="275" w:type="pct"/>
            <w:tcBorders>
              <w:top w:val="single" w:sz="4" w:space="0" w:color="auto"/>
              <w:left w:val="single" w:sz="4" w:space="0" w:color="auto"/>
              <w:bottom w:val="single" w:sz="4" w:space="0" w:color="auto"/>
              <w:right w:val="single" w:sz="4" w:space="0" w:color="auto"/>
            </w:tcBorders>
            <w:vAlign w:val="center"/>
            <w:hideMark/>
          </w:tcPr>
          <w:p w14:paraId="0D142184" w14:textId="77777777" w:rsidR="00EA1783" w:rsidRPr="004E13E9" w:rsidRDefault="00EA1783" w:rsidP="00E62E84">
            <w:pPr>
              <w:rPr>
                <w:sz w:val="16"/>
                <w:szCs w:val="16"/>
                <w:lang w:bidi="fr-FR"/>
              </w:rPr>
            </w:pPr>
            <w:r w:rsidRPr="004E13E9">
              <w:rPr>
                <w:sz w:val="16"/>
                <w:szCs w:val="16"/>
                <w:lang w:bidi="fr-FR"/>
              </w:rPr>
              <w:t>0</w:t>
            </w:r>
          </w:p>
        </w:tc>
        <w:tc>
          <w:tcPr>
            <w:tcW w:w="316" w:type="pct"/>
            <w:tcBorders>
              <w:top w:val="single" w:sz="4" w:space="0" w:color="auto"/>
              <w:left w:val="single" w:sz="4" w:space="0" w:color="auto"/>
              <w:bottom w:val="single" w:sz="4" w:space="0" w:color="auto"/>
              <w:right w:val="single" w:sz="4" w:space="0" w:color="auto"/>
            </w:tcBorders>
            <w:vAlign w:val="center"/>
            <w:hideMark/>
          </w:tcPr>
          <w:p w14:paraId="58568C0F" w14:textId="77777777" w:rsidR="00EA1783" w:rsidRPr="004E13E9" w:rsidRDefault="00EA1783" w:rsidP="00E62E84">
            <w:pPr>
              <w:rPr>
                <w:sz w:val="16"/>
                <w:szCs w:val="16"/>
                <w:lang w:bidi="fr-FR"/>
              </w:rPr>
            </w:pPr>
            <w:r w:rsidRPr="004E13E9">
              <w:rPr>
                <w:sz w:val="16"/>
                <w:szCs w:val="16"/>
                <w:lang w:bidi="fr-FR"/>
              </w:rPr>
              <w:t>0</w:t>
            </w:r>
          </w:p>
        </w:tc>
      </w:tr>
      <w:tr w:rsidR="00EA1783" w:rsidRPr="004E13E9" w14:paraId="3208568F"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noWrap/>
            <w:vAlign w:val="center"/>
            <w:hideMark/>
          </w:tcPr>
          <w:p w14:paraId="64C4B098" w14:textId="77777777" w:rsidR="00EA1783" w:rsidRPr="004E13E9" w:rsidRDefault="00EA1783" w:rsidP="00E62E84">
            <w:pPr>
              <w:rPr>
                <w:sz w:val="16"/>
                <w:szCs w:val="16"/>
                <w:lang w:bidi="fr-FR"/>
              </w:rPr>
            </w:pPr>
            <w:r w:rsidRPr="004E13E9">
              <w:rPr>
                <w:sz w:val="16"/>
                <w:szCs w:val="16"/>
                <w:lang w:bidi="fr-FR"/>
              </w:rPr>
              <w:t>Ligne à main</w:t>
            </w:r>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68B79ADF" w14:textId="77777777" w:rsidR="00EA1783" w:rsidRPr="004E13E9" w:rsidRDefault="00EA1783" w:rsidP="00E62E84">
            <w:pPr>
              <w:rPr>
                <w:sz w:val="16"/>
                <w:szCs w:val="16"/>
                <w:lang w:bidi="fr-FR"/>
              </w:rPr>
            </w:pPr>
            <w:r w:rsidRPr="004E13E9">
              <w:rPr>
                <w:sz w:val="16"/>
                <w:szCs w:val="16"/>
                <w:lang w:bidi="fr-FR"/>
              </w:rPr>
              <w:t>5</w:t>
            </w:r>
          </w:p>
        </w:tc>
        <w:tc>
          <w:tcPr>
            <w:tcW w:w="201" w:type="pct"/>
            <w:tcBorders>
              <w:top w:val="single" w:sz="4" w:space="0" w:color="auto"/>
              <w:left w:val="single" w:sz="4" w:space="0" w:color="auto"/>
              <w:bottom w:val="single" w:sz="4" w:space="0" w:color="auto"/>
              <w:right w:val="single" w:sz="4" w:space="0" w:color="auto"/>
            </w:tcBorders>
            <w:hideMark/>
          </w:tcPr>
          <w:p w14:paraId="66BD4D2D"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noWrap/>
            <w:vAlign w:val="center"/>
            <w:hideMark/>
          </w:tcPr>
          <w:p w14:paraId="0746B455" w14:textId="77777777" w:rsidR="00EA1783" w:rsidRPr="004E13E9" w:rsidRDefault="00EA1783" w:rsidP="00E62E84">
            <w:pPr>
              <w:rPr>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vAlign w:val="center"/>
            <w:hideMark/>
          </w:tcPr>
          <w:p w14:paraId="3E80D375"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6F3CFA48"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115A80A3"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hideMark/>
          </w:tcPr>
          <w:p w14:paraId="5805B705" w14:textId="77777777" w:rsidR="00EA1783" w:rsidRPr="004E13E9" w:rsidRDefault="00EA1783" w:rsidP="00E62E84">
            <w:pPr>
              <w:rPr>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hideMark/>
          </w:tcPr>
          <w:p w14:paraId="6E4B116E" w14:textId="77777777" w:rsidR="00EA1783" w:rsidRPr="004E13E9" w:rsidRDefault="00EA1783" w:rsidP="00E62E84">
            <w:pPr>
              <w:rPr>
                <w:sz w:val="16"/>
                <w:szCs w:val="16"/>
                <w:lang w:bidi="fr-FR"/>
              </w:rPr>
            </w:pPr>
            <w:r w:rsidRPr="004E13E9">
              <w:rPr>
                <w:sz w:val="16"/>
                <w:szCs w:val="16"/>
                <w:lang w:bidi="fr-FR"/>
              </w:rPr>
              <w:t>0</w:t>
            </w: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0E8A843" w14:textId="77777777" w:rsidR="00EA1783" w:rsidRPr="004E13E9" w:rsidRDefault="00EA1783" w:rsidP="00E62E84">
            <w:pPr>
              <w:rPr>
                <w:sz w:val="16"/>
                <w:szCs w:val="16"/>
                <w:lang w:bidi="fr-FR"/>
              </w:rPr>
            </w:pPr>
            <w:r w:rsidRPr="004E13E9">
              <w:rPr>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hideMark/>
          </w:tcPr>
          <w:p w14:paraId="088C038F" w14:textId="77777777" w:rsidR="00EA1783" w:rsidRPr="004E13E9" w:rsidRDefault="00EA1783" w:rsidP="00E62E84">
            <w:pPr>
              <w:rPr>
                <w:sz w:val="16"/>
                <w:szCs w:val="16"/>
                <w:lang w:bidi="fr-FR"/>
              </w:rPr>
            </w:pPr>
            <w:r w:rsidRPr="004E13E9">
              <w:rPr>
                <w:sz w:val="16"/>
                <w:szCs w:val="16"/>
                <w:lang w:bidi="fr-FR"/>
              </w:rPr>
              <w:t>0</w:t>
            </w:r>
          </w:p>
        </w:tc>
        <w:tc>
          <w:tcPr>
            <w:tcW w:w="200" w:type="pct"/>
            <w:tcBorders>
              <w:top w:val="single" w:sz="4" w:space="0" w:color="auto"/>
              <w:left w:val="single" w:sz="4" w:space="0" w:color="auto"/>
              <w:bottom w:val="single" w:sz="4" w:space="0" w:color="auto"/>
              <w:right w:val="single" w:sz="4" w:space="0" w:color="auto"/>
            </w:tcBorders>
            <w:vAlign w:val="center"/>
            <w:hideMark/>
          </w:tcPr>
          <w:p w14:paraId="7E714A08" w14:textId="77777777" w:rsidR="00EA1783" w:rsidRPr="004E13E9" w:rsidRDefault="00EA1783" w:rsidP="00E62E84">
            <w:pPr>
              <w:rPr>
                <w:sz w:val="16"/>
                <w:szCs w:val="16"/>
                <w:lang w:bidi="fr-FR"/>
              </w:rPr>
            </w:pPr>
            <w:r w:rsidRPr="004E13E9">
              <w:rPr>
                <w:sz w:val="16"/>
                <w:szCs w:val="16"/>
                <w:lang w:bidi="fr-FR"/>
              </w:rPr>
              <w:t>0</w:t>
            </w:r>
          </w:p>
        </w:tc>
        <w:tc>
          <w:tcPr>
            <w:tcW w:w="253" w:type="pct"/>
            <w:tcBorders>
              <w:top w:val="single" w:sz="4" w:space="0" w:color="auto"/>
              <w:left w:val="single" w:sz="4" w:space="0" w:color="auto"/>
              <w:bottom w:val="single" w:sz="4" w:space="0" w:color="auto"/>
              <w:right w:val="single" w:sz="4" w:space="0" w:color="auto"/>
            </w:tcBorders>
            <w:vAlign w:val="center"/>
            <w:hideMark/>
          </w:tcPr>
          <w:p w14:paraId="5B3200E0" w14:textId="77777777" w:rsidR="00EA1783" w:rsidRPr="004E13E9" w:rsidRDefault="00EA1783" w:rsidP="00E62E84">
            <w:pPr>
              <w:rPr>
                <w:sz w:val="16"/>
                <w:szCs w:val="16"/>
                <w:lang w:bidi="fr-FR"/>
              </w:rPr>
            </w:pPr>
            <w:r w:rsidRPr="004E13E9">
              <w:rPr>
                <w:sz w:val="16"/>
                <w:szCs w:val="16"/>
                <w:lang w:bidi="fr-FR"/>
              </w:rPr>
              <w:t>0</w:t>
            </w:r>
          </w:p>
        </w:tc>
        <w:tc>
          <w:tcPr>
            <w:tcW w:w="248" w:type="pct"/>
            <w:tcBorders>
              <w:top w:val="single" w:sz="4" w:space="0" w:color="auto"/>
              <w:left w:val="single" w:sz="4" w:space="0" w:color="auto"/>
              <w:bottom w:val="single" w:sz="4" w:space="0" w:color="auto"/>
              <w:right w:val="single" w:sz="4" w:space="0" w:color="auto"/>
            </w:tcBorders>
            <w:hideMark/>
          </w:tcPr>
          <w:p w14:paraId="285887D7" w14:textId="77777777" w:rsidR="00EA1783" w:rsidRPr="004E13E9" w:rsidRDefault="00EA1783" w:rsidP="00E62E84">
            <w:pPr>
              <w:rPr>
                <w:sz w:val="16"/>
                <w:szCs w:val="16"/>
                <w:lang w:bidi="fr-FR"/>
              </w:rPr>
            </w:pPr>
            <w:r w:rsidRPr="004E13E9">
              <w:rPr>
                <w:sz w:val="16"/>
                <w:szCs w:val="16"/>
                <w:lang w:bidi="fr-FR"/>
              </w:rPr>
              <w:t>0</w:t>
            </w:r>
          </w:p>
        </w:tc>
        <w:tc>
          <w:tcPr>
            <w:tcW w:w="259" w:type="pct"/>
            <w:tcBorders>
              <w:top w:val="single" w:sz="4" w:space="0" w:color="auto"/>
              <w:left w:val="single" w:sz="4" w:space="0" w:color="auto"/>
              <w:bottom w:val="single" w:sz="4" w:space="0" w:color="auto"/>
              <w:right w:val="single" w:sz="4" w:space="0" w:color="auto"/>
            </w:tcBorders>
            <w:vAlign w:val="center"/>
            <w:hideMark/>
          </w:tcPr>
          <w:p w14:paraId="675FFD3F" w14:textId="77777777" w:rsidR="00EA1783" w:rsidRPr="004E13E9" w:rsidRDefault="00EA1783" w:rsidP="00E62E84">
            <w:pPr>
              <w:rPr>
                <w:sz w:val="16"/>
                <w:szCs w:val="16"/>
                <w:lang w:bidi="fr-FR"/>
              </w:rPr>
            </w:pPr>
            <w:r w:rsidRPr="004E13E9">
              <w:rPr>
                <w:sz w:val="16"/>
                <w:szCs w:val="16"/>
                <w:lang w:bidi="fr-FR"/>
              </w:rPr>
              <w:t>0</w:t>
            </w:r>
          </w:p>
        </w:tc>
        <w:tc>
          <w:tcPr>
            <w:tcW w:w="275" w:type="pct"/>
            <w:tcBorders>
              <w:top w:val="single" w:sz="4" w:space="0" w:color="auto"/>
              <w:left w:val="single" w:sz="4" w:space="0" w:color="auto"/>
              <w:bottom w:val="single" w:sz="4" w:space="0" w:color="auto"/>
              <w:right w:val="single" w:sz="4" w:space="0" w:color="auto"/>
            </w:tcBorders>
            <w:vAlign w:val="center"/>
            <w:hideMark/>
          </w:tcPr>
          <w:p w14:paraId="6883584A" w14:textId="77777777" w:rsidR="00EA1783" w:rsidRPr="004E13E9" w:rsidRDefault="00EA1783" w:rsidP="00E62E84">
            <w:pPr>
              <w:rPr>
                <w:sz w:val="16"/>
                <w:szCs w:val="16"/>
                <w:lang w:bidi="fr-FR"/>
              </w:rPr>
            </w:pPr>
            <w:r w:rsidRPr="004E13E9">
              <w:rPr>
                <w:sz w:val="16"/>
                <w:szCs w:val="16"/>
                <w:lang w:bidi="fr-FR"/>
              </w:rPr>
              <w:t>0</w:t>
            </w:r>
          </w:p>
        </w:tc>
        <w:tc>
          <w:tcPr>
            <w:tcW w:w="316" w:type="pct"/>
            <w:tcBorders>
              <w:top w:val="single" w:sz="4" w:space="0" w:color="auto"/>
              <w:left w:val="single" w:sz="4" w:space="0" w:color="auto"/>
              <w:bottom w:val="single" w:sz="4" w:space="0" w:color="auto"/>
              <w:right w:val="single" w:sz="4" w:space="0" w:color="auto"/>
            </w:tcBorders>
            <w:vAlign w:val="center"/>
            <w:hideMark/>
          </w:tcPr>
          <w:p w14:paraId="11DEF922" w14:textId="77777777" w:rsidR="00EA1783" w:rsidRPr="004E13E9" w:rsidRDefault="00EA1783" w:rsidP="00E62E84">
            <w:pPr>
              <w:rPr>
                <w:sz w:val="16"/>
                <w:szCs w:val="16"/>
                <w:lang w:bidi="fr-FR"/>
              </w:rPr>
            </w:pPr>
            <w:r w:rsidRPr="004E13E9">
              <w:rPr>
                <w:sz w:val="16"/>
                <w:szCs w:val="16"/>
                <w:lang w:bidi="fr-FR"/>
              </w:rPr>
              <w:t>0</w:t>
            </w:r>
          </w:p>
        </w:tc>
      </w:tr>
      <w:tr w:rsidR="00EA1783" w:rsidRPr="004E13E9" w14:paraId="3B7E8881"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noWrap/>
            <w:vAlign w:val="center"/>
            <w:hideMark/>
          </w:tcPr>
          <w:p w14:paraId="04ED7130" w14:textId="77777777" w:rsidR="00EA1783" w:rsidRPr="004E13E9" w:rsidRDefault="00EA1783" w:rsidP="00E62E84">
            <w:pPr>
              <w:rPr>
                <w:sz w:val="16"/>
                <w:szCs w:val="16"/>
                <w:lang w:bidi="fr-FR"/>
              </w:rPr>
            </w:pPr>
            <w:proofErr w:type="spellStart"/>
            <w:r w:rsidRPr="004E13E9">
              <w:rPr>
                <w:sz w:val="16"/>
                <w:szCs w:val="16"/>
                <w:lang w:bidi="fr-FR"/>
              </w:rPr>
              <w:t>Chalutier</w:t>
            </w:r>
            <w:proofErr w:type="spellEnd"/>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241BEB9F" w14:textId="77777777" w:rsidR="00EA1783" w:rsidRPr="004E13E9" w:rsidRDefault="00EA1783" w:rsidP="00E62E84">
            <w:pPr>
              <w:rPr>
                <w:sz w:val="16"/>
                <w:szCs w:val="16"/>
                <w:lang w:bidi="fr-FR"/>
              </w:rPr>
            </w:pPr>
            <w:r w:rsidRPr="004E13E9">
              <w:rPr>
                <w:sz w:val="16"/>
                <w:szCs w:val="16"/>
                <w:lang w:bidi="fr-FR"/>
              </w:rPr>
              <w:t>10</w:t>
            </w:r>
          </w:p>
        </w:tc>
        <w:tc>
          <w:tcPr>
            <w:tcW w:w="201" w:type="pct"/>
            <w:tcBorders>
              <w:top w:val="single" w:sz="4" w:space="0" w:color="auto"/>
              <w:left w:val="single" w:sz="4" w:space="0" w:color="auto"/>
              <w:bottom w:val="single" w:sz="4" w:space="0" w:color="auto"/>
              <w:right w:val="single" w:sz="4" w:space="0" w:color="auto"/>
            </w:tcBorders>
            <w:hideMark/>
          </w:tcPr>
          <w:p w14:paraId="5E2AFA8B"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noWrap/>
            <w:vAlign w:val="center"/>
            <w:hideMark/>
          </w:tcPr>
          <w:p w14:paraId="31DA80C9" w14:textId="77777777" w:rsidR="00EA1783" w:rsidRPr="004E13E9" w:rsidRDefault="00EA1783" w:rsidP="00E62E84">
            <w:pPr>
              <w:rPr>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vAlign w:val="center"/>
            <w:hideMark/>
          </w:tcPr>
          <w:p w14:paraId="268B7424"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4EF349BE"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6660CE7F"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hideMark/>
          </w:tcPr>
          <w:p w14:paraId="2ADEBB20" w14:textId="77777777" w:rsidR="00EA1783" w:rsidRPr="004E13E9" w:rsidRDefault="00EA1783" w:rsidP="00E62E84">
            <w:pPr>
              <w:rPr>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hideMark/>
          </w:tcPr>
          <w:p w14:paraId="3DBD7E10" w14:textId="77777777" w:rsidR="00EA1783" w:rsidRPr="004E13E9" w:rsidRDefault="00EA1783" w:rsidP="00E62E84">
            <w:pPr>
              <w:rPr>
                <w:sz w:val="16"/>
                <w:szCs w:val="16"/>
                <w:lang w:bidi="fr-FR"/>
              </w:rPr>
            </w:pPr>
            <w:r w:rsidRPr="004E13E9">
              <w:rPr>
                <w:sz w:val="16"/>
                <w:szCs w:val="16"/>
                <w:lang w:bidi="fr-FR"/>
              </w:rPr>
              <w:t>0</w:t>
            </w: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999F193" w14:textId="77777777" w:rsidR="00EA1783" w:rsidRPr="004E13E9" w:rsidRDefault="00EA1783" w:rsidP="00E62E84">
            <w:pPr>
              <w:rPr>
                <w:sz w:val="16"/>
                <w:szCs w:val="16"/>
                <w:lang w:bidi="fr-FR"/>
              </w:rPr>
            </w:pPr>
            <w:r w:rsidRPr="004E13E9">
              <w:rPr>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hideMark/>
          </w:tcPr>
          <w:p w14:paraId="11D54C01" w14:textId="77777777" w:rsidR="00EA1783" w:rsidRPr="004E13E9" w:rsidRDefault="00EA1783" w:rsidP="00E62E84">
            <w:pPr>
              <w:rPr>
                <w:sz w:val="16"/>
                <w:szCs w:val="16"/>
                <w:lang w:bidi="fr-FR"/>
              </w:rPr>
            </w:pPr>
            <w:r w:rsidRPr="004E13E9">
              <w:rPr>
                <w:sz w:val="16"/>
                <w:szCs w:val="16"/>
                <w:lang w:bidi="fr-FR"/>
              </w:rPr>
              <w:t>0</w:t>
            </w:r>
          </w:p>
        </w:tc>
        <w:tc>
          <w:tcPr>
            <w:tcW w:w="200" w:type="pct"/>
            <w:tcBorders>
              <w:top w:val="single" w:sz="4" w:space="0" w:color="auto"/>
              <w:left w:val="single" w:sz="4" w:space="0" w:color="auto"/>
              <w:bottom w:val="single" w:sz="4" w:space="0" w:color="auto"/>
              <w:right w:val="single" w:sz="4" w:space="0" w:color="auto"/>
            </w:tcBorders>
            <w:vAlign w:val="center"/>
            <w:hideMark/>
          </w:tcPr>
          <w:p w14:paraId="3ED16D4C" w14:textId="77777777" w:rsidR="00EA1783" w:rsidRPr="004E13E9" w:rsidRDefault="00EA1783" w:rsidP="00E62E84">
            <w:pPr>
              <w:rPr>
                <w:sz w:val="16"/>
                <w:szCs w:val="16"/>
                <w:lang w:bidi="fr-FR"/>
              </w:rPr>
            </w:pPr>
            <w:r w:rsidRPr="004E13E9">
              <w:rPr>
                <w:sz w:val="16"/>
                <w:szCs w:val="16"/>
                <w:lang w:bidi="fr-FR"/>
              </w:rPr>
              <w:t>0</w:t>
            </w:r>
          </w:p>
        </w:tc>
        <w:tc>
          <w:tcPr>
            <w:tcW w:w="253" w:type="pct"/>
            <w:tcBorders>
              <w:top w:val="single" w:sz="4" w:space="0" w:color="auto"/>
              <w:left w:val="single" w:sz="4" w:space="0" w:color="auto"/>
              <w:bottom w:val="single" w:sz="4" w:space="0" w:color="auto"/>
              <w:right w:val="single" w:sz="4" w:space="0" w:color="auto"/>
            </w:tcBorders>
            <w:vAlign w:val="center"/>
            <w:hideMark/>
          </w:tcPr>
          <w:p w14:paraId="035AD986" w14:textId="77777777" w:rsidR="00EA1783" w:rsidRPr="004E13E9" w:rsidRDefault="00EA1783" w:rsidP="00E62E84">
            <w:pPr>
              <w:rPr>
                <w:sz w:val="16"/>
                <w:szCs w:val="16"/>
                <w:lang w:bidi="fr-FR"/>
              </w:rPr>
            </w:pPr>
            <w:r w:rsidRPr="004E13E9">
              <w:rPr>
                <w:sz w:val="16"/>
                <w:szCs w:val="16"/>
                <w:lang w:bidi="fr-FR"/>
              </w:rPr>
              <w:t>0</w:t>
            </w:r>
          </w:p>
        </w:tc>
        <w:tc>
          <w:tcPr>
            <w:tcW w:w="248" w:type="pct"/>
            <w:tcBorders>
              <w:top w:val="single" w:sz="4" w:space="0" w:color="auto"/>
              <w:left w:val="single" w:sz="4" w:space="0" w:color="auto"/>
              <w:bottom w:val="single" w:sz="4" w:space="0" w:color="auto"/>
              <w:right w:val="single" w:sz="4" w:space="0" w:color="auto"/>
            </w:tcBorders>
            <w:hideMark/>
          </w:tcPr>
          <w:p w14:paraId="4F57A625" w14:textId="77777777" w:rsidR="00EA1783" w:rsidRPr="004E13E9" w:rsidRDefault="00EA1783" w:rsidP="00E62E84">
            <w:pPr>
              <w:rPr>
                <w:sz w:val="16"/>
                <w:szCs w:val="16"/>
                <w:lang w:bidi="fr-FR"/>
              </w:rPr>
            </w:pPr>
            <w:r w:rsidRPr="004E13E9">
              <w:rPr>
                <w:sz w:val="16"/>
                <w:szCs w:val="16"/>
                <w:lang w:bidi="fr-FR"/>
              </w:rPr>
              <w:t>0</w:t>
            </w:r>
          </w:p>
        </w:tc>
        <w:tc>
          <w:tcPr>
            <w:tcW w:w="259" w:type="pct"/>
            <w:tcBorders>
              <w:top w:val="single" w:sz="4" w:space="0" w:color="auto"/>
              <w:left w:val="single" w:sz="4" w:space="0" w:color="auto"/>
              <w:bottom w:val="single" w:sz="4" w:space="0" w:color="auto"/>
              <w:right w:val="single" w:sz="4" w:space="0" w:color="auto"/>
            </w:tcBorders>
            <w:vAlign w:val="center"/>
            <w:hideMark/>
          </w:tcPr>
          <w:p w14:paraId="708DC9AE" w14:textId="77777777" w:rsidR="00EA1783" w:rsidRPr="004E13E9" w:rsidRDefault="00EA1783" w:rsidP="00E62E84">
            <w:pPr>
              <w:rPr>
                <w:sz w:val="16"/>
                <w:szCs w:val="16"/>
                <w:lang w:bidi="fr-FR"/>
              </w:rPr>
            </w:pPr>
            <w:r w:rsidRPr="004E13E9">
              <w:rPr>
                <w:sz w:val="16"/>
                <w:szCs w:val="16"/>
                <w:lang w:bidi="fr-FR"/>
              </w:rPr>
              <w:t>0</w:t>
            </w:r>
          </w:p>
        </w:tc>
        <w:tc>
          <w:tcPr>
            <w:tcW w:w="275" w:type="pct"/>
            <w:tcBorders>
              <w:top w:val="single" w:sz="4" w:space="0" w:color="auto"/>
              <w:left w:val="single" w:sz="4" w:space="0" w:color="auto"/>
              <w:bottom w:val="single" w:sz="4" w:space="0" w:color="auto"/>
              <w:right w:val="single" w:sz="4" w:space="0" w:color="auto"/>
            </w:tcBorders>
            <w:vAlign w:val="center"/>
            <w:hideMark/>
          </w:tcPr>
          <w:p w14:paraId="0A7F1C2A" w14:textId="77777777" w:rsidR="00EA1783" w:rsidRPr="004E13E9" w:rsidRDefault="00EA1783" w:rsidP="00E62E84">
            <w:pPr>
              <w:rPr>
                <w:sz w:val="16"/>
                <w:szCs w:val="16"/>
                <w:lang w:bidi="fr-FR"/>
              </w:rPr>
            </w:pPr>
            <w:r w:rsidRPr="004E13E9">
              <w:rPr>
                <w:sz w:val="16"/>
                <w:szCs w:val="16"/>
                <w:lang w:bidi="fr-FR"/>
              </w:rPr>
              <w:t>0</w:t>
            </w:r>
          </w:p>
        </w:tc>
        <w:tc>
          <w:tcPr>
            <w:tcW w:w="316" w:type="pct"/>
            <w:tcBorders>
              <w:top w:val="single" w:sz="4" w:space="0" w:color="auto"/>
              <w:left w:val="single" w:sz="4" w:space="0" w:color="auto"/>
              <w:bottom w:val="single" w:sz="4" w:space="0" w:color="auto"/>
              <w:right w:val="single" w:sz="4" w:space="0" w:color="auto"/>
            </w:tcBorders>
            <w:vAlign w:val="center"/>
            <w:hideMark/>
          </w:tcPr>
          <w:p w14:paraId="496825CA" w14:textId="77777777" w:rsidR="00EA1783" w:rsidRPr="004E13E9" w:rsidRDefault="00EA1783" w:rsidP="00E62E84">
            <w:pPr>
              <w:rPr>
                <w:sz w:val="16"/>
                <w:szCs w:val="16"/>
                <w:lang w:bidi="fr-FR"/>
              </w:rPr>
            </w:pPr>
            <w:r w:rsidRPr="004E13E9">
              <w:rPr>
                <w:sz w:val="16"/>
                <w:szCs w:val="16"/>
                <w:lang w:bidi="fr-FR"/>
              </w:rPr>
              <w:t>0</w:t>
            </w:r>
          </w:p>
        </w:tc>
      </w:tr>
      <w:tr w:rsidR="00EA1783" w:rsidRPr="004E13E9" w14:paraId="10E4F612"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noWrap/>
            <w:vAlign w:val="center"/>
            <w:hideMark/>
          </w:tcPr>
          <w:p w14:paraId="004799B4" w14:textId="77777777" w:rsidR="00EA1783" w:rsidRPr="004E13E9" w:rsidRDefault="00EA1783" w:rsidP="00E62E84">
            <w:pPr>
              <w:rPr>
                <w:sz w:val="16"/>
                <w:szCs w:val="16"/>
                <w:lang w:bidi="fr-FR"/>
              </w:rPr>
            </w:pPr>
            <w:r w:rsidRPr="004E13E9">
              <w:rPr>
                <w:sz w:val="16"/>
                <w:szCs w:val="16"/>
                <w:lang w:bidi="fr-FR"/>
              </w:rPr>
              <w:t>Madrague</w:t>
            </w:r>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55E043E3" w14:textId="77777777" w:rsidR="00EA1783" w:rsidRPr="004E13E9" w:rsidRDefault="00EA1783" w:rsidP="00E62E84">
            <w:pPr>
              <w:rPr>
                <w:sz w:val="16"/>
                <w:szCs w:val="16"/>
                <w:lang w:bidi="fr-FR"/>
              </w:rPr>
            </w:pPr>
            <w:r w:rsidRPr="004E13E9">
              <w:rPr>
                <w:sz w:val="16"/>
                <w:szCs w:val="16"/>
                <w:lang w:bidi="fr-FR"/>
              </w:rPr>
              <w:t>130</w:t>
            </w:r>
          </w:p>
        </w:tc>
        <w:tc>
          <w:tcPr>
            <w:tcW w:w="201" w:type="pct"/>
            <w:tcBorders>
              <w:top w:val="single" w:sz="4" w:space="0" w:color="auto"/>
              <w:left w:val="single" w:sz="4" w:space="0" w:color="auto"/>
              <w:bottom w:val="single" w:sz="4" w:space="0" w:color="auto"/>
              <w:right w:val="single" w:sz="4" w:space="0" w:color="auto"/>
            </w:tcBorders>
            <w:hideMark/>
          </w:tcPr>
          <w:p w14:paraId="17994FD5" w14:textId="77777777" w:rsidR="00EA1783" w:rsidRPr="004E13E9" w:rsidRDefault="00EA1783" w:rsidP="00E62E84">
            <w:pPr>
              <w:rPr>
                <w:b/>
                <w:bCs/>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noWrap/>
            <w:vAlign w:val="center"/>
            <w:hideMark/>
          </w:tcPr>
          <w:p w14:paraId="6F98639C" w14:textId="77777777" w:rsidR="00EA1783" w:rsidRPr="004E13E9" w:rsidRDefault="00EA1783" w:rsidP="00E62E84">
            <w:pPr>
              <w:rPr>
                <w:b/>
                <w:bCs/>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vAlign w:val="center"/>
            <w:hideMark/>
          </w:tcPr>
          <w:p w14:paraId="44325195" w14:textId="77777777" w:rsidR="00EA1783" w:rsidRPr="004E13E9" w:rsidRDefault="00EA1783" w:rsidP="00E62E84">
            <w:pPr>
              <w:rPr>
                <w:b/>
                <w:bCs/>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597088FC"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4D440CCE"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hideMark/>
          </w:tcPr>
          <w:p w14:paraId="46AC0BD5" w14:textId="77777777" w:rsidR="00EA1783" w:rsidRPr="004E13E9" w:rsidRDefault="00EA1783" w:rsidP="00E62E84">
            <w:pPr>
              <w:rPr>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hideMark/>
          </w:tcPr>
          <w:p w14:paraId="514ED1C7" w14:textId="77777777" w:rsidR="00EA1783" w:rsidRPr="004E13E9" w:rsidRDefault="00EA1783" w:rsidP="00E62E84">
            <w:pPr>
              <w:rPr>
                <w:sz w:val="16"/>
                <w:szCs w:val="16"/>
                <w:lang w:bidi="fr-FR"/>
              </w:rPr>
            </w:pPr>
            <w:r w:rsidRPr="004E13E9">
              <w:rPr>
                <w:sz w:val="16"/>
                <w:szCs w:val="16"/>
                <w:lang w:bidi="fr-FR"/>
              </w:rPr>
              <w:t>0</w:t>
            </w: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7D2B29B" w14:textId="77777777" w:rsidR="00EA1783" w:rsidRPr="004E13E9" w:rsidRDefault="00EA1783" w:rsidP="00E62E84">
            <w:pPr>
              <w:rPr>
                <w:b/>
                <w:bCs/>
                <w:sz w:val="16"/>
                <w:szCs w:val="16"/>
                <w:lang w:bidi="fr-FR"/>
              </w:rPr>
            </w:pPr>
            <w:r w:rsidRPr="004E13E9">
              <w:rPr>
                <w:b/>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hideMark/>
          </w:tcPr>
          <w:p w14:paraId="491AD30D" w14:textId="77777777" w:rsidR="00EA1783" w:rsidRPr="004E13E9" w:rsidRDefault="00EA1783" w:rsidP="00E62E84">
            <w:pPr>
              <w:rPr>
                <w:sz w:val="16"/>
                <w:szCs w:val="16"/>
                <w:lang w:bidi="fr-FR"/>
              </w:rPr>
            </w:pPr>
            <w:r w:rsidRPr="004E13E9">
              <w:rPr>
                <w:sz w:val="16"/>
                <w:szCs w:val="16"/>
                <w:lang w:bidi="fr-FR"/>
              </w:rPr>
              <w:t>0</w:t>
            </w:r>
          </w:p>
        </w:tc>
        <w:tc>
          <w:tcPr>
            <w:tcW w:w="200" w:type="pct"/>
            <w:tcBorders>
              <w:top w:val="single" w:sz="4" w:space="0" w:color="auto"/>
              <w:left w:val="single" w:sz="4" w:space="0" w:color="auto"/>
              <w:bottom w:val="single" w:sz="4" w:space="0" w:color="auto"/>
              <w:right w:val="single" w:sz="4" w:space="0" w:color="auto"/>
            </w:tcBorders>
            <w:vAlign w:val="center"/>
            <w:hideMark/>
          </w:tcPr>
          <w:p w14:paraId="251F8566" w14:textId="77777777" w:rsidR="00EA1783" w:rsidRPr="004E13E9" w:rsidRDefault="00EA1783" w:rsidP="00E62E84">
            <w:pPr>
              <w:rPr>
                <w:sz w:val="16"/>
                <w:szCs w:val="16"/>
                <w:lang w:bidi="fr-FR"/>
              </w:rPr>
            </w:pPr>
            <w:r w:rsidRPr="004E13E9">
              <w:rPr>
                <w:sz w:val="16"/>
                <w:szCs w:val="16"/>
                <w:lang w:bidi="fr-FR"/>
              </w:rPr>
              <w:t>0</w:t>
            </w:r>
          </w:p>
        </w:tc>
        <w:tc>
          <w:tcPr>
            <w:tcW w:w="253" w:type="pct"/>
            <w:tcBorders>
              <w:top w:val="single" w:sz="4" w:space="0" w:color="auto"/>
              <w:left w:val="single" w:sz="4" w:space="0" w:color="auto"/>
              <w:bottom w:val="single" w:sz="4" w:space="0" w:color="auto"/>
              <w:right w:val="single" w:sz="4" w:space="0" w:color="auto"/>
            </w:tcBorders>
            <w:vAlign w:val="center"/>
            <w:hideMark/>
          </w:tcPr>
          <w:p w14:paraId="454D4E34" w14:textId="77777777" w:rsidR="00EA1783" w:rsidRPr="004E13E9" w:rsidRDefault="00EA1783" w:rsidP="00E62E84">
            <w:pPr>
              <w:rPr>
                <w:sz w:val="16"/>
                <w:szCs w:val="16"/>
                <w:lang w:bidi="fr-FR"/>
              </w:rPr>
            </w:pPr>
            <w:r w:rsidRPr="004E13E9">
              <w:rPr>
                <w:sz w:val="16"/>
                <w:szCs w:val="16"/>
                <w:lang w:bidi="fr-FR"/>
              </w:rPr>
              <w:t>0</w:t>
            </w:r>
          </w:p>
        </w:tc>
        <w:tc>
          <w:tcPr>
            <w:tcW w:w="248" w:type="pct"/>
            <w:tcBorders>
              <w:top w:val="single" w:sz="4" w:space="0" w:color="auto"/>
              <w:left w:val="single" w:sz="4" w:space="0" w:color="auto"/>
              <w:bottom w:val="single" w:sz="4" w:space="0" w:color="auto"/>
              <w:right w:val="single" w:sz="4" w:space="0" w:color="auto"/>
            </w:tcBorders>
            <w:hideMark/>
          </w:tcPr>
          <w:p w14:paraId="41BE0AEA" w14:textId="77777777" w:rsidR="00EA1783" w:rsidRPr="004E13E9" w:rsidRDefault="00EA1783" w:rsidP="00E62E84">
            <w:pPr>
              <w:rPr>
                <w:sz w:val="16"/>
                <w:szCs w:val="16"/>
                <w:lang w:bidi="fr-FR"/>
              </w:rPr>
            </w:pPr>
            <w:r w:rsidRPr="004E13E9">
              <w:rPr>
                <w:sz w:val="16"/>
                <w:szCs w:val="16"/>
                <w:lang w:bidi="fr-FR"/>
              </w:rPr>
              <w:t>0</w:t>
            </w:r>
          </w:p>
        </w:tc>
        <w:tc>
          <w:tcPr>
            <w:tcW w:w="259" w:type="pct"/>
            <w:tcBorders>
              <w:top w:val="single" w:sz="4" w:space="0" w:color="auto"/>
              <w:left w:val="single" w:sz="4" w:space="0" w:color="auto"/>
              <w:bottom w:val="single" w:sz="4" w:space="0" w:color="auto"/>
              <w:right w:val="single" w:sz="4" w:space="0" w:color="auto"/>
            </w:tcBorders>
            <w:vAlign w:val="center"/>
            <w:hideMark/>
          </w:tcPr>
          <w:p w14:paraId="32B58DAC" w14:textId="77777777" w:rsidR="00EA1783" w:rsidRPr="004E13E9" w:rsidRDefault="00EA1783" w:rsidP="00E62E84">
            <w:pPr>
              <w:rPr>
                <w:sz w:val="16"/>
                <w:szCs w:val="16"/>
                <w:lang w:bidi="fr-FR"/>
              </w:rPr>
            </w:pPr>
            <w:r w:rsidRPr="004E13E9">
              <w:rPr>
                <w:sz w:val="16"/>
                <w:szCs w:val="16"/>
                <w:lang w:bidi="fr-FR"/>
              </w:rPr>
              <w:t>0</w:t>
            </w:r>
          </w:p>
        </w:tc>
        <w:tc>
          <w:tcPr>
            <w:tcW w:w="275" w:type="pct"/>
            <w:tcBorders>
              <w:top w:val="single" w:sz="4" w:space="0" w:color="auto"/>
              <w:left w:val="single" w:sz="4" w:space="0" w:color="auto"/>
              <w:bottom w:val="single" w:sz="4" w:space="0" w:color="auto"/>
              <w:right w:val="single" w:sz="4" w:space="0" w:color="auto"/>
            </w:tcBorders>
            <w:vAlign w:val="center"/>
            <w:hideMark/>
          </w:tcPr>
          <w:p w14:paraId="7A08D114" w14:textId="77777777" w:rsidR="00EA1783" w:rsidRPr="004E13E9" w:rsidRDefault="00EA1783" w:rsidP="00E62E84">
            <w:pPr>
              <w:rPr>
                <w:sz w:val="16"/>
                <w:szCs w:val="16"/>
                <w:lang w:bidi="fr-FR"/>
              </w:rPr>
            </w:pPr>
            <w:r w:rsidRPr="004E13E9">
              <w:rPr>
                <w:sz w:val="16"/>
                <w:szCs w:val="16"/>
                <w:lang w:bidi="fr-FR"/>
              </w:rPr>
              <w:t>0</w:t>
            </w:r>
          </w:p>
        </w:tc>
        <w:tc>
          <w:tcPr>
            <w:tcW w:w="316" w:type="pct"/>
            <w:tcBorders>
              <w:top w:val="single" w:sz="4" w:space="0" w:color="auto"/>
              <w:left w:val="single" w:sz="4" w:space="0" w:color="auto"/>
              <w:bottom w:val="single" w:sz="4" w:space="0" w:color="auto"/>
              <w:right w:val="single" w:sz="4" w:space="0" w:color="auto"/>
            </w:tcBorders>
            <w:vAlign w:val="center"/>
            <w:hideMark/>
          </w:tcPr>
          <w:p w14:paraId="3F49E50D" w14:textId="77777777" w:rsidR="00EA1783" w:rsidRPr="004E13E9" w:rsidRDefault="00EA1783" w:rsidP="00E62E84">
            <w:pPr>
              <w:rPr>
                <w:sz w:val="16"/>
                <w:szCs w:val="16"/>
                <w:lang w:bidi="fr-FR"/>
              </w:rPr>
            </w:pPr>
            <w:r w:rsidRPr="004E13E9">
              <w:rPr>
                <w:sz w:val="16"/>
                <w:szCs w:val="16"/>
                <w:lang w:bidi="fr-FR"/>
              </w:rPr>
              <w:t>0</w:t>
            </w:r>
          </w:p>
        </w:tc>
      </w:tr>
      <w:tr w:rsidR="00EA1783" w:rsidRPr="004E13E9" w14:paraId="7F504735"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vAlign w:val="center"/>
            <w:hideMark/>
          </w:tcPr>
          <w:p w14:paraId="3AC0DBEB" w14:textId="77777777" w:rsidR="00EA1783" w:rsidRPr="004E13E9" w:rsidRDefault="00EA1783" w:rsidP="00E62E84">
            <w:pPr>
              <w:rPr>
                <w:sz w:val="16"/>
                <w:szCs w:val="16"/>
                <w:lang w:bidi="fr-FR"/>
              </w:rPr>
            </w:pPr>
            <w:r w:rsidRPr="004E13E9">
              <w:rPr>
                <w:sz w:val="16"/>
                <w:szCs w:val="16"/>
                <w:lang w:bidi="fr-FR"/>
              </w:rPr>
              <w:t xml:space="preserve">Petits </w:t>
            </w:r>
            <w:proofErr w:type="spellStart"/>
            <w:r w:rsidRPr="004E13E9">
              <w:rPr>
                <w:sz w:val="16"/>
                <w:szCs w:val="16"/>
                <w:lang w:bidi="fr-FR"/>
              </w:rPr>
              <w:t>navires</w:t>
            </w:r>
            <w:proofErr w:type="spellEnd"/>
            <w:r w:rsidRPr="004E13E9">
              <w:rPr>
                <w:sz w:val="16"/>
                <w:szCs w:val="16"/>
                <w:lang w:bidi="fr-FR"/>
              </w:rPr>
              <w:t xml:space="preserve"> </w:t>
            </w:r>
            <w:proofErr w:type="spellStart"/>
            <w:r w:rsidRPr="004E13E9">
              <w:rPr>
                <w:sz w:val="16"/>
                <w:szCs w:val="16"/>
                <w:lang w:bidi="fr-FR"/>
              </w:rPr>
              <w:t>côtiers</w:t>
            </w:r>
            <w:proofErr w:type="spellEnd"/>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13C195DF" w14:textId="77777777" w:rsidR="00EA1783" w:rsidRPr="004E13E9" w:rsidRDefault="00EA1783" w:rsidP="00E62E84">
            <w:pPr>
              <w:rPr>
                <w:sz w:val="16"/>
                <w:szCs w:val="16"/>
                <w:lang w:bidi="fr-FR"/>
              </w:rPr>
            </w:pPr>
            <w:r w:rsidRPr="004E13E9">
              <w:rPr>
                <w:sz w:val="16"/>
                <w:szCs w:val="16"/>
                <w:lang w:bidi="fr-FR"/>
              </w:rPr>
              <w:t>N/A</w:t>
            </w:r>
          </w:p>
        </w:tc>
        <w:tc>
          <w:tcPr>
            <w:tcW w:w="201" w:type="pct"/>
            <w:tcBorders>
              <w:top w:val="single" w:sz="4" w:space="0" w:color="auto"/>
              <w:left w:val="single" w:sz="4" w:space="0" w:color="auto"/>
              <w:bottom w:val="single" w:sz="4" w:space="0" w:color="auto"/>
              <w:right w:val="single" w:sz="4" w:space="0" w:color="auto"/>
            </w:tcBorders>
            <w:hideMark/>
          </w:tcPr>
          <w:p w14:paraId="049F5B24" w14:textId="77777777" w:rsidR="00EA1783" w:rsidRPr="004E13E9" w:rsidRDefault="00EA1783" w:rsidP="00E62E84">
            <w:pPr>
              <w:rPr>
                <w:b/>
                <w:bCs/>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noWrap/>
            <w:vAlign w:val="center"/>
            <w:hideMark/>
          </w:tcPr>
          <w:p w14:paraId="7078205C" w14:textId="77777777" w:rsidR="00EA1783" w:rsidRPr="004E13E9" w:rsidRDefault="00EA1783" w:rsidP="00E62E84">
            <w:pPr>
              <w:rPr>
                <w:b/>
                <w:bCs/>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vAlign w:val="center"/>
            <w:hideMark/>
          </w:tcPr>
          <w:p w14:paraId="4B7E50AC" w14:textId="77777777" w:rsidR="00EA1783" w:rsidRPr="004E13E9" w:rsidRDefault="00EA1783" w:rsidP="00E62E84">
            <w:pPr>
              <w:rPr>
                <w:b/>
                <w:bCs/>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47E9BC03"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vAlign w:val="center"/>
            <w:hideMark/>
          </w:tcPr>
          <w:p w14:paraId="6CDE9DA6" w14:textId="77777777" w:rsidR="00EA1783" w:rsidRPr="004E13E9" w:rsidRDefault="00EA1783" w:rsidP="00E62E84">
            <w:pPr>
              <w:rPr>
                <w:sz w:val="16"/>
                <w:szCs w:val="16"/>
                <w:lang w:bidi="fr-FR"/>
              </w:rPr>
            </w:pPr>
            <w:r w:rsidRPr="004E13E9">
              <w:rPr>
                <w:sz w:val="16"/>
                <w:szCs w:val="16"/>
                <w:lang w:bidi="fr-FR"/>
              </w:rPr>
              <w:t>0</w:t>
            </w:r>
          </w:p>
        </w:tc>
        <w:tc>
          <w:tcPr>
            <w:tcW w:w="201" w:type="pct"/>
            <w:tcBorders>
              <w:top w:val="single" w:sz="4" w:space="0" w:color="auto"/>
              <w:left w:val="single" w:sz="4" w:space="0" w:color="auto"/>
              <w:bottom w:val="single" w:sz="4" w:space="0" w:color="auto"/>
              <w:right w:val="single" w:sz="4" w:space="0" w:color="auto"/>
            </w:tcBorders>
            <w:hideMark/>
          </w:tcPr>
          <w:p w14:paraId="3352CBFD" w14:textId="77777777" w:rsidR="00EA1783" w:rsidRPr="004E13E9" w:rsidRDefault="00EA1783" w:rsidP="00E62E84">
            <w:pPr>
              <w:rPr>
                <w:sz w:val="16"/>
                <w:szCs w:val="16"/>
                <w:lang w:bidi="fr-FR"/>
              </w:rPr>
            </w:pPr>
            <w:r w:rsidRPr="004E13E9">
              <w:rPr>
                <w:sz w:val="16"/>
                <w:szCs w:val="16"/>
                <w:lang w:bidi="fr-FR"/>
              </w:rPr>
              <w:t>0</w:t>
            </w:r>
          </w:p>
        </w:tc>
        <w:tc>
          <w:tcPr>
            <w:tcW w:w="203" w:type="pct"/>
            <w:tcBorders>
              <w:top w:val="single" w:sz="4" w:space="0" w:color="auto"/>
              <w:left w:val="single" w:sz="4" w:space="0" w:color="auto"/>
              <w:bottom w:val="single" w:sz="4" w:space="0" w:color="auto"/>
              <w:right w:val="single" w:sz="4" w:space="0" w:color="auto"/>
            </w:tcBorders>
            <w:hideMark/>
          </w:tcPr>
          <w:p w14:paraId="0A6864EE" w14:textId="77777777" w:rsidR="00EA1783" w:rsidRPr="004E13E9" w:rsidRDefault="00EA1783" w:rsidP="00E62E84">
            <w:pPr>
              <w:rPr>
                <w:sz w:val="16"/>
                <w:szCs w:val="16"/>
                <w:lang w:bidi="fr-FR"/>
              </w:rPr>
            </w:pPr>
            <w:r w:rsidRPr="004E13E9">
              <w:rPr>
                <w:sz w:val="16"/>
                <w:szCs w:val="16"/>
                <w:lang w:bidi="fr-FR"/>
              </w:rPr>
              <w:t>0</w:t>
            </w: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1F4C4E4" w14:textId="77777777" w:rsidR="00EA1783" w:rsidRPr="004E13E9" w:rsidRDefault="00EA1783" w:rsidP="00E62E84">
            <w:pPr>
              <w:rPr>
                <w:b/>
                <w:bCs/>
                <w:sz w:val="16"/>
                <w:szCs w:val="16"/>
                <w:lang w:bidi="fr-FR"/>
              </w:rPr>
            </w:pPr>
            <w:r w:rsidRPr="004E13E9">
              <w:rPr>
                <w:b/>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hideMark/>
          </w:tcPr>
          <w:p w14:paraId="06325525" w14:textId="77777777" w:rsidR="00EA1783" w:rsidRPr="004E13E9" w:rsidRDefault="00EA1783" w:rsidP="00E62E84">
            <w:pPr>
              <w:rPr>
                <w:sz w:val="16"/>
                <w:szCs w:val="16"/>
                <w:lang w:bidi="fr-FR"/>
              </w:rPr>
            </w:pPr>
            <w:r w:rsidRPr="004E13E9">
              <w:rPr>
                <w:sz w:val="16"/>
                <w:szCs w:val="16"/>
                <w:lang w:bidi="fr-FR"/>
              </w:rPr>
              <w:t>0</w:t>
            </w:r>
          </w:p>
        </w:tc>
        <w:tc>
          <w:tcPr>
            <w:tcW w:w="200" w:type="pct"/>
            <w:tcBorders>
              <w:top w:val="single" w:sz="4" w:space="0" w:color="auto"/>
              <w:left w:val="single" w:sz="4" w:space="0" w:color="auto"/>
              <w:bottom w:val="single" w:sz="4" w:space="0" w:color="auto"/>
              <w:right w:val="single" w:sz="4" w:space="0" w:color="auto"/>
            </w:tcBorders>
            <w:vAlign w:val="center"/>
            <w:hideMark/>
          </w:tcPr>
          <w:p w14:paraId="53F918A6" w14:textId="77777777" w:rsidR="00EA1783" w:rsidRPr="004E13E9" w:rsidRDefault="00EA1783" w:rsidP="00E62E84">
            <w:pPr>
              <w:rPr>
                <w:sz w:val="16"/>
                <w:szCs w:val="16"/>
                <w:lang w:bidi="fr-FR"/>
              </w:rPr>
            </w:pPr>
            <w:r w:rsidRPr="004E13E9">
              <w:rPr>
                <w:sz w:val="16"/>
                <w:szCs w:val="16"/>
                <w:lang w:bidi="fr-FR"/>
              </w:rPr>
              <w:t>0</w:t>
            </w:r>
          </w:p>
        </w:tc>
        <w:tc>
          <w:tcPr>
            <w:tcW w:w="253" w:type="pct"/>
            <w:tcBorders>
              <w:top w:val="single" w:sz="4" w:space="0" w:color="auto"/>
              <w:left w:val="single" w:sz="4" w:space="0" w:color="auto"/>
              <w:bottom w:val="single" w:sz="4" w:space="0" w:color="auto"/>
              <w:right w:val="single" w:sz="4" w:space="0" w:color="auto"/>
            </w:tcBorders>
            <w:vAlign w:val="center"/>
            <w:hideMark/>
          </w:tcPr>
          <w:p w14:paraId="16337897" w14:textId="77777777" w:rsidR="00EA1783" w:rsidRPr="004E13E9" w:rsidRDefault="00EA1783" w:rsidP="00E62E84">
            <w:pPr>
              <w:rPr>
                <w:sz w:val="16"/>
                <w:szCs w:val="16"/>
                <w:lang w:bidi="fr-FR"/>
              </w:rPr>
            </w:pPr>
            <w:r w:rsidRPr="004E13E9">
              <w:rPr>
                <w:sz w:val="16"/>
                <w:szCs w:val="16"/>
                <w:lang w:bidi="fr-FR"/>
              </w:rPr>
              <w:t>0</w:t>
            </w:r>
          </w:p>
        </w:tc>
        <w:tc>
          <w:tcPr>
            <w:tcW w:w="248" w:type="pct"/>
            <w:tcBorders>
              <w:top w:val="single" w:sz="4" w:space="0" w:color="auto"/>
              <w:left w:val="single" w:sz="4" w:space="0" w:color="auto"/>
              <w:bottom w:val="single" w:sz="4" w:space="0" w:color="auto"/>
              <w:right w:val="single" w:sz="4" w:space="0" w:color="auto"/>
            </w:tcBorders>
            <w:hideMark/>
          </w:tcPr>
          <w:p w14:paraId="4FA5FBFE" w14:textId="77777777" w:rsidR="00EA1783" w:rsidRPr="004E13E9" w:rsidRDefault="00EA1783" w:rsidP="00E62E84">
            <w:pPr>
              <w:rPr>
                <w:sz w:val="16"/>
                <w:szCs w:val="16"/>
                <w:lang w:bidi="fr-FR"/>
              </w:rPr>
            </w:pPr>
            <w:r w:rsidRPr="004E13E9">
              <w:rPr>
                <w:sz w:val="16"/>
                <w:szCs w:val="16"/>
                <w:lang w:bidi="fr-FR"/>
              </w:rPr>
              <w:t>0</w:t>
            </w:r>
          </w:p>
        </w:tc>
        <w:tc>
          <w:tcPr>
            <w:tcW w:w="259" w:type="pct"/>
            <w:tcBorders>
              <w:top w:val="single" w:sz="4" w:space="0" w:color="auto"/>
              <w:left w:val="single" w:sz="4" w:space="0" w:color="auto"/>
              <w:bottom w:val="single" w:sz="4" w:space="0" w:color="auto"/>
              <w:right w:val="single" w:sz="4" w:space="0" w:color="auto"/>
            </w:tcBorders>
            <w:vAlign w:val="center"/>
            <w:hideMark/>
          </w:tcPr>
          <w:p w14:paraId="2DC10F86" w14:textId="77777777" w:rsidR="00EA1783" w:rsidRPr="004E13E9" w:rsidRDefault="00EA1783" w:rsidP="00E62E84">
            <w:pPr>
              <w:rPr>
                <w:sz w:val="16"/>
                <w:szCs w:val="16"/>
                <w:lang w:bidi="fr-FR"/>
              </w:rPr>
            </w:pPr>
            <w:r w:rsidRPr="004E13E9">
              <w:rPr>
                <w:sz w:val="16"/>
                <w:szCs w:val="16"/>
                <w:lang w:bidi="fr-FR"/>
              </w:rPr>
              <w:t>0</w:t>
            </w:r>
          </w:p>
        </w:tc>
        <w:tc>
          <w:tcPr>
            <w:tcW w:w="275" w:type="pct"/>
            <w:tcBorders>
              <w:top w:val="single" w:sz="4" w:space="0" w:color="auto"/>
              <w:left w:val="single" w:sz="4" w:space="0" w:color="auto"/>
              <w:bottom w:val="single" w:sz="4" w:space="0" w:color="auto"/>
              <w:right w:val="single" w:sz="4" w:space="0" w:color="auto"/>
            </w:tcBorders>
            <w:vAlign w:val="center"/>
            <w:hideMark/>
          </w:tcPr>
          <w:p w14:paraId="627D4FC2" w14:textId="77777777" w:rsidR="00EA1783" w:rsidRPr="004E13E9" w:rsidRDefault="00EA1783" w:rsidP="00E62E84">
            <w:pPr>
              <w:rPr>
                <w:sz w:val="16"/>
                <w:szCs w:val="16"/>
                <w:lang w:bidi="fr-FR"/>
              </w:rPr>
            </w:pPr>
            <w:r w:rsidRPr="004E13E9">
              <w:rPr>
                <w:sz w:val="16"/>
                <w:szCs w:val="16"/>
                <w:lang w:bidi="fr-FR"/>
              </w:rPr>
              <w:t>0</w:t>
            </w:r>
          </w:p>
        </w:tc>
        <w:tc>
          <w:tcPr>
            <w:tcW w:w="316" w:type="pct"/>
            <w:tcBorders>
              <w:top w:val="single" w:sz="4" w:space="0" w:color="auto"/>
              <w:left w:val="single" w:sz="4" w:space="0" w:color="auto"/>
              <w:bottom w:val="single" w:sz="4" w:space="0" w:color="auto"/>
              <w:right w:val="single" w:sz="4" w:space="0" w:color="auto"/>
            </w:tcBorders>
            <w:vAlign w:val="center"/>
            <w:hideMark/>
          </w:tcPr>
          <w:p w14:paraId="7C69BBA3" w14:textId="77777777" w:rsidR="00EA1783" w:rsidRPr="004E13E9" w:rsidRDefault="00EA1783" w:rsidP="00E62E84">
            <w:pPr>
              <w:rPr>
                <w:sz w:val="16"/>
                <w:szCs w:val="16"/>
                <w:lang w:bidi="fr-FR"/>
              </w:rPr>
            </w:pPr>
            <w:r w:rsidRPr="004E13E9">
              <w:rPr>
                <w:sz w:val="16"/>
                <w:szCs w:val="16"/>
                <w:lang w:bidi="fr-FR"/>
              </w:rPr>
              <w:t>0</w:t>
            </w:r>
          </w:p>
        </w:tc>
      </w:tr>
      <w:tr w:rsidR="00EA1783" w:rsidRPr="004E13E9" w14:paraId="48773CAD"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vAlign w:val="center"/>
            <w:hideMark/>
          </w:tcPr>
          <w:p w14:paraId="45C8CB24" w14:textId="77777777" w:rsidR="00EA1783" w:rsidRPr="004E13E9" w:rsidRDefault="00EA1783" w:rsidP="00E62E84">
            <w:pPr>
              <w:rPr>
                <w:sz w:val="16"/>
                <w:szCs w:val="16"/>
                <w:lang w:bidi="fr-FR"/>
              </w:rPr>
            </w:pPr>
            <w:proofErr w:type="spellStart"/>
            <w:r w:rsidRPr="004E13E9">
              <w:rPr>
                <w:sz w:val="16"/>
                <w:szCs w:val="16"/>
                <w:lang w:bidi="fr-FR"/>
              </w:rPr>
              <w:t>Autre</w:t>
            </w:r>
            <w:proofErr w:type="spellEnd"/>
            <w:r w:rsidRPr="004E13E9">
              <w:rPr>
                <w:sz w:val="16"/>
                <w:szCs w:val="16"/>
                <w:lang w:bidi="fr-FR"/>
              </w:rPr>
              <w:t xml:space="preserve"> (à préciser)</w:t>
            </w:r>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43260CE7" w14:textId="77777777" w:rsidR="00EA1783" w:rsidRPr="004E13E9" w:rsidRDefault="00EA1783" w:rsidP="00E62E84">
            <w:pPr>
              <w:rPr>
                <w:sz w:val="16"/>
                <w:szCs w:val="16"/>
                <w:lang w:bidi="fr-FR"/>
              </w:rPr>
            </w:pPr>
            <w:r w:rsidRPr="004E13E9">
              <w:rPr>
                <w:sz w:val="16"/>
                <w:szCs w:val="16"/>
                <w:lang w:bidi="fr-FR"/>
              </w:rPr>
              <w:t>5</w:t>
            </w:r>
          </w:p>
        </w:tc>
        <w:tc>
          <w:tcPr>
            <w:tcW w:w="201" w:type="pct"/>
            <w:tcBorders>
              <w:top w:val="single" w:sz="4" w:space="0" w:color="auto"/>
              <w:left w:val="single" w:sz="4" w:space="0" w:color="auto"/>
              <w:bottom w:val="single" w:sz="4" w:space="0" w:color="auto"/>
              <w:right w:val="single" w:sz="4" w:space="0" w:color="auto"/>
            </w:tcBorders>
          </w:tcPr>
          <w:p w14:paraId="25C9D82E" w14:textId="77777777" w:rsidR="00EA1783" w:rsidRPr="004E13E9" w:rsidRDefault="00EA1783" w:rsidP="00E62E84">
            <w:pPr>
              <w:rPr>
                <w:b/>
                <w:bCs/>
                <w:sz w:val="16"/>
                <w:szCs w:val="16"/>
                <w:lang w:bidi="fr-FR"/>
              </w:rPr>
            </w:pPr>
          </w:p>
        </w:tc>
        <w:tc>
          <w:tcPr>
            <w:tcW w:w="201" w:type="pct"/>
            <w:tcBorders>
              <w:top w:val="single" w:sz="4" w:space="0" w:color="auto"/>
              <w:left w:val="single" w:sz="4" w:space="0" w:color="auto"/>
              <w:bottom w:val="single" w:sz="4" w:space="0" w:color="auto"/>
              <w:right w:val="single" w:sz="4" w:space="0" w:color="auto"/>
            </w:tcBorders>
            <w:noWrap/>
            <w:vAlign w:val="center"/>
          </w:tcPr>
          <w:p w14:paraId="4B772385" w14:textId="77777777" w:rsidR="00EA1783" w:rsidRPr="004E13E9" w:rsidRDefault="00EA1783" w:rsidP="00E62E84">
            <w:pPr>
              <w:rPr>
                <w:b/>
                <w:bCs/>
                <w:sz w:val="16"/>
                <w:szCs w:val="16"/>
                <w:lang w:bidi="fr-FR"/>
              </w:rPr>
            </w:pPr>
          </w:p>
        </w:tc>
        <w:tc>
          <w:tcPr>
            <w:tcW w:w="203" w:type="pct"/>
            <w:tcBorders>
              <w:top w:val="single" w:sz="4" w:space="0" w:color="auto"/>
              <w:left w:val="single" w:sz="4" w:space="0" w:color="auto"/>
              <w:bottom w:val="single" w:sz="4" w:space="0" w:color="auto"/>
              <w:right w:val="single" w:sz="4" w:space="0" w:color="auto"/>
            </w:tcBorders>
            <w:vAlign w:val="center"/>
          </w:tcPr>
          <w:p w14:paraId="349A71BF" w14:textId="77777777" w:rsidR="00EA1783" w:rsidRPr="004E13E9" w:rsidRDefault="00EA1783" w:rsidP="00E62E84">
            <w:pPr>
              <w:rPr>
                <w:b/>
                <w:bCs/>
                <w:sz w:val="16"/>
                <w:szCs w:val="16"/>
                <w:lang w:bidi="fr-FR"/>
              </w:rPr>
            </w:pPr>
          </w:p>
        </w:tc>
        <w:tc>
          <w:tcPr>
            <w:tcW w:w="201" w:type="pct"/>
            <w:tcBorders>
              <w:top w:val="single" w:sz="4" w:space="0" w:color="auto"/>
              <w:left w:val="single" w:sz="4" w:space="0" w:color="auto"/>
              <w:bottom w:val="single" w:sz="4" w:space="0" w:color="auto"/>
              <w:right w:val="single" w:sz="4" w:space="0" w:color="auto"/>
            </w:tcBorders>
            <w:vAlign w:val="center"/>
          </w:tcPr>
          <w:p w14:paraId="240A6A5B" w14:textId="77777777" w:rsidR="00EA1783" w:rsidRPr="004E13E9" w:rsidRDefault="00EA1783" w:rsidP="00E62E84">
            <w:pPr>
              <w:rPr>
                <w:sz w:val="16"/>
                <w:szCs w:val="16"/>
                <w:lang w:bidi="fr-FR"/>
              </w:rPr>
            </w:pPr>
          </w:p>
        </w:tc>
        <w:tc>
          <w:tcPr>
            <w:tcW w:w="201" w:type="pct"/>
            <w:tcBorders>
              <w:top w:val="single" w:sz="4" w:space="0" w:color="auto"/>
              <w:left w:val="single" w:sz="4" w:space="0" w:color="auto"/>
              <w:bottom w:val="single" w:sz="4" w:space="0" w:color="auto"/>
              <w:right w:val="single" w:sz="4" w:space="0" w:color="auto"/>
            </w:tcBorders>
            <w:vAlign w:val="center"/>
          </w:tcPr>
          <w:p w14:paraId="3E9EE0DA" w14:textId="77777777" w:rsidR="00EA1783" w:rsidRPr="004E13E9" w:rsidRDefault="00EA1783" w:rsidP="00E62E84">
            <w:pPr>
              <w:rPr>
                <w:sz w:val="16"/>
                <w:szCs w:val="16"/>
                <w:lang w:bidi="fr-FR"/>
              </w:rPr>
            </w:pPr>
          </w:p>
        </w:tc>
        <w:tc>
          <w:tcPr>
            <w:tcW w:w="201" w:type="pct"/>
            <w:tcBorders>
              <w:top w:val="single" w:sz="4" w:space="0" w:color="auto"/>
              <w:left w:val="single" w:sz="4" w:space="0" w:color="auto"/>
              <w:bottom w:val="single" w:sz="4" w:space="0" w:color="auto"/>
              <w:right w:val="single" w:sz="4" w:space="0" w:color="auto"/>
            </w:tcBorders>
          </w:tcPr>
          <w:p w14:paraId="7024E315" w14:textId="77777777" w:rsidR="00EA1783" w:rsidRPr="004E13E9" w:rsidRDefault="00EA1783" w:rsidP="00E62E84">
            <w:pPr>
              <w:rPr>
                <w:sz w:val="16"/>
                <w:szCs w:val="16"/>
                <w:lang w:bidi="fr-FR"/>
              </w:rPr>
            </w:pPr>
          </w:p>
        </w:tc>
        <w:tc>
          <w:tcPr>
            <w:tcW w:w="203" w:type="pct"/>
            <w:tcBorders>
              <w:top w:val="single" w:sz="4" w:space="0" w:color="auto"/>
              <w:left w:val="single" w:sz="4" w:space="0" w:color="auto"/>
              <w:bottom w:val="single" w:sz="4" w:space="0" w:color="auto"/>
              <w:right w:val="single" w:sz="4" w:space="0" w:color="auto"/>
            </w:tcBorders>
          </w:tcPr>
          <w:p w14:paraId="52289F4E" w14:textId="77777777" w:rsidR="00EA1783" w:rsidRPr="004E13E9" w:rsidRDefault="00EA1783" w:rsidP="00E62E84">
            <w:pPr>
              <w:rPr>
                <w:sz w:val="16"/>
                <w:szCs w:val="16"/>
                <w:lang w:bidi="fr-FR"/>
              </w:rPr>
            </w:pP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B7444C8" w14:textId="77777777" w:rsidR="00EA1783" w:rsidRPr="004E13E9" w:rsidRDefault="00EA1783" w:rsidP="00E62E84">
            <w:pPr>
              <w:rPr>
                <w:b/>
                <w:bCs/>
                <w:sz w:val="16"/>
                <w:szCs w:val="16"/>
                <w:lang w:bidi="fr-FR"/>
              </w:rPr>
            </w:pPr>
            <w:r w:rsidRPr="004E13E9">
              <w:rPr>
                <w:b/>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tcPr>
          <w:p w14:paraId="367F9781" w14:textId="77777777" w:rsidR="00EA1783" w:rsidRPr="004E13E9" w:rsidRDefault="00EA1783" w:rsidP="00E62E84">
            <w:pPr>
              <w:rPr>
                <w:b/>
                <w:bCs/>
                <w:sz w:val="16"/>
                <w:szCs w:val="16"/>
                <w:lang w:bidi="fr-FR"/>
              </w:rPr>
            </w:pPr>
          </w:p>
        </w:tc>
        <w:tc>
          <w:tcPr>
            <w:tcW w:w="200" w:type="pct"/>
            <w:tcBorders>
              <w:top w:val="single" w:sz="4" w:space="0" w:color="auto"/>
              <w:left w:val="single" w:sz="4" w:space="0" w:color="auto"/>
              <w:bottom w:val="single" w:sz="4" w:space="0" w:color="auto"/>
              <w:right w:val="single" w:sz="4" w:space="0" w:color="auto"/>
            </w:tcBorders>
            <w:vAlign w:val="center"/>
            <w:hideMark/>
          </w:tcPr>
          <w:p w14:paraId="57E40A9A" w14:textId="77777777" w:rsidR="00EA1783" w:rsidRPr="004E13E9" w:rsidRDefault="00EA1783" w:rsidP="00E62E84">
            <w:pPr>
              <w:rPr>
                <w:b/>
                <w:bCs/>
                <w:sz w:val="16"/>
                <w:szCs w:val="16"/>
                <w:lang w:bidi="fr-FR"/>
              </w:rPr>
            </w:pPr>
            <w:r w:rsidRPr="004E13E9">
              <w:rPr>
                <w:b/>
                <w:sz w:val="16"/>
                <w:szCs w:val="16"/>
                <w:lang w:bidi="fr-FR"/>
              </w:rPr>
              <w:t> </w:t>
            </w:r>
          </w:p>
        </w:tc>
        <w:tc>
          <w:tcPr>
            <w:tcW w:w="253" w:type="pct"/>
            <w:tcBorders>
              <w:top w:val="single" w:sz="4" w:space="0" w:color="auto"/>
              <w:left w:val="single" w:sz="4" w:space="0" w:color="auto"/>
              <w:bottom w:val="single" w:sz="4" w:space="0" w:color="auto"/>
              <w:right w:val="single" w:sz="4" w:space="0" w:color="auto"/>
            </w:tcBorders>
            <w:vAlign w:val="center"/>
            <w:hideMark/>
          </w:tcPr>
          <w:p w14:paraId="62778E82" w14:textId="77777777" w:rsidR="00EA1783" w:rsidRPr="004E13E9" w:rsidRDefault="00EA1783" w:rsidP="00E62E84">
            <w:pPr>
              <w:rPr>
                <w:b/>
                <w:bCs/>
                <w:sz w:val="16"/>
                <w:szCs w:val="16"/>
                <w:lang w:bidi="fr-FR"/>
              </w:rPr>
            </w:pPr>
            <w:r w:rsidRPr="004E13E9">
              <w:rPr>
                <w:b/>
                <w:sz w:val="16"/>
                <w:szCs w:val="16"/>
                <w:lang w:bidi="fr-FR"/>
              </w:rPr>
              <w:t> </w:t>
            </w:r>
          </w:p>
        </w:tc>
        <w:tc>
          <w:tcPr>
            <w:tcW w:w="248" w:type="pct"/>
            <w:tcBorders>
              <w:top w:val="single" w:sz="4" w:space="0" w:color="auto"/>
              <w:left w:val="single" w:sz="4" w:space="0" w:color="auto"/>
              <w:bottom w:val="single" w:sz="4" w:space="0" w:color="auto"/>
              <w:right w:val="single" w:sz="4" w:space="0" w:color="auto"/>
            </w:tcBorders>
            <w:vAlign w:val="center"/>
            <w:hideMark/>
          </w:tcPr>
          <w:p w14:paraId="1FA305E4" w14:textId="77777777" w:rsidR="00EA1783" w:rsidRPr="004E13E9" w:rsidRDefault="00EA1783" w:rsidP="00E62E84">
            <w:pPr>
              <w:rPr>
                <w:b/>
                <w:bCs/>
                <w:sz w:val="16"/>
                <w:szCs w:val="16"/>
                <w:lang w:bidi="fr-FR"/>
              </w:rPr>
            </w:pPr>
            <w:r w:rsidRPr="004E13E9">
              <w:rPr>
                <w:b/>
                <w:sz w:val="16"/>
                <w:szCs w:val="16"/>
                <w:lang w:bidi="fr-FR"/>
              </w:rPr>
              <w:t> </w:t>
            </w:r>
          </w:p>
        </w:tc>
        <w:tc>
          <w:tcPr>
            <w:tcW w:w="259" w:type="pct"/>
            <w:tcBorders>
              <w:top w:val="single" w:sz="4" w:space="0" w:color="auto"/>
              <w:left w:val="single" w:sz="4" w:space="0" w:color="auto"/>
              <w:bottom w:val="single" w:sz="4" w:space="0" w:color="auto"/>
              <w:right w:val="single" w:sz="4" w:space="0" w:color="auto"/>
            </w:tcBorders>
            <w:vAlign w:val="center"/>
            <w:hideMark/>
          </w:tcPr>
          <w:p w14:paraId="4C25CE8C" w14:textId="77777777" w:rsidR="00EA1783" w:rsidRPr="004E13E9" w:rsidRDefault="00EA1783" w:rsidP="00E62E84">
            <w:pPr>
              <w:rPr>
                <w:b/>
                <w:bCs/>
                <w:sz w:val="16"/>
                <w:szCs w:val="16"/>
                <w:lang w:bidi="fr-FR"/>
              </w:rPr>
            </w:pPr>
            <w:r w:rsidRPr="004E13E9">
              <w:rPr>
                <w:b/>
                <w:sz w:val="16"/>
                <w:szCs w:val="16"/>
                <w:lang w:bidi="fr-FR"/>
              </w:rPr>
              <w:t> </w:t>
            </w:r>
          </w:p>
        </w:tc>
        <w:tc>
          <w:tcPr>
            <w:tcW w:w="275" w:type="pct"/>
            <w:tcBorders>
              <w:top w:val="single" w:sz="4" w:space="0" w:color="auto"/>
              <w:left w:val="single" w:sz="4" w:space="0" w:color="auto"/>
              <w:bottom w:val="single" w:sz="4" w:space="0" w:color="auto"/>
              <w:right w:val="single" w:sz="4" w:space="0" w:color="auto"/>
            </w:tcBorders>
            <w:vAlign w:val="center"/>
            <w:hideMark/>
          </w:tcPr>
          <w:p w14:paraId="6171BF14" w14:textId="77777777" w:rsidR="00EA1783" w:rsidRPr="004E13E9" w:rsidRDefault="00EA1783" w:rsidP="00E62E84">
            <w:pPr>
              <w:rPr>
                <w:b/>
                <w:bCs/>
                <w:sz w:val="16"/>
                <w:szCs w:val="16"/>
                <w:lang w:bidi="fr-FR"/>
              </w:rPr>
            </w:pPr>
            <w:r w:rsidRPr="004E13E9">
              <w:rPr>
                <w:b/>
                <w:sz w:val="16"/>
                <w:szCs w:val="16"/>
                <w:lang w:bidi="fr-FR"/>
              </w:rPr>
              <w:t> </w:t>
            </w:r>
          </w:p>
        </w:tc>
        <w:tc>
          <w:tcPr>
            <w:tcW w:w="316" w:type="pct"/>
            <w:tcBorders>
              <w:top w:val="single" w:sz="4" w:space="0" w:color="auto"/>
              <w:left w:val="single" w:sz="4" w:space="0" w:color="auto"/>
              <w:bottom w:val="single" w:sz="4" w:space="0" w:color="auto"/>
              <w:right w:val="single" w:sz="4" w:space="0" w:color="auto"/>
            </w:tcBorders>
          </w:tcPr>
          <w:p w14:paraId="63BC4385" w14:textId="77777777" w:rsidR="00EA1783" w:rsidRPr="004E13E9" w:rsidRDefault="00EA1783" w:rsidP="00E62E84">
            <w:pPr>
              <w:rPr>
                <w:b/>
                <w:bCs/>
                <w:sz w:val="16"/>
                <w:szCs w:val="16"/>
                <w:lang w:bidi="fr-FR"/>
              </w:rPr>
            </w:pPr>
          </w:p>
        </w:tc>
      </w:tr>
      <w:tr w:rsidR="00EA1783" w:rsidRPr="004E13E9" w14:paraId="34580167"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noWrap/>
            <w:vAlign w:val="center"/>
            <w:hideMark/>
          </w:tcPr>
          <w:p w14:paraId="215FA040" w14:textId="77777777" w:rsidR="00EA1783" w:rsidRPr="004E13E9" w:rsidRDefault="00EA1783" w:rsidP="00E62E84">
            <w:pPr>
              <w:rPr>
                <w:b/>
                <w:bCs/>
                <w:sz w:val="16"/>
                <w:szCs w:val="16"/>
                <w:lang w:val="fr-FR" w:bidi="fr-FR"/>
              </w:rPr>
            </w:pPr>
            <w:r w:rsidRPr="004E13E9">
              <w:rPr>
                <w:b/>
                <w:sz w:val="16"/>
                <w:szCs w:val="16"/>
                <w:lang w:val="fr-FR" w:bidi="fr-FR"/>
              </w:rPr>
              <w:t>Capacité totale de la flottille/de pêche</w:t>
            </w:r>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6C938433" w14:textId="77777777" w:rsidR="00EA1783" w:rsidRPr="004E13E9" w:rsidRDefault="00EA1783" w:rsidP="00E62E84">
            <w:pPr>
              <w:rPr>
                <w:sz w:val="16"/>
                <w:szCs w:val="16"/>
                <w:lang w:val="fr-FR" w:bidi="fr-FR"/>
              </w:rPr>
            </w:pPr>
            <w:r w:rsidRPr="004E13E9">
              <w:rPr>
                <w:sz w:val="16"/>
                <w:szCs w:val="16"/>
                <w:lang w:val="fr-FR" w:bidi="fr-FR"/>
              </w:rPr>
              <w:t> </w:t>
            </w:r>
          </w:p>
        </w:tc>
        <w:tc>
          <w:tcPr>
            <w:tcW w:w="201" w:type="pct"/>
            <w:tcBorders>
              <w:top w:val="single" w:sz="4" w:space="0" w:color="auto"/>
              <w:left w:val="single" w:sz="4" w:space="0" w:color="auto"/>
              <w:bottom w:val="single" w:sz="4" w:space="0" w:color="auto"/>
              <w:right w:val="single" w:sz="4" w:space="0" w:color="auto"/>
            </w:tcBorders>
            <w:hideMark/>
          </w:tcPr>
          <w:p w14:paraId="72438745" w14:textId="77777777" w:rsidR="00EA1783" w:rsidRPr="004E13E9" w:rsidRDefault="00EA1783" w:rsidP="00E62E84">
            <w:pPr>
              <w:rPr>
                <w:b/>
                <w:bCs/>
                <w:sz w:val="16"/>
                <w:szCs w:val="16"/>
                <w:lang w:bidi="fr-FR"/>
              </w:rPr>
            </w:pPr>
            <w:r w:rsidRPr="004E13E9">
              <w:rPr>
                <w:sz w:val="16"/>
                <w:szCs w:val="16"/>
                <w:lang w:bidi="fr-FR"/>
              </w:rPr>
              <w:t>38</w:t>
            </w:r>
          </w:p>
        </w:tc>
        <w:tc>
          <w:tcPr>
            <w:tcW w:w="201" w:type="pct"/>
            <w:tcBorders>
              <w:top w:val="single" w:sz="4" w:space="0" w:color="auto"/>
              <w:left w:val="single" w:sz="4" w:space="0" w:color="auto"/>
              <w:bottom w:val="single" w:sz="4" w:space="0" w:color="auto"/>
              <w:right w:val="single" w:sz="4" w:space="0" w:color="auto"/>
            </w:tcBorders>
            <w:noWrap/>
            <w:vAlign w:val="center"/>
            <w:hideMark/>
          </w:tcPr>
          <w:p w14:paraId="23A94DE4" w14:textId="77777777" w:rsidR="00EA1783" w:rsidRPr="004E13E9" w:rsidRDefault="00EA1783" w:rsidP="00E62E84">
            <w:pPr>
              <w:rPr>
                <w:b/>
                <w:bCs/>
                <w:sz w:val="16"/>
                <w:szCs w:val="16"/>
                <w:lang w:bidi="fr-FR"/>
              </w:rPr>
            </w:pPr>
            <w:r w:rsidRPr="004E13E9">
              <w:rPr>
                <w:sz w:val="16"/>
                <w:szCs w:val="16"/>
                <w:lang w:bidi="fr-FR"/>
              </w:rPr>
              <w:t>38</w:t>
            </w:r>
          </w:p>
        </w:tc>
        <w:tc>
          <w:tcPr>
            <w:tcW w:w="203" w:type="pct"/>
            <w:tcBorders>
              <w:top w:val="single" w:sz="4" w:space="0" w:color="auto"/>
              <w:left w:val="single" w:sz="4" w:space="0" w:color="auto"/>
              <w:bottom w:val="single" w:sz="4" w:space="0" w:color="auto"/>
              <w:right w:val="single" w:sz="4" w:space="0" w:color="auto"/>
            </w:tcBorders>
            <w:vAlign w:val="center"/>
            <w:hideMark/>
          </w:tcPr>
          <w:p w14:paraId="311DE5FE" w14:textId="77777777" w:rsidR="00EA1783" w:rsidRPr="004E13E9" w:rsidRDefault="00EA1783" w:rsidP="00E62E84">
            <w:pPr>
              <w:rPr>
                <w:b/>
                <w:bCs/>
                <w:sz w:val="16"/>
                <w:szCs w:val="16"/>
                <w:lang w:bidi="fr-FR"/>
              </w:rPr>
            </w:pPr>
            <w:r w:rsidRPr="004E13E9">
              <w:rPr>
                <w:sz w:val="16"/>
                <w:szCs w:val="16"/>
                <w:lang w:bidi="fr-FR"/>
              </w:rPr>
              <w:t>15</w:t>
            </w:r>
          </w:p>
        </w:tc>
        <w:tc>
          <w:tcPr>
            <w:tcW w:w="201" w:type="pct"/>
            <w:tcBorders>
              <w:top w:val="single" w:sz="4" w:space="0" w:color="auto"/>
              <w:left w:val="single" w:sz="4" w:space="0" w:color="auto"/>
              <w:bottom w:val="single" w:sz="4" w:space="0" w:color="auto"/>
              <w:right w:val="single" w:sz="4" w:space="0" w:color="auto"/>
            </w:tcBorders>
            <w:vAlign w:val="center"/>
            <w:hideMark/>
          </w:tcPr>
          <w:p w14:paraId="630D03A8" w14:textId="77777777" w:rsidR="00EA1783" w:rsidRPr="004E13E9" w:rsidRDefault="00EA1783" w:rsidP="00E62E84">
            <w:pPr>
              <w:rPr>
                <w:sz w:val="16"/>
                <w:szCs w:val="16"/>
                <w:lang w:bidi="fr-FR"/>
              </w:rPr>
            </w:pPr>
            <w:r w:rsidRPr="004E13E9">
              <w:rPr>
                <w:sz w:val="16"/>
                <w:szCs w:val="16"/>
                <w:lang w:bidi="fr-FR"/>
              </w:rPr>
              <w:t>15</w:t>
            </w:r>
          </w:p>
        </w:tc>
        <w:tc>
          <w:tcPr>
            <w:tcW w:w="201" w:type="pct"/>
            <w:tcBorders>
              <w:top w:val="single" w:sz="4" w:space="0" w:color="auto"/>
              <w:left w:val="single" w:sz="4" w:space="0" w:color="auto"/>
              <w:bottom w:val="single" w:sz="4" w:space="0" w:color="auto"/>
              <w:right w:val="single" w:sz="4" w:space="0" w:color="auto"/>
            </w:tcBorders>
            <w:vAlign w:val="center"/>
            <w:hideMark/>
          </w:tcPr>
          <w:p w14:paraId="055241B1" w14:textId="77777777" w:rsidR="00EA1783" w:rsidRPr="004E13E9" w:rsidRDefault="00EA1783" w:rsidP="00E62E84">
            <w:pPr>
              <w:rPr>
                <w:sz w:val="16"/>
                <w:szCs w:val="16"/>
                <w:lang w:bidi="fr-FR"/>
              </w:rPr>
            </w:pPr>
            <w:r w:rsidRPr="004E13E9">
              <w:rPr>
                <w:sz w:val="16"/>
                <w:szCs w:val="16"/>
                <w:lang w:bidi="fr-FR"/>
              </w:rPr>
              <w:t>15</w:t>
            </w:r>
          </w:p>
        </w:tc>
        <w:tc>
          <w:tcPr>
            <w:tcW w:w="201" w:type="pct"/>
            <w:tcBorders>
              <w:top w:val="single" w:sz="4" w:space="0" w:color="auto"/>
              <w:left w:val="single" w:sz="4" w:space="0" w:color="auto"/>
              <w:bottom w:val="single" w:sz="4" w:space="0" w:color="auto"/>
              <w:right w:val="single" w:sz="4" w:space="0" w:color="auto"/>
            </w:tcBorders>
            <w:hideMark/>
          </w:tcPr>
          <w:p w14:paraId="3FAEC7DE" w14:textId="77777777" w:rsidR="00EA1783" w:rsidRPr="004E13E9" w:rsidRDefault="00EA1783" w:rsidP="00E62E84">
            <w:pPr>
              <w:rPr>
                <w:sz w:val="16"/>
                <w:szCs w:val="16"/>
                <w:lang w:bidi="fr-FR"/>
              </w:rPr>
            </w:pPr>
            <w:r w:rsidRPr="004E13E9">
              <w:rPr>
                <w:sz w:val="16"/>
                <w:szCs w:val="16"/>
                <w:lang w:bidi="fr-FR"/>
              </w:rPr>
              <w:t>15</w:t>
            </w:r>
          </w:p>
        </w:tc>
        <w:tc>
          <w:tcPr>
            <w:tcW w:w="203" w:type="pct"/>
            <w:tcBorders>
              <w:top w:val="single" w:sz="4" w:space="0" w:color="auto"/>
              <w:left w:val="single" w:sz="4" w:space="0" w:color="auto"/>
              <w:bottom w:val="single" w:sz="4" w:space="0" w:color="auto"/>
              <w:right w:val="single" w:sz="4" w:space="0" w:color="auto"/>
            </w:tcBorders>
            <w:hideMark/>
          </w:tcPr>
          <w:p w14:paraId="2F365BB4" w14:textId="77777777" w:rsidR="00EA1783" w:rsidRPr="004E13E9" w:rsidRDefault="00EA1783" w:rsidP="00E62E84">
            <w:pPr>
              <w:rPr>
                <w:sz w:val="16"/>
                <w:szCs w:val="16"/>
                <w:lang w:bidi="fr-FR"/>
              </w:rPr>
            </w:pPr>
            <w:r w:rsidRPr="004E13E9">
              <w:rPr>
                <w:sz w:val="16"/>
                <w:szCs w:val="16"/>
                <w:lang w:bidi="fr-FR"/>
              </w:rPr>
              <w:t>15</w:t>
            </w: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368C9E1" w14:textId="77777777" w:rsidR="00EA1783" w:rsidRPr="004E13E9" w:rsidRDefault="00EA1783" w:rsidP="00E62E84">
            <w:pPr>
              <w:rPr>
                <w:b/>
                <w:bCs/>
                <w:sz w:val="16"/>
                <w:szCs w:val="16"/>
                <w:lang w:bidi="fr-FR"/>
              </w:rPr>
            </w:pPr>
            <w:r w:rsidRPr="004E13E9">
              <w:rPr>
                <w:b/>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hideMark/>
          </w:tcPr>
          <w:p w14:paraId="76158D22" w14:textId="77777777" w:rsidR="00EA1783" w:rsidRPr="004E13E9" w:rsidRDefault="00EA1783" w:rsidP="00E62E84">
            <w:pPr>
              <w:rPr>
                <w:b/>
                <w:bCs/>
                <w:sz w:val="16"/>
                <w:szCs w:val="16"/>
                <w:lang w:bidi="fr-FR"/>
              </w:rPr>
            </w:pPr>
            <w:r w:rsidRPr="004E13E9">
              <w:rPr>
                <w:sz w:val="16"/>
                <w:szCs w:val="16"/>
                <w:lang w:bidi="fr-FR"/>
              </w:rPr>
              <w:t>1773</w:t>
            </w:r>
          </w:p>
        </w:tc>
        <w:tc>
          <w:tcPr>
            <w:tcW w:w="200" w:type="pct"/>
            <w:tcBorders>
              <w:top w:val="single" w:sz="4" w:space="0" w:color="auto"/>
              <w:left w:val="single" w:sz="4" w:space="0" w:color="auto"/>
              <w:bottom w:val="single" w:sz="4" w:space="0" w:color="auto"/>
              <w:right w:val="single" w:sz="4" w:space="0" w:color="auto"/>
            </w:tcBorders>
            <w:vAlign w:val="center"/>
            <w:hideMark/>
          </w:tcPr>
          <w:p w14:paraId="33D44DBC" w14:textId="77777777" w:rsidR="00EA1783" w:rsidRPr="004E13E9" w:rsidRDefault="00EA1783" w:rsidP="00E62E84">
            <w:pPr>
              <w:rPr>
                <w:b/>
                <w:bCs/>
                <w:sz w:val="16"/>
                <w:szCs w:val="16"/>
                <w:lang w:bidi="fr-FR"/>
              </w:rPr>
            </w:pPr>
            <w:r w:rsidRPr="004E13E9">
              <w:rPr>
                <w:sz w:val="16"/>
                <w:szCs w:val="16"/>
                <w:lang w:bidi="fr-FR"/>
              </w:rPr>
              <w:t>1773</w:t>
            </w:r>
          </w:p>
        </w:tc>
        <w:tc>
          <w:tcPr>
            <w:tcW w:w="253" w:type="pct"/>
            <w:tcBorders>
              <w:top w:val="single" w:sz="4" w:space="0" w:color="auto"/>
              <w:left w:val="single" w:sz="4" w:space="0" w:color="auto"/>
              <w:bottom w:val="single" w:sz="4" w:space="0" w:color="auto"/>
              <w:right w:val="single" w:sz="4" w:space="0" w:color="auto"/>
            </w:tcBorders>
            <w:vAlign w:val="center"/>
            <w:hideMark/>
          </w:tcPr>
          <w:p w14:paraId="72B6ECDA" w14:textId="77777777" w:rsidR="00EA1783" w:rsidRPr="004E13E9" w:rsidRDefault="00EA1783" w:rsidP="00E62E84">
            <w:pPr>
              <w:rPr>
                <w:b/>
                <w:bCs/>
                <w:sz w:val="16"/>
                <w:szCs w:val="16"/>
                <w:lang w:bidi="fr-FR"/>
              </w:rPr>
            </w:pPr>
            <w:r w:rsidRPr="004E13E9">
              <w:rPr>
                <w:sz w:val="16"/>
                <w:szCs w:val="16"/>
                <w:lang w:bidi="fr-FR"/>
              </w:rPr>
              <w:t>747</w:t>
            </w:r>
          </w:p>
        </w:tc>
        <w:tc>
          <w:tcPr>
            <w:tcW w:w="248" w:type="pct"/>
            <w:tcBorders>
              <w:top w:val="single" w:sz="4" w:space="0" w:color="auto"/>
              <w:left w:val="single" w:sz="4" w:space="0" w:color="auto"/>
              <w:bottom w:val="single" w:sz="4" w:space="0" w:color="auto"/>
              <w:right w:val="single" w:sz="4" w:space="0" w:color="auto"/>
            </w:tcBorders>
            <w:noWrap/>
            <w:hideMark/>
          </w:tcPr>
          <w:p w14:paraId="6EA952F1" w14:textId="77777777" w:rsidR="00EA1783" w:rsidRPr="004E13E9" w:rsidRDefault="00EA1783" w:rsidP="00E62E84">
            <w:pPr>
              <w:rPr>
                <w:b/>
                <w:bCs/>
                <w:sz w:val="16"/>
                <w:szCs w:val="16"/>
                <w:lang w:bidi="fr-FR"/>
              </w:rPr>
            </w:pPr>
            <w:r w:rsidRPr="004E13E9">
              <w:rPr>
                <w:sz w:val="16"/>
                <w:szCs w:val="16"/>
                <w:lang w:bidi="fr-FR"/>
              </w:rPr>
              <w:t>747</w:t>
            </w:r>
          </w:p>
        </w:tc>
        <w:tc>
          <w:tcPr>
            <w:tcW w:w="259" w:type="pct"/>
            <w:tcBorders>
              <w:top w:val="single" w:sz="4" w:space="0" w:color="auto"/>
              <w:left w:val="single" w:sz="4" w:space="0" w:color="auto"/>
              <w:bottom w:val="single" w:sz="4" w:space="0" w:color="auto"/>
              <w:right w:val="single" w:sz="4" w:space="0" w:color="auto"/>
            </w:tcBorders>
            <w:noWrap/>
            <w:vAlign w:val="center"/>
            <w:hideMark/>
          </w:tcPr>
          <w:p w14:paraId="70DFC92E" w14:textId="77777777" w:rsidR="00EA1783" w:rsidRPr="004E13E9" w:rsidRDefault="00EA1783" w:rsidP="00E62E84">
            <w:pPr>
              <w:rPr>
                <w:b/>
                <w:bCs/>
                <w:sz w:val="16"/>
                <w:szCs w:val="16"/>
                <w:lang w:bidi="fr-FR"/>
              </w:rPr>
            </w:pPr>
            <w:r w:rsidRPr="004E13E9">
              <w:rPr>
                <w:sz w:val="16"/>
                <w:szCs w:val="16"/>
                <w:lang w:bidi="fr-FR"/>
              </w:rPr>
              <w:t>747</w:t>
            </w:r>
          </w:p>
        </w:tc>
        <w:tc>
          <w:tcPr>
            <w:tcW w:w="275" w:type="pct"/>
            <w:tcBorders>
              <w:top w:val="single" w:sz="4" w:space="0" w:color="auto"/>
              <w:left w:val="single" w:sz="4" w:space="0" w:color="auto"/>
              <w:bottom w:val="single" w:sz="4" w:space="0" w:color="auto"/>
              <w:right w:val="single" w:sz="4" w:space="0" w:color="auto"/>
            </w:tcBorders>
            <w:noWrap/>
            <w:vAlign w:val="center"/>
            <w:hideMark/>
          </w:tcPr>
          <w:p w14:paraId="5435DDA0" w14:textId="77777777" w:rsidR="00EA1783" w:rsidRPr="004E13E9" w:rsidRDefault="00EA1783" w:rsidP="00E62E84">
            <w:pPr>
              <w:rPr>
                <w:b/>
                <w:bCs/>
                <w:sz w:val="16"/>
                <w:szCs w:val="16"/>
                <w:lang w:bidi="fr-FR"/>
              </w:rPr>
            </w:pPr>
            <w:r w:rsidRPr="004E13E9">
              <w:rPr>
                <w:sz w:val="16"/>
                <w:szCs w:val="16"/>
                <w:lang w:bidi="fr-FR"/>
              </w:rPr>
              <w:t>747</w:t>
            </w:r>
          </w:p>
        </w:tc>
        <w:tc>
          <w:tcPr>
            <w:tcW w:w="316" w:type="pct"/>
            <w:tcBorders>
              <w:top w:val="single" w:sz="4" w:space="0" w:color="auto"/>
              <w:left w:val="single" w:sz="4" w:space="0" w:color="auto"/>
              <w:bottom w:val="single" w:sz="4" w:space="0" w:color="auto"/>
              <w:right w:val="single" w:sz="4" w:space="0" w:color="auto"/>
            </w:tcBorders>
            <w:vAlign w:val="center"/>
            <w:hideMark/>
          </w:tcPr>
          <w:p w14:paraId="31841CF7" w14:textId="77777777" w:rsidR="00EA1783" w:rsidRPr="004E13E9" w:rsidRDefault="00EA1783" w:rsidP="00E62E84">
            <w:pPr>
              <w:rPr>
                <w:b/>
                <w:bCs/>
                <w:sz w:val="16"/>
                <w:szCs w:val="16"/>
                <w:lang w:bidi="fr-FR"/>
              </w:rPr>
            </w:pPr>
            <w:r w:rsidRPr="004E13E9">
              <w:rPr>
                <w:sz w:val="16"/>
                <w:szCs w:val="16"/>
                <w:lang w:bidi="fr-FR"/>
              </w:rPr>
              <w:t>747</w:t>
            </w:r>
          </w:p>
        </w:tc>
      </w:tr>
      <w:tr w:rsidR="00EA1783" w:rsidRPr="004E13E9" w14:paraId="3F2C856D"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F3AA5CF" w14:textId="77777777" w:rsidR="00EA1783" w:rsidRPr="004E13E9" w:rsidRDefault="00EA1783" w:rsidP="00E62E84">
            <w:pPr>
              <w:rPr>
                <w:b/>
                <w:bCs/>
                <w:sz w:val="16"/>
                <w:szCs w:val="16"/>
                <w:lang w:bidi="fr-FR"/>
              </w:rPr>
            </w:pPr>
            <w:r w:rsidRPr="004E13E9">
              <w:rPr>
                <w:b/>
                <w:sz w:val="16"/>
                <w:szCs w:val="16"/>
                <w:lang w:bidi="fr-FR"/>
              </w:rPr>
              <w:t>Quota initial</w:t>
            </w:r>
          </w:p>
        </w:tc>
        <w:tc>
          <w:tcPr>
            <w:tcW w:w="582"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7F7C46C" w14:textId="77777777" w:rsidR="00EA1783" w:rsidRPr="004E13E9" w:rsidRDefault="00EA1783" w:rsidP="00E62E84">
            <w:pPr>
              <w:rPr>
                <w:sz w:val="16"/>
                <w:szCs w:val="16"/>
                <w:lang w:bidi="fr-FR"/>
              </w:rPr>
            </w:pPr>
            <w:r w:rsidRPr="004E13E9">
              <w:rPr>
                <w:sz w:val="16"/>
                <w:szCs w:val="16"/>
                <w:lang w:bidi="fr-FR"/>
              </w:rPr>
              <w:t> </w:t>
            </w:r>
          </w:p>
        </w:tc>
        <w:tc>
          <w:tcPr>
            <w:tcW w:w="201" w:type="pct"/>
            <w:tcBorders>
              <w:top w:val="single" w:sz="4" w:space="0" w:color="auto"/>
              <w:left w:val="single" w:sz="4" w:space="0" w:color="auto"/>
              <w:bottom w:val="single" w:sz="4" w:space="0" w:color="auto"/>
              <w:right w:val="single" w:sz="4" w:space="0" w:color="auto"/>
            </w:tcBorders>
            <w:shd w:val="clear" w:color="auto" w:fill="D9D9D9"/>
          </w:tcPr>
          <w:p w14:paraId="77375559" w14:textId="77777777" w:rsidR="00EA1783" w:rsidRPr="004E13E9" w:rsidRDefault="00EA1783" w:rsidP="00E62E84">
            <w:pPr>
              <w:rPr>
                <w:sz w:val="16"/>
                <w:szCs w:val="16"/>
                <w:lang w:bidi="fr-FR"/>
              </w:rPr>
            </w:pPr>
          </w:p>
        </w:tc>
        <w:tc>
          <w:tcPr>
            <w:tcW w:w="201"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0D229C0" w14:textId="77777777" w:rsidR="00EA1783" w:rsidRPr="004E13E9" w:rsidRDefault="00EA1783" w:rsidP="00E62E84">
            <w:pPr>
              <w:rPr>
                <w:sz w:val="16"/>
                <w:szCs w:val="16"/>
                <w:lang w:bidi="fr-FR"/>
              </w:rPr>
            </w:pPr>
          </w:p>
        </w:tc>
        <w:tc>
          <w:tcPr>
            <w:tcW w:w="20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9986C50" w14:textId="77777777" w:rsidR="00EA1783" w:rsidRPr="004E13E9" w:rsidRDefault="00EA1783" w:rsidP="00E62E84">
            <w:pPr>
              <w:rPr>
                <w:sz w:val="16"/>
                <w:szCs w:val="16"/>
              </w:rPr>
            </w:pPr>
          </w:p>
        </w:tc>
        <w:tc>
          <w:tcPr>
            <w:tcW w:w="20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780106E" w14:textId="77777777" w:rsidR="00EA1783" w:rsidRPr="004E13E9" w:rsidRDefault="00EA1783" w:rsidP="00E62E84">
            <w:pPr>
              <w:rPr>
                <w:sz w:val="16"/>
                <w:szCs w:val="16"/>
                <w:lang w:bidi="fr-FR"/>
              </w:rPr>
            </w:pPr>
            <w:r w:rsidRPr="004E13E9">
              <w:rPr>
                <w:sz w:val="16"/>
                <w:szCs w:val="16"/>
                <w:lang w:bidi="fr-FR"/>
              </w:rPr>
              <w:t> </w:t>
            </w:r>
          </w:p>
        </w:tc>
        <w:tc>
          <w:tcPr>
            <w:tcW w:w="20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7031DDB" w14:textId="77777777" w:rsidR="00EA1783" w:rsidRPr="004E13E9" w:rsidRDefault="00EA1783" w:rsidP="00E62E84">
            <w:pPr>
              <w:rPr>
                <w:sz w:val="16"/>
                <w:szCs w:val="16"/>
                <w:lang w:bidi="fr-FR"/>
              </w:rPr>
            </w:pPr>
            <w:r w:rsidRPr="004E13E9">
              <w:rPr>
                <w:sz w:val="16"/>
                <w:szCs w:val="16"/>
                <w:lang w:bidi="fr-FR"/>
              </w:rPr>
              <w:t> </w:t>
            </w:r>
          </w:p>
        </w:tc>
        <w:tc>
          <w:tcPr>
            <w:tcW w:w="201" w:type="pct"/>
            <w:tcBorders>
              <w:top w:val="single" w:sz="4" w:space="0" w:color="auto"/>
              <w:left w:val="single" w:sz="4" w:space="0" w:color="auto"/>
              <w:bottom w:val="single" w:sz="4" w:space="0" w:color="auto"/>
              <w:right w:val="single" w:sz="4" w:space="0" w:color="auto"/>
            </w:tcBorders>
            <w:shd w:val="clear" w:color="auto" w:fill="D9D9D9"/>
          </w:tcPr>
          <w:p w14:paraId="4D9D48DA" w14:textId="77777777" w:rsidR="00EA1783" w:rsidRPr="004E13E9" w:rsidRDefault="00EA1783" w:rsidP="00E62E84">
            <w:pPr>
              <w:rPr>
                <w:sz w:val="16"/>
                <w:szCs w:val="16"/>
                <w:lang w:bidi="fr-FR"/>
              </w:rPr>
            </w:pPr>
          </w:p>
        </w:tc>
        <w:tc>
          <w:tcPr>
            <w:tcW w:w="203" w:type="pct"/>
            <w:tcBorders>
              <w:top w:val="single" w:sz="4" w:space="0" w:color="auto"/>
              <w:left w:val="single" w:sz="4" w:space="0" w:color="auto"/>
              <w:bottom w:val="single" w:sz="4" w:space="0" w:color="auto"/>
              <w:right w:val="single" w:sz="4" w:space="0" w:color="auto"/>
            </w:tcBorders>
            <w:shd w:val="clear" w:color="auto" w:fill="D9D9D9"/>
          </w:tcPr>
          <w:p w14:paraId="2600BB6C" w14:textId="77777777" w:rsidR="00EA1783" w:rsidRPr="004E13E9" w:rsidRDefault="00EA1783" w:rsidP="00E62E84">
            <w:pPr>
              <w:rPr>
                <w:sz w:val="16"/>
                <w:szCs w:val="16"/>
                <w:lang w:bidi="fr-FR"/>
              </w:rPr>
            </w:pP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522EB1D" w14:textId="77777777" w:rsidR="00EA1783" w:rsidRPr="004E13E9" w:rsidRDefault="00EA1783" w:rsidP="00E62E84">
            <w:pPr>
              <w:rPr>
                <w:sz w:val="16"/>
                <w:szCs w:val="16"/>
                <w:lang w:bidi="fr-FR"/>
              </w:rPr>
            </w:pPr>
            <w:r w:rsidRPr="004E13E9">
              <w:rPr>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shd w:val="clear" w:color="auto" w:fill="D9D9D9"/>
            <w:hideMark/>
          </w:tcPr>
          <w:p w14:paraId="27A278F3" w14:textId="77777777" w:rsidR="00EA1783" w:rsidRPr="004E13E9" w:rsidRDefault="00EA1783" w:rsidP="00E62E84">
            <w:pPr>
              <w:rPr>
                <w:sz w:val="16"/>
                <w:szCs w:val="16"/>
                <w:lang w:bidi="fr-FR"/>
              </w:rPr>
            </w:pPr>
            <w:r w:rsidRPr="004E13E9">
              <w:rPr>
                <w:sz w:val="16"/>
                <w:szCs w:val="16"/>
                <w:lang w:bidi="fr-FR"/>
              </w:rPr>
              <w:t>947</w:t>
            </w: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F06CBB6" w14:textId="77777777" w:rsidR="00EA1783" w:rsidRPr="004E13E9" w:rsidRDefault="00EA1783" w:rsidP="00E62E84">
            <w:pPr>
              <w:rPr>
                <w:sz w:val="16"/>
                <w:szCs w:val="16"/>
                <w:lang w:bidi="fr-FR"/>
              </w:rPr>
            </w:pPr>
            <w:r w:rsidRPr="004E13E9">
              <w:rPr>
                <w:sz w:val="16"/>
                <w:szCs w:val="16"/>
                <w:lang w:bidi="fr-FR"/>
              </w:rPr>
              <w:t>947</w:t>
            </w:r>
          </w:p>
        </w:tc>
        <w:tc>
          <w:tcPr>
            <w:tcW w:w="25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2C1B8E4" w14:textId="77777777" w:rsidR="00EA1783" w:rsidRPr="004E13E9" w:rsidRDefault="00EA1783" w:rsidP="00E62E84">
            <w:pPr>
              <w:rPr>
                <w:sz w:val="16"/>
                <w:szCs w:val="16"/>
                <w:lang w:bidi="fr-FR"/>
              </w:rPr>
            </w:pPr>
            <w:r w:rsidRPr="004E13E9">
              <w:rPr>
                <w:sz w:val="16"/>
                <w:szCs w:val="16"/>
                <w:lang w:bidi="fr-FR"/>
              </w:rPr>
              <w:t>1846</w:t>
            </w:r>
          </w:p>
        </w:tc>
        <w:tc>
          <w:tcPr>
            <w:tcW w:w="24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CDEF060" w14:textId="77777777" w:rsidR="00EA1783" w:rsidRPr="004E13E9" w:rsidRDefault="00EA1783" w:rsidP="00E62E84">
            <w:pPr>
              <w:rPr>
                <w:sz w:val="16"/>
                <w:szCs w:val="16"/>
                <w:lang w:bidi="fr-FR"/>
              </w:rPr>
            </w:pPr>
            <w:r w:rsidRPr="004E13E9">
              <w:rPr>
                <w:sz w:val="16"/>
                <w:szCs w:val="16"/>
                <w:lang w:bidi="fr-FR"/>
              </w:rPr>
              <w:t>2548</w:t>
            </w:r>
          </w:p>
        </w:tc>
        <w:tc>
          <w:tcPr>
            <w:tcW w:w="25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FB85BC8" w14:textId="77777777" w:rsidR="00EA1783" w:rsidRPr="004E13E9" w:rsidRDefault="00EA1783" w:rsidP="00E62E84">
            <w:pPr>
              <w:rPr>
                <w:sz w:val="16"/>
                <w:szCs w:val="16"/>
                <w:lang w:bidi="fr-FR"/>
              </w:rPr>
            </w:pPr>
            <w:r w:rsidRPr="004E13E9">
              <w:rPr>
                <w:sz w:val="16"/>
                <w:szCs w:val="16"/>
                <w:lang w:bidi="fr-FR"/>
              </w:rPr>
              <w:t>2548</w:t>
            </w:r>
          </w:p>
        </w:tc>
        <w:tc>
          <w:tcPr>
            <w:tcW w:w="27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EA5D761" w14:textId="77777777" w:rsidR="00EA1783" w:rsidRPr="004E13E9" w:rsidRDefault="00EA1783" w:rsidP="00E62E84">
            <w:pPr>
              <w:rPr>
                <w:sz w:val="16"/>
                <w:szCs w:val="16"/>
                <w:lang w:bidi="fr-FR"/>
              </w:rPr>
            </w:pPr>
            <w:r w:rsidRPr="004E13E9">
              <w:rPr>
                <w:sz w:val="16"/>
                <w:szCs w:val="16"/>
                <w:lang w:bidi="fr-FR"/>
              </w:rPr>
              <w:t>2548</w:t>
            </w:r>
          </w:p>
        </w:tc>
        <w:tc>
          <w:tcPr>
            <w:tcW w:w="316" w:type="pct"/>
            <w:tcBorders>
              <w:top w:val="single" w:sz="4" w:space="0" w:color="auto"/>
              <w:left w:val="single" w:sz="4" w:space="0" w:color="auto"/>
              <w:bottom w:val="single" w:sz="4" w:space="0" w:color="auto"/>
              <w:right w:val="single" w:sz="4" w:space="0" w:color="auto"/>
            </w:tcBorders>
            <w:shd w:val="clear" w:color="auto" w:fill="D9D9D9"/>
            <w:hideMark/>
          </w:tcPr>
          <w:p w14:paraId="6B448844" w14:textId="77777777" w:rsidR="00EA1783" w:rsidRPr="004E13E9" w:rsidRDefault="00EA1783" w:rsidP="00E62E84">
            <w:pPr>
              <w:rPr>
                <w:sz w:val="16"/>
                <w:szCs w:val="16"/>
                <w:lang w:bidi="fr-FR"/>
              </w:rPr>
            </w:pPr>
            <w:r w:rsidRPr="004E13E9">
              <w:rPr>
                <w:sz w:val="16"/>
                <w:szCs w:val="16"/>
                <w:lang w:bidi="fr-FR"/>
              </w:rPr>
              <w:t>2950,03</w:t>
            </w:r>
          </w:p>
        </w:tc>
      </w:tr>
      <w:tr w:rsidR="00EA1783" w:rsidRPr="004E13E9" w14:paraId="13328843"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A076FA8" w14:textId="77777777" w:rsidR="00EA1783" w:rsidRPr="004E13E9" w:rsidRDefault="00EA1783" w:rsidP="00E62E84">
            <w:pPr>
              <w:rPr>
                <w:b/>
                <w:bCs/>
                <w:sz w:val="16"/>
                <w:szCs w:val="16"/>
                <w:lang w:val="fr-FR" w:bidi="fr-FR"/>
              </w:rPr>
            </w:pPr>
            <w:r w:rsidRPr="004E13E9">
              <w:rPr>
                <w:b/>
                <w:sz w:val="16"/>
                <w:szCs w:val="16"/>
                <w:lang w:val="fr-FR" w:bidi="fr-FR"/>
              </w:rPr>
              <w:t xml:space="preserve">Quota ajusté (le cas échéant) </w:t>
            </w:r>
          </w:p>
        </w:tc>
        <w:tc>
          <w:tcPr>
            <w:tcW w:w="582"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7A533753" w14:textId="77777777" w:rsidR="00EA1783" w:rsidRPr="004E13E9" w:rsidRDefault="00EA1783" w:rsidP="00E62E84">
            <w:pPr>
              <w:rPr>
                <w:sz w:val="16"/>
                <w:szCs w:val="16"/>
                <w:lang w:val="fr-FR" w:bidi="fr-FR"/>
              </w:rPr>
            </w:pPr>
          </w:p>
        </w:tc>
        <w:tc>
          <w:tcPr>
            <w:tcW w:w="201" w:type="pct"/>
            <w:tcBorders>
              <w:top w:val="single" w:sz="4" w:space="0" w:color="auto"/>
              <w:left w:val="single" w:sz="4" w:space="0" w:color="auto"/>
              <w:bottom w:val="single" w:sz="4" w:space="0" w:color="auto"/>
              <w:right w:val="single" w:sz="4" w:space="0" w:color="auto"/>
            </w:tcBorders>
            <w:shd w:val="clear" w:color="auto" w:fill="D9D9D9"/>
          </w:tcPr>
          <w:p w14:paraId="657E6D4D" w14:textId="77777777" w:rsidR="00EA1783" w:rsidRPr="004E13E9" w:rsidRDefault="00EA1783" w:rsidP="00E62E84">
            <w:pPr>
              <w:rPr>
                <w:sz w:val="16"/>
                <w:szCs w:val="16"/>
                <w:lang w:val="fr-FR" w:bidi="fr-FR"/>
              </w:rPr>
            </w:pPr>
          </w:p>
        </w:tc>
        <w:tc>
          <w:tcPr>
            <w:tcW w:w="201"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3E341071" w14:textId="77777777" w:rsidR="00EA1783" w:rsidRPr="004E13E9" w:rsidRDefault="00EA1783" w:rsidP="00E62E84">
            <w:pPr>
              <w:rPr>
                <w:sz w:val="16"/>
                <w:szCs w:val="16"/>
                <w:lang w:val="fr-FR" w:bidi="fr-FR"/>
              </w:rPr>
            </w:pPr>
          </w:p>
        </w:tc>
        <w:tc>
          <w:tcPr>
            <w:tcW w:w="203" w:type="pct"/>
            <w:tcBorders>
              <w:top w:val="single" w:sz="4" w:space="0" w:color="auto"/>
              <w:left w:val="single" w:sz="4" w:space="0" w:color="auto"/>
              <w:bottom w:val="single" w:sz="4" w:space="0" w:color="auto"/>
              <w:right w:val="single" w:sz="4" w:space="0" w:color="auto"/>
            </w:tcBorders>
            <w:shd w:val="clear" w:color="auto" w:fill="D9D9D9"/>
            <w:vAlign w:val="center"/>
          </w:tcPr>
          <w:p w14:paraId="6E67A759" w14:textId="77777777" w:rsidR="00EA1783" w:rsidRPr="004E13E9" w:rsidRDefault="00EA1783" w:rsidP="00E62E84">
            <w:pPr>
              <w:rPr>
                <w:sz w:val="16"/>
                <w:szCs w:val="16"/>
                <w:lang w:val="fr-FR" w:bidi="fr-FR"/>
              </w:rPr>
            </w:pPr>
          </w:p>
        </w:tc>
        <w:tc>
          <w:tcPr>
            <w:tcW w:w="201" w:type="pct"/>
            <w:tcBorders>
              <w:top w:val="single" w:sz="4" w:space="0" w:color="auto"/>
              <w:left w:val="single" w:sz="4" w:space="0" w:color="auto"/>
              <w:bottom w:val="single" w:sz="4" w:space="0" w:color="auto"/>
              <w:right w:val="single" w:sz="4" w:space="0" w:color="auto"/>
            </w:tcBorders>
            <w:shd w:val="clear" w:color="auto" w:fill="D9D9D9"/>
            <w:vAlign w:val="center"/>
          </w:tcPr>
          <w:p w14:paraId="198BFB8B" w14:textId="77777777" w:rsidR="00EA1783" w:rsidRPr="004E13E9" w:rsidRDefault="00EA1783" w:rsidP="00E62E84">
            <w:pPr>
              <w:rPr>
                <w:sz w:val="16"/>
                <w:szCs w:val="16"/>
                <w:lang w:val="fr-FR" w:bidi="fr-FR"/>
              </w:rPr>
            </w:pPr>
          </w:p>
        </w:tc>
        <w:tc>
          <w:tcPr>
            <w:tcW w:w="201" w:type="pct"/>
            <w:tcBorders>
              <w:top w:val="single" w:sz="4" w:space="0" w:color="auto"/>
              <w:left w:val="single" w:sz="4" w:space="0" w:color="auto"/>
              <w:bottom w:val="single" w:sz="4" w:space="0" w:color="auto"/>
              <w:right w:val="single" w:sz="4" w:space="0" w:color="auto"/>
            </w:tcBorders>
            <w:shd w:val="clear" w:color="auto" w:fill="D9D9D9"/>
            <w:vAlign w:val="center"/>
          </w:tcPr>
          <w:p w14:paraId="2A3DC0DD" w14:textId="77777777" w:rsidR="00EA1783" w:rsidRPr="004E13E9" w:rsidRDefault="00EA1783" w:rsidP="00E62E84">
            <w:pPr>
              <w:rPr>
                <w:sz w:val="16"/>
                <w:szCs w:val="16"/>
                <w:lang w:val="fr-FR" w:bidi="fr-FR"/>
              </w:rPr>
            </w:pPr>
          </w:p>
        </w:tc>
        <w:tc>
          <w:tcPr>
            <w:tcW w:w="201" w:type="pct"/>
            <w:tcBorders>
              <w:top w:val="single" w:sz="4" w:space="0" w:color="auto"/>
              <w:left w:val="single" w:sz="4" w:space="0" w:color="auto"/>
              <w:bottom w:val="single" w:sz="4" w:space="0" w:color="auto"/>
              <w:right w:val="single" w:sz="4" w:space="0" w:color="auto"/>
            </w:tcBorders>
            <w:shd w:val="clear" w:color="auto" w:fill="D9D9D9"/>
          </w:tcPr>
          <w:p w14:paraId="1E1CAF0F" w14:textId="77777777" w:rsidR="00EA1783" w:rsidRPr="004E13E9" w:rsidRDefault="00EA1783" w:rsidP="00E62E84">
            <w:pPr>
              <w:rPr>
                <w:sz w:val="16"/>
                <w:szCs w:val="16"/>
                <w:lang w:val="fr-FR" w:bidi="fr-FR"/>
              </w:rPr>
            </w:pPr>
          </w:p>
        </w:tc>
        <w:tc>
          <w:tcPr>
            <w:tcW w:w="203" w:type="pct"/>
            <w:tcBorders>
              <w:top w:val="single" w:sz="4" w:space="0" w:color="auto"/>
              <w:left w:val="single" w:sz="4" w:space="0" w:color="auto"/>
              <w:bottom w:val="single" w:sz="4" w:space="0" w:color="auto"/>
              <w:right w:val="single" w:sz="4" w:space="0" w:color="auto"/>
            </w:tcBorders>
            <w:shd w:val="clear" w:color="auto" w:fill="D9D9D9"/>
          </w:tcPr>
          <w:p w14:paraId="4D74A4F2" w14:textId="77777777" w:rsidR="00EA1783" w:rsidRPr="004E13E9" w:rsidRDefault="00EA1783" w:rsidP="00E62E84">
            <w:pPr>
              <w:rPr>
                <w:sz w:val="16"/>
                <w:szCs w:val="16"/>
                <w:lang w:val="fr-FR" w:bidi="fr-FR"/>
              </w:rPr>
            </w:pP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tcPr>
          <w:p w14:paraId="0EE8B13B" w14:textId="77777777" w:rsidR="00EA1783" w:rsidRPr="004E13E9" w:rsidRDefault="00EA1783" w:rsidP="00E62E84">
            <w:pPr>
              <w:rPr>
                <w:sz w:val="16"/>
                <w:szCs w:val="16"/>
                <w:lang w:val="fr-FR" w:bidi="fr-FR"/>
              </w:rPr>
            </w:pPr>
          </w:p>
        </w:tc>
        <w:tc>
          <w:tcPr>
            <w:tcW w:w="203" w:type="pct"/>
            <w:tcBorders>
              <w:top w:val="single" w:sz="4" w:space="0" w:color="auto"/>
              <w:left w:val="single" w:sz="4" w:space="0" w:color="auto"/>
              <w:bottom w:val="single" w:sz="4" w:space="0" w:color="auto"/>
              <w:right w:val="single" w:sz="4" w:space="0" w:color="auto"/>
            </w:tcBorders>
            <w:shd w:val="clear" w:color="auto" w:fill="D9D9D9"/>
            <w:hideMark/>
          </w:tcPr>
          <w:p w14:paraId="0FE3EBB2" w14:textId="77777777" w:rsidR="00EA1783" w:rsidRPr="004E13E9" w:rsidRDefault="00EA1783" w:rsidP="00E62E84">
            <w:pPr>
              <w:rPr>
                <w:sz w:val="16"/>
                <w:szCs w:val="16"/>
                <w:lang w:bidi="fr-FR"/>
              </w:rPr>
            </w:pPr>
            <w:r w:rsidRPr="004E13E9">
              <w:rPr>
                <w:sz w:val="16"/>
                <w:szCs w:val="16"/>
                <w:lang w:bidi="fr-FR"/>
              </w:rPr>
              <w:t>NA</w:t>
            </w: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5D5B52D" w14:textId="77777777" w:rsidR="00EA1783" w:rsidRPr="004E13E9" w:rsidRDefault="00EA1783" w:rsidP="00E62E84">
            <w:pPr>
              <w:rPr>
                <w:sz w:val="16"/>
                <w:szCs w:val="16"/>
                <w:lang w:bidi="fr-FR"/>
              </w:rPr>
            </w:pPr>
            <w:r w:rsidRPr="004E13E9">
              <w:rPr>
                <w:sz w:val="16"/>
                <w:szCs w:val="16"/>
                <w:lang w:bidi="fr-FR"/>
              </w:rPr>
              <w:t>NA</w:t>
            </w:r>
          </w:p>
        </w:tc>
        <w:tc>
          <w:tcPr>
            <w:tcW w:w="25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2944AF3" w14:textId="77777777" w:rsidR="00EA1783" w:rsidRPr="004E13E9" w:rsidRDefault="00EA1783" w:rsidP="00E62E84">
            <w:pPr>
              <w:rPr>
                <w:sz w:val="16"/>
                <w:szCs w:val="16"/>
                <w:lang w:bidi="fr-FR"/>
              </w:rPr>
            </w:pPr>
            <w:r w:rsidRPr="004E13E9">
              <w:rPr>
                <w:sz w:val="16"/>
                <w:szCs w:val="16"/>
                <w:lang w:bidi="fr-FR"/>
              </w:rPr>
              <w:t>NA</w:t>
            </w:r>
          </w:p>
        </w:tc>
        <w:tc>
          <w:tcPr>
            <w:tcW w:w="24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E0C30AE" w14:textId="77777777" w:rsidR="00EA1783" w:rsidRPr="004E13E9" w:rsidRDefault="00EA1783" w:rsidP="00E62E84">
            <w:pPr>
              <w:rPr>
                <w:sz w:val="16"/>
                <w:szCs w:val="16"/>
                <w:lang w:bidi="fr-FR"/>
              </w:rPr>
            </w:pPr>
            <w:r w:rsidRPr="004E13E9">
              <w:rPr>
                <w:sz w:val="16"/>
                <w:szCs w:val="16"/>
                <w:lang w:bidi="fr-FR"/>
              </w:rPr>
              <w:t>NA</w:t>
            </w:r>
          </w:p>
        </w:tc>
        <w:tc>
          <w:tcPr>
            <w:tcW w:w="25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4B46C55" w14:textId="77777777" w:rsidR="00EA1783" w:rsidRPr="004E13E9" w:rsidRDefault="00EA1783" w:rsidP="00E62E84">
            <w:pPr>
              <w:rPr>
                <w:sz w:val="16"/>
                <w:szCs w:val="16"/>
                <w:lang w:bidi="fr-FR"/>
              </w:rPr>
            </w:pPr>
            <w:r w:rsidRPr="004E13E9">
              <w:rPr>
                <w:sz w:val="16"/>
                <w:szCs w:val="16"/>
                <w:lang w:bidi="fr-FR"/>
              </w:rPr>
              <w:t>NA</w:t>
            </w:r>
          </w:p>
        </w:tc>
        <w:tc>
          <w:tcPr>
            <w:tcW w:w="27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8ACF315" w14:textId="77777777" w:rsidR="00EA1783" w:rsidRPr="004E13E9" w:rsidRDefault="00EA1783" w:rsidP="00E62E84">
            <w:pPr>
              <w:rPr>
                <w:sz w:val="16"/>
                <w:szCs w:val="16"/>
                <w:lang w:bidi="fr-FR"/>
              </w:rPr>
            </w:pPr>
            <w:r w:rsidRPr="004E13E9">
              <w:rPr>
                <w:sz w:val="16"/>
                <w:szCs w:val="16"/>
                <w:lang w:bidi="fr-FR"/>
              </w:rPr>
              <w:t>2622</w:t>
            </w:r>
          </w:p>
        </w:tc>
        <w:tc>
          <w:tcPr>
            <w:tcW w:w="316" w:type="pct"/>
            <w:tcBorders>
              <w:top w:val="single" w:sz="4" w:space="0" w:color="auto"/>
              <w:left w:val="single" w:sz="4" w:space="0" w:color="auto"/>
              <w:bottom w:val="single" w:sz="4" w:space="0" w:color="auto"/>
              <w:right w:val="single" w:sz="4" w:space="0" w:color="auto"/>
            </w:tcBorders>
            <w:shd w:val="clear" w:color="auto" w:fill="D9D9D9"/>
            <w:hideMark/>
          </w:tcPr>
          <w:p w14:paraId="1DF676A6" w14:textId="77777777" w:rsidR="00EA1783" w:rsidRPr="004E13E9" w:rsidRDefault="00EA1783" w:rsidP="00E62E84">
            <w:pPr>
              <w:rPr>
                <w:sz w:val="16"/>
                <w:szCs w:val="16"/>
                <w:lang w:bidi="fr-FR"/>
              </w:rPr>
            </w:pPr>
            <w:r w:rsidRPr="004E13E9">
              <w:rPr>
                <w:rFonts w:eastAsia="Times New Roman" w:cs="Calibri"/>
                <w:sz w:val="18"/>
                <w:szCs w:val="18"/>
                <w:lang w:eastAsia="ja-JP"/>
              </w:rPr>
              <w:t>2968,0</w:t>
            </w:r>
          </w:p>
        </w:tc>
      </w:tr>
      <w:tr w:rsidR="00EA1783" w:rsidRPr="004E13E9" w14:paraId="29FC8182"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noWrap/>
            <w:vAlign w:val="center"/>
            <w:hideMark/>
          </w:tcPr>
          <w:p w14:paraId="14A23089" w14:textId="77777777" w:rsidR="00EA1783" w:rsidRPr="004E13E9" w:rsidRDefault="00EA1783" w:rsidP="00E62E84">
            <w:pPr>
              <w:rPr>
                <w:b/>
                <w:bCs/>
                <w:sz w:val="16"/>
                <w:szCs w:val="16"/>
                <w:lang w:val="fr-FR" w:bidi="fr-FR"/>
              </w:rPr>
            </w:pPr>
            <w:r w:rsidRPr="004E13E9">
              <w:rPr>
                <w:b/>
                <w:sz w:val="16"/>
                <w:szCs w:val="16"/>
                <w:lang w:val="fr-FR" w:bidi="fr-FR"/>
              </w:rPr>
              <w:t>Pourcentage alloué aux prises accessoires</w:t>
            </w:r>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2D2CA21B" w14:textId="77777777" w:rsidR="00EA1783" w:rsidRPr="004E13E9" w:rsidRDefault="00EA1783" w:rsidP="00E62E84">
            <w:pPr>
              <w:rPr>
                <w:sz w:val="16"/>
                <w:szCs w:val="16"/>
                <w:lang w:val="fr-FR" w:bidi="fr-FR"/>
              </w:rPr>
            </w:pPr>
            <w:r w:rsidRPr="004E13E9">
              <w:rPr>
                <w:sz w:val="16"/>
                <w:szCs w:val="16"/>
                <w:lang w:val="fr-FR" w:bidi="fr-FR"/>
              </w:rPr>
              <w:t> </w:t>
            </w:r>
          </w:p>
        </w:tc>
        <w:tc>
          <w:tcPr>
            <w:tcW w:w="201" w:type="pct"/>
            <w:tcBorders>
              <w:top w:val="single" w:sz="4" w:space="0" w:color="auto"/>
              <w:left w:val="single" w:sz="4" w:space="0" w:color="auto"/>
              <w:bottom w:val="single" w:sz="4" w:space="0" w:color="auto"/>
              <w:right w:val="single" w:sz="4" w:space="0" w:color="auto"/>
            </w:tcBorders>
          </w:tcPr>
          <w:p w14:paraId="2453B157" w14:textId="77777777" w:rsidR="00EA1783" w:rsidRPr="004E13E9" w:rsidRDefault="00EA1783" w:rsidP="00E62E84">
            <w:pPr>
              <w:rPr>
                <w:sz w:val="16"/>
                <w:szCs w:val="16"/>
                <w:lang w:val="fr-FR" w:bidi="fr-FR"/>
              </w:rPr>
            </w:pPr>
          </w:p>
        </w:tc>
        <w:tc>
          <w:tcPr>
            <w:tcW w:w="201" w:type="pct"/>
            <w:tcBorders>
              <w:top w:val="single" w:sz="4" w:space="0" w:color="auto"/>
              <w:left w:val="single" w:sz="4" w:space="0" w:color="auto"/>
              <w:bottom w:val="single" w:sz="4" w:space="0" w:color="auto"/>
              <w:right w:val="single" w:sz="4" w:space="0" w:color="auto"/>
            </w:tcBorders>
            <w:noWrap/>
            <w:vAlign w:val="center"/>
            <w:hideMark/>
          </w:tcPr>
          <w:p w14:paraId="39C70DAE" w14:textId="77777777" w:rsidR="00EA1783" w:rsidRPr="004E13E9" w:rsidRDefault="00EA1783" w:rsidP="00E62E84">
            <w:pPr>
              <w:rPr>
                <w:sz w:val="16"/>
                <w:szCs w:val="16"/>
                <w:lang w:val="fr-FR" w:bidi="fr-FR"/>
              </w:rPr>
            </w:pPr>
            <w:r w:rsidRPr="004E13E9">
              <w:rPr>
                <w:sz w:val="16"/>
                <w:szCs w:val="16"/>
                <w:lang w:val="fr-FR" w:bidi="fr-FR"/>
              </w:rPr>
              <w:t> </w:t>
            </w:r>
          </w:p>
        </w:tc>
        <w:tc>
          <w:tcPr>
            <w:tcW w:w="203" w:type="pct"/>
            <w:tcBorders>
              <w:top w:val="single" w:sz="4" w:space="0" w:color="auto"/>
              <w:left w:val="single" w:sz="4" w:space="0" w:color="auto"/>
              <w:bottom w:val="single" w:sz="4" w:space="0" w:color="auto"/>
              <w:right w:val="single" w:sz="4" w:space="0" w:color="auto"/>
            </w:tcBorders>
            <w:vAlign w:val="center"/>
            <w:hideMark/>
          </w:tcPr>
          <w:p w14:paraId="24649318" w14:textId="77777777" w:rsidR="00EA1783" w:rsidRPr="004E13E9" w:rsidRDefault="00EA1783" w:rsidP="00E62E84">
            <w:pPr>
              <w:rPr>
                <w:sz w:val="16"/>
                <w:szCs w:val="16"/>
                <w:lang w:val="fr-FR" w:bidi="fr-FR"/>
              </w:rPr>
            </w:pPr>
            <w:r w:rsidRPr="004E13E9">
              <w:rPr>
                <w:sz w:val="16"/>
                <w:szCs w:val="16"/>
                <w:lang w:val="fr-FR" w:bidi="fr-FR"/>
              </w:rPr>
              <w:t> </w:t>
            </w:r>
          </w:p>
        </w:tc>
        <w:tc>
          <w:tcPr>
            <w:tcW w:w="201" w:type="pct"/>
            <w:tcBorders>
              <w:top w:val="single" w:sz="4" w:space="0" w:color="auto"/>
              <w:left w:val="single" w:sz="4" w:space="0" w:color="auto"/>
              <w:bottom w:val="single" w:sz="4" w:space="0" w:color="auto"/>
              <w:right w:val="single" w:sz="4" w:space="0" w:color="auto"/>
            </w:tcBorders>
            <w:vAlign w:val="center"/>
            <w:hideMark/>
          </w:tcPr>
          <w:p w14:paraId="416BD31D" w14:textId="77777777" w:rsidR="00EA1783" w:rsidRPr="004E13E9" w:rsidRDefault="00EA1783" w:rsidP="00E62E84">
            <w:pPr>
              <w:rPr>
                <w:sz w:val="16"/>
                <w:szCs w:val="16"/>
                <w:lang w:val="fr-FR" w:bidi="fr-FR"/>
              </w:rPr>
            </w:pPr>
            <w:r w:rsidRPr="004E13E9">
              <w:rPr>
                <w:sz w:val="16"/>
                <w:szCs w:val="16"/>
                <w:lang w:val="fr-FR" w:bidi="fr-FR"/>
              </w:rPr>
              <w:t> </w:t>
            </w:r>
          </w:p>
        </w:tc>
        <w:tc>
          <w:tcPr>
            <w:tcW w:w="201" w:type="pct"/>
            <w:tcBorders>
              <w:top w:val="single" w:sz="4" w:space="0" w:color="auto"/>
              <w:left w:val="single" w:sz="4" w:space="0" w:color="auto"/>
              <w:bottom w:val="single" w:sz="4" w:space="0" w:color="auto"/>
              <w:right w:val="single" w:sz="4" w:space="0" w:color="auto"/>
            </w:tcBorders>
            <w:vAlign w:val="center"/>
            <w:hideMark/>
          </w:tcPr>
          <w:p w14:paraId="608EDFBE" w14:textId="77777777" w:rsidR="00EA1783" w:rsidRPr="004E13E9" w:rsidRDefault="00EA1783" w:rsidP="00E62E84">
            <w:pPr>
              <w:rPr>
                <w:sz w:val="16"/>
                <w:szCs w:val="16"/>
                <w:lang w:val="fr-FR" w:bidi="fr-FR"/>
              </w:rPr>
            </w:pPr>
            <w:r w:rsidRPr="004E13E9">
              <w:rPr>
                <w:sz w:val="16"/>
                <w:szCs w:val="16"/>
                <w:lang w:val="fr-FR" w:bidi="fr-FR"/>
              </w:rPr>
              <w:t> </w:t>
            </w:r>
          </w:p>
        </w:tc>
        <w:tc>
          <w:tcPr>
            <w:tcW w:w="201" w:type="pct"/>
            <w:tcBorders>
              <w:top w:val="single" w:sz="4" w:space="0" w:color="auto"/>
              <w:left w:val="single" w:sz="4" w:space="0" w:color="auto"/>
              <w:bottom w:val="single" w:sz="4" w:space="0" w:color="auto"/>
              <w:right w:val="single" w:sz="4" w:space="0" w:color="auto"/>
            </w:tcBorders>
          </w:tcPr>
          <w:p w14:paraId="642A5E8D" w14:textId="77777777" w:rsidR="00EA1783" w:rsidRPr="004E13E9" w:rsidRDefault="00EA1783" w:rsidP="00E62E84">
            <w:pPr>
              <w:rPr>
                <w:sz w:val="16"/>
                <w:szCs w:val="16"/>
                <w:lang w:val="fr-FR" w:bidi="fr-FR"/>
              </w:rPr>
            </w:pPr>
          </w:p>
        </w:tc>
        <w:tc>
          <w:tcPr>
            <w:tcW w:w="203" w:type="pct"/>
            <w:tcBorders>
              <w:top w:val="single" w:sz="4" w:space="0" w:color="auto"/>
              <w:left w:val="single" w:sz="4" w:space="0" w:color="auto"/>
              <w:bottom w:val="single" w:sz="4" w:space="0" w:color="auto"/>
              <w:right w:val="single" w:sz="4" w:space="0" w:color="auto"/>
            </w:tcBorders>
          </w:tcPr>
          <w:p w14:paraId="487A41F4" w14:textId="77777777" w:rsidR="00EA1783" w:rsidRPr="004E13E9" w:rsidRDefault="00EA1783" w:rsidP="00E62E84">
            <w:pPr>
              <w:rPr>
                <w:sz w:val="16"/>
                <w:szCs w:val="16"/>
                <w:lang w:val="fr-FR" w:bidi="fr-FR"/>
              </w:rPr>
            </w:pP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5411BB7" w14:textId="77777777" w:rsidR="00EA1783" w:rsidRPr="004E13E9" w:rsidRDefault="00EA1783" w:rsidP="00E62E84">
            <w:pPr>
              <w:rPr>
                <w:sz w:val="16"/>
                <w:szCs w:val="16"/>
                <w:lang w:val="fr-FR" w:bidi="fr-FR"/>
              </w:rPr>
            </w:pPr>
            <w:r w:rsidRPr="004E13E9">
              <w:rPr>
                <w:sz w:val="16"/>
                <w:szCs w:val="16"/>
                <w:lang w:val="fr-FR" w:bidi="fr-FR"/>
              </w:rPr>
              <w:t> </w:t>
            </w:r>
          </w:p>
        </w:tc>
        <w:tc>
          <w:tcPr>
            <w:tcW w:w="203" w:type="pct"/>
            <w:tcBorders>
              <w:top w:val="single" w:sz="4" w:space="0" w:color="auto"/>
              <w:left w:val="single" w:sz="4" w:space="0" w:color="auto"/>
              <w:bottom w:val="single" w:sz="4" w:space="0" w:color="auto"/>
              <w:right w:val="single" w:sz="4" w:space="0" w:color="auto"/>
            </w:tcBorders>
            <w:hideMark/>
          </w:tcPr>
          <w:p w14:paraId="7DD0E86F" w14:textId="77777777" w:rsidR="00EA1783" w:rsidRPr="004E13E9" w:rsidRDefault="00EA1783" w:rsidP="00E62E84">
            <w:pPr>
              <w:rPr>
                <w:sz w:val="16"/>
                <w:szCs w:val="16"/>
                <w:lang w:bidi="fr-FR"/>
              </w:rPr>
            </w:pPr>
            <w:r w:rsidRPr="004E13E9">
              <w:rPr>
                <w:sz w:val="16"/>
                <w:szCs w:val="16"/>
                <w:lang w:bidi="fr-FR"/>
              </w:rPr>
              <w:t>0</w:t>
            </w:r>
          </w:p>
        </w:tc>
        <w:tc>
          <w:tcPr>
            <w:tcW w:w="200" w:type="pct"/>
            <w:tcBorders>
              <w:top w:val="single" w:sz="4" w:space="0" w:color="auto"/>
              <w:left w:val="single" w:sz="4" w:space="0" w:color="auto"/>
              <w:bottom w:val="single" w:sz="4" w:space="0" w:color="auto"/>
              <w:right w:val="single" w:sz="4" w:space="0" w:color="auto"/>
            </w:tcBorders>
            <w:vAlign w:val="center"/>
            <w:hideMark/>
          </w:tcPr>
          <w:p w14:paraId="5271E9ED" w14:textId="77777777" w:rsidR="00EA1783" w:rsidRPr="004E13E9" w:rsidRDefault="00EA1783" w:rsidP="00E62E84">
            <w:pPr>
              <w:rPr>
                <w:sz w:val="16"/>
                <w:szCs w:val="16"/>
                <w:lang w:bidi="fr-FR"/>
              </w:rPr>
            </w:pPr>
            <w:r w:rsidRPr="004E13E9">
              <w:rPr>
                <w:sz w:val="16"/>
                <w:szCs w:val="16"/>
                <w:lang w:bidi="fr-FR"/>
              </w:rPr>
              <w:t>0</w:t>
            </w:r>
          </w:p>
        </w:tc>
        <w:tc>
          <w:tcPr>
            <w:tcW w:w="253" w:type="pct"/>
            <w:tcBorders>
              <w:top w:val="single" w:sz="4" w:space="0" w:color="auto"/>
              <w:left w:val="single" w:sz="4" w:space="0" w:color="auto"/>
              <w:bottom w:val="single" w:sz="4" w:space="0" w:color="auto"/>
              <w:right w:val="single" w:sz="4" w:space="0" w:color="auto"/>
            </w:tcBorders>
            <w:vAlign w:val="center"/>
            <w:hideMark/>
          </w:tcPr>
          <w:p w14:paraId="77280FD2" w14:textId="77777777" w:rsidR="00EA1783" w:rsidRPr="004E13E9" w:rsidRDefault="00EA1783" w:rsidP="00E62E84">
            <w:pPr>
              <w:rPr>
                <w:sz w:val="16"/>
                <w:szCs w:val="16"/>
                <w:lang w:bidi="fr-FR"/>
              </w:rPr>
            </w:pPr>
            <w:r w:rsidRPr="004E13E9">
              <w:rPr>
                <w:sz w:val="16"/>
                <w:szCs w:val="16"/>
                <w:lang w:bidi="fr-FR"/>
              </w:rPr>
              <w:t>0</w:t>
            </w:r>
          </w:p>
        </w:tc>
        <w:tc>
          <w:tcPr>
            <w:tcW w:w="248" w:type="pct"/>
            <w:tcBorders>
              <w:top w:val="single" w:sz="4" w:space="0" w:color="auto"/>
              <w:left w:val="single" w:sz="4" w:space="0" w:color="auto"/>
              <w:bottom w:val="single" w:sz="4" w:space="0" w:color="auto"/>
              <w:right w:val="single" w:sz="4" w:space="0" w:color="auto"/>
            </w:tcBorders>
            <w:vAlign w:val="center"/>
            <w:hideMark/>
          </w:tcPr>
          <w:p w14:paraId="56F3EC9D" w14:textId="77777777" w:rsidR="00EA1783" w:rsidRPr="004E13E9" w:rsidRDefault="00EA1783" w:rsidP="00E62E84">
            <w:pPr>
              <w:jc w:val="center"/>
              <w:rPr>
                <w:sz w:val="16"/>
                <w:szCs w:val="16"/>
                <w:lang w:bidi="fr-FR"/>
              </w:rPr>
            </w:pPr>
            <w:r w:rsidRPr="004E13E9">
              <w:rPr>
                <w:sz w:val="16"/>
                <w:szCs w:val="16"/>
                <w:lang w:bidi="fr-FR"/>
              </w:rPr>
              <w:t>0,7%</w:t>
            </w:r>
          </w:p>
        </w:tc>
        <w:tc>
          <w:tcPr>
            <w:tcW w:w="259" w:type="pct"/>
            <w:tcBorders>
              <w:top w:val="single" w:sz="4" w:space="0" w:color="auto"/>
              <w:left w:val="single" w:sz="4" w:space="0" w:color="auto"/>
              <w:bottom w:val="single" w:sz="4" w:space="0" w:color="auto"/>
              <w:right w:val="single" w:sz="4" w:space="0" w:color="auto"/>
            </w:tcBorders>
            <w:vAlign w:val="center"/>
            <w:hideMark/>
          </w:tcPr>
          <w:p w14:paraId="66C930A7" w14:textId="77777777" w:rsidR="00EA1783" w:rsidRPr="004E13E9" w:rsidRDefault="00EA1783" w:rsidP="00E62E84">
            <w:pPr>
              <w:jc w:val="center"/>
              <w:rPr>
                <w:sz w:val="16"/>
                <w:szCs w:val="16"/>
                <w:lang w:bidi="fr-FR"/>
              </w:rPr>
            </w:pPr>
            <w:r w:rsidRPr="004E13E9">
              <w:rPr>
                <w:sz w:val="16"/>
                <w:szCs w:val="16"/>
                <w:lang w:bidi="fr-FR"/>
              </w:rPr>
              <w:t>0,7%</w:t>
            </w:r>
          </w:p>
        </w:tc>
        <w:tc>
          <w:tcPr>
            <w:tcW w:w="275" w:type="pct"/>
            <w:tcBorders>
              <w:top w:val="single" w:sz="4" w:space="0" w:color="auto"/>
              <w:left w:val="single" w:sz="4" w:space="0" w:color="auto"/>
              <w:bottom w:val="single" w:sz="4" w:space="0" w:color="auto"/>
              <w:right w:val="single" w:sz="4" w:space="0" w:color="auto"/>
            </w:tcBorders>
            <w:vAlign w:val="center"/>
            <w:hideMark/>
          </w:tcPr>
          <w:p w14:paraId="4F5C6CE7" w14:textId="77777777" w:rsidR="00EA1783" w:rsidRPr="004E13E9" w:rsidRDefault="00EA1783" w:rsidP="00E62E84">
            <w:pPr>
              <w:jc w:val="center"/>
              <w:rPr>
                <w:sz w:val="16"/>
                <w:szCs w:val="16"/>
                <w:lang w:bidi="fr-FR"/>
              </w:rPr>
            </w:pPr>
            <w:r w:rsidRPr="004E13E9">
              <w:rPr>
                <w:sz w:val="16"/>
                <w:szCs w:val="16"/>
                <w:lang w:bidi="fr-FR"/>
              </w:rPr>
              <w:t>0,7%</w:t>
            </w:r>
          </w:p>
        </w:tc>
        <w:tc>
          <w:tcPr>
            <w:tcW w:w="316" w:type="pct"/>
            <w:tcBorders>
              <w:top w:val="single" w:sz="4" w:space="0" w:color="auto"/>
              <w:left w:val="single" w:sz="4" w:space="0" w:color="auto"/>
              <w:bottom w:val="single" w:sz="4" w:space="0" w:color="auto"/>
              <w:right w:val="single" w:sz="4" w:space="0" w:color="auto"/>
            </w:tcBorders>
            <w:vAlign w:val="center"/>
          </w:tcPr>
          <w:p w14:paraId="27CACBE3" w14:textId="77777777" w:rsidR="00EA1783" w:rsidRPr="004E13E9" w:rsidRDefault="00EA1783" w:rsidP="00E62E84">
            <w:pPr>
              <w:jc w:val="center"/>
              <w:rPr>
                <w:sz w:val="16"/>
                <w:szCs w:val="16"/>
                <w:lang w:bidi="fr-FR"/>
              </w:rPr>
            </w:pPr>
            <w:r w:rsidRPr="004E13E9">
              <w:rPr>
                <w:sz w:val="18"/>
              </w:rPr>
              <w:t>0,</w:t>
            </w:r>
            <w:r w:rsidRPr="004E13E9">
              <w:rPr>
                <w:rFonts w:eastAsia="Times New Roman" w:cs="Calibri"/>
                <w:sz w:val="18"/>
                <w:szCs w:val="18"/>
                <w:lang w:eastAsia="ja-JP"/>
              </w:rPr>
              <w:t>34</w:t>
            </w:r>
            <w:r w:rsidRPr="004E13E9">
              <w:rPr>
                <w:sz w:val="18"/>
              </w:rPr>
              <w:t>%</w:t>
            </w:r>
          </w:p>
        </w:tc>
      </w:tr>
      <w:tr w:rsidR="00EA1783" w:rsidRPr="004E13E9" w14:paraId="4B2F8564"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noWrap/>
            <w:vAlign w:val="center"/>
            <w:hideMark/>
          </w:tcPr>
          <w:p w14:paraId="57011AFD" w14:textId="77777777" w:rsidR="00EA1783" w:rsidRPr="004E13E9" w:rsidRDefault="00EA1783" w:rsidP="00E62E84">
            <w:pPr>
              <w:rPr>
                <w:b/>
                <w:bCs/>
                <w:sz w:val="16"/>
                <w:szCs w:val="16"/>
                <w:lang w:bidi="fr-FR"/>
              </w:rPr>
            </w:pPr>
            <w:r w:rsidRPr="004E13E9">
              <w:rPr>
                <w:b/>
                <w:sz w:val="16"/>
                <w:szCs w:val="16"/>
                <w:lang w:bidi="fr-FR"/>
              </w:rPr>
              <w:t xml:space="preserve">Allocation aux </w:t>
            </w:r>
            <w:proofErr w:type="spellStart"/>
            <w:r w:rsidRPr="004E13E9">
              <w:rPr>
                <w:b/>
                <w:sz w:val="16"/>
                <w:szCs w:val="16"/>
                <w:lang w:bidi="fr-FR"/>
              </w:rPr>
              <w:t>prises</w:t>
            </w:r>
            <w:proofErr w:type="spellEnd"/>
            <w:r w:rsidRPr="004E13E9">
              <w:rPr>
                <w:b/>
                <w:sz w:val="16"/>
                <w:szCs w:val="16"/>
                <w:lang w:bidi="fr-FR"/>
              </w:rPr>
              <w:t xml:space="preserve"> </w:t>
            </w:r>
            <w:proofErr w:type="spellStart"/>
            <w:r w:rsidRPr="004E13E9">
              <w:rPr>
                <w:b/>
                <w:sz w:val="16"/>
                <w:szCs w:val="16"/>
                <w:lang w:bidi="fr-FR"/>
              </w:rPr>
              <w:t>accessoires</w:t>
            </w:r>
            <w:proofErr w:type="spellEnd"/>
          </w:p>
        </w:tc>
        <w:tc>
          <w:tcPr>
            <w:tcW w:w="582" w:type="pct"/>
            <w:tcBorders>
              <w:top w:val="single" w:sz="4" w:space="0" w:color="auto"/>
              <w:left w:val="single" w:sz="4" w:space="0" w:color="auto"/>
              <w:bottom w:val="single" w:sz="4" w:space="0" w:color="auto"/>
              <w:right w:val="single" w:sz="4" w:space="0" w:color="auto"/>
            </w:tcBorders>
            <w:noWrap/>
            <w:vAlign w:val="center"/>
          </w:tcPr>
          <w:p w14:paraId="60752FAE" w14:textId="77777777" w:rsidR="00EA1783" w:rsidRPr="004E13E9" w:rsidRDefault="00EA1783" w:rsidP="00E62E84">
            <w:pPr>
              <w:rPr>
                <w:sz w:val="16"/>
                <w:szCs w:val="16"/>
                <w:lang w:bidi="fr-FR"/>
              </w:rPr>
            </w:pPr>
          </w:p>
        </w:tc>
        <w:tc>
          <w:tcPr>
            <w:tcW w:w="201" w:type="pct"/>
            <w:tcBorders>
              <w:top w:val="single" w:sz="4" w:space="0" w:color="auto"/>
              <w:left w:val="single" w:sz="4" w:space="0" w:color="auto"/>
              <w:bottom w:val="single" w:sz="4" w:space="0" w:color="auto"/>
              <w:right w:val="single" w:sz="4" w:space="0" w:color="auto"/>
            </w:tcBorders>
          </w:tcPr>
          <w:p w14:paraId="0AB302E7" w14:textId="77777777" w:rsidR="00EA1783" w:rsidRPr="004E13E9" w:rsidRDefault="00EA1783" w:rsidP="00E62E84">
            <w:pPr>
              <w:rPr>
                <w:sz w:val="16"/>
                <w:szCs w:val="16"/>
                <w:lang w:bidi="fr-FR"/>
              </w:rPr>
            </w:pPr>
          </w:p>
        </w:tc>
        <w:tc>
          <w:tcPr>
            <w:tcW w:w="201" w:type="pct"/>
            <w:tcBorders>
              <w:top w:val="single" w:sz="4" w:space="0" w:color="auto"/>
              <w:left w:val="single" w:sz="4" w:space="0" w:color="auto"/>
              <w:bottom w:val="single" w:sz="4" w:space="0" w:color="auto"/>
              <w:right w:val="single" w:sz="4" w:space="0" w:color="auto"/>
            </w:tcBorders>
            <w:noWrap/>
            <w:vAlign w:val="center"/>
          </w:tcPr>
          <w:p w14:paraId="1082FF7C" w14:textId="77777777" w:rsidR="00EA1783" w:rsidRPr="004E13E9" w:rsidRDefault="00EA1783" w:rsidP="00E62E84">
            <w:pPr>
              <w:rPr>
                <w:sz w:val="16"/>
                <w:szCs w:val="16"/>
                <w:lang w:bidi="fr-FR"/>
              </w:rPr>
            </w:pPr>
          </w:p>
        </w:tc>
        <w:tc>
          <w:tcPr>
            <w:tcW w:w="203" w:type="pct"/>
            <w:tcBorders>
              <w:top w:val="single" w:sz="4" w:space="0" w:color="auto"/>
              <w:left w:val="single" w:sz="4" w:space="0" w:color="auto"/>
              <w:bottom w:val="single" w:sz="4" w:space="0" w:color="auto"/>
              <w:right w:val="single" w:sz="4" w:space="0" w:color="auto"/>
            </w:tcBorders>
            <w:vAlign w:val="center"/>
          </w:tcPr>
          <w:p w14:paraId="0C8FE7EE" w14:textId="77777777" w:rsidR="00EA1783" w:rsidRPr="004E13E9" w:rsidRDefault="00EA1783" w:rsidP="00E62E84">
            <w:pPr>
              <w:rPr>
                <w:sz w:val="16"/>
                <w:szCs w:val="16"/>
                <w:lang w:bidi="fr-FR"/>
              </w:rPr>
            </w:pPr>
          </w:p>
        </w:tc>
        <w:tc>
          <w:tcPr>
            <w:tcW w:w="201" w:type="pct"/>
            <w:tcBorders>
              <w:top w:val="single" w:sz="4" w:space="0" w:color="auto"/>
              <w:left w:val="single" w:sz="4" w:space="0" w:color="auto"/>
              <w:bottom w:val="single" w:sz="4" w:space="0" w:color="auto"/>
              <w:right w:val="single" w:sz="4" w:space="0" w:color="auto"/>
            </w:tcBorders>
            <w:vAlign w:val="center"/>
          </w:tcPr>
          <w:p w14:paraId="07C14B90" w14:textId="77777777" w:rsidR="00EA1783" w:rsidRPr="004E13E9" w:rsidRDefault="00EA1783" w:rsidP="00E62E84">
            <w:pPr>
              <w:rPr>
                <w:sz w:val="16"/>
                <w:szCs w:val="16"/>
                <w:lang w:bidi="fr-FR"/>
              </w:rPr>
            </w:pPr>
          </w:p>
        </w:tc>
        <w:tc>
          <w:tcPr>
            <w:tcW w:w="201" w:type="pct"/>
            <w:tcBorders>
              <w:top w:val="single" w:sz="4" w:space="0" w:color="auto"/>
              <w:left w:val="single" w:sz="4" w:space="0" w:color="auto"/>
              <w:bottom w:val="single" w:sz="4" w:space="0" w:color="auto"/>
              <w:right w:val="single" w:sz="4" w:space="0" w:color="auto"/>
            </w:tcBorders>
            <w:vAlign w:val="center"/>
          </w:tcPr>
          <w:p w14:paraId="1D7C8C56" w14:textId="77777777" w:rsidR="00EA1783" w:rsidRPr="004E13E9" w:rsidRDefault="00EA1783" w:rsidP="00E62E84">
            <w:pPr>
              <w:rPr>
                <w:sz w:val="16"/>
                <w:szCs w:val="16"/>
                <w:lang w:bidi="fr-FR"/>
              </w:rPr>
            </w:pPr>
          </w:p>
        </w:tc>
        <w:tc>
          <w:tcPr>
            <w:tcW w:w="201" w:type="pct"/>
            <w:tcBorders>
              <w:top w:val="single" w:sz="4" w:space="0" w:color="auto"/>
              <w:left w:val="single" w:sz="4" w:space="0" w:color="auto"/>
              <w:bottom w:val="single" w:sz="4" w:space="0" w:color="auto"/>
              <w:right w:val="single" w:sz="4" w:space="0" w:color="auto"/>
            </w:tcBorders>
          </w:tcPr>
          <w:p w14:paraId="4E207B7C" w14:textId="77777777" w:rsidR="00EA1783" w:rsidRPr="004E13E9" w:rsidRDefault="00EA1783" w:rsidP="00E62E84">
            <w:pPr>
              <w:rPr>
                <w:sz w:val="16"/>
                <w:szCs w:val="16"/>
                <w:lang w:bidi="fr-FR"/>
              </w:rPr>
            </w:pPr>
          </w:p>
        </w:tc>
        <w:tc>
          <w:tcPr>
            <w:tcW w:w="203" w:type="pct"/>
            <w:tcBorders>
              <w:top w:val="single" w:sz="4" w:space="0" w:color="auto"/>
              <w:left w:val="single" w:sz="4" w:space="0" w:color="auto"/>
              <w:bottom w:val="single" w:sz="4" w:space="0" w:color="auto"/>
              <w:right w:val="single" w:sz="4" w:space="0" w:color="auto"/>
            </w:tcBorders>
          </w:tcPr>
          <w:p w14:paraId="4F2E1F62" w14:textId="77777777" w:rsidR="00EA1783" w:rsidRPr="004E13E9" w:rsidRDefault="00EA1783" w:rsidP="00E62E84">
            <w:pPr>
              <w:rPr>
                <w:sz w:val="16"/>
                <w:szCs w:val="16"/>
                <w:lang w:bidi="fr-FR"/>
              </w:rPr>
            </w:pP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tcPr>
          <w:p w14:paraId="3776DC8D" w14:textId="77777777" w:rsidR="00EA1783" w:rsidRPr="004E13E9" w:rsidRDefault="00EA1783" w:rsidP="00E62E84">
            <w:pPr>
              <w:rPr>
                <w:sz w:val="16"/>
                <w:szCs w:val="16"/>
                <w:lang w:bidi="fr-FR"/>
              </w:rPr>
            </w:pPr>
          </w:p>
        </w:tc>
        <w:tc>
          <w:tcPr>
            <w:tcW w:w="203" w:type="pct"/>
            <w:tcBorders>
              <w:top w:val="single" w:sz="4" w:space="0" w:color="auto"/>
              <w:left w:val="single" w:sz="4" w:space="0" w:color="auto"/>
              <w:bottom w:val="single" w:sz="4" w:space="0" w:color="auto"/>
              <w:right w:val="single" w:sz="4" w:space="0" w:color="auto"/>
            </w:tcBorders>
            <w:hideMark/>
          </w:tcPr>
          <w:p w14:paraId="65F7E0EA" w14:textId="77777777" w:rsidR="00EA1783" w:rsidRPr="004E13E9" w:rsidRDefault="00EA1783" w:rsidP="00E62E84">
            <w:pPr>
              <w:rPr>
                <w:sz w:val="16"/>
                <w:szCs w:val="16"/>
                <w:lang w:bidi="fr-FR"/>
              </w:rPr>
            </w:pPr>
            <w:r w:rsidRPr="004E13E9">
              <w:rPr>
                <w:sz w:val="16"/>
                <w:szCs w:val="16"/>
                <w:lang w:bidi="fr-FR"/>
              </w:rPr>
              <w:t>0</w:t>
            </w:r>
          </w:p>
        </w:tc>
        <w:tc>
          <w:tcPr>
            <w:tcW w:w="200" w:type="pct"/>
            <w:tcBorders>
              <w:top w:val="single" w:sz="4" w:space="0" w:color="auto"/>
              <w:left w:val="single" w:sz="4" w:space="0" w:color="auto"/>
              <w:bottom w:val="single" w:sz="4" w:space="0" w:color="auto"/>
              <w:right w:val="single" w:sz="4" w:space="0" w:color="auto"/>
            </w:tcBorders>
            <w:vAlign w:val="center"/>
            <w:hideMark/>
          </w:tcPr>
          <w:p w14:paraId="717C6D16" w14:textId="77777777" w:rsidR="00EA1783" w:rsidRPr="004E13E9" w:rsidRDefault="00EA1783" w:rsidP="00E62E84">
            <w:pPr>
              <w:rPr>
                <w:sz w:val="16"/>
                <w:szCs w:val="16"/>
                <w:lang w:bidi="fr-FR"/>
              </w:rPr>
            </w:pPr>
            <w:r w:rsidRPr="004E13E9">
              <w:rPr>
                <w:sz w:val="16"/>
                <w:szCs w:val="16"/>
                <w:lang w:bidi="fr-FR"/>
              </w:rPr>
              <w:t>0</w:t>
            </w:r>
          </w:p>
        </w:tc>
        <w:tc>
          <w:tcPr>
            <w:tcW w:w="253" w:type="pct"/>
            <w:tcBorders>
              <w:top w:val="single" w:sz="4" w:space="0" w:color="auto"/>
              <w:left w:val="single" w:sz="4" w:space="0" w:color="auto"/>
              <w:bottom w:val="single" w:sz="4" w:space="0" w:color="auto"/>
              <w:right w:val="single" w:sz="4" w:space="0" w:color="auto"/>
            </w:tcBorders>
            <w:vAlign w:val="center"/>
            <w:hideMark/>
          </w:tcPr>
          <w:p w14:paraId="4D71DD67" w14:textId="77777777" w:rsidR="00EA1783" w:rsidRPr="004E13E9" w:rsidRDefault="00EA1783" w:rsidP="00E62E84">
            <w:pPr>
              <w:rPr>
                <w:sz w:val="16"/>
                <w:szCs w:val="16"/>
                <w:lang w:bidi="fr-FR"/>
              </w:rPr>
            </w:pPr>
            <w:r w:rsidRPr="004E13E9">
              <w:rPr>
                <w:sz w:val="16"/>
                <w:szCs w:val="16"/>
                <w:lang w:bidi="fr-FR"/>
              </w:rPr>
              <w:t>0</w:t>
            </w:r>
          </w:p>
        </w:tc>
        <w:tc>
          <w:tcPr>
            <w:tcW w:w="248" w:type="pct"/>
            <w:tcBorders>
              <w:top w:val="single" w:sz="4" w:space="0" w:color="auto"/>
              <w:left w:val="single" w:sz="4" w:space="0" w:color="auto"/>
              <w:bottom w:val="single" w:sz="4" w:space="0" w:color="auto"/>
              <w:right w:val="single" w:sz="4" w:space="0" w:color="auto"/>
            </w:tcBorders>
            <w:vAlign w:val="center"/>
            <w:hideMark/>
          </w:tcPr>
          <w:p w14:paraId="24478E5D" w14:textId="77777777" w:rsidR="00EA1783" w:rsidRPr="004E13E9" w:rsidRDefault="00EA1783" w:rsidP="00E62E84">
            <w:pPr>
              <w:jc w:val="center"/>
              <w:rPr>
                <w:sz w:val="16"/>
                <w:szCs w:val="16"/>
                <w:lang w:bidi="fr-FR"/>
              </w:rPr>
            </w:pPr>
            <w:r w:rsidRPr="004E13E9">
              <w:rPr>
                <w:sz w:val="16"/>
                <w:szCs w:val="16"/>
                <w:lang w:bidi="fr-FR"/>
              </w:rPr>
              <w:t>(18t)</w:t>
            </w:r>
          </w:p>
        </w:tc>
        <w:tc>
          <w:tcPr>
            <w:tcW w:w="259" w:type="pct"/>
            <w:tcBorders>
              <w:top w:val="single" w:sz="4" w:space="0" w:color="auto"/>
              <w:left w:val="single" w:sz="4" w:space="0" w:color="auto"/>
              <w:bottom w:val="single" w:sz="4" w:space="0" w:color="auto"/>
              <w:right w:val="single" w:sz="4" w:space="0" w:color="auto"/>
            </w:tcBorders>
            <w:vAlign w:val="center"/>
            <w:hideMark/>
          </w:tcPr>
          <w:p w14:paraId="682D465F" w14:textId="77777777" w:rsidR="00EA1783" w:rsidRPr="004E13E9" w:rsidRDefault="00EA1783" w:rsidP="00E62E84">
            <w:pPr>
              <w:jc w:val="center"/>
              <w:rPr>
                <w:sz w:val="16"/>
                <w:szCs w:val="16"/>
                <w:lang w:bidi="fr-FR"/>
              </w:rPr>
            </w:pPr>
            <w:r w:rsidRPr="004E13E9">
              <w:rPr>
                <w:sz w:val="16"/>
                <w:szCs w:val="16"/>
                <w:lang w:bidi="fr-FR"/>
              </w:rPr>
              <w:t>(18 t)</w:t>
            </w:r>
          </w:p>
        </w:tc>
        <w:tc>
          <w:tcPr>
            <w:tcW w:w="275" w:type="pct"/>
            <w:tcBorders>
              <w:top w:val="single" w:sz="4" w:space="0" w:color="auto"/>
              <w:left w:val="single" w:sz="4" w:space="0" w:color="auto"/>
              <w:bottom w:val="single" w:sz="4" w:space="0" w:color="auto"/>
              <w:right w:val="single" w:sz="4" w:space="0" w:color="auto"/>
            </w:tcBorders>
            <w:vAlign w:val="center"/>
            <w:hideMark/>
          </w:tcPr>
          <w:p w14:paraId="2BF19A62" w14:textId="77777777" w:rsidR="00EA1783" w:rsidRPr="004E13E9" w:rsidRDefault="00EA1783" w:rsidP="00E62E84">
            <w:pPr>
              <w:jc w:val="center"/>
              <w:rPr>
                <w:sz w:val="16"/>
                <w:szCs w:val="16"/>
                <w:lang w:bidi="fr-FR"/>
              </w:rPr>
            </w:pPr>
            <w:r w:rsidRPr="004E13E9">
              <w:rPr>
                <w:sz w:val="16"/>
                <w:szCs w:val="16"/>
                <w:lang w:bidi="fr-FR"/>
              </w:rPr>
              <w:t>(18 t)</w:t>
            </w:r>
          </w:p>
        </w:tc>
        <w:tc>
          <w:tcPr>
            <w:tcW w:w="316" w:type="pct"/>
            <w:tcBorders>
              <w:top w:val="single" w:sz="4" w:space="0" w:color="auto"/>
              <w:left w:val="single" w:sz="4" w:space="0" w:color="auto"/>
              <w:bottom w:val="single" w:sz="4" w:space="0" w:color="auto"/>
              <w:right w:val="single" w:sz="4" w:space="0" w:color="auto"/>
            </w:tcBorders>
            <w:hideMark/>
          </w:tcPr>
          <w:p w14:paraId="6EBC5C58" w14:textId="77777777" w:rsidR="00EA1783" w:rsidRPr="004E13E9" w:rsidRDefault="00EA1783" w:rsidP="00E62E84">
            <w:pPr>
              <w:jc w:val="center"/>
              <w:rPr>
                <w:sz w:val="16"/>
                <w:szCs w:val="16"/>
                <w:lang w:bidi="fr-FR"/>
              </w:rPr>
            </w:pPr>
            <w:r w:rsidRPr="004E13E9">
              <w:rPr>
                <w:sz w:val="16"/>
                <w:szCs w:val="16"/>
                <w:lang w:bidi="fr-FR"/>
              </w:rPr>
              <w:t>(10 t)</w:t>
            </w:r>
          </w:p>
        </w:tc>
      </w:tr>
      <w:tr w:rsidR="00EA1783" w:rsidRPr="006A2397" w14:paraId="52CAD224"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vAlign w:val="center"/>
            <w:hideMark/>
          </w:tcPr>
          <w:p w14:paraId="791D3D0B" w14:textId="77777777" w:rsidR="00EA1783" w:rsidRPr="004E13E9" w:rsidRDefault="00EA1783" w:rsidP="00E62E84">
            <w:pPr>
              <w:rPr>
                <w:b/>
                <w:bCs/>
                <w:sz w:val="16"/>
                <w:szCs w:val="16"/>
                <w:lang w:val="fr-FR" w:bidi="fr-FR"/>
              </w:rPr>
            </w:pPr>
            <w:r w:rsidRPr="004E13E9">
              <w:rPr>
                <w:b/>
                <w:sz w:val="16"/>
                <w:szCs w:val="16"/>
                <w:lang w:val="fr-FR" w:bidi="fr-FR"/>
              </w:rPr>
              <w:t>Quota de recherche scientifique</w:t>
            </w:r>
          </w:p>
          <w:p w14:paraId="71BBC887" w14:textId="77777777" w:rsidR="00EA1783" w:rsidRPr="004E13E9" w:rsidRDefault="00EA1783" w:rsidP="00E62E84">
            <w:pPr>
              <w:rPr>
                <w:b/>
                <w:bCs/>
                <w:sz w:val="16"/>
                <w:szCs w:val="16"/>
                <w:lang w:val="fr-FR" w:bidi="fr-FR"/>
              </w:rPr>
            </w:pPr>
            <w:r w:rsidRPr="004E13E9">
              <w:rPr>
                <w:b/>
                <w:sz w:val="16"/>
                <w:szCs w:val="16"/>
                <w:lang w:val="fr-FR" w:bidi="fr-FR"/>
              </w:rPr>
              <w:t>(le cas échéant)</w:t>
            </w:r>
          </w:p>
        </w:tc>
        <w:tc>
          <w:tcPr>
            <w:tcW w:w="582" w:type="pct"/>
            <w:tcBorders>
              <w:top w:val="single" w:sz="4" w:space="0" w:color="auto"/>
              <w:left w:val="single" w:sz="4" w:space="0" w:color="auto"/>
              <w:bottom w:val="single" w:sz="4" w:space="0" w:color="auto"/>
              <w:right w:val="single" w:sz="4" w:space="0" w:color="auto"/>
            </w:tcBorders>
            <w:noWrap/>
            <w:vAlign w:val="center"/>
          </w:tcPr>
          <w:p w14:paraId="4C08D4DC" w14:textId="77777777" w:rsidR="00EA1783" w:rsidRPr="004E13E9" w:rsidRDefault="00EA1783" w:rsidP="00E62E84">
            <w:pPr>
              <w:rPr>
                <w:b/>
                <w:bCs/>
                <w:sz w:val="16"/>
                <w:szCs w:val="16"/>
                <w:lang w:val="fr-FR" w:bidi="fr-FR"/>
              </w:rPr>
            </w:pPr>
          </w:p>
        </w:tc>
        <w:tc>
          <w:tcPr>
            <w:tcW w:w="201" w:type="pct"/>
            <w:tcBorders>
              <w:top w:val="single" w:sz="4" w:space="0" w:color="auto"/>
              <w:left w:val="single" w:sz="4" w:space="0" w:color="auto"/>
              <w:bottom w:val="single" w:sz="4" w:space="0" w:color="auto"/>
              <w:right w:val="single" w:sz="4" w:space="0" w:color="auto"/>
            </w:tcBorders>
          </w:tcPr>
          <w:p w14:paraId="09DAD278" w14:textId="77777777" w:rsidR="00EA1783" w:rsidRPr="004E13E9" w:rsidRDefault="00EA1783" w:rsidP="00E62E84">
            <w:pPr>
              <w:rPr>
                <w:b/>
                <w:bCs/>
                <w:sz w:val="16"/>
                <w:szCs w:val="16"/>
                <w:lang w:val="fr-FR" w:bidi="fr-FR"/>
              </w:rPr>
            </w:pPr>
          </w:p>
        </w:tc>
        <w:tc>
          <w:tcPr>
            <w:tcW w:w="201" w:type="pct"/>
            <w:tcBorders>
              <w:top w:val="single" w:sz="4" w:space="0" w:color="auto"/>
              <w:left w:val="single" w:sz="4" w:space="0" w:color="auto"/>
              <w:bottom w:val="single" w:sz="4" w:space="0" w:color="auto"/>
              <w:right w:val="single" w:sz="4" w:space="0" w:color="auto"/>
            </w:tcBorders>
            <w:noWrap/>
            <w:vAlign w:val="center"/>
          </w:tcPr>
          <w:p w14:paraId="2AC8F134" w14:textId="77777777" w:rsidR="00EA1783" w:rsidRPr="004E13E9" w:rsidRDefault="00EA1783" w:rsidP="00E62E84">
            <w:pPr>
              <w:rPr>
                <w:b/>
                <w:bCs/>
                <w:sz w:val="16"/>
                <w:szCs w:val="16"/>
                <w:lang w:val="fr-FR" w:bidi="fr-FR"/>
              </w:rPr>
            </w:pPr>
          </w:p>
        </w:tc>
        <w:tc>
          <w:tcPr>
            <w:tcW w:w="203" w:type="pct"/>
            <w:tcBorders>
              <w:top w:val="single" w:sz="4" w:space="0" w:color="auto"/>
              <w:left w:val="single" w:sz="4" w:space="0" w:color="auto"/>
              <w:bottom w:val="single" w:sz="4" w:space="0" w:color="auto"/>
              <w:right w:val="single" w:sz="4" w:space="0" w:color="auto"/>
            </w:tcBorders>
            <w:vAlign w:val="center"/>
          </w:tcPr>
          <w:p w14:paraId="79DA26C9" w14:textId="77777777" w:rsidR="00EA1783" w:rsidRPr="004E13E9" w:rsidRDefault="00EA1783" w:rsidP="00E62E84">
            <w:pPr>
              <w:rPr>
                <w:b/>
                <w:bCs/>
                <w:sz w:val="16"/>
                <w:szCs w:val="16"/>
                <w:lang w:val="fr-FR" w:bidi="fr-FR"/>
              </w:rPr>
            </w:pPr>
          </w:p>
        </w:tc>
        <w:tc>
          <w:tcPr>
            <w:tcW w:w="201" w:type="pct"/>
            <w:tcBorders>
              <w:top w:val="single" w:sz="4" w:space="0" w:color="auto"/>
              <w:left w:val="single" w:sz="4" w:space="0" w:color="auto"/>
              <w:bottom w:val="single" w:sz="4" w:space="0" w:color="auto"/>
              <w:right w:val="single" w:sz="4" w:space="0" w:color="auto"/>
            </w:tcBorders>
            <w:vAlign w:val="center"/>
          </w:tcPr>
          <w:p w14:paraId="410EF77D" w14:textId="77777777" w:rsidR="00EA1783" w:rsidRPr="004E13E9" w:rsidRDefault="00EA1783" w:rsidP="00E62E84">
            <w:pPr>
              <w:rPr>
                <w:b/>
                <w:bCs/>
                <w:sz w:val="16"/>
                <w:szCs w:val="16"/>
                <w:lang w:val="fr-FR" w:bidi="fr-FR"/>
              </w:rPr>
            </w:pPr>
          </w:p>
        </w:tc>
        <w:tc>
          <w:tcPr>
            <w:tcW w:w="201" w:type="pct"/>
            <w:tcBorders>
              <w:top w:val="single" w:sz="4" w:space="0" w:color="auto"/>
              <w:left w:val="single" w:sz="4" w:space="0" w:color="auto"/>
              <w:bottom w:val="single" w:sz="4" w:space="0" w:color="auto"/>
              <w:right w:val="single" w:sz="4" w:space="0" w:color="auto"/>
            </w:tcBorders>
            <w:vAlign w:val="center"/>
          </w:tcPr>
          <w:p w14:paraId="763943A9" w14:textId="77777777" w:rsidR="00EA1783" w:rsidRPr="004E13E9" w:rsidRDefault="00EA1783" w:rsidP="00E62E84">
            <w:pPr>
              <w:rPr>
                <w:b/>
                <w:bCs/>
                <w:sz w:val="16"/>
                <w:szCs w:val="16"/>
                <w:lang w:val="fr-FR" w:bidi="fr-FR"/>
              </w:rPr>
            </w:pPr>
          </w:p>
        </w:tc>
        <w:tc>
          <w:tcPr>
            <w:tcW w:w="201" w:type="pct"/>
            <w:tcBorders>
              <w:top w:val="single" w:sz="4" w:space="0" w:color="auto"/>
              <w:left w:val="single" w:sz="4" w:space="0" w:color="auto"/>
              <w:bottom w:val="single" w:sz="4" w:space="0" w:color="auto"/>
              <w:right w:val="single" w:sz="4" w:space="0" w:color="auto"/>
            </w:tcBorders>
          </w:tcPr>
          <w:p w14:paraId="0DE58EA7" w14:textId="77777777" w:rsidR="00EA1783" w:rsidRPr="004E13E9" w:rsidRDefault="00EA1783" w:rsidP="00E62E84">
            <w:pPr>
              <w:rPr>
                <w:b/>
                <w:bCs/>
                <w:sz w:val="16"/>
                <w:szCs w:val="16"/>
                <w:lang w:val="fr-FR" w:bidi="fr-FR"/>
              </w:rPr>
            </w:pPr>
          </w:p>
        </w:tc>
        <w:tc>
          <w:tcPr>
            <w:tcW w:w="203" w:type="pct"/>
            <w:tcBorders>
              <w:top w:val="single" w:sz="4" w:space="0" w:color="auto"/>
              <w:left w:val="single" w:sz="4" w:space="0" w:color="auto"/>
              <w:bottom w:val="single" w:sz="4" w:space="0" w:color="auto"/>
              <w:right w:val="single" w:sz="4" w:space="0" w:color="auto"/>
            </w:tcBorders>
          </w:tcPr>
          <w:p w14:paraId="3A9E51A5" w14:textId="77777777" w:rsidR="00EA1783" w:rsidRPr="004E13E9" w:rsidRDefault="00EA1783" w:rsidP="00E62E84">
            <w:pPr>
              <w:rPr>
                <w:sz w:val="16"/>
                <w:szCs w:val="16"/>
                <w:lang w:val="fr-FR" w:bidi="fr-FR"/>
              </w:rPr>
            </w:pP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tcPr>
          <w:p w14:paraId="66AEEA86" w14:textId="77777777" w:rsidR="00EA1783" w:rsidRPr="004E13E9" w:rsidRDefault="00EA1783" w:rsidP="00E62E84">
            <w:pPr>
              <w:rPr>
                <w:b/>
                <w:bCs/>
                <w:sz w:val="16"/>
                <w:szCs w:val="16"/>
                <w:lang w:val="fr-FR" w:bidi="fr-FR"/>
              </w:rPr>
            </w:pPr>
          </w:p>
        </w:tc>
        <w:tc>
          <w:tcPr>
            <w:tcW w:w="203" w:type="pct"/>
            <w:tcBorders>
              <w:top w:val="single" w:sz="4" w:space="0" w:color="auto"/>
              <w:left w:val="single" w:sz="4" w:space="0" w:color="auto"/>
              <w:bottom w:val="single" w:sz="4" w:space="0" w:color="auto"/>
              <w:right w:val="single" w:sz="4" w:space="0" w:color="auto"/>
            </w:tcBorders>
          </w:tcPr>
          <w:p w14:paraId="5F6810BC" w14:textId="77777777" w:rsidR="00EA1783" w:rsidRPr="004E13E9" w:rsidRDefault="00EA1783" w:rsidP="00E62E84">
            <w:pPr>
              <w:rPr>
                <w:b/>
                <w:bCs/>
                <w:sz w:val="16"/>
                <w:szCs w:val="16"/>
                <w:lang w:val="fr-FR"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3656F861" w14:textId="77777777" w:rsidR="00EA1783" w:rsidRPr="004E13E9" w:rsidRDefault="00EA1783" w:rsidP="00E62E84">
            <w:pPr>
              <w:rPr>
                <w:b/>
                <w:bCs/>
                <w:sz w:val="16"/>
                <w:szCs w:val="16"/>
                <w:lang w:val="fr-FR" w:bidi="fr-FR"/>
              </w:rPr>
            </w:pPr>
          </w:p>
        </w:tc>
        <w:tc>
          <w:tcPr>
            <w:tcW w:w="253" w:type="pct"/>
            <w:tcBorders>
              <w:top w:val="single" w:sz="4" w:space="0" w:color="auto"/>
              <w:left w:val="single" w:sz="4" w:space="0" w:color="auto"/>
              <w:bottom w:val="single" w:sz="4" w:space="0" w:color="auto"/>
              <w:right w:val="single" w:sz="4" w:space="0" w:color="auto"/>
            </w:tcBorders>
            <w:vAlign w:val="center"/>
          </w:tcPr>
          <w:p w14:paraId="41837349" w14:textId="77777777" w:rsidR="00EA1783" w:rsidRPr="004E13E9" w:rsidRDefault="00EA1783" w:rsidP="00E62E84">
            <w:pPr>
              <w:rPr>
                <w:b/>
                <w:bCs/>
                <w:sz w:val="16"/>
                <w:szCs w:val="16"/>
                <w:lang w:val="fr-FR" w:bidi="fr-FR"/>
              </w:rPr>
            </w:pPr>
          </w:p>
        </w:tc>
        <w:tc>
          <w:tcPr>
            <w:tcW w:w="248" w:type="pct"/>
            <w:tcBorders>
              <w:top w:val="single" w:sz="4" w:space="0" w:color="auto"/>
              <w:left w:val="single" w:sz="4" w:space="0" w:color="auto"/>
              <w:bottom w:val="single" w:sz="4" w:space="0" w:color="auto"/>
              <w:right w:val="single" w:sz="4" w:space="0" w:color="auto"/>
            </w:tcBorders>
            <w:noWrap/>
            <w:vAlign w:val="center"/>
          </w:tcPr>
          <w:p w14:paraId="6AEA8D63" w14:textId="77777777" w:rsidR="00EA1783" w:rsidRPr="004E13E9" w:rsidRDefault="00EA1783" w:rsidP="00E62E84">
            <w:pPr>
              <w:rPr>
                <w:b/>
                <w:bCs/>
                <w:sz w:val="16"/>
                <w:szCs w:val="16"/>
                <w:lang w:val="fr-FR" w:bidi="fr-FR"/>
              </w:rPr>
            </w:pPr>
          </w:p>
        </w:tc>
        <w:tc>
          <w:tcPr>
            <w:tcW w:w="259" w:type="pct"/>
            <w:tcBorders>
              <w:top w:val="single" w:sz="4" w:space="0" w:color="auto"/>
              <w:left w:val="single" w:sz="4" w:space="0" w:color="auto"/>
              <w:bottom w:val="single" w:sz="4" w:space="0" w:color="auto"/>
              <w:right w:val="single" w:sz="4" w:space="0" w:color="auto"/>
            </w:tcBorders>
            <w:noWrap/>
            <w:vAlign w:val="center"/>
          </w:tcPr>
          <w:p w14:paraId="433EEEF3" w14:textId="77777777" w:rsidR="00EA1783" w:rsidRPr="004E13E9" w:rsidRDefault="00EA1783" w:rsidP="00E62E84">
            <w:pPr>
              <w:rPr>
                <w:b/>
                <w:bCs/>
                <w:sz w:val="16"/>
                <w:szCs w:val="16"/>
                <w:lang w:val="fr-FR" w:bidi="fr-FR"/>
              </w:rPr>
            </w:pPr>
          </w:p>
        </w:tc>
        <w:tc>
          <w:tcPr>
            <w:tcW w:w="275" w:type="pct"/>
            <w:tcBorders>
              <w:top w:val="single" w:sz="4" w:space="0" w:color="auto"/>
              <w:left w:val="single" w:sz="4" w:space="0" w:color="auto"/>
              <w:bottom w:val="single" w:sz="4" w:space="0" w:color="auto"/>
              <w:right w:val="single" w:sz="4" w:space="0" w:color="auto"/>
            </w:tcBorders>
            <w:noWrap/>
            <w:vAlign w:val="center"/>
          </w:tcPr>
          <w:p w14:paraId="6061ADFA" w14:textId="77777777" w:rsidR="00EA1783" w:rsidRPr="004E13E9" w:rsidRDefault="00EA1783" w:rsidP="00E62E84">
            <w:pPr>
              <w:rPr>
                <w:b/>
                <w:bCs/>
                <w:sz w:val="16"/>
                <w:szCs w:val="16"/>
                <w:lang w:val="fr-FR" w:bidi="fr-FR"/>
              </w:rPr>
            </w:pPr>
          </w:p>
        </w:tc>
        <w:tc>
          <w:tcPr>
            <w:tcW w:w="316" w:type="pct"/>
            <w:tcBorders>
              <w:top w:val="single" w:sz="4" w:space="0" w:color="auto"/>
              <w:left w:val="single" w:sz="4" w:space="0" w:color="auto"/>
              <w:bottom w:val="single" w:sz="4" w:space="0" w:color="auto"/>
              <w:right w:val="single" w:sz="4" w:space="0" w:color="auto"/>
            </w:tcBorders>
          </w:tcPr>
          <w:p w14:paraId="1E5C3786" w14:textId="77777777" w:rsidR="00EA1783" w:rsidRPr="004E13E9" w:rsidRDefault="00EA1783" w:rsidP="00E62E84">
            <w:pPr>
              <w:rPr>
                <w:b/>
                <w:bCs/>
                <w:sz w:val="16"/>
                <w:szCs w:val="16"/>
                <w:lang w:val="fr-FR" w:bidi="fr-FR"/>
              </w:rPr>
            </w:pPr>
          </w:p>
        </w:tc>
      </w:tr>
      <w:tr w:rsidR="00EA1783" w:rsidRPr="006A2397" w14:paraId="2F38E0C0"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vAlign w:val="center"/>
            <w:hideMark/>
          </w:tcPr>
          <w:p w14:paraId="49EC8D56" w14:textId="77777777" w:rsidR="00EA1783" w:rsidRPr="004E13E9" w:rsidRDefault="00EA1783" w:rsidP="00E62E84">
            <w:pPr>
              <w:rPr>
                <w:b/>
                <w:bCs/>
                <w:sz w:val="16"/>
                <w:szCs w:val="16"/>
                <w:lang w:val="fr-FR" w:bidi="fr-FR"/>
              </w:rPr>
            </w:pPr>
            <w:r w:rsidRPr="004E13E9">
              <w:rPr>
                <w:b/>
                <w:sz w:val="16"/>
                <w:szCs w:val="16"/>
                <w:lang w:val="fr-FR" w:bidi="fr-FR"/>
              </w:rPr>
              <w:t>Tolérance pour la pêche sportive/récréative (le cas échéant)</w:t>
            </w:r>
          </w:p>
        </w:tc>
        <w:tc>
          <w:tcPr>
            <w:tcW w:w="582" w:type="pct"/>
            <w:tcBorders>
              <w:top w:val="single" w:sz="4" w:space="0" w:color="auto"/>
              <w:left w:val="single" w:sz="4" w:space="0" w:color="auto"/>
              <w:bottom w:val="single" w:sz="4" w:space="0" w:color="auto"/>
              <w:right w:val="single" w:sz="4" w:space="0" w:color="auto"/>
            </w:tcBorders>
            <w:noWrap/>
            <w:vAlign w:val="center"/>
          </w:tcPr>
          <w:p w14:paraId="12F7096A" w14:textId="77777777" w:rsidR="00EA1783" w:rsidRPr="004E13E9" w:rsidRDefault="00EA1783" w:rsidP="00E62E84">
            <w:pPr>
              <w:rPr>
                <w:b/>
                <w:bCs/>
                <w:sz w:val="16"/>
                <w:szCs w:val="16"/>
                <w:lang w:val="fr-FR" w:bidi="fr-FR"/>
              </w:rPr>
            </w:pPr>
          </w:p>
        </w:tc>
        <w:tc>
          <w:tcPr>
            <w:tcW w:w="201" w:type="pct"/>
            <w:tcBorders>
              <w:top w:val="single" w:sz="4" w:space="0" w:color="auto"/>
              <w:left w:val="single" w:sz="4" w:space="0" w:color="auto"/>
              <w:bottom w:val="single" w:sz="4" w:space="0" w:color="auto"/>
              <w:right w:val="single" w:sz="4" w:space="0" w:color="auto"/>
            </w:tcBorders>
          </w:tcPr>
          <w:p w14:paraId="2A30F3F0" w14:textId="77777777" w:rsidR="00EA1783" w:rsidRPr="004E13E9" w:rsidRDefault="00EA1783" w:rsidP="00E62E84">
            <w:pPr>
              <w:rPr>
                <w:b/>
                <w:bCs/>
                <w:sz w:val="16"/>
                <w:szCs w:val="16"/>
                <w:lang w:val="fr-FR" w:bidi="fr-FR"/>
              </w:rPr>
            </w:pPr>
          </w:p>
        </w:tc>
        <w:tc>
          <w:tcPr>
            <w:tcW w:w="201" w:type="pct"/>
            <w:tcBorders>
              <w:top w:val="single" w:sz="4" w:space="0" w:color="auto"/>
              <w:left w:val="single" w:sz="4" w:space="0" w:color="auto"/>
              <w:bottom w:val="single" w:sz="4" w:space="0" w:color="auto"/>
              <w:right w:val="single" w:sz="4" w:space="0" w:color="auto"/>
            </w:tcBorders>
            <w:noWrap/>
            <w:vAlign w:val="center"/>
          </w:tcPr>
          <w:p w14:paraId="330AFC28" w14:textId="77777777" w:rsidR="00EA1783" w:rsidRPr="004E13E9" w:rsidRDefault="00EA1783" w:rsidP="00E62E84">
            <w:pPr>
              <w:rPr>
                <w:b/>
                <w:bCs/>
                <w:sz w:val="16"/>
                <w:szCs w:val="16"/>
                <w:lang w:val="fr-FR" w:bidi="fr-FR"/>
              </w:rPr>
            </w:pPr>
          </w:p>
        </w:tc>
        <w:tc>
          <w:tcPr>
            <w:tcW w:w="203" w:type="pct"/>
            <w:tcBorders>
              <w:top w:val="single" w:sz="4" w:space="0" w:color="auto"/>
              <w:left w:val="single" w:sz="4" w:space="0" w:color="auto"/>
              <w:bottom w:val="single" w:sz="4" w:space="0" w:color="auto"/>
              <w:right w:val="single" w:sz="4" w:space="0" w:color="auto"/>
            </w:tcBorders>
            <w:vAlign w:val="center"/>
          </w:tcPr>
          <w:p w14:paraId="47784653" w14:textId="77777777" w:rsidR="00EA1783" w:rsidRPr="004E13E9" w:rsidRDefault="00EA1783" w:rsidP="00E62E84">
            <w:pPr>
              <w:rPr>
                <w:b/>
                <w:bCs/>
                <w:sz w:val="16"/>
                <w:szCs w:val="16"/>
                <w:lang w:val="fr-FR" w:bidi="fr-FR"/>
              </w:rPr>
            </w:pPr>
          </w:p>
        </w:tc>
        <w:tc>
          <w:tcPr>
            <w:tcW w:w="201" w:type="pct"/>
            <w:tcBorders>
              <w:top w:val="single" w:sz="4" w:space="0" w:color="auto"/>
              <w:left w:val="single" w:sz="4" w:space="0" w:color="auto"/>
              <w:bottom w:val="single" w:sz="4" w:space="0" w:color="auto"/>
              <w:right w:val="single" w:sz="4" w:space="0" w:color="auto"/>
            </w:tcBorders>
            <w:vAlign w:val="center"/>
          </w:tcPr>
          <w:p w14:paraId="6C2EB60A" w14:textId="77777777" w:rsidR="00EA1783" w:rsidRPr="004E13E9" w:rsidRDefault="00EA1783" w:rsidP="00E62E84">
            <w:pPr>
              <w:rPr>
                <w:b/>
                <w:bCs/>
                <w:sz w:val="16"/>
                <w:szCs w:val="16"/>
                <w:lang w:val="fr-FR" w:bidi="fr-FR"/>
              </w:rPr>
            </w:pPr>
          </w:p>
        </w:tc>
        <w:tc>
          <w:tcPr>
            <w:tcW w:w="201" w:type="pct"/>
            <w:tcBorders>
              <w:top w:val="single" w:sz="4" w:space="0" w:color="auto"/>
              <w:left w:val="single" w:sz="4" w:space="0" w:color="auto"/>
              <w:bottom w:val="single" w:sz="4" w:space="0" w:color="auto"/>
              <w:right w:val="single" w:sz="4" w:space="0" w:color="auto"/>
            </w:tcBorders>
            <w:vAlign w:val="center"/>
          </w:tcPr>
          <w:p w14:paraId="570AA04F" w14:textId="77777777" w:rsidR="00EA1783" w:rsidRPr="004E13E9" w:rsidRDefault="00EA1783" w:rsidP="00E62E84">
            <w:pPr>
              <w:rPr>
                <w:b/>
                <w:bCs/>
                <w:sz w:val="16"/>
                <w:szCs w:val="16"/>
                <w:lang w:val="fr-FR" w:bidi="fr-FR"/>
              </w:rPr>
            </w:pPr>
          </w:p>
        </w:tc>
        <w:tc>
          <w:tcPr>
            <w:tcW w:w="201" w:type="pct"/>
            <w:tcBorders>
              <w:top w:val="single" w:sz="4" w:space="0" w:color="auto"/>
              <w:left w:val="single" w:sz="4" w:space="0" w:color="auto"/>
              <w:bottom w:val="single" w:sz="4" w:space="0" w:color="auto"/>
              <w:right w:val="single" w:sz="4" w:space="0" w:color="auto"/>
            </w:tcBorders>
          </w:tcPr>
          <w:p w14:paraId="4DB4C825" w14:textId="77777777" w:rsidR="00EA1783" w:rsidRPr="004E13E9" w:rsidRDefault="00EA1783" w:rsidP="00E62E84">
            <w:pPr>
              <w:rPr>
                <w:b/>
                <w:bCs/>
                <w:sz w:val="16"/>
                <w:szCs w:val="16"/>
                <w:lang w:val="fr-FR" w:bidi="fr-FR"/>
              </w:rPr>
            </w:pPr>
          </w:p>
        </w:tc>
        <w:tc>
          <w:tcPr>
            <w:tcW w:w="203" w:type="pct"/>
            <w:tcBorders>
              <w:top w:val="single" w:sz="4" w:space="0" w:color="auto"/>
              <w:left w:val="single" w:sz="4" w:space="0" w:color="auto"/>
              <w:bottom w:val="single" w:sz="4" w:space="0" w:color="auto"/>
              <w:right w:val="single" w:sz="4" w:space="0" w:color="auto"/>
            </w:tcBorders>
          </w:tcPr>
          <w:p w14:paraId="2B6F1E4A" w14:textId="77777777" w:rsidR="00EA1783" w:rsidRPr="004E13E9" w:rsidRDefault="00EA1783" w:rsidP="00E62E84">
            <w:pPr>
              <w:rPr>
                <w:sz w:val="16"/>
                <w:szCs w:val="16"/>
                <w:lang w:val="fr-FR" w:bidi="fr-FR"/>
              </w:rPr>
            </w:pP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tcPr>
          <w:p w14:paraId="60E9D778" w14:textId="77777777" w:rsidR="00EA1783" w:rsidRPr="004E13E9" w:rsidRDefault="00EA1783" w:rsidP="00E62E84">
            <w:pPr>
              <w:rPr>
                <w:b/>
                <w:bCs/>
                <w:sz w:val="16"/>
                <w:szCs w:val="16"/>
                <w:lang w:val="fr-FR" w:bidi="fr-FR"/>
              </w:rPr>
            </w:pPr>
          </w:p>
        </w:tc>
        <w:tc>
          <w:tcPr>
            <w:tcW w:w="203" w:type="pct"/>
            <w:tcBorders>
              <w:top w:val="single" w:sz="4" w:space="0" w:color="auto"/>
              <w:left w:val="single" w:sz="4" w:space="0" w:color="auto"/>
              <w:bottom w:val="single" w:sz="4" w:space="0" w:color="auto"/>
              <w:right w:val="single" w:sz="4" w:space="0" w:color="auto"/>
            </w:tcBorders>
          </w:tcPr>
          <w:p w14:paraId="05FC0797" w14:textId="77777777" w:rsidR="00EA1783" w:rsidRPr="004E13E9" w:rsidRDefault="00EA1783" w:rsidP="00E62E84">
            <w:pPr>
              <w:rPr>
                <w:b/>
                <w:bCs/>
                <w:sz w:val="16"/>
                <w:szCs w:val="16"/>
                <w:lang w:val="fr-FR" w:bidi="fr-FR"/>
              </w:rPr>
            </w:pPr>
          </w:p>
        </w:tc>
        <w:tc>
          <w:tcPr>
            <w:tcW w:w="200" w:type="pct"/>
            <w:tcBorders>
              <w:top w:val="single" w:sz="4" w:space="0" w:color="auto"/>
              <w:left w:val="single" w:sz="4" w:space="0" w:color="auto"/>
              <w:bottom w:val="single" w:sz="4" w:space="0" w:color="auto"/>
              <w:right w:val="single" w:sz="4" w:space="0" w:color="auto"/>
            </w:tcBorders>
            <w:vAlign w:val="center"/>
          </w:tcPr>
          <w:p w14:paraId="30BBDC09" w14:textId="77777777" w:rsidR="00EA1783" w:rsidRPr="004E13E9" w:rsidRDefault="00EA1783" w:rsidP="00E62E84">
            <w:pPr>
              <w:rPr>
                <w:b/>
                <w:bCs/>
                <w:sz w:val="16"/>
                <w:szCs w:val="16"/>
                <w:lang w:val="fr-FR" w:bidi="fr-FR"/>
              </w:rPr>
            </w:pPr>
          </w:p>
        </w:tc>
        <w:tc>
          <w:tcPr>
            <w:tcW w:w="253" w:type="pct"/>
            <w:tcBorders>
              <w:top w:val="single" w:sz="4" w:space="0" w:color="auto"/>
              <w:left w:val="single" w:sz="4" w:space="0" w:color="auto"/>
              <w:bottom w:val="single" w:sz="4" w:space="0" w:color="auto"/>
              <w:right w:val="single" w:sz="4" w:space="0" w:color="auto"/>
            </w:tcBorders>
            <w:vAlign w:val="center"/>
          </w:tcPr>
          <w:p w14:paraId="31F5173E" w14:textId="77777777" w:rsidR="00EA1783" w:rsidRPr="004E13E9" w:rsidRDefault="00EA1783" w:rsidP="00E62E84">
            <w:pPr>
              <w:rPr>
                <w:b/>
                <w:bCs/>
                <w:sz w:val="16"/>
                <w:szCs w:val="16"/>
                <w:lang w:val="fr-FR" w:bidi="fr-FR"/>
              </w:rPr>
            </w:pPr>
          </w:p>
        </w:tc>
        <w:tc>
          <w:tcPr>
            <w:tcW w:w="248" w:type="pct"/>
            <w:tcBorders>
              <w:top w:val="single" w:sz="4" w:space="0" w:color="auto"/>
              <w:left w:val="single" w:sz="4" w:space="0" w:color="auto"/>
              <w:bottom w:val="single" w:sz="4" w:space="0" w:color="auto"/>
              <w:right w:val="single" w:sz="4" w:space="0" w:color="auto"/>
            </w:tcBorders>
            <w:noWrap/>
            <w:vAlign w:val="center"/>
          </w:tcPr>
          <w:p w14:paraId="2289746D" w14:textId="77777777" w:rsidR="00EA1783" w:rsidRPr="004E13E9" w:rsidRDefault="00EA1783" w:rsidP="00E62E84">
            <w:pPr>
              <w:rPr>
                <w:b/>
                <w:bCs/>
                <w:sz w:val="16"/>
                <w:szCs w:val="16"/>
                <w:lang w:val="fr-FR" w:bidi="fr-FR"/>
              </w:rPr>
            </w:pPr>
          </w:p>
        </w:tc>
        <w:tc>
          <w:tcPr>
            <w:tcW w:w="259" w:type="pct"/>
            <w:tcBorders>
              <w:top w:val="single" w:sz="4" w:space="0" w:color="auto"/>
              <w:left w:val="single" w:sz="4" w:space="0" w:color="auto"/>
              <w:bottom w:val="single" w:sz="4" w:space="0" w:color="auto"/>
              <w:right w:val="single" w:sz="4" w:space="0" w:color="auto"/>
            </w:tcBorders>
            <w:noWrap/>
            <w:vAlign w:val="center"/>
          </w:tcPr>
          <w:p w14:paraId="0E443758" w14:textId="77777777" w:rsidR="00EA1783" w:rsidRPr="004E13E9" w:rsidRDefault="00EA1783" w:rsidP="00E62E84">
            <w:pPr>
              <w:rPr>
                <w:b/>
                <w:bCs/>
                <w:sz w:val="16"/>
                <w:szCs w:val="16"/>
                <w:lang w:val="fr-FR" w:bidi="fr-FR"/>
              </w:rPr>
            </w:pPr>
          </w:p>
        </w:tc>
        <w:tc>
          <w:tcPr>
            <w:tcW w:w="275" w:type="pct"/>
            <w:tcBorders>
              <w:top w:val="single" w:sz="4" w:space="0" w:color="auto"/>
              <w:left w:val="single" w:sz="4" w:space="0" w:color="auto"/>
              <w:bottom w:val="single" w:sz="4" w:space="0" w:color="auto"/>
              <w:right w:val="single" w:sz="4" w:space="0" w:color="auto"/>
            </w:tcBorders>
            <w:noWrap/>
            <w:vAlign w:val="center"/>
          </w:tcPr>
          <w:p w14:paraId="6A0BD1DB" w14:textId="77777777" w:rsidR="00EA1783" w:rsidRPr="004E13E9" w:rsidRDefault="00EA1783" w:rsidP="00E62E84">
            <w:pPr>
              <w:rPr>
                <w:b/>
                <w:bCs/>
                <w:sz w:val="16"/>
                <w:szCs w:val="16"/>
                <w:lang w:val="fr-FR" w:bidi="fr-FR"/>
              </w:rPr>
            </w:pPr>
          </w:p>
        </w:tc>
        <w:tc>
          <w:tcPr>
            <w:tcW w:w="316" w:type="pct"/>
            <w:tcBorders>
              <w:top w:val="single" w:sz="4" w:space="0" w:color="auto"/>
              <w:left w:val="single" w:sz="4" w:space="0" w:color="auto"/>
              <w:bottom w:val="single" w:sz="4" w:space="0" w:color="auto"/>
              <w:right w:val="single" w:sz="4" w:space="0" w:color="auto"/>
            </w:tcBorders>
          </w:tcPr>
          <w:p w14:paraId="627EA2D0" w14:textId="77777777" w:rsidR="00EA1783" w:rsidRPr="004E13E9" w:rsidRDefault="00EA1783" w:rsidP="00E62E84">
            <w:pPr>
              <w:rPr>
                <w:b/>
                <w:bCs/>
                <w:sz w:val="16"/>
                <w:szCs w:val="16"/>
                <w:lang w:val="fr-FR" w:bidi="fr-FR"/>
              </w:rPr>
            </w:pPr>
          </w:p>
        </w:tc>
      </w:tr>
      <w:tr w:rsidR="00EA1783" w:rsidRPr="004E13E9" w14:paraId="27FFDC03"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vAlign w:val="center"/>
            <w:hideMark/>
          </w:tcPr>
          <w:p w14:paraId="341301C3" w14:textId="77777777" w:rsidR="00EA1783" w:rsidRPr="004E13E9" w:rsidRDefault="00EA1783" w:rsidP="00E62E84">
            <w:pPr>
              <w:rPr>
                <w:b/>
                <w:bCs/>
                <w:sz w:val="16"/>
                <w:szCs w:val="16"/>
                <w:lang w:bidi="fr-FR"/>
              </w:rPr>
            </w:pPr>
            <w:r w:rsidRPr="004E13E9">
              <w:rPr>
                <w:b/>
                <w:sz w:val="16"/>
                <w:szCs w:val="16"/>
                <w:lang w:bidi="fr-FR"/>
              </w:rPr>
              <w:t>Quota disponible</w:t>
            </w:r>
          </w:p>
        </w:tc>
        <w:tc>
          <w:tcPr>
            <w:tcW w:w="582" w:type="pct"/>
            <w:tcBorders>
              <w:top w:val="single" w:sz="4" w:space="0" w:color="auto"/>
              <w:left w:val="single" w:sz="4" w:space="0" w:color="auto"/>
              <w:bottom w:val="single" w:sz="4" w:space="0" w:color="auto"/>
              <w:right w:val="single" w:sz="4" w:space="0" w:color="auto"/>
            </w:tcBorders>
            <w:noWrap/>
            <w:vAlign w:val="center"/>
          </w:tcPr>
          <w:p w14:paraId="583771C7" w14:textId="77777777" w:rsidR="00EA1783" w:rsidRPr="004E13E9" w:rsidRDefault="00EA1783" w:rsidP="00E62E84">
            <w:pPr>
              <w:rPr>
                <w:b/>
                <w:bCs/>
                <w:sz w:val="16"/>
                <w:szCs w:val="16"/>
                <w:lang w:bidi="fr-FR"/>
              </w:rPr>
            </w:pPr>
          </w:p>
        </w:tc>
        <w:tc>
          <w:tcPr>
            <w:tcW w:w="201" w:type="pct"/>
            <w:tcBorders>
              <w:top w:val="single" w:sz="4" w:space="0" w:color="auto"/>
              <w:left w:val="single" w:sz="4" w:space="0" w:color="auto"/>
              <w:bottom w:val="single" w:sz="4" w:space="0" w:color="auto"/>
              <w:right w:val="single" w:sz="4" w:space="0" w:color="auto"/>
            </w:tcBorders>
          </w:tcPr>
          <w:p w14:paraId="6214B443" w14:textId="77777777" w:rsidR="00EA1783" w:rsidRPr="004E13E9" w:rsidRDefault="00EA1783" w:rsidP="00E62E84">
            <w:pPr>
              <w:rPr>
                <w:b/>
                <w:bCs/>
                <w:sz w:val="16"/>
                <w:szCs w:val="16"/>
                <w:lang w:bidi="fr-FR"/>
              </w:rPr>
            </w:pPr>
          </w:p>
        </w:tc>
        <w:tc>
          <w:tcPr>
            <w:tcW w:w="201" w:type="pct"/>
            <w:tcBorders>
              <w:top w:val="single" w:sz="4" w:space="0" w:color="auto"/>
              <w:left w:val="single" w:sz="4" w:space="0" w:color="auto"/>
              <w:bottom w:val="single" w:sz="4" w:space="0" w:color="auto"/>
              <w:right w:val="single" w:sz="4" w:space="0" w:color="auto"/>
            </w:tcBorders>
            <w:noWrap/>
            <w:vAlign w:val="center"/>
          </w:tcPr>
          <w:p w14:paraId="4F54476E" w14:textId="77777777" w:rsidR="00EA1783" w:rsidRPr="004E13E9" w:rsidRDefault="00EA1783" w:rsidP="00E62E84">
            <w:pPr>
              <w:rPr>
                <w:b/>
                <w:bCs/>
                <w:sz w:val="16"/>
                <w:szCs w:val="16"/>
                <w:lang w:bidi="fr-FR"/>
              </w:rPr>
            </w:pPr>
          </w:p>
        </w:tc>
        <w:tc>
          <w:tcPr>
            <w:tcW w:w="203" w:type="pct"/>
            <w:tcBorders>
              <w:top w:val="single" w:sz="4" w:space="0" w:color="auto"/>
              <w:left w:val="single" w:sz="4" w:space="0" w:color="auto"/>
              <w:bottom w:val="single" w:sz="4" w:space="0" w:color="auto"/>
              <w:right w:val="single" w:sz="4" w:space="0" w:color="auto"/>
            </w:tcBorders>
            <w:vAlign w:val="center"/>
          </w:tcPr>
          <w:p w14:paraId="6F451FAC" w14:textId="77777777" w:rsidR="00EA1783" w:rsidRPr="004E13E9" w:rsidRDefault="00EA1783" w:rsidP="00E62E84">
            <w:pPr>
              <w:rPr>
                <w:b/>
                <w:bCs/>
                <w:sz w:val="16"/>
                <w:szCs w:val="16"/>
                <w:lang w:bidi="fr-FR"/>
              </w:rPr>
            </w:pPr>
          </w:p>
        </w:tc>
        <w:tc>
          <w:tcPr>
            <w:tcW w:w="201" w:type="pct"/>
            <w:tcBorders>
              <w:top w:val="single" w:sz="4" w:space="0" w:color="auto"/>
              <w:left w:val="single" w:sz="4" w:space="0" w:color="auto"/>
              <w:bottom w:val="single" w:sz="4" w:space="0" w:color="auto"/>
              <w:right w:val="single" w:sz="4" w:space="0" w:color="auto"/>
            </w:tcBorders>
            <w:vAlign w:val="center"/>
          </w:tcPr>
          <w:p w14:paraId="49DD0C16" w14:textId="77777777" w:rsidR="00EA1783" w:rsidRPr="004E13E9" w:rsidRDefault="00EA1783" w:rsidP="00E62E84">
            <w:pPr>
              <w:rPr>
                <w:b/>
                <w:bCs/>
                <w:sz w:val="16"/>
                <w:szCs w:val="16"/>
                <w:lang w:bidi="fr-FR"/>
              </w:rPr>
            </w:pPr>
          </w:p>
        </w:tc>
        <w:tc>
          <w:tcPr>
            <w:tcW w:w="201" w:type="pct"/>
            <w:tcBorders>
              <w:top w:val="single" w:sz="4" w:space="0" w:color="auto"/>
              <w:left w:val="single" w:sz="4" w:space="0" w:color="auto"/>
              <w:bottom w:val="single" w:sz="4" w:space="0" w:color="auto"/>
              <w:right w:val="single" w:sz="4" w:space="0" w:color="auto"/>
            </w:tcBorders>
            <w:vAlign w:val="center"/>
          </w:tcPr>
          <w:p w14:paraId="4025728C" w14:textId="77777777" w:rsidR="00EA1783" w:rsidRPr="004E13E9" w:rsidRDefault="00EA1783" w:rsidP="00E62E84">
            <w:pPr>
              <w:rPr>
                <w:b/>
                <w:bCs/>
                <w:sz w:val="16"/>
                <w:szCs w:val="16"/>
                <w:lang w:bidi="fr-FR"/>
              </w:rPr>
            </w:pPr>
          </w:p>
        </w:tc>
        <w:tc>
          <w:tcPr>
            <w:tcW w:w="201" w:type="pct"/>
            <w:tcBorders>
              <w:top w:val="single" w:sz="4" w:space="0" w:color="auto"/>
              <w:left w:val="single" w:sz="4" w:space="0" w:color="auto"/>
              <w:bottom w:val="single" w:sz="4" w:space="0" w:color="auto"/>
              <w:right w:val="single" w:sz="4" w:space="0" w:color="auto"/>
            </w:tcBorders>
          </w:tcPr>
          <w:p w14:paraId="77A8346E" w14:textId="77777777" w:rsidR="00EA1783" w:rsidRPr="004E13E9" w:rsidRDefault="00EA1783" w:rsidP="00E62E84">
            <w:pPr>
              <w:rPr>
                <w:b/>
                <w:bCs/>
                <w:sz w:val="16"/>
                <w:szCs w:val="16"/>
                <w:lang w:bidi="fr-FR"/>
              </w:rPr>
            </w:pPr>
          </w:p>
        </w:tc>
        <w:tc>
          <w:tcPr>
            <w:tcW w:w="203" w:type="pct"/>
            <w:tcBorders>
              <w:top w:val="single" w:sz="4" w:space="0" w:color="auto"/>
              <w:left w:val="single" w:sz="4" w:space="0" w:color="auto"/>
              <w:bottom w:val="single" w:sz="4" w:space="0" w:color="auto"/>
              <w:right w:val="single" w:sz="4" w:space="0" w:color="auto"/>
            </w:tcBorders>
          </w:tcPr>
          <w:p w14:paraId="0AF05C6C" w14:textId="77777777" w:rsidR="00EA1783" w:rsidRPr="004E13E9" w:rsidRDefault="00EA1783" w:rsidP="00E62E84">
            <w:pPr>
              <w:rPr>
                <w:sz w:val="16"/>
                <w:szCs w:val="16"/>
                <w:lang w:bidi="fr-FR"/>
              </w:rPr>
            </w:pP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tcPr>
          <w:p w14:paraId="42164379" w14:textId="77777777" w:rsidR="00EA1783" w:rsidRPr="004E13E9" w:rsidRDefault="00EA1783" w:rsidP="00E62E84">
            <w:pPr>
              <w:rPr>
                <w:b/>
                <w:bCs/>
                <w:sz w:val="16"/>
                <w:szCs w:val="16"/>
                <w:lang w:bidi="fr-FR"/>
              </w:rPr>
            </w:pPr>
          </w:p>
        </w:tc>
        <w:tc>
          <w:tcPr>
            <w:tcW w:w="203" w:type="pct"/>
            <w:tcBorders>
              <w:top w:val="single" w:sz="4" w:space="0" w:color="auto"/>
              <w:left w:val="single" w:sz="4" w:space="0" w:color="auto"/>
              <w:bottom w:val="single" w:sz="4" w:space="0" w:color="auto"/>
              <w:right w:val="single" w:sz="4" w:space="0" w:color="auto"/>
            </w:tcBorders>
            <w:hideMark/>
          </w:tcPr>
          <w:p w14:paraId="6B274130" w14:textId="77777777" w:rsidR="00EA1783" w:rsidRPr="004E13E9" w:rsidRDefault="00EA1783" w:rsidP="00E62E84">
            <w:pPr>
              <w:jc w:val="center"/>
              <w:rPr>
                <w:b/>
                <w:bCs/>
                <w:sz w:val="16"/>
                <w:szCs w:val="16"/>
                <w:lang w:bidi="fr-FR"/>
              </w:rPr>
            </w:pPr>
            <w:r w:rsidRPr="004E13E9">
              <w:rPr>
                <w:b/>
                <w:sz w:val="16"/>
                <w:szCs w:val="16"/>
                <w:lang w:bidi="fr-FR"/>
              </w:rPr>
              <w:t>947</w:t>
            </w:r>
          </w:p>
        </w:tc>
        <w:tc>
          <w:tcPr>
            <w:tcW w:w="200" w:type="pct"/>
            <w:tcBorders>
              <w:top w:val="single" w:sz="4" w:space="0" w:color="auto"/>
              <w:left w:val="single" w:sz="4" w:space="0" w:color="auto"/>
              <w:bottom w:val="single" w:sz="4" w:space="0" w:color="auto"/>
              <w:right w:val="single" w:sz="4" w:space="0" w:color="auto"/>
            </w:tcBorders>
            <w:vAlign w:val="center"/>
            <w:hideMark/>
          </w:tcPr>
          <w:p w14:paraId="5BFCAC2C" w14:textId="77777777" w:rsidR="00EA1783" w:rsidRPr="004E13E9" w:rsidRDefault="00EA1783" w:rsidP="00E62E84">
            <w:pPr>
              <w:jc w:val="center"/>
              <w:rPr>
                <w:b/>
                <w:bCs/>
                <w:sz w:val="16"/>
                <w:szCs w:val="16"/>
                <w:lang w:bidi="fr-FR"/>
              </w:rPr>
            </w:pPr>
            <w:r w:rsidRPr="004E13E9">
              <w:rPr>
                <w:b/>
                <w:sz w:val="16"/>
                <w:szCs w:val="16"/>
                <w:lang w:bidi="fr-FR"/>
              </w:rPr>
              <w:t>947</w:t>
            </w:r>
          </w:p>
        </w:tc>
        <w:tc>
          <w:tcPr>
            <w:tcW w:w="253" w:type="pct"/>
            <w:tcBorders>
              <w:top w:val="single" w:sz="4" w:space="0" w:color="auto"/>
              <w:left w:val="single" w:sz="4" w:space="0" w:color="auto"/>
              <w:bottom w:val="single" w:sz="4" w:space="0" w:color="auto"/>
              <w:right w:val="single" w:sz="4" w:space="0" w:color="auto"/>
            </w:tcBorders>
            <w:vAlign w:val="center"/>
            <w:hideMark/>
          </w:tcPr>
          <w:p w14:paraId="0765F6D2" w14:textId="77777777" w:rsidR="00EA1783" w:rsidRPr="004E13E9" w:rsidRDefault="00EA1783" w:rsidP="00E62E84">
            <w:pPr>
              <w:jc w:val="center"/>
              <w:rPr>
                <w:b/>
                <w:bCs/>
                <w:sz w:val="16"/>
                <w:szCs w:val="16"/>
                <w:lang w:bidi="fr-FR"/>
              </w:rPr>
            </w:pPr>
            <w:r w:rsidRPr="004E13E9">
              <w:rPr>
                <w:b/>
                <w:sz w:val="16"/>
                <w:szCs w:val="16"/>
                <w:lang w:bidi="fr-FR"/>
              </w:rPr>
              <w:t>1846</w:t>
            </w:r>
          </w:p>
        </w:tc>
        <w:tc>
          <w:tcPr>
            <w:tcW w:w="248" w:type="pct"/>
            <w:tcBorders>
              <w:top w:val="single" w:sz="4" w:space="0" w:color="auto"/>
              <w:left w:val="single" w:sz="4" w:space="0" w:color="auto"/>
              <w:bottom w:val="single" w:sz="4" w:space="0" w:color="auto"/>
              <w:right w:val="single" w:sz="4" w:space="0" w:color="auto"/>
            </w:tcBorders>
            <w:noWrap/>
            <w:vAlign w:val="center"/>
            <w:hideMark/>
          </w:tcPr>
          <w:p w14:paraId="6DBA79CD" w14:textId="77777777" w:rsidR="00EA1783" w:rsidRPr="004E13E9" w:rsidRDefault="00EA1783" w:rsidP="00E62E84">
            <w:pPr>
              <w:jc w:val="center"/>
              <w:rPr>
                <w:b/>
                <w:bCs/>
                <w:sz w:val="16"/>
                <w:szCs w:val="16"/>
                <w:lang w:bidi="fr-FR"/>
              </w:rPr>
            </w:pPr>
            <w:r w:rsidRPr="004E13E9">
              <w:rPr>
                <w:b/>
                <w:sz w:val="16"/>
                <w:szCs w:val="16"/>
                <w:lang w:bidi="fr-FR"/>
              </w:rPr>
              <w:t>2530</w:t>
            </w:r>
          </w:p>
        </w:tc>
        <w:tc>
          <w:tcPr>
            <w:tcW w:w="259" w:type="pct"/>
            <w:tcBorders>
              <w:top w:val="single" w:sz="4" w:space="0" w:color="auto"/>
              <w:left w:val="single" w:sz="4" w:space="0" w:color="auto"/>
              <w:bottom w:val="single" w:sz="4" w:space="0" w:color="auto"/>
              <w:right w:val="single" w:sz="4" w:space="0" w:color="auto"/>
            </w:tcBorders>
            <w:noWrap/>
            <w:vAlign w:val="center"/>
            <w:hideMark/>
          </w:tcPr>
          <w:p w14:paraId="25DFB16C" w14:textId="77777777" w:rsidR="00EA1783" w:rsidRPr="004E13E9" w:rsidRDefault="00EA1783" w:rsidP="00E62E84">
            <w:pPr>
              <w:jc w:val="center"/>
              <w:rPr>
                <w:b/>
                <w:bCs/>
                <w:sz w:val="16"/>
                <w:szCs w:val="16"/>
                <w:lang w:bidi="fr-FR"/>
              </w:rPr>
            </w:pPr>
            <w:r w:rsidRPr="004E13E9">
              <w:rPr>
                <w:b/>
                <w:sz w:val="16"/>
                <w:szCs w:val="16"/>
                <w:lang w:bidi="fr-FR"/>
              </w:rPr>
              <w:t>2530</w:t>
            </w:r>
          </w:p>
        </w:tc>
        <w:tc>
          <w:tcPr>
            <w:tcW w:w="275" w:type="pct"/>
            <w:tcBorders>
              <w:top w:val="single" w:sz="4" w:space="0" w:color="auto"/>
              <w:left w:val="single" w:sz="4" w:space="0" w:color="auto"/>
              <w:bottom w:val="single" w:sz="4" w:space="0" w:color="auto"/>
              <w:right w:val="single" w:sz="4" w:space="0" w:color="auto"/>
            </w:tcBorders>
            <w:noWrap/>
            <w:vAlign w:val="center"/>
            <w:hideMark/>
          </w:tcPr>
          <w:p w14:paraId="11A65122" w14:textId="77777777" w:rsidR="00EA1783" w:rsidRPr="004E13E9" w:rsidRDefault="00EA1783" w:rsidP="00E62E84">
            <w:pPr>
              <w:jc w:val="center"/>
              <w:rPr>
                <w:b/>
                <w:bCs/>
                <w:sz w:val="16"/>
                <w:szCs w:val="16"/>
                <w:lang w:bidi="fr-FR"/>
              </w:rPr>
            </w:pPr>
            <w:r w:rsidRPr="004E13E9">
              <w:rPr>
                <w:b/>
                <w:sz w:val="16"/>
                <w:szCs w:val="16"/>
                <w:lang w:bidi="fr-FR"/>
              </w:rPr>
              <w:t>2604</w:t>
            </w:r>
          </w:p>
        </w:tc>
        <w:tc>
          <w:tcPr>
            <w:tcW w:w="316" w:type="pct"/>
            <w:tcBorders>
              <w:top w:val="single" w:sz="4" w:space="0" w:color="auto"/>
              <w:left w:val="single" w:sz="4" w:space="0" w:color="auto"/>
              <w:bottom w:val="single" w:sz="4" w:space="0" w:color="auto"/>
              <w:right w:val="single" w:sz="4" w:space="0" w:color="auto"/>
            </w:tcBorders>
            <w:hideMark/>
          </w:tcPr>
          <w:p w14:paraId="3483311C" w14:textId="77777777" w:rsidR="00EA1783" w:rsidRPr="004E13E9" w:rsidRDefault="00EA1783" w:rsidP="00E62E84">
            <w:pPr>
              <w:jc w:val="center"/>
              <w:rPr>
                <w:b/>
                <w:bCs/>
                <w:sz w:val="16"/>
                <w:szCs w:val="16"/>
                <w:lang w:bidi="fr-FR"/>
              </w:rPr>
            </w:pPr>
            <w:r w:rsidRPr="004E13E9">
              <w:rPr>
                <w:b/>
                <w:bCs/>
                <w:sz w:val="16"/>
                <w:szCs w:val="16"/>
                <w:lang w:bidi="fr-FR"/>
              </w:rPr>
              <w:t>2958</w:t>
            </w:r>
          </w:p>
        </w:tc>
      </w:tr>
      <w:tr w:rsidR="00EA1783" w:rsidRPr="004E13E9" w14:paraId="5D022B8D" w14:textId="77777777" w:rsidTr="00E62E84">
        <w:trPr>
          <w:trHeight w:val="20"/>
        </w:trPr>
        <w:tc>
          <w:tcPr>
            <w:tcW w:w="1164"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DA81497" w14:textId="77777777" w:rsidR="00EA1783" w:rsidRPr="004E13E9" w:rsidRDefault="00EA1783" w:rsidP="00E62E84">
            <w:pPr>
              <w:rPr>
                <w:b/>
                <w:bCs/>
                <w:sz w:val="16"/>
                <w:szCs w:val="16"/>
                <w:lang w:bidi="fr-FR"/>
              </w:rPr>
            </w:pPr>
            <w:r w:rsidRPr="004E13E9">
              <w:rPr>
                <w:b/>
                <w:sz w:val="16"/>
                <w:szCs w:val="16"/>
                <w:lang w:bidi="fr-FR"/>
              </w:rPr>
              <w:t>Sous/</w:t>
            </w:r>
            <w:proofErr w:type="spellStart"/>
            <w:r w:rsidRPr="004E13E9">
              <w:rPr>
                <w:b/>
                <w:sz w:val="16"/>
                <w:szCs w:val="16"/>
                <w:lang w:bidi="fr-FR"/>
              </w:rPr>
              <w:t>surcapacité</w:t>
            </w:r>
            <w:proofErr w:type="spellEnd"/>
          </w:p>
        </w:tc>
        <w:tc>
          <w:tcPr>
            <w:tcW w:w="582"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42AB2DB" w14:textId="77777777" w:rsidR="00EA1783" w:rsidRPr="004E13E9" w:rsidRDefault="00EA1783" w:rsidP="00E62E84">
            <w:pPr>
              <w:rPr>
                <w:sz w:val="16"/>
                <w:szCs w:val="16"/>
                <w:lang w:bidi="fr-FR"/>
              </w:rPr>
            </w:pPr>
            <w:r w:rsidRPr="004E13E9">
              <w:rPr>
                <w:sz w:val="16"/>
                <w:szCs w:val="16"/>
                <w:lang w:bidi="fr-FR"/>
              </w:rPr>
              <w:t> </w:t>
            </w:r>
          </w:p>
        </w:tc>
        <w:tc>
          <w:tcPr>
            <w:tcW w:w="201" w:type="pct"/>
            <w:tcBorders>
              <w:top w:val="single" w:sz="4" w:space="0" w:color="auto"/>
              <w:left w:val="single" w:sz="4" w:space="0" w:color="auto"/>
              <w:bottom w:val="single" w:sz="4" w:space="0" w:color="auto"/>
              <w:right w:val="single" w:sz="4" w:space="0" w:color="auto"/>
            </w:tcBorders>
            <w:shd w:val="clear" w:color="auto" w:fill="D9D9D9"/>
          </w:tcPr>
          <w:p w14:paraId="051C58C6" w14:textId="77777777" w:rsidR="00EA1783" w:rsidRPr="004E13E9" w:rsidRDefault="00EA1783" w:rsidP="00E62E84">
            <w:pPr>
              <w:rPr>
                <w:sz w:val="16"/>
                <w:szCs w:val="16"/>
                <w:lang w:bidi="fr-FR"/>
              </w:rPr>
            </w:pPr>
          </w:p>
        </w:tc>
        <w:tc>
          <w:tcPr>
            <w:tcW w:w="201"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B8655E9" w14:textId="77777777" w:rsidR="00EA1783" w:rsidRPr="004E13E9" w:rsidRDefault="00EA1783" w:rsidP="00E62E84">
            <w:pPr>
              <w:rPr>
                <w:sz w:val="16"/>
                <w:szCs w:val="16"/>
                <w:lang w:bidi="fr-FR"/>
              </w:rPr>
            </w:pPr>
            <w:r w:rsidRPr="004E13E9">
              <w:rPr>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B9A850A" w14:textId="77777777" w:rsidR="00EA1783" w:rsidRPr="004E13E9" w:rsidRDefault="00EA1783" w:rsidP="00E62E84">
            <w:pPr>
              <w:rPr>
                <w:sz w:val="16"/>
                <w:szCs w:val="16"/>
                <w:lang w:bidi="fr-FR"/>
              </w:rPr>
            </w:pPr>
            <w:r w:rsidRPr="004E13E9">
              <w:rPr>
                <w:sz w:val="16"/>
                <w:szCs w:val="16"/>
                <w:lang w:bidi="fr-FR"/>
              </w:rPr>
              <w:t> </w:t>
            </w:r>
          </w:p>
        </w:tc>
        <w:tc>
          <w:tcPr>
            <w:tcW w:w="20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1EEAFB7" w14:textId="77777777" w:rsidR="00EA1783" w:rsidRPr="004E13E9" w:rsidRDefault="00EA1783" w:rsidP="00E62E84">
            <w:pPr>
              <w:rPr>
                <w:sz w:val="16"/>
                <w:szCs w:val="16"/>
                <w:lang w:bidi="fr-FR"/>
              </w:rPr>
            </w:pPr>
            <w:r w:rsidRPr="004E13E9">
              <w:rPr>
                <w:sz w:val="16"/>
                <w:szCs w:val="16"/>
                <w:lang w:bidi="fr-FR"/>
              </w:rPr>
              <w:t> </w:t>
            </w:r>
          </w:p>
        </w:tc>
        <w:tc>
          <w:tcPr>
            <w:tcW w:w="20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CD7EC93" w14:textId="77777777" w:rsidR="00EA1783" w:rsidRPr="004E13E9" w:rsidRDefault="00EA1783" w:rsidP="00E62E84">
            <w:pPr>
              <w:rPr>
                <w:sz w:val="16"/>
                <w:szCs w:val="16"/>
                <w:lang w:bidi="fr-FR"/>
              </w:rPr>
            </w:pPr>
            <w:r w:rsidRPr="004E13E9">
              <w:rPr>
                <w:sz w:val="16"/>
                <w:szCs w:val="16"/>
                <w:lang w:bidi="fr-FR"/>
              </w:rPr>
              <w:t> </w:t>
            </w:r>
          </w:p>
        </w:tc>
        <w:tc>
          <w:tcPr>
            <w:tcW w:w="201" w:type="pct"/>
            <w:tcBorders>
              <w:top w:val="single" w:sz="4" w:space="0" w:color="auto"/>
              <w:left w:val="single" w:sz="4" w:space="0" w:color="auto"/>
              <w:bottom w:val="single" w:sz="4" w:space="0" w:color="auto"/>
              <w:right w:val="single" w:sz="4" w:space="0" w:color="auto"/>
            </w:tcBorders>
            <w:shd w:val="clear" w:color="auto" w:fill="D9D9D9"/>
          </w:tcPr>
          <w:p w14:paraId="129BAF3A" w14:textId="77777777" w:rsidR="00EA1783" w:rsidRPr="004E13E9" w:rsidRDefault="00EA1783" w:rsidP="00E62E84">
            <w:pPr>
              <w:rPr>
                <w:sz w:val="16"/>
                <w:szCs w:val="16"/>
                <w:lang w:bidi="fr-FR"/>
              </w:rPr>
            </w:pPr>
          </w:p>
        </w:tc>
        <w:tc>
          <w:tcPr>
            <w:tcW w:w="203" w:type="pct"/>
            <w:tcBorders>
              <w:top w:val="single" w:sz="4" w:space="0" w:color="auto"/>
              <w:left w:val="single" w:sz="4" w:space="0" w:color="auto"/>
              <w:bottom w:val="single" w:sz="4" w:space="0" w:color="auto"/>
              <w:right w:val="single" w:sz="4" w:space="0" w:color="auto"/>
            </w:tcBorders>
            <w:shd w:val="clear" w:color="auto" w:fill="D9D9D9"/>
          </w:tcPr>
          <w:p w14:paraId="799E0627" w14:textId="77777777" w:rsidR="00EA1783" w:rsidRPr="004E13E9" w:rsidRDefault="00EA1783" w:rsidP="00E62E84">
            <w:pPr>
              <w:rPr>
                <w:sz w:val="16"/>
                <w:szCs w:val="16"/>
                <w:lang w:bidi="fr-FR"/>
              </w:rPr>
            </w:pPr>
          </w:p>
        </w:tc>
        <w:tc>
          <w:tcPr>
            <w:tcW w:w="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E5F0E50" w14:textId="77777777" w:rsidR="00EA1783" w:rsidRPr="004E13E9" w:rsidRDefault="00EA1783" w:rsidP="00E62E84">
            <w:pPr>
              <w:rPr>
                <w:sz w:val="16"/>
                <w:szCs w:val="16"/>
                <w:lang w:bidi="fr-FR"/>
              </w:rPr>
            </w:pPr>
            <w:r w:rsidRPr="004E13E9">
              <w:rPr>
                <w:sz w:val="16"/>
                <w:szCs w:val="16"/>
                <w:lang w:bidi="fr-FR"/>
              </w:rPr>
              <w:t> </w:t>
            </w:r>
          </w:p>
        </w:tc>
        <w:tc>
          <w:tcPr>
            <w:tcW w:w="203" w:type="pct"/>
            <w:tcBorders>
              <w:top w:val="single" w:sz="4" w:space="0" w:color="auto"/>
              <w:left w:val="single" w:sz="4" w:space="0" w:color="auto"/>
              <w:bottom w:val="single" w:sz="4" w:space="0" w:color="auto"/>
              <w:right w:val="single" w:sz="4" w:space="0" w:color="auto"/>
            </w:tcBorders>
            <w:shd w:val="clear" w:color="auto" w:fill="D9D9D9"/>
            <w:hideMark/>
          </w:tcPr>
          <w:p w14:paraId="5FB4EE8C" w14:textId="77777777" w:rsidR="00EA1783" w:rsidRPr="004E13E9" w:rsidRDefault="00EA1783" w:rsidP="00E62E84">
            <w:pPr>
              <w:jc w:val="center"/>
              <w:rPr>
                <w:sz w:val="16"/>
                <w:szCs w:val="16"/>
                <w:lang w:bidi="fr-FR"/>
              </w:rPr>
            </w:pPr>
            <w:r w:rsidRPr="004E13E9">
              <w:rPr>
                <w:sz w:val="16"/>
                <w:szCs w:val="16"/>
                <w:lang w:bidi="fr-FR"/>
              </w:rPr>
              <w:t>826</w:t>
            </w:r>
          </w:p>
        </w:tc>
        <w:tc>
          <w:tcPr>
            <w:tcW w:w="20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B3068BF" w14:textId="77777777" w:rsidR="00EA1783" w:rsidRPr="004E13E9" w:rsidRDefault="00EA1783" w:rsidP="00E62E84">
            <w:pPr>
              <w:jc w:val="center"/>
              <w:rPr>
                <w:sz w:val="16"/>
                <w:szCs w:val="16"/>
                <w:lang w:bidi="fr-FR"/>
              </w:rPr>
            </w:pPr>
            <w:r w:rsidRPr="004E13E9">
              <w:rPr>
                <w:sz w:val="16"/>
                <w:szCs w:val="16"/>
                <w:lang w:bidi="fr-FR"/>
              </w:rPr>
              <w:t>826</w:t>
            </w:r>
          </w:p>
        </w:tc>
        <w:tc>
          <w:tcPr>
            <w:tcW w:w="25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B2F32D7" w14:textId="77777777" w:rsidR="00EA1783" w:rsidRPr="004E13E9" w:rsidRDefault="00EA1783" w:rsidP="00E62E84">
            <w:pPr>
              <w:jc w:val="center"/>
              <w:rPr>
                <w:sz w:val="16"/>
                <w:szCs w:val="16"/>
                <w:lang w:bidi="fr-FR"/>
              </w:rPr>
            </w:pPr>
            <w:r w:rsidRPr="004E13E9">
              <w:rPr>
                <w:sz w:val="16"/>
                <w:szCs w:val="16"/>
                <w:lang w:bidi="fr-FR"/>
              </w:rPr>
              <w:t>-1099</w:t>
            </w:r>
          </w:p>
        </w:tc>
        <w:tc>
          <w:tcPr>
            <w:tcW w:w="24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CBE3892" w14:textId="77777777" w:rsidR="00EA1783" w:rsidRPr="004E13E9" w:rsidRDefault="00EA1783" w:rsidP="00E62E84">
            <w:pPr>
              <w:jc w:val="center"/>
              <w:rPr>
                <w:sz w:val="16"/>
                <w:szCs w:val="16"/>
                <w:lang w:bidi="fr-FR"/>
              </w:rPr>
            </w:pPr>
            <w:r w:rsidRPr="004E13E9">
              <w:rPr>
                <w:sz w:val="16"/>
                <w:szCs w:val="16"/>
                <w:lang w:bidi="fr-FR"/>
              </w:rPr>
              <w:t>-1783</w:t>
            </w:r>
          </w:p>
        </w:tc>
        <w:tc>
          <w:tcPr>
            <w:tcW w:w="25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88D2A68" w14:textId="77777777" w:rsidR="00EA1783" w:rsidRPr="004E13E9" w:rsidRDefault="00EA1783" w:rsidP="00E62E84">
            <w:pPr>
              <w:jc w:val="center"/>
              <w:rPr>
                <w:sz w:val="16"/>
                <w:szCs w:val="16"/>
                <w:lang w:bidi="fr-FR"/>
              </w:rPr>
            </w:pPr>
            <w:r w:rsidRPr="004E13E9">
              <w:rPr>
                <w:sz w:val="16"/>
                <w:szCs w:val="16"/>
                <w:lang w:bidi="fr-FR"/>
              </w:rPr>
              <w:t>-1783</w:t>
            </w:r>
          </w:p>
        </w:tc>
        <w:tc>
          <w:tcPr>
            <w:tcW w:w="27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AA0AAE1" w14:textId="77777777" w:rsidR="00EA1783" w:rsidRPr="004E13E9" w:rsidRDefault="00EA1783" w:rsidP="00E62E84">
            <w:pPr>
              <w:jc w:val="center"/>
              <w:rPr>
                <w:sz w:val="16"/>
                <w:szCs w:val="16"/>
                <w:lang w:bidi="fr-FR"/>
              </w:rPr>
            </w:pPr>
            <w:r w:rsidRPr="004E13E9">
              <w:rPr>
                <w:sz w:val="16"/>
                <w:szCs w:val="16"/>
                <w:lang w:bidi="fr-FR"/>
              </w:rPr>
              <w:t>-1857</w:t>
            </w:r>
          </w:p>
        </w:tc>
        <w:tc>
          <w:tcPr>
            <w:tcW w:w="316" w:type="pct"/>
            <w:tcBorders>
              <w:top w:val="single" w:sz="4" w:space="0" w:color="auto"/>
              <w:left w:val="single" w:sz="4" w:space="0" w:color="auto"/>
              <w:bottom w:val="single" w:sz="4" w:space="0" w:color="auto"/>
              <w:right w:val="single" w:sz="4" w:space="0" w:color="auto"/>
            </w:tcBorders>
            <w:shd w:val="clear" w:color="auto" w:fill="D9D9D9"/>
            <w:hideMark/>
          </w:tcPr>
          <w:p w14:paraId="40C83E13" w14:textId="77777777" w:rsidR="00EA1783" w:rsidRPr="004E13E9" w:rsidRDefault="00EA1783" w:rsidP="00E62E84">
            <w:pPr>
              <w:jc w:val="center"/>
              <w:rPr>
                <w:sz w:val="16"/>
                <w:szCs w:val="16"/>
                <w:lang w:bidi="fr-FR"/>
              </w:rPr>
            </w:pPr>
            <w:r w:rsidRPr="004E13E9">
              <w:rPr>
                <w:sz w:val="16"/>
                <w:szCs w:val="16"/>
                <w:lang w:bidi="fr-FR"/>
              </w:rPr>
              <w:t>-2211</w:t>
            </w:r>
          </w:p>
        </w:tc>
      </w:tr>
    </w:tbl>
    <w:p w14:paraId="374DB975" w14:textId="77777777" w:rsidR="00EA1783" w:rsidRPr="004E13E9" w:rsidRDefault="00EA1783" w:rsidP="00EA1783">
      <w:pPr>
        <w:rPr>
          <w:sz w:val="16"/>
          <w:szCs w:val="16"/>
        </w:rPr>
      </w:pPr>
    </w:p>
    <w:p w14:paraId="27FA4668" w14:textId="77777777" w:rsidR="00EA1783" w:rsidRPr="004E13E9" w:rsidRDefault="00EA1783">
      <w:pPr>
        <w:rPr>
          <w:b/>
          <w:bCs/>
          <w:lang w:val="it-IT" w:eastAsia="en-GB"/>
        </w:rPr>
      </w:pPr>
    </w:p>
    <w:p w14:paraId="0D2550D6" w14:textId="77777777" w:rsidR="00EA1783" w:rsidRPr="004E13E9" w:rsidRDefault="00EA1783">
      <w:pPr>
        <w:rPr>
          <w:b/>
          <w:bCs/>
          <w:lang w:val="it-IT" w:eastAsia="en-GB"/>
        </w:rPr>
      </w:pPr>
    </w:p>
    <w:p w14:paraId="26DBDA32" w14:textId="476BC9B0" w:rsidR="008E517B" w:rsidRPr="004E13E9" w:rsidRDefault="00142152">
      <w:pPr>
        <w:rPr>
          <w:b/>
          <w:bCs/>
          <w:lang w:val="it-IT" w:eastAsia="en-GB"/>
        </w:rPr>
        <w:sectPr w:rsidR="008E517B" w:rsidRPr="004E13E9" w:rsidSect="00EA1783">
          <w:footnotePr>
            <w:numFmt w:val="chicago"/>
          </w:footnotePr>
          <w:pgSz w:w="16840" w:h="11907" w:orient="landscape" w:code="9"/>
          <w:pgMar w:top="1418" w:right="1418" w:bottom="1418" w:left="1418" w:header="851" w:footer="1134" w:gutter="0"/>
          <w:cols w:space="720"/>
          <w:docGrid w:linePitch="272"/>
        </w:sectPr>
      </w:pPr>
      <w:r w:rsidRPr="004E13E9">
        <w:rPr>
          <w:b/>
          <w:bCs/>
          <w:lang w:val="it-IT" w:eastAsia="en-GB"/>
        </w:rPr>
        <w:br w:type="page"/>
      </w:r>
    </w:p>
    <w:p w14:paraId="1A64A417" w14:textId="4F8860DA" w:rsidR="00E938A6" w:rsidRPr="004E13E9" w:rsidRDefault="00E938A6">
      <w:pPr>
        <w:rPr>
          <w:lang w:val="it-IT"/>
        </w:rPr>
      </w:pPr>
      <w:proofErr w:type="spellStart"/>
      <w:r w:rsidRPr="004E13E9">
        <w:rPr>
          <w:b/>
          <w:bCs/>
          <w:lang w:val="it-IT"/>
        </w:rPr>
        <w:t>Mauritanie</w:t>
      </w:r>
      <w:proofErr w:type="spellEnd"/>
    </w:p>
    <w:p w14:paraId="3772F41F" w14:textId="77777777" w:rsidR="00E938A6" w:rsidRPr="004E13E9" w:rsidRDefault="00E938A6">
      <w:pPr>
        <w:rPr>
          <w:sz w:val="8"/>
          <w:szCs w:val="8"/>
          <w:lang w:val="it-IT"/>
        </w:rPr>
      </w:pPr>
    </w:p>
    <w:p w14:paraId="00FFF7BD" w14:textId="77777777" w:rsidR="0084313D" w:rsidRPr="004E13E9" w:rsidRDefault="0084313D" w:rsidP="008D0B51">
      <w:pPr>
        <w:jc w:val="both"/>
        <w:rPr>
          <w:b/>
          <w:lang w:val="fr-FR"/>
        </w:rPr>
      </w:pPr>
      <w:r w:rsidRPr="004E13E9">
        <w:rPr>
          <w:b/>
          <w:lang w:val="fr-FR"/>
        </w:rPr>
        <w:t>Année du plan de pêche : 2026</w:t>
      </w:r>
    </w:p>
    <w:p w14:paraId="76CFCD59" w14:textId="77777777" w:rsidR="0084313D" w:rsidRPr="004E13E9" w:rsidRDefault="0084313D" w:rsidP="008D0B51">
      <w:pPr>
        <w:jc w:val="both"/>
        <w:rPr>
          <w:lang w:val="fr-FR"/>
        </w:rPr>
      </w:pPr>
    </w:p>
    <w:p w14:paraId="1D05B84F" w14:textId="77777777" w:rsidR="0084313D" w:rsidRPr="004E13E9" w:rsidRDefault="0084313D" w:rsidP="008D0B51">
      <w:pPr>
        <w:ind w:left="426" w:hanging="426"/>
        <w:jc w:val="both"/>
        <w:rPr>
          <w:b/>
          <w:lang w:val="fr-FR"/>
        </w:rPr>
      </w:pPr>
      <w:r w:rsidRPr="004E13E9">
        <w:rPr>
          <w:b/>
          <w:lang w:val="fr-FR"/>
        </w:rPr>
        <w:t xml:space="preserve">1. </w:t>
      </w:r>
      <w:r w:rsidRPr="004E13E9">
        <w:rPr>
          <w:b/>
          <w:lang w:val="fr-FR"/>
        </w:rPr>
        <w:tab/>
        <w:t>Détails du plan annuel de pêche pour les navires de capture et les madragues</w:t>
      </w:r>
    </w:p>
    <w:p w14:paraId="7F7C8025" w14:textId="77777777" w:rsidR="0084313D" w:rsidRPr="004E13E9" w:rsidRDefault="0084313D" w:rsidP="008D0B51">
      <w:pPr>
        <w:jc w:val="both"/>
        <w:rPr>
          <w:i/>
          <w:lang w:val="fr-FR"/>
        </w:rPr>
      </w:pPr>
    </w:p>
    <w:p w14:paraId="664CF64A" w14:textId="77777777" w:rsidR="0084313D" w:rsidRPr="004E13E9" w:rsidRDefault="0084313D" w:rsidP="008D0B51">
      <w:pPr>
        <w:jc w:val="both"/>
        <w:rPr>
          <w:b/>
          <w:bCs/>
          <w:i/>
          <w:iCs/>
          <w:lang w:val="fr-FR"/>
        </w:rPr>
      </w:pPr>
      <w:r w:rsidRPr="004E13E9">
        <w:rPr>
          <w:b/>
          <w:bCs/>
          <w:i/>
          <w:iCs/>
          <w:lang w:val="fr-FR"/>
        </w:rPr>
        <w:t>1a) Présentation (paragraphe 12)</w:t>
      </w:r>
    </w:p>
    <w:p w14:paraId="31914F9F" w14:textId="77777777" w:rsidR="0084313D" w:rsidRPr="004E13E9" w:rsidRDefault="0084313D" w:rsidP="008D0B51">
      <w:pPr>
        <w:autoSpaceDE w:val="0"/>
        <w:autoSpaceDN w:val="0"/>
        <w:adjustRightInd w:val="0"/>
        <w:ind w:right="-2"/>
        <w:jc w:val="both"/>
        <w:rPr>
          <w:rFonts w:cstheme="majorBidi"/>
          <w:bCs/>
          <w:sz w:val="8"/>
          <w:szCs w:val="8"/>
          <w:lang w:val="fr-FR"/>
        </w:rPr>
      </w:pPr>
    </w:p>
    <w:p w14:paraId="2EA85F54" w14:textId="77777777" w:rsidR="0084313D" w:rsidRPr="004E13E9" w:rsidRDefault="0084313D" w:rsidP="008D0B51">
      <w:pPr>
        <w:autoSpaceDE w:val="0"/>
        <w:autoSpaceDN w:val="0"/>
        <w:adjustRightInd w:val="0"/>
        <w:ind w:right="-2"/>
        <w:jc w:val="both"/>
        <w:rPr>
          <w:rFonts w:cstheme="majorBidi"/>
          <w:lang w:val="fr-FR"/>
        </w:rPr>
      </w:pPr>
      <w:r w:rsidRPr="004E13E9">
        <w:rPr>
          <w:rFonts w:cstheme="majorBidi"/>
          <w:bCs/>
          <w:lang w:val="fr-FR"/>
        </w:rPr>
        <w:t>Conformément aux recommandations et résolutions adoptées lors de la 29e réunion ordinaire de la Commission, qui s'est tenue à Séville (Espagne) du 17 au 24 novembre 2025</w:t>
      </w:r>
      <w:r w:rsidRPr="004E13E9">
        <w:rPr>
          <w:rFonts w:cstheme="majorBidi"/>
          <w:lang w:val="fr-FR"/>
        </w:rPr>
        <w:t>, et selon le système d'attribution des quotas de l’ICCAT pour 2026, la Mauritanie a obtenu un quota annuel de 55 tonnes de thon rouge à pêcher dans l'Atlantique Est et la mer Méditerranée (</w:t>
      </w:r>
      <w:hyperlink r:id="rId138" w:history="1">
        <w:r w:rsidRPr="004E13E9">
          <w:rPr>
            <w:rStyle w:val="Hyperlink"/>
            <w:u w:val="none"/>
            <w:lang w:val="fr-FR"/>
          </w:rPr>
          <w:t>Rec. 25-04</w:t>
        </w:r>
      </w:hyperlink>
      <w:r w:rsidRPr="004E13E9">
        <w:rPr>
          <w:rFonts w:cstheme="majorBidi"/>
          <w:lang w:val="fr-FR"/>
        </w:rPr>
        <w:t>).</w:t>
      </w:r>
    </w:p>
    <w:p w14:paraId="0C5DE7D2" w14:textId="77777777" w:rsidR="0084313D" w:rsidRPr="004E13E9" w:rsidRDefault="0084313D" w:rsidP="008D0B51">
      <w:pPr>
        <w:autoSpaceDE w:val="0"/>
        <w:autoSpaceDN w:val="0"/>
        <w:adjustRightInd w:val="0"/>
        <w:ind w:right="-604"/>
        <w:jc w:val="both"/>
        <w:rPr>
          <w:rFonts w:cstheme="majorBidi"/>
          <w:lang w:val="fr-FR"/>
        </w:rPr>
      </w:pPr>
    </w:p>
    <w:p w14:paraId="563AD527" w14:textId="77777777" w:rsidR="0084313D" w:rsidRPr="004E13E9" w:rsidRDefault="0084313D" w:rsidP="008D0B51">
      <w:pPr>
        <w:autoSpaceDE w:val="0"/>
        <w:autoSpaceDN w:val="0"/>
        <w:adjustRightInd w:val="0"/>
        <w:ind w:right="-2"/>
        <w:jc w:val="both"/>
        <w:rPr>
          <w:lang w:val="fr-FR"/>
        </w:rPr>
      </w:pPr>
      <w:r w:rsidRPr="004E13E9">
        <w:rPr>
          <w:lang w:val="fr-FR"/>
        </w:rPr>
        <w:t>La Mauritanie a l'intention de transférer la quantité totale de 55 t à la Türkiye conformément au paragraphe 8 de la Rec. 25-04, auquel la Türkiye consent également.</w:t>
      </w:r>
    </w:p>
    <w:p w14:paraId="2A100A2B" w14:textId="77777777" w:rsidR="0084313D" w:rsidRPr="004E13E9" w:rsidRDefault="0084313D" w:rsidP="008D0B51">
      <w:pPr>
        <w:autoSpaceDE w:val="0"/>
        <w:autoSpaceDN w:val="0"/>
        <w:adjustRightInd w:val="0"/>
        <w:ind w:right="-2"/>
        <w:jc w:val="both"/>
        <w:rPr>
          <w:lang w:val="fr-FR" w:eastAsia="ja-JP"/>
        </w:rPr>
      </w:pPr>
    </w:p>
    <w:p w14:paraId="4462D4A9" w14:textId="77777777" w:rsidR="0084313D" w:rsidRPr="004E13E9" w:rsidRDefault="0084313D" w:rsidP="008D0B51">
      <w:pPr>
        <w:autoSpaceDE w:val="0"/>
        <w:autoSpaceDN w:val="0"/>
        <w:adjustRightInd w:val="0"/>
        <w:ind w:right="-2"/>
        <w:jc w:val="both"/>
        <w:rPr>
          <w:lang w:val="fr-FR" w:eastAsia="ja-JP"/>
        </w:rPr>
      </w:pPr>
      <w:r w:rsidRPr="004E13E9">
        <w:rPr>
          <w:lang w:val="fr-FR" w:eastAsia="ja-JP"/>
        </w:rPr>
        <w:t>Le quota de pêche total (55 tonnes) de la Mauritanie sera transféré au navire de pêche battant pavillon turc dont les détails sont donnés ci-dessous :</w:t>
      </w:r>
    </w:p>
    <w:p w14:paraId="1E852459" w14:textId="77777777" w:rsidR="0084313D" w:rsidRPr="004E13E9" w:rsidRDefault="0084313D" w:rsidP="008D0B51">
      <w:pPr>
        <w:autoSpaceDE w:val="0"/>
        <w:autoSpaceDN w:val="0"/>
        <w:adjustRightInd w:val="0"/>
        <w:ind w:right="-2"/>
        <w:jc w:val="both"/>
        <w:rPr>
          <w:lang w:val="fr-FR" w:eastAsia="ja-JP"/>
        </w:rPr>
      </w:pPr>
    </w:p>
    <w:p w14:paraId="74D032B6" w14:textId="77777777" w:rsidR="0084313D" w:rsidRPr="004E13E9" w:rsidRDefault="0084313D" w:rsidP="008D0B51">
      <w:pPr>
        <w:autoSpaceDE w:val="0"/>
        <w:autoSpaceDN w:val="0"/>
        <w:adjustRightInd w:val="0"/>
        <w:ind w:right="-2"/>
        <w:jc w:val="both"/>
        <w:rPr>
          <w:lang w:eastAsia="ja-JP"/>
        </w:rPr>
      </w:pPr>
      <w:r w:rsidRPr="004E13E9">
        <w:rPr>
          <w:lang w:eastAsia="ja-JP"/>
        </w:rPr>
        <w:t xml:space="preserve">AT000TUR00040 – </w:t>
      </w:r>
      <w:r w:rsidRPr="004E13E9">
        <w:rPr>
          <w:i/>
          <w:iCs/>
          <w:lang w:eastAsia="ja-JP"/>
        </w:rPr>
        <w:t>TUNCAY SAGUN-6</w:t>
      </w:r>
    </w:p>
    <w:p w14:paraId="72365BC9" w14:textId="77777777" w:rsidR="0084313D" w:rsidRPr="004E13E9" w:rsidRDefault="0084313D" w:rsidP="008D0B51">
      <w:pPr>
        <w:jc w:val="both"/>
      </w:pPr>
    </w:p>
    <w:p w14:paraId="2A6C2EF9" w14:textId="77777777" w:rsidR="0084313D" w:rsidRPr="004E13E9" w:rsidRDefault="0084313D" w:rsidP="008D0B51">
      <w:pPr>
        <w:jc w:val="both"/>
        <w:rPr>
          <w:b/>
          <w:bCs/>
          <w:i/>
          <w:iCs/>
        </w:rPr>
      </w:pPr>
      <w:r w:rsidRPr="004E13E9">
        <w:rPr>
          <w:b/>
          <w:bCs/>
          <w:i/>
          <w:iCs/>
        </w:rPr>
        <w:t>1b) Report (</w:t>
      </w:r>
      <w:proofErr w:type="spellStart"/>
      <w:r w:rsidRPr="004E13E9">
        <w:rPr>
          <w:b/>
          <w:bCs/>
          <w:i/>
          <w:iCs/>
        </w:rPr>
        <w:t>paragraphe</w:t>
      </w:r>
      <w:proofErr w:type="spellEnd"/>
      <w:r w:rsidRPr="004E13E9">
        <w:rPr>
          <w:b/>
          <w:bCs/>
          <w:i/>
          <w:iCs/>
        </w:rPr>
        <w:t xml:space="preserve"> 6)</w:t>
      </w:r>
    </w:p>
    <w:p w14:paraId="1352D12A" w14:textId="77777777" w:rsidR="0084313D" w:rsidRPr="004E13E9" w:rsidRDefault="0084313D" w:rsidP="008D0B51">
      <w:pPr>
        <w:jc w:val="both"/>
      </w:pPr>
    </w:p>
    <w:p w14:paraId="6B2EEF67" w14:textId="77777777" w:rsidR="0084313D" w:rsidRPr="004E13E9" w:rsidRDefault="0084313D" w:rsidP="008D0B51">
      <w:pPr>
        <w:jc w:val="both"/>
        <w:rPr>
          <w:b/>
          <w:lang w:val="fr-FR"/>
        </w:rPr>
      </w:pPr>
      <w:r w:rsidRPr="004E13E9">
        <w:rPr>
          <w:bCs/>
          <w:lang w:val="fr-FR"/>
        </w:rPr>
        <w:t>Aucun report des stocks de thon sous-exploités de 2025 n'est demandé.</w:t>
      </w:r>
    </w:p>
    <w:p w14:paraId="02A336A3" w14:textId="77777777" w:rsidR="0084313D" w:rsidRPr="004E13E9" w:rsidRDefault="0084313D" w:rsidP="008D0B51">
      <w:pPr>
        <w:jc w:val="both"/>
        <w:rPr>
          <w:i/>
          <w:lang w:val="fr-FR"/>
        </w:rPr>
      </w:pPr>
    </w:p>
    <w:p w14:paraId="4A73B433" w14:textId="77777777" w:rsidR="0084313D" w:rsidRPr="004E13E9" w:rsidRDefault="0084313D" w:rsidP="008D0B51">
      <w:pPr>
        <w:jc w:val="both"/>
        <w:rPr>
          <w:b/>
          <w:bCs/>
          <w:i/>
          <w:lang w:val="fr-FR"/>
        </w:rPr>
      </w:pPr>
      <w:r w:rsidRPr="004E13E9">
        <w:rPr>
          <w:b/>
          <w:bCs/>
          <w:i/>
          <w:lang w:val="fr-FR"/>
        </w:rPr>
        <w:t>1c) Destination de la capture</w:t>
      </w:r>
    </w:p>
    <w:p w14:paraId="53D4F014" w14:textId="77777777" w:rsidR="0084313D" w:rsidRPr="004E13E9" w:rsidRDefault="0084313D" w:rsidP="008D0B51">
      <w:pPr>
        <w:jc w:val="both"/>
        <w:rPr>
          <w:iCs/>
          <w:lang w:val="fr-FR"/>
        </w:rPr>
      </w:pPr>
    </w:p>
    <w:p w14:paraId="2B0B2129" w14:textId="64B526E8" w:rsidR="0084313D" w:rsidRPr="004E13E9" w:rsidRDefault="0084313D" w:rsidP="008D0B51">
      <w:pPr>
        <w:jc w:val="both"/>
        <w:rPr>
          <w:lang w:val="fr-FR"/>
        </w:rPr>
      </w:pPr>
      <w:r w:rsidRPr="004E13E9">
        <w:rPr>
          <w:lang w:val="fr-FR"/>
        </w:rPr>
        <w:t xml:space="preserve">55 tonnes sont transférées </w:t>
      </w:r>
      <w:r w:rsidR="008D0B51" w:rsidRPr="004E13E9">
        <w:rPr>
          <w:lang w:val="fr-FR"/>
        </w:rPr>
        <w:t>à la</w:t>
      </w:r>
      <w:r w:rsidRPr="004E13E9">
        <w:rPr>
          <w:lang w:val="fr-FR"/>
        </w:rPr>
        <w:t xml:space="preserve"> Türkiye.</w:t>
      </w:r>
    </w:p>
    <w:p w14:paraId="6503D8F7" w14:textId="77777777" w:rsidR="0084313D" w:rsidRPr="004E13E9" w:rsidRDefault="0084313D" w:rsidP="008D0B51">
      <w:pPr>
        <w:jc w:val="both"/>
        <w:rPr>
          <w:i/>
          <w:lang w:val="fr-FR"/>
        </w:rPr>
      </w:pPr>
    </w:p>
    <w:p w14:paraId="5FA768F9" w14:textId="77777777" w:rsidR="0084313D" w:rsidRPr="004E13E9" w:rsidRDefault="0084313D" w:rsidP="008D0B51">
      <w:pPr>
        <w:jc w:val="both"/>
        <w:rPr>
          <w:i/>
        </w:rPr>
      </w:pPr>
      <w:r w:rsidRPr="004E13E9">
        <w:rPr>
          <w:b/>
          <w:bCs/>
          <w:i/>
        </w:rPr>
        <w:t xml:space="preserve">1d) </w:t>
      </w:r>
    </w:p>
    <w:tbl>
      <w:tblPr>
        <w:tblStyle w:val="TableGrid"/>
        <w:tblW w:w="0" w:type="auto"/>
        <w:tblLook w:val="04A0" w:firstRow="1" w:lastRow="0" w:firstColumn="1" w:lastColumn="0" w:noHBand="0" w:noVBand="1"/>
      </w:tblPr>
      <w:tblGrid>
        <w:gridCol w:w="453"/>
        <w:gridCol w:w="1952"/>
        <w:gridCol w:w="3402"/>
        <w:gridCol w:w="2552"/>
        <w:gridCol w:w="701"/>
      </w:tblGrid>
      <w:tr w:rsidR="003C1AE0" w:rsidRPr="004E13E9" w14:paraId="71F11356" w14:textId="77777777" w:rsidTr="003C1AE0">
        <w:tc>
          <w:tcPr>
            <w:tcW w:w="453" w:type="dxa"/>
          </w:tcPr>
          <w:p w14:paraId="34731237" w14:textId="77777777" w:rsidR="0084313D" w:rsidRPr="004E13E9" w:rsidRDefault="0084313D" w:rsidP="008D0B51">
            <w:pPr>
              <w:jc w:val="both"/>
              <w:rPr>
                <w:rFonts w:ascii="Cambria" w:hAnsi="Cambria"/>
                <w:color w:val="auto"/>
                <w:sz w:val="20"/>
                <w:szCs w:val="20"/>
              </w:rPr>
            </w:pPr>
          </w:p>
        </w:tc>
        <w:tc>
          <w:tcPr>
            <w:tcW w:w="1952" w:type="dxa"/>
            <w:vAlign w:val="center"/>
          </w:tcPr>
          <w:p w14:paraId="3D8EA830" w14:textId="77777777" w:rsidR="0084313D" w:rsidRPr="004E13E9" w:rsidRDefault="0084313D" w:rsidP="008D0B51">
            <w:pPr>
              <w:jc w:val="both"/>
              <w:rPr>
                <w:rFonts w:ascii="Cambria" w:hAnsi="Cambria"/>
                <w:i/>
                <w:color w:val="auto"/>
                <w:sz w:val="20"/>
                <w:szCs w:val="20"/>
              </w:rPr>
            </w:pPr>
            <w:r w:rsidRPr="004E13E9">
              <w:rPr>
                <w:rFonts w:ascii="Cambria" w:hAnsi="Cambria"/>
                <w:i/>
                <w:color w:val="auto"/>
                <w:sz w:val="20"/>
                <w:szCs w:val="20"/>
              </w:rPr>
              <w:t>Exigence de l’ICCAT</w:t>
            </w:r>
          </w:p>
          <w:p w14:paraId="24D71BF8" w14:textId="77777777" w:rsidR="0084313D" w:rsidRPr="004E13E9" w:rsidRDefault="0084313D" w:rsidP="008D0B51">
            <w:pPr>
              <w:jc w:val="both"/>
              <w:rPr>
                <w:rFonts w:ascii="Cambria" w:hAnsi="Cambria"/>
                <w:i/>
                <w:color w:val="auto"/>
                <w:sz w:val="20"/>
                <w:szCs w:val="20"/>
              </w:rPr>
            </w:pPr>
            <w:r w:rsidRPr="004E13E9">
              <w:rPr>
                <w:rFonts w:ascii="Cambria" w:hAnsi="Cambria"/>
                <w:i/>
                <w:color w:val="auto"/>
                <w:sz w:val="20"/>
                <w:szCs w:val="20"/>
              </w:rPr>
              <w:t xml:space="preserve">(en vertu de la </w:t>
            </w:r>
            <w:hyperlink r:id="rId139" w:history="1">
              <w:r w:rsidRPr="004E13E9">
                <w:rPr>
                  <w:rStyle w:val="Hyperlink"/>
                  <w:rFonts w:ascii="Cambria" w:hAnsi="Cambria"/>
                  <w:i/>
                  <w:sz w:val="20"/>
                  <w:szCs w:val="20"/>
                  <w:u w:val="none"/>
                </w:rPr>
                <w:t>Rec. 25-04</w:t>
              </w:r>
            </w:hyperlink>
            <w:r w:rsidRPr="004E13E9">
              <w:rPr>
                <w:rFonts w:ascii="Cambria" w:hAnsi="Cambria"/>
                <w:i/>
                <w:color w:val="auto"/>
                <w:sz w:val="20"/>
                <w:szCs w:val="20"/>
              </w:rPr>
              <w:t>)</w:t>
            </w:r>
          </w:p>
        </w:tc>
        <w:tc>
          <w:tcPr>
            <w:tcW w:w="3402" w:type="dxa"/>
            <w:vAlign w:val="center"/>
          </w:tcPr>
          <w:p w14:paraId="6B58CD76" w14:textId="77777777" w:rsidR="0084313D" w:rsidRPr="004E13E9" w:rsidRDefault="0084313D" w:rsidP="008D0B51">
            <w:pPr>
              <w:jc w:val="both"/>
              <w:rPr>
                <w:rFonts w:ascii="Cambria" w:hAnsi="Cambria"/>
                <w:i/>
                <w:color w:val="auto"/>
                <w:sz w:val="20"/>
                <w:szCs w:val="20"/>
              </w:rPr>
            </w:pPr>
            <w:r w:rsidRPr="004E13E9">
              <w:rPr>
                <w:rFonts w:ascii="Cambria" w:hAnsi="Cambria"/>
                <w:i/>
                <w:color w:val="auto"/>
                <w:sz w:val="20"/>
                <w:szCs w:val="20"/>
              </w:rPr>
              <w:t>Explication des actions prises par la CPC à des fins de mise en œuvre</w:t>
            </w:r>
          </w:p>
        </w:tc>
        <w:tc>
          <w:tcPr>
            <w:tcW w:w="2552" w:type="dxa"/>
            <w:vAlign w:val="center"/>
          </w:tcPr>
          <w:p w14:paraId="48CF15F0" w14:textId="77777777" w:rsidR="0084313D" w:rsidRPr="004E13E9" w:rsidRDefault="0084313D" w:rsidP="008D0B51">
            <w:pPr>
              <w:jc w:val="both"/>
              <w:rPr>
                <w:rFonts w:ascii="Cambria" w:hAnsi="Cambria"/>
                <w:i/>
                <w:color w:val="auto"/>
                <w:sz w:val="20"/>
                <w:szCs w:val="20"/>
              </w:rPr>
            </w:pPr>
            <w:r w:rsidRPr="004E13E9">
              <w:rPr>
                <w:rFonts w:ascii="Cambria" w:hAnsi="Cambria"/>
                <w:i/>
                <w:color w:val="auto"/>
                <w:sz w:val="20"/>
                <w:szCs w:val="20"/>
              </w:rPr>
              <w:t>Lois ou réglementations nationales pertinentes (le cas échéant)</w:t>
            </w:r>
          </w:p>
        </w:tc>
        <w:tc>
          <w:tcPr>
            <w:tcW w:w="701" w:type="dxa"/>
            <w:vAlign w:val="center"/>
          </w:tcPr>
          <w:p w14:paraId="4B896B95" w14:textId="77777777" w:rsidR="0084313D" w:rsidRPr="004E13E9" w:rsidRDefault="0084313D" w:rsidP="008D0B51">
            <w:pPr>
              <w:jc w:val="both"/>
              <w:rPr>
                <w:rFonts w:ascii="Cambria" w:hAnsi="Cambria"/>
                <w:i/>
                <w:color w:val="auto"/>
                <w:sz w:val="20"/>
                <w:szCs w:val="20"/>
              </w:rPr>
            </w:pPr>
            <w:r w:rsidRPr="004E13E9">
              <w:rPr>
                <w:rFonts w:ascii="Cambria" w:hAnsi="Cambria"/>
                <w:i/>
                <w:color w:val="auto"/>
                <w:sz w:val="20"/>
                <w:szCs w:val="20"/>
              </w:rPr>
              <w:t>Note</w:t>
            </w:r>
          </w:p>
        </w:tc>
      </w:tr>
      <w:tr w:rsidR="003C1AE0" w:rsidRPr="006A2397" w14:paraId="24377B2E" w14:textId="77777777" w:rsidTr="003C1AE0">
        <w:tc>
          <w:tcPr>
            <w:tcW w:w="453" w:type="dxa"/>
          </w:tcPr>
          <w:p w14:paraId="487FACC6" w14:textId="77777777" w:rsidR="0084313D" w:rsidRPr="004E13E9" w:rsidRDefault="0084313D" w:rsidP="008D0B51">
            <w:pPr>
              <w:jc w:val="both"/>
              <w:rPr>
                <w:rFonts w:ascii="Cambria" w:hAnsi="Cambria"/>
                <w:b/>
                <w:color w:val="auto"/>
                <w:sz w:val="20"/>
                <w:szCs w:val="20"/>
              </w:rPr>
            </w:pPr>
            <w:r w:rsidRPr="004E13E9">
              <w:rPr>
                <w:rFonts w:ascii="Cambria" w:hAnsi="Cambria"/>
                <w:b/>
                <w:color w:val="auto"/>
                <w:sz w:val="20"/>
                <w:szCs w:val="20"/>
              </w:rPr>
              <w:t>1</w:t>
            </w:r>
          </w:p>
        </w:tc>
        <w:tc>
          <w:tcPr>
            <w:tcW w:w="1952" w:type="dxa"/>
          </w:tcPr>
          <w:p w14:paraId="6513FC5F" w14:textId="77777777" w:rsidR="0084313D" w:rsidRPr="004E13E9" w:rsidRDefault="0084313D" w:rsidP="008D0B51">
            <w:pPr>
              <w:jc w:val="both"/>
              <w:rPr>
                <w:rFonts w:ascii="Cambria" w:hAnsi="Cambria"/>
                <w:b/>
                <w:color w:val="auto"/>
                <w:sz w:val="20"/>
                <w:szCs w:val="20"/>
              </w:rPr>
            </w:pPr>
            <w:r w:rsidRPr="004E13E9">
              <w:rPr>
                <w:rFonts w:ascii="Cambria" w:hAnsi="Cambria"/>
                <w:b/>
                <w:color w:val="auto"/>
                <w:sz w:val="20"/>
                <w:szCs w:val="20"/>
              </w:rPr>
              <w:t>Enregistrement et déclaration de la capture (paragraphes 74-88)</w:t>
            </w:r>
          </w:p>
        </w:tc>
        <w:tc>
          <w:tcPr>
            <w:tcW w:w="3402" w:type="dxa"/>
          </w:tcPr>
          <w:p w14:paraId="4AC5BD8D" w14:textId="77777777" w:rsidR="0084313D" w:rsidRPr="004E13E9" w:rsidRDefault="0084313D" w:rsidP="008D0B51">
            <w:pPr>
              <w:autoSpaceDE w:val="0"/>
              <w:autoSpaceDN w:val="0"/>
              <w:adjustRightInd w:val="0"/>
              <w:jc w:val="both"/>
              <w:rPr>
                <w:rFonts w:ascii="Cambria" w:hAnsi="Cambria" w:cstheme="majorBidi"/>
                <w:sz w:val="20"/>
                <w:szCs w:val="20"/>
              </w:rPr>
            </w:pPr>
            <w:r w:rsidRPr="004E13E9">
              <w:rPr>
                <w:rFonts w:ascii="Cambria" w:hAnsi="Cambria" w:cstheme="majorBidi"/>
                <w:sz w:val="20"/>
                <w:szCs w:val="20"/>
              </w:rPr>
              <w:t>Les capitaines du navire de pêche doivent tenir un journal de bord, dans lequel ils enregistrent quotidiennement les renseignements relatifs aux activités de pêche.</w:t>
            </w:r>
          </w:p>
          <w:p w14:paraId="1F05996D" w14:textId="77777777" w:rsidR="0084313D" w:rsidRPr="004E13E9" w:rsidRDefault="0084313D" w:rsidP="008D0B51">
            <w:pPr>
              <w:autoSpaceDE w:val="0"/>
              <w:autoSpaceDN w:val="0"/>
              <w:adjustRightInd w:val="0"/>
              <w:jc w:val="both"/>
              <w:rPr>
                <w:rFonts w:ascii="Cambria" w:hAnsi="Cambria" w:cstheme="majorBidi"/>
                <w:color w:val="auto"/>
                <w:sz w:val="20"/>
                <w:szCs w:val="20"/>
              </w:rPr>
            </w:pPr>
            <w:r w:rsidRPr="004E13E9">
              <w:rPr>
                <w:rFonts w:ascii="Cambria" w:hAnsi="Cambria" w:cstheme="majorBidi"/>
                <w:sz w:val="20"/>
                <w:szCs w:val="20"/>
              </w:rPr>
              <w:t>Le journal de pêche à bord est transmis, à l'issue de chaque marée, à l'administration compétente par voie électronique ou autre ; celui-ci consigne l</w:t>
            </w:r>
            <w:r w:rsidRPr="004E13E9">
              <w:rPr>
                <w:rFonts w:ascii="Cambria" w:hAnsi="Cambria" w:cstheme="majorBidi"/>
                <w:color w:val="auto"/>
                <w:sz w:val="20"/>
                <w:szCs w:val="20"/>
              </w:rPr>
              <w:t>es prises de thon rouge (y compris les déclarations de prises nulles).</w:t>
            </w:r>
          </w:p>
          <w:p w14:paraId="34DB9DDA" w14:textId="77777777" w:rsidR="0084313D" w:rsidRPr="004E13E9" w:rsidRDefault="0084313D" w:rsidP="008D0B51">
            <w:pPr>
              <w:autoSpaceDE w:val="0"/>
              <w:autoSpaceDN w:val="0"/>
              <w:adjustRightInd w:val="0"/>
              <w:jc w:val="both"/>
              <w:rPr>
                <w:rFonts w:ascii="Cambria" w:hAnsi="Cambria"/>
                <w:color w:val="auto"/>
                <w:sz w:val="20"/>
                <w:szCs w:val="20"/>
              </w:rPr>
            </w:pPr>
            <w:r w:rsidRPr="004E13E9">
              <w:rPr>
                <w:rFonts w:ascii="Cambria" w:hAnsi="Cambria" w:cstheme="majorBidi"/>
                <w:color w:val="auto"/>
                <w:sz w:val="20"/>
                <w:szCs w:val="20"/>
              </w:rPr>
              <w:t>La Mauritanie soumet à l’ICCAT un rapport de captures bihebdomadaire. Les poissons morts (conservés ou rejetés) seront comptabilisés dans le quota.</w:t>
            </w:r>
          </w:p>
        </w:tc>
        <w:tc>
          <w:tcPr>
            <w:tcW w:w="2552" w:type="dxa"/>
          </w:tcPr>
          <w:p w14:paraId="684370F6" w14:textId="77777777" w:rsidR="0084313D" w:rsidRPr="004E13E9" w:rsidRDefault="0084313D" w:rsidP="008D0B51">
            <w:pPr>
              <w:jc w:val="both"/>
              <w:rPr>
                <w:rFonts w:ascii="Cambria" w:hAnsi="Cambria"/>
                <w:color w:val="auto"/>
                <w:sz w:val="20"/>
                <w:szCs w:val="20"/>
              </w:rPr>
            </w:pPr>
            <w:r w:rsidRPr="004E13E9">
              <w:rPr>
                <w:rFonts w:ascii="Cambria" w:hAnsi="Cambria"/>
                <w:color w:val="auto"/>
                <w:sz w:val="20"/>
                <w:szCs w:val="20"/>
              </w:rPr>
              <w:t>Code de la pêche maritime et son décret d’application.</w:t>
            </w:r>
          </w:p>
          <w:p w14:paraId="7E51731E" w14:textId="77777777" w:rsidR="0084313D" w:rsidRPr="004E13E9" w:rsidRDefault="0084313D" w:rsidP="008D0B51">
            <w:pPr>
              <w:jc w:val="both"/>
              <w:rPr>
                <w:rFonts w:ascii="Cambria" w:hAnsi="Cambria"/>
                <w:color w:val="auto"/>
                <w:sz w:val="20"/>
                <w:szCs w:val="20"/>
              </w:rPr>
            </w:pPr>
            <w:r w:rsidRPr="004E13E9">
              <w:rPr>
                <w:rFonts w:ascii="Cambria" w:hAnsi="Cambria"/>
                <w:color w:val="auto"/>
                <w:sz w:val="20"/>
                <w:szCs w:val="20"/>
              </w:rPr>
              <w:t>Arrêté établissant le journal de pêche. La loi 017/2025 et le décret 159/2015</w:t>
            </w:r>
          </w:p>
        </w:tc>
        <w:tc>
          <w:tcPr>
            <w:tcW w:w="701" w:type="dxa"/>
          </w:tcPr>
          <w:p w14:paraId="15BA395E" w14:textId="77777777" w:rsidR="0084313D" w:rsidRPr="004E13E9" w:rsidRDefault="0084313D" w:rsidP="008D0B51">
            <w:pPr>
              <w:jc w:val="both"/>
              <w:rPr>
                <w:rFonts w:ascii="Cambria" w:hAnsi="Cambria"/>
                <w:color w:val="auto"/>
                <w:sz w:val="20"/>
                <w:szCs w:val="20"/>
              </w:rPr>
            </w:pPr>
          </w:p>
        </w:tc>
      </w:tr>
      <w:tr w:rsidR="003C1AE0" w:rsidRPr="006A2397" w14:paraId="7AD22F0A" w14:textId="77777777" w:rsidTr="003C1AE0">
        <w:tc>
          <w:tcPr>
            <w:tcW w:w="453" w:type="dxa"/>
          </w:tcPr>
          <w:p w14:paraId="7F7D57BE" w14:textId="77777777" w:rsidR="0084313D" w:rsidRPr="004E13E9" w:rsidRDefault="0084313D" w:rsidP="008D0B51">
            <w:pPr>
              <w:jc w:val="both"/>
              <w:rPr>
                <w:rFonts w:ascii="Cambria" w:hAnsi="Cambria"/>
                <w:b/>
                <w:color w:val="auto"/>
                <w:sz w:val="20"/>
                <w:szCs w:val="20"/>
              </w:rPr>
            </w:pPr>
            <w:r w:rsidRPr="004E13E9">
              <w:rPr>
                <w:rFonts w:ascii="Cambria" w:hAnsi="Cambria"/>
                <w:b/>
                <w:color w:val="auto"/>
                <w:sz w:val="20"/>
                <w:szCs w:val="20"/>
              </w:rPr>
              <w:t>2</w:t>
            </w:r>
          </w:p>
        </w:tc>
        <w:tc>
          <w:tcPr>
            <w:tcW w:w="1952" w:type="dxa"/>
          </w:tcPr>
          <w:p w14:paraId="069C1188" w14:textId="77777777" w:rsidR="0084313D" w:rsidRPr="004E13E9" w:rsidRDefault="0084313D" w:rsidP="008D0B51">
            <w:pPr>
              <w:jc w:val="both"/>
              <w:rPr>
                <w:rFonts w:ascii="Cambria" w:hAnsi="Cambria"/>
                <w:b/>
                <w:color w:val="auto"/>
                <w:sz w:val="20"/>
                <w:szCs w:val="20"/>
              </w:rPr>
            </w:pPr>
            <w:r w:rsidRPr="004E13E9">
              <w:rPr>
                <w:rFonts w:ascii="Cambria" w:hAnsi="Cambria"/>
                <w:b/>
                <w:color w:val="auto"/>
                <w:sz w:val="20"/>
                <w:szCs w:val="20"/>
              </w:rPr>
              <w:t>Périodes d’ouverture de la pêche (paragraphes 28-32)</w:t>
            </w:r>
          </w:p>
        </w:tc>
        <w:tc>
          <w:tcPr>
            <w:tcW w:w="3402" w:type="dxa"/>
          </w:tcPr>
          <w:p w14:paraId="2C594B79" w14:textId="77777777" w:rsidR="0084313D" w:rsidRPr="004E13E9" w:rsidRDefault="0084313D" w:rsidP="008D0B51">
            <w:pPr>
              <w:jc w:val="both"/>
              <w:rPr>
                <w:rFonts w:ascii="Cambria" w:hAnsi="Cambria"/>
                <w:color w:val="auto"/>
                <w:sz w:val="20"/>
                <w:szCs w:val="20"/>
              </w:rPr>
            </w:pPr>
          </w:p>
        </w:tc>
        <w:tc>
          <w:tcPr>
            <w:tcW w:w="2552" w:type="dxa"/>
          </w:tcPr>
          <w:p w14:paraId="78B13C37" w14:textId="77777777" w:rsidR="0084313D" w:rsidRPr="004E13E9" w:rsidRDefault="0084313D" w:rsidP="008D0B51">
            <w:pPr>
              <w:jc w:val="both"/>
              <w:rPr>
                <w:rFonts w:ascii="Cambria" w:hAnsi="Cambria"/>
                <w:color w:val="auto"/>
                <w:sz w:val="20"/>
                <w:szCs w:val="20"/>
              </w:rPr>
            </w:pPr>
          </w:p>
        </w:tc>
        <w:tc>
          <w:tcPr>
            <w:tcW w:w="701" w:type="dxa"/>
          </w:tcPr>
          <w:p w14:paraId="42601353" w14:textId="77777777" w:rsidR="0084313D" w:rsidRPr="004E13E9" w:rsidRDefault="0084313D" w:rsidP="008D0B51">
            <w:pPr>
              <w:jc w:val="both"/>
              <w:rPr>
                <w:rFonts w:ascii="Cambria" w:hAnsi="Cambria"/>
                <w:color w:val="auto"/>
                <w:sz w:val="20"/>
                <w:szCs w:val="20"/>
              </w:rPr>
            </w:pPr>
          </w:p>
        </w:tc>
      </w:tr>
      <w:tr w:rsidR="003C1AE0" w:rsidRPr="004E13E9" w14:paraId="32030C7F" w14:textId="77777777" w:rsidTr="003C1AE0">
        <w:tc>
          <w:tcPr>
            <w:tcW w:w="453" w:type="dxa"/>
          </w:tcPr>
          <w:p w14:paraId="6C63954E" w14:textId="77777777" w:rsidR="0084313D" w:rsidRPr="004E13E9" w:rsidRDefault="0084313D" w:rsidP="008D0B51">
            <w:pPr>
              <w:jc w:val="both"/>
              <w:rPr>
                <w:rFonts w:ascii="Cambria" w:hAnsi="Cambria"/>
                <w:b/>
                <w:color w:val="auto"/>
                <w:sz w:val="20"/>
                <w:szCs w:val="20"/>
              </w:rPr>
            </w:pPr>
            <w:r w:rsidRPr="004E13E9">
              <w:rPr>
                <w:rFonts w:ascii="Cambria" w:hAnsi="Cambria"/>
                <w:b/>
                <w:color w:val="auto"/>
                <w:sz w:val="20"/>
                <w:szCs w:val="20"/>
              </w:rPr>
              <w:t>3</w:t>
            </w:r>
          </w:p>
        </w:tc>
        <w:tc>
          <w:tcPr>
            <w:tcW w:w="1952" w:type="dxa"/>
          </w:tcPr>
          <w:p w14:paraId="4363C925" w14:textId="77777777" w:rsidR="0084313D" w:rsidRPr="004E13E9" w:rsidRDefault="0084313D" w:rsidP="008D0B51">
            <w:pPr>
              <w:jc w:val="both"/>
              <w:rPr>
                <w:rFonts w:ascii="Cambria" w:hAnsi="Cambria"/>
                <w:b/>
                <w:color w:val="auto"/>
                <w:sz w:val="20"/>
                <w:szCs w:val="20"/>
              </w:rPr>
            </w:pPr>
            <w:r w:rsidRPr="004E13E9">
              <w:rPr>
                <w:rFonts w:ascii="Cambria" w:hAnsi="Cambria"/>
                <w:b/>
                <w:bCs/>
                <w:color w:val="auto"/>
                <w:sz w:val="20"/>
                <w:szCs w:val="20"/>
              </w:rPr>
              <w:t>Taille minimale (</w:t>
            </w:r>
            <w:r w:rsidRPr="004E13E9">
              <w:rPr>
                <w:rFonts w:ascii="Cambria" w:hAnsi="Cambria"/>
                <w:b/>
                <w:color w:val="auto"/>
                <w:sz w:val="20"/>
                <w:szCs w:val="20"/>
              </w:rPr>
              <w:t xml:space="preserve">paragraphes </w:t>
            </w:r>
            <w:r w:rsidRPr="004E13E9">
              <w:rPr>
                <w:rFonts w:ascii="Cambria" w:hAnsi="Cambria"/>
                <w:b/>
                <w:bCs/>
                <w:color w:val="auto"/>
                <w:sz w:val="20"/>
                <w:szCs w:val="20"/>
              </w:rPr>
              <w:t>33-35)</w:t>
            </w:r>
          </w:p>
        </w:tc>
        <w:tc>
          <w:tcPr>
            <w:tcW w:w="3402" w:type="dxa"/>
          </w:tcPr>
          <w:p w14:paraId="66287B5D" w14:textId="77777777" w:rsidR="0084313D" w:rsidRPr="004E13E9" w:rsidRDefault="0084313D" w:rsidP="008D0B51">
            <w:pPr>
              <w:jc w:val="both"/>
              <w:rPr>
                <w:rFonts w:ascii="Cambria" w:hAnsi="Cambria" w:cstheme="majorBidi"/>
                <w:color w:val="auto"/>
                <w:sz w:val="20"/>
                <w:szCs w:val="20"/>
              </w:rPr>
            </w:pPr>
            <w:r w:rsidRPr="004E13E9">
              <w:rPr>
                <w:rFonts w:ascii="Cambria" w:hAnsi="Cambria" w:cstheme="majorBidi"/>
                <w:color w:val="auto"/>
                <w:sz w:val="20"/>
                <w:szCs w:val="20"/>
              </w:rPr>
              <w:t>La capture, la conservation, le débarquement, le transbordement, le transfert, la vente et l'exposition à la vente de thon rouge de moins de 30 kg ou d'une longueur à la fourche inférieure à 115 cm sont interdits.</w:t>
            </w:r>
          </w:p>
          <w:p w14:paraId="3A118058" w14:textId="77777777" w:rsidR="0084313D" w:rsidRPr="004E13E9" w:rsidRDefault="0084313D" w:rsidP="008D0B51">
            <w:pPr>
              <w:jc w:val="both"/>
              <w:rPr>
                <w:rFonts w:ascii="Cambria" w:hAnsi="Cambria" w:cstheme="majorBidi"/>
                <w:color w:val="auto"/>
                <w:sz w:val="20"/>
                <w:szCs w:val="20"/>
              </w:rPr>
            </w:pPr>
          </w:p>
          <w:p w14:paraId="514EFD3D" w14:textId="0EB9E33E" w:rsidR="0084313D" w:rsidRPr="004E13E9" w:rsidRDefault="0084313D" w:rsidP="003C1AE0">
            <w:pPr>
              <w:jc w:val="both"/>
              <w:rPr>
                <w:rFonts w:ascii="Cambria" w:hAnsi="Cambria"/>
                <w:color w:val="auto"/>
                <w:sz w:val="20"/>
                <w:szCs w:val="20"/>
              </w:rPr>
            </w:pPr>
            <w:r w:rsidRPr="004E13E9">
              <w:rPr>
                <w:rFonts w:ascii="Cambria" w:hAnsi="Cambria" w:cstheme="majorBidi"/>
                <w:color w:val="auto"/>
                <w:sz w:val="20"/>
                <w:szCs w:val="20"/>
              </w:rPr>
              <w:t>Les poissons de taille inférieure à la taille minimale rejetés morts sont comptabilisés dans le quota de la Mauritanie.</w:t>
            </w:r>
          </w:p>
        </w:tc>
        <w:tc>
          <w:tcPr>
            <w:tcW w:w="2552" w:type="dxa"/>
          </w:tcPr>
          <w:p w14:paraId="5E55DB9C" w14:textId="77777777" w:rsidR="0084313D" w:rsidRPr="004E13E9" w:rsidRDefault="0084313D" w:rsidP="008D0B51">
            <w:pPr>
              <w:jc w:val="both"/>
              <w:rPr>
                <w:rFonts w:ascii="Cambria" w:hAnsi="Cambria"/>
                <w:color w:val="auto"/>
                <w:sz w:val="20"/>
                <w:szCs w:val="20"/>
              </w:rPr>
            </w:pPr>
            <w:r w:rsidRPr="004E13E9">
              <w:rPr>
                <w:rFonts w:ascii="Cambria" w:hAnsi="Cambria"/>
                <w:color w:val="auto"/>
                <w:sz w:val="20"/>
                <w:szCs w:val="20"/>
              </w:rPr>
              <w:t>Modalités et conditions fixées par la Commission générale des ressources halieutiques en matière de pêche de thon rouge. (Nº1827, en date du 19/03/2023)</w:t>
            </w:r>
          </w:p>
        </w:tc>
        <w:tc>
          <w:tcPr>
            <w:tcW w:w="701" w:type="dxa"/>
          </w:tcPr>
          <w:p w14:paraId="1ED6D055" w14:textId="77777777" w:rsidR="0084313D" w:rsidRPr="004E13E9" w:rsidRDefault="0084313D" w:rsidP="008D0B51">
            <w:pPr>
              <w:jc w:val="both"/>
              <w:rPr>
                <w:rFonts w:ascii="Cambria" w:hAnsi="Cambria"/>
                <w:color w:val="auto"/>
                <w:sz w:val="20"/>
                <w:szCs w:val="20"/>
              </w:rPr>
            </w:pPr>
          </w:p>
        </w:tc>
      </w:tr>
      <w:tr w:rsidR="003C1AE0" w:rsidRPr="006A2397" w14:paraId="14D09A28" w14:textId="77777777" w:rsidTr="003C1AE0">
        <w:tc>
          <w:tcPr>
            <w:tcW w:w="453" w:type="dxa"/>
          </w:tcPr>
          <w:p w14:paraId="3A031FC8" w14:textId="77777777" w:rsidR="0084313D" w:rsidRPr="004E13E9" w:rsidRDefault="0084313D" w:rsidP="008D0B51">
            <w:pPr>
              <w:jc w:val="both"/>
              <w:rPr>
                <w:rFonts w:ascii="Cambria" w:hAnsi="Cambria"/>
                <w:b/>
                <w:color w:val="auto"/>
                <w:sz w:val="20"/>
                <w:szCs w:val="20"/>
              </w:rPr>
            </w:pPr>
            <w:r w:rsidRPr="004E13E9">
              <w:rPr>
                <w:rFonts w:ascii="Cambria" w:hAnsi="Cambria"/>
                <w:b/>
                <w:color w:val="auto"/>
                <w:sz w:val="20"/>
                <w:szCs w:val="20"/>
              </w:rPr>
              <w:t>4</w:t>
            </w:r>
          </w:p>
        </w:tc>
        <w:tc>
          <w:tcPr>
            <w:tcW w:w="1952" w:type="dxa"/>
          </w:tcPr>
          <w:p w14:paraId="24E7059D" w14:textId="77777777" w:rsidR="0084313D" w:rsidRPr="004E13E9" w:rsidRDefault="0084313D" w:rsidP="008D0B51">
            <w:pPr>
              <w:jc w:val="both"/>
              <w:rPr>
                <w:rFonts w:ascii="Cambria" w:hAnsi="Cambria"/>
                <w:b/>
                <w:color w:val="auto"/>
                <w:sz w:val="20"/>
                <w:szCs w:val="20"/>
              </w:rPr>
            </w:pPr>
            <w:r w:rsidRPr="004E13E9">
              <w:rPr>
                <w:rFonts w:ascii="Cambria" w:hAnsi="Cambria"/>
                <w:b/>
                <w:color w:val="auto"/>
                <w:sz w:val="20"/>
                <w:szCs w:val="20"/>
              </w:rPr>
              <w:t xml:space="preserve">Prises accessoires (paragraphe 37) </w:t>
            </w:r>
          </w:p>
        </w:tc>
        <w:tc>
          <w:tcPr>
            <w:tcW w:w="3402" w:type="dxa"/>
          </w:tcPr>
          <w:p w14:paraId="4DCF163A" w14:textId="77777777" w:rsidR="0084313D" w:rsidRPr="004E13E9" w:rsidRDefault="0084313D" w:rsidP="008D0B51">
            <w:pPr>
              <w:jc w:val="both"/>
              <w:rPr>
                <w:rFonts w:ascii="Cambria" w:hAnsi="Cambria"/>
                <w:color w:val="auto"/>
                <w:sz w:val="20"/>
                <w:szCs w:val="20"/>
              </w:rPr>
            </w:pPr>
            <w:r w:rsidRPr="004E13E9">
              <w:rPr>
                <w:rFonts w:ascii="Cambria" w:hAnsi="Cambria"/>
                <w:color w:val="auto"/>
                <w:sz w:val="20"/>
                <w:szCs w:val="20"/>
              </w:rPr>
              <w:t>Aucune quantité pour les prises accessoires</w:t>
            </w:r>
          </w:p>
        </w:tc>
        <w:tc>
          <w:tcPr>
            <w:tcW w:w="2552" w:type="dxa"/>
          </w:tcPr>
          <w:p w14:paraId="1C947FC5" w14:textId="77777777" w:rsidR="0084313D" w:rsidRPr="004E13E9" w:rsidRDefault="0084313D" w:rsidP="008D0B51">
            <w:pPr>
              <w:jc w:val="both"/>
              <w:rPr>
                <w:rFonts w:ascii="Cambria" w:hAnsi="Cambria"/>
                <w:color w:val="auto"/>
                <w:sz w:val="20"/>
                <w:szCs w:val="20"/>
              </w:rPr>
            </w:pPr>
          </w:p>
        </w:tc>
        <w:tc>
          <w:tcPr>
            <w:tcW w:w="701" w:type="dxa"/>
          </w:tcPr>
          <w:p w14:paraId="07F67419" w14:textId="77777777" w:rsidR="0084313D" w:rsidRPr="004E13E9" w:rsidRDefault="0084313D" w:rsidP="008D0B51">
            <w:pPr>
              <w:jc w:val="both"/>
              <w:rPr>
                <w:rFonts w:ascii="Cambria" w:hAnsi="Cambria"/>
                <w:color w:val="auto"/>
                <w:sz w:val="20"/>
                <w:szCs w:val="20"/>
              </w:rPr>
            </w:pPr>
          </w:p>
        </w:tc>
      </w:tr>
      <w:tr w:rsidR="003C1AE0" w:rsidRPr="004E13E9" w14:paraId="6EB4F39F" w14:textId="77777777" w:rsidTr="003C1AE0">
        <w:tc>
          <w:tcPr>
            <w:tcW w:w="453" w:type="dxa"/>
          </w:tcPr>
          <w:p w14:paraId="21B6B76A" w14:textId="77777777" w:rsidR="0084313D" w:rsidRPr="004E13E9" w:rsidRDefault="0084313D" w:rsidP="008D0B51">
            <w:pPr>
              <w:jc w:val="both"/>
              <w:rPr>
                <w:rFonts w:ascii="Cambria" w:hAnsi="Cambria"/>
                <w:b/>
                <w:color w:val="auto"/>
                <w:sz w:val="20"/>
                <w:szCs w:val="20"/>
              </w:rPr>
            </w:pPr>
            <w:r w:rsidRPr="004E13E9">
              <w:rPr>
                <w:rFonts w:ascii="Cambria" w:hAnsi="Cambria"/>
                <w:b/>
                <w:color w:val="auto"/>
                <w:sz w:val="20"/>
                <w:szCs w:val="20"/>
              </w:rPr>
              <w:t>5</w:t>
            </w:r>
          </w:p>
        </w:tc>
        <w:tc>
          <w:tcPr>
            <w:tcW w:w="1952" w:type="dxa"/>
          </w:tcPr>
          <w:p w14:paraId="79A730E6" w14:textId="77777777" w:rsidR="0084313D" w:rsidRPr="004E13E9" w:rsidRDefault="0084313D" w:rsidP="008D0B51">
            <w:pPr>
              <w:jc w:val="both"/>
              <w:rPr>
                <w:rFonts w:ascii="Cambria" w:hAnsi="Cambria"/>
                <w:b/>
                <w:color w:val="auto"/>
                <w:sz w:val="20"/>
                <w:szCs w:val="20"/>
              </w:rPr>
            </w:pPr>
            <w:r w:rsidRPr="004E13E9">
              <w:rPr>
                <w:rFonts w:ascii="Cambria" w:hAnsi="Cambria"/>
                <w:b/>
                <w:bCs/>
                <w:color w:val="auto"/>
                <w:sz w:val="20"/>
                <w:szCs w:val="20"/>
              </w:rPr>
              <w:t>Pêcheries récréatives et sportives (paragraphes 38-46)</w:t>
            </w:r>
          </w:p>
        </w:tc>
        <w:tc>
          <w:tcPr>
            <w:tcW w:w="3402" w:type="dxa"/>
          </w:tcPr>
          <w:p w14:paraId="1E0BEE21" w14:textId="77777777" w:rsidR="0084313D" w:rsidRPr="004E13E9" w:rsidRDefault="0084313D" w:rsidP="008D0B51">
            <w:pPr>
              <w:jc w:val="both"/>
              <w:rPr>
                <w:rFonts w:ascii="Cambria" w:hAnsi="Cambria"/>
                <w:color w:val="auto"/>
                <w:sz w:val="20"/>
                <w:szCs w:val="20"/>
              </w:rPr>
            </w:pPr>
            <w:r w:rsidRPr="004E13E9">
              <w:rPr>
                <w:rFonts w:ascii="Cambria" w:hAnsi="Cambria"/>
                <w:color w:val="auto"/>
                <w:sz w:val="20"/>
                <w:szCs w:val="20"/>
              </w:rPr>
              <w:t>Aucune activité de pêche récréative ou sportive n'est à l’état actuel autorisée en Mauritanie.</w:t>
            </w:r>
          </w:p>
        </w:tc>
        <w:tc>
          <w:tcPr>
            <w:tcW w:w="2552" w:type="dxa"/>
          </w:tcPr>
          <w:p w14:paraId="4ABB2428" w14:textId="77777777" w:rsidR="0084313D" w:rsidRPr="004E13E9" w:rsidRDefault="0084313D" w:rsidP="008D0B51">
            <w:pPr>
              <w:jc w:val="both"/>
              <w:rPr>
                <w:rFonts w:ascii="Cambria" w:hAnsi="Cambria"/>
                <w:color w:val="auto"/>
                <w:sz w:val="20"/>
                <w:szCs w:val="20"/>
              </w:rPr>
            </w:pPr>
            <w:r w:rsidRPr="004E13E9">
              <w:rPr>
                <w:rFonts w:ascii="Cambria" w:hAnsi="Cambria"/>
                <w:color w:val="auto"/>
                <w:sz w:val="20"/>
                <w:szCs w:val="20"/>
              </w:rPr>
              <w:t>Non applicable</w:t>
            </w:r>
          </w:p>
        </w:tc>
        <w:tc>
          <w:tcPr>
            <w:tcW w:w="701" w:type="dxa"/>
          </w:tcPr>
          <w:p w14:paraId="0866E6E7" w14:textId="77777777" w:rsidR="0084313D" w:rsidRPr="004E13E9" w:rsidRDefault="0084313D" w:rsidP="008D0B51">
            <w:pPr>
              <w:jc w:val="both"/>
              <w:rPr>
                <w:rFonts w:ascii="Cambria" w:hAnsi="Cambria"/>
                <w:color w:val="auto"/>
                <w:sz w:val="20"/>
                <w:szCs w:val="20"/>
              </w:rPr>
            </w:pPr>
          </w:p>
        </w:tc>
      </w:tr>
      <w:tr w:rsidR="003C1AE0" w:rsidRPr="004E13E9" w14:paraId="4C5A92D0" w14:textId="77777777" w:rsidTr="003C1AE0">
        <w:tc>
          <w:tcPr>
            <w:tcW w:w="453" w:type="dxa"/>
          </w:tcPr>
          <w:p w14:paraId="2EF31472" w14:textId="77777777" w:rsidR="0084313D" w:rsidRPr="004E13E9" w:rsidRDefault="0084313D" w:rsidP="008D0B51">
            <w:pPr>
              <w:jc w:val="both"/>
              <w:rPr>
                <w:rFonts w:ascii="Cambria" w:hAnsi="Cambria"/>
                <w:b/>
                <w:color w:val="auto"/>
                <w:sz w:val="20"/>
                <w:szCs w:val="20"/>
              </w:rPr>
            </w:pPr>
            <w:r w:rsidRPr="004E13E9">
              <w:rPr>
                <w:rFonts w:ascii="Cambria" w:hAnsi="Cambria"/>
                <w:b/>
                <w:color w:val="auto"/>
                <w:sz w:val="20"/>
                <w:szCs w:val="20"/>
              </w:rPr>
              <w:t>6</w:t>
            </w:r>
          </w:p>
        </w:tc>
        <w:tc>
          <w:tcPr>
            <w:tcW w:w="1952" w:type="dxa"/>
          </w:tcPr>
          <w:p w14:paraId="3E6432A7" w14:textId="77777777" w:rsidR="0084313D" w:rsidRPr="004E13E9" w:rsidRDefault="0084313D" w:rsidP="008D0B51">
            <w:pPr>
              <w:jc w:val="both"/>
              <w:rPr>
                <w:rFonts w:ascii="Cambria" w:hAnsi="Cambria"/>
                <w:b/>
                <w:color w:val="auto"/>
                <w:sz w:val="20"/>
                <w:szCs w:val="20"/>
              </w:rPr>
            </w:pPr>
            <w:r w:rsidRPr="004E13E9">
              <w:rPr>
                <w:rFonts w:ascii="Cambria" w:hAnsi="Cambria"/>
                <w:b/>
                <w:color w:val="auto"/>
                <w:sz w:val="20"/>
                <w:szCs w:val="20"/>
              </w:rPr>
              <w:t xml:space="preserve">Transbordement (paragraphes 89-94) </w:t>
            </w:r>
          </w:p>
        </w:tc>
        <w:tc>
          <w:tcPr>
            <w:tcW w:w="3402" w:type="dxa"/>
          </w:tcPr>
          <w:p w14:paraId="24F81752" w14:textId="77777777" w:rsidR="0084313D" w:rsidRPr="004E13E9" w:rsidRDefault="0084313D" w:rsidP="008D0B51">
            <w:pPr>
              <w:jc w:val="both"/>
              <w:rPr>
                <w:rFonts w:ascii="Cambria" w:hAnsi="Cambria"/>
                <w:color w:val="auto"/>
                <w:sz w:val="20"/>
                <w:szCs w:val="20"/>
              </w:rPr>
            </w:pPr>
            <w:r w:rsidRPr="004E13E9">
              <w:rPr>
                <w:rFonts w:ascii="Cambria" w:hAnsi="Cambria" w:cstheme="majorBidi"/>
                <w:sz w:val="20"/>
                <w:szCs w:val="20"/>
              </w:rPr>
              <w:t>Les navires de pêche ne sont autorisés à transborder les prises de thon rouge que dans les ports désignés des CPC. Aucune opération de transbordement n'a été signalée en Mauritanie.</w:t>
            </w:r>
          </w:p>
        </w:tc>
        <w:tc>
          <w:tcPr>
            <w:tcW w:w="2552" w:type="dxa"/>
          </w:tcPr>
          <w:p w14:paraId="5CA378C8" w14:textId="77777777" w:rsidR="0084313D" w:rsidRPr="004E13E9" w:rsidRDefault="0084313D" w:rsidP="008D0B51">
            <w:pPr>
              <w:jc w:val="both"/>
              <w:rPr>
                <w:rFonts w:ascii="Cambria" w:hAnsi="Cambria"/>
                <w:color w:val="auto"/>
                <w:sz w:val="20"/>
                <w:szCs w:val="20"/>
              </w:rPr>
            </w:pPr>
            <w:r w:rsidRPr="004E13E9">
              <w:rPr>
                <w:rFonts w:ascii="Cambria" w:hAnsi="Cambria"/>
                <w:color w:val="auto"/>
                <w:sz w:val="20"/>
                <w:szCs w:val="20"/>
              </w:rPr>
              <w:t>Modalités et conditions fixées par la Commission générale des ressources halieutiques en matière de pêche de thon rouge. (Nº1827, en date du 19/03/2023)</w:t>
            </w:r>
          </w:p>
        </w:tc>
        <w:tc>
          <w:tcPr>
            <w:tcW w:w="701" w:type="dxa"/>
          </w:tcPr>
          <w:p w14:paraId="065D8240" w14:textId="77777777" w:rsidR="0084313D" w:rsidRPr="004E13E9" w:rsidRDefault="0084313D" w:rsidP="008D0B51">
            <w:pPr>
              <w:jc w:val="both"/>
              <w:rPr>
                <w:rFonts w:ascii="Cambria" w:hAnsi="Cambria"/>
                <w:color w:val="auto"/>
                <w:sz w:val="20"/>
                <w:szCs w:val="20"/>
              </w:rPr>
            </w:pPr>
          </w:p>
        </w:tc>
      </w:tr>
      <w:tr w:rsidR="003C1AE0" w:rsidRPr="004E13E9" w14:paraId="61D7EF64" w14:textId="77777777" w:rsidTr="003C1AE0">
        <w:tc>
          <w:tcPr>
            <w:tcW w:w="453" w:type="dxa"/>
          </w:tcPr>
          <w:p w14:paraId="49BF0CEE" w14:textId="77777777" w:rsidR="0084313D" w:rsidRPr="004E13E9" w:rsidRDefault="0084313D" w:rsidP="008D0B51">
            <w:pPr>
              <w:jc w:val="both"/>
              <w:rPr>
                <w:rFonts w:ascii="Cambria" w:hAnsi="Cambria"/>
                <w:b/>
                <w:color w:val="auto"/>
                <w:sz w:val="20"/>
                <w:szCs w:val="20"/>
              </w:rPr>
            </w:pPr>
            <w:r w:rsidRPr="004E13E9">
              <w:rPr>
                <w:rFonts w:ascii="Cambria" w:hAnsi="Cambria"/>
                <w:b/>
                <w:color w:val="auto"/>
                <w:sz w:val="20"/>
                <w:szCs w:val="20"/>
              </w:rPr>
              <w:t>7</w:t>
            </w:r>
          </w:p>
        </w:tc>
        <w:tc>
          <w:tcPr>
            <w:tcW w:w="1952" w:type="dxa"/>
          </w:tcPr>
          <w:p w14:paraId="415FD85C" w14:textId="77777777" w:rsidR="0084313D" w:rsidRPr="004E13E9" w:rsidRDefault="0084313D" w:rsidP="008D0B51">
            <w:pPr>
              <w:jc w:val="both"/>
              <w:rPr>
                <w:rFonts w:ascii="Cambria" w:hAnsi="Cambria"/>
                <w:b/>
                <w:color w:val="auto"/>
                <w:sz w:val="20"/>
                <w:szCs w:val="20"/>
              </w:rPr>
            </w:pPr>
            <w:r w:rsidRPr="004E13E9">
              <w:rPr>
                <w:rFonts w:ascii="Cambria" w:hAnsi="Cambria"/>
                <w:b/>
                <w:color w:val="auto"/>
                <w:sz w:val="20"/>
                <w:szCs w:val="20"/>
              </w:rPr>
              <w:t>VMS (paragraphes 222-228)</w:t>
            </w:r>
          </w:p>
        </w:tc>
        <w:tc>
          <w:tcPr>
            <w:tcW w:w="3402" w:type="dxa"/>
          </w:tcPr>
          <w:p w14:paraId="14FC095B" w14:textId="77777777" w:rsidR="0084313D" w:rsidRPr="004E13E9" w:rsidRDefault="0084313D" w:rsidP="008D0B51">
            <w:pPr>
              <w:tabs>
                <w:tab w:val="right" w:pos="540"/>
              </w:tabs>
              <w:autoSpaceDE w:val="0"/>
              <w:autoSpaceDN w:val="0"/>
              <w:adjustRightInd w:val="0"/>
              <w:jc w:val="both"/>
              <w:rPr>
                <w:rFonts w:ascii="Cambria" w:hAnsi="Cambria" w:cstheme="majorBidi"/>
                <w:sz w:val="20"/>
                <w:szCs w:val="20"/>
                <w:lang w:eastAsia="ja-JP"/>
              </w:rPr>
            </w:pPr>
            <w:r w:rsidRPr="004E13E9">
              <w:rPr>
                <w:rFonts w:ascii="Cambria" w:hAnsi="Cambria" w:cstheme="majorBidi"/>
                <w:sz w:val="20"/>
                <w:szCs w:val="20"/>
                <w:lang w:eastAsia="ja-JP"/>
              </w:rPr>
              <w:t>Tous les navires autorisés en ZEE mauritanienne sont équipés d’un système VMS.</w:t>
            </w:r>
          </w:p>
          <w:p w14:paraId="22268F9D" w14:textId="57565E46" w:rsidR="0084313D" w:rsidRPr="004E13E9" w:rsidRDefault="0084313D" w:rsidP="003C1AE0">
            <w:pPr>
              <w:jc w:val="both"/>
              <w:rPr>
                <w:rFonts w:ascii="Cambria" w:hAnsi="Cambria"/>
                <w:color w:val="auto"/>
                <w:sz w:val="20"/>
                <w:szCs w:val="20"/>
              </w:rPr>
            </w:pPr>
            <w:r w:rsidRPr="004E13E9">
              <w:rPr>
                <w:rFonts w:ascii="Cambria" w:hAnsi="Cambria" w:cstheme="majorBidi"/>
                <w:sz w:val="20"/>
                <w:szCs w:val="20"/>
                <w:lang w:eastAsia="ja-JP"/>
              </w:rPr>
              <w:t>Tout navire en activité doit transmettre au moins 24 positions par jour en raison d'une position par heure au Centre de Surveillance de la GCM.</w:t>
            </w:r>
          </w:p>
        </w:tc>
        <w:tc>
          <w:tcPr>
            <w:tcW w:w="2552" w:type="dxa"/>
          </w:tcPr>
          <w:p w14:paraId="3C603B73" w14:textId="77777777" w:rsidR="0084313D" w:rsidRPr="004E13E9" w:rsidRDefault="0084313D" w:rsidP="008D0B51">
            <w:pPr>
              <w:jc w:val="both"/>
              <w:rPr>
                <w:rFonts w:ascii="Cambria" w:hAnsi="Cambria"/>
                <w:color w:val="auto"/>
                <w:sz w:val="20"/>
                <w:szCs w:val="20"/>
              </w:rPr>
            </w:pPr>
            <w:r w:rsidRPr="004E13E9">
              <w:rPr>
                <w:rFonts w:ascii="Cambria" w:hAnsi="Cambria"/>
                <w:sz w:val="20"/>
                <w:szCs w:val="20"/>
              </w:rPr>
              <w:t>Arrêté n°664/MPEM portant suivi satellite des navires de pêche dans les eaux sous juridiction nationale du 24/08/2020</w:t>
            </w:r>
          </w:p>
        </w:tc>
        <w:tc>
          <w:tcPr>
            <w:tcW w:w="701" w:type="dxa"/>
          </w:tcPr>
          <w:p w14:paraId="52D57435" w14:textId="77777777" w:rsidR="0084313D" w:rsidRPr="004E13E9" w:rsidRDefault="0084313D" w:rsidP="008D0B51">
            <w:pPr>
              <w:jc w:val="both"/>
              <w:rPr>
                <w:rFonts w:ascii="Cambria" w:hAnsi="Cambria"/>
                <w:color w:val="auto"/>
                <w:sz w:val="20"/>
                <w:szCs w:val="20"/>
              </w:rPr>
            </w:pPr>
            <w:r w:rsidRPr="004E13E9">
              <w:rPr>
                <w:rFonts w:ascii="Cambria" w:hAnsi="Cambria"/>
                <w:color w:val="auto"/>
                <w:sz w:val="20"/>
                <w:szCs w:val="20"/>
              </w:rPr>
              <w:t>.</w:t>
            </w:r>
          </w:p>
        </w:tc>
      </w:tr>
      <w:tr w:rsidR="003C1AE0" w:rsidRPr="004E13E9" w14:paraId="6FF7E234" w14:textId="77777777" w:rsidTr="003C1AE0">
        <w:tc>
          <w:tcPr>
            <w:tcW w:w="453" w:type="dxa"/>
          </w:tcPr>
          <w:p w14:paraId="3407BCE0" w14:textId="77777777" w:rsidR="0084313D" w:rsidRPr="004E13E9" w:rsidRDefault="0084313D" w:rsidP="008D0B51">
            <w:pPr>
              <w:jc w:val="both"/>
              <w:rPr>
                <w:rFonts w:ascii="Cambria" w:hAnsi="Cambria"/>
                <w:b/>
                <w:color w:val="auto"/>
                <w:sz w:val="20"/>
                <w:szCs w:val="20"/>
              </w:rPr>
            </w:pPr>
            <w:r w:rsidRPr="004E13E9">
              <w:rPr>
                <w:rFonts w:ascii="Cambria" w:hAnsi="Cambria"/>
                <w:b/>
                <w:color w:val="auto"/>
                <w:sz w:val="20"/>
                <w:szCs w:val="20"/>
              </w:rPr>
              <w:t>8</w:t>
            </w:r>
          </w:p>
        </w:tc>
        <w:tc>
          <w:tcPr>
            <w:tcW w:w="1952" w:type="dxa"/>
          </w:tcPr>
          <w:p w14:paraId="27E5A648" w14:textId="77777777" w:rsidR="0084313D" w:rsidRPr="004E13E9" w:rsidRDefault="0084313D" w:rsidP="008D0B51">
            <w:pPr>
              <w:jc w:val="both"/>
              <w:rPr>
                <w:rFonts w:ascii="Cambria" w:hAnsi="Cambria"/>
                <w:b/>
                <w:color w:val="auto"/>
                <w:sz w:val="20"/>
                <w:szCs w:val="20"/>
              </w:rPr>
            </w:pPr>
            <w:r w:rsidRPr="004E13E9">
              <w:rPr>
                <w:rFonts w:ascii="Cambria" w:hAnsi="Cambria"/>
                <w:b/>
                <w:color w:val="auto"/>
                <w:sz w:val="20"/>
                <w:szCs w:val="20"/>
              </w:rPr>
              <w:t>Programme d’observateurs des CPC (paragraphes 95-100)</w:t>
            </w:r>
          </w:p>
        </w:tc>
        <w:tc>
          <w:tcPr>
            <w:tcW w:w="3402" w:type="dxa"/>
          </w:tcPr>
          <w:p w14:paraId="3028E7E2" w14:textId="77777777" w:rsidR="0084313D" w:rsidRPr="004E13E9" w:rsidRDefault="0084313D" w:rsidP="008D0B51">
            <w:pPr>
              <w:jc w:val="both"/>
              <w:rPr>
                <w:rFonts w:ascii="Cambria" w:hAnsi="Cambria"/>
                <w:color w:val="auto"/>
                <w:sz w:val="20"/>
                <w:szCs w:val="20"/>
              </w:rPr>
            </w:pPr>
            <w:r w:rsidRPr="004E13E9">
              <w:rPr>
                <w:rFonts w:ascii="Cambria" w:hAnsi="Cambria"/>
                <w:color w:val="auto"/>
                <w:sz w:val="20"/>
                <w:szCs w:val="20"/>
              </w:rPr>
              <w:t>N/A</w:t>
            </w:r>
          </w:p>
        </w:tc>
        <w:tc>
          <w:tcPr>
            <w:tcW w:w="2552" w:type="dxa"/>
          </w:tcPr>
          <w:p w14:paraId="2C5486C5" w14:textId="77777777" w:rsidR="0084313D" w:rsidRPr="004E13E9" w:rsidRDefault="0084313D" w:rsidP="008D0B51">
            <w:pPr>
              <w:jc w:val="both"/>
              <w:rPr>
                <w:rFonts w:ascii="Cambria" w:hAnsi="Cambria"/>
                <w:color w:val="auto"/>
                <w:sz w:val="20"/>
                <w:szCs w:val="20"/>
              </w:rPr>
            </w:pPr>
          </w:p>
        </w:tc>
        <w:tc>
          <w:tcPr>
            <w:tcW w:w="701" w:type="dxa"/>
          </w:tcPr>
          <w:p w14:paraId="41C2F9D9" w14:textId="77777777" w:rsidR="0084313D" w:rsidRPr="004E13E9" w:rsidRDefault="0084313D" w:rsidP="008D0B51">
            <w:pPr>
              <w:jc w:val="both"/>
              <w:rPr>
                <w:rFonts w:ascii="Cambria" w:hAnsi="Cambria"/>
                <w:color w:val="auto"/>
                <w:sz w:val="20"/>
                <w:szCs w:val="20"/>
              </w:rPr>
            </w:pPr>
          </w:p>
        </w:tc>
      </w:tr>
      <w:tr w:rsidR="003C1AE0" w:rsidRPr="004E13E9" w14:paraId="45181202" w14:textId="77777777" w:rsidTr="003C1AE0">
        <w:tc>
          <w:tcPr>
            <w:tcW w:w="453" w:type="dxa"/>
          </w:tcPr>
          <w:p w14:paraId="13ADE612" w14:textId="77777777" w:rsidR="0084313D" w:rsidRPr="004E13E9" w:rsidRDefault="0084313D" w:rsidP="008D0B51">
            <w:pPr>
              <w:jc w:val="both"/>
              <w:rPr>
                <w:rFonts w:ascii="Cambria" w:hAnsi="Cambria"/>
                <w:b/>
                <w:color w:val="auto"/>
                <w:sz w:val="20"/>
                <w:szCs w:val="20"/>
              </w:rPr>
            </w:pPr>
            <w:r w:rsidRPr="004E13E9">
              <w:rPr>
                <w:rFonts w:ascii="Cambria" w:hAnsi="Cambria"/>
                <w:b/>
                <w:color w:val="auto"/>
                <w:sz w:val="20"/>
                <w:szCs w:val="20"/>
              </w:rPr>
              <w:t>9</w:t>
            </w:r>
          </w:p>
        </w:tc>
        <w:tc>
          <w:tcPr>
            <w:tcW w:w="1952" w:type="dxa"/>
          </w:tcPr>
          <w:p w14:paraId="115FF9B6" w14:textId="77777777" w:rsidR="0084313D" w:rsidRPr="004E13E9" w:rsidRDefault="0084313D" w:rsidP="008D0B51">
            <w:pPr>
              <w:jc w:val="both"/>
              <w:rPr>
                <w:rFonts w:ascii="Cambria" w:hAnsi="Cambria"/>
                <w:b/>
                <w:color w:val="auto"/>
                <w:sz w:val="20"/>
                <w:szCs w:val="20"/>
              </w:rPr>
            </w:pPr>
            <w:r w:rsidRPr="004E13E9">
              <w:rPr>
                <w:rFonts w:ascii="Cambria" w:hAnsi="Cambria"/>
                <w:b/>
                <w:color w:val="auto"/>
                <w:sz w:val="20"/>
                <w:szCs w:val="20"/>
              </w:rPr>
              <w:t>Programme d'observateurs régionaux (paragraphes 101-107)</w:t>
            </w:r>
          </w:p>
        </w:tc>
        <w:tc>
          <w:tcPr>
            <w:tcW w:w="3402" w:type="dxa"/>
          </w:tcPr>
          <w:p w14:paraId="29FB854C" w14:textId="77777777" w:rsidR="0084313D" w:rsidRPr="004E13E9" w:rsidRDefault="0084313D" w:rsidP="008D0B51">
            <w:pPr>
              <w:jc w:val="both"/>
              <w:rPr>
                <w:rFonts w:ascii="Cambria" w:hAnsi="Cambria"/>
                <w:color w:val="auto"/>
                <w:sz w:val="20"/>
                <w:szCs w:val="20"/>
              </w:rPr>
            </w:pPr>
            <w:r w:rsidRPr="004E13E9">
              <w:rPr>
                <w:rFonts w:ascii="Cambria" w:hAnsi="Cambria"/>
                <w:color w:val="auto"/>
                <w:sz w:val="20"/>
                <w:szCs w:val="20"/>
              </w:rPr>
              <w:t>N/A</w:t>
            </w:r>
          </w:p>
        </w:tc>
        <w:tc>
          <w:tcPr>
            <w:tcW w:w="2552" w:type="dxa"/>
          </w:tcPr>
          <w:p w14:paraId="313587B5" w14:textId="77777777" w:rsidR="0084313D" w:rsidRPr="004E13E9" w:rsidRDefault="0084313D" w:rsidP="008D0B51">
            <w:pPr>
              <w:jc w:val="both"/>
              <w:rPr>
                <w:rFonts w:ascii="Cambria" w:hAnsi="Cambria"/>
                <w:color w:val="auto"/>
                <w:sz w:val="20"/>
                <w:szCs w:val="20"/>
              </w:rPr>
            </w:pPr>
          </w:p>
        </w:tc>
        <w:tc>
          <w:tcPr>
            <w:tcW w:w="701" w:type="dxa"/>
          </w:tcPr>
          <w:p w14:paraId="6DA3EF16" w14:textId="77777777" w:rsidR="0084313D" w:rsidRPr="004E13E9" w:rsidRDefault="0084313D" w:rsidP="008D0B51">
            <w:pPr>
              <w:jc w:val="both"/>
              <w:rPr>
                <w:rFonts w:ascii="Cambria" w:hAnsi="Cambria"/>
                <w:color w:val="auto"/>
                <w:sz w:val="20"/>
                <w:szCs w:val="20"/>
              </w:rPr>
            </w:pPr>
          </w:p>
        </w:tc>
      </w:tr>
      <w:tr w:rsidR="003C1AE0" w:rsidRPr="006A2397" w14:paraId="0D519238" w14:textId="77777777" w:rsidTr="003C1AE0">
        <w:tc>
          <w:tcPr>
            <w:tcW w:w="453" w:type="dxa"/>
          </w:tcPr>
          <w:p w14:paraId="4777A9AC" w14:textId="77777777" w:rsidR="0084313D" w:rsidRPr="004E13E9" w:rsidRDefault="0084313D" w:rsidP="008D0B51">
            <w:pPr>
              <w:jc w:val="both"/>
              <w:rPr>
                <w:rFonts w:ascii="Cambria" w:hAnsi="Cambria"/>
                <w:b/>
                <w:bCs/>
                <w:iCs/>
                <w:color w:val="auto"/>
                <w:sz w:val="20"/>
                <w:szCs w:val="20"/>
              </w:rPr>
            </w:pPr>
            <w:r w:rsidRPr="004E13E9">
              <w:rPr>
                <w:rFonts w:ascii="Cambria" w:hAnsi="Cambria"/>
                <w:b/>
                <w:bCs/>
                <w:iCs/>
                <w:color w:val="auto"/>
                <w:sz w:val="20"/>
                <w:szCs w:val="20"/>
              </w:rPr>
              <w:t>10</w:t>
            </w:r>
          </w:p>
        </w:tc>
        <w:tc>
          <w:tcPr>
            <w:tcW w:w="1952" w:type="dxa"/>
          </w:tcPr>
          <w:p w14:paraId="54B5083F" w14:textId="77777777" w:rsidR="0084313D" w:rsidRPr="004E13E9" w:rsidRDefault="0084313D" w:rsidP="008D0B51">
            <w:pPr>
              <w:jc w:val="both"/>
              <w:rPr>
                <w:rFonts w:ascii="Cambria" w:hAnsi="Cambria"/>
                <w:b/>
                <w:bCs/>
                <w:iCs/>
                <w:color w:val="auto"/>
                <w:sz w:val="20"/>
                <w:szCs w:val="20"/>
              </w:rPr>
            </w:pPr>
            <w:r w:rsidRPr="004E13E9">
              <w:rPr>
                <w:rFonts w:ascii="Cambria" w:hAnsi="Cambria"/>
                <w:b/>
                <w:bCs/>
                <w:iCs/>
                <w:color w:val="auto"/>
                <w:sz w:val="20"/>
                <w:szCs w:val="20"/>
              </w:rPr>
              <w:t>Législation nationale</w:t>
            </w:r>
          </w:p>
        </w:tc>
        <w:tc>
          <w:tcPr>
            <w:tcW w:w="3402" w:type="dxa"/>
          </w:tcPr>
          <w:p w14:paraId="400A2DC8" w14:textId="77777777" w:rsidR="0084313D" w:rsidRPr="004E13E9" w:rsidRDefault="0084313D" w:rsidP="008D0B51">
            <w:pPr>
              <w:autoSpaceDE w:val="0"/>
              <w:autoSpaceDN w:val="0"/>
              <w:adjustRightInd w:val="0"/>
              <w:jc w:val="both"/>
              <w:rPr>
                <w:rFonts w:ascii="Cambria" w:hAnsi="Cambria" w:cstheme="majorBidi"/>
                <w:sz w:val="20"/>
                <w:szCs w:val="20"/>
              </w:rPr>
            </w:pPr>
            <w:r w:rsidRPr="004E13E9">
              <w:rPr>
                <w:rFonts w:ascii="Cambria" w:hAnsi="Cambria" w:cstheme="majorBidi"/>
                <w:sz w:val="20"/>
                <w:szCs w:val="20"/>
              </w:rPr>
              <w:t>La législation nationale mauritanienne relative au thon rouge est conforme aux recommandations de l’ICCAT.</w:t>
            </w:r>
          </w:p>
          <w:p w14:paraId="618B23C7" w14:textId="77777777" w:rsidR="0084313D" w:rsidRPr="004E13E9" w:rsidRDefault="0084313D" w:rsidP="008D0B51">
            <w:pPr>
              <w:autoSpaceDE w:val="0"/>
              <w:autoSpaceDN w:val="0"/>
              <w:adjustRightInd w:val="0"/>
              <w:jc w:val="both"/>
              <w:rPr>
                <w:rFonts w:ascii="Cambria" w:hAnsi="Cambria" w:cstheme="majorBidi"/>
                <w:sz w:val="8"/>
                <w:szCs w:val="8"/>
              </w:rPr>
            </w:pPr>
          </w:p>
          <w:p w14:paraId="31E86621" w14:textId="77777777" w:rsidR="0084313D" w:rsidRPr="004E13E9" w:rsidRDefault="0084313D" w:rsidP="008D0B51">
            <w:pPr>
              <w:autoSpaceDE w:val="0"/>
              <w:autoSpaceDN w:val="0"/>
              <w:adjustRightInd w:val="0"/>
              <w:jc w:val="both"/>
              <w:rPr>
                <w:rFonts w:ascii="Cambria" w:hAnsi="Cambria" w:cstheme="majorBidi"/>
                <w:color w:val="000000" w:themeColor="text1"/>
                <w:sz w:val="20"/>
                <w:szCs w:val="20"/>
              </w:rPr>
            </w:pPr>
            <w:r w:rsidRPr="004E13E9">
              <w:rPr>
                <w:rFonts w:ascii="Cambria" w:hAnsi="Cambria" w:cstheme="majorBidi"/>
                <w:color w:val="000000" w:themeColor="text1"/>
                <w:sz w:val="20"/>
                <w:szCs w:val="20"/>
              </w:rPr>
              <w:t>Chaque année, la législation nationale est modifiée conformément aux recommandations de l’ICCAT.</w:t>
            </w:r>
          </w:p>
          <w:p w14:paraId="3BA2DBDA" w14:textId="77777777" w:rsidR="0084313D" w:rsidRPr="004E13E9" w:rsidRDefault="0084313D" w:rsidP="008D0B51">
            <w:pPr>
              <w:autoSpaceDE w:val="0"/>
              <w:autoSpaceDN w:val="0"/>
              <w:adjustRightInd w:val="0"/>
              <w:jc w:val="both"/>
              <w:rPr>
                <w:rFonts w:ascii="Cambria" w:hAnsi="Cambria"/>
                <w:color w:val="auto"/>
                <w:sz w:val="20"/>
                <w:szCs w:val="20"/>
              </w:rPr>
            </w:pPr>
            <w:r w:rsidRPr="004E13E9">
              <w:rPr>
                <w:rFonts w:ascii="Cambria" w:hAnsi="Cambria" w:cstheme="majorBidi"/>
                <w:color w:val="000000" w:themeColor="text1"/>
                <w:sz w:val="20"/>
                <w:szCs w:val="20"/>
              </w:rPr>
              <w:t>Elle comprend toutes les informations relatives à la pêche au thon rouge (saison de pêche, système de surveillance des captures, enregistrement et déclaration des captures, taille minimale, prises accessoires, etc.)</w:t>
            </w:r>
          </w:p>
        </w:tc>
        <w:tc>
          <w:tcPr>
            <w:tcW w:w="2552" w:type="dxa"/>
          </w:tcPr>
          <w:p w14:paraId="71D90831" w14:textId="77777777" w:rsidR="0084313D" w:rsidRPr="004E13E9" w:rsidRDefault="0084313D" w:rsidP="008D0B51">
            <w:pPr>
              <w:jc w:val="both"/>
              <w:rPr>
                <w:rFonts w:ascii="Cambria" w:hAnsi="Cambria"/>
                <w:color w:val="auto"/>
                <w:sz w:val="20"/>
                <w:szCs w:val="20"/>
              </w:rPr>
            </w:pPr>
            <w:r w:rsidRPr="004E13E9">
              <w:rPr>
                <w:rFonts w:ascii="Cambria" w:hAnsi="Cambria"/>
                <w:color w:val="000000" w:themeColor="text1"/>
                <w:sz w:val="20"/>
                <w:szCs w:val="20"/>
              </w:rPr>
              <w:t>Conditions générales de l'Institution générale de pêche pour la pêche au thon rouge (N°1827, en date du 19/03/2023)</w:t>
            </w:r>
          </w:p>
        </w:tc>
        <w:tc>
          <w:tcPr>
            <w:tcW w:w="701" w:type="dxa"/>
          </w:tcPr>
          <w:p w14:paraId="2E1C4360" w14:textId="77777777" w:rsidR="0084313D" w:rsidRPr="004E13E9" w:rsidRDefault="0084313D" w:rsidP="008D0B51">
            <w:pPr>
              <w:jc w:val="both"/>
              <w:rPr>
                <w:rFonts w:ascii="Cambria" w:hAnsi="Cambria"/>
                <w:color w:val="auto"/>
                <w:sz w:val="20"/>
                <w:szCs w:val="20"/>
              </w:rPr>
            </w:pPr>
          </w:p>
        </w:tc>
      </w:tr>
      <w:tr w:rsidR="003C1AE0" w:rsidRPr="006A2397" w14:paraId="6B7D41F4" w14:textId="77777777" w:rsidTr="003C1AE0">
        <w:tc>
          <w:tcPr>
            <w:tcW w:w="453" w:type="dxa"/>
          </w:tcPr>
          <w:p w14:paraId="0D6327BE" w14:textId="77777777" w:rsidR="0084313D" w:rsidRPr="004E13E9" w:rsidRDefault="0084313D" w:rsidP="008D0B51">
            <w:pPr>
              <w:jc w:val="both"/>
              <w:rPr>
                <w:rFonts w:ascii="Cambria" w:hAnsi="Cambria"/>
                <w:i/>
                <w:color w:val="auto"/>
                <w:sz w:val="20"/>
                <w:szCs w:val="20"/>
              </w:rPr>
            </w:pPr>
          </w:p>
        </w:tc>
        <w:tc>
          <w:tcPr>
            <w:tcW w:w="1952" w:type="dxa"/>
          </w:tcPr>
          <w:p w14:paraId="2FF85CBF" w14:textId="77777777" w:rsidR="0084313D" w:rsidRPr="004E13E9" w:rsidRDefault="0084313D" w:rsidP="008D0B51">
            <w:pPr>
              <w:jc w:val="both"/>
              <w:rPr>
                <w:rFonts w:ascii="Cambria" w:hAnsi="Cambria"/>
                <w:i/>
                <w:color w:val="auto"/>
                <w:sz w:val="20"/>
                <w:szCs w:val="20"/>
              </w:rPr>
            </w:pPr>
            <w:r w:rsidRPr="004E13E9">
              <w:rPr>
                <w:rFonts w:ascii="Cambria" w:hAnsi="Cambria"/>
                <w:i/>
                <w:color w:val="auto"/>
                <w:sz w:val="20"/>
                <w:szCs w:val="20"/>
              </w:rPr>
              <w:t>Autres exigences, telles que :</w:t>
            </w:r>
          </w:p>
          <w:p w14:paraId="660AD21E" w14:textId="77777777" w:rsidR="0084313D" w:rsidRPr="004E13E9" w:rsidRDefault="0084313D" w:rsidP="008D0B51">
            <w:pPr>
              <w:jc w:val="both"/>
              <w:rPr>
                <w:rFonts w:ascii="Cambria" w:hAnsi="Cambria"/>
                <w:i/>
                <w:color w:val="auto"/>
                <w:sz w:val="20"/>
                <w:szCs w:val="20"/>
              </w:rPr>
            </w:pPr>
            <w:r w:rsidRPr="004E13E9">
              <w:rPr>
                <w:rFonts w:ascii="Cambria" w:hAnsi="Cambria"/>
                <w:i/>
                <w:color w:val="auto"/>
                <w:sz w:val="20"/>
                <w:szCs w:val="20"/>
              </w:rPr>
              <w:t>programme de marquage (paragraphe 44), etc.</w:t>
            </w:r>
          </w:p>
        </w:tc>
        <w:tc>
          <w:tcPr>
            <w:tcW w:w="3402" w:type="dxa"/>
          </w:tcPr>
          <w:p w14:paraId="482BB4B8" w14:textId="77777777" w:rsidR="0084313D" w:rsidRPr="004E13E9" w:rsidRDefault="0084313D" w:rsidP="008D0B51">
            <w:pPr>
              <w:jc w:val="both"/>
              <w:rPr>
                <w:rFonts w:ascii="Cambria" w:hAnsi="Cambria"/>
                <w:color w:val="auto"/>
                <w:sz w:val="20"/>
                <w:szCs w:val="20"/>
              </w:rPr>
            </w:pPr>
          </w:p>
        </w:tc>
        <w:tc>
          <w:tcPr>
            <w:tcW w:w="2552" w:type="dxa"/>
          </w:tcPr>
          <w:p w14:paraId="4FC0DF4B" w14:textId="77777777" w:rsidR="0084313D" w:rsidRPr="004E13E9" w:rsidRDefault="0084313D" w:rsidP="008D0B51">
            <w:pPr>
              <w:jc w:val="both"/>
              <w:rPr>
                <w:rFonts w:ascii="Cambria" w:hAnsi="Cambria"/>
                <w:color w:val="auto"/>
                <w:sz w:val="20"/>
                <w:szCs w:val="20"/>
              </w:rPr>
            </w:pPr>
          </w:p>
        </w:tc>
        <w:tc>
          <w:tcPr>
            <w:tcW w:w="701" w:type="dxa"/>
          </w:tcPr>
          <w:p w14:paraId="35432207" w14:textId="77777777" w:rsidR="0084313D" w:rsidRPr="004E13E9" w:rsidRDefault="0084313D" w:rsidP="008D0B51">
            <w:pPr>
              <w:jc w:val="both"/>
              <w:rPr>
                <w:rFonts w:ascii="Cambria" w:hAnsi="Cambria"/>
                <w:color w:val="auto"/>
                <w:sz w:val="20"/>
                <w:szCs w:val="20"/>
              </w:rPr>
            </w:pPr>
          </w:p>
        </w:tc>
      </w:tr>
    </w:tbl>
    <w:p w14:paraId="32992399" w14:textId="666073F0" w:rsidR="0084313D" w:rsidRPr="004E13E9" w:rsidRDefault="0084313D" w:rsidP="008D0B51">
      <w:pPr>
        <w:jc w:val="both"/>
        <w:rPr>
          <w:b/>
          <w:i/>
          <w:iCs/>
          <w:lang w:val="fr-FR"/>
        </w:rPr>
      </w:pPr>
      <w:r w:rsidRPr="004E13E9">
        <w:rPr>
          <w:b/>
          <w:i/>
          <w:iCs/>
          <w:lang w:val="fr-FR"/>
        </w:rPr>
        <w:t>1e) Ports désignés (paragraphe 80)</w:t>
      </w:r>
    </w:p>
    <w:p w14:paraId="37F781A5" w14:textId="77777777" w:rsidR="0084313D" w:rsidRPr="004E13E9" w:rsidRDefault="0084313D" w:rsidP="008D0B51">
      <w:pPr>
        <w:jc w:val="both"/>
        <w:rPr>
          <w:b/>
          <w:lang w:val="fr-FR" w:eastAsia="ja-JP"/>
        </w:rPr>
      </w:pPr>
    </w:p>
    <w:p w14:paraId="2D356159" w14:textId="77777777" w:rsidR="0084313D" w:rsidRPr="004E13E9" w:rsidRDefault="0084313D" w:rsidP="00AC08E4">
      <w:pPr>
        <w:jc w:val="both"/>
        <w:rPr>
          <w:rFonts w:cstheme="majorBidi"/>
          <w:lang w:val="fr-FR"/>
        </w:rPr>
      </w:pPr>
      <w:r w:rsidRPr="004E13E9">
        <w:rPr>
          <w:rFonts w:cstheme="majorBidi"/>
          <w:lang w:val="fr-FR"/>
        </w:rPr>
        <w:t>Les ports désignés pour le débarquement du thon rouge sont :</w:t>
      </w:r>
    </w:p>
    <w:p w14:paraId="73E454F7" w14:textId="77777777" w:rsidR="0084313D" w:rsidRPr="004E13E9" w:rsidRDefault="0084313D" w:rsidP="008D0B51">
      <w:pPr>
        <w:ind w:firstLine="840"/>
        <w:jc w:val="both"/>
        <w:rPr>
          <w:rFonts w:cstheme="majorBidi"/>
          <w:lang w:val="fr-FR"/>
        </w:rPr>
      </w:pPr>
    </w:p>
    <w:p w14:paraId="199C8C6E" w14:textId="77777777" w:rsidR="0084313D" w:rsidRPr="004E13E9" w:rsidRDefault="0084313D" w:rsidP="00487A5C">
      <w:pPr>
        <w:pStyle w:val="ListParagraph"/>
        <w:widowControl w:val="0"/>
        <w:numPr>
          <w:ilvl w:val="0"/>
          <w:numId w:val="38"/>
        </w:numPr>
        <w:spacing w:after="0" w:line="240" w:lineRule="auto"/>
        <w:jc w:val="both"/>
        <w:rPr>
          <w:rFonts w:ascii="Cambria" w:hAnsi="Cambria" w:cstheme="majorBidi"/>
          <w:sz w:val="20"/>
          <w:szCs w:val="20"/>
        </w:rPr>
      </w:pPr>
      <w:r w:rsidRPr="004E13E9">
        <w:rPr>
          <w:rFonts w:ascii="Cambria" w:hAnsi="Cambria" w:cstheme="majorBidi"/>
          <w:sz w:val="20"/>
          <w:szCs w:val="20"/>
        </w:rPr>
        <w:t xml:space="preserve"> Le port autonome de Nouadhibou (PAN),</w:t>
      </w:r>
    </w:p>
    <w:p w14:paraId="25C425D0" w14:textId="77777777" w:rsidR="0084313D" w:rsidRPr="004E13E9" w:rsidRDefault="0084313D" w:rsidP="00487A5C">
      <w:pPr>
        <w:pStyle w:val="ListParagraph"/>
        <w:widowControl w:val="0"/>
        <w:numPr>
          <w:ilvl w:val="0"/>
          <w:numId w:val="38"/>
        </w:numPr>
        <w:spacing w:after="0" w:line="240" w:lineRule="auto"/>
        <w:jc w:val="both"/>
        <w:rPr>
          <w:rFonts w:ascii="Cambria" w:hAnsi="Cambria" w:cstheme="majorBidi"/>
          <w:sz w:val="20"/>
          <w:szCs w:val="20"/>
        </w:rPr>
      </w:pPr>
      <w:r w:rsidRPr="004E13E9">
        <w:rPr>
          <w:rFonts w:ascii="Cambria" w:hAnsi="Cambria" w:cstheme="majorBidi"/>
          <w:sz w:val="20"/>
          <w:szCs w:val="20"/>
        </w:rPr>
        <w:t xml:space="preserve"> Le port autonome de Nouakchott </w:t>
      </w:r>
    </w:p>
    <w:p w14:paraId="70EB6BD5" w14:textId="77777777" w:rsidR="0084313D" w:rsidRPr="004E13E9" w:rsidRDefault="0084313D" w:rsidP="008D0B51">
      <w:pPr>
        <w:jc w:val="both"/>
        <w:rPr>
          <w:b/>
          <w:lang w:eastAsia="ja-JP"/>
        </w:rPr>
      </w:pPr>
    </w:p>
    <w:p w14:paraId="1294D154" w14:textId="77777777" w:rsidR="0084313D" w:rsidRPr="004E13E9" w:rsidRDefault="0084313D" w:rsidP="008D0B51">
      <w:pPr>
        <w:jc w:val="both"/>
        <w:rPr>
          <w:b/>
          <w:lang w:eastAsia="ja-JP"/>
        </w:rPr>
      </w:pPr>
    </w:p>
    <w:p w14:paraId="722F3C3C" w14:textId="77777777" w:rsidR="0084313D" w:rsidRPr="004E13E9" w:rsidRDefault="0084313D" w:rsidP="008D0B51">
      <w:pPr>
        <w:ind w:left="426" w:hanging="426"/>
        <w:jc w:val="both"/>
        <w:rPr>
          <w:b/>
          <w:lang w:val="fr-FR"/>
        </w:rPr>
      </w:pPr>
      <w:r w:rsidRPr="004E13E9">
        <w:rPr>
          <w:b/>
          <w:lang w:val="fr-FR"/>
        </w:rPr>
        <w:t>2.</w:t>
      </w:r>
      <w:r w:rsidRPr="004E13E9">
        <w:rPr>
          <w:b/>
          <w:lang w:val="fr-FR"/>
        </w:rPr>
        <w:tab/>
        <w:t>Plan annuel de gestion de la capacité de pêche (paragraphes 14-21)</w:t>
      </w:r>
    </w:p>
    <w:p w14:paraId="1926B6E5" w14:textId="77777777" w:rsidR="0084313D" w:rsidRPr="004E13E9" w:rsidRDefault="0084313D" w:rsidP="008D0B51">
      <w:pPr>
        <w:jc w:val="both"/>
        <w:rPr>
          <w:b/>
          <w:lang w:val="fr-FR"/>
        </w:rPr>
      </w:pPr>
    </w:p>
    <w:p w14:paraId="7D4334A6" w14:textId="77777777" w:rsidR="0084313D" w:rsidRPr="004E13E9" w:rsidRDefault="0084313D" w:rsidP="008D0B51">
      <w:pPr>
        <w:autoSpaceDE w:val="0"/>
        <w:autoSpaceDN w:val="0"/>
        <w:adjustRightInd w:val="0"/>
        <w:ind w:right="-2"/>
        <w:jc w:val="both"/>
        <w:rPr>
          <w:rFonts w:cstheme="majorBidi"/>
          <w:lang w:val="fr-FR"/>
        </w:rPr>
      </w:pPr>
      <w:r w:rsidRPr="004E13E9">
        <w:rPr>
          <w:rFonts w:cstheme="majorBidi"/>
          <w:lang w:val="fr-FR"/>
        </w:rPr>
        <w:t xml:space="preserve">La quantité totale de thon pouvant être pêchée au cours de la saison de pêche 2026 est de 55 tonnes, qui seront transférées vers la </w:t>
      </w:r>
      <w:r w:rsidRPr="004E13E9">
        <w:rPr>
          <w:lang w:val="fr-FR"/>
        </w:rPr>
        <w:t>Türkiye</w:t>
      </w:r>
      <w:r w:rsidRPr="004E13E9">
        <w:rPr>
          <w:rFonts w:cstheme="majorBidi"/>
          <w:lang w:val="fr-FR"/>
        </w:rPr>
        <w:t>.</w:t>
      </w:r>
    </w:p>
    <w:p w14:paraId="1647ACC2" w14:textId="77777777" w:rsidR="0084313D" w:rsidRPr="004E13E9" w:rsidRDefault="0084313D" w:rsidP="008D0B51">
      <w:pPr>
        <w:autoSpaceDE w:val="0"/>
        <w:autoSpaceDN w:val="0"/>
        <w:adjustRightInd w:val="0"/>
        <w:ind w:right="-2"/>
        <w:jc w:val="both"/>
        <w:rPr>
          <w:rFonts w:cstheme="majorBidi"/>
          <w:lang w:val="fr-FR"/>
        </w:rPr>
      </w:pPr>
    </w:p>
    <w:p w14:paraId="56BB4A0B" w14:textId="77777777" w:rsidR="0084313D" w:rsidRPr="004E13E9" w:rsidRDefault="0084313D" w:rsidP="008D0B51">
      <w:pPr>
        <w:autoSpaceDE w:val="0"/>
        <w:autoSpaceDN w:val="0"/>
        <w:adjustRightInd w:val="0"/>
        <w:ind w:right="-2"/>
        <w:jc w:val="both"/>
        <w:rPr>
          <w:lang w:val="fr-FR" w:eastAsia="ja-JP"/>
        </w:rPr>
      </w:pPr>
      <w:r w:rsidRPr="004E13E9">
        <w:rPr>
          <w:lang w:val="fr-FR" w:eastAsia="ja-JP"/>
        </w:rPr>
        <w:t>Le quota de pêche total (55 tonnes) de la Mauritanie sera transféré au navire de pêche battant pavillon turc dont les détails sont donnés ci-dessous ;</w:t>
      </w:r>
    </w:p>
    <w:p w14:paraId="6A147158" w14:textId="77777777" w:rsidR="0084313D" w:rsidRPr="004E13E9" w:rsidRDefault="0084313D" w:rsidP="008D0B51">
      <w:pPr>
        <w:autoSpaceDE w:val="0"/>
        <w:autoSpaceDN w:val="0"/>
        <w:adjustRightInd w:val="0"/>
        <w:ind w:right="-2"/>
        <w:jc w:val="both"/>
        <w:rPr>
          <w:lang w:val="fr-FR" w:eastAsia="ja-JP"/>
        </w:rPr>
      </w:pPr>
    </w:p>
    <w:p w14:paraId="2D4D25A5" w14:textId="77777777" w:rsidR="0084313D" w:rsidRPr="004E13E9" w:rsidRDefault="0084313D" w:rsidP="008D0B51">
      <w:pPr>
        <w:autoSpaceDE w:val="0"/>
        <w:autoSpaceDN w:val="0"/>
        <w:adjustRightInd w:val="0"/>
        <w:ind w:right="-2"/>
        <w:jc w:val="both"/>
        <w:rPr>
          <w:lang w:val="fr-FR" w:eastAsia="ja-JP"/>
        </w:rPr>
      </w:pPr>
      <w:r w:rsidRPr="004E13E9">
        <w:rPr>
          <w:lang w:val="fr-FR" w:eastAsia="ja-JP"/>
        </w:rPr>
        <w:t>AT000TUR00040 – TUNCAY SAGUN-6</w:t>
      </w:r>
    </w:p>
    <w:p w14:paraId="00236DCC" w14:textId="06075631" w:rsidR="0084313D" w:rsidRPr="004E13E9" w:rsidRDefault="0084313D" w:rsidP="008D0B51">
      <w:pPr>
        <w:jc w:val="both"/>
        <w:rPr>
          <w:b/>
          <w:lang w:val="fr-FR"/>
        </w:rPr>
      </w:pPr>
    </w:p>
    <w:p w14:paraId="38BB3790" w14:textId="77777777" w:rsidR="003C1AE0" w:rsidRPr="004E13E9" w:rsidRDefault="003C1AE0" w:rsidP="008D0B51">
      <w:pPr>
        <w:jc w:val="both"/>
        <w:rPr>
          <w:b/>
          <w:lang w:val="fr-FR"/>
        </w:rPr>
      </w:pPr>
    </w:p>
    <w:p w14:paraId="6A37C9C1" w14:textId="77777777" w:rsidR="0084313D" w:rsidRPr="004E13E9" w:rsidRDefault="0084313D" w:rsidP="0084313D">
      <w:pPr>
        <w:ind w:left="426" w:hanging="426"/>
        <w:rPr>
          <w:b/>
          <w:lang w:val="fr-FR"/>
        </w:rPr>
      </w:pPr>
      <w:r w:rsidRPr="004E13E9">
        <w:rPr>
          <w:b/>
          <w:lang w:val="fr-FR"/>
        </w:rPr>
        <w:t>3.</w:t>
      </w:r>
      <w:r w:rsidRPr="004E13E9">
        <w:rPr>
          <w:b/>
          <w:lang w:val="fr-FR"/>
        </w:rPr>
        <w:tab/>
        <w:t xml:space="preserve">Plan annuel de gestion de l’élevage (paragraphes </w:t>
      </w:r>
      <w:r w:rsidRPr="004E13E9">
        <w:rPr>
          <w:rStyle w:val="Hyperlink"/>
          <w:u w:val="none"/>
          <w:lang w:val="fr-FR"/>
        </w:rPr>
        <w:t>22 et 23</w:t>
      </w:r>
      <w:r w:rsidRPr="004E13E9">
        <w:rPr>
          <w:b/>
          <w:lang w:val="fr-FR"/>
        </w:rPr>
        <w:t>), le cas échéant</w:t>
      </w:r>
    </w:p>
    <w:p w14:paraId="7943D61D" w14:textId="77777777" w:rsidR="0084313D" w:rsidRPr="004E13E9" w:rsidRDefault="0084313D" w:rsidP="0084313D">
      <w:pPr>
        <w:rPr>
          <w:b/>
          <w:lang w:val="fr-FR"/>
        </w:rPr>
      </w:pPr>
    </w:p>
    <w:p w14:paraId="3A7A1F6E" w14:textId="77777777" w:rsidR="0084313D" w:rsidRPr="004E13E9" w:rsidRDefault="0084313D" w:rsidP="0084313D">
      <w:pPr>
        <w:autoSpaceDE w:val="0"/>
        <w:autoSpaceDN w:val="0"/>
        <w:adjustRightInd w:val="0"/>
        <w:ind w:right="-2"/>
        <w:contextualSpacing/>
        <w:rPr>
          <w:bCs/>
          <w:lang w:val="fr-FR"/>
        </w:rPr>
      </w:pPr>
      <w:r w:rsidRPr="004E13E9">
        <w:rPr>
          <w:lang w:val="fr-FR"/>
        </w:rPr>
        <w:t>Il n'existe actuellement aucune installation d'élevage de thon rouge dans les eaux mauritaniennes. Les poissons seront transférés en Türkiye à des fins d'élevage dans les pays membres de la CPC.</w:t>
      </w:r>
    </w:p>
    <w:p w14:paraId="7A149367" w14:textId="77777777" w:rsidR="0084313D" w:rsidRPr="004E13E9" w:rsidRDefault="0084313D" w:rsidP="0084313D">
      <w:pPr>
        <w:rPr>
          <w:lang w:val="fr-FR"/>
        </w:rPr>
      </w:pPr>
    </w:p>
    <w:p w14:paraId="0267CB76" w14:textId="77777777" w:rsidR="0084313D" w:rsidRPr="004E13E9" w:rsidRDefault="0084313D" w:rsidP="0084313D">
      <w:pPr>
        <w:rPr>
          <w:lang w:val="fr-FR"/>
        </w:rPr>
      </w:pPr>
    </w:p>
    <w:p w14:paraId="62F516DA" w14:textId="77777777" w:rsidR="0084313D" w:rsidRPr="004E13E9" w:rsidRDefault="0084313D" w:rsidP="0084313D">
      <w:pPr>
        <w:ind w:left="426" w:hanging="426"/>
        <w:rPr>
          <w:b/>
          <w:lang w:val="fr-FR"/>
        </w:rPr>
      </w:pPr>
      <w:r w:rsidRPr="004E13E9">
        <w:rPr>
          <w:b/>
          <w:lang w:val="fr-FR"/>
        </w:rPr>
        <w:t>4.</w:t>
      </w:r>
      <w:r w:rsidRPr="004E13E9">
        <w:rPr>
          <w:b/>
          <w:lang w:val="fr-FR"/>
        </w:rPr>
        <w:tab/>
        <w:t xml:space="preserve">Plan annuel d’aquaculture (paragraphe 10 e) de la </w:t>
      </w:r>
      <w:hyperlink r:id="rId140" w:history="1">
        <w:r w:rsidRPr="004E13E9">
          <w:rPr>
            <w:rStyle w:val="Hyperlink"/>
            <w:u w:val="none"/>
            <w:lang w:val="fr-FR"/>
          </w:rPr>
          <w:t xml:space="preserve">Rec. 25-04 </w:t>
        </w:r>
      </w:hyperlink>
      <w:r w:rsidRPr="004E13E9">
        <w:rPr>
          <w:b/>
          <w:lang w:val="fr-FR"/>
        </w:rPr>
        <w:t xml:space="preserve">conformément à la </w:t>
      </w:r>
      <w:hyperlink r:id="rId141" w:history="1">
        <w:r w:rsidRPr="004E13E9">
          <w:rPr>
            <w:rStyle w:val="Hyperlink"/>
            <w:u w:val="none"/>
            <w:lang w:val="fr-FR"/>
          </w:rPr>
          <w:t>Rec. 24-07</w:t>
        </w:r>
      </w:hyperlink>
      <w:r w:rsidRPr="004E13E9">
        <w:rPr>
          <w:b/>
          <w:lang w:val="fr-FR"/>
        </w:rPr>
        <w:t>), le cas échéant</w:t>
      </w:r>
    </w:p>
    <w:p w14:paraId="6F7A90BF" w14:textId="77777777" w:rsidR="0084313D" w:rsidRPr="004E13E9" w:rsidRDefault="0084313D" w:rsidP="0084313D">
      <w:pPr>
        <w:rPr>
          <w:bCs/>
          <w:lang w:val="fr-FR"/>
        </w:rPr>
      </w:pPr>
    </w:p>
    <w:p w14:paraId="4C0FE147" w14:textId="77777777" w:rsidR="0084313D" w:rsidRPr="004E13E9" w:rsidRDefault="0084313D" w:rsidP="0084313D">
      <w:pPr>
        <w:rPr>
          <w:bCs/>
          <w:lang w:val="fr-FR"/>
        </w:rPr>
      </w:pPr>
      <w:r w:rsidRPr="004E13E9">
        <w:rPr>
          <w:bCs/>
          <w:lang w:val="fr-FR"/>
        </w:rPr>
        <w:t>N/A</w:t>
      </w:r>
    </w:p>
    <w:p w14:paraId="18423E3B" w14:textId="77777777" w:rsidR="0084313D" w:rsidRPr="004E13E9" w:rsidRDefault="0084313D" w:rsidP="0084313D">
      <w:pPr>
        <w:ind w:left="426" w:hanging="426"/>
        <w:rPr>
          <w:b/>
          <w:lang w:val="fr-FR"/>
        </w:rPr>
      </w:pPr>
    </w:p>
    <w:p w14:paraId="405A2451" w14:textId="77777777" w:rsidR="0084313D" w:rsidRPr="004E13E9" w:rsidRDefault="0084313D" w:rsidP="0084313D">
      <w:pPr>
        <w:ind w:left="426" w:hanging="426"/>
        <w:rPr>
          <w:b/>
          <w:lang w:val="fr-FR"/>
        </w:rPr>
      </w:pPr>
    </w:p>
    <w:p w14:paraId="5D300AD2" w14:textId="77777777" w:rsidR="0084313D" w:rsidRPr="004E13E9" w:rsidRDefault="0084313D" w:rsidP="0084313D">
      <w:pPr>
        <w:ind w:left="426" w:hanging="426"/>
        <w:rPr>
          <w:b/>
          <w:lang w:val="fr-FR"/>
        </w:rPr>
      </w:pPr>
      <w:r w:rsidRPr="004E13E9">
        <w:rPr>
          <w:b/>
          <w:lang w:val="fr-FR"/>
        </w:rPr>
        <w:t xml:space="preserve">5. </w:t>
      </w:r>
      <w:r w:rsidRPr="004E13E9">
        <w:rPr>
          <w:b/>
          <w:lang w:val="fr-FR"/>
        </w:rPr>
        <w:tab/>
        <w:t>Plan de suivi, contrôle et inspection</w:t>
      </w:r>
    </w:p>
    <w:p w14:paraId="171BFA80" w14:textId="77777777" w:rsidR="0084313D" w:rsidRPr="004E13E9" w:rsidRDefault="0084313D" w:rsidP="0084313D">
      <w:pPr>
        <w:rPr>
          <w:b/>
          <w:lang w:val="fr-FR"/>
        </w:rPr>
      </w:pPr>
    </w:p>
    <w:p w14:paraId="2765BCAB" w14:textId="77777777" w:rsidR="0084313D" w:rsidRPr="004E13E9" w:rsidRDefault="0084313D" w:rsidP="0084313D">
      <w:pPr>
        <w:rPr>
          <w:b/>
          <w:i/>
          <w:iCs/>
          <w:lang w:val="fr-FR"/>
        </w:rPr>
      </w:pPr>
      <w:r w:rsidRPr="004E13E9">
        <w:rPr>
          <w:b/>
          <w:i/>
          <w:iCs/>
          <w:lang w:val="fr-FR"/>
        </w:rPr>
        <w:t>5a) Suivi, contrôle et inspection de la CPC (paragraphe 10 c)</w:t>
      </w:r>
    </w:p>
    <w:p w14:paraId="0503C07F" w14:textId="77777777" w:rsidR="0084313D" w:rsidRPr="004E13E9" w:rsidRDefault="0084313D" w:rsidP="0084313D">
      <w:pPr>
        <w:rPr>
          <w:lang w:val="fr-FR"/>
        </w:rPr>
      </w:pPr>
    </w:p>
    <w:p w14:paraId="7BFC697A" w14:textId="77777777" w:rsidR="0084313D" w:rsidRPr="004E13E9" w:rsidRDefault="0084313D" w:rsidP="0084313D">
      <w:pPr>
        <w:autoSpaceDE w:val="0"/>
        <w:autoSpaceDN w:val="0"/>
        <w:adjustRightInd w:val="0"/>
        <w:ind w:right="-2"/>
        <w:rPr>
          <w:rFonts w:cstheme="majorBidi"/>
          <w:lang w:val="fr-FR"/>
        </w:rPr>
      </w:pPr>
      <w:r w:rsidRPr="004E13E9">
        <w:rPr>
          <w:rFonts w:cstheme="majorBidi"/>
          <w:lang w:val="fr-FR"/>
        </w:rPr>
        <w:t>La majeure partie de la flotte mauritanienne est composée de petits navires côtiers aux poissons petits pélagiques, et la possibilité de capturer du thon rouge est quasi nulle, car aucun chalutier pélagique, palangrier, canneur ou madrague n'opère sous pavillon mauritanien.</w:t>
      </w:r>
    </w:p>
    <w:p w14:paraId="1D676702" w14:textId="77777777" w:rsidR="0084313D" w:rsidRPr="004E13E9" w:rsidRDefault="0084313D" w:rsidP="0084313D">
      <w:pPr>
        <w:autoSpaceDE w:val="0"/>
        <w:autoSpaceDN w:val="0"/>
        <w:adjustRightInd w:val="0"/>
        <w:ind w:right="-2"/>
        <w:rPr>
          <w:rFonts w:cstheme="majorBidi"/>
          <w:lang w:val="fr-FR"/>
        </w:rPr>
      </w:pPr>
    </w:p>
    <w:p w14:paraId="22E76A9B" w14:textId="77777777" w:rsidR="0084313D" w:rsidRPr="004E13E9" w:rsidRDefault="0084313D" w:rsidP="0084313D">
      <w:pPr>
        <w:autoSpaceDE w:val="0"/>
        <w:autoSpaceDN w:val="0"/>
        <w:adjustRightInd w:val="0"/>
        <w:ind w:right="-2"/>
        <w:rPr>
          <w:rFonts w:cstheme="majorBidi"/>
          <w:lang w:val="fr-FR"/>
        </w:rPr>
      </w:pPr>
      <w:r w:rsidRPr="004E13E9">
        <w:rPr>
          <w:rFonts w:cstheme="majorBidi"/>
          <w:lang w:val="fr-FR"/>
        </w:rPr>
        <w:t xml:space="preserve">L’autorité compétente en matière de contrôle et de suivi de l’activité de pêche est la Garde Côtes Mauritanienne (GCM) du </w:t>
      </w:r>
      <w:proofErr w:type="gramStart"/>
      <w:r w:rsidRPr="004E13E9">
        <w:rPr>
          <w:rFonts w:cstheme="majorBidi"/>
          <w:lang w:val="fr-FR"/>
        </w:rPr>
        <w:t>Ministère</w:t>
      </w:r>
      <w:proofErr w:type="gramEnd"/>
      <w:r w:rsidRPr="004E13E9">
        <w:rPr>
          <w:rFonts w:cstheme="majorBidi"/>
          <w:lang w:val="fr-FR"/>
        </w:rPr>
        <w:t xml:space="preserve"> de la Pêche, des Infrastructures Maritimes et Portuaires (MPIMP). Elle opère en étroite collaboration avec la Direction de l’Aménagement des Ressources Halieutiques et les autorités portuaires. Les points de contact désignés pour la mise en œuvre du présent plan de suivi, de contrôle et d'inspection sont les suivants :</w:t>
      </w:r>
    </w:p>
    <w:p w14:paraId="22F17C99" w14:textId="77777777" w:rsidR="0084313D" w:rsidRPr="004E13E9" w:rsidRDefault="0084313D" w:rsidP="0084313D">
      <w:pPr>
        <w:autoSpaceDE w:val="0"/>
        <w:autoSpaceDN w:val="0"/>
        <w:adjustRightInd w:val="0"/>
        <w:ind w:right="-2"/>
        <w:rPr>
          <w:rFonts w:cstheme="majorBidi"/>
          <w:lang w:val="fr-FR"/>
        </w:rPr>
      </w:pPr>
    </w:p>
    <w:p w14:paraId="2545CD94" w14:textId="77777777" w:rsidR="0084313D" w:rsidRPr="004E13E9" w:rsidRDefault="0084313D" w:rsidP="0084313D">
      <w:pPr>
        <w:autoSpaceDE w:val="0"/>
        <w:autoSpaceDN w:val="0"/>
        <w:adjustRightInd w:val="0"/>
        <w:ind w:right="-2"/>
        <w:rPr>
          <w:rFonts w:cstheme="majorBidi"/>
          <w:lang w:val="fr-FR"/>
        </w:rPr>
      </w:pPr>
    </w:p>
    <w:tbl>
      <w:tblPr>
        <w:tblStyle w:val="TableGrid"/>
        <w:tblW w:w="0" w:type="auto"/>
        <w:tblLook w:val="04A0" w:firstRow="1" w:lastRow="0" w:firstColumn="1" w:lastColumn="0" w:noHBand="0" w:noVBand="1"/>
      </w:tblPr>
      <w:tblGrid>
        <w:gridCol w:w="4530"/>
        <w:gridCol w:w="4530"/>
      </w:tblGrid>
      <w:tr w:rsidR="0084313D" w:rsidRPr="006A2397" w14:paraId="66DE0532" w14:textId="77777777" w:rsidTr="00E62E84">
        <w:tc>
          <w:tcPr>
            <w:tcW w:w="9060" w:type="dxa"/>
            <w:gridSpan w:val="2"/>
          </w:tcPr>
          <w:p w14:paraId="01EC71FF" w14:textId="77777777" w:rsidR="0084313D" w:rsidRPr="004E13E9" w:rsidRDefault="0084313D" w:rsidP="00E62E84">
            <w:pPr>
              <w:autoSpaceDE w:val="0"/>
              <w:autoSpaceDN w:val="0"/>
              <w:adjustRightInd w:val="0"/>
              <w:ind w:right="-2"/>
              <w:jc w:val="center"/>
              <w:rPr>
                <w:rFonts w:ascii="Cambria" w:hAnsi="Cambria" w:cstheme="majorBidi"/>
                <w:i/>
                <w:iCs/>
                <w:color w:val="auto"/>
                <w:sz w:val="20"/>
                <w:szCs w:val="20"/>
              </w:rPr>
            </w:pPr>
            <w:r w:rsidRPr="004E13E9">
              <w:rPr>
                <w:rFonts w:ascii="Cambria" w:hAnsi="Cambria" w:cstheme="majorBidi"/>
                <w:i/>
                <w:iCs/>
                <w:color w:val="auto"/>
                <w:sz w:val="20"/>
                <w:szCs w:val="20"/>
              </w:rPr>
              <w:t>Liste des points de contact</w:t>
            </w:r>
          </w:p>
        </w:tc>
      </w:tr>
      <w:tr w:rsidR="0084313D" w:rsidRPr="004E13E9" w14:paraId="39F61596" w14:textId="77777777" w:rsidTr="00E62E84">
        <w:tc>
          <w:tcPr>
            <w:tcW w:w="4530" w:type="dxa"/>
          </w:tcPr>
          <w:p w14:paraId="6E7A4CE5" w14:textId="77777777" w:rsidR="0084313D" w:rsidRPr="004E13E9" w:rsidRDefault="0084313D" w:rsidP="00E62E84">
            <w:pPr>
              <w:autoSpaceDE w:val="0"/>
              <w:autoSpaceDN w:val="0"/>
              <w:adjustRightInd w:val="0"/>
              <w:ind w:right="-2"/>
              <w:rPr>
                <w:rFonts w:ascii="Cambria" w:hAnsi="Cambria" w:cstheme="majorBidi"/>
                <w:color w:val="auto"/>
                <w:sz w:val="20"/>
                <w:szCs w:val="20"/>
              </w:rPr>
            </w:pPr>
            <w:r w:rsidRPr="004E13E9">
              <w:rPr>
                <w:rFonts w:ascii="Cambria" w:hAnsi="Cambria" w:cstheme="majorBidi"/>
                <w:color w:val="auto"/>
                <w:sz w:val="20"/>
                <w:szCs w:val="20"/>
              </w:rPr>
              <w:t>Lamine CAMARA</w:t>
            </w:r>
          </w:p>
        </w:tc>
        <w:tc>
          <w:tcPr>
            <w:tcW w:w="4530" w:type="dxa"/>
          </w:tcPr>
          <w:p w14:paraId="64E4D617" w14:textId="77777777" w:rsidR="0084313D" w:rsidRPr="004E13E9" w:rsidRDefault="0084313D" w:rsidP="00E62E84">
            <w:pPr>
              <w:autoSpaceDE w:val="0"/>
              <w:autoSpaceDN w:val="0"/>
              <w:adjustRightInd w:val="0"/>
              <w:ind w:right="-2"/>
              <w:rPr>
                <w:rFonts w:ascii="Cambria" w:hAnsi="Cambria" w:cstheme="majorBidi"/>
                <w:color w:val="auto"/>
                <w:sz w:val="20"/>
                <w:szCs w:val="20"/>
              </w:rPr>
            </w:pPr>
            <w:hyperlink r:id="rId142" w:history="1">
              <w:r w:rsidRPr="004E13E9">
                <w:rPr>
                  <w:rStyle w:val="Hyperlink"/>
                  <w:rFonts w:ascii="Cambria" w:hAnsi="Cambria" w:cstheme="majorBidi"/>
                  <w:color w:val="auto"/>
                  <w:sz w:val="20"/>
                  <w:szCs w:val="20"/>
                  <w:u w:val="none"/>
                </w:rPr>
                <w:t>Laminecam2000@yahoo.fr</w:t>
              </w:r>
            </w:hyperlink>
          </w:p>
        </w:tc>
      </w:tr>
      <w:tr w:rsidR="0084313D" w:rsidRPr="004E13E9" w14:paraId="64781D65" w14:textId="77777777" w:rsidTr="00E62E84">
        <w:tc>
          <w:tcPr>
            <w:tcW w:w="4530" w:type="dxa"/>
          </w:tcPr>
          <w:p w14:paraId="30A6DE2E" w14:textId="77777777" w:rsidR="0084313D" w:rsidRPr="004E13E9" w:rsidRDefault="0084313D" w:rsidP="00E62E84">
            <w:pPr>
              <w:autoSpaceDE w:val="0"/>
              <w:autoSpaceDN w:val="0"/>
              <w:adjustRightInd w:val="0"/>
              <w:ind w:right="-2"/>
              <w:rPr>
                <w:rFonts w:ascii="Cambria" w:hAnsi="Cambria" w:cstheme="majorBidi"/>
                <w:color w:val="auto"/>
                <w:sz w:val="20"/>
                <w:szCs w:val="20"/>
              </w:rPr>
            </w:pPr>
            <w:r w:rsidRPr="004E13E9">
              <w:rPr>
                <w:rFonts w:ascii="Cambria" w:hAnsi="Cambria" w:cstheme="majorBidi"/>
                <w:color w:val="auto"/>
                <w:sz w:val="20"/>
                <w:szCs w:val="20"/>
              </w:rPr>
              <w:t>CV Cheikh HMOUD</w:t>
            </w:r>
          </w:p>
        </w:tc>
        <w:tc>
          <w:tcPr>
            <w:tcW w:w="4530" w:type="dxa"/>
          </w:tcPr>
          <w:p w14:paraId="0CA65784" w14:textId="77777777" w:rsidR="0084313D" w:rsidRPr="004E13E9" w:rsidRDefault="0084313D" w:rsidP="00E62E84">
            <w:pPr>
              <w:autoSpaceDE w:val="0"/>
              <w:autoSpaceDN w:val="0"/>
              <w:adjustRightInd w:val="0"/>
              <w:ind w:right="-2"/>
              <w:rPr>
                <w:rFonts w:ascii="Cambria" w:hAnsi="Cambria" w:cstheme="majorBidi"/>
                <w:color w:val="auto"/>
                <w:sz w:val="20"/>
                <w:szCs w:val="20"/>
              </w:rPr>
            </w:pPr>
            <w:r w:rsidRPr="004E13E9">
              <w:rPr>
                <w:rFonts w:ascii="Cambria" w:hAnsi="Cambria" w:cstheme="majorBidi"/>
                <w:color w:val="auto"/>
                <w:sz w:val="20"/>
                <w:szCs w:val="20"/>
              </w:rPr>
              <w:t>cheikhlehmoudhmety@gmail.com</w:t>
            </w:r>
          </w:p>
        </w:tc>
      </w:tr>
      <w:tr w:rsidR="0084313D" w:rsidRPr="004E13E9" w14:paraId="756EBEC1" w14:textId="77777777" w:rsidTr="00E62E84">
        <w:tc>
          <w:tcPr>
            <w:tcW w:w="4530" w:type="dxa"/>
          </w:tcPr>
          <w:p w14:paraId="6F0C9F9A" w14:textId="77777777" w:rsidR="0084313D" w:rsidRPr="004E13E9" w:rsidRDefault="0084313D" w:rsidP="00E62E84">
            <w:pPr>
              <w:autoSpaceDE w:val="0"/>
              <w:autoSpaceDN w:val="0"/>
              <w:adjustRightInd w:val="0"/>
              <w:ind w:right="-2"/>
              <w:rPr>
                <w:rFonts w:ascii="Cambria" w:hAnsi="Cambria" w:cstheme="majorBidi"/>
                <w:color w:val="auto"/>
                <w:sz w:val="20"/>
                <w:szCs w:val="20"/>
              </w:rPr>
            </w:pPr>
            <w:r w:rsidRPr="004E13E9">
              <w:rPr>
                <w:rFonts w:ascii="Cambria" w:hAnsi="Cambria" w:cstheme="majorBidi"/>
                <w:color w:val="auto"/>
                <w:sz w:val="20"/>
                <w:szCs w:val="20"/>
              </w:rPr>
              <w:t>Ahmed DIEH</w:t>
            </w:r>
          </w:p>
        </w:tc>
        <w:tc>
          <w:tcPr>
            <w:tcW w:w="4530" w:type="dxa"/>
          </w:tcPr>
          <w:p w14:paraId="5253D712" w14:textId="77777777" w:rsidR="0084313D" w:rsidRPr="004E13E9" w:rsidRDefault="0084313D" w:rsidP="00E62E84">
            <w:pPr>
              <w:autoSpaceDE w:val="0"/>
              <w:autoSpaceDN w:val="0"/>
              <w:adjustRightInd w:val="0"/>
              <w:ind w:right="-2"/>
              <w:rPr>
                <w:rFonts w:ascii="Cambria" w:hAnsi="Cambria" w:cstheme="majorBidi"/>
                <w:color w:val="auto"/>
                <w:sz w:val="20"/>
                <w:szCs w:val="20"/>
              </w:rPr>
            </w:pPr>
          </w:p>
        </w:tc>
      </w:tr>
    </w:tbl>
    <w:p w14:paraId="3498DD90" w14:textId="77777777" w:rsidR="0084313D" w:rsidRPr="004E13E9" w:rsidRDefault="0084313D" w:rsidP="0084313D">
      <w:pPr>
        <w:autoSpaceDE w:val="0"/>
        <w:autoSpaceDN w:val="0"/>
        <w:adjustRightInd w:val="0"/>
        <w:ind w:right="-2"/>
        <w:rPr>
          <w:rFonts w:cstheme="majorBidi"/>
        </w:rPr>
      </w:pPr>
    </w:p>
    <w:p w14:paraId="6778A312" w14:textId="77777777" w:rsidR="0084313D" w:rsidRPr="004E13E9" w:rsidRDefault="0084313D" w:rsidP="0084313D">
      <w:pPr>
        <w:ind w:left="426" w:hanging="426"/>
        <w:rPr>
          <w:b/>
          <w:i/>
          <w:iCs/>
          <w:lang w:val="fr-FR"/>
        </w:rPr>
      </w:pPr>
      <w:r w:rsidRPr="004E13E9">
        <w:rPr>
          <w:b/>
          <w:i/>
          <w:iCs/>
          <w:lang w:val="fr-FR"/>
        </w:rPr>
        <w:t>5b) Programme d’inspection internationale conjointe (JIS) (paragraphes 232-235)</w:t>
      </w:r>
    </w:p>
    <w:p w14:paraId="1A14C780" w14:textId="77777777" w:rsidR="0084313D" w:rsidRPr="004E13E9" w:rsidRDefault="0084313D" w:rsidP="0084313D">
      <w:pPr>
        <w:rPr>
          <w:b/>
          <w:i/>
          <w:iCs/>
          <w:lang w:val="fr-FR"/>
        </w:rPr>
      </w:pPr>
    </w:p>
    <w:p w14:paraId="2A364ACD" w14:textId="77777777" w:rsidR="0084313D" w:rsidRPr="004E13E9" w:rsidRDefault="0084313D" w:rsidP="0084313D">
      <w:pPr>
        <w:autoSpaceDE w:val="0"/>
        <w:autoSpaceDN w:val="0"/>
        <w:adjustRightInd w:val="0"/>
        <w:ind w:right="-569"/>
        <w:rPr>
          <w:rFonts w:cstheme="majorBidi"/>
          <w:lang w:val="fr-FR" w:eastAsia="ja-JP"/>
        </w:rPr>
      </w:pPr>
      <w:r w:rsidRPr="004E13E9">
        <w:rPr>
          <w:rFonts w:cstheme="majorBidi"/>
          <w:lang w:val="fr-FR" w:eastAsia="ja-JP"/>
        </w:rPr>
        <w:t>Aucun système conjoint d'inspection internationale n'est appliqué.</w:t>
      </w:r>
    </w:p>
    <w:p w14:paraId="7FE05104" w14:textId="77777777" w:rsidR="0084313D" w:rsidRPr="004E13E9" w:rsidRDefault="0084313D" w:rsidP="0084313D">
      <w:pPr>
        <w:rPr>
          <w:i/>
          <w:lang w:val="fr-FR"/>
        </w:rPr>
      </w:pPr>
    </w:p>
    <w:p w14:paraId="5B910FA5" w14:textId="77777777" w:rsidR="0084313D" w:rsidRPr="004E13E9" w:rsidRDefault="0084313D" w:rsidP="0084313D">
      <w:pPr>
        <w:rPr>
          <w:i/>
          <w:lang w:val="fr-FR"/>
        </w:rPr>
      </w:pPr>
    </w:p>
    <w:p w14:paraId="67121D42" w14:textId="77777777" w:rsidR="0084313D" w:rsidRPr="004E13E9" w:rsidRDefault="0084313D" w:rsidP="0084313D">
      <w:pPr>
        <w:ind w:left="426" w:hanging="426"/>
        <w:rPr>
          <w:b/>
          <w:lang w:val="fr-FR"/>
        </w:rPr>
      </w:pPr>
      <w:r w:rsidRPr="004E13E9">
        <w:rPr>
          <w:b/>
          <w:lang w:val="fr-FR"/>
        </w:rPr>
        <w:t>6.</w:t>
      </w:r>
      <w:r w:rsidRPr="004E13E9">
        <w:rPr>
          <w:b/>
          <w:lang w:val="fr-FR"/>
        </w:rPr>
        <w:tab/>
        <w:t>Autres</w:t>
      </w:r>
    </w:p>
    <w:p w14:paraId="3CF95188" w14:textId="77777777" w:rsidR="0084313D" w:rsidRPr="004E13E9" w:rsidRDefault="0084313D" w:rsidP="0084313D">
      <w:pPr>
        <w:rPr>
          <w:b/>
          <w:lang w:val="fr-FR"/>
        </w:rPr>
      </w:pPr>
    </w:p>
    <w:p w14:paraId="43199A56" w14:textId="193068A4" w:rsidR="0084313D" w:rsidRPr="004E13E9" w:rsidRDefault="0084313D" w:rsidP="003C1AE0">
      <w:pPr>
        <w:autoSpaceDE w:val="0"/>
        <w:autoSpaceDN w:val="0"/>
        <w:adjustRightInd w:val="0"/>
        <w:ind w:right="-569"/>
        <w:rPr>
          <w:i/>
          <w:lang w:val="fr-FR"/>
        </w:rPr>
      </w:pPr>
      <w:r w:rsidRPr="004E13E9">
        <w:rPr>
          <w:rFonts w:cs="Simplified Arabic"/>
          <w:iCs/>
          <w:lang w:val="fr-FR"/>
        </w:rPr>
        <w:t>La Mauritanie n'a rien d'autre à déclarer.</w:t>
      </w:r>
      <w:r w:rsidRPr="004E13E9">
        <w:rPr>
          <w:lang w:val="fr-FR"/>
        </w:rPr>
        <w:br w:type="page"/>
      </w:r>
    </w:p>
    <w:p w14:paraId="4842B2AD" w14:textId="77777777" w:rsidR="0084313D" w:rsidRPr="004E13E9" w:rsidRDefault="0084313D" w:rsidP="0084313D">
      <w:pPr>
        <w:rPr>
          <w:i/>
          <w:lang w:val="fr-FR"/>
        </w:rPr>
        <w:sectPr w:rsidR="0084313D" w:rsidRPr="004E13E9" w:rsidSect="0084313D">
          <w:headerReference w:type="default" r:id="rId143"/>
          <w:footerReference w:type="default" r:id="rId144"/>
          <w:headerReference w:type="first" r:id="rId145"/>
          <w:footerReference w:type="first" r:id="rId146"/>
          <w:pgSz w:w="11906" w:h="16838" w:code="9"/>
          <w:pgMar w:top="1418" w:right="1418" w:bottom="1418" w:left="1418" w:header="851" w:footer="1134" w:gutter="0"/>
          <w:cols w:space="425"/>
          <w:docGrid w:linePitch="360"/>
        </w:sectPr>
      </w:pPr>
    </w:p>
    <w:p w14:paraId="41CD8418" w14:textId="77777777" w:rsidR="0084313D" w:rsidRPr="004E13E9" w:rsidRDefault="0084313D" w:rsidP="0084313D">
      <w:pPr>
        <w:rPr>
          <w:b/>
          <w:bCs/>
        </w:rPr>
      </w:pPr>
      <w:r w:rsidRPr="004E13E9">
        <w:rPr>
          <w:b/>
          <w:bCs/>
        </w:rPr>
        <w:t xml:space="preserve">Tableau de la </w:t>
      </w:r>
      <w:proofErr w:type="spellStart"/>
      <w:r w:rsidRPr="004E13E9">
        <w:rPr>
          <w:b/>
          <w:bCs/>
        </w:rPr>
        <w:t>capacité</w:t>
      </w:r>
      <w:proofErr w:type="spellEnd"/>
    </w:p>
    <w:tbl>
      <w:tblPr>
        <w:tblW w:w="14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9"/>
        <w:gridCol w:w="1875"/>
        <w:gridCol w:w="667"/>
        <w:gridCol w:w="636"/>
        <w:gridCol w:w="636"/>
        <w:gridCol w:w="599"/>
        <w:gridCol w:w="599"/>
        <w:gridCol w:w="599"/>
        <w:gridCol w:w="599"/>
        <w:gridCol w:w="264"/>
        <w:gridCol w:w="599"/>
        <w:gridCol w:w="599"/>
        <w:gridCol w:w="599"/>
        <w:gridCol w:w="599"/>
        <w:gridCol w:w="599"/>
        <w:gridCol w:w="599"/>
        <w:gridCol w:w="599"/>
      </w:tblGrid>
      <w:tr w:rsidR="0084313D" w:rsidRPr="004E13E9" w14:paraId="4A7FA0C0" w14:textId="77777777" w:rsidTr="00E62E84">
        <w:trPr>
          <w:trHeight w:val="20"/>
        </w:trPr>
        <w:tc>
          <w:tcPr>
            <w:tcW w:w="0" w:type="auto"/>
            <w:noWrap/>
            <w:vAlign w:val="center"/>
            <w:hideMark/>
          </w:tcPr>
          <w:p w14:paraId="0451601E" w14:textId="77777777" w:rsidR="0084313D" w:rsidRPr="004E13E9" w:rsidRDefault="0084313D" w:rsidP="00E62E84">
            <w:pPr>
              <w:jc w:val="center"/>
              <w:rPr>
                <w:rFonts w:eastAsia="Times New Roman" w:cs="Calibri"/>
                <w:i/>
                <w:iCs/>
                <w:kern w:val="2"/>
                <w:sz w:val="16"/>
                <w:szCs w:val="16"/>
                <w:lang w:eastAsia="ko-KR"/>
                <w14:ligatures w14:val="standardContextual"/>
              </w:rPr>
            </w:pPr>
            <w:r w:rsidRPr="004E13E9">
              <w:rPr>
                <w:rFonts w:eastAsia="Malgun Gothic"/>
                <w:i/>
                <w:kern w:val="2"/>
                <w:sz w:val="16"/>
                <w:szCs w:val="16"/>
                <w:lang w:eastAsia="ko-KR"/>
                <w14:ligatures w14:val="standardContextual"/>
              </w:rPr>
              <w:t xml:space="preserve">Type de </w:t>
            </w:r>
            <w:proofErr w:type="spellStart"/>
            <w:r w:rsidRPr="004E13E9">
              <w:rPr>
                <w:rFonts w:eastAsia="Malgun Gothic"/>
                <w:i/>
                <w:kern w:val="2"/>
                <w:sz w:val="16"/>
                <w:szCs w:val="16"/>
                <w:lang w:eastAsia="ko-KR"/>
                <w14:ligatures w14:val="standardContextual"/>
              </w:rPr>
              <w:t>navires</w:t>
            </w:r>
            <w:proofErr w:type="spellEnd"/>
            <w:r w:rsidRPr="004E13E9">
              <w:rPr>
                <w:rFonts w:eastAsia="Malgun Gothic"/>
                <w:i/>
                <w:kern w:val="2"/>
                <w:sz w:val="16"/>
                <w:szCs w:val="16"/>
                <w:lang w:eastAsia="ko-KR"/>
                <w14:ligatures w14:val="standardContextual"/>
              </w:rPr>
              <w:t xml:space="preserve"> </w:t>
            </w:r>
            <w:proofErr w:type="spellStart"/>
            <w:r w:rsidRPr="004E13E9">
              <w:rPr>
                <w:rFonts w:eastAsia="Malgun Gothic"/>
                <w:i/>
                <w:kern w:val="2"/>
                <w:sz w:val="16"/>
                <w:szCs w:val="16"/>
                <w:lang w:eastAsia="ko-KR"/>
                <w14:ligatures w14:val="standardContextual"/>
              </w:rPr>
              <w:t>thoniers</w:t>
            </w:r>
            <w:proofErr w:type="spellEnd"/>
          </w:p>
        </w:tc>
        <w:tc>
          <w:tcPr>
            <w:tcW w:w="1874" w:type="dxa"/>
            <w:noWrap/>
            <w:vAlign w:val="center"/>
            <w:hideMark/>
          </w:tcPr>
          <w:p w14:paraId="40E118BE" w14:textId="77777777" w:rsidR="0084313D" w:rsidRPr="004E13E9" w:rsidRDefault="0084313D" w:rsidP="00E62E84">
            <w:pPr>
              <w:jc w:val="center"/>
              <w:rPr>
                <w:rFonts w:eastAsia="Times New Roman" w:cs="Calibri"/>
                <w:kern w:val="2"/>
                <w:sz w:val="16"/>
                <w:szCs w:val="16"/>
                <w:lang w:eastAsia="ja-JP"/>
                <w14:ligatures w14:val="standardContextual"/>
              </w:rPr>
            </w:pPr>
          </w:p>
        </w:tc>
        <w:tc>
          <w:tcPr>
            <w:tcW w:w="1878" w:type="dxa"/>
            <w:gridSpan w:val="3"/>
          </w:tcPr>
          <w:p w14:paraId="167F138F" w14:textId="77777777" w:rsidR="0084313D" w:rsidRPr="004E13E9" w:rsidRDefault="0084313D" w:rsidP="00E62E84">
            <w:pPr>
              <w:jc w:val="center"/>
              <w:rPr>
                <w:rFonts w:eastAsia="Times New Roman" w:cs="Calibri"/>
                <w:i/>
                <w:iCs/>
                <w:kern w:val="2"/>
                <w:sz w:val="16"/>
                <w:szCs w:val="16"/>
                <w:lang w:eastAsia="ko-KR"/>
                <w14:ligatures w14:val="standardContextual"/>
              </w:rPr>
            </w:pPr>
            <w:r w:rsidRPr="004E13E9">
              <w:rPr>
                <w:rFonts w:eastAsia="Malgun Gothic"/>
                <w:i/>
                <w:kern w:val="2"/>
                <w:sz w:val="16"/>
                <w:szCs w:val="16"/>
                <w:lang w:eastAsia="ko-KR"/>
                <w14:ligatures w14:val="standardContextual"/>
              </w:rPr>
              <w:t xml:space="preserve">Année de </w:t>
            </w:r>
            <w:proofErr w:type="spellStart"/>
            <w:r w:rsidRPr="004E13E9">
              <w:rPr>
                <w:rFonts w:eastAsia="Malgun Gothic"/>
                <w:i/>
                <w:kern w:val="2"/>
                <w:sz w:val="16"/>
                <w:szCs w:val="16"/>
                <w:lang w:eastAsia="ko-KR"/>
                <w14:ligatures w14:val="standardContextual"/>
              </w:rPr>
              <w:t>réf</w:t>
            </w:r>
            <w:proofErr w:type="spellEnd"/>
            <w:r w:rsidRPr="004E13E9">
              <w:rPr>
                <w:rFonts w:eastAsia="Malgun Gothic"/>
                <w:i/>
                <w:kern w:val="2"/>
                <w:sz w:val="16"/>
                <w:szCs w:val="16"/>
                <w:lang w:eastAsia="ko-KR"/>
                <w14:ligatures w14:val="standardContextual"/>
              </w:rPr>
              <w:t>.</w:t>
            </w:r>
          </w:p>
        </w:tc>
        <w:tc>
          <w:tcPr>
            <w:tcW w:w="0" w:type="auto"/>
            <w:gridSpan w:val="4"/>
            <w:vAlign w:val="center"/>
          </w:tcPr>
          <w:p w14:paraId="241E02F5" w14:textId="77777777" w:rsidR="0084313D" w:rsidRPr="004E13E9" w:rsidRDefault="0084313D" w:rsidP="00E62E84">
            <w:pPr>
              <w:jc w:val="center"/>
              <w:rPr>
                <w:rFonts w:eastAsia="Times New Roman"/>
                <w:kern w:val="2"/>
                <w:sz w:val="16"/>
                <w:szCs w:val="16"/>
                <w:lang w:eastAsia="ko-KR"/>
                <w14:ligatures w14:val="standardContextual"/>
              </w:rPr>
            </w:pPr>
            <w:r w:rsidRPr="004E13E9">
              <w:rPr>
                <w:rFonts w:eastAsia="Malgun Gothic"/>
                <w:i/>
                <w:kern w:val="2"/>
                <w:sz w:val="16"/>
                <w:szCs w:val="16"/>
                <w:lang w:eastAsia="ko-KR"/>
                <w14:ligatures w14:val="standardContextual"/>
              </w:rPr>
              <w:t xml:space="preserve">Nombre de </w:t>
            </w:r>
            <w:proofErr w:type="spellStart"/>
            <w:r w:rsidRPr="004E13E9">
              <w:rPr>
                <w:rFonts w:eastAsia="Malgun Gothic"/>
                <w:i/>
                <w:kern w:val="2"/>
                <w:sz w:val="16"/>
                <w:szCs w:val="16"/>
                <w:lang w:eastAsia="ko-KR"/>
                <w14:ligatures w14:val="standardContextual"/>
              </w:rPr>
              <w:t>navires</w:t>
            </w:r>
            <w:proofErr w:type="spellEnd"/>
          </w:p>
        </w:tc>
        <w:tc>
          <w:tcPr>
            <w:tcW w:w="0" w:type="auto"/>
            <w:shd w:val="clear" w:color="auto" w:fill="D9D9D9"/>
            <w:vAlign w:val="center"/>
            <w:hideMark/>
          </w:tcPr>
          <w:p w14:paraId="2E6438B6" w14:textId="77777777" w:rsidR="0084313D" w:rsidRPr="004E13E9" w:rsidRDefault="0084313D" w:rsidP="00E62E84">
            <w:pPr>
              <w:jc w:val="center"/>
              <w:rPr>
                <w:rFonts w:eastAsia="Times New Roman"/>
                <w:kern w:val="2"/>
                <w:sz w:val="16"/>
                <w:szCs w:val="16"/>
                <w:lang w:eastAsia="ja-JP"/>
                <w14:ligatures w14:val="standardContextual"/>
              </w:rPr>
            </w:pPr>
          </w:p>
        </w:tc>
        <w:tc>
          <w:tcPr>
            <w:tcW w:w="0" w:type="auto"/>
            <w:gridSpan w:val="3"/>
          </w:tcPr>
          <w:p w14:paraId="55E07170" w14:textId="77777777" w:rsidR="0084313D" w:rsidRPr="004E13E9" w:rsidRDefault="0084313D" w:rsidP="00E62E84">
            <w:pPr>
              <w:jc w:val="center"/>
              <w:rPr>
                <w:rFonts w:eastAsia="Times New Roman" w:cs="Calibri"/>
                <w:i/>
                <w:iCs/>
                <w:kern w:val="2"/>
                <w:sz w:val="16"/>
                <w:szCs w:val="16"/>
                <w:lang w:eastAsia="ko-KR"/>
                <w14:ligatures w14:val="standardContextual"/>
              </w:rPr>
            </w:pPr>
            <w:r w:rsidRPr="004E13E9">
              <w:rPr>
                <w:rFonts w:eastAsia="Malgun Gothic"/>
                <w:i/>
                <w:kern w:val="2"/>
                <w:sz w:val="16"/>
                <w:szCs w:val="16"/>
                <w:lang w:eastAsia="ko-KR"/>
                <w14:ligatures w14:val="standardContextual"/>
              </w:rPr>
              <w:t xml:space="preserve">Année de </w:t>
            </w:r>
            <w:proofErr w:type="spellStart"/>
            <w:r w:rsidRPr="004E13E9">
              <w:rPr>
                <w:rFonts w:eastAsia="Malgun Gothic"/>
                <w:i/>
                <w:kern w:val="2"/>
                <w:sz w:val="16"/>
                <w:szCs w:val="16"/>
                <w:lang w:eastAsia="ko-KR"/>
                <w14:ligatures w14:val="standardContextual"/>
              </w:rPr>
              <w:t>réf</w:t>
            </w:r>
            <w:proofErr w:type="spellEnd"/>
            <w:r w:rsidRPr="004E13E9">
              <w:rPr>
                <w:rFonts w:eastAsia="Malgun Gothic"/>
                <w:i/>
                <w:kern w:val="2"/>
                <w:sz w:val="16"/>
                <w:szCs w:val="16"/>
                <w:lang w:eastAsia="ko-KR"/>
                <w14:ligatures w14:val="standardContextual"/>
              </w:rPr>
              <w:t>.</w:t>
            </w:r>
          </w:p>
        </w:tc>
        <w:tc>
          <w:tcPr>
            <w:tcW w:w="0" w:type="auto"/>
            <w:gridSpan w:val="4"/>
          </w:tcPr>
          <w:p w14:paraId="1E6CAEEE" w14:textId="77777777" w:rsidR="0084313D" w:rsidRPr="004E13E9" w:rsidRDefault="0084313D" w:rsidP="00E62E84">
            <w:pPr>
              <w:jc w:val="center"/>
              <w:rPr>
                <w:rFonts w:eastAsia="Times New Roman" w:cs="Calibri"/>
                <w:i/>
                <w:iCs/>
                <w:kern w:val="2"/>
                <w:sz w:val="16"/>
                <w:szCs w:val="16"/>
                <w:lang w:eastAsia="ko-KR"/>
                <w14:ligatures w14:val="standardContextual"/>
              </w:rPr>
            </w:pPr>
            <w:proofErr w:type="spellStart"/>
            <w:r w:rsidRPr="004E13E9">
              <w:rPr>
                <w:rFonts w:eastAsia="Malgun Gothic"/>
                <w:i/>
                <w:kern w:val="2"/>
                <w:sz w:val="16"/>
                <w:szCs w:val="16"/>
                <w:lang w:eastAsia="ko-KR"/>
                <w14:ligatures w14:val="standardContextual"/>
              </w:rPr>
              <w:t>Capacité</w:t>
            </w:r>
            <w:proofErr w:type="spellEnd"/>
            <w:r w:rsidRPr="004E13E9">
              <w:rPr>
                <w:rFonts w:eastAsia="Malgun Gothic"/>
                <w:i/>
                <w:kern w:val="2"/>
                <w:sz w:val="16"/>
                <w:szCs w:val="16"/>
                <w:lang w:eastAsia="ko-KR"/>
                <w14:ligatures w14:val="standardContextual"/>
              </w:rPr>
              <w:t xml:space="preserve"> de </w:t>
            </w:r>
            <w:proofErr w:type="spellStart"/>
            <w:r w:rsidRPr="004E13E9">
              <w:rPr>
                <w:rFonts w:eastAsia="Malgun Gothic"/>
                <w:i/>
                <w:kern w:val="2"/>
                <w:sz w:val="16"/>
                <w:szCs w:val="16"/>
                <w:lang w:eastAsia="ko-KR"/>
                <w14:ligatures w14:val="standardContextual"/>
              </w:rPr>
              <w:t>pêche</w:t>
            </w:r>
            <w:proofErr w:type="spellEnd"/>
          </w:p>
        </w:tc>
      </w:tr>
      <w:tr w:rsidR="0084313D" w:rsidRPr="004E13E9" w14:paraId="5964C31A" w14:textId="77777777" w:rsidTr="00E62E84">
        <w:trPr>
          <w:trHeight w:val="20"/>
        </w:trPr>
        <w:tc>
          <w:tcPr>
            <w:tcW w:w="0" w:type="auto"/>
            <w:noWrap/>
            <w:vAlign w:val="center"/>
            <w:hideMark/>
          </w:tcPr>
          <w:p w14:paraId="1D46B9BF"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Type</w:t>
            </w:r>
          </w:p>
        </w:tc>
        <w:tc>
          <w:tcPr>
            <w:tcW w:w="1874" w:type="dxa"/>
            <w:vAlign w:val="center"/>
            <w:hideMark/>
          </w:tcPr>
          <w:p w14:paraId="3D509F9D" w14:textId="77777777" w:rsidR="0084313D" w:rsidRPr="004E13E9" w:rsidRDefault="0084313D" w:rsidP="00E62E84">
            <w:pPr>
              <w:jc w:val="center"/>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Meilleurs taux de capture définis par le SCRS en 2009 (t)</w:t>
            </w:r>
          </w:p>
        </w:tc>
        <w:tc>
          <w:tcPr>
            <w:tcW w:w="628" w:type="dxa"/>
            <w:vAlign w:val="center"/>
          </w:tcPr>
          <w:p w14:paraId="590831F6"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2006</w:t>
            </w:r>
          </w:p>
        </w:tc>
        <w:tc>
          <w:tcPr>
            <w:tcW w:w="0" w:type="auto"/>
            <w:noWrap/>
            <w:vAlign w:val="center"/>
            <w:hideMark/>
          </w:tcPr>
          <w:p w14:paraId="2A7181BC"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2008</w:t>
            </w:r>
          </w:p>
        </w:tc>
        <w:tc>
          <w:tcPr>
            <w:tcW w:w="0" w:type="auto"/>
            <w:vAlign w:val="center"/>
            <w:hideMark/>
          </w:tcPr>
          <w:p w14:paraId="5F8ADB31"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2018</w:t>
            </w:r>
          </w:p>
        </w:tc>
        <w:tc>
          <w:tcPr>
            <w:tcW w:w="0" w:type="auto"/>
            <w:vAlign w:val="center"/>
            <w:hideMark/>
          </w:tcPr>
          <w:p w14:paraId="6D07D518"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2023</w:t>
            </w:r>
          </w:p>
        </w:tc>
        <w:tc>
          <w:tcPr>
            <w:tcW w:w="0" w:type="auto"/>
            <w:vAlign w:val="center"/>
            <w:hideMark/>
          </w:tcPr>
          <w:p w14:paraId="6086E1F1"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2024</w:t>
            </w:r>
          </w:p>
        </w:tc>
        <w:tc>
          <w:tcPr>
            <w:tcW w:w="0" w:type="auto"/>
            <w:vAlign w:val="center"/>
          </w:tcPr>
          <w:p w14:paraId="3196CDDE"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2025</w:t>
            </w:r>
          </w:p>
        </w:tc>
        <w:tc>
          <w:tcPr>
            <w:tcW w:w="0" w:type="auto"/>
            <w:vAlign w:val="center"/>
          </w:tcPr>
          <w:p w14:paraId="01648609"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2026</w:t>
            </w:r>
          </w:p>
        </w:tc>
        <w:tc>
          <w:tcPr>
            <w:tcW w:w="0" w:type="auto"/>
            <w:shd w:val="clear" w:color="000000" w:fill="D9D9D9"/>
            <w:vAlign w:val="center"/>
            <w:hideMark/>
          </w:tcPr>
          <w:p w14:paraId="0876A638" w14:textId="77777777" w:rsidR="0084313D" w:rsidRPr="004E13E9" w:rsidRDefault="0084313D" w:rsidP="00E62E84">
            <w:pPr>
              <w:jc w:val="center"/>
              <w:rPr>
                <w:rFonts w:eastAsia="Times New Roman" w:cs="Calibri"/>
                <w:kern w:val="2"/>
                <w:sz w:val="16"/>
                <w:szCs w:val="16"/>
                <w:lang w:eastAsia="ja-JP"/>
                <w14:ligatures w14:val="standardContextual"/>
              </w:rPr>
            </w:pPr>
          </w:p>
        </w:tc>
        <w:tc>
          <w:tcPr>
            <w:tcW w:w="0" w:type="auto"/>
            <w:vAlign w:val="center"/>
          </w:tcPr>
          <w:p w14:paraId="4AD3667F"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2006</w:t>
            </w:r>
          </w:p>
        </w:tc>
        <w:tc>
          <w:tcPr>
            <w:tcW w:w="0" w:type="auto"/>
            <w:vAlign w:val="center"/>
            <w:hideMark/>
          </w:tcPr>
          <w:p w14:paraId="2B0FE54D"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2008</w:t>
            </w:r>
          </w:p>
        </w:tc>
        <w:tc>
          <w:tcPr>
            <w:tcW w:w="0" w:type="auto"/>
            <w:vAlign w:val="center"/>
            <w:hideMark/>
          </w:tcPr>
          <w:p w14:paraId="1BDC7DF6"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2018</w:t>
            </w:r>
          </w:p>
        </w:tc>
        <w:tc>
          <w:tcPr>
            <w:tcW w:w="0" w:type="auto"/>
            <w:vAlign w:val="center"/>
            <w:hideMark/>
          </w:tcPr>
          <w:p w14:paraId="74D908AD"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2023</w:t>
            </w:r>
          </w:p>
        </w:tc>
        <w:tc>
          <w:tcPr>
            <w:tcW w:w="0" w:type="auto"/>
            <w:vAlign w:val="center"/>
            <w:hideMark/>
          </w:tcPr>
          <w:p w14:paraId="452ECB89"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2024</w:t>
            </w:r>
          </w:p>
        </w:tc>
        <w:tc>
          <w:tcPr>
            <w:tcW w:w="0" w:type="auto"/>
            <w:vAlign w:val="center"/>
            <w:hideMark/>
          </w:tcPr>
          <w:p w14:paraId="2F4315D2"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2025</w:t>
            </w:r>
          </w:p>
        </w:tc>
        <w:tc>
          <w:tcPr>
            <w:tcW w:w="0" w:type="auto"/>
            <w:vAlign w:val="center"/>
          </w:tcPr>
          <w:p w14:paraId="3BA8E4F8"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2026</w:t>
            </w:r>
          </w:p>
        </w:tc>
      </w:tr>
      <w:tr w:rsidR="0084313D" w:rsidRPr="004E13E9" w14:paraId="370FD89D" w14:textId="77777777" w:rsidTr="00E62E84">
        <w:trPr>
          <w:trHeight w:val="20"/>
        </w:trPr>
        <w:tc>
          <w:tcPr>
            <w:tcW w:w="0" w:type="auto"/>
            <w:noWrap/>
            <w:vAlign w:val="center"/>
            <w:hideMark/>
          </w:tcPr>
          <w:p w14:paraId="099DA174" w14:textId="77777777" w:rsidR="0084313D" w:rsidRPr="004E13E9" w:rsidRDefault="0084313D" w:rsidP="00E62E84">
            <w:pPr>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Senneur de plus de 40 m</w:t>
            </w:r>
          </w:p>
        </w:tc>
        <w:tc>
          <w:tcPr>
            <w:tcW w:w="1874" w:type="dxa"/>
            <w:noWrap/>
            <w:vAlign w:val="center"/>
            <w:hideMark/>
          </w:tcPr>
          <w:p w14:paraId="7F478CEB"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70,66</w:t>
            </w:r>
          </w:p>
        </w:tc>
        <w:tc>
          <w:tcPr>
            <w:tcW w:w="628" w:type="dxa"/>
          </w:tcPr>
          <w:p w14:paraId="76F612E5"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noWrap/>
            <w:vAlign w:val="center"/>
            <w:hideMark/>
          </w:tcPr>
          <w:p w14:paraId="593FE163"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02B67919"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2D50574D"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7E31E6AF"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5B6BC3E1"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tcPr>
          <w:p w14:paraId="504675C4"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hideMark/>
          </w:tcPr>
          <w:p w14:paraId="3A20B0AD"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1326B9D6"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vAlign w:val="center"/>
            <w:hideMark/>
          </w:tcPr>
          <w:p w14:paraId="4FB40A2D"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48F74C78"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523D758E"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1AD399E3"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42C35003"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59E165EB"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6C472B18" w14:textId="77777777" w:rsidTr="00E62E84">
        <w:trPr>
          <w:trHeight w:val="20"/>
        </w:trPr>
        <w:tc>
          <w:tcPr>
            <w:tcW w:w="0" w:type="auto"/>
            <w:noWrap/>
            <w:vAlign w:val="center"/>
            <w:hideMark/>
          </w:tcPr>
          <w:p w14:paraId="75F5DC9E" w14:textId="77777777" w:rsidR="0084313D" w:rsidRPr="004E13E9" w:rsidRDefault="0084313D" w:rsidP="00E62E84">
            <w:pPr>
              <w:rPr>
                <w:rFonts w:eastAsia="Times New Roman" w:cs="Calibri"/>
                <w:kern w:val="2"/>
                <w:sz w:val="16"/>
                <w:szCs w:val="16"/>
                <w:lang w:eastAsia="ko-KR"/>
                <w14:ligatures w14:val="standardContextual"/>
              </w:rPr>
            </w:pPr>
            <w:proofErr w:type="spellStart"/>
            <w:r w:rsidRPr="004E13E9">
              <w:rPr>
                <w:rFonts w:eastAsia="Malgun Gothic"/>
                <w:kern w:val="2"/>
                <w:sz w:val="16"/>
                <w:szCs w:val="16"/>
                <w:lang w:eastAsia="ko-KR"/>
                <w14:ligatures w14:val="standardContextual"/>
              </w:rPr>
              <w:t>Senneur</w:t>
            </w:r>
            <w:proofErr w:type="spellEnd"/>
            <w:r w:rsidRPr="004E13E9">
              <w:rPr>
                <w:rFonts w:eastAsia="Malgun Gothic"/>
                <w:kern w:val="2"/>
                <w:sz w:val="16"/>
                <w:szCs w:val="16"/>
                <w:lang w:eastAsia="ko-KR"/>
                <w14:ligatures w14:val="standardContextual"/>
              </w:rPr>
              <w:t xml:space="preserve"> entre 24 et 40 m</w:t>
            </w:r>
          </w:p>
        </w:tc>
        <w:tc>
          <w:tcPr>
            <w:tcW w:w="1874" w:type="dxa"/>
            <w:noWrap/>
            <w:vAlign w:val="center"/>
            <w:hideMark/>
          </w:tcPr>
          <w:p w14:paraId="741D9494"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49,78</w:t>
            </w:r>
          </w:p>
        </w:tc>
        <w:tc>
          <w:tcPr>
            <w:tcW w:w="628" w:type="dxa"/>
          </w:tcPr>
          <w:p w14:paraId="2DD9E349"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noWrap/>
            <w:vAlign w:val="center"/>
            <w:hideMark/>
          </w:tcPr>
          <w:p w14:paraId="1AF12231"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2FB96DE5"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77B9B797"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2AC50E0C"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64B8B54E"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tcPr>
          <w:p w14:paraId="1D104E1A"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hideMark/>
          </w:tcPr>
          <w:p w14:paraId="1590E9FB"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736CEDF0"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vAlign w:val="center"/>
            <w:hideMark/>
          </w:tcPr>
          <w:p w14:paraId="34F11363"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1F8198E7"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49D3AAE3"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584F9F8E"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01A8E34E"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4724DD36"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43757F1D" w14:textId="77777777" w:rsidTr="00E62E84">
        <w:trPr>
          <w:trHeight w:val="20"/>
        </w:trPr>
        <w:tc>
          <w:tcPr>
            <w:tcW w:w="0" w:type="auto"/>
            <w:noWrap/>
            <w:vAlign w:val="center"/>
            <w:hideMark/>
          </w:tcPr>
          <w:p w14:paraId="014D3228" w14:textId="77777777" w:rsidR="0084313D" w:rsidRPr="004E13E9" w:rsidRDefault="0084313D" w:rsidP="00E62E84">
            <w:pPr>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Senneur de moins de 24m</w:t>
            </w:r>
          </w:p>
        </w:tc>
        <w:tc>
          <w:tcPr>
            <w:tcW w:w="1874" w:type="dxa"/>
            <w:noWrap/>
            <w:vAlign w:val="center"/>
            <w:hideMark/>
          </w:tcPr>
          <w:p w14:paraId="0989D485"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33,68</w:t>
            </w:r>
          </w:p>
        </w:tc>
        <w:tc>
          <w:tcPr>
            <w:tcW w:w="628" w:type="dxa"/>
          </w:tcPr>
          <w:p w14:paraId="07AA9756"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noWrap/>
            <w:vAlign w:val="center"/>
            <w:hideMark/>
          </w:tcPr>
          <w:p w14:paraId="367C72E1"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5F4FFF82"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1B0A179D"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6D389F66"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30480331"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tcPr>
          <w:p w14:paraId="55AF4172"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hideMark/>
          </w:tcPr>
          <w:p w14:paraId="3F6E99AA"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1109F424"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vAlign w:val="center"/>
            <w:hideMark/>
          </w:tcPr>
          <w:p w14:paraId="45E7B356"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64D7D52A"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47198DD0"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3A62516F"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68DAE63D"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30BFA6FA"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71E4588A" w14:textId="77777777" w:rsidTr="00E62E84">
        <w:trPr>
          <w:trHeight w:val="20"/>
        </w:trPr>
        <w:tc>
          <w:tcPr>
            <w:tcW w:w="0" w:type="auto"/>
            <w:noWrap/>
            <w:vAlign w:val="center"/>
            <w:hideMark/>
          </w:tcPr>
          <w:p w14:paraId="0D9A6184" w14:textId="77777777" w:rsidR="0084313D" w:rsidRPr="004E13E9" w:rsidRDefault="0084313D" w:rsidP="00E62E84">
            <w:pPr>
              <w:rPr>
                <w:rFonts w:eastAsia="Times New Roman" w:cs="Calibri"/>
                <w:b/>
                <w:bCs/>
                <w:kern w:val="2"/>
                <w:sz w:val="16"/>
                <w:szCs w:val="16"/>
                <w:lang w:eastAsia="ko-KR"/>
                <w14:ligatures w14:val="standardContextual"/>
              </w:rPr>
            </w:pPr>
            <w:proofErr w:type="spellStart"/>
            <w:r w:rsidRPr="004E13E9">
              <w:rPr>
                <w:rFonts w:eastAsia="Malgun Gothic"/>
                <w:b/>
                <w:kern w:val="2"/>
                <w:sz w:val="16"/>
                <w:szCs w:val="16"/>
                <w:lang w:eastAsia="ko-KR"/>
                <w14:ligatures w14:val="standardContextual"/>
              </w:rPr>
              <w:t>Flottille</w:t>
            </w:r>
            <w:proofErr w:type="spellEnd"/>
            <w:r w:rsidRPr="004E13E9">
              <w:rPr>
                <w:rFonts w:eastAsia="Malgun Gothic"/>
                <w:b/>
                <w:kern w:val="2"/>
                <w:sz w:val="16"/>
                <w:szCs w:val="16"/>
                <w:lang w:eastAsia="ko-KR"/>
                <w14:ligatures w14:val="standardContextual"/>
              </w:rPr>
              <w:t xml:space="preserve"> totale de senneurs</w:t>
            </w:r>
            <w:r w:rsidRPr="004E13E9">
              <w:rPr>
                <w:rFonts w:eastAsia="Malgun Gothic"/>
                <w:b/>
                <w:kern w:val="2"/>
                <w:sz w:val="16"/>
                <w:szCs w:val="16"/>
                <w:vertAlign w:val="superscript"/>
                <w:lang w:eastAsia="ko-KR"/>
                <w14:ligatures w14:val="standardContextual"/>
              </w:rPr>
              <w:t xml:space="preserve"> </w:t>
            </w:r>
          </w:p>
        </w:tc>
        <w:tc>
          <w:tcPr>
            <w:tcW w:w="1874" w:type="dxa"/>
            <w:noWrap/>
            <w:vAlign w:val="center"/>
            <w:hideMark/>
          </w:tcPr>
          <w:p w14:paraId="769BC098" w14:textId="77777777" w:rsidR="0084313D" w:rsidRPr="004E13E9" w:rsidRDefault="0084313D" w:rsidP="00E62E84">
            <w:pPr>
              <w:rPr>
                <w:rFonts w:eastAsia="Times New Roman"/>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628" w:type="dxa"/>
          </w:tcPr>
          <w:p w14:paraId="50387789"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noWrap/>
            <w:vAlign w:val="center"/>
            <w:hideMark/>
          </w:tcPr>
          <w:p w14:paraId="214EA767"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6178CBB8"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722C3F9C"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269147D9"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2E7E1332"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tcPr>
          <w:p w14:paraId="35B323F4" w14:textId="712B2D3F" w:rsidR="0084313D" w:rsidRPr="004E13E9" w:rsidRDefault="0084313D" w:rsidP="00E62E84">
            <w:pPr>
              <w:jc w:val="center"/>
              <w:rPr>
                <w:rFonts w:eastAsia="Times New Roman" w:cs="Calibri"/>
                <w:kern w:val="2"/>
                <w:sz w:val="16"/>
                <w:szCs w:val="16"/>
                <w:lang w:eastAsia="ja-JP"/>
                <w14:ligatures w14:val="standardContextual"/>
              </w:rPr>
            </w:pPr>
          </w:p>
        </w:tc>
        <w:tc>
          <w:tcPr>
            <w:tcW w:w="0" w:type="auto"/>
            <w:shd w:val="clear" w:color="000000" w:fill="D9D9D9"/>
            <w:vAlign w:val="center"/>
            <w:hideMark/>
          </w:tcPr>
          <w:p w14:paraId="347729B9"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5A886F21"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hideMark/>
          </w:tcPr>
          <w:p w14:paraId="3F1C256C"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35D4714F"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320BABB5"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04C70797"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627ACE3F"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1C472F0A" w14:textId="77777777" w:rsidR="0084313D" w:rsidRPr="004E13E9" w:rsidRDefault="0084313D" w:rsidP="00E62E84">
            <w:pPr>
              <w:rPr>
                <w:rFonts w:eastAsia="Times New Roman" w:cs="Calibri"/>
                <w:b/>
                <w:bCs/>
                <w:kern w:val="2"/>
                <w:sz w:val="16"/>
                <w:szCs w:val="16"/>
                <w:lang w:eastAsia="ja-JP"/>
                <w14:ligatures w14:val="standardContextual"/>
              </w:rPr>
            </w:pPr>
          </w:p>
        </w:tc>
      </w:tr>
      <w:tr w:rsidR="0084313D" w:rsidRPr="004E13E9" w14:paraId="1B89FFA1" w14:textId="77777777" w:rsidTr="00E62E84">
        <w:trPr>
          <w:trHeight w:val="20"/>
        </w:trPr>
        <w:tc>
          <w:tcPr>
            <w:tcW w:w="0" w:type="auto"/>
            <w:noWrap/>
            <w:vAlign w:val="center"/>
            <w:hideMark/>
          </w:tcPr>
          <w:p w14:paraId="60259207" w14:textId="77777777" w:rsidR="0084313D" w:rsidRPr="004E13E9" w:rsidRDefault="0084313D" w:rsidP="00E62E84">
            <w:pPr>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Palangrier de plus de 40 m</w:t>
            </w:r>
          </w:p>
        </w:tc>
        <w:tc>
          <w:tcPr>
            <w:tcW w:w="1874" w:type="dxa"/>
            <w:noWrap/>
            <w:vAlign w:val="center"/>
            <w:hideMark/>
          </w:tcPr>
          <w:p w14:paraId="1C6005F7"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25</w:t>
            </w:r>
          </w:p>
        </w:tc>
        <w:tc>
          <w:tcPr>
            <w:tcW w:w="628" w:type="dxa"/>
          </w:tcPr>
          <w:p w14:paraId="2AD18C07"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noWrap/>
            <w:vAlign w:val="center"/>
            <w:hideMark/>
          </w:tcPr>
          <w:p w14:paraId="43F5C455"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4679B7E9"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469146FA"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4E5CBCC9"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56C34E4C"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tcPr>
          <w:p w14:paraId="1D9FAD4D"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hideMark/>
          </w:tcPr>
          <w:p w14:paraId="11C827D6"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46ACED72"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vAlign w:val="center"/>
            <w:hideMark/>
          </w:tcPr>
          <w:p w14:paraId="731E0ACC"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629132E3"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775A1530"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55EBD3C3"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5327CD76"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3901F7BE"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2EE5D5B5" w14:textId="77777777" w:rsidTr="00E62E84">
        <w:trPr>
          <w:trHeight w:val="20"/>
        </w:trPr>
        <w:tc>
          <w:tcPr>
            <w:tcW w:w="0" w:type="auto"/>
            <w:noWrap/>
            <w:vAlign w:val="center"/>
            <w:hideMark/>
          </w:tcPr>
          <w:p w14:paraId="18208188" w14:textId="77777777" w:rsidR="0084313D" w:rsidRPr="004E13E9" w:rsidRDefault="0084313D" w:rsidP="00E62E84">
            <w:pPr>
              <w:rPr>
                <w:rFonts w:eastAsia="Times New Roman" w:cs="Calibri"/>
                <w:kern w:val="2"/>
                <w:sz w:val="16"/>
                <w:szCs w:val="16"/>
                <w:lang w:eastAsia="ko-KR"/>
                <w14:ligatures w14:val="standardContextual"/>
              </w:rPr>
            </w:pPr>
            <w:proofErr w:type="spellStart"/>
            <w:r w:rsidRPr="004E13E9">
              <w:rPr>
                <w:rFonts w:eastAsia="Malgun Gothic"/>
                <w:kern w:val="2"/>
                <w:sz w:val="16"/>
                <w:szCs w:val="16"/>
                <w:lang w:eastAsia="ko-KR"/>
                <w14:ligatures w14:val="standardContextual"/>
              </w:rPr>
              <w:t>Palangrier</w:t>
            </w:r>
            <w:proofErr w:type="spellEnd"/>
            <w:r w:rsidRPr="004E13E9">
              <w:rPr>
                <w:rFonts w:eastAsia="Malgun Gothic"/>
                <w:kern w:val="2"/>
                <w:sz w:val="16"/>
                <w:szCs w:val="16"/>
                <w:lang w:eastAsia="ko-KR"/>
                <w14:ligatures w14:val="standardContextual"/>
              </w:rPr>
              <w:t xml:space="preserve"> entre 24 et 40 m</w:t>
            </w:r>
          </w:p>
        </w:tc>
        <w:tc>
          <w:tcPr>
            <w:tcW w:w="1874" w:type="dxa"/>
            <w:noWrap/>
            <w:vAlign w:val="center"/>
            <w:hideMark/>
          </w:tcPr>
          <w:p w14:paraId="3216012B"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5,68</w:t>
            </w:r>
          </w:p>
        </w:tc>
        <w:tc>
          <w:tcPr>
            <w:tcW w:w="628" w:type="dxa"/>
          </w:tcPr>
          <w:p w14:paraId="1137A265"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noWrap/>
            <w:vAlign w:val="center"/>
            <w:hideMark/>
          </w:tcPr>
          <w:p w14:paraId="1E5DB304"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0BA96E62"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7DFC557A"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54682C25"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3B7266FA"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tcPr>
          <w:p w14:paraId="2EE54F00"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hideMark/>
          </w:tcPr>
          <w:p w14:paraId="2E148619"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6469316A"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vAlign w:val="center"/>
            <w:hideMark/>
          </w:tcPr>
          <w:p w14:paraId="3299A286"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4AFCC18D"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5D9A1404"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7AFEB677"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18AAEB58"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70134909"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1FCE9D87" w14:textId="77777777" w:rsidTr="00E62E84">
        <w:trPr>
          <w:trHeight w:val="20"/>
        </w:trPr>
        <w:tc>
          <w:tcPr>
            <w:tcW w:w="0" w:type="auto"/>
            <w:noWrap/>
            <w:vAlign w:val="center"/>
            <w:hideMark/>
          </w:tcPr>
          <w:p w14:paraId="424448E9" w14:textId="77777777" w:rsidR="0084313D" w:rsidRPr="004E13E9" w:rsidRDefault="0084313D" w:rsidP="00E62E84">
            <w:pPr>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Palangrier de moins de 24 m</w:t>
            </w:r>
          </w:p>
        </w:tc>
        <w:tc>
          <w:tcPr>
            <w:tcW w:w="1874" w:type="dxa"/>
            <w:noWrap/>
            <w:vAlign w:val="center"/>
            <w:hideMark/>
          </w:tcPr>
          <w:p w14:paraId="50ADE969"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5</w:t>
            </w:r>
          </w:p>
        </w:tc>
        <w:tc>
          <w:tcPr>
            <w:tcW w:w="628" w:type="dxa"/>
          </w:tcPr>
          <w:p w14:paraId="3AE04806"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noWrap/>
            <w:vAlign w:val="center"/>
            <w:hideMark/>
          </w:tcPr>
          <w:p w14:paraId="4937D0B7"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7D4EE1B5"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5635C5CD"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67F23CC9"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5312D9C3"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tcPr>
          <w:p w14:paraId="1538F984"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hideMark/>
          </w:tcPr>
          <w:p w14:paraId="45C8F11A"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48D65C78"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vAlign w:val="center"/>
            <w:hideMark/>
          </w:tcPr>
          <w:p w14:paraId="62A64241"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1F48AF93"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42846CD3"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6D4FACFF"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24ACA461"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0E2AECE4"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7BB1077D" w14:textId="77777777" w:rsidTr="00E62E84">
        <w:trPr>
          <w:trHeight w:val="20"/>
        </w:trPr>
        <w:tc>
          <w:tcPr>
            <w:tcW w:w="0" w:type="auto"/>
            <w:noWrap/>
            <w:vAlign w:val="center"/>
            <w:hideMark/>
          </w:tcPr>
          <w:p w14:paraId="547E0E72" w14:textId="77777777" w:rsidR="0084313D" w:rsidRPr="004E13E9" w:rsidRDefault="0084313D" w:rsidP="00E62E84">
            <w:pPr>
              <w:rPr>
                <w:rFonts w:eastAsia="Times New Roman" w:cs="Calibri"/>
                <w:b/>
                <w:bCs/>
                <w:kern w:val="2"/>
                <w:sz w:val="16"/>
                <w:szCs w:val="16"/>
                <w:lang w:eastAsia="ko-KR"/>
                <w14:ligatures w14:val="standardContextual"/>
              </w:rPr>
            </w:pPr>
            <w:proofErr w:type="spellStart"/>
            <w:r w:rsidRPr="004E13E9">
              <w:rPr>
                <w:rFonts w:eastAsia="Malgun Gothic"/>
                <w:b/>
                <w:kern w:val="2"/>
                <w:sz w:val="16"/>
                <w:szCs w:val="16"/>
                <w:lang w:eastAsia="ko-KR"/>
                <w14:ligatures w14:val="standardContextual"/>
              </w:rPr>
              <w:t>Flottille</w:t>
            </w:r>
            <w:proofErr w:type="spellEnd"/>
            <w:r w:rsidRPr="004E13E9">
              <w:rPr>
                <w:rFonts w:eastAsia="Malgun Gothic"/>
                <w:b/>
                <w:kern w:val="2"/>
                <w:sz w:val="16"/>
                <w:szCs w:val="16"/>
                <w:lang w:eastAsia="ko-KR"/>
                <w14:ligatures w14:val="standardContextual"/>
              </w:rPr>
              <w:t xml:space="preserve"> totale de </w:t>
            </w:r>
            <w:proofErr w:type="spellStart"/>
            <w:r w:rsidRPr="004E13E9">
              <w:rPr>
                <w:rFonts w:eastAsia="Malgun Gothic"/>
                <w:b/>
                <w:kern w:val="2"/>
                <w:sz w:val="16"/>
                <w:szCs w:val="16"/>
                <w:lang w:eastAsia="ko-KR"/>
                <w14:ligatures w14:val="standardContextual"/>
              </w:rPr>
              <w:t>palangriers</w:t>
            </w:r>
            <w:proofErr w:type="spellEnd"/>
          </w:p>
        </w:tc>
        <w:tc>
          <w:tcPr>
            <w:tcW w:w="1874" w:type="dxa"/>
            <w:noWrap/>
            <w:vAlign w:val="center"/>
            <w:hideMark/>
          </w:tcPr>
          <w:p w14:paraId="02FD136B" w14:textId="77777777" w:rsidR="0084313D" w:rsidRPr="004E13E9" w:rsidRDefault="0084313D" w:rsidP="00E62E84">
            <w:pPr>
              <w:rPr>
                <w:rFonts w:eastAsia="Times New Roman"/>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628" w:type="dxa"/>
          </w:tcPr>
          <w:p w14:paraId="41DEA7D8"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noWrap/>
            <w:vAlign w:val="center"/>
            <w:hideMark/>
          </w:tcPr>
          <w:p w14:paraId="15D9D740"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61236B32"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26D438CE"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3693EFEF"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64686708"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tcPr>
          <w:p w14:paraId="14459B7D" w14:textId="77777777" w:rsidR="0084313D" w:rsidRPr="004E13E9" w:rsidRDefault="0084313D" w:rsidP="00E62E84">
            <w:pPr>
              <w:jc w:val="center"/>
              <w:rPr>
                <w:rFonts w:eastAsia="Times New Roman" w:cs="Calibri"/>
                <w:kern w:val="2"/>
                <w:sz w:val="16"/>
                <w:szCs w:val="16"/>
                <w:lang w:eastAsia="ja-JP"/>
                <w14:ligatures w14:val="standardContextual"/>
              </w:rPr>
            </w:pPr>
          </w:p>
        </w:tc>
        <w:tc>
          <w:tcPr>
            <w:tcW w:w="0" w:type="auto"/>
            <w:shd w:val="clear" w:color="000000" w:fill="D9D9D9"/>
            <w:vAlign w:val="center"/>
            <w:hideMark/>
          </w:tcPr>
          <w:p w14:paraId="4D6ACE5F"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157BE2B0"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hideMark/>
          </w:tcPr>
          <w:p w14:paraId="4CB43B0D"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394A35A5"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6EF8BF33"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57CBF393"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464C258B"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724928D9" w14:textId="77777777" w:rsidR="0084313D" w:rsidRPr="004E13E9" w:rsidRDefault="0084313D" w:rsidP="00E62E84">
            <w:pPr>
              <w:rPr>
                <w:rFonts w:eastAsia="Times New Roman" w:cs="Calibri"/>
                <w:b/>
                <w:bCs/>
                <w:kern w:val="2"/>
                <w:sz w:val="16"/>
                <w:szCs w:val="16"/>
                <w:lang w:eastAsia="ja-JP"/>
                <w14:ligatures w14:val="standardContextual"/>
              </w:rPr>
            </w:pPr>
          </w:p>
        </w:tc>
      </w:tr>
      <w:tr w:rsidR="0084313D" w:rsidRPr="004E13E9" w14:paraId="493B579F" w14:textId="77777777" w:rsidTr="00E62E84">
        <w:trPr>
          <w:trHeight w:val="20"/>
        </w:trPr>
        <w:tc>
          <w:tcPr>
            <w:tcW w:w="0" w:type="auto"/>
            <w:noWrap/>
            <w:vAlign w:val="center"/>
            <w:hideMark/>
          </w:tcPr>
          <w:p w14:paraId="51792D96" w14:textId="77777777" w:rsidR="0084313D" w:rsidRPr="004E13E9" w:rsidRDefault="0084313D" w:rsidP="00E62E84">
            <w:pPr>
              <w:rPr>
                <w:rFonts w:eastAsia="Times New Roman" w:cs="Calibri"/>
                <w:kern w:val="2"/>
                <w:sz w:val="16"/>
                <w:szCs w:val="16"/>
                <w:lang w:eastAsia="ko-KR"/>
                <w14:ligatures w14:val="standardContextual"/>
              </w:rPr>
            </w:pPr>
            <w:proofErr w:type="spellStart"/>
            <w:r w:rsidRPr="004E13E9">
              <w:rPr>
                <w:rFonts w:eastAsia="Malgun Gothic"/>
                <w:kern w:val="2"/>
                <w:sz w:val="16"/>
                <w:szCs w:val="16"/>
                <w:lang w:eastAsia="ko-KR"/>
                <w14:ligatures w14:val="standardContextual"/>
              </w:rPr>
              <w:t>Canneur</w:t>
            </w:r>
            <w:proofErr w:type="spellEnd"/>
          </w:p>
        </w:tc>
        <w:tc>
          <w:tcPr>
            <w:tcW w:w="1874" w:type="dxa"/>
            <w:noWrap/>
            <w:vAlign w:val="center"/>
            <w:hideMark/>
          </w:tcPr>
          <w:p w14:paraId="30D6B1FA"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19,75</w:t>
            </w:r>
          </w:p>
        </w:tc>
        <w:tc>
          <w:tcPr>
            <w:tcW w:w="628" w:type="dxa"/>
          </w:tcPr>
          <w:p w14:paraId="37769F89"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noWrap/>
            <w:vAlign w:val="center"/>
            <w:hideMark/>
          </w:tcPr>
          <w:p w14:paraId="5CD30AD5"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275372D5"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47692CF8"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28EF0CE6"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75CE8F1F"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tcPr>
          <w:p w14:paraId="1055819D"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hideMark/>
          </w:tcPr>
          <w:p w14:paraId="3B5A267F"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0C83B466"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hideMark/>
          </w:tcPr>
          <w:p w14:paraId="33AC73DD"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79E5B1B5"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7BDF7771"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46F632A5"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6E01C2E0"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549DEA88"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626B950E" w14:textId="77777777" w:rsidTr="00E62E84">
        <w:trPr>
          <w:trHeight w:val="20"/>
        </w:trPr>
        <w:tc>
          <w:tcPr>
            <w:tcW w:w="0" w:type="auto"/>
            <w:noWrap/>
            <w:vAlign w:val="center"/>
            <w:hideMark/>
          </w:tcPr>
          <w:p w14:paraId="049D3E0A"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Ligne à main</w:t>
            </w:r>
          </w:p>
        </w:tc>
        <w:tc>
          <w:tcPr>
            <w:tcW w:w="1874" w:type="dxa"/>
            <w:noWrap/>
            <w:vAlign w:val="center"/>
            <w:hideMark/>
          </w:tcPr>
          <w:p w14:paraId="1F61BFDB"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5</w:t>
            </w:r>
          </w:p>
        </w:tc>
        <w:tc>
          <w:tcPr>
            <w:tcW w:w="628" w:type="dxa"/>
          </w:tcPr>
          <w:p w14:paraId="0409ED35"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noWrap/>
            <w:vAlign w:val="center"/>
            <w:hideMark/>
          </w:tcPr>
          <w:p w14:paraId="0BDDCA05"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569BEB65"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36A269C5"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0FC06982"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639C69E1"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tcPr>
          <w:p w14:paraId="0296CBC9"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hideMark/>
          </w:tcPr>
          <w:p w14:paraId="6E1498D6"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27383A24"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vAlign w:val="center"/>
            <w:hideMark/>
          </w:tcPr>
          <w:p w14:paraId="331B2CF4"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3498571F"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535308DE"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338806DD"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047C1A70"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280EFF79"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5B05F052" w14:textId="77777777" w:rsidTr="00E62E84">
        <w:trPr>
          <w:trHeight w:val="20"/>
        </w:trPr>
        <w:tc>
          <w:tcPr>
            <w:tcW w:w="0" w:type="auto"/>
            <w:noWrap/>
            <w:vAlign w:val="center"/>
            <w:hideMark/>
          </w:tcPr>
          <w:p w14:paraId="54421A98" w14:textId="77777777" w:rsidR="0084313D" w:rsidRPr="004E13E9" w:rsidRDefault="0084313D" w:rsidP="00E62E84">
            <w:pPr>
              <w:rPr>
                <w:rFonts w:eastAsia="Times New Roman" w:cs="Calibri"/>
                <w:kern w:val="2"/>
                <w:sz w:val="16"/>
                <w:szCs w:val="16"/>
                <w:lang w:eastAsia="ko-KR"/>
                <w14:ligatures w14:val="standardContextual"/>
              </w:rPr>
            </w:pPr>
            <w:proofErr w:type="spellStart"/>
            <w:r w:rsidRPr="004E13E9">
              <w:rPr>
                <w:rFonts w:eastAsia="Malgun Gothic"/>
                <w:kern w:val="2"/>
                <w:sz w:val="16"/>
                <w:szCs w:val="16"/>
                <w:lang w:eastAsia="ko-KR"/>
                <w14:ligatures w14:val="standardContextual"/>
              </w:rPr>
              <w:t>Chalutier</w:t>
            </w:r>
            <w:proofErr w:type="spellEnd"/>
          </w:p>
        </w:tc>
        <w:tc>
          <w:tcPr>
            <w:tcW w:w="1874" w:type="dxa"/>
            <w:noWrap/>
            <w:vAlign w:val="center"/>
            <w:hideMark/>
          </w:tcPr>
          <w:p w14:paraId="07031143"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10</w:t>
            </w:r>
          </w:p>
        </w:tc>
        <w:tc>
          <w:tcPr>
            <w:tcW w:w="628" w:type="dxa"/>
          </w:tcPr>
          <w:p w14:paraId="1BB9FB3A"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noWrap/>
            <w:vAlign w:val="center"/>
            <w:hideMark/>
          </w:tcPr>
          <w:p w14:paraId="48E7A946"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7A55CE06"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48CDB616"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16CF5837"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2B77F0E0"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tcPr>
          <w:p w14:paraId="33609260"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hideMark/>
          </w:tcPr>
          <w:p w14:paraId="1ADC2DEA"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0BDA36F6"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vAlign w:val="center"/>
            <w:hideMark/>
          </w:tcPr>
          <w:p w14:paraId="4D7B43BF"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0CE2E210"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770733F6"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6A614E63"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32092D11"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2512BDBE"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5C1C155B" w14:textId="77777777" w:rsidTr="00E62E84">
        <w:trPr>
          <w:trHeight w:val="20"/>
        </w:trPr>
        <w:tc>
          <w:tcPr>
            <w:tcW w:w="0" w:type="auto"/>
            <w:noWrap/>
            <w:vAlign w:val="center"/>
            <w:hideMark/>
          </w:tcPr>
          <w:p w14:paraId="0DE172E0"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Madrague</w:t>
            </w:r>
          </w:p>
        </w:tc>
        <w:tc>
          <w:tcPr>
            <w:tcW w:w="1874" w:type="dxa"/>
            <w:noWrap/>
            <w:vAlign w:val="center"/>
            <w:hideMark/>
          </w:tcPr>
          <w:p w14:paraId="1D00C33C"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130</w:t>
            </w:r>
          </w:p>
        </w:tc>
        <w:tc>
          <w:tcPr>
            <w:tcW w:w="628" w:type="dxa"/>
          </w:tcPr>
          <w:p w14:paraId="414E8FB1"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noWrap/>
            <w:vAlign w:val="center"/>
            <w:hideMark/>
          </w:tcPr>
          <w:p w14:paraId="7DEB4A4B"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468E2D03"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5761990A"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56390360"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6443658C"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tcPr>
          <w:p w14:paraId="089B8660"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hideMark/>
          </w:tcPr>
          <w:p w14:paraId="517ED489"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09AC6670"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hideMark/>
          </w:tcPr>
          <w:p w14:paraId="35E281EC"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4D9F0D28"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69C889E0"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4D5E481E"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35017666"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1427F62F"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1F1C9165" w14:textId="77777777" w:rsidTr="00E62E84">
        <w:trPr>
          <w:trHeight w:val="20"/>
        </w:trPr>
        <w:tc>
          <w:tcPr>
            <w:tcW w:w="0" w:type="auto"/>
            <w:vAlign w:val="center"/>
            <w:hideMark/>
          </w:tcPr>
          <w:p w14:paraId="3C6C2B4F"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xml:space="preserve">Petits </w:t>
            </w:r>
            <w:proofErr w:type="spellStart"/>
            <w:r w:rsidRPr="004E13E9">
              <w:rPr>
                <w:rFonts w:eastAsia="Malgun Gothic"/>
                <w:kern w:val="2"/>
                <w:sz w:val="16"/>
                <w:szCs w:val="16"/>
                <w:lang w:eastAsia="ko-KR"/>
                <w14:ligatures w14:val="standardContextual"/>
              </w:rPr>
              <w:t>navires</w:t>
            </w:r>
            <w:proofErr w:type="spellEnd"/>
            <w:r w:rsidRPr="004E13E9">
              <w:rPr>
                <w:rFonts w:eastAsia="Malgun Gothic"/>
                <w:kern w:val="2"/>
                <w:sz w:val="16"/>
                <w:szCs w:val="16"/>
                <w:lang w:eastAsia="ko-KR"/>
                <w14:ligatures w14:val="standardContextual"/>
              </w:rPr>
              <w:t xml:space="preserve"> côtiers  </w:t>
            </w:r>
          </w:p>
        </w:tc>
        <w:tc>
          <w:tcPr>
            <w:tcW w:w="1874" w:type="dxa"/>
            <w:noWrap/>
            <w:vAlign w:val="center"/>
            <w:hideMark/>
          </w:tcPr>
          <w:p w14:paraId="1CC65B14"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N/A</w:t>
            </w:r>
          </w:p>
        </w:tc>
        <w:tc>
          <w:tcPr>
            <w:tcW w:w="628" w:type="dxa"/>
          </w:tcPr>
          <w:p w14:paraId="00A0DEE5"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noWrap/>
            <w:vAlign w:val="center"/>
            <w:hideMark/>
          </w:tcPr>
          <w:p w14:paraId="36939563"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56D6D886"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0B3D5EA8"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4C64FB91"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5913CDC7"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tcPr>
          <w:p w14:paraId="67CA3EE8"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hideMark/>
          </w:tcPr>
          <w:p w14:paraId="54DC2E89"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1DF218F6"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hideMark/>
          </w:tcPr>
          <w:p w14:paraId="6BB44B03"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7EAEB463"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0F4B3560"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534B5DA5"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0D545E82"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78BA535A"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0E3D8656" w14:textId="77777777" w:rsidTr="00E62E84">
        <w:trPr>
          <w:trHeight w:val="20"/>
        </w:trPr>
        <w:tc>
          <w:tcPr>
            <w:tcW w:w="0" w:type="auto"/>
            <w:vAlign w:val="center"/>
            <w:hideMark/>
          </w:tcPr>
          <w:p w14:paraId="2602802C" w14:textId="77777777" w:rsidR="0084313D" w:rsidRPr="004E13E9" w:rsidRDefault="0084313D" w:rsidP="00E62E84">
            <w:pPr>
              <w:rPr>
                <w:rFonts w:eastAsia="Times New Roman" w:cs="Calibri"/>
                <w:kern w:val="2"/>
                <w:sz w:val="16"/>
                <w:szCs w:val="16"/>
                <w:lang w:eastAsia="ko-KR"/>
                <w14:ligatures w14:val="standardContextual"/>
              </w:rPr>
            </w:pPr>
            <w:proofErr w:type="spellStart"/>
            <w:r w:rsidRPr="004E13E9">
              <w:rPr>
                <w:rFonts w:eastAsia="Malgun Gothic"/>
                <w:kern w:val="2"/>
                <w:sz w:val="16"/>
                <w:szCs w:val="16"/>
                <w:lang w:eastAsia="ko-KR"/>
                <w14:ligatures w14:val="standardContextual"/>
              </w:rPr>
              <w:t>Autre</w:t>
            </w:r>
            <w:proofErr w:type="spellEnd"/>
            <w:r w:rsidRPr="004E13E9">
              <w:rPr>
                <w:rFonts w:eastAsia="Malgun Gothic"/>
                <w:kern w:val="2"/>
                <w:sz w:val="16"/>
                <w:szCs w:val="16"/>
                <w:lang w:eastAsia="ko-KR"/>
                <w14:ligatures w14:val="standardContextual"/>
              </w:rPr>
              <w:t xml:space="preserve"> (à </w:t>
            </w:r>
            <w:proofErr w:type="spellStart"/>
            <w:r w:rsidRPr="004E13E9">
              <w:rPr>
                <w:rFonts w:eastAsia="Malgun Gothic"/>
                <w:kern w:val="2"/>
                <w:sz w:val="16"/>
                <w:szCs w:val="16"/>
                <w:lang w:eastAsia="ko-KR"/>
                <w14:ligatures w14:val="standardContextual"/>
              </w:rPr>
              <w:t>préciser</w:t>
            </w:r>
            <w:proofErr w:type="spellEnd"/>
            <w:r w:rsidRPr="004E13E9">
              <w:rPr>
                <w:rFonts w:eastAsia="Malgun Gothic"/>
                <w:kern w:val="2"/>
                <w:sz w:val="16"/>
                <w:szCs w:val="16"/>
                <w:lang w:eastAsia="ko-KR"/>
                <w14:ligatures w14:val="standardContextual"/>
              </w:rPr>
              <w:t>)</w:t>
            </w:r>
          </w:p>
        </w:tc>
        <w:tc>
          <w:tcPr>
            <w:tcW w:w="1874" w:type="dxa"/>
            <w:noWrap/>
            <w:vAlign w:val="center"/>
            <w:hideMark/>
          </w:tcPr>
          <w:p w14:paraId="48FBDF77" w14:textId="77777777" w:rsidR="0084313D" w:rsidRPr="004E13E9" w:rsidRDefault="0084313D" w:rsidP="00E62E84">
            <w:pPr>
              <w:jc w:val="cente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5</w:t>
            </w:r>
          </w:p>
        </w:tc>
        <w:tc>
          <w:tcPr>
            <w:tcW w:w="628" w:type="dxa"/>
          </w:tcPr>
          <w:p w14:paraId="01B8BD03"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noWrap/>
            <w:vAlign w:val="center"/>
            <w:hideMark/>
          </w:tcPr>
          <w:p w14:paraId="2737DB55"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24E60B0C"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28429A8F"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1E303991"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3B1D2C71"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tcPr>
          <w:p w14:paraId="693ED0CD"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hideMark/>
          </w:tcPr>
          <w:p w14:paraId="29DD3BF0"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27513C82"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hideMark/>
          </w:tcPr>
          <w:p w14:paraId="728B044A"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5A308C82"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138B3A5C"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5F4A9ACF"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4C21EAAA"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4C345213"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01F31B5C" w14:textId="77777777" w:rsidTr="00E62E84">
        <w:trPr>
          <w:trHeight w:val="20"/>
        </w:trPr>
        <w:tc>
          <w:tcPr>
            <w:tcW w:w="0" w:type="auto"/>
            <w:noWrap/>
            <w:vAlign w:val="center"/>
            <w:hideMark/>
          </w:tcPr>
          <w:p w14:paraId="69574624" w14:textId="77777777" w:rsidR="0084313D" w:rsidRPr="004E13E9" w:rsidRDefault="0084313D" w:rsidP="00E62E84">
            <w:pPr>
              <w:rPr>
                <w:rFonts w:eastAsia="Times New Roman" w:cs="Calibri"/>
                <w:b/>
                <w:bCs/>
                <w:kern w:val="2"/>
                <w:sz w:val="16"/>
                <w:szCs w:val="16"/>
                <w:lang w:val="fr-FR" w:eastAsia="ko-KR"/>
                <w14:ligatures w14:val="standardContextual"/>
              </w:rPr>
            </w:pPr>
            <w:r w:rsidRPr="004E13E9">
              <w:rPr>
                <w:rFonts w:eastAsia="Malgun Gothic"/>
                <w:b/>
                <w:kern w:val="2"/>
                <w:sz w:val="16"/>
                <w:szCs w:val="16"/>
                <w:lang w:val="fr-FR" w:eastAsia="ko-KR"/>
                <w14:ligatures w14:val="standardContextual"/>
              </w:rPr>
              <w:t>Capacité totale de la flottille/de pêche</w:t>
            </w:r>
          </w:p>
        </w:tc>
        <w:tc>
          <w:tcPr>
            <w:tcW w:w="1874" w:type="dxa"/>
            <w:noWrap/>
            <w:vAlign w:val="center"/>
            <w:hideMark/>
          </w:tcPr>
          <w:p w14:paraId="542AB60F" w14:textId="77777777" w:rsidR="0084313D" w:rsidRPr="004E13E9" w:rsidRDefault="0084313D" w:rsidP="00E62E84">
            <w:pPr>
              <w:jc w:val="right"/>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 </w:t>
            </w:r>
          </w:p>
        </w:tc>
        <w:tc>
          <w:tcPr>
            <w:tcW w:w="628" w:type="dxa"/>
          </w:tcPr>
          <w:p w14:paraId="05973545" w14:textId="77777777" w:rsidR="0084313D" w:rsidRPr="004E13E9" w:rsidRDefault="0084313D" w:rsidP="00E62E84">
            <w:pPr>
              <w:rPr>
                <w:rFonts w:eastAsia="Times New Roman" w:cs="Calibri"/>
                <w:b/>
                <w:bCs/>
                <w:kern w:val="2"/>
                <w:sz w:val="16"/>
                <w:szCs w:val="16"/>
                <w:lang w:val="fr-FR" w:eastAsia="ja-JP"/>
                <w14:ligatures w14:val="standardContextual"/>
              </w:rPr>
            </w:pPr>
          </w:p>
        </w:tc>
        <w:tc>
          <w:tcPr>
            <w:tcW w:w="0" w:type="auto"/>
            <w:noWrap/>
            <w:vAlign w:val="center"/>
            <w:hideMark/>
          </w:tcPr>
          <w:p w14:paraId="14E3470D" w14:textId="77777777" w:rsidR="0084313D" w:rsidRPr="004E13E9" w:rsidRDefault="0084313D" w:rsidP="00E62E84">
            <w:pPr>
              <w:rPr>
                <w:rFonts w:eastAsia="Times New Roman" w:cs="Calibri"/>
                <w:b/>
                <w:bCs/>
                <w:kern w:val="2"/>
                <w:sz w:val="16"/>
                <w:szCs w:val="16"/>
                <w:lang w:val="fr-FR" w:eastAsia="ko-KR"/>
                <w14:ligatures w14:val="standardContextual"/>
              </w:rPr>
            </w:pPr>
            <w:r w:rsidRPr="004E13E9">
              <w:rPr>
                <w:rFonts w:eastAsia="Malgun Gothic"/>
                <w:b/>
                <w:kern w:val="2"/>
                <w:sz w:val="16"/>
                <w:szCs w:val="16"/>
                <w:lang w:val="fr-FR" w:eastAsia="ko-KR"/>
                <w14:ligatures w14:val="standardContextual"/>
              </w:rPr>
              <w:t> </w:t>
            </w:r>
          </w:p>
        </w:tc>
        <w:tc>
          <w:tcPr>
            <w:tcW w:w="0" w:type="auto"/>
            <w:vAlign w:val="center"/>
            <w:hideMark/>
          </w:tcPr>
          <w:p w14:paraId="6E296CED" w14:textId="77777777" w:rsidR="0084313D" w:rsidRPr="004E13E9" w:rsidRDefault="0084313D" w:rsidP="00E62E84">
            <w:pPr>
              <w:rPr>
                <w:rFonts w:eastAsia="Times New Roman" w:cs="Calibri"/>
                <w:b/>
                <w:bCs/>
                <w:kern w:val="2"/>
                <w:sz w:val="16"/>
                <w:szCs w:val="16"/>
                <w:lang w:val="fr-FR" w:eastAsia="ko-KR"/>
                <w14:ligatures w14:val="standardContextual"/>
              </w:rPr>
            </w:pPr>
            <w:r w:rsidRPr="004E13E9">
              <w:rPr>
                <w:rFonts w:eastAsia="Malgun Gothic"/>
                <w:b/>
                <w:kern w:val="2"/>
                <w:sz w:val="16"/>
                <w:szCs w:val="16"/>
                <w:lang w:val="fr-FR" w:eastAsia="ko-KR"/>
                <w14:ligatures w14:val="standardContextual"/>
              </w:rPr>
              <w:t> </w:t>
            </w:r>
          </w:p>
        </w:tc>
        <w:tc>
          <w:tcPr>
            <w:tcW w:w="0" w:type="auto"/>
            <w:vAlign w:val="center"/>
            <w:hideMark/>
          </w:tcPr>
          <w:p w14:paraId="4644AA92" w14:textId="77777777" w:rsidR="0084313D" w:rsidRPr="004E13E9" w:rsidRDefault="0084313D" w:rsidP="00E62E84">
            <w:pPr>
              <w:rPr>
                <w:rFonts w:eastAsia="Times New Roman" w:cs="Calibri"/>
                <w:b/>
                <w:bCs/>
                <w:kern w:val="2"/>
                <w:sz w:val="16"/>
                <w:szCs w:val="16"/>
                <w:lang w:val="fr-FR" w:eastAsia="ko-KR"/>
                <w14:ligatures w14:val="standardContextual"/>
              </w:rPr>
            </w:pPr>
            <w:r w:rsidRPr="004E13E9">
              <w:rPr>
                <w:rFonts w:eastAsia="Malgun Gothic"/>
                <w:b/>
                <w:kern w:val="2"/>
                <w:sz w:val="16"/>
                <w:szCs w:val="16"/>
                <w:lang w:val="fr-FR" w:eastAsia="ko-KR"/>
                <w14:ligatures w14:val="standardContextual"/>
              </w:rPr>
              <w:t> </w:t>
            </w:r>
          </w:p>
        </w:tc>
        <w:tc>
          <w:tcPr>
            <w:tcW w:w="0" w:type="auto"/>
            <w:vAlign w:val="center"/>
            <w:hideMark/>
          </w:tcPr>
          <w:p w14:paraId="53508139" w14:textId="77777777" w:rsidR="0084313D" w:rsidRPr="004E13E9" w:rsidRDefault="0084313D" w:rsidP="00E62E84">
            <w:pPr>
              <w:rPr>
                <w:rFonts w:eastAsia="Times New Roman" w:cs="Calibri"/>
                <w:b/>
                <w:bCs/>
                <w:kern w:val="2"/>
                <w:sz w:val="16"/>
                <w:szCs w:val="16"/>
                <w:lang w:val="fr-FR" w:eastAsia="ko-KR"/>
                <w14:ligatures w14:val="standardContextual"/>
              </w:rPr>
            </w:pPr>
            <w:r w:rsidRPr="004E13E9">
              <w:rPr>
                <w:rFonts w:eastAsia="Malgun Gothic"/>
                <w:b/>
                <w:kern w:val="2"/>
                <w:sz w:val="16"/>
                <w:szCs w:val="16"/>
                <w:lang w:val="fr-FR" w:eastAsia="ko-KR"/>
                <w14:ligatures w14:val="standardContextual"/>
              </w:rPr>
              <w:t> </w:t>
            </w:r>
          </w:p>
        </w:tc>
        <w:tc>
          <w:tcPr>
            <w:tcW w:w="0" w:type="auto"/>
          </w:tcPr>
          <w:p w14:paraId="527A4DE9" w14:textId="77777777" w:rsidR="0084313D" w:rsidRPr="004E13E9" w:rsidRDefault="0084313D" w:rsidP="00E62E84">
            <w:pPr>
              <w:rPr>
                <w:rFonts w:eastAsia="Times New Roman" w:cs="Calibri"/>
                <w:b/>
                <w:bCs/>
                <w:kern w:val="2"/>
                <w:sz w:val="16"/>
                <w:szCs w:val="16"/>
                <w:lang w:val="fr-FR" w:eastAsia="ja-JP"/>
                <w14:ligatures w14:val="standardContextual"/>
              </w:rPr>
            </w:pPr>
          </w:p>
        </w:tc>
        <w:tc>
          <w:tcPr>
            <w:tcW w:w="0" w:type="auto"/>
          </w:tcPr>
          <w:p w14:paraId="390BB431"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hideMark/>
          </w:tcPr>
          <w:p w14:paraId="110C9FC2"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2C5994CB"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hideMark/>
          </w:tcPr>
          <w:p w14:paraId="03ADF5E2"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vAlign w:val="center"/>
            <w:hideMark/>
          </w:tcPr>
          <w:p w14:paraId="43BE932D"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noWrap/>
            <w:vAlign w:val="center"/>
            <w:hideMark/>
          </w:tcPr>
          <w:p w14:paraId="01210868"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noWrap/>
            <w:vAlign w:val="center"/>
            <w:hideMark/>
          </w:tcPr>
          <w:p w14:paraId="6B4C3633"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noWrap/>
            <w:vAlign w:val="center"/>
            <w:hideMark/>
          </w:tcPr>
          <w:p w14:paraId="65C83A1D"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w:t>
            </w:r>
          </w:p>
        </w:tc>
        <w:tc>
          <w:tcPr>
            <w:tcW w:w="0" w:type="auto"/>
          </w:tcPr>
          <w:p w14:paraId="4D6A4C04"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6B4C7A2A" w14:textId="77777777" w:rsidTr="00E62E84">
        <w:trPr>
          <w:trHeight w:val="20"/>
        </w:trPr>
        <w:tc>
          <w:tcPr>
            <w:tcW w:w="0" w:type="auto"/>
            <w:shd w:val="clear" w:color="auto" w:fill="D9D9D9"/>
            <w:noWrap/>
            <w:vAlign w:val="center"/>
            <w:hideMark/>
          </w:tcPr>
          <w:p w14:paraId="666D4D18"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xml:space="preserve">Quota initial </w:t>
            </w:r>
          </w:p>
        </w:tc>
        <w:tc>
          <w:tcPr>
            <w:tcW w:w="1874" w:type="dxa"/>
            <w:shd w:val="clear" w:color="auto" w:fill="D9D9D9"/>
            <w:noWrap/>
            <w:vAlign w:val="center"/>
            <w:hideMark/>
          </w:tcPr>
          <w:p w14:paraId="0A33862A" w14:textId="77777777" w:rsidR="0084313D" w:rsidRPr="004E13E9" w:rsidRDefault="0084313D" w:rsidP="00E62E84">
            <w:pPr>
              <w:jc w:val="right"/>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628" w:type="dxa"/>
            <w:shd w:val="clear" w:color="auto" w:fill="D9D9D9"/>
          </w:tcPr>
          <w:p w14:paraId="75AEA7B6"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shd w:val="clear" w:color="auto" w:fill="D9D9D9"/>
            <w:noWrap/>
            <w:vAlign w:val="center"/>
            <w:hideMark/>
          </w:tcPr>
          <w:p w14:paraId="4864E2A2"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vAlign w:val="center"/>
            <w:hideMark/>
          </w:tcPr>
          <w:p w14:paraId="615741E2"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vAlign w:val="center"/>
            <w:hideMark/>
          </w:tcPr>
          <w:p w14:paraId="6B875D8E"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vAlign w:val="center"/>
            <w:hideMark/>
          </w:tcPr>
          <w:p w14:paraId="431D045A"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tcPr>
          <w:p w14:paraId="4B3CBC99"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shd w:val="clear" w:color="auto" w:fill="D9D9D9"/>
          </w:tcPr>
          <w:p w14:paraId="741C137E"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auto" w:fill="D9D9D9"/>
            <w:vAlign w:val="center"/>
            <w:hideMark/>
          </w:tcPr>
          <w:p w14:paraId="7424C7C6"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tcPr>
          <w:p w14:paraId="4210F2A3"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shd w:val="clear" w:color="auto" w:fill="D9D9D9"/>
            <w:vAlign w:val="center"/>
            <w:hideMark/>
          </w:tcPr>
          <w:p w14:paraId="1F392CDC"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vAlign w:val="center"/>
            <w:hideMark/>
          </w:tcPr>
          <w:p w14:paraId="6F7ABEFF"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vAlign w:val="center"/>
            <w:hideMark/>
          </w:tcPr>
          <w:p w14:paraId="52FE3CFD"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vAlign w:val="center"/>
            <w:hideMark/>
          </w:tcPr>
          <w:p w14:paraId="7E769597"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vAlign w:val="center"/>
            <w:hideMark/>
          </w:tcPr>
          <w:p w14:paraId="2655C056"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tcPr>
          <w:p w14:paraId="42C06E19"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55</w:t>
            </w:r>
          </w:p>
        </w:tc>
      </w:tr>
      <w:tr w:rsidR="0084313D" w:rsidRPr="004E13E9" w14:paraId="06BC90E8" w14:textId="77777777" w:rsidTr="00E62E84">
        <w:trPr>
          <w:trHeight w:val="20"/>
        </w:trPr>
        <w:tc>
          <w:tcPr>
            <w:tcW w:w="0" w:type="auto"/>
            <w:shd w:val="clear" w:color="auto" w:fill="D9D9D9"/>
            <w:noWrap/>
            <w:vAlign w:val="center"/>
          </w:tcPr>
          <w:p w14:paraId="6FF7893A" w14:textId="77777777" w:rsidR="0084313D" w:rsidRPr="004E13E9" w:rsidRDefault="0084313D" w:rsidP="00E62E84">
            <w:pPr>
              <w:rPr>
                <w:rFonts w:eastAsia="Times New Roman" w:cs="Calibri"/>
                <w:b/>
                <w:bCs/>
                <w:kern w:val="2"/>
                <w:sz w:val="16"/>
                <w:szCs w:val="16"/>
                <w:lang w:val="fr-FR" w:eastAsia="ko-KR"/>
                <w14:ligatures w14:val="standardContextual"/>
              </w:rPr>
            </w:pPr>
            <w:r w:rsidRPr="004E13E9">
              <w:rPr>
                <w:rFonts w:eastAsia="Malgun Gothic"/>
                <w:b/>
                <w:kern w:val="2"/>
                <w:sz w:val="16"/>
                <w:szCs w:val="16"/>
                <w:lang w:val="fr-FR" w:eastAsia="ko-KR"/>
                <w14:ligatures w14:val="standardContextual"/>
              </w:rPr>
              <w:t xml:space="preserve">Quota ajusté (le cas échéant) </w:t>
            </w:r>
          </w:p>
        </w:tc>
        <w:tc>
          <w:tcPr>
            <w:tcW w:w="1874" w:type="dxa"/>
            <w:shd w:val="clear" w:color="auto" w:fill="D9D9D9"/>
            <w:noWrap/>
            <w:vAlign w:val="center"/>
          </w:tcPr>
          <w:p w14:paraId="06586C89" w14:textId="77777777" w:rsidR="0084313D" w:rsidRPr="004E13E9" w:rsidRDefault="0084313D" w:rsidP="00E62E84">
            <w:pPr>
              <w:jc w:val="right"/>
              <w:rPr>
                <w:rFonts w:eastAsia="Times New Roman" w:cs="Calibri"/>
                <w:kern w:val="2"/>
                <w:sz w:val="16"/>
                <w:szCs w:val="16"/>
                <w:lang w:val="fr-FR" w:eastAsia="ja-JP"/>
                <w14:ligatures w14:val="standardContextual"/>
              </w:rPr>
            </w:pPr>
          </w:p>
        </w:tc>
        <w:tc>
          <w:tcPr>
            <w:tcW w:w="628" w:type="dxa"/>
            <w:shd w:val="clear" w:color="auto" w:fill="D9D9D9"/>
          </w:tcPr>
          <w:p w14:paraId="09487DFE" w14:textId="77777777" w:rsidR="0084313D" w:rsidRPr="004E13E9" w:rsidRDefault="0084313D" w:rsidP="00E62E84">
            <w:pPr>
              <w:rPr>
                <w:rFonts w:eastAsia="Times New Roman" w:cs="Calibri"/>
                <w:kern w:val="2"/>
                <w:sz w:val="16"/>
                <w:szCs w:val="16"/>
                <w:lang w:val="fr-FR" w:eastAsia="ja-JP"/>
                <w14:ligatures w14:val="standardContextual"/>
              </w:rPr>
            </w:pPr>
          </w:p>
        </w:tc>
        <w:tc>
          <w:tcPr>
            <w:tcW w:w="0" w:type="auto"/>
            <w:shd w:val="clear" w:color="auto" w:fill="D9D9D9"/>
            <w:noWrap/>
            <w:vAlign w:val="center"/>
          </w:tcPr>
          <w:p w14:paraId="3D1631EB" w14:textId="77777777" w:rsidR="0084313D" w:rsidRPr="004E13E9" w:rsidRDefault="0084313D" w:rsidP="00E62E84">
            <w:pPr>
              <w:rPr>
                <w:rFonts w:eastAsia="Times New Roman" w:cs="Calibri"/>
                <w:kern w:val="2"/>
                <w:sz w:val="16"/>
                <w:szCs w:val="16"/>
                <w:lang w:val="fr-FR" w:eastAsia="ja-JP"/>
                <w14:ligatures w14:val="standardContextual"/>
              </w:rPr>
            </w:pPr>
          </w:p>
        </w:tc>
        <w:tc>
          <w:tcPr>
            <w:tcW w:w="0" w:type="auto"/>
            <w:shd w:val="clear" w:color="auto" w:fill="D9D9D9"/>
            <w:vAlign w:val="center"/>
          </w:tcPr>
          <w:p w14:paraId="1785EA80" w14:textId="77777777" w:rsidR="0084313D" w:rsidRPr="004E13E9" w:rsidRDefault="0084313D" w:rsidP="00E62E84">
            <w:pPr>
              <w:rPr>
                <w:rFonts w:eastAsia="Times New Roman" w:cs="Calibri"/>
                <w:kern w:val="2"/>
                <w:sz w:val="16"/>
                <w:szCs w:val="16"/>
                <w:lang w:val="fr-FR" w:eastAsia="ja-JP"/>
                <w14:ligatures w14:val="standardContextual"/>
              </w:rPr>
            </w:pPr>
          </w:p>
        </w:tc>
        <w:tc>
          <w:tcPr>
            <w:tcW w:w="0" w:type="auto"/>
            <w:shd w:val="clear" w:color="auto" w:fill="D9D9D9"/>
            <w:vAlign w:val="center"/>
          </w:tcPr>
          <w:p w14:paraId="0781FA15" w14:textId="77777777" w:rsidR="0084313D" w:rsidRPr="004E13E9" w:rsidRDefault="0084313D" w:rsidP="00E62E84">
            <w:pPr>
              <w:rPr>
                <w:rFonts w:eastAsia="Times New Roman" w:cs="Calibri"/>
                <w:kern w:val="2"/>
                <w:sz w:val="16"/>
                <w:szCs w:val="16"/>
                <w:lang w:val="fr-FR" w:eastAsia="ja-JP"/>
                <w14:ligatures w14:val="standardContextual"/>
              </w:rPr>
            </w:pPr>
          </w:p>
        </w:tc>
        <w:tc>
          <w:tcPr>
            <w:tcW w:w="0" w:type="auto"/>
            <w:shd w:val="clear" w:color="auto" w:fill="D9D9D9"/>
            <w:vAlign w:val="center"/>
          </w:tcPr>
          <w:p w14:paraId="2063B958" w14:textId="77777777" w:rsidR="0084313D" w:rsidRPr="004E13E9" w:rsidRDefault="0084313D" w:rsidP="00E62E84">
            <w:pPr>
              <w:rPr>
                <w:rFonts w:eastAsia="Times New Roman" w:cs="Calibri"/>
                <w:kern w:val="2"/>
                <w:sz w:val="16"/>
                <w:szCs w:val="16"/>
                <w:lang w:val="fr-FR" w:eastAsia="ja-JP"/>
                <w14:ligatures w14:val="standardContextual"/>
              </w:rPr>
            </w:pPr>
          </w:p>
        </w:tc>
        <w:tc>
          <w:tcPr>
            <w:tcW w:w="0" w:type="auto"/>
            <w:shd w:val="clear" w:color="auto" w:fill="D9D9D9"/>
          </w:tcPr>
          <w:p w14:paraId="2CCA23E9" w14:textId="77777777" w:rsidR="0084313D" w:rsidRPr="004E13E9" w:rsidRDefault="0084313D" w:rsidP="00E62E84">
            <w:pPr>
              <w:rPr>
                <w:rFonts w:eastAsia="Times New Roman" w:cs="Calibri"/>
                <w:kern w:val="2"/>
                <w:sz w:val="16"/>
                <w:szCs w:val="16"/>
                <w:lang w:val="fr-FR" w:eastAsia="ja-JP"/>
                <w14:ligatures w14:val="standardContextual"/>
              </w:rPr>
            </w:pPr>
          </w:p>
        </w:tc>
        <w:tc>
          <w:tcPr>
            <w:tcW w:w="0" w:type="auto"/>
            <w:shd w:val="clear" w:color="auto" w:fill="D9D9D9"/>
          </w:tcPr>
          <w:p w14:paraId="61D06B4C"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auto" w:fill="D9D9D9"/>
            <w:vAlign w:val="center"/>
          </w:tcPr>
          <w:p w14:paraId="13B131A8"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shd w:val="clear" w:color="auto" w:fill="D9D9D9"/>
          </w:tcPr>
          <w:p w14:paraId="0FCAB4DA"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shd w:val="clear" w:color="auto" w:fill="D9D9D9"/>
            <w:vAlign w:val="center"/>
          </w:tcPr>
          <w:p w14:paraId="6E88D939"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shd w:val="clear" w:color="auto" w:fill="D9D9D9"/>
            <w:vAlign w:val="center"/>
          </w:tcPr>
          <w:p w14:paraId="13024B3B"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shd w:val="clear" w:color="auto" w:fill="D9D9D9"/>
            <w:vAlign w:val="center"/>
          </w:tcPr>
          <w:p w14:paraId="5A0CE315"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shd w:val="clear" w:color="auto" w:fill="D9D9D9"/>
            <w:vAlign w:val="center"/>
          </w:tcPr>
          <w:p w14:paraId="3B7095DD"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shd w:val="clear" w:color="auto" w:fill="D9D9D9"/>
            <w:vAlign w:val="center"/>
          </w:tcPr>
          <w:p w14:paraId="69321513"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shd w:val="clear" w:color="auto" w:fill="D9D9D9"/>
          </w:tcPr>
          <w:p w14:paraId="415F7948"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6032F8B6" w14:textId="77777777" w:rsidTr="00E62E84">
        <w:trPr>
          <w:trHeight w:val="20"/>
        </w:trPr>
        <w:tc>
          <w:tcPr>
            <w:tcW w:w="0" w:type="auto"/>
            <w:noWrap/>
            <w:vAlign w:val="center"/>
            <w:hideMark/>
          </w:tcPr>
          <w:p w14:paraId="0B0FCE48" w14:textId="77777777" w:rsidR="0084313D" w:rsidRPr="004E13E9" w:rsidRDefault="0084313D" w:rsidP="00E62E84">
            <w:pPr>
              <w:rPr>
                <w:rFonts w:eastAsia="Times New Roman" w:cs="Calibri"/>
                <w:b/>
                <w:bCs/>
                <w:kern w:val="2"/>
                <w:sz w:val="16"/>
                <w:szCs w:val="16"/>
                <w:lang w:val="fr-FR" w:eastAsia="ko-KR"/>
                <w14:ligatures w14:val="standardContextual"/>
              </w:rPr>
            </w:pPr>
            <w:r w:rsidRPr="004E13E9">
              <w:rPr>
                <w:rFonts w:eastAsia="Malgun Gothic"/>
                <w:b/>
                <w:kern w:val="2"/>
                <w:sz w:val="16"/>
                <w:szCs w:val="16"/>
                <w:lang w:val="fr-FR" w:eastAsia="ko-KR"/>
                <w14:ligatures w14:val="standardContextual"/>
              </w:rPr>
              <w:t>Pourcentage alloué aux prises accessoires</w:t>
            </w:r>
          </w:p>
        </w:tc>
        <w:tc>
          <w:tcPr>
            <w:tcW w:w="1874" w:type="dxa"/>
            <w:noWrap/>
            <w:vAlign w:val="center"/>
            <w:hideMark/>
          </w:tcPr>
          <w:p w14:paraId="786943E5" w14:textId="77777777" w:rsidR="0084313D" w:rsidRPr="004E13E9" w:rsidRDefault="0084313D" w:rsidP="00E62E84">
            <w:pPr>
              <w:jc w:val="right"/>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 </w:t>
            </w:r>
          </w:p>
        </w:tc>
        <w:tc>
          <w:tcPr>
            <w:tcW w:w="628" w:type="dxa"/>
          </w:tcPr>
          <w:p w14:paraId="795E9AAE" w14:textId="77777777" w:rsidR="0084313D" w:rsidRPr="004E13E9" w:rsidRDefault="0084313D" w:rsidP="00E62E84">
            <w:pPr>
              <w:rPr>
                <w:rFonts w:eastAsia="Times New Roman" w:cs="Calibri"/>
                <w:kern w:val="2"/>
                <w:sz w:val="16"/>
                <w:szCs w:val="16"/>
                <w:lang w:val="fr-FR" w:eastAsia="ja-JP"/>
                <w14:ligatures w14:val="standardContextual"/>
              </w:rPr>
            </w:pPr>
          </w:p>
        </w:tc>
        <w:tc>
          <w:tcPr>
            <w:tcW w:w="0" w:type="auto"/>
            <w:noWrap/>
            <w:vAlign w:val="center"/>
            <w:hideMark/>
          </w:tcPr>
          <w:p w14:paraId="3D60F408" w14:textId="77777777" w:rsidR="0084313D" w:rsidRPr="004E13E9" w:rsidRDefault="0084313D" w:rsidP="00E62E84">
            <w:pPr>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 </w:t>
            </w:r>
          </w:p>
        </w:tc>
        <w:tc>
          <w:tcPr>
            <w:tcW w:w="0" w:type="auto"/>
            <w:vAlign w:val="center"/>
            <w:hideMark/>
          </w:tcPr>
          <w:p w14:paraId="4B7EA342" w14:textId="77777777" w:rsidR="0084313D" w:rsidRPr="004E13E9" w:rsidRDefault="0084313D" w:rsidP="00E62E84">
            <w:pPr>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 </w:t>
            </w:r>
          </w:p>
        </w:tc>
        <w:tc>
          <w:tcPr>
            <w:tcW w:w="0" w:type="auto"/>
            <w:vAlign w:val="center"/>
            <w:hideMark/>
          </w:tcPr>
          <w:p w14:paraId="5449F856" w14:textId="77777777" w:rsidR="0084313D" w:rsidRPr="004E13E9" w:rsidRDefault="0084313D" w:rsidP="00E62E84">
            <w:pPr>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 </w:t>
            </w:r>
          </w:p>
        </w:tc>
        <w:tc>
          <w:tcPr>
            <w:tcW w:w="0" w:type="auto"/>
            <w:vAlign w:val="center"/>
            <w:hideMark/>
          </w:tcPr>
          <w:p w14:paraId="34C8E185" w14:textId="77777777" w:rsidR="0084313D" w:rsidRPr="004E13E9" w:rsidRDefault="0084313D" w:rsidP="00E62E84">
            <w:pPr>
              <w:rPr>
                <w:rFonts w:eastAsia="Times New Roman" w:cs="Calibri"/>
                <w:kern w:val="2"/>
                <w:sz w:val="16"/>
                <w:szCs w:val="16"/>
                <w:lang w:val="fr-FR" w:eastAsia="ko-KR"/>
                <w14:ligatures w14:val="standardContextual"/>
              </w:rPr>
            </w:pPr>
            <w:r w:rsidRPr="004E13E9">
              <w:rPr>
                <w:rFonts w:eastAsia="Malgun Gothic"/>
                <w:kern w:val="2"/>
                <w:sz w:val="16"/>
                <w:szCs w:val="16"/>
                <w:lang w:val="fr-FR" w:eastAsia="ko-KR"/>
                <w14:ligatures w14:val="standardContextual"/>
              </w:rPr>
              <w:t> </w:t>
            </w:r>
          </w:p>
        </w:tc>
        <w:tc>
          <w:tcPr>
            <w:tcW w:w="0" w:type="auto"/>
          </w:tcPr>
          <w:p w14:paraId="198082D6" w14:textId="77777777" w:rsidR="0084313D" w:rsidRPr="004E13E9" w:rsidRDefault="0084313D" w:rsidP="00E62E84">
            <w:pPr>
              <w:rPr>
                <w:rFonts w:eastAsia="Times New Roman" w:cs="Calibri"/>
                <w:kern w:val="2"/>
                <w:sz w:val="16"/>
                <w:szCs w:val="16"/>
                <w:lang w:val="fr-FR" w:eastAsia="ja-JP"/>
                <w14:ligatures w14:val="standardContextual"/>
              </w:rPr>
            </w:pPr>
          </w:p>
        </w:tc>
        <w:tc>
          <w:tcPr>
            <w:tcW w:w="0" w:type="auto"/>
          </w:tcPr>
          <w:p w14:paraId="72280536"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hideMark/>
          </w:tcPr>
          <w:p w14:paraId="045CCEAC"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77715F3E"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vAlign w:val="center"/>
            <w:hideMark/>
          </w:tcPr>
          <w:p w14:paraId="535FC7A8"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1C7B54DF"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4273A483"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697B0397"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vAlign w:val="center"/>
            <w:hideMark/>
          </w:tcPr>
          <w:p w14:paraId="2F459511"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tcPr>
          <w:p w14:paraId="1B748585"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4D7BA57E" w14:textId="77777777" w:rsidTr="00E62E84">
        <w:trPr>
          <w:trHeight w:val="20"/>
        </w:trPr>
        <w:tc>
          <w:tcPr>
            <w:tcW w:w="0" w:type="auto"/>
            <w:noWrap/>
            <w:vAlign w:val="center"/>
          </w:tcPr>
          <w:p w14:paraId="1E7C3D34"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xml:space="preserve">Allocation aux </w:t>
            </w:r>
            <w:proofErr w:type="spellStart"/>
            <w:r w:rsidRPr="004E13E9">
              <w:rPr>
                <w:rFonts w:eastAsia="Malgun Gothic"/>
                <w:b/>
                <w:kern w:val="2"/>
                <w:sz w:val="16"/>
                <w:szCs w:val="16"/>
                <w:lang w:eastAsia="ko-KR"/>
                <w14:ligatures w14:val="standardContextual"/>
              </w:rPr>
              <w:t>prises</w:t>
            </w:r>
            <w:proofErr w:type="spellEnd"/>
            <w:r w:rsidRPr="004E13E9">
              <w:rPr>
                <w:rFonts w:eastAsia="Malgun Gothic"/>
                <w:b/>
                <w:kern w:val="2"/>
                <w:sz w:val="16"/>
                <w:szCs w:val="16"/>
                <w:lang w:eastAsia="ko-KR"/>
                <w14:ligatures w14:val="standardContextual"/>
              </w:rPr>
              <w:t xml:space="preserve"> </w:t>
            </w:r>
            <w:proofErr w:type="spellStart"/>
            <w:r w:rsidRPr="004E13E9">
              <w:rPr>
                <w:rFonts w:eastAsia="Malgun Gothic"/>
                <w:b/>
                <w:kern w:val="2"/>
                <w:sz w:val="16"/>
                <w:szCs w:val="16"/>
                <w:lang w:eastAsia="ko-KR"/>
                <w14:ligatures w14:val="standardContextual"/>
              </w:rPr>
              <w:t>accessoires</w:t>
            </w:r>
            <w:proofErr w:type="spellEnd"/>
            <w:r w:rsidRPr="004E13E9">
              <w:rPr>
                <w:rFonts w:eastAsia="Malgun Gothic"/>
                <w:b/>
                <w:kern w:val="2"/>
                <w:sz w:val="16"/>
                <w:szCs w:val="16"/>
                <w:vertAlign w:val="superscript"/>
                <w:lang w:eastAsia="ko-KR"/>
                <w14:ligatures w14:val="standardContextual"/>
              </w:rPr>
              <w:t>*</w:t>
            </w:r>
          </w:p>
        </w:tc>
        <w:tc>
          <w:tcPr>
            <w:tcW w:w="1874" w:type="dxa"/>
            <w:noWrap/>
            <w:vAlign w:val="center"/>
          </w:tcPr>
          <w:p w14:paraId="1F44BAA0" w14:textId="77777777" w:rsidR="0084313D" w:rsidRPr="004E13E9" w:rsidRDefault="0084313D" w:rsidP="00E62E84">
            <w:pPr>
              <w:jc w:val="right"/>
              <w:rPr>
                <w:rFonts w:eastAsia="Times New Roman" w:cs="Calibri"/>
                <w:kern w:val="2"/>
                <w:sz w:val="16"/>
                <w:szCs w:val="16"/>
                <w:lang w:eastAsia="ja-JP"/>
                <w14:ligatures w14:val="standardContextual"/>
              </w:rPr>
            </w:pPr>
          </w:p>
        </w:tc>
        <w:tc>
          <w:tcPr>
            <w:tcW w:w="628" w:type="dxa"/>
          </w:tcPr>
          <w:p w14:paraId="2AB85196"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noWrap/>
            <w:vAlign w:val="center"/>
          </w:tcPr>
          <w:p w14:paraId="7C1EA993"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vAlign w:val="center"/>
          </w:tcPr>
          <w:p w14:paraId="3F5C748C"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vAlign w:val="center"/>
          </w:tcPr>
          <w:p w14:paraId="58EFFA58"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vAlign w:val="center"/>
          </w:tcPr>
          <w:p w14:paraId="0963F9DC"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tcPr>
          <w:p w14:paraId="5B751203"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tcPr>
          <w:p w14:paraId="3540D38F"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tcPr>
          <w:p w14:paraId="1300DFF5"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tcPr>
          <w:p w14:paraId="239C66AA"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vAlign w:val="center"/>
          </w:tcPr>
          <w:p w14:paraId="421B4520"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vAlign w:val="center"/>
          </w:tcPr>
          <w:p w14:paraId="2B37AD66"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vAlign w:val="center"/>
          </w:tcPr>
          <w:p w14:paraId="1203F48E"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vAlign w:val="center"/>
          </w:tcPr>
          <w:p w14:paraId="3CC99E8A"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vAlign w:val="center"/>
          </w:tcPr>
          <w:p w14:paraId="1DD3DB64"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tcPr>
          <w:p w14:paraId="63945B33"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158CA94D" w14:textId="77777777" w:rsidTr="00E62E84">
        <w:trPr>
          <w:trHeight w:val="20"/>
        </w:trPr>
        <w:tc>
          <w:tcPr>
            <w:tcW w:w="0" w:type="auto"/>
            <w:vAlign w:val="center"/>
          </w:tcPr>
          <w:p w14:paraId="1B88B72E" w14:textId="77777777" w:rsidR="0084313D" w:rsidRPr="004E13E9" w:rsidRDefault="0084313D" w:rsidP="00E62E84">
            <w:pPr>
              <w:rPr>
                <w:rFonts w:eastAsia="Times New Roman" w:cs="Calibri"/>
                <w:b/>
                <w:bCs/>
                <w:kern w:val="2"/>
                <w:sz w:val="16"/>
                <w:szCs w:val="16"/>
                <w:lang w:val="fr-FR" w:eastAsia="ko-KR"/>
                <w14:ligatures w14:val="standardContextual"/>
              </w:rPr>
            </w:pPr>
            <w:r w:rsidRPr="004E13E9">
              <w:rPr>
                <w:rFonts w:eastAsia="Malgun Gothic"/>
                <w:b/>
                <w:kern w:val="2"/>
                <w:sz w:val="16"/>
                <w:szCs w:val="16"/>
                <w:lang w:val="fr-FR" w:eastAsia="ko-KR"/>
                <w14:ligatures w14:val="standardContextual"/>
              </w:rPr>
              <w:t>Quota de recherche scientifique</w:t>
            </w:r>
          </w:p>
          <w:p w14:paraId="66E82278" w14:textId="77777777" w:rsidR="0084313D" w:rsidRPr="004E13E9" w:rsidRDefault="0084313D" w:rsidP="00E62E84">
            <w:pPr>
              <w:rPr>
                <w:rFonts w:eastAsia="Times New Roman" w:cs="Calibri"/>
                <w:b/>
                <w:bCs/>
                <w:kern w:val="2"/>
                <w:sz w:val="16"/>
                <w:szCs w:val="16"/>
                <w:lang w:val="fr-FR" w:eastAsia="ko-KR"/>
                <w14:ligatures w14:val="standardContextual"/>
              </w:rPr>
            </w:pPr>
            <w:r w:rsidRPr="004E13E9">
              <w:rPr>
                <w:rFonts w:eastAsia="Malgun Gothic"/>
                <w:b/>
                <w:kern w:val="2"/>
                <w:sz w:val="16"/>
                <w:szCs w:val="16"/>
                <w:lang w:val="fr-FR" w:eastAsia="ko-KR"/>
                <w14:ligatures w14:val="standardContextual"/>
              </w:rPr>
              <w:t>(le cas échéant)</w:t>
            </w:r>
          </w:p>
        </w:tc>
        <w:tc>
          <w:tcPr>
            <w:tcW w:w="1874" w:type="dxa"/>
            <w:noWrap/>
            <w:vAlign w:val="center"/>
          </w:tcPr>
          <w:p w14:paraId="727F4FB9" w14:textId="77777777" w:rsidR="0084313D" w:rsidRPr="004E13E9" w:rsidRDefault="0084313D" w:rsidP="00E62E84">
            <w:pPr>
              <w:jc w:val="right"/>
              <w:rPr>
                <w:rFonts w:eastAsia="Times New Roman" w:cs="Calibri"/>
                <w:b/>
                <w:bCs/>
                <w:kern w:val="2"/>
                <w:sz w:val="16"/>
                <w:szCs w:val="16"/>
                <w:lang w:val="fr-FR" w:eastAsia="ja-JP"/>
                <w14:ligatures w14:val="standardContextual"/>
              </w:rPr>
            </w:pPr>
          </w:p>
        </w:tc>
        <w:tc>
          <w:tcPr>
            <w:tcW w:w="628" w:type="dxa"/>
          </w:tcPr>
          <w:p w14:paraId="19226F42" w14:textId="77777777" w:rsidR="0084313D" w:rsidRPr="004E13E9" w:rsidRDefault="0084313D" w:rsidP="00E62E84">
            <w:pPr>
              <w:rPr>
                <w:rFonts w:eastAsia="Times New Roman" w:cs="Calibri"/>
                <w:b/>
                <w:bCs/>
                <w:kern w:val="2"/>
                <w:sz w:val="16"/>
                <w:szCs w:val="16"/>
                <w:lang w:val="fr-FR" w:eastAsia="ja-JP"/>
                <w14:ligatures w14:val="standardContextual"/>
              </w:rPr>
            </w:pPr>
          </w:p>
        </w:tc>
        <w:tc>
          <w:tcPr>
            <w:tcW w:w="0" w:type="auto"/>
            <w:noWrap/>
            <w:vAlign w:val="center"/>
          </w:tcPr>
          <w:p w14:paraId="591304FA" w14:textId="77777777" w:rsidR="0084313D" w:rsidRPr="004E13E9" w:rsidRDefault="0084313D" w:rsidP="00E62E84">
            <w:pPr>
              <w:rPr>
                <w:rFonts w:eastAsia="Times New Roman" w:cs="Calibri"/>
                <w:b/>
                <w:bCs/>
                <w:kern w:val="2"/>
                <w:sz w:val="16"/>
                <w:szCs w:val="16"/>
                <w:lang w:val="fr-FR" w:eastAsia="ja-JP"/>
                <w14:ligatures w14:val="standardContextual"/>
              </w:rPr>
            </w:pPr>
          </w:p>
        </w:tc>
        <w:tc>
          <w:tcPr>
            <w:tcW w:w="0" w:type="auto"/>
            <w:vAlign w:val="center"/>
          </w:tcPr>
          <w:p w14:paraId="49B2C808" w14:textId="77777777" w:rsidR="0084313D" w:rsidRPr="004E13E9" w:rsidRDefault="0084313D" w:rsidP="00E62E84">
            <w:pPr>
              <w:rPr>
                <w:rFonts w:eastAsia="Times New Roman" w:cs="Calibri"/>
                <w:b/>
                <w:bCs/>
                <w:kern w:val="2"/>
                <w:sz w:val="16"/>
                <w:szCs w:val="16"/>
                <w:lang w:val="fr-FR" w:eastAsia="ja-JP"/>
                <w14:ligatures w14:val="standardContextual"/>
              </w:rPr>
            </w:pPr>
          </w:p>
        </w:tc>
        <w:tc>
          <w:tcPr>
            <w:tcW w:w="0" w:type="auto"/>
            <w:vAlign w:val="center"/>
          </w:tcPr>
          <w:p w14:paraId="6AB0B33F" w14:textId="77777777" w:rsidR="0084313D" w:rsidRPr="004E13E9" w:rsidRDefault="0084313D" w:rsidP="00E62E84">
            <w:pPr>
              <w:rPr>
                <w:rFonts w:eastAsia="Times New Roman" w:cs="Calibri"/>
                <w:b/>
                <w:bCs/>
                <w:kern w:val="2"/>
                <w:sz w:val="16"/>
                <w:szCs w:val="16"/>
                <w:lang w:val="fr-FR" w:eastAsia="ja-JP"/>
                <w14:ligatures w14:val="standardContextual"/>
              </w:rPr>
            </w:pPr>
          </w:p>
        </w:tc>
        <w:tc>
          <w:tcPr>
            <w:tcW w:w="0" w:type="auto"/>
            <w:vAlign w:val="center"/>
          </w:tcPr>
          <w:p w14:paraId="17D957A6" w14:textId="77777777" w:rsidR="0084313D" w:rsidRPr="004E13E9" w:rsidRDefault="0084313D" w:rsidP="00E62E84">
            <w:pPr>
              <w:rPr>
                <w:rFonts w:eastAsia="Times New Roman" w:cs="Calibri"/>
                <w:b/>
                <w:bCs/>
                <w:kern w:val="2"/>
                <w:sz w:val="16"/>
                <w:szCs w:val="16"/>
                <w:lang w:val="fr-FR" w:eastAsia="ja-JP"/>
                <w14:ligatures w14:val="standardContextual"/>
              </w:rPr>
            </w:pPr>
          </w:p>
        </w:tc>
        <w:tc>
          <w:tcPr>
            <w:tcW w:w="0" w:type="auto"/>
          </w:tcPr>
          <w:p w14:paraId="08043407" w14:textId="77777777" w:rsidR="0084313D" w:rsidRPr="004E13E9" w:rsidRDefault="0084313D" w:rsidP="00E62E84">
            <w:pPr>
              <w:rPr>
                <w:rFonts w:eastAsia="Times New Roman" w:cs="Calibri"/>
                <w:b/>
                <w:bCs/>
                <w:kern w:val="2"/>
                <w:sz w:val="16"/>
                <w:szCs w:val="16"/>
                <w:lang w:val="fr-FR" w:eastAsia="ja-JP"/>
                <w14:ligatures w14:val="standardContextual"/>
              </w:rPr>
            </w:pPr>
          </w:p>
        </w:tc>
        <w:tc>
          <w:tcPr>
            <w:tcW w:w="0" w:type="auto"/>
          </w:tcPr>
          <w:p w14:paraId="244CB747"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tcPr>
          <w:p w14:paraId="2E1FE441"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tcPr>
          <w:p w14:paraId="188453B4"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tcPr>
          <w:p w14:paraId="278BDBD0"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tcPr>
          <w:p w14:paraId="3B7C6F9D"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noWrap/>
            <w:vAlign w:val="center"/>
          </w:tcPr>
          <w:p w14:paraId="2FD2A497"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noWrap/>
            <w:vAlign w:val="center"/>
          </w:tcPr>
          <w:p w14:paraId="3F01046E"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noWrap/>
            <w:vAlign w:val="center"/>
          </w:tcPr>
          <w:p w14:paraId="2513C60E"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tcPr>
          <w:p w14:paraId="02A1D59D"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0386C703" w14:textId="77777777" w:rsidTr="00E62E84">
        <w:trPr>
          <w:trHeight w:val="20"/>
        </w:trPr>
        <w:tc>
          <w:tcPr>
            <w:tcW w:w="0" w:type="auto"/>
            <w:vAlign w:val="center"/>
          </w:tcPr>
          <w:p w14:paraId="5047AA78" w14:textId="77777777" w:rsidR="0084313D" w:rsidRPr="004E13E9" w:rsidRDefault="0084313D" w:rsidP="00E62E84">
            <w:pPr>
              <w:rPr>
                <w:rFonts w:eastAsia="Times New Roman" w:cs="Calibri"/>
                <w:b/>
                <w:bCs/>
                <w:kern w:val="2"/>
                <w:sz w:val="16"/>
                <w:szCs w:val="16"/>
                <w:lang w:val="fr-FR" w:eastAsia="ko-KR"/>
                <w14:ligatures w14:val="standardContextual"/>
              </w:rPr>
            </w:pPr>
            <w:r w:rsidRPr="004E13E9">
              <w:rPr>
                <w:rFonts w:eastAsia="Malgun Gothic"/>
                <w:b/>
                <w:kern w:val="2"/>
                <w:sz w:val="16"/>
                <w:szCs w:val="16"/>
                <w:lang w:val="fr-FR" w:eastAsia="ko-KR"/>
                <w14:ligatures w14:val="standardContextual"/>
              </w:rPr>
              <w:t>Tolérance pour la pêche sportive/récréative</w:t>
            </w:r>
          </w:p>
          <w:p w14:paraId="6863909D"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 xml:space="preserve">(le </w:t>
            </w:r>
            <w:proofErr w:type="spellStart"/>
            <w:r w:rsidRPr="004E13E9">
              <w:rPr>
                <w:rFonts w:eastAsia="Malgun Gothic"/>
                <w:b/>
                <w:kern w:val="2"/>
                <w:sz w:val="16"/>
                <w:szCs w:val="16"/>
                <w:lang w:eastAsia="ko-KR"/>
                <w14:ligatures w14:val="standardContextual"/>
              </w:rPr>
              <w:t>cas</w:t>
            </w:r>
            <w:proofErr w:type="spellEnd"/>
            <w:r w:rsidRPr="004E13E9">
              <w:rPr>
                <w:rFonts w:eastAsia="Malgun Gothic"/>
                <w:b/>
                <w:kern w:val="2"/>
                <w:sz w:val="16"/>
                <w:szCs w:val="16"/>
                <w:lang w:eastAsia="ko-KR"/>
                <w14:ligatures w14:val="standardContextual"/>
              </w:rPr>
              <w:t xml:space="preserve"> </w:t>
            </w:r>
            <w:proofErr w:type="spellStart"/>
            <w:r w:rsidRPr="004E13E9">
              <w:rPr>
                <w:rFonts w:eastAsia="Malgun Gothic"/>
                <w:b/>
                <w:kern w:val="2"/>
                <w:sz w:val="16"/>
                <w:szCs w:val="16"/>
                <w:lang w:eastAsia="ko-KR"/>
                <w14:ligatures w14:val="standardContextual"/>
              </w:rPr>
              <w:t>échéant</w:t>
            </w:r>
            <w:proofErr w:type="spellEnd"/>
            <w:r w:rsidRPr="004E13E9">
              <w:rPr>
                <w:rFonts w:eastAsia="Malgun Gothic"/>
                <w:b/>
                <w:kern w:val="2"/>
                <w:sz w:val="16"/>
                <w:szCs w:val="16"/>
                <w:lang w:eastAsia="ko-KR"/>
                <w14:ligatures w14:val="standardContextual"/>
              </w:rPr>
              <w:t>)</w:t>
            </w:r>
          </w:p>
        </w:tc>
        <w:tc>
          <w:tcPr>
            <w:tcW w:w="1874" w:type="dxa"/>
            <w:noWrap/>
            <w:vAlign w:val="center"/>
          </w:tcPr>
          <w:p w14:paraId="4EAFBAC4" w14:textId="77777777" w:rsidR="0084313D" w:rsidRPr="004E13E9" w:rsidRDefault="0084313D" w:rsidP="00E62E84">
            <w:pPr>
              <w:jc w:val="right"/>
              <w:rPr>
                <w:rFonts w:eastAsia="Times New Roman" w:cs="Calibri"/>
                <w:b/>
                <w:bCs/>
                <w:kern w:val="2"/>
                <w:sz w:val="16"/>
                <w:szCs w:val="16"/>
                <w:lang w:eastAsia="ja-JP"/>
                <w14:ligatures w14:val="standardContextual"/>
              </w:rPr>
            </w:pPr>
          </w:p>
        </w:tc>
        <w:tc>
          <w:tcPr>
            <w:tcW w:w="628" w:type="dxa"/>
          </w:tcPr>
          <w:p w14:paraId="469CC1FA"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noWrap/>
            <w:vAlign w:val="center"/>
          </w:tcPr>
          <w:p w14:paraId="06CA6652"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tcPr>
          <w:p w14:paraId="1DC40ABE"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tcPr>
          <w:p w14:paraId="04DCE249"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tcPr>
          <w:p w14:paraId="28E1B408"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tcPr>
          <w:p w14:paraId="75C46282"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tcPr>
          <w:p w14:paraId="0A03F9A2"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tcPr>
          <w:p w14:paraId="558C7E9D"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tcPr>
          <w:p w14:paraId="09E220CF"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tcPr>
          <w:p w14:paraId="43115B86"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tcPr>
          <w:p w14:paraId="0BF0F19C"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noWrap/>
            <w:vAlign w:val="center"/>
          </w:tcPr>
          <w:p w14:paraId="35719D8D"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noWrap/>
            <w:vAlign w:val="center"/>
          </w:tcPr>
          <w:p w14:paraId="62B606AF"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noWrap/>
            <w:vAlign w:val="center"/>
          </w:tcPr>
          <w:p w14:paraId="7C2B46F4"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tcPr>
          <w:p w14:paraId="234E079D"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177691DD" w14:textId="77777777" w:rsidTr="00E62E84">
        <w:trPr>
          <w:trHeight w:val="20"/>
        </w:trPr>
        <w:tc>
          <w:tcPr>
            <w:tcW w:w="0" w:type="auto"/>
            <w:vAlign w:val="center"/>
          </w:tcPr>
          <w:p w14:paraId="648D81AC"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Quota disponible</w:t>
            </w:r>
            <w:r w:rsidRPr="004E13E9">
              <w:rPr>
                <w:rFonts w:eastAsia="Malgun Gothic"/>
                <w:b/>
                <w:kern w:val="2"/>
                <w:sz w:val="16"/>
                <w:szCs w:val="16"/>
                <w:vertAlign w:val="superscript"/>
                <w:lang w:eastAsia="ko-KR"/>
                <w14:ligatures w14:val="standardContextual"/>
              </w:rPr>
              <w:t xml:space="preserve"> *</w:t>
            </w:r>
          </w:p>
        </w:tc>
        <w:tc>
          <w:tcPr>
            <w:tcW w:w="1874" w:type="dxa"/>
            <w:noWrap/>
            <w:vAlign w:val="center"/>
          </w:tcPr>
          <w:p w14:paraId="23B49D8B" w14:textId="77777777" w:rsidR="0084313D" w:rsidRPr="004E13E9" w:rsidRDefault="0084313D" w:rsidP="00E62E84">
            <w:pPr>
              <w:jc w:val="right"/>
              <w:rPr>
                <w:rFonts w:eastAsia="Times New Roman" w:cs="Calibri"/>
                <w:b/>
                <w:bCs/>
                <w:kern w:val="2"/>
                <w:sz w:val="16"/>
                <w:szCs w:val="16"/>
                <w:lang w:eastAsia="ja-JP"/>
                <w14:ligatures w14:val="standardContextual"/>
              </w:rPr>
            </w:pPr>
          </w:p>
        </w:tc>
        <w:tc>
          <w:tcPr>
            <w:tcW w:w="628" w:type="dxa"/>
          </w:tcPr>
          <w:p w14:paraId="630CB336"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noWrap/>
            <w:vAlign w:val="center"/>
          </w:tcPr>
          <w:p w14:paraId="79441706"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tcPr>
          <w:p w14:paraId="44343D69"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tcPr>
          <w:p w14:paraId="2324C548"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tcPr>
          <w:p w14:paraId="54B1105B"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tcPr>
          <w:p w14:paraId="27CD4B8D"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tcPr>
          <w:p w14:paraId="09D8278F"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000000" w:fill="D9D9D9"/>
            <w:vAlign w:val="center"/>
          </w:tcPr>
          <w:p w14:paraId="4472496E"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tcPr>
          <w:p w14:paraId="6F77C871"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tcPr>
          <w:p w14:paraId="61517BD4"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vAlign w:val="center"/>
          </w:tcPr>
          <w:p w14:paraId="0E0859B2"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noWrap/>
            <w:vAlign w:val="center"/>
          </w:tcPr>
          <w:p w14:paraId="7165C7CB"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noWrap/>
            <w:vAlign w:val="center"/>
          </w:tcPr>
          <w:p w14:paraId="68AEB78C"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noWrap/>
            <w:vAlign w:val="center"/>
          </w:tcPr>
          <w:p w14:paraId="11C458FE" w14:textId="77777777" w:rsidR="0084313D" w:rsidRPr="004E13E9" w:rsidRDefault="0084313D" w:rsidP="00E62E84">
            <w:pPr>
              <w:rPr>
                <w:rFonts w:eastAsia="Times New Roman" w:cs="Calibri"/>
                <w:b/>
                <w:bCs/>
                <w:kern w:val="2"/>
                <w:sz w:val="16"/>
                <w:szCs w:val="16"/>
                <w:lang w:eastAsia="ja-JP"/>
                <w14:ligatures w14:val="standardContextual"/>
              </w:rPr>
            </w:pPr>
          </w:p>
        </w:tc>
        <w:tc>
          <w:tcPr>
            <w:tcW w:w="0" w:type="auto"/>
          </w:tcPr>
          <w:p w14:paraId="3496C7AA"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r w:rsidR="0084313D" w:rsidRPr="004E13E9" w14:paraId="2C797DA6" w14:textId="77777777" w:rsidTr="00E62E84">
        <w:trPr>
          <w:trHeight w:val="20"/>
        </w:trPr>
        <w:tc>
          <w:tcPr>
            <w:tcW w:w="0" w:type="auto"/>
            <w:shd w:val="clear" w:color="auto" w:fill="D9D9D9"/>
            <w:noWrap/>
            <w:vAlign w:val="center"/>
            <w:hideMark/>
          </w:tcPr>
          <w:p w14:paraId="3AC67B3D" w14:textId="77777777" w:rsidR="0084313D" w:rsidRPr="004E13E9" w:rsidRDefault="0084313D" w:rsidP="00E62E84">
            <w:pPr>
              <w:rPr>
                <w:rFonts w:eastAsia="Times New Roman" w:cs="Calibri"/>
                <w:b/>
                <w:bCs/>
                <w:kern w:val="2"/>
                <w:sz w:val="16"/>
                <w:szCs w:val="16"/>
                <w:lang w:eastAsia="ko-KR"/>
                <w14:ligatures w14:val="standardContextual"/>
              </w:rPr>
            </w:pPr>
            <w:r w:rsidRPr="004E13E9">
              <w:rPr>
                <w:rFonts w:eastAsia="Malgun Gothic"/>
                <w:b/>
                <w:kern w:val="2"/>
                <w:sz w:val="16"/>
                <w:szCs w:val="16"/>
                <w:lang w:eastAsia="ko-KR"/>
                <w14:ligatures w14:val="standardContextual"/>
              </w:rPr>
              <w:t>Sous/</w:t>
            </w:r>
            <w:proofErr w:type="spellStart"/>
            <w:r w:rsidRPr="004E13E9">
              <w:rPr>
                <w:rFonts w:eastAsia="Malgun Gothic"/>
                <w:b/>
                <w:kern w:val="2"/>
                <w:sz w:val="16"/>
                <w:szCs w:val="16"/>
                <w:lang w:eastAsia="ko-KR"/>
                <w14:ligatures w14:val="standardContextual"/>
              </w:rPr>
              <w:t>surcapacité</w:t>
            </w:r>
            <w:proofErr w:type="spellEnd"/>
          </w:p>
        </w:tc>
        <w:tc>
          <w:tcPr>
            <w:tcW w:w="1874" w:type="dxa"/>
            <w:shd w:val="clear" w:color="auto" w:fill="D9D9D9"/>
            <w:noWrap/>
            <w:vAlign w:val="center"/>
            <w:hideMark/>
          </w:tcPr>
          <w:p w14:paraId="6B72B696" w14:textId="77777777" w:rsidR="0084313D" w:rsidRPr="004E13E9" w:rsidRDefault="0084313D" w:rsidP="00E62E84">
            <w:pPr>
              <w:jc w:val="right"/>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628" w:type="dxa"/>
            <w:shd w:val="clear" w:color="auto" w:fill="D9D9D9"/>
          </w:tcPr>
          <w:p w14:paraId="2AD39A1F"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shd w:val="clear" w:color="auto" w:fill="D9D9D9"/>
            <w:noWrap/>
            <w:vAlign w:val="center"/>
            <w:hideMark/>
          </w:tcPr>
          <w:p w14:paraId="12CC5408"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vAlign w:val="center"/>
            <w:hideMark/>
          </w:tcPr>
          <w:p w14:paraId="43C0764C"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vAlign w:val="center"/>
            <w:hideMark/>
          </w:tcPr>
          <w:p w14:paraId="49870EB6"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vAlign w:val="center"/>
            <w:hideMark/>
          </w:tcPr>
          <w:p w14:paraId="5D4C326F"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tcPr>
          <w:p w14:paraId="4F37AFC1"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shd w:val="clear" w:color="auto" w:fill="D9D9D9"/>
          </w:tcPr>
          <w:p w14:paraId="265E5A61" w14:textId="77777777" w:rsidR="0084313D" w:rsidRPr="004E13E9" w:rsidRDefault="0084313D" w:rsidP="00E62E84">
            <w:pPr>
              <w:jc w:val="cente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c>
          <w:tcPr>
            <w:tcW w:w="0" w:type="auto"/>
            <w:shd w:val="clear" w:color="auto" w:fill="D9D9D9"/>
            <w:vAlign w:val="center"/>
            <w:hideMark/>
          </w:tcPr>
          <w:p w14:paraId="0CBDF7DC"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tcPr>
          <w:p w14:paraId="6EDA645F" w14:textId="77777777" w:rsidR="0084313D" w:rsidRPr="004E13E9" w:rsidRDefault="0084313D" w:rsidP="00E62E84">
            <w:pPr>
              <w:rPr>
                <w:rFonts w:eastAsia="Times New Roman" w:cs="Calibri"/>
                <w:kern w:val="2"/>
                <w:sz w:val="16"/>
                <w:szCs w:val="16"/>
                <w:lang w:eastAsia="ja-JP"/>
                <w14:ligatures w14:val="standardContextual"/>
              </w:rPr>
            </w:pPr>
          </w:p>
        </w:tc>
        <w:tc>
          <w:tcPr>
            <w:tcW w:w="0" w:type="auto"/>
            <w:shd w:val="clear" w:color="auto" w:fill="D9D9D9"/>
            <w:vAlign w:val="center"/>
            <w:hideMark/>
          </w:tcPr>
          <w:p w14:paraId="4B498C38"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vAlign w:val="center"/>
            <w:hideMark/>
          </w:tcPr>
          <w:p w14:paraId="5F9515FC"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vAlign w:val="center"/>
            <w:hideMark/>
          </w:tcPr>
          <w:p w14:paraId="757955FC"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vAlign w:val="center"/>
            <w:hideMark/>
          </w:tcPr>
          <w:p w14:paraId="4AE4A4E6"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vAlign w:val="center"/>
            <w:hideMark/>
          </w:tcPr>
          <w:p w14:paraId="4096EB3D" w14:textId="77777777" w:rsidR="0084313D" w:rsidRPr="004E13E9" w:rsidRDefault="0084313D" w:rsidP="00E62E84">
            <w:pPr>
              <w:rPr>
                <w:rFonts w:eastAsia="Times New Roman" w:cs="Calibri"/>
                <w:kern w:val="2"/>
                <w:sz w:val="16"/>
                <w:szCs w:val="16"/>
                <w:lang w:eastAsia="ko-KR"/>
                <w14:ligatures w14:val="standardContextual"/>
              </w:rPr>
            </w:pPr>
            <w:r w:rsidRPr="004E13E9">
              <w:rPr>
                <w:rFonts w:eastAsia="Malgun Gothic"/>
                <w:kern w:val="2"/>
                <w:sz w:val="16"/>
                <w:szCs w:val="16"/>
                <w:lang w:eastAsia="ko-KR"/>
                <w14:ligatures w14:val="standardContextual"/>
              </w:rPr>
              <w:t> </w:t>
            </w:r>
          </w:p>
        </w:tc>
        <w:tc>
          <w:tcPr>
            <w:tcW w:w="0" w:type="auto"/>
            <w:shd w:val="clear" w:color="auto" w:fill="D9D9D9"/>
          </w:tcPr>
          <w:p w14:paraId="78CB5B46" w14:textId="77777777" w:rsidR="0084313D" w:rsidRPr="004E13E9" w:rsidRDefault="0084313D" w:rsidP="00E62E84">
            <w:pPr>
              <w:rPr>
                <w:rFonts w:eastAsia="Times New Roman" w:cs="Calibri"/>
                <w:kern w:val="2"/>
                <w:sz w:val="16"/>
                <w:szCs w:val="16"/>
                <w:lang w:eastAsia="ja-JP"/>
                <w14:ligatures w14:val="standardContextual"/>
              </w:rPr>
            </w:pPr>
            <w:r w:rsidRPr="004E13E9">
              <w:rPr>
                <w:rFonts w:eastAsia="Times New Roman" w:cs="Calibri"/>
                <w:kern w:val="2"/>
                <w:sz w:val="16"/>
                <w:szCs w:val="16"/>
                <w:lang w:eastAsia="ja-JP"/>
                <w14:ligatures w14:val="standardContextual"/>
              </w:rPr>
              <w:t>0</w:t>
            </w:r>
          </w:p>
        </w:tc>
      </w:tr>
    </w:tbl>
    <w:p w14:paraId="4BD60E77" w14:textId="77777777" w:rsidR="0084313D" w:rsidRPr="004E13E9" w:rsidRDefault="0084313D" w:rsidP="0084313D">
      <w:pPr>
        <w:rPr>
          <w:rFonts w:eastAsia="Malgun Gothic"/>
          <w:kern w:val="2"/>
          <w:vertAlign w:val="superscript"/>
          <w:lang w:eastAsia="ko-KR"/>
          <w14:ligatures w14:val="standardContextual"/>
        </w:rPr>
      </w:pPr>
    </w:p>
    <w:p w14:paraId="6DF5B7CE" w14:textId="77777777" w:rsidR="0084313D" w:rsidRPr="004E13E9" w:rsidRDefault="0084313D" w:rsidP="0084313D"/>
    <w:p w14:paraId="544F4B13" w14:textId="77777777" w:rsidR="0084313D" w:rsidRPr="004E13E9" w:rsidRDefault="0084313D">
      <w:pPr>
        <w:rPr>
          <w:lang w:val="it-IT"/>
        </w:rPr>
      </w:pPr>
    </w:p>
    <w:p w14:paraId="3B0FFEA2" w14:textId="77777777" w:rsidR="00934E2D" w:rsidRPr="004E13E9" w:rsidRDefault="00934E2D" w:rsidP="00934E2D">
      <w:pPr>
        <w:rPr>
          <w:lang w:val="it-IT"/>
        </w:rPr>
      </w:pPr>
      <w:r w:rsidRPr="004E13E9">
        <w:rPr>
          <w:lang w:val="it-IT"/>
        </w:rPr>
        <w:br w:type="page"/>
      </w:r>
    </w:p>
    <w:p w14:paraId="6FA85CB9" w14:textId="77777777" w:rsidR="00934E2D" w:rsidRPr="004E13E9" w:rsidRDefault="00934E2D" w:rsidP="00934E2D">
      <w:pPr>
        <w:rPr>
          <w:lang w:val="it-IT"/>
        </w:rPr>
        <w:sectPr w:rsidR="00934E2D" w:rsidRPr="004E13E9" w:rsidSect="0008276D">
          <w:footnotePr>
            <w:numFmt w:val="chicago"/>
          </w:footnotePr>
          <w:pgSz w:w="16840" w:h="11907" w:orient="landscape" w:code="9"/>
          <w:pgMar w:top="1418" w:right="1418" w:bottom="1418" w:left="1418" w:header="851" w:footer="1134" w:gutter="0"/>
          <w:cols w:space="720"/>
          <w:docGrid w:linePitch="272"/>
        </w:sectPr>
      </w:pPr>
    </w:p>
    <w:p w14:paraId="1F70667F" w14:textId="7D17FE23" w:rsidR="00934E2D" w:rsidRPr="004E13E9" w:rsidRDefault="00934E2D" w:rsidP="00934E2D">
      <w:pPr>
        <w:rPr>
          <w:lang w:val="pt-PT" w:eastAsia="en-GB"/>
        </w:rPr>
      </w:pPr>
      <w:r w:rsidRPr="004E13E9">
        <w:rPr>
          <w:b/>
          <w:bCs/>
          <w:lang w:val="pt-PT" w:eastAsia="en-GB"/>
        </w:rPr>
        <w:t>Maroc</w:t>
      </w:r>
    </w:p>
    <w:p w14:paraId="6182E25B" w14:textId="77777777" w:rsidR="00934E2D" w:rsidRPr="004E13E9" w:rsidRDefault="00934E2D" w:rsidP="00934E2D">
      <w:pPr>
        <w:rPr>
          <w:lang w:val="pt-PT" w:eastAsia="en-GB"/>
        </w:rPr>
      </w:pPr>
    </w:p>
    <w:p w14:paraId="5E897990" w14:textId="77777777" w:rsidR="00FE04DA" w:rsidRPr="004E13E9" w:rsidRDefault="00FE04DA" w:rsidP="00032C13">
      <w:pPr>
        <w:jc w:val="both"/>
        <w:rPr>
          <w:lang w:val="fr-FR"/>
        </w:rPr>
      </w:pPr>
      <w:r w:rsidRPr="004E13E9">
        <w:rPr>
          <w:b/>
          <w:lang w:val="fr-FR"/>
        </w:rPr>
        <w:t>Année du plan de pêche : 2026</w:t>
      </w:r>
    </w:p>
    <w:p w14:paraId="5B09621A" w14:textId="77777777" w:rsidR="00FE04DA" w:rsidRPr="004E13E9" w:rsidRDefault="00FE04DA" w:rsidP="00032C13">
      <w:pPr>
        <w:jc w:val="both"/>
        <w:rPr>
          <w:lang w:val="fr-FR"/>
        </w:rPr>
      </w:pPr>
    </w:p>
    <w:p w14:paraId="120562A7" w14:textId="77777777" w:rsidR="00FE04DA" w:rsidRPr="004E13E9" w:rsidRDefault="00FE04DA" w:rsidP="00032C13">
      <w:pPr>
        <w:ind w:left="426" w:hanging="426"/>
        <w:jc w:val="both"/>
        <w:rPr>
          <w:i/>
          <w:lang w:val="fr-FR"/>
        </w:rPr>
      </w:pPr>
      <w:r w:rsidRPr="004E13E9">
        <w:rPr>
          <w:b/>
          <w:lang w:val="fr-FR"/>
        </w:rPr>
        <w:t xml:space="preserve">1. </w:t>
      </w:r>
      <w:r w:rsidRPr="004E13E9">
        <w:rPr>
          <w:b/>
          <w:lang w:val="fr-FR"/>
        </w:rPr>
        <w:tab/>
        <w:t>Détails du plan annuel de pêche pour les navires de capture et les madragues</w:t>
      </w:r>
    </w:p>
    <w:p w14:paraId="73A66706" w14:textId="77777777" w:rsidR="00FE04DA" w:rsidRPr="004E13E9" w:rsidRDefault="00FE04DA" w:rsidP="00032C13">
      <w:pPr>
        <w:jc w:val="both"/>
        <w:rPr>
          <w:i/>
          <w:lang w:val="fr-FR"/>
        </w:rPr>
      </w:pPr>
    </w:p>
    <w:p w14:paraId="51CB4086" w14:textId="77777777" w:rsidR="00FE04DA" w:rsidRPr="004E13E9" w:rsidRDefault="00FE04DA" w:rsidP="00032C13">
      <w:pPr>
        <w:jc w:val="both"/>
        <w:rPr>
          <w:lang w:val="fr-FR"/>
        </w:rPr>
      </w:pPr>
      <w:r w:rsidRPr="004E13E9">
        <w:rPr>
          <w:b/>
          <w:bCs/>
          <w:i/>
          <w:iCs/>
          <w:lang w:val="fr-FR"/>
        </w:rPr>
        <w:t>1a) Présentation (paragraphe 12)</w:t>
      </w:r>
    </w:p>
    <w:p w14:paraId="7D772B85" w14:textId="77777777" w:rsidR="00FE04DA" w:rsidRPr="004E13E9" w:rsidRDefault="00FE04DA" w:rsidP="00032C13">
      <w:pPr>
        <w:jc w:val="both"/>
        <w:rPr>
          <w:lang w:val="fr-FR"/>
        </w:rPr>
      </w:pPr>
    </w:p>
    <w:p w14:paraId="5FCD7B29" w14:textId="77777777" w:rsidR="00FE04DA" w:rsidRPr="004E13E9" w:rsidRDefault="00FE04DA" w:rsidP="00032C13">
      <w:pPr>
        <w:jc w:val="both"/>
        <w:rPr>
          <w:lang w:val="fr-FR"/>
        </w:rPr>
      </w:pPr>
      <w:proofErr w:type="gramStart"/>
      <w:r w:rsidRPr="004E13E9">
        <w:rPr>
          <w:lang w:val="fr-FR"/>
        </w:rPr>
        <w:t>Suite aux</w:t>
      </w:r>
      <w:proofErr w:type="gramEnd"/>
      <w:r w:rsidRPr="004E13E9">
        <w:rPr>
          <w:lang w:val="fr-FR"/>
        </w:rPr>
        <w:t xml:space="preserve"> recommandations et résolutions adoptées lors de la 29</w:t>
      </w:r>
      <w:r w:rsidRPr="004E13E9">
        <w:rPr>
          <w:vertAlign w:val="superscript"/>
          <w:lang w:val="fr-FR"/>
        </w:rPr>
        <w:t>e</w:t>
      </w:r>
      <w:r w:rsidRPr="004E13E9">
        <w:rPr>
          <w:lang w:val="fr-FR"/>
        </w:rPr>
        <w:t xml:space="preserve"> réunion ordinaire de l’ICCAT, tenue à Séville (Espagne), du 17 au 24 novembre 2025, et conformément au paragraphe 4 de la Rec. 25-04, le quota du Maroc est fixé à 4.379,47 tonnes, qui sera réparti entre les différents segments opérationnels suivants : les madragues, les navires thoniers (senneurs et palangrier) ciblant le thon rouge, les petits navires côtiers et les barques artisanales pêchant accessoirement le thon rouge. Le quota de chaque segment est défini selon l’historique de capture et le nombre des unités de pêche du segment.</w:t>
      </w:r>
    </w:p>
    <w:p w14:paraId="68FAB8D2" w14:textId="77777777" w:rsidR="00FE04DA" w:rsidRPr="004E13E9" w:rsidRDefault="00FE04DA" w:rsidP="00032C13">
      <w:pPr>
        <w:jc w:val="both"/>
        <w:rPr>
          <w:lang w:val="fr-FR"/>
        </w:rPr>
      </w:pPr>
    </w:p>
    <w:p w14:paraId="759143D3" w14:textId="77777777" w:rsidR="00FE04DA" w:rsidRPr="004E13E9" w:rsidRDefault="00FE04DA" w:rsidP="00032C13">
      <w:pPr>
        <w:autoSpaceDE w:val="0"/>
        <w:jc w:val="both"/>
        <w:rPr>
          <w:lang w:val="fr-FR" w:eastAsia="ar-SA"/>
        </w:rPr>
      </w:pPr>
      <w:proofErr w:type="gramStart"/>
      <w:r w:rsidRPr="004E13E9">
        <w:rPr>
          <w:lang w:val="fr-FR" w:eastAsia="ar-SA"/>
        </w:rPr>
        <w:t>Suite aux</w:t>
      </w:r>
      <w:proofErr w:type="gramEnd"/>
      <w:r w:rsidRPr="004E13E9">
        <w:rPr>
          <w:lang w:val="fr-FR" w:eastAsia="ar-SA"/>
        </w:rPr>
        <w:t xml:space="preserve"> demandes de transfert, d’un volume de 55 tonnes de la Namibie et de 55 tonnes du Panama, au Maroc pour être capturé au moyen de madragues pour la présente saison de pêche 2026, et l’acceptation de cette demande par le Maroc et ce conformément au paragraphe 8 de la Recommandation 25-04 de l’ICCAT, le quota national total ajusté après transfert sera de 4.489,47 tonnes (4.379,47 tonnes + 110 tonnes). </w:t>
      </w:r>
    </w:p>
    <w:p w14:paraId="60E3F94D" w14:textId="77777777" w:rsidR="00FE04DA" w:rsidRPr="004E13E9" w:rsidRDefault="00FE04DA" w:rsidP="00032C13">
      <w:pPr>
        <w:autoSpaceDE w:val="0"/>
        <w:jc w:val="both"/>
        <w:rPr>
          <w:lang w:val="fr-FR" w:eastAsia="ar-SA"/>
        </w:rPr>
      </w:pPr>
    </w:p>
    <w:p w14:paraId="24DFDE5C" w14:textId="77777777" w:rsidR="00FE04DA" w:rsidRPr="004E13E9" w:rsidRDefault="00FE04DA" w:rsidP="00032C13">
      <w:pPr>
        <w:autoSpaceDE w:val="0"/>
        <w:jc w:val="both"/>
        <w:rPr>
          <w:lang w:val="fr-FR" w:eastAsia="ar-SA"/>
        </w:rPr>
      </w:pPr>
      <w:r w:rsidRPr="004E13E9">
        <w:rPr>
          <w:lang w:val="fr-FR" w:eastAsia="ar-SA"/>
        </w:rPr>
        <w:t>Conformément aux dispositions du plan de gestion de la capacité de pêche nationale tel qu'établi par les articles 10 à 13 de la Rec. 25-04, la capacité de pêche maximale autorisée à cibler directement le thon rouge est ventilée comme suit :</w:t>
      </w:r>
    </w:p>
    <w:p w14:paraId="3B622BAA" w14:textId="77777777" w:rsidR="00FE04DA" w:rsidRPr="004E13E9" w:rsidRDefault="00FE04DA" w:rsidP="00032C13">
      <w:pPr>
        <w:autoSpaceDE w:val="0"/>
        <w:jc w:val="both"/>
        <w:rPr>
          <w:lang w:val="fr-FR" w:eastAsia="ar-SA"/>
        </w:rPr>
      </w:pPr>
    </w:p>
    <w:p w14:paraId="4031F419" w14:textId="77777777" w:rsidR="00FE04DA" w:rsidRPr="004E13E9" w:rsidRDefault="00FE04DA" w:rsidP="00487A5C">
      <w:pPr>
        <w:widowControl w:val="0"/>
        <w:numPr>
          <w:ilvl w:val="0"/>
          <w:numId w:val="39"/>
        </w:numPr>
        <w:suppressAutoHyphens/>
        <w:autoSpaceDE w:val="0"/>
        <w:ind w:left="567" w:hanging="425"/>
        <w:jc w:val="both"/>
        <w:rPr>
          <w:lang w:eastAsia="ar-SA"/>
        </w:rPr>
      </w:pPr>
      <w:r w:rsidRPr="004E13E9">
        <w:rPr>
          <w:lang w:eastAsia="ar-SA"/>
        </w:rPr>
        <w:t xml:space="preserve">18 </w:t>
      </w:r>
      <w:proofErr w:type="gramStart"/>
      <w:r w:rsidRPr="004E13E9">
        <w:rPr>
          <w:lang w:eastAsia="ar-SA"/>
        </w:rPr>
        <w:t>madragues ;</w:t>
      </w:r>
      <w:proofErr w:type="gramEnd"/>
    </w:p>
    <w:p w14:paraId="576E26AB" w14:textId="77777777" w:rsidR="00FE04DA" w:rsidRPr="004E13E9" w:rsidRDefault="00FE04DA" w:rsidP="00487A5C">
      <w:pPr>
        <w:widowControl w:val="0"/>
        <w:numPr>
          <w:ilvl w:val="0"/>
          <w:numId w:val="39"/>
        </w:numPr>
        <w:suppressAutoHyphens/>
        <w:autoSpaceDE w:val="0"/>
        <w:ind w:left="567" w:hanging="425"/>
        <w:jc w:val="both"/>
        <w:rPr>
          <w:lang w:val="fr-FR" w:eastAsia="ar-SA"/>
        </w:rPr>
      </w:pPr>
      <w:r w:rsidRPr="004E13E9">
        <w:rPr>
          <w:lang w:val="fr-FR" w:eastAsia="ar-SA"/>
        </w:rPr>
        <w:t xml:space="preserve">7 navires thonier‐senneurs, dont 4 navires ayant une LHT &gt; 40 m et 3 navires ayant une LHT </w:t>
      </w:r>
      <w:r w:rsidRPr="004E13E9">
        <w:rPr>
          <w:lang w:val="fr-FR"/>
        </w:rPr>
        <w:t>entre 24 et 40 m ;</w:t>
      </w:r>
      <w:r w:rsidRPr="004E13E9">
        <w:rPr>
          <w:lang w:val="fr-FR" w:eastAsia="ar-SA"/>
        </w:rPr>
        <w:t xml:space="preserve"> </w:t>
      </w:r>
    </w:p>
    <w:p w14:paraId="37CE41D1" w14:textId="77777777" w:rsidR="00FE04DA" w:rsidRPr="004E13E9" w:rsidRDefault="00FE04DA" w:rsidP="00487A5C">
      <w:pPr>
        <w:widowControl w:val="0"/>
        <w:numPr>
          <w:ilvl w:val="0"/>
          <w:numId w:val="39"/>
        </w:numPr>
        <w:suppressAutoHyphens/>
        <w:autoSpaceDE w:val="0"/>
        <w:ind w:left="567" w:hanging="425"/>
        <w:jc w:val="both"/>
        <w:rPr>
          <w:lang w:val="fr-FR" w:eastAsia="ar-SA"/>
        </w:rPr>
      </w:pPr>
      <w:r w:rsidRPr="004E13E9">
        <w:rPr>
          <w:lang w:val="fr-FR" w:eastAsia="ar-SA"/>
        </w:rPr>
        <w:t>1 navire thonier palangrier ayant une LHT &gt; 24 m ;</w:t>
      </w:r>
    </w:p>
    <w:p w14:paraId="7EBFC4A4" w14:textId="77777777" w:rsidR="00FE04DA" w:rsidRPr="004E13E9" w:rsidRDefault="00FE04DA" w:rsidP="00487A5C">
      <w:pPr>
        <w:widowControl w:val="0"/>
        <w:numPr>
          <w:ilvl w:val="0"/>
          <w:numId w:val="39"/>
        </w:numPr>
        <w:suppressAutoHyphens/>
        <w:autoSpaceDE w:val="0"/>
        <w:ind w:left="567" w:hanging="425"/>
        <w:jc w:val="both"/>
        <w:rPr>
          <w:lang w:val="fr-FR" w:eastAsia="ar-SA"/>
        </w:rPr>
      </w:pPr>
      <w:r w:rsidRPr="004E13E9">
        <w:rPr>
          <w:lang w:val="fr-FR" w:eastAsia="ar-SA"/>
        </w:rPr>
        <w:t>Des petits navires côtiers et des barques artisanales disposant d’une licence de pêche pour capturer accessoirement le thon rouge durant sa période de migration, et leurs captures seront comptabilisés, comme par le passé, dans la limite du quota assigné à leur segment. Les engins de pêche utilisés par ces petits navires côtiers et barques artisanales sont la palangre et la ligne. Les captures de ces navires sont portées sur le journal de pêche ainsi que dans le système eBCD.</w:t>
      </w:r>
    </w:p>
    <w:p w14:paraId="1DE7BFFE" w14:textId="77777777" w:rsidR="00FE04DA" w:rsidRPr="004E13E9" w:rsidRDefault="00FE04DA" w:rsidP="00032C13">
      <w:pPr>
        <w:autoSpaceDE w:val="0"/>
        <w:ind w:left="567"/>
        <w:jc w:val="both"/>
        <w:rPr>
          <w:lang w:val="fr-FR" w:eastAsia="ar-SA"/>
        </w:rPr>
      </w:pPr>
    </w:p>
    <w:p w14:paraId="5EBD22DA" w14:textId="77777777" w:rsidR="00FE04DA" w:rsidRPr="004E13E9" w:rsidRDefault="00FE04DA" w:rsidP="00032C13">
      <w:pPr>
        <w:jc w:val="both"/>
        <w:rPr>
          <w:lang w:val="fr-FR"/>
        </w:rPr>
      </w:pPr>
      <w:r w:rsidRPr="004E13E9">
        <w:rPr>
          <w:lang w:val="fr-FR" w:eastAsia="ar-SA"/>
        </w:rPr>
        <w:t xml:space="preserve">Des quotas individuels seront alloués aux senneurs thoniers et palangrier thonier de plus de 24 m et aux madragues marocaines et ce conformément à l’Arrêté de la secrétaire d’Etat auprès du ministre de l’Agriculture, de la Pêche maritime, du Développement rural et des Eaux et Forêts, chargée de la pêche maritime n°2648-24 du 5 </w:t>
      </w:r>
      <w:proofErr w:type="spellStart"/>
      <w:r w:rsidRPr="004E13E9">
        <w:rPr>
          <w:lang w:val="fr-FR" w:eastAsia="ar-SA"/>
        </w:rPr>
        <w:t>joumada</w:t>
      </w:r>
      <w:proofErr w:type="spellEnd"/>
      <w:r w:rsidRPr="004E13E9">
        <w:rPr>
          <w:lang w:val="fr-FR" w:eastAsia="ar-SA"/>
        </w:rPr>
        <w:t xml:space="preserve"> I 1446 (8 novembre 2024) relatif au plan d’aménagement et de gestion de la pêcherie du thon rouge (</w:t>
      </w:r>
      <w:proofErr w:type="spellStart"/>
      <w:r w:rsidRPr="004E13E9">
        <w:rPr>
          <w:i/>
          <w:iCs/>
          <w:lang w:val="fr-FR" w:eastAsia="ar-SA"/>
        </w:rPr>
        <w:t>Thunnus</w:t>
      </w:r>
      <w:proofErr w:type="spellEnd"/>
      <w:r w:rsidRPr="004E13E9">
        <w:rPr>
          <w:i/>
          <w:iCs/>
          <w:lang w:val="fr-FR" w:eastAsia="ar-SA"/>
        </w:rPr>
        <w:t xml:space="preserve"> </w:t>
      </w:r>
      <w:proofErr w:type="spellStart"/>
      <w:r w:rsidRPr="004E13E9">
        <w:rPr>
          <w:i/>
          <w:iCs/>
          <w:lang w:val="fr-FR" w:eastAsia="ar-SA"/>
        </w:rPr>
        <w:t>thynnus</w:t>
      </w:r>
      <w:proofErr w:type="spellEnd"/>
      <w:r w:rsidRPr="004E13E9">
        <w:rPr>
          <w:lang w:val="fr-FR" w:eastAsia="ar-SA"/>
        </w:rPr>
        <w:t>) dans les eaux maritimes marocaines.</w:t>
      </w:r>
    </w:p>
    <w:p w14:paraId="18EEEC26" w14:textId="77777777" w:rsidR="00FE04DA" w:rsidRPr="004E13E9" w:rsidRDefault="00FE04DA" w:rsidP="00032C13">
      <w:pPr>
        <w:autoSpaceDE w:val="0"/>
        <w:ind w:left="567"/>
        <w:jc w:val="both"/>
        <w:rPr>
          <w:lang w:val="fr-FR" w:eastAsia="ar-SA"/>
        </w:rPr>
      </w:pPr>
    </w:p>
    <w:p w14:paraId="20E63750" w14:textId="77777777" w:rsidR="00FE04DA" w:rsidRPr="004E13E9" w:rsidRDefault="00FE04DA" w:rsidP="00032C13">
      <w:pPr>
        <w:autoSpaceDE w:val="0"/>
        <w:jc w:val="both"/>
        <w:rPr>
          <w:lang w:val="fr-FR" w:eastAsia="ar-SA"/>
        </w:rPr>
      </w:pPr>
      <w:r w:rsidRPr="004E13E9">
        <w:rPr>
          <w:lang w:val="fr-FR" w:eastAsia="ar-SA"/>
        </w:rPr>
        <w:t>Le quota total ajusté (y compris transfert et report) de pêche du thon rouge au titre de la saison de pêche 2026 est reparti comme suit :</w:t>
      </w:r>
    </w:p>
    <w:p w14:paraId="3AE4B2CF" w14:textId="77777777" w:rsidR="00FE04DA" w:rsidRPr="004E13E9" w:rsidRDefault="00FE04DA" w:rsidP="00032C13">
      <w:pPr>
        <w:autoSpaceDE w:val="0"/>
        <w:jc w:val="both"/>
        <w:rPr>
          <w:lang w:val="fr-FR" w:eastAsia="ar-SA"/>
        </w:rPr>
      </w:pPr>
    </w:p>
    <w:p w14:paraId="72AC7242" w14:textId="77777777" w:rsidR="00FE04DA" w:rsidRPr="004E13E9" w:rsidRDefault="00FE04DA" w:rsidP="00487A5C">
      <w:pPr>
        <w:widowControl w:val="0"/>
        <w:numPr>
          <w:ilvl w:val="0"/>
          <w:numId w:val="39"/>
        </w:numPr>
        <w:suppressAutoHyphens/>
        <w:autoSpaceDE w:val="0"/>
        <w:ind w:left="567" w:hanging="425"/>
        <w:jc w:val="both"/>
        <w:rPr>
          <w:lang w:eastAsia="ar-SA"/>
        </w:rPr>
      </w:pPr>
      <w:proofErr w:type="gramStart"/>
      <w:r w:rsidRPr="004E13E9">
        <w:rPr>
          <w:lang w:eastAsia="ar-SA"/>
        </w:rPr>
        <w:t>Madragues :</w:t>
      </w:r>
      <w:proofErr w:type="gramEnd"/>
      <w:r w:rsidRPr="004E13E9">
        <w:rPr>
          <w:lang w:eastAsia="ar-SA"/>
        </w:rPr>
        <w:t xml:space="preserve"> 2.878 </w:t>
      </w:r>
      <w:proofErr w:type="spellStart"/>
      <w:r w:rsidRPr="004E13E9">
        <w:rPr>
          <w:lang w:eastAsia="ar-SA"/>
        </w:rPr>
        <w:t>tonnes</w:t>
      </w:r>
      <w:proofErr w:type="spellEnd"/>
      <w:r w:rsidRPr="004E13E9">
        <w:rPr>
          <w:lang w:eastAsia="ar-SA"/>
        </w:rPr>
        <w:t>.</w:t>
      </w:r>
    </w:p>
    <w:p w14:paraId="5CA83D9E" w14:textId="77777777" w:rsidR="00FE04DA" w:rsidRPr="004E13E9" w:rsidRDefault="00FE04DA" w:rsidP="00487A5C">
      <w:pPr>
        <w:widowControl w:val="0"/>
        <w:numPr>
          <w:ilvl w:val="0"/>
          <w:numId w:val="39"/>
        </w:numPr>
        <w:suppressAutoHyphens/>
        <w:autoSpaceDE w:val="0"/>
        <w:ind w:left="567" w:hanging="425"/>
        <w:jc w:val="both"/>
        <w:rPr>
          <w:lang w:eastAsia="ar-SA"/>
        </w:rPr>
      </w:pPr>
      <w:proofErr w:type="spellStart"/>
      <w:r w:rsidRPr="004E13E9">
        <w:rPr>
          <w:lang w:eastAsia="ar-SA"/>
        </w:rPr>
        <w:t>Navires</w:t>
      </w:r>
      <w:proofErr w:type="spellEnd"/>
      <w:r w:rsidRPr="004E13E9">
        <w:rPr>
          <w:lang w:eastAsia="ar-SA"/>
        </w:rPr>
        <w:t xml:space="preserve"> </w:t>
      </w:r>
      <w:proofErr w:type="spellStart"/>
      <w:r w:rsidRPr="004E13E9">
        <w:rPr>
          <w:lang w:eastAsia="ar-SA"/>
        </w:rPr>
        <w:t>thoniers‐</w:t>
      </w:r>
      <w:proofErr w:type="gramStart"/>
      <w:r w:rsidRPr="004E13E9">
        <w:rPr>
          <w:lang w:eastAsia="ar-SA"/>
        </w:rPr>
        <w:t>senneurs</w:t>
      </w:r>
      <w:proofErr w:type="spellEnd"/>
      <w:r w:rsidRPr="004E13E9">
        <w:rPr>
          <w:lang w:eastAsia="ar-SA"/>
        </w:rPr>
        <w:t xml:space="preserve"> :</w:t>
      </w:r>
      <w:proofErr w:type="gramEnd"/>
      <w:r w:rsidRPr="004E13E9">
        <w:rPr>
          <w:lang w:eastAsia="ar-SA"/>
        </w:rPr>
        <w:t xml:space="preserve"> 1.053 </w:t>
      </w:r>
      <w:proofErr w:type="spellStart"/>
      <w:r w:rsidRPr="004E13E9">
        <w:rPr>
          <w:lang w:eastAsia="ar-SA"/>
        </w:rPr>
        <w:t>tonnes</w:t>
      </w:r>
      <w:proofErr w:type="spellEnd"/>
      <w:r w:rsidRPr="004E13E9">
        <w:rPr>
          <w:lang w:eastAsia="ar-SA"/>
        </w:rPr>
        <w:t>.</w:t>
      </w:r>
    </w:p>
    <w:p w14:paraId="3D50C91D" w14:textId="77777777" w:rsidR="00FE04DA" w:rsidRPr="004E13E9" w:rsidRDefault="00FE04DA" w:rsidP="00487A5C">
      <w:pPr>
        <w:widowControl w:val="0"/>
        <w:numPr>
          <w:ilvl w:val="0"/>
          <w:numId w:val="39"/>
        </w:numPr>
        <w:suppressAutoHyphens/>
        <w:autoSpaceDE w:val="0"/>
        <w:ind w:left="567" w:hanging="425"/>
        <w:jc w:val="both"/>
        <w:rPr>
          <w:lang w:eastAsia="ar-SA"/>
        </w:rPr>
      </w:pPr>
      <w:proofErr w:type="spellStart"/>
      <w:r w:rsidRPr="004E13E9">
        <w:rPr>
          <w:lang w:eastAsia="ar-SA"/>
        </w:rPr>
        <w:t>Navire</w:t>
      </w:r>
      <w:proofErr w:type="spellEnd"/>
      <w:r w:rsidRPr="004E13E9">
        <w:rPr>
          <w:lang w:eastAsia="ar-SA"/>
        </w:rPr>
        <w:t xml:space="preserve"> </w:t>
      </w:r>
      <w:proofErr w:type="spellStart"/>
      <w:r w:rsidRPr="004E13E9">
        <w:rPr>
          <w:lang w:eastAsia="ar-SA"/>
        </w:rPr>
        <w:t>thonier</w:t>
      </w:r>
      <w:proofErr w:type="spellEnd"/>
      <w:r w:rsidRPr="004E13E9">
        <w:rPr>
          <w:lang w:eastAsia="ar-SA"/>
        </w:rPr>
        <w:t xml:space="preserve"> </w:t>
      </w:r>
      <w:proofErr w:type="spellStart"/>
      <w:proofErr w:type="gramStart"/>
      <w:r w:rsidRPr="004E13E9">
        <w:rPr>
          <w:lang w:eastAsia="ar-SA"/>
        </w:rPr>
        <w:t>palangrier</w:t>
      </w:r>
      <w:proofErr w:type="spellEnd"/>
      <w:r w:rsidRPr="004E13E9">
        <w:rPr>
          <w:lang w:eastAsia="ar-SA"/>
        </w:rPr>
        <w:t> :</w:t>
      </w:r>
      <w:proofErr w:type="gramEnd"/>
      <w:r w:rsidRPr="004E13E9">
        <w:rPr>
          <w:lang w:eastAsia="ar-SA"/>
        </w:rPr>
        <w:t xml:space="preserve"> 70 </w:t>
      </w:r>
      <w:proofErr w:type="spellStart"/>
      <w:r w:rsidRPr="004E13E9">
        <w:rPr>
          <w:lang w:eastAsia="ar-SA"/>
        </w:rPr>
        <w:t>tonnes</w:t>
      </w:r>
      <w:proofErr w:type="spellEnd"/>
    </w:p>
    <w:p w14:paraId="5F403AE5" w14:textId="77777777" w:rsidR="00FE04DA" w:rsidRPr="004E13E9" w:rsidRDefault="00FE04DA" w:rsidP="00487A5C">
      <w:pPr>
        <w:widowControl w:val="0"/>
        <w:numPr>
          <w:ilvl w:val="0"/>
          <w:numId w:val="39"/>
        </w:numPr>
        <w:suppressAutoHyphens/>
        <w:autoSpaceDE w:val="0"/>
        <w:ind w:left="567" w:hanging="425"/>
        <w:jc w:val="both"/>
        <w:rPr>
          <w:lang w:val="fr-FR" w:eastAsia="ar-SA"/>
        </w:rPr>
      </w:pPr>
      <w:r w:rsidRPr="004E13E9">
        <w:rPr>
          <w:lang w:val="fr-FR" w:eastAsia="ar-SA"/>
        </w:rPr>
        <w:t>Prises accessoires de thon rouge réservées pour les petits navires côtiers et barques artisanales (palangre et ligne à main (HL et LL)) : 602,09 tonnes, calculé sur la base des statistiques historiques de la pêche accessoire, sachant qu’en 2025 les prises accessoires ont atteint 337,80 tonnes).</w:t>
      </w:r>
    </w:p>
    <w:p w14:paraId="3E204978" w14:textId="77777777" w:rsidR="00FE04DA" w:rsidRPr="004E13E9" w:rsidRDefault="00FE04DA" w:rsidP="00487A5C">
      <w:pPr>
        <w:widowControl w:val="0"/>
        <w:numPr>
          <w:ilvl w:val="0"/>
          <w:numId w:val="39"/>
        </w:numPr>
        <w:suppressAutoHyphens/>
        <w:autoSpaceDE w:val="0"/>
        <w:ind w:left="567" w:hanging="425"/>
        <w:jc w:val="both"/>
        <w:rPr>
          <w:lang w:val="fr-FR" w:eastAsia="ar-SA"/>
        </w:rPr>
      </w:pPr>
      <w:r w:rsidRPr="004E13E9">
        <w:rPr>
          <w:lang w:val="fr-FR" w:eastAsia="ar-SA"/>
        </w:rPr>
        <w:t>Une réserve est laissée en cas d’éventuels rejets morts de thon rouge : 30 tonnes.</w:t>
      </w:r>
    </w:p>
    <w:p w14:paraId="03D855A2" w14:textId="77777777" w:rsidR="002B01C1" w:rsidRPr="004E13E9" w:rsidRDefault="002B01C1" w:rsidP="00FE04DA">
      <w:pPr>
        <w:autoSpaceDE w:val="0"/>
        <w:rPr>
          <w:lang w:val="fr-FR" w:eastAsia="ar-SA"/>
        </w:rPr>
      </w:pPr>
    </w:p>
    <w:p w14:paraId="1CD40A02" w14:textId="69733580" w:rsidR="00FE04DA" w:rsidRPr="004E13E9" w:rsidRDefault="00FE04DA" w:rsidP="00FE04DA">
      <w:pPr>
        <w:autoSpaceDE w:val="0"/>
        <w:rPr>
          <w:lang w:val="fr-FR" w:eastAsia="ar-SA"/>
        </w:rPr>
      </w:pPr>
      <w:r w:rsidRPr="004E13E9">
        <w:rPr>
          <w:lang w:val="fr-FR" w:eastAsia="ar-SA"/>
        </w:rPr>
        <w:t>Il est à préciser que les engins de pêche utilisés pour la pêche du thon rouge au Maroc ont des périodes de pêche spécifiques.</w:t>
      </w:r>
    </w:p>
    <w:p w14:paraId="0D90AE7E" w14:textId="77777777" w:rsidR="00FE04DA" w:rsidRPr="004E13E9" w:rsidRDefault="00FE04DA" w:rsidP="00FE04DA">
      <w:pPr>
        <w:autoSpaceDE w:val="0"/>
        <w:rPr>
          <w:lang w:val="fr-FR" w:eastAsia="ar-SA"/>
        </w:rPr>
      </w:pPr>
    </w:p>
    <w:p w14:paraId="06D4283F" w14:textId="77777777" w:rsidR="002B01C1" w:rsidRPr="004E13E9" w:rsidRDefault="002B01C1">
      <w:pPr>
        <w:rPr>
          <w:lang w:val="fr-FR" w:eastAsia="ar-SA"/>
        </w:rPr>
      </w:pPr>
      <w:r w:rsidRPr="004E13E9">
        <w:rPr>
          <w:lang w:val="fr-FR" w:eastAsia="ar-SA"/>
        </w:rPr>
        <w:br w:type="page"/>
      </w:r>
    </w:p>
    <w:p w14:paraId="0282E15B" w14:textId="064B038F" w:rsidR="00FE04DA" w:rsidRPr="004E13E9" w:rsidRDefault="00FE04DA" w:rsidP="00BF5CE7">
      <w:pPr>
        <w:autoSpaceDE w:val="0"/>
        <w:jc w:val="both"/>
        <w:rPr>
          <w:lang w:val="fr-FR" w:eastAsia="ar-SA"/>
        </w:rPr>
      </w:pPr>
      <w:r w:rsidRPr="004E13E9">
        <w:rPr>
          <w:lang w:val="fr-FR" w:eastAsia="ar-SA"/>
        </w:rPr>
        <w:t>Parmi les six fermes d’engraissement de thon rouge qui seront autorisées, quatre seront opérationnelles en 2026 selon les conditions et modalités spécifiques qui seront déterminées par l’administration conformément aux dispositions réglementaires en vigueur. Ces quatre fermes sont associées aux madragues et navires autorisées.</w:t>
      </w:r>
    </w:p>
    <w:p w14:paraId="18D03341" w14:textId="77777777" w:rsidR="002B01C1" w:rsidRPr="004E13E9" w:rsidRDefault="002B01C1" w:rsidP="00BF5CE7">
      <w:pPr>
        <w:autoSpaceDE w:val="0"/>
        <w:jc w:val="both"/>
        <w:rPr>
          <w:lang w:val="fr-FR" w:eastAsia="ar-SA"/>
        </w:rPr>
      </w:pPr>
    </w:p>
    <w:p w14:paraId="720C21C5" w14:textId="77777777" w:rsidR="00FE04DA" w:rsidRPr="004E13E9" w:rsidRDefault="00FE04DA" w:rsidP="00BF5CE7">
      <w:pPr>
        <w:autoSpaceDE w:val="0"/>
        <w:jc w:val="both"/>
        <w:rPr>
          <w:lang w:val="fr-FR" w:eastAsia="ar-SA"/>
        </w:rPr>
      </w:pPr>
      <w:r w:rsidRPr="004E13E9">
        <w:rPr>
          <w:lang w:val="fr-FR" w:eastAsia="ar-SA"/>
        </w:rPr>
        <w:t>Les conditions de pêche seront établies dans le cadre du plan de gestion annuel de la pêcherie du thon rouge actualisé pour prendre en considération les nouvelles dispositions du plan de gestion du thon rouge de l'Est adopté par la Commission internationale pour la conservation des thonidés de l'Atlantique (ICCAT).</w:t>
      </w:r>
    </w:p>
    <w:p w14:paraId="567867DF" w14:textId="77777777" w:rsidR="00FE04DA" w:rsidRPr="004E13E9" w:rsidRDefault="00FE04DA" w:rsidP="00FE04DA">
      <w:pPr>
        <w:rPr>
          <w:lang w:val="fr-FR"/>
        </w:rPr>
      </w:pPr>
    </w:p>
    <w:p w14:paraId="6435B6BE" w14:textId="77777777" w:rsidR="00FE04DA" w:rsidRPr="004E13E9" w:rsidRDefault="00FE04DA" w:rsidP="00FE04DA">
      <w:pPr>
        <w:rPr>
          <w:lang w:val="fr-FR"/>
        </w:rPr>
      </w:pPr>
      <w:r w:rsidRPr="004E13E9">
        <w:rPr>
          <w:b/>
          <w:bCs/>
          <w:i/>
          <w:iCs/>
          <w:lang w:val="fr-FR"/>
        </w:rPr>
        <w:t>1b) Report (paragraphe 6)</w:t>
      </w:r>
    </w:p>
    <w:p w14:paraId="7BB083F7" w14:textId="77777777" w:rsidR="00FE04DA" w:rsidRPr="004E13E9" w:rsidRDefault="00FE04DA" w:rsidP="00FE04DA">
      <w:pPr>
        <w:rPr>
          <w:lang w:val="fr-FR"/>
        </w:rPr>
      </w:pPr>
    </w:p>
    <w:p w14:paraId="3DC39EFB" w14:textId="77777777" w:rsidR="00FE04DA" w:rsidRPr="004E13E9" w:rsidRDefault="00FE04DA" w:rsidP="00BF5CE7">
      <w:pPr>
        <w:jc w:val="both"/>
        <w:rPr>
          <w:lang w:val="fr-FR"/>
        </w:rPr>
      </w:pPr>
      <w:r w:rsidRPr="004E13E9">
        <w:rPr>
          <w:lang w:val="fr-FR"/>
        </w:rPr>
        <w:t xml:space="preserve">Conformément au paragraphe 6 de la Rec. 25-04, le Maroc demande un transfert d’un volume de 143,62 tonnes (3,88 % du quota initial (3.700 t)) de son quota non consommé en 2025 à 2026. À cet effet, le quota national total ajusté </w:t>
      </w:r>
      <w:r w:rsidRPr="004E13E9">
        <w:rPr>
          <w:lang w:val="fr-FR" w:eastAsia="ar-SA"/>
        </w:rPr>
        <w:t>(y compris transfert et report)</w:t>
      </w:r>
      <w:r w:rsidRPr="004E13E9">
        <w:rPr>
          <w:lang w:val="fr-FR"/>
        </w:rPr>
        <w:t xml:space="preserve"> sera de 4.633,09 tonnes.</w:t>
      </w:r>
    </w:p>
    <w:p w14:paraId="14B6CD97" w14:textId="77777777" w:rsidR="00FE04DA" w:rsidRPr="004E13E9" w:rsidRDefault="00FE04DA" w:rsidP="00BF5CE7">
      <w:pPr>
        <w:jc w:val="both"/>
        <w:rPr>
          <w:i/>
          <w:lang w:val="fr-FR"/>
        </w:rPr>
      </w:pPr>
    </w:p>
    <w:p w14:paraId="43F9DB7E" w14:textId="77777777" w:rsidR="00FE04DA" w:rsidRPr="004E13E9" w:rsidRDefault="00FE04DA" w:rsidP="00BF5CE7">
      <w:pPr>
        <w:jc w:val="both"/>
        <w:rPr>
          <w:iCs/>
          <w:lang w:val="fr-FR"/>
        </w:rPr>
      </w:pPr>
      <w:r w:rsidRPr="004E13E9">
        <w:rPr>
          <w:b/>
          <w:bCs/>
          <w:i/>
          <w:lang w:val="fr-FR"/>
        </w:rPr>
        <w:t>1c) Destination de la capture</w:t>
      </w:r>
    </w:p>
    <w:p w14:paraId="63664F1B" w14:textId="77777777" w:rsidR="00FE04DA" w:rsidRPr="004E13E9" w:rsidRDefault="00FE04DA" w:rsidP="00BF5CE7">
      <w:pPr>
        <w:jc w:val="both"/>
        <w:rPr>
          <w:iCs/>
          <w:lang w:val="fr-FR"/>
        </w:rPr>
      </w:pPr>
    </w:p>
    <w:p w14:paraId="66F5B2F2" w14:textId="77777777" w:rsidR="00FE04DA" w:rsidRPr="004E13E9" w:rsidRDefault="00FE04DA" w:rsidP="00BF5CE7">
      <w:pPr>
        <w:autoSpaceDE w:val="0"/>
        <w:jc w:val="both"/>
        <w:rPr>
          <w:lang w:val="fr-FR" w:eastAsia="ar-SA"/>
        </w:rPr>
      </w:pPr>
      <w:r w:rsidRPr="004E13E9">
        <w:rPr>
          <w:lang w:val="fr-FR" w:eastAsia="ar-SA"/>
        </w:rPr>
        <w:t>Les captures des madragues seront destinées à l’engraissement dans les fermes d’engraissement du thon rouge marocaines autorisées (55,76%) et l’export (6,92%). Les captures des navires thoniers seront destinées à des fermes d’engraissement autorisées par l’ICCAT (24,30%). Les captures des petits navires côtiers et des barques artisanales seront destinées aux exportations (13,02%).</w:t>
      </w:r>
    </w:p>
    <w:p w14:paraId="7ADEDC94" w14:textId="77777777" w:rsidR="00FE04DA" w:rsidRPr="004E13E9" w:rsidRDefault="00FE04DA" w:rsidP="00FE04DA">
      <w:pPr>
        <w:rPr>
          <w:i/>
          <w:lang w:val="fr-FR"/>
        </w:rPr>
      </w:pPr>
    </w:p>
    <w:p w14:paraId="52C124D5" w14:textId="77777777" w:rsidR="00FE04DA" w:rsidRPr="004E13E9" w:rsidRDefault="00FE04DA" w:rsidP="00FE04DA">
      <w:pPr>
        <w:rPr>
          <w:i/>
        </w:rPr>
      </w:pPr>
      <w:r w:rsidRPr="004E13E9">
        <w:rPr>
          <w:b/>
          <w:bCs/>
          <w:i/>
        </w:rPr>
        <w:t>1d)</w:t>
      </w:r>
    </w:p>
    <w:tbl>
      <w:tblPr>
        <w:tblW w:w="9209" w:type="dxa"/>
        <w:tblInd w:w="113" w:type="dxa"/>
        <w:tblLayout w:type="fixed"/>
        <w:tblLook w:val="0000" w:firstRow="0" w:lastRow="0" w:firstColumn="0" w:lastColumn="0" w:noHBand="0" w:noVBand="0"/>
      </w:tblPr>
      <w:tblGrid>
        <w:gridCol w:w="453"/>
        <w:gridCol w:w="2377"/>
        <w:gridCol w:w="4111"/>
        <w:gridCol w:w="2268"/>
      </w:tblGrid>
      <w:tr w:rsidR="00FE04DA" w:rsidRPr="006A2397" w14:paraId="433B8227" w14:textId="77777777" w:rsidTr="00E62E84">
        <w:tc>
          <w:tcPr>
            <w:tcW w:w="453" w:type="dxa"/>
            <w:tcBorders>
              <w:top w:val="single" w:sz="4" w:space="0" w:color="000000"/>
              <w:left w:val="single" w:sz="4" w:space="0" w:color="000000"/>
              <w:bottom w:val="single" w:sz="4" w:space="0" w:color="000000"/>
              <w:right w:val="single" w:sz="4" w:space="0" w:color="000000"/>
            </w:tcBorders>
          </w:tcPr>
          <w:p w14:paraId="0D8802BE" w14:textId="77777777" w:rsidR="00FE04DA" w:rsidRPr="004E13E9" w:rsidRDefault="00FE04DA" w:rsidP="00E62E84"/>
        </w:tc>
        <w:tc>
          <w:tcPr>
            <w:tcW w:w="2377" w:type="dxa"/>
            <w:tcBorders>
              <w:top w:val="single" w:sz="4" w:space="0" w:color="000000"/>
              <w:left w:val="single" w:sz="4" w:space="0" w:color="000000"/>
              <w:bottom w:val="single" w:sz="4" w:space="0" w:color="000000"/>
              <w:right w:val="single" w:sz="4" w:space="0" w:color="000000"/>
            </w:tcBorders>
            <w:vAlign w:val="center"/>
          </w:tcPr>
          <w:p w14:paraId="35DDEAD9" w14:textId="77777777" w:rsidR="00FE04DA" w:rsidRPr="004E13E9" w:rsidRDefault="00FE04DA" w:rsidP="00E62E84">
            <w:pPr>
              <w:jc w:val="center"/>
              <w:rPr>
                <w:i/>
                <w:lang w:val="fr-FR"/>
              </w:rPr>
            </w:pPr>
            <w:r w:rsidRPr="004E13E9">
              <w:rPr>
                <w:i/>
                <w:lang w:val="fr-FR"/>
              </w:rPr>
              <w:t>Exigence de l’ICCAT</w:t>
            </w:r>
          </w:p>
          <w:p w14:paraId="1D8746AC" w14:textId="77777777" w:rsidR="00FE04DA" w:rsidRPr="004E13E9" w:rsidRDefault="00FE04DA" w:rsidP="00E62E84">
            <w:pPr>
              <w:jc w:val="center"/>
              <w:rPr>
                <w:i/>
                <w:lang w:val="fr-FR"/>
              </w:rPr>
            </w:pPr>
            <w:r w:rsidRPr="004E13E9">
              <w:rPr>
                <w:i/>
                <w:lang w:val="fr-FR"/>
              </w:rPr>
              <w:t xml:space="preserve">(en vertu de la </w:t>
            </w:r>
          </w:p>
          <w:p w14:paraId="69AF0508" w14:textId="77777777" w:rsidR="00FE04DA" w:rsidRPr="004E13E9" w:rsidRDefault="00FE04DA" w:rsidP="00E62E84">
            <w:pPr>
              <w:jc w:val="center"/>
            </w:pPr>
            <w:hyperlink r:id="rId147" w:history="1">
              <w:r w:rsidRPr="004E13E9">
                <w:rPr>
                  <w:rStyle w:val="Hyperlink"/>
                  <w:i/>
                  <w:u w:val="none"/>
                </w:rPr>
                <w:t>Rec. 25-04</w:t>
              </w:r>
            </w:hyperlink>
            <w:r w:rsidRPr="004E13E9">
              <w:rPr>
                <w:i/>
              </w:rPr>
              <w:t>)</w:t>
            </w:r>
          </w:p>
        </w:tc>
        <w:tc>
          <w:tcPr>
            <w:tcW w:w="4111" w:type="dxa"/>
            <w:tcBorders>
              <w:top w:val="single" w:sz="4" w:space="0" w:color="000000"/>
              <w:left w:val="single" w:sz="4" w:space="0" w:color="000000"/>
              <w:bottom w:val="single" w:sz="4" w:space="0" w:color="000000"/>
              <w:right w:val="single" w:sz="4" w:space="0" w:color="000000"/>
            </w:tcBorders>
            <w:vAlign w:val="center"/>
          </w:tcPr>
          <w:p w14:paraId="7A60E7DB" w14:textId="77777777" w:rsidR="00FE04DA" w:rsidRPr="004E13E9" w:rsidRDefault="00FE04DA" w:rsidP="00E62E84">
            <w:pPr>
              <w:jc w:val="center"/>
              <w:rPr>
                <w:lang w:val="fr-FR"/>
              </w:rPr>
            </w:pPr>
            <w:r w:rsidRPr="004E13E9">
              <w:rPr>
                <w:i/>
                <w:lang w:val="fr-FR"/>
              </w:rPr>
              <w:t>Explication des actions prises par la CPC à des fins de mise en œuvre</w:t>
            </w:r>
          </w:p>
        </w:tc>
        <w:tc>
          <w:tcPr>
            <w:tcW w:w="2268" w:type="dxa"/>
            <w:tcBorders>
              <w:top w:val="single" w:sz="4" w:space="0" w:color="000000"/>
              <w:left w:val="single" w:sz="4" w:space="0" w:color="000000"/>
              <w:bottom w:val="single" w:sz="4" w:space="0" w:color="000000"/>
              <w:right w:val="single" w:sz="4" w:space="0" w:color="000000"/>
            </w:tcBorders>
            <w:vAlign w:val="center"/>
          </w:tcPr>
          <w:p w14:paraId="72ABC899" w14:textId="77777777" w:rsidR="00FE04DA" w:rsidRPr="004E13E9" w:rsidRDefault="00FE04DA" w:rsidP="00E62E84">
            <w:pPr>
              <w:jc w:val="center"/>
              <w:rPr>
                <w:lang w:val="fr-FR"/>
              </w:rPr>
            </w:pPr>
            <w:r w:rsidRPr="004E13E9">
              <w:rPr>
                <w:i/>
                <w:lang w:val="fr-FR"/>
              </w:rPr>
              <w:t>Lois ou réglementations nationales pertinentes (le cas échéant)</w:t>
            </w:r>
          </w:p>
        </w:tc>
      </w:tr>
      <w:tr w:rsidR="00FE04DA" w:rsidRPr="006A2397" w14:paraId="2346BE3C" w14:textId="77777777" w:rsidTr="00E62E84">
        <w:trPr>
          <w:trHeight w:val="4937"/>
        </w:trPr>
        <w:tc>
          <w:tcPr>
            <w:tcW w:w="453" w:type="dxa"/>
            <w:tcBorders>
              <w:top w:val="single" w:sz="4" w:space="0" w:color="000000"/>
              <w:left w:val="single" w:sz="4" w:space="0" w:color="000000"/>
              <w:bottom w:val="single" w:sz="4" w:space="0" w:color="000000"/>
              <w:right w:val="single" w:sz="4" w:space="0" w:color="000000"/>
            </w:tcBorders>
          </w:tcPr>
          <w:p w14:paraId="5CFCF3A6" w14:textId="77777777" w:rsidR="00FE04DA" w:rsidRPr="004E13E9" w:rsidRDefault="00FE04DA" w:rsidP="00E62E84">
            <w:r w:rsidRPr="004E13E9">
              <w:rPr>
                <w:b/>
              </w:rPr>
              <w:t>1</w:t>
            </w:r>
          </w:p>
        </w:tc>
        <w:tc>
          <w:tcPr>
            <w:tcW w:w="2377" w:type="dxa"/>
            <w:tcBorders>
              <w:top w:val="single" w:sz="4" w:space="0" w:color="000000"/>
              <w:left w:val="single" w:sz="4" w:space="0" w:color="000000"/>
              <w:bottom w:val="single" w:sz="4" w:space="0" w:color="000000"/>
              <w:right w:val="single" w:sz="4" w:space="0" w:color="000000"/>
            </w:tcBorders>
          </w:tcPr>
          <w:p w14:paraId="6F1C0D34" w14:textId="77777777" w:rsidR="00FE04DA" w:rsidRPr="004E13E9" w:rsidRDefault="00FE04DA" w:rsidP="00E62E84">
            <w:pPr>
              <w:rPr>
                <w:lang w:val="fr-FR"/>
              </w:rPr>
            </w:pPr>
            <w:r w:rsidRPr="004E13E9">
              <w:rPr>
                <w:b/>
                <w:lang w:val="fr-FR"/>
              </w:rPr>
              <w:t>Enregistrement et déclaration de la capture (paragraphes 74-88)</w:t>
            </w:r>
          </w:p>
        </w:tc>
        <w:tc>
          <w:tcPr>
            <w:tcW w:w="4111" w:type="dxa"/>
            <w:tcBorders>
              <w:top w:val="single" w:sz="4" w:space="0" w:color="000000"/>
              <w:left w:val="single" w:sz="4" w:space="0" w:color="000000"/>
              <w:bottom w:val="single" w:sz="4" w:space="0" w:color="000000"/>
              <w:right w:val="single" w:sz="4" w:space="0" w:color="000000"/>
            </w:tcBorders>
          </w:tcPr>
          <w:p w14:paraId="2233854B" w14:textId="77777777" w:rsidR="00FE04DA" w:rsidRPr="004E13E9" w:rsidRDefault="00FE04DA" w:rsidP="00487A5C">
            <w:pPr>
              <w:pStyle w:val="ListParagraph"/>
              <w:widowControl w:val="0"/>
              <w:numPr>
                <w:ilvl w:val="0"/>
                <w:numId w:val="40"/>
              </w:numPr>
              <w:autoSpaceDE w:val="0"/>
              <w:spacing w:after="0" w:line="240" w:lineRule="auto"/>
              <w:ind w:left="176" w:hanging="176"/>
              <w:jc w:val="both"/>
              <w:rPr>
                <w:rFonts w:ascii="Cambria" w:hAnsi="Cambria" w:cs="Cambria"/>
                <w:sz w:val="20"/>
                <w:szCs w:val="20"/>
                <w:lang w:eastAsia="ar-SA"/>
              </w:rPr>
            </w:pPr>
            <w:r w:rsidRPr="004E13E9">
              <w:rPr>
                <w:rFonts w:ascii="Cambria" w:hAnsi="Cambria" w:cs="Cambria"/>
                <w:sz w:val="20"/>
                <w:szCs w:val="20"/>
                <w:lang w:eastAsia="ar-SA"/>
              </w:rPr>
              <w:t>Les navires thoniers (senneurs et palangrier) disposent d’un journal de pêche relié.</w:t>
            </w:r>
          </w:p>
          <w:p w14:paraId="2D8D5C66" w14:textId="77777777" w:rsidR="00FE04DA" w:rsidRPr="004E13E9" w:rsidRDefault="00FE04DA" w:rsidP="00487A5C">
            <w:pPr>
              <w:pStyle w:val="ListParagraph"/>
              <w:widowControl w:val="0"/>
              <w:numPr>
                <w:ilvl w:val="0"/>
                <w:numId w:val="40"/>
              </w:numPr>
              <w:autoSpaceDE w:val="0"/>
              <w:spacing w:after="0" w:line="240" w:lineRule="auto"/>
              <w:ind w:left="176" w:hanging="176"/>
              <w:jc w:val="both"/>
              <w:rPr>
                <w:rFonts w:ascii="Cambria" w:hAnsi="Cambria" w:cs="Cambria"/>
                <w:sz w:val="20"/>
                <w:szCs w:val="20"/>
                <w:lang w:eastAsia="ar-SA"/>
              </w:rPr>
            </w:pPr>
            <w:r w:rsidRPr="004E13E9">
              <w:rPr>
                <w:rFonts w:ascii="Cambria" w:hAnsi="Cambria" w:cs="Cambria"/>
                <w:sz w:val="20"/>
                <w:szCs w:val="20"/>
                <w:lang w:eastAsia="ar-SA"/>
              </w:rPr>
              <w:t>Les captures des petits navires côtiers et des barques artisanales disposant d’une licence de pêche sont portées sur le journal de pêche ainsi que dans le système eBCD.</w:t>
            </w:r>
          </w:p>
          <w:p w14:paraId="231E79D7" w14:textId="77777777" w:rsidR="00FE04DA" w:rsidRPr="004E13E9" w:rsidRDefault="00FE04DA" w:rsidP="00487A5C">
            <w:pPr>
              <w:pStyle w:val="ListParagraph"/>
              <w:widowControl w:val="0"/>
              <w:numPr>
                <w:ilvl w:val="0"/>
                <w:numId w:val="40"/>
              </w:numPr>
              <w:autoSpaceDE w:val="0"/>
              <w:spacing w:after="0" w:line="240" w:lineRule="auto"/>
              <w:ind w:left="176" w:hanging="176"/>
              <w:jc w:val="both"/>
              <w:rPr>
                <w:rFonts w:ascii="Cambria" w:hAnsi="Cambria" w:cs="Cambria"/>
                <w:sz w:val="20"/>
                <w:szCs w:val="20"/>
                <w:lang w:eastAsia="ar-SA"/>
              </w:rPr>
            </w:pPr>
            <w:r w:rsidRPr="004E13E9">
              <w:rPr>
                <w:rFonts w:ascii="Cambria" w:hAnsi="Cambria" w:cs="Cambria"/>
                <w:sz w:val="20"/>
                <w:szCs w:val="20"/>
                <w:lang w:eastAsia="ar-SA"/>
              </w:rPr>
              <w:t>Les prises des madragues sont portées sur les carnets de pêche ainsi que dans le système eBCD.</w:t>
            </w:r>
          </w:p>
          <w:p w14:paraId="6334FD34" w14:textId="77777777" w:rsidR="00FE04DA" w:rsidRPr="004E13E9" w:rsidRDefault="00FE04DA" w:rsidP="00487A5C">
            <w:pPr>
              <w:pStyle w:val="ListParagraph"/>
              <w:widowControl w:val="0"/>
              <w:numPr>
                <w:ilvl w:val="0"/>
                <w:numId w:val="40"/>
              </w:numPr>
              <w:autoSpaceDE w:val="0"/>
              <w:spacing w:after="0" w:line="240" w:lineRule="auto"/>
              <w:ind w:left="176" w:hanging="176"/>
              <w:jc w:val="both"/>
              <w:rPr>
                <w:rFonts w:ascii="Cambria" w:hAnsi="Cambria" w:cs="Cambria"/>
                <w:sz w:val="20"/>
                <w:szCs w:val="20"/>
                <w:lang w:eastAsia="ar-SA"/>
              </w:rPr>
            </w:pPr>
            <w:r w:rsidRPr="004E13E9">
              <w:rPr>
                <w:rFonts w:ascii="Cambria" w:hAnsi="Cambria" w:cs="Cambria"/>
                <w:sz w:val="20"/>
                <w:szCs w:val="20"/>
                <w:lang w:eastAsia="ar-SA"/>
              </w:rPr>
              <w:t>Les poissons morts (retenus ou rejetés) seront déduits du quota.</w:t>
            </w:r>
          </w:p>
          <w:p w14:paraId="02E29467" w14:textId="77777777" w:rsidR="00FE04DA" w:rsidRPr="004E13E9" w:rsidRDefault="00FE04DA" w:rsidP="00487A5C">
            <w:pPr>
              <w:pStyle w:val="ListParagraph"/>
              <w:widowControl w:val="0"/>
              <w:numPr>
                <w:ilvl w:val="0"/>
                <w:numId w:val="40"/>
              </w:numPr>
              <w:autoSpaceDE w:val="0"/>
              <w:spacing w:after="0" w:line="240" w:lineRule="auto"/>
              <w:ind w:left="176" w:hanging="176"/>
              <w:jc w:val="both"/>
              <w:rPr>
                <w:rFonts w:ascii="Cambria" w:hAnsi="Cambria" w:cs="Cambria"/>
                <w:sz w:val="20"/>
                <w:szCs w:val="20"/>
                <w:lang w:eastAsia="ar-SA"/>
              </w:rPr>
            </w:pPr>
            <w:r w:rsidRPr="004E13E9">
              <w:rPr>
                <w:rFonts w:ascii="Cambria" w:hAnsi="Cambria" w:cs="Cambria"/>
                <w:sz w:val="20"/>
                <w:szCs w:val="20"/>
                <w:lang w:eastAsia="ar-SA"/>
              </w:rPr>
              <w:t>Utilisation du programme de documentation de capture électronique du thon rouge/eBCD.</w:t>
            </w:r>
          </w:p>
          <w:p w14:paraId="4963E518" w14:textId="77777777" w:rsidR="00FE04DA" w:rsidRPr="004E13E9" w:rsidRDefault="00FE04DA" w:rsidP="00487A5C">
            <w:pPr>
              <w:pStyle w:val="ListParagraph"/>
              <w:widowControl w:val="0"/>
              <w:numPr>
                <w:ilvl w:val="0"/>
                <w:numId w:val="40"/>
              </w:numPr>
              <w:autoSpaceDE w:val="0"/>
              <w:spacing w:after="0" w:line="240" w:lineRule="auto"/>
              <w:ind w:left="176" w:hanging="176"/>
              <w:jc w:val="both"/>
              <w:rPr>
                <w:rFonts w:ascii="Cambria" w:hAnsi="Cambria" w:cs="Cambria"/>
                <w:sz w:val="20"/>
                <w:szCs w:val="20"/>
                <w:lang w:eastAsia="ar-SA"/>
              </w:rPr>
            </w:pPr>
            <w:r w:rsidRPr="004E13E9">
              <w:rPr>
                <w:rFonts w:ascii="Cambria" w:hAnsi="Cambria" w:cs="Cambria"/>
                <w:sz w:val="20"/>
                <w:szCs w:val="20"/>
                <w:lang w:eastAsia="ar-SA"/>
              </w:rPr>
              <w:t>Transmission des prises bihebdomadaires du thon rouge.</w:t>
            </w:r>
          </w:p>
          <w:p w14:paraId="1858B3F9" w14:textId="77777777" w:rsidR="00FE04DA" w:rsidRPr="004E13E9" w:rsidRDefault="00FE04DA" w:rsidP="00E62E84">
            <w:pPr>
              <w:rPr>
                <w:lang w:val="fr-FR"/>
              </w:rPr>
            </w:pPr>
            <w:r w:rsidRPr="004E13E9">
              <w:rPr>
                <w:lang w:val="fr-FR" w:eastAsia="ar-SA"/>
              </w:rPr>
              <w:t>Déclaration au Secrétariat de l’ICCAT des dates de fermeture de la pêcherie du thon rouge.</w:t>
            </w:r>
          </w:p>
        </w:tc>
        <w:tc>
          <w:tcPr>
            <w:tcW w:w="2268" w:type="dxa"/>
            <w:vMerge w:val="restart"/>
            <w:tcBorders>
              <w:top w:val="single" w:sz="4" w:space="0" w:color="000000"/>
              <w:left w:val="single" w:sz="4" w:space="0" w:color="000000"/>
              <w:right w:val="single" w:sz="4" w:space="0" w:color="000000"/>
            </w:tcBorders>
            <w:vAlign w:val="center"/>
          </w:tcPr>
          <w:p w14:paraId="1DFD114E" w14:textId="77777777" w:rsidR="00FE04DA" w:rsidRPr="004E13E9" w:rsidRDefault="00FE04DA" w:rsidP="00E62E84">
            <w:pPr>
              <w:rPr>
                <w:lang w:val="fr-FR"/>
              </w:rPr>
            </w:pPr>
            <w:r w:rsidRPr="004E13E9">
              <w:rPr>
                <w:lang w:val="fr-FR" w:eastAsia="ar-SA"/>
              </w:rPr>
              <w:t xml:space="preserve">Arrêté de la secrétaire d’Etat auprès du ministre de l’Agriculture, de la Pêche maritime, du Développement rural et des Eaux et Forêts, chargée de la pêche maritime n°2648-24 du 5 </w:t>
            </w:r>
            <w:proofErr w:type="spellStart"/>
            <w:r w:rsidRPr="004E13E9">
              <w:rPr>
                <w:lang w:val="fr-FR" w:eastAsia="ar-SA"/>
              </w:rPr>
              <w:t>joumada</w:t>
            </w:r>
            <w:proofErr w:type="spellEnd"/>
            <w:r w:rsidRPr="004E13E9">
              <w:rPr>
                <w:lang w:val="fr-FR" w:eastAsia="ar-SA"/>
              </w:rPr>
              <w:t xml:space="preserve"> I 1446 (8 novembre 2024) relatif au plan d’aménagement et de gestion de la pêcherie du thon rouge (</w:t>
            </w:r>
            <w:proofErr w:type="spellStart"/>
            <w:r w:rsidRPr="004E13E9">
              <w:rPr>
                <w:i/>
                <w:iCs/>
                <w:lang w:val="fr-FR" w:eastAsia="ar-SA"/>
              </w:rPr>
              <w:t>Thunnus</w:t>
            </w:r>
            <w:proofErr w:type="spellEnd"/>
            <w:r w:rsidRPr="004E13E9">
              <w:rPr>
                <w:i/>
                <w:iCs/>
                <w:lang w:val="fr-FR" w:eastAsia="ar-SA"/>
              </w:rPr>
              <w:t xml:space="preserve"> </w:t>
            </w:r>
            <w:proofErr w:type="spellStart"/>
            <w:r w:rsidRPr="004E13E9">
              <w:rPr>
                <w:i/>
                <w:iCs/>
                <w:lang w:val="fr-FR" w:eastAsia="ar-SA"/>
              </w:rPr>
              <w:t>thynnus</w:t>
            </w:r>
            <w:proofErr w:type="spellEnd"/>
            <w:r w:rsidRPr="004E13E9">
              <w:rPr>
                <w:lang w:val="fr-FR" w:eastAsia="ar-SA"/>
              </w:rPr>
              <w:t>) dans les eaux maritimes marocaines.</w:t>
            </w:r>
          </w:p>
          <w:p w14:paraId="108D9982" w14:textId="77777777" w:rsidR="00FE04DA" w:rsidRPr="004E13E9" w:rsidRDefault="00FE04DA" w:rsidP="00E62E84">
            <w:pPr>
              <w:rPr>
                <w:lang w:val="fr-FR"/>
              </w:rPr>
            </w:pPr>
          </w:p>
        </w:tc>
      </w:tr>
      <w:tr w:rsidR="00FE04DA" w:rsidRPr="006A2397" w14:paraId="31A90A38" w14:textId="77777777" w:rsidTr="00E62E84">
        <w:trPr>
          <w:trHeight w:val="693"/>
        </w:trPr>
        <w:tc>
          <w:tcPr>
            <w:tcW w:w="453" w:type="dxa"/>
            <w:tcBorders>
              <w:top w:val="single" w:sz="4" w:space="0" w:color="000000"/>
              <w:left w:val="single" w:sz="4" w:space="0" w:color="000000"/>
              <w:bottom w:val="single" w:sz="4" w:space="0" w:color="000000"/>
              <w:right w:val="single" w:sz="4" w:space="0" w:color="000000"/>
            </w:tcBorders>
          </w:tcPr>
          <w:p w14:paraId="6BFCCB80" w14:textId="77777777" w:rsidR="00FE04DA" w:rsidRPr="004E13E9" w:rsidRDefault="00FE04DA" w:rsidP="00E62E84">
            <w:r w:rsidRPr="004E13E9">
              <w:rPr>
                <w:b/>
              </w:rPr>
              <w:t>2</w:t>
            </w:r>
          </w:p>
        </w:tc>
        <w:tc>
          <w:tcPr>
            <w:tcW w:w="2377" w:type="dxa"/>
            <w:tcBorders>
              <w:top w:val="single" w:sz="4" w:space="0" w:color="000000"/>
              <w:left w:val="single" w:sz="4" w:space="0" w:color="000000"/>
              <w:bottom w:val="single" w:sz="4" w:space="0" w:color="000000"/>
              <w:right w:val="single" w:sz="4" w:space="0" w:color="000000"/>
            </w:tcBorders>
          </w:tcPr>
          <w:p w14:paraId="5C17E72F" w14:textId="77777777" w:rsidR="00FE04DA" w:rsidRPr="004E13E9" w:rsidRDefault="00FE04DA" w:rsidP="00E62E84">
            <w:pPr>
              <w:rPr>
                <w:lang w:val="fr-FR"/>
              </w:rPr>
            </w:pPr>
            <w:r w:rsidRPr="004E13E9">
              <w:rPr>
                <w:b/>
                <w:lang w:val="fr-FR"/>
              </w:rPr>
              <w:t>Périodes d’ouverture de la pêche (paragraphes 28-32)</w:t>
            </w:r>
          </w:p>
        </w:tc>
        <w:tc>
          <w:tcPr>
            <w:tcW w:w="4111" w:type="dxa"/>
            <w:tcBorders>
              <w:top w:val="single" w:sz="4" w:space="0" w:color="000000"/>
              <w:left w:val="single" w:sz="4" w:space="0" w:color="000000"/>
              <w:bottom w:val="single" w:sz="4" w:space="0" w:color="000000"/>
              <w:right w:val="single" w:sz="4" w:space="0" w:color="000000"/>
            </w:tcBorders>
          </w:tcPr>
          <w:p w14:paraId="1C0CCF51" w14:textId="77777777" w:rsidR="00FE04DA" w:rsidRPr="004E13E9" w:rsidRDefault="00FE04DA" w:rsidP="00487A5C">
            <w:pPr>
              <w:pStyle w:val="ListParagraph"/>
              <w:widowControl w:val="0"/>
              <w:numPr>
                <w:ilvl w:val="0"/>
                <w:numId w:val="41"/>
              </w:numPr>
              <w:autoSpaceDE w:val="0"/>
              <w:spacing w:after="0" w:line="240" w:lineRule="auto"/>
              <w:ind w:left="241" w:right="34" w:hanging="241"/>
              <w:jc w:val="both"/>
              <w:rPr>
                <w:rFonts w:ascii="Cambria" w:hAnsi="Cambria"/>
                <w:sz w:val="20"/>
                <w:szCs w:val="20"/>
              </w:rPr>
            </w:pPr>
            <w:r w:rsidRPr="004E13E9">
              <w:rPr>
                <w:rFonts w:ascii="Cambria" w:hAnsi="Cambria"/>
                <w:sz w:val="20"/>
                <w:szCs w:val="20"/>
              </w:rPr>
              <w:t>La pêche du thon rouge par les madragues est autorisée du 1</w:t>
            </w:r>
            <w:r w:rsidRPr="004E13E9">
              <w:rPr>
                <w:rFonts w:ascii="Cambria" w:hAnsi="Cambria"/>
                <w:sz w:val="20"/>
                <w:szCs w:val="20"/>
                <w:vertAlign w:val="superscript"/>
              </w:rPr>
              <w:t>er</w:t>
            </w:r>
            <w:r w:rsidRPr="004E13E9">
              <w:rPr>
                <w:rFonts w:ascii="Cambria" w:hAnsi="Cambria"/>
                <w:sz w:val="20"/>
                <w:szCs w:val="20"/>
              </w:rPr>
              <w:t xml:space="preserve"> avril au 31 juillet.</w:t>
            </w:r>
          </w:p>
          <w:p w14:paraId="327A16B7" w14:textId="77777777" w:rsidR="00FE04DA" w:rsidRPr="004E13E9" w:rsidRDefault="00FE04DA" w:rsidP="00487A5C">
            <w:pPr>
              <w:pStyle w:val="ListParagraph"/>
              <w:widowControl w:val="0"/>
              <w:numPr>
                <w:ilvl w:val="0"/>
                <w:numId w:val="41"/>
              </w:numPr>
              <w:autoSpaceDE w:val="0"/>
              <w:spacing w:after="0" w:line="240" w:lineRule="auto"/>
              <w:ind w:left="241" w:right="34" w:hanging="241"/>
              <w:jc w:val="both"/>
              <w:rPr>
                <w:rFonts w:ascii="Cambria" w:hAnsi="Cambria"/>
                <w:sz w:val="20"/>
                <w:szCs w:val="20"/>
              </w:rPr>
            </w:pPr>
            <w:r w:rsidRPr="004E13E9">
              <w:rPr>
                <w:rFonts w:ascii="Cambria" w:hAnsi="Cambria"/>
                <w:sz w:val="20"/>
                <w:szCs w:val="20"/>
              </w:rPr>
              <w:t>La pêche du thon rouge par le grand palangrier pélagique est autorisée du 1</w:t>
            </w:r>
            <w:r w:rsidRPr="004E13E9">
              <w:rPr>
                <w:rFonts w:ascii="Cambria" w:hAnsi="Cambria"/>
                <w:sz w:val="20"/>
                <w:szCs w:val="20"/>
                <w:vertAlign w:val="superscript"/>
              </w:rPr>
              <w:t xml:space="preserve">er </w:t>
            </w:r>
            <w:r w:rsidRPr="004E13E9">
              <w:rPr>
                <w:rFonts w:ascii="Cambria" w:hAnsi="Cambria"/>
                <w:sz w:val="20"/>
                <w:szCs w:val="20"/>
              </w:rPr>
              <w:t>janvier au 31 mai.</w:t>
            </w:r>
          </w:p>
          <w:p w14:paraId="10C63E7A" w14:textId="77777777" w:rsidR="00FE04DA" w:rsidRPr="004E13E9" w:rsidRDefault="00FE04DA" w:rsidP="00487A5C">
            <w:pPr>
              <w:pStyle w:val="ListParagraph"/>
              <w:widowControl w:val="0"/>
              <w:numPr>
                <w:ilvl w:val="0"/>
                <w:numId w:val="41"/>
              </w:numPr>
              <w:autoSpaceDE w:val="0"/>
              <w:spacing w:after="0" w:line="240" w:lineRule="auto"/>
              <w:ind w:left="241" w:right="34" w:hanging="241"/>
              <w:jc w:val="both"/>
              <w:rPr>
                <w:rFonts w:ascii="Cambria" w:hAnsi="Cambria"/>
                <w:sz w:val="20"/>
                <w:szCs w:val="20"/>
              </w:rPr>
            </w:pPr>
            <w:r w:rsidRPr="004E13E9">
              <w:rPr>
                <w:rFonts w:ascii="Cambria" w:hAnsi="Cambria"/>
                <w:sz w:val="20"/>
                <w:szCs w:val="20"/>
              </w:rPr>
              <w:t xml:space="preserve">La pêche du thon rouge à la senne : les 7 senneurs vont opérer dans la cadre des opérations de pêche conjointe (JFO) nationale : </w:t>
            </w:r>
          </w:p>
          <w:p w14:paraId="2057998D" w14:textId="77777777" w:rsidR="00FE04DA" w:rsidRPr="004E13E9" w:rsidRDefault="00FE04DA" w:rsidP="00E62E84">
            <w:pPr>
              <w:ind w:left="241" w:right="34" w:hanging="241"/>
              <w:rPr>
                <w:sz w:val="12"/>
                <w:szCs w:val="12"/>
                <w:lang w:val="fr-FR"/>
              </w:rPr>
            </w:pPr>
          </w:p>
          <w:p w14:paraId="5BAA77C9" w14:textId="77777777" w:rsidR="00FE04DA" w:rsidRPr="004E13E9" w:rsidRDefault="00FE04DA" w:rsidP="00487A5C">
            <w:pPr>
              <w:widowControl w:val="0"/>
              <w:numPr>
                <w:ilvl w:val="0"/>
                <w:numId w:val="42"/>
              </w:numPr>
              <w:suppressAutoHyphens/>
              <w:ind w:left="241" w:right="34" w:hanging="241"/>
              <w:jc w:val="both"/>
              <w:rPr>
                <w:lang w:val="fr-FR"/>
              </w:rPr>
            </w:pPr>
            <w:r w:rsidRPr="004E13E9">
              <w:rPr>
                <w:lang w:val="fr-FR"/>
              </w:rPr>
              <w:t>04 navires vont opérer en Méditerranée du 19 mai au 1</w:t>
            </w:r>
            <w:r w:rsidRPr="004E13E9">
              <w:rPr>
                <w:vertAlign w:val="superscript"/>
                <w:lang w:val="fr-FR"/>
              </w:rPr>
              <w:t>er</w:t>
            </w:r>
            <w:r w:rsidRPr="004E13E9">
              <w:rPr>
                <w:lang w:val="fr-FR"/>
              </w:rPr>
              <w:t xml:space="preserve"> juillet.</w:t>
            </w:r>
          </w:p>
          <w:p w14:paraId="35C23163" w14:textId="77777777" w:rsidR="00FE04DA" w:rsidRPr="004E13E9" w:rsidRDefault="00FE04DA" w:rsidP="00487A5C">
            <w:pPr>
              <w:widowControl w:val="0"/>
              <w:numPr>
                <w:ilvl w:val="0"/>
                <w:numId w:val="42"/>
              </w:numPr>
              <w:suppressAutoHyphens/>
              <w:ind w:left="241" w:right="34" w:hanging="241"/>
              <w:jc w:val="both"/>
              <w:rPr>
                <w:lang w:val="fr-FR"/>
              </w:rPr>
            </w:pPr>
            <w:r w:rsidRPr="004E13E9">
              <w:rPr>
                <w:lang w:val="fr-FR"/>
              </w:rPr>
              <w:t>03 navires vont opérer dans les zones de pêche de l’Atlantique Est et de la mer Méditerranée se limitant aux eaux relevant de la souveraineté ou de la juridiction du Royaume du Maroc, dans ce cas le Maroc demande une dérogation, pour que la saison de pêche à la senne soit ouverte du 1</w:t>
            </w:r>
            <w:r w:rsidRPr="004E13E9">
              <w:rPr>
                <w:vertAlign w:val="superscript"/>
                <w:lang w:val="fr-FR"/>
              </w:rPr>
              <w:t>er</w:t>
            </w:r>
            <w:r w:rsidRPr="004E13E9">
              <w:rPr>
                <w:lang w:val="fr-FR"/>
              </w:rPr>
              <w:t xml:space="preserve"> mai au 15 juin.</w:t>
            </w:r>
          </w:p>
        </w:tc>
        <w:tc>
          <w:tcPr>
            <w:tcW w:w="2268" w:type="dxa"/>
            <w:vMerge/>
            <w:tcBorders>
              <w:left w:val="single" w:sz="4" w:space="0" w:color="000000"/>
              <w:bottom w:val="single" w:sz="4" w:space="0" w:color="000000"/>
              <w:right w:val="single" w:sz="4" w:space="0" w:color="000000"/>
            </w:tcBorders>
          </w:tcPr>
          <w:p w14:paraId="75ED74DC" w14:textId="77777777" w:rsidR="00FE04DA" w:rsidRPr="004E13E9" w:rsidRDefault="00FE04DA" w:rsidP="00E62E84">
            <w:pPr>
              <w:rPr>
                <w:lang w:val="fr-FR"/>
              </w:rPr>
            </w:pPr>
          </w:p>
        </w:tc>
      </w:tr>
      <w:tr w:rsidR="00FE04DA" w:rsidRPr="006A2397" w14:paraId="3AC21B7F" w14:textId="77777777" w:rsidTr="00E62E84">
        <w:trPr>
          <w:trHeight w:val="4403"/>
        </w:trPr>
        <w:tc>
          <w:tcPr>
            <w:tcW w:w="453" w:type="dxa"/>
            <w:tcBorders>
              <w:top w:val="single" w:sz="4" w:space="0" w:color="000000"/>
              <w:left w:val="single" w:sz="4" w:space="0" w:color="000000"/>
              <w:bottom w:val="single" w:sz="4" w:space="0" w:color="000000"/>
              <w:right w:val="single" w:sz="4" w:space="0" w:color="000000"/>
            </w:tcBorders>
          </w:tcPr>
          <w:p w14:paraId="3CF9C835" w14:textId="77777777" w:rsidR="00FE04DA" w:rsidRPr="004E13E9" w:rsidRDefault="00FE04DA" w:rsidP="00E62E84">
            <w:r w:rsidRPr="004E13E9">
              <w:rPr>
                <w:b/>
              </w:rPr>
              <w:t>3</w:t>
            </w:r>
          </w:p>
        </w:tc>
        <w:tc>
          <w:tcPr>
            <w:tcW w:w="2377" w:type="dxa"/>
            <w:tcBorders>
              <w:top w:val="single" w:sz="4" w:space="0" w:color="000000"/>
              <w:left w:val="single" w:sz="4" w:space="0" w:color="000000"/>
              <w:bottom w:val="single" w:sz="4" w:space="0" w:color="000000"/>
              <w:right w:val="single" w:sz="4" w:space="0" w:color="000000"/>
            </w:tcBorders>
          </w:tcPr>
          <w:p w14:paraId="55826621" w14:textId="77777777" w:rsidR="00FE04DA" w:rsidRPr="004E13E9" w:rsidRDefault="00FE04DA" w:rsidP="00E62E84">
            <w:r w:rsidRPr="004E13E9">
              <w:rPr>
                <w:b/>
                <w:bCs/>
              </w:rPr>
              <w:t xml:space="preserve">Taille </w:t>
            </w:r>
            <w:proofErr w:type="spellStart"/>
            <w:r w:rsidRPr="004E13E9">
              <w:rPr>
                <w:b/>
                <w:bCs/>
              </w:rPr>
              <w:t>minimale</w:t>
            </w:r>
            <w:proofErr w:type="spellEnd"/>
            <w:r w:rsidRPr="004E13E9">
              <w:rPr>
                <w:b/>
                <w:bCs/>
              </w:rPr>
              <w:t xml:space="preserve"> (</w:t>
            </w:r>
            <w:proofErr w:type="spellStart"/>
            <w:r w:rsidRPr="004E13E9">
              <w:rPr>
                <w:b/>
              </w:rPr>
              <w:t>paragraphes</w:t>
            </w:r>
            <w:proofErr w:type="spellEnd"/>
            <w:r w:rsidRPr="004E13E9">
              <w:rPr>
                <w:b/>
              </w:rPr>
              <w:t xml:space="preserve"> </w:t>
            </w:r>
            <w:r w:rsidRPr="004E13E9">
              <w:rPr>
                <w:b/>
                <w:bCs/>
              </w:rPr>
              <w:t>33-35)</w:t>
            </w:r>
          </w:p>
        </w:tc>
        <w:tc>
          <w:tcPr>
            <w:tcW w:w="4111" w:type="dxa"/>
            <w:tcBorders>
              <w:top w:val="single" w:sz="4" w:space="0" w:color="000000"/>
              <w:left w:val="single" w:sz="4" w:space="0" w:color="000000"/>
              <w:bottom w:val="single" w:sz="4" w:space="0" w:color="000000"/>
              <w:right w:val="single" w:sz="4" w:space="0" w:color="000000"/>
            </w:tcBorders>
          </w:tcPr>
          <w:p w14:paraId="0694E7C5" w14:textId="77777777" w:rsidR="00FE04DA" w:rsidRPr="004E13E9" w:rsidRDefault="00FE04DA" w:rsidP="00E62E84">
            <w:pPr>
              <w:rPr>
                <w:rFonts w:cs="Calibri"/>
                <w:lang w:val="fr-FR" w:eastAsia="ar-MA" w:bidi="ar-MA"/>
              </w:rPr>
            </w:pPr>
            <w:r w:rsidRPr="004E13E9">
              <w:rPr>
                <w:lang w:val="fr-FR" w:eastAsia="ar-SA"/>
              </w:rPr>
              <w:t>La capture, la rétention à bord, le transbordement, le transfert, le débarquement, le stockage, la vente, l’exposition ou la proposition de vente de thon rouge d’un poids inférieur à 30 kg ou d’une longueur à la fourche de moins de 115 cm sont interdits.</w:t>
            </w:r>
            <w:r w:rsidRPr="004E13E9">
              <w:rPr>
                <w:lang w:val="fr-FR"/>
              </w:rPr>
              <w:t xml:space="preserve"> </w:t>
            </w:r>
            <w:r w:rsidRPr="004E13E9">
              <w:rPr>
                <w:rFonts w:cs="Calibri"/>
                <w:lang w:val="fr-FR" w:eastAsia="ar-MA" w:bidi="ar-MA"/>
              </w:rPr>
              <w:t>Une prise accidentelle autorisée de</w:t>
            </w:r>
            <w:r w:rsidRPr="004E13E9">
              <w:rPr>
                <w:lang w:val="fr-FR"/>
              </w:rPr>
              <w:t xml:space="preserve"> </w:t>
            </w:r>
            <w:r w:rsidRPr="004E13E9">
              <w:rPr>
                <w:rFonts w:cs="Calibri"/>
                <w:lang w:val="fr-FR" w:eastAsia="ar-MA" w:bidi="ar-MA"/>
              </w:rPr>
              <w:t>5% maximum en nombre de thons rouges capturés pesant entre 8 et 30 kg ou 75 cm à 115 cm.</w:t>
            </w:r>
          </w:p>
          <w:p w14:paraId="198C13A3" w14:textId="77777777" w:rsidR="00FE04DA" w:rsidRPr="004E13E9" w:rsidRDefault="00FE04DA" w:rsidP="00E62E84">
            <w:pPr>
              <w:rPr>
                <w:lang w:val="fr-FR"/>
              </w:rPr>
            </w:pPr>
          </w:p>
          <w:p w14:paraId="2DDA07FE" w14:textId="77777777" w:rsidR="00FE04DA" w:rsidRPr="004E13E9" w:rsidRDefault="00FE04DA" w:rsidP="00E62E84">
            <w:pPr>
              <w:rPr>
                <w:lang w:val="fr-FR"/>
              </w:rPr>
            </w:pPr>
            <w:r w:rsidRPr="004E13E9">
              <w:rPr>
                <w:lang w:val="fr-FR"/>
              </w:rPr>
              <w:t>Tout thon rouge inférieur à la taille minimale serait enregistré et déduit du quota alloué au Maroc.</w:t>
            </w:r>
          </w:p>
          <w:p w14:paraId="20716275" w14:textId="77777777" w:rsidR="00FE04DA" w:rsidRPr="004E13E9" w:rsidRDefault="00FE04DA" w:rsidP="00E62E84">
            <w:pPr>
              <w:rPr>
                <w:lang w:val="fr-FR"/>
              </w:rPr>
            </w:pPr>
          </w:p>
          <w:p w14:paraId="38DAEB69" w14:textId="77777777" w:rsidR="00FE04DA" w:rsidRPr="004E13E9" w:rsidRDefault="00FE04DA" w:rsidP="00E62E84">
            <w:pPr>
              <w:rPr>
                <w:lang w:val="fr-FR"/>
              </w:rPr>
            </w:pPr>
          </w:p>
        </w:tc>
        <w:tc>
          <w:tcPr>
            <w:tcW w:w="2268" w:type="dxa"/>
            <w:tcBorders>
              <w:top w:val="single" w:sz="4" w:space="0" w:color="000000"/>
              <w:left w:val="single" w:sz="4" w:space="0" w:color="000000"/>
              <w:bottom w:val="single" w:sz="4" w:space="0" w:color="000000"/>
              <w:right w:val="single" w:sz="4" w:space="0" w:color="000000"/>
            </w:tcBorders>
          </w:tcPr>
          <w:p w14:paraId="4185EADE" w14:textId="77777777" w:rsidR="00FE04DA" w:rsidRPr="004E13E9" w:rsidRDefault="00FE04DA" w:rsidP="00E62E84">
            <w:pPr>
              <w:rPr>
                <w:lang w:val="fr-FR"/>
              </w:rPr>
            </w:pPr>
            <w:r w:rsidRPr="004E13E9">
              <w:rPr>
                <w:rFonts w:eastAsia="Calibri"/>
                <w:lang w:val="fr-FR"/>
              </w:rPr>
              <w:t>L’arrêté</w:t>
            </w:r>
            <w:r w:rsidRPr="004E13E9">
              <w:rPr>
                <w:lang w:val="fr-FR"/>
              </w:rPr>
              <w:t xml:space="preserve"> du </w:t>
            </w:r>
            <w:proofErr w:type="gramStart"/>
            <w:r w:rsidRPr="004E13E9">
              <w:rPr>
                <w:lang w:val="fr-FR"/>
              </w:rPr>
              <w:t>Ministre</w:t>
            </w:r>
            <w:proofErr w:type="gramEnd"/>
            <w:r w:rsidRPr="004E13E9">
              <w:rPr>
                <w:lang w:val="fr-FR"/>
              </w:rPr>
              <w:t xml:space="preserve"> des Pêches Maritimes et de la Marine Marchande n°1154-88 du 20 </w:t>
            </w:r>
            <w:proofErr w:type="spellStart"/>
            <w:r w:rsidRPr="004E13E9">
              <w:rPr>
                <w:lang w:val="fr-FR"/>
              </w:rPr>
              <w:t>safar</w:t>
            </w:r>
            <w:proofErr w:type="spellEnd"/>
            <w:r w:rsidRPr="004E13E9">
              <w:rPr>
                <w:lang w:val="fr-FR"/>
              </w:rPr>
              <w:t xml:space="preserve"> 1409 (3 octobre 1988) fixant la taille marchande minimale des espèces pêchées dans les eaux maritimes marocaines tel que modifié et complété par l’arrêté n°4132-19 du 26 décembre 2019.</w:t>
            </w:r>
          </w:p>
          <w:p w14:paraId="49902AAD" w14:textId="77777777" w:rsidR="00FE04DA" w:rsidRPr="004E13E9" w:rsidRDefault="00FE04DA" w:rsidP="00E62E84">
            <w:pPr>
              <w:rPr>
                <w:rFonts w:cs="Calibri"/>
                <w:lang w:val="fr-FR"/>
              </w:rPr>
            </w:pPr>
            <w:r w:rsidRPr="004E13E9">
              <w:rPr>
                <w:rFonts w:cs="Calibri"/>
                <w:lang w:val="fr-FR"/>
              </w:rPr>
              <w:t>Cet arrêté s’applique aussi à la haute mer dans la zone de la Convention de l’ICCAT.</w:t>
            </w:r>
          </w:p>
        </w:tc>
      </w:tr>
      <w:tr w:rsidR="00FE04DA" w:rsidRPr="006A2397" w14:paraId="337C552E" w14:textId="77777777" w:rsidTr="00E62E84">
        <w:tc>
          <w:tcPr>
            <w:tcW w:w="453" w:type="dxa"/>
            <w:tcBorders>
              <w:top w:val="single" w:sz="4" w:space="0" w:color="000000"/>
              <w:left w:val="single" w:sz="4" w:space="0" w:color="000000"/>
              <w:bottom w:val="single" w:sz="4" w:space="0" w:color="000000"/>
              <w:right w:val="single" w:sz="4" w:space="0" w:color="000000"/>
            </w:tcBorders>
          </w:tcPr>
          <w:p w14:paraId="43A59926" w14:textId="77777777" w:rsidR="00FE04DA" w:rsidRPr="004E13E9" w:rsidRDefault="00FE04DA" w:rsidP="00E62E84">
            <w:r w:rsidRPr="004E13E9">
              <w:rPr>
                <w:b/>
              </w:rPr>
              <w:t>4</w:t>
            </w:r>
          </w:p>
        </w:tc>
        <w:tc>
          <w:tcPr>
            <w:tcW w:w="2377" w:type="dxa"/>
            <w:tcBorders>
              <w:top w:val="single" w:sz="4" w:space="0" w:color="000000"/>
              <w:left w:val="single" w:sz="4" w:space="0" w:color="000000"/>
              <w:bottom w:val="single" w:sz="4" w:space="0" w:color="000000"/>
              <w:right w:val="single" w:sz="4" w:space="0" w:color="000000"/>
            </w:tcBorders>
          </w:tcPr>
          <w:p w14:paraId="42F1219E" w14:textId="77777777" w:rsidR="00FE04DA" w:rsidRPr="004E13E9" w:rsidRDefault="00FE04DA" w:rsidP="00E62E84">
            <w:proofErr w:type="spellStart"/>
            <w:r w:rsidRPr="004E13E9">
              <w:rPr>
                <w:b/>
              </w:rPr>
              <w:t>Prises</w:t>
            </w:r>
            <w:proofErr w:type="spellEnd"/>
            <w:r w:rsidRPr="004E13E9">
              <w:rPr>
                <w:b/>
              </w:rPr>
              <w:t xml:space="preserve"> </w:t>
            </w:r>
            <w:proofErr w:type="spellStart"/>
            <w:r w:rsidRPr="004E13E9">
              <w:rPr>
                <w:b/>
              </w:rPr>
              <w:t>accessoires</w:t>
            </w:r>
            <w:proofErr w:type="spellEnd"/>
            <w:r w:rsidRPr="004E13E9">
              <w:rPr>
                <w:b/>
              </w:rPr>
              <w:t xml:space="preserve"> (</w:t>
            </w:r>
            <w:proofErr w:type="spellStart"/>
            <w:r w:rsidRPr="004E13E9">
              <w:rPr>
                <w:b/>
              </w:rPr>
              <w:t>paragraphe</w:t>
            </w:r>
            <w:proofErr w:type="spellEnd"/>
            <w:r w:rsidRPr="004E13E9">
              <w:rPr>
                <w:b/>
              </w:rPr>
              <w:t xml:space="preserve"> 37) </w:t>
            </w:r>
          </w:p>
        </w:tc>
        <w:tc>
          <w:tcPr>
            <w:tcW w:w="4111" w:type="dxa"/>
            <w:tcBorders>
              <w:top w:val="single" w:sz="4" w:space="0" w:color="000000"/>
              <w:left w:val="single" w:sz="4" w:space="0" w:color="000000"/>
              <w:bottom w:val="single" w:sz="4" w:space="0" w:color="000000"/>
              <w:right w:val="single" w:sz="4" w:space="0" w:color="000000"/>
            </w:tcBorders>
          </w:tcPr>
          <w:p w14:paraId="37A389EF" w14:textId="77777777" w:rsidR="00FE04DA" w:rsidRPr="004E13E9" w:rsidRDefault="00FE04DA" w:rsidP="00E62E84">
            <w:pPr>
              <w:rPr>
                <w:rFonts w:cs="TimesNewRomanPSMT"/>
                <w:lang w:val="fr-FR" w:eastAsia="ar-SA"/>
              </w:rPr>
            </w:pPr>
            <w:r w:rsidRPr="004E13E9">
              <w:rPr>
                <w:rFonts w:cs="TimesNewRomanPSMT"/>
                <w:lang w:val="fr-FR" w:eastAsia="ar-SA"/>
              </w:rPr>
              <w:t>Les navires pêchant accessoirement le thon rouge sont autorisés à retenir, quel que soit le moment, du thon rouge moins de 20 % de la prise totale annuelle en poids ou en nombre de spécimens.</w:t>
            </w:r>
          </w:p>
          <w:p w14:paraId="17EF6002" w14:textId="77777777" w:rsidR="00FE04DA" w:rsidRPr="004E13E9" w:rsidRDefault="00FE04DA" w:rsidP="00E62E84">
            <w:pPr>
              <w:rPr>
                <w:rFonts w:eastAsia="Times New Roman"/>
                <w:lang w:val="fr-FR" w:eastAsia="ar-SA"/>
              </w:rPr>
            </w:pPr>
          </w:p>
          <w:p w14:paraId="5542D975" w14:textId="77777777" w:rsidR="00FE04DA" w:rsidRPr="004E13E9" w:rsidRDefault="00FE04DA" w:rsidP="00E62E84">
            <w:pPr>
              <w:rPr>
                <w:lang w:val="fr-FR"/>
              </w:rPr>
            </w:pPr>
            <w:r w:rsidRPr="004E13E9">
              <w:rPr>
                <w:lang w:val="fr-FR"/>
              </w:rPr>
              <w:t xml:space="preserve">Un quota de </w:t>
            </w:r>
            <w:r w:rsidRPr="004E13E9">
              <w:rPr>
                <w:lang w:val="fr-FR" w:eastAsia="ar-SA"/>
              </w:rPr>
              <w:t xml:space="preserve">602,09 </w:t>
            </w:r>
            <w:r w:rsidRPr="004E13E9">
              <w:rPr>
                <w:lang w:val="fr-FR"/>
              </w:rPr>
              <w:t>tonnes alloué aux prises accessoires réalisées par d</w:t>
            </w:r>
            <w:r w:rsidRPr="004E13E9">
              <w:rPr>
                <w:lang w:val="fr-FR" w:eastAsia="ar-SA"/>
              </w:rPr>
              <w:t>es petits navires côtiers et des barques artisanales</w:t>
            </w:r>
            <w:r w:rsidRPr="004E13E9">
              <w:rPr>
                <w:lang w:val="fr-FR"/>
              </w:rPr>
              <w:t xml:space="preserve"> utilisant la palangre et la ligne est calculé sur une base annuelle, et sont comptabilisées et déduites du quota national alloué par l’ICCAT.</w:t>
            </w:r>
          </w:p>
          <w:p w14:paraId="009D4835" w14:textId="77777777" w:rsidR="00FE04DA" w:rsidRPr="004E13E9" w:rsidRDefault="00FE04DA" w:rsidP="00E62E84">
            <w:pPr>
              <w:rPr>
                <w:lang w:val="fr-FR"/>
              </w:rPr>
            </w:pPr>
          </w:p>
          <w:p w14:paraId="2CE7BF8B" w14:textId="77777777" w:rsidR="00FE04DA" w:rsidRPr="004E13E9" w:rsidRDefault="00FE04DA" w:rsidP="00E62E84">
            <w:pPr>
              <w:rPr>
                <w:lang w:val="fr-FR" w:eastAsia="ar-SA"/>
              </w:rPr>
            </w:pPr>
            <w:r w:rsidRPr="004E13E9">
              <w:rPr>
                <w:lang w:val="fr-FR"/>
              </w:rPr>
              <w:t xml:space="preserve">En 2025, le niveau des prises accessoires s'est élevé à </w:t>
            </w:r>
            <w:r w:rsidRPr="004E13E9">
              <w:rPr>
                <w:lang w:val="fr-FR" w:eastAsia="ar-SA"/>
              </w:rPr>
              <w:t>337,80 tonnes.</w:t>
            </w:r>
          </w:p>
          <w:p w14:paraId="51AC0A5E" w14:textId="77777777" w:rsidR="00FE04DA" w:rsidRPr="004E13E9" w:rsidRDefault="00FE04DA" w:rsidP="00E62E84">
            <w:pPr>
              <w:rPr>
                <w:lang w:val="fr-FR" w:eastAsia="ar-SA"/>
              </w:rPr>
            </w:pPr>
          </w:p>
          <w:p w14:paraId="50169971" w14:textId="77777777" w:rsidR="00FE04DA" w:rsidRPr="004E13E9" w:rsidRDefault="00FE04DA" w:rsidP="00E62E84">
            <w:pPr>
              <w:rPr>
                <w:lang w:val="fr-FR" w:eastAsia="ar-SA"/>
              </w:rPr>
            </w:pPr>
            <w:r w:rsidRPr="004E13E9">
              <w:rPr>
                <w:lang w:val="fr-FR" w:eastAsia="ar-SA"/>
              </w:rPr>
              <w:t>Une réserve de 30 tonnes est laissée en cas d’éventuels rejets morts de thon rouge.</w:t>
            </w:r>
          </w:p>
          <w:p w14:paraId="0E096BC1" w14:textId="77777777" w:rsidR="00FE04DA" w:rsidRPr="004E13E9" w:rsidRDefault="00FE04DA" w:rsidP="00E62E84">
            <w:pPr>
              <w:rPr>
                <w:lang w:val="fr-FR" w:eastAsia="ar-SA"/>
              </w:rPr>
            </w:pPr>
          </w:p>
          <w:p w14:paraId="1A778D94" w14:textId="77777777" w:rsidR="00FE04DA" w:rsidRPr="004E13E9" w:rsidRDefault="00FE04DA" w:rsidP="00E62E84">
            <w:pPr>
              <w:jc w:val="lowKashida"/>
              <w:rPr>
                <w:lang w:val="fr-FR"/>
              </w:rPr>
            </w:pPr>
            <w:r w:rsidRPr="004E13E9">
              <w:rPr>
                <w:lang w:val="fr-FR" w:eastAsia="ar-SA"/>
              </w:rPr>
              <w:t>Soit un total de 632,09 tonnes (13,64%) du quota ajusté (4.633,09 tonnes) est réservé à la p</w:t>
            </w:r>
            <w:r w:rsidRPr="004E13E9">
              <w:rPr>
                <w:rFonts w:cs="Century"/>
                <w:lang w:val="fr-FR"/>
              </w:rPr>
              <w:t xml:space="preserve">êche accessoire par les petits navires côtiers et des barques artisanales et </w:t>
            </w:r>
            <w:r w:rsidRPr="004E13E9">
              <w:rPr>
                <w:lang w:val="fr-FR"/>
              </w:rPr>
              <w:t>éventuels rejets morts de thon rouge.</w:t>
            </w:r>
          </w:p>
        </w:tc>
        <w:tc>
          <w:tcPr>
            <w:tcW w:w="2268" w:type="dxa"/>
            <w:tcBorders>
              <w:top w:val="single" w:sz="4" w:space="0" w:color="000000"/>
              <w:left w:val="single" w:sz="4" w:space="0" w:color="000000"/>
              <w:bottom w:val="single" w:sz="4" w:space="0" w:color="000000"/>
              <w:right w:val="single" w:sz="4" w:space="0" w:color="000000"/>
            </w:tcBorders>
            <w:vAlign w:val="center"/>
          </w:tcPr>
          <w:p w14:paraId="777F1EA9" w14:textId="77777777" w:rsidR="00FE04DA" w:rsidRPr="004E13E9" w:rsidRDefault="00FE04DA" w:rsidP="00E62E84">
            <w:pPr>
              <w:rPr>
                <w:lang w:val="fr-FR"/>
              </w:rPr>
            </w:pPr>
            <w:r w:rsidRPr="004E13E9">
              <w:rPr>
                <w:lang w:val="fr-FR" w:eastAsia="ar-SA"/>
              </w:rPr>
              <w:t xml:space="preserve">Arrêté de la secrétaire d’Etat auprès du ministre de l’Agriculture, de la Pêche maritime, du Développement rural et des Eaux et Forêts, chargée de la pêche maritime n°2648-24 du 5 </w:t>
            </w:r>
            <w:proofErr w:type="spellStart"/>
            <w:r w:rsidRPr="004E13E9">
              <w:rPr>
                <w:lang w:val="fr-FR" w:eastAsia="ar-SA"/>
              </w:rPr>
              <w:t>joumada</w:t>
            </w:r>
            <w:proofErr w:type="spellEnd"/>
            <w:r w:rsidRPr="004E13E9">
              <w:rPr>
                <w:lang w:val="fr-FR" w:eastAsia="ar-SA"/>
              </w:rPr>
              <w:t xml:space="preserve"> I 1446 (8 novembre 2024) relatif au plan d’aménagement et de gestion de la pêcherie du thon rouge (</w:t>
            </w:r>
            <w:proofErr w:type="spellStart"/>
            <w:r w:rsidRPr="004E13E9">
              <w:rPr>
                <w:i/>
                <w:iCs/>
                <w:lang w:val="fr-FR" w:eastAsia="ar-SA"/>
              </w:rPr>
              <w:t>Thunnus</w:t>
            </w:r>
            <w:proofErr w:type="spellEnd"/>
            <w:r w:rsidRPr="004E13E9">
              <w:rPr>
                <w:i/>
                <w:iCs/>
                <w:lang w:val="fr-FR" w:eastAsia="ar-SA"/>
              </w:rPr>
              <w:t xml:space="preserve"> </w:t>
            </w:r>
            <w:proofErr w:type="spellStart"/>
            <w:r w:rsidRPr="004E13E9">
              <w:rPr>
                <w:i/>
                <w:iCs/>
                <w:lang w:val="fr-FR" w:eastAsia="ar-SA"/>
              </w:rPr>
              <w:t>thynnus</w:t>
            </w:r>
            <w:proofErr w:type="spellEnd"/>
            <w:r w:rsidRPr="004E13E9">
              <w:rPr>
                <w:lang w:val="fr-FR" w:eastAsia="ar-SA"/>
              </w:rPr>
              <w:t>) dans les eaux maritimes marocaines.</w:t>
            </w:r>
          </w:p>
          <w:p w14:paraId="62C82690" w14:textId="77777777" w:rsidR="00FE04DA" w:rsidRPr="004E13E9" w:rsidRDefault="00FE04DA" w:rsidP="00E62E84">
            <w:pPr>
              <w:rPr>
                <w:lang w:val="fr-FR"/>
              </w:rPr>
            </w:pPr>
          </w:p>
        </w:tc>
      </w:tr>
      <w:tr w:rsidR="00FE04DA" w:rsidRPr="006A2397" w14:paraId="027F539B" w14:textId="77777777" w:rsidTr="00E62E84">
        <w:tc>
          <w:tcPr>
            <w:tcW w:w="453" w:type="dxa"/>
            <w:tcBorders>
              <w:top w:val="single" w:sz="4" w:space="0" w:color="000000"/>
              <w:left w:val="single" w:sz="4" w:space="0" w:color="000000"/>
              <w:bottom w:val="single" w:sz="4" w:space="0" w:color="000000"/>
              <w:right w:val="single" w:sz="4" w:space="0" w:color="000000"/>
            </w:tcBorders>
          </w:tcPr>
          <w:p w14:paraId="43DC8AA5" w14:textId="77777777" w:rsidR="00FE04DA" w:rsidRPr="004E13E9" w:rsidRDefault="00FE04DA" w:rsidP="00E62E84">
            <w:r w:rsidRPr="004E13E9">
              <w:rPr>
                <w:b/>
              </w:rPr>
              <w:t>5</w:t>
            </w:r>
          </w:p>
        </w:tc>
        <w:tc>
          <w:tcPr>
            <w:tcW w:w="2377" w:type="dxa"/>
            <w:tcBorders>
              <w:top w:val="single" w:sz="4" w:space="0" w:color="000000"/>
              <w:left w:val="single" w:sz="4" w:space="0" w:color="000000"/>
              <w:bottom w:val="single" w:sz="4" w:space="0" w:color="000000"/>
              <w:right w:val="single" w:sz="4" w:space="0" w:color="000000"/>
            </w:tcBorders>
          </w:tcPr>
          <w:p w14:paraId="7EBFB9F9" w14:textId="77777777" w:rsidR="00FE04DA" w:rsidRPr="004E13E9" w:rsidRDefault="00FE04DA" w:rsidP="00E62E84">
            <w:pPr>
              <w:rPr>
                <w:lang w:val="fr-FR"/>
              </w:rPr>
            </w:pPr>
            <w:r w:rsidRPr="004E13E9">
              <w:rPr>
                <w:b/>
                <w:bCs/>
                <w:lang w:val="fr-FR"/>
              </w:rPr>
              <w:t>Pêcheries récréatives et sportives (paragraphes 38-46)</w:t>
            </w:r>
          </w:p>
        </w:tc>
        <w:tc>
          <w:tcPr>
            <w:tcW w:w="4111" w:type="dxa"/>
            <w:tcBorders>
              <w:top w:val="single" w:sz="4" w:space="0" w:color="000000"/>
              <w:left w:val="single" w:sz="4" w:space="0" w:color="000000"/>
              <w:bottom w:val="single" w:sz="4" w:space="0" w:color="000000"/>
              <w:right w:val="single" w:sz="4" w:space="0" w:color="000000"/>
            </w:tcBorders>
            <w:vAlign w:val="center"/>
          </w:tcPr>
          <w:p w14:paraId="1C4E8417" w14:textId="77777777" w:rsidR="00FE04DA" w:rsidRPr="004E13E9" w:rsidRDefault="00FE04DA" w:rsidP="00E62E84">
            <w:pPr>
              <w:rPr>
                <w:lang w:val="fr-FR"/>
              </w:rPr>
            </w:pPr>
            <w:r w:rsidRPr="004E13E9">
              <w:rPr>
                <w:lang w:val="fr-FR"/>
              </w:rPr>
              <w:t>La pêche récréative et sportive du thon rouge n’est actuellement pas autorisée.</w:t>
            </w:r>
          </w:p>
        </w:tc>
        <w:tc>
          <w:tcPr>
            <w:tcW w:w="2268" w:type="dxa"/>
            <w:tcBorders>
              <w:top w:val="single" w:sz="4" w:space="0" w:color="000000"/>
              <w:left w:val="single" w:sz="4" w:space="0" w:color="000000"/>
              <w:bottom w:val="single" w:sz="4" w:space="0" w:color="000000"/>
              <w:right w:val="single" w:sz="4" w:space="0" w:color="000000"/>
            </w:tcBorders>
          </w:tcPr>
          <w:p w14:paraId="0B2E18F0" w14:textId="77777777" w:rsidR="00FE04DA" w:rsidRPr="004E13E9" w:rsidRDefault="00FE04DA" w:rsidP="00E62E84">
            <w:pPr>
              <w:rPr>
                <w:lang w:val="fr-FR"/>
              </w:rPr>
            </w:pPr>
          </w:p>
        </w:tc>
      </w:tr>
      <w:tr w:rsidR="00FE04DA" w:rsidRPr="006A2397" w14:paraId="60AACAD2" w14:textId="77777777" w:rsidTr="00E62E84">
        <w:tc>
          <w:tcPr>
            <w:tcW w:w="453" w:type="dxa"/>
            <w:tcBorders>
              <w:top w:val="single" w:sz="4" w:space="0" w:color="000000"/>
              <w:left w:val="single" w:sz="4" w:space="0" w:color="000000"/>
              <w:bottom w:val="single" w:sz="4" w:space="0" w:color="000000"/>
              <w:right w:val="single" w:sz="4" w:space="0" w:color="000000"/>
            </w:tcBorders>
          </w:tcPr>
          <w:p w14:paraId="69B71F6C" w14:textId="77777777" w:rsidR="00FE04DA" w:rsidRPr="004E13E9" w:rsidRDefault="00FE04DA" w:rsidP="00E62E84">
            <w:r w:rsidRPr="004E13E9">
              <w:rPr>
                <w:b/>
              </w:rPr>
              <w:t>6</w:t>
            </w:r>
          </w:p>
        </w:tc>
        <w:tc>
          <w:tcPr>
            <w:tcW w:w="2377" w:type="dxa"/>
            <w:tcBorders>
              <w:top w:val="single" w:sz="4" w:space="0" w:color="000000"/>
              <w:left w:val="single" w:sz="4" w:space="0" w:color="000000"/>
              <w:bottom w:val="single" w:sz="4" w:space="0" w:color="000000"/>
              <w:right w:val="single" w:sz="4" w:space="0" w:color="000000"/>
            </w:tcBorders>
          </w:tcPr>
          <w:p w14:paraId="313D6255" w14:textId="77777777" w:rsidR="00FE04DA" w:rsidRPr="004E13E9" w:rsidRDefault="00FE04DA" w:rsidP="00E62E84">
            <w:proofErr w:type="spellStart"/>
            <w:r w:rsidRPr="004E13E9">
              <w:rPr>
                <w:b/>
              </w:rPr>
              <w:t>Transbordement</w:t>
            </w:r>
            <w:proofErr w:type="spellEnd"/>
            <w:r w:rsidRPr="004E13E9">
              <w:rPr>
                <w:b/>
              </w:rPr>
              <w:t xml:space="preserve"> (</w:t>
            </w:r>
            <w:proofErr w:type="spellStart"/>
            <w:r w:rsidRPr="004E13E9">
              <w:rPr>
                <w:b/>
              </w:rPr>
              <w:t>paragraphes</w:t>
            </w:r>
            <w:proofErr w:type="spellEnd"/>
            <w:r w:rsidRPr="004E13E9">
              <w:rPr>
                <w:b/>
              </w:rPr>
              <w:t xml:space="preserve"> 89-94) </w:t>
            </w:r>
          </w:p>
        </w:tc>
        <w:tc>
          <w:tcPr>
            <w:tcW w:w="4111" w:type="dxa"/>
            <w:tcBorders>
              <w:top w:val="single" w:sz="4" w:space="0" w:color="000000"/>
              <w:left w:val="single" w:sz="4" w:space="0" w:color="000000"/>
              <w:bottom w:val="single" w:sz="4" w:space="0" w:color="000000"/>
              <w:right w:val="single" w:sz="4" w:space="0" w:color="000000"/>
            </w:tcBorders>
          </w:tcPr>
          <w:p w14:paraId="1AF2172C" w14:textId="77777777" w:rsidR="00FE04DA" w:rsidRPr="004E13E9" w:rsidRDefault="00FE04DA" w:rsidP="00E62E84">
            <w:pPr>
              <w:rPr>
                <w:lang w:val="fr-FR"/>
              </w:rPr>
            </w:pPr>
            <w:r w:rsidRPr="004E13E9">
              <w:rPr>
                <w:lang w:val="fr-FR"/>
              </w:rPr>
              <w:t>Interdiction de transbordement en mer.</w:t>
            </w:r>
          </w:p>
          <w:p w14:paraId="546FA09D" w14:textId="77777777" w:rsidR="00FE04DA" w:rsidRPr="004E13E9" w:rsidRDefault="00FE04DA" w:rsidP="00E62E84">
            <w:pPr>
              <w:rPr>
                <w:lang w:val="fr-FR"/>
              </w:rPr>
            </w:pPr>
          </w:p>
          <w:p w14:paraId="597198A0" w14:textId="77777777" w:rsidR="00FE04DA" w:rsidRPr="004E13E9" w:rsidRDefault="00FE04DA" w:rsidP="00E62E84">
            <w:pPr>
              <w:rPr>
                <w:lang w:val="fr-FR"/>
              </w:rPr>
            </w:pPr>
            <w:r w:rsidRPr="004E13E9">
              <w:rPr>
                <w:lang w:val="fr-FR"/>
              </w:rPr>
              <w:t>Seul le transbordement au port est autorisé en vertu de la réglementation nationale.</w:t>
            </w:r>
          </w:p>
          <w:p w14:paraId="75F91A0C" w14:textId="77777777" w:rsidR="00FE04DA" w:rsidRPr="004E13E9" w:rsidRDefault="00FE04DA" w:rsidP="00E62E84">
            <w:pPr>
              <w:rPr>
                <w:lang w:val="fr-FR"/>
              </w:rPr>
            </w:pPr>
          </w:p>
          <w:p w14:paraId="70693C16" w14:textId="77777777" w:rsidR="00FE04DA" w:rsidRPr="004E13E9" w:rsidRDefault="00FE04DA" w:rsidP="00E62E84">
            <w:pPr>
              <w:rPr>
                <w:lang w:val="fr-FR"/>
              </w:rPr>
            </w:pPr>
            <w:r w:rsidRPr="004E13E9">
              <w:rPr>
                <w:lang w:val="fr-FR"/>
              </w:rPr>
              <w:t>Le transbordement est autorisé uniquement dans les ports désignés à cet effet en application de toutes les dispositions des recommandations de l’ICCAT.</w:t>
            </w:r>
          </w:p>
          <w:p w14:paraId="10331068" w14:textId="77777777" w:rsidR="00FE04DA" w:rsidRPr="004E13E9" w:rsidRDefault="00FE04DA" w:rsidP="00E62E84">
            <w:pPr>
              <w:rPr>
                <w:lang w:val="fr-FR"/>
              </w:rPr>
            </w:pPr>
          </w:p>
          <w:p w14:paraId="1209155D" w14:textId="77777777" w:rsidR="00FE04DA" w:rsidRPr="004E13E9" w:rsidRDefault="00FE04DA" w:rsidP="00E62E84">
            <w:pPr>
              <w:rPr>
                <w:lang w:val="fr-FR"/>
              </w:rPr>
            </w:pPr>
            <w:r w:rsidRPr="004E13E9">
              <w:rPr>
                <w:lang w:val="fr-FR"/>
              </w:rPr>
              <w:t>Toutes les opérations de transbordement de thon rouge au port font l’objet d’inspection.</w:t>
            </w:r>
          </w:p>
        </w:tc>
        <w:tc>
          <w:tcPr>
            <w:tcW w:w="2268" w:type="dxa"/>
            <w:tcBorders>
              <w:top w:val="single" w:sz="4" w:space="0" w:color="000000"/>
              <w:left w:val="single" w:sz="4" w:space="0" w:color="000000"/>
              <w:bottom w:val="single" w:sz="4" w:space="0" w:color="000000"/>
              <w:right w:val="single" w:sz="4" w:space="0" w:color="000000"/>
            </w:tcBorders>
          </w:tcPr>
          <w:p w14:paraId="01855161" w14:textId="77777777" w:rsidR="00FE04DA" w:rsidRPr="004E13E9" w:rsidRDefault="00FE04DA" w:rsidP="00E62E84">
            <w:pPr>
              <w:rPr>
                <w:lang w:val="fr-FR"/>
              </w:rPr>
            </w:pPr>
            <w:r w:rsidRPr="004E13E9">
              <w:rPr>
                <w:lang w:val="fr-FR"/>
              </w:rPr>
              <w:t xml:space="preserve">Dahir n° 1-14-95 du 12 mai 2014 portant promulgation de la loi n° 15-12 relative à la prévention et la lutte contre la pêche illicite, non déclarée et non réglementée et modifiant et complétant le dahir portant loi n°1-73-255 du 27 </w:t>
            </w:r>
            <w:proofErr w:type="spellStart"/>
            <w:r w:rsidRPr="004E13E9">
              <w:rPr>
                <w:lang w:val="fr-FR"/>
              </w:rPr>
              <w:t>chaoual</w:t>
            </w:r>
            <w:proofErr w:type="spellEnd"/>
            <w:r w:rsidRPr="004E13E9">
              <w:rPr>
                <w:lang w:val="fr-FR"/>
              </w:rPr>
              <w:t xml:space="preserve"> 1393 (23 novembre 1973) formant règlement sur la pêche maritime.</w:t>
            </w:r>
          </w:p>
          <w:p w14:paraId="728F9960" w14:textId="77777777" w:rsidR="00FE04DA" w:rsidRPr="004E13E9" w:rsidRDefault="00FE04DA" w:rsidP="00E62E84">
            <w:pPr>
              <w:rPr>
                <w:lang w:val="fr-FR"/>
              </w:rPr>
            </w:pPr>
          </w:p>
          <w:p w14:paraId="09FBFF5A" w14:textId="77777777" w:rsidR="00FE04DA" w:rsidRPr="004E13E9" w:rsidRDefault="00FE04DA" w:rsidP="00E62E84">
            <w:pPr>
              <w:rPr>
                <w:lang w:val="fr-FR"/>
              </w:rPr>
            </w:pPr>
            <w:r w:rsidRPr="004E13E9">
              <w:rPr>
                <w:lang w:val="fr-FR"/>
              </w:rPr>
              <w:t>Décret N°455.17.2 du 26 avril 2018 pris pour l'application de certaines dispositions du titre I de la loi n°15-12 relative à la prévention et la lutte contre la pêche INN.</w:t>
            </w:r>
          </w:p>
          <w:p w14:paraId="237FC7EF" w14:textId="77777777" w:rsidR="00FE04DA" w:rsidRPr="004E13E9" w:rsidRDefault="00FE04DA" w:rsidP="00E62E84">
            <w:pPr>
              <w:rPr>
                <w:lang w:val="fr-FR"/>
              </w:rPr>
            </w:pPr>
          </w:p>
          <w:p w14:paraId="7825E40D" w14:textId="77777777" w:rsidR="00FE04DA" w:rsidRPr="004E13E9" w:rsidRDefault="00FE04DA" w:rsidP="00E62E84">
            <w:pPr>
              <w:rPr>
                <w:lang w:val="fr-FR"/>
              </w:rPr>
            </w:pPr>
            <w:r w:rsidRPr="004E13E9">
              <w:rPr>
                <w:lang w:val="fr-FR"/>
              </w:rPr>
              <w:t>Décret n° 2-17-456 du 15 mars 2018 pris pour l’application de certaines dispositions du dahir portant n° 1-73-255 du 23 novembre 1973 formant règlement sur la pêche maritime.</w:t>
            </w:r>
          </w:p>
        </w:tc>
      </w:tr>
      <w:tr w:rsidR="00FE04DA" w:rsidRPr="006A2397" w14:paraId="00000536" w14:textId="77777777" w:rsidTr="00E62E84">
        <w:tc>
          <w:tcPr>
            <w:tcW w:w="453" w:type="dxa"/>
            <w:tcBorders>
              <w:top w:val="single" w:sz="4" w:space="0" w:color="000000"/>
              <w:left w:val="single" w:sz="4" w:space="0" w:color="000000"/>
              <w:bottom w:val="single" w:sz="4" w:space="0" w:color="000000"/>
              <w:right w:val="single" w:sz="4" w:space="0" w:color="000000"/>
            </w:tcBorders>
          </w:tcPr>
          <w:p w14:paraId="1333BD1F" w14:textId="77777777" w:rsidR="00FE04DA" w:rsidRPr="004E13E9" w:rsidRDefault="00FE04DA" w:rsidP="00E62E84">
            <w:r w:rsidRPr="004E13E9">
              <w:rPr>
                <w:b/>
              </w:rPr>
              <w:t>7</w:t>
            </w:r>
          </w:p>
        </w:tc>
        <w:tc>
          <w:tcPr>
            <w:tcW w:w="2377" w:type="dxa"/>
            <w:tcBorders>
              <w:top w:val="single" w:sz="4" w:space="0" w:color="000000"/>
              <w:left w:val="single" w:sz="4" w:space="0" w:color="000000"/>
              <w:bottom w:val="single" w:sz="4" w:space="0" w:color="000000"/>
              <w:right w:val="single" w:sz="4" w:space="0" w:color="000000"/>
            </w:tcBorders>
          </w:tcPr>
          <w:p w14:paraId="42EB1824" w14:textId="77777777" w:rsidR="00FE04DA" w:rsidRPr="004E13E9" w:rsidRDefault="00FE04DA" w:rsidP="00E62E84">
            <w:r w:rsidRPr="004E13E9">
              <w:rPr>
                <w:b/>
              </w:rPr>
              <w:t>VMS (</w:t>
            </w:r>
            <w:proofErr w:type="spellStart"/>
            <w:r w:rsidRPr="004E13E9">
              <w:rPr>
                <w:b/>
              </w:rPr>
              <w:t>paragraphes</w:t>
            </w:r>
            <w:proofErr w:type="spellEnd"/>
            <w:r w:rsidRPr="004E13E9">
              <w:rPr>
                <w:b/>
              </w:rPr>
              <w:t xml:space="preserve"> 222-228)</w:t>
            </w:r>
          </w:p>
        </w:tc>
        <w:tc>
          <w:tcPr>
            <w:tcW w:w="4111" w:type="dxa"/>
            <w:tcBorders>
              <w:top w:val="single" w:sz="4" w:space="0" w:color="000000"/>
              <w:left w:val="single" w:sz="4" w:space="0" w:color="000000"/>
              <w:bottom w:val="single" w:sz="4" w:space="0" w:color="000000"/>
              <w:right w:val="single" w:sz="4" w:space="0" w:color="000000"/>
            </w:tcBorders>
          </w:tcPr>
          <w:p w14:paraId="5009FAAA" w14:textId="77777777" w:rsidR="00FE04DA" w:rsidRPr="004E13E9" w:rsidRDefault="00FE04DA" w:rsidP="00E62E84">
            <w:pPr>
              <w:rPr>
                <w:lang w:val="fr-FR"/>
              </w:rPr>
            </w:pPr>
            <w:r w:rsidRPr="004E13E9">
              <w:rPr>
                <w:lang w:val="fr-FR"/>
              </w:rPr>
              <w:t>Obligation de disposer à bord d'un dispositif fonctionnel de positionnement et de localisation pour tous les navires de pêche autorisés soumis au VMS en vertu de la Recommandation 25-04.</w:t>
            </w:r>
          </w:p>
          <w:p w14:paraId="29E22094" w14:textId="77777777" w:rsidR="00FE04DA" w:rsidRPr="004E13E9" w:rsidRDefault="00FE04DA" w:rsidP="00E62E84">
            <w:pPr>
              <w:rPr>
                <w:lang w:val="fr-FR"/>
              </w:rPr>
            </w:pPr>
          </w:p>
          <w:p w14:paraId="630898EB" w14:textId="77777777" w:rsidR="00FE04DA" w:rsidRPr="004E13E9" w:rsidRDefault="00FE04DA" w:rsidP="00E62E84">
            <w:pPr>
              <w:rPr>
                <w:lang w:val="fr-FR"/>
              </w:rPr>
            </w:pPr>
            <w:r w:rsidRPr="004E13E9">
              <w:rPr>
                <w:lang w:val="fr-FR"/>
              </w:rPr>
              <w:t>La transmission des données VMS des navires de pêche soumis au VMS en vertu de la Recommandation 25-04, inscrits dans le registre ICCAT, commence au moins 5 jours avant la période d’autorisation et se poursuit 5 jours après cette période, sauf si le navire est radié de la liste des navires autorisés.</w:t>
            </w:r>
          </w:p>
          <w:p w14:paraId="5BDF5054" w14:textId="77777777" w:rsidR="00FE04DA" w:rsidRPr="004E13E9" w:rsidRDefault="00FE04DA" w:rsidP="00E62E84">
            <w:pPr>
              <w:rPr>
                <w:lang w:val="fr-FR"/>
              </w:rPr>
            </w:pPr>
          </w:p>
          <w:p w14:paraId="21198201" w14:textId="77777777" w:rsidR="00FE04DA" w:rsidRPr="004E13E9" w:rsidRDefault="00FE04DA" w:rsidP="00E62E84">
            <w:pPr>
              <w:rPr>
                <w:lang w:val="fr-FR"/>
              </w:rPr>
            </w:pPr>
            <w:r w:rsidRPr="004E13E9">
              <w:rPr>
                <w:lang w:val="fr-FR"/>
              </w:rPr>
              <w:t>La transmission des données VMS est assurée :</w:t>
            </w:r>
          </w:p>
          <w:p w14:paraId="6A9D31E2" w14:textId="77777777" w:rsidR="00FE04DA" w:rsidRPr="004E13E9" w:rsidRDefault="00FE04DA" w:rsidP="00E62E84">
            <w:pPr>
              <w:rPr>
                <w:lang w:val="fr-FR"/>
              </w:rPr>
            </w:pPr>
          </w:p>
          <w:p w14:paraId="2B8F9CEB" w14:textId="77777777" w:rsidR="00FE04DA" w:rsidRPr="004E13E9" w:rsidRDefault="00FE04DA" w:rsidP="00487A5C">
            <w:pPr>
              <w:pStyle w:val="ListParagraph"/>
              <w:widowControl w:val="0"/>
              <w:numPr>
                <w:ilvl w:val="0"/>
                <w:numId w:val="44"/>
              </w:numPr>
              <w:spacing w:after="0" w:line="240" w:lineRule="auto"/>
              <w:ind w:left="261" w:hanging="141"/>
              <w:jc w:val="both"/>
              <w:rPr>
                <w:rFonts w:ascii="Cambria" w:hAnsi="Cambria" w:cs="Cambria"/>
                <w:sz w:val="20"/>
                <w:szCs w:val="20"/>
              </w:rPr>
            </w:pPr>
            <w:r w:rsidRPr="004E13E9">
              <w:rPr>
                <w:rFonts w:ascii="Cambria" w:hAnsi="Cambria" w:cs="Cambria"/>
                <w:sz w:val="20"/>
                <w:szCs w:val="20"/>
              </w:rPr>
              <w:t>Toutes les heures pour les senneurs et les remorqueurs ;</w:t>
            </w:r>
          </w:p>
          <w:p w14:paraId="3F83B9D7" w14:textId="77777777" w:rsidR="00FE04DA" w:rsidRPr="004E13E9" w:rsidRDefault="00FE04DA" w:rsidP="00487A5C">
            <w:pPr>
              <w:pStyle w:val="ListParagraph"/>
              <w:widowControl w:val="0"/>
              <w:numPr>
                <w:ilvl w:val="0"/>
                <w:numId w:val="44"/>
              </w:numPr>
              <w:spacing w:after="0" w:line="240" w:lineRule="auto"/>
              <w:ind w:left="261" w:hanging="141"/>
              <w:jc w:val="both"/>
              <w:rPr>
                <w:rFonts w:ascii="Cambria" w:hAnsi="Cambria" w:cs="Cambria"/>
                <w:sz w:val="20"/>
                <w:szCs w:val="20"/>
              </w:rPr>
            </w:pPr>
            <w:r w:rsidRPr="004E13E9">
              <w:rPr>
                <w:rFonts w:ascii="Cambria" w:hAnsi="Cambria" w:cs="Cambria"/>
                <w:sz w:val="20"/>
                <w:szCs w:val="20"/>
              </w:rPr>
              <w:t>Toutes les deux heures pour les autres navires.</w:t>
            </w:r>
          </w:p>
        </w:tc>
        <w:tc>
          <w:tcPr>
            <w:tcW w:w="2268" w:type="dxa"/>
            <w:tcBorders>
              <w:top w:val="single" w:sz="4" w:space="0" w:color="000000"/>
              <w:left w:val="single" w:sz="4" w:space="0" w:color="000000"/>
              <w:bottom w:val="single" w:sz="4" w:space="0" w:color="000000"/>
              <w:right w:val="single" w:sz="4" w:space="0" w:color="000000"/>
            </w:tcBorders>
          </w:tcPr>
          <w:p w14:paraId="3B7D381C" w14:textId="77777777" w:rsidR="00FE04DA" w:rsidRPr="004E13E9" w:rsidRDefault="00FE04DA" w:rsidP="00E62E84">
            <w:pPr>
              <w:rPr>
                <w:lang w:val="fr-FR"/>
              </w:rPr>
            </w:pPr>
            <w:r w:rsidRPr="004E13E9">
              <w:rPr>
                <w:lang w:val="fr-FR"/>
              </w:rPr>
              <w:t>Décret n° 2.18.104 du 02 rabbi II 1440 (10 décembre 2018) modifiant et complétant le décret n° 2-09-674 du u30 rabbi I 1431 (17 mars 2010) fixant les conditions et les modalités d'Installation et d'utilisation à bord des navires de pêche d'un système de positionnement et de localisation continue utilisant les communications par satellite pour la transmission des données.</w:t>
            </w:r>
          </w:p>
          <w:p w14:paraId="4DDE5D31" w14:textId="77777777" w:rsidR="00FE04DA" w:rsidRPr="004E13E9" w:rsidRDefault="00FE04DA" w:rsidP="00E62E84">
            <w:pPr>
              <w:rPr>
                <w:lang w:val="fr-FR"/>
              </w:rPr>
            </w:pPr>
          </w:p>
          <w:p w14:paraId="66AA0487" w14:textId="77777777" w:rsidR="00FE04DA" w:rsidRPr="004E13E9" w:rsidRDefault="00FE04DA" w:rsidP="00E62E84">
            <w:pPr>
              <w:rPr>
                <w:lang w:val="fr-FR"/>
              </w:rPr>
            </w:pPr>
            <w:r w:rsidRPr="004E13E9">
              <w:rPr>
                <w:lang w:val="fr-FR"/>
              </w:rPr>
              <w:t xml:space="preserve">L’arrêté n°574-19 du 29 </w:t>
            </w:r>
            <w:proofErr w:type="spellStart"/>
            <w:r w:rsidRPr="004E13E9">
              <w:rPr>
                <w:lang w:val="fr-FR"/>
              </w:rPr>
              <w:t>joumada</w:t>
            </w:r>
            <w:proofErr w:type="spellEnd"/>
            <w:r w:rsidRPr="004E13E9">
              <w:rPr>
                <w:lang w:val="fr-FR"/>
              </w:rPr>
              <w:t xml:space="preserve"> II 1440</w:t>
            </w:r>
          </w:p>
          <w:p w14:paraId="237CA62E" w14:textId="77777777" w:rsidR="00FE04DA" w:rsidRPr="004E13E9" w:rsidRDefault="00FE04DA" w:rsidP="00E62E84">
            <w:pPr>
              <w:rPr>
                <w:lang w:val="fr-FR"/>
              </w:rPr>
            </w:pPr>
            <w:r w:rsidRPr="004E13E9">
              <w:rPr>
                <w:lang w:val="fr-FR"/>
              </w:rPr>
              <w:t>(7 mars 2019) relatif au dispositif de positionnement et de localisation continue des navires de pêche.</w:t>
            </w:r>
          </w:p>
        </w:tc>
      </w:tr>
      <w:tr w:rsidR="00FE04DA" w:rsidRPr="006A2397" w14:paraId="18E67EEC" w14:textId="77777777" w:rsidTr="00E62E84">
        <w:tc>
          <w:tcPr>
            <w:tcW w:w="453" w:type="dxa"/>
            <w:tcBorders>
              <w:top w:val="single" w:sz="4" w:space="0" w:color="000000"/>
              <w:left w:val="single" w:sz="4" w:space="0" w:color="000000"/>
              <w:bottom w:val="single" w:sz="4" w:space="0" w:color="000000"/>
              <w:right w:val="single" w:sz="4" w:space="0" w:color="000000"/>
            </w:tcBorders>
          </w:tcPr>
          <w:p w14:paraId="1BD49B92" w14:textId="77777777" w:rsidR="00FE04DA" w:rsidRPr="004E13E9" w:rsidRDefault="00FE04DA" w:rsidP="00E62E84">
            <w:r w:rsidRPr="004E13E9">
              <w:rPr>
                <w:b/>
              </w:rPr>
              <w:t>8</w:t>
            </w:r>
          </w:p>
        </w:tc>
        <w:tc>
          <w:tcPr>
            <w:tcW w:w="2377" w:type="dxa"/>
            <w:tcBorders>
              <w:top w:val="single" w:sz="4" w:space="0" w:color="000000"/>
              <w:left w:val="single" w:sz="4" w:space="0" w:color="000000"/>
              <w:bottom w:val="single" w:sz="4" w:space="0" w:color="000000"/>
              <w:right w:val="single" w:sz="4" w:space="0" w:color="000000"/>
            </w:tcBorders>
          </w:tcPr>
          <w:p w14:paraId="4660F74C" w14:textId="77777777" w:rsidR="00FE04DA" w:rsidRPr="004E13E9" w:rsidRDefault="00FE04DA" w:rsidP="00E62E84">
            <w:pPr>
              <w:rPr>
                <w:lang w:val="fr-FR"/>
              </w:rPr>
            </w:pPr>
            <w:r w:rsidRPr="004E13E9">
              <w:rPr>
                <w:b/>
                <w:lang w:val="fr-FR"/>
              </w:rPr>
              <w:t>Programme d’observateurs des CPC (paragraphes 95-100)</w:t>
            </w:r>
          </w:p>
        </w:tc>
        <w:tc>
          <w:tcPr>
            <w:tcW w:w="4111" w:type="dxa"/>
            <w:tcBorders>
              <w:top w:val="single" w:sz="4" w:space="0" w:color="000000"/>
              <w:left w:val="single" w:sz="4" w:space="0" w:color="000000"/>
              <w:bottom w:val="single" w:sz="4" w:space="0" w:color="000000"/>
              <w:right w:val="single" w:sz="4" w:space="0" w:color="000000"/>
            </w:tcBorders>
          </w:tcPr>
          <w:p w14:paraId="10FBFC46" w14:textId="77777777" w:rsidR="00FE04DA" w:rsidRPr="004E13E9" w:rsidRDefault="00FE04DA" w:rsidP="00E62E84">
            <w:pPr>
              <w:rPr>
                <w:lang w:val="fr-FR"/>
              </w:rPr>
            </w:pPr>
            <w:r w:rsidRPr="004E13E9">
              <w:rPr>
                <w:lang w:val="fr-FR"/>
              </w:rPr>
              <w:t>Présence obligatoire d’observateurs lors des opérations suivantes :</w:t>
            </w:r>
          </w:p>
          <w:p w14:paraId="2E09BEDB" w14:textId="77777777" w:rsidR="00FE04DA" w:rsidRPr="004E13E9" w:rsidRDefault="00FE04DA" w:rsidP="00487A5C">
            <w:pPr>
              <w:pStyle w:val="ListParagraph"/>
              <w:widowControl w:val="0"/>
              <w:numPr>
                <w:ilvl w:val="0"/>
                <w:numId w:val="43"/>
              </w:numPr>
              <w:spacing w:after="0" w:line="240" w:lineRule="auto"/>
              <w:ind w:left="527" w:hanging="283"/>
              <w:jc w:val="both"/>
              <w:rPr>
                <w:rFonts w:ascii="Cambria" w:hAnsi="Cambria" w:cs="Calibri"/>
                <w:sz w:val="20"/>
                <w:szCs w:val="20"/>
              </w:rPr>
            </w:pPr>
            <w:r w:rsidRPr="004E13E9">
              <w:rPr>
                <w:rFonts w:ascii="Cambria" w:hAnsi="Cambria" w:cs="Calibri"/>
                <w:sz w:val="20"/>
                <w:szCs w:val="20"/>
              </w:rPr>
              <w:t>transfert du thon rouge vivant de la madrague vers la ferme d’engraissement ;</w:t>
            </w:r>
          </w:p>
          <w:p w14:paraId="46EB9E97" w14:textId="77777777" w:rsidR="00FE04DA" w:rsidRPr="004E13E9" w:rsidRDefault="00FE04DA" w:rsidP="00487A5C">
            <w:pPr>
              <w:pStyle w:val="ListParagraph"/>
              <w:widowControl w:val="0"/>
              <w:numPr>
                <w:ilvl w:val="0"/>
                <w:numId w:val="43"/>
              </w:numPr>
              <w:spacing w:after="0" w:line="240" w:lineRule="auto"/>
              <w:ind w:left="527" w:hanging="283"/>
              <w:jc w:val="both"/>
              <w:rPr>
                <w:rFonts w:ascii="Cambria" w:hAnsi="Cambria" w:cs="Calibri"/>
                <w:sz w:val="20"/>
                <w:szCs w:val="20"/>
              </w:rPr>
            </w:pPr>
            <w:r w:rsidRPr="004E13E9">
              <w:rPr>
                <w:rFonts w:ascii="Cambria" w:hAnsi="Cambria" w:cs="Calibri"/>
                <w:sz w:val="20"/>
                <w:szCs w:val="20"/>
              </w:rPr>
              <w:t>mise à mort du thon rouge ;</w:t>
            </w:r>
          </w:p>
          <w:p w14:paraId="582FE830" w14:textId="77777777" w:rsidR="00FE04DA" w:rsidRPr="004E13E9" w:rsidRDefault="00FE04DA" w:rsidP="00487A5C">
            <w:pPr>
              <w:pStyle w:val="ListParagraph"/>
              <w:widowControl w:val="0"/>
              <w:numPr>
                <w:ilvl w:val="0"/>
                <w:numId w:val="43"/>
              </w:numPr>
              <w:spacing w:after="0" w:line="240" w:lineRule="auto"/>
              <w:ind w:left="527" w:hanging="283"/>
              <w:jc w:val="both"/>
              <w:rPr>
                <w:rFonts w:ascii="Cambria" w:hAnsi="Cambria"/>
                <w:sz w:val="20"/>
                <w:szCs w:val="20"/>
              </w:rPr>
            </w:pPr>
            <w:r w:rsidRPr="004E13E9">
              <w:rPr>
                <w:rFonts w:ascii="Cambria" w:hAnsi="Cambria" w:cs="Calibri"/>
                <w:sz w:val="20"/>
                <w:szCs w:val="20"/>
              </w:rPr>
              <w:t>transferts intra-fermes (d'une cage flottante à une autre) ;</w:t>
            </w:r>
          </w:p>
          <w:p w14:paraId="40EB5167" w14:textId="77777777" w:rsidR="00FE04DA" w:rsidRPr="004E13E9" w:rsidRDefault="00FE04DA" w:rsidP="00487A5C">
            <w:pPr>
              <w:pStyle w:val="ListParagraph"/>
              <w:widowControl w:val="0"/>
              <w:numPr>
                <w:ilvl w:val="0"/>
                <w:numId w:val="43"/>
              </w:numPr>
              <w:spacing w:after="0" w:line="240" w:lineRule="auto"/>
              <w:ind w:left="527" w:hanging="283"/>
              <w:jc w:val="both"/>
              <w:rPr>
                <w:rFonts w:ascii="Cambria" w:hAnsi="Cambria"/>
                <w:sz w:val="20"/>
                <w:szCs w:val="20"/>
              </w:rPr>
            </w:pPr>
            <w:r w:rsidRPr="004E13E9">
              <w:rPr>
                <w:rFonts w:ascii="Cambria" w:hAnsi="Cambria" w:cs="Cambria"/>
                <w:sz w:val="20"/>
                <w:szCs w:val="20"/>
                <w:lang w:eastAsia="ar-SA"/>
              </w:rPr>
              <w:t>scellement et descellement des cages.</w:t>
            </w:r>
          </w:p>
          <w:p w14:paraId="1E9EBFB3" w14:textId="77777777" w:rsidR="00FE04DA" w:rsidRPr="004E13E9" w:rsidRDefault="00FE04DA" w:rsidP="00E62E84">
            <w:pPr>
              <w:rPr>
                <w:lang w:val="fr-FR"/>
              </w:rPr>
            </w:pPr>
          </w:p>
        </w:tc>
        <w:tc>
          <w:tcPr>
            <w:tcW w:w="2268" w:type="dxa"/>
            <w:tcBorders>
              <w:top w:val="single" w:sz="4" w:space="0" w:color="000000"/>
              <w:left w:val="single" w:sz="4" w:space="0" w:color="000000"/>
              <w:bottom w:val="single" w:sz="4" w:space="0" w:color="000000"/>
              <w:right w:val="single" w:sz="4" w:space="0" w:color="000000"/>
            </w:tcBorders>
          </w:tcPr>
          <w:p w14:paraId="4B2D035A" w14:textId="77777777" w:rsidR="00FE04DA" w:rsidRPr="004E13E9" w:rsidRDefault="00FE04DA" w:rsidP="00E62E84">
            <w:pPr>
              <w:rPr>
                <w:lang w:val="fr-FR"/>
              </w:rPr>
            </w:pPr>
          </w:p>
        </w:tc>
      </w:tr>
      <w:tr w:rsidR="00FE04DA" w:rsidRPr="004E13E9" w14:paraId="1FC23469" w14:textId="77777777" w:rsidTr="00E62E84">
        <w:tc>
          <w:tcPr>
            <w:tcW w:w="453" w:type="dxa"/>
            <w:tcBorders>
              <w:top w:val="single" w:sz="4" w:space="0" w:color="000000"/>
              <w:left w:val="single" w:sz="4" w:space="0" w:color="000000"/>
              <w:bottom w:val="single" w:sz="4" w:space="0" w:color="000000"/>
              <w:right w:val="single" w:sz="4" w:space="0" w:color="000000"/>
            </w:tcBorders>
          </w:tcPr>
          <w:p w14:paraId="5D9FD470" w14:textId="77777777" w:rsidR="00FE04DA" w:rsidRPr="004E13E9" w:rsidRDefault="00FE04DA" w:rsidP="00E62E84">
            <w:r w:rsidRPr="004E13E9">
              <w:rPr>
                <w:b/>
              </w:rPr>
              <w:t>9</w:t>
            </w:r>
          </w:p>
        </w:tc>
        <w:tc>
          <w:tcPr>
            <w:tcW w:w="2377" w:type="dxa"/>
            <w:tcBorders>
              <w:top w:val="single" w:sz="4" w:space="0" w:color="000000"/>
              <w:left w:val="single" w:sz="4" w:space="0" w:color="000000"/>
              <w:bottom w:val="single" w:sz="4" w:space="0" w:color="000000"/>
              <w:right w:val="single" w:sz="4" w:space="0" w:color="000000"/>
            </w:tcBorders>
          </w:tcPr>
          <w:p w14:paraId="57A5A913" w14:textId="77777777" w:rsidR="00FE04DA" w:rsidRPr="004E13E9" w:rsidRDefault="00FE04DA" w:rsidP="00E62E84">
            <w:proofErr w:type="spellStart"/>
            <w:r w:rsidRPr="004E13E9">
              <w:rPr>
                <w:b/>
              </w:rPr>
              <w:t>Programme</w:t>
            </w:r>
            <w:proofErr w:type="spellEnd"/>
            <w:r w:rsidRPr="004E13E9">
              <w:rPr>
                <w:b/>
              </w:rPr>
              <w:t xml:space="preserve"> </w:t>
            </w:r>
            <w:proofErr w:type="spellStart"/>
            <w:r w:rsidRPr="004E13E9">
              <w:rPr>
                <w:b/>
              </w:rPr>
              <w:t>d'observateurs</w:t>
            </w:r>
            <w:proofErr w:type="spellEnd"/>
            <w:r w:rsidRPr="004E13E9">
              <w:rPr>
                <w:b/>
              </w:rPr>
              <w:t xml:space="preserve"> </w:t>
            </w:r>
            <w:proofErr w:type="spellStart"/>
            <w:r w:rsidRPr="004E13E9">
              <w:rPr>
                <w:b/>
              </w:rPr>
              <w:t>régionaux</w:t>
            </w:r>
            <w:proofErr w:type="spellEnd"/>
            <w:r w:rsidRPr="004E13E9">
              <w:rPr>
                <w:b/>
              </w:rPr>
              <w:t xml:space="preserve"> (</w:t>
            </w:r>
            <w:proofErr w:type="spellStart"/>
            <w:r w:rsidRPr="004E13E9">
              <w:rPr>
                <w:b/>
              </w:rPr>
              <w:t>paragraphes</w:t>
            </w:r>
            <w:proofErr w:type="spellEnd"/>
            <w:r w:rsidRPr="004E13E9">
              <w:rPr>
                <w:b/>
              </w:rPr>
              <w:t xml:space="preserve"> 101-107)</w:t>
            </w:r>
          </w:p>
        </w:tc>
        <w:tc>
          <w:tcPr>
            <w:tcW w:w="4111" w:type="dxa"/>
            <w:tcBorders>
              <w:top w:val="single" w:sz="4" w:space="0" w:color="000000"/>
              <w:left w:val="single" w:sz="4" w:space="0" w:color="000000"/>
              <w:bottom w:val="single" w:sz="4" w:space="0" w:color="000000"/>
              <w:right w:val="single" w:sz="4" w:space="0" w:color="000000"/>
            </w:tcBorders>
          </w:tcPr>
          <w:p w14:paraId="09541652" w14:textId="77777777" w:rsidR="00FE04DA" w:rsidRPr="004E13E9" w:rsidRDefault="00FE04DA" w:rsidP="00E62E84">
            <w:r w:rsidRPr="004E13E9">
              <w:t xml:space="preserve">Présence </w:t>
            </w:r>
            <w:proofErr w:type="spellStart"/>
            <w:r w:rsidRPr="004E13E9">
              <w:t>d’observateurs</w:t>
            </w:r>
            <w:proofErr w:type="spellEnd"/>
            <w:r w:rsidRPr="004E13E9">
              <w:t xml:space="preserve"> à </w:t>
            </w:r>
            <w:proofErr w:type="gramStart"/>
            <w:r w:rsidRPr="004E13E9">
              <w:t>bord :</w:t>
            </w:r>
            <w:proofErr w:type="gramEnd"/>
          </w:p>
          <w:p w14:paraId="79E90826" w14:textId="77777777" w:rsidR="00FE04DA" w:rsidRPr="004E13E9" w:rsidRDefault="00FE04DA" w:rsidP="00487A5C">
            <w:pPr>
              <w:pStyle w:val="ListParagraph"/>
              <w:widowControl w:val="0"/>
              <w:numPr>
                <w:ilvl w:val="0"/>
                <w:numId w:val="43"/>
              </w:numPr>
              <w:spacing w:after="0" w:line="240" w:lineRule="auto"/>
              <w:ind w:left="527" w:hanging="283"/>
              <w:jc w:val="both"/>
              <w:rPr>
                <w:rFonts w:ascii="Cambria" w:hAnsi="Cambria" w:cs="Calibri"/>
                <w:sz w:val="20"/>
                <w:szCs w:val="20"/>
              </w:rPr>
            </w:pPr>
            <w:r w:rsidRPr="004E13E9">
              <w:rPr>
                <w:rFonts w:ascii="Cambria" w:hAnsi="Cambria" w:cs="Calibri"/>
                <w:sz w:val="20"/>
                <w:szCs w:val="20"/>
              </w:rPr>
              <w:t xml:space="preserve">transfert du thon rouge vivant de la madrague vers les fermes d’engraissement : 100% </w:t>
            </w:r>
          </w:p>
          <w:p w14:paraId="7BEA9B21" w14:textId="77777777" w:rsidR="00FE04DA" w:rsidRPr="004E13E9" w:rsidRDefault="00FE04DA" w:rsidP="00487A5C">
            <w:pPr>
              <w:pStyle w:val="ListParagraph"/>
              <w:widowControl w:val="0"/>
              <w:numPr>
                <w:ilvl w:val="0"/>
                <w:numId w:val="43"/>
              </w:numPr>
              <w:spacing w:after="0" w:line="240" w:lineRule="auto"/>
              <w:ind w:left="527" w:hanging="283"/>
              <w:jc w:val="both"/>
              <w:rPr>
                <w:rFonts w:ascii="Cambria" w:hAnsi="Cambria" w:cs="Calibri"/>
                <w:sz w:val="20"/>
                <w:szCs w:val="20"/>
              </w:rPr>
            </w:pPr>
            <w:r w:rsidRPr="004E13E9">
              <w:rPr>
                <w:rFonts w:ascii="Cambria" w:hAnsi="Cambria" w:cs="Calibri"/>
                <w:sz w:val="20"/>
                <w:szCs w:val="20"/>
              </w:rPr>
              <w:t>mise en cage et mise à mort au niveau des fermes : 100%</w:t>
            </w:r>
          </w:p>
          <w:p w14:paraId="724E2E9B" w14:textId="77777777" w:rsidR="00FE04DA" w:rsidRPr="004E13E9" w:rsidRDefault="00FE04DA" w:rsidP="00487A5C">
            <w:pPr>
              <w:pStyle w:val="ListParagraph"/>
              <w:widowControl w:val="0"/>
              <w:numPr>
                <w:ilvl w:val="0"/>
                <w:numId w:val="43"/>
              </w:numPr>
              <w:spacing w:after="0" w:line="240" w:lineRule="auto"/>
              <w:ind w:left="527" w:hanging="283"/>
              <w:jc w:val="both"/>
              <w:rPr>
                <w:rFonts w:ascii="Cambria" w:hAnsi="Cambria"/>
                <w:sz w:val="20"/>
                <w:szCs w:val="20"/>
              </w:rPr>
            </w:pPr>
            <w:r w:rsidRPr="004E13E9">
              <w:rPr>
                <w:rFonts w:ascii="Cambria" w:hAnsi="Cambria" w:cs="Calibri"/>
                <w:sz w:val="20"/>
                <w:szCs w:val="20"/>
              </w:rPr>
              <w:t>t</w:t>
            </w:r>
            <w:r w:rsidRPr="004E13E9">
              <w:rPr>
                <w:rFonts w:ascii="Cambria" w:hAnsi="Cambria" w:cs="Cambria"/>
                <w:sz w:val="20"/>
                <w:szCs w:val="20"/>
                <w:lang w:eastAsia="ar-SA"/>
              </w:rPr>
              <w:t>honiers-senneurs : 100%.</w:t>
            </w:r>
          </w:p>
        </w:tc>
        <w:tc>
          <w:tcPr>
            <w:tcW w:w="2268" w:type="dxa"/>
            <w:tcBorders>
              <w:top w:val="single" w:sz="4" w:space="0" w:color="000000"/>
              <w:left w:val="single" w:sz="4" w:space="0" w:color="000000"/>
              <w:bottom w:val="single" w:sz="4" w:space="0" w:color="000000"/>
              <w:right w:val="single" w:sz="4" w:space="0" w:color="000000"/>
            </w:tcBorders>
          </w:tcPr>
          <w:p w14:paraId="3C5EE69F" w14:textId="77777777" w:rsidR="00FE04DA" w:rsidRPr="004E13E9" w:rsidRDefault="00FE04DA" w:rsidP="00E62E84"/>
        </w:tc>
      </w:tr>
      <w:tr w:rsidR="00FE04DA" w:rsidRPr="006A2397" w14:paraId="4C8B8D72" w14:textId="77777777" w:rsidTr="00E62E84">
        <w:tc>
          <w:tcPr>
            <w:tcW w:w="453" w:type="dxa"/>
            <w:tcBorders>
              <w:top w:val="single" w:sz="4" w:space="0" w:color="000000"/>
              <w:left w:val="single" w:sz="4" w:space="0" w:color="000000"/>
              <w:bottom w:val="single" w:sz="4" w:space="0" w:color="000000"/>
              <w:right w:val="single" w:sz="4" w:space="0" w:color="000000"/>
            </w:tcBorders>
          </w:tcPr>
          <w:p w14:paraId="78616108" w14:textId="77777777" w:rsidR="00FE04DA" w:rsidRPr="004E13E9" w:rsidRDefault="00FE04DA" w:rsidP="00E62E84">
            <w:r w:rsidRPr="004E13E9">
              <w:rPr>
                <w:b/>
                <w:bCs/>
                <w:iCs/>
              </w:rPr>
              <w:t>10</w:t>
            </w:r>
          </w:p>
        </w:tc>
        <w:tc>
          <w:tcPr>
            <w:tcW w:w="2377" w:type="dxa"/>
            <w:tcBorders>
              <w:top w:val="single" w:sz="4" w:space="0" w:color="000000"/>
              <w:left w:val="single" w:sz="4" w:space="0" w:color="000000"/>
              <w:bottom w:val="single" w:sz="4" w:space="0" w:color="000000"/>
              <w:right w:val="single" w:sz="4" w:space="0" w:color="000000"/>
            </w:tcBorders>
          </w:tcPr>
          <w:p w14:paraId="4AD45549" w14:textId="77777777" w:rsidR="00FE04DA" w:rsidRPr="004E13E9" w:rsidRDefault="00FE04DA" w:rsidP="00E62E84">
            <w:proofErr w:type="spellStart"/>
            <w:r w:rsidRPr="004E13E9">
              <w:rPr>
                <w:b/>
                <w:bCs/>
                <w:iCs/>
              </w:rPr>
              <w:t>Législation</w:t>
            </w:r>
            <w:proofErr w:type="spellEnd"/>
            <w:r w:rsidRPr="004E13E9">
              <w:rPr>
                <w:b/>
                <w:bCs/>
                <w:iCs/>
              </w:rPr>
              <w:t xml:space="preserve"> </w:t>
            </w:r>
            <w:proofErr w:type="spellStart"/>
            <w:r w:rsidRPr="004E13E9">
              <w:rPr>
                <w:b/>
                <w:bCs/>
                <w:iCs/>
              </w:rPr>
              <w:t>nationale</w:t>
            </w:r>
            <w:proofErr w:type="spellEnd"/>
          </w:p>
        </w:tc>
        <w:tc>
          <w:tcPr>
            <w:tcW w:w="4111" w:type="dxa"/>
            <w:tcBorders>
              <w:top w:val="single" w:sz="4" w:space="0" w:color="000000"/>
              <w:left w:val="single" w:sz="4" w:space="0" w:color="000000"/>
              <w:bottom w:val="single" w:sz="4" w:space="0" w:color="000000"/>
              <w:right w:val="single" w:sz="4" w:space="0" w:color="000000"/>
            </w:tcBorders>
          </w:tcPr>
          <w:p w14:paraId="4ED8A237" w14:textId="77777777" w:rsidR="00FE04DA" w:rsidRPr="004E13E9" w:rsidRDefault="00FE04DA" w:rsidP="00E62E84"/>
        </w:tc>
        <w:tc>
          <w:tcPr>
            <w:tcW w:w="2268" w:type="dxa"/>
            <w:tcBorders>
              <w:top w:val="single" w:sz="4" w:space="0" w:color="000000"/>
              <w:left w:val="single" w:sz="4" w:space="0" w:color="000000"/>
              <w:bottom w:val="single" w:sz="4" w:space="0" w:color="000000"/>
              <w:right w:val="single" w:sz="4" w:space="0" w:color="000000"/>
            </w:tcBorders>
          </w:tcPr>
          <w:p w14:paraId="67D409DF" w14:textId="77777777" w:rsidR="00FE04DA" w:rsidRPr="004E13E9" w:rsidRDefault="00FE04DA" w:rsidP="00E62E84">
            <w:pPr>
              <w:rPr>
                <w:lang w:val="fr-FR"/>
              </w:rPr>
            </w:pPr>
            <w:r w:rsidRPr="004E13E9">
              <w:rPr>
                <w:lang w:val="fr-FR" w:eastAsia="ar-SA"/>
              </w:rPr>
              <w:t xml:space="preserve">Arrêté de la secrétaire d’Etat auprès du ministre de l’Agriculture, de la Pêche maritime, du Développement rural et des Eaux et Forêts, chargée de la pêche maritime n°2648-24 du 5 </w:t>
            </w:r>
            <w:proofErr w:type="spellStart"/>
            <w:r w:rsidRPr="004E13E9">
              <w:rPr>
                <w:lang w:val="fr-FR" w:eastAsia="ar-SA"/>
              </w:rPr>
              <w:t>joumada</w:t>
            </w:r>
            <w:proofErr w:type="spellEnd"/>
            <w:r w:rsidRPr="004E13E9">
              <w:rPr>
                <w:lang w:val="fr-FR" w:eastAsia="ar-SA"/>
              </w:rPr>
              <w:t xml:space="preserve"> I 1446 (8 novembre 2024) relatif au plan d’aménagement et de gestion de la pêcherie du thon rouge (</w:t>
            </w:r>
            <w:proofErr w:type="spellStart"/>
            <w:r w:rsidRPr="004E13E9">
              <w:rPr>
                <w:i/>
                <w:iCs/>
                <w:lang w:val="fr-FR" w:eastAsia="ar-SA"/>
              </w:rPr>
              <w:t>Thunnus</w:t>
            </w:r>
            <w:proofErr w:type="spellEnd"/>
            <w:r w:rsidRPr="004E13E9">
              <w:rPr>
                <w:i/>
                <w:iCs/>
                <w:lang w:val="fr-FR" w:eastAsia="ar-SA"/>
              </w:rPr>
              <w:t xml:space="preserve"> </w:t>
            </w:r>
            <w:proofErr w:type="spellStart"/>
            <w:r w:rsidRPr="004E13E9">
              <w:rPr>
                <w:i/>
                <w:iCs/>
                <w:lang w:val="fr-FR" w:eastAsia="ar-SA"/>
              </w:rPr>
              <w:t>thynnus</w:t>
            </w:r>
            <w:proofErr w:type="spellEnd"/>
            <w:r w:rsidRPr="004E13E9">
              <w:rPr>
                <w:lang w:val="fr-FR" w:eastAsia="ar-SA"/>
              </w:rPr>
              <w:t>) dans les eaux maritimes marocaines.</w:t>
            </w:r>
          </w:p>
        </w:tc>
      </w:tr>
    </w:tbl>
    <w:p w14:paraId="20BE3BA9" w14:textId="77777777" w:rsidR="00FE04DA" w:rsidRPr="004E13E9" w:rsidRDefault="00FE04DA" w:rsidP="00FE04DA">
      <w:pPr>
        <w:rPr>
          <w:bCs/>
          <w:lang w:val="fr-FR"/>
        </w:rPr>
      </w:pPr>
    </w:p>
    <w:p w14:paraId="3D0395CA" w14:textId="77777777" w:rsidR="00FE04DA" w:rsidRPr="004E13E9" w:rsidRDefault="00FE04DA" w:rsidP="00BA30FD">
      <w:pPr>
        <w:jc w:val="both"/>
        <w:rPr>
          <w:lang w:val="fr-FR"/>
        </w:rPr>
      </w:pPr>
      <w:r w:rsidRPr="004E13E9">
        <w:rPr>
          <w:b/>
          <w:i/>
          <w:iCs/>
          <w:lang w:val="fr-FR"/>
        </w:rPr>
        <w:t>1e) Ports désignés (paragraphe 80)</w:t>
      </w:r>
    </w:p>
    <w:p w14:paraId="4D964697" w14:textId="77777777" w:rsidR="00FE04DA" w:rsidRPr="004E13E9" w:rsidRDefault="00FE04DA" w:rsidP="00BA30FD">
      <w:pPr>
        <w:jc w:val="both"/>
        <w:rPr>
          <w:lang w:val="fr-FR"/>
        </w:rPr>
      </w:pPr>
    </w:p>
    <w:p w14:paraId="191EF164" w14:textId="77777777" w:rsidR="00FE04DA" w:rsidRPr="004E13E9" w:rsidRDefault="00FE04DA" w:rsidP="00BA30FD">
      <w:pPr>
        <w:jc w:val="both"/>
        <w:rPr>
          <w:lang w:val="fr-FR" w:eastAsia="ja-JP"/>
        </w:rPr>
      </w:pPr>
      <w:r w:rsidRPr="004E13E9">
        <w:rPr>
          <w:lang w:val="fr-FR" w:eastAsia="ja-JP"/>
        </w:rPr>
        <w:t>Liste des ports désignés pour le débarquement et le transbordement du thon rouge pour la saison 2026 : Agadir, Casablanca, Dakhla, Kenitra, Laayoune, Larache et Tanger Ville.</w:t>
      </w:r>
    </w:p>
    <w:p w14:paraId="531F3755" w14:textId="77777777" w:rsidR="00FE04DA" w:rsidRPr="004E13E9" w:rsidRDefault="00FE04DA" w:rsidP="00BA30FD">
      <w:pPr>
        <w:jc w:val="both"/>
        <w:rPr>
          <w:lang w:val="fr-FR" w:eastAsia="ja-JP"/>
        </w:rPr>
      </w:pPr>
    </w:p>
    <w:p w14:paraId="6F9AA5F2" w14:textId="77777777" w:rsidR="00FE04DA" w:rsidRPr="004E13E9" w:rsidRDefault="00FE04DA" w:rsidP="00BA30FD">
      <w:pPr>
        <w:jc w:val="both"/>
        <w:rPr>
          <w:lang w:val="fr-FR" w:eastAsia="ja-JP"/>
        </w:rPr>
      </w:pPr>
      <w:r w:rsidRPr="004E13E9">
        <w:rPr>
          <w:lang w:val="fr-FR" w:eastAsia="ja-JP"/>
        </w:rPr>
        <w:t xml:space="preserve">Liste des ports désignés uniquement pour le débarquement du thon rouge pour la saison 2026 : Al Hoceima, Asilah, </w:t>
      </w:r>
      <w:proofErr w:type="spellStart"/>
      <w:r w:rsidRPr="004E13E9">
        <w:rPr>
          <w:lang w:val="fr-FR" w:eastAsia="ja-JP"/>
        </w:rPr>
        <w:t>Boujdour</w:t>
      </w:r>
      <w:proofErr w:type="spellEnd"/>
      <w:r w:rsidRPr="004E13E9">
        <w:rPr>
          <w:lang w:val="fr-FR" w:eastAsia="ja-JP"/>
        </w:rPr>
        <w:t xml:space="preserve">, El </w:t>
      </w:r>
      <w:proofErr w:type="spellStart"/>
      <w:r w:rsidRPr="004E13E9">
        <w:rPr>
          <w:lang w:val="fr-FR" w:eastAsia="ja-JP"/>
        </w:rPr>
        <w:t>jadida</w:t>
      </w:r>
      <w:proofErr w:type="spellEnd"/>
      <w:r w:rsidRPr="004E13E9">
        <w:rPr>
          <w:lang w:val="fr-FR" w:eastAsia="ja-JP"/>
        </w:rPr>
        <w:t xml:space="preserve">, Essaouira, </w:t>
      </w:r>
      <w:proofErr w:type="spellStart"/>
      <w:r w:rsidRPr="004E13E9">
        <w:rPr>
          <w:lang w:val="fr-FR" w:eastAsia="ja-JP"/>
        </w:rPr>
        <w:t>Jebha</w:t>
      </w:r>
      <w:proofErr w:type="spellEnd"/>
      <w:r w:rsidRPr="004E13E9">
        <w:rPr>
          <w:lang w:val="fr-FR" w:eastAsia="ja-JP"/>
        </w:rPr>
        <w:t xml:space="preserve">, Jorf Lasfar, Ksar Sghir, Mdiq, Mohammedia, Nador, Safi, Sidi Ifni, Tarfaya, Ras </w:t>
      </w:r>
      <w:proofErr w:type="spellStart"/>
      <w:r w:rsidRPr="004E13E9">
        <w:rPr>
          <w:lang w:val="fr-FR" w:eastAsia="ja-JP"/>
        </w:rPr>
        <w:t>kebdana</w:t>
      </w:r>
      <w:proofErr w:type="spellEnd"/>
      <w:r w:rsidRPr="004E13E9">
        <w:rPr>
          <w:lang w:val="fr-FR" w:eastAsia="ja-JP"/>
        </w:rPr>
        <w:t xml:space="preserve"> et TanTan.</w:t>
      </w:r>
    </w:p>
    <w:p w14:paraId="1ADD2E9A" w14:textId="77777777" w:rsidR="00FE04DA" w:rsidRPr="004E13E9" w:rsidRDefault="00FE04DA" w:rsidP="00BA30FD">
      <w:pPr>
        <w:jc w:val="both"/>
        <w:rPr>
          <w:lang w:val="fr-FR" w:eastAsia="ja-JP"/>
        </w:rPr>
      </w:pPr>
    </w:p>
    <w:p w14:paraId="32517CD3" w14:textId="77777777" w:rsidR="00FE04DA" w:rsidRPr="004E13E9" w:rsidRDefault="00FE04DA" w:rsidP="00BA30FD">
      <w:pPr>
        <w:jc w:val="both"/>
        <w:rPr>
          <w:lang w:val="fr-FR" w:eastAsia="ja-JP"/>
        </w:rPr>
      </w:pPr>
      <w:r w:rsidRPr="004E13E9">
        <w:rPr>
          <w:lang w:val="fr-FR" w:eastAsia="ja-JP"/>
        </w:rPr>
        <w:t>Liste des ports désignés uniquement pour le transbordement du thon rouge pour la saison 2026 : Tanger-Med.</w:t>
      </w:r>
    </w:p>
    <w:p w14:paraId="7B2E6AF0" w14:textId="77777777" w:rsidR="00FE04DA" w:rsidRPr="004E13E9" w:rsidRDefault="00FE04DA" w:rsidP="00BA30FD">
      <w:pPr>
        <w:jc w:val="both"/>
        <w:rPr>
          <w:b/>
          <w:lang w:val="fr-FR" w:eastAsia="ja-JP"/>
        </w:rPr>
      </w:pPr>
    </w:p>
    <w:p w14:paraId="571BB191" w14:textId="77777777" w:rsidR="00BA30FD" w:rsidRPr="004E13E9" w:rsidRDefault="00BA30FD" w:rsidP="00BA30FD">
      <w:pPr>
        <w:jc w:val="both"/>
        <w:rPr>
          <w:b/>
          <w:lang w:val="fr-FR" w:eastAsia="ja-JP"/>
        </w:rPr>
      </w:pPr>
    </w:p>
    <w:p w14:paraId="3EC9738C" w14:textId="77777777" w:rsidR="00FE04DA" w:rsidRPr="004E13E9" w:rsidRDefault="00FE04DA" w:rsidP="00BA30FD">
      <w:pPr>
        <w:ind w:left="426" w:hanging="426"/>
        <w:jc w:val="both"/>
        <w:rPr>
          <w:b/>
          <w:lang w:val="fr-FR"/>
        </w:rPr>
      </w:pPr>
      <w:r w:rsidRPr="004E13E9">
        <w:rPr>
          <w:b/>
          <w:lang w:val="fr-FR"/>
        </w:rPr>
        <w:t>2.</w:t>
      </w:r>
      <w:r w:rsidRPr="004E13E9">
        <w:rPr>
          <w:b/>
          <w:lang w:val="fr-FR"/>
        </w:rPr>
        <w:tab/>
        <w:t>Plan annuel de gestion de la capacité de pêche (paragraphes 14-21)</w:t>
      </w:r>
    </w:p>
    <w:p w14:paraId="51628D29" w14:textId="77777777" w:rsidR="00FE04DA" w:rsidRPr="004E13E9" w:rsidRDefault="00FE04DA" w:rsidP="00BA30FD">
      <w:pPr>
        <w:jc w:val="both"/>
        <w:rPr>
          <w:b/>
          <w:lang w:val="fr-FR"/>
        </w:rPr>
      </w:pPr>
    </w:p>
    <w:p w14:paraId="4CCE4CCA" w14:textId="77777777" w:rsidR="00FE04DA" w:rsidRPr="004E13E9" w:rsidRDefault="00FE04DA" w:rsidP="00BA30FD">
      <w:pPr>
        <w:jc w:val="both"/>
        <w:rPr>
          <w:iCs/>
          <w:lang w:val="fr-FR"/>
        </w:rPr>
      </w:pPr>
      <w:r w:rsidRPr="004E13E9">
        <w:rPr>
          <w:iCs/>
          <w:lang w:val="fr-FR"/>
        </w:rPr>
        <w:t>Le nombre des navires de pêche et la capacité de pêche correspondante sont reportés dans tableau ci-joint.</w:t>
      </w:r>
    </w:p>
    <w:p w14:paraId="2164B4A1" w14:textId="77777777" w:rsidR="00FE04DA" w:rsidRPr="004E13E9" w:rsidRDefault="00FE04DA" w:rsidP="00BA30FD">
      <w:pPr>
        <w:jc w:val="both"/>
        <w:rPr>
          <w:iCs/>
          <w:lang w:val="fr-FR"/>
        </w:rPr>
      </w:pPr>
    </w:p>
    <w:p w14:paraId="2F7256C3" w14:textId="2FA51293" w:rsidR="00FE04DA" w:rsidRPr="004E13E9" w:rsidRDefault="00BA30FD" w:rsidP="00BA30FD">
      <w:pPr>
        <w:jc w:val="both"/>
        <w:rPr>
          <w:iCs/>
          <w:lang w:val="fr-FR"/>
        </w:rPr>
      </w:pPr>
      <w:r w:rsidRPr="004E13E9">
        <w:rPr>
          <w:iCs/>
          <w:lang w:val="fr-FR"/>
        </w:rPr>
        <w:t>É</w:t>
      </w:r>
      <w:r w:rsidR="00FE04DA" w:rsidRPr="004E13E9">
        <w:rPr>
          <w:iCs/>
          <w:lang w:val="fr-FR"/>
        </w:rPr>
        <w:t xml:space="preserve">tant donné que le Maroc enregistre une sous-capacité et ce depuis plusieurs années (-177,6 t en 2025), 03 nouveaux navires thoniers (02 senneurs thoniers et un palangrier thonier) seront autorisés durant la saison de pêche du thon rouge 2026. </w:t>
      </w:r>
    </w:p>
    <w:p w14:paraId="14475720" w14:textId="77777777" w:rsidR="00BF5CE7" w:rsidRPr="004E13E9" w:rsidRDefault="00BF5CE7">
      <w:pPr>
        <w:rPr>
          <w:iCs/>
          <w:lang w:val="fr-FR"/>
        </w:rPr>
      </w:pPr>
      <w:r w:rsidRPr="004E13E9">
        <w:rPr>
          <w:iCs/>
          <w:lang w:val="fr-FR"/>
        </w:rPr>
        <w:br w:type="page"/>
      </w:r>
    </w:p>
    <w:p w14:paraId="0928D9E0" w14:textId="6624290A" w:rsidR="00FE04DA" w:rsidRPr="004E13E9" w:rsidRDefault="00FE04DA" w:rsidP="00BA30FD">
      <w:pPr>
        <w:tabs>
          <w:tab w:val="left" w:pos="1056"/>
        </w:tabs>
        <w:autoSpaceDE w:val="0"/>
        <w:autoSpaceDN w:val="0"/>
        <w:adjustRightInd w:val="0"/>
        <w:ind w:right="-144"/>
        <w:jc w:val="both"/>
        <w:rPr>
          <w:lang w:val="fr-FR" w:eastAsia="ar-SA"/>
        </w:rPr>
      </w:pPr>
      <w:r w:rsidRPr="004E13E9">
        <w:rPr>
          <w:iCs/>
          <w:lang w:val="fr-FR"/>
        </w:rPr>
        <w:t xml:space="preserve">Ce plan de gestion de la capacité de pêche pourra être révisé et communiqué au Secrétariat de l’ICCAT un jour ouvrable au moins avant l’exercice de l’activité correspondant à ladite modification, et ce conformément aux dispositions du paragraphe 13 </w:t>
      </w:r>
      <w:r w:rsidRPr="004E13E9">
        <w:rPr>
          <w:lang w:val="fr-FR" w:eastAsia="ar-SA"/>
        </w:rPr>
        <w:t>de la Rec. 25-04.</w:t>
      </w:r>
    </w:p>
    <w:p w14:paraId="7F3B0EC2" w14:textId="77777777" w:rsidR="00FE04DA" w:rsidRPr="004E13E9" w:rsidRDefault="00FE04DA" w:rsidP="00BA30FD">
      <w:pPr>
        <w:jc w:val="both"/>
        <w:rPr>
          <w:i/>
          <w:lang w:val="fr-FR" w:eastAsia="ja-JP"/>
        </w:rPr>
      </w:pPr>
    </w:p>
    <w:p w14:paraId="17B22503" w14:textId="77777777" w:rsidR="00FE04DA" w:rsidRPr="004E13E9" w:rsidRDefault="00FE04DA" w:rsidP="00BA30FD">
      <w:pPr>
        <w:jc w:val="both"/>
        <w:rPr>
          <w:i/>
          <w:lang w:val="fr-FR" w:eastAsia="ja-JP"/>
        </w:rPr>
      </w:pPr>
    </w:p>
    <w:p w14:paraId="2842935F" w14:textId="77777777" w:rsidR="00FE04DA" w:rsidRPr="004E13E9" w:rsidRDefault="00FE04DA" w:rsidP="00BA30FD">
      <w:pPr>
        <w:ind w:left="426" w:hanging="426"/>
        <w:jc w:val="both"/>
        <w:rPr>
          <w:b/>
          <w:lang w:val="fr-FR"/>
        </w:rPr>
      </w:pPr>
      <w:r w:rsidRPr="004E13E9">
        <w:rPr>
          <w:b/>
          <w:lang w:val="fr-FR"/>
        </w:rPr>
        <w:t>3.</w:t>
      </w:r>
      <w:r w:rsidRPr="004E13E9">
        <w:rPr>
          <w:b/>
          <w:lang w:val="fr-FR"/>
        </w:rPr>
        <w:tab/>
        <w:t xml:space="preserve">Plan annuel de gestion de l’élevage (paragraphes </w:t>
      </w:r>
      <w:r w:rsidRPr="004E13E9">
        <w:rPr>
          <w:rStyle w:val="Hyperlink"/>
          <w:b/>
          <w:u w:val="none"/>
          <w:lang w:val="fr-FR"/>
        </w:rPr>
        <w:t>22 et 23</w:t>
      </w:r>
      <w:r w:rsidRPr="004E13E9">
        <w:rPr>
          <w:b/>
          <w:lang w:val="fr-FR"/>
        </w:rPr>
        <w:t>), le cas échéant</w:t>
      </w:r>
    </w:p>
    <w:p w14:paraId="1D1C6E98" w14:textId="77777777" w:rsidR="00FE04DA" w:rsidRPr="004E13E9" w:rsidRDefault="00FE04DA" w:rsidP="00BA30FD">
      <w:pPr>
        <w:jc w:val="both"/>
        <w:rPr>
          <w:b/>
          <w:lang w:val="fr-FR"/>
        </w:rPr>
      </w:pPr>
    </w:p>
    <w:p w14:paraId="66CB70D8" w14:textId="77777777" w:rsidR="00FE04DA" w:rsidRPr="004E13E9" w:rsidRDefault="00FE04DA" w:rsidP="00BA30FD">
      <w:pPr>
        <w:autoSpaceDE w:val="0"/>
        <w:autoSpaceDN w:val="0"/>
        <w:adjustRightInd w:val="0"/>
        <w:jc w:val="both"/>
        <w:rPr>
          <w:iCs/>
          <w:lang w:val="fr-FR"/>
        </w:rPr>
      </w:pPr>
      <w:r w:rsidRPr="004E13E9">
        <w:rPr>
          <w:iCs/>
          <w:lang w:val="fr-FR"/>
        </w:rPr>
        <w:t>Par la présente, le Maroc se réserve le droit de soumettre, le cas échéant, des plans de gestion d'élevage révisés au Secrétariat avant le 1</w:t>
      </w:r>
      <w:r w:rsidRPr="004E13E9">
        <w:rPr>
          <w:iCs/>
          <w:vertAlign w:val="superscript"/>
          <w:lang w:val="fr-FR"/>
        </w:rPr>
        <w:t>er</w:t>
      </w:r>
      <w:r w:rsidRPr="004E13E9">
        <w:rPr>
          <w:iCs/>
          <w:lang w:val="fr-FR"/>
        </w:rPr>
        <w:t xml:space="preserve"> juin 2026, conformément au paragraphe 22 de la Recommandation 25-04 de l’ICCAT établissant un plan pluriannuel de gestion du thon rouge dans l’Atlantique Est et la Méditerranée.</w:t>
      </w:r>
    </w:p>
    <w:p w14:paraId="25B4EE14" w14:textId="77777777" w:rsidR="00FE04DA" w:rsidRPr="004E13E9" w:rsidRDefault="00FE04DA" w:rsidP="00BA30FD">
      <w:pPr>
        <w:autoSpaceDE w:val="0"/>
        <w:autoSpaceDN w:val="0"/>
        <w:adjustRightInd w:val="0"/>
        <w:jc w:val="both"/>
        <w:rPr>
          <w:iCs/>
          <w:sz w:val="8"/>
          <w:szCs w:val="8"/>
          <w:lang w:val="fr-FR"/>
        </w:rPr>
      </w:pPr>
    </w:p>
    <w:p w14:paraId="291E466A" w14:textId="77777777" w:rsidR="00FE04DA" w:rsidRPr="004E13E9" w:rsidRDefault="00FE04DA" w:rsidP="00BA30FD">
      <w:pPr>
        <w:tabs>
          <w:tab w:val="left" w:pos="1056"/>
        </w:tabs>
        <w:autoSpaceDE w:val="0"/>
        <w:autoSpaceDN w:val="0"/>
        <w:adjustRightInd w:val="0"/>
        <w:jc w:val="both"/>
        <w:rPr>
          <w:iCs/>
          <w:lang w:val="fr-FR"/>
        </w:rPr>
      </w:pPr>
      <w:r w:rsidRPr="004E13E9">
        <w:rPr>
          <w:iCs/>
          <w:lang w:val="fr-FR"/>
        </w:rPr>
        <w:t>Aussi, convient-il de signaler que tout report de thon rouge vivant mis en cage n’est pas autorisé.</w:t>
      </w:r>
    </w:p>
    <w:p w14:paraId="09801F7C" w14:textId="77777777" w:rsidR="00FE04DA" w:rsidRPr="004E13E9" w:rsidRDefault="00FE04DA" w:rsidP="00BA30FD">
      <w:pPr>
        <w:tabs>
          <w:tab w:val="left" w:pos="1056"/>
        </w:tabs>
        <w:autoSpaceDE w:val="0"/>
        <w:autoSpaceDN w:val="0"/>
        <w:adjustRightInd w:val="0"/>
        <w:jc w:val="both"/>
        <w:rPr>
          <w:iCs/>
          <w:lang w:val="fr-FR"/>
        </w:rPr>
      </w:pPr>
    </w:p>
    <w:p w14:paraId="13449CC2" w14:textId="77777777" w:rsidR="00FE04DA" w:rsidRPr="004E13E9" w:rsidRDefault="00FE04DA" w:rsidP="00BA30FD">
      <w:pPr>
        <w:tabs>
          <w:tab w:val="left" w:pos="1056"/>
        </w:tabs>
        <w:autoSpaceDE w:val="0"/>
        <w:autoSpaceDN w:val="0"/>
        <w:adjustRightInd w:val="0"/>
        <w:jc w:val="both"/>
        <w:rPr>
          <w:iCs/>
          <w:lang w:val="fr-FR"/>
        </w:rPr>
      </w:pPr>
      <w:r w:rsidRPr="004E13E9">
        <w:rPr>
          <w:iCs/>
          <w:lang w:val="fr-FR"/>
        </w:rPr>
        <w:t>En 2026, le plan de gestion de la capacité d’élevage du Maroc est comme suit :</w:t>
      </w:r>
    </w:p>
    <w:p w14:paraId="4A3E879B" w14:textId="77777777" w:rsidR="00FE04DA" w:rsidRPr="004E13E9" w:rsidRDefault="00FE04DA" w:rsidP="00BA30FD">
      <w:pPr>
        <w:tabs>
          <w:tab w:val="left" w:pos="1056"/>
        </w:tabs>
        <w:autoSpaceDE w:val="0"/>
        <w:autoSpaceDN w:val="0"/>
        <w:adjustRightInd w:val="0"/>
        <w:jc w:val="both"/>
        <w:rPr>
          <w:iCs/>
          <w:lang w:val="fr-FR"/>
        </w:rPr>
      </w:pPr>
    </w:p>
    <w:p w14:paraId="5BE529F0" w14:textId="77777777" w:rsidR="00FE04DA" w:rsidRPr="004E13E9" w:rsidRDefault="00FE04DA" w:rsidP="00487A5C">
      <w:pPr>
        <w:widowControl w:val="0"/>
        <w:numPr>
          <w:ilvl w:val="0"/>
          <w:numId w:val="30"/>
        </w:numPr>
        <w:autoSpaceDE w:val="0"/>
        <w:autoSpaceDN w:val="0"/>
        <w:adjustRightInd w:val="0"/>
        <w:ind w:left="851" w:hanging="425"/>
        <w:jc w:val="both"/>
        <w:rPr>
          <w:iCs/>
          <w:lang w:val="fr-FR"/>
        </w:rPr>
      </w:pPr>
      <w:r w:rsidRPr="004E13E9">
        <w:rPr>
          <w:lang w:val="fr-FR" w:eastAsia="ar-SA"/>
        </w:rPr>
        <w:t>Fermes</w:t>
      </w:r>
      <w:r w:rsidRPr="004E13E9">
        <w:rPr>
          <w:iCs/>
          <w:lang w:val="fr-FR"/>
        </w:rPr>
        <w:t xml:space="preserve"> d’engraissement autorisées à être opérationnelles : 4 fermes ;</w:t>
      </w:r>
    </w:p>
    <w:p w14:paraId="0186B3DC" w14:textId="77777777" w:rsidR="00FE04DA" w:rsidRPr="004E13E9" w:rsidRDefault="00FE04DA" w:rsidP="00487A5C">
      <w:pPr>
        <w:widowControl w:val="0"/>
        <w:numPr>
          <w:ilvl w:val="0"/>
          <w:numId w:val="30"/>
        </w:numPr>
        <w:autoSpaceDE w:val="0"/>
        <w:autoSpaceDN w:val="0"/>
        <w:adjustRightInd w:val="0"/>
        <w:ind w:left="851" w:hanging="425"/>
        <w:jc w:val="both"/>
        <w:rPr>
          <w:lang w:val="fr-FR" w:eastAsia="ar-SA"/>
        </w:rPr>
      </w:pPr>
      <w:r w:rsidRPr="004E13E9">
        <w:rPr>
          <w:lang w:val="fr-FR" w:eastAsia="ar-SA"/>
        </w:rPr>
        <w:t>Ces quatre fermes sont associées aux madragues et navires autorisés (comme indiqué à la première page).</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758"/>
        <w:gridCol w:w="3204"/>
        <w:gridCol w:w="1688"/>
        <w:gridCol w:w="1289"/>
      </w:tblGrid>
      <w:tr w:rsidR="00FE04DA" w:rsidRPr="004E13E9" w14:paraId="59D57069" w14:textId="77777777" w:rsidTr="00E62E84">
        <w:trPr>
          <w:trHeight w:val="670"/>
        </w:trPr>
        <w:tc>
          <w:tcPr>
            <w:tcW w:w="1417" w:type="dxa"/>
            <w:tcBorders>
              <w:top w:val="single" w:sz="4" w:space="0" w:color="auto"/>
              <w:left w:val="single" w:sz="4" w:space="0" w:color="auto"/>
              <w:bottom w:val="single" w:sz="4" w:space="0" w:color="auto"/>
              <w:right w:val="single" w:sz="4" w:space="0" w:color="auto"/>
            </w:tcBorders>
            <w:hideMark/>
          </w:tcPr>
          <w:p w14:paraId="27AE9FF8" w14:textId="77777777" w:rsidR="00FE04DA" w:rsidRPr="004E13E9" w:rsidRDefault="00FE04DA" w:rsidP="00BA30FD">
            <w:pPr>
              <w:jc w:val="both"/>
              <w:rPr>
                <w:bCs/>
                <w:i/>
                <w:iCs/>
              </w:rPr>
            </w:pPr>
            <w:r w:rsidRPr="004E13E9">
              <w:rPr>
                <w:bCs/>
                <w:i/>
                <w:iCs/>
              </w:rPr>
              <w:t xml:space="preserve">Nom de la </w:t>
            </w:r>
            <w:proofErr w:type="spellStart"/>
            <w:r w:rsidRPr="004E13E9">
              <w:rPr>
                <w:bCs/>
                <w:i/>
                <w:iCs/>
              </w:rPr>
              <w:t>ferme</w:t>
            </w:r>
            <w:proofErr w:type="spellEnd"/>
          </w:p>
        </w:tc>
        <w:tc>
          <w:tcPr>
            <w:tcW w:w="1758" w:type="dxa"/>
            <w:tcBorders>
              <w:top w:val="single" w:sz="4" w:space="0" w:color="auto"/>
              <w:left w:val="single" w:sz="4" w:space="0" w:color="auto"/>
              <w:bottom w:val="single" w:sz="4" w:space="0" w:color="auto"/>
              <w:right w:val="single" w:sz="4" w:space="0" w:color="auto"/>
            </w:tcBorders>
            <w:hideMark/>
          </w:tcPr>
          <w:p w14:paraId="713BA48A" w14:textId="77777777" w:rsidR="00FE04DA" w:rsidRPr="004E13E9" w:rsidRDefault="00FE04DA" w:rsidP="00BA30FD">
            <w:pPr>
              <w:jc w:val="both"/>
              <w:rPr>
                <w:bCs/>
                <w:i/>
                <w:iCs/>
              </w:rPr>
            </w:pPr>
            <w:proofErr w:type="gramStart"/>
            <w:r w:rsidRPr="004E13E9">
              <w:rPr>
                <w:bCs/>
                <w:i/>
                <w:iCs/>
              </w:rPr>
              <w:t>Nº</w:t>
            </w:r>
            <w:proofErr w:type="gramEnd"/>
            <w:r w:rsidRPr="004E13E9">
              <w:rPr>
                <w:bCs/>
                <w:i/>
                <w:iCs/>
              </w:rPr>
              <w:t xml:space="preserve"> FFB ICCAT</w:t>
            </w:r>
          </w:p>
        </w:tc>
        <w:tc>
          <w:tcPr>
            <w:tcW w:w="3204" w:type="dxa"/>
            <w:tcBorders>
              <w:top w:val="single" w:sz="4" w:space="0" w:color="auto"/>
              <w:left w:val="single" w:sz="4" w:space="0" w:color="auto"/>
              <w:bottom w:val="single" w:sz="4" w:space="0" w:color="auto"/>
              <w:right w:val="single" w:sz="4" w:space="0" w:color="auto"/>
            </w:tcBorders>
            <w:hideMark/>
          </w:tcPr>
          <w:p w14:paraId="1824375C" w14:textId="77777777" w:rsidR="00FE04DA" w:rsidRPr="004E13E9" w:rsidRDefault="00FE04DA" w:rsidP="00BA30FD">
            <w:pPr>
              <w:jc w:val="both"/>
              <w:rPr>
                <w:bCs/>
                <w:i/>
                <w:iCs/>
              </w:rPr>
            </w:pPr>
            <w:proofErr w:type="spellStart"/>
            <w:r w:rsidRPr="004E13E9">
              <w:rPr>
                <w:bCs/>
                <w:i/>
                <w:iCs/>
              </w:rPr>
              <w:t>Coordonnées</w:t>
            </w:r>
            <w:proofErr w:type="spellEnd"/>
            <w:r w:rsidRPr="004E13E9">
              <w:rPr>
                <w:bCs/>
                <w:i/>
                <w:iCs/>
              </w:rPr>
              <w:t xml:space="preserve"> </w:t>
            </w:r>
            <w:proofErr w:type="spellStart"/>
            <w:r w:rsidRPr="004E13E9">
              <w:rPr>
                <w:bCs/>
                <w:i/>
                <w:iCs/>
              </w:rPr>
              <w:t>géographiques</w:t>
            </w:r>
            <w:proofErr w:type="spellEnd"/>
          </w:p>
        </w:tc>
        <w:tc>
          <w:tcPr>
            <w:tcW w:w="1688" w:type="dxa"/>
            <w:tcBorders>
              <w:top w:val="single" w:sz="4" w:space="0" w:color="auto"/>
              <w:left w:val="single" w:sz="4" w:space="0" w:color="auto"/>
              <w:bottom w:val="single" w:sz="4" w:space="0" w:color="auto"/>
              <w:right w:val="single" w:sz="4" w:space="0" w:color="auto"/>
            </w:tcBorders>
            <w:hideMark/>
          </w:tcPr>
          <w:p w14:paraId="406C91F9" w14:textId="77777777" w:rsidR="00FE04DA" w:rsidRPr="004E13E9" w:rsidRDefault="00FE04DA" w:rsidP="00BA30FD">
            <w:pPr>
              <w:jc w:val="both"/>
              <w:rPr>
                <w:bCs/>
                <w:i/>
                <w:iCs/>
                <w:lang w:val="fr-FR"/>
              </w:rPr>
            </w:pPr>
            <w:r w:rsidRPr="004E13E9">
              <w:rPr>
                <w:bCs/>
                <w:i/>
                <w:iCs/>
                <w:lang w:val="fr-FR"/>
              </w:rPr>
              <w:t>Entrée à l’état sauvage (t)*</w:t>
            </w:r>
          </w:p>
        </w:tc>
        <w:tc>
          <w:tcPr>
            <w:tcW w:w="1289" w:type="dxa"/>
            <w:tcBorders>
              <w:top w:val="single" w:sz="4" w:space="0" w:color="auto"/>
              <w:left w:val="single" w:sz="4" w:space="0" w:color="auto"/>
              <w:bottom w:val="single" w:sz="4" w:space="0" w:color="auto"/>
              <w:right w:val="single" w:sz="4" w:space="0" w:color="auto"/>
            </w:tcBorders>
            <w:hideMark/>
          </w:tcPr>
          <w:p w14:paraId="2028D739" w14:textId="77777777" w:rsidR="00FE04DA" w:rsidRPr="004E13E9" w:rsidRDefault="00FE04DA" w:rsidP="00BA30FD">
            <w:pPr>
              <w:jc w:val="both"/>
              <w:rPr>
                <w:bCs/>
                <w:i/>
                <w:iCs/>
              </w:rPr>
            </w:pPr>
            <w:proofErr w:type="spellStart"/>
            <w:r w:rsidRPr="004E13E9">
              <w:rPr>
                <w:bCs/>
                <w:i/>
                <w:iCs/>
              </w:rPr>
              <w:t>Capacité</w:t>
            </w:r>
            <w:proofErr w:type="spellEnd"/>
            <w:r w:rsidRPr="004E13E9">
              <w:rPr>
                <w:bCs/>
                <w:i/>
                <w:iCs/>
              </w:rPr>
              <w:t xml:space="preserve"> (t)*</w:t>
            </w:r>
          </w:p>
        </w:tc>
      </w:tr>
      <w:tr w:rsidR="00FE04DA" w:rsidRPr="004E13E9" w14:paraId="15777DDD" w14:textId="77777777" w:rsidTr="00E62E84">
        <w:trPr>
          <w:trHeight w:val="324"/>
        </w:trPr>
        <w:tc>
          <w:tcPr>
            <w:tcW w:w="1417" w:type="dxa"/>
            <w:tcBorders>
              <w:top w:val="single" w:sz="4" w:space="0" w:color="auto"/>
              <w:left w:val="single" w:sz="4" w:space="0" w:color="auto"/>
              <w:bottom w:val="single" w:sz="4" w:space="0" w:color="auto"/>
              <w:right w:val="single" w:sz="4" w:space="0" w:color="auto"/>
            </w:tcBorders>
            <w:hideMark/>
          </w:tcPr>
          <w:p w14:paraId="6C4649A7" w14:textId="77777777" w:rsidR="00FE04DA" w:rsidRPr="004E13E9" w:rsidRDefault="00FE04DA" w:rsidP="00BA30FD">
            <w:pPr>
              <w:jc w:val="both"/>
            </w:pPr>
            <w:r w:rsidRPr="004E13E9">
              <w:t>BLUE FARM</w:t>
            </w:r>
          </w:p>
        </w:tc>
        <w:tc>
          <w:tcPr>
            <w:tcW w:w="1758" w:type="dxa"/>
            <w:tcBorders>
              <w:top w:val="single" w:sz="4" w:space="0" w:color="auto"/>
              <w:left w:val="single" w:sz="4" w:space="0" w:color="auto"/>
              <w:bottom w:val="single" w:sz="4" w:space="0" w:color="auto"/>
              <w:right w:val="single" w:sz="4" w:space="0" w:color="auto"/>
            </w:tcBorders>
            <w:hideMark/>
          </w:tcPr>
          <w:p w14:paraId="5F847FE1" w14:textId="77777777" w:rsidR="00FE04DA" w:rsidRPr="004E13E9" w:rsidRDefault="00FE04DA" w:rsidP="00BA30FD">
            <w:pPr>
              <w:jc w:val="both"/>
            </w:pPr>
            <w:r w:rsidRPr="004E13E9">
              <w:t>AT001MAR00002</w:t>
            </w:r>
          </w:p>
        </w:tc>
        <w:tc>
          <w:tcPr>
            <w:tcW w:w="3204" w:type="dxa"/>
            <w:tcBorders>
              <w:top w:val="single" w:sz="4" w:space="0" w:color="auto"/>
              <w:left w:val="single" w:sz="4" w:space="0" w:color="auto"/>
              <w:bottom w:val="single" w:sz="4" w:space="0" w:color="auto"/>
              <w:right w:val="single" w:sz="4" w:space="0" w:color="auto"/>
            </w:tcBorders>
            <w:hideMark/>
          </w:tcPr>
          <w:p w14:paraId="792AD073" w14:textId="77777777" w:rsidR="00FE04DA" w:rsidRPr="004E13E9" w:rsidRDefault="00FE04DA" w:rsidP="00BA30FD">
            <w:pPr>
              <w:jc w:val="both"/>
            </w:pPr>
            <w:r w:rsidRPr="004E13E9">
              <w:t xml:space="preserve">Point </w:t>
            </w:r>
            <w:proofErr w:type="gramStart"/>
            <w:r w:rsidRPr="004E13E9">
              <w:t>A :</w:t>
            </w:r>
            <w:proofErr w:type="gramEnd"/>
            <w:r w:rsidRPr="004E13E9">
              <w:t xml:space="preserve"> </w:t>
            </w:r>
            <w:proofErr w:type="gramStart"/>
            <w:r w:rsidRPr="004E13E9">
              <w:t>Lat :</w:t>
            </w:r>
            <w:proofErr w:type="gramEnd"/>
            <w:r w:rsidRPr="004E13E9">
              <w:t xml:space="preserve"> 35°18'17,00"N</w:t>
            </w:r>
          </w:p>
          <w:p w14:paraId="7A8BB353" w14:textId="77777777" w:rsidR="00FE04DA" w:rsidRPr="004E13E9" w:rsidRDefault="00FE04DA" w:rsidP="00BA30FD">
            <w:pPr>
              <w:ind w:left="548" w:hanging="548"/>
              <w:jc w:val="both"/>
            </w:pPr>
            <w:r w:rsidRPr="004E13E9">
              <w:t xml:space="preserve">       </w:t>
            </w:r>
            <w:proofErr w:type="gramStart"/>
            <w:r w:rsidRPr="004E13E9">
              <w:t>Long :</w:t>
            </w:r>
            <w:proofErr w:type="gramEnd"/>
            <w:r w:rsidRPr="004E13E9">
              <w:t xml:space="preserve"> 006°11'19,00"W</w:t>
            </w:r>
          </w:p>
          <w:p w14:paraId="5C6B788D" w14:textId="77777777" w:rsidR="00FE04DA" w:rsidRPr="004E13E9" w:rsidRDefault="00FE04DA" w:rsidP="00BA30FD">
            <w:pPr>
              <w:jc w:val="both"/>
            </w:pPr>
            <w:r w:rsidRPr="004E13E9">
              <w:t xml:space="preserve">Point </w:t>
            </w:r>
            <w:proofErr w:type="gramStart"/>
            <w:r w:rsidRPr="004E13E9">
              <w:t>B :</w:t>
            </w:r>
            <w:proofErr w:type="gramEnd"/>
            <w:r w:rsidRPr="004E13E9">
              <w:t xml:space="preserve"> </w:t>
            </w:r>
            <w:proofErr w:type="gramStart"/>
            <w:r w:rsidRPr="004E13E9">
              <w:t>Lat :</w:t>
            </w:r>
            <w:proofErr w:type="gramEnd"/>
            <w:r w:rsidRPr="004E13E9">
              <w:t xml:space="preserve"> 35°19'17,00"N</w:t>
            </w:r>
          </w:p>
          <w:p w14:paraId="21FCADBD" w14:textId="77777777" w:rsidR="00FE04DA" w:rsidRPr="004E13E9" w:rsidRDefault="00FE04DA" w:rsidP="00BA30FD">
            <w:pPr>
              <w:jc w:val="both"/>
            </w:pPr>
            <w:r w:rsidRPr="004E13E9">
              <w:t xml:space="preserve">       </w:t>
            </w:r>
            <w:proofErr w:type="gramStart"/>
            <w:r w:rsidRPr="004E13E9">
              <w:t>Long :</w:t>
            </w:r>
            <w:proofErr w:type="gramEnd"/>
            <w:r w:rsidRPr="004E13E9">
              <w:t xml:space="preserve"> 006°11'19,00"W</w:t>
            </w:r>
          </w:p>
          <w:p w14:paraId="75A1F071" w14:textId="77777777" w:rsidR="00FE04DA" w:rsidRPr="004E13E9" w:rsidRDefault="00FE04DA" w:rsidP="00BA30FD">
            <w:pPr>
              <w:jc w:val="both"/>
            </w:pPr>
            <w:r w:rsidRPr="004E13E9">
              <w:t xml:space="preserve">Point </w:t>
            </w:r>
            <w:proofErr w:type="gramStart"/>
            <w:r w:rsidRPr="004E13E9">
              <w:t>C :</w:t>
            </w:r>
            <w:proofErr w:type="gramEnd"/>
            <w:r w:rsidRPr="004E13E9">
              <w:t xml:space="preserve"> </w:t>
            </w:r>
            <w:proofErr w:type="gramStart"/>
            <w:r w:rsidRPr="004E13E9">
              <w:t>Lat :</w:t>
            </w:r>
            <w:proofErr w:type="gramEnd"/>
            <w:r w:rsidRPr="004E13E9">
              <w:t xml:space="preserve"> 35°19'17,00"N</w:t>
            </w:r>
          </w:p>
          <w:p w14:paraId="60921583" w14:textId="77777777" w:rsidR="00FE04DA" w:rsidRPr="004E13E9" w:rsidRDefault="00FE04DA" w:rsidP="00BA30FD">
            <w:pPr>
              <w:jc w:val="both"/>
            </w:pPr>
            <w:r w:rsidRPr="004E13E9">
              <w:t xml:space="preserve">       </w:t>
            </w:r>
            <w:proofErr w:type="gramStart"/>
            <w:r w:rsidRPr="004E13E9">
              <w:t>Long :</w:t>
            </w:r>
            <w:proofErr w:type="gramEnd"/>
            <w:r w:rsidRPr="004E13E9">
              <w:t xml:space="preserve"> 006°10'47,20"W</w:t>
            </w:r>
          </w:p>
          <w:p w14:paraId="5F50232C" w14:textId="77777777" w:rsidR="00FE04DA" w:rsidRPr="004E13E9" w:rsidRDefault="00FE04DA" w:rsidP="00BA30FD">
            <w:pPr>
              <w:jc w:val="both"/>
            </w:pPr>
            <w:r w:rsidRPr="004E13E9">
              <w:t xml:space="preserve">Point </w:t>
            </w:r>
            <w:proofErr w:type="gramStart"/>
            <w:r w:rsidRPr="004E13E9">
              <w:t>D :</w:t>
            </w:r>
            <w:proofErr w:type="gramEnd"/>
            <w:r w:rsidRPr="004E13E9">
              <w:t xml:space="preserve"> </w:t>
            </w:r>
            <w:proofErr w:type="gramStart"/>
            <w:r w:rsidRPr="004E13E9">
              <w:t>Lat :</w:t>
            </w:r>
            <w:proofErr w:type="gramEnd"/>
            <w:r w:rsidRPr="004E13E9">
              <w:t xml:space="preserve"> 35°18'17,00"N</w:t>
            </w:r>
          </w:p>
          <w:p w14:paraId="20622DFF" w14:textId="77777777" w:rsidR="00FE04DA" w:rsidRPr="004E13E9" w:rsidRDefault="00FE04DA" w:rsidP="00BA30FD">
            <w:pPr>
              <w:jc w:val="both"/>
            </w:pPr>
            <w:r w:rsidRPr="004E13E9">
              <w:t xml:space="preserve">       </w:t>
            </w:r>
            <w:proofErr w:type="gramStart"/>
            <w:r w:rsidRPr="004E13E9">
              <w:t>Long :</w:t>
            </w:r>
            <w:proofErr w:type="gramEnd"/>
            <w:r w:rsidRPr="004E13E9">
              <w:t xml:space="preserve"> 006°10'47,20"W</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18B4F66" w14:textId="77777777" w:rsidR="00FE04DA" w:rsidRPr="004E13E9" w:rsidRDefault="00FE04DA" w:rsidP="00BA30FD">
            <w:pPr>
              <w:jc w:val="both"/>
            </w:pPr>
            <w:r w:rsidRPr="004E13E9">
              <w:t>1.057</w:t>
            </w:r>
          </w:p>
        </w:tc>
        <w:tc>
          <w:tcPr>
            <w:tcW w:w="1289" w:type="dxa"/>
            <w:tcBorders>
              <w:top w:val="single" w:sz="4" w:space="0" w:color="auto"/>
              <w:left w:val="single" w:sz="4" w:space="0" w:color="auto"/>
              <w:bottom w:val="single" w:sz="4" w:space="0" w:color="auto"/>
              <w:right w:val="single" w:sz="4" w:space="0" w:color="auto"/>
            </w:tcBorders>
            <w:vAlign w:val="center"/>
            <w:hideMark/>
          </w:tcPr>
          <w:p w14:paraId="0871EC00" w14:textId="77777777" w:rsidR="00FE04DA" w:rsidRPr="004E13E9" w:rsidRDefault="00FE04DA" w:rsidP="00BA30FD">
            <w:pPr>
              <w:jc w:val="both"/>
            </w:pPr>
            <w:r w:rsidRPr="004E13E9">
              <w:t>2.500</w:t>
            </w:r>
          </w:p>
        </w:tc>
      </w:tr>
      <w:tr w:rsidR="00FE04DA" w:rsidRPr="004E13E9" w14:paraId="49E02417" w14:textId="77777777" w:rsidTr="00E62E84">
        <w:trPr>
          <w:trHeight w:val="131"/>
        </w:trPr>
        <w:tc>
          <w:tcPr>
            <w:tcW w:w="1417" w:type="dxa"/>
            <w:tcBorders>
              <w:top w:val="single" w:sz="4" w:space="0" w:color="auto"/>
              <w:left w:val="single" w:sz="4" w:space="0" w:color="auto"/>
              <w:bottom w:val="single" w:sz="4" w:space="0" w:color="auto"/>
              <w:right w:val="single" w:sz="4" w:space="0" w:color="auto"/>
            </w:tcBorders>
            <w:hideMark/>
          </w:tcPr>
          <w:p w14:paraId="2424542A" w14:textId="77777777" w:rsidR="00FE04DA" w:rsidRPr="004E13E9" w:rsidRDefault="00FE04DA" w:rsidP="00BA30FD">
            <w:pPr>
              <w:jc w:val="both"/>
            </w:pPr>
            <w:r w:rsidRPr="004E13E9">
              <w:t>LA LEVANTADA</w:t>
            </w:r>
          </w:p>
        </w:tc>
        <w:tc>
          <w:tcPr>
            <w:tcW w:w="1758" w:type="dxa"/>
            <w:tcBorders>
              <w:top w:val="single" w:sz="4" w:space="0" w:color="auto"/>
              <w:left w:val="single" w:sz="4" w:space="0" w:color="auto"/>
              <w:bottom w:val="single" w:sz="4" w:space="0" w:color="auto"/>
              <w:right w:val="single" w:sz="4" w:space="0" w:color="auto"/>
            </w:tcBorders>
            <w:hideMark/>
          </w:tcPr>
          <w:p w14:paraId="20BD90AC" w14:textId="77777777" w:rsidR="00FE04DA" w:rsidRPr="004E13E9" w:rsidRDefault="00FE04DA" w:rsidP="00BA30FD">
            <w:pPr>
              <w:jc w:val="both"/>
              <w:rPr>
                <w:lang w:eastAsia="x-none"/>
              </w:rPr>
            </w:pPr>
            <w:r w:rsidRPr="004E13E9">
              <w:t>AT001MAR00003</w:t>
            </w:r>
          </w:p>
        </w:tc>
        <w:tc>
          <w:tcPr>
            <w:tcW w:w="3204" w:type="dxa"/>
            <w:tcBorders>
              <w:top w:val="single" w:sz="4" w:space="0" w:color="auto"/>
              <w:left w:val="single" w:sz="4" w:space="0" w:color="auto"/>
              <w:bottom w:val="single" w:sz="4" w:space="0" w:color="auto"/>
              <w:right w:val="single" w:sz="4" w:space="0" w:color="auto"/>
            </w:tcBorders>
            <w:hideMark/>
          </w:tcPr>
          <w:p w14:paraId="2363DFEB" w14:textId="77777777" w:rsidR="00FE04DA" w:rsidRPr="004E13E9" w:rsidRDefault="00FE04DA" w:rsidP="00BA30FD">
            <w:pPr>
              <w:jc w:val="both"/>
            </w:pPr>
            <w:r w:rsidRPr="004E13E9">
              <w:t xml:space="preserve">Point </w:t>
            </w:r>
            <w:proofErr w:type="gramStart"/>
            <w:r w:rsidRPr="004E13E9">
              <w:t>A :</w:t>
            </w:r>
            <w:proofErr w:type="gramEnd"/>
            <w:r w:rsidRPr="004E13E9">
              <w:t xml:space="preserve"> </w:t>
            </w:r>
            <w:proofErr w:type="gramStart"/>
            <w:r w:rsidRPr="004E13E9">
              <w:t>Lat :</w:t>
            </w:r>
            <w:proofErr w:type="gramEnd"/>
            <w:r w:rsidRPr="004E13E9">
              <w:t xml:space="preserve"> 35°18'10,00"N</w:t>
            </w:r>
          </w:p>
          <w:p w14:paraId="4991EE25" w14:textId="77777777" w:rsidR="00FE04DA" w:rsidRPr="004E13E9" w:rsidRDefault="00FE04DA" w:rsidP="00BA30FD">
            <w:pPr>
              <w:jc w:val="both"/>
            </w:pPr>
            <w:r w:rsidRPr="004E13E9">
              <w:t xml:space="preserve">        </w:t>
            </w:r>
            <w:proofErr w:type="gramStart"/>
            <w:r w:rsidRPr="004E13E9">
              <w:t>Long :</w:t>
            </w:r>
            <w:proofErr w:type="gramEnd"/>
            <w:r w:rsidRPr="004E13E9">
              <w:t xml:space="preserve"> 006°10'31,00"W</w:t>
            </w:r>
          </w:p>
          <w:p w14:paraId="7E69EEFC" w14:textId="77777777" w:rsidR="00FE04DA" w:rsidRPr="004E13E9" w:rsidRDefault="00FE04DA" w:rsidP="00BA30FD">
            <w:pPr>
              <w:jc w:val="both"/>
            </w:pPr>
            <w:r w:rsidRPr="004E13E9">
              <w:t xml:space="preserve">Point </w:t>
            </w:r>
            <w:proofErr w:type="gramStart"/>
            <w:r w:rsidRPr="004E13E9">
              <w:t>B :</w:t>
            </w:r>
            <w:proofErr w:type="gramEnd"/>
            <w:r w:rsidRPr="004E13E9">
              <w:t xml:space="preserve"> </w:t>
            </w:r>
            <w:proofErr w:type="gramStart"/>
            <w:r w:rsidRPr="004E13E9">
              <w:t>Lat :</w:t>
            </w:r>
            <w:proofErr w:type="gramEnd"/>
            <w:r w:rsidRPr="004E13E9">
              <w:t xml:space="preserve"> 35°19'10,00"N</w:t>
            </w:r>
          </w:p>
          <w:p w14:paraId="410228D1" w14:textId="77777777" w:rsidR="00FE04DA" w:rsidRPr="004E13E9" w:rsidRDefault="00FE04DA" w:rsidP="00BA30FD">
            <w:pPr>
              <w:jc w:val="both"/>
            </w:pPr>
            <w:r w:rsidRPr="004E13E9">
              <w:t xml:space="preserve">        </w:t>
            </w:r>
            <w:proofErr w:type="gramStart"/>
            <w:r w:rsidRPr="004E13E9">
              <w:t>Long :</w:t>
            </w:r>
            <w:proofErr w:type="gramEnd"/>
            <w:r w:rsidRPr="004E13E9">
              <w:t xml:space="preserve"> 006°10'31,00"W</w:t>
            </w:r>
          </w:p>
          <w:p w14:paraId="0AE4A9BA" w14:textId="77777777" w:rsidR="00FE04DA" w:rsidRPr="004E13E9" w:rsidRDefault="00FE04DA" w:rsidP="00BA30FD">
            <w:pPr>
              <w:jc w:val="both"/>
            </w:pPr>
            <w:r w:rsidRPr="004E13E9">
              <w:t xml:space="preserve">Point </w:t>
            </w:r>
            <w:proofErr w:type="gramStart"/>
            <w:r w:rsidRPr="004E13E9">
              <w:t>C :</w:t>
            </w:r>
            <w:proofErr w:type="gramEnd"/>
            <w:r w:rsidRPr="004E13E9">
              <w:t xml:space="preserve"> </w:t>
            </w:r>
            <w:proofErr w:type="gramStart"/>
            <w:r w:rsidRPr="004E13E9">
              <w:t>Lat :</w:t>
            </w:r>
            <w:proofErr w:type="gramEnd"/>
            <w:r w:rsidRPr="004E13E9">
              <w:t xml:space="preserve"> 35°19'10,00"N</w:t>
            </w:r>
          </w:p>
          <w:p w14:paraId="01500935" w14:textId="77777777" w:rsidR="00FE04DA" w:rsidRPr="004E13E9" w:rsidRDefault="00FE04DA" w:rsidP="00BA30FD">
            <w:pPr>
              <w:jc w:val="both"/>
            </w:pPr>
            <w:r w:rsidRPr="004E13E9">
              <w:t xml:space="preserve">       </w:t>
            </w:r>
            <w:proofErr w:type="gramStart"/>
            <w:r w:rsidRPr="004E13E9">
              <w:t>Long :</w:t>
            </w:r>
            <w:proofErr w:type="gramEnd"/>
            <w:r w:rsidRPr="004E13E9">
              <w:t xml:space="preserve"> 006°10'01,50"W</w:t>
            </w:r>
          </w:p>
          <w:p w14:paraId="767DF86A" w14:textId="77777777" w:rsidR="00FE04DA" w:rsidRPr="004E13E9" w:rsidRDefault="00FE04DA" w:rsidP="00BA30FD">
            <w:pPr>
              <w:jc w:val="both"/>
            </w:pPr>
            <w:r w:rsidRPr="004E13E9">
              <w:t xml:space="preserve">Point </w:t>
            </w:r>
            <w:proofErr w:type="gramStart"/>
            <w:r w:rsidRPr="004E13E9">
              <w:t>D :</w:t>
            </w:r>
            <w:proofErr w:type="gramEnd"/>
            <w:r w:rsidRPr="004E13E9">
              <w:t xml:space="preserve"> </w:t>
            </w:r>
            <w:proofErr w:type="gramStart"/>
            <w:r w:rsidRPr="004E13E9">
              <w:t>Lat :</w:t>
            </w:r>
            <w:proofErr w:type="gramEnd"/>
            <w:r w:rsidRPr="004E13E9">
              <w:t xml:space="preserve"> 35°18'10,00"N</w:t>
            </w:r>
          </w:p>
          <w:p w14:paraId="59AFE342" w14:textId="77777777" w:rsidR="00FE04DA" w:rsidRPr="004E13E9" w:rsidRDefault="00FE04DA" w:rsidP="00BA30FD">
            <w:pPr>
              <w:jc w:val="both"/>
            </w:pPr>
            <w:r w:rsidRPr="004E13E9">
              <w:t xml:space="preserve">        </w:t>
            </w:r>
            <w:proofErr w:type="gramStart"/>
            <w:r w:rsidRPr="004E13E9">
              <w:t>Long :</w:t>
            </w:r>
            <w:proofErr w:type="gramEnd"/>
            <w:r w:rsidRPr="004E13E9">
              <w:t xml:space="preserve"> 006°10'01,50"W</w:t>
            </w:r>
          </w:p>
          <w:p w14:paraId="4BAE3DCE" w14:textId="77777777" w:rsidR="00FE04DA" w:rsidRPr="004E13E9" w:rsidRDefault="00FE04DA" w:rsidP="00BA30FD">
            <w:pPr>
              <w:jc w:val="both"/>
            </w:pPr>
          </w:p>
        </w:tc>
        <w:tc>
          <w:tcPr>
            <w:tcW w:w="1688" w:type="dxa"/>
            <w:tcBorders>
              <w:top w:val="single" w:sz="4" w:space="0" w:color="auto"/>
              <w:left w:val="single" w:sz="4" w:space="0" w:color="auto"/>
              <w:bottom w:val="single" w:sz="4" w:space="0" w:color="auto"/>
              <w:right w:val="single" w:sz="4" w:space="0" w:color="auto"/>
            </w:tcBorders>
            <w:vAlign w:val="center"/>
            <w:hideMark/>
          </w:tcPr>
          <w:p w14:paraId="7685F813" w14:textId="77777777" w:rsidR="00FE04DA" w:rsidRPr="004E13E9" w:rsidRDefault="00FE04DA" w:rsidP="00BA30FD">
            <w:pPr>
              <w:jc w:val="both"/>
            </w:pPr>
            <w:r w:rsidRPr="004E13E9">
              <w:t>1.128</w:t>
            </w:r>
          </w:p>
        </w:tc>
        <w:tc>
          <w:tcPr>
            <w:tcW w:w="1289" w:type="dxa"/>
            <w:tcBorders>
              <w:top w:val="single" w:sz="4" w:space="0" w:color="auto"/>
              <w:left w:val="single" w:sz="4" w:space="0" w:color="auto"/>
              <w:bottom w:val="single" w:sz="4" w:space="0" w:color="auto"/>
              <w:right w:val="single" w:sz="4" w:space="0" w:color="auto"/>
            </w:tcBorders>
            <w:vAlign w:val="center"/>
            <w:hideMark/>
          </w:tcPr>
          <w:p w14:paraId="0C8AF4DB" w14:textId="77777777" w:rsidR="00FE04DA" w:rsidRPr="004E13E9" w:rsidRDefault="00FE04DA" w:rsidP="00BA30FD">
            <w:pPr>
              <w:jc w:val="both"/>
            </w:pPr>
            <w:r w:rsidRPr="004E13E9">
              <w:t>1500</w:t>
            </w:r>
          </w:p>
        </w:tc>
      </w:tr>
      <w:tr w:rsidR="00FE04DA" w:rsidRPr="004E13E9" w14:paraId="475DCB0B" w14:textId="77777777" w:rsidTr="00E62E84">
        <w:trPr>
          <w:trHeight w:val="643"/>
        </w:trPr>
        <w:tc>
          <w:tcPr>
            <w:tcW w:w="1417" w:type="dxa"/>
            <w:tcBorders>
              <w:top w:val="single" w:sz="4" w:space="0" w:color="auto"/>
              <w:left w:val="single" w:sz="4" w:space="0" w:color="auto"/>
              <w:bottom w:val="single" w:sz="4" w:space="0" w:color="auto"/>
              <w:right w:val="single" w:sz="4" w:space="0" w:color="auto"/>
            </w:tcBorders>
            <w:hideMark/>
          </w:tcPr>
          <w:p w14:paraId="36D5587A" w14:textId="77777777" w:rsidR="00FE04DA" w:rsidRPr="004E13E9" w:rsidRDefault="00FE04DA" w:rsidP="00BA30FD">
            <w:pPr>
              <w:jc w:val="both"/>
            </w:pPr>
            <w:r w:rsidRPr="004E13E9">
              <w:t>PESBAK FISH</w:t>
            </w:r>
          </w:p>
        </w:tc>
        <w:tc>
          <w:tcPr>
            <w:tcW w:w="1758" w:type="dxa"/>
            <w:tcBorders>
              <w:top w:val="single" w:sz="4" w:space="0" w:color="auto"/>
              <w:left w:val="single" w:sz="4" w:space="0" w:color="auto"/>
              <w:bottom w:val="single" w:sz="4" w:space="0" w:color="auto"/>
              <w:right w:val="single" w:sz="4" w:space="0" w:color="auto"/>
            </w:tcBorders>
            <w:hideMark/>
          </w:tcPr>
          <w:p w14:paraId="31B01D28" w14:textId="77777777" w:rsidR="00FE04DA" w:rsidRPr="004E13E9" w:rsidRDefault="00FE04DA" w:rsidP="00BA30FD">
            <w:pPr>
              <w:jc w:val="both"/>
            </w:pPr>
            <w:r w:rsidRPr="004E13E9">
              <w:t>AT001MAR00004</w:t>
            </w:r>
          </w:p>
        </w:tc>
        <w:tc>
          <w:tcPr>
            <w:tcW w:w="3204" w:type="dxa"/>
            <w:tcBorders>
              <w:top w:val="single" w:sz="4" w:space="0" w:color="auto"/>
              <w:left w:val="single" w:sz="4" w:space="0" w:color="auto"/>
              <w:bottom w:val="single" w:sz="4" w:space="0" w:color="auto"/>
              <w:right w:val="single" w:sz="4" w:space="0" w:color="auto"/>
            </w:tcBorders>
            <w:hideMark/>
          </w:tcPr>
          <w:p w14:paraId="4C5B6365" w14:textId="77777777" w:rsidR="00FE04DA" w:rsidRPr="004E13E9" w:rsidRDefault="00FE04DA" w:rsidP="00BA30FD">
            <w:pPr>
              <w:jc w:val="both"/>
            </w:pPr>
            <w:r w:rsidRPr="004E13E9">
              <w:t xml:space="preserve">Point </w:t>
            </w:r>
            <w:proofErr w:type="gramStart"/>
            <w:r w:rsidRPr="004E13E9">
              <w:t>A :</w:t>
            </w:r>
            <w:proofErr w:type="gramEnd"/>
            <w:r w:rsidRPr="004E13E9">
              <w:t xml:space="preserve"> </w:t>
            </w:r>
            <w:proofErr w:type="gramStart"/>
            <w:r w:rsidRPr="004E13E9">
              <w:t>Lat :</w:t>
            </w:r>
            <w:proofErr w:type="gramEnd"/>
            <w:r w:rsidRPr="004E13E9">
              <w:t xml:space="preserve"> 35°19’23’’N</w:t>
            </w:r>
          </w:p>
          <w:p w14:paraId="6900E7B1" w14:textId="77777777" w:rsidR="00FE04DA" w:rsidRPr="004E13E9" w:rsidRDefault="00FE04DA" w:rsidP="00BA30FD">
            <w:pPr>
              <w:ind w:left="747"/>
              <w:jc w:val="both"/>
            </w:pPr>
            <w:proofErr w:type="gramStart"/>
            <w:r w:rsidRPr="004E13E9">
              <w:t>Long :</w:t>
            </w:r>
            <w:proofErr w:type="gramEnd"/>
            <w:r w:rsidRPr="004E13E9">
              <w:t xml:space="preserve"> 06°10’35’’W</w:t>
            </w:r>
          </w:p>
          <w:p w14:paraId="62C54E83" w14:textId="77777777" w:rsidR="00FE04DA" w:rsidRPr="004E13E9" w:rsidRDefault="00FE04DA" w:rsidP="00BA30FD">
            <w:pPr>
              <w:jc w:val="both"/>
            </w:pPr>
            <w:r w:rsidRPr="004E13E9">
              <w:t xml:space="preserve">Point </w:t>
            </w:r>
            <w:proofErr w:type="gramStart"/>
            <w:r w:rsidRPr="004E13E9">
              <w:t>B :</w:t>
            </w:r>
            <w:proofErr w:type="gramEnd"/>
            <w:r w:rsidRPr="004E13E9">
              <w:t xml:space="preserve"> </w:t>
            </w:r>
            <w:proofErr w:type="gramStart"/>
            <w:r w:rsidRPr="004E13E9">
              <w:t>Lat :</w:t>
            </w:r>
            <w:proofErr w:type="gramEnd"/>
            <w:r w:rsidRPr="004E13E9">
              <w:t xml:space="preserve"> 35°20’27’’ N</w:t>
            </w:r>
          </w:p>
          <w:p w14:paraId="4661CFEE" w14:textId="77777777" w:rsidR="00FE04DA" w:rsidRPr="004E13E9" w:rsidRDefault="00FE04DA" w:rsidP="00BA30FD">
            <w:pPr>
              <w:ind w:left="747"/>
              <w:jc w:val="both"/>
            </w:pPr>
            <w:proofErr w:type="gramStart"/>
            <w:r w:rsidRPr="004E13E9">
              <w:t>Long :</w:t>
            </w:r>
            <w:proofErr w:type="gramEnd"/>
            <w:r w:rsidRPr="004E13E9">
              <w:t xml:space="preserve"> 06°10’30’’W</w:t>
            </w:r>
          </w:p>
          <w:p w14:paraId="3172BD38" w14:textId="77777777" w:rsidR="00FE04DA" w:rsidRPr="004E13E9" w:rsidRDefault="00FE04DA" w:rsidP="00BA30FD">
            <w:pPr>
              <w:jc w:val="both"/>
            </w:pPr>
            <w:r w:rsidRPr="004E13E9">
              <w:t xml:space="preserve">Point </w:t>
            </w:r>
            <w:proofErr w:type="gramStart"/>
            <w:r w:rsidRPr="004E13E9">
              <w:t>C :</w:t>
            </w:r>
            <w:proofErr w:type="gramEnd"/>
            <w:r w:rsidRPr="004E13E9">
              <w:t xml:space="preserve"> </w:t>
            </w:r>
            <w:proofErr w:type="gramStart"/>
            <w:r w:rsidRPr="004E13E9">
              <w:t>Lat :</w:t>
            </w:r>
            <w:proofErr w:type="gramEnd"/>
            <w:r w:rsidRPr="004E13E9">
              <w:t xml:space="preserve"> 35°20’24’’ N</w:t>
            </w:r>
          </w:p>
          <w:p w14:paraId="19D1EC6E" w14:textId="77777777" w:rsidR="00FE04DA" w:rsidRPr="004E13E9" w:rsidRDefault="00FE04DA" w:rsidP="00BA30FD">
            <w:pPr>
              <w:ind w:left="747"/>
              <w:jc w:val="both"/>
            </w:pPr>
            <w:proofErr w:type="gramStart"/>
            <w:r w:rsidRPr="004E13E9">
              <w:t>Long :</w:t>
            </w:r>
            <w:proofErr w:type="gramEnd"/>
            <w:r w:rsidRPr="004E13E9">
              <w:t xml:space="preserve"> 06°09’28’’W</w:t>
            </w:r>
          </w:p>
          <w:p w14:paraId="2567FEB2" w14:textId="77777777" w:rsidR="00FE04DA" w:rsidRPr="004E13E9" w:rsidRDefault="00FE04DA" w:rsidP="00BA30FD">
            <w:pPr>
              <w:jc w:val="both"/>
            </w:pPr>
            <w:r w:rsidRPr="004E13E9">
              <w:t xml:space="preserve">Point </w:t>
            </w:r>
            <w:proofErr w:type="gramStart"/>
            <w:r w:rsidRPr="004E13E9">
              <w:t>D :</w:t>
            </w:r>
            <w:proofErr w:type="gramEnd"/>
            <w:r w:rsidRPr="004E13E9">
              <w:t xml:space="preserve"> </w:t>
            </w:r>
            <w:proofErr w:type="gramStart"/>
            <w:r w:rsidRPr="004E13E9">
              <w:t>Lat :</w:t>
            </w:r>
            <w:proofErr w:type="gramEnd"/>
            <w:r w:rsidRPr="004E13E9">
              <w:t xml:space="preserve"> 35°19’21’’ N</w:t>
            </w:r>
          </w:p>
          <w:p w14:paraId="21A2B820" w14:textId="77777777" w:rsidR="00FE04DA" w:rsidRPr="004E13E9" w:rsidRDefault="00FE04DA" w:rsidP="00BA30FD">
            <w:pPr>
              <w:jc w:val="both"/>
            </w:pPr>
            <w:r w:rsidRPr="004E13E9">
              <w:t xml:space="preserve">    </w:t>
            </w:r>
            <w:proofErr w:type="gramStart"/>
            <w:r w:rsidRPr="004E13E9">
              <w:t>Long :</w:t>
            </w:r>
            <w:proofErr w:type="gramEnd"/>
            <w:r w:rsidRPr="004E13E9">
              <w:t xml:space="preserve"> 06°09’33’’W</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A7E65B5" w14:textId="77777777" w:rsidR="00FE04DA" w:rsidRPr="004E13E9" w:rsidRDefault="00FE04DA" w:rsidP="00BA30FD">
            <w:pPr>
              <w:jc w:val="both"/>
            </w:pPr>
            <w:r w:rsidRPr="004E13E9">
              <w:t>1.138</w:t>
            </w:r>
          </w:p>
        </w:tc>
        <w:tc>
          <w:tcPr>
            <w:tcW w:w="1289" w:type="dxa"/>
            <w:tcBorders>
              <w:top w:val="single" w:sz="4" w:space="0" w:color="auto"/>
              <w:left w:val="single" w:sz="4" w:space="0" w:color="auto"/>
              <w:bottom w:val="single" w:sz="4" w:space="0" w:color="auto"/>
              <w:right w:val="single" w:sz="4" w:space="0" w:color="auto"/>
            </w:tcBorders>
            <w:vAlign w:val="center"/>
            <w:hideMark/>
          </w:tcPr>
          <w:p w14:paraId="5E10D8E6" w14:textId="77777777" w:rsidR="00FE04DA" w:rsidRPr="004E13E9" w:rsidRDefault="00FE04DA" w:rsidP="00BA30FD">
            <w:pPr>
              <w:jc w:val="both"/>
            </w:pPr>
            <w:r w:rsidRPr="004E13E9">
              <w:t>1.500</w:t>
            </w:r>
          </w:p>
        </w:tc>
      </w:tr>
      <w:tr w:rsidR="00FE04DA" w:rsidRPr="004E13E9" w14:paraId="41B5F230" w14:textId="77777777" w:rsidTr="00E62E84">
        <w:trPr>
          <w:trHeight w:val="643"/>
        </w:trPr>
        <w:tc>
          <w:tcPr>
            <w:tcW w:w="1417" w:type="dxa"/>
            <w:tcBorders>
              <w:top w:val="single" w:sz="4" w:space="0" w:color="auto"/>
              <w:left w:val="single" w:sz="4" w:space="0" w:color="auto"/>
              <w:bottom w:val="single" w:sz="4" w:space="0" w:color="auto"/>
              <w:right w:val="single" w:sz="4" w:space="0" w:color="auto"/>
            </w:tcBorders>
            <w:hideMark/>
          </w:tcPr>
          <w:p w14:paraId="74433684" w14:textId="77777777" w:rsidR="00FE04DA" w:rsidRPr="004E13E9" w:rsidRDefault="00FE04DA" w:rsidP="00BA30FD">
            <w:pPr>
              <w:jc w:val="both"/>
            </w:pPr>
            <w:r w:rsidRPr="004E13E9">
              <w:t>ATLANTIQUE TUNA FARM</w:t>
            </w:r>
          </w:p>
        </w:tc>
        <w:tc>
          <w:tcPr>
            <w:tcW w:w="1758" w:type="dxa"/>
            <w:tcBorders>
              <w:top w:val="single" w:sz="4" w:space="0" w:color="auto"/>
              <w:left w:val="single" w:sz="4" w:space="0" w:color="auto"/>
              <w:bottom w:val="single" w:sz="4" w:space="0" w:color="auto"/>
              <w:right w:val="single" w:sz="4" w:space="0" w:color="auto"/>
            </w:tcBorders>
            <w:hideMark/>
          </w:tcPr>
          <w:p w14:paraId="518F57C5" w14:textId="77777777" w:rsidR="00FE04DA" w:rsidRPr="004E13E9" w:rsidRDefault="00FE04DA" w:rsidP="00BA30FD">
            <w:pPr>
              <w:jc w:val="both"/>
            </w:pPr>
            <w:r w:rsidRPr="004E13E9">
              <w:t>AT001MAR00005</w:t>
            </w:r>
          </w:p>
        </w:tc>
        <w:tc>
          <w:tcPr>
            <w:tcW w:w="3204" w:type="dxa"/>
            <w:tcBorders>
              <w:top w:val="single" w:sz="4" w:space="0" w:color="auto"/>
              <w:left w:val="single" w:sz="4" w:space="0" w:color="auto"/>
              <w:bottom w:val="single" w:sz="4" w:space="0" w:color="auto"/>
              <w:right w:val="single" w:sz="4" w:space="0" w:color="auto"/>
            </w:tcBorders>
            <w:hideMark/>
          </w:tcPr>
          <w:p w14:paraId="0326F71D" w14:textId="77777777" w:rsidR="00FE04DA" w:rsidRPr="004E13E9" w:rsidRDefault="00FE04DA" w:rsidP="00BA30FD">
            <w:pPr>
              <w:jc w:val="both"/>
            </w:pPr>
            <w:r w:rsidRPr="004E13E9">
              <w:t xml:space="preserve">Point </w:t>
            </w:r>
            <w:proofErr w:type="gramStart"/>
            <w:r w:rsidRPr="004E13E9">
              <w:t>A :</w:t>
            </w:r>
            <w:proofErr w:type="gramEnd"/>
            <w:r w:rsidRPr="004E13E9">
              <w:t xml:space="preserve"> </w:t>
            </w:r>
            <w:proofErr w:type="gramStart"/>
            <w:r w:rsidRPr="004E13E9">
              <w:t>Lat :</w:t>
            </w:r>
            <w:proofErr w:type="gramEnd"/>
            <w:r w:rsidRPr="004E13E9">
              <w:t xml:space="preserve"> 34°24’00’’N</w:t>
            </w:r>
          </w:p>
          <w:p w14:paraId="08E2BF26" w14:textId="77777777" w:rsidR="00FE04DA" w:rsidRPr="004E13E9" w:rsidRDefault="00FE04DA" w:rsidP="00BA30FD">
            <w:pPr>
              <w:jc w:val="both"/>
            </w:pPr>
            <w:r w:rsidRPr="004E13E9">
              <w:t xml:space="preserve">       </w:t>
            </w:r>
            <w:proofErr w:type="gramStart"/>
            <w:r w:rsidRPr="004E13E9">
              <w:t>Long :</w:t>
            </w:r>
            <w:proofErr w:type="gramEnd"/>
            <w:r w:rsidRPr="004E13E9">
              <w:t xml:space="preserve"> 06°39’25’’W</w:t>
            </w:r>
          </w:p>
          <w:p w14:paraId="7DCBBD57" w14:textId="77777777" w:rsidR="00FE04DA" w:rsidRPr="004E13E9" w:rsidRDefault="00FE04DA" w:rsidP="00BA30FD">
            <w:pPr>
              <w:jc w:val="both"/>
            </w:pPr>
            <w:r w:rsidRPr="004E13E9">
              <w:t xml:space="preserve">Point </w:t>
            </w:r>
            <w:proofErr w:type="gramStart"/>
            <w:r w:rsidRPr="004E13E9">
              <w:t>B :</w:t>
            </w:r>
            <w:proofErr w:type="gramEnd"/>
            <w:r w:rsidRPr="004E13E9">
              <w:t xml:space="preserve"> </w:t>
            </w:r>
            <w:proofErr w:type="gramStart"/>
            <w:r w:rsidRPr="004E13E9">
              <w:t>Lat :</w:t>
            </w:r>
            <w:proofErr w:type="gramEnd"/>
            <w:r w:rsidRPr="004E13E9">
              <w:t xml:space="preserve"> 34°25’14’’ N</w:t>
            </w:r>
          </w:p>
          <w:p w14:paraId="0C2BADB5" w14:textId="77777777" w:rsidR="00FE04DA" w:rsidRPr="004E13E9" w:rsidRDefault="00FE04DA" w:rsidP="00BA30FD">
            <w:pPr>
              <w:jc w:val="both"/>
            </w:pPr>
            <w:r w:rsidRPr="004E13E9">
              <w:t xml:space="preserve">       </w:t>
            </w:r>
            <w:proofErr w:type="gramStart"/>
            <w:r w:rsidRPr="004E13E9">
              <w:t>Long :</w:t>
            </w:r>
            <w:proofErr w:type="gramEnd"/>
            <w:r w:rsidRPr="004E13E9">
              <w:t xml:space="preserve"> 06°38’40’’W</w:t>
            </w:r>
          </w:p>
          <w:p w14:paraId="02B3ADBB" w14:textId="77777777" w:rsidR="00FE04DA" w:rsidRPr="004E13E9" w:rsidRDefault="00FE04DA" w:rsidP="00BA30FD">
            <w:pPr>
              <w:jc w:val="both"/>
            </w:pPr>
            <w:r w:rsidRPr="004E13E9">
              <w:t xml:space="preserve">Point </w:t>
            </w:r>
            <w:proofErr w:type="gramStart"/>
            <w:r w:rsidRPr="004E13E9">
              <w:t>C :</w:t>
            </w:r>
            <w:proofErr w:type="gramEnd"/>
            <w:r w:rsidRPr="004E13E9">
              <w:t xml:space="preserve"> </w:t>
            </w:r>
            <w:proofErr w:type="gramStart"/>
            <w:r w:rsidRPr="004E13E9">
              <w:t>Lat :</w:t>
            </w:r>
            <w:proofErr w:type="gramEnd"/>
            <w:r w:rsidRPr="004E13E9">
              <w:t xml:space="preserve"> 34°25’00’’ N                                               </w:t>
            </w:r>
            <w:proofErr w:type="gramStart"/>
            <w:r w:rsidRPr="004E13E9">
              <w:t>Long :</w:t>
            </w:r>
            <w:proofErr w:type="gramEnd"/>
            <w:r w:rsidRPr="004E13E9">
              <w:t xml:space="preserve"> 06°36’50’’W</w:t>
            </w:r>
          </w:p>
          <w:p w14:paraId="421CA285" w14:textId="77777777" w:rsidR="00FE04DA" w:rsidRPr="004E13E9" w:rsidRDefault="00FE04DA" w:rsidP="00BA30FD">
            <w:pPr>
              <w:jc w:val="both"/>
            </w:pPr>
            <w:r w:rsidRPr="004E13E9">
              <w:t xml:space="preserve">Point </w:t>
            </w:r>
            <w:proofErr w:type="gramStart"/>
            <w:r w:rsidRPr="004E13E9">
              <w:t>D :</w:t>
            </w:r>
            <w:proofErr w:type="gramEnd"/>
            <w:r w:rsidRPr="004E13E9">
              <w:t xml:space="preserve"> </w:t>
            </w:r>
            <w:proofErr w:type="gramStart"/>
            <w:r w:rsidRPr="004E13E9">
              <w:t>Lat :</w:t>
            </w:r>
            <w:proofErr w:type="gramEnd"/>
            <w:r w:rsidRPr="004E13E9">
              <w:t xml:space="preserve"> 34°23’41’’ N</w:t>
            </w:r>
          </w:p>
          <w:p w14:paraId="5F939C03" w14:textId="77777777" w:rsidR="00FE04DA" w:rsidRPr="004E13E9" w:rsidRDefault="00FE04DA" w:rsidP="00BA30FD">
            <w:pPr>
              <w:jc w:val="both"/>
            </w:pPr>
            <w:r w:rsidRPr="004E13E9">
              <w:t xml:space="preserve">      </w:t>
            </w:r>
            <w:proofErr w:type="gramStart"/>
            <w:r w:rsidRPr="004E13E9">
              <w:t>Long :</w:t>
            </w:r>
            <w:proofErr w:type="gramEnd"/>
            <w:r w:rsidRPr="004E13E9">
              <w:t xml:space="preserve"> 06°37’46’’W</w:t>
            </w:r>
          </w:p>
        </w:tc>
        <w:tc>
          <w:tcPr>
            <w:tcW w:w="1688" w:type="dxa"/>
            <w:tcBorders>
              <w:top w:val="single" w:sz="4" w:space="0" w:color="auto"/>
              <w:left w:val="single" w:sz="4" w:space="0" w:color="auto"/>
              <w:bottom w:val="single" w:sz="4" w:space="0" w:color="auto"/>
              <w:right w:val="single" w:sz="4" w:space="0" w:color="auto"/>
            </w:tcBorders>
            <w:vAlign w:val="center"/>
            <w:hideMark/>
          </w:tcPr>
          <w:p w14:paraId="3CD50BD0" w14:textId="77777777" w:rsidR="00FE04DA" w:rsidRPr="004E13E9" w:rsidRDefault="00FE04DA" w:rsidP="00BA30FD">
            <w:pPr>
              <w:jc w:val="both"/>
            </w:pPr>
            <w:r w:rsidRPr="004E13E9">
              <w:t>608</w:t>
            </w:r>
          </w:p>
        </w:tc>
        <w:tc>
          <w:tcPr>
            <w:tcW w:w="1289" w:type="dxa"/>
            <w:tcBorders>
              <w:top w:val="single" w:sz="4" w:space="0" w:color="auto"/>
              <w:left w:val="single" w:sz="4" w:space="0" w:color="auto"/>
              <w:bottom w:val="single" w:sz="4" w:space="0" w:color="auto"/>
              <w:right w:val="single" w:sz="4" w:space="0" w:color="auto"/>
            </w:tcBorders>
            <w:vAlign w:val="center"/>
            <w:hideMark/>
          </w:tcPr>
          <w:p w14:paraId="5432F38B" w14:textId="77777777" w:rsidR="00FE04DA" w:rsidRPr="004E13E9" w:rsidRDefault="00FE04DA" w:rsidP="00BA30FD">
            <w:pPr>
              <w:jc w:val="both"/>
            </w:pPr>
            <w:r w:rsidRPr="004E13E9">
              <w:t>1.500</w:t>
            </w:r>
          </w:p>
        </w:tc>
      </w:tr>
      <w:tr w:rsidR="00FE04DA" w:rsidRPr="004E13E9" w14:paraId="3D86671A" w14:textId="77777777" w:rsidTr="00E62E84">
        <w:trPr>
          <w:trHeight w:val="324"/>
        </w:trPr>
        <w:tc>
          <w:tcPr>
            <w:tcW w:w="1417" w:type="dxa"/>
            <w:tcBorders>
              <w:top w:val="single" w:sz="4" w:space="0" w:color="auto"/>
              <w:left w:val="single" w:sz="4" w:space="0" w:color="auto"/>
              <w:bottom w:val="single" w:sz="4" w:space="0" w:color="auto"/>
              <w:right w:val="single" w:sz="4" w:space="0" w:color="auto"/>
            </w:tcBorders>
            <w:hideMark/>
          </w:tcPr>
          <w:p w14:paraId="7C18FB58" w14:textId="77777777" w:rsidR="00FE04DA" w:rsidRPr="004E13E9" w:rsidRDefault="00FE04DA" w:rsidP="00BA30FD">
            <w:pPr>
              <w:jc w:val="both"/>
              <w:rPr>
                <w:lang w:eastAsia="x-none"/>
              </w:rPr>
            </w:pPr>
            <w:r w:rsidRPr="004E13E9">
              <w:rPr>
                <w:lang w:eastAsia="x-none"/>
              </w:rPr>
              <w:t>TOTAL</w:t>
            </w:r>
          </w:p>
        </w:tc>
        <w:tc>
          <w:tcPr>
            <w:tcW w:w="1758" w:type="dxa"/>
            <w:tcBorders>
              <w:top w:val="single" w:sz="4" w:space="0" w:color="auto"/>
              <w:left w:val="single" w:sz="4" w:space="0" w:color="auto"/>
              <w:bottom w:val="single" w:sz="4" w:space="0" w:color="auto"/>
              <w:right w:val="single" w:sz="4" w:space="0" w:color="auto"/>
            </w:tcBorders>
          </w:tcPr>
          <w:p w14:paraId="656F4BFD" w14:textId="77777777" w:rsidR="00FE04DA" w:rsidRPr="004E13E9" w:rsidRDefault="00FE04DA" w:rsidP="00BA30FD">
            <w:pPr>
              <w:jc w:val="both"/>
              <w:rPr>
                <w:lang w:eastAsia="x-none"/>
              </w:rPr>
            </w:pPr>
          </w:p>
        </w:tc>
        <w:tc>
          <w:tcPr>
            <w:tcW w:w="3204" w:type="dxa"/>
            <w:tcBorders>
              <w:top w:val="single" w:sz="4" w:space="0" w:color="auto"/>
              <w:left w:val="single" w:sz="4" w:space="0" w:color="auto"/>
              <w:bottom w:val="single" w:sz="4" w:space="0" w:color="auto"/>
              <w:right w:val="single" w:sz="4" w:space="0" w:color="auto"/>
            </w:tcBorders>
          </w:tcPr>
          <w:p w14:paraId="79C30DD6" w14:textId="77777777" w:rsidR="00FE04DA" w:rsidRPr="004E13E9" w:rsidRDefault="00FE04DA" w:rsidP="00BA30FD">
            <w:pPr>
              <w:jc w:val="both"/>
            </w:pPr>
          </w:p>
        </w:tc>
        <w:tc>
          <w:tcPr>
            <w:tcW w:w="1688" w:type="dxa"/>
            <w:tcBorders>
              <w:top w:val="single" w:sz="4" w:space="0" w:color="auto"/>
              <w:left w:val="single" w:sz="4" w:space="0" w:color="auto"/>
              <w:bottom w:val="single" w:sz="4" w:space="0" w:color="auto"/>
              <w:right w:val="single" w:sz="4" w:space="0" w:color="auto"/>
            </w:tcBorders>
            <w:vAlign w:val="center"/>
            <w:hideMark/>
          </w:tcPr>
          <w:p w14:paraId="4AF6BE48" w14:textId="77777777" w:rsidR="00FE04DA" w:rsidRPr="004E13E9" w:rsidRDefault="00FE04DA" w:rsidP="00BA30FD">
            <w:pPr>
              <w:jc w:val="both"/>
            </w:pPr>
            <w:r w:rsidRPr="004E13E9">
              <w:t>3.931</w:t>
            </w:r>
          </w:p>
        </w:tc>
        <w:tc>
          <w:tcPr>
            <w:tcW w:w="1289" w:type="dxa"/>
            <w:tcBorders>
              <w:top w:val="single" w:sz="4" w:space="0" w:color="auto"/>
              <w:left w:val="single" w:sz="4" w:space="0" w:color="auto"/>
              <w:bottom w:val="single" w:sz="4" w:space="0" w:color="auto"/>
              <w:right w:val="single" w:sz="4" w:space="0" w:color="auto"/>
            </w:tcBorders>
            <w:vAlign w:val="center"/>
            <w:hideMark/>
          </w:tcPr>
          <w:p w14:paraId="76EEAD97" w14:textId="77777777" w:rsidR="00FE04DA" w:rsidRPr="004E13E9" w:rsidRDefault="00FE04DA" w:rsidP="00BA30FD">
            <w:pPr>
              <w:jc w:val="both"/>
            </w:pPr>
            <w:r w:rsidRPr="004E13E9">
              <w:t>7.000</w:t>
            </w:r>
          </w:p>
        </w:tc>
      </w:tr>
    </w:tbl>
    <w:p w14:paraId="682E23FD" w14:textId="77777777" w:rsidR="00FE04DA" w:rsidRPr="004E13E9" w:rsidRDefault="00FE04DA" w:rsidP="00BA30FD">
      <w:pPr>
        <w:autoSpaceDE w:val="0"/>
        <w:autoSpaceDN w:val="0"/>
        <w:adjustRightInd w:val="0"/>
        <w:ind w:left="851" w:hanging="425"/>
        <w:jc w:val="both"/>
        <w:rPr>
          <w:sz w:val="16"/>
          <w:szCs w:val="16"/>
        </w:rPr>
      </w:pPr>
      <w:proofErr w:type="gramStart"/>
      <w:r w:rsidRPr="004E13E9">
        <w:rPr>
          <w:b/>
          <w:bCs/>
          <w:iCs/>
          <w:sz w:val="16"/>
          <w:szCs w:val="16"/>
        </w:rPr>
        <w:t>* :</w:t>
      </w:r>
      <w:proofErr w:type="gramEnd"/>
      <w:r w:rsidRPr="004E13E9">
        <w:rPr>
          <w:b/>
          <w:bCs/>
          <w:iCs/>
          <w:sz w:val="16"/>
          <w:szCs w:val="16"/>
        </w:rPr>
        <w:t xml:space="preserve"> </w:t>
      </w:r>
      <w:r w:rsidRPr="004E13E9">
        <w:rPr>
          <w:sz w:val="16"/>
          <w:szCs w:val="16"/>
        </w:rPr>
        <w:t xml:space="preserve">Estimation approximative et </w:t>
      </w:r>
      <w:proofErr w:type="spellStart"/>
      <w:r w:rsidRPr="004E13E9">
        <w:rPr>
          <w:sz w:val="16"/>
          <w:szCs w:val="16"/>
        </w:rPr>
        <w:t>provisoire</w:t>
      </w:r>
      <w:proofErr w:type="spellEnd"/>
    </w:p>
    <w:p w14:paraId="4D278F0E" w14:textId="77777777" w:rsidR="00FE04DA" w:rsidRPr="004E13E9" w:rsidRDefault="00FE04DA" w:rsidP="00BA30FD">
      <w:pPr>
        <w:autoSpaceDE w:val="0"/>
        <w:autoSpaceDN w:val="0"/>
        <w:adjustRightInd w:val="0"/>
        <w:ind w:left="851" w:hanging="425"/>
        <w:jc w:val="both"/>
        <w:rPr>
          <w:iCs/>
          <w:sz w:val="16"/>
          <w:szCs w:val="16"/>
          <w:lang w:val="fr-FR"/>
        </w:rPr>
      </w:pPr>
      <w:r w:rsidRPr="004E13E9">
        <w:rPr>
          <w:iCs/>
          <w:sz w:val="16"/>
          <w:szCs w:val="16"/>
          <w:lang w:val="fr-FR"/>
        </w:rPr>
        <w:t xml:space="preserve">-    Montant total par ferme reporté de l’année antérieure : 0 </w:t>
      </w:r>
    </w:p>
    <w:p w14:paraId="01A7E661" w14:textId="77777777" w:rsidR="00FE04DA" w:rsidRPr="004E13E9" w:rsidRDefault="00FE04DA" w:rsidP="00BA30FD">
      <w:pPr>
        <w:jc w:val="both"/>
        <w:rPr>
          <w:rFonts w:cs="Calibri"/>
          <w:b/>
          <w:bCs/>
          <w:iCs/>
          <w:sz w:val="8"/>
          <w:szCs w:val="8"/>
          <w:lang w:val="fr-FR"/>
        </w:rPr>
      </w:pPr>
    </w:p>
    <w:p w14:paraId="213DC5FF" w14:textId="77777777" w:rsidR="00FE04DA" w:rsidRPr="004E13E9" w:rsidRDefault="00FE04DA" w:rsidP="00BA30FD">
      <w:pPr>
        <w:jc w:val="both"/>
        <w:rPr>
          <w:rFonts w:cs="Calibri"/>
          <w:b/>
          <w:bCs/>
          <w:iCs/>
          <w:lang w:val="fr-FR"/>
        </w:rPr>
      </w:pPr>
      <w:r w:rsidRPr="004E13E9">
        <w:rPr>
          <w:rFonts w:cs="Calibri"/>
          <w:b/>
          <w:bCs/>
          <w:iCs/>
          <w:lang w:val="fr-FR"/>
        </w:rPr>
        <w:br w:type="page"/>
        <w:t>Suivi et contrôle des opérations de mise en cage du thon rouge :</w:t>
      </w:r>
    </w:p>
    <w:p w14:paraId="59E1884D" w14:textId="77777777" w:rsidR="00FE04DA" w:rsidRPr="004E13E9" w:rsidRDefault="00FE04DA" w:rsidP="00BA30FD">
      <w:pPr>
        <w:jc w:val="both"/>
        <w:rPr>
          <w:rFonts w:cs="Calibri"/>
          <w:iCs/>
          <w:lang w:val="fr-FR"/>
        </w:rPr>
      </w:pPr>
    </w:p>
    <w:p w14:paraId="3C36CDF3" w14:textId="77777777" w:rsidR="00FE04DA" w:rsidRPr="004E13E9" w:rsidRDefault="00FE04DA" w:rsidP="00BA30FD">
      <w:pPr>
        <w:jc w:val="both"/>
        <w:rPr>
          <w:rFonts w:cs="Calibri"/>
          <w:iCs/>
          <w:lang w:val="fr-FR"/>
        </w:rPr>
      </w:pPr>
      <w:r w:rsidRPr="004E13E9">
        <w:rPr>
          <w:rFonts w:cs="Calibri"/>
          <w:iCs/>
          <w:lang w:val="fr-FR"/>
        </w:rPr>
        <w:t>Le suivi et le contrôle des opérations de mise en cage dans les fermes d'engraissement, sont appuyés notamment par la présence des agents de contrôle habilités, d’observateurs régionaux et d’observateurs nationaux et l’enregistrement vidéo en utilisant des caméras conventionnelles et des caméras stéréoscopiques, conformément aux conditions énumérées dans la Rec. 25-04 ;</w:t>
      </w:r>
    </w:p>
    <w:p w14:paraId="1D87A883" w14:textId="77777777" w:rsidR="00FE04DA" w:rsidRPr="004E13E9" w:rsidRDefault="00FE04DA" w:rsidP="00BA30FD">
      <w:pPr>
        <w:jc w:val="both"/>
        <w:rPr>
          <w:rFonts w:cs="Calibri"/>
          <w:iCs/>
          <w:lang w:val="fr-FR"/>
        </w:rPr>
      </w:pPr>
    </w:p>
    <w:p w14:paraId="78587D22" w14:textId="77777777" w:rsidR="00FE04DA" w:rsidRPr="004E13E9" w:rsidRDefault="00FE04DA" w:rsidP="00BA30FD">
      <w:pPr>
        <w:jc w:val="both"/>
        <w:rPr>
          <w:rFonts w:cs="Calibri"/>
          <w:b/>
          <w:bCs/>
          <w:iCs/>
          <w:lang w:val="fr-FR"/>
        </w:rPr>
      </w:pPr>
      <w:r w:rsidRPr="004E13E9">
        <w:rPr>
          <w:rFonts w:cs="Calibri"/>
          <w:b/>
          <w:bCs/>
          <w:iCs/>
          <w:lang w:val="fr-FR"/>
        </w:rPr>
        <w:t>Contrôles aléatoires dans les fermes d’engraissement :</w:t>
      </w:r>
    </w:p>
    <w:p w14:paraId="75C56F7E" w14:textId="77777777" w:rsidR="00FE04DA" w:rsidRPr="004E13E9" w:rsidRDefault="00FE04DA" w:rsidP="00BA30FD">
      <w:pPr>
        <w:jc w:val="both"/>
        <w:rPr>
          <w:b/>
          <w:bCs/>
          <w:color w:val="5B9BD5"/>
          <w:lang w:val="fr-FR"/>
        </w:rPr>
      </w:pPr>
    </w:p>
    <w:p w14:paraId="32533594" w14:textId="77777777" w:rsidR="00FE04DA" w:rsidRPr="004E13E9" w:rsidRDefault="00FE04DA" w:rsidP="00BA30FD">
      <w:pPr>
        <w:jc w:val="both"/>
        <w:rPr>
          <w:rFonts w:cs="Calibri"/>
          <w:iCs/>
          <w:lang w:val="fr-FR"/>
        </w:rPr>
      </w:pPr>
      <w:r w:rsidRPr="004E13E9">
        <w:rPr>
          <w:rFonts w:cs="Calibri"/>
          <w:iCs/>
          <w:lang w:val="fr-FR"/>
        </w:rPr>
        <w:t>Des contrôles aléatoires d’au moins 10% du nombre de cages sont réalisés dans chaque ferme après la fin des opérations de mise en cage. Ces contrôles se font sur le système de traçabilité interne mis en place par la ferme d’engraissement et aussi par opération de transfert suivie à l’aide d’une caméra de contrôle pour la vérification du nombre de thon rouge transféré.</w:t>
      </w:r>
    </w:p>
    <w:p w14:paraId="3D3B2B88" w14:textId="77777777" w:rsidR="00FE04DA" w:rsidRPr="004E13E9" w:rsidRDefault="00FE04DA" w:rsidP="00BA30FD">
      <w:pPr>
        <w:jc w:val="both"/>
        <w:rPr>
          <w:rFonts w:cs="Calibri"/>
          <w:iCs/>
          <w:lang w:val="fr-FR"/>
        </w:rPr>
      </w:pPr>
    </w:p>
    <w:p w14:paraId="2201E629" w14:textId="77777777" w:rsidR="00FE04DA" w:rsidRPr="004E13E9" w:rsidRDefault="00FE04DA" w:rsidP="00BA30FD">
      <w:pPr>
        <w:jc w:val="both"/>
        <w:rPr>
          <w:rFonts w:cs="Calibri"/>
          <w:iCs/>
          <w:lang w:val="fr-FR"/>
        </w:rPr>
      </w:pPr>
    </w:p>
    <w:p w14:paraId="3DE77FFF" w14:textId="77777777" w:rsidR="00FE04DA" w:rsidRPr="004E13E9" w:rsidRDefault="00FE04DA" w:rsidP="00BA30FD">
      <w:pPr>
        <w:ind w:left="426" w:hanging="426"/>
        <w:jc w:val="both"/>
        <w:rPr>
          <w:b/>
          <w:lang w:val="fr-FR"/>
        </w:rPr>
      </w:pPr>
      <w:r w:rsidRPr="004E13E9">
        <w:rPr>
          <w:b/>
          <w:lang w:val="fr-FR"/>
        </w:rPr>
        <w:t>4.</w:t>
      </w:r>
      <w:r w:rsidRPr="004E13E9">
        <w:rPr>
          <w:b/>
          <w:lang w:val="fr-FR"/>
        </w:rPr>
        <w:tab/>
        <w:t xml:space="preserve">Plan annuel d’aquaculture (paragraphe 10 e) de la </w:t>
      </w:r>
      <w:hyperlink r:id="rId148" w:history="1">
        <w:r w:rsidRPr="004E13E9">
          <w:rPr>
            <w:b/>
            <w:lang w:val="fr-FR"/>
          </w:rPr>
          <w:t xml:space="preserve">Rec. 25-04 </w:t>
        </w:r>
      </w:hyperlink>
      <w:r w:rsidRPr="004E13E9">
        <w:rPr>
          <w:b/>
          <w:lang w:val="fr-FR"/>
        </w:rPr>
        <w:t xml:space="preserve">conformément à la </w:t>
      </w:r>
      <w:hyperlink r:id="rId149" w:history="1">
        <w:r w:rsidRPr="004E13E9">
          <w:rPr>
            <w:b/>
            <w:lang w:val="fr-FR"/>
          </w:rPr>
          <w:t>Rec. 24-07</w:t>
        </w:r>
      </w:hyperlink>
      <w:r w:rsidRPr="004E13E9">
        <w:rPr>
          <w:b/>
          <w:lang w:val="fr-FR"/>
        </w:rPr>
        <w:t>), le cas échéant</w:t>
      </w:r>
    </w:p>
    <w:p w14:paraId="75262FF4" w14:textId="77777777" w:rsidR="00FE04DA" w:rsidRPr="004E13E9" w:rsidRDefault="00FE04DA" w:rsidP="00BA30FD">
      <w:pPr>
        <w:jc w:val="both"/>
        <w:rPr>
          <w:b/>
          <w:lang w:val="fr-FR"/>
        </w:rPr>
      </w:pPr>
    </w:p>
    <w:p w14:paraId="550A8712" w14:textId="77777777" w:rsidR="00FE04DA" w:rsidRPr="004E13E9" w:rsidRDefault="00FE04DA" w:rsidP="00BA30FD">
      <w:pPr>
        <w:jc w:val="both"/>
        <w:rPr>
          <w:rFonts w:cs="Calibri"/>
          <w:iCs/>
          <w:lang w:val="fr-FR"/>
        </w:rPr>
      </w:pPr>
      <w:r w:rsidRPr="004E13E9">
        <w:rPr>
          <w:rFonts w:cs="Calibri"/>
          <w:iCs/>
          <w:lang w:val="fr-FR"/>
        </w:rPr>
        <w:t>En 2026, le Maroc n’a pas l’intention de pratiquer l’aquaculture des alevins du thon rouge.</w:t>
      </w:r>
    </w:p>
    <w:p w14:paraId="0FEC98E1" w14:textId="77777777" w:rsidR="00FE04DA" w:rsidRPr="004E13E9" w:rsidRDefault="00FE04DA" w:rsidP="00BA30FD">
      <w:pPr>
        <w:jc w:val="both"/>
        <w:rPr>
          <w:lang w:val="fr-FR"/>
        </w:rPr>
      </w:pPr>
    </w:p>
    <w:p w14:paraId="02B1B354" w14:textId="77777777" w:rsidR="00FE04DA" w:rsidRPr="004E13E9" w:rsidRDefault="00FE04DA" w:rsidP="00BA30FD">
      <w:pPr>
        <w:jc w:val="both"/>
        <w:rPr>
          <w:lang w:val="fr-FR"/>
        </w:rPr>
      </w:pPr>
    </w:p>
    <w:p w14:paraId="76394AD8" w14:textId="77777777" w:rsidR="00FE04DA" w:rsidRPr="004E13E9" w:rsidRDefault="00FE04DA" w:rsidP="00BA30FD">
      <w:pPr>
        <w:ind w:left="426" w:hanging="426"/>
        <w:jc w:val="both"/>
        <w:rPr>
          <w:b/>
          <w:lang w:val="fr-FR"/>
        </w:rPr>
      </w:pPr>
      <w:r w:rsidRPr="004E13E9">
        <w:rPr>
          <w:b/>
          <w:lang w:val="fr-FR"/>
        </w:rPr>
        <w:t xml:space="preserve">5. </w:t>
      </w:r>
      <w:r w:rsidRPr="004E13E9">
        <w:rPr>
          <w:b/>
          <w:lang w:val="fr-FR"/>
        </w:rPr>
        <w:tab/>
        <w:t>Plan de suivi, contrôle et inspection</w:t>
      </w:r>
    </w:p>
    <w:p w14:paraId="0EF93C8E" w14:textId="77777777" w:rsidR="00FE04DA" w:rsidRPr="004E13E9" w:rsidRDefault="00FE04DA" w:rsidP="00BA30FD">
      <w:pPr>
        <w:jc w:val="both"/>
        <w:rPr>
          <w:b/>
          <w:lang w:val="fr-FR"/>
        </w:rPr>
      </w:pPr>
    </w:p>
    <w:p w14:paraId="0A94D65A" w14:textId="77777777" w:rsidR="00FE04DA" w:rsidRPr="004E13E9" w:rsidRDefault="00FE04DA" w:rsidP="00BA30FD">
      <w:pPr>
        <w:jc w:val="both"/>
        <w:rPr>
          <w:lang w:val="fr-FR"/>
        </w:rPr>
      </w:pPr>
      <w:r w:rsidRPr="004E13E9">
        <w:rPr>
          <w:b/>
          <w:i/>
          <w:iCs/>
          <w:lang w:val="fr-FR"/>
        </w:rPr>
        <w:t>5a) Suivi, contrôle et inspection de la CPC (paragraphe 10 c)</w:t>
      </w:r>
    </w:p>
    <w:p w14:paraId="0AEFE81B" w14:textId="77777777" w:rsidR="00FE04DA" w:rsidRPr="004E13E9" w:rsidRDefault="00FE04DA" w:rsidP="00BA30FD">
      <w:pPr>
        <w:jc w:val="both"/>
        <w:rPr>
          <w:lang w:val="fr-F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8"/>
        <w:gridCol w:w="5327"/>
      </w:tblGrid>
      <w:tr w:rsidR="00FE04DA" w:rsidRPr="006A2397" w14:paraId="39998847" w14:textId="77777777" w:rsidTr="00E62E84">
        <w:tc>
          <w:tcPr>
            <w:tcW w:w="9079" w:type="dxa"/>
            <w:gridSpan w:val="2"/>
            <w:tcBorders>
              <w:top w:val="single" w:sz="4" w:space="0" w:color="auto"/>
              <w:left w:val="single" w:sz="4" w:space="0" w:color="auto"/>
              <w:bottom w:val="single" w:sz="4" w:space="0" w:color="auto"/>
              <w:right w:val="single" w:sz="4" w:space="0" w:color="auto"/>
            </w:tcBorders>
            <w:hideMark/>
          </w:tcPr>
          <w:p w14:paraId="30A80A22" w14:textId="77777777" w:rsidR="00FE04DA" w:rsidRPr="004E13E9" w:rsidRDefault="00FE04DA" w:rsidP="00BA30FD">
            <w:pPr>
              <w:jc w:val="both"/>
              <w:rPr>
                <w:lang w:val="fr-FR"/>
              </w:rPr>
            </w:pPr>
            <w:r w:rsidRPr="004E13E9">
              <w:rPr>
                <w:b/>
                <w:bCs/>
                <w:lang w:val="fr-FR"/>
              </w:rPr>
              <w:t>Autorité de contrôle compétente du Royaume du Maroc, relevant du Secrétariat d’Etat chargé de la pêche maritime, responsable de la mise en œuvre du présent plan de suivi, de contrôle et d’inspection</w:t>
            </w:r>
          </w:p>
        </w:tc>
      </w:tr>
      <w:tr w:rsidR="00FE04DA" w:rsidRPr="006A2397" w14:paraId="79A54FBA" w14:textId="77777777" w:rsidTr="00E62E84">
        <w:tc>
          <w:tcPr>
            <w:tcW w:w="9079" w:type="dxa"/>
            <w:gridSpan w:val="2"/>
            <w:tcBorders>
              <w:top w:val="single" w:sz="4" w:space="0" w:color="auto"/>
              <w:left w:val="single" w:sz="4" w:space="0" w:color="auto"/>
              <w:bottom w:val="single" w:sz="4" w:space="0" w:color="auto"/>
              <w:right w:val="single" w:sz="4" w:space="0" w:color="auto"/>
            </w:tcBorders>
            <w:hideMark/>
          </w:tcPr>
          <w:p w14:paraId="520DE209" w14:textId="77777777" w:rsidR="00FE04DA" w:rsidRPr="004E13E9" w:rsidRDefault="00FE04DA" w:rsidP="00BA30FD">
            <w:pPr>
              <w:autoSpaceDE w:val="0"/>
              <w:jc w:val="both"/>
              <w:rPr>
                <w:rFonts w:cs="Calibri"/>
                <w:lang w:val="fr-FR" w:eastAsia="ar-SA"/>
              </w:rPr>
            </w:pPr>
            <w:r w:rsidRPr="004E13E9">
              <w:rPr>
                <w:rFonts w:cs="Calibri"/>
                <w:lang w:val="fr-FR" w:eastAsia="ar-SA"/>
              </w:rPr>
              <w:t>Direction du Contrôle des Activités de la Pêche Maritime</w:t>
            </w:r>
          </w:p>
        </w:tc>
      </w:tr>
      <w:tr w:rsidR="00FE04DA" w:rsidRPr="006A2397" w14:paraId="0A103E1C" w14:textId="77777777" w:rsidTr="00E62E84">
        <w:tc>
          <w:tcPr>
            <w:tcW w:w="9079" w:type="dxa"/>
            <w:gridSpan w:val="2"/>
            <w:tcBorders>
              <w:top w:val="single" w:sz="4" w:space="0" w:color="auto"/>
              <w:left w:val="single" w:sz="4" w:space="0" w:color="auto"/>
              <w:bottom w:val="single" w:sz="4" w:space="0" w:color="auto"/>
              <w:right w:val="single" w:sz="4" w:space="0" w:color="auto"/>
            </w:tcBorders>
            <w:hideMark/>
          </w:tcPr>
          <w:p w14:paraId="55F09851" w14:textId="77777777" w:rsidR="00FE04DA" w:rsidRPr="004E13E9" w:rsidRDefault="00FE04DA" w:rsidP="00BA30FD">
            <w:pPr>
              <w:jc w:val="both"/>
              <w:rPr>
                <w:b/>
                <w:bCs/>
                <w:lang w:val="fr-FR"/>
              </w:rPr>
            </w:pPr>
            <w:r w:rsidRPr="004E13E9">
              <w:rPr>
                <w:b/>
                <w:bCs/>
                <w:lang w:val="fr-FR"/>
              </w:rPr>
              <w:t>Liste des points de contact</w:t>
            </w:r>
          </w:p>
        </w:tc>
      </w:tr>
      <w:tr w:rsidR="00FE04DA" w:rsidRPr="004E13E9" w14:paraId="4E545DDB" w14:textId="77777777" w:rsidTr="00E62E84">
        <w:tc>
          <w:tcPr>
            <w:tcW w:w="3745" w:type="dxa"/>
            <w:tcBorders>
              <w:top w:val="single" w:sz="4" w:space="0" w:color="auto"/>
              <w:left w:val="single" w:sz="4" w:space="0" w:color="auto"/>
              <w:bottom w:val="single" w:sz="4" w:space="0" w:color="auto"/>
              <w:right w:val="single" w:sz="4" w:space="0" w:color="auto"/>
            </w:tcBorders>
            <w:hideMark/>
          </w:tcPr>
          <w:p w14:paraId="2C2B741E" w14:textId="77777777" w:rsidR="00FE04DA" w:rsidRPr="004E13E9" w:rsidRDefault="00FE04DA" w:rsidP="00BA30FD">
            <w:pPr>
              <w:jc w:val="both"/>
            </w:pPr>
            <w:r w:rsidRPr="004E13E9">
              <w:t xml:space="preserve">Nom et </w:t>
            </w:r>
            <w:proofErr w:type="spellStart"/>
            <w:r w:rsidRPr="004E13E9">
              <w:t>prénom</w:t>
            </w:r>
            <w:proofErr w:type="spellEnd"/>
          </w:p>
        </w:tc>
        <w:tc>
          <w:tcPr>
            <w:tcW w:w="5334" w:type="dxa"/>
            <w:tcBorders>
              <w:top w:val="single" w:sz="4" w:space="0" w:color="auto"/>
              <w:left w:val="single" w:sz="4" w:space="0" w:color="auto"/>
              <w:bottom w:val="single" w:sz="4" w:space="0" w:color="auto"/>
              <w:right w:val="single" w:sz="4" w:space="0" w:color="auto"/>
            </w:tcBorders>
            <w:hideMark/>
          </w:tcPr>
          <w:p w14:paraId="1A12625E" w14:textId="77777777" w:rsidR="00FE04DA" w:rsidRPr="004E13E9" w:rsidRDefault="00FE04DA" w:rsidP="00BA30FD">
            <w:pPr>
              <w:jc w:val="both"/>
            </w:pPr>
            <w:proofErr w:type="spellStart"/>
            <w:r w:rsidRPr="004E13E9">
              <w:t>Adresse</w:t>
            </w:r>
            <w:proofErr w:type="spellEnd"/>
            <w:r w:rsidRPr="004E13E9">
              <w:t xml:space="preserve"> </w:t>
            </w:r>
            <w:proofErr w:type="spellStart"/>
            <w:r w:rsidRPr="004E13E9">
              <w:t>électronique</w:t>
            </w:r>
            <w:proofErr w:type="spellEnd"/>
          </w:p>
        </w:tc>
      </w:tr>
      <w:tr w:rsidR="00FE04DA" w:rsidRPr="004E13E9" w14:paraId="6A940E1C" w14:textId="77777777" w:rsidTr="00E62E84">
        <w:tc>
          <w:tcPr>
            <w:tcW w:w="3745" w:type="dxa"/>
            <w:tcBorders>
              <w:top w:val="single" w:sz="4" w:space="0" w:color="auto"/>
              <w:left w:val="single" w:sz="4" w:space="0" w:color="auto"/>
              <w:bottom w:val="single" w:sz="4" w:space="0" w:color="auto"/>
              <w:right w:val="single" w:sz="4" w:space="0" w:color="auto"/>
            </w:tcBorders>
            <w:hideMark/>
          </w:tcPr>
          <w:p w14:paraId="15A16CC2" w14:textId="77777777" w:rsidR="00FE04DA" w:rsidRPr="004E13E9" w:rsidRDefault="00FE04DA" w:rsidP="00BA30FD">
            <w:pPr>
              <w:autoSpaceDE w:val="0"/>
              <w:jc w:val="both"/>
              <w:rPr>
                <w:rFonts w:cs="Calibri"/>
                <w:lang w:eastAsia="ar-SA"/>
              </w:rPr>
            </w:pPr>
            <w:r w:rsidRPr="004E13E9">
              <w:rPr>
                <w:rFonts w:cs="Calibri"/>
                <w:lang w:eastAsia="ar-SA"/>
              </w:rPr>
              <w:t>Abdellatif HMIDANE</w:t>
            </w:r>
          </w:p>
        </w:tc>
        <w:tc>
          <w:tcPr>
            <w:tcW w:w="5334" w:type="dxa"/>
            <w:tcBorders>
              <w:top w:val="single" w:sz="4" w:space="0" w:color="auto"/>
              <w:left w:val="single" w:sz="4" w:space="0" w:color="auto"/>
              <w:bottom w:val="single" w:sz="4" w:space="0" w:color="auto"/>
              <w:right w:val="single" w:sz="4" w:space="0" w:color="auto"/>
            </w:tcBorders>
            <w:hideMark/>
          </w:tcPr>
          <w:p w14:paraId="6CD60BEA" w14:textId="77777777" w:rsidR="00FE04DA" w:rsidRPr="004E13E9" w:rsidRDefault="00FE04DA" w:rsidP="00BA30FD">
            <w:pPr>
              <w:autoSpaceDE w:val="0"/>
              <w:jc w:val="both"/>
              <w:rPr>
                <w:rFonts w:cs="Calibri"/>
                <w:lang w:eastAsia="ar-SA"/>
              </w:rPr>
            </w:pPr>
            <w:r w:rsidRPr="004E13E9">
              <w:rPr>
                <w:rFonts w:cs="Calibri"/>
                <w:lang w:eastAsia="ar-SA"/>
              </w:rPr>
              <w:t>hmidane@mpm.gov.ma</w:t>
            </w:r>
          </w:p>
        </w:tc>
      </w:tr>
      <w:tr w:rsidR="00FE04DA" w:rsidRPr="004E13E9" w14:paraId="0E2B60DF" w14:textId="77777777" w:rsidTr="00E62E84">
        <w:tc>
          <w:tcPr>
            <w:tcW w:w="3745" w:type="dxa"/>
            <w:tcBorders>
              <w:top w:val="single" w:sz="4" w:space="0" w:color="auto"/>
              <w:left w:val="single" w:sz="4" w:space="0" w:color="auto"/>
              <w:bottom w:val="single" w:sz="4" w:space="0" w:color="auto"/>
              <w:right w:val="single" w:sz="4" w:space="0" w:color="auto"/>
            </w:tcBorders>
            <w:hideMark/>
          </w:tcPr>
          <w:p w14:paraId="4CEE3CFC" w14:textId="77777777" w:rsidR="00FE04DA" w:rsidRPr="004E13E9" w:rsidRDefault="00FE04DA" w:rsidP="00BA30FD">
            <w:pPr>
              <w:autoSpaceDE w:val="0"/>
              <w:jc w:val="both"/>
              <w:rPr>
                <w:rFonts w:cs="Calibri"/>
                <w:lang w:eastAsia="ar-SA"/>
              </w:rPr>
            </w:pPr>
            <w:r w:rsidRPr="004E13E9">
              <w:rPr>
                <w:rFonts w:cs="Calibri"/>
                <w:lang w:eastAsia="ar-SA"/>
              </w:rPr>
              <w:t>BOUAAMRI MOUNIR</w:t>
            </w:r>
          </w:p>
        </w:tc>
        <w:tc>
          <w:tcPr>
            <w:tcW w:w="5334" w:type="dxa"/>
            <w:tcBorders>
              <w:top w:val="single" w:sz="4" w:space="0" w:color="auto"/>
              <w:left w:val="single" w:sz="4" w:space="0" w:color="auto"/>
              <w:bottom w:val="single" w:sz="4" w:space="0" w:color="auto"/>
              <w:right w:val="single" w:sz="4" w:space="0" w:color="auto"/>
            </w:tcBorders>
            <w:hideMark/>
          </w:tcPr>
          <w:p w14:paraId="6AA67034" w14:textId="77777777" w:rsidR="00FE04DA" w:rsidRPr="004E13E9" w:rsidRDefault="00FE04DA" w:rsidP="00BA30FD">
            <w:pPr>
              <w:autoSpaceDE w:val="0"/>
              <w:jc w:val="both"/>
              <w:rPr>
                <w:rFonts w:cs="Calibri"/>
                <w:lang w:eastAsia="ar-SA"/>
              </w:rPr>
            </w:pPr>
            <w:hyperlink r:id="rId150" w:history="1">
              <w:r w:rsidRPr="004E13E9">
                <w:rPr>
                  <w:rStyle w:val="Hyperlink"/>
                  <w:rFonts w:cs="Calibri"/>
                  <w:color w:val="000000"/>
                  <w:u w:val="none"/>
                  <w:lang w:eastAsia="ar-SA"/>
                </w:rPr>
                <w:t>bouaamri@mpm.gov.ma</w:t>
              </w:r>
            </w:hyperlink>
          </w:p>
        </w:tc>
      </w:tr>
      <w:tr w:rsidR="00FE04DA" w:rsidRPr="004E13E9" w14:paraId="27A3BC1A" w14:textId="77777777" w:rsidTr="00E62E84">
        <w:tc>
          <w:tcPr>
            <w:tcW w:w="3745" w:type="dxa"/>
            <w:tcBorders>
              <w:top w:val="single" w:sz="4" w:space="0" w:color="auto"/>
              <w:left w:val="single" w:sz="4" w:space="0" w:color="auto"/>
              <w:bottom w:val="single" w:sz="4" w:space="0" w:color="auto"/>
              <w:right w:val="single" w:sz="4" w:space="0" w:color="auto"/>
            </w:tcBorders>
            <w:hideMark/>
          </w:tcPr>
          <w:p w14:paraId="313006A8" w14:textId="77777777" w:rsidR="00FE04DA" w:rsidRPr="004E13E9" w:rsidRDefault="00FE04DA" w:rsidP="00BA30FD">
            <w:pPr>
              <w:autoSpaceDE w:val="0"/>
              <w:jc w:val="both"/>
              <w:rPr>
                <w:rFonts w:cs="Calibri"/>
                <w:lang w:eastAsia="ar-SA"/>
              </w:rPr>
            </w:pPr>
            <w:r w:rsidRPr="004E13E9">
              <w:rPr>
                <w:rFonts w:cs="Calibri"/>
                <w:lang w:eastAsia="ar-SA"/>
              </w:rPr>
              <w:t>KECHA YOUSSEF</w:t>
            </w:r>
          </w:p>
        </w:tc>
        <w:tc>
          <w:tcPr>
            <w:tcW w:w="5334" w:type="dxa"/>
            <w:tcBorders>
              <w:top w:val="single" w:sz="4" w:space="0" w:color="auto"/>
              <w:left w:val="single" w:sz="4" w:space="0" w:color="auto"/>
              <w:bottom w:val="single" w:sz="4" w:space="0" w:color="auto"/>
              <w:right w:val="single" w:sz="4" w:space="0" w:color="auto"/>
            </w:tcBorders>
            <w:hideMark/>
          </w:tcPr>
          <w:p w14:paraId="1A7C24FD" w14:textId="77777777" w:rsidR="00FE04DA" w:rsidRPr="004E13E9" w:rsidRDefault="00FE04DA" w:rsidP="00BA30FD">
            <w:pPr>
              <w:autoSpaceDE w:val="0"/>
              <w:jc w:val="both"/>
              <w:rPr>
                <w:rFonts w:cs="Calibri"/>
                <w:lang w:eastAsia="ar-SA"/>
              </w:rPr>
            </w:pPr>
            <w:r w:rsidRPr="004E13E9">
              <w:rPr>
                <w:rFonts w:cs="Calibri"/>
                <w:lang w:eastAsia="ar-SA"/>
              </w:rPr>
              <w:t xml:space="preserve">youssef.kecha@mpm.gov.ma </w:t>
            </w:r>
          </w:p>
        </w:tc>
      </w:tr>
    </w:tbl>
    <w:p w14:paraId="4F740224" w14:textId="77777777" w:rsidR="00FE04DA" w:rsidRPr="004E13E9" w:rsidRDefault="00FE04DA" w:rsidP="00BA30FD">
      <w:pPr>
        <w:jc w:val="both"/>
        <w:rPr>
          <w:b/>
        </w:rPr>
      </w:pPr>
    </w:p>
    <w:p w14:paraId="308310F8" w14:textId="77777777" w:rsidR="00FE04DA" w:rsidRPr="004E13E9" w:rsidRDefault="00FE04DA" w:rsidP="00BA30FD">
      <w:pPr>
        <w:autoSpaceDE w:val="0"/>
        <w:jc w:val="both"/>
        <w:rPr>
          <w:rFonts w:cs="Calibri"/>
          <w:lang w:val="fr-FR" w:eastAsia="ar-SA"/>
        </w:rPr>
      </w:pPr>
      <w:r w:rsidRPr="004E13E9">
        <w:rPr>
          <w:rFonts w:cs="Calibri"/>
          <w:lang w:val="fr-FR" w:eastAsia="ar-SA"/>
        </w:rPr>
        <w:t>Les modalités de suivi, contrôle et observations de pêche interviendront conformément à la réglementation nationale et aux recommandations ICCAT en vigueur matérialisées par la méthodologie de contrôle et de surveillance des activités de la pêche et d’engraissement du thon rouge de 2026.</w:t>
      </w:r>
    </w:p>
    <w:p w14:paraId="2F2ED788" w14:textId="77777777" w:rsidR="00FE04DA" w:rsidRPr="004E13E9" w:rsidRDefault="00FE04DA" w:rsidP="00BA30FD">
      <w:pPr>
        <w:autoSpaceDE w:val="0"/>
        <w:jc w:val="both"/>
        <w:rPr>
          <w:rFonts w:cs="Calibri"/>
          <w:lang w:val="fr-FR" w:eastAsia="ar-SA"/>
        </w:rPr>
      </w:pPr>
    </w:p>
    <w:p w14:paraId="330F434A" w14:textId="77777777" w:rsidR="00FE04DA" w:rsidRPr="004E13E9" w:rsidRDefault="00FE04DA" w:rsidP="00BA30FD">
      <w:pPr>
        <w:jc w:val="both"/>
        <w:rPr>
          <w:rFonts w:cs="Calibri"/>
          <w:lang w:val="fr-FR" w:eastAsia="ar-SA"/>
        </w:rPr>
      </w:pPr>
      <w:r w:rsidRPr="004E13E9">
        <w:rPr>
          <w:rFonts w:cs="Calibri"/>
          <w:lang w:val="fr-FR" w:eastAsia="ar-SA"/>
        </w:rPr>
        <w:t xml:space="preserve">Cette méthodologie entre dans le cadre de la mise en application du plan national de contrôle des activités de la pêche maritime. Elle inclut des mesures pour se conformer aux dispositions ICCAT en matière de contrôle et inspection, notamment celles de la Recommandation </w:t>
      </w:r>
      <w:r w:rsidRPr="004E13E9">
        <w:rPr>
          <w:rFonts w:cs="Calibri"/>
          <w:iCs/>
          <w:lang w:val="fr-FR"/>
        </w:rPr>
        <w:t>25-04</w:t>
      </w:r>
      <w:r w:rsidRPr="004E13E9">
        <w:rPr>
          <w:rFonts w:cs="Calibri"/>
          <w:lang w:val="fr-FR" w:eastAsia="ar-SA"/>
        </w:rPr>
        <w:t>. Ainsi, cette méthodologie comporte les mesures relatives aux actions suivantes :</w:t>
      </w:r>
    </w:p>
    <w:p w14:paraId="6B954147" w14:textId="77777777" w:rsidR="00FE04DA" w:rsidRPr="004E13E9" w:rsidRDefault="00FE04DA" w:rsidP="00BA30FD">
      <w:pPr>
        <w:jc w:val="both"/>
        <w:rPr>
          <w:rFonts w:cs="Calibri"/>
          <w:lang w:val="fr-FR" w:eastAsia="ar-SA"/>
        </w:rPr>
      </w:pPr>
    </w:p>
    <w:p w14:paraId="57F62100" w14:textId="1FAF3BD3" w:rsidR="00FE04DA" w:rsidRPr="004E13E9" w:rsidRDefault="00FE04DA" w:rsidP="00BA30FD">
      <w:pPr>
        <w:jc w:val="both"/>
        <w:rPr>
          <w:i/>
          <w:iCs/>
        </w:rPr>
      </w:pPr>
      <w:r w:rsidRPr="004E13E9">
        <w:rPr>
          <w:i/>
          <w:iCs/>
        </w:rPr>
        <w:t xml:space="preserve">Notification </w:t>
      </w:r>
      <w:proofErr w:type="spellStart"/>
      <w:r w:rsidRPr="004E13E9">
        <w:rPr>
          <w:i/>
          <w:iCs/>
        </w:rPr>
        <w:t>préalable</w:t>
      </w:r>
      <w:proofErr w:type="spellEnd"/>
      <w:r w:rsidRPr="004E13E9">
        <w:rPr>
          <w:i/>
          <w:iCs/>
        </w:rPr>
        <w:t xml:space="preserve"> des </w:t>
      </w:r>
      <w:proofErr w:type="spellStart"/>
      <w:r w:rsidRPr="004E13E9">
        <w:rPr>
          <w:i/>
          <w:iCs/>
        </w:rPr>
        <w:t>débarquements</w:t>
      </w:r>
      <w:proofErr w:type="spellEnd"/>
      <w:r w:rsidR="009D3BE5" w:rsidRPr="004E13E9">
        <w:rPr>
          <w:i/>
          <w:iCs/>
        </w:rPr>
        <w:t>:</w:t>
      </w:r>
    </w:p>
    <w:p w14:paraId="185CDF89" w14:textId="77777777" w:rsidR="00FE04DA" w:rsidRPr="004E13E9" w:rsidRDefault="00FE04DA" w:rsidP="00BA30FD">
      <w:pPr>
        <w:jc w:val="both"/>
        <w:rPr>
          <w:rFonts w:cs="Calibri"/>
          <w:lang w:eastAsia="ar-SA"/>
        </w:rPr>
      </w:pPr>
    </w:p>
    <w:p w14:paraId="3DF838C7" w14:textId="77777777" w:rsidR="00FE04DA" w:rsidRPr="004E13E9" w:rsidRDefault="00FE04DA" w:rsidP="00487A5C">
      <w:pPr>
        <w:pStyle w:val="ListParagraph"/>
        <w:widowControl w:val="0"/>
        <w:numPr>
          <w:ilvl w:val="0"/>
          <w:numId w:val="31"/>
        </w:numPr>
        <w:spacing w:after="0" w:line="240" w:lineRule="auto"/>
        <w:ind w:left="357" w:hanging="357"/>
        <w:jc w:val="both"/>
        <w:rPr>
          <w:rFonts w:ascii="Cambria" w:hAnsi="Cambria" w:cs="Calibri"/>
          <w:iCs/>
          <w:sz w:val="20"/>
          <w:szCs w:val="20"/>
        </w:rPr>
      </w:pPr>
      <w:r w:rsidRPr="004E13E9">
        <w:rPr>
          <w:rFonts w:ascii="Cambria" w:hAnsi="Cambria" w:cs="Calibri"/>
          <w:iCs/>
          <w:sz w:val="20"/>
          <w:szCs w:val="20"/>
        </w:rPr>
        <w:t>Tenue de registres pour le suivi des notifications préalables de l’entrée au port soumises par tous les navires de capture, de transformation et auxiliaires ayant à bord des prises équivalentes ou supérieures à trois poissons ou une tonne.</w:t>
      </w:r>
    </w:p>
    <w:p w14:paraId="76A6F1FF" w14:textId="77777777" w:rsidR="00FE04DA" w:rsidRPr="004E13E9" w:rsidRDefault="00FE04DA" w:rsidP="00BA30FD">
      <w:pPr>
        <w:jc w:val="both"/>
        <w:rPr>
          <w:b/>
          <w:bCs/>
          <w:lang w:val="fr-FR"/>
        </w:rPr>
      </w:pPr>
    </w:p>
    <w:p w14:paraId="7D9EBD51" w14:textId="77777777" w:rsidR="00FE04DA" w:rsidRPr="004E13E9" w:rsidRDefault="00FE04DA" w:rsidP="00BA30FD">
      <w:pPr>
        <w:jc w:val="both"/>
        <w:rPr>
          <w:i/>
          <w:iCs/>
          <w:lang w:val="fr-FR"/>
        </w:rPr>
      </w:pPr>
      <w:r w:rsidRPr="004E13E9">
        <w:rPr>
          <w:i/>
          <w:iCs/>
          <w:lang w:val="fr-FR"/>
        </w:rPr>
        <w:t>Suivi et contrôle des Débarquements :</w:t>
      </w:r>
    </w:p>
    <w:p w14:paraId="4DD1CC07" w14:textId="77777777" w:rsidR="00FE04DA" w:rsidRPr="004E13E9" w:rsidRDefault="00FE04DA" w:rsidP="00BA30FD">
      <w:pPr>
        <w:jc w:val="both"/>
        <w:rPr>
          <w:b/>
          <w:bCs/>
          <w:lang w:val="fr-FR"/>
        </w:rPr>
      </w:pPr>
    </w:p>
    <w:p w14:paraId="048D0F46" w14:textId="77777777" w:rsidR="00FE04DA" w:rsidRPr="004E13E9" w:rsidRDefault="00FE04DA" w:rsidP="00487A5C">
      <w:pPr>
        <w:pStyle w:val="ListParagraph"/>
        <w:widowControl w:val="0"/>
        <w:numPr>
          <w:ilvl w:val="0"/>
          <w:numId w:val="31"/>
        </w:numPr>
        <w:spacing w:after="0" w:line="240" w:lineRule="auto"/>
        <w:ind w:left="357" w:hanging="357"/>
        <w:jc w:val="both"/>
        <w:rPr>
          <w:rFonts w:ascii="Cambria" w:hAnsi="Cambria" w:cs="Calibri"/>
          <w:iCs/>
          <w:sz w:val="20"/>
          <w:szCs w:val="20"/>
        </w:rPr>
      </w:pPr>
      <w:r w:rsidRPr="004E13E9">
        <w:rPr>
          <w:rFonts w:ascii="Cambria" w:hAnsi="Cambria" w:cs="Calibri"/>
          <w:iCs/>
          <w:sz w:val="20"/>
          <w:szCs w:val="20"/>
        </w:rPr>
        <w:t>Le suivi et le contrôle systématique des débarquements de la flottille côtière et artisanale avec obligation de pesée effective avant la première vente et respect du système de documentation des captures mis en place au niveau national. Ce système de documentation national permet le contrôle par recoupement systématique direct entre la déclaration des captures au débarquement et les données de la première vente et permet un outil supplémentaire de vérification pour la validation des actes du processus eBCD.</w:t>
      </w:r>
    </w:p>
    <w:p w14:paraId="49AA6E93" w14:textId="77777777" w:rsidR="00FE722A" w:rsidRPr="004E13E9" w:rsidRDefault="00FE722A">
      <w:pPr>
        <w:rPr>
          <w:i/>
          <w:iCs/>
          <w:lang w:val="fr-FR"/>
        </w:rPr>
      </w:pPr>
      <w:r w:rsidRPr="004E13E9">
        <w:rPr>
          <w:i/>
          <w:iCs/>
          <w:lang w:val="fr-FR"/>
        </w:rPr>
        <w:br w:type="page"/>
      </w:r>
    </w:p>
    <w:p w14:paraId="4BBAEB03" w14:textId="1E053AB8" w:rsidR="00FE04DA" w:rsidRPr="004E13E9" w:rsidRDefault="00FE04DA" w:rsidP="00BA30FD">
      <w:pPr>
        <w:jc w:val="both"/>
        <w:rPr>
          <w:i/>
          <w:iCs/>
          <w:lang w:val="fr-FR"/>
        </w:rPr>
      </w:pPr>
      <w:r w:rsidRPr="004E13E9">
        <w:rPr>
          <w:i/>
          <w:iCs/>
          <w:lang w:val="fr-FR"/>
        </w:rPr>
        <w:t>Suivi et contrôle des opérations de mise à mort dans les madragues et les fermes d’engraissement :</w:t>
      </w:r>
    </w:p>
    <w:p w14:paraId="5CD6BA63" w14:textId="77777777" w:rsidR="00FE04DA" w:rsidRPr="004E13E9" w:rsidRDefault="00FE04DA" w:rsidP="00BA30FD">
      <w:pPr>
        <w:jc w:val="both"/>
        <w:rPr>
          <w:b/>
          <w:bCs/>
          <w:lang w:val="fr-FR"/>
        </w:rPr>
      </w:pPr>
    </w:p>
    <w:p w14:paraId="34B9622D" w14:textId="77777777" w:rsidR="00FE04DA" w:rsidRPr="004E13E9" w:rsidRDefault="00FE04DA" w:rsidP="00487A5C">
      <w:pPr>
        <w:pStyle w:val="ListParagraph"/>
        <w:widowControl w:val="0"/>
        <w:numPr>
          <w:ilvl w:val="0"/>
          <w:numId w:val="31"/>
        </w:numPr>
        <w:spacing w:after="0" w:line="240" w:lineRule="auto"/>
        <w:ind w:left="357" w:hanging="357"/>
        <w:jc w:val="both"/>
        <w:rPr>
          <w:rFonts w:ascii="Cambria" w:hAnsi="Cambria" w:cs="Calibri"/>
          <w:iCs/>
          <w:sz w:val="20"/>
          <w:szCs w:val="20"/>
        </w:rPr>
      </w:pPr>
      <w:r w:rsidRPr="004E13E9">
        <w:rPr>
          <w:rFonts w:ascii="Cambria" w:hAnsi="Cambria" w:cs="Calibri"/>
          <w:iCs/>
          <w:sz w:val="20"/>
          <w:szCs w:val="20"/>
        </w:rPr>
        <w:t>Le suivi et le contrôle des opérations de mise à mort au niveau des madragues et des fermes d’engraissement notamment à l’aide de la présence des agents de contrôle habilités, d’observateurs régionaux et/ou d’observateurs nationaux conformément aux dispositions de la Recommandation 25-04.</w:t>
      </w:r>
    </w:p>
    <w:p w14:paraId="46F815A4" w14:textId="77777777" w:rsidR="00FE04DA" w:rsidRPr="004E13E9" w:rsidRDefault="00FE04DA" w:rsidP="00BA30FD">
      <w:pPr>
        <w:jc w:val="both"/>
        <w:rPr>
          <w:i/>
          <w:iCs/>
          <w:lang w:val="fr-FR"/>
        </w:rPr>
      </w:pPr>
    </w:p>
    <w:p w14:paraId="3662FE62" w14:textId="77777777" w:rsidR="00FE04DA" w:rsidRPr="004E13E9" w:rsidRDefault="00FE04DA" w:rsidP="00BA30FD">
      <w:pPr>
        <w:jc w:val="both"/>
        <w:rPr>
          <w:i/>
          <w:iCs/>
          <w:lang w:val="fr-FR"/>
        </w:rPr>
      </w:pPr>
      <w:r w:rsidRPr="004E13E9">
        <w:rPr>
          <w:i/>
          <w:iCs/>
          <w:lang w:val="fr-FR"/>
        </w:rPr>
        <w:t>Suivi et contrôle des opérations de transfert du thon rouge vivant :</w:t>
      </w:r>
    </w:p>
    <w:p w14:paraId="0EC5CC39" w14:textId="77777777" w:rsidR="00FE04DA" w:rsidRPr="004E13E9" w:rsidRDefault="00FE04DA" w:rsidP="00BA30FD">
      <w:pPr>
        <w:jc w:val="both"/>
        <w:rPr>
          <w:b/>
          <w:bCs/>
          <w:lang w:val="fr-FR"/>
        </w:rPr>
      </w:pPr>
    </w:p>
    <w:p w14:paraId="55385948" w14:textId="77777777" w:rsidR="00FE04DA" w:rsidRPr="004E13E9" w:rsidRDefault="00FE04DA" w:rsidP="00487A5C">
      <w:pPr>
        <w:pStyle w:val="ListParagraph"/>
        <w:widowControl w:val="0"/>
        <w:numPr>
          <w:ilvl w:val="0"/>
          <w:numId w:val="31"/>
        </w:numPr>
        <w:spacing w:after="0" w:line="240" w:lineRule="auto"/>
        <w:ind w:left="357" w:hanging="357"/>
        <w:jc w:val="both"/>
        <w:rPr>
          <w:rFonts w:ascii="Cambria" w:hAnsi="Cambria" w:cs="Calibri"/>
          <w:iCs/>
          <w:sz w:val="20"/>
          <w:szCs w:val="20"/>
        </w:rPr>
      </w:pPr>
      <w:r w:rsidRPr="004E13E9">
        <w:rPr>
          <w:rFonts w:ascii="Cambria" w:hAnsi="Cambria" w:cs="Calibri"/>
          <w:iCs/>
          <w:sz w:val="20"/>
          <w:szCs w:val="20"/>
        </w:rPr>
        <w:t>Le suivi et le contrôle des opérations de transfert du thon rouge sont appuyés notamment par la présence des agents de contrôle habilités, d’observateurs régionaux et/ou d’observateurs nationaux et l’enregistrement vidéo en utilisant des caméras conventionnelles, conformément aux conditions énumérées dans la Recommandation 25-04.</w:t>
      </w:r>
    </w:p>
    <w:p w14:paraId="6DC6104C" w14:textId="77777777" w:rsidR="00FE04DA" w:rsidRPr="004E13E9" w:rsidRDefault="00FE04DA" w:rsidP="00BA30FD">
      <w:pPr>
        <w:jc w:val="both"/>
        <w:rPr>
          <w:i/>
          <w:iCs/>
          <w:lang w:val="fr-FR"/>
        </w:rPr>
      </w:pPr>
    </w:p>
    <w:p w14:paraId="626C1816" w14:textId="77777777" w:rsidR="00FE04DA" w:rsidRPr="004E13E9" w:rsidRDefault="00FE04DA" w:rsidP="00BA30FD">
      <w:pPr>
        <w:jc w:val="both"/>
        <w:rPr>
          <w:i/>
          <w:iCs/>
        </w:rPr>
      </w:pPr>
      <w:proofErr w:type="gramStart"/>
      <w:r w:rsidRPr="004E13E9">
        <w:rPr>
          <w:i/>
          <w:iCs/>
        </w:rPr>
        <w:t>VMS :</w:t>
      </w:r>
      <w:proofErr w:type="gramEnd"/>
    </w:p>
    <w:p w14:paraId="67E4F428" w14:textId="77777777" w:rsidR="00FE04DA" w:rsidRPr="004E13E9" w:rsidRDefault="00FE04DA" w:rsidP="00BA30FD">
      <w:pPr>
        <w:jc w:val="both"/>
        <w:rPr>
          <w:b/>
          <w:bCs/>
        </w:rPr>
      </w:pPr>
    </w:p>
    <w:p w14:paraId="55779F83" w14:textId="77777777" w:rsidR="00FE04DA" w:rsidRPr="004E13E9" w:rsidRDefault="00FE04DA" w:rsidP="00487A5C">
      <w:pPr>
        <w:pStyle w:val="ListParagraph"/>
        <w:widowControl w:val="0"/>
        <w:numPr>
          <w:ilvl w:val="0"/>
          <w:numId w:val="31"/>
        </w:numPr>
        <w:spacing w:after="0" w:line="240" w:lineRule="auto"/>
        <w:ind w:left="357" w:hanging="357"/>
        <w:jc w:val="both"/>
        <w:rPr>
          <w:rFonts w:ascii="Cambria" w:hAnsi="Cambria" w:cs="Calibri"/>
          <w:iCs/>
          <w:sz w:val="20"/>
          <w:szCs w:val="20"/>
        </w:rPr>
      </w:pPr>
      <w:r w:rsidRPr="004E13E9">
        <w:rPr>
          <w:rFonts w:ascii="Cambria" w:hAnsi="Cambria" w:cs="Calibri"/>
          <w:iCs/>
          <w:sz w:val="20"/>
          <w:szCs w:val="20"/>
        </w:rPr>
        <w:t>La surveillance par VMS des navires de pêche assujettis effectuée par le FMC du Secrétariat d’Etat chargé de la pêche Maritime avec une disponibilité en ligne en temps réel des données de position pour l’administration régionale des pêches maritimes (les Délégations des Pêches Maritimes).</w:t>
      </w:r>
    </w:p>
    <w:p w14:paraId="692F3D87" w14:textId="77777777" w:rsidR="00FE04DA" w:rsidRPr="004E13E9" w:rsidRDefault="00FE04DA" w:rsidP="00BA30FD">
      <w:pPr>
        <w:pStyle w:val="ListParagraph"/>
        <w:ind w:left="357"/>
        <w:jc w:val="both"/>
        <w:rPr>
          <w:rFonts w:ascii="Cambria" w:hAnsi="Cambria" w:cs="Calibri"/>
          <w:iCs/>
          <w:sz w:val="20"/>
          <w:szCs w:val="20"/>
        </w:rPr>
      </w:pPr>
    </w:p>
    <w:p w14:paraId="5458552F" w14:textId="77777777" w:rsidR="00FE04DA" w:rsidRPr="004E13E9" w:rsidRDefault="00FE04DA" w:rsidP="00BA30FD">
      <w:pPr>
        <w:jc w:val="both"/>
        <w:rPr>
          <w:i/>
          <w:iCs/>
          <w:lang w:val="fr-FR"/>
        </w:rPr>
      </w:pPr>
      <w:r w:rsidRPr="004E13E9">
        <w:rPr>
          <w:i/>
          <w:iCs/>
          <w:lang w:val="fr-FR"/>
        </w:rPr>
        <w:t>Documentation des captures de thon rouge :</w:t>
      </w:r>
    </w:p>
    <w:p w14:paraId="5BC8D08D" w14:textId="77777777" w:rsidR="00FE04DA" w:rsidRPr="004E13E9" w:rsidRDefault="00FE04DA" w:rsidP="00BA30FD">
      <w:pPr>
        <w:jc w:val="both"/>
        <w:rPr>
          <w:b/>
          <w:bCs/>
          <w:lang w:val="fr-FR"/>
        </w:rPr>
      </w:pPr>
    </w:p>
    <w:p w14:paraId="41F5A151" w14:textId="77777777" w:rsidR="00FE04DA" w:rsidRPr="004E13E9" w:rsidRDefault="00FE04DA" w:rsidP="00487A5C">
      <w:pPr>
        <w:pStyle w:val="ListParagraph"/>
        <w:widowControl w:val="0"/>
        <w:numPr>
          <w:ilvl w:val="0"/>
          <w:numId w:val="31"/>
        </w:numPr>
        <w:spacing w:after="0" w:line="240" w:lineRule="auto"/>
        <w:ind w:left="357" w:hanging="357"/>
        <w:jc w:val="both"/>
        <w:rPr>
          <w:rFonts w:ascii="Cambria" w:hAnsi="Cambria" w:cs="Calibri"/>
          <w:iCs/>
          <w:sz w:val="20"/>
          <w:szCs w:val="20"/>
        </w:rPr>
      </w:pPr>
      <w:r w:rsidRPr="004E13E9">
        <w:rPr>
          <w:rFonts w:ascii="Cambria" w:hAnsi="Cambria" w:cs="Calibri"/>
          <w:iCs/>
          <w:sz w:val="20"/>
          <w:szCs w:val="20"/>
        </w:rPr>
        <w:t>L’instauration d’un processus de communication et d’enregistrement des informations de capture, de transfert, de mise en cage et de mise à mort, notamment via la mise en application du programme de documentation des captures eBCD.</w:t>
      </w:r>
    </w:p>
    <w:p w14:paraId="073A7014" w14:textId="77777777" w:rsidR="00FE04DA" w:rsidRPr="004E13E9" w:rsidRDefault="00FE04DA" w:rsidP="00BA30FD">
      <w:pPr>
        <w:jc w:val="both"/>
        <w:rPr>
          <w:b/>
          <w:bCs/>
          <w:lang w:val="fr-FR"/>
        </w:rPr>
      </w:pPr>
    </w:p>
    <w:p w14:paraId="67EA65F6" w14:textId="77777777" w:rsidR="00FE04DA" w:rsidRPr="004E13E9" w:rsidRDefault="00FE04DA" w:rsidP="00BA30FD">
      <w:pPr>
        <w:jc w:val="both"/>
        <w:rPr>
          <w:i/>
          <w:iCs/>
        </w:rPr>
      </w:pPr>
      <w:r w:rsidRPr="004E13E9">
        <w:rPr>
          <w:i/>
          <w:iCs/>
        </w:rPr>
        <w:t xml:space="preserve">Inspection au </w:t>
      </w:r>
      <w:proofErr w:type="gramStart"/>
      <w:r w:rsidRPr="004E13E9">
        <w:rPr>
          <w:i/>
          <w:iCs/>
        </w:rPr>
        <w:t>port :</w:t>
      </w:r>
      <w:proofErr w:type="gramEnd"/>
    </w:p>
    <w:p w14:paraId="26567F23" w14:textId="77777777" w:rsidR="00FE04DA" w:rsidRPr="004E13E9" w:rsidRDefault="00FE04DA" w:rsidP="00BA30FD">
      <w:pPr>
        <w:jc w:val="both"/>
        <w:rPr>
          <w:b/>
          <w:bCs/>
        </w:rPr>
      </w:pPr>
    </w:p>
    <w:p w14:paraId="5F58235A" w14:textId="77777777" w:rsidR="00FE04DA" w:rsidRPr="004E13E9" w:rsidRDefault="00FE04DA" w:rsidP="00487A5C">
      <w:pPr>
        <w:pStyle w:val="ListParagraph"/>
        <w:widowControl w:val="0"/>
        <w:numPr>
          <w:ilvl w:val="0"/>
          <w:numId w:val="31"/>
        </w:numPr>
        <w:spacing w:after="0" w:line="240" w:lineRule="auto"/>
        <w:ind w:left="357" w:hanging="357"/>
        <w:jc w:val="both"/>
        <w:rPr>
          <w:rFonts w:ascii="Cambria" w:hAnsi="Cambria" w:cs="Calibri"/>
          <w:iCs/>
          <w:sz w:val="20"/>
          <w:szCs w:val="20"/>
        </w:rPr>
      </w:pPr>
      <w:r w:rsidRPr="004E13E9">
        <w:rPr>
          <w:rFonts w:ascii="Cambria" w:hAnsi="Cambria" w:cs="Calibri"/>
          <w:iCs/>
          <w:sz w:val="20"/>
          <w:szCs w:val="20"/>
        </w:rPr>
        <w:t>L’application des dispositions relatives aux mesures d’inspection au port des navires étrangers, et le respect des engagements internationaux du Royaume du Maroc auprès de la Commission Internationale pour la Conservation des Thonidés de l'Atlantique.</w:t>
      </w:r>
    </w:p>
    <w:p w14:paraId="53511207" w14:textId="77777777" w:rsidR="00FE04DA" w:rsidRPr="004E13E9" w:rsidRDefault="00FE04DA" w:rsidP="00BA30FD">
      <w:pPr>
        <w:pStyle w:val="ListParagraph"/>
        <w:ind w:left="357"/>
        <w:jc w:val="both"/>
        <w:rPr>
          <w:rFonts w:ascii="Cambria" w:hAnsi="Cambria" w:cs="Calibri"/>
          <w:iCs/>
          <w:sz w:val="20"/>
          <w:szCs w:val="20"/>
        </w:rPr>
      </w:pPr>
    </w:p>
    <w:p w14:paraId="682D8AAE" w14:textId="77777777" w:rsidR="00FE04DA" w:rsidRPr="004E13E9" w:rsidRDefault="00FE04DA" w:rsidP="00BA30FD">
      <w:pPr>
        <w:jc w:val="both"/>
        <w:rPr>
          <w:i/>
          <w:iCs/>
        </w:rPr>
      </w:pPr>
      <w:r w:rsidRPr="004E13E9">
        <w:rPr>
          <w:i/>
          <w:iCs/>
        </w:rPr>
        <w:t xml:space="preserve">Surveillance </w:t>
      </w:r>
      <w:proofErr w:type="spellStart"/>
      <w:r w:rsidRPr="004E13E9">
        <w:rPr>
          <w:i/>
          <w:iCs/>
        </w:rPr>
        <w:t>en</w:t>
      </w:r>
      <w:proofErr w:type="spellEnd"/>
      <w:r w:rsidRPr="004E13E9">
        <w:rPr>
          <w:i/>
          <w:iCs/>
        </w:rPr>
        <w:t xml:space="preserve"> </w:t>
      </w:r>
      <w:proofErr w:type="spellStart"/>
      <w:proofErr w:type="gramStart"/>
      <w:r w:rsidRPr="004E13E9">
        <w:rPr>
          <w:i/>
          <w:iCs/>
        </w:rPr>
        <w:t>mer</w:t>
      </w:r>
      <w:proofErr w:type="spellEnd"/>
      <w:r w:rsidRPr="004E13E9">
        <w:rPr>
          <w:i/>
          <w:iCs/>
        </w:rPr>
        <w:t xml:space="preserve"> :</w:t>
      </w:r>
      <w:proofErr w:type="gramEnd"/>
    </w:p>
    <w:p w14:paraId="362E23E2" w14:textId="77777777" w:rsidR="00FE04DA" w:rsidRPr="004E13E9" w:rsidRDefault="00FE04DA" w:rsidP="00BA30FD">
      <w:pPr>
        <w:tabs>
          <w:tab w:val="left" w:pos="0"/>
        </w:tabs>
        <w:autoSpaceDE w:val="0"/>
        <w:jc w:val="both"/>
        <w:rPr>
          <w:rFonts w:cs="Calibri"/>
          <w:lang w:eastAsia="ar-SA"/>
        </w:rPr>
      </w:pPr>
    </w:p>
    <w:p w14:paraId="23235372" w14:textId="77777777" w:rsidR="00FE04DA" w:rsidRPr="004E13E9" w:rsidRDefault="00FE04DA" w:rsidP="00487A5C">
      <w:pPr>
        <w:pStyle w:val="ListParagraph"/>
        <w:widowControl w:val="0"/>
        <w:numPr>
          <w:ilvl w:val="0"/>
          <w:numId w:val="31"/>
        </w:numPr>
        <w:spacing w:after="0" w:line="240" w:lineRule="auto"/>
        <w:ind w:left="357" w:hanging="357"/>
        <w:jc w:val="both"/>
        <w:rPr>
          <w:rFonts w:ascii="Cambria" w:hAnsi="Cambria" w:cs="Calibri"/>
          <w:iCs/>
          <w:sz w:val="20"/>
          <w:szCs w:val="20"/>
        </w:rPr>
      </w:pPr>
      <w:r w:rsidRPr="004E13E9">
        <w:rPr>
          <w:rFonts w:ascii="Cambria" w:hAnsi="Cambria" w:cs="Calibri"/>
          <w:iCs/>
          <w:sz w:val="20"/>
          <w:szCs w:val="20"/>
        </w:rPr>
        <w:t>La surveillance en mer est aussi assurée par les autres autorités habilitées dans le cadre des attributions conférées par la règlementation nationale.</w:t>
      </w:r>
    </w:p>
    <w:p w14:paraId="1D44F4B0" w14:textId="77777777" w:rsidR="00FE04DA" w:rsidRPr="004E13E9" w:rsidRDefault="00FE04DA" w:rsidP="00BA30FD">
      <w:pPr>
        <w:jc w:val="both"/>
        <w:rPr>
          <w:b/>
          <w:lang w:val="fr-FR"/>
        </w:rPr>
      </w:pPr>
    </w:p>
    <w:p w14:paraId="796BC738" w14:textId="77777777" w:rsidR="00FE04DA" w:rsidRPr="004E13E9" w:rsidRDefault="00FE04DA" w:rsidP="00BA30FD">
      <w:pPr>
        <w:jc w:val="both"/>
        <w:rPr>
          <w:bCs/>
          <w:i/>
          <w:iCs/>
          <w:lang w:val="fr-FR"/>
        </w:rPr>
      </w:pPr>
      <w:r w:rsidRPr="004E13E9">
        <w:rPr>
          <w:bCs/>
          <w:i/>
          <w:iCs/>
          <w:lang w:val="fr-FR"/>
        </w:rPr>
        <w:t>Mesures relatives au scellement des cages :</w:t>
      </w:r>
    </w:p>
    <w:p w14:paraId="36C6B3E5" w14:textId="77777777" w:rsidR="00FE04DA" w:rsidRPr="004E13E9" w:rsidRDefault="00FE04DA" w:rsidP="00BA30FD">
      <w:pPr>
        <w:jc w:val="both"/>
        <w:rPr>
          <w:b/>
          <w:lang w:val="fr-FR"/>
        </w:rPr>
      </w:pPr>
    </w:p>
    <w:p w14:paraId="7FF0181A" w14:textId="77777777" w:rsidR="00FE04DA" w:rsidRPr="004E13E9" w:rsidRDefault="00FE04DA" w:rsidP="00487A5C">
      <w:pPr>
        <w:pStyle w:val="ListParagraph"/>
        <w:widowControl w:val="0"/>
        <w:numPr>
          <w:ilvl w:val="0"/>
          <w:numId w:val="31"/>
        </w:numPr>
        <w:spacing w:after="0" w:line="240" w:lineRule="auto"/>
        <w:ind w:left="357" w:hanging="357"/>
        <w:jc w:val="both"/>
        <w:rPr>
          <w:rFonts w:ascii="Cambria" w:hAnsi="Cambria" w:cs="Calibri"/>
          <w:iCs/>
          <w:sz w:val="20"/>
          <w:szCs w:val="20"/>
        </w:rPr>
      </w:pPr>
      <w:r w:rsidRPr="004E13E9">
        <w:rPr>
          <w:rFonts w:ascii="Cambria" w:hAnsi="Cambria" w:cs="Calibri"/>
          <w:iCs/>
          <w:sz w:val="20"/>
          <w:szCs w:val="20"/>
        </w:rPr>
        <w:t>Le Royaume du Maroc appliquera les mesures relatives au scellement des cages de thon rouge conformément aux dispositions de la Recommandation 25-04.</w:t>
      </w:r>
    </w:p>
    <w:p w14:paraId="38D99B53" w14:textId="77777777" w:rsidR="00FE04DA" w:rsidRPr="004E13E9" w:rsidRDefault="00FE04DA" w:rsidP="00BA30FD">
      <w:pPr>
        <w:jc w:val="both"/>
        <w:rPr>
          <w:lang w:val="fr-FR"/>
        </w:rPr>
      </w:pPr>
    </w:p>
    <w:p w14:paraId="0F289EFD" w14:textId="77777777" w:rsidR="00FE04DA" w:rsidRPr="004E13E9" w:rsidRDefault="00FE04DA" w:rsidP="00BA30FD">
      <w:pPr>
        <w:ind w:left="426" w:hanging="426"/>
        <w:jc w:val="both"/>
        <w:rPr>
          <w:b/>
          <w:i/>
          <w:iCs/>
          <w:lang w:val="fr-FR"/>
        </w:rPr>
      </w:pPr>
      <w:r w:rsidRPr="004E13E9">
        <w:rPr>
          <w:b/>
          <w:i/>
          <w:iCs/>
          <w:lang w:val="fr-FR"/>
        </w:rPr>
        <w:t>5b) Programme d’inspection internationale conjointe (JIS) (paragraphes 232-235)</w:t>
      </w:r>
    </w:p>
    <w:p w14:paraId="24680F9A" w14:textId="77777777" w:rsidR="00FE04DA" w:rsidRPr="004E13E9" w:rsidRDefault="00FE04DA" w:rsidP="00BA30FD">
      <w:pPr>
        <w:jc w:val="both"/>
        <w:rPr>
          <w:b/>
          <w:i/>
          <w:iCs/>
          <w:lang w:val="fr-FR"/>
        </w:rPr>
      </w:pPr>
    </w:p>
    <w:p w14:paraId="472B498E" w14:textId="77777777" w:rsidR="00FE04DA" w:rsidRPr="004E13E9" w:rsidRDefault="00FE04DA" w:rsidP="00BA30FD">
      <w:pPr>
        <w:tabs>
          <w:tab w:val="left" w:pos="0"/>
        </w:tabs>
        <w:autoSpaceDE w:val="0"/>
        <w:jc w:val="both"/>
        <w:rPr>
          <w:rFonts w:cs="Calibri"/>
          <w:iCs/>
          <w:lang w:val="fr-FR"/>
        </w:rPr>
      </w:pPr>
      <w:r w:rsidRPr="004E13E9">
        <w:rPr>
          <w:rFonts w:cs="Calibri"/>
          <w:iCs/>
          <w:lang w:val="fr-FR"/>
        </w:rPr>
        <w:t>Le Royaume du Maroc compte huit navires qui pourraient exercer en dehors de la ZEE nationale, il ne détachera pas de navire d'inspection.</w:t>
      </w:r>
    </w:p>
    <w:p w14:paraId="62B1B8C8" w14:textId="77777777" w:rsidR="00FE04DA" w:rsidRPr="004E13E9" w:rsidRDefault="00FE04DA" w:rsidP="00BA30FD">
      <w:pPr>
        <w:tabs>
          <w:tab w:val="left" w:pos="0"/>
        </w:tabs>
        <w:autoSpaceDE w:val="0"/>
        <w:jc w:val="both"/>
        <w:rPr>
          <w:rFonts w:cs="Calibri"/>
          <w:iCs/>
          <w:lang w:val="fr-FR"/>
        </w:rPr>
      </w:pPr>
    </w:p>
    <w:p w14:paraId="570AB595" w14:textId="77777777" w:rsidR="00FE04DA" w:rsidRPr="004E13E9" w:rsidRDefault="00FE04DA" w:rsidP="00BA30FD">
      <w:pPr>
        <w:jc w:val="both"/>
        <w:rPr>
          <w:rFonts w:cs="Calibri"/>
          <w:iCs/>
          <w:lang w:val="fr-FR"/>
        </w:rPr>
      </w:pPr>
      <w:r w:rsidRPr="004E13E9">
        <w:rPr>
          <w:rFonts w:cs="Calibri"/>
          <w:iCs/>
          <w:lang w:val="fr-FR"/>
        </w:rPr>
        <w:t>Il est à signaler que ces huit navires embarqueront des observateurs régionaux de l’ICCAT, conformément aux dispositions des recommandations de l'ICCAT.</w:t>
      </w:r>
    </w:p>
    <w:p w14:paraId="50E508AB" w14:textId="77777777" w:rsidR="00FE04DA" w:rsidRPr="004E13E9" w:rsidRDefault="00FE04DA" w:rsidP="00BA30FD">
      <w:pPr>
        <w:jc w:val="both"/>
        <w:rPr>
          <w:i/>
          <w:lang w:val="fr-FR"/>
        </w:rPr>
      </w:pPr>
    </w:p>
    <w:p w14:paraId="7D8A6567" w14:textId="77777777" w:rsidR="00FE04DA" w:rsidRPr="004E13E9" w:rsidRDefault="00FE04DA" w:rsidP="00BA30FD">
      <w:pPr>
        <w:jc w:val="both"/>
        <w:rPr>
          <w:i/>
          <w:lang w:val="fr-FR"/>
        </w:rPr>
      </w:pPr>
    </w:p>
    <w:p w14:paraId="41612617" w14:textId="77777777" w:rsidR="00FE04DA" w:rsidRPr="004E13E9" w:rsidRDefault="00FE04DA" w:rsidP="00BA30FD">
      <w:pPr>
        <w:ind w:left="426" w:hanging="426"/>
        <w:jc w:val="both"/>
        <w:rPr>
          <w:b/>
          <w:lang w:val="fr-FR"/>
        </w:rPr>
      </w:pPr>
      <w:r w:rsidRPr="004E13E9">
        <w:rPr>
          <w:b/>
          <w:lang w:val="fr-FR"/>
        </w:rPr>
        <w:t>6.</w:t>
      </w:r>
      <w:r w:rsidRPr="004E13E9">
        <w:rPr>
          <w:b/>
          <w:lang w:val="fr-FR"/>
        </w:rPr>
        <w:tab/>
        <w:t>Autres</w:t>
      </w:r>
    </w:p>
    <w:p w14:paraId="46FF1BFE" w14:textId="77777777" w:rsidR="00FE04DA" w:rsidRPr="004E13E9" w:rsidRDefault="00FE04DA" w:rsidP="00BA30FD">
      <w:pPr>
        <w:jc w:val="both"/>
        <w:rPr>
          <w:b/>
          <w:lang w:val="fr-FR"/>
        </w:rPr>
      </w:pPr>
    </w:p>
    <w:p w14:paraId="4A354AEF" w14:textId="21EB157F" w:rsidR="002654AB" w:rsidRPr="004E13E9" w:rsidRDefault="00FE04DA" w:rsidP="002654AB">
      <w:pPr>
        <w:pStyle w:val="Default"/>
        <w:jc w:val="both"/>
        <w:rPr>
          <w:rFonts w:eastAsia="MS Gothic" w:cs="Calibri"/>
          <w:iCs/>
          <w:lang w:eastAsia="fr-FR" w:bidi="fr-FR"/>
        </w:rPr>
      </w:pPr>
      <w:r w:rsidRPr="004E13E9">
        <w:rPr>
          <w:rFonts w:eastAsia="MS Gothic" w:cs="Calibri"/>
          <w:iCs/>
          <w:color w:val="auto"/>
          <w:sz w:val="20"/>
          <w:szCs w:val="20"/>
          <w:lang w:eastAsia="fr-FR" w:bidi="fr-FR"/>
        </w:rPr>
        <w:t>En matière de recherche scientifique et conformément au paragraphe 26 de la Recommandation 25-04 de l’ICCAT, le Royaume du Maroc compte mettre à jour durant l’année 2026, son étude sur les taux de croissance du thon rouge engraissé, basée sur les mesures de la caméra stéréoscopique et l’échantillonnage de taille tant à la mise en cage que durant la période d’abattage à la fin de la saison d’engraissement. Les résultats de cette étude seront présentés à la réunion du Groupe d’espèce de thon rouge de 2026.</w:t>
      </w:r>
      <w:r w:rsidR="002654AB" w:rsidRPr="004E13E9">
        <w:rPr>
          <w:rFonts w:eastAsia="MS Gothic" w:cs="Calibri"/>
          <w:iCs/>
          <w:color w:val="auto"/>
          <w:sz w:val="20"/>
          <w:szCs w:val="20"/>
          <w:lang w:eastAsia="fr-FR" w:bidi="fr-FR"/>
        </w:rPr>
        <w:br w:type="page"/>
      </w:r>
    </w:p>
    <w:p w14:paraId="43FD5371" w14:textId="52D4D67D" w:rsidR="00FE04DA" w:rsidRPr="004E13E9" w:rsidRDefault="00FE04DA" w:rsidP="00BA30FD">
      <w:pPr>
        <w:pStyle w:val="Default"/>
        <w:jc w:val="both"/>
        <w:rPr>
          <w:rFonts w:eastAsia="MS Gothic" w:cs="Calibri"/>
          <w:iCs/>
          <w:color w:val="auto"/>
          <w:sz w:val="20"/>
          <w:szCs w:val="20"/>
          <w:lang w:eastAsia="fr-FR" w:bidi="fr-FR"/>
        </w:rPr>
      </w:pPr>
      <w:r w:rsidRPr="004E13E9">
        <w:rPr>
          <w:rFonts w:eastAsia="MS Gothic" w:cs="Calibri"/>
          <w:iCs/>
          <w:color w:val="auto"/>
          <w:sz w:val="20"/>
          <w:szCs w:val="20"/>
          <w:lang w:eastAsia="fr-FR" w:bidi="fr-FR"/>
        </w:rPr>
        <w:t xml:space="preserve">Par ailleurs, conformément au paragraphe 167 de la même Recommandation, le Maroc est disposé à mettre à jour si nécessaire, durant 2026, l’étude pilote menée en 2024. Cette étude visant à estimer la longueur des spécimens de thon rouge à l'aide de l’Intelligence Artificielle (IA) en collaboration avec une société japonaise spécialisée, nécessitera un appui financier du projet JCAP/ICCAT. </w:t>
      </w:r>
    </w:p>
    <w:p w14:paraId="6877005F" w14:textId="77777777" w:rsidR="00FE04DA" w:rsidRPr="004E13E9" w:rsidRDefault="00FE04DA" w:rsidP="00BA30FD">
      <w:pPr>
        <w:pStyle w:val="Default"/>
        <w:jc w:val="both"/>
        <w:rPr>
          <w:rFonts w:eastAsia="MS Gothic" w:cs="Calibri"/>
          <w:iCs/>
          <w:color w:val="auto"/>
          <w:sz w:val="20"/>
          <w:szCs w:val="20"/>
          <w:lang w:eastAsia="fr-FR" w:bidi="fr-FR"/>
        </w:rPr>
      </w:pPr>
    </w:p>
    <w:p w14:paraId="3856330D" w14:textId="77777777" w:rsidR="00FE04DA" w:rsidRPr="004E13E9" w:rsidRDefault="00FE04DA" w:rsidP="00BA30FD">
      <w:pPr>
        <w:jc w:val="both"/>
        <w:rPr>
          <w:rFonts w:cs="Calibri"/>
          <w:iCs/>
          <w:lang w:val="fr-FR"/>
        </w:rPr>
        <w:sectPr w:rsidR="00FE04DA" w:rsidRPr="004E13E9" w:rsidSect="007325B7">
          <w:headerReference w:type="default" r:id="rId151"/>
          <w:pgSz w:w="11906" w:h="16838"/>
          <w:pgMar w:top="1418" w:right="1418" w:bottom="1418" w:left="1418" w:header="850" w:footer="1134" w:gutter="0"/>
          <w:cols w:space="720"/>
          <w:docGrid w:linePitch="360"/>
        </w:sectPr>
      </w:pPr>
      <w:r w:rsidRPr="004E13E9">
        <w:rPr>
          <w:rFonts w:cs="Calibri"/>
          <w:iCs/>
          <w:lang w:val="fr-FR"/>
        </w:rPr>
        <w:t>Ce projet sera coordonné conjointement par l’Institut National de Recherche Halieutique et le projet JCAP.</w:t>
      </w:r>
    </w:p>
    <w:p w14:paraId="5DF13AD5" w14:textId="77777777" w:rsidR="00FE04DA" w:rsidRPr="004E13E9" w:rsidRDefault="00FE04DA" w:rsidP="00FE04DA">
      <w:pPr>
        <w:pageBreakBefore/>
        <w:rPr>
          <w:b/>
          <w:bCs/>
          <w:sz w:val="16"/>
          <w:szCs w:val="16"/>
        </w:rPr>
      </w:pPr>
      <w:r w:rsidRPr="004E13E9">
        <w:rPr>
          <w:b/>
          <w:bCs/>
        </w:rPr>
        <w:t xml:space="preserve">Tableau de la </w:t>
      </w:r>
      <w:proofErr w:type="spellStart"/>
      <w:r w:rsidRPr="004E13E9">
        <w:rPr>
          <w:b/>
          <w:bCs/>
        </w:rPr>
        <w:t>capacité</w:t>
      </w:r>
      <w:proofErr w:type="spellEnd"/>
    </w:p>
    <w:p w14:paraId="0A6AF7AA" w14:textId="77777777" w:rsidR="00FE04DA" w:rsidRPr="004E13E9" w:rsidRDefault="00FE04DA" w:rsidP="00FE04DA">
      <w:pPr>
        <w:rPr>
          <w:b/>
          <w:bCs/>
          <w:sz w:val="16"/>
          <w:szCs w:val="16"/>
        </w:rPr>
      </w:pPr>
    </w:p>
    <w:tbl>
      <w:tblPr>
        <w:tblW w:w="15310" w:type="dxa"/>
        <w:tblInd w:w="-318" w:type="dxa"/>
        <w:tblLayout w:type="fixed"/>
        <w:tblLook w:val="0000" w:firstRow="0" w:lastRow="0" w:firstColumn="0" w:lastColumn="0" w:noHBand="0" w:noVBand="0"/>
      </w:tblPr>
      <w:tblGrid>
        <w:gridCol w:w="2553"/>
        <w:gridCol w:w="1559"/>
        <w:gridCol w:w="709"/>
        <w:gridCol w:w="708"/>
        <w:gridCol w:w="709"/>
        <w:gridCol w:w="709"/>
        <w:gridCol w:w="709"/>
        <w:gridCol w:w="708"/>
        <w:gridCol w:w="709"/>
        <w:gridCol w:w="236"/>
        <w:gridCol w:w="756"/>
        <w:gridCol w:w="709"/>
        <w:gridCol w:w="851"/>
        <w:gridCol w:w="850"/>
        <w:gridCol w:w="851"/>
        <w:gridCol w:w="992"/>
        <w:gridCol w:w="992"/>
      </w:tblGrid>
      <w:tr w:rsidR="00FE04DA" w:rsidRPr="004E13E9" w14:paraId="7071CCD7"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44ABF904" w14:textId="77777777" w:rsidR="00FE04DA" w:rsidRPr="004E13E9" w:rsidRDefault="00FE04DA" w:rsidP="00E62E84">
            <w:pPr>
              <w:jc w:val="center"/>
            </w:pPr>
            <w:r w:rsidRPr="004E13E9">
              <w:rPr>
                <w:rFonts w:eastAsia="Malgun Gothic"/>
                <w:i/>
                <w:kern w:val="2"/>
                <w:sz w:val="18"/>
                <w:szCs w:val="18"/>
                <w:lang w:eastAsia="ko-KR"/>
              </w:rPr>
              <w:t xml:space="preserve">Type de </w:t>
            </w:r>
            <w:proofErr w:type="spellStart"/>
            <w:r w:rsidRPr="004E13E9">
              <w:rPr>
                <w:rFonts w:eastAsia="Malgun Gothic"/>
                <w:i/>
                <w:kern w:val="2"/>
                <w:sz w:val="18"/>
                <w:szCs w:val="18"/>
                <w:lang w:eastAsia="ko-KR"/>
              </w:rPr>
              <w:t>navires</w:t>
            </w:r>
            <w:proofErr w:type="spellEnd"/>
            <w:r w:rsidRPr="004E13E9">
              <w:rPr>
                <w:rFonts w:eastAsia="Malgun Gothic"/>
                <w:i/>
                <w:kern w:val="2"/>
                <w:sz w:val="18"/>
                <w:szCs w:val="18"/>
                <w:lang w:eastAsia="ko-KR"/>
              </w:rPr>
              <w:t xml:space="preserve"> </w:t>
            </w:r>
            <w:proofErr w:type="spellStart"/>
            <w:r w:rsidRPr="004E13E9">
              <w:rPr>
                <w:rFonts w:eastAsia="Malgun Gothic"/>
                <w:i/>
                <w:kern w:val="2"/>
                <w:sz w:val="18"/>
                <w:szCs w:val="18"/>
                <w:lang w:eastAsia="ko-KR"/>
              </w:rPr>
              <w:t>thoniers</w:t>
            </w:r>
            <w:proofErr w:type="spellEnd"/>
          </w:p>
        </w:tc>
        <w:tc>
          <w:tcPr>
            <w:tcW w:w="1559" w:type="dxa"/>
            <w:vMerge w:val="restart"/>
            <w:tcBorders>
              <w:top w:val="single" w:sz="4" w:space="0" w:color="000000"/>
              <w:left w:val="single" w:sz="4" w:space="0" w:color="000000"/>
              <w:right w:val="single" w:sz="4" w:space="0" w:color="000000"/>
            </w:tcBorders>
            <w:vAlign w:val="center"/>
          </w:tcPr>
          <w:p w14:paraId="147CFA81" w14:textId="77777777" w:rsidR="00FE04DA" w:rsidRPr="004E13E9" w:rsidRDefault="00FE04DA" w:rsidP="00E62E84">
            <w:pPr>
              <w:jc w:val="center"/>
              <w:rPr>
                <w:rFonts w:eastAsia="Times New Roman" w:cs="Calibri"/>
                <w:kern w:val="2"/>
                <w:sz w:val="18"/>
                <w:szCs w:val="18"/>
                <w:lang w:val="fr-FR" w:eastAsia="ja-JP"/>
              </w:rPr>
            </w:pPr>
            <w:r w:rsidRPr="004E13E9">
              <w:rPr>
                <w:rFonts w:eastAsia="Malgun Gothic"/>
                <w:kern w:val="2"/>
                <w:sz w:val="18"/>
                <w:szCs w:val="18"/>
                <w:lang w:val="fr-FR" w:eastAsia="ko-KR"/>
              </w:rPr>
              <w:t>Meilleurs taux de capture définis par le SCRS en 2009 (t)</w:t>
            </w:r>
          </w:p>
        </w:tc>
        <w:tc>
          <w:tcPr>
            <w:tcW w:w="2126" w:type="dxa"/>
            <w:gridSpan w:val="3"/>
            <w:tcBorders>
              <w:top w:val="single" w:sz="4" w:space="0" w:color="000000"/>
              <w:left w:val="single" w:sz="4" w:space="0" w:color="000000"/>
              <w:bottom w:val="single" w:sz="4" w:space="0" w:color="000000"/>
              <w:right w:val="single" w:sz="4" w:space="0" w:color="000000"/>
            </w:tcBorders>
          </w:tcPr>
          <w:p w14:paraId="19A2D77F" w14:textId="77777777" w:rsidR="00FE04DA" w:rsidRPr="004E13E9" w:rsidRDefault="00FE04DA" w:rsidP="00E62E84">
            <w:pPr>
              <w:jc w:val="center"/>
            </w:pPr>
            <w:r w:rsidRPr="004E13E9">
              <w:rPr>
                <w:rFonts w:eastAsia="Malgun Gothic"/>
                <w:i/>
                <w:kern w:val="2"/>
                <w:sz w:val="18"/>
                <w:szCs w:val="18"/>
                <w:lang w:eastAsia="ko-KR"/>
              </w:rPr>
              <w:t xml:space="preserve">Année de </w:t>
            </w:r>
            <w:proofErr w:type="spellStart"/>
            <w:r w:rsidRPr="004E13E9">
              <w:rPr>
                <w:rFonts w:eastAsia="Malgun Gothic"/>
                <w:i/>
                <w:kern w:val="2"/>
                <w:sz w:val="18"/>
                <w:szCs w:val="18"/>
                <w:lang w:eastAsia="ko-KR"/>
              </w:rPr>
              <w:t>réf</w:t>
            </w:r>
            <w:proofErr w:type="spellEnd"/>
            <w:r w:rsidRPr="004E13E9">
              <w:rPr>
                <w:rFonts w:eastAsia="Malgun Gothic"/>
                <w:i/>
                <w:kern w:val="2"/>
                <w:sz w:val="18"/>
                <w:szCs w:val="18"/>
                <w:lang w:eastAsia="ko-KR"/>
              </w:rPr>
              <w:t>.</w:t>
            </w:r>
          </w:p>
        </w:tc>
        <w:tc>
          <w:tcPr>
            <w:tcW w:w="2835" w:type="dxa"/>
            <w:gridSpan w:val="4"/>
            <w:tcBorders>
              <w:top w:val="single" w:sz="4" w:space="0" w:color="000000"/>
              <w:left w:val="single" w:sz="4" w:space="0" w:color="000000"/>
              <w:bottom w:val="single" w:sz="4" w:space="0" w:color="000000"/>
              <w:right w:val="single" w:sz="4" w:space="0" w:color="000000"/>
            </w:tcBorders>
            <w:vAlign w:val="center"/>
          </w:tcPr>
          <w:p w14:paraId="1731D232" w14:textId="77777777" w:rsidR="00FE04DA" w:rsidRPr="004E13E9" w:rsidRDefault="00FE04DA" w:rsidP="00E62E84">
            <w:pPr>
              <w:jc w:val="center"/>
            </w:pPr>
            <w:r w:rsidRPr="004E13E9">
              <w:rPr>
                <w:rFonts w:eastAsia="Malgun Gothic"/>
                <w:i/>
                <w:kern w:val="2"/>
                <w:sz w:val="18"/>
                <w:szCs w:val="18"/>
                <w:lang w:eastAsia="ko-KR"/>
              </w:rPr>
              <w:t xml:space="preserve">Nombre de </w:t>
            </w:r>
            <w:proofErr w:type="spellStart"/>
            <w:r w:rsidRPr="004E13E9">
              <w:rPr>
                <w:rFonts w:eastAsia="Malgun Gothic"/>
                <w:i/>
                <w:kern w:val="2"/>
                <w:sz w:val="18"/>
                <w:szCs w:val="18"/>
                <w:lang w:eastAsia="ko-KR"/>
              </w:rPr>
              <w:t>navires</w:t>
            </w:r>
            <w:proofErr w:type="spellEnd"/>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597E56" w14:textId="77777777" w:rsidR="00FE04DA" w:rsidRPr="004E13E9" w:rsidRDefault="00FE04DA" w:rsidP="00E62E84">
            <w:pPr>
              <w:jc w:val="center"/>
              <w:rPr>
                <w:rFonts w:eastAsia="Times New Roman"/>
                <w:kern w:val="2"/>
                <w:sz w:val="18"/>
                <w:szCs w:val="18"/>
                <w:lang w:eastAsia="ja-JP"/>
              </w:rPr>
            </w:pPr>
          </w:p>
        </w:tc>
        <w:tc>
          <w:tcPr>
            <w:tcW w:w="2316" w:type="dxa"/>
            <w:gridSpan w:val="3"/>
            <w:tcBorders>
              <w:top w:val="single" w:sz="4" w:space="0" w:color="000000"/>
              <w:left w:val="single" w:sz="4" w:space="0" w:color="000000"/>
              <w:bottom w:val="single" w:sz="4" w:space="0" w:color="000000"/>
              <w:right w:val="single" w:sz="4" w:space="0" w:color="000000"/>
            </w:tcBorders>
          </w:tcPr>
          <w:p w14:paraId="1D508F99" w14:textId="77777777" w:rsidR="00FE04DA" w:rsidRPr="004E13E9" w:rsidRDefault="00FE04DA" w:rsidP="00E62E84">
            <w:pPr>
              <w:jc w:val="center"/>
            </w:pPr>
            <w:r w:rsidRPr="004E13E9">
              <w:rPr>
                <w:rFonts w:eastAsia="Malgun Gothic"/>
                <w:i/>
                <w:kern w:val="2"/>
                <w:sz w:val="18"/>
                <w:szCs w:val="18"/>
                <w:lang w:eastAsia="ko-KR"/>
              </w:rPr>
              <w:t xml:space="preserve">Année de </w:t>
            </w:r>
            <w:proofErr w:type="spellStart"/>
            <w:r w:rsidRPr="004E13E9">
              <w:rPr>
                <w:rFonts w:eastAsia="Malgun Gothic"/>
                <w:i/>
                <w:kern w:val="2"/>
                <w:sz w:val="18"/>
                <w:szCs w:val="18"/>
                <w:lang w:eastAsia="ko-KR"/>
              </w:rPr>
              <w:t>réf</w:t>
            </w:r>
            <w:proofErr w:type="spellEnd"/>
            <w:r w:rsidRPr="004E13E9">
              <w:rPr>
                <w:rFonts w:eastAsia="Malgun Gothic"/>
                <w:i/>
                <w:kern w:val="2"/>
                <w:sz w:val="18"/>
                <w:szCs w:val="18"/>
                <w:lang w:eastAsia="ko-KR"/>
              </w:rPr>
              <w:t>.</w:t>
            </w:r>
          </w:p>
        </w:tc>
        <w:tc>
          <w:tcPr>
            <w:tcW w:w="3685" w:type="dxa"/>
            <w:gridSpan w:val="4"/>
            <w:tcBorders>
              <w:top w:val="single" w:sz="4" w:space="0" w:color="000000"/>
              <w:left w:val="single" w:sz="4" w:space="0" w:color="000000"/>
              <w:bottom w:val="single" w:sz="4" w:space="0" w:color="000000"/>
              <w:right w:val="single" w:sz="4" w:space="0" w:color="000000"/>
            </w:tcBorders>
          </w:tcPr>
          <w:p w14:paraId="36A198DB" w14:textId="77777777" w:rsidR="00FE04DA" w:rsidRPr="004E13E9" w:rsidRDefault="00FE04DA" w:rsidP="00E62E84">
            <w:pPr>
              <w:jc w:val="center"/>
            </w:pPr>
            <w:proofErr w:type="spellStart"/>
            <w:r w:rsidRPr="004E13E9">
              <w:rPr>
                <w:rFonts w:eastAsia="Malgun Gothic"/>
                <w:i/>
                <w:kern w:val="2"/>
                <w:sz w:val="18"/>
                <w:szCs w:val="18"/>
                <w:lang w:eastAsia="ko-KR"/>
              </w:rPr>
              <w:t>Capacité</w:t>
            </w:r>
            <w:proofErr w:type="spellEnd"/>
            <w:r w:rsidRPr="004E13E9">
              <w:rPr>
                <w:rFonts w:eastAsia="Malgun Gothic"/>
                <w:i/>
                <w:kern w:val="2"/>
                <w:sz w:val="18"/>
                <w:szCs w:val="18"/>
                <w:lang w:eastAsia="ko-KR"/>
              </w:rPr>
              <w:t xml:space="preserve"> de </w:t>
            </w:r>
            <w:proofErr w:type="spellStart"/>
            <w:r w:rsidRPr="004E13E9">
              <w:rPr>
                <w:rFonts w:eastAsia="Malgun Gothic"/>
                <w:i/>
                <w:kern w:val="2"/>
                <w:sz w:val="18"/>
                <w:szCs w:val="18"/>
                <w:lang w:eastAsia="ko-KR"/>
              </w:rPr>
              <w:t>pêche</w:t>
            </w:r>
            <w:proofErr w:type="spellEnd"/>
          </w:p>
        </w:tc>
      </w:tr>
      <w:tr w:rsidR="00FE04DA" w:rsidRPr="004E13E9" w14:paraId="06A89B44"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58CC58A7" w14:textId="77777777" w:rsidR="00FE04DA" w:rsidRPr="004E13E9" w:rsidRDefault="00FE04DA" w:rsidP="00E62E84">
            <w:r w:rsidRPr="004E13E9">
              <w:rPr>
                <w:rFonts w:eastAsia="Malgun Gothic"/>
                <w:b/>
                <w:kern w:val="2"/>
                <w:sz w:val="18"/>
                <w:szCs w:val="18"/>
                <w:lang w:eastAsia="ko-KR"/>
              </w:rPr>
              <w:t>Type</w:t>
            </w:r>
          </w:p>
        </w:tc>
        <w:tc>
          <w:tcPr>
            <w:tcW w:w="1559" w:type="dxa"/>
            <w:vMerge/>
            <w:tcBorders>
              <w:left w:val="single" w:sz="4" w:space="0" w:color="000000"/>
              <w:bottom w:val="single" w:sz="4" w:space="0" w:color="000000"/>
              <w:right w:val="single" w:sz="4" w:space="0" w:color="000000"/>
            </w:tcBorders>
            <w:vAlign w:val="center"/>
          </w:tcPr>
          <w:p w14:paraId="3271E4F2" w14:textId="77777777" w:rsidR="00FE04DA" w:rsidRPr="004E13E9" w:rsidRDefault="00FE04DA" w:rsidP="00E62E84">
            <w:pPr>
              <w:jc w:val="center"/>
            </w:pPr>
          </w:p>
        </w:tc>
        <w:tc>
          <w:tcPr>
            <w:tcW w:w="709" w:type="dxa"/>
            <w:tcBorders>
              <w:top w:val="single" w:sz="4" w:space="0" w:color="000000"/>
              <w:left w:val="single" w:sz="4" w:space="0" w:color="000000"/>
              <w:bottom w:val="single" w:sz="4" w:space="0" w:color="000000"/>
              <w:right w:val="single" w:sz="4" w:space="0" w:color="000000"/>
            </w:tcBorders>
            <w:vAlign w:val="center"/>
          </w:tcPr>
          <w:p w14:paraId="5668EF6E" w14:textId="77777777" w:rsidR="00FE04DA" w:rsidRPr="004E13E9" w:rsidRDefault="00FE04DA" w:rsidP="00E62E84">
            <w:pPr>
              <w:jc w:val="center"/>
            </w:pPr>
            <w:r w:rsidRPr="004E13E9">
              <w:rPr>
                <w:rFonts w:eastAsia="Malgun Gothic"/>
                <w:kern w:val="2"/>
                <w:sz w:val="16"/>
                <w:szCs w:val="16"/>
                <w:lang w:eastAsia="ko-KR"/>
              </w:rPr>
              <w:t>2006</w:t>
            </w:r>
          </w:p>
        </w:tc>
        <w:tc>
          <w:tcPr>
            <w:tcW w:w="708" w:type="dxa"/>
            <w:tcBorders>
              <w:top w:val="single" w:sz="4" w:space="0" w:color="000000"/>
              <w:left w:val="single" w:sz="4" w:space="0" w:color="000000"/>
              <w:bottom w:val="single" w:sz="4" w:space="0" w:color="000000"/>
              <w:right w:val="single" w:sz="4" w:space="0" w:color="000000"/>
            </w:tcBorders>
            <w:vAlign w:val="center"/>
          </w:tcPr>
          <w:p w14:paraId="12B62ECC" w14:textId="77777777" w:rsidR="00FE04DA" w:rsidRPr="004E13E9" w:rsidRDefault="00FE04DA" w:rsidP="00E62E84">
            <w:pPr>
              <w:jc w:val="center"/>
            </w:pPr>
            <w:r w:rsidRPr="004E13E9">
              <w:rPr>
                <w:rFonts w:eastAsia="Malgun Gothic"/>
                <w:kern w:val="2"/>
                <w:sz w:val="16"/>
                <w:szCs w:val="16"/>
                <w:lang w:eastAsia="ko-KR"/>
              </w:rPr>
              <w:t>2008</w:t>
            </w:r>
          </w:p>
        </w:tc>
        <w:tc>
          <w:tcPr>
            <w:tcW w:w="709" w:type="dxa"/>
            <w:tcBorders>
              <w:top w:val="single" w:sz="4" w:space="0" w:color="000000"/>
              <w:left w:val="single" w:sz="4" w:space="0" w:color="000000"/>
              <w:bottom w:val="single" w:sz="4" w:space="0" w:color="000000"/>
              <w:right w:val="single" w:sz="4" w:space="0" w:color="000000"/>
            </w:tcBorders>
            <w:vAlign w:val="center"/>
          </w:tcPr>
          <w:p w14:paraId="722E07CC" w14:textId="77777777" w:rsidR="00FE04DA" w:rsidRPr="004E13E9" w:rsidRDefault="00FE04DA" w:rsidP="00E62E84">
            <w:pPr>
              <w:jc w:val="center"/>
            </w:pPr>
            <w:r w:rsidRPr="004E13E9">
              <w:rPr>
                <w:rFonts w:eastAsia="Malgun Gothic"/>
                <w:kern w:val="2"/>
                <w:sz w:val="16"/>
                <w:szCs w:val="16"/>
                <w:lang w:eastAsia="ko-KR"/>
              </w:rPr>
              <w:t>2018</w:t>
            </w:r>
          </w:p>
        </w:tc>
        <w:tc>
          <w:tcPr>
            <w:tcW w:w="709" w:type="dxa"/>
            <w:tcBorders>
              <w:top w:val="single" w:sz="4" w:space="0" w:color="000000"/>
              <w:left w:val="single" w:sz="4" w:space="0" w:color="000000"/>
              <w:bottom w:val="single" w:sz="4" w:space="0" w:color="000000"/>
              <w:right w:val="single" w:sz="4" w:space="0" w:color="000000"/>
            </w:tcBorders>
            <w:vAlign w:val="center"/>
          </w:tcPr>
          <w:p w14:paraId="6AEE0615" w14:textId="77777777" w:rsidR="00FE04DA" w:rsidRPr="004E13E9" w:rsidRDefault="00FE04DA" w:rsidP="00E62E84">
            <w:pPr>
              <w:jc w:val="center"/>
            </w:pPr>
            <w:r w:rsidRPr="004E13E9">
              <w:rPr>
                <w:rFonts w:eastAsia="Malgun Gothic"/>
                <w:kern w:val="2"/>
                <w:sz w:val="16"/>
                <w:szCs w:val="16"/>
                <w:lang w:eastAsia="ko-KR"/>
              </w:rPr>
              <w:t>2023</w:t>
            </w:r>
          </w:p>
        </w:tc>
        <w:tc>
          <w:tcPr>
            <w:tcW w:w="709" w:type="dxa"/>
            <w:tcBorders>
              <w:top w:val="single" w:sz="4" w:space="0" w:color="000000"/>
              <w:left w:val="single" w:sz="4" w:space="0" w:color="000000"/>
              <w:bottom w:val="single" w:sz="4" w:space="0" w:color="000000"/>
              <w:right w:val="single" w:sz="4" w:space="0" w:color="000000"/>
            </w:tcBorders>
            <w:vAlign w:val="center"/>
          </w:tcPr>
          <w:p w14:paraId="486C3FE6" w14:textId="77777777" w:rsidR="00FE04DA" w:rsidRPr="004E13E9" w:rsidRDefault="00FE04DA" w:rsidP="00E62E84">
            <w:pPr>
              <w:jc w:val="center"/>
            </w:pPr>
            <w:r w:rsidRPr="004E13E9">
              <w:rPr>
                <w:rFonts w:eastAsia="Malgun Gothic"/>
                <w:kern w:val="2"/>
                <w:sz w:val="16"/>
                <w:szCs w:val="16"/>
                <w:lang w:eastAsia="ko-KR"/>
              </w:rPr>
              <w:t>2024</w:t>
            </w:r>
          </w:p>
        </w:tc>
        <w:tc>
          <w:tcPr>
            <w:tcW w:w="708" w:type="dxa"/>
            <w:tcBorders>
              <w:top w:val="single" w:sz="4" w:space="0" w:color="000000"/>
              <w:left w:val="single" w:sz="4" w:space="0" w:color="000000"/>
              <w:bottom w:val="single" w:sz="4" w:space="0" w:color="000000"/>
              <w:right w:val="single" w:sz="4" w:space="0" w:color="000000"/>
            </w:tcBorders>
            <w:vAlign w:val="center"/>
          </w:tcPr>
          <w:p w14:paraId="7BDC4686" w14:textId="77777777" w:rsidR="00FE04DA" w:rsidRPr="004E13E9" w:rsidRDefault="00FE04DA" w:rsidP="00E62E84">
            <w:pPr>
              <w:jc w:val="center"/>
            </w:pPr>
            <w:r w:rsidRPr="004E13E9">
              <w:rPr>
                <w:rFonts w:eastAsia="Malgun Gothic"/>
                <w:kern w:val="2"/>
                <w:sz w:val="16"/>
                <w:szCs w:val="16"/>
                <w:lang w:eastAsia="ko-KR"/>
              </w:rPr>
              <w:t>2025</w:t>
            </w:r>
          </w:p>
        </w:tc>
        <w:tc>
          <w:tcPr>
            <w:tcW w:w="709" w:type="dxa"/>
            <w:tcBorders>
              <w:top w:val="single" w:sz="4" w:space="0" w:color="000000"/>
              <w:left w:val="single" w:sz="4" w:space="0" w:color="000000"/>
              <w:bottom w:val="single" w:sz="4" w:space="0" w:color="000000"/>
              <w:right w:val="single" w:sz="4" w:space="0" w:color="000000"/>
            </w:tcBorders>
            <w:vAlign w:val="center"/>
          </w:tcPr>
          <w:p w14:paraId="4C8A7911" w14:textId="77777777" w:rsidR="00FE04DA" w:rsidRPr="004E13E9" w:rsidRDefault="00FE04DA" w:rsidP="00E62E84">
            <w:pPr>
              <w:jc w:val="center"/>
            </w:pPr>
            <w:r w:rsidRPr="004E13E9">
              <w:rPr>
                <w:rFonts w:eastAsia="Malgun Gothic"/>
                <w:kern w:val="2"/>
                <w:sz w:val="16"/>
                <w:szCs w:val="16"/>
                <w:lang w:eastAsia="ko-KR"/>
              </w:rPr>
              <w:t>2026</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7535AB6" w14:textId="77777777" w:rsidR="00FE04DA" w:rsidRPr="004E13E9" w:rsidRDefault="00FE04DA" w:rsidP="00E62E84">
            <w:pPr>
              <w:jc w:val="center"/>
              <w:rPr>
                <w:rFonts w:eastAsia="Times New Roman" w:cs="Calibri"/>
                <w:kern w:val="2"/>
                <w:sz w:val="16"/>
                <w:szCs w:val="16"/>
                <w:lang w:eastAsia="ja-JP"/>
              </w:rPr>
            </w:pPr>
          </w:p>
        </w:tc>
        <w:tc>
          <w:tcPr>
            <w:tcW w:w="756" w:type="dxa"/>
            <w:tcBorders>
              <w:top w:val="single" w:sz="4" w:space="0" w:color="000000"/>
              <w:left w:val="single" w:sz="4" w:space="0" w:color="000000"/>
              <w:bottom w:val="single" w:sz="4" w:space="0" w:color="000000"/>
              <w:right w:val="single" w:sz="4" w:space="0" w:color="000000"/>
            </w:tcBorders>
            <w:vAlign w:val="center"/>
          </w:tcPr>
          <w:p w14:paraId="53CBFAA4" w14:textId="77777777" w:rsidR="00FE04DA" w:rsidRPr="004E13E9" w:rsidRDefault="00FE04DA" w:rsidP="00E62E84">
            <w:pPr>
              <w:jc w:val="center"/>
            </w:pPr>
            <w:r w:rsidRPr="004E13E9">
              <w:rPr>
                <w:rFonts w:eastAsia="Malgun Gothic"/>
                <w:kern w:val="2"/>
                <w:sz w:val="16"/>
                <w:szCs w:val="16"/>
                <w:lang w:eastAsia="ko-KR"/>
              </w:rPr>
              <w:t>2006</w:t>
            </w:r>
          </w:p>
        </w:tc>
        <w:tc>
          <w:tcPr>
            <w:tcW w:w="709" w:type="dxa"/>
            <w:tcBorders>
              <w:top w:val="single" w:sz="4" w:space="0" w:color="000000"/>
              <w:left w:val="single" w:sz="4" w:space="0" w:color="000000"/>
              <w:bottom w:val="single" w:sz="4" w:space="0" w:color="000000"/>
              <w:right w:val="single" w:sz="4" w:space="0" w:color="000000"/>
            </w:tcBorders>
            <w:vAlign w:val="center"/>
          </w:tcPr>
          <w:p w14:paraId="535B4F9A" w14:textId="77777777" w:rsidR="00FE04DA" w:rsidRPr="004E13E9" w:rsidRDefault="00FE04DA" w:rsidP="00E62E84">
            <w:pPr>
              <w:jc w:val="center"/>
            </w:pPr>
            <w:r w:rsidRPr="004E13E9">
              <w:rPr>
                <w:rFonts w:eastAsia="Malgun Gothic"/>
                <w:kern w:val="2"/>
                <w:sz w:val="16"/>
                <w:szCs w:val="16"/>
                <w:lang w:eastAsia="ko-KR"/>
              </w:rPr>
              <w:t>2008</w:t>
            </w:r>
          </w:p>
        </w:tc>
        <w:tc>
          <w:tcPr>
            <w:tcW w:w="851" w:type="dxa"/>
            <w:tcBorders>
              <w:top w:val="single" w:sz="4" w:space="0" w:color="000000"/>
              <w:left w:val="single" w:sz="4" w:space="0" w:color="000000"/>
              <w:bottom w:val="single" w:sz="4" w:space="0" w:color="000000"/>
              <w:right w:val="single" w:sz="4" w:space="0" w:color="000000"/>
            </w:tcBorders>
            <w:vAlign w:val="center"/>
          </w:tcPr>
          <w:p w14:paraId="7109A19B" w14:textId="77777777" w:rsidR="00FE04DA" w:rsidRPr="004E13E9" w:rsidRDefault="00FE04DA" w:rsidP="00E62E84">
            <w:pPr>
              <w:jc w:val="center"/>
            </w:pPr>
            <w:r w:rsidRPr="004E13E9">
              <w:rPr>
                <w:rFonts w:eastAsia="Malgun Gothic"/>
                <w:kern w:val="2"/>
                <w:sz w:val="16"/>
                <w:szCs w:val="16"/>
                <w:lang w:eastAsia="ko-KR"/>
              </w:rPr>
              <w:t>2018</w:t>
            </w:r>
          </w:p>
        </w:tc>
        <w:tc>
          <w:tcPr>
            <w:tcW w:w="850" w:type="dxa"/>
            <w:tcBorders>
              <w:top w:val="single" w:sz="4" w:space="0" w:color="000000"/>
              <w:left w:val="single" w:sz="4" w:space="0" w:color="000000"/>
              <w:bottom w:val="single" w:sz="4" w:space="0" w:color="000000"/>
              <w:right w:val="single" w:sz="4" w:space="0" w:color="000000"/>
            </w:tcBorders>
            <w:vAlign w:val="center"/>
          </w:tcPr>
          <w:p w14:paraId="1989AF45" w14:textId="77777777" w:rsidR="00FE04DA" w:rsidRPr="004E13E9" w:rsidRDefault="00FE04DA" w:rsidP="00E62E84">
            <w:pPr>
              <w:jc w:val="center"/>
            </w:pPr>
            <w:r w:rsidRPr="004E13E9">
              <w:rPr>
                <w:rFonts w:eastAsia="Malgun Gothic"/>
                <w:kern w:val="2"/>
                <w:sz w:val="16"/>
                <w:szCs w:val="16"/>
                <w:lang w:eastAsia="ko-KR"/>
              </w:rPr>
              <w:t>2023</w:t>
            </w:r>
          </w:p>
        </w:tc>
        <w:tc>
          <w:tcPr>
            <w:tcW w:w="851" w:type="dxa"/>
            <w:tcBorders>
              <w:top w:val="single" w:sz="4" w:space="0" w:color="000000"/>
              <w:left w:val="single" w:sz="4" w:space="0" w:color="000000"/>
              <w:bottom w:val="single" w:sz="4" w:space="0" w:color="000000"/>
              <w:right w:val="single" w:sz="4" w:space="0" w:color="000000"/>
            </w:tcBorders>
            <w:vAlign w:val="center"/>
          </w:tcPr>
          <w:p w14:paraId="5215BC90" w14:textId="77777777" w:rsidR="00FE04DA" w:rsidRPr="004E13E9" w:rsidRDefault="00FE04DA" w:rsidP="00E62E84">
            <w:pPr>
              <w:jc w:val="center"/>
            </w:pPr>
            <w:r w:rsidRPr="004E13E9">
              <w:rPr>
                <w:rFonts w:eastAsia="Malgun Gothic"/>
                <w:kern w:val="2"/>
                <w:sz w:val="16"/>
                <w:szCs w:val="16"/>
                <w:lang w:eastAsia="ko-KR"/>
              </w:rPr>
              <w:t>2024</w:t>
            </w:r>
          </w:p>
        </w:tc>
        <w:tc>
          <w:tcPr>
            <w:tcW w:w="992" w:type="dxa"/>
            <w:tcBorders>
              <w:top w:val="single" w:sz="4" w:space="0" w:color="000000"/>
              <w:left w:val="single" w:sz="4" w:space="0" w:color="000000"/>
              <w:bottom w:val="single" w:sz="4" w:space="0" w:color="000000"/>
              <w:right w:val="single" w:sz="4" w:space="0" w:color="000000"/>
            </w:tcBorders>
            <w:vAlign w:val="center"/>
          </w:tcPr>
          <w:p w14:paraId="26EFB9A1" w14:textId="77777777" w:rsidR="00FE04DA" w:rsidRPr="004E13E9" w:rsidRDefault="00FE04DA" w:rsidP="00E62E84">
            <w:pPr>
              <w:jc w:val="center"/>
            </w:pPr>
            <w:r w:rsidRPr="004E13E9">
              <w:rPr>
                <w:rFonts w:eastAsia="Malgun Gothic"/>
                <w:kern w:val="2"/>
                <w:sz w:val="16"/>
                <w:szCs w:val="16"/>
                <w:lang w:eastAsia="ko-KR"/>
              </w:rPr>
              <w:t>2025</w:t>
            </w:r>
          </w:p>
        </w:tc>
        <w:tc>
          <w:tcPr>
            <w:tcW w:w="992" w:type="dxa"/>
            <w:tcBorders>
              <w:top w:val="single" w:sz="4" w:space="0" w:color="000000"/>
              <w:left w:val="single" w:sz="4" w:space="0" w:color="000000"/>
              <w:bottom w:val="single" w:sz="4" w:space="0" w:color="000000"/>
              <w:right w:val="single" w:sz="4" w:space="0" w:color="000000"/>
            </w:tcBorders>
            <w:vAlign w:val="center"/>
          </w:tcPr>
          <w:p w14:paraId="55B11CBE" w14:textId="77777777" w:rsidR="00FE04DA" w:rsidRPr="004E13E9" w:rsidRDefault="00FE04DA" w:rsidP="00E62E84">
            <w:pPr>
              <w:jc w:val="center"/>
            </w:pPr>
            <w:r w:rsidRPr="004E13E9">
              <w:rPr>
                <w:rFonts w:eastAsia="Malgun Gothic"/>
                <w:kern w:val="2"/>
                <w:sz w:val="16"/>
                <w:szCs w:val="16"/>
                <w:lang w:eastAsia="ko-KR"/>
              </w:rPr>
              <w:t>2026</w:t>
            </w:r>
          </w:p>
        </w:tc>
      </w:tr>
      <w:tr w:rsidR="00FE04DA" w:rsidRPr="004E13E9" w14:paraId="7A87586E"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0D5924F2" w14:textId="77777777" w:rsidR="00FE04DA" w:rsidRPr="004E13E9" w:rsidRDefault="00FE04DA" w:rsidP="00E62E84">
            <w:pPr>
              <w:rPr>
                <w:lang w:val="fr-FR"/>
              </w:rPr>
            </w:pPr>
            <w:r w:rsidRPr="004E13E9">
              <w:rPr>
                <w:rFonts w:eastAsia="Malgun Gothic"/>
                <w:kern w:val="2"/>
                <w:sz w:val="18"/>
                <w:szCs w:val="18"/>
                <w:lang w:val="fr-FR" w:eastAsia="ko-KR"/>
              </w:rPr>
              <w:t>Senneur de plus de 40 m</w:t>
            </w:r>
          </w:p>
        </w:tc>
        <w:tc>
          <w:tcPr>
            <w:tcW w:w="1559" w:type="dxa"/>
            <w:tcBorders>
              <w:top w:val="single" w:sz="4" w:space="0" w:color="000000"/>
              <w:left w:val="single" w:sz="4" w:space="0" w:color="000000"/>
              <w:bottom w:val="single" w:sz="4" w:space="0" w:color="000000"/>
              <w:right w:val="single" w:sz="4" w:space="0" w:color="000000"/>
            </w:tcBorders>
            <w:vAlign w:val="center"/>
          </w:tcPr>
          <w:p w14:paraId="2FEB15F5" w14:textId="77777777" w:rsidR="00FE04DA" w:rsidRPr="004E13E9" w:rsidRDefault="00FE04DA" w:rsidP="00E62E84">
            <w:pPr>
              <w:jc w:val="center"/>
            </w:pPr>
            <w:r w:rsidRPr="004E13E9">
              <w:rPr>
                <w:rFonts w:eastAsia="Malgun Gothic"/>
                <w:kern w:val="2"/>
                <w:sz w:val="18"/>
                <w:szCs w:val="18"/>
                <w:lang w:eastAsia="ko-KR"/>
              </w:rPr>
              <w:t>70,66</w:t>
            </w:r>
          </w:p>
        </w:tc>
        <w:tc>
          <w:tcPr>
            <w:tcW w:w="709" w:type="dxa"/>
            <w:tcBorders>
              <w:top w:val="single" w:sz="4" w:space="0" w:color="000000"/>
              <w:left w:val="single" w:sz="4" w:space="0" w:color="000000"/>
              <w:bottom w:val="single" w:sz="4" w:space="0" w:color="000000"/>
              <w:right w:val="single" w:sz="4" w:space="0" w:color="000000"/>
            </w:tcBorders>
            <w:vAlign w:val="center"/>
          </w:tcPr>
          <w:p w14:paraId="68B61AC3" w14:textId="77777777" w:rsidR="00FE04DA" w:rsidRPr="004E13E9" w:rsidRDefault="00FE04DA" w:rsidP="00E62E84">
            <w:pPr>
              <w:jc w:val="center"/>
              <w:rPr>
                <w:rFonts w:eastAsia="Times New Roman" w:cs="Calibri"/>
                <w:sz w:val="17"/>
                <w:szCs w:val="17"/>
                <w:lang w:eastAsia="ja-JP"/>
              </w:rPr>
            </w:pPr>
            <w:r w:rsidRPr="004E13E9">
              <w:rPr>
                <w:rFonts w:eastAsia="Times New Roman" w:cs="Calibri"/>
                <w:sz w:val="17"/>
                <w:szCs w:val="17"/>
                <w:lang w:eastAsia="ja-JP"/>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2D2DA4F9" w14:textId="77777777" w:rsidR="00FE04DA" w:rsidRPr="004E13E9" w:rsidRDefault="00FE04DA" w:rsidP="00E62E84">
            <w:pPr>
              <w:jc w:val="center"/>
              <w:rPr>
                <w:rFonts w:eastAsia="Times New Roman" w:cs="Calibri"/>
                <w:sz w:val="17"/>
                <w:szCs w:val="17"/>
              </w:rPr>
            </w:pPr>
            <w:r w:rsidRPr="004E13E9">
              <w:rPr>
                <w:rFonts w:cs="Century"/>
                <w:sz w:val="17"/>
                <w:szCs w:val="17"/>
                <w:lang w:val="es-ES"/>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B1EC125" w14:textId="77777777" w:rsidR="00FE04DA" w:rsidRPr="004E13E9" w:rsidRDefault="00FE04DA" w:rsidP="00E62E84">
            <w:pPr>
              <w:jc w:val="center"/>
              <w:rPr>
                <w:rFonts w:eastAsia="Times New Roman" w:cs="Calibri"/>
                <w:sz w:val="17"/>
                <w:szCs w:val="17"/>
              </w:rPr>
            </w:pPr>
            <w:r w:rsidRPr="004E13E9">
              <w:rPr>
                <w:rFonts w:cs="Century"/>
                <w:sz w:val="17"/>
                <w:szCs w:val="17"/>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75E4765D" w14:textId="77777777" w:rsidR="00FE04DA" w:rsidRPr="004E13E9" w:rsidRDefault="00FE04DA" w:rsidP="00E62E84">
            <w:pPr>
              <w:jc w:val="center"/>
              <w:rPr>
                <w:rFonts w:eastAsia="Times New Roman" w:cs="Calibri"/>
                <w:sz w:val="17"/>
                <w:szCs w:val="17"/>
              </w:rPr>
            </w:pPr>
            <w:r w:rsidRPr="004E13E9">
              <w:rPr>
                <w:rFonts w:cs="Century"/>
                <w:bCs/>
                <w:sz w:val="17"/>
                <w:szCs w:val="17"/>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589DCA64" w14:textId="77777777" w:rsidR="00FE04DA" w:rsidRPr="004E13E9" w:rsidRDefault="00FE04DA" w:rsidP="00E62E84">
            <w:pPr>
              <w:jc w:val="center"/>
              <w:rPr>
                <w:rFonts w:eastAsia="Times New Roman" w:cs="Calibri"/>
                <w:sz w:val="17"/>
                <w:szCs w:val="17"/>
              </w:rPr>
            </w:pPr>
            <w:r w:rsidRPr="004E13E9">
              <w:rPr>
                <w:sz w:val="17"/>
                <w:szCs w:val="17"/>
              </w:rPr>
              <w:t>4</w:t>
            </w:r>
          </w:p>
        </w:tc>
        <w:tc>
          <w:tcPr>
            <w:tcW w:w="708" w:type="dxa"/>
            <w:tcBorders>
              <w:top w:val="single" w:sz="4" w:space="0" w:color="000000"/>
              <w:left w:val="single" w:sz="4" w:space="0" w:color="000000"/>
              <w:bottom w:val="single" w:sz="4" w:space="0" w:color="000000"/>
              <w:right w:val="single" w:sz="4" w:space="0" w:color="000000"/>
            </w:tcBorders>
            <w:vAlign w:val="center"/>
          </w:tcPr>
          <w:p w14:paraId="386A3ADE" w14:textId="77777777" w:rsidR="00FE04DA" w:rsidRPr="004E13E9" w:rsidRDefault="00FE04DA" w:rsidP="00E62E84">
            <w:pPr>
              <w:jc w:val="center"/>
              <w:rPr>
                <w:sz w:val="17"/>
                <w:szCs w:val="17"/>
              </w:rPr>
            </w:pPr>
            <w:r w:rsidRPr="004E13E9">
              <w:rPr>
                <w:sz w:val="17"/>
                <w:szCs w:val="17"/>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5E6116A3" w14:textId="77777777" w:rsidR="00FE04DA" w:rsidRPr="004E13E9" w:rsidRDefault="00FE04DA" w:rsidP="00E62E84">
            <w:pPr>
              <w:jc w:val="center"/>
              <w:rPr>
                <w:rFonts w:eastAsia="Times New Roman" w:cs="Calibri"/>
                <w:kern w:val="2"/>
                <w:sz w:val="18"/>
                <w:szCs w:val="18"/>
                <w:lang w:eastAsia="ja-JP"/>
              </w:rPr>
            </w:pPr>
            <w:r w:rsidRPr="004E13E9">
              <w:rPr>
                <w:rFonts w:eastAsia="Times New Roman" w:cs="Calibri"/>
                <w:kern w:val="2"/>
                <w:sz w:val="18"/>
                <w:szCs w:val="18"/>
                <w:lang w:eastAsia="ja-JP"/>
              </w:rPr>
              <w:t>4</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AE49B3" w14:textId="77777777" w:rsidR="00FE04DA" w:rsidRPr="004E13E9" w:rsidRDefault="00FE04DA" w:rsidP="00E62E84">
            <w:r w:rsidRPr="004E13E9">
              <w:rPr>
                <w:rFonts w:eastAsia="Malgun Gothic"/>
                <w:kern w:val="2"/>
                <w:sz w:val="18"/>
                <w:szCs w:val="18"/>
                <w:lang w:eastAsia="ko-KR"/>
              </w:rPr>
              <w:t> </w:t>
            </w:r>
          </w:p>
        </w:tc>
        <w:tc>
          <w:tcPr>
            <w:tcW w:w="756" w:type="dxa"/>
            <w:tcBorders>
              <w:top w:val="single" w:sz="4" w:space="0" w:color="000000"/>
              <w:left w:val="single" w:sz="4" w:space="0" w:color="000000"/>
              <w:bottom w:val="single" w:sz="4" w:space="0" w:color="000000"/>
              <w:right w:val="single" w:sz="4" w:space="0" w:color="000000"/>
            </w:tcBorders>
            <w:vAlign w:val="center"/>
          </w:tcPr>
          <w:p w14:paraId="324E33BE"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70,66</w:t>
            </w:r>
          </w:p>
        </w:tc>
        <w:tc>
          <w:tcPr>
            <w:tcW w:w="709" w:type="dxa"/>
            <w:tcBorders>
              <w:top w:val="single" w:sz="4" w:space="0" w:color="000000"/>
              <w:left w:val="single" w:sz="4" w:space="0" w:color="000000"/>
              <w:bottom w:val="single" w:sz="4" w:space="0" w:color="000000"/>
              <w:right w:val="single" w:sz="4" w:space="0" w:color="000000"/>
            </w:tcBorders>
            <w:vAlign w:val="center"/>
          </w:tcPr>
          <w:p w14:paraId="7D23C015" w14:textId="77777777" w:rsidR="00FE04DA" w:rsidRPr="004E13E9" w:rsidRDefault="00FE04DA" w:rsidP="00E62E84">
            <w:pPr>
              <w:jc w:val="center"/>
              <w:rPr>
                <w:rFonts w:cs="Calibri"/>
                <w:sz w:val="17"/>
                <w:szCs w:val="17"/>
              </w:rPr>
            </w:pPr>
            <w:r w:rsidRPr="004E13E9">
              <w:rPr>
                <w:rFonts w:cs="Calibri"/>
                <w:sz w:val="17"/>
                <w:szCs w:val="17"/>
                <w:lang w:val="es-ES"/>
              </w:rPr>
              <w:t>70,66</w:t>
            </w:r>
          </w:p>
        </w:tc>
        <w:tc>
          <w:tcPr>
            <w:tcW w:w="851" w:type="dxa"/>
            <w:tcBorders>
              <w:top w:val="single" w:sz="4" w:space="0" w:color="000000"/>
              <w:left w:val="single" w:sz="4" w:space="0" w:color="000000"/>
              <w:bottom w:val="single" w:sz="4" w:space="0" w:color="000000"/>
              <w:right w:val="single" w:sz="4" w:space="0" w:color="000000"/>
            </w:tcBorders>
            <w:vAlign w:val="center"/>
          </w:tcPr>
          <w:p w14:paraId="5F8CF172" w14:textId="77777777" w:rsidR="00FE04DA" w:rsidRPr="004E13E9" w:rsidRDefault="00FE04DA" w:rsidP="00E62E84">
            <w:pPr>
              <w:jc w:val="center"/>
              <w:rPr>
                <w:rFonts w:cs="Calibri"/>
                <w:sz w:val="17"/>
                <w:szCs w:val="17"/>
              </w:rPr>
            </w:pPr>
            <w:r w:rsidRPr="004E13E9">
              <w:rPr>
                <w:rFonts w:cs="Calibri"/>
                <w:sz w:val="17"/>
                <w:szCs w:val="17"/>
                <w:lang w:val="es-ES"/>
              </w:rPr>
              <w:t>141,32</w:t>
            </w:r>
          </w:p>
        </w:tc>
        <w:tc>
          <w:tcPr>
            <w:tcW w:w="850" w:type="dxa"/>
            <w:tcBorders>
              <w:top w:val="single" w:sz="4" w:space="0" w:color="000000"/>
              <w:left w:val="single" w:sz="4" w:space="0" w:color="000000"/>
              <w:bottom w:val="single" w:sz="4" w:space="0" w:color="000000"/>
              <w:right w:val="single" w:sz="4" w:space="0" w:color="000000"/>
            </w:tcBorders>
            <w:vAlign w:val="center"/>
          </w:tcPr>
          <w:p w14:paraId="3D177A28" w14:textId="77777777" w:rsidR="00FE04DA" w:rsidRPr="004E13E9" w:rsidRDefault="00FE04DA" w:rsidP="00E62E84">
            <w:pPr>
              <w:jc w:val="center"/>
              <w:rPr>
                <w:rFonts w:cs="Calibri"/>
                <w:sz w:val="17"/>
                <w:szCs w:val="17"/>
              </w:rPr>
            </w:pPr>
            <w:r w:rsidRPr="004E13E9">
              <w:rPr>
                <w:rFonts w:cs="Calibri"/>
                <w:sz w:val="17"/>
                <w:szCs w:val="17"/>
              </w:rPr>
              <w:t>282,64</w:t>
            </w:r>
          </w:p>
        </w:tc>
        <w:tc>
          <w:tcPr>
            <w:tcW w:w="851" w:type="dxa"/>
            <w:tcBorders>
              <w:top w:val="single" w:sz="4" w:space="0" w:color="000000"/>
              <w:left w:val="single" w:sz="4" w:space="0" w:color="000000"/>
              <w:bottom w:val="single" w:sz="4" w:space="0" w:color="000000"/>
              <w:right w:val="single" w:sz="4" w:space="0" w:color="000000"/>
            </w:tcBorders>
            <w:vAlign w:val="center"/>
          </w:tcPr>
          <w:p w14:paraId="48B61EE8" w14:textId="77777777" w:rsidR="00FE04DA" w:rsidRPr="004E13E9" w:rsidRDefault="00FE04DA" w:rsidP="00E62E84">
            <w:pPr>
              <w:jc w:val="center"/>
              <w:rPr>
                <w:rFonts w:cs="Calibri"/>
                <w:sz w:val="17"/>
                <w:szCs w:val="17"/>
              </w:rPr>
            </w:pPr>
            <w:r w:rsidRPr="004E13E9">
              <w:rPr>
                <w:rFonts w:cs="Calibri"/>
                <w:sz w:val="17"/>
                <w:szCs w:val="17"/>
              </w:rPr>
              <w:t>282,64</w:t>
            </w:r>
          </w:p>
        </w:tc>
        <w:tc>
          <w:tcPr>
            <w:tcW w:w="992" w:type="dxa"/>
            <w:tcBorders>
              <w:top w:val="single" w:sz="4" w:space="0" w:color="000000"/>
              <w:left w:val="single" w:sz="4" w:space="0" w:color="000000"/>
              <w:bottom w:val="single" w:sz="4" w:space="0" w:color="000000"/>
              <w:right w:val="single" w:sz="4" w:space="0" w:color="000000"/>
            </w:tcBorders>
            <w:vAlign w:val="center"/>
          </w:tcPr>
          <w:p w14:paraId="0DCC83F9" w14:textId="77777777" w:rsidR="00FE04DA" w:rsidRPr="004E13E9" w:rsidRDefault="00FE04DA" w:rsidP="00E62E84">
            <w:pPr>
              <w:jc w:val="center"/>
              <w:rPr>
                <w:sz w:val="17"/>
                <w:szCs w:val="17"/>
              </w:rPr>
            </w:pPr>
            <w:r w:rsidRPr="004E13E9">
              <w:rPr>
                <w:sz w:val="17"/>
                <w:szCs w:val="17"/>
              </w:rPr>
              <w:t>282,64</w:t>
            </w:r>
          </w:p>
        </w:tc>
        <w:tc>
          <w:tcPr>
            <w:tcW w:w="992" w:type="dxa"/>
            <w:tcBorders>
              <w:top w:val="single" w:sz="4" w:space="0" w:color="000000"/>
              <w:left w:val="single" w:sz="4" w:space="0" w:color="000000"/>
              <w:bottom w:val="single" w:sz="4" w:space="0" w:color="000000"/>
              <w:right w:val="single" w:sz="4" w:space="0" w:color="000000"/>
            </w:tcBorders>
            <w:vAlign w:val="center"/>
          </w:tcPr>
          <w:p w14:paraId="79EFAB30" w14:textId="77777777" w:rsidR="00FE04DA" w:rsidRPr="004E13E9" w:rsidRDefault="00FE04DA" w:rsidP="00E62E84">
            <w:pPr>
              <w:jc w:val="center"/>
              <w:rPr>
                <w:sz w:val="17"/>
                <w:szCs w:val="17"/>
              </w:rPr>
            </w:pPr>
            <w:r w:rsidRPr="004E13E9">
              <w:rPr>
                <w:sz w:val="17"/>
                <w:szCs w:val="17"/>
              </w:rPr>
              <w:t>282,64</w:t>
            </w:r>
          </w:p>
        </w:tc>
      </w:tr>
      <w:tr w:rsidR="00FE04DA" w:rsidRPr="004E13E9" w14:paraId="0EC5C3CA"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355867E0" w14:textId="77777777" w:rsidR="00FE04DA" w:rsidRPr="004E13E9" w:rsidRDefault="00FE04DA" w:rsidP="00E62E84">
            <w:proofErr w:type="spellStart"/>
            <w:r w:rsidRPr="004E13E9">
              <w:rPr>
                <w:rFonts w:eastAsia="Malgun Gothic"/>
                <w:kern w:val="2"/>
                <w:sz w:val="18"/>
                <w:szCs w:val="18"/>
                <w:lang w:eastAsia="ko-KR"/>
              </w:rPr>
              <w:t>Senneur</w:t>
            </w:r>
            <w:proofErr w:type="spellEnd"/>
            <w:r w:rsidRPr="004E13E9">
              <w:rPr>
                <w:rFonts w:eastAsia="Malgun Gothic"/>
                <w:kern w:val="2"/>
                <w:sz w:val="18"/>
                <w:szCs w:val="18"/>
                <w:lang w:eastAsia="ko-KR"/>
              </w:rPr>
              <w:t xml:space="preserve"> entre 24 et 40 m</w:t>
            </w:r>
          </w:p>
        </w:tc>
        <w:tc>
          <w:tcPr>
            <w:tcW w:w="1559" w:type="dxa"/>
            <w:tcBorders>
              <w:top w:val="single" w:sz="4" w:space="0" w:color="000000"/>
              <w:left w:val="single" w:sz="4" w:space="0" w:color="000000"/>
              <w:bottom w:val="single" w:sz="4" w:space="0" w:color="000000"/>
              <w:right w:val="single" w:sz="4" w:space="0" w:color="000000"/>
            </w:tcBorders>
            <w:vAlign w:val="center"/>
          </w:tcPr>
          <w:p w14:paraId="1B95D637" w14:textId="77777777" w:rsidR="00FE04DA" w:rsidRPr="004E13E9" w:rsidRDefault="00FE04DA" w:rsidP="00E62E84">
            <w:pPr>
              <w:jc w:val="center"/>
            </w:pPr>
            <w:r w:rsidRPr="004E13E9">
              <w:rPr>
                <w:rFonts w:eastAsia="Malgun Gothic"/>
                <w:kern w:val="2"/>
                <w:sz w:val="18"/>
                <w:szCs w:val="18"/>
                <w:lang w:eastAsia="ko-KR"/>
              </w:rPr>
              <w:t>49,78</w:t>
            </w:r>
          </w:p>
        </w:tc>
        <w:tc>
          <w:tcPr>
            <w:tcW w:w="709" w:type="dxa"/>
            <w:tcBorders>
              <w:top w:val="single" w:sz="4" w:space="0" w:color="000000"/>
              <w:left w:val="single" w:sz="4" w:space="0" w:color="000000"/>
              <w:bottom w:val="single" w:sz="4" w:space="0" w:color="000000"/>
              <w:right w:val="single" w:sz="4" w:space="0" w:color="000000"/>
            </w:tcBorders>
            <w:vAlign w:val="center"/>
          </w:tcPr>
          <w:p w14:paraId="5E47CDA7" w14:textId="77777777" w:rsidR="00FE04DA" w:rsidRPr="004E13E9" w:rsidRDefault="00FE04DA" w:rsidP="00E62E84">
            <w:pPr>
              <w:jc w:val="center"/>
              <w:rPr>
                <w:rFonts w:eastAsia="Times New Roman" w:cs="Calibri"/>
                <w:sz w:val="17"/>
                <w:szCs w:val="17"/>
                <w:lang w:eastAsia="ja-JP"/>
              </w:rPr>
            </w:pPr>
            <w:r w:rsidRPr="004E13E9">
              <w:rPr>
                <w:rFonts w:eastAsia="Times New Roman" w:cs="Calibri"/>
                <w:sz w:val="17"/>
                <w:szCs w:val="17"/>
                <w:lang w:eastAsia="ja-JP"/>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03A95910" w14:textId="77777777" w:rsidR="00FE04DA" w:rsidRPr="004E13E9" w:rsidRDefault="00FE04DA" w:rsidP="00E62E84">
            <w:pPr>
              <w:jc w:val="center"/>
              <w:rPr>
                <w:rFonts w:eastAsia="Times New Roman" w:cs="Calibri"/>
                <w:sz w:val="17"/>
                <w:szCs w:val="17"/>
              </w:rPr>
            </w:pPr>
            <w:r w:rsidRPr="004E13E9">
              <w:rPr>
                <w:rFonts w:cs="Century"/>
                <w:sz w:val="17"/>
                <w:szCs w:val="17"/>
                <w:lang w:val="es-ES"/>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12CA62AD"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79385299" w14:textId="77777777" w:rsidR="00FE04DA" w:rsidRPr="004E13E9" w:rsidRDefault="00FE04DA" w:rsidP="00E62E84">
            <w:pPr>
              <w:jc w:val="center"/>
              <w:rPr>
                <w:rFonts w:eastAsia="Times New Roman" w:cs="Calibri"/>
                <w:sz w:val="17"/>
                <w:szCs w:val="17"/>
              </w:rPr>
            </w:pPr>
            <w:r w:rsidRPr="004E13E9">
              <w:rPr>
                <w:rFonts w:cs="Century"/>
                <w:bCs/>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00C5A9ED" w14:textId="77777777" w:rsidR="00FE04DA" w:rsidRPr="004E13E9" w:rsidRDefault="00FE04DA" w:rsidP="00E62E84">
            <w:pPr>
              <w:jc w:val="center"/>
              <w:rPr>
                <w:rFonts w:eastAsia="Times New Roman" w:cs="Calibri"/>
                <w:sz w:val="17"/>
                <w:szCs w:val="17"/>
              </w:rPr>
            </w:pPr>
            <w:r w:rsidRPr="004E13E9">
              <w:rPr>
                <w:sz w:val="17"/>
                <w:szCs w:val="17"/>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3A14A3C4" w14:textId="77777777" w:rsidR="00FE04DA" w:rsidRPr="004E13E9" w:rsidRDefault="00FE04DA" w:rsidP="00E62E84">
            <w:pPr>
              <w:jc w:val="center"/>
              <w:rPr>
                <w:sz w:val="17"/>
                <w:szCs w:val="17"/>
              </w:rPr>
            </w:pPr>
            <w:r w:rsidRPr="004E13E9">
              <w:rPr>
                <w:sz w:val="17"/>
                <w:szCs w:val="17"/>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4DB78A9" w14:textId="77777777" w:rsidR="00FE04DA" w:rsidRPr="004E13E9" w:rsidRDefault="00FE04DA" w:rsidP="00E62E84">
            <w:pPr>
              <w:jc w:val="center"/>
              <w:rPr>
                <w:rFonts w:eastAsia="Times New Roman" w:cs="Calibri"/>
                <w:kern w:val="2"/>
                <w:sz w:val="18"/>
                <w:szCs w:val="18"/>
                <w:lang w:eastAsia="ja-JP"/>
              </w:rPr>
            </w:pPr>
            <w:r w:rsidRPr="004E13E9">
              <w:rPr>
                <w:rFonts w:eastAsia="Times New Roman" w:cs="Calibri"/>
                <w:kern w:val="2"/>
                <w:sz w:val="18"/>
                <w:szCs w:val="18"/>
                <w:lang w:eastAsia="ja-JP"/>
              </w:rPr>
              <w:t>3</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B0C443" w14:textId="77777777" w:rsidR="00FE04DA" w:rsidRPr="004E13E9" w:rsidRDefault="00FE04DA" w:rsidP="00E62E84">
            <w:r w:rsidRPr="004E13E9">
              <w:rPr>
                <w:rFonts w:eastAsia="Malgun Gothic"/>
                <w:kern w:val="2"/>
                <w:sz w:val="18"/>
                <w:szCs w:val="18"/>
                <w:lang w:eastAsia="ko-KR"/>
              </w:rPr>
              <w:t> </w:t>
            </w:r>
          </w:p>
        </w:tc>
        <w:tc>
          <w:tcPr>
            <w:tcW w:w="756" w:type="dxa"/>
            <w:tcBorders>
              <w:top w:val="single" w:sz="4" w:space="0" w:color="000000"/>
              <w:left w:val="single" w:sz="4" w:space="0" w:color="000000"/>
              <w:bottom w:val="single" w:sz="4" w:space="0" w:color="000000"/>
              <w:right w:val="single" w:sz="4" w:space="0" w:color="000000"/>
            </w:tcBorders>
            <w:vAlign w:val="center"/>
          </w:tcPr>
          <w:p w14:paraId="42660226" w14:textId="77777777" w:rsidR="00FE04DA" w:rsidRPr="004E13E9" w:rsidRDefault="00FE04DA" w:rsidP="00E62E84">
            <w:pPr>
              <w:jc w:val="center"/>
              <w:rPr>
                <w:rFonts w:cs="Calibri"/>
                <w:sz w:val="17"/>
                <w:szCs w:val="17"/>
              </w:rPr>
            </w:pPr>
            <w:r w:rsidRPr="004E13E9">
              <w:rPr>
                <w:rFonts w:cs="Calibri"/>
                <w:sz w:val="17"/>
                <w:szCs w:val="17"/>
                <w:lang w:val="es-ES"/>
              </w:rPr>
              <w:t>149,34</w:t>
            </w:r>
          </w:p>
        </w:tc>
        <w:tc>
          <w:tcPr>
            <w:tcW w:w="709" w:type="dxa"/>
            <w:tcBorders>
              <w:top w:val="single" w:sz="4" w:space="0" w:color="000000"/>
              <w:left w:val="single" w:sz="4" w:space="0" w:color="000000"/>
              <w:bottom w:val="single" w:sz="4" w:space="0" w:color="000000"/>
              <w:right w:val="single" w:sz="4" w:space="0" w:color="000000"/>
            </w:tcBorders>
            <w:vAlign w:val="center"/>
          </w:tcPr>
          <w:p w14:paraId="5E6D5467" w14:textId="77777777" w:rsidR="00FE04DA" w:rsidRPr="004E13E9" w:rsidRDefault="00FE04DA" w:rsidP="00E62E84">
            <w:pPr>
              <w:jc w:val="center"/>
              <w:rPr>
                <w:rFonts w:cs="Calibri"/>
                <w:sz w:val="17"/>
                <w:szCs w:val="17"/>
              </w:rPr>
            </w:pPr>
            <w:r w:rsidRPr="004E13E9">
              <w:rPr>
                <w:rFonts w:cs="Calibri"/>
                <w:sz w:val="17"/>
                <w:szCs w:val="17"/>
                <w:lang w:val="es-ES"/>
              </w:rPr>
              <w:t>149,3</w:t>
            </w:r>
          </w:p>
        </w:tc>
        <w:tc>
          <w:tcPr>
            <w:tcW w:w="851" w:type="dxa"/>
            <w:tcBorders>
              <w:top w:val="single" w:sz="4" w:space="0" w:color="000000"/>
              <w:left w:val="single" w:sz="4" w:space="0" w:color="000000"/>
              <w:bottom w:val="single" w:sz="4" w:space="0" w:color="000000"/>
              <w:right w:val="single" w:sz="4" w:space="0" w:color="000000"/>
            </w:tcBorders>
            <w:vAlign w:val="center"/>
          </w:tcPr>
          <w:p w14:paraId="234BE323" w14:textId="77777777" w:rsidR="00FE04DA" w:rsidRPr="004E13E9" w:rsidRDefault="00FE04DA" w:rsidP="00E62E84">
            <w:pPr>
              <w:jc w:val="center"/>
              <w:rPr>
                <w:rFonts w:cs="Calibri"/>
                <w:sz w:val="17"/>
                <w:szCs w:val="17"/>
              </w:rPr>
            </w:pPr>
            <w:r w:rsidRPr="004E13E9">
              <w:rPr>
                <w:rFonts w:cs="Calibri"/>
                <w:sz w:val="17"/>
                <w:szCs w:val="17"/>
                <w:lang w:val="es-ES"/>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315588E3" w14:textId="77777777" w:rsidR="00FE04DA" w:rsidRPr="004E13E9" w:rsidRDefault="00FE04DA" w:rsidP="00E62E84">
            <w:pPr>
              <w:jc w:val="center"/>
              <w:rPr>
                <w:rFonts w:cs="Calibri"/>
                <w:sz w:val="17"/>
                <w:szCs w:val="17"/>
              </w:rPr>
            </w:pPr>
            <w:r w:rsidRPr="004E13E9">
              <w:rPr>
                <w:rFonts w:cs="Calibri"/>
                <w:sz w:val="17"/>
                <w:szCs w:val="17"/>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397137C5" w14:textId="77777777" w:rsidR="00FE04DA" w:rsidRPr="004E13E9" w:rsidRDefault="00FE04DA" w:rsidP="00E62E84">
            <w:pPr>
              <w:jc w:val="center"/>
              <w:rPr>
                <w:rFonts w:cs="Calibri"/>
                <w:sz w:val="17"/>
                <w:szCs w:val="17"/>
              </w:rPr>
            </w:pPr>
            <w:r w:rsidRPr="004E13E9">
              <w:rPr>
                <w:rFonts w:cs="Calibri"/>
                <w:sz w:val="17"/>
                <w:szCs w:val="17"/>
              </w:rPr>
              <w:t>49,78</w:t>
            </w:r>
          </w:p>
        </w:tc>
        <w:tc>
          <w:tcPr>
            <w:tcW w:w="992" w:type="dxa"/>
            <w:tcBorders>
              <w:top w:val="single" w:sz="4" w:space="0" w:color="000000"/>
              <w:left w:val="single" w:sz="4" w:space="0" w:color="000000"/>
              <w:bottom w:val="single" w:sz="4" w:space="0" w:color="000000"/>
              <w:right w:val="single" w:sz="4" w:space="0" w:color="000000"/>
            </w:tcBorders>
            <w:vAlign w:val="center"/>
          </w:tcPr>
          <w:p w14:paraId="47754919" w14:textId="77777777" w:rsidR="00FE04DA" w:rsidRPr="004E13E9" w:rsidRDefault="00FE04DA" w:rsidP="00E62E84">
            <w:pPr>
              <w:jc w:val="center"/>
              <w:rPr>
                <w:sz w:val="17"/>
                <w:szCs w:val="17"/>
              </w:rPr>
            </w:pPr>
            <w:r w:rsidRPr="004E13E9">
              <w:rPr>
                <w:sz w:val="17"/>
                <w:szCs w:val="17"/>
              </w:rPr>
              <w:t>49,78</w:t>
            </w:r>
          </w:p>
        </w:tc>
        <w:tc>
          <w:tcPr>
            <w:tcW w:w="992" w:type="dxa"/>
            <w:tcBorders>
              <w:top w:val="single" w:sz="4" w:space="0" w:color="000000"/>
              <w:left w:val="single" w:sz="4" w:space="0" w:color="000000"/>
              <w:bottom w:val="single" w:sz="4" w:space="0" w:color="000000"/>
              <w:right w:val="single" w:sz="4" w:space="0" w:color="000000"/>
            </w:tcBorders>
            <w:vAlign w:val="center"/>
          </w:tcPr>
          <w:p w14:paraId="79821753" w14:textId="77777777" w:rsidR="00FE04DA" w:rsidRPr="004E13E9" w:rsidRDefault="00FE04DA" w:rsidP="00E62E84">
            <w:pPr>
              <w:jc w:val="center"/>
              <w:rPr>
                <w:sz w:val="17"/>
                <w:szCs w:val="17"/>
              </w:rPr>
            </w:pPr>
            <w:r w:rsidRPr="004E13E9">
              <w:rPr>
                <w:sz w:val="17"/>
                <w:szCs w:val="17"/>
              </w:rPr>
              <w:t>149,34</w:t>
            </w:r>
          </w:p>
        </w:tc>
      </w:tr>
      <w:tr w:rsidR="00FE04DA" w:rsidRPr="004E13E9" w14:paraId="47DB18E8"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53F4E0F1" w14:textId="77777777" w:rsidR="00FE04DA" w:rsidRPr="004E13E9" w:rsidRDefault="00FE04DA" w:rsidP="00E62E84">
            <w:pPr>
              <w:rPr>
                <w:lang w:val="fr-FR"/>
              </w:rPr>
            </w:pPr>
            <w:r w:rsidRPr="004E13E9">
              <w:rPr>
                <w:rFonts w:eastAsia="Malgun Gothic"/>
                <w:kern w:val="2"/>
                <w:sz w:val="18"/>
                <w:szCs w:val="18"/>
                <w:lang w:val="fr-FR" w:eastAsia="ko-KR"/>
              </w:rPr>
              <w:t>Senneur de moins de 24m</w:t>
            </w:r>
          </w:p>
        </w:tc>
        <w:tc>
          <w:tcPr>
            <w:tcW w:w="1559" w:type="dxa"/>
            <w:tcBorders>
              <w:top w:val="single" w:sz="4" w:space="0" w:color="000000"/>
              <w:left w:val="single" w:sz="4" w:space="0" w:color="000000"/>
              <w:bottom w:val="single" w:sz="4" w:space="0" w:color="000000"/>
              <w:right w:val="single" w:sz="4" w:space="0" w:color="000000"/>
            </w:tcBorders>
            <w:vAlign w:val="center"/>
          </w:tcPr>
          <w:p w14:paraId="74665F1B" w14:textId="77777777" w:rsidR="00FE04DA" w:rsidRPr="004E13E9" w:rsidRDefault="00FE04DA" w:rsidP="00E62E84">
            <w:pPr>
              <w:jc w:val="center"/>
            </w:pPr>
            <w:r w:rsidRPr="004E13E9">
              <w:rPr>
                <w:rFonts w:eastAsia="Malgun Gothic"/>
                <w:kern w:val="2"/>
                <w:sz w:val="18"/>
                <w:szCs w:val="18"/>
                <w:lang w:eastAsia="ko-KR"/>
              </w:rPr>
              <w:t>33,68</w:t>
            </w:r>
          </w:p>
        </w:tc>
        <w:tc>
          <w:tcPr>
            <w:tcW w:w="709" w:type="dxa"/>
            <w:tcBorders>
              <w:top w:val="single" w:sz="4" w:space="0" w:color="000000"/>
              <w:left w:val="single" w:sz="4" w:space="0" w:color="000000"/>
              <w:bottom w:val="single" w:sz="4" w:space="0" w:color="000000"/>
              <w:right w:val="single" w:sz="4" w:space="0" w:color="000000"/>
            </w:tcBorders>
            <w:vAlign w:val="center"/>
          </w:tcPr>
          <w:p w14:paraId="165B7BAF" w14:textId="77777777" w:rsidR="00FE04DA" w:rsidRPr="004E13E9" w:rsidRDefault="00FE04DA" w:rsidP="00E62E84">
            <w:pPr>
              <w:jc w:val="center"/>
              <w:rPr>
                <w:rFonts w:eastAsia="Times New Roman" w:cs="Calibri"/>
                <w:sz w:val="17"/>
                <w:szCs w:val="17"/>
                <w:lang w:eastAsia="ja-JP"/>
              </w:rPr>
            </w:pPr>
            <w:r w:rsidRPr="004E13E9">
              <w:rPr>
                <w:rFonts w:cs="Century"/>
                <w:sz w:val="17"/>
                <w:szCs w:val="17"/>
                <w:lang w:val="es-ES"/>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4EA49934" w14:textId="77777777" w:rsidR="00FE04DA" w:rsidRPr="004E13E9" w:rsidRDefault="00FE04DA" w:rsidP="00E62E84">
            <w:pPr>
              <w:jc w:val="center"/>
              <w:rPr>
                <w:rFonts w:eastAsia="Times New Roman" w:cs="Calibri"/>
                <w:sz w:val="17"/>
                <w:szCs w:val="17"/>
              </w:rPr>
            </w:pPr>
            <w:r w:rsidRPr="004E13E9">
              <w:rPr>
                <w:rFonts w:cs="Century"/>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1B963550"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6C87F43C" w14:textId="77777777" w:rsidR="00FE04DA" w:rsidRPr="004E13E9" w:rsidRDefault="00FE04DA" w:rsidP="00E62E84">
            <w:pPr>
              <w:jc w:val="center"/>
              <w:rPr>
                <w:rFonts w:eastAsia="Times New Roman" w:cs="Calibri"/>
                <w:sz w:val="17"/>
                <w:szCs w:val="17"/>
              </w:rPr>
            </w:pPr>
            <w:r w:rsidRPr="004E13E9">
              <w:rPr>
                <w:rFonts w:cs="Century"/>
                <w:bCs/>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36B18826" w14:textId="77777777" w:rsidR="00FE04DA" w:rsidRPr="004E13E9" w:rsidRDefault="00FE04DA" w:rsidP="00E62E84">
            <w:pPr>
              <w:jc w:val="center"/>
              <w:rPr>
                <w:rFonts w:eastAsia="Times New Roman" w:cs="Calibri"/>
                <w:sz w:val="17"/>
                <w:szCs w:val="17"/>
              </w:rPr>
            </w:pPr>
            <w:r w:rsidRPr="004E13E9">
              <w:rPr>
                <w:sz w:val="17"/>
                <w:szCs w:val="17"/>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53C0F870" w14:textId="77777777" w:rsidR="00FE04DA" w:rsidRPr="004E13E9" w:rsidRDefault="00FE04DA" w:rsidP="00E62E84">
            <w:pPr>
              <w:jc w:val="center"/>
              <w:rPr>
                <w:sz w:val="17"/>
                <w:szCs w:val="17"/>
              </w:rPr>
            </w:pPr>
            <w:r w:rsidRPr="004E13E9">
              <w:rPr>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2D07CA56" w14:textId="77777777" w:rsidR="00FE04DA" w:rsidRPr="004E13E9" w:rsidRDefault="00FE04DA" w:rsidP="00E62E84">
            <w:pPr>
              <w:jc w:val="center"/>
              <w:rPr>
                <w:rFonts w:eastAsia="Times New Roman" w:cs="Calibri"/>
                <w:kern w:val="2"/>
                <w:sz w:val="18"/>
                <w:szCs w:val="18"/>
                <w:lang w:eastAsia="ja-JP"/>
              </w:rPr>
            </w:pPr>
            <w:r w:rsidRPr="004E13E9">
              <w:rPr>
                <w:rFonts w:eastAsia="Times New Roman" w:cs="Calibri"/>
                <w:kern w:val="2"/>
                <w:sz w:val="18"/>
                <w:szCs w:val="18"/>
                <w:lang w:eastAsia="ja-JP"/>
              </w:rPr>
              <w:t>0</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EA236E" w14:textId="77777777" w:rsidR="00FE04DA" w:rsidRPr="004E13E9" w:rsidRDefault="00FE04DA" w:rsidP="00E62E84">
            <w:r w:rsidRPr="004E13E9">
              <w:rPr>
                <w:rFonts w:eastAsia="Malgun Gothic"/>
                <w:kern w:val="2"/>
                <w:sz w:val="18"/>
                <w:szCs w:val="18"/>
                <w:lang w:eastAsia="ko-KR"/>
              </w:rPr>
              <w:t> </w:t>
            </w:r>
          </w:p>
        </w:tc>
        <w:tc>
          <w:tcPr>
            <w:tcW w:w="756" w:type="dxa"/>
            <w:tcBorders>
              <w:top w:val="single" w:sz="4" w:space="0" w:color="000000"/>
              <w:left w:val="single" w:sz="4" w:space="0" w:color="000000"/>
              <w:bottom w:val="single" w:sz="4" w:space="0" w:color="000000"/>
              <w:right w:val="single" w:sz="4" w:space="0" w:color="000000"/>
            </w:tcBorders>
            <w:vAlign w:val="center"/>
          </w:tcPr>
          <w:p w14:paraId="175DF2CD" w14:textId="77777777" w:rsidR="00FE04DA" w:rsidRPr="004E13E9" w:rsidRDefault="00FE04DA" w:rsidP="00E62E84">
            <w:pPr>
              <w:jc w:val="center"/>
              <w:rPr>
                <w:rFonts w:eastAsia="Times New Roman" w:cs="Calibri"/>
                <w:sz w:val="17"/>
                <w:szCs w:val="17"/>
                <w:lang w:eastAsia="ja-JP"/>
              </w:rPr>
            </w:pPr>
            <w:r w:rsidRPr="004E13E9">
              <w:rPr>
                <w:rFonts w:eastAsia="Times New Roman" w:cs="Calibri"/>
                <w:sz w:val="17"/>
                <w:szCs w:val="17"/>
                <w:lang w:eastAsia="ja-JP"/>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0A387306" w14:textId="77777777" w:rsidR="00FE04DA" w:rsidRPr="004E13E9" w:rsidRDefault="00FE04DA" w:rsidP="00E62E84">
            <w:pPr>
              <w:jc w:val="center"/>
              <w:rPr>
                <w:rFonts w:eastAsia="Times New Roman" w:cs="Calibri"/>
                <w:sz w:val="17"/>
                <w:szCs w:val="17"/>
              </w:rPr>
            </w:pPr>
            <w:r w:rsidRPr="004E13E9">
              <w:rPr>
                <w:rFonts w:cs="Century"/>
                <w:sz w:val="17"/>
                <w:szCs w:val="17"/>
                <w:lang w:val="es-ES"/>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32A16AC6" w14:textId="77777777" w:rsidR="00FE04DA" w:rsidRPr="004E13E9" w:rsidRDefault="00FE04DA" w:rsidP="00E62E84">
            <w:pPr>
              <w:jc w:val="center"/>
              <w:rPr>
                <w:rFonts w:eastAsia="Times New Roman" w:cs="Calibri"/>
                <w:sz w:val="17"/>
                <w:szCs w:val="17"/>
              </w:rPr>
            </w:pPr>
            <w:r w:rsidRPr="004E13E9">
              <w:rPr>
                <w:rFonts w:eastAsia="Times New Roman" w:cs="Calibri"/>
                <w:sz w:val="17"/>
                <w:szCs w:val="17"/>
                <w:lang w:val="es-ES" w:eastAsia="es-ES"/>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7589ED3E" w14:textId="77777777" w:rsidR="00FE04DA" w:rsidRPr="004E13E9" w:rsidRDefault="00FE04DA" w:rsidP="00E62E84">
            <w:pPr>
              <w:jc w:val="center"/>
              <w:rPr>
                <w:rFonts w:eastAsia="Times New Roman" w:cs="Calibri"/>
                <w:sz w:val="17"/>
                <w:szCs w:val="17"/>
              </w:rPr>
            </w:pPr>
            <w:r w:rsidRPr="004E13E9">
              <w:rPr>
                <w:rFonts w:cs="Century"/>
                <w:bCs/>
                <w:sz w:val="17"/>
                <w:szCs w:val="17"/>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475F5005" w14:textId="77777777" w:rsidR="00FE04DA" w:rsidRPr="004E13E9" w:rsidRDefault="00FE04DA" w:rsidP="00E62E84">
            <w:pPr>
              <w:jc w:val="center"/>
              <w:rPr>
                <w:rFonts w:eastAsia="Times New Roman" w:cs="Calibri"/>
                <w:sz w:val="17"/>
                <w:szCs w:val="17"/>
              </w:rPr>
            </w:pPr>
            <w:r w:rsidRPr="004E13E9">
              <w:rPr>
                <w:rFonts w:cs="Century"/>
                <w:bCs/>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2E8DAA42" w14:textId="77777777" w:rsidR="00FE04DA" w:rsidRPr="004E13E9" w:rsidRDefault="00FE04DA" w:rsidP="00E62E84">
            <w:pPr>
              <w:jc w:val="center"/>
              <w:rPr>
                <w:sz w:val="17"/>
                <w:szCs w:val="17"/>
              </w:rPr>
            </w:pPr>
            <w:r w:rsidRPr="004E13E9">
              <w:rPr>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0BC962AC" w14:textId="77777777" w:rsidR="00FE04DA" w:rsidRPr="004E13E9" w:rsidRDefault="00FE04DA" w:rsidP="00E62E84">
            <w:pPr>
              <w:jc w:val="center"/>
              <w:rPr>
                <w:sz w:val="17"/>
                <w:szCs w:val="17"/>
              </w:rPr>
            </w:pPr>
            <w:r w:rsidRPr="004E13E9">
              <w:rPr>
                <w:sz w:val="17"/>
                <w:szCs w:val="17"/>
              </w:rPr>
              <w:t>0</w:t>
            </w:r>
          </w:p>
        </w:tc>
      </w:tr>
      <w:tr w:rsidR="00FE04DA" w:rsidRPr="004E13E9" w14:paraId="242CEFF4"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3B574D81" w14:textId="77777777" w:rsidR="00FE04DA" w:rsidRPr="004E13E9" w:rsidRDefault="00FE04DA" w:rsidP="00E62E84">
            <w:proofErr w:type="spellStart"/>
            <w:r w:rsidRPr="004E13E9">
              <w:rPr>
                <w:rFonts w:eastAsia="Malgun Gothic"/>
                <w:b/>
                <w:kern w:val="2"/>
                <w:sz w:val="18"/>
                <w:szCs w:val="18"/>
                <w:lang w:eastAsia="ko-KR"/>
              </w:rPr>
              <w:t>Flottille</w:t>
            </w:r>
            <w:proofErr w:type="spellEnd"/>
            <w:r w:rsidRPr="004E13E9">
              <w:rPr>
                <w:rFonts w:eastAsia="Malgun Gothic"/>
                <w:b/>
                <w:kern w:val="2"/>
                <w:sz w:val="18"/>
                <w:szCs w:val="18"/>
                <w:lang w:eastAsia="ko-KR"/>
              </w:rPr>
              <w:t xml:space="preserve"> </w:t>
            </w:r>
            <w:proofErr w:type="spellStart"/>
            <w:r w:rsidRPr="004E13E9">
              <w:rPr>
                <w:rFonts w:eastAsia="Malgun Gothic"/>
                <w:b/>
                <w:kern w:val="2"/>
                <w:sz w:val="18"/>
                <w:szCs w:val="18"/>
                <w:lang w:eastAsia="ko-KR"/>
              </w:rPr>
              <w:t>totale</w:t>
            </w:r>
            <w:proofErr w:type="spellEnd"/>
            <w:r w:rsidRPr="004E13E9">
              <w:rPr>
                <w:rFonts w:eastAsia="Malgun Gothic"/>
                <w:b/>
                <w:kern w:val="2"/>
                <w:sz w:val="18"/>
                <w:szCs w:val="18"/>
                <w:lang w:eastAsia="ko-KR"/>
              </w:rPr>
              <w:t xml:space="preserve"> de </w:t>
            </w:r>
            <w:proofErr w:type="spellStart"/>
            <w:r w:rsidRPr="004E13E9">
              <w:rPr>
                <w:rFonts w:eastAsia="Malgun Gothic"/>
                <w:b/>
                <w:kern w:val="2"/>
                <w:sz w:val="18"/>
                <w:szCs w:val="18"/>
                <w:lang w:eastAsia="ko-KR"/>
              </w:rPr>
              <w:t>senneurs</w:t>
            </w:r>
            <w:proofErr w:type="spellEnd"/>
            <w:r w:rsidRPr="004E13E9">
              <w:rPr>
                <w:rFonts w:eastAsia="Malgun Gothic"/>
                <w:b/>
                <w:kern w:val="2"/>
                <w:sz w:val="18"/>
                <w:szCs w:val="18"/>
                <w:vertAlign w:val="superscript"/>
                <w:lang w:eastAsia="ko-KR"/>
              </w:rPr>
              <w:t xml:space="preserve"> </w:t>
            </w:r>
          </w:p>
        </w:tc>
        <w:tc>
          <w:tcPr>
            <w:tcW w:w="1559" w:type="dxa"/>
            <w:tcBorders>
              <w:top w:val="single" w:sz="4" w:space="0" w:color="000000"/>
              <w:left w:val="single" w:sz="4" w:space="0" w:color="000000"/>
              <w:bottom w:val="single" w:sz="4" w:space="0" w:color="000000"/>
              <w:right w:val="single" w:sz="4" w:space="0" w:color="000000"/>
            </w:tcBorders>
            <w:vAlign w:val="center"/>
          </w:tcPr>
          <w:p w14:paraId="1F4523CF" w14:textId="77777777" w:rsidR="00FE04DA" w:rsidRPr="004E13E9" w:rsidRDefault="00FE04DA" w:rsidP="00E62E84">
            <w:r w:rsidRPr="004E13E9">
              <w:rPr>
                <w:rFonts w:eastAsia="Malgun Gothic"/>
                <w:kern w:val="2"/>
                <w:sz w:val="18"/>
                <w:szCs w:val="18"/>
                <w:lang w:eastAsia="ko-KR"/>
              </w:rPr>
              <w:t> </w:t>
            </w:r>
          </w:p>
        </w:tc>
        <w:tc>
          <w:tcPr>
            <w:tcW w:w="709" w:type="dxa"/>
            <w:tcBorders>
              <w:top w:val="single" w:sz="4" w:space="0" w:color="000000"/>
              <w:left w:val="single" w:sz="4" w:space="0" w:color="000000"/>
              <w:bottom w:val="single" w:sz="4" w:space="0" w:color="000000"/>
              <w:right w:val="single" w:sz="4" w:space="0" w:color="000000"/>
            </w:tcBorders>
            <w:vAlign w:val="center"/>
          </w:tcPr>
          <w:p w14:paraId="3A7B7CCA" w14:textId="77777777" w:rsidR="00FE04DA" w:rsidRPr="004E13E9" w:rsidRDefault="00FE04DA" w:rsidP="00E62E84">
            <w:pPr>
              <w:jc w:val="center"/>
              <w:rPr>
                <w:rFonts w:eastAsia="Times New Roman" w:cs="Calibri"/>
                <w:b/>
                <w:bCs/>
                <w:sz w:val="17"/>
                <w:szCs w:val="17"/>
                <w:lang w:eastAsia="ja-JP"/>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2E6F1AE4" w14:textId="77777777" w:rsidR="00FE04DA" w:rsidRPr="004E13E9" w:rsidRDefault="00FE04DA" w:rsidP="00E62E84">
            <w:pPr>
              <w:jc w:val="center"/>
              <w:rPr>
                <w:rFonts w:eastAsia="Times New Roman" w:cs="Calibri"/>
                <w:b/>
                <w:bCs/>
                <w:sz w:val="17"/>
                <w:szCs w:val="17"/>
              </w:rPr>
            </w:pPr>
            <w:r w:rsidRPr="004E13E9">
              <w:rPr>
                <w:rFonts w:cs="Century"/>
                <w:b/>
                <w:bCs/>
                <w:sz w:val="17"/>
                <w:szCs w:val="17"/>
                <w:lang w:val="es-ES"/>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77675792" w14:textId="77777777" w:rsidR="00FE04DA" w:rsidRPr="004E13E9" w:rsidRDefault="00FE04DA" w:rsidP="00E62E84">
            <w:pPr>
              <w:jc w:val="center"/>
              <w:rPr>
                <w:rFonts w:eastAsia="Times New Roman" w:cs="Calibri"/>
                <w:b/>
                <w:bCs/>
                <w:sz w:val="17"/>
                <w:szCs w:val="17"/>
              </w:rPr>
            </w:pPr>
            <w:r w:rsidRPr="004E13E9">
              <w:rPr>
                <w:rFonts w:cs="Calibri"/>
                <w:b/>
                <w:sz w:val="17"/>
                <w:szCs w:val="17"/>
                <w:lang w:val="es-ES"/>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52976576" w14:textId="77777777" w:rsidR="00FE04DA" w:rsidRPr="004E13E9" w:rsidRDefault="00FE04DA" w:rsidP="00E62E84">
            <w:pPr>
              <w:jc w:val="center"/>
              <w:rPr>
                <w:rFonts w:eastAsia="Times New Roman" w:cs="Calibri"/>
                <w:b/>
                <w:bCs/>
                <w:sz w:val="17"/>
                <w:szCs w:val="17"/>
              </w:rPr>
            </w:pPr>
            <w:r w:rsidRPr="004E13E9">
              <w:rPr>
                <w:rFonts w:cs="Century"/>
                <w:b/>
                <w:bCs/>
                <w:sz w:val="17"/>
                <w:szCs w:val="17"/>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151C4F97" w14:textId="77777777" w:rsidR="00FE04DA" w:rsidRPr="004E13E9" w:rsidRDefault="00FE04DA" w:rsidP="00E62E84">
            <w:pPr>
              <w:jc w:val="center"/>
              <w:rPr>
                <w:rFonts w:eastAsia="Times New Roman" w:cs="Calibri"/>
                <w:b/>
                <w:bCs/>
                <w:sz w:val="17"/>
                <w:szCs w:val="17"/>
              </w:rPr>
            </w:pPr>
            <w:r w:rsidRPr="004E13E9">
              <w:rPr>
                <w:b/>
                <w:bCs/>
                <w:sz w:val="17"/>
                <w:szCs w:val="17"/>
              </w:rPr>
              <w:t>5</w:t>
            </w:r>
          </w:p>
        </w:tc>
        <w:tc>
          <w:tcPr>
            <w:tcW w:w="708" w:type="dxa"/>
            <w:tcBorders>
              <w:top w:val="single" w:sz="4" w:space="0" w:color="000000"/>
              <w:left w:val="single" w:sz="4" w:space="0" w:color="000000"/>
              <w:bottom w:val="single" w:sz="4" w:space="0" w:color="000000"/>
              <w:right w:val="single" w:sz="4" w:space="0" w:color="000000"/>
            </w:tcBorders>
            <w:vAlign w:val="center"/>
          </w:tcPr>
          <w:p w14:paraId="7A2600A9" w14:textId="77777777" w:rsidR="00FE04DA" w:rsidRPr="004E13E9" w:rsidRDefault="00FE04DA" w:rsidP="00E62E84">
            <w:pPr>
              <w:jc w:val="center"/>
              <w:rPr>
                <w:b/>
                <w:bCs/>
                <w:sz w:val="17"/>
                <w:szCs w:val="17"/>
              </w:rPr>
            </w:pPr>
            <w:r w:rsidRPr="004E13E9">
              <w:rPr>
                <w:b/>
                <w:bCs/>
                <w:sz w:val="17"/>
                <w:szCs w:val="17"/>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1EF44510" w14:textId="77777777" w:rsidR="00FE04DA" w:rsidRPr="004E13E9" w:rsidRDefault="00FE04DA" w:rsidP="00E62E84">
            <w:pPr>
              <w:jc w:val="center"/>
              <w:rPr>
                <w:rFonts w:eastAsia="Times New Roman" w:cs="Calibri"/>
                <w:kern w:val="2"/>
                <w:sz w:val="18"/>
                <w:szCs w:val="18"/>
                <w:lang w:eastAsia="ja-JP"/>
              </w:rPr>
            </w:pPr>
            <w:r w:rsidRPr="004E13E9">
              <w:rPr>
                <w:rFonts w:eastAsia="Times New Roman" w:cs="Calibri"/>
                <w:kern w:val="2"/>
                <w:sz w:val="18"/>
                <w:szCs w:val="18"/>
                <w:lang w:eastAsia="ja-JP"/>
              </w:rPr>
              <w:t>7</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0A3F6C" w14:textId="77777777" w:rsidR="00FE04DA" w:rsidRPr="004E13E9" w:rsidRDefault="00FE04DA" w:rsidP="00E62E84">
            <w:r w:rsidRPr="004E13E9">
              <w:rPr>
                <w:rFonts w:eastAsia="Malgun Gothic"/>
                <w:b/>
                <w:kern w:val="2"/>
                <w:sz w:val="18"/>
                <w:szCs w:val="18"/>
                <w:lang w:eastAsia="ko-KR"/>
              </w:rPr>
              <w:t> </w:t>
            </w:r>
          </w:p>
        </w:tc>
        <w:tc>
          <w:tcPr>
            <w:tcW w:w="756" w:type="dxa"/>
            <w:tcBorders>
              <w:top w:val="single" w:sz="4" w:space="0" w:color="000000"/>
              <w:left w:val="single" w:sz="4" w:space="0" w:color="000000"/>
              <w:bottom w:val="single" w:sz="4" w:space="0" w:color="000000"/>
              <w:right w:val="single" w:sz="4" w:space="0" w:color="000000"/>
            </w:tcBorders>
            <w:vAlign w:val="center"/>
          </w:tcPr>
          <w:p w14:paraId="502FC616" w14:textId="77777777" w:rsidR="00FE04DA" w:rsidRPr="004E13E9" w:rsidRDefault="00FE04DA" w:rsidP="00E62E84">
            <w:pPr>
              <w:jc w:val="center"/>
              <w:rPr>
                <w:rFonts w:eastAsia="Times New Roman" w:cs="Calibri"/>
                <w:b/>
                <w:bCs/>
                <w:sz w:val="17"/>
                <w:szCs w:val="17"/>
              </w:rPr>
            </w:pPr>
            <w:r w:rsidRPr="004E13E9">
              <w:rPr>
                <w:rFonts w:cs="Calibri"/>
                <w:b/>
                <w:bCs/>
                <w:sz w:val="17"/>
                <w:szCs w:val="17"/>
                <w:lang w:val="es-ES"/>
              </w:rPr>
              <w:t>220</w:t>
            </w:r>
          </w:p>
        </w:tc>
        <w:tc>
          <w:tcPr>
            <w:tcW w:w="709" w:type="dxa"/>
            <w:tcBorders>
              <w:top w:val="single" w:sz="4" w:space="0" w:color="000000"/>
              <w:left w:val="single" w:sz="4" w:space="0" w:color="000000"/>
              <w:bottom w:val="single" w:sz="4" w:space="0" w:color="000000"/>
              <w:right w:val="single" w:sz="4" w:space="0" w:color="000000"/>
            </w:tcBorders>
            <w:vAlign w:val="center"/>
          </w:tcPr>
          <w:p w14:paraId="53CF0824" w14:textId="77777777" w:rsidR="00FE04DA" w:rsidRPr="004E13E9" w:rsidRDefault="00FE04DA" w:rsidP="00E62E84">
            <w:pPr>
              <w:jc w:val="center"/>
              <w:rPr>
                <w:rFonts w:cs="Calibri"/>
                <w:b/>
                <w:bCs/>
                <w:sz w:val="17"/>
                <w:szCs w:val="17"/>
              </w:rPr>
            </w:pPr>
            <w:r w:rsidRPr="004E13E9">
              <w:rPr>
                <w:rFonts w:cs="Calibri"/>
                <w:b/>
                <w:bCs/>
                <w:sz w:val="17"/>
                <w:szCs w:val="17"/>
                <w:lang w:val="es-ES"/>
              </w:rPr>
              <w:t>220</w:t>
            </w:r>
          </w:p>
        </w:tc>
        <w:tc>
          <w:tcPr>
            <w:tcW w:w="851" w:type="dxa"/>
            <w:tcBorders>
              <w:top w:val="single" w:sz="4" w:space="0" w:color="000000"/>
              <w:left w:val="single" w:sz="4" w:space="0" w:color="000000"/>
              <w:bottom w:val="single" w:sz="4" w:space="0" w:color="000000"/>
              <w:right w:val="single" w:sz="4" w:space="0" w:color="000000"/>
            </w:tcBorders>
            <w:vAlign w:val="center"/>
          </w:tcPr>
          <w:p w14:paraId="4878383A" w14:textId="77777777" w:rsidR="00FE04DA" w:rsidRPr="004E13E9" w:rsidRDefault="00FE04DA" w:rsidP="00E62E84">
            <w:pPr>
              <w:jc w:val="center"/>
              <w:rPr>
                <w:rFonts w:cs="Calibri"/>
                <w:b/>
                <w:bCs/>
                <w:sz w:val="17"/>
                <w:szCs w:val="17"/>
              </w:rPr>
            </w:pPr>
            <w:r w:rsidRPr="004E13E9">
              <w:rPr>
                <w:rFonts w:cs="Calibri"/>
                <w:b/>
                <w:bCs/>
                <w:sz w:val="17"/>
                <w:szCs w:val="17"/>
                <w:lang w:val="es-ES"/>
              </w:rPr>
              <w:t>141,32</w:t>
            </w:r>
          </w:p>
        </w:tc>
        <w:tc>
          <w:tcPr>
            <w:tcW w:w="850" w:type="dxa"/>
            <w:tcBorders>
              <w:top w:val="single" w:sz="4" w:space="0" w:color="000000"/>
              <w:left w:val="single" w:sz="4" w:space="0" w:color="000000"/>
              <w:bottom w:val="single" w:sz="4" w:space="0" w:color="000000"/>
              <w:right w:val="single" w:sz="4" w:space="0" w:color="000000"/>
            </w:tcBorders>
            <w:vAlign w:val="center"/>
          </w:tcPr>
          <w:p w14:paraId="4711D92B" w14:textId="77777777" w:rsidR="00FE04DA" w:rsidRPr="004E13E9" w:rsidRDefault="00FE04DA" w:rsidP="00E62E84">
            <w:pPr>
              <w:jc w:val="center"/>
              <w:rPr>
                <w:rFonts w:cs="Calibri"/>
                <w:b/>
                <w:bCs/>
                <w:sz w:val="17"/>
                <w:szCs w:val="17"/>
              </w:rPr>
            </w:pPr>
            <w:r w:rsidRPr="004E13E9">
              <w:rPr>
                <w:rFonts w:cs="Century"/>
                <w:b/>
                <w:bCs/>
                <w:sz w:val="17"/>
                <w:szCs w:val="17"/>
              </w:rPr>
              <w:t>282,6</w:t>
            </w:r>
          </w:p>
        </w:tc>
        <w:tc>
          <w:tcPr>
            <w:tcW w:w="851" w:type="dxa"/>
            <w:tcBorders>
              <w:top w:val="single" w:sz="4" w:space="0" w:color="000000"/>
              <w:left w:val="single" w:sz="4" w:space="0" w:color="000000"/>
              <w:bottom w:val="single" w:sz="4" w:space="0" w:color="000000"/>
              <w:right w:val="single" w:sz="4" w:space="0" w:color="000000"/>
            </w:tcBorders>
            <w:vAlign w:val="center"/>
          </w:tcPr>
          <w:p w14:paraId="12C52722" w14:textId="77777777" w:rsidR="00FE04DA" w:rsidRPr="004E13E9" w:rsidRDefault="00FE04DA" w:rsidP="00E62E84">
            <w:pPr>
              <w:jc w:val="center"/>
              <w:rPr>
                <w:rFonts w:cs="Calibri"/>
                <w:b/>
                <w:bCs/>
                <w:sz w:val="17"/>
                <w:szCs w:val="17"/>
              </w:rPr>
            </w:pPr>
            <w:r w:rsidRPr="004E13E9">
              <w:rPr>
                <w:rFonts w:cs="Calibri"/>
                <w:b/>
                <w:bCs/>
                <w:sz w:val="17"/>
                <w:szCs w:val="17"/>
              </w:rPr>
              <w:t>332,42</w:t>
            </w:r>
          </w:p>
        </w:tc>
        <w:tc>
          <w:tcPr>
            <w:tcW w:w="992" w:type="dxa"/>
            <w:tcBorders>
              <w:top w:val="single" w:sz="4" w:space="0" w:color="000000"/>
              <w:left w:val="single" w:sz="4" w:space="0" w:color="000000"/>
              <w:bottom w:val="single" w:sz="4" w:space="0" w:color="000000"/>
              <w:right w:val="single" w:sz="4" w:space="0" w:color="000000"/>
            </w:tcBorders>
            <w:vAlign w:val="center"/>
          </w:tcPr>
          <w:p w14:paraId="307AF508" w14:textId="77777777" w:rsidR="00FE04DA" w:rsidRPr="004E13E9" w:rsidRDefault="00FE04DA" w:rsidP="00E62E84">
            <w:pPr>
              <w:jc w:val="center"/>
              <w:rPr>
                <w:sz w:val="17"/>
                <w:szCs w:val="17"/>
              </w:rPr>
            </w:pPr>
            <w:r w:rsidRPr="004E13E9">
              <w:rPr>
                <w:b/>
                <w:bCs/>
                <w:sz w:val="17"/>
                <w:szCs w:val="17"/>
              </w:rPr>
              <w:t>332,42</w:t>
            </w:r>
          </w:p>
        </w:tc>
        <w:tc>
          <w:tcPr>
            <w:tcW w:w="992" w:type="dxa"/>
            <w:tcBorders>
              <w:top w:val="single" w:sz="4" w:space="0" w:color="000000"/>
              <w:left w:val="single" w:sz="4" w:space="0" w:color="000000"/>
              <w:bottom w:val="single" w:sz="4" w:space="0" w:color="000000"/>
              <w:right w:val="single" w:sz="4" w:space="0" w:color="000000"/>
            </w:tcBorders>
            <w:vAlign w:val="center"/>
          </w:tcPr>
          <w:p w14:paraId="7816F7CA" w14:textId="77777777" w:rsidR="00FE04DA" w:rsidRPr="004E13E9" w:rsidRDefault="00FE04DA" w:rsidP="00E62E84">
            <w:pPr>
              <w:jc w:val="center"/>
              <w:rPr>
                <w:b/>
                <w:bCs/>
                <w:sz w:val="17"/>
                <w:szCs w:val="17"/>
              </w:rPr>
            </w:pPr>
            <w:r w:rsidRPr="004E13E9">
              <w:rPr>
                <w:b/>
                <w:bCs/>
                <w:sz w:val="17"/>
                <w:szCs w:val="17"/>
              </w:rPr>
              <w:t>431,98</w:t>
            </w:r>
          </w:p>
        </w:tc>
      </w:tr>
      <w:tr w:rsidR="00FE04DA" w:rsidRPr="004E13E9" w14:paraId="2D955D57"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6AFE28F2" w14:textId="77777777" w:rsidR="00FE04DA" w:rsidRPr="004E13E9" w:rsidRDefault="00FE04DA" w:rsidP="00E62E84">
            <w:pPr>
              <w:rPr>
                <w:lang w:val="fr-FR"/>
              </w:rPr>
            </w:pPr>
            <w:r w:rsidRPr="004E13E9">
              <w:rPr>
                <w:rFonts w:eastAsia="Malgun Gothic"/>
                <w:kern w:val="2"/>
                <w:sz w:val="18"/>
                <w:szCs w:val="18"/>
                <w:lang w:val="fr-FR" w:eastAsia="ko-KR"/>
              </w:rPr>
              <w:t>Palangrier de plus de 40 m</w:t>
            </w:r>
          </w:p>
        </w:tc>
        <w:tc>
          <w:tcPr>
            <w:tcW w:w="1559" w:type="dxa"/>
            <w:tcBorders>
              <w:top w:val="single" w:sz="4" w:space="0" w:color="000000"/>
              <w:left w:val="single" w:sz="4" w:space="0" w:color="000000"/>
              <w:bottom w:val="single" w:sz="4" w:space="0" w:color="000000"/>
              <w:right w:val="single" w:sz="4" w:space="0" w:color="000000"/>
            </w:tcBorders>
            <w:vAlign w:val="center"/>
          </w:tcPr>
          <w:p w14:paraId="3375CCCB" w14:textId="77777777" w:rsidR="00FE04DA" w:rsidRPr="004E13E9" w:rsidRDefault="00FE04DA" w:rsidP="00E62E84">
            <w:pPr>
              <w:jc w:val="center"/>
            </w:pPr>
            <w:r w:rsidRPr="004E13E9">
              <w:rPr>
                <w:rFonts w:eastAsia="Malgun Gothic"/>
                <w:kern w:val="2"/>
                <w:sz w:val="18"/>
                <w:szCs w:val="18"/>
                <w:lang w:eastAsia="ko-KR"/>
              </w:rPr>
              <w:t>25</w:t>
            </w:r>
          </w:p>
        </w:tc>
        <w:tc>
          <w:tcPr>
            <w:tcW w:w="709" w:type="dxa"/>
            <w:tcBorders>
              <w:top w:val="single" w:sz="4" w:space="0" w:color="000000"/>
              <w:left w:val="single" w:sz="4" w:space="0" w:color="000000"/>
              <w:bottom w:val="single" w:sz="4" w:space="0" w:color="000000"/>
              <w:right w:val="single" w:sz="4" w:space="0" w:color="000000"/>
            </w:tcBorders>
            <w:vAlign w:val="center"/>
          </w:tcPr>
          <w:p w14:paraId="493E4B68" w14:textId="77777777" w:rsidR="00FE04DA" w:rsidRPr="004E13E9" w:rsidRDefault="00FE04DA" w:rsidP="00E62E84">
            <w:pPr>
              <w:jc w:val="center"/>
              <w:rPr>
                <w:rFonts w:eastAsia="Times New Roman" w:cs="Calibri"/>
                <w:sz w:val="17"/>
                <w:szCs w:val="17"/>
                <w:lang w:eastAsia="ja-JP"/>
              </w:rPr>
            </w:pPr>
            <w:r w:rsidRPr="004E13E9">
              <w:rPr>
                <w:rFonts w:cs="Century"/>
                <w:sz w:val="17"/>
                <w:szCs w:val="17"/>
                <w:lang w:val="es-ES"/>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75DFAF71" w14:textId="77777777" w:rsidR="00FE04DA" w:rsidRPr="004E13E9" w:rsidRDefault="00FE04DA" w:rsidP="00E62E84">
            <w:pPr>
              <w:jc w:val="center"/>
              <w:rPr>
                <w:rFonts w:eastAsia="Times New Roman" w:cs="Calibri"/>
                <w:sz w:val="17"/>
                <w:szCs w:val="17"/>
              </w:rPr>
            </w:pPr>
            <w:r w:rsidRPr="004E13E9">
              <w:rPr>
                <w:rFonts w:cs="Century"/>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215A7A03"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27079796" w14:textId="77777777" w:rsidR="00FE04DA" w:rsidRPr="004E13E9" w:rsidRDefault="00FE04DA" w:rsidP="00E62E84">
            <w:pPr>
              <w:jc w:val="center"/>
              <w:rPr>
                <w:rFonts w:eastAsia="Times New Roman" w:cs="Calibri"/>
                <w:sz w:val="17"/>
                <w:szCs w:val="17"/>
              </w:rPr>
            </w:pPr>
            <w:r w:rsidRPr="004E13E9">
              <w:rPr>
                <w:rFonts w:cs="Century"/>
                <w:bCs/>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694F2ECE" w14:textId="77777777" w:rsidR="00FE04DA" w:rsidRPr="004E13E9" w:rsidRDefault="00FE04DA" w:rsidP="00E62E84">
            <w:pPr>
              <w:jc w:val="center"/>
              <w:rPr>
                <w:rFonts w:eastAsia="Times New Roman" w:cs="Calibri"/>
                <w:sz w:val="17"/>
                <w:szCs w:val="17"/>
              </w:rPr>
            </w:pPr>
            <w:r w:rsidRPr="004E13E9">
              <w:rPr>
                <w:rFonts w:cs="Century"/>
                <w:bCs/>
                <w:sz w:val="17"/>
                <w:szCs w:val="17"/>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1DC38275" w14:textId="77777777" w:rsidR="00FE04DA" w:rsidRPr="004E13E9" w:rsidRDefault="00FE04DA" w:rsidP="00E62E84">
            <w:pPr>
              <w:jc w:val="center"/>
              <w:rPr>
                <w:sz w:val="17"/>
                <w:szCs w:val="17"/>
              </w:rPr>
            </w:pPr>
            <w:r w:rsidRPr="004E13E9">
              <w:rPr>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70709260" w14:textId="77777777" w:rsidR="00FE04DA" w:rsidRPr="004E13E9" w:rsidRDefault="00FE04DA" w:rsidP="00E62E84">
            <w:pPr>
              <w:jc w:val="center"/>
              <w:rPr>
                <w:rFonts w:eastAsia="Times New Roman" w:cs="Calibri"/>
                <w:kern w:val="2"/>
                <w:sz w:val="18"/>
                <w:szCs w:val="18"/>
                <w:lang w:eastAsia="ja-JP"/>
              </w:rPr>
            </w:pPr>
            <w:r w:rsidRPr="004E13E9">
              <w:rPr>
                <w:rFonts w:eastAsia="Times New Roman" w:cs="Calibri"/>
                <w:kern w:val="2"/>
                <w:sz w:val="18"/>
                <w:szCs w:val="18"/>
                <w:lang w:eastAsia="ja-JP"/>
              </w:rPr>
              <w:t>0</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9AC5ED8" w14:textId="77777777" w:rsidR="00FE04DA" w:rsidRPr="004E13E9" w:rsidRDefault="00FE04DA" w:rsidP="00E62E84">
            <w:r w:rsidRPr="004E13E9">
              <w:rPr>
                <w:rFonts w:eastAsia="Malgun Gothic"/>
                <w:kern w:val="2"/>
                <w:sz w:val="18"/>
                <w:szCs w:val="18"/>
                <w:lang w:eastAsia="ko-KR"/>
              </w:rPr>
              <w:t> </w:t>
            </w:r>
          </w:p>
        </w:tc>
        <w:tc>
          <w:tcPr>
            <w:tcW w:w="756" w:type="dxa"/>
            <w:tcBorders>
              <w:top w:val="single" w:sz="4" w:space="0" w:color="000000"/>
              <w:left w:val="single" w:sz="4" w:space="0" w:color="000000"/>
              <w:bottom w:val="single" w:sz="4" w:space="0" w:color="000000"/>
              <w:right w:val="single" w:sz="4" w:space="0" w:color="000000"/>
            </w:tcBorders>
            <w:vAlign w:val="center"/>
          </w:tcPr>
          <w:p w14:paraId="54BF4295" w14:textId="77777777" w:rsidR="00FE04DA" w:rsidRPr="004E13E9" w:rsidRDefault="00FE04DA" w:rsidP="00E62E84">
            <w:pPr>
              <w:jc w:val="center"/>
              <w:rPr>
                <w:rFonts w:eastAsia="Times New Roman" w:cs="Calibri"/>
                <w:sz w:val="17"/>
                <w:szCs w:val="17"/>
                <w:lang w:eastAsia="ja-JP"/>
              </w:rPr>
            </w:pPr>
            <w:r w:rsidRPr="004E13E9">
              <w:rPr>
                <w:rFonts w:cs="Century"/>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486A3E39" w14:textId="77777777" w:rsidR="00FE04DA" w:rsidRPr="004E13E9" w:rsidRDefault="00FE04DA" w:rsidP="00E62E84">
            <w:pPr>
              <w:jc w:val="center"/>
              <w:rPr>
                <w:rFonts w:eastAsia="Times New Roman" w:cs="Calibri"/>
                <w:sz w:val="17"/>
                <w:szCs w:val="17"/>
              </w:rPr>
            </w:pPr>
            <w:r w:rsidRPr="004E13E9">
              <w:rPr>
                <w:rFonts w:cs="Century"/>
                <w:sz w:val="17"/>
                <w:szCs w:val="17"/>
                <w:lang w:val="es-ES"/>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2EE1E05B"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2A68E01F" w14:textId="77777777" w:rsidR="00FE04DA" w:rsidRPr="004E13E9" w:rsidRDefault="00FE04DA" w:rsidP="00E62E84">
            <w:pPr>
              <w:jc w:val="center"/>
              <w:rPr>
                <w:rFonts w:eastAsia="Times New Roman" w:cs="Calibri"/>
                <w:sz w:val="17"/>
                <w:szCs w:val="17"/>
              </w:rPr>
            </w:pPr>
            <w:r w:rsidRPr="004E13E9">
              <w:rPr>
                <w:rFonts w:cs="Century"/>
                <w:bCs/>
                <w:sz w:val="17"/>
                <w:szCs w:val="17"/>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146ACFAB" w14:textId="77777777" w:rsidR="00FE04DA" w:rsidRPr="004E13E9" w:rsidRDefault="00FE04DA" w:rsidP="00E62E84">
            <w:pPr>
              <w:jc w:val="center"/>
              <w:rPr>
                <w:rFonts w:eastAsia="Times New Roman" w:cs="Calibri"/>
                <w:sz w:val="17"/>
                <w:szCs w:val="17"/>
              </w:rPr>
            </w:pPr>
            <w:r w:rsidRPr="004E13E9">
              <w:rPr>
                <w:rFonts w:cs="Century"/>
                <w:bCs/>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60AD94C2" w14:textId="77777777" w:rsidR="00FE04DA" w:rsidRPr="004E13E9" w:rsidRDefault="00FE04DA" w:rsidP="00E62E84">
            <w:pPr>
              <w:jc w:val="center"/>
              <w:rPr>
                <w:sz w:val="17"/>
                <w:szCs w:val="17"/>
              </w:rPr>
            </w:pPr>
            <w:r w:rsidRPr="004E13E9">
              <w:rPr>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7E30B4CF" w14:textId="77777777" w:rsidR="00FE04DA" w:rsidRPr="004E13E9" w:rsidRDefault="00FE04DA" w:rsidP="00E62E84">
            <w:pPr>
              <w:jc w:val="center"/>
              <w:rPr>
                <w:sz w:val="17"/>
                <w:szCs w:val="17"/>
              </w:rPr>
            </w:pPr>
            <w:r w:rsidRPr="004E13E9">
              <w:rPr>
                <w:sz w:val="17"/>
                <w:szCs w:val="17"/>
              </w:rPr>
              <w:t>0</w:t>
            </w:r>
          </w:p>
        </w:tc>
      </w:tr>
      <w:tr w:rsidR="00FE04DA" w:rsidRPr="004E13E9" w14:paraId="7B6E3B82"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562A9B0F" w14:textId="77777777" w:rsidR="00FE04DA" w:rsidRPr="004E13E9" w:rsidRDefault="00FE04DA" w:rsidP="00E62E84">
            <w:proofErr w:type="spellStart"/>
            <w:r w:rsidRPr="004E13E9">
              <w:rPr>
                <w:rFonts w:eastAsia="Malgun Gothic"/>
                <w:kern w:val="2"/>
                <w:sz w:val="18"/>
                <w:szCs w:val="18"/>
                <w:lang w:eastAsia="ko-KR"/>
              </w:rPr>
              <w:t>Palangrier</w:t>
            </w:r>
            <w:proofErr w:type="spellEnd"/>
            <w:r w:rsidRPr="004E13E9">
              <w:rPr>
                <w:rFonts w:eastAsia="Malgun Gothic"/>
                <w:kern w:val="2"/>
                <w:sz w:val="18"/>
                <w:szCs w:val="18"/>
                <w:lang w:eastAsia="ko-KR"/>
              </w:rPr>
              <w:t xml:space="preserve"> entre 24 et 40 m</w:t>
            </w:r>
          </w:p>
        </w:tc>
        <w:tc>
          <w:tcPr>
            <w:tcW w:w="1559" w:type="dxa"/>
            <w:tcBorders>
              <w:top w:val="single" w:sz="4" w:space="0" w:color="000000"/>
              <w:left w:val="single" w:sz="4" w:space="0" w:color="000000"/>
              <w:bottom w:val="single" w:sz="4" w:space="0" w:color="000000"/>
              <w:right w:val="single" w:sz="4" w:space="0" w:color="000000"/>
            </w:tcBorders>
            <w:vAlign w:val="center"/>
          </w:tcPr>
          <w:p w14:paraId="3B8B8117" w14:textId="77777777" w:rsidR="00FE04DA" w:rsidRPr="004E13E9" w:rsidRDefault="00FE04DA" w:rsidP="00E62E84">
            <w:pPr>
              <w:jc w:val="center"/>
            </w:pPr>
            <w:r w:rsidRPr="004E13E9">
              <w:rPr>
                <w:rFonts w:eastAsia="Malgun Gothic"/>
                <w:kern w:val="2"/>
                <w:sz w:val="18"/>
                <w:szCs w:val="18"/>
                <w:lang w:eastAsia="ko-KR"/>
              </w:rPr>
              <w:t>5,68</w:t>
            </w:r>
          </w:p>
        </w:tc>
        <w:tc>
          <w:tcPr>
            <w:tcW w:w="709" w:type="dxa"/>
            <w:tcBorders>
              <w:top w:val="single" w:sz="4" w:space="0" w:color="000000"/>
              <w:left w:val="single" w:sz="4" w:space="0" w:color="000000"/>
              <w:bottom w:val="single" w:sz="4" w:space="0" w:color="000000"/>
              <w:right w:val="single" w:sz="4" w:space="0" w:color="000000"/>
            </w:tcBorders>
            <w:vAlign w:val="center"/>
          </w:tcPr>
          <w:p w14:paraId="71E425BF" w14:textId="77777777" w:rsidR="00FE04DA" w:rsidRPr="004E13E9" w:rsidRDefault="00FE04DA" w:rsidP="00E62E84">
            <w:pPr>
              <w:jc w:val="center"/>
              <w:rPr>
                <w:rFonts w:eastAsia="Times New Roman" w:cs="Calibri"/>
                <w:sz w:val="17"/>
                <w:szCs w:val="17"/>
                <w:lang w:eastAsia="ja-JP"/>
              </w:rPr>
            </w:pPr>
            <w:r w:rsidRPr="004E13E9">
              <w:rPr>
                <w:rFonts w:cs="Century"/>
                <w:sz w:val="17"/>
                <w:szCs w:val="17"/>
                <w:lang w:val="es-ES"/>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5888FAC9" w14:textId="77777777" w:rsidR="00FE04DA" w:rsidRPr="004E13E9" w:rsidRDefault="00FE04DA" w:rsidP="00E62E84">
            <w:pPr>
              <w:jc w:val="center"/>
              <w:rPr>
                <w:rFonts w:eastAsia="Times New Roman" w:cs="Calibri"/>
                <w:sz w:val="17"/>
                <w:szCs w:val="17"/>
              </w:rPr>
            </w:pPr>
            <w:r w:rsidRPr="004E13E9">
              <w:rPr>
                <w:rFonts w:cs="Century"/>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1A09C82A"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0450B041" w14:textId="77777777" w:rsidR="00FE04DA" w:rsidRPr="004E13E9" w:rsidRDefault="00FE04DA" w:rsidP="00E62E84">
            <w:pPr>
              <w:jc w:val="center"/>
              <w:rPr>
                <w:rFonts w:eastAsia="Times New Roman" w:cs="Calibri"/>
                <w:sz w:val="17"/>
                <w:szCs w:val="17"/>
              </w:rPr>
            </w:pPr>
            <w:r w:rsidRPr="004E13E9">
              <w:rPr>
                <w:rFonts w:cs="Century"/>
                <w:bCs/>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26865B8C" w14:textId="77777777" w:rsidR="00FE04DA" w:rsidRPr="004E13E9" w:rsidRDefault="00FE04DA" w:rsidP="00E62E84">
            <w:pPr>
              <w:jc w:val="center"/>
              <w:rPr>
                <w:rFonts w:eastAsia="Times New Roman" w:cs="Calibri"/>
                <w:sz w:val="17"/>
                <w:szCs w:val="17"/>
              </w:rPr>
            </w:pPr>
            <w:r w:rsidRPr="004E13E9">
              <w:rPr>
                <w:rFonts w:cs="Century"/>
                <w:bCs/>
                <w:sz w:val="17"/>
                <w:szCs w:val="17"/>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0B72CA9A" w14:textId="77777777" w:rsidR="00FE04DA" w:rsidRPr="004E13E9" w:rsidRDefault="00FE04DA" w:rsidP="00E62E84">
            <w:pPr>
              <w:jc w:val="center"/>
              <w:rPr>
                <w:sz w:val="17"/>
                <w:szCs w:val="17"/>
              </w:rPr>
            </w:pPr>
            <w:r w:rsidRPr="004E13E9">
              <w:rPr>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4DD32706" w14:textId="77777777" w:rsidR="00FE04DA" w:rsidRPr="004E13E9" w:rsidRDefault="00FE04DA" w:rsidP="00E62E84">
            <w:pPr>
              <w:jc w:val="center"/>
              <w:rPr>
                <w:rFonts w:eastAsia="Times New Roman" w:cs="Calibri"/>
                <w:kern w:val="2"/>
                <w:sz w:val="18"/>
                <w:szCs w:val="18"/>
                <w:lang w:eastAsia="ja-JP"/>
              </w:rPr>
            </w:pPr>
            <w:r w:rsidRPr="004E13E9">
              <w:rPr>
                <w:rFonts w:eastAsia="Times New Roman" w:cs="Calibri"/>
                <w:kern w:val="2"/>
                <w:sz w:val="18"/>
                <w:szCs w:val="18"/>
                <w:lang w:eastAsia="ja-JP"/>
              </w:rPr>
              <w:t>1</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8CEA0C" w14:textId="77777777" w:rsidR="00FE04DA" w:rsidRPr="004E13E9" w:rsidRDefault="00FE04DA" w:rsidP="00E62E84">
            <w:r w:rsidRPr="004E13E9">
              <w:rPr>
                <w:rFonts w:eastAsia="Malgun Gothic"/>
                <w:kern w:val="2"/>
                <w:sz w:val="18"/>
                <w:szCs w:val="18"/>
                <w:lang w:eastAsia="ko-KR"/>
              </w:rPr>
              <w:t> </w:t>
            </w:r>
          </w:p>
        </w:tc>
        <w:tc>
          <w:tcPr>
            <w:tcW w:w="756" w:type="dxa"/>
            <w:tcBorders>
              <w:top w:val="single" w:sz="4" w:space="0" w:color="000000"/>
              <w:left w:val="single" w:sz="4" w:space="0" w:color="000000"/>
              <w:bottom w:val="single" w:sz="4" w:space="0" w:color="000000"/>
              <w:right w:val="single" w:sz="4" w:space="0" w:color="000000"/>
            </w:tcBorders>
            <w:vAlign w:val="center"/>
          </w:tcPr>
          <w:p w14:paraId="10FB922C" w14:textId="77777777" w:rsidR="00FE04DA" w:rsidRPr="004E13E9" w:rsidRDefault="00FE04DA" w:rsidP="00E62E84">
            <w:pPr>
              <w:jc w:val="center"/>
              <w:rPr>
                <w:rFonts w:eastAsia="Times New Roman" w:cs="Calibri"/>
                <w:sz w:val="17"/>
                <w:szCs w:val="17"/>
                <w:lang w:eastAsia="ja-JP"/>
              </w:rPr>
            </w:pPr>
            <w:r w:rsidRPr="004E13E9">
              <w:rPr>
                <w:rFonts w:cs="Century"/>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1E236439" w14:textId="77777777" w:rsidR="00FE04DA" w:rsidRPr="004E13E9" w:rsidRDefault="00FE04DA" w:rsidP="00E62E84">
            <w:pPr>
              <w:jc w:val="center"/>
              <w:rPr>
                <w:rFonts w:eastAsia="Times New Roman" w:cs="Calibri"/>
                <w:sz w:val="17"/>
                <w:szCs w:val="17"/>
              </w:rPr>
            </w:pPr>
            <w:r w:rsidRPr="004E13E9">
              <w:rPr>
                <w:rFonts w:cs="Century"/>
                <w:sz w:val="17"/>
                <w:szCs w:val="17"/>
                <w:lang w:val="es-ES"/>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4EC8A810"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02E440FD" w14:textId="77777777" w:rsidR="00FE04DA" w:rsidRPr="004E13E9" w:rsidRDefault="00FE04DA" w:rsidP="00E62E84">
            <w:pPr>
              <w:jc w:val="center"/>
              <w:rPr>
                <w:rFonts w:eastAsia="Times New Roman" w:cs="Calibri"/>
                <w:sz w:val="17"/>
                <w:szCs w:val="17"/>
              </w:rPr>
            </w:pPr>
            <w:r w:rsidRPr="004E13E9">
              <w:rPr>
                <w:rFonts w:cs="Century"/>
                <w:bCs/>
                <w:sz w:val="17"/>
                <w:szCs w:val="17"/>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099DCEDA" w14:textId="77777777" w:rsidR="00FE04DA" w:rsidRPr="004E13E9" w:rsidRDefault="00FE04DA" w:rsidP="00E62E84">
            <w:pPr>
              <w:jc w:val="center"/>
              <w:rPr>
                <w:rFonts w:eastAsia="Times New Roman" w:cs="Calibri"/>
                <w:sz w:val="17"/>
                <w:szCs w:val="17"/>
              </w:rPr>
            </w:pPr>
            <w:r w:rsidRPr="004E13E9">
              <w:rPr>
                <w:rFonts w:cs="Century"/>
                <w:bCs/>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061549BB" w14:textId="77777777" w:rsidR="00FE04DA" w:rsidRPr="004E13E9" w:rsidRDefault="00FE04DA" w:rsidP="00E62E84">
            <w:pPr>
              <w:jc w:val="center"/>
              <w:rPr>
                <w:sz w:val="17"/>
                <w:szCs w:val="17"/>
              </w:rPr>
            </w:pPr>
            <w:r w:rsidRPr="004E13E9">
              <w:rPr>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79BA4ECE" w14:textId="77777777" w:rsidR="00FE04DA" w:rsidRPr="004E13E9" w:rsidRDefault="00FE04DA" w:rsidP="00E62E84">
            <w:pPr>
              <w:jc w:val="center"/>
              <w:rPr>
                <w:sz w:val="17"/>
                <w:szCs w:val="17"/>
              </w:rPr>
            </w:pPr>
            <w:r w:rsidRPr="004E13E9">
              <w:rPr>
                <w:sz w:val="17"/>
                <w:szCs w:val="17"/>
              </w:rPr>
              <w:t>5,68</w:t>
            </w:r>
          </w:p>
        </w:tc>
      </w:tr>
      <w:tr w:rsidR="00FE04DA" w:rsidRPr="004E13E9" w14:paraId="30993463"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4EEDDB25" w14:textId="77777777" w:rsidR="00FE04DA" w:rsidRPr="004E13E9" w:rsidRDefault="00FE04DA" w:rsidP="00E62E84">
            <w:pPr>
              <w:rPr>
                <w:lang w:val="fr-FR"/>
              </w:rPr>
            </w:pPr>
            <w:r w:rsidRPr="004E13E9">
              <w:rPr>
                <w:rFonts w:eastAsia="Malgun Gothic"/>
                <w:kern w:val="2"/>
                <w:sz w:val="18"/>
                <w:szCs w:val="18"/>
                <w:lang w:val="fr-FR" w:eastAsia="ko-KR"/>
              </w:rPr>
              <w:t>Palangrier de moins de 24 m</w:t>
            </w:r>
          </w:p>
        </w:tc>
        <w:tc>
          <w:tcPr>
            <w:tcW w:w="1559" w:type="dxa"/>
            <w:tcBorders>
              <w:top w:val="single" w:sz="4" w:space="0" w:color="000000"/>
              <w:left w:val="single" w:sz="4" w:space="0" w:color="000000"/>
              <w:bottom w:val="single" w:sz="4" w:space="0" w:color="000000"/>
              <w:right w:val="single" w:sz="4" w:space="0" w:color="000000"/>
            </w:tcBorders>
            <w:vAlign w:val="center"/>
          </w:tcPr>
          <w:p w14:paraId="15FCEA18" w14:textId="77777777" w:rsidR="00FE04DA" w:rsidRPr="004E13E9" w:rsidRDefault="00FE04DA" w:rsidP="00E62E84">
            <w:pPr>
              <w:jc w:val="center"/>
            </w:pPr>
            <w:r w:rsidRPr="004E13E9">
              <w:rPr>
                <w:rFonts w:eastAsia="Malgun Gothic"/>
                <w:kern w:val="2"/>
                <w:sz w:val="18"/>
                <w:szCs w:val="18"/>
                <w:lang w:eastAsia="ko-KR"/>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22AD516B" w14:textId="77777777" w:rsidR="00FE04DA" w:rsidRPr="004E13E9" w:rsidRDefault="00FE04DA" w:rsidP="00E62E84">
            <w:pPr>
              <w:jc w:val="center"/>
              <w:rPr>
                <w:rFonts w:eastAsia="Times New Roman" w:cs="Calibri"/>
                <w:sz w:val="17"/>
                <w:szCs w:val="17"/>
                <w:lang w:eastAsia="ja-JP"/>
              </w:rPr>
            </w:pPr>
            <w:r w:rsidRPr="004E13E9">
              <w:rPr>
                <w:rFonts w:cs="Century"/>
                <w:sz w:val="17"/>
                <w:szCs w:val="17"/>
                <w:lang w:val="es-ES"/>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6E194046" w14:textId="77777777" w:rsidR="00FE04DA" w:rsidRPr="004E13E9" w:rsidRDefault="00FE04DA" w:rsidP="00E62E84">
            <w:pPr>
              <w:jc w:val="center"/>
              <w:rPr>
                <w:rFonts w:eastAsia="Times New Roman" w:cs="Calibri"/>
                <w:sz w:val="17"/>
                <w:szCs w:val="17"/>
              </w:rPr>
            </w:pPr>
            <w:r w:rsidRPr="004E13E9">
              <w:rPr>
                <w:rFonts w:cs="Century"/>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59C3A56E"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41AE4B4C" w14:textId="77777777" w:rsidR="00FE04DA" w:rsidRPr="004E13E9" w:rsidRDefault="00FE04DA" w:rsidP="00E62E84">
            <w:pPr>
              <w:jc w:val="center"/>
              <w:rPr>
                <w:rFonts w:eastAsia="Times New Roman" w:cs="Calibri"/>
                <w:sz w:val="17"/>
                <w:szCs w:val="17"/>
              </w:rPr>
            </w:pPr>
            <w:r w:rsidRPr="004E13E9">
              <w:rPr>
                <w:rFonts w:cs="Century"/>
                <w:bCs/>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568B7062" w14:textId="77777777" w:rsidR="00FE04DA" w:rsidRPr="004E13E9" w:rsidRDefault="00FE04DA" w:rsidP="00E62E84">
            <w:pPr>
              <w:jc w:val="center"/>
              <w:rPr>
                <w:rFonts w:eastAsia="Times New Roman" w:cs="Calibri"/>
                <w:sz w:val="17"/>
                <w:szCs w:val="17"/>
              </w:rPr>
            </w:pPr>
            <w:r w:rsidRPr="004E13E9">
              <w:rPr>
                <w:rFonts w:cs="Century"/>
                <w:bCs/>
                <w:sz w:val="17"/>
                <w:szCs w:val="17"/>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3E634E45" w14:textId="77777777" w:rsidR="00FE04DA" w:rsidRPr="004E13E9" w:rsidRDefault="00FE04DA" w:rsidP="00E62E84">
            <w:pPr>
              <w:jc w:val="center"/>
              <w:rPr>
                <w:sz w:val="17"/>
                <w:szCs w:val="17"/>
              </w:rPr>
            </w:pPr>
            <w:r w:rsidRPr="004E13E9">
              <w:rPr>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02BE91C6" w14:textId="77777777" w:rsidR="00FE04DA" w:rsidRPr="004E13E9" w:rsidRDefault="00FE04DA" w:rsidP="00E62E84">
            <w:pPr>
              <w:jc w:val="center"/>
              <w:rPr>
                <w:rFonts w:eastAsia="Times New Roman" w:cs="Calibri"/>
                <w:kern w:val="2"/>
                <w:sz w:val="18"/>
                <w:szCs w:val="18"/>
                <w:lang w:eastAsia="ja-JP"/>
              </w:rPr>
            </w:pPr>
            <w:r w:rsidRPr="004E13E9">
              <w:rPr>
                <w:rFonts w:eastAsia="Times New Roman" w:cs="Calibri"/>
                <w:kern w:val="2"/>
                <w:sz w:val="18"/>
                <w:szCs w:val="18"/>
                <w:lang w:eastAsia="ja-JP"/>
              </w:rPr>
              <w:t>0</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EB1133" w14:textId="77777777" w:rsidR="00FE04DA" w:rsidRPr="004E13E9" w:rsidRDefault="00FE04DA" w:rsidP="00E62E84">
            <w:r w:rsidRPr="004E13E9">
              <w:rPr>
                <w:rFonts w:eastAsia="Malgun Gothic"/>
                <w:kern w:val="2"/>
                <w:sz w:val="18"/>
                <w:szCs w:val="18"/>
                <w:lang w:eastAsia="ko-KR"/>
              </w:rPr>
              <w:t> </w:t>
            </w:r>
          </w:p>
        </w:tc>
        <w:tc>
          <w:tcPr>
            <w:tcW w:w="756" w:type="dxa"/>
            <w:tcBorders>
              <w:top w:val="single" w:sz="4" w:space="0" w:color="000000"/>
              <w:left w:val="single" w:sz="4" w:space="0" w:color="000000"/>
              <w:bottom w:val="single" w:sz="4" w:space="0" w:color="000000"/>
              <w:right w:val="single" w:sz="4" w:space="0" w:color="000000"/>
            </w:tcBorders>
            <w:vAlign w:val="center"/>
          </w:tcPr>
          <w:p w14:paraId="4BFFBB2E" w14:textId="77777777" w:rsidR="00FE04DA" w:rsidRPr="004E13E9" w:rsidRDefault="00FE04DA" w:rsidP="00E62E84">
            <w:pPr>
              <w:jc w:val="center"/>
              <w:rPr>
                <w:rFonts w:eastAsia="Times New Roman" w:cs="Calibri"/>
                <w:sz w:val="17"/>
                <w:szCs w:val="17"/>
                <w:lang w:eastAsia="ja-JP"/>
              </w:rPr>
            </w:pPr>
            <w:r w:rsidRPr="004E13E9">
              <w:rPr>
                <w:rFonts w:cs="Century"/>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2CBCA289" w14:textId="77777777" w:rsidR="00FE04DA" w:rsidRPr="004E13E9" w:rsidRDefault="00FE04DA" w:rsidP="00E62E84">
            <w:pPr>
              <w:jc w:val="center"/>
              <w:rPr>
                <w:rFonts w:eastAsia="Times New Roman" w:cs="Calibri"/>
                <w:sz w:val="17"/>
                <w:szCs w:val="17"/>
              </w:rPr>
            </w:pPr>
            <w:r w:rsidRPr="004E13E9">
              <w:rPr>
                <w:rFonts w:cs="Century"/>
                <w:sz w:val="17"/>
                <w:szCs w:val="17"/>
                <w:lang w:val="es-ES"/>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5BB43EE7"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2CDE1BA8" w14:textId="77777777" w:rsidR="00FE04DA" w:rsidRPr="004E13E9" w:rsidRDefault="00FE04DA" w:rsidP="00E62E84">
            <w:pPr>
              <w:jc w:val="center"/>
              <w:rPr>
                <w:rFonts w:eastAsia="Times New Roman" w:cs="Calibri"/>
                <w:sz w:val="17"/>
                <w:szCs w:val="17"/>
              </w:rPr>
            </w:pPr>
            <w:r w:rsidRPr="004E13E9">
              <w:rPr>
                <w:rFonts w:cs="Century"/>
                <w:bCs/>
                <w:sz w:val="17"/>
                <w:szCs w:val="17"/>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5FD7B98C" w14:textId="77777777" w:rsidR="00FE04DA" w:rsidRPr="004E13E9" w:rsidRDefault="00FE04DA" w:rsidP="00E62E84">
            <w:pPr>
              <w:jc w:val="center"/>
              <w:rPr>
                <w:rFonts w:eastAsia="Times New Roman" w:cs="Calibri"/>
                <w:sz w:val="17"/>
                <w:szCs w:val="17"/>
              </w:rPr>
            </w:pPr>
            <w:r w:rsidRPr="004E13E9">
              <w:rPr>
                <w:rFonts w:cs="Century"/>
                <w:bCs/>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71F60E91" w14:textId="77777777" w:rsidR="00FE04DA" w:rsidRPr="004E13E9" w:rsidRDefault="00FE04DA" w:rsidP="00E62E84">
            <w:pPr>
              <w:jc w:val="center"/>
              <w:rPr>
                <w:sz w:val="17"/>
                <w:szCs w:val="17"/>
              </w:rPr>
            </w:pPr>
            <w:r w:rsidRPr="004E13E9">
              <w:rPr>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0799C14C" w14:textId="77777777" w:rsidR="00FE04DA" w:rsidRPr="004E13E9" w:rsidRDefault="00FE04DA" w:rsidP="00E62E84">
            <w:pPr>
              <w:jc w:val="center"/>
              <w:rPr>
                <w:sz w:val="17"/>
                <w:szCs w:val="17"/>
              </w:rPr>
            </w:pPr>
            <w:r w:rsidRPr="004E13E9">
              <w:rPr>
                <w:sz w:val="17"/>
                <w:szCs w:val="17"/>
              </w:rPr>
              <w:t>0</w:t>
            </w:r>
          </w:p>
        </w:tc>
      </w:tr>
      <w:tr w:rsidR="00FE04DA" w:rsidRPr="004E13E9" w14:paraId="186B6DD3"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007B8127" w14:textId="77777777" w:rsidR="00FE04DA" w:rsidRPr="004E13E9" w:rsidRDefault="00FE04DA" w:rsidP="00E62E84">
            <w:proofErr w:type="spellStart"/>
            <w:r w:rsidRPr="004E13E9">
              <w:rPr>
                <w:rFonts w:eastAsia="Malgun Gothic"/>
                <w:b/>
                <w:kern w:val="2"/>
                <w:sz w:val="18"/>
                <w:szCs w:val="18"/>
                <w:lang w:eastAsia="ko-KR"/>
              </w:rPr>
              <w:t>Flottille</w:t>
            </w:r>
            <w:proofErr w:type="spellEnd"/>
            <w:r w:rsidRPr="004E13E9">
              <w:rPr>
                <w:rFonts w:eastAsia="Malgun Gothic"/>
                <w:b/>
                <w:kern w:val="2"/>
                <w:sz w:val="18"/>
                <w:szCs w:val="18"/>
                <w:lang w:eastAsia="ko-KR"/>
              </w:rPr>
              <w:t xml:space="preserve"> </w:t>
            </w:r>
            <w:proofErr w:type="spellStart"/>
            <w:r w:rsidRPr="004E13E9">
              <w:rPr>
                <w:rFonts w:eastAsia="Malgun Gothic"/>
                <w:b/>
                <w:kern w:val="2"/>
                <w:sz w:val="18"/>
                <w:szCs w:val="18"/>
                <w:lang w:eastAsia="ko-KR"/>
              </w:rPr>
              <w:t>totale</w:t>
            </w:r>
            <w:proofErr w:type="spellEnd"/>
            <w:r w:rsidRPr="004E13E9">
              <w:rPr>
                <w:rFonts w:eastAsia="Malgun Gothic"/>
                <w:b/>
                <w:kern w:val="2"/>
                <w:sz w:val="18"/>
                <w:szCs w:val="18"/>
                <w:lang w:eastAsia="ko-KR"/>
              </w:rPr>
              <w:t xml:space="preserve"> de </w:t>
            </w:r>
            <w:proofErr w:type="spellStart"/>
            <w:r w:rsidRPr="004E13E9">
              <w:rPr>
                <w:rFonts w:eastAsia="Malgun Gothic"/>
                <w:b/>
                <w:kern w:val="2"/>
                <w:sz w:val="18"/>
                <w:szCs w:val="18"/>
                <w:lang w:eastAsia="ko-KR"/>
              </w:rPr>
              <w:t>palangriers</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1D1657B6" w14:textId="77777777" w:rsidR="00FE04DA" w:rsidRPr="004E13E9" w:rsidRDefault="00FE04DA" w:rsidP="00E62E84">
            <w:r w:rsidRPr="004E13E9">
              <w:rPr>
                <w:rFonts w:eastAsia="Malgun Gothic"/>
                <w:kern w:val="2"/>
                <w:sz w:val="18"/>
                <w:szCs w:val="18"/>
                <w:lang w:eastAsia="ko-KR"/>
              </w:rPr>
              <w:t> </w:t>
            </w:r>
          </w:p>
        </w:tc>
        <w:tc>
          <w:tcPr>
            <w:tcW w:w="709" w:type="dxa"/>
            <w:tcBorders>
              <w:top w:val="single" w:sz="4" w:space="0" w:color="000000"/>
              <w:left w:val="single" w:sz="4" w:space="0" w:color="000000"/>
              <w:bottom w:val="single" w:sz="4" w:space="0" w:color="000000"/>
              <w:right w:val="single" w:sz="4" w:space="0" w:color="000000"/>
            </w:tcBorders>
            <w:vAlign w:val="center"/>
          </w:tcPr>
          <w:p w14:paraId="7D2FB0D7" w14:textId="77777777" w:rsidR="00FE04DA" w:rsidRPr="004E13E9" w:rsidRDefault="00FE04DA" w:rsidP="00E62E84">
            <w:pPr>
              <w:jc w:val="center"/>
              <w:rPr>
                <w:rFonts w:eastAsia="Times New Roman" w:cs="Calibri"/>
                <w:b/>
                <w:sz w:val="17"/>
                <w:szCs w:val="17"/>
                <w:lang w:eastAsia="ja-JP"/>
              </w:rPr>
            </w:pPr>
            <w:r w:rsidRPr="004E13E9">
              <w:rPr>
                <w:rFonts w:cs="Century"/>
                <w:b/>
                <w:sz w:val="17"/>
                <w:szCs w:val="17"/>
                <w:lang w:val="es-ES"/>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29A017A3" w14:textId="77777777" w:rsidR="00FE04DA" w:rsidRPr="004E13E9" w:rsidRDefault="00FE04DA" w:rsidP="00E62E84">
            <w:pPr>
              <w:jc w:val="center"/>
              <w:rPr>
                <w:rFonts w:eastAsia="Times New Roman" w:cs="Calibri"/>
                <w:b/>
                <w:sz w:val="17"/>
                <w:szCs w:val="17"/>
              </w:rPr>
            </w:pPr>
            <w:r w:rsidRPr="004E13E9">
              <w:rPr>
                <w:rFonts w:cs="Century"/>
                <w:b/>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7DB79D41" w14:textId="77777777" w:rsidR="00FE04DA" w:rsidRPr="004E13E9" w:rsidRDefault="00FE04DA" w:rsidP="00E62E84">
            <w:pPr>
              <w:jc w:val="center"/>
              <w:rPr>
                <w:rFonts w:eastAsia="Times New Roman" w:cs="Calibri"/>
                <w:b/>
                <w:sz w:val="17"/>
                <w:szCs w:val="17"/>
              </w:rPr>
            </w:pPr>
            <w:r w:rsidRPr="004E13E9">
              <w:rPr>
                <w:rFonts w:cs="Calibri"/>
                <w:b/>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0818CD0A" w14:textId="77777777" w:rsidR="00FE04DA" w:rsidRPr="004E13E9" w:rsidRDefault="00FE04DA" w:rsidP="00E62E84">
            <w:pPr>
              <w:jc w:val="center"/>
              <w:rPr>
                <w:rFonts w:eastAsia="Times New Roman" w:cs="Calibri"/>
                <w:b/>
                <w:sz w:val="17"/>
                <w:szCs w:val="17"/>
              </w:rPr>
            </w:pPr>
            <w:r w:rsidRPr="004E13E9">
              <w:rPr>
                <w:rFonts w:cs="Century"/>
                <w:b/>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3A7EA704" w14:textId="77777777" w:rsidR="00FE04DA" w:rsidRPr="004E13E9" w:rsidRDefault="00FE04DA" w:rsidP="00E62E84">
            <w:pPr>
              <w:jc w:val="center"/>
              <w:rPr>
                <w:rFonts w:eastAsia="Times New Roman" w:cs="Calibri"/>
                <w:b/>
                <w:sz w:val="17"/>
                <w:szCs w:val="17"/>
              </w:rPr>
            </w:pPr>
            <w:r w:rsidRPr="004E13E9">
              <w:rPr>
                <w:rFonts w:cs="Century"/>
                <w:b/>
                <w:sz w:val="17"/>
                <w:szCs w:val="17"/>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27DA08A4" w14:textId="77777777" w:rsidR="00FE04DA" w:rsidRPr="004E13E9" w:rsidRDefault="00FE04DA" w:rsidP="00E62E84">
            <w:pPr>
              <w:jc w:val="center"/>
              <w:rPr>
                <w:b/>
                <w:sz w:val="17"/>
                <w:szCs w:val="17"/>
              </w:rPr>
            </w:pPr>
            <w:r w:rsidRPr="004E13E9">
              <w:rPr>
                <w:b/>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728A3A4A" w14:textId="77777777" w:rsidR="00FE04DA" w:rsidRPr="004E13E9" w:rsidRDefault="00FE04DA" w:rsidP="00E62E84">
            <w:pPr>
              <w:jc w:val="center"/>
              <w:rPr>
                <w:rFonts w:eastAsia="Times New Roman" w:cs="Calibri"/>
                <w:b/>
                <w:bCs/>
                <w:kern w:val="2"/>
                <w:sz w:val="18"/>
                <w:szCs w:val="18"/>
                <w:lang w:eastAsia="ja-JP"/>
              </w:rPr>
            </w:pPr>
            <w:r w:rsidRPr="004E13E9">
              <w:rPr>
                <w:rFonts w:eastAsia="Times New Roman" w:cs="Calibri"/>
                <w:b/>
                <w:bCs/>
                <w:kern w:val="2"/>
                <w:sz w:val="18"/>
                <w:szCs w:val="18"/>
                <w:lang w:eastAsia="ja-JP"/>
              </w:rPr>
              <w:t>1</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B2A5C" w14:textId="77777777" w:rsidR="00FE04DA" w:rsidRPr="004E13E9" w:rsidRDefault="00FE04DA" w:rsidP="00E62E84">
            <w:r w:rsidRPr="004E13E9">
              <w:rPr>
                <w:rFonts w:eastAsia="Malgun Gothic"/>
                <w:b/>
                <w:kern w:val="2"/>
                <w:sz w:val="18"/>
                <w:szCs w:val="18"/>
                <w:lang w:eastAsia="ko-KR"/>
              </w:rPr>
              <w:t> </w:t>
            </w:r>
          </w:p>
        </w:tc>
        <w:tc>
          <w:tcPr>
            <w:tcW w:w="756" w:type="dxa"/>
            <w:tcBorders>
              <w:top w:val="single" w:sz="4" w:space="0" w:color="000000"/>
              <w:left w:val="single" w:sz="4" w:space="0" w:color="000000"/>
              <w:bottom w:val="single" w:sz="4" w:space="0" w:color="000000"/>
              <w:right w:val="single" w:sz="4" w:space="0" w:color="000000"/>
            </w:tcBorders>
            <w:vAlign w:val="center"/>
          </w:tcPr>
          <w:p w14:paraId="47C4E077" w14:textId="77777777" w:rsidR="00FE04DA" w:rsidRPr="004E13E9" w:rsidRDefault="00FE04DA" w:rsidP="00E62E84">
            <w:pPr>
              <w:jc w:val="center"/>
              <w:rPr>
                <w:rFonts w:eastAsia="Times New Roman" w:cs="Calibri"/>
                <w:b/>
                <w:sz w:val="17"/>
                <w:szCs w:val="17"/>
                <w:lang w:eastAsia="ja-JP"/>
              </w:rPr>
            </w:pPr>
            <w:r w:rsidRPr="004E13E9">
              <w:rPr>
                <w:rFonts w:cs="Century"/>
                <w:b/>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66E41549" w14:textId="77777777" w:rsidR="00FE04DA" w:rsidRPr="004E13E9" w:rsidRDefault="00FE04DA" w:rsidP="00E62E84">
            <w:pPr>
              <w:jc w:val="center"/>
              <w:rPr>
                <w:rFonts w:eastAsia="Times New Roman" w:cs="Calibri"/>
                <w:b/>
                <w:sz w:val="17"/>
                <w:szCs w:val="17"/>
              </w:rPr>
            </w:pPr>
            <w:r w:rsidRPr="004E13E9">
              <w:rPr>
                <w:rFonts w:cs="Century"/>
                <w:b/>
                <w:sz w:val="17"/>
                <w:szCs w:val="17"/>
                <w:lang w:val="es-ES"/>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57118C7A" w14:textId="77777777" w:rsidR="00FE04DA" w:rsidRPr="004E13E9" w:rsidRDefault="00FE04DA" w:rsidP="00E62E84">
            <w:pPr>
              <w:jc w:val="center"/>
              <w:rPr>
                <w:rFonts w:eastAsia="Times New Roman" w:cs="Calibri"/>
                <w:b/>
                <w:sz w:val="17"/>
                <w:szCs w:val="17"/>
              </w:rPr>
            </w:pPr>
            <w:r w:rsidRPr="004E13E9">
              <w:rPr>
                <w:rFonts w:cs="Calibri"/>
                <w:b/>
                <w:sz w:val="17"/>
                <w:szCs w:val="17"/>
                <w:lang w:val="es-ES"/>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574700EE" w14:textId="77777777" w:rsidR="00FE04DA" w:rsidRPr="004E13E9" w:rsidRDefault="00FE04DA" w:rsidP="00E62E84">
            <w:pPr>
              <w:jc w:val="center"/>
              <w:rPr>
                <w:rFonts w:eastAsia="Times New Roman" w:cs="Calibri"/>
                <w:b/>
                <w:sz w:val="17"/>
                <w:szCs w:val="17"/>
              </w:rPr>
            </w:pPr>
            <w:r w:rsidRPr="004E13E9">
              <w:rPr>
                <w:rFonts w:cs="Century"/>
                <w:b/>
                <w:sz w:val="17"/>
                <w:szCs w:val="17"/>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59FB97C8" w14:textId="77777777" w:rsidR="00FE04DA" w:rsidRPr="004E13E9" w:rsidRDefault="00FE04DA" w:rsidP="00E62E84">
            <w:pPr>
              <w:jc w:val="center"/>
              <w:rPr>
                <w:rFonts w:eastAsia="Times New Roman" w:cs="Calibri"/>
                <w:b/>
                <w:sz w:val="17"/>
                <w:szCs w:val="17"/>
              </w:rPr>
            </w:pPr>
            <w:r w:rsidRPr="004E13E9">
              <w:rPr>
                <w:rFonts w:cs="Century"/>
                <w:b/>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23FAAE06" w14:textId="77777777" w:rsidR="00FE04DA" w:rsidRPr="004E13E9" w:rsidRDefault="00FE04DA" w:rsidP="00E62E84">
            <w:pPr>
              <w:jc w:val="center"/>
              <w:rPr>
                <w:sz w:val="17"/>
                <w:szCs w:val="17"/>
              </w:rPr>
            </w:pPr>
            <w:r w:rsidRPr="004E13E9">
              <w:rPr>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62F2D1E7" w14:textId="77777777" w:rsidR="00FE04DA" w:rsidRPr="004E13E9" w:rsidRDefault="00FE04DA" w:rsidP="00E62E84">
            <w:pPr>
              <w:jc w:val="center"/>
              <w:rPr>
                <w:sz w:val="17"/>
                <w:szCs w:val="17"/>
              </w:rPr>
            </w:pPr>
            <w:r w:rsidRPr="004E13E9">
              <w:rPr>
                <w:b/>
                <w:sz w:val="17"/>
                <w:szCs w:val="17"/>
              </w:rPr>
              <w:t>5,68</w:t>
            </w:r>
          </w:p>
        </w:tc>
      </w:tr>
      <w:tr w:rsidR="00FE04DA" w:rsidRPr="004E13E9" w14:paraId="6A0D5634"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6C61087F" w14:textId="77777777" w:rsidR="00FE04DA" w:rsidRPr="004E13E9" w:rsidRDefault="00FE04DA" w:rsidP="00E62E84">
            <w:proofErr w:type="spellStart"/>
            <w:r w:rsidRPr="004E13E9">
              <w:rPr>
                <w:rFonts w:eastAsia="Malgun Gothic"/>
                <w:kern w:val="2"/>
                <w:sz w:val="18"/>
                <w:szCs w:val="18"/>
                <w:lang w:eastAsia="ko-KR"/>
              </w:rPr>
              <w:t>Canneur</w:t>
            </w:r>
            <w:proofErr w:type="spellEnd"/>
            <w:r w:rsidRPr="004E13E9">
              <w:rPr>
                <w:rFonts w:eastAsia="Malgun Gothic"/>
                <w:kern w:val="2"/>
                <w:sz w:val="18"/>
                <w:szCs w:val="18"/>
                <w:lang w:eastAsia="ko-KR"/>
              </w:rPr>
              <w:t xml:space="preserve"> </w:t>
            </w:r>
          </w:p>
        </w:tc>
        <w:tc>
          <w:tcPr>
            <w:tcW w:w="1559" w:type="dxa"/>
            <w:tcBorders>
              <w:top w:val="single" w:sz="4" w:space="0" w:color="000000"/>
              <w:left w:val="single" w:sz="4" w:space="0" w:color="000000"/>
              <w:bottom w:val="single" w:sz="4" w:space="0" w:color="000000"/>
              <w:right w:val="single" w:sz="4" w:space="0" w:color="000000"/>
            </w:tcBorders>
            <w:vAlign w:val="center"/>
          </w:tcPr>
          <w:p w14:paraId="618FEFF6" w14:textId="77777777" w:rsidR="00FE04DA" w:rsidRPr="004E13E9" w:rsidRDefault="00FE04DA" w:rsidP="00E62E84">
            <w:pPr>
              <w:jc w:val="center"/>
            </w:pPr>
            <w:r w:rsidRPr="004E13E9">
              <w:rPr>
                <w:rFonts w:eastAsia="Malgun Gothic"/>
                <w:kern w:val="2"/>
                <w:sz w:val="18"/>
                <w:szCs w:val="18"/>
                <w:lang w:eastAsia="ko-KR"/>
              </w:rPr>
              <w:t>19,75</w:t>
            </w:r>
          </w:p>
        </w:tc>
        <w:tc>
          <w:tcPr>
            <w:tcW w:w="709" w:type="dxa"/>
            <w:tcBorders>
              <w:top w:val="single" w:sz="4" w:space="0" w:color="000000"/>
              <w:left w:val="single" w:sz="4" w:space="0" w:color="000000"/>
              <w:bottom w:val="single" w:sz="4" w:space="0" w:color="000000"/>
              <w:right w:val="single" w:sz="4" w:space="0" w:color="000000"/>
            </w:tcBorders>
            <w:vAlign w:val="center"/>
          </w:tcPr>
          <w:p w14:paraId="69F5AC12" w14:textId="77777777" w:rsidR="00FE04DA" w:rsidRPr="004E13E9" w:rsidRDefault="00FE04DA" w:rsidP="00E62E84">
            <w:pPr>
              <w:jc w:val="center"/>
              <w:rPr>
                <w:rFonts w:eastAsia="Times New Roman" w:cs="Calibri"/>
                <w:sz w:val="17"/>
                <w:szCs w:val="17"/>
                <w:lang w:eastAsia="ja-JP"/>
              </w:rPr>
            </w:pPr>
            <w:r w:rsidRPr="004E13E9">
              <w:rPr>
                <w:rFonts w:cs="Century"/>
                <w:sz w:val="17"/>
                <w:szCs w:val="17"/>
                <w:lang w:val="es-ES"/>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10D72A79" w14:textId="77777777" w:rsidR="00FE04DA" w:rsidRPr="004E13E9" w:rsidRDefault="00FE04DA" w:rsidP="00E62E84">
            <w:pPr>
              <w:jc w:val="center"/>
              <w:rPr>
                <w:rFonts w:eastAsia="Times New Roman" w:cs="Calibri"/>
                <w:sz w:val="17"/>
                <w:szCs w:val="17"/>
              </w:rPr>
            </w:pPr>
            <w:r w:rsidRPr="004E13E9">
              <w:rPr>
                <w:rFonts w:cs="Century"/>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29852812"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745EF248" w14:textId="77777777" w:rsidR="00FE04DA" w:rsidRPr="004E13E9" w:rsidRDefault="00FE04DA" w:rsidP="00E62E84">
            <w:pPr>
              <w:jc w:val="center"/>
              <w:rPr>
                <w:rFonts w:eastAsia="Times New Roman" w:cs="Calibri"/>
                <w:sz w:val="17"/>
                <w:szCs w:val="17"/>
              </w:rPr>
            </w:pPr>
            <w:r w:rsidRPr="004E13E9">
              <w:rPr>
                <w:rFonts w:cs="Century"/>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7981B9C0" w14:textId="77777777" w:rsidR="00FE04DA" w:rsidRPr="004E13E9" w:rsidRDefault="00FE04DA" w:rsidP="00E62E84">
            <w:pPr>
              <w:jc w:val="center"/>
              <w:rPr>
                <w:rFonts w:eastAsia="Times New Roman" w:cs="Calibri"/>
                <w:sz w:val="17"/>
                <w:szCs w:val="17"/>
              </w:rPr>
            </w:pPr>
            <w:r w:rsidRPr="004E13E9">
              <w:rPr>
                <w:rFonts w:cs="Century"/>
                <w:sz w:val="17"/>
                <w:szCs w:val="17"/>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00BFF5DD" w14:textId="77777777" w:rsidR="00FE04DA" w:rsidRPr="004E13E9" w:rsidRDefault="00FE04DA" w:rsidP="00E62E84">
            <w:pPr>
              <w:jc w:val="center"/>
              <w:rPr>
                <w:sz w:val="17"/>
                <w:szCs w:val="17"/>
              </w:rPr>
            </w:pPr>
            <w:r w:rsidRPr="004E13E9">
              <w:rPr>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5F47BD2E" w14:textId="77777777" w:rsidR="00FE04DA" w:rsidRPr="004E13E9" w:rsidRDefault="00FE04DA" w:rsidP="00E62E84">
            <w:pPr>
              <w:jc w:val="center"/>
              <w:rPr>
                <w:rFonts w:eastAsia="Times New Roman" w:cs="Calibri"/>
                <w:kern w:val="2"/>
                <w:sz w:val="18"/>
                <w:szCs w:val="18"/>
                <w:lang w:eastAsia="ja-JP"/>
              </w:rPr>
            </w:pPr>
            <w:r w:rsidRPr="004E13E9">
              <w:rPr>
                <w:rFonts w:eastAsia="Times New Roman" w:cs="Calibri"/>
                <w:kern w:val="2"/>
                <w:sz w:val="18"/>
                <w:szCs w:val="18"/>
                <w:lang w:eastAsia="ja-JP"/>
              </w:rPr>
              <w:t>0</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3179C2" w14:textId="77777777" w:rsidR="00FE04DA" w:rsidRPr="004E13E9" w:rsidRDefault="00FE04DA" w:rsidP="00E62E84">
            <w:r w:rsidRPr="004E13E9">
              <w:rPr>
                <w:rFonts w:eastAsia="Malgun Gothic"/>
                <w:b/>
                <w:kern w:val="2"/>
                <w:sz w:val="18"/>
                <w:szCs w:val="18"/>
                <w:lang w:eastAsia="ko-KR"/>
              </w:rPr>
              <w:t> </w:t>
            </w:r>
          </w:p>
        </w:tc>
        <w:tc>
          <w:tcPr>
            <w:tcW w:w="756" w:type="dxa"/>
            <w:tcBorders>
              <w:top w:val="single" w:sz="4" w:space="0" w:color="000000"/>
              <w:left w:val="single" w:sz="4" w:space="0" w:color="000000"/>
              <w:bottom w:val="single" w:sz="4" w:space="0" w:color="000000"/>
              <w:right w:val="single" w:sz="4" w:space="0" w:color="000000"/>
            </w:tcBorders>
            <w:vAlign w:val="center"/>
          </w:tcPr>
          <w:p w14:paraId="2B18E9EF" w14:textId="77777777" w:rsidR="00FE04DA" w:rsidRPr="004E13E9" w:rsidRDefault="00FE04DA" w:rsidP="00E62E84">
            <w:pPr>
              <w:jc w:val="center"/>
              <w:rPr>
                <w:rFonts w:eastAsia="Times New Roman" w:cs="Calibri"/>
                <w:sz w:val="17"/>
                <w:szCs w:val="17"/>
                <w:lang w:eastAsia="ja-JP"/>
              </w:rPr>
            </w:pPr>
            <w:r w:rsidRPr="004E13E9">
              <w:rPr>
                <w:rFonts w:cs="Century"/>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75D34339" w14:textId="77777777" w:rsidR="00FE04DA" w:rsidRPr="004E13E9" w:rsidRDefault="00FE04DA" w:rsidP="00E62E84">
            <w:pPr>
              <w:jc w:val="center"/>
              <w:rPr>
                <w:rFonts w:eastAsia="Times New Roman" w:cs="Calibri"/>
                <w:sz w:val="17"/>
                <w:szCs w:val="17"/>
              </w:rPr>
            </w:pPr>
            <w:r w:rsidRPr="004E13E9">
              <w:rPr>
                <w:rFonts w:cs="Century"/>
                <w:sz w:val="17"/>
                <w:szCs w:val="17"/>
                <w:lang w:val="es-ES"/>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44C6D3E6"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1ABBF181" w14:textId="77777777" w:rsidR="00FE04DA" w:rsidRPr="004E13E9" w:rsidRDefault="00FE04DA" w:rsidP="00E62E84">
            <w:pPr>
              <w:jc w:val="center"/>
              <w:rPr>
                <w:rFonts w:eastAsia="Times New Roman" w:cs="Calibri"/>
                <w:sz w:val="17"/>
                <w:szCs w:val="17"/>
              </w:rPr>
            </w:pPr>
            <w:r w:rsidRPr="004E13E9">
              <w:rPr>
                <w:rFonts w:cs="Century"/>
                <w:sz w:val="17"/>
                <w:szCs w:val="17"/>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372C9843" w14:textId="77777777" w:rsidR="00FE04DA" w:rsidRPr="004E13E9" w:rsidRDefault="00FE04DA" w:rsidP="00E62E84">
            <w:pPr>
              <w:jc w:val="center"/>
              <w:rPr>
                <w:rFonts w:eastAsia="Times New Roman" w:cs="Calibri"/>
                <w:sz w:val="17"/>
                <w:szCs w:val="17"/>
              </w:rPr>
            </w:pPr>
            <w:r w:rsidRPr="004E13E9">
              <w:rPr>
                <w:rFonts w:cs="Century"/>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44DA173C" w14:textId="77777777" w:rsidR="00FE04DA" w:rsidRPr="004E13E9" w:rsidRDefault="00FE04DA" w:rsidP="00E62E84">
            <w:pPr>
              <w:jc w:val="center"/>
              <w:rPr>
                <w:sz w:val="17"/>
                <w:szCs w:val="17"/>
              </w:rPr>
            </w:pPr>
            <w:r w:rsidRPr="004E13E9">
              <w:rPr>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7DBA2AEA" w14:textId="77777777" w:rsidR="00FE04DA" w:rsidRPr="004E13E9" w:rsidRDefault="00FE04DA" w:rsidP="00E62E84">
            <w:pPr>
              <w:jc w:val="center"/>
              <w:rPr>
                <w:sz w:val="17"/>
                <w:szCs w:val="17"/>
              </w:rPr>
            </w:pPr>
            <w:r w:rsidRPr="004E13E9">
              <w:rPr>
                <w:sz w:val="17"/>
                <w:szCs w:val="17"/>
              </w:rPr>
              <w:t>0</w:t>
            </w:r>
          </w:p>
        </w:tc>
      </w:tr>
      <w:tr w:rsidR="00FE04DA" w:rsidRPr="004E13E9" w14:paraId="05FDB6A3"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1CB10B32" w14:textId="77777777" w:rsidR="00FE04DA" w:rsidRPr="004E13E9" w:rsidRDefault="00FE04DA" w:rsidP="00E62E84">
            <w:r w:rsidRPr="004E13E9">
              <w:rPr>
                <w:rFonts w:eastAsia="Malgun Gothic"/>
                <w:kern w:val="2"/>
                <w:sz w:val="18"/>
                <w:szCs w:val="18"/>
                <w:lang w:eastAsia="ko-KR"/>
              </w:rPr>
              <w:t>Ligne à main</w:t>
            </w:r>
          </w:p>
        </w:tc>
        <w:tc>
          <w:tcPr>
            <w:tcW w:w="1559" w:type="dxa"/>
            <w:tcBorders>
              <w:top w:val="single" w:sz="4" w:space="0" w:color="000000"/>
              <w:left w:val="single" w:sz="4" w:space="0" w:color="000000"/>
              <w:bottom w:val="single" w:sz="4" w:space="0" w:color="000000"/>
              <w:right w:val="single" w:sz="4" w:space="0" w:color="000000"/>
            </w:tcBorders>
            <w:vAlign w:val="center"/>
          </w:tcPr>
          <w:p w14:paraId="4F072BC5" w14:textId="77777777" w:rsidR="00FE04DA" w:rsidRPr="004E13E9" w:rsidRDefault="00FE04DA" w:rsidP="00E62E84">
            <w:pPr>
              <w:jc w:val="center"/>
            </w:pPr>
            <w:r w:rsidRPr="004E13E9">
              <w:rPr>
                <w:rFonts w:eastAsia="Malgun Gothic"/>
                <w:kern w:val="2"/>
                <w:sz w:val="18"/>
                <w:szCs w:val="18"/>
                <w:lang w:eastAsia="ko-KR"/>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6126FDA8" w14:textId="77777777" w:rsidR="00FE04DA" w:rsidRPr="004E13E9" w:rsidRDefault="00FE04DA" w:rsidP="00E62E84">
            <w:pPr>
              <w:jc w:val="center"/>
              <w:rPr>
                <w:rFonts w:eastAsia="Times New Roman" w:cs="Calibri"/>
                <w:sz w:val="17"/>
                <w:szCs w:val="17"/>
                <w:lang w:eastAsia="ja-JP"/>
              </w:rPr>
            </w:pPr>
            <w:r w:rsidRPr="004E13E9">
              <w:rPr>
                <w:rFonts w:cs="Century"/>
                <w:sz w:val="17"/>
                <w:szCs w:val="17"/>
                <w:lang w:val="es-ES"/>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2FDDEEBF" w14:textId="77777777" w:rsidR="00FE04DA" w:rsidRPr="004E13E9" w:rsidRDefault="00FE04DA" w:rsidP="00E62E84">
            <w:pPr>
              <w:jc w:val="center"/>
              <w:rPr>
                <w:rFonts w:eastAsia="Times New Roman" w:cs="Calibri"/>
                <w:sz w:val="17"/>
                <w:szCs w:val="17"/>
              </w:rPr>
            </w:pPr>
            <w:r w:rsidRPr="004E13E9">
              <w:rPr>
                <w:rFonts w:cs="Century"/>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701CF19F"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216E519B" w14:textId="77777777" w:rsidR="00FE04DA" w:rsidRPr="004E13E9" w:rsidRDefault="00FE04DA" w:rsidP="00E62E84">
            <w:pPr>
              <w:jc w:val="center"/>
              <w:rPr>
                <w:rFonts w:eastAsia="Times New Roman" w:cs="Calibri"/>
                <w:sz w:val="17"/>
                <w:szCs w:val="17"/>
              </w:rPr>
            </w:pPr>
            <w:r w:rsidRPr="004E13E9">
              <w:rPr>
                <w:rFonts w:cs="Century"/>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203D7011" w14:textId="77777777" w:rsidR="00FE04DA" w:rsidRPr="004E13E9" w:rsidRDefault="00FE04DA" w:rsidP="00E62E84">
            <w:pPr>
              <w:jc w:val="center"/>
              <w:rPr>
                <w:rFonts w:eastAsia="Times New Roman" w:cs="Calibri"/>
                <w:sz w:val="17"/>
                <w:szCs w:val="17"/>
              </w:rPr>
            </w:pPr>
            <w:r w:rsidRPr="004E13E9">
              <w:rPr>
                <w:rFonts w:cs="Century"/>
                <w:sz w:val="17"/>
                <w:szCs w:val="17"/>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7000FDF6" w14:textId="77777777" w:rsidR="00FE04DA" w:rsidRPr="004E13E9" w:rsidRDefault="00FE04DA" w:rsidP="00E62E84">
            <w:pPr>
              <w:jc w:val="center"/>
              <w:rPr>
                <w:sz w:val="17"/>
                <w:szCs w:val="17"/>
              </w:rPr>
            </w:pPr>
            <w:r w:rsidRPr="004E13E9">
              <w:rPr>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711BB2A3" w14:textId="77777777" w:rsidR="00FE04DA" w:rsidRPr="004E13E9" w:rsidRDefault="00FE04DA" w:rsidP="00E62E84">
            <w:pPr>
              <w:jc w:val="center"/>
              <w:rPr>
                <w:rFonts w:eastAsia="Times New Roman" w:cs="Calibri"/>
                <w:kern w:val="2"/>
                <w:sz w:val="18"/>
                <w:szCs w:val="18"/>
                <w:lang w:eastAsia="ja-JP"/>
              </w:rPr>
            </w:pPr>
            <w:r w:rsidRPr="004E13E9">
              <w:rPr>
                <w:rFonts w:eastAsia="Times New Roman" w:cs="Calibri"/>
                <w:kern w:val="2"/>
                <w:sz w:val="18"/>
                <w:szCs w:val="18"/>
                <w:lang w:eastAsia="ja-JP"/>
              </w:rPr>
              <w:t>0</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A10330" w14:textId="77777777" w:rsidR="00FE04DA" w:rsidRPr="004E13E9" w:rsidRDefault="00FE04DA" w:rsidP="00E62E84">
            <w:r w:rsidRPr="004E13E9">
              <w:rPr>
                <w:rFonts w:eastAsia="Malgun Gothic"/>
                <w:kern w:val="2"/>
                <w:sz w:val="18"/>
                <w:szCs w:val="18"/>
                <w:lang w:eastAsia="ko-KR"/>
              </w:rPr>
              <w:t> </w:t>
            </w:r>
          </w:p>
        </w:tc>
        <w:tc>
          <w:tcPr>
            <w:tcW w:w="756" w:type="dxa"/>
            <w:tcBorders>
              <w:top w:val="single" w:sz="4" w:space="0" w:color="000000"/>
              <w:left w:val="single" w:sz="4" w:space="0" w:color="000000"/>
              <w:bottom w:val="single" w:sz="4" w:space="0" w:color="000000"/>
              <w:right w:val="single" w:sz="4" w:space="0" w:color="000000"/>
            </w:tcBorders>
            <w:vAlign w:val="center"/>
          </w:tcPr>
          <w:p w14:paraId="1204188A" w14:textId="77777777" w:rsidR="00FE04DA" w:rsidRPr="004E13E9" w:rsidRDefault="00FE04DA" w:rsidP="00E62E84">
            <w:pPr>
              <w:jc w:val="center"/>
              <w:rPr>
                <w:rFonts w:eastAsia="Times New Roman" w:cs="Calibri"/>
                <w:sz w:val="17"/>
                <w:szCs w:val="17"/>
                <w:lang w:eastAsia="ja-JP"/>
              </w:rPr>
            </w:pPr>
            <w:r w:rsidRPr="004E13E9">
              <w:rPr>
                <w:rFonts w:cs="Century"/>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422E2047" w14:textId="77777777" w:rsidR="00FE04DA" w:rsidRPr="004E13E9" w:rsidRDefault="00FE04DA" w:rsidP="00E62E84">
            <w:pPr>
              <w:jc w:val="center"/>
              <w:rPr>
                <w:rFonts w:eastAsia="Times New Roman" w:cs="Calibri"/>
                <w:sz w:val="17"/>
                <w:szCs w:val="17"/>
              </w:rPr>
            </w:pPr>
            <w:r w:rsidRPr="004E13E9">
              <w:rPr>
                <w:rFonts w:cs="Century"/>
                <w:sz w:val="17"/>
                <w:szCs w:val="17"/>
                <w:lang w:val="es-ES"/>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7E991BD5"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52CDA4A0" w14:textId="77777777" w:rsidR="00FE04DA" w:rsidRPr="004E13E9" w:rsidRDefault="00FE04DA" w:rsidP="00E62E84">
            <w:pPr>
              <w:jc w:val="center"/>
              <w:rPr>
                <w:rFonts w:eastAsia="Times New Roman" w:cs="Calibri"/>
                <w:sz w:val="17"/>
                <w:szCs w:val="17"/>
              </w:rPr>
            </w:pPr>
            <w:r w:rsidRPr="004E13E9">
              <w:rPr>
                <w:rFonts w:cs="Century"/>
                <w:sz w:val="17"/>
                <w:szCs w:val="17"/>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36317DD8" w14:textId="77777777" w:rsidR="00FE04DA" w:rsidRPr="004E13E9" w:rsidRDefault="00FE04DA" w:rsidP="00E62E84">
            <w:pPr>
              <w:jc w:val="center"/>
              <w:rPr>
                <w:rFonts w:eastAsia="Times New Roman" w:cs="Calibri"/>
                <w:sz w:val="17"/>
                <w:szCs w:val="17"/>
              </w:rPr>
            </w:pPr>
            <w:r w:rsidRPr="004E13E9">
              <w:rPr>
                <w:rFonts w:cs="Century"/>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23B59AA4" w14:textId="77777777" w:rsidR="00FE04DA" w:rsidRPr="004E13E9" w:rsidRDefault="00FE04DA" w:rsidP="00E62E84">
            <w:pPr>
              <w:jc w:val="center"/>
              <w:rPr>
                <w:sz w:val="17"/>
                <w:szCs w:val="17"/>
              </w:rPr>
            </w:pPr>
            <w:r w:rsidRPr="004E13E9">
              <w:rPr>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08FA50E2" w14:textId="77777777" w:rsidR="00FE04DA" w:rsidRPr="004E13E9" w:rsidRDefault="00FE04DA" w:rsidP="00E62E84">
            <w:pPr>
              <w:jc w:val="center"/>
              <w:rPr>
                <w:sz w:val="17"/>
                <w:szCs w:val="17"/>
              </w:rPr>
            </w:pPr>
            <w:r w:rsidRPr="004E13E9">
              <w:rPr>
                <w:sz w:val="17"/>
                <w:szCs w:val="17"/>
              </w:rPr>
              <w:t>0</w:t>
            </w:r>
          </w:p>
        </w:tc>
      </w:tr>
      <w:tr w:rsidR="00FE04DA" w:rsidRPr="004E13E9" w14:paraId="244C34BD"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71543818" w14:textId="77777777" w:rsidR="00FE04DA" w:rsidRPr="004E13E9" w:rsidRDefault="00FE04DA" w:rsidP="00E62E84">
            <w:proofErr w:type="spellStart"/>
            <w:r w:rsidRPr="004E13E9">
              <w:rPr>
                <w:rFonts w:eastAsia="Malgun Gothic"/>
                <w:kern w:val="2"/>
                <w:sz w:val="18"/>
                <w:szCs w:val="18"/>
                <w:lang w:eastAsia="ko-KR"/>
              </w:rPr>
              <w:t>Chalutier</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46F8E95A" w14:textId="77777777" w:rsidR="00FE04DA" w:rsidRPr="004E13E9" w:rsidRDefault="00FE04DA" w:rsidP="00E62E84">
            <w:pPr>
              <w:jc w:val="center"/>
            </w:pPr>
            <w:r w:rsidRPr="004E13E9">
              <w:rPr>
                <w:rFonts w:eastAsia="Malgun Gothic"/>
                <w:kern w:val="2"/>
                <w:sz w:val="18"/>
                <w:szCs w:val="18"/>
                <w:lang w:eastAsia="ko-KR"/>
              </w:rPr>
              <w:t>10</w:t>
            </w:r>
          </w:p>
        </w:tc>
        <w:tc>
          <w:tcPr>
            <w:tcW w:w="709" w:type="dxa"/>
            <w:tcBorders>
              <w:top w:val="single" w:sz="4" w:space="0" w:color="000000"/>
              <w:left w:val="single" w:sz="4" w:space="0" w:color="000000"/>
              <w:bottom w:val="single" w:sz="4" w:space="0" w:color="000000"/>
              <w:right w:val="single" w:sz="4" w:space="0" w:color="000000"/>
            </w:tcBorders>
            <w:vAlign w:val="center"/>
          </w:tcPr>
          <w:p w14:paraId="561D0C9E" w14:textId="77777777" w:rsidR="00FE04DA" w:rsidRPr="004E13E9" w:rsidRDefault="00FE04DA" w:rsidP="00E62E84">
            <w:pPr>
              <w:jc w:val="center"/>
              <w:rPr>
                <w:rFonts w:eastAsia="Times New Roman" w:cs="Calibri"/>
                <w:sz w:val="17"/>
                <w:szCs w:val="17"/>
                <w:lang w:eastAsia="ja-JP"/>
              </w:rPr>
            </w:pPr>
            <w:r w:rsidRPr="004E13E9">
              <w:rPr>
                <w:rFonts w:cs="Century"/>
                <w:sz w:val="17"/>
                <w:szCs w:val="17"/>
                <w:lang w:val="es-ES"/>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3379EAF5" w14:textId="77777777" w:rsidR="00FE04DA" w:rsidRPr="004E13E9" w:rsidRDefault="00FE04DA" w:rsidP="00E62E84">
            <w:pPr>
              <w:jc w:val="center"/>
              <w:rPr>
                <w:rFonts w:eastAsia="Times New Roman" w:cs="Calibri"/>
                <w:sz w:val="17"/>
                <w:szCs w:val="17"/>
              </w:rPr>
            </w:pPr>
            <w:r w:rsidRPr="004E13E9">
              <w:rPr>
                <w:rFonts w:cs="Century"/>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67377F82"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57239B81" w14:textId="77777777" w:rsidR="00FE04DA" w:rsidRPr="004E13E9" w:rsidRDefault="00FE04DA" w:rsidP="00E62E84">
            <w:pPr>
              <w:jc w:val="center"/>
              <w:rPr>
                <w:rFonts w:eastAsia="Times New Roman" w:cs="Calibri"/>
                <w:sz w:val="17"/>
                <w:szCs w:val="17"/>
              </w:rPr>
            </w:pPr>
            <w:r w:rsidRPr="004E13E9">
              <w:rPr>
                <w:rFonts w:cs="Century"/>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0C1198AE" w14:textId="77777777" w:rsidR="00FE04DA" w:rsidRPr="004E13E9" w:rsidRDefault="00FE04DA" w:rsidP="00E62E84">
            <w:pPr>
              <w:jc w:val="center"/>
              <w:rPr>
                <w:rFonts w:eastAsia="Times New Roman" w:cs="Calibri"/>
                <w:sz w:val="17"/>
                <w:szCs w:val="17"/>
              </w:rPr>
            </w:pPr>
            <w:r w:rsidRPr="004E13E9">
              <w:rPr>
                <w:rFonts w:cs="Century"/>
                <w:sz w:val="17"/>
                <w:szCs w:val="17"/>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1A1B0582" w14:textId="77777777" w:rsidR="00FE04DA" w:rsidRPr="004E13E9" w:rsidRDefault="00FE04DA" w:rsidP="00E62E84">
            <w:pPr>
              <w:jc w:val="center"/>
              <w:rPr>
                <w:sz w:val="17"/>
                <w:szCs w:val="17"/>
              </w:rPr>
            </w:pPr>
            <w:r w:rsidRPr="004E13E9">
              <w:rPr>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19AF0BD8" w14:textId="77777777" w:rsidR="00FE04DA" w:rsidRPr="004E13E9" w:rsidRDefault="00FE04DA" w:rsidP="00E62E84">
            <w:pPr>
              <w:jc w:val="center"/>
              <w:rPr>
                <w:rFonts w:eastAsia="Times New Roman" w:cs="Calibri"/>
                <w:kern w:val="2"/>
                <w:sz w:val="18"/>
                <w:szCs w:val="18"/>
                <w:lang w:eastAsia="ja-JP"/>
              </w:rPr>
            </w:pPr>
            <w:r w:rsidRPr="004E13E9">
              <w:rPr>
                <w:rFonts w:eastAsia="Times New Roman" w:cs="Calibri"/>
                <w:kern w:val="2"/>
                <w:sz w:val="18"/>
                <w:szCs w:val="18"/>
                <w:lang w:eastAsia="ja-JP"/>
              </w:rPr>
              <w:t>0</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B66191C" w14:textId="77777777" w:rsidR="00FE04DA" w:rsidRPr="004E13E9" w:rsidRDefault="00FE04DA" w:rsidP="00E62E84">
            <w:r w:rsidRPr="004E13E9">
              <w:rPr>
                <w:rFonts w:eastAsia="Malgun Gothic"/>
                <w:kern w:val="2"/>
                <w:sz w:val="18"/>
                <w:szCs w:val="18"/>
                <w:lang w:eastAsia="ko-KR"/>
              </w:rPr>
              <w:t> </w:t>
            </w:r>
          </w:p>
        </w:tc>
        <w:tc>
          <w:tcPr>
            <w:tcW w:w="756" w:type="dxa"/>
            <w:tcBorders>
              <w:top w:val="single" w:sz="4" w:space="0" w:color="000000"/>
              <w:left w:val="single" w:sz="4" w:space="0" w:color="000000"/>
              <w:bottom w:val="single" w:sz="4" w:space="0" w:color="000000"/>
              <w:right w:val="single" w:sz="4" w:space="0" w:color="000000"/>
            </w:tcBorders>
            <w:vAlign w:val="center"/>
          </w:tcPr>
          <w:p w14:paraId="46DE377D" w14:textId="77777777" w:rsidR="00FE04DA" w:rsidRPr="004E13E9" w:rsidRDefault="00FE04DA" w:rsidP="00E62E84">
            <w:pPr>
              <w:jc w:val="center"/>
              <w:rPr>
                <w:rFonts w:eastAsia="Times New Roman" w:cs="Calibri"/>
                <w:sz w:val="17"/>
                <w:szCs w:val="17"/>
                <w:lang w:eastAsia="ja-JP"/>
              </w:rPr>
            </w:pPr>
            <w:r w:rsidRPr="004E13E9">
              <w:rPr>
                <w:rFonts w:cs="Century"/>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56039B0A" w14:textId="77777777" w:rsidR="00FE04DA" w:rsidRPr="004E13E9" w:rsidRDefault="00FE04DA" w:rsidP="00E62E84">
            <w:pPr>
              <w:jc w:val="center"/>
              <w:rPr>
                <w:rFonts w:eastAsia="Times New Roman" w:cs="Calibri"/>
                <w:sz w:val="17"/>
                <w:szCs w:val="17"/>
              </w:rPr>
            </w:pPr>
            <w:r w:rsidRPr="004E13E9">
              <w:rPr>
                <w:rFonts w:cs="Century"/>
                <w:sz w:val="17"/>
                <w:szCs w:val="17"/>
                <w:lang w:val="es-ES"/>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635FA64C"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677B9F61" w14:textId="77777777" w:rsidR="00FE04DA" w:rsidRPr="004E13E9" w:rsidRDefault="00FE04DA" w:rsidP="00E62E84">
            <w:pPr>
              <w:jc w:val="center"/>
              <w:rPr>
                <w:rFonts w:eastAsia="Times New Roman" w:cs="Calibri"/>
                <w:sz w:val="17"/>
                <w:szCs w:val="17"/>
              </w:rPr>
            </w:pPr>
            <w:r w:rsidRPr="004E13E9">
              <w:rPr>
                <w:rFonts w:cs="Century"/>
                <w:sz w:val="17"/>
                <w:szCs w:val="17"/>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0C9E2A0D" w14:textId="77777777" w:rsidR="00FE04DA" w:rsidRPr="004E13E9" w:rsidRDefault="00FE04DA" w:rsidP="00E62E84">
            <w:pPr>
              <w:jc w:val="center"/>
              <w:rPr>
                <w:rFonts w:eastAsia="Times New Roman" w:cs="Calibri"/>
                <w:sz w:val="17"/>
                <w:szCs w:val="17"/>
              </w:rPr>
            </w:pPr>
            <w:r w:rsidRPr="004E13E9">
              <w:rPr>
                <w:rFonts w:cs="Century"/>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2ABFF816" w14:textId="77777777" w:rsidR="00FE04DA" w:rsidRPr="004E13E9" w:rsidRDefault="00FE04DA" w:rsidP="00E62E84">
            <w:pPr>
              <w:jc w:val="center"/>
              <w:rPr>
                <w:sz w:val="17"/>
                <w:szCs w:val="17"/>
              </w:rPr>
            </w:pPr>
            <w:r w:rsidRPr="004E13E9">
              <w:rPr>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219D22C9" w14:textId="77777777" w:rsidR="00FE04DA" w:rsidRPr="004E13E9" w:rsidRDefault="00FE04DA" w:rsidP="00E62E84">
            <w:pPr>
              <w:jc w:val="center"/>
              <w:rPr>
                <w:sz w:val="17"/>
                <w:szCs w:val="17"/>
              </w:rPr>
            </w:pPr>
            <w:r w:rsidRPr="004E13E9">
              <w:rPr>
                <w:sz w:val="17"/>
                <w:szCs w:val="17"/>
              </w:rPr>
              <w:t>0</w:t>
            </w:r>
          </w:p>
        </w:tc>
      </w:tr>
      <w:tr w:rsidR="00FE04DA" w:rsidRPr="004E13E9" w14:paraId="2D93075C"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1A900796" w14:textId="77777777" w:rsidR="00FE04DA" w:rsidRPr="004E13E9" w:rsidRDefault="00FE04DA" w:rsidP="00E62E84">
            <w:r w:rsidRPr="004E13E9">
              <w:rPr>
                <w:rFonts w:eastAsia="Malgun Gothic"/>
                <w:kern w:val="2"/>
                <w:sz w:val="18"/>
                <w:szCs w:val="18"/>
                <w:lang w:eastAsia="ko-KR"/>
              </w:rPr>
              <w:t>Madrague</w:t>
            </w:r>
          </w:p>
        </w:tc>
        <w:tc>
          <w:tcPr>
            <w:tcW w:w="1559" w:type="dxa"/>
            <w:tcBorders>
              <w:top w:val="single" w:sz="4" w:space="0" w:color="000000"/>
              <w:left w:val="single" w:sz="4" w:space="0" w:color="000000"/>
              <w:bottom w:val="single" w:sz="4" w:space="0" w:color="000000"/>
              <w:right w:val="single" w:sz="4" w:space="0" w:color="000000"/>
            </w:tcBorders>
            <w:vAlign w:val="center"/>
          </w:tcPr>
          <w:p w14:paraId="227FBF90" w14:textId="77777777" w:rsidR="00FE04DA" w:rsidRPr="004E13E9" w:rsidRDefault="00FE04DA" w:rsidP="00E62E84">
            <w:pPr>
              <w:jc w:val="center"/>
            </w:pPr>
            <w:r w:rsidRPr="004E13E9">
              <w:rPr>
                <w:rFonts w:eastAsia="Malgun Gothic"/>
                <w:kern w:val="2"/>
                <w:sz w:val="18"/>
                <w:szCs w:val="18"/>
                <w:lang w:eastAsia="ko-KR"/>
              </w:rPr>
              <w:t>130</w:t>
            </w:r>
          </w:p>
        </w:tc>
        <w:tc>
          <w:tcPr>
            <w:tcW w:w="709" w:type="dxa"/>
            <w:tcBorders>
              <w:top w:val="single" w:sz="4" w:space="0" w:color="000000"/>
              <w:left w:val="single" w:sz="4" w:space="0" w:color="000000"/>
              <w:bottom w:val="single" w:sz="4" w:space="0" w:color="000000"/>
              <w:right w:val="single" w:sz="4" w:space="0" w:color="000000"/>
            </w:tcBorders>
            <w:vAlign w:val="center"/>
          </w:tcPr>
          <w:p w14:paraId="19E4C863" w14:textId="77777777" w:rsidR="00FE04DA" w:rsidRPr="004E13E9" w:rsidRDefault="00FE04DA" w:rsidP="00E62E84">
            <w:pPr>
              <w:jc w:val="center"/>
              <w:rPr>
                <w:rFonts w:eastAsia="Times New Roman" w:cs="Calibri"/>
                <w:sz w:val="17"/>
                <w:szCs w:val="17"/>
                <w:lang w:eastAsia="ja-JP"/>
              </w:rPr>
            </w:pPr>
            <w:r w:rsidRPr="004E13E9">
              <w:rPr>
                <w:rFonts w:eastAsia="Times New Roman" w:cs="Calibri"/>
                <w:sz w:val="17"/>
                <w:szCs w:val="17"/>
                <w:lang w:eastAsia="ja-JP"/>
              </w:rPr>
              <w:t>15</w:t>
            </w:r>
          </w:p>
        </w:tc>
        <w:tc>
          <w:tcPr>
            <w:tcW w:w="708" w:type="dxa"/>
            <w:tcBorders>
              <w:top w:val="single" w:sz="4" w:space="0" w:color="000000"/>
              <w:left w:val="single" w:sz="4" w:space="0" w:color="000000"/>
              <w:bottom w:val="single" w:sz="4" w:space="0" w:color="000000"/>
              <w:right w:val="single" w:sz="4" w:space="0" w:color="000000"/>
            </w:tcBorders>
            <w:vAlign w:val="center"/>
          </w:tcPr>
          <w:p w14:paraId="78E845F8" w14:textId="77777777" w:rsidR="00FE04DA" w:rsidRPr="004E13E9" w:rsidRDefault="00FE04DA" w:rsidP="00E62E84">
            <w:pPr>
              <w:jc w:val="center"/>
              <w:rPr>
                <w:rFonts w:eastAsia="Times New Roman" w:cs="Calibri"/>
                <w:sz w:val="17"/>
                <w:szCs w:val="17"/>
              </w:rPr>
            </w:pPr>
            <w:r w:rsidRPr="004E13E9">
              <w:rPr>
                <w:rFonts w:cs="Century"/>
                <w:sz w:val="17"/>
                <w:szCs w:val="17"/>
                <w:lang w:val="es-ES"/>
              </w:rPr>
              <w:t>15</w:t>
            </w:r>
          </w:p>
        </w:tc>
        <w:tc>
          <w:tcPr>
            <w:tcW w:w="709" w:type="dxa"/>
            <w:tcBorders>
              <w:top w:val="single" w:sz="4" w:space="0" w:color="000000"/>
              <w:left w:val="single" w:sz="4" w:space="0" w:color="000000"/>
              <w:bottom w:val="single" w:sz="4" w:space="0" w:color="000000"/>
              <w:right w:val="single" w:sz="4" w:space="0" w:color="000000"/>
            </w:tcBorders>
            <w:vAlign w:val="center"/>
          </w:tcPr>
          <w:p w14:paraId="01D12A4B"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15</w:t>
            </w:r>
          </w:p>
        </w:tc>
        <w:tc>
          <w:tcPr>
            <w:tcW w:w="709" w:type="dxa"/>
            <w:tcBorders>
              <w:top w:val="single" w:sz="4" w:space="0" w:color="000000"/>
              <w:left w:val="single" w:sz="4" w:space="0" w:color="000000"/>
              <w:bottom w:val="single" w:sz="4" w:space="0" w:color="000000"/>
              <w:right w:val="single" w:sz="4" w:space="0" w:color="000000"/>
            </w:tcBorders>
            <w:vAlign w:val="center"/>
          </w:tcPr>
          <w:p w14:paraId="505021A3" w14:textId="77777777" w:rsidR="00FE04DA" w:rsidRPr="004E13E9" w:rsidRDefault="00FE04DA" w:rsidP="00E62E84">
            <w:pPr>
              <w:jc w:val="center"/>
              <w:rPr>
                <w:rFonts w:eastAsia="Times New Roman" w:cs="Calibri"/>
                <w:sz w:val="17"/>
                <w:szCs w:val="17"/>
              </w:rPr>
            </w:pPr>
            <w:r w:rsidRPr="004E13E9">
              <w:rPr>
                <w:rFonts w:cs="Century"/>
                <w:sz w:val="17"/>
                <w:szCs w:val="17"/>
              </w:rPr>
              <w:t>18</w:t>
            </w:r>
          </w:p>
        </w:tc>
        <w:tc>
          <w:tcPr>
            <w:tcW w:w="709" w:type="dxa"/>
            <w:tcBorders>
              <w:top w:val="single" w:sz="4" w:space="0" w:color="000000"/>
              <w:left w:val="single" w:sz="4" w:space="0" w:color="000000"/>
              <w:bottom w:val="single" w:sz="4" w:space="0" w:color="000000"/>
              <w:right w:val="single" w:sz="4" w:space="0" w:color="000000"/>
            </w:tcBorders>
            <w:vAlign w:val="center"/>
          </w:tcPr>
          <w:p w14:paraId="2D27525E" w14:textId="77777777" w:rsidR="00FE04DA" w:rsidRPr="004E13E9" w:rsidRDefault="00FE04DA" w:rsidP="00E62E84">
            <w:pPr>
              <w:jc w:val="center"/>
              <w:rPr>
                <w:rFonts w:eastAsia="Times New Roman" w:cs="Calibri"/>
                <w:sz w:val="17"/>
                <w:szCs w:val="17"/>
              </w:rPr>
            </w:pPr>
            <w:r w:rsidRPr="004E13E9">
              <w:rPr>
                <w:rFonts w:eastAsia="Times New Roman" w:cs="Calibri"/>
                <w:sz w:val="17"/>
                <w:szCs w:val="17"/>
              </w:rPr>
              <w:t>18</w:t>
            </w:r>
          </w:p>
        </w:tc>
        <w:tc>
          <w:tcPr>
            <w:tcW w:w="708" w:type="dxa"/>
            <w:tcBorders>
              <w:top w:val="single" w:sz="4" w:space="0" w:color="000000"/>
              <w:left w:val="single" w:sz="4" w:space="0" w:color="000000"/>
              <w:bottom w:val="single" w:sz="4" w:space="0" w:color="000000"/>
              <w:right w:val="single" w:sz="4" w:space="0" w:color="000000"/>
            </w:tcBorders>
            <w:vAlign w:val="center"/>
          </w:tcPr>
          <w:p w14:paraId="588FBD0F" w14:textId="77777777" w:rsidR="00FE04DA" w:rsidRPr="004E13E9" w:rsidRDefault="00FE04DA" w:rsidP="00E62E84">
            <w:pPr>
              <w:jc w:val="center"/>
              <w:rPr>
                <w:sz w:val="17"/>
                <w:szCs w:val="17"/>
              </w:rPr>
            </w:pPr>
            <w:r w:rsidRPr="004E13E9">
              <w:rPr>
                <w:sz w:val="17"/>
                <w:szCs w:val="17"/>
              </w:rPr>
              <w:t>18</w:t>
            </w:r>
          </w:p>
        </w:tc>
        <w:tc>
          <w:tcPr>
            <w:tcW w:w="709" w:type="dxa"/>
            <w:tcBorders>
              <w:top w:val="single" w:sz="4" w:space="0" w:color="000000"/>
              <w:left w:val="single" w:sz="4" w:space="0" w:color="000000"/>
              <w:bottom w:val="single" w:sz="4" w:space="0" w:color="000000"/>
              <w:right w:val="single" w:sz="4" w:space="0" w:color="000000"/>
            </w:tcBorders>
            <w:vAlign w:val="center"/>
          </w:tcPr>
          <w:p w14:paraId="1D54CB48" w14:textId="77777777" w:rsidR="00FE04DA" w:rsidRPr="004E13E9" w:rsidRDefault="00FE04DA" w:rsidP="00E62E84">
            <w:pPr>
              <w:jc w:val="center"/>
              <w:rPr>
                <w:rFonts w:eastAsia="Times New Roman" w:cs="Calibri"/>
                <w:kern w:val="2"/>
                <w:sz w:val="18"/>
                <w:szCs w:val="18"/>
                <w:lang w:eastAsia="ja-JP"/>
              </w:rPr>
            </w:pPr>
            <w:r w:rsidRPr="004E13E9">
              <w:rPr>
                <w:rFonts w:eastAsia="Times New Roman" w:cs="Calibri"/>
                <w:kern w:val="2"/>
                <w:sz w:val="18"/>
                <w:szCs w:val="18"/>
                <w:lang w:eastAsia="ja-JP"/>
              </w:rPr>
              <w:t>18</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9075309" w14:textId="77777777" w:rsidR="00FE04DA" w:rsidRPr="004E13E9" w:rsidRDefault="00FE04DA" w:rsidP="00E62E84">
            <w:r w:rsidRPr="004E13E9">
              <w:rPr>
                <w:rFonts w:eastAsia="Malgun Gothic"/>
                <w:b/>
                <w:kern w:val="2"/>
                <w:sz w:val="18"/>
                <w:szCs w:val="18"/>
                <w:lang w:eastAsia="ko-KR"/>
              </w:rPr>
              <w:t> </w:t>
            </w:r>
          </w:p>
        </w:tc>
        <w:tc>
          <w:tcPr>
            <w:tcW w:w="756" w:type="dxa"/>
            <w:tcBorders>
              <w:top w:val="single" w:sz="4" w:space="0" w:color="000000"/>
              <w:left w:val="single" w:sz="4" w:space="0" w:color="000000"/>
              <w:bottom w:val="single" w:sz="4" w:space="0" w:color="000000"/>
              <w:right w:val="single" w:sz="4" w:space="0" w:color="000000"/>
            </w:tcBorders>
            <w:vAlign w:val="center"/>
          </w:tcPr>
          <w:p w14:paraId="09095DDC" w14:textId="77777777" w:rsidR="00FE04DA" w:rsidRPr="004E13E9" w:rsidRDefault="00FE04DA" w:rsidP="00E62E84">
            <w:pPr>
              <w:jc w:val="center"/>
              <w:rPr>
                <w:rFonts w:eastAsia="Times New Roman" w:cs="Calibri"/>
                <w:sz w:val="17"/>
                <w:szCs w:val="17"/>
              </w:rPr>
            </w:pPr>
            <w:r w:rsidRPr="004E13E9">
              <w:rPr>
                <w:rFonts w:cs="Calibri"/>
                <w:sz w:val="17"/>
                <w:szCs w:val="17"/>
              </w:rPr>
              <w:t>1.950</w:t>
            </w:r>
          </w:p>
        </w:tc>
        <w:tc>
          <w:tcPr>
            <w:tcW w:w="709" w:type="dxa"/>
            <w:tcBorders>
              <w:top w:val="single" w:sz="4" w:space="0" w:color="000000"/>
              <w:left w:val="single" w:sz="4" w:space="0" w:color="000000"/>
              <w:bottom w:val="single" w:sz="4" w:space="0" w:color="000000"/>
              <w:right w:val="single" w:sz="4" w:space="0" w:color="000000"/>
            </w:tcBorders>
            <w:vAlign w:val="center"/>
          </w:tcPr>
          <w:p w14:paraId="47626F61" w14:textId="77777777" w:rsidR="00FE04DA" w:rsidRPr="004E13E9" w:rsidRDefault="00FE04DA" w:rsidP="00E62E84">
            <w:pPr>
              <w:jc w:val="center"/>
              <w:rPr>
                <w:rFonts w:cs="Calibri"/>
                <w:sz w:val="17"/>
                <w:szCs w:val="17"/>
              </w:rPr>
            </w:pPr>
            <w:r w:rsidRPr="004E13E9">
              <w:rPr>
                <w:rFonts w:cs="Calibri"/>
                <w:sz w:val="17"/>
                <w:szCs w:val="17"/>
                <w:lang w:val="es-ES"/>
              </w:rPr>
              <w:t>1.950</w:t>
            </w:r>
          </w:p>
        </w:tc>
        <w:tc>
          <w:tcPr>
            <w:tcW w:w="851" w:type="dxa"/>
            <w:tcBorders>
              <w:top w:val="single" w:sz="4" w:space="0" w:color="000000"/>
              <w:left w:val="single" w:sz="4" w:space="0" w:color="000000"/>
              <w:bottom w:val="single" w:sz="4" w:space="0" w:color="000000"/>
              <w:right w:val="single" w:sz="4" w:space="0" w:color="000000"/>
            </w:tcBorders>
            <w:vAlign w:val="center"/>
          </w:tcPr>
          <w:p w14:paraId="2657A765" w14:textId="77777777" w:rsidR="00FE04DA" w:rsidRPr="004E13E9" w:rsidRDefault="00FE04DA" w:rsidP="00E62E84">
            <w:pPr>
              <w:jc w:val="center"/>
              <w:rPr>
                <w:rFonts w:cs="Calibri"/>
                <w:sz w:val="17"/>
                <w:szCs w:val="17"/>
              </w:rPr>
            </w:pPr>
            <w:r w:rsidRPr="004E13E9">
              <w:rPr>
                <w:rFonts w:cs="Calibri"/>
                <w:sz w:val="17"/>
                <w:szCs w:val="17"/>
                <w:lang w:val="es-ES"/>
              </w:rPr>
              <w:t>1.950</w:t>
            </w:r>
          </w:p>
        </w:tc>
        <w:tc>
          <w:tcPr>
            <w:tcW w:w="850" w:type="dxa"/>
            <w:tcBorders>
              <w:top w:val="single" w:sz="4" w:space="0" w:color="000000"/>
              <w:left w:val="single" w:sz="4" w:space="0" w:color="000000"/>
              <w:bottom w:val="single" w:sz="4" w:space="0" w:color="000000"/>
              <w:right w:val="single" w:sz="4" w:space="0" w:color="000000"/>
            </w:tcBorders>
            <w:vAlign w:val="center"/>
          </w:tcPr>
          <w:p w14:paraId="0BBD884A" w14:textId="77777777" w:rsidR="00FE04DA" w:rsidRPr="004E13E9" w:rsidRDefault="00FE04DA" w:rsidP="00E62E84">
            <w:pPr>
              <w:jc w:val="center"/>
              <w:rPr>
                <w:rFonts w:cs="Calibri"/>
                <w:sz w:val="17"/>
                <w:szCs w:val="17"/>
              </w:rPr>
            </w:pPr>
            <w:r w:rsidRPr="004E13E9">
              <w:rPr>
                <w:rFonts w:cs="Century"/>
                <w:sz w:val="17"/>
                <w:szCs w:val="17"/>
              </w:rPr>
              <w:t>2.340</w:t>
            </w:r>
          </w:p>
        </w:tc>
        <w:tc>
          <w:tcPr>
            <w:tcW w:w="851" w:type="dxa"/>
            <w:tcBorders>
              <w:top w:val="single" w:sz="4" w:space="0" w:color="000000"/>
              <w:left w:val="single" w:sz="4" w:space="0" w:color="000000"/>
              <w:bottom w:val="single" w:sz="4" w:space="0" w:color="000000"/>
              <w:right w:val="single" w:sz="4" w:space="0" w:color="000000"/>
            </w:tcBorders>
            <w:vAlign w:val="center"/>
          </w:tcPr>
          <w:p w14:paraId="01223403" w14:textId="77777777" w:rsidR="00FE04DA" w:rsidRPr="004E13E9" w:rsidRDefault="00FE04DA" w:rsidP="00E62E84">
            <w:pPr>
              <w:jc w:val="center"/>
              <w:rPr>
                <w:rFonts w:cs="Calibri"/>
                <w:sz w:val="17"/>
                <w:szCs w:val="17"/>
              </w:rPr>
            </w:pPr>
            <w:r w:rsidRPr="004E13E9">
              <w:rPr>
                <w:rFonts w:cs="Calibri"/>
                <w:sz w:val="17"/>
                <w:szCs w:val="17"/>
              </w:rPr>
              <w:t>2.340</w:t>
            </w:r>
          </w:p>
        </w:tc>
        <w:tc>
          <w:tcPr>
            <w:tcW w:w="992" w:type="dxa"/>
            <w:tcBorders>
              <w:top w:val="single" w:sz="4" w:space="0" w:color="000000"/>
              <w:left w:val="single" w:sz="4" w:space="0" w:color="000000"/>
              <w:bottom w:val="single" w:sz="4" w:space="0" w:color="000000"/>
              <w:right w:val="single" w:sz="4" w:space="0" w:color="000000"/>
            </w:tcBorders>
            <w:vAlign w:val="center"/>
          </w:tcPr>
          <w:p w14:paraId="18320240" w14:textId="77777777" w:rsidR="00FE04DA" w:rsidRPr="004E13E9" w:rsidRDefault="00FE04DA" w:rsidP="00E62E84">
            <w:pPr>
              <w:jc w:val="center"/>
              <w:rPr>
                <w:sz w:val="17"/>
                <w:szCs w:val="17"/>
              </w:rPr>
            </w:pPr>
            <w:r w:rsidRPr="004E13E9">
              <w:rPr>
                <w:sz w:val="17"/>
                <w:szCs w:val="17"/>
              </w:rPr>
              <w:t>2.340</w:t>
            </w:r>
          </w:p>
        </w:tc>
        <w:tc>
          <w:tcPr>
            <w:tcW w:w="992" w:type="dxa"/>
            <w:tcBorders>
              <w:top w:val="single" w:sz="4" w:space="0" w:color="000000"/>
              <w:left w:val="single" w:sz="4" w:space="0" w:color="000000"/>
              <w:bottom w:val="single" w:sz="4" w:space="0" w:color="000000"/>
              <w:right w:val="single" w:sz="4" w:space="0" w:color="000000"/>
            </w:tcBorders>
            <w:vAlign w:val="center"/>
          </w:tcPr>
          <w:p w14:paraId="518D1CB4" w14:textId="77777777" w:rsidR="00FE04DA" w:rsidRPr="004E13E9" w:rsidRDefault="00FE04DA" w:rsidP="00E62E84">
            <w:pPr>
              <w:jc w:val="center"/>
              <w:rPr>
                <w:sz w:val="17"/>
                <w:szCs w:val="17"/>
              </w:rPr>
            </w:pPr>
            <w:r w:rsidRPr="004E13E9">
              <w:rPr>
                <w:sz w:val="17"/>
                <w:szCs w:val="17"/>
              </w:rPr>
              <w:t>2.340</w:t>
            </w:r>
          </w:p>
        </w:tc>
      </w:tr>
      <w:tr w:rsidR="00FE04DA" w:rsidRPr="004E13E9" w14:paraId="04FFD20A"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7C8E2E08" w14:textId="77777777" w:rsidR="00FE04DA" w:rsidRPr="004E13E9" w:rsidRDefault="00FE04DA" w:rsidP="00E62E84">
            <w:r w:rsidRPr="004E13E9">
              <w:rPr>
                <w:rFonts w:eastAsia="Malgun Gothic"/>
                <w:kern w:val="2"/>
                <w:sz w:val="18"/>
                <w:szCs w:val="18"/>
                <w:lang w:eastAsia="ko-KR"/>
              </w:rPr>
              <w:t xml:space="preserve">Petits </w:t>
            </w:r>
            <w:proofErr w:type="spellStart"/>
            <w:r w:rsidRPr="004E13E9">
              <w:rPr>
                <w:rFonts w:eastAsia="Malgun Gothic"/>
                <w:kern w:val="2"/>
                <w:sz w:val="18"/>
                <w:szCs w:val="18"/>
                <w:lang w:eastAsia="ko-KR"/>
              </w:rPr>
              <w:t>navires</w:t>
            </w:r>
            <w:proofErr w:type="spellEnd"/>
            <w:r w:rsidRPr="004E13E9">
              <w:rPr>
                <w:rFonts w:eastAsia="Malgun Gothic"/>
                <w:kern w:val="2"/>
                <w:sz w:val="18"/>
                <w:szCs w:val="18"/>
                <w:lang w:eastAsia="ko-KR"/>
              </w:rPr>
              <w:t xml:space="preserve"> </w:t>
            </w:r>
            <w:proofErr w:type="spellStart"/>
            <w:r w:rsidRPr="004E13E9">
              <w:rPr>
                <w:rFonts w:eastAsia="Malgun Gothic"/>
                <w:kern w:val="2"/>
                <w:sz w:val="18"/>
                <w:szCs w:val="18"/>
                <w:lang w:eastAsia="ko-KR"/>
              </w:rPr>
              <w:t>côtiers</w:t>
            </w:r>
            <w:proofErr w:type="spellEnd"/>
            <w:r w:rsidRPr="004E13E9">
              <w:rPr>
                <w:rFonts w:eastAsia="Malgun Gothic"/>
                <w:kern w:val="2"/>
                <w:sz w:val="18"/>
                <w:szCs w:val="18"/>
                <w:lang w:eastAsia="ko-KR"/>
              </w:rPr>
              <w:t xml:space="preserve">  </w:t>
            </w:r>
          </w:p>
        </w:tc>
        <w:tc>
          <w:tcPr>
            <w:tcW w:w="1559" w:type="dxa"/>
            <w:tcBorders>
              <w:top w:val="single" w:sz="4" w:space="0" w:color="000000"/>
              <w:left w:val="single" w:sz="4" w:space="0" w:color="000000"/>
              <w:bottom w:val="single" w:sz="4" w:space="0" w:color="000000"/>
              <w:right w:val="single" w:sz="4" w:space="0" w:color="000000"/>
            </w:tcBorders>
            <w:vAlign w:val="center"/>
          </w:tcPr>
          <w:p w14:paraId="7588F266" w14:textId="77777777" w:rsidR="00FE04DA" w:rsidRPr="004E13E9" w:rsidRDefault="00FE04DA" w:rsidP="00E62E84">
            <w:pPr>
              <w:jc w:val="center"/>
            </w:pPr>
            <w:r w:rsidRPr="004E13E9">
              <w:rPr>
                <w:rFonts w:eastAsia="Malgun Gothic"/>
                <w:kern w:val="2"/>
                <w:sz w:val="18"/>
                <w:szCs w:val="18"/>
                <w:lang w:eastAsia="ko-KR"/>
              </w:rPr>
              <w:t>N/A</w:t>
            </w:r>
          </w:p>
        </w:tc>
        <w:tc>
          <w:tcPr>
            <w:tcW w:w="709" w:type="dxa"/>
            <w:tcBorders>
              <w:top w:val="single" w:sz="4" w:space="0" w:color="000000"/>
              <w:left w:val="single" w:sz="4" w:space="0" w:color="000000"/>
              <w:bottom w:val="single" w:sz="4" w:space="0" w:color="000000"/>
              <w:right w:val="single" w:sz="4" w:space="0" w:color="000000"/>
            </w:tcBorders>
            <w:vAlign w:val="center"/>
          </w:tcPr>
          <w:p w14:paraId="21C818E2" w14:textId="77777777" w:rsidR="00FE04DA" w:rsidRPr="004E13E9" w:rsidRDefault="00FE04DA" w:rsidP="00E62E84">
            <w:pPr>
              <w:jc w:val="center"/>
              <w:rPr>
                <w:rFonts w:eastAsia="Times New Roman" w:cs="Calibri"/>
                <w:sz w:val="17"/>
                <w:szCs w:val="17"/>
                <w:lang w:eastAsia="ja-JP"/>
              </w:rPr>
            </w:pPr>
            <w:r w:rsidRPr="004E13E9">
              <w:rPr>
                <w:rFonts w:cs="Calibri"/>
                <w:sz w:val="17"/>
                <w:szCs w:val="17"/>
                <w:lang w:val="es-ES"/>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146F6A40"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114BCC0E"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23DFEE68" w14:textId="77777777" w:rsidR="00FE04DA" w:rsidRPr="004E13E9" w:rsidRDefault="00FE04DA" w:rsidP="00E62E84">
            <w:pPr>
              <w:jc w:val="center"/>
              <w:rPr>
                <w:rFonts w:eastAsia="Times New Roman" w:cs="Calibri"/>
                <w:sz w:val="17"/>
                <w:szCs w:val="17"/>
              </w:rPr>
            </w:pPr>
            <w:r w:rsidRPr="004E13E9">
              <w:rPr>
                <w:rFonts w:cs="Century"/>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60C9E3E5" w14:textId="77777777" w:rsidR="00FE04DA" w:rsidRPr="004E13E9" w:rsidRDefault="00FE04DA" w:rsidP="00E62E84">
            <w:pPr>
              <w:jc w:val="center"/>
              <w:rPr>
                <w:rFonts w:eastAsia="Times New Roman" w:cs="Calibri"/>
                <w:sz w:val="17"/>
                <w:szCs w:val="17"/>
              </w:rPr>
            </w:pPr>
            <w:r w:rsidRPr="004E13E9">
              <w:rPr>
                <w:sz w:val="17"/>
                <w:szCs w:val="17"/>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3C38B969" w14:textId="77777777" w:rsidR="00FE04DA" w:rsidRPr="004E13E9" w:rsidRDefault="00FE04DA" w:rsidP="00E62E84">
            <w:pPr>
              <w:jc w:val="center"/>
              <w:rPr>
                <w:sz w:val="17"/>
                <w:szCs w:val="17"/>
              </w:rPr>
            </w:pPr>
            <w:r w:rsidRPr="004E13E9">
              <w:rPr>
                <w:sz w:val="17"/>
                <w:szCs w:val="17"/>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672DB63A" w14:textId="77777777" w:rsidR="00FE04DA" w:rsidRPr="004E13E9" w:rsidRDefault="00FE04DA" w:rsidP="00E62E84">
            <w:pPr>
              <w:jc w:val="center"/>
              <w:rPr>
                <w:rFonts w:eastAsia="Times New Roman" w:cs="Calibri"/>
                <w:kern w:val="2"/>
                <w:sz w:val="18"/>
                <w:szCs w:val="18"/>
                <w:lang w:eastAsia="ja-JP"/>
              </w:rPr>
            </w:pPr>
            <w:r w:rsidRPr="004E13E9">
              <w:rPr>
                <w:rFonts w:eastAsia="Times New Roman" w:cs="Calibri"/>
                <w:kern w:val="2"/>
                <w:sz w:val="18"/>
                <w:szCs w:val="18"/>
                <w:lang w:eastAsia="ja-JP"/>
              </w:rPr>
              <w:t>0</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FB4BB0A" w14:textId="77777777" w:rsidR="00FE04DA" w:rsidRPr="004E13E9" w:rsidRDefault="00FE04DA" w:rsidP="00E62E84">
            <w:r w:rsidRPr="004E13E9">
              <w:rPr>
                <w:rFonts w:eastAsia="Malgun Gothic"/>
                <w:b/>
                <w:kern w:val="2"/>
                <w:sz w:val="18"/>
                <w:szCs w:val="18"/>
                <w:lang w:eastAsia="ko-KR"/>
              </w:rPr>
              <w:t> </w:t>
            </w:r>
          </w:p>
        </w:tc>
        <w:tc>
          <w:tcPr>
            <w:tcW w:w="756" w:type="dxa"/>
            <w:tcBorders>
              <w:top w:val="single" w:sz="4" w:space="0" w:color="000000"/>
              <w:left w:val="single" w:sz="4" w:space="0" w:color="000000"/>
              <w:bottom w:val="single" w:sz="4" w:space="0" w:color="000000"/>
              <w:right w:val="single" w:sz="4" w:space="0" w:color="000000"/>
            </w:tcBorders>
            <w:vAlign w:val="center"/>
          </w:tcPr>
          <w:p w14:paraId="33786505" w14:textId="77777777" w:rsidR="00FE04DA" w:rsidRPr="004E13E9" w:rsidRDefault="00FE04DA" w:rsidP="00E62E84">
            <w:pPr>
              <w:jc w:val="center"/>
              <w:rPr>
                <w:rFonts w:eastAsia="Times New Roman" w:cs="Calibri"/>
                <w:sz w:val="17"/>
                <w:szCs w:val="17"/>
                <w:lang w:eastAsia="ja-JP"/>
              </w:rPr>
            </w:pPr>
            <w:r w:rsidRPr="004E13E9">
              <w:rPr>
                <w:rFonts w:cs="Calibri"/>
                <w:sz w:val="17"/>
                <w:szCs w:val="17"/>
                <w:lang w:val="es-ES"/>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2CC84A5B"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1AD96139" w14:textId="77777777" w:rsidR="00FE04DA" w:rsidRPr="004E13E9" w:rsidRDefault="00FE04DA" w:rsidP="00E62E84">
            <w:pPr>
              <w:jc w:val="center"/>
              <w:rPr>
                <w:rFonts w:eastAsia="Times New Roman" w:cs="Calibri"/>
                <w:sz w:val="17"/>
                <w:szCs w:val="17"/>
              </w:rPr>
            </w:pPr>
            <w:r w:rsidRPr="004E13E9">
              <w:rPr>
                <w:rFonts w:cs="Calibri"/>
                <w:sz w:val="17"/>
                <w:szCs w:val="17"/>
                <w:lang w:val="es-ES"/>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20738B38" w14:textId="77777777" w:rsidR="00FE04DA" w:rsidRPr="004E13E9" w:rsidRDefault="00FE04DA" w:rsidP="00E62E84">
            <w:pPr>
              <w:jc w:val="center"/>
              <w:rPr>
                <w:rFonts w:eastAsia="Times New Roman" w:cs="Calibri"/>
                <w:sz w:val="17"/>
                <w:szCs w:val="17"/>
              </w:rPr>
            </w:pPr>
            <w:r w:rsidRPr="004E13E9">
              <w:rPr>
                <w:rFonts w:cs="Century"/>
                <w:sz w:val="17"/>
                <w:szCs w:val="17"/>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0BB0B013" w14:textId="77777777" w:rsidR="00FE04DA" w:rsidRPr="004E13E9" w:rsidRDefault="00FE04DA" w:rsidP="00E62E84">
            <w:pPr>
              <w:jc w:val="center"/>
              <w:rPr>
                <w:rFonts w:eastAsia="Times New Roman" w:cs="Calibri"/>
                <w:sz w:val="17"/>
                <w:szCs w:val="17"/>
              </w:rPr>
            </w:pPr>
            <w:r w:rsidRPr="004E13E9">
              <w:rPr>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145F7C62" w14:textId="77777777" w:rsidR="00FE04DA" w:rsidRPr="004E13E9" w:rsidRDefault="00FE04DA" w:rsidP="00E62E84">
            <w:pPr>
              <w:jc w:val="center"/>
              <w:rPr>
                <w:sz w:val="17"/>
                <w:szCs w:val="17"/>
              </w:rPr>
            </w:pPr>
            <w:r w:rsidRPr="004E13E9">
              <w:rPr>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2E3366E9" w14:textId="77777777" w:rsidR="00FE04DA" w:rsidRPr="004E13E9" w:rsidRDefault="00FE04DA" w:rsidP="00E62E84">
            <w:pPr>
              <w:jc w:val="center"/>
              <w:rPr>
                <w:sz w:val="17"/>
                <w:szCs w:val="17"/>
              </w:rPr>
            </w:pPr>
            <w:r w:rsidRPr="004E13E9">
              <w:rPr>
                <w:sz w:val="17"/>
                <w:szCs w:val="17"/>
              </w:rPr>
              <w:t>0</w:t>
            </w:r>
          </w:p>
        </w:tc>
      </w:tr>
      <w:tr w:rsidR="00FE04DA" w:rsidRPr="004E13E9" w14:paraId="0AB48BD9"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6529717E" w14:textId="77777777" w:rsidR="00FE04DA" w:rsidRPr="004E13E9" w:rsidRDefault="00FE04DA" w:rsidP="00E62E84">
            <w:proofErr w:type="spellStart"/>
            <w:r w:rsidRPr="004E13E9">
              <w:rPr>
                <w:rFonts w:eastAsia="Malgun Gothic"/>
                <w:kern w:val="2"/>
                <w:sz w:val="18"/>
                <w:szCs w:val="18"/>
                <w:lang w:eastAsia="ko-KR"/>
              </w:rPr>
              <w:t>Autre</w:t>
            </w:r>
            <w:proofErr w:type="spellEnd"/>
            <w:r w:rsidRPr="004E13E9">
              <w:rPr>
                <w:rFonts w:eastAsia="Malgun Gothic"/>
                <w:kern w:val="2"/>
                <w:sz w:val="18"/>
                <w:szCs w:val="18"/>
                <w:lang w:eastAsia="ko-KR"/>
              </w:rPr>
              <w:t xml:space="preserve"> (à </w:t>
            </w:r>
            <w:proofErr w:type="spellStart"/>
            <w:r w:rsidRPr="004E13E9">
              <w:rPr>
                <w:rFonts w:eastAsia="Malgun Gothic"/>
                <w:kern w:val="2"/>
                <w:sz w:val="18"/>
                <w:szCs w:val="18"/>
                <w:lang w:eastAsia="ko-KR"/>
              </w:rPr>
              <w:t>préciser</w:t>
            </w:r>
            <w:proofErr w:type="spellEnd"/>
            <w:r w:rsidRPr="004E13E9">
              <w:rPr>
                <w:rFonts w:eastAsia="Malgun Gothic"/>
                <w:kern w:val="2"/>
                <w:sz w:val="18"/>
                <w:szCs w:val="18"/>
                <w:lang w:eastAsia="ko-KR"/>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01F3E0E5" w14:textId="77777777" w:rsidR="00FE04DA" w:rsidRPr="004E13E9" w:rsidRDefault="00FE04DA" w:rsidP="00E62E84">
            <w:pPr>
              <w:jc w:val="center"/>
            </w:pPr>
            <w:r w:rsidRPr="004E13E9">
              <w:rPr>
                <w:rFonts w:eastAsia="Malgun Gothic"/>
                <w:kern w:val="2"/>
                <w:sz w:val="18"/>
                <w:szCs w:val="18"/>
                <w:lang w:eastAsia="ko-KR"/>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040756CF" w14:textId="77777777" w:rsidR="00FE04DA" w:rsidRPr="004E13E9" w:rsidRDefault="00FE04DA" w:rsidP="00E62E84">
            <w:pPr>
              <w:jc w:val="center"/>
              <w:rPr>
                <w:rFonts w:eastAsia="Times New Roman" w:cs="Calibri"/>
                <w:sz w:val="17"/>
                <w:szCs w:val="17"/>
                <w:lang w:eastAsia="ja-JP"/>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2899FDB9" w14:textId="77777777" w:rsidR="00FE04DA" w:rsidRPr="004E13E9" w:rsidRDefault="00FE04DA" w:rsidP="00E62E84">
            <w:pPr>
              <w:jc w:val="center"/>
              <w:rPr>
                <w:rFonts w:eastAsia="Times New Roman" w:cs="Calibri"/>
                <w:sz w:val="17"/>
                <w:szCs w:val="17"/>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6A7675B" w14:textId="77777777" w:rsidR="00FE04DA" w:rsidRPr="004E13E9" w:rsidRDefault="00FE04DA" w:rsidP="00E62E84">
            <w:pPr>
              <w:jc w:val="center"/>
              <w:rPr>
                <w:rFonts w:eastAsia="Times New Roman" w:cs="Calibri"/>
                <w:sz w:val="17"/>
                <w:szCs w:val="17"/>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F34F1C0" w14:textId="77777777" w:rsidR="00FE04DA" w:rsidRPr="004E13E9" w:rsidRDefault="00FE04DA" w:rsidP="00E62E84">
            <w:pPr>
              <w:jc w:val="center"/>
              <w:rPr>
                <w:rFonts w:eastAsia="Times New Roman" w:cs="Calibri"/>
                <w:sz w:val="17"/>
                <w:szCs w:val="17"/>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D2B3342" w14:textId="77777777" w:rsidR="00FE04DA" w:rsidRPr="004E13E9" w:rsidRDefault="00FE04DA" w:rsidP="00E62E84">
            <w:pPr>
              <w:jc w:val="center"/>
              <w:rPr>
                <w:rFonts w:eastAsia="Times New Roman" w:cs="Calibri"/>
                <w:sz w:val="17"/>
                <w:szCs w:val="17"/>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3D5A4305" w14:textId="77777777" w:rsidR="00FE04DA" w:rsidRPr="004E13E9" w:rsidRDefault="00FE04DA" w:rsidP="00E62E84">
            <w:pPr>
              <w:jc w:val="center"/>
              <w:rPr>
                <w:sz w:val="17"/>
                <w:szCs w:val="17"/>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AC9DAB3" w14:textId="77777777" w:rsidR="00FE04DA" w:rsidRPr="004E13E9" w:rsidRDefault="00FE04DA" w:rsidP="00E62E84">
            <w:pPr>
              <w:jc w:val="center"/>
              <w:rPr>
                <w:rFonts w:eastAsia="Times New Roman" w:cs="Calibri"/>
                <w:kern w:val="2"/>
                <w:sz w:val="18"/>
                <w:szCs w:val="18"/>
                <w:lang w:eastAsia="ja-JP"/>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D7F499" w14:textId="77777777" w:rsidR="00FE04DA" w:rsidRPr="004E13E9" w:rsidRDefault="00FE04DA" w:rsidP="00E62E84">
            <w:r w:rsidRPr="004E13E9">
              <w:rPr>
                <w:rFonts w:eastAsia="Malgun Gothic"/>
                <w:b/>
                <w:kern w:val="2"/>
                <w:sz w:val="18"/>
                <w:szCs w:val="18"/>
                <w:lang w:eastAsia="ko-KR"/>
              </w:rPr>
              <w:t> </w:t>
            </w:r>
          </w:p>
        </w:tc>
        <w:tc>
          <w:tcPr>
            <w:tcW w:w="756" w:type="dxa"/>
            <w:tcBorders>
              <w:top w:val="single" w:sz="4" w:space="0" w:color="000000"/>
              <w:left w:val="single" w:sz="4" w:space="0" w:color="000000"/>
              <w:bottom w:val="single" w:sz="4" w:space="0" w:color="000000"/>
              <w:right w:val="single" w:sz="4" w:space="0" w:color="000000"/>
            </w:tcBorders>
            <w:vAlign w:val="center"/>
          </w:tcPr>
          <w:p w14:paraId="43CF56D1" w14:textId="77777777" w:rsidR="00FE04DA" w:rsidRPr="004E13E9" w:rsidRDefault="00FE04DA" w:rsidP="00E62E84">
            <w:pPr>
              <w:jc w:val="center"/>
              <w:rPr>
                <w:rFonts w:eastAsia="Times New Roman" w:cs="Calibri"/>
                <w:sz w:val="17"/>
                <w:szCs w:val="17"/>
              </w:rPr>
            </w:pPr>
            <w:r w:rsidRPr="004E13E9">
              <w:rPr>
                <w:rFonts w:cs="Century"/>
                <w:sz w:val="17"/>
                <w:szCs w:val="17"/>
              </w:rPr>
              <w:t>80</w:t>
            </w:r>
          </w:p>
        </w:tc>
        <w:tc>
          <w:tcPr>
            <w:tcW w:w="709" w:type="dxa"/>
            <w:tcBorders>
              <w:top w:val="single" w:sz="4" w:space="0" w:color="000000"/>
              <w:left w:val="single" w:sz="4" w:space="0" w:color="000000"/>
              <w:bottom w:val="single" w:sz="4" w:space="0" w:color="000000"/>
              <w:right w:val="single" w:sz="4" w:space="0" w:color="000000"/>
            </w:tcBorders>
            <w:vAlign w:val="center"/>
          </w:tcPr>
          <w:p w14:paraId="0442637A" w14:textId="77777777" w:rsidR="00FE04DA" w:rsidRPr="004E13E9" w:rsidRDefault="00FE04DA" w:rsidP="00E62E84">
            <w:pPr>
              <w:jc w:val="center"/>
              <w:rPr>
                <w:rFonts w:cs="Calibri"/>
                <w:sz w:val="17"/>
                <w:szCs w:val="17"/>
              </w:rPr>
            </w:pPr>
            <w:r w:rsidRPr="004E13E9">
              <w:rPr>
                <w:rFonts w:cs="Century"/>
                <w:sz w:val="17"/>
                <w:szCs w:val="17"/>
              </w:rPr>
              <w:t>80</w:t>
            </w:r>
          </w:p>
        </w:tc>
        <w:tc>
          <w:tcPr>
            <w:tcW w:w="851" w:type="dxa"/>
            <w:tcBorders>
              <w:top w:val="single" w:sz="4" w:space="0" w:color="000000"/>
              <w:left w:val="single" w:sz="4" w:space="0" w:color="000000"/>
              <w:bottom w:val="single" w:sz="4" w:space="0" w:color="000000"/>
              <w:right w:val="single" w:sz="4" w:space="0" w:color="000000"/>
            </w:tcBorders>
            <w:vAlign w:val="center"/>
          </w:tcPr>
          <w:p w14:paraId="01EEE0BE" w14:textId="77777777" w:rsidR="00FE04DA" w:rsidRPr="004E13E9" w:rsidRDefault="00FE04DA" w:rsidP="00E62E84">
            <w:pPr>
              <w:jc w:val="center"/>
              <w:rPr>
                <w:rFonts w:cs="Calibri"/>
                <w:sz w:val="17"/>
                <w:szCs w:val="17"/>
              </w:rPr>
            </w:pPr>
            <w:r w:rsidRPr="004E13E9">
              <w:rPr>
                <w:rFonts w:cs="Calibri"/>
                <w:sz w:val="17"/>
                <w:szCs w:val="17"/>
              </w:rPr>
              <w:t>309</w:t>
            </w:r>
          </w:p>
        </w:tc>
        <w:tc>
          <w:tcPr>
            <w:tcW w:w="850" w:type="dxa"/>
            <w:tcBorders>
              <w:top w:val="single" w:sz="4" w:space="0" w:color="000000"/>
              <w:left w:val="single" w:sz="4" w:space="0" w:color="000000"/>
              <w:bottom w:val="single" w:sz="4" w:space="0" w:color="000000"/>
              <w:right w:val="single" w:sz="4" w:space="0" w:color="000000"/>
            </w:tcBorders>
            <w:vAlign w:val="center"/>
          </w:tcPr>
          <w:p w14:paraId="44308CF3" w14:textId="77777777" w:rsidR="00FE04DA" w:rsidRPr="004E13E9" w:rsidRDefault="00FE04DA" w:rsidP="00E62E84">
            <w:pPr>
              <w:jc w:val="center"/>
              <w:rPr>
                <w:rFonts w:cs="Calibri"/>
                <w:sz w:val="17"/>
                <w:szCs w:val="17"/>
              </w:rPr>
            </w:pPr>
            <w:r w:rsidRPr="004E13E9">
              <w:rPr>
                <w:rFonts w:cs="Calibri"/>
                <w:sz w:val="17"/>
                <w:szCs w:val="17"/>
              </w:rPr>
              <w:t>524</w:t>
            </w:r>
          </w:p>
        </w:tc>
        <w:tc>
          <w:tcPr>
            <w:tcW w:w="851" w:type="dxa"/>
            <w:tcBorders>
              <w:top w:val="single" w:sz="4" w:space="0" w:color="000000"/>
              <w:left w:val="single" w:sz="4" w:space="0" w:color="000000"/>
              <w:bottom w:val="single" w:sz="4" w:space="0" w:color="000000"/>
              <w:right w:val="single" w:sz="4" w:space="0" w:color="000000"/>
            </w:tcBorders>
            <w:vAlign w:val="center"/>
          </w:tcPr>
          <w:p w14:paraId="159C1B67" w14:textId="77777777" w:rsidR="00FE04DA" w:rsidRPr="004E13E9" w:rsidRDefault="00FE04DA" w:rsidP="00E62E84">
            <w:pPr>
              <w:jc w:val="center"/>
              <w:rPr>
                <w:rFonts w:cs="Calibri"/>
                <w:sz w:val="17"/>
                <w:szCs w:val="17"/>
              </w:rPr>
            </w:pPr>
            <w:r w:rsidRPr="004E13E9">
              <w:rPr>
                <w:rFonts w:cs="Calibri"/>
                <w:sz w:val="17"/>
                <w:szCs w:val="17"/>
              </w:rPr>
              <w:t>490</w:t>
            </w:r>
          </w:p>
        </w:tc>
        <w:tc>
          <w:tcPr>
            <w:tcW w:w="992" w:type="dxa"/>
            <w:tcBorders>
              <w:top w:val="single" w:sz="4" w:space="0" w:color="000000"/>
              <w:left w:val="single" w:sz="4" w:space="0" w:color="000000"/>
              <w:bottom w:val="single" w:sz="4" w:space="0" w:color="000000"/>
              <w:right w:val="single" w:sz="4" w:space="0" w:color="000000"/>
            </w:tcBorders>
            <w:vAlign w:val="center"/>
          </w:tcPr>
          <w:p w14:paraId="20D3EFB9" w14:textId="77777777" w:rsidR="00FE04DA" w:rsidRPr="004E13E9" w:rsidRDefault="00FE04DA" w:rsidP="00E62E84">
            <w:pPr>
              <w:jc w:val="center"/>
              <w:rPr>
                <w:sz w:val="17"/>
                <w:szCs w:val="17"/>
              </w:rPr>
            </w:pPr>
            <w:r w:rsidRPr="004E13E9">
              <w:rPr>
                <w:sz w:val="17"/>
                <w:szCs w:val="17"/>
              </w:rPr>
              <w:t>510</w:t>
            </w:r>
          </w:p>
        </w:tc>
        <w:tc>
          <w:tcPr>
            <w:tcW w:w="992" w:type="dxa"/>
            <w:tcBorders>
              <w:top w:val="single" w:sz="4" w:space="0" w:color="000000"/>
              <w:left w:val="single" w:sz="4" w:space="0" w:color="000000"/>
              <w:bottom w:val="single" w:sz="4" w:space="0" w:color="000000"/>
              <w:right w:val="single" w:sz="4" w:space="0" w:color="000000"/>
            </w:tcBorders>
            <w:vAlign w:val="center"/>
          </w:tcPr>
          <w:p w14:paraId="7DA0539C" w14:textId="77777777" w:rsidR="00FE04DA" w:rsidRPr="004E13E9" w:rsidRDefault="00FE04DA" w:rsidP="00E62E84">
            <w:pPr>
              <w:jc w:val="center"/>
              <w:rPr>
                <w:sz w:val="17"/>
                <w:szCs w:val="17"/>
              </w:rPr>
            </w:pPr>
            <w:r w:rsidRPr="004E13E9">
              <w:rPr>
                <w:sz w:val="17"/>
                <w:szCs w:val="17"/>
              </w:rPr>
              <w:t>632,09</w:t>
            </w:r>
          </w:p>
        </w:tc>
      </w:tr>
      <w:tr w:rsidR="00FE04DA" w:rsidRPr="004E13E9" w14:paraId="1B2CA8D7"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4B65C731" w14:textId="77777777" w:rsidR="00FE04DA" w:rsidRPr="004E13E9" w:rsidRDefault="00FE04DA" w:rsidP="00E62E84">
            <w:pPr>
              <w:rPr>
                <w:lang w:val="fr-FR"/>
              </w:rPr>
            </w:pPr>
            <w:r w:rsidRPr="004E13E9">
              <w:rPr>
                <w:rFonts w:eastAsia="Malgun Gothic"/>
                <w:b/>
                <w:kern w:val="2"/>
                <w:sz w:val="18"/>
                <w:szCs w:val="18"/>
                <w:lang w:val="fr-FR" w:eastAsia="ko-KR"/>
              </w:rPr>
              <w:t>Capacité totale de la flottille/de pêche</w:t>
            </w:r>
          </w:p>
        </w:tc>
        <w:tc>
          <w:tcPr>
            <w:tcW w:w="1559" w:type="dxa"/>
            <w:tcBorders>
              <w:top w:val="single" w:sz="4" w:space="0" w:color="000000"/>
              <w:left w:val="single" w:sz="4" w:space="0" w:color="000000"/>
              <w:bottom w:val="single" w:sz="4" w:space="0" w:color="000000"/>
              <w:right w:val="single" w:sz="4" w:space="0" w:color="000000"/>
            </w:tcBorders>
            <w:vAlign w:val="center"/>
          </w:tcPr>
          <w:p w14:paraId="1A9787F5" w14:textId="77777777" w:rsidR="00FE04DA" w:rsidRPr="004E13E9" w:rsidRDefault="00FE04DA" w:rsidP="00E62E84">
            <w:pPr>
              <w:jc w:val="right"/>
              <w:rPr>
                <w:lang w:val="fr-FR"/>
              </w:rPr>
            </w:pPr>
            <w:r w:rsidRPr="004E13E9">
              <w:rPr>
                <w:rFonts w:eastAsia="Malgun Gothic"/>
                <w:kern w:val="2"/>
                <w:sz w:val="18"/>
                <w:szCs w:val="18"/>
                <w:lang w:val="fr-FR" w:eastAsia="ko-KR"/>
              </w:rPr>
              <w:t> </w:t>
            </w:r>
          </w:p>
        </w:tc>
        <w:tc>
          <w:tcPr>
            <w:tcW w:w="709" w:type="dxa"/>
            <w:tcBorders>
              <w:top w:val="single" w:sz="4" w:space="0" w:color="000000"/>
              <w:left w:val="single" w:sz="4" w:space="0" w:color="000000"/>
              <w:bottom w:val="single" w:sz="4" w:space="0" w:color="000000"/>
              <w:right w:val="single" w:sz="4" w:space="0" w:color="000000"/>
            </w:tcBorders>
            <w:vAlign w:val="center"/>
          </w:tcPr>
          <w:p w14:paraId="42477DB9" w14:textId="77777777" w:rsidR="00FE04DA" w:rsidRPr="004E13E9" w:rsidRDefault="00FE04DA" w:rsidP="00E62E84">
            <w:pPr>
              <w:jc w:val="center"/>
              <w:rPr>
                <w:rFonts w:eastAsia="Times New Roman" w:cs="Calibri"/>
                <w:b/>
                <w:sz w:val="17"/>
                <w:szCs w:val="17"/>
                <w:lang w:eastAsia="ja-JP"/>
              </w:rPr>
            </w:pPr>
            <w:r w:rsidRPr="004E13E9">
              <w:rPr>
                <w:rFonts w:cs="Century"/>
                <w:b/>
                <w:sz w:val="17"/>
                <w:szCs w:val="17"/>
              </w:rPr>
              <w:t>19</w:t>
            </w:r>
          </w:p>
        </w:tc>
        <w:tc>
          <w:tcPr>
            <w:tcW w:w="708" w:type="dxa"/>
            <w:tcBorders>
              <w:top w:val="single" w:sz="4" w:space="0" w:color="000000"/>
              <w:left w:val="single" w:sz="4" w:space="0" w:color="000000"/>
              <w:bottom w:val="single" w:sz="4" w:space="0" w:color="000000"/>
              <w:right w:val="single" w:sz="4" w:space="0" w:color="000000"/>
            </w:tcBorders>
            <w:vAlign w:val="center"/>
          </w:tcPr>
          <w:p w14:paraId="4BAEF321" w14:textId="77777777" w:rsidR="00FE04DA" w:rsidRPr="004E13E9" w:rsidRDefault="00FE04DA" w:rsidP="00E62E84">
            <w:pPr>
              <w:jc w:val="center"/>
              <w:rPr>
                <w:rFonts w:eastAsia="Times New Roman" w:cs="Calibri"/>
                <w:b/>
                <w:sz w:val="17"/>
                <w:szCs w:val="17"/>
              </w:rPr>
            </w:pPr>
            <w:r w:rsidRPr="004E13E9">
              <w:rPr>
                <w:rFonts w:cs="Century"/>
                <w:b/>
                <w:sz w:val="17"/>
                <w:szCs w:val="17"/>
              </w:rPr>
              <w:t>19</w:t>
            </w:r>
          </w:p>
        </w:tc>
        <w:tc>
          <w:tcPr>
            <w:tcW w:w="709" w:type="dxa"/>
            <w:tcBorders>
              <w:top w:val="single" w:sz="4" w:space="0" w:color="000000"/>
              <w:left w:val="single" w:sz="4" w:space="0" w:color="000000"/>
              <w:bottom w:val="single" w:sz="4" w:space="0" w:color="000000"/>
              <w:right w:val="single" w:sz="4" w:space="0" w:color="000000"/>
            </w:tcBorders>
            <w:vAlign w:val="center"/>
          </w:tcPr>
          <w:p w14:paraId="11B2196D" w14:textId="77777777" w:rsidR="00FE04DA" w:rsidRPr="004E13E9" w:rsidRDefault="00FE04DA" w:rsidP="00E62E84">
            <w:pPr>
              <w:jc w:val="center"/>
              <w:rPr>
                <w:rFonts w:eastAsia="Times New Roman" w:cs="Calibri"/>
                <w:b/>
                <w:sz w:val="17"/>
                <w:szCs w:val="17"/>
              </w:rPr>
            </w:pPr>
            <w:r w:rsidRPr="004E13E9">
              <w:rPr>
                <w:rFonts w:cs="Calibri"/>
                <w:b/>
                <w:sz w:val="17"/>
                <w:szCs w:val="17"/>
              </w:rPr>
              <w:t>17</w:t>
            </w:r>
          </w:p>
        </w:tc>
        <w:tc>
          <w:tcPr>
            <w:tcW w:w="709" w:type="dxa"/>
            <w:tcBorders>
              <w:top w:val="single" w:sz="4" w:space="0" w:color="000000"/>
              <w:left w:val="single" w:sz="4" w:space="0" w:color="000000"/>
              <w:bottom w:val="single" w:sz="4" w:space="0" w:color="000000"/>
              <w:right w:val="single" w:sz="4" w:space="0" w:color="000000"/>
            </w:tcBorders>
            <w:vAlign w:val="center"/>
          </w:tcPr>
          <w:p w14:paraId="7886154E" w14:textId="77777777" w:rsidR="00FE04DA" w:rsidRPr="004E13E9" w:rsidRDefault="00FE04DA" w:rsidP="00E62E84">
            <w:pPr>
              <w:jc w:val="center"/>
              <w:rPr>
                <w:rFonts w:eastAsia="Times New Roman" w:cs="Calibri"/>
                <w:b/>
                <w:sz w:val="17"/>
                <w:szCs w:val="17"/>
              </w:rPr>
            </w:pPr>
            <w:r w:rsidRPr="004E13E9">
              <w:rPr>
                <w:rFonts w:cs="Century"/>
                <w:b/>
                <w:sz w:val="17"/>
                <w:szCs w:val="17"/>
              </w:rPr>
              <w:t>22</w:t>
            </w:r>
          </w:p>
        </w:tc>
        <w:tc>
          <w:tcPr>
            <w:tcW w:w="709" w:type="dxa"/>
            <w:tcBorders>
              <w:top w:val="single" w:sz="4" w:space="0" w:color="000000"/>
              <w:left w:val="single" w:sz="4" w:space="0" w:color="000000"/>
              <w:bottom w:val="single" w:sz="4" w:space="0" w:color="000000"/>
              <w:right w:val="single" w:sz="4" w:space="0" w:color="000000"/>
            </w:tcBorders>
            <w:vAlign w:val="center"/>
          </w:tcPr>
          <w:p w14:paraId="4AEC3FB4" w14:textId="77777777" w:rsidR="00FE04DA" w:rsidRPr="004E13E9" w:rsidRDefault="00FE04DA" w:rsidP="00E62E84">
            <w:pPr>
              <w:jc w:val="center"/>
              <w:rPr>
                <w:rFonts w:eastAsia="Times New Roman" w:cs="Calibri"/>
                <w:b/>
                <w:sz w:val="17"/>
                <w:szCs w:val="17"/>
              </w:rPr>
            </w:pPr>
            <w:r w:rsidRPr="004E13E9">
              <w:rPr>
                <w:b/>
                <w:sz w:val="17"/>
                <w:szCs w:val="17"/>
              </w:rPr>
              <w:t>23</w:t>
            </w:r>
          </w:p>
        </w:tc>
        <w:tc>
          <w:tcPr>
            <w:tcW w:w="708" w:type="dxa"/>
            <w:tcBorders>
              <w:top w:val="single" w:sz="4" w:space="0" w:color="000000"/>
              <w:left w:val="single" w:sz="4" w:space="0" w:color="000000"/>
              <w:bottom w:val="single" w:sz="4" w:space="0" w:color="000000"/>
              <w:right w:val="single" w:sz="4" w:space="0" w:color="000000"/>
            </w:tcBorders>
            <w:vAlign w:val="center"/>
          </w:tcPr>
          <w:p w14:paraId="6454CBA8" w14:textId="77777777" w:rsidR="00FE04DA" w:rsidRPr="004E13E9" w:rsidRDefault="00FE04DA" w:rsidP="00E62E84">
            <w:pPr>
              <w:jc w:val="center"/>
              <w:rPr>
                <w:b/>
                <w:sz w:val="17"/>
                <w:szCs w:val="17"/>
              </w:rPr>
            </w:pPr>
            <w:r w:rsidRPr="004E13E9">
              <w:rPr>
                <w:b/>
                <w:sz w:val="17"/>
                <w:szCs w:val="17"/>
              </w:rPr>
              <w:t>23</w:t>
            </w:r>
          </w:p>
        </w:tc>
        <w:tc>
          <w:tcPr>
            <w:tcW w:w="709" w:type="dxa"/>
            <w:tcBorders>
              <w:top w:val="single" w:sz="4" w:space="0" w:color="000000"/>
              <w:left w:val="single" w:sz="4" w:space="0" w:color="000000"/>
              <w:bottom w:val="single" w:sz="4" w:space="0" w:color="000000"/>
              <w:right w:val="single" w:sz="4" w:space="0" w:color="000000"/>
            </w:tcBorders>
            <w:vAlign w:val="center"/>
          </w:tcPr>
          <w:p w14:paraId="2415E21F" w14:textId="77777777" w:rsidR="00FE04DA" w:rsidRPr="004E13E9" w:rsidRDefault="00FE04DA" w:rsidP="00E62E84">
            <w:pPr>
              <w:jc w:val="center"/>
              <w:rPr>
                <w:rFonts w:eastAsia="Times New Roman" w:cs="Calibri"/>
                <w:b/>
                <w:bCs/>
                <w:kern w:val="2"/>
                <w:sz w:val="18"/>
                <w:szCs w:val="18"/>
                <w:lang w:eastAsia="ja-JP"/>
              </w:rPr>
            </w:pPr>
            <w:r w:rsidRPr="004E13E9">
              <w:rPr>
                <w:rFonts w:eastAsia="Times New Roman" w:cs="Calibri"/>
                <w:b/>
                <w:bCs/>
                <w:kern w:val="2"/>
                <w:sz w:val="18"/>
                <w:szCs w:val="18"/>
                <w:lang w:eastAsia="ja-JP"/>
              </w:rPr>
              <w:t>26</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6907CED" w14:textId="77777777" w:rsidR="00FE04DA" w:rsidRPr="004E13E9" w:rsidRDefault="00FE04DA" w:rsidP="00E62E84">
            <w:r w:rsidRPr="004E13E9">
              <w:rPr>
                <w:rFonts w:eastAsia="Malgun Gothic"/>
                <w:b/>
                <w:kern w:val="2"/>
                <w:sz w:val="18"/>
                <w:szCs w:val="18"/>
                <w:lang w:eastAsia="ko-KR"/>
              </w:rPr>
              <w:t> </w:t>
            </w:r>
          </w:p>
        </w:tc>
        <w:tc>
          <w:tcPr>
            <w:tcW w:w="756" w:type="dxa"/>
            <w:tcBorders>
              <w:top w:val="single" w:sz="4" w:space="0" w:color="000000"/>
              <w:left w:val="single" w:sz="4" w:space="0" w:color="000000"/>
              <w:bottom w:val="single" w:sz="4" w:space="0" w:color="000000"/>
              <w:right w:val="single" w:sz="4" w:space="0" w:color="000000"/>
            </w:tcBorders>
            <w:vAlign w:val="center"/>
          </w:tcPr>
          <w:p w14:paraId="20157CBF" w14:textId="77777777" w:rsidR="00FE04DA" w:rsidRPr="004E13E9" w:rsidRDefault="00FE04DA" w:rsidP="00E62E84">
            <w:pPr>
              <w:jc w:val="center"/>
              <w:rPr>
                <w:rFonts w:cs="Calibri"/>
                <w:b/>
                <w:bCs/>
                <w:sz w:val="17"/>
                <w:szCs w:val="17"/>
              </w:rPr>
            </w:pPr>
            <w:r w:rsidRPr="004E13E9">
              <w:rPr>
                <w:rFonts w:cs="Century"/>
                <w:b/>
                <w:bCs/>
                <w:sz w:val="17"/>
                <w:szCs w:val="17"/>
              </w:rPr>
              <w:t>2.250</w:t>
            </w:r>
          </w:p>
        </w:tc>
        <w:tc>
          <w:tcPr>
            <w:tcW w:w="709" w:type="dxa"/>
            <w:tcBorders>
              <w:top w:val="single" w:sz="4" w:space="0" w:color="000000"/>
              <w:left w:val="single" w:sz="4" w:space="0" w:color="000000"/>
              <w:bottom w:val="single" w:sz="4" w:space="0" w:color="000000"/>
              <w:right w:val="single" w:sz="4" w:space="0" w:color="000000"/>
            </w:tcBorders>
            <w:vAlign w:val="center"/>
          </w:tcPr>
          <w:p w14:paraId="735F6D8C" w14:textId="77777777" w:rsidR="00FE04DA" w:rsidRPr="004E13E9" w:rsidRDefault="00FE04DA" w:rsidP="00E62E84">
            <w:pPr>
              <w:jc w:val="center"/>
              <w:rPr>
                <w:rFonts w:cs="Calibri"/>
                <w:b/>
                <w:bCs/>
                <w:sz w:val="17"/>
                <w:szCs w:val="17"/>
              </w:rPr>
            </w:pPr>
            <w:r w:rsidRPr="004E13E9">
              <w:rPr>
                <w:rFonts w:cs="Century"/>
                <w:b/>
                <w:bCs/>
                <w:sz w:val="17"/>
                <w:szCs w:val="17"/>
              </w:rPr>
              <w:t>2.250</w:t>
            </w:r>
          </w:p>
        </w:tc>
        <w:tc>
          <w:tcPr>
            <w:tcW w:w="851" w:type="dxa"/>
            <w:tcBorders>
              <w:top w:val="single" w:sz="4" w:space="0" w:color="000000"/>
              <w:left w:val="single" w:sz="4" w:space="0" w:color="000000"/>
              <w:bottom w:val="single" w:sz="4" w:space="0" w:color="000000"/>
              <w:right w:val="single" w:sz="4" w:space="0" w:color="000000"/>
            </w:tcBorders>
            <w:vAlign w:val="center"/>
          </w:tcPr>
          <w:p w14:paraId="2EFA7C9C" w14:textId="77777777" w:rsidR="00FE04DA" w:rsidRPr="004E13E9" w:rsidRDefault="00FE04DA" w:rsidP="00E62E84">
            <w:pPr>
              <w:jc w:val="center"/>
              <w:rPr>
                <w:rFonts w:cs="Calibri"/>
                <w:b/>
                <w:bCs/>
                <w:sz w:val="17"/>
                <w:szCs w:val="17"/>
              </w:rPr>
            </w:pPr>
            <w:r w:rsidRPr="004E13E9">
              <w:rPr>
                <w:rFonts w:cs="Calibri"/>
                <w:b/>
                <w:bCs/>
                <w:sz w:val="17"/>
                <w:szCs w:val="17"/>
              </w:rPr>
              <w:t>2.400,3</w:t>
            </w:r>
          </w:p>
        </w:tc>
        <w:tc>
          <w:tcPr>
            <w:tcW w:w="850" w:type="dxa"/>
            <w:tcBorders>
              <w:top w:val="single" w:sz="4" w:space="0" w:color="000000"/>
              <w:left w:val="single" w:sz="4" w:space="0" w:color="000000"/>
              <w:bottom w:val="single" w:sz="4" w:space="0" w:color="000000"/>
              <w:right w:val="single" w:sz="4" w:space="0" w:color="000000"/>
            </w:tcBorders>
            <w:vAlign w:val="center"/>
          </w:tcPr>
          <w:p w14:paraId="5A8B441D" w14:textId="77777777" w:rsidR="00FE04DA" w:rsidRPr="004E13E9" w:rsidRDefault="00FE04DA" w:rsidP="00E62E84">
            <w:pPr>
              <w:jc w:val="center"/>
              <w:rPr>
                <w:rFonts w:cs="Calibri"/>
                <w:b/>
                <w:bCs/>
                <w:sz w:val="17"/>
                <w:szCs w:val="17"/>
              </w:rPr>
            </w:pPr>
            <w:r w:rsidRPr="004E13E9">
              <w:rPr>
                <w:rFonts w:cs="Calibri"/>
                <w:b/>
                <w:bCs/>
                <w:sz w:val="17"/>
                <w:szCs w:val="17"/>
              </w:rPr>
              <w:t>3.147</w:t>
            </w:r>
          </w:p>
        </w:tc>
        <w:tc>
          <w:tcPr>
            <w:tcW w:w="851" w:type="dxa"/>
            <w:tcBorders>
              <w:top w:val="single" w:sz="4" w:space="0" w:color="000000"/>
              <w:left w:val="single" w:sz="4" w:space="0" w:color="000000"/>
              <w:bottom w:val="single" w:sz="4" w:space="0" w:color="000000"/>
              <w:right w:val="single" w:sz="4" w:space="0" w:color="000000"/>
            </w:tcBorders>
            <w:vAlign w:val="center"/>
          </w:tcPr>
          <w:p w14:paraId="2BC0E567" w14:textId="77777777" w:rsidR="00FE04DA" w:rsidRPr="004E13E9" w:rsidRDefault="00FE04DA" w:rsidP="00E62E84">
            <w:pPr>
              <w:jc w:val="center"/>
              <w:rPr>
                <w:rFonts w:cs="Calibri"/>
                <w:b/>
                <w:bCs/>
                <w:sz w:val="17"/>
                <w:szCs w:val="17"/>
              </w:rPr>
            </w:pPr>
            <w:r w:rsidRPr="004E13E9">
              <w:rPr>
                <w:rFonts w:cs="Calibri"/>
                <w:b/>
                <w:bCs/>
                <w:sz w:val="17"/>
                <w:szCs w:val="17"/>
              </w:rPr>
              <w:t>3.162,4</w:t>
            </w:r>
          </w:p>
        </w:tc>
        <w:tc>
          <w:tcPr>
            <w:tcW w:w="992" w:type="dxa"/>
            <w:tcBorders>
              <w:top w:val="single" w:sz="4" w:space="0" w:color="000000"/>
              <w:left w:val="single" w:sz="4" w:space="0" w:color="000000"/>
              <w:bottom w:val="single" w:sz="4" w:space="0" w:color="000000"/>
              <w:right w:val="single" w:sz="4" w:space="0" w:color="000000"/>
            </w:tcBorders>
            <w:vAlign w:val="center"/>
          </w:tcPr>
          <w:p w14:paraId="222D643B" w14:textId="77777777" w:rsidR="00FE04DA" w:rsidRPr="004E13E9" w:rsidRDefault="00FE04DA" w:rsidP="00E62E84">
            <w:pPr>
              <w:jc w:val="center"/>
              <w:rPr>
                <w:sz w:val="17"/>
                <w:szCs w:val="17"/>
              </w:rPr>
            </w:pPr>
            <w:r w:rsidRPr="004E13E9">
              <w:rPr>
                <w:rFonts w:cs="Century"/>
                <w:b/>
                <w:sz w:val="17"/>
                <w:szCs w:val="17"/>
              </w:rPr>
              <w:t>3.182,42</w:t>
            </w:r>
          </w:p>
        </w:tc>
        <w:tc>
          <w:tcPr>
            <w:tcW w:w="992" w:type="dxa"/>
            <w:tcBorders>
              <w:top w:val="single" w:sz="4" w:space="0" w:color="000000"/>
              <w:left w:val="single" w:sz="4" w:space="0" w:color="000000"/>
              <w:bottom w:val="single" w:sz="4" w:space="0" w:color="000000"/>
              <w:right w:val="single" w:sz="4" w:space="0" w:color="000000"/>
            </w:tcBorders>
            <w:vAlign w:val="center"/>
          </w:tcPr>
          <w:p w14:paraId="426AEDAC" w14:textId="77777777" w:rsidR="00FE04DA" w:rsidRPr="004E13E9" w:rsidRDefault="00FE04DA" w:rsidP="00E62E84">
            <w:pPr>
              <w:jc w:val="center"/>
              <w:rPr>
                <w:rFonts w:cs="Century"/>
                <w:b/>
                <w:sz w:val="17"/>
                <w:szCs w:val="17"/>
              </w:rPr>
            </w:pPr>
            <w:r w:rsidRPr="004E13E9">
              <w:rPr>
                <w:rFonts w:cs="Century"/>
                <w:b/>
                <w:sz w:val="17"/>
                <w:szCs w:val="17"/>
              </w:rPr>
              <w:t>3.409,75</w:t>
            </w:r>
          </w:p>
        </w:tc>
      </w:tr>
      <w:tr w:rsidR="00FE04DA" w:rsidRPr="004E13E9" w14:paraId="3D02FE07"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561347" w14:textId="77777777" w:rsidR="00FE04DA" w:rsidRPr="004E13E9" w:rsidRDefault="00FE04DA" w:rsidP="00E62E84">
            <w:r w:rsidRPr="004E13E9">
              <w:rPr>
                <w:rFonts w:eastAsia="Malgun Gothic"/>
                <w:b/>
                <w:kern w:val="2"/>
                <w:sz w:val="18"/>
                <w:szCs w:val="18"/>
                <w:lang w:eastAsia="ko-KR"/>
              </w:rPr>
              <w:t xml:space="preserve">Quota initial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02E5618" w14:textId="77777777" w:rsidR="00FE04DA" w:rsidRPr="004E13E9" w:rsidRDefault="00FE04DA" w:rsidP="00E62E84">
            <w:pPr>
              <w:jc w:val="right"/>
            </w:pPr>
            <w:r w:rsidRPr="004E13E9">
              <w:rPr>
                <w:rFonts w:eastAsia="Malgun Gothic"/>
                <w:kern w:val="2"/>
                <w:sz w:val="18"/>
                <w:szCs w:val="18"/>
                <w:lang w:eastAsia="ko-KR"/>
              </w:rPr>
              <w:t> </w:t>
            </w: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A9C59D" w14:textId="77777777" w:rsidR="00FE04DA" w:rsidRPr="004E13E9" w:rsidRDefault="00FE04DA" w:rsidP="00E62E84">
            <w:pPr>
              <w:jc w:val="center"/>
              <w:rPr>
                <w:rFonts w:eastAsia="Times New Roman" w:cs="Calibri"/>
                <w:b/>
                <w:sz w:val="17"/>
                <w:szCs w:val="17"/>
                <w:lang w:eastAsia="ja-JP"/>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0EEB48" w14:textId="77777777" w:rsidR="00FE04DA" w:rsidRPr="004E13E9" w:rsidRDefault="00FE04DA" w:rsidP="00E62E84">
            <w:pPr>
              <w:jc w:val="center"/>
              <w:rPr>
                <w:rFonts w:eastAsia="Times New Roman" w:cs="Calibri"/>
                <w:b/>
                <w:sz w:val="17"/>
                <w:szCs w:val="17"/>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64FB6E" w14:textId="77777777" w:rsidR="00FE04DA" w:rsidRPr="004E13E9" w:rsidRDefault="00FE04DA" w:rsidP="00E62E84">
            <w:pPr>
              <w:jc w:val="center"/>
              <w:rPr>
                <w:rFonts w:eastAsia="Times New Roman" w:cs="Calibri"/>
                <w:b/>
                <w:sz w:val="17"/>
                <w:szCs w:val="17"/>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00E6F5F" w14:textId="77777777" w:rsidR="00FE04DA" w:rsidRPr="004E13E9" w:rsidRDefault="00FE04DA" w:rsidP="00E62E84">
            <w:pPr>
              <w:jc w:val="center"/>
              <w:rPr>
                <w:rFonts w:eastAsia="Times New Roman" w:cs="Calibri"/>
                <w:b/>
                <w:sz w:val="17"/>
                <w:szCs w:val="17"/>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4D36321" w14:textId="77777777" w:rsidR="00FE04DA" w:rsidRPr="004E13E9" w:rsidRDefault="00FE04DA" w:rsidP="00E62E84">
            <w:pPr>
              <w:jc w:val="center"/>
              <w:rPr>
                <w:rFonts w:eastAsia="Times New Roman" w:cs="Calibri"/>
                <w:b/>
                <w:sz w:val="17"/>
                <w:szCs w:val="17"/>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C8EDE1A" w14:textId="77777777" w:rsidR="00FE04DA" w:rsidRPr="004E13E9" w:rsidRDefault="00FE04DA" w:rsidP="00E62E84">
            <w:pPr>
              <w:jc w:val="center"/>
              <w:rPr>
                <w:rFonts w:eastAsia="Times New Roman" w:cs="Calibri"/>
                <w:b/>
                <w:sz w:val="17"/>
                <w:szCs w:val="17"/>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EB619D" w14:textId="77777777" w:rsidR="00FE04DA" w:rsidRPr="004E13E9" w:rsidRDefault="00FE04DA" w:rsidP="00E62E84">
            <w:pPr>
              <w:jc w:val="center"/>
              <w:rPr>
                <w:rFonts w:eastAsia="Times New Roman" w:cs="Calibri"/>
                <w:kern w:val="2"/>
                <w:sz w:val="18"/>
                <w:szCs w:val="18"/>
                <w:lang w:eastAsia="ja-JP"/>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0C9988" w14:textId="77777777" w:rsidR="00FE04DA" w:rsidRPr="004E13E9" w:rsidRDefault="00FE04DA" w:rsidP="00E62E84">
            <w:r w:rsidRPr="004E13E9">
              <w:rPr>
                <w:rFonts w:eastAsia="Malgun Gothic"/>
                <w:kern w:val="2"/>
                <w:sz w:val="18"/>
                <w:szCs w:val="18"/>
                <w:lang w:eastAsia="ko-KR"/>
              </w:rPr>
              <w:t> </w:t>
            </w:r>
          </w:p>
        </w:tc>
        <w:tc>
          <w:tcPr>
            <w:tcW w:w="7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6AB38D" w14:textId="77777777" w:rsidR="00FE04DA" w:rsidRPr="004E13E9" w:rsidRDefault="00FE04DA" w:rsidP="00E62E84">
            <w:pPr>
              <w:jc w:val="center"/>
              <w:rPr>
                <w:rFonts w:eastAsia="Times New Roman" w:cs="Calibri"/>
                <w:b/>
                <w:bCs/>
                <w:sz w:val="17"/>
                <w:szCs w:val="17"/>
              </w:rPr>
            </w:pPr>
            <w:r w:rsidRPr="004E13E9">
              <w:rPr>
                <w:rFonts w:cs="Calibri"/>
                <w:b/>
                <w:bCs/>
                <w:sz w:val="17"/>
                <w:szCs w:val="17"/>
                <w:lang w:val="es-ES"/>
              </w:rPr>
              <w:t>3.177</w:t>
            </w: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76E418" w14:textId="77777777" w:rsidR="00FE04DA" w:rsidRPr="004E13E9" w:rsidRDefault="00FE04DA" w:rsidP="00E62E84">
            <w:pPr>
              <w:jc w:val="center"/>
              <w:rPr>
                <w:rFonts w:cs="Calibri"/>
                <w:b/>
                <w:bCs/>
                <w:sz w:val="17"/>
                <w:szCs w:val="17"/>
              </w:rPr>
            </w:pPr>
            <w:r w:rsidRPr="004E13E9">
              <w:rPr>
                <w:rFonts w:cs="Calibri"/>
                <w:b/>
                <w:bCs/>
                <w:sz w:val="17"/>
                <w:szCs w:val="17"/>
                <w:lang w:val="es-ES"/>
              </w:rPr>
              <w:t>2.729</w:t>
            </w:r>
          </w:p>
        </w:tc>
        <w:tc>
          <w:tcPr>
            <w:tcW w:w="8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192537" w14:textId="77777777" w:rsidR="00FE04DA" w:rsidRPr="004E13E9" w:rsidRDefault="00FE04DA" w:rsidP="00E62E84">
            <w:pPr>
              <w:jc w:val="center"/>
              <w:rPr>
                <w:rFonts w:cs="Calibri"/>
                <w:b/>
                <w:bCs/>
                <w:sz w:val="17"/>
                <w:szCs w:val="17"/>
              </w:rPr>
            </w:pPr>
            <w:r w:rsidRPr="004E13E9">
              <w:rPr>
                <w:rFonts w:cs="Calibri"/>
                <w:b/>
                <w:bCs/>
                <w:sz w:val="17"/>
                <w:szCs w:val="17"/>
                <w:lang w:val="es-ES"/>
              </w:rPr>
              <w:t>2.578</w:t>
            </w:r>
          </w:p>
        </w:tc>
        <w:tc>
          <w:tcPr>
            <w:tcW w:w="8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B5872C" w14:textId="77777777" w:rsidR="00FE04DA" w:rsidRPr="004E13E9" w:rsidRDefault="00FE04DA" w:rsidP="00E62E84">
            <w:pPr>
              <w:jc w:val="center"/>
              <w:rPr>
                <w:rFonts w:cs="Calibri"/>
                <w:b/>
                <w:bCs/>
                <w:sz w:val="17"/>
                <w:szCs w:val="17"/>
              </w:rPr>
            </w:pPr>
            <w:r w:rsidRPr="004E13E9">
              <w:rPr>
                <w:rFonts w:cs="Calibri"/>
                <w:b/>
                <w:bCs/>
                <w:sz w:val="17"/>
                <w:szCs w:val="17"/>
              </w:rPr>
              <w:t>3.700</w:t>
            </w:r>
          </w:p>
        </w:tc>
        <w:tc>
          <w:tcPr>
            <w:tcW w:w="8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80F74CE" w14:textId="77777777" w:rsidR="00FE04DA" w:rsidRPr="004E13E9" w:rsidRDefault="00FE04DA" w:rsidP="00E62E84">
            <w:pPr>
              <w:jc w:val="center"/>
              <w:rPr>
                <w:rFonts w:cs="Calibri"/>
                <w:b/>
                <w:bCs/>
                <w:sz w:val="17"/>
                <w:szCs w:val="17"/>
              </w:rPr>
            </w:pPr>
            <w:r w:rsidRPr="004E13E9">
              <w:rPr>
                <w:rFonts w:cs="Calibri"/>
                <w:b/>
                <w:bCs/>
                <w:sz w:val="17"/>
                <w:szCs w:val="17"/>
              </w:rPr>
              <w:t>3.700</w:t>
            </w:r>
          </w:p>
        </w:tc>
        <w:tc>
          <w:tcPr>
            <w:tcW w:w="9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00EA2A" w14:textId="77777777" w:rsidR="00FE04DA" w:rsidRPr="004E13E9" w:rsidRDefault="00FE04DA" w:rsidP="00E62E84">
            <w:pPr>
              <w:jc w:val="center"/>
              <w:rPr>
                <w:b/>
                <w:bCs/>
                <w:sz w:val="17"/>
                <w:szCs w:val="17"/>
              </w:rPr>
            </w:pPr>
            <w:r w:rsidRPr="004E13E9">
              <w:rPr>
                <w:b/>
                <w:bCs/>
                <w:sz w:val="17"/>
                <w:szCs w:val="17"/>
              </w:rPr>
              <w:t>3.700</w:t>
            </w:r>
          </w:p>
        </w:tc>
        <w:tc>
          <w:tcPr>
            <w:tcW w:w="9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24133F" w14:textId="77777777" w:rsidR="00FE04DA" w:rsidRPr="004E13E9" w:rsidRDefault="00FE04DA" w:rsidP="00E62E84">
            <w:pPr>
              <w:jc w:val="center"/>
              <w:rPr>
                <w:b/>
                <w:bCs/>
                <w:sz w:val="17"/>
                <w:szCs w:val="17"/>
              </w:rPr>
            </w:pPr>
            <w:r w:rsidRPr="004E13E9">
              <w:rPr>
                <w:b/>
                <w:bCs/>
                <w:sz w:val="17"/>
                <w:szCs w:val="17"/>
              </w:rPr>
              <w:t>4.379,47</w:t>
            </w:r>
          </w:p>
        </w:tc>
      </w:tr>
      <w:tr w:rsidR="00FE04DA" w:rsidRPr="004E13E9" w14:paraId="0E6EFCCF"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6D8177B" w14:textId="77777777" w:rsidR="00FE04DA" w:rsidRPr="004E13E9" w:rsidRDefault="00FE04DA" w:rsidP="00E62E84">
            <w:pPr>
              <w:rPr>
                <w:lang w:val="fr-FR"/>
              </w:rPr>
            </w:pPr>
            <w:r w:rsidRPr="004E13E9">
              <w:rPr>
                <w:rFonts w:eastAsia="Malgun Gothic"/>
                <w:b/>
                <w:kern w:val="2"/>
                <w:sz w:val="18"/>
                <w:szCs w:val="18"/>
                <w:lang w:val="fr-FR" w:eastAsia="ko-KR"/>
              </w:rPr>
              <w:t xml:space="preserve">Quota ajusté (le cas échéant)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09985C" w14:textId="77777777" w:rsidR="00FE04DA" w:rsidRPr="004E13E9" w:rsidRDefault="00FE04DA" w:rsidP="00E62E84">
            <w:pPr>
              <w:jc w:val="right"/>
              <w:rPr>
                <w:rFonts w:eastAsia="Times New Roman" w:cs="Calibri"/>
                <w:kern w:val="2"/>
                <w:sz w:val="18"/>
                <w:szCs w:val="18"/>
                <w:lang w:val="fr-FR" w:eastAsia="ja-JP"/>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26D09F" w14:textId="77777777" w:rsidR="00FE04DA" w:rsidRPr="004E13E9" w:rsidRDefault="00FE04DA" w:rsidP="00E62E84">
            <w:pPr>
              <w:jc w:val="center"/>
              <w:rPr>
                <w:rFonts w:eastAsia="Times New Roman" w:cs="Calibri"/>
                <w:b/>
                <w:sz w:val="17"/>
                <w:szCs w:val="17"/>
                <w:lang w:val="fr-FR" w:eastAsia="ja-JP"/>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1E3D61" w14:textId="77777777" w:rsidR="00FE04DA" w:rsidRPr="004E13E9" w:rsidRDefault="00FE04DA" w:rsidP="00E62E84">
            <w:pPr>
              <w:jc w:val="center"/>
              <w:rPr>
                <w:rFonts w:eastAsia="Times New Roman" w:cs="Calibri"/>
                <w:b/>
                <w:sz w:val="17"/>
                <w:szCs w:val="17"/>
                <w:lang w:val="fr-FR"/>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9256F02" w14:textId="77777777" w:rsidR="00FE04DA" w:rsidRPr="004E13E9" w:rsidRDefault="00FE04DA" w:rsidP="00E62E84">
            <w:pPr>
              <w:jc w:val="center"/>
              <w:rPr>
                <w:rFonts w:eastAsia="Times New Roman" w:cs="Calibri"/>
                <w:b/>
                <w:sz w:val="17"/>
                <w:szCs w:val="17"/>
                <w:lang w:val="fr-FR"/>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205F1D" w14:textId="77777777" w:rsidR="00FE04DA" w:rsidRPr="004E13E9" w:rsidRDefault="00FE04DA" w:rsidP="00E62E84">
            <w:pPr>
              <w:jc w:val="center"/>
              <w:rPr>
                <w:rFonts w:eastAsia="Times New Roman" w:cs="Calibri"/>
                <w:b/>
                <w:sz w:val="17"/>
                <w:szCs w:val="17"/>
                <w:lang w:val="fr-FR"/>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EDCF01" w14:textId="77777777" w:rsidR="00FE04DA" w:rsidRPr="004E13E9" w:rsidRDefault="00FE04DA" w:rsidP="00E62E84">
            <w:pPr>
              <w:jc w:val="center"/>
              <w:rPr>
                <w:rFonts w:eastAsia="Times New Roman" w:cs="Calibri"/>
                <w:b/>
                <w:sz w:val="17"/>
                <w:szCs w:val="17"/>
                <w:lang w:val="fr-FR"/>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E2B0965" w14:textId="77777777" w:rsidR="00FE04DA" w:rsidRPr="004E13E9" w:rsidRDefault="00FE04DA" w:rsidP="00E62E84">
            <w:pPr>
              <w:jc w:val="center"/>
              <w:rPr>
                <w:b/>
                <w:sz w:val="17"/>
                <w:szCs w:val="17"/>
                <w:lang w:val="fr-FR"/>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142BBB" w14:textId="77777777" w:rsidR="00FE04DA" w:rsidRPr="004E13E9" w:rsidRDefault="00FE04DA" w:rsidP="00E62E84">
            <w:pPr>
              <w:jc w:val="center"/>
              <w:rPr>
                <w:rFonts w:eastAsia="Times New Roman" w:cs="Calibri"/>
                <w:kern w:val="2"/>
                <w:sz w:val="18"/>
                <w:szCs w:val="18"/>
                <w:lang w:val="fr-FR" w:eastAsia="ja-JP"/>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4DE612D" w14:textId="77777777" w:rsidR="00FE04DA" w:rsidRPr="004E13E9" w:rsidRDefault="00FE04DA" w:rsidP="00E62E84">
            <w:pPr>
              <w:rPr>
                <w:rFonts w:eastAsia="Times New Roman" w:cs="Calibri"/>
                <w:kern w:val="2"/>
                <w:sz w:val="18"/>
                <w:szCs w:val="18"/>
                <w:lang w:val="fr-FR" w:eastAsia="ja-JP"/>
              </w:rPr>
            </w:pPr>
          </w:p>
        </w:tc>
        <w:tc>
          <w:tcPr>
            <w:tcW w:w="7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42D6AF" w14:textId="77777777" w:rsidR="00FE04DA" w:rsidRPr="004E13E9" w:rsidRDefault="00FE04DA" w:rsidP="00E62E84">
            <w:pPr>
              <w:jc w:val="center"/>
              <w:rPr>
                <w:rFonts w:cs="Calibri"/>
                <w:b/>
                <w:bCs/>
                <w:sz w:val="17"/>
                <w:szCs w:val="17"/>
              </w:rPr>
            </w:pPr>
            <w:r w:rsidRPr="004E13E9">
              <w:rPr>
                <w:rFonts w:cs="Calibri"/>
                <w:b/>
                <w:bCs/>
                <w:sz w:val="17"/>
                <w:szCs w:val="17"/>
                <w:lang w:val="es-ES"/>
              </w:rPr>
              <w:t>3.177</w:t>
            </w: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932E187" w14:textId="77777777" w:rsidR="00FE04DA" w:rsidRPr="004E13E9" w:rsidRDefault="00FE04DA" w:rsidP="00E62E84">
            <w:pPr>
              <w:jc w:val="center"/>
              <w:rPr>
                <w:rFonts w:cs="Calibri"/>
                <w:b/>
                <w:bCs/>
                <w:sz w:val="17"/>
                <w:szCs w:val="17"/>
              </w:rPr>
            </w:pPr>
            <w:r w:rsidRPr="004E13E9">
              <w:rPr>
                <w:rFonts w:cs="Calibri"/>
                <w:b/>
                <w:bCs/>
                <w:sz w:val="17"/>
                <w:szCs w:val="17"/>
              </w:rPr>
              <w:t>2.729</w:t>
            </w:r>
          </w:p>
        </w:tc>
        <w:tc>
          <w:tcPr>
            <w:tcW w:w="8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002A560" w14:textId="77777777" w:rsidR="00FE04DA" w:rsidRPr="004E13E9" w:rsidRDefault="00FE04DA" w:rsidP="00E62E84">
            <w:pPr>
              <w:jc w:val="center"/>
              <w:rPr>
                <w:rFonts w:cs="Calibri"/>
                <w:b/>
                <w:bCs/>
                <w:sz w:val="17"/>
                <w:szCs w:val="17"/>
              </w:rPr>
            </w:pPr>
            <w:r w:rsidRPr="004E13E9">
              <w:rPr>
                <w:rFonts w:cs="Calibri"/>
                <w:b/>
                <w:bCs/>
                <w:sz w:val="17"/>
                <w:szCs w:val="17"/>
              </w:rPr>
              <w:t>2.578</w:t>
            </w:r>
          </w:p>
        </w:tc>
        <w:tc>
          <w:tcPr>
            <w:tcW w:w="8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8F2999" w14:textId="77777777" w:rsidR="00FE04DA" w:rsidRPr="004E13E9" w:rsidRDefault="00FE04DA" w:rsidP="00E62E84">
            <w:pPr>
              <w:jc w:val="center"/>
              <w:rPr>
                <w:rFonts w:cs="Calibri"/>
                <w:b/>
                <w:bCs/>
                <w:sz w:val="17"/>
                <w:szCs w:val="17"/>
              </w:rPr>
            </w:pPr>
            <w:r w:rsidRPr="004E13E9">
              <w:rPr>
                <w:rFonts w:cs="Calibri"/>
                <w:b/>
                <w:bCs/>
                <w:sz w:val="17"/>
                <w:szCs w:val="17"/>
              </w:rPr>
              <w:t>3.703</w:t>
            </w:r>
          </w:p>
        </w:tc>
        <w:tc>
          <w:tcPr>
            <w:tcW w:w="8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F3B7E43" w14:textId="77777777" w:rsidR="00FE04DA" w:rsidRPr="004E13E9" w:rsidRDefault="00FE04DA" w:rsidP="00E62E84">
            <w:pPr>
              <w:jc w:val="center"/>
              <w:rPr>
                <w:rFonts w:cs="Calibri"/>
                <w:b/>
                <w:bCs/>
                <w:sz w:val="17"/>
                <w:szCs w:val="17"/>
              </w:rPr>
            </w:pPr>
            <w:r w:rsidRPr="004E13E9">
              <w:rPr>
                <w:rFonts w:cs="Calibri"/>
                <w:b/>
                <w:bCs/>
                <w:sz w:val="17"/>
                <w:szCs w:val="17"/>
              </w:rPr>
              <w:t>3.739</w:t>
            </w:r>
          </w:p>
        </w:tc>
        <w:tc>
          <w:tcPr>
            <w:tcW w:w="9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67CC93" w14:textId="77777777" w:rsidR="00FE04DA" w:rsidRPr="004E13E9" w:rsidRDefault="00FE04DA" w:rsidP="00E62E84">
            <w:pPr>
              <w:jc w:val="center"/>
              <w:rPr>
                <w:b/>
                <w:bCs/>
                <w:sz w:val="17"/>
                <w:szCs w:val="17"/>
              </w:rPr>
            </w:pPr>
            <w:r w:rsidRPr="004E13E9">
              <w:rPr>
                <w:b/>
                <w:bCs/>
                <w:sz w:val="17"/>
                <w:szCs w:val="17"/>
              </w:rPr>
              <w:t>3.870</w:t>
            </w:r>
          </w:p>
        </w:tc>
        <w:tc>
          <w:tcPr>
            <w:tcW w:w="9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1FDD07" w14:textId="77777777" w:rsidR="00FE04DA" w:rsidRPr="004E13E9" w:rsidRDefault="00FE04DA" w:rsidP="00E62E84">
            <w:pPr>
              <w:jc w:val="center"/>
              <w:rPr>
                <w:b/>
                <w:bCs/>
                <w:sz w:val="17"/>
                <w:szCs w:val="17"/>
              </w:rPr>
            </w:pPr>
            <w:r w:rsidRPr="004E13E9">
              <w:rPr>
                <w:b/>
                <w:bCs/>
                <w:sz w:val="17"/>
                <w:szCs w:val="17"/>
              </w:rPr>
              <w:t>4.633,09</w:t>
            </w:r>
          </w:p>
        </w:tc>
      </w:tr>
      <w:tr w:rsidR="00FE04DA" w:rsidRPr="004E13E9" w14:paraId="5C75CFC5"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52E54B91" w14:textId="77777777" w:rsidR="00FE04DA" w:rsidRPr="004E13E9" w:rsidRDefault="00FE04DA" w:rsidP="00E62E84">
            <w:pPr>
              <w:rPr>
                <w:lang w:val="fr-FR"/>
              </w:rPr>
            </w:pPr>
            <w:r w:rsidRPr="004E13E9">
              <w:rPr>
                <w:rFonts w:eastAsia="Malgun Gothic"/>
                <w:b/>
                <w:kern w:val="2"/>
                <w:sz w:val="18"/>
                <w:szCs w:val="18"/>
                <w:lang w:val="fr-FR" w:eastAsia="ko-KR"/>
              </w:rPr>
              <w:t>Pourcentage alloué aux prises accessoires</w:t>
            </w:r>
          </w:p>
        </w:tc>
        <w:tc>
          <w:tcPr>
            <w:tcW w:w="1559" w:type="dxa"/>
            <w:tcBorders>
              <w:top w:val="single" w:sz="4" w:space="0" w:color="000000"/>
              <w:left w:val="single" w:sz="4" w:space="0" w:color="000000"/>
              <w:bottom w:val="single" w:sz="4" w:space="0" w:color="000000"/>
              <w:right w:val="single" w:sz="4" w:space="0" w:color="000000"/>
            </w:tcBorders>
            <w:vAlign w:val="center"/>
          </w:tcPr>
          <w:p w14:paraId="4190E69F" w14:textId="77777777" w:rsidR="00FE04DA" w:rsidRPr="004E13E9" w:rsidRDefault="00FE04DA" w:rsidP="00E62E84">
            <w:pPr>
              <w:jc w:val="right"/>
              <w:rPr>
                <w:lang w:val="fr-FR"/>
              </w:rPr>
            </w:pPr>
            <w:r w:rsidRPr="004E13E9">
              <w:rPr>
                <w:rFonts w:eastAsia="Malgun Gothic"/>
                <w:kern w:val="2"/>
                <w:sz w:val="18"/>
                <w:szCs w:val="18"/>
                <w:lang w:val="fr-FR" w:eastAsia="ko-KR"/>
              </w:rPr>
              <w:t> </w:t>
            </w:r>
          </w:p>
        </w:tc>
        <w:tc>
          <w:tcPr>
            <w:tcW w:w="709" w:type="dxa"/>
            <w:tcBorders>
              <w:top w:val="single" w:sz="4" w:space="0" w:color="000000"/>
              <w:left w:val="single" w:sz="4" w:space="0" w:color="000000"/>
              <w:bottom w:val="single" w:sz="4" w:space="0" w:color="000000"/>
              <w:right w:val="single" w:sz="4" w:space="0" w:color="000000"/>
            </w:tcBorders>
          </w:tcPr>
          <w:p w14:paraId="6EEC3FA5" w14:textId="77777777" w:rsidR="00FE04DA" w:rsidRPr="004E13E9" w:rsidRDefault="00FE04DA" w:rsidP="00E62E84">
            <w:pPr>
              <w:rPr>
                <w:rFonts w:eastAsia="Times New Roman" w:cs="Calibri"/>
                <w:kern w:val="2"/>
                <w:sz w:val="18"/>
                <w:szCs w:val="18"/>
                <w:lang w:val="fr-FR" w:eastAsia="ja-JP"/>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78528DA1" w14:textId="77777777" w:rsidR="00FE04DA" w:rsidRPr="004E13E9" w:rsidRDefault="00FE04DA" w:rsidP="00E62E84">
            <w:pPr>
              <w:rPr>
                <w:lang w:val="fr-FR"/>
              </w:rPr>
            </w:pPr>
            <w:r w:rsidRPr="004E13E9">
              <w:rPr>
                <w:rFonts w:eastAsia="Malgun Gothic"/>
                <w:kern w:val="2"/>
                <w:sz w:val="18"/>
                <w:szCs w:val="18"/>
                <w:lang w:val="fr-FR" w:eastAsia="ko-KR"/>
              </w:rPr>
              <w:t> </w:t>
            </w:r>
          </w:p>
        </w:tc>
        <w:tc>
          <w:tcPr>
            <w:tcW w:w="709" w:type="dxa"/>
            <w:tcBorders>
              <w:top w:val="single" w:sz="4" w:space="0" w:color="000000"/>
              <w:left w:val="single" w:sz="4" w:space="0" w:color="000000"/>
              <w:bottom w:val="single" w:sz="4" w:space="0" w:color="000000"/>
              <w:right w:val="single" w:sz="4" w:space="0" w:color="000000"/>
            </w:tcBorders>
            <w:vAlign w:val="center"/>
          </w:tcPr>
          <w:p w14:paraId="121060E3" w14:textId="77777777" w:rsidR="00FE04DA" w:rsidRPr="004E13E9" w:rsidRDefault="00FE04DA" w:rsidP="00E62E84">
            <w:pPr>
              <w:rPr>
                <w:lang w:val="fr-FR"/>
              </w:rPr>
            </w:pPr>
            <w:r w:rsidRPr="004E13E9">
              <w:rPr>
                <w:rFonts w:eastAsia="Malgun Gothic"/>
                <w:kern w:val="2"/>
                <w:sz w:val="18"/>
                <w:szCs w:val="18"/>
                <w:lang w:val="fr-FR" w:eastAsia="ko-KR"/>
              </w:rPr>
              <w:t> </w:t>
            </w:r>
          </w:p>
        </w:tc>
        <w:tc>
          <w:tcPr>
            <w:tcW w:w="709" w:type="dxa"/>
            <w:tcBorders>
              <w:top w:val="single" w:sz="4" w:space="0" w:color="000000"/>
              <w:left w:val="single" w:sz="4" w:space="0" w:color="000000"/>
              <w:bottom w:val="single" w:sz="4" w:space="0" w:color="000000"/>
              <w:right w:val="single" w:sz="4" w:space="0" w:color="000000"/>
            </w:tcBorders>
            <w:vAlign w:val="center"/>
          </w:tcPr>
          <w:p w14:paraId="1961A0A3" w14:textId="77777777" w:rsidR="00FE04DA" w:rsidRPr="004E13E9" w:rsidRDefault="00FE04DA" w:rsidP="00E62E84">
            <w:pPr>
              <w:rPr>
                <w:lang w:val="fr-FR"/>
              </w:rPr>
            </w:pPr>
            <w:r w:rsidRPr="004E13E9">
              <w:rPr>
                <w:rFonts w:eastAsia="Malgun Gothic"/>
                <w:kern w:val="2"/>
                <w:sz w:val="18"/>
                <w:szCs w:val="18"/>
                <w:lang w:val="fr-FR" w:eastAsia="ko-KR"/>
              </w:rPr>
              <w:t> </w:t>
            </w:r>
          </w:p>
        </w:tc>
        <w:tc>
          <w:tcPr>
            <w:tcW w:w="709" w:type="dxa"/>
            <w:tcBorders>
              <w:top w:val="single" w:sz="4" w:space="0" w:color="000000"/>
              <w:left w:val="single" w:sz="4" w:space="0" w:color="000000"/>
              <w:bottom w:val="single" w:sz="4" w:space="0" w:color="000000"/>
              <w:right w:val="single" w:sz="4" w:space="0" w:color="000000"/>
            </w:tcBorders>
            <w:vAlign w:val="center"/>
          </w:tcPr>
          <w:p w14:paraId="515C3B38" w14:textId="77777777" w:rsidR="00FE04DA" w:rsidRPr="004E13E9" w:rsidRDefault="00FE04DA" w:rsidP="00E62E84">
            <w:pPr>
              <w:rPr>
                <w:lang w:val="fr-FR"/>
              </w:rPr>
            </w:pPr>
            <w:r w:rsidRPr="004E13E9">
              <w:rPr>
                <w:rFonts w:eastAsia="Malgun Gothic"/>
                <w:kern w:val="2"/>
                <w:sz w:val="18"/>
                <w:szCs w:val="18"/>
                <w:lang w:val="fr-FR" w:eastAsia="ko-KR"/>
              </w:rPr>
              <w:t> </w:t>
            </w:r>
          </w:p>
        </w:tc>
        <w:tc>
          <w:tcPr>
            <w:tcW w:w="708" w:type="dxa"/>
            <w:tcBorders>
              <w:top w:val="single" w:sz="4" w:space="0" w:color="000000"/>
              <w:left w:val="single" w:sz="4" w:space="0" w:color="000000"/>
              <w:bottom w:val="single" w:sz="4" w:space="0" w:color="000000"/>
              <w:right w:val="single" w:sz="4" w:space="0" w:color="000000"/>
            </w:tcBorders>
          </w:tcPr>
          <w:p w14:paraId="5A58C16A" w14:textId="77777777" w:rsidR="00FE04DA" w:rsidRPr="004E13E9" w:rsidRDefault="00FE04DA" w:rsidP="00E62E84">
            <w:pPr>
              <w:rPr>
                <w:rFonts w:eastAsia="Times New Roman" w:cs="Calibri"/>
                <w:kern w:val="2"/>
                <w:sz w:val="18"/>
                <w:szCs w:val="18"/>
                <w:lang w:val="fr-FR"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A00D2D5" w14:textId="77777777" w:rsidR="00FE04DA" w:rsidRPr="004E13E9" w:rsidRDefault="00FE04DA" w:rsidP="00E62E84">
            <w:pPr>
              <w:jc w:val="center"/>
              <w:rPr>
                <w:rFonts w:eastAsia="Times New Roman" w:cs="Calibri"/>
                <w:kern w:val="2"/>
                <w:sz w:val="18"/>
                <w:szCs w:val="18"/>
                <w:lang w:val="fr-FR" w:eastAsia="ja-JP"/>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A4E842" w14:textId="77777777" w:rsidR="00FE04DA" w:rsidRPr="004E13E9" w:rsidRDefault="00FE04DA" w:rsidP="00E62E84">
            <w:pPr>
              <w:rPr>
                <w:lang w:val="fr-FR"/>
              </w:rPr>
            </w:pPr>
            <w:r w:rsidRPr="004E13E9">
              <w:rPr>
                <w:rFonts w:eastAsia="Malgun Gothic"/>
                <w:kern w:val="2"/>
                <w:sz w:val="18"/>
                <w:szCs w:val="18"/>
                <w:lang w:val="fr-FR" w:eastAsia="ko-KR"/>
              </w:rPr>
              <w:t> </w:t>
            </w:r>
          </w:p>
        </w:tc>
        <w:tc>
          <w:tcPr>
            <w:tcW w:w="756" w:type="dxa"/>
            <w:tcBorders>
              <w:top w:val="single" w:sz="4" w:space="0" w:color="000000"/>
              <w:left w:val="single" w:sz="4" w:space="0" w:color="000000"/>
              <w:bottom w:val="single" w:sz="4" w:space="0" w:color="000000"/>
              <w:right w:val="single" w:sz="4" w:space="0" w:color="000000"/>
            </w:tcBorders>
            <w:vAlign w:val="center"/>
          </w:tcPr>
          <w:p w14:paraId="4D6EEC44" w14:textId="77777777" w:rsidR="00FE04DA" w:rsidRPr="004E13E9" w:rsidRDefault="00FE04DA" w:rsidP="00E62E84">
            <w:pPr>
              <w:jc w:val="center"/>
              <w:rPr>
                <w:rFonts w:eastAsia="Times New Roman" w:cs="Calibri"/>
                <w:b/>
                <w:bCs/>
                <w:sz w:val="17"/>
                <w:szCs w:val="17"/>
              </w:rPr>
            </w:pPr>
            <w:r w:rsidRPr="004E13E9">
              <w:rPr>
                <w:rFonts w:cs="Calibri"/>
                <w:b/>
                <w:bCs/>
                <w:sz w:val="17"/>
                <w:szCs w:val="17"/>
              </w:rPr>
              <w:t>2,99</w:t>
            </w:r>
          </w:p>
        </w:tc>
        <w:tc>
          <w:tcPr>
            <w:tcW w:w="709" w:type="dxa"/>
            <w:tcBorders>
              <w:top w:val="single" w:sz="4" w:space="0" w:color="000000"/>
              <w:left w:val="single" w:sz="4" w:space="0" w:color="000000"/>
              <w:bottom w:val="single" w:sz="4" w:space="0" w:color="000000"/>
              <w:right w:val="single" w:sz="4" w:space="0" w:color="000000"/>
            </w:tcBorders>
            <w:vAlign w:val="center"/>
          </w:tcPr>
          <w:p w14:paraId="336AC0B3" w14:textId="77777777" w:rsidR="00FE04DA" w:rsidRPr="004E13E9" w:rsidRDefault="00FE04DA" w:rsidP="00E62E84">
            <w:pPr>
              <w:jc w:val="center"/>
              <w:rPr>
                <w:rFonts w:cs="Calibri"/>
                <w:b/>
                <w:bCs/>
                <w:sz w:val="17"/>
                <w:szCs w:val="17"/>
              </w:rPr>
            </w:pPr>
            <w:r w:rsidRPr="004E13E9">
              <w:rPr>
                <w:rFonts w:cs="Calibri"/>
                <w:b/>
                <w:bCs/>
                <w:sz w:val="17"/>
                <w:szCs w:val="17"/>
              </w:rPr>
              <w:t>3,00</w:t>
            </w:r>
          </w:p>
        </w:tc>
        <w:tc>
          <w:tcPr>
            <w:tcW w:w="851" w:type="dxa"/>
            <w:tcBorders>
              <w:top w:val="single" w:sz="4" w:space="0" w:color="000000"/>
              <w:left w:val="single" w:sz="4" w:space="0" w:color="000000"/>
              <w:bottom w:val="single" w:sz="4" w:space="0" w:color="000000"/>
              <w:right w:val="single" w:sz="4" w:space="0" w:color="000000"/>
            </w:tcBorders>
            <w:vAlign w:val="center"/>
          </w:tcPr>
          <w:p w14:paraId="216F5E42" w14:textId="77777777" w:rsidR="00FE04DA" w:rsidRPr="004E13E9" w:rsidRDefault="00FE04DA" w:rsidP="00E62E84">
            <w:pPr>
              <w:jc w:val="center"/>
              <w:rPr>
                <w:rFonts w:cs="Calibri"/>
                <w:b/>
                <w:bCs/>
                <w:sz w:val="17"/>
                <w:szCs w:val="17"/>
              </w:rPr>
            </w:pPr>
            <w:r w:rsidRPr="004E13E9">
              <w:rPr>
                <w:rFonts w:cs="Calibri"/>
                <w:b/>
                <w:bCs/>
                <w:sz w:val="17"/>
                <w:szCs w:val="17"/>
              </w:rPr>
              <w:t>11,99</w:t>
            </w:r>
          </w:p>
        </w:tc>
        <w:tc>
          <w:tcPr>
            <w:tcW w:w="850" w:type="dxa"/>
            <w:tcBorders>
              <w:top w:val="single" w:sz="4" w:space="0" w:color="000000"/>
              <w:left w:val="single" w:sz="4" w:space="0" w:color="000000"/>
              <w:bottom w:val="single" w:sz="4" w:space="0" w:color="000000"/>
              <w:right w:val="single" w:sz="4" w:space="0" w:color="000000"/>
            </w:tcBorders>
            <w:vAlign w:val="center"/>
          </w:tcPr>
          <w:p w14:paraId="487FCB8A" w14:textId="77777777" w:rsidR="00FE04DA" w:rsidRPr="004E13E9" w:rsidRDefault="00FE04DA" w:rsidP="00E62E84">
            <w:pPr>
              <w:jc w:val="center"/>
              <w:rPr>
                <w:rFonts w:cs="Calibri"/>
                <w:b/>
                <w:bCs/>
                <w:sz w:val="17"/>
                <w:szCs w:val="17"/>
              </w:rPr>
            </w:pPr>
            <w:r w:rsidRPr="004E13E9">
              <w:rPr>
                <w:rFonts w:cs="Calibri"/>
                <w:b/>
                <w:bCs/>
                <w:sz w:val="17"/>
                <w:szCs w:val="17"/>
              </w:rPr>
              <w:t>14,15</w:t>
            </w:r>
          </w:p>
        </w:tc>
        <w:tc>
          <w:tcPr>
            <w:tcW w:w="851" w:type="dxa"/>
            <w:tcBorders>
              <w:top w:val="single" w:sz="4" w:space="0" w:color="000000"/>
              <w:left w:val="single" w:sz="4" w:space="0" w:color="000000"/>
              <w:bottom w:val="single" w:sz="4" w:space="0" w:color="000000"/>
              <w:right w:val="single" w:sz="4" w:space="0" w:color="000000"/>
            </w:tcBorders>
            <w:vAlign w:val="center"/>
          </w:tcPr>
          <w:p w14:paraId="69B0447F" w14:textId="77777777" w:rsidR="00FE04DA" w:rsidRPr="004E13E9" w:rsidRDefault="00FE04DA" w:rsidP="00E62E84">
            <w:pPr>
              <w:jc w:val="center"/>
              <w:rPr>
                <w:rFonts w:cs="Calibri"/>
                <w:b/>
                <w:bCs/>
                <w:sz w:val="17"/>
                <w:szCs w:val="17"/>
              </w:rPr>
            </w:pPr>
            <w:r w:rsidRPr="004E13E9">
              <w:rPr>
                <w:rFonts w:cs="Calibri"/>
                <w:b/>
                <w:bCs/>
                <w:sz w:val="17"/>
                <w:szCs w:val="17"/>
              </w:rPr>
              <w:t>13,11</w:t>
            </w:r>
          </w:p>
        </w:tc>
        <w:tc>
          <w:tcPr>
            <w:tcW w:w="992" w:type="dxa"/>
            <w:tcBorders>
              <w:top w:val="single" w:sz="4" w:space="0" w:color="000000"/>
              <w:left w:val="single" w:sz="4" w:space="0" w:color="000000"/>
              <w:bottom w:val="single" w:sz="4" w:space="0" w:color="000000"/>
              <w:right w:val="single" w:sz="4" w:space="0" w:color="000000"/>
            </w:tcBorders>
            <w:vAlign w:val="center"/>
          </w:tcPr>
          <w:p w14:paraId="2A40B466" w14:textId="77777777" w:rsidR="00FE04DA" w:rsidRPr="004E13E9" w:rsidRDefault="00FE04DA" w:rsidP="00E62E84">
            <w:pPr>
              <w:jc w:val="center"/>
              <w:rPr>
                <w:b/>
                <w:bCs/>
                <w:sz w:val="17"/>
                <w:szCs w:val="17"/>
              </w:rPr>
            </w:pPr>
            <w:r w:rsidRPr="004E13E9">
              <w:rPr>
                <w:b/>
                <w:bCs/>
                <w:sz w:val="17"/>
                <w:szCs w:val="17"/>
              </w:rPr>
              <w:t>13,18</w:t>
            </w:r>
          </w:p>
        </w:tc>
        <w:tc>
          <w:tcPr>
            <w:tcW w:w="992" w:type="dxa"/>
            <w:tcBorders>
              <w:top w:val="single" w:sz="4" w:space="0" w:color="000000"/>
              <w:left w:val="single" w:sz="4" w:space="0" w:color="000000"/>
              <w:bottom w:val="single" w:sz="4" w:space="0" w:color="000000"/>
              <w:right w:val="single" w:sz="4" w:space="0" w:color="000000"/>
            </w:tcBorders>
            <w:vAlign w:val="center"/>
          </w:tcPr>
          <w:p w14:paraId="0F5574FD" w14:textId="77777777" w:rsidR="00FE04DA" w:rsidRPr="004E13E9" w:rsidRDefault="00FE04DA" w:rsidP="00E62E84">
            <w:pPr>
              <w:jc w:val="center"/>
              <w:rPr>
                <w:b/>
                <w:bCs/>
                <w:sz w:val="17"/>
                <w:szCs w:val="17"/>
              </w:rPr>
            </w:pPr>
            <w:r w:rsidRPr="004E13E9">
              <w:rPr>
                <w:b/>
                <w:bCs/>
                <w:sz w:val="17"/>
                <w:szCs w:val="17"/>
              </w:rPr>
              <w:t>13,64</w:t>
            </w:r>
          </w:p>
        </w:tc>
      </w:tr>
      <w:tr w:rsidR="00FE04DA" w:rsidRPr="004E13E9" w14:paraId="007E7A82"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2EB0ABCF" w14:textId="77777777" w:rsidR="00FE04DA" w:rsidRPr="004E13E9" w:rsidRDefault="00FE04DA" w:rsidP="00E62E84">
            <w:r w:rsidRPr="004E13E9">
              <w:rPr>
                <w:rFonts w:eastAsia="Malgun Gothic"/>
                <w:b/>
                <w:kern w:val="2"/>
                <w:sz w:val="18"/>
                <w:szCs w:val="18"/>
                <w:lang w:eastAsia="ko-KR"/>
              </w:rPr>
              <w:t xml:space="preserve">Allocation aux </w:t>
            </w:r>
            <w:proofErr w:type="spellStart"/>
            <w:r w:rsidRPr="004E13E9">
              <w:rPr>
                <w:rFonts w:eastAsia="Malgun Gothic"/>
                <w:b/>
                <w:kern w:val="2"/>
                <w:sz w:val="18"/>
                <w:szCs w:val="18"/>
                <w:lang w:eastAsia="ko-KR"/>
              </w:rPr>
              <w:t>prises</w:t>
            </w:r>
            <w:proofErr w:type="spellEnd"/>
            <w:r w:rsidRPr="004E13E9">
              <w:rPr>
                <w:rFonts w:eastAsia="Malgun Gothic"/>
                <w:b/>
                <w:kern w:val="2"/>
                <w:sz w:val="18"/>
                <w:szCs w:val="18"/>
                <w:lang w:eastAsia="ko-KR"/>
              </w:rPr>
              <w:t xml:space="preserve"> </w:t>
            </w:r>
            <w:proofErr w:type="spellStart"/>
            <w:r w:rsidRPr="004E13E9">
              <w:rPr>
                <w:rFonts w:eastAsia="Malgun Gothic"/>
                <w:b/>
                <w:kern w:val="2"/>
                <w:sz w:val="18"/>
                <w:szCs w:val="18"/>
                <w:lang w:eastAsia="ko-KR"/>
              </w:rPr>
              <w:t>accessoires</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4ABBE59C" w14:textId="77777777" w:rsidR="00FE04DA" w:rsidRPr="004E13E9" w:rsidRDefault="00FE04DA" w:rsidP="00E62E84">
            <w:pPr>
              <w:jc w:val="right"/>
              <w:rPr>
                <w:rFonts w:eastAsia="Times New Roman" w:cs="Calibri"/>
                <w:kern w:val="2"/>
                <w:sz w:val="18"/>
                <w:szCs w:val="18"/>
                <w:lang w:eastAsia="ja-JP"/>
              </w:rPr>
            </w:pPr>
          </w:p>
        </w:tc>
        <w:tc>
          <w:tcPr>
            <w:tcW w:w="709" w:type="dxa"/>
            <w:tcBorders>
              <w:top w:val="single" w:sz="4" w:space="0" w:color="000000"/>
              <w:left w:val="single" w:sz="4" w:space="0" w:color="000000"/>
              <w:bottom w:val="single" w:sz="4" w:space="0" w:color="000000"/>
              <w:right w:val="single" w:sz="4" w:space="0" w:color="000000"/>
            </w:tcBorders>
          </w:tcPr>
          <w:p w14:paraId="25648178" w14:textId="77777777" w:rsidR="00FE04DA" w:rsidRPr="004E13E9" w:rsidRDefault="00FE04DA" w:rsidP="00E62E84">
            <w:pPr>
              <w:rPr>
                <w:rFonts w:eastAsia="Times New Roman" w:cs="Calibri"/>
                <w:kern w:val="2"/>
                <w:sz w:val="18"/>
                <w:szCs w:val="18"/>
                <w:lang w:eastAsia="ja-JP"/>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1BC78C5F" w14:textId="77777777" w:rsidR="00FE04DA" w:rsidRPr="004E13E9" w:rsidRDefault="00FE04DA" w:rsidP="00E62E84">
            <w:pPr>
              <w:rPr>
                <w:rFonts w:eastAsia="Times New Roman" w:cs="Calibri"/>
                <w:kern w:val="2"/>
                <w:sz w:val="18"/>
                <w:szCs w:val="18"/>
                <w:lang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160DFB1" w14:textId="77777777" w:rsidR="00FE04DA" w:rsidRPr="004E13E9" w:rsidRDefault="00FE04DA" w:rsidP="00E62E84">
            <w:pPr>
              <w:rPr>
                <w:rFonts w:eastAsia="Times New Roman" w:cs="Calibri"/>
                <w:kern w:val="2"/>
                <w:sz w:val="18"/>
                <w:szCs w:val="18"/>
                <w:lang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C727893" w14:textId="77777777" w:rsidR="00FE04DA" w:rsidRPr="004E13E9" w:rsidRDefault="00FE04DA" w:rsidP="00E62E84">
            <w:pPr>
              <w:rPr>
                <w:rFonts w:eastAsia="Times New Roman" w:cs="Calibri"/>
                <w:kern w:val="2"/>
                <w:sz w:val="18"/>
                <w:szCs w:val="18"/>
                <w:lang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E8848C4" w14:textId="77777777" w:rsidR="00FE04DA" w:rsidRPr="004E13E9" w:rsidRDefault="00FE04DA" w:rsidP="00E62E84">
            <w:pPr>
              <w:rPr>
                <w:rFonts w:eastAsia="Times New Roman" w:cs="Calibri"/>
                <w:kern w:val="2"/>
                <w:sz w:val="18"/>
                <w:szCs w:val="18"/>
                <w:lang w:eastAsia="ja-JP"/>
              </w:rPr>
            </w:pPr>
          </w:p>
        </w:tc>
        <w:tc>
          <w:tcPr>
            <w:tcW w:w="708" w:type="dxa"/>
            <w:tcBorders>
              <w:top w:val="single" w:sz="4" w:space="0" w:color="000000"/>
              <w:left w:val="single" w:sz="4" w:space="0" w:color="000000"/>
              <w:bottom w:val="single" w:sz="4" w:space="0" w:color="000000"/>
              <w:right w:val="single" w:sz="4" w:space="0" w:color="000000"/>
            </w:tcBorders>
          </w:tcPr>
          <w:p w14:paraId="6D5C44DE" w14:textId="77777777" w:rsidR="00FE04DA" w:rsidRPr="004E13E9" w:rsidRDefault="00FE04DA" w:rsidP="00E62E84">
            <w:pPr>
              <w:rPr>
                <w:rFonts w:eastAsia="Times New Roman" w:cs="Calibri"/>
                <w:kern w:val="2"/>
                <w:sz w:val="18"/>
                <w:szCs w:val="18"/>
                <w:lang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7CAE54C" w14:textId="77777777" w:rsidR="00FE04DA" w:rsidRPr="004E13E9" w:rsidRDefault="00FE04DA" w:rsidP="00E62E84">
            <w:pPr>
              <w:jc w:val="center"/>
              <w:rPr>
                <w:rFonts w:eastAsia="Times New Roman" w:cs="Calibri"/>
                <w:kern w:val="2"/>
                <w:sz w:val="18"/>
                <w:szCs w:val="18"/>
                <w:lang w:eastAsia="ja-JP"/>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CB56C6" w14:textId="77777777" w:rsidR="00FE04DA" w:rsidRPr="004E13E9" w:rsidRDefault="00FE04DA" w:rsidP="00E62E84">
            <w:pPr>
              <w:rPr>
                <w:rFonts w:eastAsia="Times New Roman" w:cs="Calibri"/>
                <w:kern w:val="2"/>
                <w:sz w:val="18"/>
                <w:szCs w:val="18"/>
                <w:lang w:eastAsia="ja-JP"/>
              </w:rPr>
            </w:pPr>
          </w:p>
        </w:tc>
        <w:tc>
          <w:tcPr>
            <w:tcW w:w="756" w:type="dxa"/>
            <w:tcBorders>
              <w:top w:val="single" w:sz="4" w:space="0" w:color="000000"/>
              <w:left w:val="single" w:sz="4" w:space="0" w:color="000000"/>
              <w:bottom w:val="single" w:sz="4" w:space="0" w:color="000000"/>
              <w:right w:val="single" w:sz="4" w:space="0" w:color="000000"/>
            </w:tcBorders>
            <w:vAlign w:val="center"/>
          </w:tcPr>
          <w:p w14:paraId="4CCCAC51" w14:textId="77777777" w:rsidR="00FE04DA" w:rsidRPr="004E13E9" w:rsidRDefault="00FE04DA" w:rsidP="00E62E84">
            <w:pPr>
              <w:jc w:val="center"/>
              <w:rPr>
                <w:rFonts w:cs="Calibri"/>
                <w:b/>
                <w:bCs/>
                <w:sz w:val="17"/>
                <w:szCs w:val="17"/>
              </w:rPr>
            </w:pPr>
            <w:r w:rsidRPr="004E13E9">
              <w:rPr>
                <w:rFonts w:cs="Calibri"/>
                <w:b/>
                <w:bCs/>
                <w:sz w:val="17"/>
                <w:szCs w:val="17"/>
              </w:rPr>
              <w:t>95</w:t>
            </w:r>
          </w:p>
        </w:tc>
        <w:tc>
          <w:tcPr>
            <w:tcW w:w="709" w:type="dxa"/>
            <w:tcBorders>
              <w:top w:val="single" w:sz="4" w:space="0" w:color="000000"/>
              <w:left w:val="single" w:sz="4" w:space="0" w:color="000000"/>
              <w:bottom w:val="single" w:sz="4" w:space="0" w:color="000000"/>
              <w:right w:val="single" w:sz="4" w:space="0" w:color="000000"/>
            </w:tcBorders>
            <w:vAlign w:val="center"/>
          </w:tcPr>
          <w:p w14:paraId="62FB76B7" w14:textId="77777777" w:rsidR="00FE04DA" w:rsidRPr="004E13E9" w:rsidRDefault="00FE04DA" w:rsidP="00E62E84">
            <w:pPr>
              <w:jc w:val="center"/>
              <w:rPr>
                <w:rFonts w:cs="Calibri"/>
                <w:b/>
                <w:bCs/>
                <w:sz w:val="17"/>
                <w:szCs w:val="17"/>
              </w:rPr>
            </w:pPr>
            <w:r w:rsidRPr="004E13E9">
              <w:rPr>
                <w:rFonts w:cs="Calibri"/>
                <w:b/>
                <w:bCs/>
                <w:sz w:val="17"/>
                <w:szCs w:val="17"/>
              </w:rPr>
              <w:t>82</w:t>
            </w:r>
          </w:p>
        </w:tc>
        <w:tc>
          <w:tcPr>
            <w:tcW w:w="851" w:type="dxa"/>
            <w:tcBorders>
              <w:top w:val="single" w:sz="4" w:space="0" w:color="000000"/>
              <w:left w:val="single" w:sz="4" w:space="0" w:color="000000"/>
              <w:bottom w:val="single" w:sz="4" w:space="0" w:color="000000"/>
              <w:right w:val="single" w:sz="4" w:space="0" w:color="000000"/>
            </w:tcBorders>
            <w:vAlign w:val="center"/>
          </w:tcPr>
          <w:p w14:paraId="64063BC5" w14:textId="77777777" w:rsidR="00FE04DA" w:rsidRPr="004E13E9" w:rsidRDefault="00FE04DA" w:rsidP="00E62E84">
            <w:pPr>
              <w:jc w:val="center"/>
              <w:rPr>
                <w:rFonts w:cs="Calibri"/>
                <w:b/>
                <w:bCs/>
                <w:sz w:val="17"/>
                <w:szCs w:val="17"/>
              </w:rPr>
            </w:pPr>
            <w:r w:rsidRPr="004E13E9">
              <w:rPr>
                <w:rFonts w:cs="Calibri"/>
                <w:b/>
                <w:bCs/>
                <w:sz w:val="17"/>
                <w:szCs w:val="17"/>
              </w:rPr>
              <w:t>309</w:t>
            </w:r>
          </w:p>
        </w:tc>
        <w:tc>
          <w:tcPr>
            <w:tcW w:w="850" w:type="dxa"/>
            <w:tcBorders>
              <w:top w:val="single" w:sz="4" w:space="0" w:color="000000"/>
              <w:left w:val="single" w:sz="4" w:space="0" w:color="000000"/>
              <w:bottom w:val="single" w:sz="4" w:space="0" w:color="000000"/>
              <w:right w:val="single" w:sz="4" w:space="0" w:color="000000"/>
            </w:tcBorders>
            <w:vAlign w:val="center"/>
          </w:tcPr>
          <w:p w14:paraId="5E2FE6FB" w14:textId="77777777" w:rsidR="00FE04DA" w:rsidRPr="004E13E9" w:rsidRDefault="00FE04DA" w:rsidP="00E62E84">
            <w:pPr>
              <w:jc w:val="center"/>
              <w:rPr>
                <w:rFonts w:cs="Calibri"/>
                <w:b/>
                <w:bCs/>
                <w:sz w:val="17"/>
                <w:szCs w:val="17"/>
              </w:rPr>
            </w:pPr>
            <w:r w:rsidRPr="004E13E9">
              <w:rPr>
                <w:rFonts w:cs="Calibri"/>
                <w:b/>
                <w:bCs/>
                <w:sz w:val="17"/>
                <w:szCs w:val="17"/>
              </w:rPr>
              <w:t>524</w:t>
            </w:r>
          </w:p>
        </w:tc>
        <w:tc>
          <w:tcPr>
            <w:tcW w:w="851" w:type="dxa"/>
            <w:tcBorders>
              <w:top w:val="single" w:sz="4" w:space="0" w:color="000000"/>
              <w:left w:val="single" w:sz="4" w:space="0" w:color="000000"/>
              <w:bottom w:val="single" w:sz="4" w:space="0" w:color="000000"/>
              <w:right w:val="single" w:sz="4" w:space="0" w:color="000000"/>
            </w:tcBorders>
            <w:vAlign w:val="center"/>
          </w:tcPr>
          <w:p w14:paraId="6EBD1308" w14:textId="77777777" w:rsidR="00FE04DA" w:rsidRPr="004E13E9" w:rsidRDefault="00FE04DA" w:rsidP="00E62E84">
            <w:pPr>
              <w:jc w:val="center"/>
              <w:rPr>
                <w:rFonts w:cs="Calibri"/>
                <w:b/>
                <w:bCs/>
                <w:sz w:val="17"/>
                <w:szCs w:val="17"/>
              </w:rPr>
            </w:pPr>
            <w:r w:rsidRPr="004E13E9">
              <w:rPr>
                <w:rFonts w:cs="Calibri"/>
                <w:b/>
                <w:bCs/>
                <w:sz w:val="17"/>
                <w:szCs w:val="17"/>
              </w:rPr>
              <w:t>490</w:t>
            </w:r>
          </w:p>
        </w:tc>
        <w:tc>
          <w:tcPr>
            <w:tcW w:w="992" w:type="dxa"/>
            <w:tcBorders>
              <w:top w:val="single" w:sz="4" w:space="0" w:color="000000"/>
              <w:left w:val="single" w:sz="4" w:space="0" w:color="000000"/>
              <w:bottom w:val="single" w:sz="4" w:space="0" w:color="000000"/>
              <w:right w:val="single" w:sz="4" w:space="0" w:color="000000"/>
            </w:tcBorders>
            <w:vAlign w:val="center"/>
          </w:tcPr>
          <w:p w14:paraId="669010AA" w14:textId="77777777" w:rsidR="00FE04DA" w:rsidRPr="004E13E9" w:rsidRDefault="00FE04DA" w:rsidP="00E62E84">
            <w:pPr>
              <w:jc w:val="center"/>
              <w:rPr>
                <w:b/>
                <w:bCs/>
                <w:sz w:val="17"/>
                <w:szCs w:val="17"/>
              </w:rPr>
            </w:pPr>
            <w:r w:rsidRPr="004E13E9">
              <w:rPr>
                <w:b/>
                <w:bCs/>
                <w:sz w:val="17"/>
                <w:szCs w:val="17"/>
              </w:rPr>
              <w:t>510</w:t>
            </w:r>
          </w:p>
        </w:tc>
        <w:tc>
          <w:tcPr>
            <w:tcW w:w="992" w:type="dxa"/>
            <w:tcBorders>
              <w:top w:val="single" w:sz="4" w:space="0" w:color="000000"/>
              <w:left w:val="single" w:sz="4" w:space="0" w:color="000000"/>
              <w:bottom w:val="single" w:sz="4" w:space="0" w:color="000000"/>
              <w:right w:val="single" w:sz="4" w:space="0" w:color="000000"/>
            </w:tcBorders>
            <w:vAlign w:val="center"/>
          </w:tcPr>
          <w:p w14:paraId="3FDC4637" w14:textId="77777777" w:rsidR="00FE04DA" w:rsidRPr="004E13E9" w:rsidRDefault="00FE04DA" w:rsidP="00E62E84">
            <w:pPr>
              <w:jc w:val="center"/>
              <w:rPr>
                <w:b/>
                <w:bCs/>
                <w:sz w:val="17"/>
                <w:szCs w:val="17"/>
              </w:rPr>
            </w:pPr>
            <w:r w:rsidRPr="004E13E9">
              <w:rPr>
                <w:b/>
                <w:bCs/>
                <w:sz w:val="17"/>
                <w:szCs w:val="17"/>
              </w:rPr>
              <w:t>632,09</w:t>
            </w:r>
          </w:p>
        </w:tc>
      </w:tr>
      <w:tr w:rsidR="00FE04DA" w:rsidRPr="006A2397" w14:paraId="0167B49C"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0F2E8E7E" w14:textId="77777777" w:rsidR="00FE04DA" w:rsidRPr="004E13E9" w:rsidRDefault="00FE04DA" w:rsidP="00E62E84">
            <w:pPr>
              <w:rPr>
                <w:rFonts w:eastAsia="Malgun Gothic"/>
                <w:b/>
                <w:kern w:val="2"/>
                <w:sz w:val="18"/>
                <w:szCs w:val="18"/>
                <w:lang w:val="fr-FR" w:eastAsia="ko-KR"/>
              </w:rPr>
            </w:pPr>
            <w:r w:rsidRPr="004E13E9">
              <w:rPr>
                <w:rFonts w:eastAsia="Malgun Gothic"/>
                <w:b/>
                <w:kern w:val="2"/>
                <w:sz w:val="18"/>
                <w:szCs w:val="18"/>
                <w:lang w:val="fr-FR" w:eastAsia="ko-KR"/>
              </w:rPr>
              <w:t>Quota de recherche scientifique</w:t>
            </w:r>
          </w:p>
          <w:p w14:paraId="081D3345" w14:textId="77777777" w:rsidR="00FE04DA" w:rsidRPr="004E13E9" w:rsidRDefault="00FE04DA" w:rsidP="00E62E84">
            <w:pPr>
              <w:rPr>
                <w:lang w:val="fr-FR"/>
              </w:rPr>
            </w:pPr>
            <w:r w:rsidRPr="004E13E9">
              <w:rPr>
                <w:rFonts w:eastAsia="Malgun Gothic"/>
                <w:b/>
                <w:kern w:val="2"/>
                <w:sz w:val="18"/>
                <w:szCs w:val="18"/>
                <w:lang w:val="fr-FR" w:eastAsia="ko-KR"/>
              </w:rPr>
              <w:t>(le cas échéant)</w:t>
            </w:r>
          </w:p>
        </w:tc>
        <w:tc>
          <w:tcPr>
            <w:tcW w:w="1559" w:type="dxa"/>
            <w:tcBorders>
              <w:top w:val="single" w:sz="4" w:space="0" w:color="000000"/>
              <w:left w:val="single" w:sz="4" w:space="0" w:color="000000"/>
              <w:bottom w:val="single" w:sz="4" w:space="0" w:color="000000"/>
              <w:right w:val="single" w:sz="4" w:space="0" w:color="000000"/>
            </w:tcBorders>
            <w:vAlign w:val="center"/>
          </w:tcPr>
          <w:p w14:paraId="6344A595" w14:textId="77777777" w:rsidR="00FE04DA" w:rsidRPr="004E13E9" w:rsidRDefault="00FE04DA" w:rsidP="00E62E84">
            <w:pPr>
              <w:jc w:val="right"/>
              <w:rPr>
                <w:rFonts w:eastAsia="Times New Roman" w:cs="Calibri"/>
                <w:b/>
                <w:bCs/>
                <w:kern w:val="2"/>
                <w:sz w:val="18"/>
                <w:szCs w:val="18"/>
                <w:lang w:val="fr-FR" w:eastAsia="ja-JP"/>
              </w:rPr>
            </w:pPr>
          </w:p>
        </w:tc>
        <w:tc>
          <w:tcPr>
            <w:tcW w:w="709" w:type="dxa"/>
            <w:tcBorders>
              <w:top w:val="single" w:sz="4" w:space="0" w:color="000000"/>
              <w:left w:val="single" w:sz="4" w:space="0" w:color="000000"/>
              <w:bottom w:val="single" w:sz="4" w:space="0" w:color="000000"/>
              <w:right w:val="single" w:sz="4" w:space="0" w:color="000000"/>
            </w:tcBorders>
          </w:tcPr>
          <w:p w14:paraId="5B914092" w14:textId="77777777" w:rsidR="00FE04DA" w:rsidRPr="004E13E9" w:rsidRDefault="00FE04DA" w:rsidP="00E62E84">
            <w:pPr>
              <w:rPr>
                <w:rFonts w:eastAsia="Times New Roman" w:cs="Calibri"/>
                <w:b/>
                <w:bCs/>
                <w:kern w:val="2"/>
                <w:sz w:val="18"/>
                <w:szCs w:val="18"/>
                <w:lang w:val="fr-FR" w:eastAsia="ja-JP"/>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6E6717B9" w14:textId="77777777" w:rsidR="00FE04DA" w:rsidRPr="004E13E9" w:rsidRDefault="00FE04DA" w:rsidP="00E62E84">
            <w:pPr>
              <w:rPr>
                <w:rFonts w:eastAsia="Times New Roman" w:cs="Calibri"/>
                <w:b/>
                <w:bCs/>
                <w:kern w:val="2"/>
                <w:sz w:val="18"/>
                <w:szCs w:val="18"/>
                <w:lang w:val="fr-FR"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40609A0" w14:textId="77777777" w:rsidR="00FE04DA" w:rsidRPr="004E13E9" w:rsidRDefault="00FE04DA" w:rsidP="00E62E84">
            <w:pPr>
              <w:rPr>
                <w:rFonts w:eastAsia="Times New Roman" w:cs="Calibri"/>
                <w:b/>
                <w:bCs/>
                <w:kern w:val="2"/>
                <w:sz w:val="18"/>
                <w:szCs w:val="18"/>
                <w:lang w:val="fr-FR"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6ABE483" w14:textId="77777777" w:rsidR="00FE04DA" w:rsidRPr="004E13E9" w:rsidRDefault="00FE04DA" w:rsidP="00E62E84">
            <w:pPr>
              <w:rPr>
                <w:rFonts w:eastAsia="Times New Roman" w:cs="Calibri"/>
                <w:b/>
                <w:bCs/>
                <w:kern w:val="2"/>
                <w:sz w:val="18"/>
                <w:szCs w:val="18"/>
                <w:lang w:val="fr-FR"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B6A67EE" w14:textId="77777777" w:rsidR="00FE04DA" w:rsidRPr="004E13E9" w:rsidRDefault="00FE04DA" w:rsidP="00E62E84">
            <w:pPr>
              <w:rPr>
                <w:rFonts w:eastAsia="Times New Roman" w:cs="Calibri"/>
                <w:b/>
                <w:bCs/>
                <w:kern w:val="2"/>
                <w:sz w:val="18"/>
                <w:szCs w:val="18"/>
                <w:lang w:val="fr-FR" w:eastAsia="ja-JP"/>
              </w:rPr>
            </w:pPr>
          </w:p>
        </w:tc>
        <w:tc>
          <w:tcPr>
            <w:tcW w:w="708" w:type="dxa"/>
            <w:tcBorders>
              <w:top w:val="single" w:sz="4" w:space="0" w:color="000000"/>
              <w:left w:val="single" w:sz="4" w:space="0" w:color="000000"/>
              <w:bottom w:val="single" w:sz="4" w:space="0" w:color="000000"/>
              <w:right w:val="single" w:sz="4" w:space="0" w:color="000000"/>
            </w:tcBorders>
          </w:tcPr>
          <w:p w14:paraId="7C21F67D" w14:textId="77777777" w:rsidR="00FE04DA" w:rsidRPr="004E13E9" w:rsidRDefault="00FE04DA" w:rsidP="00E62E84">
            <w:pPr>
              <w:rPr>
                <w:rFonts w:eastAsia="Times New Roman" w:cs="Calibri"/>
                <w:b/>
                <w:bCs/>
                <w:kern w:val="2"/>
                <w:sz w:val="18"/>
                <w:szCs w:val="18"/>
                <w:lang w:val="fr-FR"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DFA223B" w14:textId="77777777" w:rsidR="00FE04DA" w:rsidRPr="004E13E9" w:rsidRDefault="00FE04DA" w:rsidP="00E62E84">
            <w:pPr>
              <w:jc w:val="center"/>
              <w:rPr>
                <w:rFonts w:eastAsia="Times New Roman" w:cs="Calibri"/>
                <w:kern w:val="2"/>
                <w:sz w:val="18"/>
                <w:szCs w:val="18"/>
                <w:lang w:val="fr-FR" w:eastAsia="ja-JP"/>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FFFEFC" w14:textId="77777777" w:rsidR="00FE04DA" w:rsidRPr="004E13E9" w:rsidRDefault="00FE04DA" w:rsidP="00E62E84">
            <w:pPr>
              <w:rPr>
                <w:rFonts w:eastAsia="Times New Roman" w:cs="Calibri"/>
                <w:b/>
                <w:bCs/>
                <w:kern w:val="2"/>
                <w:sz w:val="18"/>
                <w:szCs w:val="18"/>
                <w:lang w:val="fr-FR" w:eastAsia="ja-JP"/>
              </w:rPr>
            </w:pPr>
          </w:p>
        </w:tc>
        <w:tc>
          <w:tcPr>
            <w:tcW w:w="756" w:type="dxa"/>
            <w:tcBorders>
              <w:top w:val="single" w:sz="4" w:space="0" w:color="000000"/>
              <w:left w:val="single" w:sz="4" w:space="0" w:color="000000"/>
              <w:bottom w:val="single" w:sz="4" w:space="0" w:color="000000"/>
              <w:right w:val="single" w:sz="4" w:space="0" w:color="000000"/>
            </w:tcBorders>
            <w:vAlign w:val="center"/>
          </w:tcPr>
          <w:p w14:paraId="5AE5E34F" w14:textId="77777777" w:rsidR="00FE04DA" w:rsidRPr="004E13E9" w:rsidRDefault="00FE04DA" w:rsidP="00E62E84">
            <w:pPr>
              <w:jc w:val="center"/>
              <w:rPr>
                <w:rFonts w:eastAsia="Times New Roman" w:cs="Calibri"/>
                <w:b/>
                <w:bCs/>
                <w:kern w:val="2"/>
                <w:sz w:val="18"/>
                <w:szCs w:val="18"/>
                <w:lang w:val="fr-FR"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04E3EC4" w14:textId="77777777" w:rsidR="00FE04DA" w:rsidRPr="004E13E9" w:rsidRDefault="00FE04DA" w:rsidP="00E62E84">
            <w:pPr>
              <w:jc w:val="center"/>
              <w:rPr>
                <w:rFonts w:eastAsia="Times New Roman" w:cs="Calibri"/>
                <w:b/>
                <w:bCs/>
                <w:kern w:val="2"/>
                <w:sz w:val="18"/>
                <w:szCs w:val="18"/>
                <w:lang w:val="fr-FR" w:eastAsia="ja-JP"/>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4CAC2B7" w14:textId="77777777" w:rsidR="00FE04DA" w:rsidRPr="004E13E9" w:rsidRDefault="00FE04DA" w:rsidP="00E62E84">
            <w:pPr>
              <w:jc w:val="center"/>
              <w:rPr>
                <w:rFonts w:eastAsia="Times New Roman" w:cs="Calibri"/>
                <w:b/>
                <w:bCs/>
                <w:kern w:val="2"/>
                <w:sz w:val="18"/>
                <w:szCs w:val="18"/>
                <w:lang w:val="fr-FR" w:eastAsia="ja-JP"/>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19CB455" w14:textId="77777777" w:rsidR="00FE04DA" w:rsidRPr="004E13E9" w:rsidRDefault="00FE04DA" w:rsidP="00E62E84">
            <w:pPr>
              <w:jc w:val="center"/>
              <w:rPr>
                <w:rFonts w:eastAsia="Times New Roman" w:cs="Calibri"/>
                <w:b/>
                <w:bCs/>
                <w:kern w:val="2"/>
                <w:sz w:val="18"/>
                <w:szCs w:val="18"/>
                <w:lang w:val="fr-FR" w:eastAsia="ja-JP"/>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3BEF027" w14:textId="77777777" w:rsidR="00FE04DA" w:rsidRPr="004E13E9" w:rsidRDefault="00FE04DA" w:rsidP="00E62E84">
            <w:pPr>
              <w:jc w:val="center"/>
              <w:rPr>
                <w:rFonts w:eastAsia="Times New Roman" w:cs="Calibri"/>
                <w:b/>
                <w:bCs/>
                <w:kern w:val="2"/>
                <w:sz w:val="18"/>
                <w:szCs w:val="18"/>
                <w:lang w:val="fr-FR" w:eastAsia="ja-JP"/>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F0FE8C0" w14:textId="77777777" w:rsidR="00FE04DA" w:rsidRPr="004E13E9" w:rsidRDefault="00FE04DA" w:rsidP="00E62E84">
            <w:pPr>
              <w:jc w:val="center"/>
              <w:rPr>
                <w:sz w:val="17"/>
                <w:szCs w:val="17"/>
                <w:lang w:val="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060ECC2" w14:textId="77777777" w:rsidR="00FE04DA" w:rsidRPr="004E13E9" w:rsidRDefault="00FE04DA" w:rsidP="00E62E84">
            <w:pPr>
              <w:jc w:val="center"/>
              <w:rPr>
                <w:sz w:val="17"/>
                <w:szCs w:val="17"/>
                <w:lang w:val="fr-FR"/>
              </w:rPr>
            </w:pPr>
          </w:p>
        </w:tc>
      </w:tr>
      <w:tr w:rsidR="00FE04DA" w:rsidRPr="004E13E9" w14:paraId="74512711"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028867E4" w14:textId="77777777" w:rsidR="00FE04DA" w:rsidRPr="004E13E9" w:rsidRDefault="00FE04DA" w:rsidP="00E62E84">
            <w:pPr>
              <w:rPr>
                <w:rFonts w:eastAsia="Malgun Gothic"/>
                <w:b/>
                <w:kern w:val="2"/>
                <w:sz w:val="18"/>
                <w:szCs w:val="18"/>
                <w:lang w:val="fr-FR" w:eastAsia="ko-KR"/>
              </w:rPr>
            </w:pPr>
            <w:r w:rsidRPr="004E13E9">
              <w:rPr>
                <w:rFonts w:eastAsia="Malgun Gothic"/>
                <w:b/>
                <w:kern w:val="2"/>
                <w:sz w:val="18"/>
                <w:szCs w:val="18"/>
                <w:lang w:val="fr-FR" w:eastAsia="ko-KR"/>
              </w:rPr>
              <w:t>Tolérance pour la pêche sportive/récréative</w:t>
            </w:r>
          </w:p>
          <w:p w14:paraId="4606578B" w14:textId="77777777" w:rsidR="00FE04DA" w:rsidRPr="004E13E9" w:rsidRDefault="00FE04DA" w:rsidP="00E62E84">
            <w:r w:rsidRPr="004E13E9">
              <w:rPr>
                <w:rFonts w:eastAsia="Malgun Gothic"/>
                <w:b/>
                <w:kern w:val="2"/>
                <w:sz w:val="18"/>
                <w:szCs w:val="18"/>
                <w:lang w:eastAsia="ko-KR"/>
              </w:rPr>
              <w:t xml:space="preserve">(le </w:t>
            </w:r>
            <w:proofErr w:type="spellStart"/>
            <w:r w:rsidRPr="004E13E9">
              <w:rPr>
                <w:rFonts w:eastAsia="Malgun Gothic"/>
                <w:b/>
                <w:kern w:val="2"/>
                <w:sz w:val="18"/>
                <w:szCs w:val="18"/>
                <w:lang w:eastAsia="ko-KR"/>
              </w:rPr>
              <w:t>cas</w:t>
            </w:r>
            <w:proofErr w:type="spellEnd"/>
            <w:r w:rsidRPr="004E13E9">
              <w:rPr>
                <w:rFonts w:eastAsia="Malgun Gothic"/>
                <w:b/>
                <w:kern w:val="2"/>
                <w:sz w:val="18"/>
                <w:szCs w:val="18"/>
                <w:lang w:eastAsia="ko-KR"/>
              </w:rPr>
              <w:t xml:space="preserve"> </w:t>
            </w:r>
            <w:proofErr w:type="spellStart"/>
            <w:r w:rsidRPr="004E13E9">
              <w:rPr>
                <w:rFonts w:eastAsia="Malgun Gothic"/>
                <w:b/>
                <w:kern w:val="2"/>
                <w:sz w:val="18"/>
                <w:szCs w:val="18"/>
                <w:lang w:eastAsia="ko-KR"/>
              </w:rPr>
              <w:t>échéant</w:t>
            </w:r>
            <w:proofErr w:type="spellEnd"/>
            <w:r w:rsidRPr="004E13E9">
              <w:rPr>
                <w:rFonts w:eastAsia="Malgun Gothic"/>
                <w:b/>
                <w:kern w:val="2"/>
                <w:sz w:val="18"/>
                <w:szCs w:val="18"/>
                <w:lang w:eastAsia="ko-KR"/>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7C5939EF" w14:textId="77777777" w:rsidR="00FE04DA" w:rsidRPr="004E13E9" w:rsidRDefault="00FE04DA" w:rsidP="00E62E84">
            <w:pPr>
              <w:jc w:val="right"/>
              <w:rPr>
                <w:rFonts w:eastAsia="Times New Roman" w:cs="Calibri"/>
                <w:b/>
                <w:bCs/>
                <w:kern w:val="2"/>
                <w:sz w:val="18"/>
                <w:szCs w:val="18"/>
                <w:lang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6106D87" w14:textId="77777777" w:rsidR="00FE04DA" w:rsidRPr="004E13E9" w:rsidRDefault="00FE04DA" w:rsidP="00E62E84">
            <w:pPr>
              <w:rPr>
                <w:rFonts w:eastAsia="Times New Roman" w:cs="Calibri"/>
                <w:b/>
                <w:bCs/>
                <w:kern w:val="2"/>
                <w:sz w:val="18"/>
                <w:szCs w:val="18"/>
                <w:lang w:eastAsia="ja-JP"/>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3F469681" w14:textId="77777777" w:rsidR="00FE04DA" w:rsidRPr="004E13E9" w:rsidRDefault="00FE04DA" w:rsidP="00E62E84">
            <w:pPr>
              <w:rPr>
                <w:rFonts w:eastAsia="Times New Roman" w:cs="Calibri"/>
                <w:b/>
                <w:bCs/>
                <w:kern w:val="2"/>
                <w:sz w:val="18"/>
                <w:szCs w:val="18"/>
                <w:lang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208B120" w14:textId="77777777" w:rsidR="00FE04DA" w:rsidRPr="004E13E9" w:rsidRDefault="00FE04DA" w:rsidP="00E62E84">
            <w:pPr>
              <w:rPr>
                <w:rFonts w:eastAsia="Times New Roman" w:cs="Calibri"/>
                <w:b/>
                <w:bCs/>
                <w:kern w:val="2"/>
                <w:sz w:val="18"/>
                <w:szCs w:val="18"/>
                <w:lang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27FDF6E" w14:textId="77777777" w:rsidR="00FE04DA" w:rsidRPr="004E13E9" w:rsidRDefault="00FE04DA" w:rsidP="00E62E84">
            <w:pPr>
              <w:rPr>
                <w:rFonts w:eastAsia="Times New Roman" w:cs="Calibri"/>
                <w:b/>
                <w:bCs/>
                <w:kern w:val="2"/>
                <w:sz w:val="18"/>
                <w:szCs w:val="18"/>
                <w:lang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EAB71C1" w14:textId="77777777" w:rsidR="00FE04DA" w:rsidRPr="004E13E9" w:rsidRDefault="00FE04DA" w:rsidP="00E62E84">
            <w:pPr>
              <w:rPr>
                <w:rFonts w:eastAsia="Times New Roman" w:cs="Calibri"/>
                <w:b/>
                <w:bCs/>
                <w:kern w:val="2"/>
                <w:sz w:val="18"/>
                <w:szCs w:val="18"/>
                <w:lang w:eastAsia="ja-JP"/>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0237B715" w14:textId="77777777" w:rsidR="00FE04DA" w:rsidRPr="004E13E9" w:rsidRDefault="00FE04DA" w:rsidP="00E62E84">
            <w:pPr>
              <w:rPr>
                <w:rFonts w:eastAsia="Times New Roman" w:cs="Calibri"/>
                <w:b/>
                <w:bCs/>
                <w:kern w:val="2"/>
                <w:sz w:val="18"/>
                <w:szCs w:val="18"/>
                <w:lang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E775C6C" w14:textId="77777777" w:rsidR="00FE04DA" w:rsidRPr="004E13E9" w:rsidRDefault="00FE04DA" w:rsidP="00E62E84">
            <w:pPr>
              <w:jc w:val="center"/>
              <w:rPr>
                <w:rFonts w:eastAsia="Times New Roman" w:cs="Calibri"/>
                <w:kern w:val="2"/>
                <w:sz w:val="18"/>
                <w:szCs w:val="18"/>
                <w:lang w:eastAsia="ja-JP"/>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4217321" w14:textId="77777777" w:rsidR="00FE04DA" w:rsidRPr="004E13E9" w:rsidRDefault="00FE04DA" w:rsidP="00E62E84">
            <w:pPr>
              <w:rPr>
                <w:rFonts w:eastAsia="Times New Roman" w:cs="Calibri"/>
                <w:b/>
                <w:bCs/>
                <w:kern w:val="2"/>
                <w:sz w:val="18"/>
                <w:szCs w:val="18"/>
                <w:lang w:eastAsia="ja-JP"/>
              </w:rPr>
            </w:pPr>
          </w:p>
        </w:tc>
        <w:tc>
          <w:tcPr>
            <w:tcW w:w="756" w:type="dxa"/>
            <w:tcBorders>
              <w:top w:val="single" w:sz="4" w:space="0" w:color="000000"/>
              <w:left w:val="single" w:sz="4" w:space="0" w:color="000000"/>
              <w:bottom w:val="single" w:sz="4" w:space="0" w:color="000000"/>
              <w:right w:val="single" w:sz="4" w:space="0" w:color="000000"/>
            </w:tcBorders>
            <w:vAlign w:val="center"/>
          </w:tcPr>
          <w:p w14:paraId="024A85F2" w14:textId="77777777" w:rsidR="00FE04DA" w:rsidRPr="004E13E9" w:rsidRDefault="00FE04DA" w:rsidP="00E62E84">
            <w:pPr>
              <w:jc w:val="center"/>
              <w:rPr>
                <w:rFonts w:eastAsia="Times New Roman" w:cs="Calibri"/>
                <w:b/>
                <w:bCs/>
                <w:kern w:val="2"/>
                <w:sz w:val="18"/>
                <w:szCs w:val="18"/>
                <w:lang w:eastAsia="ja-JP"/>
              </w:rPr>
            </w:pPr>
            <w:r w:rsidRPr="004E13E9">
              <w:rPr>
                <w:rFonts w:eastAsia="Times New Roman" w:cs="Calibri"/>
                <w:b/>
                <w:bCs/>
                <w:kern w:val="2"/>
                <w:sz w:val="18"/>
                <w:szCs w:val="18"/>
                <w:lang w:eastAsia="ja-JP"/>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000136F0" w14:textId="77777777" w:rsidR="00FE04DA" w:rsidRPr="004E13E9" w:rsidRDefault="00FE04DA" w:rsidP="00E62E84">
            <w:pPr>
              <w:jc w:val="center"/>
              <w:rPr>
                <w:rFonts w:eastAsia="Times New Roman" w:cs="Calibri"/>
                <w:b/>
                <w:bCs/>
                <w:kern w:val="2"/>
                <w:sz w:val="18"/>
                <w:szCs w:val="18"/>
                <w:lang w:eastAsia="ja-JP"/>
              </w:rPr>
            </w:pPr>
            <w:r w:rsidRPr="004E13E9">
              <w:rPr>
                <w:rFonts w:eastAsia="Times New Roman" w:cs="Calibri"/>
                <w:b/>
                <w:bCs/>
                <w:kern w:val="2"/>
                <w:sz w:val="18"/>
                <w:szCs w:val="18"/>
                <w:lang w:eastAsia="ja-JP"/>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49A53423" w14:textId="77777777" w:rsidR="00FE04DA" w:rsidRPr="004E13E9" w:rsidRDefault="00FE04DA" w:rsidP="00E62E84">
            <w:pPr>
              <w:jc w:val="center"/>
              <w:rPr>
                <w:rFonts w:eastAsia="Times New Roman" w:cs="Calibri"/>
                <w:b/>
                <w:bCs/>
                <w:kern w:val="2"/>
                <w:sz w:val="18"/>
                <w:szCs w:val="18"/>
                <w:lang w:eastAsia="ja-JP"/>
              </w:rPr>
            </w:pPr>
            <w:r w:rsidRPr="004E13E9">
              <w:rPr>
                <w:rFonts w:eastAsia="Times New Roman" w:cs="Calibri"/>
                <w:b/>
                <w:bCs/>
                <w:kern w:val="2"/>
                <w:sz w:val="18"/>
                <w:szCs w:val="18"/>
                <w:lang w:eastAsia="ja-JP"/>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61CDEDDC" w14:textId="77777777" w:rsidR="00FE04DA" w:rsidRPr="004E13E9" w:rsidRDefault="00FE04DA" w:rsidP="00E62E84">
            <w:pPr>
              <w:jc w:val="center"/>
              <w:rPr>
                <w:rFonts w:eastAsia="Times New Roman" w:cs="Calibri"/>
                <w:b/>
                <w:bCs/>
                <w:kern w:val="2"/>
                <w:sz w:val="18"/>
                <w:szCs w:val="18"/>
                <w:lang w:eastAsia="ja-JP"/>
              </w:rPr>
            </w:pPr>
            <w:r w:rsidRPr="004E13E9">
              <w:rPr>
                <w:rFonts w:eastAsia="Times New Roman" w:cs="Calibri"/>
                <w:b/>
                <w:bCs/>
                <w:kern w:val="2"/>
                <w:sz w:val="18"/>
                <w:szCs w:val="18"/>
                <w:lang w:eastAsia="ja-JP"/>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342B0776" w14:textId="77777777" w:rsidR="00FE04DA" w:rsidRPr="004E13E9" w:rsidRDefault="00FE04DA" w:rsidP="00E62E84">
            <w:pPr>
              <w:jc w:val="center"/>
              <w:rPr>
                <w:rFonts w:eastAsia="Times New Roman" w:cs="Calibri"/>
                <w:b/>
                <w:bCs/>
                <w:kern w:val="2"/>
                <w:sz w:val="18"/>
                <w:szCs w:val="18"/>
                <w:lang w:eastAsia="ja-JP"/>
              </w:rPr>
            </w:pPr>
            <w:r w:rsidRPr="004E13E9">
              <w:rPr>
                <w:rFonts w:eastAsia="Times New Roman" w:cs="Calibri"/>
                <w:b/>
                <w:bCs/>
                <w:kern w:val="2"/>
                <w:sz w:val="18"/>
                <w:szCs w:val="18"/>
                <w:lang w:eastAsia="ja-JP"/>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71C9FAFA" w14:textId="77777777" w:rsidR="00FE04DA" w:rsidRPr="004E13E9" w:rsidRDefault="00FE04DA" w:rsidP="00E62E84">
            <w:pPr>
              <w:jc w:val="center"/>
              <w:rPr>
                <w:sz w:val="17"/>
                <w:szCs w:val="17"/>
              </w:rPr>
            </w:pPr>
            <w:r w:rsidRPr="004E13E9">
              <w:rPr>
                <w:sz w:val="17"/>
                <w:szCs w:val="17"/>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6CAE431A" w14:textId="77777777" w:rsidR="00FE04DA" w:rsidRPr="004E13E9" w:rsidRDefault="00FE04DA" w:rsidP="00E62E84">
            <w:pPr>
              <w:jc w:val="center"/>
              <w:rPr>
                <w:sz w:val="17"/>
                <w:szCs w:val="17"/>
              </w:rPr>
            </w:pPr>
            <w:r w:rsidRPr="004E13E9">
              <w:rPr>
                <w:sz w:val="17"/>
                <w:szCs w:val="17"/>
              </w:rPr>
              <w:t>0</w:t>
            </w:r>
          </w:p>
        </w:tc>
      </w:tr>
      <w:tr w:rsidR="00FE04DA" w:rsidRPr="004E13E9" w14:paraId="0FB5DA9A"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vAlign w:val="center"/>
          </w:tcPr>
          <w:p w14:paraId="6854A34C" w14:textId="77777777" w:rsidR="00FE04DA" w:rsidRPr="004E13E9" w:rsidRDefault="00FE04DA" w:rsidP="00E62E84">
            <w:r w:rsidRPr="004E13E9">
              <w:rPr>
                <w:rFonts w:eastAsia="Malgun Gothic"/>
                <w:b/>
                <w:kern w:val="2"/>
                <w:sz w:val="18"/>
                <w:szCs w:val="18"/>
                <w:lang w:eastAsia="ko-KR"/>
              </w:rPr>
              <w:t xml:space="preserve">Quota disponible </w:t>
            </w:r>
          </w:p>
        </w:tc>
        <w:tc>
          <w:tcPr>
            <w:tcW w:w="1559" w:type="dxa"/>
            <w:tcBorders>
              <w:top w:val="single" w:sz="4" w:space="0" w:color="000000"/>
              <w:left w:val="single" w:sz="4" w:space="0" w:color="000000"/>
              <w:bottom w:val="single" w:sz="4" w:space="0" w:color="000000"/>
              <w:right w:val="single" w:sz="4" w:space="0" w:color="000000"/>
            </w:tcBorders>
            <w:vAlign w:val="center"/>
          </w:tcPr>
          <w:p w14:paraId="120978A6" w14:textId="77777777" w:rsidR="00FE04DA" w:rsidRPr="004E13E9" w:rsidRDefault="00FE04DA" w:rsidP="00E62E84">
            <w:pPr>
              <w:jc w:val="right"/>
              <w:rPr>
                <w:rFonts w:eastAsia="Times New Roman" w:cs="Calibri"/>
                <w:b/>
                <w:bCs/>
                <w:kern w:val="2"/>
                <w:sz w:val="18"/>
                <w:szCs w:val="18"/>
                <w:lang w:eastAsia="ja-JP"/>
              </w:rPr>
            </w:pPr>
          </w:p>
        </w:tc>
        <w:tc>
          <w:tcPr>
            <w:tcW w:w="709" w:type="dxa"/>
            <w:tcBorders>
              <w:top w:val="single" w:sz="4" w:space="0" w:color="000000"/>
              <w:left w:val="single" w:sz="4" w:space="0" w:color="000000"/>
              <w:bottom w:val="single" w:sz="4" w:space="0" w:color="000000"/>
              <w:right w:val="single" w:sz="4" w:space="0" w:color="000000"/>
            </w:tcBorders>
          </w:tcPr>
          <w:p w14:paraId="10662A36" w14:textId="77777777" w:rsidR="00FE04DA" w:rsidRPr="004E13E9" w:rsidRDefault="00FE04DA" w:rsidP="00E62E84">
            <w:pPr>
              <w:rPr>
                <w:rFonts w:eastAsia="Times New Roman" w:cs="Calibri"/>
                <w:b/>
                <w:bCs/>
                <w:kern w:val="2"/>
                <w:sz w:val="18"/>
                <w:szCs w:val="18"/>
                <w:lang w:eastAsia="ja-JP"/>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3A6E0C0B" w14:textId="77777777" w:rsidR="00FE04DA" w:rsidRPr="004E13E9" w:rsidRDefault="00FE04DA" w:rsidP="00E62E84">
            <w:pPr>
              <w:rPr>
                <w:rFonts w:eastAsia="Times New Roman" w:cs="Calibri"/>
                <w:b/>
                <w:bCs/>
                <w:kern w:val="2"/>
                <w:sz w:val="18"/>
                <w:szCs w:val="18"/>
                <w:lang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AD0E534" w14:textId="77777777" w:rsidR="00FE04DA" w:rsidRPr="004E13E9" w:rsidRDefault="00FE04DA" w:rsidP="00E62E84">
            <w:pPr>
              <w:rPr>
                <w:rFonts w:eastAsia="Times New Roman" w:cs="Calibri"/>
                <w:b/>
                <w:bCs/>
                <w:kern w:val="2"/>
                <w:sz w:val="18"/>
                <w:szCs w:val="18"/>
                <w:lang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AF5C240" w14:textId="77777777" w:rsidR="00FE04DA" w:rsidRPr="004E13E9" w:rsidRDefault="00FE04DA" w:rsidP="00E62E84">
            <w:pPr>
              <w:rPr>
                <w:rFonts w:eastAsia="Times New Roman" w:cs="Calibri"/>
                <w:b/>
                <w:bCs/>
                <w:kern w:val="2"/>
                <w:sz w:val="18"/>
                <w:szCs w:val="18"/>
                <w:lang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129DA3B" w14:textId="77777777" w:rsidR="00FE04DA" w:rsidRPr="004E13E9" w:rsidRDefault="00FE04DA" w:rsidP="00E62E84">
            <w:pPr>
              <w:rPr>
                <w:rFonts w:eastAsia="Times New Roman" w:cs="Calibri"/>
                <w:b/>
                <w:bCs/>
                <w:kern w:val="2"/>
                <w:sz w:val="18"/>
                <w:szCs w:val="18"/>
                <w:lang w:eastAsia="ja-JP"/>
              </w:rPr>
            </w:pPr>
          </w:p>
        </w:tc>
        <w:tc>
          <w:tcPr>
            <w:tcW w:w="708" w:type="dxa"/>
            <w:tcBorders>
              <w:top w:val="single" w:sz="4" w:space="0" w:color="000000"/>
              <w:left w:val="single" w:sz="4" w:space="0" w:color="000000"/>
              <w:bottom w:val="single" w:sz="4" w:space="0" w:color="000000"/>
              <w:right w:val="single" w:sz="4" w:space="0" w:color="000000"/>
            </w:tcBorders>
          </w:tcPr>
          <w:p w14:paraId="2DA5E021" w14:textId="77777777" w:rsidR="00FE04DA" w:rsidRPr="004E13E9" w:rsidRDefault="00FE04DA" w:rsidP="00E62E84">
            <w:pPr>
              <w:rPr>
                <w:rFonts w:eastAsia="Times New Roman" w:cs="Calibri"/>
                <w:b/>
                <w:bCs/>
                <w:kern w:val="2"/>
                <w:sz w:val="18"/>
                <w:szCs w:val="18"/>
                <w:lang w:eastAsia="ja-JP"/>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F940B88" w14:textId="77777777" w:rsidR="00FE04DA" w:rsidRPr="004E13E9" w:rsidRDefault="00FE04DA" w:rsidP="00E62E84">
            <w:pPr>
              <w:jc w:val="center"/>
              <w:rPr>
                <w:rFonts w:eastAsia="Times New Roman" w:cs="Calibri"/>
                <w:kern w:val="2"/>
                <w:sz w:val="18"/>
                <w:szCs w:val="18"/>
                <w:lang w:eastAsia="ja-JP"/>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8B4D6C" w14:textId="77777777" w:rsidR="00FE04DA" w:rsidRPr="004E13E9" w:rsidRDefault="00FE04DA" w:rsidP="00E62E84">
            <w:pPr>
              <w:rPr>
                <w:rFonts w:eastAsia="Times New Roman" w:cs="Calibri"/>
                <w:b/>
                <w:bCs/>
                <w:kern w:val="2"/>
                <w:sz w:val="18"/>
                <w:szCs w:val="18"/>
                <w:lang w:eastAsia="ja-JP"/>
              </w:rPr>
            </w:pPr>
          </w:p>
        </w:tc>
        <w:tc>
          <w:tcPr>
            <w:tcW w:w="756" w:type="dxa"/>
            <w:tcBorders>
              <w:top w:val="single" w:sz="4" w:space="0" w:color="000000"/>
              <w:left w:val="single" w:sz="4" w:space="0" w:color="000000"/>
              <w:bottom w:val="single" w:sz="4" w:space="0" w:color="000000"/>
              <w:right w:val="single" w:sz="4" w:space="0" w:color="000000"/>
            </w:tcBorders>
            <w:vAlign w:val="center"/>
          </w:tcPr>
          <w:p w14:paraId="64263373" w14:textId="77777777" w:rsidR="00FE04DA" w:rsidRPr="004E13E9" w:rsidRDefault="00FE04DA" w:rsidP="00E62E84">
            <w:pPr>
              <w:jc w:val="center"/>
              <w:rPr>
                <w:rFonts w:eastAsia="Times New Roman" w:cs="Calibri"/>
                <w:b/>
                <w:bCs/>
                <w:sz w:val="18"/>
                <w:szCs w:val="18"/>
              </w:rPr>
            </w:pPr>
            <w:r w:rsidRPr="004E13E9">
              <w:rPr>
                <w:rFonts w:cs="Calibri"/>
                <w:b/>
                <w:bCs/>
                <w:sz w:val="18"/>
                <w:szCs w:val="18"/>
              </w:rPr>
              <w:t>3.082</w:t>
            </w:r>
          </w:p>
        </w:tc>
        <w:tc>
          <w:tcPr>
            <w:tcW w:w="709" w:type="dxa"/>
            <w:tcBorders>
              <w:top w:val="single" w:sz="4" w:space="0" w:color="000000"/>
              <w:left w:val="single" w:sz="4" w:space="0" w:color="000000"/>
              <w:bottom w:val="single" w:sz="4" w:space="0" w:color="000000"/>
              <w:right w:val="single" w:sz="4" w:space="0" w:color="000000"/>
            </w:tcBorders>
            <w:vAlign w:val="center"/>
          </w:tcPr>
          <w:p w14:paraId="2890AF80" w14:textId="77777777" w:rsidR="00FE04DA" w:rsidRPr="004E13E9" w:rsidRDefault="00FE04DA" w:rsidP="00E62E84">
            <w:pPr>
              <w:jc w:val="center"/>
              <w:rPr>
                <w:rFonts w:cs="Calibri"/>
                <w:b/>
                <w:bCs/>
                <w:sz w:val="18"/>
                <w:szCs w:val="18"/>
              </w:rPr>
            </w:pPr>
            <w:r w:rsidRPr="004E13E9">
              <w:rPr>
                <w:rFonts w:cs="Calibri"/>
                <w:b/>
                <w:bCs/>
                <w:sz w:val="18"/>
                <w:szCs w:val="18"/>
              </w:rPr>
              <w:t>2.647</w:t>
            </w:r>
          </w:p>
        </w:tc>
        <w:tc>
          <w:tcPr>
            <w:tcW w:w="851" w:type="dxa"/>
            <w:tcBorders>
              <w:top w:val="single" w:sz="4" w:space="0" w:color="000000"/>
              <w:left w:val="single" w:sz="4" w:space="0" w:color="000000"/>
              <w:bottom w:val="single" w:sz="4" w:space="0" w:color="000000"/>
              <w:right w:val="single" w:sz="4" w:space="0" w:color="000000"/>
            </w:tcBorders>
            <w:vAlign w:val="center"/>
          </w:tcPr>
          <w:p w14:paraId="51A98A7B" w14:textId="77777777" w:rsidR="00FE04DA" w:rsidRPr="004E13E9" w:rsidRDefault="00FE04DA" w:rsidP="00E62E84">
            <w:pPr>
              <w:jc w:val="center"/>
              <w:rPr>
                <w:rFonts w:cs="Calibri"/>
                <w:b/>
                <w:bCs/>
                <w:sz w:val="18"/>
                <w:szCs w:val="18"/>
              </w:rPr>
            </w:pPr>
            <w:r w:rsidRPr="004E13E9">
              <w:rPr>
                <w:rFonts w:cs="Calibri"/>
                <w:b/>
                <w:bCs/>
                <w:sz w:val="18"/>
                <w:szCs w:val="18"/>
              </w:rPr>
              <w:t>2.269</w:t>
            </w:r>
          </w:p>
        </w:tc>
        <w:tc>
          <w:tcPr>
            <w:tcW w:w="850" w:type="dxa"/>
            <w:tcBorders>
              <w:top w:val="single" w:sz="4" w:space="0" w:color="000000"/>
              <w:left w:val="single" w:sz="4" w:space="0" w:color="000000"/>
              <w:bottom w:val="single" w:sz="4" w:space="0" w:color="000000"/>
              <w:right w:val="single" w:sz="4" w:space="0" w:color="000000"/>
            </w:tcBorders>
            <w:vAlign w:val="center"/>
          </w:tcPr>
          <w:p w14:paraId="7032675F" w14:textId="77777777" w:rsidR="00FE04DA" w:rsidRPr="004E13E9" w:rsidRDefault="00FE04DA" w:rsidP="00E62E84">
            <w:pPr>
              <w:jc w:val="center"/>
              <w:rPr>
                <w:rFonts w:cs="Calibri"/>
                <w:b/>
                <w:bCs/>
                <w:sz w:val="18"/>
                <w:szCs w:val="18"/>
              </w:rPr>
            </w:pPr>
            <w:r w:rsidRPr="004E13E9">
              <w:rPr>
                <w:rFonts w:cs="Calibri"/>
                <w:b/>
                <w:bCs/>
                <w:sz w:val="18"/>
                <w:szCs w:val="18"/>
              </w:rPr>
              <w:t>3.179</w:t>
            </w:r>
          </w:p>
        </w:tc>
        <w:tc>
          <w:tcPr>
            <w:tcW w:w="851" w:type="dxa"/>
            <w:tcBorders>
              <w:top w:val="single" w:sz="4" w:space="0" w:color="000000"/>
              <w:left w:val="single" w:sz="4" w:space="0" w:color="000000"/>
              <w:bottom w:val="single" w:sz="4" w:space="0" w:color="000000"/>
              <w:right w:val="single" w:sz="4" w:space="0" w:color="000000"/>
            </w:tcBorders>
            <w:vAlign w:val="center"/>
          </w:tcPr>
          <w:p w14:paraId="58B4ADC8" w14:textId="77777777" w:rsidR="00FE04DA" w:rsidRPr="004E13E9" w:rsidRDefault="00FE04DA" w:rsidP="00E62E84">
            <w:pPr>
              <w:jc w:val="center"/>
              <w:rPr>
                <w:rFonts w:cs="Calibri"/>
                <w:b/>
                <w:bCs/>
                <w:sz w:val="18"/>
                <w:szCs w:val="18"/>
              </w:rPr>
            </w:pPr>
            <w:r w:rsidRPr="004E13E9">
              <w:rPr>
                <w:rFonts w:cs="Calibri"/>
                <w:b/>
                <w:bCs/>
                <w:sz w:val="18"/>
                <w:szCs w:val="18"/>
              </w:rPr>
              <w:t>3.249</w:t>
            </w:r>
          </w:p>
        </w:tc>
        <w:tc>
          <w:tcPr>
            <w:tcW w:w="992" w:type="dxa"/>
            <w:tcBorders>
              <w:top w:val="single" w:sz="4" w:space="0" w:color="000000"/>
              <w:left w:val="single" w:sz="4" w:space="0" w:color="000000"/>
              <w:bottom w:val="single" w:sz="4" w:space="0" w:color="000000"/>
              <w:right w:val="single" w:sz="4" w:space="0" w:color="000000"/>
            </w:tcBorders>
            <w:vAlign w:val="center"/>
          </w:tcPr>
          <w:p w14:paraId="267BBEAE" w14:textId="77777777" w:rsidR="00FE04DA" w:rsidRPr="004E13E9" w:rsidRDefault="00FE04DA" w:rsidP="00E62E84">
            <w:pPr>
              <w:jc w:val="center"/>
              <w:rPr>
                <w:rFonts w:eastAsia="Times New Roman" w:cs="Calibri"/>
                <w:b/>
                <w:bCs/>
                <w:sz w:val="18"/>
                <w:szCs w:val="18"/>
              </w:rPr>
            </w:pPr>
            <w:r w:rsidRPr="004E13E9">
              <w:rPr>
                <w:rFonts w:cs="Calibri"/>
                <w:b/>
                <w:bCs/>
                <w:sz w:val="18"/>
                <w:szCs w:val="18"/>
              </w:rPr>
              <w:t>3.360</w:t>
            </w:r>
          </w:p>
        </w:tc>
        <w:tc>
          <w:tcPr>
            <w:tcW w:w="992" w:type="dxa"/>
            <w:tcBorders>
              <w:top w:val="single" w:sz="4" w:space="0" w:color="000000"/>
              <w:left w:val="single" w:sz="4" w:space="0" w:color="000000"/>
              <w:bottom w:val="single" w:sz="4" w:space="0" w:color="000000"/>
              <w:right w:val="single" w:sz="4" w:space="0" w:color="000000"/>
            </w:tcBorders>
            <w:vAlign w:val="center"/>
          </w:tcPr>
          <w:p w14:paraId="744ED7B3" w14:textId="77777777" w:rsidR="00FE04DA" w:rsidRPr="004E13E9" w:rsidRDefault="00FE04DA" w:rsidP="00E62E84">
            <w:pPr>
              <w:jc w:val="center"/>
            </w:pPr>
            <w:r w:rsidRPr="004E13E9">
              <w:rPr>
                <w:rFonts w:eastAsia="Times New Roman" w:cs="Calibri"/>
                <w:b/>
                <w:bCs/>
                <w:kern w:val="2"/>
                <w:sz w:val="18"/>
                <w:szCs w:val="18"/>
                <w:lang w:eastAsia="ja-JP"/>
              </w:rPr>
              <w:t>4.001</w:t>
            </w:r>
          </w:p>
        </w:tc>
      </w:tr>
      <w:tr w:rsidR="00FE04DA" w:rsidRPr="004E13E9" w14:paraId="62D35DC4" w14:textId="77777777" w:rsidTr="00E62E84">
        <w:trPr>
          <w:trHeight w:val="20"/>
        </w:trPr>
        <w:tc>
          <w:tcPr>
            <w:tcW w:w="25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900110" w14:textId="77777777" w:rsidR="00FE04DA" w:rsidRPr="004E13E9" w:rsidRDefault="00FE04DA" w:rsidP="00E62E84">
            <w:r w:rsidRPr="004E13E9">
              <w:rPr>
                <w:rFonts w:eastAsia="Malgun Gothic"/>
                <w:b/>
                <w:kern w:val="2"/>
                <w:sz w:val="18"/>
                <w:szCs w:val="18"/>
                <w:lang w:eastAsia="ko-KR"/>
              </w:rPr>
              <w:t>Sous/</w:t>
            </w:r>
            <w:proofErr w:type="spellStart"/>
            <w:r w:rsidRPr="004E13E9">
              <w:rPr>
                <w:rFonts w:eastAsia="Malgun Gothic"/>
                <w:b/>
                <w:kern w:val="2"/>
                <w:sz w:val="18"/>
                <w:szCs w:val="18"/>
                <w:lang w:eastAsia="ko-KR"/>
              </w:rPr>
              <w:t>surcapacité</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85A8B8" w14:textId="77777777" w:rsidR="00FE04DA" w:rsidRPr="004E13E9" w:rsidRDefault="00FE04DA" w:rsidP="00E62E84">
            <w:pPr>
              <w:jc w:val="right"/>
            </w:pPr>
            <w:r w:rsidRPr="004E13E9">
              <w:rPr>
                <w:rFonts w:eastAsia="Malgun Gothic"/>
                <w:kern w:val="2"/>
                <w:sz w:val="18"/>
                <w:szCs w:val="18"/>
                <w:lang w:eastAsia="ko-KR"/>
              </w:rPr>
              <w:t> </w:t>
            </w:r>
          </w:p>
        </w:tc>
        <w:tc>
          <w:tcPr>
            <w:tcW w:w="709" w:type="dxa"/>
            <w:tcBorders>
              <w:top w:val="single" w:sz="4" w:space="0" w:color="000000"/>
              <w:left w:val="single" w:sz="4" w:space="0" w:color="000000"/>
              <w:bottom w:val="single" w:sz="4" w:space="0" w:color="000000"/>
              <w:right w:val="single" w:sz="4" w:space="0" w:color="000000"/>
            </w:tcBorders>
            <w:shd w:val="clear" w:color="auto" w:fill="D9D9D9"/>
          </w:tcPr>
          <w:p w14:paraId="73A64F84" w14:textId="77777777" w:rsidR="00FE04DA" w:rsidRPr="004E13E9" w:rsidRDefault="00FE04DA" w:rsidP="00E62E84">
            <w:pPr>
              <w:rPr>
                <w:rFonts w:eastAsia="Times New Roman" w:cs="Calibri"/>
                <w:kern w:val="2"/>
                <w:sz w:val="18"/>
                <w:szCs w:val="18"/>
                <w:lang w:eastAsia="ja-JP"/>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456F64" w14:textId="77777777" w:rsidR="00FE04DA" w:rsidRPr="004E13E9" w:rsidRDefault="00FE04DA" w:rsidP="00E62E84">
            <w:r w:rsidRPr="004E13E9">
              <w:rPr>
                <w:rFonts w:eastAsia="Malgun Gothic"/>
                <w:kern w:val="2"/>
                <w:sz w:val="18"/>
                <w:szCs w:val="18"/>
                <w:lang w:eastAsia="ko-KR"/>
              </w:rPr>
              <w:t> </w:t>
            </w: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CF33A8" w14:textId="77777777" w:rsidR="00FE04DA" w:rsidRPr="004E13E9" w:rsidRDefault="00FE04DA" w:rsidP="00E62E84">
            <w:r w:rsidRPr="004E13E9">
              <w:rPr>
                <w:rFonts w:eastAsia="Malgun Gothic"/>
                <w:kern w:val="2"/>
                <w:sz w:val="18"/>
                <w:szCs w:val="18"/>
                <w:lang w:eastAsia="ko-KR"/>
              </w:rPr>
              <w:t> </w:t>
            </w: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FD9631" w14:textId="77777777" w:rsidR="00FE04DA" w:rsidRPr="004E13E9" w:rsidRDefault="00FE04DA" w:rsidP="00E62E84">
            <w:r w:rsidRPr="004E13E9">
              <w:rPr>
                <w:rFonts w:eastAsia="Malgun Gothic"/>
                <w:kern w:val="2"/>
                <w:sz w:val="18"/>
                <w:szCs w:val="18"/>
                <w:lang w:eastAsia="ko-KR"/>
              </w:rPr>
              <w:t> </w:t>
            </w: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778754" w14:textId="77777777" w:rsidR="00FE04DA" w:rsidRPr="004E13E9" w:rsidRDefault="00FE04DA" w:rsidP="00E62E84">
            <w:r w:rsidRPr="004E13E9">
              <w:rPr>
                <w:rFonts w:eastAsia="Malgun Gothic"/>
                <w:kern w:val="2"/>
                <w:sz w:val="18"/>
                <w:szCs w:val="18"/>
                <w:lang w:eastAsia="ko-KR"/>
              </w:rPr>
              <w:t> </w:t>
            </w:r>
          </w:p>
        </w:tc>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2A8F7DD4" w14:textId="77777777" w:rsidR="00FE04DA" w:rsidRPr="004E13E9" w:rsidRDefault="00FE04DA" w:rsidP="00E62E84">
            <w:pPr>
              <w:rPr>
                <w:rFonts w:eastAsia="Times New Roman" w:cs="Calibri"/>
                <w:kern w:val="2"/>
                <w:sz w:val="18"/>
                <w:szCs w:val="18"/>
                <w:lang w:eastAsia="ja-JP"/>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cPr>
          <w:p w14:paraId="5DDAFF76" w14:textId="77777777" w:rsidR="00FE04DA" w:rsidRPr="004E13E9" w:rsidRDefault="00FE04DA" w:rsidP="00E62E84">
            <w:pPr>
              <w:jc w:val="center"/>
              <w:rPr>
                <w:rFonts w:eastAsia="Times New Roman" w:cs="Calibri"/>
                <w:kern w:val="2"/>
                <w:sz w:val="18"/>
                <w:szCs w:val="18"/>
                <w:lang w:eastAsia="ja-JP"/>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73CB7" w14:textId="77777777" w:rsidR="00FE04DA" w:rsidRPr="004E13E9" w:rsidRDefault="00FE04DA" w:rsidP="00E62E84">
            <w:r w:rsidRPr="004E13E9">
              <w:rPr>
                <w:rFonts w:eastAsia="Malgun Gothic"/>
                <w:kern w:val="2"/>
                <w:sz w:val="18"/>
                <w:szCs w:val="18"/>
                <w:lang w:eastAsia="ko-KR"/>
              </w:rPr>
              <w:t> </w:t>
            </w:r>
          </w:p>
        </w:tc>
        <w:tc>
          <w:tcPr>
            <w:tcW w:w="7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0311312" w14:textId="77777777" w:rsidR="00FE04DA" w:rsidRPr="004E13E9" w:rsidRDefault="00FE04DA" w:rsidP="00E62E84">
            <w:pPr>
              <w:jc w:val="center"/>
              <w:rPr>
                <w:rFonts w:cs="Calibri"/>
                <w:b/>
                <w:bCs/>
                <w:sz w:val="18"/>
                <w:szCs w:val="18"/>
              </w:rPr>
            </w:pPr>
            <w:r w:rsidRPr="004E13E9">
              <w:rPr>
                <w:rFonts w:cs="Calibri"/>
                <w:b/>
                <w:bCs/>
                <w:sz w:val="18"/>
                <w:szCs w:val="18"/>
              </w:rPr>
              <w:t>-832</w:t>
            </w: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B5642C" w14:textId="77777777" w:rsidR="00FE04DA" w:rsidRPr="004E13E9" w:rsidRDefault="00FE04DA" w:rsidP="00E62E84">
            <w:pPr>
              <w:jc w:val="center"/>
              <w:rPr>
                <w:rFonts w:cs="Calibri"/>
                <w:b/>
                <w:bCs/>
                <w:sz w:val="18"/>
                <w:szCs w:val="18"/>
              </w:rPr>
            </w:pPr>
            <w:r w:rsidRPr="004E13E9">
              <w:rPr>
                <w:rFonts w:cs="Calibri"/>
                <w:b/>
                <w:bCs/>
                <w:sz w:val="18"/>
                <w:szCs w:val="18"/>
              </w:rPr>
              <w:t>-397</w:t>
            </w:r>
          </w:p>
        </w:tc>
        <w:tc>
          <w:tcPr>
            <w:tcW w:w="8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D09C29" w14:textId="77777777" w:rsidR="00FE04DA" w:rsidRPr="004E13E9" w:rsidRDefault="00FE04DA" w:rsidP="00E62E84">
            <w:pPr>
              <w:jc w:val="center"/>
              <w:rPr>
                <w:rFonts w:cs="Calibri"/>
                <w:b/>
                <w:bCs/>
                <w:sz w:val="18"/>
                <w:szCs w:val="18"/>
              </w:rPr>
            </w:pPr>
            <w:r w:rsidRPr="004E13E9">
              <w:rPr>
                <w:rFonts w:cs="Calibri"/>
                <w:b/>
                <w:bCs/>
                <w:sz w:val="18"/>
                <w:szCs w:val="18"/>
              </w:rPr>
              <w:t>131,32</w:t>
            </w:r>
          </w:p>
        </w:tc>
        <w:tc>
          <w:tcPr>
            <w:tcW w:w="8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003C93A" w14:textId="77777777" w:rsidR="00FE04DA" w:rsidRPr="004E13E9" w:rsidRDefault="00FE04DA" w:rsidP="00E62E84">
            <w:pPr>
              <w:jc w:val="center"/>
              <w:rPr>
                <w:rFonts w:cs="Calibri"/>
                <w:b/>
                <w:bCs/>
                <w:sz w:val="18"/>
                <w:szCs w:val="18"/>
              </w:rPr>
            </w:pPr>
            <w:r w:rsidRPr="004E13E9">
              <w:rPr>
                <w:rFonts w:cs="Calibri"/>
                <w:b/>
                <w:bCs/>
                <w:sz w:val="18"/>
                <w:szCs w:val="18"/>
              </w:rPr>
              <w:t>-32,4</w:t>
            </w:r>
          </w:p>
        </w:tc>
        <w:tc>
          <w:tcPr>
            <w:tcW w:w="8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4BAB7D" w14:textId="77777777" w:rsidR="00FE04DA" w:rsidRPr="004E13E9" w:rsidRDefault="00FE04DA" w:rsidP="00E62E84">
            <w:pPr>
              <w:jc w:val="center"/>
              <w:rPr>
                <w:rFonts w:cs="Calibri"/>
                <w:b/>
                <w:bCs/>
                <w:sz w:val="18"/>
                <w:szCs w:val="18"/>
              </w:rPr>
            </w:pPr>
            <w:r w:rsidRPr="004E13E9">
              <w:rPr>
                <w:rFonts w:cs="Calibri"/>
                <w:b/>
                <w:bCs/>
                <w:sz w:val="18"/>
                <w:szCs w:val="18"/>
              </w:rPr>
              <w:t>-86,58</w:t>
            </w:r>
          </w:p>
        </w:tc>
        <w:tc>
          <w:tcPr>
            <w:tcW w:w="9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FE7FB9" w14:textId="77777777" w:rsidR="00FE04DA" w:rsidRPr="004E13E9" w:rsidRDefault="00FE04DA" w:rsidP="00E62E84">
            <w:pPr>
              <w:jc w:val="center"/>
              <w:rPr>
                <w:rFonts w:cs="Calibri"/>
                <w:b/>
                <w:bCs/>
                <w:sz w:val="18"/>
                <w:szCs w:val="18"/>
              </w:rPr>
            </w:pPr>
            <w:r w:rsidRPr="004E13E9">
              <w:rPr>
                <w:rFonts w:cs="Calibri"/>
                <w:b/>
                <w:bCs/>
                <w:sz w:val="18"/>
                <w:szCs w:val="18"/>
              </w:rPr>
              <w:t>-177,6</w:t>
            </w:r>
          </w:p>
        </w:tc>
        <w:tc>
          <w:tcPr>
            <w:tcW w:w="9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76C795" w14:textId="77777777" w:rsidR="00FE04DA" w:rsidRPr="004E13E9" w:rsidRDefault="00FE04DA" w:rsidP="00E62E84">
            <w:pPr>
              <w:jc w:val="center"/>
              <w:rPr>
                <w:b/>
                <w:bCs/>
              </w:rPr>
            </w:pPr>
            <w:r w:rsidRPr="004E13E9">
              <w:rPr>
                <w:rFonts w:eastAsia="Malgun Gothic"/>
                <w:b/>
                <w:bCs/>
                <w:kern w:val="2"/>
                <w:sz w:val="18"/>
                <w:szCs w:val="18"/>
                <w:lang w:eastAsia="ko-KR"/>
              </w:rPr>
              <w:t>-591,25</w:t>
            </w:r>
          </w:p>
        </w:tc>
      </w:tr>
    </w:tbl>
    <w:p w14:paraId="61C122B6" w14:textId="77777777" w:rsidR="00FE04DA" w:rsidRPr="004E13E9" w:rsidRDefault="00FE04DA" w:rsidP="00FE04DA">
      <w:pPr>
        <w:tabs>
          <w:tab w:val="left" w:pos="142"/>
        </w:tabs>
      </w:pPr>
    </w:p>
    <w:p w14:paraId="150B66E2" w14:textId="77777777" w:rsidR="003C1AE0" w:rsidRPr="004E13E9" w:rsidRDefault="003C1AE0" w:rsidP="00934E2D">
      <w:pPr>
        <w:rPr>
          <w:lang w:val="pt-PT" w:eastAsia="en-GB"/>
        </w:rPr>
      </w:pPr>
    </w:p>
    <w:p w14:paraId="4DF1B9F6" w14:textId="77777777" w:rsidR="00934E2D" w:rsidRPr="004E13E9" w:rsidRDefault="00934E2D" w:rsidP="00934E2D">
      <w:pPr>
        <w:rPr>
          <w:lang w:val="pt-PT"/>
        </w:rPr>
      </w:pPr>
      <w:r w:rsidRPr="004E13E9">
        <w:rPr>
          <w:lang w:val="pt-PT"/>
        </w:rPr>
        <w:br w:type="page"/>
      </w:r>
    </w:p>
    <w:p w14:paraId="4D77E204" w14:textId="77777777" w:rsidR="00934E2D" w:rsidRPr="004E13E9" w:rsidRDefault="00934E2D" w:rsidP="00934E2D">
      <w:pPr>
        <w:rPr>
          <w:lang w:val="pt-PT"/>
        </w:rPr>
        <w:sectPr w:rsidR="00934E2D" w:rsidRPr="004E13E9" w:rsidSect="00E07EFF">
          <w:footnotePr>
            <w:numFmt w:val="chicago"/>
          </w:footnotePr>
          <w:pgSz w:w="16840" w:h="11907" w:orient="landscape" w:code="9"/>
          <w:pgMar w:top="1418" w:right="1418" w:bottom="1418" w:left="1418" w:header="851" w:footer="1134" w:gutter="0"/>
          <w:cols w:space="720"/>
          <w:docGrid w:linePitch="272"/>
        </w:sectPr>
      </w:pPr>
    </w:p>
    <w:p w14:paraId="42B76F83" w14:textId="1C7D7DCD" w:rsidR="00EA19E5" w:rsidRPr="004E13E9" w:rsidRDefault="00EA19E5" w:rsidP="00EA19E5">
      <w:pPr>
        <w:contextualSpacing/>
        <w:jc w:val="both"/>
        <w:rPr>
          <w:lang w:val="pt-PT" w:eastAsia="en-GB"/>
        </w:rPr>
      </w:pPr>
      <w:r w:rsidRPr="004E13E9">
        <w:rPr>
          <w:b/>
          <w:bCs/>
          <w:lang w:val="pt-PT" w:eastAsia="en-GB"/>
        </w:rPr>
        <w:t>Norvège</w:t>
      </w:r>
      <w:r w:rsidR="00746A9E" w:rsidRPr="004E13E9">
        <w:rPr>
          <w:b/>
          <w:bCs/>
          <w:lang w:val="pt-PT" w:eastAsia="en-GB"/>
        </w:rPr>
        <w:t xml:space="preserve"> </w:t>
      </w:r>
    </w:p>
    <w:p w14:paraId="20691D43" w14:textId="77777777" w:rsidR="00582C57" w:rsidRPr="004E13E9" w:rsidRDefault="00582C57" w:rsidP="00582C57">
      <w:pPr>
        <w:rPr>
          <w:b/>
          <w:lang w:val="fr-FR"/>
        </w:rPr>
      </w:pPr>
    </w:p>
    <w:p w14:paraId="4151C933" w14:textId="1FC695AF" w:rsidR="00582C57" w:rsidRPr="004E13E9" w:rsidRDefault="00582C57" w:rsidP="00582C57">
      <w:pPr>
        <w:jc w:val="both"/>
        <w:rPr>
          <w:b/>
          <w:lang w:val="fr-FR"/>
        </w:rPr>
      </w:pPr>
      <w:r w:rsidRPr="004E13E9">
        <w:rPr>
          <w:b/>
          <w:lang w:val="fr-FR"/>
        </w:rPr>
        <w:t>Année du plan de pêche : 2026</w:t>
      </w:r>
    </w:p>
    <w:p w14:paraId="63AB6E68" w14:textId="77777777" w:rsidR="00EA19E5" w:rsidRPr="004E13E9" w:rsidRDefault="00EA19E5" w:rsidP="00582C57">
      <w:pPr>
        <w:jc w:val="both"/>
        <w:rPr>
          <w:lang w:val="fr-FR"/>
        </w:rPr>
      </w:pPr>
    </w:p>
    <w:p w14:paraId="42552995" w14:textId="77777777" w:rsidR="002F5AFF" w:rsidRPr="004E13E9" w:rsidRDefault="002F5AFF" w:rsidP="00582C57">
      <w:pPr>
        <w:ind w:left="426" w:hanging="426"/>
        <w:jc w:val="both"/>
        <w:rPr>
          <w:b/>
          <w:lang w:val="fr-FR"/>
        </w:rPr>
      </w:pPr>
      <w:r w:rsidRPr="004E13E9">
        <w:rPr>
          <w:b/>
          <w:lang w:val="fr-FR"/>
        </w:rPr>
        <w:t xml:space="preserve">1. </w:t>
      </w:r>
      <w:r w:rsidRPr="004E13E9">
        <w:rPr>
          <w:b/>
          <w:lang w:val="fr-FR"/>
        </w:rPr>
        <w:tab/>
        <w:t>Détails du plan annuel de pêche pour les navires de capture et les madragues</w:t>
      </w:r>
    </w:p>
    <w:p w14:paraId="58290BB3" w14:textId="77777777" w:rsidR="002F5AFF" w:rsidRPr="004E13E9" w:rsidRDefault="002F5AFF" w:rsidP="00582C57">
      <w:pPr>
        <w:jc w:val="both"/>
        <w:rPr>
          <w:i/>
          <w:lang w:val="fr-FR"/>
        </w:rPr>
      </w:pPr>
    </w:p>
    <w:p w14:paraId="39B2B250" w14:textId="77777777" w:rsidR="002F5AFF" w:rsidRPr="004E13E9" w:rsidRDefault="002F5AFF" w:rsidP="00582C57">
      <w:pPr>
        <w:jc w:val="both"/>
        <w:rPr>
          <w:b/>
          <w:bCs/>
          <w:i/>
          <w:iCs/>
          <w:lang w:val="fr-FR"/>
        </w:rPr>
      </w:pPr>
      <w:r w:rsidRPr="004E13E9">
        <w:rPr>
          <w:b/>
          <w:bCs/>
          <w:i/>
          <w:iCs/>
          <w:lang w:val="fr-FR"/>
        </w:rPr>
        <w:t>1a) Présentation (paragraphe 12)</w:t>
      </w:r>
    </w:p>
    <w:p w14:paraId="176F6A33" w14:textId="77777777" w:rsidR="002F5AFF" w:rsidRPr="004E13E9" w:rsidRDefault="002F5AFF" w:rsidP="00582C57">
      <w:pPr>
        <w:jc w:val="both"/>
        <w:rPr>
          <w:i/>
          <w:sz w:val="8"/>
          <w:szCs w:val="8"/>
          <w:lang w:val="fr-FR"/>
        </w:rPr>
      </w:pPr>
    </w:p>
    <w:p w14:paraId="2849F6C7" w14:textId="77777777" w:rsidR="002F5AFF" w:rsidRPr="004E13E9" w:rsidRDefault="002F5AFF" w:rsidP="00582C57">
      <w:pPr>
        <w:jc w:val="both"/>
        <w:rPr>
          <w:lang w:val="fr-FR"/>
        </w:rPr>
      </w:pPr>
      <w:r w:rsidRPr="004E13E9">
        <w:rPr>
          <w:lang w:val="fr-FR"/>
        </w:rPr>
        <w:t>Conformément au paragraphe 4 de la Recommandation 25-04, un quota de 461,38 t a été alloué à la Norvège en 2026. En vertu du paragraphe 6 de la Rec. 25-04, la Norvège demande de transférer 20% de son quota de 2025 à 2026. Un total de 99,7 t du quota de capture norvégien a été utilisé en 2025, et 73,6 t (20 % de 368 t) pourraient, conformément au paragraphe 6, être transférées en 2026. Si la demande est acceptée, le quota ajusté pour 2026 sera de 534,98 tonnes.</w:t>
      </w:r>
    </w:p>
    <w:p w14:paraId="388CF860" w14:textId="77777777" w:rsidR="002F5AFF" w:rsidRPr="004E13E9" w:rsidRDefault="002F5AFF" w:rsidP="00582C57">
      <w:pPr>
        <w:jc w:val="both"/>
        <w:rPr>
          <w:lang w:val="fr-FR"/>
        </w:rPr>
      </w:pPr>
    </w:p>
    <w:p w14:paraId="13214AAD" w14:textId="77777777" w:rsidR="002F5AFF" w:rsidRPr="004E13E9" w:rsidRDefault="002F5AFF" w:rsidP="00582C57">
      <w:pPr>
        <w:jc w:val="both"/>
        <w:rPr>
          <w:lang w:val="fr-FR"/>
        </w:rPr>
      </w:pPr>
      <w:r w:rsidRPr="004E13E9">
        <w:rPr>
          <w:lang w:val="fr-FR"/>
        </w:rPr>
        <w:t xml:space="preserve">La Norvège a réservé un quota collectif de 440 t pour les senneurs et les palangriers et un quota collectif de 40 t pour les petits navires côtiers. De plus, nous avons alloué un quota collectif de 8 t pour la pêche récréative. En outre, 2 t seront réservées pour le marquage et la remise à l'eau. La Norvège allouera également un quota de 10 t pour les prises accessoires et de 34,98 t pour les activités de recherche. </w:t>
      </w:r>
      <w:r w:rsidRPr="004E13E9">
        <w:rPr>
          <w:color w:val="000000" w:themeColor="text1"/>
          <w:lang w:val="fr-FR"/>
        </w:rPr>
        <w:t>Sur le quota de recherche, 30 tonnes seront allouées au projet pilote sur le stockage de courte durée du thon rouge vivant conformément à la Rés. 22-07/25-03.</w:t>
      </w:r>
    </w:p>
    <w:p w14:paraId="7F3A937A" w14:textId="77777777" w:rsidR="002F5AFF" w:rsidRPr="004E13E9" w:rsidRDefault="002F5AFF" w:rsidP="00582C57">
      <w:pPr>
        <w:jc w:val="both"/>
        <w:rPr>
          <w:lang w:val="fr-FR"/>
        </w:rPr>
      </w:pPr>
    </w:p>
    <w:p w14:paraId="0538BE36" w14:textId="77777777" w:rsidR="002F5AFF" w:rsidRPr="004E13E9" w:rsidRDefault="002F5AFF" w:rsidP="00582C57">
      <w:pPr>
        <w:jc w:val="both"/>
        <w:rPr>
          <w:lang w:val="fr-FR"/>
        </w:rPr>
      </w:pPr>
      <w:r w:rsidRPr="004E13E9">
        <w:rPr>
          <w:lang w:val="fr-FR"/>
        </w:rPr>
        <w:t xml:space="preserve">En 2026, la pêche norvégienne de thon rouge sera réglementée par des règlementations nationales sur la pêche de thon rouge qui entreront en vigueur lorsque le plan de pêche, d’élevage, d'inspection et de gestion de la capacité norvégien sera approuvé par l'ICCAT. Outre les exigences nationales, ces règlements couvriront les exigences spécifiées dans la Recommandation 25-04 de l'ICCAT et incluent une exigence générale qui stipule que toutes les recommandations pertinentes de l'ICCAT doivent être respectées. </w:t>
      </w:r>
    </w:p>
    <w:p w14:paraId="6CE5E013" w14:textId="77777777" w:rsidR="002F5AFF" w:rsidRPr="004E13E9" w:rsidRDefault="002F5AFF" w:rsidP="00582C57">
      <w:pPr>
        <w:jc w:val="both"/>
        <w:rPr>
          <w:lang w:val="fr-FR"/>
        </w:rPr>
      </w:pPr>
    </w:p>
    <w:p w14:paraId="49D23D86" w14:textId="77777777" w:rsidR="002F5AFF" w:rsidRPr="004E13E9" w:rsidRDefault="002F5AFF" w:rsidP="00582C57">
      <w:pPr>
        <w:jc w:val="both"/>
        <w:rPr>
          <w:lang w:val="fr-FR"/>
        </w:rPr>
      </w:pPr>
      <w:r w:rsidRPr="004E13E9">
        <w:rPr>
          <w:lang w:val="fr-FR"/>
        </w:rPr>
        <w:t xml:space="preserve">La Norvège autorisera 10 senneurs à pêcher du thon rouge en 2026. Quatre de ces navires ont une longueur hors-tout supérieure à 40 m. Les senneurs se verront attribuer des quotas </w:t>
      </w:r>
      <w:r w:rsidRPr="004E13E9">
        <w:rPr>
          <w:i/>
          <w:lang w:val="fr-FR"/>
        </w:rPr>
        <w:t>maximums</w:t>
      </w:r>
      <w:r w:rsidRPr="004E13E9">
        <w:rPr>
          <w:lang w:val="fr-FR"/>
        </w:rPr>
        <w:t>. En outre, la Norvège autorisera 20 palangriers qui participeront avec le même quota alloué individuellement que celui des senneurs. Les quotas maximums exacts peuvent être ajustés tout au long de la saison de pêche, mais à aucun moment le quota total norvégien ne sera dépassé.</w:t>
      </w:r>
    </w:p>
    <w:p w14:paraId="218F2B01" w14:textId="77777777" w:rsidR="002F5AFF" w:rsidRPr="004E13E9" w:rsidRDefault="002F5AFF" w:rsidP="00582C57">
      <w:pPr>
        <w:jc w:val="both"/>
        <w:rPr>
          <w:lang w:val="fr-FR"/>
        </w:rPr>
      </w:pPr>
    </w:p>
    <w:p w14:paraId="0C71795E" w14:textId="77777777" w:rsidR="002F5AFF" w:rsidRPr="004E13E9" w:rsidRDefault="002F5AFF" w:rsidP="00582C57">
      <w:pPr>
        <w:jc w:val="both"/>
        <w:rPr>
          <w:lang w:val="fr-FR"/>
        </w:rPr>
      </w:pPr>
      <w:r w:rsidRPr="004E13E9">
        <w:rPr>
          <w:color w:val="000000" w:themeColor="text1"/>
          <w:lang w:val="fr-FR"/>
        </w:rPr>
        <w:t xml:space="preserve">En 2026, un nombre limité de navires pourra participer à la pêcherie côtière de petits métiers. </w:t>
      </w:r>
      <w:r w:rsidRPr="004E13E9">
        <w:rPr>
          <w:lang w:val="fr-FR"/>
        </w:rPr>
        <w:t>En 2025, 30 navires côtiers à petite échelle ont été autorisés à participer à la pêcherie norvégienne de thon rouge. Pour 2026, nous autoriserons 40 petits navires côtiers à participer à cette pêcherie.</w:t>
      </w:r>
    </w:p>
    <w:p w14:paraId="7849C0DE" w14:textId="77777777" w:rsidR="002F5AFF" w:rsidRPr="004E13E9" w:rsidRDefault="002F5AFF" w:rsidP="00582C57">
      <w:pPr>
        <w:jc w:val="both"/>
        <w:rPr>
          <w:lang w:val="fr-FR"/>
        </w:rPr>
      </w:pPr>
    </w:p>
    <w:p w14:paraId="40790DEB" w14:textId="77777777" w:rsidR="002F5AFF" w:rsidRPr="004E13E9" w:rsidRDefault="002F5AFF" w:rsidP="00582C57">
      <w:pPr>
        <w:jc w:val="both"/>
        <w:rPr>
          <w:lang w:val="fr-FR"/>
        </w:rPr>
      </w:pPr>
      <w:r w:rsidRPr="004E13E9">
        <w:rPr>
          <w:lang w:val="fr-FR"/>
        </w:rPr>
        <w:t>La Norvège autorisera un certain nombre de navires pour la pêche récréative. Quelques-uns de ces navires obtiendront également un permis pour participer à la pêcherie de marquage et remise à l'eau du thon rouge. La section 2 ci-dessous présente des informations détaillées.</w:t>
      </w:r>
    </w:p>
    <w:p w14:paraId="7F17C137" w14:textId="77777777" w:rsidR="002F5AFF" w:rsidRPr="004E13E9" w:rsidRDefault="002F5AFF" w:rsidP="00582C57">
      <w:pPr>
        <w:jc w:val="both"/>
        <w:rPr>
          <w:color w:val="000000" w:themeColor="text1"/>
          <w:lang w:val="fr-FR"/>
        </w:rPr>
      </w:pPr>
    </w:p>
    <w:p w14:paraId="4D5C5ACF" w14:textId="77777777" w:rsidR="002F5AFF" w:rsidRPr="004E13E9" w:rsidRDefault="002F5AFF" w:rsidP="00582C57">
      <w:pPr>
        <w:jc w:val="both"/>
        <w:rPr>
          <w:lang w:val="fr-FR"/>
        </w:rPr>
      </w:pPr>
      <w:r w:rsidRPr="004E13E9">
        <w:rPr>
          <w:lang w:val="fr-FR"/>
        </w:rPr>
        <w:t>Une quantité de 10 t du quota norvégien est réservée aux prises accessoires involontaires de thon rouge.</w:t>
      </w:r>
      <w:r w:rsidRPr="004E13E9">
        <w:rPr>
          <w:color w:val="000000" w:themeColor="text1"/>
          <w:lang w:val="fr-FR"/>
        </w:rPr>
        <w:t xml:space="preserve"> Les prises accessoires de thon rouge dans les pêcheries norvégiennes surviennent dans le cadre de pêcheries non réglementées par l’ICCAT, comme la pêcherie de maquereau et de merlan bleu. Les variations annuelles de ces pêcheries se reflètent dans le nombre de prises accessoires. Le niveau le plus élevé de prises accessoires de thon rouge enregistré dans la zone économique norvégienne ces dernières années est de 8,4 t en 2015 et, en 2025, le total des prises accessoires était de 3,4 t. Par conséquent, les 10 t mises de côté pour les prises accessoires devraient être plus que suffisantes pour couvrir les prises accessoires en 2026.</w:t>
      </w:r>
    </w:p>
    <w:p w14:paraId="6B148C8A" w14:textId="77777777" w:rsidR="002F5AFF" w:rsidRPr="004E13E9" w:rsidRDefault="002F5AFF" w:rsidP="00582C57">
      <w:pPr>
        <w:jc w:val="both"/>
        <w:rPr>
          <w:lang w:val="fr-FR"/>
        </w:rPr>
      </w:pPr>
    </w:p>
    <w:p w14:paraId="0E608611" w14:textId="77290AB0" w:rsidR="002F5AFF" w:rsidRPr="004E13E9" w:rsidRDefault="002F5AFF" w:rsidP="00582C57">
      <w:pPr>
        <w:jc w:val="both"/>
        <w:rPr>
          <w:lang w:val="fr-FR"/>
        </w:rPr>
      </w:pPr>
      <w:r w:rsidRPr="004E13E9">
        <w:rPr>
          <w:lang w:val="fr-FR"/>
        </w:rPr>
        <w:t>Toute prise accessoire de thon rouge doit être immédiatement déclarée au FMC norvégien. Le FMC alertera les inspecteurs de la Direction des pêches qui prendront les mesures de suivi appropriées. Le FMC fonctionne 24 heures sur 24, sept jours sur sept et toute interruption de la transmission des carnets de pêche électroniques fera immédiatement l'objet d'un suivi par le FMC. La garde-côtière norvégienne aura accès aux carnets de pêche électroniques en temps réel.</w:t>
      </w:r>
    </w:p>
    <w:p w14:paraId="236BA31E" w14:textId="77777777" w:rsidR="00A422FA" w:rsidRPr="004E13E9" w:rsidRDefault="00A422FA" w:rsidP="00582C57">
      <w:pPr>
        <w:jc w:val="both"/>
        <w:rPr>
          <w:lang w:val="fr-FR"/>
        </w:rPr>
      </w:pPr>
    </w:p>
    <w:p w14:paraId="2803FE70" w14:textId="77777777" w:rsidR="002F5AFF" w:rsidRPr="004E13E9" w:rsidRDefault="002F5AFF" w:rsidP="00582C57">
      <w:pPr>
        <w:jc w:val="both"/>
        <w:rPr>
          <w:lang w:val="fr-FR"/>
        </w:rPr>
      </w:pPr>
      <w:r w:rsidRPr="004E13E9">
        <w:rPr>
          <w:lang w:val="fr-FR"/>
        </w:rPr>
        <w:t xml:space="preserve">Les senneurs, les palangriers et les navires côtiers à petite échelle seront tenus de communiquer les informations de leur carnet de pêche électronique au FMC norvégien sur une base journalière, comportant la date, l’heure, la localisation (latitude et longitude) et le poids et nombre de thons rouges capturés. </w:t>
      </w:r>
    </w:p>
    <w:p w14:paraId="19493BFD" w14:textId="77777777" w:rsidR="00A422FA" w:rsidRPr="004E13E9" w:rsidRDefault="00A422FA">
      <w:pPr>
        <w:rPr>
          <w:lang w:val="fr-FR"/>
        </w:rPr>
      </w:pPr>
      <w:r w:rsidRPr="004E13E9">
        <w:rPr>
          <w:lang w:val="fr-FR"/>
        </w:rPr>
        <w:br w:type="page"/>
      </w:r>
    </w:p>
    <w:p w14:paraId="37941781" w14:textId="0A2A714D" w:rsidR="002F5AFF" w:rsidRPr="004E13E9" w:rsidRDefault="002F5AFF" w:rsidP="00582C57">
      <w:pPr>
        <w:jc w:val="both"/>
        <w:rPr>
          <w:lang w:val="fr-FR"/>
        </w:rPr>
      </w:pPr>
      <w:r w:rsidRPr="004E13E9">
        <w:rPr>
          <w:lang w:val="fr-FR"/>
        </w:rPr>
        <w:t>Les navires participant à la pêcherie récréative et aux activités de marquage et remise à l’eau sont tenus de communiquer les mêmes informations que les navires commerciaux. Ils doivent également rester en contact étroit avec l'Institut de recherche marine.</w:t>
      </w:r>
    </w:p>
    <w:p w14:paraId="47568548" w14:textId="77777777" w:rsidR="002F5AFF" w:rsidRPr="004E13E9" w:rsidRDefault="002F5AFF" w:rsidP="00582C57">
      <w:pPr>
        <w:jc w:val="both"/>
        <w:rPr>
          <w:i/>
          <w:lang w:val="fr-FR"/>
        </w:rPr>
      </w:pPr>
    </w:p>
    <w:p w14:paraId="5D43F7B1" w14:textId="77777777" w:rsidR="002F5AFF" w:rsidRPr="004E13E9" w:rsidRDefault="002F5AFF" w:rsidP="00582C57">
      <w:pPr>
        <w:jc w:val="both"/>
        <w:rPr>
          <w:lang w:val="fr-FR"/>
        </w:rPr>
      </w:pPr>
      <w:r w:rsidRPr="004E13E9">
        <w:rPr>
          <w:lang w:val="fr-FR"/>
        </w:rPr>
        <w:t xml:space="preserve">Tous les navires de capture norvégiens d'une longueur hors tout supérieure à 8 mètres sont tenus d'envoyer des rapports de position (VMS) et des rapports de capture quotidiens au FMC. </w:t>
      </w:r>
    </w:p>
    <w:p w14:paraId="138227A8" w14:textId="77777777" w:rsidR="002F5AFF" w:rsidRPr="004E13E9" w:rsidRDefault="002F5AFF" w:rsidP="00582C57">
      <w:pPr>
        <w:jc w:val="both"/>
        <w:rPr>
          <w:i/>
          <w:lang w:val="fr-FR"/>
        </w:rPr>
      </w:pPr>
    </w:p>
    <w:p w14:paraId="03381028" w14:textId="77777777" w:rsidR="002F5AFF" w:rsidRPr="004E13E9" w:rsidRDefault="002F5AFF" w:rsidP="00582C57">
      <w:pPr>
        <w:jc w:val="both"/>
        <w:rPr>
          <w:lang w:val="fr-FR"/>
        </w:rPr>
      </w:pPr>
      <w:r w:rsidRPr="004E13E9">
        <w:rPr>
          <w:lang w:val="fr-FR"/>
        </w:rPr>
        <w:t>Le tableau ci-dessous inclut des informations additionnelles sur le suivi et contrôle du quota norvégien.</w:t>
      </w:r>
    </w:p>
    <w:p w14:paraId="18D083E2" w14:textId="77777777" w:rsidR="002F5AFF" w:rsidRPr="004E13E9" w:rsidRDefault="002F5AFF" w:rsidP="00582C57">
      <w:pPr>
        <w:jc w:val="both"/>
        <w:rPr>
          <w:i/>
          <w:lang w:val="fr-FR"/>
        </w:rPr>
      </w:pPr>
    </w:p>
    <w:p w14:paraId="1260352C" w14:textId="77777777" w:rsidR="002F5AFF" w:rsidRPr="004E13E9" w:rsidRDefault="002F5AFF" w:rsidP="00582C57">
      <w:pPr>
        <w:jc w:val="both"/>
        <w:rPr>
          <w:iCs/>
          <w:lang w:val="fr-FR"/>
        </w:rPr>
      </w:pPr>
      <w:r w:rsidRPr="004E13E9">
        <w:rPr>
          <w:iCs/>
          <w:lang w:val="fr-FR"/>
        </w:rPr>
        <w:t>Conformément au paragraphe 52 de la Recommandation 25-04 de l’ICCAT, la Norvège présentera, au Secrétaire exécutif de l'ICCAT, les informations concernant les navires autorisés à réaliser cette pêche, au plus tard 15 jours avant le début de l’activité de pêche. Toute modification ultérieure du plan de pêche annuel sera transmise au Secrétaire exécutif de l’ICCAT conformément au paragraphe 15 de la Recommandation 25-04 de l’ICCAT.</w:t>
      </w:r>
    </w:p>
    <w:p w14:paraId="0FE488B8" w14:textId="77777777" w:rsidR="002F5AFF" w:rsidRPr="004E13E9" w:rsidRDefault="002F5AFF" w:rsidP="002F5AFF">
      <w:pPr>
        <w:rPr>
          <w:i/>
          <w:lang w:val="fr-FR"/>
        </w:rPr>
      </w:pPr>
    </w:p>
    <w:p w14:paraId="4D5DA301" w14:textId="77777777" w:rsidR="002F5AFF" w:rsidRPr="004E13E9" w:rsidRDefault="002F5AFF" w:rsidP="002F5AFF">
      <w:pPr>
        <w:rPr>
          <w:b/>
          <w:bCs/>
          <w:i/>
          <w:iCs/>
          <w:lang w:val="fr-FR"/>
        </w:rPr>
      </w:pPr>
      <w:r w:rsidRPr="004E13E9">
        <w:rPr>
          <w:b/>
          <w:i/>
          <w:lang w:val="fr-FR"/>
        </w:rPr>
        <w:t>1 b) Report (paragraphe 6)</w:t>
      </w:r>
    </w:p>
    <w:p w14:paraId="1C4344FE" w14:textId="77777777" w:rsidR="002F5AFF" w:rsidRPr="004E13E9" w:rsidRDefault="002F5AFF" w:rsidP="002F5AFF">
      <w:pPr>
        <w:rPr>
          <w:lang w:val="fr-FR"/>
        </w:rPr>
      </w:pPr>
    </w:p>
    <w:p w14:paraId="5BBA7FC4" w14:textId="77777777" w:rsidR="002F5AFF" w:rsidRPr="004E13E9" w:rsidRDefault="002F5AFF" w:rsidP="002F5AFF">
      <w:pPr>
        <w:rPr>
          <w:lang w:val="fr-FR"/>
        </w:rPr>
      </w:pPr>
      <w:r w:rsidRPr="004E13E9">
        <w:rPr>
          <w:lang w:val="fr-FR"/>
        </w:rPr>
        <w:t xml:space="preserve">La Norvège demande un transfert de 73,6 t de 2025 à 2026. </w:t>
      </w:r>
    </w:p>
    <w:p w14:paraId="1CC46496" w14:textId="77777777" w:rsidR="002F5AFF" w:rsidRPr="004E13E9" w:rsidRDefault="002F5AFF" w:rsidP="002F5AFF">
      <w:pPr>
        <w:rPr>
          <w:i/>
          <w:lang w:val="fr-FR"/>
        </w:rPr>
      </w:pPr>
    </w:p>
    <w:p w14:paraId="355394ED" w14:textId="77777777" w:rsidR="002F5AFF" w:rsidRPr="004E13E9" w:rsidRDefault="002F5AFF" w:rsidP="002F5AFF">
      <w:pPr>
        <w:rPr>
          <w:b/>
          <w:bCs/>
          <w:i/>
          <w:lang w:val="fr-FR"/>
        </w:rPr>
      </w:pPr>
      <w:r w:rsidRPr="004E13E9">
        <w:rPr>
          <w:b/>
          <w:i/>
          <w:lang w:val="fr-FR"/>
        </w:rPr>
        <w:t>1 c) Destination de la capture</w:t>
      </w:r>
    </w:p>
    <w:p w14:paraId="6285180B" w14:textId="77777777" w:rsidR="002F5AFF" w:rsidRPr="004E13E9" w:rsidRDefault="002F5AFF" w:rsidP="002F5AFF">
      <w:pPr>
        <w:rPr>
          <w:color w:val="000000" w:themeColor="text1"/>
          <w:lang w:val="fr-FR"/>
        </w:rPr>
      </w:pPr>
    </w:p>
    <w:p w14:paraId="26F856EF" w14:textId="77777777" w:rsidR="002F5AFF" w:rsidRPr="004E13E9" w:rsidRDefault="002F5AFF" w:rsidP="00582C57">
      <w:pPr>
        <w:jc w:val="both"/>
        <w:rPr>
          <w:lang w:val="fr-FR"/>
        </w:rPr>
      </w:pPr>
      <w:r w:rsidRPr="004E13E9">
        <w:rPr>
          <w:color w:val="000000" w:themeColor="text1"/>
          <w:lang w:val="fr-FR"/>
        </w:rPr>
        <w:t xml:space="preserve">Tous les thons rouges capturés par les navires norvégiens seront débarqués, sauf ceux qui sont utilisés pour l’étude pilote sur le stockage de courte durée de spécimens vivants. Ils seront stockés pendant une période limitée avant d'être préparés pour la vente. </w:t>
      </w:r>
    </w:p>
    <w:p w14:paraId="202BC8BF" w14:textId="77777777" w:rsidR="002F5AFF" w:rsidRPr="004E13E9" w:rsidRDefault="002F5AFF" w:rsidP="002F5AFF">
      <w:pPr>
        <w:rPr>
          <w:b/>
          <w:i/>
          <w:lang w:val="fr-FR"/>
        </w:rPr>
      </w:pPr>
    </w:p>
    <w:p w14:paraId="4AC10A86" w14:textId="77777777" w:rsidR="002F5AFF" w:rsidRPr="004E13E9" w:rsidRDefault="002F5AFF" w:rsidP="002F5AFF">
      <w:pPr>
        <w:rPr>
          <w:b/>
          <w:bCs/>
          <w:i/>
          <w:iCs/>
        </w:rPr>
      </w:pPr>
      <w:r w:rsidRPr="004E13E9">
        <w:rPr>
          <w:b/>
          <w:i/>
        </w:rPr>
        <w:t xml:space="preserve">1 d) </w:t>
      </w:r>
    </w:p>
    <w:tbl>
      <w:tblPr>
        <w:tblStyle w:val="TableGrid"/>
        <w:tblW w:w="0" w:type="auto"/>
        <w:tblLayout w:type="fixed"/>
        <w:tblLook w:val="04A0" w:firstRow="1" w:lastRow="0" w:firstColumn="1" w:lastColumn="0" w:noHBand="0" w:noVBand="1"/>
      </w:tblPr>
      <w:tblGrid>
        <w:gridCol w:w="453"/>
        <w:gridCol w:w="2519"/>
        <w:gridCol w:w="2835"/>
        <w:gridCol w:w="2268"/>
        <w:gridCol w:w="985"/>
      </w:tblGrid>
      <w:tr w:rsidR="002F5AFF" w:rsidRPr="004E13E9" w14:paraId="2BFCF9F3" w14:textId="77777777" w:rsidTr="0054545D">
        <w:trPr>
          <w:tblHeader/>
        </w:trPr>
        <w:tc>
          <w:tcPr>
            <w:tcW w:w="453" w:type="dxa"/>
          </w:tcPr>
          <w:p w14:paraId="03EE208C" w14:textId="77777777" w:rsidR="002F5AFF" w:rsidRPr="004E13E9" w:rsidRDefault="002F5AFF" w:rsidP="00E62E84">
            <w:pPr>
              <w:rPr>
                <w:rFonts w:ascii="Cambria" w:hAnsi="Cambria"/>
                <w:sz w:val="20"/>
                <w:szCs w:val="20"/>
              </w:rPr>
            </w:pPr>
          </w:p>
          <w:p w14:paraId="6163444B" w14:textId="77777777" w:rsidR="002F5AFF" w:rsidRPr="004E13E9" w:rsidRDefault="002F5AFF" w:rsidP="00E62E84">
            <w:pPr>
              <w:rPr>
                <w:rFonts w:ascii="Cambria" w:hAnsi="Cambria"/>
                <w:color w:val="auto"/>
                <w:sz w:val="20"/>
                <w:szCs w:val="20"/>
              </w:rPr>
            </w:pPr>
          </w:p>
        </w:tc>
        <w:tc>
          <w:tcPr>
            <w:tcW w:w="2519" w:type="dxa"/>
            <w:vAlign w:val="center"/>
          </w:tcPr>
          <w:p w14:paraId="383FDC3F" w14:textId="77777777" w:rsidR="002F5AFF" w:rsidRPr="004E13E9" w:rsidRDefault="002F5AFF" w:rsidP="00E62E84">
            <w:pPr>
              <w:jc w:val="center"/>
              <w:rPr>
                <w:rFonts w:ascii="Cambria" w:hAnsi="Cambria"/>
                <w:i/>
                <w:sz w:val="20"/>
                <w:szCs w:val="20"/>
              </w:rPr>
            </w:pPr>
            <w:r w:rsidRPr="004E13E9">
              <w:rPr>
                <w:rFonts w:ascii="Cambria" w:hAnsi="Cambria"/>
                <w:i/>
                <w:sz w:val="20"/>
                <w:szCs w:val="20"/>
              </w:rPr>
              <w:t>Exigence de l’ICCAT</w:t>
            </w:r>
          </w:p>
          <w:p w14:paraId="04F11F0D" w14:textId="77777777" w:rsidR="002F5AFF" w:rsidRPr="004E13E9" w:rsidRDefault="002F5AFF" w:rsidP="00E62E84">
            <w:pPr>
              <w:jc w:val="center"/>
              <w:rPr>
                <w:rFonts w:ascii="Cambria" w:hAnsi="Cambria"/>
                <w:i/>
                <w:color w:val="auto"/>
                <w:sz w:val="20"/>
                <w:szCs w:val="20"/>
              </w:rPr>
            </w:pPr>
            <w:r w:rsidRPr="004E13E9">
              <w:rPr>
                <w:rFonts w:ascii="Cambria" w:hAnsi="Cambria"/>
                <w:i/>
                <w:color w:val="auto"/>
                <w:sz w:val="20"/>
                <w:szCs w:val="20"/>
              </w:rPr>
              <w:t xml:space="preserve">(en vertu de la </w:t>
            </w:r>
            <w:hyperlink r:id="rId152" w:history="1">
              <w:r w:rsidRPr="004E13E9">
                <w:rPr>
                  <w:rFonts w:ascii="Cambria" w:hAnsi="Cambria"/>
                  <w:i/>
                  <w:color w:val="0563C1"/>
                  <w:sz w:val="20"/>
                  <w:szCs w:val="20"/>
                </w:rPr>
                <w:t>Rec. 25-04</w:t>
              </w:r>
            </w:hyperlink>
            <w:r w:rsidRPr="004E13E9">
              <w:rPr>
                <w:rFonts w:ascii="Cambria" w:hAnsi="Cambria"/>
              </w:rPr>
              <w:t>)</w:t>
            </w:r>
          </w:p>
        </w:tc>
        <w:tc>
          <w:tcPr>
            <w:tcW w:w="2835" w:type="dxa"/>
            <w:vAlign w:val="center"/>
          </w:tcPr>
          <w:p w14:paraId="3140F81C" w14:textId="77777777" w:rsidR="002F5AFF" w:rsidRPr="004E13E9" w:rsidRDefault="002F5AFF" w:rsidP="00E62E84">
            <w:pPr>
              <w:jc w:val="center"/>
              <w:rPr>
                <w:rFonts w:ascii="Cambria" w:eastAsiaTheme="minorHAnsi" w:hAnsi="Cambria" w:cstheme="minorBidi"/>
                <w:i/>
                <w:color w:val="auto"/>
                <w:sz w:val="20"/>
                <w:szCs w:val="20"/>
              </w:rPr>
            </w:pPr>
            <w:r w:rsidRPr="004E13E9">
              <w:rPr>
                <w:rFonts w:ascii="Cambria" w:hAnsi="Cambria"/>
                <w:i/>
                <w:color w:val="auto"/>
                <w:sz w:val="20"/>
                <w:szCs w:val="20"/>
              </w:rPr>
              <w:t>Explication des actions prises par la CPC à des fins de mise en œuvre</w:t>
            </w:r>
          </w:p>
        </w:tc>
        <w:tc>
          <w:tcPr>
            <w:tcW w:w="2268" w:type="dxa"/>
            <w:vAlign w:val="center"/>
          </w:tcPr>
          <w:p w14:paraId="247B2177" w14:textId="77777777" w:rsidR="002F5AFF" w:rsidRPr="004E13E9" w:rsidRDefault="002F5AFF" w:rsidP="00E62E84">
            <w:pPr>
              <w:jc w:val="center"/>
              <w:rPr>
                <w:rFonts w:ascii="Cambria" w:eastAsiaTheme="minorHAnsi" w:hAnsi="Cambria" w:cstheme="minorBidi"/>
                <w:i/>
                <w:color w:val="auto"/>
                <w:sz w:val="20"/>
                <w:szCs w:val="20"/>
              </w:rPr>
            </w:pPr>
            <w:r w:rsidRPr="004E13E9">
              <w:rPr>
                <w:rFonts w:ascii="Cambria" w:hAnsi="Cambria"/>
                <w:i/>
                <w:color w:val="auto"/>
                <w:sz w:val="20"/>
                <w:szCs w:val="20"/>
              </w:rPr>
              <w:t>Lois ou réglementations nationales pertinentes (le cas échéant)</w:t>
            </w:r>
          </w:p>
        </w:tc>
        <w:tc>
          <w:tcPr>
            <w:tcW w:w="985" w:type="dxa"/>
            <w:vAlign w:val="center"/>
          </w:tcPr>
          <w:p w14:paraId="22BF9D29" w14:textId="77777777" w:rsidR="002F5AFF" w:rsidRPr="004E13E9" w:rsidRDefault="002F5AFF" w:rsidP="00E62E84">
            <w:pPr>
              <w:jc w:val="center"/>
              <w:rPr>
                <w:rFonts w:ascii="Cambria" w:eastAsiaTheme="minorHAnsi" w:hAnsi="Cambria" w:cstheme="minorBidi"/>
                <w:i/>
                <w:color w:val="auto"/>
                <w:sz w:val="20"/>
                <w:szCs w:val="20"/>
              </w:rPr>
            </w:pPr>
            <w:r w:rsidRPr="004E13E9">
              <w:rPr>
                <w:rFonts w:ascii="Cambria" w:hAnsi="Cambria"/>
                <w:i/>
                <w:color w:val="auto"/>
                <w:sz w:val="20"/>
                <w:szCs w:val="20"/>
              </w:rPr>
              <w:t>Note</w:t>
            </w:r>
          </w:p>
        </w:tc>
      </w:tr>
      <w:tr w:rsidR="002F5AFF" w:rsidRPr="006A2397" w14:paraId="0908EB9B" w14:textId="77777777" w:rsidTr="0054545D">
        <w:tc>
          <w:tcPr>
            <w:tcW w:w="453" w:type="dxa"/>
          </w:tcPr>
          <w:p w14:paraId="230DA0C4" w14:textId="77777777" w:rsidR="002F5AFF" w:rsidRPr="004E13E9" w:rsidRDefault="002F5AFF" w:rsidP="00E62E84">
            <w:pPr>
              <w:rPr>
                <w:rFonts w:ascii="Cambria" w:hAnsi="Cambria"/>
                <w:b/>
                <w:color w:val="auto"/>
                <w:sz w:val="20"/>
                <w:szCs w:val="20"/>
              </w:rPr>
            </w:pPr>
            <w:r w:rsidRPr="004E13E9">
              <w:rPr>
                <w:rFonts w:ascii="Cambria" w:hAnsi="Cambria"/>
                <w:b/>
                <w:color w:val="auto"/>
                <w:sz w:val="20"/>
                <w:szCs w:val="20"/>
              </w:rPr>
              <w:t xml:space="preserve">1 </w:t>
            </w:r>
          </w:p>
        </w:tc>
        <w:tc>
          <w:tcPr>
            <w:tcW w:w="2519" w:type="dxa"/>
          </w:tcPr>
          <w:p w14:paraId="5CDD4F9A" w14:textId="77777777" w:rsidR="002F5AFF" w:rsidRPr="004E13E9" w:rsidRDefault="002F5AFF" w:rsidP="00E62E84">
            <w:pPr>
              <w:rPr>
                <w:rFonts w:ascii="Cambria" w:hAnsi="Cambria"/>
                <w:b/>
                <w:color w:val="auto"/>
                <w:sz w:val="20"/>
                <w:szCs w:val="20"/>
              </w:rPr>
            </w:pPr>
            <w:r w:rsidRPr="004E13E9">
              <w:rPr>
                <w:rFonts w:ascii="Cambria" w:hAnsi="Cambria"/>
                <w:b/>
                <w:color w:val="auto"/>
                <w:sz w:val="20"/>
                <w:szCs w:val="20"/>
              </w:rPr>
              <w:t xml:space="preserve">Enregistrement et déclaration de la capture </w:t>
            </w:r>
          </w:p>
          <w:p w14:paraId="31439CF7" w14:textId="77777777" w:rsidR="002F5AFF" w:rsidRPr="004E13E9" w:rsidRDefault="002F5AFF" w:rsidP="00E62E84">
            <w:pPr>
              <w:rPr>
                <w:rFonts w:ascii="Cambria" w:hAnsi="Cambria"/>
                <w:b/>
                <w:color w:val="auto"/>
                <w:sz w:val="20"/>
                <w:szCs w:val="20"/>
              </w:rPr>
            </w:pPr>
            <w:r w:rsidRPr="004E13E9">
              <w:rPr>
                <w:rFonts w:ascii="Cambria" w:hAnsi="Cambria"/>
                <w:b/>
                <w:color w:val="auto"/>
                <w:sz w:val="20"/>
                <w:szCs w:val="20"/>
              </w:rPr>
              <w:t>(paragr. 74-88)</w:t>
            </w:r>
          </w:p>
        </w:tc>
        <w:tc>
          <w:tcPr>
            <w:tcW w:w="2835" w:type="dxa"/>
          </w:tcPr>
          <w:p w14:paraId="09E9774A"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74</w:t>
            </w:r>
            <w:r w:rsidRPr="004E13E9">
              <w:rPr>
                <w:rFonts w:ascii="Cambria" w:hAnsi="Cambria"/>
                <w:b/>
                <w:bCs/>
                <w:color w:val="000000" w:themeColor="text1"/>
                <w:sz w:val="20"/>
                <w:szCs w:val="20"/>
              </w:rPr>
              <w:t>.</w:t>
            </w:r>
            <w:r w:rsidRPr="004E13E9">
              <w:rPr>
                <w:rFonts w:ascii="Cambria" w:hAnsi="Cambria"/>
                <w:color w:val="000000" w:themeColor="text1"/>
                <w:sz w:val="20"/>
                <w:szCs w:val="20"/>
              </w:rPr>
              <w:t xml:space="preserve"> Les navires autorisés à cibler le thon rouge seront tenus d'avoir un carnet de pêche électronique.</w:t>
            </w:r>
          </w:p>
          <w:p w14:paraId="5C921744" w14:textId="77777777" w:rsidR="002F5AFF" w:rsidRPr="004E13E9" w:rsidRDefault="002F5AFF" w:rsidP="0054545D">
            <w:pPr>
              <w:jc w:val="both"/>
              <w:rPr>
                <w:rFonts w:ascii="Cambria" w:hAnsi="Cambria"/>
                <w:color w:val="000000" w:themeColor="text1"/>
                <w:sz w:val="20"/>
                <w:szCs w:val="20"/>
              </w:rPr>
            </w:pPr>
          </w:p>
          <w:p w14:paraId="6B936D2F"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75</w:t>
            </w:r>
            <w:r w:rsidRPr="004E13E9">
              <w:rPr>
                <w:rFonts w:ascii="Cambria" w:hAnsi="Cambria"/>
                <w:b/>
                <w:bCs/>
                <w:color w:val="000000" w:themeColor="text1"/>
                <w:sz w:val="20"/>
                <w:szCs w:val="20"/>
              </w:rPr>
              <w:t>.</w:t>
            </w:r>
            <w:r w:rsidRPr="004E13E9">
              <w:rPr>
                <w:rFonts w:ascii="Cambria" w:hAnsi="Cambria"/>
                <w:color w:val="000000" w:themeColor="text1"/>
                <w:sz w:val="20"/>
                <w:szCs w:val="20"/>
              </w:rPr>
              <w:t xml:space="preserve"> Non applicable. Aucun remorqueur, navire auxiliaire ou navire de transformation norvégien ne participe à la pêcherie de thon rouge. </w:t>
            </w:r>
          </w:p>
          <w:p w14:paraId="11D089FB" w14:textId="77777777" w:rsidR="002F5AFF" w:rsidRPr="004E13E9" w:rsidRDefault="002F5AFF" w:rsidP="0054545D">
            <w:pPr>
              <w:jc w:val="both"/>
              <w:rPr>
                <w:rFonts w:ascii="Cambria" w:hAnsi="Cambria"/>
                <w:color w:val="000000" w:themeColor="text1"/>
                <w:sz w:val="20"/>
                <w:szCs w:val="20"/>
              </w:rPr>
            </w:pPr>
          </w:p>
          <w:p w14:paraId="084A16DD"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Toutefois, dans le cadre du projet pilote sur le stockage de poissons vivants, l'opération de remorquage sera effectuée par le même senneur que celui qui capture le poisson. Ce navire communiquera alors les informations requises par l'intermédiaire de son journal de bord électronique.</w:t>
            </w:r>
          </w:p>
          <w:p w14:paraId="1D5BC400" w14:textId="77777777" w:rsidR="002F5AFF" w:rsidRPr="004E13E9" w:rsidRDefault="002F5AFF" w:rsidP="0054545D">
            <w:pPr>
              <w:jc w:val="both"/>
              <w:rPr>
                <w:rFonts w:ascii="Cambria" w:hAnsi="Cambria"/>
                <w:sz w:val="20"/>
                <w:szCs w:val="20"/>
              </w:rPr>
            </w:pPr>
          </w:p>
          <w:p w14:paraId="647AF1D0"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76</w:t>
            </w:r>
            <w:r w:rsidRPr="004E13E9">
              <w:rPr>
                <w:rFonts w:ascii="Cambria" w:hAnsi="Cambria"/>
                <w:b/>
                <w:bCs/>
                <w:color w:val="000000" w:themeColor="text1"/>
                <w:sz w:val="20"/>
                <w:szCs w:val="20"/>
              </w:rPr>
              <w:t>.</w:t>
            </w:r>
            <w:r w:rsidRPr="004E13E9">
              <w:rPr>
                <w:rFonts w:ascii="Cambria" w:hAnsi="Cambria"/>
                <w:color w:val="000000" w:themeColor="text1"/>
                <w:sz w:val="20"/>
                <w:szCs w:val="20"/>
              </w:rPr>
              <w:t xml:space="preserve"> Les navires norvégiens qui pêchent du thon rouge seront tenus de communiquer les informations de leur carnet de pêche électronique au FMC norvégien sur une base journalière, comportant la date, l’heure, la localisation (latitude et longitude) et le poids et nombre de thons rouges capturés.</w:t>
            </w:r>
          </w:p>
          <w:p w14:paraId="5B9BB325" w14:textId="77777777" w:rsidR="002F5AFF" w:rsidRPr="004E13E9" w:rsidRDefault="002F5AFF" w:rsidP="0054545D">
            <w:pPr>
              <w:jc w:val="both"/>
              <w:rPr>
                <w:rFonts w:ascii="Cambria" w:hAnsi="Cambria"/>
                <w:color w:val="000000" w:themeColor="text1"/>
                <w:sz w:val="20"/>
                <w:szCs w:val="20"/>
              </w:rPr>
            </w:pPr>
          </w:p>
          <w:p w14:paraId="7F347292"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La législation norvégienne exige que tous les poissons morts, y compris ceux qui n'atteignent pas la taille minimale, soient débarqués et déduits du quota du navire.</w:t>
            </w:r>
          </w:p>
          <w:p w14:paraId="1A1C4CF8"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 xml:space="preserve">Le FMC fonctionne 24 heures sur 24 et sept jours sur sept et toute interruption de la transmission des carnets de pêche électroniques fera immédiatement l'objet d'un suivi par le FMC. </w:t>
            </w:r>
          </w:p>
          <w:p w14:paraId="4AC1785F"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La garde-côtière norvégienne aura accès aux carnets de pêche électroniques en temps réel.</w:t>
            </w:r>
          </w:p>
          <w:p w14:paraId="7B33A9C7" w14:textId="77777777" w:rsidR="002F5AFF" w:rsidRPr="004E13E9" w:rsidRDefault="002F5AFF" w:rsidP="0054545D">
            <w:pPr>
              <w:jc w:val="both"/>
              <w:rPr>
                <w:rFonts w:ascii="Cambria" w:hAnsi="Cambria"/>
                <w:color w:val="000000" w:themeColor="text1"/>
                <w:sz w:val="20"/>
                <w:szCs w:val="20"/>
              </w:rPr>
            </w:pPr>
          </w:p>
          <w:p w14:paraId="08052C43"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77</w:t>
            </w:r>
            <w:r w:rsidRPr="004E13E9">
              <w:rPr>
                <w:rFonts w:ascii="Cambria" w:hAnsi="Cambria"/>
                <w:b/>
                <w:bCs/>
                <w:color w:val="000000" w:themeColor="text1"/>
                <w:sz w:val="20"/>
                <w:szCs w:val="20"/>
              </w:rPr>
              <w:t>.</w:t>
            </w:r>
            <w:r w:rsidRPr="004E13E9">
              <w:rPr>
                <w:rFonts w:ascii="Cambria" w:hAnsi="Cambria"/>
                <w:color w:val="000000" w:themeColor="text1"/>
                <w:sz w:val="20"/>
                <w:szCs w:val="20"/>
              </w:rPr>
              <w:t xml:space="preserve"> Les senneurs seront tenus de communiquer des rapports journaliers opération de pêche par opération de pêche, y compris lorsque la capture est zéro. Les rapports devront être transmis par l'opérateur au FMC norvégien avant 9 heures GMT pour le jour précédent. </w:t>
            </w:r>
          </w:p>
          <w:p w14:paraId="497FA848" w14:textId="77777777" w:rsidR="002F5AFF" w:rsidRPr="004E13E9" w:rsidRDefault="002F5AFF" w:rsidP="0054545D">
            <w:pPr>
              <w:jc w:val="both"/>
              <w:rPr>
                <w:rFonts w:ascii="Cambria" w:hAnsi="Cambria"/>
                <w:color w:val="000000" w:themeColor="text1"/>
                <w:sz w:val="20"/>
                <w:szCs w:val="20"/>
              </w:rPr>
            </w:pPr>
          </w:p>
          <w:p w14:paraId="4167B6DC"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78</w:t>
            </w:r>
            <w:r w:rsidRPr="004E13E9">
              <w:rPr>
                <w:rFonts w:ascii="Cambria" w:hAnsi="Cambria"/>
                <w:b/>
                <w:bCs/>
                <w:color w:val="000000" w:themeColor="text1"/>
                <w:sz w:val="20"/>
                <w:szCs w:val="20"/>
              </w:rPr>
              <w:t>.</w:t>
            </w:r>
            <w:r w:rsidRPr="004E13E9">
              <w:rPr>
                <w:rFonts w:ascii="Cambria" w:hAnsi="Cambria"/>
                <w:color w:val="000000" w:themeColor="text1"/>
                <w:sz w:val="20"/>
                <w:szCs w:val="20"/>
              </w:rPr>
              <w:t xml:space="preserve"> Non applicable. Il n’y a pas de madragues norvégiennes pêchant du thon rouge. </w:t>
            </w:r>
          </w:p>
          <w:p w14:paraId="42DEF48E" w14:textId="77777777" w:rsidR="002F5AFF" w:rsidRPr="004E13E9" w:rsidRDefault="002F5AFF" w:rsidP="0054545D">
            <w:pPr>
              <w:jc w:val="both"/>
              <w:rPr>
                <w:rFonts w:ascii="Cambria" w:hAnsi="Cambria"/>
                <w:color w:val="000000" w:themeColor="text1"/>
                <w:sz w:val="20"/>
                <w:szCs w:val="20"/>
              </w:rPr>
            </w:pPr>
          </w:p>
          <w:p w14:paraId="7E58D53B"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79</w:t>
            </w:r>
            <w:r w:rsidRPr="004E13E9">
              <w:rPr>
                <w:rFonts w:ascii="Cambria" w:hAnsi="Cambria"/>
                <w:b/>
                <w:bCs/>
                <w:color w:val="000000" w:themeColor="text1"/>
                <w:sz w:val="20"/>
                <w:szCs w:val="20"/>
              </w:rPr>
              <w:t>.</w:t>
            </w:r>
            <w:r w:rsidRPr="004E13E9">
              <w:rPr>
                <w:rFonts w:ascii="Cambria" w:hAnsi="Cambria"/>
                <w:color w:val="000000" w:themeColor="text1"/>
                <w:sz w:val="20"/>
                <w:szCs w:val="20"/>
              </w:rPr>
              <w:t xml:space="preserve"> Les navires de capture autres que les senneurs devront effectuer une transmission au FMC norvégien au plus tard le mardi midi au titre de la semaine précédente se terminant le dimanche.</w:t>
            </w:r>
          </w:p>
          <w:p w14:paraId="30F93CFC" w14:textId="77777777" w:rsidR="002F5AFF" w:rsidRPr="004E13E9" w:rsidRDefault="002F5AFF" w:rsidP="0054545D">
            <w:pPr>
              <w:jc w:val="both"/>
              <w:rPr>
                <w:rFonts w:ascii="Cambria" w:hAnsi="Cambria"/>
                <w:color w:val="000000" w:themeColor="text1"/>
                <w:sz w:val="20"/>
                <w:szCs w:val="20"/>
              </w:rPr>
            </w:pPr>
          </w:p>
          <w:p w14:paraId="64A54F75" w14:textId="77777777" w:rsidR="002F5AFF" w:rsidRPr="004E13E9" w:rsidRDefault="002F5AFF" w:rsidP="0054545D">
            <w:pPr>
              <w:jc w:val="both"/>
              <w:rPr>
                <w:rFonts w:ascii="Cambria" w:hAnsi="Cambria"/>
                <w:color w:val="auto"/>
                <w:sz w:val="20"/>
                <w:szCs w:val="20"/>
              </w:rPr>
            </w:pPr>
            <w:r w:rsidRPr="004E13E9">
              <w:rPr>
                <w:rFonts w:ascii="Cambria" w:hAnsi="Cambria"/>
                <w:sz w:val="20"/>
                <w:szCs w:val="20"/>
              </w:rPr>
              <w:t>À partir du 1er janvier 2026, tous les navires de capture norvégiens d'une longueur hors tout supérieure à 8 mètres sont tenus d'envoyer des rapports de position (VMS) et des rapports de capture quotidiens au FMC.</w:t>
            </w:r>
            <w:r w:rsidRPr="004E13E9">
              <w:rPr>
                <w:rFonts w:ascii="Cambria" w:hAnsi="Cambria"/>
                <w:color w:val="000000" w:themeColor="text1"/>
                <w:sz w:val="20"/>
                <w:szCs w:val="20"/>
              </w:rPr>
              <w:t xml:space="preserve"> Tous les navires de capture sont tenus de présenter un bordereau de débarquement ou de vente au moment du débarquement.</w:t>
            </w:r>
          </w:p>
        </w:tc>
        <w:tc>
          <w:tcPr>
            <w:tcW w:w="2268" w:type="dxa"/>
          </w:tcPr>
          <w:p w14:paraId="34E63962" w14:textId="77777777" w:rsidR="002F5AFF" w:rsidRPr="004E13E9" w:rsidRDefault="002F5AFF" w:rsidP="0054545D">
            <w:pPr>
              <w:jc w:val="both"/>
              <w:rPr>
                <w:rFonts w:ascii="Cambria" w:hAnsi="Cambria"/>
                <w:sz w:val="20"/>
                <w:szCs w:val="20"/>
              </w:rPr>
            </w:pPr>
            <w:r w:rsidRPr="004E13E9">
              <w:rPr>
                <w:rFonts w:ascii="Cambria" w:hAnsi="Cambria"/>
                <w:sz w:val="20"/>
                <w:szCs w:val="20"/>
              </w:rPr>
              <w:t>Réglementations concernant la pêcherie de thon rouge de 2026, § 17 et réglementations sur un système de déclaration électronique (exigences en matière de carnets de pêche).</w:t>
            </w:r>
          </w:p>
          <w:p w14:paraId="7F34446E" w14:textId="77777777" w:rsidR="002F5AFF" w:rsidRPr="004E13E9" w:rsidRDefault="002F5AFF" w:rsidP="0054545D">
            <w:pPr>
              <w:jc w:val="both"/>
              <w:rPr>
                <w:rFonts w:ascii="Cambria" w:hAnsi="Cambria"/>
                <w:sz w:val="20"/>
                <w:szCs w:val="20"/>
              </w:rPr>
            </w:pPr>
          </w:p>
          <w:p w14:paraId="13323C61" w14:textId="77777777" w:rsidR="002F5AFF" w:rsidRPr="004E13E9" w:rsidRDefault="002F5AFF" w:rsidP="0054545D">
            <w:pPr>
              <w:jc w:val="both"/>
              <w:rPr>
                <w:rFonts w:ascii="Cambria" w:hAnsi="Cambria"/>
                <w:color w:val="auto"/>
                <w:sz w:val="20"/>
                <w:szCs w:val="20"/>
              </w:rPr>
            </w:pPr>
          </w:p>
          <w:p w14:paraId="09431801" w14:textId="77777777" w:rsidR="002F5AFF" w:rsidRPr="004E13E9" w:rsidRDefault="002F5AFF" w:rsidP="0054545D">
            <w:pPr>
              <w:jc w:val="both"/>
              <w:rPr>
                <w:rFonts w:ascii="Cambria" w:hAnsi="Cambria"/>
                <w:color w:val="auto"/>
                <w:sz w:val="20"/>
                <w:szCs w:val="20"/>
              </w:rPr>
            </w:pPr>
          </w:p>
          <w:p w14:paraId="6DFC8BC4" w14:textId="77777777" w:rsidR="002F5AFF" w:rsidRPr="004E13E9" w:rsidRDefault="002F5AFF" w:rsidP="0054545D">
            <w:pPr>
              <w:jc w:val="both"/>
              <w:rPr>
                <w:rFonts w:ascii="Cambria" w:hAnsi="Cambria"/>
                <w:color w:val="auto"/>
                <w:sz w:val="20"/>
                <w:szCs w:val="20"/>
              </w:rPr>
            </w:pPr>
          </w:p>
          <w:p w14:paraId="0C8AE142" w14:textId="77777777" w:rsidR="002F5AFF" w:rsidRPr="004E13E9" w:rsidRDefault="002F5AFF" w:rsidP="0054545D">
            <w:pPr>
              <w:jc w:val="both"/>
              <w:rPr>
                <w:rFonts w:ascii="Cambria" w:hAnsi="Cambria"/>
                <w:color w:val="auto"/>
                <w:sz w:val="20"/>
                <w:szCs w:val="20"/>
              </w:rPr>
            </w:pPr>
          </w:p>
          <w:p w14:paraId="46F0489D" w14:textId="77777777" w:rsidR="002F5AFF" w:rsidRPr="004E13E9" w:rsidRDefault="002F5AFF" w:rsidP="0054545D">
            <w:pPr>
              <w:jc w:val="both"/>
              <w:rPr>
                <w:rFonts w:ascii="Cambria" w:hAnsi="Cambria"/>
                <w:color w:val="auto"/>
                <w:sz w:val="20"/>
                <w:szCs w:val="20"/>
              </w:rPr>
            </w:pPr>
          </w:p>
          <w:p w14:paraId="0B1E8C40" w14:textId="77777777" w:rsidR="002F5AFF" w:rsidRPr="004E13E9" w:rsidRDefault="002F5AFF" w:rsidP="0054545D">
            <w:pPr>
              <w:jc w:val="both"/>
              <w:rPr>
                <w:rFonts w:ascii="Cambria" w:hAnsi="Cambria"/>
                <w:sz w:val="20"/>
                <w:szCs w:val="20"/>
              </w:rPr>
            </w:pPr>
            <w:r w:rsidRPr="004E13E9">
              <w:rPr>
                <w:rFonts w:ascii="Cambria" w:hAnsi="Cambria"/>
                <w:sz w:val="20"/>
                <w:szCs w:val="20"/>
              </w:rPr>
              <w:t>Réglementations concernant la pêcherie de thon rouge de 2026, § 17 et réglementations sur un système de déclaration électronique (exigences en matière de carnets de pêche).</w:t>
            </w:r>
          </w:p>
          <w:p w14:paraId="2DF7253B"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 xml:space="preserve"> </w:t>
            </w:r>
          </w:p>
          <w:p w14:paraId="7D5C01D3" w14:textId="77777777" w:rsidR="002F5AFF" w:rsidRPr="004E13E9" w:rsidRDefault="002F5AFF" w:rsidP="0054545D">
            <w:pPr>
              <w:jc w:val="both"/>
              <w:rPr>
                <w:rFonts w:ascii="Cambria" w:hAnsi="Cambria"/>
                <w:sz w:val="20"/>
                <w:szCs w:val="20"/>
              </w:rPr>
            </w:pPr>
          </w:p>
          <w:p w14:paraId="4DBF0119" w14:textId="77777777" w:rsidR="002F5AFF" w:rsidRPr="004E13E9" w:rsidRDefault="002F5AFF" w:rsidP="0054545D">
            <w:pPr>
              <w:jc w:val="both"/>
              <w:rPr>
                <w:rFonts w:ascii="Cambria" w:hAnsi="Cambria"/>
                <w:sz w:val="20"/>
                <w:szCs w:val="20"/>
              </w:rPr>
            </w:pPr>
          </w:p>
          <w:p w14:paraId="339A0941" w14:textId="77777777" w:rsidR="002F5AFF" w:rsidRPr="004E13E9" w:rsidRDefault="002F5AFF" w:rsidP="0054545D">
            <w:pPr>
              <w:jc w:val="both"/>
              <w:rPr>
                <w:rFonts w:ascii="Cambria" w:hAnsi="Cambria"/>
                <w:sz w:val="20"/>
                <w:szCs w:val="20"/>
              </w:rPr>
            </w:pPr>
          </w:p>
          <w:p w14:paraId="3761CF0A" w14:textId="77777777" w:rsidR="002F5AFF" w:rsidRPr="004E13E9" w:rsidRDefault="002F5AFF" w:rsidP="0054545D">
            <w:pPr>
              <w:jc w:val="both"/>
              <w:rPr>
                <w:rStyle w:val="ui-provider"/>
                <w:rFonts w:ascii="Cambria" w:hAnsi="Cambria"/>
                <w:sz w:val="20"/>
                <w:szCs w:val="20"/>
              </w:rPr>
            </w:pPr>
          </w:p>
          <w:p w14:paraId="3E5096F6" w14:textId="77777777" w:rsidR="002F5AFF" w:rsidRPr="004E13E9" w:rsidRDefault="002F5AFF" w:rsidP="0054545D">
            <w:pPr>
              <w:jc w:val="both"/>
              <w:rPr>
                <w:rStyle w:val="ui-provider"/>
                <w:rFonts w:ascii="Cambria" w:hAnsi="Cambria"/>
                <w:sz w:val="20"/>
                <w:szCs w:val="20"/>
              </w:rPr>
            </w:pPr>
          </w:p>
          <w:p w14:paraId="34BC3D86" w14:textId="77777777" w:rsidR="002F5AFF" w:rsidRPr="004E13E9" w:rsidRDefault="002F5AFF" w:rsidP="0054545D">
            <w:pPr>
              <w:jc w:val="both"/>
              <w:rPr>
                <w:rStyle w:val="ui-provider"/>
                <w:rFonts w:ascii="Cambria" w:hAnsi="Cambria"/>
                <w:sz w:val="20"/>
                <w:szCs w:val="20"/>
              </w:rPr>
            </w:pPr>
            <w:r w:rsidRPr="004E13E9">
              <w:rPr>
                <w:rStyle w:val="ui-provider"/>
                <w:rFonts w:ascii="Cambria" w:hAnsi="Cambria"/>
                <w:sz w:val="20"/>
                <w:szCs w:val="20"/>
              </w:rPr>
              <w:t>Loi sur les ressources marines et règlementation relative à l'exploitation des ressources marines sauvages.</w:t>
            </w:r>
          </w:p>
          <w:p w14:paraId="34911592" w14:textId="77777777" w:rsidR="002F5AFF" w:rsidRPr="004E13E9" w:rsidRDefault="002F5AFF" w:rsidP="0054545D">
            <w:pPr>
              <w:jc w:val="both"/>
              <w:rPr>
                <w:rFonts w:ascii="Cambria" w:hAnsi="Cambria"/>
                <w:sz w:val="20"/>
                <w:szCs w:val="20"/>
              </w:rPr>
            </w:pPr>
          </w:p>
          <w:p w14:paraId="3CF55E5A" w14:textId="77777777" w:rsidR="002F5AFF" w:rsidRPr="004E13E9" w:rsidRDefault="002F5AFF" w:rsidP="0054545D">
            <w:pPr>
              <w:jc w:val="both"/>
              <w:rPr>
                <w:rFonts w:ascii="Cambria" w:hAnsi="Cambria"/>
                <w:sz w:val="20"/>
                <w:szCs w:val="20"/>
              </w:rPr>
            </w:pPr>
          </w:p>
          <w:p w14:paraId="2C317425" w14:textId="77777777" w:rsidR="002F5AFF" w:rsidRPr="004E13E9" w:rsidRDefault="002F5AFF" w:rsidP="0054545D">
            <w:pPr>
              <w:jc w:val="both"/>
              <w:rPr>
                <w:rFonts w:ascii="Cambria" w:hAnsi="Cambria"/>
                <w:sz w:val="20"/>
                <w:szCs w:val="20"/>
              </w:rPr>
            </w:pPr>
          </w:p>
          <w:p w14:paraId="004173EE" w14:textId="77777777" w:rsidR="002F5AFF" w:rsidRPr="004E13E9" w:rsidRDefault="002F5AFF" w:rsidP="0054545D">
            <w:pPr>
              <w:jc w:val="both"/>
              <w:rPr>
                <w:rFonts w:ascii="Cambria" w:hAnsi="Cambria"/>
                <w:sz w:val="20"/>
                <w:szCs w:val="20"/>
              </w:rPr>
            </w:pPr>
          </w:p>
          <w:p w14:paraId="6A0925AF"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Réglementations sur un système de déclaration électronique (exigences en matière de carnets de pêche).</w:t>
            </w:r>
          </w:p>
          <w:p w14:paraId="7BF79B90" w14:textId="77777777" w:rsidR="002F5AFF" w:rsidRPr="004E13E9" w:rsidRDefault="002F5AFF" w:rsidP="0054545D">
            <w:pPr>
              <w:jc w:val="both"/>
              <w:rPr>
                <w:rFonts w:ascii="Cambria" w:hAnsi="Cambria"/>
                <w:sz w:val="20"/>
                <w:szCs w:val="20"/>
              </w:rPr>
            </w:pPr>
          </w:p>
          <w:p w14:paraId="6517EE9A" w14:textId="77777777" w:rsidR="002F5AFF" w:rsidRPr="004E13E9" w:rsidRDefault="002F5AFF" w:rsidP="0054545D">
            <w:pPr>
              <w:jc w:val="both"/>
              <w:rPr>
                <w:rFonts w:ascii="Cambria" w:hAnsi="Cambria"/>
                <w:sz w:val="20"/>
                <w:szCs w:val="20"/>
              </w:rPr>
            </w:pPr>
          </w:p>
          <w:p w14:paraId="62297D8F"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Réglementations sur un système de déclaration électronique (exigences en matière de carnets de pêche).</w:t>
            </w:r>
          </w:p>
          <w:p w14:paraId="6CC2BB33"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Règlement sur l’application téléphonique destinée à la pêche côtière.</w:t>
            </w:r>
          </w:p>
          <w:p w14:paraId="05949515"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Règlement sur le débarquement des prises.</w:t>
            </w:r>
          </w:p>
        </w:tc>
        <w:tc>
          <w:tcPr>
            <w:tcW w:w="985" w:type="dxa"/>
          </w:tcPr>
          <w:p w14:paraId="3027FC5B" w14:textId="77777777" w:rsidR="002F5AFF" w:rsidRPr="004E13E9" w:rsidRDefault="002F5AFF" w:rsidP="00E62E84">
            <w:pPr>
              <w:rPr>
                <w:rFonts w:ascii="Cambria" w:hAnsi="Cambria"/>
                <w:color w:val="auto"/>
                <w:sz w:val="20"/>
                <w:szCs w:val="20"/>
              </w:rPr>
            </w:pPr>
          </w:p>
        </w:tc>
      </w:tr>
      <w:tr w:rsidR="002F5AFF" w:rsidRPr="006A2397" w14:paraId="24BC6E1F" w14:textId="77777777" w:rsidTr="0054545D">
        <w:tc>
          <w:tcPr>
            <w:tcW w:w="453" w:type="dxa"/>
          </w:tcPr>
          <w:p w14:paraId="364343CB" w14:textId="77777777" w:rsidR="002F5AFF" w:rsidRPr="004E13E9" w:rsidRDefault="002F5AFF" w:rsidP="00E62E84">
            <w:pPr>
              <w:rPr>
                <w:rFonts w:ascii="Cambria" w:hAnsi="Cambria"/>
                <w:b/>
                <w:color w:val="auto"/>
                <w:sz w:val="20"/>
                <w:szCs w:val="20"/>
              </w:rPr>
            </w:pPr>
            <w:r w:rsidRPr="004E13E9">
              <w:rPr>
                <w:rFonts w:ascii="Cambria" w:hAnsi="Cambria"/>
                <w:b/>
                <w:sz w:val="20"/>
                <w:szCs w:val="20"/>
              </w:rPr>
              <w:t>2</w:t>
            </w:r>
          </w:p>
        </w:tc>
        <w:tc>
          <w:tcPr>
            <w:tcW w:w="2519" w:type="dxa"/>
          </w:tcPr>
          <w:p w14:paraId="4D8C9C36" w14:textId="77777777" w:rsidR="002F5AFF" w:rsidRPr="004E13E9" w:rsidRDefault="002F5AFF" w:rsidP="00E62E84">
            <w:pPr>
              <w:rPr>
                <w:rFonts w:ascii="Cambria" w:hAnsi="Cambria"/>
                <w:b/>
                <w:sz w:val="20"/>
                <w:szCs w:val="20"/>
              </w:rPr>
            </w:pPr>
            <w:r w:rsidRPr="004E13E9">
              <w:rPr>
                <w:rFonts w:ascii="Cambria" w:hAnsi="Cambria"/>
                <w:b/>
                <w:color w:val="auto"/>
                <w:sz w:val="20"/>
                <w:szCs w:val="20"/>
              </w:rPr>
              <w:t>Périodes d’ouverture de la pêche (paragraphes 28-32)</w:t>
            </w:r>
          </w:p>
          <w:p w14:paraId="265198D0" w14:textId="77777777" w:rsidR="002F5AFF" w:rsidRPr="004E13E9" w:rsidRDefault="002F5AFF" w:rsidP="00E62E84">
            <w:pPr>
              <w:rPr>
                <w:rFonts w:ascii="Cambria" w:hAnsi="Cambria"/>
                <w:b/>
                <w:color w:val="auto"/>
                <w:sz w:val="20"/>
                <w:szCs w:val="20"/>
              </w:rPr>
            </w:pPr>
          </w:p>
        </w:tc>
        <w:tc>
          <w:tcPr>
            <w:tcW w:w="2835" w:type="dxa"/>
          </w:tcPr>
          <w:p w14:paraId="23602B32"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La pêche de thon rouge à la seine est autorisée dans la zone économique norvégienne du 25 juin au 15 novembre, conformément à la Rec. 25-04, paragraphe 28.</w:t>
            </w:r>
          </w:p>
          <w:p w14:paraId="3B65E984" w14:textId="77777777" w:rsidR="002F5AFF" w:rsidRPr="004E13E9" w:rsidRDefault="002F5AFF" w:rsidP="0054545D">
            <w:pPr>
              <w:jc w:val="both"/>
              <w:rPr>
                <w:rFonts w:ascii="Cambria" w:hAnsi="Cambria"/>
                <w:color w:val="auto"/>
                <w:sz w:val="20"/>
                <w:szCs w:val="20"/>
              </w:rPr>
            </w:pPr>
          </w:p>
          <w:p w14:paraId="4FBC4A50" w14:textId="77777777" w:rsidR="002F5AFF" w:rsidRPr="004E13E9" w:rsidRDefault="002F5AFF" w:rsidP="0054545D">
            <w:pPr>
              <w:jc w:val="both"/>
              <w:rPr>
                <w:rFonts w:ascii="Cambria" w:hAnsi="Cambria"/>
                <w:color w:val="auto"/>
                <w:sz w:val="20"/>
                <w:szCs w:val="20"/>
              </w:rPr>
            </w:pPr>
            <w:r w:rsidRPr="004E13E9">
              <w:rPr>
                <w:rFonts w:ascii="Cambria" w:hAnsi="Cambria"/>
                <w:color w:val="auto"/>
                <w:sz w:val="20"/>
                <w:szCs w:val="20"/>
              </w:rPr>
              <w:t xml:space="preserve">La pêche par les palangriers sera autorisée dans la zone économique norvégienne du 1er août au 31 décembre. </w:t>
            </w:r>
          </w:p>
          <w:p w14:paraId="057BC558" w14:textId="77777777" w:rsidR="002F5AFF" w:rsidRPr="004E13E9" w:rsidRDefault="002F5AFF" w:rsidP="0054545D">
            <w:pPr>
              <w:jc w:val="both"/>
              <w:rPr>
                <w:rFonts w:ascii="Cambria" w:hAnsi="Cambria"/>
                <w:color w:val="auto"/>
                <w:sz w:val="20"/>
                <w:szCs w:val="20"/>
              </w:rPr>
            </w:pPr>
          </w:p>
          <w:p w14:paraId="784E721E"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Si les conditions météorologiques empêchent les opérations de pêche à la senne pendant la période de pêche autorisée, la Norvège peut, conformément à la Rec. 25-04, paragraphe 29, prolonger la période de pêche des navires concernés pour le nombre équivalent de jours perdus jusqu'à un maximum de dix jours. Les conditions susceptibles d'entraîner une prolongation de la période de pêche doivent correspondre à des vitesses de vent atteignant 4 ou plus sur l'échelle de Beaufort.</w:t>
            </w:r>
          </w:p>
          <w:p w14:paraId="747CEF18" w14:textId="77777777" w:rsidR="002F5AFF" w:rsidRPr="004E13E9" w:rsidRDefault="002F5AFF" w:rsidP="0054545D">
            <w:pPr>
              <w:jc w:val="both"/>
              <w:rPr>
                <w:rFonts w:ascii="Cambria" w:hAnsi="Cambria"/>
                <w:color w:val="auto"/>
                <w:sz w:val="20"/>
                <w:szCs w:val="20"/>
              </w:rPr>
            </w:pPr>
          </w:p>
          <w:p w14:paraId="77ED51D8"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La Norvège a établi une saison de pêche pour les petits navires côtiers dans la zone économique norvégienne du 13 mai au 31 décembre 2026.</w:t>
            </w:r>
          </w:p>
          <w:p w14:paraId="6669BB7C" w14:textId="77777777" w:rsidR="002F5AFF" w:rsidRPr="004E13E9" w:rsidRDefault="002F5AFF" w:rsidP="0054545D">
            <w:pPr>
              <w:jc w:val="both"/>
              <w:rPr>
                <w:rFonts w:ascii="Cambria" w:hAnsi="Cambria"/>
                <w:color w:val="000000" w:themeColor="text1"/>
                <w:sz w:val="20"/>
                <w:szCs w:val="20"/>
              </w:rPr>
            </w:pPr>
          </w:p>
          <w:p w14:paraId="014A732B" w14:textId="77777777" w:rsidR="002F5AFF" w:rsidRPr="004E13E9" w:rsidRDefault="002F5AFF" w:rsidP="0054545D">
            <w:pPr>
              <w:jc w:val="both"/>
              <w:rPr>
                <w:rFonts w:ascii="Cambria" w:hAnsi="Cambria"/>
                <w:color w:val="auto"/>
                <w:sz w:val="20"/>
                <w:szCs w:val="20"/>
              </w:rPr>
            </w:pPr>
            <w:r w:rsidRPr="004E13E9">
              <w:rPr>
                <w:rFonts w:ascii="Cambria" w:hAnsi="Cambria"/>
                <w:color w:val="000000" w:themeColor="text1"/>
                <w:sz w:val="20"/>
                <w:szCs w:val="20"/>
              </w:rPr>
              <w:t>La saison de pêche pour la pêche récréative sera du 13 mai au 31 décembre 2026.</w:t>
            </w:r>
          </w:p>
        </w:tc>
        <w:tc>
          <w:tcPr>
            <w:tcW w:w="2268" w:type="dxa"/>
          </w:tcPr>
          <w:p w14:paraId="2030FA69" w14:textId="77777777" w:rsidR="002F5AFF" w:rsidRPr="004E13E9" w:rsidRDefault="002F5AFF" w:rsidP="0054545D">
            <w:pPr>
              <w:jc w:val="both"/>
              <w:rPr>
                <w:rFonts w:ascii="Cambria" w:hAnsi="Cambria"/>
                <w:color w:val="auto"/>
                <w:sz w:val="20"/>
                <w:szCs w:val="20"/>
              </w:rPr>
            </w:pPr>
            <w:r w:rsidRPr="004E13E9">
              <w:rPr>
                <w:rFonts w:ascii="Cambria" w:hAnsi="Cambria"/>
                <w:color w:val="000000" w:themeColor="text1"/>
                <w:sz w:val="20"/>
                <w:szCs w:val="20"/>
              </w:rPr>
              <w:t>Réglementation de la pêche de thon rouge de 2026, § 3</w:t>
            </w:r>
          </w:p>
        </w:tc>
        <w:tc>
          <w:tcPr>
            <w:tcW w:w="985" w:type="dxa"/>
          </w:tcPr>
          <w:p w14:paraId="1203540F" w14:textId="77777777" w:rsidR="002F5AFF" w:rsidRPr="004E13E9" w:rsidRDefault="002F5AFF" w:rsidP="00E62E84">
            <w:pPr>
              <w:rPr>
                <w:rFonts w:ascii="Cambria" w:hAnsi="Cambria"/>
                <w:color w:val="auto"/>
                <w:sz w:val="20"/>
                <w:szCs w:val="20"/>
              </w:rPr>
            </w:pPr>
          </w:p>
        </w:tc>
      </w:tr>
      <w:tr w:rsidR="002F5AFF" w:rsidRPr="006A2397" w14:paraId="357BCD4E" w14:textId="77777777" w:rsidTr="0054545D">
        <w:tc>
          <w:tcPr>
            <w:tcW w:w="453" w:type="dxa"/>
          </w:tcPr>
          <w:p w14:paraId="6BD972F7" w14:textId="77777777" w:rsidR="002F5AFF" w:rsidRPr="004E13E9" w:rsidRDefault="002F5AFF" w:rsidP="00E62E84">
            <w:pPr>
              <w:rPr>
                <w:rFonts w:ascii="Cambria" w:hAnsi="Cambria"/>
                <w:b/>
                <w:color w:val="auto"/>
                <w:sz w:val="20"/>
                <w:szCs w:val="20"/>
              </w:rPr>
            </w:pPr>
            <w:r w:rsidRPr="004E13E9">
              <w:rPr>
                <w:rFonts w:ascii="Cambria" w:hAnsi="Cambria"/>
                <w:b/>
                <w:sz w:val="20"/>
                <w:szCs w:val="20"/>
              </w:rPr>
              <w:t>3</w:t>
            </w:r>
          </w:p>
        </w:tc>
        <w:tc>
          <w:tcPr>
            <w:tcW w:w="2519" w:type="dxa"/>
          </w:tcPr>
          <w:p w14:paraId="101C4BCE" w14:textId="77777777" w:rsidR="002F5AFF" w:rsidRPr="004E13E9" w:rsidRDefault="002F5AFF" w:rsidP="00E62E84">
            <w:pPr>
              <w:rPr>
                <w:rFonts w:ascii="Cambria" w:hAnsi="Cambria"/>
                <w:b/>
                <w:color w:val="auto"/>
                <w:sz w:val="20"/>
                <w:szCs w:val="20"/>
              </w:rPr>
            </w:pPr>
            <w:r w:rsidRPr="004E13E9">
              <w:rPr>
                <w:rFonts w:ascii="Cambria" w:hAnsi="Cambria"/>
                <w:b/>
                <w:color w:val="auto"/>
                <w:sz w:val="20"/>
                <w:szCs w:val="20"/>
              </w:rPr>
              <w:t>Taille minimale (paragraphes 33-35)</w:t>
            </w:r>
          </w:p>
        </w:tc>
        <w:tc>
          <w:tcPr>
            <w:tcW w:w="2835" w:type="dxa"/>
          </w:tcPr>
          <w:p w14:paraId="2894E671"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 xml:space="preserve">Les navires norvégiens autorisés à pêcher du thon rouge seront autorisés à pêcher uniquement dans les eaux norvégiennes. Aucun spécimen de thon rouge de si petite taille n'a été enregistré dans les pêcheries norvégiennes. Néanmoins, une taille minimale de 30 kg ou 115 cm est applicable. </w:t>
            </w:r>
          </w:p>
          <w:p w14:paraId="73595743" w14:textId="77777777" w:rsidR="002F5AFF" w:rsidRPr="004E13E9" w:rsidRDefault="002F5AFF" w:rsidP="0054545D">
            <w:pPr>
              <w:jc w:val="both"/>
              <w:rPr>
                <w:rFonts w:ascii="Cambria" w:hAnsi="Cambria"/>
                <w:color w:val="auto"/>
                <w:sz w:val="20"/>
                <w:szCs w:val="20"/>
              </w:rPr>
            </w:pPr>
          </w:p>
          <w:p w14:paraId="457599DA"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Pour les navires de capture pêchant activement du thon rouge, une prise accidentelle de 5% maximum de thon rouge pesant entre 8 et 30 kg ou ayant une longueur à la fourche de 75 à 115 cm pourrait être autorisée, conformément à la Rec. 25-04, paragr. 36.</w:t>
            </w:r>
          </w:p>
          <w:p w14:paraId="4B9C2B6B" w14:textId="77777777" w:rsidR="002F5AFF" w:rsidRPr="004E13E9" w:rsidRDefault="002F5AFF" w:rsidP="0054545D">
            <w:pPr>
              <w:jc w:val="both"/>
              <w:rPr>
                <w:rFonts w:ascii="Cambria" w:hAnsi="Cambria"/>
                <w:color w:val="auto"/>
                <w:sz w:val="20"/>
                <w:szCs w:val="20"/>
              </w:rPr>
            </w:pPr>
          </w:p>
          <w:p w14:paraId="413A7EF0"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 xml:space="preserve">Non applicable. </w:t>
            </w:r>
            <w:r w:rsidRPr="004E13E9">
              <w:rPr>
                <w:rFonts w:ascii="Cambria" w:hAnsi="Cambria"/>
                <w:sz w:val="20"/>
                <w:szCs w:val="20"/>
              </w:rPr>
              <w:t>Il n’y a ni canneurs ni ligneurs à lignes de traîne norvégiens autorisés à pêcher du thon rouge dans l’Atlantique Est et aucun navire norvégien n'est autorisé à pêcher du thon rouge en Méditerranée ou dans la mer Adriatique.</w:t>
            </w:r>
          </w:p>
          <w:p w14:paraId="7C249992"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Non applicable.</w:t>
            </w:r>
          </w:p>
          <w:p w14:paraId="232474D2" w14:textId="77777777" w:rsidR="002F5AFF" w:rsidRPr="004E13E9" w:rsidRDefault="002F5AFF" w:rsidP="0054545D">
            <w:pPr>
              <w:jc w:val="both"/>
              <w:rPr>
                <w:rFonts w:ascii="Cambria" w:hAnsi="Cambria"/>
                <w:color w:val="auto"/>
                <w:sz w:val="20"/>
                <w:szCs w:val="20"/>
              </w:rPr>
            </w:pPr>
            <w:r w:rsidRPr="004E13E9">
              <w:rPr>
                <w:rFonts w:ascii="Cambria" w:hAnsi="Cambria"/>
                <w:color w:val="000000" w:themeColor="text1"/>
                <w:sz w:val="20"/>
                <w:szCs w:val="20"/>
              </w:rPr>
              <w:t>Cf. paragraphe 34.</w:t>
            </w:r>
          </w:p>
        </w:tc>
        <w:tc>
          <w:tcPr>
            <w:tcW w:w="2268" w:type="dxa"/>
          </w:tcPr>
          <w:p w14:paraId="48A25CA7" w14:textId="77777777" w:rsidR="002F5AFF" w:rsidRPr="004E13E9" w:rsidRDefault="002F5AFF" w:rsidP="0054545D">
            <w:pPr>
              <w:jc w:val="both"/>
              <w:rPr>
                <w:rStyle w:val="ui-provider"/>
                <w:rFonts w:ascii="Cambria" w:eastAsiaTheme="minorHAnsi" w:hAnsi="Cambria" w:cstheme="minorBidi"/>
                <w:color w:val="auto"/>
                <w:sz w:val="20"/>
                <w:szCs w:val="20"/>
              </w:rPr>
            </w:pPr>
            <w:r w:rsidRPr="004E13E9">
              <w:rPr>
                <w:rStyle w:val="ui-provider"/>
                <w:rFonts w:ascii="Cambria" w:hAnsi="Cambria"/>
                <w:sz w:val="20"/>
                <w:szCs w:val="20"/>
              </w:rPr>
              <w:t>Règlement relatif à l’exploitation des ressources marines sauvages, § 47</w:t>
            </w:r>
          </w:p>
          <w:p w14:paraId="17C94DA2" w14:textId="77777777" w:rsidR="002F5AFF" w:rsidRPr="004E13E9" w:rsidRDefault="002F5AFF" w:rsidP="0054545D">
            <w:pPr>
              <w:jc w:val="both"/>
              <w:rPr>
                <w:rFonts w:ascii="Cambria" w:hAnsi="Cambria"/>
                <w:color w:val="auto"/>
                <w:sz w:val="20"/>
                <w:szCs w:val="20"/>
              </w:rPr>
            </w:pPr>
            <w:r w:rsidRPr="004E13E9">
              <w:rPr>
                <w:rFonts w:ascii="Cambria" w:hAnsi="Cambria"/>
                <w:color w:val="000000" w:themeColor="text1"/>
                <w:sz w:val="20"/>
                <w:szCs w:val="20"/>
              </w:rPr>
              <w:t>Réglementations de la pêche de thon rouge de 2026, § 2.</w:t>
            </w:r>
          </w:p>
        </w:tc>
        <w:tc>
          <w:tcPr>
            <w:tcW w:w="985" w:type="dxa"/>
          </w:tcPr>
          <w:p w14:paraId="20B406F6" w14:textId="77777777" w:rsidR="002F5AFF" w:rsidRPr="004E13E9" w:rsidRDefault="002F5AFF" w:rsidP="00E62E84">
            <w:pPr>
              <w:rPr>
                <w:rFonts w:ascii="Cambria" w:hAnsi="Cambria"/>
                <w:color w:val="auto"/>
                <w:sz w:val="20"/>
                <w:szCs w:val="20"/>
              </w:rPr>
            </w:pPr>
          </w:p>
        </w:tc>
      </w:tr>
      <w:tr w:rsidR="002F5AFF" w:rsidRPr="006A2397" w14:paraId="0AD4DAD8" w14:textId="77777777" w:rsidTr="0054545D">
        <w:tc>
          <w:tcPr>
            <w:tcW w:w="453" w:type="dxa"/>
          </w:tcPr>
          <w:p w14:paraId="697FFD2E" w14:textId="77777777" w:rsidR="002F5AFF" w:rsidRPr="004E13E9" w:rsidRDefault="002F5AFF" w:rsidP="00E62E84">
            <w:pPr>
              <w:rPr>
                <w:rFonts w:ascii="Cambria" w:hAnsi="Cambria"/>
                <w:b/>
                <w:color w:val="auto"/>
                <w:sz w:val="20"/>
                <w:szCs w:val="20"/>
              </w:rPr>
            </w:pPr>
            <w:r w:rsidRPr="004E13E9">
              <w:rPr>
                <w:rFonts w:ascii="Cambria" w:hAnsi="Cambria"/>
                <w:b/>
                <w:sz w:val="20"/>
                <w:szCs w:val="20"/>
              </w:rPr>
              <w:t>4</w:t>
            </w:r>
          </w:p>
        </w:tc>
        <w:tc>
          <w:tcPr>
            <w:tcW w:w="2519" w:type="dxa"/>
          </w:tcPr>
          <w:p w14:paraId="6E20B15D" w14:textId="77777777" w:rsidR="002F5AFF" w:rsidRPr="004E13E9" w:rsidRDefault="002F5AFF" w:rsidP="00E62E84">
            <w:pPr>
              <w:rPr>
                <w:rFonts w:ascii="Cambria" w:hAnsi="Cambria"/>
                <w:b/>
                <w:color w:val="auto"/>
                <w:sz w:val="20"/>
                <w:szCs w:val="20"/>
              </w:rPr>
            </w:pPr>
            <w:r w:rsidRPr="004E13E9">
              <w:rPr>
                <w:rFonts w:ascii="Cambria" w:hAnsi="Cambria"/>
                <w:b/>
                <w:color w:val="auto"/>
                <w:sz w:val="20"/>
                <w:szCs w:val="20"/>
              </w:rPr>
              <w:t>Prises accessoires (paragraphe 37, incluant le % de réserve)</w:t>
            </w:r>
          </w:p>
        </w:tc>
        <w:tc>
          <w:tcPr>
            <w:tcW w:w="2835" w:type="dxa"/>
          </w:tcPr>
          <w:p w14:paraId="77412CF3" w14:textId="77777777" w:rsidR="002F5AFF" w:rsidRPr="004E13E9" w:rsidRDefault="002F5AFF" w:rsidP="0054545D">
            <w:pPr>
              <w:jc w:val="both"/>
              <w:rPr>
                <w:rFonts w:ascii="Cambria" w:hAnsi="Cambria"/>
                <w:sz w:val="20"/>
                <w:szCs w:val="20"/>
              </w:rPr>
            </w:pPr>
            <w:r w:rsidRPr="004E13E9">
              <w:rPr>
                <w:rFonts w:ascii="Cambria" w:hAnsi="Cambria"/>
                <w:sz w:val="20"/>
                <w:szCs w:val="20"/>
              </w:rPr>
              <w:t xml:space="preserve">La Norvège a alloué un quota de 10 t pour les prises accessoires de thon rouge dans d’autres pêcheries en </w:t>
            </w:r>
            <w:r w:rsidRPr="004E13E9">
              <w:rPr>
                <w:rFonts w:ascii="Cambria" w:hAnsi="Cambria"/>
                <w:color w:val="000000" w:themeColor="text1"/>
                <w:sz w:val="20"/>
                <w:szCs w:val="20"/>
              </w:rPr>
              <w:t>2026</w:t>
            </w:r>
            <w:r w:rsidRPr="004E13E9">
              <w:rPr>
                <w:rFonts w:ascii="Cambria" w:hAnsi="Cambria"/>
                <w:sz w:val="20"/>
                <w:szCs w:val="20"/>
              </w:rPr>
              <w:t>. À titre de comparaison, les prises accessoires en 2025 s’élevaient à 3,4 t.</w:t>
            </w:r>
          </w:p>
          <w:p w14:paraId="1A666356" w14:textId="77777777" w:rsidR="002F5AFF" w:rsidRPr="004E13E9" w:rsidRDefault="002F5AFF" w:rsidP="0054545D">
            <w:pPr>
              <w:jc w:val="both"/>
              <w:rPr>
                <w:rFonts w:ascii="Cambria" w:hAnsi="Cambria"/>
                <w:sz w:val="20"/>
                <w:szCs w:val="20"/>
              </w:rPr>
            </w:pPr>
          </w:p>
          <w:p w14:paraId="64FD93DC"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Les prises accessoires de thon rouge dans les pêcheries norvégiennes surviennent dans le cadre de pêcheries non réglementées par l’ICCAT, comme la pêcherie de maquereau et de merlan bleu, ainsi que les thons rouges qui nagent vers les fermes. Les variations annuelles de ces pêcheries se reflètent dans le nombre de prises accessoires.</w:t>
            </w:r>
          </w:p>
          <w:p w14:paraId="6F1E52E9" w14:textId="77777777" w:rsidR="002F5AFF" w:rsidRPr="004E13E9" w:rsidRDefault="002F5AFF" w:rsidP="0054545D">
            <w:pPr>
              <w:jc w:val="both"/>
              <w:rPr>
                <w:rFonts w:ascii="Cambria" w:hAnsi="Cambria"/>
                <w:sz w:val="20"/>
                <w:szCs w:val="20"/>
              </w:rPr>
            </w:pPr>
          </w:p>
          <w:p w14:paraId="795F9560"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Toutes les prises accessoires de thons rouges morts devront être débarquées et déduites du quota norvégien et déclarées à l’ICCAT sur une base annuelle.</w:t>
            </w:r>
          </w:p>
          <w:p w14:paraId="62F270E5" w14:textId="77777777" w:rsidR="002F5AFF" w:rsidRPr="004E13E9" w:rsidRDefault="002F5AFF" w:rsidP="0054545D">
            <w:pPr>
              <w:jc w:val="both"/>
              <w:rPr>
                <w:rFonts w:ascii="Cambria" w:hAnsi="Cambria"/>
                <w:color w:val="auto"/>
                <w:sz w:val="20"/>
                <w:szCs w:val="20"/>
              </w:rPr>
            </w:pPr>
          </w:p>
          <w:p w14:paraId="09E1E620"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 xml:space="preserve">Si aucun quota n'a été attribué au navire de pêche concerné, ou si celui-ci a déjà été épuisé, le navire de capture prendra les mesures nécessaires pour assurer la remise à l’eau du thon rouge. Si le thon rouge est mort, il devra être débarqué et l’action de suivi appropriée devra être prise conformément à la législation nationale. </w:t>
            </w:r>
          </w:p>
          <w:p w14:paraId="3A460070" w14:textId="77777777" w:rsidR="002F5AFF" w:rsidRPr="004E13E9" w:rsidRDefault="002F5AFF" w:rsidP="0054545D">
            <w:pPr>
              <w:jc w:val="both"/>
              <w:rPr>
                <w:rFonts w:ascii="Cambria" w:hAnsi="Cambria"/>
                <w:color w:val="auto"/>
                <w:sz w:val="20"/>
                <w:szCs w:val="20"/>
              </w:rPr>
            </w:pPr>
            <w:r w:rsidRPr="004E13E9">
              <w:rPr>
                <w:rFonts w:ascii="Cambria" w:hAnsi="Cambria"/>
                <w:color w:val="000000" w:themeColor="text1"/>
                <w:sz w:val="20"/>
                <w:szCs w:val="20"/>
              </w:rPr>
              <w:t>Pour les navires qui ne pêchent pas activement le thon rouge, toute quantité de thon rouge conservée à bord devra être clairement séparée des autres espèces de poissons afin de permettre aux autorités de contrôle de surveiller le respect de cette règle.</w:t>
            </w:r>
          </w:p>
        </w:tc>
        <w:tc>
          <w:tcPr>
            <w:tcW w:w="2268" w:type="dxa"/>
          </w:tcPr>
          <w:p w14:paraId="2A8BA5FA" w14:textId="77777777" w:rsidR="002F5AFF" w:rsidRPr="004E13E9" w:rsidRDefault="002F5AFF" w:rsidP="0054545D">
            <w:pPr>
              <w:jc w:val="both"/>
              <w:rPr>
                <w:rFonts w:ascii="Cambria" w:hAnsi="Cambria"/>
                <w:color w:val="auto"/>
                <w:sz w:val="20"/>
                <w:szCs w:val="20"/>
              </w:rPr>
            </w:pPr>
            <w:r w:rsidRPr="004E13E9">
              <w:rPr>
                <w:rFonts w:ascii="Cambria" w:hAnsi="Cambria"/>
                <w:color w:val="000000" w:themeColor="text1"/>
                <w:sz w:val="20"/>
                <w:szCs w:val="20"/>
              </w:rPr>
              <w:t>Réglementation de la pêche au thon rouge en 2026, §§ 2 et 7.</w:t>
            </w:r>
          </w:p>
        </w:tc>
        <w:tc>
          <w:tcPr>
            <w:tcW w:w="985" w:type="dxa"/>
          </w:tcPr>
          <w:p w14:paraId="4A6B20C4" w14:textId="77777777" w:rsidR="002F5AFF" w:rsidRPr="004E13E9" w:rsidRDefault="002F5AFF" w:rsidP="00E62E84">
            <w:pPr>
              <w:rPr>
                <w:rFonts w:ascii="Cambria" w:hAnsi="Cambria"/>
                <w:color w:val="auto"/>
                <w:sz w:val="20"/>
                <w:szCs w:val="20"/>
              </w:rPr>
            </w:pPr>
          </w:p>
        </w:tc>
      </w:tr>
      <w:tr w:rsidR="002F5AFF" w:rsidRPr="006A2397" w14:paraId="5ED58CA0" w14:textId="77777777" w:rsidTr="0054545D">
        <w:tc>
          <w:tcPr>
            <w:tcW w:w="453" w:type="dxa"/>
          </w:tcPr>
          <w:p w14:paraId="22DC4991" w14:textId="77777777" w:rsidR="002F5AFF" w:rsidRPr="004E13E9" w:rsidRDefault="002F5AFF" w:rsidP="00E62E84">
            <w:pPr>
              <w:rPr>
                <w:rFonts w:ascii="Cambria" w:hAnsi="Cambria"/>
                <w:b/>
                <w:color w:val="auto"/>
                <w:sz w:val="20"/>
                <w:szCs w:val="20"/>
              </w:rPr>
            </w:pPr>
            <w:r w:rsidRPr="004E13E9">
              <w:rPr>
                <w:rFonts w:ascii="Cambria" w:hAnsi="Cambria"/>
                <w:b/>
                <w:sz w:val="20"/>
                <w:szCs w:val="20"/>
              </w:rPr>
              <w:t>5</w:t>
            </w:r>
          </w:p>
        </w:tc>
        <w:tc>
          <w:tcPr>
            <w:tcW w:w="2519" w:type="dxa"/>
          </w:tcPr>
          <w:p w14:paraId="77FF02E2" w14:textId="77777777" w:rsidR="002F5AFF" w:rsidRPr="004E13E9" w:rsidRDefault="002F5AFF" w:rsidP="00E62E84">
            <w:pPr>
              <w:rPr>
                <w:rFonts w:ascii="Cambria" w:hAnsi="Cambria"/>
                <w:b/>
                <w:color w:val="auto"/>
                <w:sz w:val="20"/>
                <w:szCs w:val="20"/>
              </w:rPr>
            </w:pPr>
            <w:r w:rsidRPr="004E13E9">
              <w:rPr>
                <w:rFonts w:ascii="Cambria" w:hAnsi="Cambria"/>
                <w:b/>
                <w:bCs/>
                <w:color w:val="auto"/>
                <w:sz w:val="20"/>
                <w:szCs w:val="20"/>
              </w:rPr>
              <w:t>Pêcheries récréatives et sportives (paragraphes 38-46)</w:t>
            </w:r>
          </w:p>
        </w:tc>
        <w:tc>
          <w:tcPr>
            <w:tcW w:w="2835" w:type="dxa"/>
          </w:tcPr>
          <w:p w14:paraId="0D1E95AF" w14:textId="77777777" w:rsidR="002F5AFF" w:rsidRPr="004E13E9" w:rsidRDefault="002F5AFF" w:rsidP="0054545D">
            <w:pPr>
              <w:jc w:val="both"/>
              <w:rPr>
                <w:rFonts w:ascii="Cambria" w:hAnsi="Cambria"/>
                <w:sz w:val="20"/>
                <w:szCs w:val="20"/>
              </w:rPr>
            </w:pPr>
            <w:r w:rsidRPr="004E13E9">
              <w:rPr>
                <w:rFonts w:ascii="Cambria" w:hAnsi="Cambria"/>
                <w:sz w:val="20"/>
                <w:szCs w:val="20"/>
              </w:rPr>
              <w:t>En 2025, la Norvège a délivré des autorisations de pêche à 94 équipes participant à une pêcherie récréative ; 43 d’entre elles ont également été autorisées à participer à une pêcherie de marquage et remise à l'eau. Nous prévoyons que le nombre de navires en 2026 augmente légèrement.</w:t>
            </w:r>
          </w:p>
          <w:p w14:paraId="69611E88"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 xml:space="preserve">La pêcherie de marquage et de remise à l’eau se conforme aux exigences de la Rec. 25-04, </w:t>
            </w:r>
            <w:r w:rsidRPr="004E13E9">
              <w:rPr>
                <w:rStyle w:val="ui-provider"/>
                <w:rFonts w:ascii="Cambria" w:hAnsi="Cambria"/>
                <w:sz w:val="20"/>
                <w:szCs w:val="20"/>
              </w:rPr>
              <w:t>§ </w:t>
            </w:r>
            <w:r w:rsidRPr="004E13E9">
              <w:rPr>
                <w:rFonts w:ascii="Cambria" w:hAnsi="Cambria"/>
                <w:color w:val="000000" w:themeColor="text1"/>
                <w:sz w:val="20"/>
                <w:szCs w:val="20"/>
              </w:rPr>
              <w:t>44.</w:t>
            </w:r>
          </w:p>
          <w:p w14:paraId="4DDD3DF1" w14:textId="77777777" w:rsidR="002F5AFF" w:rsidRPr="004E13E9" w:rsidRDefault="002F5AFF" w:rsidP="0054545D">
            <w:pPr>
              <w:jc w:val="both"/>
              <w:rPr>
                <w:rFonts w:ascii="Cambria" w:hAnsi="Cambria"/>
                <w:sz w:val="20"/>
                <w:szCs w:val="20"/>
              </w:rPr>
            </w:pPr>
          </w:p>
          <w:p w14:paraId="3B9E2E07"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La législation norvégienne prévoit que tout le poisson mort, incluant les spécimens capturés dans le cadre de la pêche récréative et de marquage et remise à l’eau, devra être débarqué. La règlementation norvégienne de la pêche de thon rouge contient des mesures qui interdisent aux navires de pêche récréative et de marquage et remise à l'eau de débarquer plus d'un thon rouge par navire et par jour.</w:t>
            </w:r>
          </w:p>
          <w:p w14:paraId="3E589677"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 xml:space="preserve"> </w:t>
            </w:r>
          </w:p>
          <w:p w14:paraId="6791177D"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La Norvège a interdit la commercialisation du thon rouge capturé dans le cadre de la pêche récréative et de marquage et remise à l’eau.</w:t>
            </w:r>
          </w:p>
          <w:p w14:paraId="443F0275" w14:textId="77777777" w:rsidR="002F5AFF" w:rsidRPr="004E13E9" w:rsidRDefault="002F5AFF" w:rsidP="0054545D">
            <w:pPr>
              <w:jc w:val="both"/>
              <w:rPr>
                <w:rFonts w:ascii="Cambria" w:eastAsia="Cambria" w:hAnsi="Cambria" w:cs="Cambria"/>
                <w:color w:val="000000" w:themeColor="text1"/>
                <w:sz w:val="20"/>
                <w:szCs w:val="20"/>
              </w:rPr>
            </w:pPr>
          </w:p>
          <w:p w14:paraId="404E197F"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 xml:space="preserve">Les données, y compris le poids de chaque thon rouge capturé dans le cadre de la pêche récréative et de marquage et remise à l’eau, seront communiquées au Secrétariat de l'ICCAT au titre de l'année précédente avant le 31 juillet de chaque année. </w:t>
            </w:r>
          </w:p>
          <w:p w14:paraId="0F34F28F"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 xml:space="preserve"> </w:t>
            </w:r>
          </w:p>
          <w:p w14:paraId="7D4A0E1E"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Les prises de thon rouge mort des pêcheries récréatives et de marquage et remise à l’eau seront décomptées du quota norvégien. Huit (8) t du quota norvégien sont réservées pour couvrir les captures d'une pêcherie récréative, et 2 t du quota norvégien sont réservées pour couvrir tout thon rouge qui pourrait mourir pendant les activités de marquage et remise à l'eau.</w:t>
            </w:r>
          </w:p>
          <w:p w14:paraId="1D0CA19E"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 xml:space="preserve"> </w:t>
            </w:r>
          </w:p>
          <w:p w14:paraId="08A0E2AC"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La Norvège prendra des mesures pour garantir, dans toute la mesure du possible, la remise à l'eau des thons rouges capturés vivants dans les pêcheries récréatives si aucun quota n'a été attribué au navire ou si le quota a été épuisé.</w:t>
            </w:r>
          </w:p>
          <w:p w14:paraId="1F24A3C6" w14:textId="77777777" w:rsidR="002F5AFF" w:rsidRPr="004E13E9" w:rsidRDefault="002F5AFF" w:rsidP="0054545D">
            <w:pPr>
              <w:jc w:val="both"/>
              <w:rPr>
                <w:rFonts w:ascii="Cambria" w:hAnsi="Cambria"/>
                <w:sz w:val="20"/>
                <w:szCs w:val="20"/>
              </w:rPr>
            </w:pPr>
          </w:p>
          <w:p w14:paraId="5BAB9AC0"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 xml:space="preserve">Seuls les navires disposant d'un permis délivré par la Direction norvégienne des pêches sont autorisés à participer à la pêcherie de marquage et remise à l'eau. Les navires doivent également être autorisés par les autorités compétentes à effectuer le processus de marquage. La licence de participation à la pêcherie de marquage et remise à l'eau, ainsi que l'autorisation de procéder au marquage, seront retirées si le navire ne respecte pas les conditions de la licence/autorisation. </w:t>
            </w:r>
          </w:p>
          <w:p w14:paraId="615C9DF3" w14:textId="77777777" w:rsidR="002F5AFF" w:rsidRPr="004E13E9" w:rsidRDefault="002F5AFF" w:rsidP="0054545D">
            <w:pPr>
              <w:jc w:val="both"/>
              <w:rPr>
                <w:rFonts w:ascii="Cambria" w:hAnsi="Cambria"/>
                <w:sz w:val="20"/>
                <w:szCs w:val="20"/>
              </w:rPr>
            </w:pPr>
          </w:p>
          <w:p w14:paraId="39246A30"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 xml:space="preserve">Tous les navires participant à la pêcherie de marquage et remise à l'eau seront étroitement surveillés par la Direction des pêches. </w:t>
            </w:r>
          </w:p>
          <w:p w14:paraId="450A9764" w14:textId="77777777" w:rsidR="002F5AFF" w:rsidRPr="004E13E9" w:rsidRDefault="002F5AFF" w:rsidP="0054545D">
            <w:pPr>
              <w:jc w:val="both"/>
              <w:rPr>
                <w:rFonts w:ascii="Cambria" w:hAnsi="Cambria"/>
                <w:sz w:val="20"/>
                <w:szCs w:val="20"/>
              </w:rPr>
            </w:pPr>
          </w:p>
          <w:p w14:paraId="425EBD02"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La Norvège rendra compte des activités de marquage et de remise à l'eau conformément à la Rec. 11-06.</w:t>
            </w:r>
          </w:p>
          <w:p w14:paraId="4785BBDC" w14:textId="77777777" w:rsidR="002F5AFF" w:rsidRPr="004E13E9" w:rsidRDefault="002F5AFF" w:rsidP="0054545D">
            <w:pPr>
              <w:jc w:val="both"/>
              <w:rPr>
                <w:rFonts w:ascii="Cambria" w:hAnsi="Cambria"/>
                <w:sz w:val="20"/>
                <w:szCs w:val="20"/>
              </w:rPr>
            </w:pPr>
          </w:p>
          <w:p w14:paraId="7084C15C"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Tout thon rouge qui meurt pendant les activités de marquage et de remise à l'eau devra être déclaré et déduit du quota norvégien.</w:t>
            </w:r>
          </w:p>
          <w:p w14:paraId="2FFAC97A" w14:textId="77777777" w:rsidR="002F5AFF" w:rsidRPr="004E13E9" w:rsidRDefault="002F5AFF" w:rsidP="0054545D">
            <w:pPr>
              <w:jc w:val="both"/>
              <w:rPr>
                <w:rFonts w:ascii="Cambria" w:eastAsia="Cambria" w:hAnsi="Cambria" w:cs="Cambria"/>
                <w:color w:val="000000" w:themeColor="text1"/>
                <w:sz w:val="20"/>
                <w:szCs w:val="20"/>
              </w:rPr>
            </w:pPr>
          </w:p>
          <w:p w14:paraId="43102C41"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La Norvège fournira, à la demande de l’ICCAT, la liste des navires sportifs et récréatifs qui ont reçu une autorisation.</w:t>
            </w:r>
          </w:p>
          <w:p w14:paraId="5E7E98C5" w14:textId="26A5E56F" w:rsidR="002F5AFF" w:rsidRPr="004E13E9" w:rsidRDefault="002F5AFF" w:rsidP="0054545D">
            <w:pPr>
              <w:jc w:val="both"/>
              <w:rPr>
                <w:rFonts w:ascii="Cambria" w:hAnsi="Cambria"/>
                <w:sz w:val="20"/>
                <w:szCs w:val="20"/>
              </w:rPr>
            </w:pPr>
          </w:p>
          <w:p w14:paraId="39B7B1A2"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La liste des navires sportifs et récréatifs comprendra les informations spécifiées dans la Rec. 25-04, § 46.</w:t>
            </w:r>
          </w:p>
          <w:p w14:paraId="57265530" w14:textId="77777777" w:rsidR="002F5AFF" w:rsidRPr="004E13E9" w:rsidRDefault="002F5AFF" w:rsidP="0054545D">
            <w:pPr>
              <w:jc w:val="both"/>
              <w:rPr>
                <w:rFonts w:ascii="Cambria" w:hAnsi="Cambria"/>
                <w:color w:val="auto"/>
                <w:sz w:val="20"/>
                <w:szCs w:val="20"/>
              </w:rPr>
            </w:pPr>
          </w:p>
        </w:tc>
        <w:tc>
          <w:tcPr>
            <w:tcW w:w="2268" w:type="dxa"/>
          </w:tcPr>
          <w:p w14:paraId="749EFB42"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Réglementations concernant la pêcherie de thon rouge de 2026, § 5.</w:t>
            </w:r>
          </w:p>
          <w:p w14:paraId="121A179A" w14:textId="77777777" w:rsidR="002F5AFF" w:rsidRPr="004E13E9" w:rsidRDefault="002F5AFF" w:rsidP="0054545D">
            <w:pPr>
              <w:jc w:val="both"/>
              <w:rPr>
                <w:rFonts w:ascii="Cambria" w:hAnsi="Cambria"/>
                <w:color w:val="auto"/>
                <w:sz w:val="20"/>
                <w:szCs w:val="20"/>
              </w:rPr>
            </w:pPr>
          </w:p>
          <w:p w14:paraId="0E0835E8" w14:textId="77777777" w:rsidR="002F5AFF" w:rsidRPr="004E13E9" w:rsidRDefault="002F5AFF" w:rsidP="0054545D">
            <w:pPr>
              <w:jc w:val="both"/>
              <w:rPr>
                <w:rFonts w:ascii="Cambria" w:hAnsi="Cambria"/>
                <w:sz w:val="20"/>
                <w:szCs w:val="20"/>
              </w:rPr>
            </w:pPr>
          </w:p>
          <w:p w14:paraId="6C08B947" w14:textId="77777777" w:rsidR="002F5AFF" w:rsidRPr="004E13E9" w:rsidRDefault="002F5AFF" w:rsidP="0054545D">
            <w:pPr>
              <w:jc w:val="both"/>
              <w:rPr>
                <w:rFonts w:ascii="Cambria" w:hAnsi="Cambria"/>
                <w:sz w:val="20"/>
                <w:szCs w:val="20"/>
              </w:rPr>
            </w:pPr>
          </w:p>
          <w:p w14:paraId="25B8DB3F" w14:textId="77777777" w:rsidR="002F5AFF" w:rsidRPr="004E13E9" w:rsidRDefault="002F5AFF" w:rsidP="0054545D">
            <w:pPr>
              <w:jc w:val="both"/>
              <w:rPr>
                <w:rFonts w:ascii="Cambria" w:hAnsi="Cambria"/>
                <w:sz w:val="20"/>
                <w:szCs w:val="20"/>
              </w:rPr>
            </w:pPr>
          </w:p>
          <w:p w14:paraId="3FBFBC81" w14:textId="77777777" w:rsidR="002F5AFF" w:rsidRPr="004E13E9" w:rsidRDefault="002F5AFF" w:rsidP="0054545D">
            <w:pPr>
              <w:jc w:val="both"/>
              <w:rPr>
                <w:rFonts w:ascii="Cambria" w:hAnsi="Cambria"/>
                <w:sz w:val="20"/>
                <w:szCs w:val="20"/>
              </w:rPr>
            </w:pPr>
          </w:p>
          <w:p w14:paraId="39AF78AE" w14:textId="77777777" w:rsidR="002F5AFF" w:rsidRPr="004E13E9" w:rsidRDefault="002F5AFF" w:rsidP="0054545D">
            <w:pPr>
              <w:jc w:val="both"/>
              <w:rPr>
                <w:rFonts w:ascii="Cambria" w:hAnsi="Cambria"/>
                <w:sz w:val="20"/>
                <w:szCs w:val="20"/>
              </w:rPr>
            </w:pPr>
          </w:p>
          <w:p w14:paraId="1BB5808F" w14:textId="77777777" w:rsidR="002F5AFF" w:rsidRPr="004E13E9" w:rsidRDefault="002F5AFF" w:rsidP="0054545D">
            <w:pPr>
              <w:jc w:val="both"/>
              <w:rPr>
                <w:rFonts w:ascii="Cambria" w:hAnsi="Cambria"/>
                <w:sz w:val="20"/>
                <w:szCs w:val="20"/>
              </w:rPr>
            </w:pPr>
          </w:p>
          <w:p w14:paraId="1D119D28" w14:textId="77777777" w:rsidR="002F5AFF" w:rsidRPr="004E13E9" w:rsidRDefault="002F5AFF" w:rsidP="0054545D">
            <w:pPr>
              <w:jc w:val="both"/>
              <w:rPr>
                <w:rFonts w:ascii="Cambria" w:hAnsi="Cambria"/>
                <w:sz w:val="20"/>
                <w:szCs w:val="20"/>
              </w:rPr>
            </w:pPr>
          </w:p>
          <w:p w14:paraId="47C6CBA4" w14:textId="77777777" w:rsidR="002F5AFF" w:rsidRPr="004E13E9" w:rsidRDefault="002F5AFF" w:rsidP="0054545D">
            <w:pPr>
              <w:jc w:val="both"/>
              <w:rPr>
                <w:rFonts w:ascii="Cambria" w:hAnsi="Cambria"/>
                <w:sz w:val="20"/>
                <w:szCs w:val="20"/>
              </w:rPr>
            </w:pPr>
          </w:p>
          <w:p w14:paraId="307F30B0" w14:textId="77777777" w:rsidR="002F5AFF" w:rsidRPr="004E13E9" w:rsidRDefault="002F5AFF" w:rsidP="0054545D">
            <w:pPr>
              <w:jc w:val="both"/>
              <w:rPr>
                <w:rFonts w:ascii="Cambria" w:hAnsi="Cambria"/>
                <w:sz w:val="20"/>
                <w:szCs w:val="20"/>
              </w:rPr>
            </w:pPr>
          </w:p>
          <w:p w14:paraId="1A7BAF2D" w14:textId="77777777" w:rsidR="002F5AFF" w:rsidRPr="004E13E9" w:rsidRDefault="002F5AFF" w:rsidP="0054545D">
            <w:pPr>
              <w:jc w:val="both"/>
              <w:rPr>
                <w:rFonts w:ascii="Cambria" w:hAnsi="Cambria"/>
                <w:sz w:val="20"/>
                <w:szCs w:val="20"/>
              </w:rPr>
            </w:pPr>
          </w:p>
          <w:p w14:paraId="15FBFFA8" w14:textId="77777777" w:rsidR="002F5AFF" w:rsidRPr="004E13E9" w:rsidRDefault="002F5AFF" w:rsidP="0054545D">
            <w:pPr>
              <w:jc w:val="both"/>
              <w:rPr>
                <w:rStyle w:val="ui-provider"/>
                <w:rFonts w:ascii="Cambria" w:hAnsi="Cambria"/>
                <w:sz w:val="20"/>
                <w:szCs w:val="20"/>
              </w:rPr>
            </w:pPr>
          </w:p>
          <w:p w14:paraId="7F8B8D3E" w14:textId="77777777" w:rsidR="002F5AFF" w:rsidRPr="004E13E9" w:rsidRDefault="002F5AFF" w:rsidP="0054545D">
            <w:pPr>
              <w:jc w:val="both"/>
              <w:rPr>
                <w:rStyle w:val="ui-provider"/>
                <w:rFonts w:ascii="Cambria" w:hAnsi="Cambria"/>
                <w:sz w:val="20"/>
                <w:szCs w:val="20"/>
              </w:rPr>
            </w:pPr>
          </w:p>
          <w:p w14:paraId="27B69316" w14:textId="77777777" w:rsidR="002F5AFF" w:rsidRPr="004E13E9" w:rsidRDefault="002F5AFF" w:rsidP="0054545D">
            <w:pPr>
              <w:jc w:val="both"/>
              <w:rPr>
                <w:rStyle w:val="ui-provider"/>
                <w:rFonts w:ascii="Cambria" w:eastAsiaTheme="minorHAnsi" w:hAnsi="Cambria" w:cstheme="minorBidi"/>
                <w:color w:val="auto"/>
                <w:sz w:val="20"/>
                <w:szCs w:val="20"/>
              </w:rPr>
            </w:pPr>
            <w:r w:rsidRPr="004E13E9">
              <w:rPr>
                <w:rStyle w:val="ui-provider"/>
                <w:rFonts w:ascii="Cambria" w:hAnsi="Cambria"/>
                <w:sz w:val="20"/>
                <w:szCs w:val="20"/>
              </w:rPr>
              <w:t>Règlementations relatives à l’exploitation des ressources marines sauvages, § 47.</w:t>
            </w:r>
          </w:p>
          <w:p w14:paraId="22358DBC" w14:textId="77777777" w:rsidR="002F5AFF" w:rsidRPr="004E13E9" w:rsidRDefault="002F5AFF" w:rsidP="0054545D">
            <w:pPr>
              <w:jc w:val="both"/>
              <w:rPr>
                <w:rFonts w:ascii="Cambria" w:hAnsi="Cambria"/>
                <w:color w:val="000000" w:themeColor="text1"/>
                <w:sz w:val="20"/>
                <w:szCs w:val="20"/>
              </w:rPr>
            </w:pPr>
          </w:p>
          <w:p w14:paraId="7B8B177F"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Réglementations de la pêche de thon rouge de 2026, § 13.</w:t>
            </w:r>
          </w:p>
          <w:p w14:paraId="221157CD" w14:textId="77777777" w:rsidR="002F5AFF" w:rsidRPr="004E13E9" w:rsidRDefault="002F5AFF" w:rsidP="0054545D">
            <w:pPr>
              <w:jc w:val="both"/>
              <w:rPr>
                <w:rFonts w:ascii="Cambria" w:hAnsi="Cambria"/>
                <w:sz w:val="20"/>
                <w:szCs w:val="20"/>
              </w:rPr>
            </w:pPr>
          </w:p>
          <w:p w14:paraId="0E622646" w14:textId="77777777" w:rsidR="002F5AFF" w:rsidRPr="004E13E9" w:rsidRDefault="002F5AFF" w:rsidP="0054545D">
            <w:pPr>
              <w:jc w:val="both"/>
              <w:rPr>
                <w:rFonts w:ascii="Cambria" w:hAnsi="Cambria"/>
                <w:sz w:val="20"/>
                <w:szCs w:val="20"/>
              </w:rPr>
            </w:pPr>
          </w:p>
          <w:p w14:paraId="6662F3E4" w14:textId="77777777" w:rsidR="002F5AFF" w:rsidRPr="004E13E9" w:rsidRDefault="002F5AFF" w:rsidP="0054545D">
            <w:pPr>
              <w:jc w:val="both"/>
              <w:rPr>
                <w:rFonts w:ascii="Cambria" w:hAnsi="Cambria"/>
                <w:sz w:val="20"/>
                <w:szCs w:val="20"/>
              </w:rPr>
            </w:pPr>
          </w:p>
          <w:p w14:paraId="7D334EF6" w14:textId="77777777" w:rsidR="002F5AFF" w:rsidRPr="004E13E9" w:rsidRDefault="002F5AFF" w:rsidP="0054545D">
            <w:pPr>
              <w:jc w:val="both"/>
              <w:rPr>
                <w:rFonts w:ascii="Cambria" w:hAnsi="Cambria"/>
                <w:sz w:val="20"/>
                <w:szCs w:val="20"/>
              </w:rPr>
            </w:pPr>
          </w:p>
          <w:p w14:paraId="34692B1B" w14:textId="77777777" w:rsidR="002F5AFF" w:rsidRPr="004E13E9" w:rsidRDefault="002F5AFF" w:rsidP="0054545D">
            <w:pPr>
              <w:jc w:val="both"/>
              <w:rPr>
                <w:rFonts w:ascii="Cambria" w:hAnsi="Cambria"/>
                <w:sz w:val="20"/>
                <w:szCs w:val="20"/>
              </w:rPr>
            </w:pPr>
          </w:p>
          <w:p w14:paraId="41A7687A" w14:textId="77777777" w:rsidR="002F5AFF" w:rsidRPr="004E13E9" w:rsidRDefault="002F5AFF" w:rsidP="0054545D">
            <w:pPr>
              <w:jc w:val="both"/>
              <w:rPr>
                <w:rFonts w:ascii="Cambria" w:hAnsi="Cambria"/>
                <w:sz w:val="20"/>
                <w:szCs w:val="20"/>
              </w:rPr>
            </w:pPr>
          </w:p>
          <w:p w14:paraId="4E5FD69A" w14:textId="77777777" w:rsidR="002F5AFF" w:rsidRPr="004E13E9" w:rsidRDefault="002F5AFF" w:rsidP="0054545D">
            <w:pPr>
              <w:jc w:val="both"/>
              <w:rPr>
                <w:rFonts w:ascii="Cambria" w:hAnsi="Cambria"/>
                <w:sz w:val="20"/>
                <w:szCs w:val="20"/>
              </w:rPr>
            </w:pPr>
          </w:p>
          <w:p w14:paraId="4DB8BA52" w14:textId="77777777" w:rsidR="002F5AFF" w:rsidRPr="004E13E9" w:rsidRDefault="002F5AFF" w:rsidP="0054545D">
            <w:pPr>
              <w:jc w:val="both"/>
              <w:rPr>
                <w:rFonts w:ascii="Cambria" w:hAnsi="Cambria"/>
                <w:sz w:val="20"/>
                <w:szCs w:val="20"/>
              </w:rPr>
            </w:pPr>
          </w:p>
          <w:p w14:paraId="42D0B69A" w14:textId="77777777" w:rsidR="002F5AFF" w:rsidRPr="004E13E9" w:rsidRDefault="002F5AFF" w:rsidP="0054545D">
            <w:pPr>
              <w:jc w:val="both"/>
              <w:rPr>
                <w:rFonts w:ascii="Cambria" w:hAnsi="Cambria"/>
                <w:sz w:val="20"/>
                <w:szCs w:val="20"/>
              </w:rPr>
            </w:pPr>
            <w:r w:rsidRPr="004E13E9">
              <w:rPr>
                <w:rFonts w:ascii="Cambria" w:hAnsi="Cambria"/>
                <w:sz w:val="20"/>
                <w:szCs w:val="20"/>
              </w:rPr>
              <w:t xml:space="preserve">Réglementations de la pêche de thon rouge de </w:t>
            </w:r>
            <w:r w:rsidRPr="004E13E9">
              <w:rPr>
                <w:rFonts w:ascii="Cambria" w:hAnsi="Cambria"/>
                <w:color w:val="000000" w:themeColor="text1"/>
                <w:sz w:val="20"/>
                <w:szCs w:val="20"/>
              </w:rPr>
              <w:t>2026</w:t>
            </w:r>
            <w:r w:rsidRPr="004E13E9">
              <w:rPr>
                <w:rFonts w:ascii="Cambria" w:hAnsi="Cambria"/>
                <w:sz w:val="20"/>
                <w:szCs w:val="20"/>
              </w:rPr>
              <w:t>, § 13.</w:t>
            </w:r>
          </w:p>
          <w:p w14:paraId="5BFA117A" w14:textId="77777777" w:rsidR="002F5AFF" w:rsidRPr="004E13E9" w:rsidRDefault="002F5AFF" w:rsidP="0054545D">
            <w:pPr>
              <w:jc w:val="both"/>
              <w:rPr>
                <w:rFonts w:ascii="Cambria" w:hAnsi="Cambria"/>
                <w:sz w:val="20"/>
                <w:szCs w:val="20"/>
              </w:rPr>
            </w:pPr>
          </w:p>
          <w:p w14:paraId="237D65DD" w14:textId="77777777" w:rsidR="002F5AFF" w:rsidRPr="004E13E9" w:rsidRDefault="002F5AFF" w:rsidP="0054545D">
            <w:pPr>
              <w:jc w:val="both"/>
              <w:rPr>
                <w:rFonts w:ascii="Cambria" w:hAnsi="Cambria"/>
                <w:sz w:val="20"/>
                <w:szCs w:val="20"/>
              </w:rPr>
            </w:pPr>
          </w:p>
          <w:p w14:paraId="1CB9A262" w14:textId="77777777" w:rsidR="002F5AFF" w:rsidRPr="004E13E9" w:rsidRDefault="002F5AFF" w:rsidP="0054545D">
            <w:pPr>
              <w:jc w:val="both"/>
              <w:rPr>
                <w:rFonts w:ascii="Cambria" w:hAnsi="Cambria"/>
                <w:sz w:val="20"/>
                <w:szCs w:val="20"/>
              </w:rPr>
            </w:pPr>
          </w:p>
          <w:p w14:paraId="18974DF0"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Réglementations de la pêche de thon rouge de 2026, § 13.</w:t>
            </w:r>
          </w:p>
          <w:p w14:paraId="7F95BCD6" w14:textId="77777777" w:rsidR="002F5AFF" w:rsidRPr="004E13E9" w:rsidRDefault="002F5AFF" w:rsidP="0054545D">
            <w:pPr>
              <w:jc w:val="both"/>
              <w:rPr>
                <w:rFonts w:ascii="Cambria" w:hAnsi="Cambria"/>
                <w:sz w:val="20"/>
                <w:szCs w:val="20"/>
              </w:rPr>
            </w:pPr>
          </w:p>
          <w:p w14:paraId="2E7A56FA" w14:textId="77777777" w:rsidR="002F5AFF" w:rsidRPr="004E13E9" w:rsidRDefault="002F5AFF" w:rsidP="0054545D">
            <w:pPr>
              <w:jc w:val="both"/>
              <w:rPr>
                <w:rFonts w:ascii="Cambria" w:hAnsi="Cambria"/>
                <w:sz w:val="20"/>
                <w:szCs w:val="20"/>
              </w:rPr>
            </w:pPr>
          </w:p>
          <w:p w14:paraId="26678AC4" w14:textId="77777777" w:rsidR="002F5AFF" w:rsidRPr="004E13E9" w:rsidRDefault="002F5AFF" w:rsidP="0054545D">
            <w:pPr>
              <w:jc w:val="both"/>
              <w:rPr>
                <w:rFonts w:ascii="Cambria" w:hAnsi="Cambria"/>
                <w:sz w:val="20"/>
                <w:szCs w:val="20"/>
              </w:rPr>
            </w:pPr>
          </w:p>
          <w:p w14:paraId="6D4341CA" w14:textId="77777777" w:rsidR="002F5AFF" w:rsidRPr="004E13E9" w:rsidRDefault="002F5AFF" w:rsidP="0054545D">
            <w:pPr>
              <w:jc w:val="both"/>
              <w:rPr>
                <w:rFonts w:ascii="Cambria" w:hAnsi="Cambria"/>
                <w:sz w:val="20"/>
                <w:szCs w:val="20"/>
              </w:rPr>
            </w:pPr>
          </w:p>
          <w:p w14:paraId="483FD240" w14:textId="77777777" w:rsidR="002F5AFF" w:rsidRPr="004E13E9" w:rsidRDefault="002F5AFF" w:rsidP="0054545D">
            <w:pPr>
              <w:jc w:val="both"/>
              <w:rPr>
                <w:rFonts w:ascii="Cambria" w:hAnsi="Cambria"/>
                <w:sz w:val="20"/>
                <w:szCs w:val="20"/>
              </w:rPr>
            </w:pPr>
          </w:p>
          <w:p w14:paraId="5371C26E" w14:textId="77777777" w:rsidR="002F5AFF" w:rsidRPr="004E13E9" w:rsidRDefault="002F5AFF" w:rsidP="0054545D">
            <w:pPr>
              <w:jc w:val="both"/>
              <w:rPr>
                <w:rFonts w:ascii="Cambria" w:hAnsi="Cambria"/>
                <w:sz w:val="20"/>
                <w:szCs w:val="20"/>
              </w:rPr>
            </w:pPr>
          </w:p>
          <w:p w14:paraId="4E3CE65A" w14:textId="77777777" w:rsidR="002F5AFF" w:rsidRPr="004E13E9" w:rsidRDefault="002F5AFF" w:rsidP="0054545D">
            <w:pPr>
              <w:jc w:val="both"/>
              <w:rPr>
                <w:rFonts w:ascii="Cambria" w:hAnsi="Cambria"/>
                <w:sz w:val="20"/>
                <w:szCs w:val="20"/>
              </w:rPr>
            </w:pPr>
          </w:p>
          <w:p w14:paraId="115DF638" w14:textId="77777777" w:rsidR="002F5AFF" w:rsidRPr="004E13E9" w:rsidRDefault="002F5AFF" w:rsidP="0054545D">
            <w:pPr>
              <w:jc w:val="both"/>
              <w:rPr>
                <w:rFonts w:ascii="Cambria" w:hAnsi="Cambria"/>
                <w:sz w:val="20"/>
                <w:szCs w:val="20"/>
              </w:rPr>
            </w:pPr>
          </w:p>
          <w:p w14:paraId="5CBB8EEB"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Réglementations de la pêche de thon rouge de 2026, § 2.</w:t>
            </w:r>
          </w:p>
          <w:p w14:paraId="2266BFA4" w14:textId="77777777" w:rsidR="002F5AFF" w:rsidRPr="004E13E9" w:rsidRDefault="002F5AFF" w:rsidP="0054545D">
            <w:pPr>
              <w:jc w:val="both"/>
              <w:rPr>
                <w:rFonts w:ascii="Cambria" w:hAnsi="Cambria"/>
                <w:sz w:val="20"/>
                <w:szCs w:val="20"/>
              </w:rPr>
            </w:pPr>
          </w:p>
        </w:tc>
        <w:tc>
          <w:tcPr>
            <w:tcW w:w="985" w:type="dxa"/>
          </w:tcPr>
          <w:p w14:paraId="5AD2AA21" w14:textId="77777777" w:rsidR="002F5AFF" w:rsidRPr="004E13E9" w:rsidRDefault="002F5AFF" w:rsidP="00E62E84">
            <w:pPr>
              <w:rPr>
                <w:rFonts w:ascii="Cambria" w:hAnsi="Cambria"/>
                <w:color w:val="auto"/>
                <w:sz w:val="20"/>
                <w:szCs w:val="20"/>
              </w:rPr>
            </w:pPr>
          </w:p>
        </w:tc>
      </w:tr>
      <w:tr w:rsidR="002F5AFF" w:rsidRPr="006A2397" w14:paraId="5FC21F7A" w14:textId="77777777" w:rsidTr="0054545D">
        <w:tc>
          <w:tcPr>
            <w:tcW w:w="453" w:type="dxa"/>
          </w:tcPr>
          <w:p w14:paraId="4180D1C2" w14:textId="77777777" w:rsidR="002F5AFF" w:rsidRPr="004E13E9" w:rsidRDefault="002F5AFF" w:rsidP="00E62E84">
            <w:pPr>
              <w:rPr>
                <w:rFonts w:ascii="Cambria" w:hAnsi="Cambria"/>
                <w:b/>
                <w:color w:val="auto"/>
                <w:sz w:val="20"/>
                <w:szCs w:val="20"/>
              </w:rPr>
            </w:pPr>
            <w:r w:rsidRPr="004E13E9">
              <w:rPr>
                <w:rFonts w:ascii="Cambria" w:hAnsi="Cambria"/>
                <w:b/>
                <w:sz w:val="20"/>
                <w:szCs w:val="20"/>
              </w:rPr>
              <w:t>6</w:t>
            </w:r>
          </w:p>
        </w:tc>
        <w:tc>
          <w:tcPr>
            <w:tcW w:w="2519" w:type="dxa"/>
          </w:tcPr>
          <w:p w14:paraId="05FBCE15" w14:textId="77777777" w:rsidR="002F5AFF" w:rsidRPr="004E13E9" w:rsidRDefault="002F5AFF" w:rsidP="00E62E84">
            <w:pPr>
              <w:rPr>
                <w:rFonts w:ascii="Cambria" w:hAnsi="Cambria"/>
                <w:b/>
                <w:color w:val="auto"/>
                <w:sz w:val="20"/>
                <w:szCs w:val="20"/>
              </w:rPr>
            </w:pPr>
            <w:r w:rsidRPr="004E13E9">
              <w:rPr>
                <w:rFonts w:ascii="Cambria" w:hAnsi="Cambria"/>
                <w:b/>
                <w:color w:val="auto"/>
                <w:sz w:val="20"/>
                <w:szCs w:val="20"/>
              </w:rPr>
              <w:t>Transbordement (paragraphes 89-94)</w:t>
            </w:r>
          </w:p>
        </w:tc>
        <w:tc>
          <w:tcPr>
            <w:tcW w:w="2835" w:type="dxa"/>
          </w:tcPr>
          <w:p w14:paraId="281D9D80" w14:textId="77777777" w:rsidR="002F5AFF" w:rsidRPr="004E13E9" w:rsidRDefault="002F5AFF" w:rsidP="0054545D">
            <w:pPr>
              <w:jc w:val="both"/>
              <w:rPr>
                <w:rFonts w:ascii="Cambria" w:hAnsi="Cambria"/>
                <w:color w:val="auto"/>
                <w:sz w:val="20"/>
                <w:szCs w:val="20"/>
              </w:rPr>
            </w:pPr>
            <w:r w:rsidRPr="004E13E9">
              <w:rPr>
                <w:rFonts w:ascii="Cambria" w:hAnsi="Cambria"/>
                <w:color w:val="000000" w:themeColor="text1"/>
                <w:sz w:val="20"/>
                <w:szCs w:val="20"/>
              </w:rPr>
              <w:t>Non applicable. Les opérations de transbordement de thon rouge en mer sont toutes interdites.</w:t>
            </w:r>
          </w:p>
        </w:tc>
        <w:tc>
          <w:tcPr>
            <w:tcW w:w="2268" w:type="dxa"/>
          </w:tcPr>
          <w:p w14:paraId="132FEEE0" w14:textId="77777777" w:rsidR="002F5AFF" w:rsidRPr="004E13E9" w:rsidRDefault="002F5AFF" w:rsidP="0054545D">
            <w:pPr>
              <w:jc w:val="both"/>
              <w:rPr>
                <w:rFonts w:ascii="Cambria" w:hAnsi="Cambria"/>
                <w:color w:val="auto"/>
                <w:sz w:val="20"/>
                <w:szCs w:val="20"/>
              </w:rPr>
            </w:pPr>
            <w:r w:rsidRPr="004E13E9">
              <w:rPr>
                <w:rFonts w:ascii="Cambria" w:hAnsi="Cambria"/>
                <w:color w:val="000000" w:themeColor="text1"/>
                <w:sz w:val="20"/>
                <w:szCs w:val="20"/>
              </w:rPr>
              <w:t>Réglementations de la pêche de thon rouge de 2026, § 18.</w:t>
            </w:r>
          </w:p>
        </w:tc>
        <w:tc>
          <w:tcPr>
            <w:tcW w:w="985" w:type="dxa"/>
          </w:tcPr>
          <w:p w14:paraId="30EBC3C5" w14:textId="77777777" w:rsidR="002F5AFF" w:rsidRPr="004E13E9" w:rsidRDefault="002F5AFF" w:rsidP="00E62E84">
            <w:pPr>
              <w:rPr>
                <w:rFonts w:ascii="Cambria" w:hAnsi="Cambria"/>
                <w:color w:val="auto"/>
                <w:sz w:val="20"/>
                <w:szCs w:val="20"/>
              </w:rPr>
            </w:pPr>
          </w:p>
        </w:tc>
      </w:tr>
      <w:tr w:rsidR="002F5AFF" w:rsidRPr="006A2397" w14:paraId="7B0EB61F" w14:textId="77777777" w:rsidTr="0054545D">
        <w:tc>
          <w:tcPr>
            <w:tcW w:w="453" w:type="dxa"/>
          </w:tcPr>
          <w:p w14:paraId="353E6D07" w14:textId="77777777" w:rsidR="002F5AFF" w:rsidRPr="004E13E9" w:rsidRDefault="002F5AFF" w:rsidP="00E62E84">
            <w:pPr>
              <w:rPr>
                <w:rFonts w:ascii="Cambria" w:hAnsi="Cambria"/>
                <w:b/>
                <w:color w:val="auto"/>
                <w:sz w:val="20"/>
                <w:szCs w:val="20"/>
              </w:rPr>
            </w:pPr>
            <w:r w:rsidRPr="004E13E9">
              <w:rPr>
                <w:rFonts w:ascii="Cambria" w:hAnsi="Cambria"/>
                <w:b/>
                <w:color w:val="auto"/>
                <w:sz w:val="20"/>
                <w:szCs w:val="20"/>
              </w:rPr>
              <w:t>7</w:t>
            </w:r>
          </w:p>
        </w:tc>
        <w:tc>
          <w:tcPr>
            <w:tcW w:w="2519" w:type="dxa"/>
          </w:tcPr>
          <w:p w14:paraId="36E979FD" w14:textId="77777777" w:rsidR="002F5AFF" w:rsidRPr="004E13E9" w:rsidRDefault="002F5AFF" w:rsidP="00E62E84">
            <w:pPr>
              <w:rPr>
                <w:rFonts w:ascii="Cambria" w:hAnsi="Cambria"/>
                <w:b/>
                <w:color w:val="auto"/>
                <w:sz w:val="20"/>
                <w:szCs w:val="20"/>
              </w:rPr>
            </w:pPr>
            <w:r w:rsidRPr="004E13E9">
              <w:rPr>
                <w:rFonts w:ascii="Cambria" w:hAnsi="Cambria"/>
                <w:b/>
                <w:color w:val="auto"/>
                <w:sz w:val="20"/>
                <w:szCs w:val="20"/>
              </w:rPr>
              <w:t>VMS (paragraphes 219-225/ paragraphes 222-228)</w:t>
            </w:r>
          </w:p>
        </w:tc>
        <w:tc>
          <w:tcPr>
            <w:tcW w:w="2835" w:type="dxa"/>
          </w:tcPr>
          <w:p w14:paraId="35F9AD96" w14:textId="77777777" w:rsidR="002F5AFF" w:rsidRPr="004E13E9" w:rsidRDefault="002F5AFF" w:rsidP="0054545D">
            <w:pPr>
              <w:jc w:val="both"/>
              <w:rPr>
                <w:rFonts w:ascii="Cambria" w:hAnsi="Cambria"/>
                <w:sz w:val="20"/>
                <w:szCs w:val="20"/>
              </w:rPr>
            </w:pPr>
            <w:r w:rsidRPr="004E13E9">
              <w:rPr>
                <w:rFonts w:ascii="Cambria" w:hAnsi="Cambria"/>
                <w:sz w:val="20"/>
                <w:szCs w:val="20"/>
              </w:rPr>
              <w:t>Les senneurs, les palangriers et les navires côtiers à petite échelle de plus de 8 m autorisés à cibler le thon rouge seront tenus d'envoyer au FMC à la Direction des pêches des rapports de position (VMS) toutes les dix minutes.</w:t>
            </w:r>
            <w:r w:rsidRPr="004E13E9">
              <w:rPr>
                <w:rFonts w:ascii="Cambria" w:hAnsi="Cambria"/>
                <w:color w:val="000000" w:themeColor="text1"/>
                <w:sz w:val="20"/>
                <w:szCs w:val="20"/>
              </w:rPr>
              <w:t xml:space="preserve"> Le FMC fonctionne 24 heures sur 24, sept jours sur sept et toute interruption de la transmission des signaux VMS fera immédiatement l'objet d'un suivi par le FMC.</w:t>
            </w:r>
          </w:p>
          <w:p w14:paraId="468522B1" w14:textId="0238394C" w:rsidR="002F5AFF" w:rsidRPr="004E13E9" w:rsidRDefault="002F5AFF" w:rsidP="0054545D">
            <w:pPr>
              <w:jc w:val="both"/>
              <w:rPr>
                <w:rFonts w:ascii="Cambria" w:hAnsi="Cambria"/>
                <w:sz w:val="20"/>
                <w:szCs w:val="20"/>
              </w:rPr>
            </w:pPr>
          </w:p>
          <w:p w14:paraId="7C90B9E9"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Des messages VMS seront transmis au Secrétariat de l’ICCAT, toutes les deux heures pour les palangriers, et toutes les heures pour les senneurs.</w:t>
            </w:r>
          </w:p>
          <w:p w14:paraId="57392923" w14:textId="455FAB37" w:rsidR="002F5AFF" w:rsidRPr="004E13E9" w:rsidRDefault="002F5AFF" w:rsidP="0054545D">
            <w:pPr>
              <w:jc w:val="both"/>
              <w:rPr>
                <w:rFonts w:ascii="Cambria" w:hAnsi="Cambria"/>
                <w:sz w:val="20"/>
                <w:szCs w:val="20"/>
              </w:rPr>
            </w:pPr>
          </w:p>
          <w:p w14:paraId="46EC098B"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 xml:space="preserve">Tous les navires de capture norvégiens d'une longueur hors tout supérieure à 8 mètres sont tenus d'envoyer des rapports de position (VMS) et des rapports de capture quotidiens au FMC. </w:t>
            </w:r>
          </w:p>
          <w:p w14:paraId="6836ED90" w14:textId="77777777" w:rsidR="002F5AFF" w:rsidRPr="004E13E9" w:rsidRDefault="002F5AFF" w:rsidP="0054545D">
            <w:pPr>
              <w:jc w:val="both"/>
              <w:rPr>
                <w:rFonts w:ascii="Cambria" w:hAnsi="Cambria"/>
                <w:color w:val="000000" w:themeColor="text1"/>
                <w:sz w:val="20"/>
                <w:szCs w:val="20"/>
              </w:rPr>
            </w:pPr>
          </w:p>
          <w:p w14:paraId="1E44A5E0"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Tous les navires de capture sont tenus de présenter un bordereau de débarquement ou de vente au moment du débarquement.</w:t>
            </w:r>
          </w:p>
          <w:p w14:paraId="4A9C3FD1"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 xml:space="preserve"> </w:t>
            </w:r>
          </w:p>
          <w:p w14:paraId="67490CAA"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 xml:space="preserve">La Norvège n'utilise pas de navires remorqueurs dans la pêcherie commerciale. </w:t>
            </w:r>
            <w:r w:rsidRPr="004E13E9">
              <w:rPr>
                <w:rFonts w:ascii="Cambria" w:hAnsi="Cambria"/>
                <w:sz w:val="20"/>
                <w:szCs w:val="20"/>
              </w:rPr>
              <w:t xml:space="preserve">S'il s'avère nécessaire d'utiliser des remorqueurs au cours des recherches sur le stockage de courte durée du thon rouge vivant, le ou les remorqueurs devront installer et utiliser un VMS conformément à la Rec. 18-10 et </w:t>
            </w:r>
            <w:r w:rsidRPr="004E13E9">
              <w:rPr>
                <w:rFonts w:ascii="Cambria" w:hAnsi="Cambria"/>
                <w:color w:val="000000" w:themeColor="text1"/>
                <w:sz w:val="20"/>
                <w:szCs w:val="20"/>
              </w:rPr>
              <w:t>transmettre des messages au moins toutes les 10 minutes.</w:t>
            </w:r>
          </w:p>
          <w:p w14:paraId="7877CA7E" w14:textId="77777777" w:rsidR="002F5AFF" w:rsidRPr="004E13E9" w:rsidRDefault="002F5AFF" w:rsidP="0054545D">
            <w:pPr>
              <w:jc w:val="both"/>
              <w:rPr>
                <w:rFonts w:ascii="Cambria" w:hAnsi="Cambria"/>
                <w:sz w:val="20"/>
                <w:szCs w:val="20"/>
              </w:rPr>
            </w:pPr>
          </w:p>
          <w:p w14:paraId="26A043D4"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La garde-côtière norvégienne aura accès aux signaux VMS et aux carnets de pêche électroniques en temps réel.</w:t>
            </w:r>
          </w:p>
          <w:p w14:paraId="6D56DFD3"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 xml:space="preserve"> </w:t>
            </w:r>
          </w:p>
          <w:p w14:paraId="38D58A41" w14:textId="77777777" w:rsidR="002F5AFF" w:rsidRPr="004E13E9" w:rsidRDefault="002F5AFF" w:rsidP="0054545D">
            <w:pPr>
              <w:jc w:val="both"/>
              <w:rPr>
                <w:rFonts w:ascii="Cambria" w:hAnsi="Cambria"/>
                <w:color w:val="auto"/>
                <w:sz w:val="20"/>
                <w:szCs w:val="20"/>
              </w:rPr>
            </w:pPr>
            <w:r w:rsidRPr="004E13E9">
              <w:rPr>
                <w:rFonts w:ascii="Cambria" w:hAnsi="Cambria"/>
                <w:color w:val="000000" w:themeColor="text1"/>
                <w:sz w:val="20"/>
                <w:szCs w:val="20"/>
              </w:rPr>
              <w:t>Les signaux VMS seront transmis au Secrétariat de l’ICCAT au moins 5 jours avant la fin de la période d’autorisation du navire et devront continuer à être transmis au moins 5 jours après la fin de sa période d'autorisation.</w:t>
            </w:r>
          </w:p>
        </w:tc>
        <w:tc>
          <w:tcPr>
            <w:tcW w:w="2268" w:type="dxa"/>
          </w:tcPr>
          <w:p w14:paraId="7325A8F7"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 xml:space="preserve">Réglementations de la pêche de thon rouge de 2026, § 17. </w:t>
            </w:r>
          </w:p>
          <w:p w14:paraId="06D00545" w14:textId="77777777" w:rsidR="002F5AFF" w:rsidRPr="004E13E9" w:rsidRDefault="002F5AFF" w:rsidP="0054545D">
            <w:pPr>
              <w:jc w:val="both"/>
              <w:rPr>
                <w:rFonts w:ascii="Cambria" w:hAnsi="Cambria"/>
                <w:sz w:val="20"/>
                <w:szCs w:val="20"/>
              </w:rPr>
            </w:pPr>
          </w:p>
          <w:p w14:paraId="7566CD27" w14:textId="77777777" w:rsidR="002F5AFF" w:rsidRPr="004E13E9" w:rsidRDefault="002F5AFF" w:rsidP="0054545D">
            <w:pPr>
              <w:jc w:val="both"/>
              <w:rPr>
                <w:rFonts w:ascii="Cambria" w:hAnsi="Cambria"/>
                <w:sz w:val="20"/>
                <w:szCs w:val="20"/>
              </w:rPr>
            </w:pPr>
          </w:p>
          <w:p w14:paraId="03D94E01"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Réglementations sur un système de déclaration électronique (exigences en matière de carnets de pêche).</w:t>
            </w:r>
          </w:p>
        </w:tc>
        <w:tc>
          <w:tcPr>
            <w:tcW w:w="985" w:type="dxa"/>
          </w:tcPr>
          <w:p w14:paraId="42922127" w14:textId="77777777" w:rsidR="002F5AFF" w:rsidRPr="004E13E9" w:rsidRDefault="002F5AFF" w:rsidP="00E62E84">
            <w:pPr>
              <w:rPr>
                <w:rFonts w:ascii="Cambria" w:hAnsi="Cambria"/>
                <w:color w:val="auto"/>
                <w:sz w:val="20"/>
                <w:szCs w:val="20"/>
              </w:rPr>
            </w:pPr>
          </w:p>
        </w:tc>
      </w:tr>
      <w:tr w:rsidR="002F5AFF" w:rsidRPr="006A2397" w14:paraId="6134B371" w14:textId="77777777" w:rsidTr="0054545D">
        <w:tc>
          <w:tcPr>
            <w:tcW w:w="453" w:type="dxa"/>
          </w:tcPr>
          <w:p w14:paraId="7E6DC51C" w14:textId="77777777" w:rsidR="002F5AFF" w:rsidRPr="004E13E9" w:rsidRDefault="002F5AFF" w:rsidP="00E62E84">
            <w:pPr>
              <w:rPr>
                <w:rFonts w:ascii="Cambria" w:hAnsi="Cambria"/>
                <w:b/>
                <w:color w:val="auto"/>
                <w:sz w:val="20"/>
                <w:szCs w:val="20"/>
              </w:rPr>
            </w:pPr>
            <w:r w:rsidRPr="004E13E9">
              <w:rPr>
                <w:rFonts w:ascii="Cambria" w:hAnsi="Cambria"/>
                <w:b/>
                <w:sz w:val="20"/>
                <w:szCs w:val="20"/>
              </w:rPr>
              <w:t>8.</w:t>
            </w:r>
          </w:p>
        </w:tc>
        <w:tc>
          <w:tcPr>
            <w:tcW w:w="2519" w:type="dxa"/>
          </w:tcPr>
          <w:p w14:paraId="542FBB22" w14:textId="77777777" w:rsidR="002F5AFF" w:rsidRPr="004E13E9" w:rsidRDefault="002F5AFF" w:rsidP="00E62E84">
            <w:pPr>
              <w:rPr>
                <w:rFonts w:ascii="Cambria" w:hAnsi="Cambria"/>
                <w:b/>
                <w:color w:val="auto"/>
                <w:sz w:val="20"/>
                <w:szCs w:val="20"/>
              </w:rPr>
            </w:pPr>
            <w:r w:rsidRPr="004E13E9">
              <w:rPr>
                <w:rFonts w:ascii="Cambria" w:hAnsi="Cambria"/>
                <w:b/>
                <w:bCs/>
                <w:color w:val="auto"/>
                <w:sz w:val="20"/>
                <w:szCs w:val="20"/>
              </w:rPr>
              <w:t xml:space="preserve">Programme d'observateurs des CPC </w:t>
            </w:r>
            <w:r w:rsidRPr="004E13E9">
              <w:rPr>
                <w:rFonts w:ascii="Cambria" w:hAnsi="Cambria"/>
                <w:b/>
                <w:color w:val="auto"/>
                <w:sz w:val="20"/>
                <w:szCs w:val="20"/>
              </w:rPr>
              <w:t>(paragraphes 95-100)</w:t>
            </w:r>
          </w:p>
        </w:tc>
        <w:tc>
          <w:tcPr>
            <w:tcW w:w="2835" w:type="dxa"/>
          </w:tcPr>
          <w:p w14:paraId="462AD9D9"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 xml:space="preserve">En 2026, la Norvège disposera de 20 palangriers de plus de 15 mètres qui participera aux pêcheries. Nous n'avons pas de chalutiers pélagiques ou de canneurs de plus de 15 mètres. </w:t>
            </w:r>
          </w:p>
          <w:p w14:paraId="74F43325" w14:textId="77777777" w:rsidR="002F5AFF" w:rsidRPr="004E13E9" w:rsidRDefault="002F5AFF" w:rsidP="0054545D">
            <w:pPr>
              <w:jc w:val="both"/>
              <w:rPr>
                <w:rFonts w:ascii="Cambria" w:hAnsi="Cambria"/>
                <w:color w:val="auto"/>
                <w:sz w:val="20"/>
                <w:szCs w:val="20"/>
              </w:rPr>
            </w:pPr>
          </w:p>
          <w:p w14:paraId="575B000F"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 xml:space="preserve">L'Institut de recherche marine aura une couverture d'observateurs des senneurs autorisés d'au moins 5 %, mesurée en nombre de sorties, conformément au paragraphe 4a) de la Rec. 16-14. En outre, l'unité opérationnelle de la Direction des pêches assurera une couverture d'observateurs de 20 % sur les palangriers, conformément aux paragraphes 95-100 de la Rec. 25-04. </w:t>
            </w:r>
          </w:p>
          <w:p w14:paraId="591E35C3" w14:textId="77777777" w:rsidR="002F5AFF" w:rsidRPr="004E13E9" w:rsidRDefault="002F5AFF" w:rsidP="0054545D">
            <w:pPr>
              <w:jc w:val="both"/>
              <w:rPr>
                <w:rFonts w:ascii="Cambria" w:hAnsi="Cambria"/>
                <w:sz w:val="20"/>
                <w:szCs w:val="20"/>
              </w:rPr>
            </w:pPr>
            <w:r w:rsidRPr="004E13E9">
              <w:rPr>
                <w:rFonts w:ascii="Cambria" w:hAnsi="Cambria"/>
                <w:color w:val="FF0000"/>
                <w:sz w:val="20"/>
                <w:szCs w:val="20"/>
              </w:rPr>
              <w:t xml:space="preserve"> </w:t>
            </w:r>
          </w:p>
          <w:p w14:paraId="77014C68"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Les palangriers et les senneurs recevront une feuille d’information où ils consigneront des renseignements sur la date prévue du début des opérations ainsi que la zone et la période prévues pour la pêche de thon rouge. Sur la base de ce plan, les services de surveillance norvégiens et l'Institut de recherche marine organiseront leur couverture d'observateurs en assurant une couverture temporelle et spatiale représentative afin de recueillir des données et des informations adéquates et appropriées sur les prises, l'effort et d'autres aspects scientifiques et de gestion, conformément à la Rec. 25-04 et Rec.</w:t>
            </w:r>
            <w:r w:rsidRPr="004E13E9">
              <w:rPr>
                <w:rFonts w:ascii="Cambria" w:hAnsi="Cambria"/>
              </w:rPr>
              <w:t> </w:t>
            </w:r>
            <w:r w:rsidRPr="004E13E9">
              <w:rPr>
                <w:rFonts w:ascii="Cambria" w:hAnsi="Cambria"/>
                <w:color w:val="000000" w:themeColor="text1"/>
                <w:sz w:val="20"/>
                <w:szCs w:val="20"/>
              </w:rPr>
              <w:t>16-14.</w:t>
            </w:r>
          </w:p>
          <w:p w14:paraId="07DD386E" w14:textId="77777777" w:rsidR="002F5AFF" w:rsidRPr="004E13E9" w:rsidRDefault="002F5AFF" w:rsidP="0054545D">
            <w:pPr>
              <w:jc w:val="both"/>
              <w:rPr>
                <w:rFonts w:ascii="Cambria" w:hAnsi="Cambria"/>
                <w:color w:val="auto"/>
                <w:sz w:val="20"/>
                <w:szCs w:val="20"/>
              </w:rPr>
            </w:pPr>
          </w:p>
          <w:p w14:paraId="4CCA972C"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Tous les navires norvégiens seront tenus de maintenir un contact étroit avec les services de surveillance norvégiens lorsqu’ils pêcheront du thon rouge, afin de veiller à ce que les exigences relatives à la couverture d'observateurs soient remplies.</w:t>
            </w:r>
          </w:p>
          <w:p w14:paraId="13164A34"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 xml:space="preserve"> </w:t>
            </w:r>
          </w:p>
          <w:p w14:paraId="592970D9"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Les navires autorisés à cibler le thon rouge seront tenus d'envoyer au FMC à la Direction des pêches des rapports de position (VMS) au moins toutes les dix minutes, ainsi que des rapports journaliers des carnets de pêche électroniques. Les services de surveillance ont accès à cette information en temps réel.</w:t>
            </w:r>
          </w:p>
          <w:p w14:paraId="25DB2B5F" w14:textId="77777777" w:rsidR="002F5AFF" w:rsidRPr="004E13E9" w:rsidRDefault="002F5AFF" w:rsidP="0054545D">
            <w:pPr>
              <w:jc w:val="both"/>
              <w:rPr>
                <w:rFonts w:ascii="Cambria" w:hAnsi="Cambria"/>
                <w:sz w:val="20"/>
                <w:szCs w:val="20"/>
              </w:rPr>
            </w:pPr>
          </w:p>
          <w:p w14:paraId="641B9C9F" w14:textId="77777777" w:rsidR="002F5AFF" w:rsidRPr="004E13E9" w:rsidRDefault="002F5AFF" w:rsidP="0054545D">
            <w:pPr>
              <w:jc w:val="both"/>
              <w:rPr>
                <w:rFonts w:ascii="Cambria" w:hAnsi="Cambria"/>
                <w:color w:val="auto"/>
                <w:sz w:val="20"/>
                <w:szCs w:val="20"/>
              </w:rPr>
            </w:pPr>
            <w:r w:rsidRPr="004E13E9">
              <w:rPr>
                <w:rFonts w:ascii="Cambria" w:hAnsi="Cambria"/>
                <w:color w:val="000000" w:themeColor="text1"/>
                <w:sz w:val="20"/>
                <w:szCs w:val="20"/>
              </w:rPr>
              <w:t>L'Institut de recherche marine dispensera aux services de surveillance norvégiens de la formation et les informera des méthodes d'échantillonnage qui doivent être employées pour collecter des données biologiques conformément à la Rec. 25-04.</w:t>
            </w:r>
          </w:p>
        </w:tc>
        <w:tc>
          <w:tcPr>
            <w:tcW w:w="2268" w:type="dxa"/>
          </w:tcPr>
          <w:p w14:paraId="12547A0C" w14:textId="77777777" w:rsidR="002F5AFF" w:rsidRPr="004E13E9" w:rsidRDefault="002F5AFF" w:rsidP="0054545D">
            <w:pPr>
              <w:jc w:val="both"/>
              <w:rPr>
                <w:rFonts w:ascii="Cambria" w:hAnsi="Cambria"/>
                <w:color w:val="auto"/>
                <w:sz w:val="20"/>
                <w:szCs w:val="20"/>
              </w:rPr>
            </w:pPr>
            <w:r w:rsidRPr="004E13E9">
              <w:rPr>
                <w:rFonts w:ascii="Cambria" w:hAnsi="Cambria"/>
                <w:color w:val="000000" w:themeColor="text1"/>
                <w:sz w:val="20"/>
                <w:szCs w:val="20"/>
              </w:rPr>
              <w:t>Réglementations de la pêche de thon rouge de 2026, § 14.</w:t>
            </w:r>
          </w:p>
        </w:tc>
        <w:tc>
          <w:tcPr>
            <w:tcW w:w="985" w:type="dxa"/>
          </w:tcPr>
          <w:p w14:paraId="4DDAE29E" w14:textId="77777777" w:rsidR="002F5AFF" w:rsidRPr="004E13E9" w:rsidRDefault="002F5AFF" w:rsidP="00E62E84">
            <w:pPr>
              <w:rPr>
                <w:rFonts w:ascii="Cambria" w:hAnsi="Cambria"/>
                <w:color w:val="auto"/>
                <w:sz w:val="20"/>
                <w:szCs w:val="20"/>
              </w:rPr>
            </w:pPr>
          </w:p>
        </w:tc>
      </w:tr>
      <w:tr w:rsidR="002F5AFF" w:rsidRPr="006A2397" w14:paraId="2FEBDDE6" w14:textId="77777777" w:rsidTr="0054545D">
        <w:tc>
          <w:tcPr>
            <w:tcW w:w="453" w:type="dxa"/>
          </w:tcPr>
          <w:p w14:paraId="3DD4F368" w14:textId="77777777" w:rsidR="002F5AFF" w:rsidRPr="004E13E9" w:rsidRDefault="002F5AFF" w:rsidP="00E62E84">
            <w:pPr>
              <w:rPr>
                <w:rFonts w:ascii="Cambria" w:hAnsi="Cambria"/>
                <w:b/>
                <w:color w:val="auto"/>
                <w:sz w:val="20"/>
                <w:szCs w:val="20"/>
              </w:rPr>
            </w:pPr>
            <w:r w:rsidRPr="004E13E9">
              <w:rPr>
                <w:rFonts w:ascii="Cambria" w:hAnsi="Cambria"/>
                <w:b/>
                <w:sz w:val="20"/>
                <w:szCs w:val="20"/>
              </w:rPr>
              <w:t>9.</w:t>
            </w:r>
          </w:p>
        </w:tc>
        <w:tc>
          <w:tcPr>
            <w:tcW w:w="2519" w:type="dxa"/>
          </w:tcPr>
          <w:p w14:paraId="2D8AB233" w14:textId="77777777" w:rsidR="002F5AFF" w:rsidRPr="004E13E9" w:rsidRDefault="002F5AFF" w:rsidP="00E62E84">
            <w:pPr>
              <w:rPr>
                <w:rFonts w:ascii="Cambria" w:hAnsi="Cambria"/>
                <w:b/>
                <w:color w:val="auto"/>
                <w:sz w:val="20"/>
                <w:szCs w:val="20"/>
              </w:rPr>
            </w:pPr>
            <w:r w:rsidRPr="004E13E9">
              <w:rPr>
                <w:rFonts w:ascii="Cambria" w:hAnsi="Cambria"/>
                <w:b/>
                <w:color w:val="auto"/>
                <w:sz w:val="20"/>
                <w:szCs w:val="20"/>
              </w:rPr>
              <w:t>Programme d'observateurs régionaux (paragraphes 101-107)</w:t>
            </w:r>
          </w:p>
        </w:tc>
        <w:tc>
          <w:tcPr>
            <w:tcW w:w="2835" w:type="dxa"/>
          </w:tcPr>
          <w:p w14:paraId="3CE32B10"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Les senneurs devront être couverts à 100% par des observateurs dans le cadre du programme d'observateurs régionaux (ROP).</w:t>
            </w:r>
          </w:p>
          <w:p w14:paraId="71F7EB29"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 xml:space="preserve"> </w:t>
            </w:r>
          </w:p>
          <w:p w14:paraId="4F0588BE" w14:textId="77777777" w:rsidR="002F5AFF" w:rsidRPr="004E13E9" w:rsidRDefault="002F5AFF" w:rsidP="0054545D">
            <w:pPr>
              <w:jc w:val="both"/>
              <w:rPr>
                <w:rFonts w:ascii="Cambria" w:hAnsi="Cambria"/>
                <w:color w:val="auto"/>
                <w:sz w:val="20"/>
                <w:szCs w:val="20"/>
              </w:rPr>
            </w:pPr>
            <w:r w:rsidRPr="004E13E9">
              <w:rPr>
                <w:rFonts w:ascii="Cambria" w:hAnsi="Cambria"/>
                <w:color w:val="000000" w:themeColor="text1"/>
                <w:sz w:val="20"/>
                <w:szCs w:val="20"/>
              </w:rPr>
              <w:t xml:space="preserve">Les navires seront étroitement surveillés par le FMC et la Direction des pêches effectuera des inspections aux débarquements. L'Institut de recherche marine aura, si la situation le permet, des scientifiques à bord de plusieurs des navires. </w:t>
            </w:r>
          </w:p>
        </w:tc>
        <w:tc>
          <w:tcPr>
            <w:tcW w:w="2268" w:type="dxa"/>
          </w:tcPr>
          <w:p w14:paraId="225BBCD0" w14:textId="77777777" w:rsidR="002F5AFF" w:rsidRPr="004E13E9" w:rsidRDefault="002F5AFF" w:rsidP="0054545D">
            <w:pPr>
              <w:jc w:val="both"/>
              <w:rPr>
                <w:rFonts w:ascii="Cambria" w:hAnsi="Cambria"/>
                <w:sz w:val="20"/>
                <w:szCs w:val="20"/>
              </w:rPr>
            </w:pPr>
            <w:r w:rsidRPr="004E13E9">
              <w:rPr>
                <w:rFonts w:ascii="Cambria" w:hAnsi="Cambria"/>
                <w:sz w:val="20"/>
                <w:szCs w:val="20"/>
              </w:rPr>
              <w:t>Réglementations de la pêche de thon rouge de 2026, § 16.</w:t>
            </w:r>
          </w:p>
          <w:p w14:paraId="34673E98" w14:textId="77777777" w:rsidR="002F5AFF" w:rsidRPr="004E13E9" w:rsidRDefault="002F5AFF" w:rsidP="0054545D">
            <w:pPr>
              <w:jc w:val="both"/>
              <w:rPr>
                <w:rFonts w:ascii="Cambria" w:hAnsi="Cambria"/>
                <w:color w:val="auto"/>
                <w:sz w:val="20"/>
                <w:szCs w:val="20"/>
              </w:rPr>
            </w:pPr>
          </w:p>
          <w:p w14:paraId="77D92E8C" w14:textId="77777777" w:rsidR="002F5AFF" w:rsidRPr="004E13E9" w:rsidRDefault="002F5AFF" w:rsidP="0054545D">
            <w:pPr>
              <w:jc w:val="both"/>
              <w:rPr>
                <w:rFonts w:ascii="Cambria" w:hAnsi="Cambria"/>
                <w:sz w:val="20"/>
                <w:szCs w:val="20"/>
              </w:rPr>
            </w:pPr>
          </w:p>
          <w:p w14:paraId="61DBAF30" w14:textId="77777777" w:rsidR="002F5AFF" w:rsidRPr="004E13E9" w:rsidRDefault="002F5AFF" w:rsidP="0054545D">
            <w:pPr>
              <w:jc w:val="both"/>
              <w:rPr>
                <w:rFonts w:ascii="Cambria" w:hAnsi="Cambria"/>
                <w:sz w:val="20"/>
                <w:szCs w:val="20"/>
              </w:rPr>
            </w:pPr>
          </w:p>
          <w:p w14:paraId="43DCA7DE" w14:textId="77777777" w:rsidR="002F5AFF" w:rsidRPr="004E13E9" w:rsidRDefault="002F5AFF" w:rsidP="0054545D">
            <w:pPr>
              <w:jc w:val="both"/>
              <w:rPr>
                <w:rFonts w:ascii="Cambria" w:hAnsi="Cambria"/>
                <w:color w:val="000000" w:themeColor="text1"/>
                <w:sz w:val="20"/>
                <w:szCs w:val="20"/>
              </w:rPr>
            </w:pPr>
          </w:p>
          <w:p w14:paraId="0320CAEA"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 xml:space="preserve">Réglementations de la pêche de thon rouge de </w:t>
            </w:r>
            <w:r w:rsidRPr="004E13E9">
              <w:rPr>
                <w:rFonts w:ascii="Cambria" w:hAnsi="Cambria"/>
                <w:sz w:val="20"/>
                <w:szCs w:val="20"/>
              </w:rPr>
              <w:t>2026</w:t>
            </w:r>
            <w:r w:rsidRPr="004E13E9">
              <w:rPr>
                <w:rFonts w:ascii="Cambria" w:hAnsi="Cambria"/>
                <w:color w:val="000000" w:themeColor="text1"/>
                <w:sz w:val="20"/>
                <w:szCs w:val="20"/>
              </w:rPr>
              <w:t>, § 17.</w:t>
            </w:r>
          </w:p>
          <w:p w14:paraId="1C152FA1" w14:textId="77777777" w:rsidR="002F5AFF" w:rsidRPr="004E13E9" w:rsidRDefault="002F5AFF" w:rsidP="0054545D">
            <w:pPr>
              <w:jc w:val="both"/>
              <w:rPr>
                <w:rFonts w:ascii="Cambria" w:hAnsi="Cambria"/>
                <w:sz w:val="20"/>
                <w:szCs w:val="20"/>
              </w:rPr>
            </w:pPr>
          </w:p>
        </w:tc>
        <w:tc>
          <w:tcPr>
            <w:tcW w:w="985" w:type="dxa"/>
          </w:tcPr>
          <w:p w14:paraId="73D0E4F1" w14:textId="77777777" w:rsidR="002F5AFF" w:rsidRPr="004E13E9" w:rsidRDefault="002F5AFF" w:rsidP="00E62E84">
            <w:pPr>
              <w:rPr>
                <w:rFonts w:ascii="Cambria" w:hAnsi="Cambria"/>
                <w:color w:val="auto"/>
                <w:sz w:val="20"/>
                <w:szCs w:val="20"/>
              </w:rPr>
            </w:pPr>
          </w:p>
        </w:tc>
      </w:tr>
      <w:tr w:rsidR="002F5AFF" w:rsidRPr="006A2397" w14:paraId="69CF73AA" w14:textId="77777777" w:rsidTr="0054545D">
        <w:tc>
          <w:tcPr>
            <w:tcW w:w="453" w:type="dxa"/>
          </w:tcPr>
          <w:p w14:paraId="06AC8D36" w14:textId="77777777" w:rsidR="002F5AFF" w:rsidRPr="004E13E9" w:rsidRDefault="002F5AFF" w:rsidP="00E62E84">
            <w:pPr>
              <w:rPr>
                <w:rFonts w:ascii="Cambria" w:hAnsi="Cambria"/>
                <w:b/>
                <w:color w:val="auto"/>
                <w:sz w:val="20"/>
                <w:szCs w:val="20"/>
              </w:rPr>
            </w:pPr>
            <w:r w:rsidRPr="004E13E9">
              <w:rPr>
                <w:rFonts w:ascii="Cambria" w:hAnsi="Cambria"/>
                <w:b/>
                <w:color w:val="auto"/>
                <w:sz w:val="20"/>
                <w:szCs w:val="20"/>
              </w:rPr>
              <w:t>10</w:t>
            </w:r>
          </w:p>
        </w:tc>
        <w:tc>
          <w:tcPr>
            <w:tcW w:w="2519" w:type="dxa"/>
          </w:tcPr>
          <w:p w14:paraId="24B1FD20" w14:textId="77777777" w:rsidR="002F5AFF" w:rsidRPr="004E13E9" w:rsidRDefault="002F5AFF" w:rsidP="00E62E84">
            <w:pPr>
              <w:rPr>
                <w:rFonts w:ascii="Cambria" w:hAnsi="Cambria"/>
                <w:b/>
                <w:color w:val="auto"/>
                <w:sz w:val="20"/>
                <w:szCs w:val="20"/>
              </w:rPr>
            </w:pPr>
            <w:r w:rsidRPr="004E13E9">
              <w:rPr>
                <w:rFonts w:ascii="Cambria" w:hAnsi="Cambria"/>
                <w:b/>
                <w:color w:val="auto"/>
                <w:sz w:val="20"/>
                <w:szCs w:val="20"/>
              </w:rPr>
              <w:t>Législation nationale</w:t>
            </w:r>
          </w:p>
        </w:tc>
        <w:tc>
          <w:tcPr>
            <w:tcW w:w="2835" w:type="dxa"/>
          </w:tcPr>
          <w:p w14:paraId="5B488A6B"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 xml:space="preserve">En </w:t>
            </w:r>
            <w:r w:rsidRPr="004E13E9">
              <w:rPr>
                <w:rFonts w:ascii="Cambria" w:hAnsi="Cambria"/>
                <w:sz w:val="20"/>
                <w:szCs w:val="20"/>
              </w:rPr>
              <w:t>2026</w:t>
            </w:r>
            <w:r w:rsidRPr="004E13E9">
              <w:rPr>
                <w:rFonts w:ascii="Cambria" w:hAnsi="Cambria"/>
                <w:color w:val="000000" w:themeColor="text1"/>
                <w:sz w:val="20"/>
                <w:szCs w:val="20"/>
              </w:rPr>
              <w:t>, la pêche norvégienne de thon rouge sera réglementée par des règlements sur la pêche de thon rouge, qui seront adoptés lorsque le plan de pêche, d’élevage, d'inspection et de gestion de la capacité norvégien aura été approuvé par l'ICCAT.</w:t>
            </w:r>
          </w:p>
          <w:p w14:paraId="08F303E4" w14:textId="77777777" w:rsidR="002F5AFF" w:rsidRPr="004E13E9" w:rsidRDefault="002F5AFF" w:rsidP="0054545D">
            <w:pPr>
              <w:jc w:val="both"/>
              <w:rPr>
                <w:rFonts w:ascii="Cambria" w:hAnsi="Cambria"/>
                <w:color w:val="000000" w:themeColor="text1"/>
                <w:sz w:val="20"/>
                <w:szCs w:val="20"/>
              </w:rPr>
            </w:pPr>
          </w:p>
          <w:p w14:paraId="6DE8ED36"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 xml:space="preserve">Outre les exigences nationales, ces règlementations couvriront les exigences spécifiées dans la Rec. 25-04 de l'ICCAT et incluront une exigence générale de se conformer aux recommandations pertinentes de l'ICCAT. </w:t>
            </w:r>
          </w:p>
          <w:p w14:paraId="1BE110FA" w14:textId="77777777" w:rsidR="002F5AFF" w:rsidRPr="004E13E9" w:rsidRDefault="002F5AFF" w:rsidP="0054545D">
            <w:pPr>
              <w:jc w:val="both"/>
              <w:rPr>
                <w:rFonts w:ascii="Cambria" w:hAnsi="Cambria"/>
                <w:color w:val="000000" w:themeColor="text1"/>
                <w:sz w:val="20"/>
                <w:szCs w:val="20"/>
              </w:rPr>
            </w:pPr>
          </w:p>
          <w:p w14:paraId="6E7CDFF7" w14:textId="14B3FE94" w:rsidR="002F5AFF" w:rsidRPr="004E13E9" w:rsidRDefault="002F5AFF" w:rsidP="0054545D">
            <w:pPr>
              <w:jc w:val="both"/>
              <w:rPr>
                <w:rFonts w:ascii="Cambria" w:hAnsi="Cambria"/>
                <w:color w:val="auto"/>
                <w:sz w:val="20"/>
                <w:szCs w:val="20"/>
              </w:rPr>
            </w:pPr>
            <w:r w:rsidRPr="004E13E9">
              <w:rPr>
                <w:rFonts w:ascii="Cambria" w:hAnsi="Cambria"/>
                <w:color w:val="000000" w:themeColor="text1"/>
                <w:sz w:val="20"/>
                <w:szCs w:val="20"/>
              </w:rPr>
              <w:t>Les exigences concernant la déclaration des captures et le VMS sont déjà en place dans les règlements sur le système de déclaration électronique.</w:t>
            </w:r>
          </w:p>
        </w:tc>
        <w:tc>
          <w:tcPr>
            <w:tcW w:w="2268" w:type="dxa"/>
          </w:tcPr>
          <w:p w14:paraId="47A8ED4F"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 xml:space="preserve">Réglementations de la pêche de thon rouge en </w:t>
            </w:r>
            <w:r w:rsidRPr="004E13E9">
              <w:rPr>
                <w:rFonts w:ascii="Cambria" w:hAnsi="Cambria"/>
                <w:sz w:val="20"/>
                <w:szCs w:val="20"/>
              </w:rPr>
              <w:t>2026.</w:t>
            </w:r>
          </w:p>
          <w:p w14:paraId="36A4BCCD" w14:textId="77777777" w:rsidR="002F5AFF" w:rsidRPr="004E13E9" w:rsidRDefault="002F5AFF" w:rsidP="0054545D">
            <w:pPr>
              <w:jc w:val="both"/>
              <w:rPr>
                <w:rFonts w:ascii="Cambria" w:hAnsi="Cambria"/>
                <w:color w:val="auto"/>
                <w:sz w:val="20"/>
                <w:szCs w:val="20"/>
              </w:rPr>
            </w:pPr>
            <w:r w:rsidRPr="004E13E9">
              <w:rPr>
                <w:rFonts w:ascii="Cambria" w:hAnsi="Cambria"/>
                <w:color w:val="000000" w:themeColor="text1"/>
                <w:sz w:val="20"/>
                <w:szCs w:val="20"/>
              </w:rPr>
              <w:t>Réglementations sur un système de déclaration électronique (exigences en matière de carnets de pêche).</w:t>
            </w:r>
          </w:p>
          <w:p w14:paraId="68EBDACA" w14:textId="77777777" w:rsidR="002F5AFF" w:rsidRPr="004E13E9" w:rsidRDefault="002F5AFF" w:rsidP="0054545D">
            <w:pPr>
              <w:jc w:val="both"/>
              <w:rPr>
                <w:rFonts w:ascii="Cambria" w:hAnsi="Cambria"/>
                <w:sz w:val="20"/>
                <w:szCs w:val="20"/>
              </w:rPr>
            </w:pPr>
          </w:p>
          <w:p w14:paraId="3B355AD0" w14:textId="77777777" w:rsidR="002F5AFF" w:rsidRPr="004E13E9" w:rsidRDefault="002F5AFF" w:rsidP="0054545D">
            <w:pPr>
              <w:jc w:val="both"/>
              <w:rPr>
                <w:rFonts w:ascii="Cambria" w:hAnsi="Cambria"/>
                <w:color w:val="auto"/>
                <w:sz w:val="20"/>
                <w:szCs w:val="20"/>
              </w:rPr>
            </w:pPr>
          </w:p>
          <w:p w14:paraId="08E9B8D4" w14:textId="77777777" w:rsidR="002F5AFF" w:rsidRPr="004E13E9" w:rsidRDefault="002F5AFF" w:rsidP="0054545D">
            <w:pPr>
              <w:jc w:val="both"/>
              <w:rPr>
                <w:rFonts w:ascii="Cambria" w:hAnsi="Cambria"/>
                <w:sz w:val="20"/>
                <w:szCs w:val="20"/>
              </w:rPr>
            </w:pPr>
          </w:p>
        </w:tc>
        <w:tc>
          <w:tcPr>
            <w:tcW w:w="985" w:type="dxa"/>
          </w:tcPr>
          <w:p w14:paraId="096459A3" w14:textId="77777777" w:rsidR="002F5AFF" w:rsidRPr="004E13E9" w:rsidRDefault="002F5AFF" w:rsidP="00E62E84">
            <w:pPr>
              <w:rPr>
                <w:rFonts w:ascii="Cambria" w:hAnsi="Cambria"/>
                <w:color w:val="auto"/>
                <w:sz w:val="20"/>
                <w:szCs w:val="20"/>
              </w:rPr>
            </w:pPr>
          </w:p>
        </w:tc>
      </w:tr>
      <w:tr w:rsidR="002F5AFF" w:rsidRPr="006A2397" w14:paraId="2B9F5DAB" w14:textId="77777777" w:rsidTr="0054545D">
        <w:tc>
          <w:tcPr>
            <w:tcW w:w="453" w:type="dxa"/>
          </w:tcPr>
          <w:p w14:paraId="56953C77" w14:textId="77777777" w:rsidR="002F5AFF" w:rsidRPr="004E13E9" w:rsidRDefault="002F5AFF" w:rsidP="00E62E84">
            <w:pPr>
              <w:rPr>
                <w:rFonts w:ascii="Cambria" w:hAnsi="Cambria"/>
                <w:i/>
                <w:color w:val="auto"/>
                <w:sz w:val="20"/>
                <w:szCs w:val="20"/>
              </w:rPr>
            </w:pPr>
          </w:p>
        </w:tc>
        <w:tc>
          <w:tcPr>
            <w:tcW w:w="2519" w:type="dxa"/>
          </w:tcPr>
          <w:p w14:paraId="363D76CD" w14:textId="77777777" w:rsidR="002F5AFF" w:rsidRPr="004E13E9" w:rsidRDefault="002F5AFF" w:rsidP="00E62E84">
            <w:pPr>
              <w:rPr>
                <w:rFonts w:ascii="Cambria" w:hAnsi="Cambria"/>
                <w:i/>
                <w:color w:val="auto"/>
                <w:sz w:val="20"/>
                <w:szCs w:val="20"/>
              </w:rPr>
            </w:pPr>
            <w:r w:rsidRPr="004E13E9">
              <w:rPr>
                <w:rFonts w:ascii="Cambria" w:hAnsi="Cambria"/>
                <w:i/>
                <w:color w:val="auto"/>
                <w:sz w:val="20"/>
                <w:szCs w:val="20"/>
              </w:rPr>
              <w:t>Autres exigences, telles que : programme de marquage (paragraphe 44), etc.</w:t>
            </w:r>
          </w:p>
        </w:tc>
        <w:tc>
          <w:tcPr>
            <w:tcW w:w="2835" w:type="dxa"/>
          </w:tcPr>
          <w:p w14:paraId="6F035A94"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La Norvège réalise une pêcherie de marquage et remise à l'eau conformément aux exigences de la Rec. 25-04, paragr. 44.</w:t>
            </w:r>
          </w:p>
          <w:p w14:paraId="6EB6E43C"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 xml:space="preserve"> </w:t>
            </w:r>
          </w:p>
          <w:p w14:paraId="795ED764" w14:textId="77777777" w:rsidR="002F5AFF" w:rsidRPr="004E13E9" w:rsidRDefault="002F5AFF" w:rsidP="0054545D">
            <w:pPr>
              <w:jc w:val="both"/>
              <w:rPr>
                <w:rFonts w:ascii="Cambria" w:hAnsi="Cambria"/>
                <w:color w:val="000000" w:themeColor="text1"/>
                <w:sz w:val="20"/>
                <w:szCs w:val="20"/>
              </w:rPr>
            </w:pPr>
            <w:r w:rsidRPr="004E13E9">
              <w:rPr>
                <w:rFonts w:ascii="Cambria" w:hAnsi="Cambria"/>
                <w:color w:val="000000" w:themeColor="text1"/>
                <w:sz w:val="20"/>
                <w:szCs w:val="20"/>
              </w:rPr>
              <w:t>Seuls les navires disposant d'un permis délivré par la Direction norvégienne des pêches sont autorisés à participer à la pêcherie de marquage et remise à l'eau. Les navires doivent également être autorisés par les autorités compétentes à effectuer le processus de marquage. La licence de participation à la pêcherie de marquage et remise à l'eau, ainsi que l'autorisation de procéder au marquage, seront retirées si le navire ne respecte pas les conditions de la licence/autorisation.</w:t>
            </w:r>
          </w:p>
          <w:p w14:paraId="467A126F" w14:textId="77777777" w:rsidR="002F5AFF" w:rsidRPr="004E13E9" w:rsidRDefault="002F5AFF" w:rsidP="0054545D">
            <w:pPr>
              <w:jc w:val="both"/>
              <w:rPr>
                <w:rFonts w:ascii="Cambria" w:hAnsi="Cambria"/>
                <w:sz w:val="20"/>
                <w:szCs w:val="20"/>
              </w:rPr>
            </w:pPr>
          </w:p>
          <w:p w14:paraId="542216F2"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Tout thon rouge qui meurt pendant les activités de marquage et de remise à l'eau devra être déclaré et déduit du quota norvégien.</w:t>
            </w:r>
          </w:p>
          <w:p w14:paraId="3AD72DF6" w14:textId="77777777" w:rsidR="002F5AFF" w:rsidRPr="004E13E9" w:rsidRDefault="002F5AFF" w:rsidP="0054545D">
            <w:pPr>
              <w:jc w:val="both"/>
              <w:rPr>
                <w:rFonts w:ascii="Cambria" w:hAnsi="Cambria"/>
                <w:sz w:val="20"/>
                <w:szCs w:val="20"/>
              </w:rPr>
            </w:pPr>
          </w:p>
          <w:p w14:paraId="6C0B0D5B" w14:textId="77777777" w:rsidR="002F5AFF" w:rsidRPr="004E13E9" w:rsidRDefault="002F5AFF" w:rsidP="0054545D">
            <w:pPr>
              <w:jc w:val="both"/>
              <w:rPr>
                <w:rFonts w:ascii="Cambria" w:hAnsi="Cambria"/>
                <w:sz w:val="20"/>
                <w:szCs w:val="20"/>
              </w:rPr>
            </w:pPr>
            <w:r w:rsidRPr="004E13E9">
              <w:rPr>
                <w:rFonts w:ascii="Cambria" w:hAnsi="Cambria"/>
                <w:color w:val="000000" w:themeColor="text1"/>
                <w:sz w:val="20"/>
                <w:szCs w:val="20"/>
              </w:rPr>
              <w:t>La Norvège fournira, à la demande de l’ICCAT, la liste des navires sportifs et récréatifs qui ont reçu une autorisation.</w:t>
            </w:r>
          </w:p>
          <w:p w14:paraId="7F0C57D6" w14:textId="77777777" w:rsidR="002F5AFF" w:rsidRPr="004E13E9" w:rsidRDefault="002F5AFF" w:rsidP="0054545D">
            <w:pPr>
              <w:jc w:val="both"/>
              <w:rPr>
                <w:rFonts w:ascii="Cambria" w:hAnsi="Cambria"/>
                <w:sz w:val="20"/>
                <w:szCs w:val="20"/>
              </w:rPr>
            </w:pPr>
          </w:p>
          <w:p w14:paraId="1792AFA5" w14:textId="77777777" w:rsidR="002F5AFF" w:rsidRPr="004E13E9" w:rsidRDefault="002F5AFF" w:rsidP="0054545D">
            <w:pPr>
              <w:jc w:val="both"/>
              <w:rPr>
                <w:rFonts w:ascii="Cambria" w:hAnsi="Cambria"/>
                <w:color w:val="auto"/>
                <w:sz w:val="20"/>
                <w:szCs w:val="20"/>
              </w:rPr>
            </w:pPr>
            <w:r w:rsidRPr="004E13E9">
              <w:rPr>
                <w:rFonts w:ascii="Cambria" w:hAnsi="Cambria"/>
                <w:color w:val="000000" w:themeColor="text1"/>
                <w:sz w:val="20"/>
                <w:szCs w:val="20"/>
              </w:rPr>
              <w:t>La liste des navires sportifs et récréatifs comprendra les informations spécifiées dans la Rec. 25-04, paragraphe 46.</w:t>
            </w:r>
          </w:p>
        </w:tc>
        <w:tc>
          <w:tcPr>
            <w:tcW w:w="2268" w:type="dxa"/>
          </w:tcPr>
          <w:p w14:paraId="71690D01" w14:textId="77777777" w:rsidR="002F5AFF" w:rsidRPr="004E13E9" w:rsidRDefault="002F5AFF" w:rsidP="00E62E84">
            <w:pPr>
              <w:rPr>
                <w:rFonts w:ascii="Cambria" w:hAnsi="Cambria"/>
                <w:color w:val="auto"/>
                <w:sz w:val="20"/>
                <w:szCs w:val="20"/>
              </w:rPr>
            </w:pPr>
          </w:p>
        </w:tc>
        <w:tc>
          <w:tcPr>
            <w:tcW w:w="985" w:type="dxa"/>
          </w:tcPr>
          <w:p w14:paraId="6624C4D0" w14:textId="77777777" w:rsidR="002F5AFF" w:rsidRPr="004E13E9" w:rsidRDefault="002F5AFF" w:rsidP="00E62E84">
            <w:pPr>
              <w:rPr>
                <w:rFonts w:ascii="Cambria" w:hAnsi="Cambria"/>
                <w:color w:val="auto"/>
                <w:sz w:val="20"/>
                <w:szCs w:val="20"/>
              </w:rPr>
            </w:pPr>
          </w:p>
        </w:tc>
      </w:tr>
    </w:tbl>
    <w:p w14:paraId="1BD93780" w14:textId="77777777" w:rsidR="002F5AFF" w:rsidRPr="004E13E9" w:rsidRDefault="002F5AFF" w:rsidP="002F5AFF">
      <w:pPr>
        <w:rPr>
          <w:lang w:val="fr-FR"/>
        </w:rPr>
      </w:pPr>
    </w:p>
    <w:p w14:paraId="7732DCD3" w14:textId="77777777" w:rsidR="002F5AFF" w:rsidRPr="004E13E9" w:rsidRDefault="002F5AFF" w:rsidP="0054545D">
      <w:pPr>
        <w:jc w:val="both"/>
        <w:rPr>
          <w:b/>
          <w:i/>
          <w:iCs/>
          <w:lang w:val="fr-FR"/>
        </w:rPr>
      </w:pPr>
      <w:r w:rsidRPr="004E13E9">
        <w:rPr>
          <w:b/>
          <w:i/>
          <w:iCs/>
          <w:lang w:val="fr-FR"/>
        </w:rPr>
        <w:t>1e) Ports désignés (paragraphe 80)</w:t>
      </w:r>
    </w:p>
    <w:p w14:paraId="754E74BF" w14:textId="77777777" w:rsidR="002F5AFF" w:rsidRPr="004E13E9" w:rsidRDefault="002F5AFF" w:rsidP="0054545D">
      <w:pPr>
        <w:jc w:val="both"/>
        <w:rPr>
          <w:lang w:val="fr-FR"/>
        </w:rPr>
      </w:pPr>
    </w:p>
    <w:p w14:paraId="5DE1CB61" w14:textId="77777777" w:rsidR="002F5AFF" w:rsidRPr="004E13E9" w:rsidRDefault="002F5AFF" w:rsidP="0054545D">
      <w:pPr>
        <w:jc w:val="both"/>
        <w:rPr>
          <w:lang w:val="fr-FR"/>
        </w:rPr>
      </w:pPr>
      <w:r w:rsidRPr="004E13E9">
        <w:rPr>
          <w:lang w:val="fr-FR"/>
        </w:rPr>
        <w:t>Une liste des ports désignés pour le débarquement et le transbordement au moyen du formulaire CP24 est jointe au plan de pêche. La liste est également jointe à la dernière page du présent plan.</w:t>
      </w:r>
    </w:p>
    <w:p w14:paraId="3A443C27" w14:textId="583A4211" w:rsidR="002F5AFF" w:rsidRPr="004E13E9" w:rsidRDefault="002F5AFF" w:rsidP="0054545D">
      <w:pPr>
        <w:jc w:val="both"/>
        <w:rPr>
          <w:b/>
          <w:lang w:val="fr-FR"/>
        </w:rPr>
      </w:pPr>
      <w:bookmarkStart w:id="32" w:name="_Hlk189649343"/>
    </w:p>
    <w:p w14:paraId="3E303769" w14:textId="77777777" w:rsidR="0054545D" w:rsidRPr="004E13E9" w:rsidRDefault="0054545D" w:rsidP="0054545D">
      <w:pPr>
        <w:jc w:val="both"/>
        <w:rPr>
          <w:b/>
          <w:lang w:val="fr-FR"/>
        </w:rPr>
      </w:pPr>
    </w:p>
    <w:p w14:paraId="66C47DEE" w14:textId="77777777" w:rsidR="002F5AFF" w:rsidRPr="004E13E9" w:rsidRDefault="002F5AFF" w:rsidP="0054545D">
      <w:pPr>
        <w:ind w:left="426" w:hanging="426"/>
        <w:jc w:val="both"/>
        <w:rPr>
          <w:b/>
          <w:lang w:val="fr-FR"/>
        </w:rPr>
      </w:pPr>
      <w:r w:rsidRPr="004E13E9">
        <w:rPr>
          <w:b/>
          <w:lang w:val="fr-FR"/>
        </w:rPr>
        <w:t>2.</w:t>
      </w:r>
      <w:r w:rsidRPr="004E13E9">
        <w:rPr>
          <w:b/>
          <w:lang w:val="fr-FR"/>
        </w:rPr>
        <w:tab/>
        <w:t>Plan annuel de gestion de la capacité de pêche (paragraphes 14-21)</w:t>
      </w:r>
    </w:p>
    <w:bookmarkEnd w:id="32"/>
    <w:p w14:paraId="1B200488" w14:textId="77777777" w:rsidR="002F5AFF" w:rsidRPr="004E13E9" w:rsidRDefault="002F5AFF" w:rsidP="0054545D">
      <w:pPr>
        <w:jc w:val="both"/>
        <w:rPr>
          <w:lang w:val="fr-FR"/>
        </w:rPr>
      </w:pPr>
    </w:p>
    <w:p w14:paraId="365A8C8E" w14:textId="77777777" w:rsidR="002F5AFF" w:rsidRPr="004E13E9" w:rsidRDefault="002F5AFF" w:rsidP="0054545D">
      <w:pPr>
        <w:jc w:val="both"/>
        <w:rPr>
          <w:color w:val="000000" w:themeColor="text1"/>
          <w:lang w:val="fr-FR"/>
        </w:rPr>
      </w:pPr>
      <w:r w:rsidRPr="004E13E9">
        <w:rPr>
          <w:color w:val="000000" w:themeColor="text1"/>
          <w:lang w:val="fr-FR"/>
        </w:rPr>
        <w:t>Les meilleurs taux de capture définis par le SCRS en 2009 sont basés sur les prises de la mer Méditerranée. Ces taux de capture ne reflètent pas les taux de capture dans les zones trophiques des eaux norvégiennes. Lorsque les thons rouges se nourrissent dans les eaux norvégiennes, ils sont beaucoup moins regroupés que lorsqu'ils frayent en mer Méditerranée. En outre, les conditions météorologiques le long de la côte norvégienne en septembre et octobre empêchent souvent les pêcheurs de sortir pour pêcher le thon rouge. Comme demandé par le Président de la Sous-commission 2 lors de la réunion annuelle de la Commission en 2019, la Norvège a fourni un document au SCRS en 2020 sur les taux de capture des senneurs norvégiens pêchant dans la zone économique norvégienne. La Norvège a également présenté ce document lors de la réunion intersessions de la Sous-commission 2 en 2020. Pour plus de détails, veuillez consulter le document SCRS/2020/017.</w:t>
      </w:r>
    </w:p>
    <w:p w14:paraId="4ACEF170" w14:textId="77777777" w:rsidR="002F5AFF" w:rsidRPr="004E13E9" w:rsidRDefault="002F5AFF" w:rsidP="0054545D">
      <w:pPr>
        <w:jc w:val="both"/>
        <w:rPr>
          <w:color w:val="000000" w:themeColor="text1"/>
          <w:lang w:val="fr-FR"/>
        </w:rPr>
      </w:pPr>
    </w:p>
    <w:p w14:paraId="001124F7" w14:textId="77777777" w:rsidR="002F5AFF" w:rsidRPr="004E13E9" w:rsidRDefault="002F5AFF" w:rsidP="0054545D">
      <w:pPr>
        <w:jc w:val="both"/>
        <w:rPr>
          <w:color w:val="000000" w:themeColor="text1"/>
          <w:lang w:val="fr-FR"/>
        </w:rPr>
      </w:pPr>
      <w:r w:rsidRPr="004E13E9">
        <w:rPr>
          <w:color w:val="000000" w:themeColor="text1"/>
          <w:lang w:val="fr-FR"/>
        </w:rPr>
        <w:t>Conformément à la Rec. 25-04, paragraphe 20b, l'ajustement de la capacité de pêche prévu aux paragraphes 15, 16 et 19 ne s'applique pas à la Norvège.</w:t>
      </w:r>
    </w:p>
    <w:p w14:paraId="2CC3D1F4" w14:textId="77777777" w:rsidR="002F5AFF" w:rsidRPr="004E13E9" w:rsidRDefault="002F5AFF" w:rsidP="0054545D">
      <w:pPr>
        <w:jc w:val="both"/>
        <w:rPr>
          <w:color w:val="000000" w:themeColor="text1"/>
          <w:lang w:val="fr-FR"/>
        </w:rPr>
      </w:pPr>
    </w:p>
    <w:p w14:paraId="6F5A3649" w14:textId="77777777" w:rsidR="002F5AFF" w:rsidRPr="004E13E9" w:rsidRDefault="002F5AFF" w:rsidP="0054545D">
      <w:pPr>
        <w:jc w:val="both"/>
        <w:rPr>
          <w:color w:val="000000" w:themeColor="text1"/>
          <w:lang w:val="fr-FR"/>
        </w:rPr>
      </w:pPr>
      <w:r w:rsidRPr="004E13E9">
        <w:rPr>
          <w:color w:val="000000" w:themeColor="text1"/>
          <w:lang w:val="fr-FR"/>
        </w:rPr>
        <w:t xml:space="preserve">Étant donné que les navires n’ont pas été sélectionnés, les informations sur leur longueur ne sont pas encore disponibles. Les senneurs et les palangriers se verront attribuer des quotas individuels de navire égales dans le cadre du quota collectif de 440 t, quelle que soit la taille du navire. En outre, les navires se verront attribuer des quotas </w:t>
      </w:r>
      <w:r w:rsidRPr="004E13E9">
        <w:rPr>
          <w:i/>
          <w:color w:val="000000" w:themeColor="text1"/>
          <w:lang w:val="fr-FR"/>
        </w:rPr>
        <w:t>maximums</w:t>
      </w:r>
      <w:r w:rsidRPr="004E13E9">
        <w:rPr>
          <w:color w:val="000000" w:themeColor="text1"/>
          <w:lang w:val="fr-FR"/>
        </w:rPr>
        <w:t xml:space="preserve">. Les quotas maximums exacts peuvent être ajustés tout au long de la saison de pêche, mais à aucun moment le quota total norvégien ne sera dépassé. </w:t>
      </w:r>
    </w:p>
    <w:p w14:paraId="72E18248" w14:textId="77777777" w:rsidR="002F5AFF" w:rsidRPr="004E13E9" w:rsidRDefault="002F5AFF" w:rsidP="0054545D">
      <w:pPr>
        <w:jc w:val="both"/>
        <w:rPr>
          <w:color w:val="000000" w:themeColor="text1"/>
          <w:lang w:val="fr-FR"/>
        </w:rPr>
      </w:pPr>
    </w:p>
    <w:p w14:paraId="34311E31" w14:textId="4FE6114C" w:rsidR="0054545D" w:rsidRPr="004E13E9" w:rsidRDefault="002F5AFF" w:rsidP="0054545D">
      <w:pPr>
        <w:jc w:val="both"/>
        <w:rPr>
          <w:b/>
          <w:lang w:val="fr-FR"/>
        </w:rPr>
      </w:pPr>
      <w:r w:rsidRPr="004E13E9">
        <w:rPr>
          <w:color w:val="000000" w:themeColor="text1"/>
          <w:lang w:val="fr-FR"/>
        </w:rPr>
        <w:t>Les petits navires côtiers se verront attribuer un quota sectoriel spécifique de 40 t. Dix (10) t de thon rouge seront réservées pour couvrir les prises accessoires dans les pêcheries ne ciblant pas le thon rouge, 34,98 t seront réservées à la recherche, 2 t seront réservées à la pêcherie de marquage et remise à l'eau, et 8 t seront réservées à la pêcherie récréative.</w:t>
      </w:r>
      <w:bookmarkStart w:id="33" w:name="_Hlk189649348"/>
      <w:r w:rsidR="0054545D" w:rsidRPr="004E13E9">
        <w:rPr>
          <w:b/>
          <w:lang w:val="fr-FR"/>
        </w:rPr>
        <w:br w:type="page"/>
      </w:r>
    </w:p>
    <w:p w14:paraId="5BCD5592" w14:textId="0DBD59F7" w:rsidR="002F5AFF" w:rsidRPr="004E13E9" w:rsidRDefault="002F5AFF" w:rsidP="0054545D">
      <w:pPr>
        <w:ind w:left="426" w:hanging="426"/>
        <w:jc w:val="both"/>
        <w:rPr>
          <w:b/>
          <w:lang w:val="fr-FR"/>
        </w:rPr>
      </w:pPr>
      <w:r w:rsidRPr="004E13E9">
        <w:rPr>
          <w:b/>
          <w:lang w:val="fr-FR"/>
        </w:rPr>
        <w:t>3.</w:t>
      </w:r>
      <w:r w:rsidRPr="004E13E9">
        <w:rPr>
          <w:b/>
          <w:lang w:val="fr-FR"/>
        </w:rPr>
        <w:tab/>
        <w:t>Plan annuel de gestion de l’élevage (paragraphes 22 et 23), le cas échéant</w:t>
      </w:r>
    </w:p>
    <w:bookmarkEnd w:id="33"/>
    <w:p w14:paraId="6F58B760" w14:textId="77777777" w:rsidR="002F5AFF" w:rsidRPr="004E13E9" w:rsidRDefault="002F5AFF" w:rsidP="0054545D">
      <w:pPr>
        <w:jc w:val="both"/>
        <w:rPr>
          <w:lang w:val="fr-FR"/>
        </w:rPr>
      </w:pPr>
    </w:p>
    <w:p w14:paraId="397FC8F3" w14:textId="77777777" w:rsidR="002F5AFF" w:rsidRPr="004E13E9" w:rsidRDefault="002F5AFF" w:rsidP="0054545D">
      <w:pPr>
        <w:jc w:val="both"/>
        <w:rPr>
          <w:color w:val="000000" w:themeColor="text1"/>
          <w:lang w:val="fr-FR"/>
        </w:rPr>
      </w:pPr>
      <w:r w:rsidRPr="004E13E9">
        <w:rPr>
          <w:color w:val="000000" w:themeColor="text1"/>
          <w:lang w:val="fr-FR"/>
        </w:rPr>
        <w:t>Non applicable. La Norvège ne compte aucune ferme de thon rouge.</w:t>
      </w:r>
    </w:p>
    <w:p w14:paraId="764CDB7B" w14:textId="77777777" w:rsidR="002F5AFF" w:rsidRPr="004E13E9" w:rsidRDefault="002F5AFF" w:rsidP="0054545D">
      <w:pPr>
        <w:jc w:val="both"/>
        <w:rPr>
          <w:lang w:val="fr-FR"/>
        </w:rPr>
      </w:pPr>
    </w:p>
    <w:p w14:paraId="7D8CE947" w14:textId="77777777" w:rsidR="002F5AFF" w:rsidRPr="004E13E9" w:rsidRDefault="002F5AFF" w:rsidP="0054545D">
      <w:pPr>
        <w:jc w:val="both"/>
        <w:rPr>
          <w:lang w:val="fr-FR"/>
        </w:rPr>
      </w:pPr>
    </w:p>
    <w:p w14:paraId="21DE42B4" w14:textId="77777777" w:rsidR="002F5AFF" w:rsidRPr="004E13E9" w:rsidRDefault="002F5AFF" w:rsidP="0054545D">
      <w:pPr>
        <w:ind w:left="426" w:hanging="426"/>
        <w:jc w:val="both"/>
        <w:rPr>
          <w:b/>
          <w:lang w:val="fr-FR"/>
        </w:rPr>
      </w:pPr>
      <w:r w:rsidRPr="004E13E9">
        <w:rPr>
          <w:b/>
          <w:lang w:val="fr-FR"/>
        </w:rPr>
        <w:t>4.</w:t>
      </w:r>
      <w:r w:rsidRPr="004E13E9">
        <w:rPr>
          <w:b/>
          <w:lang w:val="fr-FR"/>
        </w:rPr>
        <w:tab/>
        <w:t xml:space="preserve">Plan annuel d’aquaculture (paragraphe 10 e) de la </w:t>
      </w:r>
      <w:hyperlink r:id="rId153" w:history="1">
        <w:r w:rsidRPr="004E13E9">
          <w:rPr>
            <w:b/>
            <w:color w:val="0563C1"/>
            <w:lang w:val="fr-FR"/>
          </w:rPr>
          <w:t xml:space="preserve">Rec. 25-04 </w:t>
        </w:r>
      </w:hyperlink>
      <w:r w:rsidRPr="004E13E9">
        <w:rPr>
          <w:b/>
          <w:lang w:val="fr-FR"/>
        </w:rPr>
        <w:t xml:space="preserve">conformément à la </w:t>
      </w:r>
      <w:hyperlink r:id="rId154" w:history="1">
        <w:r w:rsidRPr="004E13E9">
          <w:rPr>
            <w:b/>
            <w:color w:val="0563C1"/>
            <w:lang w:val="fr-FR"/>
          </w:rPr>
          <w:t>Rec. 24-07</w:t>
        </w:r>
      </w:hyperlink>
      <w:r w:rsidRPr="004E13E9">
        <w:rPr>
          <w:b/>
          <w:lang w:val="fr-FR"/>
        </w:rPr>
        <w:t>), le cas échéant</w:t>
      </w:r>
    </w:p>
    <w:p w14:paraId="66B1BB3F" w14:textId="77777777" w:rsidR="002F5AFF" w:rsidRPr="004E13E9" w:rsidRDefault="002F5AFF" w:rsidP="0054545D">
      <w:pPr>
        <w:ind w:left="426" w:hanging="426"/>
        <w:jc w:val="both"/>
        <w:rPr>
          <w:lang w:val="fr-FR"/>
        </w:rPr>
      </w:pPr>
    </w:p>
    <w:p w14:paraId="4B694125" w14:textId="77777777" w:rsidR="002F5AFF" w:rsidRPr="004E13E9" w:rsidRDefault="002F5AFF" w:rsidP="0054545D">
      <w:pPr>
        <w:ind w:left="426" w:hanging="426"/>
        <w:jc w:val="both"/>
        <w:rPr>
          <w:lang w:val="fr-FR"/>
        </w:rPr>
      </w:pPr>
      <w:r w:rsidRPr="004E13E9">
        <w:rPr>
          <w:lang w:val="fr-FR"/>
        </w:rPr>
        <w:t>Non applicable. La Norvège ne pratique pas l'aquaculture du thon rouge.</w:t>
      </w:r>
    </w:p>
    <w:p w14:paraId="1FF4F971" w14:textId="77777777" w:rsidR="002F5AFF" w:rsidRPr="004E13E9" w:rsidRDefault="002F5AFF" w:rsidP="0054545D">
      <w:pPr>
        <w:ind w:left="426" w:hanging="426"/>
        <w:jc w:val="both"/>
        <w:rPr>
          <w:lang w:val="fr-FR"/>
        </w:rPr>
      </w:pPr>
    </w:p>
    <w:p w14:paraId="14122517" w14:textId="77777777" w:rsidR="002F5AFF" w:rsidRPr="004E13E9" w:rsidRDefault="002F5AFF" w:rsidP="0054545D">
      <w:pPr>
        <w:ind w:left="426" w:hanging="426"/>
        <w:jc w:val="both"/>
        <w:rPr>
          <w:lang w:val="fr-FR"/>
        </w:rPr>
      </w:pPr>
    </w:p>
    <w:p w14:paraId="1725B04F" w14:textId="77777777" w:rsidR="002F5AFF" w:rsidRPr="004E13E9" w:rsidRDefault="002F5AFF" w:rsidP="0054545D">
      <w:pPr>
        <w:ind w:left="426" w:hanging="426"/>
        <w:jc w:val="both"/>
        <w:rPr>
          <w:b/>
          <w:lang w:val="fr-FR"/>
        </w:rPr>
      </w:pPr>
      <w:r w:rsidRPr="004E13E9">
        <w:rPr>
          <w:b/>
          <w:bCs/>
          <w:lang w:val="fr-FR"/>
        </w:rPr>
        <w:t>5.</w:t>
      </w:r>
      <w:r w:rsidRPr="004E13E9">
        <w:rPr>
          <w:b/>
          <w:lang w:val="fr-FR"/>
        </w:rPr>
        <w:t xml:space="preserve"> </w:t>
      </w:r>
      <w:r w:rsidRPr="004E13E9">
        <w:rPr>
          <w:b/>
          <w:lang w:val="fr-FR"/>
        </w:rPr>
        <w:tab/>
        <w:t>Plan de suivi, contrôle et inspection</w:t>
      </w:r>
    </w:p>
    <w:p w14:paraId="1BE98F15" w14:textId="77777777" w:rsidR="002F5AFF" w:rsidRPr="004E13E9" w:rsidRDefault="002F5AFF" w:rsidP="0054545D">
      <w:pPr>
        <w:jc w:val="both"/>
        <w:rPr>
          <w:b/>
          <w:lang w:val="fr-FR"/>
        </w:rPr>
      </w:pPr>
    </w:p>
    <w:p w14:paraId="6A22DDEF" w14:textId="77777777" w:rsidR="002F5AFF" w:rsidRPr="004E13E9" w:rsidRDefault="002F5AFF" w:rsidP="0054545D">
      <w:pPr>
        <w:jc w:val="both"/>
        <w:rPr>
          <w:b/>
          <w:i/>
          <w:iCs/>
          <w:lang w:val="fr-FR"/>
        </w:rPr>
      </w:pPr>
      <w:r w:rsidRPr="004E13E9">
        <w:rPr>
          <w:b/>
          <w:i/>
          <w:iCs/>
          <w:lang w:val="fr-FR"/>
        </w:rPr>
        <w:t>5a) Suivi, contrôle et inspection de la CPC (paragraphe 10 c)</w:t>
      </w:r>
    </w:p>
    <w:p w14:paraId="56A91AB3" w14:textId="77777777" w:rsidR="002F5AFF" w:rsidRPr="004E13E9" w:rsidRDefault="002F5AFF" w:rsidP="0054545D">
      <w:pPr>
        <w:jc w:val="both"/>
        <w:rPr>
          <w:lang w:val="fr-FR"/>
        </w:rPr>
      </w:pPr>
    </w:p>
    <w:p w14:paraId="30722F0D" w14:textId="77777777" w:rsidR="002F5AFF" w:rsidRPr="004E13E9" w:rsidRDefault="002F5AFF" w:rsidP="0054545D">
      <w:pPr>
        <w:jc w:val="both"/>
        <w:rPr>
          <w:color w:val="000000" w:themeColor="text1"/>
          <w:lang w:val="fr-FR"/>
        </w:rPr>
      </w:pPr>
      <w:r w:rsidRPr="004E13E9">
        <w:rPr>
          <w:lang w:val="fr-FR"/>
        </w:rPr>
        <w:t>La Norvège a établi un système de surveillance en temps réel de l'ensemble de ses pêcheries et s'est engagée à prendre les mesures nécessaires pour assurer le plein respect de la Recommandation 25-04 de l'ICCAT.</w:t>
      </w:r>
      <w:r w:rsidRPr="004E13E9">
        <w:rPr>
          <w:color w:val="000000" w:themeColor="text1"/>
          <w:lang w:val="fr-FR"/>
        </w:rPr>
        <w:t xml:space="preserve"> Les senneurs devront être couverts à 100% par des observateurs dans le cadre du programme d'observateurs régionaux (ROP). En outre, l'unité opérationnelle de la Direction des pêches assurera une couverture d'observateurs d'au moins 20% sur le palangrier, conformément aux paragraphes 95-100 de la Recommandation 25-04. </w:t>
      </w:r>
    </w:p>
    <w:p w14:paraId="2783E063" w14:textId="77777777" w:rsidR="002F5AFF" w:rsidRPr="004E13E9" w:rsidRDefault="002F5AFF" w:rsidP="0054545D">
      <w:pPr>
        <w:jc w:val="both"/>
        <w:rPr>
          <w:lang w:val="fr-FR"/>
        </w:rPr>
      </w:pPr>
    </w:p>
    <w:p w14:paraId="09440791" w14:textId="77777777" w:rsidR="002F5AFF" w:rsidRPr="004E13E9" w:rsidRDefault="002F5AFF" w:rsidP="0054545D">
      <w:pPr>
        <w:jc w:val="both"/>
        <w:rPr>
          <w:color w:val="000000" w:themeColor="text1"/>
          <w:lang w:val="fr-FR"/>
        </w:rPr>
      </w:pPr>
      <w:r w:rsidRPr="004E13E9">
        <w:rPr>
          <w:color w:val="000000" w:themeColor="text1"/>
          <w:lang w:val="fr-FR"/>
        </w:rPr>
        <w:t>Les petits navires côtiers seront surveillés de près. Les navires seront surveillés par le FMC et la Direction des pêches effectuera des inspections aux débarquements. L'Institut de recherche marine aura, si la situation le permet, des scientifiques à bord de plusieurs de ces navires.</w:t>
      </w:r>
    </w:p>
    <w:p w14:paraId="11E2F1BD" w14:textId="77777777" w:rsidR="002F5AFF" w:rsidRPr="004E13E9" w:rsidRDefault="002F5AFF" w:rsidP="0054545D">
      <w:pPr>
        <w:jc w:val="both"/>
        <w:rPr>
          <w:color w:val="000000" w:themeColor="text1"/>
          <w:lang w:val="fr-FR"/>
        </w:rPr>
      </w:pPr>
    </w:p>
    <w:p w14:paraId="4A608BA5" w14:textId="77777777" w:rsidR="002F5AFF" w:rsidRPr="004E13E9" w:rsidRDefault="002F5AFF" w:rsidP="0054545D">
      <w:pPr>
        <w:jc w:val="both"/>
        <w:rPr>
          <w:color w:val="000000" w:themeColor="text1"/>
          <w:lang w:val="fr-FR"/>
        </w:rPr>
      </w:pPr>
      <w:r w:rsidRPr="004E13E9">
        <w:rPr>
          <w:color w:val="000000" w:themeColor="text1"/>
          <w:lang w:val="fr-FR"/>
        </w:rPr>
        <w:t xml:space="preserve">Tous les navires norvégiens comptant des prises de thon rouge, y compris des prises accessoires, sont tenus d'en informer le FMC norvégien. En outre, au moins 5 % des débarquements de thon rouge réalisés par les navires ciblant cette espèce seront inspectés par des inspecteurs de la Direction norvégienne des pêches. Ces inspections seront menées comme des inspections intégrales, c'est-à-dire que les inspecteurs contrôleront tout le débarquement. Ceci inclut le suivi de toute la pesée du poisson, le recoupement de ces informations avec la notification préalable d'entrée au port, le VMS, le carnet de pêche électronique, ainsi que la déclaration de débarquement et les bordereaux de vente. De plus, les inspecteurs devront veiller à ce qu’il ne reste pas de poisson à bord une fois le débarquement terminé et à ce que la déclaration de débarquement ou les bordereaux de vente soient signés. </w:t>
      </w:r>
    </w:p>
    <w:p w14:paraId="74DA0451" w14:textId="77777777" w:rsidR="002F5AFF" w:rsidRPr="004E13E9" w:rsidRDefault="002F5AFF" w:rsidP="0054545D">
      <w:pPr>
        <w:jc w:val="both"/>
        <w:rPr>
          <w:lang w:val="fr-FR"/>
        </w:rPr>
      </w:pPr>
    </w:p>
    <w:p w14:paraId="6AE48D49" w14:textId="77777777" w:rsidR="002F5AFF" w:rsidRPr="004E13E9" w:rsidRDefault="002F5AFF" w:rsidP="0054545D">
      <w:pPr>
        <w:jc w:val="both"/>
        <w:rPr>
          <w:color w:val="000000" w:themeColor="text1"/>
          <w:lang w:val="fr-FR"/>
        </w:rPr>
      </w:pPr>
      <w:r w:rsidRPr="004E13E9">
        <w:rPr>
          <w:color w:val="000000" w:themeColor="text1"/>
          <w:lang w:val="fr-FR"/>
        </w:rPr>
        <w:t xml:space="preserve">La pêcherie norvégienne de thon rouge est limitée à la juridiction des pêcheries norvégiennes et l'exigence d'un navire d'inspection du paragraphe 232 ne s'applique pas. </w:t>
      </w:r>
    </w:p>
    <w:p w14:paraId="5D0D1F15" w14:textId="77777777" w:rsidR="002F5AFF" w:rsidRPr="004E13E9" w:rsidRDefault="002F5AFF" w:rsidP="0054545D">
      <w:pPr>
        <w:jc w:val="both"/>
        <w:rPr>
          <w:lang w:val="fr-FR"/>
        </w:rPr>
      </w:pPr>
    </w:p>
    <w:p w14:paraId="5B6E4251" w14:textId="77777777" w:rsidR="002F5AFF" w:rsidRPr="004E13E9" w:rsidRDefault="002F5AFF" w:rsidP="0054545D">
      <w:pPr>
        <w:jc w:val="both"/>
        <w:rPr>
          <w:lang w:val="fr-FR"/>
        </w:rPr>
      </w:pPr>
      <w:r w:rsidRPr="004E13E9">
        <w:rPr>
          <w:color w:val="000000" w:themeColor="text1"/>
          <w:lang w:val="fr-FR"/>
        </w:rPr>
        <w:t>Les navires autorisés à cibler le thon rouge ainsi que les navires ayant des prises accessoires de thons rouges morts peuvent être chargés de prélever des échantillons biologiques pour l'Institut norvégien de la recherche marine.</w:t>
      </w:r>
    </w:p>
    <w:p w14:paraId="2FF30787" w14:textId="77777777" w:rsidR="002F5AFF" w:rsidRPr="004E13E9" w:rsidRDefault="002F5AFF" w:rsidP="0054545D">
      <w:pPr>
        <w:jc w:val="both"/>
        <w:rPr>
          <w:color w:val="000000" w:themeColor="text1"/>
          <w:lang w:val="fr-FR"/>
        </w:rPr>
      </w:pPr>
    </w:p>
    <w:p w14:paraId="19748150" w14:textId="77777777" w:rsidR="002F5AFF" w:rsidRPr="004E13E9" w:rsidRDefault="002F5AFF" w:rsidP="0054545D">
      <w:pPr>
        <w:jc w:val="both"/>
        <w:rPr>
          <w:color w:val="000000" w:themeColor="text1"/>
          <w:lang w:val="fr-FR"/>
        </w:rPr>
      </w:pPr>
      <w:r w:rsidRPr="004E13E9">
        <w:rPr>
          <w:color w:val="000000" w:themeColor="text1"/>
          <w:lang w:val="fr-FR"/>
        </w:rPr>
        <w:t xml:space="preserve">Conformément au paragraphe 47 de la Rec. 25-04 de l'ICCAT, l'utilisation d’avions, d’hélicoptères ou de tout type de véhicules aériens sans pilote aux fins de la recherche de thon rouge sera interdite. </w:t>
      </w:r>
    </w:p>
    <w:p w14:paraId="2591A78A" w14:textId="77777777" w:rsidR="002F5AFF" w:rsidRPr="004E13E9" w:rsidRDefault="002F5AFF" w:rsidP="0054545D">
      <w:pPr>
        <w:jc w:val="both"/>
        <w:rPr>
          <w:color w:val="000000" w:themeColor="text1"/>
          <w:lang w:val="fr-FR"/>
        </w:rPr>
      </w:pPr>
    </w:p>
    <w:p w14:paraId="5FD52BED" w14:textId="77777777" w:rsidR="002F5AFF" w:rsidRPr="004E13E9" w:rsidRDefault="002F5AFF" w:rsidP="0054545D">
      <w:pPr>
        <w:jc w:val="both"/>
        <w:rPr>
          <w:color w:val="000000" w:themeColor="text1"/>
          <w:lang w:val="fr-FR"/>
        </w:rPr>
      </w:pPr>
      <w:r w:rsidRPr="004E13E9">
        <w:rPr>
          <w:color w:val="000000" w:themeColor="text1"/>
          <w:lang w:val="fr-FR"/>
        </w:rPr>
        <w:t xml:space="preserve">De surcroît, les documents de capture du thon rouge seront délivrés conformément à la </w:t>
      </w:r>
      <w:r w:rsidRPr="004E13E9">
        <w:rPr>
          <w:i/>
          <w:iCs/>
          <w:color w:val="000000" w:themeColor="text1"/>
          <w:lang w:val="fr-FR"/>
        </w:rPr>
        <w:t>Recommandation de l’ICCAT amendant et remplaçant la Recommandation 18-13 sur un programme ICCAT de documentation des captures de thon rouge</w:t>
      </w:r>
      <w:r w:rsidRPr="004E13E9">
        <w:rPr>
          <w:color w:val="000000" w:themeColor="text1"/>
          <w:lang w:val="fr-FR"/>
        </w:rPr>
        <w:t xml:space="preserve"> (Rec. 23-21), à la </w:t>
      </w:r>
      <w:r w:rsidRPr="004E13E9">
        <w:rPr>
          <w:i/>
          <w:iCs/>
          <w:color w:val="000000" w:themeColor="text1"/>
          <w:lang w:val="fr-FR"/>
        </w:rPr>
        <w:t>Recommandation de l’ICCAT amendant la Recommandation 21-18 concernant l’application du système eBCD</w:t>
      </w:r>
      <w:r w:rsidRPr="004E13E9">
        <w:rPr>
          <w:color w:val="000000" w:themeColor="text1"/>
          <w:lang w:val="fr-FR"/>
        </w:rPr>
        <w:t xml:space="preserve"> (Rec. 22-16) ainsi qu'à d'autres recommandations pertinentes. Depuis 2015, la Norvège émet des documents électroniques de capture de thon rouge dans le système eBCD et a l’intention de continuer cette pratique en 2026 conformément aux recommandations visées ci-dessus.</w:t>
      </w:r>
    </w:p>
    <w:p w14:paraId="1003184A" w14:textId="77777777" w:rsidR="002F5AFF" w:rsidRPr="004E13E9" w:rsidRDefault="002F5AFF" w:rsidP="0054545D">
      <w:pPr>
        <w:jc w:val="both"/>
        <w:rPr>
          <w:color w:val="000000" w:themeColor="text1"/>
          <w:lang w:val="fr-FR"/>
        </w:rPr>
      </w:pPr>
    </w:p>
    <w:p w14:paraId="61C785A7" w14:textId="77777777" w:rsidR="002F5AFF" w:rsidRPr="004E13E9" w:rsidRDefault="002F5AFF" w:rsidP="0054545D">
      <w:pPr>
        <w:jc w:val="both"/>
        <w:rPr>
          <w:color w:val="000000" w:themeColor="text1"/>
          <w:lang w:val="fr-FR"/>
        </w:rPr>
      </w:pPr>
      <w:r w:rsidRPr="004E13E9">
        <w:rPr>
          <w:color w:val="000000" w:themeColor="text1"/>
          <w:lang w:val="fr-FR"/>
        </w:rPr>
        <w:t xml:space="preserve">Liste des points de contact : </w:t>
      </w:r>
    </w:p>
    <w:p w14:paraId="3E5F4F67" w14:textId="77777777" w:rsidR="002F5AFF" w:rsidRPr="004E13E9" w:rsidRDefault="002F5AFF" w:rsidP="0054545D">
      <w:pPr>
        <w:jc w:val="both"/>
        <w:rPr>
          <w:color w:val="000000" w:themeColor="text1"/>
          <w:lang w:val="fr-FR"/>
        </w:rPr>
      </w:pPr>
    </w:p>
    <w:p w14:paraId="6976064C" w14:textId="77777777" w:rsidR="002F5AFF" w:rsidRPr="004E13E9" w:rsidRDefault="002F5AFF" w:rsidP="00487A5C">
      <w:pPr>
        <w:pStyle w:val="ListParagraph"/>
        <w:widowControl w:val="0"/>
        <w:numPr>
          <w:ilvl w:val="0"/>
          <w:numId w:val="45"/>
        </w:numPr>
        <w:spacing w:after="0" w:line="240" w:lineRule="auto"/>
        <w:jc w:val="both"/>
        <w:rPr>
          <w:rFonts w:ascii="Cambria" w:hAnsi="Cambria"/>
          <w:color w:val="000000" w:themeColor="text1"/>
          <w:sz w:val="20"/>
          <w:szCs w:val="20"/>
        </w:rPr>
      </w:pPr>
      <w:r w:rsidRPr="004E13E9">
        <w:rPr>
          <w:rFonts w:ascii="Cambria" w:hAnsi="Cambria"/>
          <w:color w:val="000000" w:themeColor="text1"/>
          <w:sz w:val="20"/>
          <w:szCs w:val="20"/>
        </w:rPr>
        <w:t>Sofie Munch Ellingsen, conseillère au ministère de l'industrie et de la pêche (</w:t>
      </w:r>
      <w:hyperlink r:id="rId155" w:history="1">
        <w:r w:rsidRPr="004E13E9">
          <w:rPr>
            <w:rStyle w:val="Hyperlink"/>
            <w:rFonts w:ascii="Cambria" w:hAnsi="Cambria"/>
            <w:sz w:val="20"/>
            <w:szCs w:val="20"/>
            <w:u w:val="none"/>
          </w:rPr>
          <w:t>sofie.munch.ellingsen@nfd.dep.no</w:t>
        </w:r>
      </w:hyperlink>
      <w:r w:rsidRPr="004E13E9">
        <w:rPr>
          <w:rFonts w:ascii="Cambria" w:hAnsi="Cambria"/>
          <w:color w:val="000000" w:themeColor="text1"/>
          <w:sz w:val="20"/>
          <w:szCs w:val="20"/>
        </w:rPr>
        <w:t>)</w:t>
      </w:r>
    </w:p>
    <w:p w14:paraId="76CDC40A" w14:textId="77777777" w:rsidR="002F5AFF" w:rsidRPr="004E13E9" w:rsidRDefault="002F5AFF" w:rsidP="00487A5C">
      <w:pPr>
        <w:pStyle w:val="ListParagraph"/>
        <w:widowControl w:val="0"/>
        <w:numPr>
          <w:ilvl w:val="0"/>
          <w:numId w:val="45"/>
        </w:numPr>
        <w:spacing w:after="0" w:line="240" w:lineRule="auto"/>
        <w:jc w:val="both"/>
        <w:rPr>
          <w:rFonts w:ascii="Cambria" w:hAnsi="Cambria"/>
          <w:color w:val="000000" w:themeColor="text1"/>
          <w:sz w:val="20"/>
          <w:szCs w:val="20"/>
        </w:rPr>
      </w:pPr>
      <w:r w:rsidRPr="004E13E9">
        <w:rPr>
          <w:rFonts w:ascii="Cambria" w:hAnsi="Cambria"/>
          <w:color w:val="000000" w:themeColor="text1"/>
          <w:sz w:val="20"/>
          <w:szCs w:val="20"/>
        </w:rPr>
        <w:t>Rune Baug Mjørlund, conseiller principal à la Direction des pêches (</w:t>
      </w:r>
      <w:hyperlink r:id="rId156" w:history="1">
        <w:r w:rsidRPr="004E13E9">
          <w:rPr>
            <w:rStyle w:val="Hyperlink"/>
            <w:rFonts w:ascii="Cambria" w:hAnsi="Cambria"/>
            <w:sz w:val="20"/>
            <w:szCs w:val="20"/>
            <w:u w:val="none"/>
          </w:rPr>
          <w:t>rune.mjorlund@fiskeridir.no</w:t>
        </w:r>
      </w:hyperlink>
      <w:r w:rsidRPr="004E13E9">
        <w:rPr>
          <w:rFonts w:ascii="Cambria" w:hAnsi="Cambria"/>
          <w:color w:val="000000" w:themeColor="text1"/>
          <w:sz w:val="20"/>
          <w:szCs w:val="20"/>
        </w:rPr>
        <w:t>)</w:t>
      </w:r>
    </w:p>
    <w:p w14:paraId="449E0C21" w14:textId="21D6AC06" w:rsidR="00E02C62" w:rsidRPr="004E13E9" w:rsidRDefault="002F5AFF" w:rsidP="00487A5C">
      <w:pPr>
        <w:pStyle w:val="ListParagraph"/>
        <w:widowControl w:val="0"/>
        <w:numPr>
          <w:ilvl w:val="0"/>
          <w:numId w:val="45"/>
        </w:numPr>
        <w:spacing w:after="0" w:line="240" w:lineRule="auto"/>
        <w:jc w:val="both"/>
        <w:rPr>
          <w:rFonts w:ascii="Cambria" w:hAnsi="Cambria"/>
          <w:b/>
          <w:i/>
          <w:iCs/>
        </w:rPr>
      </w:pPr>
      <w:r w:rsidRPr="004E13E9">
        <w:rPr>
          <w:rFonts w:ascii="Cambria" w:hAnsi="Cambria"/>
          <w:color w:val="000000" w:themeColor="text1"/>
          <w:sz w:val="20"/>
        </w:rPr>
        <w:t>Victor Fuglaas Holte-Nilssen</w:t>
      </w:r>
      <w:r w:rsidRPr="004E13E9">
        <w:rPr>
          <w:rFonts w:ascii="Cambria" w:hAnsi="Cambria"/>
          <w:color w:val="000000" w:themeColor="text1"/>
          <w:sz w:val="20"/>
          <w:szCs w:val="20"/>
        </w:rPr>
        <w:t>, conseiller à la Direction des pêches (</w:t>
      </w:r>
      <w:hyperlink r:id="rId157" w:history="1">
        <w:r w:rsidRPr="004E13E9">
          <w:rPr>
            <w:rStyle w:val="Hyperlink"/>
            <w:rFonts w:ascii="Cambria" w:hAnsi="Cambria"/>
            <w:sz w:val="20"/>
            <w:szCs w:val="20"/>
            <w:u w:val="none"/>
          </w:rPr>
          <w:t>gulys@fiskeridir.no</w:t>
        </w:r>
      </w:hyperlink>
      <w:r w:rsidRPr="004E13E9">
        <w:rPr>
          <w:rFonts w:ascii="Cambria" w:hAnsi="Cambria"/>
          <w:color w:val="000000" w:themeColor="text1"/>
          <w:sz w:val="20"/>
          <w:szCs w:val="20"/>
        </w:rPr>
        <w:t>).</w:t>
      </w:r>
      <w:r w:rsidR="00E02C62" w:rsidRPr="004E13E9">
        <w:rPr>
          <w:rFonts w:ascii="Cambria" w:hAnsi="Cambria"/>
          <w:b/>
          <w:i/>
          <w:iCs/>
        </w:rPr>
        <w:br w:type="page"/>
      </w:r>
    </w:p>
    <w:p w14:paraId="5A07997B" w14:textId="26EBF18A" w:rsidR="002F5AFF" w:rsidRPr="004E13E9" w:rsidRDefault="002F5AFF" w:rsidP="0054545D">
      <w:pPr>
        <w:ind w:left="426" w:hanging="426"/>
        <w:jc w:val="both"/>
        <w:rPr>
          <w:b/>
          <w:i/>
          <w:iCs/>
          <w:lang w:val="fr-FR"/>
        </w:rPr>
      </w:pPr>
      <w:r w:rsidRPr="004E13E9">
        <w:rPr>
          <w:b/>
          <w:i/>
          <w:iCs/>
          <w:lang w:val="fr-FR"/>
        </w:rPr>
        <w:t>5b) Programme d’inspection internationale conjointe (JIS) (paragraphes 232-235)</w:t>
      </w:r>
    </w:p>
    <w:p w14:paraId="7097E816" w14:textId="77777777" w:rsidR="002F5AFF" w:rsidRPr="004E13E9" w:rsidRDefault="002F5AFF" w:rsidP="0054545D">
      <w:pPr>
        <w:jc w:val="both"/>
        <w:rPr>
          <w:b/>
          <w:i/>
          <w:lang w:val="fr-FR"/>
        </w:rPr>
      </w:pPr>
    </w:p>
    <w:p w14:paraId="0EAF7D1F" w14:textId="77777777" w:rsidR="002F5AFF" w:rsidRPr="004E13E9" w:rsidRDefault="002F5AFF" w:rsidP="0054545D">
      <w:pPr>
        <w:jc w:val="both"/>
        <w:rPr>
          <w:color w:val="000000" w:themeColor="text1"/>
          <w:lang w:val="fr-FR"/>
        </w:rPr>
      </w:pPr>
      <w:r w:rsidRPr="004E13E9">
        <w:rPr>
          <w:color w:val="000000" w:themeColor="text1"/>
          <w:lang w:val="fr-FR"/>
        </w:rPr>
        <w:t xml:space="preserve">Non applicable. La Norvège ne participe à aucune inspection internationale conformément aux paragraphes 232-235 de la Rec. 25-04 et de l’annexe 7. Les navires de pêche norvégiens participant à la pêcherie de thon rouge ne sont autorisés à pêcher que dans la juridiction de pêche norvégienne. </w:t>
      </w:r>
    </w:p>
    <w:p w14:paraId="7D5FBBBD" w14:textId="77777777" w:rsidR="002F5AFF" w:rsidRPr="004E13E9" w:rsidRDefault="002F5AFF" w:rsidP="0054545D">
      <w:pPr>
        <w:jc w:val="both"/>
        <w:rPr>
          <w:lang w:val="fr-FR"/>
        </w:rPr>
      </w:pPr>
    </w:p>
    <w:p w14:paraId="5CB24BAD" w14:textId="77777777" w:rsidR="002F5AFF" w:rsidRPr="004E13E9" w:rsidRDefault="002F5AFF" w:rsidP="0054545D">
      <w:pPr>
        <w:jc w:val="both"/>
        <w:rPr>
          <w:i/>
          <w:lang w:val="fr-FR"/>
        </w:rPr>
      </w:pPr>
    </w:p>
    <w:p w14:paraId="3F0E1C2A" w14:textId="77777777" w:rsidR="002F5AFF" w:rsidRPr="004E13E9" w:rsidRDefault="002F5AFF" w:rsidP="0054545D">
      <w:pPr>
        <w:ind w:left="426" w:hanging="426"/>
        <w:contextualSpacing/>
        <w:jc w:val="both"/>
        <w:rPr>
          <w:b/>
          <w:lang w:val="fr-FR"/>
        </w:rPr>
      </w:pPr>
      <w:r w:rsidRPr="004E13E9">
        <w:rPr>
          <w:b/>
          <w:lang w:val="fr-FR"/>
        </w:rPr>
        <w:t xml:space="preserve">6. </w:t>
      </w:r>
      <w:r w:rsidRPr="004E13E9">
        <w:rPr>
          <w:b/>
          <w:lang w:val="fr-FR"/>
        </w:rPr>
        <w:tab/>
        <w:t>Autres</w:t>
      </w:r>
    </w:p>
    <w:p w14:paraId="1B5B5BD0" w14:textId="77777777" w:rsidR="002F5AFF" w:rsidRPr="004E13E9" w:rsidRDefault="002F5AFF" w:rsidP="0054545D">
      <w:pPr>
        <w:jc w:val="both"/>
        <w:rPr>
          <w:b/>
          <w:lang w:val="fr-FR"/>
        </w:rPr>
      </w:pPr>
    </w:p>
    <w:p w14:paraId="1ADE0B43" w14:textId="77777777" w:rsidR="002F5AFF" w:rsidRPr="004E13E9" w:rsidRDefault="002F5AFF" w:rsidP="0054545D">
      <w:pPr>
        <w:jc w:val="both"/>
        <w:rPr>
          <w:i/>
          <w:lang w:val="fr-FR"/>
        </w:rPr>
      </w:pPr>
      <w:r w:rsidRPr="004E13E9">
        <w:rPr>
          <w:iCs/>
          <w:lang w:val="fr-FR"/>
        </w:rPr>
        <w:t>En automne 2026, la Norvège poursuivra le projet pilote de stockage de courte durée de thon rouge vivant. Nous avons alloué 30 tonnes de notre quota à cette fin.</w:t>
      </w:r>
      <w:r w:rsidRPr="004E13E9">
        <w:rPr>
          <w:lang w:val="fr-FR"/>
        </w:rPr>
        <w:t xml:space="preserve"> Le quota sera attribué à un seul navire. </w:t>
      </w:r>
      <w:r w:rsidRPr="004E13E9">
        <w:rPr>
          <w:color w:val="000000" w:themeColor="text1"/>
          <w:lang w:val="fr-FR"/>
        </w:rPr>
        <w:t>Toutes les activités menées dans le cadre de l'étude pilote feront l'objet d'un contrôle complet, puisque des inspecteurs de la Direction des pêches et du personnel de l'Institut de recherche marine seront à bord du navire à tout moment.</w:t>
      </w:r>
    </w:p>
    <w:p w14:paraId="5362D4DE" w14:textId="77777777" w:rsidR="002F5AFF" w:rsidRPr="004E13E9" w:rsidRDefault="002F5AFF" w:rsidP="0054545D">
      <w:pPr>
        <w:jc w:val="both"/>
        <w:rPr>
          <w:i/>
          <w:lang w:val="fr-FR"/>
        </w:rPr>
      </w:pPr>
    </w:p>
    <w:p w14:paraId="118D2616" w14:textId="77777777" w:rsidR="002F5AFF" w:rsidRPr="004E13E9" w:rsidRDefault="002F5AFF" w:rsidP="0054545D">
      <w:pPr>
        <w:jc w:val="both"/>
        <w:rPr>
          <w:rFonts w:eastAsia="Times New Roman" w:cstheme="minorHAnsi"/>
          <w:lang w:val="fr-FR"/>
        </w:rPr>
      </w:pPr>
      <w:r w:rsidRPr="004E13E9">
        <w:rPr>
          <w:color w:val="000000" w:themeColor="text1"/>
          <w:lang w:val="fr-FR"/>
        </w:rPr>
        <w:t xml:space="preserve">Conformément aux dispositions de la Rec. 25-04, paragr. 211-218, l'exigence de contrôles aléatoires visée à l'appendice 1, paragr. 16 de la Rés. 25-03, confirme qu'au moins 10% du nombre de cages utilisées devront faire l'objet de contrôles aléatoires. </w:t>
      </w:r>
      <w:r w:rsidRPr="004E13E9">
        <w:rPr>
          <w:lang w:val="fr-FR"/>
        </w:rPr>
        <w:t xml:space="preserve">Nous pouvons garantir que si du thon rouge parvient à être capturé dans le cadre du projet pilote de 2026, les cages feront l'objet d'une surveillance étroite de la part de la Direction des pêches et éventuellement de l'autorité norvégienne chargée de la sécurité alimentaire. L'exigence de contrôle aléatoire sera naturellement respectée. </w:t>
      </w:r>
    </w:p>
    <w:p w14:paraId="2991C4C6" w14:textId="5668DCA8" w:rsidR="002F5AFF" w:rsidRPr="004E13E9" w:rsidRDefault="002F5AFF" w:rsidP="0054545D">
      <w:pPr>
        <w:jc w:val="both"/>
        <w:rPr>
          <w:lang w:val="fr-FR"/>
        </w:rPr>
      </w:pPr>
    </w:p>
    <w:p w14:paraId="583699D9" w14:textId="77777777" w:rsidR="002F5AFF" w:rsidRPr="004E13E9" w:rsidRDefault="002F5AFF" w:rsidP="0054545D">
      <w:pPr>
        <w:jc w:val="both"/>
        <w:rPr>
          <w:rFonts w:cstheme="minorHAnsi"/>
          <w:lang w:val="fr-FR"/>
        </w:rPr>
      </w:pPr>
      <w:r w:rsidRPr="004E13E9">
        <w:rPr>
          <w:lang w:val="fr-FR"/>
        </w:rPr>
        <w:t xml:space="preserve">La Norvège veillera à ce que le projet soit mené conformément à la Rés. 25-03. Le navire fera l’objet d’une couverture d’observateurs de 100% dans le cadre du programme d'observateurs régionaux de l’ICCAT. Cet observateur sera en mesure de surveiller les transferts de la senne à la cage de transport. Les captures de thon rouge, ainsi que les opérations de transfert et de stockage, seront étroitement surveillées et les thons rouges morts ou mourants seront retirés de la senne, de la cage de transfert et/ou de la cage de stockage, ramenés à terre et déduits du quota du navire. Outre la présence d'un observateur du ROP à toutes les phases de l'opération, la CPC informera l’ICCAT des résultats du stockage de courte durée de poissons vivants dans le rapport annuel. </w:t>
      </w:r>
    </w:p>
    <w:p w14:paraId="41B90355" w14:textId="77777777" w:rsidR="002F5AFF" w:rsidRPr="004E13E9" w:rsidRDefault="002F5AFF" w:rsidP="0054545D">
      <w:pPr>
        <w:jc w:val="both"/>
        <w:rPr>
          <w:rFonts w:eastAsia="Times New Roman" w:cstheme="minorHAnsi"/>
          <w:lang w:val="fr-FR"/>
        </w:rPr>
      </w:pPr>
    </w:p>
    <w:p w14:paraId="71C1A420" w14:textId="77777777" w:rsidR="002F5AFF" w:rsidRPr="004E13E9" w:rsidRDefault="002F5AFF" w:rsidP="0054545D">
      <w:pPr>
        <w:jc w:val="both"/>
        <w:rPr>
          <w:rFonts w:eastAsia="Times New Roman" w:cstheme="minorHAnsi"/>
          <w:lang w:val="fr-FR"/>
        </w:rPr>
      </w:pPr>
      <w:r w:rsidRPr="004E13E9">
        <w:rPr>
          <w:lang w:val="fr-FR"/>
        </w:rPr>
        <w:t>Nous avons exploré avec succès l'utilisation de caméras pendant les opérations de transport. Nous continuerons à affiner l'utilisation des caméras, en procédant à quelques ajustements afin d'optimiser la surveillance par caméra en fonction des conditions norvégiennes, tout en répondant aux exigences de la Rés. 25-03.</w:t>
      </w:r>
    </w:p>
    <w:p w14:paraId="2CC24E12" w14:textId="77777777" w:rsidR="002F5AFF" w:rsidRPr="004E13E9" w:rsidRDefault="002F5AFF" w:rsidP="0054545D">
      <w:pPr>
        <w:jc w:val="both"/>
        <w:rPr>
          <w:rFonts w:cstheme="minorHAnsi"/>
          <w:lang w:val="fr-FR"/>
        </w:rPr>
      </w:pPr>
    </w:p>
    <w:p w14:paraId="3539D87D" w14:textId="77777777" w:rsidR="002F5AFF" w:rsidRPr="004E13E9" w:rsidRDefault="002F5AFF" w:rsidP="0054545D">
      <w:pPr>
        <w:jc w:val="both"/>
        <w:rPr>
          <w:lang w:val="fr-FR"/>
        </w:rPr>
      </w:pPr>
      <w:r w:rsidRPr="004E13E9">
        <w:rPr>
          <w:lang w:val="fr-FR"/>
        </w:rPr>
        <w:t>La Norvège n'autorisera pas le commerce du thon rouge sans un eBCD, suivant ainsi la réglementation de la Rec. 23-21. Lorsque le thon rouge sera prêt à être mis à mort dans la cage de stockage, nous incorporerons la capture dans le système eBCD et utiliserons la section de mise en cage du système pour émettre et valider un certificat de capture électronique tel que décrit dans le document de discussion sur l'application de la documentation électronique de capture du thon rouge (eBCD) dans le projet pilote pour le stockage de courte durée du thon rouge vivant lors de la 16</w:t>
      </w:r>
      <w:r w:rsidRPr="004E13E9">
        <w:rPr>
          <w:vertAlign w:val="superscript"/>
          <w:lang w:val="fr-FR"/>
        </w:rPr>
        <w:t>ème</w:t>
      </w:r>
      <w:r w:rsidRPr="004E13E9">
        <w:rPr>
          <w:lang w:val="fr-FR"/>
        </w:rPr>
        <w:t xml:space="preserve"> réunion du Groupe de travail IMM en 2023.</w:t>
      </w:r>
    </w:p>
    <w:p w14:paraId="073305FC" w14:textId="77777777" w:rsidR="002F5AFF" w:rsidRPr="004E13E9" w:rsidRDefault="002F5AFF" w:rsidP="002F5AFF">
      <w:pPr>
        <w:rPr>
          <w:i/>
          <w:lang w:val="fr-FR"/>
        </w:rPr>
        <w:sectPr w:rsidR="002F5AFF" w:rsidRPr="004E13E9" w:rsidSect="002F5AFF">
          <w:headerReference w:type="first" r:id="rId158"/>
          <w:footerReference w:type="first" r:id="rId159"/>
          <w:pgSz w:w="11906" w:h="16838" w:code="9"/>
          <w:pgMar w:top="1418" w:right="1418" w:bottom="1418" w:left="1418" w:header="851" w:footer="1134" w:gutter="0"/>
          <w:cols w:space="425"/>
          <w:docGrid w:linePitch="360"/>
        </w:sectPr>
      </w:pPr>
    </w:p>
    <w:p w14:paraId="4B794E77" w14:textId="77777777" w:rsidR="002F5AFF" w:rsidRPr="004E13E9" w:rsidRDefault="002F5AFF" w:rsidP="002F5AFF">
      <w:pPr>
        <w:rPr>
          <w:b/>
        </w:rPr>
      </w:pPr>
      <w:r w:rsidRPr="004E13E9">
        <w:rPr>
          <w:b/>
        </w:rPr>
        <w:t xml:space="preserve">Tableau de la </w:t>
      </w:r>
      <w:proofErr w:type="spellStart"/>
      <w:r w:rsidRPr="004E13E9">
        <w:rPr>
          <w:b/>
        </w:rPr>
        <w:t>capacité</w:t>
      </w:r>
      <w:proofErr w:type="spellEnd"/>
    </w:p>
    <w:tbl>
      <w:tblPr>
        <w:tblW w:w="15354"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4"/>
        <w:gridCol w:w="2102"/>
        <w:gridCol w:w="615"/>
        <w:gridCol w:w="615"/>
        <w:gridCol w:w="615"/>
        <w:gridCol w:w="615"/>
        <w:gridCol w:w="615"/>
        <w:gridCol w:w="615"/>
        <w:gridCol w:w="615"/>
        <w:gridCol w:w="256"/>
        <w:gridCol w:w="615"/>
        <w:gridCol w:w="615"/>
        <w:gridCol w:w="754"/>
        <w:gridCol w:w="791"/>
        <w:gridCol w:w="685"/>
        <w:gridCol w:w="685"/>
        <w:gridCol w:w="862"/>
      </w:tblGrid>
      <w:tr w:rsidR="002F5AFF" w:rsidRPr="004E13E9" w14:paraId="09B2C07F" w14:textId="77777777" w:rsidTr="00E62E84">
        <w:trPr>
          <w:trHeight w:val="20"/>
        </w:trPr>
        <w:tc>
          <w:tcPr>
            <w:tcW w:w="0" w:type="auto"/>
            <w:noWrap/>
            <w:vAlign w:val="center"/>
            <w:hideMark/>
          </w:tcPr>
          <w:p w14:paraId="085C1A2F" w14:textId="77777777" w:rsidR="002F5AFF" w:rsidRPr="004E13E9" w:rsidRDefault="002F5AFF" w:rsidP="00E62E84">
            <w:pPr>
              <w:jc w:val="center"/>
              <w:rPr>
                <w:rFonts w:eastAsia="Times New Roman" w:cs="Calibri"/>
                <w:i/>
                <w:iCs/>
                <w:sz w:val="18"/>
                <w:szCs w:val="18"/>
              </w:rPr>
            </w:pPr>
            <w:r w:rsidRPr="004E13E9">
              <w:rPr>
                <w:i/>
                <w:sz w:val="18"/>
                <w:szCs w:val="18"/>
              </w:rPr>
              <w:t xml:space="preserve">Type de </w:t>
            </w:r>
            <w:proofErr w:type="spellStart"/>
            <w:r w:rsidRPr="004E13E9">
              <w:rPr>
                <w:i/>
                <w:sz w:val="18"/>
                <w:szCs w:val="18"/>
              </w:rPr>
              <w:t>navires</w:t>
            </w:r>
            <w:proofErr w:type="spellEnd"/>
            <w:r w:rsidRPr="004E13E9">
              <w:rPr>
                <w:i/>
                <w:sz w:val="18"/>
                <w:szCs w:val="18"/>
              </w:rPr>
              <w:t xml:space="preserve"> </w:t>
            </w:r>
            <w:proofErr w:type="spellStart"/>
            <w:r w:rsidRPr="004E13E9">
              <w:rPr>
                <w:i/>
                <w:sz w:val="18"/>
                <w:szCs w:val="18"/>
              </w:rPr>
              <w:t>thoniers</w:t>
            </w:r>
            <w:proofErr w:type="spellEnd"/>
          </w:p>
        </w:tc>
        <w:tc>
          <w:tcPr>
            <w:tcW w:w="2102" w:type="dxa"/>
            <w:noWrap/>
            <w:vAlign w:val="center"/>
            <w:hideMark/>
          </w:tcPr>
          <w:p w14:paraId="50654528" w14:textId="77777777" w:rsidR="002F5AFF" w:rsidRPr="004E13E9" w:rsidRDefault="002F5AFF" w:rsidP="00E62E84">
            <w:pPr>
              <w:jc w:val="center"/>
              <w:rPr>
                <w:rFonts w:eastAsia="Times New Roman" w:cs="Calibri"/>
                <w:sz w:val="18"/>
                <w:szCs w:val="18"/>
                <w:lang w:eastAsia="ja-JP"/>
              </w:rPr>
            </w:pPr>
          </w:p>
        </w:tc>
        <w:tc>
          <w:tcPr>
            <w:tcW w:w="1845" w:type="dxa"/>
            <w:gridSpan w:val="3"/>
          </w:tcPr>
          <w:p w14:paraId="581ADF54" w14:textId="77777777" w:rsidR="002F5AFF" w:rsidRPr="004E13E9" w:rsidRDefault="002F5AFF" w:rsidP="00E62E84">
            <w:pPr>
              <w:jc w:val="center"/>
              <w:rPr>
                <w:rFonts w:eastAsia="Times New Roman" w:cs="Calibri"/>
                <w:i/>
                <w:iCs/>
                <w:sz w:val="18"/>
                <w:szCs w:val="18"/>
              </w:rPr>
            </w:pPr>
            <w:r w:rsidRPr="004E13E9">
              <w:rPr>
                <w:i/>
                <w:sz w:val="18"/>
                <w:szCs w:val="18"/>
              </w:rPr>
              <w:t xml:space="preserve">Année de </w:t>
            </w:r>
            <w:proofErr w:type="spellStart"/>
            <w:r w:rsidRPr="004E13E9">
              <w:rPr>
                <w:i/>
                <w:sz w:val="18"/>
                <w:szCs w:val="18"/>
              </w:rPr>
              <w:t>réf</w:t>
            </w:r>
            <w:proofErr w:type="spellEnd"/>
            <w:r w:rsidRPr="004E13E9">
              <w:rPr>
                <w:i/>
                <w:sz w:val="18"/>
                <w:szCs w:val="18"/>
              </w:rPr>
              <w:t>.</w:t>
            </w:r>
          </w:p>
        </w:tc>
        <w:tc>
          <w:tcPr>
            <w:tcW w:w="0" w:type="auto"/>
            <w:gridSpan w:val="4"/>
            <w:vAlign w:val="center"/>
          </w:tcPr>
          <w:p w14:paraId="19F68484" w14:textId="77777777" w:rsidR="002F5AFF" w:rsidRPr="004E13E9" w:rsidRDefault="002F5AFF" w:rsidP="00E62E84">
            <w:pPr>
              <w:jc w:val="center"/>
              <w:rPr>
                <w:rFonts w:eastAsia="Times New Roman"/>
                <w:sz w:val="18"/>
                <w:szCs w:val="18"/>
              </w:rPr>
            </w:pPr>
            <w:r w:rsidRPr="004E13E9">
              <w:rPr>
                <w:i/>
                <w:sz w:val="18"/>
                <w:szCs w:val="18"/>
              </w:rPr>
              <w:t xml:space="preserve">Nombre de </w:t>
            </w:r>
            <w:proofErr w:type="spellStart"/>
            <w:r w:rsidRPr="004E13E9">
              <w:rPr>
                <w:i/>
                <w:sz w:val="18"/>
                <w:szCs w:val="18"/>
              </w:rPr>
              <w:t>navires</w:t>
            </w:r>
            <w:proofErr w:type="spellEnd"/>
          </w:p>
        </w:tc>
        <w:tc>
          <w:tcPr>
            <w:tcW w:w="0" w:type="auto"/>
            <w:shd w:val="clear" w:color="auto" w:fill="D9D9D9"/>
            <w:vAlign w:val="center"/>
            <w:hideMark/>
          </w:tcPr>
          <w:p w14:paraId="21467E1E" w14:textId="77777777" w:rsidR="002F5AFF" w:rsidRPr="004E13E9" w:rsidRDefault="002F5AFF" w:rsidP="00E62E84">
            <w:pPr>
              <w:jc w:val="center"/>
              <w:rPr>
                <w:rFonts w:eastAsia="Times New Roman"/>
                <w:sz w:val="18"/>
                <w:szCs w:val="18"/>
                <w:lang w:eastAsia="ja-JP"/>
              </w:rPr>
            </w:pPr>
          </w:p>
        </w:tc>
        <w:tc>
          <w:tcPr>
            <w:tcW w:w="0" w:type="auto"/>
            <w:gridSpan w:val="3"/>
          </w:tcPr>
          <w:p w14:paraId="28610749" w14:textId="77777777" w:rsidR="002F5AFF" w:rsidRPr="004E13E9" w:rsidRDefault="002F5AFF" w:rsidP="00E62E84">
            <w:pPr>
              <w:jc w:val="center"/>
              <w:rPr>
                <w:rFonts w:eastAsia="Times New Roman" w:cs="Calibri"/>
                <w:i/>
                <w:iCs/>
                <w:sz w:val="18"/>
                <w:szCs w:val="18"/>
              </w:rPr>
            </w:pPr>
            <w:r w:rsidRPr="004E13E9">
              <w:rPr>
                <w:i/>
                <w:sz w:val="18"/>
                <w:szCs w:val="18"/>
              </w:rPr>
              <w:t xml:space="preserve">Année de </w:t>
            </w:r>
            <w:proofErr w:type="spellStart"/>
            <w:r w:rsidRPr="004E13E9">
              <w:rPr>
                <w:i/>
                <w:sz w:val="18"/>
                <w:szCs w:val="18"/>
              </w:rPr>
              <w:t>réf</w:t>
            </w:r>
            <w:proofErr w:type="spellEnd"/>
            <w:r w:rsidRPr="004E13E9">
              <w:rPr>
                <w:i/>
                <w:sz w:val="18"/>
                <w:szCs w:val="18"/>
              </w:rPr>
              <w:t>.</w:t>
            </w:r>
          </w:p>
        </w:tc>
        <w:tc>
          <w:tcPr>
            <w:tcW w:w="0" w:type="auto"/>
            <w:gridSpan w:val="4"/>
          </w:tcPr>
          <w:p w14:paraId="2D6152D0" w14:textId="77777777" w:rsidR="002F5AFF" w:rsidRPr="004E13E9" w:rsidRDefault="002F5AFF" w:rsidP="00E62E84">
            <w:pPr>
              <w:jc w:val="center"/>
              <w:rPr>
                <w:rFonts w:eastAsia="Times New Roman" w:cs="Calibri"/>
                <w:i/>
                <w:iCs/>
                <w:sz w:val="18"/>
                <w:szCs w:val="18"/>
              </w:rPr>
            </w:pPr>
            <w:proofErr w:type="spellStart"/>
            <w:r w:rsidRPr="004E13E9">
              <w:rPr>
                <w:i/>
                <w:sz w:val="18"/>
                <w:szCs w:val="18"/>
              </w:rPr>
              <w:t>Capacité</w:t>
            </w:r>
            <w:proofErr w:type="spellEnd"/>
            <w:r w:rsidRPr="004E13E9">
              <w:rPr>
                <w:i/>
                <w:sz w:val="18"/>
                <w:szCs w:val="18"/>
              </w:rPr>
              <w:t xml:space="preserve"> de </w:t>
            </w:r>
            <w:proofErr w:type="spellStart"/>
            <w:r w:rsidRPr="004E13E9">
              <w:rPr>
                <w:i/>
                <w:sz w:val="18"/>
                <w:szCs w:val="18"/>
              </w:rPr>
              <w:t>pêche</w:t>
            </w:r>
            <w:proofErr w:type="spellEnd"/>
          </w:p>
        </w:tc>
      </w:tr>
      <w:tr w:rsidR="002F5AFF" w:rsidRPr="004E13E9" w14:paraId="3327A328" w14:textId="77777777" w:rsidTr="00E62E84">
        <w:trPr>
          <w:trHeight w:val="20"/>
        </w:trPr>
        <w:tc>
          <w:tcPr>
            <w:tcW w:w="0" w:type="auto"/>
            <w:noWrap/>
            <w:vAlign w:val="center"/>
            <w:hideMark/>
          </w:tcPr>
          <w:p w14:paraId="298F6DD4" w14:textId="77777777" w:rsidR="002F5AFF" w:rsidRPr="004E13E9" w:rsidRDefault="002F5AFF" w:rsidP="00E62E84">
            <w:pPr>
              <w:rPr>
                <w:rFonts w:eastAsia="Times New Roman" w:cs="Calibri"/>
                <w:b/>
                <w:bCs/>
                <w:sz w:val="18"/>
                <w:szCs w:val="18"/>
              </w:rPr>
            </w:pPr>
            <w:r w:rsidRPr="004E13E9">
              <w:rPr>
                <w:b/>
                <w:sz w:val="18"/>
                <w:szCs w:val="18"/>
              </w:rPr>
              <w:t>Type</w:t>
            </w:r>
          </w:p>
        </w:tc>
        <w:tc>
          <w:tcPr>
            <w:tcW w:w="2102" w:type="dxa"/>
            <w:vAlign w:val="center"/>
            <w:hideMark/>
          </w:tcPr>
          <w:p w14:paraId="7E751F80" w14:textId="77777777" w:rsidR="002F5AFF" w:rsidRPr="004E13E9" w:rsidRDefault="002F5AFF" w:rsidP="00E62E84">
            <w:pPr>
              <w:jc w:val="center"/>
              <w:rPr>
                <w:rFonts w:eastAsia="Times New Roman" w:cs="Calibri"/>
                <w:sz w:val="18"/>
                <w:szCs w:val="18"/>
                <w:lang w:val="fr-FR"/>
              </w:rPr>
            </w:pPr>
            <w:r w:rsidRPr="004E13E9">
              <w:rPr>
                <w:sz w:val="18"/>
                <w:szCs w:val="18"/>
                <w:lang w:val="fr-FR"/>
              </w:rPr>
              <w:t>Meilleurs taux de capture définis par le SCRS en 2009 (t)</w:t>
            </w:r>
          </w:p>
        </w:tc>
        <w:tc>
          <w:tcPr>
            <w:tcW w:w="615" w:type="dxa"/>
            <w:vAlign w:val="center"/>
          </w:tcPr>
          <w:p w14:paraId="6E466842" w14:textId="77777777" w:rsidR="002F5AFF" w:rsidRPr="004E13E9" w:rsidRDefault="002F5AFF" w:rsidP="00E62E84">
            <w:pPr>
              <w:jc w:val="center"/>
              <w:rPr>
                <w:rFonts w:eastAsia="Times New Roman" w:cs="Calibri"/>
                <w:sz w:val="18"/>
                <w:szCs w:val="18"/>
              </w:rPr>
            </w:pPr>
            <w:r w:rsidRPr="004E13E9">
              <w:rPr>
                <w:sz w:val="18"/>
                <w:szCs w:val="18"/>
              </w:rPr>
              <w:t>2006</w:t>
            </w:r>
          </w:p>
        </w:tc>
        <w:tc>
          <w:tcPr>
            <w:tcW w:w="0" w:type="auto"/>
            <w:noWrap/>
            <w:vAlign w:val="center"/>
            <w:hideMark/>
          </w:tcPr>
          <w:p w14:paraId="1E1AA86F" w14:textId="77777777" w:rsidR="002F5AFF" w:rsidRPr="004E13E9" w:rsidRDefault="002F5AFF" w:rsidP="00E62E84">
            <w:pPr>
              <w:jc w:val="center"/>
              <w:rPr>
                <w:rFonts w:eastAsia="Times New Roman" w:cs="Calibri"/>
                <w:sz w:val="18"/>
                <w:szCs w:val="18"/>
              </w:rPr>
            </w:pPr>
            <w:r w:rsidRPr="004E13E9">
              <w:rPr>
                <w:sz w:val="18"/>
                <w:szCs w:val="18"/>
              </w:rPr>
              <w:t>2008</w:t>
            </w:r>
          </w:p>
        </w:tc>
        <w:tc>
          <w:tcPr>
            <w:tcW w:w="0" w:type="auto"/>
            <w:vAlign w:val="center"/>
            <w:hideMark/>
          </w:tcPr>
          <w:p w14:paraId="7FBC78EC" w14:textId="77777777" w:rsidR="002F5AFF" w:rsidRPr="004E13E9" w:rsidRDefault="002F5AFF" w:rsidP="00E62E84">
            <w:pPr>
              <w:jc w:val="center"/>
              <w:rPr>
                <w:rFonts w:eastAsia="Times New Roman" w:cs="Calibri"/>
                <w:sz w:val="18"/>
                <w:szCs w:val="18"/>
              </w:rPr>
            </w:pPr>
            <w:r w:rsidRPr="004E13E9">
              <w:rPr>
                <w:sz w:val="18"/>
                <w:szCs w:val="18"/>
              </w:rPr>
              <w:t>2018</w:t>
            </w:r>
          </w:p>
        </w:tc>
        <w:tc>
          <w:tcPr>
            <w:tcW w:w="0" w:type="auto"/>
            <w:vAlign w:val="center"/>
            <w:hideMark/>
          </w:tcPr>
          <w:p w14:paraId="7C77E453" w14:textId="77777777" w:rsidR="002F5AFF" w:rsidRPr="004E13E9" w:rsidRDefault="002F5AFF" w:rsidP="00E62E84">
            <w:pPr>
              <w:jc w:val="center"/>
              <w:rPr>
                <w:rFonts w:eastAsia="Times New Roman" w:cs="Calibri"/>
                <w:sz w:val="18"/>
                <w:szCs w:val="18"/>
              </w:rPr>
            </w:pPr>
            <w:r w:rsidRPr="004E13E9">
              <w:rPr>
                <w:sz w:val="18"/>
                <w:szCs w:val="18"/>
              </w:rPr>
              <w:t>2023</w:t>
            </w:r>
          </w:p>
        </w:tc>
        <w:tc>
          <w:tcPr>
            <w:tcW w:w="0" w:type="auto"/>
            <w:vAlign w:val="center"/>
            <w:hideMark/>
          </w:tcPr>
          <w:p w14:paraId="1E7F4841" w14:textId="77777777" w:rsidR="002F5AFF" w:rsidRPr="004E13E9" w:rsidRDefault="002F5AFF" w:rsidP="00E62E84">
            <w:pPr>
              <w:jc w:val="center"/>
              <w:rPr>
                <w:rFonts w:eastAsia="Times New Roman" w:cs="Calibri"/>
                <w:sz w:val="18"/>
                <w:szCs w:val="18"/>
              </w:rPr>
            </w:pPr>
            <w:r w:rsidRPr="004E13E9">
              <w:rPr>
                <w:sz w:val="18"/>
                <w:szCs w:val="18"/>
              </w:rPr>
              <w:t>2024</w:t>
            </w:r>
          </w:p>
        </w:tc>
        <w:tc>
          <w:tcPr>
            <w:tcW w:w="0" w:type="auto"/>
            <w:vAlign w:val="center"/>
          </w:tcPr>
          <w:p w14:paraId="1403A215" w14:textId="77777777" w:rsidR="002F5AFF" w:rsidRPr="004E13E9" w:rsidRDefault="002F5AFF" w:rsidP="00E62E84">
            <w:pPr>
              <w:jc w:val="center"/>
              <w:rPr>
                <w:rFonts w:eastAsia="Times New Roman" w:cs="Calibri"/>
                <w:sz w:val="18"/>
                <w:szCs w:val="18"/>
              </w:rPr>
            </w:pPr>
            <w:r w:rsidRPr="004E13E9">
              <w:rPr>
                <w:sz w:val="18"/>
                <w:szCs w:val="18"/>
              </w:rPr>
              <w:t>2025</w:t>
            </w:r>
          </w:p>
        </w:tc>
        <w:tc>
          <w:tcPr>
            <w:tcW w:w="0" w:type="auto"/>
            <w:vAlign w:val="center"/>
          </w:tcPr>
          <w:p w14:paraId="6A6DC982" w14:textId="77777777" w:rsidR="002F5AFF" w:rsidRPr="004E13E9" w:rsidRDefault="002F5AFF" w:rsidP="00E62E84">
            <w:pPr>
              <w:jc w:val="center"/>
              <w:rPr>
                <w:rFonts w:eastAsia="Times New Roman" w:cs="Calibri"/>
                <w:sz w:val="18"/>
                <w:szCs w:val="18"/>
              </w:rPr>
            </w:pPr>
            <w:r w:rsidRPr="004E13E9">
              <w:rPr>
                <w:sz w:val="18"/>
                <w:szCs w:val="18"/>
              </w:rPr>
              <w:t>2026</w:t>
            </w:r>
          </w:p>
        </w:tc>
        <w:tc>
          <w:tcPr>
            <w:tcW w:w="0" w:type="auto"/>
            <w:shd w:val="clear" w:color="000000" w:fill="D9D9D9"/>
            <w:vAlign w:val="center"/>
            <w:hideMark/>
          </w:tcPr>
          <w:p w14:paraId="10D85DD1" w14:textId="77777777" w:rsidR="002F5AFF" w:rsidRPr="004E13E9" w:rsidRDefault="002F5AFF" w:rsidP="00E62E84">
            <w:pPr>
              <w:jc w:val="center"/>
              <w:rPr>
                <w:rFonts w:eastAsia="Times New Roman" w:cs="Calibri"/>
                <w:sz w:val="18"/>
                <w:szCs w:val="18"/>
                <w:lang w:eastAsia="ja-JP"/>
              </w:rPr>
            </w:pPr>
          </w:p>
        </w:tc>
        <w:tc>
          <w:tcPr>
            <w:tcW w:w="0" w:type="auto"/>
            <w:vAlign w:val="center"/>
          </w:tcPr>
          <w:p w14:paraId="5793C961" w14:textId="77777777" w:rsidR="002F5AFF" w:rsidRPr="004E13E9" w:rsidRDefault="002F5AFF" w:rsidP="00E62E84">
            <w:pPr>
              <w:jc w:val="center"/>
              <w:rPr>
                <w:rFonts w:eastAsia="Times New Roman" w:cs="Calibri"/>
                <w:sz w:val="18"/>
                <w:szCs w:val="18"/>
              </w:rPr>
            </w:pPr>
            <w:r w:rsidRPr="004E13E9">
              <w:rPr>
                <w:sz w:val="18"/>
                <w:szCs w:val="18"/>
              </w:rPr>
              <w:t>2006</w:t>
            </w:r>
          </w:p>
        </w:tc>
        <w:tc>
          <w:tcPr>
            <w:tcW w:w="0" w:type="auto"/>
            <w:vAlign w:val="center"/>
            <w:hideMark/>
          </w:tcPr>
          <w:p w14:paraId="5BA17FC1" w14:textId="77777777" w:rsidR="002F5AFF" w:rsidRPr="004E13E9" w:rsidRDefault="002F5AFF" w:rsidP="00E62E84">
            <w:pPr>
              <w:jc w:val="center"/>
              <w:rPr>
                <w:rFonts w:eastAsia="Times New Roman" w:cs="Calibri"/>
                <w:sz w:val="18"/>
                <w:szCs w:val="18"/>
              </w:rPr>
            </w:pPr>
            <w:r w:rsidRPr="004E13E9">
              <w:rPr>
                <w:sz w:val="18"/>
                <w:szCs w:val="18"/>
              </w:rPr>
              <w:t>2008</w:t>
            </w:r>
          </w:p>
        </w:tc>
        <w:tc>
          <w:tcPr>
            <w:tcW w:w="0" w:type="auto"/>
            <w:vAlign w:val="center"/>
            <w:hideMark/>
          </w:tcPr>
          <w:p w14:paraId="5DAEF012" w14:textId="77777777" w:rsidR="002F5AFF" w:rsidRPr="004E13E9" w:rsidRDefault="002F5AFF" w:rsidP="00E62E84">
            <w:pPr>
              <w:jc w:val="center"/>
              <w:rPr>
                <w:rFonts w:eastAsia="Times New Roman" w:cs="Calibri"/>
                <w:sz w:val="18"/>
                <w:szCs w:val="18"/>
              </w:rPr>
            </w:pPr>
            <w:r w:rsidRPr="004E13E9">
              <w:rPr>
                <w:sz w:val="18"/>
                <w:szCs w:val="18"/>
              </w:rPr>
              <w:t>2018</w:t>
            </w:r>
          </w:p>
        </w:tc>
        <w:tc>
          <w:tcPr>
            <w:tcW w:w="0" w:type="auto"/>
            <w:vAlign w:val="center"/>
            <w:hideMark/>
          </w:tcPr>
          <w:p w14:paraId="1B3CBE07" w14:textId="77777777" w:rsidR="002F5AFF" w:rsidRPr="004E13E9" w:rsidRDefault="002F5AFF" w:rsidP="00E62E84">
            <w:pPr>
              <w:jc w:val="center"/>
              <w:rPr>
                <w:rFonts w:eastAsia="Times New Roman" w:cs="Calibri"/>
                <w:sz w:val="18"/>
                <w:szCs w:val="18"/>
              </w:rPr>
            </w:pPr>
            <w:r w:rsidRPr="004E13E9">
              <w:rPr>
                <w:sz w:val="18"/>
                <w:szCs w:val="18"/>
              </w:rPr>
              <w:t>2023</w:t>
            </w:r>
          </w:p>
        </w:tc>
        <w:tc>
          <w:tcPr>
            <w:tcW w:w="0" w:type="auto"/>
            <w:vAlign w:val="center"/>
            <w:hideMark/>
          </w:tcPr>
          <w:p w14:paraId="0452E412" w14:textId="77777777" w:rsidR="002F5AFF" w:rsidRPr="004E13E9" w:rsidRDefault="002F5AFF" w:rsidP="00E62E84">
            <w:pPr>
              <w:jc w:val="center"/>
              <w:rPr>
                <w:rFonts w:eastAsia="Times New Roman" w:cs="Calibri"/>
                <w:sz w:val="18"/>
                <w:szCs w:val="18"/>
              </w:rPr>
            </w:pPr>
            <w:r w:rsidRPr="004E13E9">
              <w:rPr>
                <w:sz w:val="18"/>
                <w:szCs w:val="18"/>
              </w:rPr>
              <w:t>2024</w:t>
            </w:r>
          </w:p>
        </w:tc>
        <w:tc>
          <w:tcPr>
            <w:tcW w:w="0" w:type="auto"/>
            <w:vAlign w:val="center"/>
            <w:hideMark/>
          </w:tcPr>
          <w:p w14:paraId="7B042BA0" w14:textId="77777777" w:rsidR="002F5AFF" w:rsidRPr="004E13E9" w:rsidRDefault="002F5AFF" w:rsidP="00E62E84">
            <w:pPr>
              <w:jc w:val="center"/>
              <w:rPr>
                <w:rFonts w:eastAsia="Times New Roman" w:cs="Calibri"/>
                <w:sz w:val="18"/>
                <w:szCs w:val="18"/>
              </w:rPr>
            </w:pPr>
            <w:r w:rsidRPr="004E13E9">
              <w:rPr>
                <w:sz w:val="18"/>
                <w:szCs w:val="18"/>
              </w:rPr>
              <w:t>2025</w:t>
            </w:r>
          </w:p>
        </w:tc>
        <w:tc>
          <w:tcPr>
            <w:tcW w:w="0" w:type="auto"/>
            <w:vAlign w:val="center"/>
          </w:tcPr>
          <w:p w14:paraId="6A0A95F4" w14:textId="77777777" w:rsidR="002F5AFF" w:rsidRPr="004E13E9" w:rsidRDefault="002F5AFF" w:rsidP="00E62E84">
            <w:pPr>
              <w:jc w:val="center"/>
              <w:rPr>
                <w:rFonts w:eastAsia="Times New Roman" w:cs="Calibri"/>
                <w:sz w:val="18"/>
                <w:szCs w:val="18"/>
              </w:rPr>
            </w:pPr>
            <w:r w:rsidRPr="004E13E9">
              <w:rPr>
                <w:sz w:val="18"/>
                <w:szCs w:val="18"/>
              </w:rPr>
              <w:t>2026</w:t>
            </w:r>
          </w:p>
        </w:tc>
      </w:tr>
      <w:tr w:rsidR="002F5AFF" w:rsidRPr="004E13E9" w14:paraId="3FA6503A" w14:textId="77777777" w:rsidTr="00E62E84">
        <w:trPr>
          <w:trHeight w:val="20"/>
        </w:trPr>
        <w:tc>
          <w:tcPr>
            <w:tcW w:w="0" w:type="auto"/>
            <w:noWrap/>
            <w:vAlign w:val="center"/>
            <w:hideMark/>
          </w:tcPr>
          <w:p w14:paraId="12AB167E" w14:textId="77777777" w:rsidR="002F5AFF" w:rsidRPr="004E13E9" w:rsidRDefault="002F5AFF" w:rsidP="00E62E84">
            <w:pPr>
              <w:rPr>
                <w:rFonts w:eastAsia="Times New Roman" w:cs="Calibri"/>
                <w:sz w:val="18"/>
                <w:szCs w:val="18"/>
                <w:lang w:val="fr-FR"/>
              </w:rPr>
            </w:pPr>
            <w:r w:rsidRPr="004E13E9">
              <w:rPr>
                <w:sz w:val="18"/>
                <w:szCs w:val="18"/>
                <w:lang w:val="fr-FR"/>
              </w:rPr>
              <w:t>Senneur de plus de 40 m</w:t>
            </w:r>
          </w:p>
        </w:tc>
        <w:tc>
          <w:tcPr>
            <w:tcW w:w="2102" w:type="dxa"/>
            <w:noWrap/>
            <w:vAlign w:val="center"/>
            <w:hideMark/>
          </w:tcPr>
          <w:p w14:paraId="488A94E6" w14:textId="77777777" w:rsidR="002F5AFF" w:rsidRPr="004E13E9" w:rsidRDefault="002F5AFF" w:rsidP="00E62E84">
            <w:pPr>
              <w:jc w:val="center"/>
              <w:rPr>
                <w:rFonts w:eastAsia="Times New Roman" w:cs="Calibri"/>
                <w:sz w:val="18"/>
                <w:szCs w:val="18"/>
              </w:rPr>
            </w:pPr>
            <w:r w:rsidRPr="004E13E9">
              <w:rPr>
                <w:sz w:val="18"/>
                <w:szCs w:val="18"/>
              </w:rPr>
              <w:t>70,66</w:t>
            </w:r>
          </w:p>
        </w:tc>
        <w:tc>
          <w:tcPr>
            <w:tcW w:w="615" w:type="dxa"/>
          </w:tcPr>
          <w:p w14:paraId="077F0D15" w14:textId="77777777" w:rsidR="002F5AFF" w:rsidRPr="004E13E9" w:rsidRDefault="002F5AFF" w:rsidP="00E62E84">
            <w:pPr>
              <w:rPr>
                <w:rFonts w:eastAsia="Times New Roman" w:cs="Calibri"/>
                <w:sz w:val="18"/>
                <w:szCs w:val="18"/>
                <w:lang w:eastAsia="ja-JP"/>
              </w:rPr>
            </w:pPr>
          </w:p>
        </w:tc>
        <w:tc>
          <w:tcPr>
            <w:tcW w:w="0" w:type="auto"/>
            <w:noWrap/>
            <w:vAlign w:val="center"/>
            <w:hideMark/>
          </w:tcPr>
          <w:p w14:paraId="302583B8" w14:textId="77777777" w:rsidR="002F5AFF" w:rsidRPr="004E13E9" w:rsidRDefault="002F5AFF" w:rsidP="00E62E84">
            <w:pPr>
              <w:rPr>
                <w:rFonts w:eastAsia="Times New Roman" w:cs="Calibri"/>
                <w:sz w:val="18"/>
                <w:szCs w:val="18"/>
              </w:rPr>
            </w:pPr>
            <w:r w:rsidRPr="004E13E9">
              <w:rPr>
                <w:sz w:val="18"/>
                <w:szCs w:val="18"/>
              </w:rPr>
              <w:t> </w:t>
            </w:r>
          </w:p>
        </w:tc>
        <w:tc>
          <w:tcPr>
            <w:tcW w:w="0" w:type="auto"/>
            <w:vAlign w:val="center"/>
            <w:hideMark/>
          </w:tcPr>
          <w:p w14:paraId="2A3B0050" w14:textId="77777777" w:rsidR="002F5AFF" w:rsidRPr="004E13E9" w:rsidRDefault="002F5AFF" w:rsidP="00E62E84">
            <w:pPr>
              <w:rPr>
                <w:rFonts w:eastAsia="Times New Roman" w:cs="Calibri"/>
                <w:sz w:val="18"/>
                <w:szCs w:val="18"/>
                <w:lang w:eastAsia="ja-JP"/>
              </w:rPr>
            </w:pPr>
          </w:p>
        </w:tc>
        <w:tc>
          <w:tcPr>
            <w:tcW w:w="0" w:type="auto"/>
            <w:vAlign w:val="center"/>
            <w:hideMark/>
          </w:tcPr>
          <w:p w14:paraId="3487C811" w14:textId="77777777" w:rsidR="002F5AFF" w:rsidRPr="004E13E9" w:rsidRDefault="002F5AFF" w:rsidP="00E62E84">
            <w:pPr>
              <w:rPr>
                <w:rFonts w:eastAsia="Times New Roman" w:cs="Calibri"/>
                <w:sz w:val="18"/>
                <w:szCs w:val="18"/>
              </w:rPr>
            </w:pPr>
            <w:r w:rsidRPr="004E13E9">
              <w:rPr>
                <w:sz w:val="18"/>
                <w:szCs w:val="18"/>
              </w:rPr>
              <w:t>2</w:t>
            </w:r>
          </w:p>
        </w:tc>
        <w:tc>
          <w:tcPr>
            <w:tcW w:w="0" w:type="auto"/>
            <w:vAlign w:val="center"/>
            <w:hideMark/>
          </w:tcPr>
          <w:p w14:paraId="58130732" w14:textId="77777777" w:rsidR="002F5AFF" w:rsidRPr="004E13E9" w:rsidRDefault="002F5AFF" w:rsidP="00E62E84">
            <w:pPr>
              <w:rPr>
                <w:rFonts w:eastAsia="Times New Roman" w:cs="Calibri"/>
                <w:sz w:val="18"/>
                <w:szCs w:val="18"/>
              </w:rPr>
            </w:pPr>
            <w:r w:rsidRPr="004E13E9">
              <w:rPr>
                <w:sz w:val="18"/>
                <w:szCs w:val="18"/>
              </w:rPr>
              <w:t>2</w:t>
            </w:r>
          </w:p>
        </w:tc>
        <w:tc>
          <w:tcPr>
            <w:tcW w:w="0" w:type="auto"/>
            <w:vAlign w:val="center"/>
          </w:tcPr>
          <w:p w14:paraId="6D07ECE4" w14:textId="77777777" w:rsidR="002F5AFF" w:rsidRPr="004E13E9" w:rsidRDefault="002F5AFF" w:rsidP="00E62E84">
            <w:pPr>
              <w:rPr>
                <w:rFonts w:eastAsia="Times New Roman" w:cs="Calibri"/>
                <w:sz w:val="18"/>
                <w:szCs w:val="18"/>
              </w:rPr>
            </w:pPr>
            <w:r w:rsidRPr="004E13E9">
              <w:rPr>
                <w:sz w:val="18"/>
                <w:szCs w:val="18"/>
              </w:rPr>
              <w:t>2</w:t>
            </w:r>
          </w:p>
        </w:tc>
        <w:tc>
          <w:tcPr>
            <w:tcW w:w="0" w:type="auto"/>
            <w:vAlign w:val="center"/>
          </w:tcPr>
          <w:p w14:paraId="6417DDF6" w14:textId="77777777" w:rsidR="002F5AFF" w:rsidRPr="004E13E9" w:rsidRDefault="002F5AFF" w:rsidP="00E62E84">
            <w:pPr>
              <w:jc w:val="center"/>
              <w:rPr>
                <w:rFonts w:eastAsia="Times New Roman" w:cs="Calibri"/>
                <w:sz w:val="18"/>
                <w:szCs w:val="18"/>
              </w:rPr>
            </w:pPr>
            <w:r w:rsidRPr="004E13E9">
              <w:rPr>
                <w:sz w:val="18"/>
                <w:szCs w:val="18"/>
              </w:rPr>
              <w:t>4</w:t>
            </w:r>
          </w:p>
        </w:tc>
        <w:tc>
          <w:tcPr>
            <w:tcW w:w="0" w:type="auto"/>
            <w:shd w:val="clear" w:color="000000" w:fill="D9D9D9"/>
            <w:vAlign w:val="center"/>
            <w:hideMark/>
          </w:tcPr>
          <w:p w14:paraId="02AB1F61" w14:textId="77777777" w:rsidR="002F5AFF" w:rsidRPr="004E13E9" w:rsidRDefault="002F5AFF" w:rsidP="00E62E84">
            <w:pPr>
              <w:rPr>
                <w:rFonts w:eastAsia="Times New Roman" w:cs="Calibri"/>
                <w:sz w:val="18"/>
                <w:szCs w:val="18"/>
              </w:rPr>
            </w:pPr>
            <w:r w:rsidRPr="004E13E9">
              <w:rPr>
                <w:sz w:val="18"/>
                <w:szCs w:val="18"/>
              </w:rPr>
              <w:t> </w:t>
            </w:r>
          </w:p>
        </w:tc>
        <w:tc>
          <w:tcPr>
            <w:tcW w:w="0" w:type="auto"/>
          </w:tcPr>
          <w:p w14:paraId="79DF8D1F" w14:textId="77777777" w:rsidR="002F5AFF" w:rsidRPr="004E13E9" w:rsidRDefault="002F5AFF" w:rsidP="00E62E84">
            <w:pPr>
              <w:rPr>
                <w:rFonts w:eastAsia="Times New Roman" w:cs="Calibri"/>
                <w:sz w:val="18"/>
                <w:szCs w:val="18"/>
                <w:lang w:eastAsia="ja-JP"/>
              </w:rPr>
            </w:pPr>
          </w:p>
        </w:tc>
        <w:tc>
          <w:tcPr>
            <w:tcW w:w="0" w:type="auto"/>
            <w:vAlign w:val="center"/>
            <w:hideMark/>
          </w:tcPr>
          <w:p w14:paraId="1035EA02" w14:textId="77777777" w:rsidR="002F5AFF" w:rsidRPr="004E13E9" w:rsidRDefault="002F5AFF" w:rsidP="00E62E84">
            <w:pPr>
              <w:rPr>
                <w:rFonts w:eastAsia="Times New Roman" w:cs="Calibri"/>
                <w:sz w:val="18"/>
                <w:szCs w:val="18"/>
                <w:lang w:eastAsia="ja-JP"/>
              </w:rPr>
            </w:pPr>
          </w:p>
        </w:tc>
        <w:tc>
          <w:tcPr>
            <w:tcW w:w="0" w:type="auto"/>
            <w:vAlign w:val="center"/>
            <w:hideMark/>
          </w:tcPr>
          <w:p w14:paraId="7F5F0FFC" w14:textId="77777777" w:rsidR="002F5AFF" w:rsidRPr="004E13E9" w:rsidRDefault="002F5AFF" w:rsidP="00E62E84">
            <w:pPr>
              <w:rPr>
                <w:rFonts w:eastAsia="Times New Roman" w:cs="Calibri"/>
                <w:sz w:val="18"/>
                <w:szCs w:val="18"/>
                <w:lang w:eastAsia="ja-JP"/>
              </w:rPr>
            </w:pPr>
          </w:p>
        </w:tc>
        <w:tc>
          <w:tcPr>
            <w:tcW w:w="0" w:type="auto"/>
            <w:vAlign w:val="center"/>
            <w:hideMark/>
          </w:tcPr>
          <w:p w14:paraId="7CF53EC3" w14:textId="77777777" w:rsidR="002F5AFF" w:rsidRPr="004E13E9" w:rsidRDefault="002F5AFF" w:rsidP="00E62E84">
            <w:pPr>
              <w:rPr>
                <w:rFonts w:eastAsia="Times New Roman" w:cs="Calibri"/>
                <w:sz w:val="18"/>
                <w:szCs w:val="18"/>
              </w:rPr>
            </w:pPr>
            <w:r w:rsidRPr="004E13E9">
              <w:rPr>
                <w:sz w:val="18"/>
                <w:szCs w:val="18"/>
              </w:rPr>
              <w:t>141,4</w:t>
            </w:r>
          </w:p>
        </w:tc>
        <w:tc>
          <w:tcPr>
            <w:tcW w:w="0" w:type="auto"/>
            <w:vAlign w:val="center"/>
            <w:hideMark/>
          </w:tcPr>
          <w:p w14:paraId="6775C7BB" w14:textId="77777777" w:rsidR="002F5AFF" w:rsidRPr="004E13E9" w:rsidRDefault="002F5AFF" w:rsidP="00E62E84">
            <w:pPr>
              <w:rPr>
                <w:rFonts w:eastAsia="Times New Roman" w:cs="Calibri"/>
                <w:sz w:val="18"/>
                <w:szCs w:val="18"/>
              </w:rPr>
            </w:pPr>
            <w:r w:rsidRPr="004E13E9">
              <w:rPr>
                <w:sz w:val="18"/>
                <w:szCs w:val="18"/>
              </w:rPr>
              <w:t>141,4</w:t>
            </w:r>
          </w:p>
        </w:tc>
        <w:tc>
          <w:tcPr>
            <w:tcW w:w="0" w:type="auto"/>
            <w:vAlign w:val="center"/>
            <w:hideMark/>
          </w:tcPr>
          <w:p w14:paraId="2C7C4BBE" w14:textId="77777777" w:rsidR="002F5AFF" w:rsidRPr="004E13E9" w:rsidRDefault="002F5AFF" w:rsidP="00E62E84">
            <w:pPr>
              <w:rPr>
                <w:rFonts w:eastAsia="Times New Roman" w:cs="Calibri"/>
                <w:sz w:val="18"/>
                <w:szCs w:val="18"/>
              </w:rPr>
            </w:pPr>
            <w:r w:rsidRPr="004E13E9">
              <w:rPr>
                <w:sz w:val="18"/>
                <w:szCs w:val="18"/>
              </w:rPr>
              <w:t>141,4</w:t>
            </w:r>
          </w:p>
        </w:tc>
        <w:tc>
          <w:tcPr>
            <w:tcW w:w="0" w:type="auto"/>
            <w:vAlign w:val="center"/>
          </w:tcPr>
          <w:p w14:paraId="377286B3" w14:textId="77777777" w:rsidR="002F5AFF" w:rsidRPr="004E13E9" w:rsidRDefault="002F5AFF" w:rsidP="00E62E84">
            <w:pPr>
              <w:rPr>
                <w:rFonts w:eastAsia="Times New Roman" w:cs="Calibri"/>
                <w:sz w:val="18"/>
                <w:szCs w:val="18"/>
              </w:rPr>
            </w:pPr>
            <w:r w:rsidRPr="004E13E9">
              <w:rPr>
                <w:sz w:val="18"/>
                <w:szCs w:val="18"/>
              </w:rPr>
              <w:t>282,8</w:t>
            </w:r>
          </w:p>
        </w:tc>
      </w:tr>
      <w:tr w:rsidR="002F5AFF" w:rsidRPr="004E13E9" w14:paraId="064DE5C8" w14:textId="77777777" w:rsidTr="00E62E84">
        <w:trPr>
          <w:trHeight w:val="20"/>
        </w:trPr>
        <w:tc>
          <w:tcPr>
            <w:tcW w:w="0" w:type="auto"/>
            <w:noWrap/>
            <w:vAlign w:val="center"/>
            <w:hideMark/>
          </w:tcPr>
          <w:p w14:paraId="6A609AAF" w14:textId="77777777" w:rsidR="002F5AFF" w:rsidRPr="004E13E9" w:rsidRDefault="002F5AFF" w:rsidP="00E62E84">
            <w:pPr>
              <w:rPr>
                <w:rFonts w:eastAsia="Times New Roman" w:cs="Calibri"/>
                <w:sz w:val="18"/>
                <w:szCs w:val="18"/>
              </w:rPr>
            </w:pPr>
            <w:proofErr w:type="spellStart"/>
            <w:r w:rsidRPr="004E13E9">
              <w:rPr>
                <w:sz w:val="18"/>
                <w:szCs w:val="18"/>
              </w:rPr>
              <w:t>Senneur</w:t>
            </w:r>
            <w:proofErr w:type="spellEnd"/>
            <w:r w:rsidRPr="004E13E9">
              <w:rPr>
                <w:sz w:val="18"/>
                <w:szCs w:val="18"/>
              </w:rPr>
              <w:t xml:space="preserve"> entre 24 et 40 m</w:t>
            </w:r>
          </w:p>
        </w:tc>
        <w:tc>
          <w:tcPr>
            <w:tcW w:w="2102" w:type="dxa"/>
            <w:noWrap/>
            <w:vAlign w:val="center"/>
            <w:hideMark/>
          </w:tcPr>
          <w:p w14:paraId="171B0EB5" w14:textId="77777777" w:rsidR="002F5AFF" w:rsidRPr="004E13E9" w:rsidRDefault="002F5AFF" w:rsidP="00E62E84">
            <w:pPr>
              <w:jc w:val="center"/>
              <w:rPr>
                <w:rFonts w:eastAsia="Times New Roman" w:cs="Calibri"/>
                <w:sz w:val="18"/>
                <w:szCs w:val="18"/>
              </w:rPr>
            </w:pPr>
            <w:r w:rsidRPr="004E13E9">
              <w:rPr>
                <w:sz w:val="18"/>
                <w:szCs w:val="18"/>
              </w:rPr>
              <w:t>49,78</w:t>
            </w:r>
          </w:p>
        </w:tc>
        <w:tc>
          <w:tcPr>
            <w:tcW w:w="615" w:type="dxa"/>
          </w:tcPr>
          <w:p w14:paraId="040FF526" w14:textId="77777777" w:rsidR="002F5AFF" w:rsidRPr="004E13E9" w:rsidRDefault="002F5AFF" w:rsidP="00E62E84">
            <w:pPr>
              <w:rPr>
                <w:rFonts w:eastAsia="Times New Roman" w:cs="Calibri"/>
                <w:sz w:val="18"/>
                <w:szCs w:val="18"/>
                <w:lang w:eastAsia="ja-JP"/>
              </w:rPr>
            </w:pPr>
          </w:p>
        </w:tc>
        <w:tc>
          <w:tcPr>
            <w:tcW w:w="0" w:type="auto"/>
            <w:noWrap/>
            <w:vAlign w:val="center"/>
            <w:hideMark/>
          </w:tcPr>
          <w:p w14:paraId="733C598A" w14:textId="77777777" w:rsidR="002F5AFF" w:rsidRPr="004E13E9" w:rsidRDefault="002F5AFF" w:rsidP="00E62E84">
            <w:pPr>
              <w:rPr>
                <w:rFonts w:eastAsia="Times New Roman" w:cs="Calibri"/>
                <w:sz w:val="18"/>
                <w:szCs w:val="18"/>
              </w:rPr>
            </w:pPr>
            <w:r w:rsidRPr="004E13E9">
              <w:rPr>
                <w:sz w:val="18"/>
                <w:szCs w:val="18"/>
              </w:rPr>
              <w:t> </w:t>
            </w:r>
          </w:p>
        </w:tc>
        <w:tc>
          <w:tcPr>
            <w:tcW w:w="0" w:type="auto"/>
            <w:vAlign w:val="center"/>
            <w:hideMark/>
          </w:tcPr>
          <w:p w14:paraId="6D43FFD0" w14:textId="77777777" w:rsidR="002F5AFF" w:rsidRPr="004E13E9" w:rsidRDefault="002F5AFF" w:rsidP="00E62E84">
            <w:pPr>
              <w:rPr>
                <w:rFonts w:eastAsia="Times New Roman" w:cs="Calibri"/>
                <w:sz w:val="18"/>
                <w:szCs w:val="18"/>
              </w:rPr>
            </w:pPr>
            <w:r w:rsidRPr="004E13E9">
              <w:rPr>
                <w:sz w:val="18"/>
                <w:szCs w:val="18"/>
              </w:rPr>
              <w:t>2</w:t>
            </w:r>
          </w:p>
        </w:tc>
        <w:tc>
          <w:tcPr>
            <w:tcW w:w="0" w:type="auto"/>
            <w:vAlign w:val="center"/>
            <w:hideMark/>
          </w:tcPr>
          <w:p w14:paraId="64B9B1FE" w14:textId="77777777" w:rsidR="002F5AFF" w:rsidRPr="004E13E9" w:rsidRDefault="002F5AFF" w:rsidP="00E62E84">
            <w:pPr>
              <w:rPr>
                <w:rFonts w:eastAsia="Times New Roman" w:cs="Calibri"/>
                <w:sz w:val="18"/>
                <w:szCs w:val="18"/>
              </w:rPr>
            </w:pPr>
            <w:r w:rsidRPr="004E13E9">
              <w:rPr>
                <w:sz w:val="18"/>
                <w:szCs w:val="18"/>
              </w:rPr>
              <w:t>6</w:t>
            </w:r>
          </w:p>
        </w:tc>
        <w:tc>
          <w:tcPr>
            <w:tcW w:w="0" w:type="auto"/>
            <w:vAlign w:val="center"/>
            <w:hideMark/>
          </w:tcPr>
          <w:p w14:paraId="42EE389C" w14:textId="77777777" w:rsidR="002F5AFF" w:rsidRPr="004E13E9" w:rsidRDefault="002F5AFF" w:rsidP="00E62E84">
            <w:pPr>
              <w:rPr>
                <w:rFonts w:eastAsia="Times New Roman" w:cs="Calibri"/>
                <w:sz w:val="18"/>
                <w:szCs w:val="18"/>
              </w:rPr>
            </w:pPr>
            <w:r w:rsidRPr="004E13E9">
              <w:rPr>
                <w:sz w:val="18"/>
                <w:szCs w:val="18"/>
              </w:rPr>
              <w:t>5</w:t>
            </w:r>
          </w:p>
        </w:tc>
        <w:tc>
          <w:tcPr>
            <w:tcW w:w="0" w:type="auto"/>
            <w:vAlign w:val="center"/>
          </w:tcPr>
          <w:p w14:paraId="47FEA29F" w14:textId="77777777" w:rsidR="002F5AFF" w:rsidRPr="004E13E9" w:rsidRDefault="002F5AFF" w:rsidP="00E62E84">
            <w:pPr>
              <w:rPr>
                <w:rFonts w:eastAsia="Times New Roman" w:cs="Calibri"/>
                <w:sz w:val="18"/>
                <w:szCs w:val="18"/>
              </w:rPr>
            </w:pPr>
            <w:r w:rsidRPr="004E13E9">
              <w:rPr>
                <w:sz w:val="18"/>
                <w:szCs w:val="18"/>
              </w:rPr>
              <w:t>5</w:t>
            </w:r>
          </w:p>
        </w:tc>
        <w:tc>
          <w:tcPr>
            <w:tcW w:w="0" w:type="auto"/>
            <w:vAlign w:val="center"/>
          </w:tcPr>
          <w:p w14:paraId="0EB18176" w14:textId="77777777" w:rsidR="002F5AFF" w:rsidRPr="004E13E9" w:rsidRDefault="002F5AFF" w:rsidP="00E62E84">
            <w:pPr>
              <w:jc w:val="center"/>
              <w:rPr>
                <w:rFonts w:eastAsia="Times New Roman" w:cs="Calibri"/>
                <w:sz w:val="18"/>
                <w:szCs w:val="18"/>
              </w:rPr>
            </w:pPr>
            <w:r w:rsidRPr="004E13E9">
              <w:rPr>
                <w:sz w:val="18"/>
                <w:szCs w:val="18"/>
              </w:rPr>
              <w:t>6</w:t>
            </w:r>
          </w:p>
        </w:tc>
        <w:tc>
          <w:tcPr>
            <w:tcW w:w="0" w:type="auto"/>
            <w:shd w:val="clear" w:color="000000" w:fill="D9D9D9"/>
            <w:vAlign w:val="center"/>
            <w:hideMark/>
          </w:tcPr>
          <w:p w14:paraId="4AC03B39" w14:textId="77777777" w:rsidR="002F5AFF" w:rsidRPr="004E13E9" w:rsidRDefault="002F5AFF" w:rsidP="00E62E84">
            <w:pPr>
              <w:rPr>
                <w:rFonts w:eastAsia="Times New Roman" w:cs="Calibri"/>
                <w:sz w:val="18"/>
                <w:szCs w:val="18"/>
              </w:rPr>
            </w:pPr>
            <w:r w:rsidRPr="004E13E9">
              <w:rPr>
                <w:sz w:val="18"/>
                <w:szCs w:val="18"/>
              </w:rPr>
              <w:t> </w:t>
            </w:r>
          </w:p>
        </w:tc>
        <w:tc>
          <w:tcPr>
            <w:tcW w:w="0" w:type="auto"/>
          </w:tcPr>
          <w:p w14:paraId="4BACCBC1" w14:textId="77777777" w:rsidR="002F5AFF" w:rsidRPr="004E13E9" w:rsidRDefault="002F5AFF" w:rsidP="00E62E84">
            <w:pPr>
              <w:rPr>
                <w:rFonts w:eastAsia="Times New Roman" w:cs="Calibri"/>
                <w:sz w:val="18"/>
                <w:szCs w:val="18"/>
                <w:lang w:eastAsia="ja-JP"/>
              </w:rPr>
            </w:pPr>
          </w:p>
        </w:tc>
        <w:tc>
          <w:tcPr>
            <w:tcW w:w="0" w:type="auto"/>
            <w:vAlign w:val="center"/>
            <w:hideMark/>
          </w:tcPr>
          <w:p w14:paraId="3F1180FB" w14:textId="77777777" w:rsidR="002F5AFF" w:rsidRPr="004E13E9" w:rsidRDefault="002F5AFF" w:rsidP="00E62E84">
            <w:pPr>
              <w:rPr>
                <w:rFonts w:eastAsia="Times New Roman" w:cs="Calibri"/>
                <w:sz w:val="18"/>
                <w:szCs w:val="18"/>
                <w:lang w:eastAsia="ja-JP"/>
              </w:rPr>
            </w:pPr>
          </w:p>
        </w:tc>
        <w:tc>
          <w:tcPr>
            <w:tcW w:w="0" w:type="auto"/>
            <w:vAlign w:val="center"/>
            <w:hideMark/>
          </w:tcPr>
          <w:p w14:paraId="1D8DFD2B" w14:textId="77777777" w:rsidR="002F5AFF" w:rsidRPr="004E13E9" w:rsidRDefault="002F5AFF" w:rsidP="00E62E84">
            <w:pPr>
              <w:rPr>
                <w:rFonts w:eastAsia="Times New Roman" w:cs="Calibri"/>
                <w:sz w:val="18"/>
                <w:szCs w:val="18"/>
              </w:rPr>
            </w:pPr>
            <w:r w:rsidRPr="004E13E9">
              <w:rPr>
                <w:sz w:val="18"/>
                <w:szCs w:val="18"/>
              </w:rPr>
              <w:t>99,56</w:t>
            </w:r>
          </w:p>
        </w:tc>
        <w:tc>
          <w:tcPr>
            <w:tcW w:w="0" w:type="auto"/>
            <w:vAlign w:val="center"/>
            <w:hideMark/>
          </w:tcPr>
          <w:p w14:paraId="6B36283F" w14:textId="77777777" w:rsidR="002F5AFF" w:rsidRPr="004E13E9" w:rsidRDefault="002F5AFF" w:rsidP="00E62E84">
            <w:pPr>
              <w:rPr>
                <w:rFonts w:eastAsia="Times New Roman" w:cs="Calibri"/>
                <w:sz w:val="18"/>
                <w:szCs w:val="18"/>
              </w:rPr>
            </w:pPr>
            <w:r w:rsidRPr="004E13E9">
              <w:rPr>
                <w:sz w:val="18"/>
                <w:szCs w:val="18"/>
              </w:rPr>
              <w:t>298,68</w:t>
            </w:r>
          </w:p>
        </w:tc>
        <w:tc>
          <w:tcPr>
            <w:tcW w:w="0" w:type="auto"/>
            <w:vAlign w:val="center"/>
            <w:hideMark/>
          </w:tcPr>
          <w:p w14:paraId="17B2D99F" w14:textId="77777777" w:rsidR="002F5AFF" w:rsidRPr="004E13E9" w:rsidRDefault="002F5AFF" w:rsidP="00E62E84">
            <w:pPr>
              <w:rPr>
                <w:rFonts w:eastAsia="Times New Roman" w:cs="Calibri"/>
                <w:sz w:val="18"/>
                <w:szCs w:val="18"/>
              </w:rPr>
            </w:pPr>
            <w:r w:rsidRPr="004E13E9">
              <w:rPr>
                <w:sz w:val="18"/>
                <w:szCs w:val="18"/>
              </w:rPr>
              <w:t>248,9</w:t>
            </w:r>
          </w:p>
        </w:tc>
        <w:tc>
          <w:tcPr>
            <w:tcW w:w="0" w:type="auto"/>
            <w:vAlign w:val="center"/>
            <w:hideMark/>
          </w:tcPr>
          <w:p w14:paraId="43536F6B" w14:textId="77777777" w:rsidR="002F5AFF" w:rsidRPr="004E13E9" w:rsidRDefault="002F5AFF" w:rsidP="00E62E84">
            <w:pPr>
              <w:rPr>
                <w:rFonts w:eastAsia="Times New Roman" w:cs="Calibri"/>
                <w:sz w:val="18"/>
                <w:szCs w:val="18"/>
              </w:rPr>
            </w:pPr>
            <w:r w:rsidRPr="004E13E9">
              <w:rPr>
                <w:sz w:val="18"/>
                <w:szCs w:val="18"/>
              </w:rPr>
              <w:t>248,9</w:t>
            </w:r>
          </w:p>
        </w:tc>
        <w:tc>
          <w:tcPr>
            <w:tcW w:w="0" w:type="auto"/>
            <w:vAlign w:val="center"/>
          </w:tcPr>
          <w:p w14:paraId="72E640B9" w14:textId="77777777" w:rsidR="002F5AFF" w:rsidRPr="004E13E9" w:rsidRDefault="002F5AFF" w:rsidP="00E62E84">
            <w:pPr>
              <w:rPr>
                <w:rFonts w:eastAsia="Times New Roman" w:cs="Calibri"/>
                <w:sz w:val="18"/>
                <w:szCs w:val="18"/>
              </w:rPr>
            </w:pPr>
            <w:r w:rsidRPr="004E13E9">
              <w:rPr>
                <w:sz w:val="18"/>
                <w:szCs w:val="18"/>
              </w:rPr>
              <w:t>298,68</w:t>
            </w:r>
          </w:p>
        </w:tc>
      </w:tr>
      <w:tr w:rsidR="002F5AFF" w:rsidRPr="004E13E9" w14:paraId="02BCFDA7" w14:textId="77777777" w:rsidTr="00E62E84">
        <w:trPr>
          <w:trHeight w:val="20"/>
        </w:trPr>
        <w:tc>
          <w:tcPr>
            <w:tcW w:w="0" w:type="auto"/>
            <w:noWrap/>
            <w:vAlign w:val="center"/>
            <w:hideMark/>
          </w:tcPr>
          <w:p w14:paraId="7574E4C6" w14:textId="77777777" w:rsidR="002F5AFF" w:rsidRPr="004E13E9" w:rsidRDefault="002F5AFF" w:rsidP="00E62E84">
            <w:pPr>
              <w:rPr>
                <w:rFonts w:eastAsia="Times New Roman" w:cs="Calibri"/>
                <w:sz w:val="18"/>
                <w:szCs w:val="18"/>
                <w:lang w:val="fr-FR"/>
              </w:rPr>
            </w:pPr>
            <w:r w:rsidRPr="004E13E9">
              <w:rPr>
                <w:sz w:val="18"/>
                <w:szCs w:val="18"/>
                <w:lang w:val="fr-FR"/>
              </w:rPr>
              <w:t>Senneur de moins de 24m</w:t>
            </w:r>
          </w:p>
        </w:tc>
        <w:tc>
          <w:tcPr>
            <w:tcW w:w="2102" w:type="dxa"/>
            <w:noWrap/>
            <w:vAlign w:val="center"/>
            <w:hideMark/>
          </w:tcPr>
          <w:p w14:paraId="207965D6" w14:textId="77777777" w:rsidR="002F5AFF" w:rsidRPr="004E13E9" w:rsidRDefault="002F5AFF" w:rsidP="00E62E84">
            <w:pPr>
              <w:jc w:val="center"/>
              <w:rPr>
                <w:rFonts w:eastAsia="Times New Roman" w:cs="Calibri"/>
                <w:sz w:val="18"/>
                <w:szCs w:val="18"/>
              </w:rPr>
            </w:pPr>
            <w:r w:rsidRPr="004E13E9">
              <w:rPr>
                <w:sz w:val="18"/>
                <w:szCs w:val="18"/>
              </w:rPr>
              <w:t>33,68</w:t>
            </w:r>
          </w:p>
        </w:tc>
        <w:tc>
          <w:tcPr>
            <w:tcW w:w="615" w:type="dxa"/>
          </w:tcPr>
          <w:p w14:paraId="6C44776A" w14:textId="77777777" w:rsidR="002F5AFF" w:rsidRPr="004E13E9" w:rsidRDefault="002F5AFF" w:rsidP="00E62E84">
            <w:pPr>
              <w:rPr>
                <w:rFonts w:eastAsia="Times New Roman" w:cs="Calibri"/>
                <w:sz w:val="18"/>
                <w:szCs w:val="18"/>
                <w:lang w:eastAsia="ja-JP"/>
              </w:rPr>
            </w:pPr>
          </w:p>
        </w:tc>
        <w:tc>
          <w:tcPr>
            <w:tcW w:w="0" w:type="auto"/>
            <w:noWrap/>
            <w:vAlign w:val="center"/>
            <w:hideMark/>
          </w:tcPr>
          <w:p w14:paraId="19A611F3" w14:textId="77777777" w:rsidR="002F5AFF" w:rsidRPr="004E13E9" w:rsidRDefault="002F5AFF" w:rsidP="00E62E84">
            <w:pPr>
              <w:rPr>
                <w:rFonts w:eastAsia="Times New Roman" w:cs="Calibri"/>
                <w:sz w:val="18"/>
                <w:szCs w:val="18"/>
              </w:rPr>
            </w:pPr>
            <w:r w:rsidRPr="004E13E9">
              <w:rPr>
                <w:sz w:val="18"/>
                <w:szCs w:val="18"/>
              </w:rPr>
              <w:t> </w:t>
            </w:r>
          </w:p>
        </w:tc>
        <w:tc>
          <w:tcPr>
            <w:tcW w:w="0" w:type="auto"/>
            <w:vAlign w:val="center"/>
            <w:hideMark/>
          </w:tcPr>
          <w:p w14:paraId="130B553F" w14:textId="77777777" w:rsidR="002F5AFF" w:rsidRPr="004E13E9" w:rsidRDefault="002F5AFF" w:rsidP="00E62E84">
            <w:pPr>
              <w:rPr>
                <w:rFonts w:eastAsia="Times New Roman" w:cs="Calibri"/>
                <w:sz w:val="18"/>
                <w:szCs w:val="18"/>
                <w:lang w:eastAsia="ja-JP"/>
              </w:rPr>
            </w:pPr>
          </w:p>
        </w:tc>
        <w:tc>
          <w:tcPr>
            <w:tcW w:w="0" w:type="auto"/>
            <w:vAlign w:val="center"/>
            <w:hideMark/>
          </w:tcPr>
          <w:p w14:paraId="34D20DAE" w14:textId="77777777" w:rsidR="002F5AFF" w:rsidRPr="004E13E9" w:rsidRDefault="002F5AFF" w:rsidP="00E62E84">
            <w:pPr>
              <w:rPr>
                <w:rFonts w:eastAsia="Times New Roman" w:cs="Calibri"/>
                <w:sz w:val="18"/>
                <w:szCs w:val="18"/>
                <w:lang w:eastAsia="ja-JP"/>
              </w:rPr>
            </w:pPr>
          </w:p>
        </w:tc>
        <w:tc>
          <w:tcPr>
            <w:tcW w:w="0" w:type="auto"/>
            <w:vAlign w:val="center"/>
            <w:hideMark/>
          </w:tcPr>
          <w:p w14:paraId="7963A419" w14:textId="77777777" w:rsidR="002F5AFF" w:rsidRPr="004E13E9" w:rsidRDefault="002F5AFF" w:rsidP="00E62E84">
            <w:pPr>
              <w:rPr>
                <w:rFonts w:eastAsia="Times New Roman" w:cs="Calibri"/>
                <w:sz w:val="18"/>
                <w:szCs w:val="18"/>
                <w:lang w:eastAsia="ja-JP"/>
              </w:rPr>
            </w:pPr>
          </w:p>
        </w:tc>
        <w:tc>
          <w:tcPr>
            <w:tcW w:w="0" w:type="auto"/>
            <w:vAlign w:val="center"/>
          </w:tcPr>
          <w:p w14:paraId="7E9B55C1" w14:textId="77777777" w:rsidR="002F5AFF" w:rsidRPr="004E13E9" w:rsidRDefault="002F5AFF" w:rsidP="00E62E84">
            <w:pPr>
              <w:rPr>
                <w:rFonts w:eastAsia="Times New Roman" w:cs="Calibri"/>
                <w:sz w:val="18"/>
                <w:szCs w:val="18"/>
                <w:lang w:eastAsia="ja-JP"/>
              </w:rPr>
            </w:pPr>
          </w:p>
        </w:tc>
        <w:tc>
          <w:tcPr>
            <w:tcW w:w="0" w:type="auto"/>
            <w:vAlign w:val="center"/>
          </w:tcPr>
          <w:p w14:paraId="2835C4ED" w14:textId="77777777" w:rsidR="002F5AFF" w:rsidRPr="004E13E9" w:rsidRDefault="002F5AFF" w:rsidP="00E62E84">
            <w:pPr>
              <w:jc w:val="center"/>
              <w:rPr>
                <w:rFonts w:eastAsia="Times New Roman" w:cs="Calibri"/>
                <w:sz w:val="18"/>
                <w:szCs w:val="18"/>
              </w:rPr>
            </w:pPr>
            <w:r w:rsidRPr="004E13E9">
              <w:rPr>
                <w:sz w:val="18"/>
                <w:szCs w:val="18"/>
              </w:rPr>
              <w:t> </w:t>
            </w:r>
          </w:p>
        </w:tc>
        <w:tc>
          <w:tcPr>
            <w:tcW w:w="0" w:type="auto"/>
            <w:shd w:val="clear" w:color="000000" w:fill="D9D9D9"/>
            <w:vAlign w:val="center"/>
            <w:hideMark/>
          </w:tcPr>
          <w:p w14:paraId="31D07CA9" w14:textId="77777777" w:rsidR="002F5AFF" w:rsidRPr="004E13E9" w:rsidRDefault="002F5AFF" w:rsidP="00E62E84">
            <w:pPr>
              <w:rPr>
                <w:rFonts w:eastAsia="Times New Roman" w:cs="Calibri"/>
                <w:sz w:val="18"/>
                <w:szCs w:val="18"/>
              </w:rPr>
            </w:pPr>
            <w:r w:rsidRPr="004E13E9">
              <w:rPr>
                <w:sz w:val="18"/>
                <w:szCs w:val="18"/>
              </w:rPr>
              <w:t> </w:t>
            </w:r>
          </w:p>
        </w:tc>
        <w:tc>
          <w:tcPr>
            <w:tcW w:w="0" w:type="auto"/>
          </w:tcPr>
          <w:p w14:paraId="264B1A97" w14:textId="77777777" w:rsidR="002F5AFF" w:rsidRPr="004E13E9" w:rsidRDefault="002F5AFF" w:rsidP="00E62E84">
            <w:pPr>
              <w:rPr>
                <w:rFonts w:eastAsia="Times New Roman" w:cs="Calibri"/>
                <w:sz w:val="18"/>
                <w:szCs w:val="18"/>
                <w:lang w:eastAsia="ja-JP"/>
              </w:rPr>
            </w:pPr>
          </w:p>
        </w:tc>
        <w:tc>
          <w:tcPr>
            <w:tcW w:w="0" w:type="auto"/>
            <w:vAlign w:val="center"/>
            <w:hideMark/>
          </w:tcPr>
          <w:p w14:paraId="2A47D95D" w14:textId="77777777" w:rsidR="002F5AFF" w:rsidRPr="004E13E9" w:rsidRDefault="002F5AFF" w:rsidP="00E62E84">
            <w:pPr>
              <w:rPr>
                <w:rFonts w:eastAsia="Times New Roman" w:cs="Calibri"/>
                <w:sz w:val="18"/>
                <w:szCs w:val="18"/>
                <w:lang w:eastAsia="ja-JP"/>
              </w:rPr>
            </w:pPr>
          </w:p>
        </w:tc>
        <w:tc>
          <w:tcPr>
            <w:tcW w:w="0" w:type="auto"/>
            <w:vAlign w:val="center"/>
            <w:hideMark/>
          </w:tcPr>
          <w:p w14:paraId="216A9BB4" w14:textId="77777777" w:rsidR="002F5AFF" w:rsidRPr="004E13E9" w:rsidRDefault="002F5AFF" w:rsidP="00E62E84">
            <w:pPr>
              <w:rPr>
                <w:rFonts w:eastAsia="Times New Roman" w:cs="Calibri"/>
                <w:sz w:val="18"/>
                <w:szCs w:val="18"/>
                <w:lang w:eastAsia="ja-JP"/>
              </w:rPr>
            </w:pPr>
          </w:p>
        </w:tc>
        <w:tc>
          <w:tcPr>
            <w:tcW w:w="0" w:type="auto"/>
            <w:vAlign w:val="center"/>
            <w:hideMark/>
          </w:tcPr>
          <w:p w14:paraId="11E416D8" w14:textId="77777777" w:rsidR="002F5AFF" w:rsidRPr="004E13E9" w:rsidRDefault="002F5AFF" w:rsidP="00E62E84">
            <w:pPr>
              <w:rPr>
                <w:rFonts w:eastAsia="Times New Roman" w:cs="Calibri"/>
                <w:sz w:val="18"/>
                <w:szCs w:val="18"/>
                <w:lang w:eastAsia="ja-JP"/>
              </w:rPr>
            </w:pPr>
          </w:p>
        </w:tc>
        <w:tc>
          <w:tcPr>
            <w:tcW w:w="0" w:type="auto"/>
            <w:vAlign w:val="center"/>
            <w:hideMark/>
          </w:tcPr>
          <w:p w14:paraId="764D16C3" w14:textId="77777777" w:rsidR="002F5AFF" w:rsidRPr="004E13E9" w:rsidRDefault="002F5AFF" w:rsidP="00E62E84">
            <w:pPr>
              <w:rPr>
                <w:rFonts w:eastAsia="Times New Roman" w:cs="Calibri"/>
                <w:sz w:val="18"/>
                <w:szCs w:val="18"/>
                <w:lang w:eastAsia="ja-JP"/>
              </w:rPr>
            </w:pPr>
          </w:p>
        </w:tc>
        <w:tc>
          <w:tcPr>
            <w:tcW w:w="0" w:type="auto"/>
            <w:vAlign w:val="center"/>
            <w:hideMark/>
          </w:tcPr>
          <w:p w14:paraId="066F1CD2" w14:textId="77777777" w:rsidR="002F5AFF" w:rsidRPr="004E13E9" w:rsidRDefault="002F5AFF" w:rsidP="00E62E84">
            <w:pPr>
              <w:rPr>
                <w:rFonts w:eastAsia="Times New Roman" w:cs="Calibri"/>
                <w:sz w:val="18"/>
                <w:szCs w:val="18"/>
                <w:lang w:eastAsia="ja-JP"/>
              </w:rPr>
            </w:pPr>
          </w:p>
        </w:tc>
        <w:tc>
          <w:tcPr>
            <w:tcW w:w="0" w:type="auto"/>
            <w:vAlign w:val="center"/>
          </w:tcPr>
          <w:p w14:paraId="6FB16001" w14:textId="77777777" w:rsidR="002F5AFF" w:rsidRPr="004E13E9" w:rsidRDefault="002F5AFF" w:rsidP="00E62E84">
            <w:pPr>
              <w:rPr>
                <w:rFonts w:eastAsia="Times New Roman" w:cs="Calibri"/>
                <w:sz w:val="18"/>
                <w:szCs w:val="18"/>
              </w:rPr>
            </w:pPr>
            <w:r w:rsidRPr="004E13E9">
              <w:rPr>
                <w:sz w:val="18"/>
                <w:szCs w:val="18"/>
              </w:rPr>
              <w:t> </w:t>
            </w:r>
          </w:p>
        </w:tc>
      </w:tr>
      <w:tr w:rsidR="002F5AFF" w:rsidRPr="004E13E9" w14:paraId="49BC96E7" w14:textId="77777777" w:rsidTr="00E62E84">
        <w:trPr>
          <w:trHeight w:val="20"/>
        </w:trPr>
        <w:tc>
          <w:tcPr>
            <w:tcW w:w="0" w:type="auto"/>
            <w:noWrap/>
            <w:vAlign w:val="center"/>
            <w:hideMark/>
          </w:tcPr>
          <w:p w14:paraId="275BA9BD" w14:textId="77777777" w:rsidR="002F5AFF" w:rsidRPr="004E13E9" w:rsidRDefault="002F5AFF" w:rsidP="00E62E84">
            <w:pPr>
              <w:rPr>
                <w:rFonts w:eastAsia="Times New Roman" w:cs="Calibri"/>
                <w:b/>
                <w:bCs/>
                <w:sz w:val="18"/>
                <w:szCs w:val="18"/>
              </w:rPr>
            </w:pPr>
            <w:proofErr w:type="spellStart"/>
            <w:r w:rsidRPr="004E13E9">
              <w:rPr>
                <w:b/>
                <w:sz w:val="18"/>
                <w:szCs w:val="18"/>
              </w:rPr>
              <w:t>Flottille</w:t>
            </w:r>
            <w:proofErr w:type="spellEnd"/>
            <w:r w:rsidRPr="004E13E9">
              <w:rPr>
                <w:b/>
                <w:sz w:val="18"/>
                <w:szCs w:val="18"/>
              </w:rPr>
              <w:t xml:space="preserve"> </w:t>
            </w:r>
            <w:proofErr w:type="spellStart"/>
            <w:r w:rsidRPr="004E13E9">
              <w:rPr>
                <w:b/>
                <w:sz w:val="18"/>
                <w:szCs w:val="18"/>
              </w:rPr>
              <w:t>totale</w:t>
            </w:r>
            <w:proofErr w:type="spellEnd"/>
            <w:r w:rsidRPr="004E13E9">
              <w:rPr>
                <w:b/>
                <w:sz w:val="18"/>
                <w:szCs w:val="18"/>
              </w:rPr>
              <w:t xml:space="preserve"> de </w:t>
            </w:r>
            <w:proofErr w:type="spellStart"/>
            <w:r w:rsidRPr="004E13E9">
              <w:rPr>
                <w:b/>
                <w:sz w:val="18"/>
                <w:szCs w:val="18"/>
              </w:rPr>
              <w:t>senneurs</w:t>
            </w:r>
            <w:proofErr w:type="spellEnd"/>
          </w:p>
        </w:tc>
        <w:tc>
          <w:tcPr>
            <w:tcW w:w="2102" w:type="dxa"/>
            <w:noWrap/>
            <w:vAlign w:val="center"/>
            <w:hideMark/>
          </w:tcPr>
          <w:p w14:paraId="028B88BD" w14:textId="77777777" w:rsidR="002F5AFF" w:rsidRPr="004E13E9" w:rsidRDefault="002F5AFF" w:rsidP="00E62E84">
            <w:pPr>
              <w:rPr>
                <w:rFonts w:eastAsia="Times New Roman"/>
                <w:sz w:val="18"/>
                <w:szCs w:val="18"/>
              </w:rPr>
            </w:pPr>
            <w:r w:rsidRPr="004E13E9">
              <w:rPr>
                <w:sz w:val="18"/>
                <w:szCs w:val="18"/>
              </w:rPr>
              <w:t> </w:t>
            </w:r>
          </w:p>
        </w:tc>
        <w:tc>
          <w:tcPr>
            <w:tcW w:w="615" w:type="dxa"/>
          </w:tcPr>
          <w:p w14:paraId="3E09734E" w14:textId="77777777" w:rsidR="002F5AFF" w:rsidRPr="004E13E9" w:rsidRDefault="002F5AFF" w:rsidP="00E62E84">
            <w:pPr>
              <w:rPr>
                <w:rFonts w:eastAsia="Times New Roman" w:cs="Calibri"/>
                <w:b/>
                <w:bCs/>
                <w:sz w:val="18"/>
                <w:szCs w:val="18"/>
                <w:lang w:eastAsia="ja-JP"/>
              </w:rPr>
            </w:pPr>
          </w:p>
        </w:tc>
        <w:tc>
          <w:tcPr>
            <w:tcW w:w="0" w:type="auto"/>
            <w:noWrap/>
            <w:vAlign w:val="center"/>
            <w:hideMark/>
          </w:tcPr>
          <w:p w14:paraId="0B995D78" w14:textId="77777777" w:rsidR="002F5AFF" w:rsidRPr="004E13E9" w:rsidRDefault="002F5AFF" w:rsidP="00E62E84">
            <w:pPr>
              <w:rPr>
                <w:rFonts w:eastAsia="Times New Roman" w:cs="Calibri"/>
                <w:b/>
                <w:bCs/>
                <w:sz w:val="18"/>
                <w:szCs w:val="18"/>
              </w:rPr>
            </w:pPr>
            <w:r w:rsidRPr="004E13E9">
              <w:rPr>
                <w:b/>
                <w:sz w:val="18"/>
                <w:szCs w:val="18"/>
              </w:rPr>
              <w:t> </w:t>
            </w:r>
          </w:p>
        </w:tc>
        <w:tc>
          <w:tcPr>
            <w:tcW w:w="0" w:type="auto"/>
            <w:vAlign w:val="center"/>
            <w:hideMark/>
          </w:tcPr>
          <w:p w14:paraId="15A37ED1" w14:textId="77777777" w:rsidR="002F5AFF" w:rsidRPr="004E13E9" w:rsidRDefault="002F5AFF" w:rsidP="00E62E84">
            <w:pPr>
              <w:rPr>
                <w:rFonts w:eastAsia="Times New Roman" w:cs="Calibri"/>
                <w:b/>
                <w:bCs/>
                <w:sz w:val="18"/>
                <w:szCs w:val="18"/>
              </w:rPr>
            </w:pPr>
            <w:r w:rsidRPr="004E13E9">
              <w:rPr>
                <w:b/>
                <w:sz w:val="18"/>
                <w:szCs w:val="18"/>
              </w:rPr>
              <w:t>2</w:t>
            </w:r>
          </w:p>
        </w:tc>
        <w:tc>
          <w:tcPr>
            <w:tcW w:w="0" w:type="auto"/>
            <w:vAlign w:val="center"/>
            <w:hideMark/>
          </w:tcPr>
          <w:p w14:paraId="3C44D092" w14:textId="77777777" w:rsidR="002F5AFF" w:rsidRPr="004E13E9" w:rsidRDefault="002F5AFF" w:rsidP="00E62E84">
            <w:pPr>
              <w:rPr>
                <w:rFonts w:eastAsia="Times New Roman" w:cs="Calibri"/>
                <w:b/>
                <w:bCs/>
                <w:sz w:val="18"/>
                <w:szCs w:val="18"/>
              </w:rPr>
            </w:pPr>
            <w:r w:rsidRPr="004E13E9">
              <w:rPr>
                <w:b/>
                <w:sz w:val="18"/>
                <w:szCs w:val="18"/>
              </w:rPr>
              <w:t>8</w:t>
            </w:r>
          </w:p>
        </w:tc>
        <w:tc>
          <w:tcPr>
            <w:tcW w:w="0" w:type="auto"/>
            <w:vAlign w:val="center"/>
            <w:hideMark/>
          </w:tcPr>
          <w:p w14:paraId="3702572B" w14:textId="77777777" w:rsidR="002F5AFF" w:rsidRPr="004E13E9" w:rsidRDefault="002F5AFF" w:rsidP="00E62E84">
            <w:pPr>
              <w:rPr>
                <w:rFonts w:eastAsia="Times New Roman" w:cs="Calibri"/>
                <w:b/>
                <w:bCs/>
                <w:sz w:val="18"/>
                <w:szCs w:val="18"/>
              </w:rPr>
            </w:pPr>
            <w:r w:rsidRPr="004E13E9">
              <w:rPr>
                <w:b/>
                <w:sz w:val="18"/>
                <w:szCs w:val="18"/>
              </w:rPr>
              <w:t>7</w:t>
            </w:r>
          </w:p>
        </w:tc>
        <w:tc>
          <w:tcPr>
            <w:tcW w:w="0" w:type="auto"/>
            <w:vAlign w:val="center"/>
          </w:tcPr>
          <w:p w14:paraId="6FD6D633" w14:textId="77777777" w:rsidR="002F5AFF" w:rsidRPr="004E13E9" w:rsidRDefault="002F5AFF" w:rsidP="00E62E84">
            <w:pPr>
              <w:rPr>
                <w:rFonts w:eastAsia="Times New Roman" w:cs="Calibri"/>
                <w:b/>
                <w:bCs/>
                <w:sz w:val="18"/>
                <w:szCs w:val="18"/>
              </w:rPr>
            </w:pPr>
            <w:r w:rsidRPr="004E13E9">
              <w:rPr>
                <w:b/>
                <w:sz w:val="18"/>
                <w:szCs w:val="18"/>
              </w:rPr>
              <w:t>7</w:t>
            </w:r>
          </w:p>
        </w:tc>
        <w:tc>
          <w:tcPr>
            <w:tcW w:w="0" w:type="auto"/>
            <w:vAlign w:val="center"/>
          </w:tcPr>
          <w:p w14:paraId="1FE44A9B" w14:textId="77777777" w:rsidR="002F5AFF" w:rsidRPr="004E13E9" w:rsidRDefault="002F5AFF" w:rsidP="00E62E84">
            <w:pPr>
              <w:jc w:val="center"/>
              <w:rPr>
                <w:rFonts w:eastAsia="Times New Roman" w:cs="Calibri"/>
                <w:sz w:val="18"/>
                <w:szCs w:val="18"/>
              </w:rPr>
            </w:pPr>
            <w:r w:rsidRPr="004E13E9">
              <w:rPr>
                <w:b/>
                <w:sz w:val="18"/>
                <w:szCs w:val="18"/>
              </w:rPr>
              <w:t>10</w:t>
            </w:r>
          </w:p>
        </w:tc>
        <w:tc>
          <w:tcPr>
            <w:tcW w:w="0" w:type="auto"/>
            <w:shd w:val="clear" w:color="000000" w:fill="D9D9D9"/>
            <w:vAlign w:val="center"/>
            <w:hideMark/>
          </w:tcPr>
          <w:p w14:paraId="140EDB54" w14:textId="77777777" w:rsidR="002F5AFF" w:rsidRPr="004E13E9" w:rsidRDefault="002F5AFF" w:rsidP="00E62E84">
            <w:pPr>
              <w:rPr>
                <w:rFonts w:eastAsia="Times New Roman" w:cs="Calibri"/>
                <w:b/>
                <w:bCs/>
                <w:sz w:val="18"/>
                <w:szCs w:val="18"/>
                <w:lang w:eastAsia="ja-JP"/>
              </w:rPr>
            </w:pPr>
          </w:p>
        </w:tc>
        <w:tc>
          <w:tcPr>
            <w:tcW w:w="0" w:type="auto"/>
          </w:tcPr>
          <w:p w14:paraId="1900CFC7"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4F2FC9DA"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775F91C0" w14:textId="77777777" w:rsidR="002F5AFF" w:rsidRPr="004E13E9" w:rsidRDefault="002F5AFF" w:rsidP="00E62E84">
            <w:pPr>
              <w:rPr>
                <w:rFonts w:eastAsia="Times New Roman" w:cs="Calibri"/>
                <w:b/>
                <w:bCs/>
                <w:sz w:val="18"/>
                <w:szCs w:val="18"/>
              </w:rPr>
            </w:pPr>
            <w:r w:rsidRPr="004E13E9">
              <w:rPr>
                <w:b/>
                <w:sz w:val="18"/>
                <w:szCs w:val="18"/>
              </w:rPr>
              <w:t>99,56</w:t>
            </w:r>
          </w:p>
        </w:tc>
        <w:tc>
          <w:tcPr>
            <w:tcW w:w="0" w:type="auto"/>
            <w:vAlign w:val="center"/>
            <w:hideMark/>
          </w:tcPr>
          <w:p w14:paraId="28675F9F" w14:textId="77777777" w:rsidR="002F5AFF" w:rsidRPr="004E13E9" w:rsidRDefault="002F5AFF" w:rsidP="00E62E84">
            <w:pPr>
              <w:rPr>
                <w:rFonts w:eastAsia="Times New Roman" w:cs="Calibri"/>
                <w:b/>
                <w:bCs/>
                <w:sz w:val="18"/>
                <w:szCs w:val="18"/>
              </w:rPr>
            </w:pPr>
            <w:r w:rsidRPr="004E13E9">
              <w:rPr>
                <w:b/>
                <w:sz w:val="18"/>
                <w:szCs w:val="18"/>
              </w:rPr>
              <w:t>440,08</w:t>
            </w:r>
          </w:p>
        </w:tc>
        <w:tc>
          <w:tcPr>
            <w:tcW w:w="0" w:type="auto"/>
            <w:vAlign w:val="center"/>
            <w:hideMark/>
          </w:tcPr>
          <w:p w14:paraId="20CC2DC1" w14:textId="77777777" w:rsidR="002F5AFF" w:rsidRPr="004E13E9" w:rsidRDefault="002F5AFF" w:rsidP="00E62E84">
            <w:pPr>
              <w:rPr>
                <w:rFonts w:eastAsia="Times New Roman" w:cs="Calibri"/>
                <w:b/>
                <w:bCs/>
                <w:sz w:val="18"/>
                <w:szCs w:val="18"/>
              </w:rPr>
            </w:pPr>
            <w:r w:rsidRPr="004E13E9">
              <w:rPr>
                <w:b/>
                <w:sz w:val="18"/>
                <w:szCs w:val="18"/>
              </w:rPr>
              <w:t>390,3</w:t>
            </w:r>
          </w:p>
        </w:tc>
        <w:tc>
          <w:tcPr>
            <w:tcW w:w="0" w:type="auto"/>
            <w:vAlign w:val="center"/>
            <w:hideMark/>
          </w:tcPr>
          <w:p w14:paraId="54041A88" w14:textId="77777777" w:rsidR="002F5AFF" w:rsidRPr="004E13E9" w:rsidRDefault="002F5AFF" w:rsidP="00E62E84">
            <w:pPr>
              <w:rPr>
                <w:rFonts w:eastAsia="Times New Roman" w:cs="Calibri"/>
                <w:b/>
                <w:bCs/>
                <w:sz w:val="18"/>
                <w:szCs w:val="18"/>
              </w:rPr>
            </w:pPr>
            <w:r w:rsidRPr="004E13E9">
              <w:rPr>
                <w:b/>
                <w:sz w:val="18"/>
                <w:szCs w:val="18"/>
              </w:rPr>
              <w:t>390,3</w:t>
            </w:r>
          </w:p>
        </w:tc>
        <w:tc>
          <w:tcPr>
            <w:tcW w:w="0" w:type="auto"/>
            <w:vAlign w:val="center"/>
          </w:tcPr>
          <w:p w14:paraId="3C7AAFF1" w14:textId="77777777" w:rsidR="002F5AFF" w:rsidRPr="004E13E9" w:rsidRDefault="002F5AFF" w:rsidP="00E62E84">
            <w:pPr>
              <w:rPr>
                <w:rFonts w:eastAsia="Times New Roman" w:cs="Calibri"/>
                <w:b/>
                <w:bCs/>
                <w:sz w:val="18"/>
                <w:szCs w:val="18"/>
              </w:rPr>
            </w:pPr>
            <w:r w:rsidRPr="004E13E9">
              <w:rPr>
                <w:b/>
                <w:sz w:val="18"/>
                <w:szCs w:val="18"/>
              </w:rPr>
              <w:t>581,48</w:t>
            </w:r>
          </w:p>
        </w:tc>
      </w:tr>
      <w:tr w:rsidR="002F5AFF" w:rsidRPr="004E13E9" w14:paraId="24510FDF" w14:textId="77777777" w:rsidTr="00E62E84">
        <w:trPr>
          <w:trHeight w:val="20"/>
        </w:trPr>
        <w:tc>
          <w:tcPr>
            <w:tcW w:w="0" w:type="auto"/>
            <w:noWrap/>
            <w:vAlign w:val="center"/>
            <w:hideMark/>
          </w:tcPr>
          <w:p w14:paraId="62F5FA67" w14:textId="77777777" w:rsidR="002F5AFF" w:rsidRPr="004E13E9" w:rsidRDefault="002F5AFF" w:rsidP="00E62E84">
            <w:pPr>
              <w:rPr>
                <w:rFonts w:eastAsia="Times New Roman" w:cs="Calibri"/>
                <w:sz w:val="18"/>
                <w:szCs w:val="18"/>
                <w:lang w:val="fr-FR"/>
              </w:rPr>
            </w:pPr>
            <w:r w:rsidRPr="004E13E9">
              <w:rPr>
                <w:sz w:val="18"/>
                <w:szCs w:val="18"/>
                <w:lang w:val="fr-FR"/>
              </w:rPr>
              <w:t>Palangrier de plus de 40 m</w:t>
            </w:r>
          </w:p>
        </w:tc>
        <w:tc>
          <w:tcPr>
            <w:tcW w:w="2102" w:type="dxa"/>
            <w:noWrap/>
            <w:vAlign w:val="center"/>
            <w:hideMark/>
          </w:tcPr>
          <w:p w14:paraId="11941D22" w14:textId="77777777" w:rsidR="002F5AFF" w:rsidRPr="004E13E9" w:rsidRDefault="002F5AFF" w:rsidP="00E62E84">
            <w:pPr>
              <w:jc w:val="center"/>
              <w:rPr>
                <w:rFonts w:eastAsia="Times New Roman" w:cs="Calibri"/>
                <w:sz w:val="18"/>
                <w:szCs w:val="18"/>
              </w:rPr>
            </w:pPr>
            <w:r w:rsidRPr="004E13E9">
              <w:rPr>
                <w:sz w:val="18"/>
                <w:szCs w:val="18"/>
              </w:rPr>
              <w:t>25</w:t>
            </w:r>
          </w:p>
        </w:tc>
        <w:tc>
          <w:tcPr>
            <w:tcW w:w="615" w:type="dxa"/>
          </w:tcPr>
          <w:p w14:paraId="7A2E6169" w14:textId="77777777" w:rsidR="002F5AFF" w:rsidRPr="004E13E9" w:rsidRDefault="002F5AFF" w:rsidP="00E62E84">
            <w:pPr>
              <w:rPr>
                <w:rFonts w:eastAsia="Times New Roman" w:cs="Calibri"/>
                <w:sz w:val="18"/>
                <w:szCs w:val="18"/>
                <w:lang w:eastAsia="ja-JP"/>
              </w:rPr>
            </w:pPr>
          </w:p>
        </w:tc>
        <w:tc>
          <w:tcPr>
            <w:tcW w:w="0" w:type="auto"/>
            <w:noWrap/>
            <w:vAlign w:val="center"/>
            <w:hideMark/>
          </w:tcPr>
          <w:p w14:paraId="605C04F6" w14:textId="77777777" w:rsidR="002F5AFF" w:rsidRPr="004E13E9" w:rsidRDefault="002F5AFF" w:rsidP="00E62E84">
            <w:pPr>
              <w:rPr>
                <w:rFonts w:eastAsia="Times New Roman" w:cs="Calibri"/>
                <w:sz w:val="18"/>
                <w:szCs w:val="18"/>
              </w:rPr>
            </w:pPr>
            <w:r w:rsidRPr="004E13E9">
              <w:rPr>
                <w:sz w:val="18"/>
                <w:szCs w:val="18"/>
              </w:rPr>
              <w:t> </w:t>
            </w:r>
          </w:p>
        </w:tc>
        <w:tc>
          <w:tcPr>
            <w:tcW w:w="0" w:type="auto"/>
            <w:vAlign w:val="center"/>
            <w:hideMark/>
          </w:tcPr>
          <w:p w14:paraId="4537291C" w14:textId="77777777" w:rsidR="002F5AFF" w:rsidRPr="004E13E9" w:rsidRDefault="002F5AFF" w:rsidP="00E62E84">
            <w:pPr>
              <w:rPr>
                <w:rFonts w:eastAsia="Times New Roman" w:cs="Calibri"/>
                <w:sz w:val="18"/>
                <w:szCs w:val="18"/>
                <w:lang w:eastAsia="ja-JP"/>
              </w:rPr>
            </w:pPr>
          </w:p>
        </w:tc>
        <w:tc>
          <w:tcPr>
            <w:tcW w:w="0" w:type="auto"/>
            <w:vAlign w:val="center"/>
            <w:hideMark/>
          </w:tcPr>
          <w:p w14:paraId="7030E58B" w14:textId="77777777" w:rsidR="002F5AFF" w:rsidRPr="004E13E9" w:rsidRDefault="002F5AFF" w:rsidP="00E62E84">
            <w:pPr>
              <w:rPr>
                <w:rFonts w:eastAsia="Times New Roman" w:cs="Calibri"/>
                <w:sz w:val="18"/>
                <w:szCs w:val="18"/>
                <w:lang w:eastAsia="ja-JP"/>
              </w:rPr>
            </w:pPr>
          </w:p>
        </w:tc>
        <w:tc>
          <w:tcPr>
            <w:tcW w:w="0" w:type="auto"/>
            <w:vAlign w:val="center"/>
            <w:hideMark/>
          </w:tcPr>
          <w:p w14:paraId="1EE3058D" w14:textId="77777777" w:rsidR="002F5AFF" w:rsidRPr="004E13E9" w:rsidRDefault="002F5AFF" w:rsidP="00E62E84">
            <w:pPr>
              <w:rPr>
                <w:rFonts w:eastAsia="Times New Roman" w:cs="Calibri"/>
                <w:sz w:val="18"/>
                <w:szCs w:val="18"/>
              </w:rPr>
            </w:pPr>
            <w:r w:rsidRPr="004E13E9">
              <w:rPr>
                <w:sz w:val="18"/>
                <w:szCs w:val="18"/>
              </w:rPr>
              <w:t>1</w:t>
            </w:r>
          </w:p>
        </w:tc>
        <w:tc>
          <w:tcPr>
            <w:tcW w:w="0" w:type="auto"/>
            <w:vAlign w:val="center"/>
          </w:tcPr>
          <w:p w14:paraId="0658B609" w14:textId="77777777" w:rsidR="002F5AFF" w:rsidRPr="004E13E9" w:rsidRDefault="002F5AFF" w:rsidP="00E62E84">
            <w:pPr>
              <w:rPr>
                <w:rFonts w:eastAsia="Times New Roman" w:cs="Calibri"/>
                <w:sz w:val="18"/>
                <w:szCs w:val="18"/>
              </w:rPr>
            </w:pPr>
            <w:r w:rsidRPr="004E13E9">
              <w:rPr>
                <w:sz w:val="18"/>
                <w:szCs w:val="18"/>
              </w:rPr>
              <w:t>4</w:t>
            </w:r>
          </w:p>
        </w:tc>
        <w:tc>
          <w:tcPr>
            <w:tcW w:w="0" w:type="auto"/>
            <w:vAlign w:val="center"/>
          </w:tcPr>
          <w:p w14:paraId="144C3982" w14:textId="77777777" w:rsidR="002F5AFF" w:rsidRPr="004E13E9" w:rsidRDefault="002F5AFF" w:rsidP="00E62E84">
            <w:pPr>
              <w:jc w:val="center"/>
              <w:rPr>
                <w:rFonts w:eastAsia="Times New Roman" w:cs="Calibri"/>
                <w:sz w:val="18"/>
                <w:szCs w:val="18"/>
              </w:rPr>
            </w:pPr>
            <w:r w:rsidRPr="004E13E9">
              <w:rPr>
                <w:sz w:val="18"/>
                <w:szCs w:val="18"/>
              </w:rPr>
              <w:t>10</w:t>
            </w:r>
          </w:p>
        </w:tc>
        <w:tc>
          <w:tcPr>
            <w:tcW w:w="0" w:type="auto"/>
            <w:shd w:val="clear" w:color="000000" w:fill="D9D9D9"/>
            <w:vAlign w:val="center"/>
            <w:hideMark/>
          </w:tcPr>
          <w:p w14:paraId="4B46F995" w14:textId="77777777" w:rsidR="002F5AFF" w:rsidRPr="004E13E9" w:rsidRDefault="002F5AFF" w:rsidP="00E62E84">
            <w:pPr>
              <w:rPr>
                <w:rFonts w:eastAsia="Times New Roman" w:cs="Calibri"/>
                <w:sz w:val="18"/>
                <w:szCs w:val="18"/>
              </w:rPr>
            </w:pPr>
            <w:r w:rsidRPr="004E13E9">
              <w:rPr>
                <w:sz w:val="18"/>
                <w:szCs w:val="18"/>
              </w:rPr>
              <w:t> </w:t>
            </w:r>
          </w:p>
        </w:tc>
        <w:tc>
          <w:tcPr>
            <w:tcW w:w="0" w:type="auto"/>
          </w:tcPr>
          <w:p w14:paraId="7CE19C4C" w14:textId="77777777" w:rsidR="002F5AFF" w:rsidRPr="004E13E9" w:rsidRDefault="002F5AFF" w:rsidP="00E62E84">
            <w:pPr>
              <w:rPr>
                <w:rFonts w:eastAsia="Times New Roman" w:cs="Calibri"/>
                <w:sz w:val="18"/>
                <w:szCs w:val="18"/>
                <w:lang w:eastAsia="ja-JP"/>
              </w:rPr>
            </w:pPr>
          </w:p>
        </w:tc>
        <w:tc>
          <w:tcPr>
            <w:tcW w:w="0" w:type="auto"/>
            <w:vAlign w:val="center"/>
            <w:hideMark/>
          </w:tcPr>
          <w:p w14:paraId="76360146" w14:textId="77777777" w:rsidR="002F5AFF" w:rsidRPr="004E13E9" w:rsidRDefault="002F5AFF" w:rsidP="00E62E84">
            <w:pPr>
              <w:rPr>
                <w:rFonts w:eastAsia="Times New Roman" w:cs="Calibri"/>
                <w:sz w:val="18"/>
                <w:szCs w:val="18"/>
                <w:lang w:eastAsia="ja-JP"/>
              </w:rPr>
            </w:pPr>
          </w:p>
        </w:tc>
        <w:tc>
          <w:tcPr>
            <w:tcW w:w="0" w:type="auto"/>
            <w:vAlign w:val="center"/>
            <w:hideMark/>
          </w:tcPr>
          <w:p w14:paraId="10DBC967" w14:textId="77777777" w:rsidR="002F5AFF" w:rsidRPr="004E13E9" w:rsidRDefault="002F5AFF" w:rsidP="00E62E84">
            <w:pPr>
              <w:rPr>
                <w:rFonts w:eastAsia="Times New Roman" w:cs="Calibri"/>
                <w:sz w:val="18"/>
                <w:szCs w:val="18"/>
                <w:lang w:eastAsia="ja-JP"/>
              </w:rPr>
            </w:pPr>
          </w:p>
        </w:tc>
        <w:tc>
          <w:tcPr>
            <w:tcW w:w="0" w:type="auto"/>
            <w:vAlign w:val="center"/>
            <w:hideMark/>
          </w:tcPr>
          <w:p w14:paraId="5ACA2858" w14:textId="77777777" w:rsidR="002F5AFF" w:rsidRPr="004E13E9" w:rsidRDefault="002F5AFF" w:rsidP="00E62E84">
            <w:pPr>
              <w:rPr>
                <w:rFonts w:eastAsia="Times New Roman" w:cs="Calibri"/>
                <w:sz w:val="18"/>
                <w:szCs w:val="18"/>
                <w:lang w:eastAsia="ja-JP"/>
              </w:rPr>
            </w:pPr>
          </w:p>
        </w:tc>
        <w:tc>
          <w:tcPr>
            <w:tcW w:w="0" w:type="auto"/>
            <w:vAlign w:val="center"/>
            <w:hideMark/>
          </w:tcPr>
          <w:p w14:paraId="187A8D17" w14:textId="77777777" w:rsidR="002F5AFF" w:rsidRPr="004E13E9" w:rsidRDefault="002F5AFF" w:rsidP="00E62E84">
            <w:pPr>
              <w:rPr>
                <w:rFonts w:eastAsia="Times New Roman" w:cs="Calibri"/>
                <w:sz w:val="18"/>
                <w:szCs w:val="18"/>
              </w:rPr>
            </w:pPr>
            <w:r w:rsidRPr="004E13E9">
              <w:rPr>
                <w:sz w:val="18"/>
                <w:szCs w:val="18"/>
              </w:rPr>
              <w:t>25</w:t>
            </w:r>
          </w:p>
        </w:tc>
        <w:tc>
          <w:tcPr>
            <w:tcW w:w="0" w:type="auto"/>
            <w:vAlign w:val="center"/>
            <w:hideMark/>
          </w:tcPr>
          <w:p w14:paraId="30836C05" w14:textId="77777777" w:rsidR="002F5AFF" w:rsidRPr="004E13E9" w:rsidRDefault="002F5AFF" w:rsidP="00E62E84">
            <w:pPr>
              <w:rPr>
                <w:rFonts w:eastAsia="Times New Roman" w:cs="Calibri"/>
                <w:sz w:val="18"/>
                <w:szCs w:val="18"/>
              </w:rPr>
            </w:pPr>
            <w:r w:rsidRPr="004E13E9">
              <w:rPr>
                <w:sz w:val="18"/>
                <w:szCs w:val="18"/>
              </w:rPr>
              <w:t>100</w:t>
            </w:r>
          </w:p>
        </w:tc>
        <w:tc>
          <w:tcPr>
            <w:tcW w:w="0" w:type="auto"/>
            <w:vAlign w:val="center"/>
          </w:tcPr>
          <w:p w14:paraId="3CD3CC4A" w14:textId="77777777" w:rsidR="002F5AFF" w:rsidRPr="004E13E9" w:rsidRDefault="002F5AFF" w:rsidP="00E62E84">
            <w:pPr>
              <w:rPr>
                <w:rFonts w:eastAsia="Times New Roman" w:cs="Calibri"/>
                <w:sz w:val="18"/>
                <w:szCs w:val="18"/>
              </w:rPr>
            </w:pPr>
            <w:r w:rsidRPr="004E13E9">
              <w:rPr>
                <w:sz w:val="18"/>
                <w:szCs w:val="18"/>
              </w:rPr>
              <w:t>250</w:t>
            </w:r>
          </w:p>
        </w:tc>
      </w:tr>
      <w:tr w:rsidR="002F5AFF" w:rsidRPr="004E13E9" w14:paraId="32258AC8" w14:textId="77777777" w:rsidTr="00E62E84">
        <w:trPr>
          <w:trHeight w:val="20"/>
        </w:trPr>
        <w:tc>
          <w:tcPr>
            <w:tcW w:w="0" w:type="auto"/>
            <w:noWrap/>
            <w:vAlign w:val="center"/>
            <w:hideMark/>
          </w:tcPr>
          <w:p w14:paraId="54DAA172" w14:textId="77777777" w:rsidR="002F5AFF" w:rsidRPr="004E13E9" w:rsidRDefault="002F5AFF" w:rsidP="00E62E84">
            <w:pPr>
              <w:rPr>
                <w:rFonts w:eastAsia="Times New Roman" w:cs="Calibri"/>
                <w:sz w:val="18"/>
                <w:szCs w:val="18"/>
              </w:rPr>
            </w:pPr>
            <w:proofErr w:type="spellStart"/>
            <w:r w:rsidRPr="004E13E9">
              <w:rPr>
                <w:sz w:val="18"/>
                <w:szCs w:val="18"/>
              </w:rPr>
              <w:t>Palangrier</w:t>
            </w:r>
            <w:proofErr w:type="spellEnd"/>
            <w:r w:rsidRPr="004E13E9">
              <w:rPr>
                <w:sz w:val="18"/>
                <w:szCs w:val="18"/>
              </w:rPr>
              <w:t xml:space="preserve"> entre 24 et 40 m</w:t>
            </w:r>
          </w:p>
        </w:tc>
        <w:tc>
          <w:tcPr>
            <w:tcW w:w="2102" w:type="dxa"/>
            <w:noWrap/>
            <w:vAlign w:val="center"/>
            <w:hideMark/>
          </w:tcPr>
          <w:p w14:paraId="62707E89" w14:textId="77777777" w:rsidR="002F5AFF" w:rsidRPr="004E13E9" w:rsidRDefault="002F5AFF" w:rsidP="00E62E84">
            <w:pPr>
              <w:jc w:val="center"/>
              <w:rPr>
                <w:rFonts w:eastAsia="Times New Roman" w:cs="Calibri"/>
                <w:sz w:val="18"/>
                <w:szCs w:val="18"/>
              </w:rPr>
            </w:pPr>
            <w:r w:rsidRPr="004E13E9">
              <w:rPr>
                <w:sz w:val="18"/>
                <w:szCs w:val="18"/>
              </w:rPr>
              <w:t>5,68</w:t>
            </w:r>
          </w:p>
        </w:tc>
        <w:tc>
          <w:tcPr>
            <w:tcW w:w="615" w:type="dxa"/>
          </w:tcPr>
          <w:p w14:paraId="10B32BBC" w14:textId="77777777" w:rsidR="002F5AFF" w:rsidRPr="004E13E9" w:rsidRDefault="002F5AFF" w:rsidP="00E62E84">
            <w:pPr>
              <w:rPr>
                <w:rFonts w:eastAsia="Times New Roman" w:cs="Calibri"/>
                <w:sz w:val="18"/>
                <w:szCs w:val="18"/>
                <w:lang w:eastAsia="ja-JP"/>
              </w:rPr>
            </w:pPr>
          </w:p>
        </w:tc>
        <w:tc>
          <w:tcPr>
            <w:tcW w:w="0" w:type="auto"/>
            <w:noWrap/>
            <w:vAlign w:val="center"/>
            <w:hideMark/>
          </w:tcPr>
          <w:p w14:paraId="44A1763B" w14:textId="77777777" w:rsidR="002F5AFF" w:rsidRPr="004E13E9" w:rsidRDefault="002F5AFF" w:rsidP="00E62E84">
            <w:pPr>
              <w:rPr>
                <w:rFonts w:eastAsia="Times New Roman" w:cs="Calibri"/>
                <w:sz w:val="18"/>
                <w:szCs w:val="18"/>
              </w:rPr>
            </w:pPr>
            <w:r w:rsidRPr="004E13E9">
              <w:rPr>
                <w:sz w:val="18"/>
                <w:szCs w:val="18"/>
              </w:rPr>
              <w:t> </w:t>
            </w:r>
          </w:p>
        </w:tc>
        <w:tc>
          <w:tcPr>
            <w:tcW w:w="0" w:type="auto"/>
            <w:vAlign w:val="center"/>
            <w:hideMark/>
          </w:tcPr>
          <w:p w14:paraId="01419259" w14:textId="77777777" w:rsidR="002F5AFF" w:rsidRPr="004E13E9" w:rsidRDefault="002F5AFF" w:rsidP="00E62E84">
            <w:pPr>
              <w:rPr>
                <w:rFonts w:eastAsia="Times New Roman" w:cs="Calibri"/>
                <w:sz w:val="18"/>
                <w:szCs w:val="18"/>
                <w:lang w:eastAsia="ja-JP"/>
              </w:rPr>
            </w:pPr>
          </w:p>
        </w:tc>
        <w:tc>
          <w:tcPr>
            <w:tcW w:w="0" w:type="auto"/>
            <w:vAlign w:val="center"/>
            <w:hideMark/>
          </w:tcPr>
          <w:p w14:paraId="4B981CCC" w14:textId="77777777" w:rsidR="002F5AFF" w:rsidRPr="004E13E9" w:rsidRDefault="002F5AFF" w:rsidP="00E62E84">
            <w:pPr>
              <w:rPr>
                <w:rFonts w:eastAsia="Times New Roman" w:cs="Calibri"/>
                <w:sz w:val="18"/>
                <w:szCs w:val="18"/>
                <w:lang w:eastAsia="ja-JP"/>
              </w:rPr>
            </w:pPr>
          </w:p>
        </w:tc>
        <w:tc>
          <w:tcPr>
            <w:tcW w:w="0" w:type="auto"/>
            <w:vAlign w:val="center"/>
            <w:hideMark/>
          </w:tcPr>
          <w:p w14:paraId="2595AE5B" w14:textId="77777777" w:rsidR="002F5AFF" w:rsidRPr="004E13E9" w:rsidRDefault="002F5AFF" w:rsidP="00E62E84">
            <w:pPr>
              <w:rPr>
                <w:rFonts w:eastAsia="Times New Roman" w:cs="Calibri"/>
                <w:sz w:val="18"/>
                <w:szCs w:val="18"/>
                <w:lang w:eastAsia="ja-JP"/>
              </w:rPr>
            </w:pPr>
          </w:p>
        </w:tc>
        <w:tc>
          <w:tcPr>
            <w:tcW w:w="0" w:type="auto"/>
            <w:vAlign w:val="center"/>
          </w:tcPr>
          <w:p w14:paraId="7A4E9BBE" w14:textId="77777777" w:rsidR="002F5AFF" w:rsidRPr="004E13E9" w:rsidRDefault="002F5AFF" w:rsidP="00E62E84">
            <w:pPr>
              <w:rPr>
                <w:rFonts w:eastAsia="Times New Roman" w:cs="Calibri"/>
                <w:sz w:val="18"/>
                <w:szCs w:val="18"/>
                <w:lang w:eastAsia="ja-JP"/>
              </w:rPr>
            </w:pPr>
          </w:p>
        </w:tc>
        <w:tc>
          <w:tcPr>
            <w:tcW w:w="0" w:type="auto"/>
            <w:vAlign w:val="center"/>
          </w:tcPr>
          <w:p w14:paraId="34B9BB30" w14:textId="77777777" w:rsidR="002F5AFF" w:rsidRPr="004E13E9" w:rsidRDefault="002F5AFF" w:rsidP="00E62E84">
            <w:pPr>
              <w:jc w:val="center"/>
              <w:rPr>
                <w:rFonts w:eastAsia="Times New Roman" w:cs="Calibri"/>
                <w:sz w:val="18"/>
                <w:szCs w:val="18"/>
              </w:rPr>
            </w:pPr>
            <w:r w:rsidRPr="004E13E9">
              <w:rPr>
                <w:sz w:val="18"/>
                <w:szCs w:val="18"/>
              </w:rPr>
              <w:t>10</w:t>
            </w:r>
          </w:p>
        </w:tc>
        <w:tc>
          <w:tcPr>
            <w:tcW w:w="0" w:type="auto"/>
            <w:shd w:val="clear" w:color="000000" w:fill="D9D9D9"/>
            <w:vAlign w:val="center"/>
            <w:hideMark/>
          </w:tcPr>
          <w:p w14:paraId="544F0152" w14:textId="77777777" w:rsidR="002F5AFF" w:rsidRPr="004E13E9" w:rsidRDefault="002F5AFF" w:rsidP="00E62E84">
            <w:pPr>
              <w:rPr>
                <w:rFonts w:eastAsia="Times New Roman" w:cs="Calibri"/>
                <w:sz w:val="18"/>
                <w:szCs w:val="18"/>
              </w:rPr>
            </w:pPr>
            <w:r w:rsidRPr="004E13E9">
              <w:rPr>
                <w:sz w:val="18"/>
                <w:szCs w:val="18"/>
              </w:rPr>
              <w:t> </w:t>
            </w:r>
          </w:p>
        </w:tc>
        <w:tc>
          <w:tcPr>
            <w:tcW w:w="0" w:type="auto"/>
          </w:tcPr>
          <w:p w14:paraId="75F27B4E" w14:textId="77777777" w:rsidR="002F5AFF" w:rsidRPr="004E13E9" w:rsidRDefault="002F5AFF" w:rsidP="00E62E84">
            <w:pPr>
              <w:rPr>
                <w:rFonts w:eastAsia="Times New Roman" w:cs="Calibri"/>
                <w:sz w:val="18"/>
                <w:szCs w:val="18"/>
                <w:lang w:eastAsia="ja-JP"/>
              </w:rPr>
            </w:pPr>
          </w:p>
        </w:tc>
        <w:tc>
          <w:tcPr>
            <w:tcW w:w="0" w:type="auto"/>
            <w:vAlign w:val="center"/>
            <w:hideMark/>
          </w:tcPr>
          <w:p w14:paraId="72715B57" w14:textId="77777777" w:rsidR="002F5AFF" w:rsidRPr="004E13E9" w:rsidRDefault="002F5AFF" w:rsidP="00E62E84">
            <w:pPr>
              <w:rPr>
                <w:rFonts w:eastAsia="Times New Roman" w:cs="Calibri"/>
                <w:sz w:val="18"/>
                <w:szCs w:val="18"/>
                <w:lang w:eastAsia="ja-JP"/>
              </w:rPr>
            </w:pPr>
          </w:p>
        </w:tc>
        <w:tc>
          <w:tcPr>
            <w:tcW w:w="0" w:type="auto"/>
            <w:vAlign w:val="center"/>
            <w:hideMark/>
          </w:tcPr>
          <w:p w14:paraId="01CA0A20" w14:textId="77777777" w:rsidR="002F5AFF" w:rsidRPr="004E13E9" w:rsidRDefault="002F5AFF" w:rsidP="00E62E84">
            <w:pPr>
              <w:rPr>
                <w:rFonts w:eastAsia="Times New Roman" w:cs="Calibri"/>
                <w:sz w:val="18"/>
                <w:szCs w:val="18"/>
                <w:lang w:eastAsia="ja-JP"/>
              </w:rPr>
            </w:pPr>
          </w:p>
        </w:tc>
        <w:tc>
          <w:tcPr>
            <w:tcW w:w="0" w:type="auto"/>
            <w:vAlign w:val="center"/>
            <w:hideMark/>
          </w:tcPr>
          <w:p w14:paraId="3EF3284B" w14:textId="77777777" w:rsidR="002F5AFF" w:rsidRPr="004E13E9" w:rsidRDefault="002F5AFF" w:rsidP="00E62E84">
            <w:pPr>
              <w:rPr>
                <w:rFonts w:eastAsia="Times New Roman" w:cs="Calibri"/>
                <w:sz w:val="18"/>
                <w:szCs w:val="18"/>
                <w:lang w:eastAsia="ja-JP"/>
              </w:rPr>
            </w:pPr>
          </w:p>
        </w:tc>
        <w:tc>
          <w:tcPr>
            <w:tcW w:w="0" w:type="auto"/>
            <w:vAlign w:val="center"/>
            <w:hideMark/>
          </w:tcPr>
          <w:p w14:paraId="115DA7B5" w14:textId="77777777" w:rsidR="002F5AFF" w:rsidRPr="004E13E9" w:rsidRDefault="002F5AFF" w:rsidP="00E62E84">
            <w:pPr>
              <w:rPr>
                <w:rFonts w:eastAsia="Times New Roman" w:cs="Calibri"/>
                <w:sz w:val="18"/>
                <w:szCs w:val="18"/>
                <w:lang w:eastAsia="ja-JP"/>
              </w:rPr>
            </w:pPr>
          </w:p>
        </w:tc>
        <w:tc>
          <w:tcPr>
            <w:tcW w:w="0" w:type="auto"/>
            <w:vAlign w:val="center"/>
            <w:hideMark/>
          </w:tcPr>
          <w:p w14:paraId="50F788CB" w14:textId="77777777" w:rsidR="002F5AFF" w:rsidRPr="004E13E9" w:rsidRDefault="002F5AFF" w:rsidP="00E62E84">
            <w:pPr>
              <w:rPr>
                <w:rFonts w:eastAsia="Times New Roman" w:cs="Calibri"/>
                <w:sz w:val="18"/>
                <w:szCs w:val="18"/>
                <w:lang w:eastAsia="ja-JP"/>
              </w:rPr>
            </w:pPr>
          </w:p>
        </w:tc>
        <w:tc>
          <w:tcPr>
            <w:tcW w:w="0" w:type="auto"/>
            <w:vAlign w:val="center"/>
          </w:tcPr>
          <w:p w14:paraId="4347BCDF" w14:textId="77777777" w:rsidR="002F5AFF" w:rsidRPr="004E13E9" w:rsidRDefault="002F5AFF" w:rsidP="00E62E84">
            <w:pPr>
              <w:rPr>
                <w:rFonts w:eastAsia="Times New Roman" w:cs="Calibri"/>
                <w:sz w:val="18"/>
                <w:szCs w:val="18"/>
              </w:rPr>
            </w:pPr>
            <w:r w:rsidRPr="004E13E9">
              <w:rPr>
                <w:sz w:val="18"/>
                <w:szCs w:val="18"/>
              </w:rPr>
              <w:t>56,8</w:t>
            </w:r>
          </w:p>
        </w:tc>
      </w:tr>
      <w:tr w:rsidR="002F5AFF" w:rsidRPr="004E13E9" w14:paraId="2941AE29" w14:textId="77777777" w:rsidTr="00E62E84">
        <w:trPr>
          <w:trHeight w:val="20"/>
        </w:trPr>
        <w:tc>
          <w:tcPr>
            <w:tcW w:w="0" w:type="auto"/>
            <w:noWrap/>
            <w:vAlign w:val="center"/>
            <w:hideMark/>
          </w:tcPr>
          <w:p w14:paraId="6549F757" w14:textId="77777777" w:rsidR="002F5AFF" w:rsidRPr="004E13E9" w:rsidRDefault="002F5AFF" w:rsidP="00E62E84">
            <w:pPr>
              <w:rPr>
                <w:rFonts w:eastAsia="Times New Roman" w:cs="Calibri"/>
                <w:sz w:val="18"/>
                <w:szCs w:val="18"/>
                <w:lang w:val="fr-FR"/>
              </w:rPr>
            </w:pPr>
            <w:r w:rsidRPr="004E13E9">
              <w:rPr>
                <w:sz w:val="18"/>
                <w:szCs w:val="18"/>
                <w:lang w:val="fr-FR"/>
              </w:rPr>
              <w:t>Palangrier de moins de 24m</w:t>
            </w:r>
          </w:p>
        </w:tc>
        <w:tc>
          <w:tcPr>
            <w:tcW w:w="2102" w:type="dxa"/>
            <w:noWrap/>
            <w:vAlign w:val="center"/>
            <w:hideMark/>
          </w:tcPr>
          <w:p w14:paraId="61A2B8E4" w14:textId="77777777" w:rsidR="002F5AFF" w:rsidRPr="004E13E9" w:rsidRDefault="002F5AFF" w:rsidP="00E62E84">
            <w:pPr>
              <w:jc w:val="center"/>
              <w:rPr>
                <w:rFonts w:eastAsia="Times New Roman" w:cs="Calibri"/>
                <w:sz w:val="18"/>
                <w:szCs w:val="18"/>
              </w:rPr>
            </w:pPr>
            <w:r w:rsidRPr="004E13E9">
              <w:rPr>
                <w:sz w:val="18"/>
                <w:szCs w:val="18"/>
              </w:rPr>
              <w:t>5</w:t>
            </w:r>
          </w:p>
        </w:tc>
        <w:tc>
          <w:tcPr>
            <w:tcW w:w="615" w:type="dxa"/>
          </w:tcPr>
          <w:p w14:paraId="3A9BFF6F" w14:textId="77777777" w:rsidR="002F5AFF" w:rsidRPr="004E13E9" w:rsidRDefault="002F5AFF" w:rsidP="00E62E84">
            <w:pPr>
              <w:rPr>
                <w:rFonts w:eastAsia="Times New Roman" w:cs="Calibri"/>
                <w:sz w:val="18"/>
                <w:szCs w:val="18"/>
                <w:lang w:eastAsia="ja-JP"/>
              </w:rPr>
            </w:pPr>
          </w:p>
        </w:tc>
        <w:tc>
          <w:tcPr>
            <w:tcW w:w="0" w:type="auto"/>
            <w:noWrap/>
            <w:vAlign w:val="center"/>
            <w:hideMark/>
          </w:tcPr>
          <w:p w14:paraId="0DA321CA" w14:textId="77777777" w:rsidR="002F5AFF" w:rsidRPr="004E13E9" w:rsidRDefault="002F5AFF" w:rsidP="00E62E84">
            <w:pPr>
              <w:rPr>
                <w:rFonts w:eastAsia="Times New Roman" w:cs="Calibri"/>
                <w:sz w:val="18"/>
                <w:szCs w:val="18"/>
              </w:rPr>
            </w:pPr>
            <w:r w:rsidRPr="004E13E9">
              <w:rPr>
                <w:sz w:val="18"/>
                <w:szCs w:val="18"/>
              </w:rPr>
              <w:t> </w:t>
            </w:r>
          </w:p>
        </w:tc>
        <w:tc>
          <w:tcPr>
            <w:tcW w:w="0" w:type="auto"/>
            <w:vAlign w:val="center"/>
            <w:hideMark/>
          </w:tcPr>
          <w:p w14:paraId="4653FB67" w14:textId="77777777" w:rsidR="002F5AFF" w:rsidRPr="004E13E9" w:rsidRDefault="002F5AFF" w:rsidP="00E62E84">
            <w:pPr>
              <w:rPr>
                <w:rFonts w:eastAsia="Times New Roman" w:cs="Calibri"/>
                <w:sz w:val="18"/>
                <w:szCs w:val="18"/>
                <w:lang w:eastAsia="ja-JP"/>
              </w:rPr>
            </w:pPr>
          </w:p>
        </w:tc>
        <w:tc>
          <w:tcPr>
            <w:tcW w:w="0" w:type="auto"/>
            <w:vAlign w:val="center"/>
            <w:hideMark/>
          </w:tcPr>
          <w:p w14:paraId="1EE08107" w14:textId="77777777" w:rsidR="002F5AFF" w:rsidRPr="004E13E9" w:rsidRDefault="002F5AFF" w:rsidP="00E62E84">
            <w:pPr>
              <w:rPr>
                <w:rFonts w:eastAsia="Times New Roman" w:cs="Calibri"/>
                <w:sz w:val="18"/>
                <w:szCs w:val="18"/>
                <w:lang w:eastAsia="ja-JP"/>
              </w:rPr>
            </w:pPr>
          </w:p>
        </w:tc>
        <w:tc>
          <w:tcPr>
            <w:tcW w:w="0" w:type="auto"/>
            <w:vAlign w:val="center"/>
            <w:hideMark/>
          </w:tcPr>
          <w:p w14:paraId="25C29E85" w14:textId="77777777" w:rsidR="002F5AFF" w:rsidRPr="004E13E9" w:rsidRDefault="002F5AFF" w:rsidP="00E62E84">
            <w:pPr>
              <w:rPr>
                <w:rFonts w:eastAsia="Times New Roman" w:cs="Calibri"/>
                <w:sz w:val="18"/>
                <w:szCs w:val="18"/>
                <w:lang w:eastAsia="ja-JP"/>
              </w:rPr>
            </w:pPr>
          </w:p>
        </w:tc>
        <w:tc>
          <w:tcPr>
            <w:tcW w:w="0" w:type="auto"/>
            <w:vAlign w:val="center"/>
          </w:tcPr>
          <w:p w14:paraId="364817E7" w14:textId="77777777" w:rsidR="002F5AFF" w:rsidRPr="004E13E9" w:rsidRDefault="002F5AFF" w:rsidP="00E62E84">
            <w:pPr>
              <w:rPr>
                <w:rFonts w:eastAsia="Times New Roman" w:cs="Calibri"/>
                <w:sz w:val="18"/>
                <w:szCs w:val="18"/>
                <w:lang w:eastAsia="ja-JP"/>
              </w:rPr>
            </w:pPr>
          </w:p>
        </w:tc>
        <w:tc>
          <w:tcPr>
            <w:tcW w:w="0" w:type="auto"/>
            <w:vAlign w:val="center"/>
          </w:tcPr>
          <w:p w14:paraId="06C9CC9E" w14:textId="77777777" w:rsidR="002F5AFF" w:rsidRPr="004E13E9" w:rsidRDefault="002F5AFF" w:rsidP="00E62E84">
            <w:pPr>
              <w:jc w:val="center"/>
              <w:rPr>
                <w:rFonts w:eastAsia="Times New Roman" w:cs="Calibri"/>
                <w:sz w:val="18"/>
                <w:szCs w:val="18"/>
              </w:rPr>
            </w:pPr>
            <w:r w:rsidRPr="004E13E9">
              <w:rPr>
                <w:sz w:val="18"/>
                <w:szCs w:val="18"/>
              </w:rPr>
              <w:t> </w:t>
            </w:r>
          </w:p>
        </w:tc>
        <w:tc>
          <w:tcPr>
            <w:tcW w:w="0" w:type="auto"/>
            <w:shd w:val="clear" w:color="000000" w:fill="D9D9D9"/>
            <w:vAlign w:val="center"/>
            <w:hideMark/>
          </w:tcPr>
          <w:p w14:paraId="06BB78C2" w14:textId="77777777" w:rsidR="002F5AFF" w:rsidRPr="004E13E9" w:rsidRDefault="002F5AFF" w:rsidP="00E62E84">
            <w:pPr>
              <w:rPr>
                <w:rFonts w:eastAsia="Times New Roman" w:cs="Calibri"/>
                <w:sz w:val="18"/>
                <w:szCs w:val="18"/>
              </w:rPr>
            </w:pPr>
            <w:r w:rsidRPr="004E13E9">
              <w:rPr>
                <w:sz w:val="18"/>
                <w:szCs w:val="18"/>
              </w:rPr>
              <w:t> </w:t>
            </w:r>
          </w:p>
        </w:tc>
        <w:tc>
          <w:tcPr>
            <w:tcW w:w="0" w:type="auto"/>
          </w:tcPr>
          <w:p w14:paraId="61145628" w14:textId="77777777" w:rsidR="002F5AFF" w:rsidRPr="004E13E9" w:rsidRDefault="002F5AFF" w:rsidP="00E62E84">
            <w:pPr>
              <w:rPr>
                <w:rFonts w:eastAsia="Times New Roman" w:cs="Calibri"/>
                <w:sz w:val="18"/>
                <w:szCs w:val="18"/>
                <w:lang w:eastAsia="ja-JP"/>
              </w:rPr>
            </w:pPr>
          </w:p>
        </w:tc>
        <w:tc>
          <w:tcPr>
            <w:tcW w:w="0" w:type="auto"/>
            <w:vAlign w:val="center"/>
            <w:hideMark/>
          </w:tcPr>
          <w:p w14:paraId="643A38C3" w14:textId="77777777" w:rsidR="002F5AFF" w:rsidRPr="004E13E9" w:rsidRDefault="002F5AFF" w:rsidP="00E62E84">
            <w:pPr>
              <w:rPr>
                <w:rFonts w:eastAsia="Times New Roman" w:cs="Calibri"/>
                <w:sz w:val="18"/>
                <w:szCs w:val="18"/>
                <w:lang w:eastAsia="ja-JP"/>
              </w:rPr>
            </w:pPr>
          </w:p>
        </w:tc>
        <w:tc>
          <w:tcPr>
            <w:tcW w:w="0" w:type="auto"/>
            <w:vAlign w:val="center"/>
            <w:hideMark/>
          </w:tcPr>
          <w:p w14:paraId="28A070D3" w14:textId="77777777" w:rsidR="002F5AFF" w:rsidRPr="004E13E9" w:rsidRDefault="002F5AFF" w:rsidP="00E62E84">
            <w:pPr>
              <w:rPr>
                <w:rFonts w:eastAsia="Times New Roman" w:cs="Calibri"/>
                <w:sz w:val="18"/>
                <w:szCs w:val="18"/>
                <w:lang w:eastAsia="ja-JP"/>
              </w:rPr>
            </w:pPr>
          </w:p>
        </w:tc>
        <w:tc>
          <w:tcPr>
            <w:tcW w:w="0" w:type="auto"/>
            <w:vAlign w:val="center"/>
            <w:hideMark/>
          </w:tcPr>
          <w:p w14:paraId="2E151C48" w14:textId="77777777" w:rsidR="002F5AFF" w:rsidRPr="004E13E9" w:rsidRDefault="002F5AFF" w:rsidP="00E62E84">
            <w:pPr>
              <w:rPr>
                <w:rFonts w:eastAsia="Times New Roman" w:cs="Calibri"/>
                <w:sz w:val="18"/>
                <w:szCs w:val="18"/>
                <w:lang w:eastAsia="ja-JP"/>
              </w:rPr>
            </w:pPr>
          </w:p>
        </w:tc>
        <w:tc>
          <w:tcPr>
            <w:tcW w:w="0" w:type="auto"/>
            <w:vAlign w:val="center"/>
            <w:hideMark/>
          </w:tcPr>
          <w:p w14:paraId="7AEAB086" w14:textId="77777777" w:rsidR="002F5AFF" w:rsidRPr="004E13E9" w:rsidRDefault="002F5AFF" w:rsidP="00E62E84">
            <w:pPr>
              <w:rPr>
                <w:rFonts w:eastAsia="Times New Roman" w:cs="Calibri"/>
                <w:sz w:val="18"/>
                <w:szCs w:val="18"/>
                <w:lang w:eastAsia="ja-JP"/>
              </w:rPr>
            </w:pPr>
          </w:p>
        </w:tc>
        <w:tc>
          <w:tcPr>
            <w:tcW w:w="0" w:type="auto"/>
            <w:vAlign w:val="center"/>
            <w:hideMark/>
          </w:tcPr>
          <w:p w14:paraId="1882F1A1" w14:textId="77777777" w:rsidR="002F5AFF" w:rsidRPr="004E13E9" w:rsidRDefault="002F5AFF" w:rsidP="00E62E84">
            <w:pPr>
              <w:rPr>
                <w:rFonts w:eastAsia="Times New Roman" w:cs="Calibri"/>
                <w:sz w:val="18"/>
                <w:szCs w:val="18"/>
                <w:lang w:eastAsia="ja-JP"/>
              </w:rPr>
            </w:pPr>
          </w:p>
        </w:tc>
        <w:tc>
          <w:tcPr>
            <w:tcW w:w="0" w:type="auto"/>
            <w:vAlign w:val="center"/>
          </w:tcPr>
          <w:p w14:paraId="727C6528" w14:textId="77777777" w:rsidR="002F5AFF" w:rsidRPr="004E13E9" w:rsidRDefault="002F5AFF" w:rsidP="00E62E84">
            <w:pPr>
              <w:rPr>
                <w:rFonts w:eastAsia="Times New Roman" w:cs="Calibri"/>
                <w:sz w:val="18"/>
                <w:szCs w:val="18"/>
              </w:rPr>
            </w:pPr>
            <w:r w:rsidRPr="004E13E9">
              <w:rPr>
                <w:sz w:val="18"/>
                <w:szCs w:val="18"/>
              </w:rPr>
              <w:t> </w:t>
            </w:r>
          </w:p>
        </w:tc>
      </w:tr>
      <w:tr w:rsidR="002F5AFF" w:rsidRPr="004E13E9" w14:paraId="5141CE9F" w14:textId="77777777" w:rsidTr="00E62E84">
        <w:trPr>
          <w:trHeight w:val="20"/>
        </w:trPr>
        <w:tc>
          <w:tcPr>
            <w:tcW w:w="0" w:type="auto"/>
            <w:noWrap/>
            <w:vAlign w:val="center"/>
            <w:hideMark/>
          </w:tcPr>
          <w:p w14:paraId="57C333D5" w14:textId="77777777" w:rsidR="002F5AFF" w:rsidRPr="004E13E9" w:rsidRDefault="002F5AFF" w:rsidP="00E62E84">
            <w:pPr>
              <w:rPr>
                <w:rFonts w:eastAsia="Times New Roman" w:cs="Calibri"/>
                <w:b/>
                <w:bCs/>
                <w:sz w:val="18"/>
                <w:szCs w:val="18"/>
              </w:rPr>
            </w:pPr>
            <w:proofErr w:type="spellStart"/>
            <w:r w:rsidRPr="004E13E9">
              <w:rPr>
                <w:b/>
                <w:sz w:val="18"/>
                <w:szCs w:val="18"/>
              </w:rPr>
              <w:t>Flottille</w:t>
            </w:r>
            <w:proofErr w:type="spellEnd"/>
            <w:r w:rsidRPr="004E13E9">
              <w:rPr>
                <w:b/>
                <w:sz w:val="18"/>
                <w:szCs w:val="18"/>
              </w:rPr>
              <w:t xml:space="preserve"> </w:t>
            </w:r>
            <w:proofErr w:type="spellStart"/>
            <w:r w:rsidRPr="004E13E9">
              <w:rPr>
                <w:b/>
                <w:sz w:val="18"/>
                <w:szCs w:val="18"/>
              </w:rPr>
              <w:t>totale</w:t>
            </w:r>
            <w:proofErr w:type="spellEnd"/>
            <w:r w:rsidRPr="004E13E9">
              <w:rPr>
                <w:b/>
                <w:sz w:val="18"/>
                <w:szCs w:val="18"/>
              </w:rPr>
              <w:t xml:space="preserve"> de </w:t>
            </w:r>
            <w:proofErr w:type="spellStart"/>
            <w:r w:rsidRPr="004E13E9">
              <w:rPr>
                <w:b/>
                <w:sz w:val="18"/>
                <w:szCs w:val="18"/>
              </w:rPr>
              <w:t>palangriers</w:t>
            </w:r>
            <w:proofErr w:type="spellEnd"/>
          </w:p>
        </w:tc>
        <w:tc>
          <w:tcPr>
            <w:tcW w:w="2102" w:type="dxa"/>
            <w:noWrap/>
            <w:vAlign w:val="center"/>
            <w:hideMark/>
          </w:tcPr>
          <w:p w14:paraId="76A86385" w14:textId="77777777" w:rsidR="002F5AFF" w:rsidRPr="004E13E9" w:rsidRDefault="002F5AFF" w:rsidP="00E62E84">
            <w:pPr>
              <w:rPr>
                <w:rFonts w:eastAsia="Times New Roman"/>
                <w:sz w:val="18"/>
                <w:szCs w:val="18"/>
              </w:rPr>
            </w:pPr>
            <w:r w:rsidRPr="004E13E9">
              <w:rPr>
                <w:sz w:val="18"/>
                <w:szCs w:val="18"/>
              </w:rPr>
              <w:t> </w:t>
            </w:r>
          </w:p>
        </w:tc>
        <w:tc>
          <w:tcPr>
            <w:tcW w:w="615" w:type="dxa"/>
          </w:tcPr>
          <w:p w14:paraId="34FEC9CC" w14:textId="77777777" w:rsidR="002F5AFF" w:rsidRPr="004E13E9" w:rsidRDefault="002F5AFF" w:rsidP="00E62E84">
            <w:pPr>
              <w:rPr>
                <w:rFonts w:eastAsia="Times New Roman" w:cs="Calibri"/>
                <w:b/>
                <w:bCs/>
                <w:sz w:val="18"/>
                <w:szCs w:val="18"/>
                <w:lang w:eastAsia="ja-JP"/>
              </w:rPr>
            </w:pPr>
          </w:p>
        </w:tc>
        <w:tc>
          <w:tcPr>
            <w:tcW w:w="0" w:type="auto"/>
            <w:noWrap/>
            <w:vAlign w:val="center"/>
            <w:hideMark/>
          </w:tcPr>
          <w:p w14:paraId="2D9060EA" w14:textId="77777777" w:rsidR="002F5AFF" w:rsidRPr="004E13E9" w:rsidRDefault="002F5AFF" w:rsidP="00E62E84">
            <w:pPr>
              <w:rPr>
                <w:rFonts w:eastAsia="Times New Roman" w:cs="Calibri"/>
                <w:b/>
                <w:bCs/>
                <w:sz w:val="18"/>
                <w:szCs w:val="18"/>
              </w:rPr>
            </w:pPr>
            <w:r w:rsidRPr="004E13E9">
              <w:rPr>
                <w:b/>
                <w:sz w:val="18"/>
                <w:szCs w:val="18"/>
              </w:rPr>
              <w:t> </w:t>
            </w:r>
          </w:p>
        </w:tc>
        <w:tc>
          <w:tcPr>
            <w:tcW w:w="0" w:type="auto"/>
            <w:vAlign w:val="center"/>
            <w:hideMark/>
          </w:tcPr>
          <w:p w14:paraId="16E2C7A1"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15111E11"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4CBB3CF4" w14:textId="77777777" w:rsidR="002F5AFF" w:rsidRPr="004E13E9" w:rsidRDefault="002F5AFF" w:rsidP="00E62E84">
            <w:pPr>
              <w:rPr>
                <w:rFonts w:eastAsia="Times New Roman" w:cs="Calibri"/>
                <w:b/>
                <w:bCs/>
                <w:sz w:val="18"/>
                <w:szCs w:val="18"/>
              </w:rPr>
            </w:pPr>
            <w:r w:rsidRPr="004E13E9">
              <w:rPr>
                <w:b/>
                <w:sz w:val="18"/>
                <w:szCs w:val="18"/>
              </w:rPr>
              <w:t>1</w:t>
            </w:r>
          </w:p>
        </w:tc>
        <w:tc>
          <w:tcPr>
            <w:tcW w:w="0" w:type="auto"/>
            <w:vAlign w:val="center"/>
          </w:tcPr>
          <w:p w14:paraId="461E411F" w14:textId="77777777" w:rsidR="002F5AFF" w:rsidRPr="004E13E9" w:rsidRDefault="002F5AFF" w:rsidP="00E62E84">
            <w:pPr>
              <w:rPr>
                <w:rFonts w:eastAsia="Times New Roman" w:cs="Calibri"/>
                <w:b/>
                <w:bCs/>
                <w:sz w:val="18"/>
                <w:szCs w:val="18"/>
              </w:rPr>
            </w:pPr>
            <w:r w:rsidRPr="004E13E9">
              <w:rPr>
                <w:b/>
                <w:sz w:val="18"/>
                <w:szCs w:val="18"/>
              </w:rPr>
              <w:t>4</w:t>
            </w:r>
          </w:p>
        </w:tc>
        <w:tc>
          <w:tcPr>
            <w:tcW w:w="0" w:type="auto"/>
            <w:vAlign w:val="center"/>
          </w:tcPr>
          <w:p w14:paraId="11B50BFF" w14:textId="77777777" w:rsidR="002F5AFF" w:rsidRPr="004E13E9" w:rsidRDefault="002F5AFF" w:rsidP="00E62E84">
            <w:pPr>
              <w:jc w:val="center"/>
              <w:rPr>
                <w:rFonts w:eastAsia="Times New Roman" w:cs="Calibri"/>
                <w:sz w:val="18"/>
                <w:szCs w:val="18"/>
              </w:rPr>
            </w:pPr>
            <w:r w:rsidRPr="004E13E9">
              <w:rPr>
                <w:b/>
                <w:sz w:val="18"/>
                <w:szCs w:val="18"/>
              </w:rPr>
              <w:t>20</w:t>
            </w:r>
          </w:p>
        </w:tc>
        <w:tc>
          <w:tcPr>
            <w:tcW w:w="0" w:type="auto"/>
            <w:shd w:val="clear" w:color="000000" w:fill="D9D9D9"/>
            <w:vAlign w:val="center"/>
            <w:hideMark/>
          </w:tcPr>
          <w:p w14:paraId="6999DEEC" w14:textId="77777777" w:rsidR="002F5AFF" w:rsidRPr="004E13E9" w:rsidRDefault="002F5AFF" w:rsidP="00E62E84">
            <w:pPr>
              <w:rPr>
                <w:rFonts w:eastAsia="Times New Roman" w:cs="Calibri"/>
                <w:b/>
                <w:bCs/>
                <w:sz w:val="18"/>
                <w:szCs w:val="18"/>
              </w:rPr>
            </w:pPr>
            <w:r w:rsidRPr="004E13E9">
              <w:rPr>
                <w:sz w:val="18"/>
                <w:szCs w:val="18"/>
              </w:rPr>
              <w:t> </w:t>
            </w:r>
          </w:p>
        </w:tc>
        <w:tc>
          <w:tcPr>
            <w:tcW w:w="0" w:type="auto"/>
          </w:tcPr>
          <w:p w14:paraId="4F09E0CB"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4901BC83"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62A9D597"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2873E031"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006C8595" w14:textId="77777777" w:rsidR="002F5AFF" w:rsidRPr="004E13E9" w:rsidRDefault="002F5AFF" w:rsidP="00E62E84">
            <w:pPr>
              <w:rPr>
                <w:rFonts w:eastAsia="Times New Roman" w:cs="Calibri"/>
                <w:b/>
                <w:bCs/>
                <w:sz w:val="18"/>
                <w:szCs w:val="18"/>
              </w:rPr>
            </w:pPr>
            <w:r w:rsidRPr="004E13E9">
              <w:rPr>
                <w:b/>
                <w:sz w:val="18"/>
                <w:szCs w:val="18"/>
              </w:rPr>
              <w:t>25</w:t>
            </w:r>
          </w:p>
        </w:tc>
        <w:tc>
          <w:tcPr>
            <w:tcW w:w="0" w:type="auto"/>
            <w:vAlign w:val="center"/>
            <w:hideMark/>
          </w:tcPr>
          <w:p w14:paraId="5E4D4712" w14:textId="77777777" w:rsidR="002F5AFF" w:rsidRPr="004E13E9" w:rsidRDefault="002F5AFF" w:rsidP="00E62E84">
            <w:pPr>
              <w:rPr>
                <w:rFonts w:eastAsia="Times New Roman" w:cs="Calibri"/>
                <w:b/>
                <w:bCs/>
                <w:sz w:val="18"/>
                <w:szCs w:val="18"/>
              </w:rPr>
            </w:pPr>
            <w:r w:rsidRPr="004E13E9">
              <w:rPr>
                <w:b/>
                <w:sz w:val="18"/>
                <w:szCs w:val="18"/>
              </w:rPr>
              <w:t>100</w:t>
            </w:r>
          </w:p>
        </w:tc>
        <w:tc>
          <w:tcPr>
            <w:tcW w:w="0" w:type="auto"/>
            <w:vAlign w:val="center"/>
          </w:tcPr>
          <w:p w14:paraId="55AC623E" w14:textId="77777777" w:rsidR="002F5AFF" w:rsidRPr="004E13E9" w:rsidRDefault="002F5AFF" w:rsidP="00E62E84">
            <w:pPr>
              <w:rPr>
                <w:rFonts w:eastAsia="Times New Roman" w:cs="Calibri"/>
                <w:b/>
                <w:bCs/>
                <w:sz w:val="18"/>
                <w:szCs w:val="18"/>
              </w:rPr>
            </w:pPr>
            <w:r w:rsidRPr="004E13E9">
              <w:rPr>
                <w:b/>
                <w:sz w:val="18"/>
                <w:szCs w:val="18"/>
              </w:rPr>
              <w:t>306,8</w:t>
            </w:r>
          </w:p>
        </w:tc>
      </w:tr>
      <w:tr w:rsidR="002F5AFF" w:rsidRPr="004E13E9" w14:paraId="17CD8D4F" w14:textId="77777777" w:rsidTr="00E62E84">
        <w:trPr>
          <w:trHeight w:val="20"/>
        </w:trPr>
        <w:tc>
          <w:tcPr>
            <w:tcW w:w="0" w:type="auto"/>
            <w:noWrap/>
            <w:vAlign w:val="center"/>
            <w:hideMark/>
          </w:tcPr>
          <w:p w14:paraId="64A08B64" w14:textId="77777777" w:rsidR="002F5AFF" w:rsidRPr="004E13E9" w:rsidRDefault="002F5AFF" w:rsidP="00E62E84">
            <w:pPr>
              <w:rPr>
                <w:rFonts w:eastAsia="Times New Roman" w:cs="Calibri"/>
                <w:sz w:val="18"/>
                <w:szCs w:val="18"/>
              </w:rPr>
            </w:pPr>
            <w:proofErr w:type="spellStart"/>
            <w:r w:rsidRPr="004E13E9">
              <w:rPr>
                <w:sz w:val="18"/>
                <w:szCs w:val="18"/>
              </w:rPr>
              <w:t>Canneur</w:t>
            </w:r>
            <w:proofErr w:type="spellEnd"/>
          </w:p>
        </w:tc>
        <w:tc>
          <w:tcPr>
            <w:tcW w:w="2102" w:type="dxa"/>
            <w:noWrap/>
            <w:vAlign w:val="center"/>
            <w:hideMark/>
          </w:tcPr>
          <w:p w14:paraId="7E106F2A" w14:textId="77777777" w:rsidR="002F5AFF" w:rsidRPr="004E13E9" w:rsidRDefault="002F5AFF" w:rsidP="00E62E84">
            <w:pPr>
              <w:jc w:val="center"/>
              <w:rPr>
                <w:rFonts w:eastAsia="Times New Roman" w:cs="Calibri"/>
                <w:sz w:val="18"/>
                <w:szCs w:val="18"/>
              </w:rPr>
            </w:pPr>
            <w:r w:rsidRPr="004E13E9">
              <w:rPr>
                <w:sz w:val="18"/>
                <w:szCs w:val="18"/>
              </w:rPr>
              <w:t>19,75</w:t>
            </w:r>
          </w:p>
        </w:tc>
        <w:tc>
          <w:tcPr>
            <w:tcW w:w="615" w:type="dxa"/>
          </w:tcPr>
          <w:p w14:paraId="5785976A" w14:textId="77777777" w:rsidR="002F5AFF" w:rsidRPr="004E13E9" w:rsidRDefault="002F5AFF" w:rsidP="00E62E84">
            <w:pPr>
              <w:rPr>
                <w:rFonts w:eastAsia="Times New Roman" w:cs="Calibri"/>
                <w:b/>
                <w:bCs/>
                <w:sz w:val="18"/>
                <w:szCs w:val="18"/>
                <w:lang w:eastAsia="ja-JP"/>
              </w:rPr>
            </w:pPr>
          </w:p>
        </w:tc>
        <w:tc>
          <w:tcPr>
            <w:tcW w:w="0" w:type="auto"/>
            <w:noWrap/>
            <w:vAlign w:val="center"/>
            <w:hideMark/>
          </w:tcPr>
          <w:p w14:paraId="3B0EB2C5" w14:textId="77777777" w:rsidR="002F5AFF" w:rsidRPr="004E13E9" w:rsidRDefault="002F5AFF" w:rsidP="00E62E84">
            <w:pPr>
              <w:rPr>
                <w:rFonts w:eastAsia="Times New Roman" w:cs="Calibri"/>
                <w:b/>
                <w:bCs/>
                <w:sz w:val="18"/>
                <w:szCs w:val="18"/>
              </w:rPr>
            </w:pPr>
            <w:r w:rsidRPr="004E13E9">
              <w:rPr>
                <w:b/>
                <w:sz w:val="18"/>
                <w:szCs w:val="18"/>
              </w:rPr>
              <w:t> </w:t>
            </w:r>
          </w:p>
        </w:tc>
        <w:tc>
          <w:tcPr>
            <w:tcW w:w="0" w:type="auto"/>
            <w:vAlign w:val="center"/>
            <w:hideMark/>
          </w:tcPr>
          <w:p w14:paraId="3DED13AC"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4B187ABC"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0529628E" w14:textId="77777777" w:rsidR="002F5AFF" w:rsidRPr="004E13E9" w:rsidRDefault="002F5AFF" w:rsidP="00E62E84">
            <w:pPr>
              <w:rPr>
                <w:rFonts w:eastAsia="Times New Roman" w:cs="Calibri"/>
                <w:b/>
                <w:bCs/>
                <w:sz w:val="18"/>
                <w:szCs w:val="18"/>
                <w:lang w:eastAsia="ja-JP"/>
              </w:rPr>
            </w:pPr>
          </w:p>
        </w:tc>
        <w:tc>
          <w:tcPr>
            <w:tcW w:w="0" w:type="auto"/>
            <w:vAlign w:val="center"/>
          </w:tcPr>
          <w:p w14:paraId="1FB6966A" w14:textId="77777777" w:rsidR="002F5AFF" w:rsidRPr="004E13E9" w:rsidRDefault="002F5AFF" w:rsidP="00E62E84">
            <w:pPr>
              <w:rPr>
                <w:rFonts w:eastAsia="Times New Roman" w:cs="Calibri"/>
                <w:b/>
                <w:bCs/>
                <w:sz w:val="18"/>
                <w:szCs w:val="18"/>
                <w:lang w:eastAsia="ja-JP"/>
              </w:rPr>
            </w:pPr>
          </w:p>
        </w:tc>
        <w:tc>
          <w:tcPr>
            <w:tcW w:w="0" w:type="auto"/>
            <w:vAlign w:val="center"/>
          </w:tcPr>
          <w:p w14:paraId="3AB51628" w14:textId="77777777" w:rsidR="002F5AFF" w:rsidRPr="004E13E9" w:rsidRDefault="002F5AFF" w:rsidP="00E62E84">
            <w:pPr>
              <w:jc w:val="center"/>
              <w:rPr>
                <w:rFonts w:eastAsia="Times New Roman" w:cs="Calibri"/>
                <w:sz w:val="18"/>
                <w:szCs w:val="18"/>
              </w:rPr>
            </w:pPr>
            <w:r w:rsidRPr="004E13E9">
              <w:rPr>
                <w:b/>
                <w:sz w:val="18"/>
                <w:szCs w:val="18"/>
              </w:rPr>
              <w:t> </w:t>
            </w:r>
          </w:p>
        </w:tc>
        <w:tc>
          <w:tcPr>
            <w:tcW w:w="0" w:type="auto"/>
            <w:shd w:val="clear" w:color="000000" w:fill="D9D9D9"/>
            <w:vAlign w:val="center"/>
            <w:hideMark/>
          </w:tcPr>
          <w:p w14:paraId="501FD878" w14:textId="77777777" w:rsidR="002F5AFF" w:rsidRPr="004E13E9" w:rsidRDefault="002F5AFF" w:rsidP="00E62E84">
            <w:pPr>
              <w:rPr>
                <w:rFonts w:eastAsia="Times New Roman" w:cs="Calibri"/>
                <w:b/>
                <w:bCs/>
                <w:sz w:val="18"/>
                <w:szCs w:val="18"/>
              </w:rPr>
            </w:pPr>
            <w:r w:rsidRPr="004E13E9">
              <w:rPr>
                <w:b/>
                <w:sz w:val="18"/>
                <w:szCs w:val="18"/>
              </w:rPr>
              <w:t> </w:t>
            </w:r>
          </w:p>
        </w:tc>
        <w:tc>
          <w:tcPr>
            <w:tcW w:w="0" w:type="auto"/>
          </w:tcPr>
          <w:p w14:paraId="70C0488F"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1BAC9568"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46EC6935"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768CF975"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194AEA3A"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6A087C20" w14:textId="77777777" w:rsidR="002F5AFF" w:rsidRPr="004E13E9" w:rsidRDefault="002F5AFF" w:rsidP="00E62E84">
            <w:pPr>
              <w:rPr>
                <w:rFonts w:eastAsia="Times New Roman" w:cs="Calibri"/>
                <w:b/>
                <w:bCs/>
                <w:sz w:val="18"/>
                <w:szCs w:val="18"/>
                <w:lang w:eastAsia="ja-JP"/>
              </w:rPr>
            </w:pPr>
          </w:p>
        </w:tc>
        <w:tc>
          <w:tcPr>
            <w:tcW w:w="0" w:type="auto"/>
            <w:vAlign w:val="center"/>
          </w:tcPr>
          <w:p w14:paraId="628EB549" w14:textId="77777777" w:rsidR="002F5AFF" w:rsidRPr="004E13E9" w:rsidRDefault="002F5AFF" w:rsidP="00E62E84">
            <w:pPr>
              <w:rPr>
                <w:rFonts w:eastAsia="Times New Roman" w:cs="Calibri"/>
                <w:b/>
                <w:bCs/>
                <w:sz w:val="18"/>
                <w:szCs w:val="18"/>
              </w:rPr>
            </w:pPr>
            <w:r w:rsidRPr="004E13E9">
              <w:rPr>
                <w:sz w:val="18"/>
                <w:szCs w:val="18"/>
              </w:rPr>
              <w:t> </w:t>
            </w:r>
          </w:p>
        </w:tc>
      </w:tr>
      <w:tr w:rsidR="002F5AFF" w:rsidRPr="004E13E9" w14:paraId="383EE26B" w14:textId="77777777" w:rsidTr="00E62E84">
        <w:trPr>
          <w:trHeight w:val="20"/>
        </w:trPr>
        <w:tc>
          <w:tcPr>
            <w:tcW w:w="0" w:type="auto"/>
            <w:noWrap/>
            <w:vAlign w:val="center"/>
            <w:hideMark/>
          </w:tcPr>
          <w:p w14:paraId="43B2D6BB" w14:textId="77777777" w:rsidR="002F5AFF" w:rsidRPr="004E13E9" w:rsidRDefault="002F5AFF" w:rsidP="00E62E84">
            <w:pPr>
              <w:rPr>
                <w:rFonts w:eastAsia="Times New Roman" w:cs="Calibri"/>
                <w:sz w:val="18"/>
                <w:szCs w:val="18"/>
              </w:rPr>
            </w:pPr>
            <w:r w:rsidRPr="004E13E9">
              <w:rPr>
                <w:sz w:val="18"/>
                <w:szCs w:val="18"/>
              </w:rPr>
              <w:t>Ligne à main</w:t>
            </w:r>
          </w:p>
        </w:tc>
        <w:tc>
          <w:tcPr>
            <w:tcW w:w="2102" w:type="dxa"/>
            <w:noWrap/>
            <w:vAlign w:val="center"/>
            <w:hideMark/>
          </w:tcPr>
          <w:p w14:paraId="3EE4A544" w14:textId="77777777" w:rsidR="002F5AFF" w:rsidRPr="004E13E9" w:rsidRDefault="002F5AFF" w:rsidP="00E62E84">
            <w:pPr>
              <w:jc w:val="center"/>
              <w:rPr>
                <w:rFonts w:eastAsia="Times New Roman" w:cs="Calibri"/>
                <w:sz w:val="18"/>
                <w:szCs w:val="18"/>
              </w:rPr>
            </w:pPr>
            <w:r w:rsidRPr="004E13E9">
              <w:rPr>
                <w:sz w:val="18"/>
                <w:szCs w:val="18"/>
              </w:rPr>
              <w:t>5</w:t>
            </w:r>
          </w:p>
        </w:tc>
        <w:tc>
          <w:tcPr>
            <w:tcW w:w="615" w:type="dxa"/>
          </w:tcPr>
          <w:p w14:paraId="64A4F9AB" w14:textId="77777777" w:rsidR="002F5AFF" w:rsidRPr="004E13E9" w:rsidRDefault="002F5AFF" w:rsidP="00E62E84">
            <w:pPr>
              <w:rPr>
                <w:rFonts w:eastAsia="Times New Roman" w:cs="Calibri"/>
                <w:sz w:val="18"/>
                <w:szCs w:val="18"/>
                <w:lang w:eastAsia="ja-JP"/>
              </w:rPr>
            </w:pPr>
          </w:p>
        </w:tc>
        <w:tc>
          <w:tcPr>
            <w:tcW w:w="0" w:type="auto"/>
            <w:noWrap/>
            <w:vAlign w:val="center"/>
            <w:hideMark/>
          </w:tcPr>
          <w:p w14:paraId="280AF867" w14:textId="77777777" w:rsidR="002F5AFF" w:rsidRPr="004E13E9" w:rsidRDefault="002F5AFF" w:rsidP="00E62E84">
            <w:pPr>
              <w:rPr>
                <w:rFonts w:eastAsia="Times New Roman" w:cs="Calibri"/>
                <w:sz w:val="18"/>
                <w:szCs w:val="18"/>
              </w:rPr>
            </w:pPr>
            <w:r w:rsidRPr="004E13E9">
              <w:rPr>
                <w:sz w:val="18"/>
                <w:szCs w:val="18"/>
              </w:rPr>
              <w:t> </w:t>
            </w:r>
          </w:p>
        </w:tc>
        <w:tc>
          <w:tcPr>
            <w:tcW w:w="0" w:type="auto"/>
            <w:vAlign w:val="center"/>
            <w:hideMark/>
          </w:tcPr>
          <w:p w14:paraId="47E854BE" w14:textId="77777777" w:rsidR="002F5AFF" w:rsidRPr="004E13E9" w:rsidRDefault="002F5AFF" w:rsidP="00E62E84">
            <w:pPr>
              <w:rPr>
                <w:rFonts w:eastAsia="Times New Roman" w:cs="Calibri"/>
                <w:sz w:val="18"/>
                <w:szCs w:val="18"/>
                <w:lang w:eastAsia="ja-JP"/>
              </w:rPr>
            </w:pPr>
          </w:p>
        </w:tc>
        <w:tc>
          <w:tcPr>
            <w:tcW w:w="0" w:type="auto"/>
            <w:vAlign w:val="center"/>
            <w:hideMark/>
          </w:tcPr>
          <w:p w14:paraId="3707E83F" w14:textId="77777777" w:rsidR="002F5AFF" w:rsidRPr="004E13E9" w:rsidRDefault="002F5AFF" w:rsidP="00E62E84">
            <w:pPr>
              <w:rPr>
                <w:rFonts w:eastAsia="Times New Roman" w:cs="Calibri"/>
                <w:sz w:val="18"/>
                <w:szCs w:val="18"/>
                <w:lang w:eastAsia="ja-JP"/>
              </w:rPr>
            </w:pPr>
          </w:p>
        </w:tc>
        <w:tc>
          <w:tcPr>
            <w:tcW w:w="0" w:type="auto"/>
            <w:vAlign w:val="center"/>
            <w:hideMark/>
          </w:tcPr>
          <w:p w14:paraId="45658FF4" w14:textId="77777777" w:rsidR="002F5AFF" w:rsidRPr="004E13E9" w:rsidRDefault="002F5AFF" w:rsidP="00E62E84">
            <w:pPr>
              <w:rPr>
                <w:rFonts w:eastAsia="Times New Roman" w:cs="Calibri"/>
                <w:sz w:val="18"/>
                <w:szCs w:val="18"/>
                <w:lang w:eastAsia="ja-JP"/>
              </w:rPr>
            </w:pPr>
          </w:p>
        </w:tc>
        <w:tc>
          <w:tcPr>
            <w:tcW w:w="0" w:type="auto"/>
            <w:vAlign w:val="center"/>
          </w:tcPr>
          <w:p w14:paraId="64506006" w14:textId="77777777" w:rsidR="002F5AFF" w:rsidRPr="004E13E9" w:rsidRDefault="002F5AFF" w:rsidP="00E62E84">
            <w:pPr>
              <w:rPr>
                <w:rFonts w:eastAsia="Times New Roman" w:cs="Calibri"/>
                <w:sz w:val="18"/>
                <w:szCs w:val="18"/>
                <w:lang w:eastAsia="ja-JP"/>
              </w:rPr>
            </w:pPr>
          </w:p>
        </w:tc>
        <w:tc>
          <w:tcPr>
            <w:tcW w:w="0" w:type="auto"/>
            <w:vAlign w:val="center"/>
          </w:tcPr>
          <w:p w14:paraId="7A80C4F5" w14:textId="77777777" w:rsidR="002F5AFF" w:rsidRPr="004E13E9" w:rsidRDefault="002F5AFF" w:rsidP="00E62E84">
            <w:pPr>
              <w:jc w:val="center"/>
              <w:rPr>
                <w:rFonts w:eastAsia="Times New Roman" w:cs="Calibri"/>
                <w:sz w:val="18"/>
                <w:szCs w:val="18"/>
              </w:rPr>
            </w:pPr>
            <w:r w:rsidRPr="004E13E9">
              <w:rPr>
                <w:sz w:val="18"/>
                <w:szCs w:val="18"/>
              </w:rPr>
              <w:t> </w:t>
            </w:r>
          </w:p>
        </w:tc>
        <w:tc>
          <w:tcPr>
            <w:tcW w:w="0" w:type="auto"/>
            <w:shd w:val="clear" w:color="000000" w:fill="D9D9D9"/>
            <w:vAlign w:val="center"/>
            <w:hideMark/>
          </w:tcPr>
          <w:p w14:paraId="3910D1BB" w14:textId="77777777" w:rsidR="002F5AFF" w:rsidRPr="004E13E9" w:rsidRDefault="002F5AFF" w:rsidP="00E62E84">
            <w:pPr>
              <w:rPr>
                <w:rFonts w:eastAsia="Times New Roman" w:cs="Calibri"/>
                <w:sz w:val="18"/>
                <w:szCs w:val="18"/>
              </w:rPr>
            </w:pPr>
            <w:r w:rsidRPr="004E13E9">
              <w:rPr>
                <w:sz w:val="18"/>
                <w:szCs w:val="18"/>
              </w:rPr>
              <w:t> </w:t>
            </w:r>
          </w:p>
        </w:tc>
        <w:tc>
          <w:tcPr>
            <w:tcW w:w="0" w:type="auto"/>
          </w:tcPr>
          <w:p w14:paraId="554ACDF8" w14:textId="77777777" w:rsidR="002F5AFF" w:rsidRPr="004E13E9" w:rsidRDefault="002F5AFF" w:rsidP="00E62E84">
            <w:pPr>
              <w:rPr>
                <w:rFonts w:eastAsia="Times New Roman" w:cs="Calibri"/>
                <w:sz w:val="18"/>
                <w:szCs w:val="18"/>
                <w:lang w:eastAsia="ja-JP"/>
              </w:rPr>
            </w:pPr>
          </w:p>
        </w:tc>
        <w:tc>
          <w:tcPr>
            <w:tcW w:w="0" w:type="auto"/>
            <w:vAlign w:val="center"/>
            <w:hideMark/>
          </w:tcPr>
          <w:p w14:paraId="31CC9789" w14:textId="77777777" w:rsidR="002F5AFF" w:rsidRPr="004E13E9" w:rsidRDefault="002F5AFF" w:rsidP="00E62E84">
            <w:pPr>
              <w:rPr>
                <w:rFonts w:eastAsia="Times New Roman" w:cs="Calibri"/>
                <w:sz w:val="18"/>
                <w:szCs w:val="18"/>
                <w:lang w:eastAsia="ja-JP"/>
              </w:rPr>
            </w:pPr>
          </w:p>
        </w:tc>
        <w:tc>
          <w:tcPr>
            <w:tcW w:w="0" w:type="auto"/>
            <w:vAlign w:val="center"/>
            <w:hideMark/>
          </w:tcPr>
          <w:p w14:paraId="10DE2097" w14:textId="77777777" w:rsidR="002F5AFF" w:rsidRPr="004E13E9" w:rsidRDefault="002F5AFF" w:rsidP="00E62E84">
            <w:pPr>
              <w:rPr>
                <w:rFonts w:eastAsia="Times New Roman" w:cs="Calibri"/>
                <w:sz w:val="18"/>
                <w:szCs w:val="18"/>
                <w:lang w:eastAsia="ja-JP"/>
              </w:rPr>
            </w:pPr>
          </w:p>
        </w:tc>
        <w:tc>
          <w:tcPr>
            <w:tcW w:w="0" w:type="auto"/>
            <w:vAlign w:val="center"/>
            <w:hideMark/>
          </w:tcPr>
          <w:p w14:paraId="3494EEB6" w14:textId="77777777" w:rsidR="002F5AFF" w:rsidRPr="004E13E9" w:rsidRDefault="002F5AFF" w:rsidP="00E62E84">
            <w:pPr>
              <w:rPr>
                <w:rFonts w:eastAsia="Times New Roman" w:cs="Calibri"/>
                <w:sz w:val="18"/>
                <w:szCs w:val="18"/>
                <w:lang w:eastAsia="ja-JP"/>
              </w:rPr>
            </w:pPr>
          </w:p>
        </w:tc>
        <w:tc>
          <w:tcPr>
            <w:tcW w:w="0" w:type="auto"/>
            <w:vAlign w:val="center"/>
            <w:hideMark/>
          </w:tcPr>
          <w:p w14:paraId="50969C40" w14:textId="77777777" w:rsidR="002F5AFF" w:rsidRPr="004E13E9" w:rsidRDefault="002F5AFF" w:rsidP="00E62E84">
            <w:pPr>
              <w:rPr>
                <w:rFonts w:eastAsia="Times New Roman" w:cs="Calibri"/>
                <w:sz w:val="18"/>
                <w:szCs w:val="18"/>
                <w:lang w:eastAsia="ja-JP"/>
              </w:rPr>
            </w:pPr>
          </w:p>
        </w:tc>
        <w:tc>
          <w:tcPr>
            <w:tcW w:w="0" w:type="auto"/>
            <w:vAlign w:val="center"/>
            <w:hideMark/>
          </w:tcPr>
          <w:p w14:paraId="3CF51ED0" w14:textId="77777777" w:rsidR="002F5AFF" w:rsidRPr="004E13E9" w:rsidRDefault="002F5AFF" w:rsidP="00E62E84">
            <w:pPr>
              <w:rPr>
                <w:rFonts w:eastAsia="Times New Roman" w:cs="Calibri"/>
                <w:sz w:val="18"/>
                <w:szCs w:val="18"/>
                <w:lang w:eastAsia="ja-JP"/>
              </w:rPr>
            </w:pPr>
          </w:p>
        </w:tc>
        <w:tc>
          <w:tcPr>
            <w:tcW w:w="0" w:type="auto"/>
            <w:vAlign w:val="center"/>
          </w:tcPr>
          <w:p w14:paraId="22ABEA0E" w14:textId="77777777" w:rsidR="002F5AFF" w:rsidRPr="004E13E9" w:rsidRDefault="002F5AFF" w:rsidP="00E62E84">
            <w:pPr>
              <w:rPr>
                <w:rFonts w:eastAsia="Times New Roman" w:cs="Calibri"/>
                <w:sz w:val="18"/>
                <w:szCs w:val="18"/>
              </w:rPr>
            </w:pPr>
            <w:r w:rsidRPr="004E13E9">
              <w:rPr>
                <w:sz w:val="18"/>
                <w:szCs w:val="18"/>
              </w:rPr>
              <w:t> </w:t>
            </w:r>
          </w:p>
        </w:tc>
      </w:tr>
      <w:tr w:rsidR="002F5AFF" w:rsidRPr="004E13E9" w14:paraId="016C53E5" w14:textId="77777777" w:rsidTr="00E62E84">
        <w:trPr>
          <w:trHeight w:val="20"/>
        </w:trPr>
        <w:tc>
          <w:tcPr>
            <w:tcW w:w="0" w:type="auto"/>
            <w:noWrap/>
            <w:vAlign w:val="center"/>
            <w:hideMark/>
          </w:tcPr>
          <w:p w14:paraId="5F80F9B6" w14:textId="77777777" w:rsidR="002F5AFF" w:rsidRPr="004E13E9" w:rsidRDefault="002F5AFF" w:rsidP="00E62E84">
            <w:pPr>
              <w:rPr>
                <w:rFonts w:eastAsia="Times New Roman" w:cs="Calibri"/>
                <w:sz w:val="18"/>
                <w:szCs w:val="18"/>
              </w:rPr>
            </w:pPr>
            <w:proofErr w:type="spellStart"/>
            <w:r w:rsidRPr="004E13E9">
              <w:rPr>
                <w:sz w:val="18"/>
                <w:szCs w:val="18"/>
              </w:rPr>
              <w:t>Chalutier</w:t>
            </w:r>
            <w:proofErr w:type="spellEnd"/>
          </w:p>
        </w:tc>
        <w:tc>
          <w:tcPr>
            <w:tcW w:w="2102" w:type="dxa"/>
            <w:noWrap/>
            <w:vAlign w:val="center"/>
            <w:hideMark/>
          </w:tcPr>
          <w:p w14:paraId="71F8A8F6" w14:textId="77777777" w:rsidR="002F5AFF" w:rsidRPr="004E13E9" w:rsidRDefault="002F5AFF" w:rsidP="00E62E84">
            <w:pPr>
              <w:jc w:val="center"/>
              <w:rPr>
                <w:rFonts w:eastAsia="Times New Roman" w:cs="Calibri"/>
                <w:sz w:val="18"/>
                <w:szCs w:val="18"/>
              </w:rPr>
            </w:pPr>
            <w:r w:rsidRPr="004E13E9">
              <w:rPr>
                <w:sz w:val="18"/>
                <w:szCs w:val="18"/>
              </w:rPr>
              <w:t>10</w:t>
            </w:r>
          </w:p>
        </w:tc>
        <w:tc>
          <w:tcPr>
            <w:tcW w:w="615" w:type="dxa"/>
          </w:tcPr>
          <w:p w14:paraId="6B76CA25" w14:textId="77777777" w:rsidR="002F5AFF" w:rsidRPr="004E13E9" w:rsidRDefault="002F5AFF" w:rsidP="00E62E84">
            <w:pPr>
              <w:rPr>
                <w:rFonts w:eastAsia="Times New Roman" w:cs="Calibri"/>
                <w:sz w:val="18"/>
                <w:szCs w:val="18"/>
                <w:lang w:eastAsia="ja-JP"/>
              </w:rPr>
            </w:pPr>
          </w:p>
        </w:tc>
        <w:tc>
          <w:tcPr>
            <w:tcW w:w="0" w:type="auto"/>
            <w:noWrap/>
            <w:vAlign w:val="center"/>
            <w:hideMark/>
          </w:tcPr>
          <w:p w14:paraId="4735D31E" w14:textId="77777777" w:rsidR="002F5AFF" w:rsidRPr="004E13E9" w:rsidRDefault="002F5AFF" w:rsidP="00E62E84">
            <w:pPr>
              <w:rPr>
                <w:rFonts w:eastAsia="Times New Roman" w:cs="Calibri"/>
                <w:sz w:val="18"/>
                <w:szCs w:val="18"/>
              </w:rPr>
            </w:pPr>
            <w:r w:rsidRPr="004E13E9">
              <w:rPr>
                <w:sz w:val="18"/>
                <w:szCs w:val="18"/>
              </w:rPr>
              <w:t> </w:t>
            </w:r>
          </w:p>
        </w:tc>
        <w:tc>
          <w:tcPr>
            <w:tcW w:w="0" w:type="auto"/>
            <w:vAlign w:val="center"/>
            <w:hideMark/>
          </w:tcPr>
          <w:p w14:paraId="76F11277" w14:textId="77777777" w:rsidR="002F5AFF" w:rsidRPr="004E13E9" w:rsidRDefault="002F5AFF" w:rsidP="00E62E84">
            <w:pPr>
              <w:rPr>
                <w:rFonts w:eastAsia="Times New Roman" w:cs="Calibri"/>
                <w:sz w:val="18"/>
                <w:szCs w:val="18"/>
                <w:lang w:eastAsia="ja-JP"/>
              </w:rPr>
            </w:pPr>
          </w:p>
        </w:tc>
        <w:tc>
          <w:tcPr>
            <w:tcW w:w="0" w:type="auto"/>
            <w:vAlign w:val="center"/>
            <w:hideMark/>
          </w:tcPr>
          <w:p w14:paraId="195E6701" w14:textId="77777777" w:rsidR="002F5AFF" w:rsidRPr="004E13E9" w:rsidRDefault="002F5AFF" w:rsidP="00E62E84">
            <w:pPr>
              <w:rPr>
                <w:rFonts w:eastAsia="Times New Roman" w:cs="Calibri"/>
                <w:sz w:val="18"/>
                <w:szCs w:val="18"/>
                <w:lang w:eastAsia="ja-JP"/>
              </w:rPr>
            </w:pPr>
          </w:p>
        </w:tc>
        <w:tc>
          <w:tcPr>
            <w:tcW w:w="0" w:type="auto"/>
            <w:vAlign w:val="center"/>
            <w:hideMark/>
          </w:tcPr>
          <w:p w14:paraId="55A249EF" w14:textId="77777777" w:rsidR="002F5AFF" w:rsidRPr="004E13E9" w:rsidRDefault="002F5AFF" w:rsidP="00E62E84">
            <w:pPr>
              <w:rPr>
                <w:rFonts w:eastAsia="Times New Roman" w:cs="Calibri"/>
                <w:sz w:val="18"/>
                <w:szCs w:val="18"/>
                <w:lang w:eastAsia="ja-JP"/>
              </w:rPr>
            </w:pPr>
          </w:p>
        </w:tc>
        <w:tc>
          <w:tcPr>
            <w:tcW w:w="0" w:type="auto"/>
            <w:vAlign w:val="center"/>
          </w:tcPr>
          <w:p w14:paraId="4DFB34FC" w14:textId="77777777" w:rsidR="002F5AFF" w:rsidRPr="004E13E9" w:rsidRDefault="002F5AFF" w:rsidP="00E62E84">
            <w:pPr>
              <w:rPr>
                <w:rFonts w:eastAsia="Times New Roman" w:cs="Calibri"/>
                <w:sz w:val="18"/>
                <w:szCs w:val="18"/>
                <w:lang w:eastAsia="ja-JP"/>
              </w:rPr>
            </w:pPr>
          </w:p>
        </w:tc>
        <w:tc>
          <w:tcPr>
            <w:tcW w:w="0" w:type="auto"/>
            <w:vAlign w:val="center"/>
          </w:tcPr>
          <w:p w14:paraId="392C7540" w14:textId="77777777" w:rsidR="002F5AFF" w:rsidRPr="004E13E9" w:rsidRDefault="002F5AFF" w:rsidP="00E62E84">
            <w:pPr>
              <w:jc w:val="center"/>
              <w:rPr>
                <w:rFonts w:eastAsia="Times New Roman" w:cs="Calibri"/>
                <w:sz w:val="18"/>
                <w:szCs w:val="18"/>
              </w:rPr>
            </w:pPr>
            <w:r w:rsidRPr="004E13E9">
              <w:rPr>
                <w:sz w:val="18"/>
                <w:szCs w:val="18"/>
              </w:rPr>
              <w:t> </w:t>
            </w:r>
          </w:p>
        </w:tc>
        <w:tc>
          <w:tcPr>
            <w:tcW w:w="0" w:type="auto"/>
            <w:shd w:val="clear" w:color="000000" w:fill="D9D9D9"/>
            <w:vAlign w:val="center"/>
            <w:hideMark/>
          </w:tcPr>
          <w:p w14:paraId="799AD996" w14:textId="77777777" w:rsidR="002F5AFF" w:rsidRPr="004E13E9" w:rsidRDefault="002F5AFF" w:rsidP="00E62E84">
            <w:pPr>
              <w:rPr>
                <w:rFonts w:eastAsia="Times New Roman" w:cs="Calibri"/>
                <w:sz w:val="18"/>
                <w:szCs w:val="18"/>
              </w:rPr>
            </w:pPr>
            <w:r w:rsidRPr="004E13E9">
              <w:rPr>
                <w:sz w:val="18"/>
                <w:szCs w:val="18"/>
              </w:rPr>
              <w:t> </w:t>
            </w:r>
          </w:p>
        </w:tc>
        <w:tc>
          <w:tcPr>
            <w:tcW w:w="0" w:type="auto"/>
          </w:tcPr>
          <w:p w14:paraId="449A3851" w14:textId="77777777" w:rsidR="002F5AFF" w:rsidRPr="004E13E9" w:rsidRDefault="002F5AFF" w:rsidP="00E62E84">
            <w:pPr>
              <w:rPr>
                <w:rFonts w:eastAsia="Times New Roman" w:cs="Calibri"/>
                <w:sz w:val="18"/>
                <w:szCs w:val="18"/>
                <w:lang w:eastAsia="ja-JP"/>
              </w:rPr>
            </w:pPr>
          </w:p>
        </w:tc>
        <w:tc>
          <w:tcPr>
            <w:tcW w:w="0" w:type="auto"/>
            <w:vAlign w:val="center"/>
            <w:hideMark/>
          </w:tcPr>
          <w:p w14:paraId="6B6F59C2" w14:textId="77777777" w:rsidR="002F5AFF" w:rsidRPr="004E13E9" w:rsidRDefault="002F5AFF" w:rsidP="00E62E84">
            <w:pPr>
              <w:rPr>
                <w:rFonts w:eastAsia="Times New Roman" w:cs="Calibri"/>
                <w:sz w:val="18"/>
                <w:szCs w:val="18"/>
                <w:lang w:eastAsia="ja-JP"/>
              </w:rPr>
            </w:pPr>
          </w:p>
        </w:tc>
        <w:tc>
          <w:tcPr>
            <w:tcW w:w="0" w:type="auto"/>
            <w:vAlign w:val="center"/>
            <w:hideMark/>
          </w:tcPr>
          <w:p w14:paraId="29D35B9E" w14:textId="77777777" w:rsidR="002F5AFF" w:rsidRPr="004E13E9" w:rsidRDefault="002F5AFF" w:rsidP="00E62E84">
            <w:pPr>
              <w:rPr>
                <w:rFonts w:eastAsia="Times New Roman" w:cs="Calibri"/>
                <w:sz w:val="18"/>
                <w:szCs w:val="18"/>
                <w:lang w:eastAsia="ja-JP"/>
              </w:rPr>
            </w:pPr>
          </w:p>
        </w:tc>
        <w:tc>
          <w:tcPr>
            <w:tcW w:w="0" w:type="auto"/>
            <w:vAlign w:val="center"/>
            <w:hideMark/>
          </w:tcPr>
          <w:p w14:paraId="2C6E84DB" w14:textId="77777777" w:rsidR="002F5AFF" w:rsidRPr="004E13E9" w:rsidRDefault="002F5AFF" w:rsidP="00E62E84">
            <w:pPr>
              <w:rPr>
                <w:rFonts w:eastAsia="Times New Roman" w:cs="Calibri"/>
                <w:sz w:val="18"/>
                <w:szCs w:val="18"/>
                <w:lang w:eastAsia="ja-JP"/>
              </w:rPr>
            </w:pPr>
          </w:p>
        </w:tc>
        <w:tc>
          <w:tcPr>
            <w:tcW w:w="0" w:type="auto"/>
            <w:vAlign w:val="center"/>
            <w:hideMark/>
          </w:tcPr>
          <w:p w14:paraId="26EB91D6" w14:textId="77777777" w:rsidR="002F5AFF" w:rsidRPr="004E13E9" w:rsidRDefault="002F5AFF" w:rsidP="00E62E84">
            <w:pPr>
              <w:rPr>
                <w:rFonts w:eastAsia="Times New Roman" w:cs="Calibri"/>
                <w:sz w:val="18"/>
                <w:szCs w:val="18"/>
                <w:lang w:eastAsia="ja-JP"/>
              </w:rPr>
            </w:pPr>
          </w:p>
        </w:tc>
        <w:tc>
          <w:tcPr>
            <w:tcW w:w="0" w:type="auto"/>
            <w:vAlign w:val="center"/>
            <w:hideMark/>
          </w:tcPr>
          <w:p w14:paraId="36469523" w14:textId="77777777" w:rsidR="002F5AFF" w:rsidRPr="004E13E9" w:rsidRDefault="002F5AFF" w:rsidP="00E62E84">
            <w:pPr>
              <w:rPr>
                <w:rFonts w:eastAsia="Times New Roman" w:cs="Calibri"/>
                <w:sz w:val="18"/>
                <w:szCs w:val="18"/>
                <w:lang w:eastAsia="ja-JP"/>
              </w:rPr>
            </w:pPr>
          </w:p>
        </w:tc>
        <w:tc>
          <w:tcPr>
            <w:tcW w:w="0" w:type="auto"/>
            <w:vAlign w:val="center"/>
          </w:tcPr>
          <w:p w14:paraId="4CD423C0" w14:textId="77777777" w:rsidR="002F5AFF" w:rsidRPr="004E13E9" w:rsidRDefault="002F5AFF" w:rsidP="00E62E84">
            <w:pPr>
              <w:rPr>
                <w:rFonts w:eastAsia="Times New Roman" w:cs="Calibri"/>
                <w:sz w:val="18"/>
                <w:szCs w:val="18"/>
              </w:rPr>
            </w:pPr>
            <w:r w:rsidRPr="004E13E9">
              <w:rPr>
                <w:sz w:val="18"/>
                <w:szCs w:val="18"/>
              </w:rPr>
              <w:t> </w:t>
            </w:r>
          </w:p>
        </w:tc>
      </w:tr>
      <w:tr w:rsidR="002F5AFF" w:rsidRPr="004E13E9" w14:paraId="244A6074" w14:textId="77777777" w:rsidTr="00E62E84">
        <w:trPr>
          <w:trHeight w:val="20"/>
        </w:trPr>
        <w:tc>
          <w:tcPr>
            <w:tcW w:w="0" w:type="auto"/>
            <w:noWrap/>
            <w:vAlign w:val="center"/>
            <w:hideMark/>
          </w:tcPr>
          <w:p w14:paraId="33DB352F" w14:textId="77777777" w:rsidR="002F5AFF" w:rsidRPr="004E13E9" w:rsidRDefault="002F5AFF" w:rsidP="00E62E84">
            <w:pPr>
              <w:rPr>
                <w:rFonts w:eastAsia="Times New Roman" w:cs="Calibri"/>
                <w:sz w:val="18"/>
                <w:szCs w:val="18"/>
              </w:rPr>
            </w:pPr>
            <w:r w:rsidRPr="004E13E9">
              <w:rPr>
                <w:sz w:val="18"/>
                <w:szCs w:val="18"/>
              </w:rPr>
              <w:t>Madrague</w:t>
            </w:r>
          </w:p>
        </w:tc>
        <w:tc>
          <w:tcPr>
            <w:tcW w:w="2102" w:type="dxa"/>
            <w:noWrap/>
            <w:vAlign w:val="center"/>
            <w:hideMark/>
          </w:tcPr>
          <w:p w14:paraId="7B94205E" w14:textId="77777777" w:rsidR="002F5AFF" w:rsidRPr="004E13E9" w:rsidRDefault="002F5AFF" w:rsidP="00E62E84">
            <w:pPr>
              <w:jc w:val="center"/>
              <w:rPr>
                <w:rFonts w:eastAsia="Times New Roman" w:cs="Calibri"/>
                <w:sz w:val="18"/>
                <w:szCs w:val="18"/>
              </w:rPr>
            </w:pPr>
            <w:r w:rsidRPr="004E13E9">
              <w:rPr>
                <w:sz w:val="18"/>
                <w:szCs w:val="18"/>
              </w:rPr>
              <w:t>130</w:t>
            </w:r>
          </w:p>
        </w:tc>
        <w:tc>
          <w:tcPr>
            <w:tcW w:w="615" w:type="dxa"/>
          </w:tcPr>
          <w:p w14:paraId="7CAAA8BF" w14:textId="77777777" w:rsidR="002F5AFF" w:rsidRPr="004E13E9" w:rsidRDefault="002F5AFF" w:rsidP="00E62E84">
            <w:pPr>
              <w:rPr>
                <w:rFonts w:eastAsia="Times New Roman" w:cs="Calibri"/>
                <w:b/>
                <w:bCs/>
                <w:sz w:val="18"/>
                <w:szCs w:val="18"/>
                <w:lang w:eastAsia="ja-JP"/>
              </w:rPr>
            </w:pPr>
          </w:p>
        </w:tc>
        <w:tc>
          <w:tcPr>
            <w:tcW w:w="0" w:type="auto"/>
            <w:noWrap/>
            <w:vAlign w:val="center"/>
            <w:hideMark/>
          </w:tcPr>
          <w:p w14:paraId="3A18B3E1" w14:textId="77777777" w:rsidR="002F5AFF" w:rsidRPr="004E13E9" w:rsidRDefault="002F5AFF" w:rsidP="00E62E84">
            <w:pPr>
              <w:rPr>
                <w:rFonts w:eastAsia="Times New Roman" w:cs="Calibri"/>
                <w:b/>
                <w:bCs/>
                <w:sz w:val="18"/>
                <w:szCs w:val="18"/>
              </w:rPr>
            </w:pPr>
            <w:r w:rsidRPr="004E13E9">
              <w:rPr>
                <w:b/>
                <w:sz w:val="18"/>
                <w:szCs w:val="18"/>
              </w:rPr>
              <w:t> </w:t>
            </w:r>
          </w:p>
        </w:tc>
        <w:tc>
          <w:tcPr>
            <w:tcW w:w="0" w:type="auto"/>
            <w:vAlign w:val="center"/>
            <w:hideMark/>
          </w:tcPr>
          <w:p w14:paraId="60B98864"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48B2535F"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7C3544B1" w14:textId="77777777" w:rsidR="002F5AFF" w:rsidRPr="004E13E9" w:rsidRDefault="002F5AFF" w:rsidP="00E62E84">
            <w:pPr>
              <w:rPr>
                <w:rFonts w:eastAsia="Times New Roman" w:cs="Calibri"/>
                <w:b/>
                <w:bCs/>
                <w:sz w:val="18"/>
                <w:szCs w:val="18"/>
                <w:lang w:eastAsia="ja-JP"/>
              </w:rPr>
            </w:pPr>
          </w:p>
        </w:tc>
        <w:tc>
          <w:tcPr>
            <w:tcW w:w="0" w:type="auto"/>
            <w:vAlign w:val="center"/>
          </w:tcPr>
          <w:p w14:paraId="22992AB2" w14:textId="77777777" w:rsidR="002F5AFF" w:rsidRPr="004E13E9" w:rsidRDefault="002F5AFF" w:rsidP="00E62E84">
            <w:pPr>
              <w:rPr>
                <w:rFonts w:eastAsia="Times New Roman" w:cs="Calibri"/>
                <w:b/>
                <w:bCs/>
                <w:sz w:val="18"/>
                <w:szCs w:val="18"/>
                <w:lang w:eastAsia="ja-JP"/>
              </w:rPr>
            </w:pPr>
          </w:p>
        </w:tc>
        <w:tc>
          <w:tcPr>
            <w:tcW w:w="0" w:type="auto"/>
            <w:vAlign w:val="center"/>
          </w:tcPr>
          <w:p w14:paraId="6907B3D2" w14:textId="77777777" w:rsidR="002F5AFF" w:rsidRPr="004E13E9" w:rsidRDefault="002F5AFF" w:rsidP="00E62E84">
            <w:pPr>
              <w:jc w:val="center"/>
              <w:rPr>
                <w:rFonts w:eastAsia="Times New Roman" w:cs="Calibri"/>
                <w:sz w:val="18"/>
                <w:szCs w:val="18"/>
              </w:rPr>
            </w:pPr>
            <w:r w:rsidRPr="004E13E9">
              <w:rPr>
                <w:b/>
                <w:sz w:val="18"/>
                <w:szCs w:val="18"/>
              </w:rPr>
              <w:t> </w:t>
            </w:r>
          </w:p>
        </w:tc>
        <w:tc>
          <w:tcPr>
            <w:tcW w:w="0" w:type="auto"/>
            <w:shd w:val="clear" w:color="000000" w:fill="D9D9D9"/>
            <w:vAlign w:val="center"/>
            <w:hideMark/>
          </w:tcPr>
          <w:p w14:paraId="678A723A" w14:textId="77777777" w:rsidR="002F5AFF" w:rsidRPr="004E13E9" w:rsidRDefault="002F5AFF" w:rsidP="00E62E84">
            <w:pPr>
              <w:rPr>
                <w:rFonts w:eastAsia="Times New Roman" w:cs="Calibri"/>
                <w:b/>
                <w:bCs/>
                <w:sz w:val="18"/>
                <w:szCs w:val="18"/>
              </w:rPr>
            </w:pPr>
            <w:r w:rsidRPr="004E13E9">
              <w:rPr>
                <w:b/>
                <w:sz w:val="18"/>
                <w:szCs w:val="18"/>
              </w:rPr>
              <w:t> </w:t>
            </w:r>
          </w:p>
        </w:tc>
        <w:tc>
          <w:tcPr>
            <w:tcW w:w="0" w:type="auto"/>
          </w:tcPr>
          <w:p w14:paraId="454D0D56"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38057628"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4492B52C"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4B3D2E41"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05244238"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5B0D0036" w14:textId="77777777" w:rsidR="002F5AFF" w:rsidRPr="004E13E9" w:rsidRDefault="002F5AFF" w:rsidP="00E62E84">
            <w:pPr>
              <w:rPr>
                <w:rFonts w:eastAsia="Times New Roman" w:cs="Calibri"/>
                <w:b/>
                <w:bCs/>
                <w:sz w:val="18"/>
                <w:szCs w:val="18"/>
                <w:lang w:eastAsia="ja-JP"/>
              </w:rPr>
            </w:pPr>
          </w:p>
        </w:tc>
        <w:tc>
          <w:tcPr>
            <w:tcW w:w="0" w:type="auto"/>
            <w:vAlign w:val="center"/>
          </w:tcPr>
          <w:p w14:paraId="1CCDF55B" w14:textId="77777777" w:rsidR="002F5AFF" w:rsidRPr="004E13E9" w:rsidRDefault="002F5AFF" w:rsidP="00E62E84">
            <w:pPr>
              <w:rPr>
                <w:rFonts w:eastAsia="Times New Roman" w:cs="Calibri"/>
                <w:b/>
                <w:bCs/>
                <w:sz w:val="18"/>
                <w:szCs w:val="18"/>
              </w:rPr>
            </w:pPr>
            <w:r w:rsidRPr="004E13E9">
              <w:rPr>
                <w:sz w:val="18"/>
                <w:szCs w:val="18"/>
              </w:rPr>
              <w:t> </w:t>
            </w:r>
          </w:p>
        </w:tc>
      </w:tr>
      <w:tr w:rsidR="002F5AFF" w:rsidRPr="004E13E9" w14:paraId="17C59F30" w14:textId="77777777" w:rsidTr="00E62E84">
        <w:trPr>
          <w:trHeight w:val="20"/>
        </w:trPr>
        <w:tc>
          <w:tcPr>
            <w:tcW w:w="0" w:type="auto"/>
            <w:vAlign w:val="center"/>
            <w:hideMark/>
          </w:tcPr>
          <w:p w14:paraId="5463050D" w14:textId="77777777" w:rsidR="002F5AFF" w:rsidRPr="004E13E9" w:rsidRDefault="002F5AFF" w:rsidP="00E62E84">
            <w:pPr>
              <w:rPr>
                <w:rFonts w:eastAsia="Times New Roman" w:cs="Calibri"/>
                <w:sz w:val="18"/>
                <w:szCs w:val="18"/>
              </w:rPr>
            </w:pPr>
            <w:r w:rsidRPr="004E13E9">
              <w:rPr>
                <w:sz w:val="18"/>
                <w:szCs w:val="18"/>
              </w:rPr>
              <w:t xml:space="preserve">Petits </w:t>
            </w:r>
            <w:proofErr w:type="spellStart"/>
            <w:r w:rsidRPr="004E13E9">
              <w:rPr>
                <w:sz w:val="18"/>
                <w:szCs w:val="18"/>
              </w:rPr>
              <w:t>navires</w:t>
            </w:r>
            <w:proofErr w:type="spellEnd"/>
            <w:r w:rsidRPr="004E13E9">
              <w:rPr>
                <w:sz w:val="18"/>
                <w:szCs w:val="18"/>
              </w:rPr>
              <w:t xml:space="preserve"> </w:t>
            </w:r>
            <w:proofErr w:type="spellStart"/>
            <w:r w:rsidRPr="004E13E9">
              <w:rPr>
                <w:sz w:val="18"/>
                <w:szCs w:val="18"/>
              </w:rPr>
              <w:t>côtiers</w:t>
            </w:r>
            <w:proofErr w:type="spellEnd"/>
            <w:r w:rsidRPr="004E13E9">
              <w:rPr>
                <w:sz w:val="18"/>
                <w:szCs w:val="18"/>
              </w:rPr>
              <w:t xml:space="preserve"> </w:t>
            </w:r>
          </w:p>
        </w:tc>
        <w:tc>
          <w:tcPr>
            <w:tcW w:w="2102" w:type="dxa"/>
            <w:noWrap/>
            <w:vAlign w:val="center"/>
            <w:hideMark/>
          </w:tcPr>
          <w:p w14:paraId="75C5A56D" w14:textId="77777777" w:rsidR="002F5AFF" w:rsidRPr="004E13E9" w:rsidRDefault="002F5AFF" w:rsidP="00E62E84">
            <w:pPr>
              <w:jc w:val="center"/>
              <w:rPr>
                <w:rFonts w:eastAsia="Times New Roman" w:cs="Calibri"/>
                <w:sz w:val="18"/>
                <w:szCs w:val="18"/>
              </w:rPr>
            </w:pPr>
            <w:r w:rsidRPr="004E13E9">
              <w:rPr>
                <w:sz w:val="18"/>
                <w:szCs w:val="18"/>
              </w:rPr>
              <w:t>N/A</w:t>
            </w:r>
          </w:p>
        </w:tc>
        <w:tc>
          <w:tcPr>
            <w:tcW w:w="615" w:type="dxa"/>
          </w:tcPr>
          <w:p w14:paraId="3A684168" w14:textId="77777777" w:rsidR="002F5AFF" w:rsidRPr="004E13E9" w:rsidRDefault="002F5AFF" w:rsidP="00E62E84">
            <w:pPr>
              <w:rPr>
                <w:rFonts w:eastAsia="Times New Roman" w:cs="Calibri"/>
                <w:b/>
                <w:bCs/>
                <w:sz w:val="18"/>
                <w:szCs w:val="18"/>
                <w:lang w:eastAsia="ja-JP"/>
              </w:rPr>
            </w:pPr>
          </w:p>
        </w:tc>
        <w:tc>
          <w:tcPr>
            <w:tcW w:w="0" w:type="auto"/>
            <w:noWrap/>
            <w:vAlign w:val="center"/>
            <w:hideMark/>
          </w:tcPr>
          <w:p w14:paraId="4CA20188" w14:textId="77777777" w:rsidR="002F5AFF" w:rsidRPr="004E13E9" w:rsidRDefault="002F5AFF" w:rsidP="00E62E84">
            <w:pPr>
              <w:rPr>
                <w:rFonts w:eastAsia="Times New Roman" w:cs="Calibri"/>
                <w:b/>
                <w:bCs/>
                <w:sz w:val="18"/>
                <w:szCs w:val="18"/>
              </w:rPr>
            </w:pPr>
            <w:r w:rsidRPr="004E13E9">
              <w:rPr>
                <w:b/>
                <w:sz w:val="18"/>
                <w:szCs w:val="18"/>
              </w:rPr>
              <w:t> </w:t>
            </w:r>
          </w:p>
        </w:tc>
        <w:tc>
          <w:tcPr>
            <w:tcW w:w="0" w:type="auto"/>
            <w:vAlign w:val="center"/>
            <w:hideMark/>
          </w:tcPr>
          <w:p w14:paraId="7E219492"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694DA0E5" w14:textId="77777777" w:rsidR="002F5AFF" w:rsidRPr="004E13E9" w:rsidRDefault="002F5AFF" w:rsidP="00E62E84">
            <w:pPr>
              <w:rPr>
                <w:rFonts w:eastAsia="Times New Roman" w:cs="Calibri"/>
                <w:b/>
                <w:bCs/>
                <w:sz w:val="18"/>
                <w:szCs w:val="18"/>
              </w:rPr>
            </w:pPr>
            <w:r w:rsidRPr="004E13E9">
              <w:rPr>
                <w:sz w:val="18"/>
                <w:szCs w:val="18"/>
              </w:rPr>
              <w:t>30</w:t>
            </w:r>
          </w:p>
        </w:tc>
        <w:tc>
          <w:tcPr>
            <w:tcW w:w="0" w:type="auto"/>
            <w:vAlign w:val="center"/>
            <w:hideMark/>
          </w:tcPr>
          <w:p w14:paraId="622254C5" w14:textId="77777777" w:rsidR="002F5AFF" w:rsidRPr="004E13E9" w:rsidRDefault="002F5AFF" w:rsidP="00E62E84">
            <w:pPr>
              <w:rPr>
                <w:rFonts w:eastAsia="Times New Roman" w:cs="Calibri"/>
                <w:b/>
                <w:bCs/>
                <w:sz w:val="18"/>
                <w:szCs w:val="18"/>
              </w:rPr>
            </w:pPr>
            <w:r w:rsidRPr="004E13E9">
              <w:rPr>
                <w:sz w:val="18"/>
                <w:szCs w:val="18"/>
              </w:rPr>
              <w:t>30</w:t>
            </w:r>
          </w:p>
        </w:tc>
        <w:tc>
          <w:tcPr>
            <w:tcW w:w="0" w:type="auto"/>
            <w:vAlign w:val="center"/>
          </w:tcPr>
          <w:p w14:paraId="5A1AF2C4" w14:textId="77777777" w:rsidR="002F5AFF" w:rsidRPr="004E13E9" w:rsidRDefault="002F5AFF" w:rsidP="00E62E84">
            <w:pPr>
              <w:rPr>
                <w:rFonts w:eastAsia="Times New Roman" w:cs="Calibri"/>
                <w:b/>
                <w:bCs/>
                <w:sz w:val="18"/>
                <w:szCs w:val="18"/>
              </w:rPr>
            </w:pPr>
            <w:r w:rsidRPr="004E13E9">
              <w:rPr>
                <w:sz w:val="18"/>
                <w:szCs w:val="18"/>
              </w:rPr>
              <w:t>30</w:t>
            </w:r>
          </w:p>
        </w:tc>
        <w:tc>
          <w:tcPr>
            <w:tcW w:w="0" w:type="auto"/>
            <w:vAlign w:val="center"/>
          </w:tcPr>
          <w:p w14:paraId="56E023F1" w14:textId="77777777" w:rsidR="002F5AFF" w:rsidRPr="004E13E9" w:rsidRDefault="002F5AFF" w:rsidP="00E62E84">
            <w:pPr>
              <w:jc w:val="center"/>
              <w:rPr>
                <w:rFonts w:eastAsia="Times New Roman" w:cs="Calibri"/>
                <w:sz w:val="18"/>
                <w:szCs w:val="18"/>
              </w:rPr>
            </w:pPr>
            <w:r w:rsidRPr="004E13E9">
              <w:rPr>
                <w:sz w:val="18"/>
                <w:szCs w:val="18"/>
              </w:rPr>
              <w:t>40</w:t>
            </w:r>
          </w:p>
        </w:tc>
        <w:tc>
          <w:tcPr>
            <w:tcW w:w="0" w:type="auto"/>
            <w:shd w:val="clear" w:color="000000" w:fill="D9D9D9"/>
            <w:vAlign w:val="center"/>
            <w:hideMark/>
          </w:tcPr>
          <w:p w14:paraId="6FCFAD1D" w14:textId="77777777" w:rsidR="002F5AFF" w:rsidRPr="004E13E9" w:rsidRDefault="002F5AFF" w:rsidP="00E62E84">
            <w:pPr>
              <w:rPr>
                <w:rFonts w:eastAsia="Times New Roman" w:cs="Calibri"/>
                <w:b/>
                <w:bCs/>
                <w:sz w:val="18"/>
                <w:szCs w:val="18"/>
              </w:rPr>
            </w:pPr>
            <w:r w:rsidRPr="004E13E9">
              <w:rPr>
                <w:b/>
                <w:sz w:val="18"/>
                <w:szCs w:val="18"/>
              </w:rPr>
              <w:t> </w:t>
            </w:r>
          </w:p>
        </w:tc>
        <w:tc>
          <w:tcPr>
            <w:tcW w:w="0" w:type="auto"/>
          </w:tcPr>
          <w:p w14:paraId="0D312634"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31934553"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79D74FF9"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542406F5" w14:textId="77777777" w:rsidR="002F5AFF" w:rsidRPr="004E13E9" w:rsidRDefault="002F5AFF" w:rsidP="00E62E84">
            <w:pPr>
              <w:rPr>
                <w:rFonts w:eastAsia="Times New Roman" w:cs="Calibri"/>
                <w:b/>
                <w:bCs/>
                <w:sz w:val="18"/>
                <w:szCs w:val="18"/>
              </w:rPr>
            </w:pPr>
            <w:r w:rsidRPr="004E13E9">
              <w:rPr>
                <w:sz w:val="18"/>
                <w:szCs w:val="18"/>
              </w:rPr>
              <w:t>40</w:t>
            </w:r>
          </w:p>
        </w:tc>
        <w:tc>
          <w:tcPr>
            <w:tcW w:w="0" w:type="auto"/>
            <w:vAlign w:val="center"/>
            <w:hideMark/>
          </w:tcPr>
          <w:p w14:paraId="052BB674" w14:textId="77777777" w:rsidR="002F5AFF" w:rsidRPr="004E13E9" w:rsidRDefault="002F5AFF" w:rsidP="00E62E84">
            <w:pPr>
              <w:rPr>
                <w:rFonts w:eastAsia="Times New Roman" w:cs="Calibri"/>
                <w:b/>
                <w:bCs/>
                <w:sz w:val="18"/>
                <w:szCs w:val="18"/>
              </w:rPr>
            </w:pPr>
            <w:r w:rsidRPr="004E13E9">
              <w:rPr>
                <w:sz w:val="18"/>
                <w:szCs w:val="18"/>
              </w:rPr>
              <w:t>40</w:t>
            </w:r>
          </w:p>
        </w:tc>
        <w:tc>
          <w:tcPr>
            <w:tcW w:w="0" w:type="auto"/>
            <w:vAlign w:val="center"/>
            <w:hideMark/>
          </w:tcPr>
          <w:p w14:paraId="7903449F" w14:textId="77777777" w:rsidR="002F5AFF" w:rsidRPr="004E13E9" w:rsidRDefault="002F5AFF" w:rsidP="00E62E84">
            <w:pPr>
              <w:rPr>
                <w:rFonts w:eastAsia="Times New Roman" w:cs="Calibri"/>
                <w:b/>
                <w:bCs/>
                <w:sz w:val="18"/>
                <w:szCs w:val="18"/>
              </w:rPr>
            </w:pPr>
            <w:r w:rsidRPr="004E13E9">
              <w:rPr>
                <w:sz w:val="18"/>
                <w:szCs w:val="18"/>
              </w:rPr>
              <w:t>40</w:t>
            </w:r>
          </w:p>
        </w:tc>
        <w:tc>
          <w:tcPr>
            <w:tcW w:w="0" w:type="auto"/>
            <w:vAlign w:val="center"/>
          </w:tcPr>
          <w:p w14:paraId="0D6C88B7" w14:textId="77777777" w:rsidR="002F5AFF" w:rsidRPr="004E13E9" w:rsidRDefault="002F5AFF" w:rsidP="00E62E84">
            <w:pPr>
              <w:rPr>
                <w:rFonts w:eastAsia="Times New Roman" w:cs="Calibri"/>
                <w:b/>
                <w:bCs/>
                <w:sz w:val="18"/>
                <w:szCs w:val="18"/>
              </w:rPr>
            </w:pPr>
            <w:r w:rsidRPr="004E13E9">
              <w:rPr>
                <w:sz w:val="18"/>
                <w:szCs w:val="18"/>
              </w:rPr>
              <w:t>40</w:t>
            </w:r>
          </w:p>
        </w:tc>
      </w:tr>
      <w:tr w:rsidR="002F5AFF" w:rsidRPr="004E13E9" w14:paraId="03D0A703" w14:textId="77777777" w:rsidTr="00E62E84">
        <w:trPr>
          <w:trHeight w:val="20"/>
        </w:trPr>
        <w:tc>
          <w:tcPr>
            <w:tcW w:w="0" w:type="auto"/>
            <w:vAlign w:val="center"/>
            <w:hideMark/>
          </w:tcPr>
          <w:p w14:paraId="1378AB96" w14:textId="77777777" w:rsidR="002F5AFF" w:rsidRPr="004E13E9" w:rsidRDefault="002F5AFF" w:rsidP="00E62E84">
            <w:pPr>
              <w:rPr>
                <w:rFonts w:eastAsia="Times New Roman" w:cs="Calibri"/>
                <w:sz w:val="18"/>
                <w:szCs w:val="18"/>
              </w:rPr>
            </w:pPr>
            <w:proofErr w:type="spellStart"/>
            <w:r w:rsidRPr="004E13E9">
              <w:rPr>
                <w:sz w:val="18"/>
                <w:szCs w:val="18"/>
              </w:rPr>
              <w:t>Autre</w:t>
            </w:r>
            <w:proofErr w:type="spellEnd"/>
            <w:r w:rsidRPr="004E13E9">
              <w:rPr>
                <w:sz w:val="18"/>
                <w:szCs w:val="18"/>
              </w:rPr>
              <w:t xml:space="preserve"> (à préciser)</w:t>
            </w:r>
          </w:p>
        </w:tc>
        <w:tc>
          <w:tcPr>
            <w:tcW w:w="2102" w:type="dxa"/>
            <w:noWrap/>
            <w:vAlign w:val="center"/>
            <w:hideMark/>
          </w:tcPr>
          <w:p w14:paraId="175B6758" w14:textId="77777777" w:rsidR="002F5AFF" w:rsidRPr="004E13E9" w:rsidRDefault="002F5AFF" w:rsidP="00E62E84">
            <w:pPr>
              <w:jc w:val="center"/>
              <w:rPr>
                <w:rFonts w:eastAsia="Times New Roman" w:cs="Calibri"/>
                <w:sz w:val="18"/>
                <w:szCs w:val="18"/>
              </w:rPr>
            </w:pPr>
            <w:r w:rsidRPr="004E13E9">
              <w:rPr>
                <w:sz w:val="18"/>
                <w:szCs w:val="18"/>
              </w:rPr>
              <w:t>5</w:t>
            </w:r>
          </w:p>
        </w:tc>
        <w:tc>
          <w:tcPr>
            <w:tcW w:w="615" w:type="dxa"/>
          </w:tcPr>
          <w:p w14:paraId="28986A3F" w14:textId="77777777" w:rsidR="002F5AFF" w:rsidRPr="004E13E9" w:rsidRDefault="002F5AFF" w:rsidP="00E62E84">
            <w:pPr>
              <w:rPr>
                <w:rFonts w:eastAsia="Times New Roman" w:cs="Calibri"/>
                <w:b/>
                <w:bCs/>
                <w:sz w:val="18"/>
                <w:szCs w:val="18"/>
                <w:lang w:eastAsia="ja-JP"/>
              </w:rPr>
            </w:pPr>
          </w:p>
        </w:tc>
        <w:tc>
          <w:tcPr>
            <w:tcW w:w="0" w:type="auto"/>
            <w:noWrap/>
            <w:vAlign w:val="center"/>
            <w:hideMark/>
          </w:tcPr>
          <w:p w14:paraId="7A30AD1A" w14:textId="77777777" w:rsidR="002F5AFF" w:rsidRPr="004E13E9" w:rsidRDefault="002F5AFF" w:rsidP="00E62E84">
            <w:pPr>
              <w:rPr>
                <w:rFonts w:eastAsia="Times New Roman" w:cs="Calibri"/>
                <w:b/>
                <w:bCs/>
                <w:sz w:val="18"/>
                <w:szCs w:val="18"/>
              </w:rPr>
            </w:pPr>
            <w:r w:rsidRPr="004E13E9">
              <w:rPr>
                <w:b/>
                <w:sz w:val="18"/>
                <w:szCs w:val="18"/>
              </w:rPr>
              <w:t> </w:t>
            </w:r>
          </w:p>
        </w:tc>
        <w:tc>
          <w:tcPr>
            <w:tcW w:w="0" w:type="auto"/>
            <w:vAlign w:val="center"/>
            <w:hideMark/>
          </w:tcPr>
          <w:p w14:paraId="386DC3D2"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65FE0F0D"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5E9455AA" w14:textId="77777777" w:rsidR="002F5AFF" w:rsidRPr="004E13E9" w:rsidRDefault="002F5AFF" w:rsidP="00E62E84">
            <w:pPr>
              <w:rPr>
                <w:rFonts w:eastAsia="Times New Roman" w:cs="Calibri"/>
                <w:b/>
                <w:bCs/>
                <w:sz w:val="18"/>
                <w:szCs w:val="18"/>
                <w:lang w:eastAsia="ja-JP"/>
              </w:rPr>
            </w:pPr>
          </w:p>
        </w:tc>
        <w:tc>
          <w:tcPr>
            <w:tcW w:w="0" w:type="auto"/>
            <w:vAlign w:val="center"/>
          </w:tcPr>
          <w:p w14:paraId="7BA742D4" w14:textId="77777777" w:rsidR="002F5AFF" w:rsidRPr="004E13E9" w:rsidRDefault="002F5AFF" w:rsidP="00E62E84">
            <w:pPr>
              <w:rPr>
                <w:rFonts w:eastAsia="Times New Roman" w:cs="Calibri"/>
                <w:b/>
                <w:bCs/>
                <w:sz w:val="18"/>
                <w:szCs w:val="18"/>
                <w:lang w:eastAsia="ja-JP"/>
              </w:rPr>
            </w:pPr>
          </w:p>
        </w:tc>
        <w:tc>
          <w:tcPr>
            <w:tcW w:w="0" w:type="auto"/>
            <w:vAlign w:val="center"/>
          </w:tcPr>
          <w:p w14:paraId="5ABBCAAE" w14:textId="77777777" w:rsidR="002F5AFF" w:rsidRPr="004E13E9" w:rsidRDefault="002F5AFF" w:rsidP="00E62E84">
            <w:pPr>
              <w:jc w:val="center"/>
              <w:rPr>
                <w:rFonts w:eastAsia="Times New Roman" w:cs="Calibri"/>
                <w:sz w:val="18"/>
                <w:szCs w:val="18"/>
              </w:rPr>
            </w:pPr>
            <w:r w:rsidRPr="004E13E9">
              <w:rPr>
                <w:b/>
                <w:sz w:val="18"/>
                <w:szCs w:val="18"/>
              </w:rPr>
              <w:t> </w:t>
            </w:r>
          </w:p>
        </w:tc>
        <w:tc>
          <w:tcPr>
            <w:tcW w:w="0" w:type="auto"/>
            <w:shd w:val="clear" w:color="000000" w:fill="D9D9D9"/>
            <w:vAlign w:val="center"/>
            <w:hideMark/>
          </w:tcPr>
          <w:p w14:paraId="715B653A" w14:textId="77777777" w:rsidR="002F5AFF" w:rsidRPr="004E13E9" w:rsidRDefault="002F5AFF" w:rsidP="00E62E84">
            <w:pPr>
              <w:rPr>
                <w:rFonts w:eastAsia="Times New Roman" w:cs="Calibri"/>
                <w:b/>
                <w:bCs/>
                <w:sz w:val="18"/>
                <w:szCs w:val="18"/>
              </w:rPr>
            </w:pPr>
            <w:r w:rsidRPr="004E13E9">
              <w:rPr>
                <w:b/>
                <w:sz w:val="18"/>
                <w:szCs w:val="18"/>
              </w:rPr>
              <w:t> </w:t>
            </w:r>
          </w:p>
        </w:tc>
        <w:tc>
          <w:tcPr>
            <w:tcW w:w="0" w:type="auto"/>
          </w:tcPr>
          <w:p w14:paraId="5A47511D"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7CFFA6DD"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76B16A9C"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0F53EC78"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21A36C92"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1588E0A1" w14:textId="77777777" w:rsidR="002F5AFF" w:rsidRPr="004E13E9" w:rsidRDefault="002F5AFF" w:rsidP="00E62E84">
            <w:pPr>
              <w:rPr>
                <w:rFonts w:eastAsia="Times New Roman" w:cs="Calibri"/>
                <w:b/>
                <w:bCs/>
                <w:sz w:val="18"/>
                <w:szCs w:val="18"/>
                <w:lang w:eastAsia="ja-JP"/>
              </w:rPr>
            </w:pPr>
          </w:p>
        </w:tc>
        <w:tc>
          <w:tcPr>
            <w:tcW w:w="0" w:type="auto"/>
            <w:vAlign w:val="center"/>
          </w:tcPr>
          <w:p w14:paraId="3F1E2DD2" w14:textId="77777777" w:rsidR="002F5AFF" w:rsidRPr="004E13E9" w:rsidRDefault="002F5AFF" w:rsidP="00E62E84">
            <w:pPr>
              <w:rPr>
                <w:rFonts w:eastAsia="Times New Roman" w:cs="Calibri"/>
                <w:b/>
                <w:bCs/>
                <w:sz w:val="18"/>
                <w:szCs w:val="18"/>
              </w:rPr>
            </w:pPr>
            <w:r w:rsidRPr="004E13E9">
              <w:rPr>
                <w:sz w:val="18"/>
                <w:szCs w:val="18"/>
              </w:rPr>
              <w:t> </w:t>
            </w:r>
          </w:p>
        </w:tc>
      </w:tr>
      <w:tr w:rsidR="002F5AFF" w:rsidRPr="004E13E9" w14:paraId="29FA328D" w14:textId="77777777" w:rsidTr="00E62E84">
        <w:trPr>
          <w:trHeight w:val="20"/>
        </w:trPr>
        <w:tc>
          <w:tcPr>
            <w:tcW w:w="0" w:type="auto"/>
            <w:noWrap/>
            <w:vAlign w:val="center"/>
            <w:hideMark/>
          </w:tcPr>
          <w:p w14:paraId="76A3C9C5" w14:textId="77777777" w:rsidR="002F5AFF" w:rsidRPr="004E13E9" w:rsidRDefault="002F5AFF" w:rsidP="00E62E84">
            <w:pPr>
              <w:rPr>
                <w:rFonts w:eastAsia="Times New Roman" w:cs="Calibri"/>
                <w:b/>
                <w:bCs/>
                <w:sz w:val="18"/>
                <w:szCs w:val="18"/>
                <w:lang w:val="fr-FR"/>
              </w:rPr>
            </w:pPr>
            <w:r w:rsidRPr="004E13E9">
              <w:rPr>
                <w:b/>
                <w:sz w:val="18"/>
                <w:szCs w:val="18"/>
                <w:lang w:val="fr-FR"/>
              </w:rPr>
              <w:t>Capacité totale de la flottille/de pêche</w:t>
            </w:r>
          </w:p>
        </w:tc>
        <w:tc>
          <w:tcPr>
            <w:tcW w:w="2102" w:type="dxa"/>
            <w:noWrap/>
            <w:vAlign w:val="center"/>
            <w:hideMark/>
          </w:tcPr>
          <w:p w14:paraId="048086CD" w14:textId="77777777" w:rsidR="002F5AFF" w:rsidRPr="004E13E9" w:rsidRDefault="002F5AFF" w:rsidP="00E62E84">
            <w:pPr>
              <w:jc w:val="right"/>
              <w:rPr>
                <w:rFonts w:eastAsia="Times New Roman" w:cs="Calibri"/>
                <w:sz w:val="18"/>
                <w:szCs w:val="18"/>
                <w:lang w:val="fr-FR"/>
              </w:rPr>
            </w:pPr>
            <w:r w:rsidRPr="004E13E9">
              <w:rPr>
                <w:sz w:val="18"/>
                <w:szCs w:val="18"/>
                <w:lang w:val="fr-FR"/>
              </w:rPr>
              <w:t> </w:t>
            </w:r>
          </w:p>
        </w:tc>
        <w:tc>
          <w:tcPr>
            <w:tcW w:w="615" w:type="dxa"/>
          </w:tcPr>
          <w:p w14:paraId="51C0203E" w14:textId="77777777" w:rsidR="002F5AFF" w:rsidRPr="004E13E9" w:rsidRDefault="002F5AFF" w:rsidP="00E62E84">
            <w:pPr>
              <w:rPr>
                <w:rFonts w:eastAsia="Times New Roman" w:cs="Calibri"/>
                <w:b/>
                <w:bCs/>
                <w:sz w:val="18"/>
                <w:szCs w:val="18"/>
                <w:lang w:val="fr-FR" w:eastAsia="ja-JP"/>
              </w:rPr>
            </w:pPr>
          </w:p>
        </w:tc>
        <w:tc>
          <w:tcPr>
            <w:tcW w:w="0" w:type="auto"/>
            <w:noWrap/>
            <w:vAlign w:val="center"/>
            <w:hideMark/>
          </w:tcPr>
          <w:p w14:paraId="52A1C616" w14:textId="77777777" w:rsidR="002F5AFF" w:rsidRPr="004E13E9" w:rsidRDefault="002F5AFF" w:rsidP="00E62E84">
            <w:pPr>
              <w:rPr>
                <w:rFonts w:eastAsia="Times New Roman" w:cs="Calibri"/>
                <w:b/>
                <w:bCs/>
                <w:sz w:val="18"/>
                <w:szCs w:val="18"/>
                <w:lang w:val="fr-FR"/>
              </w:rPr>
            </w:pPr>
            <w:r w:rsidRPr="004E13E9">
              <w:rPr>
                <w:b/>
                <w:sz w:val="18"/>
                <w:szCs w:val="18"/>
                <w:lang w:val="fr-FR"/>
              </w:rPr>
              <w:t> </w:t>
            </w:r>
          </w:p>
        </w:tc>
        <w:tc>
          <w:tcPr>
            <w:tcW w:w="0" w:type="auto"/>
            <w:vAlign w:val="center"/>
            <w:hideMark/>
          </w:tcPr>
          <w:p w14:paraId="2339127C" w14:textId="77777777" w:rsidR="002F5AFF" w:rsidRPr="004E13E9" w:rsidRDefault="002F5AFF" w:rsidP="00E62E84">
            <w:pPr>
              <w:rPr>
                <w:rFonts w:eastAsia="Times New Roman" w:cs="Calibri"/>
                <w:b/>
                <w:bCs/>
                <w:sz w:val="18"/>
                <w:szCs w:val="18"/>
              </w:rPr>
            </w:pPr>
            <w:r w:rsidRPr="004E13E9">
              <w:rPr>
                <w:b/>
                <w:sz w:val="18"/>
                <w:szCs w:val="18"/>
              </w:rPr>
              <w:t>2</w:t>
            </w:r>
          </w:p>
        </w:tc>
        <w:tc>
          <w:tcPr>
            <w:tcW w:w="0" w:type="auto"/>
            <w:vAlign w:val="center"/>
            <w:hideMark/>
          </w:tcPr>
          <w:p w14:paraId="5F86E661" w14:textId="77777777" w:rsidR="002F5AFF" w:rsidRPr="004E13E9" w:rsidRDefault="002F5AFF" w:rsidP="00E62E84">
            <w:pPr>
              <w:rPr>
                <w:rFonts w:eastAsia="Times New Roman" w:cs="Calibri"/>
                <w:b/>
                <w:bCs/>
                <w:sz w:val="18"/>
                <w:szCs w:val="18"/>
              </w:rPr>
            </w:pPr>
            <w:r w:rsidRPr="004E13E9">
              <w:rPr>
                <w:b/>
                <w:sz w:val="18"/>
                <w:szCs w:val="18"/>
              </w:rPr>
              <w:t>38</w:t>
            </w:r>
          </w:p>
        </w:tc>
        <w:tc>
          <w:tcPr>
            <w:tcW w:w="0" w:type="auto"/>
            <w:vAlign w:val="center"/>
            <w:hideMark/>
          </w:tcPr>
          <w:p w14:paraId="5540EE14" w14:textId="77777777" w:rsidR="002F5AFF" w:rsidRPr="004E13E9" w:rsidRDefault="002F5AFF" w:rsidP="00E62E84">
            <w:pPr>
              <w:rPr>
                <w:rFonts w:eastAsia="Times New Roman" w:cs="Calibri"/>
                <w:b/>
                <w:bCs/>
                <w:sz w:val="18"/>
                <w:szCs w:val="18"/>
              </w:rPr>
            </w:pPr>
            <w:r w:rsidRPr="004E13E9">
              <w:rPr>
                <w:b/>
                <w:sz w:val="18"/>
                <w:szCs w:val="18"/>
              </w:rPr>
              <w:t>38</w:t>
            </w:r>
          </w:p>
        </w:tc>
        <w:tc>
          <w:tcPr>
            <w:tcW w:w="0" w:type="auto"/>
            <w:vAlign w:val="center"/>
          </w:tcPr>
          <w:p w14:paraId="36FA631D" w14:textId="77777777" w:rsidR="002F5AFF" w:rsidRPr="004E13E9" w:rsidRDefault="002F5AFF" w:rsidP="00E62E84">
            <w:pPr>
              <w:rPr>
                <w:rFonts w:eastAsia="Times New Roman" w:cs="Calibri"/>
                <w:b/>
                <w:bCs/>
                <w:sz w:val="18"/>
                <w:szCs w:val="18"/>
              </w:rPr>
            </w:pPr>
            <w:r w:rsidRPr="004E13E9">
              <w:rPr>
                <w:b/>
                <w:sz w:val="18"/>
                <w:szCs w:val="18"/>
              </w:rPr>
              <w:t>41</w:t>
            </w:r>
          </w:p>
        </w:tc>
        <w:tc>
          <w:tcPr>
            <w:tcW w:w="0" w:type="auto"/>
            <w:vAlign w:val="center"/>
          </w:tcPr>
          <w:p w14:paraId="3EB90DF3" w14:textId="77777777" w:rsidR="002F5AFF" w:rsidRPr="004E13E9" w:rsidRDefault="002F5AFF" w:rsidP="00E62E84">
            <w:pPr>
              <w:jc w:val="center"/>
              <w:rPr>
                <w:rFonts w:eastAsia="Times New Roman" w:cs="Calibri"/>
                <w:sz w:val="18"/>
                <w:szCs w:val="18"/>
              </w:rPr>
            </w:pPr>
            <w:r w:rsidRPr="004E13E9">
              <w:rPr>
                <w:b/>
                <w:sz w:val="18"/>
                <w:szCs w:val="18"/>
              </w:rPr>
              <w:t>70</w:t>
            </w:r>
          </w:p>
        </w:tc>
        <w:tc>
          <w:tcPr>
            <w:tcW w:w="0" w:type="auto"/>
            <w:shd w:val="clear" w:color="000000" w:fill="D9D9D9"/>
            <w:hideMark/>
          </w:tcPr>
          <w:p w14:paraId="5C5908E1" w14:textId="77777777" w:rsidR="002F5AFF" w:rsidRPr="004E13E9" w:rsidRDefault="002F5AFF" w:rsidP="00E62E84">
            <w:pPr>
              <w:rPr>
                <w:rFonts w:eastAsia="Times New Roman" w:cs="Calibri"/>
                <w:b/>
                <w:bCs/>
                <w:sz w:val="18"/>
                <w:szCs w:val="18"/>
                <w:lang w:eastAsia="ja-JP"/>
              </w:rPr>
            </w:pPr>
          </w:p>
        </w:tc>
        <w:tc>
          <w:tcPr>
            <w:tcW w:w="0" w:type="auto"/>
            <w:vAlign w:val="center"/>
          </w:tcPr>
          <w:p w14:paraId="5EB68544" w14:textId="77777777" w:rsidR="002F5AFF" w:rsidRPr="004E13E9" w:rsidRDefault="002F5AFF" w:rsidP="00E62E84">
            <w:pPr>
              <w:rPr>
                <w:rFonts w:eastAsia="Times New Roman" w:cs="Calibri"/>
                <w:b/>
                <w:bCs/>
                <w:sz w:val="18"/>
                <w:szCs w:val="18"/>
              </w:rPr>
            </w:pPr>
            <w:r w:rsidRPr="004E13E9">
              <w:rPr>
                <w:b/>
                <w:sz w:val="18"/>
                <w:szCs w:val="18"/>
              </w:rPr>
              <w:t> </w:t>
            </w:r>
          </w:p>
        </w:tc>
        <w:tc>
          <w:tcPr>
            <w:tcW w:w="0" w:type="auto"/>
            <w:vAlign w:val="center"/>
            <w:hideMark/>
          </w:tcPr>
          <w:p w14:paraId="1B236044" w14:textId="77777777" w:rsidR="002F5AFF" w:rsidRPr="004E13E9" w:rsidRDefault="002F5AFF" w:rsidP="00E62E84">
            <w:pPr>
              <w:rPr>
                <w:rFonts w:eastAsia="Times New Roman" w:cs="Calibri"/>
                <w:b/>
                <w:bCs/>
                <w:sz w:val="18"/>
                <w:szCs w:val="18"/>
                <w:lang w:eastAsia="ja-JP"/>
              </w:rPr>
            </w:pPr>
          </w:p>
        </w:tc>
        <w:tc>
          <w:tcPr>
            <w:tcW w:w="0" w:type="auto"/>
            <w:vAlign w:val="center"/>
            <w:hideMark/>
          </w:tcPr>
          <w:p w14:paraId="3730CD05" w14:textId="77777777" w:rsidR="002F5AFF" w:rsidRPr="004E13E9" w:rsidRDefault="002F5AFF" w:rsidP="00E62E84">
            <w:pPr>
              <w:rPr>
                <w:rFonts w:eastAsia="Times New Roman" w:cs="Calibri"/>
                <w:b/>
                <w:bCs/>
                <w:sz w:val="18"/>
                <w:szCs w:val="18"/>
              </w:rPr>
            </w:pPr>
            <w:r w:rsidRPr="004E13E9">
              <w:rPr>
                <w:b/>
                <w:sz w:val="18"/>
                <w:szCs w:val="18"/>
              </w:rPr>
              <w:t>99,56</w:t>
            </w:r>
          </w:p>
        </w:tc>
        <w:tc>
          <w:tcPr>
            <w:tcW w:w="0" w:type="auto"/>
            <w:noWrap/>
            <w:vAlign w:val="center"/>
            <w:hideMark/>
          </w:tcPr>
          <w:p w14:paraId="66361B1F" w14:textId="77777777" w:rsidR="002F5AFF" w:rsidRPr="004E13E9" w:rsidRDefault="002F5AFF" w:rsidP="00E62E84">
            <w:pPr>
              <w:rPr>
                <w:rFonts w:eastAsia="Times New Roman" w:cs="Calibri"/>
                <w:b/>
                <w:bCs/>
                <w:sz w:val="18"/>
                <w:szCs w:val="18"/>
              </w:rPr>
            </w:pPr>
            <w:r w:rsidRPr="004E13E9">
              <w:rPr>
                <w:b/>
                <w:sz w:val="18"/>
                <w:szCs w:val="18"/>
              </w:rPr>
              <w:t>480,08</w:t>
            </w:r>
          </w:p>
        </w:tc>
        <w:tc>
          <w:tcPr>
            <w:tcW w:w="0" w:type="auto"/>
            <w:noWrap/>
            <w:vAlign w:val="center"/>
            <w:hideMark/>
          </w:tcPr>
          <w:p w14:paraId="44BB5A17" w14:textId="77777777" w:rsidR="002F5AFF" w:rsidRPr="004E13E9" w:rsidRDefault="002F5AFF" w:rsidP="00E62E84">
            <w:pPr>
              <w:rPr>
                <w:rFonts w:eastAsia="Times New Roman" w:cs="Calibri"/>
                <w:b/>
                <w:bCs/>
                <w:sz w:val="18"/>
                <w:szCs w:val="18"/>
              </w:rPr>
            </w:pPr>
            <w:r w:rsidRPr="004E13E9">
              <w:rPr>
                <w:b/>
                <w:sz w:val="18"/>
                <w:szCs w:val="18"/>
              </w:rPr>
              <w:t>455,3</w:t>
            </w:r>
          </w:p>
        </w:tc>
        <w:tc>
          <w:tcPr>
            <w:tcW w:w="0" w:type="auto"/>
            <w:noWrap/>
            <w:vAlign w:val="center"/>
            <w:hideMark/>
          </w:tcPr>
          <w:p w14:paraId="627BF86C" w14:textId="77777777" w:rsidR="002F5AFF" w:rsidRPr="004E13E9" w:rsidRDefault="002F5AFF" w:rsidP="00E62E84">
            <w:pPr>
              <w:rPr>
                <w:rFonts w:eastAsia="Times New Roman" w:cs="Calibri"/>
                <w:b/>
                <w:bCs/>
                <w:sz w:val="18"/>
                <w:szCs w:val="18"/>
              </w:rPr>
            </w:pPr>
            <w:r w:rsidRPr="004E13E9">
              <w:rPr>
                <w:b/>
                <w:sz w:val="18"/>
                <w:szCs w:val="18"/>
              </w:rPr>
              <w:t>530,3</w:t>
            </w:r>
          </w:p>
        </w:tc>
        <w:tc>
          <w:tcPr>
            <w:tcW w:w="0" w:type="auto"/>
            <w:vAlign w:val="center"/>
          </w:tcPr>
          <w:p w14:paraId="48F63FCB" w14:textId="77777777" w:rsidR="002F5AFF" w:rsidRPr="004E13E9" w:rsidRDefault="002F5AFF" w:rsidP="00E62E84">
            <w:pPr>
              <w:rPr>
                <w:rFonts w:eastAsia="Times New Roman" w:cs="Calibri"/>
                <w:b/>
                <w:bCs/>
                <w:sz w:val="18"/>
                <w:szCs w:val="18"/>
              </w:rPr>
            </w:pPr>
            <w:r w:rsidRPr="004E13E9">
              <w:rPr>
                <w:b/>
                <w:sz w:val="18"/>
                <w:szCs w:val="18"/>
              </w:rPr>
              <w:t>928,28</w:t>
            </w:r>
          </w:p>
        </w:tc>
      </w:tr>
      <w:tr w:rsidR="002F5AFF" w:rsidRPr="004E13E9" w14:paraId="50DA5D22" w14:textId="77777777" w:rsidTr="00E62E84">
        <w:trPr>
          <w:trHeight w:val="20"/>
        </w:trPr>
        <w:tc>
          <w:tcPr>
            <w:tcW w:w="0" w:type="auto"/>
            <w:shd w:val="clear" w:color="auto" w:fill="D9D9D9"/>
            <w:noWrap/>
            <w:vAlign w:val="center"/>
            <w:hideMark/>
          </w:tcPr>
          <w:p w14:paraId="7E7222F6" w14:textId="77777777" w:rsidR="002F5AFF" w:rsidRPr="004E13E9" w:rsidRDefault="002F5AFF" w:rsidP="00E62E84">
            <w:pPr>
              <w:rPr>
                <w:rFonts w:eastAsia="Times New Roman" w:cs="Calibri"/>
                <w:b/>
                <w:bCs/>
                <w:sz w:val="18"/>
                <w:szCs w:val="18"/>
              </w:rPr>
            </w:pPr>
            <w:r w:rsidRPr="004E13E9">
              <w:rPr>
                <w:b/>
                <w:sz w:val="18"/>
                <w:szCs w:val="18"/>
              </w:rPr>
              <w:t>Quota initial</w:t>
            </w:r>
          </w:p>
        </w:tc>
        <w:tc>
          <w:tcPr>
            <w:tcW w:w="2102" w:type="dxa"/>
            <w:shd w:val="clear" w:color="auto" w:fill="D9D9D9"/>
            <w:noWrap/>
            <w:vAlign w:val="center"/>
            <w:hideMark/>
          </w:tcPr>
          <w:p w14:paraId="7BB42C1A" w14:textId="77777777" w:rsidR="002F5AFF" w:rsidRPr="004E13E9" w:rsidRDefault="002F5AFF" w:rsidP="00E62E84">
            <w:pPr>
              <w:jc w:val="right"/>
              <w:rPr>
                <w:rFonts w:eastAsia="Times New Roman" w:cs="Calibri"/>
                <w:sz w:val="18"/>
                <w:szCs w:val="18"/>
              </w:rPr>
            </w:pPr>
            <w:r w:rsidRPr="004E13E9">
              <w:rPr>
                <w:sz w:val="18"/>
                <w:szCs w:val="18"/>
              </w:rPr>
              <w:t> </w:t>
            </w:r>
          </w:p>
        </w:tc>
        <w:tc>
          <w:tcPr>
            <w:tcW w:w="615" w:type="dxa"/>
            <w:shd w:val="clear" w:color="auto" w:fill="D9D9D9"/>
          </w:tcPr>
          <w:p w14:paraId="4A0CE1A6" w14:textId="77777777" w:rsidR="002F5AFF" w:rsidRPr="004E13E9" w:rsidRDefault="002F5AFF" w:rsidP="00E62E84">
            <w:pPr>
              <w:rPr>
                <w:rFonts w:eastAsia="Times New Roman" w:cs="Calibri"/>
                <w:sz w:val="18"/>
                <w:szCs w:val="18"/>
                <w:lang w:eastAsia="ja-JP"/>
              </w:rPr>
            </w:pPr>
          </w:p>
        </w:tc>
        <w:tc>
          <w:tcPr>
            <w:tcW w:w="0" w:type="auto"/>
            <w:shd w:val="clear" w:color="auto" w:fill="D9D9D9"/>
            <w:noWrap/>
            <w:vAlign w:val="center"/>
            <w:hideMark/>
          </w:tcPr>
          <w:p w14:paraId="6B396F0D" w14:textId="77777777" w:rsidR="002F5AFF" w:rsidRPr="004E13E9" w:rsidRDefault="002F5AFF" w:rsidP="00E62E84">
            <w:pPr>
              <w:rPr>
                <w:rFonts w:eastAsia="Times New Roman" w:cs="Calibri"/>
                <w:sz w:val="18"/>
                <w:szCs w:val="18"/>
              </w:rPr>
            </w:pPr>
            <w:r w:rsidRPr="004E13E9">
              <w:rPr>
                <w:sz w:val="18"/>
                <w:szCs w:val="18"/>
              </w:rPr>
              <w:t> </w:t>
            </w:r>
          </w:p>
        </w:tc>
        <w:tc>
          <w:tcPr>
            <w:tcW w:w="0" w:type="auto"/>
            <w:shd w:val="clear" w:color="auto" w:fill="D9D9D9"/>
            <w:vAlign w:val="center"/>
            <w:hideMark/>
          </w:tcPr>
          <w:p w14:paraId="15662615" w14:textId="77777777" w:rsidR="002F5AFF" w:rsidRPr="004E13E9" w:rsidRDefault="002F5AFF" w:rsidP="00E62E84">
            <w:pPr>
              <w:rPr>
                <w:rFonts w:eastAsia="Times New Roman" w:cs="Calibri"/>
                <w:sz w:val="18"/>
                <w:szCs w:val="18"/>
                <w:lang w:eastAsia="ja-JP"/>
              </w:rPr>
            </w:pPr>
          </w:p>
        </w:tc>
        <w:tc>
          <w:tcPr>
            <w:tcW w:w="0" w:type="auto"/>
            <w:shd w:val="clear" w:color="auto" w:fill="D9D9D9"/>
            <w:vAlign w:val="center"/>
            <w:hideMark/>
          </w:tcPr>
          <w:p w14:paraId="0ACFBDE3" w14:textId="77777777" w:rsidR="002F5AFF" w:rsidRPr="004E13E9" w:rsidRDefault="002F5AFF" w:rsidP="00E62E84">
            <w:pPr>
              <w:rPr>
                <w:rFonts w:eastAsia="Times New Roman" w:cs="Calibri"/>
                <w:sz w:val="18"/>
                <w:szCs w:val="18"/>
                <w:lang w:eastAsia="ja-JP"/>
              </w:rPr>
            </w:pPr>
          </w:p>
        </w:tc>
        <w:tc>
          <w:tcPr>
            <w:tcW w:w="0" w:type="auto"/>
            <w:shd w:val="clear" w:color="auto" w:fill="D9D9D9"/>
            <w:vAlign w:val="center"/>
            <w:hideMark/>
          </w:tcPr>
          <w:p w14:paraId="5EB4612A" w14:textId="77777777" w:rsidR="002F5AFF" w:rsidRPr="004E13E9" w:rsidRDefault="002F5AFF" w:rsidP="00E62E84">
            <w:pPr>
              <w:rPr>
                <w:rFonts w:eastAsia="Times New Roman" w:cs="Calibri"/>
                <w:sz w:val="18"/>
                <w:szCs w:val="18"/>
                <w:lang w:eastAsia="ja-JP"/>
              </w:rPr>
            </w:pPr>
          </w:p>
        </w:tc>
        <w:tc>
          <w:tcPr>
            <w:tcW w:w="0" w:type="auto"/>
            <w:shd w:val="clear" w:color="auto" w:fill="D9D9D9"/>
            <w:vAlign w:val="center"/>
          </w:tcPr>
          <w:p w14:paraId="49006ED6" w14:textId="77777777" w:rsidR="002F5AFF" w:rsidRPr="004E13E9" w:rsidRDefault="002F5AFF" w:rsidP="00E62E84">
            <w:pPr>
              <w:rPr>
                <w:rFonts w:eastAsia="Times New Roman" w:cs="Calibri"/>
                <w:sz w:val="18"/>
                <w:szCs w:val="18"/>
                <w:lang w:eastAsia="ja-JP"/>
              </w:rPr>
            </w:pPr>
          </w:p>
        </w:tc>
        <w:tc>
          <w:tcPr>
            <w:tcW w:w="0" w:type="auto"/>
            <w:shd w:val="clear" w:color="auto" w:fill="D9D9D9"/>
            <w:vAlign w:val="center"/>
          </w:tcPr>
          <w:p w14:paraId="30A8D4C5" w14:textId="77777777" w:rsidR="002F5AFF" w:rsidRPr="004E13E9" w:rsidRDefault="002F5AFF" w:rsidP="00E62E84">
            <w:pPr>
              <w:jc w:val="center"/>
              <w:rPr>
                <w:rFonts w:eastAsia="Times New Roman" w:cs="Calibri"/>
                <w:sz w:val="18"/>
                <w:szCs w:val="18"/>
                <w:lang w:eastAsia="ja-JP"/>
              </w:rPr>
            </w:pPr>
          </w:p>
        </w:tc>
        <w:tc>
          <w:tcPr>
            <w:tcW w:w="0" w:type="auto"/>
            <w:shd w:val="clear" w:color="auto" w:fill="D9D9D9"/>
            <w:vAlign w:val="center"/>
            <w:hideMark/>
          </w:tcPr>
          <w:p w14:paraId="57F758EA" w14:textId="77777777" w:rsidR="002F5AFF" w:rsidRPr="004E13E9" w:rsidRDefault="002F5AFF" w:rsidP="00E62E84">
            <w:pPr>
              <w:rPr>
                <w:rFonts w:eastAsia="Times New Roman" w:cs="Calibri"/>
                <w:sz w:val="18"/>
                <w:szCs w:val="18"/>
              </w:rPr>
            </w:pPr>
            <w:r w:rsidRPr="004E13E9">
              <w:rPr>
                <w:sz w:val="18"/>
                <w:szCs w:val="18"/>
              </w:rPr>
              <w:t> </w:t>
            </w:r>
          </w:p>
        </w:tc>
        <w:tc>
          <w:tcPr>
            <w:tcW w:w="0" w:type="auto"/>
            <w:shd w:val="clear" w:color="auto" w:fill="D9D9D9"/>
          </w:tcPr>
          <w:p w14:paraId="471AF08F" w14:textId="77777777" w:rsidR="002F5AFF" w:rsidRPr="004E13E9" w:rsidRDefault="002F5AFF" w:rsidP="00E62E84">
            <w:pPr>
              <w:rPr>
                <w:rFonts w:eastAsia="Times New Roman" w:cs="Calibri"/>
                <w:sz w:val="18"/>
                <w:szCs w:val="18"/>
                <w:lang w:eastAsia="ja-JP"/>
              </w:rPr>
            </w:pPr>
          </w:p>
        </w:tc>
        <w:tc>
          <w:tcPr>
            <w:tcW w:w="0" w:type="auto"/>
            <w:shd w:val="clear" w:color="auto" w:fill="D9D9D9"/>
            <w:vAlign w:val="center"/>
            <w:hideMark/>
          </w:tcPr>
          <w:p w14:paraId="6F8B78D6" w14:textId="77777777" w:rsidR="002F5AFF" w:rsidRPr="004E13E9" w:rsidRDefault="002F5AFF" w:rsidP="00E62E84">
            <w:pPr>
              <w:rPr>
                <w:rFonts w:eastAsia="Times New Roman" w:cs="Calibri"/>
                <w:sz w:val="18"/>
                <w:szCs w:val="18"/>
                <w:lang w:eastAsia="ja-JP"/>
              </w:rPr>
            </w:pPr>
          </w:p>
        </w:tc>
        <w:tc>
          <w:tcPr>
            <w:tcW w:w="0" w:type="auto"/>
            <w:shd w:val="clear" w:color="auto" w:fill="D9D9D9"/>
            <w:vAlign w:val="center"/>
          </w:tcPr>
          <w:p w14:paraId="54A7903E" w14:textId="77777777" w:rsidR="002F5AFF" w:rsidRPr="004E13E9" w:rsidRDefault="002F5AFF" w:rsidP="00E62E84">
            <w:pPr>
              <w:rPr>
                <w:rFonts w:eastAsia="Times New Roman" w:cs="Calibri"/>
                <w:sz w:val="18"/>
                <w:szCs w:val="18"/>
              </w:rPr>
            </w:pPr>
            <w:r w:rsidRPr="004E13E9">
              <w:rPr>
                <w:b/>
                <w:sz w:val="18"/>
                <w:szCs w:val="18"/>
              </w:rPr>
              <w:t>104</w:t>
            </w:r>
          </w:p>
        </w:tc>
        <w:tc>
          <w:tcPr>
            <w:tcW w:w="0" w:type="auto"/>
            <w:shd w:val="clear" w:color="auto" w:fill="D9D9D9"/>
            <w:vAlign w:val="center"/>
          </w:tcPr>
          <w:p w14:paraId="3B5586F2" w14:textId="77777777" w:rsidR="002F5AFF" w:rsidRPr="004E13E9" w:rsidRDefault="002F5AFF" w:rsidP="00E62E84">
            <w:pPr>
              <w:rPr>
                <w:rFonts w:eastAsia="Times New Roman" w:cs="Calibri"/>
                <w:sz w:val="18"/>
                <w:szCs w:val="18"/>
              </w:rPr>
            </w:pPr>
            <w:r w:rsidRPr="004E13E9">
              <w:rPr>
                <w:b/>
                <w:sz w:val="18"/>
                <w:szCs w:val="18"/>
              </w:rPr>
              <w:t>368</w:t>
            </w:r>
          </w:p>
        </w:tc>
        <w:tc>
          <w:tcPr>
            <w:tcW w:w="0" w:type="auto"/>
            <w:shd w:val="clear" w:color="auto" w:fill="D9D9D9"/>
            <w:vAlign w:val="center"/>
          </w:tcPr>
          <w:p w14:paraId="5B26C562" w14:textId="77777777" w:rsidR="002F5AFF" w:rsidRPr="004E13E9" w:rsidRDefault="002F5AFF" w:rsidP="00E62E84">
            <w:pPr>
              <w:rPr>
                <w:rFonts w:eastAsia="Times New Roman" w:cs="Calibri"/>
                <w:sz w:val="18"/>
                <w:szCs w:val="18"/>
              </w:rPr>
            </w:pPr>
            <w:r w:rsidRPr="004E13E9">
              <w:rPr>
                <w:b/>
                <w:sz w:val="18"/>
                <w:szCs w:val="18"/>
              </w:rPr>
              <w:t>368</w:t>
            </w:r>
          </w:p>
        </w:tc>
        <w:tc>
          <w:tcPr>
            <w:tcW w:w="0" w:type="auto"/>
            <w:shd w:val="clear" w:color="auto" w:fill="D9D9D9"/>
            <w:vAlign w:val="center"/>
          </w:tcPr>
          <w:p w14:paraId="796F27C6" w14:textId="77777777" w:rsidR="002F5AFF" w:rsidRPr="004E13E9" w:rsidRDefault="002F5AFF" w:rsidP="00E62E84">
            <w:pPr>
              <w:rPr>
                <w:rFonts w:eastAsia="Times New Roman" w:cs="Calibri"/>
                <w:sz w:val="18"/>
                <w:szCs w:val="18"/>
              </w:rPr>
            </w:pPr>
            <w:r w:rsidRPr="004E13E9">
              <w:rPr>
                <w:b/>
                <w:sz w:val="18"/>
                <w:szCs w:val="18"/>
              </w:rPr>
              <w:t>368</w:t>
            </w:r>
          </w:p>
        </w:tc>
        <w:tc>
          <w:tcPr>
            <w:tcW w:w="0" w:type="auto"/>
            <w:shd w:val="clear" w:color="auto" w:fill="D9D9D9"/>
            <w:vAlign w:val="center"/>
          </w:tcPr>
          <w:p w14:paraId="3855DBB4" w14:textId="77777777" w:rsidR="002F5AFF" w:rsidRPr="004E13E9" w:rsidRDefault="002F5AFF" w:rsidP="00E62E84">
            <w:pPr>
              <w:rPr>
                <w:rFonts w:eastAsia="Times New Roman" w:cs="Calibri"/>
                <w:sz w:val="18"/>
                <w:szCs w:val="18"/>
              </w:rPr>
            </w:pPr>
            <w:r w:rsidRPr="004E13E9">
              <w:rPr>
                <w:b/>
                <w:sz w:val="18"/>
                <w:szCs w:val="18"/>
              </w:rPr>
              <w:t>461,38</w:t>
            </w:r>
          </w:p>
        </w:tc>
      </w:tr>
      <w:tr w:rsidR="002F5AFF" w:rsidRPr="004E13E9" w14:paraId="123FBC2D" w14:textId="77777777" w:rsidTr="00E62E84">
        <w:trPr>
          <w:trHeight w:val="20"/>
        </w:trPr>
        <w:tc>
          <w:tcPr>
            <w:tcW w:w="0" w:type="auto"/>
            <w:shd w:val="clear" w:color="auto" w:fill="D9D9D9"/>
            <w:noWrap/>
            <w:vAlign w:val="center"/>
          </w:tcPr>
          <w:p w14:paraId="6433CBE6" w14:textId="77777777" w:rsidR="002F5AFF" w:rsidRPr="004E13E9" w:rsidRDefault="002F5AFF" w:rsidP="00E62E84">
            <w:pPr>
              <w:rPr>
                <w:rFonts w:eastAsia="Times New Roman" w:cs="Calibri"/>
                <w:b/>
                <w:bCs/>
                <w:sz w:val="18"/>
                <w:szCs w:val="18"/>
                <w:lang w:val="fr-FR"/>
              </w:rPr>
            </w:pPr>
            <w:r w:rsidRPr="004E13E9">
              <w:rPr>
                <w:b/>
                <w:sz w:val="18"/>
                <w:szCs w:val="18"/>
                <w:lang w:val="fr-FR"/>
              </w:rPr>
              <w:t xml:space="preserve">Quota ajusté (le cas échéant) </w:t>
            </w:r>
          </w:p>
        </w:tc>
        <w:tc>
          <w:tcPr>
            <w:tcW w:w="2102" w:type="dxa"/>
            <w:shd w:val="clear" w:color="auto" w:fill="D9D9D9"/>
            <w:noWrap/>
            <w:vAlign w:val="center"/>
          </w:tcPr>
          <w:p w14:paraId="32221BA2" w14:textId="77777777" w:rsidR="002F5AFF" w:rsidRPr="004E13E9" w:rsidRDefault="002F5AFF" w:rsidP="00E62E84">
            <w:pPr>
              <w:jc w:val="right"/>
              <w:rPr>
                <w:rFonts w:eastAsia="Times New Roman" w:cs="Calibri"/>
                <w:sz w:val="18"/>
                <w:szCs w:val="18"/>
                <w:lang w:val="fr-FR" w:eastAsia="ja-JP"/>
              </w:rPr>
            </w:pPr>
          </w:p>
        </w:tc>
        <w:tc>
          <w:tcPr>
            <w:tcW w:w="615" w:type="dxa"/>
            <w:shd w:val="clear" w:color="auto" w:fill="D9D9D9"/>
          </w:tcPr>
          <w:p w14:paraId="618AF0F6" w14:textId="77777777" w:rsidR="002F5AFF" w:rsidRPr="004E13E9" w:rsidRDefault="002F5AFF" w:rsidP="00E62E84">
            <w:pPr>
              <w:rPr>
                <w:rFonts w:eastAsia="Times New Roman" w:cs="Calibri"/>
                <w:sz w:val="18"/>
                <w:szCs w:val="18"/>
                <w:lang w:val="fr-FR" w:eastAsia="ja-JP"/>
              </w:rPr>
            </w:pPr>
          </w:p>
        </w:tc>
        <w:tc>
          <w:tcPr>
            <w:tcW w:w="0" w:type="auto"/>
            <w:shd w:val="clear" w:color="auto" w:fill="D9D9D9"/>
            <w:noWrap/>
            <w:vAlign w:val="center"/>
          </w:tcPr>
          <w:p w14:paraId="2A4B08C7" w14:textId="77777777" w:rsidR="002F5AFF" w:rsidRPr="004E13E9" w:rsidRDefault="002F5AFF" w:rsidP="00E62E84">
            <w:pPr>
              <w:rPr>
                <w:rFonts w:eastAsia="Times New Roman" w:cs="Calibri"/>
                <w:sz w:val="18"/>
                <w:szCs w:val="18"/>
                <w:lang w:val="fr-FR" w:eastAsia="ja-JP"/>
              </w:rPr>
            </w:pPr>
          </w:p>
        </w:tc>
        <w:tc>
          <w:tcPr>
            <w:tcW w:w="0" w:type="auto"/>
            <w:shd w:val="clear" w:color="auto" w:fill="D9D9D9"/>
            <w:vAlign w:val="center"/>
          </w:tcPr>
          <w:p w14:paraId="1B9C73FE" w14:textId="77777777" w:rsidR="002F5AFF" w:rsidRPr="004E13E9" w:rsidRDefault="002F5AFF" w:rsidP="00E62E84">
            <w:pPr>
              <w:rPr>
                <w:rFonts w:eastAsia="Times New Roman" w:cs="Calibri"/>
                <w:sz w:val="18"/>
                <w:szCs w:val="18"/>
                <w:lang w:val="fr-FR"/>
              </w:rPr>
            </w:pPr>
            <w:r w:rsidRPr="004E13E9">
              <w:rPr>
                <w:sz w:val="18"/>
                <w:szCs w:val="18"/>
                <w:lang w:val="fr-FR"/>
              </w:rPr>
              <w:t> </w:t>
            </w:r>
          </w:p>
        </w:tc>
        <w:tc>
          <w:tcPr>
            <w:tcW w:w="0" w:type="auto"/>
            <w:shd w:val="clear" w:color="auto" w:fill="D9D9D9"/>
            <w:vAlign w:val="center"/>
          </w:tcPr>
          <w:p w14:paraId="5C1A8581" w14:textId="77777777" w:rsidR="002F5AFF" w:rsidRPr="004E13E9" w:rsidRDefault="002F5AFF" w:rsidP="00E62E84">
            <w:pPr>
              <w:rPr>
                <w:rFonts w:eastAsia="Times New Roman" w:cs="Calibri"/>
                <w:sz w:val="18"/>
                <w:szCs w:val="18"/>
                <w:lang w:val="fr-FR"/>
              </w:rPr>
            </w:pPr>
            <w:r w:rsidRPr="004E13E9">
              <w:rPr>
                <w:sz w:val="18"/>
                <w:szCs w:val="18"/>
                <w:lang w:val="fr-FR"/>
              </w:rPr>
              <w:t> </w:t>
            </w:r>
          </w:p>
        </w:tc>
        <w:tc>
          <w:tcPr>
            <w:tcW w:w="0" w:type="auto"/>
            <w:shd w:val="clear" w:color="auto" w:fill="D9D9D9"/>
            <w:vAlign w:val="center"/>
          </w:tcPr>
          <w:p w14:paraId="0080827B" w14:textId="77777777" w:rsidR="002F5AFF" w:rsidRPr="004E13E9" w:rsidRDefault="002F5AFF" w:rsidP="00E62E84">
            <w:pPr>
              <w:rPr>
                <w:rFonts w:eastAsia="Times New Roman" w:cs="Calibri"/>
                <w:sz w:val="18"/>
                <w:szCs w:val="18"/>
                <w:lang w:val="fr-FR"/>
              </w:rPr>
            </w:pPr>
            <w:r w:rsidRPr="004E13E9">
              <w:rPr>
                <w:sz w:val="18"/>
                <w:szCs w:val="18"/>
                <w:lang w:val="fr-FR"/>
              </w:rPr>
              <w:t> </w:t>
            </w:r>
          </w:p>
        </w:tc>
        <w:tc>
          <w:tcPr>
            <w:tcW w:w="0" w:type="auto"/>
            <w:shd w:val="clear" w:color="auto" w:fill="D9D9D9"/>
            <w:vAlign w:val="center"/>
          </w:tcPr>
          <w:p w14:paraId="5D1A4947" w14:textId="77777777" w:rsidR="002F5AFF" w:rsidRPr="004E13E9" w:rsidRDefault="002F5AFF" w:rsidP="00E62E84">
            <w:pPr>
              <w:rPr>
                <w:rFonts w:eastAsia="Times New Roman" w:cs="Calibri"/>
                <w:sz w:val="18"/>
                <w:szCs w:val="18"/>
                <w:lang w:val="fr-FR"/>
              </w:rPr>
            </w:pPr>
            <w:r w:rsidRPr="004E13E9">
              <w:rPr>
                <w:sz w:val="18"/>
                <w:szCs w:val="18"/>
                <w:lang w:val="fr-FR"/>
              </w:rPr>
              <w:t> </w:t>
            </w:r>
          </w:p>
        </w:tc>
        <w:tc>
          <w:tcPr>
            <w:tcW w:w="0" w:type="auto"/>
            <w:shd w:val="clear" w:color="auto" w:fill="D9D9D9"/>
          </w:tcPr>
          <w:p w14:paraId="547A0328" w14:textId="77777777" w:rsidR="002F5AFF" w:rsidRPr="004E13E9" w:rsidRDefault="002F5AFF" w:rsidP="00E62E84">
            <w:pPr>
              <w:jc w:val="center"/>
              <w:rPr>
                <w:rFonts w:eastAsia="Times New Roman" w:cs="Calibri"/>
                <w:sz w:val="18"/>
                <w:szCs w:val="18"/>
                <w:lang w:val="fr-FR" w:eastAsia="ja-JP"/>
              </w:rPr>
            </w:pPr>
          </w:p>
        </w:tc>
        <w:tc>
          <w:tcPr>
            <w:tcW w:w="0" w:type="auto"/>
            <w:shd w:val="clear" w:color="auto" w:fill="D9D9D9"/>
            <w:vAlign w:val="center"/>
          </w:tcPr>
          <w:p w14:paraId="67D7FD14" w14:textId="77777777" w:rsidR="002F5AFF" w:rsidRPr="004E13E9" w:rsidRDefault="002F5AFF" w:rsidP="00E62E84">
            <w:pPr>
              <w:rPr>
                <w:rFonts w:eastAsia="Times New Roman" w:cs="Calibri"/>
                <w:sz w:val="18"/>
                <w:szCs w:val="18"/>
                <w:lang w:val="fr-FR"/>
              </w:rPr>
            </w:pPr>
            <w:r w:rsidRPr="004E13E9">
              <w:rPr>
                <w:sz w:val="18"/>
                <w:szCs w:val="18"/>
                <w:lang w:val="fr-FR"/>
              </w:rPr>
              <w:t> </w:t>
            </w:r>
          </w:p>
        </w:tc>
        <w:tc>
          <w:tcPr>
            <w:tcW w:w="0" w:type="auto"/>
            <w:shd w:val="clear" w:color="auto" w:fill="D9D9D9"/>
          </w:tcPr>
          <w:p w14:paraId="6414E984" w14:textId="77777777" w:rsidR="002F5AFF" w:rsidRPr="004E13E9" w:rsidRDefault="002F5AFF" w:rsidP="00E62E84">
            <w:pPr>
              <w:rPr>
                <w:rFonts w:eastAsia="Times New Roman" w:cs="Calibri"/>
                <w:sz w:val="18"/>
                <w:szCs w:val="18"/>
                <w:lang w:val="fr-FR" w:eastAsia="ja-JP"/>
              </w:rPr>
            </w:pPr>
          </w:p>
        </w:tc>
        <w:tc>
          <w:tcPr>
            <w:tcW w:w="0" w:type="auto"/>
            <w:shd w:val="clear" w:color="auto" w:fill="D9D9D9"/>
            <w:vAlign w:val="center"/>
          </w:tcPr>
          <w:p w14:paraId="114F5375" w14:textId="77777777" w:rsidR="002F5AFF" w:rsidRPr="004E13E9" w:rsidRDefault="002F5AFF" w:rsidP="00E62E84">
            <w:pPr>
              <w:rPr>
                <w:rFonts w:eastAsia="Times New Roman" w:cs="Calibri"/>
                <w:sz w:val="18"/>
                <w:szCs w:val="18"/>
                <w:lang w:val="fr-FR" w:eastAsia="ja-JP"/>
              </w:rPr>
            </w:pPr>
          </w:p>
        </w:tc>
        <w:tc>
          <w:tcPr>
            <w:tcW w:w="0" w:type="auto"/>
            <w:shd w:val="clear" w:color="auto" w:fill="D9D9D9"/>
            <w:vAlign w:val="center"/>
          </w:tcPr>
          <w:p w14:paraId="2B417590" w14:textId="77777777" w:rsidR="002F5AFF" w:rsidRPr="004E13E9" w:rsidRDefault="002F5AFF" w:rsidP="00E62E84">
            <w:pPr>
              <w:rPr>
                <w:rFonts w:eastAsia="Times New Roman" w:cs="Calibri"/>
                <w:sz w:val="18"/>
                <w:szCs w:val="18"/>
                <w:lang w:val="fr-FR" w:eastAsia="ja-JP"/>
              </w:rPr>
            </w:pPr>
          </w:p>
        </w:tc>
        <w:tc>
          <w:tcPr>
            <w:tcW w:w="0" w:type="auto"/>
            <w:shd w:val="clear" w:color="auto" w:fill="D9D9D9"/>
            <w:vAlign w:val="center"/>
          </w:tcPr>
          <w:p w14:paraId="0947E8C9" w14:textId="77777777" w:rsidR="002F5AFF" w:rsidRPr="004E13E9" w:rsidRDefault="002F5AFF" w:rsidP="00E62E84">
            <w:pPr>
              <w:rPr>
                <w:rFonts w:eastAsia="Times New Roman" w:cs="Calibri"/>
                <w:sz w:val="18"/>
                <w:szCs w:val="18"/>
              </w:rPr>
            </w:pPr>
            <w:r w:rsidRPr="004E13E9">
              <w:rPr>
                <w:sz w:val="18"/>
                <w:szCs w:val="18"/>
              </w:rPr>
              <w:t>383</w:t>
            </w:r>
          </w:p>
        </w:tc>
        <w:tc>
          <w:tcPr>
            <w:tcW w:w="0" w:type="auto"/>
            <w:shd w:val="clear" w:color="auto" w:fill="D9D9D9"/>
            <w:vAlign w:val="center"/>
          </w:tcPr>
          <w:p w14:paraId="26BA27D6" w14:textId="77777777" w:rsidR="002F5AFF" w:rsidRPr="004E13E9" w:rsidRDefault="002F5AFF" w:rsidP="00E62E84">
            <w:pPr>
              <w:rPr>
                <w:rFonts w:eastAsia="Times New Roman" w:cs="Calibri"/>
                <w:sz w:val="18"/>
                <w:szCs w:val="18"/>
              </w:rPr>
            </w:pPr>
            <w:r w:rsidRPr="004E13E9">
              <w:rPr>
                <w:sz w:val="18"/>
                <w:szCs w:val="18"/>
              </w:rPr>
              <w:t>386,4</w:t>
            </w:r>
          </w:p>
        </w:tc>
        <w:tc>
          <w:tcPr>
            <w:tcW w:w="0" w:type="auto"/>
            <w:shd w:val="clear" w:color="auto" w:fill="D9D9D9"/>
            <w:vAlign w:val="center"/>
          </w:tcPr>
          <w:p w14:paraId="4E96F4CA" w14:textId="77777777" w:rsidR="002F5AFF" w:rsidRPr="004E13E9" w:rsidRDefault="002F5AFF" w:rsidP="00E62E84">
            <w:pPr>
              <w:rPr>
                <w:rFonts w:eastAsia="Times New Roman" w:cs="Calibri"/>
                <w:sz w:val="18"/>
                <w:szCs w:val="18"/>
              </w:rPr>
            </w:pPr>
            <w:r w:rsidRPr="004E13E9">
              <w:rPr>
                <w:sz w:val="18"/>
                <w:szCs w:val="18"/>
              </w:rPr>
              <w:t>386,4</w:t>
            </w:r>
          </w:p>
        </w:tc>
        <w:tc>
          <w:tcPr>
            <w:tcW w:w="0" w:type="auto"/>
            <w:shd w:val="clear" w:color="auto" w:fill="D9D9D9"/>
            <w:vAlign w:val="center"/>
          </w:tcPr>
          <w:p w14:paraId="1039BE21" w14:textId="77777777" w:rsidR="002F5AFF" w:rsidRPr="004E13E9" w:rsidRDefault="002F5AFF" w:rsidP="00E62E84">
            <w:pPr>
              <w:rPr>
                <w:rFonts w:eastAsia="Times New Roman" w:cs="Calibri"/>
                <w:sz w:val="18"/>
                <w:szCs w:val="18"/>
              </w:rPr>
            </w:pPr>
            <w:r w:rsidRPr="004E13E9">
              <w:rPr>
                <w:sz w:val="18"/>
                <w:szCs w:val="18"/>
              </w:rPr>
              <w:t>534,98</w:t>
            </w:r>
          </w:p>
        </w:tc>
      </w:tr>
      <w:tr w:rsidR="002F5AFF" w:rsidRPr="004E13E9" w14:paraId="632F3103" w14:textId="77777777" w:rsidTr="00E62E84">
        <w:trPr>
          <w:trHeight w:val="20"/>
        </w:trPr>
        <w:tc>
          <w:tcPr>
            <w:tcW w:w="0" w:type="auto"/>
            <w:noWrap/>
            <w:vAlign w:val="center"/>
            <w:hideMark/>
          </w:tcPr>
          <w:p w14:paraId="3222C910" w14:textId="77777777" w:rsidR="002F5AFF" w:rsidRPr="004E13E9" w:rsidRDefault="002F5AFF" w:rsidP="00E62E84">
            <w:pPr>
              <w:rPr>
                <w:rFonts w:eastAsia="Times New Roman" w:cs="Calibri"/>
                <w:b/>
                <w:bCs/>
                <w:sz w:val="18"/>
                <w:szCs w:val="18"/>
                <w:lang w:val="fr-FR"/>
              </w:rPr>
            </w:pPr>
            <w:r w:rsidRPr="004E13E9">
              <w:rPr>
                <w:b/>
                <w:sz w:val="18"/>
                <w:szCs w:val="18"/>
                <w:lang w:val="fr-FR"/>
              </w:rPr>
              <w:t>Pourcentage alloué aux prises accessoires</w:t>
            </w:r>
          </w:p>
        </w:tc>
        <w:tc>
          <w:tcPr>
            <w:tcW w:w="2102" w:type="dxa"/>
            <w:noWrap/>
            <w:vAlign w:val="center"/>
            <w:hideMark/>
          </w:tcPr>
          <w:p w14:paraId="7B8845EC" w14:textId="77777777" w:rsidR="002F5AFF" w:rsidRPr="004E13E9" w:rsidRDefault="002F5AFF" w:rsidP="00E62E84">
            <w:pPr>
              <w:jc w:val="right"/>
              <w:rPr>
                <w:rFonts w:eastAsia="Times New Roman" w:cs="Calibri"/>
                <w:sz w:val="18"/>
                <w:szCs w:val="18"/>
                <w:lang w:val="fr-FR"/>
              </w:rPr>
            </w:pPr>
            <w:r w:rsidRPr="004E13E9">
              <w:rPr>
                <w:sz w:val="18"/>
                <w:szCs w:val="18"/>
                <w:lang w:val="fr-FR"/>
              </w:rPr>
              <w:t> </w:t>
            </w:r>
          </w:p>
        </w:tc>
        <w:tc>
          <w:tcPr>
            <w:tcW w:w="615" w:type="dxa"/>
          </w:tcPr>
          <w:p w14:paraId="35EF6A24" w14:textId="77777777" w:rsidR="002F5AFF" w:rsidRPr="004E13E9" w:rsidRDefault="002F5AFF" w:rsidP="00E62E84">
            <w:pPr>
              <w:rPr>
                <w:rFonts w:eastAsia="Times New Roman" w:cs="Calibri"/>
                <w:sz w:val="18"/>
                <w:szCs w:val="18"/>
                <w:lang w:val="fr-FR" w:eastAsia="ja-JP"/>
              </w:rPr>
            </w:pPr>
          </w:p>
        </w:tc>
        <w:tc>
          <w:tcPr>
            <w:tcW w:w="0" w:type="auto"/>
            <w:noWrap/>
            <w:vAlign w:val="center"/>
            <w:hideMark/>
          </w:tcPr>
          <w:p w14:paraId="3CC7C736" w14:textId="77777777" w:rsidR="002F5AFF" w:rsidRPr="004E13E9" w:rsidRDefault="002F5AFF" w:rsidP="00E62E84">
            <w:pPr>
              <w:rPr>
                <w:rFonts w:eastAsia="Times New Roman" w:cs="Calibri"/>
                <w:sz w:val="18"/>
                <w:szCs w:val="18"/>
                <w:lang w:val="fr-FR"/>
              </w:rPr>
            </w:pPr>
            <w:r w:rsidRPr="004E13E9">
              <w:rPr>
                <w:sz w:val="18"/>
                <w:szCs w:val="18"/>
                <w:lang w:val="fr-FR"/>
              </w:rPr>
              <w:t> </w:t>
            </w:r>
          </w:p>
        </w:tc>
        <w:tc>
          <w:tcPr>
            <w:tcW w:w="0" w:type="auto"/>
            <w:vAlign w:val="center"/>
            <w:hideMark/>
          </w:tcPr>
          <w:p w14:paraId="57323E2E" w14:textId="77777777" w:rsidR="002F5AFF" w:rsidRPr="004E13E9" w:rsidRDefault="002F5AFF" w:rsidP="00E62E84">
            <w:pPr>
              <w:rPr>
                <w:rFonts w:eastAsia="Times New Roman" w:cs="Calibri"/>
                <w:sz w:val="18"/>
                <w:szCs w:val="18"/>
                <w:lang w:val="fr-FR"/>
              </w:rPr>
            </w:pPr>
            <w:r w:rsidRPr="004E13E9">
              <w:rPr>
                <w:sz w:val="18"/>
                <w:szCs w:val="18"/>
                <w:lang w:val="fr-FR"/>
              </w:rPr>
              <w:t> </w:t>
            </w:r>
          </w:p>
        </w:tc>
        <w:tc>
          <w:tcPr>
            <w:tcW w:w="0" w:type="auto"/>
            <w:vAlign w:val="center"/>
            <w:hideMark/>
          </w:tcPr>
          <w:p w14:paraId="3D884334" w14:textId="77777777" w:rsidR="002F5AFF" w:rsidRPr="004E13E9" w:rsidRDefault="002F5AFF" w:rsidP="00E62E84">
            <w:pPr>
              <w:rPr>
                <w:rFonts w:eastAsia="Times New Roman" w:cs="Calibri"/>
                <w:sz w:val="18"/>
                <w:szCs w:val="18"/>
                <w:lang w:val="fr-FR"/>
              </w:rPr>
            </w:pPr>
            <w:r w:rsidRPr="004E13E9">
              <w:rPr>
                <w:sz w:val="18"/>
                <w:szCs w:val="18"/>
                <w:lang w:val="fr-FR"/>
              </w:rPr>
              <w:t> </w:t>
            </w:r>
          </w:p>
        </w:tc>
        <w:tc>
          <w:tcPr>
            <w:tcW w:w="0" w:type="auto"/>
            <w:vAlign w:val="center"/>
            <w:hideMark/>
          </w:tcPr>
          <w:p w14:paraId="2F86E939" w14:textId="77777777" w:rsidR="002F5AFF" w:rsidRPr="004E13E9" w:rsidRDefault="002F5AFF" w:rsidP="00E62E84">
            <w:pPr>
              <w:rPr>
                <w:rFonts w:eastAsia="Times New Roman" w:cs="Calibri"/>
                <w:sz w:val="18"/>
                <w:szCs w:val="18"/>
                <w:lang w:val="fr-FR"/>
              </w:rPr>
            </w:pPr>
            <w:r w:rsidRPr="004E13E9">
              <w:rPr>
                <w:sz w:val="18"/>
                <w:szCs w:val="18"/>
                <w:lang w:val="fr-FR"/>
              </w:rPr>
              <w:t> </w:t>
            </w:r>
          </w:p>
        </w:tc>
        <w:tc>
          <w:tcPr>
            <w:tcW w:w="0" w:type="auto"/>
            <w:vAlign w:val="center"/>
          </w:tcPr>
          <w:p w14:paraId="65AE068C" w14:textId="77777777" w:rsidR="002F5AFF" w:rsidRPr="004E13E9" w:rsidRDefault="002F5AFF" w:rsidP="00E62E84">
            <w:pPr>
              <w:rPr>
                <w:rFonts w:eastAsia="Times New Roman" w:cs="Calibri"/>
                <w:sz w:val="18"/>
                <w:szCs w:val="18"/>
                <w:lang w:val="fr-FR"/>
              </w:rPr>
            </w:pPr>
            <w:r w:rsidRPr="004E13E9">
              <w:rPr>
                <w:sz w:val="18"/>
                <w:szCs w:val="18"/>
                <w:lang w:val="fr-FR"/>
              </w:rPr>
              <w:t> </w:t>
            </w:r>
          </w:p>
        </w:tc>
        <w:tc>
          <w:tcPr>
            <w:tcW w:w="0" w:type="auto"/>
          </w:tcPr>
          <w:p w14:paraId="603E16B4" w14:textId="77777777" w:rsidR="002F5AFF" w:rsidRPr="004E13E9" w:rsidRDefault="002F5AFF" w:rsidP="00E62E84">
            <w:pPr>
              <w:jc w:val="center"/>
              <w:rPr>
                <w:rFonts w:eastAsia="Times New Roman" w:cs="Calibri"/>
                <w:sz w:val="18"/>
                <w:szCs w:val="18"/>
                <w:lang w:val="fr-FR" w:eastAsia="ja-JP"/>
              </w:rPr>
            </w:pPr>
          </w:p>
        </w:tc>
        <w:tc>
          <w:tcPr>
            <w:tcW w:w="0" w:type="auto"/>
            <w:shd w:val="clear" w:color="000000" w:fill="D9D9D9"/>
            <w:vAlign w:val="center"/>
            <w:hideMark/>
          </w:tcPr>
          <w:p w14:paraId="48F9DC2B" w14:textId="77777777" w:rsidR="002F5AFF" w:rsidRPr="004E13E9" w:rsidRDefault="002F5AFF" w:rsidP="00E62E84">
            <w:pPr>
              <w:rPr>
                <w:rFonts w:eastAsia="Times New Roman" w:cs="Calibri"/>
                <w:sz w:val="18"/>
                <w:szCs w:val="18"/>
                <w:lang w:val="fr-FR"/>
              </w:rPr>
            </w:pPr>
            <w:r w:rsidRPr="004E13E9">
              <w:rPr>
                <w:sz w:val="18"/>
                <w:szCs w:val="18"/>
                <w:lang w:val="fr-FR"/>
              </w:rPr>
              <w:t> </w:t>
            </w:r>
          </w:p>
        </w:tc>
        <w:tc>
          <w:tcPr>
            <w:tcW w:w="0" w:type="auto"/>
          </w:tcPr>
          <w:p w14:paraId="3480433A" w14:textId="77777777" w:rsidR="002F5AFF" w:rsidRPr="004E13E9" w:rsidRDefault="002F5AFF" w:rsidP="00E62E84">
            <w:pPr>
              <w:rPr>
                <w:rFonts w:eastAsia="Times New Roman" w:cs="Calibri"/>
                <w:sz w:val="18"/>
                <w:szCs w:val="18"/>
                <w:lang w:val="fr-FR" w:eastAsia="ja-JP"/>
              </w:rPr>
            </w:pPr>
          </w:p>
        </w:tc>
        <w:tc>
          <w:tcPr>
            <w:tcW w:w="0" w:type="auto"/>
            <w:vAlign w:val="center"/>
            <w:hideMark/>
          </w:tcPr>
          <w:p w14:paraId="379FC73C" w14:textId="77777777" w:rsidR="002F5AFF" w:rsidRPr="004E13E9" w:rsidRDefault="002F5AFF" w:rsidP="00E62E84">
            <w:pPr>
              <w:rPr>
                <w:rFonts w:eastAsia="Times New Roman" w:cs="Calibri"/>
                <w:sz w:val="18"/>
                <w:szCs w:val="18"/>
                <w:lang w:val="fr-FR" w:eastAsia="ja-JP"/>
              </w:rPr>
            </w:pPr>
          </w:p>
        </w:tc>
        <w:tc>
          <w:tcPr>
            <w:tcW w:w="0" w:type="auto"/>
            <w:vAlign w:val="center"/>
          </w:tcPr>
          <w:p w14:paraId="07AB275C" w14:textId="77777777" w:rsidR="002F5AFF" w:rsidRPr="004E13E9" w:rsidRDefault="002F5AFF" w:rsidP="00E62E84">
            <w:pPr>
              <w:jc w:val="center"/>
              <w:rPr>
                <w:rFonts w:eastAsia="Times New Roman" w:cs="Calibri"/>
                <w:sz w:val="18"/>
                <w:szCs w:val="18"/>
              </w:rPr>
            </w:pPr>
            <w:r w:rsidRPr="004E13E9">
              <w:rPr>
                <w:b/>
                <w:sz w:val="18"/>
                <w:szCs w:val="18"/>
              </w:rPr>
              <w:t xml:space="preserve">13,5% </w:t>
            </w:r>
          </w:p>
        </w:tc>
        <w:tc>
          <w:tcPr>
            <w:tcW w:w="0" w:type="auto"/>
            <w:vAlign w:val="center"/>
          </w:tcPr>
          <w:p w14:paraId="4C11B0BD" w14:textId="77777777" w:rsidR="002F5AFF" w:rsidRPr="004E13E9" w:rsidRDefault="002F5AFF" w:rsidP="00E62E84">
            <w:pPr>
              <w:jc w:val="center"/>
              <w:rPr>
                <w:rFonts w:eastAsia="Times New Roman" w:cs="Calibri"/>
                <w:b/>
                <w:bCs/>
                <w:sz w:val="18"/>
                <w:szCs w:val="18"/>
              </w:rPr>
            </w:pPr>
            <w:r w:rsidRPr="004E13E9">
              <w:rPr>
                <w:b/>
                <w:sz w:val="18"/>
                <w:szCs w:val="18"/>
              </w:rPr>
              <w:t>4,1%</w:t>
            </w:r>
          </w:p>
        </w:tc>
        <w:tc>
          <w:tcPr>
            <w:tcW w:w="0" w:type="auto"/>
            <w:vAlign w:val="center"/>
          </w:tcPr>
          <w:p w14:paraId="5DB624F7" w14:textId="77777777" w:rsidR="002F5AFF" w:rsidRPr="004E13E9" w:rsidRDefault="002F5AFF" w:rsidP="00E62E84">
            <w:pPr>
              <w:jc w:val="center"/>
              <w:rPr>
                <w:rFonts w:eastAsia="Times New Roman" w:cs="Calibri"/>
                <w:b/>
                <w:bCs/>
                <w:sz w:val="18"/>
                <w:szCs w:val="18"/>
              </w:rPr>
            </w:pPr>
            <w:r w:rsidRPr="004E13E9">
              <w:rPr>
                <w:b/>
                <w:sz w:val="18"/>
                <w:szCs w:val="18"/>
              </w:rPr>
              <w:t>4,1%</w:t>
            </w:r>
          </w:p>
        </w:tc>
        <w:tc>
          <w:tcPr>
            <w:tcW w:w="0" w:type="auto"/>
            <w:vAlign w:val="center"/>
          </w:tcPr>
          <w:p w14:paraId="2FB4FD8F" w14:textId="77777777" w:rsidR="002F5AFF" w:rsidRPr="004E13E9" w:rsidRDefault="002F5AFF" w:rsidP="00E62E84">
            <w:pPr>
              <w:rPr>
                <w:rFonts w:eastAsia="Times New Roman" w:cs="Calibri"/>
                <w:sz w:val="18"/>
                <w:szCs w:val="18"/>
              </w:rPr>
            </w:pPr>
            <w:r w:rsidRPr="004E13E9">
              <w:rPr>
                <w:b/>
                <w:sz w:val="18"/>
                <w:szCs w:val="18"/>
              </w:rPr>
              <w:t xml:space="preserve">4,1% </w:t>
            </w:r>
          </w:p>
        </w:tc>
        <w:tc>
          <w:tcPr>
            <w:tcW w:w="0" w:type="auto"/>
            <w:vAlign w:val="center"/>
          </w:tcPr>
          <w:p w14:paraId="4D702B05" w14:textId="77777777" w:rsidR="002F5AFF" w:rsidRPr="004E13E9" w:rsidRDefault="002F5AFF" w:rsidP="00E62E84">
            <w:pPr>
              <w:rPr>
                <w:rFonts w:eastAsia="Times New Roman" w:cs="Calibri"/>
                <w:sz w:val="18"/>
                <w:szCs w:val="18"/>
              </w:rPr>
            </w:pPr>
            <w:r w:rsidRPr="004E13E9">
              <w:rPr>
                <w:b/>
                <w:sz w:val="18"/>
                <w:szCs w:val="18"/>
              </w:rPr>
              <w:t xml:space="preserve">2,2% </w:t>
            </w:r>
          </w:p>
        </w:tc>
      </w:tr>
      <w:tr w:rsidR="002F5AFF" w:rsidRPr="004E13E9" w14:paraId="4A15782F" w14:textId="77777777" w:rsidTr="00E62E84">
        <w:trPr>
          <w:trHeight w:val="20"/>
        </w:trPr>
        <w:tc>
          <w:tcPr>
            <w:tcW w:w="0" w:type="auto"/>
            <w:noWrap/>
            <w:vAlign w:val="center"/>
          </w:tcPr>
          <w:p w14:paraId="247823E5" w14:textId="77777777" w:rsidR="002F5AFF" w:rsidRPr="004E13E9" w:rsidRDefault="002F5AFF" w:rsidP="00E62E84">
            <w:pPr>
              <w:rPr>
                <w:rFonts w:eastAsia="Times New Roman" w:cs="Calibri"/>
                <w:b/>
                <w:bCs/>
                <w:sz w:val="18"/>
                <w:szCs w:val="18"/>
              </w:rPr>
            </w:pPr>
            <w:r w:rsidRPr="004E13E9">
              <w:rPr>
                <w:b/>
                <w:sz w:val="18"/>
                <w:szCs w:val="18"/>
              </w:rPr>
              <w:t xml:space="preserve">Allocation aux </w:t>
            </w:r>
            <w:proofErr w:type="spellStart"/>
            <w:r w:rsidRPr="004E13E9">
              <w:rPr>
                <w:b/>
                <w:sz w:val="18"/>
                <w:szCs w:val="18"/>
              </w:rPr>
              <w:t>prises</w:t>
            </w:r>
            <w:proofErr w:type="spellEnd"/>
            <w:r w:rsidRPr="004E13E9">
              <w:rPr>
                <w:b/>
                <w:sz w:val="18"/>
                <w:szCs w:val="18"/>
              </w:rPr>
              <w:t xml:space="preserve"> </w:t>
            </w:r>
            <w:proofErr w:type="spellStart"/>
            <w:r w:rsidRPr="004E13E9">
              <w:rPr>
                <w:b/>
                <w:sz w:val="18"/>
                <w:szCs w:val="18"/>
              </w:rPr>
              <w:t>accessoires</w:t>
            </w:r>
            <w:proofErr w:type="spellEnd"/>
          </w:p>
        </w:tc>
        <w:tc>
          <w:tcPr>
            <w:tcW w:w="2102" w:type="dxa"/>
            <w:noWrap/>
            <w:vAlign w:val="center"/>
          </w:tcPr>
          <w:p w14:paraId="3005DFEF" w14:textId="77777777" w:rsidR="002F5AFF" w:rsidRPr="004E13E9" w:rsidRDefault="002F5AFF" w:rsidP="00E62E84">
            <w:pPr>
              <w:jc w:val="right"/>
              <w:rPr>
                <w:rFonts w:eastAsia="Times New Roman" w:cs="Calibri"/>
                <w:sz w:val="18"/>
                <w:szCs w:val="18"/>
                <w:lang w:eastAsia="ja-JP"/>
              </w:rPr>
            </w:pPr>
          </w:p>
        </w:tc>
        <w:tc>
          <w:tcPr>
            <w:tcW w:w="615" w:type="dxa"/>
          </w:tcPr>
          <w:p w14:paraId="6C6CA232" w14:textId="77777777" w:rsidR="002F5AFF" w:rsidRPr="004E13E9" w:rsidRDefault="002F5AFF" w:rsidP="00E62E84">
            <w:pPr>
              <w:rPr>
                <w:rFonts w:eastAsia="Times New Roman" w:cs="Calibri"/>
                <w:sz w:val="18"/>
                <w:szCs w:val="18"/>
                <w:lang w:eastAsia="ja-JP"/>
              </w:rPr>
            </w:pPr>
          </w:p>
        </w:tc>
        <w:tc>
          <w:tcPr>
            <w:tcW w:w="0" w:type="auto"/>
            <w:noWrap/>
            <w:vAlign w:val="center"/>
          </w:tcPr>
          <w:p w14:paraId="1E975838" w14:textId="77777777" w:rsidR="002F5AFF" w:rsidRPr="004E13E9" w:rsidRDefault="002F5AFF" w:rsidP="00E62E84">
            <w:pPr>
              <w:rPr>
                <w:rFonts w:eastAsia="Times New Roman" w:cs="Calibri"/>
                <w:sz w:val="18"/>
                <w:szCs w:val="18"/>
                <w:lang w:eastAsia="ja-JP"/>
              </w:rPr>
            </w:pPr>
          </w:p>
        </w:tc>
        <w:tc>
          <w:tcPr>
            <w:tcW w:w="0" w:type="auto"/>
            <w:vAlign w:val="center"/>
          </w:tcPr>
          <w:p w14:paraId="2F202028" w14:textId="77777777" w:rsidR="002F5AFF" w:rsidRPr="004E13E9" w:rsidRDefault="002F5AFF" w:rsidP="00E62E84">
            <w:pPr>
              <w:rPr>
                <w:rFonts w:eastAsia="Times New Roman" w:cs="Calibri"/>
                <w:sz w:val="18"/>
                <w:szCs w:val="18"/>
              </w:rPr>
            </w:pPr>
            <w:r w:rsidRPr="004E13E9">
              <w:rPr>
                <w:b/>
                <w:sz w:val="18"/>
                <w:szCs w:val="18"/>
              </w:rPr>
              <w:t> </w:t>
            </w:r>
          </w:p>
        </w:tc>
        <w:tc>
          <w:tcPr>
            <w:tcW w:w="0" w:type="auto"/>
            <w:vAlign w:val="center"/>
          </w:tcPr>
          <w:p w14:paraId="7E7E60C4" w14:textId="77777777" w:rsidR="002F5AFF" w:rsidRPr="004E13E9" w:rsidRDefault="002F5AFF" w:rsidP="00E62E84">
            <w:pPr>
              <w:rPr>
                <w:rFonts w:eastAsia="Times New Roman" w:cs="Calibri"/>
                <w:sz w:val="18"/>
                <w:szCs w:val="18"/>
              </w:rPr>
            </w:pPr>
            <w:r w:rsidRPr="004E13E9">
              <w:rPr>
                <w:b/>
                <w:sz w:val="18"/>
                <w:szCs w:val="18"/>
              </w:rPr>
              <w:t> </w:t>
            </w:r>
          </w:p>
        </w:tc>
        <w:tc>
          <w:tcPr>
            <w:tcW w:w="0" w:type="auto"/>
            <w:vAlign w:val="center"/>
          </w:tcPr>
          <w:p w14:paraId="51532EEC" w14:textId="77777777" w:rsidR="002F5AFF" w:rsidRPr="004E13E9" w:rsidRDefault="002F5AFF" w:rsidP="00E62E84">
            <w:pPr>
              <w:rPr>
                <w:rFonts w:eastAsia="Times New Roman" w:cs="Calibri"/>
                <w:sz w:val="18"/>
                <w:szCs w:val="18"/>
              </w:rPr>
            </w:pPr>
            <w:r w:rsidRPr="004E13E9">
              <w:rPr>
                <w:b/>
                <w:sz w:val="18"/>
                <w:szCs w:val="18"/>
              </w:rPr>
              <w:t> </w:t>
            </w:r>
          </w:p>
        </w:tc>
        <w:tc>
          <w:tcPr>
            <w:tcW w:w="0" w:type="auto"/>
            <w:vAlign w:val="center"/>
          </w:tcPr>
          <w:p w14:paraId="7F3BE6FA" w14:textId="77777777" w:rsidR="002F5AFF" w:rsidRPr="004E13E9" w:rsidRDefault="002F5AFF" w:rsidP="00E62E84">
            <w:pPr>
              <w:rPr>
                <w:rFonts w:eastAsia="Times New Roman" w:cs="Calibri"/>
                <w:sz w:val="18"/>
                <w:szCs w:val="18"/>
              </w:rPr>
            </w:pPr>
            <w:r w:rsidRPr="004E13E9">
              <w:rPr>
                <w:b/>
                <w:sz w:val="18"/>
                <w:szCs w:val="18"/>
              </w:rPr>
              <w:t> </w:t>
            </w:r>
          </w:p>
        </w:tc>
        <w:tc>
          <w:tcPr>
            <w:tcW w:w="0" w:type="auto"/>
          </w:tcPr>
          <w:p w14:paraId="3818FD75" w14:textId="77777777" w:rsidR="002F5AFF" w:rsidRPr="004E13E9" w:rsidRDefault="002F5AFF" w:rsidP="00E62E84">
            <w:pPr>
              <w:jc w:val="center"/>
              <w:rPr>
                <w:rFonts w:eastAsia="Times New Roman" w:cs="Calibri"/>
                <w:sz w:val="18"/>
                <w:szCs w:val="18"/>
                <w:lang w:eastAsia="ja-JP"/>
              </w:rPr>
            </w:pPr>
          </w:p>
        </w:tc>
        <w:tc>
          <w:tcPr>
            <w:tcW w:w="0" w:type="auto"/>
            <w:shd w:val="clear" w:color="000000" w:fill="D9D9D9"/>
            <w:vAlign w:val="center"/>
          </w:tcPr>
          <w:p w14:paraId="31C03611" w14:textId="77777777" w:rsidR="002F5AFF" w:rsidRPr="004E13E9" w:rsidRDefault="002F5AFF" w:rsidP="00E62E84">
            <w:pPr>
              <w:rPr>
                <w:rFonts w:eastAsia="Times New Roman" w:cs="Calibri"/>
                <w:sz w:val="18"/>
                <w:szCs w:val="18"/>
              </w:rPr>
            </w:pPr>
            <w:r w:rsidRPr="004E13E9">
              <w:rPr>
                <w:b/>
                <w:sz w:val="18"/>
                <w:szCs w:val="18"/>
              </w:rPr>
              <w:t> </w:t>
            </w:r>
          </w:p>
        </w:tc>
        <w:tc>
          <w:tcPr>
            <w:tcW w:w="0" w:type="auto"/>
          </w:tcPr>
          <w:p w14:paraId="35E6E55F" w14:textId="77777777" w:rsidR="002F5AFF" w:rsidRPr="004E13E9" w:rsidRDefault="002F5AFF" w:rsidP="00E62E84">
            <w:pPr>
              <w:rPr>
                <w:rFonts w:eastAsia="Times New Roman" w:cs="Calibri"/>
                <w:sz w:val="18"/>
                <w:szCs w:val="18"/>
                <w:lang w:eastAsia="ja-JP"/>
              </w:rPr>
            </w:pPr>
          </w:p>
        </w:tc>
        <w:tc>
          <w:tcPr>
            <w:tcW w:w="0" w:type="auto"/>
            <w:vAlign w:val="center"/>
          </w:tcPr>
          <w:p w14:paraId="75FA3404" w14:textId="77777777" w:rsidR="002F5AFF" w:rsidRPr="004E13E9" w:rsidRDefault="002F5AFF" w:rsidP="00E62E84">
            <w:pPr>
              <w:rPr>
                <w:rFonts w:eastAsia="Times New Roman" w:cs="Calibri"/>
                <w:sz w:val="18"/>
                <w:szCs w:val="18"/>
                <w:lang w:eastAsia="ja-JP"/>
              </w:rPr>
            </w:pPr>
          </w:p>
        </w:tc>
        <w:tc>
          <w:tcPr>
            <w:tcW w:w="0" w:type="auto"/>
            <w:vAlign w:val="center"/>
          </w:tcPr>
          <w:p w14:paraId="1AAA7ABC" w14:textId="77777777" w:rsidR="002F5AFF" w:rsidRPr="004E13E9" w:rsidRDefault="002F5AFF" w:rsidP="00E62E84">
            <w:pPr>
              <w:rPr>
                <w:rFonts w:eastAsia="Times New Roman" w:cs="Calibri"/>
                <w:sz w:val="18"/>
                <w:szCs w:val="18"/>
              </w:rPr>
            </w:pPr>
            <w:r w:rsidRPr="004E13E9">
              <w:rPr>
                <w:sz w:val="18"/>
                <w:szCs w:val="18"/>
              </w:rPr>
              <w:t>14</w:t>
            </w:r>
          </w:p>
        </w:tc>
        <w:tc>
          <w:tcPr>
            <w:tcW w:w="0" w:type="auto"/>
            <w:vAlign w:val="center"/>
          </w:tcPr>
          <w:p w14:paraId="19334CC0" w14:textId="77777777" w:rsidR="002F5AFF" w:rsidRPr="004E13E9" w:rsidRDefault="002F5AFF" w:rsidP="00E62E84">
            <w:pPr>
              <w:rPr>
                <w:rFonts w:eastAsia="Times New Roman" w:cs="Calibri"/>
                <w:sz w:val="18"/>
                <w:szCs w:val="18"/>
              </w:rPr>
            </w:pPr>
            <w:r w:rsidRPr="004E13E9">
              <w:rPr>
                <w:sz w:val="18"/>
                <w:szCs w:val="18"/>
              </w:rPr>
              <w:t>15</w:t>
            </w:r>
          </w:p>
        </w:tc>
        <w:tc>
          <w:tcPr>
            <w:tcW w:w="0" w:type="auto"/>
            <w:vAlign w:val="center"/>
          </w:tcPr>
          <w:p w14:paraId="60141C0B" w14:textId="77777777" w:rsidR="002F5AFF" w:rsidRPr="004E13E9" w:rsidRDefault="002F5AFF" w:rsidP="00E62E84">
            <w:pPr>
              <w:rPr>
                <w:rFonts w:eastAsia="Times New Roman" w:cs="Calibri"/>
                <w:sz w:val="18"/>
                <w:szCs w:val="18"/>
              </w:rPr>
            </w:pPr>
            <w:r w:rsidRPr="004E13E9">
              <w:rPr>
                <w:sz w:val="18"/>
                <w:szCs w:val="18"/>
              </w:rPr>
              <w:t>15</w:t>
            </w:r>
          </w:p>
        </w:tc>
        <w:tc>
          <w:tcPr>
            <w:tcW w:w="0" w:type="auto"/>
            <w:vAlign w:val="center"/>
          </w:tcPr>
          <w:p w14:paraId="7E84B7F8" w14:textId="77777777" w:rsidR="002F5AFF" w:rsidRPr="004E13E9" w:rsidRDefault="002F5AFF" w:rsidP="00E62E84">
            <w:pPr>
              <w:rPr>
                <w:rFonts w:eastAsia="Times New Roman" w:cs="Calibri"/>
                <w:sz w:val="18"/>
                <w:szCs w:val="18"/>
              </w:rPr>
            </w:pPr>
            <w:r w:rsidRPr="004E13E9">
              <w:rPr>
                <w:sz w:val="18"/>
                <w:szCs w:val="18"/>
              </w:rPr>
              <w:t>15</w:t>
            </w:r>
          </w:p>
        </w:tc>
        <w:tc>
          <w:tcPr>
            <w:tcW w:w="0" w:type="auto"/>
            <w:vAlign w:val="center"/>
          </w:tcPr>
          <w:p w14:paraId="4492AD77" w14:textId="77777777" w:rsidR="002F5AFF" w:rsidRPr="004E13E9" w:rsidRDefault="002F5AFF" w:rsidP="00E62E84">
            <w:pPr>
              <w:rPr>
                <w:rFonts w:eastAsia="Times New Roman" w:cs="Calibri"/>
                <w:sz w:val="18"/>
                <w:szCs w:val="18"/>
              </w:rPr>
            </w:pPr>
            <w:r w:rsidRPr="004E13E9">
              <w:rPr>
                <w:sz w:val="18"/>
                <w:szCs w:val="18"/>
              </w:rPr>
              <w:t>10</w:t>
            </w:r>
          </w:p>
        </w:tc>
      </w:tr>
      <w:tr w:rsidR="002F5AFF" w:rsidRPr="004E13E9" w14:paraId="4FDA01B4" w14:textId="77777777" w:rsidTr="00E62E84">
        <w:trPr>
          <w:trHeight w:val="20"/>
        </w:trPr>
        <w:tc>
          <w:tcPr>
            <w:tcW w:w="0" w:type="auto"/>
            <w:vAlign w:val="center"/>
          </w:tcPr>
          <w:p w14:paraId="34B087A1" w14:textId="77777777" w:rsidR="002F5AFF" w:rsidRPr="004E13E9" w:rsidRDefault="002F5AFF" w:rsidP="00E62E84">
            <w:pPr>
              <w:rPr>
                <w:rFonts w:eastAsia="Times New Roman" w:cs="Calibri"/>
                <w:b/>
                <w:bCs/>
                <w:sz w:val="18"/>
                <w:szCs w:val="18"/>
                <w:lang w:val="fr-FR"/>
              </w:rPr>
            </w:pPr>
            <w:r w:rsidRPr="004E13E9">
              <w:rPr>
                <w:b/>
                <w:sz w:val="18"/>
                <w:szCs w:val="18"/>
                <w:lang w:val="fr-FR"/>
              </w:rPr>
              <w:t>Quota de recherche scientifique</w:t>
            </w:r>
          </w:p>
          <w:p w14:paraId="734FFC2F" w14:textId="77777777" w:rsidR="002F5AFF" w:rsidRPr="004E13E9" w:rsidRDefault="002F5AFF" w:rsidP="00E62E84">
            <w:pPr>
              <w:rPr>
                <w:rFonts w:eastAsia="Times New Roman" w:cs="Calibri"/>
                <w:b/>
                <w:bCs/>
                <w:sz w:val="18"/>
                <w:szCs w:val="18"/>
                <w:lang w:val="fr-FR"/>
              </w:rPr>
            </w:pPr>
            <w:r w:rsidRPr="004E13E9">
              <w:rPr>
                <w:b/>
                <w:sz w:val="18"/>
                <w:szCs w:val="18"/>
                <w:lang w:val="fr-FR"/>
              </w:rPr>
              <w:t>(le cas échéant)</w:t>
            </w:r>
          </w:p>
        </w:tc>
        <w:tc>
          <w:tcPr>
            <w:tcW w:w="2102" w:type="dxa"/>
            <w:noWrap/>
            <w:vAlign w:val="center"/>
          </w:tcPr>
          <w:p w14:paraId="5E8A88F7" w14:textId="77777777" w:rsidR="002F5AFF" w:rsidRPr="004E13E9" w:rsidRDefault="002F5AFF" w:rsidP="00E62E84">
            <w:pPr>
              <w:jc w:val="right"/>
              <w:rPr>
                <w:rFonts w:eastAsia="Times New Roman" w:cs="Calibri"/>
                <w:b/>
                <w:bCs/>
                <w:sz w:val="18"/>
                <w:szCs w:val="18"/>
                <w:lang w:val="fr-FR" w:eastAsia="ja-JP"/>
              </w:rPr>
            </w:pPr>
          </w:p>
        </w:tc>
        <w:tc>
          <w:tcPr>
            <w:tcW w:w="615" w:type="dxa"/>
          </w:tcPr>
          <w:p w14:paraId="03B5492C" w14:textId="77777777" w:rsidR="002F5AFF" w:rsidRPr="004E13E9" w:rsidRDefault="002F5AFF" w:rsidP="00E62E84">
            <w:pPr>
              <w:rPr>
                <w:rFonts w:eastAsia="Times New Roman" w:cs="Calibri"/>
                <w:b/>
                <w:bCs/>
                <w:sz w:val="18"/>
                <w:szCs w:val="18"/>
                <w:lang w:val="fr-FR" w:eastAsia="ja-JP"/>
              </w:rPr>
            </w:pPr>
          </w:p>
        </w:tc>
        <w:tc>
          <w:tcPr>
            <w:tcW w:w="0" w:type="auto"/>
            <w:noWrap/>
            <w:vAlign w:val="center"/>
          </w:tcPr>
          <w:p w14:paraId="5CC4BD80" w14:textId="77777777" w:rsidR="002F5AFF" w:rsidRPr="004E13E9" w:rsidRDefault="002F5AFF" w:rsidP="00E62E84">
            <w:pPr>
              <w:rPr>
                <w:rFonts w:eastAsia="Times New Roman" w:cs="Calibri"/>
                <w:b/>
                <w:bCs/>
                <w:sz w:val="18"/>
                <w:szCs w:val="18"/>
                <w:lang w:val="fr-FR" w:eastAsia="ja-JP"/>
              </w:rPr>
            </w:pPr>
          </w:p>
        </w:tc>
        <w:tc>
          <w:tcPr>
            <w:tcW w:w="0" w:type="auto"/>
            <w:vAlign w:val="center"/>
          </w:tcPr>
          <w:p w14:paraId="02A6D143" w14:textId="77777777" w:rsidR="002F5AFF" w:rsidRPr="004E13E9" w:rsidRDefault="002F5AFF" w:rsidP="00E62E84">
            <w:pPr>
              <w:rPr>
                <w:rFonts w:eastAsia="Times New Roman" w:cs="Calibri"/>
                <w:b/>
                <w:bCs/>
                <w:sz w:val="18"/>
                <w:szCs w:val="18"/>
                <w:lang w:val="fr-FR"/>
              </w:rPr>
            </w:pPr>
            <w:r w:rsidRPr="004E13E9">
              <w:rPr>
                <w:sz w:val="18"/>
                <w:szCs w:val="18"/>
                <w:lang w:val="fr-FR"/>
              </w:rPr>
              <w:t> </w:t>
            </w:r>
          </w:p>
        </w:tc>
        <w:tc>
          <w:tcPr>
            <w:tcW w:w="0" w:type="auto"/>
            <w:vAlign w:val="center"/>
          </w:tcPr>
          <w:p w14:paraId="54B6B12F" w14:textId="77777777" w:rsidR="002F5AFF" w:rsidRPr="004E13E9" w:rsidRDefault="002F5AFF" w:rsidP="00E62E84">
            <w:pPr>
              <w:rPr>
                <w:rFonts w:eastAsia="Times New Roman" w:cs="Calibri"/>
                <w:b/>
                <w:bCs/>
                <w:sz w:val="18"/>
                <w:szCs w:val="18"/>
                <w:lang w:val="fr-FR"/>
              </w:rPr>
            </w:pPr>
            <w:r w:rsidRPr="004E13E9">
              <w:rPr>
                <w:sz w:val="18"/>
                <w:szCs w:val="18"/>
                <w:lang w:val="fr-FR"/>
              </w:rPr>
              <w:t> </w:t>
            </w:r>
          </w:p>
        </w:tc>
        <w:tc>
          <w:tcPr>
            <w:tcW w:w="0" w:type="auto"/>
            <w:vAlign w:val="center"/>
          </w:tcPr>
          <w:p w14:paraId="7FB83A9B" w14:textId="77777777" w:rsidR="002F5AFF" w:rsidRPr="004E13E9" w:rsidRDefault="002F5AFF" w:rsidP="00E62E84">
            <w:pPr>
              <w:rPr>
                <w:rFonts w:eastAsia="Times New Roman" w:cs="Calibri"/>
                <w:b/>
                <w:bCs/>
                <w:sz w:val="18"/>
                <w:szCs w:val="18"/>
                <w:lang w:val="fr-FR"/>
              </w:rPr>
            </w:pPr>
            <w:r w:rsidRPr="004E13E9">
              <w:rPr>
                <w:sz w:val="18"/>
                <w:szCs w:val="18"/>
                <w:lang w:val="fr-FR"/>
              </w:rPr>
              <w:t> </w:t>
            </w:r>
          </w:p>
        </w:tc>
        <w:tc>
          <w:tcPr>
            <w:tcW w:w="0" w:type="auto"/>
            <w:vAlign w:val="center"/>
          </w:tcPr>
          <w:p w14:paraId="59AD37AE" w14:textId="77777777" w:rsidR="002F5AFF" w:rsidRPr="004E13E9" w:rsidRDefault="002F5AFF" w:rsidP="00E62E84">
            <w:pPr>
              <w:rPr>
                <w:rFonts w:eastAsia="Times New Roman" w:cs="Calibri"/>
                <w:b/>
                <w:bCs/>
                <w:sz w:val="18"/>
                <w:szCs w:val="18"/>
                <w:lang w:val="fr-FR"/>
              </w:rPr>
            </w:pPr>
            <w:r w:rsidRPr="004E13E9">
              <w:rPr>
                <w:sz w:val="18"/>
                <w:szCs w:val="18"/>
                <w:lang w:val="fr-FR"/>
              </w:rPr>
              <w:t> </w:t>
            </w:r>
          </w:p>
        </w:tc>
        <w:tc>
          <w:tcPr>
            <w:tcW w:w="0" w:type="auto"/>
          </w:tcPr>
          <w:p w14:paraId="653DF34A" w14:textId="77777777" w:rsidR="002F5AFF" w:rsidRPr="004E13E9" w:rsidRDefault="002F5AFF" w:rsidP="00E62E84">
            <w:pPr>
              <w:jc w:val="center"/>
              <w:rPr>
                <w:rFonts w:eastAsia="Times New Roman" w:cs="Calibri"/>
                <w:sz w:val="18"/>
                <w:szCs w:val="18"/>
                <w:lang w:val="fr-FR" w:eastAsia="ja-JP"/>
              </w:rPr>
            </w:pPr>
          </w:p>
        </w:tc>
        <w:tc>
          <w:tcPr>
            <w:tcW w:w="0" w:type="auto"/>
            <w:shd w:val="clear" w:color="000000" w:fill="D9D9D9"/>
            <w:vAlign w:val="center"/>
          </w:tcPr>
          <w:p w14:paraId="14AB3900" w14:textId="77777777" w:rsidR="002F5AFF" w:rsidRPr="004E13E9" w:rsidRDefault="002F5AFF" w:rsidP="00E62E84">
            <w:pPr>
              <w:rPr>
                <w:rFonts w:eastAsia="Times New Roman" w:cs="Calibri"/>
                <w:b/>
                <w:bCs/>
                <w:sz w:val="18"/>
                <w:szCs w:val="18"/>
                <w:lang w:val="fr-FR"/>
              </w:rPr>
            </w:pPr>
            <w:r w:rsidRPr="004E13E9">
              <w:rPr>
                <w:sz w:val="18"/>
                <w:szCs w:val="18"/>
                <w:lang w:val="fr-FR"/>
              </w:rPr>
              <w:t> </w:t>
            </w:r>
          </w:p>
        </w:tc>
        <w:tc>
          <w:tcPr>
            <w:tcW w:w="0" w:type="auto"/>
          </w:tcPr>
          <w:p w14:paraId="07B663AF" w14:textId="77777777" w:rsidR="002F5AFF" w:rsidRPr="004E13E9" w:rsidRDefault="002F5AFF" w:rsidP="00E62E84">
            <w:pPr>
              <w:rPr>
                <w:rFonts w:eastAsia="Times New Roman" w:cs="Calibri"/>
                <w:b/>
                <w:bCs/>
                <w:sz w:val="18"/>
                <w:szCs w:val="18"/>
                <w:lang w:val="fr-FR" w:eastAsia="ja-JP"/>
              </w:rPr>
            </w:pPr>
          </w:p>
        </w:tc>
        <w:tc>
          <w:tcPr>
            <w:tcW w:w="0" w:type="auto"/>
            <w:vAlign w:val="center"/>
          </w:tcPr>
          <w:p w14:paraId="7B1AEA44" w14:textId="77777777" w:rsidR="002F5AFF" w:rsidRPr="004E13E9" w:rsidRDefault="002F5AFF" w:rsidP="00E62E84">
            <w:pPr>
              <w:rPr>
                <w:rFonts w:eastAsia="Times New Roman" w:cs="Calibri"/>
                <w:b/>
                <w:bCs/>
                <w:sz w:val="18"/>
                <w:szCs w:val="18"/>
                <w:lang w:val="fr-FR" w:eastAsia="ja-JP"/>
              </w:rPr>
            </w:pPr>
          </w:p>
        </w:tc>
        <w:tc>
          <w:tcPr>
            <w:tcW w:w="0" w:type="auto"/>
            <w:vAlign w:val="center"/>
          </w:tcPr>
          <w:p w14:paraId="529A2DA9" w14:textId="77777777" w:rsidR="002F5AFF" w:rsidRPr="004E13E9" w:rsidRDefault="002F5AFF" w:rsidP="00E62E84">
            <w:pPr>
              <w:rPr>
                <w:rFonts w:eastAsia="Times New Roman" w:cs="Calibri"/>
                <w:b/>
                <w:bCs/>
                <w:sz w:val="18"/>
                <w:szCs w:val="18"/>
                <w:lang w:val="fr-FR" w:eastAsia="ja-JP"/>
              </w:rPr>
            </w:pPr>
          </w:p>
        </w:tc>
        <w:tc>
          <w:tcPr>
            <w:tcW w:w="0" w:type="auto"/>
            <w:noWrap/>
            <w:vAlign w:val="center"/>
          </w:tcPr>
          <w:p w14:paraId="7FD68914" w14:textId="77777777" w:rsidR="002F5AFF" w:rsidRPr="004E13E9" w:rsidRDefault="002F5AFF" w:rsidP="00E62E84">
            <w:pPr>
              <w:rPr>
                <w:rFonts w:eastAsia="Times New Roman" w:cs="Calibri"/>
                <w:b/>
                <w:bCs/>
                <w:sz w:val="18"/>
                <w:szCs w:val="18"/>
              </w:rPr>
            </w:pPr>
            <w:r w:rsidRPr="004E13E9">
              <w:rPr>
                <w:b/>
                <w:sz w:val="18"/>
                <w:szCs w:val="18"/>
              </w:rPr>
              <w:t>18</w:t>
            </w:r>
          </w:p>
        </w:tc>
        <w:tc>
          <w:tcPr>
            <w:tcW w:w="0" w:type="auto"/>
            <w:noWrap/>
            <w:vAlign w:val="center"/>
          </w:tcPr>
          <w:p w14:paraId="6455B88D" w14:textId="77777777" w:rsidR="002F5AFF" w:rsidRPr="004E13E9" w:rsidRDefault="002F5AFF" w:rsidP="00E62E84">
            <w:pPr>
              <w:rPr>
                <w:rFonts w:eastAsia="Times New Roman" w:cs="Calibri"/>
                <w:b/>
                <w:bCs/>
                <w:sz w:val="18"/>
                <w:szCs w:val="18"/>
              </w:rPr>
            </w:pPr>
            <w:r w:rsidRPr="004E13E9">
              <w:rPr>
                <w:b/>
                <w:sz w:val="18"/>
                <w:szCs w:val="18"/>
              </w:rPr>
              <w:t>33,4</w:t>
            </w:r>
          </w:p>
        </w:tc>
        <w:tc>
          <w:tcPr>
            <w:tcW w:w="0" w:type="auto"/>
            <w:noWrap/>
            <w:vAlign w:val="center"/>
          </w:tcPr>
          <w:p w14:paraId="4795F5D4" w14:textId="77777777" w:rsidR="002F5AFF" w:rsidRPr="004E13E9" w:rsidRDefault="002F5AFF" w:rsidP="00E62E84">
            <w:pPr>
              <w:rPr>
                <w:rFonts w:eastAsia="Times New Roman" w:cs="Calibri"/>
                <w:b/>
                <w:bCs/>
                <w:sz w:val="18"/>
                <w:szCs w:val="18"/>
              </w:rPr>
            </w:pPr>
            <w:r w:rsidRPr="004E13E9">
              <w:rPr>
                <w:b/>
                <w:sz w:val="18"/>
                <w:szCs w:val="18"/>
              </w:rPr>
              <w:t>33,4</w:t>
            </w:r>
          </w:p>
        </w:tc>
        <w:tc>
          <w:tcPr>
            <w:tcW w:w="0" w:type="auto"/>
            <w:vAlign w:val="center"/>
          </w:tcPr>
          <w:p w14:paraId="5F04A27A" w14:textId="77777777" w:rsidR="002F5AFF" w:rsidRPr="004E13E9" w:rsidRDefault="002F5AFF" w:rsidP="00E62E84">
            <w:pPr>
              <w:rPr>
                <w:rFonts w:eastAsia="Times New Roman" w:cs="Calibri"/>
                <w:b/>
                <w:bCs/>
                <w:sz w:val="18"/>
                <w:szCs w:val="18"/>
              </w:rPr>
            </w:pPr>
            <w:r w:rsidRPr="004E13E9">
              <w:rPr>
                <w:b/>
                <w:sz w:val="18"/>
                <w:szCs w:val="18"/>
              </w:rPr>
              <w:t>34,98</w:t>
            </w:r>
          </w:p>
        </w:tc>
      </w:tr>
      <w:tr w:rsidR="002F5AFF" w:rsidRPr="004E13E9" w14:paraId="0435A5F5" w14:textId="77777777" w:rsidTr="00E62E84">
        <w:trPr>
          <w:trHeight w:val="20"/>
        </w:trPr>
        <w:tc>
          <w:tcPr>
            <w:tcW w:w="0" w:type="auto"/>
            <w:vAlign w:val="center"/>
          </w:tcPr>
          <w:p w14:paraId="798038FE" w14:textId="77777777" w:rsidR="002F5AFF" w:rsidRPr="004E13E9" w:rsidRDefault="002F5AFF" w:rsidP="00E62E84">
            <w:pPr>
              <w:rPr>
                <w:rFonts w:eastAsia="Times New Roman" w:cs="Calibri"/>
                <w:b/>
                <w:bCs/>
                <w:sz w:val="18"/>
                <w:szCs w:val="18"/>
                <w:lang w:val="fr-FR"/>
              </w:rPr>
            </w:pPr>
            <w:r w:rsidRPr="004E13E9">
              <w:rPr>
                <w:b/>
                <w:sz w:val="18"/>
                <w:szCs w:val="18"/>
                <w:lang w:val="fr-FR"/>
              </w:rPr>
              <w:t>Tolérance pour la pêche sportive/récréative</w:t>
            </w:r>
          </w:p>
          <w:p w14:paraId="471769F9" w14:textId="77777777" w:rsidR="002F5AFF" w:rsidRPr="004E13E9" w:rsidRDefault="002F5AFF" w:rsidP="00E62E84">
            <w:pPr>
              <w:rPr>
                <w:rFonts w:eastAsia="Times New Roman" w:cs="Calibri"/>
                <w:b/>
                <w:bCs/>
                <w:sz w:val="18"/>
                <w:szCs w:val="18"/>
              </w:rPr>
            </w:pPr>
            <w:r w:rsidRPr="004E13E9">
              <w:rPr>
                <w:b/>
                <w:sz w:val="18"/>
                <w:szCs w:val="18"/>
              </w:rPr>
              <w:t xml:space="preserve">(le </w:t>
            </w:r>
            <w:proofErr w:type="spellStart"/>
            <w:r w:rsidRPr="004E13E9">
              <w:rPr>
                <w:b/>
                <w:sz w:val="18"/>
                <w:szCs w:val="18"/>
              </w:rPr>
              <w:t>cas</w:t>
            </w:r>
            <w:proofErr w:type="spellEnd"/>
            <w:r w:rsidRPr="004E13E9">
              <w:rPr>
                <w:b/>
                <w:sz w:val="18"/>
                <w:szCs w:val="18"/>
              </w:rPr>
              <w:t xml:space="preserve"> échéant)</w:t>
            </w:r>
          </w:p>
        </w:tc>
        <w:tc>
          <w:tcPr>
            <w:tcW w:w="2102" w:type="dxa"/>
            <w:noWrap/>
            <w:vAlign w:val="center"/>
          </w:tcPr>
          <w:p w14:paraId="68495F7A" w14:textId="77777777" w:rsidR="002F5AFF" w:rsidRPr="004E13E9" w:rsidRDefault="002F5AFF" w:rsidP="00E62E84">
            <w:pPr>
              <w:jc w:val="right"/>
              <w:rPr>
                <w:rFonts w:eastAsia="Times New Roman" w:cs="Calibri"/>
                <w:b/>
                <w:bCs/>
                <w:sz w:val="18"/>
                <w:szCs w:val="18"/>
                <w:lang w:eastAsia="ja-JP"/>
              </w:rPr>
            </w:pPr>
          </w:p>
        </w:tc>
        <w:tc>
          <w:tcPr>
            <w:tcW w:w="615" w:type="dxa"/>
          </w:tcPr>
          <w:p w14:paraId="61E0CC58" w14:textId="77777777" w:rsidR="002F5AFF" w:rsidRPr="004E13E9" w:rsidRDefault="002F5AFF" w:rsidP="00E62E84">
            <w:pPr>
              <w:rPr>
                <w:rFonts w:eastAsia="Times New Roman" w:cs="Calibri"/>
                <w:b/>
                <w:bCs/>
                <w:sz w:val="18"/>
                <w:szCs w:val="18"/>
                <w:lang w:eastAsia="ja-JP"/>
              </w:rPr>
            </w:pPr>
          </w:p>
        </w:tc>
        <w:tc>
          <w:tcPr>
            <w:tcW w:w="0" w:type="auto"/>
            <w:noWrap/>
            <w:vAlign w:val="center"/>
          </w:tcPr>
          <w:p w14:paraId="080C43EF" w14:textId="77777777" w:rsidR="002F5AFF" w:rsidRPr="004E13E9" w:rsidRDefault="002F5AFF" w:rsidP="00E62E84">
            <w:pPr>
              <w:rPr>
                <w:rFonts w:eastAsia="Times New Roman" w:cs="Calibri"/>
                <w:b/>
                <w:bCs/>
                <w:sz w:val="18"/>
                <w:szCs w:val="18"/>
                <w:lang w:eastAsia="ja-JP"/>
              </w:rPr>
            </w:pPr>
          </w:p>
        </w:tc>
        <w:tc>
          <w:tcPr>
            <w:tcW w:w="0" w:type="auto"/>
            <w:vAlign w:val="center"/>
          </w:tcPr>
          <w:p w14:paraId="5996D3E1" w14:textId="77777777" w:rsidR="002F5AFF" w:rsidRPr="004E13E9" w:rsidRDefault="002F5AFF" w:rsidP="00E62E84">
            <w:pPr>
              <w:rPr>
                <w:rFonts w:eastAsia="Times New Roman" w:cs="Calibri"/>
                <w:b/>
                <w:bCs/>
                <w:sz w:val="18"/>
                <w:szCs w:val="18"/>
                <w:lang w:eastAsia="ja-JP"/>
              </w:rPr>
            </w:pPr>
          </w:p>
        </w:tc>
        <w:tc>
          <w:tcPr>
            <w:tcW w:w="0" w:type="auto"/>
            <w:vAlign w:val="center"/>
          </w:tcPr>
          <w:p w14:paraId="0A4B5774" w14:textId="77777777" w:rsidR="002F5AFF" w:rsidRPr="004E13E9" w:rsidRDefault="002F5AFF" w:rsidP="00E62E84">
            <w:pPr>
              <w:rPr>
                <w:rFonts w:eastAsia="Times New Roman" w:cs="Calibri"/>
                <w:b/>
                <w:bCs/>
                <w:sz w:val="18"/>
                <w:szCs w:val="18"/>
                <w:lang w:eastAsia="ja-JP"/>
              </w:rPr>
            </w:pPr>
          </w:p>
        </w:tc>
        <w:tc>
          <w:tcPr>
            <w:tcW w:w="0" w:type="auto"/>
            <w:vAlign w:val="center"/>
          </w:tcPr>
          <w:p w14:paraId="0766A229" w14:textId="77777777" w:rsidR="002F5AFF" w:rsidRPr="004E13E9" w:rsidRDefault="002F5AFF" w:rsidP="00E62E84">
            <w:pPr>
              <w:rPr>
                <w:rFonts w:eastAsia="Times New Roman" w:cs="Calibri"/>
                <w:b/>
                <w:bCs/>
                <w:sz w:val="18"/>
                <w:szCs w:val="18"/>
                <w:lang w:eastAsia="ja-JP"/>
              </w:rPr>
            </w:pPr>
          </w:p>
        </w:tc>
        <w:tc>
          <w:tcPr>
            <w:tcW w:w="0" w:type="auto"/>
            <w:vAlign w:val="center"/>
          </w:tcPr>
          <w:p w14:paraId="0767A809" w14:textId="77777777" w:rsidR="002F5AFF" w:rsidRPr="004E13E9" w:rsidRDefault="002F5AFF" w:rsidP="00E62E84">
            <w:pPr>
              <w:rPr>
                <w:rFonts w:eastAsia="Times New Roman" w:cs="Calibri"/>
                <w:b/>
                <w:bCs/>
                <w:sz w:val="18"/>
                <w:szCs w:val="18"/>
                <w:lang w:eastAsia="ja-JP"/>
              </w:rPr>
            </w:pPr>
          </w:p>
        </w:tc>
        <w:tc>
          <w:tcPr>
            <w:tcW w:w="0" w:type="auto"/>
            <w:vAlign w:val="center"/>
          </w:tcPr>
          <w:p w14:paraId="2EA60A08" w14:textId="77777777" w:rsidR="002F5AFF" w:rsidRPr="004E13E9" w:rsidRDefault="002F5AFF" w:rsidP="00E62E84">
            <w:pPr>
              <w:jc w:val="center"/>
              <w:rPr>
                <w:rFonts w:eastAsia="Times New Roman" w:cs="Calibri"/>
                <w:sz w:val="18"/>
                <w:szCs w:val="18"/>
                <w:lang w:eastAsia="ja-JP"/>
              </w:rPr>
            </w:pPr>
          </w:p>
        </w:tc>
        <w:tc>
          <w:tcPr>
            <w:tcW w:w="0" w:type="auto"/>
            <w:shd w:val="clear" w:color="000000" w:fill="D9D9D9"/>
            <w:vAlign w:val="center"/>
          </w:tcPr>
          <w:p w14:paraId="32DBA78E" w14:textId="77777777" w:rsidR="002F5AFF" w:rsidRPr="004E13E9" w:rsidRDefault="002F5AFF" w:rsidP="00E62E84">
            <w:pPr>
              <w:rPr>
                <w:rFonts w:eastAsia="Times New Roman" w:cs="Calibri"/>
                <w:b/>
                <w:bCs/>
                <w:sz w:val="18"/>
                <w:szCs w:val="18"/>
              </w:rPr>
            </w:pPr>
            <w:r w:rsidRPr="004E13E9">
              <w:rPr>
                <w:sz w:val="18"/>
                <w:szCs w:val="18"/>
              </w:rPr>
              <w:t> </w:t>
            </w:r>
          </w:p>
        </w:tc>
        <w:tc>
          <w:tcPr>
            <w:tcW w:w="0" w:type="auto"/>
          </w:tcPr>
          <w:p w14:paraId="2FB7B37A" w14:textId="77777777" w:rsidR="002F5AFF" w:rsidRPr="004E13E9" w:rsidRDefault="002F5AFF" w:rsidP="00E62E84">
            <w:pPr>
              <w:rPr>
                <w:rFonts w:eastAsia="Times New Roman" w:cs="Calibri"/>
                <w:b/>
                <w:bCs/>
                <w:sz w:val="18"/>
                <w:szCs w:val="18"/>
                <w:lang w:eastAsia="ja-JP"/>
              </w:rPr>
            </w:pPr>
          </w:p>
        </w:tc>
        <w:tc>
          <w:tcPr>
            <w:tcW w:w="0" w:type="auto"/>
            <w:vAlign w:val="center"/>
          </w:tcPr>
          <w:p w14:paraId="356D0E56" w14:textId="77777777" w:rsidR="002F5AFF" w:rsidRPr="004E13E9" w:rsidRDefault="002F5AFF" w:rsidP="00E62E84">
            <w:pPr>
              <w:rPr>
                <w:rFonts w:eastAsia="Times New Roman" w:cs="Calibri"/>
                <w:b/>
                <w:bCs/>
                <w:sz w:val="18"/>
                <w:szCs w:val="18"/>
                <w:lang w:eastAsia="ja-JP"/>
              </w:rPr>
            </w:pPr>
          </w:p>
        </w:tc>
        <w:tc>
          <w:tcPr>
            <w:tcW w:w="0" w:type="auto"/>
            <w:vAlign w:val="center"/>
          </w:tcPr>
          <w:p w14:paraId="33CBC9DE" w14:textId="77777777" w:rsidR="002F5AFF" w:rsidRPr="004E13E9" w:rsidRDefault="002F5AFF" w:rsidP="00E62E84">
            <w:pPr>
              <w:rPr>
                <w:rFonts w:eastAsia="Times New Roman" w:cs="Calibri"/>
                <w:b/>
                <w:bCs/>
                <w:sz w:val="18"/>
                <w:szCs w:val="18"/>
                <w:lang w:eastAsia="ja-JP"/>
              </w:rPr>
            </w:pPr>
          </w:p>
        </w:tc>
        <w:tc>
          <w:tcPr>
            <w:tcW w:w="0" w:type="auto"/>
            <w:noWrap/>
            <w:vAlign w:val="center"/>
          </w:tcPr>
          <w:p w14:paraId="2C0C0E36" w14:textId="77777777" w:rsidR="002F5AFF" w:rsidRPr="004E13E9" w:rsidRDefault="002F5AFF" w:rsidP="00E62E84">
            <w:pPr>
              <w:rPr>
                <w:rFonts w:eastAsia="Times New Roman" w:cs="Calibri"/>
                <w:b/>
                <w:bCs/>
                <w:sz w:val="18"/>
                <w:szCs w:val="18"/>
              </w:rPr>
            </w:pPr>
            <w:r w:rsidRPr="004E13E9">
              <w:rPr>
                <w:b/>
                <w:sz w:val="18"/>
                <w:szCs w:val="18"/>
              </w:rPr>
              <w:t>10</w:t>
            </w:r>
          </w:p>
        </w:tc>
        <w:tc>
          <w:tcPr>
            <w:tcW w:w="0" w:type="auto"/>
            <w:noWrap/>
            <w:vAlign w:val="center"/>
          </w:tcPr>
          <w:p w14:paraId="6589E8CF" w14:textId="77777777" w:rsidR="002F5AFF" w:rsidRPr="004E13E9" w:rsidRDefault="002F5AFF" w:rsidP="00E62E84">
            <w:pPr>
              <w:rPr>
                <w:rFonts w:eastAsia="Times New Roman" w:cs="Calibri"/>
                <w:b/>
                <w:bCs/>
                <w:sz w:val="18"/>
                <w:szCs w:val="18"/>
              </w:rPr>
            </w:pPr>
            <w:r w:rsidRPr="004E13E9">
              <w:rPr>
                <w:b/>
                <w:sz w:val="18"/>
                <w:szCs w:val="18"/>
              </w:rPr>
              <w:t>10</w:t>
            </w:r>
          </w:p>
        </w:tc>
        <w:tc>
          <w:tcPr>
            <w:tcW w:w="0" w:type="auto"/>
            <w:noWrap/>
            <w:vAlign w:val="center"/>
          </w:tcPr>
          <w:p w14:paraId="76B53A11" w14:textId="77777777" w:rsidR="002F5AFF" w:rsidRPr="004E13E9" w:rsidRDefault="002F5AFF" w:rsidP="00E62E84">
            <w:pPr>
              <w:rPr>
                <w:rFonts w:eastAsia="Times New Roman" w:cs="Calibri"/>
                <w:b/>
                <w:bCs/>
                <w:sz w:val="18"/>
                <w:szCs w:val="18"/>
              </w:rPr>
            </w:pPr>
            <w:r w:rsidRPr="004E13E9">
              <w:rPr>
                <w:b/>
                <w:sz w:val="18"/>
                <w:szCs w:val="18"/>
              </w:rPr>
              <w:t>10</w:t>
            </w:r>
          </w:p>
        </w:tc>
        <w:tc>
          <w:tcPr>
            <w:tcW w:w="0" w:type="auto"/>
            <w:vAlign w:val="center"/>
          </w:tcPr>
          <w:p w14:paraId="21819B75" w14:textId="77777777" w:rsidR="002F5AFF" w:rsidRPr="004E13E9" w:rsidRDefault="002F5AFF" w:rsidP="00E62E84">
            <w:pPr>
              <w:rPr>
                <w:rFonts w:eastAsia="Times New Roman" w:cs="Calibri"/>
                <w:b/>
                <w:bCs/>
                <w:sz w:val="18"/>
                <w:szCs w:val="18"/>
              </w:rPr>
            </w:pPr>
            <w:r w:rsidRPr="004E13E9">
              <w:rPr>
                <w:b/>
                <w:sz w:val="18"/>
                <w:szCs w:val="18"/>
              </w:rPr>
              <w:t>10</w:t>
            </w:r>
          </w:p>
        </w:tc>
      </w:tr>
      <w:tr w:rsidR="002F5AFF" w:rsidRPr="004E13E9" w14:paraId="6AEC6E70" w14:textId="77777777" w:rsidTr="00E62E84">
        <w:trPr>
          <w:trHeight w:val="20"/>
        </w:trPr>
        <w:tc>
          <w:tcPr>
            <w:tcW w:w="0" w:type="auto"/>
            <w:vAlign w:val="center"/>
          </w:tcPr>
          <w:p w14:paraId="192C624D" w14:textId="77777777" w:rsidR="002F5AFF" w:rsidRPr="004E13E9" w:rsidRDefault="002F5AFF" w:rsidP="00E62E84">
            <w:pPr>
              <w:rPr>
                <w:rFonts w:eastAsia="Times New Roman" w:cs="Calibri"/>
                <w:b/>
                <w:bCs/>
                <w:sz w:val="18"/>
                <w:szCs w:val="18"/>
              </w:rPr>
            </w:pPr>
            <w:r w:rsidRPr="004E13E9">
              <w:rPr>
                <w:b/>
                <w:sz w:val="18"/>
                <w:szCs w:val="18"/>
              </w:rPr>
              <w:t>Quota disponible</w:t>
            </w:r>
          </w:p>
        </w:tc>
        <w:tc>
          <w:tcPr>
            <w:tcW w:w="2102" w:type="dxa"/>
            <w:noWrap/>
            <w:vAlign w:val="center"/>
          </w:tcPr>
          <w:p w14:paraId="56C3E396" w14:textId="77777777" w:rsidR="002F5AFF" w:rsidRPr="004E13E9" w:rsidRDefault="002F5AFF" w:rsidP="00E62E84">
            <w:pPr>
              <w:jc w:val="right"/>
              <w:rPr>
                <w:rFonts w:eastAsia="Times New Roman" w:cs="Calibri"/>
                <w:b/>
                <w:bCs/>
                <w:sz w:val="18"/>
                <w:szCs w:val="18"/>
                <w:lang w:eastAsia="ja-JP"/>
              </w:rPr>
            </w:pPr>
          </w:p>
        </w:tc>
        <w:tc>
          <w:tcPr>
            <w:tcW w:w="615" w:type="dxa"/>
          </w:tcPr>
          <w:p w14:paraId="33FED380" w14:textId="77777777" w:rsidR="002F5AFF" w:rsidRPr="004E13E9" w:rsidRDefault="002F5AFF" w:rsidP="00E62E84">
            <w:pPr>
              <w:rPr>
                <w:rFonts w:eastAsia="Times New Roman" w:cs="Calibri"/>
                <w:b/>
                <w:bCs/>
                <w:sz w:val="18"/>
                <w:szCs w:val="18"/>
                <w:lang w:eastAsia="ja-JP"/>
              </w:rPr>
            </w:pPr>
          </w:p>
        </w:tc>
        <w:tc>
          <w:tcPr>
            <w:tcW w:w="0" w:type="auto"/>
            <w:noWrap/>
            <w:vAlign w:val="center"/>
          </w:tcPr>
          <w:p w14:paraId="52049F74" w14:textId="77777777" w:rsidR="002F5AFF" w:rsidRPr="004E13E9" w:rsidRDefault="002F5AFF" w:rsidP="00E62E84">
            <w:pPr>
              <w:rPr>
                <w:rFonts w:eastAsia="Times New Roman" w:cs="Calibri"/>
                <w:b/>
                <w:bCs/>
                <w:sz w:val="18"/>
                <w:szCs w:val="18"/>
                <w:lang w:eastAsia="ja-JP"/>
              </w:rPr>
            </w:pPr>
          </w:p>
        </w:tc>
        <w:tc>
          <w:tcPr>
            <w:tcW w:w="0" w:type="auto"/>
            <w:vAlign w:val="center"/>
          </w:tcPr>
          <w:p w14:paraId="166609B2" w14:textId="77777777" w:rsidR="002F5AFF" w:rsidRPr="004E13E9" w:rsidRDefault="002F5AFF" w:rsidP="00E62E84">
            <w:pPr>
              <w:rPr>
                <w:rFonts w:eastAsia="Times New Roman" w:cs="Calibri"/>
                <w:b/>
                <w:bCs/>
                <w:sz w:val="18"/>
                <w:szCs w:val="18"/>
                <w:lang w:eastAsia="ja-JP"/>
              </w:rPr>
            </w:pPr>
          </w:p>
        </w:tc>
        <w:tc>
          <w:tcPr>
            <w:tcW w:w="0" w:type="auto"/>
            <w:vAlign w:val="center"/>
          </w:tcPr>
          <w:p w14:paraId="638EC25C" w14:textId="77777777" w:rsidR="002F5AFF" w:rsidRPr="004E13E9" w:rsidRDefault="002F5AFF" w:rsidP="00E62E84">
            <w:pPr>
              <w:rPr>
                <w:rFonts w:eastAsia="Times New Roman" w:cs="Calibri"/>
                <w:b/>
                <w:bCs/>
                <w:sz w:val="18"/>
                <w:szCs w:val="18"/>
                <w:lang w:eastAsia="ja-JP"/>
              </w:rPr>
            </w:pPr>
          </w:p>
        </w:tc>
        <w:tc>
          <w:tcPr>
            <w:tcW w:w="0" w:type="auto"/>
            <w:vAlign w:val="center"/>
          </w:tcPr>
          <w:p w14:paraId="76C3354F" w14:textId="77777777" w:rsidR="002F5AFF" w:rsidRPr="004E13E9" w:rsidRDefault="002F5AFF" w:rsidP="00E62E84">
            <w:pPr>
              <w:rPr>
                <w:rFonts w:eastAsia="Times New Roman" w:cs="Calibri"/>
                <w:b/>
                <w:bCs/>
                <w:sz w:val="18"/>
                <w:szCs w:val="18"/>
                <w:lang w:eastAsia="ja-JP"/>
              </w:rPr>
            </w:pPr>
          </w:p>
        </w:tc>
        <w:tc>
          <w:tcPr>
            <w:tcW w:w="0" w:type="auto"/>
            <w:vAlign w:val="center"/>
          </w:tcPr>
          <w:p w14:paraId="39E11B80" w14:textId="77777777" w:rsidR="002F5AFF" w:rsidRPr="004E13E9" w:rsidRDefault="002F5AFF" w:rsidP="00E62E84">
            <w:pPr>
              <w:rPr>
                <w:rFonts w:eastAsia="Times New Roman" w:cs="Calibri"/>
                <w:b/>
                <w:bCs/>
                <w:sz w:val="18"/>
                <w:szCs w:val="18"/>
                <w:lang w:eastAsia="ja-JP"/>
              </w:rPr>
            </w:pPr>
          </w:p>
        </w:tc>
        <w:tc>
          <w:tcPr>
            <w:tcW w:w="0" w:type="auto"/>
            <w:vAlign w:val="center"/>
          </w:tcPr>
          <w:p w14:paraId="0BE8C476" w14:textId="77777777" w:rsidR="002F5AFF" w:rsidRPr="004E13E9" w:rsidRDefault="002F5AFF" w:rsidP="00E62E84">
            <w:pPr>
              <w:jc w:val="center"/>
              <w:rPr>
                <w:rFonts w:eastAsia="Times New Roman" w:cs="Calibri"/>
                <w:sz w:val="18"/>
                <w:szCs w:val="18"/>
                <w:lang w:eastAsia="ja-JP"/>
              </w:rPr>
            </w:pPr>
          </w:p>
        </w:tc>
        <w:tc>
          <w:tcPr>
            <w:tcW w:w="0" w:type="auto"/>
            <w:shd w:val="clear" w:color="000000" w:fill="D9D9D9"/>
            <w:vAlign w:val="center"/>
          </w:tcPr>
          <w:p w14:paraId="7BC596DD" w14:textId="77777777" w:rsidR="002F5AFF" w:rsidRPr="004E13E9" w:rsidRDefault="002F5AFF" w:rsidP="00E62E84">
            <w:pPr>
              <w:rPr>
                <w:rFonts w:eastAsia="Times New Roman" w:cs="Calibri"/>
                <w:b/>
                <w:bCs/>
                <w:sz w:val="18"/>
                <w:szCs w:val="18"/>
              </w:rPr>
            </w:pPr>
            <w:r w:rsidRPr="004E13E9">
              <w:rPr>
                <w:sz w:val="18"/>
                <w:szCs w:val="18"/>
              </w:rPr>
              <w:t> </w:t>
            </w:r>
          </w:p>
        </w:tc>
        <w:tc>
          <w:tcPr>
            <w:tcW w:w="0" w:type="auto"/>
          </w:tcPr>
          <w:p w14:paraId="66399EBC" w14:textId="77777777" w:rsidR="002F5AFF" w:rsidRPr="004E13E9" w:rsidRDefault="002F5AFF" w:rsidP="00E62E84">
            <w:pPr>
              <w:rPr>
                <w:rFonts w:eastAsia="Times New Roman" w:cs="Calibri"/>
                <w:b/>
                <w:bCs/>
                <w:sz w:val="18"/>
                <w:szCs w:val="18"/>
                <w:lang w:eastAsia="ja-JP"/>
              </w:rPr>
            </w:pPr>
          </w:p>
        </w:tc>
        <w:tc>
          <w:tcPr>
            <w:tcW w:w="0" w:type="auto"/>
            <w:vAlign w:val="center"/>
          </w:tcPr>
          <w:p w14:paraId="4B8B7547" w14:textId="77777777" w:rsidR="002F5AFF" w:rsidRPr="004E13E9" w:rsidRDefault="002F5AFF" w:rsidP="00E62E84">
            <w:pPr>
              <w:rPr>
                <w:rFonts w:eastAsia="Times New Roman" w:cs="Calibri"/>
                <w:b/>
                <w:bCs/>
                <w:sz w:val="18"/>
                <w:szCs w:val="18"/>
                <w:lang w:eastAsia="ja-JP"/>
              </w:rPr>
            </w:pPr>
          </w:p>
        </w:tc>
        <w:tc>
          <w:tcPr>
            <w:tcW w:w="0" w:type="auto"/>
            <w:vAlign w:val="center"/>
          </w:tcPr>
          <w:p w14:paraId="401EFC9C" w14:textId="77777777" w:rsidR="002F5AFF" w:rsidRPr="004E13E9" w:rsidRDefault="002F5AFF" w:rsidP="00E62E84">
            <w:pPr>
              <w:rPr>
                <w:rFonts w:eastAsia="Times New Roman" w:cs="Calibri"/>
                <w:b/>
                <w:bCs/>
                <w:sz w:val="18"/>
                <w:szCs w:val="18"/>
              </w:rPr>
            </w:pPr>
            <w:r w:rsidRPr="004E13E9">
              <w:rPr>
                <w:b/>
                <w:sz w:val="18"/>
                <w:szCs w:val="18"/>
              </w:rPr>
              <w:t>90</w:t>
            </w:r>
            <w:r w:rsidRPr="004E13E9">
              <w:rPr>
                <w:rStyle w:val="FootnoteReference"/>
                <w:rFonts w:eastAsia="Times New Roman" w:cs="Calibri"/>
                <w:b/>
                <w:bCs/>
                <w:sz w:val="18"/>
                <w:szCs w:val="18"/>
                <w:lang w:eastAsia="ja-JP"/>
              </w:rPr>
              <w:footnoteReference w:id="21"/>
            </w:r>
          </w:p>
        </w:tc>
        <w:tc>
          <w:tcPr>
            <w:tcW w:w="0" w:type="auto"/>
            <w:noWrap/>
            <w:vAlign w:val="center"/>
          </w:tcPr>
          <w:p w14:paraId="7FCDC203" w14:textId="77777777" w:rsidR="002F5AFF" w:rsidRPr="004E13E9" w:rsidRDefault="002F5AFF" w:rsidP="00E62E84">
            <w:pPr>
              <w:rPr>
                <w:rFonts w:eastAsia="Times New Roman" w:cs="Calibri"/>
                <w:b/>
                <w:bCs/>
                <w:sz w:val="18"/>
                <w:szCs w:val="18"/>
              </w:rPr>
            </w:pPr>
            <w:r w:rsidRPr="004E13E9">
              <w:rPr>
                <w:b/>
                <w:sz w:val="18"/>
                <w:szCs w:val="18"/>
              </w:rPr>
              <w:t>340</w:t>
            </w:r>
            <w:r w:rsidRPr="004E13E9">
              <w:rPr>
                <w:rStyle w:val="FootnoteReference"/>
                <w:rFonts w:eastAsia="Times New Roman" w:cs="Calibri"/>
                <w:b/>
                <w:bCs/>
                <w:sz w:val="18"/>
                <w:szCs w:val="18"/>
                <w:lang w:eastAsia="ja-JP"/>
              </w:rPr>
              <w:footnoteReference w:id="22"/>
            </w:r>
          </w:p>
        </w:tc>
        <w:tc>
          <w:tcPr>
            <w:tcW w:w="0" w:type="auto"/>
            <w:noWrap/>
            <w:vAlign w:val="center"/>
          </w:tcPr>
          <w:p w14:paraId="1398E906" w14:textId="77777777" w:rsidR="002F5AFF" w:rsidRPr="004E13E9" w:rsidRDefault="002F5AFF" w:rsidP="00E62E84">
            <w:pPr>
              <w:rPr>
                <w:rFonts w:eastAsia="Times New Roman" w:cs="Calibri"/>
                <w:b/>
                <w:bCs/>
                <w:sz w:val="18"/>
                <w:szCs w:val="18"/>
              </w:rPr>
            </w:pPr>
            <w:r w:rsidRPr="004E13E9">
              <w:rPr>
                <w:b/>
                <w:sz w:val="18"/>
                <w:szCs w:val="18"/>
              </w:rPr>
              <w:t>328</w:t>
            </w:r>
            <w:r w:rsidRPr="004E13E9">
              <w:rPr>
                <w:rStyle w:val="FootnoteReference"/>
                <w:rFonts w:eastAsia="Times New Roman" w:cs="Calibri"/>
                <w:b/>
                <w:bCs/>
                <w:sz w:val="18"/>
                <w:szCs w:val="18"/>
                <w:lang w:eastAsia="ja-JP"/>
              </w:rPr>
              <w:footnoteReference w:id="23"/>
            </w:r>
          </w:p>
        </w:tc>
        <w:tc>
          <w:tcPr>
            <w:tcW w:w="0" w:type="auto"/>
            <w:noWrap/>
            <w:vAlign w:val="center"/>
          </w:tcPr>
          <w:p w14:paraId="6C304F70" w14:textId="77777777" w:rsidR="002F5AFF" w:rsidRPr="004E13E9" w:rsidRDefault="002F5AFF" w:rsidP="00E62E84">
            <w:pPr>
              <w:rPr>
                <w:rFonts w:eastAsia="Times New Roman" w:cs="Calibri"/>
                <w:b/>
                <w:bCs/>
                <w:sz w:val="18"/>
                <w:szCs w:val="18"/>
              </w:rPr>
            </w:pPr>
            <w:r w:rsidRPr="004E13E9">
              <w:rPr>
                <w:b/>
                <w:sz w:val="18"/>
                <w:szCs w:val="18"/>
              </w:rPr>
              <w:t>328</w:t>
            </w:r>
            <w:r w:rsidRPr="004E13E9">
              <w:rPr>
                <w:rStyle w:val="FootnoteReference"/>
                <w:rFonts w:eastAsia="Times New Roman" w:cs="Calibri"/>
                <w:b/>
                <w:bCs/>
                <w:sz w:val="18"/>
                <w:szCs w:val="18"/>
                <w:lang w:eastAsia="ja-JP"/>
              </w:rPr>
              <w:footnoteReference w:id="24"/>
            </w:r>
          </w:p>
        </w:tc>
        <w:tc>
          <w:tcPr>
            <w:tcW w:w="0" w:type="auto"/>
            <w:vAlign w:val="center"/>
          </w:tcPr>
          <w:p w14:paraId="146467BD" w14:textId="77777777" w:rsidR="002F5AFF" w:rsidRPr="004E13E9" w:rsidRDefault="002F5AFF" w:rsidP="00E62E84">
            <w:pPr>
              <w:rPr>
                <w:rFonts w:eastAsia="Times New Roman" w:cs="Calibri"/>
                <w:b/>
                <w:bCs/>
                <w:sz w:val="18"/>
                <w:szCs w:val="18"/>
              </w:rPr>
            </w:pPr>
            <w:r w:rsidRPr="004E13E9">
              <w:rPr>
                <w:b/>
                <w:sz w:val="18"/>
                <w:szCs w:val="18"/>
              </w:rPr>
              <w:t>480</w:t>
            </w:r>
            <w:r w:rsidRPr="004E13E9">
              <w:rPr>
                <w:rStyle w:val="FootnoteReference"/>
                <w:rFonts w:eastAsia="Times New Roman" w:cs="Calibri"/>
                <w:b/>
                <w:bCs/>
                <w:sz w:val="18"/>
                <w:szCs w:val="18"/>
                <w:lang w:eastAsia="ja-JP"/>
              </w:rPr>
              <w:footnoteReference w:id="25"/>
            </w:r>
          </w:p>
        </w:tc>
      </w:tr>
      <w:tr w:rsidR="002F5AFF" w:rsidRPr="004E13E9" w14:paraId="2C3B2906" w14:textId="77777777" w:rsidTr="00E62E84">
        <w:trPr>
          <w:trHeight w:val="20"/>
        </w:trPr>
        <w:tc>
          <w:tcPr>
            <w:tcW w:w="0" w:type="auto"/>
            <w:shd w:val="clear" w:color="auto" w:fill="D9D9D9"/>
            <w:noWrap/>
            <w:vAlign w:val="center"/>
            <w:hideMark/>
          </w:tcPr>
          <w:p w14:paraId="0B55A20C" w14:textId="77777777" w:rsidR="002F5AFF" w:rsidRPr="004E13E9" w:rsidRDefault="002F5AFF" w:rsidP="00E62E84">
            <w:pPr>
              <w:rPr>
                <w:rFonts w:eastAsia="Times New Roman" w:cs="Calibri"/>
                <w:b/>
                <w:bCs/>
                <w:sz w:val="18"/>
                <w:szCs w:val="18"/>
              </w:rPr>
            </w:pPr>
            <w:r w:rsidRPr="004E13E9">
              <w:rPr>
                <w:b/>
                <w:sz w:val="18"/>
                <w:szCs w:val="18"/>
              </w:rPr>
              <w:t>Sous/</w:t>
            </w:r>
            <w:proofErr w:type="spellStart"/>
            <w:r w:rsidRPr="004E13E9">
              <w:rPr>
                <w:b/>
                <w:sz w:val="18"/>
                <w:szCs w:val="18"/>
              </w:rPr>
              <w:t>surcapacité</w:t>
            </w:r>
            <w:proofErr w:type="spellEnd"/>
          </w:p>
        </w:tc>
        <w:tc>
          <w:tcPr>
            <w:tcW w:w="2102" w:type="dxa"/>
            <w:shd w:val="clear" w:color="auto" w:fill="D9D9D9"/>
            <w:noWrap/>
            <w:vAlign w:val="center"/>
            <w:hideMark/>
          </w:tcPr>
          <w:p w14:paraId="6F365470" w14:textId="77777777" w:rsidR="002F5AFF" w:rsidRPr="004E13E9" w:rsidRDefault="002F5AFF" w:rsidP="00E62E84">
            <w:pPr>
              <w:jc w:val="right"/>
              <w:rPr>
                <w:rFonts w:eastAsia="Times New Roman" w:cs="Calibri"/>
                <w:sz w:val="18"/>
                <w:szCs w:val="18"/>
              </w:rPr>
            </w:pPr>
            <w:r w:rsidRPr="004E13E9">
              <w:rPr>
                <w:sz w:val="18"/>
                <w:szCs w:val="18"/>
              </w:rPr>
              <w:t> </w:t>
            </w:r>
          </w:p>
        </w:tc>
        <w:tc>
          <w:tcPr>
            <w:tcW w:w="615" w:type="dxa"/>
            <w:shd w:val="clear" w:color="auto" w:fill="D9D9D9"/>
          </w:tcPr>
          <w:p w14:paraId="125241BB" w14:textId="77777777" w:rsidR="002F5AFF" w:rsidRPr="004E13E9" w:rsidRDefault="002F5AFF" w:rsidP="00E62E84">
            <w:pPr>
              <w:rPr>
                <w:rFonts w:eastAsia="Times New Roman" w:cs="Calibri"/>
                <w:sz w:val="18"/>
                <w:szCs w:val="18"/>
                <w:lang w:eastAsia="ja-JP"/>
              </w:rPr>
            </w:pPr>
          </w:p>
        </w:tc>
        <w:tc>
          <w:tcPr>
            <w:tcW w:w="0" w:type="auto"/>
            <w:shd w:val="clear" w:color="auto" w:fill="D9D9D9"/>
            <w:noWrap/>
            <w:vAlign w:val="center"/>
            <w:hideMark/>
          </w:tcPr>
          <w:p w14:paraId="78B04BEB" w14:textId="77777777" w:rsidR="002F5AFF" w:rsidRPr="004E13E9" w:rsidRDefault="002F5AFF" w:rsidP="00E62E84">
            <w:pPr>
              <w:rPr>
                <w:rFonts w:eastAsia="Times New Roman" w:cs="Calibri"/>
                <w:sz w:val="18"/>
                <w:szCs w:val="18"/>
              </w:rPr>
            </w:pPr>
            <w:r w:rsidRPr="004E13E9">
              <w:rPr>
                <w:sz w:val="18"/>
                <w:szCs w:val="18"/>
              </w:rPr>
              <w:t> </w:t>
            </w:r>
          </w:p>
        </w:tc>
        <w:tc>
          <w:tcPr>
            <w:tcW w:w="0" w:type="auto"/>
            <w:shd w:val="clear" w:color="auto" w:fill="D9D9D9"/>
            <w:vAlign w:val="center"/>
            <w:hideMark/>
          </w:tcPr>
          <w:p w14:paraId="1E5D5DED" w14:textId="77777777" w:rsidR="002F5AFF" w:rsidRPr="004E13E9" w:rsidRDefault="002F5AFF" w:rsidP="00E62E84">
            <w:pPr>
              <w:rPr>
                <w:rFonts w:eastAsia="Times New Roman" w:cs="Calibri"/>
                <w:sz w:val="18"/>
                <w:szCs w:val="18"/>
                <w:lang w:eastAsia="ja-JP"/>
              </w:rPr>
            </w:pPr>
          </w:p>
        </w:tc>
        <w:tc>
          <w:tcPr>
            <w:tcW w:w="0" w:type="auto"/>
            <w:shd w:val="clear" w:color="auto" w:fill="D9D9D9"/>
            <w:vAlign w:val="center"/>
            <w:hideMark/>
          </w:tcPr>
          <w:p w14:paraId="7EE901C5" w14:textId="77777777" w:rsidR="002F5AFF" w:rsidRPr="004E13E9" w:rsidRDefault="002F5AFF" w:rsidP="00E62E84">
            <w:pPr>
              <w:rPr>
                <w:rFonts w:eastAsia="Times New Roman" w:cs="Calibri"/>
                <w:sz w:val="18"/>
                <w:szCs w:val="18"/>
                <w:lang w:eastAsia="ja-JP"/>
              </w:rPr>
            </w:pPr>
          </w:p>
        </w:tc>
        <w:tc>
          <w:tcPr>
            <w:tcW w:w="0" w:type="auto"/>
            <w:shd w:val="clear" w:color="auto" w:fill="D9D9D9"/>
            <w:vAlign w:val="center"/>
            <w:hideMark/>
          </w:tcPr>
          <w:p w14:paraId="4BF5D701" w14:textId="77777777" w:rsidR="002F5AFF" w:rsidRPr="004E13E9" w:rsidRDefault="002F5AFF" w:rsidP="00E62E84">
            <w:pPr>
              <w:rPr>
                <w:rFonts w:eastAsia="Times New Roman" w:cs="Calibri"/>
                <w:sz w:val="18"/>
                <w:szCs w:val="18"/>
                <w:lang w:eastAsia="ja-JP"/>
              </w:rPr>
            </w:pPr>
          </w:p>
        </w:tc>
        <w:tc>
          <w:tcPr>
            <w:tcW w:w="0" w:type="auto"/>
            <w:shd w:val="clear" w:color="auto" w:fill="D9D9D9"/>
            <w:vAlign w:val="center"/>
          </w:tcPr>
          <w:p w14:paraId="314625B2" w14:textId="77777777" w:rsidR="002F5AFF" w:rsidRPr="004E13E9" w:rsidRDefault="002F5AFF" w:rsidP="00E62E84">
            <w:pPr>
              <w:rPr>
                <w:rFonts w:eastAsia="Times New Roman" w:cs="Calibri"/>
                <w:sz w:val="18"/>
                <w:szCs w:val="18"/>
                <w:lang w:eastAsia="ja-JP"/>
              </w:rPr>
            </w:pPr>
          </w:p>
        </w:tc>
        <w:tc>
          <w:tcPr>
            <w:tcW w:w="0" w:type="auto"/>
            <w:shd w:val="clear" w:color="auto" w:fill="D9D9D9"/>
            <w:vAlign w:val="center"/>
          </w:tcPr>
          <w:p w14:paraId="6B20D974" w14:textId="77777777" w:rsidR="002F5AFF" w:rsidRPr="004E13E9" w:rsidRDefault="002F5AFF" w:rsidP="00E62E84">
            <w:pPr>
              <w:jc w:val="center"/>
              <w:rPr>
                <w:rFonts w:eastAsia="Times New Roman" w:cs="Calibri"/>
                <w:sz w:val="18"/>
                <w:szCs w:val="18"/>
              </w:rPr>
            </w:pPr>
            <w:r w:rsidRPr="004E13E9">
              <w:rPr>
                <w:sz w:val="18"/>
                <w:szCs w:val="18"/>
              </w:rPr>
              <w:t> </w:t>
            </w:r>
          </w:p>
        </w:tc>
        <w:tc>
          <w:tcPr>
            <w:tcW w:w="0" w:type="auto"/>
            <w:shd w:val="clear" w:color="auto" w:fill="D9D9D9"/>
            <w:vAlign w:val="center"/>
            <w:hideMark/>
          </w:tcPr>
          <w:p w14:paraId="66433565" w14:textId="77777777" w:rsidR="002F5AFF" w:rsidRPr="004E13E9" w:rsidRDefault="002F5AFF" w:rsidP="00E62E84">
            <w:pPr>
              <w:rPr>
                <w:rFonts w:eastAsia="Times New Roman" w:cs="Calibri"/>
                <w:sz w:val="18"/>
                <w:szCs w:val="18"/>
              </w:rPr>
            </w:pPr>
            <w:r w:rsidRPr="004E13E9">
              <w:rPr>
                <w:sz w:val="18"/>
                <w:szCs w:val="18"/>
              </w:rPr>
              <w:t> </w:t>
            </w:r>
          </w:p>
        </w:tc>
        <w:tc>
          <w:tcPr>
            <w:tcW w:w="0" w:type="auto"/>
            <w:shd w:val="clear" w:color="auto" w:fill="D9D9D9"/>
          </w:tcPr>
          <w:p w14:paraId="3B644014" w14:textId="77777777" w:rsidR="002F5AFF" w:rsidRPr="004E13E9" w:rsidRDefault="002F5AFF" w:rsidP="00E62E84">
            <w:pPr>
              <w:rPr>
                <w:rFonts w:eastAsia="Times New Roman" w:cs="Calibri"/>
                <w:sz w:val="18"/>
                <w:szCs w:val="18"/>
                <w:lang w:eastAsia="ja-JP"/>
              </w:rPr>
            </w:pPr>
          </w:p>
        </w:tc>
        <w:tc>
          <w:tcPr>
            <w:tcW w:w="0" w:type="auto"/>
            <w:shd w:val="clear" w:color="auto" w:fill="D9D9D9"/>
            <w:vAlign w:val="center"/>
            <w:hideMark/>
          </w:tcPr>
          <w:p w14:paraId="0FFB17AF" w14:textId="77777777" w:rsidR="002F5AFF" w:rsidRPr="004E13E9" w:rsidRDefault="002F5AFF" w:rsidP="00E62E84">
            <w:pPr>
              <w:rPr>
                <w:rFonts w:eastAsia="Times New Roman" w:cs="Calibri"/>
                <w:sz w:val="18"/>
                <w:szCs w:val="18"/>
                <w:lang w:eastAsia="ja-JP"/>
              </w:rPr>
            </w:pPr>
          </w:p>
        </w:tc>
        <w:tc>
          <w:tcPr>
            <w:tcW w:w="0" w:type="auto"/>
            <w:shd w:val="clear" w:color="auto" w:fill="D9D9D9"/>
            <w:vAlign w:val="center"/>
            <w:hideMark/>
          </w:tcPr>
          <w:p w14:paraId="2EC854F0" w14:textId="77777777" w:rsidR="002F5AFF" w:rsidRPr="004E13E9" w:rsidRDefault="002F5AFF" w:rsidP="00E62E84">
            <w:pPr>
              <w:rPr>
                <w:rFonts w:eastAsia="Times New Roman" w:cs="Calibri"/>
                <w:sz w:val="18"/>
                <w:szCs w:val="18"/>
              </w:rPr>
            </w:pPr>
            <w:r w:rsidRPr="004E13E9">
              <w:rPr>
                <w:b/>
                <w:sz w:val="18"/>
                <w:szCs w:val="18"/>
              </w:rPr>
              <w:t>9,56</w:t>
            </w:r>
          </w:p>
        </w:tc>
        <w:tc>
          <w:tcPr>
            <w:tcW w:w="0" w:type="auto"/>
            <w:shd w:val="clear" w:color="auto" w:fill="D9D9D9"/>
            <w:vAlign w:val="center"/>
            <w:hideMark/>
          </w:tcPr>
          <w:p w14:paraId="566F5626" w14:textId="77777777" w:rsidR="002F5AFF" w:rsidRPr="004E13E9" w:rsidRDefault="002F5AFF" w:rsidP="00E62E84">
            <w:pPr>
              <w:rPr>
                <w:rFonts w:eastAsia="Times New Roman" w:cs="Calibri"/>
                <w:sz w:val="18"/>
                <w:szCs w:val="18"/>
              </w:rPr>
            </w:pPr>
            <w:r w:rsidRPr="004E13E9">
              <w:rPr>
                <w:b/>
                <w:sz w:val="18"/>
                <w:szCs w:val="18"/>
              </w:rPr>
              <w:t>140,08</w:t>
            </w:r>
          </w:p>
        </w:tc>
        <w:tc>
          <w:tcPr>
            <w:tcW w:w="0" w:type="auto"/>
            <w:shd w:val="clear" w:color="auto" w:fill="D9D9D9"/>
            <w:vAlign w:val="center"/>
            <w:hideMark/>
          </w:tcPr>
          <w:p w14:paraId="0848DD47" w14:textId="77777777" w:rsidR="002F5AFF" w:rsidRPr="004E13E9" w:rsidRDefault="002F5AFF" w:rsidP="00E62E84">
            <w:pPr>
              <w:rPr>
                <w:rFonts w:eastAsia="Times New Roman" w:cs="Calibri"/>
                <w:sz w:val="18"/>
                <w:szCs w:val="18"/>
              </w:rPr>
            </w:pPr>
            <w:r w:rsidRPr="004E13E9">
              <w:rPr>
                <w:b/>
                <w:sz w:val="18"/>
                <w:szCs w:val="18"/>
              </w:rPr>
              <w:t>127,3</w:t>
            </w:r>
          </w:p>
        </w:tc>
        <w:tc>
          <w:tcPr>
            <w:tcW w:w="0" w:type="auto"/>
            <w:shd w:val="clear" w:color="auto" w:fill="D9D9D9"/>
            <w:vAlign w:val="center"/>
            <w:hideMark/>
          </w:tcPr>
          <w:p w14:paraId="6E5DAEBA" w14:textId="77777777" w:rsidR="002F5AFF" w:rsidRPr="004E13E9" w:rsidRDefault="002F5AFF" w:rsidP="00E62E84">
            <w:pPr>
              <w:rPr>
                <w:rFonts w:eastAsia="Times New Roman" w:cs="Calibri"/>
                <w:sz w:val="18"/>
                <w:szCs w:val="18"/>
              </w:rPr>
            </w:pPr>
            <w:r w:rsidRPr="004E13E9">
              <w:rPr>
                <w:b/>
                <w:sz w:val="18"/>
                <w:szCs w:val="18"/>
              </w:rPr>
              <w:t>202,3</w:t>
            </w:r>
          </w:p>
        </w:tc>
        <w:tc>
          <w:tcPr>
            <w:tcW w:w="0" w:type="auto"/>
            <w:shd w:val="clear" w:color="auto" w:fill="D9D9D9"/>
            <w:vAlign w:val="center"/>
          </w:tcPr>
          <w:p w14:paraId="1B050FC8" w14:textId="77777777" w:rsidR="002F5AFF" w:rsidRPr="004E13E9" w:rsidRDefault="002F5AFF" w:rsidP="00E62E84">
            <w:pPr>
              <w:rPr>
                <w:rFonts w:eastAsia="Times New Roman" w:cs="Calibri"/>
                <w:sz w:val="18"/>
                <w:szCs w:val="18"/>
              </w:rPr>
            </w:pPr>
            <w:r w:rsidRPr="004E13E9">
              <w:rPr>
                <w:b/>
                <w:sz w:val="18"/>
                <w:szCs w:val="18"/>
              </w:rPr>
              <w:t>448,28</w:t>
            </w:r>
            <w:r w:rsidRPr="004E13E9">
              <w:rPr>
                <w:rStyle w:val="FootnoteReference"/>
                <w:rFonts w:eastAsia="Times New Roman" w:cs="Calibri"/>
                <w:b/>
                <w:bCs/>
                <w:sz w:val="18"/>
                <w:szCs w:val="18"/>
                <w:lang w:eastAsia="ja-JP"/>
              </w:rPr>
              <w:footnoteReference w:id="26"/>
            </w:r>
          </w:p>
        </w:tc>
      </w:tr>
    </w:tbl>
    <w:p w14:paraId="74A19BF3" w14:textId="77777777" w:rsidR="002F5AFF" w:rsidRPr="004E13E9" w:rsidRDefault="002F5AFF" w:rsidP="002F5AFF">
      <w:pPr>
        <w:rPr>
          <w:b/>
          <w:bCs/>
          <w:iCs/>
        </w:rPr>
      </w:pPr>
    </w:p>
    <w:p w14:paraId="76E8B222" w14:textId="77777777" w:rsidR="002F5AFF" w:rsidRPr="004E13E9" w:rsidRDefault="002F5AFF" w:rsidP="002F5AFF">
      <w:pPr>
        <w:sectPr w:rsidR="002F5AFF" w:rsidRPr="004E13E9" w:rsidSect="002F5AFF">
          <w:headerReference w:type="default" r:id="rId160"/>
          <w:footerReference w:type="default" r:id="rId161"/>
          <w:footnotePr>
            <w:numRestart w:val="eachSect"/>
          </w:footnotePr>
          <w:pgSz w:w="16838" w:h="11906" w:orient="landscape" w:code="9"/>
          <w:pgMar w:top="1418" w:right="1134" w:bottom="851" w:left="1418" w:header="851" w:footer="1134" w:gutter="0"/>
          <w:cols w:space="425"/>
          <w:docGrid w:linePitch="360"/>
        </w:sectPr>
      </w:pPr>
    </w:p>
    <w:p w14:paraId="5806C21A" w14:textId="77777777" w:rsidR="002F5AFF" w:rsidRPr="004E13E9" w:rsidRDefault="002F5AFF" w:rsidP="002F5AFF">
      <w:pPr>
        <w:jc w:val="center"/>
        <w:rPr>
          <w:b/>
          <w:lang w:val="fr-FR"/>
        </w:rPr>
      </w:pPr>
      <w:r w:rsidRPr="004E13E9">
        <w:rPr>
          <w:b/>
          <w:lang w:val="fr-FR"/>
        </w:rPr>
        <w:t>Liste des ports figurant dans le formulaire CP24</w:t>
      </w:r>
    </w:p>
    <w:p w14:paraId="1651541D" w14:textId="77777777" w:rsidR="002F5AFF" w:rsidRPr="004E13E9" w:rsidRDefault="002F5AFF" w:rsidP="002F5AFF">
      <w:pPr>
        <w:ind w:firstLine="708"/>
        <w:jc w:val="center"/>
        <w:rPr>
          <w:b/>
          <w:lang w:val="fr-FR"/>
        </w:rPr>
      </w:pPr>
      <w:bookmarkStart w:id="34" w:name="_Hlk127452617"/>
    </w:p>
    <w:tbl>
      <w:tblPr>
        <w:tblW w:w="2680" w:type="dxa"/>
        <w:jc w:val="center"/>
        <w:tblLook w:val="04A0" w:firstRow="1" w:lastRow="0" w:firstColumn="1" w:lastColumn="0" w:noHBand="0" w:noVBand="1"/>
      </w:tblPr>
      <w:tblGrid>
        <w:gridCol w:w="2680"/>
      </w:tblGrid>
      <w:tr w:rsidR="002F5AFF" w:rsidRPr="004E13E9" w14:paraId="33D4810C" w14:textId="77777777" w:rsidTr="00E62E84">
        <w:trPr>
          <w:trHeight w:val="282"/>
          <w:jc w:val="center"/>
        </w:trPr>
        <w:tc>
          <w:tcPr>
            <w:tcW w:w="2680" w:type="dxa"/>
            <w:tcBorders>
              <w:top w:val="nil"/>
              <w:left w:val="nil"/>
              <w:bottom w:val="nil"/>
              <w:right w:val="nil"/>
            </w:tcBorders>
            <w:shd w:val="clear" w:color="auto" w:fill="D9D9D9" w:themeFill="background1" w:themeFillShade="D9"/>
            <w:noWrap/>
            <w:vAlign w:val="bottom"/>
            <w:hideMark/>
          </w:tcPr>
          <w:p w14:paraId="491488E4" w14:textId="77777777" w:rsidR="002F5AFF" w:rsidRPr="004E13E9" w:rsidRDefault="002F5AFF" w:rsidP="00E62E84">
            <w:pPr>
              <w:rPr>
                <w:rFonts w:eastAsia="Times New Roman" w:cs="Calibri"/>
                <w:lang w:eastAsia="en-GB"/>
              </w:rPr>
            </w:pPr>
            <w:bookmarkStart w:id="35" w:name="_Hlk158297243"/>
            <w:r w:rsidRPr="004E13E9">
              <w:rPr>
                <w:rFonts w:eastAsia="Times New Roman" w:cs="Calibri"/>
                <w:lang w:eastAsia="en-GB"/>
              </w:rPr>
              <w:t>ANDENES</w:t>
            </w:r>
          </w:p>
        </w:tc>
      </w:tr>
      <w:tr w:rsidR="002F5AFF" w:rsidRPr="004E13E9" w14:paraId="713DA065" w14:textId="77777777" w:rsidTr="00E62E84">
        <w:trPr>
          <w:trHeight w:val="285"/>
          <w:jc w:val="center"/>
        </w:trPr>
        <w:tc>
          <w:tcPr>
            <w:tcW w:w="2680" w:type="dxa"/>
            <w:tcBorders>
              <w:top w:val="nil"/>
              <w:left w:val="nil"/>
              <w:bottom w:val="nil"/>
              <w:right w:val="nil"/>
            </w:tcBorders>
            <w:noWrap/>
            <w:vAlign w:val="bottom"/>
            <w:hideMark/>
          </w:tcPr>
          <w:p w14:paraId="7A678A9D" w14:textId="77777777" w:rsidR="002F5AFF" w:rsidRPr="004E13E9" w:rsidRDefault="002F5AFF" w:rsidP="00E62E84">
            <w:pPr>
              <w:rPr>
                <w:rFonts w:eastAsia="Times New Roman" w:cs="Calibri"/>
                <w:lang w:eastAsia="en-GB"/>
              </w:rPr>
            </w:pPr>
            <w:r w:rsidRPr="004E13E9">
              <w:rPr>
                <w:rFonts w:eastAsia="Times New Roman" w:cs="Calibri"/>
                <w:lang w:eastAsia="en-GB"/>
              </w:rPr>
              <w:t>ATLØY</w:t>
            </w:r>
          </w:p>
        </w:tc>
      </w:tr>
      <w:tr w:rsidR="002F5AFF" w:rsidRPr="004E13E9" w14:paraId="6641879D"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643F2A2A" w14:textId="77777777" w:rsidR="002F5AFF" w:rsidRPr="004E13E9" w:rsidRDefault="002F5AFF" w:rsidP="00E62E84">
            <w:pPr>
              <w:rPr>
                <w:rFonts w:eastAsia="Times New Roman" w:cs="Calibri"/>
                <w:lang w:eastAsia="en-GB"/>
              </w:rPr>
            </w:pPr>
            <w:r w:rsidRPr="004E13E9">
              <w:rPr>
                <w:rFonts w:eastAsia="Times New Roman" w:cs="Calibri"/>
                <w:lang w:eastAsia="en-GB"/>
              </w:rPr>
              <w:t>AUSTEVOLL</w:t>
            </w:r>
          </w:p>
        </w:tc>
      </w:tr>
      <w:tr w:rsidR="002F5AFF" w:rsidRPr="004E13E9" w14:paraId="4452790D" w14:textId="77777777" w:rsidTr="00E62E84">
        <w:trPr>
          <w:trHeight w:val="285"/>
          <w:jc w:val="center"/>
        </w:trPr>
        <w:tc>
          <w:tcPr>
            <w:tcW w:w="2680" w:type="dxa"/>
            <w:tcBorders>
              <w:top w:val="nil"/>
              <w:left w:val="nil"/>
              <w:bottom w:val="nil"/>
              <w:right w:val="nil"/>
            </w:tcBorders>
            <w:noWrap/>
            <w:vAlign w:val="bottom"/>
            <w:hideMark/>
          </w:tcPr>
          <w:p w14:paraId="7AFC83A0" w14:textId="77777777" w:rsidR="002F5AFF" w:rsidRPr="004E13E9" w:rsidRDefault="002F5AFF" w:rsidP="00E62E84">
            <w:pPr>
              <w:rPr>
                <w:rFonts w:eastAsia="Times New Roman" w:cs="Calibri"/>
                <w:lang w:eastAsia="en-GB"/>
              </w:rPr>
            </w:pPr>
            <w:r w:rsidRPr="004E13E9">
              <w:rPr>
                <w:rFonts w:eastAsia="Times New Roman" w:cs="Calibri"/>
                <w:lang w:eastAsia="en-GB"/>
              </w:rPr>
              <w:t>BODØ</w:t>
            </w:r>
          </w:p>
        </w:tc>
      </w:tr>
      <w:tr w:rsidR="002F5AFF" w:rsidRPr="004E13E9" w14:paraId="7084871F"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2AFABF2A" w14:textId="77777777" w:rsidR="002F5AFF" w:rsidRPr="004E13E9" w:rsidRDefault="002F5AFF" w:rsidP="00E62E84">
            <w:pPr>
              <w:rPr>
                <w:rFonts w:eastAsia="Times New Roman" w:cs="Calibri"/>
                <w:lang w:eastAsia="en-GB"/>
              </w:rPr>
            </w:pPr>
            <w:r w:rsidRPr="004E13E9">
              <w:rPr>
                <w:rFonts w:eastAsia="Times New Roman" w:cs="Calibri"/>
                <w:lang w:eastAsia="en-GB"/>
              </w:rPr>
              <w:t>BORG</w:t>
            </w:r>
          </w:p>
        </w:tc>
      </w:tr>
      <w:tr w:rsidR="002F5AFF" w:rsidRPr="004E13E9" w14:paraId="74717CFF" w14:textId="77777777" w:rsidTr="00E62E84">
        <w:trPr>
          <w:trHeight w:val="285"/>
          <w:jc w:val="center"/>
        </w:trPr>
        <w:tc>
          <w:tcPr>
            <w:tcW w:w="2680" w:type="dxa"/>
            <w:tcBorders>
              <w:top w:val="nil"/>
              <w:left w:val="nil"/>
              <w:bottom w:val="nil"/>
              <w:right w:val="nil"/>
            </w:tcBorders>
            <w:noWrap/>
            <w:vAlign w:val="bottom"/>
            <w:hideMark/>
          </w:tcPr>
          <w:p w14:paraId="27409A70" w14:textId="77777777" w:rsidR="002F5AFF" w:rsidRPr="004E13E9" w:rsidRDefault="002F5AFF" w:rsidP="00E62E84">
            <w:pPr>
              <w:rPr>
                <w:rFonts w:eastAsia="Times New Roman" w:cs="Calibri"/>
                <w:lang w:eastAsia="en-GB"/>
              </w:rPr>
            </w:pPr>
            <w:r w:rsidRPr="004E13E9">
              <w:rPr>
                <w:rFonts w:eastAsia="Times New Roman" w:cs="Calibri"/>
                <w:lang w:eastAsia="en-GB"/>
              </w:rPr>
              <w:t>BREIVIKA</w:t>
            </w:r>
          </w:p>
        </w:tc>
      </w:tr>
      <w:tr w:rsidR="002F5AFF" w:rsidRPr="004E13E9" w14:paraId="4F04F433"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40D53953" w14:textId="77777777" w:rsidR="002F5AFF" w:rsidRPr="004E13E9" w:rsidRDefault="002F5AFF" w:rsidP="00E62E84">
            <w:pPr>
              <w:rPr>
                <w:rFonts w:eastAsia="Times New Roman" w:cs="Calibri"/>
                <w:lang w:eastAsia="en-GB"/>
              </w:rPr>
            </w:pPr>
            <w:r w:rsidRPr="004E13E9">
              <w:rPr>
                <w:rFonts w:eastAsia="Times New Roman" w:cs="Calibri"/>
                <w:lang w:eastAsia="en-GB"/>
              </w:rPr>
              <w:t>BREMANGER</w:t>
            </w:r>
          </w:p>
        </w:tc>
      </w:tr>
      <w:tr w:rsidR="002F5AFF" w:rsidRPr="004E13E9" w14:paraId="3EE8B80C" w14:textId="77777777" w:rsidTr="00E62E84">
        <w:trPr>
          <w:trHeight w:val="285"/>
          <w:jc w:val="center"/>
        </w:trPr>
        <w:tc>
          <w:tcPr>
            <w:tcW w:w="2680" w:type="dxa"/>
            <w:tcBorders>
              <w:top w:val="nil"/>
              <w:left w:val="nil"/>
              <w:bottom w:val="nil"/>
              <w:right w:val="nil"/>
            </w:tcBorders>
            <w:noWrap/>
            <w:vAlign w:val="bottom"/>
            <w:hideMark/>
          </w:tcPr>
          <w:p w14:paraId="0C193A92" w14:textId="77777777" w:rsidR="002F5AFF" w:rsidRPr="004E13E9" w:rsidRDefault="002F5AFF" w:rsidP="00E62E84">
            <w:pPr>
              <w:rPr>
                <w:rFonts w:eastAsia="Times New Roman" w:cs="Calibri"/>
                <w:lang w:eastAsia="en-GB"/>
              </w:rPr>
            </w:pPr>
            <w:r w:rsidRPr="004E13E9">
              <w:rPr>
                <w:rFonts w:eastAsia="Times New Roman" w:cs="Calibri"/>
                <w:lang w:eastAsia="en-GB"/>
              </w:rPr>
              <w:t>BULANDET</w:t>
            </w:r>
          </w:p>
        </w:tc>
      </w:tr>
      <w:tr w:rsidR="002F5AFF" w:rsidRPr="004E13E9" w14:paraId="1A4788EF"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00E9895E" w14:textId="77777777" w:rsidR="002F5AFF" w:rsidRPr="004E13E9" w:rsidRDefault="002F5AFF" w:rsidP="00E62E84">
            <w:pPr>
              <w:rPr>
                <w:rFonts w:eastAsia="Times New Roman" w:cs="Calibri"/>
                <w:lang w:eastAsia="en-GB"/>
              </w:rPr>
            </w:pPr>
            <w:r w:rsidRPr="004E13E9">
              <w:rPr>
                <w:rFonts w:eastAsia="Times New Roman" w:cs="Calibri"/>
                <w:lang w:eastAsia="en-GB"/>
              </w:rPr>
              <w:t>BÅTSFJORD</w:t>
            </w:r>
          </w:p>
        </w:tc>
      </w:tr>
      <w:tr w:rsidR="002F5AFF" w:rsidRPr="004E13E9" w14:paraId="18C84450" w14:textId="77777777" w:rsidTr="00E62E84">
        <w:trPr>
          <w:trHeight w:val="285"/>
          <w:jc w:val="center"/>
        </w:trPr>
        <w:tc>
          <w:tcPr>
            <w:tcW w:w="2680" w:type="dxa"/>
            <w:tcBorders>
              <w:top w:val="nil"/>
              <w:left w:val="nil"/>
              <w:bottom w:val="nil"/>
              <w:right w:val="nil"/>
            </w:tcBorders>
            <w:noWrap/>
            <w:vAlign w:val="bottom"/>
            <w:hideMark/>
          </w:tcPr>
          <w:p w14:paraId="455CEBA0" w14:textId="77777777" w:rsidR="002F5AFF" w:rsidRPr="004E13E9" w:rsidRDefault="002F5AFF" w:rsidP="00E62E84">
            <w:pPr>
              <w:rPr>
                <w:rFonts w:eastAsia="Times New Roman" w:cs="Calibri"/>
                <w:lang w:eastAsia="en-GB"/>
              </w:rPr>
            </w:pPr>
            <w:r w:rsidRPr="004E13E9">
              <w:rPr>
                <w:rFonts w:eastAsia="Times New Roman" w:cs="Calibri"/>
                <w:lang w:eastAsia="en-GB"/>
              </w:rPr>
              <w:t>BØVÅGEN</w:t>
            </w:r>
          </w:p>
        </w:tc>
      </w:tr>
      <w:tr w:rsidR="002F5AFF" w:rsidRPr="004E13E9" w14:paraId="2A9C1D6F"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55F17180" w14:textId="77777777" w:rsidR="002F5AFF" w:rsidRPr="004E13E9" w:rsidRDefault="002F5AFF" w:rsidP="00E62E84">
            <w:pPr>
              <w:rPr>
                <w:rFonts w:eastAsia="Times New Roman" w:cs="Calibri"/>
                <w:lang w:eastAsia="en-GB"/>
              </w:rPr>
            </w:pPr>
            <w:r w:rsidRPr="004E13E9">
              <w:rPr>
                <w:rFonts w:eastAsia="Times New Roman" w:cs="Calibri"/>
                <w:lang w:eastAsia="en-GB"/>
              </w:rPr>
              <w:t>EGERSUND</w:t>
            </w:r>
          </w:p>
        </w:tc>
      </w:tr>
      <w:tr w:rsidR="002F5AFF" w:rsidRPr="004E13E9" w14:paraId="2AC03560" w14:textId="77777777" w:rsidTr="00E62E84">
        <w:trPr>
          <w:trHeight w:val="285"/>
          <w:jc w:val="center"/>
        </w:trPr>
        <w:tc>
          <w:tcPr>
            <w:tcW w:w="2680" w:type="dxa"/>
            <w:tcBorders>
              <w:top w:val="nil"/>
              <w:left w:val="nil"/>
              <w:bottom w:val="nil"/>
              <w:right w:val="nil"/>
            </w:tcBorders>
            <w:noWrap/>
            <w:vAlign w:val="bottom"/>
            <w:hideMark/>
          </w:tcPr>
          <w:p w14:paraId="4221EE4F" w14:textId="77777777" w:rsidR="002F5AFF" w:rsidRPr="004E13E9" w:rsidRDefault="002F5AFF" w:rsidP="00E62E84">
            <w:pPr>
              <w:rPr>
                <w:rFonts w:eastAsia="Times New Roman" w:cs="Calibri"/>
                <w:lang w:eastAsia="en-GB"/>
              </w:rPr>
            </w:pPr>
            <w:r w:rsidRPr="004E13E9">
              <w:rPr>
                <w:rFonts w:eastAsia="Times New Roman" w:cs="Calibri"/>
                <w:lang w:eastAsia="en-GB"/>
              </w:rPr>
              <w:t>ELLINGSØY</w:t>
            </w:r>
          </w:p>
        </w:tc>
      </w:tr>
      <w:tr w:rsidR="002F5AFF" w:rsidRPr="004E13E9" w14:paraId="00929795"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2ACC7433" w14:textId="77777777" w:rsidR="002F5AFF" w:rsidRPr="004E13E9" w:rsidRDefault="002F5AFF" w:rsidP="00E62E84">
            <w:pPr>
              <w:rPr>
                <w:rFonts w:eastAsia="Times New Roman" w:cs="Calibri"/>
                <w:lang w:eastAsia="en-GB"/>
              </w:rPr>
            </w:pPr>
            <w:r w:rsidRPr="004E13E9">
              <w:rPr>
                <w:rFonts w:eastAsia="Times New Roman" w:cs="Calibri"/>
                <w:lang w:eastAsia="en-GB"/>
              </w:rPr>
              <w:t>FISKARSTRAND</w:t>
            </w:r>
          </w:p>
        </w:tc>
      </w:tr>
      <w:tr w:rsidR="002F5AFF" w:rsidRPr="004E13E9" w14:paraId="7D5BDE6C" w14:textId="77777777" w:rsidTr="00E62E84">
        <w:trPr>
          <w:trHeight w:val="285"/>
          <w:jc w:val="center"/>
        </w:trPr>
        <w:tc>
          <w:tcPr>
            <w:tcW w:w="2680" w:type="dxa"/>
            <w:tcBorders>
              <w:top w:val="nil"/>
              <w:left w:val="nil"/>
              <w:bottom w:val="nil"/>
              <w:right w:val="nil"/>
            </w:tcBorders>
            <w:noWrap/>
            <w:vAlign w:val="bottom"/>
            <w:hideMark/>
          </w:tcPr>
          <w:p w14:paraId="12CDD472" w14:textId="77777777" w:rsidR="002F5AFF" w:rsidRPr="004E13E9" w:rsidRDefault="002F5AFF" w:rsidP="00E62E84">
            <w:pPr>
              <w:rPr>
                <w:rFonts w:eastAsia="Times New Roman" w:cs="Calibri"/>
                <w:lang w:eastAsia="en-GB"/>
              </w:rPr>
            </w:pPr>
            <w:r w:rsidRPr="004E13E9">
              <w:rPr>
                <w:rFonts w:eastAsia="Times New Roman" w:cs="Calibri"/>
                <w:lang w:eastAsia="en-GB"/>
              </w:rPr>
              <w:t>FLEKKERØY</w:t>
            </w:r>
          </w:p>
        </w:tc>
      </w:tr>
      <w:tr w:rsidR="002F5AFF" w:rsidRPr="004E13E9" w14:paraId="295EC67E"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4870C5BD" w14:textId="77777777" w:rsidR="002F5AFF" w:rsidRPr="004E13E9" w:rsidRDefault="002F5AFF" w:rsidP="00E62E84">
            <w:pPr>
              <w:rPr>
                <w:rFonts w:eastAsia="Times New Roman" w:cs="Calibri"/>
                <w:lang w:eastAsia="en-GB"/>
              </w:rPr>
            </w:pPr>
            <w:r w:rsidRPr="004E13E9">
              <w:rPr>
                <w:rFonts w:eastAsia="Times New Roman" w:cs="Calibri"/>
                <w:lang w:eastAsia="en-GB"/>
              </w:rPr>
              <w:t>FLEM</w:t>
            </w:r>
          </w:p>
        </w:tc>
      </w:tr>
      <w:tr w:rsidR="002F5AFF" w:rsidRPr="004E13E9" w14:paraId="56A07941" w14:textId="77777777" w:rsidTr="00E62E84">
        <w:trPr>
          <w:trHeight w:val="285"/>
          <w:jc w:val="center"/>
        </w:trPr>
        <w:tc>
          <w:tcPr>
            <w:tcW w:w="2680" w:type="dxa"/>
            <w:tcBorders>
              <w:top w:val="nil"/>
              <w:left w:val="nil"/>
              <w:bottom w:val="nil"/>
              <w:right w:val="nil"/>
            </w:tcBorders>
            <w:noWrap/>
            <w:vAlign w:val="bottom"/>
            <w:hideMark/>
          </w:tcPr>
          <w:p w14:paraId="33F199A7" w14:textId="77777777" w:rsidR="002F5AFF" w:rsidRPr="004E13E9" w:rsidRDefault="002F5AFF" w:rsidP="00E62E84">
            <w:pPr>
              <w:rPr>
                <w:rFonts w:eastAsia="Times New Roman" w:cs="Calibri"/>
                <w:lang w:eastAsia="en-GB"/>
              </w:rPr>
            </w:pPr>
            <w:r w:rsidRPr="004E13E9">
              <w:rPr>
                <w:rFonts w:eastAsia="Times New Roman" w:cs="Calibri"/>
                <w:lang w:eastAsia="en-GB"/>
              </w:rPr>
              <w:t>FLORØ</w:t>
            </w:r>
          </w:p>
        </w:tc>
      </w:tr>
      <w:tr w:rsidR="002F5AFF" w:rsidRPr="004E13E9" w14:paraId="1050787B"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6558876E" w14:textId="77777777" w:rsidR="002F5AFF" w:rsidRPr="004E13E9" w:rsidRDefault="002F5AFF" w:rsidP="00E62E84">
            <w:pPr>
              <w:rPr>
                <w:rFonts w:eastAsia="Times New Roman" w:cs="Calibri"/>
                <w:lang w:eastAsia="en-GB"/>
              </w:rPr>
            </w:pPr>
            <w:r w:rsidRPr="004E13E9">
              <w:rPr>
                <w:rFonts w:eastAsia="Times New Roman" w:cs="Calibri"/>
                <w:lang w:eastAsia="en-GB"/>
              </w:rPr>
              <w:t>FOSNAVÅG</w:t>
            </w:r>
          </w:p>
        </w:tc>
      </w:tr>
      <w:tr w:rsidR="002F5AFF" w:rsidRPr="004E13E9" w14:paraId="55459C48" w14:textId="77777777" w:rsidTr="00E62E84">
        <w:trPr>
          <w:trHeight w:val="285"/>
          <w:jc w:val="center"/>
        </w:trPr>
        <w:tc>
          <w:tcPr>
            <w:tcW w:w="2680" w:type="dxa"/>
            <w:tcBorders>
              <w:top w:val="nil"/>
              <w:left w:val="nil"/>
              <w:bottom w:val="nil"/>
              <w:right w:val="nil"/>
            </w:tcBorders>
            <w:noWrap/>
            <w:vAlign w:val="bottom"/>
            <w:hideMark/>
          </w:tcPr>
          <w:p w14:paraId="7A2AC146" w14:textId="77777777" w:rsidR="002F5AFF" w:rsidRPr="004E13E9" w:rsidRDefault="002F5AFF" w:rsidP="00E62E84">
            <w:pPr>
              <w:rPr>
                <w:rFonts w:eastAsia="Times New Roman" w:cs="Calibri"/>
                <w:lang w:eastAsia="en-GB"/>
              </w:rPr>
            </w:pPr>
            <w:r w:rsidRPr="004E13E9">
              <w:rPr>
                <w:rFonts w:eastAsia="Times New Roman" w:cs="Calibri"/>
                <w:lang w:eastAsia="en-GB"/>
              </w:rPr>
              <w:t>GLESVAER</w:t>
            </w:r>
          </w:p>
        </w:tc>
      </w:tr>
      <w:tr w:rsidR="002F5AFF" w:rsidRPr="004E13E9" w14:paraId="2F928989"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6A8947C0" w14:textId="77777777" w:rsidR="002F5AFF" w:rsidRPr="004E13E9" w:rsidRDefault="002F5AFF" w:rsidP="00E62E84">
            <w:pPr>
              <w:rPr>
                <w:rFonts w:eastAsia="Times New Roman" w:cs="Calibri"/>
                <w:lang w:eastAsia="en-GB"/>
              </w:rPr>
            </w:pPr>
            <w:r w:rsidRPr="004E13E9">
              <w:rPr>
                <w:rFonts w:eastAsia="Times New Roman" w:cs="Calibri"/>
                <w:lang w:eastAsia="en-GB"/>
              </w:rPr>
              <w:t>GOTTEBERG</w:t>
            </w:r>
          </w:p>
        </w:tc>
      </w:tr>
      <w:tr w:rsidR="002F5AFF" w:rsidRPr="004E13E9" w14:paraId="29BD8D47" w14:textId="77777777" w:rsidTr="00E62E84">
        <w:trPr>
          <w:trHeight w:val="285"/>
          <w:jc w:val="center"/>
        </w:trPr>
        <w:tc>
          <w:tcPr>
            <w:tcW w:w="2680" w:type="dxa"/>
            <w:tcBorders>
              <w:top w:val="nil"/>
              <w:left w:val="nil"/>
              <w:bottom w:val="nil"/>
              <w:right w:val="nil"/>
            </w:tcBorders>
            <w:noWrap/>
            <w:vAlign w:val="bottom"/>
            <w:hideMark/>
          </w:tcPr>
          <w:p w14:paraId="23B31F1E" w14:textId="77777777" w:rsidR="002F5AFF" w:rsidRPr="004E13E9" w:rsidRDefault="002F5AFF" w:rsidP="00E62E84">
            <w:pPr>
              <w:rPr>
                <w:rFonts w:eastAsia="Times New Roman" w:cs="Calibri"/>
                <w:lang w:eastAsia="en-GB"/>
              </w:rPr>
            </w:pPr>
            <w:r w:rsidRPr="004E13E9">
              <w:rPr>
                <w:rFonts w:eastAsia="Times New Roman" w:cs="Calibri"/>
                <w:lang w:eastAsia="en-GB"/>
              </w:rPr>
              <w:t>GUNHILDVÅGEN</w:t>
            </w:r>
          </w:p>
        </w:tc>
      </w:tr>
      <w:tr w:rsidR="002F5AFF" w:rsidRPr="004E13E9" w14:paraId="579B885F"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67E1AC4A" w14:textId="77777777" w:rsidR="002F5AFF" w:rsidRPr="004E13E9" w:rsidRDefault="002F5AFF" w:rsidP="00E62E84">
            <w:pPr>
              <w:rPr>
                <w:rFonts w:eastAsia="Times New Roman" w:cs="Calibri"/>
                <w:lang w:eastAsia="en-GB"/>
              </w:rPr>
            </w:pPr>
            <w:r w:rsidRPr="004E13E9">
              <w:rPr>
                <w:rFonts w:eastAsia="Times New Roman" w:cs="Calibri"/>
                <w:lang w:eastAsia="en-GB"/>
              </w:rPr>
              <w:t>HAMMERFEST</w:t>
            </w:r>
          </w:p>
        </w:tc>
      </w:tr>
      <w:tr w:rsidR="002F5AFF" w:rsidRPr="004E13E9" w14:paraId="0CA720C9" w14:textId="77777777" w:rsidTr="00E62E84">
        <w:trPr>
          <w:trHeight w:val="285"/>
          <w:jc w:val="center"/>
        </w:trPr>
        <w:tc>
          <w:tcPr>
            <w:tcW w:w="2680" w:type="dxa"/>
            <w:tcBorders>
              <w:top w:val="nil"/>
              <w:left w:val="nil"/>
              <w:bottom w:val="nil"/>
              <w:right w:val="nil"/>
            </w:tcBorders>
            <w:noWrap/>
            <w:vAlign w:val="bottom"/>
            <w:hideMark/>
          </w:tcPr>
          <w:p w14:paraId="04CB7729" w14:textId="77777777" w:rsidR="002F5AFF" w:rsidRPr="004E13E9" w:rsidRDefault="002F5AFF" w:rsidP="00E62E84">
            <w:pPr>
              <w:rPr>
                <w:rFonts w:eastAsia="Times New Roman" w:cs="Calibri"/>
                <w:lang w:eastAsia="en-GB"/>
              </w:rPr>
            </w:pPr>
            <w:r w:rsidRPr="004E13E9">
              <w:rPr>
                <w:rFonts w:eastAsia="Times New Roman" w:cs="Calibri"/>
                <w:lang w:eastAsia="en-GB"/>
              </w:rPr>
              <w:t>HARSTAD</w:t>
            </w:r>
          </w:p>
        </w:tc>
      </w:tr>
      <w:tr w:rsidR="002F5AFF" w:rsidRPr="004E13E9" w14:paraId="086CEFE5"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02A17E0A" w14:textId="77777777" w:rsidR="002F5AFF" w:rsidRPr="004E13E9" w:rsidRDefault="002F5AFF" w:rsidP="00E62E84">
            <w:pPr>
              <w:rPr>
                <w:rFonts w:eastAsia="Times New Roman" w:cs="Calibri"/>
                <w:lang w:eastAsia="en-GB"/>
              </w:rPr>
            </w:pPr>
            <w:r w:rsidRPr="004E13E9">
              <w:rPr>
                <w:rFonts w:eastAsia="Times New Roman" w:cs="Calibri"/>
                <w:lang w:eastAsia="en-GB"/>
              </w:rPr>
              <w:t>HARØYSUND</w:t>
            </w:r>
          </w:p>
        </w:tc>
      </w:tr>
      <w:tr w:rsidR="002F5AFF" w:rsidRPr="004E13E9" w14:paraId="535D064D" w14:textId="77777777" w:rsidTr="00E62E84">
        <w:trPr>
          <w:trHeight w:val="285"/>
          <w:jc w:val="center"/>
        </w:trPr>
        <w:tc>
          <w:tcPr>
            <w:tcW w:w="2680" w:type="dxa"/>
            <w:tcBorders>
              <w:top w:val="nil"/>
              <w:left w:val="nil"/>
              <w:bottom w:val="nil"/>
              <w:right w:val="nil"/>
            </w:tcBorders>
            <w:noWrap/>
            <w:vAlign w:val="bottom"/>
            <w:hideMark/>
          </w:tcPr>
          <w:p w14:paraId="563BE8C1" w14:textId="77777777" w:rsidR="002F5AFF" w:rsidRPr="004E13E9" w:rsidRDefault="002F5AFF" w:rsidP="00E62E84">
            <w:pPr>
              <w:rPr>
                <w:rFonts w:eastAsia="Times New Roman" w:cs="Calibri"/>
                <w:lang w:eastAsia="en-GB"/>
              </w:rPr>
            </w:pPr>
            <w:r w:rsidRPr="004E13E9">
              <w:rPr>
                <w:rFonts w:eastAsia="Times New Roman" w:cs="Calibri"/>
                <w:lang w:eastAsia="en-GB"/>
              </w:rPr>
              <w:t>HESTØYA</w:t>
            </w:r>
          </w:p>
        </w:tc>
      </w:tr>
      <w:tr w:rsidR="002F5AFF" w:rsidRPr="004E13E9" w14:paraId="2C65936B"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32C78C7E" w14:textId="77777777" w:rsidR="002F5AFF" w:rsidRPr="004E13E9" w:rsidRDefault="002F5AFF" w:rsidP="00E62E84">
            <w:pPr>
              <w:rPr>
                <w:rFonts w:eastAsia="Times New Roman" w:cs="Calibri"/>
                <w:lang w:eastAsia="en-GB"/>
              </w:rPr>
            </w:pPr>
            <w:r w:rsidRPr="004E13E9">
              <w:rPr>
                <w:rFonts w:eastAsia="Times New Roman" w:cs="Calibri"/>
                <w:lang w:eastAsia="en-GB"/>
              </w:rPr>
              <w:t>HJØRUNGAVÅG</w:t>
            </w:r>
          </w:p>
        </w:tc>
      </w:tr>
      <w:tr w:rsidR="002F5AFF" w:rsidRPr="004E13E9" w14:paraId="42435644" w14:textId="77777777" w:rsidTr="00E62E84">
        <w:trPr>
          <w:trHeight w:val="285"/>
          <w:jc w:val="center"/>
        </w:trPr>
        <w:tc>
          <w:tcPr>
            <w:tcW w:w="2680" w:type="dxa"/>
            <w:tcBorders>
              <w:top w:val="nil"/>
              <w:left w:val="nil"/>
              <w:bottom w:val="nil"/>
              <w:right w:val="nil"/>
            </w:tcBorders>
            <w:noWrap/>
            <w:vAlign w:val="bottom"/>
            <w:hideMark/>
          </w:tcPr>
          <w:p w14:paraId="4FD53AF3" w14:textId="77777777" w:rsidR="002F5AFF" w:rsidRPr="004E13E9" w:rsidRDefault="002F5AFF" w:rsidP="00E62E84">
            <w:pPr>
              <w:rPr>
                <w:rFonts w:eastAsia="Times New Roman" w:cs="Calibri"/>
                <w:lang w:eastAsia="en-GB"/>
              </w:rPr>
            </w:pPr>
            <w:r w:rsidRPr="004E13E9">
              <w:rPr>
                <w:rFonts w:eastAsia="Times New Roman" w:cs="Calibri"/>
                <w:lang w:eastAsia="en-GB"/>
              </w:rPr>
              <w:t>HONNINGSVÅG</w:t>
            </w:r>
          </w:p>
        </w:tc>
      </w:tr>
      <w:tr w:rsidR="002F5AFF" w:rsidRPr="004E13E9" w14:paraId="46362436"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2C514E50" w14:textId="77777777" w:rsidR="002F5AFF" w:rsidRPr="004E13E9" w:rsidRDefault="002F5AFF" w:rsidP="00E62E84">
            <w:pPr>
              <w:rPr>
                <w:rFonts w:eastAsia="Times New Roman" w:cs="Calibri"/>
                <w:lang w:eastAsia="en-GB"/>
              </w:rPr>
            </w:pPr>
            <w:r w:rsidRPr="004E13E9">
              <w:rPr>
                <w:rFonts w:eastAsia="Times New Roman" w:cs="Calibri"/>
                <w:lang w:eastAsia="en-GB"/>
              </w:rPr>
              <w:t xml:space="preserve">HUSØY KARMØY </w:t>
            </w:r>
          </w:p>
        </w:tc>
      </w:tr>
      <w:tr w:rsidR="002F5AFF" w:rsidRPr="004E13E9" w14:paraId="00F55DEF" w14:textId="77777777" w:rsidTr="00E62E84">
        <w:trPr>
          <w:trHeight w:val="285"/>
          <w:jc w:val="center"/>
        </w:trPr>
        <w:tc>
          <w:tcPr>
            <w:tcW w:w="2680" w:type="dxa"/>
            <w:tcBorders>
              <w:top w:val="nil"/>
              <w:left w:val="nil"/>
              <w:bottom w:val="nil"/>
              <w:right w:val="nil"/>
            </w:tcBorders>
            <w:noWrap/>
            <w:vAlign w:val="bottom"/>
            <w:hideMark/>
          </w:tcPr>
          <w:p w14:paraId="2617FA98" w14:textId="77777777" w:rsidR="002F5AFF" w:rsidRPr="004E13E9" w:rsidRDefault="002F5AFF" w:rsidP="00E62E84">
            <w:pPr>
              <w:rPr>
                <w:rFonts w:eastAsia="Times New Roman" w:cs="Calibri"/>
                <w:lang w:eastAsia="en-GB"/>
              </w:rPr>
            </w:pPr>
            <w:r w:rsidRPr="004E13E9">
              <w:rPr>
                <w:rFonts w:eastAsia="Times New Roman" w:cs="Calibri"/>
                <w:lang w:eastAsia="en-GB"/>
              </w:rPr>
              <w:t>VALER</w:t>
            </w:r>
          </w:p>
        </w:tc>
      </w:tr>
      <w:tr w:rsidR="002F5AFF" w:rsidRPr="004E13E9" w14:paraId="761E517B"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60213C97" w14:textId="77777777" w:rsidR="002F5AFF" w:rsidRPr="004E13E9" w:rsidRDefault="002F5AFF" w:rsidP="00E62E84">
            <w:pPr>
              <w:rPr>
                <w:rFonts w:eastAsia="Times New Roman" w:cs="Calibri"/>
                <w:lang w:eastAsia="en-GB"/>
              </w:rPr>
            </w:pPr>
            <w:r w:rsidRPr="004E13E9">
              <w:rPr>
                <w:rFonts w:eastAsia="Times New Roman" w:cs="Calibri"/>
                <w:lang w:eastAsia="en-GB"/>
              </w:rPr>
              <w:t>KALVÅG</w:t>
            </w:r>
          </w:p>
        </w:tc>
      </w:tr>
      <w:tr w:rsidR="002F5AFF" w:rsidRPr="004E13E9" w14:paraId="2FECD52D" w14:textId="77777777" w:rsidTr="00E62E84">
        <w:trPr>
          <w:trHeight w:val="285"/>
          <w:jc w:val="center"/>
        </w:trPr>
        <w:tc>
          <w:tcPr>
            <w:tcW w:w="2680" w:type="dxa"/>
            <w:tcBorders>
              <w:top w:val="nil"/>
              <w:left w:val="nil"/>
              <w:bottom w:val="nil"/>
              <w:right w:val="nil"/>
            </w:tcBorders>
            <w:noWrap/>
            <w:vAlign w:val="bottom"/>
            <w:hideMark/>
          </w:tcPr>
          <w:p w14:paraId="0428E52E" w14:textId="77777777" w:rsidR="002F5AFF" w:rsidRPr="004E13E9" w:rsidRDefault="002F5AFF" w:rsidP="00E62E84">
            <w:pPr>
              <w:rPr>
                <w:rFonts w:eastAsia="Times New Roman" w:cs="Calibri"/>
                <w:lang w:eastAsia="en-GB"/>
              </w:rPr>
            </w:pPr>
            <w:r w:rsidRPr="004E13E9">
              <w:rPr>
                <w:rFonts w:eastAsia="Times New Roman" w:cs="Calibri"/>
                <w:lang w:eastAsia="en-GB"/>
              </w:rPr>
              <w:t>KARMSUND</w:t>
            </w:r>
          </w:p>
        </w:tc>
      </w:tr>
      <w:tr w:rsidR="002F5AFF" w:rsidRPr="004E13E9" w14:paraId="3E192211"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2BBAF36B" w14:textId="77777777" w:rsidR="002F5AFF" w:rsidRPr="004E13E9" w:rsidRDefault="002F5AFF" w:rsidP="00E62E84">
            <w:pPr>
              <w:rPr>
                <w:rFonts w:eastAsia="Times New Roman" w:cs="Calibri"/>
                <w:lang w:eastAsia="en-GB"/>
              </w:rPr>
            </w:pPr>
            <w:r w:rsidRPr="004E13E9">
              <w:rPr>
                <w:rFonts w:eastAsia="Times New Roman" w:cs="Calibri"/>
                <w:lang w:eastAsia="en-GB"/>
              </w:rPr>
              <w:t>KARMØY</w:t>
            </w:r>
          </w:p>
        </w:tc>
      </w:tr>
      <w:tr w:rsidR="002F5AFF" w:rsidRPr="004E13E9" w14:paraId="681D79EC" w14:textId="77777777" w:rsidTr="00E62E84">
        <w:trPr>
          <w:trHeight w:val="285"/>
          <w:jc w:val="center"/>
        </w:trPr>
        <w:tc>
          <w:tcPr>
            <w:tcW w:w="2680" w:type="dxa"/>
            <w:tcBorders>
              <w:top w:val="nil"/>
              <w:left w:val="nil"/>
              <w:bottom w:val="nil"/>
              <w:right w:val="nil"/>
            </w:tcBorders>
            <w:noWrap/>
            <w:vAlign w:val="bottom"/>
            <w:hideMark/>
          </w:tcPr>
          <w:p w14:paraId="653CC9FA" w14:textId="77777777" w:rsidR="002F5AFF" w:rsidRPr="004E13E9" w:rsidRDefault="002F5AFF" w:rsidP="00E62E84">
            <w:pPr>
              <w:rPr>
                <w:rFonts w:eastAsia="Times New Roman" w:cs="Calibri"/>
                <w:lang w:eastAsia="en-GB"/>
              </w:rPr>
            </w:pPr>
            <w:r w:rsidRPr="004E13E9">
              <w:rPr>
                <w:rFonts w:eastAsia="Times New Roman" w:cs="Calibri"/>
                <w:lang w:eastAsia="en-GB"/>
              </w:rPr>
              <w:t>KIRKENES</w:t>
            </w:r>
          </w:p>
        </w:tc>
      </w:tr>
      <w:tr w:rsidR="002F5AFF" w:rsidRPr="004E13E9" w14:paraId="7051C6A5"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4DDB4779" w14:textId="77777777" w:rsidR="002F5AFF" w:rsidRPr="004E13E9" w:rsidRDefault="002F5AFF" w:rsidP="00E62E84">
            <w:pPr>
              <w:rPr>
                <w:rFonts w:eastAsia="Times New Roman" w:cs="Calibri"/>
                <w:lang w:eastAsia="en-GB"/>
              </w:rPr>
            </w:pPr>
            <w:r w:rsidRPr="004E13E9">
              <w:rPr>
                <w:rFonts w:eastAsia="Times New Roman" w:cs="Calibri"/>
                <w:lang w:eastAsia="en-GB"/>
              </w:rPr>
              <w:t>KJØLLEFJORD</w:t>
            </w:r>
          </w:p>
        </w:tc>
      </w:tr>
      <w:tr w:rsidR="002F5AFF" w:rsidRPr="004E13E9" w14:paraId="57756B43" w14:textId="77777777" w:rsidTr="00E62E84">
        <w:trPr>
          <w:trHeight w:val="285"/>
          <w:jc w:val="center"/>
        </w:trPr>
        <w:tc>
          <w:tcPr>
            <w:tcW w:w="2680" w:type="dxa"/>
            <w:tcBorders>
              <w:top w:val="nil"/>
              <w:left w:val="nil"/>
              <w:bottom w:val="nil"/>
              <w:right w:val="nil"/>
            </w:tcBorders>
            <w:noWrap/>
            <w:vAlign w:val="bottom"/>
            <w:hideMark/>
          </w:tcPr>
          <w:p w14:paraId="0C3E920B" w14:textId="77777777" w:rsidR="002F5AFF" w:rsidRPr="004E13E9" w:rsidRDefault="002F5AFF" w:rsidP="00E62E84">
            <w:pPr>
              <w:rPr>
                <w:rFonts w:eastAsia="Times New Roman" w:cs="Calibri"/>
                <w:lang w:eastAsia="en-GB"/>
              </w:rPr>
            </w:pPr>
            <w:r w:rsidRPr="004E13E9">
              <w:rPr>
                <w:rFonts w:eastAsia="Times New Roman" w:cs="Calibri"/>
                <w:lang w:eastAsia="en-GB"/>
              </w:rPr>
              <w:t>KRISTIANSUND</w:t>
            </w:r>
          </w:p>
        </w:tc>
      </w:tr>
      <w:tr w:rsidR="002F5AFF" w:rsidRPr="004E13E9" w14:paraId="0C520083"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4EA0DD2E" w14:textId="77777777" w:rsidR="002F5AFF" w:rsidRPr="004E13E9" w:rsidRDefault="002F5AFF" w:rsidP="00E62E84">
            <w:pPr>
              <w:rPr>
                <w:rFonts w:eastAsia="Times New Roman" w:cs="Calibri"/>
                <w:lang w:eastAsia="en-GB"/>
              </w:rPr>
            </w:pPr>
            <w:r w:rsidRPr="004E13E9">
              <w:rPr>
                <w:rFonts w:eastAsia="Times New Roman" w:cs="Calibri"/>
                <w:lang w:eastAsia="en-GB"/>
              </w:rPr>
              <w:t>KRISTIANSAND</w:t>
            </w:r>
          </w:p>
        </w:tc>
      </w:tr>
      <w:tr w:rsidR="002F5AFF" w:rsidRPr="004E13E9" w14:paraId="7727B1DB" w14:textId="77777777" w:rsidTr="00E62E84">
        <w:trPr>
          <w:trHeight w:val="285"/>
          <w:jc w:val="center"/>
        </w:trPr>
        <w:tc>
          <w:tcPr>
            <w:tcW w:w="2680" w:type="dxa"/>
            <w:tcBorders>
              <w:top w:val="nil"/>
              <w:left w:val="nil"/>
              <w:bottom w:val="nil"/>
              <w:right w:val="nil"/>
            </w:tcBorders>
            <w:noWrap/>
            <w:vAlign w:val="bottom"/>
            <w:hideMark/>
          </w:tcPr>
          <w:p w14:paraId="40EA4A0D" w14:textId="77777777" w:rsidR="002F5AFF" w:rsidRPr="004E13E9" w:rsidRDefault="002F5AFF" w:rsidP="00E62E84">
            <w:pPr>
              <w:rPr>
                <w:rFonts w:eastAsia="Times New Roman" w:cs="Calibri"/>
                <w:lang w:eastAsia="en-GB"/>
              </w:rPr>
            </w:pPr>
            <w:r w:rsidRPr="004E13E9">
              <w:rPr>
                <w:rFonts w:eastAsia="Times New Roman" w:cs="Calibri"/>
                <w:lang w:eastAsia="en-GB"/>
              </w:rPr>
              <w:t>KÅRVIK/KÅRVIKHAMN</w:t>
            </w:r>
          </w:p>
        </w:tc>
      </w:tr>
      <w:tr w:rsidR="002F5AFF" w:rsidRPr="004E13E9" w14:paraId="31671F47"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48DF164B" w14:textId="77777777" w:rsidR="002F5AFF" w:rsidRPr="004E13E9" w:rsidRDefault="002F5AFF" w:rsidP="00E62E84">
            <w:pPr>
              <w:rPr>
                <w:rFonts w:eastAsia="Times New Roman" w:cs="Calibri"/>
                <w:lang w:eastAsia="en-GB"/>
              </w:rPr>
            </w:pPr>
            <w:r w:rsidRPr="004E13E9">
              <w:rPr>
                <w:rFonts w:eastAsia="Times New Roman" w:cs="Calibri"/>
                <w:lang w:eastAsia="en-GB"/>
              </w:rPr>
              <w:t>KÅRVIKHAMN</w:t>
            </w:r>
          </w:p>
        </w:tc>
      </w:tr>
      <w:tr w:rsidR="002F5AFF" w:rsidRPr="004E13E9" w14:paraId="79279A46" w14:textId="77777777" w:rsidTr="00E62E84">
        <w:trPr>
          <w:trHeight w:val="285"/>
          <w:jc w:val="center"/>
        </w:trPr>
        <w:tc>
          <w:tcPr>
            <w:tcW w:w="2680" w:type="dxa"/>
            <w:tcBorders>
              <w:top w:val="nil"/>
              <w:left w:val="nil"/>
              <w:bottom w:val="nil"/>
              <w:right w:val="nil"/>
            </w:tcBorders>
            <w:noWrap/>
            <w:vAlign w:val="bottom"/>
            <w:hideMark/>
          </w:tcPr>
          <w:p w14:paraId="5C27AD13" w14:textId="77777777" w:rsidR="002F5AFF" w:rsidRPr="004E13E9" w:rsidRDefault="002F5AFF" w:rsidP="00E62E84">
            <w:pPr>
              <w:rPr>
                <w:rFonts w:eastAsia="Times New Roman" w:cs="Calibri"/>
                <w:lang w:eastAsia="en-GB"/>
              </w:rPr>
            </w:pPr>
            <w:r w:rsidRPr="004E13E9">
              <w:rPr>
                <w:rFonts w:eastAsia="Times New Roman" w:cs="Calibri"/>
                <w:lang w:eastAsia="en-GB"/>
              </w:rPr>
              <w:t>LARVIK</w:t>
            </w:r>
          </w:p>
        </w:tc>
      </w:tr>
      <w:tr w:rsidR="002F5AFF" w:rsidRPr="004E13E9" w14:paraId="322AC9D8"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7F56709A" w14:textId="77777777" w:rsidR="002F5AFF" w:rsidRPr="004E13E9" w:rsidRDefault="002F5AFF" w:rsidP="00E62E84">
            <w:pPr>
              <w:rPr>
                <w:rFonts w:eastAsia="Times New Roman" w:cs="Calibri"/>
                <w:lang w:eastAsia="en-GB"/>
              </w:rPr>
            </w:pPr>
            <w:r w:rsidRPr="004E13E9">
              <w:rPr>
                <w:rFonts w:eastAsia="Times New Roman" w:cs="Calibri"/>
                <w:lang w:eastAsia="en-GB"/>
              </w:rPr>
              <w:t>LEIRVIK</w:t>
            </w:r>
          </w:p>
        </w:tc>
      </w:tr>
      <w:tr w:rsidR="002F5AFF" w:rsidRPr="004E13E9" w14:paraId="1F7CEC46" w14:textId="77777777" w:rsidTr="00E62E84">
        <w:trPr>
          <w:trHeight w:val="285"/>
          <w:jc w:val="center"/>
        </w:trPr>
        <w:tc>
          <w:tcPr>
            <w:tcW w:w="2680" w:type="dxa"/>
            <w:tcBorders>
              <w:top w:val="nil"/>
              <w:left w:val="nil"/>
              <w:bottom w:val="nil"/>
              <w:right w:val="nil"/>
            </w:tcBorders>
            <w:noWrap/>
            <w:vAlign w:val="bottom"/>
            <w:hideMark/>
          </w:tcPr>
          <w:p w14:paraId="2E8E2DB9" w14:textId="77777777" w:rsidR="002F5AFF" w:rsidRPr="004E13E9" w:rsidRDefault="002F5AFF" w:rsidP="00E62E84">
            <w:pPr>
              <w:rPr>
                <w:rFonts w:eastAsia="Times New Roman" w:cs="Calibri"/>
                <w:lang w:eastAsia="en-GB"/>
              </w:rPr>
            </w:pPr>
            <w:r w:rsidRPr="004E13E9">
              <w:rPr>
                <w:rFonts w:eastAsia="Times New Roman" w:cs="Calibri"/>
                <w:lang w:eastAsia="en-GB"/>
              </w:rPr>
              <w:t>LEKNES (LOFOTTERMINALEN)</w:t>
            </w:r>
          </w:p>
        </w:tc>
      </w:tr>
      <w:tr w:rsidR="002F5AFF" w:rsidRPr="004E13E9" w14:paraId="6CF5FBF7"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1680F9A5" w14:textId="77777777" w:rsidR="002F5AFF" w:rsidRPr="004E13E9" w:rsidRDefault="002F5AFF" w:rsidP="00E62E84">
            <w:pPr>
              <w:rPr>
                <w:rFonts w:eastAsia="Times New Roman" w:cs="Calibri"/>
                <w:lang w:eastAsia="en-GB"/>
              </w:rPr>
            </w:pPr>
            <w:r w:rsidRPr="004E13E9">
              <w:rPr>
                <w:rFonts w:eastAsia="Times New Roman" w:cs="Calibri"/>
                <w:lang w:eastAsia="en-GB"/>
              </w:rPr>
              <w:t>LIAVÅGEN</w:t>
            </w:r>
          </w:p>
        </w:tc>
      </w:tr>
      <w:tr w:rsidR="002F5AFF" w:rsidRPr="004E13E9" w14:paraId="53AC5EAD" w14:textId="77777777" w:rsidTr="00E62E84">
        <w:trPr>
          <w:trHeight w:val="285"/>
          <w:jc w:val="center"/>
        </w:trPr>
        <w:tc>
          <w:tcPr>
            <w:tcW w:w="2680" w:type="dxa"/>
            <w:tcBorders>
              <w:top w:val="nil"/>
              <w:left w:val="nil"/>
              <w:bottom w:val="nil"/>
              <w:right w:val="nil"/>
            </w:tcBorders>
            <w:noWrap/>
            <w:vAlign w:val="bottom"/>
            <w:hideMark/>
          </w:tcPr>
          <w:p w14:paraId="33D02872" w14:textId="77777777" w:rsidR="002F5AFF" w:rsidRPr="004E13E9" w:rsidRDefault="002F5AFF" w:rsidP="00E62E84">
            <w:pPr>
              <w:rPr>
                <w:rFonts w:eastAsia="Times New Roman" w:cs="Calibri"/>
                <w:lang w:eastAsia="en-GB"/>
              </w:rPr>
            </w:pPr>
            <w:r w:rsidRPr="004E13E9">
              <w:rPr>
                <w:rFonts w:eastAsia="Times New Roman" w:cs="Calibri"/>
                <w:lang w:eastAsia="en-GB"/>
              </w:rPr>
              <w:t>LØDINGEN</w:t>
            </w:r>
          </w:p>
        </w:tc>
      </w:tr>
      <w:tr w:rsidR="002F5AFF" w:rsidRPr="004E13E9" w14:paraId="50907FC5"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16B8F4B5" w14:textId="77777777" w:rsidR="002F5AFF" w:rsidRPr="004E13E9" w:rsidRDefault="002F5AFF" w:rsidP="00E62E84">
            <w:pPr>
              <w:rPr>
                <w:rFonts w:eastAsia="Times New Roman" w:cs="Calibri"/>
                <w:lang w:eastAsia="en-GB"/>
              </w:rPr>
            </w:pPr>
            <w:r w:rsidRPr="004E13E9">
              <w:rPr>
                <w:rFonts w:eastAsia="Times New Roman" w:cs="Calibri"/>
                <w:lang w:eastAsia="en-GB"/>
              </w:rPr>
              <w:t>MELBU</w:t>
            </w:r>
          </w:p>
        </w:tc>
      </w:tr>
      <w:tr w:rsidR="002F5AFF" w:rsidRPr="004E13E9" w14:paraId="76A8E0BB" w14:textId="77777777" w:rsidTr="00E62E84">
        <w:trPr>
          <w:trHeight w:val="285"/>
          <w:jc w:val="center"/>
        </w:trPr>
        <w:tc>
          <w:tcPr>
            <w:tcW w:w="2680" w:type="dxa"/>
            <w:tcBorders>
              <w:top w:val="nil"/>
              <w:left w:val="nil"/>
              <w:bottom w:val="nil"/>
              <w:right w:val="nil"/>
            </w:tcBorders>
            <w:noWrap/>
            <w:vAlign w:val="bottom"/>
            <w:hideMark/>
          </w:tcPr>
          <w:p w14:paraId="5282955D" w14:textId="77777777" w:rsidR="002F5AFF" w:rsidRPr="004E13E9" w:rsidRDefault="002F5AFF" w:rsidP="00E62E84">
            <w:pPr>
              <w:rPr>
                <w:rFonts w:eastAsia="Times New Roman" w:cs="Calibri"/>
                <w:lang w:eastAsia="en-GB"/>
              </w:rPr>
            </w:pPr>
            <w:r w:rsidRPr="004E13E9">
              <w:rPr>
                <w:rFonts w:eastAsia="Times New Roman" w:cs="Calibri"/>
                <w:lang w:eastAsia="en-GB"/>
              </w:rPr>
              <w:t>MÅLØY</w:t>
            </w:r>
          </w:p>
        </w:tc>
      </w:tr>
      <w:tr w:rsidR="002F5AFF" w:rsidRPr="004E13E9" w14:paraId="06BE4B16"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47C25EDE" w14:textId="77777777" w:rsidR="002F5AFF" w:rsidRPr="004E13E9" w:rsidRDefault="002F5AFF" w:rsidP="00E62E84">
            <w:pPr>
              <w:rPr>
                <w:rFonts w:eastAsia="Times New Roman" w:cs="Calibri"/>
                <w:lang w:eastAsia="en-GB"/>
              </w:rPr>
            </w:pPr>
            <w:r w:rsidRPr="004E13E9">
              <w:rPr>
                <w:rFonts w:eastAsia="Times New Roman" w:cs="Calibri"/>
                <w:lang w:eastAsia="en-GB"/>
              </w:rPr>
              <w:t>OSLO</w:t>
            </w:r>
          </w:p>
        </w:tc>
      </w:tr>
      <w:tr w:rsidR="002F5AFF" w:rsidRPr="004E13E9" w14:paraId="0C400266" w14:textId="77777777" w:rsidTr="00E62E84">
        <w:trPr>
          <w:trHeight w:val="285"/>
          <w:jc w:val="center"/>
        </w:trPr>
        <w:tc>
          <w:tcPr>
            <w:tcW w:w="2680" w:type="dxa"/>
            <w:tcBorders>
              <w:top w:val="nil"/>
              <w:left w:val="nil"/>
              <w:bottom w:val="nil"/>
              <w:right w:val="nil"/>
            </w:tcBorders>
            <w:noWrap/>
            <w:vAlign w:val="bottom"/>
            <w:hideMark/>
          </w:tcPr>
          <w:p w14:paraId="4D5335B3" w14:textId="77777777" w:rsidR="002F5AFF" w:rsidRPr="004E13E9" w:rsidRDefault="002F5AFF" w:rsidP="00E62E84">
            <w:pPr>
              <w:rPr>
                <w:rFonts w:eastAsia="Times New Roman" w:cs="Calibri"/>
                <w:lang w:eastAsia="en-GB"/>
              </w:rPr>
            </w:pPr>
            <w:r w:rsidRPr="004E13E9">
              <w:rPr>
                <w:rFonts w:eastAsia="Times New Roman" w:cs="Calibri"/>
                <w:lang w:eastAsia="en-GB"/>
              </w:rPr>
              <w:t>RAUDEBERG</w:t>
            </w:r>
          </w:p>
        </w:tc>
      </w:tr>
      <w:tr w:rsidR="002F5AFF" w:rsidRPr="004E13E9" w14:paraId="7CA28C38"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0EA8CBE3" w14:textId="77777777" w:rsidR="002F5AFF" w:rsidRPr="004E13E9" w:rsidRDefault="002F5AFF" w:rsidP="00E62E84">
            <w:pPr>
              <w:rPr>
                <w:rFonts w:eastAsia="Times New Roman" w:cs="Calibri"/>
                <w:lang w:eastAsia="en-GB"/>
              </w:rPr>
            </w:pPr>
            <w:r w:rsidRPr="004E13E9">
              <w:rPr>
                <w:rFonts w:eastAsia="Times New Roman" w:cs="Calibri"/>
                <w:lang w:eastAsia="en-GB"/>
              </w:rPr>
              <w:t>RYPEFJORD</w:t>
            </w:r>
          </w:p>
        </w:tc>
      </w:tr>
      <w:tr w:rsidR="002F5AFF" w:rsidRPr="004E13E9" w14:paraId="6C205631" w14:textId="77777777" w:rsidTr="00E62E84">
        <w:trPr>
          <w:trHeight w:val="285"/>
          <w:jc w:val="center"/>
        </w:trPr>
        <w:tc>
          <w:tcPr>
            <w:tcW w:w="2680" w:type="dxa"/>
            <w:tcBorders>
              <w:top w:val="nil"/>
              <w:left w:val="nil"/>
              <w:bottom w:val="nil"/>
              <w:right w:val="nil"/>
            </w:tcBorders>
            <w:noWrap/>
            <w:vAlign w:val="bottom"/>
            <w:hideMark/>
          </w:tcPr>
          <w:p w14:paraId="02EA2880" w14:textId="77777777" w:rsidR="002F5AFF" w:rsidRPr="004E13E9" w:rsidRDefault="002F5AFF" w:rsidP="00E62E84">
            <w:pPr>
              <w:rPr>
                <w:rFonts w:eastAsia="Times New Roman" w:cs="Calibri"/>
                <w:lang w:eastAsia="en-GB"/>
              </w:rPr>
            </w:pPr>
            <w:r w:rsidRPr="004E13E9">
              <w:rPr>
                <w:rFonts w:eastAsia="Times New Roman" w:cs="Calibri"/>
                <w:lang w:eastAsia="en-GB"/>
              </w:rPr>
              <w:t>SANDØY</w:t>
            </w:r>
          </w:p>
        </w:tc>
      </w:tr>
      <w:tr w:rsidR="002F5AFF" w:rsidRPr="004E13E9" w14:paraId="646E381B"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2F978FA3" w14:textId="77777777" w:rsidR="002F5AFF" w:rsidRPr="004E13E9" w:rsidRDefault="002F5AFF" w:rsidP="00E62E84">
            <w:pPr>
              <w:rPr>
                <w:rFonts w:eastAsia="Times New Roman" w:cs="Calibri"/>
                <w:lang w:eastAsia="en-GB"/>
              </w:rPr>
            </w:pPr>
            <w:r w:rsidRPr="004E13E9">
              <w:rPr>
                <w:rFonts w:eastAsia="Times New Roman" w:cs="Calibri"/>
                <w:lang w:eastAsia="en-GB"/>
              </w:rPr>
              <w:t>SELJE</w:t>
            </w:r>
          </w:p>
        </w:tc>
      </w:tr>
      <w:tr w:rsidR="002F5AFF" w:rsidRPr="004E13E9" w14:paraId="7487B6B5" w14:textId="77777777" w:rsidTr="00E62E84">
        <w:trPr>
          <w:trHeight w:val="285"/>
          <w:jc w:val="center"/>
        </w:trPr>
        <w:tc>
          <w:tcPr>
            <w:tcW w:w="2680" w:type="dxa"/>
            <w:tcBorders>
              <w:top w:val="nil"/>
              <w:left w:val="nil"/>
              <w:bottom w:val="nil"/>
              <w:right w:val="nil"/>
            </w:tcBorders>
            <w:noWrap/>
            <w:vAlign w:val="bottom"/>
            <w:hideMark/>
          </w:tcPr>
          <w:p w14:paraId="736B401E" w14:textId="77777777" w:rsidR="002F5AFF" w:rsidRPr="004E13E9" w:rsidRDefault="002F5AFF" w:rsidP="00E62E84">
            <w:pPr>
              <w:rPr>
                <w:rFonts w:eastAsia="Times New Roman" w:cs="Calibri"/>
                <w:lang w:eastAsia="en-GB"/>
              </w:rPr>
            </w:pPr>
            <w:r w:rsidRPr="004E13E9">
              <w:rPr>
                <w:rFonts w:eastAsia="Times New Roman" w:cs="Calibri"/>
                <w:lang w:eastAsia="en-GB"/>
              </w:rPr>
              <w:t>SENJAHOPEN</w:t>
            </w:r>
          </w:p>
        </w:tc>
      </w:tr>
      <w:tr w:rsidR="002F5AFF" w:rsidRPr="004E13E9" w14:paraId="641A567A"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157928AE" w14:textId="77777777" w:rsidR="002F5AFF" w:rsidRPr="004E13E9" w:rsidRDefault="002F5AFF" w:rsidP="00E62E84">
            <w:pPr>
              <w:rPr>
                <w:rFonts w:eastAsia="Times New Roman" w:cs="Calibri"/>
                <w:lang w:eastAsia="en-GB"/>
              </w:rPr>
            </w:pPr>
            <w:r w:rsidRPr="004E13E9">
              <w:rPr>
                <w:rFonts w:eastAsia="Times New Roman" w:cs="Calibri"/>
                <w:lang w:eastAsia="en-GB"/>
              </w:rPr>
              <w:t>SIREVÅG</w:t>
            </w:r>
          </w:p>
        </w:tc>
      </w:tr>
      <w:tr w:rsidR="002F5AFF" w:rsidRPr="004E13E9" w14:paraId="4C7F49B1" w14:textId="77777777" w:rsidTr="00E62E84">
        <w:trPr>
          <w:trHeight w:val="285"/>
          <w:jc w:val="center"/>
        </w:trPr>
        <w:tc>
          <w:tcPr>
            <w:tcW w:w="2680" w:type="dxa"/>
            <w:tcBorders>
              <w:top w:val="nil"/>
              <w:left w:val="nil"/>
              <w:bottom w:val="nil"/>
              <w:right w:val="nil"/>
            </w:tcBorders>
            <w:noWrap/>
            <w:vAlign w:val="bottom"/>
            <w:hideMark/>
          </w:tcPr>
          <w:p w14:paraId="61747A28" w14:textId="77777777" w:rsidR="002F5AFF" w:rsidRPr="004E13E9" w:rsidRDefault="002F5AFF" w:rsidP="00E62E84">
            <w:pPr>
              <w:rPr>
                <w:rFonts w:eastAsia="Times New Roman" w:cs="Calibri"/>
                <w:lang w:eastAsia="en-GB"/>
              </w:rPr>
            </w:pPr>
            <w:r w:rsidRPr="004E13E9">
              <w:rPr>
                <w:rFonts w:eastAsia="Times New Roman" w:cs="Calibri"/>
                <w:lang w:eastAsia="en-GB"/>
              </w:rPr>
              <w:t>SKUDENESHAVN</w:t>
            </w:r>
          </w:p>
        </w:tc>
      </w:tr>
      <w:tr w:rsidR="002F5AFF" w:rsidRPr="004E13E9" w14:paraId="4ECEDAC3"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4A3ADA20" w14:textId="77777777" w:rsidR="002F5AFF" w:rsidRPr="004E13E9" w:rsidRDefault="002F5AFF" w:rsidP="00E62E84">
            <w:pPr>
              <w:rPr>
                <w:rFonts w:eastAsia="Times New Roman" w:cs="Calibri"/>
                <w:lang w:eastAsia="en-GB"/>
              </w:rPr>
            </w:pPr>
            <w:r w:rsidRPr="004E13E9">
              <w:rPr>
                <w:rFonts w:eastAsia="Times New Roman" w:cs="Calibri"/>
                <w:lang w:eastAsia="en-GB"/>
              </w:rPr>
              <w:t>SKUTVIK</w:t>
            </w:r>
          </w:p>
        </w:tc>
      </w:tr>
      <w:tr w:rsidR="002F5AFF" w:rsidRPr="004E13E9" w14:paraId="7431C77E" w14:textId="77777777" w:rsidTr="00E62E84">
        <w:trPr>
          <w:trHeight w:val="285"/>
          <w:jc w:val="center"/>
        </w:trPr>
        <w:tc>
          <w:tcPr>
            <w:tcW w:w="2680" w:type="dxa"/>
            <w:tcBorders>
              <w:top w:val="nil"/>
              <w:left w:val="nil"/>
              <w:bottom w:val="nil"/>
              <w:right w:val="nil"/>
            </w:tcBorders>
            <w:noWrap/>
            <w:vAlign w:val="bottom"/>
            <w:hideMark/>
          </w:tcPr>
          <w:p w14:paraId="70AB3C36" w14:textId="77777777" w:rsidR="002F5AFF" w:rsidRPr="004E13E9" w:rsidRDefault="002F5AFF" w:rsidP="00E62E84">
            <w:pPr>
              <w:rPr>
                <w:rFonts w:eastAsia="Times New Roman" w:cs="Calibri"/>
                <w:lang w:eastAsia="en-GB"/>
              </w:rPr>
            </w:pPr>
            <w:r w:rsidRPr="004E13E9">
              <w:rPr>
                <w:rFonts w:eastAsia="Times New Roman" w:cs="Calibri"/>
                <w:lang w:eastAsia="en-GB"/>
              </w:rPr>
              <w:t>SMØLA</w:t>
            </w:r>
          </w:p>
        </w:tc>
      </w:tr>
      <w:tr w:rsidR="002F5AFF" w:rsidRPr="004E13E9" w14:paraId="25EAFC09"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34BF31EC" w14:textId="77777777" w:rsidR="002F5AFF" w:rsidRPr="004E13E9" w:rsidRDefault="002F5AFF" w:rsidP="00E62E84">
            <w:pPr>
              <w:rPr>
                <w:rFonts w:eastAsia="Times New Roman" w:cs="Calibri"/>
                <w:lang w:eastAsia="en-GB"/>
              </w:rPr>
            </w:pPr>
            <w:r w:rsidRPr="004E13E9">
              <w:rPr>
                <w:rFonts w:eastAsia="Times New Roman" w:cs="Calibri"/>
                <w:lang w:eastAsia="en-GB"/>
              </w:rPr>
              <w:t>SOLSTRAND</w:t>
            </w:r>
          </w:p>
        </w:tc>
      </w:tr>
      <w:tr w:rsidR="002F5AFF" w:rsidRPr="004E13E9" w14:paraId="4B0D83C1" w14:textId="77777777" w:rsidTr="00E62E84">
        <w:trPr>
          <w:trHeight w:val="285"/>
          <w:jc w:val="center"/>
        </w:trPr>
        <w:tc>
          <w:tcPr>
            <w:tcW w:w="2680" w:type="dxa"/>
            <w:tcBorders>
              <w:top w:val="nil"/>
              <w:left w:val="nil"/>
              <w:bottom w:val="nil"/>
              <w:right w:val="nil"/>
            </w:tcBorders>
            <w:noWrap/>
            <w:vAlign w:val="bottom"/>
            <w:hideMark/>
          </w:tcPr>
          <w:p w14:paraId="42D39BD1" w14:textId="77777777" w:rsidR="002F5AFF" w:rsidRPr="004E13E9" w:rsidRDefault="002F5AFF" w:rsidP="00E62E84">
            <w:pPr>
              <w:rPr>
                <w:rFonts w:eastAsia="Times New Roman" w:cs="Calibri"/>
                <w:lang w:eastAsia="en-GB"/>
              </w:rPr>
            </w:pPr>
            <w:r w:rsidRPr="004E13E9">
              <w:rPr>
                <w:rFonts w:eastAsia="Times New Roman" w:cs="Calibri"/>
                <w:lang w:eastAsia="en-GB"/>
              </w:rPr>
              <w:t>SORTLAND</w:t>
            </w:r>
          </w:p>
        </w:tc>
      </w:tr>
      <w:tr w:rsidR="002F5AFF" w:rsidRPr="004E13E9" w14:paraId="544A47A5"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6084735B" w14:textId="77777777" w:rsidR="002F5AFF" w:rsidRPr="004E13E9" w:rsidRDefault="002F5AFF" w:rsidP="00E62E84">
            <w:pPr>
              <w:rPr>
                <w:rFonts w:eastAsia="Times New Roman" w:cs="Calibri"/>
                <w:lang w:eastAsia="en-GB"/>
              </w:rPr>
            </w:pPr>
            <w:r w:rsidRPr="004E13E9">
              <w:rPr>
                <w:rFonts w:eastAsia="Times New Roman" w:cs="Calibri"/>
                <w:lang w:eastAsia="en-GB"/>
              </w:rPr>
              <w:t>STAVANGER</w:t>
            </w:r>
          </w:p>
        </w:tc>
      </w:tr>
      <w:tr w:rsidR="002F5AFF" w:rsidRPr="004E13E9" w14:paraId="089F58FF" w14:textId="77777777" w:rsidTr="00E62E84">
        <w:trPr>
          <w:trHeight w:val="285"/>
          <w:jc w:val="center"/>
        </w:trPr>
        <w:tc>
          <w:tcPr>
            <w:tcW w:w="2680" w:type="dxa"/>
            <w:tcBorders>
              <w:top w:val="nil"/>
              <w:left w:val="nil"/>
              <w:bottom w:val="nil"/>
              <w:right w:val="nil"/>
            </w:tcBorders>
            <w:noWrap/>
            <w:vAlign w:val="bottom"/>
            <w:hideMark/>
          </w:tcPr>
          <w:p w14:paraId="40AB59C3" w14:textId="77777777" w:rsidR="002F5AFF" w:rsidRPr="004E13E9" w:rsidRDefault="002F5AFF" w:rsidP="00E62E84">
            <w:pPr>
              <w:rPr>
                <w:rFonts w:eastAsia="Times New Roman" w:cs="Calibri"/>
                <w:lang w:eastAsia="en-GB"/>
              </w:rPr>
            </w:pPr>
            <w:r w:rsidRPr="004E13E9">
              <w:rPr>
                <w:rFonts w:eastAsia="Times New Roman" w:cs="Calibri"/>
                <w:lang w:eastAsia="en-GB"/>
              </w:rPr>
              <w:t>STAVERN</w:t>
            </w:r>
          </w:p>
        </w:tc>
      </w:tr>
      <w:tr w:rsidR="002F5AFF" w:rsidRPr="004E13E9" w14:paraId="1D7157EC"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6425E93B" w14:textId="77777777" w:rsidR="002F5AFF" w:rsidRPr="004E13E9" w:rsidRDefault="002F5AFF" w:rsidP="00E62E84">
            <w:pPr>
              <w:rPr>
                <w:rFonts w:eastAsia="Times New Roman" w:cs="Calibri"/>
                <w:lang w:eastAsia="en-GB"/>
              </w:rPr>
            </w:pPr>
            <w:r w:rsidRPr="004E13E9">
              <w:rPr>
                <w:rFonts w:eastAsia="Times New Roman" w:cs="Calibri"/>
                <w:lang w:eastAsia="en-GB"/>
              </w:rPr>
              <w:t>STOREBØ</w:t>
            </w:r>
          </w:p>
        </w:tc>
      </w:tr>
      <w:tr w:rsidR="002F5AFF" w:rsidRPr="004E13E9" w14:paraId="56CA116E" w14:textId="77777777" w:rsidTr="00E62E84">
        <w:trPr>
          <w:trHeight w:val="285"/>
          <w:jc w:val="center"/>
        </w:trPr>
        <w:tc>
          <w:tcPr>
            <w:tcW w:w="2680" w:type="dxa"/>
            <w:tcBorders>
              <w:top w:val="nil"/>
              <w:left w:val="nil"/>
              <w:bottom w:val="nil"/>
              <w:right w:val="nil"/>
            </w:tcBorders>
            <w:noWrap/>
            <w:vAlign w:val="bottom"/>
            <w:hideMark/>
          </w:tcPr>
          <w:p w14:paraId="2046CA42" w14:textId="77777777" w:rsidR="002F5AFF" w:rsidRPr="004E13E9" w:rsidRDefault="002F5AFF" w:rsidP="00E62E84">
            <w:pPr>
              <w:rPr>
                <w:rFonts w:eastAsia="Times New Roman" w:cs="Calibri"/>
                <w:lang w:eastAsia="en-GB"/>
              </w:rPr>
            </w:pPr>
            <w:r w:rsidRPr="004E13E9">
              <w:rPr>
                <w:rFonts w:eastAsia="Times New Roman" w:cs="Calibri"/>
                <w:lang w:eastAsia="en-GB"/>
              </w:rPr>
              <w:t>TROLLEBØ</w:t>
            </w:r>
          </w:p>
        </w:tc>
      </w:tr>
      <w:tr w:rsidR="002F5AFF" w:rsidRPr="004E13E9" w14:paraId="512469F7"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210B7F6E" w14:textId="77777777" w:rsidR="002F5AFF" w:rsidRPr="004E13E9" w:rsidRDefault="002F5AFF" w:rsidP="00E62E84">
            <w:pPr>
              <w:rPr>
                <w:rFonts w:eastAsia="Times New Roman" w:cs="Calibri"/>
                <w:lang w:eastAsia="en-GB"/>
              </w:rPr>
            </w:pPr>
            <w:r w:rsidRPr="004E13E9">
              <w:rPr>
                <w:rFonts w:eastAsia="Times New Roman" w:cs="Calibri"/>
                <w:lang w:eastAsia="en-GB"/>
              </w:rPr>
              <w:t>TROMSØ</w:t>
            </w:r>
          </w:p>
        </w:tc>
      </w:tr>
      <w:tr w:rsidR="002F5AFF" w:rsidRPr="004E13E9" w14:paraId="5023D87B" w14:textId="77777777" w:rsidTr="00E62E84">
        <w:trPr>
          <w:trHeight w:val="285"/>
          <w:jc w:val="center"/>
        </w:trPr>
        <w:tc>
          <w:tcPr>
            <w:tcW w:w="2680" w:type="dxa"/>
            <w:tcBorders>
              <w:top w:val="nil"/>
              <w:left w:val="nil"/>
              <w:bottom w:val="nil"/>
              <w:right w:val="nil"/>
            </w:tcBorders>
            <w:noWrap/>
            <w:vAlign w:val="bottom"/>
            <w:hideMark/>
          </w:tcPr>
          <w:p w14:paraId="7D01FBBF" w14:textId="77777777" w:rsidR="002F5AFF" w:rsidRPr="004E13E9" w:rsidRDefault="002F5AFF" w:rsidP="00E62E84">
            <w:pPr>
              <w:rPr>
                <w:rFonts w:eastAsia="Times New Roman" w:cs="Calibri"/>
                <w:lang w:eastAsia="en-GB"/>
              </w:rPr>
            </w:pPr>
            <w:r w:rsidRPr="004E13E9">
              <w:rPr>
                <w:rFonts w:eastAsia="Times New Roman" w:cs="Calibri"/>
                <w:lang w:eastAsia="en-GB"/>
              </w:rPr>
              <w:t>TRONDHEIM HØVRINGEN</w:t>
            </w:r>
          </w:p>
        </w:tc>
      </w:tr>
      <w:tr w:rsidR="002F5AFF" w:rsidRPr="004E13E9" w14:paraId="2371B5DF"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0A34B789" w14:textId="77777777" w:rsidR="002F5AFF" w:rsidRPr="004E13E9" w:rsidRDefault="002F5AFF" w:rsidP="00E62E84">
            <w:pPr>
              <w:rPr>
                <w:rFonts w:eastAsia="Times New Roman" w:cs="Calibri"/>
                <w:lang w:eastAsia="en-GB"/>
              </w:rPr>
            </w:pPr>
            <w:r w:rsidRPr="004E13E9">
              <w:rPr>
                <w:rFonts w:eastAsia="Times New Roman" w:cs="Calibri"/>
                <w:lang w:eastAsia="en-GB"/>
              </w:rPr>
              <w:t>TRÆNA</w:t>
            </w:r>
          </w:p>
        </w:tc>
      </w:tr>
      <w:tr w:rsidR="002F5AFF" w:rsidRPr="004E13E9" w14:paraId="2A4A15E3" w14:textId="77777777" w:rsidTr="00E62E84">
        <w:trPr>
          <w:trHeight w:val="285"/>
          <w:jc w:val="center"/>
        </w:trPr>
        <w:tc>
          <w:tcPr>
            <w:tcW w:w="2680" w:type="dxa"/>
            <w:tcBorders>
              <w:top w:val="nil"/>
              <w:left w:val="nil"/>
              <w:bottom w:val="nil"/>
              <w:right w:val="nil"/>
            </w:tcBorders>
            <w:noWrap/>
            <w:vAlign w:val="bottom"/>
            <w:hideMark/>
          </w:tcPr>
          <w:p w14:paraId="5C5B0134" w14:textId="77777777" w:rsidR="002F5AFF" w:rsidRPr="004E13E9" w:rsidRDefault="002F5AFF" w:rsidP="00E62E84">
            <w:pPr>
              <w:rPr>
                <w:rFonts w:eastAsia="Times New Roman" w:cs="Calibri"/>
                <w:lang w:eastAsia="en-GB"/>
              </w:rPr>
            </w:pPr>
            <w:r w:rsidRPr="004E13E9">
              <w:rPr>
                <w:rFonts w:eastAsia="Times New Roman" w:cs="Calibri"/>
                <w:lang w:eastAsia="en-GB"/>
              </w:rPr>
              <w:t>UTHAUG</w:t>
            </w:r>
          </w:p>
        </w:tc>
      </w:tr>
      <w:tr w:rsidR="002F5AFF" w:rsidRPr="004E13E9" w14:paraId="7EB93C48"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773671D0" w14:textId="77777777" w:rsidR="002F5AFF" w:rsidRPr="004E13E9" w:rsidRDefault="002F5AFF" w:rsidP="00E62E84">
            <w:pPr>
              <w:rPr>
                <w:rFonts w:eastAsia="Times New Roman" w:cs="Calibri"/>
                <w:lang w:eastAsia="en-GB"/>
              </w:rPr>
            </w:pPr>
            <w:r w:rsidRPr="004E13E9">
              <w:rPr>
                <w:rFonts w:eastAsia="Times New Roman" w:cs="Calibri"/>
                <w:lang w:eastAsia="en-GB"/>
              </w:rPr>
              <w:t>VADSØ</w:t>
            </w:r>
          </w:p>
        </w:tc>
      </w:tr>
      <w:tr w:rsidR="002F5AFF" w:rsidRPr="004E13E9" w14:paraId="015A0372" w14:textId="77777777" w:rsidTr="00E62E84">
        <w:trPr>
          <w:trHeight w:val="285"/>
          <w:jc w:val="center"/>
        </w:trPr>
        <w:tc>
          <w:tcPr>
            <w:tcW w:w="2680" w:type="dxa"/>
            <w:tcBorders>
              <w:top w:val="nil"/>
              <w:left w:val="nil"/>
              <w:bottom w:val="nil"/>
              <w:right w:val="nil"/>
            </w:tcBorders>
            <w:noWrap/>
            <w:vAlign w:val="bottom"/>
            <w:hideMark/>
          </w:tcPr>
          <w:p w14:paraId="234AA2F3" w14:textId="77777777" w:rsidR="002F5AFF" w:rsidRPr="004E13E9" w:rsidRDefault="002F5AFF" w:rsidP="00E62E84">
            <w:pPr>
              <w:rPr>
                <w:rFonts w:eastAsia="Times New Roman" w:cs="Calibri"/>
                <w:lang w:eastAsia="en-GB"/>
              </w:rPr>
            </w:pPr>
            <w:r w:rsidRPr="004E13E9">
              <w:rPr>
                <w:rFonts w:eastAsia="Times New Roman" w:cs="Calibri"/>
                <w:lang w:eastAsia="en-GB"/>
              </w:rPr>
              <w:t>VARDØ</w:t>
            </w:r>
          </w:p>
        </w:tc>
      </w:tr>
      <w:tr w:rsidR="002F5AFF" w:rsidRPr="004E13E9" w14:paraId="2249175B" w14:textId="77777777" w:rsidTr="00E62E84">
        <w:trPr>
          <w:trHeight w:val="285"/>
          <w:jc w:val="center"/>
        </w:trPr>
        <w:tc>
          <w:tcPr>
            <w:tcW w:w="2680" w:type="dxa"/>
            <w:tcBorders>
              <w:top w:val="nil"/>
              <w:left w:val="nil"/>
              <w:bottom w:val="nil"/>
              <w:right w:val="nil"/>
            </w:tcBorders>
            <w:shd w:val="clear" w:color="auto" w:fill="D9D9D9" w:themeFill="background1" w:themeFillShade="D9"/>
            <w:noWrap/>
            <w:vAlign w:val="bottom"/>
            <w:hideMark/>
          </w:tcPr>
          <w:p w14:paraId="7542E49B" w14:textId="77777777" w:rsidR="002F5AFF" w:rsidRPr="004E13E9" w:rsidRDefault="002F5AFF" w:rsidP="00E62E84">
            <w:pPr>
              <w:rPr>
                <w:rFonts w:eastAsia="Times New Roman" w:cs="Calibri"/>
                <w:lang w:eastAsia="en-GB"/>
              </w:rPr>
            </w:pPr>
            <w:r w:rsidRPr="004E13E9">
              <w:rPr>
                <w:rFonts w:eastAsia="Times New Roman" w:cs="Calibri"/>
                <w:lang w:eastAsia="en-GB"/>
              </w:rPr>
              <w:t>VEDDE</w:t>
            </w:r>
          </w:p>
        </w:tc>
      </w:tr>
      <w:tr w:rsidR="002F5AFF" w:rsidRPr="004E13E9" w14:paraId="69D703C8" w14:textId="77777777" w:rsidTr="00E62E84">
        <w:trPr>
          <w:trHeight w:val="285"/>
          <w:jc w:val="center"/>
        </w:trPr>
        <w:tc>
          <w:tcPr>
            <w:tcW w:w="2680" w:type="dxa"/>
            <w:tcBorders>
              <w:top w:val="nil"/>
              <w:left w:val="nil"/>
              <w:bottom w:val="nil"/>
              <w:right w:val="nil"/>
            </w:tcBorders>
            <w:noWrap/>
            <w:vAlign w:val="bottom"/>
            <w:hideMark/>
          </w:tcPr>
          <w:p w14:paraId="6911C59D" w14:textId="77777777" w:rsidR="002F5AFF" w:rsidRPr="004E13E9" w:rsidRDefault="002F5AFF" w:rsidP="00E62E84">
            <w:pPr>
              <w:rPr>
                <w:rFonts w:eastAsia="Times New Roman" w:cs="Calibri"/>
                <w:lang w:eastAsia="en-GB"/>
              </w:rPr>
            </w:pPr>
            <w:r w:rsidRPr="004E13E9">
              <w:rPr>
                <w:rFonts w:eastAsia="Times New Roman" w:cs="Calibri"/>
                <w:lang w:eastAsia="en-GB"/>
              </w:rPr>
              <w:t>VÆRØY</w:t>
            </w:r>
          </w:p>
        </w:tc>
      </w:tr>
      <w:tr w:rsidR="002F5AFF" w:rsidRPr="004E13E9" w14:paraId="6A07B19D" w14:textId="77777777" w:rsidTr="00E62E84">
        <w:trPr>
          <w:trHeight w:val="285"/>
          <w:jc w:val="center"/>
        </w:trPr>
        <w:tc>
          <w:tcPr>
            <w:tcW w:w="2680" w:type="dxa"/>
            <w:tcBorders>
              <w:top w:val="nil"/>
              <w:left w:val="nil"/>
              <w:bottom w:val="single" w:sz="4" w:space="0" w:color="000000" w:themeColor="text1"/>
              <w:right w:val="nil"/>
            </w:tcBorders>
            <w:shd w:val="clear" w:color="auto" w:fill="D9D9D9" w:themeFill="background1" w:themeFillShade="D9"/>
            <w:noWrap/>
            <w:vAlign w:val="bottom"/>
            <w:hideMark/>
          </w:tcPr>
          <w:p w14:paraId="78B8F123" w14:textId="77777777" w:rsidR="002F5AFF" w:rsidRPr="004E13E9" w:rsidRDefault="002F5AFF" w:rsidP="00E62E84">
            <w:pPr>
              <w:rPr>
                <w:rFonts w:eastAsia="Times New Roman" w:cs="Calibri"/>
                <w:lang w:eastAsia="en-GB"/>
              </w:rPr>
            </w:pPr>
            <w:r w:rsidRPr="004E13E9">
              <w:rPr>
                <w:rFonts w:eastAsia="Times New Roman" w:cs="Calibri"/>
                <w:lang w:eastAsia="en-GB"/>
              </w:rPr>
              <w:t>ÅLESUND</w:t>
            </w:r>
          </w:p>
        </w:tc>
      </w:tr>
      <w:bookmarkEnd w:id="34"/>
      <w:bookmarkEnd w:id="35"/>
    </w:tbl>
    <w:p w14:paraId="4435D570" w14:textId="77777777" w:rsidR="002F5AFF" w:rsidRPr="004E13E9" w:rsidRDefault="002F5AFF" w:rsidP="002F5AFF">
      <w:pPr>
        <w:rPr>
          <w:b/>
        </w:rPr>
      </w:pPr>
    </w:p>
    <w:p w14:paraId="16623326" w14:textId="77777777" w:rsidR="00B91B58" w:rsidRPr="004E13E9" w:rsidRDefault="00B91B58">
      <w:pPr>
        <w:rPr>
          <w:lang w:val="pt-PT"/>
        </w:rPr>
      </w:pPr>
    </w:p>
    <w:p w14:paraId="1F255A51" w14:textId="77777777" w:rsidR="00934E2D" w:rsidRPr="004E13E9" w:rsidRDefault="00934E2D" w:rsidP="00934E2D">
      <w:pPr>
        <w:rPr>
          <w:lang w:val="pt-PT"/>
        </w:rPr>
      </w:pPr>
      <w:r w:rsidRPr="004E13E9">
        <w:rPr>
          <w:lang w:val="pt-PT"/>
        </w:rPr>
        <w:br w:type="page"/>
      </w:r>
    </w:p>
    <w:p w14:paraId="77069530" w14:textId="77777777" w:rsidR="00934E2D" w:rsidRPr="004E13E9" w:rsidRDefault="00934E2D" w:rsidP="00934E2D">
      <w:pPr>
        <w:rPr>
          <w:lang w:val="pt-PT"/>
        </w:rPr>
        <w:sectPr w:rsidR="00934E2D" w:rsidRPr="004E13E9" w:rsidSect="00934E2D">
          <w:footnotePr>
            <w:numFmt w:val="chicago"/>
          </w:footnotePr>
          <w:pgSz w:w="11907" w:h="16840" w:code="9"/>
          <w:pgMar w:top="1418" w:right="1418" w:bottom="1418" w:left="1418" w:header="851" w:footer="1134" w:gutter="0"/>
          <w:cols w:space="720"/>
          <w:docGrid w:linePitch="272"/>
        </w:sectPr>
      </w:pPr>
    </w:p>
    <w:p w14:paraId="6FDB5F6D" w14:textId="154FE955" w:rsidR="00D96D6A" w:rsidRPr="004E13E9" w:rsidRDefault="00D96D6A">
      <w:pPr>
        <w:rPr>
          <w:lang w:val="pt-PT"/>
        </w:rPr>
      </w:pPr>
      <w:r w:rsidRPr="004E13E9">
        <w:rPr>
          <w:b/>
          <w:bCs/>
          <w:lang w:val="pt-PT"/>
        </w:rPr>
        <w:t>Panama</w:t>
      </w:r>
      <w:r w:rsidRPr="004E13E9">
        <w:rPr>
          <w:lang w:val="pt-PT"/>
        </w:rPr>
        <w:t xml:space="preserve"> </w:t>
      </w:r>
    </w:p>
    <w:p w14:paraId="7634406D" w14:textId="77777777" w:rsidR="00D96D6A" w:rsidRPr="004E13E9" w:rsidRDefault="00D96D6A" w:rsidP="00B07693">
      <w:pPr>
        <w:jc w:val="both"/>
        <w:rPr>
          <w:lang w:val="pt-PT"/>
        </w:rPr>
      </w:pPr>
    </w:p>
    <w:p w14:paraId="15E105E8" w14:textId="5B308AD4" w:rsidR="00D95D78" w:rsidRPr="004E13E9" w:rsidRDefault="00D95D78" w:rsidP="00B07693">
      <w:pPr>
        <w:jc w:val="both"/>
        <w:rPr>
          <w:b/>
          <w:lang w:val="fr-FR"/>
        </w:rPr>
      </w:pPr>
      <w:r w:rsidRPr="004E13E9">
        <w:rPr>
          <w:b/>
          <w:lang w:val="fr-FR"/>
        </w:rPr>
        <w:t>Année du plan de pêche</w:t>
      </w:r>
      <w:r w:rsidR="004F7801" w:rsidRPr="004E13E9">
        <w:rPr>
          <w:b/>
          <w:lang w:val="fr-FR"/>
        </w:rPr>
        <w:t xml:space="preserve"> : </w:t>
      </w:r>
      <w:r w:rsidRPr="004E13E9">
        <w:rPr>
          <w:b/>
          <w:lang w:val="fr-FR"/>
        </w:rPr>
        <w:t>2026</w:t>
      </w:r>
    </w:p>
    <w:p w14:paraId="1005B0F0" w14:textId="77777777" w:rsidR="00D95D78" w:rsidRPr="004E13E9" w:rsidRDefault="00D95D78" w:rsidP="00B07693">
      <w:pPr>
        <w:jc w:val="both"/>
        <w:rPr>
          <w:lang w:val="fr-FR"/>
        </w:rPr>
      </w:pPr>
    </w:p>
    <w:p w14:paraId="45619951" w14:textId="77777777" w:rsidR="00D95D78" w:rsidRPr="004E13E9" w:rsidRDefault="00D95D78" w:rsidP="00487A5C">
      <w:pPr>
        <w:pStyle w:val="ListParagraph"/>
        <w:widowControl w:val="0"/>
        <w:numPr>
          <w:ilvl w:val="0"/>
          <w:numId w:val="46"/>
        </w:numPr>
        <w:spacing w:after="0" w:line="240" w:lineRule="auto"/>
        <w:ind w:left="426" w:hanging="426"/>
        <w:jc w:val="both"/>
        <w:rPr>
          <w:rFonts w:ascii="Cambria" w:hAnsi="Cambria"/>
          <w:b/>
          <w:sz w:val="20"/>
          <w:szCs w:val="20"/>
        </w:rPr>
      </w:pPr>
      <w:r w:rsidRPr="004E13E9">
        <w:rPr>
          <w:rFonts w:ascii="Cambria" w:hAnsi="Cambria"/>
          <w:b/>
          <w:sz w:val="20"/>
          <w:szCs w:val="20"/>
        </w:rPr>
        <w:t>Détails du plan annuel de pêche pour les navires de capture et les madragues</w:t>
      </w:r>
    </w:p>
    <w:p w14:paraId="4C437FC2" w14:textId="77777777" w:rsidR="00D95D78" w:rsidRPr="004E13E9" w:rsidRDefault="00D95D78" w:rsidP="00B07693">
      <w:pPr>
        <w:jc w:val="both"/>
        <w:rPr>
          <w:lang w:val="fr-FR"/>
        </w:rPr>
      </w:pPr>
    </w:p>
    <w:p w14:paraId="54890C51" w14:textId="47FA58A7" w:rsidR="00D95D78" w:rsidRPr="004E13E9" w:rsidRDefault="00D95D78" w:rsidP="00B07693">
      <w:pPr>
        <w:jc w:val="both"/>
        <w:rPr>
          <w:b/>
          <w:bCs/>
          <w:i/>
          <w:lang w:val="fr-FR"/>
        </w:rPr>
      </w:pPr>
      <w:r w:rsidRPr="004E13E9">
        <w:rPr>
          <w:b/>
          <w:i/>
          <w:lang w:val="fr-FR"/>
        </w:rPr>
        <w:t>1a) Présentation (paragr</w:t>
      </w:r>
      <w:r w:rsidR="00CB3E51" w:rsidRPr="004E13E9">
        <w:rPr>
          <w:b/>
          <w:i/>
          <w:lang w:val="fr-FR"/>
        </w:rPr>
        <w:t>aphe</w:t>
      </w:r>
      <w:r w:rsidRPr="004E13E9">
        <w:rPr>
          <w:b/>
          <w:i/>
          <w:lang w:val="fr-FR"/>
        </w:rPr>
        <w:t xml:space="preserve"> 12)</w:t>
      </w:r>
    </w:p>
    <w:p w14:paraId="28AA6D46" w14:textId="77777777" w:rsidR="00D95D78" w:rsidRPr="004E13E9" w:rsidRDefault="00D95D78" w:rsidP="00B07693">
      <w:pPr>
        <w:jc w:val="both"/>
        <w:rPr>
          <w:lang w:val="fr-FR"/>
        </w:rPr>
      </w:pPr>
    </w:p>
    <w:p w14:paraId="2D2ED4D9" w14:textId="77777777" w:rsidR="00D95D78" w:rsidRPr="004E13E9" w:rsidRDefault="00D95D78" w:rsidP="00B07693">
      <w:pPr>
        <w:jc w:val="both"/>
        <w:rPr>
          <w:lang w:val="fr-FR"/>
        </w:rPr>
      </w:pPr>
      <w:r w:rsidRPr="004E13E9">
        <w:rPr>
          <w:lang w:val="fr-FR"/>
        </w:rPr>
        <w:t>Conformément au paragraphe 4 de la Recommandation 25-04, adoptée dans le cadre de la 29ème réunion ordinaire de l'ICCAT, qui s'est tenue à Séville du 17 au 24 novembre 2025, la République du Panama s'est vu attribuer un quota de 55 t de thon rouge. De même, en application du paragraphe 8 de la Recommandation précitée, ce quota a été transféré par la République du Panama au Royaume du Maroc.</w:t>
      </w:r>
    </w:p>
    <w:p w14:paraId="78A84812" w14:textId="77777777" w:rsidR="00D95D78" w:rsidRPr="004E13E9" w:rsidRDefault="00D95D78" w:rsidP="00B07693">
      <w:pPr>
        <w:jc w:val="both"/>
        <w:rPr>
          <w:b/>
          <w:lang w:val="fr-FR"/>
        </w:rPr>
      </w:pPr>
    </w:p>
    <w:p w14:paraId="6AE1C011" w14:textId="0D66F5EC" w:rsidR="00D95D78" w:rsidRPr="004E13E9" w:rsidRDefault="00D95D78" w:rsidP="00B07693">
      <w:pPr>
        <w:jc w:val="both"/>
        <w:rPr>
          <w:b/>
          <w:i/>
          <w:lang w:val="fr-FR"/>
        </w:rPr>
      </w:pPr>
      <w:r w:rsidRPr="004E13E9">
        <w:rPr>
          <w:b/>
          <w:i/>
          <w:lang w:val="fr-FR"/>
        </w:rPr>
        <w:t>1b) Report (</w:t>
      </w:r>
      <w:r w:rsidR="00CB3E51" w:rsidRPr="004E13E9">
        <w:rPr>
          <w:b/>
          <w:i/>
          <w:lang w:val="fr-FR"/>
        </w:rPr>
        <w:t>paragraphe</w:t>
      </w:r>
      <w:r w:rsidRPr="004E13E9">
        <w:rPr>
          <w:b/>
          <w:i/>
          <w:lang w:val="fr-FR"/>
        </w:rPr>
        <w:t xml:space="preserve"> 6)</w:t>
      </w:r>
    </w:p>
    <w:p w14:paraId="71922ACF" w14:textId="77777777" w:rsidR="00D95D78" w:rsidRPr="004E13E9" w:rsidRDefault="00D95D78" w:rsidP="00B07693">
      <w:pPr>
        <w:jc w:val="both"/>
        <w:rPr>
          <w:bCs/>
          <w:lang w:val="fr-FR"/>
        </w:rPr>
      </w:pPr>
    </w:p>
    <w:p w14:paraId="0F8130ED" w14:textId="77777777" w:rsidR="00D95D78" w:rsidRPr="004E13E9" w:rsidRDefault="00D95D78" w:rsidP="00B07693">
      <w:pPr>
        <w:jc w:val="both"/>
        <w:rPr>
          <w:b/>
          <w:iCs/>
          <w:lang w:val="fr-FR"/>
        </w:rPr>
      </w:pPr>
      <w:r w:rsidRPr="004E13E9">
        <w:rPr>
          <w:lang w:val="fr-FR"/>
        </w:rPr>
        <w:t>Non applicable</w:t>
      </w:r>
    </w:p>
    <w:p w14:paraId="6A3EB2F6" w14:textId="77777777" w:rsidR="00D95D78" w:rsidRPr="004E13E9" w:rsidRDefault="00D95D78" w:rsidP="00B07693">
      <w:pPr>
        <w:jc w:val="both"/>
        <w:rPr>
          <w:lang w:val="fr-FR"/>
        </w:rPr>
      </w:pPr>
    </w:p>
    <w:p w14:paraId="0264706C" w14:textId="77777777" w:rsidR="00D95D78" w:rsidRPr="004E13E9" w:rsidRDefault="00D95D78" w:rsidP="00B07693">
      <w:pPr>
        <w:jc w:val="both"/>
        <w:rPr>
          <w:b/>
          <w:i/>
          <w:lang w:val="fr-FR"/>
        </w:rPr>
      </w:pPr>
      <w:r w:rsidRPr="004E13E9">
        <w:rPr>
          <w:b/>
          <w:i/>
          <w:lang w:val="fr-FR"/>
        </w:rPr>
        <w:t>1c) Destination de la capture</w:t>
      </w:r>
    </w:p>
    <w:p w14:paraId="623985AC" w14:textId="77777777" w:rsidR="00D95D78" w:rsidRPr="004E13E9" w:rsidRDefault="00D95D78" w:rsidP="00B07693">
      <w:pPr>
        <w:jc w:val="both"/>
        <w:rPr>
          <w:bCs/>
          <w:lang w:val="fr-FR"/>
        </w:rPr>
      </w:pPr>
    </w:p>
    <w:p w14:paraId="53C9F84B" w14:textId="77777777" w:rsidR="00D95D78" w:rsidRPr="004E13E9" w:rsidRDefault="00D95D78" w:rsidP="00B07693">
      <w:pPr>
        <w:jc w:val="both"/>
        <w:rPr>
          <w:lang w:val="fr-FR"/>
        </w:rPr>
      </w:pPr>
      <w:r w:rsidRPr="004E13E9">
        <w:rPr>
          <w:lang w:val="fr-FR"/>
        </w:rPr>
        <w:t xml:space="preserve">En raison du transfert décrit à la section 1a) du présent document, le Panama ne réalisera pas d'activités de capture et d'élevage de thon rouge dans le cadre de cette allocation au cours de la période correspondant au présent plan et, par conséquent, il n'est pas nécessaire de développer cette section. </w:t>
      </w:r>
    </w:p>
    <w:p w14:paraId="064739CE" w14:textId="77777777" w:rsidR="00D95D78" w:rsidRPr="004E13E9" w:rsidRDefault="00D95D78" w:rsidP="00B07693">
      <w:pPr>
        <w:jc w:val="both"/>
        <w:rPr>
          <w:i/>
          <w:lang w:val="fr-FR"/>
        </w:rPr>
      </w:pPr>
    </w:p>
    <w:p w14:paraId="75813E2B" w14:textId="77777777" w:rsidR="00D95D78" w:rsidRPr="004E13E9" w:rsidRDefault="00D95D78" w:rsidP="00B07693">
      <w:pPr>
        <w:jc w:val="both"/>
        <w:rPr>
          <w:i/>
          <w:iCs/>
        </w:rPr>
      </w:pPr>
      <w:r w:rsidRPr="004E13E9">
        <w:rPr>
          <w:b/>
          <w:i/>
        </w:rPr>
        <w:t xml:space="preserve">1d) </w:t>
      </w:r>
    </w:p>
    <w:p w14:paraId="7A3AE982" w14:textId="77777777" w:rsidR="00D95D78" w:rsidRPr="004E13E9" w:rsidRDefault="00D95D78" w:rsidP="00B07693">
      <w:pPr>
        <w:jc w:val="both"/>
        <w:rPr>
          <w:i/>
        </w:rPr>
      </w:pPr>
    </w:p>
    <w:tbl>
      <w:tblPr>
        <w:tblStyle w:val="TableGrid"/>
        <w:tblW w:w="9493" w:type="dxa"/>
        <w:tblLayout w:type="fixed"/>
        <w:tblLook w:val="04A0" w:firstRow="1" w:lastRow="0" w:firstColumn="1" w:lastColumn="0" w:noHBand="0" w:noVBand="1"/>
      </w:tblPr>
      <w:tblGrid>
        <w:gridCol w:w="454"/>
        <w:gridCol w:w="1809"/>
        <w:gridCol w:w="2552"/>
        <w:gridCol w:w="2693"/>
        <w:gridCol w:w="1985"/>
      </w:tblGrid>
      <w:tr w:rsidR="00D95D78" w:rsidRPr="004E13E9" w14:paraId="70129457" w14:textId="77777777" w:rsidTr="00E62E84">
        <w:trPr>
          <w:tblHeader/>
        </w:trPr>
        <w:tc>
          <w:tcPr>
            <w:tcW w:w="454" w:type="dxa"/>
          </w:tcPr>
          <w:p w14:paraId="411D2407" w14:textId="77777777" w:rsidR="00D95D78" w:rsidRPr="004E13E9" w:rsidRDefault="00D95D78" w:rsidP="00B07693">
            <w:pPr>
              <w:jc w:val="both"/>
              <w:rPr>
                <w:rFonts w:ascii="Cambria" w:hAnsi="Cambria"/>
                <w:color w:val="auto"/>
                <w:sz w:val="20"/>
                <w:szCs w:val="20"/>
              </w:rPr>
            </w:pPr>
          </w:p>
        </w:tc>
        <w:tc>
          <w:tcPr>
            <w:tcW w:w="1809" w:type="dxa"/>
            <w:vAlign w:val="center"/>
          </w:tcPr>
          <w:p w14:paraId="15FBE781" w14:textId="77777777" w:rsidR="00D95D78" w:rsidRPr="004E13E9" w:rsidRDefault="00D95D78" w:rsidP="00841FA2">
            <w:pPr>
              <w:jc w:val="center"/>
              <w:rPr>
                <w:rFonts w:ascii="Cambria" w:hAnsi="Cambria"/>
                <w:i/>
                <w:color w:val="auto"/>
                <w:sz w:val="20"/>
                <w:szCs w:val="20"/>
              </w:rPr>
            </w:pPr>
            <w:r w:rsidRPr="004E13E9">
              <w:rPr>
                <w:rFonts w:ascii="Cambria" w:hAnsi="Cambria"/>
                <w:i/>
                <w:color w:val="auto"/>
                <w:sz w:val="20"/>
                <w:szCs w:val="20"/>
              </w:rPr>
              <w:t>Exigence de l’ICCAT</w:t>
            </w:r>
          </w:p>
          <w:p w14:paraId="7BECF3DC" w14:textId="51BFCBB5" w:rsidR="00D95D78" w:rsidRPr="004E13E9" w:rsidRDefault="00D95D78" w:rsidP="00841FA2">
            <w:pPr>
              <w:jc w:val="center"/>
              <w:rPr>
                <w:rFonts w:ascii="Cambria" w:hAnsi="Cambria"/>
                <w:i/>
                <w:sz w:val="20"/>
                <w:szCs w:val="20"/>
              </w:rPr>
            </w:pPr>
            <w:r w:rsidRPr="004E13E9">
              <w:rPr>
                <w:rFonts w:ascii="Cambria" w:hAnsi="Cambria"/>
                <w:i/>
                <w:sz w:val="20"/>
                <w:szCs w:val="20"/>
              </w:rPr>
              <w:t>(en vertu de la</w:t>
            </w:r>
          </w:p>
          <w:p w14:paraId="4C54415F" w14:textId="77777777" w:rsidR="00D95D78" w:rsidRPr="004E13E9" w:rsidRDefault="00D95D78" w:rsidP="00841FA2">
            <w:pPr>
              <w:jc w:val="center"/>
              <w:rPr>
                <w:rFonts w:ascii="Cambria" w:hAnsi="Cambria"/>
                <w:i/>
                <w:color w:val="auto"/>
                <w:sz w:val="20"/>
                <w:szCs w:val="20"/>
              </w:rPr>
            </w:pPr>
            <w:r w:rsidRPr="004E13E9">
              <w:rPr>
                <w:rStyle w:val="Hyperlink"/>
                <w:rFonts w:ascii="Cambria" w:hAnsi="Cambria"/>
                <w:i/>
                <w:sz w:val="20"/>
                <w:szCs w:val="20"/>
                <w:u w:val="none"/>
              </w:rPr>
              <w:t>Rec. 25-04</w:t>
            </w:r>
            <w:r w:rsidRPr="004E13E9">
              <w:rPr>
                <w:rFonts w:ascii="Cambria" w:hAnsi="Cambria"/>
                <w:i/>
                <w:sz w:val="20"/>
                <w:szCs w:val="20"/>
              </w:rPr>
              <w:t>)</w:t>
            </w:r>
          </w:p>
        </w:tc>
        <w:tc>
          <w:tcPr>
            <w:tcW w:w="2552" w:type="dxa"/>
            <w:vAlign w:val="center"/>
          </w:tcPr>
          <w:p w14:paraId="575CBC7E" w14:textId="77777777" w:rsidR="00D95D78" w:rsidRPr="004E13E9" w:rsidRDefault="00D95D78" w:rsidP="00841FA2">
            <w:pPr>
              <w:jc w:val="center"/>
              <w:rPr>
                <w:rFonts w:ascii="Cambria" w:hAnsi="Cambria"/>
                <w:i/>
                <w:color w:val="auto"/>
                <w:sz w:val="20"/>
                <w:szCs w:val="20"/>
              </w:rPr>
            </w:pPr>
            <w:r w:rsidRPr="004E13E9">
              <w:rPr>
                <w:rFonts w:ascii="Cambria" w:hAnsi="Cambria"/>
                <w:i/>
                <w:color w:val="auto"/>
                <w:sz w:val="20"/>
                <w:szCs w:val="20"/>
              </w:rPr>
              <w:t>Explication des actions prises par la CPC à des fins de mise en œuvre</w:t>
            </w:r>
          </w:p>
        </w:tc>
        <w:tc>
          <w:tcPr>
            <w:tcW w:w="2693" w:type="dxa"/>
            <w:vAlign w:val="center"/>
          </w:tcPr>
          <w:p w14:paraId="1BB80598" w14:textId="77777777" w:rsidR="00D95D78" w:rsidRPr="004E13E9" w:rsidRDefault="00D95D78" w:rsidP="00841FA2">
            <w:pPr>
              <w:jc w:val="center"/>
              <w:rPr>
                <w:rFonts w:ascii="Cambria" w:hAnsi="Cambria"/>
                <w:i/>
                <w:color w:val="auto"/>
                <w:sz w:val="20"/>
                <w:szCs w:val="20"/>
              </w:rPr>
            </w:pPr>
            <w:r w:rsidRPr="004E13E9">
              <w:rPr>
                <w:rFonts w:ascii="Cambria" w:hAnsi="Cambria"/>
                <w:i/>
                <w:color w:val="auto"/>
                <w:sz w:val="20"/>
                <w:szCs w:val="20"/>
              </w:rPr>
              <w:t>Lois ou réglementations nationales pertinentes</w:t>
            </w:r>
          </w:p>
          <w:p w14:paraId="7DBB4732" w14:textId="77777777" w:rsidR="00D95D78" w:rsidRPr="004E13E9" w:rsidRDefault="00D95D78" w:rsidP="00841FA2">
            <w:pPr>
              <w:jc w:val="center"/>
              <w:rPr>
                <w:rFonts w:ascii="Cambria" w:hAnsi="Cambria"/>
                <w:i/>
                <w:color w:val="auto"/>
                <w:sz w:val="20"/>
                <w:szCs w:val="20"/>
              </w:rPr>
            </w:pPr>
            <w:r w:rsidRPr="004E13E9">
              <w:rPr>
                <w:rFonts w:ascii="Cambria" w:hAnsi="Cambria"/>
                <w:i/>
                <w:color w:val="auto"/>
                <w:sz w:val="20"/>
                <w:szCs w:val="20"/>
              </w:rPr>
              <w:t>(Le cas échéant)</w:t>
            </w:r>
          </w:p>
        </w:tc>
        <w:tc>
          <w:tcPr>
            <w:tcW w:w="1985" w:type="dxa"/>
            <w:vAlign w:val="center"/>
          </w:tcPr>
          <w:p w14:paraId="14A74519" w14:textId="77777777" w:rsidR="00D95D78" w:rsidRPr="004E13E9" w:rsidRDefault="00D95D78" w:rsidP="00841FA2">
            <w:pPr>
              <w:jc w:val="center"/>
              <w:rPr>
                <w:rFonts w:ascii="Cambria" w:hAnsi="Cambria"/>
                <w:i/>
                <w:color w:val="auto"/>
                <w:sz w:val="20"/>
                <w:szCs w:val="20"/>
              </w:rPr>
            </w:pPr>
            <w:r w:rsidRPr="004E13E9">
              <w:rPr>
                <w:rFonts w:ascii="Cambria" w:hAnsi="Cambria"/>
                <w:i/>
                <w:color w:val="auto"/>
                <w:sz w:val="20"/>
                <w:szCs w:val="20"/>
              </w:rPr>
              <w:t>Note</w:t>
            </w:r>
          </w:p>
        </w:tc>
      </w:tr>
      <w:tr w:rsidR="00D95D78" w:rsidRPr="006A2397" w14:paraId="631536A4" w14:textId="77777777" w:rsidTr="00E62E84">
        <w:tc>
          <w:tcPr>
            <w:tcW w:w="454" w:type="dxa"/>
          </w:tcPr>
          <w:p w14:paraId="13D1B9A8"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1</w:t>
            </w:r>
          </w:p>
        </w:tc>
        <w:tc>
          <w:tcPr>
            <w:tcW w:w="1809" w:type="dxa"/>
          </w:tcPr>
          <w:p w14:paraId="6FCC12CF"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Enregistrement et déclaration de la capture (paragraphes 74-88)</w:t>
            </w:r>
          </w:p>
        </w:tc>
        <w:tc>
          <w:tcPr>
            <w:tcW w:w="2552" w:type="dxa"/>
          </w:tcPr>
          <w:p w14:paraId="02FA728F"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 xml:space="preserve">Les capitaines des navires de pêche tiennent et utilisent un carnet de pêche électronique ou relié pour enregistrer leurs opérations conformément aux dispositions de l'annexe 2 pendant toute la période au cours de laquelle ils sont autorisés à pêcher le thon rouge. </w:t>
            </w:r>
          </w:p>
          <w:p w14:paraId="5D098607" w14:textId="77777777" w:rsidR="00D95D78" w:rsidRPr="004E13E9" w:rsidRDefault="00D95D78" w:rsidP="00B07693">
            <w:pPr>
              <w:jc w:val="both"/>
              <w:rPr>
                <w:rFonts w:ascii="Cambria" w:hAnsi="Cambria"/>
                <w:color w:val="auto"/>
                <w:sz w:val="20"/>
                <w:szCs w:val="20"/>
              </w:rPr>
            </w:pPr>
          </w:p>
          <w:p w14:paraId="5167AF95"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Le Panama a désigné des ports où les navires de pêche peuvent débarquer et/ou transborder du thon rouge. Cette liste figure à la section 5 du présent document.</w:t>
            </w:r>
          </w:p>
          <w:p w14:paraId="11C7CD56" w14:textId="77777777" w:rsidR="00D95D78" w:rsidRPr="004E13E9" w:rsidRDefault="00D95D78" w:rsidP="00B07693">
            <w:pPr>
              <w:jc w:val="both"/>
              <w:rPr>
                <w:rFonts w:ascii="Cambria" w:hAnsi="Cambria"/>
                <w:color w:val="auto"/>
                <w:sz w:val="20"/>
                <w:szCs w:val="20"/>
              </w:rPr>
            </w:pPr>
          </w:p>
          <w:p w14:paraId="391D066D"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 xml:space="preserve">Le débarquement ou le transbordement de thon rouge à partir de navires de capture, de navires de transformation et de navires auxiliaires en dehors des ports est interdit. </w:t>
            </w:r>
          </w:p>
          <w:p w14:paraId="298C678E" w14:textId="77777777" w:rsidR="00D95D78" w:rsidRPr="004E13E9" w:rsidRDefault="00D95D78" w:rsidP="00B07693">
            <w:pPr>
              <w:jc w:val="both"/>
              <w:rPr>
                <w:rFonts w:ascii="Cambria" w:hAnsi="Cambria"/>
                <w:color w:val="auto"/>
                <w:sz w:val="20"/>
                <w:szCs w:val="20"/>
              </w:rPr>
            </w:pPr>
          </w:p>
          <w:p w14:paraId="23B7710E" w14:textId="4CDFFFC7" w:rsidR="00D95D78" w:rsidRPr="004E13E9" w:rsidRDefault="00D95D78" w:rsidP="00841FA2">
            <w:pPr>
              <w:jc w:val="both"/>
              <w:rPr>
                <w:rFonts w:ascii="Cambria" w:hAnsi="Cambria"/>
                <w:color w:val="auto"/>
                <w:sz w:val="20"/>
                <w:szCs w:val="20"/>
              </w:rPr>
            </w:pPr>
            <w:r w:rsidRPr="004E13E9">
              <w:rPr>
                <w:rFonts w:ascii="Cambria" w:hAnsi="Cambria"/>
                <w:color w:val="auto"/>
                <w:sz w:val="20"/>
                <w:szCs w:val="20"/>
              </w:rPr>
              <w:t xml:space="preserve">Conformément aux mesures, une vérification croisée des rapports d'inspection et des observateurs, des données VMS, de l'eBCD le cas échéant, et de la cohérence des carnets de pêche et des documents relatifs aux captures, aux débarquements et aux transbordements, sera effectuée le cas échéant. </w:t>
            </w:r>
          </w:p>
        </w:tc>
        <w:tc>
          <w:tcPr>
            <w:tcW w:w="2693" w:type="dxa"/>
          </w:tcPr>
          <w:p w14:paraId="4F78DA29" w14:textId="77777777" w:rsidR="00D95D78" w:rsidRPr="004E13E9" w:rsidRDefault="00D95D78" w:rsidP="00B07693">
            <w:pPr>
              <w:jc w:val="both"/>
              <w:rPr>
                <w:rFonts w:ascii="Cambria" w:eastAsia="Times New Roman" w:hAnsi="Cambria"/>
                <w:bCs/>
                <w:sz w:val="20"/>
                <w:szCs w:val="20"/>
              </w:rPr>
            </w:pPr>
            <w:r w:rsidRPr="004E13E9">
              <w:rPr>
                <w:rFonts w:ascii="Cambria" w:hAnsi="Cambria"/>
                <w:sz w:val="20"/>
                <w:szCs w:val="20"/>
              </w:rPr>
              <w:t xml:space="preserve">Résolution ADM/ARAP n° 006 (du 4 février 2026) adoptant et mettant en œuvre des mesures de conservation et de gestion pour le thon rouge de l'Atlantique Est et de la Méditerranée </w:t>
            </w:r>
            <w:r w:rsidRPr="004E13E9">
              <w:rPr>
                <w:rFonts w:ascii="Cambria" w:hAnsi="Cambria"/>
                <w:i/>
                <w:sz w:val="20"/>
                <w:szCs w:val="20"/>
              </w:rPr>
              <w:t>(</w:t>
            </w:r>
            <w:proofErr w:type="spellStart"/>
            <w:r w:rsidRPr="004E13E9">
              <w:rPr>
                <w:rFonts w:ascii="Cambria" w:hAnsi="Cambria"/>
                <w:i/>
                <w:sz w:val="20"/>
                <w:szCs w:val="20"/>
              </w:rPr>
              <w:t>Thunnus</w:t>
            </w:r>
            <w:proofErr w:type="spellEnd"/>
            <w:r w:rsidRPr="004E13E9">
              <w:rPr>
                <w:rFonts w:ascii="Cambria" w:hAnsi="Cambria"/>
                <w:i/>
                <w:sz w:val="20"/>
                <w:szCs w:val="20"/>
              </w:rPr>
              <w:t xml:space="preserve"> </w:t>
            </w:r>
            <w:proofErr w:type="spellStart"/>
            <w:r w:rsidRPr="004E13E9">
              <w:rPr>
                <w:rFonts w:ascii="Cambria" w:hAnsi="Cambria"/>
                <w:i/>
                <w:sz w:val="20"/>
                <w:szCs w:val="20"/>
              </w:rPr>
              <w:t>thynnus</w:t>
            </w:r>
            <w:proofErr w:type="spellEnd"/>
            <w:r w:rsidRPr="004E13E9">
              <w:rPr>
                <w:rFonts w:ascii="Cambria" w:hAnsi="Cambria"/>
                <w:sz w:val="20"/>
                <w:szCs w:val="20"/>
              </w:rPr>
              <w:t xml:space="preserve">) dans la République du Panama, conformément à la Recommandation 25-04. </w:t>
            </w:r>
          </w:p>
          <w:p w14:paraId="6A5639F3" w14:textId="77777777" w:rsidR="00D95D78" w:rsidRPr="004E13E9" w:rsidRDefault="00D95D78" w:rsidP="00B07693">
            <w:pPr>
              <w:jc w:val="both"/>
              <w:rPr>
                <w:rFonts w:ascii="Cambria" w:hAnsi="Cambria"/>
                <w:b/>
                <w:sz w:val="20"/>
                <w:szCs w:val="20"/>
              </w:rPr>
            </w:pPr>
          </w:p>
          <w:p w14:paraId="08F9FE11" w14:textId="77777777" w:rsidR="00D95D78" w:rsidRPr="004E13E9" w:rsidRDefault="00D95D78" w:rsidP="00B07693">
            <w:pPr>
              <w:jc w:val="both"/>
              <w:rPr>
                <w:rFonts w:ascii="Cambria" w:hAnsi="Cambria"/>
                <w:sz w:val="20"/>
                <w:szCs w:val="20"/>
              </w:rPr>
            </w:pPr>
            <w:r w:rsidRPr="004E13E9">
              <w:rPr>
                <w:rFonts w:ascii="Cambria" w:hAnsi="Cambria"/>
                <w:sz w:val="20"/>
                <w:szCs w:val="20"/>
              </w:rPr>
              <w:t>Résolution ADM/ARAP n° 008 du 5 février 2026 réglementant l'utilisation, l'exploitation et le transfert du quota de cinquante-cinq (55) tonnes de thon rouge de l'Atlantique (</w:t>
            </w:r>
            <w:proofErr w:type="spellStart"/>
            <w:r w:rsidRPr="004E13E9">
              <w:rPr>
                <w:rFonts w:ascii="Cambria" w:hAnsi="Cambria"/>
                <w:i/>
                <w:sz w:val="20"/>
                <w:szCs w:val="20"/>
              </w:rPr>
              <w:t>Thunnus</w:t>
            </w:r>
            <w:proofErr w:type="spellEnd"/>
            <w:r w:rsidRPr="004E13E9">
              <w:rPr>
                <w:rFonts w:ascii="Cambria" w:hAnsi="Cambria"/>
                <w:i/>
                <w:sz w:val="20"/>
                <w:szCs w:val="20"/>
              </w:rPr>
              <w:t xml:space="preserve"> </w:t>
            </w:r>
            <w:proofErr w:type="spellStart"/>
            <w:r w:rsidRPr="004E13E9">
              <w:rPr>
                <w:rFonts w:ascii="Cambria" w:hAnsi="Cambria"/>
                <w:i/>
                <w:sz w:val="20"/>
                <w:szCs w:val="20"/>
              </w:rPr>
              <w:t>thynnus</w:t>
            </w:r>
            <w:proofErr w:type="spellEnd"/>
            <w:r w:rsidRPr="004E13E9">
              <w:rPr>
                <w:rFonts w:ascii="Cambria" w:hAnsi="Cambria"/>
                <w:sz w:val="20"/>
                <w:szCs w:val="20"/>
              </w:rPr>
              <w:t xml:space="preserve">) attribué à la République du Panama dans le cadre de l'ICCAT. </w:t>
            </w:r>
            <w:r w:rsidRPr="004E13E9">
              <w:rPr>
                <w:rFonts w:ascii="Cambria" w:hAnsi="Cambria"/>
                <w:color w:val="auto"/>
                <w:sz w:val="20"/>
                <w:szCs w:val="20"/>
              </w:rPr>
              <w:t xml:space="preserve"> </w:t>
            </w:r>
          </w:p>
        </w:tc>
        <w:tc>
          <w:tcPr>
            <w:tcW w:w="1985" w:type="dxa"/>
          </w:tcPr>
          <w:p w14:paraId="79947D08"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 xml:space="preserve">Cette disposition s'appliquera aux navires de capture lorsque le Panama développera sa pêcherie et maintiendra des navires enregistrés auprès de l'ICCAT et autorisés à capturer du thon rouge. </w:t>
            </w:r>
          </w:p>
          <w:p w14:paraId="508D9836" w14:textId="77777777" w:rsidR="00D95D78" w:rsidRPr="004E13E9" w:rsidRDefault="00D95D78" w:rsidP="00B07693">
            <w:pPr>
              <w:jc w:val="both"/>
              <w:rPr>
                <w:rFonts w:ascii="Cambria" w:hAnsi="Cambria"/>
                <w:color w:val="auto"/>
                <w:sz w:val="20"/>
                <w:szCs w:val="20"/>
              </w:rPr>
            </w:pPr>
          </w:p>
        </w:tc>
      </w:tr>
      <w:tr w:rsidR="00D95D78" w:rsidRPr="006A2397" w14:paraId="4A6C5F5B" w14:textId="77777777" w:rsidTr="00E62E84">
        <w:tc>
          <w:tcPr>
            <w:tcW w:w="454" w:type="dxa"/>
          </w:tcPr>
          <w:p w14:paraId="3FDE286A"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2</w:t>
            </w:r>
          </w:p>
        </w:tc>
        <w:tc>
          <w:tcPr>
            <w:tcW w:w="1809" w:type="dxa"/>
          </w:tcPr>
          <w:p w14:paraId="48C1477E"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Périodes d’ouverture de la pêche (paragraphes 28-32)</w:t>
            </w:r>
          </w:p>
        </w:tc>
        <w:tc>
          <w:tcPr>
            <w:tcW w:w="2552" w:type="dxa"/>
          </w:tcPr>
          <w:p w14:paraId="39E09693" w14:textId="77777777" w:rsidR="00D95D78" w:rsidRPr="004E13E9" w:rsidRDefault="00D95D78" w:rsidP="00B07693">
            <w:pPr>
              <w:suppressAutoHyphens/>
              <w:jc w:val="both"/>
              <w:rPr>
                <w:rFonts w:ascii="Cambria" w:hAnsi="Cambria"/>
                <w:sz w:val="20"/>
                <w:szCs w:val="20"/>
              </w:rPr>
            </w:pPr>
            <w:r w:rsidRPr="004E13E9">
              <w:rPr>
                <w:rFonts w:ascii="Cambria" w:hAnsi="Cambria"/>
                <w:sz w:val="20"/>
                <w:szCs w:val="20"/>
              </w:rPr>
              <w:t xml:space="preserve">Les navires devront respecter la période de fermeture conformément à la Rec. 25-04 de l'ICCAT.  </w:t>
            </w:r>
          </w:p>
          <w:p w14:paraId="77FD4B28" w14:textId="77777777" w:rsidR="00D95D78" w:rsidRPr="004E13E9" w:rsidRDefault="00D95D78" w:rsidP="00B07693">
            <w:pPr>
              <w:suppressAutoHyphens/>
              <w:jc w:val="both"/>
              <w:rPr>
                <w:rFonts w:ascii="Cambria" w:hAnsi="Cambria"/>
                <w:sz w:val="20"/>
                <w:szCs w:val="20"/>
              </w:rPr>
            </w:pPr>
          </w:p>
        </w:tc>
        <w:tc>
          <w:tcPr>
            <w:tcW w:w="2693" w:type="dxa"/>
          </w:tcPr>
          <w:p w14:paraId="4B3941DB"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Résolution ADM/ARAP n° 006 (du 4 février 2026) adoptant et mettant en œuvre des mesures de conservation et de gestion pour le thon rouge de l'Atlantique Est et de la Méditerranée (</w:t>
            </w:r>
            <w:proofErr w:type="spellStart"/>
            <w:r w:rsidRPr="004E13E9">
              <w:rPr>
                <w:rFonts w:ascii="Cambria" w:hAnsi="Cambria"/>
                <w:i/>
                <w:iCs/>
                <w:color w:val="auto"/>
                <w:sz w:val="20"/>
                <w:szCs w:val="20"/>
              </w:rPr>
              <w:t>Thunnus</w:t>
            </w:r>
            <w:proofErr w:type="spellEnd"/>
            <w:r w:rsidRPr="004E13E9">
              <w:rPr>
                <w:rFonts w:ascii="Cambria" w:hAnsi="Cambria"/>
                <w:i/>
                <w:iCs/>
                <w:color w:val="auto"/>
                <w:sz w:val="20"/>
                <w:szCs w:val="20"/>
              </w:rPr>
              <w:t xml:space="preserve"> </w:t>
            </w:r>
            <w:proofErr w:type="spellStart"/>
            <w:r w:rsidRPr="004E13E9">
              <w:rPr>
                <w:rFonts w:ascii="Cambria" w:hAnsi="Cambria"/>
                <w:i/>
                <w:iCs/>
                <w:color w:val="auto"/>
                <w:sz w:val="20"/>
                <w:szCs w:val="20"/>
              </w:rPr>
              <w:t>thynnus</w:t>
            </w:r>
            <w:proofErr w:type="spellEnd"/>
            <w:r w:rsidRPr="004E13E9">
              <w:rPr>
                <w:rFonts w:ascii="Cambria" w:hAnsi="Cambria"/>
                <w:color w:val="auto"/>
                <w:sz w:val="20"/>
                <w:szCs w:val="20"/>
              </w:rPr>
              <w:t>) dans la République du Panama, conformément à la Recommandation 25-04.</w:t>
            </w:r>
          </w:p>
        </w:tc>
        <w:tc>
          <w:tcPr>
            <w:tcW w:w="1985" w:type="dxa"/>
          </w:tcPr>
          <w:p w14:paraId="6EA04001"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Cette disposition s'appliquera aux navires de capture lorsque le Panama développera sa pêcherie et maintiendra des navires enregistrés auprès de l'ICCAT et autorisés à capturer du thon rouge.</w:t>
            </w:r>
          </w:p>
          <w:p w14:paraId="14C45137"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 xml:space="preserve"> </w:t>
            </w:r>
          </w:p>
        </w:tc>
      </w:tr>
      <w:tr w:rsidR="00D95D78" w:rsidRPr="006A2397" w14:paraId="05D358E2" w14:textId="77777777" w:rsidTr="00E62E84">
        <w:tc>
          <w:tcPr>
            <w:tcW w:w="454" w:type="dxa"/>
          </w:tcPr>
          <w:p w14:paraId="3A92FEA0"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3</w:t>
            </w:r>
          </w:p>
        </w:tc>
        <w:tc>
          <w:tcPr>
            <w:tcW w:w="1809" w:type="dxa"/>
          </w:tcPr>
          <w:p w14:paraId="343F0E6D" w14:textId="77777777" w:rsidR="00D95D78" w:rsidRPr="004E13E9" w:rsidRDefault="00D95D78" w:rsidP="00B07693">
            <w:pPr>
              <w:jc w:val="both"/>
              <w:rPr>
                <w:rFonts w:ascii="Cambria" w:hAnsi="Cambria"/>
                <w:b/>
                <w:bCs/>
                <w:color w:val="auto"/>
                <w:sz w:val="20"/>
                <w:szCs w:val="20"/>
              </w:rPr>
            </w:pPr>
            <w:r w:rsidRPr="004E13E9">
              <w:rPr>
                <w:rFonts w:ascii="Cambria" w:hAnsi="Cambria"/>
                <w:b/>
                <w:color w:val="auto"/>
                <w:sz w:val="20"/>
                <w:szCs w:val="20"/>
              </w:rPr>
              <w:t xml:space="preserve">Taille minimale </w:t>
            </w:r>
          </w:p>
          <w:p w14:paraId="72193E51"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(paragraphes 33-35)</w:t>
            </w:r>
          </w:p>
        </w:tc>
        <w:tc>
          <w:tcPr>
            <w:tcW w:w="2552" w:type="dxa"/>
          </w:tcPr>
          <w:p w14:paraId="4D7897A5" w14:textId="77777777" w:rsidR="00D95D78" w:rsidRPr="004E13E9" w:rsidRDefault="00D95D78" w:rsidP="00B07693">
            <w:pPr>
              <w:jc w:val="both"/>
              <w:rPr>
                <w:rFonts w:ascii="Cambria" w:hAnsi="Cambria"/>
                <w:sz w:val="20"/>
                <w:szCs w:val="20"/>
              </w:rPr>
            </w:pPr>
            <w:r w:rsidRPr="004E13E9">
              <w:rPr>
                <w:rFonts w:ascii="Cambria" w:hAnsi="Cambria"/>
                <w:sz w:val="20"/>
                <w:szCs w:val="20"/>
              </w:rPr>
              <w:t>Il est interdit de capturer, de retenir à bord, de transborder, de transférer, de débarquer, de stocker, de vendre, d'exposer ou de mettre en vente du thon rouge pesant moins de 30 kg ou dont la longueur à la fourche est inférieure à 115 cm. Des prises accessoires d'un maximum de 5% en nombre de thons rouges capturés pesant entre 8 et 30 kg ou mesurant entre 75 et 115 cm sont autorisées.</w:t>
            </w:r>
          </w:p>
          <w:p w14:paraId="265E7646" w14:textId="77777777" w:rsidR="00D95D78" w:rsidRPr="004E13E9" w:rsidRDefault="00D95D78" w:rsidP="00B07693">
            <w:pPr>
              <w:autoSpaceDE w:val="0"/>
              <w:jc w:val="both"/>
              <w:rPr>
                <w:rFonts w:ascii="Cambria" w:hAnsi="Cambria"/>
                <w:sz w:val="20"/>
                <w:szCs w:val="20"/>
                <w:lang w:eastAsia="ar-SA"/>
              </w:rPr>
            </w:pPr>
          </w:p>
          <w:p w14:paraId="10EC3366" w14:textId="77777777" w:rsidR="00D95D78" w:rsidRPr="004E13E9" w:rsidRDefault="00D95D78" w:rsidP="00B07693">
            <w:pPr>
              <w:jc w:val="both"/>
              <w:rPr>
                <w:rFonts w:ascii="Cambria" w:hAnsi="Cambria"/>
                <w:color w:val="auto"/>
                <w:sz w:val="20"/>
                <w:szCs w:val="20"/>
              </w:rPr>
            </w:pPr>
            <w:r w:rsidRPr="004E13E9">
              <w:rPr>
                <w:rFonts w:ascii="Cambria" w:hAnsi="Cambria"/>
                <w:sz w:val="20"/>
                <w:szCs w:val="20"/>
              </w:rPr>
              <w:t xml:space="preserve">Tout thon rouge dont la taille sera inférieure à la taille minimale sera consigné et déduit du quota alloué. </w:t>
            </w:r>
          </w:p>
        </w:tc>
        <w:tc>
          <w:tcPr>
            <w:tcW w:w="2693" w:type="dxa"/>
          </w:tcPr>
          <w:p w14:paraId="507C8CF9"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Résolution ADM/ARAP n° 006 (du 4 février 2026) adoptant et mettant en œuvre des mesures de conservation et de gestion pour le thon rouge de l'Atlantique Est et de la Méditerranée (</w:t>
            </w:r>
            <w:proofErr w:type="spellStart"/>
            <w:r w:rsidRPr="004E13E9">
              <w:rPr>
                <w:rFonts w:ascii="Cambria" w:hAnsi="Cambria"/>
                <w:i/>
                <w:iCs/>
                <w:color w:val="auto"/>
                <w:sz w:val="20"/>
                <w:szCs w:val="20"/>
              </w:rPr>
              <w:t>Thunnus</w:t>
            </w:r>
            <w:proofErr w:type="spellEnd"/>
            <w:r w:rsidRPr="004E13E9">
              <w:rPr>
                <w:rFonts w:ascii="Cambria" w:hAnsi="Cambria"/>
                <w:i/>
                <w:iCs/>
                <w:color w:val="auto"/>
                <w:sz w:val="20"/>
                <w:szCs w:val="20"/>
              </w:rPr>
              <w:t xml:space="preserve"> </w:t>
            </w:r>
            <w:proofErr w:type="spellStart"/>
            <w:r w:rsidRPr="004E13E9">
              <w:rPr>
                <w:rFonts w:ascii="Cambria" w:hAnsi="Cambria"/>
                <w:i/>
                <w:iCs/>
                <w:color w:val="auto"/>
                <w:sz w:val="20"/>
                <w:szCs w:val="20"/>
              </w:rPr>
              <w:t>thynnus</w:t>
            </w:r>
            <w:proofErr w:type="spellEnd"/>
            <w:r w:rsidRPr="004E13E9">
              <w:rPr>
                <w:rFonts w:ascii="Cambria" w:hAnsi="Cambria"/>
                <w:color w:val="auto"/>
                <w:sz w:val="20"/>
                <w:szCs w:val="20"/>
              </w:rPr>
              <w:t>) dans la République du Panama, conformément à la Recommandation 25-04.</w:t>
            </w:r>
          </w:p>
        </w:tc>
        <w:tc>
          <w:tcPr>
            <w:tcW w:w="1985" w:type="dxa"/>
          </w:tcPr>
          <w:p w14:paraId="5538F9C8"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Cette disposition s'appliquera lorsque le Panama développera sa pêcherie et maintiendra des navires enregistrés auprès de l'ICCAT et autorisés à capturer du thon rouge.</w:t>
            </w:r>
          </w:p>
        </w:tc>
      </w:tr>
      <w:tr w:rsidR="00D95D78" w:rsidRPr="004E13E9" w14:paraId="5FCDAB5B" w14:textId="77777777" w:rsidTr="00E62E84">
        <w:tc>
          <w:tcPr>
            <w:tcW w:w="454" w:type="dxa"/>
          </w:tcPr>
          <w:p w14:paraId="180586CF"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4</w:t>
            </w:r>
          </w:p>
        </w:tc>
        <w:tc>
          <w:tcPr>
            <w:tcW w:w="1809" w:type="dxa"/>
          </w:tcPr>
          <w:p w14:paraId="27116939"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 xml:space="preserve">Prises accessoires (paragraphe 37) </w:t>
            </w:r>
          </w:p>
        </w:tc>
        <w:tc>
          <w:tcPr>
            <w:tcW w:w="2552" w:type="dxa"/>
          </w:tcPr>
          <w:p w14:paraId="61FE881F"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Les navires pêchant du thon rouge de manière accidentelle sont autorisés à retenir, quelle que soit la période, des thons rouges représentant moins de 20% du total annuel des captures en poids ou en nombre de spécimens.</w:t>
            </w:r>
          </w:p>
          <w:p w14:paraId="7CB8F3FC" w14:textId="77777777" w:rsidR="00D95D78" w:rsidRPr="004E13E9" w:rsidRDefault="00D95D78" w:rsidP="00B07693">
            <w:pPr>
              <w:jc w:val="both"/>
              <w:rPr>
                <w:rFonts w:ascii="Cambria" w:hAnsi="Cambria"/>
                <w:color w:val="auto"/>
                <w:sz w:val="20"/>
                <w:szCs w:val="20"/>
              </w:rPr>
            </w:pPr>
          </w:p>
          <w:p w14:paraId="5E750BDF"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Les prises accessoires seront déduites du quota attribué.</w:t>
            </w:r>
          </w:p>
          <w:p w14:paraId="4B5557A2" w14:textId="77777777" w:rsidR="00D95D78" w:rsidRPr="004E13E9" w:rsidRDefault="00D95D78" w:rsidP="00B07693">
            <w:pPr>
              <w:jc w:val="both"/>
              <w:rPr>
                <w:rFonts w:ascii="Cambria" w:hAnsi="Cambria"/>
                <w:color w:val="auto"/>
                <w:sz w:val="20"/>
                <w:szCs w:val="20"/>
              </w:rPr>
            </w:pPr>
          </w:p>
          <w:p w14:paraId="240FB1BA" w14:textId="77777777" w:rsidR="00D95D78" w:rsidRPr="004E13E9" w:rsidRDefault="00D95D78" w:rsidP="00B07693">
            <w:pPr>
              <w:jc w:val="both"/>
              <w:rPr>
                <w:rFonts w:ascii="Cambria" w:hAnsi="Cambria"/>
                <w:color w:val="auto"/>
                <w:sz w:val="20"/>
                <w:szCs w:val="20"/>
              </w:rPr>
            </w:pPr>
          </w:p>
          <w:p w14:paraId="0921F82D" w14:textId="77777777" w:rsidR="00D95D78" w:rsidRPr="004E13E9" w:rsidRDefault="00D95D78" w:rsidP="00B07693">
            <w:pPr>
              <w:jc w:val="both"/>
              <w:rPr>
                <w:rFonts w:ascii="Cambria" w:hAnsi="Cambria"/>
                <w:color w:val="auto"/>
                <w:sz w:val="20"/>
                <w:szCs w:val="20"/>
              </w:rPr>
            </w:pPr>
          </w:p>
        </w:tc>
        <w:tc>
          <w:tcPr>
            <w:tcW w:w="2693" w:type="dxa"/>
          </w:tcPr>
          <w:p w14:paraId="773A9463" w14:textId="77777777" w:rsidR="00D95D78" w:rsidRPr="004E13E9" w:rsidRDefault="00D95D78" w:rsidP="00B07693">
            <w:pPr>
              <w:jc w:val="both"/>
              <w:rPr>
                <w:rFonts w:ascii="Cambria" w:hAnsi="Cambria"/>
                <w:sz w:val="20"/>
                <w:szCs w:val="20"/>
              </w:rPr>
            </w:pPr>
            <w:r w:rsidRPr="004E13E9">
              <w:rPr>
                <w:rFonts w:ascii="Cambria" w:hAnsi="Cambria"/>
                <w:color w:val="auto"/>
                <w:sz w:val="20"/>
                <w:szCs w:val="20"/>
              </w:rPr>
              <w:t>Résolution ADM/ARAP n° 006 (du 4 février 2026) adoptant et mettant en œuvre des mesures de conservation et de gestion pour le thon rouge de l'Atlantique Est et de la Méditerranée (</w:t>
            </w:r>
            <w:proofErr w:type="spellStart"/>
            <w:r w:rsidRPr="004E13E9">
              <w:rPr>
                <w:rFonts w:ascii="Cambria" w:hAnsi="Cambria"/>
                <w:i/>
                <w:iCs/>
                <w:color w:val="auto"/>
                <w:sz w:val="20"/>
                <w:szCs w:val="20"/>
              </w:rPr>
              <w:t>Thunnus</w:t>
            </w:r>
            <w:proofErr w:type="spellEnd"/>
            <w:r w:rsidRPr="004E13E9">
              <w:rPr>
                <w:rFonts w:ascii="Cambria" w:hAnsi="Cambria"/>
                <w:i/>
                <w:iCs/>
                <w:color w:val="auto"/>
                <w:sz w:val="20"/>
                <w:szCs w:val="20"/>
              </w:rPr>
              <w:t xml:space="preserve"> </w:t>
            </w:r>
            <w:proofErr w:type="spellStart"/>
            <w:r w:rsidRPr="004E13E9">
              <w:rPr>
                <w:rFonts w:ascii="Cambria" w:hAnsi="Cambria"/>
                <w:i/>
                <w:iCs/>
                <w:color w:val="auto"/>
                <w:sz w:val="20"/>
                <w:szCs w:val="20"/>
              </w:rPr>
              <w:t>thynnus</w:t>
            </w:r>
            <w:proofErr w:type="spellEnd"/>
            <w:r w:rsidRPr="004E13E9">
              <w:rPr>
                <w:rFonts w:ascii="Cambria" w:hAnsi="Cambria"/>
                <w:color w:val="auto"/>
                <w:sz w:val="20"/>
                <w:szCs w:val="20"/>
              </w:rPr>
              <w:t>) dans la République du Panama, conformément à la Recommandation 25-04.</w:t>
            </w:r>
          </w:p>
        </w:tc>
        <w:tc>
          <w:tcPr>
            <w:tcW w:w="1985" w:type="dxa"/>
          </w:tcPr>
          <w:p w14:paraId="1D5B8317"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Les prises accessoires autorisées, ainsi que la méthodologie de calcul, seront déterminées plus en détail lorsque le Panama développera sa pêcherie et maintiendra les navires enregistrés auprès de l'ICCAT et autorisés à capturer du thon rouge.</w:t>
            </w:r>
          </w:p>
          <w:p w14:paraId="5AC0DD33" w14:textId="77777777" w:rsidR="00D95D78" w:rsidRPr="004E13E9" w:rsidRDefault="00D95D78" w:rsidP="00B07693">
            <w:pPr>
              <w:jc w:val="both"/>
              <w:rPr>
                <w:rFonts w:ascii="Cambria" w:hAnsi="Cambria"/>
                <w:color w:val="auto"/>
                <w:sz w:val="20"/>
                <w:szCs w:val="20"/>
              </w:rPr>
            </w:pPr>
          </w:p>
          <w:p w14:paraId="33F2D12F"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 xml:space="preserve">La procédure prévue au paragraphe 89, la désignation des ports dans les paragraphes 80-84, paragraphe 94 (transbordements) et les mesures commerciales du paragr. 231 seront considérés de la même manière.   </w:t>
            </w:r>
          </w:p>
          <w:p w14:paraId="054FC1E2" w14:textId="77777777" w:rsidR="00D95D78" w:rsidRPr="004E13E9" w:rsidRDefault="00D95D78" w:rsidP="00B07693">
            <w:pPr>
              <w:jc w:val="both"/>
              <w:rPr>
                <w:rFonts w:ascii="Cambria" w:hAnsi="Cambria"/>
                <w:color w:val="auto"/>
                <w:sz w:val="20"/>
                <w:szCs w:val="20"/>
              </w:rPr>
            </w:pPr>
          </w:p>
        </w:tc>
      </w:tr>
      <w:tr w:rsidR="00D95D78" w:rsidRPr="006A2397" w14:paraId="21C1AE8A" w14:textId="77777777" w:rsidTr="00E62E84">
        <w:tc>
          <w:tcPr>
            <w:tcW w:w="454" w:type="dxa"/>
          </w:tcPr>
          <w:p w14:paraId="70339AFF"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5</w:t>
            </w:r>
          </w:p>
        </w:tc>
        <w:tc>
          <w:tcPr>
            <w:tcW w:w="1809" w:type="dxa"/>
          </w:tcPr>
          <w:p w14:paraId="06CE19C8"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Pêcheries récréatives et sportives (paragraphes 38-46)</w:t>
            </w:r>
          </w:p>
        </w:tc>
        <w:tc>
          <w:tcPr>
            <w:tcW w:w="2552" w:type="dxa"/>
          </w:tcPr>
          <w:p w14:paraId="2BBFCBEC"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La pêche récréative et sportive du thon rouge est interdite.</w:t>
            </w:r>
          </w:p>
        </w:tc>
        <w:tc>
          <w:tcPr>
            <w:tcW w:w="2693" w:type="dxa"/>
          </w:tcPr>
          <w:p w14:paraId="77FEF466"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Résolution ADM/ARAP n° 006 (du 4 février 2026) adoptant et mettant en œuvre des mesures de conservation et de gestion pour le thon rouge de l'Atlantique Est et de la Méditerranée (</w:t>
            </w:r>
            <w:proofErr w:type="spellStart"/>
            <w:r w:rsidRPr="004E13E9">
              <w:rPr>
                <w:rFonts w:ascii="Cambria" w:hAnsi="Cambria"/>
                <w:i/>
                <w:iCs/>
                <w:color w:val="auto"/>
                <w:sz w:val="20"/>
                <w:szCs w:val="20"/>
              </w:rPr>
              <w:t>Thunnus</w:t>
            </w:r>
            <w:proofErr w:type="spellEnd"/>
            <w:r w:rsidRPr="004E13E9">
              <w:rPr>
                <w:rFonts w:ascii="Cambria" w:hAnsi="Cambria"/>
                <w:i/>
                <w:iCs/>
                <w:color w:val="auto"/>
                <w:sz w:val="20"/>
                <w:szCs w:val="20"/>
              </w:rPr>
              <w:t xml:space="preserve"> </w:t>
            </w:r>
            <w:proofErr w:type="spellStart"/>
            <w:r w:rsidRPr="004E13E9">
              <w:rPr>
                <w:rFonts w:ascii="Cambria" w:hAnsi="Cambria"/>
                <w:i/>
                <w:iCs/>
                <w:color w:val="auto"/>
                <w:sz w:val="20"/>
                <w:szCs w:val="20"/>
              </w:rPr>
              <w:t>thynnus</w:t>
            </w:r>
            <w:proofErr w:type="spellEnd"/>
            <w:r w:rsidRPr="004E13E9">
              <w:rPr>
                <w:rFonts w:ascii="Cambria" w:hAnsi="Cambria"/>
                <w:color w:val="auto"/>
                <w:sz w:val="20"/>
                <w:szCs w:val="20"/>
              </w:rPr>
              <w:t>) dans la République du Panama, conformément à la Recommandation 25-04.</w:t>
            </w:r>
          </w:p>
        </w:tc>
        <w:tc>
          <w:tcPr>
            <w:tcW w:w="1985" w:type="dxa"/>
          </w:tcPr>
          <w:p w14:paraId="0AF2DAD4" w14:textId="77777777" w:rsidR="00D95D78" w:rsidRPr="004E13E9" w:rsidRDefault="00D95D78" w:rsidP="00B07693">
            <w:pPr>
              <w:jc w:val="both"/>
              <w:rPr>
                <w:rFonts w:ascii="Cambria" w:hAnsi="Cambria"/>
                <w:color w:val="auto"/>
                <w:sz w:val="20"/>
                <w:szCs w:val="20"/>
              </w:rPr>
            </w:pPr>
          </w:p>
        </w:tc>
      </w:tr>
      <w:tr w:rsidR="00D95D78" w:rsidRPr="006A2397" w14:paraId="0BF5E6EB" w14:textId="77777777" w:rsidTr="00E62E84">
        <w:tc>
          <w:tcPr>
            <w:tcW w:w="454" w:type="dxa"/>
          </w:tcPr>
          <w:p w14:paraId="1E51AE77"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6</w:t>
            </w:r>
          </w:p>
        </w:tc>
        <w:tc>
          <w:tcPr>
            <w:tcW w:w="1809" w:type="dxa"/>
          </w:tcPr>
          <w:p w14:paraId="3E9EC5E6"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 xml:space="preserve">Transbordement (paragraphes 89-94) </w:t>
            </w:r>
          </w:p>
        </w:tc>
        <w:tc>
          <w:tcPr>
            <w:tcW w:w="2552" w:type="dxa"/>
          </w:tcPr>
          <w:p w14:paraId="6C1AEB02" w14:textId="77777777" w:rsidR="00D95D78" w:rsidRPr="004E13E9" w:rsidRDefault="00D95D78" w:rsidP="00B07693">
            <w:pPr>
              <w:jc w:val="both"/>
              <w:rPr>
                <w:rFonts w:ascii="Cambria" w:hAnsi="Cambria"/>
                <w:sz w:val="20"/>
                <w:szCs w:val="20"/>
              </w:rPr>
            </w:pPr>
            <w:r w:rsidRPr="004E13E9">
              <w:rPr>
                <w:rFonts w:ascii="Cambria" w:hAnsi="Cambria"/>
                <w:color w:val="auto"/>
                <w:sz w:val="20"/>
                <w:szCs w:val="20"/>
              </w:rPr>
              <w:t>Le transbordement en haute mer est interdit.</w:t>
            </w:r>
            <w:r w:rsidRPr="004E13E9">
              <w:rPr>
                <w:rFonts w:ascii="Cambria" w:hAnsi="Cambria"/>
                <w:sz w:val="20"/>
                <w:szCs w:val="20"/>
              </w:rPr>
              <w:t xml:space="preserve"> </w:t>
            </w:r>
          </w:p>
          <w:p w14:paraId="5FB69F7D" w14:textId="77777777" w:rsidR="00D95D78" w:rsidRPr="004E13E9" w:rsidRDefault="00D95D78" w:rsidP="00B07693">
            <w:pPr>
              <w:jc w:val="both"/>
              <w:rPr>
                <w:rFonts w:ascii="Cambria" w:hAnsi="Cambria"/>
                <w:sz w:val="20"/>
                <w:szCs w:val="20"/>
              </w:rPr>
            </w:pPr>
          </w:p>
          <w:p w14:paraId="7C1170AC"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 xml:space="preserve">Le transbordement n'est autorisé que dans les ports désignés à cet effet. </w:t>
            </w:r>
          </w:p>
          <w:p w14:paraId="441C76C3" w14:textId="77777777" w:rsidR="00D95D78" w:rsidRPr="004E13E9" w:rsidRDefault="00D95D78" w:rsidP="00B07693">
            <w:pPr>
              <w:jc w:val="both"/>
              <w:rPr>
                <w:rFonts w:ascii="Cambria" w:hAnsi="Cambria"/>
                <w:color w:val="auto"/>
                <w:sz w:val="20"/>
                <w:szCs w:val="20"/>
              </w:rPr>
            </w:pPr>
          </w:p>
          <w:p w14:paraId="1304EF7C"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 xml:space="preserve">Tout transbordement doit faire l'objet d'une autorisation préalable et être notifié par le capitaine ou son représentant à l'autorité du pavillon aux heures prévues à cet effet, conformément aux règles nationales. </w:t>
            </w:r>
          </w:p>
          <w:p w14:paraId="3F6416F4" w14:textId="77777777" w:rsidR="00D95D78" w:rsidRPr="004E13E9" w:rsidRDefault="00D95D78" w:rsidP="00B07693">
            <w:pPr>
              <w:jc w:val="both"/>
              <w:rPr>
                <w:rFonts w:ascii="Cambria" w:hAnsi="Cambria"/>
                <w:color w:val="auto"/>
                <w:sz w:val="20"/>
                <w:szCs w:val="20"/>
              </w:rPr>
            </w:pPr>
          </w:p>
          <w:p w14:paraId="7DD15D3D"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 xml:space="preserve">Les capitaines des navires de pêche effectuant des transbordements doivent remplir la déclaration de transbordement de l’ICCAT et l'envoyer dans les délais fixés conformément à l'annexe 3. La déclaration de transbordement doit être reliée à l'eBCD afin de faciliter les vérifications croisées. </w:t>
            </w:r>
          </w:p>
          <w:p w14:paraId="63F2DBC1" w14:textId="77777777" w:rsidR="00D95D78" w:rsidRPr="004E13E9" w:rsidRDefault="00D95D78" w:rsidP="00B07693">
            <w:pPr>
              <w:jc w:val="both"/>
              <w:rPr>
                <w:rFonts w:ascii="Cambria" w:hAnsi="Cambria"/>
                <w:color w:val="auto"/>
                <w:sz w:val="20"/>
                <w:szCs w:val="20"/>
              </w:rPr>
            </w:pPr>
          </w:p>
        </w:tc>
        <w:tc>
          <w:tcPr>
            <w:tcW w:w="2693" w:type="dxa"/>
          </w:tcPr>
          <w:p w14:paraId="76E558D8"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Résolution ADM/ARAP n° 006 (du 4 février 2026) adoptant et mettant en œuvre des mesures de conservation et de gestion pour le thon rouge de l'Atlantique Est et de la Méditerranée (</w:t>
            </w:r>
            <w:proofErr w:type="spellStart"/>
            <w:r w:rsidRPr="004E13E9">
              <w:rPr>
                <w:rFonts w:ascii="Cambria" w:hAnsi="Cambria"/>
                <w:i/>
                <w:iCs/>
                <w:color w:val="auto"/>
                <w:sz w:val="20"/>
                <w:szCs w:val="20"/>
              </w:rPr>
              <w:t>Thunnus</w:t>
            </w:r>
            <w:proofErr w:type="spellEnd"/>
            <w:r w:rsidRPr="004E13E9">
              <w:rPr>
                <w:rFonts w:ascii="Cambria" w:hAnsi="Cambria"/>
                <w:i/>
                <w:iCs/>
                <w:color w:val="auto"/>
                <w:sz w:val="20"/>
                <w:szCs w:val="20"/>
              </w:rPr>
              <w:t xml:space="preserve"> </w:t>
            </w:r>
            <w:proofErr w:type="spellStart"/>
            <w:r w:rsidRPr="004E13E9">
              <w:rPr>
                <w:rFonts w:ascii="Cambria" w:hAnsi="Cambria"/>
                <w:i/>
                <w:iCs/>
                <w:color w:val="auto"/>
                <w:sz w:val="20"/>
                <w:szCs w:val="20"/>
              </w:rPr>
              <w:t>thynnus</w:t>
            </w:r>
            <w:proofErr w:type="spellEnd"/>
            <w:r w:rsidRPr="004E13E9">
              <w:rPr>
                <w:rFonts w:ascii="Cambria" w:hAnsi="Cambria"/>
                <w:color w:val="auto"/>
                <w:sz w:val="20"/>
                <w:szCs w:val="20"/>
              </w:rPr>
              <w:t>) dans la République du Panama, conformément à la Recommandation 25-04.</w:t>
            </w:r>
          </w:p>
        </w:tc>
        <w:tc>
          <w:tcPr>
            <w:tcW w:w="1985" w:type="dxa"/>
          </w:tcPr>
          <w:p w14:paraId="578E5F96" w14:textId="77777777" w:rsidR="00D95D78" w:rsidRPr="004E13E9" w:rsidRDefault="00D95D78" w:rsidP="00B07693">
            <w:pPr>
              <w:jc w:val="both"/>
              <w:rPr>
                <w:rFonts w:ascii="Cambria" w:hAnsi="Cambria"/>
                <w:color w:val="auto"/>
                <w:sz w:val="20"/>
                <w:szCs w:val="20"/>
              </w:rPr>
            </w:pPr>
          </w:p>
        </w:tc>
      </w:tr>
      <w:tr w:rsidR="00D95D78" w:rsidRPr="006A2397" w14:paraId="60D8D183" w14:textId="77777777" w:rsidTr="00E62E84">
        <w:tc>
          <w:tcPr>
            <w:tcW w:w="454" w:type="dxa"/>
          </w:tcPr>
          <w:p w14:paraId="73A88EA6"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7</w:t>
            </w:r>
          </w:p>
        </w:tc>
        <w:tc>
          <w:tcPr>
            <w:tcW w:w="1809" w:type="dxa"/>
          </w:tcPr>
          <w:p w14:paraId="247568DF"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VMS (paragraphes </w:t>
            </w:r>
          </w:p>
          <w:p w14:paraId="47450283"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222-228)</w:t>
            </w:r>
          </w:p>
        </w:tc>
        <w:tc>
          <w:tcPr>
            <w:tcW w:w="2552" w:type="dxa"/>
          </w:tcPr>
          <w:p w14:paraId="3D7E2AB7"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 xml:space="preserve">Le Panama dispose d'un système de surveillance des navires (VMS) pour tous ses navires titulaires d’une licence commerciale pour pratiquer la pêche internationale et les activités liées à la pêche. Ces navires sont tenus de transmettre leur position par VMS toutes les heures. </w:t>
            </w:r>
          </w:p>
          <w:p w14:paraId="2C398121"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De même, la transmission des données VMS au Secrétariat de l'ICCAT par chaque navire de pêche autorisé soumis à l'exigence VMS en vertu de la Rec. 25-04 devra commencer au moins cinq jours avant et se poursuivre au moins cinq jours après la période d'autorisation, à moins que le navire ne soit retiré de la liste des navires autorisés.</w:t>
            </w:r>
          </w:p>
        </w:tc>
        <w:tc>
          <w:tcPr>
            <w:tcW w:w="2693" w:type="dxa"/>
          </w:tcPr>
          <w:p w14:paraId="351B8FE1" w14:textId="77777777" w:rsidR="00D95D78" w:rsidRPr="004E13E9" w:rsidRDefault="00D95D78" w:rsidP="00B07693">
            <w:pPr>
              <w:jc w:val="both"/>
              <w:rPr>
                <w:rFonts w:ascii="Cambria" w:hAnsi="Cambria"/>
                <w:sz w:val="20"/>
                <w:szCs w:val="20"/>
              </w:rPr>
            </w:pPr>
            <w:r w:rsidRPr="004E13E9">
              <w:rPr>
                <w:rFonts w:ascii="Cambria" w:hAnsi="Cambria"/>
                <w:sz w:val="20"/>
                <w:szCs w:val="20"/>
              </w:rPr>
              <w:t>Résolution ADM/ARAP n° 006 (du 4 février 2026) adoptant et mettant en œuvre des mesures de conservation et de gestion pour le thon rouge de l'Atlantique Est et de la Méditerranée (</w:t>
            </w:r>
            <w:proofErr w:type="spellStart"/>
            <w:r w:rsidRPr="004E13E9">
              <w:rPr>
                <w:rFonts w:ascii="Cambria" w:hAnsi="Cambria"/>
                <w:i/>
                <w:iCs/>
                <w:sz w:val="20"/>
                <w:szCs w:val="20"/>
              </w:rPr>
              <w:t>Thunnus</w:t>
            </w:r>
            <w:proofErr w:type="spellEnd"/>
            <w:r w:rsidRPr="004E13E9">
              <w:rPr>
                <w:rFonts w:ascii="Cambria" w:hAnsi="Cambria"/>
                <w:i/>
                <w:iCs/>
                <w:sz w:val="20"/>
                <w:szCs w:val="20"/>
              </w:rPr>
              <w:t xml:space="preserve"> </w:t>
            </w:r>
            <w:proofErr w:type="spellStart"/>
            <w:r w:rsidRPr="004E13E9">
              <w:rPr>
                <w:rFonts w:ascii="Cambria" w:hAnsi="Cambria"/>
                <w:i/>
                <w:iCs/>
                <w:sz w:val="20"/>
                <w:szCs w:val="20"/>
              </w:rPr>
              <w:t>thynnus</w:t>
            </w:r>
            <w:proofErr w:type="spellEnd"/>
            <w:r w:rsidRPr="004E13E9">
              <w:rPr>
                <w:rFonts w:ascii="Cambria" w:hAnsi="Cambria"/>
                <w:sz w:val="20"/>
                <w:szCs w:val="20"/>
              </w:rPr>
              <w:t>) dans la République du Panama, conformément à la Recommandation 25-04.</w:t>
            </w:r>
          </w:p>
          <w:p w14:paraId="7D6B69C0" w14:textId="77777777" w:rsidR="00D95D78" w:rsidRPr="004E13E9" w:rsidRDefault="00D95D78" w:rsidP="00B07693">
            <w:pPr>
              <w:jc w:val="both"/>
              <w:rPr>
                <w:rFonts w:ascii="Cambria" w:hAnsi="Cambria"/>
                <w:sz w:val="20"/>
                <w:szCs w:val="20"/>
              </w:rPr>
            </w:pPr>
          </w:p>
          <w:p w14:paraId="1CC4E1BD" w14:textId="77777777" w:rsidR="00D95D78" w:rsidRPr="004E13E9" w:rsidRDefault="00D95D78" w:rsidP="00B07693">
            <w:pPr>
              <w:jc w:val="both"/>
              <w:rPr>
                <w:rFonts w:ascii="Cambria" w:hAnsi="Cambria"/>
                <w:sz w:val="20"/>
                <w:szCs w:val="20"/>
              </w:rPr>
            </w:pPr>
            <w:r w:rsidRPr="004E13E9">
              <w:rPr>
                <w:rFonts w:ascii="Cambria" w:hAnsi="Cambria"/>
                <w:sz w:val="20"/>
                <w:szCs w:val="20"/>
              </w:rPr>
              <w:t xml:space="preserve">Loi 204 du 18 mars 2021 </w:t>
            </w:r>
            <w:r w:rsidRPr="004E13E9">
              <w:rPr>
                <w:rFonts w:ascii="Cambria" w:hAnsi="Cambria"/>
                <w:color w:val="auto"/>
                <w:sz w:val="20"/>
                <w:szCs w:val="20"/>
              </w:rPr>
              <w:t>réglementant la pêche et l'aquaculture dans la République du Panama</w:t>
            </w:r>
            <w:r w:rsidRPr="004E13E9">
              <w:rPr>
                <w:rFonts w:ascii="Cambria" w:hAnsi="Cambria"/>
                <w:sz w:val="20"/>
                <w:szCs w:val="20"/>
              </w:rPr>
              <w:t xml:space="preserve">. </w:t>
            </w:r>
          </w:p>
          <w:p w14:paraId="4814D438" w14:textId="77777777" w:rsidR="00D95D78" w:rsidRPr="004E13E9" w:rsidRDefault="00D95D78" w:rsidP="00B07693">
            <w:pPr>
              <w:jc w:val="both"/>
              <w:rPr>
                <w:rFonts w:ascii="Cambria" w:hAnsi="Cambria"/>
                <w:sz w:val="20"/>
                <w:szCs w:val="20"/>
              </w:rPr>
            </w:pPr>
          </w:p>
          <w:p w14:paraId="621E49E6" w14:textId="77777777" w:rsidR="00D95D78" w:rsidRPr="004E13E9" w:rsidRDefault="00D95D78" w:rsidP="00B07693">
            <w:pPr>
              <w:jc w:val="both"/>
              <w:rPr>
                <w:rFonts w:ascii="Cambria" w:hAnsi="Cambria"/>
                <w:color w:val="auto"/>
                <w:sz w:val="20"/>
                <w:szCs w:val="20"/>
              </w:rPr>
            </w:pPr>
            <w:r w:rsidRPr="004E13E9">
              <w:rPr>
                <w:rFonts w:ascii="Cambria" w:hAnsi="Cambria"/>
                <w:sz w:val="20"/>
                <w:szCs w:val="20"/>
              </w:rPr>
              <w:t xml:space="preserve">Décret 13 du 1er novembre 2023, réglementant la loi 204 de 2021. </w:t>
            </w:r>
          </w:p>
        </w:tc>
        <w:tc>
          <w:tcPr>
            <w:tcW w:w="1985" w:type="dxa"/>
          </w:tcPr>
          <w:p w14:paraId="3F05E96D" w14:textId="77777777" w:rsidR="00D95D78" w:rsidRPr="004E13E9" w:rsidRDefault="00D95D78" w:rsidP="00B07693">
            <w:pPr>
              <w:jc w:val="both"/>
              <w:rPr>
                <w:rFonts w:ascii="Cambria" w:hAnsi="Cambria"/>
                <w:color w:val="auto"/>
                <w:sz w:val="20"/>
                <w:szCs w:val="20"/>
              </w:rPr>
            </w:pPr>
          </w:p>
        </w:tc>
      </w:tr>
      <w:tr w:rsidR="00D95D78" w:rsidRPr="006A2397" w14:paraId="323FE14F" w14:textId="77777777" w:rsidTr="00E62E84">
        <w:tc>
          <w:tcPr>
            <w:tcW w:w="454" w:type="dxa"/>
          </w:tcPr>
          <w:p w14:paraId="78EA8366"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8</w:t>
            </w:r>
          </w:p>
        </w:tc>
        <w:tc>
          <w:tcPr>
            <w:tcW w:w="1809" w:type="dxa"/>
          </w:tcPr>
          <w:p w14:paraId="57BFE713"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Programme d’observateurs des CPC (paragraphes 95-100)</w:t>
            </w:r>
          </w:p>
        </w:tc>
        <w:tc>
          <w:tcPr>
            <w:tcW w:w="2552" w:type="dxa"/>
          </w:tcPr>
          <w:p w14:paraId="7810AA07"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Les navires battant pavillon panaméen ne font pas partie des segments de flottille définis au paragraphe 95 aux fins du respect des taux de couverture du programme national d'observateurs à bord.</w:t>
            </w:r>
          </w:p>
        </w:tc>
        <w:tc>
          <w:tcPr>
            <w:tcW w:w="2693" w:type="dxa"/>
          </w:tcPr>
          <w:p w14:paraId="3257BE7D"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Résolution ADM/ARAP n° 006 (du 4 février 2026) adoptant et mettant en œuvre des mesures de conservation et de gestion pour le thon rouge de l'Atlantique Est et de la Méditerranée (</w:t>
            </w:r>
            <w:proofErr w:type="spellStart"/>
            <w:r w:rsidRPr="004E13E9">
              <w:rPr>
                <w:rFonts w:ascii="Cambria" w:hAnsi="Cambria"/>
                <w:i/>
                <w:iCs/>
                <w:color w:val="auto"/>
                <w:sz w:val="20"/>
                <w:szCs w:val="20"/>
              </w:rPr>
              <w:t>Thunnus</w:t>
            </w:r>
            <w:proofErr w:type="spellEnd"/>
            <w:r w:rsidRPr="004E13E9">
              <w:rPr>
                <w:rFonts w:ascii="Cambria" w:hAnsi="Cambria"/>
                <w:i/>
                <w:iCs/>
                <w:color w:val="auto"/>
                <w:sz w:val="20"/>
                <w:szCs w:val="20"/>
              </w:rPr>
              <w:t xml:space="preserve"> </w:t>
            </w:r>
            <w:proofErr w:type="spellStart"/>
            <w:r w:rsidRPr="004E13E9">
              <w:rPr>
                <w:rFonts w:ascii="Cambria" w:hAnsi="Cambria"/>
                <w:i/>
                <w:iCs/>
                <w:color w:val="auto"/>
                <w:sz w:val="20"/>
                <w:szCs w:val="20"/>
              </w:rPr>
              <w:t>thynnus</w:t>
            </w:r>
            <w:proofErr w:type="spellEnd"/>
            <w:r w:rsidRPr="004E13E9">
              <w:rPr>
                <w:rFonts w:ascii="Cambria" w:hAnsi="Cambria"/>
                <w:color w:val="auto"/>
                <w:sz w:val="20"/>
                <w:szCs w:val="20"/>
              </w:rPr>
              <w:t>) dans la République du Panama, conformément à la Recommandation 25-04.</w:t>
            </w:r>
          </w:p>
        </w:tc>
        <w:tc>
          <w:tcPr>
            <w:tcW w:w="1985" w:type="dxa"/>
          </w:tcPr>
          <w:p w14:paraId="6B338345" w14:textId="77777777" w:rsidR="00D95D78" w:rsidRPr="004E13E9" w:rsidRDefault="00D95D78" w:rsidP="00B07693">
            <w:pPr>
              <w:jc w:val="both"/>
              <w:rPr>
                <w:rFonts w:ascii="Cambria" w:hAnsi="Cambria"/>
                <w:color w:val="auto"/>
                <w:sz w:val="20"/>
                <w:szCs w:val="20"/>
              </w:rPr>
            </w:pPr>
          </w:p>
        </w:tc>
      </w:tr>
      <w:tr w:rsidR="00D95D78" w:rsidRPr="004E13E9" w14:paraId="49A4A462" w14:textId="77777777" w:rsidTr="00E62E84">
        <w:tc>
          <w:tcPr>
            <w:tcW w:w="454" w:type="dxa"/>
          </w:tcPr>
          <w:p w14:paraId="57B35543"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9</w:t>
            </w:r>
          </w:p>
        </w:tc>
        <w:tc>
          <w:tcPr>
            <w:tcW w:w="1809" w:type="dxa"/>
          </w:tcPr>
          <w:p w14:paraId="15DAC2B6"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Programme d’observateurs </w:t>
            </w:r>
          </w:p>
          <w:p w14:paraId="046C6BA8"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 xml:space="preserve">régionaux  </w:t>
            </w:r>
          </w:p>
          <w:p w14:paraId="4E6AAD99"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(paragraphes 101-107)</w:t>
            </w:r>
          </w:p>
        </w:tc>
        <w:tc>
          <w:tcPr>
            <w:tcW w:w="2552" w:type="dxa"/>
          </w:tcPr>
          <w:p w14:paraId="6D92AECE"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Non applicable</w:t>
            </w:r>
          </w:p>
        </w:tc>
        <w:tc>
          <w:tcPr>
            <w:tcW w:w="2693" w:type="dxa"/>
          </w:tcPr>
          <w:p w14:paraId="2F490814"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Résolution ADM/ARAP n° 006 (du 4 février 2026) adoptant et mettant en œuvre des mesures de conservation et de gestion pour le thon rouge de l'Atlantique Est et de la Méditerranée (</w:t>
            </w:r>
            <w:proofErr w:type="spellStart"/>
            <w:r w:rsidRPr="004E13E9">
              <w:rPr>
                <w:rFonts w:ascii="Cambria" w:hAnsi="Cambria"/>
                <w:i/>
                <w:iCs/>
                <w:color w:val="auto"/>
                <w:sz w:val="20"/>
                <w:szCs w:val="20"/>
              </w:rPr>
              <w:t>Thunnus</w:t>
            </w:r>
            <w:proofErr w:type="spellEnd"/>
            <w:r w:rsidRPr="004E13E9">
              <w:rPr>
                <w:rFonts w:ascii="Cambria" w:hAnsi="Cambria"/>
                <w:i/>
                <w:iCs/>
                <w:color w:val="auto"/>
                <w:sz w:val="20"/>
                <w:szCs w:val="20"/>
              </w:rPr>
              <w:t xml:space="preserve"> </w:t>
            </w:r>
            <w:proofErr w:type="spellStart"/>
            <w:r w:rsidRPr="004E13E9">
              <w:rPr>
                <w:rFonts w:ascii="Cambria" w:hAnsi="Cambria"/>
                <w:i/>
                <w:iCs/>
                <w:color w:val="auto"/>
                <w:sz w:val="20"/>
                <w:szCs w:val="20"/>
              </w:rPr>
              <w:t>thynnus</w:t>
            </w:r>
            <w:proofErr w:type="spellEnd"/>
            <w:r w:rsidRPr="004E13E9">
              <w:rPr>
                <w:rFonts w:ascii="Cambria" w:hAnsi="Cambria"/>
                <w:color w:val="auto"/>
                <w:sz w:val="20"/>
                <w:szCs w:val="20"/>
              </w:rPr>
              <w:t>) dans la République du Panama, conformément à la Recommandation 25-04.</w:t>
            </w:r>
          </w:p>
        </w:tc>
        <w:tc>
          <w:tcPr>
            <w:tcW w:w="1985" w:type="dxa"/>
            <w:vAlign w:val="center"/>
          </w:tcPr>
          <w:p w14:paraId="1FC7A8D5"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w:t>
            </w:r>
          </w:p>
        </w:tc>
      </w:tr>
      <w:tr w:rsidR="00D95D78" w:rsidRPr="006A2397" w14:paraId="30FBD024" w14:textId="77777777" w:rsidTr="00E62E84">
        <w:tc>
          <w:tcPr>
            <w:tcW w:w="454" w:type="dxa"/>
          </w:tcPr>
          <w:p w14:paraId="4C43157F"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10</w:t>
            </w:r>
          </w:p>
        </w:tc>
        <w:tc>
          <w:tcPr>
            <w:tcW w:w="1809" w:type="dxa"/>
          </w:tcPr>
          <w:p w14:paraId="449C976E" w14:textId="77777777" w:rsidR="00D95D78" w:rsidRPr="004E13E9" w:rsidRDefault="00D95D78" w:rsidP="00B07693">
            <w:pPr>
              <w:jc w:val="both"/>
              <w:rPr>
                <w:rFonts w:ascii="Cambria" w:hAnsi="Cambria"/>
                <w:b/>
                <w:color w:val="auto"/>
                <w:sz w:val="20"/>
                <w:szCs w:val="20"/>
              </w:rPr>
            </w:pPr>
            <w:r w:rsidRPr="004E13E9">
              <w:rPr>
                <w:rFonts w:ascii="Cambria" w:hAnsi="Cambria"/>
                <w:b/>
                <w:color w:val="auto"/>
                <w:sz w:val="20"/>
                <w:szCs w:val="20"/>
              </w:rPr>
              <w:t>Législation nationale</w:t>
            </w:r>
          </w:p>
        </w:tc>
        <w:tc>
          <w:tcPr>
            <w:tcW w:w="2552" w:type="dxa"/>
          </w:tcPr>
          <w:p w14:paraId="466A3F30"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 xml:space="preserve">Il existe des législations nationales générales et spécifiques. </w:t>
            </w:r>
          </w:p>
        </w:tc>
        <w:tc>
          <w:tcPr>
            <w:tcW w:w="2693" w:type="dxa"/>
          </w:tcPr>
          <w:p w14:paraId="7506E150"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 xml:space="preserve">Loi 204 du 18 mars 2021, qui réglemente la pêche et l'aquaculture dans la République du Panama. </w:t>
            </w:r>
          </w:p>
          <w:p w14:paraId="23FEA1D7" w14:textId="77777777" w:rsidR="00D95D78" w:rsidRPr="004E13E9" w:rsidRDefault="00D95D78" w:rsidP="00B07693">
            <w:pPr>
              <w:jc w:val="both"/>
              <w:rPr>
                <w:rFonts w:ascii="Cambria" w:hAnsi="Cambria"/>
                <w:color w:val="auto"/>
                <w:sz w:val="20"/>
                <w:szCs w:val="20"/>
              </w:rPr>
            </w:pPr>
          </w:p>
          <w:p w14:paraId="7A937E9B"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Décret 13 du 1er novembre 2023, qui réglemente la loi 204 de 2021.</w:t>
            </w:r>
          </w:p>
          <w:p w14:paraId="076D07C8" w14:textId="77777777" w:rsidR="00D95D78" w:rsidRPr="004E13E9" w:rsidRDefault="00D95D78" w:rsidP="00B07693">
            <w:pPr>
              <w:jc w:val="both"/>
              <w:rPr>
                <w:rFonts w:ascii="Cambria" w:hAnsi="Cambria"/>
                <w:color w:val="auto"/>
                <w:sz w:val="20"/>
                <w:szCs w:val="20"/>
              </w:rPr>
            </w:pPr>
          </w:p>
          <w:p w14:paraId="7CD046B7"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Rés. ADM/ARAP Nº 049 du 5 octobre 2021 ; Rés. ADM/ARAP N° 092 du 18 novembre 2024, qui réglemente les exigences en matière de transbordement pour les navires de pêche commerciale du service international de capture et des activités liées à la pêche sous le pavillon panaméen.</w:t>
            </w:r>
          </w:p>
          <w:p w14:paraId="5D35CA1F" w14:textId="77777777" w:rsidR="00D95D78" w:rsidRPr="004E13E9" w:rsidRDefault="00D95D78" w:rsidP="00B07693">
            <w:pPr>
              <w:jc w:val="both"/>
              <w:rPr>
                <w:rFonts w:ascii="Cambria" w:hAnsi="Cambria"/>
                <w:color w:val="auto"/>
                <w:sz w:val="20"/>
                <w:szCs w:val="20"/>
              </w:rPr>
            </w:pPr>
          </w:p>
          <w:p w14:paraId="7397F9F9"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 xml:space="preserve">Rés. ADM/ARAP Nº 048 du 30 août 2023 mettant en œuvre l'utilisation obligatoire d'e-LAND en tant que plateforme électronique officielle pour l'enregistrement du débarquement des navires de pêche et des activités liées à la pêche des navires battant pavillon national de service international, dans les ports nationaux autorisés ou dans les ports de pays tiers, ainsi que des navires battant pavillon étranger, dans les ports nationaux autorisés.   </w:t>
            </w:r>
          </w:p>
        </w:tc>
        <w:tc>
          <w:tcPr>
            <w:tcW w:w="1985" w:type="dxa"/>
          </w:tcPr>
          <w:p w14:paraId="285DC92F" w14:textId="77777777" w:rsidR="00D95D78" w:rsidRPr="004E13E9" w:rsidRDefault="00D95D78" w:rsidP="00B07693">
            <w:pPr>
              <w:jc w:val="both"/>
              <w:rPr>
                <w:rFonts w:ascii="Cambria" w:hAnsi="Cambria"/>
                <w:color w:val="auto"/>
                <w:sz w:val="20"/>
                <w:szCs w:val="20"/>
              </w:rPr>
            </w:pPr>
          </w:p>
        </w:tc>
      </w:tr>
      <w:tr w:rsidR="00D95D78" w:rsidRPr="006A2397" w14:paraId="1BFF9FF2" w14:textId="77777777" w:rsidTr="00E62E84">
        <w:tc>
          <w:tcPr>
            <w:tcW w:w="454" w:type="dxa"/>
          </w:tcPr>
          <w:p w14:paraId="476CB42B" w14:textId="77777777" w:rsidR="00D95D78" w:rsidRPr="004E13E9" w:rsidRDefault="00D95D78" w:rsidP="00B07693">
            <w:pPr>
              <w:jc w:val="both"/>
              <w:rPr>
                <w:rFonts w:ascii="Cambria" w:hAnsi="Cambria"/>
                <w:i/>
                <w:color w:val="auto"/>
                <w:sz w:val="20"/>
                <w:szCs w:val="20"/>
              </w:rPr>
            </w:pPr>
          </w:p>
        </w:tc>
        <w:tc>
          <w:tcPr>
            <w:tcW w:w="1809" w:type="dxa"/>
          </w:tcPr>
          <w:p w14:paraId="3048AD37" w14:textId="77777777" w:rsidR="00D95D78" w:rsidRPr="004E13E9" w:rsidRDefault="00D95D78" w:rsidP="00B07693">
            <w:pPr>
              <w:jc w:val="both"/>
              <w:rPr>
                <w:rFonts w:ascii="Cambria" w:hAnsi="Cambria"/>
                <w:i/>
                <w:color w:val="auto"/>
                <w:sz w:val="20"/>
                <w:szCs w:val="20"/>
              </w:rPr>
            </w:pPr>
            <w:r w:rsidRPr="004E13E9">
              <w:rPr>
                <w:rFonts w:ascii="Cambria" w:hAnsi="Cambria"/>
                <w:i/>
                <w:color w:val="auto"/>
                <w:sz w:val="20"/>
                <w:szCs w:val="20"/>
              </w:rPr>
              <w:t>Autres exigences, telles que :</w:t>
            </w:r>
          </w:p>
          <w:p w14:paraId="6F29D76B" w14:textId="77777777" w:rsidR="00D95D78" w:rsidRPr="004E13E9" w:rsidRDefault="00D95D78" w:rsidP="00B07693">
            <w:pPr>
              <w:jc w:val="both"/>
              <w:rPr>
                <w:rFonts w:ascii="Cambria" w:hAnsi="Cambria"/>
                <w:i/>
                <w:color w:val="auto"/>
                <w:sz w:val="20"/>
                <w:szCs w:val="20"/>
              </w:rPr>
            </w:pPr>
            <w:r w:rsidRPr="004E13E9">
              <w:rPr>
                <w:rFonts w:ascii="Cambria" w:hAnsi="Cambria"/>
                <w:i/>
                <w:color w:val="auto"/>
                <w:sz w:val="20"/>
                <w:szCs w:val="20"/>
              </w:rPr>
              <w:t>programme de marquage (paragraphe 44), etc.</w:t>
            </w:r>
          </w:p>
        </w:tc>
        <w:tc>
          <w:tcPr>
            <w:tcW w:w="2552" w:type="dxa"/>
          </w:tcPr>
          <w:p w14:paraId="333A05CE" w14:textId="77777777" w:rsidR="00D95D78" w:rsidRPr="004E13E9" w:rsidRDefault="00D95D78" w:rsidP="00B07693">
            <w:pPr>
              <w:jc w:val="both"/>
              <w:rPr>
                <w:rFonts w:ascii="Cambria" w:hAnsi="Cambria"/>
                <w:color w:val="auto"/>
                <w:sz w:val="20"/>
                <w:szCs w:val="20"/>
              </w:rPr>
            </w:pPr>
            <w:r w:rsidRPr="004E13E9">
              <w:rPr>
                <w:rFonts w:ascii="Cambria" w:hAnsi="Cambria"/>
                <w:color w:val="auto"/>
                <w:sz w:val="20"/>
                <w:szCs w:val="20"/>
              </w:rPr>
              <w:t xml:space="preserve">Le Panama ne pratique pas la pêche sportive de capture et remise à l'eau dans l'Atlantique Nord-Est. </w:t>
            </w:r>
          </w:p>
        </w:tc>
        <w:tc>
          <w:tcPr>
            <w:tcW w:w="2693" w:type="dxa"/>
          </w:tcPr>
          <w:p w14:paraId="53FD72E5" w14:textId="77777777" w:rsidR="00D95D78" w:rsidRPr="004E13E9" w:rsidRDefault="00D95D78" w:rsidP="00B07693">
            <w:pPr>
              <w:jc w:val="both"/>
              <w:rPr>
                <w:rFonts w:ascii="Cambria" w:hAnsi="Cambria"/>
                <w:color w:val="auto"/>
                <w:sz w:val="20"/>
                <w:szCs w:val="20"/>
              </w:rPr>
            </w:pPr>
          </w:p>
        </w:tc>
        <w:tc>
          <w:tcPr>
            <w:tcW w:w="1985" w:type="dxa"/>
          </w:tcPr>
          <w:p w14:paraId="3D2DAAD6" w14:textId="77777777" w:rsidR="00D95D78" w:rsidRPr="004E13E9" w:rsidRDefault="00D95D78" w:rsidP="00B07693">
            <w:pPr>
              <w:jc w:val="both"/>
              <w:rPr>
                <w:rFonts w:ascii="Cambria" w:hAnsi="Cambria"/>
                <w:color w:val="auto"/>
                <w:sz w:val="20"/>
                <w:szCs w:val="20"/>
              </w:rPr>
            </w:pPr>
          </w:p>
        </w:tc>
      </w:tr>
    </w:tbl>
    <w:p w14:paraId="19D68FC4" w14:textId="7778CD40" w:rsidR="00D95D78" w:rsidRPr="004E13E9" w:rsidRDefault="00D95D78" w:rsidP="00B07693">
      <w:pPr>
        <w:jc w:val="both"/>
        <w:rPr>
          <w:b/>
          <w:i/>
          <w:lang w:val="fr-FR"/>
        </w:rPr>
      </w:pPr>
    </w:p>
    <w:p w14:paraId="5756029B" w14:textId="77777777" w:rsidR="00D95D78" w:rsidRPr="004E13E9" w:rsidRDefault="00D95D78" w:rsidP="00B07693">
      <w:pPr>
        <w:jc w:val="both"/>
        <w:rPr>
          <w:b/>
          <w:bCs/>
          <w:i/>
          <w:iCs/>
          <w:lang w:val="fr-FR"/>
        </w:rPr>
      </w:pPr>
      <w:r w:rsidRPr="004E13E9">
        <w:rPr>
          <w:b/>
          <w:i/>
          <w:lang w:val="fr-FR"/>
        </w:rPr>
        <w:t>1e) Ports désignés (paragraphe 80)</w:t>
      </w:r>
    </w:p>
    <w:p w14:paraId="19AEDB30" w14:textId="77777777" w:rsidR="00D95D78" w:rsidRPr="004E13E9" w:rsidRDefault="00D95D78" w:rsidP="00B07693">
      <w:pPr>
        <w:jc w:val="both"/>
        <w:rPr>
          <w:b/>
          <w:bCs/>
          <w:i/>
          <w:iCs/>
          <w:lang w:val="fr-FR" w:eastAsia="ja-JP"/>
        </w:rPr>
      </w:pPr>
    </w:p>
    <w:p w14:paraId="641B82F9" w14:textId="77777777" w:rsidR="00D95D78" w:rsidRPr="004E13E9" w:rsidRDefault="00D95D78" w:rsidP="00B07693">
      <w:pPr>
        <w:jc w:val="both"/>
        <w:rPr>
          <w:b/>
          <w:bCs/>
          <w:i/>
          <w:iCs/>
          <w:lang w:val="fr-FR"/>
        </w:rPr>
      </w:pPr>
      <w:r w:rsidRPr="004E13E9">
        <w:rPr>
          <w:lang w:val="fr-FR"/>
        </w:rPr>
        <w:t>La liste des principaux ports désignés pour le débarquement et le transbordement de thon rouge pour la campagne 2026 est détaillée ci-dessous, sans préjudice du respect des exigences de notification préalable, d'inspection et de validation par l'État du port :</w:t>
      </w:r>
    </w:p>
    <w:p w14:paraId="0E7C6FB0" w14:textId="77777777" w:rsidR="00D95D78" w:rsidRPr="004E13E9" w:rsidRDefault="00D95D78" w:rsidP="00B07693">
      <w:pPr>
        <w:pStyle w:val="ListParagraph"/>
        <w:jc w:val="both"/>
        <w:rPr>
          <w:rFonts w:ascii="Cambria" w:hAnsi="Cambria"/>
          <w:sz w:val="20"/>
          <w:szCs w:val="20"/>
        </w:rPr>
      </w:pPr>
    </w:p>
    <w:p w14:paraId="56D5759F" w14:textId="77777777" w:rsidR="00D95D78" w:rsidRPr="004E13E9" w:rsidRDefault="00D95D78" w:rsidP="00B07693">
      <w:pPr>
        <w:pStyle w:val="ListParagraph"/>
        <w:tabs>
          <w:tab w:val="left" w:pos="1134"/>
        </w:tabs>
        <w:jc w:val="both"/>
        <w:rPr>
          <w:rFonts w:ascii="Cambria" w:hAnsi="Cambria"/>
          <w:sz w:val="20"/>
          <w:szCs w:val="20"/>
        </w:rPr>
      </w:pPr>
      <w:r w:rsidRPr="004E13E9">
        <w:rPr>
          <w:rFonts w:ascii="Cambria" w:hAnsi="Cambria"/>
          <w:sz w:val="20"/>
          <w:szCs w:val="20"/>
        </w:rPr>
        <w:t>a) Japon : Shimizu, Yokosuka</w:t>
      </w:r>
    </w:p>
    <w:p w14:paraId="560E47ED" w14:textId="77777777" w:rsidR="00D95D78" w:rsidRPr="004E13E9" w:rsidRDefault="00D95D78" w:rsidP="00B07693">
      <w:pPr>
        <w:pStyle w:val="ListParagraph"/>
        <w:tabs>
          <w:tab w:val="left" w:pos="1134"/>
        </w:tabs>
        <w:jc w:val="both"/>
        <w:rPr>
          <w:rFonts w:ascii="Cambria" w:hAnsi="Cambria"/>
          <w:sz w:val="20"/>
          <w:szCs w:val="20"/>
        </w:rPr>
      </w:pPr>
      <w:r w:rsidRPr="004E13E9">
        <w:rPr>
          <w:rFonts w:ascii="Cambria" w:hAnsi="Cambria"/>
          <w:sz w:val="20"/>
          <w:szCs w:val="20"/>
        </w:rPr>
        <w:t>b) Malte : La Valette</w:t>
      </w:r>
    </w:p>
    <w:p w14:paraId="7CEA2FE7" w14:textId="77777777" w:rsidR="00D95D78" w:rsidRPr="004E13E9" w:rsidRDefault="00D95D78" w:rsidP="00B07693">
      <w:pPr>
        <w:pStyle w:val="ListParagraph"/>
        <w:tabs>
          <w:tab w:val="left" w:pos="1134"/>
        </w:tabs>
        <w:jc w:val="both"/>
        <w:rPr>
          <w:rFonts w:ascii="Cambria" w:hAnsi="Cambria"/>
          <w:sz w:val="20"/>
          <w:szCs w:val="20"/>
        </w:rPr>
      </w:pPr>
      <w:r w:rsidRPr="004E13E9">
        <w:rPr>
          <w:rFonts w:ascii="Cambria" w:hAnsi="Cambria"/>
          <w:sz w:val="20"/>
          <w:szCs w:val="20"/>
        </w:rPr>
        <w:t>c) République de Corée : Busan</w:t>
      </w:r>
    </w:p>
    <w:p w14:paraId="3F3CA4D5" w14:textId="77777777" w:rsidR="00D95D78" w:rsidRPr="004E13E9" w:rsidRDefault="00D95D78" w:rsidP="00B07693">
      <w:pPr>
        <w:pStyle w:val="ListParagraph"/>
        <w:tabs>
          <w:tab w:val="left" w:pos="1134"/>
        </w:tabs>
        <w:jc w:val="both"/>
        <w:rPr>
          <w:rFonts w:ascii="Cambria" w:hAnsi="Cambria"/>
          <w:sz w:val="20"/>
          <w:szCs w:val="20"/>
          <w:lang w:val="pt-PT"/>
        </w:rPr>
      </w:pPr>
      <w:r w:rsidRPr="004E13E9">
        <w:rPr>
          <w:rFonts w:ascii="Cambria" w:hAnsi="Cambria"/>
          <w:sz w:val="20"/>
          <w:szCs w:val="20"/>
          <w:lang w:val="pt-PT"/>
        </w:rPr>
        <w:t>d) Espagne : Cadix, Carthagène, Algésiras</w:t>
      </w:r>
    </w:p>
    <w:p w14:paraId="148C5939" w14:textId="77777777" w:rsidR="00D95D78" w:rsidRPr="004E13E9" w:rsidRDefault="00D95D78" w:rsidP="00B07693">
      <w:pPr>
        <w:pStyle w:val="ListParagraph"/>
        <w:tabs>
          <w:tab w:val="left" w:pos="1134"/>
        </w:tabs>
        <w:jc w:val="both"/>
        <w:rPr>
          <w:rFonts w:ascii="Cambria" w:hAnsi="Cambria"/>
          <w:sz w:val="20"/>
          <w:szCs w:val="20"/>
          <w:lang w:val="pt-PT"/>
        </w:rPr>
      </w:pPr>
      <w:r w:rsidRPr="004E13E9">
        <w:rPr>
          <w:rFonts w:ascii="Cambria" w:hAnsi="Cambria"/>
          <w:sz w:val="20"/>
          <w:szCs w:val="20"/>
          <w:lang w:val="pt-PT"/>
        </w:rPr>
        <w:t>e) Cabo Verde : Mindelo</w:t>
      </w:r>
    </w:p>
    <w:p w14:paraId="67478B03" w14:textId="77777777" w:rsidR="00D95D78" w:rsidRPr="004E13E9" w:rsidRDefault="00D95D78" w:rsidP="00B07693">
      <w:pPr>
        <w:pStyle w:val="ListParagraph"/>
        <w:tabs>
          <w:tab w:val="left" w:pos="1134"/>
        </w:tabs>
        <w:jc w:val="both"/>
        <w:rPr>
          <w:rFonts w:ascii="Cambria" w:hAnsi="Cambria"/>
          <w:sz w:val="20"/>
          <w:szCs w:val="20"/>
        </w:rPr>
      </w:pPr>
      <w:r w:rsidRPr="004E13E9">
        <w:rPr>
          <w:rFonts w:ascii="Cambria" w:hAnsi="Cambria"/>
          <w:sz w:val="20"/>
          <w:szCs w:val="20"/>
        </w:rPr>
        <w:t>f) Mauritanie : Nouadhibou</w:t>
      </w:r>
    </w:p>
    <w:p w14:paraId="3EACF1D8" w14:textId="77777777" w:rsidR="00D95D78" w:rsidRPr="004E13E9" w:rsidRDefault="00D95D78" w:rsidP="00B07693">
      <w:pPr>
        <w:pStyle w:val="ListParagraph"/>
        <w:tabs>
          <w:tab w:val="left" w:pos="1134"/>
        </w:tabs>
        <w:jc w:val="both"/>
        <w:rPr>
          <w:rFonts w:ascii="Cambria" w:hAnsi="Cambria"/>
          <w:sz w:val="20"/>
          <w:szCs w:val="20"/>
        </w:rPr>
      </w:pPr>
      <w:r w:rsidRPr="004E13E9">
        <w:rPr>
          <w:rFonts w:ascii="Cambria" w:hAnsi="Cambria"/>
          <w:sz w:val="20"/>
          <w:szCs w:val="20"/>
        </w:rPr>
        <w:t>g) Royaume du Maroc : Larache, Tanger</w:t>
      </w:r>
    </w:p>
    <w:p w14:paraId="0BC6B9B3" w14:textId="77777777" w:rsidR="00D95D78" w:rsidRPr="004E13E9" w:rsidRDefault="00D95D78" w:rsidP="00B07693">
      <w:pPr>
        <w:pStyle w:val="ListParagraph"/>
        <w:tabs>
          <w:tab w:val="left" w:pos="1134"/>
        </w:tabs>
        <w:jc w:val="both"/>
        <w:rPr>
          <w:rFonts w:ascii="Cambria" w:hAnsi="Cambria"/>
          <w:sz w:val="20"/>
          <w:szCs w:val="20"/>
          <w:lang w:val="pt-PT"/>
        </w:rPr>
      </w:pPr>
      <w:r w:rsidRPr="004E13E9">
        <w:rPr>
          <w:rFonts w:ascii="Cambria" w:hAnsi="Cambria"/>
          <w:sz w:val="20"/>
          <w:szCs w:val="20"/>
          <w:lang w:val="pt-PT"/>
        </w:rPr>
        <w:t>h) Tunisie : Sfax, Sousse</w:t>
      </w:r>
    </w:p>
    <w:p w14:paraId="61CEAD6A" w14:textId="77777777" w:rsidR="00D95D78" w:rsidRPr="004E13E9" w:rsidRDefault="00D95D78" w:rsidP="00B07693">
      <w:pPr>
        <w:pStyle w:val="ListParagraph"/>
        <w:tabs>
          <w:tab w:val="left" w:pos="1134"/>
        </w:tabs>
        <w:jc w:val="both"/>
        <w:rPr>
          <w:rFonts w:ascii="Cambria" w:hAnsi="Cambria"/>
          <w:sz w:val="20"/>
          <w:szCs w:val="20"/>
          <w:lang w:val="pt-PT"/>
        </w:rPr>
      </w:pPr>
      <w:r w:rsidRPr="004E13E9">
        <w:rPr>
          <w:rFonts w:ascii="Cambria" w:hAnsi="Cambria"/>
          <w:sz w:val="20"/>
          <w:szCs w:val="20"/>
          <w:lang w:val="pt-PT"/>
        </w:rPr>
        <w:t>i) Ghana : Tema</w:t>
      </w:r>
    </w:p>
    <w:p w14:paraId="50DFADD9" w14:textId="77777777" w:rsidR="00D95D78" w:rsidRPr="004E13E9" w:rsidRDefault="00D95D78" w:rsidP="00B07693">
      <w:pPr>
        <w:pStyle w:val="ListParagraph"/>
        <w:tabs>
          <w:tab w:val="left" w:pos="1134"/>
        </w:tabs>
        <w:jc w:val="both"/>
        <w:rPr>
          <w:rFonts w:ascii="Cambria" w:hAnsi="Cambria"/>
          <w:sz w:val="20"/>
          <w:szCs w:val="20"/>
          <w:lang w:val="pt-PT"/>
        </w:rPr>
      </w:pPr>
      <w:r w:rsidRPr="004E13E9">
        <w:rPr>
          <w:rFonts w:ascii="Cambria" w:hAnsi="Cambria"/>
          <w:sz w:val="20"/>
          <w:szCs w:val="20"/>
          <w:lang w:val="pt-PT"/>
        </w:rPr>
        <w:t>j) Grèce : Perama Peiraia</w:t>
      </w:r>
    </w:p>
    <w:p w14:paraId="301D3EB7" w14:textId="77777777" w:rsidR="00D95D78" w:rsidRPr="004E13E9" w:rsidRDefault="00D95D78" w:rsidP="00B07693">
      <w:pPr>
        <w:pStyle w:val="ListParagraph"/>
        <w:tabs>
          <w:tab w:val="left" w:pos="1134"/>
        </w:tabs>
        <w:jc w:val="both"/>
        <w:rPr>
          <w:rFonts w:ascii="Cambria" w:hAnsi="Cambria"/>
          <w:sz w:val="20"/>
          <w:szCs w:val="20"/>
        </w:rPr>
      </w:pPr>
      <w:r w:rsidRPr="004E13E9">
        <w:rPr>
          <w:rFonts w:ascii="Cambria" w:hAnsi="Cambria"/>
          <w:sz w:val="20"/>
          <w:szCs w:val="20"/>
        </w:rPr>
        <w:t>k)</w:t>
      </w:r>
      <w:r w:rsidRPr="004E13E9">
        <w:rPr>
          <w:rFonts w:ascii="Cambria" w:hAnsi="Cambria"/>
          <w:i/>
          <w:color w:val="FF0000"/>
          <w:sz w:val="20"/>
          <w:szCs w:val="20"/>
        </w:rPr>
        <w:t xml:space="preserve"> </w:t>
      </w:r>
      <w:r w:rsidRPr="004E13E9">
        <w:rPr>
          <w:rFonts w:ascii="Cambria" w:hAnsi="Cambria"/>
          <w:sz w:val="20"/>
          <w:szCs w:val="20"/>
        </w:rPr>
        <w:t>Türkiye : Izmir</w:t>
      </w:r>
    </w:p>
    <w:p w14:paraId="120E20A5" w14:textId="77777777" w:rsidR="00D95D78" w:rsidRPr="004E13E9" w:rsidRDefault="00D95D78" w:rsidP="00B07693">
      <w:pPr>
        <w:jc w:val="both"/>
        <w:rPr>
          <w:lang w:val="fr-FR"/>
        </w:rPr>
      </w:pPr>
      <w:r w:rsidRPr="004E13E9">
        <w:rPr>
          <w:lang w:val="fr-FR"/>
        </w:rPr>
        <w:t>En outre, à partir des ports identifiés dans ce plan de pêche annuel, nous indiquons que les navires battant pavillon panaméen autorisés à mener des activités liées au thon rouge de l'Atlantique Est et de la Méditerranée, classés dans la catégorie " Autres navires de thon rouge ", pourront débarquer et/ou transborder dans n'importe lequel des ports désignés pour le débarquement et le transbordement du thon rouge qui sont officiellement répertoriés et en vigueur sur la page web du Secrétariat de l'ICCAT.</w:t>
      </w:r>
    </w:p>
    <w:p w14:paraId="43072518" w14:textId="77777777" w:rsidR="00D95D78" w:rsidRPr="004E13E9" w:rsidRDefault="00D95D78" w:rsidP="00B07693">
      <w:pPr>
        <w:jc w:val="both"/>
        <w:rPr>
          <w:lang w:val="fr-FR"/>
        </w:rPr>
      </w:pPr>
    </w:p>
    <w:p w14:paraId="0426EAAE" w14:textId="77777777" w:rsidR="00D95D78" w:rsidRPr="004E13E9" w:rsidRDefault="00D95D78" w:rsidP="00B07693">
      <w:pPr>
        <w:jc w:val="both"/>
        <w:rPr>
          <w:lang w:val="fr-FR"/>
        </w:rPr>
      </w:pPr>
      <w:r w:rsidRPr="004E13E9">
        <w:rPr>
          <w:lang w:val="fr-FR"/>
        </w:rPr>
        <w:t>Les opérations de débarquement et de transbordement ne pourront avoir lieu que dans les ports susmentionnés, à condition qu'elles soient effectuées sous la supervision de l'autorité compétente de l'État du port et conformément aux dispositions prévues par la Recommandation 25-04 de l'ICCAT et aux réglementations nationales applicables.</w:t>
      </w:r>
    </w:p>
    <w:p w14:paraId="6405CA55" w14:textId="77777777" w:rsidR="00D95D78" w:rsidRPr="004E13E9" w:rsidRDefault="00D95D78" w:rsidP="00B07693">
      <w:pPr>
        <w:jc w:val="both"/>
        <w:rPr>
          <w:b/>
          <w:bCs/>
          <w:lang w:val="fr-FR"/>
        </w:rPr>
      </w:pPr>
    </w:p>
    <w:p w14:paraId="4D3016C4" w14:textId="77777777" w:rsidR="00D95D78" w:rsidRPr="004E13E9" w:rsidRDefault="00D95D78" w:rsidP="00B07693">
      <w:pPr>
        <w:jc w:val="both"/>
        <w:rPr>
          <w:b/>
          <w:bCs/>
          <w:lang w:val="fr-FR"/>
        </w:rPr>
      </w:pPr>
    </w:p>
    <w:p w14:paraId="48E628A8" w14:textId="77777777" w:rsidR="00D95D78" w:rsidRPr="004E13E9" w:rsidRDefault="00D95D78" w:rsidP="00487A5C">
      <w:pPr>
        <w:pStyle w:val="ListParagraph"/>
        <w:widowControl w:val="0"/>
        <w:numPr>
          <w:ilvl w:val="0"/>
          <w:numId w:val="46"/>
        </w:numPr>
        <w:tabs>
          <w:tab w:val="left" w:pos="426"/>
        </w:tabs>
        <w:spacing w:after="0" w:line="240" w:lineRule="auto"/>
        <w:ind w:left="426" w:hanging="426"/>
        <w:jc w:val="both"/>
        <w:rPr>
          <w:rFonts w:ascii="Cambria" w:hAnsi="Cambria"/>
          <w:b/>
          <w:sz w:val="20"/>
          <w:szCs w:val="20"/>
        </w:rPr>
      </w:pPr>
      <w:r w:rsidRPr="004E13E9">
        <w:rPr>
          <w:rFonts w:ascii="Cambria" w:hAnsi="Cambria"/>
          <w:b/>
          <w:sz w:val="20"/>
          <w:szCs w:val="20"/>
        </w:rPr>
        <w:t>Plan annuel de gestion de la capacité de pêche (paragraphes 14-21)</w:t>
      </w:r>
    </w:p>
    <w:p w14:paraId="40B28B80" w14:textId="77777777" w:rsidR="00D95D78" w:rsidRPr="004E13E9" w:rsidRDefault="00D95D78" w:rsidP="00B07693">
      <w:pPr>
        <w:pStyle w:val="ListParagraph"/>
        <w:tabs>
          <w:tab w:val="left" w:pos="426"/>
        </w:tabs>
        <w:ind w:left="426"/>
        <w:jc w:val="both"/>
        <w:rPr>
          <w:rFonts w:ascii="Cambria" w:hAnsi="Cambria"/>
          <w:b/>
          <w:sz w:val="20"/>
          <w:szCs w:val="20"/>
        </w:rPr>
      </w:pPr>
    </w:p>
    <w:p w14:paraId="1C9E7881" w14:textId="77777777" w:rsidR="00D95D78" w:rsidRPr="004E13E9" w:rsidRDefault="00D95D78" w:rsidP="00B07693">
      <w:pPr>
        <w:tabs>
          <w:tab w:val="left" w:pos="426"/>
        </w:tabs>
        <w:jc w:val="both"/>
        <w:rPr>
          <w:b/>
          <w:lang w:val="fr-FR"/>
        </w:rPr>
      </w:pPr>
      <w:r w:rsidRPr="004E13E9">
        <w:rPr>
          <w:lang w:val="fr-FR"/>
        </w:rPr>
        <w:t xml:space="preserve">Non applicable. Le Panama n'a pas encore commencé à développer sa pêcherie et a transféré le quota de thon rouge au Royaume du Maroc, informant les membres par la circulaire ICCAT # 00468-2026. </w:t>
      </w:r>
    </w:p>
    <w:p w14:paraId="0681BFE3" w14:textId="77777777" w:rsidR="00D95D78" w:rsidRPr="004E13E9" w:rsidRDefault="00D95D78" w:rsidP="00B07693">
      <w:pPr>
        <w:jc w:val="both"/>
        <w:rPr>
          <w:i/>
          <w:lang w:val="fr-FR" w:eastAsia="ja-JP"/>
        </w:rPr>
      </w:pPr>
    </w:p>
    <w:p w14:paraId="3AAB24D5" w14:textId="77777777" w:rsidR="00D95D78" w:rsidRPr="004E13E9" w:rsidRDefault="00D95D78" w:rsidP="00B07693">
      <w:pPr>
        <w:jc w:val="both"/>
        <w:rPr>
          <w:i/>
          <w:lang w:val="fr-FR" w:eastAsia="ja-JP"/>
        </w:rPr>
      </w:pPr>
    </w:p>
    <w:p w14:paraId="52B0D027" w14:textId="77777777" w:rsidR="00D95D78" w:rsidRPr="004E13E9" w:rsidRDefault="00D95D78" w:rsidP="00487A5C">
      <w:pPr>
        <w:pStyle w:val="ListParagraph"/>
        <w:widowControl w:val="0"/>
        <w:numPr>
          <w:ilvl w:val="0"/>
          <w:numId w:val="46"/>
        </w:numPr>
        <w:spacing w:after="0" w:line="240" w:lineRule="auto"/>
        <w:ind w:left="426" w:hanging="426"/>
        <w:jc w:val="both"/>
        <w:rPr>
          <w:rFonts w:ascii="Cambria" w:hAnsi="Cambria"/>
          <w:b/>
          <w:sz w:val="20"/>
          <w:szCs w:val="20"/>
        </w:rPr>
      </w:pPr>
      <w:r w:rsidRPr="004E13E9">
        <w:rPr>
          <w:rFonts w:ascii="Cambria" w:hAnsi="Cambria"/>
          <w:b/>
          <w:sz w:val="20"/>
          <w:szCs w:val="20"/>
        </w:rPr>
        <w:t xml:space="preserve">Plan annuel de gestion de l'élevage (paragraphes </w:t>
      </w:r>
      <w:r w:rsidRPr="004E13E9">
        <w:rPr>
          <w:rStyle w:val="Hyperlink"/>
          <w:rFonts w:ascii="Cambria" w:hAnsi="Cambria"/>
          <w:sz w:val="20"/>
          <w:szCs w:val="20"/>
          <w:u w:val="none"/>
        </w:rPr>
        <w:t>22-23</w:t>
      </w:r>
      <w:r w:rsidRPr="004E13E9">
        <w:rPr>
          <w:rFonts w:ascii="Cambria" w:hAnsi="Cambria"/>
          <w:b/>
          <w:sz w:val="20"/>
          <w:szCs w:val="20"/>
        </w:rPr>
        <w:t>), le cas échéant</w:t>
      </w:r>
    </w:p>
    <w:p w14:paraId="642E3AAA" w14:textId="77777777" w:rsidR="00D95D78" w:rsidRPr="004E13E9" w:rsidRDefault="00D95D78" w:rsidP="00B07693">
      <w:pPr>
        <w:pStyle w:val="ListParagraph"/>
        <w:ind w:left="426"/>
        <w:jc w:val="both"/>
        <w:rPr>
          <w:rFonts w:ascii="Cambria" w:hAnsi="Cambria"/>
          <w:b/>
          <w:sz w:val="20"/>
          <w:szCs w:val="20"/>
        </w:rPr>
      </w:pPr>
    </w:p>
    <w:p w14:paraId="5C8D6512" w14:textId="77777777" w:rsidR="00D95D78" w:rsidRPr="004E13E9" w:rsidRDefault="00D95D78" w:rsidP="00B07693">
      <w:pPr>
        <w:jc w:val="both"/>
        <w:rPr>
          <w:b/>
          <w:lang w:val="fr-FR"/>
        </w:rPr>
      </w:pPr>
      <w:r w:rsidRPr="004E13E9">
        <w:rPr>
          <w:lang w:val="fr-FR"/>
        </w:rPr>
        <w:t xml:space="preserve">Non applicable. Le Panama n'est pas une CPC d’élevage. </w:t>
      </w:r>
    </w:p>
    <w:p w14:paraId="376B5129" w14:textId="77777777" w:rsidR="00D95D78" w:rsidRPr="004E13E9" w:rsidRDefault="00D95D78" w:rsidP="00B07693">
      <w:pPr>
        <w:jc w:val="both"/>
        <w:rPr>
          <w:b/>
          <w:lang w:val="fr-FR" w:eastAsia="ja-JP"/>
        </w:rPr>
      </w:pPr>
    </w:p>
    <w:p w14:paraId="2B1561C5" w14:textId="77777777" w:rsidR="00D95D78" w:rsidRPr="004E13E9" w:rsidRDefault="00D95D78" w:rsidP="00B07693">
      <w:pPr>
        <w:jc w:val="both"/>
        <w:rPr>
          <w:b/>
          <w:lang w:val="fr-FR" w:eastAsia="ja-JP"/>
        </w:rPr>
      </w:pPr>
    </w:p>
    <w:p w14:paraId="6E548E2B" w14:textId="77777777" w:rsidR="00D95D78" w:rsidRPr="004E13E9" w:rsidRDefault="00D95D78" w:rsidP="00487A5C">
      <w:pPr>
        <w:pStyle w:val="ListParagraph"/>
        <w:widowControl w:val="0"/>
        <w:numPr>
          <w:ilvl w:val="0"/>
          <w:numId w:val="46"/>
        </w:numPr>
        <w:tabs>
          <w:tab w:val="left" w:pos="426"/>
        </w:tabs>
        <w:spacing w:after="0" w:line="240" w:lineRule="auto"/>
        <w:ind w:left="426" w:hanging="426"/>
        <w:jc w:val="both"/>
        <w:rPr>
          <w:rFonts w:ascii="Cambria" w:hAnsi="Cambria"/>
          <w:b/>
          <w:bCs/>
          <w:sz w:val="20"/>
          <w:szCs w:val="20"/>
        </w:rPr>
      </w:pPr>
      <w:r w:rsidRPr="004E13E9">
        <w:rPr>
          <w:rFonts w:ascii="Cambria" w:hAnsi="Cambria"/>
          <w:b/>
          <w:sz w:val="20"/>
          <w:szCs w:val="20"/>
        </w:rPr>
        <w:t xml:space="preserve">Plan annuel d'aquaculture (paragraphe 10e de la </w:t>
      </w:r>
      <w:hyperlink r:id="rId162" w:history="1">
        <w:r w:rsidRPr="004E13E9">
          <w:rPr>
            <w:rStyle w:val="Hyperlink"/>
            <w:rFonts w:ascii="Cambria" w:hAnsi="Cambria"/>
            <w:sz w:val="20"/>
            <w:szCs w:val="20"/>
            <w:u w:val="none"/>
          </w:rPr>
          <w:t xml:space="preserve">Rec. 24-05 </w:t>
        </w:r>
      </w:hyperlink>
      <w:r w:rsidRPr="004E13E9">
        <w:rPr>
          <w:rFonts w:ascii="Cambria" w:hAnsi="Cambria"/>
          <w:b/>
          <w:sz w:val="20"/>
          <w:szCs w:val="20"/>
        </w:rPr>
        <w:t xml:space="preserve">conformément à la </w:t>
      </w:r>
      <w:hyperlink r:id="rId163" w:history="1">
        <w:r w:rsidRPr="004E13E9">
          <w:rPr>
            <w:rStyle w:val="Hyperlink"/>
            <w:rFonts w:ascii="Cambria" w:hAnsi="Cambria"/>
            <w:sz w:val="20"/>
            <w:szCs w:val="20"/>
            <w:u w:val="none"/>
          </w:rPr>
          <w:t>Rec. 24-07</w:t>
        </w:r>
      </w:hyperlink>
      <w:r w:rsidRPr="004E13E9">
        <w:rPr>
          <w:rFonts w:ascii="Cambria" w:hAnsi="Cambria"/>
          <w:b/>
          <w:sz w:val="20"/>
          <w:szCs w:val="20"/>
        </w:rPr>
        <w:t>), le cas échéant</w:t>
      </w:r>
    </w:p>
    <w:p w14:paraId="3CDEEC07" w14:textId="77777777" w:rsidR="00D95D78" w:rsidRPr="004E13E9" w:rsidRDefault="00D95D78" w:rsidP="00B07693">
      <w:pPr>
        <w:pStyle w:val="ListParagraph"/>
        <w:tabs>
          <w:tab w:val="left" w:pos="426"/>
        </w:tabs>
        <w:ind w:left="426"/>
        <w:jc w:val="both"/>
        <w:rPr>
          <w:rFonts w:ascii="Cambria" w:hAnsi="Cambria"/>
          <w:b/>
          <w:bCs/>
          <w:sz w:val="20"/>
          <w:szCs w:val="20"/>
        </w:rPr>
      </w:pPr>
    </w:p>
    <w:p w14:paraId="4F118B4E" w14:textId="77777777" w:rsidR="00D95D78" w:rsidRPr="004E13E9" w:rsidRDefault="00D95D78" w:rsidP="00B07693">
      <w:pPr>
        <w:tabs>
          <w:tab w:val="left" w:pos="426"/>
        </w:tabs>
        <w:jc w:val="both"/>
        <w:rPr>
          <w:iCs/>
          <w:lang w:val="fr-FR"/>
        </w:rPr>
      </w:pPr>
      <w:r w:rsidRPr="004E13E9">
        <w:rPr>
          <w:lang w:val="fr-FR"/>
        </w:rPr>
        <w:t xml:space="preserve">Non applicable. Le Panama n'a pas d'activités d'élevage de thon rouge. </w:t>
      </w:r>
    </w:p>
    <w:p w14:paraId="6F1A031A" w14:textId="77777777" w:rsidR="00D95D78" w:rsidRPr="004E13E9" w:rsidRDefault="00D95D78" w:rsidP="00B07693">
      <w:pPr>
        <w:tabs>
          <w:tab w:val="left" w:pos="426"/>
        </w:tabs>
        <w:jc w:val="both"/>
        <w:rPr>
          <w:iCs/>
          <w:lang w:val="fr-FR"/>
        </w:rPr>
      </w:pPr>
    </w:p>
    <w:p w14:paraId="53F5FF7E" w14:textId="77777777" w:rsidR="00D95D78" w:rsidRPr="004E13E9" w:rsidRDefault="00D95D78" w:rsidP="00B07693">
      <w:pPr>
        <w:tabs>
          <w:tab w:val="left" w:pos="426"/>
        </w:tabs>
        <w:jc w:val="both"/>
        <w:rPr>
          <w:iCs/>
          <w:lang w:val="fr-FR"/>
        </w:rPr>
      </w:pPr>
    </w:p>
    <w:p w14:paraId="1F577924" w14:textId="77777777" w:rsidR="00D95D78" w:rsidRPr="004E13E9" w:rsidRDefault="00D95D78" w:rsidP="00487A5C">
      <w:pPr>
        <w:pStyle w:val="ListParagraph"/>
        <w:widowControl w:val="0"/>
        <w:numPr>
          <w:ilvl w:val="0"/>
          <w:numId w:val="46"/>
        </w:numPr>
        <w:spacing w:after="0" w:line="240" w:lineRule="auto"/>
        <w:ind w:left="426" w:hanging="426"/>
        <w:jc w:val="both"/>
        <w:rPr>
          <w:rFonts w:ascii="Cambria" w:hAnsi="Cambria"/>
          <w:b/>
          <w:sz w:val="20"/>
          <w:szCs w:val="20"/>
        </w:rPr>
      </w:pPr>
      <w:r w:rsidRPr="004E13E9">
        <w:rPr>
          <w:rFonts w:ascii="Cambria" w:hAnsi="Cambria"/>
          <w:b/>
          <w:sz w:val="20"/>
          <w:szCs w:val="20"/>
        </w:rPr>
        <w:t>Plan de suivi, contrôle et inspection</w:t>
      </w:r>
    </w:p>
    <w:p w14:paraId="79CF10EC" w14:textId="77777777" w:rsidR="00D95D78" w:rsidRPr="004E13E9" w:rsidRDefault="00D95D78" w:rsidP="00B07693">
      <w:pPr>
        <w:jc w:val="both"/>
        <w:rPr>
          <w:b/>
          <w:lang w:val="fr-FR"/>
        </w:rPr>
      </w:pPr>
    </w:p>
    <w:p w14:paraId="17C92C71" w14:textId="77777777" w:rsidR="00D95D78" w:rsidRPr="004E13E9" w:rsidRDefault="00D95D78" w:rsidP="00B07693">
      <w:pPr>
        <w:jc w:val="both"/>
        <w:rPr>
          <w:b/>
          <w:i/>
          <w:iCs/>
          <w:lang w:val="fr-FR"/>
        </w:rPr>
      </w:pPr>
      <w:r w:rsidRPr="004E13E9">
        <w:rPr>
          <w:b/>
          <w:i/>
          <w:lang w:val="fr-FR"/>
        </w:rPr>
        <w:t>5a) Suivi, contrôle et inspection de la CPC (paragraphe 10c)</w:t>
      </w:r>
    </w:p>
    <w:p w14:paraId="1BBAA486" w14:textId="77777777" w:rsidR="00D95D78" w:rsidRPr="004E13E9" w:rsidRDefault="00D95D78" w:rsidP="00B07693">
      <w:pPr>
        <w:jc w:val="both"/>
        <w:rPr>
          <w:b/>
          <w:i/>
          <w:iCs/>
          <w:lang w:val="fr-FR"/>
        </w:rPr>
      </w:pPr>
    </w:p>
    <w:p w14:paraId="6246685E" w14:textId="77777777" w:rsidR="00D95D78" w:rsidRPr="004E13E9" w:rsidRDefault="00D95D78" w:rsidP="00B07693">
      <w:pPr>
        <w:jc w:val="both"/>
        <w:rPr>
          <w:iCs/>
          <w:lang w:val="fr-FR"/>
        </w:rPr>
      </w:pPr>
      <w:r w:rsidRPr="004E13E9">
        <w:rPr>
          <w:lang w:val="fr-FR"/>
        </w:rPr>
        <w:t>Le Panama applique des mesures d'inspection, de contrôle et de surveillance de la pêche conformément à sa réglementation nationale en vigueur et aux recommandations applicables de l'ICCAT. Ces mesures sont mises en œuvre par le biais du système national de suivi, de contrôle et de surveillance pour 2026.</w:t>
      </w:r>
    </w:p>
    <w:p w14:paraId="421EC720" w14:textId="77777777" w:rsidR="00D95D78" w:rsidRPr="004E13E9" w:rsidRDefault="00D95D78" w:rsidP="00B07693">
      <w:pPr>
        <w:jc w:val="both"/>
        <w:rPr>
          <w:iCs/>
          <w:lang w:val="fr-FR"/>
        </w:rPr>
      </w:pPr>
    </w:p>
    <w:p w14:paraId="31C9DC76" w14:textId="1436F3FB" w:rsidR="00D95D78" w:rsidRPr="004E13E9" w:rsidRDefault="00D95D78" w:rsidP="00B07693">
      <w:pPr>
        <w:jc w:val="both"/>
        <w:rPr>
          <w:lang w:val="fr-FR"/>
        </w:rPr>
      </w:pPr>
      <w:r w:rsidRPr="004E13E9">
        <w:rPr>
          <w:lang w:val="fr-FR"/>
        </w:rPr>
        <w:t xml:space="preserve">Actuellement, le Panama a douze (12) navires inscrits au registre des navires de l'ICCAT dans la catégorie </w:t>
      </w:r>
      <w:r w:rsidR="00841FA2" w:rsidRPr="004E13E9">
        <w:rPr>
          <w:lang w:val="fr-FR"/>
        </w:rPr>
        <w:t>« </w:t>
      </w:r>
      <w:r w:rsidRPr="004E13E9">
        <w:rPr>
          <w:lang w:val="fr-FR"/>
        </w:rPr>
        <w:t>Autres navires</w:t>
      </w:r>
      <w:r w:rsidR="00841FA2" w:rsidRPr="004E13E9">
        <w:rPr>
          <w:lang w:val="fr-FR"/>
        </w:rPr>
        <w:t> »</w:t>
      </w:r>
      <w:r w:rsidRPr="004E13E9">
        <w:rPr>
          <w:lang w:val="fr-FR"/>
        </w:rPr>
        <w:t>, y compris des navires transporteurs et des navires de transformation, engagés dans des activités liées au thon rouge.</w:t>
      </w:r>
    </w:p>
    <w:p w14:paraId="30CACC39" w14:textId="77777777" w:rsidR="00841FA2" w:rsidRPr="004E13E9" w:rsidRDefault="00841FA2" w:rsidP="00B07693">
      <w:pPr>
        <w:jc w:val="both"/>
        <w:rPr>
          <w:iCs/>
          <w:lang w:val="fr-FR"/>
        </w:rPr>
      </w:pPr>
    </w:p>
    <w:p w14:paraId="281B596F" w14:textId="77777777" w:rsidR="00D95D78" w:rsidRPr="004E13E9" w:rsidRDefault="00D95D78" w:rsidP="00B07693">
      <w:pPr>
        <w:jc w:val="both"/>
        <w:rPr>
          <w:iCs/>
          <w:lang w:val="fr-FR"/>
        </w:rPr>
      </w:pPr>
      <w:r w:rsidRPr="004E13E9">
        <w:rPr>
          <w:lang w:val="fr-FR"/>
        </w:rPr>
        <w:t>L'Autorité des ressources aquatiques du Panama (ARAP), par l'intermédiaire de sa direction générale de l'inspection, de la surveillance et du contrôle, est chargée de veiller à ce que les navires battant pavillon panaméen et les activités liées à la pêche respectent les réglementations nationales et internationales, y compris celles relatives au système de surveillance des navires (VMS).</w:t>
      </w:r>
    </w:p>
    <w:p w14:paraId="3C42C480" w14:textId="77777777" w:rsidR="00D95D78" w:rsidRPr="004E13E9" w:rsidRDefault="00D95D78" w:rsidP="00B07693">
      <w:pPr>
        <w:jc w:val="both"/>
        <w:rPr>
          <w:iCs/>
          <w:lang w:val="fr-FR"/>
        </w:rPr>
      </w:pPr>
    </w:p>
    <w:p w14:paraId="68793FC9" w14:textId="77777777" w:rsidR="00D95D78" w:rsidRPr="004E13E9" w:rsidRDefault="00D95D78" w:rsidP="00B07693">
      <w:pPr>
        <w:jc w:val="both"/>
        <w:rPr>
          <w:iCs/>
          <w:lang w:val="fr-FR"/>
        </w:rPr>
      </w:pPr>
      <w:r w:rsidRPr="004E13E9">
        <w:rPr>
          <w:lang w:val="fr-FR"/>
        </w:rPr>
        <w:t>Le cadre réglementaire national est fixé par la loi 204 du 18 mars 2021 et son règlement par le décret exécutif n° 13 du 1er novembre 2023, qui prévoit, entre autres mesures :</w:t>
      </w:r>
    </w:p>
    <w:p w14:paraId="0E90E155" w14:textId="77777777" w:rsidR="00D95D78" w:rsidRPr="004E13E9" w:rsidRDefault="00D95D78" w:rsidP="00B07693">
      <w:pPr>
        <w:jc w:val="both"/>
        <w:rPr>
          <w:iCs/>
          <w:lang w:val="fr-FR"/>
        </w:rPr>
      </w:pPr>
    </w:p>
    <w:p w14:paraId="67212F27" w14:textId="77777777" w:rsidR="00D95D78" w:rsidRPr="004E13E9" w:rsidRDefault="00D95D78" w:rsidP="00487A5C">
      <w:pPr>
        <w:pStyle w:val="ListParagraph"/>
        <w:widowControl w:val="0"/>
        <w:numPr>
          <w:ilvl w:val="0"/>
          <w:numId w:val="47"/>
        </w:numPr>
        <w:spacing w:after="0" w:line="240" w:lineRule="auto"/>
        <w:jc w:val="both"/>
        <w:rPr>
          <w:rFonts w:ascii="Cambria" w:hAnsi="Cambria"/>
          <w:iCs/>
          <w:sz w:val="20"/>
          <w:szCs w:val="20"/>
        </w:rPr>
      </w:pPr>
      <w:r w:rsidRPr="004E13E9">
        <w:rPr>
          <w:rFonts w:ascii="Cambria" w:hAnsi="Cambria"/>
          <w:sz w:val="20"/>
          <w:szCs w:val="20"/>
        </w:rPr>
        <w:t>L'installation, l'entretien et l'exploitation obligatoires d'un système VMS à bord des navires faisant l'objet d'un suivi ;</w:t>
      </w:r>
    </w:p>
    <w:p w14:paraId="7F1ACAA0" w14:textId="77777777" w:rsidR="00D95D78" w:rsidRPr="004E13E9" w:rsidRDefault="00D95D78" w:rsidP="00487A5C">
      <w:pPr>
        <w:pStyle w:val="ListParagraph"/>
        <w:widowControl w:val="0"/>
        <w:numPr>
          <w:ilvl w:val="0"/>
          <w:numId w:val="47"/>
        </w:numPr>
        <w:spacing w:after="0" w:line="240" w:lineRule="auto"/>
        <w:jc w:val="both"/>
        <w:rPr>
          <w:rFonts w:ascii="Cambria" w:hAnsi="Cambria"/>
          <w:iCs/>
          <w:sz w:val="20"/>
          <w:szCs w:val="20"/>
        </w:rPr>
      </w:pPr>
      <w:r w:rsidRPr="004E13E9">
        <w:rPr>
          <w:rFonts w:ascii="Cambria" w:hAnsi="Cambria"/>
          <w:sz w:val="20"/>
          <w:szCs w:val="20"/>
        </w:rPr>
        <w:t>L'exigence d'une lettre de non-objection délivrée par l'ARAP comme condition préalable à l'enregistrement d'un navire ou à un changement d'activité ;</w:t>
      </w:r>
    </w:p>
    <w:p w14:paraId="41DC45B3" w14:textId="77777777" w:rsidR="00D95D78" w:rsidRPr="004E13E9" w:rsidRDefault="00D95D78" w:rsidP="00487A5C">
      <w:pPr>
        <w:pStyle w:val="ListParagraph"/>
        <w:widowControl w:val="0"/>
        <w:numPr>
          <w:ilvl w:val="0"/>
          <w:numId w:val="47"/>
        </w:numPr>
        <w:spacing w:after="0" w:line="240" w:lineRule="auto"/>
        <w:jc w:val="both"/>
        <w:rPr>
          <w:rFonts w:ascii="Cambria" w:hAnsi="Cambria"/>
          <w:iCs/>
          <w:sz w:val="20"/>
          <w:szCs w:val="20"/>
        </w:rPr>
      </w:pPr>
      <w:r w:rsidRPr="004E13E9">
        <w:rPr>
          <w:rFonts w:ascii="Cambria" w:hAnsi="Cambria"/>
          <w:sz w:val="20"/>
          <w:szCs w:val="20"/>
        </w:rPr>
        <w:t>L'obligation de disposer d'un certificat de balise valide pour l'obtention ou le renouvellement des licences de pêche pour le service international ;</w:t>
      </w:r>
    </w:p>
    <w:p w14:paraId="3A6ABB52" w14:textId="77777777" w:rsidR="00D95D78" w:rsidRPr="004E13E9" w:rsidRDefault="00D95D78" w:rsidP="00487A5C">
      <w:pPr>
        <w:pStyle w:val="ListParagraph"/>
        <w:widowControl w:val="0"/>
        <w:numPr>
          <w:ilvl w:val="0"/>
          <w:numId w:val="47"/>
        </w:numPr>
        <w:spacing w:after="0" w:line="240" w:lineRule="auto"/>
        <w:jc w:val="both"/>
        <w:rPr>
          <w:rFonts w:ascii="Cambria" w:hAnsi="Cambria"/>
          <w:iCs/>
          <w:sz w:val="20"/>
          <w:szCs w:val="20"/>
        </w:rPr>
      </w:pPr>
      <w:r w:rsidRPr="004E13E9">
        <w:rPr>
          <w:rFonts w:ascii="Cambria" w:hAnsi="Cambria"/>
          <w:sz w:val="20"/>
          <w:szCs w:val="20"/>
        </w:rPr>
        <w:t>La qualification d'infraction grave de l'interruption injustifiée des transmissions VMS pendant une période de plus de vingt-quatre (24) heures consécutives.</w:t>
      </w:r>
    </w:p>
    <w:p w14:paraId="2BA103B8" w14:textId="77777777" w:rsidR="00D95D78" w:rsidRPr="004E13E9" w:rsidRDefault="00D95D78" w:rsidP="00B07693">
      <w:pPr>
        <w:pStyle w:val="ListParagraph"/>
        <w:jc w:val="both"/>
        <w:rPr>
          <w:rFonts w:ascii="Cambria" w:hAnsi="Cambria"/>
          <w:iCs/>
          <w:sz w:val="20"/>
          <w:szCs w:val="20"/>
        </w:rPr>
      </w:pPr>
    </w:p>
    <w:p w14:paraId="5B1875E5" w14:textId="77777777" w:rsidR="00D95D78" w:rsidRPr="004E13E9" w:rsidRDefault="00D95D78" w:rsidP="00B07693">
      <w:pPr>
        <w:autoSpaceDE w:val="0"/>
        <w:autoSpaceDN w:val="0"/>
        <w:adjustRightInd w:val="0"/>
        <w:jc w:val="both"/>
        <w:rPr>
          <w:iCs/>
          <w:lang w:val="fr-FR"/>
        </w:rPr>
      </w:pPr>
      <w:r w:rsidRPr="004E13E9">
        <w:rPr>
          <w:lang w:val="fr-FR"/>
        </w:rPr>
        <w:t>Conformément à la Recommandation 25-04 de l'ICCAT, les navires soumis à l'obligation de VMS doivent transmettre les données au Secrétariat de l'ICCAT au moins cinq (5) jours avant et cinq (5) jours après la période d'autorisation, sans interruption pendant qu'ils sont au port, à moins qu'un système formel de notification d'entrée et de sortie ne soit en place.</w:t>
      </w:r>
    </w:p>
    <w:p w14:paraId="546FBA0B" w14:textId="77777777" w:rsidR="00D95D78" w:rsidRPr="004E13E9" w:rsidRDefault="00D95D78" w:rsidP="00B07693">
      <w:pPr>
        <w:autoSpaceDE w:val="0"/>
        <w:autoSpaceDN w:val="0"/>
        <w:adjustRightInd w:val="0"/>
        <w:jc w:val="both"/>
        <w:rPr>
          <w:iCs/>
          <w:lang w:val="fr-FR"/>
        </w:rPr>
      </w:pPr>
    </w:p>
    <w:p w14:paraId="5D410865" w14:textId="77777777" w:rsidR="00D95D78" w:rsidRPr="004E13E9" w:rsidRDefault="00D95D78" w:rsidP="00B07693">
      <w:pPr>
        <w:autoSpaceDE w:val="0"/>
        <w:autoSpaceDN w:val="0"/>
        <w:adjustRightInd w:val="0"/>
        <w:jc w:val="both"/>
        <w:rPr>
          <w:i/>
          <w:lang w:val="fr-FR"/>
        </w:rPr>
      </w:pPr>
      <w:r w:rsidRPr="004E13E9">
        <w:rPr>
          <w:i/>
          <w:lang w:val="fr-FR"/>
        </w:rPr>
        <w:t>Suivi et contrôle des transbordements</w:t>
      </w:r>
    </w:p>
    <w:p w14:paraId="22EBE0B6" w14:textId="77777777" w:rsidR="00D95D78" w:rsidRPr="004E13E9" w:rsidRDefault="00D95D78" w:rsidP="00B07693">
      <w:pPr>
        <w:autoSpaceDE w:val="0"/>
        <w:autoSpaceDN w:val="0"/>
        <w:adjustRightInd w:val="0"/>
        <w:jc w:val="both"/>
        <w:rPr>
          <w:iCs/>
          <w:lang w:val="fr-FR"/>
        </w:rPr>
      </w:pPr>
    </w:p>
    <w:p w14:paraId="4E186DAC" w14:textId="77777777" w:rsidR="00D95D78" w:rsidRPr="004E13E9" w:rsidRDefault="00D95D78" w:rsidP="00B07693">
      <w:pPr>
        <w:autoSpaceDE w:val="0"/>
        <w:autoSpaceDN w:val="0"/>
        <w:adjustRightInd w:val="0"/>
        <w:jc w:val="both"/>
        <w:rPr>
          <w:iCs/>
          <w:lang w:val="fr-FR"/>
        </w:rPr>
      </w:pPr>
      <w:r w:rsidRPr="004E13E9">
        <w:rPr>
          <w:lang w:val="fr-FR"/>
        </w:rPr>
        <w:t>Les transbordements de thon rouge dans l'Atlantique Est et la Méditerranée ne devront être autorisés que dans les ports désignés par les CPC, conformément aux paragraphes 80 à 84 de la Recommandation 25-04 de l'ICCAT et aux réglementations nationales applicables.</w:t>
      </w:r>
    </w:p>
    <w:p w14:paraId="1A344B3C" w14:textId="77777777" w:rsidR="00D95D78" w:rsidRPr="004E13E9" w:rsidRDefault="00D95D78" w:rsidP="00B07693">
      <w:pPr>
        <w:autoSpaceDE w:val="0"/>
        <w:autoSpaceDN w:val="0"/>
        <w:adjustRightInd w:val="0"/>
        <w:jc w:val="both"/>
        <w:rPr>
          <w:iCs/>
          <w:lang w:val="fr-FR"/>
        </w:rPr>
      </w:pPr>
    </w:p>
    <w:p w14:paraId="6336F7EA" w14:textId="77777777" w:rsidR="00D95D78" w:rsidRPr="004E13E9" w:rsidRDefault="00D95D78" w:rsidP="00B07693">
      <w:pPr>
        <w:autoSpaceDE w:val="0"/>
        <w:autoSpaceDN w:val="0"/>
        <w:adjustRightInd w:val="0"/>
        <w:jc w:val="both"/>
        <w:rPr>
          <w:iCs/>
          <w:lang w:val="fr-FR"/>
        </w:rPr>
      </w:pPr>
      <w:r w:rsidRPr="004E13E9">
        <w:rPr>
          <w:lang w:val="fr-FR"/>
        </w:rPr>
        <w:t>Il est interdit de débarquer ou de transborder à partir des navires de capture, ainsi que des navires de transformation et des navires auxiliaires, toute quantité de thon rouge pêchée dans l'Atlantique Est et la Méditerranée en dehors des ports désignés par les CPC conformément aux paragraphes 80 et 81. Toutefois, à titre exceptionnel, le transport de thon rouge mort, capturé dans une madrague/cage, vers un navire de transformation à l'aide d'un navire auxiliaire n'est pas interdit.</w:t>
      </w:r>
    </w:p>
    <w:p w14:paraId="4ED1B1E9" w14:textId="77777777" w:rsidR="00D95D78" w:rsidRPr="004E13E9" w:rsidRDefault="00D95D78" w:rsidP="00B07693">
      <w:pPr>
        <w:autoSpaceDE w:val="0"/>
        <w:autoSpaceDN w:val="0"/>
        <w:adjustRightInd w:val="0"/>
        <w:jc w:val="both"/>
        <w:rPr>
          <w:iCs/>
          <w:lang w:val="fr-FR"/>
        </w:rPr>
      </w:pPr>
    </w:p>
    <w:p w14:paraId="5DA312AE" w14:textId="77777777" w:rsidR="00D95D78" w:rsidRPr="004E13E9" w:rsidRDefault="00D95D78" w:rsidP="00B07693">
      <w:pPr>
        <w:autoSpaceDE w:val="0"/>
        <w:autoSpaceDN w:val="0"/>
        <w:adjustRightInd w:val="0"/>
        <w:jc w:val="both"/>
        <w:rPr>
          <w:iCs/>
          <w:lang w:val="fr-FR"/>
        </w:rPr>
      </w:pPr>
      <w:r w:rsidRPr="004E13E9">
        <w:rPr>
          <w:lang w:val="fr-FR"/>
        </w:rPr>
        <w:t>Tout transbordement doit faire l'objet d'une autorisation préalable de la part de la CPC du pavillon du navire qui réalise l’opération. Le capitaine ou le représentant du navire remplit et transmet la déclaration de transbordement au centre de surveillance et de contrôle des pêches (CSP) de l'ARAP et à l'autorité de l'État du port dans les délais impartis.</w:t>
      </w:r>
    </w:p>
    <w:p w14:paraId="541091A6" w14:textId="77777777" w:rsidR="00D95D78" w:rsidRPr="004E13E9" w:rsidRDefault="00D95D78" w:rsidP="00B07693">
      <w:pPr>
        <w:autoSpaceDE w:val="0"/>
        <w:autoSpaceDN w:val="0"/>
        <w:adjustRightInd w:val="0"/>
        <w:jc w:val="both"/>
        <w:rPr>
          <w:iCs/>
          <w:color w:val="FF0000"/>
          <w:lang w:val="fr-FR"/>
        </w:rPr>
      </w:pPr>
    </w:p>
    <w:p w14:paraId="1AB0717D" w14:textId="77777777" w:rsidR="00D95D78" w:rsidRPr="004E13E9" w:rsidRDefault="00D95D78" w:rsidP="00B07693">
      <w:pPr>
        <w:autoSpaceDE w:val="0"/>
        <w:autoSpaceDN w:val="0"/>
        <w:adjustRightInd w:val="0"/>
        <w:jc w:val="both"/>
        <w:rPr>
          <w:iCs/>
          <w:lang w:val="fr-FR"/>
        </w:rPr>
      </w:pPr>
      <w:r w:rsidRPr="004E13E9">
        <w:rPr>
          <w:lang w:val="fr-FR"/>
        </w:rPr>
        <w:t>Le CCSP de l'ARAP se coordonne avec l'autorité de l'État du port pour recevoir le rapport de transbordement dans les cinq (5) jours suivant la fin de l'opération.</w:t>
      </w:r>
    </w:p>
    <w:p w14:paraId="7DFE7643" w14:textId="77777777" w:rsidR="00D95D78" w:rsidRPr="004E13E9" w:rsidRDefault="00D95D78" w:rsidP="00B07693">
      <w:pPr>
        <w:autoSpaceDE w:val="0"/>
        <w:autoSpaceDN w:val="0"/>
        <w:adjustRightInd w:val="0"/>
        <w:jc w:val="both"/>
        <w:rPr>
          <w:iCs/>
          <w:color w:val="FF0000"/>
          <w:lang w:val="fr-FR"/>
        </w:rPr>
      </w:pPr>
    </w:p>
    <w:p w14:paraId="260BEED7" w14:textId="77777777" w:rsidR="00D95D78" w:rsidRPr="004E13E9" w:rsidRDefault="00D95D78" w:rsidP="00B07693">
      <w:pPr>
        <w:autoSpaceDE w:val="0"/>
        <w:autoSpaceDN w:val="0"/>
        <w:adjustRightInd w:val="0"/>
        <w:jc w:val="both"/>
        <w:rPr>
          <w:iCs/>
          <w:lang w:val="fr-FR"/>
        </w:rPr>
      </w:pPr>
      <w:r w:rsidRPr="004E13E9">
        <w:rPr>
          <w:lang w:val="fr-FR"/>
        </w:rPr>
        <w:t>Les dispositions de la présente recommandation n'affectent pas l'entrée au port d'un navire de pêche d'une CPC, conformément au droit international, pour des raisons de force majeure ou de détresse.</w:t>
      </w:r>
    </w:p>
    <w:p w14:paraId="32D66361" w14:textId="77777777" w:rsidR="00D95D78" w:rsidRPr="004E13E9" w:rsidRDefault="00D95D78" w:rsidP="00B07693">
      <w:pPr>
        <w:autoSpaceDE w:val="0"/>
        <w:autoSpaceDN w:val="0"/>
        <w:adjustRightInd w:val="0"/>
        <w:jc w:val="both"/>
        <w:rPr>
          <w:iCs/>
          <w:lang w:val="fr-FR"/>
        </w:rPr>
      </w:pPr>
    </w:p>
    <w:p w14:paraId="65AF5FB2" w14:textId="77777777" w:rsidR="00D95D78" w:rsidRPr="004E13E9" w:rsidRDefault="00D95D78" w:rsidP="00B07693">
      <w:pPr>
        <w:autoSpaceDE w:val="0"/>
        <w:autoSpaceDN w:val="0"/>
        <w:adjustRightInd w:val="0"/>
        <w:jc w:val="both"/>
        <w:rPr>
          <w:i/>
          <w:lang w:val="fr-FR"/>
        </w:rPr>
      </w:pPr>
      <w:r w:rsidRPr="004E13E9">
        <w:rPr>
          <w:i/>
          <w:lang w:val="fr-FR"/>
        </w:rPr>
        <w:t>Suivi et contrôle des débarquements</w:t>
      </w:r>
    </w:p>
    <w:p w14:paraId="13F7193E" w14:textId="77777777" w:rsidR="00D95D78" w:rsidRPr="004E13E9" w:rsidRDefault="00D95D78" w:rsidP="00B07693">
      <w:pPr>
        <w:autoSpaceDE w:val="0"/>
        <w:autoSpaceDN w:val="0"/>
        <w:adjustRightInd w:val="0"/>
        <w:jc w:val="both"/>
        <w:rPr>
          <w:iCs/>
          <w:lang w:val="fr-FR"/>
        </w:rPr>
      </w:pPr>
    </w:p>
    <w:p w14:paraId="09901061" w14:textId="77777777" w:rsidR="00D95D78" w:rsidRPr="004E13E9" w:rsidRDefault="00D95D78" w:rsidP="00B07693">
      <w:pPr>
        <w:autoSpaceDE w:val="0"/>
        <w:autoSpaceDN w:val="0"/>
        <w:adjustRightInd w:val="0"/>
        <w:jc w:val="both"/>
        <w:rPr>
          <w:iCs/>
          <w:lang w:val="fr-FR"/>
        </w:rPr>
      </w:pPr>
      <w:r w:rsidRPr="004E13E9">
        <w:rPr>
          <w:lang w:val="fr-FR"/>
        </w:rPr>
        <w:t>Avant l'entrée dans un port, les capitaines ou les représentants des navires doivent notifier les débarquements aux autorités portuaires compétentes au moins 4 heures avant l'heure d'arrivée prévue ou dans le délai fixé par la CPC du port de déchargement.</w:t>
      </w:r>
    </w:p>
    <w:p w14:paraId="76D11D32" w14:textId="77777777" w:rsidR="00D95D78" w:rsidRPr="004E13E9" w:rsidRDefault="00D95D78" w:rsidP="00B07693">
      <w:pPr>
        <w:autoSpaceDE w:val="0"/>
        <w:autoSpaceDN w:val="0"/>
        <w:adjustRightInd w:val="0"/>
        <w:jc w:val="both"/>
        <w:rPr>
          <w:iCs/>
          <w:lang w:val="fr-FR"/>
        </w:rPr>
      </w:pPr>
    </w:p>
    <w:p w14:paraId="4F59FDB3" w14:textId="77777777" w:rsidR="00D95D78" w:rsidRPr="004E13E9" w:rsidRDefault="00D95D78" w:rsidP="00B07693">
      <w:pPr>
        <w:autoSpaceDE w:val="0"/>
        <w:autoSpaceDN w:val="0"/>
        <w:adjustRightInd w:val="0"/>
        <w:jc w:val="both"/>
        <w:rPr>
          <w:iCs/>
          <w:lang w:val="fr-FR"/>
        </w:rPr>
      </w:pPr>
      <w:r w:rsidRPr="004E13E9">
        <w:rPr>
          <w:lang w:val="fr-FR"/>
        </w:rPr>
        <w:t>La notification devra inclure : a) le numéro d'identification externe et le nom du navire de pêche ; b) la date et l'heure estimées d'arrivée au port ; c) le port de destination et le but de l'escale, tel que le débarquement, le transbordement ou l'accès aux services ; d) la quantité estimée de thon rouge conservée à bord ; e) l'information sur la zone géographique où la capture a été réalisée, tel que prévu au paragraphe 85 de la Rec. 25-04. En outre, le CCSP de l'ARAP sera informé en même temps par courrier électronique.</w:t>
      </w:r>
    </w:p>
    <w:p w14:paraId="4A66A3A7" w14:textId="77777777" w:rsidR="00D95D78" w:rsidRPr="004E13E9" w:rsidRDefault="00D95D78" w:rsidP="00B07693">
      <w:pPr>
        <w:autoSpaceDE w:val="0"/>
        <w:autoSpaceDN w:val="0"/>
        <w:adjustRightInd w:val="0"/>
        <w:jc w:val="both"/>
        <w:rPr>
          <w:iCs/>
          <w:lang w:val="fr-FR"/>
        </w:rPr>
      </w:pPr>
    </w:p>
    <w:p w14:paraId="5EA11F86" w14:textId="77777777" w:rsidR="00D95D78" w:rsidRPr="004E13E9" w:rsidRDefault="00D95D78" w:rsidP="00B07693">
      <w:pPr>
        <w:jc w:val="both"/>
        <w:rPr>
          <w:iCs/>
          <w:lang w:val="fr-FR"/>
        </w:rPr>
      </w:pPr>
      <w:r w:rsidRPr="004E13E9">
        <w:rPr>
          <w:lang w:val="fr-FR"/>
        </w:rPr>
        <w:t>Ces dispositions s'appliquent sans préjudice du respect des exigences nationales en matière de notification d'entrée au port et de débarquement.</w:t>
      </w:r>
    </w:p>
    <w:p w14:paraId="66433A0F" w14:textId="77777777" w:rsidR="00D95D78" w:rsidRPr="004E13E9" w:rsidRDefault="00D95D78" w:rsidP="00B07693">
      <w:pPr>
        <w:jc w:val="both"/>
        <w:rPr>
          <w:iCs/>
          <w:lang w:val="fr-FR"/>
        </w:rPr>
      </w:pPr>
    </w:p>
    <w:p w14:paraId="5B13C6D7" w14:textId="77777777" w:rsidR="00841FA2" w:rsidRPr="004E13E9" w:rsidRDefault="00841FA2">
      <w:pPr>
        <w:rPr>
          <w:lang w:val="fr-FR"/>
        </w:rPr>
      </w:pPr>
      <w:r w:rsidRPr="004E13E9">
        <w:rPr>
          <w:lang w:val="fr-FR"/>
        </w:rPr>
        <w:br w:type="page"/>
      </w:r>
    </w:p>
    <w:p w14:paraId="3C173E3F" w14:textId="6F0983D7" w:rsidR="00D95D78" w:rsidRPr="004E13E9" w:rsidRDefault="00D95D78" w:rsidP="00B07693">
      <w:pPr>
        <w:jc w:val="both"/>
        <w:rPr>
          <w:iCs/>
        </w:rPr>
      </w:pPr>
      <w:r w:rsidRPr="004E13E9">
        <w:t>Points de contact</w:t>
      </w:r>
    </w:p>
    <w:p w14:paraId="62BBC6D5" w14:textId="77777777" w:rsidR="00D95D78" w:rsidRPr="004E13E9" w:rsidRDefault="00D95D78" w:rsidP="00B07693">
      <w:pPr>
        <w:jc w:val="both"/>
        <w:rPr>
          <w:b/>
          <w:iCs/>
        </w:rPr>
      </w:pPr>
    </w:p>
    <w:tbl>
      <w:tblPr>
        <w:tblStyle w:val="TableGrid"/>
        <w:tblW w:w="0" w:type="auto"/>
        <w:tblInd w:w="-5" w:type="dxa"/>
        <w:tblLook w:val="04A0" w:firstRow="1" w:lastRow="0" w:firstColumn="1" w:lastColumn="0" w:noHBand="0" w:noVBand="1"/>
      </w:tblPr>
      <w:tblGrid>
        <w:gridCol w:w="5743"/>
        <w:gridCol w:w="3322"/>
      </w:tblGrid>
      <w:tr w:rsidR="00D95D78" w:rsidRPr="006A2397" w14:paraId="04DC2759" w14:textId="77777777" w:rsidTr="00E62E84">
        <w:tc>
          <w:tcPr>
            <w:tcW w:w="9079" w:type="dxa"/>
            <w:gridSpan w:val="2"/>
          </w:tcPr>
          <w:p w14:paraId="58C7D250" w14:textId="77777777" w:rsidR="00D95D78" w:rsidRPr="004E13E9" w:rsidRDefault="00D95D78" w:rsidP="00B07693">
            <w:pPr>
              <w:contextualSpacing/>
              <w:jc w:val="both"/>
              <w:rPr>
                <w:rFonts w:ascii="Cambria" w:hAnsi="Cambria"/>
                <w:i/>
                <w:iCs/>
                <w:color w:val="auto"/>
                <w:sz w:val="20"/>
                <w:szCs w:val="20"/>
              </w:rPr>
            </w:pPr>
            <w:r w:rsidRPr="004E13E9">
              <w:rPr>
                <w:rFonts w:ascii="Cambria" w:hAnsi="Cambria"/>
                <w:i/>
                <w:color w:val="auto"/>
                <w:sz w:val="20"/>
                <w:szCs w:val="20"/>
              </w:rPr>
              <w:t>Autorité de contrôle compétente du Panama responsable de la mise en œuvre de ce plan de surveillance, de contrôle et d'inspection</w:t>
            </w:r>
          </w:p>
        </w:tc>
      </w:tr>
      <w:tr w:rsidR="00D95D78" w:rsidRPr="006A2397" w14:paraId="45F57FD8" w14:textId="77777777" w:rsidTr="00E62E84">
        <w:tc>
          <w:tcPr>
            <w:tcW w:w="9079" w:type="dxa"/>
            <w:gridSpan w:val="2"/>
          </w:tcPr>
          <w:p w14:paraId="0CDE4479" w14:textId="77777777" w:rsidR="00D95D78" w:rsidRPr="004E13E9" w:rsidRDefault="00D95D78" w:rsidP="00B07693">
            <w:pPr>
              <w:autoSpaceDE w:val="0"/>
              <w:jc w:val="both"/>
              <w:rPr>
                <w:rFonts w:ascii="Cambria" w:hAnsi="Cambria"/>
                <w:color w:val="auto"/>
                <w:sz w:val="20"/>
                <w:szCs w:val="20"/>
              </w:rPr>
            </w:pPr>
            <w:r w:rsidRPr="004E13E9">
              <w:rPr>
                <w:rFonts w:ascii="Cambria" w:hAnsi="Cambria"/>
                <w:color w:val="auto"/>
                <w:sz w:val="20"/>
                <w:szCs w:val="20"/>
              </w:rPr>
              <w:t>Direction générale de l'inspection, de la surveillance et du contrôle</w:t>
            </w:r>
          </w:p>
        </w:tc>
      </w:tr>
      <w:tr w:rsidR="00D95D78" w:rsidRPr="006A2397" w14:paraId="1BB07606" w14:textId="77777777" w:rsidTr="00E62E84">
        <w:tc>
          <w:tcPr>
            <w:tcW w:w="9079" w:type="dxa"/>
            <w:gridSpan w:val="2"/>
          </w:tcPr>
          <w:p w14:paraId="7636498C" w14:textId="77777777" w:rsidR="00D95D78" w:rsidRPr="004E13E9" w:rsidRDefault="00D95D78" w:rsidP="00B07693">
            <w:pPr>
              <w:contextualSpacing/>
              <w:jc w:val="both"/>
              <w:rPr>
                <w:rFonts w:ascii="Cambria" w:hAnsi="Cambria"/>
                <w:b/>
                <w:bCs/>
                <w:color w:val="auto"/>
                <w:sz w:val="20"/>
                <w:szCs w:val="20"/>
              </w:rPr>
            </w:pPr>
            <w:r w:rsidRPr="004E13E9">
              <w:rPr>
                <w:rFonts w:ascii="Cambria" w:hAnsi="Cambria"/>
                <w:b/>
                <w:color w:val="auto"/>
                <w:sz w:val="20"/>
                <w:szCs w:val="20"/>
              </w:rPr>
              <w:t>Liste des points de contact</w:t>
            </w:r>
          </w:p>
        </w:tc>
      </w:tr>
      <w:tr w:rsidR="00D95D78" w:rsidRPr="004E13E9" w14:paraId="4630AAA2" w14:textId="77777777" w:rsidTr="00E62E84">
        <w:tc>
          <w:tcPr>
            <w:tcW w:w="5954" w:type="dxa"/>
          </w:tcPr>
          <w:p w14:paraId="5BAC88E3" w14:textId="77777777" w:rsidR="00D95D78" w:rsidRPr="004E13E9" w:rsidRDefault="00D95D78" w:rsidP="00B07693">
            <w:pPr>
              <w:contextualSpacing/>
              <w:jc w:val="both"/>
              <w:rPr>
                <w:rFonts w:ascii="Cambria" w:hAnsi="Cambria"/>
                <w:b/>
                <w:color w:val="auto"/>
                <w:sz w:val="20"/>
                <w:szCs w:val="20"/>
              </w:rPr>
            </w:pPr>
            <w:r w:rsidRPr="004E13E9">
              <w:rPr>
                <w:rFonts w:ascii="Cambria" w:hAnsi="Cambria"/>
                <w:b/>
                <w:color w:val="auto"/>
                <w:sz w:val="20"/>
                <w:szCs w:val="20"/>
              </w:rPr>
              <w:t>Nom et prénom</w:t>
            </w:r>
          </w:p>
        </w:tc>
        <w:tc>
          <w:tcPr>
            <w:tcW w:w="3125" w:type="dxa"/>
          </w:tcPr>
          <w:p w14:paraId="050C5BF6" w14:textId="77777777" w:rsidR="00D95D78" w:rsidRPr="004E13E9" w:rsidRDefault="00D95D78" w:rsidP="00B07693">
            <w:pPr>
              <w:contextualSpacing/>
              <w:jc w:val="both"/>
              <w:rPr>
                <w:rFonts w:ascii="Cambria" w:hAnsi="Cambria"/>
                <w:b/>
                <w:color w:val="auto"/>
                <w:sz w:val="20"/>
                <w:szCs w:val="20"/>
              </w:rPr>
            </w:pPr>
            <w:r w:rsidRPr="004E13E9">
              <w:rPr>
                <w:rFonts w:ascii="Cambria" w:hAnsi="Cambria"/>
                <w:b/>
                <w:color w:val="auto"/>
                <w:sz w:val="20"/>
                <w:szCs w:val="20"/>
              </w:rPr>
              <w:t>E-mail</w:t>
            </w:r>
          </w:p>
        </w:tc>
      </w:tr>
      <w:tr w:rsidR="00D95D78" w:rsidRPr="004E13E9" w14:paraId="6BF63804" w14:textId="77777777" w:rsidTr="00E62E84">
        <w:tc>
          <w:tcPr>
            <w:tcW w:w="5954" w:type="dxa"/>
          </w:tcPr>
          <w:p w14:paraId="540EE084" w14:textId="77777777" w:rsidR="00D95D78" w:rsidRPr="004E13E9" w:rsidRDefault="00D95D78" w:rsidP="00B07693">
            <w:pPr>
              <w:autoSpaceDE w:val="0"/>
              <w:jc w:val="both"/>
              <w:rPr>
                <w:rFonts w:ascii="Cambria" w:hAnsi="Cambria"/>
                <w:color w:val="auto"/>
                <w:sz w:val="20"/>
                <w:szCs w:val="20"/>
              </w:rPr>
            </w:pPr>
            <w:r w:rsidRPr="004E13E9">
              <w:rPr>
                <w:rFonts w:ascii="Cambria" w:hAnsi="Cambria"/>
                <w:color w:val="auto"/>
                <w:sz w:val="20"/>
                <w:szCs w:val="20"/>
              </w:rPr>
              <w:t xml:space="preserve">Pablo Amaris - Directeur </w:t>
            </w:r>
          </w:p>
        </w:tc>
        <w:tc>
          <w:tcPr>
            <w:tcW w:w="3125" w:type="dxa"/>
          </w:tcPr>
          <w:p w14:paraId="59C815B9" w14:textId="77777777" w:rsidR="00D95D78" w:rsidRPr="004E13E9" w:rsidRDefault="00D95D78" w:rsidP="00B07693">
            <w:pPr>
              <w:autoSpaceDE w:val="0"/>
              <w:jc w:val="both"/>
              <w:rPr>
                <w:rFonts w:ascii="Cambria" w:hAnsi="Cambria"/>
                <w:color w:val="auto"/>
                <w:sz w:val="20"/>
                <w:szCs w:val="20"/>
              </w:rPr>
            </w:pPr>
            <w:hyperlink r:id="rId164" w:history="1">
              <w:r w:rsidRPr="004E13E9">
                <w:rPr>
                  <w:rStyle w:val="Hyperlink"/>
                  <w:rFonts w:ascii="Cambria" w:hAnsi="Cambria"/>
                  <w:sz w:val="20"/>
                  <w:szCs w:val="20"/>
                  <w:u w:val="none"/>
                </w:rPr>
                <w:t>pamaris@arap.gob.pa</w:t>
              </w:r>
            </w:hyperlink>
            <w:r w:rsidRPr="004E13E9">
              <w:rPr>
                <w:rFonts w:ascii="Cambria" w:hAnsi="Cambria"/>
                <w:sz w:val="20"/>
                <w:szCs w:val="20"/>
              </w:rPr>
              <w:t>).</w:t>
            </w:r>
            <w:r w:rsidRPr="004E13E9">
              <w:rPr>
                <w:rFonts w:ascii="Cambria" w:hAnsi="Cambria"/>
                <w:color w:val="auto"/>
                <w:sz w:val="20"/>
                <w:szCs w:val="20"/>
              </w:rPr>
              <w:t xml:space="preserve"> </w:t>
            </w:r>
          </w:p>
        </w:tc>
      </w:tr>
      <w:tr w:rsidR="00D95D78" w:rsidRPr="004E13E9" w14:paraId="6F591A73" w14:textId="77777777" w:rsidTr="00E62E84">
        <w:tc>
          <w:tcPr>
            <w:tcW w:w="5954" w:type="dxa"/>
          </w:tcPr>
          <w:p w14:paraId="5FCFDB2D" w14:textId="77777777" w:rsidR="00D95D78" w:rsidRPr="004E13E9" w:rsidRDefault="00D95D78" w:rsidP="00B07693">
            <w:pPr>
              <w:autoSpaceDE w:val="0"/>
              <w:jc w:val="both"/>
              <w:rPr>
                <w:rFonts w:ascii="Cambria" w:hAnsi="Cambria"/>
                <w:color w:val="auto"/>
                <w:sz w:val="20"/>
                <w:szCs w:val="20"/>
              </w:rPr>
            </w:pPr>
            <w:r w:rsidRPr="004E13E9">
              <w:rPr>
                <w:rFonts w:ascii="Cambria" w:hAnsi="Cambria"/>
                <w:color w:val="auto"/>
                <w:sz w:val="20"/>
                <w:szCs w:val="20"/>
              </w:rPr>
              <w:t xml:space="preserve">Carlos Lacasa - Chef du service d'inspection </w:t>
            </w:r>
          </w:p>
        </w:tc>
        <w:tc>
          <w:tcPr>
            <w:tcW w:w="3125" w:type="dxa"/>
          </w:tcPr>
          <w:p w14:paraId="44183293" w14:textId="77777777" w:rsidR="00D95D78" w:rsidRPr="004E13E9" w:rsidRDefault="00D95D78" w:rsidP="00B07693">
            <w:pPr>
              <w:autoSpaceDE w:val="0"/>
              <w:jc w:val="both"/>
              <w:rPr>
                <w:rFonts w:ascii="Cambria" w:hAnsi="Cambria"/>
                <w:color w:val="auto"/>
                <w:sz w:val="20"/>
                <w:szCs w:val="20"/>
              </w:rPr>
            </w:pPr>
            <w:hyperlink r:id="rId165" w:history="1">
              <w:r w:rsidRPr="004E13E9">
                <w:rPr>
                  <w:rStyle w:val="Hyperlink"/>
                  <w:rFonts w:ascii="Cambria" w:hAnsi="Cambria"/>
                  <w:sz w:val="20"/>
                  <w:szCs w:val="20"/>
                  <w:u w:val="none"/>
                </w:rPr>
                <w:t>clacasa@arap.gob.pa</w:t>
              </w:r>
            </w:hyperlink>
            <w:r w:rsidRPr="004E13E9">
              <w:rPr>
                <w:rFonts w:ascii="Cambria" w:hAnsi="Cambria"/>
                <w:sz w:val="20"/>
                <w:szCs w:val="20"/>
              </w:rPr>
              <w:t>).</w:t>
            </w:r>
            <w:r w:rsidRPr="004E13E9">
              <w:rPr>
                <w:rFonts w:ascii="Cambria" w:hAnsi="Cambria"/>
                <w:color w:val="auto"/>
                <w:sz w:val="20"/>
                <w:szCs w:val="20"/>
              </w:rPr>
              <w:t xml:space="preserve"> </w:t>
            </w:r>
          </w:p>
        </w:tc>
      </w:tr>
      <w:tr w:rsidR="00D95D78" w:rsidRPr="004E13E9" w14:paraId="5D535CD8" w14:textId="77777777" w:rsidTr="00E62E84">
        <w:tc>
          <w:tcPr>
            <w:tcW w:w="5954" w:type="dxa"/>
          </w:tcPr>
          <w:p w14:paraId="4858A0F1" w14:textId="77777777" w:rsidR="00D95D78" w:rsidRPr="004E13E9" w:rsidRDefault="00D95D78" w:rsidP="00B07693">
            <w:pPr>
              <w:autoSpaceDE w:val="0"/>
              <w:jc w:val="both"/>
              <w:rPr>
                <w:rFonts w:ascii="Cambria" w:hAnsi="Cambria"/>
                <w:color w:val="auto"/>
                <w:sz w:val="20"/>
                <w:szCs w:val="20"/>
              </w:rPr>
            </w:pPr>
            <w:proofErr w:type="spellStart"/>
            <w:r w:rsidRPr="004E13E9">
              <w:rPr>
                <w:rFonts w:ascii="Cambria" w:hAnsi="Cambria"/>
                <w:color w:val="auto"/>
                <w:sz w:val="20"/>
                <w:szCs w:val="20"/>
              </w:rPr>
              <w:t>Iván</w:t>
            </w:r>
            <w:proofErr w:type="spellEnd"/>
            <w:r w:rsidRPr="004E13E9">
              <w:rPr>
                <w:rFonts w:ascii="Cambria" w:hAnsi="Cambria"/>
                <w:color w:val="auto"/>
                <w:sz w:val="20"/>
                <w:szCs w:val="20"/>
              </w:rPr>
              <w:t xml:space="preserve"> Terrado - Chef du centre de surveillance </w:t>
            </w:r>
          </w:p>
        </w:tc>
        <w:tc>
          <w:tcPr>
            <w:tcW w:w="3125" w:type="dxa"/>
          </w:tcPr>
          <w:p w14:paraId="0B231E70" w14:textId="77777777" w:rsidR="00D95D78" w:rsidRPr="004E13E9" w:rsidRDefault="00D95D78" w:rsidP="00B07693">
            <w:pPr>
              <w:autoSpaceDE w:val="0"/>
              <w:jc w:val="both"/>
              <w:rPr>
                <w:rFonts w:ascii="Cambria" w:hAnsi="Cambria"/>
                <w:color w:val="auto"/>
                <w:sz w:val="20"/>
                <w:szCs w:val="20"/>
              </w:rPr>
            </w:pPr>
            <w:hyperlink r:id="rId166" w:history="1">
              <w:r w:rsidRPr="004E13E9">
                <w:rPr>
                  <w:rStyle w:val="Hyperlink"/>
                  <w:rFonts w:ascii="Cambria" w:hAnsi="Cambria"/>
                  <w:sz w:val="20"/>
                  <w:szCs w:val="20"/>
                  <w:u w:val="none"/>
                </w:rPr>
                <w:t>iterrado@arap.gob.pa</w:t>
              </w:r>
            </w:hyperlink>
            <w:r w:rsidRPr="004E13E9">
              <w:rPr>
                <w:rFonts w:ascii="Cambria" w:hAnsi="Cambria"/>
                <w:sz w:val="20"/>
                <w:szCs w:val="20"/>
              </w:rPr>
              <w:t>).</w:t>
            </w:r>
            <w:r w:rsidRPr="004E13E9">
              <w:rPr>
                <w:rFonts w:ascii="Cambria" w:hAnsi="Cambria"/>
                <w:color w:val="auto"/>
                <w:sz w:val="20"/>
                <w:szCs w:val="20"/>
              </w:rPr>
              <w:t xml:space="preserve"> </w:t>
            </w:r>
          </w:p>
        </w:tc>
      </w:tr>
      <w:tr w:rsidR="00D95D78" w:rsidRPr="004E13E9" w14:paraId="43F2B806" w14:textId="77777777" w:rsidTr="00E62E84">
        <w:tc>
          <w:tcPr>
            <w:tcW w:w="5954" w:type="dxa"/>
          </w:tcPr>
          <w:p w14:paraId="621DA01C" w14:textId="77777777" w:rsidR="00D95D78" w:rsidRPr="004E13E9" w:rsidRDefault="00D95D78" w:rsidP="00B07693">
            <w:pPr>
              <w:autoSpaceDE w:val="0"/>
              <w:jc w:val="both"/>
              <w:rPr>
                <w:rFonts w:ascii="Cambria" w:hAnsi="Cambria"/>
                <w:color w:val="auto"/>
                <w:sz w:val="20"/>
                <w:szCs w:val="20"/>
              </w:rPr>
            </w:pPr>
            <w:r w:rsidRPr="004E13E9">
              <w:rPr>
                <w:rFonts w:ascii="Cambria" w:hAnsi="Cambria"/>
                <w:color w:val="auto"/>
                <w:sz w:val="20"/>
                <w:szCs w:val="20"/>
              </w:rPr>
              <w:t xml:space="preserve">cc. à la direction de l'inspection </w:t>
            </w:r>
          </w:p>
        </w:tc>
        <w:tc>
          <w:tcPr>
            <w:tcW w:w="3125" w:type="dxa"/>
          </w:tcPr>
          <w:p w14:paraId="2594439E" w14:textId="77777777" w:rsidR="00D95D78" w:rsidRPr="004E13E9" w:rsidRDefault="00D95D78" w:rsidP="00B07693">
            <w:pPr>
              <w:autoSpaceDE w:val="0"/>
              <w:jc w:val="both"/>
              <w:rPr>
                <w:rFonts w:ascii="Cambria" w:hAnsi="Cambria"/>
                <w:color w:val="auto"/>
                <w:sz w:val="20"/>
                <w:szCs w:val="20"/>
              </w:rPr>
            </w:pPr>
            <w:hyperlink r:id="rId167" w:history="1">
              <w:r w:rsidRPr="004E13E9">
                <w:rPr>
                  <w:rStyle w:val="Hyperlink"/>
                  <w:rFonts w:ascii="Cambria" w:hAnsi="Cambria"/>
                  <w:sz w:val="20"/>
                  <w:szCs w:val="20"/>
                  <w:u w:val="none"/>
                </w:rPr>
                <w:t>ivc@arap.gob.pa</w:t>
              </w:r>
            </w:hyperlink>
            <w:r w:rsidRPr="004E13E9">
              <w:rPr>
                <w:rFonts w:ascii="Cambria" w:hAnsi="Cambria"/>
                <w:sz w:val="20"/>
                <w:szCs w:val="20"/>
              </w:rPr>
              <w:t>).</w:t>
            </w:r>
            <w:r w:rsidRPr="004E13E9">
              <w:rPr>
                <w:rFonts w:ascii="Cambria" w:hAnsi="Cambria"/>
                <w:color w:val="auto"/>
                <w:sz w:val="20"/>
                <w:szCs w:val="20"/>
              </w:rPr>
              <w:t xml:space="preserve"> </w:t>
            </w:r>
          </w:p>
        </w:tc>
      </w:tr>
      <w:tr w:rsidR="00D95D78" w:rsidRPr="004E13E9" w14:paraId="5DCA7361" w14:textId="77777777" w:rsidTr="00E62E84">
        <w:tc>
          <w:tcPr>
            <w:tcW w:w="5954" w:type="dxa"/>
          </w:tcPr>
          <w:p w14:paraId="518A9DCA" w14:textId="77777777" w:rsidR="00D95D78" w:rsidRPr="004E13E9" w:rsidRDefault="00D95D78" w:rsidP="00B07693">
            <w:pPr>
              <w:autoSpaceDE w:val="0"/>
              <w:jc w:val="both"/>
              <w:rPr>
                <w:rFonts w:ascii="Cambria" w:hAnsi="Cambria"/>
                <w:color w:val="auto"/>
                <w:sz w:val="20"/>
                <w:szCs w:val="20"/>
              </w:rPr>
            </w:pPr>
            <w:r w:rsidRPr="004E13E9">
              <w:rPr>
                <w:rFonts w:ascii="Cambria" w:hAnsi="Cambria"/>
                <w:color w:val="auto"/>
                <w:sz w:val="20"/>
                <w:szCs w:val="20"/>
              </w:rPr>
              <w:t xml:space="preserve">cc. au Centre de surveillance des pêcheries </w:t>
            </w:r>
          </w:p>
        </w:tc>
        <w:tc>
          <w:tcPr>
            <w:tcW w:w="3125" w:type="dxa"/>
          </w:tcPr>
          <w:p w14:paraId="4DD41F88" w14:textId="77777777" w:rsidR="00D95D78" w:rsidRPr="004E13E9" w:rsidRDefault="00D95D78" w:rsidP="00B07693">
            <w:pPr>
              <w:autoSpaceDE w:val="0"/>
              <w:jc w:val="both"/>
              <w:rPr>
                <w:rFonts w:ascii="Cambria" w:hAnsi="Cambria"/>
                <w:color w:val="auto"/>
                <w:sz w:val="20"/>
                <w:szCs w:val="20"/>
              </w:rPr>
            </w:pPr>
            <w:hyperlink r:id="rId168" w:history="1">
              <w:r w:rsidRPr="004E13E9">
                <w:rPr>
                  <w:rStyle w:val="Hyperlink"/>
                  <w:rFonts w:ascii="Cambria" w:hAnsi="Cambria"/>
                  <w:sz w:val="20"/>
                  <w:szCs w:val="20"/>
                  <w:u w:val="none"/>
                </w:rPr>
                <w:t>monitoreo@arap.gob.pa</w:t>
              </w:r>
            </w:hyperlink>
            <w:r w:rsidRPr="004E13E9">
              <w:rPr>
                <w:rFonts w:ascii="Cambria" w:hAnsi="Cambria"/>
                <w:sz w:val="20"/>
                <w:szCs w:val="20"/>
              </w:rPr>
              <w:t>).</w:t>
            </w:r>
          </w:p>
        </w:tc>
      </w:tr>
      <w:tr w:rsidR="00D95D78" w:rsidRPr="004E13E9" w14:paraId="01767D6F" w14:textId="77777777" w:rsidTr="00E62E84">
        <w:tc>
          <w:tcPr>
            <w:tcW w:w="5954" w:type="dxa"/>
          </w:tcPr>
          <w:p w14:paraId="3AB93B50" w14:textId="77777777" w:rsidR="00D95D78" w:rsidRPr="004E13E9" w:rsidRDefault="00D95D78" w:rsidP="00B07693">
            <w:pPr>
              <w:autoSpaceDE w:val="0"/>
              <w:jc w:val="both"/>
              <w:rPr>
                <w:rFonts w:ascii="Cambria" w:hAnsi="Cambria"/>
                <w:color w:val="auto"/>
                <w:sz w:val="20"/>
                <w:szCs w:val="20"/>
              </w:rPr>
            </w:pPr>
            <w:r w:rsidRPr="004E13E9">
              <w:rPr>
                <w:rFonts w:ascii="Cambria" w:hAnsi="Cambria"/>
                <w:color w:val="auto"/>
                <w:sz w:val="20"/>
                <w:szCs w:val="20"/>
              </w:rPr>
              <w:t>cc: Unité de suivi des organismes régionaux de gestion des pêcheries (USOROP)</w:t>
            </w:r>
          </w:p>
        </w:tc>
        <w:tc>
          <w:tcPr>
            <w:tcW w:w="3125" w:type="dxa"/>
          </w:tcPr>
          <w:p w14:paraId="6F253531" w14:textId="77777777" w:rsidR="00D95D78" w:rsidRPr="004E13E9" w:rsidRDefault="00D95D78" w:rsidP="00B07693">
            <w:pPr>
              <w:autoSpaceDE w:val="0"/>
              <w:jc w:val="both"/>
              <w:rPr>
                <w:rStyle w:val="Hyperlink"/>
                <w:rFonts w:ascii="Cambria" w:hAnsi="Cambria"/>
                <w:sz w:val="20"/>
                <w:szCs w:val="20"/>
                <w:u w:val="none"/>
              </w:rPr>
            </w:pPr>
            <w:r w:rsidRPr="004E13E9">
              <w:rPr>
                <w:rStyle w:val="Hyperlink"/>
                <w:rFonts w:ascii="Cambria" w:hAnsi="Cambria"/>
                <w:sz w:val="20"/>
                <w:szCs w:val="20"/>
                <w:u w:val="none"/>
              </w:rPr>
              <w:t>hsfs@arap.gob.pa</w:t>
            </w:r>
          </w:p>
        </w:tc>
      </w:tr>
      <w:tr w:rsidR="00D95D78" w:rsidRPr="004E13E9" w14:paraId="5D6D2B5B" w14:textId="77777777" w:rsidTr="00E62E84">
        <w:tc>
          <w:tcPr>
            <w:tcW w:w="5954" w:type="dxa"/>
          </w:tcPr>
          <w:p w14:paraId="39B6BCB4" w14:textId="77777777" w:rsidR="00D95D78" w:rsidRPr="004E13E9" w:rsidRDefault="00D95D78" w:rsidP="00B07693">
            <w:pPr>
              <w:autoSpaceDE w:val="0"/>
              <w:jc w:val="both"/>
              <w:rPr>
                <w:rFonts w:ascii="Cambria" w:hAnsi="Cambria"/>
                <w:color w:val="auto"/>
                <w:sz w:val="20"/>
                <w:szCs w:val="20"/>
              </w:rPr>
            </w:pPr>
            <w:r w:rsidRPr="004E13E9">
              <w:rPr>
                <w:rFonts w:ascii="Cambria" w:hAnsi="Cambria"/>
                <w:color w:val="auto"/>
                <w:sz w:val="20"/>
                <w:szCs w:val="20"/>
              </w:rPr>
              <w:t xml:space="preserve">cc: Administration générale de l’ARAP </w:t>
            </w:r>
          </w:p>
        </w:tc>
        <w:tc>
          <w:tcPr>
            <w:tcW w:w="3125" w:type="dxa"/>
          </w:tcPr>
          <w:p w14:paraId="327213C5" w14:textId="77777777" w:rsidR="00D95D78" w:rsidRPr="004E13E9" w:rsidRDefault="00D95D78" w:rsidP="00B07693">
            <w:pPr>
              <w:autoSpaceDE w:val="0"/>
              <w:jc w:val="both"/>
              <w:rPr>
                <w:rStyle w:val="Hyperlink"/>
                <w:rFonts w:ascii="Cambria" w:hAnsi="Cambria"/>
                <w:sz w:val="20"/>
                <w:szCs w:val="20"/>
                <w:u w:val="none"/>
              </w:rPr>
            </w:pPr>
            <w:r w:rsidRPr="004E13E9">
              <w:rPr>
                <w:rStyle w:val="Hyperlink"/>
                <w:rFonts w:ascii="Cambria" w:hAnsi="Cambria"/>
                <w:sz w:val="20"/>
                <w:szCs w:val="20"/>
                <w:u w:val="none"/>
              </w:rPr>
              <w:t xml:space="preserve">administraciongeneral@arap.gob.pa </w:t>
            </w:r>
          </w:p>
        </w:tc>
      </w:tr>
    </w:tbl>
    <w:p w14:paraId="40252424" w14:textId="77777777" w:rsidR="00D95D78" w:rsidRPr="004E13E9" w:rsidRDefault="00D95D78" w:rsidP="00B07693">
      <w:pPr>
        <w:autoSpaceDE w:val="0"/>
        <w:autoSpaceDN w:val="0"/>
        <w:adjustRightInd w:val="0"/>
        <w:jc w:val="both"/>
        <w:rPr>
          <w:b/>
        </w:rPr>
      </w:pPr>
    </w:p>
    <w:p w14:paraId="6BE84A00" w14:textId="77777777" w:rsidR="00D95D78" w:rsidRPr="004E13E9" w:rsidRDefault="00D95D78" w:rsidP="00B07693">
      <w:pPr>
        <w:jc w:val="both"/>
      </w:pPr>
    </w:p>
    <w:p w14:paraId="496BC26F" w14:textId="77777777" w:rsidR="00D95D78" w:rsidRPr="004E13E9" w:rsidRDefault="00D95D78" w:rsidP="00B07693">
      <w:pPr>
        <w:tabs>
          <w:tab w:val="left" w:pos="426"/>
        </w:tabs>
        <w:jc w:val="both"/>
        <w:rPr>
          <w:b/>
          <w:i/>
          <w:lang w:val="fr-FR"/>
        </w:rPr>
      </w:pPr>
      <w:r w:rsidRPr="004E13E9">
        <w:rPr>
          <w:b/>
          <w:i/>
          <w:lang w:val="fr-FR"/>
        </w:rPr>
        <w:t>5b) Programme d’inspection internationale conjointe (JIS) (paragraphes 232-235)</w:t>
      </w:r>
    </w:p>
    <w:p w14:paraId="460EED79" w14:textId="77777777" w:rsidR="00D95D78" w:rsidRPr="004E13E9" w:rsidRDefault="00D95D78" w:rsidP="00B07693">
      <w:pPr>
        <w:tabs>
          <w:tab w:val="left" w:pos="426"/>
        </w:tabs>
        <w:jc w:val="both"/>
        <w:rPr>
          <w:iCs/>
          <w:lang w:val="fr-FR"/>
        </w:rPr>
      </w:pPr>
    </w:p>
    <w:p w14:paraId="45B909EE" w14:textId="77777777" w:rsidR="00D95D78" w:rsidRPr="004E13E9" w:rsidRDefault="00D95D78" w:rsidP="00B07693">
      <w:pPr>
        <w:tabs>
          <w:tab w:val="left" w:pos="426"/>
        </w:tabs>
        <w:jc w:val="both"/>
        <w:rPr>
          <w:b/>
          <w:iCs/>
        </w:rPr>
      </w:pPr>
      <w:r w:rsidRPr="004E13E9">
        <w:t xml:space="preserve">Non applicable. </w:t>
      </w:r>
    </w:p>
    <w:p w14:paraId="66BEDA88" w14:textId="77777777" w:rsidR="00D95D78" w:rsidRPr="004E13E9" w:rsidRDefault="00D95D78" w:rsidP="00B07693">
      <w:pPr>
        <w:jc w:val="both"/>
      </w:pPr>
    </w:p>
    <w:p w14:paraId="42D282E6" w14:textId="77777777" w:rsidR="00D95D78" w:rsidRPr="004E13E9" w:rsidRDefault="00D95D78" w:rsidP="00B07693">
      <w:pPr>
        <w:jc w:val="both"/>
      </w:pPr>
    </w:p>
    <w:p w14:paraId="20F49630" w14:textId="77777777" w:rsidR="00D95D78" w:rsidRPr="004E13E9" w:rsidRDefault="00D95D78" w:rsidP="00487A5C">
      <w:pPr>
        <w:pStyle w:val="ListParagraph"/>
        <w:widowControl w:val="0"/>
        <w:numPr>
          <w:ilvl w:val="0"/>
          <w:numId w:val="46"/>
        </w:numPr>
        <w:spacing w:after="0" w:line="240" w:lineRule="auto"/>
        <w:ind w:left="426" w:hanging="426"/>
        <w:jc w:val="both"/>
        <w:rPr>
          <w:rFonts w:ascii="Cambria" w:hAnsi="Cambria"/>
          <w:b/>
          <w:sz w:val="20"/>
          <w:szCs w:val="20"/>
        </w:rPr>
      </w:pPr>
      <w:r w:rsidRPr="004E13E9">
        <w:rPr>
          <w:rFonts w:ascii="Cambria" w:hAnsi="Cambria"/>
          <w:b/>
          <w:sz w:val="20"/>
          <w:szCs w:val="20"/>
        </w:rPr>
        <w:t>Autres</w:t>
      </w:r>
    </w:p>
    <w:p w14:paraId="623260BD" w14:textId="77777777" w:rsidR="00D95D78" w:rsidRPr="004E13E9" w:rsidRDefault="00D95D78" w:rsidP="00B07693">
      <w:pPr>
        <w:jc w:val="both"/>
      </w:pPr>
    </w:p>
    <w:p w14:paraId="41B6206E" w14:textId="77777777" w:rsidR="00D95D78" w:rsidRPr="004E13E9" w:rsidRDefault="00D95D78" w:rsidP="00B07693">
      <w:pPr>
        <w:jc w:val="both"/>
        <w:rPr>
          <w:b/>
        </w:rPr>
        <w:sectPr w:rsidR="00D95D78" w:rsidRPr="004E13E9" w:rsidSect="00D95D78">
          <w:headerReference w:type="first" r:id="rId169"/>
          <w:footerReference w:type="first" r:id="rId170"/>
          <w:pgSz w:w="11906" w:h="16838" w:code="9"/>
          <w:pgMar w:top="1418" w:right="1418" w:bottom="1418" w:left="1418" w:header="851" w:footer="1134" w:gutter="0"/>
          <w:cols w:space="425"/>
          <w:docGrid w:linePitch="360"/>
        </w:sectPr>
      </w:pPr>
      <w:r w:rsidRPr="004E13E9">
        <w:t xml:space="preserve">Non applicable. </w:t>
      </w:r>
    </w:p>
    <w:p w14:paraId="0306F9C6" w14:textId="77777777" w:rsidR="00D95D78" w:rsidRPr="004E13E9" w:rsidRDefault="00D95D78" w:rsidP="00D95D78">
      <w:pPr>
        <w:rPr>
          <w:sz w:val="14"/>
          <w:szCs w:val="14"/>
        </w:rPr>
      </w:pPr>
      <w:r w:rsidRPr="004E13E9">
        <w:rPr>
          <w:b/>
        </w:rPr>
        <w:t xml:space="preserve">Tableau de la </w:t>
      </w:r>
      <w:proofErr w:type="spellStart"/>
      <w:r w:rsidRPr="004E13E9">
        <w:rPr>
          <w:b/>
        </w:rPr>
        <w:t>capacité</w:t>
      </w:r>
      <w:proofErr w:type="spellEnd"/>
    </w:p>
    <w:p w14:paraId="3DA8E44A" w14:textId="77777777" w:rsidR="00D95D78" w:rsidRPr="004E13E9" w:rsidRDefault="00D95D78" w:rsidP="00D95D78">
      <w:pPr>
        <w:rPr>
          <w:sz w:val="14"/>
          <w:szCs w:val="14"/>
        </w:rPr>
      </w:pPr>
    </w:p>
    <w:tbl>
      <w:tblPr>
        <w:tblW w:w="15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1"/>
        <w:gridCol w:w="2388"/>
        <w:gridCol w:w="687"/>
        <w:gridCol w:w="688"/>
        <w:gridCol w:w="688"/>
        <w:gridCol w:w="688"/>
        <w:gridCol w:w="688"/>
        <w:gridCol w:w="688"/>
        <w:gridCol w:w="688"/>
        <w:gridCol w:w="304"/>
        <w:gridCol w:w="688"/>
        <w:gridCol w:w="688"/>
        <w:gridCol w:w="688"/>
        <w:gridCol w:w="688"/>
        <w:gridCol w:w="688"/>
        <w:gridCol w:w="688"/>
        <w:gridCol w:w="688"/>
      </w:tblGrid>
      <w:tr w:rsidR="00D95D78" w:rsidRPr="004E13E9" w14:paraId="5F68D676" w14:textId="77777777" w:rsidTr="00E62E84">
        <w:trPr>
          <w:trHeight w:val="23"/>
          <w:jc w:val="center"/>
        </w:trPr>
        <w:tc>
          <w:tcPr>
            <w:tcW w:w="3371" w:type="dxa"/>
            <w:noWrap/>
            <w:vAlign w:val="center"/>
            <w:hideMark/>
          </w:tcPr>
          <w:p w14:paraId="134AD00B" w14:textId="77777777" w:rsidR="00D95D78" w:rsidRPr="004E13E9" w:rsidRDefault="00D95D78" w:rsidP="00E62E84">
            <w:pPr>
              <w:keepNext/>
              <w:jc w:val="center"/>
              <w:outlineLvl w:val="1"/>
              <w:rPr>
                <w:i/>
                <w:sz w:val="16"/>
              </w:rPr>
            </w:pPr>
            <w:r w:rsidRPr="004E13E9">
              <w:rPr>
                <w:i/>
                <w:sz w:val="16"/>
              </w:rPr>
              <w:t xml:space="preserve">Type de </w:t>
            </w:r>
            <w:proofErr w:type="spellStart"/>
            <w:r w:rsidRPr="004E13E9">
              <w:rPr>
                <w:i/>
                <w:sz w:val="16"/>
              </w:rPr>
              <w:t>navires</w:t>
            </w:r>
            <w:proofErr w:type="spellEnd"/>
            <w:r w:rsidRPr="004E13E9">
              <w:rPr>
                <w:i/>
                <w:sz w:val="16"/>
              </w:rPr>
              <w:t xml:space="preserve"> </w:t>
            </w:r>
            <w:proofErr w:type="spellStart"/>
            <w:r w:rsidRPr="004E13E9">
              <w:rPr>
                <w:i/>
                <w:sz w:val="16"/>
              </w:rPr>
              <w:t>thoniers</w:t>
            </w:r>
            <w:proofErr w:type="spellEnd"/>
          </w:p>
        </w:tc>
        <w:tc>
          <w:tcPr>
            <w:tcW w:w="2388" w:type="dxa"/>
            <w:noWrap/>
            <w:vAlign w:val="center"/>
            <w:hideMark/>
          </w:tcPr>
          <w:p w14:paraId="381BE25B" w14:textId="77777777" w:rsidR="00D95D78" w:rsidRPr="004E13E9" w:rsidRDefault="00D95D78" w:rsidP="00E62E84">
            <w:pPr>
              <w:jc w:val="center"/>
              <w:rPr>
                <w:sz w:val="16"/>
              </w:rPr>
            </w:pPr>
          </w:p>
        </w:tc>
        <w:tc>
          <w:tcPr>
            <w:tcW w:w="0" w:type="auto"/>
            <w:gridSpan w:val="3"/>
          </w:tcPr>
          <w:p w14:paraId="20C784EB" w14:textId="77777777" w:rsidR="00D95D78" w:rsidRPr="004E13E9" w:rsidRDefault="00D95D78" w:rsidP="00E62E84">
            <w:pPr>
              <w:jc w:val="center"/>
              <w:rPr>
                <w:i/>
                <w:sz w:val="16"/>
              </w:rPr>
            </w:pPr>
            <w:r w:rsidRPr="004E13E9">
              <w:rPr>
                <w:i/>
                <w:sz w:val="16"/>
              </w:rPr>
              <w:t xml:space="preserve">Années de </w:t>
            </w:r>
            <w:proofErr w:type="spellStart"/>
            <w:r w:rsidRPr="004E13E9">
              <w:rPr>
                <w:i/>
                <w:sz w:val="16"/>
              </w:rPr>
              <w:t>réf</w:t>
            </w:r>
            <w:proofErr w:type="spellEnd"/>
            <w:r w:rsidRPr="004E13E9">
              <w:rPr>
                <w:i/>
                <w:sz w:val="16"/>
              </w:rPr>
              <w:t>.</w:t>
            </w:r>
          </w:p>
        </w:tc>
        <w:tc>
          <w:tcPr>
            <w:tcW w:w="0" w:type="auto"/>
            <w:gridSpan w:val="4"/>
            <w:vAlign w:val="center"/>
          </w:tcPr>
          <w:p w14:paraId="2142E644" w14:textId="77777777" w:rsidR="00D95D78" w:rsidRPr="004E13E9" w:rsidRDefault="00D95D78" w:rsidP="00E62E84">
            <w:pPr>
              <w:jc w:val="center"/>
              <w:rPr>
                <w:sz w:val="16"/>
              </w:rPr>
            </w:pPr>
            <w:r w:rsidRPr="004E13E9">
              <w:rPr>
                <w:i/>
                <w:sz w:val="16"/>
              </w:rPr>
              <w:t xml:space="preserve">Nombre de </w:t>
            </w:r>
            <w:proofErr w:type="spellStart"/>
            <w:r w:rsidRPr="004E13E9">
              <w:rPr>
                <w:i/>
                <w:sz w:val="16"/>
              </w:rPr>
              <w:t>navires</w:t>
            </w:r>
            <w:proofErr w:type="spellEnd"/>
          </w:p>
        </w:tc>
        <w:tc>
          <w:tcPr>
            <w:tcW w:w="0" w:type="auto"/>
            <w:shd w:val="clear" w:color="auto" w:fill="D9D9D9"/>
            <w:vAlign w:val="center"/>
            <w:hideMark/>
          </w:tcPr>
          <w:p w14:paraId="1E888FB4" w14:textId="77777777" w:rsidR="00D95D78" w:rsidRPr="004E13E9" w:rsidRDefault="00D95D78" w:rsidP="00E62E84">
            <w:pPr>
              <w:jc w:val="center"/>
              <w:rPr>
                <w:rFonts w:eastAsia="Times New Roman"/>
                <w:sz w:val="16"/>
                <w:szCs w:val="16"/>
                <w:lang w:eastAsia="ja-JP"/>
              </w:rPr>
            </w:pPr>
          </w:p>
        </w:tc>
        <w:tc>
          <w:tcPr>
            <w:tcW w:w="0" w:type="auto"/>
            <w:gridSpan w:val="3"/>
          </w:tcPr>
          <w:p w14:paraId="77FDAD6D" w14:textId="77777777" w:rsidR="00D95D78" w:rsidRPr="004E13E9" w:rsidRDefault="00D95D78" w:rsidP="00E62E84">
            <w:pPr>
              <w:jc w:val="center"/>
              <w:rPr>
                <w:i/>
                <w:sz w:val="16"/>
              </w:rPr>
            </w:pPr>
            <w:r w:rsidRPr="004E13E9">
              <w:rPr>
                <w:i/>
                <w:sz w:val="16"/>
              </w:rPr>
              <w:t xml:space="preserve">Années de </w:t>
            </w:r>
            <w:proofErr w:type="spellStart"/>
            <w:r w:rsidRPr="004E13E9">
              <w:rPr>
                <w:i/>
                <w:sz w:val="16"/>
              </w:rPr>
              <w:t>réf</w:t>
            </w:r>
            <w:proofErr w:type="spellEnd"/>
            <w:r w:rsidRPr="004E13E9">
              <w:rPr>
                <w:i/>
                <w:sz w:val="16"/>
              </w:rPr>
              <w:t>.</w:t>
            </w:r>
          </w:p>
        </w:tc>
        <w:tc>
          <w:tcPr>
            <w:tcW w:w="0" w:type="auto"/>
            <w:gridSpan w:val="4"/>
          </w:tcPr>
          <w:p w14:paraId="59F321E9" w14:textId="77777777" w:rsidR="00D95D78" w:rsidRPr="004E13E9" w:rsidRDefault="00D95D78" w:rsidP="00E62E84">
            <w:pPr>
              <w:jc w:val="center"/>
              <w:rPr>
                <w:i/>
                <w:sz w:val="16"/>
              </w:rPr>
            </w:pPr>
            <w:proofErr w:type="spellStart"/>
            <w:r w:rsidRPr="004E13E9">
              <w:rPr>
                <w:i/>
                <w:sz w:val="16"/>
              </w:rPr>
              <w:t>Capacité</w:t>
            </w:r>
            <w:proofErr w:type="spellEnd"/>
            <w:r w:rsidRPr="004E13E9">
              <w:rPr>
                <w:i/>
                <w:sz w:val="16"/>
              </w:rPr>
              <w:t xml:space="preserve"> de </w:t>
            </w:r>
            <w:proofErr w:type="spellStart"/>
            <w:r w:rsidRPr="004E13E9">
              <w:rPr>
                <w:i/>
                <w:sz w:val="16"/>
              </w:rPr>
              <w:t>pêche</w:t>
            </w:r>
            <w:proofErr w:type="spellEnd"/>
          </w:p>
        </w:tc>
      </w:tr>
      <w:tr w:rsidR="00D95D78" w:rsidRPr="004E13E9" w14:paraId="69DBED6F" w14:textId="77777777" w:rsidTr="00E62E84">
        <w:trPr>
          <w:trHeight w:val="23"/>
          <w:jc w:val="center"/>
        </w:trPr>
        <w:tc>
          <w:tcPr>
            <w:tcW w:w="3371" w:type="dxa"/>
            <w:tcBorders>
              <w:bottom w:val="single" w:sz="12" w:space="0" w:color="000000"/>
            </w:tcBorders>
            <w:noWrap/>
            <w:vAlign w:val="center"/>
            <w:hideMark/>
          </w:tcPr>
          <w:p w14:paraId="53F85F82" w14:textId="77777777" w:rsidR="00D95D78" w:rsidRPr="004E13E9" w:rsidRDefault="00D95D78" w:rsidP="00E62E84">
            <w:pPr>
              <w:rPr>
                <w:b/>
                <w:sz w:val="16"/>
              </w:rPr>
            </w:pPr>
            <w:r w:rsidRPr="004E13E9">
              <w:rPr>
                <w:b/>
                <w:sz w:val="16"/>
              </w:rPr>
              <w:t>Type</w:t>
            </w:r>
          </w:p>
        </w:tc>
        <w:tc>
          <w:tcPr>
            <w:tcW w:w="2388" w:type="dxa"/>
            <w:tcBorders>
              <w:bottom w:val="single" w:sz="12" w:space="0" w:color="000000"/>
            </w:tcBorders>
            <w:vAlign w:val="center"/>
            <w:hideMark/>
          </w:tcPr>
          <w:p w14:paraId="7A74D49E" w14:textId="77777777" w:rsidR="00D95D78" w:rsidRPr="004E13E9" w:rsidRDefault="00D95D78" w:rsidP="00E62E84">
            <w:pPr>
              <w:jc w:val="center"/>
              <w:rPr>
                <w:sz w:val="16"/>
                <w:lang w:val="fr-FR"/>
              </w:rPr>
            </w:pPr>
            <w:r w:rsidRPr="004E13E9">
              <w:rPr>
                <w:sz w:val="16"/>
                <w:lang w:val="fr-FR"/>
              </w:rPr>
              <w:t>Meilleurs taux de capture définis par le SCRS en 2009 (t)</w:t>
            </w:r>
          </w:p>
        </w:tc>
        <w:tc>
          <w:tcPr>
            <w:tcW w:w="0" w:type="auto"/>
            <w:tcBorders>
              <w:bottom w:val="single" w:sz="12" w:space="0" w:color="000000"/>
            </w:tcBorders>
            <w:vAlign w:val="center"/>
          </w:tcPr>
          <w:p w14:paraId="6F0D9BCB" w14:textId="77777777" w:rsidR="00D95D78" w:rsidRPr="004E13E9" w:rsidRDefault="00D95D78" w:rsidP="00E62E84">
            <w:pPr>
              <w:jc w:val="center"/>
              <w:rPr>
                <w:sz w:val="16"/>
              </w:rPr>
            </w:pPr>
            <w:r w:rsidRPr="004E13E9">
              <w:rPr>
                <w:sz w:val="16"/>
              </w:rPr>
              <w:t>2006</w:t>
            </w:r>
          </w:p>
        </w:tc>
        <w:tc>
          <w:tcPr>
            <w:tcW w:w="0" w:type="auto"/>
            <w:tcBorders>
              <w:bottom w:val="single" w:sz="12" w:space="0" w:color="000000"/>
            </w:tcBorders>
            <w:noWrap/>
            <w:vAlign w:val="center"/>
            <w:hideMark/>
          </w:tcPr>
          <w:p w14:paraId="781EB83F" w14:textId="77777777" w:rsidR="00D95D78" w:rsidRPr="004E13E9" w:rsidRDefault="00D95D78" w:rsidP="00E62E84">
            <w:pPr>
              <w:jc w:val="center"/>
              <w:rPr>
                <w:sz w:val="16"/>
              </w:rPr>
            </w:pPr>
            <w:r w:rsidRPr="004E13E9">
              <w:rPr>
                <w:sz w:val="16"/>
              </w:rPr>
              <w:t>2008</w:t>
            </w:r>
          </w:p>
        </w:tc>
        <w:tc>
          <w:tcPr>
            <w:tcW w:w="0" w:type="auto"/>
            <w:tcBorders>
              <w:bottom w:val="single" w:sz="12" w:space="0" w:color="000000"/>
            </w:tcBorders>
            <w:vAlign w:val="center"/>
            <w:hideMark/>
          </w:tcPr>
          <w:p w14:paraId="4D8F52AE" w14:textId="77777777" w:rsidR="00D95D78" w:rsidRPr="004E13E9" w:rsidRDefault="00D95D78" w:rsidP="00E62E84">
            <w:pPr>
              <w:jc w:val="center"/>
              <w:rPr>
                <w:sz w:val="16"/>
              </w:rPr>
            </w:pPr>
            <w:r w:rsidRPr="004E13E9">
              <w:rPr>
                <w:sz w:val="16"/>
              </w:rPr>
              <w:t>2018</w:t>
            </w:r>
          </w:p>
        </w:tc>
        <w:tc>
          <w:tcPr>
            <w:tcW w:w="0" w:type="auto"/>
            <w:tcBorders>
              <w:bottom w:val="single" w:sz="12" w:space="0" w:color="000000"/>
            </w:tcBorders>
            <w:vAlign w:val="center"/>
            <w:hideMark/>
          </w:tcPr>
          <w:p w14:paraId="0E63B88D" w14:textId="77777777" w:rsidR="00D95D78" w:rsidRPr="004E13E9" w:rsidRDefault="00D95D78" w:rsidP="00E62E84">
            <w:pPr>
              <w:jc w:val="center"/>
              <w:rPr>
                <w:sz w:val="16"/>
              </w:rPr>
            </w:pPr>
            <w:r w:rsidRPr="004E13E9">
              <w:rPr>
                <w:sz w:val="16"/>
              </w:rPr>
              <w:t>2023</w:t>
            </w:r>
          </w:p>
        </w:tc>
        <w:tc>
          <w:tcPr>
            <w:tcW w:w="0" w:type="auto"/>
            <w:tcBorders>
              <w:bottom w:val="single" w:sz="12" w:space="0" w:color="000000"/>
            </w:tcBorders>
            <w:vAlign w:val="center"/>
            <w:hideMark/>
          </w:tcPr>
          <w:p w14:paraId="22ABBCCF" w14:textId="77777777" w:rsidR="00D95D78" w:rsidRPr="004E13E9" w:rsidRDefault="00D95D78" w:rsidP="00E62E84">
            <w:pPr>
              <w:jc w:val="center"/>
              <w:rPr>
                <w:sz w:val="16"/>
              </w:rPr>
            </w:pPr>
            <w:r w:rsidRPr="004E13E9">
              <w:rPr>
                <w:sz w:val="16"/>
              </w:rPr>
              <w:t>2024</w:t>
            </w:r>
          </w:p>
        </w:tc>
        <w:tc>
          <w:tcPr>
            <w:tcW w:w="0" w:type="auto"/>
            <w:tcBorders>
              <w:bottom w:val="single" w:sz="12" w:space="0" w:color="000000"/>
            </w:tcBorders>
            <w:vAlign w:val="center"/>
          </w:tcPr>
          <w:p w14:paraId="317724E5" w14:textId="77777777" w:rsidR="00D95D78" w:rsidRPr="004E13E9" w:rsidRDefault="00D95D78" w:rsidP="00E62E84">
            <w:pPr>
              <w:jc w:val="center"/>
              <w:rPr>
                <w:sz w:val="16"/>
              </w:rPr>
            </w:pPr>
            <w:r w:rsidRPr="004E13E9">
              <w:rPr>
                <w:sz w:val="16"/>
              </w:rPr>
              <w:t>2025</w:t>
            </w:r>
          </w:p>
        </w:tc>
        <w:tc>
          <w:tcPr>
            <w:tcW w:w="0" w:type="auto"/>
            <w:tcBorders>
              <w:bottom w:val="single" w:sz="12" w:space="0" w:color="000000"/>
            </w:tcBorders>
            <w:vAlign w:val="center"/>
          </w:tcPr>
          <w:p w14:paraId="42CF3AE9" w14:textId="77777777" w:rsidR="00D95D78" w:rsidRPr="004E13E9" w:rsidRDefault="00D95D78" w:rsidP="00E62E84">
            <w:pPr>
              <w:jc w:val="center"/>
              <w:rPr>
                <w:sz w:val="16"/>
              </w:rPr>
            </w:pPr>
            <w:r w:rsidRPr="004E13E9">
              <w:rPr>
                <w:sz w:val="16"/>
              </w:rPr>
              <w:t>2026</w:t>
            </w:r>
          </w:p>
        </w:tc>
        <w:tc>
          <w:tcPr>
            <w:tcW w:w="0" w:type="auto"/>
            <w:tcBorders>
              <w:bottom w:val="single" w:sz="12" w:space="0" w:color="000000"/>
            </w:tcBorders>
            <w:shd w:val="clear" w:color="000000" w:fill="D9D9D9"/>
            <w:vAlign w:val="center"/>
            <w:hideMark/>
          </w:tcPr>
          <w:p w14:paraId="2313CEB1" w14:textId="77777777" w:rsidR="00D95D78" w:rsidRPr="004E13E9" w:rsidRDefault="00D95D78" w:rsidP="00E62E84">
            <w:pPr>
              <w:jc w:val="center"/>
              <w:rPr>
                <w:sz w:val="16"/>
              </w:rPr>
            </w:pPr>
          </w:p>
        </w:tc>
        <w:tc>
          <w:tcPr>
            <w:tcW w:w="0" w:type="auto"/>
            <w:tcBorders>
              <w:bottom w:val="single" w:sz="12" w:space="0" w:color="000000"/>
            </w:tcBorders>
            <w:vAlign w:val="center"/>
          </w:tcPr>
          <w:p w14:paraId="49ED322B" w14:textId="77777777" w:rsidR="00D95D78" w:rsidRPr="004E13E9" w:rsidRDefault="00D95D78" w:rsidP="00E62E84">
            <w:pPr>
              <w:jc w:val="center"/>
              <w:rPr>
                <w:sz w:val="16"/>
              </w:rPr>
            </w:pPr>
            <w:r w:rsidRPr="004E13E9">
              <w:rPr>
                <w:sz w:val="16"/>
              </w:rPr>
              <w:t>2006</w:t>
            </w:r>
          </w:p>
        </w:tc>
        <w:tc>
          <w:tcPr>
            <w:tcW w:w="0" w:type="auto"/>
            <w:tcBorders>
              <w:bottom w:val="single" w:sz="12" w:space="0" w:color="000000"/>
            </w:tcBorders>
            <w:vAlign w:val="center"/>
            <w:hideMark/>
          </w:tcPr>
          <w:p w14:paraId="2BAA7B9B" w14:textId="77777777" w:rsidR="00D95D78" w:rsidRPr="004E13E9" w:rsidRDefault="00D95D78" w:rsidP="00E62E84">
            <w:pPr>
              <w:jc w:val="center"/>
              <w:rPr>
                <w:sz w:val="16"/>
              </w:rPr>
            </w:pPr>
            <w:r w:rsidRPr="004E13E9">
              <w:rPr>
                <w:sz w:val="16"/>
              </w:rPr>
              <w:t>2008</w:t>
            </w:r>
          </w:p>
        </w:tc>
        <w:tc>
          <w:tcPr>
            <w:tcW w:w="0" w:type="auto"/>
            <w:tcBorders>
              <w:bottom w:val="single" w:sz="12" w:space="0" w:color="000000"/>
            </w:tcBorders>
            <w:vAlign w:val="center"/>
            <w:hideMark/>
          </w:tcPr>
          <w:p w14:paraId="4654B6EF" w14:textId="77777777" w:rsidR="00D95D78" w:rsidRPr="004E13E9" w:rsidRDefault="00D95D78" w:rsidP="00E62E84">
            <w:pPr>
              <w:jc w:val="center"/>
              <w:rPr>
                <w:sz w:val="16"/>
              </w:rPr>
            </w:pPr>
            <w:r w:rsidRPr="004E13E9">
              <w:rPr>
                <w:sz w:val="16"/>
              </w:rPr>
              <w:t>2018</w:t>
            </w:r>
          </w:p>
        </w:tc>
        <w:tc>
          <w:tcPr>
            <w:tcW w:w="0" w:type="auto"/>
            <w:tcBorders>
              <w:bottom w:val="single" w:sz="12" w:space="0" w:color="000000"/>
            </w:tcBorders>
            <w:vAlign w:val="center"/>
            <w:hideMark/>
          </w:tcPr>
          <w:p w14:paraId="3AFACF8F" w14:textId="77777777" w:rsidR="00D95D78" w:rsidRPr="004E13E9" w:rsidRDefault="00D95D78" w:rsidP="00E62E84">
            <w:pPr>
              <w:jc w:val="center"/>
              <w:rPr>
                <w:sz w:val="16"/>
              </w:rPr>
            </w:pPr>
            <w:r w:rsidRPr="004E13E9">
              <w:rPr>
                <w:sz w:val="16"/>
              </w:rPr>
              <w:t>2023</w:t>
            </w:r>
          </w:p>
        </w:tc>
        <w:tc>
          <w:tcPr>
            <w:tcW w:w="0" w:type="auto"/>
            <w:tcBorders>
              <w:bottom w:val="single" w:sz="12" w:space="0" w:color="000000"/>
            </w:tcBorders>
            <w:vAlign w:val="center"/>
            <w:hideMark/>
          </w:tcPr>
          <w:p w14:paraId="42F96788" w14:textId="77777777" w:rsidR="00D95D78" w:rsidRPr="004E13E9" w:rsidRDefault="00D95D78" w:rsidP="00E62E84">
            <w:pPr>
              <w:jc w:val="center"/>
              <w:rPr>
                <w:sz w:val="16"/>
              </w:rPr>
            </w:pPr>
            <w:r w:rsidRPr="004E13E9">
              <w:rPr>
                <w:sz w:val="16"/>
              </w:rPr>
              <w:t>2024</w:t>
            </w:r>
          </w:p>
        </w:tc>
        <w:tc>
          <w:tcPr>
            <w:tcW w:w="0" w:type="auto"/>
            <w:tcBorders>
              <w:bottom w:val="single" w:sz="12" w:space="0" w:color="000000"/>
            </w:tcBorders>
            <w:vAlign w:val="center"/>
            <w:hideMark/>
          </w:tcPr>
          <w:p w14:paraId="7505AA4A" w14:textId="77777777" w:rsidR="00D95D78" w:rsidRPr="004E13E9" w:rsidRDefault="00D95D78" w:rsidP="00E62E84">
            <w:pPr>
              <w:jc w:val="center"/>
              <w:rPr>
                <w:sz w:val="16"/>
              </w:rPr>
            </w:pPr>
            <w:r w:rsidRPr="004E13E9">
              <w:rPr>
                <w:sz w:val="16"/>
              </w:rPr>
              <w:t>2025</w:t>
            </w:r>
          </w:p>
        </w:tc>
        <w:tc>
          <w:tcPr>
            <w:tcW w:w="0" w:type="auto"/>
            <w:tcBorders>
              <w:bottom w:val="single" w:sz="12" w:space="0" w:color="000000"/>
            </w:tcBorders>
            <w:vAlign w:val="center"/>
          </w:tcPr>
          <w:p w14:paraId="7562C992" w14:textId="77777777" w:rsidR="00D95D78" w:rsidRPr="004E13E9" w:rsidRDefault="00D95D78" w:rsidP="00E62E84">
            <w:pPr>
              <w:jc w:val="center"/>
              <w:rPr>
                <w:sz w:val="16"/>
              </w:rPr>
            </w:pPr>
            <w:r w:rsidRPr="004E13E9">
              <w:rPr>
                <w:sz w:val="16"/>
              </w:rPr>
              <w:t>2026</w:t>
            </w:r>
          </w:p>
        </w:tc>
      </w:tr>
      <w:tr w:rsidR="00D95D78" w:rsidRPr="004E13E9" w14:paraId="766E19A6" w14:textId="77777777" w:rsidTr="00E62E84">
        <w:trPr>
          <w:trHeight w:val="247"/>
          <w:jc w:val="center"/>
        </w:trPr>
        <w:tc>
          <w:tcPr>
            <w:tcW w:w="3371" w:type="dxa"/>
            <w:tcBorders>
              <w:top w:val="single" w:sz="12" w:space="0" w:color="000000"/>
              <w:left w:val="single" w:sz="12" w:space="0" w:color="000000"/>
            </w:tcBorders>
            <w:noWrap/>
            <w:vAlign w:val="center"/>
            <w:hideMark/>
          </w:tcPr>
          <w:p w14:paraId="35309DDB" w14:textId="77777777" w:rsidR="00D95D78" w:rsidRPr="004E13E9" w:rsidRDefault="00D95D78" w:rsidP="00E62E84">
            <w:pPr>
              <w:rPr>
                <w:sz w:val="16"/>
                <w:lang w:val="fr-FR"/>
              </w:rPr>
            </w:pPr>
            <w:r w:rsidRPr="004E13E9">
              <w:rPr>
                <w:sz w:val="16"/>
                <w:lang w:val="fr-FR"/>
              </w:rPr>
              <w:t>Senneur de plus de 40 m</w:t>
            </w:r>
          </w:p>
        </w:tc>
        <w:tc>
          <w:tcPr>
            <w:tcW w:w="2388" w:type="dxa"/>
            <w:tcBorders>
              <w:top w:val="single" w:sz="12" w:space="0" w:color="000000"/>
            </w:tcBorders>
            <w:noWrap/>
            <w:vAlign w:val="center"/>
            <w:hideMark/>
          </w:tcPr>
          <w:p w14:paraId="2524AEEE" w14:textId="77777777" w:rsidR="00D95D78" w:rsidRPr="004E13E9" w:rsidRDefault="00D95D78" w:rsidP="00E62E84">
            <w:pPr>
              <w:jc w:val="center"/>
              <w:rPr>
                <w:sz w:val="16"/>
              </w:rPr>
            </w:pPr>
            <w:r w:rsidRPr="004E13E9">
              <w:rPr>
                <w:sz w:val="16"/>
              </w:rPr>
              <w:t>70,66</w:t>
            </w:r>
          </w:p>
        </w:tc>
        <w:tc>
          <w:tcPr>
            <w:tcW w:w="0" w:type="auto"/>
            <w:tcBorders>
              <w:top w:val="single" w:sz="12" w:space="0" w:color="000000"/>
            </w:tcBorders>
          </w:tcPr>
          <w:p w14:paraId="0B57A82C" w14:textId="77777777" w:rsidR="00D95D78" w:rsidRPr="004E13E9" w:rsidRDefault="00D95D78" w:rsidP="00E62E84">
            <w:pPr>
              <w:jc w:val="center"/>
              <w:rPr>
                <w:sz w:val="16"/>
              </w:rPr>
            </w:pPr>
          </w:p>
        </w:tc>
        <w:tc>
          <w:tcPr>
            <w:tcW w:w="0" w:type="auto"/>
            <w:tcBorders>
              <w:top w:val="single" w:sz="12" w:space="0" w:color="000000"/>
            </w:tcBorders>
            <w:noWrap/>
            <w:vAlign w:val="center"/>
          </w:tcPr>
          <w:p w14:paraId="3CDB4CF1" w14:textId="77777777" w:rsidR="00D95D78" w:rsidRPr="004E13E9" w:rsidRDefault="00D95D78" w:rsidP="00E62E84">
            <w:pPr>
              <w:jc w:val="center"/>
              <w:rPr>
                <w:sz w:val="16"/>
              </w:rPr>
            </w:pPr>
          </w:p>
        </w:tc>
        <w:tc>
          <w:tcPr>
            <w:tcW w:w="0" w:type="auto"/>
            <w:tcBorders>
              <w:top w:val="single" w:sz="12" w:space="0" w:color="000000"/>
            </w:tcBorders>
            <w:vAlign w:val="center"/>
          </w:tcPr>
          <w:p w14:paraId="442392CA" w14:textId="77777777" w:rsidR="00D95D78" w:rsidRPr="004E13E9" w:rsidRDefault="00D95D78" w:rsidP="00E62E84">
            <w:pPr>
              <w:jc w:val="center"/>
              <w:rPr>
                <w:sz w:val="16"/>
              </w:rPr>
            </w:pPr>
          </w:p>
        </w:tc>
        <w:tc>
          <w:tcPr>
            <w:tcW w:w="0" w:type="auto"/>
            <w:tcBorders>
              <w:top w:val="single" w:sz="12" w:space="0" w:color="000000"/>
            </w:tcBorders>
            <w:vAlign w:val="center"/>
          </w:tcPr>
          <w:p w14:paraId="23C33609" w14:textId="77777777" w:rsidR="00D95D78" w:rsidRPr="004E13E9" w:rsidRDefault="00D95D78" w:rsidP="00E62E84">
            <w:pPr>
              <w:jc w:val="center"/>
              <w:rPr>
                <w:sz w:val="16"/>
              </w:rPr>
            </w:pPr>
          </w:p>
        </w:tc>
        <w:tc>
          <w:tcPr>
            <w:tcW w:w="0" w:type="auto"/>
            <w:tcBorders>
              <w:top w:val="single" w:sz="12" w:space="0" w:color="000000"/>
            </w:tcBorders>
            <w:vAlign w:val="center"/>
          </w:tcPr>
          <w:p w14:paraId="12FCCB44" w14:textId="77777777" w:rsidR="00D95D78" w:rsidRPr="004E13E9" w:rsidRDefault="00D95D78" w:rsidP="00E62E84">
            <w:pPr>
              <w:jc w:val="center"/>
              <w:rPr>
                <w:sz w:val="16"/>
              </w:rPr>
            </w:pPr>
          </w:p>
        </w:tc>
        <w:tc>
          <w:tcPr>
            <w:tcW w:w="0" w:type="auto"/>
            <w:tcBorders>
              <w:top w:val="single" w:sz="12" w:space="0" w:color="000000"/>
            </w:tcBorders>
          </w:tcPr>
          <w:p w14:paraId="070EBAEF" w14:textId="77777777" w:rsidR="00D95D78" w:rsidRPr="004E13E9" w:rsidRDefault="00D95D78" w:rsidP="00E62E84">
            <w:pPr>
              <w:jc w:val="center"/>
              <w:rPr>
                <w:sz w:val="16"/>
              </w:rPr>
            </w:pPr>
          </w:p>
        </w:tc>
        <w:tc>
          <w:tcPr>
            <w:tcW w:w="0" w:type="auto"/>
            <w:tcBorders>
              <w:top w:val="single" w:sz="12" w:space="0" w:color="000000"/>
            </w:tcBorders>
          </w:tcPr>
          <w:p w14:paraId="5B262463" w14:textId="77777777" w:rsidR="00D95D78" w:rsidRPr="004E13E9" w:rsidRDefault="00D95D78" w:rsidP="00E62E84">
            <w:pPr>
              <w:jc w:val="center"/>
              <w:rPr>
                <w:sz w:val="16"/>
              </w:rPr>
            </w:pPr>
            <w:r w:rsidRPr="004E13E9">
              <w:rPr>
                <w:sz w:val="16"/>
              </w:rPr>
              <w:t>0</w:t>
            </w:r>
          </w:p>
        </w:tc>
        <w:tc>
          <w:tcPr>
            <w:tcW w:w="0" w:type="auto"/>
            <w:tcBorders>
              <w:top w:val="single" w:sz="12" w:space="0" w:color="000000"/>
            </w:tcBorders>
            <w:shd w:val="clear" w:color="000000" w:fill="D9D9D9"/>
            <w:vAlign w:val="center"/>
            <w:hideMark/>
          </w:tcPr>
          <w:p w14:paraId="614EC154" w14:textId="77777777" w:rsidR="00D95D78" w:rsidRPr="004E13E9" w:rsidRDefault="00D95D78" w:rsidP="00E62E84">
            <w:pPr>
              <w:rPr>
                <w:sz w:val="16"/>
              </w:rPr>
            </w:pPr>
            <w:r w:rsidRPr="004E13E9">
              <w:rPr>
                <w:sz w:val="16"/>
              </w:rPr>
              <w:t> </w:t>
            </w:r>
          </w:p>
        </w:tc>
        <w:tc>
          <w:tcPr>
            <w:tcW w:w="0" w:type="auto"/>
            <w:tcBorders>
              <w:top w:val="single" w:sz="12" w:space="0" w:color="000000"/>
            </w:tcBorders>
          </w:tcPr>
          <w:p w14:paraId="255BABC7" w14:textId="77777777" w:rsidR="00D95D78" w:rsidRPr="004E13E9" w:rsidRDefault="00D95D78" w:rsidP="00E62E84">
            <w:pPr>
              <w:rPr>
                <w:sz w:val="16"/>
              </w:rPr>
            </w:pPr>
          </w:p>
        </w:tc>
        <w:tc>
          <w:tcPr>
            <w:tcW w:w="0" w:type="auto"/>
            <w:tcBorders>
              <w:top w:val="single" w:sz="12" w:space="0" w:color="000000"/>
            </w:tcBorders>
            <w:vAlign w:val="center"/>
          </w:tcPr>
          <w:p w14:paraId="48D9B939" w14:textId="77777777" w:rsidR="00D95D78" w:rsidRPr="004E13E9" w:rsidRDefault="00D95D78" w:rsidP="00E62E84">
            <w:pPr>
              <w:rPr>
                <w:sz w:val="16"/>
              </w:rPr>
            </w:pPr>
          </w:p>
        </w:tc>
        <w:tc>
          <w:tcPr>
            <w:tcW w:w="0" w:type="auto"/>
            <w:tcBorders>
              <w:top w:val="single" w:sz="12" w:space="0" w:color="000000"/>
            </w:tcBorders>
            <w:vAlign w:val="center"/>
          </w:tcPr>
          <w:p w14:paraId="63A3A7EE" w14:textId="77777777" w:rsidR="00D95D78" w:rsidRPr="004E13E9" w:rsidRDefault="00D95D78" w:rsidP="00E62E84">
            <w:pPr>
              <w:rPr>
                <w:sz w:val="16"/>
              </w:rPr>
            </w:pPr>
          </w:p>
        </w:tc>
        <w:tc>
          <w:tcPr>
            <w:tcW w:w="0" w:type="auto"/>
            <w:tcBorders>
              <w:top w:val="single" w:sz="12" w:space="0" w:color="000000"/>
            </w:tcBorders>
            <w:vAlign w:val="center"/>
          </w:tcPr>
          <w:p w14:paraId="186E48B4" w14:textId="77777777" w:rsidR="00D95D78" w:rsidRPr="004E13E9" w:rsidRDefault="00D95D78" w:rsidP="00E62E84">
            <w:pPr>
              <w:rPr>
                <w:sz w:val="16"/>
              </w:rPr>
            </w:pPr>
          </w:p>
        </w:tc>
        <w:tc>
          <w:tcPr>
            <w:tcW w:w="0" w:type="auto"/>
            <w:tcBorders>
              <w:top w:val="single" w:sz="12" w:space="0" w:color="000000"/>
            </w:tcBorders>
            <w:vAlign w:val="center"/>
          </w:tcPr>
          <w:p w14:paraId="59E7E2CD" w14:textId="77777777" w:rsidR="00D95D78" w:rsidRPr="004E13E9" w:rsidRDefault="00D95D78" w:rsidP="00E62E84">
            <w:pPr>
              <w:rPr>
                <w:sz w:val="16"/>
              </w:rPr>
            </w:pPr>
          </w:p>
        </w:tc>
        <w:tc>
          <w:tcPr>
            <w:tcW w:w="0" w:type="auto"/>
            <w:tcBorders>
              <w:top w:val="single" w:sz="12" w:space="0" w:color="000000"/>
            </w:tcBorders>
          </w:tcPr>
          <w:p w14:paraId="2FF4C244" w14:textId="77777777" w:rsidR="00D95D78" w:rsidRPr="004E13E9" w:rsidRDefault="00D95D78" w:rsidP="00E62E84">
            <w:pPr>
              <w:rPr>
                <w:sz w:val="16"/>
              </w:rPr>
            </w:pPr>
          </w:p>
        </w:tc>
        <w:tc>
          <w:tcPr>
            <w:tcW w:w="0" w:type="auto"/>
            <w:tcBorders>
              <w:top w:val="single" w:sz="12" w:space="0" w:color="000000"/>
              <w:right w:val="single" w:sz="12" w:space="0" w:color="000000"/>
            </w:tcBorders>
          </w:tcPr>
          <w:p w14:paraId="5BCD84D7" w14:textId="77777777" w:rsidR="00D95D78" w:rsidRPr="004E13E9" w:rsidRDefault="00D95D78" w:rsidP="00E62E84">
            <w:pPr>
              <w:rPr>
                <w:sz w:val="16"/>
              </w:rPr>
            </w:pPr>
            <w:r w:rsidRPr="004E13E9">
              <w:rPr>
                <w:sz w:val="16"/>
              </w:rPr>
              <w:t>0</w:t>
            </w:r>
          </w:p>
        </w:tc>
      </w:tr>
      <w:tr w:rsidR="00D95D78" w:rsidRPr="004E13E9" w14:paraId="7AF259CF" w14:textId="77777777" w:rsidTr="00E62E84">
        <w:trPr>
          <w:trHeight w:val="23"/>
          <w:jc w:val="center"/>
        </w:trPr>
        <w:tc>
          <w:tcPr>
            <w:tcW w:w="3371" w:type="dxa"/>
            <w:tcBorders>
              <w:left w:val="single" w:sz="12" w:space="0" w:color="000000"/>
            </w:tcBorders>
            <w:noWrap/>
            <w:vAlign w:val="center"/>
            <w:hideMark/>
          </w:tcPr>
          <w:p w14:paraId="78DAE492" w14:textId="77777777" w:rsidR="00D95D78" w:rsidRPr="004E13E9" w:rsidRDefault="00D95D78" w:rsidP="00E62E84">
            <w:pPr>
              <w:rPr>
                <w:sz w:val="16"/>
              </w:rPr>
            </w:pPr>
            <w:proofErr w:type="spellStart"/>
            <w:r w:rsidRPr="004E13E9">
              <w:rPr>
                <w:sz w:val="16"/>
              </w:rPr>
              <w:t>Senneur</w:t>
            </w:r>
            <w:proofErr w:type="spellEnd"/>
            <w:r w:rsidRPr="004E13E9">
              <w:rPr>
                <w:sz w:val="16"/>
              </w:rPr>
              <w:t xml:space="preserve"> entre 24 et 40 m</w:t>
            </w:r>
          </w:p>
        </w:tc>
        <w:tc>
          <w:tcPr>
            <w:tcW w:w="2388" w:type="dxa"/>
            <w:noWrap/>
            <w:vAlign w:val="center"/>
            <w:hideMark/>
          </w:tcPr>
          <w:p w14:paraId="007FAB35" w14:textId="77777777" w:rsidR="00D95D78" w:rsidRPr="004E13E9" w:rsidRDefault="00D95D78" w:rsidP="00E62E84">
            <w:pPr>
              <w:jc w:val="center"/>
              <w:rPr>
                <w:sz w:val="16"/>
              </w:rPr>
            </w:pPr>
            <w:r w:rsidRPr="004E13E9">
              <w:rPr>
                <w:sz w:val="16"/>
              </w:rPr>
              <w:t>49,78</w:t>
            </w:r>
          </w:p>
        </w:tc>
        <w:tc>
          <w:tcPr>
            <w:tcW w:w="0" w:type="auto"/>
          </w:tcPr>
          <w:p w14:paraId="3CD7AE9A" w14:textId="77777777" w:rsidR="00D95D78" w:rsidRPr="004E13E9" w:rsidRDefault="00D95D78" w:rsidP="00E62E84">
            <w:pPr>
              <w:jc w:val="center"/>
              <w:rPr>
                <w:sz w:val="16"/>
              </w:rPr>
            </w:pPr>
          </w:p>
        </w:tc>
        <w:tc>
          <w:tcPr>
            <w:tcW w:w="0" w:type="auto"/>
            <w:noWrap/>
            <w:vAlign w:val="center"/>
          </w:tcPr>
          <w:p w14:paraId="39521314" w14:textId="77777777" w:rsidR="00D95D78" w:rsidRPr="004E13E9" w:rsidRDefault="00D95D78" w:rsidP="00E62E84">
            <w:pPr>
              <w:jc w:val="center"/>
              <w:rPr>
                <w:sz w:val="16"/>
              </w:rPr>
            </w:pPr>
          </w:p>
        </w:tc>
        <w:tc>
          <w:tcPr>
            <w:tcW w:w="0" w:type="auto"/>
            <w:vAlign w:val="center"/>
          </w:tcPr>
          <w:p w14:paraId="1CB2AFFF" w14:textId="77777777" w:rsidR="00D95D78" w:rsidRPr="004E13E9" w:rsidRDefault="00D95D78" w:rsidP="00E62E84">
            <w:pPr>
              <w:jc w:val="center"/>
              <w:rPr>
                <w:sz w:val="16"/>
              </w:rPr>
            </w:pPr>
          </w:p>
        </w:tc>
        <w:tc>
          <w:tcPr>
            <w:tcW w:w="0" w:type="auto"/>
            <w:vAlign w:val="center"/>
          </w:tcPr>
          <w:p w14:paraId="0E16994A" w14:textId="77777777" w:rsidR="00D95D78" w:rsidRPr="004E13E9" w:rsidRDefault="00D95D78" w:rsidP="00E62E84">
            <w:pPr>
              <w:jc w:val="center"/>
              <w:rPr>
                <w:sz w:val="16"/>
              </w:rPr>
            </w:pPr>
          </w:p>
        </w:tc>
        <w:tc>
          <w:tcPr>
            <w:tcW w:w="0" w:type="auto"/>
            <w:vAlign w:val="center"/>
          </w:tcPr>
          <w:p w14:paraId="14036295" w14:textId="77777777" w:rsidR="00D95D78" w:rsidRPr="004E13E9" w:rsidRDefault="00D95D78" w:rsidP="00E62E84">
            <w:pPr>
              <w:jc w:val="center"/>
              <w:rPr>
                <w:sz w:val="16"/>
              </w:rPr>
            </w:pPr>
          </w:p>
        </w:tc>
        <w:tc>
          <w:tcPr>
            <w:tcW w:w="0" w:type="auto"/>
          </w:tcPr>
          <w:p w14:paraId="60E9B888" w14:textId="77777777" w:rsidR="00D95D78" w:rsidRPr="004E13E9" w:rsidRDefault="00D95D78" w:rsidP="00E62E84">
            <w:pPr>
              <w:jc w:val="center"/>
              <w:rPr>
                <w:sz w:val="16"/>
              </w:rPr>
            </w:pPr>
          </w:p>
        </w:tc>
        <w:tc>
          <w:tcPr>
            <w:tcW w:w="0" w:type="auto"/>
          </w:tcPr>
          <w:p w14:paraId="01592169" w14:textId="77777777" w:rsidR="00D95D78" w:rsidRPr="004E13E9" w:rsidRDefault="00D95D78" w:rsidP="00E62E84">
            <w:pPr>
              <w:jc w:val="center"/>
              <w:rPr>
                <w:sz w:val="16"/>
              </w:rPr>
            </w:pPr>
            <w:r w:rsidRPr="004E13E9">
              <w:rPr>
                <w:sz w:val="16"/>
              </w:rPr>
              <w:t>0</w:t>
            </w:r>
          </w:p>
        </w:tc>
        <w:tc>
          <w:tcPr>
            <w:tcW w:w="0" w:type="auto"/>
            <w:shd w:val="clear" w:color="000000" w:fill="D9D9D9"/>
            <w:vAlign w:val="center"/>
            <w:hideMark/>
          </w:tcPr>
          <w:p w14:paraId="5363711D" w14:textId="77777777" w:rsidR="00D95D78" w:rsidRPr="004E13E9" w:rsidRDefault="00D95D78" w:rsidP="00E62E84">
            <w:pPr>
              <w:rPr>
                <w:sz w:val="16"/>
              </w:rPr>
            </w:pPr>
            <w:r w:rsidRPr="004E13E9">
              <w:rPr>
                <w:sz w:val="16"/>
              </w:rPr>
              <w:t> </w:t>
            </w:r>
          </w:p>
        </w:tc>
        <w:tc>
          <w:tcPr>
            <w:tcW w:w="0" w:type="auto"/>
          </w:tcPr>
          <w:p w14:paraId="28F759AD" w14:textId="77777777" w:rsidR="00D95D78" w:rsidRPr="004E13E9" w:rsidRDefault="00D95D78" w:rsidP="00E62E84">
            <w:pPr>
              <w:rPr>
                <w:sz w:val="16"/>
              </w:rPr>
            </w:pPr>
          </w:p>
        </w:tc>
        <w:tc>
          <w:tcPr>
            <w:tcW w:w="0" w:type="auto"/>
            <w:vAlign w:val="center"/>
          </w:tcPr>
          <w:p w14:paraId="3438159E" w14:textId="77777777" w:rsidR="00D95D78" w:rsidRPr="004E13E9" w:rsidRDefault="00D95D78" w:rsidP="00E62E84">
            <w:pPr>
              <w:rPr>
                <w:sz w:val="16"/>
              </w:rPr>
            </w:pPr>
          </w:p>
        </w:tc>
        <w:tc>
          <w:tcPr>
            <w:tcW w:w="0" w:type="auto"/>
            <w:vAlign w:val="center"/>
          </w:tcPr>
          <w:p w14:paraId="66A22B15" w14:textId="77777777" w:rsidR="00D95D78" w:rsidRPr="004E13E9" w:rsidRDefault="00D95D78" w:rsidP="00E62E84">
            <w:pPr>
              <w:rPr>
                <w:sz w:val="16"/>
              </w:rPr>
            </w:pPr>
          </w:p>
        </w:tc>
        <w:tc>
          <w:tcPr>
            <w:tcW w:w="0" w:type="auto"/>
            <w:vAlign w:val="center"/>
          </w:tcPr>
          <w:p w14:paraId="765BB8EA" w14:textId="77777777" w:rsidR="00D95D78" w:rsidRPr="004E13E9" w:rsidRDefault="00D95D78" w:rsidP="00E62E84">
            <w:pPr>
              <w:rPr>
                <w:sz w:val="16"/>
              </w:rPr>
            </w:pPr>
          </w:p>
        </w:tc>
        <w:tc>
          <w:tcPr>
            <w:tcW w:w="0" w:type="auto"/>
            <w:vAlign w:val="center"/>
          </w:tcPr>
          <w:p w14:paraId="37D1E59D" w14:textId="77777777" w:rsidR="00D95D78" w:rsidRPr="004E13E9" w:rsidRDefault="00D95D78" w:rsidP="00E62E84">
            <w:pPr>
              <w:rPr>
                <w:sz w:val="16"/>
              </w:rPr>
            </w:pPr>
          </w:p>
        </w:tc>
        <w:tc>
          <w:tcPr>
            <w:tcW w:w="0" w:type="auto"/>
          </w:tcPr>
          <w:p w14:paraId="0A629493" w14:textId="77777777" w:rsidR="00D95D78" w:rsidRPr="004E13E9" w:rsidRDefault="00D95D78" w:rsidP="00E62E84">
            <w:pPr>
              <w:rPr>
                <w:sz w:val="16"/>
              </w:rPr>
            </w:pPr>
          </w:p>
        </w:tc>
        <w:tc>
          <w:tcPr>
            <w:tcW w:w="0" w:type="auto"/>
            <w:tcBorders>
              <w:right w:val="single" w:sz="12" w:space="0" w:color="000000"/>
            </w:tcBorders>
          </w:tcPr>
          <w:p w14:paraId="02EA8B65" w14:textId="77777777" w:rsidR="00D95D78" w:rsidRPr="004E13E9" w:rsidRDefault="00D95D78" w:rsidP="00E62E84">
            <w:pPr>
              <w:rPr>
                <w:sz w:val="16"/>
              </w:rPr>
            </w:pPr>
            <w:r w:rsidRPr="004E13E9">
              <w:rPr>
                <w:sz w:val="16"/>
              </w:rPr>
              <w:t>0</w:t>
            </w:r>
          </w:p>
        </w:tc>
      </w:tr>
      <w:tr w:rsidR="00D95D78" w:rsidRPr="004E13E9" w14:paraId="7250B48C" w14:textId="77777777" w:rsidTr="00E62E84">
        <w:trPr>
          <w:trHeight w:val="23"/>
          <w:jc w:val="center"/>
        </w:trPr>
        <w:tc>
          <w:tcPr>
            <w:tcW w:w="3371" w:type="dxa"/>
            <w:tcBorders>
              <w:left w:val="single" w:sz="12" w:space="0" w:color="000000"/>
            </w:tcBorders>
            <w:noWrap/>
            <w:vAlign w:val="center"/>
            <w:hideMark/>
          </w:tcPr>
          <w:p w14:paraId="3E6C5C47" w14:textId="77777777" w:rsidR="00D95D78" w:rsidRPr="004E13E9" w:rsidRDefault="00D95D78" w:rsidP="00E62E84">
            <w:pPr>
              <w:rPr>
                <w:sz w:val="16"/>
                <w:lang w:val="fr-FR"/>
              </w:rPr>
            </w:pPr>
            <w:r w:rsidRPr="004E13E9">
              <w:rPr>
                <w:sz w:val="16"/>
                <w:lang w:val="fr-FR"/>
              </w:rPr>
              <w:t>Senneur de moins de 24 m</w:t>
            </w:r>
          </w:p>
        </w:tc>
        <w:tc>
          <w:tcPr>
            <w:tcW w:w="2388" w:type="dxa"/>
            <w:noWrap/>
            <w:vAlign w:val="center"/>
            <w:hideMark/>
          </w:tcPr>
          <w:p w14:paraId="5E1CE6EF" w14:textId="77777777" w:rsidR="00D95D78" w:rsidRPr="004E13E9" w:rsidRDefault="00D95D78" w:rsidP="00E62E84">
            <w:pPr>
              <w:jc w:val="center"/>
              <w:rPr>
                <w:sz w:val="16"/>
              </w:rPr>
            </w:pPr>
            <w:r w:rsidRPr="004E13E9">
              <w:rPr>
                <w:sz w:val="16"/>
              </w:rPr>
              <w:t>33,68</w:t>
            </w:r>
          </w:p>
        </w:tc>
        <w:tc>
          <w:tcPr>
            <w:tcW w:w="0" w:type="auto"/>
          </w:tcPr>
          <w:p w14:paraId="15D4422F" w14:textId="77777777" w:rsidR="00D95D78" w:rsidRPr="004E13E9" w:rsidRDefault="00D95D78" w:rsidP="00E62E84">
            <w:pPr>
              <w:jc w:val="center"/>
              <w:rPr>
                <w:sz w:val="16"/>
              </w:rPr>
            </w:pPr>
          </w:p>
        </w:tc>
        <w:tc>
          <w:tcPr>
            <w:tcW w:w="0" w:type="auto"/>
            <w:noWrap/>
            <w:vAlign w:val="center"/>
          </w:tcPr>
          <w:p w14:paraId="0AFBB302" w14:textId="77777777" w:rsidR="00D95D78" w:rsidRPr="004E13E9" w:rsidRDefault="00D95D78" w:rsidP="00E62E84">
            <w:pPr>
              <w:jc w:val="center"/>
              <w:rPr>
                <w:sz w:val="16"/>
              </w:rPr>
            </w:pPr>
          </w:p>
        </w:tc>
        <w:tc>
          <w:tcPr>
            <w:tcW w:w="0" w:type="auto"/>
            <w:vAlign w:val="center"/>
          </w:tcPr>
          <w:p w14:paraId="750F1476" w14:textId="77777777" w:rsidR="00D95D78" w:rsidRPr="004E13E9" w:rsidRDefault="00D95D78" w:rsidP="00E62E84">
            <w:pPr>
              <w:jc w:val="center"/>
              <w:rPr>
                <w:sz w:val="16"/>
              </w:rPr>
            </w:pPr>
          </w:p>
        </w:tc>
        <w:tc>
          <w:tcPr>
            <w:tcW w:w="0" w:type="auto"/>
            <w:vAlign w:val="center"/>
          </w:tcPr>
          <w:p w14:paraId="5E90F0AC" w14:textId="77777777" w:rsidR="00D95D78" w:rsidRPr="004E13E9" w:rsidRDefault="00D95D78" w:rsidP="00E62E84">
            <w:pPr>
              <w:jc w:val="center"/>
              <w:rPr>
                <w:sz w:val="16"/>
              </w:rPr>
            </w:pPr>
          </w:p>
        </w:tc>
        <w:tc>
          <w:tcPr>
            <w:tcW w:w="0" w:type="auto"/>
            <w:vAlign w:val="center"/>
          </w:tcPr>
          <w:p w14:paraId="796DCF6C" w14:textId="77777777" w:rsidR="00D95D78" w:rsidRPr="004E13E9" w:rsidRDefault="00D95D78" w:rsidP="00E62E84">
            <w:pPr>
              <w:jc w:val="center"/>
              <w:rPr>
                <w:sz w:val="16"/>
              </w:rPr>
            </w:pPr>
          </w:p>
        </w:tc>
        <w:tc>
          <w:tcPr>
            <w:tcW w:w="0" w:type="auto"/>
          </w:tcPr>
          <w:p w14:paraId="04BB5361" w14:textId="77777777" w:rsidR="00D95D78" w:rsidRPr="004E13E9" w:rsidRDefault="00D95D78" w:rsidP="00E62E84">
            <w:pPr>
              <w:jc w:val="center"/>
              <w:rPr>
                <w:sz w:val="16"/>
              </w:rPr>
            </w:pPr>
          </w:p>
        </w:tc>
        <w:tc>
          <w:tcPr>
            <w:tcW w:w="0" w:type="auto"/>
          </w:tcPr>
          <w:p w14:paraId="217A6E82" w14:textId="77777777" w:rsidR="00D95D78" w:rsidRPr="004E13E9" w:rsidRDefault="00D95D78" w:rsidP="00E62E84">
            <w:pPr>
              <w:jc w:val="center"/>
              <w:rPr>
                <w:sz w:val="16"/>
              </w:rPr>
            </w:pPr>
            <w:r w:rsidRPr="004E13E9">
              <w:rPr>
                <w:sz w:val="16"/>
              </w:rPr>
              <w:t>0</w:t>
            </w:r>
          </w:p>
        </w:tc>
        <w:tc>
          <w:tcPr>
            <w:tcW w:w="0" w:type="auto"/>
            <w:shd w:val="clear" w:color="000000" w:fill="D9D9D9"/>
            <w:vAlign w:val="center"/>
            <w:hideMark/>
          </w:tcPr>
          <w:p w14:paraId="70EE2287" w14:textId="77777777" w:rsidR="00D95D78" w:rsidRPr="004E13E9" w:rsidRDefault="00D95D78" w:rsidP="00E62E84">
            <w:pPr>
              <w:rPr>
                <w:sz w:val="16"/>
              </w:rPr>
            </w:pPr>
            <w:r w:rsidRPr="004E13E9">
              <w:rPr>
                <w:sz w:val="16"/>
              </w:rPr>
              <w:t> </w:t>
            </w:r>
          </w:p>
        </w:tc>
        <w:tc>
          <w:tcPr>
            <w:tcW w:w="0" w:type="auto"/>
          </w:tcPr>
          <w:p w14:paraId="7AAF82CF" w14:textId="77777777" w:rsidR="00D95D78" w:rsidRPr="004E13E9" w:rsidRDefault="00D95D78" w:rsidP="00E62E84">
            <w:pPr>
              <w:rPr>
                <w:sz w:val="16"/>
              </w:rPr>
            </w:pPr>
          </w:p>
        </w:tc>
        <w:tc>
          <w:tcPr>
            <w:tcW w:w="0" w:type="auto"/>
            <w:vAlign w:val="center"/>
          </w:tcPr>
          <w:p w14:paraId="3A3A4373" w14:textId="77777777" w:rsidR="00D95D78" w:rsidRPr="004E13E9" w:rsidRDefault="00D95D78" w:rsidP="00E62E84">
            <w:pPr>
              <w:rPr>
                <w:sz w:val="16"/>
              </w:rPr>
            </w:pPr>
          </w:p>
        </w:tc>
        <w:tc>
          <w:tcPr>
            <w:tcW w:w="0" w:type="auto"/>
            <w:vAlign w:val="center"/>
          </w:tcPr>
          <w:p w14:paraId="683A5D2E" w14:textId="77777777" w:rsidR="00D95D78" w:rsidRPr="004E13E9" w:rsidRDefault="00D95D78" w:rsidP="00E62E84">
            <w:pPr>
              <w:rPr>
                <w:sz w:val="16"/>
              </w:rPr>
            </w:pPr>
          </w:p>
        </w:tc>
        <w:tc>
          <w:tcPr>
            <w:tcW w:w="0" w:type="auto"/>
            <w:vAlign w:val="center"/>
          </w:tcPr>
          <w:p w14:paraId="221595B7" w14:textId="77777777" w:rsidR="00D95D78" w:rsidRPr="004E13E9" w:rsidRDefault="00D95D78" w:rsidP="00E62E84">
            <w:pPr>
              <w:rPr>
                <w:sz w:val="16"/>
              </w:rPr>
            </w:pPr>
          </w:p>
        </w:tc>
        <w:tc>
          <w:tcPr>
            <w:tcW w:w="0" w:type="auto"/>
            <w:vAlign w:val="center"/>
          </w:tcPr>
          <w:p w14:paraId="311D4574" w14:textId="77777777" w:rsidR="00D95D78" w:rsidRPr="004E13E9" w:rsidRDefault="00D95D78" w:rsidP="00E62E84">
            <w:pPr>
              <w:rPr>
                <w:sz w:val="16"/>
              </w:rPr>
            </w:pPr>
          </w:p>
        </w:tc>
        <w:tc>
          <w:tcPr>
            <w:tcW w:w="0" w:type="auto"/>
          </w:tcPr>
          <w:p w14:paraId="4AFE40EA" w14:textId="77777777" w:rsidR="00D95D78" w:rsidRPr="004E13E9" w:rsidRDefault="00D95D78" w:rsidP="00E62E84">
            <w:pPr>
              <w:rPr>
                <w:sz w:val="16"/>
              </w:rPr>
            </w:pPr>
          </w:p>
        </w:tc>
        <w:tc>
          <w:tcPr>
            <w:tcW w:w="0" w:type="auto"/>
            <w:tcBorders>
              <w:right w:val="single" w:sz="12" w:space="0" w:color="000000"/>
            </w:tcBorders>
          </w:tcPr>
          <w:p w14:paraId="170D3FAE" w14:textId="77777777" w:rsidR="00D95D78" w:rsidRPr="004E13E9" w:rsidRDefault="00D95D78" w:rsidP="00E62E84">
            <w:pPr>
              <w:rPr>
                <w:sz w:val="16"/>
              </w:rPr>
            </w:pPr>
            <w:r w:rsidRPr="004E13E9">
              <w:rPr>
                <w:sz w:val="16"/>
              </w:rPr>
              <w:t>0</w:t>
            </w:r>
          </w:p>
        </w:tc>
      </w:tr>
      <w:tr w:rsidR="00D95D78" w:rsidRPr="004E13E9" w14:paraId="2ACA9EE2" w14:textId="77777777" w:rsidTr="00E62E84">
        <w:trPr>
          <w:trHeight w:val="23"/>
          <w:jc w:val="center"/>
        </w:trPr>
        <w:tc>
          <w:tcPr>
            <w:tcW w:w="3371" w:type="dxa"/>
            <w:tcBorders>
              <w:left w:val="single" w:sz="12" w:space="0" w:color="000000"/>
            </w:tcBorders>
            <w:noWrap/>
            <w:vAlign w:val="center"/>
            <w:hideMark/>
          </w:tcPr>
          <w:p w14:paraId="1D2B63DC" w14:textId="77777777" w:rsidR="00D95D78" w:rsidRPr="004E13E9" w:rsidRDefault="00D95D78" w:rsidP="00E62E84">
            <w:pPr>
              <w:rPr>
                <w:b/>
                <w:sz w:val="16"/>
              </w:rPr>
            </w:pPr>
            <w:proofErr w:type="spellStart"/>
            <w:r w:rsidRPr="004E13E9">
              <w:rPr>
                <w:b/>
                <w:sz w:val="16"/>
              </w:rPr>
              <w:t>Flottille</w:t>
            </w:r>
            <w:proofErr w:type="spellEnd"/>
            <w:r w:rsidRPr="004E13E9">
              <w:rPr>
                <w:b/>
                <w:sz w:val="16"/>
              </w:rPr>
              <w:t xml:space="preserve"> totale de </w:t>
            </w:r>
            <w:proofErr w:type="spellStart"/>
            <w:r w:rsidRPr="004E13E9">
              <w:rPr>
                <w:b/>
                <w:sz w:val="16"/>
              </w:rPr>
              <w:t>senneurs</w:t>
            </w:r>
            <w:proofErr w:type="spellEnd"/>
          </w:p>
        </w:tc>
        <w:tc>
          <w:tcPr>
            <w:tcW w:w="2388" w:type="dxa"/>
            <w:noWrap/>
            <w:vAlign w:val="center"/>
            <w:hideMark/>
          </w:tcPr>
          <w:p w14:paraId="24A2B249" w14:textId="77777777" w:rsidR="00D95D78" w:rsidRPr="004E13E9" w:rsidRDefault="00D95D78" w:rsidP="00E62E84">
            <w:pPr>
              <w:rPr>
                <w:sz w:val="16"/>
              </w:rPr>
            </w:pPr>
            <w:r w:rsidRPr="004E13E9">
              <w:rPr>
                <w:sz w:val="16"/>
              </w:rPr>
              <w:t> </w:t>
            </w:r>
          </w:p>
        </w:tc>
        <w:tc>
          <w:tcPr>
            <w:tcW w:w="0" w:type="auto"/>
          </w:tcPr>
          <w:p w14:paraId="109E5950" w14:textId="77777777" w:rsidR="00D95D78" w:rsidRPr="004E13E9" w:rsidRDefault="00D95D78" w:rsidP="00E62E84">
            <w:pPr>
              <w:jc w:val="center"/>
              <w:rPr>
                <w:b/>
                <w:sz w:val="16"/>
              </w:rPr>
            </w:pPr>
          </w:p>
        </w:tc>
        <w:tc>
          <w:tcPr>
            <w:tcW w:w="0" w:type="auto"/>
            <w:noWrap/>
            <w:vAlign w:val="center"/>
          </w:tcPr>
          <w:p w14:paraId="25D50DC8" w14:textId="77777777" w:rsidR="00D95D78" w:rsidRPr="004E13E9" w:rsidRDefault="00D95D78" w:rsidP="00E62E84">
            <w:pPr>
              <w:jc w:val="center"/>
              <w:rPr>
                <w:b/>
                <w:sz w:val="16"/>
              </w:rPr>
            </w:pPr>
          </w:p>
        </w:tc>
        <w:tc>
          <w:tcPr>
            <w:tcW w:w="0" w:type="auto"/>
            <w:vAlign w:val="center"/>
          </w:tcPr>
          <w:p w14:paraId="797E8293" w14:textId="77777777" w:rsidR="00D95D78" w:rsidRPr="004E13E9" w:rsidRDefault="00D95D78" w:rsidP="00E62E84">
            <w:pPr>
              <w:jc w:val="center"/>
              <w:rPr>
                <w:b/>
                <w:sz w:val="16"/>
              </w:rPr>
            </w:pPr>
          </w:p>
        </w:tc>
        <w:tc>
          <w:tcPr>
            <w:tcW w:w="0" w:type="auto"/>
            <w:vAlign w:val="center"/>
          </w:tcPr>
          <w:p w14:paraId="05644834" w14:textId="77777777" w:rsidR="00D95D78" w:rsidRPr="004E13E9" w:rsidRDefault="00D95D78" w:rsidP="00E62E84">
            <w:pPr>
              <w:jc w:val="center"/>
              <w:rPr>
                <w:b/>
                <w:sz w:val="16"/>
              </w:rPr>
            </w:pPr>
          </w:p>
        </w:tc>
        <w:tc>
          <w:tcPr>
            <w:tcW w:w="0" w:type="auto"/>
            <w:vAlign w:val="center"/>
          </w:tcPr>
          <w:p w14:paraId="73329DAC" w14:textId="77777777" w:rsidR="00D95D78" w:rsidRPr="004E13E9" w:rsidRDefault="00D95D78" w:rsidP="00E62E84">
            <w:pPr>
              <w:jc w:val="center"/>
              <w:rPr>
                <w:b/>
                <w:sz w:val="16"/>
              </w:rPr>
            </w:pPr>
          </w:p>
        </w:tc>
        <w:tc>
          <w:tcPr>
            <w:tcW w:w="0" w:type="auto"/>
          </w:tcPr>
          <w:p w14:paraId="77D7C4D2" w14:textId="77777777" w:rsidR="00D95D78" w:rsidRPr="004E13E9" w:rsidRDefault="00D95D78" w:rsidP="00E62E84">
            <w:pPr>
              <w:jc w:val="center"/>
              <w:rPr>
                <w:b/>
                <w:sz w:val="16"/>
              </w:rPr>
            </w:pPr>
          </w:p>
        </w:tc>
        <w:tc>
          <w:tcPr>
            <w:tcW w:w="0" w:type="auto"/>
          </w:tcPr>
          <w:p w14:paraId="2BA69783" w14:textId="77777777" w:rsidR="00D95D78" w:rsidRPr="004E13E9" w:rsidRDefault="00D95D78" w:rsidP="00E62E84">
            <w:pPr>
              <w:jc w:val="center"/>
              <w:rPr>
                <w:sz w:val="16"/>
              </w:rPr>
            </w:pPr>
          </w:p>
        </w:tc>
        <w:tc>
          <w:tcPr>
            <w:tcW w:w="0" w:type="auto"/>
            <w:shd w:val="clear" w:color="000000" w:fill="D9D9D9"/>
            <w:vAlign w:val="center"/>
            <w:hideMark/>
          </w:tcPr>
          <w:p w14:paraId="310F53BC" w14:textId="77777777" w:rsidR="00D95D78" w:rsidRPr="004E13E9" w:rsidRDefault="00D95D78" w:rsidP="00E62E84">
            <w:pPr>
              <w:rPr>
                <w:b/>
                <w:sz w:val="16"/>
              </w:rPr>
            </w:pPr>
            <w:r w:rsidRPr="004E13E9">
              <w:rPr>
                <w:b/>
                <w:sz w:val="16"/>
              </w:rPr>
              <w:t> </w:t>
            </w:r>
          </w:p>
        </w:tc>
        <w:tc>
          <w:tcPr>
            <w:tcW w:w="0" w:type="auto"/>
          </w:tcPr>
          <w:p w14:paraId="340C104A" w14:textId="77777777" w:rsidR="00D95D78" w:rsidRPr="004E13E9" w:rsidRDefault="00D95D78" w:rsidP="00E62E84">
            <w:pPr>
              <w:rPr>
                <w:b/>
                <w:sz w:val="16"/>
              </w:rPr>
            </w:pPr>
          </w:p>
        </w:tc>
        <w:tc>
          <w:tcPr>
            <w:tcW w:w="0" w:type="auto"/>
            <w:vAlign w:val="center"/>
          </w:tcPr>
          <w:p w14:paraId="4DD9BB2D" w14:textId="77777777" w:rsidR="00D95D78" w:rsidRPr="004E13E9" w:rsidRDefault="00D95D78" w:rsidP="00E62E84">
            <w:pPr>
              <w:rPr>
                <w:b/>
                <w:sz w:val="16"/>
              </w:rPr>
            </w:pPr>
          </w:p>
        </w:tc>
        <w:tc>
          <w:tcPr>
            <w:tcW w:w="0" w:type="auto"/>
            <w:vAlign w:val="center"/>
          </w:tcPr>
          <w:p w14:paraId="34EE9473" w14:textId="77777777" w:rsidR="00D95D78" w:rsidRPr="004E13E9" w:rsidRDefault="00D95D78" w:rsidP="00E62E84">
            <w:pPr>
              <w:rPr>
                <w:b/>
                <w:sz w:val="16"/>
              </w:rPr>
            </w:pPr>
          </w:p>
        </w:tc>
        <w:tc>
          <w:tcPr>
            <w:tcW w:w="0" w:type="auto"/>
            <w:vAlign w:val="center"/>
          </w:tcPr>
          <w:p w14:paraId="3FC1D738" w14:textId="77777777" w:rsidR="00D95D78" w:rsidRPr="004E13E9" w:rsidRDefault="00D95D78" w:rsidP="00E62E84">
            <w:pPr>
              <w:rPr>
                <w:b/>
                <w:sz w:val="16"/>
              </w:rPr>
            </w:pPr>
          </w:p>
        </w:tc>
        <w:tc>
          <w:tcPr>
            <w:tcW w:w="0" w:type="auto"/>
            <w:vAlign w:val="center"/>
          </w:tcPr>
          <w:p w14:paraId="0A6A5836" w14:textId="77777777" w:rsidR="00D95D78" w:rsidRPr="004E13E9" w:rsidRDefault="00D95D78" w:rsidP="00E62E84">
            <w:pPr>
              <w:rPr>
                <w:b/>
                <w:sz w:val="16"/>
              </w:rPr>
            </w:pPr>
          </w:p>
        </w:tc>
        <w:tc>
          <w:tcPr>
            <w:tcW w:w="0" w:type="auto"/>
          </w:tcPr>
          <w:p w14:paraId="2CC6D36E" w14:textId="77777777" w:rsidR="00D95D78" w:rsidRPr="004E13E9" w:rsidRDefault="00D95D78" w:rsidP="00E62E84">
            <w:pPr>
              <w:rPr>
                <w:b/>
                <w:sz w:val="16"/>
              </w:rPr>
            </w:pPr>
          </w:p>
        </w:tc>
        <w:tc>
          <w:tcPr>
            <w:tcW w:w="0" w:type="auto"/>
            <w:tcBorders>
              <w:right w:val="single" w:sz="12" w:space="0" w:color="000000"/>
            </w:tcBorders>
          </w:tcPr>
          <w:p w14:paraId="62A9E532" w14:textId="77777777" w:rsidR="00D95D78" w:rsidRPr="004E13E9" w:rsidRDefault="00D95D78" w:rsidP="00E62E84">
            <w:pPr>
              <w:rPr>
                <w:b/>
                <w:sz w:val="16"/>
              </w:rPr>
            </w:pPr>
          </w:p>
        </w:tc>
      </w:tr>
      <w:tr w:rsidR="00D95D78" w:rsidRPr="004E13E9" w14:paraId="3E9C136A" w14:textId="77777777" w:rsidTr="00E62E84">
        <w:trPr>
          <w:trHeight w:val="23"/>
          <w:jc w:val="center"/>
        </w:trPr>
        <w:tc>
          <w:tcPr>
            <w:tcW w:w="3371" w:type="dxa"/>
            <w:tcBorders>
              <w:left w:val="single" w:sz="12" w:space="0" w:color="000000"/>
            </w:tcBorders>
            <w:noWrap/>
            <w:vAlign w:val="center"/>
            <w:hideMark/>
          </w:tcPr>
          <w:p w14:paraId="3A3E1746" w14:textId="77777777" w:rsidR="00D95D78" w:rsidRPr="004E13E9" w:rsidRDefault="00D95D78" w:rsidP="00E62E84">
            <w:pPr>
              <w:rPr>
                <w:sz w:val="16"/>
                <w:lang w:val="fr-FR"/>
              </w:rPr>
            </w:pPr>
            <w:r w:rsidRPr="004E13E9">
              <w:rPr>
                <w:sz w:val="16"/>
                <w:lang w:val="fr-FR"/>
              </w:rPr>
              <w:t>Palangrier de plus de 40 m</w:t>
            </w:r>
          </w:p>
        </w:tc>
        <w:tc>
          <w:tcPr>
            <w:tcW w:w="2388" w:type="dxa"/>
            <w:noWrap/>
            <w:vAlign w:val="center"/>
            <w:hideMark/>
          </w:tcPr>
          <w:p w14:paraId="7B0FA3BB" w14:textId="77777777" w:rsidR="00D95D78" w:rsidRPr="004E13E9" w:rsidRDefault="00D95D78" w:rsidP="00E62E84">
            <w:pPr>
              <w:jc w:val="center"/>
              <w:rPr>
                <w:sz w:val="16"/>
              </w:rPr>
            </w:pPr>
            <w:r w:rsidRPr="004E13E9">
              <w:rPr>
                <w:sz w:val="16"/>
              </w:rPr>
              <w:t>25</w:t>
            </w:r>
          </w:p>
        </w:tc>
        <w:tc>
          <w:tcPr>
            <w:tcW w:w="0" w:type="auto"/>
          </w:tcPr>
          <w:p w14:paraId="22092BD4" w14:textId="77777777" w:rsidR="00D95D78" w:rsidRPr="004E13E9" w:rsidRDefault="00D95D78" w:rsidP="00E62E84">
            <w:pPr>
              <w:jc w:val="center"/>
              <w:rPr>
                <w:sz w:val="16"/>
              </w:rPr>
            </w:pPr>
          </w:p>
        </w:tc>
        <w:tc>
          <w:tcPr>
            <w:tcW w:w="0" w:type="auto"/>
            <w:noWrap/>
            <w:vAlign w:val="center"/>
          </w:tcPr>
          <w:p w14:paraId="54E33743" w14:textId="77777777" w:rsidR="00D95D78" w:rsidRPr="004E13E9" w:rsidRDefault="00D95D78" w:rsidP="00E62E84">
            <w:pPr>
              <w:jc w:val="center"/>
              <w:rPr>
                <w:sz w:val="16"/>
              </w:rPr>
            </w:pPr>
          </w:p>
        </w:tc>
        <w:tc>
          <w:tcPr>
            <w:tcW w:w="0" w:type="auto"/>
            <w:vAlign w:val="center"/>
          </w:tcPr>
          <w:p w14:paraId="2BCBD79D" w14:textId="77777777" w:rsidR="00D95D78" w:rsidRPr="004E13E9" w:rsidRDefault="00D95D78" w:rsidP="00E62E84">
            <w:pPr>
              <w:jc w:val="center"/>
              <w:rPr>
                <w:sz w:val="16"/>
              </w:rPr>
            </w:pPr>
          </w:p>
        </w:tc>
        <w:tc>
          <w:tcPr>
            <w:tcW w:w="0" w:type="auto"/>
            <w:vAlign w:val="center"/>
          </w:tcPr>
          <w:p w14:paraId="461B6672" w14:textId="77777777" w:rsidR="00D95D78" w:rsidRPr="004E13E9" w:rsidRDefault="00D95D78" w:rsidP="00E62E84">
            <w:pPr>
              <w:jc w:val="center"/>
              <w:rPr>
                <w:sz w:val="16"/>
              </w:rPr>
            </w:pPr>
          </w:p>
        </w:tc>
        <w:tc>
          <w:tcPr>
            <w:tcW w:w="0" w:type="auto"/>
            <w:vAlign w:val="center"/>
          </w:tcPr>
          <w:p w14:paraId="2435F709" w14:textId="77777777" w:rsidR="00D95D78" w:rsidRPr="004E13E9" w:rsidRDefault="00D95D78" w:rsidP="00E62E84">
            <w:pPr>
              <w:jc w:val="center"/>
              <w:rPr>
                <w:sz w:val="16"/>
              </w:rPr>
            </w:pPr>
          </w:p>
        </w:tc>
        <w:tc>
          <w:tcPr>
            <w:tcW w:w="0" w:type="auto"/>
          </w:tcPr>
          <w:p w14:paraId="4552E305" w14:textId="77777777" w:rsidR="00D95D78" w:rsidRPr="004E13E9" w:rsidRDefault="00D95D78" w:rsidP="00E62E84">
            <w:pPr>
              <w:jc w:val="center"/>
              <w:rPr>
                <w:sz w:val="16"/>
              </w:rPr>
            </w:pPr>
          </w:p>
        </w:tc>
        <w:tc>
          <w:tcPr>
            <w:tcW w:w="0" w:type="auto"/>
          </w:tcPr>
          <w:p w14:paraId="17DC0CFD" w14:textId="77777777" w:rsidR="00D95D78" w:rsidRPr="004E13E9" w:rsidRDefault="00D95D78" w:rsidP="00E62E84">
            <w:pPr>
              <w:jc w:val="center"/>
              <w:rPr>
                <w:sz w:val="16"/>
              </w:rPr>
            </w:pPr>
            <w:r w:rsidRPr="004E13E9">
              <w:rPr>
                <w:sz w:val="16"/>
              </w:rPr>
              <w:t>0</w:t>
            </w:r>
          </w:p>
        </w:tc>
        <w:tc>
          <w:tcPr>
            <w:tcW w:w="0" w:type="auto"/>
            <w:shd w:val="clear" w:color="000000" w:fill="D9D9D9"/>
            <w:vAlign w:val="center"/>
            <w:hideMark/>
          </w:tcPr>
          <w:p w14:paraId="6FEAF50A" w14:textId="77777777" w:rsidR="00D95D78" w:rsidRPr="004E13E9" w:rsidRDefault="00D95D78" w:rsidP="00E62E84">
            <w:pPr>
              <w:rPr>
                <w:sz w:val="16"/>
              </w:rPr>
            </w:pPr>
            <w:r w:rsidRPr="004E13E9">
              <w:rPr>
                <w:sz w:val="16"/>
              </w:rPr>
              <w:t> </w:t>
            </w:r>
          </w:p>
        </w:tc>
        <w:tc>
          <w:tcPr>
            <w:tcW w:w="0" w:type="auto"/>
          </w:tcPr>
          <w:p w14:paraId="23C76424" w14:textId="77777777" w:rsidR="00D95D78" w:rsidRPr="004E13E9" w:rsidRDefault="00D95D78" w:rsidP="00E62E84">
            <w:pPr>
              <w:rPr>
                <w:sz w:val="16"/>
              </w:rPr>
            </w:pPr>
          </w:p>
        </w:tc>
        <w:tc>
          <w:tcPr>
            <w:tcW w:w="0" w:type="auto"/>
            <w:vAlign w:val="center"/>
          </w:tcPr>
          <w:p w14:paraId="335974F2" w14:textId="77777777" w:rsidR="00D95D78" w:rsidRPr="004E13E9" w:rsidRDefault="00D95D78" w:rsidP="00E62E84">
            <w:pPr>
              <w:rPr>
                <w:sz w:val="16"/>
              </w:rPr>
            </w:pPr>
          </w:p>
        </w:tc>
        <w:tc>
          <w:tcPr>
            <w:tcW w:w="0" w:type="auto"/>
            <w:vAlign w:val="center"/>
          </w:tcPr>
          <w:p w14:paraId="09E846C7" w14:textId="77777777" w:rsidR="00D95D78" w:rsidRPr="004E13E9" w:rsidRDefault="00D95D78" w:rsidP="00E62E84">
            <w:pPr>
              <w:rPr>
                <w:sz w:val="16"/>
              </w:rPr>
            </w:pPr>
          </w:p>
        </w:tc>
        <w:tc>
          <w:tcPr>
            <w:tcW w:w="0" w:type="auto"/>
            <w:vAlign w:val="center"/>
          </w:tcPr>
          <w:p w14:paraId="2EEFF21F" w14:textId="77777777" w:rsidR="00D95D78" w:rsidRPr="004E13E9" w:rsidRDefault="00D95D78" w:rsidP="00E62E84">
            <w:pPr>
              <w:rPr>
                <w:sz w:val="16"/>
              </w:rPr>
            </w:pPr>
          </w:p>
        </w:tc>
        <w:tc>
          <w:tcPr>
            <w:tcW w:w="0" w:type="auto"/>
            <w:vAlign w:val="center"/>
          </w:tcPr>
          <w:p w14:paraId="46286115" w14:textId="77777777" w:rsidR="00D95D78" w:rsidRPr="004E13E9" w:rsidRDefault="00D95D78" w:rsidP="00E62E84">
            <w:pPr>
              <w:rPr>
                <w:sz w:val="16"/>
              </w:rPr>
            </w:pPr>
          </w:p>
        </w:tc>
        <w:tc>
          <w:tcPr>
            <w:tcW w:w="0" w:type="auto"/>
          </w:tcPr>
          <w:p w14:paraId="162149F5" w14:textId="77777777" w:rsidR="00D95D78" w:rsidRPr="004E13E9" w:rsidRDefault="00D95D78" w:rsidP="00E62E84">
            <w:pPr>
              <w:rPr>
                <w:sz w:val="16"/>
              </w:rPr>
            </w:pPr>
          </w:p>
        </w:tc>
        <w:tc>
          <w:tcPr>
            <w:tcW w:w="0" w:type="auto"/>
            <w:tcBorders>
              <w:right w:val="single" w:sz="12" w:space="0" w:color="000000"/>
            </w:tcBorders>
          </w:tcPr>
          <w:p w14:paraId="161F01FD" w14:textId="77777777" w:rsidR="00D95D78" w:rsidRPr="004E13E9" w:rsidRDefault="00D95D78" w:rsidP="00E62E84">
            <w:pPr>
              <w:rPr>
                <w:sz w:val="16"/>
              </w:rPr>
            </w:pPr>
            <w:r w:rsidRPr="004E13E9">
              <w:rPr>
                <w:sz w:val="16"/>
              </w:rPr>
              <w:t>0</w:t>
            </w:r>
          </w:p>
        </w:tc>
      </w:tr>
      <w:tr w:rsidR="00D95D78" w:rsidRPr="004E13E9" w14:paraId="208CD9B6" w14:textId="77777777" w:rsidTr="00E62E84">
        <w:trPr>
          <w:trHeight w:val="23"/>
          <w:jc w:val="center"/>
        </w:trPr>
        <w:tc>
          <w:tcPr>
            <w:tcW w:w="3371" w:type="dxa"/>
            <w:tcBorders>
              <w:left w:val="single" w:sz="12" w:space="0" w:color="000000"/>
            </w:tcBorders>
            <w:noWrap/>
            <w:vAlign w:val="center"/>
            <w:hideMark/>
          </w:tcPr>
          <w:p w14:paraId="04A18E72" w14:textId="77777777" w:rsidR="00D95D78" w:rsidRPr="004E13E9" w:rsidRDefault="00D95D78" w:rsidP="00E62E84">
            <w:pPr>
              <w:rPr>
                <w:sz w:val="16"/>
              </w:rPr>
            </w:pPr>
            <w:proofErr w:type="spellStart"/>
            <w:r w:rsidRPr="004E13E9">
              <w:rPr>
                <w:sz w:val="16"/>
              </w:rPr>
              <w:t>Palangrier</w:t>
            </w:r>
            <w:proofErr w:type="spellEnd"/>
            <w:r w:rsidRPr="004E13E9">
              <w:rPr>
                <w:sz w:val="16"/>
              </w:rPr>
              <w:t xml:space="preserve"> entre 24 et 40 m</w:t>
            </w:r>
          </w:p>
        </w:tc>
        <w:tc>
          <w:tcPr>
            <w:tcW w:w="2388" w:type="dxa"/>
            <w:noWrap/>
            <w:vAlign w:val="center"/>
            <w:hideMark/>
          </w:tcPr>
          <w:p w14:paraId="44E26316" w14:textId="77777777" w:rsidR="00D95D78" w:rsidRPr="004E13E9" w:rsidRDefault="00D95D78" w:rsidP="00E62E84">
            <w:pPr>
              <w:jc w:val="center"/>
              <w:rPr>
                <w:sz w:val="16"/>
              </w:rPr>
            </w:pPr>
            <w:r w:rsidRPr="004E13E9">
              <w:rPr>
                <w:sz w:val="16"/>
              </w:rPr>
              <w:t>5,68</w:t>
            </w:r>
          </w:p>
        </w:tc>
        <w:tc>
          <w:tcPr>
            <w:tcW w:w="0" w:type="auto"/>
          </w:tcPr>
          <w:p w14:paraId="3C001B42" w14:textId="77777777" w:rsidR="00D95D78" w:rsidRPr="004E13E9" w:rsidRDefault="00D95D78" w:rsidP="00E62E84">
            <w:pPr>
              <w:jc w:val="center"/>
              <w:rPr>
                <w:sz w:val="16"/>
              </w:rPr>
            </w:pPr>
          </w:p>
        </w:tc>
        <w:tc>
          <w:tcPr>
            <w:tcW w:w="0" w:type="auto"/>
            <w:noWrap/>
            <w:vAlign w:val="center"/>
          </w:tcPr>
          <w:p w14:paraId="6B228BC4" w14:textId="77777777" w:rsidR="00D95D78" w:rsidRPr="004E13E9" w:rsidRDefault="00D95D78" w:rsidP="00E62E84">
            <w:pPr>
              <w:jc w:val="center"/>
              <w:rPr>
                <w:sz w:val="16"/>
              </w:rPr>
            </w:pPr>
          </w:p>
        </w:tc>
        <w:tc>
          <w:tcPr>
            <w:tcW w:w="0" w:type="auto"/>
            <w:vAlign w:val="center"/>
          </w:tcPr>
          <w:p w14:paraId="2758C169" w14:textId="77777777" w:rsidR="00D95D78" w:rsidRPr="004E13E9" w:rsidRDefault="00D95D78" w:rsidP="00E62E84">
            <w:pPr>
              <w:jc w:val="center"/>
              <w:rPr>
                <w:sz w:val="16"/>
              </w:rPr>
            </w:pPr>
          </w:p>
        </w:tc>
        <w:tc>
          <w:tcPr>
            <w:tcW w:w="0" w:type="auto"/>
            <w:vAlign w:val="center"/>
          </w:tcPr>
          <w:p w14:paraId="13009F81" w14:textId="77777777" w:rsidR="00D95D78" w:rsidRPr="004E13E9" w:rsidRDefault="00D95D78" w:rsidP="00E62E84">
            <w:pPr>
              <w:jc w:val="center"/>
              <w:rPr>
                <w:sz w:val="16"/>
              </w:rPr>
            </w:pPr>
          </w:p>
        </w:tc>
        <w:tc>
          <w:tcPr>
            <w:tcW w:w="0" w:type="auto"/>
            <w:vAlign w:val="center"/>
          </w:tcPr>
          <w:p w14:paraId="19F3E0D9" w14:textId="77777777" w:rsidR="00D95D78" w:rsidRPr="004E13E9" w:rsidRDefault="00D95D78" w:rsidP="00E62E84">
            <w:pPr>
              <w:jc w:val="center"/>
              <w:rPr>
                <w:sz w:val="16"/>
              </w:rPr>
            </w:pPr>
          </w:p>
        </w:tc>
        <w:tc>
          <w:tcPr>
            <w:tcW w:w="0" w:type="auto"/>
          </w:tcPr>
          <w:p w14:paraId="3C059529" w14:textId="77777777" w:rsidR="00D95D78" w:rsidRPr="004E13E9" w:rsidRDefault="00D95D78" w:rsidP="00E62E84">
            <w:pPr>
              <w:jc w:val="center"/>
              <w:rPr>
                <w:sz w:val="16"/>
              </w:rPr>
            </w:pPr>
          </w:p>
        </w:tc>
        <w:tc>
          <w:tcPr>
            <w:tcW w:w="0" w:type="auto"/>
          </w:tcPr>
          <w:p w14:paraId="3D3825CE" w14:textId="77777777" w:rsidR="00D95D78" w:rsidRPr="004E13E9" w:rsidRDefault="00D95D78" w:rsidP="00E62E84">
            <w:pPr>
              <w:jc w:val="center"/>
              <w:rPr>
                <w:sz w:val="16"/>
              </w:rPr>
            </w:pPr>
            <w:r w:rsidRPr="004E13E9">
              <w:rPr>
                <w:sz w:val="16"/>
              </w:rPr>
              <w:t>0</w:t>
            </w:r>
          </w:p>
        </w:tc>
        <w:tc>
          <w:tcPr>
            <w:tcW w:w="0" w:type="auto"/>
            <w:shd w:val="clear" w:color="000000" w:fill="D9D9D9"/>
            <w:vAlign w:val="center"/>
            <w:hideMark/>
          </w:tcPr>
          <w:p w14:paraId="2E0F167F" w14:textId="77777777" w:rsidR="00D95D78" w:rsidRPr="004E13E9" w:rsidRDefault="00D95D78" w:rsidP="00E62E84">
            <w:pPr>
              <w:rPr>
                <w:sz w:val="16"/>
              </w:rPr>
            </w:pPr>
            <w:r w:rsidRPr="004E13E9">
              <w:rPr>
                <w:sz w:val="16"/>
              </w:rPr>
              <w:t> </w:t>
            </w:r>
          </w:p>
        </w:tc>
        <w:tc>
          <w:tcPr>
            <w:tcW w:w="0" w:type="auto"/>
          </w:tcPr>
          <w:p w14:paraId="13DEC4A1" w14:textId="77777777" w:rsidR="00D95D78" w:rsidRPr="004E13E9" w:rsidRDefault="00D95D78" w:rsidP="00E62E84">
            <w:pPr>
              <w:rPr>
                <w:sz w:val="16"/>
              </w:rPr>
            </w:pPr>
          </w:p>
        </w:tc>
        <w:tc>
          <w:tcPr>
            <w:tcW w:w="0" w:type="auto"/>
            <w:vAlign w:val="center"/>
          </w:tcPr>
          <w:p w14:paraId="642A1AB2" w14:textId="77777777" w:rsidR="00D95D78" w:rsidRPr="004E13E9" w:rsidRDefault="00D95D78" w:rsidP="00E62E84">
            <w:pPr>
              <w:rPr>
                <w:sz w:val="16"/>
              </w:rPr>
            </w:pPr>
          </w:p>
        </w:tc>
        <w:tc>
          <w:tcPr>
            <w:tcW w:w="0" w:type="auto"/>
            <w:vAlign w:val="center"/>
          </w:tcPr>
          <w:p w14:paraId="3E4F0012" w14:textId="77777777" w:rsidR="00D95D78" w:rsidRPr="004E13E9" w:rsidRDefault="00D95D78" w:rsidP="00E62E84">
            <w:pPr>
              <w:rPr>
                <w:sz w:val="16"/>
              </w:rPr>
            </w:pPr>
          </w:p>
        </w:tc>
        <w:tc>
          <w:tcPr>
            <w:tcW w:w="0" w:type="auto"/>
            <w:vAlign w:val="center"/>
          </w:tcPr>
          <w:p w14:paraId="77C29178" w14:textId="77777777" w:rsidR="00D95D78" w:rsidRPr="004E13E9" w:rsidRDefault="00D95D78" w:rsidP="00E62E84">
            <w:pPr>
              <w:rPr>
                <w:sz w:val="16"/>
              </w:rPr>
            </w:pPr>
          </w:p>
        </w:tc>
        <w:tc>
          <w:tcPr>
            <w:tcW w:w="0" w:type="auto"/>
            <w:vAlign w:val="center"/>
          </w:tcPr>
          <w:p w14:paraId="7E53AE1D" w14:textId="77777777" w:rsidR="00D95D78" w:rsidRPr="004E13E9" w:rsidRDefault="00D95D78" w:rsidP="00E62E84">
            <w:pPr>
              <w:rPr>
                <w:sz w:val="16"/>
              </w:rPr>
            </w:pPr>
          </w:p>
        </w:tc>
        <w:tc>
          <w:tcPr>
            <w:tcW w:w="0" w:type="auto"/>
          </w:tcPr>
          <w:p w14:paraId="6B4B82BF" w14:textId="77777777" w:rsidR="00D95D78" w:rsidRPr="004E13E9" w:rsidRDefault="00D95D78" w:rsidP="00E62E84">
            <w:pPr>
              <w:rPr>
                <w:sz w:val="16"/>
              </w:rPr>
            </w:pPr>
          </w:p>
        </w:tc>
        <w:tc>
          <w:tcPr>
            <w:tcW w:w="0" w:type="auto"/>
            <w:tcBorders>
              <w:right w:val="single" w:sz="12" w:space="0" w:color="000000"/>
            </w:tcBorders>
          </w:tcPr>
          <w:p w14:paraId="4AE3CF19" w14:textId="77777777" w:rsidR="00D95D78" w:rsidRPr="004E13E9" w:rsidRDefault="00D95D78" w:rsidP="00E62E84">
            <w:pPr>
              <w:rPr>
                <w:sz w:val="16"/>
              </w:rPr>
            </w:pPr>
            <w:r w:rsidRPr="004E13E9">
              <w:rPr>
                <w:sz w:val="16"/>
              </w:rPr>
              <w:t>0</w:t>
            </w:r>
          </w:p>
        </w:tc>
      </w:tr>
      <w:tr w:rsidR="00D95D78" w:rsidRPr="004E13E9" w14:paraId="6B0018DE" w14:textId="77777777" w:rsidTr="00E62E84">
        <w:trPr>
          <w:trHeight w:val="23"/>
          <w:jc w:val="center"/>
        </w:trPr>
        <w:tc>
          <w:tcPr>
            <w:tcW w:w="3371" w:type="dxa"/>
            <w:tcBorders>
              <w:left w:val="single" w:sz="12" w:space="0" w:color="000000"/>
            </w:tcBorders>
            <w:noWrap/>
            <w:vAlign w:val="center"/>
            <w:hideMark/>
          </w:tcPr>
          <w:p w14:paraId="5688D69C" w14:textId="77777777" w:rsidR="00D95D78" w:rsidRPr="004E13E9" w:rsidRDefault="00D95D78" w:rsidP="00E62E84">
            <w:pPr>
              <w:rPr>
                <w:sz w:val="16"/>
                <w:lang w:val="fr-FR"/>
              </w:rPr>
            </w:pPr>
            <w:r w:rsidRPr="004E13E9">
              <w:rPr>
                <w:sz w:val="16"/>
                <w:lang w:val="fr-FR"/>
              </w:rPr>
              <w:t>Palangrier de moins de 24 m</w:t>
            </w:r>
          </w:p>
        </w:tc>
        <w:tc>
          <w:tcPr>
            <w:tcW w:w="2388" w:type="dxa"/>
            <w:noWrap/>
            <w:vAlign w:val="center"/>
            <w:hideMark/>
          </w:tcPr>
          <w:p w14:paraId="5A9E010D" w14:textId="77777777" w:rsidR="00D95D78" w:rsidRPr="004E13E9" w:rsidRDefault="00D95D78" w:rsidP="00E62E84">
            <w:pPr>
              <w:jc w:val="center"/>
              <w:rPr>
                <w:sz w:val="16"/>
              </w:rPr>
            </w:pPr>
            <w:r w:rsidRPr="004E13E9">
              <w:rPr>
                <w:sz w:val="16"/>
              </w:rPr>
              <w:t>5</w:t>
            </w:r>
          </w:p>
        </w:tc>
        <w:tc>
          <w:tcPr>
            <w:tcW w:w="0" w:type="auto"/>
          </w:tcPr>
          <w:p w14:paraId="7A9B3C84" w14:textId="77777777" w:rsidR="00D95D78" w:rsidRPr="004E13E9" w:rsidRDefault="00D95D78" w:rsidP="00E62E84">
            <w:pPr>
              <w:jc w:val="center"/>
              <w:rPr>
                <w:sz w:val="16"/>
              </w:rPr>
            </w:pPr>
          </w:p>
        </w:tc>
        <w:tc>
          <w:tcPr>
            <w:tcW w:w="0" w:type="auto"/>
            <w:noWrap/>
            <w:vAlign w:val="center"/>
          </w:tcPr>
          <w:p w14:paraId="306D8A44" w14:textId="77777777" w:rsidR="00D95D78" w:rsidRPr="004E13E9" w:rsidRDefault="00D95D78" w:rsidP="00E62E84">
            <w:pPr>
              <w:jc w:val="center"/>
              <w:rPr>
                <w:sz w:val="16"/>
              </w:rPr>
            </w:pPr>
          </w:p>
        </w:tc>
        <w:tc>
          <w:tcPr>
            <w:tcW w:w="0" w:type="auto"/>
            <w:vAlign w:val="center"/>
          </w:tcPr>
          <w:p w14:paraId="755E2559" w14:textId="77777777" w:rsidR="00D95D78" w:rsidRPr="004E13E9" w:rsidRDefault="00D95D78" w:rsidP="00E62E84">
            <w:pPr>
              <w:jc w:val="center"/>
              <w:rPr>
                <w:sz w:val="16"/>
              </w:rPr>
            </w:pPr>
          </w:p>
        </w:tc>
        <w:tc>
          <w:tcPr>
            <w:tcW w:w="0" w:type="auto"/>
            <w:vAlign w:val="center"/>
          </w:tcPr>
          <w:p w14:paraId="37CBAE96" w14:textId="77777777" w:rsidR="00D95D78" w:rsidRPr="004E13E9" w:rsidRDefault="00D95D78" w:rsidP="00E62E84">
            <w:pPr>
              <w:jc w:val="center"/>
              <w:rPr>
                <w:sz w:val="16"/>
              </w:rPr>
            </w:pPr>
          </w:p>
        </w:tc>
        <w:tc>
          <w:tcPr>
            <w:tcW w:w="0" w:type="auto"/>
            <w:vAlign w:val="center"/>
          </w:tcPr>
          <w:p w14:paraId="1BF56FA9" w14:textId="77777777" w:rsidR="00D95D78" w:rsidRPr="004E13E9" w:rsidRDefault="00D95D78" w:rsidP="00E62E84">
            <w:pPr>
              <w:jc w:val="center"/>
              <w:rPr>
                <w:sz w:val="16"/>
              </w:rPr>
            </w:pPr>
          </w:p>
        </w:tc>
        <w:tc>
          <w:tcPr>
            <w:tcW w:w="0" w:type="auto"/>
          </w:tcPr>
          <w:p w14:paraId="31C95E98" w14:textId="77777777" w:rsidR="00D95D78" w:rsidRPr="004E13E9" w:rsidRDefault="00D95D78" w:rsidP="00E62E84">
            <w:pPr>
              <w:jc w:val="center"/>
              <w:rPr>
                <w:sz w:val="16"/>
              </w:rPr>
            </w:pPr>
          </w:p>
        </w:tc>
        <w:tc>
          <w:tcPr>
            <w:tcW w:w="0" w:type="auto"/>
          </w:tcPr>
          <w:p w14:paraId="153EA98A" w14:textId="77777777" w:rsidR="00D95D78" w:rsidRPr="004E13E9" w:rsidRDefault="00D95D78" w:rsidP="00E62E84">
            <w:pPr>
              <w:jc w:val="center"/>
              <w:rPr>
                <w:sz w:val="16"/>
              </w:rPr>
            </w:pPr>
            <w:r w:rsidRPr="004E13E9">
              <w:rPr>
                <w:sz w:val="16"/>
              </w:rPr>
              <w:t>0</w:t>
            </w:r>
          </w:p>
        </w:tc>
        <w:tc>
          <w:tcPr>
            <w:tcW w:w="0" w:type="auto"/>
            <w:shd w:val="clear" w:color="000000" w:fill="D9D9D9"/>
            <w:vAlign w:val="center"/>
            <w:hideMark/>
          </w:tcPr>
          <w:p w14:paraId="1FFACF14" w14:textId="77777777" w:rsidR="00D95D78" w:rsidRPr="004E13E9" w:rsidRDefault="00D95D78" w:rsidP="00E62E84">
            <w:pPr>
              <w:rPr>
                <w:sz w:val="16"/>
              </w:rPr>
            </w:pPr>
            <w:r w:rsidRPr="004E13E9">
              <w:rPr>
                <w:sz w:val="16"/>
              </w:rPr>
              <w:t> </w:t>
            </w:r>
          </w:p>
        </w:tc>
        <w:tc>
          <w:tcPr>
            <w:tcW w:w="0" w:type="auto"/>
          </w:tcPr>
          <w:p w14:paraId="73E6F1BA" w14:textId="77777777" w:rsidR="00D95D78" w:rsidRPr="004E13E9" w:rsidRDefault="00D95D78" w:rsidP="00E62E84">
            <w:pPr>
              <w:rPr>
                <w:sz w:val="16"/>
              </w:rPr>
            </w:pPr>
          </w:p>
        </w:tc>
        <w:tc>
          <w:tcPr>
            <w:tcW w:w="0" w:type="auto"/>
            <w:vAlign w:val="center"/>
          </w:tcPr>
          <w:p w14:paraId="7DD46700" w14:textId="77777777" w:rsidR="00D95D78" w:rsidRPr="004E13E9" w:rsidRDefault="00D95D78" w:rsidP="00E62E84">
            <w:pPr>
              <w:rPr>
                <w:sz w:val="16"/>
              </w:rPr>
            </w:pPr>
          </w:p>
        </w:tc>
        <w:tc>
          <w:tcPr>
            <w:tcW w:w="0" w:type="auto"/>
            <w:vAlign w:val="center"/>
          </w:tcPr>
          <w:p w14:paraId="588063B5" w14:textId="77777777" w:rsidR="00D95D78" w:rsidRPr="004E13E9" w:rsidRDefault="00D95D78" w:rsidP="00E62E84">
            <w:pPr>
              <w:rPr>
                <w:sz w:val="16"/>
              </w:rPr>
            </w:pPr>
          </w:p>
        </w:tc>
        <w:tc>
          <w:tcPr>
            <w:tcW w:w="0" w:type="auto"/>
            <w:vAlign w:val="center"/>
          </w:tcPr>
          <w:p w14:paraId="507E0892" w14:textId="77777777" w:rsidR="00D95D78" w:rsidRPr="004E13E9" w:rsidRDefault="00D95D78" w:rsidP="00E62E84">
            <w:pPr>
              <w:rPr>
                <w:sz w:val="16"/>
              </w:rPr>
            </w:pPr>
          </w:p>
        </w:tc>
        <w:tc>
          <w:tcPr>
            <w:tcW w:w="0" w:type="auto"/>
            <w:vAlign w:val="center"/>
          </w:tcPr>
          <w:p w14:paraId="0E1B9F82" w14:textId="77777777" w:rsidR="00D95D78" w:rsidRPr="004E13E9" w:rsidRDefault="00D95D78" w:rsidP="00E62E84">
            <w:pPr>
              <w:rPr>
                <w:sz w:val="16"/>
              </w:rPr>
            </w:pPr>
          </w:p>
        </w:tc>
        <w:tc>
          <w:tcPr>
            <w:tcW w:w="0" w:type="auto"/>
          </w:tcPr>
          <w:p w14:paraId="54C3093B" w14:textId="77777777" w:rsidR="00D95D78" w:rsidRPr="004E13E9" w:rsidRDefault="00D95D78" w:rsidP="00E62E84">
            <w:pPr>
              <w:rPr>
                <w:sz w:val="16"/>
              </w:rPr>
            </w:pPr>
          </w:p>
        </w:tc>
        <w:tc>
          <w:tcPr>
            <w:tcW w:w="0" w:type="auto"/>
            <w:tcBorders>
              <w:right w:val="single" w:sz="12" w:space="0" w:color="000000"/>
            </w:tcBorders>
          </w:tcPr>
          <w:p w14:paraId="5945EF74" w14:textId="77777777" w:rsidR="00D95D78" w:rsidRPr="004E13E9" w:rsidRDefault="00D95D78" w:rsidP="00E62E84">
            <w:pPr>
              <w:rPr>
                <w:sz w:val="16"/>
              </w:rPr>
            </w:pPr>
            <w:r w:rsidRPr="004E13E9">
              <w:rPr>
                <w:sz w:val="16"/>
              </w:rPr>
              <w:t>0</w:t>
            </w:r>
          </w:p>
        </w:tc>
      </w:tr>
      <w:tr w:rsidR="00D95D78" w:rsidRPr="004E13E9" w14:paraId="0EF89F31" w14:textId="77777777" w:rsidTr="00E62E84">
        <w:trPr>
          <w:trHeight w:val="23"/>
          <w:jc w:val="center"/>
        </w:trPr>
        <w:tc>
          <w:tcPr>
            <w:tcW w:w="3371" w:type="dxa"/>
            <w:tcBorders>
              <w:left w:val="single" w:sz="12" w:space="0" w:color="000000"/>
            </w:tcBorders>
            <w:noWrap/>
            <w:vAlign w:val="center"/>
            <w:hideMark/>
          </w:tcPr>
          <w:p w14:paraId="7DC6F3C8" w14:textId="77777777" w:rsidR="00D95D78" w:rsidRPr="004E13E9" w:rsidRDefault="00D95D78" w:rsidP="00E62E84">
            <w:pPr>
              <w:rPr>
                <w:b/>
                <w:sz w:val="16"/>
              </w:rPr>
            </w:pPr>
            <w:proofErr w:type="spellStart"/>
            <w:r w:rsidRPr="004E13E9">
              <w:rPr>
                <w:b/>
                <w:sz w:val="16"/>
              </w:rPr>
              <w:t>Flottille</w:t>
            </w:r>
            <w:proofErr w:type="spellEnd"/>
            <w:r w:rsidRPr="004E13E9">
              <w:rPr>
                <w:b/>
                <w:sz w:val="16"/>
              </w:rPr>
              <w:t xml:space="preserve"> totale de </w:t>
            </w:r>
            <w:proofErr w:type="spellStart"/>
            <w:r w:rsidRPr="004E13E9">
              <w:rPr>
                <w:b/>
                <w:sz w:val="16"/>
              </w:rPr>
              <w:t>palangriers</w:t>
            </w:r>
            <w:proofErr w:type="spellEnd"/>
          </w:p>
        </w:tc>
        <w:tc>
          <w:tcPr>
            <w:tcW w:w="2388" w:type="dxa"/>
            <w:noWrap/>
            <w:vAlign w:val="center"/>
            <w:hideMark/>
          </w:tcPr>
          <w:p w14:paraId="548338AA" w14:textId="77777777" w:rsidR="00D95D78" w:rsidRPr="004E13E9" w:rsidRDefault="00D95D78" w:rsidP="00E62E84">
            <w:pPr>
              <w:rPr>
                <w:sz w:val="16"/>
              </w:rPr>
            </w:pPr>
            <w:r w:rsidRPr="004E13E9">
              <w:rPr>
                <w:sz w:val="16"/>
              </w:rPr>
              <w:t> </w:t>
            </w:r>
          </w:p>
        </w:tc>
        <w:tc>
          <w:tcPr>
            <w:tcW w:w="0" w:type="auto"/>
          </w:tcPr>
          <w:p w14:paraId="4921B915" w14:textId="77777777" w:rsidR="00D95D78" w:rsidRPr="004E13E9" w:rsidRDefault="00D95D78" w:rsidP="00E62E84">
            <w:pPr>
              <w:rPr>
                <w:b/>
                <w:sz w:val="16"/>
              </w:rPr>
            </w:pPr>
          </w:p>
        </w:tc>
        <w:tc>
          <w:tcPr>
            <w:tcW w:w="0" w:type="auto"/>
            <w:noWrap/>
            <w:vAlign w:val="center"/>
          </w:tcPr>
          <w:p w14:paraId="2DC646FA" w14:textId="77777777" w:rsidR="00D95D78" w:rsidRPr="004E13E9" w:rsidRDefault="00D95D78" w:rsidP="00E62E84">
            <w:pPr>
              <w:rPr>
                <w:b/>
                <w:sz w:val="16"/>
              </w:rPr>
            </w:pPr>
          </w:p>
        </w:tc>
        <w:tc>
          <w:tcPr>
            <w:tcW w:w="0" w:type="auto"/>
            <w:vAlign w:val="center"/>
          </w:tcPr>
          <w:p w14:paraId="2A9DB153" w14:textId="77777777" w:rsidR="00D95D78" w:rsidRPr="004E13E9" w:rsidRDefault="00D95D78" w:rsidP="00E62E84">
            <w:pPr>
              <w:rPr>
                <w:b/>
                <w:sz w:val="16"/>
              </w:rPr>
            </w:pPr>
          </w:p>
        </w:tc>
        <w:tc>
          <w:tcPr>
            <w:tcW w:w="0" w:type="auto"/>
            <w:vAlign w:val="center"/>
          </w:tcPr>
          <w:p w14:paraId="7EA88215" w14:textId="77777777" w:rsidR="00D95D78" w:rsidRPr="004E13E9" w:rsidRDefault="00D95D78" w:rsidP="00E62E84">
            <w:pPr>
              <w:rPr>
                <w:b/>
                <w:sz w:val="16"/>
              </w:rPr>
            </w:pPr>
          </w:p>
        </w:tc>
        <w:tc>
          <w:tcPr>
            <w:tcW w:w="0" w:type="auto"/>
            <w:vAlign w:val="center"/>
          </w:tcPr>
          <w:p w14:paraId="21936408" w14:textId="77777777" w:rsidR="00D95D78" w:rsidRPr="004E13E9" w:rsidRDefault="00D95D78" w:rsidP="00E62E84">
            <w:pPr>
              <w:rPr>
                <w:b/>
                <w:sz w:val="16"/>
              </w:rPr>
            </w:pPr>
          </w:p>
        </w:tc>
        <w:tc>
          <w:tcPr>
            <w:tcW w:w="0" w:type="auto"/>
          </w:tcPr>
          <w:p w14:paraId="2E7138E3" w14:textId="77777777" w:rsidR="00D95D78" w:rsidRPr="004E13E9" w:rsidRDefault="00D95D78" w:rsidP="00E62E84">
            <w:pPr>
              <w:rPr>
                <w:b/>
                <w:sz w:val="16"/>
              </w:rPr>
            </w:pPr>
          </w:p>
        </w:tc>
        <w:tc>
          <w:tcPr>
            <w:tcW w:w="0" w:type="auto"/>
          </w:tcPr>
          <w:p w14:paraId="48A015DC" w14:textId="77777777" w:rsidR="00D95D78" w:rsidRPr="004E13E9" w:rsidRDefault="00D95D78" w:rsidP="00E62E84">
            <w:pPr>
              <w:jc w:val="center"/>
              <w:rPr>
                <w:sz w:val="16"/>
              </w:rPr>
            </w:pPr>
          </w:p>
        </w:tc>
        <w:tc>
          <w:tcPr>
            <w:tcW w:w="0" w:type="auto"/>
            <w:shd w:val="clear" w:color="000000" w:fill="D9D9D9"/>
            <w:vAlign w:val="center"/>
            <w:hideMark/>
          </w:tcPr>
          <w:p w14:paraId="40737802" w14:textId="77777777" w:rsidR="00D95D78" w:rsidRPr="004E13E9" w:rsidRDefault="00D95D78" w:rsidP="00E62E84">
            <w:pPr>
              <w:rPr>
                <w:b/>
                <w:sz w:val="16"/>
              </w:rPr>
            </w:pPr>
            <w:r w:rsidRPr="004E13E9">
              <w:rPr>
                <w:b/>
                <w:sz w:val="16"/>
              </w:rPr>
              <w:t> </w:t>
            </w:r>
          </w:p>
        </w:tc>
        <w:tc>
          <w:tcPr>
            <w:tcW w:w="0" w:type="auto"/>
          </w:tcPr>
          <w:p w14:paraId="28CFAB76" w14:textId="77777777" w:rsidR="00D95D78" w:rsidRPr="004E13E9" w:rsidRDefault="00D95D78" w:rsidP="00E62E84">
            <w:pPr>
              <w:rPr>
                <w:b/>
                <w:sz w:val="16"/>
              </w:rPr>
            </w:pPr>
          </w:p>
        </w:tc>
        <w:tc>
          <w:tcPr>
            <w:tcW w:w="0" w:type="auto"/>
            <w:vAlign w:val="center"/>
          </w:tcPr>
          <w:p w14:paraId="41F19353" w14:textId="77777777" w:rsidR="00D95D78" w:rsidRPr="004E13E9" w:rsidRDefault="00D95D78" w:rsidP="00E62E84">
            <w:pPr>
              <w:rPr>
                <w:b/>
                <w:sz w:val="16"/>
              </w:rPr>
            </w:pPr>
          </w:p>
        </w:tc>
        <w:tc>
          <w:tcPr>
            <w:tcW w:w="0" w:type="auto"/>
            <w:vAlign w:val="center"/>
          </w:tcPr>
          <w:p w14:paraId="6BADBF9A" w14:textId="77777777" w:rsidR="00D95D78" w:rsidRPr="004E13E9" w:rsidRDefault="00D95D78" w:rsidP="00E62E84">
            <w:pPr>
              <w:rPr>
                <w:b/>
                <w:sz w:val="16"/>
              </w:rPr>
            </w:pPr>
          </w:p>
        </w:tc>
        <w:tc>
          <w:tcPr>
            <w:tcW w:w="0" w:type="auto"/>
            <w:vAlign w:val="center"/>
          </w:tcPr>
          <w:p w14:paraId="039C58BB" w14:textId="77777777" w:rsidR="00D95D78" w:rsidRPr="004E13E9" w:rsidRDefault="00D95D78" w:rsidP="00E62E84">
            <w:pPr>
              <w:rPr>
                <w:b/>
                <w:sz w:val="16"/>
              </w:rPr>
            </w:pPr>
          </w:p>
        </w:tc>
        <w:tc>
          <w:tcPr>
            <w:tcW w:w="0" w:type="auto"/>
            <w:vAlign w:val="center"/>
          </w:tcPr>
          <w:p w14:paraId="2004B30F" w14:textId="77777777" w:rsidR="00D95D78" w:rsidRPr="004E13E9" w:rsidRDefault="00D95D78" w:rsidP="00E62E84">
            <w:pPr>
              <w:rPr>
                <w:b/>
                <w:sz w:val="16"/>
              </w:rPr>
            </w:pPr>
          </w:p>
        </w:tc>
        <w:tc>
          <w:tcPr>
            <w:tcW w:w="0" w:type="auto"/>
          </w:tcPr>
          <w:p w14:paraId="6F5617F8" w14:textId="77777777" w:rsidR="00D95D78" w:rsidRPr="004E13E9" w:rsidRDefault="00D95D78" w:rsidP="00E62E84">
            <w:pPr>
              <w:rPr>
                <w:b/>
                <w:sz w:val="16"/>
              </w:rPr>
            </w:pPr>
          </w:p>
        </w:tc>
        <w:tc>
          <w:tcPr>
            <w:tcW w:w="0" w:type="auto"/>
            <w:tcBorders>
              <w:right w:val="single" w:sz="12" w:space="0" w:color="000000"/>
            </w:tcBorders>
          </w:tcPr>
          <w:p w14:paraId="54E276E9" w14:textId="77777777" w:rsidR="00D95D78" w:rsidRPr="004E13E9" w:rsidRDefault="00D95D78" w:rsidP="00E62E84">
            <w:pPr>
              <w:rPr>
                <w:b/>
                <w:sz w:val="16"/>
              </w:rPr>
            </w:pPr>
          </w:p>
        </w:tc>
      </w:tr>
      <w:tr w:rsidR="00D95D78" w:rsidRPr="004E13E9" w14:paraId="6D598476" w14:textId="77777777" w:rsidTr="00E62E84">
        <w:trPr>
          <w:trHeight w:val="221"/>
          <w:jc w:val="center"/>
        </w:trPr>
        <w:tc>
          <w:tcPr>
            <w:tcW w:w="3371" w:type="dxa"/>
            <w:tcBorders>
              <w:left w:val="single" w:sz="12" w:space="0" w:color="000000"/>
            </w:tcBorders>
            <w:noWrap/>
            <w:vAlign w:val="center"/>
            <w:hideMark/>
          </w:tcPr>
          <w:p w14:paraId="72FFC668" w14:textId="77777777" w:rsidR="00D95D78" w:rsidRPr="004E13E9" w:rsidRDefault="00D95D78" w:rsidP="00E62E84">
            <w:pPr>
              <w:rPr>
                <w:sz w:val="16"/>
              </w:rPr>
            </w:pPr>
            <w:proofErr w:type="spellStart"/>
            <w:r w:rsidRPr="004E13E9">
              <w:rPr>
                <w:sz w:val="16"/>
              </w:rPr>
              <w:t>Canneur</w:t>
            </w:r>
            <w:proofErr w:type="spellEnd"/>
          </w:p>
        </w:tc>
        <w:tc>
          <w:tcPr>
            <w:tcW w:w="2388" w:type="dxa"/>
            <w:noWrap/>
            <w:vAlign w:val="center"/>
            <w:hideMark/>
          </w:tcPr>
          <w:p w14:paraId="596B790B" w14:textId="77777777" w:rsidR="00D95D78" w:rsidRPr="004E13E9" w:rsidRDefault="00D95D78" w:rsidP="00E62E84">
            <w:pPr>
              <w:jc w:val="center"/>
              <w:rPr>
                <w:sz w:val="16"/>
              </w:rPr>
            </w:pPr>
            <w:r w:rsidRPr="004E13E9">
              <w:rPr>
                <w:sz w:val="16"/>
              </w:rPr>
              <w:t>19,75</w:t>
            </w:r>
          </w:p>
        </w:tc>
        <w:tc>
          <w:tcPr>
            <w:tcW w:w="0" w:type="auto"/>
          </w:tcPr>
          <w:p w14:paraId="0B0F7F2E" w14:textId="77777777" w:rsidR="00D95D78" w:rsidRPr="004E13E9" w:rsidRDefault="00D95D78" w:rsidP="00E62E84">
            <w:pPr>
              <w:jc w:val="center"/>
              <w:rPr>
                <w:sz w:val="16"/>
              </w:rPr>
            </w:pPr>
          </w:p>
        </w:tc>
        <w:tc>
          <w:tcPr>
            <w:tcW w:w="0" w:type="auto"/>
            <w:noWrap/>
            <w:vAlign w:val="center"/>
          </w:tcPr>
          <w:p w14:paraId="6C8EB591" w14:textId="77777777" w:rsidR="00D95D78" w:rsidRPr="004E13E9" w:rsidRDefault="00D95D78" w:rsidP="00E62E84">
            <w:pPr>
              <w:jc w:val="center"/>
              <w:rPr>
                <w:sz w:val="16"/>
              </w:rPr>
            </w:pPr>
          </w:p>
        </w:tc>
        <w:tc>
          <w:tcPr>
            <w:tcW w:w="0" w:type="auto"/>
            <w:vAlign w:val="center"/>
          </w:tcPr>
          <w:p w14:paraId="39D85BCF" w14:textId="77777777" w:rsidR="00D95D78" w:rsidRPr="004E13E9" w:rsidRDefault="00D95D78" w:rsidP="00E62E84">
            <w:pPr>
              <w:jc w:val="center"/>
              <w:rPr>
                <w:sz w:val="16"/>
              </w:rPr>
            </w:pPr>
          </w:p>
        </w:tc>
        <w:tc>
          <w:tcPr>
            <w:tcW w:w="0" w:type="auto"/>
            <w:vAlign w:val="center"/>
          </w:tcPr>
          <w:p w14:paraId="3C46EFD6" w14:textId="77777777" w:rsidR="00D95D78" w:rsidRPr="004E13E9" w:rsidRDefault="00D95D78" w:rsidP="00E62E84">
            <w:pPr>
              <w:jc w:val="center"/>
              <w:rPr>
                <w:sz w:val="16"/>
              </w:rPr>
            </w:pPr>
          </w:p>
        </w:tc>
        <w:tc>
          <w:tcPr>
            <w:tcW w:w="0" w:type="auto"/>
            <w:vAlign w:val="center"/>
          </w:tcPr>
          <w:p w14:paraId="086BC434" w14:textId="77777777" w:rsidR="00D95D78" w:rsidRPr="004E13E9" w:rsidRDefault="00D95D78" w:rsidP="00E62E84">
            <w:pPr>
              <w:jc w:val="center"/>
              <w:rPr>
                <w:sz w:val="16"/>
              </w:rPr>
            </w:pPr>
          </w:p>
        </w:tc>
        <w:tc>
          <w:tcPr>
            <w:tcW w:w="0" w:type="auto"/>
          </w:tcPr>
          <w:p w14:paraId="2952C21A" w14:textId="77777777" w:rsidR="00D95D78" w:rsidRPr="004E13E9" w:rsidRDefault="00D95D78" w:rsidP="00E62E84">
            <w:pPr>
              <w:jc w:val="center"/>
              <w:rPr>
                <w:sz w:val="16"/>
              </w:rPr>
            </w:pPr>
          </w:p>
        </w:tc>
        <w:tc>
          <w:tcPr>
            <w:tcW w:w="0" w:type="auto"/>
          </w:tcPr>
          <w:p w14:paraId="66ED36A9" w14:textId="77777777" w:rsidR="00D95D78" w:rsidRPr="004E13E9" w:rsidRDefault="00D95D78" w:rsidP="00E62E84">
            <w:pPr>
              <w:jc w:val="center"/>
              <w:rPr>
                <w:sz w:val="16"/>
              </w:rPr>
            </w:pPr>
            <w:r w:rsidRPr="004E13E9">
              <w:rPr>
                <w:sz w:val="16"/>
              </w:rPr>
              <w:t>0</w:t>
            </w:r>
          </w:p>
        </w:tc>
        <w:tc>
          <w:tcPr>
            <w:tcW w:w="0" w:type="auto"/>
            <w:shd w:val="clear" w:color="000000" w:fill="D9D9D9"/>
            <w:vAlign w:val="center"/>
            <w:hideMark/>
          </w:tcPr>
          <w:p w14:paraId="3556DBB8" w14:textId="77777777" w:rsidR="00D95D78" w:rsidRPr="004E13E9" w:rsidRDefault="00D95D78" w:rsidP="00E62E84">
            <w:pPr>
              <w:rPr>
                <w:b/>
                <w:sz w:val="16"/>
              </w:rPr>
            </w:pPr>
            <w:r w:rsidRPr="004E13E9">
              <w:rPr>
                <w:b/>
                <w:sz w:val="16"/>
              </w:rPr>
              <w:t> </w:t>
            </w:r>
          </w:p>
        </w:tc>
        <w:tc>
          <w:tcPr>
            <w:tcW w:w="0" w:type="auto"/>
          </w:tcPr>
          <w:p w14:paraId="6037F204" w14:textId="77777777" w:rsidR="00D95D78" w:rsidRPr="004E13E9" w:rsidRDefault="00D95D78" w:rsidP="00E62E84">
            <w:pPr>
              <w:rPr>
                <w:b/>
                <w:sz w:val="16"/>
              </w:rPr>
            </w:pPr>
          </w:p>
        </w:tc>
        <w:tc>
          <w:tcPr>
            <w:tcW w:w="0" w:type="auto"/>
            <w:vAlign w:val="center"/>
          </w:tcPr>
          <w:p w14:paraId="5D4C6AED" w14:textId="77777777" w:rsidR="00D95D78" w:rsidRPr="004E13E9" w:rsidRDefault="00D95D78" w:rsidP="00E62E84">
            <w:pPr>
              <w:rPr>
                <w:b/>
                <w:sz w:val="16"/>
              </w:rPr>
            </w:pPr>
          </w:p>
        </w:tc>
        <w:tc>
          <w:tcPr>
            <w:tcW w:w="0" w:type="auto"/>
            <w:vAlign w:val="center"/>
          </w:tcPr>
          <w:p w14:paraId="57AF0061" w14:textId="77777777" w:rsidR="00D95D78" w:rsidRPr="004E13E9" w:rsidRDefault="00D95D78" w:rsidP="00E62E84">
            <w:pPr>
              <w:rPr>
                <w:b/>
                <w:sz w:val="16"/>
              </w:rPr>
            </w:pPr>
          </w:p>
        </w:tc>
        <w:tc>
          <w:tcPr>
            <w:tcW w:w="0" w:type="auto"/>
            <w:vAlign w:val="center"/>
          </w:tcPr>
          <w:p w14:paraId="6FAE73DC" w14:textId="77777777" w:rsidR="00D95D78" w:rsidRPr="004E13E9" w:rsidRDefault="00D95D78" w:rsidP="00E62E84">
            <w:pPr>
              <w:rPr>
                <w:b/>
                <w:sz w:val="16"/>
              </w:rPr>
            </w:pPr>
          </w:p>
        </w:tc>
        <w:tc>
          <w:tcPr>
            <w:tcW w:w="0" w:type="auto"/>
            <w:vAlign w:val="center"/>
          </w:tcPr>
          <w:p w14:paraId="129FAAF9" w14:textId="77777777" w:rsidR="00D95D78" w:rsidRPr="004E13E9" w:rsidRDefault="00D95D78" w:rsidP="00E62E84">
            <w:pPr>
              <w:rPr>
                <w:b/>
                <w:sz w:val="16"/>
              </w:rPr>
            </w:pPr>
          </w:p>
        </w:tc>
        <w:tc>
          <w:tcPr>
            <w:tcW w:w="0" w:type="auto"/>
          </w:tcPr>
          <w:p w14:paraId="126EC33D" w14:textId="77777777" w:rsidR="00D95D78" w:rsidRPr="004E13E9" w:rsidRDefault="00D95D78" w:rsidP="00E62E84">
            <w:pPr>
              <w:rPr>
                <w:b/>
                <w:sz w:val="16"/>
              </w:rPr>
            </w:pPr>
          </w:p>
        </w:tc>
        <w:tc>
          <w:tcPr>
            <w:tcW w:w="0" w:type="auto"/>
            <w:tcBorders>
              <w:right w:val="single" w:sz="12" w:space="0" w:color="000000"/>
            </w:tcBorders>
          </w:tcPr>
          <w:p w14:paraId="3E44B827" w14:textId="77777777" w:rsidR="00D95D78" w:rsidRPr="004E13E9" w:rsidRDefault="00D95D78" w:rsidP="00E62E84">
            <w:pPr>
              <w:rPr>
                <w:sz w:val="16"/>
              </w:rPr>
            </w:pPr>
            <w:r w:rsidRPr="004E13E9">
              <w:rPr>
                <w:sz w:val="16"/>
              </w:rPr>
              <w:t>0</w:t>
            </w:r>
          </w:p>
        </w:tc>
      </w:tr>
      <w:tr w:rsidR="00D95D78" w:rsidRPr="004E13E9" w14:paraId="58D757B2" w14:textId="77777777" w:rsidTr="00E62E84">
        <w:trPr>
          <w:trHeight w:val="23"/>
          <w:jc w:val="center"/>
        </w:trPr>
        <w:tc>
          <w:tcPr>
            <w:tcW w:w="3371" w:type="dxa"/>
            <w:tcBorders>
              <w:left w:val="single" w:sz="12" w:space="0" w:color="000000"/>
            </w:tcBorders>
            <w:noWrap/>
            <w:vAlign w:val="center"/>
            <w:hideMark/>
          </w:tcPr>
          <w:p w14:paraId="1E3B89F9" w14:textId="77777777" w:rsidR="00D95D78" w:rsidRPr="004E13E9" w:rsidRDefault="00D95D78" w:rsidP="00E62E84">
            <w:pPr>
              <w:rPr>
                <w:sz w:val="16"/>
              </w:rPr>
            </w:pPr>
            <w:r w:rsidRPr="004E13E9">
              <w:rPr>
                <w:sz w:val="16"/>
              </w:rPr>
              <w:t>Ligne à main</w:t>
            </w:r>
          </w:p>
        </w:tc>
        <w:tc>
          <w:tcPr>
            <w:tcW w:w="2388" w:type="dxa"/>
            <w:noWrap/>
            <w:vAlign w:val="center"/>
            <w:hideMark/>
          </w:tcPr>
          <w:p w14:paraId="6D28C688" w14:textId="77777777" w:rsidR="00D95D78" w:rsidRPr="004E13E9" w:rsidRDefault="00D95D78" w:rsidP="00E62E84">
            <w:pPr>
              <w:jc w:val="center"/>
              <w:rPr>
                <w:sz w:val="16"/>
              </w:rPr>
            </w:pPr>
            <w:r w:rsidRPr="004E13E9">
              <w:rPr>
                <w:sz w:val="16"/>
              </w:rPr>
              <w:t>5</w:t>
            </w:r>
          </w:p>
        </w:tc>
        <w:tc>
          <w:tcPr>
            <w:tcW w:w="0" w:type="auto"/>
          </w:tcPr>
          <w:p w14:paraId="50554EA2" w14:textId="77777777" w:rsidR="00D95D78" w:rsidRPr="004E13E9" w:rsidRDefault="00D95D78" w:rsidP="00E62E84">
            <w:pPr>
              <w:jc w:val="center"/>
              <w:rPr>
                <w:sz w:val="16"/>
              </w:rPr>
            </w:pPr>
          </w:p>
        </w:tc>
        <w:tc>
          <w:tcPr>
            <w:tcW w:w="0" w:type="auto"/>
            <w:noWrap/>
            <w:vAlign w:val="center"/>
          </w:tcPr>
          <w:p w14:paraId="73B6872C" w14:textId="77777777" w:rsidR="00D95D78" w:rsidRPr="004E13E9" w:rsidRDefault="00D95D78" w:rsidP="00E62E84">
            <w:pPr>
              <w:jc w:val="center"/>
              <w:rPr>
                <w:sz w:val="16"/>
              </w:rPr>
            </w:pPr>
          </w:p>
        </w:tc>
        <w:tc>
          <w:tcPr>
            <w:tcW w:w="0" w:type="auto"/>
            <w:vAlign w:val="center"/>
          </w:tcPr>
          <w:p w14:paraId="3C6C9986" w14:textId="77777777" w:rsidR="00D95D78" w:rsidRPr="004E13E9" w:rsidRDefault="00D95D78" w:rsidP="00E62E84">
            <w:pPr>
              <w:jc w:val="center"/>
              <w:rPr>
                <w:sz w:val="16"/>
              </w:rPr>
            </w:pPr>
          </w:p>
        </w:tc>
        <w:tc>
          <w:tcPr>
            <w:tcW w:w="0" w:type="auto"/>
            <w:vAlign w:val="center"/>
          </w:tcPr>
          <w:p w14:paraId="2D4A6AF2" w14:textId="77777777" w:rsidR="00D95D78" w:rsidRPr="004E13E9" w:rsidRDefault="00D95D78" w:rsidP="00E62E84">
            <w:pPr>
              <w:jc w:val="center"/>
              <w:rPr>
                <w:sz w:val="16"/>
              </w:rPr>
            </w:pPr>
          </w:p>
        </w:tc>
        <w:tc>
          <w:tcPr>
            <w:tcW w:w="0" w:type="auto"/>
            <w:vAlign w:val="center"/>
          </w:tcPr>
          <w:p w14:paraId="1AF58169" w14:textId="77777777" w:rsidR="00D95D78" w:rsidRPr="004E13E9" w:rsidRDefault="00D95D78" w:rsidP="00E62E84">
            <w:pPr>
              <w:jc w:val="center"/>
              <w:rPr>
                <w:sz w:val="16"/>
              </w:rPr>
            </w:pPr>
          </w:p>
        </w:tc>
        <w:tc>
          <w:tcPr>
            <w:tcW w:w="0" w:type="auto"/>
          </w:tcPr>
          <w:p w14:paraId="57725529" w14:textId="77777777" w:rsidR="00D95D78" w:rsidRPr="004E13E9" w:rsidRDefault="00D95D78" w:rsidP="00E62E84">
            <w:pPr>
              <w:jc w:val="center"/>
              <w:rPr>
                <w:sz w:val="16"/>
              </w:rPr>
            </w:pPr>
          </w:p>
        </w:tc>
        <w:tc>
          <w:tcPr>
            <w:tcW w:w="0" w:type="auto"/>
          </w:tcPr>
          <w:p w14:paraId="5839F2B0" w14:textId="77777777" w:rsidR="00D95D78" w:rsidRPr="004E13E9" w:rsidRDefault="00D95D78" w:rsidP="00E62E84">
            <w:pPr>
              <w:jc w:val="center"/>
              <w:rPr>
                <w:sz w:val="16"/>
              </w:rPr>
            </w:pPr>
            <w:r w:rsidRPr="004E13E9">
              <w:rPr>
                <w:sz w:val="16"/>
              </w:rPr>
              <w:t>0</w:t>
            </w:r>
          </w:p>
        </w:tc>
        <w:tc>
          <w:tcPr>
            <w:tcW w:w="0" w:type="auto"/>
            <w:shd w:val="clear" w:color="000000" w:fill="D9D9D9"/>
            <w:vAlign w:val="center"/>
            <w:hideMark/>
          </w:tcPr>
          <w:p w14:paraId="42204040" w14:textId="77777777" w:rsidR="00D95D78" w:rsidRPr="004E13E9" w:rsidRDefault="00D95D78" w:rsidP="00E62E84">
            <w:pPr>
              <w:rPr>
                <w:sz w:val="16"/>
              </w:rPr>
            </w:pPr>
            <w:r w:rsidRPr="004E13E9">
              <w:rPr>
                <w:sz w:val="16"/>
              </w:rPr>
              <w:t> </w:t>
            </w:r>
          </w:p>
        </w:tc>
        <w:tc>
          <w:tcPr>
            <w:tcW w:w="0" w:type="auto"/>
          </w:tcPr>
          <w:p w14:paraId="6A4DA9D2" w14:textId="77777777" w:rsidR="00D95D78" w:rsidRPr="004E13E9" w:rsidRDefault="00D95D78" w:rsidP="00E62E84">
            <w:pPr>
              <w:rPr>
                <w:sz w:val="16"/>
              </w:rPr>
            </w:pPr>
          </w:p>
        </w:tc>
        <w:tc>
          <w:tcPr>
            <w:tcW w:w="0" w:type="auto"/>
            <w:vAlign w:val="center"/>
          </w:tcPr>
          <w:p w14:paraId="4078BD92" w14:textId="77777777" w:rsidR="00D95D78" w:rsidRPr="004E13E9" w:rsidRDefault="00D95D78" w:rsidP="00E62E84">
            <w:pPr>
              <w:rPr>
                <w:sz w:val="16"/>
              </w:rPr>
            </w:pPr>
          </w:p>
        </w:tc>
        <w:tc>
          <w:tcPr>
            <w:tcW w:w="0" w:type="auto"/>
            <w:vAlign w:val="center"/>
          </w:tcPr>
          <w:p w14:paraId="730D7389" w14:textId="77777777" w:rsidR="00D95D78" w:rsidRPr="004E13E9" w:rsidRDefault="00D95D78" w:rsidP="00E62E84">
            <w:pPr>
              <w:rPr>
                <w:sz w:val="16"/>
              </w:rPr>
            </w:pPr>
          </w:p>
        </w:tc>
        <w:tc>
          <w:tcPr>
            <w:tcW w:w="0" w:type="auto"/>
            <w:vAlign w:val="center"/>
          </w:tcPr>
          <w:p w14:paraId="66164561" w14:textId="77777777" w:rsidR="00D95D78" w:rsidRPr="004E13E9" w:rsidRDefault="00D95D78" w:rsidP="00E62E84">
            <w:pPr>
              <w:rPr>
                <w:sz w:val="16"/>
              </w:rPr>
            </w:pPr>
          </w:p>
        </w:tc>
        <w:tc>
          <w:tcPr>
            <w:tcW w:w="0" w:type="auto"/>
            <w:vAlign w:val="center"/>
          </w:tcPr>
          <w:p w14:paraId="7F7088C1" w14:textId="77777777" w:rsidR="00D95D78" w:rsidRPr="004E13E9" w:rsidRDefault="00D95D78" w:rsidP="00E62E84">
            <w:pPr>
              <w:rPr>
                <w:sz w:val="16"/>
              </w:rPr>
            </w:pPr>
          </w:p>
        </w:tc>
        <w:tc>
          <w:tcPr>
            <w:tcW w:w="0" w:type="auto"/>
          </w:tcPr>
          <w:p w14:paraId="1B3B513F" w14:textId="77777777" w:rsidR="00D95D78" w:rsidRPr="004E13E9" w:rsidRDefault="00D95D78" w:rsidP="00E62E84">
            <w:pPr>
              <w:rPr>
                <w:sz w:val="16"/>
              </w:rPr>
            </w:pPr>
          </w:p>
        </w:tc>
        <w:tc>
          <w:tcPr>
            <w:tcW w:w="0" w:type="auto"/>
            <w:tcBorders>
              <w:right w:val="single" w:sz="12" w:space="0" w:color="000000"/>
            </w:tcBorders>
          </w:tcPr>
          <w:p w14:paraId="4DA89E8D" w14:textId="77777777" w:rsidR="00D95D78" w:rsidRPr="004E13E9" w:rsidRDefault="00D95D78" w:rsidP="00E62E84">
            <w:pPr>
              <w:rPr>
                <w:sz w:val="16"/>
              </w:rPr>
            </w:pPr>
            <w:r w:rsidRPr="004E13E9">
              <w:rPr>
                <w:sz w:val="16"/>
              </w:rPr>
              <w:t>0</w:t>
            </w:r>
          </w:p>
        </w:tc>
      </w:tr>
      <w:tr w:rsidR="00D95D78" w:rsidRPr="004E13E9" w14:paraId="39E412EA" w14:textId="77777777" w:rsidTr="00E62E84">
        <w:trPr>
          <w:trHeight w:val="23"/>
          <w:jc w:val="center"/>
        </w:trPr>
        <w:tc>
          <w:tcPr>
            <w:tcW w:w="3371" w:type="dxa"/>
            <w:tcBorders>
              <w:left w:val="single" w:sz="12" w:space="0" w:color="000000"/>
            </w:tcBorders>
            <w:noWrap/>
            <w:vAlign w:val="center"/>
            <w:hideMark/>
          </w:tcPr>
          <w:p w14:paraId="584C24A6" w14:textId="77777777" w:rsidR="00D95D78" w:rsidRPr="004E13E9" w:rsidRDefault="00D95D78" w:rsidP="00E62E84">
            <w:pPr>
              <w:rPr>
                <w:sz w:val="16"/>
              </w:rPr>
            </w:pPr>
            <w:proofErr w:type="spellStart"/>
            <w:r w:rsidRPr="004E13E9">
              <w:rPr>
                <w:sz w:val="16"/>
              </w:rPr>
              <w:t>Chalutier</w:t>
            </w:r>
            <w:proofErr w:type="spellEnd"/>
          </w:p>
        </w:tc>
        <w:tc>
          <w:tcPr>
            <w:tcW w:w="2388" w:type="dxa"/>
            <w:noWrap/>
            <w:vAlign w:val="center"/>
            <w:hideMark/>
          </w:tcPr>
          <w:p w14:paraId="7C26DE1A" w14:textId="77777777" w:rsidR="00D95D78" w:rsidRPr="004E13E9" w:rsidRDefault="00D95D78" w:rsidP="00E62E84">
            <w:pPr>
              <w:jc w:val="center"/>
              <w:rPr>
                <w:sz w:val="16"/>
              </w:rPr>
            </w:pPr>
            <w:r w:rsidRPr="004E13E9">
              <w:rPr>
                <w:sz w:val="16"/>
              </w:rPr>
              <w:t>10</w:t>
            </w:r>
          </w:p>
        </w:tc>
        <w:tc>
          <w:tcPr>
            <w:tcW w:w="0" w:type="auto"/>
          </w:tcPr>
          <w:p w14:paraId="7A237790" w14:textId="77777777" w:rsidR="00D95D78" w:rsidRPr="004E13E9" w:rsidRDefault="00D95D78" w:rsidP="00E62E84">
            <w:pPr>
              <w:jc w:val="center"/>
              <w:rPr>
                <w:sz w:val="16"/>
              </w:rPr>
            </w:pPr>
          </w:p>
        </w:tc>
        <w:tc>
          <w:tcPr>
            <w:tcW w:w="0" w:type="auto"/>
            <w:noWrap/>
            <w:vAlign w:val="center"/>
          </w:tcPr>
          <w:p w14:paraId="3DAED3B6" w14:textId="77777777" w:rsidR="00D95D78" w:rsidRPr="004E13E9" w:rsidRDefault="00D95D78" w:rsidP="00E62E84">
            <w:pPr>
              <w:jc w:val="center"/>
              <w:rPr>
                <w:sz w:val="16"/>
              </w:rPr>
            </w:pPr>
          </w:p>
        </w:tc>
        <w:tc>
          <w:tcPr>
            <w:tcW w:w="0" w:type="auto"/>
            <w:vAlign w:val="center"/>
          </w:tcPr>
          <w:p w14:paraId="76FCC574" w14:textId="77777777" w:rsidR="00D95D78" w:rsidRPr="004E13E9" w:rsidRDefault="00D95D78" w:rsidP="00E62E84">
            <w:pPr>
              <w:jc w:val="center"/>
              <w:rPr>
                <w:sz w:val="16"/>
              </w:rPr>
            </w:pPr>
          </w:p>
        </w:tc>
        <w:tc>
          <w:tcPr>
            <w:tcW w:w="0" w:type="auto"/>
            <w:vAlign w:val="center"/>
          </w:tcPr>
          <w:p w14:paraId="5A2FF943" w14:textId="77777777" w:rsidR="00D95D78" w:rsidRPr="004E13E9" w:rsidRDefault="00D95D78" w:rsidP="00E62E84">
            <w:pPr>
              <w:jc w:val="center"/>
              <w:rPr>
                <w:sz w:val="16"/>
              </w:rPr>
            </w:pPr>
          </w:p>
        </w:tc>
        <w:tc>
          <w:tcPr>
            <w:tcW w:w="0" w:type="auto"/>
            <w:vAlign w:val="center"/>
          </w:tcPr>
          <w:p w14:paraId="7D7A5E92" w14:textId="77777777" w:rsidR="00D95D78" w:rsidRPr="004E13E9" w:rsidRDefault="00D95D78" w:rsidP="00E62E84">
            <w:pPr>
              <w:jc w:val="center"/>
              <w:rPr>
                <w:sz w:val="16"/>
              </w:rPr>
            </w:pPr>
          </w:p>
        </w:tc>
        <w:tc>
          <w:tcPr>
            <w:tcW w:w="0" w:type="auto"/>
          </w:tcPr>
          <w:p w14:paraId="5A8B0212" w14:textId="77777777" w:rsidR="00D95D78" w:rsidRPr="004E13E9" w:rsidRDefault="00D95D78" w:rsidP="00E62E84">
            <w:pPr>
              <w:jc w:val="center"/>
              <w:rPr>
                <w:sz w:val="16"/>
              </w:rPr>
            </w:pPr>
          </w:p>
        </w:tc>
        <w:tc>
          <w:tcPr>
            <w:tcW w:w="0" w:type="auto"/>
          </w:tcPr>
          <w:p w14:paraId="21DB5045" w14:textId="77777777" w:rsidR="00D95D78" w:rsidRPr="004E13E9" w:rsidRDefault="00D95D78" w:rsidP="00E62E84">
            <w:pPr>
              <w:jc w:val="center"/>
              <w:rPr>
                <w:sz w:val="16"/>
              </w:rPr>
            </w:pPr>
            <w:r w:rsidRPr="004E13E9">
              <w:rPr>
                <w:sz w:val="16"/>
              </w:rPr>
              <w:t>0</w:t>
            </w:r>
          </w:p>
        </w:tc>
        <w:tc>
          <w:tcPr>
            <w:tcW w:w="0" w:type="auto"/>
            <w:shd w:val="clear" w:color="000000" w:fill="D9D9D9"/>
            <w:vAlign w:val="center"/>
            <w:hideMark/>
          </w:tcPr>
          <w:p w14:paraId="75A337D6" w14:textId="77777777" w:rsidR="00D95D78" w:rsidRPr="004E13E9" w:rsidRDefault="00D95D78" w:rsidP="00E62E84">
            <w:pPr>
              <w:rPr>
                <w:sz w:val="16"/>
              </w:rPr>
            </w:pPr>
            <w:r w:rsidRPr="004E13E9">
              <w:rPr>
                <w:sz w:val="16"/>
              </w:rPr>
              <w:t> </w:t>
            </w:r>
          </w:p>
        </w:tc>
        <w:tc>
          <w:tcPr>
            <w:tcW w:w="0" w:type="auto"/>
          </w:tcPr>
          <w:p w14:paraId="11A2059B" w14:textId="77777777" w:rsidR="00D95D78" w:rsidRPr="004E13E9" w:rsidRDefault="00D95D78" w:rsidP="00E62E84">
            <w:pPr>
              <w:rPr>
                <w:sz w:val="16"/>
              </w:rPr>
            </w:pPr>
          </w:p>
        </w:tc>
        <w:tc>
          <w:tcPr>
            <w:tcW w:w="0" w:type="auto"/>
            <w:vAlign w:val="center"/>
          </w:tcPr>
          <w:p w14:paraId="0FBDBE57" w14:textId="77777777" w:rsidR="00D95D78" w:rsidRPr="004E13E9" w:rsidRDefault="00D95D78" w:rsidP="00E62E84">
            <w:pPr>
              <w:rPr>
                <w:sz w:val="16"/>
              </w:rPr>
            </w:pPr>
          </w:p>
        </w:tc>
        <w:tc>
          <w:tcPr>
            <w:tcW w:w="0" w:type="auto"/>
            <w:vAlign w:val="center"/>
          </w:tcPr>
          <w:p w14:paraId="7D3BB777" w14:textId="77777777" w:rsidR="00D95D78" w:rsidRPr="004E13E9" w:rsidRDefault="00D95D78" w:rsidP="00E62E84">
            <w:pPr>
              <w:rPr>
                <w:sz w:val="16"/>
              </w:rPr>
            </w:pPr>
          </w:p>
        </w:tc>
        <w:tc>
          <w:tcPr>
            <w:tcW w:w="0" w:type="auto"/>
            <w:vAlign w:val="center"/>
          </w:tcPr>
          <w:p w14:paraId="76FA4258" w14:textId="77777777" w:rsidR="00D95D78" w:rsidRPr="004E13E9" w:rsidRDefault="00D95D78" w:rsidP="00E62E84">
            <w:pPr>
              <w:rPr>
                <w:sz w:val="16"/>
              </w:rPr>
            </w:pPr>
          </w:p>
        </w:tc>
        <w:tc>
          <w:tcPr>
            <w:tcW w:w="0" w:type="auto"/>
            <w:vAlign w:val="center"/>
          </w:tcPr>
          <w:p w14:paraId="79D01C62" w14:textId="77777777" w:rsidR="00D95D78" w:rsidRPr="004E13E9" w:rsidRDefault="00D95D78" w:rsidP="00E62E84">
            <w:pPr>
              <w:rPr>
                <w:sz w:val="16"/>
              </w:rPr>
            </w:pPr>
          </w:p>
        </w:tc>
        <w:tc>
          <w:tcPr>
            <w:tcW w:w="0" w:type="auto"/>
          </w:tcPr>
          <w:p w14:paraId="3FDDC387" w14:textId="77777777" w:rsidR="00D95D78" w:rsidRPr="004E13E9" w:rsidRDefault="00D95D78" w:rsidP="00E62E84">
            <w:pPr>
              <w:rPr>
                <w:sz w:val="16"/>
              </w:rPr>
            </w:pPr>
          </w:p>
        </w:tc>
        <w:tc>
          <w:tcPr>
            <w:tcW w:w="0" w:type="auto"/>
            <w:tcBorders>
              <w:right w:val="single" w:sz="12" w:space="0" w:color="000000"/>
            </w:tcBorders>
          </w:tcPr>
          <w:p w14:paraId="39A2E97C" w14:textId="77777777" w:rsidR="00D95D78" w:rsidRPr="004E13E9" w:rsidRDefault="00D95D78" w:rsidP="00E62E84">
            <w:pPr>
              <w:rPr>
                <w:sz w:val="16"/>
              </w:rPr>
            </w:pPr>
            <w:r w:rsidRPr="004E13E9">
              <w:rPr>
                <w:sz w:val="16"/>
              </w:rPr>
              <w:t>0</w:t>
            </w:r>
          </w:p>
        </w:tc>
      </w:tr>
      <w:tr w:rsidR="00D95D78" w:rsidRPr="004E13E9" w14:paraId="79BE5710" w14:textId="77777777" w:rsidTr="00E62E84">
        <w:trPr>
          <w:trHeight w:val="23"/>
          <w:jc w:val="center"/>
        </w:trPr>
        <w:tc>
          <w:tcPr>
            <w:tcW w:w="3371" w:type="dxa"/>
            <w:tcBorders>
              <w:left w:val="single" w:sz="12" w:space="0" w:color="000000"/>
            </w:tcBorders>
            <w:noWrap/>
            <w:vAlign w:val="center"/>
            <w:hideMark/>
          </w:tcPr>
          <w:p w14:paraId="7DB65ED1" w14:textId="77777777" w:rsidR="00D95D78" w:rsidRPr="004E13E9" w:rsidRDefault="00D95D78" w:rsidP="00E62E84">
            <w:pPr>
              <w:rPr>
                <w:sz w:val="16"/>
              </w:rPr>
            </w:pPr>
            <w:r w:rsidRPr="004E13E9">
              <w:rPr>
                <w:sz w:val="16"/>
              </w:rPr>
              <w:t>Madrague</w:t>
            </w:r>
          </w:p>
        </w:tc>
        <w:tc>
          <w:tcPr>
            <w:tcW w:w="2388" w:type="dxa"/>
            <w:noWrap/>
            <w:vAlign w:val="center"/>
            <w:hideMark/>
          </w:tcPr>
          <w:p w14:paraId="58606086" w14:textId="77777777" w:rsidR="00D95D78" w:rsidRPr="004E13E9" w:rsidRDefault="00D95D78" w:rsidP="00E62E84">
            <w:pPr>
              <w:jc w:val="center"/>
              <w:rPr>
                <w:sz w:val="16"/>
              </w:rPr>
            </w:pPr>
            <w:r w:rsidRPr="004E13E9">
              <w:rPr>
                <w:sz w:val="16"/>
              </w:rPr>
              <w:t>130</w:t>
            </w:r>
          </w:p>
        </w:tc>
        <w:tc>
          <w:tcPr>
            <w:tcW w:w="0" w:type="auto"/>
          </w:tcPr>
          <w:p w14:paraId="0463E467" w14:textId="77777777" w:rsidR="00D95D78" w:rsidRPr="004E13E9" w:rsidRDefault="00D95D78" w:rsidP="00E62E84">
            <w:pPr>
              <w:jc w:val="center"/>
              <w:rPr>
                <w:sz w:val="16"/>
              </w:rPr>
            </w:pPr>
          </w:p>
        </w:tc>
        <w:tc>
          <w:tcPr>
            <w:tcW w:w="0" w:type="auto"/>
            <w:noWrap/>
            <w:vAlign w:val="center"/>
          </w:tcPr>
          <w:p w14:paraId="073DF03B" w14:textId="77777777" w:rsidR="00D95D78" w:rsidRPr="004E13E9" w:rsidRDefault="00D95D78" w:rsidP="00E62E84">
            <w:pPr>
              <w:jc w:val="center"/>
              <w:rPr>
                <w:sz w:val="16"/>
              </w:rPr>
            </w:pPr>
          </w:p>
        </w:tc>
        <w:tc>
          <w:tcPr>
            <w:tcW w:w="0" w:type="auto"/>
            <w:vAlign w:val="center"/>
          </w:tcPr>
          <w:p w14:paraId="6E35AC5F" w14:textId="77777777" w:rsidR="00D95D78" w:rsidRPr="004E13E9" w:rsidRDefault="00D95D78" w:rsidP="00E62E84">
            <w:pPr>
              <w:jc w:val="center"/>
              <w:rPr>
                <w:sz w:val="16"/>
              </w:rPr>
            </w:pPr>
          </w:p>
        </w:tc>
        <w:tc>
          <w:tcPr>
            <w:tcW w:w="0" w:type="auto"/>
            <w:vAlign w:val="center"/>
          </w:tcPr>
          <w:p w14:paraId="1C22A768" w14:textId="77777777" w:rsidR="00D95D78" w:rsidRPr="004E13E9" w:rsidRDefault="00D95D78" w:rsidP="00E62E84">
            <w:pPr>
              <w:jc w:val="center"/>
              <w:rPr>
                <w:sz w:val="16"/>
              </w:rPr>
            </w:pPr>
          </w:p>
        </w:tc>
        <w:tc>
          <w:tcPr>
            <w:tcW w:w="0" w:type="auto"/>
            <w:vAlign w:val="center"/>
          </w:tcPr>
          <w:p w14:paraId="787D1406" w14:textId="77777777" w:rsidR="00D95D78" w:rsidRPr="004E13E9" w:rsidRDefault="00D95D78" w:rsidP="00E62E84">
            <w:pPr>
              <w:jc w:val="center"/>
              <w:rPr>
                <w:sz w:val="16"/>
              </w:rPr>
            </w:pPr>
          </w:p>
        </w:tc>
        <w:tc>
          <w:tcPr>
            <w:tcW w:w="0" w:type="auto"/>
          </w:tcPr>
          <w:p w14:paraId="717622D0" w14:textId="77777777" w:rsidR="00D95D78" w:rsidRPr="004E13E9" w:rsidRDefault="00D95D78" w:rsidP="00E62E84">
            <w:pPr>
              <w:jc w:val="center"/>
              <w:rPr>
                <w:sz w:val="16"/>
              </w:rPr>
            </w:pPr>
          </w:p>
        </w:tc>
        <w:tc>
          <w:tcPr>
            <w:tcW w:w="0" w:type="auto"/>
          </w:tcPr>
          <w:p w14:paraId="5C22707C" w14:textId="77777777" w:rsidR="00D95D78" w:rsidRPr="004E13E9" w:rsidRDefault="00D95D78" w:rsidP="00E62E84">
            <w:pPr>
              <w:jc w:val="center"/>
              <w:rPr>
                <w:sz w:val="16"/>
              </w:rPr>
            </w:pPr>
            <w:r w:rsidRPr="004E13E9">
              <w:rPr>
                <w:sz w:val="16"/>
              </w:rPr>
              <w:t>0</w:t>
            </w:r>
          </w:p>
        </w:tc>
        <w:tc>
          <w:tcPr>
            <w:tcW w:w="0" w:type="auto"/>
            <w:shd w:val="clear" w:color="000000" w:fill="D9D9D9"/>
            <w:vAlign w:val="center"/>
            <w:hideMark/>
          </w:tcPr>
          <w:p w14:paraId="304226AE" w14:textId="77777777" w:rsidR="00D95D78" w:rsidRPr="004E13E9" w:rsidRDefault="00D95D78" w:rsidP="00E62E84">
            <w:pPr>
              <w:rPr>
                <w:b/>
                <w:sz w:val="16"/>
              </w:rPr>
            </w:pPr>
            <w:r w:rsidRPr="004E13E9">
              <w:rPr>
                <w:b/>
                <w:sz w:val="16"/>
              </w:rPr>
              <w:t> </w:t>
            </w:r>
          </w:p>
        </w:tc>
        <w:tc>
          <w:tcPr>
            <w:tcW w:w="0" w:type="auto"/>
          </w:tcPr>
          <w:p w14:paraId="74D2AEAF" w14:textId="77777777" w:rsidR="00D95D78" w:rsidRPr="004E13E9" w:rsidRDefault="00D95D78" w:rsidP="00E62E84">
            <w:pPr>
              <w:rPr>
                <w:b/>
                <w:sz w:val="16"/>
              </w:rPr>
            </w:pPr>
          </w:p>
        </w:tc>
        <w:tc>
          <w:tcPr>
            <w:tcW w:w="0" w:type="auto"/>
            <w:vAlign w:val="center"/>
          </w:tcPr>
          <w:p w14:paraId="518468BC" w14:textId="77777777" w:rsidR="00D95D78" w:rsidRPr="004E13E9" w:rsidRDefault="00D95D78" w:rsidP="00E62E84">
            <w:pPr>
              <w:rPr>
                <w:b/>
                <w:sz w:val="16"/>
              </w:rPr>
            </w:pPr>
          </w:p>
        </w:tc>
        <w:tc>
          <w:tcPr>
            <w:tcW w:w="0" w:type="auto"/>
            <w:vAlign w:val="center"/>
          </w:tcPr>
          <w:p w14:paraId="5FB2C332" w14:textId="77777777" w:rsidR="00D95D78" w:rsidRPr="004E13E9" w:rsidRDefault="00D95D78" w:rsidP="00E62E84">
            <w:pPr>
              <w:rPr>
                <w:b/>
                <w:sz w:val="16"/>
              </w:rPr>
            </w:pPr>
          </w:p>
        </w:tc>
        <w:tc>
          <w:tcPr>
            <w:tcW w:w="0" w:type="auto"/>
            <w:vAlign w:val="center"/>
          </w:tcPr>
          <w:p w14:paraId="67F73944" w14:textId="77777777" w:rsidR="00D95D78" w:rsidRPr="004E13E9" w:rsidRDefault="00D95D78" w:rsidP="00E62E84">
            <w:pPr>
              <w:rPr>
                <w:b/>
                <w:sz w:val="16"/>
              </w:rPr>
            </w:pPr>
          </w:p>
        </w:tc>
        <w:tc>
          <w:tcPr>
            <w:tcW w:w="0" w:type="auto"/>
            <w:vAlign w:val="center"/>
          </w:tcPr>
          <w:p w14:paraId="125CD952" w14:textId="77777777" w:rsidR="00D95D78" w:rsidRPr="004E13E9" w:rsidRDefault="00D95D78" w:rsidP="00E62E84">
            <w:pPr>
              <w:rPr>
                <w:b/>
                <w:sz w:val="16"/>
              </w:rPr>
            </w:pPr>
          </w:p>
        </w:tc>
        <w:tc>
          <w:tcPr>
            <w:tcW w:w="0" w:type="auto"/>
          </w:tcPr>
          <w:p w14:paraId="0F09DCAF" w14:textId="77777777" w:rsidR="00D95D78" w:rsidRPr="004E13E9" w:rsidRDefault="00D95D78" w:rsidP="00E62E84">
            <w:pPr>
              <w:rPr>
                <w:b/>
                <w:sz w:val="16"/>
              </w:rPr>
            </w:pPr>
          </w:p>
        </w:tc>
        <w:tc>
          <w:tcPr>
            <w:tcW w:w="0" w:type="auto"/>
            <w:tcBorders>
              <w:right w:val="single" w:sz="12" w:space="0" w:color="000000"/>
            </w:tcBorders>
          </w:tcPr>
          <w:p w14:paraId="0863DA67" w14:textId="77777777" w:rsidR="00D95D78" w:rsidRPr="004E13E9" w:rsidRDefault="00D95D78" w:rsidP="00E62E84">
            <w:pPr>
              <w:rPr>
                <w:sz w:val="16"/>
              </w:rPr>
            </w:pPr>
            <w:r w:rsidRPr="004E13E9">
              <w:rPr>
                <w:sz w:val="16"/>
              </w:rPr>
              <w:t>0</w:t>
            </w:r>
          </w:p>
        </w:tc>
      </w:tr>
      <w:tr w:rsidR="00D95D78" w:rsidRPr="004E13E9" w14:paraId="49FBB7A5" w14:textId="77777777" w:rsidTr="00E62E84">
        <w:trPr>
          <w:trHeight w:val="23"/>
          <w:jc w:val="center"/>
        </w:trPr>
        <w:tc>
          <w:tcPr>
            <w:tcW w:w="3371" w:type="dxa"/>
            <w:tcBorders>
              <w:left w:val="single" w:sz="12" w:space="0" w:color="000000"/>
            </w:tcBorders>
            <w:vAlign w:val="center"/>
            <w:hideMark/>
          </w:tcPr>
          <w:p w14:paraId="161F031E" w14:textId="77777777" w:rsidR="00D95D78" w:rsidRPr="004E13E9" w:rsidRDefault="00D95D78" w:rsidP="00E62E84">
            <w:pPr>
              <w:rPr>
                <w:sz w:val="16"/>
              </w:rPr>
            </w:pPr>
            <w:r w:rsidRPr="004E13E9">
              <w:rPr>
                <w:sz w:val="16"/>
              </w:rPr>
              <w:t xml:space="preserve">Petits </w:t>
            </w:r>
            <w:proofErr w:type="spellStart"/>
            <w:r w:rsidRPr="004E13E9">
              <w:rPr>
                <w:sz w:val="16"/>
              </w:rPr>
              <w:t>navires</w:t>
            </w:r>
            <w:proofErr w:type="spellEnd"/>
            <w:r w:rsidRPr="004E13E9">
              <w:rPr>
                <w:sz w:val="16"/>
              </w:rPr>
              <w:t xml:space="preserve"> </w:t>
            </w:r>
            <w:proofErr w:type="spellStart"/>
            <w:r w:rsidRPr="004E13E9">
              <w:rPr>
                <w:sz w:val="16"/>
              </w:rPr>
              <w:t>côtiers</w:t>
            </w:r>
            <w:proofErr w:type="spellEnd"/>
            <w:r w:rsidRPr="004E13E9">
              <w:rPr>
                <w:sz w:val="16"/>
              </w:rPr>
              <w:t xml:space="preserve"> </w:t>
            </w:r>
          </w:p>
        </w:tc>
        <w:tc>
          <w:tcPr>
            <w:tcW w:w="2388" w:type="dxa"/>
            <w:noWrap/>
            <w:vAlign w:val="center"/>
            <w:hideMark/>
          </w:tcPr>
          <w:p w14:paraId="3EC74494" w14:textId="77777777" w:rsidR="00D95D78" w:rsidRPr="004E13E9" w:rsidRDefault="00D95D78" w:rsidP="00E62E84">
            <w:pPr>
              <w:jc w:val="center"/>
              <w:rPr>
                <w:sz w:val="16"/>
              </w:rPr>
            </w:pPr>
            <w:r w:rsidRPr="004E13E9">
              <w:rPr>
                <w:sz w:val="16"/>
              </w:rPr>
              <w:t>N/A</w:t>
            </w:r>
          </w:p>
        </w:tc>
        <w:tc>
          <w:tcPr>
            <w:tcW w:w="0" w:type="auto"/>
          </w:tcPr>
          <w:p w14:paraId="7D9EC1D2" w14:textId="77777777" w:rsidR="00D95D78" w:rsidRPr="004E13E9" w:rsidRDefault="00D95D78" w:rsidP="00E62E84">
            <w:pPr>
              <w:jc w:val="center"/>
              <w:rPr>
                <w:sz w:val="16"/>
              </w:rPr>
            </w:pPr>
          </w:p>
        </w:tc>
        <w:tc>
          <w:tcPr>
            <w:tcW w:w="0" w:type="auto"/>
            <w:noWrap/>
            <w:vAlign w:val="center"/>
          </w:tcPr>
          <w:p w14:paraId="4E7E903F" w14:textId="77777777" w:rsidR="00D95D78" w:rsidRPr="004E13E9" w:rsidRDefault="00D95D78" w:rsidP="00E62E84">
            <w:pPr>
              <w:jc w:val="center"/>
              <w:rPr>
                <w:sz w:val="16"/>
              </w:rPr>
            </w:pPr>
          </w:p>
        </w:tc>
        <w:tc>
          <w:tcPr>
            <w:tcW w:w="0" w:type="auto"/>
            <w:vAlign w:val="center"/>
          </w:tcPr>
          <w:p w14:paraId="68709D92" w14:textId="77777777" w:rsidR="00D95D78" w:rsidRPr="004E13E9" w:rsidRDefault="00D95D78" w:rsidP="00E62E84">
            <w:pPr>
              <w:jc w:val="center"/>
              <w:rPr>
                <w:sz w:val="16"/>
              </w:rPr>
            </w:pPr>
          </w:p>
        </w:tc>
        <w:tc>
          <w:tcPr>
            <w:tcW w:w="0" w:type="auto"/>
            <w:vAlign w:val="center"/>
          </w:tcPr>
          <w:p w14:paraId="4359DE54" w14:textId="77777777" w:rsidR="00D95D78" w:rsidRPr="004E13E9" w:rsidRDefault="00D95D78" w:rsidP="00E62E84">
            <w:pPr>
              <w:jc w:val="center"/>
              <w:rPr>
                <w:sz w:val="16"/>
              </w:rPr>
            </w:pPr>
          </w:p>
        </w:tc>
        <w:tc>
          <w:tcPr>
            <w:tcW w:w="0" w:type="auto"/>
            <w:vAlign w:val="center"/>
          </w:tcPr>
          <w:p w14:paraId="69B312C2" w14:textId="77777777" w:rsidR="00D95D78" w:rsidRPr="004E13E9" w:rsidRDefault="00D95D78" w:rsidP="00E62E84">
            <w:pPr>
              <w:jc w:val="center"/>
              <w:rPr>
                <w:sz w:val="16"/>
              </w:rPr>
            </w:pPr>
          </w:p>
        </w:tc>
        <w:tc>
          <w:tcPr>
            <w:tcW w:w="0" w:type="auto"/>
          </w:tcPr>
          <w:p w14:paraId="15E378F1" w14:textId="77777777" w:rsidR="00D95D78" w:rsidRPr="004E13E9" w:rsidRDefault="00D95D78" w:rsidP="00E62E84">
            <w:pPr>
              <w:jc w:val="center"/>
              <w:rPr>
                <w:sz w:val="16"/>
              </w:rPr>
            </w:pPr>
          </w:p>
        </w:tc>
        <w:tc>
          <w:tcPr>
            <w:tcW w:w="0" w:type="auto"/>
          </w:tcPr>
          <w:p w14:paraId="52A36E92" w14:textId="77777777" w:rsidR="00D95D78" w:rsidRPr="004E13E9" w:rsidRDefault="00D95D78" w:rsidP="00E62E84">
            <w:pPr>
              <w:jc w:val="center"/>
              <w:rPr>
                <w:sz w:val="16"/>
              </w:rPr>
            </w:pPr>
            <w:r w:rsidRPr="004E13E9">
              <w:rPr>
                <w:sz w:val="16"/>
              </w:rPr>
              <w:t>0</w:t>
            </w:r>
          </w:p>
        </w:tc>
        <w:tc>
          <w:tcPr>
            <w:tcW w:w="0" w:type="auto"/>
            <w:shd w:val="clear" w:color="000000" w:fill="D9D9D9"/>
            <w:vAlign w:val="center"/>
            <w:hideMark/>
          </w:tcPr>
          <w:p w14:paraId="62D5B9A5" w14:textId="77777777" w:rsidR="00D95D78" w:rsidRPr="004E13E9" w:rsidRDefault="00D95D78" w:rsidP="00E62E84">
            <w:pPr>
              <w:rPr>
                <w:b/>
                <w:sz w:val="16"/>
              </w:rPr>
            </w:pPr>
            <w:r w:rsidRPr="004E13E9">
              <w:rPr>
                <w:b/>
                <w:sz w:val="16"/>
              </w:rPr>
              <w:t> </w:t>
            </w:r>
          </w:p>
        </w:tc>
        <w:tc>
          <w:tcPr>
            <w:tcW w:w="0" w:type="auto"/>
          </w:tcPr>
          <w:p w14:paraId="3C3FCA48" w14:textId="77777777" w:rsidR="00D95D78" w:rsidRPr="004E13E9" w:rsidRDefault="00D95D78" w:rsidP="00E62E84">
            <w:pPr>
              <w:rPr>
                <w:b/>
                <w:sz w:val="16"/>
              </w:rPr>
            </w:pPr>
          </w:p>
        </w:tc>
        <w:tc>
          <w:tcPr>
            <w:tcW w:w="0" w:type="auto"/>
            <w:vAlign w:val="center"/>
          </w:tcPr>
          <w:p w14:paraId="763FEFBD" w14:textId="77777777" w:rsidR="00D95D78" w:rsidRPr="004E13E9" w:rsidRDefault="00D95D78" w:rsidP="00E62E84">
            <w:pPr>
              <w:rPr>
                <w:b/>
                <w:sz w:val="16"/>
              </w:rPr>
            </w:pPr>
          </w:p>
        </w:tc>
        <w:tc>
          <w:tcPr>
            <w:tcW w:w="0" w:type="auto"/>
            <w:vAlign w:val="center"/>
          </w:tcPr>
          <w:p w14:paraId="0DDD1FB9" w14:textId="77777777" w:rsidR="00D95D78" w:rsidRPr="004E13E9" w:rsidRDefault="00D95D78" w:rsidP="00E62E84">
            <w:pPr>
              <w:rPr>
                <w:b/>
                <w:sz w:val="16"/>
              </w:rPr>
            </w:pPr>
          </w:p>
        </w:tc>
        <w:tc>
          <w:tcPr>
            <w:tcW w:w="0" w:type="auto"/>
            <w:vAlign w:val="center"/>
          </w:tcPr>
          <w:p w14:paraId="7716ABA2" w14:textId="77777777" w:rsidR="00D95D78" w:rsidRPr="004E13E9" w:rsidRDefault="00D95D78" w:rsidP="00E62E84">
            <w:pPr>
              <w:rPr>
                <w:b/>
                <w:sz w:val="16"/>
              </w:rPr>
            </w:pPr>
          </w:p>
        </w:tc>
        <w:tc>
          <w:tcPr>
            <w:tcW w:w="0" w:type="auto"/>
            <w:vAlign w:val="center"/>
          </w:tcPr>
          <w:p w14:paraId="3BC3653B" w14:textId="77777777" w:rsidR="00D95D78" w:rsidRPr="004E13E9" w:rsidRDefault="00D95D78" w:rsidP="00E62E84">
            <w:pPr>
              <w:rPr>
                <w:b/>
                <w:sz w:val="16"/>
              </w:rPr>
            </w:pPr>
          </w:p>
        </w:tc>
        <w:tc>
          <w:tcPr>
            <w:tcW w:w="0" w:type="auto"/>
          </w:tcPr>
          <w:p w14:paraId="520F5A2E" w14:textId="77777777" w:rsidR="00D95D78" w:rsidRPr="004E13E9" w:rsidRDefault="00D95D78" w:rsidP="00E62E84">
            <w:pPr>
              <w:rPr>
                <w:b/>
                <w:sz w:val="16"/>
              </w:rPr>
            </w:pPr>
          </w:p>
        </w:tc>
        <w:tc>
          <w:tcPr>
            <w:tcW w:w="0" w:type="auto"/>
            <w:tcBorders>
              <w:right w:val="single" w:sz="12" w:space="0" w:color="000000"/>
            </w:tcBorders>
          </w:tcPr>
          <w:p w14:paraId="32037712" w14:textId="77777777" w:rsidR="00D95D78" w:rsidRPr="004E13E9" w:rsidRDefault="00D95D78" w:rsidP="00E62E84">
            <w:pPr>
              <w:rPr>
                <w:sz w:val="16"/>
              </w:rPr>
            </w:pPr>
            <w:r w:rsidRPr="004E13E9">
              <w:rPr>
                <w:sz w:val="16"/>
              </w:rPr>
              <w:t>0</w:t>
            </w:r>
          </w:p>
        </w:tc>
      </w:tr>
      <w:tr w:rsidR="00D95D78" w:rsidRPr="004E13E9" w14:paraId="199D80FF" w14:textId="77777777" w:rsidTr="00E62E84">
        <w:trPr>
          <w:trHeight w:val="23"/>
          <w:jc w:val="center"/>
        </w:trPr>
        <w:tc>
          <w:tcPr>
            <w:tcW w:w="3371" w:type="dxa"/>
            <w:tcBorders>
              <w:left w:val="single" w:sz="12" w:space="0" w:color="000000"/>
            </w:tcBorders>
            <w:vAlign w:val="center"/>
            <w:hideMark/>
          </w:tcPr>
          <w:p w14:paraId="58C10111" w14:textId="77777777" w:rsidR="00D95D78" w:rsidRPr="004E13E9" w:rsidRDefault="00D95D78" w:rsidP="00E62E84">
            <w:pPr>
              <w:rPr>
                <w:sz w:val="16"/>
              </w:rPr>
            </w:pPr>
            <w:proofErr w:type="spellStart"/>
            <w:r w:rsidRPr="004E13E9">
              <w:rPr>
                <w:sz w:val="16"/>
              </w:rPr>
              <w:t>Autre</w:t>
            </w:r>
            <w:proofErr w:type="spellEnd"/>
            <w:r w:rsidRPr="004E13E9">
              <w:rPr>
                <w:sz w:val="16"/>
              </w:rPr>
              <w:t xml:space="preserve"> (à </w:t>
            </w:r>
            <w:proofErr w:type="spellStart"/>
            <w:r w:rsidRPr="004E13E9">
              <w:rPr>
                <w:sz w:val="16"/>
              </w:rPr>
              <w:t>préciser</w:t>
            </w:r>
            <w:proofErr w:type="spellEnd"/>
            <w:r w:rsidRPr="004E13E9">
              <w:rPr>
                <w:sz w:val="16"/>
              </w:rPr>
              <w:t>)</w:t>
            </w:r>
          </w:p>
        </w:tc>
        <w:tc>
          <w:tcPr>
            <w:tcW w:w="2388" w:type="dxa"/>
            <w:noWrap/>
            <w:vAlign w:val="center"/>
            <w:hideMark/>
          </w:tcPr>
          <w:p w14:paraId="7F52D7FE" w14:textId="77777777" w:rsidR="00D95D78" w:rsidRPr="004E13E9" w:rsidRDefault="00D95D78" w:rsidP="00E62E84">
            <w:pPr>
              <w:jc w:val="center"/>
              <w:rPr>
                <w:sz w:val="16"/>
              </w:rPr>
            </w:pPr>
            <w:r w:rsidRPr="004E13E9">
              <w:rPr>
                <w:sz w:val="16"/>
              </w:rPr>
              <w:t>5</w:t>
            </w:r>
          </w:p>
        </w:tc>
        <w:tc>
          <w:tcPr>
            <w:tcW w:w="0" w:type="auto"/>
          </w:tcPr>
          <w:p w14:paraId="28351DEA" w14:textId="77777777" w:rsidR="00D95D78" w:rsidRPr="004E13E9" w:rsidRDefault="00D95D78" w:rsidP="00E62E84">
            <w:pPr>
              <w:jc w:val="center"/>
              <w:rPr>
                <w:sz w:val="16"/>
              </w:rPr>
            </w:pPr>
          </w:p>
        </w:tc>
        <w:tc>
          <w:tcPr>
            <w:tcW w:w="0" w:type="auto"/>
            <w:noWrap/>
            <w:vAlign w:val="center"/>
          </w:tcPr>
          <w:p w14:paraId="18C9708D" w14:textId="77777777" w:rsidR="00D95D78" w:rsidRPr="004E13E9" w:rsidRDefault="00D95D78" w:rsidP="00E62E84">
            <w:pPr>
              <w:jc w:val="center"/>
              <w:rPr>
                <w:sz w:val="16"/>
              </w:rPr>
            </w:pPr>
          </w:p>
        </w:tc>
        <w:tc>
          <w:tcPr>
            <w:tcW w:w="0" w:type="auto"/>
            <w:vAlign w:val="center"/>
          </w:tcPr>
          <w:p w14:paraId="02EFA333" w14:textId="77777777" w:rsidR="00D95D78" w:rsidRPr="004E13E9" w:rsidRDefault="00D95D78" w:rsidP="00E62E84">
            <w:pPr>
              <w:jc w:val="center"/>
              <w:rPr>
                <w:sz w:val="16"/>
              </w:rPr>
            </w:pPr>
          </w:p>
        </w:tc>
        <w:tc>
          <w:tcPr>
            <w:tcW w:w="0" w:type="auto"/>
            <w:vAlign w:val="center"/>
          </w:tcPr>
          <w:p w14:paraId="3E548410" w14:textId="77777777" w:rsidR="00D95D78" w:rsidRPr="004E13E9" w:rsidRDefault="00D95D78" w:rsidP="00E62E84">
            <w:pPr>
              <w:jc w:val="center"/>
              <w:rPr>
                <w:sz w:val="16"/>
              </w:rPr>
            </w:pPr>
          </w:p>
        </w:tc>
        <w:tc>
          <w:tcPr>
            <w:tcW w:w="0" w:type="auto"/>
            <w:vAlign w:val="center"/>
          </w:tcPr>
          <w:p w14:paraId="4B5B3DEB" w14:textId="77777777" w:rsidR="00D95D78" w:rsidRPr="004E13E9" w:rsidRDefault="00D95D78" w:rsidP="00E62E84">
            <w:pPr>
              <w:jc w:val="center"/>
              <w:rPr>
                <w:sz w:val="16"/>
              </w:rPr>
            </w:pPr>
          </w:p>
        </w:tc>
        <w:tc>
          <w:tcPr>
            <w:tcW w:w="0" w:type="auto"/>
          </w:tcPr>
          <w:p w14:paraId="066344A1" w14:textId="77777777" w:rsidR="00D95D78" w:rsidRPr="004E13E9" w:rsidRDefault="00D95D78" w:rsidP="00E62E84">
            <w:pPr>
              <w:jc w:val="center"/>
              <w:rPr>
                <w:sz w:val="16"/>
              </w:rPr>
            </w:pPr>
          </w:p>
        </w:tc>
        <w:tc>
          <w:tcPr>
            <w:tcW w:w="0" w:type="auto"/>
          </w:tcPr>
          <w:p w14:paraId="294C8950" w14:textId="77777777" w:rsidR="00D95D78" w:rsidRPr="004E13E9" w:rsidRDefault="00D95D78" w:rsidP="00E62E84">
            <w:pPr>
              <w:jc w:val="center"/>
              <w:rPr>
                <w:sz w:val="16"/>
              </w:rPr>
            </w:pPr>
            <w:r w:rsidRPr="004E13E9">
              <w:rPr>
                <w:sz w:val="16"/>
              </w:rPr>
              <w:t>0</w:t>
            </w:r>
          </w:p>
        </w:tc>
        <w:tc>
          <w:tcPr>
            <w:tcW w:w="0" w:type="auto"/>
            <w:shd w:val="clear" w:color="000000" w:fill="D9D9D9"/>
            <w:vAlign w:val="center"/>
            <w:hideMark/>
          </w:tcPr>
          <w:p w14:paraId="783C9E12" w14:textId="77777777" w:rsidR="00D95D78" w:rsidRPr="004E13E9" w:rsidRDefault="00D95D78" w:rsidP="00E62E84">
            <w:pPr>
              <w:rPr>
                <w:b/>
                <w:sz w:val="16"/>
              </w:rPr>
            </w:pPr>
            <w:r w:rsidRPr="004E13E9">
              <w:rPr>
                <w:b/>
                <w:sz w:val="16"/>
              </w:rPr>
              <w:t> </w:t>
            </w:r>
          </w:p>
        </w:tc>
        <w:tc>
          <w:tcPr>
            <w:tcW w:w="0" w:type="auto"/>
          </w:tcPr>
          <w:p w14:paraId="48891AD7" w14:textId="77777777" w:rsidR="00D95D78" w:rsidRPr="004E13E9" w:rsidRDefault="00D95D78" w:rsidP="00E62E84">
            <w:pPr>
              <w:rPr>
                <w:b/>
                <w:sz w:val="16"/>
              </w:rPr>
            </w:pPr>
          </w:p>
        </w:tc>
        <w:tc>
          <w:tcPr>
            <w:tcW w:w="0" w:type="auto"/>
            <w:vAlign w:val="center"/>
          </w:tcPr>
          <w:p w14:paraId="4ED77F26" w14:textId="77777777" w:rsidR="00D95D78" w:rsidRPr="004E13E9" w:rsidRDefault="00D95D78" w:rsidP="00E62E84">
            <w:pPr>
              <w:rPr>
                <w:b/>
                <w:sz w:val="16"/>
              </w:rPr>
            </w:pPr>
          </w:p>
        </w:tc>
        <w:tc>
          <w:tcPr>
            <w:tcW w:w="0" w:type="auto"/>
            <w:vAlign w:val="center"/>
          </w:tcPr>
          <w:p w14:paraId="3C35B4DD" w14:textId="77777777" w:rsidR="00D95D78" w:rsidRPr="004E13E9" w:rsidRDefault="00D95D78" w:rsidP="00E62E84">
            <w:pPr>
              <w:rPr>
                <w:b/>
                <w:sz w:val="16"/>
              </w:rPr>
            </w:pPr>
          </w:p>
        </w:tc>
        <w:tc>
          <w:tcPr>
            <w:tcW w:w="0" w:type="auto"/>
            <w:vAlign w:val="center"/>
          </w:tcPr>
          <w:p w14:paraId="736856E0" w14:textId="77777777" w:rsidR="00D95D78" w:rsidRPr="004E13E9" w:rsidRDefault="00D95D78" w:rsidP="00E62E84">
            <w:pPr>
              <w:rPr>
                <w:b/>
                <w:sz w:val="16"/>
              </w:rPr>
            </w:pPr>
          </w:p>
        </w:tc>
        <w:tc>
          <w:tcPr>
            <w:tcW w:w="0" w:type="auto"/>
            <w:vAlign w:val="center"/>
          </w:tcPr>
          <w:p w14:paraId="04D9D25B" w14:textId="77777777" w:rsidR="00D95D78" w:rsidRPr="004E13E9" w:rsidRDefault="00D95D78" w:rsidP="00E62E84">
            <w:pPr>
              <w:rPr>
                <w:b/>
                <w:sz w:val="16"/>
              </w:rPr>
            </w:pPr>
          </w:p>
        </w:tc>
        <w:tc>
          <w:tcPr>
            <w:tcW w:w="0" w:type="auto"/>
          </w:tcPr>
          <w:p w14:paraId="33678DA7" w14:textId="77777777" w:rsidR="00D95D78" w:rsidRPr="004E13E9" w:rsidRDefault="00D95D78" w:rsidP="00E62E84">
            <w:pPr>
              <w:rPr>
                <w:b/>
                <w:sz w:val="16"/>
              </w:rPr>
            </w:pPr>
          </w:p>
        </w:tc>
        <w:tc>
          <w:tcPr>
            <w:tcW w:w="0" w:type="auto"/>
            <w:tcBorders>
              <w:right w:val="single" w:sz="12" w:space="0" w:color="000000"/>
            </w:tcBorders>
          </w:tcPr>
          <w:p w14:paraId="26B21A09" w14:textId="77777777" w:rsidR="00D95D78" w:rsidRPr="004E13E9" w:rsidRDefault="00D95D78" w:rsidP="00E62E84">
            <w:pPr>
              <w:rPr>
                <w:sz w:val="16"/>
              </w:rPr>
            </w:pPr>
            <w:r w:rsidRPr="004E13E9">
              <w:rPr>
                <w:sz w:val="16"/>
              </w:rPr>
              <w:t>0</w:t>
            </w:r>
          </w:p>
        </w:tc>
      </w:tr>
      <w:tr w:rsidR="00D95D78" w:rsidRPr="004E13E9" w14:paraId="4FE00029" w14:textId="77777777" w:rsidTr="00E62E84">
        <w:trPr>
          <w:trHeight w:val="23"/>
          <w:jc w:val="center"/>
        </w:trPr>
        <w:tc>
          <w:tcPr>
            <w:tcW w:w="3371" w:type="dxa"/>
            <w:tcBorders>
              <w:left w:val="single" w:sz="12" w:space="0" w:color="000000"/>
              <w:bottom w:val="single" w:sz="12" w:space="0" w:color="000000"/>
            </w:tcBorders>
            <w:noWrap/>
            <w:vAlign w:val="center"/>
            <w:hideMark/>
          </w:tcPr>
          <w:p w14:paraId="4A6A732E" w14:textId="77777777" w:rsidR="00D95D78" w:rsidRPr="004E13E9" w:rsidRDefault="00D95D78" w:rsidP="00E62E84">
            <w:pPr>
              <w:rPr>
                <w:b/>
                <w:sz w:val="16"/>
                <w:lang w:val="fr-FR"/>
              </w:rPr>
            </w:pPr>
            <w:r w:rsidRPr="004E13E9">
              <w:rPr>
                <w:b/>
                <w:sz w:val="16"/>
                <w:lang w:val="fr-FR"/>
              </w:rPr>
              <w:t>Capacité totale de la flottille/de pêche</w:t>
            </w:r>
          </w:p>
        </w:tc>
        <w:tc>
          <w:tcPr>
            <w:tcW w:w="2388" w:type="dxa"/>
            <w:tcBorders>
              <w:bottom w:val="single" w:sz="12" w:space="0" w:color="000000"/>
            </w:tcBorders>
            <w:noWrap/>
            <w:vAlign w:val="center"/>
            <w:hideMark/>
          </w:tcPr>
          <w:p w14:paraId="70D17C8E" w14:textId="77777777" w:rsidR="00D95D78" w:rsidRPr="004E13E9" w:rsidRDefault="00D95D78" w:rsidP="00E62E84">
            <w:pPr>
              <w:jc w:val="right"/>
              <w:rPr>
                <w:sz w:val="16"/>
                <w:lang w:val="fr-FR"/>
              </w:rPr>
            </w:pPr>
            <w:r w:rsidRPr="004E13E9">
              <w:rPr>
                <w:sz w:val="16"/>
                <w:lang w:val="fr-FR"/>
              </w:rPr>
              <w:t> </w:t>
            </w:r>
          </w:p>
        </w:tc>
        <w:tc>
          <w:tcPr>
            <w:tcW w:w="0" w:type="auto"/>
            <w:tcBorders>
              <w:bottom w:val="single" w:sz="12" w:space="0" w:color="000000"/>
            </w:tcBorders>
          </w:tcPr>
          <w:p w14:paraId="2FA4536A" w14:textId="77777777" w:rsidR="00D95D78" w:rsidRPr="004E13E9" w:rsidRDefault="00D95D78" w:rsidP="00E62E84">
            <w:pPr>
              <w:jc w:val="center"/>
              <w:rPr>
                <w:sz w:val="16"/>
                <w:lang w:val="fr-FR"/>
              </w:rPr>
            </w:pPr>
          </w:p>
        </w:tc>
        <w:tc>
          <w:tcPr>
            <w:tcW w:w="0" w:type="auto"/>
            <w:tcBorders>
              <w:bottom w:val="single" w:sz="12" w:space="0" w:color="000000"/>
            </w:tcBorders>
            <w:noWrap/>
            <w:vAlign w:val="center"/>
          </w:tcPr>
          <w:p w14:paraId="4E20DEDA" w14:textId="77777777" w:rsidR="00D95D78" w:rsidRPr="004E13E9" w:rsidRDefault="00D95D78" w:rsidP="00E62E84">
            <w:pPr>
              <w:jc w:val="center"/>
              <w:rPr>
                <w:sz w:val="16"/>
                <w:lang w:val="fr-FR"/>
              </w:rPr>
            </w:pPr>
          </w:p>
        </w:tc>
        <w:tc>
          <w:tcPr>
            <w:tcW w:w="0" w:type="auto"/>
            <w:tcBorders>
              <w:bottom w:val="single" w:sz="12" w:space="0" w:color="000000"/>
            </w:tcBorders>
            <w:vAlign w:val="center"/>
          </w:tcPr>
          <w:p w14:paraId="5E1226C3" w14:textId="77777777" w:rsidR="00D95D78" w:rsidRPr="004E13E9" w:rsidRDefault="00D95D78" w:rsidP="00E62E84">
            <w:pPr>
              <w:jc w:val="center"/>
              <w:rPr>
                <w:sz w:val="16"/>
                <w:lang w:val="fr-FR"/>
              </w:rPr>
            </w:pPr>
          </w:p>
        </w:tc>
        <w:tc>
          <w:tcPr>
            <w:tcW w:w="0" w:type="auto"/>
            <w:tcBorders>
              <w:bottom w:val="single" w:sz="12" w:space="0" w:color="000000"/>
            </w:tcBorders>
            <w:vAlign w:val="center"/>
          </w:tcPr>
          <w:p w14:paraId="7965F14F" w14:textId="77777777" w:rsidR="00D95D78" w:rsidRPr="004E13E9" w:rsidRDefault="00D95D78" w:rsidP="00E62E84">
            <w:pPr>
              <w:jc w:val="center"/>
              <w:rPr>
                <w:sz w:val="16"/>
                <w:lang w:val="fr-FR"/>
              </w:rPr>
            </w:pPr>
          </w:p>
        </w:tc>
        <w:tc>
          <w:tcPr>
            <w:tcW w:w="0" w:type="auto"/>
            <w:tcBorders>
              <w:bottom w:val="single" w:sz="12" w:space="0" w:color="000000"/>
            </w:tcBorders>
            <w:vAlign w:val="center"/>
          </w:tcPr>
          <w:p w14:paraId="56E7682C" w14:textId="77777777" w:rsidR="00D95D78" w:rsidRPr="004E13E9" w:rsidRDefault="00D95D78" w:rsidP="00E62E84">
            <w:pPr>
              <w:jc w:val="center"/>
              <w:rPr>
                <w:sz w:val="16"/>
                <w:lang w:val="fr-FR"/>
              </w:rPr>
            </w:pPr>
          </w:p>
        </w:tc>
        <w:tc>
          <w:tcPr>
            <w:tcW w:w="0" w:type="auto"/>
            <w:tcBorders>
              <w:bottom w:val="single" w:sz="12" w:space="0" w:color="000000"/>
            </w:tcBorders>
          </w:tcPr>
          <w:p w14:paraId="06943F39" w14:textId="77777777" w:rsidR="00D95D78" w:rsidRPr="004E13E9" w:rsidRDefault="00D95D78" w:rsidP="00E62E84">
            <w:pPr>
              <w:jc w:val="center"/>
              <w:rPr>
                <w:sz w:val="16"/>
                <w:lang w:val="fr-FR"/>
              </w:rPr>
            </w:pPr>
          </w:p>
        </w:tc>
        <w:tc>
          <w:tcPr>
            <w:tcW w:w="0" w:type="auto"/>
            <w:tcBorders>
              <w:bottom w:val="single" w:sz="12" w:space="0" w:color="000000"/>
            </w:tcBorders>
          </w:tcPr>
          <w:p w14:paraId="004A1C04" w14:textId="77777777" w:rsidR="00D95D78" w:rsidRPr="004E13E9" w:rsidRDefault="00D95D78" w:rsidP="00E62E84">
            <w:pPr>
              <w:jc w:val="center"/>
              <w:rPr>
                <w:sz w:val="16"/>
              </w:rPr>
            </w:pPr>
            <w:r w:rsidRPr="004E13E9">
              <w:rPr>
                <w:sz w:val="16"/>
              </w:rPr>
              <w:t>0</w:t>
            </w:r>
          </w:p>
        </w:tc>
        <w:tc>
          <w:tcPr>
            <w:tcW w:w="0" w:type="auto"/>
            <w:tcBorders>
              <w:bottom w:val="single" w:sz="12" w:space="0" w:color="000000"/>
            </w:tcBorders>
            <w:shd w:val="clear" w:color="000000" w:fill="D9D9D9"/>
            <w:vAlign w:val="center"/>
            <w:hideMark/>
          </w:tcPr>
          <w:p w14:paraId="362182AC" w14:textId="77777777" w:rsidR="00D95D78" w:rsidRPr="004E13E9" w:rsidRDefault="00D95D78" w:rsidP="00E62E84">
            <w:pPr>
              <w:rPr>
                <w:b/>
                <w:sz w:val="16"/>
              </w:rPr>
            </w:pPr>
            <w:r w:rsidRPr="004E13E9">
              <w:rPr>
                <w:b/>
                <w:sz w:val="16"/>
              </w:rPr>
              <w:t> </w:t>
            </w:r>
          </w:p>
        </w:tc>
        <w:tc>
          <w:tcPr>
            <w:tcW w:w="0" w:type="auto"/>
            <w:tcBorders>
              <w:bottom w:val="single" w:sz="12" w:space="0" w:color="000000"/>
            </w:tcBorders>
          </w:tcPr>
          <w:p w14:paraId="3E9EC353" w14:textId="77777777" w:rsidR="00D95D78" w:rsidRPr="004E13E9" w:rsidRDefault="00D95D78" w:rsidP="00E62E84">
            <w:pPr>
              <w:rPr>
                <w:b/>
                <w:sz w:val="16"/>
              </w:rPr>
            </w:pPr>
          </w:p>
        </w:tc>
        <w:tc>
          <w:tcPr>
            <w:tcW w:w="0" w:type="auto"/>
            <w:tcBorders>
              <w:bottom w:val="single" w:sz="12" w:space="0" w:color="000000"/>
            </w:tcBorders>
            <w:vAlign w:val="center"/>
          </w:tcPr>
          <w:p w14:paraId="6BB809E9" w14:textId="77777777" w:rsidR="00D95D78" w:rsidRPr="004E13E9" w:rsidRDefault="00D95D78" w:rsidP="00E62E84">
            <w:pPr>
              <w:rPr>
                <w:b/>
                <w:sz w:val="16"/>
              </w:rPr>
            </w:pPr>
          </w:p>
        </w:tc>
        <w:tc>
          <w:tcPr>
            <w:tcW w:w="0" w:type="auto"/>
            <w:tcBorders>
              <w:bottom w:val="single" w:sz="12" w:space="0" w:color="000000"/>
            </w:tcBorders>
            <w:vAlign w:val="center"/>
          </w:tcPr>
          <w:p w14:paraId="0E6129C8" w14:textId="77777777" w:rsidR="00D95D78" w:rsidRPr="004E13E9" w:rsidRDefault="00D95D78" w:rsidP="00E62E84">
            <w:pPr>
              <w:rPr>
                <w:b/>
                <w:sz w:val="16"/>
              </w:rPr>
            </w:pPr>
          </w:p>
        </w:tc>
        <w:tc>
          <w:tcPr>
            <w:tcW w:w="0" w:type="auto"/>
            <w:tcBorders>
              <w:bottom w:val="single" w:sz="12" w:space="0" w:color="000000"/>
            </w:tcBorders>
            <w:noWrap/>
            <w:vAlign w:val="center"/>
          </w:tcPr>
          <w:p w14:paraId="408C9421" w14:textId="77777777" w:rsidR="00D95D78" w:rsidRPr="004E13E9" w:rsidRDefault="00D95D78" w:rsidP="00E62E84">
            <w:pPr>
              <w:rPr>
                <w:b/>
                <w:sz w:val="16"/>
              </w:rPr>
            </w:pPr>
          </w:p>
        </w:tc>
        <w:tc>
          <w:tcPr>
            <w:tcW w:w="0" w:type="auto"/>
            <w:tcBorders>
              <w:bottom w:val="single" w:sz="12" w:space="0" w:color="000000"/>
            </w:tcBorders>
            <w:noWrap/>
            <w:vAlign w:val="center"/>
          </w:tcPr>
          <w:p w14:paraId="6C1B91D9" w14:textId="77777777" w:rsidR="00D95D78" w:rsidRPr="004E13E9" w:rsidRDefault="00D95D78" w:rsidP="00E62E84">
            <w:pPr>
              <w:rPr>
                <w:b/>
                <w:sz w:val="16"/>
              </w:rPr>
            </w:pPr>
          </w:p>
        </w:tc>
        <w:tc>
          <w:tcPr>
            <w:tcW w:w="0" w:type="auto"/>
            <w:tcBorders>
              <w:bottom w:val="single" w:sz="12" w:space="0" w:color="000000"/>
            </w:tcBorders>
            <w:noWrap/>
          </w:tcPr>
          <w:p w14:paraId="78B72631" w14:textId="77777777" w:rsidR="00D95D78" w:rsidRPr="004E13E9" w:rsidRDefault="00D95D78" w:rsidP="00E62E84">
            <w:pPr>
              <w:rPr>
                <w:b/>
                <w:sz w:val="16"/>
              </w:rPr>
            </w:pPr>
          </w:p>
        </w:tc>
        <w:tc>
          <w:tcPr>
            <w:tcW w:w="0" w:type="auto"/>
            <w:tcBorders>
              <w:bottom w:val="single" w:sz="12" w:space="0" w:color="000000"/>
              <w:right w:val="single" w:sz="12" w:space="0" w:color="000000"/>
            </w:tcBorders>
          </w:tcPr>
          <w:p w14:paraId="25412974" w14:textId="77777777" w:rsidR="00D95D78" w:rsidRPr="004E13E9" w:rsidRDefault="00D95D78" w:rsidP="00E62E84">
            <w:pPr>
              <w:rPr>
                <w:sz w:val="16"/>
              </w:rPr>
            </w:pPr>
            <w:r w:rsidRPr="004E13E9">
              <w:rPr>
                <w:sz w:val="16"/>
              </w:rPr>
              <w:t>0</w:t>
            </w:r>
          </w:p>
        </w:tc>
      </w:tr>
      <w:tr w:rsidR="00D95D78" w:rsidRPr="004E13E9" w14:paraId="1F4BAA74" w14:textId="77777777" w:rsidTr="00E62E84">
        <w:trPr>
          <w:trHeight w:val="23"/>
          <w:jc w:val="center"/>
        </w:trPr>
        <w:tc>
          <w:tcPr>
            <w:tcW w:w="3371" w:type="dxa"/>
            <w:tcBorders>
              <w:top w:val="single" w:sz="12" w:space="0" w:color="000000"/>
              <w:left w:val="single" w:sz="12" w:space="0" w:color="000000"/>
            </w:tcBorders>
            <w:shd w:val="clear" w:color="auto" w:fill="D9D9D9"/>
            <w:noWrap/>
            <w:vAlign w:val="center"/>
            <w:hideMark/>
          </w:tcPr>
          <w:p w14:paraId="5F730780" w14:textId="77777777" w:rsidR="00D95D78" w:rsidRPr="004E13E9" w:rsidRDefault="00D95D78" w:rsidP="00E62E84">
            <w:pPr>
              <w:rPr>
                <w:b/>
                <w:sz w:val="16"/>
              </w:rPr>
            </w:pPr>
            <w:r w:rsidRPr="004E13E9">
              <w:rPr>
                <w:b/>
                <w:sz w:val="16"/>
              </w:rPr>
              <w:t>Quota initial</w:t>
            </w:r>
          </w:p>
        </w:tc>
        <w:tc>
          <w:tcPr>
            <w:tcW w:w="2388" w:type="dxa"/>
            <w:tcBorders>
              <w:top w:val="single" w:sz="12" w:space="0" w:color="000000"/>
            </w:tcBorders>
            <w:shd w:val="clear" w:color="auto" w:fill="D9D9D9"/>
            <w:noWrap/>
            <w:vAlign w:val="center"/>
            <w:hideMark/>
          </w:tcPr>
          <w:p w14:paraId="5AF394D6" w14:textId="77777777" w:rsidR="00D95D78" w:rsidRPr="004E13E9" w:rsidRDefault="00D95D78" w:rsidP="00E62E84">
            <w:pPr>
              <w:jc w:val="right"/>
              <w:rPr>
                <w:sz w:val="16"/>
              </w:rPr>
            </w:pPr>
            <w:r w:rsidRPr="004E13E9">
              <w:rPr>
                <w:sz w:val="16"/>
              </w:rPr>
              <w:t> </w:t>
            </w:r>
          </w:p>
        </w:tc>
        <w:tc>
          <w:tcPr>
            <w:tcW w:w="0" w:type="auto"/>
            <w:tcBorders>
              <w:top w:val="single" w:sz="12" w:space="0" w:color="000000"/>
            </w:tcBorders>
            <w:shd w:val="clear" w:color="auto" w:fill="D9D9D9"/>
          </w:tcPr>
          <w:p w14:paraId="4DA1BFB1" w14:textId="77777777" w:rsidR="00D95D78" w:rsidRPr="004E13E9" w:rsidRDefault="00D95D78" w:rsidP="00E62E84">
            <w:pPr>
              <w:jc w:val="center"/>
              <w:rPr>
                <w:sz w:val="16"/>
              </w:rPr>
            </w:pPr>
          </w:p>
        </w:tc>
        <w:tc>
          <w:tcPr>
            <w:tcW w:w="0" w:type="auto"/>
            <w:tcBorders>
              <w:top w:val="single" w:sz="12" w:space="0" w:color="000000"/>
            </w:tcBorders>
            <w:shd w:val="clear" w:color="auto" w:fill="D9D9D9"/>
            <w:noWrap/>
            <w:vAlign w:val="center"/>
          </w:tcPr>
          <w:p w14:paraId="5143BCFF" w14:textId="77777777" w:rsidR="00D95D78" w:rsidRPr="004E13E9" w:rsidRDefault="00D95D78" w:rsidP="00E62E84">
            <w:pPr>
              <w:jc w:val="center"/>
              <w:rPr>
                <w:sz w:val="16"/>
              </w:rPr>
            </w:pPr>
          </w:p>
        </w:tc>
        <w:tc>
          <w:tcPr>
            <w:tcW w:w="0" w:type="auto"/>
            <w:tcBorders>
              <w:top w:val="single" w:sz="12" w:space="0" w:color="000000"/>
            </w:tcBorders>
            <w:shd w:val="clear" w:color="auto" w:fill="D9D9D9"/>
            <w:vAlign w:val="center"/>
          </w:tcPr>
          <w:p w14:paraId="2EB6585B" w14:textId="77777777" w:rsidR="00D95D78" w:rsidRPr="004E13E9" w:rsidRDefault="00D95D78" w:rsidP="00E62E84">
            <w:pPr>
              <w:jc w:val="center"/>
              <w:rPr>
                <w:sz w:val="16"/>
              </w:rPr>
            </w:pPr>
          </w:p>
        </w:tc>
        <w:tc>
          <w:tcPr>
            <w:tcW w:w="0" w:type="auto"/>
            <w:tcBorders>
              <w:top w:val="single" w:sz="12" w:space="0" w:color="000000"/>
            </w:tcBorders>
            <w:shd w:val="clear" w:color="auto" w:fill="D9D9D9"/>
            <w:vAlign w:val="center"/>
          </w:tcPr>
          <w:p w14:paraId="24686D1B" w14:textId="77777777" w:rsidR="00D95D78" w:rsidRPr="004E13E9" w:rsidRDefault="00D95D78" w:rsidP="00E62E84">
            <w:pPr>
              <w:jc w:val="center"/>
              <w:rPr>
                <w:sz w:val="16"/>
              </w:rPr>
            </w:pPr>
          </w:p>
        </w:tc>
        <w:tc>
          <w:tcPr>
            <w:tcW w:w="0" w:type="auto"/>
            <w:tcBorders>
              <w:top w:val="single" w:sz="12" w:space="0" w:color="000000"/>
            </w:tcBorders>
            <w:shd w:val="clear" w:color="auto" w:fill="D9D9D9"/>
            <w:vAlign w:val="center"/>
          </w:tcPr>
          <w:p w14:paraId="552E7AAD" w14:textId="77777777" w:rsidR="00D95D78" w:rsidRPr="004E13E9" w:rsidRDefault="00D95D78" w:rsidP="00E62E84">
            <w:pPr>
              <w:jc w:val="center"/>
              <w:rPr>
                <w:sz w:val="16"/>
              </w:rPr>
            </w:pPr>
          </w:p>
        </w:tc>
        <w:tc>
          <w:tcPr>
            <w:tcW w:w="0" w:type="auto"/>
            <w:tcBorders>
              <w:top w:val="single" w:sz="12" w:space="0" w:color="000000"/>
            </w:tcBorders>
            <w:shd w:val="clear" w:color="auto" w:fill="D9D9D9"/>
          </w:tcPr>
          <w:p w14:paraId="73251ED4" w14:textId="77777777" w:rsidR="00D95D78" w:rsidRPr="004E13E9" w:rsidRDefault="00D95D78" w:rsidP="00E62E84">
            <w:pPr>
              <w:jc w:val="center"/>
              <w:rPr>
                <w:sz w:val="16"/>
              </w:rPr>
            </w:pPr>
          </w:p>
        </w:tc>
        <w:tc>
          <w:tcPr>
            <w:tcW w:w="0" w:type="auto"/>
            <w:tcBorders>
              <w:top w:val="single" w:sz="12" w:space="0" w:color="000000"/>
            </w:tcBorders>
            <w:shd w:val="clear" w:color="auto" w:fill="D9D9D9"/>
          </w:tcPr>
          <w:p w14:paraId="721C9F00" w14:textId="77777777" w:rsidR="00D95D78" w:rsidRPr="004E13E9" w:rsidRDefault="00D95D78" w:rsidP="00E62E84">
            <w:pPr>
              <w:jc w:val="center"/>
              <w:rPr>
                <w:sz w:val="16"/>
              </w:rPr>
            </w:pPr>
            <w:r w:rsidRPr="004E13E9">
              <w:rPr>
                <w:sz w:val="16"/>
              </w:rPr>
              <w:t>0</w:t>
            </w:r>
          </w:p>
        </w:tc>
        <w:tc>
          <w:tcPr>
            <w:tcW w:w="0" w:type="auto"/>
            <w:tcBorders>
              <w:top w:val="single" w:sz="12" w:space="0" w:color="000000"/>
            </w:tcBorders>
            <w:shd w:val="clear" w:color="auto" w:fill="D9D9D9"/>
            <w:vAlign w:val="center"/>
            <w:hideMark/>
          </w:tcPr>
          <w:p w14:paraId="4F0CCA18" w14:textId="77777777" w:rsidR="00D95D78" w:rsidRPr="004E13E9" w:rsidRDefault="00D95D78" w:rsidP="00E62E84">
            <w:pPr>
              <w:rPr>
                <w:sz w:val="16"/>
              </w:rPr>
            </w:pPr>
            <w:r w:rsidRPr="004E13E9">
              <w:rPr>
                <w:sz w:val="16"/>
              </w:rPr>
              <w:t> </w:t>
            </w:r>
          </w:p>
        </w:tc>
        <w:tc>
          <w:tcPr>
            <w:tcW w:w="0" w:type="auto"/>
            <w:tcBorders>
              <w:top w:val="single" w:sz="12" w:space="0" w:color="000000"/>
            </w:tcBorders>
            <w:shd w:val="clear" w:color="auto" w:fill="D9D9D9"/>
          </w:tcPr>
          <w:p w14:paraId="38B1E7BD" w14:textId="77777777" w:rsidR="00D95D78" w:rsidRPr="004E13E9" w:rsidRDefault="00D95D78" w:rsidP="00E62E84">
            <w:pPr>
              <w:rPr>
                <w:sz w:val="16"/>
              </w:rPr>
            </w:pPr>
          </w:p>
        </w:tc>
        <w:tc>
          <w:tcPr>
            <w:tcW w:w="0" w:type="auto"/>
            <w:tcBorders>
              <w:top w:val="single" w:sz="12" w:space="0" w:color="000000"/>
            </w:tcBorders>
            <w:shd w:val="clear" w:color="auto" w:fill="D9D9D9"/>
            <w:vAlign w:val="center"/>
          </w:tcPr>
          <w:p w14:paraId="1C142284" w14:textId="77777777" w:rsidR="00D95D78" w:rsidRPr="004E13E9" w:rsidRDefault="00D95D78" w:rsidP="00E62E84">
            <w:pPr>
              <w:rPr>
                <w:sz w:val="16"/>
              </w:rPr>
            </w:pPr>
          </w:p>
        </w:tc>
        <w:tc>
          <w:tcPr>
            <w:tcW w:w="0" w:type="auto"/>
            <w:tcBorders>
              <w:top w:val="single" w:sz="12" w:space="0" w:color="000000"/>
            </w:tcBorders>
            <w:shd w:val="clear" w:color="auto" w:fill="D9D9D9"/>
            <w:vAlign w:val="center"/>
          </w:tcPr>
          <w:p w14:paraId="4B7CE829" w14:textId="77777777" w:rsidR="00D95D78" w:rsidRPr="004E13E9" w:rsidRDefault="00D95D78" w:rsidP="00E62E84">
            <w:pPr>
              <w:rPr>
                <w:sz w:val="16"/>
              </w:rPr>
            </w:pPr>
          </w:p>
        </w:tc>
        <w:tc>
          <w:tcPr>
            <w:tcW w:w="0" w:type="auto"/>
            <w:tcBorders>
              <w:top w:val="single" w:sz="12" w:space="0" w:color="000000"/>
            </w:tcBorders>
            <w:shd w:val="clear" w:color="auto" w:fill="D9D9D9"/>
            <w:vAlign w:val="center"/>
          </w:tcPr>
          <w:p w14:paraId="11E34E4E" w14:textId="77777777" w:rsidR="00D95D78" w:rsidRPr="004E13E9" w:rsidRDefault="00D95D78" w:rsidP="00E62E84">
            <w:pPr>
              <w:rPr>
                <w:sz w:val="16"/>
              </w:rPr>
            </w:pPr>
          </w:p>
        </w:tc>
        <w:tc>
          <w:tcPr>
            <w:tcW w:w="0" w:type="auto"/>
            <w:tcBorders>
              <w:top w:val="single" w:sz="12" w:space="0" w:color="000000"/>
            </w:tcBorders>
            <w:shd w:val="clear" w:color="auto" w:fill="D9D9D9"/>
            <w:vAlign w:val="center"/>
          </w:tcPr>
          <w:p w14:paraId="583FBEE8" w14:textId="77777777" w:rsidR="00D95D78" w:rsidRPr="004E13E9" w:rsidRDefault="00D95D78" w:rsidP="00E62E84">
            <w:pPr>
              <w:rPr>
                <w:sz w:val="16"/>
              </w:rPr>
            </w:pPr>
          </w:p>
        </w:tc>
        <w:tc>
          <w:tcPr>
            <w:tcW w:w="0" w:type="auto"/>
            <w:tcBorders>
              <w:top w:val="single" w:sz="12" w:space="0" w:color="000000"/>
            </w:tcBorders>
            <w:shd w:val="clear" w:color="auto" w:fill="D9D9D9"/>
          </w:tcPr>
          <w:p w14:paraId="208BA971" w14:textId="77777777" w:rsidR="00D95D78" w:rsidRPr="004E13E9" w:rsidRDefault="00D95D78" w:rsidP="00E62E84">
            <w:pPr>
              <w:rPr>
                <w:sz w:val="16"/>
              </w:rPr>
            </w:pPr>
          </w:p>
        </w:tc>
        <w:tc>
          <w:tcPr>
            <w:tcW w:w="0" w:type="auto"/>
            <w:tcBorders>
              <w:top w:val="single" w:sz="12" w:space="0" w:color="000000"/>
              <w:right w:val="single" w:sz="12" w:space="0" w:color="000000"/>
            </w:tcBorders>
            <w:shd w:val="clear" w:color="auto" w:fill="D9D9D9"/>
          </w:tcPr>
          <w:p w14:paraId="28F021C1" w14:textId="77777777" w:rsidR="00D95D78" w:rsidRPr="004E13E9" w:rsidRDefault="00D95D78" w:rsidP="00E62E84">
            <w:pPr>
              <w:rPr>
                <w:sz w:val="16"/>
              </w:rPr>
            </w:pPr>
            <w:r w:rsidRPr="004E13E9">
              <w:rPr>
                <w:sz w:val="16"/>
              </w:rPr>
              <w:t>55</w:t>
            </w:r>
          </w:p>
        </w:tc>
      </w:tr>
      <w:tr w:rsidR="00D95D78" w:rsidRPr="004E13E9" w14:paraId="12AF1E6D" w14:textId="77777777" w:rsidTr="00E62E84">
        <w:trPr>
          <w:trHeight w:val="23"/>
          <w:jc w:val="center"/>
        </w:trPr>
        <w:tc>
          <w:tcPr>
            <w:tcW w:w="3371" w:type="dxa"/>
            <w:tcBorders>
              <w:left w:val="single" w:sz="12" w:space="0" w:color="000000"/>
              <w:bottom w:val="single" w:sz="12" w:space="0" w:color="000000"/>
            </w:tcBorders>
            <w:shd w:val="clear" w:color="auto" w:fill="D9D9D9"/>
            <w:noWrap/>
            <w:vAlign w:val="center"/>
          </w:tcPr>
          <w:p w14:paraId="34D6E69A" w14:textId="77777777" w:rsidR="00D95D78" w:rsidRPr="004E13E9" w:rsidRDefault="00D95D78" w:rsidP="00E62E84">
            <w:pPr>
              <w:rPr>
                <w:rFonts w:eastAsia="Times New Roman" w:cs="Calibri"/>
                <w:b/>
                <w:bCs/>
                <w:sz w:val="16"/>
                <w:szCs w:val="16"/>
                <w:lang w:val="fr-FR"/>
              </w:rPr>
            </w:pPr>
            <w:r w:rsidRPr="004E13E9">
              <w:rPr>
                <w:b/>
                <w:sz w:val="16"/>
                <w:lang w:val="fr-FR"/>
              </w:rPr>
              <w:t xml:space="preserve">Quota ajusté (le cas échéant) </w:t>
            </w:r>
          </w:p>
        </w:tc>
        <w:tc>
          <w:tcPr>
            <w:tcW w:w="2388" w:type="dxa"/>
            <w:tcBorders>
              <w:bottom w:val="single" w:sz="12" w:space="0" w:color="000000"/>
            </w:tcBorders>
            <w:shd w:val="clear" w:color="auto" w:fill="D9D9D9"/>
            <w:noWrap/>
            <w:vAlign w:val="center"/>
          </w:tcPr>
          <w:p w14:paraId="33598035" w14:textId="77777777" w:rsidR="00D95D78" w:rsidRPr="004E13E9" w:rsidRDefault="00D95D78" w:rsidP="00E62E84">
            <w:pPr>
              <w:jc w:val="right"/>
              <w:rPr>
                <w:rFonts w:eastAsia="Times New Roman" w:cs="Calibri"/>
                <w:sz w:val="16"/>
                <w:szCs w:val="16"/>
                <w:lang w:val="fr-FR" w:eastAsia="ja-JP"/>
              </w:rPr>
            </w:pPr>
          </w:p>
        </w:tc>
        <w:tc>
          <w:tcPr>
            <w:tcW w:w="0" w:type="auto"/>
            <w:tcBorders>
              <w:bottom w:val="single" w:sz="12" w:space="0" w:color="000000"/>
            </w:tcBorders>
            <w:shd w:val="clear" w:color="auto" w:fill="D9D9D9"/>
          </w:tcPr>
          <w:p w14:paraId="0B983811" w14:textId="77777777" w:rsidR="00D95D78" w:rsidRPr="004E13E9" w:rsidRDefault="00D95D78" w:rsidP="00E62E84">
            <w:pPr>
              <w:jc w:val="center"/>
              <w:rPr>
                <w:rFonts w:eastAsia="Times New Roman" w:cs="Calibri"/>
                <w:sz w:val="16"/>
                <w:szCs w:val="16"/>
                <w:lang w:val="fr-FR" w:eastAsia="ja-JP"/>
              </w:rPr>
            </w:pPr>
          </w:p>
        </w:tc>
        <w:tc>
          <w:tcPr>
            <w:tcW w:w="0" w:type="auto"/>
            <w:tcBorders>
              <w:bottom w:val="single" w:sz="12" w:space="0" w:color="000000"/>
            </w:tcBorders>
            <w:shd w:val="clear" w:color="auto" w:fill="D9D9D9"/>
            <w:noWrap/>
            <w:vAlign w:val="center"/>
          </w:tcPr>
          <w:p w14:paraId="69AB8A3D" w14:textId="77777777" w:rsidR="00D95D78" w:rsidRPr="004E13E9" w:rsidRDefault="00D95D78" w:rsidP="00E62E84">
            <w:pPr>
              <w:jc w:val="center"/>
              <w:rPr>
                <w:rFonts w:eastAsia="Times New Roman" w:cs="Calibri"/>
                <w:sz w:val="16"/>
                <w:szCs w:val="16"/>
                <w:lang w:val="fr-FR" w:eastAsia="ja-JP"/>
              </w:rPr>
            </w:pPr>
          </w:p>
        </w:tc>
        <w:tc>
          <w:tcPr>
            <w:tcW w:w="0" w:type="auto"/>
            <w:tcBorders>
              <w:bottom w:val="single" w:sz="12" w:space="0" w:color="000000"/>
            </w:tcBorders>
            <w:shd w:val="clear" w:color="auto" w:fill="D9D9D9"/>
            <w:vAlign w:val="center"/>
          </w:tcPr>
          <w:p w14:paraId="74E32A7C" w14:textId="77777777" w:rsidR="00D95D78" w:rsidRPr="004E13E9" w:rsidRDefault="00D95D78" w:rsidP="00E62E84">
            <w:pPr>
              <w:jc w:val="center"/>
              <w:rPr>
                <w:rFonts w:eastAsia="Times New Roman" w:cs="Calibri"/>
                <w:sz w:val="16"/>
                <w:szCs w:val="16"/>
                <w:lang w:val="fr-FR" w:eastAsia="ja-JP"/>
              </w:rPr>
            </w:pPr>
          </w:p>
        </w:tc>
        <w:tc>
          <w:tcPr>
            <w:tcW w:w="0" w:type="auto"/>
            <w:tcBorders>
              <w:bottom w:val="single" w:sz="12" w:space="0" w:color="000000"/>
            </w:tcBorders>
            <w:shd w:val="clear" w:color="auto" w:fill="D9D9D9"/>
            <w:vAlign w:val="center"/>
          </w:tcPr>
          <w:p w14:paraId="49E1DF91" w14:textId="77777777" w:rsidR="00D95D78" w:rsidRPr="004E13E9" w:rsidRDefault="00D95D78" w:rsidP="00E62E84">
            <w:pPr>
              <w:jc w:val="center"/>
              <w:rPr>
                <w:rFonts w:eastAsia="Times New Roman" w:cs="Calibri"/>
                <w:sz w:val="16"/>
                <w:szCs w:val="16"/>
                <w:lang w:val="fr-FR" w:eastAsia="ja-JP"/>
              </w:rPr>
            </w:pPr>
          </w:p>
        </w:tc>
        <w:tc>
          <w:tcPr>
            <w:tcW w:w="0" w:type="auto"/>
            <w:tcBorders>
              <w:bottom w:val="single" w:sz="12" w:space="0" w:color="000000"/>
            </w:tcBorders>
            <w:shd w:val="clear" w:color="auto" w:fill="D9D9D9"/>
            <w:vAlign w:val="center"/>
          </w:tcPr>
          <w:p w14:paraId="794A95B7" w14:textId="77777777" w:rsidR="00D95D78" w:rsidRPr="004E13E9" w:rsidRDefault="00D95D78" w:rsidP="00E62E84">
            <w:pPr>
              <w:jc w:val="center"/>
              <w:rPr>
                <w:rFonts w:eastAsia="Times New Roman" w:cs="Calibri"/>
                <w:sz w:val="16"/>
                <w:szCs w:val="16"/>
                <w:lang w:val="fr-FR" w:eastAsia="ja-JP"/>
              </w:rPr>
            </w:pPr>
          </w:p>
        </w:tc>
        <w:tc>
          <w:tcPr>
            <w:tcW w:w="0" w:type="auto"/>
            <w:tcBorders>
              <w:bottom w:val="single" w:sz="12" w:space="0" w:color="000000"/>
            </w:tcBorders>
            <w:shd w:val="clear" w:color="auto" w:fill="D9D9D9"/>
          </w:tcPr>
          <w:p w14:paraId="3D5E77BB" w14:textId="77777777" w:rsidR="00D95D78" w:rsidRPr="004E13E9" w:rsidRDefault="00D95D78" w:rsidP="00E62E84">
            <w:pPr>
              <w:jc w:val="center"/>
              <w:rPr>
                <w:rFonts w:eastAsia="Times New Roman" w:cs="Calibri"/>
                <w:sz w:val="16"/>
                <w:szCs w:val="16"/>
                <w:lang w:val="fr-FR" w:eastAsia="ja-JP"/>
              </w:rPr>
            </w:pPr>
          </w:p>
        </w:tc>
        <w:tc>
          <w:tcPr>
            <w:tcW w:w="0" w:type="auto"/>
            <w:tcBorders>
              <w:bottom w:val="single" w:sz="12" w:space="0" w:color="000000"/>
            </w:tcBorders>
            <w:shd w:val="clear" w:color="auto" w:fill="D9D9D9"/>
          </w:tcPr>
          <w:p w14:paraId="6C240A49" w14:textId="77777777" w:rsidR="00D95D78" w:rsidRPr="004E13E9" w:rsidRDefault="00D95D78" w:rsidP="00E62E84">
            <w:pPr>
              <w:jc w:val="center"/>
              <w:rPr>
                <w:rFonts w:eastAsia="Times New Roman" w:cs="Calibri"/>
                <w:sz w:val="16"/>
                <w:szCs w:val="16"/>
              </w:rPr>
            </w:pPr>
            <w:r w:rsidRPr="004E13E9">
              <w:rPr>
                <w:sz w:val="16"/>
              </w:rPr>
              <w:t>0</w:t>
            </w:r>
          </w:p>
        </w:tc>
        <w:tc>
          <w:tcPr>
            <w:tcW w:w="0" w:type="auto"/>
            <w:tcBorders>
              <w:bottom w:val="single" w:sz="12" w:space="0" w:color="000000"/>
            </w:tcBorders>
            <w:shd w:val="clear" w:color="auto" w:fill="D9D9D9"/>
            <w:vAlign w:val="center"/>
          </w:tcPr>
          <w:p w14:paraId="3DAB8C0E" w14:textId="77777777" w:rsidR="00D95D78" w:rsidRPr="004E13E9" w:rsidRDefault="00D95D78" w:rsidP="00E62E84">
            <w:pPr>
              <w:rPr>
                <w:rFonts w:eastAsia="Times New Roman" w:cs="Calibri"/>
                <w:sz w:val="16"/>
                <w:szCs w:val="16"/>
                <w:lang w:eastAsia="ja-JP"/>
              </w:rPr>
            </w:pPr>
          </w:p>
        </w:tc>
        <w:tc>
          <w:tcPr>
            <w:tcW w:w="0" w:type="auto"/>
            <w:tcBorders>
              <w:bottom w:val="single" w:sz="12" w:space="0" w:color="000000"/>
            </w:tcBorders>
            <w:shd w:val="clear" w:color="auto" w:fill="D9D9D9"/>
          </w:tcPr>
          <w:p w14:paraId="7928C089" w14:textId="77777777" w:rsidR="00D95D78" w:rsidRPr="004E13E9" w:rsidRDefault="00D95D78" w:rsidP="00E62E84">
            <w:pPr>
              <w:rPr>
                <w:rFonts w:eastAsia="Times New Roman" w:cs="Calibri"/>
                <w:sz w:val="16"/>
                <w:szCs w:val="16"/>
                <w:lang w:eastAsia="ja-JP"/>
              </w:rPr>
            </w:pPr>
          </w:p>
        </w:tc>
        <w:tc>
          <w:tcPr>
            <w:tcW w:w="0" w:type="auto"/>
            <w:tcBorders>
              <w:bottom w:val="single" w:sz="12" w:space="0" w:color="000000"/>
            </w:tcBorders>
            <w:shd w:val="clear" w:color="auto" w:fill="D9D9D9"/>
            <w:vAlign w:val="center"/>
          </w:tcPr>
          <w:p w14:paraId="2B6F449A" w14:textId="77777777" w:rsidR="00D95D78" w:rsidRPr="004E13E9" w:rsidRDefault="00D95D78" w:rsidP="00E62E84">
            <w:pPr>
              <w:rPr>
                <w:rFonts w:eastAsia="Times New Roman" w:cs="Calibri"/>
                <w:sz w:val="16"/>
                <w:szCs w:val="16"/>
                <w:lang w:eastAsia="ja-JP"/>
              </w:rPr>
            </w:pPr>
          </w:p>
        </w:tc>
        <w:tc>
          <w:tcPr>
            <w:tcW w:w="0" w:type="auto"/>
            <w:tcBorders>
              <w:bottom w:val="single" w:sz="12" w:space="0" w:color="000000"/>
            </w:tcBorders>
            <w:shd w:val="clear" w:color="auto" w:fill="D9D9D9"/>
            <w:vAlign w:val="center"/>
          </w:tcPr>
          <w:p w14:paraId="66A79319" w14:textId="77777777" w:rsidR="00D95D78" w:rsidRPr="004E13E9" w:rsidRDefault="00D95D78" w:rsidP="00E62E84">
            <w:pPr>
              <w:rPr>
                <w:rFonts w:eastAsia="Times New Roman" w:cs="Calibri"/>
                <w:sz w:val="16"/>
                <w:szCs w:val="16"/>
                <w:lang w:eastAsia="ja-JP"/>
              </w:rPr>
            </w:pPr>
          </w:p>
        </w:tc>
        <w:tc>
          <w:tcPr>
            <w:tcW w:w="0" w:type="auto"/>
            <w:tcBorders>
              <w:bottom w:val="single" w:sz="12" w:space="0" w:color="000000"/>
            </w:tcBorders>
            <w:shd w:val="clear" w:color="auto" w:fill="D9D9D9"/>
            <w:vAlign w:val="center"/>
          </w:tcPr>
          <w:p w14:paraId="45C3070A" w14:textId="77777777" w:rsidR="00D95D78" w:rsidRPr="004E13E9" w:rsidRDefault="00D95D78" w:rsidP="00E62E84">
            <w:pPr>
              <w:rPr>
                <w:rFonts w:eastAsia="Times New Roman" w:cs="Calibri"/>
                <w:sz w:val="16"/>
                <w:szCs w:val="16"/>
                <w:lang w:eastAsia="ja-JP"/>
              </w:rPr>
            </w:pPr>
          </w:p>
        </w:tc>
        <w:tc>
          <w:tcPr>
            <w:tcW w:w="0" w:type="auto"/>
            <w:tcBorders>
              <w:bottom w:val="single" w:sz="12" w:space="0" w:color="000000"/>
            </w:tcBorders>
            <w:shd w:val="clear" w:color="auto" w:fill="D9D9D9"/>
            <w:vAlign w:val="center"/>
          </w:tcPr>
          <w:p w14:paraId="65F1E61E" w14:textId="77777777" w:rsidR="00D95D78" w:rsidRPr="004E13E9" w:rsidRDefault="00D95D78" w:rsidP="00E62E84">
            <w:pPr>
              <w:rPr>
                <w:rFonts w:eastAsia="Times New Roman" w:cs="Calibri"/>
                <w:sz w:val="16"/>
                <w:szCs w:val="16"/>
                <w:lang w:eastAsia="ja-JP"/>
              </w:rPr>
            </w:pPr>
          </w:p>
        </w:tc>
        <w:tc>
          <w:tcPr>
            <w:tcW w:w="0" w:type="auto"/>
            <w:tcBorders>
              <w:bottom w:val="single" w:sz="12" w:space="0" w:color="000000"/>
            </w:tcBorders>
            <w:shd w:val="clear" w:color="auto" w:fill="D9D9D9"/>
          </w:tcPr>
          <w:p w14:paraId="0C1604CA" w14:textId="77777777" w:rsidR="00D95D78" w:rsidRPr="004E13E9" w:rsidRDefault="00D95D78" w:rsidP="00E62E84">
            <w:pPr>
              <w:rPr>
                <w:rFonts w:eastAsia="Times New Roman" w:cs="Calibri"/>
                <w:sz w:val="16"/>
                <w:szCs w:val="16"/>
                <w:lang w:eastAsia="ja-JP"/>
              </w:rPr>
            </w:pPr>
          </w:p>
        </w:tc>
        <w:tc>
          <w:tcPr>
            <w:tcW w:w="0" w:type="auto"/>
            <w:tcBorders>
              <w:bottom w:val="single" w:sz="12" w:space="0" w:color="000000"/>
              <w:right w:val="single" w:sz="12" w:space="0" w:color="000000"/>
            </w:tcBorders>
            <w:shd w:val="clear" w:color="auto" w:fill="D9D9D9"/>
          </w:tcPr>
          <w:p w14:paraId="43C25E79" w14:textId="77777777" w:rsidR="00D95D78" w:rsidRPr="004E13E9" w:rsidRDefault="00D95D78" w:rsidP="00E62E84">
            <w:pPr>
              <w:rPr>
                <w:rFonts w:eastAsia="Times New Roman" w:cs="Calibri"/>
                <w:sz w:val="16"/>
                <w:szCs w:val="16"/>
              </w:rPr>
            </w:pPr>
            <w:r w:rsidRPr="004E13E9">
              <w:rPr>
                <w:sz w:val="16"/>
              </w:rPr>
              <w:t>0</w:t>
            </w:r>
          </w:p>
        </w:tc>
      </w:tr>
      <w:tr w:rsidR="00D95D78" w:rsidRPr="004E13E9" w14:paraId="68EE2055" w14:textId="77777777" w:rsidTr="00E62E84">
        <w:trPr>
          <w:trHeight w:val="23"/>
          <w:jc w:val="center"/>
        </w:trPr>
        <w:tc>
          <w:tcPr>
            <w:tcW w:w="3371" w:type="dxa"/>
            <w:tcBorders>
              <w:top w:val="single" w:sz="12" w:space="0" w:color="000000"/>
              <w:left w:val="single" w:sz="12" w:space="0" w:color="000000"/>
            </w:tcBorders>
            <w:noWrap/>
            <w:vAlign w:val="center"/>
            <w:hideMark/>
          </w:tcPr>
          <w:p w14:paraId="632F0699" w14:textId="77777777" w:rsidR="00D95D78" w:rsidRPr="004E13E9" w:rsidRDefault="00D95D78" w:rsidP="00E62E84">
            <w:pPr>
              <w:rPr>
                <w:b/>
                <w:sz w:val="16"/>
                <w:lang w:val="fr-FR"/>
              </w:rPr>
            </w:pPr>
            <w:r w:rsidRPr="004E13E9">
              <w:rPr>
                <w:b/>
                <w:sz w:val="16"/>
                <w:lang w:val="fr-FR"/>
              </w:rPr>
              <w:t>Pourcentage alloué aux prises accessoires</w:t>
            </w:r>
          </w:p>
        </w:tc>
        <w:tc>
          <w:tcPr>
            <w:tcW w:w="2388" w:type="dxa"/>
            <w:tcBorders>
              <w:top w:val="single" w:sz="12" w:space="0" w:color="000000"/>
            </w:tcBorders>
            <w:noWrap/>
            <w:vAlign w:val="center"/>
            <w:hideMark/>
          </w:tcPr>
          <w:p w14:paraId="1E1D14F8" w14:textId="77777777" w:rsidR="00D95D78" w:rsidRPr="004E13E9" w:rsidRDefault="00D95D78" w:rsidP="00E62E84">
            <w:pPr>
              <w:jc w:val="right"/>
              <w:rPr>
                <w:sz w:val="16"/>
                <w:lang w:val="fr-FR"/>
              </w:rPr>
            </w:pPr>
            <w:r w:rsidRPr="004E13E9">
              <w:rPr>
                <w:sz w:val="16"/>
                <w:lang w:val="fr-FR"/>
              </w:rPr>
              <w:t> </w:t>
            </w:r>
          </w:p>
        </w:tc>
        <w:tc>
          <w:tcPr>
            <w:tcW w:w="0" w:type="auto"/>
          </w:tcPr>
          <w:p w14:paraId="5CBA2B75" w14:textId="77777777" w:rsidR="00D95D78" w:rsidRPr="004E13E9" w:rsidRDefault="00D95D78" w:rsidP="00E62E84">
            <w:pPr>
              <w:jc w:val="center"/>
              <w:rPr>
                <w:sz w:val="16"/>
                <w:lang w:val="fr-FR"/>
              </w:rPr>
            </w:pPr>
          </w:p>
        </w:tc>
        <w:tc>
          <w:tcPr>
            <w:tcW w:w="0" w:type="auto"/>
            <w:noWrap/>
            <w:vAlign w:val="center"/>
          </w:tcPr>
          <w:p w14:paraId="6D221EA3" w14:textId="77777777" w:rsidR="00D95D78" w:rsidRPr="004E13E9" w:rsidRDefault="00D95D78" w:rsidP="00E62E84">
            <w:pPr>
              <w:jc w:val="center"/>
              <w:rPr>
                <w:sz w:val="16"/>
                <w:lang w:val="fr-FR"/>
              </w:rPr>
            </w:pPr>
          </w:p>
        </w:tc>
        <w:tc>
          <w:tcPr>
            <w:tcW w:w="0" w:type="auto"/>
            <w:vAlign w:val="center"/>
          </w:tcPr>
          <w:p w14:paraId="50FE4C13" w14:textId="77777777" w:rsidR="00D95D78" w:rsidRPr="004E13E9" w:rsidRDefault="00D95D78" w:rsidP="00E62E84">
            <w:pPr>
              <w:jc w:val="center"/>
              <w:rPr>
                <w:sz w:val="16"/>
                <w:lang w:val="fr-FR"/>
              </w:rPr>
            </w:pPr>
          </w:p>
        </w:tc>
        <w:tc>
          <w:tcPr>
            <w:tcW w:w="0" w:type="auto"/>
            <w:vAlign w:val="center"/>
          </w:tcPr>
          <w:p w14:paraId="46B94E4B" w14:textId="77777777" w:rsidR="00D95D78" w:rsidRPr="004E13E9" w:rsidRDefault="00D95D78" w:rsidP="00E62E84">
            <w:pPr>
              <w:jc w:val="center"/>
              <w:rPr>
                <w:sz w:val="16"/>
                <w:lang w:val="fr-FR"/>
              </w:rPr>
            </w:pPr>
          </w:p>
        </w:tc>
        <w:tc>
          <w:tcPr>
            <w:tcW w:w="0" w:type="auto"/>
            <w:vAlign w:val="center"/>
          </w:tcPr>
          <w:p w14:paraId="4DFD6179" w14:textId="77777777" w:rsidR="00D95D78" w:rsidRPr="004E13E9" w:rsidRDefault="00D95D78" w:rsidP="00E62E84">
            <w:pPr>
              <w:jc w:val="center"/>
              <w:rPr>
                <w:sz w:val="16"/>
                <w:lang w:val="fr-FR"/>
              </w:rPr>
            </w:pPr>
          </w:p>
        </w:tc>
        <w:tc>
          <w:tcPr>
            <w:tcW w:w="0" w:type="auto"/>
          </w:tcPr>
          <w:p w14:paraId="0C912AB7" w14:textId="77777777" w:rsidR="00D95D78" w:rsidRPr="004E13E9" w:rsidRDefault="00D95D78" w:rsidP="00E62E84">
            <w:pPr>
              <w:jc w:val="center"/>
              <w:rPr>
                <w:sz w:val="16"/>
                <w:lang w:val="fr-FR"/>
              </w:rPr>
            </w:pPr>
          </w:p>
        </w:tc>
        <w:tc>
          <w:tcPr>
            <w:tcW w:w="0" w:type="auto"/>
          </w:tcPr>
          <w:p w14:paraId="38205418" w14:textId="77777777" w:rsidR="00D95D78" w:rsidRPr="004E13E9" w:rsidRDefault="00D95D78" w:rsidP="00E62E84">
            <w:pPr>
              <w:jc w:val="center"/>
              <w:rPr>
                <w:sz w:val="16"/>
              </w:rPr>
            </w:pPr>
            <w:r w:rsidRPr="004E13E9">
              <w:rPr>
                <w:sz w:val="16"/>
              </w:rPr>
              <w:t>0</w:t>
            </w:r>
          </w:p>
        </w:tc>
        <w:tc>
          <w:tcPr>
            <w:tcW w:w="0" w:type="auto"/>
            <w:tcBorders>
              <w:top w:val="single" w:sz="12" w:space="0" w:color="000000"/>
            </w:tcBorders>
            <w:shd w:val="clear" w:color="000000" w:fill="D9D9D9"/>
            <w:vAlign w:val="center"/>
            <w:hideMark/>
          </w:tcPr>
          <w:p w14:paraId="4B46FD9A" w14:textId="77777777" w:rsidR="00D95D78" w:rsidRPr="004E13E9" w:rsidRDefault="00D95D78" w:rsidP="00E62E84">
            <w:pPr>
              <w:rPr>
                <w:sz w:val="16"/>
              </w:rPr>
            </w:pPr>
            <w:r w:rsidRPr="004E13E9">
              <w:rPr>
                <w:sz w:val="16"/>
              </w:rPr>
              <w:t> </w:t>
            </w:r>
          </w:p>
        </w:tc>
        <w:tc>
          <w:tcPr>
            <w:tcW w:w="0" w:type="auto"/>
          </w:tcPr>
          <w:p w14:paraId="7D7BD176" w14:textId="77777777" w:rsidR="00D95D78" w:rsidRPr="004E13E9" w:rsidRDefault="00D95D78" w:rsidP="00E62E84">
            <w:pPr>
              <w:rPr>
                <w:sz w:val="16"/>
              </w:rPr>
            </w:pPr>
          </w:p>
        </w:tc>
        <w:tc>
          <w:tcPr>
            <w:tcW w:w="0" w:type="auto"/>
            <w:vAlign w:val="center"/>
          </w:tcPr>
          <w:p w14:paraId="121F97E0" w14:textId="77777777" w:rsidR="00D95D78" w:rsidRPr="004E13E9" w:rsidRDefault="00D95D78" w:rsidP="00E62E84">
            <w:pPr>
              <w:rPr>
                <w:sz w:val="16"/>
              </w:rPr>
            </w:pPr>
          </w:p>
        </w:tc>
        <w:tc>
          <w:tcPr>
            <w:tcW w:w="0" w:type="auto"/>
            <w:vAlign w:val="center"/>
          </w:tcPr>
          <w:p w14:paraId="61123787" w14:textId="77777777" w:rsidR="00D95D78" w:rsidRPr="004E13E9" w:rsidRDefault="00D95D78" w:rsidP="00E62E84">
            <w:pPr>
              <w:rPr>
                <w:sz w:val="16"/>
              </w:rPr>
            </w:pPr>
          </w:p>
        </w:tc>
        <w:tc>
          <w:tcPr>
            <w:tcW w:w="0" w:type="auto"/>
            <w:vAlign w:val="center"/>
          </w:tcPr>
          <w:p w14:paraId="12E91701" w14:textId="77777777" w:rsidR="00D95D78" w:rsidRPr="004E13E9" w:rsidRDefault="00D95D78" w:rsidP="00E62E84">
            <w:pPr>
              <w:rPr>
                <w:sz w:val="16"/>
              </w:rPr>
            </w:pPr>
          </w:p>
        </w:tc>
        <w:tc>
          <w:tcPr>
            <w:tcW w:w="0" w:type="auto"/>
            <w:vAlign w:val="center"/>
          </w:tcPr>
          <w:p w14:paraId="1324367E" w14:textId="77777777" w:rsidR="00D95D78" w:rsidRPr="004E13E9" w:rsidRDefault="00D95D78" w:rsidP="00E62E84">
            <w:pPr>
              <w:rPr>
                <w:sz w:val="16"/>
              </w:rPr>
            </w:pPr>
          </w:p>
        </w:tc>
        <w:tc>
          <w:tcPr>
            <w:tcW w:w="0" w:type="auto"/>
          </w:tcPr>
          <w:p w14:paraId="6F4B2AEE" w14:textId="77777777" w:rsidR="00D95D78" w:rsidRPr="004E13E9" w:rsidRDefault="00D95D78" w:rsidP="00E62E84">
            <w:pPr>
              <w:rPr>
                <w:sz w:val="16"/>
              </w:rPr>
            </w:pPr>
          </w:p>
        </w:tc>
        <w:tc>
          <w:tcPr>
            <w:tcW w:w="0" w:type="auto"/>
            <w:tcBorders>
              <w:top w:val="single" w:sz="12" w:space="0" w:color="000000"/>
              <w:right w:val="single" w:sz="12" w:space="0" w:color="000000"/>
            </w:tcBorders>
          </w:tcPr>
          <w:p w14:paraId="31BADE47" w14:textId="77777777" w:rsidR="00D95D78" w:rsidRPr="004E13E9" w:rsidRDefault="00D95D78" w:rsidP="00E62E84">
            <w:pPr>
              <w:rPr>
                <w:sz w:val="16"/>
              </w:rPr>
            </w:pPr>
            <w:r w:rsidRPr="004E13E9">
              <w:rPr>
                <w:sz w:val="16"/>
              </w:rPr>
              <w:t>0</w:t>
            </w:r>
          </w:p>
        </w:tc>
      </w:tr>
      <w:tr w:rsidR="00D95D78" w:rsidRPr="004E13E9" w14:paraId="4ED5CDCA" w14:textId="77777777" w:rsidTr="00E62E84">
        <w:trPr>
          <w:trHeight w:val="23"/>
          <w:jc w:val="center"/>
        </w:trPr>
        <w:tc>
          <w:tcPr>
            <w:tcW w:w="3371" w:type="dxa"/>
            <w:tcBorders>
              <w:left w:val="single" w:sz="12" w:space="0" w:color="000000"/>
            </w:tcBorders>
            <w:noWrap/>
            <w:vAlign w:val="center"/>
          </w:tcPr>
          <w:p w14:paraId="125B5538" w14:textId="77777777" w:rsidR="00D95D78" w:rsidRPr="004E13E9" w:rsidRDefault="00D95D78" w:rsidP="00E62E84">
            <w:pPr>
              <w:rPr>
                <w:rFonts w:eastAsia="Times New Roman" w:cs="Calibri"/>
                <w:b/>
                <w:bCs/>
                <w:sz w:val="16"/>
                <w:szCs w:val="16"/>
              </w:rPr>
            </w:pPr>
            <w:r w:rsidRPr="004E13E9">
              <w:rPr>
                <w:b/>
                <w:sz w:val="16"/>
              </w:rPr>
              <w:t xml:space="preserve">Allocation aux </w:t>
            </w:r>
            <w:proofErr w:type="spellStart"/>
            <w:r w:rsidRPr="004E13E9">
              <w:rPr>
                <w:b/>
                <w:sz w:val="16"/>
              </w:rPr>
              <w:t>prises</w:t>
            </w:r>
            <w:proofErr w:type="spellEnd"/>
            <w:r w:rsidRPr="004E13E9">
              <w:rPr>
                <w:b/>
                <w:sz w:val="16"/>
              </w:rPr>
              <w:t xml:space="preserve"> </w:t>
            </w:r>
            <w:proofErr w:type="spellStart"/>
            <w:r w:rsidRPr="004E13E9">
              <w:rPr>
                <w:b/>
                <w:sz w:val="16"/>
              </w:rPr>
              <w:t>accessoires</w:t>
            </w:r>
            <w:proofErr w:type="spellEnd"/>
          </w:p>
        </w:tc>
        <w:tc>
          <w:tcPr>
            <w:tcW w:w="2388" w:type="dxa"/>
            <w:noWrap/>
            <w:vAlign w:val="center"/>
          </w:tcPr>
          <w:p w14:paraId="54E0EDE1" w14:textId="77777777" w:rsidR="00D95D78" w:rsidRPr="004E13E9" w:rsidRDefault="00D95D78" w:rsidP="00E62E84">
            <w:pPr>
              <w:jc w:val="right"/>
              <w:rPr>
                <w:rFonts w:eastAsia="Times New Roman" w:cs="Calibri"/>
                <w:sz w:val="16"/>
                <w:szCs w:val="16"/>
                <w:lang w:eastAsia="ja-JP"/>
              </w:rPr>
            </w:pPr>
          </w:p>
        </w:tc>
        <w:tc>
          <w:tcPr>
            <w:tcW w:w="0" w:type="auto"/>
          </w:tcPr>
          <w:p w14:paraId="5412B4D7" w14:textId="77777777" w:rsidR="00D95D78" w:rsidRPr="004E13E9" w:rsidRDefault="00D95D78" w:rsidP="00E62E84">
            <w:pPr>
              <w:jc w:val="center"/>
              <w:rPr>
                <w:rFonts w:eastAsia="Times New Roman" w:cs="Calibri"/>
                <w:sz w:val="16"/>
                <w:szCs w:val="16"/>
                <w:lang w:eastAsia="ja-JP"/>
              </w:rPr>
            </w:pPr>
          </w:p>
        </w:tc>
        <w:tc>
          <w:tcPr>
            <w:tcW w:w="0" w:type="auto"/>
            <w:noWrap/>
            <w:vAlign w:val="center"/>
          </w:tcPr>
          <w:p w14:paraId="6CB08FB8" w14:textId="77777777" w:rsidR="00D95D78" w:rsidRPr="004E13E9" w:rsidRDefault="00D95D78" w:rsidP="00E62E84">
            <w:pPr>
              <w:jc w:val="center"/>
              <w:rPr>
                <w:rFonts w:eastAsia="Times New Roman" w:cs="Calibri"/>
                <w:sz w:val="16"/>
                <w:szCs w:val="16"/>
                <w:lang w:eastAsia="ja-JP"/>
              </w:rPr>
            </w:pPr>
          </w:p>
        </w:tc>
        <w:tc>
          <w:tcPr>
            <w:tcW w:w="0" w:type="auto"/>
            <w:vAlign w:val="center"/>
          </w:tcPr>
          <w:p w14:paraId="4C866A19" w14:textId="77777777" w:rsidR="00D95D78" w:rsidRPr="004E13E9" w:rsidRDefault="00D95D78" w:rsidP="00E62E84">
            <w:pPr>
              <w:jc w:val="center"/>
              <w:rPr>
                <w:rFonts w:eastAsia="Times New Roman" w:cs="Calibri"/>
                <w:sz w:val="16"/>
                <w:szCs w:val="16"/>
                <w:lang w:eastAsia="ja-JP"/>
              </w:rPr>
            </w:pPr>
          </w:p>
        </w:tc>
        <w:tc>
          <w:tcPr>
            <w:tcW w:w="0" w:type="auto"/>
            <w:vAlign w:val="center"/>
          </w:tcPr>
          <w:p w14:paraId="5BA11C6B" w14:textId="77777777" w:rsidR="00D95D78" w:rsidRPr="004E13E9" w:rsidRDefault="00D95D78" w:rsidP="00E62E84">
            <w:pPr>
              <w:jc w:val="center"/>
              <w:rPr>
                <w:rFonts w:eastAsia="Times New Roman" w:cs="Calibri"/>
                <w:sz w:val="16"/>
                <w:szCs w:val="16"/>
                <w:lang w:eastAsia="ja-JP"/>
              </w:rPr>
            </w:pPr>
          </w:p>
        </w:tc>
        <w:tc>
          <w:tcPr>
            <w:tcW w:w="0" w:type="auto"/>
            <w:vAlign w:val="center"/>
          </w:tcPr>
          <w:p w14:paraId="4ECC1ED2" w14:textId="77777777" w:rsidR="00D95D78" w:rsidRPr="004E13E9" w:rsidRDefault="00D95D78" w:rsidP="00E62E84">
            <w:pPr>
              <w:jc w:val="center"/>
              <w:rPr>
                <w:rFonts w:eastAsia="Times New Roman" w:cs="Calibri"/>
                <w:sz w:val="16"/>
                <w:szCs w:val="16"/>
                <w:lang w:eastAsia="ja-JP"/>
              </w:rPr>
            </w:pPr>
          </w:p>
        </w:tc>
        <w:tc>
          <w:tcPr>
            <w:tcW w:w="0" w:type="auto"/>
          </w:tcPr>
          <w:p w14:paraId="07C731FD" w14:textId="77777777" w:rsidR="00D95D78" w:rsidRPr="004E13E9" w:rsidRDefault="00D95D78" w:rsidP="00E62E84">
            <w:pPr>
              <w:jc w:val="center"/>
              <w:rPr>
                <w:rFonts w:eastAsia="Times New Roman" w:cs="Calibri"/>
                <w:sz w:val="16"/>
                <w:szCs w:val="16"/>
                <w:lang w:eastAsia="ja-JP"/>
              </w:rPr>
            </w:pPr>
          </w:p>
        </w:tc>
        <w:tc>
          <w:tcPr>
            <w:tcW w:w="0" w:type="auto"/>
          </w:tcPr>
          <w:p w14:paraId="7FD56643" w14:textId="77777777" w:rsidR="00D95D78" w:rsidRPr="004E13E9" w:rsidRDefault="00D95D78" w:rsidP="00E62E84">
            <w:pPr>
              <w:jc w:val="center"/>
              <w:rPr>
                <w:rFonts w:eastAsia="Times New Roman" w:cs="Calibri"/>
                <w:sz w:val="16"/>
                <w:szCs w:val="16"/>
              </w:rPr>
            </w:pPr>
            <w:r w:rsidRPr="004E13E9">
              <w:rPr>
                <w:sz w:val="16"/>
              </w:rPr>
              <w:t>0</w:t>
            </w:r>
          </w:p>
        </w:tc>
        <w:tc>
          <w:tcPr>
            <w:tcW w:w="0" w:type="auto"/>
            <w:shd w:val="clear" w:color="000000" w:fill="D9D9D9"/>
            <w:vAlign w:val="center"/>
          </w:tcPr>
          <w:p w14:paraId="38C110C0" w14:textId="77777777" w:rsidR="00D95D78" w:rsidRPr="004E13E9" w:rsidRDefault="00D95D78" w:rsidP="00E62E84">
            <w:pPr>
              <w:rPr>
                <w:rFonts w:eastAsia="Times New Roman" w:cs="Calibri"/>
                <w:sz w:val="16"/>
                <w:szCs w:val="16"/>
                <w:lang w:eastAsia="ja-JP"/>
              </w:rPr>
            </w:pPr>
          </w:p>
        </w:tc>
        <w:tc>
          <w:tcPr>
            <w:tcW w:w="0" w:type="auto"/>
          </w:tcPr>
          <w:p w14:paraId="61AC6BB1" w14:textId="77777777" w:rsidR="00D95D78" w:rsidRPr="004E13E9" w:rsidRDefault="00D95D78" w:rsidP="00E62E84">
            <w:pPr>
              <w:rPr>
                <w:rFonts w:eastAsia="Times New Roman" w:cs="Calibri"/>
                <w:sz w:val="16"/>
                <w:szCs w:val="16"/>
                <w:lang w:eastAsia="ja-JP"/>
              </w:rPr>
            </w:pPr>
          </w:p>
        </w:tc>
        <w:tc>
          <w:tcPr>
            <w:tcW w:w="0" w:type="auto"/>
            <w:vAlign w:val="center"/>
          </w:tcPr>
          <w:p w14:paraId="2EAC4C41" w14:textId="77777777" w:rsidR="00D95D78" w:rsidRPr="004E13E9" w:rsidRDefault="00D95D78" w:rsidP="00E62E84">
            <w:pPr>
              <w:rPr>
                <w:rFonts w:eastAsia="Times New Roman" w:cs="Calibri"/>
                <w:sz w:val="16"/>
                <w:szCs w:val="16"/>
                <w:lang w:eastAsia="ja-JP"/>
              </w:rPr>
            </w:pPr>
          </w:p>
        </w:tc>
        <w:tc>
          <w:tcPr>
            <w:tcW w:w="0" w:type="auto"/>
            <w:vAlign w:val="center"/>
          </w:tcPr>
          <w:p w14:paraId="22F6231F" w14:textId="77777777" w:rsidR="00D95D78" w:rsidRPr="004E13E9" w:rsidRDefault="00D95D78" w:rsidP="00E62E84">
            <w:pPr>
              <w:rPr>
                <w:rFonts w:eastAsia="Times New Roman" w:cs="Calibri"/>
                <w:sz w:val="16"/>
                <w:szCs w:val="16"/>
                <w:lang w:eastAsia="ja-JP"/>
              </w:rPr>
            </w:pPr>
          </w:p>
        </w:tc>
        <w:tc>
          <w:tcPr>
            <w:tcW w:w="0" w:type="auto"/>
            <w:vAlign w:val="center"/>
          </w:tcPr>
          <w:p w14:paraId="57AE1701" w14:textId="77777777" w:rsidR="00D95D78" w:rsidRPr="004E13E9" w:rsidRDefault="00D95D78" w:rsidP="00E62E84">
            <w:pPr>
              <w:rPr>
                <w:rFonts w:eastAsia="Times New Roman" w:cs="Calibri"/>
                <w:sz w:val="16"/>
                <w:szCs w:val="16"/>
                <w:lang w:eastAsia="ja-JP"/>
              </w:rPr>
            </w:pPr>
          </w:p>
        </w:tc>
        <w:tc>
          <w:tcPr>
            <w:tcW w:w="0" w:type="auto"/>
            <w:vAlign w:val="center"/>
          </w:tcPr>
          <w:p w14:paraId="4CB56AC9" w14:textId="77777777" w:rsidR="00D95D78" w:rsidRPr="004E13E9" w:rsidRDefault="00D95D78" w:rsidP="00E62E84">
            <w:pPr>
              <w:rPr>
                <w:rFonts w:eastAsia="Times New Roman" w:cs="Calibri"/>
                <w:sz w:val="16"/>
                <w:szCs w:val="16"/>
                <w:lang w:eastAsia="ja-JP"/>
              </w:rPr>
            </w:pPr>
          </w:p>
        </w:tc>
        <w:tc>
          <w:tcPr>
            <w:tcW w:w="0" w:type="auto"/>
          </w:tcPr>
          <w:p w14:paraId="66CE90A9" w14:textId="77777777" w:rsidR="00D95D78" w:rsidRPr="004E13E9" w:rsidRDefault="00D95D78" w:rsidP="00E62E84">
            <w:pPr>
              <w:rPr>
                <w:rFonts w:eastAsia="Times New Roman" w:cs="Calibri"/>
                <w:sz w:val="16"/>
                <w:szCs w:val="16"/>
                <w:lang w:eastAsia="ja-JP"/>
              </w:rPr>
            </w:pPr>
          </w:p>
        </w:tc>
        <w:tc>
          <w:tcPr>
            <w:tcW w:w="0" w:type="auto"/>
            <w:tcBorders>
              <w:right w:val="single" w:sz="12" w:space="0" w:color="000000"/>
            </w:tcBorders>
          </w:tcPr>
          <w:p w14:paraId="1D9095F6" w14:textId="77777777" w:rsidR="00D95D78" w:rsidRPr="004E13E9" w:rsidRDefault="00D95D78" w:rsidP="00E62E84">
            <w:pPr>
              <w:rPr>
                <w:rFonts w:eastAsia="Times New Roman" w:cs="Calibri"/>
                <w:sz w:val="16"/>
                <w:szCs w:val="16"/>
              </w:rPr>
            </w:pPr>
            <w:r w:rsidRPr="004E13E9">
              <w:rPr>
                <w:sz w:val="16"/>
              </w:rPr>
              <w:t>0</w:t>
            </w:r>
          </w:p>
        </w:tc>
      </w:tr>
      <w:tr w:rsidR="00D95D78" w:rsidRPr="004E13E9" w14:paraId="0D4BFE0D" w14:textId="77777777" w:rsidTr="00E62E84">
        <w:trPr>
          <w:trHeight w:val="23"/>
          <w:jc w:val="center"/>
        </w:trPr>
        <w:tc>
          <w:tcPr>
            <w:tcW w:w="3371" w:type="dxa"/>
            <w:tcBorders>
              <w:left w:val="single" w:sz="12" w:space="0" w:color="000000"/>
            </w:tcBorders>
            <w:vAlign w:val="center"/>
          </w:tcPr>
          <w:p w14:paraId="7B44ACE6" w14:textId="77777777" w:rsidR="00D95D78" w:rsidRPr="004E13E9" w:rsidRDefault="00D95D78" w:rsidP="00E62E84">
            <w:pPr>
              <w:rPr>
                <w:b/>
                <w:sz w:val="16"/>
                <w:lang w:val="fr-FR"/>
              </w:rPr>
            </w:pPr>
            <w:r w:rsidRPr="004E13E9">
              <w:rPr>
                <w:b/>
                <w:sz w:val="16"/>
                <w:lang w:val="fr-FR"/>
              </w:rPr>
              <w:t>Quota de recherche scientifique (le cas échéant)</w:t>
            </w:r>
          </w:p>
        </w:tc>
        <w:tc>
          <w:tcPr>
            <w:tcW w:w="2388" w:type="dxa"/>
            <w:noWrap/>
            <w:vAlign w:val="center"/>
          </w:tcPr>
          <w:p w14:paraId="14A9F0B0" w14:textId="77777777" w:rsidR="00D95D78" w:rsidRPr="004E13E9" w:rsidRDefault="00D95D78" w:rsidP="00E62E84">
            <w:pPr>
              <w:jc w:val="right"/>
              <w:rPr>
                <w:b/>
                <w:sz w:val="16"/>
                <w:lang w:val="fr-FR"/>
              </w:rPr>
            </w:pPr>
          </w:p>
        </w:tc>
        <w:tc>
          <w:tcPr>
            <w:tcW w:w="0" w:type="auto"/>
          </w:tcPr>
          <w:p w14:paraId="56835099" w14:textId="77777777" w:rsidR="00D95D78" w:rsidRPr="004E13E9" w:rsidRDefault="00D95D78" w:rsidP="00E62E84">
            <w:pPr>
              <w:jc w:val="center"/>
              <w:rPr>
                <w:b/>
                <w:sz w:val="16"/>
                <w:lang w:val="fr-FR"/>
              </w:rPr>
            </w:pPr>
          </w:p>
        </w:tc>
        <w:tc>
          <w:tcPr>
            <w:tcW w:w="0" w:type="auto"/>
            <w:noWrap/>
          </w:tcPr>
          <w:p w14:paraId="06B7F46C" w14:textId="77777777" w:rsidR="00D95D78" w:rsidRPr="004E13E9" w:rsidRDefault="00D95D78" w:rsidP="00E62E84">
            <w:pPr>
              <w:jc w:val="center"/>
              <w:rPr>
                <w:b/>
                <w:sz w:val="16"/>
                <w:lang w:val="fr-FR"/>
              </w:rPr>
            </w:pPr>
          </w:p>
        </w:tc>
        <w:tc>
          <w:tcPr>
            <w:tcW w:w="0" w:type="auto"/>
          </w:tcPr>
          <w:p w14:paraId="5A2889DB" w14:textId="77777777" w:rsidR="00D95D78" w:rsidRPr="004E13E9" w:rsidRDefault="00D95D78" w:rsidP="00E62E84">
            <w:pPr>
              <w:jc w:val="center"/>
              <w:rPr>
                <w:b/>
                <w:sz w:val="16"/>
                <w:lang w:val="fr-FR"/>
              </w:rPr>
            </w:pPr>
          </w:p>
        </w:tc>
        <w:tc>
          <w:tcPr>
            <w:tcW w:w="0" w:type="auto"/>
          </w:tcPr>
          <w:p w14:paraId="603D805B" w14:textId="77777777" w:rsidR="00D95D78" w:rsidRPr="004E13E9" w:rsidRDefault="00D95D78" w:rsidP="00E62E84">
            <w:pPr>
              <w:jc w:val="center"/>
              <w:rPr>
                <w:b/>
                <w:sz w:val="16"/>
                <w:lang w:val="fr-FR"/>
              </w:rPr>
            </w:pPr>
          </w:p>
        </w:tc>
        <w:tc>
          <w:tcPr>
            <w:tcW w:w="0" w:type="auto"/>
          </w:tcPr>
          <w:p w14:paraId="32720F2E" w14:textId="77777777" w:rsidR="00D95D78" w:rsidRPr="004E13E9" w:rsidRDefault="00D95D78" w:rsidP="00E62E84">
            <w:pPr>
              <w:jc w:val="center"/>
              <w:rPr>
                <w:b/>
                <w:sz w:val="16"/>
                <w:lang w:val="fr-FR"/>
              </w:rPr>
            </w:pPr>
          </w:p>
        </w:tc>
        <w:tc>
          <w:tcPr>
            <w:tcW w:w="0" w:type="auto"/>
          </w:tcPr>
          <w:p w14:paraId="5CBD35AB" w14:textId="77777777" w:rsidR="00D95D78" w:rsidRPr="004E13E9" w:rsidRDefault="00D95D78" w:rsidP="00E62E84">
            <w:pPr>
              <w:jc w:val="center"/>
              <w:rPr>
                <w:b/>
                <w:sz w:val="16"/>
                <w:lang w:val="fr-FR"/>
              </w:rPr>
            </w:pPr>
          </w:p>
        </w:tc>
        <w:tc>
          <w:tcPr>
            <w:tcW w:w="0" w:type="auto"/>
          </w:tcPr>
          <w:p w14:paraId="61C0D8C8" w14:textId="77777777" w:rsidR="00D95D78" w:rsidRPr="004E13E9" w:rsidRDefault="00D95D78" w:rsidP="00E62E84">
            <w:pPr>
              <w:jc w:val="center"/>
              <w:rPr>
                <w:sz w:val="16"/>
              </w:rPr>
            </w:pPr>
            <w:r w:rsidRPr="004E13E9">
              <w:rPr>
                <w:sz w:val="16"/>
              </w:rPr>
              <w:t>0</w:t>
            </w:r>
          </w:p>
        </w:tc>
        <w:tc>
          <w:tcPr>
            <w:tcW w:w="0" w:type="auto"/>
            <w:shd w:val="clear" w:color="000000" w:fill="D9D9D9"/>
            <w:vAlign w:val="center"/>
          </w:tcPr>
          <w:p w14:paraId="3E494D91" w14:textId="77777777" w:rsidR="00D95D78" w:rsidRPr="004E13E9" w:rsidRDefault="00D95D78" w:rsidP="00E62E84">
            <w:pPr>
              <w:rPr>
                <w:b/>
                <w:sz w:val="16"/>
              </w:rPr>
            </w:pPr>
          </w:p>
        </w:tc>
        <w:tc>
          <w:tcPr>
            <w:tcW w:w="0" w:type="auto"/>
          </w:tcPr>
          <w:p w14:paraId="1D319682" w14:textId="77777777" w:rsidR="00D95D78" w:rsidRPr="004E13E9" w:rsidRDefault="00D95D78" w:rsidP="00E62E84">
            <w:pPr>
              <w:rPr>
                <w:b/>
                <w:sz w:val="16"/>
              </w:rPr>
            </w:pPr>
          </w:p>
        </w:tc>
        <w:tc>
          <w:tcPr>
            <w:tcW w:w="0" w:type="auto"/>
          </w:tcPr>
          <w:p w14:paraId="1267C31C" w14:textId="77777777" w:rsidR="00D95D78" w:rsidRPr="004E13E9" w:rsidRDefault="00D95D78" w:rsidP="00E62E84">
            <w:pPr>
              <w:rPr>
                <w:b/>
                <w:sz w:val="16"/>
              </w:rPr>
            </w:pPr>
          </w:p>
        </w:tc>
        <w:tc>
          <w:tcPr>
            <w:tcW w:w="0" w:type="auto"/>
          </w:tcPr>
          <w:p w14:paraId="31B4C065" w14:textId="77777777" w:rsidR="00D95D78" w:rsidRPr="004E13E9" w:rsidRDefault="00D95D78" w:rsidP="00E62E84">
            <w:pPr>
              <w:rPr>
                <w:b/>
                <w:sz w:val="16"/>
              </w:rPr>
            </w:pPr>
          </w:p>
        </w:tc>
        <w:tc>
          <w:tcPr>
            <w:tcW w:w="0" w:type="auto"/>
            <w:noWrap/>
          </w:tcPr>
          <w:p w14:paraId="7E45B782" w14:textId="77777777" w:rsidR="00D95D78" w:rsidRPr="004E13E9" w:rsidRDefault="00D95D78" w:rsidP="00E62E84">
            <w:pPr>
              <w:rPr>
                <w:b/>
                <w:sz w:val="16"/>
              </w:rPr>
            </w:pPr>
          </w:p>
        </w:tc>
        <w:tc>
          <w:tcPr>
            <w:tcW w:w="0" w:type="auto"/>
            <w:noWrap/>
          </w:tcPr>
          <w:p w14:paraId="539DE7BE" w14:textId="77777777" w:rsidR="00D95D78" w:rsidRPr="004E13E9" w:rsidRDefault="00D95D78" w:rsidP="00E62E84">
            <w:pPr>
              <w:rPr>
                <w:b/>
                <w:sz w:val="16"/>
              </w:rPr>
            </w:pPr>
          </w:p>
        </w:tc>
        <w:tc>
          <w:tcPr>
            <w:tcW w:w="0" w:type="auto"/>
            <w:noWrap/>
          </w:tcPr>
          <w:p w14:paraId="6BD0450E" w14:textId="77777777" w:rsidR="00D95D78" w:rsidRPr="004E13E9" w:rsidRDefault="00D95D78" w:rsidP="00E62E84">
            <w:pPr>
              <w:rPr>
                <w:b/>
                <w:sz w:val="16"/>
              </w:rPr>
            </w:pPr>
          </w:p>
        </w:tc>
        <w:tc>
          <w:tcPr>
            <w:tcW w:w="0" w:type="auto"/>
            <w:tcBorders>
              <w:right w:val="single" w:sz="12" w:space="0" w:color="000000"/>
            </w:tcBorders>
          </w:tcPr>
          <w:p w14:paraId="2FF60C8B" w14:textId="77777777" w:rsidR="00D95D78" w:rsidRPr="004E13E9" w:rsidRDefault="00D95D78" w:rsidP="00E62E84">
            <w:pPr>
              <w:rPr>
                <w:sz w:val="16"/>
              </w:rPr>
            </w:pPr>
            <w:r w:rsidRPr="004E13E9">
              <w:rPr>
                <w:sz w:val="16"/>
              </w:rPr>
              <w:t>0</w:t>
            </w:r>
          </w:p>
        </w:tc>
      </w:tr>
      <w:tr w:rsidR="00D95D78" w:rsidRPr="004E13E9" w14:paraId="34C1DD40" w14:textId="77777777" w:rsidTr="00E62E84">
        <w:trPr>
          <w:trHeight w:val="23"/>
          <w:jc w:val="center"/>
        </w:trPr>
        <w:tc>
          <w:tcPr>
            <w:tcW w:w="3371" w:type="dxa"/>
            <w:tcBorders>
              <w:left w:val="single" w:sz="12" w:space="0" w:color="000000"/>
            </w:tcBorders>
            <w:vAlign w:val="center"/>
          </w:tcPr>
          <w:p w14:paraId="375DEC20" w14:textId="77777777" w:rsidR="00D95D78" w:rsidRPr="004E13E9" w:rsidRDefault="00D95D78" w:rsidP="00E62E84">
            <w:pPr>
              <w:rPr>
                <w:b/>
                <w:sz w:val="16"/>
                <w:lang w:val="fr-FR"/>
              </w:rPr>
            </w:pPr>
            <w:r w:rsidRPr="004E13E9">
              <w:rPr>
                <w:b/>
                <w:sz w:val="16"/>
                <w:lang w:val="fr-FR"/>
              </w:rPr>
              <w:t>Tolérance pour la pêche sportive/récréative (le cas échéant)</w:t>
            </w:r>
          </w:p>
        </w:tc>
        <w:tc>
          <w:tcPr>
            <w:tcW w:w="2388" w:type="dxa"/>
            <w:noWrap/>
            <w:vAlign w:val="center"/>
          </w:tcPr>
          <w:p w14:paraId="29385255" w14:textId="77777777" w:rsidR="00D95D78" w:rsidRPr="004E13E9" w:rsidRDefault="00D95D78" w:rsidP="00E62E84">
            <w:pPr>
              <w:jc w:val="right"/>
              <w:rPr>
                <w:b/>
                <w:sz w:val="16"/>
                <w:lang w:val="fr-FR"/>
              </w:rPr>
            </w:pPr>
          </w:p>
        </w:tc>
        <w:tc>
          <w:tcPr>
            <w:tcW w:w="0" w:type="auto"/>
          </w:tcPr>
          <w:p w14:paraId="70BB3E06" w14:textId="77777777" w:rsidR="00D95D78" w:rsidRPr="004E13E9" w:rsidRDefault="00D95D78" w:rsidP="00E62E84">
            <w:pPr>
              <w:jc w:val="center"/>
              <w:rPr>
                <w:b/>
                <w:sz w:val="16"/>
                <w:lang w:val="fr-FR"/>
              </w:rPr>
            </w:pPr>
          </w:p>
        </w:tc>
        <w:tc>
          <w:tcPr>
            <w:tcW w:w="0" w:type="auto"/>
            <w:noWrap/>
          </w:tcPr>
          <w:p w14:paraId="5A476064" w14:textId="77777777" w:rsidR="00D95D78" w:rsidRPr="004E13E9" w:rsidRDefault="00D95D78" w:rsidP="00E62E84">
            <w:pPr>
              <w:jc w:val="center"/>
              <w:rPr>
                <w:b/>
                <w:sz w:val="16"/>
                <w:lang w:val="fr-FR"/>
              </w:rPr>
            </w:pPr>
          </w:p>
        </w:tc>
        <w:tc>
          <w:tcPr>
            <w:tcW w:w="0" w:type="auto"/>
          </w:tcPr>
          <w:p w14:paraId="7F49D209" w14:textId="77777777" w:rsidR="00D95D78" w:rsidRPr="004E13E9" w:rsidRDefault="00D95D78" w:rsidP="00E62E84">
            <w:pPr>
              <w:jc w:val="center"/>
              <w:rPr>
                <w:b/>
                <w:sz w:val="16"/>
                <w:lang w:val="fr-FR"/>
              </w:rPr>
            </w:pPr>
          </w:p>
        </w:tc>
        <w:tc>
          <w:tcPr>
            <w:tcW w:w="0" w:type="auto"/>
          </w:tcPr>
          <w:p w14:paraId="4E0BB12F" w14:textId="77777777" w:rsidR="00D95D78" w:rsidRPr="004E13E9" w:rsidRDefault="00D95D78" w:rsidP="00E62E84">
            <w:pPr>
              <w:jc w:val="center"/>
              <w:rPr>
                <w:b/>
                <w:sz w:val="16"/>
                <w:lang w:val="fr-FR"/>
              </w:rPr>
            </w:pPr>
          </w:p>
        </w:tc>
        <w:tc>
          <w:tcPr>
            <w:tcW w:w="0" w:type="auto"/>
          </w:tcPr>
          <w:p w14:paraId="3199331D" w14:textId="77777777" w:rsidR="00D95D78" w:rsidRPr="004E13E9" w:rsidRDefault="00D95D78" w:rsidP="00E62E84">
            <w:pPr>
              <w:jc w:val="center"/>
              <w:rPr>
                <w:b/>
                <w:sz w:val="16"/>
                <w:lang w:val="fr-FR"/>
              </w:rPr>
            </w:pPr>
          </w:p>
        </w:tc>
        <w:tc>
          <w:tcPr>
            <w:tcW w:w="0" w:type="auto"/>
          </w:tcPr>
          <w:p w14:paraId="5D4AAD9C" w14:textId="77777777" w:rsidR="00D95D78" w:rsidRPr="004E13E9" w:rsidRDefault="00D95D78" w:rsidP="00E62E84">
            <w:pPr>
              <w:jc w:val="center"/>
              <w:rPr>
                <w:b/>
                <w:sz w:val="16"/>
                <w:lang w:val="fr-FR"/>
              </w:rPr>
            </w:pPr>
          </w:p>
        </w:tc>
        <w:tc>
          <w:tcPr>
            <w:tcW w:w="0" w:type="auto"/>
          </w:tcPr>
          <w:p w14:paraId="14F31DDB" w14:textId="77777777" w:rsidR="00D95D78" w:rsidRPr="004E13E9" w:rsidRDefault="00D95D78" w:rsidP="00E62E84">
            <w:pPr>
              <w:jc w:val="center"/>
              <w:rPr>
                <w:sz w:val="16"/>
              </w:rPr>
            </w:pPr>
            <w:r w:rsidRPr="004E13E9">
              <w:rPr>
                <w:sz w:val="16"/>
              </w:rPr>
              <w:t>0</w:t>
            </w:r>
          </w:p>
        </w:tc>
        <w:tc>
          <w:tcPr>
            <w:tcW w:w="0" w:type="auto"/>
            <w:shd w:val="clear" w:color="000000" w:fill="D9D9D9"/>
            <w:vAlign w:val="center"/>
          </w:tcPr>
          <w:p w14:paraId="4DCD086A" w14:textId="77777777" w:rsidR="00D95D78" w:rsidRPr="004E13E9" w:rsidRDefault="00D95D78" w:rsidP="00E62E84">
            <w:pPr>
              <w:rPr>
                <w:b/>
                <w:sz w:val="16"/>
              </w:rPr>
            </w:pPr>
          </w:p>
        </w:tc>
        <w:tc>
          <w:tcPr>
            <w:tcW w:w="0" w:type="auto"/>
          </w:tcPr>
          <w:p w14:paraId="4DC8AAA4" w14:textId="77777777" w:rsidR="00D95D78" w:rsidRPr="004E13E9" w:rsidRDefault="00D95D78" w:rsidP="00E62E84">
            <w:pPr>
              <w:rPr>
                <w:b/>
                <w:sz w:val="16"/>
              </w:rPr>
            </w:pPr>
          </w:p>
        </w:tc>
        <w:tc>
          <w:tcPr>
            <w:tcW w:w="0" w:type="auto"/>
          </w:tcPr>
          <w:p w14:paraId="26473124" w14:textId="77777777" w:rsidR="00D95D78" w:rsidRPr="004E13E9" w:rsidRDefault="00D95D78" w:rsidP="00E62E84">
            <w:pPr>
              <w:rPr>
                <w:b/>
                <w:sz w:val="16"/>
              </w:rPr>
            </w:pPr>
          </w:p>
        </w:tc>
        <w:tc>
          <w:tcPr>
            <w:tcW w:w="0" w:type="auto"/>
          </w:tcPr>
          <w:p w14:paraId="14350A92" w14:textId="77777777" w:rsidR="00D95D78" w:rsidRPr="004E13E9" w:rsidRDefault="00D95D78" w:rsidP="00E62E84">
            <w:pPr>
              <w:rPr>
                <w:b/>
                <w:sz w:val="16"/>
              </w:rPr>
            </w:pPr>
          </w:p>
        </w:tc>
        <w:tc>
          <w:tcPr>
            <w:tcW w:w="0" w:type="auto"/>
            <w:noWrap/>
          </w:tcPr>
          <w:p w14:paraId="51E34A5F" w14:textId="77777777" w:rsidR="00D95D78" w:rsidRPr="004E13E9" w:rsidRDefault="00D95D78" w:rsidP="00E62E84">
            <w:pPr>
              <w:rPr>
                <w:b/>
                <w:sz w:val="16"/>
              </w:rPr>
            </w:pPr>
          </w:p>
        </w:tc>
        <w:tc>
          <w:tcPr>
            <w:tcW w:w="0" w:type="auto"/>
            <w:noWrap/>
          </w:tcPr>
          <w:p w14:paraId="17A8F55B" w14:textId="77777777" w:rsidR="00D95D78" w:rsidRPr="004E13E9" w:rsidRDefault="00D95D78" w:rsidP="00E62E84">
            <w:pPr>
              <w:rPr>
                <w:b/>
                <w:sz w:val="16"/>
              </w:rPr>
            </w:pPr>
          </w:p>
        </w:tc>
        <w:tc>
          <w:tcPr>
            <w:tcW w:w="0" w:type="auto"/>
            <w:noWrap/>
          </w:tcPr>
          <w:p w14:paraId="47D96B8A" w14:textId="77777777" w:rsidR="00D95D78" w:rsidRPr="004E13E9" w:rsidRDefault="00D95D78" w:rsidP="00E62E84">
            <w:pPr>
              <w:rPr>
                <w:b/>
                <w:sz w:val="16"/>
              </w:rPr>
            </w:pPr>
          </w:p>
        </w:tc>
        <w:tc>
          <w:tcPr>
            <w:tcW w:w="0" w:type="auto"/>
            <w:tcBorders>
              <w:right w:val="single" w:sz="12" w:space="0" w:color="000000"/>
            </w:tcBorders>
          </w:tcPr>
          <w:p w14:paraId="7AFF71E8" w14:textId="77777777" w:rsidR="00D95D78" w:rsidRPr="004E13E9" w:rsidRDefault="00D95D78" w:rsidP="00E62E84">
            <w:pPr>
              <w:rPr>
                <w:sz w:val="16"/>
              </w:rPr>
            </w:pPr>
            <w:r w:rsidRPr="004E13E9">
              <w:rPr>
                <w:sz w:val="16"/>
              </w:rPr>
              <w:t>0</w:t>
            </w:r>
          </w:p>
        </w:tc>
      </w:tr>
      <w:tr w:rsidR="00D95D78" w:rsidRPr="004E13E9" w14:paraId="6B13A9B4" w14:textId="77777777" w:rsidTr="00E62E84">
        <w:trPr>
          <w:trHeight w:val="23"/>
          <w:jc w:val="center"/>
        </w:trPr>
        <w:tc>
          <w:tcPr>
            <w:tcW w:w="3371" w:type="dxa"/>
            <w:tcBorders>
              <w:left w:val="single" w:sz="12" w:space="0" w:color="000000"/>
              <w:bottom w:val="single" w:sz="12" w:space="0" w:color="000000"/>
            </w:tcBorders>
            <w:vAlign w:val="center"/>
          </w:tcPr>
          <w:p w14:paraId="0C519F6B" w14:textId="77777777" w:rsidR="00D95D78" w:rsidRPr="004E13E9" w:rsidRDefault="00D95D78" w:rsidP="00E62E84">
            <w:pPr>
              <w:rPr>
                <w:rFonts w:eastAsia="Times New Roman" w:cs="Calibri"/>
                <w:b/>
                <w:bCs/>
                <w:sz w:val="16"/>
                <w:szCs w:val="16"/>
              </w:rPr>
            </w:pPr>
            <w:r w:rsidRPr="004E13E9">
              <w:rPr>
                <w:b/>
                <w:sz w:val="16"/>
              </w:rPr>
              <w:t>Quota disponible</w:t>
            </w:r>
          </w:p>
        </w:tc>
        <w:tc>
          <w:tcPr>
            <w:tcW w:w="2388" w:type="dxa"/>
            <w:tcBorders>
              <w:bottom w:val="single" w:sz="12" w:space="0" w:color="000000"/>
            </w:tcBorders>
            <w:noWrap/>
            <w:vAlign w:val="center"/>
          </w:tcPr>
          <w:p w14:paraId="325D8412" w14:textId="77777777" w:rsidR="00D95D78" w:rsidRPr="004E13E9" w:rsidRDefault="00D95D78" w:rsidP="00E62E84">
            <w:pPr>
              <w:jc w:val="right"/>
              <w:rPr>
                <w:rFonts w:eastAsia="Times New Roman" w:cs="Calibri"/>
                <w:b/>
                <w:bCs/>
                <w:sz w:val="16"/>
                <w:szCs w:val="16"/>
                <w:lang w:eastAsia="ja-JP"/>
              </w:rPr>
            </w:pPr>
          </w:p>
        </w:tc>
        <w:tc>
          <w:tcPr>
            <w:tcW w:w="0" w:type="auto"/>
            <w:tcBorders>
              <w:bottom w:val="single" w:sz="12" w:space="0" w:color="000000"/>
            </w:tcBorders>
          </w:tcPr>
          <w:p w14:paraId="48A062DB" w14:textId="77777777" w:rsidR="00D95D78" w:rsidRPr="004E13E9" w:rsidRDefault="00D95D78" w:rsidP="00E62E84">
            <w:pPr>
              <w:jc w:val="center"/>
              <w:rPr>
                <w:rFonts w:eastAsia="Times New Roman" w:cs="Calibri"/>
                <w:bCs/>
                <w:sz w:val="16"/>
                <w:szCs w:val="16"/>
                <w:lang w:eastAsia="ja-JP"/>
              </w:rPr>
            </w:pPr>
          </w:p>
        </w:tc>
        <w:tc>
          <w:tcPr>
            <w:tcW w:w="0" w:type="auto"/>
            <w:tcBorders>
              <w:bottom w:val="single" w:sz="12" w:space="0" w:color="000000"/>
            </w:tcBorders>
            <w:noWrap/>
            <w:vAlign w:val="center"/>
          </w:tcPr>
          <w:p w14:paraId="4BFD4DDD" w14:textId="77777777" w:rsidR="00D95D78" w:rsidRPr="004E13E9" w:rsidRDefault="00D95D78" w:rsidP="00E62E84">
            <w:pPr>
              <w:jc w:val="center"/>
              <w:rPr>
                <w:rFonts w:eastAsia="Times New Roman" w:cs="Calibri"/>
                <w:bCs/>
                <w:sz w:val="16"/>
                <w:szCs w:val="16"/>
                <w:lang w:eastAsia="ja-JP"/>
              </w:rPr>
            </w:pPr>
          </w:p>
        </w:tc>
        <w:tc>
          <w:tcPr>
            <w:tcW w:w="0" w:type="auto"/>
            <w:tcBorders>
              <w:bottom w:val="single" w:sz="12" w:space="0" w:color="000000"/>
            </w:tcBorders>
            <w:vAlign w:val="center"/>
          </w:tcPr>
          <w:p w14:paraId="4FA0FD1D" w14:textId="77777777" w:rsidR="00D95D78" w:rsidRPr="004E13E9" w:rsidRDefault="00D95D78" w:rsidP="00E62E84">
            <w:pPr>
              <w:jc w:val="center"/>
              <w:rPr>
                <w:rFonts w:eastAsia="Times New Roman" w:cs="Calibri"/>
                <w:bCs/>
                <w:sz w:val="16"/>
                <w:szCs w:val="16"/>
                <w:lang w:eastAsia="ja-JP"/>
              </w:rPr>
            </w:pPr>
          </w:p>
        </w:tc>
        <w:tc>
          <w:tcPr>
            <w:tcW w:w="0" w:type="auto"/>
            <w:tcBorders>
              <w:bottom w:val="single" w:sz="12" w:space="0" w:color="000000"/>
            </w:tcBorders>
            <w:vAlign w:val="center"/>
          </w:tcPr>
          <w:p w14:paraId="6E1B159A" w14:textId="77777777" w:rsidR="00D95D78" w:rsidRPr="004E13E9" w:rsidRDefault="00D95D78" w:rsidP="00E62E84">
            <w:pPr>
              <w:jc w:val="center"/>
              <w:rPr>
                <w:rFonts w:eastAsia="Times New Roman" w:cs="Calibri"/>
                <w:bCs/>
                <w:sz w:val="16"/>
                <w:szCs w:val="16"/>
                <w:lang w:eastAsia="ja-JP"/>
              </w:rPr>
            </w:pPr>
          </w:p>
        </w:tc>
        <w:tc>
          <w:tcPr>
            <w:tcW w:w="0" w:type="auto"/>
            <w:tcBorders>
              <w:bottom w:val="single" w:sz="12" w:space="0" w:color="000000"/>
            </w:tcBorders>
            <w:vAlign w:val="center"/>
          </w:tcPr>
          <w:p w14:paraId="2018AD82" w14:textId="77777777" w:rsidR="00D95D78" w:rsidRPr="004E13E9" w:rsidRDefault="00D95D78" w:rsidP="00E62E84">
            <w:pPr>
              <w:jc w:val="center"/>
              <w:rPr>
                <w:rFonts w:eastAsia="Times New Roman" w:cs="Calibri"/>
                <w:bCs/>
                <w:sz w:val="16"/>
                <w:szCs w:val="16"/>
                <w:lang w:eastAsia="ja-JP"/>
              </w:rPr>
            </w:pPr>
          </w:p>
        </w:tc>
        <w:tc>
          <w:tcPr>
            <w:tcW w:w="0" w:type="auto"/>
            <w:tcBorders>
              <w:bottom w:val="single" w:sz="12" w:space="0" w:color="000000"/>
            </w:tcBorders>
          </w:tcPr>
          <w:p w14:paraId="6DC511BD" w14:textId="77777777" w:rsidR="00D95D78" w:rsidRPr="004E13E9" w:rsidRDefault="00D95D78" w:rsidP="00E62E84">
            <w:pPr>
              <w:jc w:val="center"/>
              <w:rPr>
                <w:rFonts w:eastAsia="Times New Roman" w:cs="Calibri"/>
                <w:bCs/>
                <w:sz w:val="16"/>
                <w:szCs w:val="16"/>
                <w:lang w:eastAsia="ja-JP"/>
              </w:rPr>
            </w:pPr>
          </w:p>
        </w:tc>
        <w:tc>
          <w:tcPr>
            <w:tcW w:w="0" w:type="auto"/>
            <w:tcBorders>
              <w:bottom w:val="single" w:sz="12" w:space="0" w:color="000000"/>
            </w:tcBorders>
          </w:tcPr>
          <w:p w14:paraId="3C4684BC" w14:textId="77777777" w:rsidR="00D95D78" w:rsidRPr="004E13E9" w:rsidRDefault="00D95D78" w:rsidP="00E62E84">
            <w:pPr>
              <w:jc w:val="center"/>
              <w:rPr>
                <w:rFonts w:eastAsia="Times New Roman" w:cs="Calibri"/>
                <w:sz w:val="16"/>
                <w:szCs w:val="16"/>
              </w:rPr>
            </w:pPr>
            <w:r w:rsidRPr="004E13E9">
              <w:rPr>
                <w:sz w:val="16"/>
              </w:rPr>
              <w:t>0</w:t>
            </w:r>
          </w:p>
        </w:tc>
        <w:tc>
          <w:tcPr>
            <w:tcW w:w="0" w:type="auto"/>
            <w:tcBorders>
              <w:bottom w:val="single" w:sz="12" w:space="0" w:color="000000"/>
            </w:tcBorders>
            <w:shd w:val="clear" w:color="000000" w:fill="D9D9D9"/>
            <w:vAlign w:val="center"/>
          </w:tcPr>
          <w:p w14:paraId="785EEA8C" w14:textId="77777777" w:rsidR="00D95D78" w:rsidRPr="004E13E9" w:rsidRDefault="00D95D78" w:rsidP="00E62E84">
            <w:pPr>
              <w:rPr>
                <w:rFonts w:eastAsia="Times New Roman" w:cs="Calibri"/>
                <w:b/>
                <w:bCs/>
                <w:sz w:val="16"/>
                <w:szCs w:val="16"/>
                <w:lang w:eastAsia="ja-JP"/>
              </w:rPr>
            </w:pPr>
          </w:p>
        </w:tc>
        <w:tc>
          <w:tcPr>
            <w:tcW w:w="0" w:type="auto"/>
            <w:tcBorders>
              <w:bottom w:val="single" w:sz="12" w:space="0" w:color="000000"/>
            </w:tcBorders>
          </w:tcPr>
          <w:p w14:paraId="6C58FD49" w14:textId="77777777" w:rsidR="00D95D78" w:rsidRPr="004E13E9" w:rsidRDefault="00D95D78" w:rsidP="00E62E84">
            <w:pPr>
              <w:rPr>
                <w:rFonts w:eastAsia="Times New Roman" w:cs="Calibri"/>
                <w:b/>
                <w:bCs/>
                <w:sz w:val="16"/>
                <w:szCs w:val="16"/>
                <w:lang w:eastAsia="ja-JP"/>
              </w:rPr>
            </w:pPr>
          </w:p>
        </w:tc>
        <w:tc>
          <w:tcPr>
            <w:tcW w:w="0" w:type="auto"/>
            <w:tcBorders>
              <w:bottom w:val="single" w:sz="12" w:space="0" w:color="000000"/>
            </w:tcBorders>
            <w:vAlign w:val="center"/>
          </w:tcPr>
          <w:p w14:paraId="2CF9C03F" w14:textId="77777777" w:rsidR="00D95D78" w:rsidRPr="004E13E9" w:rsidRDefault="00D95D78" w:rsidP="00E62E84">
            <w:pPr>
              <w:rPr>
                <w:rFonts w:eastAsia="Times New Roman" w:cs="Calibri"/>
                <w:b/>
                <w:bCs/>
                <w:sz w:val="16"/>
                <w:szCs w:val="16"/>
                <w:lang w:eastAsia="ja-JP"/>
              </w:rPr>
            </w:pPr>
          </w:p>
        </w:tc>
        <w:tc>
          <w:tcPr>
            <w:tcW w:w="0" w:type="auto"/>
            <w:tcBorders>
              <w:bottom w:val="single" w:sz="12" w:space="0" w:color="000000"/>
            </w:tcBorders>
            <w:vAlign w:val="center"/>
          </w:tcPr>
          <w:p w14:paraId="04510BEE" w14:textId="77777777" w:rsidR="00D95D78" w:rsidRPr="004E13E9" w:rsidRDefault="00D95D78" w:rsidP="00E62E84">
            <w:pPr>
              <w:rPr>
                <w:rFonts w:eastAsia="Times New Roman" w:cs="Calibri"/>
                <w:b/>
                <w:bCs/>
                <w:sz w:val="16"/>
                <w:szCs w:val="16"/>
                <w:lang w:eastAsia="ja-JP"/>
              </w:rPr>
            </w:pPr>
          </w:p>
        </w:tc>
        <w:tc>
          <w:tcPr>
            <w:tcW w:w="0" w:type="auto"/>
            <w:tcBorders>
              <w:bottom w:val="single" w:sz="12" w:space="0" w:color="000000"/>
            </w:tcBorders>
            <w:noWrap/>
            <w:vAlign w:val="center"/>
          </w:tcPr>
          <w:p w14:paraId="3443512D" w14:textId="77777777" w:rsidR="00D95D78" w:rsidRPr="004E13E9" w:rsidRDefault="00D95D78" w:rsidP="00E62E84">
            <w:pPr>
              <w:rPr>
                <w:rFonts w:eastAsia="Times New Roman" w:cs="Calibri"/>
                <w:b/>
                <w:bCs/>
                <w:sz w:val="16"/>
                <w:szCs w:val="16"/>
                <w:lang w:eastAsia="ja-JP"/>
              </w:rPr>
            </w:pPr>
          </w:p>
        </w:tc>
        <w:tc>
          <w:tcPr>
            <w:tcW w:w="0" w:type="auto"/>
            <w:tcBorders>
              <w:bottom w:val="single" w:sz="12" w:space="0" w:color="000000"/>
            </w:tcBorders>
            <w:noWrap/>
            <w:vAlign w:val="center"/>
          </w:tcPr>
          <w:p w14:paraId="158DE92B" w14:textId="77777777" w:rsidR="00D95D78" w:rsidRPr="004E13E9" w:rsidRDefault="00D95D78" w:rsidP="00E62E84">
            <w:pPr>
              <w:rPr>
                <w:rFonts w:eastAsia="Times New Roman" w:cs="Calibri"/>
                <w:b/>
                <w:bCs/>
                <w:sz w:val="16"/>
                <w:szCs w:val="16"/>
                <w:lang w:eastAsia="ja-JP"/>
              </w:rPr>
            </w:pPr>
          </w:p>
        </w:tc>
        <w:tc>
          <w:tcPr>
            <w:tcW w:w="0" w:type="auto"/>
            <w:tcBorders>
              <w:bottom w:val="single" w:sz="12" w:space="0" w:color="000000"/>
            </w:tcBorders>
            <w:noWrap/>
          </w:tcPr>
          <w:p w14:paraId="0036C47B" w14:textId="77777777" w:rsidR="00D95D78" w:rsidRPr="004E13E9" w:rsidRDefault="00D95D78" w:rsidP="00E62E84">
            <w:pPr>
              <w:rPr>
                <w:rFonts w:eastAsia="Times New Roman" w:cs="Calibri"/>
                <w:b/>
                <w:bCs/>
                <w:sz w:val="16"/>
                <w:szCs w:val="16"/>
                <w:lang w:eastAsia="ja-JP"/>
              </w:rPr>
            </w:pPr>
          </w:p>
        </w:tc>
        <w:tc>
          <w:tcPr>
            <w:tcW w:w="0" w:type="auto"/>
            <w:tcBorders>
              <w:bottom w:val="single" w:sz="12" w:space="0" w:color="000000"/>
              <w:right w:val="single" w:sz="12" w:space="0" w:color="000000"/>
            </w:tcBorders>
          </w:tcPr>
          <w:p w14:paraId="501C5C74" w14:textId="77777777" w:rsidR="00D95D78" w:rsidRPr="004E13E9" w:rsidRDefault="00D95D78" w:rsidP="00E62E84">
            <w:pPr>
              <w:rPr>
                <w:rFonts w:eastAsia="Times New Roman" w:cs="Calibri"/>
                <w:bCs/>
                <w:sz w:val="16"/>
                <w:szCs w:val="16"/>
              </w:rPr>
            </w:pPr>
            <w:r w:rsidRPr="004E13E9">
              <w:rPr>
                <w:sz w:val="16"/>
              </w:rPr>
              <w:t>0</w:t>
            </w:r>
          </w:p>
        </w:tc>
      </w:tr>
      <w:tr w:rsidR="00D95D78" w:rsidRPr="004E13E9" w14:paraId="5397CBB7" w14:textId="77777777" w:rsidTr="00E62E84">
        <w:trPr>
          <w:trHeight w:val="23"/>
          <w:jc w:val="center"/>
        </w:trPr>
        <w:tc>
          <w:tcPr>
            <w:tcW w:w="3371" w:type="dxa"/>
            <w:tcBorders>
              <w:top w:val="single" w:sz="12" w:space="0" w:color="000000"/>
              <w:left w:val="single" w:sz="12" w:space="0" w:color="000000"/>
              <w:bottom w:val="single" w:sz="12" w:space="0" w:color="000000"/>
            </w:tcBorders>
            <w:shd w:val="clear" w:color="auto" w:fill="D9D9D9"/>
            <w:noWrap/>
            <w:vAlign w:val="center"/>
            <w:hideMark/>
          </w:tcPr>
          <w:p w14:paraId="6C624544" w14:textId="77777777" w:rsidR="00D95D78" w:rsidRPr="004E13E9" w:rsidRDefault="00D95D78" w:rsidP="00E62E84">
            <w:pPr>
              <w:rPr>
                <w:b/>
                <w:sz w:val="16"/>
              </w:rPr>
            </w:pPr>
            <w:r w:rsidRPr="004E13E9">
              <w:rPr>
                <w:b/>
                <w:sz w:val="16"/>
              </w:rPr>
              <w:t>Sous-</w:t>
            </w:r>
            <w:proofErr w:type="spellStart"/>
            <w:r w:rsidRPr="004E13E9">
              <w:rPr>
                <w:b/>
                <w:sz w:val="16"/>
              </w:rPr>
              <w:t>capacité</w:t>
            </w:r>
            <w:proofErr w:type="spellEnd"/>
            <w:r w:rsidRPr="004E13E9">
              <w:rPr>
                <w:b/>
                <w:sz w:val="16"/>
              </w:rPr>
              <w:t>/</w:t>
            </w:r>
            <w:proofErr w:type="spellStart"/>
            <w:r w:rsidRPr="004E13E9">
              <w:rPr>
                <w:b/>
                <w:sz w:val="16"/>
              </w:rPr>
              <w:t>surcapacité</w:t>
            </w:r>
            <w:proofErr w:type="spellEnd"/>
          </w:p>
        </w:tc>
        <w:tc>
          <w:tcPr>
            <w:tcW w:w="2388" w:type="dxa"/>
            <w:tcBorders>
              <w:top w:val="single" w:sz="12" w:space="0" w:color="000000"/>
              <w:bottom w:val="single" w:sz="12" w:space="0" w:color="000000"/>
            </w:tcBorders>
            <w:shd w:val="clear" w:color="auto" w:fill="D9D9D9"/>
            <w:noWrap/>
            <w:vAlign w:val="center"/>
            <w:hideMark/>
          </w:tcPr>
          <w:p w14:paraId="11082AAE" w14:textId="77777777" w:rsidR="00D95D78" w:rsidRPr="004E13E9" w:rsidRDefault="00D95D78" w:rsidP="00E62E84">
            <w:pPr>
              <w:jc w:val="right"/>
              <w:rPr>
                <w:sz w:val="16"/>
              </w:rPr>
            </w:pPr>
            <w:r w:rsidRPr="004E13E9">
              <w:rPr>
                <w:sz w:val="16"/>
              </w:rPr>
              <w:t> </w:t>
            </w:r>
          </w:p>
        </w:tc>
        <w:tc>
          <w:tcPr>
            <w:tcW w:w="0" w:type="auto"/>
            <w:tcBorders>
              <w:top w:val="single" w:sz="12" w:space="0" w:color="000000"/>
              <w:bottom w:val="single" w:sz="12" w:space="0" w:color="000000"/>
            </w:tcBorders>
            <w:shd w:val="clear" w:color="auto" w:fill="D9D9D9"/>
          </w:tcPr>
          <w:p w14:paraId="015A1B20" w14:textId="77777777" w:rsidR="00D95D78" w:rsidRPr="004E13E9" w:rsidRDefault="00D95D78" w:rsidP="00E62E84">
            <w:pPr>
              <w:jc w:val="center"/>
              <w:rPr>
                <w:sz w:val="16"/>
              </w:rPr>
            </w:pPr>
          </w:p>
        </w:tc>
        <w:tc>
          <w:tcPr>
            <w:tcW w:w="0" w:type="auto"/>
            <w:tcBorders>
              <w:top w:val="single" w:sz="12" w:space="0" w:color="000000"/>
              <w:bottom w:val="single" w:sz="12" w:space="0" w:color="000000"/>
            </w:tcBorders>
            <w:shd w:val="clear" w:color="auto" w:fill="D9D9D9"/>
            <w:noWrap/>
            <w:vAlign w:val="center"/>
          </w:tcPr>
          <w:p w14:paraId="78CF39CB" w14:textId="77777777" w:rsidR="00D95D78" w:rsidRPr="004E13E9" w:rsidRDefault="00D95D78" w:rsidP="00E62E84">
            <w:pPr>
              <w:jc w:val="center"/>
              <w:rPr>
                <w:sz w:val="16"/>
              </w:rPr>
            </w:pPr>
          </w:p>
        </w:tc>
        <w:tc>
          <w:tcPr>
            <w:tcW w:w="0" w:type="auto"/>
            <w:tcBorders>
              <w:top w:val="single" w:sz="12" w:space="0" w:color="000000"/>
              <w:bottom w:val="single" w:sz="12" w:space="0" w:color="000000"/>
            </w:tcBorders>
            <w:shd w:val="clear" w:color="auto" w:fill="D9D9D9"/>
            <w:vAlign w:val="center"/>
          </w:tcPr>
          <w:p w14:paraId="40E9102A" w14:textId="77777777" w:rsidR="00D95D78" w:rsidRPr="004E13E9" w:rsidRDefault="00D95D78" w:rsidP="00E62E84">
            <w:pPr>
              <w:jc w:val="center"/>
              <w:rPr>
                <w:sz w:val="16"/>
              </w:rPr>
            </w:pPr>
          </w:p>
        </w:tc>
        <w:tc>
          <w:tcPr>
            <w:tcW w:w="0" w:type="auto"/>
            <w:tcBorders>
              <w:top w:val="single" w:sz="12" w:space="0" w:color="000000"/>
              <w:bottom w:val="single" w:sz="12" w:space="0" w:color="000000"/>
            </w:tcBorders>
            <w:shd w:val="clear" w:color="auto" w:fill="D9D9D9"/>
            <w:vAlign w:val="center"/>
          </w:tcPr>
          <w:p w14:paraId="481E0488" w14:textId="77777777" w:rsidR="00D95D78" w:rsidRPr="004E13E9" w:rsidRDefault="00D95D78" w:rsidP="00E62E84">
            <w:pPr>
              <w:jc w:val="center"/>
              <w:rPr>
                <w:sz w:val="16"/>
              </w:rPr>
            </w:pPr>
          </w:p>
        </w:tc>
        <w:tc>
          <w:tcPr>
            <w:tcW w:w="0" w:type="auto"/>
            <w:tcBorders>
              <w:top w:val="single" w:sz="12" w:space="0" w:color="000000"/>
              <w:bottom w:val="single" w:sz="12" w:space="0" w:color="000000"/>
            </w:tcBorders>
            <w:shd w:val="clear" w:color="auto" w:fill="D9D9D9"/>
            <w:vAlign w:val="center"/>
          </w:tcPr>
          <w:p w14:paraId="42A0B71D" w14:textId="77777777" w:rsidR="00D95D78" w:rsidRPr="004E13E9" w:rsidRDefault="00D95D78" w:rsidP="00E62E84">
            <w:pPr>
              <w:jc w:val="center"/>
              <w:rPr>
                <w:sz w:val="16"/>
              </w:rPr>
            </w:pPr>
          </w:p>
        </w:tc>
        <w:tc>
          <w:tcPr>
            <w:tcW w:w="0" w:type="auto"/>
            <w:tcBorders>
              <w:top w:val="single" w:sz="12" w:space="0" w:color="000000"/>
              <w:bottom w:val="single" w:sz="12" w:space="0" w:color="000000"/>
            </w:tcBorders>
            <w:shd w:val="clear" w:color="auto" w:fill="D9D9D9"/>
          </w:tcPr>
          <w:p w14:paraId="2A9DA7FB" w14:textId="77777777" w:rsidR="00D95D78" w:rsidRPr="004E13E9" w:rsidRDefault="00D95D78" w:rsidP="00E62E84">
            <w:pPr>
              <w:jc w:val="center"/>
              <w:rPr>
                <w:sz w:val="16"/>
              </w:rPr>
            </w:pPr>
          </w:p>
        </w:tc>
        <w:tc>
          <w:tcPr>
            <w:tcW w:w="0" w:type="auto"/>
            <w:tcBorders>
              <w:top w:val="single" w:sz="12" w:space="0" w:color="000000"/>
              <w:bottom w:val="single" w:sz="12" w:space="0" w:color="000000"/>
            </w:tcBorders>
            <w:shd w:val="clear" w:color="auto" w:fill="D9D9D9"/>
          </w:tcPr>
          <w:p w14:paraId="7D4216DB" w14:textId="77777777" w:rsidR="00D95D78" w:rsidRPr="004E13E9" w:rsidRDefault="00D95D78" w:rsidP="00E62E84">
            <w:pPr>
              <w:jc w:val="center"/>
              <w:rPr>
                <w:sz w:val="16"/>
              </w:rPr>
            </w:pPr>
            <w:r w:rsidRPr="004E13E9">
              <w:rPr>
                <w:sz w:val="16"/>
              </w:rPr>
              <w:t>0</w:t>
            </w:r>
          </w:p>
        </w:tc>
        <w:tc>
          <w:tcPr>
            <w:tcW w:w="0" w:type="auto"/>
            <w:tcBorders>
              <w:top w:val="single" w:sz="12" w:space="0" w:color="000000"/>
              <w:bottom w:val="single" w:sz="12" w:space="0" w:color="000000"/>
            </w:tcBorders>
            <w:shd w:val="clear" w:color="auto" w:fill="D9D9D9"/>
            <w:vAlign w:val="center"/>
            <w:hideMark/>
          </w:tcPr>
          <w:p w14:paraId="6B73C51E" w14:textId="77777777" w:rsidR="00D95D78" w:rsidRPr="004E13E9" w:rsidRDefault="00D95D78" w:rsidP="00E62E84">
            <w:pPr>
              <w:rPr>
                <w:sz w:val="16"/>
              </w:rPr>
            </w:pPr>
            <w:r w:rsidRPr="004E13E9">
              <w:rPr>
                <w:sz w:val="16"/>
              </w:rPr>
              <w:t> </w:t>
            </w:r>
          </w:p>
        </w:tc>
        <w:tc>
          <w:tcPr>
            <w:tcW w:w="0" w:type="auto"/>
            <w:tcBorders>
              <w:top w:val="single" w:sz="12" w:space="0" w:color="000000"/>
              <w:bottom w:val="single" w:sz="12" w:space="0" w:color="000000"/>
            </w:tcBorders>
            <w:shd w:val="clear" w:color="auto" w:fill="D9D9D9"/>
          </w:tcPr>
          <w:p w14:paraId="535E0FF3" w14:textId="77777777" w:rsidR="00D95D78" w:rsidRPr="004E13E9" w:rsidRDefault="00D95D78" w:rsidP="00E62E84">
            <w:pPr>
              <w:rPr>
                <w:sz w:val="16"/>
              </w:rPr>
            </w:pPr>
          </w:p>
        </w:tc>
        <w:tc>
          <w:tcPr>
            <w:tcW w:w="0" w:type="auto"/>
            <w:tcBorders>
              <w:top w:val="single" w:sz="12" w:space="0" w:color="000000"/>
              <w:bottom w:val="single" w:sz="12" w:space="0" w:color="000000"/>
            </w:tcBorders>
            <w:shd w:val="clear" w:color="auto" w:fill="D9D9D9"/>
            <w:vAlign w:val="center"/>
          </w:tcPr>
          <w:p w14:paraId="5A96C773" w14:textId="77777777" w:rsidR="00D95D78" w:rsidRPr="004E13E9" w:rsidRDefault="00D95D78" w:rsidP="00E62E84">
            <w:pPr>
              <w:rPr>
                <w:sz w:val="16"/>
              </w:rPr>
            </w:pPr>
          </w:p>
        </w:tc>
        <w:tc>
          <w:tcPr>
            <w:tcW w:w="0" w:type="auto"/>
            <w:tcBorders>
              <w:top w:val="single" w:sz="12" w:space="0" w:color="000000"/>
              <w:bottom w:val="single" w:sz="12" w:space="0" w:color="000000"/>
            </w:tcBorders>
            <w:shd w:val="clear" w:color="auto" w:fill="D9D9D9"/>
            <w:vAlign w:val="center"/>
          </w:tcPr>
          <w:p w14:paraId="656E6F60" w14:textId="77777777" w:rsidR="00D95D78" w:rsidRPr="004E13E9" w:rsidRDefault="00D95D78" w:rsidP="00E62E84">
            <w:pPr>
              <w:rPr>
                <w:sz w:val="16"/>
              </w:rPr>
            </w:pPr>
          </w:p>
        </w:tc>
        <w:tc>
          <w:tcPr>
            <w:tcW w:w="0" w:type="auto"/>
            <w:tcBorders>
              <w:top w:val="single" w:sz="12" w:space="0" w:color="000000"/>
              <w:bottom w:val="single" w:sz="12" w:space="0" w:color="000000"/>
            </w:tcBorders>
            <w:shd w:val="clear" w:color="auto" w:fill="D9D9D9"/>
            <w:vAlign w:val="center"/>
          </w:tcPr>
          <w:p w14:paraId="58B3A598" w14:textId="77777777" w:rsidR="00D95D78" w:rsidRPr="004E13E9" w:rsidRDefault="00D95D78" w:rsidP="00E62E84">
            <w:pPr>
              <w:rPr>
                <w:sz w:val="16"/>
              </w:rPr>
            </w:pPr>
          </w:p>
        </w:tc>
        <w:tc>
          <w:tcPr>
            <w:tcW w:w="0" w:type="auto"/>
            <w:tcBorders>
              <w:top w:val="single" w:sz="12" w:space="0" w:color="000000"/>
              <w:bottom w:val="single" w:sz="12" w:space="0" w:color="000000"/>
            </w:tcBorders>
            <w:shd w:val="clear" w:color="auto" w:fill="D9D9D9"/>
            <w:vAlign w:val="center"/>
          </w:tcPr>
          <w:p w14:paraId="7EE48B63" w14:textId="77777777" w:rsidR="00D95D78" w:rsidRPr="004E13E9" w:rsidRDefault="00D95D78" w:rsidP="00E62E84">
            <w:pPr>
              <w:rPr>
                <w:sz w:val="16"/>
              </w:rPr>
            </w:pPr>
          </w:p>
        </w:tc>
        <w:tc>
          <w:tcPr>
            <w:tcW w:w="0" w:type="auto"/>
            <w:tcBorders>
              <w:top w:val="single" w:sz="12" w:space="0" w:color="000000"/>
              <w:bottom w:val="single" w:sz="12" w:space="0" w:color="000000"/>
            </w:tcBorders>
            <w:shd w:val="clear" w:color="auto" w:fill="D9D9D9"/>
          </w:tcPr>
          <w:p w14:paraId="20C446A2" w14:textId="77777777" w:rsidR="00D95D78" w:rsidRPr="004E13E9" w:rsidRDefault="00D95D78" w:rsidP="00E62E84">
            <w:pPr>
              <w:rPr>
                <w:sz w:val="16"/>
              </w:rPr>
            </w:pPr>
          </w:p>
        </w:tc>
        <w:tc>
          <w:tcPr>
            <w:tcW w:w="0" w:type="auto"/>
            <w:tcBorders>
              <w:top w:val="single" w:sz="12" w:space="0" w:color="000000"/>
              <w:bottom w:val="single" w:sz="12" w:space="0" w:color="000000"/>
              <w:right w:val="single" w:sz="12" w:space="0" w:color="000000"/>
            </w:tcBorders>
            <w:shd w:val="clear" w:color="auto" w:fill="D9D9D9"/>
          </w:tcPr>
          <w:p w14:paraId="24D67D76" w14:textId="77777777" w:rsidR="00D95D78" w:rsidRPr="004E13E9" w:rsidRDefault="00D95D78" w:rsidP="00E62E84">
            <w:pPr>
              <w:rPr>
                <w:sz w:val="16"/>
              </w:rPr>
            </w:pPr>
            <w:r w:rsidRPr="004E13E9">
              <w:rPr>
                <w:sz w:val="16"/>
              </w:rPr>
              <w:t>0</w:t>
            </w:r>
          </w:p>
        </w:tc>
      </w:tr>
    </w:tbl>
    <w:p w14:paraId="016F2000" w14:textId="77777777" w:rsidR="00D95D78" w:rsidRPr="004E13E9" w:rsidRDefault="00D95D78" w:rsidP="00D95D78">
      <w:pPr>
        <w:rPr>
          <w:sz w:val="14"/>
          <w:szCs w:val="14"/>
        </w:rPr>
      </w:pPr>
    </w:p>
    <w:p w14:paraId="6F3C0C4E" w14:textId="77777777" w:rsidR="00092456" w:rsidRPr="004E13E9" w:rsidRDefault="00092456">
      <w:pPr>
        <w:rPr>
          <w:lang w:val="pt-PT"/>
        </w:rPr>
      </w:pPr>
    </w:p>
    <w:p w14:paraId="0B90811C" w14:textId="77777777" w:rsidR="00934E2D" w:rsidRPr="004E13E9" w:rsidRDefault="00934E2D" w:rsidP="00934E2D">
      <w:pPr>
        <w:rPr>
          <w:lang w:val="pt-PT"/>
        </w:rPr>
      </w:pPr>
      <w:r w:rsidRPr="004E13E9">
        <w:rPr>
          <w:lang w:val="pt-PT"/>
        </w:rPr>
        <w:br w:type="page"/>
      </w:r>
    </w:p>
    <w:p w14:paraId="41B5D096" w14:textId="77777777" w:rsidR="00934E2D" w:rsidRPr="004E13E9" w:rsidRDefault="00934E2D" w:rsidP="00934E2D">
      <w:pPr>
        <w:rPr>
          <w:lang w:val="pt-PT"/>
        </w:rPr>
        <w:sectPr w:rsidR="00934E2D" w:rsidRPr="004E13E9" w:rsidSect="00B07693">
          <w:footnotePr>
            <w:numFmt w:val="chicago"/>
          </w:footnotePr>
          <w:pgSz w:w="16840" w:h="11907" w:orient="landscape" w:code="9"/>
          <w:pgMar w:top="1418" w:right="1418" w:bottom="1418" w:left="1418" w:header="851" w:footer="1134" w:gutter="0"/>
          <w:cols w:space="720"/>
          <w:docGrid w:linePitch="272"/>
        </w:sectPr>
      </w:pPr>
    </w:p>
    <w:p w14:paraId="7E32EE27" w14:textId="35B71CC6" w:rsidR="00BF1470" w:rsidRPr="004E13E9" w:rsidRDefault="00BF1470" w:rsidP="00356C58">
      <w:pPr>
        <w:jc w:val="both"/>
        <w:rPr>
          <w:lang w:val="pt-PT"/>
        </w:rPr>
      </w:pPr>
      <w:r w:rsidRPr="004E13E9">
        <w:rPr>
          <w:b/>
          <w:bCs/>
          <w:lang w:val="pt-PT"/>
        </w:rPr>
        <w:t>Sénégal</w:t>
      </w:r>
      <w:r w:rsidRPr="004E13E9">
        <w:rPr>
          <w:lang w:val="pt-PT"/>
        </w:rPr>
        <w:t xml:space="preserve"> </w:t>
      </w:r>
    </w:p>
    <w:p w14:paraId="02748241" w14:textId="77777777" w:rsidR="00934E2D" w:rsidRPr="004E13E9" w:rsidRDefault="00934E2D" w:rsidP="00356C58">
      <w:pPr>
        <w:jc w:val="both"/>
        <w:rPr>
          <w:lang w:val="pt-PT"/>
        </w:rPr>
      </w:pPr>
    </w:p>
    <w:p w14:paraId="4B6B7A35" w14:textId="77777777" w:rsidR="00004CA5" w:rsidRPr="004E13E9" w:rsidRDefault="00004CA5" w:rsidP="00356C58">
      <w:pPr>
        <w:contextualSpacing/>
        <w:jc w:val="both"/>
        <w:rPr>
          <w:lang w:val="fr-FR"/>
        </w:rPr>
      </w:pPr>
      <w:r w:rsidRPr="004E13E9">
        <w:rPr>
          <w:b/>
          <w:lang w:val="fr-FR"/>
        </w:rPr>
        <w:t xml:space="preserve">Année du plan de pêche : </w:t>
      </w:r>
      <w:r w:rsidRPr="004E13E9">
        <w:rPr>
          <w:b/>
          <w:bCs/>
          <w:lang w:val="fr-FR"/>
        </w:rPr>
        <w:t>2026</w:t>
      </w:r>
    </w:p>
    <w:p w14:paraId="753C2961" w14:textId="77777777" w:rsidR="00004CA5" w:rsidRPr="004E13E9" w:rsidRDefault="00004CA5" w:rsidP="00356C58">
      <w:pPr>
        <w:contextualSpacing/>
        <w:jc w:val="both"/>
        <w:rPr>
          <w:lang w:val="fr-FR"/>
        </w:rPr>
      </w:pPr>
    </w:p>
    <w:p w14:paraId="200C5E2F" w14:textId="77777777" w:rsidR="00004CA5" w:rsidRPr="004E13E9" w:rsidRDefault="00004CA5" w:rsidP="00356C58">
      <w:pPr>
        <w:ind w:left="426" w:hanging="426"/>
        <w:contextualSpacing/>
        <w:jc w:val="both"/>
        <w:rPr>
          <w:b/>
          <w:lang w:val="fr-FR"/>
        </w:rPr>
      </w:pPr>
      <w:r w:rsidRPr="004E13E9">
        <w:rPr>
          <w:b/>
          <w:lang w:val="fr-FR"/>
        </w:rPr>
        <w:t xml:space="preserve">1. </w:t>
      </w:r>
      <w:r w:rsidRPr="004E13E9">
        <w:rPr>
          <w:b/>
          <w:lang w:val="fr-FR"/>
        </w:rPr>
        <w:tab/>
        <w:t>Détails du plan annuel de pêche pour les navires de capture et les madragues</w:t>
      </w:r>
    </w:p>
    <w:p w14:paraId="1585F2F0" w14:textId="77777777" w:rsidR="00004CA5" w:rsidRPr="004E13E9" w:rsidRDefault="00004CA5" w:rsidP="00356C58">
      <w:pPr>
        <w:contextualSpacing/>
        <w:jc w:val="both"/>
        <w:rPr>
          <w:i/>
          <w:lang w:val="fr-FR"/>
        </w:rPr>
      </w:pPr>
    </w:p>
    <w:p w14:paraId="4EC5AE10" w14:textId="77777777" w:rsidR="00004CA5" w:rsidRPr="004E13E9" w:rsidRDefault="00004CA5" w:rsidP="00356C58">
      <w:pPr>
        <w:contextualSpacing/>
        <w:jc w:val="both"/>
        <w:rPr>
          <w:b/>
          <w:bCs/>
          <w:i/>
          <w:iCs/>
          <w:lang w:val="fr-FR"/>
        </w:rPr>
      </w:pPr>
      <w:r w:rsidRPr="004E13E9">
        <w:rPr>
          <w:b/>
          <w:bCs/>
          <w:i/>
          <w:iCs/>
          <w:lang w:val="fr-FR"/>
        </w:rPr>
        <w:t>1a) Présentation (paragraphe 12)</w:t>
      </w:r>
    </w:p>
    <w:p w14:paraId="10B38397" w14:textId="77777777" w:rsidR="00004CA5" w:rsidRPr="004E13E9" w:rsidRDefault="00004CA5" w:rsidP="00356C58">
      <w:pPr>
        <w:contextualSpacing/>
        <w:jc w:val="both"/>
        <w:rPr>
          <w:iCs/>
          <w:lang w:val="fr-FR"/>
        </w:rPr>
      </w:pPr>
    </w:p>
    <w:p w14:paraId="51CC0149" w14:textId="77777777" w:rsidR="00004CA5" w:rsidRPr="004E13E9" w:rsidRDefault="00004CA5" w:rsidP="00356C58">
      <w:pPr>
        <w:tabs>
          <w:tab w:val="left" w:pos="5245"/>
        </w:tabs>
        <w:contextualSpacing/>
        <w:jc w:val="both"/>
        <w:rPr>
          <w:iCs/>
          <w:lang w:val="fr-FR"/>
        </w:rPr>
      </w:pPr>
      <w:r w:rsidRPr="004E13E9">
        <w:rPr>
          <w:iCs/>
          <w:lang w:val="fr-FR"/>
        </w:rPr>
        <w:t xml:space="preserve">Le Sénégal ne dispose pas de navires actifs dans la pêcherie de thon rouge pour exploiter le quota de cinquante-cinq (55) tonnes qui lui est attribué en 2026 et n’envisage pas d’introduire un navire dans cette pêcherie. Le quota ne sera pas utilisé en pêche ciblée, il servira à couvrir les captures accessoires ou accidentelles de thon rouge de ses senneurs et canneurs ciblant les thons tropicaux. Le nombre actuel de navires est de huit (08) senneurs et cinq (05) canneurs autorisés dans les pêcheries de thons tropicaux. </w:t>
      </w:r>
    </w:p>
    <w:p w14:paraId="1A5A27A9" w14:textId="77777777" w:rsidR="00004CA5" w:rsidRPr="004E13E9" w:rsidRDefault="00004CA5" w:rsidP="00356C58">
      <w:pPr>
        <w:tabs>
          <w:tab w:val="left" w:pos="5245"/>
        </w:tabs>
        <w:contextualSpacing/>
        <w:jc w:val="both"/>
        <w:rPr>
          <w:iCs/>
          <w:lang w:val="fr-FR"/>
        </w:rPr>
      </w:pPr>
    </w:p>
    <w:p w14:paraId="0FB04594" w14:textId="77777777" w:rsidR="00004CA5" w:rsidRPr="004E13E9" w:rsidRDefault="00004CA5" w:rsidP="00356C58">
      <w:pPr>
        <w:contextualSpacing/>
        <w:jc w:val="both"/>
        <w:rPr>
          <w:iCs/>
          <w:lang w:val="fr-FR"/>
        </w:rPr>
      </w:pPr>
      <w:r w:rsidRPr="004E13E9">
        <w:rPr>
          <w:iCs/>
          <w:lang w:val="fr-FR"/>
        </w:rPr>
        <w:t xml:space="preserve">En outre, la pêche récréative et la pêche artisanale peuvent (sont autorisés) à capturer accidentellement du thon rouge dans les pêcheries tropicales. </w:t>
      </w:r>
    </w:p>
    <w:p w14:paraId="52D7FD0F" w14:textId="77777777" w:rsidR="00356C58" w:rsidRPr="004E13E9" w:rsidRDefault="00356C58" w:rsidP="00356C58">
      <w:pPr>
        <w:contextualSpacing/>
        <w:jc w:val="both"/>
        <w:rPr>
          <w:iCs/>
          <w:lang w:val="fr-FR"/>
        </w:rPr>
      </w:pPr>
    </w:p>
    <w:p w14:paraId="786A07AB" w14:textId="73D1CDFB" w:rsidR="00004CA5" w:rsidRPr="004E13E9" w:rsidRDefault="00004CA5" w:rsidP="00356C58">
      <w:pPr>
        <w:contextualSpacing/>
        <w:jc w:val="both"/>
        <w:rPr>
          <w:iCs/>
          <w:lang w:val="fr-FR"/>
        </w:rPr>
      </w:pPr>
      <w:r w:rsidRPr="004E13E9">
        <w:rPr>
          <w:iCs/>
          <w:lang w:val="fr-FR"/>
        </w:rPr>
        <w:t>La saison de capture accessoire ou accidentelle de thon rouge est autorisée du 1</w:t>
      </w:r>
      <w:r w:rsidRPr="004E13E9">
        <w:rPr>
          <w:iCs/>
          <w:vertAlign w:val="superscript"/>
          <w:lang w:val="fr-FR"/>
        </w:rPr>
        <w:t>er</w:t>
      </w:r>
      <w:r w:rsidRPr="004E13E9">
        <w:rPr>
          <w:iCs/>
          <w:lang w:val="fr-FR"/>
        </w:rPr>
        <w:t xml:space="preserve"> janvier au 31 décembre 2026.</w:t>
      </w:r>
    </w:p>
    <w:p w14:paraId="73ED486E" w14:textId="77777777" w:rsidR="00356C58" w:rsidRPr="004E13E9" w:rsidRDefault="00356C58" w:rsidP="00356C58">
      <w:pPr>
        <w:contextualSpacing/>
        <w:jc w:val="both"/>
        <w:rPr>
          <w:iCs/>
          <w:lang w:val="fr-FR"/>
        </w:rPr>
      </w:pPr>
    </w:p>
    <w:p w14:paraId="16B52136" w14:textId="4314116D" w:rsidR="00004CA5" w:rsidRPr="004E13E9" w:rsidRDefault="00004CA5" w:rsidP="00356C58">
      <w:pPr>
        <w:contextualSpacing/>
        <w:jc w:val="both"/>
        <w:rPr>
          <w:iCs/>
          <w:lang w:val="fr-FR"/>
        </w:rPr>
      </w:pPr>
      <w:r w:rsidRPr="004E13E9">
        <w:rPr>
          <w:iCs/>
          <w:lang w:val="fr-FR"/>
        </w:rPr>
        <w:t>Les activités de pêche, y compris celles des espèces sous le mandat de l’ICCAT, sont régies par le Code de la Pêche maritime et son décret d’application ainsi que toutes les réglementations nationales pertinentes spécifiques à ces espèces, dont celles en matière de déclaration des captures.</w:t>
      </w:r>
    </w:p>
    <w:p w14:paraId="3C906014" w14:textId="77777777" w:rsidR="00356C58" w:rsidRPr="004E13E9" w:rsidRDefault="00356C58" w:rsidP="00356C58">
      <w:pPr>
        <w:contextualSpacing/>
        <w:jc w:val="both"/>
        <w:rPr>
          <w:iCs/>
          <w:lang w:val="fr-FR"/>
        </w:rPr>
      </w:pPr>
    </w:p>
    <w:p w14:paraId="3DC7D249" w14:textId="710088E3" w:rsidR="00004CA5" w:rsidRPr="004E13E9" w:rsidRDefault="00004CA5" w:rsidP="00356C58">
      <w:pPr>
        <w:contextualSpacing/>
        <w:jc w:val="both"/>
        <w:rPr>
          <w:lang w:val="fr-FR"/>
        </w:rPr>
      </w:pPr>
      <w:r w:rsidRPr="004E13E9">
        <w:rPr>
          <w:iCs/>
          <w:lang w:val="fr-FR"/>
        </w:rPr>
        <w:t xml:space="preserve">En outre, la Rec. 24-05 de l’ICCAT a été transposée dans le cadre juridique par l’arrêté </w:t>
      </w:r>
      <w:r w:rsidRPr="004E13E9">
        <w:rPr>
          <w:lang w:val="fr-FR"/>
        </w:rPr>
        <w:t>n°033874 du 17 octobre 2025 fixant les mesures de gestion du thon rouge pour les navires battant pavillon sénégalais.</w:t>
      </w:r>
    </w:p>
    <w:p w14:paraId="0FD68061" w14:textId="77777777" w:rsidR="00356C58" w:rsidRPr="004E13E9" w:rsidRDefault="00356C58" w:rsidP="00356C58">
      <w:pPr>
        <w:contextualSpacing/>
        <w:jc w:val="both"/>
        <w:rPr>
          <w:lang w:val="fr-FR"/>
        </w:rPr>
      </w:pPr>
    </w:p>
    <w:p w14:paraId="35DB00CE" w14:textId="09C2C399" w:rsidR="00004CA5" w:rsidRPr="004E13E9" w:rsidRDefault="00004CA5" w:rsidP="00356C58">
      <w:pPr>
        <w:contextualSpacing/>
        <w:jc w:val="both"/>
        <w:rPr>
          <w:iCs/>
          <w:lang w:val="fr-FR"/>
        </w:rPr>
      </w:pPr>
      <w:r w:rsidRPr="004E13E9">
        <w:rPr>
          <w:lang w:val="fr-FR"/>
        </w:rPr>
        <w:t>Tous ces textes encadreront</w:t>
      </w:r>
      <w:r w:rsidRPr="004E13E9">
        <w:rPr>
          <w:iCs/>
          <w:lang w:val="fr-FR"/>
        </w:rPr>
        <w:t xml:space="preserve"> les opérations des navires et l’utilisation du quota de thon rouge de l’Est par le Sénégal. </w:t>
      </w:r>
    </w:p>
    <w:p w14:paraId="2DBAA0D9" w14:textId="77777777" w:rsidR="00004CA5" w:rsidRPr="004E13E9" w:rsidRDefault="00004CA5" w:rsidP="00356C58">
      <w:pPr>
        <w:contextualSpacing/>
        <w:jc w:val="both"/>
        <w:rPr>
          <w:b/>
          <w:bCs/>
          <w:i/>
          <w:iCs/>
          <w:lang w:val="fr-FR"/>
        </w:rPr>
      </w:pPr>
    </w:p>
    <w:p w14:paraId="6BB97FA5" w14:textId="77777777" w:rsidR="00004CA5" w:rsidRPr="004E13E9" w:rsidRDefault="00004CA5" w:rsidP="00356C58">
      <w:pPr>
        <w:contextualSpacing/>
        <w:jc w:val="both"/>
        <w:rPr>
          <w:b/>
          <w:bCs/>
          <w:i/>
          <w:iCs/>
          <w:lang w:val="fr-FR"/>
        </w:rPr>
      </w:pPr>
      <w:r w:rsidRPr="004E13E9">
        <w:rPr>
          <w:b/>
          <w:bCs/>
          <w:i/>
          <w:iCs/>
          <w:lang w:val="fr-FR"/>
        </w:rPr>
        <w:t>1b) Report (paragraphe 6)</w:t>
      </w:r>
    </w:p>
    <w:p w14:paraId="4662BC7A" w14:textId="77777777" w:rsidR="00004CA5" w:rsidRPr="004E13E9" w:rsidRDefault="00004CA5" w:rsidP="00356C58">
      <w:pPr>
        <w:contextualSpacing/>
        <w:jc w:val="both"/>
        <w:rPr>
          <w:lang w:val="fr-FR"/>
        </w:rPr>
      </w:pPr>
    </w:p>
    <w:p w14:paraId="54E55E93" w14:textId="77777777" w:rsidR="00004CA5" w:rsidRPr="004E13E9" w:rsidRDefault="00004CA5" w:rsidP="00356C58">
      <w:pPr>
        <w:contextualSpacing/>
        <w:jc w:val="both"/>
        <w:rPr>
          <w:bCs/>
          <w:lang w:val="fr-FR"/>
        </w:rPr>
      </w:pPr>
      <w:r w:rsidRPr="004E13E9">
        <w:rPr>
          <w:bCs/>
          <w:lang w:val="fr-FR"/>
        </w:rPr>
        <w:t xml:space="preserve">Aucun report sollicité.  </w:t>
      </w:r>
    </w:p>
    <w:p w14:paraId="7E6A0776" w14:textId="77777777" w:rsidR="00004CA5" w:rsidRPr="004E13E9" w:rsidRDefault="00004CA5" w:rsidP="00356C58">
      <w:pPr>
        <w:contextualSpacing/>
        <w:jc w:val="both"/>
        <w:rPr>
          <w:i/>
          <w:lang w:val="fr-FR"/>
        </w:rPr>
      </w:pPr>
    </w:p>
    <w:p w14:paraId="44AD46CF" w14:textId="77777777" w:rsidR="00004CA5" w:rsidRPr="004E13E9" w:rsidRDefault="00004CA5" w:rsidP="00356C58">
      <w:pPr>
        <w:contextualSpacing/>
        <w:jc w:val="both"/>
        <w:rPr>
          <w:b/>
          <w:bCs/>
          <w:i/>
          <w:lang w:val="fr-FR"/>
        </w:rPr>
      </w:pPr>
      <w:r w:rsidRPr="004E13E9">
        <w:rPr>
          <w:b/>
          <w:bCs/>
          <w:i/>
          <w:lang w:val="fr-FR"/>
        </w:rPr>
        <w:t>1c) Destination de la capture</w:t>
      </w:r>
    </w:p>
    <w:p w14:paraId="4682404D" w14:textId="77777777" w:rsidR="00004CA5" w:rsidRPr="004E13E9" w:rsidRDefault="00004CA5" w:rsidP="00356C58">
      <w:pPr>
        <w:contextualSpacing/>
        <w:jc w:val="both"/>
        <w:rPr>
          <w:iCs/>
          <w:lang w:val="fr-FR"/>
        </w:rPr>
      </w:pPr>
    </w:p>
    <w:p w14:paraId="0DE9A04B" w14:textId="77777777" w:rsidR="00004CA5" w:rsidRPr="004E13E9" w:rsidRDefault="00004CA5" w:rsidP="00356C58">
      <w:pPr>
        <w:contextualSpacing/>
        <w:jc w:val="both"/>
        <w:rPr>
          <w:iCs/>
          <w:lang w:val="fr-FR"/>
        </w:rPr>
      </w:pPr>
      <w:r w:rsidRPr="004E13E9">
        <w:rPr>
          <w:iCs/>
          <w:lang w:val="fr-FR"/>
        </w:rPr>
        <w:t>Les poissons sont destinés au débarquement.</w:t>
      </w:r>
    </w:p>
    <w:p w14:paraId="56B71A50" w14:textId="77777777" w:rsidR="00004CA5" w:rsidRPr="004E13E9" w:rsidRDefault="00004CA5" w:rsidP="00356C58">
      <w:pPr>
        <w:jc w:val="both"/>
        <w:rPr>
          <w:i/>
          <w:lang w:val="fr-FR"/>
        </w:rPr>
      </w:pPr>
    </w:p>
    <w:p w14:paraId="49794A53" w14:textId="77777777" w:rsidR="00004CA5" w:rsidRPr="004E13E9" w:rsidRDefault="00004CA5" w:rsidP="00356C58">
      <w:pPr>
        <w:jc w:val="both"/>
        <w:rPr>
          <w:i/>
        </w:rPr>
      </w:pPr>
      <w:r w:rsidRPr="004E13E9">
        <w:rPr>
          <w:b/>
          <w:bCs/>
          <w:i/>
        </w:rPr>
        <w:t>1d)</w:t>
      </w:r>
    </w:p>
    <w:tbl>
      <w:tblPr>
        <w:tblStyle w:val="TableGrid"/>
        <w:tblW w:w="0" w:type="auto"/>
        <w:tblLook w:val="04A0" w:firstRow="1" w:lastRow="0" w:firstColumn="1" w:lastColumn="0" w:noHBand="0" w:noVBand="1"/>
      </w:tblPr>
      <w:tblGrid>
        <w:gridCol w:w="453"/>
        <w:gridCol w:w="2661"/>
        <w:gridCol w:w="2268"/>
        <w:gridCol w:w="1984"/>
        <w:gridCol w:w="1475"/>
      </w:tblGrid>
      <w:tr w:rsidR="00004CA5" w:rsidRPr="004E13E9" w14:paraId="60D37B97" w14:textId="77777777" w:rsidTr="003F170B">
        <w:tc>
          <w:tcPr>
            <w:tcW w:w="453" w:type="dxa"/>
          </w:tcPr>
          <w:p w14:paraId="2774312B" w14:textId="77777777" w:rsidR="00004CA5" w:rsidRPr="004E13E9" w:rsidRDefault="00004CA5" w:rsidP="00356C58">
            <w:pPr>
              <w:jc w:val="both"/>
              <w:rPr>
                <w:rFonts w:ascii="Cambria" w:hAnsi="Cambria"/>
                <w:color w:val="auto"/>
                <w:sz w:val="20"/>
                <w:szCs w:val="20"/>
              </w:rPr>
            </w:pPr>
          </w:p>
        </w:tc>
        <w:tc>
          <w:tcPr>
            <w:tcW w:w="2661" w:type="dxa"/>
            <w:vAlign w:val="center"/>
          </w:tcPr>
          <w:p w14:paraId="2F8F13F7" w14:textId="77777777" w:rsidR="00004CA5" w:rsidRPr="004E13E9" w:rsidRDefault="00004CA5" w:rsidP="00356C58">
            <w:pPr>
              <w:jc w:val="center"/>
              <w:rPr>
                <w:rFonts w:ascii="Cambria" w:hAnsi="Cambria"/>
                <w:i/>
                <w:color w:val="auto"/>
                <w:sz w:val="20"/>
                <w:szCs w:val="20"/>
              </w:rPr>
            </w:pPr>
            <w:r w:rsidRPr="004E13E9">
              <w:rPr>
                <w:rFonts w:ascii="Cambria" w:hAnsi="Cambria"/>
                <w:i/>
                <w:color w:val="auto"/>
                <w:sz w:val="20"/>
                <w:szCs w:val="20"/>
              </w:rPr>
              <w:t>Exigence de l’ICCAT</w:t>
            </w:r>
          </w:p>
          <w:p w14:paraId="1EFDC04D" w14:textId="77777777" w:rsidR="00004CA5" w:rsidRPr="004E13E9" w:rsidRDefault="00004CA5" w:rsidP="00356C58">
            <w:pPr>
              <w:jc w:val="center"/>
              <w:rPr>
                <w:rFonts w:ascii="Cambria" w:hAnsi="Cambria"/>
                <w:i/>
                <w:color w:val="auto"/>
                <w:sz w:val="20"/>
                <w:szCs w:val="20"/>
              </w:rPr>
            </w:pPr>
            <w:r w:rsidRPr="004E13E9">
              <w:rPr>
                <w:rFonts w:ascii="Cambria" w:hAnsi="Cambria"/>
                <w:i/>
                <w:color w:val="auto"/>
                <w:sz w:val="20"/>
                <w:szCs w:val="20"/>
              </w:rPr>
              <w:t>(en vertu de la</w:t>
            </w:r>
          </w:p>
          <w:p w14:paraId="07C70E16" w14:textId="77777777" w:rsidR="00004CA5" w:rsidRPr="004E13E9" w:rsidRDefault="00004CA5" w:rsidP="00356C58">
            <w:pPr>
              <w:jc w:val="center"/>
              <w:rPr>
                <w:rFonts w:ascii="Cambria" w:hAnsi="Cambria"/>
                <w:i/>
                <w:color w:val="auto"/>
                <w:sz w:val="20"/>
                <w:szCs w:val="20"/>
              </w:rPr>
            </w:pPr>
            <w:hyperlink r:id="rId171" w:history="1">
              <w:r w:rsidRPr="004E13E9">
                <w:rPr>
                  <w:rStyle w:val="Hyperlink"/>
                  <w:rFonts w:ascii="Cambria" w:hAnsi="Cambria"/>
                  <w:i/>
                  <w:sz w:val="20"/>
                  <w:szCs w:val="20"/>
                  <w:u w:val="none"/>
                </w:rPr>
                <w:t>Rec. 25-04</w:t>
              </w:r>
            </w:hyperlink>
            <w:r w:rsidRPr="004E13E9">
              <w:rPr>
                <w:rFonts w:ascii="Cambria" w:hAnsi="Cambria"/>
                <w:i/>
                <w:color w:val="auto"/>
                <w:sz w:val="20"/>
                <w:szCs w:val="20"/>
              </w:rPr>
              <w:t>)</w:t>
            </w:r>
          </w:p>
        </w:tc>
        <w:tc>
          <w:tcPr>
            <w:tcW w:w="2268" w:type="dxa"/>
            <w:vAlign w:val="center"/>
          </w:tcPr>
          <w:p w14:paraId="7A7419BC" w14:textId="77777777" w:rsidR="00004CA5" w:rsidRPr="004E13E9" w:rsidRDefault="00004CA5" w:rsidP="00356C58">
            <w:pPr>
              <w:jc w:val="center"/>
              <w:rPr>
                <w:rFonts w:ascii="Cambria" w:hAnsi="Cambria"/>
                <w:i/>
                <w:color w:val="auto"/>
                <w:sz w:val="20"/>
                <w:szCs w:val="20"/>
              </w:rPr>
            </w:pPr>
            <w:r w:rsidRPr="004E13E9">
              <w:rPr>
                <w:rFonts w:ascii="Cambria" w:hAnsi="Cambria"/>
                <w:i/>
                <w:color w:val="auto"/>
                <w:sz w:val="20"/>
                <w:szCs w:val="20"/>
              </w:rPr>
              <w:t>Explication des actions prises par la CPC à des fins de mise en œuvre</w:t>
            </w:r>
          </w:p>
        </w:tc>
        <w:tc>
          <w:tcPr>
            <w:tcW w:w="1984" w:type="dxa"/>
            <w:vAlign w:val="center"/>
          </w:tcPr>
          <w:p w14:paraId="530C46E5" w14:textId="77777777" w:rsidR="00004CA5" w:rsidRPr="004E13E9" w:rsidRDefault="00004CA5" w:rsidP="00356C58">
            <w:pPr>
              <w:jc w:val="center"/>
              <w:rPr>
                <w:rFonts w:ascii="Cambria" w:hAnsi="Cambria"/>
                <w:i/>
                <w:color w:val="auto"/>
                <w:sz w:val="20"/>
                <w:szCs w:val="20"/>
              </w:rPr>
            </w:pPr>
            <w:r w:rsidRPr="004E13E9">
              <w:rPr>
                <w:rFonts w:ascii="Cambria" w:hAnsi="Cambria"/>
                <w:i/>
                <w:color w:val="auto"/>
                <w:sz w:val="20"/>
                <w:szCs w:val="20"/>
              </w:rPr>
              <w:t>Lois ou réglementations nationales pertinentes</w:t>
            </w:r>
          </w:p>
          <w:p w14:paraId="190893F0" w14:textId="77777777" w:rsidR="00004CA5" w:rsidRPr="004E13E9" w:rsidRDefault="00004CA5" w:rsidP="00356C58">
            <w:pPr>
              <w:jc w:val="center"/>
              <w:rPr>
                <w:rFonts w:ascii="Cambria" w:hAnsi="Cambria"/>
                <w:i/>
                <w:color w:val="auto"/>
                <w:sz w:val="20"/>
                <w:szCs w:val="20"/>
              </w:rPr>
            </w:pPr>
            <w:r w:rsidRPr="004E13E9">
              <w:rPr>
                <w:rFonts w:ascii="Cambria" w:hAnsi="Cambria"/>
                <w:i/>
                <w:color w:val="auto"/>
                <w:sz w:val="20"/>
                <w:szCs w:val="20"/>
              </w:rPr>
              <w:t>(le cas échéant)</w:t>
            </w:r>
          </w:p>
        </w:tc>
        <w:tc>
          <w:tcPr>
            <w:tcW w:w="1475" w:type="dxa"/>
            <w:vAlign w:val="center"/>
          </w:tcPr>
          <w:p w14:paraId="7920225E" w14:textId="77777777" w:rsidR="00004CA5" w:rsidRPr="004E13E9" w:rsidRDefault="00004CA5" w:rsidP="00356C58">
            <w:pPr>
              <w:jc w:val="center"/>
              <w:rPr>
                <w:rFonts w:ascii="Cambria" w:hAnsi="Cambria"/>
                <w:i/>
                <w:color w:val="auto"/>
                <w:sz w:val="20"/>
                <w:szCs w:val="20"/>
              </w:rPr>
            </w:pPr>
            <w:r w:rsidRPr="004E13E9">
              <w:rPr>
                <w:rFonts w:ascii="Cambria" w:hAnsi="Cambria"/>
                <w:i/>
                <w:color w:val="auto"/>
                <w:sz w:val="20"/>
                <w:szCs w:val="20"/>
              </w:rPr>
              <w:t>Note</w:t>
            </w:r>
          </w:p>
        </w:tc>
      </w:tr>
      <w:tr w:rsidR="00004CA5" w:rsidRPr="006A2397" w14:paraId="3C9655BB" w14:textId="77777777" w:rsidTr="003F170B">
        <w:tc>
          <w:tcPr>
            <w:tcW w:w="453" w:type="dxa"/>
          </w:tcPr>
          <w:p w14:paraId="2C392B0B" w14:textId="77777777" w:rsidR="00004CA5" w:rsidRPr="004E13E9" w:rsidRDefault="00004CA5" w:rsidP="00356C58">
            <w:pPr>
              <w:jc w:val="both"/>
              <w:rPr>
                <w:rFonts w:ascii="Cambria" w:hAnsi="Cambria"/>
                <w:b/>
                <w:color w:val="auto"/>
                <w:sz w:val="20"/>
                <w:szCs w:val="20"/>
              </w:rPr>
            </w:pPr>
            <w:r w:rsidRPr="004E13E9">
              <w:rPr>
                <w:rFonts w:ascii="Cambria" w:hAnsi="Cambria"/>
                <w:b/>
                <w:color w:val="auto"/>
                <w:sz w:val="20"/>
                <w:szCs w:val="20"/>
              </w:rPr>
              <w:t>1</w:t>
            </w:r>
          </w:p>
        </w:tc>
        <w:tc>
          <w:tcPr>
            <w:tcW w:w="2661" w:type="dxa"/>
          </w:tcPr>
          <w:p w14:paraId="28352103" w14:textId="77777777" w:rsidR="00004CA5" w:rsidRPr="004E13E9" w:rsidRDefault="00004CA5" w:rsidP="00356C58">
            <w:pPr>
              <w:jc w:val="both"/>
              <w:rPr>
                <w:rFonts w:ascii="Cambria" w:hAnsi="Cambria"/>
                <w:b/>
                <w:color w:val="auto"/>
                <w:sz w:val="20"/>
                <w:szCs w:val="20"/>
              </w:rPr>
            </w:pPr>
            <w:r w:rsidRPr="004E13E9">
              <w:rPr>
                <w:rFonts w:ascii="Cambria" w:hAnsi="Cambria"/>
                <w:b/>
                <w:color w:val="auto"/>
                <w:sz w:val="20"/>
                <w:szCs w:val="20"/>
              </w:rPr>
              <w:t>Enregistrement et déclaration de la capture (paragraphes 74-88)</w:t>
            </w:r>
          </w:p>
        </w:tc>
        <w:tc>
          <w:tcPr>
            <w:tcW w:w="2268" w:type="dxa"/>
          </w:tcPr>
          <w:p w14:paraId="194025AB"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Carnet de pêche relié et Journal de pêche électronique, le cas échéant.</w:t>
            </w:r>
          </w:p>
          <w:p w14:paraId="4CF1BFBA"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Tous les poissons morts retenus ou rejetés seront déduits du quota.</w:t>
            </w:r>
          </w:p>
        </w:tc>
        <w:tc>
          <w:tcPr>
            <w:tcW w:w="1984" w:type="dxa"/>
          </w:tcPr>
          <w:p w14:paraId="71551BA8"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 Le Code de la pêche maritime et son décret d’application.</w:t>
            </w:r>
          </w:p>
          <w:p w14:paraId="6912FB1C"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 Les Arrêtés établissant le journal de pêche et le journal de pêche électronique</w:t>
            </w:r>
          </w:p>
          <w:p w14:paraId="18383D69"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 xml:space="preserve">-L’Arrêté n°033874 du 17 octobre 2025 fixant les mesures de gestion du thon rouge pour les navires battant pavillon sénégalais </w:t>
            </w:r>
          </w:p>
        </w:tc>
        <w:tc>
          <w:tcPr>
            <w:tcW w:w="1475" w:type="dxa"/>
          </w:tcPr>
          <w:p w14:paraId="4098AFA0" w14:textId="77777777" w:rsidR="00004CA5" w:rsidRPr="004E13E9" w:rsidRDefault="00004CA5" w:rsidP="00356C58">
            <w:pPr>
              <w:jc w:val="both"/>
              <w:rPr>
                <w:rFonts w:ascii="Cambria" w:hAnsi="Cambria"/>
                <w:color w:val="auto"/>
                <w:sz w:val="20"/>
                <w:szCs w:val="20"/>
              </w:rPr>
            </w:pPr>
          </w:p>
        </w:tc>
      </w:tr>
      <w:tr w:rsidR="00004CA5" w:rsidRPr="006A2397" w14:paraId="0B267E8D" w14:textId="77777777" w:rsidTr="003F170B">
        <w:tc>
          <w:tcPr>
            <w:tcW w:w="453" w:type="dxa"/>
          </w:tcPr>
          <w:p w14:paraId="6E63C125" w14:textId="77777777" w:rsidR="00004CA5" w:rsidRPr="004E13E9" w:rsidRDefault="00004CA5" w:rsidP="00356C58">
            <w:pPr>
              <w:jc w:val="both"/>
              <w:rPr>
                <w:rFonts w:ascii="Cambria" w:hAnsi="Cambria"/>
                <w:b/>
                <w:color w:val="auto"/>
                <w:sz w:val="20"/>
                <w:szCs w:val="20"/>
              </w:rPr>
            </w:pPr>
            <w:r w:rsidRPr="004E13E9">
              <w:rPr>
                <w:rFonts w:ascii="Cambria" w:hAnsi="Cambria"/>
                <w:b/>
                <w:color w:val="auto"/>
                <w:sz w:val="20"/>
                <w:szCs w:val="20"/>
              </w:rPr>
              <w:t>2</w:t>
            </w:r>
          </w:p>
        </w:tc>
        <w:tc>
          <w:tcPr>
            <w:tcW w:w="2661" w:type="dxa"/>
          </w:tcPr>
          <w:p w14:paraId="03F59CF5" w14:textId="77777777" w:rsidR="00004CA5" w:rsidRPr="004E13E9" w:rsidRDefault="00004CA5" w:rsidP="00356C58">
            <w:pPr>
              <w:jc w:val="both"/>
              <w:rPr>
                <w:rFonts w:ascii="Cambria" w:hAnsi="Cambria"/>
                <w:b/>
                <w:color w:val="auto"/>
                <w:sz w:val="20"/>
                <w:szCs w:val="20"/>
              </w:rPr>
            </w:pPr>
            <w:r w:rsidRPr="004E13E9">
              <w:rPr>
                <w:rFonts w:ascii="Cambria" w:hAnsi="Cambria"/>
                <w:b/>
                <w:color w:val="auto"/>
                <w:sz w:val="20"/>
                <w:szCs w:val="20"/>
              </w:rPr>
              <w:t>Périodes d’ouverture de la pêche (paragraphes 28-32)</w:t>
            </w:r>
          </w:p>
        </w:tc>
        <w:tc>
          <w:tcPr>
            <w:tcW w:w="2268" w:type="dxa"/>
          </w:tcPr>
          <w:p w14:paraId="009327DE"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La période de pêche autorisée pour les canneurs et senneurs ne ciblant pas mais pouvant capturer le thon rouge dans l’Atlantique Est s’étend du 1</w:t>
            </w:r>
            <w:r w:rsidRPr="004E13E9">
              <w:rPr>
                <w:rFonts w:ascii="Cambria" w:hAnsi="Cambria"/>
                <w:color w:val="auto"/>
                <w:sz w:val="20"/>
                <w:szCs w:val="20"/>
                <w:vertAlign w:val="superscript"/>
              </w:rPr>
              <w:t>er</w:t>
            </w:r>
            <w:r w:rsidRPr="004E13E9">
              <w:rPr>
                <w:rFonts w:ascii="Cambria" w:hAnsi="Cambria"/>
                <w:color w:val="auto"/>
                <w:sz w:val="20"/>
                <w:szCs w:val="20"/>
              </w:rPr>
              <w:t xml:space="preserve"> janvier au 31 décembre 2026. </w:t>
            </w:r>
          </w:p>
        </w:tc>
        <w:tc>
          <w:tcPr>
            <w:tcW w:w="1984" w:type="dxa"/>
          </w:tcPr>
          <w:p w14:paraId="286D205B"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Arrêté n°033874 du 17 octobre 2025 fixant les mesures de gestion du thon rouge pour les navires battant pavillon sénégalais</w:t>
            </w:r>
          </w:p>
        </w:tc>
        <w:tc>
          <w:tcPr>
            <w:tcW w:w="1475" w:type="dxa"/>
          </w:tcPr>
          <w:p w14:paraId="7D7EF914" w14:textId="77777777" w:rsidR="00004CA5" w:rsidRPr="004E13E9" w:rsidRDefault="00004CA5" w:rsidP="00356C58">
            <w:pPr>
              <w:jc w:val="both"/>
              <w:rPr>
                <w:rFonts w:ascii="Cambria" w:hAnsi="Cambria"/>
                <w:color w:val="auto"/>
                <w:sz w:val="20"/>
                <w:szCs w:val="20"/>
              </w:rPr>
            </w:pPr>
          </w:p>
        </w:tc>
      </w:tr>
      <w:tr w:rsidR="00004CA5" w:rsidRPr="006A2397" w14:paraId="03525D5C" w14:textId="77777777" w:rsidTr="003F170B">
        <w:tc>
          <w:tcPr>
            <w:tcW w:w="453" w:type="dxa"/>
          </w:tcPr>
          <w:p w14:paraId="5ED18FE8" w14:textId="77777777" w:rsidR="00004CA5" w:rsidRPr="004E13E9" w:rsidRDefault="00004CA5" w:rsidP="00356C58">
            <w:pPr>
              <w:jc w:val="both"/>
              <w:rPr>
                <w:rFonts w:ascii="Cambria" w:hAnsi="Cambria"/>
                <w:b/>
                <w:color w:val="auto"/>
                <w:sz w:val="20"/>
                <w:szCs w:val="20"/>
              </w:rPr>
            </w:pPr>
            <w:r w:rsidRPr="004E13E9">
              <w:rPr>
                <w:rFonts w:ascii="Cambria" w:hAnsi="Cambria"/>
                <w:b/>
                <w:color w:val="auto"/>
                <w:sz w:val="20"/>
                <w:szCs w:val="20"/>
              </w:rPr>
              <w:t>3</w:t>
            </w:r>
          </w:p>
        </w:tc>
        <w:tc>
          <w:tcPr>
            <w:tcW w:w="2661" w:type="dxa"/>
          </w:tcPr>
          <w:p w14:paraId="288AA953" w14:textId="77777777" w:rsidR="00004CA5" w:rsidRPr="004E13E9" w:rsidRDefault="00004CA5" w:rsidP="00356C58">
            <w:pPr>
              <w:jc w:val="both"/>
              <w:rPr>
                <w:rFonts w:ascii="Cambria" w:hAnsi="Cambria"/>
                <w:b/>
                <w:color w:val="auto"/>
                <w:sz w:val="20"/>
                <w:szCs w:val="20"/>
              </w:rPr>
            </w:pPr>
            <w:r w:rsidRPr="004E13E9">
              <w:rPr>
                <w:rFonts w:ascii="Cambria" w:hAnsi="Cambria"/>
                <w:b/>
                <w:bCs/>
                <w:color w:val="auto"/>
                <w:sz w:val="20"/>
                <w:szCs w:val="20"/>
              </w:rPr>
              <w:t>Taille minimale (</w:t>
            </w:r>
            <w:r w:rsidRPr="004E13E9">
              <w:rPr>
                <w:rFonts w:ascii="Cambria" w:hAnsi="Cambria"/>
                <w:b/>
                <w:color w:val="auto"/>
                <w:sz w:val="20"/>
                <w:szCs w:val="20"/>
              </w:rPr>
              <w:t xml:space="preserve">paragraphes </w:t>
            </w:r>
            <w:r w:rsidRPr="004E13E9">
              <w:rPr>
                <w:rFonts w:ascii="Cambria" w:hAnsi="Cambria"/>
                <w:b/>
                <w:bCs/>
                <w:color w:val="auto"/>
                <w:sz w:val="20"/>
                <w:szCs w:val="20"/>
              </w:rPr>
              <w:t>33-35)</w:t>
            </w:r>
          </w:p>
        </w:tc>
        <w:tc>
          <w:tcPr>
            <w:tcW w:w="2268" w:type="dxa"/>
          </w:tcPr>
          <w:p w14:paraId="6A8E9A29"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Une taille minimale de 30 kg et de 115 cm de longueur fourche pour les senneurs et canneurs</w:t>
            </w:r>
          </w:p>
          <w:p w14:paraId="7BBCFBE5" w14:textId="77777777" w:rsidR="00004CA5" w:rsidRPr="004E13E9" w:rsidRDefault="00004CA5" w:rsidP="00356C58">
            <w:pPr>
              <w:jc w:val="both"/>
              <w:rPr>
                <w:rFonts w:ascii="Cambria" w:hAnsi="Cambria"/>
                <w:color w:val="auto"/>
                <w:sz w:val="20"/>
                <w:szCs w:val="20"/>
              </w:rPr>
            </w:pPr>
          </w:p>
        </w:tc>
        <w:tc>
          <w:tcPr>
            <w:tcW w:w="1984" w:type="dxa"/>
          </w:tcPr>
          <w:p w14:paraId="1C187AB4"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Arrêté n°033874 du 17 octobre 2025 fixant les mesures de gestion du thon rouge pour les navires battant pavillon sénégalais</w:t>
            </w:r>
          </w:p>
        </w:tc>
        <w:tc>
          <w:tcPr>
            <w:tcW w:w="1475" w:type="dxa"/>
          </w:tcPr>
          <w:p w14:paraId="7227FE44" w14:textId="77777777" w:rsidR="00004CA5" w:rsidRPr="004E13E9" w:rsidRDefault="00004CA5" w:rsidP="00356C58">
            <w:pPr>
              <w:jc w:val="both"/>
              <w:rPr>
                <w:rFonts w:ascii="Cambria" w:hAnsi="Cambria"/>
                <w:color w:val="auto"/>
                <w:sz w:val="20"/>
                <w:szCs w:val="20"/>
              </w:rPr>
            </w:pPr>
          </w:p>
        </w:tc>
      </w:tr>
      <w:tr w:rsidR="00004CA5" w:rsidRPr="006A2397" w14:paraId="0B26D54B" w14:textId="77777777" w:rsidTr="003F170B">
        <w:tc>
          <w:tcPr>
            <w:tcW w:w="453" w:type="dxa"/>
          </w:tcPr>
          <w:p w14:paraId="09D44035" w14:textId="77777777" w:rsidR="00004CA5" w:rsidRPr="004E13E9" w:rsidRDefault="00004CA5" w:rsidP="00356C58">
            <w:pPr>
              <w:jc w:val="both"/>
              <w:rPr>
                <w:rFonts w:ascii="Cambria" w:hAnsi="Cambria"/>
                <w:b/>
                <w:color w:val="auto"/>
                <w:sz w:val="20"/>
                <w:szCs w:val="20"/>
              </w:rPr>
            </w:pPr>
            <w:r w:rsidRPr="004E13E9">
              <w:rPr>
                <w:rFonts w:ascii="Cambria" w:hAnsi="Cambria"/>
                <w:b/>
                <w:color w:val="auto"/>
                <w:sz w:val="20"/>
                <w:szCs w:val="20"/>
              </w:rPr>
              <w:t>4</w:t>
            </w:r>
          </w:p>
        </w:tc>
        <w:tc>
          <w:tcPr>
            <w:tcW w:w="2661" w:type="dxa"/>
          </w:tcPr>
          <w:p w14:paraId="2EAFE40F" w14:textId="77777777" w:rsidR="00004CA5" w:rsidRPr="004E13E9" w:rsidRDefault="00004CA5" w:rsidP="00356C58">
            <w:pPr>
              <w:jc w:val="both"/>
              <w:rPr>
                <w:rFonts w:ascii="Cambria" w:hAnsi="Cambria"/>
                <w:b/>
                <w:color w:val="auto"/>
                <w:sz w:val="20"/>
                <w:szCs w:val="20"/>
              </w:rPr>
            </w:pPr>
            <w:r w:rsidRPr="004E13E9">
              <w:rPr>
                <w:rFonts w:ascii="Cambria" w:hAnsi="Cambria"/>
                <w:b/>
                <w:color w:val="auto"/>
                <w:sz w:val="20"/>
                <w:szCs w:val="20"/>
              </w:rPr>
              <w:t xml:space="preserve">Prises accessoires (paragraphe 37) </w:t>
            </w:r>
          </w:p>
        </w:tc>
        <w:tc>
          <w:tcPr>
            <w:tcW w:w="2268" w:type="dxa"/>
          </w:tcPr>
          <w:p w14:paraId="2CCCE3C4"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L’ensemble du quota de 55 t est destiné aux prises accessoires de thon rouge pour les senneurs et canneurs autorisés à cibler les tropicaux.</w:t>
            </w:r>
          </w:p>
          <w:p w14:paraId="4B4A9601" w14:textId="77777777" w:rsidR="00004CA5" w:rsidRPr="004E13E9" w:rsidRDefault="00004CA5" w:rsidP="00356C58">
            <w:pPr>
              <w:jc w:val="both"/>
              <w:rPr>
                <w:rFonts w:ascii="Cambria" w:hAnsi="Cambria"/>
                <w:color w:val="auto"/>
                <w:sz w:val="20"/>
                <w:szCs w:val="20"/>
              </w:rPr>
            </w:pPr>
          </w:p>
        </w:tc>
        <w:tc>
          <w:tcPr>
            <w:tcW w:w="1984" w:type="dxa"/>
          </w:tcPr>
          <w:p w14:paraId="0769849D"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Arrêté n°033874 du 17 octobre 2025 fixant les mesures de gestion du thon rouge pour les navires battant pavillon sénégalais</w:t>
            </w:r>
          </w:p>
        </w:tc>
        <w:tc>
          <w:tcPr>
            <w:tcW w:w="1475" w:type="dxa"/>
          </w:tcPr>
          <w:p w14:paraId="7611278A" w14:textId="77777777" w:rsidR="00004CA5" w:rsidRPr="004E13E9" w:rsidRDefault="00004CA5" w:rsidP="00356C58">
            <w:pPr>
              <w:jc w:val="both"/>
              <w:rPr>
                <w:rFonts w:ascii="Cambria" w:hAnsi="Cambria"/>
                <w:color w:val="auto"/>
                <w:sz w:val="20"/>
                <w:szCs w:val="20"/>
              </w:rPr>
            </w:pPr>
          </w:p>
        </w:tc>
      </w:tr>
      <w:tr w:rsidR="00004CA5" w:rsidRPr="006A2397" w14:paraId="16E7DC36" w14:textId="77777777" w:rsidTr="003F170B">
        <w:tc>
          <w:tcPr>
            <w:tcW w:w="453" w:type="dxa"/>
          </w:tcPr>
          <w:p w14:paraId="6BD150F8" w14:textId="77777777" w:rsidR="00004CA5" w:rsidRPr="004E13E9" w:rsidRDefault="00004CA5" w:rsidP="00356C58">
            <w:pPr>
              <w:jc w:val="both"/>
              <w:rPr>
                <w:rFonts w:ascii="Cambria" w:hAnsi="Cambria"/>
                <w:b/>
                <w:color w:val="auto"/>
                <w:sz w:val="20"/>
                <w:szCs w:val="20"/>
              </w:rPr>
            </w:pPr>
            <w:r w:rsidRPr="004E13E9">
              <w:rPr>
                <w:rFonts w:ascii="Cambria" w:hAnsi="Cambria"/>
                <w:b/>
                <w:color w:val="auto"/>
                <w:sz w:val="20"/>
                <w:szCs w:val="20"/>
              </w:rPr>
              <w:t>5</w:t>
            </w:r>
          </w:p>
        </w:tc>
        <w:tc>
          <w:tcPr>
            <w:tcW w:w="2661" w:type="dxa"/>
          </w:tcPr>
          <w:p w14:paraId="581C392C" w14:textId="77777777" w:rsidR="00004CA5" w:rsidRPr="004E13E9" w:rsidRDefault="00004CA5" w:rsidP="00356C58">
            <w:pPr>
              <w:jc w:val="both"/>
              <w:rPr>
                <w:rFonts w:ascii="Cambria" w:hAnsi="Cambria"/>
                <w:b/>
                <w:color w:val="auto"/>
                <w:sz w:val="20"/>
                <w:szCs w:val="20"/>
              </w:rPr>
            </w:pPr>
            <w:r w:rsidRPr="004E13E9">
              <w:rPr>
                <w:rFonts w:ascii="Cambria" w:hAnsi="Cambria"/>
                <w:b/>
                <w:bCs/>
                <w:color w:val="auto"/>
                <w:sz w:val="20"/>
                <w:szCs w:val="20"/>
              </w:rPr>
              <w:t>Pêcheries récréatives et sportives (paragraphes 38-46)</w:t>
            </w:r>
          </w:p>
        </w:tc>
        <w:tc>
          <w:tcPr>
            <w:tcW w:w="2268" w:type="dxa"/>
          </w:tcPr>
          <w:p w14:paraId="4DCA2938" w14:textId="77777777" w:rsidR="00004CA5" w:rsidRPr="004E13E9" w:rsidRDefault="00004CA5" w:rsidP="00356C58">
            <w:pPr>
              <w:jc w:val="both"/>
              <w:rPr>
                <w:rFonts w:ascii="Cambria" w:hAnsi="Cambria"/>
                <w:color w:val="auto"/>
                <w:sz w:val="20"/>
                <w:szCs w:val="20"/>
              </w:rPr>
            </w:pPr>
          </w:p>
        </w:tc>
        <w:tc>
          <w:tcPr>
            <w:tcW w:w="1984" w:type="dxa"/>
          </w:tcPr>
          <w:p w14:paraId="5F9C3A2F" w14:textId="77777777" w:rsidR="00004CA5" w:rsidRPr="004E13E9" w:rsidRDefault="00004CA5" w:rsidP="00356C58">
            <w:pPr>
              <w:jc w:val="both"/>
              <w:rPr>
                <w:rFonts w:ascii="Cambria" w:hAnsi="Cambria"/>
                <w:color w:val="auto"/>
                <w:sz w:val="20"/>
                <w:szCs w:val="20"/>
              </w:rPr>
            </w:pPr>
          </w:p>
        </w:tc>
        <w:tc>
          <w:tcPr>
            <w:tcW w:w="1475" w:type="dxa"/>
          </w:tcPr>
          <w:p w14:paraId="07710C0C" w14:textId="77777777" w:rsidR="00004CA5" w:rsidRPr="004E13E9" w:rsidRDefault="00004CA5" w:rsidP="00356C58">
            <w:pPr>
              <w:jc w:val="both"/>
              <w:rPr>
                <w:rFonts w:ascii="Cambria" w:hAnsi="Cambria"/>
                <w:color w:val="auto"/>
                <w:sz w:val="20"/>
                <w:szCs w:val="20"/>
              </w:rPr>
            </w:pPr>
          </w:p>
        </w:tc>
      </w:tr>
      <w:tr w:rsidR="00004CA5" w:rsidRPr="006A2397" w14:paraId="70AB20EA" w14:textId="77777777" w:rsidTr="003F170B">
        <w:tc>
          <w:tcPr>
            <w:tcW w:w="453" w:type="dxa"/>
          </w:tcPr>
          <w:p w14:paraId="57F7D1C4" w14:textId="77777777" w:rsidR="00004CA5" w:rsidRPr="004E13E9" w:rsidRDefault="00004CA5" w:rsidP="00356C58">
            <w:pPr>
              <w:jc w:val="both"/>
              <w:rPr>
                <w:rFonts w:ascii="Cambria" w:hAnsi="Cambria"/>
                <w:b/>
                <w:color w:val="auto"/>
                <w:sz w:val="20"/>
                <w:szCs w:val="20"/>
              </w:rPr>
            </w:pPr>
            <w:r w:rsidRPr="004E13E9">
              <w:rPr>
                <w:rFonts w:ascii="Cambria" w:hAnsi="Cambria"/>
                <w:b/>
                <w:color w:val="auto"/>
                <w:sz w:val="20"/>
                <w:szCs w:val="20"/>
              </w:rPr>
              <w:t>6</w:t>
            </w:r>
          </w:p>
        </w:tc>
        <w:tc>
          <w:tcPr>
            <w:tcW w:w="2661" w:type="dxa"/>
          </w:tcPr>
          <w:p w14:paraId="59373759" w14:textId="77777777" w:rsidR="00004CA5" w:rsidRPr="004E13E9" w:rsidRDefault="00004CA5" w:rsidP="00356C58">
            <w:pPr>
              <w:jc w:val="both"/>
              <w:rPr>
                <w:rFonts w:ascii="Cambria" w:hAnsi="Cambria"/>
                <w:b/>
                <w:color w:val="auto"/>
                <w:sz w:val="20"/>
                <w:szCs w:val="20"/>
              </w:rPr>
            </w:pPr>
            <w:r w:rsidRPr="004E13E9">
              <w:rPr>
                <w:rFonts w:ascii="Cambria" w:hAnsi="Cambria"/>
                <w:b/>
                <w:color w:val="auto"/>
                <w:sz w:val="20"/>
                <w:szCs w:val="20"/>
              </w:rPr>
              <w:t xml:space="preserve">Transbordement (paragraphes 89-94) </w:t>
            </w:r>
          </w:p>
        </w:tc>
        <w:tc>
          <w:tcPr>
            <w:tcW w:w="2268" w:type="dxa"/>
          </w:tcPr>
          <w:p w14:paraId="365347CB"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Seul le transbordement au port de Dakar est autorisé en vertu de l’Arrêté n°033874 du 17 octobre 2025 fixant les mesures de gestion du thon rouge pour les navires battant pavillon sénégalais</w:t>
            </w:r>
          </w:p>
        </w:tc>
        <w:tc>
          <w:tcPr>
            <w:tcW w:w="1984" w:type="dxa"/>
          </w:tcPr>
          <w:p w14:paraId="33F61741"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Arrêté n°033874 du 17 octobre 2025 fixant les mesures de gestion du thon rouge pour les navires battant pavillon sénégalais</w:t>
            </w:r>
          </w:p>
        </w:tc>
        <w:tc>
          <w:tcPr>
            <w:tcW w:w="1475" w:type="dxa"/>
          </w:tcPr>
          <w:p w14:paraId="02E6F0A8" w14:textId="77777777" w:rsidR="00004CA5" w:rsidRPr="004E13E9" w:rsidRDefault="00004CA5" w:rsidP="00356C58">
            <w:pPr>
              <w:jc w:val="both"/>
              <w:rPr>
                <w:rFonts w:ascii="Cambria" w:hAnsi="Cambria"/>
                <w:color w:val="auto"/>
                <w:sz w:val="20"/>
                <w:szCs w:val="20"/>
              </w:rPr>
            </w:pPr>
          </w:p>
        </w:tc>
      </w:tr>
      <w:tr w:rsidR="00004CA5" w:rsidRPr="006A2397" w14:paraId="54811E3B" w14:textId="77777777" w:rsidTr="003F170B">
        <w:tc>
          <w:tcPr>
            <w:tcW w:w="453" w:type="dxa"/>
          </w:tcPr>
          <w:p w14:paraId="701AA093" w14:textId="77777777" w:rsidR="00004CA5" w:rsidRPr="004E13E9" w:rsidRDefault="00004CA5" w:rsidP="00356C58">
            <w:pPr>
              <w:jc w:val="both"/>
              <w:rPr>
                <w:rFonts w:ascii="Cambria" w:hAnsi="Cambria"/>
                <w:b/>
                <w:color w:val="auto"/>
                <w:sz w:val="20"/>
                <w:szCs w:val="20"/>
              </w:rPr>
            </w:pPr>
            <w:r w:rsidRPr="004E13E9">
              <w:rPr>
                <w:rFonts w:ascii="Cambria" w:hAnsi="Cambria"/>
                <w:b/>
                <w:color w:val="auto"/>
                <w:sz w:val="20"/>
                <w:szCs w:val="20"/>
              </w:rPr>
              <w:t>7</w:t>
            </w:r>
          </w:p>
        </w:tc>
        <w:tc>
          <w:tcPr>
            <w:tcW w:w="2661" w:type="dxa"/>
          </w:tcPr>
          <w:p w14:paraId="488F2A01" w14:textId="77777777" w:rsidR="00004CA5" w:rsidRPr="004E13E9" w:rsidRDefault="00004CA5" w:rsidP="00356C58">
            <w:pPr>
              <w:jc w:val="both"/>
              <w:rPr>
                <w:rFonts w:ascii="Cambria" w:hAnsi="Cambria"/>
                <w:b/>
                <w:color w:val="auto"/>
                <w:sz w:val="20"/>
                <w:szCs w:val="20"/>
              </w:rPr>
            </w:pPr>
            <w:r w:rsidRPr="004E13E9">
              <w:rPr>
                <w:rFonts w:ascii="Cambria" w:hAnsi="Cambria"/>
                <w:b/>
                <w:color w:val="auto"/>
                <w:sz w:val="20"/>
                <w:szCs w:val="20"/>
              </w:rPr>
              <w:t>VMS (paragraphes 222-228)</w:t>
            </w:r>
          </w:p>
        </w:tc>
        <w:tc>
          <w:tcPr>
            <w:tcW w:w="2268" w:type="dxa"/>
          </w:tcPr>
          <w:p w14:paraId="374B32EB"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La réglementation nationale impose l’embarquement d’un système VMS à bord des navires de pêche industrielle y compris les thoniers.</w:t>
            </w:r>
          </w:p>
          <w:p w14:paraId="5AED30F2"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La plateforme VMS permet de suivre les navires de pêche avec une fréquence de transmission d’une (1) heure et 24h/24h.</w:t>
            </w:r>
          </w:p>
          <w:p w14:paraId="587B8A01" w14:textId="77777777" w:rsidR="00004CA5" w:rsidRPr="004E13E9" w:rsidRDefault="00004CA5" w:rsidP="00356C58">
            <w:pPr>
              <w:jc w:val="both"/>
              <w:rPr>
                <w:rFonts w:ascii="Cambria" w:hAnsi="Cambria"/>
                <w:color w:val="auto"/>
                <w:sz w:val="20"/>
                <w:szCs w:val="20"/>
              </w:rPr>
            </w:pPr>
          </w:p>
        </w:tc>
        <w:tc>
          <w:tcPr>
            <w:tcW w:w="1984" w:type="dxa"/>
          </w:tcPr>
          <w:p w14:paraId="166A3D41" w14:textId="77777777" w:rsidR="00004CA5" w:rsidRPr="004E13E9" w:rsidRDefault="00004CA5" w:rsidP="00356C58">
            <w:pPr>
              <w:jc w:val="both"/>
              <w:rPr>
                <w:rFonts w:ascii="Cambria" w:hAnsi="Cambria"/>
                <w:color w:val="auto"/>
                <w:sz w:val="20"/>
                <w:szCs w:val="20"/>
              </w:rPr>
            </w:pPr>
          </w:p>
        </w:tc>
        <w:tc>
          <w:tcPr>
            <w:tcW w:w="1475" w:type="dxa"/>
          </w:tcPr>
          <w:p w14:paraId="04BCA7E1" w14:textId="77777777" w:rsidR="00004CA5" w:rsidRPr="004E13E9" w:rsidRDefault="00004CA5" w:rsidP="00356C58">
            <w:pPr>
              <w:jc w:val="both"/>
              <w:rPr>
                <w:rFonts w:ascii="Cambria" w:hAnsi="Cambria"/>
                <w:color w:val="auto"/>
                <w:sz w:val="20"/>
                <w:szCs w:val="20"/>
              </w:rPr>
            </w:pPr>
          </w:p>
        </w:tc>
      </w:tr>
      <w:tr w:rsidR="00004CA5" w:rsidRPr="006A2397" w14:paraId="686F3FB0" w14:textId="77777777" w:rsidTr="003F170B">
        <w:tc>
          <w:tcPr>
            <w:tcW w:w="453" w:type="dxa"/>
          </w:tcPr>
          <w:p w14:paraId="78719FD0" w14:textId="77777777" w:rsidR="00004CA5" w:rsidRPr="004E13E9" w:rsidRDefault="00004CA5" w:rsidP="00356C58">
            <w:pPr>
              <w:jc w:val="both"/>
              <w:rPr>
                <w:rFonts w:ascii="Cambria" w:hAnsi="Cambria"/>
                <w:b/>
                <w:color w:val="auto"/>
                <w:sz w:val="20"/>
                <w:szCs w:val="20"/>
              </w:rPr>
            </w:pPr>
            <w:r w:rsidRPr="004E13E9">
              <w:rPr>
                <w:rFonts w:ascii="Cambria" w:hAnsi="Cambria"/>
                <w:b/>
                <w:color w:val="auto"/>
                <w:sz w:val="20"/>
                <w:szCs w:val="20"/>
              </w:rPr>
              <w:t>8</w:t>
            </w:r>
          </w:p>
        </w:tc>
        <w:tc>
          <w:tcPr>
            <w:tcW w:w="2661" w:type="dxa"/>
          </w:tcPr>
          <w:p w14:paraId="3A0CDB5C" w14:textId="77777777" w:rsidR="00004CA5" w:rsidRPr="004E13E9" w:rsidRDefault="00004CA5" w:rsidP="00356C58">
            <w:pPr>
              <w:jc w:val="both"/>
              <w:rPr>
                <w:rFonts w:ascii="Cambria" w:hAnsi="Cambria"/>
                <w:b/>
                <w:color w:val="auto"/>
                <w:sz w:val="20"/>
                <w:szCs w:val="20"/>
              </w:rPr>
            </w:pPr>
            <w:r w:rsidRPr="004E13E9">
              <w:rPr>
                <w:rFonts w:ascii="Cambria" w:hAnsi="Cambria"/>
                <w:b/>
                <w:color w:val="auto"/>
                <w:sz w:val="20"/>
                <w:szCs w:val="20"/>
              </w:rPr>
              <w:t>Programme d’observateurs des CPC (paragraphes 95-100)</w:t>
            </w:r>
          </w:p>
        </w:tc>
        <w:tc>
          <w:tcPr>
            <w:tcW w:w="2268" w:type="dxa"/>
          </w:tcPr>
          <w:p w14:paraId="1A48285F"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 Les senneurs ciblant les tropicaux et pouvant effectuer des captures de thon rouge ont une couverture de 100%</w:t>
            </w:r>
          </w:p>
          <w:p w14:paraId="5D419715"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-Les canneurs ciblant les tropicaux auront une couverture de 10%</w:t>
            </w:r>
          </w:p>
        </w:tc>
        <w:tc>
          <w:tcPr>
            <w:tcW w:w="1984" w:type="dxa"/>
          </w:tcPr>
          <w:p w14:paraId="384DE0EA" w14:textId="77777777" w:rsidR="00004CA5" w:rsidRPr="004E13E9" w:rsidRDefault="00004CA5" w:rsidP="00356C58">
            <w:pPr>
              <w:jc w:val="both"/>
              <w:rPr>
                <w:rFonts w:ascii="Cambria" w:hAnsi="Cambria"/>
                <w:color w:val="auto"/>
                <w:sz w:val="20"/>
                <w:szCs w:val="20"/>
              </w:rPr>
            </w:pPr>
          </w:p>
        </w:tc>
        <w:tc>
          <w:tcPr>
            <w:tcW w:w="1475" w:type="dxa"/>
          </w:tcPr>
          <w:p w14:paraId="1EBA3425" w14:textId="77777777" w:rsidR="00004CA5" w:rsidRPr="004E13E9" w:rsidRDefault="00004CA5" w:rsidP="00356C58">
            <w:pPr>
              <w:jc w:val="both"/>
              <w:rPr>
                <w:rFonts w:ascii="Cambria" w:hAnsi="Cambria"/>
                <w:color w:val="auto"/>
                <w:sz w:val="20"/>
                <w:szCs w:val="20"/>
              </w:rPr>
            </w:pPr>
          </w:p>
        </w:tc>
      </w:tr>
      <w:tr w:rsidR="00004CA5" w:rsidRPr="004E13E9" w14:paraId="551E5C0B" w14:textId="77777777" w:rsidTr="003F170B">
        <w:tc>
          <w:tcPr>
            <w:tcW w:w="453" w:type="dxa"/>
          </w:tcPr>
          <w:p w14:paraId="0EEB3163" w14:textId="77777777" w:rsidR="00004CA5" w:rsidRPr="004E13E9" w:rsidRDefault="00004CA5" w:rsidP="00356C58">
            <w:pPr>
              <w:jc w:val="both"/>
              <w:rPr>
                <w:rFonts w:ascii="Cambria" w:hAnsi="Cambria"/>
                <w:b/>
                <w:color w:val="auto"/>
                <w:sz w:val="20"/>
                <w:szCs w:val="20"/>
              </w:rPr>
            </w:pPr>
            <w:r w:rsidRPr="004E13E9">
              <w:rPr>
                <w:rFonts w:ascii="Cambria" w:hAnsi="Cambria"/>
                <w:b/>
                <w:color w:val="auto"/>
                <w:sz w:val="20"/>
                <w:szCs w:val="20"/>
              </w:rPr>
              <w:t>9</w:t>
            </w:r>
          </w:p>
        </w:tc>
        <w:tc>
          <w:tcPr>
            <w:tcW w:w="2661" w:type="dxa"/>
          </w:tcPr>
          <w:p w14:paraId="6FD24C66" w14:textId="77777777" w:rsidR="00004CA5" w:rsidRPr="004E13E9" w:rsidRDefault="00004CA5" w:rsidP="00356C58">
            <w:pPr>
              <w:jc w:val="both"/>
              <w:rPr>
                <w:rFonts w:ascii="Cambria" w:hAnsi="Cambria"/>
                <w:b/>
                <w:color w:val="auto"/>
                <w:sz w:val="20"/>
                <w:szCs w:val="20"/>
              </w:rPr>
            </w:pPr>
            <w:r w:rsidRPr="004E13E9">
              <w:rPr>
                <w:rFonts w:ascii="Cambria" w:hAnsi="Cambria"/>
                <w:b/>
                <w:color w:val="auto"/>
                <w:sz w:val="20"/>
                <w:szCs w:val="20"/>
              </w:rPr>
              <w:t>Programme d'observateurs régionaux (paragraphes 101-107)</w:t>
            </w:r>
          </w:p>
        </w:tc>
        <w:tc>
          <w:tcPr>
            <w:tcW w:w="2268" w:type="dxa"/>
          </w:tcPr>
          <w:p w14:paraId="71C9D00D" w14:textId="77777777" w:rsidR="00004CA5" w:rsidRPr="004E13E9" w:rsidRDefault="00004CA5" w:rsidP="00356C58">
            <w:pPr>
              <w:jc w:val="both"/>
              <w:rPr>
                <w:rFonts w:ascii="Cambria" w:hAnsi="Cambria"/>
                <w:color w:val="auto"/>
                <w:sz w:val="20"/>
                <w:szCs w:val="20"/>
              </w:rPr>
            </w:pPr>
          </w:p>
          <w:p w14:paraId="663F6B3F"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Néant</w:t>
            </w:r>
          </w:p>
        </w:tc>
        <w:tc>
          <w:tcPr>
            <w:tcW w:w="1984" w:type="dxa"/>
          </w:tcPr>
          <w:p w14:paraId="2A0238B7" w14:textId="77777777" w:rsidR="00004CA5" w:rsidRPr="004E13E9" w:rsidRDefault="00004CA5" w:rsidP="00356C58">
            <w:pPr>
              <w:jc w:val="both"/>
              <w:rPr>
                <w:rFonts w:ascii="Cambria" w:hAnsi="Cambria"/>
                <w:color w:val="auto"/>
                <w:sz w:val="20"/>
                <w:szCs w:val="20"/>
              </w:rPr>
            </w:pPr>
          </w:p>
        </w:tc>
        <w:tc>
          <w:tcPr>
            <w:tcW w:w="1475" w:type="dxa"/>
          </w:tcPr>
          <w:p w14:paraId="32467C61" w14:textId="77777777" w:rsidR="00004CA5" w:rsidRPr="004E13E9" w:rsidRDefault="00004CA5" w:rsidP="00356C58">
            <w:pPr>
              <w:jc w:val="both"/>
              <w:rPr>
                <w:rFonts w:ascii="Cambria" w:hAnsi="Cambria"/>
                <w:color w:val="auto"/>
                <w:sz w:val="20"/>
                <w:szCs w:val="20"/>
              </w:rPr>
            </w:pPr>
          </w:p>
        </w:tc>
      </w:tr>
      <w:tr w:rsidR="00004CA5" w:rsidRPr="00C712A4" w14:paraId="5C22EDDE" w14:textId="77777777" w:rsidTr="003F170B">
        <w:tc>
          <w:tcPr>
            <w:tcW w:w="453" w:type="dxa"/>
          </w:tcPr>
          <w:p w14:paraId="08BE04CA" w14:textId="77777777" w:rsidR="00004CA5" w:rsidRPr="004E13E9" w:rsidRDefault="00004CA5" w:rsidP="00356C58">
            <w:pPr>
              <w:jc w:val="both"/>
              <w:rPr>
                <w:rFonts w:ascii="Cambria" w:hAnsi="Cambria"/>
                <w:b/>
                <w:bCs/>
                <w:iCs/>
                <w:color w:val="auto"/>
                <w:sz w:val="20"/>
                <w:szCs w:val="20"/>
              </w:rPr>
            </w:pPr>
            <w:r w:rsidRPr="004E13E9">
              <w:rPr>
                <w:rFonts w:ascii="Cambria" w:hAnsi="Cambria"/>
                <w:b/>
                <w:bCs/>
                <w:iCs/>
                <w:color w:val="auto"/>
                <w:sz w:val="20"/>
                <w:szCs w:val="20"/>
              </w:rPr>
              <w:t>10</w:t>
            </w:r>
          </w:p>
        </w:tc>
        <w:tc>
          <w:tcPr>
            <w:tcW w:w="2661" w:type="dxa"/>
          </w:tcPr>
          <w:p w14:paraId="7CCA7758" w14:textId="77777777" w:rsidR="00004CA5" w:rsidRPr="004E13E9" w:rsidRDefault="00004CA5" w:rsidP="00356C58">
            <w:pPr>
              <w:jc w:val="both"/>
              <w:rPr>
                <w:rFonts w:ascii="Cambria" w:hAnsi="Cambria"/>
                <w:b/>
                <w:bCs/>
                <w:iCs/>
                <w:color w:val="auto"/>
                <w:sz w:val="20"/>
                <w:szCs w:val="20"/>
              </w:rPr>
            </w:pPr>
            <w:r w:rsidRPr="004E13E9">
              <w:rPr>
                <w:rFonts w:ascii="Cambria" w:hAnsi="Cambria"/>
                <w:b/>
                <w:bCs/>
                <w:iCs/>
                <w:color w:val="auto"/>
                <w:sz w:val="20"/>
                <w:szCs w:val="20"/>
              </w:rPr>
              <w:t>Législation nationale</w:t>
            </w:r>
          </w:p>
        </w:tc>
        <w:tc>
          <w:tcPr>
            <w:tcW w:w="2268" w:type="dxa"/>
          </w:tcPr>
          <w:p w14:paraId="7E51737C"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 Le Code de la pêche maritime et son décret d’application.</w:t>
            </w:r>
          </w:p>
          <w:p w14:paraId="15C85A74"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 Les Arrêtés établissant le journal de pêche et le journal de pêche électronique</w:t>
            </w:r>
          </w:p>
          <w:p w14:paraId="4242D81A" w14:textId="204DBE7B"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w:t>
            </w:r>
            <w:r w:rsidR="00976976" w:rsidRPr="004E13E9">
              <w:rPr>
                <w:rFonts w:ascii="Cambria" w:hAnsi="Cambria"/>
                <w:color w:val="auto"/>
                <w:sz w:val="20"/>
                <w:szCs w:val="20"/>
              </w:rPr>
              <w:t xml:space="preserve"> </w:t>
            </w:r>
            <w:r w:rsidRPr="004E13E9">
              <w:rPr>
                <w:rFonts w:ascii="Cambria" w:hAnsi="Cambria"/>
                <w:color w:val="auto"/>
                <w:sz w:val="20"/>
                <w:szCs w:val="20"/>
              </w:rPr>
              <w:t>L’Arrêté n°033874 du 17 octobre 2025 fixant les mesures de gestion du thon rouge pour les navires battant pavillon sénégalais</w:t>
            </w:r>
          </w:p>
        </w:tc>
        <w:tc>
          <w:tcPr>
            <w:tcW w:w="1984" w:type="dxa"/>
          </w:tcPr>
          <w:p w14:paraId="19692D9F"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 xml:space="preserve">La Rec. 24-05 est transposée par l’Arrêté n°033874 du 17 octobre 2025 fixant les mesures de gestion du thon rouge pour les navires battant pavillon sénégalais. </w:t>
            </w:r>
          </w:p>
          <w:p w14:paraId="7307EDDF" w14:textId="77777777" w:rsidR="00004CA5" w:rsidRPr="004E13E9" w:rsidRDefault="00004CA5" w:rsidP="00356C58">
            <w:pPr>
              <w:jc w:val="both"/>
              <w:rPr>
                <w:rFonts w:ascii="Cambria" w:hAnsi="Cambria"/>
                <w:color w:val="auto"/>
                <w:sz w:val="20"/>
                <w:szCs w:val="20"/>
              </w:rPr>
            </w:pPr>
            <w:r w:rsidRPr="004E13E9">
              <w:rPr>
                <w:rFonts w:ascii="Cambria" w:hAnsi="Cambria"/>
                <w:color w:val="auto"/>
                <w:sz w:val="20"/>
                <w:szCs w:val="20"/>
              </w:rPr>
              <w:t xml:space="preserve">Des modifications seront effectuées </w:t>
            </w:r>
            <w:proofErr w:type="gramStart"/>
            <w:r w:rsidRPr="004E13E9">
              <w:rPr>
                <w:rFonts w:ascii="Cambria" w:hAnsi="Cambria"/>
                <w:color w:val="auto"/>
                <w:sz w:val="20"/>
                <w:szCs w:val="20"/>
              </w:rPr>
              <w:t>suite à</w:t>
            </w:r>
            <w:proofErr w:type="gramEnd"/>
            <w:r w:rsidRPr="004E13E9">
              <w:rPr>
                <w:rFonts w:ascii="Cambria" w:hAnsi="Cambria"/>
                <w:color w:val="auto"/>
                <w:sz w:val="20"/>
                <w:szCs w:val="20"/>
              </w:rPr>
              <w:t xml:space="preserve"> l’adoption de la Recommandation 25-04.</w:t>
            </w:r>
          </w:p>
        </w:tc>
        <w:tc>
          <w:tcPr>
            <w:tcW w:w="1475" w:type="dxa"/>
          </w:tcPr>
          <w:p w14:paraId="123D7E4C" w14:textId="77777777" w:rsidR="00004CA5" w:rsidRPr="004E13E9" w:rsidRDefault="00004CA5" w:rsidP="00356C58">
            <w:pPr>
              <w:jc w:val="both"/>
              <w:rPr>
                <w:rFonts w:ascii="Cambria" w:hAnsi="Cambria"/>
                <w:color w:val="auto"/>
                <w:sz w:val="20"/>
                <w:szCs w:val="20"/>
              </w:rPr>
            </w:pPr>
          </w:p>
        </w:tc>
      </w:tr>
      <w:tr w:rsidR="00004CA5" w:rsidRPr="006A2397" w14:paraId="1572A1FF" w14:textId="77777777" w:rsidTr="003F170B">
        <w:tc>
          <w:tcPr>
            <w:tcW w:w="453" w:type="dxa"/>
          </w:tcPr>
          <w:p w14:paraId="430C49B2" w14:textId="77777777" w:rsidR="00004CA5" w:rsidRPr="004E13E9" w:rsidRDefault="00004CA5" w:rsidP="00356C58">
            <w:pPr>
              <w:jc w:val="both"/>
              <w:rPr>
                <w:rFonts w:ascii="Cambria" w:hAnsi="Cambria"/>
                <w:i/>
                <w:color w:val="auto"/>
                <w:sz w:val="20"/>
                <w:szCs w:val="20"/>
              </w:rPr>
            </w:pPr>
          </w:p>
        </w:tc>
        <w:tc>
          <w:tcPr>
            <w:tcW w:w="2661" w:type="dxa"/>
          </w:tcPr>
          <w:p w14:paraId="497408A8" w14:textId="77777777" w:rsidR="00004CA5" w:rsidRPr="004E13E9" w:rsidRDefault="00004CA5" w:rsidP="00356C58">
            <w:pPr>
              <w:jc w:val="both"/>
              <w:rPr>
                <w:rFonts w:ascii="Cambria" w:hAnsi="Cambria"/>
                <w:i/>
                <w:color w:val="auto"/>
                <w:sz w:val="20"/>
                <w:szCs w:val="20"/>
              </w:rPr>
            </w:pPr>
            <w:r w:rsidRPr="004E13E9">
              <w:rPr>
                <w:rFonts w:ascii="Cambria" w:hAnsi="Cambria"/>
                <w:i/>
                <w:color w:val="auto"/>
                <w:sz w:val="20"/>
                <w:szCs w:val="20"/>
              </w:rPr>
              <w:t>Autres exigences, telles que : programme de marquage (paragraphe 44), etc.</w:t>
            </w:r>
          </w:p>
        </w:tc>
        <w:tc>
          <w:tcPr>
            <w:tcW w:w="2268" w:type="dxa"/>
          </w:tcPr>
          <w:p w14:paraId="037CEA74" w14:textId="77777777" w:rsidR="00004CA5" w:rsidRPr="004E13E9" w:rsidRDefault="00004CA5" w:rsidP="00356C58">
            <w:pPr>
              <w:jc w:val="both"/>
              <w:rPr>
                <w:rFonts w:ascii="Cambria" w:hAnsi="Cambria"/>
                <w:color w:val="auto"/>
                <w:sz w:val="20"/>
                <w:szCs w:val="20"/>
              </w:rPr>
            </w:pPr>
          </w:p>
        </w:tc>
        <w:tc>
          <w:tcPr>
            <w:tcW w:w="1984" w:type="dxa"/>
          </w:tcPr>
          <w:p w14:paraId="6A3B1A50" w14:textId="77777777" w:rsidR="00004CA5" w:rsidRPr="004E13E9" w:rsidRDefault="00004CA5" w:rsidP="00356C58">
            <w:pPr>
              <w:jc w:val="both"/>
              <w:rPr>
                <w:rFonts w:ascii="Cambria" w:hAnsi="Cambria"/>
                <w:color w:val="auto"/>
                <w:sz w:val="20"/>
                <w:szCs w:val="20"/>
              </w:rPr>
            </w:pPr>
          </w:p>
        </w:tc>
        <w:tc>
          <w:tcPr>
            <w:tcW w:w="1475" w:type="dxa"/>
          </w:tcPr>
          <w:p w14:paraId="786D5569" w14:textId="77777777" w:rsidR="00004CA5" w:rsidRPr="004E13E9" w:rsidRDefault="00004CA5" w:rsidP="00356C58">
            <w:pPr>
              <w:jc w:val="both"/>
              <w:rPr>
                <w:rFonts w:ascii="Cambria" w:hAnsi="Cambria"/>
                <w:color w:val="auto"/>
                <w:sz w:val="20"/>
                <w:szCs w:val="20"/>
              </w:rPr>
            </w:pPr>
          </w:p>
        </w:tc>
      </w:tr>
    </w:tbl>
    <w:p w14:paraId="69BD690F" w14:textId="77777777" w:rsidR="00004CA5" w:rsidRPr="004E13E9" w:rsidRDefault="00004CA5" w:rsidP="00356C58">
      <w:pPr>
        <w:jc w:val="both"/>
        <w:rPr>
          <w:bCs/>
          <w:lang w:val="fr-FR"/>
        </w:rPr>
      </w:pPr>
    </w:p>
    <w:p w14:paraId="227451D9" w14:textId="77777777" w:rsidR="00004CA5" w:rsidRPr="004E13E9" w:rsidRDefault="00004CA5" w:rsidP="00356C58">
      <w:pPr>
        <w:jc w:val="both"/>
        <w:rPr>
          <w:b/>
          <w:i/>
          <w:iCs/>
          <w:lang w:val="fr-FR"/>
        </w:rPr>
      </w:pPr>
      <w:r w:rsidRPr="004E13E9">
        <w:rPr>
          <w:b/>
          <w:i/>
          <w:iCs/>
          <w:lang w:val="fr-FR"/>
        </w:rPr>
        <w:t>1e) Ports désignés (paragraphe 80)</w:t>
      </w:r>
    </w:p>
    <w:p w14:paraId="6374ACCC" w14:textId="77777777" w:rsidR="00004CA5" w:rsidRPr="004E13E9" w:rsidRDefault="00004CA5" w:rsidP="00356C58">
      <w:pPr>
        <w:jc w:val="both"/>
        <w:rPr>
          <w:lang w:val="fr-FR"/>
        </w:rPr>
      </w:pPr>
    </w:p>
    <w:p w14:paraId="0E160C71" w14:textId="77777777" w:rsidR="00004CA5" w:rsidRPr="004E13E9" w:rsidRDefault="00004CA5" w:rsidP="00356C58">
      <w:pPr>
        <w:jc w:val="both"/>
        <w:rPr>
          <w:lang w:val="fr-FR" w:eastAsia="ja-JP"/>
        </w:rPr>
      </w:pPr>
      <w:r w:rsidRPr="004E13E9">
        <w:rPr>
          <w:lang w:val="fr-FR" w:eastAsia="ja-JP"/>
        </w:rPr>
        <w:t>Le port de Dakar est le seul port autorisé pour le débarquement et le transbordement de thon rouge de l’Est. Le formulaire est ci- joint. (</w:t>
      </w:r>
      <w:proofErr w:type="spellStart"/>
      <w:r w:rsidRPr="004E13E9">
        <w:rPr>
          <w:lang w:val="fr-FR" w:eastAsia="ja-JP"/>
        </w:rPr>
        <w:t>cf</w:t>
      </w:r>
      <w:proofErr w:type="spellEnd"/>
      <w:r w:rsidRPr="004E13E9">
        <w:rPr>
          <w:lang w:val="fr-FR" w:eastAsia="ja-JP"/>
        </w:rPr>
        <w:t xml:space="preserve"> formulaire CP24 soumis dans ce plan). </w:t>
      </w:r>
    </w:p>
    <w:p w14:paraId="7EE807F7" w14:textId="77777777" w:rsidR="00004CA5" w:rsidRPr="004E13E9" w:rsidRDefault="00004CA5" w:rsidP="00356C58">
      <w:pPr>
        <w:jc w:val="both"/>
        <w:rPr>
          <w:lang w:val="fr-FR" w:eastAsia="ja-JP"/>
        </w:rPr>
      </w:pPr>
    </w:p>
    <w:p w14:paraId="2686826C" w14:textId="77777777" w:rsidR="00004CA5" w:rsidRPr="004E13E9" w:rsidRDefault="00004CA5" w:rsidP="00356C58">
      <w:pPr>
        <w:jc w:val="both"/>
        <w:rPr>
          <w:lang w:val="fr-FR" w:eastAsia="ja-JP"/>
        </w:rPr>
      </w:pPr>
      <w:r w:rsidRPr="004E13E9">
        <w:rPr>
          <w:lang w:val="fr-FR" w:eastAsia="ja-JP"/>
        </w:rPr>
        <w:t>Liste des ports désignés pour le débarquement et le transbordement :</w:t>
      </w:r>
    </w:p>
    <w:tbl>
      <w:tblPr>
        <w:tblW w:w="5000" w:type="pct"/>
        <w:tblLook w:val="04A0" w:firstRow="1" w:lastRow="0" w:firstColumn="1" w:lastColumn="0" w:noHBand="0" w:noVBand="1"/>
      </w:tblPr>
      <w:tblGrid>
        <w:gridCol w:w="1609"/>
        <w:gridCol w:w="1609"/>
        <w:gridCol w:w="1609"/>
        <w:gridCol w:w="2042"/>
        <w:gridCol w:w="2191"/>
      </w:tblGrid>
      <w:tr w:rsidR="00004CA5" w:rsidRPr="004E13E9" w14:paraId="2EBAD3CB" w14:textId="77777777" w:rsidTr="00E62E84">
        <w:trPr>
          <w:trHeight w:val="300"/>
        </w:trPr>
        <w:tc>
          <w:tcPr>
            <w:tcW w:w="888" w:type="pct"/>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11462E19" w14:textId="77777777" w:rsidR="00004CA5" w:rsidRPr="004E13E9" w:rsidRDefault="00004CA5" w:rsidP="00356C58">
            <w:pPr>
              <w:jc w:val="both"/>
              <w:rPr>
                <w:rFonts w:eastAsia="Times New Roman"/>
                <w:i/>
                <w:iCs/>
                <w:lang w:val="en-GB" w:eastAsia="en-GB"/>
              </w:rPr>
            </w:pPr>
            <w:r w:rsidRPr="004E13E9">
              <w:rPr>
                <w:rFonts w:eastAsia="Times New Roman"/>
                <w:i/>
                <w:iCs/>
                <w:lang w:val="en-GB" w:eastAsia="en-GB"/>
              </w:rPr>
              <w:t>Port</w:t>
            </w:r>
          </w:p>
        </w:tc>
        <w:tc>
          <w:tcPr>
            <w:tcW w:w="888" w:type="pct"/>
            <w:tcBorders>
              <w:top w:val="single" w:sz="4" w:space="0" w:color="auto"/>
              <w:left w:val="nil"/>
              <w:bottom w:val="single" w:sz="4" w:space="0" w:color="auto"/>
              <w:right w:val="single" w:sz="4" w:space="0" w:color="auto"/>
            </w:tcBorders>
            <w:shd w:val="clear" w:color="000000" w:fill="E8E8E8"/>
            <w:noWrap/>
            <w:vAlign w:val="bottom"/>
            <w:hideMark/>
          </w:tcPr>
          <w:p w14:paraId="4C6325C9" w14:textId="77777777" w:rsidR="00004CA5" w:rsidRPr="004E13E9" w:rsidRDefault="00004CA5" w:rsidP="00356C58">
            <w:pPr>
              <w:jc w:val="both"/>
              <w:rPr>
                <w:rFonts w:eastAsia="Times New Roman"/>
                <w:i/>
                <w:iCs/>
                <w:lang w:val="en-GB" w:eastAsia="en-GB"/>
              </w:rPr>
            </w:pPr>
            <w:r w:rsidRPr="004E13E9">
              <w:rPr>
                <w:rFonts w:eastAsia="Times New Roman"/>
                <w:i/>
                <w:iCs/>
                <w:lang w:val="en-GB" w:eastAsia="en-GB"/>
              </w:rPr>
              <w:t>Location</w:t>
            </w:r>
          </w:p>
        </w:tc>
        <w:tc>
          <w:tcPr>
            <w:tcW w:w="888" w:type="pct"/>
            <w:tcBorders>
              <w:top w:val="single" w:sz="4" w:space="0" w:color="auto"/>
              <w:left w:val="nil"/>
              <w:bottom w:val="single" w:sz="4" w:space="0" w:color="auto"/>
              <w:right w:val="single" w:sz="4" w:space="0" w:color="auto"/>
            </w:tcBorders>
            <w:shd w:val="clear" w:color="000000" w:fill="E8E8E8"/>
            <w:noWrap/>
            <w:vAlign w:val="bottom"/>
            <w:hideMark/>
          </w:tcPr>
          <w:p w14:paraId="12AD6C69" w14:textId="77777777" w:rsidR="00004CA5" w:rsidRPr="004E13E9" w:rsidRDefault="00004CA5" w:rsidP="00356C58">
            <w:pPr>
              <w:jc w:val="both"/>
              <w:rPr>
                <w:rFonts w:eastAsia="Times New Roman"/>
                <w:i/>
                <w:iCs/>
                <w:lang w:val="en-GB" w:eastAsia="en-GB"/>
              </w:rPr>
            </w:pPr>
            <w:r w:rsidRPr="004E13E9">
              <w:rPr>
                <w:rFonts w:eastAsia="Times New Roman"/>
                <w:i/>
                <w:iCs/>
                <w:lang w:val="en-GB" w:eastAsia="en-GB"/>
              </w:rPr>
              <w:t>Port Code</w:t>
            </w:r>
          </w:p>
        </w:tc>
        <w:tc>
          <w:tcPr>
            <w:tcW w:w="1127" w:type="pct"/>
            <w:tcBorders>
              <w:top w:val="single" w:sz="4" w:space="0" w:color="auto"/>
              <w:left w:val="nil"/>
              <w:bottom w:val="single" w:sz="4" w:space="0" w:color="auto"/>
              <w:right w:val="single" w:sz="4" w:space="0" w:color="auto"/>
            </w:tcBorders>
            <w:shd w:val="clear" w:color="000000" w:fill="E8E8E8"/>
            <w:noWrap/>
            <w:vAlign w:val="bottom"/>
            <w:hideMark/>
          </w:tcPr>
          <w:p w14:paraId="2224AA33" w14:textId="77777777" w:rsidR="00004CA5" w:rsidRPr="004E13E9" w:rsidRDefault="00004CA5" w:rsidP="00356C58">
            <w:pPr>
              <w:jc w:val="both"/>
              <w:rPr>
                <w:rFonts w:eastAsia="Times New Roman"/>
                <w:i/>
                <w:iCs/>
                <w:lang w:val="en-GB" w:eastAsia="en-GB"/>
              </w:rPr>
            </w:pPr>
            <w:r w:rsidRPr="004E13E9">
              <w:rPr>
                <w:rFonts w:eastAsia="Times New Roman"/>
                <w:i/>
                <w:iCs/>
                <w:lang w:val="en-GB" w:eastAsia="en-GB"/>
              </w:rPr>
              <w:t>Latitude</w:t>
            </w:r>
          </w:p>
        </w:tc>
        <w:tc>
          <w:tcPr>
            <w:tcW w:w="1210" w:type="pct"/>
            <w:tcBorders>
              <w:top w:val="single" w:sz="4" w:space="0" w:color="auto"/>
              <w:left w:val="nil"/>
              <w:bottom w:val="single" w:sz="4" w:space="0" w:color="auto"/>
              <w:right w:val="single" w:sz="4" w:space="0" w:color="auto"/>
            </w:tcBorders>
            <w:shd w:val="clear" w:color="000000" w:fill="E8E8E8"/>
            <w:noWrap/>
            <w:vAlign w:val="bottom"/>
            <w:hideMark/>
          </w:tcPr>
          <w:p w14:paraId="73A226E3" w14:textId="77777777" w:rsidR="00004CA5" w:rsidRPr="004E13E9" w:rsidRDefault="00004CA5" w:rsidP="00356C58">
            <w:pPr>
              <w:jc w:val="both"/>
              <w:rPr>
                <w:rFonts w:eastAsia="Times New Roman"/>
                <w:i/>
                <w:iCs/>
                <w:lang w:val="en-GB" w:eastAsia="en-GB"/>
              </w:rPr>
            </w:pPr>
            <w:r w:rsidRPr="004E13E9">
              <w:rPr>
                <w:rFonts w:eastAsia="Times New Roman"/>
                <w:i/>
                <w:iCs/>
                <w:lang w:val="en-GB" w:eastAsia="en-GB"/>
              </w:rPr>
              <w:t>Longitude</w:t>
            </w:r>
          </w:p>
        </w:tc>
      </w:tr>
      <w:tr w:rsidR="00004CA5" w:rsidRPr="004E13E9" w14:paraId="735DBCF6" w14:textId="77777777" w:rsidTr="00E62E84">
        <w:trPr>
          <w:trHeight w:val="300"/>
        </w:trPr>
        <w:tc>
          <w:tcPr>
            <w:tcW w:w="888" w:type="pct"/>
            <w:tcBorders>
              <w:top w:val="nil"/>
              <w:left w:val="single" w:sz="4" w:space="0" w:color="auto"/>
              <w:bottom w:val="single" w:sz="4" w:space="0" w:color="auto"/>
              <w:right w:val="single" w:sz="4" w:space="0" w:color="auto"/>
            </w:tcBorders>
            <w:noWrap/>
            <w:vAlign w:val="bottom"/>
            <w:hideMark/>
          </w:tcPr>
          <w:p w14:paraId="505BDA01" w14:textId="77777777" w:rsidR="00004CA5" w:rsidRPr="004E13E9" w:rsidRDefault="00004CA5" w:rsidP="00356C58">
            <w:pPr>
              <w:jc w:val="both"/>
              <w:rPr>
                <w:rFonts w:eastAsia="Times New Roman"/>
                <w:lang w:val="en-GB" w:eastAsia="en-GB"/>
              </w:rPr>
            </w:pPr>
            <w:r w:rsidRPr="004E13E9">
              <w:rPr>
                <w:rFonts w:eastAsia="Times New Roman"/>
                <w:lang w:val="en-GB" w:eastAsia="en-GB"/>
              </w:rPr>
              <w:t>Port de Dakar</w:t>
            </w:r>
          </w:p>
        </w:tc>
        <w:tc>
          <w:tcPr>
            <w:tcW w:w="888" w:type="pct"/>
            <w:tcBorders>
              <w:top w:val="nil"/>
              <w:left w:val="nil"/>
              <w:bottom w:val="single" w:sz="4" w:space="0" w:color="auto"/>
              <w:right w:val="single" w:sz="4" w:space="0" w:color="auto"/>
            </w:tcBorders>
            <w:noWrap/>
            <w:vAlign w:val="bottom"/>
            <w:hideMark/>
          </w:tcPr>
          <w:p w14:paraId="6EC7283C" w14:textId="77777777" w:rsidR="00004CA5" w:rsidRPr="004E13E9" w:rsidRDefault="00004CA5" w:rsidP="00356C58">
            <w:pPr>
              <w:jc w:val="both"/>
              <w:rPr>
                <w:rFonts w:eastAsia="Times New Roman"/>
                <w:lang w:val="en-GB" w:eastAsia="en-GB"/>
              </w:rPr>
            </w:pPr>
            <w:r w:rsidRPr="004E13E9">
              <w:rPr>
                <w:rFonts w:eastAsia="Times New Roman"/>
                <w:lang w:val="en-GB" w:eastAsia="en-GB"/>
              </w:rPr>
              <w:t>Sénégal</w:t>
            </w:r>
          </w:p>
        </w:tc>
        <w:tc>
          <w:tcPr>
            <w:tcW w:w="888" w:type="pct"/>
            <w:tcBorders>
              <w:top w:val="nil"/>
              <w:left w:val="nil"/>
              <w:bottom w:val="single" w:sz="4" w:space="0" w:color="auto"/>
              <w:right w:val="single" w:sz="4" w:space="0" w:color="auto"/>
            </w:tcBorders>
            <w:noWrap/>
            <w:vAlign w:val="bottom"/>
            <w:hideMark/>
          </w:tcPr>
          <w:p w14:paraId="695F77C3" w14:textId="77777777" w:rsidR="00004CA5" w:rsidRPr="004E13E9" w:rsidRDefault="00004CA5" w:rsidP="00356C58">
            <w:pPr>
              <w:jc w:val="both"/>
              <w:rPr>
                <w:rFonts w:eastAsia="Times New Roman"/>
                <w:lang w:val="en-GB" w:eastAsia="en-GB"/>
              </w:rPr>
            </w:pPr>
            <w:r w:rsidRPr="004E13E9">
              <w:rPr>
                <w:rFonts w:eastAsia="Times New Roman"/>
                <w:lang w:val="en-GB" w:eastAsia="en-GB"/>
              </w:rPr>
              <w:t>SNDKR</w:t>
            </w:r>
          </w:p>
        </w:tc>
        <w:tc>
          <w:tcPr>
            <w:tcW w:w="1127" w:type="pct"/>
            <w:tcBorders>
              <w:top w:val="nil"/>
              <w:left w:val="nil"/>
              <w:bottom w:val="single" w:sz="4" w:space="0" w:color="auto"/>
              <w:right w:val="single" w:sz="4" w:space="0" w:color="auto"/>
            </w:tcBorders>
            <w:noWrap/>
            <w:vAlign w:val="bottom"/>
            <w:hideMark/>
          </w:tcPr>
          <w:p w14:paraId="0E825852" w14:textId="77777777" w:rsidR="00004CA5" w:rsidRPr="004E13E9" w:rsidRDefault="00004CA5" w:rsidP="00356C58">
            <w:pPr>
              <w:jc w:val="both"/>
              <w:rPr>
                <w:rFonts w:eastAsia="Times New Roman"/>
                <w:lang w:val="en-GB" w:eastAsia="en-GB"/>
              </w:rPr>
            </w:pPr>
            <w:r w:rsidRPr="004E13E9">
              <w:rPr>
                <w:rFonts w:eastAsia="Times New Roman"/>
                <w:lang w:val="en-GB" w:eastAsia="en-GB"/>
              </w:rPr>
              <w:t>14°24'00"N</w:t>
            </w:r>
          </w:p>
        </w:tc>
        <w:tc>
          <w:tcPr>
            <w:tcW w:w="1210" w:type="pct"/>
            <w:tcBorders>
              <w:top w:val="nil"/>
              <w:left w:val="nil"/>
              <w:bottom w:val="single" w:sz="4" w:space="0" w:color="auto"/>
              <w:right w:val="single" w:sz="4" w:space="0" w:color="auto"/>
            </w:tcBorders>
            <w:noWrap/>
            <w:vAlign w:val="bottom"/>
            <w:hideMark/>
          </w:tcPr>
          <w:p w14:paraId="39830B85" w14:textId="77777777" w:rsidR="00004CA5" w:rsidRPr="004E13E9" w:rsidRDefault="00004CA5" w:rsidP="00356C58">
            <w:pPr>
              <w:jc w:val="both"/>
              <w:rPr>
                <w:rFonts w:eastAsia="Times New Roman"/>
                <w:lang w:val="en-GB" w:eastAsia="en-GB"/>
              </w:rPr>
            </w:pPr>
            <w:r w:rsidRPr="004E13E9">
              <w:rPr>
                <w:rFonts w:eastAsia="Times New Roman"/>
                <w:lang w:val="en-GB" w:eastAsia="en-GB"/>
              </w:rPr>
              <w:t>017°15'36"E</w:t>
            </w:r>
          </w:p>
        </w:tc>
      </w:tr>
    </w:tbl>
    <w:p w14:paraId="6E272CCA" w14:textId="77777777" w:rsidR="00004CA5" w:rsidRPr="004E13E9" w:rsidRDefault="00004CA5" w:rsidP="00356C58">
      <w:pPr>
        <w:jc w:val="both"/>
        <w:rPr>
          <w:lang w:eastAsia="ja-JP"/>
        </w:rPr>
      </w:pPr>
    </w:p>
    <w:p w14:paraId="6FEE324C" w14:textId="77777777" w:rsidR="00004CA5" w:rsidRPr="004E13E9" w:rsidRDefault="00004CA5" w:rsidP="00356C58">
      <w:pPr>
        <w:jc w:val="both"/>
        <w:rPr>
          <w:b/>
          <w:lang w:eastAsia="ja-JP"/>
        </w:rPr>
      </w:pPr>
    </w:p>
    <w:p w14:paraId="200C83A0" w14:textId="77777777" w:rsidR="00004CA5" w:rsidRPr="004E13E9" w:rsidRDefault="00004CA5" w:rsidP="00356C58">
      <w:pPr>
        <w:ind w:left="426" w:hanging="426"/>
        <w:jc w:val="both"/>
        <w:rPr>
          <w:b/>
          <w:lang w:val="fr-FR"/>
        </w:rPr>
      </w:pPr>
      <w:r w:rsidRPr="004E13E9">
        <w:rPr>
          <w:b/>
          <w:lang w:val="fr-FR"/>
        </w:rPr>
        <w:t>2.</w:t>
      </w:r>
      <w:r w:rsidRPr="004E13E9">
        <w:rPr>
          <w:b/>
          <w:lang w:val="fr-FR"/>
        </w:rPr>
        <w:tab/>
        <w:t>Plan annuel de gestion de la capacité de pêche (paragraphes 14-21)</w:t>
      </w:r>
    </w:p>
    <w:p w14:paraId="1B2247E6" w14:textId="77777777" w:rsidR="00004CA5" w:rsidRPr="004E13E9" w:rsidRDefault="00004CA5" w:rsidP="00356C58">
      <w:pPr>
        <w:jc w:val="both"/>
        <w:rPr>
          <w:b/>
          <w:lang w:val="fr-FR"/>
        </w:rPr>
      </w:pPr>
    </w:p>
    <w:p w14:paraId="0D2D13EE" w14:textId="77777777" w:rsidR="00004CA5" w:rsidRPr="004E13E9" w:rsidRDefault="00004CA5" w:rsidP="00356C58">
      <w:pPr>
        <w:jc w:val="both"/>
        <w:rPr>
          <w:iCs/>
          <w:lang w:val="fr-FR"/>
        </w:rPr>
      </w:pPr>
      <w:r w:rsidRPr="004E13E9">
        <w:rPr>
          <w:lang w:val="fr-FR"/>
        </w:rPr>
        <w:t>Le Sénégal ne dispose pas de navires de pêche ciblant le thon rouge.</w:t>
      </w:r>
    </w:p>
    <w:p w14:paraId="15624EFB" w14:textId="77777777" w:rsidR="00004CA5" w:rsidRPr="004E13E9" w:rsidRDefault="00004CA5" w:rsidP="00356C58">
      <w:pPr>
        <w:jc w:val="both"/>
        <w:rPr>
          <w:b/>
          <w:lang w:val="fr-FR"/>
        </w:rPr>
      </w:pPr>
    </w:p>
    <w:p w14:paraId="777CAB87" w14:textId="77777777" w:rsidR="00004CA5" w:rsidRPr="004E13E9" w:rsidRDefault="00004CA5" w:rsidP="00356C58">
      <w:pPr>
        <w:jc w:val="both"/>
        <w:rPr>
          <w:b/>
          <w:lang w:val="fr-FR"/>
        </w:rPr>
      </w:pPr>
    </w:p>
    <w:p w14:paraId="04CD4AAA" w14:textId="77777777" w:rsidR="00004CA5" w:rsidRPr="004E13E9" w:rsidRDefault="00004CA5" w:rsidP="00356C58">
      <w:pPr>
        <w:ind w:left="426" w:hanging="426"/>
        <w:jc w:val="both"/>
        <w:rPr>
          <w:b/>
          <w:lang w:val="fr-FR"/>
        </w:rPr>
      </w:pPr>
      <w:r w:rsidRPr="004E13E9">
        <w:rPr>
          <w:b/>
          <w:lang w:val="fr-FR"/>
        </w:rPr>
        <w:t>3.</w:t>
      </w:r>
      <w:r w:rsidRPr="004E13E9">
        <w:rPr>
          <w:b/>
          <w:lang w:val="fr-FR"/>
        </w:rPr>
        <w:tab/>
        <w:t xml:space="preserve">Plan annuel de gestion de l’élevage (paragraphes </w:t>
      </w:r>
      <w:r w:rsidRPr="004E13E9">
        <w:rPr>
          <w:rStyle w:val="Hyperlink"/>
          <w:u w:val="none"/>
          <w:lang w:val="fr-FR"/>
        </w:rPr>
        <w:t>22 et 23</w:t>
      </w:r>
      <w:r w:rsidRPr="004E13E9">
        <w:rPr>
          <w:b/>
          <w:lang w:val="fr-FR"/>
        </w:rPr>
        <w:t>), le cas échéant</w:t>
      </w:r>
    </w:p>
    <w:p w14:paraId="52B60F88" w14:textId="77777777" w:rsidR="00004CA5" w:rsidRPr="004E13E9" w:rsidRDefault="00004CA5" w:rsidP="00356C58">
      <w:pPr>
        <w:jc w:val="both"/>
        <w:rPr>
          <w:b/>
          <w:lang w:val="fr-FR"/>
        </w:rPr>
      </w:pPr>
    </w:p>
    <w:p w14:paraId="2D7EC1F4" w14:textId="77777777" w:rsidR="00004CA5" w:rsidRPr="004E13E9" w:rsidRDefault="00004CA5" w:rsidP="00356C58">
      <w:pPr>
        <w:jc w:val="both"/>
        <w:rPr>
          <w:lang w:val="fr-FR"/>
        </w:rPr>
      </w:pPr>
      <w:r w:rsidRPr="004E13E9">
        <w:rPr>
          <w:lang w:val="fr-FR"/>
        </w:rPr>
        <w:t>Néant.</w:t>
      </w:r>
    </w:p>
    <w:p w14:paraId="1B47A896" w14:textId="77777777" w:rsidR="00004CA5" w:rsidRPr="004E13E9" w:rsidRDefault="00004CA5" w:rsidP="00356C58">
      <w:pPr>
        <w:ind w:left="426" w:hanging="426"/>
        <w:jc w:val="both"/>
        <w:rPr>
          <w:b/>
          <w:lang w:val="fr-FR"/>
        </w:rPr>
      </w:pPr>
      <w:r w:rsidRPr="004E13E9">
        <w:rPr>
          <w:b/>
          <w:lang w:val="fr-FR"/>
        </w:rPr>
        <w:t>4.</w:t>
      </w:r>
      <w:r w:rsidRPr="004E13E9">
        <w:rPr>
          <w:b/>
          <w:lang w:val="fr-FR"/>
        </w:rPr>
        <w:tab/>
        <w:t xml:space="preserve">Plan annuel d’aquaculture (paragraphe 10 e) de la </w:t>
      </w:r>
      <w:hyperlink r:id="rId172" w:history="1">
        <w:r w:rsidRPr="004E13E9">
          <w:rPr>
            <w:rStyle w:val="Hyperlink"/>
            <w:u w:val="none"/>
            <w:lang w:val="fr-FR"/>
          </w:rPr>
          <w:t xml:space="preserve">Rec. 25-04 </w:t>
        </w:r>
      </w:hyperlink>
      <w:r w:rsidRPr="004E13E9">
        <w:rPr>
          <w:b/>
          <w:lang w:val="fr-FR"/>
        </w:rPr>
        <w:t xml:space="preserve">conformément à la </w:t>
      </w:r>
      <w:hyperlink r:id="rId173" w:history="1">
        <w:r w:rsidRPr="004E13E9">
          <w:rPr>
            <w:rStyle w:val="Hyperlink"/>
            <w:u w:val="none"/>
            <w:lang w:val="fr-FR"/>
          </w:rPr>
          <w:t>Rec. 24-07</w:t>
        </w:r>
      </w:hyperlink>
      <w:r w:rsidRPr="004E13E9">
        <w:rPr>
          <w:b/>
          <w:lang w:val="fr-FR"/>
        </w:rPr>
        <w:t>), le cas échéant</w:t>
      </w:r>
    </w:p>
    <w:p w14:paraId="271B4029" w14:textId="77777777" w:rsidR="00004CA5" w:rsidRPr="004E13E9" w:rsidRDefault="00004CA5" w:rsidP="00356C58">
      <w:pPr>
        <w:jc w:val="both"/>
        <w:rPr>
          <w:b/>
          <w:lang w:val="fr-FR"/>
        </w:rPr>
      </w:pPr>
    </w:p>
    <w:p w14:paraId="5B792B2D" w14:textId="77777777" w:rsidR="00004CA5" w:rsidRPr="004E13E9" w:rsidRDefault="00004CA5" w:rsidP="00356C58">
      <w:pPr>
        <w:jc w:val="both"/>
        <w:rPr>
          <w:iCs/>
          <w:lang w:val="fr-FR"/>
        </w:rPr>
      </w:pPr>
      <w:r w:rsidRPr="004E13E9">
        <w:rPr>
          <w:iCs/>
          <w:lang w:val="fr-FR"/>
        </w:rPr>
        <w:t>Néant</w:t>
      </w:r>
    </w:p>
    <w:p w14:paraId="527A45B9" w14:textId="77777777" w:rsidR="00004CA5" w:rsidRPr="004E13E9" w:rsidRDefault="00004CA5" w:rsidP="00356C58">
      <w:pPr>
        <w:jc w:val="both"/>
        <w:rPr>
          <w:i/>
          <w:iCs/>
          <w:lang w:val="fr-FR"/>
        </w:rPr>
      </w:pPr>
    </w:p>
    <w:p w14:paraId="267C7F10" w14:textId="4685F9C6" w:rsidR="003F170B" w:rsidRPr="004E13E9" w:rsidRDefault="003F170B">
      <w:pPr>
        <w:rPr>
          <w:b/>
          <w:lang w:val="fr-FR"/>
        </w:rPr>
      </w:pPr>
    </w:p>
    <w:p w14:paraId="00B4905B" w14:textId="2369A21A" w:rsidR="00004CA5" w:rsidRPr="004E13E9" w:rsidRDefault="00004CA5" w:rsidP="00356C58">
      <w:pPr>
        <w:ind w:left="426" w:hanging="426"/>
        <w:jc w:val="both"/>
        <w:rPr>
          <w:b/>
          <w:lang w:val="fr-FR"/>
        </w:rPr>
      </w:pPr>
      <w:r w:rsidRPr="004E13E9">
        <w:rPr>
          <w:b/>
          <w:lang w:val="fr-FR"/>
        </w:rPr>
        <w:t xml:space="preserve">5. </w:t>
      </w:r>
      <w:r w:rsidRPr="004E13E9">
        <w:rPr>
          <w:b/>
          <w:lang w:val="fr-FR"/>
        </w:rPr>
        <w:tab/>
        <w:t>Plan de suivi, contrôle et inspection</w:t>
      </w:r>
    </w:p>
    <w:p w14:paraId="2A1296E0" w14:textId="77777777" w:rsidR="00004CA5" w:rsidRPr="004E13E9" w:rsidRDefault="00004CA5" w:rsidP="00356C58">
      <w:pPr>
        <w:jc w:val="both"/>
        <w:rPr>
          <w:b/>
          <w:lang w:val="fr-FR"/>
        </w:rPr>
      </w:pPr>
    </w:p>
    <w:p w14:paraId="2632E279" w14:textId="77777777" w:rsidR="00004CA5" w:rsidRPr="004E13E9" w:rsidRDefault="00004CA5" w:rsidP="00356C58">
      <w:pPr>
        <w:jc w:val="both"/>
        <w:rPr>
          <w:b/>
          <w:i/>
          <w:iCs/>
          <w:lang w:val="fr-FR"/>
        </w:rPr>
      </w:pPr>
      <w:r w:rsidRPr="004E13E9">
        <w:rPr>
          <w:b/>
          <w:i/>
          <w:iCs/>
          <w:lang w:val="fr-FR"/>
        </w:rPr>
        <w:t>5a) Suivi, contrôle et inspection de la CPC (paragraphe 10 c)</w:t>
      </w:r>
    </w:p>
    <w:p w14:paraId="09270BCC" w14:textId="77777777" w:rsidR="00004CA5" w:rsidRPr="004E13E9" w:rsidRDefault="00004CA5" w:rsidP="00356C58">
      <w:pPr>
        <w:jc w:val="both"/>
        <w:rPr>
          <w:lang w:val="fr-FR"/>
        </w:rPr>
      </w:pPr>
    </w:p>
    <w:p w14:paraId="39FC460C" w14:textId="77777777" w:rsidR="00004CA5" w:rsidRPr="004E13E9" w:rsidRDefault="00004CA5" w:rsidP="00356C58">
      <w:pPr>
        <w:jc w:val="both"/>
        <w:rPr>
          <w:lang w:val="fr-FR"/>
        </w:rPr>
      </w:pPr>
      <w:r w:rsidRPr="004E13E9">
        <w:rPr>
          <w:lang w:val="fr-FR"/>
        </w:rPr>
        <w:t>Le plan de suivi, de contrôle et d’inspection permettra de suivre les navires, de contrôler leurs activités et d’obtenir des déclarations de captures fiables afin d’assurer le suivi adéquat du quota.</w:t>
      </w:r>
    </w:p>
    <w:p w14:paraId="1E180DA5" w14:textId="77777777" w:rsidR="00004CA5" w:rsidRPr="004E13E9" w:rsidRDefault="00004CA5" w:rsidP="00356C58">
      <w:pPr>
        <w:jc w:val="both"/>
        <w:rPr>
          <w:b/>
          <w:lang w:val="fr-FR"/>
        </w:rPr>
      </w:pPr>
    </w:p>
    <w:p w14:paraId="1BD0357B" w14:textId="77777777" w:rsidR="00004CA5" w:rsidRPr="004E13E9" w:rsidRDefault="00004CA5" w:rsidP="00356C58">
      <w:pPr>
        <w:jc w:val="both"/>
        <w:rPr>
          <w:lang w:val="fr-FR"/>
        </w:rPr>
      </w:pPr>
      <w:r w:rsidRPr="004E13E9">
        <w:rPr>
          <w:lang w:val="fr-FR"/>
        </w:rPr>
        <w:t>Le plan de suivi, de contrôle et d’inspection comprend :</w:t>
      </w:r>
    </w:p>
    <w:p w14:paraId="1DA06E8D" w14:textId="77777777" w:rsidR="00004CA5" w:rsidRPr="004E13E9" w:rsidRDefault="00004CA5" w:rsidP="00356C58">
      <w:pPr>
        <w:jc w:val="both"/>
        <w:rPr>
          <w:lang w:val="fr-FR"/>
        </w:rPr>
      </w:pPr>
    </w:p>
    <w:p w14:paraId="2EBDD9E9" w14:textId="77777777" w:rsidR="00004CA5" w:rsidRPr="004E13E9" w:rsidRDefault="00004CA5" w:rsidP="00487A5C">
      <w:pPr>
        <w:pStyle w:val="ListParagraph"/>
        <w:widowControl w:val="0"/>
        <w:numPr>
          <w:ilvl w:val="0"/>
          <w:numId w:val="48"/>
        </w:numPr>
        <w:spacing w:after="0" w:line="240" w:lineRule="auto"/>
        <w:jc w:val="both"/>
        <w:rPr>
          <w:rFonts w:ascii="Cambria" w:hAnsi="Cambria"/>
          <w:sz w:val="20"/>
          <w:szCs w:val="20"/>
        </w:rPr>
      </w:pPr>
      <w:r w:rsidRPr="004E13E9">
        <w:rPr>
          <w:rFonts w:ascii="Cambria" w:hAnsi="Cambria"/>
          <w:sz w:val="20"/>
          <w:szCs w:val="20"/>
        </w:rPr>
        <w:t>Le VMS : les navires sont équipés du VMS qui permet de contrôler leurs positions et de les suivre en permanence.</w:t>
      </w:r>
    </w:p>
    <w:p w14:paraId="445D8C72" w14:textId="77777777" w:rsidR="00004CA5" w:rsidRPr="004E13E9" w:rsidRDefault="00004CA5" w:rsidP="00487A5C">
      <w:pPr>
        <w:pStyle w:val="ListParagraph"/>
        <w:widowControl w:val="0"/>
        <w:numPr>
          <w:ilvl w:val="0"/>
          <w:numId w:val="48"/>
        </w:numPr>
        <w:spacing w:after="0" w:line="240" w:lineRule="auto"/>
        <w:jc w:val="both"/>
        <w:rPr>
          <w:rFonts w:ascii="Cambria" w:hAnsi="Cambria"/>
          <w:sz w:val="20"/>
          <w:szCs w:val="20"/>
        </w:rPr>
      </w:pPr>
      <w:r w:rsidRPr="004E13E9">
        <w:rPr>
          <w:rFonts w:ascii="Cambria" w:hAnsi="Cambria"/>
          <w:sz w:val="20"/>
          <w:szCs w:val="20"/>
        </w:rPr>
        <w:t>Les rapports d’observateurs : tous les senneurs ciblant les tropicaux embarquent 100% d’observateurs. Les canneurs seront soumis à un taux de couverture de 10%.</w:t>
      </w:r>
    </w:p>
    <w:p w14:paraId="53E1D238" w14:textId="77777777" w:rsidR="00004CA5" w:rsidRPr="004E13E9" w:rsidRDefault="00004CA5" w:rsidP="00487A5C">
      <w:pPr>
        <w:pStyle w:val="ListParagraph"/>
        <w:widowControl w:val="0"/>
        <w:numPr>
          <w:ilvl w:val="0"/>
          <w:numId w:val="48"/>
        </w:numPr>
        <w:spacing w:after="0" w:line="240" w:lineRule="auto"/>
        <w:jc w:val="both"/>
        <w:rPr>
          <w:rFonts w:ascii="Cambria" w:hAnsi="Cambria"/>
          <w:sz w:val="20"/>
          <w:szCs w:val="20"/>
        </w:rPr>
      </w:pPr>
      <w:r w:rsidRPr="004E13E9">
        <w:rPr>
          <w:rFonts w:ascii="Cambria" w:hAnsi="Cambria"/>
          <w:sz w:val="20"/>
          <w:szCs w:val="20"/>
        </w:rPr>
        <w:t>Les inspections au port : une brigade permanente est établie au port de Dakar, seul port de débarquement/transbordement autorisé pour le thon rouge.</w:t>
      </w:r>
    </w:p>
    <w:p w14:paraId="194AA243" w14:textId="77777777" w:rsidR="00004CA5" w:rsidRPr="004E13E9" w:rsidRDefault="00004CA5" w:rsidP="00487A5C">
      <w:pPr>
        <w:pStyle w:val="ListParagraph"/>
        <w:widowControl w:val="0"/>
        <w:numPr>
          <w:ilvl w:val="0"/>
          <w:numId w:val="48"/>
        </w:numPr>
        <w:spacing w:after="0" w:line="240" w:lineRule="auto"/>
        <w:jc w:val="both"/>
        <w:rPr>
          <w:rFonts w:ascii="Cambria" w:hAnsi="Cambria"/>
          <w:sz w:val="20"/>
          <w:szCs w:val="20"/>
        </w:rPr>
      </w:pPr>
      <w:r w:rsidRPr="004E13E9">
        <w:rPr>
          <w:rFonts w:ascii="Cambria" w:hAnsi="Cambria"/>
          <w:sz w:val="20"/>
          <w:szCs w:val="20"/>
        </w:rPr>
        <w:t>Les déclarations des captures : les carnets de pêche électronique ou sous format papier sont conformes à ceux de l’ICCAT et sont renseignés à bord des navires.</w:t>
      </w:r>
    </w:p>
    <w:p w14:paraId="5F3F97BD" w14:textId="77777777" w:rsidR="00004CA5" w:rsidRPr="004E13E9" w:rsidRDefault="00004CA5" w:rsidP="00356C58">
      <w:pPr>
        <w:ind w:left="360"/>
        <w:jc w:val="both"/>
        <w:rPr>
          <w:lang w:val="fr-FR"/>
        </w:rPr>
      </w:pPr>
    </w:p>
    <w:p w14:paraId="25AD1EBB" w14:textId="77777777" w:rsidR="00004CA5" w:rsidRPr="004E13E9" w:rsidRDefault="00004CA5" w:rsidP="00356C58">
      <w:pPr>
        <w:jc w:val="both"/>
        <w:rPr>
          <w:lang w:val="fr-FR"/>
        </w:rPr>
      </w:pPr>
      <w:r w:rsidRPr="004E13E9">
        <w:rPr>
          <w:lang w:val="fr-FR"/>
        </w:rPr>
        <w:t>L’Autorité compétente de suivi, de contrôle et d’inspection est la Direction de la Protection et de la Surveillance des Pêches.</w:t>
      </w:r>
    </w:p>
    <w:p w14:paraId="7D80A314" w14:textId="77777777" w:rsidR="00004CA5" w:rsidRPr="004E13E9" w:rsidRDefault="00004CA5" w:rsidP="00356C58">
      <w:pPr>
        <w:jc w:val="both"/>
        <w:rPr>
          <w:lang w:val="fr-FR"/>
        </w:rPr>
      </w:pPr>
    </w:p>
    <w:p w14:paraId="4AFD2A7B" w14:textId="77777777" w:rsidR="00004CA5" w:rsidRPr="004E13E9" w:rsidRDefault="00004CA5" w:rsidP="00356C58">
      <w:pPr>
        <w:jc w:val="both"/>
        <w:rPr>
          <w:lang w:val="fr-FR"/>
        </w:rPr>
      </w:pPr>
      <w:r w:rsidRPr="004E13E9">
        <w:rPr>
          <w:lang w:val="fr-FR"/>
        </w:rPr>
        <w:t>Le point de contact désigné comme responsable de la mise en œuvre du plan de suivi, de contrôle et d’inspection est inclus dans le formulaire CP24 révisé soumis.</w:t>
      </w:r>
    </w:p>
    <w:p w14:paraId="6D538008" w14:textId="77777777" w:rsidR="00004CA5" w:rsidRPr="004E13E9" w:rsidRDefault="00004CA5" w:rsidP="00356C58">
      <w:pPr>
        <w:ind w:left="426" w:hanging="426"/>
        <w:jc w:val="both"/>
        <w:rPr>
          <w:b/>
          <w:i/>
          <w:iCs/>
          <w:lang w:val="fr-FR"/>
        </w:rPr>
      </w:pPr>
    </w:p>
    <w:p w14:paraId="37639A75" w14:textId="77777777" w:rsidR="00004CA5" w:rsidRPr="004E13E9" w:rsidRDefault="00004CA5" w:rsidP="00356C58">
      <w:pPr>
        <w:ind w:left="426" w:hanging="426"/>
        <w:jc w:val="both"/>
        <w:rPr>
          <w:b/>
          <w:i/>
          <w:iCs/>
          <w:lang w:val="fr-FR"/>
        </w:rPr>
      </w:pPr>
      <w:r w:rsidRPr="004E13E9">
        <w:rPr>
          <w:b/>
          <w:i/>
          <w:iCs/>
          <w:lang w:val="fr-FR"/>
        </w:rPr>
        <w:t>5b) Programme d’inspection internationale conjointe (JIS) (paragraphes 232-235)</w:t>
      </w:r>
    </w:p>
    <w:p w14:paraId="0329558C" w14:textId="77777777" w:rsidR="00004CA5" w:rsidRPr="004E13E9" w:rsidRDefault="00004CA5" w:rsidP="00356C58">
      <w:pPr>
        <w:jc w:val="both"/>
        <w:rPr>
          <w:b/>
          <w:i/>
          <w:iCs/>
          <w:lang w:val="fr-FR"/>
        </w:rPr>
      </w:pPr>
    </w:p>
    <w:p w14:paraId="63C38392" w14:textId="77777777" w:rsidR="00004CA5" w:rsidRPr="004E13E9" w:rsidRDefault="00004CA5" w:rsidP="00356C58">
      <w:pPr>
        <w:jc w:val="both"/>
        <w:rPr>
          <w:iCs/>
          <w:lang w:val="fr-FR"/>
        </w:rPr>
      </w:pPr>
      <w:r w:rsidRPr="004E13E9">
        <w:rPr>
          <w:iCs/>
          <w:lang w:val="fr-FR"/>
        </w:rPr>
        <w:t>Néant.</w:t>
      </w:r>
    </w:p>
    <w:p w14:paraId="5E9B5C38" w14:textId="77777777" w:rsidR="00004CA5" w:rsidRPr="004E13E9" w:rsidRDefault="00004CA5" w:rsidP="00356C58">
      <w:pPr>
        <w:jc w:val="both"/>
        <w:rPr>
          <w:i/>
          <w:lang w:val="fr-FR"/>
        </w:rPr>
      </w:pPr>
    </w:p>
    <w:p w14:paraId="5621431A" w14:textId="77777777" w:rsidR="00EE7BA5" w:rsidRPr="004E13E9" w:rsidRDefault="00EE7BA5" w:rsidP="00356C58">
      <w:pPr>
        <w:jc w:val="both"/>
        <w:rPr>
          <w:i/>
          <w:lang w:val="fr-FR"/>
        </w:rPr>
      </w:pPr>
    </w:p>
    <w:p w14:paraId="092DBB92" w14:textId="77777777" w:rsidR="00004CA5" w:rsidRPr="004E13E9" w:rsidRDefault="00004CA5" w:rsidP="00356C58">
      <w:pPr>
        <w:ind w:left="426" w:hanging="426"/>
        <w:jc w:val="both"/>
        <w:rPr>
          <w:b/>
          <w:lang w:val="fr-FR"/>
        </w:rPr>
      </w:pPr>
      <w:r w:rsidRPr="004E13E9">
        <w:rPr>
          <w:b/>
          <w:lang w:val="fr-FR"/>
        </w:rPr>
        <w:t>6.</w:t>
      </w:r>
      <w:r w:rsidRPr="004E13E9">
        <w:rPr>
          <w:b/>
          <w:lang w:val="fr-FR"/>
        </w:rPr>
        <w:tab/>
        <w:t>Autres</w:t>
      </w:r>
    </w:p>
    <w:p w14:paraId="3A8180BE" w14:textId="77777777" w:rsidR="00004CA5" w:rsidRPr="004E13E9" w:rsidRDefault="00004CA5" w:rsidP="00F8120E">
      <w:pPr>
        <w:jc w:val="both"/>
        <w:rPr>
          <w:b/>
          <w:lang w:val="fr-FR"/>
        </w:rPr>
      </w:pPr>
    </w:p>
    <w:p w14:paraId="1534D56A" w14:textId="77777777" w:rsidR="00004CA5" w:rsidRPr="004E13E9" w:rsidRDefault="00004CA5" w:rsidP="00F8120E">
      <w:pPr>
        <w:jc w:val="both"/>
        <w:rPr>
          <w:iCs/>
          <w:lang w:val="fr-FR"/>
        </w:rPr>
      </w:pPr>
      <w:r w:rsidRPr="004E13E9">
        <w:rPr>
          <w:iCs/>
          <w:lang w:val="fr-FR"/>
        </w:rPr>
        <w:t>Néant.</w:t>
      </w:r>
      <w:r w:rsidRPr="004E13E9">
        <w:rPr>
          <w:iCs/>
          <w:lang w:val="fr-FR"/>
        </w:rPr>
        <w:br w:type="page"/>
      </w:r>
    </w:p>
    <w:p w14:paraId="26EBF590" w14:textId="77777777" w:rsidR="00004CA5" w:rsidRPr="004E13E9" w:rsidRDefault="00004CA5" w:rsidP="00004CA5">
      <w:pPr>
        <w:rPr>
          <w:i/>
          <w:lang w:val="fr-FR"/>
        </w:rPr>
        <w:sectPr w:rsidR="00004CA5" w:rsidRPr="004E13E9" w:rsidSect="00004CA5">
          <w:footerReference w:type="default" r:id="rId174"/>
          <w:headerReference w:type="first" r:id="rId175"/>
          <w:footerReference w:type="first" r:id="rId176"/>
          <w:pgSz w:w="11906" w:h="16838" w:code="9"/>
          <w:pgMar w:top="1418" w:right="1418" w:bottom="1418" w:left="1418" w:header="851" w:footer="1134" w:gutter="0"/>
          <w:cols w:space="425"/>
          <w:docGrid w:linePitch="360"/>
        </w:sectPr>
      </w:pPr>
    </w:p>
    <w:p w14:paraId="453855AD" w14:textId="77777777" w:rsidR="00004CA5" w:rsidRPr="004E13E9" w:rsidRDefault="00004CA5" w:rsidP="00004CA5">
      <w:pPr>
        <w:rPr>
          <w:b/>
          <w:bCs/>
          <w:lang w:val="fr-FR"/>
        </w:rPr>
      </w:pPr>
      <w:r w:rsidRPr="004E13E9">
        <w:rPr>
          <w:b/>
          <w:bCs/>
          <w:lang w:val="fr-FR"/>
        </w:rPr>
        <w:t>Tableau de la capacité</w:t>
      </w:r>
    </w:p>
    <w:p w14:paraId="1D3BA8D0" w14:textId="77777777" w:rsidR="00004CA5" w:rsidRPr="004E13E9" w:rsidRDefault="00004CA5" w:rsidP="00004CA5">
      <w:pPr>
        <w:rPr>
          <w:b/>
          <w:bCs/>
          <w:sz w:val="16"/>
          <w:szCs w:val="16"/>
          <w:lang w:val="fr-FR"/>
        </w:rPr>
      </w:pPr>
    </w:p>
    <w:tbl>
      <w:tblPr>
        <w:tblW w:w="14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0"/>
        <w:gridCol w:w="2102"/>
        <w:gridCol w:w="615"/>
        <w:gridCol w:w="615"/>
        <w:gridCol w:w="615"/>
        <w:gridCol w:w="615"/>
        <w:gridCol w:w="615"/>
        <w:gridCol w:w="615"/>
        <w:gridCol w:w="615"/>
        <w:gridCol w:w="256"/>
        <w:gridCol w:w="615"/>
        <w:gridCol w:w="615"/>
        <w:gridCol w:w="615"/>
        <w:gridCol w:w="615"/>
        <w:gridCol w:w="615"/>
        <w:gridCol w:w="615"/>
        <w:gridCol w:w="657"/>
      </w:tblGrid>
      <w:tr w:rsidR="00004CA5" w:rsidRPr="004E13E9" w14:paraId="2FAD3115" w14:textId="77777777" w:rsidTr="00E62E84">
        <w:trPr>
          <w:trHeight w:val="20"/>
        </w:trPr>
        <w:tc>
          <w:tcPr>
            <w:tcW w:w="0" w:type="auto"/>
            <w:noWrap/>
            <w:vAlign w:val="center"/>
            <w:hideMark/>
          </w:tcPr>
          <w:p w14:paraId="14C7FAAC" w14:textId="77777777" w:rsidR="00004CA5" w:rsidRPr="004E13E9" w:rsidRDefault="00004CA5" w:rsidP="00E62E84">
            <w:pPr>
              <w:spacing w:line="276" w:lineRule="auto"/>
              <w:jc w:val="center"/>
              <w:rPr>
                <w:rFonts w:eastAsia="Times New Roman" w:cs="Calibri"/>
                <w:i/>
                <w:iCs/>
                <w:kern w:val="2"/>
                <w:sz w:val="18"/>
                <w:szCs w:val="18"/>
                <w:lang w:eastAsia="ko-KR"/>
                <w14:ligatures w14:val="standardContextual"/>
              </w:rPr>
            </w:pPr>
            <w:r w:rsidRPr="004E13E9">
              <w:rPr>
                <w:rFonts w:eastAsia="Malgun Gothic"/>
                <w:i/>
                <w:kern w:val="2"/>
                <w:sz w:val="18"/>
                <w:szCs w:val="18"/>
                <w:lang w:eastAsia="ko-KR"/>
                <w14:ligatures w14:val="standardContextual"/>
              </w:rPr>
              <w:t xml:space="preserve">Type de </w:t>
            </w:r>
            <w:proofErr w:type="spellStart"/>
            <w:r w:rsidRPr="004E13E9">
              <w:rPr>
                <w:rFonts w:eastAsia="Malgun Gothic"/>
                <w:i/>
                <w:kern w:val="2"/>
                <w:sz w:val="18"/>
                <w:szCs w:val="18"/>
                <w:lang w:eastAsia="ko-KR"/>
                <w14:ligatures w14:val="standardContextual"/>
              </w:rPr>
              <w:t>navires</w:t>
            </w:r>
            <w:proofErr w:type="spellEnd"/>
            <w:r w:rsidRPr="004E13E9">
              <w:rPr>
                <w:rFonts w:eastAsia="Malgun Gothic"/>
                <w:i/>
                <w:kern w:val="2"/>
                <w:sz w:val="18"/>
                <w:szCs w:val="18"/>
                <w:lang w:eastAsia="ko-KR"/>
                <w14:ligatures w14:val="standardContextual"/>
              </w:rPr>
              <w:t xml:space="preserve"> </w:t>
            </w:r>
            <w:proofErr w:type="spellStart"/>
            <w:r w:rsidRPr="004E13E9">
              <w:rPr>
                <w:rFonts w:eastAsia="Malgun Gothic"/>
                <w:i/>
                <w:kern w:val="2"/>
                <w:sz w:val="18"/>
                <w:szCs w:val="18"/>
                <w:lang w:eastAsia="ko-KR"/>
                <w14:ligatures w14:val="standardContextual"/>
              </w:rPr>
              <w:t>thoniers</w:t>
            </w:r>
            <w:proofErr w:type="spellEnd"/>
          </w:p>
        </w:tc>
        <w:tc>
          <w:tcPr>
            <w:tcW w:w="2102" w:type="dxa"/>
            <w:noWrap/>
            <w:vAlign w:val="center"/>
            <w:hideMark/>
          </w:tcPr>
          <w:p w14:paraId="56E85A6C"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1767" w:type="dxa"/>
            <w:gridSpan w:val="3"/>
          </w:tcPr>
          <w:p w14:paraId="2AE1B515" w14:textId="77777777" w:rsidR="00004CA5" w:rsidRPr="004E13E9" w:rsidRDefault="00004CA5" w:rsidP="00E62E84">
            <w:pPr>
              <w:spacing w:line="276" w:lineRule="auto"/>
              <w:jc w:val="center"/>
              <w:rPr>
                <w:rFonts w:eastAsia="Times New Roman" w:cs="Calibri"/>
                <w:i/>
                <w:iCs/>
                <w:kern w:val="2"/>
                <w:sz w:val="18"/>
                <w:szCs w:val="18"/>
                <w:lang w:eastAsia="ko-KR"/>
                <w14:ligatures w14:val="standardContextual"/>
              </w:rPr>
            </w:pPr>
            <w:r w:rsidRPr="004E13E9">
              <w:rPr>
                <w:rFonts w:eastAsia="Malgun Gothic"/>
                <w:i/>
                <w:kern w:val="2"/>
                <w:sz w:val="18"/>
                <w:szCs w:val="18"/>
                <w:lang w:eastAsia="ko-KR"/>
                <w14:ligatures w14:val="standardContextual"/>
              </w:rPr>
              <w:t xml:space="preserve">Année de </w:t>
            </w:r>
            <w:proofErr w:type="spellStart"/>
            <w:r w:rsidRPr="004E13E9">
              <w:rPr>
                <w:rFonts w:eastAsia="Malgun Gothic"/>
                <w:i/>
                <w:kern w:val="2"/>
                <w:sz w:val="18"/>
                <w:szCs w:val="18"/>
                <w:lang w:eastAsia="ko-KR"/>
                <w14:ligatures w14:val="standardContextual"/>
              </w:rPr>
              <w:t>réf</w:t>
            </w:r>
            <w:proofErr w:type="spellEnd"/>
            <w:r w:rsidRPr="004E13E9">
              <w:rPr>
                <w:rFonts w:eastAsia="Malgun Gothic"/>
                <w:i/>
                <w:kern w:val="2"/>
                <w:sz w:val="18"/>
                <w:szCs w:val="18"/>
                <w:lang w:eastAsia="ko-KR"/>
                <w14:ligatures w14:val="standardContextual"/>
              </w:rPr>
              <w:t>.</w:t>
            </w:r>
          </w:p>
        </w:tc>
        <w:tc>
          <w:tcPr>
            <w:tcW w:w="2704" w:type="dxa"/>
            <w:gridSpan w:val="4"/>
            <w:vAlign w:val="center"/>
          </w:tcPr>
          <w:p w14:paraId="2FECA3EC" w14:textId="77777777" w:rsidR="00004CA5" w:rsidRPr="004E13E9" w:rsidRDefault="00004CA5" w:rsidP="00E62E84">
            <w:pPr>
              <w:spacing w:line="276" w:lineRule="auto"/>
              <w:jc w:val="center"/>
              <w:rPr>
                <w:rFonts w:eastAsia="Times New Roman"/>
                <w:kern w:val="2"/>
                <w:sz w:val="18"/>
                <w:szCs w:val="18"/>
                <w:lang w:eastAsia="ko-KR"/>
                <w14:ligatures w14:val="standardContextual"/>
              </w:rPr>
            </w:pPr>
            <w:r w:rsidRPr="004E13E9">
              <w:rPr>
                <w:rFonts w:eastAsia="Malgun Gothic"/>
                <w:i/>
                <w:kern w:val="2"/>
                <w:sz w:val="18"/>
                <w:szCs w:val="18"/>
                <w:lang w:eastAsia="ko-KR"/>
                <w14:ligatures w14:val="standardContextual"/>
              </w:rPr>
              <w:t xml:space="preserve">Nombre de </w:t>
            </w:r>
            <w:proofErr w:type="spellStart"/>
            <w:r w:rsidRPr="004E13E9">
              <w:rPr>
                <w:rFonts w:eastAsia="Malgun Gothic"/>
                <w:i/>
                <w:kern w:val="2"/>
                <w:sz w:val="18"/>
                <w:szCs w:val="18"/>
                <w:lang w:eastAsia="ko-KR"/>
                <w14:ligatures w14:val="standardContextual"/>
              </w:rPr>
              <w:t>navires</w:t>
            </w:r>
            <w:proofErr w:type="spellEnd"/>
          </w:p>
        </w:tc>
        <w:tc>
          <w:tcPr>
            <w:tcW w:w="0" w:type="auto"/>
            <w:shd w:val="clear" w:color="auto" w:fill="D9D9D9"/>
            <w:vAlign w:val="center"/>
            <w:hideMark/>
          </w:tcPr>
          <w:p w14:paraId="24595E8A" w14:textId="77777777" w:rsidR="00004CA5" w:rsidRPr="004E13E9" w:rsidRDefault="00004CA5" w:rsidP="00E62E84">
            <w:pPr>
              <w:spacing w:line="276" w:lineRule="auto"/>
              <w:jc w:val="center"/>
              <w:rPr>
                <w:rFonts w:eastAsia="Times New Roman"/>
                <w:kern w:val="2"/>
                <w:sz w:val="18"/>
                <w:szCs w:val="18"/>
                <w:lang w:eastAsia="ja-JP"/>
                <w14:ligatures w14:val="standardContextual"/>
              </w:rPr>
            </w:pPr>
          </w:p>
        </w:tc>
        <w:tc>
          <w:tcPr>
            <w:tcW w:w="0" w:type="auto"/>
            <w:gridSpan w:val="3"/>
          </w:tcPr>
          <w:p w14:paraId="138CAAC1" w14:textId="77777777" w:rsidR="00004CA5" w:rsidRPr="004E13E9" w:rsidRDefault="00004CA5" w:rsidP="00E62E84">
            <w:pPr>
              <w:spacing w:line="276" w:lineRule="auto"/>
              <w:jc w:val="center"/>
              <w:rPr>
                <w:rFonts w:eastAsia="Times New Roman" w:cs="Calibri"/>
                <w:i/>
                <w:iCs/>
                <w:kern w:val="2"/>
                <w:sz w:val="18"/>
                <w:szCs w:val="18"/>
                <w:lang w:eastAsia="ko-KR"/>
                <w14:ligatures w14:val="standardContextual"/>
              </w:rPr>
            </w:pPr>
            <w:r w:rsidRPr="004E13E9">
              <w:rPr>
                <w:rFonts w:eastAsia="Malgun Gothic"/>
                <w:i/>
                <w:kern w:val="2"/>
                <w:sz w:val="18"/>
                <w:szCs w:val="18"/>
                <w:lang w:eastAsia="ko-KR"/>
                <w14:ligatures w14:val="standardContextual"/>
              </w:rPr>
              <w:t xml:space="preserve">Année de </w:t>
            </w:r>
            <w:proofErr w:type="spellStart"/>
            <w:r w:rsidRPr="004E13E9">
              <w:rPr>
                <w:rFonts w:eastAsia="Malgun Gothic"/>
                <w:i/>
                <w:kern w:val="2"/>
                <w:sz w:val="18"/>
                <w:szCs w:val="18"/>
                <w:lang w:eastAsia="ko-KR"/>
                <w14:ligatures w14:val="standardContextual"/>
              </w:rPr>
              <w:t>réf</w:t>
            </w:r>
            <w:proofErr w:type="spellEnd"/>
            <w:r w:rsidRPr="004E13E9">
              <w:rPr>
                <w:rFonts w:eastAsia="Malgun Gothic"/>
                <w:i/>
                <w:kern w:val="2"/>
                <w:sz w:val="18"/>
                <w:szCs w:val="18"/>
                <w:lang w:eastAsia="ko-KR"/>
                <w14:ligatures w14:val="standardContextual"/>
              </w:rPr>
              <w:t>.</w:t>
            </w:r>
          </w:p>
        </w:tc>
        <w:tc>
          <w:tcPr>
            <w:tcW w:w="0" w:type="auto"/>
            <w:gridSpan w:val="4"/>
          </w:tcPr>
          <w:p w14:paraId="167F60B1" w14:textId="77777777" w:rsidR="00004CA5" w:rsidRPr="004E13E9" w:rsidRDefault="00004CA5" w:rsidP="00E62E84">
            <w:pPr>
              <w:spacing w:line="276" w:lineRule="auto"/>
              <w:jc w:val="center"/>
              <w:rPr>
                <w:rFonts w:eastAsia="Times New Roman" w:cs="Calibri"/>
                <w:i/>
                <w:iCs/>
                <w:kern w:val="2"/>
                <w:sz w:val="18"/>
                <w:szCs w:val="18"/>
                <w:lang w:eastAsia="ko-KR"/>
                <w14:ligatures w14:val="standardContextual"/>
              </w:rPr>
            </w:pPr>
            <w:proofErr w:type="spellStart"/>
            <w:r w:rsidRPr="004E13E9">
              <w:rPr>
                <w:rFonts w:eastAsia="Malgun Gothic"/>
                <w:i/>
                <w:kern w:val="2"/>
                <w:sz w:val="18"/>
                <w:szCs w:val="18"/>
                <w:lang w:eastAsia="ko-KR"/>
                <w14:ligatures w14:val="standardContextual"/>
              </w:rPr>
              <w:t>Capacité</w:t>
            </w:r>
            <w:proofErr w:type="spellEnd"/>
            <w:r w:rsidRPr="004E13E9">
              <w:rPr>
                <w:rFonts w:eastAsia="Malgun Gothic"/>
                <w:i/>
                <w:kern w:val="2"/>
                <w:sz w:val="18"/>
                <w:szCs w:val="18"/>
                <w:lang w:eastAsia="ko-KR"/>
                <w14:ligatures w14:val="standardContextual"/>
              </w:rPr>
              <w:t xml:space="preserve"> de </w:t>
            </w:r>
            <w:proofErr w:type="spellStart"/>
            <w:r w:rsidRPr="004E13E9">
              <w:rPr>
                <w:rFonts w:eastAsia="Malgun Gothic"/>
                <w:i/>
                <w:kern w:val="2"/>
                <w:sz w:val="18"/>
                <w:szCs w:val="18"/>
                <w:lang w:eastAsia="ko-KR"/>
                <w14:ligatures w14:val="standardContextual"/>
              </w:rPr>
              <w:t>pêche</w:t>
            </w:r>
            <w:proofErr w:type="spellEnd"/>
          </w:p>
        </w:tc>
      </w:tr>
      <w:tr w:rsidR="00004CA5" w:rsidRPr="004E13E9" w14:paraId="22746186" w14:textId="77777777" w:rsidTr="00E62E84">
        <w:trPr>
          <w:trHeight w:val="20"/>
        </w:trPr>
        <w:tc>
          <w:tcPr>
            <w:tcW w:w="0" w:type="auto"/>
            <w:noWrap/>
            <w:vAlign w:val="center"/>
            <w:hideMark/>
          </w:tcPr>
          <w:p w14:paraId="2240B0BF"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Type</w:t>
            </w:r>
          </w:p>
        </w:tc>
        <w:tc>
          <w:tcPr>
            <w:tcW w:w="2102" w:type="dxa"/>
            <w:vAlign w:val="center"/>
            <w:hideMark/>
          </w:tcPr>
          <w:p w14:paraId="26C9591E" w14:textId="77777777" w:rsidR="00004CA5" w:rsidRPr="004E13E9" w:rsidRDefault="00004CA5" w:rsidP="00E62E84">
            <w:pPr>
              <w:spacing w:line="276" w:lineRule="auto"/>
              <w:jc w:val="center"/>
              <w:rPr>
                <w:rFonts w:eastAsia="Times New Roman" w:cs="Calibri"/>
                <w:kern w:val="2"/>
                <w:sz w:val="18"/>
                <w:szCs w:val="18"/>
                <w:lang w:val="fr-FR" w:eastAsia="ko-KR"/>
                <w14:ligatures w14:val="standardContextual"/>
              </w:rPr>
            </w:pPr>
            <w:r w:rsidRPr="004E13E9">
              <w:rPr>
                <w:rFonts w:eastAsia="Malgun Gothic"/>
                <w:kern w:val="2"/>
                <w:sz w:val="18"/>
                <w:szCs w:val="18"/>
                <w:lang w:val="fr-FR" w:eastAsia="ko-KR"/>
                <w14:ligatures w14:val="standardContextual"/>
              </w:rPr>
              <w:t>Meilleurs taux de capture définis par le SCRS en 2009 (t)</w:t>
            </w:r>
          </w:p>
        </w:tc>
        <w:tc>
          <w:tcPr>
            <w:tcW w:w="625" w:type="dxa"/>
            <w:vAlign w:val="center"/>
          </w:tcPr>
          <w:p w14:paraId="156CA38D"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2006</w:t>
            </w:r>
          </w:p>
        </w:tc>
        <w:tc>
          <w:tcPr>
            <w:tcW w:w="0" w:type="auto"/>
            <w:noWrap/>
            <w:vAlign w:val="center"/>
            <w:hideMark/>
          </w:tcPr>
          <w:p w14:paraId="03CB0EED"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2008</w:t>
            </w:r>
          </w:p>
        </w:tc>
        <w:tc>
          <w:tcPr>
            <w:tcW w:w="0" w:type="auto"/>
            <w:vAlign w:val="center"/>
            <w:hideMark/>
          </w:tcPr>
          <w:p w14:paraId="20083E24"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2018</w:t>
            </w:r>
          </w:p>
        </w:tc>
        <w:tc>
          <w:tcPr>
            <w:tcW w:w="0" w:type="auto"/>
            <w:vAlign w:val="center"/>
            <w:hideMark/>
          </w:tcPr>
          <w:p w14:paraId="7744ACB6"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2023</w:t>
            </w:r>
          </w:p>
        </w:tc>
        <w:tc>
          <w:tcPr>
            <w:tcW w:w="0" w:type="auto"/>
            <w:vAlign w:val="center"/>
            <w:hideMark/>
          </w:tcPr>
          <w:p w14:paraId="20A2C6D1"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2024</w:t>
            </w:r>
          </w:p>
        </w:tc>
        <w:tc>
          <w:tcPr>
            <w:tcW w:w="571" w:type="dxa"/>
            <w:vAlign w:val="center"/>
          </w:tcPr>
          <w:p w14:paraId="1FB20DC7"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2025</w:t>
            </w:r>
          </w:p>
        </w:tc>
        <w:tc>
          <w:tcPr>
            <w:tcW w:w="991" w:type="dxa"/>
            <w:vAlign w:val="center"/>
          </w:tcPr>
          <w:p w14:paraId="0CC75A92"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2026</w:t>
            </w:r>
          </w:p>
        </w:tc>
        <w:tc>
          <w:tcPr>
            <w:tcW w:w="0" w:type="auto"/>
            <w:shd w:val="clear" w:color="000000" w:fill="D9D9D9"/>
            <w:vAlign w:val="center"/>
            <w:hideMark/>
          </w:tcPr>
          <w:p w14:paraId="56EA4D42"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vAlign w:val="center"/>
          </w:tcPr>
          <w:p w14:paraId="75A2BBFC"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2006</w:t>
            </w:r>
          </w:p>
        </w:tc>
        <w:tc>
          <w:tcPr>
            <w:tcW w:w="0" w:type="auto"/>
            <w:vAlign w:val="center"/>
            <w:hideMark/>
          </w:tcPr>
          <w:p w14:paraId="7F1298AC"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2008</w:t>
            </w:r>
          </w:p>
        </w:tc>
        <w:tc>
          <w:tcPr>
            <w:tcW w:w="0" w:type="auto"/>
            <w:vAlign w:val="center"/>
            <w:hideMark/>
          </w:tcPr>
          <w:p w14:paraId="0777EE82"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2018</w:t>
            </w:r>
          </w:p>
        </w:tc>
        <w:tc>
          <w:tcPr>
            <w:tcW w:w="0" w:type="auto"/>
            <w:vAlign w:val="center"/>
            <w:hideMark/>
          </w:tcPr>
          <w:p w14:paraId="1F05939F"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2023</w:t>
            </w:r>
          </w:p>
        </w:tc>
        <w:tc>
          <w:tcPr>
            <w:tcW w:w="0" w:type="auto"/>
            <w:vAlign w:val="center"/>
            <w:hideMark/>
          </w:tcPr>
          <w:p w14:paraId="33FCFC8D"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2024</w:t>
            </w:r>
          </w:p>
        </w:tc>
        <w:tc>
          <w:tcPr>
            <w:tcW w:w="0" w:type="auto"/>
            <w:vAlign w:val="center"/>
            <w:hideMark/>
          </w:tcPr>
          <w:p w14:paraId="0B717322"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2025</w:t>
            </w:r>
          </w:p>
        </w:tc>
        <w:tc>
          <w:tcPr>
            <w:tcW w:w="0" w:type="auto"/>
            <w:vAlign w:val="center"/>
          </w:tcPr>
          <w:p w14:paraId="1A5AA4E3"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2026</w:t>
            </w:r>
          </w:p>
        </w:tc>
      </w:tr>
      <w:tr w:rsidR="00004CA5" w:rsidRPr="004E13E9" w14:paraId="7AC2F403" w14:textId="77777777" w:rsidTr="00E62E84">
        <w:trPr>
          <w:trHeight w:val="20"/>
        </w:trPr>
        <w:tc>
          <w:tcPr>
            <w:tcW w:w="0" w:type="auto"/>
            <w:noWrap/>
            <w:vAlign w:val="center"/>
            <w:hideMark/>
          </w:tcPr>
          <w:p w14:paraId="65CE08FA" w14:textId="77777777" w:rsidR="00004CA5" w:rsidRPr="004E13E9" w:rsidRDefault="00004CA5" w:rsidP="00E62E84">
            <w:pPr>
              <w:spacing w:line="276" w:lineRule="auto"/>
              <w:rPr>
                <w:rFonts w:eastAsia="Times New Roman" w:cs="Calibri"/>
                <w:kern w:val="2"/>
                <w:sz w:val="18"/>
                <w:szCs w:val="18"/>
                <w:lang w:val="fr-FR" w:eastAsia="ko-KR"/>
                <w14:ligatures w14:val="standardContextual"/>
              </w:rPr>
            </w:pPr>
            <w:r w:rsidRPr="004E13E9">
              <w:rPr>
                <w:rFonts w:eastAsia="Malgun Gothic"/>
                <w:kern w:val="2"/>
                <w:sz w:val="18"/>
                <w:szCs w:val="18"/>
                <w:lang w:val="fr-FR" w:eastAsia="ko-KR"/>
                <w14:ligatures w14:val="standardContextual"/>
              </w:rPr>
              <w:t>Senneur de plus de 40 m</w:t>
            </w:r>
          </w:p>
        </w:tc>
        <w:tc>
          <w:tcPr>
            <w:tcW w:w="2102" w:type="dxa"/>
            <w:noWrap/>
            <w:vAlign w:val="center"/>
            <w:hideMark/>
          </w:tcPr>
          <w:p w14:paraId="2C3B3A9C"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70,66</w:t>
            </w:r>
          </w:p>
        </w:tc>
        <w:tc>
          <w:tcPr>
            <w:tcW w:w="625" w:type="dxa"/>
          </w:tcPr>
          <w:p w14:paraId="774439B3"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noWrap/>
            <w:vAlign w:val="center"/>
            <w:hideMark/>
          </w:tcPr>
          <w:p w14:paraId="0F668FBA"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6CA4843F"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7E724F22"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0252BB13"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571" w:type="dxa"/>
          </w:tcPr>
          <w:p w14:paraId="3ADF74C9"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991" w:type="dxa"/>
          </w:tcPr>
          <w:p w14:paraId="2990154B"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000000" w:fill="D9D9D9"/>
            <w:vAlign w:val="center"/>
            <w:hideMark/>
          </w:tcPr>
          <w:p w14:paraId="178DB9A9"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tcPr>
          <w:p w14:paraId="331852F3"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vAlign w:val="center"/>
            <w:hideMark/>
          </w:tcPr>
          <w:p w14:paraId="473303DA"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0B27984B"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090A1D69"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64170668"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625DA5A3"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tcPr>
          <w:p w14:paraId="3DA84099"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r>
      <w:tr w:rsidR="00004CA5" w:rsidRPr="004E13E9" w14:paraId="6034C5BE" w14:textId="77777777" w:rsidTr="00E62E84">
        <w:trPr>
          <w:trHeight w:val="20"/>
        </w:trPr>
        <w:tc>
          <w:tcPr>
            <w:tcW w:w="0" w:type="auto"/>
            <w:noWrap/>
            <w:vAlign w:val="center"/>
            <w:hideMark/>
          </w:tcPr>
          <w:p w14:paraId="24180D67" w14:textId="77777777" w:rsidR="00004CA5" w:rsidRPr="004E13E9" w:rsidRDefault="00004CA5" w:rsidP="00E62E84">
            <w:pPr>
              <w:spacing w:line="276" w:lineRule="auto"/>
              <w:rPr>
                <w:rFonts w:eastAsia="Times New Roman" w:cs="Calibri"/>
                <w:kern w:val="2"/>
                <w:sz w:val="18"/>
                <w:szCs w:val="18"/>
                <w:lang w:eastAsia="ko-KR"/>
                <w14:ligatures w14:val="standardContextual"/>
              </w:rPr>
            </w:pPr>
            <w:proofErr w:type="spellStart"/>
            <w:r w:rsidRPr="004E13E9">
              <w:rPr>
                <w:rFonts w:eastAsia="Malgun Gothic"/>
                <w:kern w:val="2"/>
                <w:sz w:val="18"/>
                <w:szCs w:val="18"/>
                <w:lang w:eastAsia="ko-KR"/>
                <w14:ligatures w14:val="standardContextual"/>
              </w:rPr>
              <w:t>Senneur</w:t>
            </w:r>
            <w:proofErr w:type="spellEnd"/>
            <w:r w:rsidRPr="004E13E9">
              <w:rPr>
                <w:rFonts w:eastAsia="Malgun Gothic"/>
                <w:kern w:val="2"/>
                <w:sz w:val="18"/>
                <w:szCs w:val="18"/>
                <w:lang w:eastAsia="ko-KR"/>
                <w14:ligatures w14:val="standardContextual"/>
              </w:rPr>
              <w:t xml:space="preserve"> entre 24 et 40 m</w:t>
            </w:r>
          </w:p>
        </w:tc>
        <w:tc>
          <w:tcPr>
            <w:tcW w:w="2102" w:type="dxa"/>
            <w:noWrap/>
            <w:vAlign w:val="center"/>
            <w:hideMark/>
          </w:tcPr>
          <w:p w14:paraId="49C6FB10"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49,78</w:t>
            </w:r>
          </w:p>
        </w:tc>
        <w:tc>
          <w:tcPr>
            <w:tcW w:w="625" w:type="dxa"/>
          </w:tcPr>
          <w:p w14:paraId="719A7C10"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noWrap/>
            <w:vAlign w:val="center"/>
            <w:hideMark/>
          </w:tcPr>
          <w:p w14:paraId="4E965731"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789BC37F"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0AA7D108"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630AD6FA"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571" w:type="dxa"/>
          </w:tcPr>
          <w:p w14:paraId="31E62211"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991" w:type="dxa"/>
          </w:tcPr>
          <w:p w14:paraId="64B5B992"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000000" w:fill="D9D9D9"/>
            <w:vAlign w:val="center"/>
            <w:hideMark/>
          </w:tcPr>
          <w:p w14:paraId="2A9CF640"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tcPr>
          <w:p w14:paraId="629FB16A"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vAlign w:val="center"/>
            <w:hideMark/>
          </w:tcPr>
          <w:p w14:paraId="23662A3E"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216F543B"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46FF2EC1"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46B17B5A"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21D61259"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tcPr>
          <w:p w14:paraId="2C8AB454"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r>
      <w:tr w:rsidR="00004CA5" w:rsidRPr="004E13E9" w14:paraId="2F17B7C3" w14:textId="77777777" w:rsidTr="00E62E84">
        <w:trPr>
          <w:trHeight w:val="20"/>
        </w:trPr>
        <w:tc>
          <w:tcPr>
            <w:tcW w:w="0" w:type="auto"/>
            <w:noWrap/>
            <w:vAlign w:val="center"/>
            <w:hideMark/>
          </w:tcPr>
          <w:p w14:paraId="6392F1F2" w14:textId="77777777" w:rsidR="00004CA5" w:rsidRPr="004E13E9" w:rsidRDefault="00004CA5" w:rsidP="00E62E84">
            <w:pPr>
              <w:spacing w:line="276" w:lineRule="auto"/>
              <w:rPr>
                <w:rFonts w:eastAsia="Times New Roman" w:cs="Calibri"/>
                <w:kern w:val="2"/>
                <w:sz w:val="18"/>
                <w:szCs w:val="18"/>
                <w:lang w:val="fr-FR" w:eastAsia="ko-KR"/>
                <w14:ligatures w14:val="standardContextual"/>
              </w:rPr>
            </w:pPr>
            <w:r w:rsidRPr="004E13E9">
              <w:rPr>
                <w:rFonts w:eastAsia="Malgun Gothic"/>
                <w:kern w:val="2"/>
                <w:sz w:val="18"/>
                <w:szCs w:val="18"/>
                <w:lang w:val="fr-FR" w:eastAsia="ko-KR"/>
                <w14:ligatures w14:val="standardContextual"/>
              </w:rPr>
              <w:t>Senneur de moins de 24m</w:t>
            </w:r>
          </w:p>
        </w:tc>
        <w:tc>
          <w:tcPr>
            <w:tcW w:w="2102" w:type="dxa"/>
            <w:noWrap/>
            <w:vAlign w:val="center"/>
            <w:hideMark/>
          </w:tcPr>
          <w:p w14:paraId="1758CEA6"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33,68</w:t>
            </w:r>
          </w:p>
        </w:tc>
        <w:tc>
          <w:tcPr>
            <w:tcW w:w="625" w:type="dxa"/>
          </w:tcPr>
          <w:p w14:paraId="44FC61D7"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noWrap/>
            <w:vAlign w:val="center"/>
            <w:hideMark/>
          </w:tcPr>
          <w:p w14:paraId="21423D0A"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052C6A80"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13FE5704"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1F5CF5DE"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571" w:type="dxa"/>
          </w:tcPr>
          <w:p w14:paraId="4C510F14"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991" w:type="dxa"/>
          </w:tcPr>
          <w:p w14:paraId="5CBC4C67"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000000" w:fill="D9D9D9"/>
            <w:vAlign w:val="center"/>
            <w:hideMark/>
          </w:tcPr>
          <w:p w14:paraId="3ECBF8F7"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tcPr>
          <w:p w14:paraId="321AE4A3"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vAlign w:val="center"/>
            <w:hideMark/>
          </w:tcPr>
          <w:p w14:paraId="4CC210F0"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4C10AB37"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368549A1"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32666780"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1D9D7451"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tcPr>
          <w:p w14:paraId="3C840099"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r>
      <w:tr w:rsidR="00004CA5" w:rsidRPr="004E13E9" w14:paraId="42165007" w14:textId="77777777" w:rsidTr="00E62E84">
        <w:trPr>
          <w:trHeight w:val="20"/>
        </w:trPr>
        <w:tc>
          <w:tcPr>
            <w:tcW w:w="0" w:type="auto"/>
            <w:noWrap/>
            <w:vAlign w:val="center"/>
            <w:hideMark/>
          </w:tcPr>
          <w:p w14:paraId="3BF186F0"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proofErr w:type="spellStart"/>
            <w:r w:rsidRPr="004E13E9">
              <w:rPr>
                <w:rFonts w:eastAsia="Malgun Gothic"/>
                <w:b/>
                <w:kern w:val="2"/>
                <w:sz w:val="18"/>
                <w:szCs w:val="18"/>
                <w:lang w:eastAsia="ko-KR"/>
                <w14:ligatures w14:val="standardContextual"/>
              </w:rPr>
              <w:t>Flottille</w:t>
            </w:r>
            <w:proofErr w:type="spellEnd"/>
            <w:r w:rsidRPr="004E13E9">
              <w:rPr>
                <w:rFonts w:eastAsia="Malgun Gothic"/>
                <w:b/>
                <w:kern w:val="2"/>
                <w:sz w:val="18"/>
                <w:szCs w:val="18"/>
                <w:lang w:eastAsia="ko-KR"/>
                <w14:ligatures w14:val="standardContextual"/>
              </w:rPr>
              <w:t xml:space="preserve"> totale de senneurs</w:t>
            </w:r>
            <w:r w:rsidRPr="004E13E9">
              <w:rPr>
                <w:rFonts w:eastAsia="Malgun Gothic"/>
                <w:b/>
                <w:kern w:val="2"/>
                <w:sz w:val="18"/>
                <w:szCs w:val="18"/>
                <w:vertAlign w:val="superscript"/>
                <w:lang w:eastAsia="ko-KR"/>
                <w14:ligatures w14:val="standardContextual"/>
              </w:rPr>
              <w:t xml:space="preserve"> </w:t>
            </w:r>
          </w:p>
        </w:tc>
        <w:tc>
          <w:tcPr>
            <w:tcW w:w="2102" w:type="dxa"/>
            <w:noWrap/>
            <w:vAlign w:val="center"/>
            <w:hideMark/>
          </w:tcPr>
          <w:p w14:paraId="3BD26986" w14:textId="77777777" w:rsidR="00004CA5" w:rsidRPr="004E13E9" w:rsidRDefault="00004CA5" w:rsidP="00E62E84">
            <w:pPr>
              <w:spacing w:line="276" w:lineRule="auto"/>
              <w:rPr>
                <w:rFonts w:eastAsia="Times New Roman"/>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625" w:type="dxa"/>
          </w:tcPr>
          <w:p w14:paraId="12270656"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noWrap/>
            <w:vAlign w:val="center"/>
            <w:hideMark/>
          </w:tcPr>
          <w:p w14:paraId="7E2ABDBF"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48BE448B"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46586196"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47A49035"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571" w:type="dxa"/>
          </w:tcPr>
          <w:p w14:paraId="0F3D1D7E"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991" w:type="dxa"/>
          </w:tcPr>
          <w:p w14:paraId="36A13541"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000000" w:fill="D9D9D9"/>
            <w:vAlign w:val="center"/>
            <w:hideMark/>
          </w:tcPr>
          <w:p w14:paraId="6184C738"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tcPr>
          <w:p w14:paraId="3DDB898F"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vAlign w:val="center"/>
            <w:hideMark/>
          </w:tcPr>
          <w:p w14:paraId="2A39011A"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67EC073A"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64DE3288"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3B456BEA"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7149C80C"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tcPr>
          <w:p w14:paraId="368C5E9C"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r>
      <w:tr w:rsidR="00004CA5" w:rsidRPr="004E13E9" w14:paraId="6C2B951F" w14:textId="77777777" w:rsidTr="00E62E84">
        <w:trPr>
          <w:trHeight w:val="20"/>
        </w:trPr>
        <w:tc>
          <w:tcPr>
            <w:tcW w:w="0" w:type="auto"/>
            <w:noWrap/>
            <w:vAlign w:val="center"/>
            <w:hideMark/>
          </w:tcPr>
          <w:p w14:paraId="6D08EFB6" w14:textId="77777777" w:rsidR="00004CA5" w:rsidRPr="004E13E9" w:rsidRDefault="00004CA5" w:rsidP="00E62E84">
            <w:pPr>
              <w:spacing w:line="276" w:lineRule="auto"/>
              <w:rPr>
                <w:rFonts w:eastAsia="Times New Roman" w:cs="Calibri"/>
                <w:kern w:val="2"/>
                <w:sz w:val="18"/>
                <w:szCs w:val="18"/>
                <w:lang w:val="fr-FR" w:eastAsia="ko-KR"/>
                <w14:ligatures w14:val="standardContextual"/>
              </w:rPr>
            </w:pPr>
            <w:r w:rsidRPr="004E13E9">
              <w:rPr>
                <w:rFonts w:eastAsia="Malgun Gothic"/>
                <w:kern w:val="2"/>
                <w:sz w:val="18"/>
                <w:szCs w:val="18"/>
                <w:lang w:val="fr-FR" w:eastAsia="ko-KR"/>
                <w14:ligatures w14:val="standardContextual"/>
              </w:rPr>
              <w:t>Palangrier de plus de 40 m</w:t>
            </w:r>
          </w:p>
        </w:tc>
        <w:tc>
          <w:tcPr>
            <w:tcW w:w="2102" w:type="dxa"/>
            <w:noWrap/>
            <w:vAlign w:val="center"/>
            <w:hideMark/>
          </w:tcPr>
          <w:p w14:paraId="0AE10AC9"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25</w:t>
            </w:r>
          </w:p>
        </w:tc>
        <w:tc>
          <w:tcPr>
            <w:tcW w:w="625" w:type="dxa"/>
          </w:tcPr>
          <w:p w14:paraId="7667899F"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noWrap/>
            <w:vAlign w:val="center"/>
            <w:hideMark/>
          </w:tcPr>
          <w:p w14:paraId="7D179956"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0D626CC2"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13F31357"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6F39A14E"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571" w:type="dxa"/>
          </w:tcPr>
          <w:p w14:paraId="10EE3017"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991" w:type="dxa"/>
          </w:tcPr>
          <w:p w14:paraId="1CB7947C"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000000" w:fill="D9D9D9"/>
            <w:vAlign w:val="center"/>
            <w:hideMark/>
          </w:tcPr>
          <w:p w14:paraId="49C82061"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tcPr>
          <w:p w14:paraId="1D8F0015"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vAlign w:val="center"/>
            <w:hideMark/>
          </w:tcPr>
          <w:p w14:paraId="1202ED1D"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154F2FF4"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19EF62E2"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0FB13745"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1CA20A44"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tcPr>
          <w:p w14:paraId="0F708F06"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r>
      <w:tr w:rsidR="00004CA5" w:rsidRPr="004E13E9" w14:paraId="5E2FC8F2" w14:textId="77777777" w:rsidTr="00E62E84">
        <w:trPr>
          <w:trHeight w:val="20"/>
        </w:trPr>
        <w:tc>
          <w:tcPr>
            <w:tcW w:w="0" w:type="auto"/>
            <w:noWrap/>
            <w:vAlign w:val="center"/>
            <w:hideMark/>
          </w:tcPr>
          <w:p w14:paraId="5F04AC16" w14:textId="77777777" w:rsidR="00004CA5" w:rsidRPr="004E13E9" w:rsidRDefault="00004CA5" w:rsidP="00E62E84">
            <w:pPr>
              <w:spacing w:line="276" w:lineRule="auto"/>
              <w:rPr>
                <w:rFonts w:eastAsia="Times New Roman" w:cs="Calibri"/>
                <w:kern w:val="2"/>
                <w:sz w:val="18"/>
                <w:szCs w:val="18"/>
                <w:lang w:eastAsia="ko-KR"/>
                <w14:ligatures w14:val="standardContextual"/>
              </w:rPr>
            </w:pPr>
            <w:proofErr w:type="spellStart"/>
            <w:r w:rsidRPr="004E13E9">
              <w:rPr>
                <w:rFonts w:eastAsia="Malgun Gothic"/>
                <w:kern w:val="2"/>
                <w:sz w:val="18"/>
                <w:szCs w:val="18"/>
                <w:lang w:eastAsia="ko-KR"/>
                <w14:ligatures w14:val="standardContextual"/>
              </w:rPr>
              <w:t>Palangrier</w:t>
            </w:r>
            <w:proofErr w:type="spellEnd"/>
            <w:r w:rsidRPr="004E13E9">
              <w:rPr>
                <w:rFonts w:eastAsia="Malgun Gothic"/>
                <w:kern w:val="2"/>
                <w:sz w:val="18"/>
                <w:szCs w:val="18"/>
                <w:lang w:eastAsia="ko-KR"/>
                <w14:ligatures w14:val="standardContextual"/>
              </w:rPr>
              <w:t xml:space="preserve"> entre 24 et 40 m</w:t>
            </w:r>
          </w:p>
        </w:tc>
        <w:tc>
          <w:tcPr>
            <w:tcW w:w="2102" w:type="dxa"/>
            <w:noWrap/>
            <w:vAlign w:val="center"/>
            <w:hideMark/>
          </w:tcPr>
          <w:p w14:paraId="514AC280"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5,68</w:t>
            </w:r>
          </w:p>
        </w:tc>
        <w:tc>
          <w:tcPr>
            <w:tcW w:w="625" w:type="dxa"/>
          </w:tcPr>
          <w:p w14:paraId="3C1481AA"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noWrap/>
            <w:vAlign w:val="center"/>
            <w:hideMark/>
          </w:tcPr>
          <w:p w14:paraId="79BF3670"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3798652B"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6C6DED79"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503C2667"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571" w:type="dxa"/>
          </w:tcPr>
          <w:p w14:paraId="2E9A298A"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991" w:type="dxa"/>
          </w:tcPr>
          <w:p w14:paraId="6B387117"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000000" w:fill="D9D9D9"/>
            <w:vAlign w:val="center"/>
            <w:hideMark/>
          </w:tcPr>
          <w:p w14:paraId="6F577703"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tcPr>
          <w:p w14:paraId="097DB171"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vAlign w:val="center"/>
            <w:hideMark/>
          </w:tcPr>
          <w:p w14:paraId="360CFF90"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2BB5040A"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5A68CD78"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019F6CA2"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5C1735E0"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tcPr>
          <w:p w14:paraId="017AC6F8"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r>
      <w:tr w:rsidR="00004CA5" w:rsidRPr="004E13E9" w14:paraId="36707F8B" w14:textId="77777777" w:rsidTr="00E62E84">
        <w:trPr>
          <w:trHeight w:val="20"/>
        </w:trPr>
        <w:tc>
          <w:tcPr>
            <w:tcW w:w="0" w:type="auto"/>
            <w:noWrap/>
            <w:vAlign w:val="center"/>
            <w:hideMark/>
          </w:tcPr>
          <w:p w14:paraId="6A3CD63C" w14:textId="77777777" w:rsidR="00004CA5" w:rsidRPr="004E13E9" w:rsidRDefault="00004CA5" w:rsidP="00E62E84">
            <w:pPr>
              <w:spacing w:line="276" w:lineRule="auto"/>
              <w:rPr>
                <w:rFonts w:eastAsia="Times New Roman" w:cs="Calibri"/>
                <w:kern w:val="2"/>
                <w:sz w:val="18"/>
                <w:szCs w:val="18"/>
                <w:lang w:val="fr-FR" w:eastAsia="ko-KR"/>
                <w14:ligatures w14:val="standardContextual"/>
              </w:rPr>
            </w:pPr>
            <w:r w:rsidRPr="004E13E9">
              <w:rPr>
                <w:rFonts w:eastAsia="Malgun Gothic"/>
                <w:kern w:val="2"/>
                <w:sz w:val="18"/>
                <w:szCs w:val="18"/>
                <w:lang w:val="fr-FR" w:eastAsia="ko-KR"/>
                <w14:ligatures w14:val="standardContextual"/>
              </w:rPr>
              <w:t>Palangrier de moins de 24 m</w:t>
            </w:r>
          </w:p>
        </w:tc>
        <w:tc>
          <w:tcPr>
            <w:tcW w:w="2102" w:type="dxa"/>
            <w:noWrap/>
            <w:vAlign w:val="center"/>
            <w:hideMark/>
          </w:tcPr>
          <w:p w14:paraId="3AF3BDCC"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5</w:t>
            </w:r>
          </w:p>
        </w:tc>
        <w:tc>
          <w:tcPr>
            <w:tcW w:w="625" w:type="dxa"/>
          </w:tcPr>
          <w:p w14:paraId="33C51A92"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noWrap/>
            <w:vAlign w:val="center"/>
            <w:hideMark/>
          </w:tcPr>
          <w:p w14:paraId="2B991640"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2AF76C78"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7108FB8D"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00A746C3"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571" w:type="dxa"/>
          </w:tcPr>
          <w:p w14:paraId="2C52681B"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991" w:type="dxa"/>
          </w:tcPr>
          <w:p w14:paraId="70708F4D"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000000" w:fill="D9D9D9"/>
            <w:vAlign w:val="center"/>
            <w:hideMark/>
          </w:tcPr>
          <w:p w14:paraId="29366ADB"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tcPr>
          <w:p w14:paraId="27AE28C1"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vAlign w:val="center"/>
            <w:hideMark/>
          </w:tcPr>
          <w:p w14:paraId="5F5E3BBE"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3D26DABD"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16A26206"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6E974017"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3B82B03C"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tcPr>
          <w:p w14:paraId="1FAFCDA2"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r>
      <w:tr w:rsidR="00004CA5" w:rsidRPr="004E13E9" w14:paraId="6D9E8E4C" w14:textId="77777777" w:rsidTr="00E62E84">
        <w:trPr>
          <w:trHeight w:val="20"/>
        </w:trPr>
        <w:tc>
          <w:tcPr>
            <w:tcW w:w="0" w:type="auto"/>
            <w:noWrap/>
            <w:vAlign w:val="center"/>
            <w:hideMark/>
          </w:tcPr>
          <w:p w14:paraId="14D9BA1C"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proofErr w:type="spellStart"/>
            <w:r w:rsidRPr="004E13E9">
              <w:rPr>
                <w:rFonts w:eastAsia="Malgun Gothic"/>
                <w:b/>
                <w:kern w:val="2"/>
                <w:sz w:val="18"/>
                <w:szCs w:val="18"/>
                <w:lang w:eastAsia="ko-KR"/>
                <w14:ligatures w14:val="standardContextual"/>
              </w:rPr>
              <w:t>Flottille</w:t>
            </w:r>
            <w:proofErr w:type="spellEnd"/>
            <w:r w:rsidRPr="004E13E9">
              <w:rPr>
                <w:rFonts w:eastAsia="Malgun Gothic"/>
                <w:b/>
                <w:kern w:val="2"/>
                <w:sz w:val="18"/>
                <w:szCs w:val="18"/>
                <w:lang w:eastAsia="ko-KR"/>
                <w14:ligatures w14:val="standardContextual"/>
              </w:rPr>
              <w:t xml:space="preserve"> totale de </w:t>
            </w:r>
            <w:proofErr w:type="spellStart"/>
            <w:r w:rsidRPr="004E13E9">
              <w:rPr>
                <w:rFonts w:eastAsia="Malgun Gothic"/>
                <w:b/>
                <w:kern w:val="2"/>
                <w:sz w:val="18"/>
                <w:szCs w:val="18"/>
                <w:lang w:eastAsia="ko-KR"/>
                <w14:ligatures w14:val="standardContextual"/>
              </w:rPr>
              <w:t>palangriers</w:t>
            </w:r>
            <w:proofErr w:type="spellEnd"/>
          </w:p>
        </w:tc>
        <w:tc>
          <w:tcPr>
            <w:tcW w:w="2102" w:type="dxa"/>
            <w:noWrap/>
            <w:vAlign w:val="center"/>
            <w:hideMark/>
          </w:tcPr>
          <w:p w14:paraId="7FC58A00" w14:textId="77777777" w:rsidR="00004CA5" w:rsidRPr="004E13E9" w:rsidRDefault="00004CA5" w:rsidP="00E62E84">
            <w:pPr>
              <w:spacing w:line="276" w:lineRule="auto"/>
              <w:rPr>
                <w:rFonts w:eastAsia="Times New Roman"/>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625" w:type="dxa"/>
          </w:tcPr>
          <w:p w14:paraId="584C2D4A"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noWrap/>
            <w:vAlign w:val="center"/>
            <w:hideMark/>
          </w:tcPr>
          <w:p w14:paraId="7D72637E"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285FE364"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01A34EAB"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710DB9B4"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571" w:type="dxa"/>
          </w:tcPr>
          <w:p w14:paraId="369A2873"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991" w:type="dxa"/>
          </w:tcPr>
          <w:p w14:paraId="530EA51C"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000000" w:fill="D9D9D9"/>
            <w:vAlign w:val="center"/>
            <w:hideMark/>
          </w:tcPr>
          <w:p w14:paraId="73E0FB23"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tcPr>
          <w:p w14:paraId="190F50FF"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vAlign w:val="center"/>
            <w:hideMark/>
          </w:tcPr>
          <w:p w14:paraId="7BA31409"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3A448F76"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734074CF"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0ACE2C54"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22874133"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tcPr>
          <w:p w14:paraId="39DCFB39"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r>
      <w:tr w:rsidR="00004CA5" w:rsidRPr="004E13E9" w14:paraId="70A9949C" w14:textId="77777777" w:rsidTr="00E62E84">
        <w:trPr>
          <w:trHeight w:val="20"/>
        </w:trPr>
        <w:tc>
          <w:tcPr>
            <w:tcW w:w="0" w:type="auto"/>
            <w:noWrap/>
            <w:vAlign w:val="center"/>
            <w:hideMark/>
          </w:tcPr>
          <w:p w14:paraId="76C5FC95" w14:textId="77777777" w:rsidR="00004CA5" w:rsidRPr="004E13E9" w:rsidRDefault="00004CA5" w:rsidP="00E62E84">
            <w:pPr>
              <w:spacing w:line="276" w:lineRule="auto"/>
              <w:rPr>
                <w:rFonts w:eastAsia="Times New Roman" w:cs="Calibri"/>
                <w:kern w:val="2"/>
                <w:sz w:val="18"/>
                <w:szCs w:val="18"/>
                <w:lang w:eastAsia="ko-KR"/>
                <w14:ligatures w14:val="standardContextual"/>
              </w:rPr>
            </w:pPr>
            <w:proofErr w:type="spellStart"/>
            <w:r w:rsidRPr="004E13E9">
              <w:rPr>
                <w:rFonts w:eastAsia="Malgun Gothic"/>
                <w:kern w:val="2"/>
                <w:sz w:val="18"/>
                <w:szCs w:val="18"/>
                <w:lang w:eastAsia="ko-KR"/>
                <w14:ligatures w14:val="standardContextual"/>
              </w:rPr>
              <w:t>Canneur</w:t>
            </w:r>
            <w:proofErr w:type="spellEnd"/>
            <w:r w:rsidRPr="004E13E9">
              <w:rPr>
                <w:rFonts w:eastAsia="Malgun Gothic"/>
                <w:kern w:val="2"/>
                <w:sz w:val="18"/>
                <w:szCs w:val="18"/>
                <w:lang w:eastAsia="ko-KR"/>
                <w14:ligatures w14:val="standardContextual"/>
              </w:rPr>
              <w:t xml:space="preserve"> </w:t>
            </w:r>
          </w:p>
        </w:tc>
        <w:tc>
          <w:tcPr>
            <w:tcW w:w="2102" w:type="dxa"/>
            <w:noWrap/>
            <w:vAlign w:val="center"/>
            <w:hideMark/>
          </w:tcPr>
          <w:p w14:paraId="2477CD74"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19,75</w:t>
            </w:r>
          </w:p>
        </w:tc>
        <w:tc>
          <w:tcPr>
            <w:tcW w:w="625" w:type="dxa"/>
          </w:tcPr>
          <w:p w14:paraId="23118F38"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noWrap/>
            <w:vAlign w:val="center"/>
            <w:hideMark/>
          </w:tcPr>
          <w:p w14:paraId="73B01408"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44FD7C0E"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4B8CF662"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79D4EA82"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571" w:type="dxa"/>
          </w:tcPr>
          <w:p w14:paraId="7835866B"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991" w:type="dxa"/>
          </w:tcPr>
          <w:p w14:paraId="3872A730"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000000" w:fill="D9D9D9"/>
            <w:vAlign w:val="center"/>
            <w:hideMark/>
          </w:tcPr>
          <w:p w14:paraId="2184C112"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tcPr>
          <w:p w14:paraId="7CEF80D7"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vAlign w:val="center"/>
            <w:hideMark/>
          </w:tcPr>
          <w:p w14:paraId="0B2EA5E1"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179E6043"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31DFB4AB"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6E22E527"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4BBDEBA0"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tcPr>
          <w:p w14:paraId="500526AD"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r>
      <w:tr w:rsidR="00004CA5" w:rsidRPr="004E13E9" w14:paraId="0B67B350" w14:textId="77777777" w:rsidTr="00E62E84">
        <w:trPr>
          <w:trHeight w:val="20"/>
        </w:trPr>
        <w:tc>
          <w:tcPr>
            <w:tcW w:w="0" w:type="auto"/>
            <w:noWrap/>
            <w:vAlign w:val="center"/>
            <w:hideMark/>
          </w:tcPr>
          <w:p w14:paraId="34B715BD"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Ligne à main</w:t>
            </w:r>
          </w:p>
        </w:tc>
        <w:tc>
          <w:tcPr>
            <w:tcW w:w="2102" w:type="dxa"/>
            <w:noWrap/>
            <w:vAlign w:val="center"/>
            <w:hideMark/>
          </w:tcPr>
          <w:p w14:paraId="6EC9D13E"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5</w:t>
            </w:r>
          </w:p>
        </w:tc>
        <w:tc>
          <w:tcPr>
            <w:tcW w:w="625" w:type="dxa"/>
          </w:tcPr>
          <w:p w14:paraId="4F6D32B4"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noWrap/>
            <w:vAlign w:val="center"/>
            <w:hideMark/>
          </w:tcPr>
          <w:p w14:paraId="2B3F14E9"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2E11E93D"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002DA4A7"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721245D3"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571" w:type="dxa"/>
          </w:tcPr>
          <w:p w14:paraId="420DA178"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991" w:type="dxa"/>
          </w:tcPr>
          <w:p w14:paraId="1FF85D86"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000000" w:fill="D9D9D9"/>
            <w:vAlign w:val="center"/>
            <w:hideMark/>
          </w:tcPr>
          <w:p w14:paraId="1628AADC"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tcPr>
          <w:p w14:paraId="312F70D8"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vAlign w:val="center"/>
            <w:hideMark/>
          </w:tcPr>
          <w:p w14:paraId="0408EDC8"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6596C6EE"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645A77EB"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7DB75BF1"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7E4F2A21"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tcPr>
          <w:p w14:paraId="3E101E50"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r>
      <w:tr w:rsidR="00004CA5" w:rsidRPr="004E13E9" w14:paraId="0BA9D129" w14:textId="77777777" w:rsidTr="00E62E84">
        <w:trPr>
          <w:trHeight w:val="20"/>
        </w:trPr>
        <w:tc>
          <w:tcPr>
            <w:tcW w:w="0" w:type="auto"/>
            <w:noWrap/>
            <w:vAlign w:val="center"/>
            <w:hideMark/>
          </w:tcPr>
          <w:p w14:paraId="2456CC25" w14:textId="77777777" w:rsidR="00004CA5" w:rsidRPr="004E13E9" w:rsidRDefault="00004CA5" w:rsidP="00E62E84">
            <w:pPr>
              <w:spacing w:line="276" w:lineRule="auto"/>
              <w:rPr>
                <w:rFonts w:eastAsia="Times New Roman" w:cs="Calibri"/>
                <w:kern w:val="2"/>
                <w:sz w:val="18"/>
                <w:szCs w:val="18"/>
                <w:lang w:eastAsia="ko-KR"/>
                <w14:ligatures w14:val="standardContextual"/>
              </w:rPr>
            </w:pPr>
            <w:proofErr w:type="spellStart"/>
            <w:r w:rsidRPr="004E13E9">
              <w:rPr>
                <w:rFonts w:eastAsia="Malgun Gothic"/>
                <w:kern w:val="2"/>
                <w:sz w:val="18"/>
                <w:szCs w:val="18"/>
                <w:lang w:eastAsia="ko-KR"/>
                <w14:ligatures w14:val="standardContextual"/>
              </w:rPr>
              <w:t>Chalutier</w:t>
            </w:r>
            <w:proofErr w:type="spellEnd"/>
          </w:p>
        </w:tc>
        <w:tc>
          <w:tcPr>
            <w:tcW w:w="2102" w:type="dxa"/>
            <w:noWrap/>
            <w:vAlign w:val="center"/>
            <w:hideMark/>
          </w:tcPr>
          <w:p w14:paraId="30E2773E"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10</w:t>
            </w:r>
          </w:p>
        </w:tc>
        <w:tc>
          <w:tcPr>
            <w:tcW w:w="625" w:type="dxa"/>
          </w:tcPr>
          <w:p w14:paraId="7B054A28"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noWrap/>
            <w:vAlign w:val="center"/>
            <w:hideMark/>
          </w:tcPr>
          <w:p w14:paraId="14FAC90F"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740006E8"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4015F6E8"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25ADE93E"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571" w:type="dxa"/>
          </w:tcPr>
          <w:p w14:paraId="1BD9A387"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991" w:type="dxa"/>
          </w:tcPr>
          <w:p w14:paraId="076327C5"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000000" w:fill="D9D9D9"/>
            <w:vAlign w:val="center"/>
            <w:hideMark/>
          </w:tcPr>
          <w:p w14:paraId="01F96D1D"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tcPr>
          <w:p w14:paraId="58DB9C05"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vAlign w:val="center"/>
            <w:hideMark/>
          </w:tcPr>
          <w:p w14:paraId="7BFD4548"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3E57C75A"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4887ACA0"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17F6434E"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vAlign w:val="center"/>
            <w:hideMark/>
          </w:tcPr>
          <w:p w14:paraId="5D80BE42"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tcPr>
          <w:p w14:paraId="2F0FC949"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r>
      <w:tr w:rsidR="00004CA5" w:rsidRPr="004E13E9" w14:paraId="1DFC5306" w14:textId="77777777" w:rsidTr="00E62E84">
        <w:trPr>
          <w:trHeight w:val="20"/>
        </w:trPr>
        <w:tc>
          <w:tcPr>
            <w:tcW w:w="0" w:type="auto"/>
            <w:noWrap/>
            <w:vAlign w:val="center"/>
            <w:hideMark/>
          </w:tcPr>
          <w:p w14:paraId="0CC9CAFE"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Madrague</w:t>
            </w:r>
          </w:p>
        </w:tc>
        <w:tc>
          <w:tcPr>
            <w:tcW w:w="2102" w:type="dxa"/>
            <w:noWrap/>
            <w:vAlign w:val="center"/>
            <w:hideMark/>
          </w:tcPr>
          <w:p w14:paraId="347D357C"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130</w:t>
            </w:r>
          </w:p>
        </w:tc>
        <w:tc>
          <w:tcPr>
            <w:tcW w:w="625" w:type="dxa"/>
          </w:tcPr>
          <w:p w14:paraId="4279AD43"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noWrap/>
            <w:vAlign w:val="center"/>
            <w:hideMark/>
          </w:tcPr>
          <w:p w14:paraId="50F8CDAA"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73F6C2EE"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5CA10BEF"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2953CA2F"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571" w:type="dxa"/>
          </w:tcPr>
          <w:p w14:paraId="0E80384E"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991" w:type="dxa"/>
          </w:tcPr>
          <w:p w14:paraId="67FCC9E5"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000000" w:fill="D9D9D9"/>
            <w:vAlign w:val="center"/>
            <w:hideMark/>
          </w:tcPr>
          <w:p w14:paraId="67DA53EB"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tcPr>
          <w:p w14:paraId="3DD256A2"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vAlign w:val="center"/>
            <w:hideMark/>
          </w:tcPr>
          <w:p w14:paraId="49524CC8"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75587CE1"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5EBBB6FA"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62677CBE"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372982C1"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tcPr>
          <w:p w14:paraId="4E89F802"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r>
      <w:tr w:rsidR="00004CA5" w:rsidRPr="004E13E9" w14:paraId="04FAF7A5" w14:textId="77777777" w:rsidTr="00E62E84">
        <w:trPr>
          <w:trHeight w:val="20"/>
        </w:trPr>
        <w:tc>
          <w:tcPr>
            <w:tcW w:w="0" w:type="auto"/>
            <w:vAlign w:val="center"/>
            <w:hideMark/>
          </w:tcPr>
          <w:p w14:paraId="7409CF0A"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xml:space="preserve">Petits </w:t>
            </w:r>
            <w:proofErr w:type="spellStart"/>
            <w:r w:rsidRPr="004E13E9">
              <w:rPr>
                <w:rFonts w:eastAsia="Malgun Gothic"/>
                <w:kern w:val="2"/>
                <w:sz w:val="18"/>
                <w:szCs w:val="18"/>
                <w:lang w:eastAsia="ko-KR"/>
                <w14:ligatures w14:val="standardContextual"/>
              </w:rPr>
              <w:t>navires</w:t>
            </w:r>
            <w:proofErr w:type="spellEnd"/>
            <w:r w:rsidRPr="004E13E9">
              <w:rPr>
                <w:rFonts w:eastAsia="Malgun Gothic"/>
                <w:kern w:val="2"/>
                <w:sz w:val="18"/>
                <w:szCs w:val="18"/>
                <w:lang w:eastAsia="ko-KR"/>
                <w14:ligatures w14:val="standardContextual"/>
              </w:rPr>
              <w:t xml:space="preserve"> côtiers </w:t>
            </w:r>
          </w:p>
        </w:tc>
        <w:tc>
          <w:tcPr>
            <w:tcW w:w="2102" w:type="dxa"/>
            <w:noWrap/>
            <w:vAlign w:val="center"/>
            <w:hideMark/>
          </w:tcPr>
          <w:p w14:paraId="3758A5E0"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N/A</w:t>
            </w:r>
          </w:p>
        </w:tc>
        <w:tc>
          <w:tcPr>
            <w:tcW w:w="625" w:type="dxa"/>
          </w:tcPr>
          <w:p w14:paraId="5EE043F0"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noWrap/>
            <w:vAlign w:val="center"/>
            <w:hideMark/>
          </w:tcPr>
          <w:p w14:paraId="5C9B258D"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46FC8A7C"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61597EFA"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4169250C"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571" w:type="dxa"/>
          </w:tcPr>
          <w:p w14:paraId="79BF0A3C"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991" w:type="dxa"/>
          </w:tcPr>
          <w:p w14:paraId="30F88793"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000000" w:fill="D9D9D9"/>
            <w:vAlign w:val="center"/>
            <w:hideMark/>
          </w:tcPr>
          <w:p w14:paraId="4975DBE8"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tcPr>
          <w:p w14:paraId="49823463"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vAlign w:val="center"/>
            <w:hideMark/>
          </w:tcPr>
          <w:p w14:paraId="2320A364"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3628FC9C"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5D6FB8DF"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221438CD"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7CD3D8A0"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tcPr>
          <w:p w14:paraId="662A6F41"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r>
      <w:tr w:rsidR="00004CA5" w:rsidRPr="004E13E9" w14:paraId="3796A911" w14:textId="77777777" w:rsidTr="00E62E84">
        <w:trPr>
          <w:trHeight w:val="20"/>
        </w:trPr>
        <w:tc>
          <w:tcPr>
            <w:tcW w:w="0" w:type="auto"/>
            <w:vAlign w:val="center"/>
            <w:hideMark/>
          </w:tcPr>
          <w:p w14:paraId="2AFB1F0D" w14:textId="77777777" w:rsidR="00004CA5" w:rsidRPr="004E13E9" w:rsidRDefault="00004CA5" w:rsidP="00E62E84">
            <w:pPr>
              <w:spacing w:line="276" w:lineRule="auto"/>
              <w:rPr>
                <w:rFonts w:eastAsia="Times New Roman" w:cs="Calibri"/>
                <w:kern w:val="2"/>
                <w:sz w:val="18"/>
                <w:szCs w:val="18"/>
                <w:lang w:eastAsia="ko-KR"/>
                <w14:ligatures w14:val="standardContextual"/>
              </w:rPr>
            </w:pPr>
            <w:proofErr w:type="spellStart"/>
            <w:r w:rsidRPr="004E13E9">
              <w:rPr>
                <w:rFonts w:eastAsia="Malgun Gothic"/>
                <w:kern w:val="2"/>
                <w:sz w:val="18"/>
                <w:szCs w:val="18"/>
                <w:lang w:eastAsia="ko-KR"/>
                <w14:ligatures w14:val="standardContextual"/>
              </w:rPr>
              <w:t>Autre</w:t>
            </w:r>
            <w:proofErr w:type="spellEnd"/>
            <w:r w:rsidRPr="004E13E9">
              <w:rPr>
                <w:rFonts w:eastAsia="Malgun Gothic"/>
                <w:kern w:val="2"/>
                <w:sz w:val="18"/>
                <w:szCs w:val="18"/>
                <w:lang w:eastAsia="ko-KR"/>
                <w14:ligatures w14:val="standardContextual"/>
              </w:rPr>
              <w:t xml:space="preserve"> (à préciser)</w:t>
            </w:r>
          </w:p>
        </w:tc>
        <w:tc>
          <w:tcPr>
            <w:tcW w:w="2102" w:type="dxa"/>
            <w:noWrap/>
            <w:vAlign w:val="center"/>
            <w:hideMark/>
          </w:tcPr>
          <w:p w14:paraId="7EE312B5" w14:textId="77777777" w:rsidR="00004CA5" w:rsidRPr="004E13E9" w:rsidRDefault="00004CA5" w:rsidP="00E62E84">
            <w:pPr>
              <w:spacing w:line="276" w:lineRule="auto"/>
              <w:jc w:val="center"/>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5</w:t>
            </w:r>
          </w:p>
        </w:tc>
        <w:tc>
          <w:tcPr>
            <w:tcW w:w="625" w:type="dxa"/>
          </w:tcPr>
          <w:p w14:paraId="6851938D"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noWrap/>
            <w:vAlign w:val="center"/>
            <w:hideMark/>
          </w:tcPr>
          <w:p w14:paraId="1C967459"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52FA31EE"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635A48C2"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19A61764"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571" w:type="dxa"/>
          </w:tcPr>
          <w:p w14:paraId="13DC13CC"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991" w:type="dxa"/>
          </w:tcPr>
          <w:p w14:paraId="7CF042FC"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000000" w:fill="D9D9D9"/>
            <w:vAlign w:val="center"/>
            <w:hideMark/>
          </w:tcPr>
          <w:p w14:paraId="2846C17F"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tcPr>
          <w:p w14:paraId="3D79FA08"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vAlign w:val="center"/>
            <w:hideMark/>
          </w:tcPr>
          <w:p w14:paraId="0B79D708"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5C3B0461"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5F23D919"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7D4C8871"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vAlign w:val="center"/>
            <w:hideMark/>
          </w:tcPr>
          <w:p w14:paraId="7C1B5A9F"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w:t>
            </w:r>
          </w:p>
        </w:tc>
        <w:tc>
          <w:tcPr>
            <w:tcW w:w="0" w:type="auto"/>
          </w:tcPr>
          <w:p w14:paraId="40708477"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r>
      <w:tr w:rsidR="00004CA5" w:rsidRPr="004E13E9" w14:paraId="28F32D50" w14:textId="77777777" w:rsidTr="00E62E84">
        <w:trPr>
          <w:trHeight w:val="20"/>
        </w:trPr>
        <w:tc>
          <w:tcPr>
            <w:tcW w:w="0" w:type="auto"/>
            <w:noWrap/>
            <w:vAlign w:val="center"/>
            <w:hideMark/>
          </w:tcPr>
          <w:p w14:paraId="29E0B0DE" w14:textId="77777777" w:rsidR="00004CA5" w:rsidRPr="004E13E9" w:rsidRDefault="00004CA5" w:rsidP="00E62E84">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Capacité totale de la flottille/de pêche</w:t>
            </w:r>
          </w:p>
        </w:tc>
        <w:tc>
          <w:tcPr>
            <w:tcW w:w="2102" w:type="dxa"/>
            <w:noWrap/>
            <w:vAlign w:val="center"/>
            <w:hideMark/>
          </w:tcPr>
          <w:p w14:paraId="2BEDF743" w14:textId="77777777" w:rsidR="00004CA5" w:rsidRPr="004E13E9" w:rsidRDefault="00004CA5" w:rsidP="00E62E84">
            <w:pPr>
              <w:spacing w:line="276" w:lineRule="auto"/>
              <w:jc w:val="right"/>
              <w:rPr>
                <w:rFonts w:eastAsia="Times New Roman" w:cs="Calibri"/>
                <w:kern w:val="2"/>
                <w:sz w:val="18"/>
                <w:szCs w:val="18"/>
                <w:lang w:val="fr-FR" w:eastAsia="ko-KR"/>
                <w14:ligatures w14:val="standardContextual"/>
              </w:rPr>
            </w:pPr>
            <w:r w:rsidRPr="004E13E9">
              <w:rPr>
                <w:rFonts w:eastAsia="Malgun Gothic"/>
                <w:kern w:val="2"/>
                <w:sz w:val="18"/>
                <w:szCs w:val="18"/>
                <w:lang w:val="fr-FR" w:eastAsia="ko-KR"/>
                <w14:ligatures w14:val="standardContextual"/>
              </w:rPr>
              <w:t> </w:t>
            </w:r>
          </w:p>
        </w:tc>
        <w:tc>
          <w:tcPr>
            <w:tcW w:w="625" w:type="dxa"/>
          </w:tcPr>
          <w:p w14:paraId="63338B2C" w14:textId="77777777" w:rsidR="00004CA5" w:rsidRPr="004E13E9" w:rsidRDefault="00004CA5" w:rsidP="00E62E84">
            <w:pPr>
              <w:spacing w:line="276" w:lineRule="auto"/>
              <w:rPr>
                <w:rFonts w:eastAsia="Times New Roman" w:cs="Calibri"/>
                <w:b/>
                <w:bCs/>
                <w:kern w:val="2"/>
                <w:sz w:val="18"/>
                <w:szCs w:val="18"/>
                <w:lang w:val="fr-FR" w:eastAsia="ja-JP"/>
                <w14:ligatures w14:val="standardContextual"/>
              </w:rPr>
            </w:pPr>
          </w:p>
        </w:tc>
        <w:tc>
          <w:tcPr>
            <w:tcW w:w="0" w:type="auto"/>
            <w:noWrap/>
            <w:vAlign w:val="center"/>
            <w:hideMark/>
          </w:tcPr>
          <w:p w14:paraId="4B6EFBEA" w14:textId="77777777" w:rsidR="00004CA5" w:rsidRPr="004E13E9" w:rsidRDefault="00004CA5" w:rsidP="00E62E84">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 </w:t>
            </w:r>
          </w:p>
        </w:tc>
        <w:tc>
          <w:tcPr>
            <w:tcW w:w="0" w:type="auto"/>
            <w:vAlign w:val="center"/>
            <w:hideMark/>
          </w:tcPr>
          <w:p w14:paraId="7BC30D2E" w14:textId="77777777" w:rsidR="00004CA5" w:rsidRPr="004E13E9" w:rsidRDefault="00004CA5" w:rsidP="00E62E84">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 </w:t>
            </w:r>
          </w:p>
        </w:tc>
        <w:tc>
          <w:tcPr>
            <w:tcW w:w="0" w:type="auto"/>
            <w:vAlign w:val="center"/>
            <w:hideMark/>
          </w:tcPr>
          <w:p w14:paraId="04DDA15D" w14:textId="77777777" w:rsidR="00004CA5" w:rsidRPr="004E13E9" w:rsidRDefault="00004CA5" w:rsidP="00E62E84">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 </w:t>
            </w:r>
          </w:p>
        </w:tc>
        <w:tc>
          <w:tcPr>
            <w:tcW w:w="0" w:type="auto"/>
            <w:vAlign w:val="center"/>
            <w:hideMark/>
          </w:tcPr>
          <w:p w14:paraId="458425CE" w14:textId="77777777" w:rsidR="00004CA5" w:rsidRPr="004E13E9" w:rsidRDefault="00004CA5" w:rsidP="00E62E84">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 </w:t>
            </w:r>
          </w:p>
        </w:tc>
        <w:tc>
          <w:tcPr>
            <w:tcW w:w="571" w:type="dxa"/>
          </w:tcPr>
          <w:p w14:paraId="79AB3270" w14:textId="77777777" w:rsidR="00004CA5" w:rsidRPr="004E13E9" w:rsidRDefault="00004CA5" w:rsidP="00E62E84">
            <w:pPr>
              <w:spacing w:line="276" w:lineRule="auto"/>
              <w:rPr>
                <w:rFonts w:eastAsia="Times New Roman" w:cs="Calibri"/>
                <w:b/>
                <w:bCs/>
                <w:kern w:val="2"/>
                <w:sz w:val="18"/>
                <w:szCs w:val="18"/>
                <w:lang w:val="fr-FR" w:eastAsia="ja-JP"/>
                <w14:ligatures w14:val="standardContextual"/>
              </w:rPr>
            </w:pPr>
          </w:p>
        </w:tc>
        <w:tc>
          <w:tcPr>
            <w:tcW w:w="991" w:type="dxa"/>
          </w:tcPr>
          <w:p w14:paraId="37BAF464" w14:textId="77777777" w:rsidR="00004CA5" w:rsidRPr="004E13E9" w:rsidRDefault="00004CA5" w:rsidP="00E62E84">
            <w:pPr>
              <w:spacing w:line="276" w:lineRule="auto"/>
              <w:jc w:val="center"/>
              <w:rPr>
                <w:rFonts w:eastAsia="Times New Roman" w:cs="Calibri"/>
                <w:kern w:val="2"/>
                <w:sz w:val="18"/>
                <w:szCs w:val="18"/>
                <w:lang w:val="fr-FR" w:eastAsia="ja-JP"/>
                <w14:ligatures w14:val="standardContextual"/>
              </w:rPr>
            </w:pPr>
          </w:p>
        </w:tc>
        <w:tc>
          <w:tcPr>
            <w:tcW w:w="0" w:type="auto"/>
            <w:shd w:val="clear" w:color="000000" w:fill="D9D9D9"/>
            <w:vAlign w:val="center"/>
            <w:hideMark/>
          </w:tcPr>
          <w:p w14:paraId="1A3E63FE" w14:textId="77777777" w:rsidR="00004CA5" w:rsidRPr="004E13E9" w:rsidRDefault="00004CA5" w:rsidP="00E62E84">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 </w:t>
            </w:r>
          </w:p>
        </w:tc>
        <w:tc>
          <w:tcPr>
            <w:tcW w:w="0" w:type="auto"/>
          </w:tcPr>
          <w:p w14:paraId="668EBB92" w14:textId="77777777" w:rsidR="00004CA5" w:rsidRPr="004E13E9" w:rsidRDefault="00004CA5" w:rsidP="00E62E84">
            <w:pPr>
              <w:spacing w:line="276" w:lineRule="auto"/>
              <w:rPr>
                <w:rFonts w:eastAsia="Times New Roman" w:cs="Calibri"/>
                <w:b/>
                <w:bCs/>
                <w:kern w:val="2"/>
                <w:sz w:val="18"/>
                <w:szCs w:val="18"/>
                <w:lang w:val="fr-FR" w:eastAsia="ja-JP"/>
                <w14:ligatures w14:val="standardContextual"/>
              </w:rPr>
            </w:pPr>
          </w:p>
        </w:tc>
        <w:tc>
          <w:tcPr>
            <w:tcW w:w="0" w:type="auto"/>
            <w:vAlign w:val="center"/>
            <w:hideMark/>
          </w:tcPr>
          <w:p w14:paraId="0CBEC801" w14:textId="77777777" w:rsidR="00004CA5" w:rsidRPr="004E13E9" w:rsidRDefault="00004CA5" w:rsidP="00E62E84">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 </w:t>
            </w:r>
          </w:p>
        </w:tc>
        <w:tc>
          <w:tcPr>
            <w:tcW w:w="0" w:type="auto"/>
            <w:vAlign w:val="center"/>
            <w:hideMark/>
          </w:tcPr>
          <w:p w14:paraId="0E0B7A6D" w14:textId="77777777" w:rsidR="00004CA5" w:rsidRPr="004E13E9" w:rsidRDefault="00004CA5" w:rsidP="00E62E84">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 </w:t>
            </w:r>
          </w:p>
        </w:tc>
        <w:tc>
          <w:tcPr>
            <w:tcW w:w="0" w:type="auto"/>
            <w:noWrap/>
            <w:vAlign w:val="center"/>
            <w:hideMark/>
          </w:tcPr>
          <w:p w14:paraId="69645394" w14:textId="77777777" w:rsidR="00004CA5" w:rsidRPr="004E13E9" w:rsidRDefault="00004CA5" w:rsidP="00E62E84">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 </w:t>
            </w:r>
          </w:p>
        </w:tc>
        <w:tc>
          <w:tcPr>
            <w:tcW w:w="0" w:type="auto"/>
            <w:noWrap/>
            <w:vAlign w:val="center"/>
            <w:hideMark/>
          </w:tcPr>
          <w:p w14:paraId="48E74682" w14:textId="77777777" w:rsidR="00004CA5" w:rsidRPr="004E13E9" w:rsidRDefault="00004CA5" w:rsidP="00E62E84">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 </w:t>
            </w:r>
          </w:p>
        </w:tc>
        <w:tc>
          <w:tcPr>
            <w:tcW w:w="0" w:type="auto"/>
            <w:noWrap/>
            <w:vAlign w:val="center"/>
            <w:hideMark/>
          </w:tcPr>
          <w:p w14:paraId="6B88B8B9" w14:textId="77777777" w:rsidR="00004CA5" w:rsidRPr="004E13E9" w:rsidRDefault="00004CA5" w:rsidP="00E62E84">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 </w:t>
            </w:r>
          </w:p>
        </w:tc>
        <w:tc>
          <w:tcPr>
            <w:tcW w:w="0" w:type="auto"/>
          </w:tcPr>
          <w:p w14:paraId="772386B1"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r w:rsidRPr="004E13E9">
              <w:rPr>
                <w:rFonts w:eastAsia="Times New Roman" w:cs="Calibri"/>
                <w:b/>
                <w:bCs/>
                <w:kern w:val="2"/>
                <w:sz w:val="18"/>
                <w:szCs w:val="18"/>
                <w:lang w:eastAsia="ja-JP"/>
                <w14:ligatures w14:val="standardContextual"/>
              </w:rPr>
              <w:t>0</w:t>
            </w:r>
          </w:p>
        </w:tc>
      </w:tr>
      <w:tr w:rsidR="00004CA5" w:rsidRPr="004E13E9" w14:paraId="7483E0E4" w14:textId="77777777" w:rsidTr="00E62E84">
        <w:trPr>
          <w:trHeight w:val="20"/>
        </w:trPr>
        <w:tc>
          <w:tcPr>
            <w:tcW w:w="0" w:type="auto"/>
            <w:shd w:val="clear" w:color="auto" w:fill="D9D9D9"/>
            <w:noWrap/>
            <w:vAlign w:val="center"/>
            <w:hideMark/>
          </w:tcPr>
          <w:p w14:paraId="141E1707"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Quota initial</w:t>
            </w:r>
          </w:p>
        </w:tc>
        <w:tc>
          <w:tcPr>
            <w:tcW w:w="2102" w:type="dxa"/>
            <w:shd w:val="clear" w:color="auto" w:fill="D9D9D9"/>
            <w:noWrap/>
            <w:vAlign w:val="center"/>
            <w:hideMark/>
          </w:tcPr>
          <w:p w14:paraId="61662D86" w14:textId="77777777" w:rsidR="00004CA5" w:rsidRPr="004E13E9" w:rsidRDefault="00004CA5" w:rsidP="00E62E84">
            <w:pPr>
              <w:spacing w:line="276" w:lineRule="auto"/>
              <w:jc w:val="right"/>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625" w:type="dxa"/>
            <w:shd w:val="clear" w:color="auto" w:fill="D9D9D9"/>
          </w:tcPr>
          <w:p w14:paraId="27ED608C"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shd w:val="clear" w:color="auto" w:fill="D9D9D9"/>
            <w:noWrap/>
            <w:vAlign w:val="center"/>
            <w:hideMark/>
          </w:tcPr>
          <w:p w14:paraId="589D9FCB"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vAlign w:val="center"/>
            <w:hideMark/>
          </w:tcPr>
          <w:p w14:paraId="32080CC8"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vAlign w:val="center"/>
            <w:hideMark/>
          </w:tcPr>
          <w:p w14:paraId="79DF2CEB"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vAlign w:val="center"/>
            <w:hideMark/>
          </w:tcPr>
          <w:p w14:paraId="01CB3287"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571" w:type="dxa"/>
            <w:shd w:val="clear" w:color="auto" w:fill="D9D9D9"/>
          </w:tcPr>
          <w:p w14:paraId="6B5E21F5"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991" w:type="dxa"/>
            <w:shd w:val="clear" w:color="auto" w:fill="D9D9D9"/>
          </w:tcPr>
          <w:p w14:paraId="1549A7B3"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auto" w:fill="D9D9D9"/>
            <w:vAlign w:val="center"/>
            <w:hideMark/>
          </w:tcPr>
          <w:p w14:paraId="45B3339A"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tcPr>
          <w:p w14:paraId="06CF6FEB"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shd w:val="clear" w:color="auto" w:fill="D9D9D9"/>
            <w:vAlign w:val="center"/>
            <w:hideMark/>
          </w:tcPr>
          <w:p w14:paraId="5F053D19"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vAlign w:val="center"/>
            <w:hideMark/>
          </w:tcPr>
          <w:p w14:paraId="6705C0CC"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vAlign w:val="center"/>
            <w:hideMark/>
          </w:tcPr>
          <w:p w14:paraId="62C22E58"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vAlign w:val="center"/>
            <w:hideMark/>
          </w:tcPr>
          <w:p w14:paraId="4E78D6CF"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vAlign w:val="center"/>
            <w:hideMark/>
          </w:tcPr>
          <w:p w14:paraId="0CD5B22C"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tcPr>
          <w:p w14:paraId="7D20F5D5"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r w:rsidRPr="004E13E9">
              <w:rPr>
                <w:rFonts w:eastAsia="Times New Roman" w:cs="Calibri"/>
                <w:b/>
                <w:bCs/>
                <w:kern w:val="2"/>
                <w:sz w:val="18"/>
                <w:szCs w:val="18"/>
                <w:lang w:eastAsia="ja-JP"/>
                <w14:ligatures w14:val="standardContextual"/>
              </w:rPr>
              <w:t>55</w:t>
            </w:r>
          </w:p>
        </w:tc>
      </w:tr>
      <w:tr w:rsidR="00004CA5" w:rsidRPr="004E13E9" w14:paraId="4CCFDF6E" w14:textId="77777777" w:rsidTr="00E62E84">
        <w:trPr>
          <w:trHeight w:val="20"/>
        </w:trPr>
        <w:tc>
          <w:tcPr>
            <w:tcW w:w="0" w:type="auto"/>
            <w:shd w:val="clear" w:color="auto" w:fill="D9D9D9"/>
            <w:noWrap/>
            <w:vAlign w:val="center"/>
          </w:tcPr>
          <w:p w14:paraId="0257760E" w14:textId="77777777" w:rsidR="00004CA5" w:rsidRPr="004E13E9" w:rsidRDefault="00004CA5" w:rsidP="00E62E84">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 xml:space="preserve">Quota ajusté (le cas échéant) </w:t>
            </w:r>
          </w:p>
        </w:tc>
        <w:tc>
          <w:tcPr>
            <w:tcW w:w="2102" w:type="dxa"/>
            <w:shd w:val="clear" w:color="auto" w:fill="D9D9D9"/>
            <w:noWrap/>
            <w:vAlign w:val="center"/>
          </w:tcPr>
          <w:p w14:paraId="7058A7DD" w14:textId="77777777" w:rsidR="00004CA5" w:rsidRPr="004E13E9" w:rsidRDefault="00004CA5" w:rsidP="00E62E84">
            <w:pPr>
              <w:spacing w:line="276" w:lineRule="auto"/>
              <w:jc w:val="right"/>
              <w:rPr>
                <w:rFonts w:eastAsia="Times New Roman" w:cs="Calibri"/>
                <w:kern w:val="2"/>
                <w:sz w:val="18"/>
                <w:szCs w:val="18"/>
                <w:lang w:val="fr-FR" w:eastAsia="ja-JP"/>
                <w14:ligatures w14:val="standardContextual"/>
              </w:rPr>
            </w:pPr>
          </w:p>
        </w:tc>
        <w:tc>
          <w:tcPr>
            <w:tcW w:w="625" w:type="dxa"/>
            <w:shd w:val="clear" w:color="auto" w:fill="D9D9D9"/>
          </w:tcPr>
          <w:p w14:paraId="142CACA5" w14:textId="77777777" w:rsidR="00004CA5" w:rsidRPr="004E13E9" w:rsidRDefault="00004CA5" w:rsidP="00E62E84">
            <w:pPr>
              <w:spacing w:line="276" w:lineRule="auto"/>
              <w:rPr>
                <w:rFonts w:eastAsia="Times New Roman" w:cs="Calibri"/>
                <w:kern w:val="2"/>
                <w:sz w:val="18"/>
                <w:szCs w:val="18"/>
                <w:lang w:val="fr-FR" w:eastAsia="ja-JP"/>
                <w14:ligatures w14:val="standardContextual"/>
              </w:rPr>
            </w:pPr>
          </w:p>
        </w:tc>
        <w:tc>
          <w:tcPr>
            <w:tcW w:w="0" w:type="auto"/>
            <w:shd w:val="clear" w:color="auto" w:fill="D9D9D9"/>
            <w:noWrap/>
            <w:vAlign w:val="center"/>
          </w:tcPr>
          <w:p w14:paraId="10E7FAF4" w14:textId="77777777" w:rsidR="00004CA5" w:rsidRPr="004E13E9" w:rsidRDefault="00004CA5" w:rsidP="00E62E84">
            <w:pPr>
              <w:spacing w:line="276" w:lineRule="auto"/>
              <w:rPr>
                <w:rFonts w:eastAsia="Times New Roman" w:cs="Calibri"/>
                <w:kern w:val="2"/>
                <w:sz w:val="18"/>
                <w:szCs w:val="18"/>
                <w:lang w:val="fr-FR" w:eastAsia="ja-JP"/>
                <w14:ligatures w14:val="standardContextual"/>
              </w:rPr>
            </w:pPr>
          </w:p>
        </w:tc>
        <w:tc>
          <w:tcPr>
            <w:tcW w:w="0" w:type="auto"/>
            <w:shd w:val="clear" w:color="auto" w:fill="D9D9D9"/>
            <w:vAlign w:val="center"/>
          </w:tcPr>
          <w:p w14:paraId="2E932148" w14:textId="77777777" w:rsidR="00004CA5" w:rsidRPr="004E13E9" w:rsidRDefault="00004CA5" w:rsidP="00E62E84">
            <w:pPr>
              <w:spacing w:line="276" w:lineRule="auto"/>
              <w:rPr>
                <w:rFonts w:eastAsia="Times New Roman" w:cs="Calibri"/>
                <w:kern w:val="2"/>
                <w:sz w:val="18"/>
                <w:szCs w:val="18"/>
                <w:lang w:val="fr-FR" w:eastAsia="ja-JP"/>
                <w14:ligatures w14:val="standardContextual"/>
              </w:rPr>
            </w:pPr>
          </w:p>
        </w:tc>
        <w:tc>
          <w:tcPr>
            <w:tcW w:w="0" w:type="auto"/>
            <w:shd w:val="clear" w:color="auto" w:fill="D9D9D9"/>
            <w:vAlign w:val="center"/>
          </w:tcPr>
          <w:p w14:paraId="5D709B4D" w14:textId="77777777" w:rsidR="00004CA5" w:rsidRPr="004E13E9" w:rsidRDefault="00004CA5" w:rsidP="00E62E84">
            <w:pPr>
              <w:spacing w:line="276" w:lineRule="auto"/>
              <w:rPr>
                <w:rFonts w:eastAsia="Times New Roman" w:cs="Calibri"/>
                <w:kern w:val="2"/>
                <w:sz w:val="18"/>
                <w:szCs w:val="18"/>
                <w:lang w:val="fr-FR" w:eastAsia="ja-JP"/>
                <w14:ligatures w14:val="standardContextual"/>
              </w:rPr>
            </w:pPr>
          </w:p>
        </w:tc>
        <w:tc>
          <w:tcPr>
            <w:tcW w:w="0" w:type="auto"/>
            <w:shd w:val="clear" w:color="auto" w:fill="D9D9D9"/>
            <w:vAlign w:val="center"/>
          </w:tcPr>
          <w:p w14:paraId="4402B223" w14:textId="77777777" w:rsidR="00004CA5" w:rsidRPr="004E13E9" w:rsidRDefault="00004CA5" w:rsidP="00E62E84">
            <w:pPr>
              <w:spacing w:line="276" w:lineRule="auto"/>
              <w:rPr>
                <w:rFonts w:eastAsia="Times New Roman" w:cs="Calibri"/>
                <w:kern w:val="2"/>
                <w:sz w:val="18"/>
                <w:szCs w:val="18"/>
                <w:lang w:val="fr-FR" w:eastAsia="ja-JP"/>
                <w14:ligatures w14:val="standardContextual"/>
              </w:rPr>
            </w:pPr>
          </w:p>
        </w:tc>
        <w:tc>
          <w:tcPr>
            <w:tcW w:w="571" w:type="dxa"/>
            <w:shd w:val="clear" w:color="auto" w:fill="D9D9D9"/>
          </w:tcPr>
          <w:p w14:paraId="3678C866" w14:textId="77777777" w:rsidR="00004CA5" w:rsidRPr="004E13E9" w:rsidRDefault="00004CA5" w:rsidP="00E62E84">
            <w:pPr>
              <w:spacing w:line="276" w:lineRule="auto"/>
              <w:rPr>
                <w:rFonts w:eastAsia="Times New Roman" w:cs="Calibri"/>
                <w:kern w:val="2"/>
                <w:sz w:val="18"/>
                <w:szCs w:val="18"/>
                <w:lang w:val="fr-FR" w:eastAsia="ja-JP"/>
                <w14:ligatures w14:val="standardContextual"/>
              </w:rPr>
            </w:pPr>
          </w:p>
        </w:tc>
        <w:tc>
          <w:tcPr>
            <w:tcW w:w="991" w:type="dxa"/>
            <w:shd w:val="clear" w:color="auto" w:fill="D9D9D9"/>
          </w:tcPr>
          <w:p w14:paraId="52ACC92B" w14:textId="77777777" w:rsidR="00004CA5" w:rsidRPr="004E13E9" w:rsidRDefault="00004CA5" w:rsidP="00E62E84">
            <w:pPr>
              <w:spacing w:line="276" w:lineRule="auto"/>
              <w:jc w:val="center"/>
              <w:rPr>
                <w:rFonts w:eastAsia="Times New Roman" w:cs="Calibri"/>
                <w:kern w:val="2"/>
                <w:sz w:val="18"/>
                <w:szCs w:val="18"/>
                <w:lang w:val="fr-FR" w:eastAsia="ja-JP"/>
                <w14:ligatures w14:val="standardContextual"/>
              </w:rPr>
            </w:pPr>
          </w:p>
        </w:tc>
        <w:tc>
          <w:tcPr>
            <w:tcW w:w="0" w:type="auto"/>
            <w:shd w:val="clear" w:color="auto" w:fill="D9D9D9"/>
            <w:vAlign w:val="center"/>
          </w:tcPr>
          <w:p w14:paraId="49AE67D6" w14:textId="77777777" w:rsidR="00004CA5" w:rsidRPr="004E13E9" w:rsidRDefault="00004CA5" w:rsidP="00E62E84">
            <w:pPr>
              <w:spacing w:line="276" w:lineRule="auto"/>
              <w:rPr>
                <w:rFonts w:eastAsia="Times New Roman" w:cs="Calibri"/>
                <w:kern w:val="2"/>
                <w:sz w:val="18"/>
                <w:szCs w:val="18"/>
                <w:lang w:val="fr-FR" w:eastAsia="ja-JP"/>
                <w14:ligatures w14:val="standardContextual"/>
              </w:rPr>
            </w:pPr>
          </w:p>
        </w:tc>
        <w:tc>
          <w:tcPr>
            <w:tcW w:w="0" w:type="auto"/>
            <w:shd w:val="clear" w:color="auto" w:fill="D9D9D9"/>
          </w:tcPr>
          <w:p w14:paraId="42D26831" w14:textId="77777777" w:rsidR="00004CA5" w:rsidRPr="004E13E9" w:rsidRDefault="00004CA5" w:rsidP="00E62E84">
            <w:pPr>
              <w:spacing w:line="276" w:lineRule="auto"/>
              <w:rPr>
                <w:rFonts w:eastAsia="Times New Roman" w:cs="Calibri"/>
                <w:kern w:val="2"/>
                <w:sz w:val="18"/>
                <w:szCs w:val="18"/>
                <w:lang w:val="fr-FR" w:eastAsia="ja-JP"/>
                <w14:ligatures w14:val="standardContextual"/>
              </w:rPr>
            </w:pPr>
          </w:p>
        </w:tc>
        <w:tc>
          <w:tcPr>
            <w:tcW w:w="0" w:type="auto"/>
            <w:shd w:val="clear" w:color="auto" w:fill="D9D9D9"/>
            <w:vAlign w:val="center"/>
          </w:tcPr>
          <w:p w14:paraId="1CF3E569" w14:textId="77777777" w:rsidR="00004CA5" w:rsidRPr="004E13E9" w:rsidRDefault="00004CA5" w:rsidP="00E62E84">
            <w:pPr>
              <w:spacing w:line="276" w:lineRule="auto"/>
              <w:rPr>
                <w:rFonts w:eastAsia="Times New Roman" w:cs="Calibri"/>
                <w:kern w:val="2"/>
                <w:sz w:val="18"/>
                <w:szCs w:val="18"/>
                <w:lang w:val="fr-FR" w:eastAsia="ja-JP"/>
                <w14:ligatures w14:val="standardContextual"/>
              </w:rPr>
            </w:pPr>
          </w:p>
        </w:tc>
        <w:tc>
          <w:tcPr>
            <w:tcW w:w="0" w:type="auto"/>
            <w:shd w:val="clear" w:color="auto" w:fill="D9D9D9"/>
            <w:vAlign w:val="center"/>
          </w:tcPr>
          <w:p w14:paraId="53B4BD2B" w14:textId="77777777" w:rsidR="00004CA5" w:rsidRPr="004E13E9" w:rsidRDefault="00004CA5" w:rsidP="00E62E84">
            <w:pPr>
              <w:spacing w:line="276" w:lineRule="auto"/>
              <w:rPr>
                <w:rFonts w:eastAsia="Times New Roman" w:cs="Calibri"/>
                <w:kern w:val="2"/>
                <w:sz w:val="18"/>
                <w:szCs w:val="18"/>
                <w:lang w:val="fr-FR" w:eastAsia="ja-JP"/>
                <w14:ligatures w14:val="standardContextual"/>
              </w:rPr>
            </w:pPr>
          </w:p>
        </w:tc>
        <w:tc>
          <w:tcPr>
            <w:tcW w:w="0" w:type="auto"/>
            <w:shd w:val="clear" w:color="auto" w:fill="D9D9D9"/>
            <w:vAlign w:val="center"/>
          </w:tcPr>
          <w:p w14:paraId="57C9F429" w14:textId="77777777" w:rsidR="00004CA5" w:rsidRPr="004E13E9" w:rsidRDefault="00004CA5" w:rsidP="00E62E84">
            <w:pPr>
              <w:spacing w:line="276" w:lineRule="auto"/>
              <w:rPr>
                <w:rFonts w:eastAsia="Times New Roman" w:cs="Calibri"/>
                <w:kern w:val="2"/>
                <w:sz w:val="18"/>
                <w:szCs w:val="18"/>
                <w:lang w:val="fr-FR" w:eastAsia="ja-JP"/>
                <w14:ligatures w14:val="standardContextual"/>
              </w:rPr>
            </w:pPr>
          </w:p>
        </w:tc>
        <w:tc>
          <w:tcPr>
            <w:tcW w:w="0" w:type="auto"/>
            <w:shd w:val="clear" w:color="auto" w:fill="D9D9D9"/>
            <w:vAlign w:val="center"/>
          </w:tcPr>
          <w:p w14:paraId="79A8A50E" w14:textId="77777777" w:rsidR="00004CA5" w:rsidRPr="004E13E9" w:rsidRDefault="00004CA5" w:rsidP="00E62E84">
            <w:pPr>
              <w:spacing w:line="276" w:lineRule="auto"/>
              <w:rPr>
                <w:rFonts w:eastAsia="Times New Roman" w:cs="Calibri"/>
                <w:kern w:val="2"/>
                <w:sz w:val="18"/>
                <w:szCs w:val="18"/>
                <w:lang w:val="fr-FR" w:eastAsia="ja-JP"/>
                <w14:ligatures w14:val="standardContextual"/>
              </w:rPr>
            </w:pPr>
          </w:p>
        </w:tc>
        <w:tc>
          <w:tcPr>
            <w:tcW w:w="0" w:type="auto"/>
            <w:shd w:val="clear" w:color="auto" w:fill="D9D9D9"/>
            <w:vAlign w:val="center"/>
          </w:tcPr>
          <w:p w14:paraId="55D0F3F5" w14:textId="77777777" w:rsidR="00004CA5" w:rsidRPr="004E13E9" w:rsidRDefault="00004CA5" w:rsidP="00E62E84">
            <w:pPr>
              <w:spacing w:line="276" w:lineRule="auto"/>
              <w:rPr>
                <w:rFonts w:eastAsia="Times New Roman" w:cs="Calibri"/>
                <w:kern w:val="2"/>
                <w:sz w:val="18"/>
                <w:szCs w:val="18"/>
                <w:lang w:val="fr-FR" w:eastAsia="ja-JP"/>
                <w14:ligatures w14:val="standardContextual"/>
              </w:rPr>
            </w:pPr>
          </w:p>
        </w:tc>
        <w:tc>
          <w:tcPr>
            <w:tcW w:w="0" w:type="auto"/>
            <w:shd w:val="clear" w:color="auto" w:fill="D9D9D9"/>
          </w:tcPr>
          <w:p w14:paraId="4C2BF12B"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r w:rsidRPr="004E13E9">
              <w:rPr>
                <w:rFonts w:eastAsia="Times New Roman" w:cs="Calibri"/>
                <w:b/>
                <w:bCs/>
                <w:kern w:val="2"/>
                <w:sz w:val="18"/>
                <w:szCs w:val="18"/>
                <w:lang w:eastAsia="ja-JP"/>
                <w14:ligatures w14:val="standardContextual"/>
              </w:rPr>
              <w:t>NA</w:t>
            </w:r>
          </w:p>
        </w:tc>
      </w:tr>
      <w:tr w:rsidR="00004CA5" w:rsidRPr="004E13E9" w14:paraId="4E09D5B4" w14:textId="77777777" w:rsidTr="00E62E84">
        <w:trPr>
          <w:trHeight w:val="20"/>
        </w:trPr>
        <w:tc>
          <w:tcPr>
            <w:tcW w:w="0" w:type="auto"/>
            <w:noWrap/>
            <w:vAlign w:val="center"/>
            <w:hideMark/>
          </w:tcPr>
          <w:p w14:paraId="5DBB4C83" w14:textId="77777777" w:rsidR="00004CA5" w:rsidRPr="004E13E9" w:rsidRDefault="00004CA5" w:rsidP="00E62E84">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Pourcentage alloué aux prises accessoires</w:t>
            </w:r>
          </w:p>
        </w:tc>
        <w:tc>
          <w:tcPr>
            <w:tcW w:w="2102" w:type="dxa"/>
            <w:noWrap/>
            <w:vAlign w:val="center"/>
            <w:hideMark/>
          </w:tcPr>
          <w:p w14:paraId="7573175A" w14:textId="77777777" w:rsidR="00004CA5" w:rsidRPr="004E13E9" w:rsidRDefault="00004CA5" w:rsidP="00E62E84">
            <w:pPr>
              <w:spacing w:line="276" w:lineRule="auto"/>
              <w:jc w:val="right"/>
              <w:rPr>
                <w:rFonts w:eastAsia="Times New Roman" w:cs="Calibri"/>
                <w:kern w:val="2"/>
                <w:sz w:val="18"/>
                <w:szCs w:val="18"/>
                <w:lang w:val="fr-FR" w:eastAsia="ko-KR"/>
                <w14:ligatures w14:val="standardContextual"/>
              </w:rPr>
            </w:pPr>
            <w:r w:rsidRPr="004E13E9">
              <w:rPr>
                <w:rFonts w:eastAsia="Malgun Gothic"/>
                <w:kern w:val="2"/>
                <w:sz w:val="18"/>
                <w:szCs w:val="18"/>
                <w:lang w:val="fr-FR" w:eastAsia="ko-KR"/>
                <w14:ligatures w14:val="standardContextual"/>
              </w:rPr>
              <w:t> </w:t>
            </w:r>
          </w:p>
        </w:tc>
        <w:tc>
          <w:tcPr>
            <w:tcW w:w="625" w:type="dxa"/>
          </w:tcPr>
          <w:p w14:paraId="5B53C8C3" w14:textId="77777777" w:rsidR="00004CA5" w:rsidRPr="004E13E9" w:rsidRDefault="00004CA5" w:rsidP="00E62E84">
            <w:pPr>
              <w:spacing w:line="276" w:lineRule="auto"/>
              <w:rPr>
                <w:rFonts w:eastAsia="Times New Roman" w:cs="Calibri"/>
                <w:kern w:val="2"/>
                <w:sz w:val="18"/>
                <w:szCs w:val="18"/>
                <w:lang w:val="fr-FR" w:eastAsia="ja-JP"/>
                <w14:ligatures w14:val="standardContextual"/>
              </w:rPr>
            </w:pPr>
          </w:p>
        </w:tc>
        <w:tc>
          <w:tcPr>
            <w:tcW w:w="0" w:type="auto"/>
            <w:noWrap/>
            <w:vAlign w:val="center"/>
            <w:hideMark/>
          </w:tcPr>
          <w:p w14:paraId="3849BE6D" w14:textId="77777777" w:rsidR="00004CA5" w:rsidRPr="004E13E9" w:rsidRDefault="00004CA5" w:rsidP="00E62E84">
            <w:pPr>
              <w:spacing w:line="276" w:lineRule="auto"/>
              <w:rPr>
                <w:rFonts w:eastAsia="Times New Roman" w:cs="Calibri"/>
                <w:kern w:val="2"/>
                <w:sz w:val="18"/>
                <w:szCs w:val="18"/>
                <w:lang w:val="fr-FR" w:eastAsia="ko-KR"/>
                <w14:ligatures w14:val="standardContextual"/>
              </w:rPr>
            </w:pPr>
            <w:r w:rsidRPr="004E13E9">
              <w:rPr>
                <w:rFonts w:eastAsia="Malgun Gothic"/>
                <w:kern w:val="2"/>
                <w:sz w:val="18"/>
                <w:szCs w:val="18"/>
                <w:lang w:val="fr-FR" w:eastAsia="ko-KR"/>
                <w14:ligatures w14:val="standardContextual"/>
              </w:rPr>
              <w:t> </w:t>
            </w:r>
          </w:p>
        </w:tc>
        <w:tc>
          <w:tcPr>
            <w:tcW w:w="0" w:type="auto"/>
            <w:vAlign w:val="center"/>
            <w:hideMark/>
          </w:tcPr>
          <w:p w14:paraId="001B306C" w14:textId="77777777" w:rsidR="00004CA5" w:rsidRPr="004E13E9" w:rsidRDefault="00004CA5" w:rsidP="00E62E84">
            <w:pPr>
              <w:spacing w:line="276" w:lineRule="auto"/>
              <w:rPr>
                <w:rFonts w:eastAsia="Times New Roman" w:cs="Calibri"/>
                <w:kern w:val="2"/>
                <w:sz w:val="18"/>
                <w:szCs w:val="18"/>
                <w:lang w:val="fr-FR" w:eastAsia="ko-KR"/>
                <w14:ligatures w14:val="standardContextual"/>
              </w:rPr>
            </w:pPr>
            <w:r w:rsidRPr="004E13E9">
              <w:rPr>
                <w:rFonts w:eastAsia="Malgun Gothic"/>
                <w:kern w:val="2"/>
                <w:sz w:val="18"/>
                <w:szCs w:val="18"/>
                <w:lang w:val="fr-FR" w:eastAsia="ko-KR"/>
                <w14:ligatures w14:val="standardContextual"/>
              </w:rPr>
              <w:t> </w:t>
            </w:r>
          </w:p>
        </w:tc>
        <w:tc>
          <w:tcPr>
            <w:tcW w:w="0" w:type="auto"/>
            <w:vAlign w:val="center"/>
            <w:hideMark/>
          </w:tcPr>
          <w:p w14:paraId="2E1D4407" w14:textId="77777777" w:rsidR="00004CA5" w:rsidRPr="004E13E9" w:rsidRDefault="00004CA5" w:rsidP="00E62E84">
            <w:pPr>
              <w:spacing w:line="276" w:lineRule="auto"/>
              <w:rPr>
                <w:rFonts w:eastAsia="Times New Roman" w:cs="Calibri"/>
                <w:kern w:val="2"/>
                <w:sz w:val="18"/>
                <w:szCs w:val="18"/>
                <w:lang w:val="fr-FR" w:eastAsia="ko-KR"/>
                <w14:ligatures w14:val="standardContextual"/>
              </w:rPr>
            </w:pPr>
            <w:r w:rsidRPr="004E13E9">
              <w:rPr>
                <w:rFonts w:eastAsia="Malgun Gothic"/>
                <w:kern w:val="2"/>
                <w:sz w:val="18"/>
                <w:szCs w:val="18"/>
                <w:lang w:val="fr-FR" w:eastAsia="ko-KR"/>
                <w14:ligatures w14:val="standardContextual"/>
              </w:rPr>
              <w:t> </w:t>
            </w:r>
          </w:p>
        </w:tc>
        <w:tc>
          <w:tcPr>
            <w:tcW w:w="0" w:type="auto"/>
            <w:vAlign w:val="center"/>
            <w:hideMark/>
          </w:tcPr>
          <w:p w14:paraId="33C77B24" w14:textId="77777777" w:rsidR="00004CA5" w:rsidRPr="004E13E9" w:rsidRDefault="00004CA5" w:rsidP="00E62E84">
            <w:pPr>
              <w:spacing w:line="276" w:lineRule="auto"/>
              <w:rPr>
                <w:rFonts w:eastAsia="Times New Roman" w:cs="Calibri"/>
                <w:kern w:val="2"/>
                <w:sz w:val="18"/>
                <w:szCs w:val="18"/>
                <w:lang w:val="fr-FR" w:eastAsia="ko-KR"/>
                <w14:ligatures w14:val="standardContextual"/>
              </w:rPr>
            </w:pPr>
            <w:r w:rsidRPr="004E13E9">
              <w:rPr>
                <w:rFonts w:eastAsia="Malgun Gothic"/>
                <w:kern w:val="2"/>
                <w:sz w:val="18"/>
                <w:szCs w:val="18"/>
                <w:lang w:val="fr-FR" w:eastAsia="ko-KR"/>
                <w14:ligatures w14:val="standardContextual"/>
              </w:rPr>
              <w:t> </w:t>
            </w:r>
          </w:p>
        </w:tc>
        <w:tc>
          <w:tcPr>
            <w:tcW w:w="571" w:type="dxa"/>
          </w:tcPr>
          <w:p w14:paraId="06CBD798" w14:textId="77777777" w:rsidR="00004CA5" w:rsidRPr="004E13E9" w:rsidRDefault="00004CA5" w:rsidP="00E62E84">
            <w:pPr>
              <w:spacing w:line="276" w:lineRule="auto"/>
              <w:rPr>
                <w:rFonts w:eastAsia="Times New Roman" w:cs="Calibri"/>
                <w:kern w:val="2"/>
                <w:sz w:val="18"/>
                <w:szCs w:val="18"/>
                <w:lang w:val="fr-FR" w:eastAsia="ja-JP"/>
                <w14:ligatures w14:val="standardContextual"/>
              </w:rPr>
            </w:pPr>
          </w:p>
        </w:tc>
        <w:tc>
          <w:tcPr>
            <w:tcW w:w="991" w:type="dxa"/>
          </w:tcPr>
          <w:p w14:paraId="551A8895" w14:textId="77777777" w:rsidR="00004CA5" w:rsidRPr="004E13E9" w:rsidRDefault="00004CA5" w:rsidP="00E62E84">
            <w:pPr>
              <w:spacing w:line="276" w:lineRule="auto"/>
              <w:jc w:val="center"/>
              <w:rPr>
                <w:rFonts w:eastAsia="Times New Roman" w:cs="Calibri"/>
                <w:kern w:val="2"/>
                <w:sz w:val="18"/>
                <w:szCs w:val="18"/>
                <w:lang w:val="fr-FR" w:eastAsia="ja-JP"/>
                <w14:ligatures w14:val="standardContextual"/>
              </w:rPr>
            </w:pPr>
          </w:p>
        </w:tc>
        <w:tc>
          <w:tcPr>
            <w:tcW w:w="0" w:type="auto"/>
            <w:shd w:val="clear" w:color="000000" w:fill="D9D9D9"/>
            <w:vAlign w:val="center"/>
            <w:hideMark/>
          </w:tcPr>
          <w:p w14:paraId="75F695F7" w14:textId="77777777" w:rsidR="00004CA5" w:rsidRPr="004E13E9" w:rsidRDefault="00004CA5" w:rsidP="00E62E84">
            <w:pPr>
              <w:spacing w:line="276" w:lineRule="auto"/>
              <w:rPr>
                <w:rFonts w:eastAsia="Times New Roman" w:cs="Calibri"/>
                <w:kern w:val="2"/>
                <w:sz w:val="18"/>
                <w:szCs w:val="18"/>
                <w:lang w:val="fr-FR" w:eastAsia="ko-KR"/>
                <w14:ligatures w14:val="standardContextual"/>
              </w:rPr>
            </w:pPr>
            <w:r w:rsidRPr="004E13E9">
              <w:rPr>
                <w:rFonts w:eastAsia="Malgun Gothic"/>
                <w:kern w:val="2"/>
                <w:sz w:val="18"/>
                <w:szCs w:val="18"/>
                <w:lang w:val="fr-FR" w:eastAsia="ko-KR"/>
                <w14:ligatures w14:val="standardContextual"/>
              </w:rPr>
              <w:t> </w:t>
            </w:r>
          </w:p>
        </w:tc>
        <w:tc>
          <w:tcPr>
            <w:tcW w:w="0" w:type="auto"/>
          </w:tcPr>
          <w:p w14:paraId="0FE41CC5" w14:textId="77777777" w:rsidR="00004CA5" w:rsidRPr="004E13E9" w:rsidRDefault="00004CA5" w:rsidP="00E62E84">
            <w:pPr>
              <w:spacing w:line="276" w:lineRule="auto"/>
              <w:rPr>
                <w:rFonts w:eastAsia="Times New Roman" w:cs="Calibri"/>
                <w:kern w:val="2"/>
                <w:sz w:val="18"/>
                <w:szCs w:val="18"/>
                <w:lang w:val="fr-FR" w:eastAsia="ja-JP"/>
                <w14:ligatures w14:val="standardContextual"/>
              </w:rPr>
            </w:pPr>
          </w:p>
        </w:tc>
        <w:tc>
          <w:tcPr>
            <w:tcW w:w="0" w:type="auto"/>
            <w:vAlign w:val="center"/>
            <w:hideMark/>
          </w:tcPr>
          <w:p w14:paraId="3D3064BE" w14:textId="77777777" w:rsidR="00004CA5" w:rsidRPr="004E13E9" w:rsidRDefault="00004CA5" w:rsidP="00E62E84">
            <w:pPr>
              <w:spacing w:line="276" w:lineRule="auto"/>
              <w:rPr>
                <w:rFonts w:eastAsia="Times New Roman" w:cs="Calibri"/>
                <w:kern w:val="2"/>
                <w:sz w:val="18"/>
                <w:szCs w:val="18"/>
                <w:lang w:val="fr-FR" w:eastAsia="ko-KR"/>
                <w14:ligatures w14:val="standardContextual"/>
              </w:rPr>
            </w:pPr>
            <w:r w:rsidRPr="004E13E9">
              <w:rPr>
                <w:rFonts w:eastAsia="Malgun Gothic"/>
                <w:kern w:val="2"/>
                <w:sz w:val="18"/>
                <w:szCs w:val="18"/>
                <w:lang w:val="fr-FR" w:eastAsia="ko-KR"/>
                <w14:ligatures w14:val="standardContextual"/>
              </w:rPr>
              <w:t> </w:t>
            </w:r>
          </w:p>
        </w:tc>
        <w:tc>
          <w:tcPr>
            <w:tcW w:w="0" w:type="auto"/>
            <w:vAlign w:val="center"/>
            <w:hideMark/>
          </w:tcPr>
          <w:p w14:paraId="0495A930" w14:textId="77777777" w:rsidR="00004CA5" w:rsidRPr="004E13E9" w:rsidRDefault="00004CA5" w:rsidP="00E62E84">
            <w:pPr>
              <w:spacing w:line="276" w:lineRule="auto"/>
              <w:rPr>
                <w:rFonts w:eastAsia="Times New Roman" w:cs="Calibri"/>
                <w:kern w:val="2"/>
                <w:sz w:val="18"/>
                <w:szCs w:val="18"/>
                <w:lang w:val="fr-FR" w:eastAsia="ko-KR"/>
                <w14:ligatures w14:val="standardContextual"/>
              </w:rPr>
            </w:pPr>
            <w:r w:rsidRPr="004E13E9">
              <w:rPr>
                <w:rFonts w:eastAsia="Malgun Gothic"/>
                <w:kern w:val="2"/>
                <w:sz w:val="18"/>
                <w:szCs w:val="18"/>
                <w:lang w:val="fr-FR" w:eastAsia="ko-KR"/>
                <w14:ligatures w14:val="standardContextual"/>
              </w:rPr>
              <w:t> </w:t>
            </w:r>
          </w:p>
        </w:tc>
        <w:tc>
          <w:tcPr>
            <w:tcW w:w="0" w:type="auto"/>
            <w:vAlign w:val="center"/>
            <w:hideMark/>
          </w:tcPr>
          <w:p w14:paraId="7C8859F2" w14:textId="77777777" w:rsidR="00004CA5" w:rsidRPr="004E13E9" w:rsidRDefault="00004CA5" w:rsidP="00E62E84">
            <w:pPr>
              <w:spacing w:line="276" w:lineRule="auto"/>
              <w:rPr>
                <w:rFonts w:eastAsia="Times New Roman" w:cs="Calibri"/>
                <w:kern w:val="2"/>
                <w:sz w:val="18"/>
                <w:szCs w:val="18"/>
                <w:lang w:val="fr-FR" w:eastAsia="ko-KR"/>
                <w14:ligatures w14:val="standardContextual"/>
              </w:rPr>
            </w:pPr>
            <w:r w:rsidRPr="004E13E9">
              <w:rPr>
                <w:rFonts w:eastAsia="Malgun Gothic"/>
                <w:kern w:val="2"/>
                <w:sz w:val="18"/>
                <w:szCs w:val="18"/>
                <w:lang w:val="fr-FR" w:eastAsia="ko-KR"/>
                <w14:ligatures w14:val="standardContextual"/>
              </w:rPr>
              <w:t> </w:t>
            </w:r>
          </w:p>
        </w:tc>
        <w:tc>
          <w:tcPr>
            <w:tcW w:w="0" w:type="auto"/>
            <w:vAlign w:val="center"/>
            <w:hideMark/>
          </w:tcPr>
          <w:p w14:paraId="15EF8C02" w14:textId="77777777" w:rsidR="00004CA5" w:rsidRPr="004E13E9" w:rsidRDefault="00004CA5" w:rsidP="00E62E84">
            <w:pPr>
              <w:spacing w:line="276" w:lineRule="auto"/>
              <w:rPr>
                <w:rFonts w:eastAsia="Times New Roman" w:cs="Calibri"/>
                <w:kern w:val="2"/>
                <w:sz w:val="18"/>
                <w:szCs w:val="18"/>
                <w:lang w:val="fr-FR" w:eastAsia="ko-KR"/>
                <w14:ligatures w14:val="standardContextual"/>
              </w:rPr>
            </w:pPr>
            <w:r w:rsidRPr="004E13E9">
              <w:rPr>
                <w:rFonts w:eastAsia="Malgun Gothic"/>
                <w:kern w:val="2"/>
                <w:sz w:val="18"/>
                <w:szCs w:val="18"/>
                <w:lang w:val="fr-FR" w:eastAsia="ko-KR"/>
                <w14:ligatures w14:val="standardContextual"/>
              </w:rPr>
              <w:t> </w:t>
            </w:r>
          </w:p>
        </w:tc>
        <w:tc>
          <w:tcPr>
            <w:tcW w:w="0" w:type="auto"/>
            <w:vAlign w:val="center"/>
            <w:hideMark/>
          </w:tcPr>
          <w:p w14:paraId="21DADC34" w14:textId="77777777" w:rsidR="00004CA5" w:rsidRPr="004E13E9" w:rsidRDefault="00004CA5" w:rsidP="00E62E84">
            <w:pPr>
              <w:spacing w:line="276" w:lineRule="auto"/>
              <w:rPr>
                <w:rFonts w:eastAsia="Times New Roman" w:cs="Calibri"/>
                <w:kern w:val="2"/>
                <w:sz w:val="18"/>
                <w:szCs w:val="18"/>
                <w:lang w:val="fr-FR" w:eastAsia="ko-KR"/>
                <w14:ligatures w14:val="standardContextual"/>
              </w:rPr>
            </w:pPr>
            <w:r w:rsidRPr="004E13E9">
              <w:rPr>
                <w:rFonts w:eastAsia="Malgun Gothic"/>
                <w:kern w:val="2"/>
                <w:sz w:val="18"/>
                <w:szCs w:val="18"/>
                <w:lang w:val="fr-FR" w:eastAsia="ko-KR"/>
                <w14:ligatures w14:val="standardContextual"/>
              </w:rPr>
              <w:t> </w:t>
            </w:r>
          </w:p>
        </w:tc>
        <w:tc>
          <w:tcPr>
            <w:tcW w:w="0" w:type="auto"/>
          </w:tcPr>
          <w:p w14:paraId="643E8890" w14:textId="77777777" w:rsidR="00004CA5" w:rsidRPr="004E13E9" w:rsidRDefault="00004CA5" w:rsidP="00E62E84">
            <w:pPr>
              <w:spacing w:line="276" w:lineRule="auto"/>
              <w:rPr>
                <w:rFonts w:eastAsia="Times New Roman" w:cs="Calibri"/>
                <w:b/>
                <w:bCs/>
                <w:kern w:val="2"/>
                <w:sz w:val="16"/>
                <w:szCs w:val="16"/>
                <w:lang w:eastAsia="ja-JP"/>
                <w14:ligatures w14:val="standardContextual"/>
              </w:rPr>
            </w:pPr>
            <w:r w:rsidRPr="004E13E9">
              <w:rPr>
                <w:b/>
                <w:bCs/>
                <w:sz w:val="16"/>
                <w:szCs w:val="16"/>
              </w:rPr>
              <w:t>100%</w:t>
            </w:r>
          </w:p>
        </w:tc>
      </w:tr>
      <w:tr w:rsidR="00004CA5" w:rsidRPr="004E13E9" w14:paraId="65F73637" w14:textId="77777777" w:rsidTr="00E62E84">
        <w:trPr>
          <w:trHeight w:val="20"/>
        </w:trPr>
        <w:tc>
          <w:tcPr>
            <w:tcW w:w="0" w:type="auto"/>
            <w:noWrap/>
            <w:vAlign w:val="center"/>
          </w:tcPr>
          <w:p w14:paraId="6A58289D"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xml:space="preserve">Allocation aux </w:t>
            </w:r>
            <w:proofErr w:type="spellStart"/>
            <w:r w:rsidRPr="004E13E9">
              <w:rPr>
                <w:rFonts w:eastAsia="Malgun Gothic"/>
                <w:b/>
                <w:kern w:val="2"/>
                <w:sz w:val="18"/>
                <w:szCs w:val="18"/>
                <w:lang w:eastAsia="ko-KR"/>
                <w14:ligatures w14:val="standardContextual"/>
              </w:rPr>
              <w:t>prises</w:t>
            </w:r>
            <w:proofErr w:type="spellEnd"/>
            <w:r w:rsidRPr="004E13E9">
              <w:rPr>
                <w:rFonts w:eastAsia="Malgun Gothic"/>
                <w:b/>
                <w:kern w:val="2"/>
                <w:sz w:val="18"/>
                <w:szCs w:val="18"/>
                <w:lang w:eastAsia="ko-KR"/>
                <w14:ligatures w14:val="standardContextual"/>
              </w:rPr>
              <w:t xml:space="preserve"> </w:t>
            </w:r>
            <w:proofErr w:type="spellStart"/>
            <w:r w:rsidRPr="004E13E9">
              <w:rPr>
                <w:rFonts w:eastAsia="Malgun Gothic"/>
                <w:b/>
                <w:kern w:val="2"/>
                <w:sz w:val="18"/>
                <w:szCs w:val="18"/>
                <w:lang w:eastAsia="ko-KR"/>
                <w14:ligatures w14:val="standardContextual"/>
              </w:rPr>
              <w:t>accessoires</w:t>
            </w:r>
            <w:proofErr w:type="spellEnd"/>
          </w:p>
        </w:tc>
        <w:tc>
          <w:tcPr>
            <w:tcW w:w="2102" w:type="dxa"/>
            <w:noWrap/>
            <w:vAlign w:val="center"/>
          </w:tcPr>
          <w:p w14:paraId="531B0126" w14:textId="77777777" w:rsidR="00004CA5" w:rsidRPr="004E13E9" w:rsidRDefault="00004CA5" w:rsidP="00E62E84">
            <w:pPr>
              <w:spacing w:line="276" w:lineRule="auto"/>
              <w:jc w:val="right"/>
              <w:rPr>
                <w:rFonts w:eastAsia="Times New Roman" w:cs="Calibri"/>
                <w:kern w:val="2"/>
                <w:sz w:val="18"/>
                <w:szCs w:val="18"/>
                <w:lang w:eastAsia="ja-JP"/>
                <w14:ligatures w14:val="standardContextual"/>
              </w:rPr>
            </w:pPr>
          </w:p>
        </w:tc>
        <w:tc>
          <w:tcPr>
            <w:tcW w:w="625" w:type="dxa"/>
          </w:tcPr>
          <w:p w14:paraId="4E080125"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noWrap/>
            <w:vAlign w:val="center"/>
          </w:tcPr>
          <w:p w14:paraId="2420C953"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vAlign w:val="center"/>
          </w:tcPr>
          <w:p w14:paraId="18D849AD"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vAlign w:val="center"/>
          </w:tcPr>
          <w:p w14:paraId="3C8F2121"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vAlign w:val="center"/>
          </w:tcPr>
          <w:p w14:paraId="59F6BA11"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571" w:type="dxa"/>
          </w:tcPr>
          <w:p w14:paraId="694CF82A"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991" w:type="dxa"/>
          </w:tcPr>
          <w:p w14:paraId="48D942DE"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000000" w:fill="D9D9D9"/>
            <w:vAlign w:val="center"/>
          </w:tcPr>
          <w:p w14:paraId="51E70FCC"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tcPr>
          <w:p w14:paraId="2855D416"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vAlign w:val="center"/>
          </w:tcPr>
          <w:p w14:paraId="7FB614B3"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vAlign w:val="center"/>
          </w:tcPr>
          <w:p w14:paraId="07450686"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vAlign w:val="center"/>
          </w:tcPr>
          <w:p w14:paraId="7E1800F1"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vAlign w:val="center"/>
          </w:tcPr>
          <w:p w14:paraId="79E91B94"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vAlign w:val="center"/>
          </w:tcPr>
          <w:p w14:paraId="7ED3EAAF"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tcPr>
          <w:p w14:paraId="22DF2766"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r w:rsidRPr="004E13E9">
              <w:rPr>
                <w:b/>
                <w:bCs/>
                <w:sz w:val="18"/>
                <w:szCs w:val="18"/>
              </w:rPr>
              <w:t>55</w:t>
            </w:r>
          </w:p>
        </w:tc>
      </w:tr>
      <w:tr w:rsidR="00004CA5" w:rsidRPr="006A2397" w14:paraId="5C59E9FB" w14:textId="77777777" w:rsidTr="00E62E84">
        <w:trPr>
          <w:trHeight w:val="20"/>
        </w:trPr>
        <w:tc>
          <w:tcPr>
            <w:tcW w:w="0" w:type="auto"/>
            <w:vAlign w:val="center"/>
          </w:tcPr>
          <w:p w14:paraId="57E7C4BB" w14:textId="77777777" w:rsidR="00004CA5" w:rsidRPr="004E13E9" w:rsidRDefault="00004CA5" w:rsidP="00E62E84">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Quota de recherche scientifique</w:t>
            </w:r>
          </w:p>
          <w:p w14:paraId="71731139" w14:textId="77777777" w:rsidR="00004CA5" w:rsidRPr="004E13E9" w:rsidRDefault="00004CA5" w:rsidP="00E62E84">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(le cas échéant)</w:t>
            </w:r>
          </w:p>
        </w:tc>
        <w:tc>
          <w:tcPr>
            <w:tcW w:w="2102" w:type="dxa"/>
            <w:noWrap/>
            <w:vAlign w:val="center"/>
          </w:tcPr>
          <w:p w14:paraId="6668A8FF" w14:textId="77777777" w:rsidR="00004CA5" w:rsidRPr="004E13E9" w:rsidRDefault="00004CA5" w:rsidP="00E62E84">
            <w:pPr>
              <w:spacing w:line="276" w:lineRule="auto"/>
              <w:jc w:val="right"/>
              <w:rPr>
                <w:rFonts w:eastAsia="Times New Roman" w:cs="Calibri"/>
                <w:b/>
                <w:bCs/>
                <w:kern w:val="2"/>
                <w:sz w:val="18"/>
                <w:szCs w:val="18"/>
                <w:lang w:val="fr-FR" w:eastAsia="ja-JP"/>
                <w14:ligatures w14:val="standardContextual"/>
              </w:rPr>
            </w:pPr>
          </w:p>
        </w:tc>
        <w:tc>
          <w:tcPr>
            <w:tcW w:w="625" w:type="dxa"/>
          </w:tcPr>
          <w:p w14:paraId="5828310D" w14:textId="77777777" w:rsidR="00004CA5" w:rsidRPr="004E13E9" w:rsidRDefault="00004CA5" w:rsidP="00E62E84">
            <w:pPr>
              <w:spacing w:line="276" w:lineRule="auto"/>
              <w:rPr>
                <w:rFonts w:eastAsia="Times New Roman" w:cs="Calibri"/>
                <w:b/>
                <w:bCs/>
                <w:kern w:val="2"/>
                <w:sz w:val="18"/>
                <w:szCs w:val="18"/>
                <w:lang w:val="fr-FR" w:eastAsia="ja-JP"/>
                <w14:ligatures w14:val="standardContextual"/>
              </w:rPr>
            </w:pPr>
          </w:p>
        </w:tc>
        <w:tc>
          <w:tcPr>
            <w:tcW w:w="0" w:type="auto"/>
            <w:noWrap/>
            <w:vAlign w:val="center"/>
          </w:tcPr>
          <w:p w14:paraId="18EEA793" w14:textId="77777777" w:rsidR="00004CA5" w:rsidRPr="004E13E9" w:rsidRDefault="00004CA5" w:rsidP="00E62E84">
            <w:pPr>
              <w:spacing w:line="276" w:lineRule="auto"/>
              <w:rPr>
                <w:rFonts w:eastAsia="Times New Roman" w:cs="Calibri"/>
                <w:b/>
                <w:bCs/>
                <w:kern w:val="2"/>
                <w:sz w:val="18"/>
                <w:szCs w:val="18"/>
                <w:lang w:val="fr-FR" w:eastAsia="ja-JP"/>
                <w14:ligatures w14:val="standardContextual"/>
              </w:rPr>
            </w:pPr>
          </w:p>
        </w:tc>
        <w:tc>
          <w:tcPr>
            <w:tcW w:w="0" w:type="auto"/>
            <w:vAlign w:val="center"/>
          </w:tcPr>
          <w:p w14:paraId="169F82CE" w14:textId="77777777" w:rsidR="00004CA5" w:rsidRPr="004E13E9" w:rsidRDefault="00004CA5" w:rsidP="00E62E84">
            <w:pPr>
              <w:spacing w:line="276" w:lineRule="auto"/>
              <w:rPr>
                <w:rFonts w:eastAsia="Times New Roman" w:cs="Calibri"/>
                <w:b/>
                <w:bCs/>
                <w:kern w:val="2"/>
                <w:sz w:val="18"/>
                <w:szCs w:val="18"/>
                <w:lang w:val="fr-FR" w:eastAsia="ja-JP"/>
                <w14:ligatures w14:val="standardContextual"/>
              </w:rPr>
            </w:pPr>
          </w:p>
        </w:tc>
        <w:tc>
          <w:tcPr>
            <w:tcW w:w="0" w:type="auto"/>
            <w:vAlign w:val="center"/>
          </w:tcPr>
          <w:p w14:paraId="0069C87F" w14:textId="77777777" w:rsidR="00004CA5" w:rsidRPr="004E13E9" w:rsidRDefault="00004CA5" w:rsidP="00E62E84">
            <w:pPr>
              <w:spacing w:line="276" w:lineRule="auto"/>
              <w:rPr>
                <w:rFonts w:eastAsia="Times New Roman" w:cs="Calibri"/>
                <w:b/>
                <w:bCs/>
                <w:kern w:val="2"/>
                <w:sz w:val="18"/>
                <w:szCs w:val="18"/>
                <w:lang w:val="fr-FR" w:eastAsia="ja-JP"/>
                <w14:ligatures w14:val="standardContextual"/>
              </w:rPr>
            </w:pPr>
          </w:p>
        </w:tc>
        <w:tc>
          <w:tcPr>
            <w:tcW w:w="0" w:type="auto"/>
            <w:vAlign w:val="center"/>
          </w:tcPr>
          <w:p w14:paraId="753D5154" w14:textId="77777777" w:rsidR="00004CA5" w:rsidRPr="004E13E9" w:rsidRDefault="00004CA5" w:rsidP="00E62E84">
            <w:pPr>
              <w:spacing w:line="276" w:lineRule="auto"/>
              <w:rPr>
                <w:rFonts w:eastAsia="Times New Roman" w:cs="Calibri"/>
                <w:b/>
                <w:bCs/>
                <w:kern w:val="2"/>
                <w:sz w:val="18"/>
                <w:szCs w:val="18"/>
                <w:lang w:val="fr-FR" w:eastAsia="ja-JP"/>
                <w14:ligatures w14:val="standardContextual"/>
              </w:rPr>
            </w:pPr>
          </w:p>
        </w:tc>
        <w:tc>
          <w:tcPr>
            <w:tcW w:w="571" w:type="dxa"/>
          </w:tcPr>
          <w:p w14:paraId="4C65EF43" w14:textId="77777777" w:rsidR="00004CA5" w:rsidRPr="004E13E9" w:rsidRDefault="00004CA5" w:rsidP="00E62E84">
            <w:pPr>
              <w:spacing w:line="276" w:lineRule="auto"/>
              <w:rPr>
                <w:rFonts w:eastAsia="Times New Roman" w:cs="Calibri"/>
                <w:b/>
                <w:bCs/>
                <w:kern w:val="2"/>
                <w:sz w:val="18"/>
                <w:szCs w:val="18"/>
                <w:lang w:val="fr-FR" w:eastAsia="ja-JP"/>
                <w14:ligatures w14:val="standardContextual"/>
              </w:rPr>
            </w:pPr>
          </w:p>
        </w:tc>
        <w:tc>
          <w:tcPr>
            <w:tcW w:w="991" w:type="dxa"/>
          </w:tcPr>
          <w:p w14:paraId="7D98CD34" w14:textId="77777777" w:rsidR="00004CA5" w:rsidRPr="004E13E9" w:rsidRDefault="00004CA5" w:rsidP="00E62E84">
            <w:pPr>
              <w:spacing w:line="276" w:lineRule="auto"/>
              <w:jc w:val="center"/>
              <w:rPr>
                <w:rFonts w:eastAsia="Times New Roman" w:cs="Calibri"/>
                <w:kern w:val="2"/>
                <w:sz w:val="18"/>
                <w:szCs w:val="18"/>
                <w:lang w:val="fr-FR" w:eastAsia="ja-JP"/>
                <w14:ligatures w14:val="standardContextual"/>
              </w:rPr>
            </w:pPr>
          </w:p>
        </w:tc>
        <w:tc>
          <w:tcPr>
            <w:tcW w:w="0" w:type="auto"/>
            <w:shd w:val="clear" w:color="000000" w:fill="D9D9D9"/>
            <w:vAlign w:val="center"/>
          </w:tcPr>
          <w:p w14:paraId="6A054B5C" w14:textId="77777777" w:rsidR="00004CA5" w:rsidRPr="004E13E9" w:rsidRDefault="00004CA5" w:rsidP="00E62E84">
            <w:pPr>
              <w:spacing w:line="276" w:lineRule="auto"/>
              <w:rPr>
                <w:rFonts w:eastAsia="Times New Roman" w:cs="Calibri"/>
                <w:b/>
                <w:bCs/>
                <w:kern w:val="2"/>
                <w:sz w:val="18"/>
                <w:szCs w:val="18"/>
                <w:lang w:val="fr-FR" w:eastAsia="ja-JP"/>
                <w14:ligatures w14:val="standardContextual"/>
              </w:rPr>
            </w:pPr>
          </w:p>
        </w:tc>
        <w:tc>
          <w:tcPr>
            <w:tcW w:w="0" w:type="auto"/>
          </w:tcPr>
          <w:p w14:paraId="6828F1D8" w14:textId="77777777" w:rsidR="00004CA5" w:rsidRPr="004E13E9" w:rsidRDefault="00004CA5" w:rsidP="00E62E84">
            <w:pPr>
              <w:spacing w:line="276" w:lineRule="auto"/>
              <w:rPr>
                <w:rFonts w:eastAsia="Times New Roman" w:cs="Calibri"/>
                <w:b/>
                <w:bCs/>
                <w:kern w:val="2"/>
                <w:sz w:val="18"/>
                <w:szCs w:val="18"/>
                <w:lang w:val="fr-FR" w:eastAsia="ja-JP"/>
                <w14:ligatures w14:val="standardContextual"/>
              </w:rPr>
            </w:pPr>
          </w:p>
        </w:tc>
        <w:tc>
          <w:tcPr>
            <w:tcW w:w="0" w:type="auto"/>
            <w:vAlign w:val="center"/>
          </w:tcPr>
          <w:p w14:paraId="05D2DB1E" w14:textId="77777777" w:rsidR="00004CA5" w:rsidRPr="004E13E9" w:rsidRDefault="00004CA5" w:rsidP="00E62E84">
            <w:pPr>
              <w:spacing w:line="276" w:lineRule="auto"/>
              <w:rPr>
                <w:rFonts w:eastAsia="Times New Roman" w:cs="Calibri"/>
                <w:b/>
                <w:bCs/>
                <w:kern w:val="2"/>
                <w:sz w:val="18"/>
                <w:szCs w:val="18"/>
                <w:lang w:val="fr-FR" w:eastAsia="ja-JP"/>
                <w14:ligatures w14:val="standardContextual"/>
              </w:rPr>
            </w:pPr>
          </w:p>
        </w:tc>
        <w:tc>
          <w:tcPr>
            <w:tcW w:w="0" w:type="auto"/>
            <w:vAlign w:val="center"/>
          </w:tcPr>
          <w:p w14:paraId="052CB3BE" w14:textId="77777777" w:rsidR="00004CA5" w:rsidRPr="004E13E9" w:rsidRDefault="00004CA5" w:rsidP="00E62E84">
            <w:pPr>
              <w:spacing w:line="276" w:lineRule="auto"/>
              <w:rPr>
                <w:rFonts w:eastAsia="Times New Roman" w:cs="Calibri"/>
                <w:b/>
                <w:bCs/>
                <w:kern w:val="2"/>
                <w:sz w:val="18"/>
                <w:szCs w:val="18"/>
                <w:lang w:val="fr-FR" w:eastAsia="ja-JP"/>
                <w14:ligatures w14:val="standardContextual"/>
              </w:rPr>
            </w:pPr>
          </w:p>
        </w:tc>
        <w:tc>
          <w:tcPr>
            <w:tcW w:w="0" w:type="auto"/>
            <w:noWrap/>
            <w:vAlign w:val="center"/>
          </w:tcPr>
          <w:p w14:paraId="1EF82916" w14:textId="77777777" w:rsidR="00004CA5" w:rsidRPr="004E13E9" w:rsidRDefault="00004CA5" w:rsidP="00E62E84">
            <w:pPr>
              <w:spacing w:line="276" w:lineRule="auto"/>
              <w:rPr>
                <w:rFonts w:eastAsia="Times New Roman" w:cs="Calibri"/>
                <w:b/>
                <w:bCs/>
                <w:kern w:val="2"/>
                <w:sz w:val="18"/>
                <w:szCs w:val="18"/>
                <w:lang w:val="fr-FR" w:eastAsia="ja-JP"/>
                <w14:ligatures w14:val="standardContextual"/>
              </w:rPr>
            </w:pPr>
          </w:p>
        </w:tc>
        <w:tc>
          <w:tcPr>
            <w:tcW w:w="0" w:type="auto"/>
            <w:noWrap/>
            <w:vAlign w:val="center"/>
          </w:tcPr>
          <w:p w14:paraId="314CF926" w14:textId="77777777" w:rsidR="00004CA5" w:rsidRPr="004E13E9" w:rsidRDefault="00004CA5" w:rsidP="00E62E84">
            <w:pPr>
              <w:spacing w:line="276" w:lineRule="auto"/>
              <w:rPr>
                <w:rFonts w:eastAsia="Times New Roman" w:cs="Calibri"/>
                <w:b/>
                <w:bCs/>
                <w:kern w:val="2"/>
                <w:sz w:val="18"/>
                <w:szCs w:val="18"/>
                <w:lang w:val="fr-FR" w:eastAsia="ja-JP"/>
                <w14:ligatures w14:val="standardContextual"/>
              </w:rPr>
            </w:pPr>
          </w:p>
        </w:tc>
        <w:tc>
          <w:tcPr>
            <w:tcW w:w="0" w:type="auto"/>
            <w:noWrap/>
            <w:vAlign w:val="center"/>
          </w:tcPr>
          <w:p w14:paraId="70FEFD92" w14:textId="77777777" w:rsidR="00004CA5" w:rsidRPr="004E13E9" w:rsidRDefault="00004CA5" w:rsidP="00E62E84">
            <w:pPr>
              <w:spacing w:line="276" w:lineRule="auto"/>
              <w:rPr>
                <w:rFonts w:eastAsia="Times New Roman" w:cs="Calibri"/>
                <w:b/>
                <w:bCs/>
                <w:kern w:val="2"/>
                <w:sz w:val="18"/>
                <w:szCs w:val="18"/>
                <w:lang w:val="fr-FR" w:eastAsia="ja-JP"/>
                <w14:ligatures w14:val="standardContextual"/>
              </w:rPr>
            </w:pPr>
          </w:p>
        </w:tc>
        <w:tc>
          <w:tcPr>
            <w:tcW w:w="0" w:type="auto"/>
          </w:tcPr>
          <w:p w14:paraId="0152B0EB" w14:textId="77777777" w:rsidR="00004CA5" w:rsidRPr="004E13E9" w:rsidRDefault="00004CA5" w:rsidP="00E62E84">
            <w:pPr>
              <w:spacing w:line="276" w:lineRule="auto"/>
              <w:rPr>
                <w:rFonts w:eastAsia="Times New Roman" w:cs="Calibri"/>
                <w:b/>
                <w:bCs/>
                <w:kern w:val="2"/>
                <w:sz w:val="18"/>
                <w:szCs w:val="18"/>
                <w:lang w:val="fr-FR" w:eastAsia="ja-JP"/>
                <w14:ligatures w14:val="standardContextual"/>
              </w:rPr>
            </w:pPr>
          </w:p>
        </w:tc>
      </w:tr>
      <w:tr w:rsidR="00004CA5" w:rsidRPr="004E13E9" w14:paraId="6C539109" w14:textId="77777777" w:rsidTr="00E62E84">
        <w:trPr>
          <w:trHeight w:val="20"/>
        </w:trPr>
        <w:tc>
          <w:tcPr>
            <w:tcW w:w="0" w:type="auto"/>
            <w:vAlign w:val="center"/>
          </w:tcPr>
          <w:p w14:paraId="00722E63" w14:textId="77777777" w:rsidR="00004CA5" w:rsidRPr="004E13E9" w:rsidRDefault="00004CA5" w:rsidP="00E62E84">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Tolérance pour la pêche sportive/récréative</w:t>
            </w:r>
          </w:p>
          <w:p w14:paraId="376A2FA2"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xml:space="preserve">(le </w:t>
            </w:r>
            <w:proofErr w:type="spellStart"/>
            <w:r w:rsidRPr="004E13E9">
              <w:rPr>
                <w:rFonts w:eastAsia="Malgun Gothic"/>
                <w:b/>
                <w:kern w:val="2"/>
                <w:sz w:val="18"/>
                <w:szCs w:val="18"/>
                <w:lang w:eastAsia="ko-KR"/>
                <w14:ligatures w14:val="standardContextual"/>
              </w:rPr>
              <w:t>cas</w:t>
            </w:r>
            <w:proofErr w:type="spellEnd"/>
            <w:r w:rsidRPr="004E13E9">
              <w:rPr>
                <w:rFonts w:eastAsia="Malgun Gothic"/>
                <w:b/>
                <w:kern w:val="2"/>
                <w:sz w:val="18"/>
                <w:szCs w:val="18"/>
                <w:lang w:eastAsia="ko-KR"/>
                <w14:ligatures w14:val="standardContextual"/>
              </w:rPr>
              <w:t xml:space="preserve"> échéant)</w:t>
            </w:r>
          </w:p>
        </w:tc>
        <w:tc>
          <w:tcPr>
            <w:tcW w:w="2102" w:type="dxa"/>
            <w:noWrap/>
            <w:vAlign w:val="center"/>
          </w:tcPr>
          <w:p w14:paraId="7FB21F02" w14:textId="77777777" w:rsidR="00004CA5" w:rsidRPr="004E13E9" w:rsidRDefault="00004CA5" w:rsidP="00E62E84">
            <w:pPr>
              <w:spacing w:line="276" w:lineRule="auto"/>
              <w:jc w:val="right"/>
              <w:rPr>
                <w:rFonts w:eastAsia="Times New Roman" w:cs="Calibri"/>
                <w:b/>
                <w:bCs/>
                <w:kern w:val="2"/>
                <w:sz w:val="18"/>
                <w:szCs w:val="18"/>
                <w:lang w:eastAsia="ja-JP"/>
                <w14:ligatures w14:val="standardContextual"/>
              </w:rPr>
            </w:pPr>
          </w:p>
        </w:tc>
        <w:tc>
          <w:tcPr>
            <w:tcW w:w="625" w:type="dxa"/>
          </w:tcPr>
          <w:p w14:paraId="6F5C8E21"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noWrap/>
            <w:vAlign w:val="center"/>
          </w:tcPr>
          <w:p w14:paraId="4CC57250"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vAlign w:val="center"/>
          </w:tcPr>
          <w:p w14:paraId="4DBF374F"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vAlign w:val="center"/>
          </w:tcPr>
          <w:p w14:paraId="3BB9C025"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vAlign w:val="center"/>
          </w:tcPr>
          <w:p w14:paraId="600D1B3D"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571" w:type="dxa"/>
          </w:tcPr>
          <w:p w14:paraId="71DADE28"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991" w:type="dxa"/>
          </w:tcPr>
          <w:p w14:paraId="74898D0E"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000000" w:fill="D9D9D9"/>
            <w:vAlign w:val="center"/>
          </w:tcPr>
          <w:p w14:paraId="5BF53AE9"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tcPr>
          <w:p w14:paraId="69E1DAFA"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vAlign w:val="center"/>
          </w:tcPr>
          <w:p w14:paraId="189A9CF6"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vAlign w:val="center"/>
          </w:tcPr>
          <w:p w14:paraId="7E8451AB"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noWrap/>
            <w:vAlign w:val="center"/>
          </w:tcPr>
          <w:p w14:paraId="353E1830"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noWrap/>
            <w:vAlign w:val="center"/>
          </w:tcPr>
          <w:p w14:paraId="2A32C813"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noWrap/>
            <w:vAlign w:val="center"/>
          </w:tcPr>
          <w:p w14:paraId="7932442F"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tcPr>
          <w:p w14:paraId="186EC3A0"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r>
      <w:tr w:rsidR="00004CA5" w:rsidRPr="004E13E9" w14:paraId="5F2821CC" w14:textId="77777777" w:rsidTr="00E62E84">
        <w:trPr>
          <w:trHeight w:val="20"/>
        </w:trPr>
        <w:tc>
          <w:tcPr>
            <w:tcW w:w="0" w:type="auto"/>
            <w:vAlign w:val="center"/>
          </w:tcPr>
          <w:p w14:paraId="5CF00426"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 xml:space="preserve">Quota disponible </w:t>
            </w:r>
          </w:p>
        </w:tc>
        <w:tc>
          <w:tcPr>
            <w:tcW w:w="2102" w:type="dxa"/>
            <w:noWrap/>
            <w:vAlign w:val="center"/>
          </w:tcPr>
          <w:p w14:paraId="7EDC05A2" w14:textId="77777777" w:rsidR="00004CA5" w:rsidRPr="004E13E9" w:rsidRDefault="00004CA5" w:rsidP="00E62E84">
            <w:pPr>
              <w:spacing w:line="276" w:lineRule="auto"/>
              <w:jc w:val="right"/>
              <w:rPr>
                <w:rFonts w:eastAsia="Times New Roman" w:cs="Calibri"/>
                <w:b/>
                <w:bCs/>
                <w:kern w:val="2"/>
                <w:sz w:val="18"/>
                <w:szCs w:val="18"/>
                <w:lang w:eastAsia="ja-JP"/>
                <w14:ligatures w14:val="standardContextual"/>
              </w:rPr>
            </w:pPr>
          </w:p>
        </w:tc>
        <w:tc>
          <w:tcPr>
            <w:tcW w:w="625" w:type="dxa"/>
          </w:tcPr>
          <w:p w14:paraId="59D12444"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noWrap/>
            <w:vAlign w:val="center"/>
          </w:tcPr>
          <w:p w14:paraId="47692DD4"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vAlign w:val="center"/>
          </w:tcPr>
          <w:p w14:paraId="290FF1CA"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vAlign w:val="center"/>
          </w:tcPr>
          <w:p w14:paraId="63BB88B4"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vAlign w:val="center"/>
          </w:tcPr>
          <w:p w14:paraId="2C7855AE"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571" w:type="dxa"/>
          </w:tcPr>
          <w:p w14:paraId="1F7BCA75"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991" w:type="dxa"/>
          </w:tcPr>
          <w:p w14:paraId="6B12A09A"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000000" w:fill="D9D9D9"/>
            <w:vAlign w:val="center"/>
          </w:tcPr>
          <w:p w14:paraId="44A81354"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tcPr>
          <w:p w14:paraId="7EFA6031"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vAlign w:val="center"/>
          </w:tcPr>
          <w:p w14:paraId="66494078"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vAlign w:val="center"/>
          </w:tcPr>
          <w:p w14:paraId="233B216C"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noWrap/>
            <w:vAlign w:val="center"/>
          </w:tcPr>
          <w:p w14:paraId="2E7E004E"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noWrap/>
            <w:vAlign w:val="center"/>
          </w:tcPr>
          <w:p w14:paraId="32DE8289"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noWrap/>
            <w:vAlign w:val="center"/>
          </w:tcPr>
          <w:p w14:paraId="1D427F37"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p>
        </w:tc>
        <w:tc>
          <w:tcPr>
            <w:tcW w:w="0" w:type="auto"/>
          </w:tcPr>
          <w:p w14:paraId="1B17125C"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r w:rsidRPr="004E13E9">
              <w:rPr>
                <w:rFonts w:eastAsia="Times New Roman" w:cs="Calibri"/>
                <w:b/>
                <w:bCs/>
                <w:kern w:val="2"/>
                <w:sz w:val="18"/>
                <w:szCs w:val="18"/>
                <w:lang w:eastAsia="ja-JP"/>
                <w14:ligatures w14:val="standardContextual"/>
              </w:rPr>
              <w:t>0</w:t>
            </w:r>
          </w:p>
        </w:tc>
      </w:tr>
      <w:tr w:rsidR="00004CA5" w:rsidRPr="004E13E9" w14:paraId="2378A0A5" w14:textId="77777777" w:rsidTr="00E62E84">
        <w:trPr>
          <w:trHeight w:val="20"/>
        </w:trPr>
        <w:tc>
          <w:tcPr>
            <w:tcW w:w="0" w:type="auto"/>
            <w:shd w:val="clear" w:color="auto" w:fill="D9D9D9"/>
            <w:noWrap/>
            <w:vAlign w:val="center"/>
            <w:hideMark/>
          </w:tcPr>
          <w:p w14:paraId="21A568CD" w14:textId="77777777" w:rsidR="00004CA5" w:rsidRPr="004E13E9" w:rsidRDefault="00004CA5" w:rsidP="00E62E84">
            <w:pPr>
              <w:spacing w:line="276" w:lineRule="auto"/>
              <w:rPr>
                <w:rFonts w:eastAsia="Times New Roman" w:cs="Calibri"/>
                <w:b/>
                <w:bCs/>
                <w:kern w:val="2"/>
                <w:sz w:val="18"/>
                <w:szCs w:val="18"/>
                <w:lang w:eastAsia="ko-KR"/>
                <w14:ligatures w14:val="standardContextual"/>
              </w:rPr>
            </w:pPr>
            <w:r w:rsidRPr="004E13E9">
              <w:rPr>
                <w:rFonts w:eastAsia="Malgun Gothic"/>
                <w:b/>
                <w:kern w:val="2"/>
                <w:sz w:val="18"/>
                <w:szCs w:val="18"/>
                <w:lang w:eastAsia="ko-KR"/>
                <w14:ligatures w14:val="standardContextual"/>
              </w:rPr>
              <w:t>Sous/</w:t>
            </w:r>
            <w:proofErr w:type="spellStart"/>
            <w:r w:rsidRPr="004E13E9">
              <w:rPr>
                <w:rFonts w:eastAsia="Malgun Gothic"/>
                <w:b/>
                <w:kern w:val="2"/>
                <w:sz w:val="18"/>
                <w:szCs w:val="18"/>
                <w:lang w:eastAsia="ko-KR"/>
                <w14:ligatures w14:val="standardContextual"/>
              </w:rPr>
              <w:t>surcapacité</w:t>
            </w:r>
            <w:proofErr w:type="spellEnd"/>
          </w:p>
        </w:tc>
        <w:tc>
          <w:tcPr>
            <w:tcW w:w="2102" w:type="dxa"/>
            <w:shd w:val="clear" w:color="auto" w:fill="D9D9D9"/>
            <w:noWrap/>
            <w:vAlign w:val="center"/>
            <w:hideMark/>
          </w:tcPr>
          <w:p w14:paraId="61B24435" w14:textId="77777777" w:rsidR="00004CA5" w:rsidRPr="004E13E9" w:rsidRDefault="00004CA5" w:rsidP="00E62E84">
            <w:pPr>
              <w:spacing w:line="276" w:lineRule="auto"/>
              <w:jc w:val="right"/>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625" w:type="dxa"/>
            <w:shd w:val="clear" w:color="auto" w:fill="D9D9D9"/>
          </w:tcPr>
          <w:p w14:paraId="0EEF86E4"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shd w:val="clear" w:color="auto" w:fill="D9D9D9"/>
            <w:noWrap/>
            <w:vAlign w:val="center"/>
            <w:hideMark/>
          </w:tcPr>
          <w:p w14:paraId="16167FF2"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vAlign w:val="center"/>
            <w:hideMark/>
          </w:tcPr>
          <w:p w14:paraId="78371358"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vAlign w:val="center"/>
            <w:hideMark/>
          </w:tcPr>
          <w:p w14:paraId="73EE0C27"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vAlign w:val="center"/>
            <w:hideMark/>
          </w:tcPr>
          <w:p w14:paraId="0E5537AC"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571" w:type="dxa"/>
            <w:shd w:val="clear" w:color="auto" w:fill="D9D9D9"/>
          </w:tcPr>
          <w:p w14:paraId="76456C91"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991" w:type="dxa"/>
            <w:shd w:val="clear" w:color="auto" w:fill="D9D9D9"/>
          </w:tcPr>
          <w:p w14:paraId="6062E186" w14:textId="77777777" w:rsidR="00004CA5" w:rsidRPr="004E13E9" w:rsidRDefault="00004CA5" w:rsidP="00E62E84">
            <w:pPr>
              <w:spacing w:line="276" w:lineRule="auto"/>
              <w:jc w:val="center"/>
              <w:rPr>
                <w:rFonts w:eastAsia="Times New Roman" w:cs="Calibri"/>
                <w:kern w:val="2"/>
                <w:sz w:val="18"/>
                <w:szCs w:val="18"/>
                <w:lang w:eastAsia="ja-JP"/>
                <w14:ligatures w14:val="standardContextual"/>
              </w:rPr>
            </w:pPr>
          </w:p>
        </w:tc>
        <w:tc>
          <w:tcPr>
            <w:tcW w:w="0" w:type="auto"/>
            <w:shd w:val="clear" w:color="auto" w:fill="D9D9D9"/>
            <w:vAlign w:val="center"/>
            <w:hideMark/>
          </w:tcPr>
          <w:p w14:paraId="4C72AC6B"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tcPr>
          <w:p w14:paraId="664D5D6F" w14:textId="77777777" w:rsidR="00004CA5" w:rsidRPr="004E13E9" w:rsidRDefault="00004CA5" w:rsidP="00E62E84">
            <w:pPr>
              <w:spacing w:line="276" w:lineRule="auto"/>
              <w:rPr>
                <w:rFonts w:eastAsia="Times New Roman" w:cs="Calibri"/>
                <w:kern w:val="2"/>
                <w:sz w:val="18"/>
                <w:szCs w:val="18"/>
                <w:lang w:eastAsia="ja-JP"/>
                <w14:ligatures w14:val="standardContextual"/>
              </w:rPr>
            </w:pPr>
          </w:p>
        </w:tc>
        <w:tc>
          <w:tcPr>
            <w:tcW w:w="0" w:type="auto"/>
            <w:shd w:val="clear" w:color="auto" w:fill="D9D9D9"/>
            <w:vAlign w:val="center"/>
            <w:hideMark/>
          </w:tcPr>
          <w:p w14:paraId="41065FFD"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vAlign w:val="center"/>
            <w:hideMark/>
          </w:tcPr>
          <w:p w14:paraId="2C9D3FA2"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vAlign w:val="center"/>
            <w:hideMark/>
          </w:tcPr>
          <w:p w14:paraId="279EF1B6"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vAlign w:val="center"/>
            <w:hideMark/>
          </w:tcPr>
          <w:p w14:paraId="17AB8E03"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vAlign w:val="center"/>
            <w:hideMark/>
          </w:tcPr>
          <w:p w14:paraId="2B73DA17" w14:textId="77777777" w:rsidR="00004CA5" w:rsidRPr="004E13E9" w:rsidRDefault="00004CA5" w:rsidP="00E62E84">
            <w:pPr>
              <w:spacing w:line="276" w:lineRule="auto"/>
              <w:rPr>
                <w:rFonts w:eastAsia="Times New Roman" w:cs="Calibri"/>
                <w:kern w:val="2"/>
                <w:sz w:val="18"/>
                <w:szCs w:val="18"/>
                <w:lang w:eastAsia="ko-KR"/>
                <w14:ligatures w14:val="standardContextual"/>
              </w:rPr>
            </w:pPr>
            <w:r w:rsidRPr="004E13E9">
              <w:rPr>
                <w:rFonts w:eastAsia="Malgun Gothic"/>
                <w:kern w:val="2"/>
                <w:sz w:val="18"/>
                <w:szCs w:val="18"/>
                <w:lang w:eastAsia="ko-KR"/>
                <w14:ligatures w14:val="standardContextual"/>
              </w:rPr>
              <w:t> </w:t>
            </w:r>
          </w:p>
        </w:tc>
        <w:tc>
          <w:tcPr>
            <w:tcW w:w="0" w:type="auto"/>
            <w:shd w:val="clear" w:color="auto" w:fill="D9D9D9"/>
          </w:tcPr>
          <w:p w14:paraId="16826565" w14:textId="77777777" w:rsidR="00004CA5" w:rsidRPr="004E13E9" w:rsidRDefault="00004CA5" w:rsidP="00E62E84">
            <w:pPr>
              <w:spacing w:line="276" w:lineRule="auto"/>
              <w:rPr>
                <w:rFonts w:eastAsia="Times New Roman" w:cs="Calibri"/>
                <w:b/>
                <w:bCs/>
                <w:kern w:val="2"/>
                <w:sz w:val="18"/>
                <w:szCs w:val="18"/>
                <w:lang w:eastAsia="ja-JP"/>
                <w14:ligatures w14:val="standardContextual"/>
              </w:rPr>
            </w:pPr>
            <w:r w:rsidRPr="004E13E9">
              <w:rPr>
                <w:rFonts w:eastAsia="Times New Roman" w:cs="Calibri"/>
                <w:b/>
                <w:bCs/>
                <w:kern w:val="2"/>
                <w:sz w:val="18"/>
                <w:szCs w:val="18"/>
                <w:lang w:eastAsia="ja-JP"/>
                <w14:ligatures w14:val="standardContextual"/>
              </w:rPr>
              <w:t>0</w:t>
            </w:r>
          </w:p>
        </w:tc>
      </w:tr>
    </w:tbl>
    <w:p w14:paraId="65B7A252" w14:textId="77777777" w:rsidR="00004CA5" w:rsidRPr="004E13E9" w:rsidRDefault="00004CA5" w:rsidP="00004CA5">
      <w:pPr>
        <w:rPr>
          <w:sz w:val="16"/>
          <w:szCs w:val="16"/>
        </w:rPr>
      </w:pPr>
    </w:p>
    <w:p w14:paraId="67588ECF" w14:textId="77777777" w:rsidR="00004CA5" w:rsidRPr="004E13E9" w:rsidRDefault="00004CA5">
      <w:pPr>
        <w:rPr>
          <w:lang w:val="pt-PT"/>
        </w:rPr>
      </w:pPr>
    </w:p>
    <w:p w14:paraId="2F2C0C85" w14:textId="77777777" w:rsidR="00934E2D" w:rsidRPr="004E13E9" w:rsidRDefault="00934E2D" w:rsidP="00934E2D">
      <w:pPr>
        <w:rPr>
          <w:lang w:val="pt-PT"/>
        </w:rPr>
      </w:pPr>
      <w:r w:rsidRPr="004E13E9">
        <w:rPr>
          <w:lang w:val="pt-PT"/>
        </w:rPr>
        <w:br w:type="page"/>
      </w:r>
    </w:p>
    <w:p w14:paraId="47E91D69" w14:textId="77777777" w:rsidR="00934E2D" w:rsidRPr="004E13E9" w:rsidRDefault="00934E2D" w:rsidP="00934E2D">
      <w:pPr>
        <w:rPr>
          <w:lang w:val="pt-PT"/>
        </w:rPr>
        <w:sectPr w:rsidR="00934E2D" w:rsidRPr="004E13E9" w:rsidSect="00463134">
          <w:footnotePr>
            <w:numFmt w:val="chicago"/>
          </w:footnotePr>
          <w:pgSz w:w="16840" w:h="11907" w:orient="landscape" w:code="9"/>
          <w:pgMar w:top="1418" w:right="1418" w:bottom="1418" w:left="1418" w:header="851" w:footer="1134" w:gutter="0"/>
          <w:cols w:space="720"/>
          <w:docGrid w:linePitch="272"/>
        </w:sectPr>
      </w:pPr>
    </w:p>
    <w:p w14:paraId="0AD8776E" w14:textId="4CD7A8ED" w:rsidR="009B6D42" w:rsidRPr="004E13E9" w:rsidRDefault="009B6D42" w:rsidP="009B6D42">
      <w:pPr>
        <w:rPr>
          <w:lang w:val="it-IT" w:eastAsia="en-GB"/>
        </w:rPr>
      </w:pPr>
      <w:r w:rsidRPr="004E13E9">
        <w:rPr>
          <w:b/>
          <w:bCs/>
          <w:lang w:val="it-IT" w:eastAsia="en-GB"/>
        </w:rPr>
        <w:t>Syrie</w:t>
      </w:r>
      <w:r w:rsidRPr="004E13E9">
        <w:rPr>
          <w:lang w:val="it-IT" w:eastAsia="en-GB"/>
        </w:rPr>
        <w:t xml:space="preserve"> </w:t>
      </w:r>
    </w:p>
    <w:p w14:paraId="00F67AFA" w14:textId="77777777" w:rsidR="009B6D42" w:rsidRPr="004E13E9" w:rsidRDefault="009B6D42">
      <w:pPr>
        <w:rPr>
          <w:lang w:val="it-IT"/>
        </w:rPr>
      </w:pPr>
    </w:p>
    <w:p w14:paraId="19A2278C" w14:textId="77777777" w:rsidR="00654430" w:rsidRPr="004E13E9" w:rsidRDefault="00654430" w:rsidP="00654430">
      <w:pPr>
        <w:widowControl w:val="0"/>
        <w:contextualSpacing/>
        <w:jc w:val="both"/>
        <w:rPr>
          <w:rFonts w:eastAsia="MS Gothic" w:cs="Times New Roman"/>
          <w:b/>
          <w:lang w:val="fr-FR" w:eastAsia="fr-FR" w:bidi="fr-FR"/>
        </w:rPr>
      </w:pPr>
      <w:r w:rsidRPr="004E13E9">
        <w:rPr>
          <w:rFonts w:eastAsia="MS Gothic" w:cs="Times New Roman"/>
          <w:b/>
          <w:lang w:val="fr-FR" w:eastAsia="fr-FR" w:bidi="fr-FR"/>
        </w:rPr>
        <w:t>Année du plan de pêche : 2026</w:t>
      </w:r>
    </w:p>
    <w:p w14:paraId="7CD3ED56" w14:textId="77777777" w:rsidR="00654430" w:rsidRPr="004E13E9" w:rsidRDefault="00654430" w:rsidP="00654430">
      <w:pPr>
        <w:widowControl w:val="0"/>
        <w:contextualSpacing/>
        <w:jc w:val="both"/>
        <w:rPr>
          <w:rFonts w:eastAsia="MS Gothic" w:cs="Times New Roman"/>
          <w:lang w:val="fr-FR" w:eastAsia="fr-FR" w:bidi="fr-FR"/>
        </w:rPr>
      </w:pPr>
    </w:p>
    <w:p w14:paraId="69450762" w14:textId="77777777" w:rsidR="00654430" w:rsidRPr="004E13E9" w:rsidRDefault="00654430" w:rsidP="00654430">
      <w:pPr>
        <w:widowControl w:val="0"/>
        <w:ind w:left="426" w:hanging="426"/>
        <w:contextualSpacing/>
        <w:jc w:val="both"/>
        <w:rPr>
          <w:rFonts w:eastAsia="MS Gothic" w:cs="Times New Roman"/>
          <w:b/>
          <w:lang w:val="fr-FR" w:eastAsia="fr-FR" w:bidi="fr-FR"/>
        </w:rPr>
      </w:pPr>
      <w:r w:rsidRPr="004E13E9">
        <w:rPr>
          <w:rFonts w:eastAsia="MS Gothic" w:cs="Times New Roman"/>
          <w:b/>
          <w:lang w:val="fr-FR" w:eastAsia="fr-FR" w:bidi="fr-FR"/>
        </w:rPr>
        <w:t xml:space="preserve">1. </w:t>
      </w:r>
      <w:r w:rsidRPr="004E13E9">
        <w:rPr>
          <w:rFonts w:eastAsia="MS Gothic" w:cs="Times New Roman"/>
          <w:b/>
          <w:lang w:val="fr-FR" w:eastAsia="fr-FR" w:bidi="fr-FR"/>
        </w:rPr>
        <w:tab/>
        <w:t>Détails du plan annuel de pêche pour les navires de capture et les madragues</w:t>
      </w:r>
    </w:p>
    <w:p w14:paraId="18392048" w14:textId="77777777" w:rsidR="00654430" w:rsidRPr="004E13E9" w:rsidRDefault="00654430" w:rsidP="00654430">
      <w:pPr>
        <w:widowControl w:val="0"/>
        <w:contextualSpacing/>
        <w:jc w:val="both"/>
        <w:rPr>
          <w:rFonts w:eastAsia="MS Gothic" w:cs="Times New Roman"/>
          <w:i/>
          <w:lang w:val="fr-FR" w:eastAsia="fr-FR" w:bidi="fr-FR"/>
        </w:rPr>
      </w:pPr>
    </w:p>
    <w:p w14:paraId="6298304A" w14:textId="77777777" w:rsidR="00654430" w:rsidRPr="004E13E9" w:rsidRDefault="00654430" w:rsidP="00654430">
      <w:pPr>
        <w:rPr>
          <w:b/>
          <w:bCs/>
          <w:i/>
          <w:iCs/>
          <w:lang w:val="fr-FR"/>
        </w:rPr>
      </w:pPr>
      <w:r w:rsidRPr="004E13E9">
        <w:rPr>
          <w:b/>
          <w:bCs/>
          <w:i/>
          <w:iCs/>
          <w:lang w:val="fr-FR"/>
        </w:rPr>
        <w:t>1a) Présentation (paragraphe 12)</w:t>
      </w:r>
    </w:p>
    <w:p w14:paraId="03816153" w14:textId="77777777" w:rsidR="00654430" w:rsidRPr="004E13E9" w:rsidRDefault="00654430" w:rsidP="00654430">
      <w:pPr>
        <w:widowControl w:val="0"/>
        <w:jc w:val="both"/>
        <w:rPr>
          <w:rFonts w:eastAsia="MS Gothic" w:cs="Times New Roman"/>
          <w:iCs/>
          <w:lang w:val="fr-FR" w:eastAsia="fr-FR" w:bidi="fr-FR"/>
        </w:rPr>
      </w:pPr>
      <w:r w:rsidRPr="004E13E9">
        <w:rPr>
          <w:rFonts w:eastAsia="MS Gothic" w:cs="Times New Roman"/>
          <w:iCs/>
          <w:lang w:val="fr-FR" w:eastAsia="fr-FR" w:bidi="fr-FR"/>
        </w:rPr>
        <w:t>La République arabe syrienne soumet par la présente ses plans de pêche, d'inspection et de gestion de la capacité pour le thon rouge de la Méditerranée.</w:t>
      </w:r>
    </w:p>
    <w:p w14:paraId="157F69D9" w14:textId="77777777" w:rsidR="00654430" w:rsidRPr="004E13E9" w:rsidRDefault="00654430" w:rsidP="00654430">
      <w:pPr>
        <w:widowControl w:val="0"/>
        <w:jc w:val="both"/>
        <w:rPr>
          <w:rFonts w:eastAsia="MS Gothic" w:cs="Times New Roman"/>
          <w:iCs/>
          <w:lang w:val="fr-FR" w:eastAsia="fr-FR" w:bidi="fr-FR"/>
        </w:rPr>
      </w:pPr>
    </w:p>
    <w:p w14:paraId="540C6241" w14:textId="77777777" w:rsidR="00654430" w:rsidRPr="004E13E9" w:rsidRDefault="00654430" w:rsidP="00654430">
      <w:pPr>
        <w:widowControl w:val="0"/>
        <w:jc w:val="both"/>
        <w:rPr>
          <w:rFonts w:eastAsia="MS Gothic" w:cs="Times New Roman"/>
          <w:iCs/>
          <w:lang w:val="fr-FR" w:eastAsia="fr-FR" w:bidi="fr-FR"/>
        </w:rPr>
      </w:pPr>
      <w:r w:rsidRPr="004E13E9">
        <w:rPr>
          <w:rFonts w:eastAsia="MS Gothic" w:cs="Times New Roman"/>
          <w:iCs/>
          <w:lang w:val="fr-FR" w:eastAsia="fr-FR" w:bidi="fr-FR"/>
        </w:rPr>
        <w:t xml:space="preserve">Conformément à la </w:t>
      </w:r>
      <w:r w:rsidRPr="004E13E9">
        <w:rPr>
          <w:rFonts w:eastAsia="MS Gothic" w:cs="Times New Roman"/>
          <w:i/>
          <w:iCs/>
          <w:lang w:val="fr-FR" w:eastAsia="fr-FR" w:bidi="fr-FR"/>
        </w:rPr>
        <w:t xml:space="preserve">Recommandation de l’ICCAT remplaçant la Recommandation 24-05 établissant un plan pluriannuel de gestion du thon rouge dans l’Atlantique Est et la Méditerranée </w:t>
      </w:r>
      <w:r w:rsidRPr="004E13E9">
        <w:rPr>
          <w:rFonts w:eastAsia="MS Gothic" w:cs="Times New Roman"/>
          <w:lang w:val="fr-FR" w:eastAsia="fr-FR" w:bidi="fr-FR"/>
        </w:rPr>
        <w:t>(</w:t>
      </w:r>
      <w:r w:rsidRPr="004E13E9">
        <w:rPr>
          <w:rFonts w:eastAsia="MS Gothic" w:cs="Times New Roman"/>
          <w:iCs/>
          <w:lang w:val="fr-FR" w:eastAsia="fr-FR" w:bidi="fr-FR"/>
        </w:rPr>
        <w:t>Rec. 25-04), le quota national de la Syrie pour 2026 est fixé à 238 tonnes de thon rouge de l'Atlantique Est et de la Méditerranée.</w:t>
      </w:r>
    </w:p>
    <w:p w14:paraId="7A2228D5" w14:textId="77777777" w:rsidR="00654430" w:rsidRPr="004E13E9" w:rsidRDefault="00654430" w:rsidP="00654430">
      <w:pPr>
        <w:widowControl w:val="0"/>
        <w:jc w:val="both"/>
        <w:rPr>
          <w:rFonts w:eastAsia="MS Gothic" w:cs="Times New Roman"/>
          <w:iCs/>
          <w:lang w:val="fr-FR" w:eastAsia="fr-FR" w:bidi="fr-FR"/>
        </w:rPr>
      </w:pPr>
    </w:p>
    <w:p w14:paraId="0B856FB0" w14:textId="77777777" w:rsidR="00654430" w:rsidRPr="004E13E9" w:rsidRDefault="00654430" w:rsidP="00654430">
      <w:pPr>
        <w:widowControl w:val="0"/>
        <w:jc w:val="both"/>
        <w:rPr>
          <w:rFonts w:eastAsia="MS Gothic" w:cs="Times New Roman"/>
          <w:iCs/>
          <w:lang w:val="fr-FR" w:eastAsia="fr-FR" w:bidi="fr-FR"/>
        </w:rPr>
      </w:pPr>
      <w:r w:rsidRPr="004E13E9">
        <w:rPr>
          <w:rFonts w:eastAsia="MS Gothic" w:cs="Times New Roman"/>
          <w:iCs/>
          <w:lang w:val="fr-FR" w:eastAsia="fr-FR" w:bidi="fr-FR"/>
        </w:rPr>
        <w:t>Le quota syrien pour la pêche au thon rouge est attribué exclusivement aux senneurs. Seuls les senneurs dûment autorisés en vertu de la législation nationale sont autorisés à pêcher dans le cadre du quota syrien de thon rouge. Ces navires se verront délivrer des autorisations de pêche au thon rouge, et la liste des navires autorisés sera transmise au Secrétariat de l’ICCAT au moins 15 jours avant le début des opérations de pêche. Chaque senneur recevra un quota individuel.</w:t>
      </w:r>
    </w:p>
    <w:p w14:paraId="191A739A" w14:textId="77777777" w:rsidR="00654430" w:rsidRPr="004E13E9" w:rsidRDefault="00654430" w:rsidP="00654430">
      <w:pPr>
        <w:widowControl w:val="0"/>
        <w:jc w:val="both"/>
        <w:rPr>
          <w:rFonts w:eastAsia="MS Gothic" w:cs="Times New Roman"/>
          <w:iCs/>
          <w:lang w:val="fr-FR" w:eastAsia="fr-FR" w:bidi="fr-FR"/>
        </w:rPr>
      </w:pPr>
    </w:p>
    <w:p w14:paraId="19892F5C" w14:textId="77777777" w:rsidR="00654430" w:rsidRPr="004E13E9" w:rsidRDefault="00654430" w:rsidP="00654430">
      <w:pPr>
        <w:widowControl w:val="0"/>
        <w:jc w:val="both"/>
        <w:rPr>
          <w:rFonts w:eastAsia="MS Gothic" w:cs="Times New Roman"/>
          <w:iCs/>
          <w:lang w:val="fr-FR" w:eastAsia="fr-FR" w:bidi="fr-FR"/>
        </w:rPr>
      </w:pPr>
      <w:r w:rsidRPr="004E13E9">
        <w:rPr>
          <w:rFonts w:eastAsia="MS Gothic" w:cs="Times New Roman"/>
          <w:iCs/>
          <w:lang w:val="fr-FR" w:eastAsia="fr-FR" w:bidi="fr-FR"/>
        </w:rPr>
        <w:t>La pêche ciblée au filet maillant dérivant sera pratiquée uniquement par des senneurs. Aucun canneur, palangrier, ligneur ou madrague sous le pavillon syrien n'est autorisé à pêcher le thon rouge. Aucune autorisation n'est délivrée pour ces catégories d'engins dans le cadre de la pêche au thon rouge. À l'heure actuelle, aucun navire de pêche côtière n'est autorisé à cibler le thon rouge. Cependant, la Syrie continue d'évaluer l’éventuelle participation future des pêcheries côtières artisanales, conformément aux mesures de conservation de l’ICCAT.</w:t>
      </w:r>
    </w:p>
    <w:p w14:paraId="3EEAA22E" w14:textId="77777777" w:rsidR="00654430" w:rsidRPr="004E13E9" w:rsidRDefault="00654430" w:rsidP="00654430">
      <w:pPr>
        <w:widowControl w:val="0"/>
        <w:jc w:val="both"/>
        <w:rPr>
          <w:rFonts w:eastAsia="MS Gothic" w:cs="Times New Roman"/>
          <w:iCs/>
          <w:lang w:val="fr-FR" w:eastAsia="fr-FR" w:bidi="fr-FR"/>
        </w:rPr>
      </w:pPr>
    </w:p>
    <w:p w14:paraId="4A5C9CAC" w14:textId="77777777" w:rsidR="00654430" w:rsidRPr="004E13E9" w:rsidRDefault="00654430" w:rsidP="00654430">
      <w:pPr>
        <w:widowControl w:val="0"/>
        <w:jc w:val="both"/>
        <w:rPr>
          <w:rFonts w:eastAsia="MS Gothic" w:cs="Times New Roman"/>
          <w:iCs/>
          <w:lang w:val="fr-FR" w:eastAsia="fr-FR" w:bidi="fr-FR"/>
        </w:rPr>
      </w:pPr>
      <w:r w:rsidRPr="004E13E9">
        <w:rPr>
          <w:rFonts w:eastAsia="MS Gothic" w:cs="Times New Roman"/>
          <w:iCs/>
          <w:lang w:val="fr-FR" w:eastAsia="fr-FR" w:bidi="fr-FR"/>
        </w:rPr>
        <w:t>Les prises accessoires de thon rouge ne doivent pas dépasser 20 % de la capture totale calculée en poids à bord à la fin de chaque sortie de pêche. Le calcul en nombre de spécimens ne devra s’appliquer qu’aux thonidés et aux espèces apparentées gérés par l’ICCAT. La réserve pour les prises accessoires est fixée à 1,0 t. Tous les thons rouges morts, qu'ils soient conservés ou rejetés, devront être déduits du quota national et déclarés à l’ICCAT.</w:t>
      </w:r>
    </w:p>
    <w:p w14:paraId="5DF343C8" w14:textId="77777777" w:rsidR="00654430" w:rsidRPr="004E13E9" w:rsidRDefault="00654430" w:rsidP="00654430">
      <w:pPr>
        <w:widowControl w:val="0"/>
        <w:jc w:val="both"/>
        <w:rPr>
          <w:rFonts w:eastAsia="MS Gothic" w:cs="Times New Roman"/>
          <w:b/>
          <w:bCs/>
          <w:i/>
          <w:iCs/>
          <w:strike/>
          <w:color w:val="000000"/>
          <w:lang w:val="fr-FR" w:eastAsia="fr-FR" w:bidi="fr-FR"/>
        </w:rPr>
      </w:pPr>
    </w:p>
    <w:p w14:paraId="587C2C91" w14:textId="77777777" w:rsidR="00654430" w:rsidRPr="004E13E9" w:rsidRDefault="00654430" w:rsidP="00654430">
      <w:pPr>
        <w:widowControl w:val="0"/>
        <w:jc w:val="both"/>
        <w:rPr>
          <w:rFonts w:eastAsia="MS Gothic" w:cs="Times New Roman"/>
          <w:b/>
          <w:bCs/>
          <w:i/>
          <w:iCs/>
          <w:lang w:val="fr-FR" w:eastAsia="fr-FR" w:bidi="fr-FR"/>
        </w:rPr>
      </w:pPr>
      <w:r w:rsidRPr="004E13E9">
        <w:rPr>
          <w:rFonts w:eastAsia="MS Gothic" w:cs="Times New Roman"/>
          <w:b/>
          <w:bCs/>
          <w:i/>
          <w:iCs/>
          <w:color w:val="000000"/>
          <w:lang w:val="fr-FR" w:eastAsia="fr-FR" w:bidi="fr-FR"/>
        </w:rPr>
        <w:t xml:space="preserve">1b) </w:t>
      </w:r>
      <w:r w:rsidRPr="004E13E9">
        <w:rPr>
          <w:rFonts w:eastAsia="MS Gothic" w:cs="Times New Roman"/>
          <w:b/>
          <w:bCs/>
          <w:i/>
          <w:iCs/>
          <w:lang w:val="fr-FR" w:eastAsia="fr-FR" w:bidi="fr-FR"/>
        </w:rPr>
        <w:t>Report (paragraphe 6)</w:t>
      </w:r>
    </w:p>
    <w:p w14:paraId="2EC69982" w14:textId="77777777" w:rsidR="00654430" w:rsidRPr="004E13E9" w:rsidRDefault="00654430" w:rsidP="00654430">
      <w:pPr>
        <w:widowControl w:val="0"/>
        <w:jc w:val="both"/>
        <w:rPr>
          <w:rFonts w:eastAsia="MS Gothic" w:cs="Times New Roman"/>
          <w:b/>
          <w:lang w:val="fr-FR" w:eastAsia="fr-FR" w:bidi="fr-FR"/>
        </w:rPr>
      </w:pPr>
    </w:p>
    <w:p w14:paraId="13FBDA1C" w14:textId="77777777" w:rsidR="00654430" w:rsidRPr="004E13E9" w:rsidRDefault="00654430" w:rsidP="00654430">
      <w:pPr>
        <w:widowControl w:val="0"/>
        <w:autoSpaceDE w:val="0"/>
        <w:autoSpaceDN w:val="0"/>
        <w:adjustRightInd w:val="0"/>
        <w:ind w:right="12"/>
        <w:contextualSpacing/>
        <w:jc w:val="both"/>
        <w:rPr>
          <w:rFonts w:eastAsia="MS Gothic" w:cs="Times New Roman"/>
          <w:b/>
          <w:lang w:val="fr-FR" w:eastAsia="fr-FR" w:bidi="fr-FR"/>
        </w:rPr>
      </w:pPr>
      <w:r w:rsidRPr="004E13E9">
        <w:rPr>
          <w:lang w:val="fr-FR"/>
        </w:rPr>
        <w:t>Aucun report de 2025 n'est demandé.</w:t>
      </w:r>
    </w:p>
    <w:p w14:paraId="3FEB1B65" w14:textId="77777777" w:rsidR="00654430" w:rsidRPr="004E13E9" w:rsidRDefault="00654430" w:rsidP="00654430">
      <w:pPr>
        <w:widowControl w:val="0"/>
        <w:tabs>
          <w:tab w:val="left" w:pos="426"/>
        </w:tabs>
        <w:ind w:left="720" w:hanging="720"/>
        <w:contextualSpacing/>
        <w:rPr>
          <w:b/>
          <w:i/>
          <w:lang w:val="fr-FR"/>
        </w:rPr>
      </w:pPr>
    </w:p>
    <w:p w14:paraId="3986C683" w14:textId="77777777" w:rsidR="00654430" w:rsidRPr="004E13E9" w:rsidRDefault="00654430" w:rsidP="00654430">
      <w:pPr>
        <w:widowControl w:val="0"/>
        <w:tabs>
          <w:tab w:val="left" w:pos="426"/>
        </w:tabs>
        <w:ind w:left="720" w:hanging="720"/>
        <w:contextualSpacing/>
        <w:rPr>
          <w:rFonts w:eastAsia="MS Gothic" w:cs="Times New Roman"/>
          <w:b/>
          <w:i/>
          <w:iCs/>
          <w:lang w:val="fr-FR"/>
        </w:rPr>
      </w:pPr>
      <w:r w:rsidRPr="004E13E9">
        <w:rPr>
          <w:b/>
          <w:i/>
          <w:lang w:val="fr-FR"/>
        </w:rPr>
        <w:t>1 c) Destination de la capture</w:t>
      </w:r>
    </w:p>
    <w:p w14:paraId="027A5ABF" w14:textId="77777777" w:rsidR="00654430" w:rsidRPr="004E13E9" w:rsidRDefault="00654430" w:rsidP="00654430">
      <w:pPr>
        <w:widowControl w:val="0"/>
        <w:tabs>
          <w:tab w:val="left" w:pos="426"/>
        </w:tabs>
        <w:ind w:left="720" w:hanging="720"/>
        <w:contextualSpacing/>
        <w:rPr>
          <w:b/>
          <w:i/>
          <w:strike/>
          <w:lang w:val="fr-FR"/>
        </w:rPr>
      </w:pPr>
    </w:p>
    <w:p w14:paraId="2AF80BFB" w14:textId="77777777" w:rsidR="00654430" w:rsidRPr="004E13E9" w:rsidRDefault="00654430" w:rsidP="00654430">
      <w:pPr>
        <w:widowControl w:val="0"/>
        <w:jc w:val="both"/>
        <w:rPr>
          <w:iCs/>
          <w:lang w:val="fr-FR"/>
        </w:rPr>
      </w:pPr>
      <w:r w:rsidRPr="004E13E9">
        <w:rPr>
          <w:iCs/>
          <w:lang w:val="fr-FR"/>
        </w:rPr>
        <w:t>La destination prévue pour les prises sera (à 100 %) le débarquement, car les installations d'élevage ne sont pas encore opérationnelles en Syrie.</w:t>
      </w:r>
    </w:p>
    <w:p w14:paraId="08F077AD" w14:textId="77777777" w:rsidR="00654430" w:rsidRPr="004E13E9" w:rsidRDefault="00654430" w:rsidP="00654430">
      <w:pPr>
        <w:widowControl w:val="0"/>
        <w:tabs>
          <w:tab w:val="left" w:pos="426"/>
        </w:tabs>
        <w:ind w:left="720" w:hanging="720"/>
        <w:contextualSpacing/>
        <w:rPr>
          <w:b/>
          <w:i/>
          <w:lang w:val="fr-FR"/>
        </w:rPr>
      </w:pPr>
    </w:p>
    <w:p w14:paraId="0C2BEA03" w14:textId="77777777" w:rsidR="00654430" w:rsidRPr="004E13E9" w:rsidRDefault="00654430" w:rsidP="00654430">
      <w:pPr>
        <w:rPr>
          <w:b/>
          <w:i/>
          <w:lang w:val="fr-FR"/>
        </w:rPr>
      </w:pPr>
      <w:r w:rsidRPr="004E13E9">
        <w:rPr>
          <w:b/>
          <w:i/>
          <w:lang w:val="fr-FR"/>
        </w:rPr>
        <w:br w:type="page"/>
      </w:r>
    </w:p>
    <w:p w14:paraId="0BBD377B" w14:textId="77777777" w:rsidR="00654430" w:rsidRPr="004E13E9" w:rsidRDefault="00654430" w:rsidP="00654430">
      <w:pPr>
        <w:widowControl w:val="0"/>
        <w:tabs>
          <w:tab w:val="left" w:pos="426"/>
        </w:tabs>
        <w:ind w:left="720" w:hanging="720"/>
        <w:contextualSpacing/>
        <w:rPr>
          <w:b/>
          <w:i/>
        </w:rPr>
      </w:pPr>
      <w:r w:rsidRPr="004E13E9">
        <w:rPr>
          <w:b/>
          <w:i/>
        </w:rPr>
        <w:t>1 d)</w:t>
      </w:r>
    </w:p>
    <w:tbl>
      <w:tblPr>
        <w:tblStyle w:val="TableGrid22"/>
        <w:tblW w:w="5060" w:type="pct"/>
        <w:tblInd w:w="-256" w:type="dxa"/>
        <w:tblLayout w:type="fixed"/>
        <w:tblCellMar>
          <w:top w:w="28" w:type="dxa"/>
          <w:left w:w="28" w:type="dxa"/>
          <w:bottom w:w="28" w:type="dxa"/>
          <w:right w:w="28" w:type="dxa"/>
        </w:tblCellMar>
        <w:tblLook w:val="04A0" w:firstRow="1" w:lastRow="0" w:firstColumn="1" w:lastColumn="0" w:noHBand="0" w:noVBand="1"/>
      </w:tblPr>
      <w:tblGrid>
        <w:gridCol w:w="372"/>
        <w:gridCol w:w="2289"/>
        <w:gridCol w:w="3686"/>
        <w:gridCol w:w="2268"/>
        <w:gridCol w:w="554"/>
      </w:tblGrid>
      <w:tr w:rsidR="00654430" w:rsidRPr="004E13E9" w14:paraId="0AA8AC00" w14:textId="77777777" w:rsidTr="00FF543A">
        <w:tc>
          <w:tcPr>
            <w:tcW w:w="203" w:type="pct"/>
          </w:tcPr>
          <w:p w14:paraId="75061A9C" w14:textId="77777777" w:rsidR="00654430" w:rsidRPr="004E13E9" w:rsidRDefault="00654430" w:rsidP="00E62E84">
            <w:pPr>
              <w:widowControl w:val="0"/>
              <w:rPr>
                <w:rFonts w:ascii="Cambria" w:hAnsi="Cambria"/>
                <w:sz w:val="20"/>
                <w:szCs w:val="20"/>
              </w:rPr>
            </w:pPr>
          </w:p>
        </w:tc>
        <w:tc>
          <w:tcPr>
            <w:tcW w:w="1248" w:type="pct"/>
            <w:vAlign w:val="center"/>
          </w:tcPr>
          <w:p w14:paraId="0637C3F8" w14:textId="77777777" w:rsidR="00654430" w:rsidRPr="004E13E9" w:rsidRDefault="00654430" w:rsidP="00E62E84">
            <w:pPr>
              <w:widowControl w:val="0"/>
              <w:jc w:val="center"/>
              <w:rPr>
                <w:rFonts w:ascii="Cambria" w:hAnsi="Cambria"/>
                <w:i/>
                <w:sz w:val="20"/>
                <w:szCs w:val="20"/>
              </w:rPr>
            </w:pPr>
            <w:r w:rsidRPr="004E13E9">
              <w:rPr>
                <w:rFonts w:ascii="Cambria" w:hAnsi="Cambria"/>
                <w:i/>
                <w:sz w:val="20"/>
                <w:szCs w:val="20"/>
              </w:rPr>
              <w:t>Exigence de l’ICCAT</w:t>
            </w:r>
          </w:p>
          <w:p w14:paraId="2465A6C9" w14:textId="77777777" w:rsidR="00654430" w:rsidRPr="004E13E9" w:rsidRDefault="00654430" w:rsidP="00E62E84">
            <w:pPr>
              <w:widowControl w:val="0"/>
              <w:jc w:val="center"/>
              <w:rPr>
                <w:rFonts w:ascii="Cambria" w:hAnsi="Cambria"/>
                <w:i/>
                <w:sz w:val="20"/>
                <w:szCs w:val="20"/>
              </w:rPr>
            </w:pPr>
            <w:r w:rsidRPr="004E13E9">
              <w:rPr>
                <w:rFonts w:ascii="Cambria" w:hAnsi="Cambria"/>
                <w:i/>
                <w:color w:val="auto"/>
                <w:sz w:val="20"/>
                <w:szCs w:val="20"/>
              </w:rPr>
              <w:t xml:space="preserve">(en vertu de la </w:t>
            </w:r>
            <w:hyperlink r:id="rId177" w:history="1">
              <w:r w:rsidRPr="004E13E9">
                <w:rPr>
                  <w:rFonts w:ascii="Cambria" w:hAnsi="Cambria"/>
                  <w:i/>
                  <w:color w:val="0563C1"/>
                  <w:sz w:val="20"/>
                  <w:szCs w:val="20"/>
                </w:rPr>
                <w:t>Rec. 25-04</w:t>
              </w:r>
            </w:hyperlink>
            <w:r w:rsidRPr="004E13E9">
              <w:rPr>
                <w:rFonts w:ascii="Cambria" w:hAnsi="Cambria"/>
                <w:i/>
                <w:color w:val="auto"/>
                <w:sz w:val="20"/>
                <w:szCs w:val="20"/>
              </w:rPr>
              <w:t>)</w:t>
            </w:r>
          </w:p>
        </w:tc>
        <w:tc>
          <w:tcPr>
            <w:tcW w:w="2010" w:type="pct"/>
            <w:vAlign w:val="center"/>
          </w:tcPr>
          <w:p w14:paraId="6ABC2E81" w14:textId="77777777" w:rsidR="00654430" w:rsidRPr="004E13E9" w:rsidRDefault="00654430" w:rsidP="00E62E84">
            <w:pPr>
              <w:widowControl w:val="0"/>
              <w:contextualSpacing/>
              <w:jc w:val="center"/>
              <w:rPr>
                <w:rFonts w:ascii="Cambria" w:hAnsi="Cambria"/>
                <w:i/>
                <w:sz w:val="20"/>
                <w:szCs w:val="20"/>
              </w:rPr>
            </w:pPr>
            <w:r w:rsidRPr="004E13E9">
              <w:rPr>
                <w:rFonts w:ascii="Cambria" w:hAnsi="Cambria"/>
                <w:i/>
                <w:color w:val="auto"/>
                <w:sz w:val="20"/>
                <w:szCs w:val="20"/>
              </w:rPr>
              <w:t>Explication des actions prises par la CPC à des fins de mise en œuvre</w:t>
            </w:r>
          </w:p>
        </w:tc>
        <w:tc>
          <w:tcPr>
            <w:tcW w:w="1237" w:type="pct"/>
            <w:vAlign w:val="center"/>
          </w:tcPr>
          <w:p w14:paraId="505101A0" w14:textId="77777777" w:rsidR="00654430" w:rsidRPr="004E13E9" w:rsidRDefault="00654430" w:rsidP="00E62E84">
            <w:pPr>
              <w:widowControl w:val="0"/>
              <w:ind w:left="117" w:right="114"/>
              <w:jc w:val="center"/>
              <w:rPr>
                <w:rFonts w:ascii="Cambria" w:hAnsi="Cambria"/>
                <w:i/>
                <w:sz w:val="20"/>
                <w:szCs w:val="20"/>
              </w:rPr>
            </w:pPr>
            <w:r w:rsidRPr="004E13E9">
              <w:rPr>
                <w:rFonts w:ascii="Cambria" w:hAnsi="Cambria"/>
                <w:i/>
                <w:color w:val="auto"/>
                <w:sz w:val="20"/>
                <w:szCs w:val="20"/>
              </w:rPr>
              <w:t>Lois ou réglementations nationales pertinentes (le cas échéant)</w:t>
            </w:r>
          </w:p>
        </w:tc>
        <w:tc>
          <w:tcPr>
            <w:tcW w:w="302" w:type="pct"/>
          </w:tcPr>
          <w:p w14:paraId="4EB82D24" w14:textId="77777777" w:rsidR="00654430" w:rsidRPr="004E13E9" w:rsidRDefault="00654430" w:rsidP="00E62E84">
            <w:pPr>
              <w:widowControl w:val="0"/>
              <w:jc w:val="center"/>
              <w:rPr>
                <w:rFonts w:ascii="Cambria" w:hAnsi="Cambria"/>
                <w:i/>
                <w:sz w:val="20"/>
                <w:szCs w:val="20"/>
              </w:rPr>
            </w:pPr>
            <w:r w:rsidRPr="004E13E9">
              <w:rPr>
                <w:rFonts w:ascii="Cambria" w:hAnsi="Cambria"/>
                <w:i/>
                <w:sz w:val="20"/>
              </w:rPr>
              <w:t>Note</w:t>
            </w:r>
          </w:p>
        </w:tc>
      </w:tr>
      <w:tr w:rsidR="00654430" w:rsidRPr="006A2397" w14:paraId="3C8BD776" w14:textId="77777777" w:rsidTr="00FF543A">
        <w:trPr>
          <w:trHeight w:val="2934"/>
        </w:trPr>
        <w:tc>
          <w:tcPr>
            <w:tcW w:w="203" w:type="pct"/>
          </w:tcPr>
          <w:p w14:paraId="03DB4163" w14:textId="77777777" w:rsidR="00654430" w:rsidRPr="004E13E9" w:rsidRDefault="00654430" w:rsidP="00E62E84">
            <w:pPr>
              <w:widowControl w:val="0"/>
              <w:rPr>
                <w:rFonts w:ascii="Cambria" w:hAnsi="Cambria"/>
                <w:b/>
                <w:sz w:val="20"/>
                <w:szCs w:val="20"/>
              </w:rPr>
            </w:pPr>
            <w:r w:rsidRPr="004E13E9">
              <w:rPr>
                <w:rFonts w:ascii="Cambria" w:hAnsi="Cambria"/>
                <w:b/>
                <w:sz w:val="20"/>
              </w:rPr>
              <w:t>1.</w:t>
            </w:r>
          </w:p>
        </w:tc>
        <w:tc>
          <w:tcPr>
            <w:tcW w:w="1248" w:type="pct"/>
          </w:tcPr>
          <w:p w14:paraId="0D682E16" w14:textId="77777777" w:rsidR="00654430" w:rsidRPr="004E13E9" w:rsidRDefault="00654430" w:rsidP="00E62E84">
            <w:pPr>
              <w:widowControl w:val="0"/>
              <w:rPr>
                <w:rFonts w:ascii="Cambria" w:hAnsi="Cambria"/>
                <w:b/>
                <w:sz w:val="20"/>
                <w:szCs w:val="20"/>
              </w:rPr>
            </w:pPr>
            <w:r w:rsidRPr="004E13E9">
              <w:rPr>
                <w:rFonts w:ascii="Cambria" w:hAnsi="Cambria"/>
                <w:b/>
                <w:color w:val="auto"/>
                <w:sz w:val="20"/>
                <w:szCs w:val="20"/>
              </w:rPr>
              <w:t>Enregistrement et déclaration de la capture (paragraphes 74-88)</w:t>
            </w:r>
          </w:p>
        </w:tc>
        <w:tc>
          <w:tcPr>
            <w:tcW w:w="2010" w:type="pct"/>
          </w:tcPr>
          <w:p w14:paraId="70BCC187" w14:textId="77777777" w:rsidR="00654430" w:rsidRPr="004E13E9" w:rsidRDefault="00654430" w:rsidP="00E62E84">
            <w:pPr>
              <w:ind w:left="117" w:right="114"/>
              <w:jc w:val="both"/>
              <w:rPr>
                <w:rFonts w:ascii="Cambria" w:hAnsi="Cambria"/>
                <w:sz w:val="20"/>
                <w:szCs w:val="20"/>
              </w:rPr>
            </w:pPr>
            <w:r w:rsidRPr="004E13E9">
              <w:rPr>
                <w:rFonts w:ascii="Cambria" w:hAnsi="Cambria"/>
                <w:sz w:val="20"/>
              </w:rPr>
              <w:t>Le capitaine du navire de pêche doit tenir un carnet de pêche détaillé et relié de toutes les activités de pêche, conformément aux directives de l’ICCAT. L'opérateur de pêche est tenu de déclarer quotidiennement ses captures de thon rouge (BFT), y compris les jours sans capture, à l'aide de méthodes électroniques ou autres. La Syrie fournira à l’ICCAT des rapports de captures toutes les deux semaines, ainsi que la date de fermeture des pêcheries. Tout poisson mort, qu'il soit conservé ou rejeté, sera déduit du quota.</w:t>
            </w:r>
          </w:p>
        </w:tc>
        <w:tc>
          <w:tcPr>
            <w:tcW w:w="1237" w:type="pct"/>
          </w:tcPr>
          <w:p w14:paraId="14595972" w14:textId="77777777" w:rsidR="00654430" w:rsidRPr="004E13E9" w:rsidRDefault="00654430" w:rsidP="00E62E84">
            <w:pPr>
              <w:ind w:left="117" w:right="114"/>
              <w:jc w:val="both"/>
              <w:rPr>
                <w:rFonts w:ascii="Cambria" w:hAnsi="Cambria"/>
                <w:sz w:val="20"/>
                <w:szCs w:val="20"/>
              </w:rPr>
            </w:pPr>
            <w:r w:rsidRPr="004E13E9">
              <w:rPr>
                <w:rFonts w:ascii="Cambria" w:hAnsi="Cambria"/>
                <w:sz w:val="20"/>
              </w:rPr>
              <w:t xml:space="preserve">Conditions générales de la Commission générale des pêches et de l'aquaculture pour la pêche au thon rouge </w:t>
            </w:r>
            <w:r w:rsidRPr="004E13E9">
              <w:rPr>
                <w:rFonts w:ascii="Cambria" w:hAnsi="Cambria"/>
                <w:color w:val="auto"/>
                <w:sz w:val="20"/>
              </w:rPr>
              <w:t xml:space="preserve">(Nº1827 du 19/3/2023) </w:t>
            </w:r>
          </w:p>
        </w:tc>
        <w:tc>
          <w:tcPr>
            <w:tcW w:w="302" w:type="pct"/>
          </w:tcPr>
          <w:p w14:paraId="42C93890" w14:textId="77777777" w:rsidR="00654430" w:rsidRPr="004E13E9" w:rsidRDefault="00654430" w:rsidP="00E62E84">
            <w:pPr>
              <w:widowControl w:val="0"/>
              <w:rPr>
                <w:rFonts w:ascii="Cambria" w:hAnsi="Cambria"/>
                <w:sz w:val="20"/>
                <w:szCs w:val="20"/>
              </w:rPr>
            </w:pPr>
          </w:p>
        </w:tc>
      </w:tr>
      <w:tr w:rsidR="00654430" w:rsidRPr="006A2397" w14:paraId="3C7575BC" w14:textId="77777777" w:rsidTr="00FF543A">
        <w:trPr>
          <w:trHeight w:val="1219"/>
        </w:trPr>
        <w:tc>
          <w:tcPr>
            <w:tcW w:w="203" w:type="pct"/>
          </w:tcPr>
          <w:p w14:paraId="5BD599F7" w14:textId="77777777" w:rsidR="00654430" w:rsidRPr="004E13E9" w:rsidRDefault="00654430" w:rsidP="00E62E84">
            <w:pPr>
              <w:widowControl w:val="0"/>
              <w:rPr>
                <w:rFonts w:ascii="Cambria" w:hAnsi="Cambria"/>
                <w:b/>
                <w:sz w:val="20"/>
                <w:szCs w:val="20"/>
              </w:rPr>
            </w:pPr>
            <w:r w:rsidRPr="004E13E9">
              <w:rPr>
                <w:rFonts w:ascii="Cambria" w:hAnsi="Cambria"/>
                <w:b/>
                <w:sz w:val="20"/>
              </w:rPr>
              <w:t>2</w:t>
            </w:r>
            <w:r w:rsidRPr="004E13E9">
              <w:rPr>
                <w:rFonts w:ascii="Cambria" w:hAnsi="Cambria"/>
                <w:b/>
                <w:bCs/>
                <w:sz w:val="20"/>
              </w:rPr>
              <w:t>.</w:t>
            </w:r>
          </w:p>
        </w:tc>
        <w:tc>
          <w:tcPr>
            <w:tcW w:w="1248" w:type="pct"/>
          </w:tcPr>
          <w:p w14:paraId="2C80793D" w14:textId="77777777" w:rsidR="00654430" w:rsidRPr="004E13E9" w:rsidRDefault="00654430" w:rsidP="00E62E84">
            <w:pPr>
              <w:widowControl w:val="0"/>
              <w:rPr>
                <w:rFonts w:ascii="Cambria" w:hAnsi="Cambria"/>
                <w:b/>
                <w:sz w:val="20"/>
                <w:szCs w:val="20"/>
              </w:rPr>
            </w:pPr>
            <w:r w:rsidRPr="004E13E9">
              <w:rPr>
                <w:rFonts w:ascii="Cambria" w:hAnsi="Cambria"/>
                <w:b/>
                <w:color w:val="auto"/>
                <w:sz w:val="20"/>
                <w:szCs w:val="20"/>
              </w:rPr>
              <w:t>Périodes d’ouverture de la pêche (paragraphes 28-32)</w:t>
            </w:r>
          </w:p>
        </w:tc>
        <w:tc>
          <w:tcPr>
            <w:tcW w:w="2010" w:type="pct"/>
            <w:vAlign w:val="center"/>
          </w:tcPr>
          <w:p w14:paraId="57B7F133" w14:textId="77777777" w:rsidR="00654430" w:rsidRPr="004E13E9" w:rsidRDefault="00654430" w:rsidP="00E62E84">
            <w:pPr>
              <w:ind w:left="117" w:right="114"/>
              <w:jc w:val="both"/>
              <w:rPr>
                <w:rFonts w:ascii="Cambria" w:hAnsi="Cambria"/>
                <w:sz w:val="20"/>
                <w:szCs w:val="20"/>
              </w:rPr>
            </w:pPr>
            <w:r w:rsidRPr="004E13E9">
              <w:rPr>
                <w:rFonts w:ascii="Cambria" w:hAnsi="Cambria"/>
                <w:iCs/>
                <w:color w:val="auto"/>
                <w:sz w:val="20"/>
                <w:szCs w:val="20"/>
              </w:rPr>
              <w:t xml:space="preserve">Conformément au paragraphe 28 de la </w:t>
            </w:r>
            <w:hyperlink r:id="rId178" w:history="1">
              <w:r w:rsidRPr="004E13E9">
                <w:rPr>
                  <w:rStyle w:val="Hyperlink"/>
                  <w:rFonts w:ascii="Cambria" w:hAnsi="Cambria"/>
                  <w:iCs/>
                  <w:sz w:val="20"/>
                  <w:szCs w:val="20"/>
                  <w:u w:val="none"/>
                </w:rPr>
                <w:t>Rec. 25-04</w:t>
              </w:r>
            </w:hyperlink>
            <w:r w:rsidRPr="004E13E9">
              <w:rPr>
                <w:rFonts w:ascii="Cambria" w:hAnsi="Cambria"/>
                <w:iCs/>
                <w:color w:val="auto"/>
                <w:sz w:val="20"/>
                <w:szCs w:val="20"/>
              </w:rPr>
              <w:t>, la Syrie demande que la saison de pêche pour les senneurs s’étende du 15 mai au 1er juillet 2026.</w:t>
            </w:r>
          </w:p>
        </w:tc>
        <w:tc>
          <w:tcPr>
            <w:tcW w:w="1237" w:type="pct"/>
          </w:tcPr>
          <w:p w14:paraId="46AD1BC7" w14:textId="77777777" w:rsidR="00654430" w:rsidRPr="004E13E9" w:rsidRDefault="00654430" w:rsidP="00E62E84">
            <w:pPr>
              <w:widowControl w:val="0"/>
              <w:ind w:left="117" w:right="114"/>
              <w:jc w:val="both"/>
              <w:rPr>
                <w:rFonts w:ascii="Cambria" w:hAnsi="Cambria"/>
                <w:sz w:val="20"/>
                <w:szCs w:val="20"/>
              </w:rPr>
            </w:pPr>
            <w:r w:rsidRPr="004E13E9">
              <w:rPr>
                <w:rFonts w:ascii="Cambria" w:hAnsi="Cambria"/>
                <w:color w:val="auto"/>
                <w:sz w:val="20"/>
              </w:rPr>
              <w:t>Les activités de pêche seront menées conformément à la réglementation nationale syrienne en matière de pêche et aux procédures d'octroi de licences établies par la Commission générale de la pêche et de l'aquaculture.</w:t>
            </w:r>
          </w:p>
        </w:tc>
        <w:tc>
          <w:tcPr>
            <w:tcW w:w="302" w:type="pct"/>
          </w:tcPr>
          <w:p w14:paraId="7A0F6A7F" w14:textId="77777777" w:rsidR="00654430" w:rsidRPr="004E13E9" w:rsidRDefault="00654430" w:rsidP="00E62E84">
            <w:pPr>
              <w:widowControl w:val="0"/>
              <w:rPr>
                <w:rFonts w:ascii="Cambria" w:hAnsi="Cambria"/>
                <w:sz w:val="20"/>
                <w:szCs w:val="20"/>
              </w:rPr>
            </w:pPr>
          </w:p>
        </w:tc>
      </w:tr>
      <w:tr w:rsidR="00654430" w:rsidRPr="006A2397" w14:paraId="2ED3DE8C" w14:textId="77777777" w:rsidTr="00FF543A">
        <w:trPr>
          <w:trHeight w:val="1022"/>
        </w:trPr>
        <w:tc>
          <w:tcPr>
            <w:tcW w:w="203" w:type="pct"/>
          </w:tcPr>
          <w:p w14:paraId="013280D9" w14:textId="77777777" w:rsidR="00654430" w:rsidRPr="004E13E9" w:rsidRDefault="00654430" w:rsidP="00E62E84">
            <w:pPr>
              <w:widowControl w:val="0"/>
              <w:rPr>
                <w:rFonts w:ascii="Cambria" w:hAnsi="Cambria"/>
                <w:b/>
                <w:sz w:val="20"/>
                <w:szCs w:val="20"/>
              </w:rPr>
            </w:pPr>
            <w:r w:rsidRPr="004E13E9">
              <w:rPr>
                <w:rFonts w:ascii="Cambria" w:hAnsi="Cambria"/>
                <w:b/>
                <w:sz w:val="20"/>
              </w:rPr>
              <w:t>3</w:t>
            </w:r>
            <w:r w:rsidRPr="004E13E9">
              <w:rPr>
                <w:rFonts w:ascii="Cambria" w:hAnsi="Cambria"/>
                <w:b/>
                <w:bCs/>
                <w:sz w:val="20"/>
              </w:rPr>
              <w:t>.</w:t>
            </w:r>
          </w:p>
        </w:tc>
        <w:tc>
          <w:tcPr>
            <w:tcW w:w="1248" w:type="pct"/>
          </w:tcPr>
          <w:p w14:paraId="0985A641" w14:textId="77777777" w:rsidR="00654430" w:rsidRPr="004E13E9" w:rsidRDefault="00654430" w:rsidP="00E62E84">
            <w:pPr>
              <w:widowControl w:val="0"/>
              <w:rPr>
                <w:rFonts w:ascii="Cambria" w:hAnsi="Cambria"/>
                <w:b/>
                <w:sz w:val="20"/>
                <w:szCs w:val="20"/>
              </w:rPr>
            </w:pPr>
            <w:r w:rsidRPr="004E13E9">
              <w:rPr>
                <w:rFonts w:ascii="Cambria" w:hAnsi="Cambria"/>
                <w:b/>
                <w:bCs/>
                <w:color w:val="auto"/>
                <w:sz w:val="20"/>
                <w:szCs w:val="20"/>
              </w:rPr>
              <w:t>Taille minimale (</w:t>
            </w:r>
            <w:r w:rsidRPr="004E13E9">
              <w:rPr>
                <w:rFonts w:ascii="Cambria" w:hAnsi="Cambria"/>
                <w:b/>
                <w:color w:val="auto"/>
                <w:sz w:val="20"/>
                <w:szCs w:val="20"/>
              </w:rPr>
              <w:t xml:space="preserve">paragraphes </w:t>
            </w:r>
            <w:r w:rsidRPr="004E13E9">
              <w:rPr>
                <w:rFonts w:ascii="Cambria" w:hAnsi="Cambria"/>
                <w:b/>
                <w:bCs/>
                <w:color w:val="auto"/>
                <w:sz w:val="20"/>
                <w:szCs w:val="20"/>
              </w:rPr>
              <w:t>33-35)</w:t>
            </w:r>
          </w:p>
        </w:tc>
        <w:tc>
          <w:tcPr>
            <w:tcW w:w="2010" w:type="pct"/>
          </w:tcPr>
          <w:p w14:paraId="6747BF8A" w14:textId="77777777" w:rsidR="00654430" w:rsidRPr="004E13E9" w:rsidRDefault="00654430" w:rsidP="00E62E84">
            <w:pPr>
              <w:ind w:left="117" w:right="114"/>
              <w:jc w:val="both"/>
              <w:rPr>
                <w:rFonts w:ascii="Cambria" w:hAnsi="Cambria"/>
                <w:sz w:val="20"/>
                <w:szCs w:val="20"/>
              </w:rPr>
            </w:pPr>
            <w:r w:rsidRPr="004E13E9">
              <w:rPr>
                <w:rFonts w:ascii="Cambria" w:hAnsi="Cambria"/>
                <w:color w:val="auto"/>
                <w:sz w:val="20"/>
                <w:szCs w:val="20"/>
              </w:rPr>
              <w:t xml:space="preserve">Il est interdit de capturer, de conserver, de débarquer, de transférer, de vendre ou </w:t>
            </w:r>
            <w:r w:rsidRPr="004E13E9">
              <w:rPr>
                <w:rFonts w:ascii="Cambria" w:hAnsi="Cambria"/>
                <w:sz w:val="20"/>
              </w:rPr>
              <w:t>d'exposer</w:t>
            </w:r>
            <w:r w:rsidRPr="004E13E9">
              <w:rPr>
                <w:rFonts w:ascii="Cambria" w:hAnsi="Cambria"/>
                <w:color w:val="auto"/>
                <w:sz w:val="20"/>
                <w:szCs w:val="20"/>
              </w:rPr>
              <w:t xml:space="preserve"> à la vente </w:t>
            </w:r>
            <w:r w:rsidRPr="004E13E9">
              <w:rPr>
                <w:rFonts w:ascii="Cambria" w:hAnsi="Cambria"/>
                <w:sz w:val="20"/>
                <w:szCs w:val="20"/>
              </w:rPr>
              <w:t>tout</w:t>
            </w:r>
            <w:r w:rsidRPr="004E13E9">
              <w:rPr>
                <w:rFonts w:ascii="Cambria" w:hAnsi="Cambria"/>
                <w:color w:val="auto"/>
                <w:sz w:val="20"/>
                <w:szCs w:val="20"/>
              </w:rPr>
              <w:t xml:space="preserve"> thon rouge (BFT) pesant moins de 30 kg ou dont la longueur à la fourche est inférieure à 115 cm. Tout poisson sous-taille rejeté mort sera déduit du quota de la Syrie.</w:t>
            </w:r>
          </w:p>
        </w:tc>
        <w:tc>
          <w:tcPr>
            <w:tcW w:w="1237" w:type="pct"/>
          </w:tcPr>
          <w:p w14:paraId="468BF1C1" w14:textId="77777777" w:rsidR="00654430" w:rsidRPr="004E13E9" w:rsidRDefault="00654430" w:rsidP="00E62E84">
            <w:pPr>
              <w:ind w:left="117" w:right="114"/>
              <w:jc w:val="both"/>
              <w:rPr>
                <w:rFonts w:ascii="Cambria" w:hAnsi="Cambria"/>
                <w:sz w:val="20"/>
                <w:szCs w:val="20"/>
              </w:rPr>
            </w:pPr>
            <w:r w:rsidRPr="004E13E9">
              <w:rPr>
                <w:rFonts w:ascii="Cambria" w:hAnsi="Cambria"/>
                <w:sz w:val="20"/>
              </w:rPr>
              <w:t xml:space="preserve">Conditions générales de la Commission générale des pêches et de l'aquaculture pour la pêche au thon rouge </w:t>
            </w:r>
            <w:r w:rsidRPr="004E13E9">
              <w:rPr>
                <w:rFonts w:ascii="Cambria" w:hAnsi="Cambria"/>
                <w:color w:val="auto"/>
                <w:sz w:val="20"/>
              </w:rPr>
              <w:t xml:space="preserve">(Nº1827 du 19/3/2023) </w:t>
            </w:r>
          </w:p>
        </w:tc>
        <w:tc>
          <w:tcPr>
            <w:tcW w:w="302" w:type="pct"/>
          </w:tcPr>
          <w:p w14:paraId="01C64864" w14:textId="77777777" w:rsidR="00654430" w:rsidRPr="004E13E9" w:rsidRDefault="00654430" w:rsidP="00E62E84">
            <w:pPr>
              <w:widowControl w:val="0"/>
              <w:rPr>
                <w:rFonts w:ascii="Cambria" w:hAnsi="Cambria"/>
                <w:sz w:val="20"/>
                <w:szCs w:val="20"/>
              </w:rPr>
            </w:pPr>
          </w:p>
        </w:tc>
      </w:tr>
      <w:tr w:rsidR="00654430" w:rsidRPr="006A2397" w14:paraId="5C0E4F8B" w14:textId="77777777" w:rsidTr="00FF543A">
        <w:tc>
          <w:tcPr>
            <w:tcW w:w="203" w:type="pct"/>
          </w:tcPr>
          <w:p w14:paraId="110D7FE0" w14:textId="77777777" w:rsidR="00654430" w:rsidRPr="004E13E9" w:rsidRDefault="00654430" w:rsidP="00E62E84">
            <w:pPr>
              <w:widowControl w:val="0"/>
              <w:rPr>
                <w:rFonts w:ascii="Cambria" w:hAnsi="Cambria"/>
                <w:b/>
                <w:sz w:val="20"/>
                <w:szCs w:val="20"/>
              </w:rPr>
            </w:pPr>
            <w:r w:rsidRPr="004E13E9">
              <w:rPr>
                <w:rFonts w:ascii="Cambria" w:hAnsi="Cambria"/>
                <w:b/>
                <w:sz w:val="20"/>
              </w:rPr>
              <w:t>4</w:t>
            </w:r>
            <w:r w:rsidRPr="004E13E9">
              <w:rPr>
                <w:rFonts w:ascii="Cambria" w:hAnsi="Cambria"/>
                <w:b/>
                <w:bCs/>
                <w:sz w:val="20"/>
              </w:rPr>
              <w:t>.</w:t>
            </w:r>
          </w:p>
        </w:tc>
        <w:tc>
          <w:tcPr>
            <w:tcW w:w="1248" w:type="pct"/>
          </w:tcPr>
          <w:p w14:paraId="4DEF64C7" w14:textId="77777777" w:rsidR="00654430" w:rsidRPr="004E13E9" w:rsidRDefault="00654430" w:rsidP="00E62E84">
            <w:pPr>
              <w:widowControl w:val="0"/>
              <w:rPr>
                <w:rFonts w:ascii="Cambria" w:hAnsi="Cambria"/>
                <w:b/>
                <w:sz w:val="20"/>
                <w:szCs w:val="20"/>
              </w:rPr>
            </w:pPr>
            <w:r w:rsidRPr="004E13E9">
              <w:rPr>
                <w:rFonts w:ascii="Cambria" w:hAnsi="Cambria"/>
                <w:b/>
                <w:color w:val="auto"/>
                <w:sz w:val="20"/>
                <w:szCs w:val="20"/>
              </w:rPr>
              <w:t>Prises accessoires (paragraphe 37)</w:t>
            </w:r>
          </w:p>
        </w:tc>
        <w:tc>
          <w:tcPr>
            <w:tcW w:w="2010" w:type="pct"/>
          </w:tcPr>
          <w:p w14:paraId="73FA0D2B" w14:textId="77777777" w:rsidR="00654430" w:rsidRPr="004E13E9" w:rsidRDefault="00654430" w:rsidP="00E62E84">
            <w:pPr>
              <w:ind w:left="117" w:right="114"/>
              <w:jc w:val="both"/>
              <w:rPr>
                <w:rFonts w:ascii="Cambria" w:hAnsi="Cambria"/>
                <w:sz w:val="20"/>
                <w:szCs w:val="20"/>
              </w:rPr>
            </w:pPr>
            <w:r w:rsidRPr="004E13E9">
              <w:rPr>
                <w:rFonts w:ascii="Cambria" w:hAnsi="Cambria" w:cstheme="majorBidi"/>
                <w:sz w:val="20"/>
                <w:szCs w:val="20"/>
              </w:rPr>
              <w:t xml:space="preserve">Un quota d'une tonne est réservé aux prises accessoires potentielles. Aucune prise accessoire de thon rouge n'a été enregistrée </w:t>
            </w:r>
            <w:r w:rsidRPr="004E13E9">
              <w:rPr>
                <w:rFonts w:ascii="Cambria" w:hAnsi="Cambria"/>
                <w:sz w:val="20"/>
                <w:szCs w:val="20"/>
              </w:rPr>
              <w:t>auparavant</w:t>
            </w:r>
            <w:r w:rsidRPr="004E13E9">
              <w:rPr>
                <w:rFonts w:ascii="Cambria" w:hAnsi="Cambria" w:cstheme="majorBidi"/>
                <w:sz w:val="20"/>
                <w:szCs w:val="20"/>
              </w:rPr>
              <w:t>, y compris en 2025. Sur cette base, une allocation pour les prises accessoires d'environ 1 % est réservée. Les prises accessoires de la flottille côtière artisanale devraient être calculées chaque année. Toutes les prises accessoires, y compris les rejets, doivent être décomptées du quota. Toutes les prises accessoires doivent également être déclarées à l’ICCAT.</w:t>
            </w:r>
          </w:p>
        </w:tc>
        <w:tc>
          <w:tcPr>
            <w:tcW w:w="1237" w:type="pct"/>
          </w:tcPr>
          <w:p w14:paraId="5AD81385" w14:textId="77777777" w:rsidR="00654430" w:rsidRPr="004E13E9" w:rsidRDefault="00654430" w:rsidP="00E62E84">
            <w:pPr>
              <w:widowControl w:val="0"/>
              <w:ind w:left="117" w:right="114"/>
              <w:jc w:val="both"/>
              <w:rPr>
                <w:rFonts w:ascii="Cambria" w:hAnsi="Cambria"/>
                <w:sz w:val="20"/>
                <w:szCs w:val="20"/>
              </w:rPr>
            </w:pPr>
            <w:r w:rsidRPr="004E13E9">
              <w:rPr>
                <w:rFonts w:ascii="Cambria" w:hAnsi="Cambria"/>
                <w:sz w:val="20"/>
              </w:rPr>
              <w:t xml:space="preserve">Conditions générales de la Commission générale des pêches et de l'aquaculture pour la pêche au thon rouge </w:t>
            </w:r>
            <w:r w:rsidRPr="004E13E9">
              <w:rPr>
                <w:rFonts w:ascii="Cambria" w:hAnsi="Cambria"/>
                <w:color w:val="auto"/>
                <w:sz w:val="20"/>
              </w:rPr>
              <w:t xml:space="preserve">(Nº1827 du 19/3/2023) </w:t>
            </w:r>
          </w:p>
        </w:tc>
        <w:tc>
          <w:tcPr>
            <w:tcW w:w="302" w:type="pct"/>
          </w:tcPr>
          <w:p w14:paraId="2E71BA8C" w14:textId="77777777" w:rsidR="00654430" w:rsidRPr="004E13E9" w:rsidRDefault="00654430" w:rsidP="00E62E84">
            <w:pPr>
              <w:widowControl w:val="0"/>
              <w:rPr>
                <w:rFonts w:ascii="Cambria" w:hAnsi="Cambria"/>
                <w:sz w:val="20"/>
                <w:szCs w:val="20"/>
              </w:rPr>
            </w:pPr>
          </w:p>
        </w:tc>
      </w:tr>
      <w:tr w:rsidR="00654430" w:rsidRPr="006A2397" w14:paraId="4BA54FBD" w14:textId="77777777" w:rsidTr="00FF543A">
        <w:tc>
          <w:tcPr>
            <w:tcW w:w="203" w:type="pct"/>
          </w:tcPr>
          <w:p w14:paraId="2C0E7AAA" w14:textId="77777777" w:rsidR="00654430" w:rsidRPr="004E13E9" w:rsidRDefault="00654430" w:rsidP="00E62E84">
            <w:pPr>
              <w:widowControl w:val="0"/>
              <w:rPr>
                <w:rFonts w:ascii="Cambria" w:hAnsi="Cambria"/>
                <w:b/>
                <w:sz w:val="20"/>
                <w:szCs w:val="20"/>
              </w:rPr>
            </w:pPr>
            <w:r w:rsidRPr="004E13E9">
              <w:rPr>
                <w:rFonts w:ascii="Cambria" w:hAnsi="Cambria"/>
                <w:b/>
                <w:sz w:val="20"/>
              </w:rPr>
              <w:t>5</w:t>
            </w:r>
            <w:r w:rsidRPr="004E13E9">
              <w:rPr>
                <w:rFonts w:ascii="Cambria" w:hAnsi="Cambria"/>
                <w:b/>
                <w:bCs/>
                <w:sz w:val="20"/>
              </w:rPr>
              <w:t>.</w:t>
            </w:r>
          </w:p>
        </w:tc>
        <w:tc>
          <w:tcPr>
            <w:tcW w:w="1248" w:type="pct"/>
          </w:tcPr>
          <w:p w14:paraId="42848634" w14:textId="77777777" w:rsidR="00654430" w:rsidRPr="004E13E9" w:rsidRDefault="00654430" w:rsidP="00E62E84">
            <w:pPr>
              <w:widowControl w:val="0"/>
              <w:rPr>
                <w:rFonts w:ascii="Cambria" w:hAnsi="Cambria"/>
                <w:b/>
                <w:sz w:val="20"/>
                <w:szCs w:val="20"/>
              </w:rPr>
            </w:pPr>
            <w:r w:rsidRPr="004E13E9">
              <w:rPr>
                <w:rFonts w:ascii="Cambria" w:hAnsi="Cambria"/>
                <w:b/>
                <w:bCs/>
                <w:color w:val="auto"/>
                <w:sz w:val="20"/>
                <w:szCs w:val="20"/>
              </w:rPr>
              <w:t>Pêcheries récréatives et sportives (paragraphes 38-46)</w:t>
            </w:r>
          </w:p>
        </w:tc>
        <w:tc>
          <w:tcPr>
            <w:tcW w:w="2010" w:type="pct"/>
          </w:tcPr>
          <w:p w14:paraId="711D4670" w14:textId="77777777" w:rsidR="00654430" w:rsidRPr="004E13E9" w:rsidRDefault="00654430" w:rsidP="00E62E84">
            <w:pPr>
              <w:ind w:left="117" w:right="114"/>
              <w:jc w:val="both"/>
              <w:rPr>
                <w:rFonts w:ascii="Cambria" w:hAnsi="Cambria"/>
                <w:sz w:val="20"/>
                <w:szCs w:val="20"/>
              </w:rPr>
            </w:pPr>
            <w:r w:rsidRPr="004E13E9">
              <w:rPr>
                <w:rFonts w:ascii="Cambria" w:hAnsi="Cambria" w:cstheme="majorBidi"/>
                <w:sz w:val="20"/>
                <w:szCs w:val="20"/>
              </w:rPr>
              <w:t>Aucune activité de pêche récréative ou sportive ciblant le thon rouge n'est autorisée en Syrie.</w:t>
            </w:r>
          </w:p>
        </w:tc>
        <w:tc>
          <w:tcPr>
            <w:tcW w:w="1237" w:type="pct"/>
          </w:tcPr>
          <w:p w14:paraId="0B2436D2" w14:textId="77777777" w:rsidR="00654430" w:rsidRPr="004E13E9" w:rsidRDefault="00654430" w:rsidP="00E62E84">
            <w:pPr>
              <w:ind w:left="117" w:right="114"/>
              <w:jc w:val="both"/>
              <w:rPr>
                <w:rFonts w:ascii="Cambria" w:hAnsi="Cambria"/>
                <w:sz w:val="20"/>
                <w:szCs w:val="20"/>
              </w:rPr>
            </w:pPr>
            <w:r w:rsidRPr="004E13E9">
              <w:rPr>
                <w:rFonts w:ascii="Cambria" w:hAnsi="Cambria"/>
                <w:sz w:val="20"/>
              </w:rPr>
              <w:t>La pêche récréative et sportive du thon rouge de l'Atlantique est interdite en vertu de la réglementation nationale syrienne en matière de pêche.</w:t>
            </w:r>
          </w:p>
        </w:tc>
        <w:tc>
          <w:tcPr>
            <w:tcW w:w="302" w:type="pct"/>
          </w:tcPr>
          <w:p w14:paraId="0757BAC8" w14:textId="77777777" w:rsidR="00654430" w:rsidRPr="004E13E9" w:rsidRDefault="00654430" w:rsidP="00E62E84">
            <w:pPr>
              <w:widowControl w:val="0"/>
              <w:rPr>
                <w:rFonts w:ascii="Cambria" w:hAnsi="Cambria"/>
                <w:sz w:val="20"/>
                <w:szCs w:val="20"/>
              </w:rPr>
            </w:pPr>
          </w:p>
        </w:tc>
      </w:tr>
      <w:tr w:rsidR="00654430" w:rsidRPr="006A2397" w14:paraId="7A609111" w14:textId="77777777" w:rsidTr="00FF543A">
        <w:tc>
          <w:tcPr>
            <w:tcW w:w="203" w:type="pct"/>
          </w:tcPr>
          <w:p w14:paraId="1FF0F1A2" w14:textId="77777777" w:rsidR="00654430" w:rsidRPr="004E13E9" w:rsidRDefault="00654430" w:rsidP="00E62E84">
            <w:pPr>
              <w:widowControl w:val="0"/>
              <w:rPr>
                <w:rFonts w:ascii="Cambria" w:hAnsi="Cambria"/>
                <w:b/>
                <w:sz w:val="20"/>
                <w:szCs w:val="20"/>
              </w:rPr>
            </w:pPr>
            <w:r w:rsidRPr="004E13E9">
              <w:rPr>
                <w:rFonts w:ascii="Cambria" w:hAnsi="Cambria"/>
                <w:b/>
                <w:sz w:val="20"/>
              </w:rPr>
              <w:t>6</w:t>
            </w:r>
            <w:r w:rsidRPr="004E13E9">
              <w:rPr>
                <w:rFonts w:ascii="Cambria" w:hAnsi="Cambria"/>
                <w:b/>
                <w:bCs/>
                <w:sz w:val="20"/>
              </w:rPr>
              <w:t>.</w:t>
            </w:r>
          </w:p>
        </w:tc>
        <w:tc>
          <w:tcPr>
            <w:tcW w:w="1248" w:type="pct"/>
          </w:tcPr>
          <w:p w14:paraId="7972A3DF" w14:textId="77777777" w:rsidR="00654430" w:rsidRPr="004E13E9" w:rsidRDefault="00654430" w:rsidP="00E62E84">
            <w:pPr>
              <w:widowControl w:val="0"/>
              <w:rPr>
                <w:rFonts w:ascii="Cambria" w:hAnsi="Cambria"/>
                <w:b/>
                <w:sz w:val="20"/>
                <w:szCs w:val="20"/>
              </w:rPr>
            </w:pPr>
            <w:r w:rsidRPr="004E13E9">
              <w:rPr>
                <w:rFonts w:ascii="Cambria" w:hAnsi="Cambria"/>
                <w:b/>
                <w:color w:val="auto"/>
                <w:sz w:val="20"/>
                <w:szCs w:val="20"/>
              </w:rPr>
              <w:t xml:space="preserve">Transbordement (paragraphes 89-94) </w:t>
            </w:r>
          </w:p>
        </w:tc>
        <w:tc>
          <w:tcPr>
            <w:tcW w:w="2010" w:type="pct"/>
          </w:tcPr>
          <w:p w14:paraId="3E05A1EA" w14:textId="77777777" w:rsidR="00654430" w:rsidRPr="004E13E9" w:rsidRDefault="00654430" w:rsidP="00E62E84">
            <w:pPr>
              <w:ind w:left="117" w:right="114"/>
              <w:jc w:val="both"/>
              <w:rPr>
                <w:rFonts w:ascii="Cambria" w:hAnsi="Cambria"/>
                <w:sz w:val="20"/>
                <w:szCs w:val="20"/>
              </w:rPr>
            </w:pPr>
            <w:r w:rsidRPr="004E13E9">
              <w:rPr>
                <w:rFonts w:ascii="Cambria" w:hAnsi="Cambria"/>
                <w:color w:val="auto"/>
                <w:sz w:val="20"/>
              </w:rPr>
              <w:t xml:space="preserve">Les navires de pêche ne sont autorisés à </w:t>
            </w:r>
            <w:r w:rsidRPr="004E13E9">
              <w:rPr>
                <w:rFonts w:ascii="Cambria" w:hAnsi="Cambria" w:cstheme="majorBidi"/>
                <w:sz w:val="20"/>
                <w:szCs w:val="20"/>
              </w:rPr>
              <w:t>transborder</w:t>
            </w:r>
            <w:r w:rsidRPr="004E13E9">
              <w:rPr>
                <w:rFonts w:ascii="Cambria" w:hAnsi="Cambria"/>
                <w:color w:val="auto"/>
                <w:sz w:val="20"/>
              </w:rPr>
              <w:t xml:space="preserve"> leurs captures de thon rouge que dans les </w:t>
            </w:r>
            <w:r w:rsidRPr="004E13E9">
              <w:rPr>
                <w:rFonts w:ascii="Cambria" w:hAnsi="Cambria"/>
                <w:sz w:val="20"/>
                <w:szCs w:val="20"/>
              </w:rPr>
              <w:t>ports</w:t>
            </w:r>
            <w:r w:rsidRPr="004E13E9">
              <w:rPr>
                <w:rFonts w:ascii="Cambria" w:hAnsi="Cambria"/>
                <w:color w:val="auto"/>
                <w:sz w:val="20"/>
              </w:rPr>
              <w:t xml:space="preserve"> désignés par les CPC. La Syrie n'a déclaré aucune opération de transbordement.</w:t>
            </w:r>
          </w:p>
        </w:tc>
        <w:tc>
          <w:tcPr>
            <w:tcW w:w="1237" w:type="pct"/>
          </w:tcPr>
          <w:p w14:paraId="79216A3E" w14:textId="77777777" w:rsidR="00654430" w:rsidRPr="004E13E9" w:rsidRDefault="00654430" w:rsidP="00E62E84">
            <w:pPr>
              <w:widowControl w:val="0"/>
              <w:ind w:left="117" w:right="114"/>
              <w:jc w:val="both"/>
              <w:rPr>
                <w:rFonts w:ascii="Cambria" w:hAnsi="Cambria"/>
                <w:color w:val="auto"/>
                <w:sz w:val="20"/>
              </w:rPr>
            </w:pPr>
            <w:r w:rsidRPr="004E13E9">
              <w:rPr>
                <w:rFonts w:ascii="Cambria" w:hAnsi="Cambria"/>
                <w:sz w:val="20"/>
              </w:rPr>
              <w:t xml:space="preserve">Conditions générales de la Commission générale des pêches et de l'aquaculture pour la pêche au thon rouge </w:t>
            </w:r>
            <w:r w:rsidRPr="004E13E9">
              <w:rPr>
                <w:rFonts w:ascii="Cambria" w:hAnsi="Cambria"/>
                <w:color w:val="auto"/>
                <w:sz w:val="20"/>
              </w:rPr>
              <w:t>(Nº1827 du 19/3/2023).</w:t>
            </w:r>
          </w:p>
          <w:p w14:paraId="11F5BD5E" w14:textId="77777777" w:rsidR="00654430" w:rsidRPr="004E13E9" w:rsidRDefault="00654430" w:rsidP="00E62E84">
            <w:pPr>
              <w:widowControl w:val="0"/>
              <w:ind w:left="117" w:right="114"/>
              <w:jc w:val="both"/>
              <w:rPr>
                <w:rFonts w:ascii="Cambria" w:hAnsi="Cambria"/>
                <w:sz w:val="20"/>
              </w:rPr>
            </w:pPr>
          </w:p>
        </w:tc>
        <w:tc>
          <w:tcPr>
            <w:tcW w:w="302" w:type="pct"/>
          </w:tcPr>
          <w:p w14:paraId="1B6E87E8" w14:textId="77777777" w:rsidR="00654430" w:rsidRPr="004E13E9" w:rsidRDefault="00654430" w:rsidP="00E62E84">
            <w:pPr>
              <w:widowControl w:val="0"/>
              <w:rPr>
                <w:rFonts w:ascii="Cambria" w:hAnsi="Cambria"/>
                <w:sz w:val="20"/>
                <w:szCs w:val="20"/>
              </w:rPr>
            </w:pPr>
          </w:p>
        </w:tc>
      </w:tr>
      <w:tr w:rsidR="00654430" w:rsidRPr="006A2397" w14:paraId="6B6681EE" w14:textId="77777777" w:rsidTr="00FF543A">
        <w:trPr>
          <w:trHeight w:val="439"/>
        </w:trPr>
        <w:tc>
          <w:tcPr>
            <w:tcW w:w="203" w:type="pct"/>
          </w:tcPr>
          <w:p w14:paraId="65AA2572" w14:textId="77777777" w:rsidR="00654430" w:rsidRPr="004E13E9" w:rsidRDefault="00654430" w:rsidP="00E62E84">
            <w:pPr>
              <w:widowControl w:val="0"/>
              <w:rPr>
                <w:rFonts w:ascii="Cambria" w:hAnsi="Cambria"/>
                <w:b/>
                <w:sz w:val="20"/>
                <w:szCs w:val="20"/>
              </w:rPr>
            </w:pPr>
            <w:r w:rsidRPr="004E13E9">
              <w:rPr>
                <w:rFonts w:ascii="Cambria" w:hAnsi="Cambria"/>
                <w:b/>
                <w:sz w:val="20"/>
              </w:rPr>
              <w:t>7</w:t>
            </w:r>
            <w:r w:rsidRPr="004E13E9">
              <w:rPr>
                <w:rFonts w:ascii="Cambria" w:hAnsi="Cambria"/>
                <w:b/>
                <w:bCs/>
                <w:sz w:val="20"/>
              </w:rPr>
              <w:t>.</w:t>
            </w:r>
          </w:p>
        </w:tc>
        <w:tc>
          <w:tcPr>
            <w:tcW w:w="1248" w:type="pct"/>
          </w:tcPr>
          <w:p w14:paraId="4B6B7263" w14:textId="77777777" w:rsidR="00654430" w:rsidRPr="004E13E9" w:rsidRDefault="00654430" w:rsidP="00E62E84">
            <w:pPr>
              <w:widowControl w:val="0"/>
              <w:rPr>
                <w:rFonts w:ascii="Cambria" w:hAnsi="Cambria"/>
                <w:b/>
                <w:sz w:val="20"/>
                <w:szCs w:val="20"/>
              </w:rPr>
            </w:pPr>
            <w:r w:rsidRPr="004E13E9">
              <w:rPr>
                <w:rFonts w:ascii="Cambria" w:hAnsi="Cambria"/>
                <w:b/>
                <w:color w:val="auto"/>
                <w:sz w:val="20"/>
                <w:szCs w:val="20"/>
              </w:rPr>
              <w:t>VMS (paragraphes 222-228)</w:t>
            </w:r>
          </w:p>
        </w:tc>
        <w:tc>
          <w:tcPr>
            <w:tcW w:w="2010" w:type="pct"/>
            <w:vAlign w:val="center"/>
          </w:tcPr>
          <w:p w14:paraId="74100FFC" w14:textId="77777777" w:rsidR="00654430" w:rsidRPr="004E13E9" w:rsidRDefault="00654430" w:rsidP="00E62E84">
            <w:pPr>
              <w:ind w:left="117" w:right="114"/>
              <w:jc w:val="both"/>
              <w:rPr>
                <w:rFonts w:ascii="Cambria" w:hAnsi="Cambria"/>
                <w:sz w:val="20"/>
                <w:szCs w:val="20"/>
              </w:rPr>
            </w:pPr>
            <w:r w:rsidRPr="004E13E9">
              <w:rPr>
                <w:rFonts w:ascii="Cambria" w:hAnsi="Cambria"/>
                <w:sz w:val="20"/>
              </w:rPr>
              <w:t>Tous les navires autorisés à pêcher le thon rouge sont équipés de systèmes de surveillance des navires (VMS) qui transmettent des données de position à l'autorité compétente à intervalles réguliers, conformément aux exigences de l’ICCAT.</w:t>
            </w:r>
          </w:p>
        </w:tc>
        <w:tc>
          <w:tcPr>
            <w:tcW w:w="1237" w:type="pct"/>
          </w:tcPr>
          <w:p w14:paraId="27423674" w14:textId="77777777" w:rsidR="00654430" w:rsidRPr="004E13E9" w:rsidRDefault="00654430" w:rsidP="00E62E84">
            <w:pPr>
              <w:widowControl w:val="0"/>
              <w:ind w:left="117" w:right="114"/>
              <w:jc w:val="both"/>
              <w:rPr>
                <w:rFonts w:ascii="Cambria" w:hAnsi="Cambria"/>
                <w:sz w:val="20"/>
                <w:szCs w:val="20"/>
              </w:rPr>
            </w:pPr>
            <w:r w:rsidRPr="004E13E9">
              <w:rPr>
                <w:rFonts w:ascii="Cambria" w:hAnsi="Cambria"/>
                <w:sz w:val="20"/>
              </w:rPr>
              <w:t xml:space="preserve">Conditions générales de la Commission générale des pêches et de l'aquaculture pour la pêche au thon rouge </w:t>
            </w:r>
            <w:r w:rsidRPr="004E13E9">
              <w:rPr>
                <w:rFonts w:ascii="Cambria" w:hAnsi="Cambria"/>
                <w:color w:val="auto"/>
                <w:sz w:val="20"/>
              </w:rPr>
              <w:t xml:space="preserve">(Nº1827 du 19/3/2023) </w:t>
            </w:r>
          </w:p>
        </w:tc>
        <w:tc>
          <w:tcPr>
            <w:tcW w:w="302" w:type="pct"/>
          </w:tcPr>
          <w:p w14:paraId="322FB604" w14:textId="77777777" w:rsidR="00654430" w:rsidRPr="004E13E9" w:rsidRDefault="00654430" w:rsidP="00E62E84">
            <w:pPr>
              <w:widowControl w:val="0"/>
              <w:rPr>
                <w:rFonts w:ascii="Cambria" w:hAnsi="Cambria"/>
                <w:sz w:val="20"/>
                <w:szCs w:val="20"/>
              </w:rPr>
            </w:pPr>
          </w:p>
        </w:tc>
      </w:tr>
      <w:tr w:rsidR="00654430" w:rsidRPr="004E13E9" w14:paraId="35DE2047" w14:textId="77777777" w:rsidTr="00FF543A">
        <w:trPr>
          <w:trHeight w:val="382"/>
        </w:trPr>
        <w:tc>
          <w:tcPr>
            <w:tcW w:w="203" w:type="pct"/>
          </w:tcPr>
          <w:p w14:paraId="5693766E" w14:textId="77777777" w:rsidR="00654430" w:rsidRPr="004E13E9" w:rsidRDefault="00654430" w:rsidP="00E62E84">
            <w:pPr>
              <w:widowControl w:val="0"/>
              <w:rPr>
                <w:rFonts w:ascii="Cambria" w:hAnsi="Cambria"/>
                <w:b/>
                <w:sz w:val="20"/>
                <w:szCs w:val="20"/>
              </w:rPr>
            </w:pPr>
            <w:r w:rsidRPr="004E13E9">
              <w:rPr>
                <w:rFonts w:ascii="Cambria" w:hAnsi="Cambria"/>
                <w:b/>
                <w:sz w:val="20"/>
              </w:rPr>
              <w:t>8</w:t>
            </w:r>
            <w:r w:rsidRPr="004E13E9">
              <w:rPr>
                <w:rFonts w:ascii="Cambria" w:hAnsi="Cambria"/>
                <w:b/>
                <w:bCs/>
                <w:sz w:val="20"/>
              </w:rPr>
              <w:t>.</w:t>
            </w:r>
          </w:p>
        </w:tc>
        <w:tc>
          <w:tcPr>
            <w:tcW w:w="1248" w:type="pct"/>
          </w:tcPr>
          <w:p w14:paraId="7233343F" w14:textId="77777777" w:rsidR="00654430" w:rsidRPr="004E13E9" w:rsidRDefault="00654430" w:rsidP="00E62E84">
            <w:pPr>
              <w:widowControl w:val="0"/>
              <w:jc w:val="both"/>
              <w:rPr>
                <w:rFonts w:ascii="Cambria" w:hAnsi="Cambria"/>
                <w:sz w:val="20"/>
                <w:szCs w:val="20"/>
              </w:rPr>
            </w:pPr>
            <w:r w:rsidRPr="004E13E9">
              <w:rPr>
                <w:rFonts w:ascii="Cambria" w:hAnsi="Cambria"/>
                <w:b/>
                <w:color w:val="auto"/>
                <w:sz w:val="20"/>
                <w:szCs w:val="20"/>
              </w:rPr>
              <w:t>Programme d’observateurs des CPC (paragraphes 95-100)</w:t>
            </w:r>
          </w:p>
        </w:tc>
        <w:tc>
          <w:tcPr>
            <w:tcW w:w="2010" w:type="pct"/>
            <w:vAlign w:val="center"/>
          </w:tcPr>
          <w:p w14:paraId="3168505F" w14:textId="77777777" w:rsidR="00654430" w:rsidRPr="004E13E9" w:rsidRDefault="00654430" w:rsidP="00E62E84">
            <w:pPr>
              <w:ind w:left="117" w:right="114"/>
              <w:jc w:val="both"/>
              <w:rPr>
                <w:rFonts w:ascii="Cambria" w:hAnsi="Cambria"/>
                <w:sz w:val="20"/>
                <w:szCs w:val="20"/>
              </w:rPr>
            </w:pPr>
            <w:r w:rsidRPr="004E13E9">
              <w:rPr>
                <w:rFonts w:ascii="Cambria" w:hAnsi="Cambria"/>
                <w:sz w:val="20"/>
              </w:rPr>
              <w:t>Non applicable</w:t>
            </w:r>
          </w:p>
        </w:tc>
        <w:tc>
          <w:tcPr>
            <w:tcW w:w="1237" w:type="pct"/>
            <w:vAlign w:val="center"/>
          </w:tcPr>
          <w:p w14:paraId="09E00D2E" w14:textId="77777777" w:rsidR="00654430" w:rsidRPr="004E13E9" w:rsidRDefault="00654430" w:rsidP="00E62E84">
            <w:pPr>
              <w:widowControl w:val="0"/>
              <w:ind w:left="117" w:right="114"/>
              <w:jc w:val="both"/>
              <w:rPr>
                <w:rFonts w:ascii="Cambria" w:hAnsi="Cambria"/>
                <w:sz w:val="20"/>
                <w:szCs w:val="20"/>
              </w:rPr>
            </w:pPr>
          </w:p>
        </w:tc>
        <w:tc>
          <w:tcPr>
            <w:tcW w:w="302" w:type="pct"/>
          </w:tcPr>
          <w:p w14:paraId="736647D1" w14:textId="77777777" w:rsidR="00654430" w:rsidRPr="004E13E9" w:rsidRDefault="00654430" w:rsidP="00E62E84">
            <w:pPr>
              <w:widowControl w:val="0"/>
              <w:rPr>
                <w:rFonts w:ascii="Cambria" w:hAnsi="Cambria"/>
                <w:sz w:val="20"/>
                <w:szCs w:val="20"/>
              </w:rPr>
            </w:pPr>
          </w:p>
        </w:tc>
      </w:tr>
      <w:tr w:rsidR="00654430" w:rsidRPr="006A2397" w14:paraId="4E27399A" w14:textId="77777777" w:rsidTr="00FF543A">
        <w:trPr>
          <w:trHeight w:val="677"/>
        </w:trPr>
        <w:tc>
          <w:tcPr>
            <w:tcW w:w="203" w:type="pct"/>
          </w:tcPr>
          <w:p w14:paraId="2589074E" w14:textId="77777777" w:rsidR="00654430" w:rsidRPr="004E13E9" w:rsidRDefault="00654430" w:rsidP="00E62E84">
            <w:pPr>
              <w:widowControl w:val="0"/>
              <w:rPr>
                <w:rFonts w:ascii="Cambria" w:hAnsi="Cambria"/>
                <w:b/>
                <w:sz w:val="20"/>
                <w:szCs w:val="20"/>
              </w:rPr>
            </w:pPr>
            <w:r w:rsidRPr="004E13E9">
              <w:rPr>
                <w:rFonts w:ascii="Cambria" w:hAnsi="Cambria"/>
                <w:b/>
                <w:sz w:val="20"/>
              </w:rPr>
              <w:t>9</w:t>
            </w:r>
            <w:r w:rsidRPr="004E13E9">
              <w:rPr>
                <w:rFonts w:ascii="Cambria" w:hAnsi="Cambria"/>
                <w:b/>
                <w:bCs/>
                <w:sz w:val="20"/>
              </w:rPr>
              <w:t>.</w:t>
            </w:r>
          </w:p>
        </w:tc>
        <w:tc>
          <w:tcPr>
            <w:tcW w:w="1248" w:type="pct"/>
          </w:tcPr>
          <w:p w14:paraId="14EA0811" w14:textId="77777777" w:rsidR="00654430" w:rsidRPr="004E13E9" w:rsidRDefault="00654430" w:rsidP="00E62E84">
            <w:pPr>
              <w:widowControl w:val="0"/>
              <w:rPr>
                <w:rFonts w:ascii="Cambria" w:hAnsi="Cambria"/>
                <w:b/>
                <w:sz w:val="20"/>
                <w:szCs w:val="20"/>
              </w:rPr>
            </w:pPr>
            <w:r w:rsidRPr="004E13E9">
              <w:rPr>
                <w:rFonts w:ascii="Cambria" w:hAnsi="Cambria"/>
                <w:b/>
                <w:color w:val="auto"/>
                <w:sz w:val="20"/>
                <w:szCs w:val="20"/>
              </w:rPr>
              <w:t>Programme d'observateurs régionaux (paragraphes 101-107)</w:t>
            </w:r>
          </w:p>
        </w:tc>
        <w:tc>
          <w:tcPr>
            <w:tcW w:w="2010" w:type="pct"/>
            <w:vAlign w:val="center"/>
          </w:tcPr>
          <w:p w14:paraId="714427A6" w14:textId="77777777" w:rsidR="00654430" w:rsidRPr="004E13E9" w:rsidRDefault="00654430" w:rsidP="00E62E84">
            <w:pPr>
              <w:ind w:left="117" w:right="114"/>
              <w:jc w:val="both"/>
              <w:rPr>
                <w:rFonts w:ascii="Cambria" w:hAnsi="Cambria"/>
                <w:sz w:val="20"/>
                <w:szCs w:val="20"/>
              </w:rPr>
            </w:pPr>
            <w:r w:rsidRPr="004E13E9">
              <w:rPr>
                <w:rFonts w:ascii="Cambria" w:hAnsi="Cambria"/>
                <w:sz w:val="20"/>
              </w:rPr>
              <w:t>La Syrie respectera les exigences du Programme régional d'observateurs de l’ICCAT applicables aux senneurs.</w:t>
            </w:r>
          </w:p>
        </w:tc>
        <w:tc>
          <w:tcPr>
            <w:tcW w:w="1237" w:type="pct"/>
          </w:tcPr>
          <w:p w14:paraId="5EB20357" w14:textId="77777777" w:rsidR="00654430" w:rsidRPr="004E13E9" w:rsidRDefault="00654430" w:rsidP="00E62E84">
            <w:pPr>
              <w:widowControl w:val="0"/>
              <w:ind w:left="117" w:right="114"/>
              <w:jc w:val="both"/>
              <w:rPr>
                <w:rFonts w:ascii="Cambria" w:hAnsi="Cambria"/>
                <w:sz w:val="20"/>
                <w:szCs w:val="20"/>
              </w:rPr>
            </w:pPr>
            <w:r w:rsidRPr="004E13E9">
              <w:rPr>
                <w:rFonts w:ascii="Cambria" w:hAnsi="Cambria"/>
                <w:sz w:val="20"/>
              </w:rPr>
              <w:t xml:space="preserve">Conditions générales de la Commission générale des pêches et de l'aquaculture pour la pêche au thon rouge </w:t>
            </w:r>
            <w:r w:rsidRPr="004E13E9">
              <w:rPr>
                <w:rFonts w:ascii="Cambria" w:hAnsi="Cambria"/>
                <w:color w:val="auto"/>
                <w:sz w:val="20"/>
              </w:rPr>
              <w:t xml:space="preserve">(Nº1827 du 19/3/2023) </w:t>
            </w:r>
          </w:p>
        </w:tc>
        <w:tc>
          <w:tcPr>
            <w:tcW w:w="302" w:type="pct"/>
          </w:tcPr>
          <w:p w14:paraId="6E36FA24" w14:textId="77777777" w:rsidR="00654430" w:rsidRPr="004E13E9" w:rsidRDefault="00654430" w:rsidP="00E62E84">
            <w:pPr>
              <w:widowControl w:val="0"/>
              <w:rPr>
                <w:rFonts w:ascii="Cambria" w:hAnsi="Cambria"/>
                <w:sz w:val="20"/>
                <w:szCs w:val="20"/>
              </w:rPr>
            </w:pPr>
          </w:p>
        </w:tc>
      </w:tr>
      <w:tr w:rsidR="00654430" w:rsidRPr="006A2397" w14:paraId="3B49B8E1" w14:textId="77777777" w:rsidTr="00FF543A">
        <w:trPr>
          <w:trHeight w:val="382"/>
        </w:trPr>
        <w:tc>
          <w:tcPr>
            <w:tcW w:w="203" w:type="pct"/>
          </w:tcPr>
          <w:p w14:paraId="51D9B2F8" w14:textId="77777777" w:rsidR="00654430" w:rsidRPr="004E13E9" w:rsidRDefault="00654430" w:rsidP="00E62E84">
            <w:pPr>
              <w:widowControl w:val="0"/>
              <w:rPr>
                <w:rFonts w:ascii="Cambria" w:hAnsi="Cambria"/>
                <w:b/>
                <w:sz w:val="20"/>
                <w:szCs w:val="20"/>
              </w:rPr>
            </w:pPr>
            <w:r w:rsidRPr="004E13E9">
              <w:rPr>
                <w:rFonts w:ascii="Cambria" w:hAnsi="Cambria"/>
                <w:b/>
                <w:sz w:val="20"/>
              </w:rPr>
              <w:t>10</w:t>
            </w:r>
          </w:p>
        </w:tc>
        <w:tc>
          <w:tcPr>
            <w:tcW w:w="1248" w:type="pct"/>
          </w:tcPr>
          <w:p w14:paraId="27B3AEC2" w14:textId="77777777" w:rsidR="00654430" w:rsidRPr="004E13E9" w:rsidRDefault="00654430" w:rsidP="00E62E84">
            <w:pPr>
              <w:widowControl w:val="0"/>
              <w:rPr>
                <w:rFonts w:ascii="Cambria" w:hAnsi="Cambria"/>
                <w:b/>
                <w:sz w:val="20"/>
                <w:szCs w:val="20"/>
              </w:rPr>
            </w:pPr>
            <w:r w:rsidRPr="004E13E9">
              <w:rPr>
                <w:rFonts w:ascii="Cambria" w:hAnsi="Cambria"/>
                <w:b/>
                <w:sz w:val="20"/>
              </w:rPr>
              <w:t>Législation nationale</w:t>
            </w:r>
          </w:p>
        </w:tc>
        <w:tc>
          <w:tcPr>
            <w:tcW w:w="2010" w:type="pct"/>
          </w:tcPr>
          <w:p w14:paraId="33441A13" w14:textId="77777777" w:rsidR="00654430" w:rsidRPr="004E13E9" w:rsidRDefault="00654430" w:rsidP="00E62E84">
            <w:pPr>
              <w:ind w:left="117" w:right="114"/>
              <w:jc w:val="both"/>
              <w:rPr>
                <w:rFonts w:ascii="Cambria" w:hAnsi="Cambria"/>
                <w:sz w:val="20"/>
                <w:szCs w:val="20"/>
              </w:rPr>
            </w:pPr>
            <w:r w:rsidRPr="004E13E9">
              <w:rPr>
                <w:rFonts w:ascii="Cambria" w:hAnsi="Cambria" w:cstheme="majorBidi"/>
                <w:sz w:val="20"/>
                <w:szCs w:val="20"/>
              </w:rPr>
              <w:t xml:space="preserve">La législation nationale syrienne relative au thon rouge (BFT) est conforme aux Recommandations de l’ICCAT. Chaque année, la législation </w:t>
            </w:r>
            <w:r w:rsidRPr="004E13E9">
              <w:rPr>
                <w:rFonts w:ascii="Cambria" w:hAnsi="Cambria"/>
                <w:sz w:val="20"/>
                <w:szCs w:val="20"/>
              </w:rPr>
              <w:t>est</w:t>
            </w:r>
            <w:r w:rsidRPr="004E13E9">
              <w:rPr>
                <w:rFonts w:ascii="Cambria" w:hAnsi="Cambria" w:cstheme="majorBidi"/>
                <w:sz w:val="20"/>
                <w:szCs w:val="20"/>
              </w:rPr>
              <w:t xml:space="preserve"> mise à jour afin de refléter les dernières mesures adoptées par l’ICCAT. Il couvre tous les aspects des activités de pêche au thon rouge, y compris les saisons de pêche, les exigences en matière de VMS, l'enregistrement et la déclaration des captures, les tailles minimales, les prises accessoires et les dispositions connexes.</w:t>
            </w:r>
          </w:p>
        </w:tc>
        <w:tc>
          <w:tcPr>
            <w:tcW w:w="1237" w:type="pct"/>
          </w:tcPr>
          <w:p w14:paraId="56A91D53" w14:textId="77777777" w:rsidR="00654430" w:rsidRPr="004E13E9" w:rsidRDefault="00654430" w:rsidP="00E62E84">
            <w:pPr>
              <w:widowControl w:val="0"/>
              <w:ind w:left="117" w:right="114"/>
              <w:jc w:val="both"/>
              <w:rPr>
                <w:rFonts w:ascii="Cambria" w:hAnsi="Cambria"/>
                <w:sz w:val="20"/>
                <w:szCs w:val="20"/>
              </w:rPr>
            </w:pPr>
            <w:r w:rsidRPr="004E13E9">
              <w:rPr>
                <w:rFonts w:ascii="Cambria" w:hAnsi="Cambria"/>
                <w:color w:val="auto"/>
                <w:sz w:val="20"/>
              </w:rPr>
              <w:t>Les activités de pêche seront menées conformément à la réglementation nationale syrienne en matière de pêche et aux procédures d'octroi de licences établies par la Commission générale de la pêche et de l'aquaculture.</w:t>
            </w:r>
          </w:p>
        </w:tc>
        <w:tc>
          <w:tcPr>
            <w:tcW w:w="302" w:type="pct"/>
          </w:tcPr>
          <w:p w14:paraId="30D6CB80" w14:textId="77777777" w:rsidR="00654430" w:rsidRPr="004E13E9" w:rsidRDefault="00654430" w:rsidP="00E62E84">
            <w:pPr>
              <w:widowControl w:val="0"/>
              <w:rPr>
                <w:rFonts w:ascii="Cambria" w:hAnsi="Cambria"/>
                <w:sz w:val="20"/>
                <w:szCs w:val="20"/>
              </w:rPr>
            </w:pPr>
          </w:p>
        </w:tc>
      </w:tr>
      <w:tr w:rsidR="00654430" w:rsidRPr="004E13E9" w14:paraId="018C5203" w14:textId="77777777" w:rsidTr="00FF543A">
        <w:trPr>
          <w:trHeight w:val="762"/>
        </w:trPr>
        <w:tc>
          <w:tcPr>
            <w:tcW w:w="203" w:type="pct"/>
          </w:tcPr>
          <w:p w14:paraId="16465F3D" w14:textId="77777777" w:rsidR="00654430" w:rsidRPr="004E13E9" w:rsidRDefault="00654430" w:rsidP="00E62E84">
            <w:pPr>
              <w:widowControl w:val="0"/>
              <w:rPr>
                <w:rFonts w:ascii="Cambria" w:hAnsi="Cambria"/>
                <w:b/>
                <w:bCs/>
                <w:iCs/>
                <w:sz w:val="20"/>
                <w:szCs w:val="20"/>
              </w:rPr>
            </w:pPr>
            <w:r w:rsidRPr="004E13E9">
              <w:rPr>
                <w:rFonts w:ascii="Cambria" w:hAnsi="Cambria"/>
                <w:b/>
                <w:sz w:val="20"/>
              </w:rPr>
              <w:t>11</w:t>
            </w:r>
          </w:p>
        </w:tc>
        <w:tc>
          <w:tcPr>
            <w:tcW w:w="1248" w:type="pct"/>
          </w:tcPr>
          <w:p w14:paraId="24C07649" w14:textId="77777777" w:rsidR="00654430" w:rsidRPr="004E13E9" w:rsidRDefault="00654430" w:rsidP="00E62E84">
            <w:pPr>
              <w:widowControl w:val="0"/>
              <w:rPr>
                <w:rFonts w:ascii="Cambria" w:hAnsi="Cambria"/>
                <w:b/>
                <w:bCs/>
                <w:iCs/>
                <w:sz w:val="20"/>
                <w:szCs w:val="20"/>
              </w:rPr>
            </w:pPr>
            <w:r w:rsidRPr="004E13E9">
              <w:rPr>
                <w:rFonts w:ascii="Cambria" w:hAnsi="Cambria"/>
                <w:i/>
                <w:sz w:val="20"/>
                <w:szCs w:val="20"/>
              </w:rPr>
              <w:t>Autres exigences, telles que : programme de marquage (paragr. 44), etc.</w:t>
            </w:r>
          </w:p>
        </w:tc>
        <w:tc>
          <w:tcPr>
            <w:tcW w:w="2010" w:type="pct"/>
          </w:tcPr>
          <w:p w14:paraId="0686A12B" w14:textId="77777777" w:rsidR="00654430" w:rsidRPr="004E13E9" w:rsidRDefault="00654430" w:rsidP="00E62E84">
            <w:pPr>
              <w:widowControl w:val="0"/>
              <w:contextualSpacing/>
              <w:jc w:val="both"/>
              <w:rPr>
                <w:rFonts w:ascii="Cambria" w:hAnsi="Cambria"/>
                <w:sz w:val="20"/>
                <w:szCs w:val="20"/>
              </w:rPr>
            </w:pPr>
          </w:p>
        </w:tc>
        <w:tc>
          <w:tcPr>
            <w:tcW w:w="1237" w:type="pct"/>
          </w:tcPr>
          <w:p w14:paraId="75E1AF82" w14:textId="77777777" w:rsidR="00654430" w:rsidRPr="004E13E9" w:rsidRDefault="00654430" w:rsidP="00E62E84">
            <w:pPr>
              <w:widowControl w:val="0"/>
              <w:ind w:left="117" w:right="114"/>
              <w:jc w:val="both"/>
              <w:rPr>
                <w:rFonts w:ascii="Cambria" w:hAnsi="Cambria"/>
                <w:sz w:val="20"/>
                <w:szCs w:val="20"/>
              </w:rPr>
            </w:pPr>
          </w:p>
        </w:tc>
        <w:tc>
          <w:tcPr>
            <w:tcW w:w="302" w:type="pct"/>
          </w:tcPr>
          <w:p w14:paraId="6E16F39A" w14:textId="77777777" w:rsidR="00654430" w:rsidRPr="004E13E9" w:rsidRDefault="00654430" w:rsidP="00E62E84">
            <w:pPr>
              <w:widowControl w:val="0"/>
              <w:rPr>
                <w:rFonts w:ascii="Cambria" w:hAnsi="Cambria"/>
                <w:sz w:val="20"/>
                <w:szCs w:val="20"/>
              </w:rPr>
            </w:pPr>
          </w:p>
        </w:tc>
      </w:tr>
    </w:tbl>
    <w:p w14:paraId="7F32E253" w14:textId="77777777" w:rsidR="00654430" w:rsidRPr="004E13E9" w:rsidRDefault="00654430" w:rsidP="00654430">
      <w:pPr>
        <w:widowControl w:val="0"/>
        <w:rPr>
          <w:rFonts w:eastAsia="MS Gothic" w:cs="Times New Roman"/>
          <w:b/>
          <w:i/>
          <w:iCs/>
          <w:lang w:eastAsia="fr-FR" w:bidi="fr-FR"/>
        </w:rPr>
      </w:pPr>
    </w:p>
    <w:p w14:paraId="5E2194EB" w14:textId="77777777" w:rsidR="00654430" w:rsidRPr="004E13E9" w:rsidRDefault="00654430" w:rsidP="00654430">
      <w:pPr>
        <w:widowControl w:val="0"/>
        <w:contextualSpacing/>
        <w:rPr>
          <w:rFonts w:eastAsia="MS Gothic" w:cs="Times New Roman"/>
          <w:b/>
          <w:i/>
          <w:iCs/>
          <w:lang w:val="fr-FR" w:eastAsia="fr-FR" w:bidi="fr-FR"/>
        </w:rPr>
      </w:pPr>
      <w:r w:rsidRPr="004E13E9">
        <w:rPr>
          <w:rFonts w:eastAsia="MS Gothic" w:cs="Times New Roman"/>
          <w:b/>
          <w:i/>
          <w:iCs/>
          <w:lang w:val="fr-FR" w:eastAsia="fr-FR" w:bidi="fr-FR"/>
        </w:rPr>
        <w:t>1e) Ports désignés (paragraphe 80)</w:t>
      </w:r>
    </w:p>
    <w:p w14:paraId="495AF009" w14:textId="77777777" w:rsidR="00654430" w:rsidRPr="004E13E9" w:rsidRDefault="00654430" w:rsidP="00654430">
      <w:pPr>
        <w:widowControl w:val="0"/>
        <w:contextualSpacing/>
        <w:jc w:val="both"/>
        <w:rPr>
          <w:rFonts w:eastAsia="MS Gothic" w:cs="Times New Roman"/>
          <w:b/>
          <w:lang w:val="fr-FR"/>
        </w:rPr>
      </w:pPr>
    </w:p>
    <w:p w14:paraId="40B75BFE" w14:textId="77777777" w:rsidR="00654430" w:rsidRPr="004E13E9" w:rsidRDefault="00654430" w:rsidP="00654430">
      <w:pPr>
        <w:widowControl w:val="0"/>
        <w:contextualSpacing/>
        <w:jc w:val="both"/>
        <w:rPr>
          <w:rFonts w:eastAsia="MS Gothic" w:cs="Times New Roman"/>
          <w:color w:val="000000"/>
          <w:lang w:val="fr-FR"/>
        </w:rPr>
      </w:pPr>
      <w:r w:rsidRPr="004E13E9">
        <w:rPr>
          <w:color w:val="000000"/>
          <w:lang w:val="fr-FR"/>
        </w:rPr>
        <w:t xml:space="preserve">Le port de </w:t>
      </w:r>
      <w:proofErr w:type="spellStart"/>
      <w:r w:rsidRPr="004E13E9">
        <w:rPr>
          <w:color w:val="000000"/>
          <w:lang w:val="fr-FR"/>
        </w:rPr>
        <w:t>Latakia</w:t>
      </w:r>
      <w:proofErr w:type="spellEnd"/>
      <w:r w:rsidRPr="004E13E9">
        <w:rPr>
          <w:color w:val="000000"/>
          <w:lang w:val="fr-FR"/>
        </w:rPr>
        <w:t xml:space="preserve"> est le port autorisé pour tout débarquement ou transbordement de thon rouge.</w:t>
      </w:r>
    </w:p>
    <w:p w14:paraId="5550E721" w14:textId="77777777" w:rsidR="00654430" w:rsidRPr="004E13E9" w:rsidRDefault="00654430" w:rsidP="00654430">
      <w:pPr>
        <w:widowControl w:val="0"/>
        <w:contextualSpacing/>
        <w:jc w:val="both"/>
        <w:rPr>
          <w:rFonts w:eastAsia="MS Gothic" w:cs="Times New Roman"/>
          <w:b/>
          <w:lang w:val="fr-FR" w:eastAsia="fr-FR" w:bidi="fr-FR"/>
        </w:rPr>
      </w:pPr>
    </w:p>
    <w:p w14:paraId="1BBFBE3F" w14:textId="77777777" w:rsidR="00654430" w:rsidRPr="004E13E9" w:rsidRDefault="00654430" w:rsidP="00654430">
      <w:pPr>
        <w:widowControl w:val="0"/>
        <w:ind w:left="426" w:hanging="426"/>
        <w:contextualSpacing/>
        <w:jc w:val="both"/>
        <w:rPr>
          <w:rFonts w:eastAsia="MS Gothic" w:cs="Times New Roman"/>
          <w:b/>
          <w:lang w:val="fr-FR" w:eastAsia="fr-FR" w:bidi="fr-FR"/>
        </w:rPr>
      </w:pPr>
    </w:p>
    <w:p w14:paraId="25F247E3" w14:textId="77777777" w:rsidR="00654430" w:rsidRPr="004E13E9" w:rsidRDefault="00654430" w:rsidP="00654430">
      <w:pPr>
        <w:ind w:left="426" w:hanging="426"/>
        <w:contextualSpacing/>
        <w:rPr>
          <w:b/>
          <w:lang w:val="fr-FR"/>
        </w:rPr>
      </w:pPr>
      <w:r w:rsidRPr="004E13E9">
        <w:rPr>
          <w:b/>
          <w:lang w:val="fr-FR"/>
        </w:rPr>
        <w:t>2.</w:t>
      </w:r>
      <w:r w:rsidRPr="004E13E9">
        <w:rPr>
          <w:b/>
          <w:lang w:val="fr-FR"/>
        </w:rPr>
        <w:tab/>
        <w:t>Plan annuel de gestion de la capacité de pêche (paragraphes 14-21)</w:t>
      </w:r>
    </w:p>
    <w:p w14:paraId="5ABC9080" w14:textId="77777777" w:rsidR="00654430" w:rsidRPr="004E13E9" w:rsidRDefault="00654430" w:rsidP="00654430">
      <w:pPr>
        <w:widowControl w:val="0"/>
        <w:contextualSpacing/>
        <w:jc w:val="both"/>
        <w:rPr>
          <w:lang w:val="fr-FR"/>
        </w:rPr>
      </w:pPr>
    </w:p>
    <w:p w14:paraId="0F0071D1" w14:textId="77777777" w:rsidR="00654430" w:rsidRPr="004E13E9" w:rsidRDefault="00654430" w:rsidP="00654430">
      <w:pPr>
        <w:contextualSpacing/>
        <w:jc w:val="both"/>
        <w:rPr>
          <w:lang w:val="fr-FR"/>
        </w:rPr>
      </w:pPr>
      <w:r w:rsidRPr="004E13E9">
        <w:rPr>
          <w:lang w:val="fr-FR"/>
        </w:rPr>
        <w:t xml:space="preserve">Le quota de la Syrie </w:t>
      </w:r>
      <w:r w:rsidRPr="004E13E9">
        <w:rPr>
          <w:color w:val="000000"/>
          <w:lang w:val="fr-FR"/>
        </w:rPr>
        <w:t>pour</w:t>
      </w:r>
      <w:r w:rsidRPr="004E13E9">
        <w:rPr>
          <w:lang w:val="fr-FR"/>
        </w:rPr>
        <w:t xml:space="preserve"> 2026 sera de 238 tonnes. La Syrie allouant 1 tonne aux prises accessoires, le quota total disponible pour les senneurs sera de 237 tonnes. La capacité totale de pêche de la flottille syrienne de senneurs autorisés à pêcher le thon rouge est de 216,7 tonnes. Sur la base du quota alloué pour la pêche ciblée (237 tonnes), il existe une sous-capacité de 20,3 tonnes.</w:t>
      </w:r>
    </w:p>
    <w:p w14:paraId="1F1B274F" w14:textId="77777777" w:rsidR="00654430" w:rsidRPr="004E13E9" w:rsidRDefault="00654430" w:rsidP="00654430">
      <w:pPr>
        <w:rPr>
          <w:b/>
          <w:lang w:val="fr-FR"/>
        </w:rPr>
      </w:pPr>
      <w:r w:rsidRPr="004E13E9">
        <w:rPr>
          <w:b/>
          <w:lang w:val="fr-FR"/>
        </w:rPr>
        <w:br w:type="page"/>
      </w:r>
    </w:p>
    <w:p w14:paraId="6FBFC701" w14:textId="77777777" w:rsidR="00654430" w:rsidRPr="004E13E9" w:rsidRDefault="00654430" w:rsidP="00654430">
      <w:pPr>
        <w:ind w:left="426" w:hanging="426"/>
        <w:contextualSpacing/>
        <w:rPr>
          <w:b/>
          <w:lang w:val="fr-FR"/>
        </w:rPr>
      </w:pPr>
      <w:r w:rsidRPr="004E13E9">
        <w:rPr>
          <w:b/>
          <w:lang w:val="fr-FR"/>
        </w:rPr>
        <w:t>3.</w:t>
      </w:r>
      <w:r w:rsidRPr="004E13E9">
        <w:rPr>
          <w:b/>
          <w:lang w:val="fr-FR"/>
        </w:rPr>
        <w:tab/>
        <w:t xml:space="preserve">Plan annuel de gestion de l’élevage (paragraphes </w:t>
      </w:r>
      <w:r w:rsidRPr="004E13E9">
        <w:rPr>
          <w:rStyle w:val="Hyperlink"/>
          <w:b/>
          <w:u w:val="none"/>
          <w:lang w:val="fr-FR"/>
        </w:rPr>
        <w:t>22 et 23</w:t>
      </w:r>
      <w:r w:rsidRPr="004E13E9">
        <w:rPr>
          <w:b/>
          <w:lang w:val="fr-FR"/>
        </w:rPr>
        <w:t>), le cas échéant</w:t>
      </w:r>
    </w:p>
    <w:p w14:paraId="2B42723E" w14:textId="77777777" w:rsidR="00654430" w:rsidRPr="004E13E9" w:rsidRDefault="00654430" w:rsidP="00654430">
      <w:pPr>
        <w:autoSpaceDE w:val="0"/>
        <w:autoSpaceDN w:val="0"/>
        <w:adjustRightInd w:val="0"/>
        <w:ind w:right="-604"/>
        <w:contextualSpacing/>
        <w:jc w:val="both"/>
        <w:rPr>
          <w:rFonts w:eastAsia="MS Gothic" w:cs="Times New Roman"/>
          <w:color w:val="000000"/>
          <w:lang w:val="fr-FR" w:eastAsia="fr-FR" w:bidi="fr-FR"/>
        </w:rPr>
      </w:pPr>
      <w:r w:rsidRPr="004E13E9">
        <w:rPr>
          <w:lang w:val="fr-FR"/>
        </w:rPr>
        <w:t>Non applicable. Il n'y a pas d’installations d’élevage de thon rouge en Syrie.</w:t>
      </w:r>
    </w:p>
    <w:p w14:paraId="2F25782F" w14:textId="77777777" w:rsidR="00654430" w:rsidRPr="004E13E9" w:rsidRDefault="00654430" w:rsidP="00654430">
      <w:pPr>
        <w:autoSpaceDE w:val="0"/>
        <w:autoSpaceDN w:val="0"/>
        <w:adjustRightInd w:val="0"/>
        <w:ind w:left="720" w:right="-604"/>
        <w:contextualSpacing/>
        <w:jc w:val="both"/>
        <w:rPr>
          <w:rFonts w:eastAsia="MS Gothic" w:cs="Times New Roman"/>
          <w:color w:val="000000"/>
          <w:lang w:val="fr-FR" w:eastAsia="fr-FR" w:bidi="fr-FR"/>
        </w:rPr>
      </w:pPr>
    </w:p>
    <w:p w14:paraId="4B807DBD" w14:textId="77777777" w:rsidR="00654430" w:rsidRPr="004E13E9" w:rsidRDefault="00654430" w:rsidP="00654430">
      <w:pPr>
        <w:autoSpaceDE w:val="0"/>
        <w:autoSpaceDN w:val="0"/>
        <w:adjustRightInd w:val="0"/>
        <w:ind w:left="720" w:right="-604"/>
        <w:contextualSpacing/>
        <w:jc w:val="both"/>
        <w:rPr>
          <w:rFonts w:eastAsia="MS Gothic" w:cs="Times New Roman"/>
          <w:color w:val="000000"/>
          <w:lang w:val="fr-FR" w:eastAsia="fr-FR" w:bidi="fr-FR"/>
        </w:rPr>
      </w:pPr>
    </w:p>
    <w:p w14:paraId="1B648D42" w14:textId="77777777" w:rsidR="00654430" w:rsidRPr="004E13E9" w:rsidRDefault="00654430" w:rsidP="00654430">
      <w:pPr>
        <w:widowControl w:val="0"/>
        <w:ind w:left="426" w:hanging="426"/>
        <w:contextualSpacing/>
        <w:jc w:val="both"/>
        <w:rPr>
          <w:rFonts w:eastAsia="MS Gothic" w:cs="Times New Roman"/>
          <w:b/>
          <w:lang w:val="fr-FR" w:eastAsia="fr-FR" w:bidi="fr-FR"/>
        </w:rPr>
      </w:pPr>
      <w:r w:rsidRPr="004E13E9">
        <w:rPr>
          <w:rFonts w:eastAsia="MS Gothic" w:cs="Times New Roman"/>
          <w:b/>
          <w:lang w:val="fr-FR" w:eastAsia="fr-FR" w:bidi="fr-FR"/>
        </w:rPr>
        <w:t>4.</w:t>
      </w:r>
      <w:r w:rsidRPr="004E13E9">
        <w:rPr>
          <w:rFonts w:eastAsia="MS Gothic" w:cs="Times New Roman"/>
          <w:b/>
          <w:lang w:val="fr-FR" w:eastAsia="fr-FR" w:bidi="fr-FR"/>
        </w:rPr>
        <w:tab/>
        <w:t xml:space="preserve">Plan annuel d’aquaculture (paragraphe 10 e) de la </w:t>
      </w:r>
      <w:hyperlink r:id="rId179" w:history="1">
        <w:r w:rsidRPr="004E13E9">
          <w:rPr>
            <w:rFonts w:eastAsia="MS Gothic" w:cs="Times New Roman"/>
            <w:b/>
            <w:color w:val="0563C1"/>
            <w:lang w:val="fr-FR" w:eastAsia="fr-FR" w:bidi="fr-FR"/>
          </w:rPr>
          <w:t xml:space="preserve">Rec. 25-04 </w:t>
        </w:r>
      </w:hyperlink>
      <w:r w:rsidRPr="004E13E9">
        <w:rPr>
          <w:rFonts w:eastAsia="MS Gothic" w:cs="Times New Roman"/>
          <w:b/>
          <w:lang w:val="fr-FR" w:eastAsia="fr-FR" w:bidi="fr-FR"/>
        </w:rPr>
        <w:t xml:space="preserve">conformément à la </w:t>
      </w:r>
      <w:hyperlink r:id="rId180" w:history="1">
        <w:r w:rsidRPr="004E13E9">
          <w:rPr>
            <w:rFonts w:eastAsia="MS Gothic" w:cs="Times New Roman"/>
            <w:b/>
            <w:color w:val="0563C1"/>
            <w:lang w:val="fr-FR" w:eastAsia="fr-FR" w:bidi="fr-FR"/>
          </w:rPr>
          <w:t>Rec. 24-07</w:t>
        </w:r>
      </w:hyperlink>
      <w:r w:rsidRPr="004E13E9">
        <w:rPr>
          <w:rFonts w:eastAsia="MS Gothic" w:cs="Times New Roman"/>
          <w:b/>
          <w:lang w:val="fr-FR" w:eastAsia="fr-FR" w:bidi="fr-FR"/>
        </w:rPr>
        <w:t>), le cas échéant</w:t>
      </w:r>
    </w:p>
    <w:p w14:paraId="7B8BEF65" w14:textId="77777777" w:rsidR="00654430" w:rsidRPr="004E13E9" w:rsidRDefault="00654430" w:rsidP="00654430">
      <w:pPr>
        <w:widowControl w:val="0"/>
        <w:contextualSpacing/>
        <w:jc w:val="both"/>
        <w:rPr>
          <w:rFonts w:eastAsia="MS Gothic" w:cs="Simplified Arabic"/>
          <w:bCs/>
          <w:lang w:val="fr-FR" w:eastAsia="fr-FR" w:bidi="fr-FR"/>
        </w:rPr>
      </w:pPr>
    </w:p>
    <w:p w14:paraId="426BEE67" w14:textId="77777777" w:rsidR="00654430" w:rsidRPr="004E13E9" w:rsidRDefault="00654430" w:rsidP="00654430">
      <w:pPr>
        <w:widowControl w:val="0"/>
        <w:contextualSpacing/>
        <w:jc w:val="both"/>
        <w:rPr>
          <w:rFonts w:eastAsia="MS Gothic" w:cs="Simplified Arabic"/>
          <w:bCs/>
          <w:lang w:val="fr-FR" w:eastAsia="fr-FR" w:bidi="fr-FR"/>
        </w:rPr>
      </w:pPr>
      <w:r w:rsidRPr="004E13E9">
        <w:rPr>
          <w:lang w:val="fr-FR"/>
        </w:rPr>
        <w:t>Non applicable</w:t>
      </w:r>
    </w:p>
    <w:p w14:paraId="41A5B0DF" w14:textId="77777777" w:rsidR="00654430" w:rsidRPr="004E13E9" w:rsidRDefault="00654430" w:rsidP="00654430">
      <w:pPr>
        <w:ind w:left="426" w:hanging="426"/>
        <w:contextualSpacing/>
        <w:rPr>
          <w:b/>
          <w:lang w:val="fr-FR"/>
        </w:rPr>
      </w:pPr>
    </w:p>
    <w:p w14:paraId="0C7F317C" w14:textId="77777777" w:rsidR="00654430" w:rsidRPr="004E13E9" w:rsidRDefault="00654430" w:rsidP="00654430">
      <w:pPr>
        <w:ind w:left="426" w:hanging="426"/>
        <w:contextualSpacing/>
        <w:rPr>
          <w:b/>
          <w:lang w:val="fr-FR"/>
        </w:rPr>
      </w:pPr>
    </w:p>
    <w:p w14:paraId="069A06B1" w14:textId="77777777" w:rsidR="00654430" w:rsidRPr="004E13E9" w:rsidRDefault="00654430" w:rsidP="00654430">
      <w:pPr>
        <w:ind w:left="426" w:hanging="426"/>
        <w:contextualSpacing/>
        <w:rPr>
          <w:b/>
          <w:lang w:val="fr-FR"/>
        </w:rPr>
      </w:pPr>
      <w:r w:rsidRPr="004E13E9">
        <w:rPr>
          <w:b/>
          <w:lang w:val="fr-FR"/>
        </w:rPr>
        <w:t xml:space="preserve">5. </w:t>
      </w:r>
      <w:r w:rsidRPr="004E13E9">
        <w:rPr>
          <w:b/>
          <w:lang w:val="fr-FR"/>
        </w:rPr>
        <w:tab/>
        <w:t>Plan de suivi, contrôle et inspection</w:t>
      </w:r>
    </w:p>
    <w:p w14:paraId="5DFF60F5" w14:textId="77777777" w:rsidR="00654430" w:rsidRPr="004E13E9" w:rsidRDefault="00654430" w:rsidP="00654430">
      <w:pPr>
        <w:widowControl w:val="0"/>
        <w:contextualSpacing/>
        <w:rPr>
          <w:rFonts w:eastAsia="MS Gothic" w:cs="Times New Roman"/>
          <w:b/>
          <w:i/>
          <w:iCs/>
          <w:lang w:val="fr-FR" w:eastAsia="fr-FR" w:bidi="fr-FR"/>
        </w:rPr>
      </w:pPr>
    </w:p>
    <w:p w14:paraId="29377ABC" w14:textId="77777777" w:rsidR="00654430" w:rsidRPr="004E13E9" w:rsidRDefault="00654430" w:rsidP="00654430">
      <w:pPr>
        <w:widowControl w:val="0"/>
        <w:contextualSpacing/>
        <w:rPr>
          <w:rFonts w:eastAsia="MS Gothic" w:cs="Times New Roman"/>
          <w:b/>
          <w:i/>
          <w:iCs/>
          <w:lang w:val="fr-FR" w:eastAsia="fr-FR" w:bidi="fr-FR"/>
        </w:rPr>
      </w:pPr>
      <w:r w:rsidRPr="004E13E9">
        <w:rPr>
          <w:rFonts w:eastAsia="MS Gothic" w:cs="Times New Roman"/>
          <w:b/>
          <w:i/>
          <w:iCs/>
          <w:lang w:val="fr-FR" w:eastAsia="fr-FR" w:bidi="fr-FR"/>
        </w:rPr>
        <w:t>5a) Suivi, contrôle et inspection de la CPC (paragraphe 10 c)</w:t>
      </w:r>
    </w:p>
    <w:p w14:paraId="506C4F12" w14:textId="77777777" w:rsidR="00654430" w:rsidRPr="004E13E9" w:rsidRDefault="00654430" w:rsidP="00654430">
      <w:pPr>
        <w:autoSpaceDE w:val="0"/>
        <w:autoSpaceDN w:val="0"/>
        <w:adjustRightInd w:val="0"/>
        <w:ind w:right="-569"/>
        <w:contextualSpacing/>
        <w:jc w:val="both"/>
        <w:rPr>
          <w:rFonts w:eastAsia="MS Gothic" w:cs="Times New Roman"/>
          <w:i/>
          <w:color w:val="000000"/>
          <w:lang w:val="fr-FR" w:eastAsia="fr-FR" w:bidi="fr-FR"/>
        </w:rPr>
      </w:pPr>
    </w:p>
    <w:p w14:paraId="66223808" w14:textId="77777777" w:rsidR="00654430" w:rsidRPr="004E13E9" w:rsidRDefault="00654430" w:rsidP="00654430">
      <w:pPr>
        <w:contextualSpacing/>
        <w:jc w:val="both"/>
        <w:rPr>
          <w:lang w:val="fr-FR"/>
        </w:rPr>
      </w:pPr>
      <w:r w:rsidRPr="004E13E9">
        <w:rPr>
          <w:lang w:val="fr-FR"/>
        </w:rPr>
        <w:t>La majorité de la flottille syrienne est constituée de navires côtiers de petits métiers et la possibilité de capturer du thon rouge est négligeable car aucun chalutier pélagique, aucun palangrier, aucun canneur ni aucune madrague n'opère dans les eaux syriennes.</w:t>
      </w:r>
    </w:p>
    <w:p w14:paraId="49CC8A95" w14:textId="77777777" w:rsidR="00654430" w:rsidRPr="004E13E9" w:rsidRDefault="00654430" w:rsidP="00654430">
      <w:pPr>
        <w:contextualSpacing/>
        <w:jc w:val="both"/>
        <w:rPr>
          <w:lang w:val="fr-FR"/>
        </w:rPr>
      </w:pPr>
    </w:p>
    <w:p w14:paraId="46ED63C0" w14:textId="77777777" w:rsidR="00654430" w:rsidRPr="004E13E9" w:rsidRDefault="00654430" w:rsidP="00654430">
      <w:pPr>
        <w:contextualSpacing/>
        <w:jc w:val="both"/>
        <w:rPr>
          <w:lang w:val="fr-FR"/>
        </w:rPr>
      </w:pPr>
      <w:r w:rsidRPr="004E13E9">
        <w:rPr>
          <w:lang w:val="fr-FR"/>
        </w:rPr>
        <w:t>La Commission générale des pêches et de l’aquaculture est l'autorité compétente pour le contrôle et la surveillance des activités de pêche en coopération avec l’Autorité générale des frontières et des douanes et le directeur de la coopération internationale de la Commission générale des pêches et de l’aquaculture (</w:t>
      </w:r>
      <w:r w:rsidRPr="004E13E9">
        <w:rPr>
          <w:lang w:val="fr-FR" w:eastAsia="fr-FR" w:bidi="fr-FR"/>
        </w:rPr>
        <w:t>M. </w:t>
      </w:r>
      <w:r w:rsidRPr="004E13E9">
        <w:rPr>
          <w:lang w:val="fr-FR"/>
        </w:rPr>
        <w:t>Ziyad Gharqan (ziadgharqan@gmail.com) est le point de contact désigné comme responsable de la mise en œuvre de ce plan de suivi, contrôle et inspection.</w:t>
      </w:r>
    </w:p>
    <w:p w14:paraId="1C188CA0" w14:textId="77777777" w:rsidR="00654430" w:rsidRPr="004E13E9" w:rsidRDefault="00654430" w:rsidP="00654430">
      <w:pPr>
        <w:ind w:left="426" w:hanging="426"/>
        <w:contextualSpacing/>
        <w:rPr>
          <w:b/>
          <w:i/>
          <w:iCs/>
          <w:lang w:val="fr-FR"/>
        </w:rPr>
      </w:pPr>
    </w:p>
    <w:p w14:paraId="74D7A1BA" w14:textId="77777777" w:rsidR="00654430" w:rsidRPr="004E13E9" w:rsidRDefault="00654430" w:rsidP="00654430">
      <w:pPr>
        <w:ind w:left="426" w:hanging="426"/>
        <w:contextualSpacing/>
        <w:rPr>
          <w:b/>
          <w:i/>
          <w:iCs/>
          <w:lang w:val="fr-FR"/>
        </w:rPr>
      </w:pPr>
      <w:r w:rsidRPr="004E13E9">
        <w:rPr>
          <w:b/>
          <w:i/>
          <w:iCs/>
          <w:lang w:val="fr-FR"/>
        </w:rPr>
        <w:t>5b) Programme d’inspection internationale conjointe (JIS) (paragraphes 232-235)</w:t>
      </w:r>
    </w:p>
    <w:p w14:paraId="0F6440FA" w14:textId="77777777" w:rsidR="00654430" w:rsidRPr="004E13E9" w:rsidRDefault="00654430" w:rsidP="00654430">
      <w:pPr>
        <w:widowControl w:val="0"/>
        <w:contextualSpacing/>
        <w:jc w:val="both"/>
        <w:rPr>
          <w:rFonts w:eastAsia="MS Gothic" w:cs="Simplified Arabic"/>
          <w:iCs/>
          <w:color w:val="000000"/>
          <w:lang w:val="fr-FR"/>
        </w:rPr>
      </w:pPr>
      <w:r w:rsidRPr="004E13E9">
        <w:rPr>
          <w:color w:val="000000"/>
          <w:lang w:val="fr-FR"/>
        </w:rPr>
        <w:t>A</w:t>
      </w:r>
      <w:r w:rsidRPr="004E13E9">
        <w:rPr>
          <w:lang w:val="fr-FR"/>
        </w:rPr>
        <w:t xml:space="preserve">ucun programme d'inspection internationale conjointe </w:t>
      </w:r>
      <w:r w:rsidRPr="004E13E9">
        <w:rPr>
          <w:color w:val="000000"/>
          <w:lang w:val="fr-FR"/>
        </w:rPr>
        <w:t>n'</w:t>
      </w:r>
      <w:r w:rsidRPr="004E13E9">
        <w:rPr>
          <w:lang w:val="fr-FR"/>
        </w:rPr>
        <w:t>est en place.</w:t>
      </w:r>
    </w:p>
    <w:p w14:paraId="141D7996" w14:textId="77777777" w:rsidR="00654430" w:rsidRPr="004E13E9" w:rsidRDefault="00654430" w:rsidP="00654430">
      <w:pPr>
        <w:autoSpaceDE w:val="0"/>
        <w:autoSpaceDN w:val="0"/>
        <w:adjustRightInd w:val="0"/>
        <w:ind w:right="-569"/>
        <w:contextualSpacing/>
        <w:jc w:val="both"/>
        <w:rPr>
          <w:rFonts w:eastAsia="MS Gothic" w:cs="Simplified Arabic"/>
          <w:iCs/>
          <w:color w:val="000000"/>
          <w:lang w:val="fr-FR" w:eastAsia="fr-FR" w:bidi="fr-FR"/>
        </w:rPr>
      </w:pPr>
    </w:p>
    <w:p w14:paraId="49CE1CE6" w14:textId="77777777" w:rsidR="00654430" w:rsidRPr="004E13E9" w:rsidRDefault="00654430" w:rsidP="00654430">
      <w:pPr>
        <w:autoSpaceDE w:val="0"/>
        <w:autoSpaceDN w:val="0"/>
        <w:adjustRightInd w:val="0"/>
        <w:ind w:right="-569"/>
        <w:contextualSpacing/>
        <w:jc w:val="both"/>
        <w:rPr>
          <w:rFonts w:eastAsia="MS Gothic" w:cs="Simplified Arabic"/>
          <w:iCs/>
          <w:color w:val="000000"/>
          <w:lang w:val="fr-FR" w:eastAsia="fr-FR" w:bidi="fr-FR"/>
        </w:rPr>
      </w:pPr>
    </w:p>
    <w:p w14:paraId="0337803F" w14:textId="77777777" w:rsidR="00654430" w:rsidRPr="004E13E9" w:rsidRDefault="00654430" w:rsidP="00654430">
      <w:pPr>
        <w:widowControl w:val="0"/>
        <w:ind w:left="426" w:hanging="426"/>
        <w:contextualSpacing/>
        <w:jc w:val="both"/>
        <w:rPr>
          <w:rFonts w:eastAsia="MS Gothic" w:cs="Times New Roman"/>
          <w:b/>
          <w:lang w:val="fr-FR" w:eastAsia="fr-FR" w:bidi="fr-FR"/>
        </w:rPr>
      </w:pPr>
      <w:r w:rsidRPr="004E13E9">
        <w:rPr>
          <w:rFonts w:eastAsia="MS Gothic" w:cs="Times New Roman"/>
          <w:b/>
          <w:lang w:val="fr-FR" w:eastAsia="fr-FR" w:bidi="fr-FR"/>
        </w:rPr>
        <w:t>6.</w:t>
      </w:r>
      <w:r w:rsidRPr="004E13E9">
        <w:rPr>
          <w:rFonts w:eastAsia="MS Gothic" w:cs="Times New Roman"/>
          <w:b/>
          <w:lang w:val="fr-FR" w:eastAsia="fr-FR" w:bidi="fr-FR"/>
        </w:rPr>
        <w:tab/>
        <w:t>Autres</w:t>
      </w:r>
    </w:p>
    <w:p w14:paraId="033F9874" w14:textId="77777777" w:rsidR="00654430" w:rsidRPr="004E13E9" w:rsidRDefault="00654430" w:rsidP="00654430">
      <w:pPr>
        <w:autoSpaceDE w:val="0"/>
        <w:autoSpaceDN w:val="0"/>
        <w:adjustRightInd w:val="0"/>
        <w:ind w:right="-569"/>
        <w:contextualSpacing/>
        <w:jc w:val="both"/>
        <w:rPr>
          <w:rFonts w:eastAsia="MS Gothic" w:cs="Simplified Arabic"/>
          <w:iCs/>
          <w:color w:val="000000"/>
          <w:lang w:val="fr-FR" w:eastAsia="fr-FR" w:bidi="fr-FR"/>
        </w:rPr>
      </w:pPr>
    </w:p>
    <w:p w14:paraId="39C84A06" w14:textId="77777777" w:rsidR="00654430" w:rsidRPr="004E13E9" w:rsidRDefault="00654430" w:rsidP="00654430">
      <w:pPr>
        <w:contextualSpacing/>
        <w:jc w:val="both"/>
        <w:rPr>
          <w:lang w:val="fr-FR"/>
        </w:rPr>
      </w:pPr>
      <w:r w:rsidRPr="004E13E9">
        <w:rPr>
          <w:lang w:val="fr-FR"/>
        </w:rPr>
        <w:t>Non applicable.</w:t>
      </w:r>
    </w:p>
    <w:p w14:paraId="53CC9546" w14:textId="77777777" w:rsidR="00654430" w:rsidRPr="004E13E9" w:rsidRDefault="00654430" w:rsidP="00654430">
      <w:pPr>
        <w:jc w:val="both"/>
        <w:rPr>
          <w:rFonts w:eastAsia="MS Gothic" w:cs="Times New Roman"/>
          <w:i/>
          <w:color w:val="000000"/>
          <w:lang w:val="fr-FR" w:eastAsia="ja-JP"/>
        </w:rPr>
        <w:sectPr w:rsidR="00654430" w:rsidRPr="004E13E9" w:rsidSect="00654430">
          <w:footerReference w:type="default" r:id="rId181"/>
          <w:footnotePr>
            <w:numRestart w:val="eachSect"/>
          </w:footnotePr>
          <w:pgSz w:w="11906" w:h="16838" w:code="9"/>
          <w:pgMar w:top="1418" w:right="1418" w:bottom="1418" w:left="1418" w:header="851" w:footer="1134" w:gutter="0"/>
          <w:cols w:space="425"/>
          <w:docGrid w:linePitch="360"/>
        </w:sectPr>
      </w:pPr>
    </w:p>
    <w:p w14:paraId="6A879377" w14:textId="77777777" w:rsidR="00654430" w:rsidRPr="004E13E9" w:rsidRDefault="00654430" w:rsidP="00654430">
      <w:pPr>
        <w:widowControl w:val="0"/>
        <w:rPr>
          <w:rFonts w:eastAsia="MS Gothic" w:cs="Times New Roman"/>
          <w:b/>
          <w:bCs/>
          <w:color w:val="000000"/>
          <w:lang w:val="fr-FR"/>
        </w:rPr>
      </w:pPr>
      <w:r w:rsidRPr="004E13E9">
        <w:rPr>
          <w:b/>
          <w:color w:val="000000"/>
          <w:lang w:val="fr-FR"/>
        </w:rPr>
        <w:t>Tableau sur la capacité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1"/>
        <w:gridCol w:w="1671"/>
        <w:gridCol w:w="560"/>
        <w:gridCol w:w="11"/>
        <w:gridCol w:w="596"/>
        <w:gridCol w:w="599"/>
        <w:gridCol w:w="596"/>
        <w:gridCol w:w="596"/>
        <w:gridCol w:w="596"/>
        <w:gridCol w:w="599"/>
        <w:gridCol w:w="252"/>
        <w:gridCol w:w="582"/>
        <w:gridCol w:w="596"/>
        <w:gridCol w:w="736"/>
        <w:gridCol w:w="596"/>
        <w:gridCol w:w="736"/>
        <w:gridCol w:w="596"/>
        <w:gridCol w:w="775"/>
      </w:tblGrid>
      <w:tr w:rsidR="00654430" w:rsidRPr="004E13E9" w14:paraId="780F4FCC"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noWrap/>
            <w:vAlign w:val="center"/>
            <w:hideMark/>
          </w:tcPr>
          <w:p w14:paraId="6E3131CA" w14:textId="77777777" w:rsidR="00654430" w:rsidRPr="004E13E9" w:rsidRDefault="00654430" w:rsidP="00E62E84">
            <w:pPr>
              <w:rPr>
                <w:i/>
                <w:sz w:val="16"/>
                <w:szCs w:val="16"/>
                <w:lang w:bidi="fr-FR"/>
              </w:rPr>
            </w:pPr>
            <w:r w:rsidRPr="004E13E9">
              <w:rPr>
                <w:i/>
                <w:sz w:val="16"/>
                <w:szCs w:val="16"/>
                <w:lang w:bidi="fr-FR"/>
              </w:rPr>
              <w:t xml:space="preserve">Type de </w:t>
            </w:r>
            <w:proofErr w:type="spellStart"/>
            <w:r w:rsidRPr="004E13E9">
              <w:rPr>
                <w:i/>
                <w:sz w:val="16"/>
                <w:szCs w:val="16"/>
                <w:lang w:bidi="fr-FR"/>
              </w:rPr>
              <w:t>navires</w:t>
            </w:r>
            <w:proofErr w:type="spellEnd"/>
            <w:r w:rsidRPr="004E13E9">
              <w:rPr>
                <w:i/>
                <w:sz w:val="16"/>
                <w:szCs w:val="16"/>
                <w:lang w:bidi="fr-FR"/>
              </w:rPr>
              <w:t xml:space="preserve"> </w:t>
            </w:r>
            <w:proofErr w:type="spellStart"/>
            <w:r w:rsidRPr="004E13E9">
              <w:rPr>
                <w:i/>
                <w:sz w:val="16"/>
                <w:szCs w:val="16"/>
                <w:lang w:bidi="fr-FR"/>
              </w:rPr>
              <w:t>thoniers</w:t>
            </w:r>
            <w:proofErr w:type="spellEnd"/>
          </w:p>
        </w:tc>
        <w:tc>
          <w:tcPr>
            <w:tcW w:w="797" w:type="pct"/>
            <w:gridSpan w:val="2"/>
            <w:tcBorders>
              <w:top w:val="single" w:sz="4" w:space="0" w:color="auto"/>
              <w:left w:val="single" w:sz="4" w:space="0" w:color="auto"/>
              <w:bottom w:val="single" w:sz="4" w:space="0" w:color="auto"/>
              <w:right w:val="single" w:sz="4" w:space="0" w:color="auto"/>
            </w:tcBorders>
            <w:noWrap/>
            <w:vAlign w:val="center"/>
            <w:hideMark/>
          </w:tcPr>
          <w:p w14:paraId="7050125C" w14:textId="77777777" w:rsidR="00654430" w:rsidRPr="004E13E9" w:rsidRDefault="00654430" w:rsidP="00E62E84">
            <w:pPr>
              <w:rPr>
                <w:i/>
                <w:sz w:val="16"/>
                <w:szCs w:val="16"/>
                <w:lang w:bidi="fr-FR"/>
              </w:rPr>
            </w:pPr>
          </w:p>
        </w:tc>
        <w:tc>
          <w:tcPr>
            <w:tcW w:w="431" w:type="pct"/>
            <w:gridSpan w:val="3"/>
            <w:tcBorders>
              <w:top w:val="single" w:sz="4" w:space="0" w:color="auto"/>
              <w:left w:val="single" w:sz="4" w:space="0" w:color="auto"/>
              <w:bottom w:val="single" w:sz="4" w:space="0" w:color="auto"/>
              <w:right w:val="single" w:sz="4" w:space="0" w:color="auto"/>
            </w:tcBorders>
            <w:hideMark/>
          </w:tcPr>
          <w:p w14:paraId="4ADD368D" w14:textId="77777777" w:rsidR="00654430" w:rsidRPr="004E13E9" w:rsidRDefault="00654430" w:rsidP="00E62E84">
            <w:pPr>
              <w:rPr>
                <w:i/>
                <w:sz w:val="16"/>
                <w:szCs w:val="16"/>
                <w:lang w:bidi="fr-FR"/>
              </w:rPr>
            </w:pPr>
            <w:r w:rsidRPr="004E13E9">
              <w:rPr>
                <w:i/>
                <w:sz w:val="16"/>
                <w:szCs w:val="16"/>
                <w:lang w:bidi="fr-FR"/>
              </w:rPr>
              <w:t xml:space="preserve">Année de </w:t>
            </w:r>
            <w:proofErr w:type="spellStart"/>
            <w:r w:rsidRPr="004E13E9">
              <w:rPr>
                <w:i/>
                <w:sz w:val="16"/>
                <w:szCs w:val="16"/>
                <w:lang w:bidi="fr-FR"/>
              </w:rPr>
              <w:t>réf</w:t>
            </w:r>
            <w:proofErr w:type="spellEnd"/>
            <w:r w:rsidRPr="004E13E9">
              <w:rPr>
                <w:i/>
                <w:sz w:val="16"/>
                <w:szCs w:val="16"/>
                <w:lang w:bidi="fr-FR"/>
              </w:rPr>
              <w:t>.</w:t>
            </w:r>
          </w:p>
        </w:tc>
        <w:tc>
          <w:tcPr>
            <w:tcW w:w="853" w:type="pct"/>
            <w:gridSpan w:val="4"/>
            <w:tcBorders>
              <w:top w:val="single" w:sz="4" w:space="0" w:color="auto"/>
              <w:left w:val="single" w:sz="4" w:space="0" w:color="auto"/>
              <w:bottom w:val="single" w:sz="4" w:space="0" w:color="auto"/>
              <w:right w:val="single" w:sz="4" w:space="0" w:color="auto"/>
            </w:tcBorders>
            <w:vAlign w:val="center"/>
            <w:hideMark/>
          </w:tcPr>
          <w:p w14:paraId="2382A50D" w14:textId="77777777" w:rsidR="00654430" w:rsidRPr="004E13E9" w:rsidRDefault="00654430" w:rsidP="00E62E84">
            <w:pPr>
              <w:rPr>
                <w:sz w:val="16"/>
                <w:szCs w:val="16"/>
                <w:lang w:bidi="fr-FR"/>
              </w:rPr>
            </w:pPr>
            <w:r w:rsidRPr="004E13E9">
              <w:rPr>
                <w:i/>
                <w:sz w:val="16"/>
                <w:szCs w:val="16"/>
                <w:lang w:bidi="fr-FR"/>
              </w:rPr>
              <w:t xml:space="preserve">Nombre de </w:t>
            </w:r>
            <w:proofErr w:type="spellStart"/>
            <w:r w:rsidRPr="004E13E9">
              <w:rPr>
                <w:i/>
                <w:sz w:val="16"/>
                <w:szCs w:val="16"/>
                <w:lang w:bidi="fr-FR"/>
              </w:rPr>
              <w:t>navires</w:t>
            </w:r>
            <w:proofErr w:type="spellEnd"/>
          </w:p>
        </w:tc>
        <w:tc>
          <w:tcPr>
            <w:tcW w:w="298"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602B7CA" w14:textId="77777777" w:rsidR="00654430" w:rsidRPr="004E13E9" w:rsidRDefault="00654430" w:rsidP="00E62E84">
            <w:pPr>
              <w:rPr>
                <w:sz w:val="16"/>
                <w:szCs w:val="16"/>
                <w:lang w:bidi="fr-FR"/>
              </w:rPr>
            </w:pPr>
          </w:p>
        </w:tc>
        <w:tc>
          <w:tcPr>
            <w:tcW w:w="476" w:type="pct"/>
            <w:gridSpan w:val="2"/>
            <w:tcBorders>
              <w:top w:val="single" w:sz="4" w:space="0" w:color="auto"/>
              <w:left w:val="single" w:sz="4" w:space="0" w:color="auto"/>
              <w:bottom w:val="single" w:sz="4" w:space="0" w:color="auto"/>
              <w:right w:val="single" w:sz="4" w:space="0" w:color="auto"/>
            </w:tcBorders>
            <w:hideMark/>
          </w:tcPr>
          <w:p w14:paraId="1151B8F2" w14:textId="77777777" w:rsidR="00654430" w:rsidRPr="004E13E9" w:rsidRDefault="00654430" w:rsidP="00E62E84">
            <w:pPr>
              <w:rPr>
                <w:i/>
                <w:sz w:val="16"/>
                <w:szCs w:val="16"/>
                <w:lang w:bidi="fr-FR"/>
              </w:rPr>
            </w:pPr>
            <w:r w:rsidRPr="004E13E9">
              <w:rPr>
                <w:i/>
                <w:sz w:val="16"/>
                <w:szCs w:val="16"/>
                <w:lang w:bidi="fr-FR"/>
              </w:rPr>
              <w:t xml:space="preserve">Année de </w:t>
            </w:r>
            <w:proofErr w:type="spellStart"/>
            <w:r w:rsidRPr="004E13E9">
              <w:rPr>
                <w:i/>
                <w:sz w:val="16"/>
                <w:szCs w:val="16"/>
                <w:lang w:bidi="fr-FR"/>
              </w:rPr>
              <w:t>réf</w:t>
            </w:r>
            <w:proofErr w:type="spellEnd"/>
            <w:r w:rsidRPr="004E13E9">
              <w:rPr>
                <w:i/>
                <w:sz w:val="16"/>
                <w:szCs w:val="16"/>
                <w:lang w:bidi="fr-FR"/>
              </w:rPr>
              <w:t>.</w:t>
            </w:r>
          </w:p>
        </w:tc>
        <w:tc>
          <w:tcPr>
            <w:tcW w:w="966" w:type="pct"/>
            <w:gridSpan w:val="4"/>
            <w:tcBorders>
              <w:top w:val="single" w:sz="4" w:space="0" w:color="auto"/>
              <w:left w:val="single" w:sz="4" w:space="0" w:color="auto"/>
              <w:bottom w:val="single" w:sz="4" w:space="0" w:color="auto"/>
              <w:right w:val="single" w:sz="4" w:space="0" w:color="auto"/>
            </w:tcBorders>
            <w:hideMark/>
          </w:tcPr>
          <w:p w14:paraId="0730D95C" w14:textId="77777777" w:rsidR="00654430" w:rsidRPr="004E13E9" w:rsidRDefault="00654430" w:rsidP="00E62E84">
            <w:pPr>
              <w:rPr>
                <w:i/>
                <w:sz w:val="16"/>
                <w:szCs w:val="16"/>
                <w:lang w:bidi="fr-FR"/>
              </w:rPr>
            </w:pPr>
            <w:proofErr w:type="spellStart"/>
            <w:r w:rsidRPr="004E13E9">
              <w:rPr>
                <w:i/>
                <w:sz w:val="16"/>
                <w:szCs w:val="16"/>
                <w:lang w:bidi="fr-FR"/>
              </w:rPr>
              <w:t>Capacité</w:t>
            </w:r>
            <w:proofErr w:type="spellEnd"/>
            <w:r w:rsidRPr="004E13E9">
              <w:rPr>
                <w:i/>
                <w:sz w:val="16"/>
                <w:szCs w:val="16"/>
                <w:lang w:bidi="fr-FR"/>
              </w:rPr>
              <w:t xml:space="preserve"> de </w:t>
            </w:r>
            <w:proofErr w:type="spellStart"/>
            <w:r w:rsidRPr="004E13E9">
              <w:rPr>
                <w:i/>
                <w:sz w:val="16"/>
                <w:szCs w:val="16"/>
                <w:lang w:bidi="fr-FR"/>
              </w:rPr>
              <w:t>pêche</w:t>
            </w:r>
            <w:proofErr w:type="spellEnd"/>
          </w:p>
        </w:tc>
      </w:tr>
      <w:tr w:rsidR="00654430" w:rsidRPr="004E13E9" w14:paraId="415E37C6"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noWrap/>
            <w:vAlign w:val="center"/>
            <w:hideMark/>
          </w:tcPr>
          <w:p w14:paraId="7E7539D8" w14:textId="77777777" w:rsidR="00654430" w:rsidRPr="004E13E9" w:rsidRDefault="00654430" w:rsidP="00E62E84">
            <w:pPr>
              <w:rPr>
                <w:b/>
                <w:sz w:val="16"/>
                <w:szCs w:val="16"/>
                <w:lang w:bidi="fr-FR"/>
              </w:rPr>
            </w:pPr>
            <w:r w:rsidRPr="004E13E9">
              <w:rPr>
                <w:b/>
                <w:sz w:val="16"/>
                <w:szCs w:val="16"/>
                <w:lang w:bidi="fr-FR"/>
              </w:rPr>
              <w:t>Type</w:t>
            </w:r>
          </w:p>
        </w:tc>
        <w:tc>
          <w:tcPr>
            <w:tcW w:w="597" w:type="pct"/>
            <w:tcBorders>
              <w:top w:val="single" w:sz="4" w:space="0" w:color="auto"/>
              <w:left w:val="single" w:sz="4" w:space="0" w:color="auto"/>
              <w:bottom w:val="single" w:sz="4" w:space="0" w:color="auto"/>
              <w:right w:val="single" w:sz="4" w:space="0" w:color="auto"/>
            </w:tcBorders>
            <w:vAlign w:val="center"/>
            <w:hideMark/>
          </w:tcPr>
          <w:p w14:paraId="723913AB" w14:textId="77777777" w:rsidR="00654430" w:rsidRPr="004E13E9" w:rsidRDefault="00654430" w:rsidP="00E62E84">
            <w:pPr>
              <w:rPr>
                <w:sz w:val="16"/>
                <w:szCs w:val="16"/>
                <w:lang w:val="fr-FR" w:bidi="fr-FR"/>
              </w:rPr>
            </w:pPr>
            <w:r w:rsidRPr="004E13E9">
              <w:rPr>
                <w:sz w:val="16"/>
                <w:szCs w:val="16"/>
                <w:lang w:val="fr-FR" w:bidi="fr-FR"/>
              </w:rPr>
              <w:t xml:space="preserve">Meilleurs taux de capture </w:t>
            </w:r>
          </w:p>
          <w:p w14:paraId="12B47F3C" w14:textId="77777777" w:rsidR="00654430" w:rsidRPr="004E13E9" w:rsidRDefault="00654430" w:rsidP="00E62E84">
            <w:pPr>
              <w:rPr>
                <w:sz w:val="16"/>
                <w:szCs w:val="16"/>
                <w:lang w:val="fr-FR" w:bidi="fr-FR"/>
              </w:rPr>
            </w:pPr>
            <w:r w:rsidRPr="004E13E9">
              <w:rPr>
                <w:sz w:val="16"/>
                <w:szCs w:val="16"/>
                <w:lang w:val="fr-FR" w:bidi="fr-FR"/>
              </w:rPr>
              <w:t xml:space="preserve">définis par le SCRS </w:t>
            </w:r>
          </w:p>
          <w:p w14:paraId="3181DADE" w14:textId="77777777" w:rsidR="00654430" w:rsidRPr="004E13E9" w:rsidRDefault="00654430" w:rsidP="00E62E84">
            <w:pPr>
              <w:rPr>
                <w:sz w:val="16"/>
                <w:szCs w:val="16"/>
                <w:lang w:bidi="fr-FR"/>
              </w:rPr>
            </w:pPr>
            <w:proofErr w:type="spellStart"/>
            <w:r w:rsidRPr="004E13E9">
              <w:rPr>
                <w:sz w:val="16"/>
                <w:szCs w:val="16"/>
                <w:lang w:bidi="fr-FR"/>
              </w:rPr>
              <w:t>en</w:t>
            </w:r>
            <w:proofErr w:type="spellEnd"/>
            <w:r w:rsidRPr="004E13E9">
              <w:rPr>
                <w:sz w:val="16"/>
                <w:szCs w:val="16"/>
                <w:lang w:bidi="fr-FR"/>
              </w:rPr>
              <w:t xml:space="preserve"> 2009</w:t>
            </w:r>
            <w:r w:rsidRPr="004E13E9">
              <w:rPr>
                <w:sz w:val="16"/>
                <w:szCs w:val="16"/>
                <w:vertAlign w:val="superscript"/>
                <w:lang w:bidi="fr-FR"/>
              </w:rPr>
              <w:t>1</w:t>
            </w:r>
            <w:r w:rsidRPr="004E13E9">
              <w:rPr>
                <w:sz w:val="16"/>
                <w:szCs w:val="16"/>
                <w:lang w:bidi="fr-FR"/>
              </w:rPr>
              <w:t xml:space="preserve"> (t)</w:t>
            </w:r>
          </w:p>
        </w:tc>
        <w:tc>
          <w:tcPr>
            <w:tcW w:w="204" w:type="pct"/>
            <w:gridSpan w:val="2"/>
            <w:tcBorders>
              <w:top w:val="single" w:sz="4" w:space="0" w:color="auto"/>
              <w:left w:val="single" w:sz="4" w:space="0" w:color="auto"/>
              <w:bottom w:val="single" w:sz="4" w:space="0" w:color="auto"/>
              <w:right w:val="single" w:sz="4" w:space="0" w:color="auto"/>
            </w:tcBorders>
            <w:vAlign w:val="center"/>
            <w:hideMark/>
          </w:tcPr>
          <w:p w14:paraId="5DB647B8" w14:textId="77777777" w:rsidR="00654430" w:rsidRPr="004E13E9" w:rsidRDefault="00654430" w:rsidP="00E62E84">
            <w:pPr>
              <w:rPr>
                <w:sz w:val="16"/>
                <w:szCs w:val="16"/>
                <w:lang w:bidi="fr-FR"/>
              </w:rPr>
            </w:pPr>
            <w:r w:rsidRPr="004E13E9">
              <w:rPr>
                <w:sz w:val="16"/>
                <w:szCs w:val="16"/>
                <w:lang w:bidi="fr-FR"/>
              </w:rPr>
              <w:t>2006</w:t>
            </w: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34EA4C37" w14:textId="77777777" w:rsidR="00654430" w:rsidRPr="004E13E9" w:rsidRDefault="00654430" w:rsidP="00E62E84">
            <w:pPr>
              <w:rPr>
                <w:sz w:val="16"/>
                <w:szCs w:val="16"/>
                <w:lang w:bidi="fr-FR"/>
              </w:rPr>
            </w:pPr>
            <w:r w:rsidRPr="004E13E9">
              <w:rPr>
                <w:sz w:val="16"/>
                <w:szCs w:val="16"/>
                <w:lang w:bidi="fr-FR"/>
              </w:rPr>
              <w:t>2008</w:t>
            </w:r>
          </w:p>
        </w:tc>
        <w:tc>
          <w:tcPr>
            <w:tcW w:w="214" w:type="pct"/>
            <w:tcBorders>
              <w:top w:val="single" w:sz="4" w:space="0" w:color="auto"/>
              <w:left w:val="single" w:sz="4" w:space="0" w:color="auto"/>
              <w:bottom w:val="single" w:sz="4" w:space="0" w:color="auto"/>
              <w:right w:val="single" w:sz="4" w:space="0" w:color="auto"/>
            </w:tcBorders>
            <w:vAlign w:val="center"/>
            <w:hideMark/>
          </w:tcPr>
          <w:p w14:paraId="1B7AA2D0" w14:textId="77777777" w:rsidR="00654430" w:rsidRPr="004E13E9" w:rsidRDefault="00654430" w:rsidP="00E62E84">
            <w:pPr>
              <w:rPr>
                <w:sz w:val="16"/>
                <w:szCs w:val="16"/>
                <w:lang w:bidi="fr-FR"/>
              </w:rPr>
            </w:pPr>
            <w:r w:rsidRPr="004E13E9">
              <w:rPr>
                <w:sz w:val="16"/>
                <w:szCs w:val="16"/>
                <w:lang w:bidi="fr-FR"/>
              </w:rPr>
              <w:t>2018</w:t>
            </w:r>
          </w:p>
        </w:tc>
        <w:tc>
          <w:tcPr>
            <w:tcW w:w="213" w:type="pct"/>
            <w:tcBorders>
              <w:top w:val="single" w:sz="4" w:space="0" w:color="auto"/>
              <w:left w:val="single" w:sz="4" w:space="0" w:color="auto"/>
              <w:bottom w:val="single" w:sz="4" w:space="0" w:color="auto"/>
              <w:right w:val="single" w:sz="4" w:space="0" w:color="auto"/>
            </w:tcBorders>
            <w:vAlign w:val="center"/>
            <w:hideMark/>
          </w:tcPr>
          <w:p w14:paraId="4AC4CE51" w14:textId="77777777" w:rsidR="00654430" w:rsidRPr="004E13E9" w:rsidRDefault="00654430" w:rsidP="00E62E84">
            <w:pPr>
              <w:rPr>
                <w:sz w:val="16"/>
                <w:szCs w:val="16"/>
                <w:lang w:bidi="fr-FR"/>
              </w:rPr>
            </w:pPr>
            <w:r w:rsidRPr="004E13E9">
              <w:rPr>
                <w:sz w:val="16"/>
                <w:szCs w:val="16"/>
                <w:lang w:bidi="fr-FR"/>
              </w:rPr>
              <w:t>2023</w:t>
            </w:r>
          </w:p>
        </w:tc>
        <w:tc>
          <w:tcPr>
            <w:tcW w:w="213" w:type="pct"/>
            <w:tcBorders>
              <w:top w:val="single" w:sz="4" w:space="0" w:color="auto"/>
              <w:left w:val="single" w:sz="4" w:space="0" w:color="auto"/>
              <w:bottom w:val="single" w:sz="4" w:space="0" w:color="auto"/>
              <w:right w:val="single" w:sz="4" w:space="0" w:color="auto"/>
            </w:tcBorders>
            <w:vAlign w:val="center"/>
            <w:hideMark/>
          </w:tcPr>
          <w:p w14:paraId="7B2BE193" w14:textId="77777777" w:rsidR="00654430" w:rsidRPr="004E13E9" w:rsidRDefault="00654430" w:rsidP="00E62E84">
            <w:pPr>
              <w:rPr>
                <w:sz w:val="16"/>
                <w:szCs w:val="16"/>
                <w:lang w:bidi="fr-FR"/>
              </w:rPr>
            </w:pPr>
            <w:r w:rsidRPr="004E13E9">
              <w:rPr>
                <w:sz w:val="16"/>
                <w:szCs w:val="16"/>
                <w:lang w:bidi="fr-FR"/>
              </w:rPr>
              <w:t>2024</w:t>
            </w:r>
          </w:p>
        </w:tc>
        <w:tc>
          <w:tcPr>
            <w:tcW w:w="213" w:type="pct"/>
            <w:tcBorders>
              <w:top w:val="single" w:sz="4" w:space="0" w:color="auto"/>
              <w:left w:val="single" w:sz="4" w:space="0" w:color="auto"/>
              <w:bottom w:val="single" w:sz="4" w:space="0" w:color="auto"/>
              <w:right w:val="single" w:sz="4" w:space="0" w:color="auto"/>
            </w:tcBorders>
            <w:vAlign w:val="center"/>
            <w:hideMark/>
          </w:tcPr>
          <w:p w14:paraId="5D79B0AC" w14:textId="77777777" w:rsidR="00654430" w:rsidRPr="004E13E9" w:rsidRDefault="00654430" w:rsidP="00E62E84">
            <w:pPr>
              <w:rPr>
                <w:sz w:val="16"/>
                <w:szCs w:val="16"/>
                <w:lang w:bidi="fr-FR"/>
              </w:rPr>
            </w:pPr>
            <w:r w:rsidRPr="004E13E9">
              <w:rPr>
                <w:sz w:val="16"/>
                <w:szCs w:val="16"/>
                <w:lang w:bidi="fr-FR"/>
              </w:rPr>
              <w:t>2025</w:t>
            </w:r>
          </w:p>
        </w:tc>
        <w:tc>
          <w:tcPr>
            <w:tcW w:w="214" w:type="pct"/>
            <w:tcBorders>
              <w:top w:val="single" w:sz="4" w:space="0" w:color="auto"/>
              <w:left w:val="single" w:sz="4" w:space="0" w:color="auto"/>
              <w:bottom w:val="single" w:sz="4" w:space="0" w:color="auto"/>
              <w:right w:val="single" w:sz="4" w:space="0" w:color="auto"/>
            </w:tcBorders>
            <w:vAlign w:val="center"/>
            <w:hideMark/>
          </w:tcPr>
          <w:p w14:paraId="207BA275" w14:textId="77777777" w:rsidR="00654430" w:rsidRPr="004E13E9" w:rsidRDefault="00654430" w:rsidP="00E62E84">
            <w:pPr>
              <w:rPr>
                <w:sz w:val="16"/>
                <w:szCs w:val="16"/>
                <w:lang w:bidi="fr-FR"/>
              </w:rPr>
            </w:pPr>
            <w:r w:rsidRPr="004E13E9">
              <w:rPr>
                <w:sz w:val="16"/>
                <w:szCs w:val="16"/>
                <w:lang w:bidi="fr-FR"/>
              </w:rPr>
              <w:t>2026</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2143287" w14:textId="77777777" w:rsidR="00654430" w:rsidRPr="004E13E9" w:rsidRDefault="00654430" w:rsidP="00E62E84">
            <w:pPr>
              <w:rPr>
                <w:sz w:val="16"/>
                <w:szCs w:val="16"/>
                <w:lang w:bidi="fr-FR"/>
              </w:rPr>
            </w:pPr>
          </w:p>
        </w:tc>
        <w:tc>
          <w:tcPr>
            <w:tcW w:w="208" w:type="pct"/>
            <w:tcBorders>
              <w:top w:val="single" w:sz="4" w:space="0" w:color="auto"/>
              <w:left w:val="single" w:sz="4" w:space="0" w:color="auto"/>
              <w:bottom w:val="single" w:sz="4" w:space="0" w:color="auto"/>
              <w:right w:val="single" w:sz="4" w:space="0" w:color="auto"/>
            </w:tcBorders>
            <w:vAlign w:val="center"/>
            <w:hideMark/>
          </w:tcPr>
          <w:p w14:paraId="1BE33E96" w14:textId="77777777" w:rsidR="00654430" w:rsidRPr="004E13E9" w:rsidRDefault="00654430" w:rsidP="00E62E84">
            <w:pPr>
              <w:rPr>
                <w:sz w:val="16"/>
                <w:szCs w:val="16"/>
                <w:lang w:bidi="fr-FR"/>
              </w:rPr>
            </w:pPr>
            <w:r w:rsidRPr="004E13E9">
              <w:rPr>
                <w:sz w:val="16"/>
                <w:szCs w:val="16"/>
                <w:lang w:bidi="fr-FR"/>
              </w:rPr>
              <w:t>2006</w:t>
            </w:r>
          </w:p>
        </w:tc>
        <w:tc>
          <w:tcPr>
            <w:tcW w:w="213" w:type="pct"/>
            <w:tcBorders>
              <w:top w:val="single" w:sz="4" w:space="0" w:color="auto"/>
              <w:left w:val="single" w:sz="4" w:space="0" w:color="auto"/>
              <w:bottom w:val="single" w:sz="4" w:space="0" w:color="auto"/>
              <w:right w:val="single" w:sz="4" w:space="0" w:color="auto"/>
            </w:tcBorders>
            <w:vAlign w:val="center"/>
            <w:hideMark/>
          </w:tcPr>
          <w:p w14:paraId="77E4B64A" w14:textId="77777777" w:rsidR="00654430" w:rsidRPr="004E13E9" w:rsidRDefault="00654430" w:rsidP="00E62E84">
            <w:pPr>
              <w:rPr>
                <w:sz w:val="16"/>
                <w:szCs w:val="16"/>
                <w:lang w:bidi="fr-FR"/>
              </w:rPr>
            </w:pPr>
            <w:r w:rsidRPr="004E13E9">
              <w:rPr>
                <w:sz w:val="16"/>
                <w:szCs w:val="16"/>
                <w:lang w:bidi="fr-FR"/>
              </w:rPr>
              <w:t>2008</w:t>
            </w:r>
          </w:p>
        </w:tc>
        <w:tc>
          <w:tcPr>
            <w:tcW w:w="263" w:type="pct"/>
            <w:tcBorders>
              <w:top w:val="single" w:sz="4" w:space="0" w:color="auto"/>
              <w:left w:val="single" w:sz="4" w:space="0" w:color="auto"/>
              <w:bottom w:val="single" w:sz="4" w:space="0" w:color="auto"/>
              <w:right w:val="single" w:sz="4" w:space="0" w:color="auto"/>
            </w:tcBorders>
            <w:vAlign w:val="center"/>
            <w:hideMark/>
          </w:tcPr>
          <w:p w14:paraId="1C321EC2" w14:textId="77777777" w:rsidR="00654430" w:rsidRPr="004E13E9" w:rsidRDefault="00654430" w:rsidP="00E62E84">
            <w:pPr>
              <w:rPr>
                <w:sz w:val="16"/>
                <w:szCs w:val="16"/>
                <w:lang w:bidi="fr-FR"/>
              </w:rPr>
            </w:pPr>
            <w:r w:rsidRPr="004E13E9">
              <w:rPr>
                <w:sz w:val="16"/>
                <w:szCs w:val="16"/>
                <w:lang w:bidi="fr-FR"/>
              </w:rPr>
              <w:t>2018</w:t>
            </w:r>
          </w:p>
        </w:tc>
        <w:tc>
          <w:tcPr>
            <w:tcW w:w="213" w:type="pct"/>
            <w:tcBorders>
              <w:top w:val="single" w:sz="4" w:space="0" w:color="auto"/>
              <w:left w:val="single" w:sz="4" w:space="0" w:color="auto"/>
              <w:bottom w:val="single" w:sz="4" w:space="0" w:color="auto"/>
              <w:right w:val="single" w:sz="4" w:space="0" w:color="auto"/>
            </w:tcBorders>
            <w:vAlign w:val="center"/>
            <w:hideMark/>
          </w:tcPr>
          <w:p w14:paraId="49D2C547" w14:textId="77777777" w:rsidR="00654430" w:rsidRPr="004E13E9" w:rsidRDefault="00654430" w:rsidP="00E62E84">
            <w:pPr>
              <w:rPr>
                <w:sz w:val="16"/>
                <w:szCs w:val="16"/>
                <w:lang w:bidi="fr-FR"/>
              </w:rPr>
            </w:pPr>
            <w:r w:rsidRPr="004E13E9">
              <w:rPr>
                <w:sz w:val="16"/>
                <w:szCs w:val="16"/>
                <w:lang w:bidi="fr-FR"/>
              </w:rPr>
              <w:t>2023</w:t>
            </w:r>
          </w:p>
        </w:tc>
        <w:tc>
          <w:tcPr>
            <w:tcW w:w="263" w:type="pct"/>
            <w:tcBorders>
              <w:top w:val="single" w:sz="4" w:space="0" w:color="auto"/>
              <w:left w:val="single" w:sz="4" w:space="0" w:color="auto"/>
              <w:bottom w:val="single" w:sz="4" w:space="0" w:color="auto"/>
              <w:right w:val="single" w:sz="4" w:space="0" w:color="auto"/>
            </w:tcBorders>
            <w:vAlign w:val="center"/>
            <w:hideMark/>
          </w:tcPr>
          <w:p w14:paraId="35E7159A" w14:textId="77777777" w:rsidR="00654430" w:rsidRPr="004E13E9" w:rsidRDefault="00654430" w:rsidP="00E62E84">
            <w:pPr>
              <w:rPr>
                <w:sz w:val="16"/>
                <w:szCs w:val="16"/>
                <w:lang w:bidi="fr-FR"/>
              </w:rPr>
            </w:pPr>
            <w:r w:rsidRPr="004E13E9">
              <w:rPr>
                <w:sz w:val="16"/>
                <w:szCs w:val="16"/>
                <w:lang w:bidi="fr-FR"/>
              </w:rPr>
              <w:t>2024</w:t>
            </w:r>
          </w:p>
        </w:tc>
        <w:tc>
          <w:tcPr>
            <w:tcW w:w="213" w:type="pct"/>
            <w:tcBorders>
              <w:top w:val="single" w:sz="4" w:space="0" w:color="auto"/>
              <w:left w:val="single" w:sz="4" w:space="0" w:color="auto"/>
              <w:bottom w:val="single" w:sz="4" w:space="0" w:color="auto"/>
              <w:right w:val="single" w:sz="4" w:space="0" w:color="auto"/>
            </w:tcBorders>
            <w:vAlign w:val="center"/>
            <w:hideMark/>
          </w:tcPr>
          <w:p w14:paraId="7D34827E" w14:textId="77777777" w:rsidR="00654430" w:rsidRPr="004E13E9" w:rsidRDefault="00654430" w:rsidP="00E62E84">
            <w:pPr>
              <w:rPr>
                <w:sz w:val="16"/>
                <w:szCs w:val="16"/>
                <w:lang w:bidi="fr-FR"/>
              </w:rPr>
            </w:pPr>
            <w:r w:rsidRPr="004E13E9">
              <w:rPr>
                <w:sz w:val="16"/>
                <w:szCs w:val="16"/>
                <w:lang w:bidi="fr-FR"/>
              </w:rPr>
              <w:t>2025</w:t>
            </w:r>
          </w:p>
        </w:tc>
        <w:tc>
          <w:tcPr>
            <w:tcW w:w="277" w:type="pct"/>
            <w:tcBorders>
              <w:top w:val="single" w:sz="4" w:space="0" w:color="auto"/>
              <w:left w:val="single" w:sz="4" w:space="0" w:color="auto"/>
              <w:bottom w:val="single" w:sz="4" w:space="0" w:color="auto"/>
              <w:right w:val="single" w:sz="4" w:space="0" w:color="auto"/>
            </w:tcBorders>
            <w:vAlign w:val="center"/>
            <w:hideMark/>
          </w:tcPr>
          <w:p w14:paraId="627F1BE6" w14:textId="77777777" w:rsidR="00654430" w:rsidRPr="004E13E9" w:rsidRDefault="00654430" w:rsidP="00E62E84">
            <w:pPr>
              <w:rPr>
                <w:sz w:val="16"/>
                <w:szCs w:val="16"/>
                <w:lang w:bidi="fr-FR"/>
              </w:rPr>
            </w:pPr>
            <w:r w:rsidRPr="004E13E9">
              <w:rPr>
                <w:sz w:val="16"/>
                <w:szCs w:val="16"/>
                <w:lang w:bidi="fr-FR"/>
              </w:rPr>
              <w:t>2026</w:t>
            </w:r>
          </w:p>
        </w:tc>
      </w:tr>
      <w:tr w:rsidR="00654430" w:rsidRPr="004E13E9" w14:paraId="4A1BEECC"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noWrap/>
            <w:vAlign w:val="center"/>
            <w:hideMark/>
          </w:tcPr>
          <w:p w14:paraId="568E6C03" w14:textId="77777777" w:rsidR="00654430" w:rsidRPr="004E13E9" w:rsidRDefault="00654430" w:rsidP="00E62E84">
            <w:pPr>
              <w:rPr>
                <w:sz w:val="16"/>
                <w:szCs w:val="16"/>
                <w:lang w:val="fr-FR" w:bidi="fr-FR"/>
              </w:rPr>
            </w:pPr>
            <w:r w:rsidRPr="004E13E9">
              <w:rPr>
                <w:sz w:val="16"/>
                <w:szCs w:val="16"/>
                <w:lang w:val="fr-FR" w:bidi="fr-FR"/>
              </w:rPr>
              <w:t>Senneur de plus de 40 m</w:t>
            </w:r>
          </w:p>
        </w:tc>
        <w:tc>
          <w:tcPr>
            <w:tcW w:w="597" w:type="pct"/>
            <w:tcBorders>
              <w:top w:val="single" w:sz="4" w:space="0" w:color="auto"/>
              <w:left w:val="single" w:sz="4" w:space="0" w:color="auto"/>
              <w:bottom w:val="single" w:sz="4" w:space="0" w:color="auto"/>
              <w:right w:val="single" w:sz="4" w:space="0" w:color="auto"/>
            </w:tcBorders>
            <w:noWrap/>
            <w:vAlign w:val="center"/>
            <w:hideMark/>
          </w:tcPr>
          <w:p w14:paraId="30D29B10" w14:textId="77777777" w:rsidR="00654430" w:rsidRPr="004E13E9" w:rsidRDefault="00654430" w:rsidP="00E62E84">
            <w:pPr>
              <w:rPr>
                <w:sz w:val="16"/>
                <w:szCs w:val="16"/>
                <w:lang w:bidi="fr-FR"/>
              </w:rPr>
            </w:pPr>
            <w:r w:rsidRPr="004E13E9">
              <w:rPr>
                <w:sz w:val="16"/>
                <w:szCs w:val="16"/>
                <w:lang w:bidi="fr-FR"/>
              </w:rPr>
              <w:t>70,66</w:t>
            </w:r>
          </w:p>
        </w:tc>
        <w:tc>
          <w:tcPr>
            <w:tcW w:w="204" w:type="pct"/>
            <w:gridSpan w:val="2"/>
            <w:tcBorders>
              <w:top w:val="single" w:sz="4" w:space="0" w:color="auto"/>
              <w:left w:val="single" w:sz="4" w:space="0" w:color="auto"/>
              <w:bottom w:val="single" w:sz="4" w:space="0" w:color="auto"/>
              <w:right w:val="single" w:sz="4" w:space="0" w:color="auto"/>
            </w:tcBorders>
          </w:tcPr>
          <w:p w14:paraId="1A9384D7"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285BDF49" w14:textId="77777777" w:rsidR="00654430" w:rsidRPr="004E13E9" w:rsidRDefault="00654430" w:rsidP="00E62E84">
            <w:pPr>
              <w:rPr>
                <w:sz w:val="16"/>
                <w:szCs w:val="16"/>
                <w:lang w:bidi="fr-FR"/>
              </w:rPr>
            </w:pPr>
            <w:r w:rsidRPr="004E13E9">
              <w:rPr>
                <w:sz w:val="16"/>
                <w:szCs w:val="16"/>
                <w:lang w:bidi="fr-FR"/>
              </w:rPr>
              <w:t> </w:t>
            </w:r>
          </w:p>
        </w:tc>
        <w:tc>
          <w:tcPr>
            <w:tcW w:w="214" w:type="pct"/>
            <w:tcBorders>
              <w:top w:val="single" w:sz="4" w:space="0" w:color="auto"/>
              <w:left w:val="single" w:sz="4" w:space="0" w:color="auto"/>
              <w:bottom w:val="single" w:sz="4" w:space="0" w:color="auto"/>
              <w:right w:val="single" w:sz="4" w:space="0" w:color="auto"/>
            </w:tcBorders>
            <w:vAlign w:val="center"/>
            <w:hideMark/>
          </w:tcPr>
          <w:p w14:paraId="6791A951"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5A19724C"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1D42C0B4"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tcPr>
          <w:p w14:paraId="24E76CDE" w14:textId="77777777" w:rsidR="00654430" w:rsidRPr="004E13E9" w:rsidRDefault="00654430" w:rsidP="00E62E84">
            <w:pPr>
              <w:rPr>
                <w:sz w:val="16"/>
                <w:szCs w:val="16"/>
                <w:lang w:bidi="fr-FR"/>
              </w:rPr>
            </w:pPr>
          </w:p>
        </w:tc>
        <w:tc>
          <w:tcPr>
            <w:tcW w:w="214" w:type="pct"/>
            <w:tcBorders>
              <w:top w:val="single" w:sz="4" w:space="0" w:color="auto"/>
              <w:left w:val="single" w:sz="4" w:space="0" w:color="auto"/>
              <w:bottom w:val="single" w:sz="4" w:space="0" w:color="auto"/>
              <w:right w:val="single" w:sz="4" w:space="0" w:color="auto"/>
            </w:tcBorders>
          </w:tcPr>
          <w:p w14:paraId="5D485252" w14:textId="77777777" w:rsidR="00654430" w:rsidRPr="004E13E9" w:rsidRDefault="00654430" w:rsidP="00E62E84">
            <w:pPr>
              <w:rPr>
                <w:sz w:val="16"/>
                <w:szCs w:val="16"/>
                <w:lang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A8AED2E" w14:textId="77777777" w:rsidR="00654430" w:rsidRPr="004E13E9" w:rsidRDefault="00654430" w:rsidP="00E62E84">
            <w:pPr>
              <w:rPr>
                <w:sz w:val="16"/>
                <w:szCs w:val="16"/>
                <w:lang w:bidi="fr-FR"/>
              </w:rPr>
            </w:pPr>
            <w:r w:rsidRPr="004E13E9">
              <w:rPr>
                <w:sz w:val="16"/>
                <w:szCs w:val="16"/>
                <w:lang w:bidi="fr-FR"/>
              </w:rPr>
              <w:t> </w:t>
            </w:r>
          </w:p>
        </w:tc>
        <w:tc>
          <w:tcPr>
            <w:tcW w:w="208" w:type="pct"/>
            <w:tcBorders>
              <w:top w:val="single" w:sz="4" w:space="0" w:color="auto"/>
              <w:left w:val="single" w:sz="4" w:space="0" w:color="auto"/>
              <w:bottom w:val="single" w:sz="4" w:space="0" w:color="auto"/>
              <w:right w:val="single" w:sz="4" w:space="0" w:color="auto"/>
            </w:tcBorders>
          </w:tcPr>
          <w:p w14:paraId="7EB9CBEF"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38D181F1" w14:textId="77777777" w:rsidR="00654430" w:rsidRPr="004E13E9" w:rsidRDefault="00654430" w:rsidP="00E62E84">
            <w:pPr>
              <w:rPr>
                <w:sz w:val="16"/>
                <w:szCs w:val="16"/>
                <w:lang w:bidi="fr-FR"/>
              </w:rPr>
            </w:pPr>
            <w:r w:rsidRPr="004E13E9">
              <w:rPr>
                <w:sz w:val="16"/>
                <w:szCs w:val="16"/>
                <w:lang w:bidi="fr-FR"/>
              </w:rPr>
              <w:t> </w:t>
            </w:r>
          </w:p>
        </w:tc>
        <w:tc>
          <w:tcPr>
            <w:tcW w:w="263" w:type="pct"/>
            <w:tcBorders>
              <w:top w:val="single" w:sz="4" w:space="0" w:color="auto"/>
              <w:left w:val="single" w:sz="4" w:space="0" w:color="auto"/>
              <w:bottom w:val="single" w:sz="4" w:space="0" w:color="auto"/>
              <w:right w:val="single" w:sz="4" w:space="0" w:color="auto"/>
            </w:tcBorders>
            <w:vAlign w:val="center"/>
            <w:hideMark/>
          </w:tcPr>
          <w:p w14:paraId="5872C69A"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4639E9CC" w14:textId="77777777" w:rsidR="00654430" w:rsidRPr="004E13E9" w:rsidRDefault="00654430" w:rsidP="00E62E84">
            <w:pPr>
              <w:rPr>
                <w:sz w:val="16"/>
                <w:szCs w:val="16"/>
                <w:lang w:bidi="fr-FR"/>
              </w:rPr>
            </w:pPr>
            <w:r w:rsidRPr="004E13E9">
              <w:rPr>
                <w:sz w:val="16"/>
                <w:szCs w:val="16"/>
                <w:lang w:bidi="fr-FR"/>
              </w:rPr>
              <w:t> </w:t>
            </w:r>
          </w:p>
        </w:tc>
        <w:tc>
          <w:tcPr>
            <w:tcW w:w="263" w:type="pct"/>
            <w:tcBorders>
              <w:top w:val="single" w:sz="4" w:space="0" w:color="auto"/>
              <w:left w:val="single" w:sz="4" w:space="0" w:color="auto"/>
              <w:bottom w:val="single" w:sz="4" w:space="0" w:color="auto"/>
              <w:right w:val="single" w:sz="4" w:space="0" w:color="auto"/>
            </w:tcBorders>
            <w:vAlign w:val="center"/>
            <w:hideMark/>
          </w:tcPr>
          <w:p w14:paraId="36CB0782"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25EBDC3F" w14:textId="77777777" w:rsidR="00654430" w:rsidRPr="004E13E9" w:rsidRDefault="00654430" w:rsidP="00E62E84">
            <w:pPr>
              <w:rPr>
                <w:sz w:val="16"/>
                <w:szCs w:val="16"/>
                <w:lang w:bidi="fr-FR"/>
              </w:rPr>
            </w:pPr>
            <w:r w:rsidRPr="004E13E9">
              <w:rPr>
                <w:sz w:val="16"/>
                <w:szCs w:val="16"/>
                <w:lang w:bidi="fr-FR"/>
              </w:rPr>
              <w:t> </w:t>
            </w:r>
          </w:p>
        </w:tc>
        <w:tc>
          <w:tcPr>
            <w:tcW w:w="277" w:type="pct"/>
            <w:tcBorders>
              <w:top w:val="single" w:sz="4" w:space="0" w:color="auto"/>
              <w:left w:val="single" w:sz="4" w:space="0" w:color="auto"/>
              <w:bottom w:val="single" w:sz="4" w:space="0" w:color="auto"/>
              <w:right w:val="single" w:sz="4" w:space="0" w:color="auto"/>
            </w:tcBorders>
          </w:tcPr>
          <w:p w14:paraId="646D2471" w14:textId="77777777" w:rsidR="00654430" w:rsidRPr="004E13E9" w:rsidRDefault="00654430" w:rsidP="00E62E84">
            <w:pPr>
              <w:rPr>
                <w:sz w:val="16"/>
                <w:szCs w:val="16"/>
                <w:lang w:bidi="fr-FR"/>
              </w:rPr>
            </w:pPr>
          </w:p>
        </w:tc>
      </w:tr>
      <w:tr w:rsidR="00654430" w:rsidRPr="004E13E9" w14:paraId="5C546433"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noWrap/>
            <w:vAlign w:val="center"/>
            <w:hideMark/>
          </w:tcPr>
          <w:p w14:paraId="2CA4E998" w14:textId="77777777" w:rsidR="00654430" w:rsidRPr="004E13E9" w:rsidRDefault="00654430" w:rsidP="00E62E84">
            <w:pPr>
              <w:rPr>
                <w:sz w:val="16"/>
                <w:szCs w:val="16"/>
                <w:lang w:bidi="fr-FR"/>
              </w:rPr>
            </w:pPr>
            <w:proofErr w:type="spellStart"/>
            <w:r w:rsidRPr="004E13E9">
              <w:rPr>
                <w:sz w:val="16"/>
                <w:szCs w:val="16"/>
                <w:lang w:bidi="fr-FR"/>
              </w:rPr>
              <w:t>Senneur</w:t>
            </w:r>
            <w:proofErr w:type="spellEnd"/>
            <w:r w:rsidRPr="004E13E9">
              <w:rPr>
                <w:sz w:val="16"/>
                <w:szCs w:val="16"/>
                <w:lang w:bidi="fr-FR"/>
              </w:rPr>
              <w:t xml:space="preserve"> entre 24 et 40 m</w:t>
            </w:r>
          </w:p>
        </w:tc>
        <w:tc>
          <w:tcPr>
            <w:tcW w:w="597" w:type="pct"/>
            <w:tcBorders>
              <w:top w:val="single" w:sz="4" w:space="0" w:color="auto"/>
              <w:left w:val="single" w:sz="4" w:space="0" w:color="auto"/>
              <w:bottom w:val="single" w:sz="4" w:space="0" w:color="auto"/>
              <w:right w:val="single" w:sz="4" w:space="0" w:color="auto"/>
            </w:tcBorders>
            <w:noWrap/>
            <w:vAlign w:val="center"/>
            <w:hideMark/>
          </w:tcPr>
          <w:p w14:paraId="4DA22BC2" w14:textId="77777777" w:rsidR="00654430" w:rsidRPr="004E13E9" w:rsidRDefault="00654430" w:rsidP="00E62E84">
            <w:pPr>
              <w:rPr>
                <w:sz w:val="16"/>
                <w:szCs w:val="16"/>
                <w:lang w:bidi="fr-FR"/>
              </w:rPr>
            </w:pPr>
            <w:r w:rsidRPr="004E13E9">
              <w:rPr>
                <w:sz w:val="16"/>
                <w:szCs w:val="16"/>
                <w:lang w:bidi="fr-FR"/>
              </w:rPr>
              <w:t>49,78</w:t>
            </w:r>
          </w:p>
        </w:tc>
        <w:tc>
          <w:tcPr>
            <w:tcW w:w="204" w:type="pct"/>
            <w:gridSpan w:val="2"/>
            <w:tcBorders>
              <w:top w:val="single" w:sz="4" w:space="0" w:color="auto"/>
              <w:left w:val="single" w:sz="4" w:space="0" w:color="auto"/>
              <w:bottom w:val="single" w:sz="4" w:space="0" w:color="auto"/>
              <w:right w:val="single" w:sz="4" w:space="0" w:color="auto"/>
            </w:tcBorders>
          </w:tcPr>
          <w:p w14:paraId="61758C83"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759C7207" w14:textId="77777777" w:rsidR="00654430" w:rsidRPr="004E13E9" w:rsidRDefault="00654430" w:rsidP="00E62E84">
            <w:pPr>
              <w:rPr>
                <w:sz w:val="16"/>
                <w:szCs w:val="16"/>
                <w:lang w:bidi="fr-FR"/>
              </w:rPr>
            </w:pPr>
            <w:r w:rsidRPr="004E13E9">
              <w:rPr>
                <w:sz w:val="16"/>
                <w:szCs w:val="16"/>
                <w:lang w:bidi="fr-FR"/>
              </w:rPr>
              <w:t> </w:t>
            </w:r>
          </w:p>
        </w:tc>
        <w:tc>
          <w:tcPr>
            <w:tcW w:w="214" w:type="pct"/>
            <w:tcBorders>
              <w:top w:val="single" w:sz="4" w:space="0" w:color="auto"/>
              <w:left w:val="single" w:sz="4" w:space="0" w:color="auto"/>
              <w:bottom w:val="single" w:sz="4" w:space="0" w:color="auto"/>
              <w:right w:val="single" w:sz="4" w:space="0" w:color="auto"/>
            </w:tcBorders>
            <w:vAlign w:val="center"/>
            <w:hideMark/>
          </w:tcPr>
          <w:p w14:paraId="0DCF5ABA"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66D83F80"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1108F89B"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tcPr>
          <w:p w14:paraId="20360364" w14:textId="77777777" w:rsidR="00654430" w:rsidRPr="004E13E9" w:rsidRDefault="00654430" w:rsidP="00E62E84">
            <w:pPr>
              <w:rPr>
                <w:sz w:val="16"/>
                <w:szCs w:val="16"/>
                <w:lang w:bidi="fr-FR"/>
              </w:rPr>
            </w:pPr>
          </w:p>
        </w:tc>
        <w:tc>
          <w:tcPr>
            <w:tcW w:w="214" w:type="pct"/>
            <w:tcBorders>
              <w:top w:val="single" w:sz="4" w:space="0" w:color="auto"/>
              <w:left w:val="single" w:sz="4" w:space="0" w:color="auto"/>
              <w:bottom w:val="single" w:sz="4" w:space="0" w:color="auto"/>
              <w:right w:val="single" w:sz="4" w:space="0" w:color="auto"/>
            </w:tcBorders>
            <w:hideMark/>
          </w:tcPr>
          <w:p w14:paraId="532CC5D4" w14:textId="77777777" w:rsidR="00654430" w:rsidRPr="004E13E9" w:rsidRDefault="00654430" w:rsidP="00E62E84">
            <w:pPr>
              <w:rPr>
                <w:sz w:val="16"/>
                <w:szCs w:val="16"/>
                <w:lang w:bidi="fr-FR"/>
              </w:rPr>
            </w:pPr>
            <w:r w:rsidRPr="004E13E9">
              <w:rPr>
                <w:sz w:val="16"/>
                <w:szCs w:val="16"/>
                <w:lang w:bidi="fr-FR"/>
              </w:rPr>
              <w:t>3</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7AE4030" w14:textId="77777777" w:rsidR="00654430" w:rsidRPr="004E13E9" w:rsidRDefault="00654430" w:rsidP="00E62E84">
            <w:pPr>
              <w:rPr>
                <w:sz w:val="16"/>
                <w:szCs w:val="16"/>
                <w:lang w:bidi="fr-FR"/>
              </w:rPr>
            </w:pPr>
            <w:r w:rsidRPr="004E13E9">
              <w:rPr>
                <w:sz w:val="16"/>
                <w:szCs w:val="16"/>
                <w:lang w:bidi="fr-FR"/>
              </w:rPr>
              <w:t> </w:t>
            </w:r>
          </w:p>
        </w:tc>
        <w:tc>
          <w:tcPr>
            <w:tcW w:w="208" w:type="pct"/>
            <w:tcBorders>
              <w:top w:val="single" w:sz="4" w:space="0" w:color="auto"/>
              <w:left w:val="single" w:sz="4" w:space="0" w:color="auto"/>
              <w:bottom w:val="single" w:sz="4" w:space="0" w:color="auto"/>
              <w:right w:val="single" w:sz="4" w:space="0" w:color="auto"/>
            </w:tcBorders>
          </w:tcPr>
          <w:p w14:paraId="72E15A09"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4A47FAFD" w14:textId="77777777" w:rsidR="00654430" w:rsidRPr="004E13E9" w:rsidRDefault="00654430" w:rsidP="00E62E84">
            <w:pPr>
              <w:jc w:val="center"/>
              <w:rPr>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46748F28" w14:textId="77777777" w:rsidR="00654430" w:rsidRPr="004E13E9" w:rsidRDefault="00654430" w:rsidP="00E62E84">
            <w:pPr>
              <w:jc w:val="cente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00A4C3CF" w14:textId="77777777" w:rsidR="00654430" w:rsidRPr="004E13E9" w:rsidRDefault="00654430" w:rsidP="00E62E84">
            <w:pPr>
              <w:jc w:val="center"/>
              <w:rPr>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4BF87A3F" w14:textId="77777777" w:rsidR="00654430" w:rsidRPr="004E13E9" w:rsidRDefault="00654430" w:rsidP="00E62E84">
            <w:pPr>
              <w:jc w:val="cente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16769683" w14:textId="77777777" w:rsidR="00654430" w:rsidRPr="004E13E9" w:rsidRDefault="00654430" w:rsidP="00E62E84">
            <w:pPr>
              <w:jc w:val="center"/>
              <w:rPr>
                <w:sz w:val="16"/>
                <w:szCs w:val="16"/>
                <w:lang w:bidi="fr-FR"/>
              </w:rPr>
            </w:pPr>
          </w:p>
        </w:tc>
        <w:tc>
          <w:tcPr>
            <w:tcW w:w="277" w:type="pct"/>
            <w:tcBorders>
              <w:top w:val="single" w:sz="4" w:space="0" w:color="auto"/>
              <w:left w:val="single" w:sz="4" w:space="0" w:color="auto"/>
              <w:bottom w:val="single" w:sz="4" w:space="0" w:color="auto"/>
              <w:right w:val="single" w:sz="4" w:space="0" w:color="auto"/>
            </w:tcBorders>
            <w:vAlign w:val="center"/>
            <w:hideMark/>
          </w:tcPr>
          <w:p w14:paraId="5E78D370" w14:textId="77777777" w:rsidR="00654430" w:rsidRPr="004E13E9" w:rsidRDefault="00654430" w:rsidP="00E62E84">
            <w:pPr>
              <w:jc w:val="center"/>
              <w:rPr>
                <w:sz w:val="16"/>
                <w:szCs w:val="16"/>
                <w:lang w:bidi="fr-FR"/>
              </w:rPr>
            </w:pPr>
            <w:r w:rsidRPr="004E13E9">
              <w:rPr>
                <w:sz w:val="16"/>
                <w:szCs w:val="16"/>
                <w:lang w:bidi="fr-FR"/>
              </w:rPr>
              <w:t>149,34</w:t>
            </w:r>
          </w:p>
        </w:tc>
      </w:tr>
      <w:tr w:rsidR="00654430" w:rsidRPr="004E13E9" w14:paraId="6DC75C46"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noWrap/>
            <w:vAlign w:val="center"/>
            <w:hideMark/>
          </w:tcPr>
          <w:p w14:paraId="2C94E3AD" w14:textId="77777777" w:rsidR="00654430" w:rsidRPr="004E13E9" w:rsidRDefault="00654430" w:rsidP="00E62E84">
            <w:pPr>
              <w:rPr>
                <w:sz w:val="16"/>
                <w:szCs w:val="16"/>
                <w:lang w:val="fr-FR" w:bidi="fr-FR"/>
              </w:rPr>
            </w:pPr>
            <w:r w:rsidRPr="004E13E9">
              <w:rPr>
                <w:sz w:val="16"/>
                <w:szCs w:val="16"/>
                <w:lang w:val="fr-FR" w:bidi="fr-FR"/>
              </w:rPr>
              <w:t>Senneur de moins de 24m</w:t>
            </w:r>
          </w:p>
        </w:tc>
        <w:tc>
          <w:tcPr>
            <w:tcW w:w="597" w:type="pct"/>
            <w:tcBorders>
              <w:top w:val="single" w:sz="4" w:space="0" w:color="auto"/>
              <w:left w:val="single" w:sz="4" w:space="0" w:color="auto"/>
              <w:bottom w:val="single" w:sz="4" w:space="0" w:color="auto"/>
              <w:right w:val="single" w:sz="4" w:space="0" w:color="auto"/>
            </w:tcBorders>
            <w:noWrap/>
            <w:vAlign w:val="center"/>
            <w:hideMark/>
          </w:tcPr>
          <w:p w14:paraId="66EF33F2" w14:textId="77777777" w:rsidR="00654430" w:rsidRPr="004E13E9" w:rsidRDefault="00654430" w:rsidP="00E62E84">
            <w:pPr>
              <w:rPr>
                <w:sz w:val="16"/>
                <w:szCs w:val="16"/>
                <w:lang w:bidi="fr-FR"/>
              </w:rPr>
            </w:pPr>
            <w:r w:rsidRPr="004E13E9">
              <w:rPr>
                <w:sz w:val="16"/>
                <w:szCs w:val="16"/>
                <w:lang w:bidi="fr-FR"/>
              </w:rPr>
              <w:t>33,68</w:t>
            </w:r>
          </w:p>
        </w:tc>
        <w:tc>
          <w:tcPr>
            <w:tcW w:w="204" w:type="pct"/>
            <w:gridSpan w:val="2"/>
            <w:tcBorders>
              <w:top w:val="single" w:sz="4" w:space="0" w:color="auto"/>
              <w:left w:val="single" w:sz="4" w:space="0" w:color="auto"/>
              <w:bottom w:val="single" w:sz="4" w:space="0" w:color="auto"/>
              <w:right w:val="single" w:sz="4" w:space="0" w:color="auto"/>
            </w:tcBorders>
            <w:hideMark/>
          </w:tcPr>
          <w:p w14:paraId="01A8AB6D" w14:textId="77777777" w:rsidR="00654430" w:rsidRPr="004E13E9" w:rsidRDefault="00654430" w:rsidP="00E62E84">
            <w:pPr>
              <w:rPr>
                <w:sz w:val="16"/>
                <w:szCs w:val="16"/>
                <w:lang w:bidi="fr-FR"/>
              </w:rPr>
            </w:pPr>
            <w:r w:rsidRPr="004E13E9">
              <w:rPr>
                <w:sz w:val="16"/>
                <w:szCs w:val="16"/>
                <w:lang w:bidi="fr-FR"/>
              </w:rPr>
              <w:t>0</w:t>
            </w: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3EC52647" w14:textId="77777777" w:rsidR="00654430" w:rsidRPr="004E13E9" w:rsidRDefault="00654430" w:rsidP="00E62E84">
            <w:pPr>
              <w:rPr>
                <w:sz w:val="16"/>
                <w:szCs w:val="16"/>
                <w:lang w:bidi="fr-FR"/>
              </w:rPr>
            </w:pPr>
            <w:r w:rsidRPr="004E13E9">
              <w:rPr>
                <w:sz w:val="16"/>
                <w:szCs w:val="16"/>
                <w:lang w:bidi="fr-FR"/>
              </w:rPr>
              <w:t>0</w:t>
            </w:r>
          </w:p>
        </w:tc>
        <w:tc>
          <w:tcPr>
            <w:tcW w:w="214" w:type="pct"/>
            <w:tcBorders>
              <w:top w:val="single" w:sz="4" w:space="0" w:color="auto"/>
              <w:left w:val="single" w:sz="4" w:space="0" w:color="auto"/>
              <w:bottom w:val="single" w:sz="4" w:space="0" w:color="auto"/>
              <w:right w:val="single" w:sz="4" w:space="0" w:color="auto"/>
            </w:tcBorders>
            <w:vAlign w:val="center"/>
            <w:hideMark/>
          </w:tcPr>
          <w:p w14:paraId="2C5A35AE" w14:textId="77777777" w:rsidR="00654430" w:rsidRPr="004E13E9" w:rsidRDefault="00654430" w:rsidP="00E62E84">
            <w:pPr>
              <w:rPr>
                <w:sz w:val="16"/>
                <w:szCs w:val="16"/>
                <w:lang w:bidi="fr-FR"/>
              </w:rPr>
            </w:pPr>
            <w:r w:rsidRPr="004E13E9">
              <w:rPr>
                <w:sz w:val="16"/>
                <w:szCs w:val="16"/>
                <w:lang w:bidi="fr-FR"/>
              </w:rPr>
              <w:t>1</w:t>
            </w:r>
          </w:p>
        </w:tc>
        <w:tc>
          <w:tcPr>
            <w:tcW w:w="213" w:type="pct"/>
            <w:tcBorders>
              <w:top w:val="single" w:sz="4" w:space="0" w:color="auto"/>
              <w:left w:val="single" w:sz="4" w:space="0" w:color="auto"/>
              <w:bottom w:val="single" w:sz="4" w:space="0" w:color="auto"/>
              <w:right w:val="single" w:sz="4" w:space="0" w:color="auto"/>
            </w:tcBorders>
            <w:vAlign w:val="center"/>
            <w:hideMark/>
          </w:tcPr>
          <w:p w14:paraId="1BCA28E2" w14:textId="77777777" w:rsidR="00654430" w:rsidRPr="004E13E9" w:rsidRDefault="00654430" w:rsidP="00E62E84">
            <w:pPr>
              <w:rPr>
                <w:sz w:val="16"/>
                <w:szCs w:val="16"/>
                <w:lang w:bidi="fr-FR"/>
              </w:rPr>
            </w:pPr>
            <w:r w:rsidRPr="004E13E9">
              <w:rPr>
                <w:sz w:val="16"/>
                <w:szCs w:val="16"/>
                <w:lang w:bidi="fr-F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358F2352" w14:textId="77777777" w:rsidR="00654430" w:rsidRPr="004E13E9" w:rsidRDefault="00654430" w:rsidP="00E62E84">
            <w:pPr>
              <w:rPr>
                <w:sz w:val="16"/>
                <w:szCs w:val="16"/>
                <w:lang w:bidi="fr-FR"/>
              </w:rPr>
            </w:pPr>
            <w:r w:rsidRPr="004E13E9">
              <w:rPr>
                <w:sz w:val="16"/>
                <w:szCs w:val="16"/>
                <w:lang w:bidi="fr-FR"/>
              </w:rPr>
              <w:t>1</w:t>
            </w:r>
          </w:p>
        </w:tc>
        <w:tc>
          <w:tcPr>
            <w:tcW w:w="213" w:type="pct"/>
            <w:tcBorders>
              <w:top w:val="single" w:sz="4" w:space="0" w:color="auto"/>
              <w:left w:val="single" w:sz="4" w:space="0" w:color="auto"/>
              <w:bottom w:val="single" w:sz="4" w:space="0" w:color="auto"/>
              <w:right w:val="single" w:sz="4" w:space="0" w:color="auto"/>
            </w:tcBorders>
            <w:hideMark/>
          </w:tcPr>
          <w:p w14:paraId="4F4AC3A0" w14:textId="77777777" w:rsidR="00654430" w:rsidRPr="004E13E9" w:rsidRDefault="00654430" w:rsidP="00E62E84">
            <w:pPr>
              <w:rPr>
                <w:sz w:val="16"/>
                <w:szCs w:val="16"/>
                <w:lang w:bidi="fr-FR"/>
              </w:rPr>
            </w:pPr>
            <w:r w:rsidRPr="004E13E9">
              <w:rPr>
                <w:sz w:val="16"/>
                <w:szCs w:val="16"/>
                <w:lang w:bidi="fr-FR"/>
              </w:rPr>
              <w:t>0</w:t>
            </w:r>
          </w:p>
        </w:tc>
        <w:tc>
          <w:tcPr>
            <w:tcW w:w="214" w:type="pct"/>
            <w:tcBorders>
              <w:top w:val="single" w:sz="4" w:space="0" w:color="auto"/>
              <w:left w:val="single" w:sz="4" w:space="0" w:color="auto"/>
              <w:bottom w:val="single" w:sz="4" w:space="0" w:color="auto"/>
              <w:right w:val="single" w:sz="4" w:space="0" w:color="auto"/>
            </w:tcBorders>
            <w:hideMark/>
          </w:tcPr>
          <w:p w14:paraId="023FABDE" w14:textId="77777777" w:rsidR="00654430" w:rsidRPr="004E13E9" w:rsidRDefault="00654430" w:rsidP="00E62E84">
            <w:pPr>
              <w:rPr>
                <w:sz w:val="16"/>
                <w:szCs w:val="16"/>
                <w:lang w:bidi="fr-FR"/>
              </w:rPr>
            </w:pPr>
            <w:r w:rsidRPr="004E13E9">
              <w:rPr>
                <w:rFonts w:eastAsia="Times New Roman" w:cs="Calibri"/>
                <w:sz w:val="16"/>
                <w:szCs w:val="16"/>
                <w:lang w:eastAsia="ja-JP" w:bidi="ar-MA"/>
              </w:rPr>
              <w:t>2</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FB115D9" w14:textId="77777777" w:rsidR="00654430" w:rsidRPr="004E13E9" w:rsidRDefault="00654430" w:rsidP="00E62E84">
            <w:pPr>
              <w:rPr>
                <w:sz w:val="16"/>
                <w:szCs w:val="16"/>
                <w:lang w:bidi="fr-FR"/>
              </w:rPr>
            </w:pPr>
            <w:r w:rsidRPr="004E13E9">
              <w:rPr>
                <w:sz w:val="16"/>
                <w:szCs w:val="16"/>
                <w:lang w:bidi="fr-FR"/>
              </w:rPr>
              <w:t> </w:t>
            </w:r>
          </w:p>
        </w:tc>
        <w:tc>
          <w:tcPr>
            <w:tcW w:w="208" w:type="pct"/>
            <w:tcBorders>
              <w:top w:val="single" w:sz="4" w:space="0" w:color="auto"/>
              <w:left w:val="single" w:sz="4" w:space="0" w:color="auto"/>
              <w:bottom w:val="single" w:sz="4" w:space="0" w:color="auto"/>
              <w:right w:val="single" w:sz="4" w:space="0" w:color="auto"/>
            </w:tcBorders>
            <w:hideMark/>
          </w:tcPr>
          <w:p w14:paraId="27A01A80" w14:textId="77777777" w:rsidR="00654430" w:rsidRPr="004E13E9" w:rsidRDefault="00654430" w:rsidP="00E62E84">
            <w:pPr>
              <w:rPr>
                <w:sz w:val="16"/>
                <w:szCs w:val="16"/>
                <w:lang w:bidi="fr-FR"/>
              </w:rPr>
            </w:pPr>
            <w:r w:rsidRPr="004E13E9">
              <w:rPr>
                <w:sz w:val="16"/>
                <w:szCs w:val="16"/>
                <w:lang w:bidi="fr-F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442563DC" w14:textId="77777777" w:rsidR="00654430" w:rsidRPr="004E13E9" w:rsidRDefault="00654430" w:rsidP="00E62E84">
            <w:pPr>
              <w:jc w:val="center"/>
              <w:rPr>
                <w:sz w:val="16"/>
                <w:szCs w:val="16"/>
                <w:lang w:bidi="fr-FR"/>
              </w:rPr>
            </w:pPr>
            <w:r w:rsidRPr="004E13E9">
              <w:rPr>
                <w:sz w:val="16"/>
                <w:szCs w:val="16"/>
                <w:lang w:bidi="fr-FR"/>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6974D413" w14:textId="77777777" w:rsidR="00654430" w:rsidRPr="004E13E9" w:rsidRDefault="00654430" w:rsidP="00E62E84">
            <w:pPr>
              <w:jc w:val="center"/>
              <w:rPr>
                <w:sz w:val="16"/>
                <w:szCs w:val="16"/>
                <w:lang w:bidi="fr-FR"/>
              </w:rPr>
            </w:pPr>
            <w:r w:rsidRPr="004E13E9">
              <w:rPr>
                <w:sz w:val="16"/>
                <w:szCs w:val="16"/>
                <w:lang w:bidi="fr-FR"/>
              </w:rPr>
              <w:t>33,68</w:t>
            </w:r>
          </w:p>
        </w:tc>
        <w:tc>
          <w:tcPr>
            <w:tcW w:w="213" w:type="pct"/>
            <w:tcBorders>
              <w:top w:val="single" w:sz="4" w:space="0" w:color="auto"/>
              <w:left w:val="single" w:sz="4" w:space="0" w:color="auto"/>
              <w:bottom w:val="single" w:sz="4" w:space="0" w:color="auto"/>
              <w:right w:val="single" w:sz="4" w:space="0" w:color="auto"/>
            </w:tcBorders>
            <w:vAlign w:val="center"/>
            <w:hideMark/>
          </w:tcPr>
          <w:p w14:paraId="41F8BEFC" w14:textId="77777777" w:rsidR="00654430" w:rsidRPr="004E13E9" w:rsidRDefault="00654430" w:rsidP="00E62E84">
            <w:pPr>
              <w:jc w:val="center"/>
              <w:rPr>
                <w:sz w:val="16"/>
                <w:szCs w:val="16"/>
                <w:lang w:bidi="fr-FR"/>
              </w:rPr>
            </w:pPr>
            <w:r w:rsidRPr="004E13E9">
              <w:rPr>
                <w:sz w:val="16"/>
                <w:szCs w:val="16"/>
                <w:lang w:bidi="fr-FR"/>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7EC39A77" w14:textId="77777777" w:rsidR="00654430" w:rsidRPr="004E13E9" w:rsidRDefault="00654430" w:rsidP="00E62E84">
            <w:pPr>
              <w:jc w:val="center"/>
              <w:rPr>
                <w:sz w:val="16"/>
                <w:szCs w:val="16"/>
                <w:lang w:bidi="fr-FR"/>
              </w:rPr>
            </w:pPr>
            <w:r w:rsidRPr="004E13E9">
              <w:rPr>
                <w:sz w:val="16"/>
                <w:szCs w:val="16"/>
                <w:lang w:bidi="fr-FR"/>
              </w:rPr>
              <w:t>33,68</w:t>
            </w:r>
          </w:p>
        </w:tc>
        <w:tc>
          <w:tcPr>
            <w:tcW w:w="213" w:type="pct"/>
            <w:tcBorders>
              <w:top w:val="single" w:sz="4" w:space="0" w:color="auto"/>
              <w:left w:val="single" w:sz="4" w:space="0" w:color="auto"/>
              <w:bottom w:val="single" w:sz="4" w:space="0" w:color="auto"/>
              <w:right w:val="single" w:sz="4" w:space="0" w:color="auto"/>
            </w:tcBorders>
            <w:vAlign w:val="center"/>
            <w:hideMark/>
          </w:tcPr>
          <w:p w14:paraId="3109CE07" w14:textId="77777777" w:rsidR="00654430" w:rsidRPr="004E13E9" w:rsidRDefault="00654430" w:rsidP="00E62E84">
            <w:pPr>
              <w:jc w:val="center"/>
              <w:rPr>
                <w:sz w:val="16"/>
                <w:szCs w:val="16"/>
                <w:lang w:bidi="fr-FR"/>
              </w:rPr>
            </w:pPr>
            <w:r w:rsidRPr="004E13E9">
              <w:rPr>
                <w:sz w:val="16"/>
                <w:szCs w:val="16"/>
                <w:lang w:bidi="fr-FR"/>
              </w:rPr>
              <w:t>0</w:t>
            </w:r>
          </w:p>
        </w:tc>
        <w:tc>
          <w:tcPr>
            <w:tcW w:w="277" w:type="pct"/>
            <w:tcBorders>
              <w:top w:val="single" w:sz="4" w:space="0" w:color="auto"/>
              <w:left w:val="single" w:sz="4" w:space="0" w:color="auto"/>
              <w:bottom w:val="single" w:sz="4" w:space="0" w:color="auto"/>
              <w:right w:val="single" w:sz="4" w:space="0" w:color="auto"/>
            </w:tcBorders>
            <w:vAlign w:val="center"/>
            <w:hideMark/>
          </w:tcPr>
          <w:p w14:paraId="6031B3B0" w14:textId="77777777" w:rsidR="00654430" w:rsidRPr="004E13E9" w:rsidRDefault="00654430" w:rsidP="00E62E84">
            <w:pPr>
              <w:jc w:val="center"/>
              <w:rPr>
                <w:sz w:val="16"/>
                <w:szCs w:val="16"/>
                <w:lang w:bidi="fr-FR"/>
              </w:rPr>
            </w:pPr>
            <w:r w:rsidRPr="004E13E9">
              <w:rPr>
                <w:rFonts w:eastAsia="Times New Roman" w:cs="Calibri"/>
                <w:sz w:val="16"/>
                <w:szCs w:val="16"/>
                <w:lang w:eastAsia="ja-JP" w:bidi="ar-MA"/>
              </w:rPr>
              <w:t>67,36</w:t>
            </w:r>
          </w:p>
        </w:tc>
      </w:tr>
      <w:tr w:rsidR="00654430" w:rsidRPr="004E13E9" w14:paraId="17490A93"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noWrap/>
            <w:vAlign w:val="center"/>
            <w:hideMark/>
          </w:tcPr>
          <w:p w14:paraId="142BD481" w14:textId="77777777" w:rsidR="00654430" w:rsidRPr="004E13E9" w:rsidRDefault="00654430" w:rsidP="00E62E84">
            <w:pPr>
              <w:rPr>
                <w:b/>
                <w:sz w:val="16"/>
                <w:szCs w:val="16"/>
                <w:lang w:bidi="fr-FR"/>
              </w:rPr>
            </w:pPr>
            <w:proofErr w:type="spellStart"/>
            <w:r w:rsidRPr="004E13E9">
              <w:rPr>
                <w:b/>
                <w:sz w:val="16"/>
                <w:szCs w:val="16"/>
                <w:lang w:bidi="fr-FR"/>
              </w:rPr>
              <w:t>Flottille</w:t>
            </w:r>
            <w:proofErr w:type="spellEnd"/>
            <w:r w:rsidRPr="004E13E9">
              <w:rPr>
                <w:b/>
                <w:sz w:val="16"/>
                <w:szCs w:val="16"/>
                <w:lang w:bidi="fr-FR"/>
              </w:rPr>
              <w:t xml:space="preserve"> </w:t>
            </w:r>
            <w:proofErr w:type="spellStart"/>
            <w:r w:rsidRPr="004E13E9">
              <w:rPr>
                <w:b/>
                <w:sz w:val="16"/>
                <w:szCs w:val="16"/>
                <w:lang w:bidi="fr-FR"/>
              </w:rPr>
              <w:t>totale</w:t>
            </w:r>
            <w:proofErr w:type="spellEnd"/>
            <w:r w:rsidRPr="004E13E9">
              <w:rPr>
                <w:b/>
                <w:sz w:val="16"/>
                <w:szCs w:val="16"/>
                <w:lang w:bidi="fr-FR"/>
              </w:rPr>
              <w:t xml:space="preserve"> de </w:t>
            </w:r>
            <w:proofErr w:type="spellStart"/>
            <w:r w:rsidRPr="004E13E9">
              <w:rPr>
                <w:b/>
                <w:sz w:val="16"/>
                <w:szCs w:val="16"/>
                <w:lang w:bidi="fr-FR"/>
              </w:rPr>
              <w:t>senneurs</w:t>
            </w:r>
            <w:proofErr w:type="spellEnd"/>
          </w:p>
        </w:tc>
        <w:tc>
          <w:tcPr>
            <w:tcW w:w="597" w:type="pct"/>
            <w:tcBorders>
              <w:top w:val="single" w:sz="4" w:space="0" w:color="auto"/>
              <w:left w:val="single" w:sz="4" w:space="0" w:color="auto"/>
              <w:bottom w:val="single" w:sz="4" w:space="0" w:color="auto"/>
              <w:right w:val="single" w:sz="4" w:space="0" w:color="auto"/>
            </w:tcBorders>
            <w:noWrap/>
            <w:vAlign w:val="center"/>
            <w:hideMark/>
          </w:tcPr>
          <w:p w14:paraId="70842211" w14:textId="77777777" w:rsidR="00654430" w:rsidRPr="004E13E9" w:rsidRDefault="00654430" w:rsidP="00E62E84">
            <w:pPr>
              <w:rPr>
                <w:sz w:val="16"/>
                <w:szCs w:val="16"/>
                <w:lang w:bidi="fr-FR"/>
              </w:rPr>
            </w:pPr>
          </w:p>
        </w:tc>
        <w:tc>
          <w:tcPr>
            <w:tcW w:w="204" w:type="pct"/>
            <w:gridSpan w:val="2"/>
            <w:tcBorders>
              <w:top w:val="single" w:sz="4" w:space="0" w:color="auto"/>
              <w:left w:val="single" w:sz="4" w:space="0" w:color="auto"/>
              <w:bottom w:val="single" w:sz="4" w:space="0" w:color="auto"/>
              <w:right w:val="single" w:sz="4" w:space="0" w:color="auto"/>
            </w:tcBorders>
            <w:hideMark/>
          </w:tcPr>
          <w:p w14:paraId="181BD1C7" w14:textId="77777777" w:rsidR="00654430" w:rsidRPr="004E13E9" w:rsidRDefault="00654430" w:rsidP="00E62E84">
            <w:pPr>
              <w:rPr>
                <w:b/>
                <w:sz w:val="16"/>
                <w:szCs w:val="16"/>
                <w:lang w:bidi="fr-FR"/>
              </w:rPr>
            </w:pPr>
            <w:r w:rsidRPr="004E13E9">
              <w:rPr>
                <w:b/>
                <w:sz w:val="16"/>
                <w:szCs w:val="16"/>
                <w:lang w:bidi="fr-FR"/>
              </w:rPr>
              <w:t>0</w:t>
            </w: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7E4B6C79" w14:textId="77777777" w:rsidR="00654430" w:rsidRPr="004E13E9" w:rsidRDefault="00654430" w:rsidP="00E62E84">
            <w:pPr>
              <w:rPr>
                <w:b/>
                <w:sz w:val="16"/>
                <w:szCs w:val="16"/>
                <w:lang w:bidi="fr-FR"/>
              </w:rPr>
            </w:pPr>
            <w:r w:rsidRPr="004E13E9">
              <w:rPr>
                <w:b/>
                <w:sz w:val="16"/>
                <w:szCs w:val="16"/>
                <w:lang w:bidi="fr-FR"/>
              </w:rPr>
              <w:t>0</w:t>
            </w:r>
          </w:p>
        </w:tc>
        <w:tc>
          <w:tcPr>
            <w:tcW w:w="214" w:type="pct"/>
            <w:tcBorders>
              <w:top w:val="single" w:sz="4" w:space="0" w:color="auto"/>
              <w:left w:val="single" w:sz="4" w:space="0" w:color="auto"/>
              <w:bottom w:val="single" w:sz="4" w:space="0" w:color="auto"/>
              <w:right w:val="single" w:sz="4" w:space="0" w:color="auto"/>
            </w:tcBorders>
            <w:vAlign w:val="center"/>
            <w:hideMark/>
          </w:tcPr>
          <w:p w14:paraId="2E8D4C1A" w14:textId="77777777" w:rsidR="00654430" w:rsidRPr="004E13E9" w:rsidRDefault="00654430" w:rsidP="00E62E84">
            <w:pPr>
              <w:rPr>
                <w:b/>
                <w:sz w:val="16"/>
                <w:szCs w:val="16"/>
                <w:lang w:bidi="fr-FR"/>
              </w:rPr>
            </w:pPr>
            <w:r w:rsidRPr="004E13E9">
              <w:rPr>
                <w:b/>
                <w:sz w:val="16"/>
                <w:szCs w:val="16"/>
                <w:lang w:bidi="fr-FR"/>
              </w:rPr>
              <w:t>1</w:t>
            </w:r>
          </w:p>
        </w:tc>
        <w:tc>
          <w:tcPr>
            <w:tcW w:w="213" w:type="pct"/>
            <w:tcBorders>
              <w:top w:val="single" w:sz="4" w:space="0" w:color="auto"/>
              <w:left w:val="single" w:sz="4" w:space="0" w:color="auto"/>
              <w:bottom w:val="single" w:sz="4" w:space="0" w:color="auto"/>
              <w:right w:val="single" w:sz="4" w:space="0" w:color="auto"/>
            </w:tcBorders>
            <w:vAlign w:val="center"/>
            <w:hideMark/>
          </w:tcPr>
          <w:p w14:paraId="7DAD5BE1" w14:textId="77777777" w:rsidR="00654430" w:rsidRPr="004E13E9" w:rsidRDefault="00654430" w:rsidP="00E62E84">
            <w:pPr>
              <w:rPr>
                <w:b/>
                <w:sz w:val="16"/>
                <w:szCs w:val="16"/>
                <w:lang w:bidi="fr-FR"/>
              </w:rPr>
            </w:pPr>
            <w:r w:rsidRPr="004E13E9">
              <w:rPr>
                <w:b/>
                <w:sz w:val="16"/>
                <w:szCs w:val="16"/>
                <w:lang w:bidi="fr-F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7EAAD027" w14:textId="77777777" w:rsidR="00654430" w:rsidRPr="004E13E9" w:rsidRDefault="00654430" w:rsidP="00E62E84">
            <w:pPr>
              <w:rPr>
                <w:b/>
                <w:sz w:val="16"/>
                <w:szCs w:val="16"/>
                <w:lang w:bidi="fr-FR"/>
              </w:rPr>
            </w:pPr>
            <w:r w:rsidRPr="004E13E9">
              <w:rPr>
                <w:b/>
                <w:sz w:val="16"/>
                <w:szCs w:val="16"/>
                <w:lang w:bidi="fr-FR"/>
              </w:rPr>
              <w:t>1</w:t>
            </w:r>
          </w:p>
        </w:tc>
        <w:tc>
          <w:tcPr>
            <w:tcW w:w="213" w:type="pct"/>
            <w:tcBorders>
              <w:top w:val="single" w:sz="4" w:space="0" w:color="auto"/>
              <w:left w:val="single" w:sz="4" w:space="0" w:color="auto"/>
              <w:bottom w:val="single" w:sz="4" w:space="0" w:color="auto"/>
              <w:right w:val="single" w:sz="4" w:space="0" w:color="auto"/>
            </w:tcBorders>
            <w:hideMark/>
          </w:tcPr>
          <w:p w14:paraId="7A006D76" w14:textId="77777777" w:rsidR="00654430" w:rsidRPr="004E13E9" w:rsidRDefault="00654430" w:rsidP="00E62E84">
            <w:pPr>
              <w:rPr>
                <w:b/>
                <w:sz w:val="16"/>
                <w:szCs w:val="16"/>
                <w:lang w:bidi="fr-FR"/>
              </w:rPr>
            </w:pPr>
            <w:r w:rsidRPr="004E13E9">
              <w:rPr>
                <w:b/>
                <w:sz w:val="16"/>
                <w:szCs w:val="16"/>
                <w:lang w:bidi="fr-FR"/>
              </w:rPr>
              <w:t>0</w:t>
            </w:r>
          </w:p>
        </w:tc>
        <w:tc>
          <w:tcPr>
            <w:tcW w:w="214" w:type="pct"/>
            <w:tcBorders>
              <w:top w:val="single" w:sz="4" w:space="0" w:color="auto"/>
              <w:left w:val="single" w:sz="4" w:space="0" w:color="auto"/>
              <w:bottom w:val="single" w:sz="4" w:space="0" w:color="auto"/>
              <w:right w:val="single" w:sz="4" w:space="0" w:color="auto"/>
            </w:tcBorders>
            <w:hideMark/>
          </w:tcPr>
          <w:p w14:paraId="7D744D76" w14:textId="77777777" w:rsidR="00654430" w:rsidRPr="004E13E9" w:rsidRDefault="00654430" w:rsidP="00E62E84">
            <w:pPr>
              <w:rPr>
                <w:sz w:val="16"/>
                <w:szCs w:val="16"/>
                <w:lang w:bidi="fr-FR"/>
              </w:rPr>
            </w:pPr>
            <w:r w:rsidRPr="004E13E9">
              <w:rPr>
                <w:rFonts w:eastAsia="Times New Roman" w:cs="Calibri"/>
                <w:sz w:val="16"/>
                <w:szCs w:val="16"/>
                <w:lang w:eastAsia="ja-JP" w:bidi="ar-MA"/>
              </w:rPr>
              <w:t>5</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1CCA2F9" w14:textId="77777777" w:rsidR="00654430" w:rsidRPr="004E13E9" w:rsidRDefault="00654430" w:rsidP="00E62E84">
            <w:pPr>
              <w:rPr>
                <w:b/>
                <w:sz w:val="16"/>
                <w:szCs w:val="16"/>
                <w:lang w:bidi="fr-FR"/>
              </w:rPr>
            </w:pPr>
            <w:r w:rsidRPr="004E13E9">
              <w:rPr>
                <w:b/>
                <w:sz w:val="16"/>
                <w:szCs w:val="16"/>
                <w:lang w:bidi="fr-FR"/>
              </w:rPr>
              <w:t> </w:t>
            </w:r>
          </w:p>
        </w:tc>
        <w:tc>
          <w:tcPr>
            <w:tcW w:w="208" w:type="pct"/>
            <w:tcBorders>
              <w:top w:val="single" w:sz="4" w:space="0" w:color="auto"/>
              <w:left w:val="single" w:sz="4" w:space="0" w:color="auto"/>
              <w:bottom w:val="single" w:sz="4" w:space="0" w:color="auto"/>
              <w:right w:val="single" w:sz="4" w:space="0" w:color="auto"/>
            </w:tcBorders>
            <w:hideMark/>
          </w:tcPr>
          <w:p w14:paraId="52951514" w14:textId="77777777" w:rsidR="00654430" w:rsidRPr="004E13E9" w:rsidRDefault="00654430" w:rsidP="00E62E84">
            <w:pPr>
              <w:rPr>
                <w:b/>
                <w:sz w:val="16"/>
                <w:szCs w:val="16"/>
                <w:lang w:bidi="fr-FR"/>
              </w:rPr>
            </w:pPr>
            <w:r w:rsidRPr="004E13E9">
              <w:rPr>
                <w:b/>
                <w:sz w:val="16"/>
                <w:szCs w:val="16"/>
                <w:lang w:bidi="fr-F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3C568C63" w14:textId="77777777" w:rsidR="00654430" w:rsidRPr="004E13E9" w:rsidRDefault="00654430" w:rsidP="00E62E84">
            <w:pPr>
              <w:jc w:val="center"/>
              <w:rPr>
                <w:b/>
                <w:sz w:val="16"/>
                <w:szCs w:val="16"/>
                <w:lang w:bidi="fr-FR"/>
              </w:rPr>
            </w:pPr>
            <w:r w:rsidRPr="004E13E9">
              <w:rPr>
                <w:b/>
                <w:sz w:val="16"/>
                <w:szCs w:val="16"/>
                <w:lang w:bidi="fr-FR"/>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5F548FEC" w14:textId="77777777" w:rsidR="00654430" w:rsidRPr="004E13E9" w:rsidRDefault="00654430" w:rsidP="00E62E84">
            <w:pPr>
              <w:jc w:val="center"/>
              <w:rPr>
                <w:b/>
                <w:sz w:val="16"/>
                <w:szCs w:val="16"/>
                <w:lang w:bidi="fr-FR"/>
              </w:rPr>
            </w:pPr>
            <w:r w:rsidRPr="004E13E9">
              <w:rPr>
                <w:b/>
                <w:sz w:val="16"/>
                <w:szCs w:val="16"/>
                <w:lang w:bidi="fr-FR"/>
              </w:rPr>
              <w:t>33,68</w:t>
            </w:r>
          </w:p>
        </w:tc>
        <w:tc>
          <w:tcPr>
            <w:tcW w:w="213" w:type="pct"/>
            <w:tcBorders>
              <w:top w:val="single" w:sz="4" w:space="0" w:color="auto"/>
              <w:left w:val="single" w:sz="4" w:space="0" w:color="auto"/>
              <w:bottom w:val="single" w:sz="4" w:space="0" w:color="auto"/>
              <w:right w:val="single" w:sz="4" w:space="0" w:color="auto"/>
            </w:tcBorders>
            <w:vAlign w:val="center"/>
            <w:hideMark/>
          </w:tcPr>
          <w:p w14:paraId="4A224865" w14:textId="77777777" w:rsidR="00654430" w:rsidRPr="004E13E9" w:rsidRDefault="00654430" w:rsidP="00E62E84">
            <w:pPr>
              <w:jc w:val="center"/>
              <w:rPr>
                <w:b/>
                <w:sz w:val="16"/>
                <w:szCs w:val="16"/>
                <w:lang w:bidi="fr-FR"/>
              </w:rPr>
            </w:pPr>
            <w:r w:rsidRPr="004E13E9">
              <w:rPr>
                <w:b/>
                <w:sz w:val="16"/>
                <w:szCs w:val="16"/>
                <w:lang w:bidi="fr-FR"/>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2040279B" w14:textId="77777777" w:rsidR="00654430" w:rsidRPr="004E13E9" w:rsidRDefault="00654430" w:rsidP="00E62E84">
            <w:pPr>
              <w:jc w:val="center"/>
              <w:rPr>
                <w:b/>
                <w:sz w:val="16"/>
                <w:szCs w:val="16"/>
                <w:lang w:bidi="fr-FR"/>
              </w:rPr>
            </w:pPr>
            <w:r w:rsidRPr="004E13E9">
              <w:rPr>
                <w:b/>
                <w:sz w:val="16"/>
                <w:szCs w:val="16"/>
                <w:lang w:bidi="fr-FR"/>
              </w:rPr>
              <w:t>33,68</w:t>
            </w:r>
          </w:p>
        </w:tc>
        <w:tc>
          <w:tcPr>
            <w:tcW w:w="213" w:type="pct"/>
            <w:tcBorders>
              <w:top w:val="single" w:sz="4" w:space="0" w:color="auto"/>
              <w:left w:val="single" w:sz="4" w:space="0" w:color="auto"/>
              <w:bottom w:val="single" w:sz="4" w:space="0" w:color="auto"/>
              <w:right w:val="single" w:sz="4" w:space="0" w:color="auto"/>
            </w:tcBorders>
            <w:vAlign w:val="center"/>
            <w:hideMark/>
          </w:tcPr>
          <w:p w14:paraId="583C21C6" w14:textId="77777777" w:rsidR="00654430" w:rsidRPr="004E13E9" w:rsidRDefault="00654430" w:rsidP="00E62E84">
            <w:pPr>
              <w:jc w:val="center"/>
              <w:rPr>
                <w:b/>
                <w:sz w:val="16"/>
                <w:szCs w:val="16"/>
                <w:lang w:bidi="fr-FR"/>
              </w:rPr>
            </w:pPr>
            <w:r w:rsidRPr="004E13E9">
              <w:rPr>
                <w:b/>
                <w:sz w:val="16"/>
                <w:szCs w:val="16"/>
                <w:lang w:bidi="fr-FR"/>
              </w:rPr>
              <w:t>0</w:t>
            </w:r>
          </w:p>
        </w:tc>
        <w:tc>
          <w:tcPr>
            <w:tcW w:w="277" w:type="pct"/>
            <w:tcBorders>
              <w:top w:val="single" w:sz="4" w:space="0" w:color="auto"/>
              <w:left w:val="single" w:sz="4" w:space="0" w:color="auto"/>
              <w:bottom w:val="single" w:sz="4" w:space="0" w:color="auto"/>
              <w:right w:val="single" w:sz="4" w:space="0" w:color="auto"/>
            </w:tcBorders>
            <w:vAlign w:val="center"/>
            <w:hideMark/>
          </w:tcPr>
          <w:p w14:paraId="15E8992D" w14:textId="77777777" w:rsidR="00654430" w:rsidRPr="004E13E9" w:rsidRDefault="00654430" w:rsidP="00E62E84">
            <w:pPr>
              <w:jc w:val="center"/>
              <w:rPr>
                <w:b/>
                <w:sz w:val="16"/>
                <w:szCs w:val="16"/>
                <w:lang w:bidi="fr-FR"/>
              </w:rPr>
            </w:pPr>
            <w:r w:rsidRPr="004E13E9">
              <w:rPr>
                <w:b/>
                <w:sz w:val="16"/>
                <w:szCs w:val="16"/>
              </w:rPr>
              <w:t>216,7</w:t>
            </w:r>
          </w:p>
        </w:tc>
      </w:tr>
      <w:tr w:rsidR="00654430" w:rsidRPr="004E13E9" w14:paraId="2E7CF023"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noWrap/>
            <w:vAlign w:val="center"/>
            <w:hideMark/>
          </w:tcPr>
          <w:p w14:paraId="682757DB" w14:textId="77777777" w:rsidR="00654430" w:rsidRPr="004E13E9" w:rsidRDefault="00654430" w:rsidP="00E62E84">
            <w:pPr>
              <w:rPr>
                <w:sz w:val="16"/>
                <w:szCs w:val="16"/>
                <w:lang w:val="fr-FR" w:bidi="fr-FR"/>
              </w:rPr>
            </w:pPr>
            <w:r w:rsidRPr="004E13E9">
              <w:rPr>
                <w:sz w:val="16"/>
                <w:szCs w:val="16"/>
                <w:lang w:val="fr-FR" w:bidi="fr-FR"/>
              </w:rPr>
              <w:t>Palangrier de plus de 40 m</w:t>
            </w:r>
          </w:p>
        </w:tc>
        <w:tc>
          <w:tcPr>
            <w:tcW w:w="597" w:type="pct"/>
            <w:tcBorders>
              <w:top w:val="single" w:sz="4" w:space="0" w:color="auto"/>
              <w:left w:val="single" w:sz="4" w:space="0" w:color="auto"/>
              <w:bottom w:val="single" w:sz="4" w:space="0" w:color="auto"/>
              <w:right w:val="single" w:sz="4" w:space="0" w:color="auto"/>
            </w:tcBorders>
            <w:noWrap/>
            <w:vAlign w:val="center"/>
            <w:hideMark/>
          </w:tcPr>
          <w:p w14:paraId="48625E13" w14:textId="77777777" w:rsidR="00654430" w:rsidRPr="004E13E9" w:rsidRDefault="00654430" w:rsidP="00E62E84">
            <w:pPr>
              <w:rPr>
                <w:sz w:val="16"/>
                <w:szCs w:val="16"/>
                <w:lang w:bidi="fr-FR"/>
              </w:rPr>
            </w:pPr>
            <w:r w:rsidRPr="004E13E9">
              <w:rPr>
                <w:sz w:val="16"/>
                <w:szCs w:val="16"/>
                <w:lang w:bidi="fr-FR"/>
              </w:rPr>
              <w:t>25</w:t>
            </w:r>
          </w:p>
        </w:tc>
        <w:tc>
          <w:tcPr>
            <w:tcW w:w="204" w:type="pct"/>
            <w:gridSpan w:val="2"/>
            <w:tcBorders>
              <w:top w:val="single" w:sz="4" w:space="0" w:color="auto"/>
              <w:left w:val="single" w:sz="4" w:space="0" w:color="auto"/>
              <w:bottom w:val="single" w:sz="4" w:space="0" w:color="auto"/>
              <w:right w:val="single" w:sz="4" w:space="0" w:color="auto"/>
            </w:tcBorders>
          </w:tcPr>
          <w:p w14:paraId="00BFDFDD"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5BFBD668" w14:textId="77777777" w:rsidR="00654430" w:rsidRPr="004E13E9" w:rsidRDefault="00654430" w:rsidP="00E62E84">
            <w:pPr>
              <w:rPr>
                <w:sz w:val="16"/>
                <w:szCs w:val="16"/>
                <w:lang w:bidi="fr-FR"/>
              </w:rPr>
            </w:pPr>
            <w:r w:rsidRPr="004E13E9">
              <w:rPr>
                <w:sz w:val="16"/>
                <w:szCs w:val="16"/>
                <w:lang w:bidi="fr-FR"/>
              </w:rPr>
              <w:t> </w:t>
            </w:r>
          </w:p>
        </w:tc>
        <w:tc>
          <w:tcPr>
            <w:tcW w:w="214" w:type="pct"/>
            <w:tcBorders>
              <w:top w:val="single" w:sz="4" w:space="0" w:color="auto"/>
              <w:left w:val="single" w:sz="4" w:space="0" w:color="auto"/>
              <w:bottom w:val="single" w:sz="4" w:space="0" w:color="auto"/>
              <w:right w:val="single" w:sz="4" w:space="0" w:color="auto"/>
            </w:tcBorders>
            <w:vAlign w:val="center"/>
            <w:hideMark/>
          </w:tcPr>
          <w:p w14:paraId="675D4BAA"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012CB60B"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2B506C16"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tcPr>
          <w:p w14:paraId="474F424A" w14:textId="77777777" w:rsidR="00654430" w:rsidRPr="004E13E9" w:rsidRDefault="00654430" w:rsidP="00E62E84">
            <w:pPr>
              <w:rPr>
                <w:sz w:val="16"/>
                <w:szCs w:val="16"/>
                <w:lang w:bidi="fr-FR"/>
              </w:rPr>
            </w:pPr>
          </w:p>
        </w:tc>
        <w:tc>
          <w:tcPr>
            <w:tcW w:w="214" w:type="pct"/>
            <w:tcBorders>
              <w:top w:val="single" w:sz="4" w:space="0" w:color="auto"/>
              <w:left w:val="single" w:sz="4" w:space="0" w:color="auto"/>
              <w:bottom w:val="single" w:sz="4" w:space="0" w:color="auto"/>
              <w:right w:val="single" w:sz="4" w:space="0" w:color="auto"/>
            </w:tcBorders>
          </w:tcPr>
          <w:p w14:paraId="46AEDC00" w14:textId="77777777" w:rsidR="00654430" w:rsidRPr="004E13E9" w:rsidRDefault="00654430" w:rsidP="00E62E84">
            <w:pPr>
              <w:rPr>
                <w:sz w:val="16"/>
                <w:szCs w:val="16"/>
                <w:lang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D3AB654" w14:textId="77777777" w:rsidR="00654430" w:rsidRPr="004E13E9" w:rsidRDefault="00654430" w:rsidP="00E62E84">
            <w:pPr>
              <w:rPr>
                <w:sz w:val="16"/>
                <w:szCs w:val="16"/>
                <w:lang w:bidi="fr-FR"/>
              </w:rPr>
            </w:pPr>
            <w:r w:rsidRPr="004E13E9">
              <w:rPr>
                <w:sz w:val="16"/>
                <w:szCs w:val="16"/>
                <w:lang w:bidi="fr-FR"/>
              </w:rPr>
              <w:t> </w:t>
            </w:r>
          </w:p>
        </w:tc>
        <w:tc>
          <w:tcPr>
            <w:tcW w:w="208" w:type="pct"/>
            <w:tcBorders>
              <w:top w:val="single" w:sz="4" w:space="0" w:color="auto"/>
              <w:left w:val="single" w:sz="4" w:space="0" w:color="auto"/>
              <w:bottom w:val="single" w:sz="4" w:space="0" w:color="auto"/>
              <w:right w:val="single" w:sz="4" w:space="0" w:color="auto"/>
            </w:tcBorders>
          </w:tcPr>
          <w:p w14:paraId="1071958D"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7082FE50" w14:textId="77777777" w:rsidR="00654430" w:rsidRPr="004E13E9" w:rsidRDefault="00654430" w:rsidP="00E62E84">
            <w:pPr>
              <w:jc w:val="center"/>
              <w:rPr>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6C6336D3" w14:textId="77777777" w:rsidR="00654430" w:rsidRPr="004E13E9" w:rsidRDefault="00654430" w:rsidP="00E62E84">
            <w:pPr>
              <w:jc w:val="cente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353B2EEB" w14:textId="77777777" w:rsidR="00654430" w:rsidRPr="004E13E9" w:rsidRDefault="00654430" w:rsidP="00E62E84">
            <w:pPr>
              <w:jc w:val="center"/>
              <w:rPr>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3A83C75C" w14:textId="77777777" w:rsidR="00654430" w:rsidRPr="004E13E9" w:rsidRDefault="00654430" w:rsidP="00E62E84">
            <w:pPr>
              <w:jc w:val="cente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6C83F407" w14:textId="77777777" w:rsidR="00654430" w:rsidRPr="004E13E9" w:rsidRDefault="00654430" w:rsidP="00E62E84">
            <w:pPr>
              <w:jc w:val="center"/>
              <w:rPr>
                <w:sz w:val="16"/>
                <w:szCs w:val="16"/>
                <w:lang w:bidi="fr-FR"/>
              </w:rPr>
            </w:pPr>
          </w:p>
        </w:tc>
        <w:tc>
          <w:tcPr>
            <w:tcW w:w="277" w:type="pct"/>
            <w:tcBorders>
              <w:top w:val="single" w:sz="4" w:space="0" w:color="auto"/>
              <w:left w:val="single" w:sz="4" w:space="0" w:color="auto"/>
              <w:bottom w:val="single" w:sz="4" w:space="0" w:color="auto"/>
              <w:right w:val="single" w:sz="4" w:space="0" w:color="auto"/>
            </w:tcBorders>
            <w:vAlign w:val="center"/>
          </w:tcPr>
          <w:p w14:paraId="1D35A80E" w14:textId="77777777" w:rsidR="00654430" w:rsidRPr="004E13E9" w:rsidRDefault="00654430" w:rsidP="00E62E84">
            <w:pPr>
              <w:jc w:val="center"/>
              <w:rPr>
                <w:sz w:val="16"/>
                <w:szCs w:val="16"/>
                <w:lang w:bidi="fr-FR"/>
              </w:rPr>
            </w:pPr>
          </w:p>
        </w:tc>
      </w:tr>
      <w:tr w:rsidR="00654430" w:rsidRPr="004E13E9" w14:paraId="6026C441"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noWrap/>
            <w:vAlign w:val="center"/>
            <w:hideMark/>
          </w:tcPr>
          <w:p w14:paraId="0A153A65" w14:textId="77777777" w:rsidR="00654430" w:rsidRPr="004E13E9" w:rsidRDefault="00654430" w:rsidP="00E62E84">
            <w:pPr>
              <w:rPr>
                <w:sz w:val="16"/>
                <w:szCs w:val="16"/>
                <w:lang w:bidi="fr-FR"/>
              </w:rPr>
            </w:pPr>
            <w:proofErr w:type="spellStart"/>
            <w:r w:rsidRPr="004E13E9">
              <w:rPr>
                <w:sz w:val="16"/>
                <w:szCs w:val="16"/>
                <w:lang w:bidi="fr-FR"/>
              </w:rPr>
              <w:t>Palangrier</w:t>
            </w:r>
            <w:proofErr w:type="spellEnd"/>
            <w:r w:rsidRPr="004E13E9">
              <w:rPr>
                <w:sz w:val="16"/>
                <w:szCs w:val="16"/>
                <w:lang w:bidi="fr-FR"/>
              </w:rPr>
              <w:t xml:space="preserve"> entre 24 et 40 m</w:t>
            </w:r>
          </w:p>
        </w:tc>
        <w:tc>
          <w:tcPr>
            <w:tcW w:w="597" w:type="pct"/>
            <w:tcBorders>
              <w:top w:val="single" w:sz="4" w:space="0" w:color="auto"/>
              <w:left w:val="single" w:sz="4" w:space="0" w:color="auto"/>
              <w:bottom w:val="single" w:sz="4" w:space="0" w:color="auto"/>
              <w:right w:val="single" w:sz="4" w:space="0" w:color="auto"/>
            </w:tcBorders>
            <w:noWrap/>
            <w:vAlign w:val="center"/>
            <w:hideMark/>
          </w:tcPr>
          <w:p w14:paraId="6B6DF9B3" w14:textId="77777777" w:rsidR="00654430" w:rsidRPr="004E13E9" w:rsidRDefault="00654430" w:rsidP="00E62E84">
            <w:pPr>
              <w:rPr>
                <w:sz w:val="16"/>
                <w:szCs w:val="16"/>
                <w:lang w:bidi="fr-FR"/>
              </w:rPr>
            </w:pPr>
            <w:r w:rsidRPr="004E13E9">
              <w:rPr>
                <w:sz w:val="16"/>
                <w:szCs w:val="16"/>
                <w:lang w:bidi="fr-FR"/>
              </w:rPr>
              <w:t>5,68</w:t>
            </w:r>
          </w:p>
        </w:tc>
        <w:tc>
          <w:tcPr>
            <w:tcW w:w="204" w:type="pct"/>
            <w:gridSpan w:val="2"/>
            <w:tcBorders>
              <w:top w:val="single" w:sz="4" w:space="0" w:color="auto"/>
              <w:left w:val="single" w:sz="4" w:space="0" w:color="auto"/>
              <w:bottom w:val="single" w:sz="4" w:space="0" w:color="auto"/>
              <w:right w:val="single" w:sz="4" w:space="0" w:color="auto"/>
            </w:tcBorders>
          </w:tcPr>
          <w:p w14:paraId="75112D07"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2EF9600D" w14:textId="77777777" w:rsidR="00654430" w:rsidRPr="004E13E9" w:rsidRDefault="00654430" w:rsidP="00E62E84">
            <w:pPr>
              <w:rPr>
                <w:sz w:val="16"/>
                <w:szCs w:val="16"/>
                <w:lang w:bidi="fr-FR"/>
              </w:rPr>
            </w:pPr>
            <w:r w:rsidRPr="004E13E9">
              <w:rPr>
                <w:sz w:val="16"/>
                <w:szCs w:val="16"/>
                <w:lang w:bidi="fr-FR"/>
              </w:rPr>
              <w:t> </w:t>
            </w:r>
          </w:p>
        </w:tc>
        <w:tc>
          <w:tcPr>
            <w:tcW w:w="214" w:type="pct"/>
            <w:tcBorders>
              <w:top w:val="single" w:sz="4" w:space="0" w:color="auto"/>
              <w:left w:val="single" w:sz="4" w:space="0" w:color="auto"/>
              <w:bottom w:val="single" w:sz="4" w:space="0" w:color="auto"/>
              <w:right w:val="single" w:sz="4" w:space="0" w:color="auto"/>
            </w:tcBorders>
            <w:vAlign w:val="center"/>
            <w:hideMark/>
          </w:tcPr>
          <w:p w14:paraId="2FE6ABF7"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3F5FE305"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5C950ACF"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tcPr>
          <w:p w14:paraId="5CCC98CA" w14:textId="77777777" w:rsidR="00654430" w:rsidRPr="004E13E9" w:rsidRDefault="00654430" w:rsidP="00E62E84">
            <w:pPr>
              <w:rPr>
                <w:sz w:val="16"/>
                <w:szCs w:val="16"/>
                <w:lang w:bidi="fr-FR"/>
              </w:rPr>
            </w:pPr>
          </w:p>
        </w:tc>
        <w:tc>
          <w:tcPr>
            <w:tcW w:w="214" w:type="pct"/>
            <w:tcBorders>
              <w:top w:val="single" w:sz="4" w:space="0" w:color="auto"/>
              <w:left w:val="single" w:sz="4" w:space="0" w:color="auto"/>
              <w:bottom w:val="single" w:sz="4" w:space="0" w:color="auto"/>
              <w:right w:val="single" w:sz="4" w:space="0" w:color="auto"/>
            </w:tcBorders>
          </w:tcPr>
          <w:p w14:paraId="300E654F" w14:textId="77777777" w:rsidR="00654430" w:rsidRPr="004E13E9" w:rsidRDefault="00654430" w:rsidP="00E62E84">
            <w:pPr>
              <w:rPr>
                <w:sz w:val="16"/>
                <w:szCs w:val="16"/>
                <w:lang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3515F11" w14:textId="77777777" w:rsidR="00654430" w:rsidRPr="004E13E9" w:rsidRDefault="00654430" w:rsidP="00E62E84">
            <w:pPr>
              <w:rPr>
                <w:sz w:val="16"/>
                <w:szCs w:val="16"/>
                <w:lang w:bidi="fr-FR"/>
              </w:rPr>
            </w:pPr>
            <w:r w:rsidRPr="004E13E9">
              <w:rPr>
                <w:sz w:val="16"/>
                <w:szCs w:val="16"/>
                <w:lang w:bidi="fr-FR"/>
              </w:rPr>
              <w:t> </w:t>
            </w:r>
          </w:p>
        </w:tc>
        <w:tc>
          <w:tcPr>
            <w:tcW w:w="208" w:type="pct"/>
            <w:tcBorders>
              <w:top w:val="single" w:sz="4" w:space="0" w:color="auto"/>
              <w:left w:val="single" w:sz="4" w:space="0" w:color="auto"/>
              <w:bottom w:val="single" w:sz="4" w:space="0" w:color="auto"/>
              <w:right w:val="single" w:sz="4" w:space="0" w:color="auto"/>
            </w:tcBorders>
          </w:tcPr>
          <w:p w14:paraId="53B8E112"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769F5DD5" w14:textId="77777777" w:rsidR="00654430" w:rsidRPr="004E13E9" w:rsidRDefault="00654430" w:rsidP="00E62E84">
            <w:pPr>
              <w:jc w:val="center"/>
              <w:rPr>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5ADF9C9A" w14:textId="77777777" w:rsidR="00654430" w:rsidRPr="004E13E9" w:rsidRDefault="00654430" w:rsidP="00E62E84">
            <w:pPr>
              <w:jc w:val="cente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4F87B342" w14:textId="77777777" w:rsidR="00654430" w:rsidRPr="004E13E9" w:rsidRDefault="00654430" w:rsidP="00E62E84">
            <w:pPr>
              <w:jc w:val="center"/>
              <w:rPr>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23F4D9B9" w14:textId="77777777" w:rsidR="00654430" w:rsidRPr="004E13E9" w:rsidRDefault="00654430" w:rsidP="00E62E84">
            <w:pPr>
              <w:jc w:val="cente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03515385" w14:textId="77777777" w:rsidR="00654430" w:rsidRPr="004E13E9" w:rsidRDefault="00654430" w:rsidP="00E62E84">
            <w:pPr>
              <w:jc w:val="center"/>
              <w:rPr>
                <w:sz w:val="16"/>
                <w:szCs w:val="16"/>
                <w:lang w:bidi="fr-FR"/>
              </w:rPr>
            </w:pPr>
          </w:p>
        </w:tc>
        <w:tc>
          <w:tcPr>
            <w:tcW w:w="277" w:type="pct"/>
            <w:tcBorders>
              <w:top w:val="single" w:sz="4" w:space="0" w:color="auto"/>
              <w:left w:val="single" w:sz="4" w:space="0" w:color="auto"/>
              <w:bottom w:val="single" w:sz="4" w:space="0" w:color="auto"/>
              <w:right w:val="single" w:sz="4" w:space="0" w:color="auto"/>
            </w:tcBorders>
            <w:vAlign w:val="center"/>
          </w:tcPr>
          <w:p w14:paraId="61FDC977" w14:textId="77777777" w:rsidR="00654430" w:rsidRPr="004E13E9" w:rsidRDefault="00654430" w:rsidP="00E62E84">
            <w:pPr>
              <w:jc w:val="center"/>
              <w:rPr>
                <w:sz w:val="16"/>
                <w:szCs w:val="16"/>
                <w:lang w:bidi="fr-FR"/>
              </w:rPr>
            </w:pPr>
          </w:p>
        </w:tc>
      </w:tr>
      <w:tr w:rsidR="00654430" w:rsidRPr="004E13E9" w14:paraId="747DC831"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noWrap/>
            <w:vAlign w:val="center"/>
            <w:hideMark/>
          </w:tcPr>
          <w:p w14:paraId="4A43E347" w14:textId="77777777" w:rsidR="00654430" w:rsidRPr="004E13E9" w:rsidRDefault="00654430" w:rsidP="00E62E84">
            <w:pPr>
              <w:rPr>
                <w:sz w:val="16"/>
                <w:szCs w:val="16"/>
                <w:lang w:val="fr-FR" w:bidi="fr-FR"/>
              </w:rPr>
            </w:pPr>
            <w:r w:rsidRPr="004E13E9">
              <w:rPr>
                <w:sz w:val="16"/>
                <w:szCs w:val="16"/>
                <w:lang w:val="fr-FR" w:bidi="fr-FR"/>
              </w:rPr>
              <w:t>Palangrier de moins de 24m</w:t>
            </w:r>
          </w:p>
        </w:tc>
        <w:tc>
          <w:tcPr>
            <w:tcW w:w="597" w:type="pct"/>
            <w:tcBorders>
              <w:top w:val="single" w:sz="4" w:space="0" w:color="auto"/>
              <w:left w:val="single" w:sz="4" w:space="0" w:color="auto"/>
              <w:bottom w:val="single" w:sz="4" w:space="0" w:color="auto"/>
              <w:right w:val="single" w:sz="4" w:space="0" w:color="auto"/>
            </w:tcBorders>
            <w:noWrap/>
            <w:vAlign w:val="center"/>
            <w:hideMark/>
          </w:tcPr>
          <w:p w14:paraId="297309B0" w14:textId="77777777" w:rsidR="00654430" w:rsidRPr="004E13E9" w:rsidRDefault="00654430" w:rsidP="00E62E84">
            <w:pPr>
              <w:rPr>
                <w:sz w:val="16"/>
                <w:szCs w:val="16"/>
                <w:lang w:bidi="fr-FR"/>
              </w:rPr>
            </w:pPr>
            <w:r w:rsidRPr="004E13E9">
              <w:rPr>
                <w:sz w:val="16"/>
                <w:szCs w:val="16"/>
                <w:lang w:bidi="fr-FR"/>
              </w:rPr>
              <w:t>5</w:t>
            </w:r>
          </w:p>
        </w:tc>
        <w:tc>
          <w:tcPr>
            <w:tcW w:w="204" w:type="pct"/>
            <w:gridSpan w:val="2"/>
            <w:tcBorders>
              <w:top w:val="single" w:sz="4" w:space="0" w:color="auto"/>
              <w:left w:val="single" w:sz="4" w:space="0" w:color="auto"/>
              <w:bottom w:val="single" w:sz="4" w:space="0" w:color="auto"/>
              <w:right w:val="single" w:sz="4" w:space="0" w:color="auto"/>
            </w:tcBorders>
          </w:tcPr>
          <w:p w14:paraId="3D47782F"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79DA7558" w14:textId="77777777" w:rsidR="00654430" w:rsidRPr="004E13E9" w:rsidRDefault="00654430" w:rsidP="00E62E84">
            <w:pPr>
              <w:rPr>
                <w:sz w:val="16"/>
                <w:szCs w:val="16"/>
                <w:lang w:bidi="fr-FR"/>
              </w:rPr>
            </w:pPr>
            <w:r w:rsidRPr="004E13E9">
              <w:rPr>
                <w:sz w:val="16"/>
                <w:szCs w:val="16"/>
                <w:lang w:bidi="fr-FR"/>
              </w:rPr>
              <w:t> </w:t>
            </w:r>
          </w:p>
        </w:tc>
        <w:tc>
          <w:tcPr>
            <w:tcW w:w="214" w:type="pct"/>
            <w:tcBorders>
              <w:top w:val="single" w:sz="4" w:space="0" w:color="auto"/>
              <w:left w:val="single" w:sz="4" w:space="0" w:color="auto"/>
              <w:bottom w:val="single" w:sz="4" w:space="0" w:color="auto"/>
              <w:right w:val="single" w:sz="4" w:space="0" w:color="auto"/>
            </w:tcBorders>
            <w:vAlign w:val="center"/>
            <w:hideMark/>
          </w:tcPr>
          <w:p w14:paraId="4CD49BBE"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13679BB9"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08CDB791"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tcPr>
          <w:p w14:paraId="5707E15C" w14:textId="77777777" w:rsidR="00654430" w:rsidRPr="004E13E9" w:rsidRDefault="00654430" w:rsidP="00E62E84">
            <w:pPr>
              <w:rPr>
                <w:sz w:val="16"/>
                <w:szCs w:val="16"/>
                <w:lang w:bidi="fr-FR"/>
              </w:rPr>
            </w:pPr>
          </w:p>
        </w:tc>
        <w:tc>
          <w:tcPr>
            <w:tcW w:w="214" w:type="pct"/>
            <w:tcBorders>
              <w:top w:val="single" w:sz="4" w:space="0" w:color="auto"/>
              <w:left w:val="single" w:sz="4" w:space="0" w:color="auto"/>
              <w:bottom w:val="single" w:sz="4" w:space="0" w:color="auto"/>
              <w:right w:val="single" w:sz="4" w:space="0" w:color="auto"/>
            </w:tcBorders>
          </w:tcPr>
          <w:p w14:paraId="645D5C4A" w14:textId="77777777" w:rsidR="00654430" w:rsidRPr="004E13E9" w:rsidRDefault="00654430" w:rsidP="00E62E84">
            <w:pPr>
              <w:rPr>
                <w:sz w:val="16"/>
                <w:szCs w:val="16"/>
                <w:lang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CAA62DD" w14:textId="77777777" w:rsidR="00654430" w:rsidRPr="004E13E9" w:rsidRDefault="00654430" w:rsidP="00E62E84">
            <w:pPr>
              <w:rPr>
                <w:sz w:val="16"/>
                <w:szCs w:val="16"/>
                <w:lang w:bidi="fr-FR"/>
              </w:rPr>
            </w:pPr>
            <w:r w:rsidRPr="004E13E9">
              <w:rPr>
                <w:sz w:val="16"/>
                <w:szCs w:val="16"/>
                <w:lang w:bidi="fr-FR"/>
              </w:rPr>
              <w:t> </w:t>
            </w:r>
          </w:p>
        </w:tc>
        <w:tc>
          <w:tcPr>
            <w:tcW w:w="208" w:type="pct"/>
            <w:tcBorders>
              <w:top w:val="single" w:sz="4" w:space="0" w:color="auto"/>
              <w:left w:val="single" w:sz="4" w:space="0" w:color="auto"/>
              <w:bottom w:val="single" w:sz="4" w:space="0" w:color="auto"/>
              <w:right w:val="single" w:sz="4" w:space="0" w:color="auto"/>
            </w:tcBorders>
          </w:tcPr>
          <w:p w14:paraId="5F9FAC46"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0BA0DA2A" w14:textId="77777777" w:rsidR="00654430" w:rsidRPr="004E13E9" w:rsidRDefault="00654430" w:rsidP="00E62E84">
            <w:pPr>
              <w:jc w:val="center"/>
              <w:rPr>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34DE43D7" w14:textId="77777777" w:rsidR="00654430" w:rsidRPr="004E13E9" w:rsidRDefault="00654430" w:rsidP="00E62E84">
            <w:pPr>
              <w:jc w:val="cente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4DDD6CFD" w14:textId="77777777" w:rsidR="00654430" w:rsidRPr="004E13E9" w:rsidRDefault="00654430" w:rsidP="00E62E84">
            <w:pPr>
              <w:jc w:val="center"/>
              <w:rPr>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42AB169A" w14:textId="77777777" w:rsidR="00654430" w:rsidRPr="004E13E9" w:rsidRDefault="00654430" w:rsidP="00E62E84">
            <w:pPr>
              <w:jc w:val="cente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388EF2FA" w14:textId="77777777" w:rsidR="00654430" w:rsidRPr="004E13E9" w:rsidRDefault="00654430" w:rsidP="00E62E84">
            <w:pPr>
              <w:jc w:val="center"/>
              <w:rPr>
                <w:sz w:val="16"/>
                <w:szCs w:val="16"/>
                <w:lang w:bidi="fr-FR"/>
              </w:rPr>
            </w:pPr>
          </w:p>
        </w:tc>
        <w:tc>
          <w:tcPr>
            <w:tcW w:w="277" w:type="pct"/>
            <w:tcBorders>
              <w:top w:val="single" w:sz="4" w:space="0" w:color="auto"/>
              <w:left w:val="single" w:sz="4" w:space="0" w:color="auto"/>
              <w:bottom w:val="single" w:sz="4" w:space="0" w:color="auto"/>
              <w:right w:val="single" w:sz="4" w:space="0" w:color="auto"/>
            </w:tcBorders>
            <w:vAlign w:val="center"/>
          </w:tcPr>
          <w:p w14:paraId="5F0C4346" w14:textId="77777777" w:rsidR="00654430" w:rsidRPr="004E13E9" w:rsidRDefault="00654430" w:rsidP="00E62E84">
            <w:pPr>
              <w:jc w:val="center"/>
              <w:rPr>
                <w:sz w:val="16"/>
                <w:szCs w:val="16"/>
                <w:lang w:bidi="fr-FR"/>
              </w:rPr>
            </w:pPr>
          </w:p>
        </w:tc>
      </w:tr>
      <w:tr w:rsidR="00654430" w:rsidRPr="004E13E9" w14:paraId="68EABC8E"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noWrap/>
            <w:vAlign w:val="center"/>
            <w:hideMark/>
          </w:tcPr>
          <w:p w14:paraId="1875F1FF" w14:textId="77777777" w:rsidR="00654430" w:rsidRPr="004E13E9" w:rsidRDefault="00654430" w:rsidP="00E62E84">
            <w:pPr>
              <w:rPr>
                <w:b/>
                <w:sz w:val="16"/>
                <w:szCs w:val="16"/>
                <w:lang w:bidi="fr-FR"/>
              </w:rPr>
            </w:pPr>
            <w:proofErr w:type="spellStart"/>
            <w:r w:rsidRPr="004E13E9">
              <w:rPr>
                <w:b/>
                <w:sz w:val="16"/>
                <w:szCs w:val="16"/>
                <w:lang w:bidi="fr-FR"/>
              </w:rPr>
              <w:t>Flottille</w:t>
            </w:r>
            <w:proofErr w:type="spellEnd"/>
            <w:r w:rsidRPr="004E13E9">
              <w:rPr>
                <w:b/>
                <w:sz w:val="16"/>
                <w:szCs w:val="16"/>
                <w:lang w:bidi="fr-FR"/>
              </w:rPr>
              <w:t xml:space="preserve"> totale de </w:t>
            </w:r>
            <w:proofErr w:type="spellStart"/>
            <w:r w:rsidRPr="004E13E9">
              <w:rPr>
                <w:b/>
                <w:sz w:val="16"/>
                <w:szCs w:val="16"/>
                <w:lang w:bidi="fr-FR"/>
              </w:rPr>
              <w:t>palangriers</w:t>
            </w:r>
            <w:proofErr w:type="spellEnd"/>
          </w:p>
        </w:tc>
        <w:tc>
          <w:tcPr>
            <w:tcW w:w="597" w:type="pct"/>
            <w:tcBorders>
              <w:top w:val="single" w:sz="4" w:space="0" w:color="auto"/>
              <w:left w:val="single" w:sz="4" w:space="0" w:color="auto"/>
              <w:bottom w:val="single" w:sz="4" w:space="0" w:color="auto"/>
              <w:right w:val="single" w:sz="4" w:space="0" w:color="auto"/>
            </w:tcBorders>
            <w:noWrap/>
            <w:vAlign w:val="center"/>
            <w:hideMark/>
          </w:tcPr>
          <w:p w14:paraId="7FD17037" w14:textId="77777777" w:rsidR="00654430" w:rsidRPr="004E13E9" w:rsidRDefault="00654430" w:rsidP="00E62E84">
            <w:pPr>
              <w:rPr>
                <w:sz w:val="16"/>
                <w:szCs w:val="16"/>
                <w:lang w:bidi="fr-FR"/>
              </w:rPr>
            </w:pPr>
            <w:r w:rsidRPr="004E13E9">
              <w:rPr>
                <w:sz w:val="16"/>
                <w:szCs w:val="16"/>
                <w:lang w:bidi="fr-FR"/>
              </w:rPr>
              <w:t> </w:t>
            </w:r>
          </w:p>
        </w:tc>
        <w:tc>
          <w:tcPr>
            <w:tcW w:w="204" w:type="pct"/>
            <w:gridSpan w:val="2"/>
            <w:tcBorders>
              <w:top w:val="single" w:sz="4" w:space="0" w:color="auto"/>
              <w:left w:val="single" w:sz="4" w:space="0" w:color="auto"/>
              <w:bottom w:val="single" w:sz="4" w:space="0" w:color="auto"/>
              <w:right w:val="single" w:sz="4" w:space="0" w:color="auto"/>
            </w:tcBorders>
          </w:tcPr>
          <w:p w14:paraId="20CAF11B" w14:textId="77777777" w:rsidR="00654430" w:rsidRPr="004E13E9" w:rsidRDefault="00654430" w:rsidP="00E62E84">
            <w:pP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24906DDB" w14:textId="77777777" w:rsidR="00654430" w:rsidRPr="004E13E9" w:rsidRDefault="00654430" w:rsidP="00E62E84">
            <w:pPr>
              <w:rPr>
                <w:b/>
                <w:sz w:val="16"/>
                <w:szCs w:val="16"/>
                <w:lang w:bidi="fr-FR"/>
              </w:rPr>
            </w:pPr>
            <w:r w:rsidRPr="004E13E9">
              <w:rPr>
                <w:b/>
                <w:sz w:val="16"/>
                <w:szCs w:val="16"/>
                <w:lang w:bidi="fr-FR"/>
              </w:rPr>
              <w:t> </w:t>
            </w:r>
          </w:p>
        </w:tc>
        <w:tc>
          <w:tcPr>
            <w:tcW w:w="214" w:type="pct"/>
            <w:tcBorders>
              <w:top w:val="single" w:sz="4" w:space="0" w:color="auto"/>
              <w:left w:val="single" w:sz="4" w:space="0" w:color="auto"/>
              <w:bottom w:val="single" w:sz="4" w:space="0" w:color="auto"/>
              <w:right w:val="single" w:sz="4" w:space="0" w:color="auto"/>
            </w:tcBorders>
            <w:vAlign w:val="center"/>
            <w:hideMark/>
          </w:tcPr>
          <w:p w14:paraId="53D32441" w14:textId="77777777" w:rsidR="00654430" w:rsidRPr="004E13E9" w:rsidRDefault="00654430" w:rsidP="00E62E84">
            <w:pPr>
              <w:rPr>
                <w:b/>
                <w:sz w:val="16"/>
                <w:szCs w:val="16"/>
                <w:lang w:bidi="fr-FR"/>
              </w:rPr>
            </w:pPr>
            <w:r w:rsidRPr="004E13E9">
              <w:rPr>
                <w:b/>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6622A635" w14:textId="77777777" w:rsidR="00654430" w:rsidRPr="004E13E9" w:rsidRDefault="00654430" w:rsidP="00E62E84">
            <w:pPr>
              <w:rPr>
                <w:b/>
                <w:sz w:val="16"/>
                <w:szCs w:val="16"/>
                <w:lang w:bidi="fr-FR"/>
              </w:rPr>
            </w:pPr>
            <w:r w:rsidRPr="004E13E9">
              <w:rPr>
                <w:b/>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5A4F1BDD" w14:textId="77777777" w:rsidR="00654430" w:rsidRPr="004E13E9" w:rsidRDefault="00654430" w:rsidP="00E62E84">
            <w:pPr>
              <w:rPr>
                <w:b/>
                <w:sz w:val="16"/>
                <w:szCs w:val="16"/>
                <w:lang w:bidi="fr-FR"/>
              </w:rPr>
            </w:pPr>
            <w:r w:rsidRPr="004E13E9">
              <w:rPr>
                <w:b/>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tcPr>
          <w:p w14:paraId="27ECDA9B" w14:textId="77777777" w:rsidR="00654430" w:rsidRPr="004E13E9" w:rsidRDefault="00654430" w:rsidP="00E62E84">
            <w:pPr>
              <w:rPr>
                <w:b/>
                <w:sz w:val="16"/>
                <w:szCs w:val="16"/>
                <w:lang w:bidi="fr-FR"/>
              </w:rPr>
            </w:pPr>
          </w:p>
        </w:tc>
        <w:tc>
          <w:tcPr>
            <w:tcW w:w="214" w:type="pct"/>
            <w:tcBorders>
              <w:top w:val="single" w:sz="4" w:space="0" w:color="auto"/>
              <w:left w:val="single" w:sz="4" w:space="0" w:color="auto"/>
              <w:bottom w:val="single" w:sz="4" w:space="0" w:color="auto"/>
              <w:right w:val="single" w:sz="4" w:space="0" w:color="auto"/>
            </w:tcBorders>
          </w:tcPr>
          <w:p w14:paraId="448B46AC" w14:textId="77777777" w:rsidR="00654430" w:rsidRPr="004E13E9" w:rsidRDefault="00654430" w:rsidP="00E62E84">
            <w:pPr>
              <w:rPr>
                <w:sz w:val="16"/>
                <w:szCs w:val="16"/>
                <w:lang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E231093" w14:textId="77777777" w:rsidR="00654430" w:rsidRPr="004E13E9" w:rsidRDefault="00654430" w:rsidP="00E62E84">
            <w:pPr>
              <w:rPr>
                <w:b/>
                <w:sz w:val="16"/>
                <w:szCs w:val="16"/>
                <w:lang w:bidi="fr-FR"/>
              </w:rPr>
            </w:pPr>
            <w:r w:rsidRPr="004E13E9">
              <w:rPr>
                <w:b/>
                <w:sz w:val="16"/>
                <w:szCs w:val="16"/>
                <w:lang w:bidi="fr-FR"/>
              </w:rPr>
              <w:t> </w:t>
            </w:r>
          </w:p>
        </w:tc>
        <w:tc>
          <w:tcPr>
            <w:tcW w:w="208" w:type="pct"/>
            <w:tcBorders>
              <w:top w:val="single" w:sz="4" w:space="0" w:color="auto"/>
              <w:left w:val="single" w:sz="4" w:space="0" w:color="auto"/>
              <w:bottom w:val="single" w:sz="4" w:space="0" w:color="auto"/>
              <w:right w:val="single" w:sz="4" w:space="0" w:color="auto"/>
            </w:tcBorders>
          </w:tcPr>
          <w:p w14:paraId="123F93F3" w14:textId="77777777" w:rsidR="00654430" w:rsidRPr="004E13E9" w:rsidRDefault="00654430" w:rsidP="00E62E84">
            <w:pP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2C1B7BC3" w14:textId="77777777" w:rsidR="00654430" w:rsidRPr="004E13E9" w:rsidRDefault="00654430" w:rsidP="00E62E84">
            <w:pPr>
              <w:jc w:val="center"/>
              <w:rPr>
                <w:b/>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3567C14E" w14:textId="77777777" w:rsidR="00654430" w:rsidRPr="004E13E9" w:rsidRDefault="00654430" w:rsidP="00E62E84">
            <w:pPr>
              <w:jc w:val="cente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686FA287" w14:textId="77777777" w:rsidR="00654430" w:rsidRPr="004E13E9" w:rsidRDefault="00654430" w:rsidP="00E62E84">
            <w:pPr>
              <w:jc w:val="center"/>
              <w:rPr>
                <w:b/>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1DBB030A" w14:textId="77777777" w:rsidR="00654430" w:rsidRPr="004E13E9" w:rsidRDefault="00654430" w:rsidP="00E62E84">
            <w:pPr>
              <w:jc w:val="cente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2A7062FD" w14:textId="77777777" w:rsidR="00654430" w:rsidRPr="004E13E9" w:rsidRDefault="00654430" w:rsidP="00E62E84">
            <w:pPr>
              <w:jc w:val="center"/>
              <w:rPr>
                <w:b/>
                <w:sz w:val="16"/>
                <w:szCs w:val="16"/>
                <w:lang w:bidi="fr-FR"/>
              </w:rPr>
            </w:pPr>
          </w:p>
        </w:tc>
        <w:tc>
          <w:tcPr>
            <w:tcW w:w="277" w:type="pct"/>
            <w:tcBorders>
              <w:top w:val="single" w:sz="4" w:space="0" w:color="auto"/>
              <w:left w:val="single" w:sz="4" w:space="0" w:color="auto"/>
              <w:bottom w:val="single" w:sz="4" w:space="0" w:color="auto"/>
              <w:right w:val="single" w:sz="4" w:space="0" w:color="auto"/>
            </w:tcBorders>
            <w:vAlign w:val="center"/>
          </w:tcPr>
          <w:p w14:paraId="34923AE9" w14:textId="77777777" w:rsidR="00654430" w:rsidRPr="004E13E9" w:rsidRDefault="00654430" w:rsidP="00E62E84">
            <w:pPr>
              <w:jc w:val="center"/>
              <w:rPr>
                <w:b/>
                <w:sz w:val="16"/>
                <w:szCs w:val="16"/>
                <w:lang w:bidi="fr-FR"/>
              </w:rPr>
            </w:pPr>
          </w:p>
        </w:tc>
      </w:tr>
      <w:tr w:rsidR="00654430" w:rsidRPr="004E13E9" w14:paraId="62961F96"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noWrap/>
            <w:vAlign w:val="center"/>
            <w:hideMark/>
          </w:tcPr>
          <w:p w14:paraId="10509178" w14:textId="77777777" w:rsidR="00654430" w:rsidRPr="004E13E9" w:rsidRDefault="00654430" w:rsidP="00E62E84">
            <w:pPr>
              <w:rPr>
                <w:sz w:val="16"/>
                <w:szCs w:val="16"/>
                <w:lang w:bidi="fr-FR"/>
              </w:rPr>
            </w:pPr>
            <w:proofErr w:type="spellStart"/>
            <w:r w:rsidRPr="004E13E9">
              <w:rPr>
                <w:sz w:val="16"/>
                <w:szCs w:val="16"/>
                <w:lang w:bidi="fr-FR"/>
              </w:rPr>
              <w:t>Canneur</w:t>
            </w:r>
            <w:proofErr w:type="spellEnd"/>
            <w:r w:rsidRPr="004E13E9">
              <w:rPr>
                <w:sz w:val="16"/>
                <w:szCs w:val="16"/>
                <w:lang w:bidi="fr-FR"/>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hideMark/>
          </w:tcPr>
          <w:p w14:paraId="7DE9620F" w14:textId="77777777" w:rsidR="00654430" w:rsidRPr="004E13E9" w:rsidRDefault="00654430" w:rsidP="00E62E84">
            <w:pPr>
              <w:rPr>
                <w:sz w:val="16"/>
                <w:szCs w:val="16"/>
                <w:lang w:bidi="fr-FR"/>
              </w:rPr>
            </w:pPr>
            <w:r w:rsidRPr="004E13E9">
              <w:rPr>
                <w:sz w:val="16"/>
                <w:szCs w:val="16"/>
                <w:lang w:bidi="fr-FR"/>
              </w:rPr>
              <w:t>19,75</w:t>
            </w:r>
          </w:p>
        </w:tc>
        <w:tc>
          <w:tcPr>
            <w:tcW w:w="204" w:type="pct"/>
            <w:gridSpan w:val="2"/>
            <w:tcBorders>
              <w:top w:val="single" w:sz="4" w:space="0" w:color="auto"/>
              <w:left w:val="single" w:sz="4" w:space="0" w:color="auto"/>
              <w:bottom w:val="single" w:sz="4" w:space="0" w:color="auto"/>
              <w:right w:val="single" w:sz="4" w:space="0" w:color="auto"/>
            </w:tcBorders>
          </w:tcPr>
          <w:p w14:paraId="7D63E5DD" w14:textId="77777777" w:rsidR="00654430" w:rsidRPr="004E13E9" w:rsidRDefault="00654430" w:rsidP="00E62E84">
            <w:pP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7C763868" w14:textId="77777777" w:rsidR="00654430" w:rsidRPr="004E13E9" w:rsidRDefault="00654430" w:rsidP="00E62E84">
            <w:pPr>
              <w:rPr>
                <w:b/>
                <w:sz w:val="16"/>
                <w:szCs w:val="16"/>
                <w:lang w:bidi="fr-FR"/>
              </w:rPr>
            </w:pPr>
            <w:r w:rsidRPr="004E13E9">
              <w:rPr>
                <w:b/>
                <w:sz w:val="16"/>
                <w:szCs w:val="16"/>
                <w:lang w:bidi="fr-FR"/>
              </w:rPr>
              <w:t> </w:t>
            </w:r>
          </w:p>
        </w:tc>
        <w:tc>
          <w:tcPr>
            <w:tcW w:w="214" w:type="pct"/>
            <w:tcBorders>
              <w:top w:val="single" w:sz="4" w:space="0" w:color="auto"/>
              <w:left w:val="single" w:sz="4" w:space="0" w:color="auto"/>
              <w:bottom w:val="single" w:sz="4" w:space="0" w:color="auto"/>
              <w:right w:val="single" w:sz="4" w:space="0" w:color="auto"/>
            </w:tcBorders>
            <w:vAlign w:val="center"/>
            <w:hideMark/>
          </w:tcPr>
          <w:p w14:paraId="5E5EE7FD" w14:textId="77777777" w:rsidR="00654430" w:rsidRPr="004E13E9" w:rsidRDefault="00654430" w:rsidP="00E62E84">
            <w:pPr>
              <w:rPr>
                <w:b/>
                <w:sz w:val="16"/>
                <w:szCs w:val="16"/>
                <w:lang w:bidi="fr-FR"/>
              </w:rPr>
            </w:pPr>
            <w:r w:rsidRPr="004E13E9">
              <w:rPr>
                <w:b/>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79F6B8A3" w14:textId="77777777" w:rsidR="00654430" w:rsidRPr="004E13E9" w:rsidRDefault="00654430" w:rsidP="00E62E84">
            <w:pPr>
              <w:rPr>
                <w:b/>
                <w:sz w:val="16"/>
                <w:szCs w:val="16"/>
                <w:lang w:bidi="fr-FR"/>
              </w:rPr>
            </w:pPr>
            <w:r w:rsidRPr="004E13E9">
              <w:rPr>
                <w:b/>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09163C5B" w14:textId="77777777" w:rsidR="00654430" w:rsidRPr="004E13E9" w:rsidRDefault="00654430" w:rsidP="00E62E84">
            <w:pPr>
              <w:rPr>
                <w:b/>
                <w:sz w:val="16"/>
                <w:szCs w:val="16"/>
                <w:lang w:bidi="fr-FR"/>
              </w:rPr>
            </w:pPr>
            <w:r w:rsidRPr="004E13E9">
              <w:rPr>
                <w:b/>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tcPr>
          <w:p w14:paraId="35161B58" w14:textId="77777777" w:rsidR="00654430" w:rsidRPr="004E13E9" w:rsidRDefault="00654430" w:rsidP="00E62E84">
            <w:pPr>
              <w:rPr>
                <w:b/>
                <w:sz w:val="16"/>
                <w:szCs w:val="16"/>
                <w:lang w:bidi="fr-FR"/>
              </w:rPr>
            </w:pPr>
          </w:p>
        </w:tc>
        <w:tc>
          <w:tcPr>
            <w:tcW w:w="214" w:type="pct"/>
            <w:tcBorders>
              <w:top w:val="single" w:sz="4" w:space="0" w:color="auto"/>
              <w:left w:val="single" w:sz="4" w:space="0" w:color="auto"/>
              <w:bottom w:val="single" w:sz="4" w:space="0" w:color="auto"/>
              <w:right w:val="single" w:sz="4" w:space="0" w:color="auto"/>
            </w:tcBorders>
          </w:tcPr>
          <w:p w14:paraId="2C23BFDC" w14:textId="77777777" w:rsidR="00654430" w:rsidRPr="004E13E9" w:rsidRDefault="00654430" w:rsidP="00E62E84">
            <w:pPr>
              <w:rPr>
                <w:sz w:val="16"/>
                <w:szCs w:val="16"/>
                <w:lang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28419EF" w14:textId="77777777" w:rsidR="00654430" w:rsidRPr="004E13E9" w:rsidRDefault="00654430" w:rsidP="00E62E84">
            <w:pPr>
              <w:rPr>
                <w:b/>
                <w:sz w:val="16"/>
                <w:szCs w:val="16"/>
                <w:lang w:bidi="fr-FR"/>
              </w:rPr>
            </w:pPr>
            <w:r w:rsidRPr="004E13E9">
              <w:rPr>
                <w:b/>
                <w:sz w:val="16"/>
                <w:szCs w:val="16"/>
                <w:lang w:bidi="fr-FR"/>
              </w:rPr>
              <w:t> </w:t>
            </w:r>
          </w:p>
        </w:tc>
        <w:tc>
          <w:tcPr>
            <w:tcW w:w="208" w:type="pct"/>
            <w:tcBorders>
              <w:top w:val="single" w:sz="4" w:space="0" w:color="auto"/>
              <w:left w:val="single" w:sz="4" w:space="0" w:color="auto"/>
              <w:bottom w:val="single" w:sz="4" w:space="0" w:color="auto"/>
              <w:right w:val="single" w:sz="4" w:space="0" w:color="auto"/>
            </w:tcBorders>
          </w:tcPr>
          <w:p w14:paraId="50E3DCCF" w14:textId="77777777" w:rsidR="00654430" w:rsidRPr="004E13E9" w:rsidRDefault="00654430" w:rsidP="00E62E84">
            <w:pP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509ADC1F" w14:textId="77777777" w:rsidR="00654430" w:rsidRPr="004E13E9" w:rsidRDefault="00654430" w:rsidP="00E62E84">
            <w:pPr>
              <w:jc w:val="center"/>
              <w:rPr>
                <w:b/>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5FFB72D1" w14:textId="77777777" w:rsidR="00654430" w:rsidRPr="004E13E9" w:rsidRDefault="00654430" w:rsidP="00E62E84">
            <w:pPr>
              <w:jc w:val="cente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4C70A8CC" w14:textId="77777777" w:rsidR="00654430" w:rsidRPr="004E13E9" w:rsidRDefault="00654430" w:rsidP="00E62E84">
            <w:pPr>
              <w:jc w:val="center"/>
              <w:rPr>
                <w:b/>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19087107" w14:textId="77777777" w:rsidR="00654430" w:rsidRPr="004E13E9" w:rsidRDefault="00654430" w:rsidP="00E62E84">
            <w:pPr>
              <w:jc w:val="cente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73E4E7FD" w14:textId="77777777" w:rsidR="00654430" w:rsidRPr="004E13E9" w:rsidRDefault="00654430" w:rsidP="00E62E84">
            <w:pPr>
              <w:jc w:val="center"/>
              <w:rPr>
                <w:b/>
                <w:sz w:val="16"/>
                <w:szCs w:val="16"/>
                <w:lang w:bidi="fr-FR"/>
              </w:rPr>
            </w:pPr>
          </w:p>
        </w:tc>
        <w:tc>
          <w:tcPr>
            <w:tcW w:w="277" w:type="pct"/>
            <w:tcBorders>
              <w:top w:val="single" w:sz="4" w:space="0" w:color="auto"/>
              <w:left w:val="single" w:sz="4" w:space="0" w:color="auto"/>
              <w:bottom w:val="single" w:sz="4" w:space="0" w:color="auto"/>
              <w:right w:val="single" w:sz="4" w:space="0" w:color="auto"/>
            </w:tcBorders>
            <w:vAlign w:val="center"/>
          </w:tcPr>
          <w:p w14:paraId="2FA4DBEF" w14:textId="77777777" w:rsidR="00654430" w:rsidRPr="004E13E9" w:rsidRDefault="00654430" w:rsidP="00E62E84">
            <w:pPr>
              <w:jc w:val="center"/>
              <w:rPr>
                <w:b/>
                <w:sz w:val="16"/>
                <w:szCs w:val="16"/>
                <w:lang w:bidi="fr-FR"/>
              </w:rPr>
            </w:pPr>
          </w:p>
        </w:tc>
      </w:tr>
      <w:tr w:rsidR="00654430" w:rsidRPr="004E13E9" w14:paraId="371CD56D"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noWrap/>
            <w:vAlign w:val="center"/>
            <w:hideMark/>
          </w:tcPr>
          <w:p w14:paraId="3446AD70" w14:textId="77777777" w:rsidR="00654430" w:rsidRPr="004E13E9" w:rsidRDefault="00654430" w:rsidP="00E62E84">
            <w:pPr>
              <w:rPr>
                <w:sz w:val="16"/>
                <w:szCs w:val="16"/>
                <w:lang w:bidi="fr-FR"/>
              </w:rPr>
            </w:pPr>
            <w:r w:rsidRPr="004E13E9">
              <w:rPr>
                <w:sz w:val="16"/>
                <w:szCs w:val="16"/>
                <w:lang w:bidi="fr-FR"/>
              </w:rPr>
              <w:t>Ligne à main</w:t>
            </w:r>
          </w:p>
        </w:tc>
        <w:tc>
          <w:tcPr>
            <w:tcW w:w="597" w:type="pct"/>
            <w:tcBorders>
              <w:top w:val="single" w:sz="4" w:space="0" w:color="auto"/>
              <w:left w:val="single" w:sz="4" w:space="0" w:color="auto"/>
              <w:bottom w:val="single" w:sz="4" w:space="0" w:color="auto"/>
              <w:right w:val="single" w:sz="4" w:space="0" w:color="auto"/>
            </w:tcBorders>
            <w:noWrap/>
            <w:vAlign w:val="center"/>
            <w:hideMark/>
          </w:tcPr>
          <w:p w14:paraId="16786367" w14:textId="77777777" w:rsidR="00654430" w:rsidRPr="004E13E9" w:rsidRDefault="00654430" w:rsidP="00E62E84">
            <w:pPr>
              <w:rPr>
                <w:sz w:val="16"/>
                <w:szCs w:val="16"/>
                <w:lang w:bidi="fr-FR"/>
              </w:rPr>
            </w:pPr>
            <w:r w:rsidRPr="004E13E9">
              <w:rPr>
                <w:sz w:val="16"/>
                <w:szCs w:val="16"/>
                <w:lang w:bidi="fr-FR"/>
              </w:rPr>
              <w:t>5</w:t>
            </w:r>
          </w:p>
        </w:tc>
        <w:tc>
          <w:tcPr>
            <w:tcW w:w="204" w:type="pct"/>
            <w:gridSpan w:val="2"/>
            <w:tcBorders>
              <w:top w:val="single" w:sz="4" w:space="0" w:color="auto"/>
              <w:left w:val="single" w:sz="4" w:space="0" w:color="auto"/>
              <w:bottom w:val="single" w:sz="4" w:space="0" w:color="auto"/>
              <w:right w:val="single" w:sz="4" w:space="0" w:color="auto"/>
            </w:tcBorders>
          </w:tcPr>
          <w:p w14:paraId="238A255C"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05C80415" w14:textId="77777777" w:rsidR="00654430" w:rsidRPr="004E13E9" w:rsidRDefault="00654430" w:rsidP="00E62E84">
            <w:pPr>
              <w:rPr>
                <w:sz w:val="16"/>
                <w:szCs w:val="16"/>
                <w:lang w:bidi="fr-FR"/>
              </w:rPr>
            </w:pPr>
            <w:r w:rsidRPr="004E13E9">
              <w:rPr>
                <w:sz w:val="16"/>
                <w:szCs w:val="16"/>
                <w:lang w:bidi="fr-FR"/>
              </w:rPr>
              <w:t> </w:t>
            </w:r>
          </w:p>
        </w:tc>
        <w:tc>
          <w:tcPr>
            <w:tcW w:w="214" w:type="pct"/>
            <w:tcBorders>
              <w:top w:val="single" w:sz="4" w:space="0" w:color="auto"/>
              <w:left w:val="single" w:sz="4" w:space="0" w:color="auto"/>
              <w:bottom w:val="single" w:sz="4" w:space="0" w:color="auto"/>
              <w:right w:val="single" w:sz="4" w:space="0" w:color="auto"/>
            </w:tcBorders>
            <w:vAlign w:val="center"/>
            <w:hideMark/>
          </w:tcPr>
          <w:p w14:paraId="65513BF2"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78759418"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51BF4D1C"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tcPr>
          <w:p w14:paraId="32FE16B2" w14:textId="77777777" w:rsidR="00654430" w:rsidRPr="004E13E9" w:rsidRDefault="00654430" w:rsidP="00E62E84">
            <w:pPr>
              <w:rPr>
                <w:sz w:val="16"/>
                <w:szCs w:val="16"/>
                <w:lang w:bidi="fr-FR"/>
              </w:rPr>
            </w:pPr>
          </w:p>
        </w:tc>
        <w:tc>
          <w:tcPr>
            <w:tcW w:w="214" w:type="pct"/>
            <w:tcBorders>
              <w:top w:val="single" w:sz="4" w:space="0" w:color="auto"/>
              <w:left w:val="single" w:sz="4" w:space="0" w:color="auto"/>
              <w:bottom w:val="single" w:sz="4" w:space="0" w:color="auto"/>
              <w:right w:val="single" w:sz="4" w:space="0" w:color="auto"/>
            </w:tcBorders>
          </w:tcPr>
          <w:p w14:paraId="58B9773D" w14:textId="77777777" w:rsidR="00654430" w:rsidRPr="004E13E9" w:rsidRDefault="00654430" w:rsidP="00E62E84">
            <w:pPr>
              <w:rPr>
                <w:sz w:val="16"/>
                <w:szCs w:val="16"/>
                <w:lang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E20516D" w14:textId="77777777" w:rsidR="00654430" w:rsidRPr="004E13E9" w:rsidRDefault="00654430" w:rsidP="00E62E84">
            <w:pPr>
              <w:rPr>
                <w:sz w:val="16"/>
                <w:szCs w:val="16"/>
                <w:lang w:bidi="fr-FR"/>
              </w:rPr>
            </w:pPr>
            <w:r w:rsidRPr="004E13E9">
              <w:rPr>
                <w:sz w:val="16"/>
                <w:szCs w:val="16"/>
                <w:lang w:bidi="fr-FR"/>
              </w:rPr>
              <w:t> </w:t>
            </w:r>
          </w:p>
        </w:tc>
        <w:tc>
          <w:tcPr>
            <w:tcW w:w="208" w:type="pct"/>
            <w:tcBorders>
              <w:top w:val="single" w:sz="4" w:space="0" w:color="auto"/>
              <w:left w:val="single" w:sz="4" w:space="0" w:color="auto"/>
              <w:bottom w:val="single" w:sz="4" w:space="0" w:color="auto"/>
              <w:right w:val="single" w:sz="4" w:space="0" w:color="auto"/>
            </w:tcBorders>
          </w:tcPr>
          <w:p w14:paraId="18E09C84"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7BE1263A" w14:textId="77777777" w:rsidR="00654430" w:rsidRPr="004E13E9" w:rsidRDefault="00654430" w:rsidP="00E62E84">
            <w:pPr>
              <w:jc w:val="center"/>
              <w:rPr>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07847AB5" w14:textId="77777777" w:rsidR="00654430" w:rsidRPr="004E13E9" w:rsidRDefault="00654430" w:rsidP="00E62E84">
            <w:pPr>
              <w:jc w:val="cente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00641A25" w14:textId="77777777" w:rsidR="00654430" w:rsidRPr="004E13E9" w:rsidRDefault="00654430" w:rsidP="00E62E84">
            <w:pPr>
              <w:jc w:val="center"/>
              <w:rPr>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1B4BAD40" w14:textId="77777777" w:rsidR="00654430" w:rsidRPr="004E13E9" w:rsidRDefault="00654430" w:rsidP="00E62E84">
            <w:pPr>
              <w:jc w:val="cente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41421F62" w14:textId="77777777" w:rsidR="00654430" w:rsidRPr="004E13E9" w:rsidRDefault="00654430" w:rsidP="00E62E84">
            <w:pPr>
              <w:jc w:val="center"/>
              <w:rPr>
                <w:sz w:val="16"/>
                <w:szCs w:val="16"/>
                <w:lang w:bidi="fr-FR"/>
              </w:rPr>
            </w:pPr>
          </w:p>
        </w:tc>
        <w:tc>
          <w:tcPr>
            <w:tcW w:w="277" w:type="pct"/>
            <w:tcBorders>
              <w:top w:val="single" w:sz="4" w:space="0" w:color="auto"/>
              <w:left w:val="single" w:sz="4" w:space="0" w:color="auto"/>
              <w:bottom w:val="single" w:sz="4" w:space="0" w:color="auto"/>
              <w:right w:val="single" w:sz="4" w:space="0" w:color="auto"/>
            </w:tcBorders>
            <w:vAlign w:val="center"/>
          </w:tcPr>
          <w:p w14:paraId="20BABE22" w14:textId="77777777" w:rsidR="00654430" w:rsidRPr="004E13E9" w:rsidRDefault="00654430" w:rsidP="00E62E84">
            <w:pPr>
              <w:jc w:val="center"/>
              <w:rPr>
                <w:sz w:val="16"/>
                <w:szCs w:val="16"/>
                <w:lang w:bidi="fr-FR"/>
              </w:rPr>
            </w:pPr>
          </w:p>
        </w:tc>
      </w:tr>
      <w:tr w:rsidR="00654430" w:rsidRPr="004E13E9" w14:paraId="156313B6"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noWrap/>
            <w:vAlign w:val="center"/>
            <w:hideMark/>
          </w:tcPr>
          <w:p w14:paraId="68347D7A" w14:textId="77777777" w:rsidR="00654430" w:rsidRPr="004E13E9" w:rsidRDefault="00654430" w:rsidP="00E62E84">
            <w:pPr>
              <w:rPr>
                <w:sz w:val="16"/>
                <w:szCs w:val="16"/>
                <w:lang w:bidi="fr-FR"/>
              </w:rPr>
            </w:pPr>
            <w:proofErr w:type="spellStart"/>
            <w:r w:rsidRPr="004E13E9">
              <w:rPr>
                <w:sz w:val="16"/>
                <w:szCs w:val="16"/>
                <w:lang w:bidi="fr-FR"/>
              </w:rPr>
              <w:t>Chalutier</w:t>
            </w:r>
            <w:proofErr w:type="spellEnd"/>
          </w:p>
        </w:tc>
        <w:tc>
          <w:tcPr>
            <w:tcW w:w="597" w:type="pct"/>
            <w:tcBorders>
              <w:top w:val="single" w:sz="4" w:space="0" w:color="auto"/>
              <w:left w:val="single" w:sz="4" w:space="0" w:color="auto"/>
              <w:bottom w:val="single" w:sz="4" w:space="0" w:color="auto"/>
              <w:right w:val="single" w:sz="4" w:space="0" w:color="auto"/>
            </w:tcBorders>
            <w:noWrap/>
            <w:vAlign w:val="center"/>
            <w:hideMark/>
          </w:tcPr>
          <w:p w14:paraId="40BEAB14" w14:textId="77777777" w:rsidR="00654430" w:rsidRPr="004E13E9" w:rsidRDefault="00654430" w:rsidP="00E62E84">
            <w:pPr>
              <w:rPr>
                <w:sz w:val="16"/>
                <w:szCs w:val="16"/>
                <w:lang w:bidi="fr-FR"/>
              </w:rPr>
            </w:pPr>
            <w:r w:rsidRPr="004E13E9">
              <w:rPr>
                <w:sz w:val="16"/>
                <w:szCs w:val="16"/>
                <w:lang w:bidi="fr-FR"/>
              </w:rPr>
              <w:t>10</w:t>
            </w:r>
          </w:p>
        </w:tc>
        <w:tc>
          <w:tcPr>
            <w:tcW w:w="204" w:type="pct"/>
            <w:gridSpan w:val="2"/>
            <w:tcBorders>
              <w:top w:val="single" w:sz="4" w:space="0" w:color="auto"/>
              <w:left w:val="single" w:sz="4" w:space="0" w:color="auto"/>
              <w:bottom w:val="single" w:sz="4" w:space="0" w:color="auto"/>
              <w:right w:val="single" w:sz="4" w:space="0" w:color="auto"/>
            </w:tcBorders>
          </w:tcPr>
          <w:p w14:paraId="6DB5FE79"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79F04A7C" w14:textId="77777777" w:rsidR="00654430" w:rsidRPr="004E13E9" w:rsidRDefault="00654430" w:rsidP="00E62E84">
            <w:pPr>
              <w:rPr>
                <w:sz w:val="16"/>
                <w:szCs w:val="16"/>
                <w:lang w:bidi="fr-FR"/>
              </w:rPr>
            </w:pPr>
            <w:r w:rsidRPr="004E13E9">
              <w:rPr>
                <w:sz w:val="16"/>
                <w:szCs w:val="16"/>
                <w:lang w:bidi="fr-FR"/>
              </w:rPr>
              <w:t> </w:t>
            </w:r>
          </w:p>
        </w:tc>
        <w:tc>
          <w:tcPr>
            <w:tcW w:w="214" w:type="pct"/>
            <w:tcBorders>
              <w:top w:val="single" w:sz="4" w:space="0" w:color="auto"/>
              <w:left w:val="single" w:sz="4" w:space="0" w:color="auto"/>
              <w:bottom w:val="single" w:sz="4" w:space="0" w:color="auto"/>
              <w:right w:val="single" w:sz="4" w:space="0" w:color="auto"/>
            </w:tcBorders>
            <w:vAlign w:val="center"/>
            <w:hideMark/>
          </w:tcPr>
          <w:p w14:paraId="126671DC"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7F2AAD4E"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234785DE"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tcPr>
          <w:p w14:paraId="09E76B4C" w14:textId="77777777" w:rsidR="00654430" w:rsidRPr="004E13E9" w:rsidRDefault="00654430" w:rsidP="00E62E84">
            <w:pPr>
              <w:rPr>
                <w:sz w:val="16"/>
                <w:szCs w:val="16"/>
                <w:lang w:bidi="fr-FR"/>
              </w:rPr>
            </w:pPr>
          </w:p>
        </w:tc>
        <w:tc>
          <w:tcPr>
            <w:tcW w:w="214" w:type="pct"/>
            <w:tcBorders>
              <w:top w:val="single" w:sz="4" w:space="0" w:color="auto"/>
              <w:left w:val="single" w:sz="4" w:space="0" w:color="auto"/>
              <w:bottom w:val="single" w:sz="4" w:space="0" w:color="auto"/>
              <w:right w:val="single" w:sz="4" w:space="0" w:color="auto"/>
            </w:tcBorders>
          </w:tcPr>
          <w:p w14:paraId="0E0BE754" w14:textId="77777777" w:rsidR="00654430" w:rsidRPr="004E13E9" w:rsidRDefault="00654430" w:rsidP="00E62E84">
            <w:pPr>
              <w:rPr>
                <w:sz w:val="16"/>
                <w:szCs w:val="16"/>
                <w:lang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9B63523" w14:textId="77777777" w:rsidR="00654430" w:rsidRPr="004E13E9" w:rsidRDefault="00654430" w:rsidP="00E62E84">
            <w:pPr>
              <w:rPr>
                <w:sz w:val="16"/>
                <w:szCs w:val="16"/>
                <w:lang w:bidi="fr-FR"/>
              </w:rPr>
            </w:pPr>
            <w:r w:rsidRPr="004E13E9">
              <w:rPr>
                <w:sz w:val="16"/>
                <w:szCs w:val="16"/>
                <w:lang w:bidi="fr-FR"/>
              </w:rPr>
              <w:t> </w:t>
            </w:r>
          </w:p>
        </w:tc>
        <w:tc>
          <w:tcPr>
            <w:tcW w:w="208" w:type="pct"/>
            <w:tcBorders>
              <w:top w:val="single" w:sz="4" w:space="0" w:color="auto"/>
              <w:left w:val="single" w:sz="4" w:space="0" w:color="auto"/>
              <w:bottom w:val="single" w:sz="4" w:space="0" w:color="auto"/>
              <w:right w:val="single" w:sz="4" w:space="0" w:color="auto"/>
            </w:tcBorders>
          </w:tcPr>
          <w:p w14:paraId="5E2185AF"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47128216" w14:textId="77777777" w:rsidR="00654430" w:rsidRPr="004E13E9" w:rsidRDefault="00654430" w:rsidP="00E62E84">
            <w:pPr>
              <w:jc w:val="center"/>
              <w:rPr>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2C1554F8" w14:textId="77777777" w:rsidR="00654430" w:rsidRPr="004E13E9" w:rsidRDefault="00654430" w:rsidP="00E62E84">
            <w:pPr>
              <w:jc w:val="cente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496972CE" w14:textId="77777777" w:rsidR="00654430" w:rsidRPr="004E13E9" w:rsidRDefault="00654430" w:rsidP="00E62E84">
            <w:pPr>
              <w:jc w:val="center"/>
              <w:rPr>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6D6611F7" w14:textId="77777777" w:rsidR="00654430" w:rsidRPr="004E13E9" w:rsidRDefault="00654430" w:rsidP="00E62E84">
            <w:pPr>
              <w:jc w:val="cente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7FCC155B" w14:textId="77777777" w:rsidR="00654430" w:rsidRPr="004E13E9" w:rsidRDefault="00654430" w:rsidP="00E62E84">
            <w:pPr>
              <w:jc w:val="center"/>
              <w:rPr>
                <w:sz w:val="16"/>
                <w:szCs w:val="16"/>
                <w:lang w:bidi="fr-FR"/>
              </w:rPr>
            </w:pPr>
          </w:p>
        </w:tc>
        <w:tc>
          <w:tcPr>
            <w:tcW w:w="277" w:type="pct"/>
            <w:tcBorders>
              <w:top w:val="single" w:sz="4" w:space="0" w:color="auto"/>
              <w:left w:val="single" w:sz="4" w:space="0" w:color="auto"/>
              <w:bottom w:val="single" w:sz="4" w:space="0" w:color="auto"/>
              <w:right w:val="single" w:sz="4" w:space="0" w:color="auto"/>
            </w:tcBorders>
            <w:vAlign w:val="center"/>
          </w:tcPr>
          <w:p w14:paraId="535C4229" w14:textId="77777777" w:rsidR="00654430" w:rsidRPr="004E13E9" w:rsidRDefault="00654430" w:rsidP="00E62E84">
            <w:pPr>
              <w:jc w:val="center"/>
              <w:rPr>
                <w:sz w:val="16"/>
                <w:szCs w:val="16"/>
                <w:lang w:bidi="fr-FR"/>
              </w:rPr>
            </w:pPr>
          </w:p>
        </w:tc>
      </w:tr>
      <w:tr w:rsidR="00654430" w:rsidRPr="004E13E9" w14:paraId="127DAD81"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noWrap/>
            <w:vAlign w:val="center"/>
            <w:hideMark/>
          </w:tcPr>
          <w:p w14:paraId="14F7E76A" w14:textId="77777777" w:rsidR="00654430" w:rsidRPr="004E13E9" w:rsidRDefault="00654430" w:rsidP="00E62E84">
            <w:pPr>
              <w:rPr>
                <w:sz w:val="16"/>
                <w:szCs w:val="16"/>
                <w:lang w:bidi="fr-FR"/>
              </w:rPr>
            </w:pPr>
            <w:r w:rsidRPr="004E13E9">
              <w:rPr>
                <w:sz w:val="16"/>
                <w:szCs w:val="16"/>
                <w:lang w:bidi="fr-FR"/>
              </w:rPr>
              <w:t>Madrague</w:t>
            </w:r>
          </w:p>
        </w:tc>
        <w:tc>
          <w:tcPr>
            <w:tcW w:w="597" w:type="pct"/>
            <w:tcBorders>
              <w:top w:val="single" w:sz="4" w:space="0" w:color="auto"/>
              <w:left w:val="single" w:sz="4" w:space="0" w:color="auto"/>
              <w:bottom w:val="single" w:sz="4" w:space="0" w:color="auto"/>
              <w:right w:val="single" w:sz="4" w:space="0" w:color="auto"/>
            </w:tcBorders>
            <w:noWrap/>
            <w:vAlign w:val="center"/>
            <w:hideMark/>
          </w:tcPr>
          <w:p w14:paraId="05758D20" w14:textId="77777777" w:rsidR="00654430" w:rsidRPr="004E13E9" w:rsidRDefault="00654430" w:rsidP="00E62E84">
            <w:pPr>
              <w:rPr>
                <w:sz w:val="16"/>
                <w:szCs w:val="16"/>
                <w:lang w:bidi="fr-FR"/>
              </w:rPr>
            </w:pPr>
            <w:r w:rsidRPr="004E13E9">
              <w:rPr>
                <w:sz w:val="16"/>
                <w:szCs w:val="16"/>
                <w:lang w:bidi="fr-FR"/>
              </w:rPr>
              <w:t>130</w:t>
            </w:r>
          </w:p>
        </w:tc>
        <w:tc>
          <w:tcPr>
            <w:tcW w:w="204" w:type="pct"/>
            <w:gridSpan w:val="2"/>
            <w:tcBorders>
              <w:top w:val="single" w:sz="4" w:space="0" w:color="auto"/>
              <w:left w:val="single" w:sz="4" w:space="0" w:color="auto"/>
              <w:bottom w:val="single" w:sz="4" w:space="0" w:color="auto"/>
              <w:right w:val="single" w:sz="4" w:space="0" w:color="auto"/>
            </w:tcBorders>
          </w:tcPr>
          <w:p w14:paraId="09B3C046" w14:textId="77777777" w:rsidR="00654430" w:rsidRPr="004E13E9" w:rsidRDefault="00654430" w:rsidP="00E62E84">
            <w:pP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4FE3E105" w14:textId="77777777" w:rsidR="00654430" w:rsidRPr="004E13E9" w:rsidRDefault="00654430" w:rsidP="00E62E84">
            <w:pPr>
              <w:rPr>
                <w:b/>
                <w:sz w:val="16"/>
                <w:szCs w:val="16"/>
                <w:lang w:bidi="fr-FR"/>
              </w:rPr>
            </w:pPr>
            <w:r w:rsidRPr="004E13E9">
              <w:rPr>
                <w:b/>
                <w:sz w:val="16"/>
                <w:szCs w:val="16"/>
                <w:lang w:bidi="fr-FR"/>
              </w:rPr>
              <w:t> </w:t>
            </w:r>
          </w:p>
        </w:tc>
        <w:tc>
          <w:tcPr>
            <w:tcW w:w="214" w:type="pct"/>
            <w:tcBorders>
              <w:top w:val="single" w:sz="4" w:space="0" w:color="auto"/>
              <w:left w:val="single" w:sz="4" w:space="0" w:color="auto"/>
              <w:bottom w:val="single" w:sz="4" w:space="0" w:color="auto"/>
              <w:right w:val="single" w:sz="4" w:space="0" w:color="auto"/>
            </w:tcBorders>
            <w:vAlign w:val="center"/>
            <w:hideMark/>
          </w:tcPr>
          <w:p w14:paraId="743C615E" w14:textId="77777777" w:rsidR="00654430" w:rsidRPr="004E13E9" w:rsidRDefault="00654430" w:rsidP="00E62E84">
            <w:pPr>
              <w:rPr>
                <w:b/>
                <w:sz w:val="16"/>
                <w:szCs w:val="16"/>
                <w:lang w:bidi="fr-FR"/>
              </w:rPr>
            </w:pPr>
            <w:r w:rsidRPr="004E13E9">
              <w:rPr>
                <w:b/>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4B704A36" w14:textId="77777777" w:rsidR="00654430" w:rsidRPr="004E13E9" w:rsidRDefault="00654430" w:rsidP="00E62E84">
            <w:pPr>
              <w:rPr>
                <w:b/>
                <w:sz w:val="16"/>
                <w:szCs w:val="16"/>
                <w:lang w:bidi="fr-FR"/>
              </w:rPr>
            </w:pPr>
            <w:r w:rsidRPr="004E13E9">
              <w:rPr>
                <w:b/>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2DDBC539" w14:textId="77777777" w:rsidR="00654430" w:rsidRPr="004E13E9" w:rsidRDefault="00654430" w:rsidP="00E62E84">
            <w:pPr>
              <w:rPr>
                <w:b/>
                <w:sz w:val="16"/>
                <w:szCs w:val="16"/>
                <w:lang w:bidi="fr-FR"/>
              </w:rPr>
            </w:pPr>
            <w:r w:rsidRPr="004E13E9">
              <w:rPr>
                <w:b/>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tcPr>
          <w:p w14:paraId="6329D9BF" w14:textId="77777777" w:rsidR="00654430" w:rsidRPr="004E13E9" w:rsidRDefault="00654430" w:rsidP="00E62E84">
            <w:pPr>
              <w:rPr>
                <w:b/>
                <w:sz w:val="16"/>
                <w:szCs w:val="16"/>
                <w:lang w:bidi="fr-FR"/>
              </w:rPr>
            </w:pPr>
          </w:p>
        </w:tc>
        <w:tc>
          <w:tcPr>
            <w:tcW w:w="214" w:type="pct"/>
            <w:tcBorders>
              <w:top w:val="single" w:sz="4" w:space="0" w:color="auto"/>
              <w:left w:val="single" w:sz="4" w:space="0" w:color="auto"/>
              <w:bottom w:val="single" w:sz="4" w:space="0" w:color="auto"/>
              <w:right w:val="single" w:sz="4" w:space="0" w:color="auto"/>
            </w:tcBorders>
          </w:tcPr>
          <w:p w14:paraId="57935D83" w14:textId="77777777" w:rsidR="00654430" w:rsidRPr="004E13E9" w:rsidRDefault="00654430" w:rsidP="00E62E84">
            <w:pPr>
              <w:rPr>
                <w:sz w:val="16"/>
                <w:szCs w:val="16"/>
                <w:lang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B773E5C" w14:textId="77777777" w:rsidR="00654430" w:rsidRPr="004E13E9" w:rsidRDefault="00654430" w:rsidP="00E62E84">
            <w:pPr>
              <w:rPr>
                <w:b/>
                <w:sz w:val="16"/>
                <w:szCs w:val="16"/>
                <w:lang w:bidi="fr-FR"/>
              </w:rPr>
            </w:pPr>
            <w:r w:rsidRPr="004E13E9">
              <w:rPr>
                <w:b/>
                <w:sz w:val="16"/>
                <w:szCs w:val="16"/>
                <w:lang w:bidi="fr-FR"/>
              </w:rPr>
              <w:t> </w:t>
            </w:r>
          </w:p>
        </w:tc>
        <w:tc>
          <w:tcPr>
            <w:tcW w:w="208" w:type="pct"/>
            <w:tcBorders>
              <w:top w:val="single" w:sz="4" w:space="0" w:color="auto"/>
              <w:left w:val="single" w:sz="4" w:space="0" w:color="auto"/>
              <w:bottom w:val="single" w:sz="4" w:space="0" w:color="auto"/>
              <w:right w:val="single" w:sz="4" w:space="0" w:color="auto"/>
            </w:tcBorders>
          </w:tcPr>
          <w:p w14:paraId="38A02C1C" w14:textId="77777777" w:rsidR="00654430" w:rsidRPr="004E13E9" w:rsidRDefault="00654430" w:rsidP="00E62E84">
            <w:pP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73C8FC18" w14:textId="77777777" w:rsidR="00654430" w:rsidRPr="004E13E9" w:rsidRDefault="00654430" w:rsidP="00E62E84">
            <w:pPr>
              <w:jc w:val="center"/>
              <w:rPr>
                <w:b/>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007C2154" w14:textId="77777777" w:rsidR="00654430" w:rsidRPr="004E13E9" w:rsidRDefault="00654430" w:rsidP="00E62E84">
            <w:pPr>
              <w:jc w:val="cente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351749B1" w14:textId="77777777" w:rsidR="00654430" w:rsidRPr="004E13E9" w:rsidRDefault="00654430" w:rsidP="00E62E84">
            <w:pPr>
              <w:jc w:val="center"/>
              <w:rPr>
                <w:b/>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5972CB4A" w14:textId="77777777" w:rsidR="00654430" w:rsidRPr="004E13E9" w:rsidRDefault="00654430" w:rsidP="00E62E84">
            <w:pPr>
              <w:jc w:val="cente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23EDBFDF" w14:textId="77777777" w:rsidR="00654430" w:rsidRPr="004E13E9" w:rsidRDefault="00654430" w:rsidP="00E62E84">
            <w:pPr>
              <w:jc w:val="center"/>
              <w:rPr>
                <w:b/>
                <w:sz w:val="16"/>
                <w:szCs w:val="16"/>
                <w:lang w:bidi="fr-FR"/>
              </w:rPr>
            </w:pPr>
          </w:p>
        </w:tc>
        <w:tc>
          <w:tcPr>
            <w:tcW w:w="277" w:type="pct"/>
            <w:tcBorders>
              <w:top w:val="single" w:sz="4" w:space="0" w:color="auto"/>
              <w:left w:val="single" w:sz="4" w:space="0" w:color="auto"/>
              <w:bottom w:val="single" w:sz="4" w:space="0" w:color="auto"/>
              <w:right w:val="single" w:sz="4" w:space="0" w:color="auto"/>
            </w:tcBorders>
            <w:vAlign w:val="center"/>
          </w:tcPr>
          <w:p w14:paraId="72E6920B" w14:textId="77777777" w:rsidR="00654430" w:rsidRPr="004E13E9" w:rsidRDefault="00654430" w:rsidP="00E62E84">
            <w:pPr>
              <w:jc w:val="center"/>
              <w:rPr>
                <w:b/>
                <w:sz w:val="16"/>
                <w:szCs w:val="16"/>
                <w:lang w:bidi="fr-FR"/>
              </w:rPr>
            </w:pPr>
          </w:p>
        </w:tc>
      </w:tr>
      <w:tr w:rsidR="00654430" w:rsidRPr="004E13E9" w14:paraId="6CE70A26"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vAlign w:val="center"/>
            <w:hideMark/>
          </w:tcPr>
          <w:p w14:paraId="7A75EAED" w14:textId="77777777" w:rsidR="00654430" w:rsidRPr="004E13E9" w:rsidRDefault="00654430" w:rsidP="00E62E84">
            <w:pPr>
              <w:rPr>
                <w:sz w:val="16"/>
                <w:szCs w:val="16"/>
                <w:lang w:bidi="fr-FR"/>
              </w:rPr>
            </w:pPr>
            <w:r w:rsidRPr="004E13E9">
              <w:rPr>
                <w:sz w:val="16"/>
                <w:szCs w:val="16"/>
                <w:lang w:bidi="fr-FR"/>
              </w:rPr>
              <w:t xml:space="preserve">Petits </w:t>
            </w:r>
            <w:proofErr w:type="spellStart"/>
            <w:r w:rsidRPr="004E13E9">
              <w:rPr>
                <w:sz w:val="16"/>
                <w:szCs w:val="16"/>
                <w:lang w:bidi="fr-FR"/>
              </w:rPr>
              <w:t>navires</w:t>
            </w:r>
            <w:proofErr w:type="spellEnd"/>
            <w:r w:rsidRPr="004E13E9">
              <w:rPr>
                <w:sz w:val="16"/>
                <w:szCs w:val="16"/>
                <w:lang w:bidi="fr-FR"/>
              </w:rPr>
              <w:t xml:space="preserve"> côtiers </w:t>
            </w:r>
          </w:p>
        </w:tc>
        <w:tc>
          <w:tcPr>
            <w:tcW w:w="597" w:type="pct"/>
            <w:tcBorders>
              <w:top w:val="single" w:sz="4" w:space="0" w:color="auto"/>
              <w:left w:val="single" w:sz="4" w:space="0" w:color="auto"/>
              <w:bottom w:val="single" w:sz="4" w:space="0" w:color="auto"/>
              <w:right w:val="single" w:sz="4" w:space="0" w:color="auto"/>
            </w:tcBorders>
            <w:noWrap/>
            <w:vAlign w:val="center"/>
            <w:hideMark/>
          </w:tcPr>
          <w:p w14:paraId="18C287BA" w14:textId="77777777" w:rsidR="00654430" w:rsidRPr="004E13E9" w:rsidRDefault="00654430" w:rsidP="00E62E84">
            <w:pPr>
              <w:rPr>
                <w:sz w:val="16"/>
                <w:szCs w:val="16"/>
                <w:lang w:bidi="fr-FR"/>
              </w:rPr>
            </w:pPr>
            <w:r w:rsidRPr="004E13E9">
              <w:rPr>
                <w:sz w:val="16"/>
                <w:szCs w:val="16"/>
                <w:lang w:bidi="fr-FR"/>
              </w:rPr>
              <w:t>N/A</w:t>
            </w:r>
          </w:p>
        </w:tc>
        <w:tc>
          <w:tcPr>
            <w:tcW w:w="204" w:type="pct"/>
            <w:gridSpan w:val="2"/>
            <w:tcBorders>
              <w:top w:val="single" w:sz="4" w:space="0" w:color="auto"/>
              <w:left w:val="single" w:sz="4" w:space="0" w:color="auto"/>
              <w:bottom w:val="single" w:sz="4" w:space="0" w:color="auto"/>
              <w:right w:val="single" w:sz="4" w:space="0" w:color="auto"/>
            </w:tcBorders>
          </w:tcPr>
          <w:p w14:paraId="79DDA755" w14:textId="77777777" w:rsidR="00654430" w:rsidRPr="004E13E9" w:rsidRDefault="00654430" w:rsidP="00E62E84">
            <w:pP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476973FF" w14:textId="77777777" w:rsidR="00654430" w:rsidRPr="004E13E9" w:rsidRDefault="00654430" w:rsidP="00E62E84">
            <w:pPr>
              <w:rPr>
                <w:b/>
                <w:sz w:val="16"/>
                <w:szCs w:val="16"/>
                <w:lang w:bidi="fr-FR"/>
              </w:rPr>
            </w:pPr>
            <w:r w:rsidRPr="004E13E9">
              <w:rPr>
                <w:b/>
                <w:sz w:val="16"/>
                <w:szCs w:val="16"/>
                <w:lang w:bidi="fr-FR"/>
              </w:rPr>
              <w:t> </w:t>
            </w:r>
          </w:p>
        </w:tc>
        <w:tc>
          <w:tcPr>
            <w:tcW w:w="214" w:type="pct"/>
            <w:tcBorders>
              <w:top w:val="single" w:sz="4" w:space="0" w:color="auto"/>
              <w:left w:val="single" w:sz="4" w:space="0" w:color="auto"/>
              <w:bottom w:val="single" w:sz="4" w:space="0" w:color="auto"/>
              <w:right w:val="single" w:sz="4" w:space="0" w:color="auto"/>
            </w:tcBorders>
            <w:vAlign w:val="center"/>
            <w:hideMark/>
          </w:tcPr>
          <w:p w14:paraId="3393CAE4" w14:textId="77777777" w:rsidR="00654430" w:rsidRPr="004E13E9" w:rsidRDefault="00654430" w:rsidP="00E62E84">
            <w:pPr>
              <w:rPr>
                <w:b/>
                <w:sz w:val="16"/>
                <w:szCs w:val="16"/>
                <w:lang w:bidi="fr-FR"/>
              </w:rPr>
            </w:pPr>
            <w:r w:rsidRPr="004E13E9">
              <w:rPr>
                <w:b/>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47DB4AB8" w14:textId="77777777" w:rsidR="00654430" w:rsidRPr="004E13E9" w:rsidRDefault="00654430" w:rsidP="00E62E84">
            <w:pPr>
              <w:rPr>
                <w:b/>
                <w:sz w:val="16"/>
                <w:szCs w:val="16"/>
                <w:lang w:bidi="fr-FR"/>
              </w:rPr>
            </w:pPr>
            <w:r w:rsidRPr="004E13E9">
              <w:rPr>
                <w:b/>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42CE5008" w14:textId="77777777" w:rsidR="00654430" w:rsidRPr="004E13E9" w:rsidRDefault="00654430" w:rsidP="00E62E84">
            <w:pPr>
              <w:rPr>
                <w:b/>
                <w:sz w:val="16"/>
                <w:szCs w:val="16"/>
                <w:lang w:bidi="fr-FR"/>
              </w:rPr>
            </w:pPr>
            <w:r w:rsidRPr="004E13E9">
              <w:rPr>
                <w:b/>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tcPr>
          <w:p w14:paraId="7FE11EEA" w14:textId="77777777" w:rsidR="00654430" w:rsidRPr="004E13E9" w:rsidRDefault="00654430" w:rsidP="00E62E84">
            <w:pPr>
              <w:rPr>
                <w:b/>
                <w:sz w:val="16"/>
                <w:szCs w:val="16"/>
                <w:lang w:bidi="fr-FR"/>
              </w:rPr>
            </w:pPr>
          </w:p>
        </w:tc>
        <w:tc>
          <w:tcPr>
            <w:tcW w:w="214" w:type="pct"/>
            <w:tcBorders>
              <w:top w:val="single" w:sz="4" w:space="0" w:color="auto"/>
              <w:left w:val="single" w:sz="4" w:space="0" w:color="auto"/>
              <w:bottom w:val="single" w:sz="4" w:space="0" w:color="auto"/>
              <w:right w:val="single" w:sz="4" w:space="0" w:color="auto"/>
            </w:tcBorders>
          </w:tcPr>
          <w:p w14:paraId="7A6BF94E" w14:textId="77777777" w:rsidR="00654430" w:rsidRPr="004E13E9" w:rsidRDefault="00654430" w:rsidP="00E62E84">
            <w:pPr>
              <w:rPr>
                <w:sz w:val="16"/>
                <w:szCs w:val="16"/>
                <w:lang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B4820BF" w14:textId="77777777" w:rsidR="00654430" w:rsidRPr="004E13E9" w:rsidRDefault="00654430" w:rsidP="00E62E84">
            <w:pPr>
              <w:rPr>
                <w:b/>
                <w:sz w:val="16"/>
                <w:szCs w:val="16"/>
                <w:lang w:bidi="fr-FR"/>
              </w:rPr>
            </w:pPr>
            <w:r w:rsidRPr="004E13E9">
              <w:rPr>
                <w:b/>
                <w:sz w:val="16"/>
                <w:szCs w:val="16"/>
                <w:lang w:bidi="fr-FR"/>
              </w:rPr>
              <w:t> </w:t>
            </w:r>
          </w:p>
        </w:tc>
        <w:tc>
          <w:tcPr>
            <w:tcW w:w="208" w:type="pct"/>
            <w:tcBorders>
              <w:top w:val="single" w:sz="4" w:space="0" w:color="auto"/>
              <w:left w:val="single" w:sz="4" w:space="0" w:color="auto"/>
              <w:bottom w:val="single" w:sz="4" w:space="0" w:color="auto"/>
              <w:right w:val="single" w:sz="4" w:space="0" w:color="auto"/>
            </w:tcBorders>
          </w:tcPr>
          <w:p w14:paraId="391CF928" w14:textId="77777777" w:rsidR="00654430" w:rsidRPr="004E13E9" w:rsidRDefault="00654430" w:rsidP="00E62E84">
            <w:pP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278F4F18" w14:textId="77777777" w:rsidR="00654430" w:rsidRPr="004E13E9" w:rsidRDefault="00654430" w:rsidP="00E62E84">
            <w:pPr>
              <w:jc w:val="center"/>
              <w:rPr>
                <w:b/>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3FDA2436" w14:textId="77777777" w:rsidR="00654430" w:rsidRPr="004E13E9" w:rsidRDefault="00654430" w:rsidP="00E62E84">
            <w:pPr>
              <w:jc w:val="cente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2EABF2F3" w14:textId="77777777" w:rsidR="00654430" w:rsidRPr="004E13E9" w:rsidRDefault="00654430" w:rsidP="00E62E84">
            <w:pPr>
              <w:jc w:val="center"/>
              <w:rPr>
                <w:b/>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15942B1F" w14:textId="77777777" w:rsidR="00654430" w:rsidRPr="004E13E9" w:rsidRDefault="00654430" w:rsidP="00E62E84">
            <w:pPr>
              <w:jc w:val="cente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70470BBE" w14:textId="77777777" w:rsidR="00654430" w:rsidRPr="004E13E9" w:rsidRDefault="00654430" w:rsidP="00E62E84">
            <w:pPr>
              <w:jc w:val="center"/>
              <w:rPr>
                <w:b/>
                <w:sz w:val="16"/>
                <w:szCs w:val="16"/>
                <w:lang w:bidi="fr-FR"/>
              </w:rPr>
            </w:pPr>
          </w:p>
        </w:tc>
        <w:tc>
          <w:tcPr>
            <w:tcW w:w="277" w:type="pct"/>
            <w:tcBorders>
              <w:top w:val="single" w:sz="4" w:space="0" w:color="auto"/>
              <w:left w:val="single" w:sz="4" w:space="0" w:color="auto"/>
              <w:bottom w:val="single" w:sz="4" w:space="0" w:color="auto"/>
              <w:right w:val="single" w:sz="4" w:space="0" w:color="auto"/>
            </w:tcBorders>
            <w:vAlign w:val="center"/>
          </w:tcPr>
          <w:p w14:paraId="709A5CCD" w14:textId="77777777" w:rsidR="00654430" w:rsidRPr="004E13E9" w:rsidRDefault="00654430" w:rsidP="00E62E84">
            <w:pPr>
              <w:jc w:val="center"/>
              <w:rPr>
                <w:b/>
                <w:sz w:val="16"/>
                <w:szCs w:val="16"/>
                <w:lang w:bidi="fr-FR"/>
              </w:rPr>
            </w:pPr>
          </w:p>
        </w:tc>
      </w:tr>
      <w:tr w:rsidR="00654430" w:rsidRPr="004E13E9" w14:paraId="4E652FC0"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vAlign w:val="center"/>
            <w:hideMark/>
          </w:tcPr>
          <w:p w14:paraId="767D405F" w14:textId="77777777" w:rsidR="00654430" w:rsidRPr="004E13E9" w:rsidRDefault="00654430" w:rsidP="00E62E84">
            <w:pPr>
              <w:rPr>
                <w:sz w:val="16"/>
                <w:szCs w:val="16"/>
                <w:lang w:bidi="fr-FR"/>
              </w:rPr>
            </w:pPr>
            <w:proofErr w:type="spellStart"/>
            <w:r w:rsidRPr="004E13E9">
              <w:rPr>
                <w:sz w:val="16"/>
                <w:szCs w:val="16"/>
                <w:lang w:bidi="fr-FR"/>
              </w:rPr>
              <w:t>Autre</w:t>
            </w:r>
            <w:proofErr w:type="spellEnd"/>
            <w:r w:rsidRPr="004E13E9">
              <w:rPr>
                <w:sz w:val="16"/>
                <w:szCs w:val="16"/>
                <w:lang w:bidi="fr-FR"/>
              </w:rPr>
              <w:t xml:space="preserve"> (à préciser)</w:t>
            </w:r>
          </w:p>
        </w:tc>
        <w:tc>
          <w:tcPr>
            <w:tcW w:w="597" w:type="pct"/>
            <w:tcBorders>
              <w:top w:val="single" w:sz="4" w:space="0" w:color="auto"/>
              <w:left w:val="single" w:sz="4" w:space="0" w:color="auto"/>
              <w:bottom w:val="single" w:sz="4" w:space="0" w:color="auto"/>
              <w:right w:val="single" w:sz="4" w:space="0" w:color="auto"/>
            </w:tcBorders>
            <w:noWrap/>
            <w:vAlign w:val="center"/>
            <w:hideMark/>
          </w:tcPr>
          <w:p w14:paraId="3E1B845B" w14:textId="77777777" w:rsidR="00654430" w:rsidRPr="004E13E9" w:rsidRDefault="00654430" w:rsidP="00E62E84">
            <w:pPr>
              <w:rPr>
                <w:sz w:val="16"/>
                <w:szCs w:val="16"/>
                <w:lang w:bidi="fr-FR"/>
              </w:rPr>
            </w:pPr>
            <w:r w:rsidRPr="004E13E9">
              <w:rPr>
                <w:sz w:val="16"/>
                <w:szCs w:val="16"/>
                <w:lang w:bidi="fr-FR"/>
              </w:rPr>
              <w:t>5</w:t>
            </w:r>
          </w:p>
        </w:tc>
        <w:tc>
          <w:tcPr>
            <w:tcW w:w="204" w:type="pct"/>
            <w:gridSpan w:val="2"/>
            <w:tcBorders>
              <w:top w:val="single" w:sz="4" w:space="0" w:color="auto"/>
              <w:left w:val="single" w:sz="4" w:space="0" w:color="auto"/>
              <w:bottom w:val="single" w:sz="4" w:space="0" w:color="auto"/>
              <w:right w:val="single" w:sz="4" w:space="0" w:color="auto"/>
            </w:tcBorders>
          </w:tcPr>
          <w:p w14:paraId="40B17D09" w14:textId="77777777" w:rsidR="00654430" w:rsidRPr="004E13E9" w:rsidRDefault="00654430" w:rsidP="00E62E84">
            <w:pP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7416A446" w14:textId="77777777" w:rsidR="00654430" w:rsidRPr="004E13E9" w:rsidRDefault="00654430" w:rsidP="00E62E84">
            <w:pPr>
              <w:rPr>
                <w:b/>
                <w:sz w:val="16"/>
                <w:szCs w:val="16"/>
                <w:lang w:bidi="fr-FR"/>
              </w:rPr>
            </w:pPr>
            <w:r w:rsidRPr="004E13E9">
              <w:rPr>
                <w:b/>
                <w:sz w:val="16"/>
                <w:szCs w:val="16"/>
                <w:lang w:bidi="fr-FR"/>
              </w:rPr>
              <w:t> </w:t>
            </w:r>
          </w:p>
        </w:tc>
        <w:tc>
          <w:tcPr>
            <w:tcW w:w="214" w:type="pct"/>
            <w:tcBorders>
              <w:top w:val="single" w:sz="4" w:space="0" w:color="auto"/>
              <w:left w:val="single" w:sz="4" w:space="0" w:color="auto"/>
              <w:bottom w:val="single" w:sz="4" w:space="0" w:color="auto"/>
              <w:right w:val="single" w:sz="4" w:space="0" w:color="auto"/>
            </w:tcBorders>
            <w:vAlign w:val="center"/>
            <w:hideMark/>
          </w:tcPr>
          <w:p w14:paraId="23A901C0" w14:textId="77777777" w:rsidR="00654430" w:rsidRPr="004E13E9" w:rsidRDefault="00654430" w:rsidP="00E62E84">
            <w:pPr>
              <w:rPr>
                <w:b/>
                <w:sz w:val="16"/>
                <w:szCs w:val="16"/>
                <w:lang w:bidi="fr-FR"/>
              </w:rPr>
            </w:pPr>
            <w:r w:rsidRPr="004E13E9">
              <w:rPr>
                <w:b/>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25B4E104" w14:textId="77777777" w:rsidR="00654430" w:rsidRPr="004E13E9" w:rsidRDefault="00654430" w:rsidP="00E62E84">
            <w:pPr>
              <w:rPr>
                <w:b/>
                <w:sz w:val="16"/>
                <w:szCs w:val="16"/>
                <w:lang w:bidi="fr-FR"/>
              </w:rPr>
            </w:pPr>
            <w:r w:rsidRPr="004E13E9">
              <w:rPr>
                <w:b/>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27292E1F" w14:textId="77777777" w:rsidR="00654430" w:rsidRPr="004E13E9" w:rsidRDefault="00654430" w:rsidP="00E62E84">
            <w:pPr>
              <w:rPr>
                <w:b/>
                <w:sz w:val="16"/>
                <w:szCs w:val="16"/>
                <w:lang w:bidi="fr-FR"/>
              </w:rPr>
            </w:pPr>
            <w:r w:rsidRPr="004E13E9">
              <w:rPr>
                <w:b/>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tcPr>
          <w:p w14:paraId="71DB22AA" w14:textId="77777777" w:rsidR="00654430" w:rsidRPr="004E13E9" w:rsidRDefault="00654430" w:rsidP="00E62E84">
            <w:pPr>
              <w:rPr>
                <w:b/>
                <w:sz w:val="16"/>
                <w:szCs w:val="16"/>
                <w:lang w:bidi="fr-FR"/>
              </w:rPr>
            </w:pPr>
          </w:p>
        </w:tc>
        <w:tc>
          <w:tcPr>
            <w:tcW w:w="214" w:type="pct"/>
            <w:tcBorders>
              <w:top w:val="single" w:sz="4" w:space="0" w:color="auto"/>
              <w:left w:val="single" w:sz="4" w:space="0" w:color="auto"/>
              <w:bottom w:val="single" w:sz="4" w:space="0" w:color="auto"/>
              <w:right w:val="single" w:sz="4" w:space="0" w:color="auto"/>
            </w:tcBorders>
          </w:tcPr>
          <w:p w14:paraId="7ECDD7EE" w14:textId="77777777" w:rsidR="00654430" w:rsidRPr="004E13E9" w:rsidRDefault="00654430" w:rsidP="00E62E84">
            <w:pPr>
              <w:rPr>
                <w:sz w:val="16"/>
                <w:szCs w:val="16"/>
                <w:lang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9E1AF2F" w14:textId="77777777" w:rsidR="00654430" w:rsidRPr="004E13E9" w:rsidRDefault="00654430" w:rsidP="00E62E84">
            <w:pPr>
              <w:rPr>
                <w:b/>
                <w:sz w:val="16"/>
                <w:szCs w:val="16"/>
                <w:lang w:bidi="fr-FR"/>
              </w:rPr>
            </w:pPr>
            <w:r w:rsidRPr="004E13E9">
              <w:rPr>
                <w:b/>
                <w:sz w:val="16"/>
                <w:szCs w:val="16"/>
                <w:lang w:bidi="fr-FR"/>
              </w:rPr>
              <w:t> </w:t>
            </w:r>
          </w:p>
        </w:tc>
        <w:tc>
          <w:tcPr>
            <w:tcW w:w="208" w:type="pct"/>
            <w:tcBorders>
              <w:top w:val="single" w:sz="4" w:space="0" w:color="auto"/>
              <w:left w:val="single" w:sz="4" w:space="0" w:color="auto"/>
              <w:bottom w:val="single" w:sz="4" w:space="0" w:color="auto"/>
              <w:right w:val="single" w:sz="4" w:space="0" w:color="auto"/>
            </w:tcBorders>
          </w:tcPr>
          <w:p w14:paraId="220A834E" w14:textId="77777777" w:rsidR="00654430" w:rsidRPr="004E13E9" w:rsidRDefault="00654430" w:rsidP="00E62E84">
            <w:pP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085C0A07" w14:textId="77777777" w:rsidR="00654430" w:rsidRPr="004E13E9" w:rsidRDefault="00654430" w:rsidP="00E62E84">
            <w:pPr>
              <w:jc w:val="center"/>
              <w:rPr>
                <w:b/>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4DF954FB" w14:textId="77777777" w:rsidR="00654430" w:rsidRPr="004E13E9" w:rsidRDefault="00654430" w:rsidP="00E62E84">
            <w:pPr>
              <w:jc w:val="cente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713E01FD" w14:textId="77777777" w:rsidR="00654430" w:rsidRPr="004E13E9" w:rsidRDefault="00654430" w:rsidP="00E62E84">
            <w:pPr>
              <w:jc w:val="center"/>
              <w:rPr>
                <w:b/>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72DF3AD2" w14:textId="77777777" w:rsidR="00654430" w:rsidRPr="004E13E9" w:rsidRDefault="00654430" w:rsidP="00E62E84">
            <w:pPr>
              <w:jc w:val="center"/>
              <w:rPr>
                <w:b/>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78E08A7D" w14:textId="77777777" w:rsidR="00654430" w:rsidRPr="004E13E9" w:rsidRDefault="00654430" w:rsidP="00E62E84">
            <w:pPr>
              <w:jc w:val="center"/>
              <w:rPr>
                <w:b/>
                <w:sz w:val="16"/>
                <w:szCs w:val="16"/>
                <w:lang w:bidi="fr-FR"/>
              </w:rPr>
            </w:pPr>
          </w:p>
        </w:tc>
        <w:tc>
          <w:tcPr>
            <w:tcW w:w="277" w:type="pct"/>
            <w:tcBorders>
              <w:top w:val="single" w:sz="4" w:space="0" w:color="auto"/>
              <w:left w:val="single" w:sz="4" w:space="0" w:color="auto"/>
              <w:bottom w:val="single" w:sz="4" w:space="0" w:color="auto"/>
              <w:right w:val="single" w:sz="4" w:space="0" w:color="auto"/>
            </w:tcBorders>
            <w:vAlign w:val="center"/>
          </w:tcPr>
          <w:p w14:paraId="592DD585" w14:textId="77777777" w:rsidR="00654430" w:rsidRPr="004E13E9" w:rsidRDefault="00654430" w:rsidP="00E62E84">
            <w:pPr>
              <w:jc w:val="center"/>
              <w:rPr>
                <w:b/>
                <w:sz w:val="16"/>
                <w:szCs w:val="16"/>
                <w:lang w:bidi="fr-FR"/>
              </w:rPr>
            </w:pPr>
          </w:p>
        </w:tc>
      </w:tr>
      <w:tr w:rsidR="00654430" w:rsidRPr="004E13E9" w14:paraId="3D994608"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noWrap/>
            <w:vAlign w:val="center"/>
            <w:hideMark/>
          </w:tcPr>
          <w:p w14:paraId="1AE5A9D3" w14:textId="77777777" w:rsidR="00654430" w:rsidRPr="004E13E9" w:rsidRDefault="00654430" w:rsidP="00E62E84">
            <w:pPr>
              <w:rPr>
                <w:b/>
                <w:sz w:val="16"/>
                <w:szCs w:val="16"/>
                <w:lang w:val="fr-FR" w:bidi="fr-FR"/>
              </w:rPr>
            </w:pPr>
            <w:r w:rsidRPr="004E13E9">
              <w:rPr>
                <w:b/>
                <w:sz w:val="16"/>
                <w:szCs w:val="16"/>
                <w:lang w:val="fr-FR" w:bidi="fr-FR"/>
              </w:rPr>
              <w:t>Capacité totale de la flottille/de pêche</w:t>
            </w:r>
          </w:p>
        </w:tc>
        <w:tc>
          <w:tcPr>
            <w:tcW w:w="597" w:type="pct"/>
            <w:tcBorders>
              <w:top w:val="single" w:sz="4" w:space="0" w:color="auto"/>
              <w:left w:val="single" w:sz="4" w:space="0" w:color="auto"/>
              <w:bottom w:val="single" w:sz="4" w:space="0" w:color="auto"/>
              <w:right w:val="single" w:sz="4" w:space="0" w:color="auto"/>
            </w:tcBorders>
            <w:noWrap/>
            <w:vAlign w:val="center"/>
            <w:hideMark/>
          </w:tcPr>
          <w:p w14:paraId="77B0CBA8" w14:textId="77777777" w:rsidR="00654430" w:rsidRPr="004E13E9" w:rsidRDefault="00654430" w:rsidP="00E62E84">
            <w:pPr>
              <w:rPr>
                <w:sz w:val="16"/>
                <w:szCs w:val="16"/>
                <w:lang w:val="fr-FR" w:bidi="fr-FR"/>
              </w:rPr>
            </w:pPr>
          </w:p>
        </w:tc>
        <w:tc>
          <w:tcPr>
            <w:tcW w:w="204" w:type="pct"/>
            <w:gridSpan w:val="2"/>
            <w:tcBorders>
              <w:top w:val="single" w:sz="4" w:space="0" w:color="auto"/>
              <w:left w:val="single" w:sz="4" w:space="0" w:color="auto"/>
              <w:bottom w:val="single" w:sz="4" w:space="0" w:color="auto"/>
              <w:right w:val="single" w:sz="4" w:space="0" w:color="auto"/>
            </w:tcBorders>
            <w:hideMark/>
          </w:tcPr>
          <w:p w14:paraId="5481DB39" w14:textId="77777777" w:rsidR="00654430" w:rsidRPr="004E13E9" w:rsidRDefault="00654430" w:rsidP="00E62E84">
            <w:pPr>
              <w:rPr>
                <w:b/>
                <w:sz w:val="16"/>
                <w:szCs w:val="16"/>
                <w:lang w:bidi="fr-FR"/>
              </w:rPr>
            </w:pPr>
            <w:r w:rsidRPr="004E13E9">
              <w:rPr>
                <w:b/>
                <w:sz w:val="16"/>
                <w:szCs w:val="16"/>
                <w:lang w:bidi="fr-FR"/>
              </w:rPr>
              <w:t>0</w:t>
            </w: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14C408D4" w14:textId="77777777" w:rsidR="00654430" w:rsidRPr="004E13E9" w:rsidRDefault="00654430" w:rsidP="00E62E84">
            <w:pPr>
              <w:rPr>
                <w:b/>
                <w:sz w:val="16"/>
                <w:szCs w:val="16"/>
                <w:lang w:bidi="fr-FR"/>
              </w:rPr>
            </w:pPr>
            <w:r w:rsidRPr="004E13E9">
              <w:rPr>
                <w:b/>
                <w:sz w:val="16"/>
                <w:szCs w:val="16"/>
                <w:lang w:bidi="fr-FR"/>
              </w:rPr>
              <w:t>0</w:t>
            </w:r>
          </w:p>
        </w:tc>
        <w:tc>
          <w:tcPr>
            <w:tcW w:w="214" w:type="pct"/>
            <w:tcBorders>
              <w:top w:val="single" w:sz="4" w:space="0" w:color="auto"/>
              <w:left w:val="single" w:sz="4" w:space="0" w:color="auto"/>
              <w:bottom w:val="single" w:sz="4" w:space="0" w:color="auto"/>
              <w:right w:val="single" w:sz="4" w:space="0" w:color="auto"/>
            </w:tcBorders>
            <w:vAlign w:val="center"/>
            <w:hideMark/>
          </w:tcPr>
          <w:p w14:paraId="3F936ECE" w14:textId="77777777" w:rsidR="00654430" w:rsidRPr="004E13E9" w:rsidRDefault="00654430" w:rsidP="00E62E84">
            <w:pPr>
              <w:rPr>
                <w:b/>
                <w:sz w:val="16"/>
                <w:szCs w:val="16"/>
                <w:lang w:bidi="fr-FR"/>
              </w:rPr>
            </w:pPr>
            <w:r w:rsidRPr="004E13E9">
              <w:rPr>
                <w:b/>
                <w:sz w:val="16"/>
                <w:szCs w:val="16"/>
                <w:lang w:bidi="fr-FR"/>
              </w:rPr>
              <w:t>1</w:t>
            </w:r>
          </w:p>
        </w:tc>
        <w:tc>
          <w:tcPr>
            <w:tcW w:w="213" w:type="pct"/>
            <w:tcBorders>
              <w:top w:val="single" w:sz="4" w:space="0" w:color="auto"/>
              <w:left w:val="single" w:sz="4" w:space="0" w:color="auto"/>
              <w:bottom w:val="single" w:sz="4" w:space="0" w:color="auto"/>
              <w:right w:val="single" w:sz="4" w:space="0" w:color="auto"/>
            </w:tcBorders>
            <w:vAlign w:val="center"/>
            <w:hideMark/>
          </w:tcPr>
          <w:p w14:paraId="160E9ABF" w14:textId="77777777" w:rsidR="00654430" w:rsidRPr="004E13E9" w:rsidRDefault="00654430" w:rsidP="00E62E84">
            <w:pPr>
              <w:rPr>
                <w:b/>
                <w:sz w:val="16"/>
                <w:szCs w:val="16"/>
                <w:lang w:bidi="fr-FR"/>
              </w:rPr>
            </w:pPr>
            <w:r w:rsidRPr="004E13E9">
              <w:rPr>
                <w:b/>
                <w:sz w:val="16"/>
                <w:szCs w:val="16"/>
                <w:lang w:bidi="fr-F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495356EC" w14:textId="77777777" w:rsidR="00654430" w:rsidRPr="004E13E9" w:rsidRDefault="00654430" w:rsidP="00E62E84">
            <w:pPr>
              <w:rPr>
                <w:b/>
                <w:sz w:val="16"/>
                <w:szCs w:val="16"/>
                <w:lang w:bidi="fr-FR"/>
              </w:rPr>
            </w:pPr>
            <w:r w:rsidRPr="004E13E9">
              <w:rPr>
                <w:b/>
                <w:sz w:val="16"/>
                <w:szCs w:val="16"/>
                <w:lang w:bidi="fr-FR"/>
              </w:rPr>
              <w:t>1</w:t>
            </w:r>
          </w:p>
        </w:tc>
        <w:tc>
          <w:tcPr>
            <w:tcW w:w="213" w:type="pct"/>
            <w:tcBorders>
              <w:top w:val="single" w:sz="4" w:space="0" w:color="auto"/>
              <w:left w:val="single" w:sz="4" w:space="0" w:color="auto"/>
              <w:bottom w:val="single" w:sz="4" w:space="0" w:color="auto"/>
              <w:right w:val="single" w:sz="4" w:space="0" w:color="auto"/>
            </w:tcBorders>
            <w:hideMark/>
          </w:tcPr>
          <w:p w14:paraId="1D3A64CB" w14:textId="77777777" w:rsidR="00654430" w:rsidRPr="004E13E9" w:rsidRDefault="00654430" w:rsidP="00E62E84">
            <w:pPr>
              <w:rPr>
                <w:b/>
                <w:sz w:val="16"/>
                <w:szCs w:val="16"/>
                <w:lang w:bidi="fr-FR"/>
              </w:rPr>
            </w:pPr>
            <w:r w:rsidRPr="004E13E9">
              <w:rPr>
                <w:b/>
                <w:sz w:val="16"/>
                <w:szCs w:val="16"/>
                <w:lang w:bidi="fr-FR"/>
              </w:rPr>
              <w:t>0</w:t>
            </w:r>
          </w:p>
        </w:tc>
        <w:tc>
          <w:tcPr>
            <w:tcW w:w="214" w:type="pct"/>
            <w:tcBorders>
              <w:top w:val="single" w:sz="4" w:space="0" w:color="auto"/>
              <w:left w:val="single" w:sz="4" w:space="0" w:color="auto"/>
              <w:bottom w:val="single" w:sz="4" w:space="0" w:color="auto"/>
              <w:right w:val="single" w:sz="4" w:space="0" w:color="auto"/>
            </w:tcBorders>
          </w:tcPr>
          <w:p w14:paraId="6439770B" w14:textId="77777777" w:rsidR="00654430" w:rsidRPr="004E13E9" w:rsidRDefault="00654430" w:rsidP="00E62E84">
            <w:pPr>
              <w:rPr>
                <w:b/>
                <w:bCs/>
                <w:sz w:val="16"/>
                <w:szCs w:val="16"/>
                <w:lang w:bidi="fr-FR"/>
              </w:rPr>
            </w:pPr>
            <w:r w:rsidRPr="004E13E9">
              <w:rPr>
                <w:b/>
                <w:bCs/>
                <w:sz w:val="16"/>
                <w:szCs w:val="16"/>
                <w:lang w:bidi="fr-FR"/>
              </w:rPr>
              <w:t>5</w:t>
            </w: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B98BCC9" w14:textId="77777777" w:rsidR="00654430" w:rsidRPr="004E13E9" w:rsidRDefault="00654430" w:rsidP="00E62E84">
            <w:pPr>
              <w:rPr>
                <w:b/>
                <w:sz w:val="16"/>
                <w:szCs w:val="16"/>
                <w:lang w:bidi="fr-FR"/>
              </w:rPr>
            </w:pPr>
            <w:r w:rsidRPr="004E13E9">
              <w:rPr>
                <w:b/>
                <w:sz w:val="16"/>
                <w:szCs w:val="16"/>
                <w:lang w:bidi="fr-FR"/>
              </w:rPr>
              <w:t> </w:t>
            </w:r>
          </w:p>
        </w:tc>
        <w:tc>
          <w:tcPr>
            <w:tcW w:w="208" w:type="pct"/>
            <w:tcBorders>
              <w:top w:val="single" w:sz="4" w:space="0" w:color="auto"/>
              <w:left w:val="single" w:sz="4" w:space="0" w:color="auto"/>
              <w:bottom w:val="single" w:sz="4" w:space="0" w:color="auto"/>
              <w:right w:val="single" w:sz="4" w:space="0" w:color="auto"/>
            </w:tcBorders>
            <w:hideMark/>
          </w:tcPr>
          <w:p w14:paraId="7D8F320C" w14:textId="77777777" w:rsidR="00654430" w:rsidRPr="004E13E9" w:rsidRDefault="00654430" w:rsidP="00E62E84">
            <w:pPr>
              <w:rPr>
                <w:b/>
                <w:sz w:val="16"/>
                <w:szCs w:val="16"/>
                <w:lang w:bidi="fr-FR"/>
              </w:rPr>
            </w:pPr>
            <w:r w:rsidRPr="004E13E9">
              <w:rPr>
                <w:b/>
                <w:sz w:val="16"/>
                <w:szCs w:val="16"/>
                <w:lang w:bidi="fr-F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797FFE0D" w14:textId="77777777" w:rsidR="00654430" w:rsidRPr="004E13E9" w:rsidRDefault="00654430" w:rsidP="00E62E84">
            <w:pPr>
              <w:jc w:val="center"/>
              <w:rPr>
                <w:b/>
                <w:sz w:val="16"/>
                <w:szCs w:val="16"/>
                <w:lang w:bidi="fr-FR"/>
              </w:rPr>
            </w:pPr>
            <w:r w:rsidRPr="004E13E9">
              <w:rPr>
                <w:b/>
                <w:sz w:val="16"/>
                <w:szCs w:val="16"/>
                <w:lang w:bidi="fr-FR"/>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3E423721" w14:textId="77777777" w:rsidR="00654430" w:rsidRPr="004E13E9" w:rsidRDefault="00654430" w:rsidP="00E62E84">
            <w:pPr>
              <w:jc w:val="center"/>
              <w:rPr>
                <w:b/>
                <w:sz w:val="16"/>
                <w:szCs w:val="16"/>
                <w:lang w:bidi="fr-FR"/>
              </w:rPr>
            </w:pPr>
            <w:r w:rsidRPr="004E13E9">
              <w:rPr>
                <w:b/>
                <w:sz w:val="16"/>
                <w:szCs w:val="16"/>
                <w:lang w:bidi="fr-FR"/>
              </w:rPr>
              <w:t>33,68</w:t>
            </w: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0D49B0F4" w14:textId="77777777" w:rsidR="00654430" w:rsidRPr="004E13E9" w:rsidRDefault="00654430" w:rsidP="00E62E84">
            <w:pPr>
              <w:jc w:val="center"/>
              <w:rPr>
                <w:b/>
                <w:sz w:val="16"/>
                <w:szCs w:val="16"/>
                <w:lang w:bidi="fr-FR"/>
              </w:rPr>
            </w:pPr>
            <w:r w:rsidRPr="004E13E9">
              <w:rPr>
                <w:b/>
                <w:sz w:val="16"/>
                <w:szCs w:val="16"/>
                <w:lang w:bidi="fr-FR"/>
              </w:rPr>
              <w:t>0</w:t>
            </w:r>
          </w:p>
        </w:tc>
        <w:tc>
          <w:tcPr>
            <w:tcW w:w="263" w:type="pct"/>
            <w:tcBorders>
              <w:top w:val="single" w:sz="4" w:space="0" w:color="auto"/>
              <w:left w:val="single" w:sz="4" w:space="0" w:color="auto"/>
              <w:bottom w:val="single" w:sz="4" w:space="0" w:color="auto"/>
              <w:right w:val="single" w:sz="4" w:space="0" w:color="auto"/>
            </w:tcBorders>
            <w:noWrap/>
            <w:vAlign w:val="center"/>
            <w:hideMark/>
          </w:tcPr>
          <w:p w14:paraId="5F162A73" w14:textId="77777777" w:rsidR="00654430" w:rsidRPr="004E13E9" w:rsidRDefault="00654430" w:rsidP="00E62E84">
            <w:pPr>
              <w:jc w:val="center"/>
              <w:rPr>
                <w:b/>
                <w:sz w:val="16"/>
                <w:szCs w:val="16"/>
                <w:lang w:bidi="fr-FR"/>
              </w:rPr>
            </w:pPr>
            <w:r w:rsidRPr="004E13E9">
              <w:rPr>
                <w:b/>
                <w:sz w:val="16"/>
                <w:szCs w:val="16"/>
                <w:lang w:bidi="fr-FR"/>
              </w:rPr>
              <w:t>33,68</w:t>
            </w: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70676540" w14:textId="77777777" w:rsidR="00654430" w:rsidRPr="004E13E9" w:rsidRDefault="00654430" w:rsidP="00E62E84">
            <w:pPr>
              <w:jc w:val="center"/>
              <w:rPr>
                <w:b/>
                <w:sz w:val="16"/>
                <w:szCs w:val="16"/>
                <w:lang w:bidi="fr-FR"/>
              </w:rPr>
            </w:pPr>
            <w:r w:rsidRPr="004E13E9">
              <w:rPr>
                <w:b/>
                <w:sz w:val="16"/>
                <w:szCs w:val="16"/>
                <w:lang w:bidi="fr-FR"/>
              </w:rPr>
              <w:t>0</w:t>
            </w:r>
          </w:p>
        </w:tc>
        <w:tc>
          <w:tcPr>
            <w:tcW w:w="277" w:type="pct"/>
            <w:tcBorders>
              <w:top w:val="single" w:sz="4" w:space="0" w:color="auto"/>
              <w:left w:val="single" w:sz="4" w:space="0" w:color="auto"/>
              <w:bottom w:val="single" w:sz="4" w:space="0" w:color="auto"/>
              <w:right w:val="single" w:sz="4" w:space="0" w:color="auto"/>
            </w:tcBorders>
            <w:vAlign w:val="center"/>
            <w:hideMark/>
          </w:tcPr>
          <w:p w14:paraId="49A44288" w14:textId="77777777" w:rsidR="00654430" w:rsidRPr="004E13E9" w:rsidRDefault="00654430" w:rsidP="00E62E84">
            <w:pPr>
              <w:jc w:val="center"/>
              <w:rPr>
                <w:b/>
                <w:sz w:val="16"/>
                <w:szCs w:val="16"/>
                <w:lang w:bidi="fr-FR"/>
              </w:rPr>
            </w:pPr>
            <w:r w:rsidRPr="004E13E9">
              <w:rPr>
                <w:b/>
                <w:sz w:val="16"/>
                <w:szCs w:val="16"/>
              </w:rPr>
              <w:t>216,7</w:t>
            </w:r>
          </w:p>
        </w:tc>
      </w:tr>
      <w:tr w:rsidR="00654430" w:rsidRPr="004E13E9" w14:paraId="47B3218C"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3C206697" w14:textId="77777777" w:rsidR="00654430" w:rsidRPr="004E13E9" w:rsidRDefault="00654430" w:rsidP="00E62E84">
            <w:pPr>
              <w:rPr>
                <w:b/>
                <w:sz w:val="16"/>
                <w:szCs w:val="16"/>
                <w:lang w:bidi="fr-FR"/>
              </w:rPr>
            </w:pPr>
            <w:r w:rsidRPr="004E13E9">
              <w:rPr>
                <w:b/>
                <w:sz w:val="16"/>
                <w:szCs w:val="16"/>
                <w:lang w:bidi="fr-FR"/>
              </w:rPr>
              <w:t>Quota initial</w:t>
            </w:r>
          </w:p>
        </w:tc>
        <w:tc>
          <w:tcPr>
            <w:tcW w:w="597"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20C85D9" w14:textId="77777777" w:rsidR="00654430" w:rsidRPr="004E13E9" w:rsidRDefault="00654430" w:rsidP="00E62E84">
            <w:pPr>
              <w:rPr>
                <w:sz w:val="16"/>
                <w:szCs w:val="16"/>
                <w:lang w:bidi="fr-FR"/>
              </w:rPr>
            </w:pPr>
          </w:p>
        </w:tc>
        <w:tc>
          <w:tcPr>
            <w:tcW w:w="204" w:type="pct"/>
            <w:gridSpan w:val="2"/>
            <w:tcBorders>
              <w:top w:val="single" w:sz="4" w:space="0" w:color="auto"/>
              <w:left w:val="single" w:sz="4" w:space="0" w:color="auto"/>
              <w:bottom w:val="single" w:sz="4" w:space="0" w:color="auto"/>
              <w:right w:val="single" w:sz="4" w:space="0" w:color="auto"/>
            </w:tcBorders>
            <w:shd w:val="clear" w:color="auto" w:fill="D9D9D9"/>
          </w:tcPr>
          <w:p w14:paraId="7577AB3F"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AF192CA" w14:textId="77777777" w:rsidR="00654430" w:rsidRPr="004E13E9" w:rsidRDefault="00654430" w:rsidP="00E62E84">
            <w:pPr>
              <w:rPr>
                <w:sz w:val="16"/>
                <w:szCs w:val="16"/>
                <w:lang w:bidi="fr-FR"/>
              </w:rPr>
            </w:pPr>
            <w:r w:rsidRPr="004E13E9">
              <w:rPr>
                <w:sz w:val="16"/>
                <w:szCs w:val="16"/>
                <w:lang w:bidi="fr-FR"/>
              </w:rPr>
              <w:t> </w:t>
            </w:r>
          </w:p>
        </w:tc>
        <w:tc>
          <w:tcPr>
            <w:tcW w:w="21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0990F72"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AF26DDE"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16DB565"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shd w:val="clear" w:color="auto" w:fill="D9D9D9"/>
          </w:tcPr>
          <w:p w14:paraId="68D48BB3" w14:textId="77777777" w:rsidR="00654430" w:rsidRPr="004E13E9" w:rsidRDefault="00654430" w:rsidP="00E62E84">
            <w:pPr>
              <w:rPr>
                <w:sz w:val="16"/>
                <w:szCs w:val="16"/>
                <w:lang w:bidi="fr-FR"/>
              </w:rPr>
            </w:pPr>
          </w:p>
        </w:tc>
        <w:tc>
          <w:tcPr>
            <w:tcW w:w="214" w:type="pct"/>
            <w:tcBorders>
              <w:top w:val="single" w:sz="4" w:space="0" w:color="auto"/>
              <w:left w:val="single" w:sz="4" w:space="0" w:color="auto"/>
              <w:bottom w:val="single" w:sz="4" w:space="0" w:color="auto"/>
              <w:right w:val="single" w:sz="4" w:space="0" w:color="auto"/>
            </w:tcBorders>
            <w:shd w:val="clear" w:color="auto" w:fill="D9D9D9"/>
          </w:tcPr>
          <w:p w14:paraId="3D005215" w14:textId="77777777" w:rsidR="00654430" w:rsidRPr="004E13E9" w:rsidRDefault="00654430" w:rsidP="00E62E84">
            <w:pPr>
              <w:rPr>
                <w:sz w:val="16"/>
                <w:szCs w:val="16"/>
                <w:lang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059BED4" w14:textId="77777777" w:rsidR="00654430" w:rsidRPr="004E13E9" w:rsidRDefault="00654430" w:rsidP="00E62E84">
            <w:pPr>
              <w:rPr>
                <w:sz w:val="16"/>
                <w:szCs w:val="16"/>
                <w:lang w:bidi="fr-FR"/>
              </w:rPr>
            </w:pPr>
            <w:r w:rsidRPr="004E13E9">
              <w:rPr>
                <w:sz w:val="16"/>
                <w:szCs w:val="16"/>
                <w:lang w:bidi="fr-FR"/>
              </w:rPr>
              <w:t> </w:t>
            </w:r>
          </w:p>
        </w:tc>
        <w:tc>
          <w:tcPr>
            <w:tcW w:w="208" w:type="pct"/>
            <w:tcBorders>
              <w:top w:val="single" w:sz="4" w:space="0" w:color="auto"/>
              <w:left w:val="single" w:sz="4" w:space="0" w:color="auto"/>
              <w:bottom w:val="single" w:sz="4" w:space="0" w:color="auto"/>
              <w:right w:val="single" w:sz="4" w:space="0" w:color="auto"/>
            </w:tcBorders>
            <w:shd w:val="clear" w:color="auto" w:fill="D9D9D9"/>
            <w:hideMark/>
          </w:tcPr>
          <w:p w14:paraId="1DFAA4A2" w14:textId="77777777" w:rsidR="00654430" w:rsidRPr="004E13E9" w:rsidRDefault="00654430" w:rsidP="00E62E84">
            <w:pPr>
              <w:rPr>
                <w:sz w:val="16"/>
                <w:szCs w:val="16"/>
                <w:lang w:bidi="fr-FR"/>
              </w:rPr>
            </w:pPr>
            <w:r w:rsidRPr="004E13E9">
              <w:rPr>
                <w:sz w:val="16"/>
                <w:szCs w:val="16"/>
                <w:lang w:bidi="fr-FR"/>
              </w:rPr>
              <w:t>0</w:t>
            </w:r>
          </w:p>
        </w:tc>
        <w:tc>
          <w:tcPr>
            <w:tcW w:w="21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38A979F" w14:textId="77777777" w:rsidR="00654430" w:rsidRPr="004E13E9" w:rsidRDefault="00654430" w:rsidP="00E62E84">
            <w:pPr>
              <w:jc w:val="center"/>
              <w:rPr>
                <w:sz w:val="16"/>
                <w:szCs w:val="16"/>
                <w:lang w:bidi="fr-FR"/>
              </w:rPr>
            </w:pPr>
            <w:r w:rsidRPr="004E13E9">
              <w:rPr>
                <w:sz w:val="16"/>
                <w:szCs w:val="16"/>
                <w:lang w:bidi="fr-FR"/>
              </w:rPr>
              <w:t>0</w:t>
            </w:r>
          </w:p>
        </w:tc>
        <w:tc>
          <w:tcPr>
            <w:tcW w:w="26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6E76E26" w14:textId="77777777" w:rsidR="00654430" w:rsidRPr="004E13E9" w:rsidRDefault="00654430" w:rsidP="00E62E84">
            <w:pPr>
              <w:jc w:val="center"/>
              <w:rPr>
                <w:sz w:val="16"/>
                <w:szCs w:val="16"/>
                <w:lang w:bidi="fr-FR"/>
              </w:rPr>
            </w:pPr>
            <w:r w:rsidRPr="004E13E9">
              <w:rPr>
                <w:sz w:val="16"/>
                <w:szCs w:val="16"/>
                <w:lang w:bidi="fr-FR"/>
              </w:rPr>
              <w:t>66</w:t>
            </w:r>
          </w:p>
        </w:tc>
        <w:tc>
          <w:tcPr>
            <w:tcW w:w="21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7799B45" w14:textId="77777777" w:rsidR="00654430" w:rsidRPr="004E13E9" w:rsidRDefault="00654430" w:rsidP="00E62E84">
            <w:pPr>
              <w:jc w:val="center"/>
              <w:rPr>
                <w:sz w:val="16"/>
                <w:szCs w:val="16"/>
                <w:lang w:bidi="fr-FR"/>
              </w:rPr>
            </w:pPr>
            <w:r w:rsidRPr="004E13E9">
              <w:rPr>
                <w:sz w:val="16"/>
                <w:szCs w:val="16"/>
                <w:lang w:bidi="fr-FR"/>
              </w:rPr>
              <w:t>129</w:t>
            </w:r>
          </w:p>
        </w:tc>
        <w:tc>
          <w:tcPr>
            <w:tcW w:w="26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F467C62" w14:textId="77777777" w:rsidR="00654430" w:rsidRPr="004E13E9" w:rsidRDefault="00654430" w:rsidP="00E62E84">
            <w:pPr>
              <w:jc w:val="center"/>
              <w:rPr>
                <w:sz w:val="16"/>
                <w:szCs w:val="16"/>
                <w:lang w:bidi="fr-FR"/>
              </w:rPr>
            </w:pPr>
            <w:r w:rsidRPr="004E13E9">
              <w:rPr>
                <w:sz w:val="16"/>
                <w:szCs w:val="16"/>
                <w:lang w:bidi="fr-FR"/>
              </w:rPr>
              <w:t>129</w:t>
            </w:r>
          </w:p>
        </w:tc>
        <w:tc>
          <w:tcPr>
            <w:tcW w:w="21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E1E9F07" w14:textId="77777777" w:rsidR="00654430" w:rsidRPr="004E13E9" w:rsidRDefault="00654430" w:rsidP="00E62E84">
            <w:pPr>
              <w:jc w:val="center"/>
              <w:rPr>
                <w:sz w:val="16"/>
                <w:szCs w:val="16"/>
                <w:lang w:bidi="fr-FR"/>
              </w:rPr>
            </w:pPr>
            <w:r w:rsidRPr="004E13E9">
              <w:rPr>
                <w:sz w:val="16"/>
                <w:szCs w:val="16"/>
                <w:lang w:bidi="fr-FR"/>
              </w:rPr>
              <w:t>129</w:t>
            </w:r>
          </w:p>
        </w:tc>
        <w:tc>
          <w:tcPr>
            <w:tcW w:w="27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7C7D13E" w14:textId="77777777" w:rsidR="00654430" w:rsidRPr="004E13E9" w:rsidRDefault="00654430" w:rsidP="00E62E84">
            <w:pPr>
              <w:jc w:val="center"/>
              <w:rPr>
                <w:sz w:val="16"/>
                <w:szCs w:val="16"/>
                <w:lang w:bidi="fr-FR"/>
              </w:rPr>
            </w:pPr>
            <w:r w:rsidRPr="004E13E9">
              <w:rPr>
                <w:sz w:val="16"/>
                <w:szCs w:val="16"/>
                <w:lang w:bidi="fr-FR"/>
              </w:rPr>
              <w:t>238</w:t>
            </w:r>
          </w:p>
        </w:tc>
      </w:tr>
      <w:tr w:rsidR="00654430" w:rsidRPr="004E13E9" w14:paraId="1C46257A"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3E1AD299" w14:textId="77777777" w:rsidR="00654430" w:rsidRPr="004E13E9" w:rsidRDefault="00654430" w:rsidP="00E62E84">
            <w:pPr>
              <w:rPr>
                <w:b/>
                <w:bCs/>
                <w:sz w:val="16"/>
                <w:szCs w:val="16"/>
                <w:lang w:val="fr-FR" w:bidi="fr-FR"/>
              </w:rPr>
            </w:pPr>
            <w:r w:rsidRPr="004E13E9">
              <w:rPr>
                <w:b/>
                <w:sz w:val="16"/>
                <w:szCs w:val="16"/>
                <w:lang w:val="fr-FR" w:bidi="fr-FR"/>
              </w:rPr>
              <w:t>Quota ajusté (le cas échéant)</w:t>
            </w:r>
          </w:p>
        </w:tc>
        <w:tc>
          <w:tcPr>
            <w:tcW w:w="597"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260E1026" w14:textId="77777777" w:rsidR="00654430" w:rsidRPr="004E13E9" w:rsidRDefault="00654430" w:rsidP="00E62E84">
            <w:pPr>
              <w:rPr>
                <w:sz w:val="16"/>
                <w:szCs w:val="16"/>
                <w:lang w:val="fr-FR" w:bidi="fr-FR"/>
              </w:rPr>
            </w:pPr>
          </w:p>
        </w:tc>
        <w:tc>
          <w:tcPr>
            <w:tcW w:w="204" w:type="pct"/>
            <w:gridSpan w:val="2"/>
            <w:tcBorders>
              <w:top w:val="single" w:sz="4" w:space="0" w:color="auto"/>
              <w:left w:val="single" w:sz="4" w:space="0" w:color="auto"/>
              <w:bottom w:val="single" w:sz="4" w:space="0" w:color="auto"/>
              <w:right w:val="single" w:sz="4" w:space="0" w:color="auto"/>
            </w:tcBorders>
            <w:shd w:val="clear" w:color="auto" w:fill="D9D9D9"/>
          </w:tcPr>
          <w:p w14:paraId="048E501C" w14:textId="77777777" w:rsidR="00654430" w:rsidRPr="004E13E9" w:rsidRDefault="00654430" w:rsidP="00E62E84">
            <w:pPr>
              <w:rPr>
                <w:sz w:val="16"/>
                <w:szCs w:val="16"/>
                <w:lang w:val="fr-FR" w:bidi="fr-FR"/>
              </w:rPr>
            </w:pPr>
          </w:p>
        </w:tc>
        <w:tc>
          <w:tcPr>
            <w:tcW w:w="213"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62A3EE87" w14:textId="77777777" w:rsidR="00654430" w:rsidRPr="004E13E9" w:rsidRDefault="00654430" w:rsidP="00E62E84">
            <w:pPr>
              <w:rPr>
                <w:sz w:val="16"/>
                <w:szCs w:val="16"/>
                <w:lang w:val="fr-FR" w:bidi="fr-FR"/>
              </w:rPr>
            </w:pPr>
          </w:p>
        </w:tc>
        <w:tc>
          <w:tcPr>
            <w:tcW w:w="214" w:type="pct"/>
            <w:tcBorders>
              <w:top w:val="single" w:sz="4" w:space="0" w:color="auto"/>
              <w:left w:val="single" w:sz="4" w:space="0" w:color="auto"/>
              <w:bottom w:val="single" w:sz="4" w:space="0" w:color="auto"/>
              <w:right w:val="single" w:sz="4" w:space="0" w:color="auto"/>
            </w:tcBorders>
            <w:shd w:val="clear" w:color="auto" w:fill="D9D9D9"/>
            <w:vAlign w:val="center"/>
          </w:tcPr>
          <w:p w14:paraId="46029F43" w14:textId="77777777" w:rsidR="00654430" w:rsidRPr="004E13E9" w:rsidRDefault="00654430" w:rsidP="00E62E84">
            <w:pPr>
              <w:rPr>
                <w:sz w:val="16"/>
                <w:szCs w:val="16"/>
                <w:lang w:val="fr-FR" w:bidi="fr-FR"/>
              </w:rPr>
            </w:pPr>
          </w:p>
        </w:tc>
        <w:tc>
          <w:tcPr>
            <w:tcW w:w="213" w:type="pct"/>
            <w:tcBorders>
              <w:top w:val="single" w:sz="4" w:space="0" w:color="auto"/>
              <w:left w:val="single" w:sz="4" w:space="0" w:color="auto"/>
              <w:bottom w:val="single" w:sz="4" w:space="0" w:color="auto"/>
              <w:right w:val="single" w:sz="4" w:space="0" w:color="auto"/>
            </w:tcBorders>
            <w:shd w:val="clear" w:color="auto" w:fill="D9D9D9"/>
            <w:vAlign w:val="center"/>
          </w:tcPr>
          <w:p w14:paraId="6DA4AE98" w14:textId="77777777" w:rsidR="00654430" w:rsidRPr="004E13E9" w:rsidRDefault="00654430" w:rsidP="00E62E84">
            <w:pPr>
              <w:rPr>
                <w:sz w:val="16"/>
                <w:szCs w:val="16"/>
                <w:lang w:val="fr-FR" w:bidi="fr-FR"/>
              </w:rPr>
            </w:pPr>
          </w:p>
        </w:tc>
        <w:tc>
          <w:tcPr>
            <w:tcW w:w="213" w:type="pct"/>
            <w:tcBorders>
              <w:top w:val="single" w:sz="4" w:space="0" w:color="auto"/>
              <w:left w:val="single" w:sz="4" w:space="0" w:color="auto"/>
              <w:bottom w:val="single" w:sz="4" w:space="0" w:color="auto"/>
              <w:right w:val="single" w:sz="4" w:space="0" w:color="auto"/>
            </w:tcBorders>
            <w:shd w:val="clear" w:color="auto" w:fill="D9D9D9"/>
            <w:vAlign w:val="center"/>
          </w:tcPr>
          <w:p w14:paraId="61CAF494" w14:textId="77777777" w:rsidR="00654430" w:rsidRPr="004E13E9" w:rsidRDefault="00654430" w:rsidP="00E62E84">
            <w:pPr>
              <w:rPr>
                <w:sz w:val="16"/>
                <w:szCs w:val="16"/>
                <w:lang w:val="fr-FR" w:bidi="fr-FR"/>
              </w:rPr>
            </w:pPr>
          </w:p>
        </w:tc>
        <w:tc>
          <w:tcPr>
            <w:tcW w:w="213" w:type="pct"/>
            <w:tcBorders>
              <w:top w:val="single" w:sz="4" w:space="0" w:color="auto"/>
              <w:left w:val="single" w:sz="4" w:space="0" w:color="auto"/>
              <w:bottom w:val="single" w:sz="4" w:space="0" w:color="auto"/>
              <w:right w:val="single" w:sz="4" w:space="0" w:color="auto"/>
            </w:tcBorders>
            <w:shd w:val="clear" w:color="auto" w:fill="D9D9D9"/>
          </w:tcPr>
          <w:p w14:paraId="4215B93E" w14:textId="77777777" w:rsidR="00654430" w:rsidRPr="004E13E9" w:rsidRDefault="00654430" w:rsidP="00E62E84">
            <w:pPr>
              <w:rPr>
                <w:sz w:val="16"/>
                <w:szCs w:val="16"/>
                <w:lang w:val="fr-FR" w:bidi="fr-FR"/>
              </w:rPr>
            </w:pPr>
          </w:p>
        </w:tc>
        <w:tc>
          <w:tcPr>
            <w:tcW w:w="214" w:type="pct"/>
            <w:tcBorders>
              <w:top w:val="single" w:sz="4" w:space="0" w:color="auto"/>
              <w:left w:val="single" w:sz="4" w:space="0" w:color="auto"/>
              <w:bottom w:val="single" w:sz="4" w:space="0" w:color="auto"/>
              <w:right w:val="single" w:sz="4" w:space="0" w:color="auto"/>
            </w:tcBorders>
            <w:shd w:val="clear" w:color="auto" w:fill="D9D9D9"/>
          </w:tcPr>
          <w:p w14:paraId="56705371" w14:textId="77777777" w:rsidR="00654430" w:rsidRPr="004E13E9" w:rsidRDefault="00654430" w:rsidP="00E62E84">
            <w:pPr>
              <w:rPr>
                <w:sz w:val="16"/>
                <w:szCs w:val="16"/>
                <w:lang w:val="fr-FR"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tcPr>
          <w:p w14:paraId="2E3E00AD" w14:textId="77777777" w:rsidR="00654430" w:rsidRPr="004E13E9" w:rsidRDefault="00654430" w:rsidP="00E62E84">
            <w:pPr>
              <w:rPr>
                <w:sz w:val="16"/>
                <w:szCs w:val="16"/>
                <w:lang w:val="fr-FR" w:bidi="fr-FR"/>
              </w:rPr>
            </w:pPr>
          </w:p>
        </w:tc>
        <w:tc>
          <w:tcPr>
            <w:tcW w:w="208" w:type="pct"/>
            <w:tcBorders>
              <w:top w:val="single" w:sz="4" w:space="0" w:color="auto"/>
              <w:left w:val="single" w:sz="4" w:space="0" w:color="auto"/>
              <w:bottom w:val="single" w:sz="4" w:space="0" w:color="auto"/>
              <w:right w:val="single" w:sz="4" w:space="0" w:color="auto"/>
            </w:tcBorders>
            <w:shd w:val="clear" w:color="auto" w:fill="D9D9D9"/>
            <w:hideMark/>
          </w:tcPr>
          <w:p w14:paraId="1BACB289" w14:textId="77777777" w:rsidR="00654430" w:rsidRPr="004E13E9" w:rsidRDefault="00654430" w:rsidP="00E62E84">
            <w:pPr>
              <w:rPr>
                <w:sz w:val="16"/>
                <w:szCs w:val="16"/>
                <w:lang w:bidi="fr-FR"/>
              </w:rPr>
            </w:pPr>
            <w:r w:rsidRPr="004E13E9">
              <w:rPr>
                <w:sz w:val="16"/>
                <w:szCs w:val="16"/>
                <w:lang w:bidi="fr-FR"/>
              </w:rPr>
              <w:t>0</w:t>
            </w:r>
          </w:p>
        </w:tc>
        <w:tc>
          <w:tcPr>
            <w:tcW w:w="21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B49E266" w14:textId="77777777" w:rsidR="00654430" w:rsidRPr="004E13E9" w:rsidRDefault="00654430" w:rsidP="00E62E84">
            <w:pPr>
              <w:jc w:val="center"/>
              <w:rPr>
                <w:sz w:val="16"/>
                <w:szCs w:val="16"/>
                <w:lang w:bidi="fr-FR"/>
              </w:rPr>
            </w:pPr>
            <w:r w:rsidRPr="004E13E9">
              <w:rPr>
                <w:sz w:val="16"/>
                <w:szCs w:val="16"/>
                <w:lang w:bidi="fr-FR"/>
              </w:rPr>
              <w:t>0</w:t>
            </w:r>
          </w:p>
        </w:tc>
        <w:tc>
          <w:tcPr>
            <w:tcW w:w="26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C7F3878" w14:textId="77777777" w:rsidR="00654430" w:rsidRPr="004E13E9" w:rsidRDefault="00654430" w:rsidP="00E62E84">
            <w:pPr>
              <w:jc w:val="center"/>
              <w:rPr>
                <w:sz w:val="16"/>
                <w:szCs w:val="16"/>
                <w:lang w:bidi="fr-FR"/>
              </w:rPr>
            </w:pPr>
            <w:r w:rsidRPr="004E13E9">
              <w:rPr>
                <w:sz w:val="16"/>
                <w:szCs w:val="16"/>
                <w:lang w:bidi="fr-FR"/>
              </w:rPr>
              <w:t>NA</w:t>
            </w:r>
          </w:p>
        </w:tc>
        <w:tc>
          <w:tcPr>
            <w:tcW w:w="21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7A6567E" w14:textId="77777777" w:rsidR="00654430" w:rsidRPr="004E13E9" w:rsidRDefault="00654430" w:rsidP="00E62E84">
            <w:pPr>
              <w:jc w:val="center"/>
              <w:rPr>
                <w:sz w:val="16"/>
                <w:szCs w:val="16"/>
                <w:lang w:bidi="fr-FR"/>
              </w:rPr>
            </w:pPr>
            <w:r w:rsidRPr="004E13E9">
              <w:rPr>
                <w:sz w:val="16"/>
                <w:szCs w:val="16"/>
                <w:lang w:bidi="fr-FR"/>
              </w:rPr>
              <w:t>1</w:t>
            </w:r>
          </w:p>
        </w:tc>
        <w:tc>
          <w:tcPr>
            <w:tcW w:w="26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3510633" w14:textId="77777777" w:rsidR="00654430" w:rsidRPr="004E13E9" w:rsidRDefault="00654430" w:rsidP="00E62E84">
            <w:pPr>
              <w:jc w:val="center"/>
              <w:rPr>
                <w:sz w:val="16"/>
                <w:szCs w:val="16"/>
                <w:lang w:bidi="fr-FR"/>
              </w:rPr>
            </w:pPr>
            <w:r w:rsidRPr="004E13E9">
              <w:rPr>
                <w:sz w:val="16"/>
                <w:szCs w:val="16"/>
                <w:lang w:bidi="fr-FR"/>
              </w:rPr>
              <w:t>NA</w:t>
            </w:r>
          </w:p>
        </w:tc>
        <w:tc>
          <w:tcPr>
            <w:tcW w:w="21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667B7FC" w14:textId="77777777" w:rsidR="00654430" w:rsidRPr="004E13E9" w:rsidRDefault="00654430" w:rsidP="00E62E84">
            <w:pPr>
              <w:jc w:val="center"/>
              <w:rPr>
                <w:sz w:val="16"/>
                <w:szCs w:val="16"/>
                <w:lang w:bidi="fr-FR"/>
              </w:rPr>
            </w:pPr>
            <w:r w:rsidRPr="004E13E9">
              <w:rPr>
                <w:sz w:val="16"/>
                <w:szCs w:val="16"/>
                <w:lang w:bidi="fr-FR"/>
              </w:rPr>
              <w:t>1</w:t>
            </w:r>
          </w:p>
        </w:tc>
        <w:tc>
          <w:tcPr>
            <w:tcW w:w="27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409EFEC" w14:textId="77777777" w:rsidR="00654430" w:rsidRPr="004E13E9" w:rsidRDefault="00654430" w:rsidP="00E62E84">
            <w:pPr>
              <w:jc w:val="center"/>
              <w:rPr>
                <w:sz w:val="16"/>
                <w:szCs w:val="16"/>
                <w:lang w:bidi="fr-FR"/>
              </w:rPr>
            </w:pPr>
            <w:r w:rsidRPr="004E13E9">
              <w:rPr>
                <w:sz w:val="16"/>
                <w:szCs w:val="16"/>
                <w:lang w:bidi="fr-FR"/>
              </w:rPr>
              <w:t>NA</w:t>
            </w:r>
          </w:p>
        </w:tc>
      </w:tr>
      <w:tr w:rsidR="00654430" w:rsidRPr="004E13E9" w14:paraId="538B2324"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noWrap/>
            <w:vAlign w:val="center"/>
            <w:hideMark/>
          </w:tcPr>
          <w:p w14:paraId="4A186CA5" w14:textId="77777777" w:rsidR="00654430" w:rsidRPr="004E13E9" w:rsidRDefault="00654430" w:rsidP="00E62E84">
            <w:pPr>
              <w:rPr>
                <w:b/>
                <w:sz w:val="16"/>
                <w:szCs w:val="16"/>
                <w:lang w:val="fr-FR" w:bidi="fr-FR"/>
              </w:rPr>
            </w:pPr>
            <w:r w:rsidRPr="004E13E9">
              <w:rPr>
                <w:b/>
                <w:sz w:val="16"/>
                <w:szCs w:val="16"/>
                <w:lang w:val="fr-FR" w:bidi="fr-FR"/>
              </w:rPr>
              <w:t>Pourcentage alloué aux prises accessoires</w:t>
            </w:r>
          </w:p>
        </w:tc>
        <w:tc>
          <w:tcPr>
            <w:tcW w:w="597" w:type="pct"/>
            <w:tcBorders>
              <w:top w:val="single" w:sz="4" w:space="0" w:color="auto"/>
              <w:left w:val="single" w:sz="4" w:space="0" w:color="auto"/>
              <w:bottom w:val="single" w:sz="4" w:space="0" w:color="auto"/>
              <w:right w:val="single" w:sz="4" w:space="0" w:color="auto"/>
            </w:tcBorders>
            <w:noWrap/>
            <w:vAlign w:val="center"/>
            <w:hideMark/>
          </w:tcPr>
          <w:p w14:paraId="260CE00B" w14:textId="77777777" w:rsidR="00654430" w:rsidRPr="004E13E9" w:rsidRDefault="00654430" w:rsidP="00E62E84">
            <w:pPr>
              <w:rPr>
                <w:sz w:val="16"/>
                <w:szCs w:val="16"/>
                <w:lang w:val="fr-FR" w:bidi="fr-FR"/>
              </w:rPr>
            </w:pPr>
          </w:p>
        </w:tc>
        <w:tc>
          <w:tcPr>
            <w:tcW w:w="204" w:type="pct"/>
            <w:gridSpan w:val="2"/>
            <w:tcBorders>
              <w:top w:val="single" w:sz="4" w:space="0" w:color="auto"/>
              <w:left w:val="single" w:sz="4" w:space="0" w:color="auto"/>
              <w:bottom w:val="single" w:sz="4" w:space="0" w:color="auto"/>
              <w:right w:val="single" w:sz="4" w:space="0" w:color="auto"/>
            </w:tcBorders>
          </w:tcPr>
          <w:p w14:paraId="56FBC143" w14:textId="77777777" w:rsidR="00654430" w:rsidRPr="004E13E9" w:rsidRDefault="00654430" w:rsidP="00E62E84">
            <w:pPr>
              <w:rPr>
                <w:sz w:val="16"/>
                <w:szCs w:val="16"/>
                <w:lang w:val="fr-FR" w:bidi="fr-FR"/>
              </w:rPr>
            </w:pP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13321B2F" w14:textId="77777777" w:rsidR="00654430" w:rsidRPr="004E13E9" w:rsidRDefault="00654430" w:rsidP="00E62E84">
            <w:pPr>
              <w:rPr>
                <w:sz w:val="16"/>
                <w:szCs w:val="16"/>
                <w:lang w:val="fr-FR" w:bidi="fr-FR"/>
              </w:rPr>
            </w:pPr>
            <w:r w:rsidRPr="004E13E9">
              <w:rPr>
                <w:sz w:val="16"/>
                <w:szCs w:val="16"/>
                <w:lang w:val="fr-FR" w:bidi="fr-FR"/>
              </w:rPr>
              <w:t> </w:t>
            </w:r>
          </w:p>
        </w:tc>
        <w:tc>
          <w:tcPr>
            <w:tcW w:w="214" w:type="pct"/>
            <w:tcBorders>
              <w:top w:val="single" w:sz="4" w:space="0" w:color="auto"/>
              <w:left w:val="single" w:sz="4" w:space="0" w:color="auto"/>
              <w:bottom w:val="single" w:sz="4" w:space="0" w:color="auto"/>
              <w:right w:val="single" w:sz="4" w:space="0" w:color="auto"/>
            </w:tcBorders>
            <w:vAlign w:val="center"/>
            <w:hideMark/>
          </w:tcPr>
          <w:p w14:paraId="04498683" w14:textId="77777777" w:rsidR="00654430" w:rsidRPr="004E13E9" w:rsidRDefault="00654430" w:rsidP="00E62E84">
            <w:pPr>
              <w:rPr>
                <w:sz w:val="16"/>
                <w:szCs w:val="16"/>
                <w:lang w:val="fr-FR" w:bidi="fr-FR"/>
              </w:rPr>
            </w:pPr>
            <w:r w:rsidRPr="004E13E9">
              <w:rPr>
                <w:sz w:val="16"/>
                <w:szCs w:val="16"/>
                <w:lang w:val="fr-FR"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13B9F80E" w14:textId="77777777" w:rsidR="00654430" w:rsidRPr="004E13E9" w:rsidRDefault="00654430" w:rsidP="00E62E84">
            <w:pPr>
              <w:rPr>
                <w:sz w:val="16"/>
                <w:szCs w:val="16"/>
                <w:lang w:val="fr-FR" w:bidi="fr-FR"/>
              </w:rPr>
            </w:pPr>
            <w:r w:rsidRPr="004E13E9">
              <w:rPr>
                <w:sz w:val="16"/>
                <w:szCs w:val="16"/>
                <w:lang w:val="fr-FR" w:bidi="fr-FR"/>
              </w:rPr>
              <w:t> </w:t>
            </w:r>
          </w:p>
        </w:tc>
        <w:tc>
          <w:tcPr>
            <w:tcW w:w="213" w:type="pct"/>
            <w:tcBorders>
              <w:top w:val="single" w:sz="4" w:space="0" w:color="auto"/>
              <w:left w:val="single" w:sz="4" w:space="0" w:color="auto"/>
              <w:bottom w:val="single" w:sz="4" w:space="0" w:color="auto"/>
              <w:right w:val="single" w:sz="4" w:space="0" w:color="auto"/>
            </w:tcBorders>
            <w:vAlign w:val="center"/>
            <w:hideMark/>
          </w:tcPr>
          <w:p w14:paraId="606DE7DB" w14:textId="77777777" w:rsidR="00654430" w:rsidRPr="004E13E9" w:rsidRDefault="00654430" w:rsidP="00E62E84">
            <w:pPr>
              <w:rPr>
                <w:sz w:val="16"/>
                <w:szCs w:val="16"/>
                <w:lang w:val="fr-FR" w:bidi="fr-FR"/>
              </w:rPr>
            </w:pPr>
            <w:r w:rsidRPr="004E13E9">
              <w:rPr>
                <w:sz w:val="16"/>
                <w:szCs w:val="16"/>
                <w:lang w:val="fr-FR" w:bidi="fr-FR"/>
              </w:rPr>
              <w:t> </w:t>
            </w:r>
          </w:p>
        </w:tc>
        <w:tc>
          <w:tcPr>
            <w:tcW w:w="213" w:type="pct"/>
            <w:tcBorders>
              <w:top w:val="single" w:sz="4" w:space="0" w:color="auto"/>
              <w:left w:val="single" w:sz="4" w:space="0" w:color="auto"/>
              <w:bottom w:val="single" w:sz="4" w:space="0" w:color="auto"/>
              <w:right w:val="single" w:sz="4" w:space="0" w:color="auto"/>
            </w:tcBorders>
          </w:tcPr>
          <w:p w14:paraId="7364B44B" w14:textId="77777777" w:rsidR="00654430" w:rsidRPr="004E13E9" w:rsidRDefault="00654430" w:rsidP="00E62E84">
            <w:pPr>
              <w:rPr>
                <w:sz w:val="16"/>
                <w:szCs w:val="16"/>
                <w:lang w:val="fr-FR" w:bidi="fr-FR"/>
              </w:rPr>
            </w:pPr>
          </w:p>
        </w:tc>
        <w:tc>
          <w:tcPr>
            <w:tcW w:w="214" w:type="pct"/>
            <w:tcBorders>
              <w:top w:val="single" w:sz="4" w:space="0" w:color="auto"/>
              <w:left w:val="single" w:sz="4" w:space="0" w:color="auto"/>
              <w:bottom w:val="single" w:sz="4" w:space="0" w:color="auto"/>
              <w:right w:val="single" w:sz="4" w:space="0" w:color="auto"/>
            </w:tcBorders>
          </w:tcPr>
          <w:p w14:paraId="7965851F" w14:textId="77777777" w:rsidR="00654430" w:rsidRPr="004E13E9" w:rsidRDefault="00654430" w:rsidP="00E62E84">
            <w:pPr>
              <w:rPr>
                <w:sz w:val="16"/>
                <w:szCs w:val="16"/>
                <w:lang w:val="fr-FR"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6B0FB69" w14:textId="77777777" w:rsidR="00654430" w:rsidRPr="004E13E9" w:rsidRDefault="00654430" w:rsidP="00E62E84">
            <w:pPr>
              <w:rPr>
                <w:sz w:val="16"/>
                <w:szCs w:val="16"/>
                <w:lang w:val="fr-FR" w:bidi="fr-FR"/>
              </w:rPr>
            </w:pPr>
            <w:r w:rsidRPr="004E13E9">
              <w:rPr>
                <w:sz w:val="16"/>
                <w:szCs w:val="16"/>
                <w:lang w:val="fr-FR" w:bidi="fr-FR"/>
              </w:rPr>
              <w:t> </w:t>
            </w:r>
          </w:p>
        </w:tc>
        <w:tc>
          <w:tcPr>
            <w:tcW w:w="208" w:type="pct"/>
            <w:tcBorders>
              <w:top w:val="single" w:sz="4" w:space="0" w:color="auto"/>
              <w:left w:val="single" w:sz="4" w:space="0" w:color="auto"/>
              <w:bottom w:val="single" w:sz="4" w:space="0" w:color="auto"/>
              <w:right w:val="single" w:sz="4" w:space="0" w:color="auto"/>
            </w:tcBorders>
            <w:hideMark/>
          </w:tcPr>
          <w:p w14:paraId="0EA9BC72" w14:textId="77777777" w:rsidR="00654430" w:rsidRPr="004E13E9" w:rsidRDefault="00654430" w:rsidP="00E62E84">
            <w:pPr>
              <w:rPr>
                <w:sz w:val="16"/>
                <w:szCs w:val="16"/>
                <w:lang w:bidi="fr-FR"/>
              </w:rPr>
            </w:pPr>
            <w:r w:rsidRPr="004E13E9">
              <w:rPr>
                <w:sz w:val="16"/>
                <w:szCs w:val="16"/>
                <w:lang w:bidi="fr-F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20AF17F7" w14:textId="77777777" w:rsidR="00654430" w:rsidRPr="004E13E9" w:rsidRDefault="00654430" w:rsidP="00E62E84">
            <w:pPr>
              <w:jc w:val="center"/>
              <w:rPr>
                <w:sz w:val="16"/>
                <w:szCs w:val="16"/>
                <w:lang w:bidi="fr-FR"/>
              </w:rPr>
            </w:pPr>
            <w:r w:rsidRPr="004E13E9">
              <w:rPr>
                <w:sz w:val="16"/>
                <w:szCs w:val="16"/>
                <w:lang w:bidi="fr-FR"/>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78371B32" w14:textId="77777777" w:rsidR="00654430" w:rsidRPr="004E13E9" w:rsidRDefault="00654430" w:rsidP="00E62E84">
            <w:pPr>
              <w:jc w:val="center"/>
              <w:rPr>
                <w:sz w:val="16"/>
                <w:szCs w:val="16"/>
                <w:lang w:bidi="fr-FR"/>
              </w:rPr>
            </w:pPr>
            <w:r w:rsidRPr="004E13E9">
              <w:rPr>
                <w:sz w:val="16"/>
                <w:szCs w:val="16"/>
                <w:lang w:bidi="fr-F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751B3D67" w14:textId="77777777" w:rsidR="00654430" w:rsidRPr="004E13E9" w:rsidRDefault="00654430" w:rsidP="00E62E84">
            <w:pPr>
              <w:jc w:val="center"/>
              <w:rPr>
                <w:sz w:val="16"/>
                <w:szCs w:val="16"/>
                <w:lang w:bidi="fr-FR"/>
              </w:rPr>
            </w:pPr>
            <w:r w:rsidRPr="004E13E9">
              <w:rPr>
                <w:sz w:val="16"/>
                <w:szCs w:val="16"/>
                <w:lang w:bidi="fr-FR"/>
              </w:rPr>
              <w:t>0,8%</w:t>
            </w:r>
          </w:p>
        </w:tc>
        <w:tc>
          <w:tcPr>
            <w:tcW w:w="263" w:type="pct"/>
            <w:tcBorders>
              <w:top w:val="single" w:sz="4" w:space="0" w:color="auto"/>
              <w:left w:val="single" w:sz="4" w:space="0" w:color="auto"/>
              <w:bottom w:val="single" w:sz="4" w:space="0" w:color="auto"/>
              <w:right w:val="single" w:sz="4" w:space="0" w:color="auto"/>
            </w:tcBorders>
            <w:vAlign w:val="center"/>
            <w:hideMark/>
          </w:tcPr>
          <w:p w14:paraId="310F9C85" w14:textId="77777777" w:rsidR="00654430" w:rsidRPr="004E13E9" w:rsidRDefault="00654430" w:rsidP="00E62E84">
            <w:pPr>
              <w:jc w:val="center"/>
              <w:rPr>
                <w:sz w:val="16"/>
                <w:szCs w:val="16"/>
                <w:lang w:bidi="fr-FR"/>
              </w:rPr>
            </w:pPr>
            <w:r w:rsidRPr="004E13E9">
              <w:rPr>
                <w:sz w:val="16"/>
                <w:szCs w:val="16"/>
                <w:lang w:bidi="fr-FR"/>
              </w:rPr>
              <w:t>0,8%</w:t>
            </w:r>
          </w:p>
        </w:tc>
        <w:tc>
          <w:tcPr>
            <w:tcW w:w="213" w:type="pct"/>
            <w:tcBorders>
              <w:top w:val="single" w:sz="4" w:space="0" w:color="auto"/>
              <w:left w:val="single" w:sz="4" w:space="0" w:color="auto"/>
              <w:bottom w:val="single" w:sz="4" w:space="0" w:color="auto"/>
              <w:right w:val="single" w:sz="4" w:space="0" w:color="auto"/>
            </w:tcBorders>
            <w:vAlign w:val="center"/>
            <w:hideMark/>
          </w:tcPr>
          <w:p w14:paraId="3EF456C9" w14:textId="77777777" w:rsidR="00654430" w:rsidRPr="004E13E9" w:rsidRDefault="00654430" w:rsidP="00E62E84">
            <w:pPr>
              <w:jc w:val="center"/>
              <w:rPr>
                <w:sz w:val="16"/>
                <w:szCs w:val="16"/>
                <w:lang w:bidi="fr-FR"/>
              </w:rPr>
            </w:pPr>
            <w:r w:rsidRPr="004E13E9">
              <w:rPr>
                <w:sz w:val="16"/>
                <w:szCs w:val="16"/>
                <w:lang w:bidi="fr-FR"/>
              </w:rPr>
              <w:t>0,8%</w:t>
            </w:r>
          </w:p>
        </w:tc>
        <w:tc>
          <w:tcPr>
            <w:tcW w:w="277" w:type="pct"/>
            <w:tcBorders>
              <w:top w:val="single" w:sz="4" w:space="0" w:color="auto"/>
              <w:left w:val="single" w:sz="4" w:space="0" w:color="auto"/>
              <w:bottom w:val="single" w:sz="4" w:space="0" w:color="auto"/>
              <w:right w:val="single" w:sz="4" w:space="0" w:color="auto"/>
            </w:tcBorders>
            <w:vAlign w:val="center"/>
            <w:hideMark/>
          </w:tcPr>
          <w:p w14:paraId="3EB226E6" w14:textId="77777777" w:rsidR="00654430" w:rsidRPr="004E13E9" w:rsidRDefault="00654430" w:rsidP="00E62E84">
            <w:pPr>
              <w:jc w:val="center"/>
              <w:rPr>
                <w:sz w:val="16"/>
                <w:szCs w:val="16"/>
                <w:lang w:bidi="fr-FR"/>
              </w:rPr>
            </w:pPr>
            <w:r w:rsidRPr="004E13E9">
              <w:rPr>
                <w:sz w:val="16"/>
                <w:szCs w:val="16"/>
                <w:lang w:bidi="fr-FR"/>
              </w:rPr>
              <w:t>0,4%</w:t>
            </w:r>
          </w:p>
        </w:tc>
      </w:tr>
      <w:tr w:rsidR="00654430" w:rsidRPr="004E13E9" w14:paraId="0C179873"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noWrap/>
            <w:vAlign w:val="center"/>
            <w:hideMark/>
          </w:tcPr>
          <w:p w14:paraId="1BCFF0E6" w14:textId="77777777" w:rsidR="00654430" w:rsidRPr="004E13E9" w:rsidRDefault="00654430" w:rsidP="00E62E84">
            <w:pPr>
              <w:rPr>
                <w:b/>
                <w:bCs/>
                <w:sz w:val="16"/>
                <w:szCs w:val="16"/>
                <w:lang w:bidi="fr-FR"/>
              </w:rPr>
            </w:pPr>
            <w:r w:rsidRPr="004E13E9">
              <w:rPr>
                <w:b/>
                <w:sz w:val="16"/>
                <w:szCs w:val="16"/>
                <w:lang w:bidi="fr-FR"/>
              </w:rPr>
              <w:t xml:space="preserve">Allocation aux </w:t>
            </w:r>
            <w:proofErr w:type="spellStart"/>
            <w:r w:rsidRPr="004E13E9">
              <w:rPr>
                <w:b/>
                <w:sz w:val="16"/>
                <w:szCs w:val="16"/>
                <w:lang w:bidi="fr-FR"/>
              </w:rPr>
              <w:t>prises</w:t>
            </w:r>
            <w:proofErr w:type="spellEnd"/>
            <w:r w:rsidRPr="004E13E9">
              <w:rPr>
                <w:b/>
                <w:sz w:val="16"/>
                <w:szCs w:val="16"/>
                <w:lang w:bidi="fr-FR"/>
              </w:rPr>
              <w:t xml:space="preserve"> </w:t>
            </w:r>
            <w:proofErr w:type="spellStart"/>
            <w:r w:rsidRPr="004E13E9">
              <w:rPr>
                <w:b/>
                <w:sz w:val="16"/>
                <w:szCs w:val="16"/>
                <w:lang w:bidi="fr-FR"/>
              </w:rPr>
              <w:t>accessoires</w:t>
            </w:r>
            <w:proofErr w:type="spellEnd"/>
          </w:p>
        </w:tc>
        <w:tc>
          <w:tcPr>
            <w:tcW w:w="597" w:type="pct"/>
            <w:tcBorders>
              <w:top w:val="single" w:sz="4" w:space="0" w:color="auto"/>
              <w:left w:val="single" w:sz="4" w:space="0" w:color="auto"/>
              <w:bottom w:val="single" w:sz="4" w:space="0" w:color="auto"/>
              <w:right w:val="single" w:sz="4" w:space="0" w:color="auto"/>
            </w:tcBorders>
            <w:noWrap/>
            <w:vAlign w:val="center"/>
          </w:tcPr>
          <w:p w14:paraId="135972B6" w14:textId="77777777" w:rsidR="00654430" w:rsidRPr="004E13E9" w:rsidRDefault="00654430" w:rsidP="00E62E84">
            <w:pPr>
              <w:rPr>
                <w:sz w:val="16"/>
                <w:szCs w:val="16"/>
                <w:lang w:bidi="fr-FR"/>
              </w:rPr>
            </w:pPr>
          </w:p>
        </w:tc>
        <w:tc>
          <w:tcPr>
            <w:tcW w:w="204" w:type="pct"/>
            <w:gridSpan w:val="2"/>
            <w:tcBorders>
              <w:top w:val="single" w:sz="4" w:space="0" w:color="auto"/>
              <w:left w:val="single" w:sz="4" w:space="0" w:color="auto"/>
              <w:bottom w:val="single" w:sz="4" w:space="0" w:color="auto"/>
              <w:right w:val="single" w:sz="4" w:space="0" w:color="auto"/>
            </w:tcBorders>
          </w:tcPr>
          <w:p w14:paraId="69926AB5"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noWrap/>
            <w:vAlign w:val="center"/>
          </w:tcPr>
          <w:p w14:paraId="3114A39B" w14:textId="77777777" w:rsidR="00654430" w:rsidRPr="004E13E9" w:rsidRDefault="00654430" w:rsidP="00E62E84">
            <w:pPr>
              <w:rPr>
                <w:sz w:val="16"/>
                <w:szCs w:val="16"/>
                <w:lang w:bidi="fr-FR"/>
              </w:rPr>
            </w:pPr>
          </w:p>
        </w:tc>
        <w:tc>
          <w:tcPr>
            <w:tcW w:w="214" w:type="pct"/>
            <w:tcBorders>
              <w:top w:val="single" w:sz="4" w:space="0" w:color="auto"/>
              <w:left w:val="single" w:sz="4" w:space="0" w:color="auto"/>
              <w:bottom w:val="single" w:sz="4" w:space="0" w:color="auto"/>
              <w:right w:val="single" w:sz="4" w:space="0" w:color="auto"/>
            </w:tcBorders>
            <w:vAlign w:val="center"/>
          </w:tcPr>
          <w:p w14:paraId="7FD542D4"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tcPr>
          <w:p w14:paraId="3371B0D5"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tcPr>
          <w:p w14:paraId="2B99B1EC"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tcPr>
          <w:p w14:paraId="424B7CB5" w14:textId="77777777" w:rsidR="00654430" w:rsidRPr="004E13E9" w:rsidRDefault="00654430" w:rsidP="00E62E84">
            <w:pPr>
              <w:rPr>
                <w:sz w:val="16"/>
                <w:szCs w:val="16"/>
                <w:lang w:bidi="fr-FR"/>
              </w:rPr>
            </w:pPr>
          </w:p>
        </w:tc>
        <w:tc>
          <w:tcPr>
            <w:tcW w:w="214" w:type="pct"/>
            <w:tcBorders>
              <w:top w:val="single" w:sz="4" w:space="0" w:color="auto"/>
              <w:left w:val="single" w:sz="4" w:space="0" w:color="auto"/>
              <w:bottom w:val="single" w:sz="4" w:space="0" w:color="auto"/>
              <w:right w:val="single" w:sz="4" w:space="0" w:color="auto"/>
            </w:tcBorders>
          </w:tcPr>
          <w:p w14:paraId="64FBFAA7" w14:textId="77777777" w:rsidR="00654430" w:rsidRPr="004E13E9" w:rsidRDefault="00654430" w:rsidP="00E62E84">
            <w:pPr>
              <w:rPr>
                <w:sz w:val="16"/>
                <w:szCs w:val="16"/>
                <w:lang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tcPr>
          <w:p w14:paraId="31CBBCC6" w14:textId="77777777" w:rsidR="00654430" w:rsidRPr="004E13E9" w:rsidRDefault="00654430" w:rsidP="00E62E84">
            <w:pPr>
              <w:rPr>
                <w:sz w:val="16"/>
                <w:szCs w:val="16"/>
                <w:lang w:bidi="fr-FR"/>
              </w:rPr>
            </w:pPr>
          </w:p>
        </w:tc>
        <w:tc>
          <w:tcPr>
            <w:tcW w:w="208" w:type="pct"/>
            <w:tcBorders>
              <w:top w:val="single" w:sz="4" w:space="0" w:color="auto"/>
              <w:left w:val="single" w:sz="4" w:space="0" w:color="auto"/>
              <w:bottom w:val="single" w:sz="4" w:space="0" w:color="auto"/>
              <w:right w:val="single" w:sz="4" w:space="0" w:color="auto"/>
            </w:tcBorders>
          </w:tcPr>
          <w:p w14:paraId="7015C52E"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tcPr>
          <w:p w14:paraId="0E3A59F8" w14:textId="77777777" w:rsidR="00654430" w:rsidRPr="004E13E9" w:rsidRDefault="00654430" w:rsidP="00E62E84">
            <w:pPr>
              <w:jc w:val="center"/>
              <w:rPr>
                <w:sz w:val="16"/>
                <w:szCs w:val="16"/>
                <w:lang w:bidi="fr-FR"/>
              </w:rPr>
            </w:pPr>
          </w:p>
        </w:tc>
        <w:tc>
          <w:tcPr>
            <w:tcW w:w="263" w:type="pct"/>
            <w:tcBorders>
              <w:top w:val="single" w:sz="4" w:space="0" w:color="auto"/>
              <w:left w:val="single" w:sz="4" w:space="0" w:color="auto"/>
              <w:bottom w:val="single" w:sz="4" w:space="0" w:color="auto"/>
              <w:right w:val="single" w:sz="4" w:space="0" w:color="auto"/>
            </w:tcBorders>
            <w:vAlign w:val="center"/>
          </w:tcPr>
          <w:p w14:paraId="6F9A3411" w14:textId="77777777" w:rsidR="00654430" w:rsidRPr="004E13E9" w:rsidRDefault="00654430" w:rsidP="00E62E84">
            <w:pPr>
              <w:jc w:val="cente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09CC5A21" w14:textId="77777777" w:rsidR="00654430" w:rsidRPr="004E13E9" w:rsidRDefault="00654430" w:rsidP="00E62E84">
            <w:pPr>
              <w:jc w:val="center"/>
              <w:rPr>
                <w:sz w:val="16"/>
                <w:szCs w:val="16"/>
                <w:lang w:bidi="fr-FR"/>
              </w:rPr>
            </w:pPr>
            <w:r w:rsidRPr="004E13E9">
              <w:rPr>
                <w:sz w:val="16"/>
                <w:szCs w:val="16"/>
                <w:lang w:bidi="fr-FR"/>
              </w:rPr>
              <w:t>1</w:t>
            </w:r>
          </w:p>
        </w:tc>
        <w:tc>
          <w:tcPr>
            <w:tcW w:w="263" w:type="pct"/>
            <w:tcBorders>
              <w:top w:val="single" w:sz="4" w:space="0" w:color="auto"/>
              <w:left w:val="single" w:sz="4" w:space="0" w:color="auto"/>
              <w:bottom w:val="single" w:sz="4" w:space="0" w:color="auto"/>
              <w:right w:val="single" w:sz="4" w:space="0" w:color="auto"/>
            </w:tcBorders>
            <w:vAlign w:val="center"/>
            <w:hideMark/>
          </w:tcPr>
          <w:p w14:paraId="7FAA5177" w14:textId="77777777" w:rsidR="00654430" w:rsidRPr="004E13E9" w:rsidRDefault="00654430" w:rsidP="00E62E84">
            <w:pPr>
              <w:jc w:val="center"/>
              <w:rPr>
                <w:sz w:val="16"/>
                <w:szCs w:val="16"/>
                <w:lang w:bidi="fr-FR"/>
              </w:rPr>
            </w:pPr>
            <w:r w:rsidRPr="004E13E9">
              <w:rPr>
                <w:sz w:val="16"/>
                <w:szCs w:val="16"/>
                <w:lang w:bidi="fr-FR"/>
              </w:rPr>
              <w:t>1</w:t>
            </w:r>
          </w:p>
        </w:tc>
        <w:tc>
          <w:tcPr>
            <w:tcW w:w="213" w:type="pct"/>
            <w:tcBorders>
              <w:top w:val="single" w:sz="4" w:space="0" w:color="auto"/>
              <w:left w:val="single" w:sz="4" w:space="0" w:color="auto"/>
              <w:bottom w:val="single" w:sz="4" w:space="0" w:color="auto"/>
              <w:right w:val="single" w:sz="4" w:space="0" w:color="auto"/>
            </w:tcBorders>
            <w:vAlign w:val="center"/>
            <w:hideMark/>
          </w:tcPr>
          <w:p w14:paraId="44044C40" w14:textId="77777777" w:rsidR="00654430" w:rsidRPr="004E13E9" w:rsidRDefault="00654430" w:rsidP="00E62E84">
            <w:pPr>
              <w:jc w:val="center"/>
              <w:rPr>
                <w:sz w:val="16"/>
                <w:szCs w:val="16"/>
                <w:lang w:bidi="fr-FR"/>
              </w:rPr>
            </w:pPr>
            <w:r w:rsidRPr="004E13E9">
              <w:rPr>
                <w:sz w:val="16"/>
                <w:szCs w:val="16"/>
                <w:lang w:bidi="fr-FR"/>
              </w:rPr>
              <w:t>1</w:t>
            </w:r>
          </w:p>
        </w:tc>
        <w:tc>
          <w:tcPr>
            <w:tcW w:w="277" w:type="pct"/>
            <w:tcBorders>
              <w:top w:val="single" w:sz="4" w:space="0" w:color="auto"/>
              <w:left w:val="single" w:sz="4" w:space="0" w:color="auto"/>
              <w:bottom w:val="single" w:sz="4" w:space="0" w:color="auto"/>
              <w:right w:val="single" w:sz="4" w:space="0" w:color="auto"/>
            </w:tcBorders>
            <w:vAlign w:val="center"/>
            <w:hideMark/>
          </w:tcPr>
          <w:p w14:paraId="73EDFD34" w14:textId="77777777" w:rsidR="00654430" w:rsidRPr="004E13E9" w:rsidRDefault="00654430" w:rsidP="00E62E84">
            <w:pPr>
              <w:jc w:val="center"/>
              <w:rPr>
                <w:sz w:val="16"/>
                <w:szCs w:val="16"/>
                <w:lang w:bidi="fr-FR"/>
              </w:rPr>
            </w:pPr>
            <w:r w:rsidRPr="004E13E9">
              <w:rPr>
                <w:sz w:val="16"/>
                <w:szCs w:val="16"/>
                <w:lang w:bidi="fr-FR"/>
              </w:rPr>
              <w:t>1</w:t>
            </w:r>
          </w:p>
        </w:tc>
      </w:tr>
      <w:tr w:rsidR="00654430" w:rsidRPr="00C5533C" w14:paraId="749C692A"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vAlign w:val="center"/>
            <w:hideMark/>
          </w:tcPr>
          <w:p w14:paraId="00401E44" w14:textId="77777777" w:rsidR="00654430" w:rsidRPr="004E13E9" w:rsidRDefault="00654430" w:rsidP="00E62E84">
            <w:pPr>
              <w:rPr>
                <w:b/>
                <w:bCs/>
                <w:sz w:val="16"/>
                <w:szCs w:val="16"/>
                <w:lang w:val="fr-FR" w:bidi="fr-FR"/>
              </w:rPr>
            </w:pPr>
            <w:r w:rsidRPr="004E13E9">
              <w:rPr>
                <w:b/>
                <w:sz w:val="16"/>
                <w:szCs w:val="16"/>
                <w:lang w:val="fr-FR" w:bidi="fr-FR"/>
              </w:rPr>
              <w:t>Quota de recherche scientifique</w:t>
            </w:r>
          </w:p>
          <w:p w14:paraId="36D5C9CE" w14:textId="77777777" w:rsidR="00654430" w:rsidRPr="004E13E9" w:rsidRDefault="00654430" w:rsidP="00E62E84">
            <w:pPr>
              <w:rPr>
                <w:b/>
                <w:sz w:val="16"/>
                <w:szCs w:val="16"/>
                <w:lang w:val="fr-FR" w:bidi="fr-FR"/>
              </w:rPr>
            </w:pPr>
            <w:r w:rsidRPr="004E13E9">
              <w:rPr>
                <w:b/>
                <w:sz w:val="16"/>
                <w:szCs w:val="16"/>
                <w:lang w:val="fr-FR" w:bidi="fr-FR"/>
              </w:rPr>
              <w:t>(le cas échéant)</w:t>
            </w:r>
          </w:p>
        </w:tc>
        <w:tc>
          <w:tcPr>
            <w:tcW w:w="597" w:type="pct"/>
            <w:tcBorders>
              <w:top w:val="single" w:sz="4" w:space="0" w:color="auto"/>
              <w:left w:val="single" w:sz="4" w:space="0" w:color="auto"/>
              <w:bottom w:val="single" w:sz="4" w:space="0" w:color="auto"/>
              <w:right w:val="single" w:sz="4" w:space="0" w:color="auto"/>
            </w:tcBorders>
            <w:noWrap/>
            <w:vAlign w:val="center"/>
          </w:tcPr>
          <w:p w14:paraId="42ABB908" w14:textId="77777777" w:rsidR="00654430" w:rsidRPr="004E13E9" w:rsidRDefault="00654430" w:rsidP="00E62E84">
            <w:pPr>
              <w:rPr>
                <w:b/>
                <w:sz w:val="16"/>
                <w:szCs w:val="16"/>
                <w:lang w:val="fr-FR" w:bidi="fr-FR"/>
              </w:rPr>
            </w:pPr>
          </w:p>
        </w:tc>
        <w:tc>
          <w:tcPr>
            <w:tcW w:w="204" w:type="pct"/>
            <w:gridSpan w:val="2"/>
            <w:tcBorders>
              <w:top w:val="single" w:sz="4" w:space="0" w:color="auto"/>
              <w:left w:val="single" w:sz="4" w:space="0" w:color="auto"/>
              <w:bottom w:val="single" w:sz="4" w:space="0" w:color="auto"/>
              <w:right w:val="single" w:sz="4" w:space="0" w:color="auto"/>
            </w:tcBorders>
          </w:tcPr>
          <w:p w14:paraId="50E63DEC" w14:textId="77777777" w:rsidR="00654430" w:rsidRPr="004E13E9" w:rsidRDefault="00654430" w:rsidP="00E62E84">
            <w:pPr>
              <w:rPr>
                <w:b/>
                <w:sz w:val="16"/>
                <w:szCs w:val="16"/>
                <w:lang w:val="fr-FR" w:bidi="fr-FR"/>
              </w:rPr>
            </w:pPr>
          </w:p>
        </w:tc>
        <w:tc>
          <w:tcPr>
            <w:tcW w:w="213" w:type="pct"/>
            <w:tcBorders>
              <w:top w:val="single" w:sz="4" w:space="0" w:color="auto"/>
              <w:left w:val="single" w:sz="4" w:space="0" w:color="auto"/>
              <w:bottom w:val="single" w:sz="4" w:space="0" w:color="auto"/>
              <w:right w:val="single" w:sz="4" w:space="0" w:color="auto"/>
            </w:tcBorders>
            <w:noWrap/>
            <w:vAlign w:val="center"/>
          </w:tcPr>
          <w:p w14:paraId="2BE274A8" w14:textId="77777777" w:rsidR="00654430" w:rsidRPr="004E13E9" w:rsidRDefault="00654430" w:rsidP="00E62E84">
            <w:pPr>
              <w:rPr>
                <w:b/>
                <w:sz w:val="16"/>
                <w:szCs w:val="16"/>
                <w:lang w:val="fr-FR" w:bidi="fr-FR"/>
              </w:rPr>
            </w:pPr>
          </w:p>
        </w:tc>
        <w:tc>
          <w:tcPr>
            <w:tcW w:w="214" w:type="pct"/>
            <w:tcBorders>
              <w:top w:val="single" w:sz="4" w:space="0" w:color="auto"/>
              <w:left w:val="single" w:sz="4" w:space="0" w:color="auto"/>
              <w:bottom w:val="single" w:sz="4" w:space="0" w:color="auto"/>
              <w:right w:val="single" w:sz="4" w:space="0" w:color="auto"/>
            </w:tcBorders>
            <w:vAlign w:val="center"/>
          </w:tcPr>
          <w:p w14:paraId="29A2166B" w14:textId="77777777" w:rsidR="00654430" w:rsidRPr="004E13E9" w:rsidRDefault="00654430" w:rsidP="00E62E84">
            <w:pPr>
              <w:rPr>
                <w:b/>
                <w:sz w:val="16"/>
                <w:szCs w:val="16"/>
                <w:lang w:val="fr-FR" w:bidi="fr-FR"/>
              </w:rPr>
            </w:pPr>
          </w:p>
        </w:tc>
        <w:tc>
          <w:tcPr>
            <w:tcW w:w="213" w:type="pct"/>
            <w:tcBorders>
              <w:top w:val="single" w:sz="4" w:space="0" w:color="auto"/>
              <w:left w:val="single" w:sz="4" w:space="0" w:color="auto"/>
              <w:bottom w:val="single" w:sz="4" w:space="0" w:color="auto"/>
              <w:right w:val="single" w:sz="4" w:space="0" w:color="auto"/>
            </w:tcBorders>
            <w:vAlign w:val="center"/>
          </w:tcPr>
          <w:p w14:paraId="4A42C1FD" w14:textId="77777777" w:rsidR="00654430" w:rsidRPr="004E13E9" w:rsidRDefault="00654430" w:rsidP="00E62E84">
            <w:pPr>
              <w:rPr>
                <w:b/>
                <w:sz w:val="16"/>
                <w:szCs w:val="16"/>
                <w:lang w:val="fr-FR" w:bidi="fr-FR"/>
              </w:rPr>
            </w:pPr>
          </w:p>
        </w:tc>
        <w:tc>
          <w:tcPr>
            <w:tcW w:w="213" w:type="pct"/>
            <w:tcBorders>
              <w:top w:val="single" w:sz="4" w:space="0" w:color="auto"/>
              <w:left w:val="single" w:sz="4" w:space="0" w:color="auto"/>
              <w:bottom w:val="single" w:sz="4" w:space="0" w:color="auto"/>
              <w:right w:val="single" w:sz="4" w:space="0" w:color="auto"/>
            </w:tcBorders>
            <w:vAlign w:val="center"/>
          </w:tcPr>
          <w:p w14:paraId="7E18ECCF" w14:textId="77777777" w:rsidR="00654430" w:rsidRPr="004E13E9" w:rsidRDefault="00654430" w:rsidP="00E62E84">
            <w:pPr>
              <w:rPr>
                <w:b/>
                <w:sz w:val="16"/>
                <w:szCs w:val="16"/>
                <w:lang w:val="fr-FR" w:bidi="fr-FR"/>
              </w:rPr>
            </w:pPr>
          </w:p>
        </w:tc>
        <w:tc>
          <w:tcPr>
            <w:tcW w:w="213" w:type="pct"/>
            <w:tcBorders>
              <w:top w:val="single" w:sz="4" w:space="0" w:color="auto"/>
              <w:left w:val="single" w:sz="4" w:space="0" w:color="auto"/>
              <w:bottom w:val="single" w:sz="4" w:space="0" w:color="auto"/>
              <w:right w:val="single" w:sz="4" w:space="0" w:color="auto"/>
            </w:tcBorders>
          </w:tcPr>
          <w:p w14:paraId="1D41C29A" w14:textId="77777777" w:rsidR="00654430" w:rsidRPr="004E13E9" w:rsidRDefault="00654430" w:rsidP="00E62E84">
            <w:pPr>
              <w:rPr>
                <w:b/>
                <w:sz w:val="16"/>
                <w:szCs w:val="16"/>
                <w:lang w:val="fr-FR" w:bidi="fr-FR"/>
              </w:rPr>
            </w:pPr>
          </w:p>
        </w:tc>
        <w:tc>
          <w:tcPr>
            <w:tcW w:w="214" w:type="pct"/>
            <w:tcBorders>
              <w:top w:val="single" w:sz="4" w:space="0" w:color="auto"/>
              <w:left w:val="single" w:sz="4" w:space="0" w:color="auto"/>
              <w:bottom w:val="single" w:sz="4" w:space="0" w:color="auto"/>
              <w:right w:val="single" w:sz="4" w:space="0" w:color="auto"/>
            </w:tcBorders>
          </w:tcPr>
          <w:p w14:paraId="7ED35C18" w14:textId="77777777" w:rsidR="00654430" w:rsidRPr="004E13E9" w:rsidRDefault="00654430" w:rsidP="00E62E84">
            <w:pPr>
              <w:rPr>
                <w:sz w:val="16"/>
                <w:szCs w:val="16"/>
                <w:lang w:val="fr-FR"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tcPr>
          <w:p w14:paraId="0D80EFDF" w14:textId="77777777" w:rsidR="00654430" w:rsidRPr="004E13E9" w:rsidRDefault="00654430" w:rsidP="00E62E84">
            <w:pPr>
              <w:rPr>
                <w:b/>
                <w:sz w:val="16"/>
                <w:szCs w:val="16"/>
                <w:lang w:val="fr-FR" w:bidi="fr-FR"/>
              </w:rPr>
            </w:pPr>
          </w:p>
        </w:tc>
        <w:tc>
          <w:tcPr>
            <w:tcW w:w="208" w:type="pct"/>
            <w:tcBorders>
              <w:top w:val="single" w:sz="4" w:space="0" w:color="auto"/>
              <w:left w:val="single" w:sz="4" w:space="0" w:color="auto"/>
              <w:bottom w:val="single" w:sz="4" w:space="0" w:color="auto"/>
              <w:right w:val="single" w:sz="4" w:space="0" w:color="auto"/>
            </w:tcBorders>
          </w:tcPr>
          <w:p w14:paraId="267EE7E6" w14:textId="77777777" w:rsidR="00654430" w:rsidRPr="004E13E9" w:rsidRDefault="00654430" w:rsidP="00E62E84">
            <w:pPr>
              <w:rPr>
                <w:b/>
                <w:sz w:val="16"/>
                <w:szCs w:val="16"/>
                <w:lang w:val="fr-FR" w:bidi="fr-FR"/>
              </w:rPr>
            </w:pPr>
          </w:p>
        </w:tc>
        <w:tc>
          <w:tcPr>
            <w:tcW w:w="213" w:type="pct"/>
            <w:tcBorders>
              <w:top w:val="single" w:sz="4" w:space="0" w:color="auto"/>
              <w:left w:val="single" w:sz="4" w:space="0" w:color="auto"/>
              <w:bottom w:val="single" w:sz="4" w:space="0" w:color="auto"/>
              <w:right w:val="single" w:sz="4" w:space="0" w:color="auto"/>
            </w:tcBorders>
            <w:vAlign w:val="center"/>
          </w:tcPr>
          <w:p w14:paraId="6D932AA2" w14:textId="77777777" w:rsidR="00654430" w:rsidRPr="004E13E9" w:rsidRDefault="00654430" w:rsidP="00E62E84">
            <w:pPr>
              <w:jc w:val="center"/>
              <w:rPr>
                <w:b/>
                <w:sz w:val="16"/>
                <w:szCs w:val="16"/>
                <w:lang w:val="fr-FR" w:bidi="fr-FR"/>
              </w:rPr>
            </w:pPr>
          </w:p>
        </w:tc>
        <w:tc>
          <w:tcPr>
            <w:tcW w:w="263" w:type="pct"/>
            <w:tcBorders>
              <w:top w:val="single" w:sz="4" w:space="0" w:color="auto"/>
              <w:left w:val="single" w:sz="4" w:space="0" w:color="auto"/>
              <w:bottom w:val="single" w:sz="4" w:space="0" w:color="auto"/>
              <w:right w:val="single" w:sz="4" w:space="0" w:color="auto"/>
            </w:tcBorders>
            <w:vAlign w:val="center"/>
          </w:tcPr>
          <w:p w14:paraId="41D77F04" w14:textId="77777777" w:rsidR="00654430" w:rsidRPr="004E13E9" w:rsidRDefault="00654430" w:rsidP="00E62E84">
            <w:pPr>
              <w:jc w:val="center"/>
              <w:rPr>
                <w:b/>
                <w:sz w:val="16"/>
                <w:szCs w:val="16"/>
                <w:lang w:val="fr-FR" w:bidi="fr-FR"/>
              </w:rPr>
            </w:pPr>
          </w:p>
        </w:tc>
        <w:tc>
          <w:tcPr>
            <w:tcW w:w="213" w:type="pct"/>
            <w:tcBorders>
              <w:top w:val="single" w:sz="4" w:space="0" w:color="auto"/>
              <w:left w:val="single" w:sz="4" w:space="0" w:color="auto"/>
              <w:bottom w:val="single" w:sz="4" w:space="0" w:color="auto"/>
              <w:right w:val="single" w:sz="4" w:space="0" w:color="auto"/>
            </w:tcBorders>
            <w:noWrap/>
            <w:vAlign w:val="center"/>
          </w:tcPr>
          <w:p w14:paraId="0330812B" w14:textId="77777777" w:rsidR="00654430" w:rsidRPr="004E13E9" w:rsidRDefault="00654430" w:rsidP="00E62E84">
            <w:pPr>
              <w:jc w:val="center"/>
              <w:rPr>
                <w:b/>
                <w:sz w:val="16"/>
                <w:szCs w:val="16"/>
                <w:lang w:val="fr-FR" w:bidi="fr-FR"/>
              </w:rPr>
            </w:pPr>
          </w:p>
        </w:tc>
        <w:tc>
          <w:tcPr>
            <w:tcW w:w="263" w:type="pct"/>
            <w:tcBorders>
              <w:top w:val="single" w:sz="4" w:space="0" w:color="auto"/>
              <w:left w:val="single" w:sz="4" w:space="0" w:color="auto"/>
              <w:bottom w:val="single" w:sz="4" w:space="0" w:color="auto"/>
              <w:right w:val="single" w:sz="4" w:space="0" w:color="auto"/>
            </w:tcBorders>
            <w:noWrap/>
            <w:vAlign w:val="center"/>
          </w:tcPr>
          <w:p w14:paraId="76D7F163" w14:textId="77777777" w:rsidR="00654430" w:rsidRPr="004E13E9" w:rsidRDefault="00654430" w:rsidP="00E62E84">
            <w:pPr>
              <w:jc w:val="center"/>
              <w:rPr>
                <w:b/>
                <w:sz w:val="16"/>
                <w:szCs w:val="16"/>
                <w:lang w:val="fr-FR" w:bidi="fr-FR"/>
              </w:rPr>
            </w:pPr>
          </w:p>
        </w:tc>
        <w:tc>
          <w:tcPr>
            <w:tcW w:w="213" w:type="pct"/>
            <w:tcBorders>
              <w:top w:val="single" w:sz="4" w:space="0" w:color="auto"/>
              <w:left w:val="single" w:sz="4" w:space="0" w:color="auto"/>
              <w:bottom w:val="single" w:sz="4" w:space="0" w:color="auto"/>
              <w:right w:val="single" w:sz="4" w:space="0" w:color="auto"/>
            </w:tcBorders>
            <w:noWrap/>
            <w:vAlign w:val="center"/>
          </w:tcPr>
          <w:p w14:paraId="55544798" w14:textId="77777777" w:rsidR="00654430" w:rsidRPr="004E13E9" w:rsidRDefault="00654430" w:rsidP="00E62E84">
            <w:pPr>
              <w:jc w:val="center"/>
              <w:rPr>
                <w:b/>
                <w:sz w:val="16"/>
                <w:szCs w:val="16"/>
                <w:lang w:val="fr-FR" w:bidi="fr-FR"/>
              </w:rPr>
            </w:pPr>
          </w:p>
        </w:tc>
        <w:tc>
          <w:tcPr>
            <w:tcW w:w="277" w:type="pct"/>
            <w:tcBorders>
              <w:top w:val="single" w:sz="4" w:space="0" w:color="auto"/>
              <w:left w:val="single" w:sz="4" w:space="0" w:color="auto"/>
              <w:bottom w:val="single" w:sz="4" w:space="0" w:color="auto"/>
              <w:right w:val="single" w:sz="4" w:space="0" w:color="auto"/>
            </w:tcBorders>
            <w:vAlign w:val="center"/>
          </w:tcPr>
          <w:p w14:paraId="1D4B80E4" w14:textId="77777777" w:rsidR="00654430" w:rsidRPr="004E13E9" w:rsidRDefault="00654430" w:rsidP="00E62E84">
            <w:pPr>
              <w:jc w:val="center"/>
              <w:rPr>
                <w:b/>
                <w:sz w:val="16"/>
                <w:szCs w:val="16"/>
                <w:lang w:val="fr-FR" w:bidi="fr-FR"/>
              </w:rPr>
            </w:pPr>
          </w:p>
        </w:tc>
      </w:tr>
      <w:tr w:rsidR="00654430" w:rsidRPr="004E13E9" w14:paraId="660CDB55"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vAlign w:val="center"/>
            <w:hideMark/>
          </w:tcPr>
          <w:p w14:paraId="2F7B7542" w14:textId="77777777" w:rsidR="00654430" w:rsidRPr="004E13E9" w:rsidRDefault="00654430" w:rsidP="00E62E84">
            <w:pPr>
              <w:rPr>
                <w:b/>
                <w:sz w:val="16"/>
                <w:szCs w:val="16"/>
                <w:lang w:val="fr-FR" w:bidi="fr-FR"/>
              </w:rPr>
            </w:pPr>
            <w:r w:rsidRPr="004E13E9">
              <w:rPr>
                <w:b/>
                <w:sz w:val="16"/>
                <w:szCs w:val="16"/>
                <w:lang w:val="fr-FR" w:bidi="fr-FR"/>
              </w:rPr>
              <w:t>Tolérance pour la pêche sportive/récréative (le cas échéant)</w:t>
            </w:r>
          </w:p>
        </w:tc>
        <w:tc>
          <w:tcPr>
            <w:tcW w:w="597" w:type="pct"/>
            <w:tcBorders>
              <w:top w:val="single" w:sz="4" w:space="0" w:color="auto"/>
              <w:left w:val="single" w:sz="4" w:space="0" w:color="auto"/>
              <w:bottom w:val="single" w:sz="4" w:space="0" w:color="auto"/>
              <w:right w:val="single" w:sz="4" w:space="0" w:color="auto"/>
            </w:tcBorders>
            <w:noWrap/>
            <w:vAlign w:val="center"/>
          </w:tcPr>
          <w:p w14:paraId="2E4E2857" w14:textId="77777777" w:rsidR="00654430" w:rsidRPr="004E13E9" w:rsidRDefault="00654430" w:rsidP="00E62E84">
            <w:pPr>
              <w:rPr>
                <w:b/>
                <w:sz w:val="16"/>
                <w:szCs w:val="16"/>
                <w:lang w:val="fr-FR" w:bidi="fr-FR"/>
              </w:rPr>
            </w:pPr>
          </w:p>
        </w:tc>
        <w:tc>
          <w:tcPr>
            <w:tcW w:w="204" w:type="pct"/>
            <w:gridSpan w:val="2"/>
            <w:tcBorders>
              <w:top w:val="single" w:sz="4" w:space="0" w:color="auto"/>
              <w:left w:val="single" w:sz="4" w:space="0" w:color="auto"/>
              <w:bottom w:val="single" w:sz="4" w:space="0" w:color="auto"/>
              <w:right w:val="single" w:sz="4" w:space="0" w:color="auto"/>
            </w:tcBorders>
          </w:tcPr>
          <w:p w14:paraId="076E5066" w14:textId="77777777" w:rsidR="00654430" w:rsidRPr="004E13E9" w:rsidRDefault="00654430" w:rsidP="00E62E84">
            <w:pPr>
              <w:rPr>
                <w:b/>
                <w:sz w:val="16"/>
                <w:szCs w:val="16"/>
                <w:lang w:val="fr-FR" w:bidi="fr-FR"/>
              </w:rPr>
            </w:pPr>
          </w:p>
        </w:tc>
        <w:tc>
          <w:tcPr>
            <w:tcW w:w="213" w:type="pct"/>
            <w:tcBorders>
              <w:top w:val="single" w:sz="4" w:space="0" w:color="auto"/>
              <w:left w:val="single" w:sz="4" w:space="0" w:color="auto"/>
              <w:bottom w:val="single" w:sz="4" w:space="0" w:color="auto"/>
              <w:right w:val="single" w:sz="4" w:space="0" w:color="auto"/>
            </w:tcBorders>
            <w:noWrap/>
            <w:vAlign w:val="center"/>
          </w:tcPr>
          <w:p w14:paraId="2E0F14C6" w14:textId="77777777" w:rsidR="00654430" w:rsidRPr="004E13E9" w:rsidRDefault="00654430" w:rsidP="00E62E84">
            <w:pPr>
              <w:rPr>
                <w:b/>
                <w:sz w:val="16"/>
                <w:szCs w:val="16"/>
                <w:lang w:val="fr-FR" w:bidi="fr-FR"/>
              </w:rPr>
            </w:pPr>
          </w:p>
        </w:tc>
        <w:tc>
          <w:tcPr>
            <w:tcW w:w="214" w:type="pct"/>
            <w:tcBorders>
              <w:top w:val="single" w:sz="4" w:space="0" w:color="auto"/>
              <w:left w:val="single" w:sz="4" w:space="0" w:color="auto"/>
              <w:bottom w:val="single" w:sz="4" w:space="0" w:color="auto"/>
              <w:right w:val="single" w:sz="4" w:space="0" w:color="auto"/>
            </w:tcBorders>
            <w:vAlign w:val="center"/>
          </w:tcPr>
          <w:p w14:paraId="139CC0DB" w14:textId="77777777" w:rsidR="00654430" w:rsidRPr="004E13E9" w:rsidRDefault="00654430" w:rsidP="00E62E84">
            <w:pPr>
              <w:rPr>
                <w:b/>
                <w:sz w:val="16"/>
                <w:szCs w:val="16"/>
                <w:lang w:val="fr-FR" w:bidi="fr-FR"/>
              </w:rPr>
            </w:pPr>
          </w:p>
        </w:tc>
        <w:tc>
          <w:tcPr>
            <w:tcW w:w="213" w:type="pct"/>
            <w:tcBorders>
              <w:top w:val="single" w:sz="4" w:space="0" w:color="auto"/>
              <w:left w:val="single" w:sz="4" w:space="0" w:color="auto"/>
              <w:bottom w:val="single" w:sz="4" w:space="0" w:color="auto"/>
              <w:right w:val="single" w:sz="4" w:space="0" w:color="auto"/>
            </w:tcBorders>
            <w:vAlign w:val="center"/>
          </w:tcPr>
          <w:p w14:paraId="7F9F4BA0" w14:textId="77777777" w:rsidR="00654430" w:rsidRPr="004E13E9" w:rsidRDefault="00654430" w:rsidP="00E62E84">
            <w:pPr>
              <w:rPr>
                <w:b/>
                <w:sz w:val="16"/>
                <w:szCs w:val="16"/>
                <w:lang w:val="fr-FR" w:bidi="fr-FR"/>
              </w:rPr>
            </w:pPr>
          </w:p>
        </w:tc>
        <w:tc>
          <w:tcPr>
            <w:tcW w:w="213" w:type="pct"/>
            <w:tcBorders>
              <w:top w:val="single" w:sz="4" w:space="0" w:color="auto"/>
              <w:left w:val="single" w:sz="4" w:space="0" w:color="auto"/>
              <w:bottom w:val="single" w:sz="4" w:space="0" w:color="auto"/>
              <w:right w:val="single" w:sz="4" w:space="0" w:color="auto"/>
            </w:tcBorders>
            <w:vAlign w:val="center"/>
          </w:tcPr>
          <w:p w14:paraId="1D253090" w14:textId="77777777" w:rsidR="00654430" w:rsidRPr="004E13E9" w:rsidRDefault="00654430" w:rsidP="00E62E84">
            <w:pPr>
              <w:rPr>
                <w:b/>
                <w:sz w:val="16"/>
                <w:szCs w:val="16"/>
                <w:lang w:val="fr-FR" w:bidi="fr-FR"/>
              </w:rPr>
            </w:pPr>
          </w:p>
        </w:tc>
        <w:tc>
          <w:tcPr>
            <w:tcW w:w="213" w:type="pct"/>
            <w:tcBorders>
              <w:top w:val="single" w:sz="4" w:space="0" w:color="auto"/>
              <w:left w:val="single" w:sz="4" w:space="0" w:color="auto"/>
              <w:bottom w:val="single" w:sz="4" w:space="0" w:color="auto"/>
              <w:right w:val="single" w:sz="4" w:space="0" w:color="auto"/>
            </w:tcBorders>
          </w:tcPr>
          <w:p w14:paraId="36C4CC78" w14:textId="77777777" w:rsidR="00654430" w:rsidRPr="004E13E9" w:rsidRDefault="00654430" w:rsidP="00E62E84">
            <w:pPr>
              <w:rPr>
                <w:b/>
                <w:sz w:val="16"/>
                <w:szCs w:val="16"/>
                <w:lang w:val="fr-FR" w:bidi="fr-FR"/>
              </w:rPr>
            </w:pPr>
          </w:p>
        </w:tc>
        <w:tc>
          <w:tcPr>
            <w:tcW w:w="214" w:type="pct"/>
            <w:tcBorders>
              <w:top w:val="single" w:sz="4" w:space="0" w:color="auto"/>
              <w:left w:val="single" w:sz="4" w:space="0" w:color="auto"/>
              <w:bottom w:val="single" w:sz="4" w:space="0" w:color="auto"/>
              <w:right w:val="single" w:sz="4" w:space="0" w:color="auto"/>
            </w:tcBorders>
          </w:tcPr>
          <w:p w14:paraId="36E4EE5D" w14:textId="77777777" w:rsidR="00654430" w:rsidRPr="004E13E9" w:rsidRDefault="00654430" w:rsidP="00E62E84">
            <w:pPr>
              <w:rPr>
                <w:sz w:val="16"/>
                <w:szCs w:val="16"/>
                <w:lang w:val="fr-FR"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tcPr>
          <w:p w14:paraId="0799264D" w14:textId="77777777" w:rsidR="00654430" w:rsidRPr="004E13E9" w:rsidRDefault="00654430" w:rsidP="00E62E84">
            <w:pPr>
              <w:rPr>
                <w:b/>
                <w:sz w:val="16"/>
                <w:szCs w:val="16"/>
                <w:lang w:val="fr-FR" w:bidi="fr-FR"/>
              </w:rPr>
            </w:pPr>
          </w:p>
        </w:tc>
        <w:tc>
          <w:tcPr>
            <w:tcW w:w="208" w:type="pct"/>
            <w:tcBorders>
              <w:top w:val="single" w:sz="4" w:space="0" w:color="auto"/>
              <w:left w:val="single" w:sz="4" w:space="0" w:color="auto"/>
              <w:bottom w:val="single" w:sz="4" w:space="0" w:color="auto"/>
              <w:right w:val="single" w:sz="4" w:space="0" w:color="auto"/>
            </w:tcBorders>
            <w:hideMark/>
          </w:tcPr>
          <w:p w14:paraId="195F1A83" w14:textId="77777777" w:rsidR="00654430" w:rsidRPr="004E13E9" w:rsidRDefault="00654430" w:rsidP="00E62E84">
            <w:pPr>
              <w:rPr>
                <w:b/>
                <w:sz w:val="16"/>
                <w:szCs w:val="16"/>
                <w:lang w:bidi="fr-FR"/>
              </w:rPr>
            </w:pPr>
            <w:r w:rsidRPr="004E13E9">
              <w:rPr>
                <w:b/>
                <w:sz w:val="16"/>
                <w:szCs w:val="16"/>
                <w:lang w:bidi="fr-F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7088D274" w14:textId="77777777" w:rsidR="00654430" w:rsidRPr="004E13E9" w:rsidRDefault="00654430" w:rsidP="00E62E84">
            <w:pPr>
              <w:jc w:val="center"/>
              <w:rPr>
                <w:b/>
                <w:sz w:val="16"/>
                <w:szCs w:val="16"/>
                <w:lang w:bidi="fr-FR"/>
              </w:rPr>
            </w:pPr>
            <w:r w:rsidRPr="004E13E9">
              <w:rPr>
                <w:b/>
                <w:sz w:val="16"/>
                <w:szCs w:val="16"/>
                <w:lang w:bidi="fr-FR"/>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4BFE9531" w14:textId="77777777" w:rsidR="00654430" w:rsidRPr="004E13E9" w:rsidRDefault="00654430" w:rsidP="00E62E84">
            <w:pPr>
              <w:jc w:val="center"/>
              <w:rPr>
                <w:b/>
                <w:sz w:val="16"/>
                <w:szCs w:val="16"/>
                <w:lang w:bidi="fr-FR"/>
              </w:rPr>
            </w:pPr>
            <w:r w:rsidRPr="004E13E9">
              <w:rPr>
                <w:b/>
                <w:sz w:val="16"/>
                <w:szCs w:val="16"/>
                <w:lang w:bidi="fr-FR"/>
              </w:rPr>
              <w:t>0</w:t>
            </w: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00AE45C2" w14:textId="77777777" w:rsidR="00654430" w:rsidRPr="004E13E9" w:rsidRDefault="00654430" w:rsidP="00E62E84">
            <w:pPr>
              <w:jc w:val="center"/>
              <w:rPr>
                <w:b/>
                <w:sz w:val="16"/>
                <w:szCs w:val="16"/>
                <w:lang w:bidi="fr-FR"/>
              </w:rPr>
            </w:pPr>
            <w:r w:rsidRPr="004E13E9">
              <w:rPr>
                <w:b/>
                <w:sz w:val="16"/>
                <w:szCs w:val="16"/>
                <w:lang w:bidi="fr-FR"/>
              </w:rPr>
              <w:t>0</w:t>
            </w:r>
          </w:p>
        </w:tc>
        <w:tc>
          <w:tcPr>
            <w:tcW w:w="263" w:type="pct"/>
            <w:tcBorders>
              <w:top w:val="single" w:sz="4" w:space="0" w:color="auto"/>
              <w:left w:val="single" w:sz="4" w:space="0" w:color="auto"/>
              <w:bottom w:val="single" w:sz="4" w:space="0" w:color="auto"/>
              <w:right w:val="single" w:sz="4" w:space="0" w:color="auto"/>
            </w:tcBorders>
            <w:noWrap/>
            <w:vAlign w:val="center"/>
            <w:hideMark/>
          </w:tcPr>
          <w:p w14:paraId="38B6C57F" w14:textId="77777777" w:rsidR="00654430" w:rsidRPr="004E13E9" w:rsidRDefault="00654430" w:rsidP="00E62E84">
            <w:pPr>
              <w:jc w:val="center"/>
              <w:rPr>
                <w:b/>
                <w:sz w:val="16"/>
                <w:szCs w:val="16"/>
                <w:lang w:bidi="fr-FR"/>
              </w:rPr>
            </w:pPr>
            <w:r w:rsidRPr="004E13E9">
              <w:rPr>
                <w:b/>
                <w:sz w:val="16"/>
                <w:szCs w:val="16"/>
                <w:lang w:bidi="fr-FR"/>
              </w:rPr>
              <w:t>0</w:t>
            </w: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56C35E72" w14:textId="77777777" w:rsidR="00654430" w:rsidRPr="004E13E9" w:rsidRDefault="00654430" w:rsidP="00E62E84">
            <w:pPr>
              <w:jc w:val="center"/>
              <w:rPr>
                <w:b/>
                <w:sz w:val="16"/>
                <w:szCs w:val="16"/>
                <w:lang w:bidi="fr-FR"/>
              </w:rPr>
            </w:pPr>
            <w:r w:rsidRPr="004E13E9">
              <w:rPr>
                <w:b/>
                <w:sz w:val="16"/>
                <w:szCs w:val="16"/>
                <w:lang w:bidi="fr-FR"/>
              </w:rPr>
              <w:t>0</w:t>
            </w:r>
          </w:p>
        </w:tc>
        <w:tc>
          <w:tcPr>
            <w:tcW w:w="277" w:type="pct"/>
            <w:tcBorders>
              <w:top w:val="single" w:sz="4" w:space="0" w:color="auto"/>
              <w:left w:val="single" w:sz="4" w:space="0" w:color="auto"/>
              <w:bottom w:val="single" w:sz="4" w:space="0" w:color="auto"/>
              <w:right w:val="single" w:sz="4" w:space="0" w:color="auto"/>
            </w:tcBorders>
            <w:vAlign w:val="center"/>
            <w:hideMark/>
          </w:tcPr>
          <w:p w14:paraId="200B2165" w14:textId="77777777" w:rsidR="00654430" w:rsidRPr="004E13E9" w:rsidRDefault="00654430" w:rsidP="00E62E84">
            <w:pPr>
              <w:jc w:val="center"/>
              <w:rPr>
                <w:b/>
                <w:sz w:val="16"/>
                <w:szCs w:val="16"/>
                <w:lang w:bidi="fr-FR"/>
              </w:rPr>
            </w:pPr>
            <w:r w:rsidRPr="004E13E9">
              <w:rPr>
                <w:b/>
                <w:sz w:val="16"/>
                <w:szCs w:val="16"/>
                <w:lang w:bidi="fr-FR"/>
              </w:rPr>
              <w:t>0</w:t>
            </w:r>
          </w:p>
        </w:tc>
      </w:tr>
      <w:tr w:rsidR="00654430" w:rsidRPr="004E13E9" w14:paraId="30885DC5" w14:textId="77777777" w:rsidTr="00E62E84">
        <w:trPr>
          <w:trHeight w:val="20"/>
        </w:trPr>
        <w:tc>
          <w:tcPr>
            <w:tcW w:w="1179" w:type="pct"/>
            <w:tcBorders>
              <w:top w:val="single" w:sz="4" w:space="0" w:color="auto"/>
              <w:left w:val="single" w:sz="4" w:space="0" w:color="auto"/>
              <w:bottom w:val="single" w:sz="4" w:space="0" w:color="auto"/>
              <w:right w:val="single" w:sz="4" w:space="0" w:color="auto"/>
            </w:tcBorders>
            <w:vAlign w:val="center"/>
            <w:hideMark/>
          </w:tcPr>
          <w:p w14:paraId="16473C33" w14:textId="77777777" w:rsidR="00654430" w:rsidRPr="004E13E9" w:rsidRDefault="00654430" w:rsidP="00E62E84">
            <w:pPr>
              <w:rPr>
                <w:b/>
                <w:bCs/>
                <w:sz w:val="16"/>
                <w:szCs w:val="16"/>
                <w:lang w:bidi="fr-FR"/>
              </w:rPr>
            </w:pPr>
            <w:r w:rsidRPr="004E13E9">
              <w:rPr>
                <w:b/>
                <w:sz w:val="16"/>
                <w:szCs w:val="16"/>
                <w:lang w:bidi="fr-FR"/>
              </w:rPr>
              <w:t>Quota disponible</w:t>
            </w:r>
          </w:p>
        </w:tc>
        <w:tc>
          <w:tcPr>
            <w:tcW w:w="597" w:type="pct"/>
            <w:tcBorders>
              <w:top w:val="single" w:sz="4" w:space="0" w:color="auto"/>
              <w:left w:val="single" w:sz="4" w:space="0" w:color="auto"/>
              <w:bottom w:val="single" w:sz="4" w:space="0" w:color="auto"/>
              <w:right w:val="single" w:sz="4" w:space="0" w:color="auto"/>
            </w:tcBorders>
            <w:noWrap/>
            <w:vAlign w:val="center"/>
          </w:tcPr>
          <w:p w14:paraId="45DD2EB8" w14:textId="77777777" w:rsidR="00654430" w:rsidRPr="004E13E9" w:rsidRDefault="00654430" w:rsidP="00E62E84">
            <w:pPr>
              <w:rPr>
                <w:b/>
                <w:bCs/>
                <w:sz w:val="16"/>
                <w:szCs w:val="16"/>
                <w:lang w:bidi="fr-FR"/>
              </w:rPr>
            </w:pPr>
          </w:p>
        </w:tc>
        <w:tc>
          <w:tcPr>
            <w:tcW w:w="204" w:type="pct"/>
            <w:gridSpan w:val="2"/>
            <w:tcBorders>
              <w:top w:val="single" w:sz="4" w:space="0" w:color="auto"/>
              <w:left w:val="single" w:sz="4" w:space="0" w:color="auto"/>
              <w:bottom w:val="single" w:sz="4" w:space="0" w:color="auto"/>
              <w:right w:val="single" w:sz="4" w:space="0" w:color="auto"/>
            </w:tcBorders>
          </w:tcPr>
          <w:p w14:paraId="5156198A" w14:textId="77777777" w:rsidR="00654430" w:rsidRPr="004E13E9" w:rsidRDefault="00654430" w:rsidP="00E62E84">
            <w:pPr>
              <w:rPr>
                <w:b/>
                <w:bCs/>
                <w:sz w:val="16"/>
                <w:szCs w:val="16"/>
                <w:lang w:bidi="fr-FR"/>
              </w:rPr>
            </w:pPr>
          </w:p>
        </w:tc>
        <w:tc>
          <w:tcPr>
            <w:tcW w:w="213" w:type="pct"/>
            <w:tcBorders>
              <w:top w:val="single" w:sz="4" w:space="0" w:color="auto"/>
              <w:left w:val="single" w:sz="4" w:space="0" w:color="auto"/>
              <w:bottom w:val="single" w:sz="4" w:space="0" w:color="auto"/>
              <w:right w:val="single" w:sz="4" w:space="0" w:color="auto"/>
            </w:tcBorders>
            <w:noWrap/>
            <w:vAlign w:val="center"/>
          </w:tcPr>
          <w:p w14:paraId="6F1EB505" w14:textId="77777777" w:rsidR="00654430" w:rsidRPr="004E13E9" w:rsidRDefault="00654430" w:rsidP="00E62E84">
            <w:pPr>
              <w:rPr>
                <w:b/>
                <w:bCs/>
                <w:sz w:val="16"/>
                <w:szCs w:val="16"/>
                <w:lang w:bidi="fr-FR"/>
              </w:rPr>
            </w:pPr>
          </w:p>
        </w:tc>
        <w:tc>
          <w:tcPr>
            <w:tcW w:w="214" w:type="pct"/>
            <w:tcBorders>
              <w:top w:val="single" w:sz="4" w:space="0" w:color="auto"/>
              <w:left w:val="single" w:sz="4" w:space="0" w:color="auto"/>
              <w:bottom w:val="single" w:sz="4" w:space="0" w:color="auto"/>
              <w:right w:val="single" w:sz="4" w:space="0" w:color="auto"/>
            </w:tcBorders>
            <w:vAlign w:val="center"/>
          </w:tcPr>
          <w:p w14:paraId="0813849E" w14:textId="77777777" w:rsidR="00654430" w:rsidRPr="004E13E9" w:rsidRDefault="00654430" w:rsidP="00E62E84">
            <w:pPr>
              <w:rPr>
                <w:b/>
                <w:bCs/>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tcPr>
          <w:p w14:paraId="6FD3685A" w14:textId="77777777" w:rsidR="00654430" w:rsidRPr="004E13E9" w:rsidRDefault="00654430" w:rsidP="00E62E84">
            <w:pPr>
              <w:rPr>
                <w:b/>
                <w:bCs/>
                <w:sz w:val="16"/>
                <w:szCs w:val="16"/>
                <w:lang w:bidi="fr-FR"/>
              </w:rPr>
            </w:pPr>
          </w:p>
        </w:tc>
        <w:tc>
          <w:tcPr>
            <w:tcW w:w="213" w:type="pct"/>
            <w:tcBorders>
              <w:top w:val="single" w:sz="4" w:space="0" w:color="auto"/>
              <w:left w:val="single" w:sz="4" w:space="0" w:color="auto"/>
              <w:bottom w:val="single" w:sz="4" w:space="0" w:color="auto"/>
              <w:right w:val="single" w:sz="4" w:space="0" w:color="auto"/>
            </w:tcBorders>
            <w:vAlign w:val="center"/>
          </w:tcPr>
          <w:p w14:paraId="1C57456D" w14:textId="77777777" w:rsidR="00654430" w:rsidRPr="004E13E9" w:rsidRDefault="00654430" w:rsidP="00E62E84">
            <w:pPr>
              <w:rPr>
                <w:b/>
                <w:bCs/>
                <w:sz w:val="16"/>
                <w:szCs w:val="16"/>
                <w:lang w:bidi="fr-FR"/>
              </w:rPr>
            </w:pPr>
          </w:p>
        </w:tc>
        <w:tc>
          <w:tcPr>
            <w:tcW w:w="213" w:type="pct"/>
            <w:tcBorders>
              <w:top w:val="single" w:sz="4" w:space="0" w:color="auto"/>
              <w:left w:val="single" w:sz="4" w:space="0" w:color="auto"/>
              <w:bottom w:val="single" w:sz="4" w:space="0" w:color="auto"/>
              <w:right w:val="single" w:sz="4" w:space="0" w:color="auto"/>
            </w:tcBorders>
          </w:tcPr>
          <w:p w14:paraId="5B0F1C78" w14:textId="77777777" w:rsidR="00654430" w:rsidRPr="004E13E9" w:rsidRDefault="00654430" w:rsidP="00E62E84">
            <w:pPr>
              <w:rPr>
                <w:b/>
                <w:bCs/>
                <w:sz w:val="16"/>
                <w:szCs w:val="16"/>
                <w:lang w:bidi="fr-FR"/>
              </w:rPr>
            </w:pPr>
          </w:p>
        </w:tc>
        <w:tc>
          <w:tcPr>
            <w:tcW w:w="214" w:type="pct"/>
            <w:tcBorders>
              <w:top w:val="single" w:sz="4" w:space="0" w:color="auto"/>
              <w:left w:val="single" w:sz="4" w:space="0" w:color="auto"/>
              <w:bottom w:val="single" w:sz="4" w:space="0" w:color="auto"/>
              <w:right w:val="single" w:sz="4" w:space="0" w:color="auto"/>
            </w:tcBorders>
          </w:tcPr>
          <w:p w14:paraId="6DC4186F" w14:textId="77777777" w:rsidR="00654430" w:rsidRPr="004E13E9" w:rsidRDefault="00654430" w:rsidP="00E62E84">
            <w:pPr>
              <w:rPr>
                <w:sz w:val="16"/>
                <w:szCs w:val="16"/>
                <w:lang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tcPr>
          <w:p w14:paraId="16EA494C" w14:textId="77777777" w:rsidR="00654430" w:rsidRPr="004E13E9" w:rsidRDefault="00654430" w:rsidP="00E62E84">
            <w:pPr>
              <w:rPr>
                <w:b/>
                <w:bCs/>
                <w:sz w:val="16"/>
                <w:szCs w:val="16"/>
                <w:lang w:bidi="fr-FR"/>
              </w:rPr>
            </w:pPr>
          </w:p>
        </w:tc>
        <w:tc>
          <w:tcPr>
            <w:tcW w:w="208" w:type="pct"/>
            <w:tcBorders>
              <w:top w:val="single" w:sz="4" w:space="0" w:color="auto"/>
              <w:left w:val="single" w:sz="4" w:space="0" w:color="auto"/>
              <w:bottom w:val="single" w:sz="4" w:space="0" w:color="auto"/>
              <w:right w:val="single" w:sz="4" w:space="0" w:color="auto"/>
            </w:tcBorders>
            <w:hideMark/>
          </w:tcPr>
          <w:p w14:paraId="350A9C89" w14:textId="77777777" w:rsidR="00654430" w:rsidRPr="004E13E9" w:rsidRDefault="00654430" w:rsidP="00E62E84">
            <w:pPr>
              <w:rPr>
                <w:b/>
                <w:bCs/>
                <w:sz w:val="16"/>
                <w:szCs w:val="16"/>
                <w:lang w:bidi="fr-FR"/>
              </w:rPr>
            </w:pPr>
            <w:r w:rsidRPr="004E13E9">
              <w:rPr>
                <w:b/>
                <w:sz w:val="16"/>
                <w:szCs w:val="16"/>
                <w:lang w:bidi="fr-F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732408E3" w14:textId="77777777" w:rsidR="00654430" w:rsidRPr="004E13E9" w:rsidRDefault="00654430" w:rsidP="00E62E84">
            <w:pPr>
              <w:jc w:val="center"/>
              <w:rPr>
                <w:b/>
                <w:bCs/>
                <w:sz w:val="16"/>
                <w:szCs w:val="16"/>
                <w:lang w:bidi="fr-FR"/>
              </w:rPr>
            </w:pPr>
            <w:r w:rsidRPr="004E13E9">
              <w:rPr>
                <w:b/>
                <w:sz w:val="16"/>
                <w:szCs w:val="16"/>
                <w:lang w:bidi="fr-FR"/>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4875D37E" w14:textId="77777777" w:rsidR="00654430" w:rsidRPr="004E13E9" w:rsidRDefault="00654430" w:rsidP="00E62E84">
            <w:pPr>
              <w:jc w:val="center"/>
              <w:rPr>
                <w:b/>
                <w:bCs/>
                <w:sz w:val="16"/>
                <w:szCs w:val="16"/>
                <w:lang w:bidi="fr-FR"/>
              </w:rPr>
            </w:pPr>
            <w:r w:rsidRPr="004E13E9">
              <w:rPr>
                <w:b/>
                <w:sz w:val="16"/>
                <w:szCs w:val="16"/>
                <w:lang w:bidi="fr-FR"/>
              </w:rPr>
              <w:t>66</w:t>
            </w: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6B3F5952" w14:textId="77777777" w:rsidR="00654430" w:rsidRPr="004E13E9" w:rsidRDefault="00654430" w:rsidP="00E62E84">
            <w:pPr>
              <w:jc w:val="center"/>
              <w:rPr>
                <w:b/>
                <w:bCs/>
                <w:sz w:val="16"/>
                <w:szCs w:val="16"/>
                <w:lang w:bidi="fr-FR"/>
              </w:rPr>
            </w:pPr>
            <w:r w:rsidRPr="004E13E9">
              <w:rPr>
                <w:b/>
                <w:sz w:val="16"/>
                <w:szCs w:val="16"/>
                <w:lang w:bidi="fr-FR"/>
              </w:rPr>
              <w:t>0</w:t>
            </w:r>
          </w:p>
        </w:tc>
        <w:tc>
          <w:tcPr>
            <w:tcW w:w="263" w:type="pct"/>
            <w:tcBorders>
              <w:top w:val="single" w:sz="4" w:space="0" w:color="auto"/>
              <w:left w:val="single" w:sz="4" w:space="0" w:color="auto"/>
              <w:bottom w:val="single" w:sz="4" w:space="0" w:color="auto"/>
              <w:right w:val="single" w:sz="4" w:space="0" w:color="auto"/>
            </w:tcBorders>
            <w:noWrap/>
            <w:vAlign w:val="center"/>
            <w:hideMark/>
          </w:tcPr>
          <w:p w14:paraId="785282BE" w14:textId="77777777" w:rsidR="00654430" w:rsidRPr="004E13E9" w:rsidRDefault="00654430" w:rsidP="00E62E84">
            <w:pPr>
              <w:jc w:val="center"/>
              <w:rPr>
                <w:b/>
                <w:bCs/>
                <w:sz w:val="16"/>
                <w:szCs w:val="16"/>
                <w:lang w:bidi="fr-FR"/>
              </w:rPr>
            </w:pPr>
            <w:r w:rsidRPr="004E13E9">
              <w:rPr>
                <w:b/>
                <w:sz w:val="16"/>
                <w:szCs w:val="16"/>
                <w:lang w:bidi="fr-FR"/>
              </w:rPr>
              <w:t>128</w:t>
            </w:r>
          </w:p>
        </w:tc>
        <w:tc>
          <w:tcPr>
            <w:tcW w:w="213" w:type="pct"/>
            <w:tcBorders>
              <w:top w:val="single" w:sz="4" w:space="0" w:color="auto"/>
              <w:left w:val="single" w:sz="4" w:space="0" w:color="auto"/>
              <w:bottom w:val="single" w:sz="4" w:space="0" w:color="auto"/>
              <w:right w:val="single" w:sz="4" w:space="0" w:color="auto"/>
            </w:tcBorders>
            <w:noWrap/>
            <w:vAlign w:val="center"/>
            <w:hideMark/>
          </w:tcPr>
          <w:p w14:paraId="106E98DB" w14:textId="77777777" w:rsidR="00654430" w:rsidRPr="004E13E9" w:rsidRDefault="00654430" w:rsidP="00E62E84">
            <w:pPr>
              <w:jc w:val="center"/>
              <w:rPr>
                <w:b/>
                <w:bCs/>
                <w:sz w:val="16"/>
                <w:szCs w:val="16"/>
                <w:lang w:bidi="fr-FR"/>
              </w:rPr>
            </w:pPr>
            <w:r w:rsidRPr="004E13E9">
              <w:rPr>
                <w:b/>
                <w:sz w:val="16"/>
                <w:szCs w:val="16"/>
                <w:lang w:bidi="fr-FR"/>
              </w:rPr>
              <w:t>0</w:t>
            </w:r>
          </w:p>
        </w:tc>
        <w:tc>
          <w:tcPr>
            <w:tcW w:w="277" w:type="pct"/>
            <w:tcBorders>
              <w:top w:val="single" w:sz="4" w:space="0" w:color="auto"/>
              <w:left w:val="single" w:sz="4" w:space="0" w:color="auto"/>
              <w:bottom w:val="single" w:sz="4" w:space="0" w:color="auto"/>
              <w:right w:val="single" w:sz="4" w:space="0" w:color="auto"/>
            </w:tcBorders>
            <w:vAlign w:val="center"/>
            <w:hideMark/>
          </w:tcPr>
          <w:p w14:paraId="7DEAB756" w14:textId="77777777" w:rsidR="00654430" w:rsidRPr="004E13E9" w:rsidRDefault="00654430" w:rsidP="00E62E84">
            <w:pPr>
              <w:jc w:val="center"/>
              <w:rPr>
                <w:b/>
                <w:bCs/>
                <w:sz w:val="16"/>
                <w:szCs w:val="16"/>
                <w:lang w:bidi="fr-FR"/>
              </w:rPr>
            </w:pPr>
            <w:r w:rsidRPr="004E13E9">
              <w:rPr>
                <w:b/>
                <w:sz w:val="16"/>
                <w:szCs w:val="16"/>
                <w:lang w:bidi="fr-FR"/>
              </w:rPr>
              <w:t>237</w:t>
            </w:r>
          </w:p>
        </w:tc>
      </w:tr>
      <w:tr w:rsidR="00654430" w:rsidRPr="004E13E9" w14:paraId="5E4F6FEE" w14:textId="77777777" w:rsidTr="00E62E84">
        <w:trPr>
          <w:trHeight w:val="309"/>
        </w:trPr>
        <w:tc>
          <w:tcPr>
            <w:tcW w:w="1179"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A822E65" w14:textId="77777777" w:rsidR="00654430" w:rsidRPr="004E13E9" w:rsidRDefault="00654430" w:rsidP="00E62E84">
            <w:pPr>
              <w:rPr>
                <w:b/>
                <w:sz w:val="16"/>
                <w:szCs w:val="16"/>
                <w:lang w:bidi="fr-FR"/>
              </w:rPr>
            </w:pPr>
            <w:r w:rsidRPr="004E13E9">
              <w:rPr>
                <w:b/>
                <w:sz w:val="16"/>
                <w:szCs w:val="16"/>
                <w:lang w:bidi="fr-FR"/>
              </w:rPr>
              <w:t>Sous/</w:t>
            </w:r>
            <w:proofErr w:type="spellStart"/>
            <w:r w:rsidRPr="004E13E9">
              <w:rPr>
                <w:b/>
                <w:sz w:val="16"/>
                <w:szCs w:val="16"/>
                <w:lang w:bidi="fr-FR"/>
              </w:rPr>
              <w:t>surcapacité</w:t>
            </w:r>
            <w:proofErr w:type="spellEnd"/>
          </w:p>
        </w:tc>
        <w:tc>
          <w:tcPr>
            <w:tcW w:w="597"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6F3AE51B" w14:textId="77777777" w:rsidR="00654430" w:rsidRPr="004E13E9" w:rsidRDefault="00654430" w:rsidP="00E62E84">
            <w:pPr>
              <w:rPr>
                <w:sz w:val="16"/>
                <w:szCs w:val="16"/>
                <w:lang w:bidi="fr-FR"/>
              </w:rPr>
            </w:pPr>
            <w:r w:rsidRPr="004E13E9">
              <w:rPr>
                <w:sz w:val="16"/>
                <w:szCs w:val="16"/>
                <w:lang w:bidi="fr-FR"/>
              </w:rPr>
              <w:t> </w:t>
            </w:r>
          </w:p>
        </w:tc>
        <w:tc>
          <w:tcPr>
            <w:tcW w:w="204" w:type="pct"/>
            <w:gridSpan w:val="2"/>
            <w:tcBorders>
              <w:top w:val="single" w:sz="4" w:space="0" w:color="auto"/>
              <w:left w:val="single" w:sz="4" w:space="0" w:color="auto"/>
              <w:bottom w:val="single" w:sz="4" w:space="0" w:color="auto"/>
              <w:right w:val="single" w:sz="4" w:space="0" w:color="auto"/>
            </w:tcBorders>
            <w:shd w:val="clear" w:color="auto" w:fill="D9D9D9"/>
          </w:tcPr>
          <w:p w14:paraId="417425EF"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FE015AC" w14:textId="77777777" w:rsidR="00654430" w:rsidRPr="004E13E9" w:rsidRDefault="00654430" w:rsidP="00E62E84">
            <w:pPr>
              <w:rPr>
                <w:sz w:val="16"/>
                <w:szCs w:val="16"/>
                <w:lang w:bidi="fr-FR"/>
              </w:rPr>
            </w:pPr>
            <w:r w:rsidRPr="004E13E9">
              <w:rPr>
                <w:sz w:val="16"/>
                <w:szCs w:val="16"/>
                <w:lang w:bidi="fr-FR"/>
              </w:rPr>
              <w:t> </w:t>
            </w:r>
          </w:p>
        </w:tc>
        <w:tc>
          <w:tcPr>
            <w:tcW w:w="21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2AC24C6"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10BB019"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86F85C6" w14:textId="77777777" w:rsidR="00654430" w:rsidRPr="004E13E9" w:rsidRDefault="00654430" w:rsidP="00E62E84">
            <w:pPr>
              <w:rPr>
                <w:sz w:val="16"/>
                <w:szCs w:val="16"/>
                <w:lang w:bidi="fr-FR"/>
              </w:rPr>
            </w:pPr>
            <w:r w:rsidRPr="004E13E9">
              <w:rPr>
                <w:sz w:val="16"/>
                <w:szCs w:val="16"/>
                <w:lang w:bidi="fr-FR"/>
              </w:rPr>
              <w:t> </w:t>
            </w:r>
          </w:p>
        </w:tc>
        <w:tc>
          <w:tcPr>
            <w:tcW w:w="213" w:type="pct"/>
            <w:tcBorders>
              <w:top w:val="single" w:sz="4" w:space="0" w:color="auto"/>
              <w:left w:val="single" w:sz="4" w:space="0" w:color="auto"/>
              <w:bottom w:val="single" w:sz="4" w:space="0" w:color="auto"/>
              <w:right w:val="single" w:sz="4" w:space="0" w:color="auto"/>
            </w:tcBorders>
            <w:shd w:val="clear" w:color="auto" w:fill="D9D9D9"/>
          </w:tcPr>
          <w:p w14:paraId="796BDCD6" w14:textId="77777777" w:rsidR="00654430" w:rsidRPr="004E13E9" w:rsidRDefault="00654430" w:rsidP="00E62E84">
            <w:pPr>
              <w:rPr>
                <w:sz w:val="16"/>
                <w:szCs w:val="16"/>
                <w:lang w:bidi="fr-FR"/>
              </w:rPr>
            </w:pPr>
          </w:p>
        </w:tc>
        <w:tc>
          <w:tcPr>
            <w:tcW w:w="214" w:type="pct"/>
            <w:tcBorders>
              <w:top w:val="single" w:sz="4" w:space="0" w:color="auto"/>
              <w:left w:val="single" w:sz="4" w:space="0" w:color="auto"/>
              <w:bottom w:val="single" w:sz="4" w:space="0" w:color="auto"/>
              <w:right w:val="single" w:sz="4" w:space="0" w:color="auto"/>
            </w:tcBorders>
            <w:shd w:val="clear" w:color="auto" w:fill="D9D9D9"/>
          </w:tcPr>
          <w:p w14:paraId="3A03EAC3" w14:textId="77777777" w:rsidR="00654430" w:rsidRPr="004E13E9" w:rsidRDefault="00654430" w:rsidP="00E62E84">
            <w:pPr>
              <w:rPr>
                <w:sz w:val="16"/>
                <w:szCs w:val="16"/>
                <w:lang w:bidi="fr-FR"/>
              </w:rPr>
            </w:pPr>
          </w:p>
        </w:tc>
        <w:tc>
          <w:tcPr>
            <w:tcW w:w="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3521FC5" w14:textId="77777777" w:rsidR="00654430" w:rsidRPr="004E13E9" w:rsidRDefault="00654430" w:rsidP="00E62E84">
            <w:pPr>
              <w:rPr>
                <w:sz w:val="16"/>
                <w:szCs w:val="16"/>
                <w:lang w:bidi="fr-FR"/>
              </w:rPr>
            </w:pPr>
            <w:r w:rsidRPr="004E13E9">
              <w:rPr>
                <w:sz w:val="16"/>
                <w:szCs w:val="16"/>
                <w:lang w:bidi="fr-FR"/>
              </w:rPr>
              <w:t> </w:t>
            </w:r>
          </w:p>
        </w:tc>
        <w:tc>
          <w:tcPr>
            <w:tcW w:w="208" w:type="pct"/>
            <w:tcBorders>
              <w:top w:val="single" w:sz="4" w:space="0" w:color="auto"/>
              <w:left w:val="single" w:sz="4" w:space="0" w:color="auto"/>
              <w:bottom w:val="single" w:sz="4" w:space="0" w:color="auto"/>
              <w:right w:val="single" w:sz="4" w:space="0" w:color="auto"/>
            </w:tcBorders>
            <w:shd w:val="clear" w:color="auto" w:fill="D9D9D9"/>
          </w:tcPr>
          <w:p w14:paraId="409995BE" w14:textId="77777777" w:rsidR="00654430" w:rsidRPr="004E13E9" w:rsidRDefault="00654430" w:rsidP="00E62E84">
            <w:pPr>
              <w:rPr>
                <w:sz w:val="16"/>
                <w:szCs w:val="16"/>
                <w:lang w:bidi="fr-FR"/>
              </w:rPr>
            </w:pPr>
          </w:p>
        </w:tc>
        <w:tc>
          <w:tcPr>
            <w:tcW w:w="21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F12774F" w14:textId="77777777" w:rsidR="00654430" w:rsidRPr="004E13E9" w:rsidRDefault="00654430" w:rsidP="00E62E84">
            <w:pPr>
              <w:jc w:val="center"/>
              <w:rPr>
                <w:sz w:val="16"/>
                <w:szCs w:val="16"/>
                <w:lang w:bidi="fr-FR"/>
              </w:rPr>
            </w:pPr>
          </w:p>
        </w:tc>
        <w:tc>
          <w:tcPr>
            <w:tcW w:w="26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277F102" w14:textId="77777777" w:rsidR="00654430" w:rsidRPr="004E13E9" w:rsidRDefault="00654430" w:rsidP="00E62E84">
            <w:pPr>
              <w:jc w:val="center"/>
              <w:rPr>
                <w:sz w:val="16"/>
                <w:szCs w:val="16"/>
                <w:lang w:bidi="fr-FR"/>
              </w:rPr>
            </w:pPr>
            <w:r w:rsidRPr="004E13E9">
              <w:rPr>
                <w:sz w:val="16"/>
                <w:szCs w:val="16"/>
                <w:lang w:bidi="fr-FR"/>
              </w:rPr>
              <w:t>-32,32</w:t>
            </w:r>
          </w:p>
        </w:tc>
        <w:tc>
          <w:tcPr>
            <w:tcW w:w="21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E65B55E" w14:textId="77777777" w:rsidR="00654430" w:rsidRPr="004E13E9" w:rsidRDefault="00654430" w:rsidP="00E62E84">
            <w:pPr>
              <w:jc w:val="center"/>
              <w:rPr>
                <w:sz w:val="16"/>
                <w:szCs w:val="16"/>
                <w:lang w:bidi="fr-FR"/>
              </w:rPr>
            </w:pPr>
            <w:r w:rsidRPr="004E13E9">
              <w:rPr>
                <w:sz w:val="16"/>
                <w:szCs w:val="16"/>
                <w:lang w:bidi="fr-FR"/>
              </w:rPr>
              <w:t>0</w:t>
            </w:r>
          </w:p>
        </w:tc>
        <w:tc>
          <w:tcPr>
            <w:tcW w:w="26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EEB903F" w14:textId="77777777" w:rsidR="00654430" w:rsidRPr="004E13E9" w:rsidRDefault="00654430" w:rsidP="00E62E84">
            <w:pPr>
              <w:jc w:val="center"/>
              <w:rPr>
                <w:sz w:val="16"/>
                <w:szCs w:val="16"/>
                <w:lang w:bidi="fr-FR"/>
              </w:rPr>
            </w:pPr>
            <w:r w:rsidRPr="004E13E9">
              <w:rPr>
                <w:sz w:val="16"/>
                <w:szCs w:val="16"/>
                <w:lang w:bidi="fr-FR"/>
              </w:rPr>
              <w:t>-94,32</w:t>
            </w:r>
          </w:p>
        </w:tc>
        <w:tc>
          <w:tcPr>
            <w:tcW w:w="21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E098418" w14:textId="77777777" w:rsidR="00654430" w:rsidRPr="004E13E9" w:rsidRDefault="00654430" w:rsidP="00E62E84">
            <w:pPr>
              <w:jc w:val="center"/>
              <w:rPr>
                <w:sz w:val="16"/>
                <w:szCs w:val="16"/>
                <w:lang w:bidi="fr-FR"/>
              </w:rPr>
            </w:pPr>
            <w:r w:rsidRPr="004E13E9">
              <w:rPr>
                <w:sz w:val="16"/>
                <w:szCs w:val="16"/>
                <w:lang w:bidi="fr-FR"/>
              </w:rPr>
              <w:t>0</w:t>
            </w:r>
          </w:p>
        </w:tc>
        <w:tc>
          <w:tcPr>
            <w:tcW w:w="27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E1D8A4C" w14:textId="77777777" w:rsidR="00654430" w:rsidRPr="004E13E9" w:rsidRDefault="00654430" w:rsidP="00E62E84">
            <w:pPr>
              <w:jc w:val="center"/>
              <w:rPr>
                <w:sz w:val="16"/>
                <w:szCs w:val="16"/>
                <w:lang w:bidi="fr-FR"/>
              </w:rPr>
            </w:pPr>
            <w:r w:rsidRPr="004E13E9">
              <w:rPr>
                <w:rFonts w:eastAsia="Times New Roman" w:cs="Calibri"/>
                <w:sz w:val="16"/>
                <w:szCs w:val="16"/>
                <w:lang w:eastAsia="ja-JP" w:bidi="ar-MA"/>
              </w:rPr>
              <w:t>-20,3</w:t>
            </w:r>
          </w:p>
        </w:tc>
      </w:tr>
    </w:tbl>
    <w:p w14:paraId="2885F400" w14:textId="77777777" w:rsidR="00654430" w:rsidRPr="004E13E9" w:rsidRDefault="00654430" w:rsidP="00654430">
      <w:pPr>
        <w:rPr>
          <w:sz w:val="16"/>
          <w:szCs w:val="16"/>
        </w:rPr>
      </w:pPr>
    </w:p>
    <w:p w14:paraId="06777B8D" w14:textId="77777777" w:rsidR="00C154F1" w:rsidRPr="004E13E9" w:rsidRDefault="00C154F1">
      <w:pPr>
        <w:rPr>
          <w:lang w:val="pt-PT"/>
        </w:rPr>
      </w:pPr>
    </w:p>
    <w:p w14:paraId="661DFE21" w14:textId="77777777" w:rsidR="00934E2D" w:rsidRPr="004E13E9" w:rsidRDefault="00934E2D" w:rsidP="00934E2D">
      <w:pPr>
        <w:rPr>
          <w:lang w:val="pt-PT"/>
        </w:rPr>
      </w:pPr>
      <w:r w:rsidRPr="004E13E9">
        <w:rPr>
          <w:lang w:val="pt-PT"/>
        </w:rPr>
        <w:br w:type="page"/>
      </w:r>
    </w:p>
    <w:p w14:paraId="27AB3425" w14:textId="77777777" w:rsidR="00934E2D" w:rsidRPr="004E13E9" w:rsidRDefault="00934E2D" w:rsidP="00934E2D">
      <w:pPr>
        <w:rPr>
          <w:lang w:val="pt-PT"/>
        </w:rPr>
        <w:sectPr w:rsidR="00934E2D" w:rsidRPr="004E13E9" w:rsidSect="00654430">
          <w:footnotePr>
            <w:numFmt w:val="chicago"/>
          </w:footnotePr>
          <w:pgSz w:w="16840" w:h="11907" w:orient="landscape" w:code="9"/>
          <w:pgMar w:top="1418" w:right="1418" w:bottom="1418" w:left="1418" w:header="851" w:footer="1134" w:gutter="0"/>
          <w:cols w:space="720"/>
          <w:docGrid w:linePitch="272"/>
        </w:sectPr>
      </w:pPr>
    </w:p>
    <w:p w14:paraId="52B336D0" w14:textId="52A6EC3B" w:rsidR="00936B71" w:rsidRPr="004E13E9" w:rsidRDefault="00936B71" w:rsidP="00936B71">
      <w:pPr>
        <w:rPr>
          <w:lang w:val="fr-FR" w:eastAsia="en-GB"/>
        </w:rPr>
      </w:pPr>
      <w:r w:rsidRPr="004E13E9">
        <w:rPr>
          <w:b/>
          <w:bCs/>
          <w:lang w:val="fr-FR" w:eastAsia="en-GB"/>
        </w:rPr>
        <w:t>Tunisie</w:t>
      </w:r>
    </w:p>
    <w:p w14:paraId="15D976E7" w14:textId="77777777" w:rsidR="00936B71" w:rsidRPr="004E13E9" w:rsidRDefault="00936B71">
      <w:pPr>
        <w:rPr>
          <w:lang w:val="fr-FR"/>
        </w:rPr>
      </w:pPr>
    </w:p>
    <w:p w14:paraId="6E9B0252" w14:textId="77777777" w:rsidR="007C1525" w:rsidRPr="004E13E9" w:rsidRDefault="007C1525" w:rsidP="007C4ADF">
      <w:pPr>
        <w:jc w:val="both"/>
        <w:rPr>
          <w:b/>
          <w:lang w:val="fr-FR"/>
        </w:rPr>
      </w:pPr>
      <w:r w:rsidRPr="004E13E9">
        <w:rPr>
          <w:b/>
          <w:lang w:val="fr-FR"/>
        </w:rPr>
        <w:t>Année du plan de pêche : 2026</w:t>
      </w:r>
    </w:p>
    <w:p w14:paraId="4BB4E485" w14:textId="77777777" w:rsidR="007C1525" w:rsidRPr="004E13E9" w:rsidRDefault="007C1525" w:rsidP="007C4ADF">
      <w:pPr>
        <w:jc w:val="both"/>
        <w:rPr>
          <w:bCs/>
          <w:color w:val="000000" w:themeColor="text1"/>
          <w:lang w:val="fr-FR"/>
        </w:rPr>
      </w:pPr>
    </w:p>
    <w:p w14:paraId="75AFAF56" w14:textId="77777777" w:rsidR="007C1525" w:rsidRPr="004E13E9" w:rsidRDefault="007C1525" w:rsidP="007C4ADF">
      <w:pPr>
        <w:jc w:val="both"/>
        <w:rPr>
          <w:bCs/>
          <w:color w:val="000000" w:themeColor="text1"/>
          <w:lang w:val="fr-FR"/>
        </w:rPr>
      </w:pPr>
      <w:r w:rsidRPr="004E13E9">
        <w:rPr>
          <w:bCs/>
          <w:color w:val="000000" w:themeColor="text1"/>
          <w:lang w:val="fr-FR"/>
        </w:rPr>
        <w:t xml:space="preserve">La Tunisie a établi ses plans de pêche, d’élevage, d'inspection et de gestion de la capacité pour le thon rouge au titre de l’année 2026 en vertu des dispositions de la </w:t>
      </w:r>
      <w:r w:rsidRPr="004E13E9">
        <w:rPr>
          <w:bCs/>
          <w:i/>
          <w:iCs/>
          <w:color w:val="000000" w:themeColor="text1"/>
          <w:lang w:val="fr-FR"/>
        </w:rPr>
        <w:t>Recommandation de l’ICCAT remplaçant la Recommandation 24-05 établissant un plan pluriannuel de gestion du thon rouge dans l’Atlantique Est et la Méditerranée</w:t>
      </w:r>
      <w:r w:rsidRPr="004E13E9">
        <w:rPr>
          <w:bCs/>
          <w:color w:val="000000" w:themeColor="text1"/>
          <w:lang w:val="fr-FR"/>
        </w:rPr>
        <w:t xml:space="preserve"> (Rec. 25-04).</w:t>
      </w:r>
    </w:p>
    <w:p w14:paraId="6FE65B18" w14:textId="77777777" w:rsidR="007C1525" w:rsidRPr="004E13E9" w:rsidRDefault="007C1525" w:rsidP="007C4ADF">
      <w:pPr>
        <w:jc w:val="both"/>
        <w:rPr>
          <w:lang w:val="fr-FR"/>
        </w:rPr>
      </w:pPr>
    </w:p>
    <w:p w14:paraId="73419470" w14:textId="77777777" w:rsidR="007C1525" w:rsidRPr="004E13E9" w:rsidRDefault="007C1525" w:rsidP="007C4ADF">
      <w:pPr>
        <w:ind w:left="426" w:hanging="426"/>
        <w:jc w:val="both"/>
        <w:rPr>
          <w:b/>
          <w:lang w:val="fr-FR"/>
        </w:rPr>
      </w:pPr>
      <w:r w:rsidRPr="004E13E9">
        <w:rPr>
          <w:b/>
          <w:lang w:val="fr-FR"/>
        </w:rPr>
        <w:t xml:space="preserve">1. </w:t>
      </w:r>
      <w:r w:rsidRPr="004E13E9">
        <w:rPr>
          <w:b/>
          <w:lang w:val="fr-FR"/>
        </w:rPr>
        <w:tab/>
        <w:t>Détails du plan annuel de pêche pour les navires de capture et les madragues</w:t>
      </w:r>
    </w:p>
    <w:p w14:paraId="35E87C1B" w14:textId="77777777" w:rsidR="007C1525" w:rsidRPr="004E13E9" w:rsidRDefault="007C1525" w:rsidP="007C4ADF">
      <w:pPr>
        <w:jc w:val="both"/>
        <w:rPr>
          <w:i/>
          <w:lang w:val="fr-FR"/>
        </w:rPr>
      </w:pPr>
    </w:p>
    <w:p w14:paraId="32EDF58C" w14:textId="77777777" w:rsidR="007C1525" w:rsidRPr="004E13E9" w:rsidRDefault="007C1525" w:rsidP="007C4ADF">
      <w:pPr>
        <w:jc w:val="both"/>
        <w:rPr>
          <w:b/>
          <w:bCs/>
          <w:i/>
          <w:iCs/>
          <w:lang w:val="fr-FR"/>
        </w:rPr>
      </w:pPr>
      <w:r w:rsidRPr="004E13E9">
        <w:rPr>
          <w:b/>
          <w:bCs/>
          <w:i/>
          <w:iCs/>
          <w:lang w:val="fr-FR"/>
        </w:rPr>
        <w:t>1a) Présentation (paragraphe 12)</w:t>
      </w:r>
    </w:p>
    <w:p w14:paraId="6DF1B840" w14:textId="77777777" w:rsidR="007C1525" w:rsidRPr="004E13E9" w:rsidRDefault="007C1525" w:rsidP="007C4ADF">
      <w:pPr>
        <w:jc w:val="both"/>
        <w:rPr>
          <w:lang w:val="fr-FR"/>
        </w:rPr>
      </w:pPr>
    </w:p>
    <w:p w14:paraId="6D365886" w14:textId="77777777" w:rsidR="007C1525" w:rsidRPr="004E13E9" w:rsidRDefault="007C1525" w:rsidP="007C4ADF">
      <w:pPr>
        <w:jc w:val="both"/>
        <w:rPr>
          <w:bCs/>
          <w:color w:val="000000" w:themeColor="text1"/>
          <w:lang w:val="fr-FR"/>
        </w:rPr>
      </w:pPr>
      <w:r w:rsidRPr="004E13E9">
        <w:rPr>
          <w:bCs/>
          <w:color w:val="000000" w:themeColor="text1"/>
          <w:lang w:val="fr-FR"/>
        </w:rPr>
        <w:t>Le quota de pêche de thon rouge de l’Atlantique Est et de la Méditerranée alloué à la Tunisie pour l’année 2026 est de 3.508,85 t (paragraphe 4 de la Rec. 25-04). Il est ajusté à 3.528,55 t en tenant compte du report de la sous-consommation de 19,7 t enregistrée en 2025 et expliquée ci-dessous.</w:t>
      </w:r>
    </w:p>
    <w:p w14:paraId="58EEEE76" w14:textId="77777777" w:rsidR="007C1525" w:rsidRPr="004E13E9" w:rsidRDefault="007C1525" w:rsidP="007C4ADF">
      <w:pPr>
        <w:jc w:val="both"/>
        <w:rPr>
          <w:bCs/>
          <w:color w:val="000000" w:themeColor="text1"/>
          <w:lang w:val="fr-FR"/>
        </w:rPr>
      </w:pPr>
    </w:p>
    <w:p w14:paraId="613F005A" w14:textId="77777777" w:rsidR="007C1525" w:rsidRPr="004E13E9" w:rsidRDefault="007C1525" w:rsidP="007C4ADF">
      <w:pPr>
        <w:jc w:val="both"/>
        <w:rPr>
          <w:bCs/>
          <w:color w:val="000000" w:themeColor="text1"/>
          <w:lang w:val="fr-FR"/>
        </w:rPr>
      </w:pPr>
      <w:r w:rsidRPr="004E13E9">
        <w:rPr>
          <w:color w:val="000000" w:themeColor="text1"/>
          <w:lang w:val="fr-FR"/>
        </w:rPr>
        <w:t xml:space="preserve">76 navires senneurs employant strictement la senne tournante exerceront activement la pêche au thon rouge durant la campagne de </w:t>
      </w:r>
      <w:r w:rsidRPr="004E13E9">
        <w:rPr>
          <w:bCs/>
          <w:color w:val="000000" w:themeColor="text1"/>
          <w:lang w:val="fr-FR"/>
        </w:rPr>
        <w:t>pêche 2026.</w:t>
      </w:r>
    </w:p>
    <w:p w14:paraId="48FD7495" w14:textId="77777777" w:rsidR="007C1525" w:rsidRPr="004E13E9" w:rsidRDefault="007C1525" w:rsidP="007C4ADF">
      <w:pPr>
        <w:jc w:val="both"/>
        <w:rPr>
          <w:bCs/>
          <w:color w:val="000000" w:themeColor="text1"/>
          <w:lang w:val="fr-FR"/>
        </w:rPr>
      </w:pPr>
    </w:p>
    <w:p w14:paraId="3E6E4395" w14:textId="77777777" w:rsidR="007C1525" w:rsidRPr="004E13E9" w:rsidRDefault="007C1525" w:rsidP="007C4ADF">
      <w:pPr>
        <w:jc w:val="both"/>
        <w:rPr>
          <w:bCs/>
          <w:color w:val="000000" w:themeColor="text1"/>
          <w:lang w:val="fr-FR"/>
        </w:rPr>
      </w:pPr>
      <w:r w:rsidRPr="004E13E9">
        <w:rPr>
          <w:bCs/>
          <w:color w:val="000000" w:themeColor="text1"/>
          <w:lang w:val="fr-FR"/>
        </w:rPr>
        <w:t>Conformément à la méthodologie établie par l’ICCAT (niveaux de capture et fourchettes de longueur), l’administration tunisienne fixera les quotas individuels.</w:t>
      </w:r>
    </w:p>
    <w:p w14:paraId="27238199" w14:textId="77777777" w:rsidR="007C1525" w:rsidRPr="004E13E9" w:rsidRDefault="007C1525" w:rsidP="007C4ADF">
      <w:pPr>
        <w:jc w:val="both"/>
        <w:rPr>
          <w:bCs/>
          <w:color w:val="000000" w:themeColor="text1"/>
          <w:lang w:val="fr-FR"/>
        </w:rPr>
      </w:pPr>
    </w:p>
    <w:p w14:paraId="182F9597" w14:textId="77777777" w:rsidR="007C1525" w:rsidRPr="004E13E9" w:rsidRDefault="007C1525" w:rsidP="007C4ADF">
      <w:pPr>
        <w:jc w:val="both"/>
        <w:rPr>
          <w:color w:val="000000" w:themeColor="text1"/>
          <w:lang w:val="fr-FR"/>
        </w:rPr>
      </w:pPr>
      <w:r w:rsidRPr="004E13E9">
        <w:rPr>
          <w:bCs/>
          <w:color w:val="000000" w:themeColor="text1"/>
          <w:lang w:val="fr-FR"/>
        </w:rPr>
        <w:t xml:space="preserve">A cette fin, la </w:t>
      </w:r>
      <w:r w:rsidRPr="004E13E9">
        <w:rPr>
          <w:color w:val="000000" w:themeColor="text1"/>
          <w:lang w:val="fr-FR"/>
        </w:rPr>
        <w:t>Tunisie délivrera en temps opportun les autorisations de pêche aux dits navires dont une liste sera déclarée à l’ICCAT dans les délais requis.</w:t>
      </w:r>
    </w:p>
    <w:p w14:paraId="748A6E83" w14:textId="77777777" w:rsidR="007C1525" w:rsidRPr="004E13E9" w:rsidRDefault="007C1525" w:rsidP="007C4ADF">
      <w:pPr>
        <w:jc w:val="both"/>
        <w:rPr>
          <w:color w:val="000000" w:themeColor="text1"/>
          <w:rtl/>
        </w:rPr>
      </w:pPr>
    </w:p>
    <w:p w14:paraId="7DBE7B51" w14:textId="77777777" w:rsidR="007C1525" w:rsidRPr="004E13E9" w:rsidRDefault="007C1525" w:rsidP="007C4ADF">
      <w:pPr>
        <w:jc w:val="both"/>
        <w:rPr>
          <w:color w:val="000000" w:themeColor="text1"/>
          <w:rtl/>
        </w:rPr>
      </w:pPr>
      <w:r w:rsidRPr="004E13E9">
        <w:rPr>
          <w:color w:val="000000" w:themeColor="text1"/>
          <w:lang w:val="fr-FR"/>
        </w:rPr>
        <w:t>Pour être en conformité avec les exigences de l’ICCAT, la Tunisie a adopté plusieurs mesures pour un suivi permanent et instantané du déroulement de la saison de pêche (paragraphe</w:t>
      </w:r>
      <w:r w:rsidRPr="004E13E9">
        <w:rPr>
          <w:bCs/>
          <w:color w:val="000000" w:themeColor="text1"/>
          <w:lang w:val="fr-FR"/>
        </w:rPr>
        <w:t xml:space="preserve"> 12 de la Rec. 25-04)</w:t>
      </w:r>
      <w:r w:rsidRPr="004E13E9">
        <w:rPr>
          <w:color w:val="000000" w:themeColor="text1"/>
          <w:lang w:val="fr-FR"/>
        </w:rPr>
        <w:t xml:space="preserve"> parmi lesquelles on note précisément le système de communication d’information entre les lieux de pêche et l’autorité compétente. </w:t>
      </w:r>
      <w:r w:rsidRPr="004E13E9">
        <w:rPr>
          <w:color w:val="000000" w:themeColor="text1"/>
        </w:rPr>
        <w:t xml:space="preserve">Ce </w:t>
      </w:r>
      <w:proofErr w:type="spellStart"/>
      <w:r w:rsidRPr="004E13E9">
        <w:rPr>
          <w:color w:val="000000" w:themeColor="text1"/>
        </w:rPr>
        <w:t>système</w:t>
      </w:r>
      <w:proofErr w:type="spellEnd"/>
      <w:r w:rsidRPr="004E13E9">
        <w:rPr>
          <w:color w:val="000000" w:themeColor="text1"/>
        </w:rPr>
        <w:t xml:space="preserve"> </w:t>
      </w:r>
      <w:proofErr w:type="spellStart"/>
      <w:r w:rsidRPr="004E13E9">
        <w:rPr>
          <w:color w:val="000000" w:themeColor="text1"/>
        </w:rPr>
        <w:t>garantit</w:t>
      </w:r>
      <w:proofErr w:type="spellEnd"/>
      <w:r w:rsidRPr="004E13E9">
        <w:rPr>
          <w:color w:val="000000" w:themeColor="text1"/>
        </w:rPr>
        <w:t xml:space="preserve"> dans </w:t>
      </w:r>
      <w:proofErr w:type="spellStart"/>
      <w:r w:rsidRPr="004E13E9">
        <w:rPr>
          <w:color w:val="000000" w:themeColor="text1"/>
        </w:rPr>
        <w:t>sa</w:t>
      </w:r>
      <w:proofErr w:type="spellEnd"/>
      <w:r w:rsidRPr="004E13E9">
        <w:rPr>
          <w:color w:val="000000" w:themeColor="text1"/>
        </w:rPr>
        <w:t xml:space="preserve"> première </w:t>
      </w:r>
      <w:proofErr w:type="spellStart"/>
      <w:proofErr w:type="gramStart"/>
      <w:r w:rsidRPr="004E13E9">
        <w:rPr>
          <w:color w:val="000000" w:themeColor="text1"/>
        </w:rPr>
        <w:t>approche</w:t>
      </w:r>
      <w:proofErr w:type="spellEnd"/>
      <w:r w:rsidRPr="004E13E9">
        <w:rPr>
          <w:color w:val="000000" w:themeColor="text1"/>
        </w:rPr>
        <w:t> :</w:t>
      </w:r>
      <w:proofErr w:type="gramEnd"/>
    </w:p>
    <w:p w14:paraId="0F8DC9A4" w14:textId="77777777" w:rsidR="007C1525" w:rsidRPr="004E13E9" w:rsidRDefault="007C1525" w:rsidP="007C4ADF">
      <w:pPr>
        <w:jc w:val="both"/>
        <w:rPr>
          <w:color w:val="000000" w:themeColor="text1"/>
        </w:rPr>
      </w:pPr>
    </w:p>
    <w:p w14:paraId="4D7D4BC1" w14:textId="77777777" w:rsidR="007C1525" w:rsidRPr="004E13E9" w:rsidRDefault="007C1525" w:rsidP="00487A5C">
      <w:pPr>
        <w:pStyle w:val="ListParagraph"/>
        <w:widowControl w:val="0"/>
        <w:numPr>
          <w:ilvl w:val="0"/>
          <w:numId w:val="49"/>
        </w:numPr>
        <w:spacing w:after="0" w:line="240" w:lineRule="auto"/>
        <w:jc w:val="both"/>
        <w:rPr>
          <w:rFonts w:ascii="Cambria" w:hAnsi="Cambria"/>
          <w:color w:val="000000" w:themeColor="text1"/>
          <w:sz w:val="20"/>
          <w:szCs w:val="20"/>
        </w:rPr>
      </w:pPr>
      <w:r w:rsidRPr="004E13E9">
        <w:rPr>
          <w:rFonts w:ascii="Cambria" w:hAnsi="Cambria"/>
          <w:color w:val="000000" w:themeColor="text1"/>
          <w:sz w:val="20"/>
          <w:szCs w:val="20"/>
        </w:rPr>
        <w:t>L’établissement au niveau central d’une base de données sur toutes les captures réalisées et acquisition d’un schéma clair sur la traçabilité des prises,</w:t>
      </w:r>
    </w:p>
    <w:p w14:paraId="5AD00746" w14:textId="77777777" w:rsidR="007C1525" w:rsidRPr="004E13E9" w:rsidRDefault="007C1525" w:rsidP="00487A5C">
      <w:pPr>
        <w:pStyle w:val="ListParagraph"/>
        <w:widowControl w:val="0"/>
        <w:numPr>
          <w:ilvl w:val="0"/>
          <w:numId w:val="49"/>
        </w:numPr>
        <w:spacing w:after="0" w:line="240" w:lineRule="auto"/>
        <w:jc w:val="both"/>
        <w:rPr>
          <w:rFonts w:ascii="Cambria" w:hAnsi="Cambria"/>
          <w:color w:val="000000" w:themeColor="text1"/>
          <w:sz w:val="20"/>
          <w:szCs w:val="20"/>
        </w:rPr>
      </w:pPr>
      <w:r w:rsidRPr="004E13E9">
        <w:rPr>
          <w:rFonts w:ascii="Cambria" w:hAnsi="Cambria"/>
          <w:color w:val="000000" w:themeColor="text1"/>
          <w:sz w:val="20"/>
          <w:szCs w:val="20"/>
        </w:rPr>
        <w:t>Le respect des quotas attribués aux navires de capture.</w:t>
      </w:r>
    </w:p>
    <w:p w14:paraId="79B3F24D" w14:textId="77777777" w:rsidR="007C1525" w:rsidRPr="004E13E9" w:rsidRDefault="007C1525" w:rsidP="007C4ADF">
      <w:pPr>
        <w:jc w:val="both"/>
        <w:rPr>
          <w:color w:val="000000" w:themeColor="text1"/>
          <w:rtl/>
          <w:lang w:bidi="ar-TN"/>
        </w:rPr>
      </w:pPr>
    </w:p>
    <w:p w14:paraId="07636711" w14:textId="77777777" w:rsidR="007C1525" w:rsidRPr="004E13E9" w:rsidRDefault="007C1525" w:rsidP="007C4ADF">
      <w:pPr>
        <w:jc w:val="both"/>
        <w:rPr>
          <w:color w:val="000000" w:themeColor="text1"/>
          <w:lang w:val="fr-FR"/>
        </w:rPr>
      </w:pPr>
      <w:r w:rsidRPr="004E13E9">
        <w:rPr>
          <w:color w:val="000000" w:themeColor="text1"/>
          <w:lang w:val="fr-FR"/>
        </w:rPr>
        <w:t>En outre, la législation nationale a tenu compte de la gestion de l’activité de pêche de thon rouge via la loi n°94-13 du 31 janvier 1994 relative à l’exercice de la pêche tel que modifiée et/ou complétée par la loi n°2013-34 du 21 septembre 2013 et la loi n° 2018-30 du 23 mai 2018 et leurs textes d’application, notamment l’Arrêté du ministre de l’Agriculture, des ressources hydrauliques et de la pêche du 7 avril 2025 relatif à l’organisation de la pêche de thon rouge et de son engraissement.</w:t>
      </w:r>
    </w:p>
    <w:p w14:paraId="0B75AAA8" w14:textId="77777777" w:rsidR="007C1525" w:rsidRPr="004E13E9" w:rsidRDefault="007C1525" w:rsidP="007C4ADF">
      <w:pPr>
        <w:jc w:val="both"/>
        <w:rPr>
          <w:lang w:val="fr-FR"/>
        </w:rPr>
      </w:pPr>
    </w:p>
    <w:p w14:paraId="3C209A57" w14:textId="77777777" w:rsidR="007C1525" w:rsidRPr="004E13E9" w:rsidRDefault="007C1525" w:rsidP="007C4ADF">
      <w:pPr>
        <w:jc w:val="both"/>
        <w:rPr>
          <w:b/>
          <w:bCs/>
          <w:i/>
          <w:iCs/>
          <w:lang w:val="fr-FR"/>
        </w:rPr>
      </w:pPr>
      <w:r w:rsidRPr="004E13E9">
        <w:rPr>
          <w:b/>
          <w:bCs/>
          <w:i/>
          <w:iCs/>
          <w:lang w:val="fr-FR"/>
        </w:rPr>
        <w:t>1b) Report (paragraphe 6)</w:t>
      </w:r>
    </w:p>
    <w:p w14:paraId="49CDD4FF" w14:textId="77777777" w:rsidR="007C1525" w:rsidRPr="004E13E9" w:rsidRDefault="007C1525" w:rsidP="007C4ADF">
      <w:pPr>
        <w:jc w:val="both"/>
        <w:rPr>
          <w:lang w:val="fr-FR"/>
        </w:rPr>
      </w:pPr>
    </w:p>
    <w:p w14:paraId="787108DC" w14:textId="77777777" w:rsidR="007C1525" w:rsidRPr="004E13E9" w:rsidRDefault="007C1525" w:rsidP="007C4ADF">
      <w:pPr>
        <w:jc w:val="both"/>
        <w:rPr>
          <w:iCs/>
          <w:color w:val="000000" w:themeColor="text1"/>
          <w:lang w:val="fr-FR"/>
        </w:rPr>
      </w:pPr>
      <w:r w:rsidRPr="004E13E9">
        <w:rPr>
          <w:iCs/>
          <w:color w:val="000000" w:themeColor="text1"/>
          <w:lang w:val="fr-FR"/>
        </w:rPr>
        <w:t>Une sous-consommation de 19,7 t, sur un total de 30 t réservées pour les prises accessoires, a été enregistrée en 2025. À cet effet, la Tunisie demande le report de cette sous-consommation (19,7 t) de 2025 à 2026 conformément au paragraphe 6 de la Rec. 25-04. Le quota total disponible pour la campagne de pêche de 2026 sera donc de 3.528,55 t distribuées comme suit :</w:t>
      </w:r>
    </w:p>
    <w:p w14:paraId="236DD20A" w14:textId="77777777" w:rsidR="007C1525" w:rsidRPr="004E13E9" w:rsidRDefault="007C1525" w:rsidP="007C4ADF">
      <w:pPr>
        <w:jc w:val="both"/>
        <w:rPr>
          <w:iCs/>
          <w:color w:val="000000" w:themeColor="text1"/>
          <w:lang w:val="fr-FR"/>
        </w:rPr>
      </w:pPr>
    </w:p>
    <w:p w14:paraId="471F95AF" w14:textId="77777777" w:rsidR="007C1525" w:rsidRPr="004E13E9" w:rsidRDefault="007C1525" w:rsidP="00487A5C">
      <w:pPr>
        <w:pStyle w:val="ListParagraph"/>
        <w:numPr>
          <w:ilvl w:val="0"/>
          <w:numId w:val="49"/>
        </w:numPr>
        <w:shd w:val="clear" w:color="auto" w:fill="FFFFFF" w:themeFill="background1"/>
        <w:spacing w:after="0" w:line="240" w:lineRule="auto"/>
        <w:jc w:val="both"/>
        <w:rPr>
          <w:rFonts w:ascii="Cambria" w:hAnsi="Cambria"/>
          <w:iCs/>
          <w:color w:val="000000" w:themeColor="text1"/>
          <w:sz w:val="20"/>
          <w:szCs w:val="20"/>
        </w:rPr>
      </w:pPr>
      <w:r w:rsidRPr="004E13E9">
        <w:rPr>
          <w:rFonts w:ascii="Cambria" w:hAnsi="Cambria"/>
          <w:iCs/>
          <w:color w:val="000000" w:themeColor="text1"/>
          <w:sz w:val="20"/>
          <w:szCs w:val="20"/>
        </w:rPr>
        <w:t>3.493,26 t réservées aux thoniers senneurs ;</w:t>
      </w:r>
    </w:p>
    <w:p w14:paraId="21BE426D" w14:textId="03788BDA" w:rsidR="007C1525" w:rsidRPr="004E13E9" w:rsidRDefault="007C1525" w:rsidP="00487A5C">
      <w:pPr>
        <w:pStyle w:val="ListParagraph"/>
        <w:numPr>
          <w:ilvl w:val="0"/>
          <w:numId w:val="49"/>
        </w:numPr>
        <w:shd w:val="clear" w:color="auto" w:fill="FFFFFF" w:themeFill="background1"/>
        <w:spacing w:after="0" w:line="240" w:lineRule="auto"/>
        <w:jc w:val="both"/>
        <w:rPr>
          <w:rFonts w:ascii="Cambria" w:hAnsi="Cambria"/>
          <w:b/>
          <w:bCs/>
          <w:i/>
          <w:color w:val="000000" w:themeColor="text1"/>
          <w:sz w:val="20"/>
          <w:szCs w:val="20"/>
        </w:rPr>
      </w:pPr>
      <w:r w:rsidRPr="004E13E9">
        <w:rPr>
          <w:rFonts w:ascii="Cambria" w:hAnsi="Cambria"/>
          <w:iCs/>
          <w:color w:val="000000" w:themeColor="text1"/>
          <w:sz w:val="20"/>
          <w:szCs w:val="20"/>
        </w:rPr>
        <w:t>35,28 t acquises aux prises accessoires en réponse aux dispositions énoncées dans le paragraphe 37 de la Rec. 25-04</w:t>
      </w:r>
      <w:r w:rsidRPr="004E13E9">
        <w:rPr>
          <w:rFonts w:ascii="Cambria" w:hAnsi="Cambria"/>
          <w:b/>
          <w:bCs/>
          <w:i/>
          <w:color w:val="000000" w:themeColor="text1"/>
          <w:sz w:val="20"/>
          <w:szCs w:val="20"/>
        </w:rPr>
        <w:t>.</w:t>
      </w:r>
    </w:p>
    <w:p w14:paraId="2355A71B" w14:textId="77777777" w:rsidR="003E28D1" w:rsidRPr="004E13E9" w:rsidRDefault="003E28D1" w:rsidP="00487A5C">
      <w:pPr>
        <w:pStyle w:val="ListParagraph"/>
        <w:numPr>
          <w:ilvl w:val="0"/>
          <w:numId w:val="49"/>
        </w:numPr>
        <w:shd w:val="clear" w:color="auto" w:fill="FFFFFF" w:themeFill="background1"/>
        <w:spacing w:after="0" w:line="240" w:lineRule="auto"/>
        <w:jc w:val="both"/>
        <w:rPr>
          <w:rFonts w:ascii="Cambria" w:hAnsi="Cambria"/>
          <w:b/>
          <w:bCs/>
          <w:i/>
          <w:color w:val="000000" w:themeColor="text1"/>
          <w:sz w:val="20"/>
          <w:szCs w:val="20"/>
        </w:rPr>
      </w:pPr>
    </w:p>
    <w:p w14:paraId="1B072000" w14:textId="77777777" w:rsidR="007C1525" w:rsidRPr="004E13E9" w:rsidRDefault="007C1525" w:rsidP="007C1525">
      <w:pPr>
        <w:rPr>
          <w:b/>
          <w:bCs/>
          <w:i/>
          <w:lang w:val="fr-FR"/>
        </w:rPr>
      </w:pPr>
      <w:r w:rsidRPr="004E13E9">
        <w:rPr>
          <w:b/>
          <w:bCs/>
          <w:i/>
          <w:lang w:val="fr-FR"/>
        </w:rPr>
        <w:t>1c) Destination de la capture</w:t>
      </w:r>
    </w:p>
    <w:p w14:paraId="7B634FA7" w14:textId="77777777" w:rsidR="007C1525" w:rsidRPr="004E13E9" w:rsidRDefault="007C1525" w:rsidP="007C1525">
      <w:pPr>
        <w:rPr>
          <w:iCs/>
          <w:lang w:val="fr-FR"/>
        </w:rPr>
      </w:pPr>
    </w:p>
    <w:p w14:paraId="2BF3A797" w14:textId="77777777" w:rsidR="007C1525" w:rsidRPr="004E13E9" w:rsidRDefault="007C1525" w:rsidP="007C1525">
      <w:pPr>
        <w:rPr>
          <w:iCs/>
          <w:lang w:val="fr-FR"/>
        </w:rPr>
      </w:pPr>
      <w:r w:rsidRPr="004E13E9">
        <w:rPr>
          <w:iCs/>
          <w:lang w:val="fr-FR"/>
        </w:rPr>
        <w:t>La capture estimée à 3.493,26 t en 2026 sera destinée à l’élevage au sein des fermes d’engraissement de la Méditerranée. Néanmoins, une quantité de 35,28 t sera éventuellement débarquée dans les ports tunisiens autorisés. Toute information complémentaire à ce sujet sera soumise à l’ICCAT dans les formulaires pertinents y relatifs.</w:t>
      </w:r>
    </w:p>
    <w:p w14:paraId="5920778B" w14:textId="77777777" w:rsidR="003E28D1" w:rsidRPr="004E13E9" w:rsidRDefault="003E28D1">
      <w:pPr>
        <w:rPr>
          <w:b/>
          <w:bCs/>
          <w:i/>
          <w:lang w:val="fr-FR"/>
        </w:rPr>
      </w:pPr>
      <w:r w:rsidRPr="004E13E9">
        <w:rPr>
          <w:b/>
          <w:bCs/>
          <w:i/>
          <w:lang w:val="fr-FR"/>
        </w:rPr>
        <w:br w:type="page"/>
      </w:r>
    </w:p>
    <w:p w14:paraId="35B21283" w14:textId="62BBC925" w:rsidR="007C1525" w:rsidRPr="004E13E9" w:rsidRDefault="007C1525" w:rsidP="007C1525">
      <w:pPr>
        <w:rPr>
          <w:i/>
        </w:rPr>
      </w:pPr>
      <w:r w:rsidRPr="004E13E9">
        <w:rPr>
          <w:b/>
          <w:bCs/>
          <w:i/>
        </w:rPr>
        <w:t xml:space="preserve">1d) </w:t>
      </w:r>
    </w:p>
    <w:p w14:paraId="0B7D0D60" w14:textId="77777777" w:rsidR="007C1525" w:rsidRPr="004E13E9" w:rsidRDefault="007C1525" w:rsidP="007C1525">
      <w:pPr>
        <w:rPr>
          <w:i/>
        </w:rPr>
      </w:pPr>
    </w:p>
    <w:tbl>
      <w:tblPr>
        <w:tblStyle w:val="TableGrid"/>
        <w:tblW w:w="0" w:type="auto"/>
        <w:tblLook w:val="04A0" w:firstRow="1" w:lastRow="0" w:firstColumn="1" w:lastColumn="0" w:noHBand="0" w:noVBand="1"/>
      </w:tblPr>
      <w:tblGrid>
        <w:gridCol w:w="454"/>
        <w:gridCol w:w="1951"/>
        <w:gridCol w:w="2835"/>
        <w:gridCol w:w="2693"/>
        <w:gridCol w:w="1127"/>
      </w:tblGrid>
      <w:tr w:rsidR="007C1525" w:rsidRPr="004E13E9" w14:paraId="495C2B47" w14:textId="77777777" w:rsidTr="008D75F4">
        <w:tc>
          <w:tcPr>
            <w:tcW w:w="454" w:type="dxa"/>
          </w:tcPr>
          <w:p w14:paraId="5776D0EC" w14:textId="77777777" w:rsidR="007C1525" w:rsidRPr="004E13E9" w:rsidRDefault="007C1525" w:rsidP="00D47E5E">
            <w:pPr>
              <w:rPr>
                <w:rFonts w:ascii="Cambria" w:hAnsi="Cambria"/>
                <w:color w:val="auto"/>
                <w:sz w:val="20"/>
                <w:szCs w:val="20"/>
              </w:rPr>
            </w:pPr>
          </w:p>
        </w:tc>
        <w:tc>
          <w:tcPr>
            <w:tcW w:w="1951" w:type="dxa"/>
            <w:vAlign w:val="center"/>
          </w:tcPr>
          <w:p w14:paraId="0439DEA8" w14:textId="77777777" w:rsidR="007C1525" w:rsidRPr="004E13E9" w:rsidRDefault="007C1525" w:rsidP="00D47E5E">
            <w:pPr>
              <w:jc w:val="center"/>
              <w:rPr>
                <w:rFonts w:ascii="Cambria" w:hAnsi="Cambria"/>
                <w:i/>
                <w:color w:val="auto"/>
                <w:sz w:val="20"/>
                <w:szCs w:val="20"/>
              </w:rPr>
            </w:pPr>
            <w:r w:rsidRPr="004E13E9">
              <w:rPr>
                <w:rFonts w:ascii="Cambria" w:hAnsi="Cambria"/>
                <w:i/>
                <w:color w:val="auto"/>
                <w:sz w:val="20"/>
                <w:szCs w:val="20"/>
              </w:rPr>
              <w:t>Exigence de l’ICCAT</w:t>
            </w:r>
          </w:p>
          <w:p w14:paraId="3B1F7C3E" w14:textId="77777777" w:rsidR="007C1525" w:rsidRPr="004E13E9" w:rsidRDefault="007C1525" w:rsidP="00D47E5E">
            <w:pPr>
              <w:jc w:val="center"/>
              <w:rPr>
                <w:rFonts w:ascii="Cambria" w:hAnsi="Cambria"/>
                <w:i/>
                <w:color w:val="auto"/>
                <w:sz w:val="20"/>
                <w:szCs w:val="20"/>
              </w:rPr>
            </w:pPr>
            <w:r w:rsidRPr="004E13E9">
              <w:rPr>
                <w:rFonts w:ascii="Cambria" w:hAnsi="Cambria"/>
                <w:i/>
                <w:color w:val="auto"/>
                <w:sz w:val="20"/>
                <w:szCs w:val="20"/>
              </w:rPr>
              <w:t xml:space="preserve">(en vertu de la </w:t>
            </w:r>
            <w:hyperlink r:id="rId182" w:history="1">
              <w:r w:rsidRPr="004E13E9">
                <w:rPr>
                  <w:rStyle w:val="Hyperlink"/>
                  <w:rFonts w:ascii="Cambria" w:hAnsi="Cambria"/>
                  <w:i/>
                  <w:sz w:val="20"/>
                  <w:szCs w:val="20"/>
                  <w:u w:val="none"/>
                </w:rPr>
                <w:t>Rec. 25-04</w:t>
              </w:r>
            </w:hyperlink>
            <w:r w:rsidRPr="004E13E9">
              <w:rPr>
                <w:rFonts w:ascii="Cambria" w:hAnsi="Cambria"/>
                <w:i/>
                <w:color w:val="auto"/>
                <w:sz w:val="20"/>
                <w:szCs w:val="20"/>
              </w:rPr>
              <w:t>)</w:t>
            </w:r>
          </w:p>
        </w:tc>
        <w:tc>
          <w:tcPr>
            <w:tcW w:w="2835" w:type="dxa"/>
            <w:vAlign w:val="center"/>
          </w:tcPr>
          <w:p w14:paraId="41EE2C9E" w14:textId="77777777" w:rsidR="007C1525" w:rsidRPr="004E13E9" w:rsidRDefault="007C1525" w:rsidP="007313A6">
            <w:pPr>
              <w:jc w:val="center"/>
              <w:rPr>
                <w:rFonts w:ascii="Cambria" w:hAnsi="Cambria"/>
                <w:i/>
                <w:color w:val="auto"/>
                <w:sz w:val="20"/>
                <w:szCs w:val="20"/>
              </w:rPr>
            </w:pPr>
            <w:r w:rsidRPr="004E13E9">
              <w:rPr>
                <w:rFonts w:ascii="Cambria" w:hAnsi="Cambria"/>
                <w:i/>
                <w:color w:val="auto"/>
                <w:sz w:val="20"/>
                <w:szCs w:val="20"/>
              </w:rPr>
              <w:t>Explication des actions prises par la CPC à des fins de mise en œuvre</w:t>
            </w:r>
          </w:p>
        </w:tc>
        <w:tc>
          <w:tcPr>
            <w:tcW w:w="2693" w:type="dxa"/>
            <w:vAlign w:val="center"/>
          </w:tcPr>
          <w:p w14:paraId="693277EC" w14:textId="77777777" w:rsidR="007C1525" w:rsidRPr="004E13E9" w:rsidRDefault="007C1525" w:rsidP="007313A6">
            <w:pPr>
              <w:jc w:val="center"/>
              <w:rPr>
                <w:rFonts w:ascii="Cambria" w:hAnsi="Cambria"/>
                <w:i/>
                <w:color w:val="auto"/>
                <w:sz w:val="20"/>
                <w:szCs w:val="20"/>
              </w:rPr>
            </w:pPr>
            <w:r w:rsidRPr="004E13E9">
              <w:rPr>
                <w:rFonts w:ascii="Cambria" w:hAnsi="Cambria"/>
                <w:i/>
                <w:color w:val="auto"/>
                <w:sz w:val="20"/>
                <w:szCs w:val="20"/>
              </w:rPr>
              <w:t>Lois ou réglementations nationales pertinentes (le cas échéant)</w:t>
            </w:r>
          </w:p>
        </w:tc>
        <w:tc>
          <w:tcPr>
            <w:tcW w:w="1127" w:type="dxa"/>
            <w:vAlign w:val="center"/>
          </w:tcPr>
          <w:p w14:paraId="502F805C" w14:textId="77777777" w:rsidR="007C1525" w:rsidRPr="004E13E9" w:rsidRDefault="007C1525" w:rsidP="007313A6">
            <w:pPr>
              <w:jc w:val="both"/>
              <w:rPr>
                <w:rFonts w:ascii="Cambria" w:hAnsi="Cambria"/>
                <w:i/>
                <w:color w:val="auto"/>
                <w:sz w:val="20"/>
                <w:szCs w:val="20"/>
              </w:rPr>
            </w:pPr>
            <w:r w:rsidRPr="004E13E9">
              <w:rPr>
                <w:rFonts w:ascii="Cambria" w:hAnsi="Cambria"/>
                <w:i/>
                <w:color w:val="auto"/>
                <w:sz w:val="20"/>
                <w:szCs w:val="20"/>
              </w:rPr>
              <w:t>Note</w:t>
            </w:r>
          </w:p>
        </w:tc>
      </w:tr>
      <w:tr w:rsidR="007C1525" w:rsidRPr="00C5533C" w14:paraId="17EDB21E" w14:textId="77777777" w:rsidTr="008D75F4">
        <w:tc>
          <w:tcPr>
            <w:tcW w:w="454" w:type="dxa"/>
          </w:tcPr>
          <w:p w14:paraId="6FF5252C" w14:textId="77777777" w:rsidR="007C1525" w:rsidRPr="004E13E9" w:rsidRDefault="007C1525" w:rsidP="00D47E5E">
            <w:pPr>
              <w:rPr>
                <w:rFonts w:ascii="Cambria" w:hAnsi="Cambria"/>
                <w:b/>
                <w:color w:val="auto"/>
                <w:sz w:val="20"/>
                <w:szCs w:val="20"/>
              </w:rPr>
            </w:pPr>
            <w:r w:rsidRPr="004E13E9">
              <w:rPr>
                <w:rFonts w:ascii="Cambria" w:hAnsi="Cambria"/>
                <w:b/>
                <w:color w:val="auto"/>
                <w:sz w:val="20"/>
                <w:szCs w:val="20"/>
              </w:rPr>
              <w:t>1</w:t>
            </w:r>
          </w:p>
        </w:tc>
        <w:tc>
          <w:tcPr>
            <w:tcW w:w="1951" w:type="dxa"/>
          </w:tcPr>
          <w:p w14:paraId="2A9FF5C8" w14:textId="77777777" w:rsidR="007C1525" w:rsidRPr="004E13E9" w:rsidRDefault="007C1525" w:rsidP="00D47E5E">
            <w:pPr>
              <w:rPr>
                <w:rFonts w:ascii="Cambria" w:hAnsi="Cambria"/>
                <w:b/>
                <w:color w:val="auto"/>
                <w:sz w:val="20"/>
                <w:szCs w:val="20"/>
              </w:rPr>
            </w:pPr>
            <w:r w:rsidRPr="004E13E9">
              <w:rPr>
                <w:rFonts w:ascii="Cambria" w:hAnsi="Cambria"/>
                <w:b/>
                <w:color w:val="auto"/>
                <w:sz w:val="20"/>
                <w:szCs w:val="20"/>
              </w:rPr>
              <w:t>Enregistrement et déclaration de la capture (paragraphes 74-88)</w:t>
            </w:r>
          </w:p>
        </w:tc>
        <w:tc>
          <w:tcPr>
            <w:tcW w:w="2835" w:type="dxa"/>
            <w:tcBorders>
              <w:top w:val="single" w:sz="4" w:space="0" w:color="auto"/>
              <w:left w:val="single" w:sz="4" w:space="0" w:color="auto"/>
              <w:bottom w:val="single" w:sz="4" w:space="0" w:color="auto"/>
              <w:right w:val="single" w:sz="4" w:space="0" w:color="auto"/>
            </w:tcBorders>
          </w:tcPr>
          <w:p w14:paraId="55A4C99B" w14:textId="77777777" w:rsidR="007C1525" w:rsidRPr="004E13E9" w:rsidRDefault="007C1525" w:rsidP="007313A6">
            <w:pPr>
              <w:jc w:val="both"/>
              <w:rPr>
                <w:rFonts w:ascii="Cambria" w:hAnsi="Cambria"/>
                <w:color w:val="000000" w:themeColor="text1"/>
                <w:sz w:val="20"/>
                <w:szCs w:val="20"/>
                <w:lang w:bidi="ar-TN"/>
              </w:rPr>
            </w:pPr>
            <w:r w:rsidRPr="004E13E9">
              <w:rPr>
                <w:rFonts w:ascii="Cambria" w:hAnsi="Cambria"/>
                <w:color w:val="000000" w:themeColor="text1"/>
                <w:sz w:val="20"/>
                <w:szCs w:val="20"/>
              </w:rPr>
              <w:t xml:space="preserve">La Tunisie a adopté un système de documentation de capture à bord qui couvre tous les navires participant à l’activité de thon rouge (senneurs, remorqueurs et navires auxiliaires) ; annexe 2 </w:t>
            </w:r>
            <w:r w:rsidRPr="004E13E9">
              <w:rPr>
                <w:rFonts w:ascii="Cambria" w:hAnsi="Cambria"/>
                <w:color w:val="000000" w:themeColor="text1"/>
                <w:sz w:val="20"/>
                <w:szCs w:val="20"/>
                <w:lang w:bidi="ar-TN"/>
              </w:rPr>
              <w:t>de la Rec. 25-04.</w:t>
            </w:r>
          </w:p>
          <w:p w14:paraId="2DD711E2" w14:textId="77777777" w:rsidR="007C1525" w:rsidRPr="004E13E9" w:rsidRDefault="007C1525" w:rsidP="007313A6">
            <w:pPr>
              <w:jc w:val="both"/>
              <w:rPr>
                <w:rFonts w:ascii="Cambria" w:hAnsi="Cambria"/>
                <w:color w:val="000000" w:themeColor="text1"/>
                <w:sz w:val="20"/>
                <w:szCs w:val="20"/>
              </w:rPr>
            </w:pPr>
          </w:p>
          <w:p w14:paraId="2ED5C506" w14:textId="77777777" w:rsidR="007C1525" w:rsidRPr="004E13E9" w:rsidRDefault="007C1525" w:rsidP="007313A6">
            <w:pPr>
              <w:jc w:val="both"/>
              <w:rPr>
                <w:rFonts w:ascii="Cambria" w:hAnsi="Cambria"/>
                <w:color w:val="000000" w:themeColor="text1"/>
                <w:sz w:val="20"/>
                <w:szCs w:val="20"/>
                <w:lang w:bidi="ar-TN"/>
              </w:rPr>
            </w:pPr>
            <w:r w:rsidRPr="004E13E9">
              <w:rPr>
                <w:rFonts w:ascii="Cambria" w:hAnsi="Cambria"/>
                <w:color w:val="000000" w:themeColor="text1"/>
                <w:sz w:val="20"/>
                <w:szCs w:val="20"/>
                <w:lang w:bidi="ar-TN"/>
              </w:rPr>
              <w:t>Ainsi, l’enregistrement des données sur les captures ou celles liées aux activités relatives à la pêche de thon rouge s’effectue par le biais de carnets de pêche reliés (paragraphe 74 de la Rec. 25-04). Toutefois, la communication des informations sur les prises et les demandes de notifications préalables de transfert s’effectuent par voie électronique entre les capitaines de navires de capture et l’autorité compétente (paragraphe 76 de la Rec. 25-04).</w:t>
            </w:r>
          </w:p>
          <w:p w14:paraId="59F43A50" w14:textId="77777777" w:rsidR="007C1525" w:rsidRPr="004E13E9" w:rsidRDefault="007C1525" w:rsidP="007313A6">
            <w:pPr>
              <w:jc w:val="both"/>
              <w:rPr>
                <w:rFonts w:ascii="Cambria" w:hAnsi="Cambria"/>
                <w:color w:val="000000" w:themeColor="text1"/>
                <w:sz w:val="20"/>
                <w:szCs w:val="20"/>
                <w:lang w:bidi="ar-TN"/>
              </w:rPr>
            </w:pPr>
          </w:p>
          <w:p w14:paraId="096E05AD" w14:textId="77777777" w:rsidR="007C1525" w:rsidRPr="004E13E9" w:rsidRDefault="007C1525" w:rsidP="007313A6">
            <w:pPr>
              <w:jc w:val="both"/>
              <w:rPr>
                <w:rFonts w:ascii="Cambria" w:hAnsi="Cambria"/>
                <w:color w:val="auto"/>
                <w:sz w:val="20"/>
                <w:szCs w:val="20"/>
              </w:rPr>
            </w:pPr>
            <w:r w:rsidRPr="004E13E9">
              <w:rPr>
                <w:rFonts w:ascii="Cambria" w:hAnsi="Cambria"/>
                <w:color w:val="000000" w:themeColor="text1"/>
                <w:sz w:val="20"/>
                <w:szCs w:val="20"/>
                <w:lang w:bidi="ar-TN"/>
              </w:rPr>
              <w:t>Les représentants des opérateurs de pêche transmettent aussi par voie électronique les rapports complétés à l’autorité compétente selon les exigences prescrites dans le paragraphe 78 de la Rec 25-04.</w:t>
            </w:r>
          </w:p>
        </w:tc>
        <w:tc>
          <w:tcPr>
            <w:tcW w:w="2693" w:type="dxa"/>
            <w:tcBorders>
              <w:top w:val="single" w:sz="4" w:space="0" w:color="auto"/>
              <w:left w:val="single" w:sz="4" w:space="0" w:color="auto"/>
              <w:bottom w:val="single" w:sz="4" w:space="0" w:color="auto"/>
              <w:right w:val="single" w:sz="4" w:space="0" w:color="auto"/>
            </w:tcBorders>
          </w:tcPr>
          <w:p w14:paraId="5CDC85ED" w14:textId="77777777" w:rsidR="007C1525" w:rsidRPr="004E13E9" w:rsidRDefault="007C1525" w:rsidP="00487A5C">
            <w:pPr>
              <w:pStyle w:val="ListParagraph"/>
              <w:widowControl w:val="0"/>
              <w:numPr>
                <w:ilvl w:val="0"/>
                <w:numId w:val="32"/>
              </w:numPr>
              <w:shd w:val="clear" w:color="auto" w:fill="FFFFFF" w:themeFill="background1"/>
              <w:spacing w:after="0" w:line="240" w:lineRule="auto"/>
              <w:ind w:left="66" w:right="-24" w:hanging="142"/>
              <w:jc w:val="both"/>
              <w:rPr>
                <w:rFonts w:ascii="Cambria" w:hAnsi="Cambria"/>
                <w:color w:val="000000" w:themeColor="text1"/>
                <w:sz w:val="20"/>
                <w:szCs w:val="20"/>
              </w:rPr>
            </w:pPr>
            <w:hyperlink r:id="rId183" w:history="1">
              <w:r w:rsidRPr="004E13E9">
                <w:rPr>
                  <w:rStyle w:val="Hyperlink"/>
                  <w:rFonts w:ascii="Cambria" w:hAnsi="Cambria"/>
                  <w:color w:val="000000" w:themeColor="text1"/>
                  <w:sz w:val="20"/>
                  <w:szCs w:val="20"/>
                  <w:u w:val="none"/>
                </w:rPr>
                <w:t>Loi n° 94-13 du 31 janvier 1994, relative à l'exercice de la pêche</w:t>
              </w:r>
            </w:hyperlink>
            <w:r w:rsidRPr="004E13E9">
              <w:rPr>
                <w:rFonts w:ascii="Cambria" w:hAnsi="Cambria"/>
                <w:color w:val="000000" w:themeColor="text1"/>
                <w:sz w:val="20"/>
                <w:szCs w:val="20"/>
              </w:rPr>
              <w:t xml:space="preserve">. </w:t>
            </w:r>
          </w:p>
          <w:p w14:paraId="130ACB43" w14:textId="77777777" w:rsidR="007C1525" w:rsidRPr="004E13E9" w:rsidRDefault="007C1525" w:rsidP="00487A5C">
            <w:pPr>
              <w:pStyle w:val="Default"/>
              <w:numPr>
                <w:ilvl w:val="0"/>
                <w:numId w:val="32"/>
              </w:numPr>
              <w:shd w:val="clear" w:color="auto" w:fill="FFFFFF" w:themeFill="background1"/>
              <w:ind w:left="66" w:right="-24" w:hanging="142"/>
              <w:jc w:val="both"/>
              <w:rPr>
                <w:rFonts w:ascii="Cambria" w:hAnsi="Cambria"/>
                <w:color w:val="000000" w:themeColor="text1"/>
                <w:sz w:val="20"/>
                <w:szCs w:val="20"/>
              </w:rPr>
            </w:pPr>
            <w:r w:rsidRPr="004E13E9">
              <w:rPr>
                <w:rFonts w:ascii="Cambria" w:hAnsi="Cambria"/>
                <w:color w:val="000000" w:themeColor="text1"/>
                <w:sz w:val="20"/>
                <w:szCs w:val="20"/>
              </w:rPr>
              <w:t xml:space="preserve">Arrêté du ministre de l’Agriculture du 21 mai 2008 relatif à l’organisation de la pêche de thon rouge tel que modifié par l’Arrêté du 10 juin 2013 </w:t>
            </w:r>
            <w:r w:rsidRPr="004E13E9">
              <w:rPr>
                <w:rFonts w:ascii="Cambria" w:hAnsi="Cambria" w:cstheme="minorBidi"/>
                <w:bCs/>
                <w:color w:val="000000" w:themeColor="text1"/>
                <w:sz w:val="20"/>
                <w:szCs w:val="20"/>
                <w:lang w:bidi="ar-TN"/>
              </w:rPr>
              <w:t>et l’Arrêté du 28 mai 2019.</w:t>
            </w:r>
          </w:p>
          <w:p w14:paraId="20248DFA" w14:textId="77777777" w:rsidR="007C1525" w:rsidRPr="004E13E9" w:rsidRDefault="007C1525" w:rsidP="007313A6">
            <w:pPr>
              <w:jc w:val="both"/>
              <w:rPr>
                <w:rFonts w:ascii="Cambria" w:hAnsi="Cambria"/>
                <w:color w:val="auto"/>
                <w:sz w:val="20"/>
                <w:szCs w:val="20"/>
              </w:rPr>
            </w:pPr>
          </w:p>
          <w:p w14:paraId="356771FC" w14:textId="77777777" w:rsidR="007C1525" w:rsidRPr="004E13E9" w:rsidRDefault="007C1525" w:rsidP="007313A6">
            <w:pPr>
              <w:jc w:val="both"/>
              <w:rPr>
                <w:rFonts w:ascii="Cambria" w:hAnsi="Cambria"/>
                <w:color w:val="auto"/>
                <w:sz w:val="20"/>
                <w:szCs w:val="20"/>
              </w:rPr>
            </w:pPr>
          </w:p>
        </w:tc>
        <w:tc>
          <w:tcPr>
            <w:tcW w:w="1127" w:type="dxa"/>
          </w:tcPr>
          <w:p w14:paraId="5C8C92EF" w14:textId="77777777" w:rsidR="007C1525" w:rsidRPr="004E13E9" w:rsidRDefault="007C1525" w:rsidP="007313A6">
            <w:pPr>
              <w:jc w:val="both"/>
              <w:rPr>
                <w:rFonts w:ascii="Cambria" w:hAnsi="Cambria"/>
                <w:color w:val="auto"/>
                <w:sz w:val="20"/>
                <w:szCs w:val="20"/>
              </w:rPr>
            </w:pPr>
          </w:p>
        </w:tc>
      </w:tr>
      <w:tr w:rsidR="007C1525" w:rsidRPr="00C5533C" w14:paraId="2E243343" w14:textId="77777777" w:rsidTr="008D75F4">
        <w:tc>
          <w:tcPr>
            <w:tcW w:w="454" w:type="dxa"/>
          </w:tcPr>
          <w:p w14:paraId="14D6F3D4" w14:textId="77777777" w:rsidR="007C1525" w:rsidRPr="004E13E9" w:rsidRDefault="007C1525" w:rsidP="00D47E5E">
            <w:pPr>
              <w:rPr>
                <w:rFonts w:ascii="Cambria" w:hAnsi="Cambria"/>
                <w:b/>
                <w:color w:val="auto"/>
                <w:sz w:val="20"/>
                <w:szCs w:val="20"/>
              </w:rPr>
            </w:pPr>
            <w:r w:rsidRPr="004E13E9">
              <w:rPr>
                <w:rFonts w:ascii="Cambria" w:hAnsi="Cambria"/>
                <w:b/>
                <w:color w:val="auto"/>
                <w:sz w:val="20"/>
                <w:szCs w:val="20"/>
              </w:rPr>
              <w:t>2</w:t>
            </w:r>
          </w:p>
        </w:tc>
        <w:tc>
          <w:tcPr>
            <w:tcW w:w="1951" w:type="dxa"/>
          </w:tcPr>
          <w:p w14:paraId="1554D812" w14:textId="77777777" w:rsidR="007C1525" w:rsidRPr="004E13E9" w:rsidRDefault="007C1525" w:rsidP="00D47E5E">
            <w:pPr>
              <w:rPr>
                <w:rFonts w:ascii="Cambria" w:hAnsi="Cambria"/>
                <w:b/>
                <w:color w:val="auto"/>
                <w:sz w:val="20"/>
                <w:szCs w:val="20"/>
              </w:rPr>
            </w:pPr>
            <w:r w:rsidRPr="004E13E9">
              <w:rPr>
                <w:rFonts w:ascii="Cambria" w:hAnsi="Cambria"/>
                <w:b/>
                <w:color w:val="auto"/>
                <w:sz w:val="20"/>
                <w:szCs w:val="20"/>
              </w:rPr>
              <w:t>Périodes d’ouverture de la pêche (paragraphes 28-32)</w:t>
            </w:r>
          </w:p>
        </w:tc>
        <w:tc>
          <w:tcPr>
            <w:tcW w:w="2835" w:type="dxa"/>
          </w:tcPr>
          <w:p w14:paraId="45F898F1" w14:textId="568EE073" w:rsidR="007C1525" w:rsidRPr="004E13E9" w:rsidRDefault="007C1525" w:rsidP="008D75F4">
            <w:pPr>
              <w:jc w:val="both"/>
              <w:rPr>
                <w:rFonts w:ascii="Cambria" w:hAnsi="Cambria"/>
                <w:color w:val="auto"/>
                <w:sz w:val="20"/>
                <w:szCs w:val="20"/>
              </w:rPr>
            </w:pPr>
            <w:r w:rsidRPr="004E13E9">
              <w:rPr>
                <w:rFonts w:ascii="Cambria" w:hAnsi="Cambria"/>
                <w:color w:val="000000" w:themeColor="text1"/>
                <w:sz w:val="20"/>
                <w:szCs w:val="20"/>
              </w:rPr>
              <w:t>La campagne de pêche de thon rouge à la senne tournante commence le 19 mai 2026 et se termine le 1</w:t>
            </w:r>
            <w:r w:rsidRPr="004E13E9">
              <w:rPr>
                <w:rFonts w:ascii="Cambria" w:hAnsi="Cambria"/>
                <w:color w:val="000000" w:themeColor="text1"/>
                <w:sz w:val="20"/>
                <w:szCs w:val="20"/>
                <w:vertAlign w:val="superscript"/>
              </w:rPr>
              <w:t>er</w:t>
            </w:r>
            <w:r w:rsidRPr="004E13E9">
              <w:rPr>
                <w:rFonts w:ascii="Cambria" w:hAnsi="Cambria"/>
                <w:color w:val="000000" w:themeColor="text1"/>
                <w:sz w:val="20"/>
                <w:szCs w:val="20"/>
              </w:rPr>
              <w:t xml:space="preserve"> juillet 2026 (</w:t>
            </w:r>
            <w:r w:rsidRPr="004E13E9">
              <w:rPr>
                <w:rFonts w:ascii="Cambria" w:hAnsi="Cambria"/>
                <w:color w:val="000000" w:themeColor="text1"/>
                <w:sz w:val="20"/>
                <w:szCs w:val="20"/>
                <w:lang w:bidi="ar-TN"/>
              </w:rPr>
              <w:t xml:space="preserve">paragraphe </w:t>
            </w:r>
            <w:r w:rsidRPr="004E13E9">
              <w:rPr>
                <w:rFonts w:ascii="Cambria" w:hAnsi="Cambria"/>
                <w:color w:val="000000" w:themeColor="text1"/>
                <w:sz w:val="20"/>
                <w:szCs w:val="20"/>
              </w:rPr>
              <w:t>28 de la Rec. 25-04). Néanmoins, la période de pêche pourrait être étendue par le nombre de jours équivalents aux jours pendant lesquels les conditions météorologiques sont défavorables dans la limite de 10 jours au maximum (</w:t>
            </w:r>
            <w:r w:rsidRPr="004E13E9">
              <w:rPr>
                <w:rFonts w:ascii="Cambria" w:hAnsi="Cambria"/>
                <w:color w:val="000000" w:themeColor="text1"/>
                <w:sz w:val="20"/>
                <w:szCs w:val="20"/>
                <w:lang w:bidi="ar-TN"/>
              </w:rPr>
              <w:t xml:space="preserve">paragraphe </w:t>
            </w:r>
            <w:r w:rsidRPr="004E13E9">
              <w:rPr>
                <w:rFonts w:ascii="Cambria" w:hAnsi="Cambria"/>
                <w:color w:val="000000" w:themeColor="text1"/>
                <w:sz w:val="20"/>
                <w:szCs w:val="20"/>
              </w:rPr>
              <w:t>29 de la Rec. 25-04). Les rapports météo ainsi que les rapports de VMS feraient nécessairement preuve de l’inactivité des navires qui n’ont pas épuisé encore leurs quotas individuels.</w:t>
            </w:r>
          </w:p>
        </w:tc>
        <w:tc>
          <w:tcPr>
            <w:tcW w:w="2693" w:type="dxa"/>
            <w:tcBorders>
              <w:top w:val="single" w:sz="4" w:space="0" w:color="auto"/>
              <w:left w:val="single" w:sz="4" w:space="0" w:color="auto"/>
              <w:bottom w:val="single" w:sz="4" w:space="0" w:color="auto"/>
              <w:right w:val="single" w:sz="4" w:space="0" w:color="auto"/>
            </w:tcBorders>
          </w:tcPr>
          <w:p w14:paraId="6D102BA4" w14:textId="77777777" w:rsidR="007C1525" w:rsidRPr="004E13E9" w:rsidRDefault="007C1525" w:rsidP="007313A6">
            <w:pPr>
              <w:shd w:val="clear" w:color="auto" w:fill="FFFFFF" w:themeFill="background1"/>
              <w:ind w:right="-24"/>
              <w:jc w:val="both"/>
              <w:rPr>
                <w:rFonts w:ascii="Cambria" w:hAnsi="Cambria"/>
                <w:color w:val="000000" w:themeColor="text1"/>
                <w:sz w:val="20"/>
                <w:szCs w:val="20"/>
              </w:rPr>
            </w:pPr>
            <w:r w:rsidRPr="004E13E9">
              <w:rPr>
                <w:rFonts w:ascii="Cambria" w:hAnsi="Cambria"/>
                <w:color w:val="000000" w:themeColor="text1"/>
              </w:rPr>
              <w:t>-</w:t>
            </w:r>
            <w:hyperlink r:id="rId184" w:history="1">
              <w:r w:rsidRPr="004E13E9">
                <w:rPr>
                  <w:rStyle w:val="Hyperlink"/>
                  <w:rFonts w:ascii="Cambria" w:hAnsi="Cambria"/>
                  <w:color w:val="000000" w:themeColor="text1"/>
                  <w:sz w:val="20"/>
                  <w:szCs w:val="20"/>
                  <w:u w:val="none"/>
                </w:rPr>
                <w:t>Loi n° 94-13 du 31 janvier 1994, relative à l'exercice de la pêche</w:t>
              </w:r>
            </w:hyperlink>
            <w:r w:rsidRPr="004E13E9">
              <w:rPr>
                <w:rFonts w:ascii="Cambria" w:hAnsi="Cambria"/>
                <w:color w:val="000000" w:themeColor="text1"/>
                <w:sz w:val="20"/>
                <w:szCs w:val="20"/>
              </w:rPr>
              <w:t xml:space="preserve">. </w:t>
            </w:r>
          </w:p>
          <w:p w14:paraId="20672778" w14:textId="77777777" w:rsidR="007C1525" w:rsidRPr="004E13E9" w:rsidRDefault="007C1525" w:rsidP="007313A6">
            <w:pPr>
              <w:jc w:val="both"/>
              <w:rPr>
                <w:rFonts w:ascii="Cambria" w:hAnsi="Cambria" w:cstheme="minorBidi"/>
                <w:bCs/>
                <w:color w:val="000000" w:themeColor="text1"/>
                <w:sz w:val="20"/>
                <w:szCs w:val="20"/>
                <w:lang w:bidi="ar-TN"/>
              </w:rPr>
            </w:pPr>
            <w:r w:rsidRPr="004E13E9">
              <w:rPr>
                <w:rFonts w:ascii="Cambria" w:hAnsi="Cambria" w:cstheme="minorBidi"/>
                <w:bCs/>
                <w:color w:val="000000" w:themeColor="text1"/>
                <w:sz w:val="20"/>
                <w:szCs w:val="20"/>
                <w:lang w:bidi="ar-TN"/>
              </w:rPr>
              <w:t>- Arrêté du ministre de l’Agriculture, des ressources hydrauliques et de la pêche du 7 avril 2025 relatif à l’organisation de la pêche de thon rouge et de son engraissement.</w:t>
            </w:r>
          </w:p>
          <w:p w14:paraId="3061E7DC" w14:textId="77777777" w:rsidR="007C1525" w:rsidRPr="004E13E9" w:rsidRDefault="007C1525" w:rsidP="007313A6">
            <w:pPr>
              <w:jc w:val="both"/>
              <w:rPr>
                <w:rFonts w:ascii="Cambria" w:hAnsi="Cambria" w:cstheme="minorBidi"/>
                <w:bCs/>
                <w:color w:val="000000" w:themeColor="text1"/>
                <w:sz w:val="20"/>
                <w:szCs w:val="20"/>
                <w:lang w:bidi="ar-TN"/>
              </w:rPr>
            </w:pPr>
          </w:p>
          <w:p w14:paraId="37089E6A" w14:textId="77777777" w:rsidR="007C1525" w:rsidRPr="004E13E9" w:rsidRDefault="007C1525" w:rsidP="007313A6">
            <w:pPr>
              <w:jc w:val="both"/>
              <w:rPr>
                <w:rFonts w:ascii="Cambria" w:hAnsi="Cambria"/>
                <w:color w:val="auto"/>
                <w:sz w:val="20"/>
                <w:szCs w:val="20"/>
              </w:rPr>
            </w:pPr>
            <w:r w:rsidRPr="004E13E9">
              <w:rPr>
                <w:rFonts w:ascii="Cambria" w:hAnsi="Cambria" w:cstheme="minorBidi"/>
                <w:bCs/>
                <w:color w:val="000000" w:themeColor="text1"/>
                <w:sz w:val="20"/>
                <w:szCs w:val="20"/>
                <w:lang w:bidi="ar-TN"/>
              </w:rPr>
              <w:t>Un amendement de l’arrêté du ministre de l’Agriculture, des ressources hydrauliques et de la pêche du 07 avril 2025 relatif à l’organisation de la pêche de thon rouge et de son engraissement.</w:t>
            </w:r>
          </w:p>
        </w:tc>
        <w:tc>
          <w:tcPr>
            <w:tcW w:w="1127" w:type="dxa"/>
          </w:tcPr>
          <w:p w14:paraId="60B22AE3" w14:textId="77777777" w:rsidR="007C1525" w:rsidRPr="004E13E9" w:rsidRDefault="007C1525" w:rsidP="007313A6">
            <w:pPr>
              <w:jc w:val="both"/>
              <w:rPr>
                <w:rFonts w:ascii="Cambria" w:hAnsi="Cambria"/>
                <w:color w:val="auto"/>
                <w:sz w:val="20"/>
                <w:szCs w:val="20"/>
              </w:rPr>
            </w:pPr>
          </w:p>
        </w:tc>
      </w:tr>
      <w:tr w:rsidR="007C1525" w:rsidRPr="00C5533C" w14:paraId="170A2979" w14:textId="77777777" w:rsidTr="008D75F4">
        <w:tc>
          <w:tcPr>
            <w:tcW w:w="454" w:type="dxa"/>
          </w:tcPr>
          <w:p w14:paraId="3DCF614A" w14:textId="77777777" w:rsidR="007C1525" w:rsidRPr="004E13E9" w:rsidRDefault="007C1525" w:rsidP="00D47E5E">
            <w:pPr>
              <w:rPr>
                <w:rFonts w:ascii="Cambria" w:hAnsi="Cambria"/>
                <w:b/>
                <w:color w:val="auto"/>
                <w:sz w:val="20"/>
                <w:szCs w:val="20"/>
              </w:rPr>
            </w:pPr>
            <w:r w:rsidRPr="004E13E9">
              <w:rPr>
                <w:rFonts w:ascii="Cambria" w:hAnsi="Cambria"/>
                <w:b/>
                <w:color w:val="auto"/>
                <w:sz w:val="20"/>
                <w:szCs w:val="20"/>
              </w:rPr>
              <w:t>3</w:t>
            </w:r>
          </w:p>
        </w:tc>
        <w:tc>
          <w:tcPr>
            <w:tcW w:w="1951" w:type="dxa"/>
          </w:tcPr>
          <w:p w14:paraId="57D42674" w14:textId="77777777" w:rsidR="007C1525" w:rsidRPr="004E13E9" w:rsidRDefault="007C1525" w:rsidP="00D47E5E">
            <w:pPr>
              <w:rPr>
                <w:rFonts w:ascii="Cambria" w:hAnsi="Cambria"/>
                <w:b/>
                <w:color w:val="auto"/>
                <w:sz w:val="20"/>
                <w:szCs w:val="20"/>
              </w:rPr>
            </w:pPr>
            <w:r w:rsidRPr="004E13E9">
              <w:rPr>
                <w:rFonts w:ascii="Cambria" w:hAnsi="Cambria"/>
                <w:b/>
                <w:bCs/>
                <w:color w:val="auto"/>
                <w:sz w:val="20"/>
                <w:szCs w:val="20"/>
              </w:rPr>
              <w:t>Taille minimale (</w:t>
            </w:r>
            <w:r w:rsidRPr="004E13E9">
              <w:rPr>
                <w:rFonts w:ascii="Cambria" w:hAnsi="Cambria"/>
                <w:b/>
                <w:color w:val="auto"/>
                <w:sz w:val="20"/>
                <w:szCs w:val="20"/>
              </w:rPr>
              <w:t xml:space="preserve">paragraphes </w:t>
            </w:r>
            <w:r w:rsidRPr="004E13E9">
              <w:rPr>
                <w:rFonts w:ascii="Cambria" w:hAnsi="Cambria"/>
                <w:b/>
                <w:bCs/>
                <w:color w:val="auto"/>
                <w:sz w:val="20"/>
                <w:szCs w:val="20"/>
              </w:rPr>
              <w:t>33-35)</w:t>
            </w:r>
          </w:p>
        </w:tc>
        <w:tc>
          <w:tcPr>
            <w:tcW w:w="2835" w:type="dxa"/>
            <w:tcBorders>
              <w:top w:val="single" w:sz="4" w:space="0" w:color="auto"/>
              <w:left w:val="single" w:sz="4" w:space="0" w:color="auto"/>
              <w:bottom w:val="single" w:sz="4" w:space="0" w:color="auto"/>
              <w:right w:val="single" w:sz="4" w:space="0" w:color="auto"/>
            </w:tcBorders>
          </w:tcPr>
          <w:p w14:paraId="00D4106D" w14:textId="77777777" w:rsidR="007C1525" w:rsidRPr="004E13E9" w:rsidRDefault="007C1525" w:rsidP="007313A6">
            <w:pPr>
              <w:jc w:val="both"/>
              <w:rPr>
                <w:rFonts w:ascii="Cambria" w:hAnsi="Cambria"/>
                <w:color w:val="auto"/>
                <w:sz w:val="20"/>
                <w:szCs w:val="20"/>
              </w:rPr>
            </w:pPr>
            <w:r w:rsidRPr="004E13E9">
              <w:rPr>
                <w:rFonts w:ascii="Cambria" w:hAnsi="Cambria"/>
                <w:color w:val="000000" w:themeColor="text1"/>
                <w:sz w:val="20"/>
                <w:szCs w:val="20"/>
              </w:rPr>
              <w:t>La taille de capture autorisée de thon rouge est de 30kg (115 cm). Au-delà de 5 % du volume total de thon rouge capturé de taille non réglementaire, le poisson doit être relâché après prise d’un ordre de relâchement de l’autorité compétente et avec coordination avec l’observateur régional. Les spécimens relâchés à l’état mort seront déduits du quota individuel du senneur concerné.</w:t>
            </w:r>
          </w:p>
        </w:tc>
        <w:tc>
          <w:tcPr>
            <w:tcW w:w="2693" w:type="dxa"/>
          </w:tcPr>
          <w:p w14:paraId="6286E8BB" w14:textId="77777777" w:rsidR="007C1525" w:rsidRPr="004E13E9" w:rsidRDefault="007C1525" w:rsidP="00487A5C">
            <w:pPr>
              <w:pStyle w:val="ListParagraph"/>
              <w:widowControl w:val="0"/>
              <w:numPr>
                <w:ilvl w:val="0"/>
                <w:numId w:val="32"/>
              </w:numPr>
              <w:shd w:val="clear" w:color="auto" w:fill="FFFFFF" w:themeFill="background1"/>
              <w:spacing w:after="0" w:line="240" w:lineRule="auto"/>
              <w:ind w:left="66" w:right="-24" w:hanging="142"/>
              <w:jc w:val="both"/>
              <w:rPr>
                <w:rFonts w:ascii="Cambria" w:hAnsi="Cambria"/>
                <w:color w:val="000000" w:themeColor="text1"/>
                <w:sz w:val="20"/>
                <w:szCs w:val="20"/>
              </w:rPr>
            </w:pPr>
            <w:hyperlink r:id="rId185" w:history="1">
              <w:r w:rsidRPr="004E13E9">
                <w:rPr>
                  <w:rStyle w:val="Hyperlink"/>
                  <w:rFonts w:ascii="Cambria" w:hAnsi="Cambria"/>
                  <w:color w:val="000000" w:themeColor="text1"/>
                  <w:sz w:val="20"/>
                  <w:szCs w:val="20"/>
                  <w:u w:val="none"/>
                </w:rPr>
                <w:t>Loi n° 94-13 du 31 janvier 1994, relative à l'exercice de la pêche</w:t>
              </w:r>
            </w:hyperlink>
            <w:r w:rsidRPr="004E13E9">
              <w:rPr>
                <w:rFonts w:ascii="Cambria" w:hAnsi="Cambria"/>
                <w:color w:val="000000" w:themeColor="text1"/>
                <w:sz w:val="20"/>
                <w:szCs w:val="20"/>
              </w:rPr>
              <w:t xml:space="preserve">. </w:t>
            </w:r>
          </w:p>
          <w:p w14:paraId="6C9B448B" w14:textId="77777777" w:rsidR="007C1525" w:rsidRPr="004E13E9" w:rsidRDefault="007C1525" w:rsidP="00487A5C">
            <w:pPr>
              <w:pStyle w:val="ListParagraph"/>
              <w:widowControl w:val="0"/>
              <w:numPr>
                <w:ilvl w:val="0"/>
                <w:numId w:val="32"/>
              </w:numPr>
              <w:shd w:val="clear" w:color="auto" w:fill="FFFFFF" w:themeFill="background1"/>
              <w:spacing w:after="0" w:line="240" w:lineRule="auto"/>
              <w:ind w:left="66" w:right="-24" w:hanging="142"/>
              <w:jc w:val="both"/>
              <w:rPr>
                <w:rFonts w:ascii="Cambria" w:hAnsi="Cambria"/>
                <w:color w:val="000000" w:themeColor="text1"/>
                <w:sz w:val="20"/>
                <w:szCs w:val="20"/>
              </w:rPr>
            </w:pPr>
            <w:r w:rsidRPr="004E13E9">
              <w:rPr>
                <w:rFonts w:ascii="Cambria" w:hAnsi="Cambria"/>
                <w:bCs/>
                <w:color w:val="000000" w:themeColor="text1"/>
                <w:sz w:val="20"/>
                <w:szCs w:val="20"/>
                <w:lang w:bidi="ar-TN"/>
              </w:rPr>
              <w:t xml:space="preserve">Arrêté du ministre de l’Agriculture, des ressources hydrauliques et de la pêche du 7 avril 2025 relatif à l’organisation de la pêche de thon rouge et de son engraissement </w:t>
            </w:r>
          </w:p>
          <w:p w14:paraId="1BA18268" w14:textId="77777777" w:rsidR="007C1525" w:rsidRPr="004E13E9" w:rsidRDefault="007C1525" w:rsidP="007313A6">
            <w:pPr>
              <w:jc w:val="both"/>
              <w:rPr>
                <w:rFonts w:ascii="Cambria" w:hAnsi="Cambria"/>
                <w:color w:val="auto"/>
                <w:sz w:val="20"/>
                <w:szCs w:val="20"/>
              </w:rPr>
            </w:pPr>
          </w:p>
        </w:tc>
        <w:tc>
          <w:tcPr>
            <w:tcW w:w="1127" w:type="dxa"/>
          </w:tcPr>
          <w:p w14:paraId="1E1497A4" w14:textId="77777777" w:rsidR="007C1525" w:rsidRPr="004E13E9" w:rsidRDefault="007C1525" w:rsidP="007313A6">
            <w:pPr>
              <w:jc w:val="both"/>
              <w:rPr>
                <w:rFonts w:ascii="Cambria" w:hAnsi="Cambria"/>
                <w:color w:val="auto"/>
                <w:sz w:val="20"/>
                <w:szCs w:val="20"/>
              </w:rPr>
            </w:pPr>
          </w:p>
        </w:tc>
      </w:tr>
      <w:tr w:rsidR="007C1525" w:rsidRPr="00C5533C" w14:paraId="6F635893" w14:textId="77777777" w:rsidTr="008D75F4">
        <w:tc>
          <w:tcPr>
            <w:tcW w:w="454" w:type="dxa"/>
          </w:tcPr>
          <w:p w14:paraId="7BE5D7F4" w14:textId="77777777" w:rsidR="007C1525" w:rsidRPr="004E13E9" w:rsidRDefault="007C1525" w:rsidP="00D47E5E">
            <w:pPr>
              <w:rPr>
                <w:rFonts w:ascii="Cambria" w:hAnsi="Cambria"/>
                <w:b/>
                <w:color w:val="auto"/>
                <w:sz w:val="20"/>
                <w:szCs w:val="20"/>
              </w:rPr>
            </w:pPr>
            <w:r w:rsidRPr="004E13E9">
              <w:rPr>
                <w:rFonts w:ascii="Cambria" w:hAnsi="Cambria"/>
                <w:b/>
                <w:color w:val="auto"/>
                <w:sz w:val="20"/>
                <w:szCs w:val="20"/>
              </w:rPr>
              <w:t>4</w:t>
            </w:r>
          </w:p>
        </w:tc>
        <w:tc>
          <w:tcPr>
            <w:tcW w:w="1951" w:type="dxa"/>
          </w:tcPr>
          <w:p w14:paraId="3B9A930B" w14:textId="77777777" w:rsidR="007C1525" w:rsidRPr="004E13E9" w:rsidRDefault="007C1525" w:rsidP="00D47E5E">
            <w:pPr>
              <w:rPr>
                <w:rFonts w:ascii="Cambria" w:hAnsi="Cambria"/>
                <w:b/>
                <w:color w:val="auto"/>
                <w:sz w:val="20"/>
                <w:szCs w:val="20"/>
              </w:rPr>
            </w:pPr>
            <w:r w:rsidRPr="004E13E9">
              <w:rPr>
                <w:rFonts w:ascii="Cambria" w:hAnsi="Cambria"/>
                <w:b/>
                <w:color w:val="auto"/>
                <w:sz w:val="20"/>
                <w:szCs w:val="20"/>
              </w:rPr>
              <w:t xml:space="preserve">Prises accessoires (paragraphe 37) </w:t>
            </w:r>
          </w:p>
        </w:tc>
        <w:tc>
          <w:tcPr>
            <w:tcW w:w="2835" w:type="dxa"/>
            <w:tcBorders>
              <w:top w:val="single" w:sz="4" w:space="0" w:color="auto"/>
              <w:left w:val="single" w:sz="4" w:space="0" w:color="auto"/>
              <w:bottom w:val="single" w:sz="4" w:space="0" w:color="auto"/>
              <w:right w:val="single" w:sz="4" w:space="0" w:color="auto"/>
            </w:tcBorders>
          </w:tcPr>
          <w:p w14:paraId="3407D9F3" w14:textId="77777777" w:rsidR="007C1525" w:rsidRPr="004E13E9" w:rsidRDefault="007C1525" w:rsidP="007313A6">
            <w:pPr>
              <w:jc w:val="both"/>
              <w:rPr>
                <w:rFonts w:ascii="Cambria" w:hAnsi="Cambria"/>
                <w:color w:val="auto"/>
                <w:sz w:val="20"/>
                <w:szCs w:val="20"/>
              </w:rPr>
            </w:pPr>
            <w:r w:rsidRPr="004E13E9">
              <w:rPr>
                <w:rFonts w:ascii="Cambria" w:hAnsi="Cambria"/>
                <w:color w:val="auto"/>
                <w:sz w:val="20"/>
                <w:szCs w:val="20"/>
              </w:rPr>
              <w:t>La Tunisie autorise au titre de 2026 un pourcentage de 1% du quota soit 35,28 t pour les prises accessoires. Cette mesure est prise par précaution et la méthode de calcul de cette proportion a tenu compte des statistiques des prises accessoires antérieures par les navires ne pêchant pas activement le thon rouge. De plus, si les prises dépassaient 20 % du volume total déclaré au cours d’une sortie de pêche, elles seraient rejetées et déduites du quota tunisien.</w:t>
            </w:r>
          </w:p>
        </w:tc>
        <w:tc>
          <w:tcPr>
            <w:tcW w:w="2693" w:type="dxa"/>
          </w:tcPr>
          <w:p w14:paraId="2C4107A9" w14:textId="77777777" w:rsidR="007C1525" w:rsidRPr="004E13E9" w:rsidRDefault="007C1525" w:rsidP="00487A5C">
            <w:pPr>
              <w:pStyle w:val="ListParagraph"/>
              <w:widowControl w:val="0"/>
              <w:numPr>
                <w:ilvl w:val="0"/>
                <w:numId w:val="32"/>
              </w:numPr>
              <w:shd w:val="clear" w:color="auto" w:fill="FFFFFF" w:themeFill="background1"/>
              <w:spacing w:after="0" w:line="240" w:lineRule="auto"/>
              <w:ind w:left="66" w:right="-24" w:hanging="142"/>
              <w:jc w:val="both"/>
              <w:rPr>
                <w:rFonts w:ascii="Cambria" w:hAnsi="Cambria"/>
                <w:color w:val="000000" w:themeColor="text1"/>
                <w:sz w:val="20"/>
                <w:szCs w:val="20"/>
              </w:rPr>
            </w:pPr>
            <w:r w:rsidRPr="004E13E9">
              <w:rPr>
                <w:rFonts w:ascii="Cambria" w:hAnsi="Cambria"/>
                <w:sz w:val="20"/>
                <w:szCs w:val="20"/>
              </w:rPr>
              <w:t>Loi n° 94-13 du 31 janvier 1994, relative à l'exercice de la pêche</w:t>
            </w:r>
            <w:r w:rsidRPr="004E13E9">
              <w:rPr>
                <w:rFonts w:ascii="Cambria" w:hAnsi="Cambria"/>
                <w:color w:val="000000" w:themeColor="text1"/>
                <w:sz w:val="20"/>
                <w:szCs w:val="20"/>
              </w:rPr>
              <w:t xml:space="preserve">. </w:t>
            </w:r>
          </w:p>
          <w:p w14:paraId="55CFA3B4" w14:textId="303B0373" w:rsidR="007C1525" w:rsidRPr="004E13E9" w:rsidRDefault="007C1525" w:rsidP="00487A5C">
            <w:pPr>
              <w:pStyle w:val="ListParagraph"/>
              <w:widowControl w:val="0"/>
              <w:numPr>
                <w:ilvl w:val="0"/>
                <w:numId w:val="32"/>
              </w:numPr>
              <w:shd w:val="clear" w:color="auto" w:fill="FFFFFF" w:themeFill="background1"/>
              <w:spacing w:after="0" w:line="240" w:lineRule="auto"/>
              <w:ind w:left="66" w:right="-24" w:hanging="142"/>
              <w:jc w:val="both"/>
              <w:rPr>
                <w:rFonts w:ascii="Cambria" w:hAnsi="Cambria"/>
                <w:bCs/>
                <w:color w:val="000000" w:themeColor="text1"/>
                <w:sz w:val="20"/>
                <w:szCs w:val="20"/>
                <w:lang w:bidi="ar-TN"/>
              </w:rPr>
            </w:pPr>
            <w:r w:rsidRPr="004E13E9">
              <w:rPr>
                <w:rFonts w:ascii="Cambria" w:hAnsi="Cambria"/>
                <w:bCs/>
                <w:color w:val="000000" w:themeColor="text1"/>
                <w:sz w:val="20"/>
                <w:szCs w:val="20"/>
                <w:lang w:bidi="ar-TN"/>
              </w:rPr>
              <w:t xml:space="preserve">Arrêté du ministre de l’Agriculture, des ressources hydrauliques et de la pêche du 7 avril 2025 relatif à l’organisation de la pêche de thon rouge et de son engraissement </w:t>
            </w:r>
          </w:p>
          <w:p w14:paraId="19C80AE8" w14:textId="77777777" w:rsidR="007C1525" w:rsidRPr="004E13E9" w:rsidRDefault="007C1525" w:rsidP="007313A6">
            <w:pPr>
              <w:jc w:val="both"/>
              <w:rPr>
                <w:rFonts w:ascii="Cambria" w:hAnsi="Cambria"/>
                <w:color w:val="auto"/>
                <w:sz w:val="20"/>
                <w:szCs w:val="20"/>
                <w:rtl/>
              </w:rPr>
            </w:pPr>
          </w:p>
          <w:p w14:paraId="2A5729F1" w14:textId="77777777" w:rsidR="007C1525" w:rsidRPr="004E13E9" w:rsidRDefault="007C1525" w:rsidP="007313A6">
            <w:pPr>
              <w:jc w:val="both"/>
              <w:rPr>
                <w:rFonts w:ascii="Cambria" w:hAnsi="Cambria"/>
                <w:color w:val="auto"/>
                <w:sz w:val="20"/>
                <w:szCs w:val="20"/>
              </w:rPr>
            </w:pPr>
          </w:p>
        </w:tc>
        <w:tc>
          <w:tcPr>
            <w:tcW w:w="1127" w:type="dxa"/>
          </w:tcPr>
          <w:p w14:paraId="6CF0DD36" w14:textId="77777777" w:rsidR="007C1525" w:rsidRPr="004E13E9" w:rsidRDefault="007C1525" w:rsidP="007313A6">
            <w:pPr>
              <w:jc w:val="both"/>
              <w:rPr>
                <w:rFonts w:ascii="Cambria" w:hAnsi="Cambria"/>
                <w:color w:val="auto"/>
                <w:sz w:val="20"/>
                <w:szCs w:val="20"/>
                <w:lang w:bidi="ar-TN"/>
              </w:rPr>
            </w:pPr>
          </w:p>
        </w:tc>
      </w:tr>
      <w:tr w:rsidR="007C1525" w:rsidRPr="00C5533C" w14:paraId="5C68A60A" w14:textId="77777777" w:rsidTr="008D75F4">
        <w:tc>
          <w:tcPr>
            <w:tcW w:w="454" w:type="dxa"/>
          </w:tcPr>
          <w:p w14:paraId="5149F843" w14:textId="77777777" w:rsidR="007C1525" w:rsidRPr="004E13E9" w:rsidRDefault="007C1525" w:rsidP="00D47E5E">
            <w:pPr>
              <w:rPr>
                <w:rFonts w:ascii="Cambria" w:hAnsi="Cambria"/>
                <w:b/>
                <w:color w:val="auto"/>
                <w:sz w:val="20"/>
                <w:szCs w:val="20"/>
              </w:rPr>
            </w:pPr>
            <w:r w:rsidRPr="004E13E9">
              <w:rPr>
                <w:rFonts w:ascii="Cambria" w:hAnsi="Cambria"/>
                <w:b/>
                <w:color w:val="auto"/>
                <w:sz w:val="20"/>
                <w:szCs w:val="20"/>
              </w:rPr>
              <w:t>5</w:t>
            </w:r>
          </w:p>
        </w:tc>
        <w:tc>
          <w:tcPr>
            <w:tcW w:w="1951" w:type="dxa"/>
          </w:tcPr>
          <w:p w14:paraId="1DC5FBBB" w14:textId="77777777" w:rsidR="007C1525" w:rsidRPr="004E13E9" w:rsidRDefault="007C1525" w:rsidP="00D47E5E">
            <w:pPr>
              <w:rPr>
                <w:rFonts w:ascii="Cambria" w:hAnsi="Cambria"/>
                <w:b/>
                <w:color w:val="auto"/>
                <w:sz w:val="20"/>
                <w:szCs w:val="20"/>
              </w:rPr>
            </w:pPr>
            <w:r w:rsidRPr="004E13E9">
              <w:rPr>
                <w:rFonts w:ascii="Cambria" w:hAnsi="Cambria"/>
                <w:b/>
                <w:bCs/>
                <w:color w:val="auto"/>
                <w:sz w:val="20"/>
                <w:szCs w:val="20"/>
              </w:rPr>
              <w:t>Pêcheries récréatives et sportives (paragraphes 38-46)</w:t>
            </w:r>
          </w:p>
        </w:tc>
        <w:tc>
          <w:tcPr>
            <w:tcW w:w="2835" w:type="dxa"/>
            <w:tcBorders>
              <w:top w:val="single" w:sz="4" w:space="0" w:color="auto"/>
              <w:left w:val="single" w:sz="4" w:space="0" w:color="auto"/>
              <w:bottom w:val="single" w:sz="4" w:space="0" w:color="auto"/>
              <w:right w:val="single" w:sz="4" w:space="0" w:color="auto"/>
            </w:tcBorders>
          </w:tcPr>
          <w:p w14:paraId="4F570328" w14:textId="77777777" w:rsidR="007C1525" w:rsidRPr="004E13E9" w:rsidRDefault="007C1525" w:rsidP="007313A6">
            <w:pPr>
              <w:jc w:val="both"/>
              <w:rPr>
                <w:rFonts w:ascii="Cambria" w:hAnsi="Cambria"/>
                <w:color w:val="auto"/>
                <w:sz w:val="20"/>
                <w:szCs w:val="20"/>
              </w:rPr>
            </w:pPr>
            <w:r w:rsidRPr="004E13E9">
              <w:rPr>
                <w:rFonts w:ascii="Cambria" w:hAnsi="Cambria"/>
                <w:color w:val="000000" w:themeColor="text1"/>
                <w:sz w:val="20"/>
                <w:szCs w:val="20"/>
              </w:rPr>
              <w:t>Aucune autorisation de pêche sportive ou récréative n’est autorisée pour le thon rouge.</w:t>
            </w:r>
          </w:p>
        </w:tc>
        <w:tc>
          <w:tcPr>
            <w:tcW w:w="2693" w:type="dxa"/>
            <w:tcBorders>
              <w:top w:val="single" w:sz="4" w:space="0" w:color="auto"/>
              <w:left w:val="single" w:sz="4" w:space="0" w:color="auto"/>
              <w:bottom w:val="single" w:sz="4" w:space="0" w:color="auto"/>
              <w:right w:val="single" w:sz="4" w:space="0" w:color="auto"/>
            </w:tcBorders>
          </w:tcPr>
          <w:p w14:paraId="582107A5" w14:textId="76E6BCC2" w:rsidR="007C1525" w:rsidRPr="004E13E9" w:rsidRDefault="007C1525" w:rsidP="00487A5C">
            <w:pPr>
              <w:pStyle w:val="ListParagraph"/>
              <w:widowControl w:val="0"/>
              <w:numPr>
                <w:ilvl w:val="0"/>
                <w:numId w:val="32"/>
              </w:numPr>
              <w:shd w:val="clear" w:color="auto" w:fill="FFFFFF" w:themeFill="background1"/>
              <w:spacing w:after="0" w:line="240" w:lineRule="auto"/>
              <w:ind w:left="66" w:right="-24" w:hanging="142"/>
              <w:jc w:val="both"/>
              <w:rPr>
                <w:rFonts w:ascii="Cambria" w:hAnsi="Cambria"/>
                <w:color w:val="auto"/>
                <w:sz w:val="20"/>
                <w:szCs w:val="20"/>
              </w:rPr>
            </w:pPr>
            <w:r w:rsidRPr="004E13E9">
              <w:rPr>
                <w:rFonts w:ascii="Cambria" w:hAnsi="Cambria" w:cs="Cambria"/>
                <w:color w:val="000000" w:themeColor="text1"/>
                <w:sz w:val="20"/>
                <w:szCs w:val="20"/>
              </w:rPr>
              <w:t>Arrêté du ministre de l’Agriculture 21 avril 2025, relatif à l'exercice de la pêche à la plongée et de la pêche sous-marine de plaisance.</w:t>
            </w:r>
          </w:p>
        </w:tc>
        <w:tc>
          <w:tcPr>
            <w:tcW w:w="1127" w:type="dxa"/>
          </w:tcPr>
          <w:p w14:paraId="062F3749" w14:textId="77777777" w:rsidR="007C1525" w:rsidRPr="004E13E9" w:rsidRDefault="007C1525" w:rsidP="007313A6">
            <w:pPr>
              <w:jc w:val="both"/>
              <w:rPr>
                <w:rFonts w:ascii="Cambria" w:hAnsi="Cambria"/>
                <w:color w:val="auto"/>
                <w:sz w:val="20"/>
                <w:szCs w:val="20"/>
              </w:rPr>
            </w:pPr>
          </w:p>
        </w:tc>
      </w:tr>
      <w:tr w:rsidR="007C1525" w:rsidRPr="00C5533C" w14:paraId="1DD76819" w14:textId="77777777" w:rsidTr="008D75F4">
        <w:tc>
          <w:tcPr>
            <w:tcW w:w="454" w:type="dxa"/>
          </w:tcPr>
          <w:p w14:paraId="35B6A227" w14:textId="77777777" w:rsidR="007C1525" w:rsidRPr="004E13E9" w:rsidRDefault="007C1525" w:rsidP="00D47E5E">
            <w:pPr>
              <w:rPr>
                <w:rFonts w:ascii="Cambria" w:hAnsi="Cambria"/>
                <w:b/>
                <w:color w:val="auto"/>
                <w:sz w:val="20"/>
                <w:szCs w:val="20"/>
              </w:rPr>
            </w:pPr>
            <w:r w:rsidRPr="004E13E9">
              <w:rPr>
                <w:rFonts w:ascii="Cambria" w:hAnsi="Cambria"/>
                <w:b/>
                <w:color w:val="auto"/>
                <w:sz w:val="20"/>
                <w:szCs w:val="20"/>
              </w:rPr>
              <w:t>6</w:t>
            </w:r>
          </w:p>
        </w:tc>
        <w:tc>
          <w:tcPr>
            <w:tcW w:w="1951" w:type="dxa"/>
          </w:tcPr>
          <w:p w14:paraId="3A7787D0" w14:textId="77777777" w:rsidR="007C1525" w:rsidRPr="004E13E9" w:rsidRDefault="007C1525" w:rsidP="00D47E5E">
            <w:pPr>
              <w:rPr>
                <w:rFonts w:ascii="Cambria" w:hAnsi="Cambria"/>
                <w:b/>
                <w:color w:val="auto"/>
                <w:sz w:val="20"/>
                <w:szCs w:val="20"/>
              </w:rPr>
            </w:pPr>
            <w:r w:rsidRPr="004E13E9">
              <w:rPr>
                <w:rFonts w:ascii="Cambria" w:hAnsi="Cambria"/>
                <w:b/>
                <w:color w:val="auto"/>
                <w:sz w:val="20"/>
                <w:szCs w:val="20"/>
              </w:rPr>
              <w:t xml:space="preserve">Transbordement (paragraphes 89-94) </w:t>
            </w:r>
          </w:p>
        </w:tc>
        <w:tc>
          <w:tcPr>
            <w:tcW w:w="2835" w:type="dxa"/>
            <w:tcBorders>
              <w:top w:val="single" w:sz="4" w:space="0" w:color="auto"/>
              <w:left w:val="single" w:sz="4" w:space="0" w:color="auto"/>
              <w:bottom w:val="single" w:sz="4" w:space="0" w:color="auto"/>
              <w:right w:val="single" w:sz="4" w:space="0" w:color="auto"/>
            </w:tcBorders>
          </w:tcPr>
          <w:p w14:paraId="16A201A5" w14:textId="77777777" w:rsidR="007C1525" w:rsidRPr="004E13E9" w:rsidRDefault="007C1525" w:rsidP="007313A6">
            <w:pPr>
              <w:jc w:val="both"/>
              <w:rPr>
                <w:rFonts w:ascii="Cambria" w:hAnsi="Cambria"/>
                <w:color w:val="auto"/>
                <w:sz w:val="20"/>
                <w:szCs w:val="20"/>
              </w:rPr>
            </w:pPr>
            <w:r w:rsidRPr="004E13E9">
              <w:rPr>
                <w:rFonts w:ascii="Cambria" w:hAnsi="Cambria"/>
                <w:color w:val="000000" w:themeColor="text1"/>
                <w:sz w:val="20"/>
                <w:szCs w:val="20"/>
              </w:rPr>
              <w:t>Le transbordement en mer de thon rouge est interdit, il n’est autorisé que dans les ports autorisés après autorisation de l’autorité compétente selon le format désigné par l’ICCAT.</w:t>
            </w:r>
          </w:p>
        </w:tc>
        <w:tc>
          <w:tcPr>
            <w:tcW w:w="2693" w:type="dxa"/>
            <w:tcBorders>
              <w:top w:val="single" w:sz="4" w:space="0" w:color="auto"/>
              <w:left w:val="single" w:sz="4" w:space="0" w:color="auto"/>
              <w:bottom w:val="single" w:sz="4" w:space="0" w:color="auto"/>
              <w:right w:val="single" w:sz="4" w:space="0" w:color="auto"/>
            </w:tcBorders>
          </w:tcPr>
          <w:p w14:paraId="6025CA91" w14:textId="77777777" w:rsidR="007C1525" w:rsidRPr="004E13E9" w:rsidRDefault="007C1525" w:rsidP="00487A5C">
            <w:pPr>
              <w:pStyle w:val="ListParagraph"/>
              <w:widowControl w:val="0"/>
              <w:numPr>
                <w:ilvl w:val="0"/>
                <w:numId w:val="32"/>
              </w:numPr>
              <w:shd w:val="clear" w:color="auto" w:fill="FFFFFF" w:themeFill="background1"/>
              <w:spacing w:after="0" w:line="240" w:lineRule="auto"/>
              <w:ind w:left="66" w:right="-24" w:hanging="142"/>
              <w:jc w:val="both"/>
              <w:rPr>
                <w:rFonts w:ascii="Cambria" w:hAnsi="Cambria" w:cs="Cambria"/>
                <w:color w:val="000000" w:themeColor="text1"/>
                <w:sz w:val="20"/>
                <w:szCs w:val="20"/>
              </w:rPr>
            </w:pPr>
            <w:hyperlink r:id="rId186" w:history="1">
              <w:r w:rsidRPr="004E13E9">
                <w:rPr>
                  <w:rStyle w:val="Hyperlink"/>
                  <w:rFonts w:ascii="Cambria" w:hAnsi="Cambria" w:cs="Cambria"/>
                  <w:color w:val="000000" w:themeColor="text1"/>
                  <w:sz w:val="20"/>
                  <w:szCs w:val="20"/>
                  <w:u w:val="none"/>
                </w:rPr>
                <w:t>Loi n° 94-13 du 31 janvier 1994, relative à l'exercice de la pêche</w:t>
              </w:r>
            </w:hyperlink>
            <w:r w:rsidRPr="004E13E9">
              <w:rPr>
                <w:rFonts w:ascii="Cambria" w:hAnsi="Cambria" w:cs="Cambria"/>
                <w:color w:val="000000" w:themeColor="text1"/>
                <w:sz w:val="20"/>
                <w:szCs w:val="20"/>
              </w:rPr>
              <w:t xml:space="preserve">. </w:t>
            </w:r>
          </w:p>
          <w:p w14:paraId="24D8FC49" w14:textId="22AB4FFB" w:rsidR="007C1525" w:rsidRPr="004E13E9" w:rsidRDefault="007C1525" w:rsidP="00487A5C">
            <w:pPr>
              <w:pStyle w:val="ListParagraph"/>
              <w:widowControl w:val="0"/>
              <w:numPr>
                <w:ilvl w:val="0"/>
                <w:numId w:val="32"/>
              </w:numPr>
              <w:shd w:val="clear" w:color="auto" w:fill="FFFFFF" w:themeFill="background1"/>
              <w:spacing w:after="0" w:line="240" w:lineRule="auto"/>
              <w:ind w:left="66" w:right="-24" w:hanging="142"/>
              <w:jc w:val="both"/>
              <w:rPr>
                <w:rFonts w:ascii="Cambria" w:hAnsi="Cambria"/>
                <w:color w:val="auto"/>
                <w:sz w:val="20"/>
                <w:szCs w:val="20"/>
              </w:rPr>
            </w:pPr>
            <w:r w:rsidRPr="004E13E9">
              <w:rPr>
                <w:rFonts w:ascii="Cambria" w:hAnsi="Cambria"/>
                <w:bCs/>
                <w:color w:val="000000" w:themeColor="text1"/>
                <w:sz w:val="20"/>
                <w:szCs w:val="20"/>
                <w:lang w:bidi="ar-TN"/>
              </w:rPr>
              <w:t xml:space="preserve">Arrêté du ministre de l’Agriculture, des ressources hydrauliques et </w:t>
            </w:r>
            <w:r w:rsidRPr="004E13E9">
              <w:rPr>
                <w:rStyle w:val="Hyperlink"/>
                <w:rFonts w:ascii="Cambria" w:hAnsi="Cambria" w:cs="Cambria"/>
                <w:color w:val="000000" w:themeColor="text1"/>
                <w:sz w:val="20"/>
                <w:szCs w:val="20"/>
                <w:u w:val="none"/>
              </w:rPr>
              <w:t>de</w:t>
            </w:r>
            <w:r w:rsidRPr="004E13E9">
              <w:rPr>
                <w:rFonts w:ascii="Cambria" w:hAnsi="Cambria"/>
                <w:bCs/>
                <w:color w:val="000000" w:themeColor="text1"/>
                <w:sz w:val="20"/>
                <w:szCs w:val="20"/>
                <w:lang w:bidi="ar-TN"/>
              </w:rPr>
              <w:t xml:space="preserve"> la pêche du 7 avril 2025 relatif à l’organisation de la pêche de thon rouge et de son engraissement </w:t>
            </w:r>
          </w:p>
        </w:tc>
        <w:tc>
          <w:tcPr>
            <w:tcW w:w="1127" w:type="dxa"/>
          </w:tcPr>
          <w:p w14:paraId="33534DAB" w14:textId="77777777" w:rsidR="007C1525" w:rsidRPr="004E13E9" w:rsidRDefault="007C1525" w:rsidP="007313A6">
            <w:pPr>
              <w:jc w:val="both"/>
              <w:rPr>
                <w:rFonts w:ascii="Cambria" w:hAnsi="Cambria"/>
                <w:color w:val="auto"/>
                <w:sz w:val="20"/>
                <w:szCs w:val="20"/>
              </w:rPr>
            </w:pPr>
          </w:p>
        </w:tc>
      </w:tr>
      <w:tr w:rsidR="007C1525" w:rsidRPr="00C5533C" w14:paraId="77124FD1" w14:textId="77777777" w:rsidTr="008D75F4">
        <w:tc>
          <w:tcPr>
            <w:tcW w:w="454" w:type="dxa"/>
          </w:tcPr>
          <w:p w14:paraId="6BC14BCA" w14:textId="77777777" w:rsidR="007C1525" w:rsidRPr="004E13E9" w:rsidRDefault="007C1525" w:rsidP="00D47E5E">
            <w:pPr>
              <w:rPr>
                <w:rFonts w:ascii="Cambria" w:hAnsi="Cambria"/>
                <w:b/>
                <w:color w:val="auto"/>
                <w:sz w:val="20"/>
                <w:szCs w:val="20"/>
              </w:rPr>
            </w:pPr>
            <w:r w:rsidRPr="004E13E9">
              <w:rPr>
                <w:rFonts w:ascii="Cambria" w:hAnsi="Cambria"/>
                <w:b/>
                <w:color w:val="auto"/>
                <w:sz w:val="20"/>
                <w:szCs w:val="20"/>
              </w:rPr>
              <w:t>7</w:t>
            </w:r>
          </w:p>
        </w:tc>
        <w:tc>
          <w:tcPr>
            <w:tcW w:w="1951" w:type="dxa"/>
            <w:tcBorders>
              <w:top w:val="single" w:sz="4" w:space="0" w:color="auto"/>
              <w:left w:val="single" w:sz="4" w:space="0" w:color="auto"/>
              <w:bottom w:val="single" w:sz="4" w:space="0" w:color="auto"/>
              <w:right w:val="single" w:sz="4" w:space="0" w:color="auto"/>
            </w:tcBorders>
          </w:tcPr>
          <w:p w14:paraId="718573E0" w14:textId="77777777" w:rsidR="007C1525" w:rsidRPr="004E13E9" w:rsidRDefault="007C1525" w:rsidP="00D47E5E">
            <w:pPr>
              <w:rPr>
                <w:rFonts w:ascii="Cambria" w:hAnsi="Cambria"/>
                <w:b/>
                <w:color w:val="auto"/>
                <w:sz w:val="20"/>
                <w:szCs w:val="20"/>
              </w:rPr>
            </w:pPr>
            <w:r w:rsidRPr="004E13E9">
              <w:rPr>
                <w:rFonts w:ascii="Cambria" w:hAnsi="Cambria"/>
                <w:b/>
                <w:color w:val="000000" w:themeColor="text1"/>
                <w:sz w:val="20"/>
                <w:szCs w:val="20"/>
              </w:rPr>
              <w:t>VMS (paragraphes 222-228)</w:t>
            </w:r>
          </w:p>
        </w:tc>
        <w:tc>
          <w:tcPr>
            <w:tcW w:w="2835" w:type="dxa"/>
            <w:tcBorders>
              <w:top w:val="single" w:sz="4" w:space="0" w:color="auto"/>
              <w:left w:val="single" w:sz="4" w:space="0" w:color="auto"/>
              <w:bottom w:val="single" w:sz="4" w:space="0" w:color="auto"/>
              <w:right w:val="single" w:sz="4" w:space="0" w:color="auto"/>
            </w:tcBorders>
          </w:tcPr>
          <w:p w14:paraId="27BB3D01" w14:textId="77777777" w:rsidR="007C1525" w:rsidRPr="004E13E9" w:rsidRDefault="007C1525" w:rsidP="007313A6">
            <w:pPr>
              <w:jc w:val="both"/>
              <w:rPr>
                <w:rFonts w:ascii="Cambria" w:hAnsi="Cambria"/>
                <w:color w:val="auto"/>
                <w:sz w:val="20"/>
                <w:szCs w:val="20"/>
              </w:rPr>
            </w:pPr>
            <w:r w:rsidRPr="004E13E9">
              <w:rPr>
                <w:rFonts w:ascii="Cambria" w:hAnsi="Cambria"/>
                <w:color w:val="000000" w:themeColor="text1"/>
                <w:sz w:val="20"/>
                <w:szCs w:val="20"/>
              </w:rPr>
              <w:t>Tous les navires tunisiens (capture, remorquage et assistance) participant à la pêche de thon rouge sont équipés de VMS. La transmission des données sur les positions, toutes les heures, commence 5 jours avant la date d’autorisation de l’activité et se poursuit jusqu’à 5 jours après la fin de l’autorisation. En cas de panne du système Vms à bord d’un remorqueur, l’autorité compétente intervient pour remplacer le navire et informe le secrétariat à l’immédiat.</w:t>
            </w:r>
          </w:p>
        </w:tc>
        <w:tc>
          <w:tcPr>
            <w:tcW w:w="2693" w:type="dxa"/>
            <w:tcBorders>
              <w:top w:val="single" w:sz="4" w:space="0" w:color="auto"/>
              <w:left w:val="single" w:sz="4" w:space="0" w:color="auto"/>
              <w:bottom w:val="single" w:sz="4" w:space="0" w:color="auto"/>
              <w:right w:val="single" w:sz="4" w:space="0" w:color="auto"/>
            </w:tcBorders>
          </w:tcPr>
          <w:p w14:paraId="5520271A" w14:textId="77777777" w:rsidR="007C1525" w:rsidRPr="004E13E9" w:rsidRDefault="007C1525" w:rsidP="00487A5C">
            <w:pPr>
              <w:pStyle w:val="ListParagraph"/>
              <w:widowControl w:val="0"/>
              <w:numPr>
                <w:ilvl w:val="0"/>
                <w:numId w:val="32"/>
              </w:numPr>
              <w:shd w:val="clear" w:color="auto" w:fill="FFFFFF" w:themeFill="background1"/>
              <w:spacing w:after="0" w:line="240" w:lineRule="auto"/>
              <w:ind w:left="66" w:right="-24" w:hanging="142"/>
              <w:jc w:val="both"/>
              <w:rPr>
                <w:rFonts w:ascii="Cambria" w:hAnsi="Cambria"/>
                <w:color w:val="000000" w:themeColor="text1"/>
                <w:sz w:val="20"/>
                <w:szCs w:val="20"/>
              </w:rPr>
            </w:pPr>
            <w:hyperlink r:id="rId187" w:history="1">
              <w:r w:rsidRPr="004E13E9">
                <w:rPr>
                  <w:rStyle w:val="Hyperlink"/>
                  <w:rFonts w:ascii="Cambria" w:hAnsi="Cambria"/>
                  <w:color w:val="000000" w:themeColor="text1"/>
                  <w:sz w:val="20"/>
                  <w:szCs w:val="20"/>
                  <w:u w:val="none"/>
                </w:rPr>
                <w:t>Loi n° 94-13 du 31 janvier 1994 relative à l'exercice de la pêche</w:t>
              </w:r>
            </w:hyperlink>
            <w:r w:rsidRPr="004E13E9">
              <w:rPr>
                <w:rFonts w:ascii="Cambria" w:hAnsi="Cambria"/>
                <w:color w:val="000000" w:themeColor="text1"/>
                <w:sz w:val="20"/>
                <w:szCs w:val="20"/>
              </w:rPr>
              <w:t xml:space="preserve"> tel que complétée par la loi 2013-34 du 21 septembre 2013 et la loi 2018-30 du 23 mai 2018. </w:t>
            </w:r>
          </w:p>
          <w:p w14:paraId="4D89052F" w14:textId="77777777" w:rsidR="007C1525" w:rsidRPr="004E13E9" w:rsidRDefault="007C1525" w:rsidP="007313A6">
            <w:pPr>
              <w:jc w:val="both"/>
              <w:rPr>
                <w:rFonts w:ascii="Cambria" w:hAnsi="Cambria"/>
                <w:color w:val="000000" w:themeColor="text1"/>
                <w:sz w:val="20"/>
                <w:szCs w:val="20"/>
              </w:rPr>
            </w:pPr>
            <w:r w:rsidRPr="004E13E9">
              <w:rPr>
                <w:rFonts w:ascii="Cambria" w:hAnsi="Cambria"/>
                <w:color w:val="000000" w:themeColor="text1"/>
                <w:sz w:val="20"/>
                <w:szCs w:val="20"/>
              </w:rPr>
              <w:t>- Arrêté du ministère de l’Agriculture, des Ressources Hydrauliques et de la Pêche du 26 juin 2015 fixant le type des instruments permettant le recueil des informations instantanées relatives aux positions des unités de pêche en mer et le type des unités devant en être équipées.</w:t>
            </w:r>
          </w:p>
          <w:p w14:paraId="1C98B5C4" w14:textId="77777777" w:rsidR="007C1525" w:rsidRPr="004E13E9" w:rsidRDefault="007C1525" w:rsidP="007313A6">
            <w:pPr>
              <w:jc w:val="both"/>
              <w:rPr>
                <w:rFonts w:ascii="Cambria" w:hAnsi="Cambria"/>
                <w:color w:val="auto"/>
                <w:sz w:val="20"/>
                <w:szCs w:val="20"/>
              </w:rPr>
            </w:pPr>
            <w:r w:rsidRPr="004E13E9">
              <w:rPr>
                <w:rFonts w:ascii="Cambria" w:hAnsi="Cambria" w:cstheme="minorBidi"/>
                <w:bCs/>
                <w:color w:val="000000" w:themeColor="text1"/>
                <w:sz w:val="20"/>
                <w:szCs w:val="20"/>
                <w:lang w:bidi="ar-TN"/>
              </w:rPr>
              <w:t>- Arrêté du ministre de l’Agriculture, des ressources hydrauliques et de la pêche du 25 avril 2024 relatif à l’organisation de la pêche de thon rouge et de son engraissement.</w:t>
            </w:r>
          </w:p>
        </w:tc>
        <w:tc>
          <w:tcPr>
            <w:tcW w:w="1127" w:type="dxa"/>
            <w:tcBorders>
              <w:top w:val="single" w:sz="4" w:space="0" w:color="auto"/>
              <w:left w:val="single" w:sz="4" w:space="0" w:color="auto"/>
              <w:bottom w:val="single" w:sz="4" w:space="0" w:color="auto"/>
              <w:right w:val="single" w:sz="4" w:space="0" w:color="auto"/>
            </w:tcBorders>
          </w:tcPr>
          <w:p w14:paraId="2981E3F1" w14:textId="77777777" w:rsidR="007C1525" w:rsidRPr="004E13E9" w:rsidRDefault="007C1525" w:rsidP="007313A6">
            <w:pPr>
              <w:jc w:val="both"/>
              <w:rPr>
                <w:rFonts w:ascii="Cambria" w:hAnsi="Cambria"/>
                <w:color w:val="auto"/>
                <w:sz w:val="20"/>
                <w:szCs w:val="20"/>
              </w:rPr>
            </w:pPr>
          </w:p>
        </w:tc>
      </w:tr>
      <w:tr w:rsidR="007C1525" w:rsidRPr="00C5533C" w14:paraId="6936EEF6" w14:textId="77777777" w:rsidTr="008D75F4">
        <w:tc>
          <w:tcPr>
            <w:tcW w:w="454" w:type="dxa"/>
          </w:tcPr>
          <w:p w14:paraId="148CF8C5" w14:textId="77777777" w:rsidR="007C1525" w:rsidRPr="004E13E9" w:rsidRDefault="007C1525" w:rsidP="00D47E5E">
            <w:pPr>
              <w:rPr>
                <w:rFonts w:ascii="Cambria" w:hAnsi="Cambria"/>
                <w:b/>
                <w:color w:val="auto"/>
                <w:sz w:val="20"/>
                <w:szCs w:val="20"/>
              </w:rPr>
            </w:pPr>
            <w:r w:rsidRPr="004E13E9">
              <w:rPr>
                <w:rFonts w:ascii="Cambria" w:hAnsi="Cambria"/>
                <w:b/>
                <w:color w:val="auto"/>
                <w:sz w:val="20"/>
                <w:szCs w:val="20"/>
              </w:rPr>
              <w:t>8</w:t>
            </w:r>
          </w:p>
        </w:tc>
        <w:tc>
          <w:tcPr>
            <w:tcW w:w="1951" w:type="dxa"/>
          </w:tcPr>
          <w:p w14:paraId="7F304A25" w14:textId="77777777" w:rsidR="007C1525" w:rsidRPr="004E13E9" w:rsidRDefault="007C1525" w:rsidP="00D47E5E">
            <w:pPr>
              <w:rPr>
                <w:rFonts w:ascii="Cambria" w:hAnsi="Cambria"/>
                <w:b/>
                <w:color w:val="auto"/>
                <w:sz w:val="20"/>
                <w:szCs w:val="20"/>
              </w:rPr>
            </w:pPr>
            <w:r w:rsidRPr="004E13E9">
              <w:rPr>
                <w:rFonts w:ascii="Cambria" w:hAnsi="Cambria"/>
                <w:b/>
                <w:color w:val="auto"/>
                <w:sz w:val="20"/>
                <w:szCs w:val="20"/>
              </w:rPr>
              <w:t>Programme d’observateurs des CPC (paragraphes 95-100)</w:t>
            </w:r>
          </w:p>
        </w:tc>
        <w:tc>
          <w:tcPr>
            <w:tcW w:w="2835" w:type="dxa"/>
          </w:tcPr>
          <w:p w14:paraId="7A997090" w14:textId="77777777" w:rsidR="007C1525" w:rsidRPr="004E13E9" w:rsidRDefault="007C1525" w:rsidP="007313A6">
            <w:pPr>
              <w:jc w:val="both"/>
              <w:rPr>
                <w:rFonts w:ascii="Cambria" w:hAnsi="Cambria"/>
                <w:color w:val="000000" w:themeColor="text1"/>
                <w:sz w:val="20"/>
                <w:szCs w:val="20"/>
              </w:rPr>
            </w:pPr>
            <w:r w:rsidRPr="004E13E9">
              <w:rPr>
                <w:rFonts w:ascii="Cambria" w:hAnsi="Cambria"/>
                <w:color w:val="000000" w:themeColor="text1"/>
                <w:sz w:val="20"/>
                <w:szCs w:val="20"/>
              </w:rPr>
              <w:t>L’autorité compétente maintiendra comme les saisons de pêche précédentes un taux de couverture de 100% d’observateurs nationaux à bord des remorqueurs. Une session de formation au profit de ces observateurs sera réalisée avant leur déploiement.</w:t>
            </w:r>
          </w:p>
          <w:p w14:paraId="6B803FB8" w14:textId="77777777" w:rsidR="007C1525" w:rsidRPr="004E13E9" w:rsidRDefault="007C1525" w:rsidP="007313A6">
            <w:pPr>
              <w:jc w:val="both"/>
              <w:rPr>
                <w:rFonts w:ascii="Cambria" w:hAnsi="Cambria"/>
                <w:color w:val="auto"/>
                <w:sz w:val="20"/>
                <w:szCs w:val="20"/>
              </w:rPr>
            </w:pPr>
          </w:p>
        </w:tc>
        <w:tc>
          <w:tcPr>
            <w:tcW w:w="2693" w:type="dxa"/>
          </w:tcPr>
          <w:p w14:paraId="321955FA" w14:textId="77777777" w:rsidR="007C1525" w:rsidRPr="004E13E9" w:rsidRDefault="007C1525" w:rsidP="007313A6">
            <w:pPr>
              <w:jc w:val="both"/>
              <w:rPr>
                <w:rFonts w:ascii="Cambria" w:hAnsi="Cambria"/>
                <w:color w:val="auto"/>
                <w:sz w:val="20"/>
                <w:szCs w:val="20"/>
              </w:rPr>
            </w:pPr>
          </w:p>
        </w:tc>
        <w:tc>
          <w:tcPr>
            <w:tcW w:w="1127" w:type="dxa"/>
          </w:tcPr>
          <w:p w14:paraId="11043376" w14:textId="77777777" w:rsidR="007C1525" w:rsidRPr="004E13E9" w:rsidRDefault="007C1525" w:rsidP="007313A6">
            <w:pPr>
              <w:jc w:val="both"/>
              <w:rPr>
                <w:rFonts w:ascii="Cambria" w:hAnsi="Cambria"/>
                <w:color w:val="auto"/>
                <w:sz w:val="20"/>
                <w:szCs w:val="20"/>
              </w:rPr>
            </w:pPr>
          </w:p>
        </w:tc>
      </w:tr>
      <w:tr w:rsidR="007C1525" w:rsidRPr="00C5533C" w14:paraId="612B0D30" w14:textId="77777777" w:rsidTr="008D75F4">
        <w:tc>
          <w:tcPr>
            <w:tcW w:w="454" w:type="dxa"/>
          </w:tcPr>
          <w:p w14:paraId="7B7A3CF0" w14:textId="77777777" w:rsidR="007C1525" w:rsidRPr="004E13E9" w:rsidRDefault="007C1525" w:rsidP="00D47E5E">
            <w:pPr>
              <w:rPr>
                <w:rFonts w:ascii="Cambria" w:hAnsi="Cambria"/>
                <w:b/>
                <w:color w:val="auto"/>
                <w:sz w:val="20"/>
                <w:szCs w:val="20"/>
              </w:rPr>
            </w:pPr>
            <w:r w:rsidRPr="004E13E9">
              <w:rPr>
                <w:rFonts w:ascii="Cambria" w:hAnsi="Cambria"/>
                <w:b/>
                <w:color w:val="auto"/>
                <w:sz w:val="20"/>
                <w:szCs w:val="20"/>
              </w:rPr>
              <w:t>9</w:t>
            </w:r>
          </w:p>
        </w:tc>
        <w:tc>
          <w:tcPr>
            <w:tcW w:w="1951" w:type="dxa"/>
          </w:tcPr>
          <w:p w14:paraId="1B80C0C5" w14:textId="77777777" w:rsidR="007C1525" w:rsidRPr="004E13E9" w:rsidRDefault="007C1525" w:rsidP="00D47E5E">
            <w:pPr>
              <w:rPr>
                <w:rFonts w:ascii="Cambria" w:hAnsi="Cambria"/>
                <w:b/>
                <w:color w:val="auto"/>
                <w:sz w:val="20"/>
                <w:szCs w:val="20"/>
              </w:rPr>
            </w:pPr>
            <w:r w:rsidRPr="004E13E9">
              <w:rPr>
                <w:rFonts w:ascii="Cambria" w:hAnsi="Cambria"/>
                <w:b/>
                <w:color w:val="auto"/>
                <w:sz w:val="20"/>
                <w:szCs w:val="20"/>
              </w:rPr>
              <w:t>Programme d'observateurs régionaux (paragraphes 101-107)</w:t>
            </w:r>
          </w:p>
        </w:tc>
        <w:tc>
          <w:tcPr>
            <w:tcW w:w="2835" w:type="dxa"/>
          </w:tcPr>
          <w:p w14:paraId="35700987" w14:textId="77777777" w:rsidR="007C1525" w:rsidRPr="004E13E9" w:rsidRDefault="007C1525" w:rsidP="007313A6">
            <w:pPr>
              <w:jc w:val="both"/>
              <w:rPr>
                <w:rFonts w:ascii="Cambria" w:hAnsi="Cambria"/>
                <w:color w:val="auto"/>
                <w:sz w:val="20"/>
                <w:szCs w:val="20"/>
              </w:rPr>
            </w:pPr>
            <w:r w:rsidRPr="004E13E9">
              <w:rPr>
                <w:rFonts w:ascii="Cambria" w:hAnsi="Cambria"/>
                <w:color w:val="auto"/>
                <w:sz w:val="20"/>
                <w:szCs w:val="20"/>
              </w:rPr>
              <w:t>L’autorité compétente assurera la mise en œuvre du programme d’observateurs régionaux pour couvrir les opérations suivantes :</w:t>
            </w:r>
          </w:p>
          <w:p w14:paraId="262A5038" w14:textId="77777777" w:rsidR="007C1525" w:rsidRPr="004E13E9" w:rsidRDefault="007C1525" w:rsidP="007313A6">
            <w:pPr>
              <w:jc w:val="both"/>
              <w:rPr>
                <w:rFonts w:ascii="Cambria" w:hAnsi="Cambria"/>
                <w:color w:val="auto"/>
                <w:sz w:val="20"/>
                <w:szCs w:val="20"/>
              </w:rPr>
            </w:pPr>
            <w:r w:rsidRPr="004E13E9">
              <w:rPr>
                <w:rFonts w:ascii="Cambria" w:hAnsi="Cambria"/>
                <w:color w:val="auto"/>
                <w:sz w:val="20"/>
                <w:szCs w:val="20"/>
              </w:rPr>
              <w:t>-les activités à bord des senneurs ;</w:t>
            </w:r>
          </w:p>
          <w:p w14:paraId="40543575" w14:textId="77777777" w:rsidR="007C1525" w:rsidRPr="004E13E9" w:rsidRDefault="007C1525" w:rsidP="007313A6">
            <w:pPr>
              <w:jc w:val="both"/>
              <w:rPr>
                <w:rFonts w:ascii="Cambria" w:hAnsi="Cambria"/>
                <w:color w:val="auto"/>
                <w:sz w:val="20"/>
                <w:szCs w:val="20"/>
              </w:rPr>
            </w:pPr>
            <w:r w:rsidRPr="004E13E9">
              <w:rPr>
                <w:rFonts w:ascii="Cambria" w:hAnsi="Cambria"/>
                <w:color w:val="auto"/>
                <w:sz w:val="20"/>
                <w:szCs w:val="20"/>
              </w:rPr>
              <w:t>-les transferts de thon rouge vivant aux cages remorquées ;</w:t>
            </w:r>
          </w:p>
          <w:p w14:paraId="79939D6C" w14:textId="77777777" w:rsidR="007C1525" w:rsidRPr="004E13E9" w:rsidRDefault="007C1525" w:rsidP="007313A6">
            <w:pPr>
              <w:jc w:val="both"/>
              <w:rPr>
                <w:rFonts w:ascii="Cambria" w:hAnsi="Cambria"/>
                <w:color w:val="auto"/>
                <w:sz w:val="20"/>
                <w:szCs w:val="20"/>
              </w:rPr>
            </w:pPr>
            <w:r w:rsidRPr="004E13E9">
              <w:rPr>
                <w:rFonts w:ascii="Cambria" w:hAnsi="Cambria"/>
                <w:color w:val="auto"/>
                <w:sz w:val="20"/>
                <w:szCs w:val="20"/>
              </w:rPr>
              <w:t>- les premières mises en cages de thon rouge vivant dans les fermes d’engraissement ;</w:t>
            </w:r>
          </w:p>
          <w:p w14:paraId="2F0B22DC" w14:textId="77777777" w:rsidR="007C1525" w:rsidRPr="004E13E9" w:rsidRDefault="007C1525" w:rsidP="007313A6">
            <w:pPr>
              <w:jc w:val="both"/>
              <w:rPr>
                <w:rFonts w:ascii="Cambria" w:hAnsi="Cambria"/>
                <w:color w:val="auto"/>
                <w:sz w:val="20"/>
                <w:szCs w:val="20"/>
              </w:rPr>
            </w:pPr>
            <w:r w:rsidRPr="004E13E9">
              <w:rPr>
                <w:rFonts w:ascii="Cambria" w:hAnsi="Cambria"/>
                <w:color w:val="auto"/>
                <w:sz w:val="20"/>
                <w:szCs w:val="20"/>
              </w:rPr>
              <w:t>- les mises à mort de thon rouge vivant dans les fermes d’engraissement ;</w:t>
            </w:r>
          </w:p>
          <w:p w14:paraId="594517AE" w14:textId="77777777" w:rsidR="007C1525" w:rsidRPr="004E13E9" w:rsidRDefault="007C1525" w:rsidP="007313A6">
            <w:pPr>
              <w:jc w:val="both"/>
              <w:rPr>
                <w:rFonts w:ascii="Cambria" w:hAnsi="Cambria"/>
                <w:color w:val="auto"/>
                <w:sz w:val="20"/>
                <w:szCs w:val="20"/>
              </w:rPr>
            </w:pPr>
            <w:r w:rsidRPr="004E13E9">
              <w:rPr>
                <w:rFonts w:ascii="Cambria" w:hAnsi="Cambria"/>
                <w:color w:val="auto"/>
                <w:sz w:val="20"/>
                <w:szCs w:val="20"/>
              </w:rPr>
              <w:t>- les transferts de contrôle de thon rouge vivant dans les lieux de pêche ;</w:t>
            </w:r>
          </w:p>
          <w:p w14:paraId="4AAA4C2C" w14:textId="77777777" w:rsidR="007C1525" w:rsidRPr="004E13E9" w:rsidRDefault="007C1525" w:rsidP="007313A6">
            <w:pPr>
              <w:jc w:val="both"/>
              <w:rPr>
                <w:rFonts w:ascii="Cambria" w:hAnsi="Cambria"/>
                <w:color w:val="auto"/>
                <w:sz w:val="20"/>
                <w:szCs w:val="20"/>
              </w:rPr>
            </w:pPr>
            <w:r w:rsidRPr="004E13E9">
              <w:rPr>
                <w:rFonts w:ascii="Cambria" w:hAnsi="Cambria"/>
                <w:color w:val="auto"/>
                <w:sz w:val="20"/>
                <w:szCs w:val="20"/>
              </w:rPr>
              <w:t>- les mises en cage de contrôle de thon rouge vivant dans les fermes d’engraissement ;</w:t>
            </w:r>
          </w:p>
          <w:p w14:paraId="02390549" w14:textId="77777777" w:rsidR="007C1525" w:rsidRPr="004E13E9" w:rsidRDefault="007C1525" w:rsidP="007313A6">
            <w:pPr>
              <w:jc w:val="both"/>
              <w:rPr>
                <w:rFonts w:ascii="Cambria" w:hAnsi="Cambria"/>
                <w:color w:val="auto"/>
                <w:sz w:val="20"/>
                <w:szCs w:val="20"/>
              </w:rPr>
            </w:pPr>
            <w:r w:rsidRPr="004E13E9">
              <w:rPr>
                <w:rFonts w:ascii="Cambria" w:hAnsi="Cambria"/>
                <w:color w:val="auto"/>
                <w:sz w:val="20"/>
                <w:szCs w:val="20"/>
              </w:rPr>
              <w:t>- les transferts inter-fermes de thon rouge vivant ;</w:t>
            </w:r>
          </w:p>
          <w:p w14:paraId="608C7811" w14:textId="77777777" w:rsidR="007C1525" w:rsidRPr="004E13E9" w:rsidRDefault="007C1525" w:rsidP="007313A6">
            <w:pPr>
              <w:jc w:val="both"/>
              <w:rPr>
                <w:rFonts w:ascii="Cambria" w:hAnsi="Cambria"/>
                <w:color w:val="auto"/>
                <w:sz w:val="20"/>
                <w:szCs w:val="20"/>
              </w:rPr>
            </w:pPr>
            <w:r w:rsidRPr="004E13E9">
              <w:rPr>
                <w:rFonts w:ascii="Cambria" w:hAnsi="Cambria"/>
                <w:color w:val="auto"/>
                <w:sz w:val="20"/>
                <w:szCs w:val="20"/>
              </w:rPr>
              <w:t xml:space="preserve">- les relâchements depuis les </w:t>
            </w:r>
            <w:proofErr w:type="spellStart"/>
            <w:r w:rsidRPr="004E13E9">
              <w:rPr>
                <w:rFonts w:ascii="Cambria" w:hAnsi="Cambria"/>
                <w:color w:val="auto"/>
                <w:sz w:val="20"/>
                <w:szCs w:val="20"/>
              </w:rPr>
              <w:t>sennes</w:t>
            </w:r>
            <w:proofErr w:type="spellEnd"/>
            <w:r w:rsidRPr="004E13E9">
              <w:rPr>
                <w:rFonts w:ascii="Cambria" w:hAnsi="Cambria"/>
                <w:color w:val="auto"/>
                <w:sz w:val="20"/>
                <w:szCs w:val="20"/>
              </w:rPr>
              <w:t xml:space="preserve"> et les cages d’engraissement.</w:t>
            </w:r>
          </w:p>
        </w:tc>
        <w:tc>
          <w:tcPr>
            <w:tcW w:w="2693" w:type="dxa"/>
          </w:tcPr>
          <w:p w14:paraId="07E70703" w14:textId="77777777" w:rsidR="007C1525" w:rsidRPr="004E13E9" w:rsidRDefault="007C1525" w:rsidP="007313A6">
            <w:pPr>
              <w:jc w:val="both"/>
              <w:rPr>
                <w:rFonts w:ascii="Cambria" w:hAnsi="Cambria"/>
                <w:color w:val="auto"/>
                <w:sz w:val="20"/>
                <w:szCs w:val="20"/>
              </w:rPr>
            </w:pPr>
          </w:p>
        </w:tc>
        <w:tc>
          <w:tcPr>
            <w:tcW w:w="1127" w:type="dxa"/>
          </w:tcPr>
          <w:p w14:paraId="4504B89C" w14:textId="77777777" w:rsidR="007C1525" w:rsidRPr="004E13E9" w:rsidRDefault="007C1525" w:rsidP="007313A6">
            <w:pPr>
              <w:jc w:val="both"/>
              <w:rPr>
                <w:rFonts w:ascii="Cambria" w:hAnsi="Cambria"/>
                <w:color w:val="auto"/>
                <w:sz w:val="20"/>
                <w:szCs w:val="20"/>
              </w:rPr>
            </w:pPr>
          </w:p>
        </w:tc>
      </w:tr>
      <w:tr w:rsidR="007C1525" w:rsidRPr="00C5533C" w14:paraId="5D6A8C34" w14:textId="77777777" w:rsidTr="008D75F4">
        <w:tc>
          <w:tcPr>
            <w:tcW w:w="454" w:type="dxa"/>
          </w:tcPr>
          <w:p w14:paraId="4BA5E672" w14:textId="77777777" w:rsidR="007C1525" w:rsidRPr="004E13E9" w:rsidRDefault="007C1525" w:rsidP="00D47E5E">
            <w:pPr>
              <w:rPr>
                <w:rFonts w:ascii="Cambria" w:hAnsi="Cambria"/>
                <w:b/>
                <w:bCs/>
                <w:iCs/>
                <w:color w:val="auto"/>
                <w:sz w:val="20"/>
                <w:szCs w:val="20"/>
              </w:rPr>
            </w:pPr>
            <w:r w:rsidRPr="004E13E9">
              <w:rPr>
                <w:rFonts w:ascii="Cambria" w:hAnsi="Cambria"/>
                <w:b/>
                <w:bCs/>
                <w:iCs/>
                <w:color w:val="auto"/>
                <w:sz w:val="20"/>
                <w:szCs w:val="20"/>
              </w:rPr>
              <w:t>10</w:t>
            </w:r>
          </w:p>
        </w:tc>
        <w:tc>
          <w:tcPr>
            <w:tcW w:w="1951" w:type="dxa"/>
          </w:tcPr>
          <w:p w14:paraId="36866E7E" w14:textId="77777777" w:rsidR="007C1525" w:rsidRPr="004E13E9" w:rsidRDefault="007C1525" w:rsidP="00D47E5E">
            <w:pPr>
              <w:rPr>
                <w:rFonts w:ascii="Cambria" w:hAnsi="Cambria"/>
                <w:b/>
                <w:bCs/>
                <w:iCs/>
                <w:color w:val="auto"/>
                <w:sz w:val="20"/>
                <w:szCs w:val="20"/>
              </w:rPr>
            </w:pPr>
            <w:r w:rsidRPr="004E13E9">
              <w:rPr>
                <w:rFonts w:ascii="Cambria" w:hAnsi="Cambria"/>
                <w:b/>
                <w:bCs/>
                <w:iCs/>
                <w:color w:val="auto"/>
                <w:sz w:val="20"/>
                <w:szCs w:val="20"/>
              </w:rPr>
              <w:t>Législation nationale</w:t>
            </w:r>
          </w:p>
        </w:tc>
        <w:tc>
          <w:tcPr>
            <w:tcW w:w="2835" w:type="dxa"/>
            <w:tcBorders>
              <w:top w:val="single" w:sz="4" w:space="0" w:color="auto"/>
              <w:left w:val="single" w:sz="4" w:space="0" w:color="auto"/>
              <w:bottom w:val="single" w:sz="4" w:space="0" w:color="auto"/>
              <w:right w:val="single" w:sz="4" w:space="0" w:color="auto"/>
            </w:tcBorders>
          </w:tcPr>
          <w:p w14:paraId="5E49B1C3" w14:textId="77777777" w:rsidR="007C1525" w:rsidRPr="004E13E9" w:rsidRDefault="007C1525" w:rsidP="007313A6">
            <w:pPr>
              <w:jc w:val="both"/>
              <w:rPr>
                <w:rFonts w:ascii="Cambria" w:hAnsi="Cambria"/>
                <w:color w:val="auto"/>
                <w:sz w:val="20"/>
                <w:szCs w:val="20"/>
              </w:rPr>
            </w:pPr>
            <w:r w:rsidRPr="004E13E9">
              <w:rPr>
                <w:rFonts w:ascii="Cambria" w:hAnsi="Cambria"/>
                <w:color w:val="000000" w:themeColor="text1"/>
                <w:sz w:val="20"/>
                <w:szCs w:val="20"/>
              </w:rPr>
              <w:t>L</w:t>
            </w:r>
            <w:r w:rsidRPr="004E13E9">
              <w:rPr>
                <w:rFonts w:ascii="Cambria" w:hAnsi="Cambria"/>
                <w:color w:val="000000" w:themeColor="text1"/>
                <w:sz w:val="20"/>
                <w:szCs w:val="20"/>
                <w:lang w:bidi="ar-SA"/>
              </w:rPr>
              <w:t xml:space="preserve">a Tunisie ne cesse de déployer des efforts convenables pour la gestion responsable de l’activité de thon rouge par les textes législatifs appropriés et ce, pour être </w:t>
            </w:r>
            <w:r w:rsidRPr="004E13E9">
              <w:rPr>
                <w:rFonts w:ascii="Cambria" w:hAnsi="Cambria"/>
                <w:color w:val="000000" w:themeColor="text1"/>
                <w:sz w:val="20"/>
                <w:szCs w:val="20"/>
                <w:lang w:bidi="ar-TN"/>
              </w:rPr>
              <w:t xml:space="preserve">en accord et intégrité </w:t>
            </w:r>
            <w:r w:rsidRPr="004E13E9">
              <w:rPr>
                <w:rFonts w:ascii="Cambria" w:hAnsi="Cambria"/>
                <w:color w:val="000000" w:themeColor="text1"/>
                <w:sz w:val="20"/>
                <w:szCs w:val="20"/>
                <w:lang w:bidi="ar-SA"/>
              </w:rPr>
              <w:t xml:space="preserve">avec les Recommandations de l’ICCAT. </w:t>
            </w:r>
          </w:p>
        </w:tc>
        <w:tc>
          <w:tcPr>
            <w:tcW w:w="2693" w:type="dxa"/>
            <w:tcBorders>
              <w:top w:val="single" w:sz="4" w:space="0" w:color="auto"/>
              <w:left w:val="single" w:sz="4" w:space="0" w:color="auto"/>
              <w:bottom w:val="single" w:sz="4" w:space="0" w:color="auto"/>
              <w:right w:val="single" w:sz="4" w:space="0" w:color="auto"/>
            </w:tcBorders>
          </w:tcPr>
          <w:p w14:paraId="4C356573" w14:textId="77777777" w:rsidR="007C1525" w:rsidRPr="004E13E9" w:rsidRDefault="007C1525" w:rsidP="007313A6">
            <w:pPr>
              <w:jc w:val="both"/>
              <w:rPr>
                <w:rFonts w:ascii="Cambria" w:hAnsi="Cambria"/>
                <w:color w:val="000000" w:themeColor="text1"/>
                <w:sz w:val="20"/>
                <w:szCs w:val="20"/>
              </w:rPr>
            </w:pPr>
            <w:r w:rsidRPr="004E13E9">
              <w:rPr>
                <w:rFonts w:ascii="Cambria" w:hAnsi="Cambria"/>
                <w:sz w:val="20"/>
                <w:szCs w:val="20"/>
              </w:rPr>
              <w:t xml:space="preserve">- </w:t>
            </w:r>
            <w:hyperlink r:id="rId188" w:history="1">
              <w:r w:rsidRPr="004E13E9">
                <w:rPr>
                  <w:rStyle w:val="Hyperlink"/>
                  <w:rFonts w:ascii="Cambria" w:hAnsi="Cambria"/>
                  <w:color w:val="000000" w:themeColor="text1"/>
                  <w:sz w:val="20"/>
                  <w:szCs w:val="20"/>
                  <w:u w:val="none"/>
                </w:rPr>
                <w:t xml:space="preserve">Loi n° 94-13 du 31 janvier 1994 </w:t>
              </w:r>
              <w:r w:rsidRPr="004E13E9">
                <w:rPr>
                  <w:rStyle w:val="Hyperlink"/>
                  <w:rFonts w:ascii="Cambria" w:hAnsi="Cambria"/>
                  <w:color w:val="auto"/>
                  <w:sz w:val="20"/>
                  <w:szCs w:val="20"/>
                  <w:u w:val="none"/>
                </w:rPr>
                <w:t>relative</w:t>
              </w:r>
              <w:r w:rsidRPr="004E13E9">
                <w:rPr>
                  <w:rStyle w:val="Hyperlink"/>
                  <w:rFonts w:ascii="Cambria" w:hAnsi="Cambria"/>
                  <w:color w:val="000000" w:themeColor="text1"/>
                  <w:sz w:val="20"/>
                  <w:szCs w:val="20"/>
                  <w:u w:val="none"/>
                </w:rPr>
                <w:t xml:space="preserve"> à l'exercice de la pêche</w:t>
              </w:r>
            </w:hyperlink>
            <w:r w:rsidRPr="004E13E9">
              <w:rPr>
                <w:rFonts w:ascii="Cambria" w:hAnsi="Cambria"/>
                <w:color w:val="000000" w:themeColor="text1"/>
                <w:sz w:val="20"/>
                <w:szCs w:val="20"/>
              </w:rPr>
              <w:t xml:space="preserve"> tel que complétée par la loi 2013-34 du 21 septembre 2013 et la loi 2018-30 du 23 mai 2018.</w:t>
            </w:r>
          </w:p>
          <w:p w14:paraId="3781BDED" w14:textId="77777777" w:rsidR="007C1525" w:rsidRPr="004E13E9" w:rsidRDefault="007C1525" w:rsidP="007313A6">
            <w:pPr>
              <w:jc w:val="both"/>
              <w:rPr>
                <w:rFonts w:ascii="Cambria" w:hAnsi="Cambria"/>
                <w:color w:val="000000" w:themeColor="text1"/>
                <w:sz w:val="20"/>
                <w:szCs w:val="20"/>
              </w:rPr>
            </w:pPr>
          </w:p>
          <w:p w14:paraId="075FFC13" w14:textId="03606CC5" w:rsidR="007C1525" w:rsidRPr="004E13E9" w:rsidRDefault="007C1525" w:rsidP="00487A5C">
            <w:pPr>
              <w:pStyle w:val="ListParagraph"/>
              <w:widowControl w:val="0"/>
              <w:numPr>
                <w:ilvl w:val="0"/>
                <w:numId w:val="32"/>
              </w:numPr>
              <w:shd w:val="clear" w:color="auto" w:fill="FFFFFF" w:themeFill="background1"/>
              <w:spacing w:after="0" w:line="240" w:lineRule="auto"/>
              <w:ind w:left="66" w:right="-24" w:hanging="142"/>
              <w:jc w:val="both"/>
              <w:rPr>
                <w:rFonts w:ascii="Cambria" w:hAnsi="Cambria"/>
                <w:color w:val="000000" w:themeColor="text1"/>
                <w:sz w:val="20"/>
                <w:szCs w:val="20"/>
              </w:rPr>
            </w:pPr>
            <w:r w:rsidRPr="004E13E9">
              <w:rPr>
                <w:rFonts w:ascii="Cambria" w:hAnsi="Cambria"/>
                <w:color w:val="000000" w:themeColor="text1"/>
                <w:sz w:val="20"/>
                <w:szCs w:val="20"/>
              </w:rPr>
              <w:t xml:space="preserve">Arrêté du ministère de l’Agriculture, des Ressources Hydrauliques et de la Pêche du 26 juin 2015 </w:t>
            </w:r>
            <w:r w:rsidRPr="004E13E9">
              <w:rPr>
                <w:rFonts w:ascii="Cambria" w:hAnsi="Cambria"/>
                <w:color w:val="auto"/>
                <w:sz w:val="20"/>
                <w:szCs w:val="20"/>
              </w:rPr>
              <w:t>fixant</w:t>
            </w:r>
            <w:r w:rsidRPr="004E13E9">
              <w:rPr>
                <w:rFonts w:ascii="Cambria" w:hAnsi="Cambria"/>
                <w:color w:val="000000" w:themeColor="text1"/>
                <w:sz w:val="20"/>
                <w:szCs w:val="20"/>
              </w:rPr>
              <w:t xml:space="preserve"> le type des instruments permettant le recueil des informations instantanées relatives aux positions des unités de pêche en mer et le type des unités devant en être équipées.</w:t>
            </w:r>
          </w:p>
          <w:p w14:paraId="0856299E" w14:textId="77777777" w:rsidR="007C1525" w:rsidRPr="004E13E9" w:rsidRDefault="007C1525" w:rsidP="007313A6">
            <w:pPr>
              <w:jc w:val="both"/>
              <w:rPr>
                <w:rFonts w:ascii="Cambria" w:hAnsi="Cambria"/>
                <w:color w:val="000000" w:themeColor="text1"/>
                <w:sz w:val="20"/>
                <w:szCs w:val="20"/>
              </w:rPr>
            </w:pPr>
          </w:p>
          <w:p w14:paraId="6C87352A" w14:textId="258038DF" w:rsidR="007C1525" w:rsidRPr="004E13E9" w:rsidRDefault="007C1525" w:rsidP="00487A5C">
            <w:pPr>
              <w:pStyle w:val="ListParagraph"/>
              <w:widowControl w:val="0"/>
              <w:numPr>
                <w:ilvl w:val="0"/>
                <w:numId w:val="32"/>
              </w:numPr>
              <w:shd w:val="clear" w:color="auto" w:fill="FFFFFF" w:themeFill="background1"/>
              <w:spacing w:after="0" w:line="240" w:lineRule="auto"/>
              <w:ind w:left="66" w:right="-24" w:hanging="142"/>
              <w:jc w:val="both"/>
              <w:rPr>
                <w:rFonts w:ascii="Cambria" w:hAnsi="Cambria"/>
                <w:color w:val="auto"/>
                <w:sz w:val="20"/>
                <w:szCs w:val="20"/>
              </w:rPr>
            </w:pPr>
            <w:r w:rsidRPr="004E13E9">
              <w:rPr>
                <w:rFonts w:ascii="Cambria" w:hAnsi="Cambria"/>
                <w:color w:val="auto"/>
                <w:sz w:val="20"/>
                <w:szCs w:val="20"/>
              </w:rPr>
              <w:t>Arrêté du ministre de l’Agriculture, des ressources hydrauliques et de la pêche du 7 avril 2025 relatif à l’organisation de la pêche de thon rouge et de son engraissement</w:t>
            </w:r>
          </w:p>
        </w:tc>
        <w:tc>
          <w:tcPr>
            <w:tcW w:w="1127" w:type="dxa"/>
          </w:tcPr>
          <w:p w14:paraId="1A0F70E4" w14:textId="77777777" w:rsidR="007C1525" w:rsidRPr="004E13E9" w:rsidRDefault="007C1525" w:rsidP="007313A6">
            <w:pPr>
              <w:jc w:val="both"/>
              <w:rPr>
                <w:rFonts w:ascii="Cambria" w:hAnsi="Cambria"/>
                <w:color w:val="auto"/>
                <w:sz w:val="20"/>
                <w:szCs w:val="20"/>
              </w:rPr>
            </w:pPr>
          </w:p>
        </w:tc>
      </w:tr>
      <w:tr w:rsidR="007C1525" w:rsidRPr="00C5533C" w14:paraId="43276BD9" w14:textId="77777777" w:rsidTr="008D75F4">
        <w:tc>
          <w:tcPr>
            <w:tcW w:w="454" w:type="dxa"/>
          </w:tcPr>
          <w:p w14:paraId="5B919BA1" w14:textId="77777777" w:rsidR="007C1525" w:rsidRPr="004E13E9" w:rsidRDefault="007C1525" w:rsidP="00D47E5E">
            <w:pPr>
              <w:rPr>
                <w:rFonts w:ascii="Cambria" w:hAnsi="Cambria"/>
                <w:i/>
                <w:color w:val="auto"/>
                <w:sz w:val="20"/>
                <w:szCs w:val="20"/>
              </w:rPr>
            </w:pPr>
          </w:p>
        </w:tc>
        <w:tc>
          <w:tcPr>
            <w:tcW w:w="1951" w:type="dxa"/>
          </w:tcPr>
          <w:p w14:paraId="7C0C492D" w14:textId="77777777" w:rsidR="007C1525" w:rsidRPr="004E13E9" w:rsidRDefault="007C1525" w:rsidP="00D47E5E">
            <w:pPr>
              <w:rPr>
                <w:rFonts w:ascii="Cambria" w:hAnsi="Cambria"/>
                <w:i/>
                <w:color w:val="auto"/>
                <w:sz w:val="20"/>
                <w:szCs w:val="20"/>
              </w:rPr>
            </w:pPr>
            <w:r w:rsidRPr="004E13E9">
              <w:rPr>
                <w:rFonts w:ascii="Cambria" w:hAnsi="Cambria"/>
                <w:i/>
                <w:color w:val="auto"/>
                <w:sz w:val="20"/>
                <w:szCs w:val="20"/>
              </w:rPr>
              <w:t>Autres exigences, telles que :</w:t>
            </w:r>
          </w:p>
          <w:p w14:paraId="7E602D71" w14:textId="77777777" w:rsidR="007C1525" w:rsidRPr="004E13E9" w:rsidRDefault="007C1525" w:rsidP="00D47E5E">
            <w:pPr>
              <w:rPr>
                <w:rFonts w:ascii="Cambria" w:hAnsi="Cambria"/>
                <w:i/>
                <w:color w:val="auto"/>
                <w:sz w:val="20"/>
                <w:szCs w:val="20"/>
              </w:rPr>
            </w:pPr>
            <w:r w:rsidRPr="004E13E9">
              <w:rPr>
                <w:rFonts w:ascii="Cambria" w:hAnsi="Cambria"/>
                <w:i/>
                <w:color w:val="auto"/>
                <w:sz w:val="20"/>
                <w:szCs w:val="20"/>
              </w:rPr>
              <w:t>programme de marquage (paragraphe 44), etc.</w:t>
            </w:r>
          </w:p>
        </w:tc>
        <w:tc>
          <w:tcPr>
            <w:tcW w:w="2835" w:type="dxa"/>
            <w:tcBorders>
              <w:top w:val="single" w:sz="4" w:space="0" w:color="auto"/>
              <w:left w:val="single" w:sz="4" w:space="0" w:color="auto"/>
              <w:bottom w:val="single" w:sz="4" w:space="0" w:color="auto"/>
              <w:right w:val="single" w:sz="4" w:space="0" w:color="auto"/>
            </w:tcBorders>
          </w:tcPr>
          <w:p w14:paraId="4ABC500C" w14:textId="77777777" w:rsidR="007C1525" w:rsidRPr="004E13E9" w:rsidRDefault="007C1525" w:rsidP="007313A6">
            <w:pPr>
              <w:jc w:val="both"/>
              <w:rPr>
                <w:rFonts w:ascii="Cambria" w:hAnsi="Cambria"/>
                <w:color w:val="auto"/>
                <w:sz w:val="20"/>
                <w:szCs w:val="20"/>
              </w:rPr>
            </w:pPr>
            <w:r w:rsidRPr="004E13E9">
              <w:rPr>
                <w:rFonts w:ascii="Cambria" w:hAnsi="Cambria"/>
                <w:color w:val="000000" w:themeColor="text1"/>
                <w:sz w:val="20"/>
                <w:szCs w:val="20"/>
              </w:rPr>
              <w:t>Un programme national scientifique est mis en place et couvre 10% des navires de capture autorisés. De même, toutes les opérations de mise à mort sont exécutées en présence de représentants de l’autorité compétente et de la recherche afin de réaliser les échantillonnages exigés au terme des dispositions de la Rec. 22-08 et d’accomplir les exigences de déclaration statistiques liées à la tâche 2.</w:t>
            </w:r>
          </w:p>
        </w:tc>
        <w:tc>
          <w:tcPr>
            <w:tcW w:w="2693" w:type="dxa"/>
          </w:tcPr>
          <w:p w14:paraId="3557A9E9" w14:textId="77777777" w:rsidR="007C1525" w:rsidRPr="004E13E9" w:rsidRDefault="007C1525" w:rsidP="007313A6">
            <w:pPr>
              <w:jc w:val="both"/>
              <w:rPr>
                <w:rFonts w:ascii="Cambria" w:hAnsi="Cambria"/>
                <w:color w:val="auto"/>
                <w:sz w:val="20"/>
                <w:szCs w:val="20"/>
              </w:rPr>
            </w:pPr>
          </w:p>
        </w:tc>
        <w:tc>
          <w:tcPr>
            <w:tcW w:w="1127" w:type="dxa"/>
          </w:tcPr>
          <w:p w14:paraId="7F1E2968" w14:textId="77777777" w:rsidR="007C1525" w:rsidRPr="004E13E9" w:rsidRDefault="007C1525" w:rsidP="007313A6">
            <w:pPr>
              <w:jc w:val="both"/>
              <w:rPr>
                <w:rFonts w:ascii="Cambria" w:hAnsi="Cambria"/>
                <w:color w:val="auto"/>
                <w:sz w:val="20"/>
                <w:szCs w:val="20"/>
              </w:rPr>
            </w:pPr>
          </w:p>
        </w:tc>
      </w:tr>
    </w:tbl>
    <w:p w14:paraId="5A61416B" w14:textId="77777777" w:rsidR="007C1525" w:rsidRPr="004E13E9" w:rsidRDefault="007C1525" w:rsidP="007C1525">
      <w:pPr>
        <w:rPr>
          <w:bCs/>
          <w:lang w:val="fr-FR"/>
        </w:rPr>
      </w:pPr>
    </w:p>
    <w:p w14:paraId="60177AB0" w14:textId="77777777" w:rsidR="007C1525" w:rsidRPr="004E13E9" w:rsidRDefault="007C1525" w:rsidP="008D75F4">
      <w:pPr>
        <w:jc w:val="both"/>
        <w:rPr>
          <w:b/>
          <w:i/>
          <w:iCs/>
          <w:lang w:val="fr-FR"/>
        </w:rPr>
      </w:pPr>
      <w:r w:rsidRPr="004E13E9">
        <w:rPr>
          <w:b/>
          <w:i/>
          <w:iCs/>
          <w:lang w:val="fr-FR"/>
        </w:rPr>
        <w:t>1e) Ports désignés (paragraphe 80)</w:t>
      </w:r>
    </w:p>
    <w:p w14:paraId="7FCAA373" w14:textId="77777777" w:rsidR="007C1525" w:rsidRPr="004E13E9" w:rsidRDefault="007C1525" w:rsidP="008D75F4">
      <w:pPr>
        <w:jc w:val="both"/>
        <w:rPr>
          <w:lang w:val="fr-FR"/>
        </w:rPr>
      </w:pPr>
    </w:p>
    <w:p w14:paraId="1BED7A1A" w14:textId="77777777" w:rsidR="007C1525" w:rsidRPr="004E13E9" w:rsidRDefault="007C1525" w:rsidP="008D75F4">
      <w:pPr>
        <w:pStyle w:val="ListParagraph"/>
        <w:ind w:left="0"/>
        <w:jc w:val="both"/>
        <w:rPr>
          <w:rFonts w:ascii="Cambria" w:eastAsia="Times New Roman" w:hAnsi="Cambria" w:cs="Calibri"/>
          <w:color w:val="000000" w:themeColor="text1"/>
          <w:sz w:val="20"/>
          <w:szCs w:val="20"/>
        </w:rPr>
      </w:pPr>
      <w:r w:rsidRPr="004E13E9">
        <w:rPr>
          <w:rFonts w:ascii="Cambria" w:hAnsi="Cambria"/>
          <w:bCs/>
          <w:color w:val="000000" w:themeColor="text1"/>
          <w:sz w:val="20"/>
          <w:szCs w:val="20"/>
        </w:rPr>
        <w:t>Le débarquement et le transbordement du thon rouge mort n’est autorisé qu’au sein des ports désignés et dont la liste sera déclarée à l’ICCAT dans les délais. Il s’agit des 12 ports localisés dans les zones Nord, Est et Sud :</w:t>
      </w:r>
    </w:p>
    <w:p w14:paraId="0071ECB9" w14:textId="77777777" w:rsidR="007C1525" w:rsidRPr="004E13E9" w:rsidRDefault="007C1525" w:rsidP="00487A5C">
      <w:pPr>
        <w:pStyle w:val="ListParagraph"/>
        <w:widowControl w:val="0"/>
        <w:numPr>
          <w:ilvl w:val="0"/>
          <w:numId w:val="49"/>
        </w:numPr>
        <w:spacing w:after="0" w:line="240" w:lineRule="auto"/>
        <w:jc w:val="both"/>
        <w:rPr>
          <w:rFonts w:ascii="Cambria" w:hAnsi="Cambria"/>
          <w:bCs/>
          <w:color w:val="000000" w:themeColor="text1"/>
          <w:sz w:val="20"/>
          <w:szCs w:val="20"/>
        </w:rPr>
      </w:pPr>
      <w:r w:rsidRPr="004E13E9">
        <w:rPr>
          <w:rFonts w:ascii="Cambria" w:eastAsia="Times New Roman" w:hAnsi="Cambria" w:cs="Calibri"/>
          <w:color w:val="000000" w:themeColor="text1"/>
          <w:sz w:val="20"/>
          <w:szCs w:val="20"/>
        </w:rPr>
        <w:t>Tabarka,</w:t>
      </w:r>
    </w:p>
    <w:p w14:paraId="2D932E4E" w14:textId="77777777" w:rsidR="007C1525" w:rsidRPr="004E13E9" w:rsidRDefault="007C1525" w:rsidP="00487A5C">
      <w:pPr>
        <w:pStyle w:val="ListParagraph"/>
        <w:widowControl w:val="0"/>
        <w:numPr>
          <w:ilvl w:val="0"/>
          <w:numId w:val="49"/>
        </w:numPr>
        <w:spacing w:after="0" w:line="240" w:lineRule="auto"/>
        <w:jc w:val="both"/>
        <w:rPr>
          <w:rFonts w:ascii="Cambria" w:hAnsi="Cambria"/>
          <w:bCs/>
          <w:color w:val="000000" w:themeColor="text1"/>
          <w:sz w:val="20"/>
          <w:szCs w:val="20"/>
        </w:rPr>
      </w:pPr>
      <w:r w:rsidRPr="004E13E9">
        <w:rPr>
          <w:rFonts w:ascii="Cambria" w:eastAsia="Times New Roman" w:hAnsi="Cambria" w:cs="Calibri"/>
          <w:color w:val="000000" w:themeColor="text1"/>
          <w:sz w:val="20"/>
          <w:szCs w:val="20"/>
        </w:rPr>
        <w:t>Bizerte,</w:t>
      </w:r>
    </w:p>
    <w:p w14:paraId="0264298D" w14:textId="77777777" w:rsidR="007C1525" w:rsidRPr="004E13E9" w:rsidRDefault="007C1525" w:rsidP="00487A5C">
      <w:pPr>
        <w:pStyle w:val="ListParagraph"/>
        <w:widowControl w:val="0"/>
        <w:numPr>
          <w:ilvl w:val="0"/>
          <w:numId w:val="49"/>
        </w:numPr>
        <w:spacing w:after="0" w:line="240" w:lineRule="auto"/>
        <w:jc w:val="both"/>
        <w:rPr>
          <w:rFonts w:ascii="Cambria" w:hAnsi="Cambria"/>
          <w:bCs/>
          <w:color w:val="000000" w:themeColor="text1"/>
          <w:sz w:val="20"/>
          <w:szCs w:val="20"/>
        </w:rPr>
      </w:pPr>
      <w:r w:rsidRPr="004E13E9">
        <w:rPr>
          <w:rFonts w:ascii="Cambria" w:eastAsia="Times New Roman" w:hAnsi="Cambria" w:cs="Calibri"/>
          <w:color w:val="000000" w:themeColor="text1"/>
          <w:sz w:val="20"/>
          <w:szCs w:val="20"/>
        </w:rPr>
        <w:t>La Goulette,</w:t>
      </w:r>
    </w:p>
    <w:p w14:paraId="579AC294" w14:textId="77777777" w:rsidR="007C1525" w:rsidRPr="004E13E9" w:rsidRDefault="007C1525" w:rsidP="00487A5C">
      <w:pPr>
        <w:pStyle w:val="ListParagraph"/>
        <w:widowControl w:val="0"/>
        <w:numPr>
          <w:ilvl w:val="0"/>
          <w:numId w:val="49"/>
        </w:numPr>
        <w:spacing w:after="0" w:line="240" w:lineRule="auto"/>
        <w:jc w:val="both"/>
        <w:rPr>
          <w:rFonts w:ascii="Cambria" w:hAnsi="Cambria"/>
          <w:bCs/>
          <w:color w:val="000000" w:themeColor="text1"/>
          <w:sz w:val="20"/>
          <w:szCs w:val="20"/>
        </w:rPr>
      </w:pPr>
      <w:proofErr w:type="spellStart"/>
      <w:r w:rsidRPr="004E13E9">
        <w:rPr>
          <w:rFonts w:ascii="Cambria" w:eastAsia="Times New Roman" w:hAnsi="Cambria" w:cs="Calibri"/>
          <w:color w:val="000000" w:themeColor="text1"/>
          <w:sz w:val="20"/>
          <w:szCs w:val="20"/>
        </w:rPr>
        <w:t>Kélibia</w:t>
      </w:r>
      <w:proofErr w:type="spellEnd"/>
      <w:r w:rsidRPr="004E13E9">
        <w:rPr>
          <w:rFonts w:ascii="Cambria" w:eastAsia="Times New Roman" w:hAnsi="Cambria" w:cs="Calibri"/>
          <w:color w:val="000000" w:themeColor="text1"/>
          <w:sz w:val="20"/>
          <w:szCs w:val="20"/>
        </w:rPr>
        <w:t>,</w:t>
      </w:r>
    </w:p>
    <w:p w14:paraId="67277A60" w14:textId="77777777" w:rsidR="007C1525" w:rsidRPr="004E13E9" w:rsidRDefault="007C1525" w:rsidP="00487A5C">
      <w:pPr>
        <w:pStyle w:val="ListParagraph"/>
        <w:widowControl w:val="0"/>
        <w:numPr>
          <w:ilvl w:val="0"/>
          <w:numId w:val="49"/>
        </w:numPr>
        <w:spacing w:after="0" w:line="240" w:lineRule="auto"/>
        <w:jc w:val="both"/>
        <w:rPr>
          <w:rFonts w:ascii="Cambria" w:hAnsi="Cambria"/>
          <w:bCs/>
          <w:color w:val="000000" w:themeColor="text1"/>
          <w:sz w:val="20"/>
          <w:szCs w:val="20"/>
        </w:rPr>
      </w:pPr>
      <w:r w:rsidRPr="004E13E9">
        <w:rPr>
          <w:rFonts w:ascii="Cambria" w:eastAsia="Times New Roman" w:hAnsi="Cambria" w:cs="Calibri"/>
          <w:color w:val="000000" w:themeColor="text1"/>
          <w:sz w:val="20"/>
          <w:szCs w:val="20"/>
        </w:rPr>
        <w:t>Sousse,</w:t>
      </w:r>
    </w:p>
    <w:p w14:paraId="708E9C6C" w14:textId="77777777" w:rsidR="007C1525" w:rsidRPr="004E13E9" w:rsidRDefault="007C1525" w:rsidP="00487A5C">
      <w:pPr>
        <w:pStyle w:val="ListParagraph"/>
        <w:widowControl w:val="0"/>
        <w:numPr>
          <w:ilvl w:val="0"/>
          <w:numId w:val="49"/>
        </w:numPr>
        <w:spacing w:after="0" w:line="240" w:lineRule="auto"/>
        <w:jc w:val="both"/>
        <w:rPr>
          <w:rFonts w:ascii="Cambria" w:hAnsi="Cambria"/>
          <w:bCs/>
          <w:color w:val="000000" w:themeColor="text1"/>
          <w:sz w:val="20"/>
          <w:szCs w:val="20"/>
        </w:rPr>
      </w:pPr>
      <w:r w:rsidRPr="004E13E9">
        <w:rPr>
          <w:rFonts w:ascii="Cambria" w:eastAsia="Times New Roman" w:hAnsi="Cambria" w:cs="Calibri"/>
          <w:color w:val="000000" w:themeColor="text1"/>
          <w:sz w:val="20"/>
          <w:szCs w:val="20"/>
        </w:rPr>
        <w:t>Monastir,</w:t>
      </w:r>
    </w:p>
    <w:p w14:paraId="2A13DC7D" w14:textId="77777777" w:rsidR="007C1525" w:rsidRPr="004E13E9" w:rsidRDefault="007C1525" w:rsidP="00487A5C">
      <w:pPr>
        <w:pStyle w:val="ListParagraph"/>
        <w:widowControl w:val="0"/>
        <w:numPr>
          <w:ilvl w:val="0"/>
          <w:numId w:val="49"/>
        </w:numPr>
        <w:spacing w:after="0" w:line="240" w:lineRule="auto"/>
        <w:jc w:val="both"/>
        <w:rPr>
          <w:rFonts w:ascii="Cambria" w:hAnsi="Cambria"/>
          <w:bCs/>
          <w:color w:val="000000" w:themeColor="text1"/>
          <w:sz w:val="20"/>
          <w:szCs w:val="20"/>
        </w:rPr>
      </w:pPr>
      <w:proofErr w:type="spellStart"/>
      <w:r w:rsidRPr="004E13E9">
        <w:rPr>
          <w:rFonts w:ascii="Cambria" w:eastAsia="Times New Roman" w:hAnsi="Cambria" w:cs="Calibri"/>
          <w:color w:val="000000" w:themeColor="text1"/>
          <w:sz w:val="20"/>
          <w:szCs w:val="20"/>
        </w:rPr>
        <w:t>Téboulba</w:t>
      </w:r>
      <w:proofErr w:type="spellEnd"/>
      <w:r w:rsidRPr="004E13E9">
        <w:rPr>
          <w:rFonts w:ascii="Cambria" w:eastAsia="Times New Roman" w:hAnsi="Cambria" w:cs="Calibri"/>
          <w:color w:val="000000" w:themeColor="text1"/>
          <w:sz w:val="20"/>
          <w:szCs w:val="20"/>
        </w:rPr>
        <w:t>,</w:t>
      </w:r>
    </w:p>
    <w:p w14:paraId="56FE679F" w14:textId="77777777" w:rsidR="007C1525" w:rsidRPr="004E13E9" w:rsidRDefault="007C1525" w:rsidP="00487A5C">
      <w:pPr>
        <w:pStyle w:val="ListParagraph"/>
        <w:widowControl w:val="0"/>
        <w:numPr>
          <w:ilvl w:val="0"/>
          <w:numId w:val="49"/>
        </w:numPr>
        <w:spacing w:after="0" w:line="240" w:lineRule="auto"/>
        <w:jc w:val="both"/>
        <w:rPr>
          <w:rFonts w:ascii="Cambria" w:hAnsi="Cambria"/>
          <w:bCs/>
          <w:color w:val="000000" w:themeColor="text1"/>
          <w:sz w:val="20"/>
          <w:szCs w:val="20"/>
        </w:rPr>
      </w:pPr>
      <w:r w:rsidRPr="004E13E9">
        <w:rPr>
          <w:rFonts w:ascii="Cambria" w:eastAsia="Times New Roman" w:hAnsi="Cambria" w:cs="Calibri"/>
          <w:color w:val="000000" w:themeColor="text1"/>
          <w:sz w:val="20"/>
          <w:szCs w:val="20"/>
        </w:rPr>
        <w:t>Mahdia,</w:t>
      </w:r>
    </w:p>
    <w:p w14:paraId="78DA3226" w14:textId="77777777" w:rsidR="007C1525" w:rsidRPr="004E13E9" w:rsidRDefault="007C1525" w:rsidP="00487A5C">
      <w:pPr>
        <w:pStyle w:val="ListParagraph"/>
        <w:widowControl w:val="0"/>
        <w:numPr>
          <w:ilvl w:val="0"/>
          <w:numId w:val="49"/>
        </w:numPr>
        <w:spacing w:after="0" w:line="240" w:lineRule="auto"/>
        <w:jc w:val="both"/>
        <w:rPr>
          <w:rFonts w:ascii="Cambria" w:hAnsi="Cambria"/>
          <w:bCs/>
          <w:color w:val="000000" w:themeColor="text1"/>
          <w:sz w:val="20"/>
          <w:szCs w:val="20"/>
        </w:rPr>
      </w:pPr>
      <w:r w:rsidRPr="004E13E9">
        <w:rPr>
          <w:rFonts w:ascii="Cambria" w:eastAsia="Times New Roman" w:hAnsi="Cambria" w:cs="Calibri"/>
          <w:color w:val="000000" w:themeColor="text1"/>
          <w:sz w:val="20"/>
          <w:szCs w:val="20"/>
        </w:rPr>
        <w:t xml:space="preserve">La </w:t>
      </w:r>
      <w:proofErr w:type="spellStart"/>
      <w:r w:rsidRPr="004E13E9">
        <w:rPr>
          <w:rFonts w:ascii="Cambria" w:eastAsia="Times New Roman" w:hAnsi="Cambria" w:cs="Calibri"/>
          <w:color w:val="000000" w:themeColor="text1"/>
          <w:sz w:val="20"/>
          <w:szCs w:val="20"/>
        </w:rPr>
        <w:t>Chebba</w:t>
      </w:r>
      <w:proofErr w:type="spellEnd"/>
      <w:r w:rsidRPr="004E13E9">
        <w:rPr>
          <w:rFonts w:ascii="Cambria" w:eastAsia="Times New Roman" w:hAnsi="Cambria" w:cs="Calibri"/>
          <w:color w:val="000000" w:themeColor="text1"/>
          <w:sz w:val="20"/>
          <w:szCs w:val="20"/>
        </w:rPr>
        <w:t>,</w:t>
      </w:r>
    </w:p>
    <w:p w14:paraId="65C2D184" w14:textId="77777777" w:rsidR="007C1525" w:rsidRPr="004E13E9" w:rsidRDefault="007C1525" w:rsidP="00487A5C">
      <w:pPr>
        <w:pStyle w:val="ListParagraph"/>
        <w:widowControl w:val="0"/>
        <w:numPr>
          <w:ilvl w:val="0"/>
          <w:numId w:val="49"/>
        </w:numPr>
        <w:spacing w:after="0" w:line="240" w:lineRule="auto"/>
        <w:jc w:val="both"/>
        <w:rPr>
          <w:rFonts w:ascii="Cambria" w:hAnsi="Cambria"/>
          <w:bCs/>
          <w:color w:val="000000" w:themeColor="text1"/>
          <w:sz w:val="20"/>
          <w:szCs w:val="20"/>
        </w:rPr>
      </w:pPr>
      <w:r w:rsidRPr="004E13E9">
        <w:rPr>
          <w:rFonts w:ascii="Cambria" w:eastAsia="Times New Roman" w:hAnsi="Cambria" w:cs="Calibri"/>
          <w:color w:val="000000" w:themeColor="text1"/>
          <w:sz w:val="20"/>
          <w:szCs w:val="20"/>
        </w:rPr>
        <w:t>Sfax,</w:t>
      </w:r>
    </w:p>
    <w:p w14:paraId="7DEC9C93" w14:textId="77777777" w:rsidR="007C1525" w:rsidRPr="004E13E9" w:rsidRDefault="007C1525" w:rsidP="00487A5C">
      <w:pPr>
        <w:pStyle w:val="ListParagraph"/>
        <w:widowControl w:val="0"/>
        <w:numPr>
          <w:ilvl w:val="0"/>
          <w:numId w:val="49"/>
        </w:numPr>
        <w:spacing w:after="0" w:line="240" w:lineRule="auto"/>
        <w:jc w:val="both"/>
        <w:rPr>
          <w:rFonts w:ascii="Cambria" w:hAnsi="Cambria"/>
          <w:bCs/>
          <w:color w:val="000000" w:themeColor="text1"/>
          <w:sz w:val="20"/>
          <w:szCs w:val="20"/>
        </w:rPr>
      </w:pPr>
      <w:r w:rsidRPr="004E13E9">
        <w:rPr>
          <w:rFonts w:ascii="Cambria" w:eastAsia="Times New Roman" w:hAnsi="Cambria" w:cs="Calibri"/>
          <w:color w:val="000000" w:themeColor="text1"/>
          <w:sz w:val="20"/>
          <w:szCs w:val="20"/>
        </w:rPr>
        <w:t>Gabès</w:t>
      </w:r>
    </w:p>
    <w:p w14:paraId="793FBB9E" w14:textId="77777777" w:rsidR="007C1525" w:rsidRPr="004E13E9" w:rsidRDefault="007C1525" w:rsidP="00487A5C">
      <w:pPr>
        <w:pStyle w:val="ListParagraph"/>
        <w:numPr>
          <w:ilvl w:val="0"/>
          <w:numId w:val="49"/>
        </w:numPr>
        <w:spacing w:after="0" w:line="240" w:lineRule="auto"/>
        <w:jc w:val="both"/>
        <w:rPr>
          <w:rFonts w:ascii="Cambria" w:hAnsi="Cambria"/>
          <w:b/>
          <w:sz w:val="20"/>
          <w:szCs w:val="20"/>
        </w:rPr>
      </w:pPr>
      <w:proofErr w:type="spellStart"/>
      <w:r w:rsidRPr="004E13E9">
        <w:rPr>
          <w:rFonts w:ascii="Cambria" w:eastAsia="Times New Roman" w:hAnsi="Cambria" w:cs="Calibri"/>
          <w:color w:val="000000" w:themeColor="text1"/>
          <w:sz w:val="20"/>
          <w:szCs w:val="20"/>
        </w:rPr>
        <w:t>Zarzis</w:t>
      </w:r>
      <w:proofErr w:type="spellEnd"/>
      <w:r w:rsidRPr="004E13E9">
        <w:rPr>
          <w:rFonts w:ascii="Cambria" w:eastAsia="Times New Roman" w:hAnsi="Cambria" w:cs="Calibri"/>
          <w:color w:val="000000" w:themeColor="text1"/>
          <w:sz w:val="20"/>
          <w:szCs w:val="20"/>
        </w:rPr>
        <w:t>.</w:t>
      </w:r>
    </w:p>
    <w:p w14:paraId="1D0DA54B" w14:textId="77777777" w:rsidR="007C1525" w:rsidRPr="004E13E9" w:rsidRDefault="007C1525" w:rsidP="008D75F4">
      <w:pPr>
        <w:jc w:val="both"/>
        <w:rPr>
          <w:b/>
          <w:lang w:eastAsia="ja-JP"/>
        </w:rPr>
      </w:pPr>
    </w:p>
    <w:p w14:paraId="2F8B02B1" w14:textId="77777777" w:rsidR="007C1525" w:rsidRPr="004E13E9" w:rsidRDefault="007C1525" w:rsidP="008D75F4">
      <w:pPr>
        <w:jc w:val="both"/>
        <w:rPr>
          <w:b/>
          <w:lang w:eastAsia="ja-JP"/>
        </w:rPr>
      </w:pPr>
    </w:p>
    <w:p w14:paraId="02F30EFB" w14:textId="77777777" w:rsidR="007C1525" w:rsidRPr="004E13E9" w:rsidRDefault="007C1525" w:rsidP="008D75F4">
      <w:pPr>
        <w:ind w:left="426" w:hanging="426"/>
        <w:jc w:val="both"/>
        <w:rPr>
          <w:b/>
          <w:lang w:val="fr-FR"/>
        </w:rPr>
      </w:pPr>
      <w:r w:rsidRPr="004E13E9">
        <w:rPr>
          <w:b/>
          <w:lang w:val="fr-FR"/>
        </w:rPr>
        <w:t>2.</w:t>
      </w:r>
      <w:r w:rsidRPr="004E13E9">
        <w:rPr>
          <w:b/>
          <w:lang w:val="fr-FR"/>
        </w:rPr>
        <w:tab/>
        <w:t>Plan annuel de gestion de la capacité de pêche (paragraphes 14-21)</w:t>
      </w:r>
    </w:p>
    <w:p w14:paraId="41925C05" w14:textId="77777777" w:rsidR="007C1525" w:rsidRPr="004E13E9" w:rsidRDefault="007C1525" w:rsidP="008D75F4">
      <w:pPr>
        <w:jc w:val="both"/>
        <w:rPr>
          <w:b/>
          <w:lang w:val="fr-FR"/>
        </w:rPr>
      </w:pPr>
    </w:p>
    <w:p w14:paraId="6905FA74" w14:textId="65E42AD1" w:rsidR="008D75F4" w:rsidRPr="004E13E9" w:rsidRDefault="007C1525" w:rsidP="008D75F4">
      <w:pPr>
        <w:jc w:val="both"/>
        <w:rPr>
          <w:b/>
          <w:lang w:val="fr-FR"/>
        </w:rPr>
      </w:pPr>
      <w:r w:rsidRPr="004E13E9">
        <w:rPr>
          <w:iCs/>
          <w:lang w:val="fr-FR" w:eastAsia="ja-JP"/>
        </w:rPr>
        <w:t>Le TAC tunisien est ajusté à 3.528,55 t parmi lesquels une part de 35,28 t est réservée aux prises accessoires. Le quota admissible pour les senneurs est de 3.493,26 t. Le tableau de la capacité joint au présent rapport récapitule les capacités de pêche par type de navire. Il y a une sous-capacité de 128,58 t.</w:t>
      </w:r>
      <w:r w:rsidR="008D75F4" w:rsidRPr="004E13E9">
        <w:rPr>
          <w:b/>
          <w:lang w:val="fr-FR"/>
        </w:rPr>
        <w:br w:type="page"/>
      </w:r>
    </w:p>
    <w:p w14:paraId="2301A3B5" w14:textId="59107FDC" w:rsidR="007C1525" w:rsidRPr="004E13E9" w:rsidRDefault="007C1525" w:rsidP="008D75F4">
      <w:pPr>
        <w:ind w:left="426" w:hanging="426"/>
        <w:jc w:val="both"/>
        <w:rPr>
          <w:b/>
          <w:lang w:val="fr-FR"/>
        </w:rPr>
      </w:pPr>
      <w:r w:rsidRPr="004E13E9">
        <w:rPr>
          <w:b/>
          <w:lang w:val="fr-FR"/>
        </w:rPr>
        <w:t>3.</w:t>
      </w:r>
      <w:r w:rsidRPr="004E13E9">
        <w:rPr>
          <w:b/>
          <w:lang w:val="fr-FR"/>
        </w:rPr>
        <w:tab/>
        <w:t xml:space="preserve">Plan annuel de gestion de l’élevage (paragraphes </w:t>
      </w:r>
      <w:r w:rsidRPr="004E13E9">
        <w:rPr>
          <w:rStyle w:val="Hyperlink"/>
          <w:u w:val="none"/>
          <w:lang w:val="fr-FR"/>
        </w:rPr>
        <w:t>22 et 23</w:t>
      </w:r>
      <w:r w:rsidRPr="004E13E9">
        <w:rPr>
          <w:b/>
          <w:lang w:val="fr-FR"/>
        </w:rPr>
        <w:t>)</w:t>
      </w:r>
    </w:p>
    <w:p w14:paraId="10F22D00" w14:textId="77777777" w:rsidR="007C1525" w:rsidRPr="004E13E9" w:rsidRDefault="007C1525" w:rsidP="008D75F4">
      <w:pPr>
        <w:jc w:val="both"/>
        <w:rPr>
          <w:b/>
          <w:lang w:val="fr-FR"/>
        </w:rPr>
      </w:pPr>
    </w:p>
    <w:p w14:paraId="35B50F19" w14:textId="77777777" w:rsidR="007C1525" w:rsidRPr="004E13E9" w:rsidRDefault="007C1525" w:rsidP="008D75F4">
      <w:pPr>
        <w:shd w:val="clear" w:color="auto" w:fill="FFFFFF" w:themeFill="background1"/>
        <w:jc w:val="both"/>
        <w:rPr>
          <w:bCs/>
          <w:color w:val="000000" w:themeColor="text1"/>
          <w:lang w:val="fr-FR"/>
        </w:rPr>
      </w:pPr>
      <w:r w:rsidRPr="004E13E9">
        <w:rPr>
          <w:color w:val="000000" w:themeColor="text1"/>
          <w:lang w:val="fr-FR"/>
        </w:rPr>
        <w:t>En application des dispositions des paragraphes 22 et 23 de la Rec. 25-04, la Tunisie autorise un</w:t>
      </w:r>
      <w:r w:rsidRPr="004E13E9">
        <w:rPr>
          <w:bCs/>
          <w:color w:val="000000" w:themeColor="text1"/>
          <w:lang w:val="fr-FR"/>
        </w:rPr>
        <w:t xml:space="preserve"> volume total d’entrée de thon rouge en 2026 de l’ordre de 3.600 t.</w:t>
      </w:r>
    </w:p>
    <w:p w14:paraId="7E111176" w14:textId="77777777" w:rsidR="007C1525" w:rsidRPr="004E13E9" w:rsidRDefault="007C1525" w:rsidP="008D75F4">
      <w:pPr>
        <w:shd w:val="clear" w:color="auto" w:fill="FFFFFF" w:themeFill="background1"/>
        <w:jc w:val="both"/>
        <w:rPr>
          <w:bCs/>
          <w:color w:val="000000" w:themeColor="text1"/>
          <w:lang w:val="fr-FR"/>
        </w:rPr>
      </w:pPr>
    </w:p>
    <w:p w14:paraId="6FD7E4D5" w14:textId="77777777" w:rsidR="007C1525" w:rsidRPr="004E13E9" w:rsidRDefault="007C1525" w:rsidP="008D75F4">
      <w:pPr>
        <w:jc w:val="both"/>
        <w:rPr>
          <w:lang w:val="fr-FR"/>
        </w:rPr>
      </w:pPr>
      <w:r w:rsidRPr="004E13E9">
        <w:rPr>
          <w:lang w:val="fr-FR"/>
        </w:rPr>
        <w:t>Deux contrôles aléatoires dans les fermes sont prévus, un après la mise en cage et le deuxième avant la mise à mort.</w:t>
      </w:r>
    </w:p>
    <w:p w14:paraId="4872C114" w14:textId="77777777" w:rsidR="007C1525" w:rsidRPr="004E13E9" w:rsidRDefault="007C1525" w:rsidP="008D75F4">
      <w:pPr>
        <w:jc w:val="both"/>
        <w:rPr>
          <w:lang w:val="fr-FR"/>
        </w:rPr>
      </w:pPr>
    </w:p>
    <w:p w14:paraId="75660649" w14:textId="77777777" w:rsidR="007C1525" w:rsidRPr="004E13E9" w:rsidRDefault="007C1525" w:rsidP="008D75F4">
      <w:pPr>
        <w:shd w:val="clear" w:color="auto" w:fill="FFFFFF" w:themeFill="background1"/>
        <w:tabs>
          <w:tab w:val="left" w:pos="1065"/>
        </w:tabs>
        <w:jc w:val="both"/>
        <w:rPr>
          <w:bCs/>
          <w:color w:val="000000" w:themeColor="text1"/>
          <w:lang w:val="fr-FR"/>
        </w:rPr>
      </w:pPr>
      <w:r w:rsidRPr="004E13E9">
        <w:rPr>
          <w:bCs/>
          <w:color w:val="000000" w:themeColor="text1"/>
          <w:lang w:val="fr-FR"/>
        </w:rPr>
        <w:t>Six (6) fermes sont autorisées à exercer leurs activités d’engraissement au titre de l’année 2026 (tableau ci-dessous).</w:t>
      </w:r>
    </w:p>
    <w:p w14:paraId="660C1F8B" w14:textId="77777777" w:rsidR="007C1525" w:rsidRPr="004E13E9" w:rsidRDefault="007C1525" w:rsidP="008D75F4">
      <w:pPr>
        <w:shd w:val="clear" w:color="auto" w:fill="FFFFFF" w:themeFill="background1"/>
        <w:tabs>
          <w:tab w:val="left" w:pos="1065"/>
        </w:tabs>
        <w:jc w:val="both"/>
        <w:rPr>
          <w:bCs/>
          <w:color w:val="000000" w:themeColor="text1"/>
          <w:lang w:val="fr-FR"/>
        </w:rPr>
      </w:pPr>
    </w:p>
    <w:p w14:paraId="7A230F9A" w14:textId="77777777" w:rsidR="007C1525" w:rsidRPr="004E13E9" w:rsidRDefault="007C1525" w:rsidP="00487A5C">
      <w:pPr>
        <w:pStyle w:val="ListParagraph"/>
        <w:widowControl w:val="0"/>
        <w:numPr>
          <w:ilvl w:val="0"/>
          <w:numId w:val="50"/>
        </w:numPr>
        <w:spacing w:after="0" w:line="240" w:lineRule="auto"/>
        <w:ind w:left="851" w:hanging="425"/>
        <w:jc w:val="both"/>
        <w:rPr>
          <w:rFonts w:ascii="Cambria" w:hAnsi="Cambria"/>
          <w:color w:val="000000" w:themeColor="text1"/>
          <w:sz w:val="20"/>
          <w:szCs w:val="20"/>
        </w:rPr>
      </w:pPr>
      <w:r w:rsidRPr="004E13E9">
        <w:rPr>
          <w:rFonts w:ascii="Cambria" w:hAnsi="Cambria"/>
          <w:color w:val="000000" w:themeColor="text1"/>
          <w:sz w:val="20"/>
          <w:szCs w:val="20"/>
        </w:rPr>
        <w:t xml:space="preserve">Pour le report de thon rouge vivant de 2025 à 2026, un report est envisagé dans la ferme </w:t>
      </w:r>
      <w:r w:rsidRPr="004E13E9">
        <w:rPr>
          <w:rFonts w:ascii="Cambria" w:hAnsi="Cambria"/>
          <w:i/>
          <w:iCs/>
          <w:color w:val="000000" w:themeColor="text1"/>
          <w:sz w:val="20"/>
          <w:szCs w:val="20"/>
        </w:rPr>
        <w:t>Tunisia Tuna</w:t>
      </w:r>
      <w:r w:rsidRPr="004E13E9">
        <w:rPr>
          <w:rFonts w:ascii="Cambria" w:hAnsi="Cambria"/>
          <w:color w:val="000000" w:themeColor="text1"/>
          <w:sz w:val="20"/>
          <w:szCs w:val="20"/>
        </w:rPr>
        <w:t>. Une déclaration actualisée à ce propos sera déclarée à l’ICCAT conformément au paragraphe 210 de la Rec. 25-04.</w:t>
      </w:r>
    </w:p>
    <w:p w14:paraId="2E1A8DAB" w14:textId="77777777" w:rsidR="007C1525" w:rsidRPr="004E13E9" w:rsidRDefault="007C1525" w:rsidP="008D75F4">
      <w:pPr>
        <w:tabs>
          <w:tab w:val="left" w:pos="3825"/>
        </w:tabs>
        <w:jc w:val="both"/>
        <w:rPr>
          <w:color w:val="000000" w:themeColor="text1"/>
          <w:lang w:val="fr-FR"/>
        </w:rPr>
      </w:pPr>
      <w:r w:rsidRPr="004E13E9">
        <w:rPr>
          <w:color w:val="000000" w:themeColor="text1"/>
          <w:lang w:val="fr-FR"/>
        </w:rPr>
        <w:tab/>
      </w:r>
    </w:p>
    <w:p w14:paraId="4BB9A360" w14:textId="77777777" w:rsidR="007C1525" w:rsidRPr="004E13E9" w:rsidRDefault="007C1525" w:rsidP="008D75F4">
      <w:pPr>
        <w:jc w:val="both"/>
        <w:rPr>
          <w:lang w:val="fr-FR"/>
        </w:rPr>
      </w:pPr>
      <w:r w:rsidRPr="004E13E9">
        <w:rPr>
          <w:bCs/>
          <w:color w:val="000000" w:themeColor="text1"/>
          <w:lang w:val="fr-FR"/>
        </w:rPr>
        <w:t xml:space="preserve">Nonobstant, </w:t>
      </w:r>
      <w:proofErr w:type="gramStart"/>
      <w:r w:rsidRPr="004E13E9">
        <w:rPr>
          <w:bCs/>
          <w:color w:val="000000" w:themeColor="text1"/>
          <w:lang w:val="fr-FR"/>
        </w:rPr>
        <w:t>toute</w:t>
      </w:r>
      <w:proofErr w:type="gramEnd"/>
      <w:r w:rsidRPr="004E13E9">
        <w:rPr>
          <w:bCs/>
          <w:color w:val="000000" w:themeColor="text1"/>
          <w:lang w:val="fr-FR"/>
        </w:rPr>
        <w:t xml:space="preserve"> éventuelle modification portée au niveau du plan d’élevage sera notifiée au Secrétariat de l’ICCAT dans les délais.</w:t>
      </w:r>
    </w:p>
    <w:p w14:paraId="2BBD73F1" w14:textId="77777777" w:rsidR="007C1525" w:rsidRPr="004E13E9" w:rsidRDefault="007C1525" w:rsidP="008D75F4">
      <w:pPr>
        <w:jc w:val="both"/>
        <w:rPr>
          <w:lang w:val="fr-FR"/>
        </w:rPr>
      </w:pPr>
    </w:p>
    <w:p w14:paraId="1E15A4C4" w14:textId="7D4B86F0" w:rsidR="007C1525" w:rsidRPr="004E13E9" w:rsidRDefault="007C1525" w:rsidP="008D75F4">
      <w:pPr>
        <w:jc w:val="both"/>
        <w:rPr>
          <w:b/>
          <w:lang w:val="fr-FR"/>
        </w:rPr>
      </w:pPr>
    </w:p>
    <w:p w14:paraId="3F5EC03B" w14:textId="77777777" w:rsidR="007C1525" w:rsidRPr="004E13E9" w:rsidRDefault="007C1525" w:rsidP="008D75F4">
      <w:pPr>
        <w:ind w:left="426" w:hanging="426"/>
        <w:jc w:val="both"/>
        <w:rPr>
          <w:b/>
          <w:lang w:val="fr-FR"/>
        </w:rPr>
      </w:pPr>
      <w:r w:rsidRPr="004E13E9">
        <w:rPr>
          <w:b/>
          <w:lang w:val="fr-FR"/>
        </w:rPr>
        <w:t>4.</w:t>
      </w:r>
      <w:r w:rsidRPr="004E13E9">
        <w:rPr>
          <w:b/>
          <w:lang w:val="fr-FR"/>
        </w:rPr>
        <w:tab/>
        <w:t xml:space="preserve">Plan annuel d’aquaculture (paragraphe 10 e) de la </w:t>
      </w:r>
      <w:hyperlink r:id="rId189" w:history="1">
        <w:r w:rsidRPr="004E13E9">
          <w:rPr>
            <w:rStyle w:val="Hyperlink"/>
            <w:u w:val="none"/>
            <w:lang w:val="fr-FR"/>
          </w:rPr>
          <w:t xml:space="preserve">Rec. 25-04 </w:t>
        </w:r>
      </w:hyperlink>
      <w:r w:rsidRPr="004E13E9">
        <w:rPr>
          <w:b/>
          <w:lang w:val="fr-FR"/>
        </w:rPr>
        <w:t xml:space="preserve">conformément à la </w:t>
      </w:r>
      <w:hyperlink r:id="rId190" w:history="1">
        <w:r w:rsidRPr="004E13E9">
          <w:rPr>
            <w:rStyle w:val="Hyperlink"/>
            <w:u w:val="none"/>
            <w:lang w:val="fr-FR"/>
          </w:rPr>
          <w:t>Rec. 24-07</w:t>
        </w:r>
      </w:hyperlink>
      <w:r w:rsidRPr="004E13E9">
        <w:rPr>
          <w:b/>
          <w:lang w:val="fr-FR"/>
        </w:rPr>
        <w:t>), le cas échéant</w:t>
      </w:r>
    </w:p>
    <w:p w14:paraId="310166C9" w14:textId="77777777" w:rsidR="007C1525" w:rsidRPr="004E13E9" w:rsidRDefault="007C1525" w:rsidP="008D75F4">
      <w:pPr>
        <w:jc w:val="both"/>
        <w:rPr>
          <w:b/>
          <w:lang w:val="fr-FR"/>
        </w:rPr>
      </w:pPr>
    </w:p>
    <w:p w14:paraId="1DD0EE36" w14:textId="77777777" w:rsidR="007C1525" w:rsidRPr="004E13E9" w:rsidRDefault="007C1525" w:rsidP="008D75F4">
      <w:pPr>
        <w:jc w:val="both"/>
        <w:rPr>
          <w:iCs/>
          <w:color w:val="000000" w:themeColor="text1"/>
          <w:lang w:val="fr-FR"/>
        </w:rPr>
      </w:pPr>
      <w:r w:rsidRPr="004E13E9">
        <w:rPr>
          <w:bCs/>
          <w:color w:val="000000" w:themeColor="text1"/>
          <w:lang w:val="fr-FR"/>
        </w:rPr>
        <w:t xml:space="preserve">Aucune activité d’aquaculture de thon rouge n’est envisagée en 2026. </w:t>
      </w:r>
      <w:r w:rsidRPr="004E13E9">
        <w:rPr>
          <w:iCs/>
          <w:color w:val="000000" w:themeColor="text1"/>
          <w:lang w:val="fr-FR"/>
        </w:rPr>
        <w:t>Toute information complémentaire à ce sujet sera soumise à l’ICCAT selon les exigences pertinentes qui y sont relatives.</w:t>
      </w:r>
    </w:p>
    <w:p w14:paraId="734F4224" w14:textId="77777777" w:rsidR="007C1525" w:rsidRPr="004E13E9" w:rsidRDefault="007C1525" w:rsidP="008D75F4">
      <w:pPr>
        <w:jc w:val="both"/>
        <w:rPr>
          <w:lang w:val="fr-FR"/>
        </w:rPr>
      </w:pPr>
    </w:p>
    <w:p w14:paraId="42A94595" w14:textId="77777777" w:rsidR="007C1525" w:rsidRPr="004E13E9" w:rsidRDefault="007C1525" w:rsidP="008D75F4">
      <w:pPr>
        <w:jc w:val="both"/>
        <w:rPr>
          <w:b/>
          <w:lang w:val="fr-FR"/>
        </w:rPr>
      </w:pPr>
    </w:p>
    <w:p w14:paraId="72DF2B2F" w14:textId="77777777" w:rsidR="007C1525" w:rsidRPr="004E13E9" w:rsidRDefault="007C1525" w:rsidP="008D75F4">
      <w:pPr>
        <w:ind w:left="426" w:hanging="426"/>
        <w:jc w:val="both"/>
        <w:rPr>
          <w:b/>
          <w:lang w:val="fr-FR"/>
        </w:rPr>
      </w:pPr>
      <w:r w:rsidRPr="004E13E9">
        <w:rPr>
          <w:b/>
          <w:lang w:val="fr-FR"/>
        </w:rPr>
        <w:t xml:space="preserve">5. </w:t>
      </w:r>
      <w:r w:rsidRPr="004E13E9">
        <w:rPr>
          <w:b/>
          <w:lang w:val="fr-FR"/>
        </w:rPr>
        <w:tab/>
        <w:t>Plan de suivi, contrôle et inspection</w:t>
      </w:r>
    </w:p>
    <w:p w14:paraId="7688A3E8" w14:textId="77777777" w:rsidR="007C1525" w:rsidRPr="004E13E9" w:rsidRDefault="007C1525" w:rsidP="008D75F4">
      <w:pPr>
        <w:jc w:val="both"/>
        <w:rPr>
          <w:b/>
          <w:lang w:val="fr-FR"/>
        </w:rPr>
      </w:pPr>
    </w:p>
    <w:p w14:paraId="7304E29B" w14:textId="77777777" w:rsidR="007C1525" w:rsidRPr="004E13E9" w:rsidRDefault="007C1525" w:rsidP="008D75F4">
      <w:pPr>
        <w:jc w:val="both"/>
        <w:rPr>
          <w:b/>
          <w:i/>
          <w:iCs/>
          <w:lang w:val="fr-FR"/>
        </w:rPr>
      </w:pPr>
      <w:r w:rsidRPr="004E13E9">
        <w:rPr>
          <w:b/>
          <w:i/>
          <w:iCs/>
          <w:lang w:val="fr-FR"/>
        </w:rPr>
        <w:t>5a) Suivi, contrôle et inspection de la CPC (paragraphe 10 c)</w:t>
      </w:r>
    </w:p>
    <w:p w14:paraId="1D7640BB" w14:textId="77777777" w:rsidR="007C1525" w:rsidRPr="004E13E9" w:rsidRDefault="007C1525" w:rsidP="008D75F4">
      <w:pPr>
        <w:jc w:val="both"/>
        <w:rPr>
          <w:lang w:val="fr-FR"/>
        </w:rPr>
      </w:pPr>
    </w:p>
    <w:p w14:paraId="5C9E197A" w14:textId="77777777" w:rsidR="007C1525" w:rsidRPr="004E13E9" w:rsidRDefault="007C1525" w:rsidP="008D75F4">
      <w:pPr>
        <w:jc w:val="both"/>
        <w:rPr>
          <w:bCs/>
          <w:color w:val="000000" w:themeColor="text1"/>
          <w:lang w:val="fr-FR"/>
        </w:rPr>
      </w:pPr>
      <w:r w:rsidRPr="004E13E9">
        <w:rPr>
          <w:bCs/>
          <w:color w:val="000000" w:themeColor="text1"/>
          <w:lang w:val="fr-FR"/>
        </w:rPr>
        <w:t>La législation tunisienne a mis en valeur la nécessité du suivi de la traçabilité de tous les produits de pêche notamment les thonidés ayant pour but principal la rationalisation de l’exploitation de thon rouge. En effet, le contrôle de l’exercice de pêche de thon rouge s’effectue à plusieurs niveaux depuis les points de capture jusqu’à sa mise à mort dans les fermes d’engraissement et transport ou transformation pour l’exportation.</w:t>
      </w:r>
    </w:p>
    <w:p w14:paraId="38444B77" w14:textId="77777777" w:rsidR="007C1525" w:rsidRPr="004E13E9" w:rsidRDefault="007C1525" w:rsidP="008D75F4">
      <w:pPr>
        <w:jc w:val="both"/>
        <w:rPr>
          <w:bCs/>
          <w:color w:val="000000" w:themeColor="text1"/>
          <w:lang w:val="fr-FR"/>
        </w:rPr>
      </w:pPr>
    </w:p>
    <w:p w14:paraId="2F0FEE85" w14:textId="77777777" w:rsidR="007C1525" w:rsidRPr="004E13E9" w:rsidRDefault="007C1525" w:rsidP="00487A5C">
      <w:pPr>
        <w:pStyle w:val="ListParagraph"/>
        <w:widowControl w:val="0"/>
        <w:numPr>
          <w:ilvl w:val="0"/>
          <w:numId w:val="49"/>
        </w:numPr>
        <w:shd w:val="clear" w:color="auto" w:fill="FFFFFF" w:themeFill="background1"/>
        <w:spacing w:after="0" w:line="240" w:lineRule="auto"/>
        <w:ind w:left="851" w:hanging="425"/>
        <w:jc w:val="both"/>
        <w:rPr>
          <w:rFonts w:ascii="Cambria" w:hAnsi="Cambria"/>
          <w:bCs/>
          <w:color w:val="000000" w:themeColor="text1"/>
          <w:sz w:val="20"/>
          <w:szCs w:val="20"/>
        </w:rPr>
      </w:pPr>
      <w:r w:rsidRPr="004E13E9">
        <w:rPr>
          <w:rFonts w:ascii="Cambria" w:hAnsi="Cambria"/>
          <w:bCs/>
          <w:i/>
          <w:iCs/>
          <w:color w:val="000000" w:themeColor="text1"/>
          <w:sz w:val="20"/>
          <w:szCs w:val="20"/>
        </w:rPr>
        <w:t>Contrôle au sein des ports de pêche </w:t>
      </w:r>
      <w:r w:rsidRPr="004E13E9">
        <w:rPr>
          <w:rFonts w:ascii="Cambria" w:hAnsi="Cambria"/>
          <w:bCs/>
          <w:color w:val="000000" w:themeColor="text1"/>
          <w:sz w:val="20"/>
          <w:szCs w:val="20"/>
        </w:rPr>
        <w:t>: des missions d’inspection quotidiennes sont assurées le long de l’année par des agents assermentés et habilités à exercer la police de la pêche et relevant des services régionaux de l’autorité compétente (ministère de l’agriculture, des ressources hydrauliques et de la pêche) ainsi que par d’autres instances relevant des ministères de l’intérieur, le ministère de la défense, le ministère du transport, le ministère des finances (</w:t>
      </w:r>
      <w:hyperlink r:id="rId191" w:history="1">
        <w:r w:rsidRPr="004E13E9">
          <w:rPr>
            <w:rStyle w:val="Hyperlink"/>
            <w:rFonts w:ascii="Cambria" w:hAnsi="Cambria"/>
            <w:color w:val="000000" w:themeColor="text1"/>
            <w:sz w:val="20"/>
            <w:szCs w:val="20"/>
            <w:u w:val="none"/>
          </w:rPr>
          <w:t>Loi nº 94-13 du 31 janvier 1994 relative à l'exercice de la pêche</w:t>
        </w:r>
      </w:hyperlink>
      <w:r w:rsidRPr="004E13E9">
        <w:rPr>
          <w:rFonts w:ascii="Cambria" w:hAnsi="Cambria"/>
          <w:color w:val="000000" w:themeColor="text1"/>
          <w:sz w:val="20"/>
          <w:szCs w:val="20"/>
        </w:rPr>
        <w:t xml:space="preserve"> tel que complétée par la loi 2013-34 du 21 septembre 2013 et la loi 2018-30 du 23 mai 2018)</w:t>
      </w:r>
      <w:r w:rsidRPr="004E13E9">
        <w:rPr>
          <w:rFonts w:ascii="Cambria" w:hAnsi="Cambria"/>
          <w:bCs/>
          <w:color w:val="000000" w:themeColor="text1"/>
          <w:sz w:val="20"/>
          <w:szCs w:val="20"/>
        </w:rPr>
        <w:t>. Ils sont chargés du suivi de l’application et du respect des mesures de gestion de l’ICCAT. En outre, tous les débarquements sont couverts au cours de la campagne de pêche d’un contrôle qui comprend : les permis de pêche, les déclarations de capture, les engins de pêche, etc.</w:t>
      </w:r>
    </w:p>
    <w:p w14:paraId="113E3970" w14:textId="77777777" w:rsidR="007C1525" w:rsidRPr="004E13E9" w:rsidRDefault="007C1525" w:rsidP="008D75F4">
      <w:pPr>
        <w:shd w:val="clear" w:color="auto" w:fill="FFFFFF" w:themeFill="background1"/>
        <w:ind w:left="360"/>
        <w:jc w:val="both"/>
        <w:rPr>
          <w:bCs/>
          <w:color w:val="000000" w:themeColor="text1"/>
          <w:lang w:val="fr-FR"/>
        </w:rPr>
      </w:pPr>
    </w:p>
    <w:p w14:paraId="1B2E3E5A" w14:textId="77777777" w:rsidR="007C1525" w:rsidRPr="004E13E9" w:rsidRDefault="007C1525" w:rsidP="008D75F4">
      <w:pPr>
        <w:shd w:val="clear" w:color="auto" w:fill="FFFFFF" w:themeFill="background1"/>
        <w:jc w:val="both"/>
        <w:rPr>
          <w:bCs/>
          <w:color w:val="000000" w:themeColor="text1"/>
          <w:lang w:val="fr-FR"/>
        </w:rPr>
      </w:pPr>
      <w:r w:rsidRPr="004E13E9">
        <w:rPr>
          <w:bCs/>
          <w:color w:val="000000" w:themeColor="text1"/>
          <w:lang w:val="fr-FR"/>
        </w:rPr>
        <w:t>Les demandes d’entrée aux ports tunisiens par des navires battant des pavillons étrangers seront prises en charge par les autorités maritimes et portuaires compétentes.</w:t>
      </w:r>
    </w:p>
    <w:p w14:paraId="581AD32B" w14:textId="77777777" w:rsidR="007C1525" w:rsidRPr="004E13E9" w:rsidRDefault="007C1525" w:rsidP="008D75F4">
      <w:pPr>
        <w:shd w:val="clear" w:color="auto" w:fill="FFFFFF" w:themeFill="background1"/>
        <w:jc w:val="both"/>
        <w:rPr>
          <w:bCs/>
          <w:color w:val="000000" w:themeColor="text1"/>
          <w:lang w:val="fr-FR"/>
        </w:rPr>
      </w:pPr>
    </w:p>
    <w:p w14:paraId="1823F59C" w14:textId="77777777" w:rsidR="007C1525" w:rsidRPr="004E13E9" w:rsidRDefault="007C1525" w:rsidP="00487A5C">
      <w:pPr>
        <w:pStyle w:val="ListParagraph"/>
        <w:widowControl w:val="0"/>
        <w:numPr>
          <w:ilvl w:val="0"/>
          <w:numId w:val="49"/>
        </w:numPr>
        <w:shd w:val="clear" w:color="auto" w:fill="FFFFFF" w:themeFill="background1"/>
        <w:spacing w:after="0" w:line="240" w:lineRule="auto"/>
        <w:ind w:left="851" w:hanging="425"/>
        <w:jc w:val="both"/>
        <w:rPr>
          <w:rFonts w:ascii="Cambria" w:hAnsi="Cambria"/>
          <w:bCs/>
          <w:color w:val="000000" w:themeColor="text1"/>
          <w:sz w:val="20"/>
          <w:szCs w:val="20"/>
        </w:rPr>
      </w:pPr>
      <w:r w:rsidRPr="004E13E9">
        <w:rPr>
          <w:rFonts w:ascii="Cambria" w:hAnsi="Cambria"/>
          <w:bCs/>
          <w:i/>
          <w:iCs/>
          <w:color w:val="000000" w:themeColor="text1"/>
          <w:sz w:val="20"/>
          <w:szCs w:val="20"/>
        </w:rPr>
        <w:t xml:space="preserve">Contrôle en mer : </w:t>
      </w:r>
      <w:r w:rsidRPr="004E13E9">
        <w:rPr>
          <w:rFonts w:ascii="Cambria" w:hAnsi="Cambria"/>
          <w:bCs/>
          <w:color w:val="000000" w:themeColor="text1"/>
          <w:sz w:val="20"/>
          <w:szCs w:val="20"/>
        </w:rPr>
        <w:t>l’autorité compétente réalisera au cours de la campagne de pêche des missions de contrôle conjointes avec d’autres instances intervenantes en mer et habilitées à exercer la police de la pêche relevant des ministères de l’intérieur, de la défense et des finances.</w:t>
      </w:r>
    </w:p>
    <w:p w14:paraId="3692251C" w14:textId="77777777" w:rsidR="007C1525" w:rsidRPr="004E13E9" w:rsidRDefault="007C1525" w:rsidP="008D75F4">
      <w:pPr>
        <w:pStyle w:val="ListParagraph"/>
        <w:shd w:val="clear" w:color="auto" w:fill="FFFFFF" w:themeFill="background1"/>
        <w:ind w:left="360"/>
        <w:jc w:val="both"/>
        <w:rPr>
          <w:rFonts w:ascii="Cambria" w:hAnsi="Cambria"/>
          <w:bCs/>
          <w:color w:val="000000" w:themeColor="text1"/>
          <w:sz w:val="20"/>
          <w:szCs w:val="20"/>
        </w:rPr>
      </w:pPr>
    </w:p>
    <w:p w14:paraId="1FA668EF" w14:textId="77777777" w:rsidR="007C1525" w:rsidRPr="004E13E9" w:rsidRDefault="007C1525" w:rsidP="008D75F4">
      <w:pPr>
        <w:shd w:val="clear" w:color="auto" w:fill="FFFFFF" w:themeFill="background1"/>
        <w:jc w:val="both"/>
        <w:rPr>
          <w:bCs/>
          <w:color w:val="000000" w:themeColor="text1"/>
          <w:lang w:val="fr-FR"/>
        </w:rPr>
      </w:pPr>
      <w:r w:rsidRPr="004E13E9">
        <w:rPr>
          <w:bCs/>
          <w:color w:val="000000" w:themeColor="text1"/>
          <w:lang w:val="fr-FR"/>
        </w:rPr>
        <w:t>Les agents assermentés relevant de l’administration centrale se présenteront aussi lors des opérations de contrôle dans le cas de cages scellées si les conditions mentionnées au paragraphe 128 de la Rec. 25-04 aient lieu.</w:t>
      </w:r>
    </w:p>
    <w:p w14:paraId="4E14506C" w14:textId="77777777" w:rsidR="007C1525" w:rsidRPr="004E13E9" w:rsidRDefault="007C1525" w:rsidP="007C1525">
      <w:pPr>
        <w:shd w:val="clear" w:color="auto" w:fill="FFFFFF" w:themeFill="background1"/>
        <w:rPr>
          <w:bCs/>
          <w:color w:val="000000" w:themeColor="text1"/>
          <w:lang w:val="fr-FR"/>
        </w:rPr>
      </w:pPr>
    </w:p>
    <w:p w14:paraId="5BBE6B2D" w14:textId="77777777" w:rsidR="008D75F4" w:rsidRPr="004E13E9" w:rsidRDefault="008D75F4">
      <w:pPr>
        <w:rPr>
          <w:rFonts w:eastAsiaTheme="minorEastAsia" w:cstheme="minorBidi"/>
          <w:bCs/>
          <w:i/>
          <w:iCs/>
          <w:color w:val="000000" w:themeColor="text1"/>
          <w:lang w:val="fr-FR"/>
        </w:rPr>
      </w:pPr>
      <w:r w:rsidRPr="004E13E9">
        <w:rPr>
          <w:bCs/>
          <w:i/>
          <w:iCs/>
          <w:color w:val="000000" w:themeColor="text1"/>
          <w:lang w:val="fr-FR"/>
        </w:rPr>
        <w:br w:type="page"/>
      </w:r>
    </w:p>
    <w:p w14:paraId="7C5E1087" w14:textId="55849E6C" w:rsidR="007C1525" w:rsidRPr="004E13E9" w:rsidRDefault="007C1525" w:rsidP="00487A5C">
      <w:pPr>
        <w:pStyle w:val="ListParagraph"/>
        <w:widowControl w:val="0"/>
        <w:numPr>
          <w:ilvl w:val="0"/>
          <w:numId w:val="49"/>
        </w:numPr>
        <w:shd w:val="clear" w:color="auto" w:fill="FFFFFF" w:themeFill="background1"/>
        <w:spacing w:after="0" w:line="240" w:lineRule="auto"/>
        <w:ind w:left="851" w:hanging="425"/>
        <w:jc w:val="both"/>
        <w:rPr>
          <w:rFonts w:ascii="Cambria" w:hAnsi="Cambria"/>
          <w:bCs/>
          <w:color w:val="000000" w:themeColor="text1"/>
          <w:sz w:val="20"/>
          <w:szCs w:val="20"/>
          <w:lang w:bidi="ar-TN"/>
        </w:rPr>
      </w:pPr>
      <w:r w:rsidRPr="004E13E9">
        <w:rPr>
          <w:rFonts w:ascii="Cambria" w:hAnsi="Cambria"/>
          <w:bCs/>
          <w:i/>
          <w:iCs/>
          <w:color w:val="000000" w:themeColor="text1"/>
          <w:sz w:val="20"/>
          <w:szCs w:val="20"/>
        </w:rPr>
        <w:t xml:space="preserve">Contrôle au cours des opérations de mise en cage : </w:t>
      </w:r>
      <w:r w:rsidRPr="004E13E9">
        <w:rPr>
          <w:rFonts w:ascii="Cambria" w:hAnsi="Cambria"/>
          <w:bCs/>
          <w:color w:val="000000" w:themeColor="text1"/>
          <w:sz w:val="20"/>
          <w:szCs w:val="20"/>
        </w:rPr>
        <w:t>un représentant de l’autorité compétente se présentera sur place pour visualiser les enregistrements vidéo issus des transferts de thon rouge vivant des cages remorquées aux cages d’engraissement pour la première fois ou au cours des opérations de mise en cage de contrôle. Tous les relâchements probables à ce niveau seront attestés.</w:t>
      </w:r>
    </w:p>
    <w:p w14:paraId="7E79ACDB" w14:textId="77777777" w:rsidR="004433EE" w:rsidRPr="004E13E9" w:rsidRDefault="004433EE" w:rsidP="007C1525">
      <w:pPr>
        <w:shd w:val="clear" w:color="auto" w:fill="FFFFFF" w:themeFill="background1"/>
        <w:rPr>
          <w:bCs/>
          <w:color w:val="000000" w:themeColor="text1"/>
          <w:lang w:val="fr-FR"/>
        </w:rPr>
      </w:pPr>
    </w:p>
    <w:p w14:paraId="6D0B1C41" w14:textId="5B30E979" w:rsidR="007C1525" w:rsidRPr="004E13E9" w:rsidRDefault="007C1525" w:rsidP="007C1525">
      <w:pPr>
        <w:shd w:val="clear" w:color="auto" w:fill="FFFFFF" w:themeFill="background1"/>
        <w:rPr>
          <w:color w:val="000000" w:themeColor="text1"/>
          <w:lang w:val="fr-FR"/>
        </w:rPr>
      </w:pPr>
      <w:r w:rsidRPr="004E13E9">
        <w:rPr>
          <w:bCs/>
          <w:color w:val="000000" w:themeColor="text1"/>
          <w:lang w:val="fr-FR"/>
        </w:rPr>
        <w:t>Conformément aux dispositions des paragraphes 211-218 de la Rec. 25-04, l’autorité compétente exécutera un programme de contrôle aléatoire fixé à 10 % du nombre de cages dans chaque ferme</w:t>
      </w:r>
      <w:r w:rsidRPr="004E13E9">
        <w:rPr>
          <w:color w:val="000000" w:themeColor="text1"/>
          <w:lang w:val="fr-FR"/>
        </w:rPr>
        <w:t xml:space="preserve"> après la fin des opérations de mise en cage.</w:t>
      </w:r>
    </w:p>
    <w:p w14:paraId="5E47D9DB" w14:textId="77777777" w:rsidR="007C1525" w:rsidRPr="004E13E9" w:rsidRDefault="007C1525" w:rsidP="007C1525">
      <w:pPr>
        <w:shd w:val="clear" w:color="auto" w:fill="FFFFFF" w:themeFill="background1"/>
        <w:rPr>
          <w:bCs/>
          <w:color w:val="000000" w:themeColor="text1"/>
          <w:lang w:val="fr-FR" w:bidi="ar-TN"/>
        </w:rPr>
      </w:pPr>
    </w:p>
    <w:p w14:paraId="057D844C" w14:textId="77777777" w:rsidR="007C1525" w:rsidRPr="004E13E9" w:rsidRDefault="007C1525" w:rsidP="00487A5C">
      <w:pPr>
        <w:pStyle w:val="ListParagraph"/>
        <w:widowControl w:val="0"/>
        <w:numPr>
          <w:ilvl w:val="0"/>
          <w:numId w:val="49"/>
        </w:numPr>
        <w:shd w:val="clear" w:color="auto" w:fill="FFFFFF" w:themeFill="background1"/>
        <w:spacing w:after="0" w:line="240" w:lineRule="auto"/>
        <w:ind w:left="851" w:hanging="425"/>
        <w:jc w:val="both"/>
        <w:rPr>
          <w:rFonts w:ascii="Cambria" w:hAnsi="Cambria"/>
          <w:color w:val="000000" w:themeColor="text1"/>
          <w:sz w:val="20"/>
          <w:szCs w:val="20"/>
        </w:rPr>
      </w:pPr>
      <w:r w:rsidRPr="004E13E9">
        <w:rPr>
          <w:rFonts w:ascii="Cambria" w:hAnsi="Cambria"/>
          <w:bCs/>
          <w:i/>
          <w:iCs/>
          <w:color w:val="000000" w:themeColor="text1"/>
          <w:sz w:val="20"/>
          <w:szCs w:val="20"/>
        </w:rPr>
        <w:t xml:space="preserve">Contrôle au cours des opérations de mise à mort : </w:t>
      </w:r>
      <w:r w:rsidRPr="004E13E9">
        <w:rPr>
          <w:rFonts w:ascii="Cambria" w:hAnsi="Cambria"/>
          <w:bCs/>
          <w:color w:val="000000" w:themeColor="text1"/>
          <w:sz w:val="20"/>
          <w:szCs w:val="20"/>
        </w:rPr>
        <w:t xml:space="preserve">les agents relevant des services régionaux de pêche assisteront à toutes les opérations d’exécution de thon rouge dans les fermes et veilleront à ce que les quantités mises à mort sont conformes aux eBCD en question. </w:t>
      </w:r>
    </w:p>
    <w:p w14:paraId="3B491401" w14:textId="77777777" w:rsidR="007C1525" w:rsidRPr="004E13E9" w:rsidRDefault="007C1525" w:rsidP="007C1525">
      <w:pPr>
        <w:pStyle w:val="ListParagraph"/>
        <w:shd w:val="clear" w:color="auto" w:fill="FFFFFF" w:themeFill="background1"/>
        <w:rPr>
          <w:rFonts w:ascii="Cambria" w:hAnsi="Cambria"/>
          <w:color w:val="000000" w:themeColor="text1"/>
          <w:sz w:val="20"/>
          <w:szCs w:val="20"/>
        </w:rPr>
      </w:pPr>
    </w:p>
    <w:p w14:paraId="7D912D45" w14:textId="77777777" w:rsidR="007C1525" w:rsidRPr="004E13E9" w:rsidRDefault="007C1525" w:rsidP="00487A5C">
      <w:pPr>
        <w:pStyle w:val="ListParagraph"/>
        <w:widowControl w:val="0"/>
        <w:numPr>
          <w:ilvl w:val="0"/>
          <w:numId w:val="49"/>
        </w:numPr>
        <w:shd w:val="clear" w:color="auto" w:fill="FFFFFF" w:themeFill="background1"/>
        <w:spacing w:after="0" w:line="240" w:lineRule="auto"/>
        <w:ind w:left="851" w:hanging="425"/>
        <w:jc w:val="both"/>
        <w:rPr>
          <w:rFonts w:ascii="Cambria" w:hAnsi="Cambria"/>
          <w:color w:val="000000" w:themeColor="text1"/>
          <w:sz w:val="20"/>
          <w:szCs w:val="20"/>
        </w:rPr>
      </w:pPr>
      <w:r w:rsidRPr="004E13E9">
        <w:rPr>
          <w:rFonts w:ascii="Cambria" w:hAnsi="Cambria"/>
          <w:bCs/>
          <w:i/>
          <w:iCs/>
          <w:color w:val="000000" w:themeColor="text1"/>
          <w:sz w:val="20"/>
          <w:szCs w:val="20"/>
        </w:rPr>
        <w:t xml:space="preserve">Contrôle au cours de la transaction commerciale du thon rouge frais au sein des fermes : </w:t>
      </w:r>
      <w:r w:rsidRPr="004E13E9">
        <w:rPr>
          <w:rFonts w:ascii="Cambria" w:hAnsi="Cambria"/>
          <w:bCs/>
          <w:color w:val="000000" w:themeColor="text1"/>
          <w:sz w:val="20"/>
          <w:szCs w:val="20"/>
        </w:rPr>
        <w:t>la</w:t>
      </w:r>
      <w:r w:rsidRPr="004E13E9">
        <w:rPr>
          <w:rFonts w:ascii="Cambria" w:hAnsi="Cambria"/>
          <w:color w:val="000000" w:themeColor="text1"/>
          <w:sz w:val="20"/>
          <w:szCs w:val="20"/>
        </w:rPr>
        <w:t xml:space="preserve"> Tunisie autorisera des opérations de mise à mort dans ses fermes jusqu'à 1000 kg par jour et jusqu’à un maximum de 50 t par ferme pour approvisionner le marché en thon rouge frais et ceci en présence d’inspecteurs nationaux. </w:t>
      </w:r>
    </w:p>
    <w:p w14:paraId="42DEEB29" w14:textId="2CD4F46E" w:rsidR="007C1525" w:rsidRPr="004E13E9" w:rsidRDefault="007C1525" w:rsidP="007C1525">
      <w:pPr>
        <w:rPr>
          <w:color w:val="000000" w:themeColor="text1"/>
          <w:lang w:val="fr-FR"/>
        </w:rPr>
      </w:pPr>
    </w:p>
    <w:p w14:paraId="7CF05291" w14:textId="77777777" w:rsidR="007C1525" w:rsidRPr="004E13E9" w:rsidRDefault="007C1525" w:rsidP="007C1525">
      <w:pPr>
        <w:shd w:val="clear" w:color="auto" w:fill="FFFFFF" w:themeFill="background1"/>
        <w:rPr>
          <w:color w:val="000000" w:themeColor="text1"/>
          <w:lang w:val="fr-FR"/>
        </w:rPr>
      </w:pPr>
      <w:r w:rsidRPr="004E13E9">
        <w:rPr>
          <w:color w:val="000000" w:themeColor="text1"/>
          <w:lang w:val="fr-FR"/>
        </w:rPr>
        <w:t>Points de contact désignés : l’autorité compétente de contrôle en Tunisie est la Direction Générale de la Pêche et de l’Aquaculture (DGPA), sous tutelle du ministère de l’Agriculture, des Ressources Hydrauliques et de la Pêche (MARHP).</w:t>
      </w:r>
    </w:p>
    <w:p w14:paraId="2A9C7A3D" w14:textId="77777777" w:rsidR="007C1525" w:rsidRPr="004E13E9" w:rsidRDefault="007C1525" w:rsidP="007C1525">
      <w:pPr>
        <w:shd w:val="clear" w:color="auto" w:fill="FFFFFF" w:themeFill="background1"/>
        <w:rPr>
          <w:color w:val="000000" w:themeColor="text1"/>
          <w:lang w:val="fr-FR"/>
        </w:rPr>
      </w:pPr>
    </w:p>
    <w:p w14:paraId="500A4FD9" w14:textId="77777777" w:rsidR="007C1525" w:rsidRPr="004E13E9" w:rsidRDefault="007C1525" w:rsidP="007C1525">
      <w:pPr>
        <w:shd w:val="clear" w:color="auto" w:fill="FFFFFF" w:themeFill="background1"/>
        <w:rPr>
          <w:color w:val="000000" w:themeColor="text1"/>
          <w:lang w:val="fr-FR"/>
        </w:rPr>
      </w:pPr>
      <w:r w:rsidRPr="004E13E9">
        <w:rPr>
          <w:color w:val="000000" w:themeColor="text1"/>
          <w:lang w:val="fr-FR"/>
        </w:rPr>
        <w:t>Les points de contact désignés comme responsables de la mise en œuvre dudit plan de suivi, contrôle et inspection sont les suivants :</w:t>
      </w:r>
    </w:p>
    <w:p w14:paraId="36A621EE" w14:textId="77777777" w:rsidR="007C1525" w:rsidRPr="004E13E9" w:rsidRDefault="007C1525" w:rsidP="007C1525">
      <w:pPr>
        <w:shd w:val="clear" w:color="auto" w:fill="FFFFFF" w:themeFill="background1"/>
        <w:rPr>
          <w:color w:val="000000" w:themeColor="text1"/>
          <w:sz w:val="4"/>
          <w:szCs w:val="4"/>
          <w:lang w:val="fr-FR"/>
        </w:rPr>
      </w:pPr>
    </w:p>
    <w:p w14:paraId="1E708918" w14:textId="77777777" w:rsidR="007C1525" w:rsidRPr="004E13E9" w:rsidRDefault="007C1525" w:rsidP="00487A5C">
      <w:pPr>
        <w:pStyle w:val="ListParagraph"/>
        <w:widowControl w:val="0"/>
        <w:numPr>
          <w:ilvl w:val="0"/>
          <w:numId w:val="51"/>
        </w:numPr>
        <w:shd w:val="clear" w:color="auto" w:fill="FFFFFF" w:themeFill="background1"/>
        <w:spacing w:after="0" w:line="240" w:lineRule="auto"/>
        <w:jc w:val="both"/>
        <w:rPr>
          <w:rFonts w:ascii="Cambria" w:hAnsi="Cambria"/>
          <w:color w:val="000000" w:themeColor="text1"/>
          <w:sz w:val="20"/>
          <w:szCs w:val="20"/>
        </w:rPr>
      </w:pPr>
      <w:r w:rsidRPr="004E13E9">
        <w:rPr>
          <w:rFonts w:ascii="Cambria" w:hAnsi="Cambria"/>
          <w:color w:val="000000" w:themeColor="text1"/>
          <w:sz w:val="20"/>
          <w:szCs w:val="20"/>
        </w:rPr>
        <w:t xml:space="preserve">Directeur Général de Pêche et de l’Aquaculture (M. </w:t>
      </w:r>
      <w:proofErr w:type="spellStart"/>
      <w:r w:rsidRPr="004E13E9">
        <w:rPr>
          <w:rFonts w:ascii="Cambria" w:hAnsi="Cambria"/>
          <w:color w:val="000000" w:themeColor="text1"/>
          <w:sz w:val="20"/>
          <w:szCs w:val="20"/>
        </w:rPr>
        <w:t>Ali.cheikh</w:t>
      </w:r>
      <w:proofErr w:type="spellEnd"/>
      <w:r w:rsidRPr="004E13E9">
        <w:rPr>
          <w:rFonts w:ascii="Cambria" w:hAnsi="Cambria"/>
          <w:color w:val="000000" w:themeColor="text1"/>
          <w:sz w:val="20"/>
          <w:szCs w:val="20"/>
        </w:rPr>
        <w:t xml:space="preserve"> Sboui)</w:t>
      </w:r>
    </w:p>
    <w:p w14:paraId="5E482B31" w14:textId="77777777" w:rsidR="007C1525" w:rsidRPr="004E13E9" w:rsidRDefault="007C1525" w:rsidP="007C1525">
      <w:pPr>
        <w:pStyle w:val="ListParagraph"/>
        <w:shd w:val="clear" w:color="auto" w:fill="FFFFFF" w:themeFill="background1"/>
        <w:rPr>
          <w:rFonts w:ascii="Cambria" w:hAnsi="Cambria"/>
          <w:color w:val="000000" w:themeColor="text1"/>
          <w:sz w:val="20"/>
          <w:szCs w:val="20"/>
        </w:rPr>
      </w:pPr>
      <w:r w:rsidRPr="004E13E9">
        <w:rPr>
          <w:rFonts w:ascii="Cambria" w:hAnsi="Cambria"/>
          <w:color w:val="000000" w:themeColor="text1"/>
          <w:sz w:val="20"/>
          <w:szCs w:val="20"/>
        </w:rPr>
        <w:t>Email : bft@iresa.agrinet.tn</w:t>
      </w:r>
    </w:p>
    <w:p w14:paraId="11ADEFF7" w14:textId="77777777" w:rsidR="007C1525" w:rsidRPr="004E13E9" w:rsidRDefault="007C1525" w:rsidP="007C1525">
      <w:pPr>
        <w:pStyle w:val="ListParagraph"/>
        <w:shd w:val="clear" w:color="auto" w:fill="FFFFFF" w:themeFill="background1"/>
        <w:rPr>
          <w:rFonts w:ascii="Cambria" w:hAnsi="Cambria"/>
          <w:color w:val="000000" w:themeColor="text1"/>
          <w:sz w:val="20"/>
          <w:szCs w:val="20"/>
        </w:rPr>
      </w:pPr>
      <w:r w:rsidRPr="004E13E9">
        <w:rPr>
          <w:rFonts w:ascii="Cambria" w:hAnsi="Cambria"/>
          <w:color w:val="000000" w:themeColor="text1"/>
          <w:sz w:val="20"/>
          <w:szCs w:val="20"/>
        </w:rPr>
        <w:t>Téléphone : +216 71 892 253</w:t>
      </w:r>
    </w:p>
    <w:p w14:paraId="58DB7F31" w14:textId="77777777" w:rsidR="007C1525" w:rsidRPr="004E13E9" w:rsidRDefault="007C1525" w:rsidP="007C1525">
      <w:pPr>
        <w:pStyle w:val="ListParagraph"/>
        <w:shd w:val="clear" w:color="auto" w:fill="FFFFFF" w:themeFill="background1"/>
        <w:rPr>
          <w:rFonts w:ascii="Cambria" w:hAnsi="Cambria"/>
          <w:color w:val="000000" w:themeColor="text1"/>
          <w:sz w:val="20"/>
          <w:szCs w:val="20"/>
        </w:rPr>
      </w:pPr>
      <w:r w:rsidRPr="004E13E9">
        <w:rPr>
          <w:rFonts w:ascii="Cambria" w:hAnsi="Cambria"/>
          <w:color w:val="000000" w:themeColor="text1"/>
          <w:sz w:val="20"/>
          <w:szCs w:val="20"/>
        </w:rPr>
        <w:t>Fax : +216 71 799 401</w:t>
      </w:r>
    </w:p>
    <w:p w14:paraId="77AB57EF" w14:textId="77777777" w:rsidR="007C1525" w:rsidRPr="004E13E9" w:rsidRDefault="007C1525" w:rsidP="007C1525">
      <w:pPr>
        <w:pStyle w:val="ListParagraph"/>
        <w:shd w:val="clear" w:color="auto" w:fill="FFFFFF" w:themeFill="background1"/>
        <w:rPr>
          <w:rFonts w:ascii="Cambria" w:hAnsi="Cambria"/>
          <w:color w:val="000000" w:themeColor="text1"/>
          <w:sz w:val="8"/>
          <w:szCs w:val="8"/>
        </w:rPr>
      </w:pPr>
    </w:p>
    <w:p w14:paraId="03596390" w14:textId="77777777" w:rsidR="007C1525" w:rsidRPr="004E13E9" w:rsidRDefault="007C1525" w:rsidP="00487A5C">
      <w:pPr>
        <w:pStyle w:val="ListParagraph"/>
        <w:widowControl w:val="0"/>
        <w:numPr>
          <w:ilvl w:val="0"/>
          <w:numId w:val="51"/>
        </w:numPr>
        <w:shd w:val="clear" w:color="auto" w:fill="FFFFFF" w:themeFill="background1"/>
        <w:spacing w:after="0" w:line="240" w:lineRule="auto"/>
        <w:jc w:val="both"/>
        <w:rPr>
          <w:rFonts w:ascii="Cambria" w:hAnsi="Cambria"/>
          <w:color w:val="000000" w:themeColor="text1"/>
          <w:sz w:val="20"/>
          <w:szCs w:val="20"/>
        </w:rPr>
      </w:pPr>
      <w:r w:rsidRPr="004E13E9">
        <w:rPr>
          <w:rFonts w:ascii="Cambria" w:hAnsi="Cambria"/>
          <w:color w:val="000000" w:themeColor="text1"/>
          <w:sz w:val="20"/>
          <w:szCs w:val="20"/>
        </w:rPr>
        <w:t xml:space="preserve">Directeur de la préservation des Ressources Halieutiques (M. </w:t>
      </w:r>
      <w:proofErr w:type="spellStart"/>
      <w:r w:rsidRPr="004E13E9">
        <w:rPr>
          <w:rFonts w:ascii="Cambria" w:hAnsi="Cambria"/>
          <w:color w:val="000000" w:themeColor="text1"/>
          <w:sz w:val="20"/>
          <w:szCs w:val="20"/>
        </w:rPr>
        <w:t>Himrit</w:t>
      </w:r>
      <w:proofErr w:type="spellEnd"/>
      <w:r w:rsidRPr="004E13E9">
        <w:rPr>
          <w:rFonts w:ascii="Cambria" w:hAnsi="Cambria"/>
          <w:color w:val="000000" w:themeColor="text1"/>
          <w:sz w:val="20"/>
          <w:szCs w:val="20"/>
        </w:rPr>
        <w:t xml:space="preserve"> Ramzi)</w:t>
      </w:r>
    </w:p>
    <w:p w14:paraId="174D48FB" w14:textId="77777777" w:rsidR="007C1525" w:rsidRPr="004E13E9" w:rsidRDefault="007C1525" w:rsidP="007C1525">
      <w:pPr>
        <w:pStyle w:val="ListParagraph"/>
        <w:shd w:val="clear" w:color="auto" w:fill="FFFFFF" w:themeFill="background1"/>
        <w:rPr>
          <w:rFonts w:ascii="Cambria" w:hAnsi="Cambria"/>
          <w:color w:val="000000" w:themeColor="text1"/>
          <w:sz w:val="20"/>
          <w:szCs w:val="20"/>
        </w:rPr>
      </w:pPr>
      <w:r w:rsidRPr="004E13E9">
        <w:rPr>
          <w:rFonts w:ascii="Cambria" w:hAnsi="Cambria"/>
          <w:color w:val="000000" w:themeColor="text1"/>
          <w:sz w:val="20"/>
          <w:szCs w:val="20"/>
        </w:rPr>
        <w:t>Email : ramzi.hamrit@gmail.com</w:t>
      </w:r>
    </w:p>
    <w:p w14:paraId="0AF58B78" w14:textId="77777777" w:rsidR="007C1525" w:rsidRPr="004E13E9" w:rsidRDefault="007C1525" w:rsidP="007C1525">
      <w:pPr>
        <w:pStyle w:val="ListParagraph"/>
        <w:shd w:val="clear" w:color="auto" w:fill="FFFFFF" w:themeFill="background1"/>
        <w:rPr>
          <w:rFonts w:ascii="Cambria" w:hAnsi="Cambria"/>
          <w:color w:val="000000" w:themeColor="text1"/>
          <w:sz w:val="20"/>
          <w:szCs w:val="20"/>
        </w:rPr>
      </w:pPr>
      <w:r w:rsidRPr="004E13E9">
        <w:rPr>
          <w:rFonts w:ascii="Cambria" w:hAnsi="Cambria"/>
          <w:color w:val="000000" w:themeColor="text1"/>
          <w:sz w:val="20"/>
          <w:szCs w:val="20"/>
        </w:rPr>
        <w:t>Téléphone : +216 25916755</w:t>
      </w:r>
    </w:p>
    <w:p w14:paraId="08F43C9C" w14:textId="77777777" w:rsidR="007C1525" w:rsidRPr="004E13E9" w:rsidRDefault="007C1525" w:rsidP="007C1525">
      <w:pPr>
        <w:pStyle w:val="ListParagraph"/>
        <w:shd w:val="clear" w:color="auto" w:fill="FFFFFF" w:themeFill="background1"/>
        <w:rPr>
          <w:rFonts w:ascii="Cambria" w:hAnsi="Cambria"/>
          <w:color w:val="000000" w:themeColor="text1"/>
          <w:sz w:val="20"/>
          <w:szCs w:val="20"/>
        </w:rPr>
      </w:pPr>
      <w:r w:rsidRPr="004E13E9">
        <w:rPr>
          <w:rFonts w:ascii="Cambria" w:hAnsi="Cambria"/>
          <w:color w:val="000000" w:themeColor="text1"/>
          <w:sz w:val="20"/>
          <w:szCs w:val="20"/>
        </w:rPr>
        <w:t>Fax : +216 71 799 401</w:t>
      </w:r>
    </w:p>
    <w:p w14:paraId="1CC5E120" w14:textId="77777777" w:rsidR="007C1525" w:rsidRPr="004E13E9" w:rsidRDefault="007C1525" w:rsidP="007C1525">
      <w:pPr>
        <w:pStyle w:val="ListParagraph"/>
        <w:shd w:val="clear" w:color="auto" w:fill="FFFFFF" w:themeFill="background1"/>
        <w:rPr>
          <w:rFonts w:ascii="Cambria" w:hAnsi="Cambria"/>
          <w:color w:val="000000" w:themeColor="text1"/>
          <w:sz w:val="8"/>
          <w:szCs w:val="8"/>
        </w:rPr>
      </w:pPr>
    </w:p>
    <w:p w14:paraId="6E5A41CB" w14:textId="77777777" w:rsidR="007C1525" w:rsidRPr="004E13E9" w:rsidRDefault="007C1525" w:rsidP="00487A5C">
      <w:pPr>
        <w:pStyle w:val="ListParagraph"/>
        <w:widowControl w:val="0"/>
        <w:numPr>
          <w:ilvl w:val="0"/>
          <w:numId w:val="51"/>
        </w:numPr>
        <w:shd w:val="clear" w:color="auto" w:fill="FFFFFF" w:themeFill="background1"/>
        <w:spacing w:after="0" w:line="240" w:lineRule="auto"/>
        <w:jc w:val="both"/>
        <w:rPr>
          <w:rFonts w:ascii="Cambria" w:hAnsi="Cambria"/>
          <w:color w:val="000000" w:themeColor="text1"/>
          <w:sz w:val="20"/>
          <w:szCs w:val="20"/>
        </w:rPr>
      </w:pPr>
      <w:r w:rsidRPr="004E13E9">
        <w:rPr>
          <w:rFonts w:ascii="Cambria" w:hAnsi="Cambria"/>
          <w:color w:val="000000" w:themeColor="text1"/>
          <w:sz w:val="20"/>
          <w:szCs w:val="20"/>
        </w:rPr>
        <w:t>Sous-directrice de la préservation des ressources hydrauliques à la direction de la préservation des Ressources Halieutiques (Mme Dhekra Hayouni)</w:t>
      </w:r>
    </w:p>
    <w:p w14:paraId="179AF94B" w14:textId="77777777" w:rsidR="007C1525" w:rsidRPr="004E13E9" w:rsidRDefault="007C1525" w:rsidP="007C1525">
      <w:pPr>
        <w:pStyle w:val="ListParagraph"/>
        <w:shd w:val="clear" w:color="auto" w:fill="FFFFFF" w:themeFill="background1"/>
        <w:rPr>
          <w:rFonts w:ascii="Cambria" w:hAnsi="Cambria"/>
          <w:color w:val="000000" w:themeColor="text1"/>
          <w:sz w:val="20"/>
          <w:szCs w:val="20"/>
        </w:rPr>
      </w:pPr>
      <w:r w:rsidRPr="004E13E9">
        <w:rPr>
          <w:rFonts w:ascii="Cambria" w:hAnsi="Cambria"/>
          <w:color w:val="000000" w:themeColor="text1"/>
          <w:sz w:val="20"/>
          <w:szCs w:val="20"/>
        </w:rPr>
        <w:t>Téléphone : +216 29116249</w:t>
      </w:r>
    </w:p>
    <w:p w14:paraId="2F5A5F21" w14:textId="77777777" w:rsidR="007C1525" w:rsidRPr="004E13E9" w:rsidRDefault="007C1525" w:rsidP="007C1525">
      <w:pPr>
        <w:pStyle w:val="ListParagraph"/>
        <w:shd w:val="clear" w:color="auto" w:fill="FFFFFF" w:themeFill="background1"/>
        <w:rPr>
          <w:rFonts w:ascii="Cambria" w:hAnsi="Cambria"/>
          <w:color w:val="000000" w:themeColor="text1"/>
          <w:sz w:val="20"/>
          <w:szCs w:val="20"/>
        </w:rPr>
      </w:pPr>
      <w:r w:rsidRPr="004E13E9">
        <w:rPr>
          <w:rFonts w:ascii="Cambria" w:hAnsi="Cambria"/>
          <w:color w:val="000000" w:themeColor="text1"/>
          <w:sz w:val="20"/>
          <w:szCs w:val="20"/>
        </w:rPr>
        <w:t>Fax : +216 71 799 401</w:t>
      </w:r>
    </w:p>
    <w:p w14:paraId="39004743" w14:textId="77777777" w:rsidR="007C1525" w:rsidRPr="004E13E9" w:rsidRDefault="007C1525" w:rsidP="007C1525">
      <w:pPr>
        <w:pStyle w:val="ListParagraph"/>
        <w:shd w:val="clear" w:color="auto" w:fill="FFFFFF" w:themeFill="background1"/>
        <w:rPr>
          <w:rFonts w:ascii="Cambria" w:hAnsi="Cambria"/>
          <w:color w:val="000000" w:themeColor="text1"/>
          <w:sz w:val="20"/>
          <w:szCs w:val="20"/>
        </w:rPr>
      </w:pPr>
      <w:r w:rsidRPr="004E13E9">
        <w:rPr>
          <w:rFonts w:ascii="Cambria" w:hAnsi="Cambria"/>
          <w:color w:val="000000" w:themeColor="text1"/>
          <w:sz w:val="20"/>
          <w:szCs w:val="20"/>
        </w:rPr>
        <w:t>Email : hayouni.dhekra1@gmail.com</w:t>
      </w:r>
    </w:p>
    <w:p w14:paraId="43A92E5F" w14:textId="77777777" w:rsidR="007C1525" w:rsidRPr="004E13E9" w:rsidRDefault="007C1525" w:rsidP="007C1525">
      <w:pPr>
        <w:ind w:left="426" w:hanging="426"/>
        <w:rPr>
          <w:b/>
          <w:i/>
          <w:iCs/>
          <w:lang w:val="fr-FR"/>
        </w:rPr>
      </w:pPr>
      <w:r w:rsidRPr="004E13E9">
        <w:rPr>
          <w:b/>
          <w:i/>
          <w:iCs/>
          <w:lang w:val="fr-FR"/>
        </w:rPr>
        <w:t>5b) Programme d’inspection internationale conjointe (JIS) (paragraphes 232-235)</w:t>
      </w:r>
    </w:p>
    <w:p w14:paraId="4C64C143" w14:textId="77777777" w:rsidR="007C1525" w:rsidRPr="004E13E9" w:rsidRDefault="007C1525" w:rsidP="007C1525">
      <w:pPr>
        <w:rPr>
          <w:b/>
          <w:i/>
          <w:iCs/>
          <w:lang w:val="fr-FR"/>
        </w:rPr>
      </w:pPr>
    </w:p>
    <w:p w14:paraId="5056FD82" w14:textId="77777777" w:rsidR="007C1525" w:rsidRPr="004E13E9" w:rsidRDefault="007C1525" w:rsidP="007C1525">
      <w:pPr>
        <w:shd w:val="clear" w:color="auto" w:fill="FFFFFF" w:themeFill="background1"/>
        <w:rPr>
          <w:bCs/>
          <w:color w:val="000000" w:themeColor="text1"/>
          <w:lang w:val="fr-FR"/>
        </w:rPr>
      </w:pPr>
      <w:r w:rsidRPr="004E13E9">
        <w:rPr>
          <w:bCs/>
          <w:color w:val="000000" w:themeColor="text1"/>
          <w:lang w:val="fr-FR"/>
        </w:rPr>
        <w:t xml:space="preserve">En vertu des dispositions des paragraphes 232-235 de la Rec. 25-04, il est envisagé que 3 navires de contrôle à savoir </w:t>
      </w:r>
      <w:r w:rsidRPr="004E13E9">
        <w:rPr>
          <w:bCs/>
          <w:i/>
          <w:iCs/>
          <w:color w:val="000000" w:themeColor="text1"/>
          <w:lang w:val="fr-FR"/>
        </w:rPr>
        <w:t>Amilcar</w:t>
      </w:r>
      <w:r w:rsidRPr="004E13E9">
        <w:rPr>
          <w:bCs/>
          <w:color w:val="000000" w:themeColor="text1"/>
          <w:lang w:val="fr-FR"/>
        </w:rPr>
        <w:t xml:space="preserve">, </w:t>
      </w:r>
      <w:r w:rsidRPr="004E13E9">
        <w:rPr>
          <w:bCs/>
          <w:i/>
          <w:iCs/>
          <w:color w:val="000000" w:themeColor="text1"/>
          <w:lang w:val="fr-FR"/>
        </w:rPr>
        <w:t>Hannibal 3</w:t>
      </w:r>
      <w:r w:rsidRPr="004E13E9">
        <w:rPr>
          <w:bCs/>
          <w:color w:val="000000" w:themeColor="text1"/>
          <w:lang w:val="fr-FR"/>
        </w:rPr>
        <w:t xml:space="preserve"> et </w:t>
      </w:r>
      <w:r w:rsidRPr="004E13E9">
        <w:rPr>
          <w:bCs/>
          <w:i/>
          <w:iCs/>
          <w:color w:val="000000" w:themeColor="text1"/>
          <w:lang w:val="fr-FR"/>
        </w:rPr>
        <w:t>Hannibal 4</w:t>
      </w:r>
      <w:r w:rsidRPr="004E13E9">
        <w:rPr>
          <w:bCs/>
          <w:color w:val="000000" w:themeColor="text1"/>
          <w:lang w:val="fr-FR"/>
        </w:rPr>
        <w:t xml:space="preserve"> participeront au programme d’inspection internationale conjointe au cours de la saison de pêche de thon rouge 2026. Les inspecteurs à bord assureront les tâches d’inspection pour tous les navires tunisiens et étrangers se trouvant dans la zone de pêche de thon rouge en Méditerranée et ce, pendant la période du 1</w:t>
      </w:r>
      <w:r w:rsidRPr="004E13E9">
        <w:rPr>
          <w:bCs/>
          <w:color w:val="000000" w:themeColor="text1"/>
          <w:vertAlign w:val="superscript"/>
          <w:lang w:val="fr-FR"/>
        </w:rPr>
        <w:t>er</w:t>
      </w:r>
      <w:r w:rsidRPr="004E13E9">
        <w:rPr>
          <w:bCs/>
          <w:color w:val="000000" w:themeColor="text1"/>
          <w:lang w:val="fr-FR"/>
        </w:rPr>
        <w:t xml:space="preserve"> mai au 15 juillet 2026.</w:t>
      </w:r>
    </w:p>
    <w:p w14:paraId="344839B9" w14:textId="77777777" w:rsidR="007C1525" w:rsidRPr="004E13E9" w:rsidRDefault="007C1525" w:rsidP="007C1525">
      <w:pPr>
        <w:shd w:val="clear" w:color="auto" w:fill="FFFFFF" w:themeFill="background1"/>
        <w:rPr>
          <w:bCs/>
          <w:color w:val="000000" w:themeColor="text1"/>
          <w:lang w:val="fr-FR"/>
        </w:rPr>
      </w:pPr>
    </w:p>
    <w:p w14:paraId="51DB2B59" w14:textId="77777777" w:rsidR="007C1525" w:rsidRPr="004E13E9" w:rsidRDefault="007C1525" w:rsidP="007C1525">
      <w:pPr>
        <w:rPr>
          <w:bCs/>
          <w:color w:val="000000" w:themeColor="text1"/>
          <w:lang w:val="fr-FR"/>
        </w:rPr>
      </w:pPr>
      <w:r w:rsidRPr="004E13E9">
        <w:rPr>
          <w:bCs/>
          <w:color w:val="000000" w:themeColor="text1"/>
          <w:lang w:val="fr-FR"/>
        </w:rPr>
        <w:t xml:space="preserve">En application des exigences </w:t>
      </w:r>
      <w:r w:rsidRPr="004E13E9">
        <w:rPr>
          <w:bCs/>
          <w:color w:val="000000" w:themeColor="text1"/>
          <w:lang w:val="fr-FR" w:bidi="ar-TN"/>
        </w:rPr>
        <w:t>énumérées dans ces recommandations, les inspecteurs accompliront l’inspection de toutes les activités liées à la capture et le remorquage de thon rouge pour couvrir essentiellement</w:t>
      </w:r>
      <w:r w:rsidRPr="004E13E9">
        <w:rPr>
          <w:bCs/>
          <w:color w:val="000000" w:themeColor="text1"/>
          <w:lang w:val="fr-FR"/>
        </w:rPr>
        <w:t> :</w:t>
      </w:r>
    </w:p>
    <w:p w14:paraId="601AD790" w14:textId="77777777" w:rsidR="007C1525" w:rsidRPr="004E13E9" w:rsidRDefault="007C1525" w:rsidP="007C1525">
      <w:pPr>
        <w:rPr>
          <w:i/>
          <w:lang w:val="fr-FR"/>
        </w:rPr>
      </w:pPr>
    </w:p>
    <w:p w14:paraId="00CC8E2D" w14:textId="77777777" w:rsidR="007C1525" w:rsidRPr="004E13E9" w:rsidRDefault="007C1525" w:rsidP="00487A5C">
      <w:pPr>
        <w:pStyle w:val="ListParagraph"/>
        <w:widowControl w:val="0"/>
        <w:numPr>
          <w:ilvl w:val="0"/>
          <w:numId w:val="49"/>
        </w:numPr>
        <w:shd w:val="clear" w:color="auto" w:fill="FFFFFF" w:themeFill="background1"/>
        <w:spacing w:after="0" w:line="240" w:lineRule="auto"/>
        <w:jc w:val="both"/>
        <w:rPr>
          <w:rFonts w:ascii="Cambria" w:hAnsi="Cambria"/>
          <w:bCs/>
          <w:color w:val="000000" w:themeColor="text1"/>
          <w:sz w:val="20"/>
          <w:szCs w:val="20"/>
        </w:rPr>
      </w:pPr>
      <w:r w:rsidRPr="004E13E9">
        <w:rPr>
          <w:rFonts w:ascii="Cambria" w:hAnsi="Cambria"/>
          <w:bCs/>
          <w:color w:val="000000" w:themeColor="text1"/>
          <w:sz w:val="20"/>
          <w:szCs w:val="20"/>
        </w:rPr>
        <w:t xml:space="preserve">Les documents de bord, </w:t>
      </w:r>
    </w:p>
    <w:p w14:paraId="4277062D" w14:textId="77777777" w:rsidR="007C1525" w:rsidRPr="004E13E9" w:rsidRDefault="007C1525" w:rsidP="00487A5C">
      <w:pPr>
        <w:pStyle w:val="ListParagraph"/>
        <w:widowControl w:val="0"/>
        <w:numPr>
          <w:ilvl w:val="0"/>
          <w:numId w:val="49"/>
        </w:numPr>
        <w:shd w:val="clear" w:color="auto" w:fill="FFFFFF" w:themeFill="background1"/>
        <w:spacing w:after="0" w:line="240" w:lineRule="auto"/>
        <w:jc w:val="both"/>
        <w:rPr>
          <w:rFonts w:ascii="Cambria" w:hAnsi="Cambria"/>
          <w:bCs/>
          <w:color w:val="000000" w:themeColor="text1"/>
          <w:sz w:val="20"/>
          <w:szCs w:val="20"/>
        </w:rPr>
      </w:pPr>
      <w:r w:rsidRPr="004E13E9">
        <w:rPr>
          <w:rFonts w:ascii="Cambria" w:hAnsi="Cambria"/>
          <w:bCs/>
          <w:color w:val="000000" w:themeColor="text1"/>
          <w:sz w:val="20"/>
          <w:szCs w:val="20"/>
        </w:rPr>
        <w:t>Les documents ICCAT,</w:t>
      </w:r>
    </w:p>
    <w:p w14:paraId="6B34BE2B" w14:textId="77777777" w:rsidR="007C1525" w:rsidRPr="004E13E9" w:rsidRDefault="007C1525" w:rsidP="00487A5C">
      <w:pPr>
        <w:pStyle w:val="ListParagraph"/>
        <w:widowControl w:val="0"/>
        <w:numPr>
          <w:ilvl w:val="0"/>
          <w:numId w:val="49"/>
        </w:numPr>
        <w:shd w:val="clear" w:color="auto" w:fill="FFFFFF" w:themeFill="background1"/>
        <w:spacing w:after="0" w:line="240" w:lineRule="auto"/>
        <w:jc w:val="both"/>
        <w:rPr>
          <w:rFonts w:ascii="Cambria" w:hAnsi="Cambria"/>
          <w:bCs/>
          <w:color w:val="000000" w:themeColor="text1"/>
          <w:sz w:val="20"/>
          <w:szCs w:val="20"/>
        </w:rPr>
      </w:pPr>
      <w:r w:rsidRPr="004E13E9">
        <w:rPr>
          <w:rFonts w:ascii="Cambria" w:hAnsi="Cambria"/>
          <w:bCs/>
          <w:color w:val="000000" w:themeColor="text1"/>
          <w:sz w:val="20"/>
          <w:szCs w:val="20"/>
        </w:rPr>
        <w:t>Les enregistrements vidéo issus des opérations de transfert des captures,</w:t>
      </w:r>
    </w:p>
    <w:p w14:paraId="61706A69" w14:textId="77777777" w:rsidR="007C1525" w:rsidRPr="004E13E9" w:rsidRDefault="007C1525" w:rsidP="00487A5C">
      <w:pPr>
        <w:pStyle w:val="ListParagraph"/>
        <w:widowControl w:val="0"/>
        <w:numPr>
          <w:ilvl w:val="0"/>
          <w:numId w:val="49"/>
        </w:numPr>
        <w:shd w:val="clear" w:color="auto" w:fill="FFFFFF" w:themeFill="background1"/>
        <w:spacing w:after="0" w:line="240" w:lineRule="auto"/>
        <w:jc w:val="both"/>
        <w:rPr>
          <w:rFonts w:ascii="Cambria" w:hAnsi="Cambria"/>
          <w:bCs/>
          <w:color w:val="000000" w:themeColor="text1"/>
          <w:sz w:val="20"/>
          <w:szCs w:val="20"/>
        </w:rPr>
      </w:pPr>
      <w:r w:rsidRPr="004E13E9">
        <w:rPr>
          <w:rFonts w:ascii="Cambria" w:hAnsi="Cambria"/>
          <w:bCs/>
          <w:color w:val="000000" w:themeColor="text1"/>
          <w:sz w:val="20"/>
          <w:szCs w:val="20"/>
        </w:rPr>
        <w:t>Le VMS, </w:t>
      </w:r>
    </w:p>
    <w:p w14:paraId="30AF227A" w14:textId="77777777" w:rsidR="007C1525" w:rsidRPr="004E13E9" w:rsidRDefault="007C1525" w:rsidP="00487A5C">
      <w:pPr>
        <w:pStyle w:val="ListParagraph"/>
        <w:widowControl w:val="0"/>
        <w:numPr>
          <w:ilvl w:val="0"/>
          <w:numId w:val="49"/>
        </w:numPr>
        <w:shd w:val="clear" w:color="auto" w:fill="FFFFFF" w:themeFill="background1"/>
        <w:spacing w:after="0" w:line="240" w:lineRule="auto"/>
        <w:jc w:val="both"/>
        <w:rPr>
          <w:rFonts w:ascii="Cambria" w:hAnsi="Cambria"/>
          <w:bCs/>
          <w:color w:val="000000" w:themeColor="text1"/>
          <w:sz w:val="20"/>
          <w:szCs w:val="20"/>
        </w:rPr>
      </w:pPr>
      <w:r w:rsidRPr="004E13E9">
        <w:rPr>
          <w:rFonts w:ascii="Cambria" w:hAnsi="Cambria"/>
          <w:bCs/>
          <w:color w:val="000000" w:themeColor="text1"/>
          <w:sz w:val="20"/>
          <w:szCs w:val="20"/>
          <w:lang w:bidi="ar-TN"/>
        </w:rPr>
        <w:t xml:space="preserve">Les infractions, en cas échéant, </w:t>
      </w:r>
      <w:r w:rsidRPr="004E13E9">
        <w:rPr>
          <w:rFonts w:ascii="Cambria" w:hAnsi="Cambria"/>
          <w:bCs/>
          <w:color w:val="000000" w:themeColor="text1"/>
          <w:sz w:val="20"/>
          <w:szCs w:val="20"/>
        </w:rPr>
        <w:t>aux mesures de conservation et de gestion de l’ICCAT.</w:t>
      </w:r>
    </w:p>
    <w:p w14:paraId="1805896A" w14:textId="20EBDA2F" w:rsidR="004433EE" w:rsidRPr="004E13E9" w:rsidRDefault="007C1525" w:rsidP="00487A5C">
      <w:pPr>
        <w:pStyle w:val="ListParagraph"/>
        <w:widowControl w:val="0"/>
        <w:numPr>
          <w:ilvl w:val="0"/>
          <w:numId w:val="49"/>
        </w:numPr>
        <w:shd w:val="clear" w:color="auto" w:fill="FFFFFF" w:themeFill="background1"/>
        <w:spacing w:after="0" w:line="240" w:lineRule="auto"/>
        <w:jc w:val="both"/>
        <w:rPr>
          <w:rFonts w:ascii="Cambria" w:hAnsi="Cambria"/>
          <w:b/>
          <w:color w:val="000000" w:themeColor="text1"/>
        </w:rPr>
      </w:pPr>
      <w:r w:rsidRPr="004E13E9">
        <w:rPr>
          <w:rFonts w:ascii="Cambria" w:hAnsi="Cambria"/>
          <w:bCs/>
          <w:color w:val="000000" w:themeColor="text1"/>
          <w:sz w:val="20"/>
          <w:szCs w:val="20"/>
        </w:rPr>
        <w:t>Les systèmes de communication de données pour réception d’autorisations préalables de transfert, de relâchement</w:t>
      </w:r>
      <w:r w:rsidR="004433EE" w:rsidRPr="004E13E9">
        <w:rPr>
          <w:rFonts w:ascii="Cambria" w:hAnsi="Cambria"/>
          <w:b/>
          <w:color w:val="000000" w:themeColor="text1"/>
        </w:rPr>
        <w:br w:type="page"/>
      </w:r>
    </w:p>
    <w:p w14:paraId="0F630F18" w14:textId="30DFE29E" w:rsidR="007C1525" w:rsidRPr="004E13E9" w:rsidRDefault="007C1525" w:rsidP="007C1525">
      <w:pPr>
        <w:ind w:left="426" w:hanging="426"/>
        <w:rPr>
          <w:b/>
          <w:color w:val="000000" w:themeColor="text1"/>
          <w:lang w:val="fr-FR"/>
        </w:rPr>
      </w:pPr>
      <w:r w:rsidRPr="004E13E9">
        <w:rPr>
          <w:b/>
          <w:color w:val="000000" w:themeColor="text1"/>
          <w:lang w:val="fr-FR"/>
        </w:rPr>
        <w:t>6.</w:t>
      </w:r>
      <w:r w:rsidRPr="004E13E9">
        <w:rPr>
          <w:b/>
          <w:color w:val="000000" w:themeColor="text1"/>
          <w:lang w:val="fr-FR"/>
        </w:rPr>
        <w:tab/>
        <w:t>Autres</w:t>
      </w:r>
    </w:p>
    <w:p w14:paraId="6646D047" w14:textId="77777777" w:rsidR="007C1525" w:rsidRPr="004E13E9" w:rsidRDefault="007C1525" w:rsidP="007C1525">
      <w:pPr>
        <w:ind w:left="426" w:hanging="426"/>
        <w:rPr>
          <w:b/>
          <w:color w:val="000000" w:themeColor="text1"/>
          <w:lang w:val="fr-FR"/>
        </w:rPr>
      </w:pPr>
    </w:p>
    <w:p w14:paraId="45B11559" w14:textId="77777777" w:rsidR="007C1525" w:rsidRPr="004E13E9" w:rsidRDefault="007C1525" w:rsidP="007C1525">
      <w:pPr>
        <w:rPr>
          <w:color w:val="000000" w:themeColor="text1"/>
        </w:rPr>
      </w:pPr>
      <w:r w:rsidRPr="004E13E9">
        <w:rPr>
          <w:bCs/>
          <w:color w:val="000000" w:themeColor="text1"/>
          <w:lang w:val="fr-FR"/>
        </w:rPr>
        <w:t xml:space="preserve">À part sa participation au programme </w:t>
      </w:r>
      <w:r w:rsidRPr="004E13E9">
        <w:rPr>
          <w:color w:val="000000" w:themeColor="text1"/>
          <w:lang w:val="fr-FR"/>
        </w:rPr>
        <w:t xml:space="preserve">GBYP de l’ICCAT, </w:t>
      </w:r>
      <w:r w:rsidRPr="004E13E9">
        <w:rPr>
          <w:bCs/>
          <w:color w:val="000000" w:themeColor="text1"/>
          <w:lang w:val="fr-FR"/>
        </w:rPr>
        <w:t xml:space="preserve">l’autorité compétente coopère avec </w:t>
      </w:r>
      <w:r w:rsidRPr="004E13E9">
        <w:rPr>
          <w:color w:val="000000" w:themeColor="text1"/>
          <w:lang w:val="fr-FR"/>
        </w:rPr>
        <w:t xml:space="preserve">l'Institut National des Sciences et Technologies de la Mer (INSTM) pour l’exécution de programmes de suivi scientifique de l’espèce </w:t>
      </w:r>
      <w:proofErr w:type="spellStart"/>
      <w:r w:rsidRPr="004E13E9">
        <w:rPr>
          <w:i/>
          <w:iCs/>
          <w:color w:val="000000" w:themeColor="text1"/>
          <w:lang w:val="fr-FR"/>
        </w:rPr>
        <w:t>Thunnus</w:t>
      </w:r>
      <w:proofErr w:type="spellEnd"/>
      <w:r w:rsidRPr="004E13E9">
        <w:rPr>
          <w:i/>
          <w:iCs/>
          <w:color w:val="000000" w:themeColor="text1"/>
          <w:lang w:val="fr-FR"/>
        </w:rPr>
        <w:t xml:space="preserve"> </w:t>
      </w:r>
      <w:proofErr w:type="spellStart"/>
      <w:r w:rsidRPr="004E13E9">
        <w:rPr>
          <w:i/>
          <w:iCs/>
          <w:color w:val="000000" w:themeColor="text1"/>
          <w:lang w:val="fr-FR"/>
        </w:rPr>
        <w:t>thynnus</w:t>
      </w:r>
      <w:proofErr w:type="spellEnd"/>
      <w:r w:rsidRPr="004E13E9">
        <w:rPr>
          <w:color w:val="000000" w:themeColor="text1"/>
          <w:lang w:val="fr-FR"/>
        </w:rPr>
        <w:t xml:space="preserve">. </w:t>
      </w:r>
      <w:r w:rsidRPr="004E13E9">
        <w:rPr>
          <w:color w:val="000000" w:themeColor="text1"/>
        </w:rPr>
        <w:t xml:space="preserve">Cela </w:t>
      </w:r>
      <w:proofErr w:type="spellStart"/>
      <w:r w:rsidRPr="004E13E9">
        <w:rPr>
          <w:color w:val="000000" w:themeColor="text1"/>
        </w:rPr>
        <w:t>concerne</w:t>
      </w:r>
      <w:proofErr w:type="spellEnd"/>
      <w:r w:rsidRPr="004E13E9">
        <w:rPr>
          <w:color w:val="000000" w:themeColor="text1"/>
        </w:rPr>
        <w:t xml:space="preserve"> </w:t>
      </w:r>
      <w:proofErr w:type="spellStart"/>
      <w:proofErr w:type="gramStart"/>
      <w:r w:rsidRPr="004E13E9">
        <w:rPr>
          <w:color w:val="000000" w:themeColor="text1"/>
        </w:rPr>
        <w:t>notamment</w:t>
      </w:r>
      <w:proofErr w:type="spellEnd"/>
      <w:r w:rsidRPr="004E13E9">
        <w:rPr>
          <w:color w:val="000000" w:themeColor="text1"/>
        </w:rPr>
        <w:t> :</w:t>
      </w:r>
      <w:proofErr w:type="gramEnd"/>
    </w:p>
    <w:p w14:paraId="358CE434" w14:textId="77777777" w:rsidR="007C1525" w:rsidRPr="004E13E9" w:rsidRDefault="007C1525" w:rsidP="007C1525">
      <w:pPr>
        <w:rPr>
          <w:color w:val="000000" w:themeColor="text1"/>
        </w:rPr>
      </w:pPr>
    </w:p>
    <w:p w14:paraId="791B75CE" w14:textId="77777777" w:rsidR="007C1525" w:rsidRPr="004E13E9" w:rsidRDefault="007C1525" w:rsidP="00487A5C">
      <w:pPr>
        <w:pStyle w:val="ListParagraph"/>
        <w:widowControl w:val="0"/>
        <w:numPr>
          <w:ilvl w:val="0"/>
          <w:numId w:val="49"/>
        </w:numPr>
        <w:spacing w:after="0" w:line="240" w:lineRule="auto"/>
        <w:jc w:val="both"/>
        <w:rPr>
          <w:rFonts w:ascii="Cambria" w:hAnsi="Cambria"/>
          <w:bCs/>
          <w:color w:val="000000" w:themeColor="text1"/>
          <w:sz w:val="20"/>
          <w:szCs w:val="20"/>
        </w:rPr>
      </w:pPr>
      <w:r w:rsidRPr="004E13E9">
        <w:rPr>
          <w:rFonts w:ascii="Cambria" w:hAnsi="Cambria"/>
          <w:color w:val="000000" w:themeColor="text1"/>
          <w:sz w:val="20"/>
          <w:szCs w:val="20"/>
        </w:rPr>
        <w:t>Le programme d’observateurs scientifiques</w:t>
      </w:r>
      <w:r w:rsidRPr="004E13E9">
        <w:rPr>
          <w:rFonts w:ascii="Cambria" w:hAnsi="Cambria"/>
          <w:bCs/>
          <w:color w:val="000000" w:themeColor="text1"/>
          <w:sz w:val="20"/>
          <w:szCs w:val="20"/>
        </w:rPr>
        <w:t xml:space="preserve"> qui couvriront </w:t>
      </w:r>
      <w:r w:rsidRPr="004E13E9">
        <w:rPr>
          <w:rFonts w:ascii="Cambria" w:hAnsi="Cambria"/>
          <w:color w:val="000000" w:themeColor="text1"/>
          <w:sz w:val="20"/>
          <w:szCs w:val="20"/>
        </w:rPr>
        <w:t>10% du nombre de senneurs autorisés et dont les résultats obtenus sur les prises par engin, les tailles, les lieux de pêche et les captures accidentelles seront déclarés au SCRS ;</w:t>
      </w:r>
    </w:p>
    <w:p w14:paraId="2D8354A7" w14:textId="77777777" w:rsidR="007C1525" w:rsidRPr="004E13E9" w:rsidRDefault="007C1525" w:rsidP="00487A5C">
      <w:pPr>
        <w:pStyle w:val="ListParagraph"/>
        <w:widowControl w:val="0"/>
        <w:numPr>
          <w:ilvl w:val="0"/>
          <w:numId w:val="49"/>
        </w:numPr>
        <w:spacing w:after="0" w:line="240" w:lineRule="auto"/>
        <w:jc w:val="both"/>
        <w:rPr>
          <w:rFonts w:ascii="Cambria" w:hAnsi="Cambria"/>
          <w:bCs/>
          <w:color w:val="000000" w:themeColor="text1"/>
          <w:sz w:val="20"/>
          <w:szCs w:val="20"/>
        </w:rPr>
      </w:pPr>
      <w:r w:rsidRPr="004E13E9">
        <w:rPr>
          <w:rFonts w:ascii="Cambria" w:hAnsi="Cambria"/>
          <w:color w:val="000000" w:themeColor="text1"/>
          <w:sz w:val="20"/>
          <w:szCs w:val="20"/>
        </w:rPr>
        <w:t>Le programme d’échantillonnage dans les fermes d’engraissement au cours de la mise en cage en employant les données offertes par les enregistrements vidéo des caméras stéréoscopiques ;</w:t>
      </w:r>
    </w:p>
    <w:p w14:paraId="2253450A" w14:textId="77777777" w:rsidR="007C1525" w:rsidRPr="004E13E9" w:rsidRDefault="007C1525" w:rsidP="00487A5C">
      <w:pPr>
        <w:pStyle w:val="ListParagraph"/>
        <w:widowControl w:val="0"/>
        <w:numPr>
          <w:ilvl w:val="0"/>
          <w:numId w:val="49"/>
        </w:numPr>
        <w:spacing w:after="0" w:line="240" w:lineRule="auto"/>
        <w:jc w:val="both"/>
        <w:rPr>
          <w:rFonts w:ascii="Cambria" w:hAnsi="Cambria"/>
          <w:bCs/>
          <w:color w:val="000000" w:themeColor="text1"/>
          <w:sz w:val="20"/>
          <w:szCs w:val="20"/>
        </w:rPr>
      </w:pPr>
      <w:r w:rsidRPr="004E13E9">
        <w:rPr>
          <w:rFonts w:ascii="Cambria" w:hAnsi="Cambria"/>
          <w:color w:val="000000" w:themeColor="text1"/>
          <w:sz w:val="20"/>
          <w:szCs w:val="20"/>
        </w:rPr>
        <w:t>Le programme d’échantillonnage dans les fermes d’engraissement au cours de la mise à mort pour suivre de plus près les cycles de reproduction et de croissance de thon rouge.</w:t>
      </w:r>
    </w:p>
    <w:p w14:paraId="63675B6F" w14:textId="77777777" w:rsidR="004433EE" w:rsidRPr="004E13E9" w:rsidRDefault="004433EE" w:rsidP="004433EE">
      <w:pPr>
        <w:widowControl w:val="0"/>
        <w:jc w:val="both"/>
        <w:rPr>
          <w:bCs/>
          <w:color w:val="000000" w:themeColor="text1"/>
          <w:lang w:val="fr-FR"/>
        </w:rPr>
      </w:pPr>
    </w:p>
    <w:p w14:paraId="5C8977D3" w14:textId="77777777" w:rsidR="004433EE" w:rsidRPr="004E13E9" w:rsidRDefault="004433EE" w:rsidP="004433EE">
      <w:pPr>
        <w:widowControl w:val="0"/>
        <w:jc w:val="both"/>
        <w:rPr>
          <w:bCs/>
          <w:color w:val="000000" w:themeColor="text1"/>
          <w:lang w:val="fr-FR"/>
        </w:rPr>
      </w:pPr>
    </w:p>
    <w:p w14:paraId="6F8C5736" w14:textId="77777777" w:rsidR="007C1525" w:rsidRPr="004E13E9" w:rsidRDefault="007C1525" w:rsidP="007C1525">
      <w:pPr>
        <w:rPr>
          <w:i/>
          <w:lang w:val="fr-FR"/>
        </w:rPr>
        <w:sectPr w:rsidR="007C1525" w:rsidRPr="004E13E9" w:rsidSect="007C1525">
          <w:headerReference w:type="even" r:id="rId192"/>
          <w:headerReference w:type="default" r:id="rId193"/>
          <w:footerReference w:type="even" r:id="rId194"/>
          <w:headerReference w:type="first" r:id="rId195"/>
          <w:footerReference w:type="first" r:id="rId196"/>
          <w:pgSz w:w="11906" w:h="16838" w:code="9"/>
          <w:pgMar w:top="1418" w:right="1418" w:bottom="1418" w:left="1418" w:header="851" w:footer="1134" w:gutter="0"/>
          <w:cols w:space="425"/>
          <w:docGrid w:linePitch="360"/>
        </w:sectPr>
      </w:pPr>
    </w:p>
    <w:p w14:paraId="75FAB6DD" w14:textId="77777777" w:rsidR="007C1525" w:rsidRPr="004E13E9" w:rsidRDefault="007C1525" w:rsidP="007C1525">
      <w:pPr>
        <w:rPr>
          <w:b/>
          <w:bCs/>
          <w:iCs/>
        </w:rPr>
      </w:pPr>
      <w:r w:rsidRPr="004E13E9">
        <w:rPr>
          <w:b/>
          <w:bCs/>
          <w:iCs/>
        </w:rPr>
        <w:t xml:space="preserve">Tableau de la </w:t>
      </w:r>
      <w:proofErr w:type="spellStart"/>
      <w:r w:rsidRPr="004E13E9">
        <w:rPr>
          <w:b/>
          <w:bCs/>
          <w:iCs/>
        </w:rPr>
        <w:t>capacité</w:t>
      </w:r>
      <w:proofErr w:type="spellEnd"/>
    </w:p>
    <w:tbl>
      <w:tblPr>
        <w:tblW w:w="1588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6"/>
        <w:gridCol w:w="1407"/>
        <w:gridCol w:w="830"/>
        <w:gridCol w:w="615"/>
        <w:gridCol w:w="674"/>
        <w:gridCol w:w="706"/>
        <w:gridCol w:w="615"/>
        <w:gridCol w:w="615"/>
        <w:gridCol w:w="623"/>
        <w:gridCol w:w="283"/>
        <w:gridCol w:w="851"/>
        <w:gridCol w:w="850"/>
        <w:gridCol w:w="993"/>
        <w:gridCol w:w="850"/>
        <w:gridCol w:w="992"/>
        <w:gridCol w:w="993"/>
        <w:gridCol w:w="1134"/>
        <w:gridCol w:w="12"/>
      </w:tblGrid>
      <w:tr w:rsidR="007C1525" w:rsidRPr="004E13E9" w14:paraId="2A5550A8" w14:textId="77777777" w:rsidTr="00D47E5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2E462D0E" w14:textId="77777777" w:rsidR="007C1525" w:rsidRPr="004E13E9" w:rsidRDefault="007C1525" w:rsidP="00D47E5E">
            <w:pPr>
              <w:jc w:val="center"/>
              <w:rPr>
                <w:rFonts w:eastAsia="Times New Roman" w:cs="Calibri"/>
                <w:i/>
                <w:iCs/>
                <w:sz w:val="18"/>
                <w:szCs w:val="18"/>
                <w:lang w:eastAsia="ja-JP"/>
              </w:rPr>
            </w:pPr>
            <w:r w:rsidRPr="004E13E9">
              <w:rPr>
                <w:rFonts w:eastAsia="Malgun Gothic"/>
                <w:i/>
                <w:kern w:val="2"/>
                <w:sz w:val="18"/>
                <w:szCs w:val="18"/>
                <w:lang w:eastAsia="ko-KR"/>
                <w14:ligatures w14:val="standardContextual"/>
              </w:rPr>
              <w:t xml:space="preserve">Type de </w:t>
            </w:r>
            <w:proofErr w:type="spellStart"/>
            <w:r w:rsidRPr="004E13E9">
              <w:rPr>
                <w:rFonts w:eastAsia="Malgun Gothic"/>
                <w:i/>
                <w:kern w:val="2"/>
                <w:sz w:val="18"/>
                <w:szCs w:val="18"/>
                <w:lang w:eastAsia="ko-KR"/>
                <w14:ligatures w14:val="standardContextual"/>
              </w:rPr>
              <w:t>navires</w:t>
            </w:r>
            <w:proofErr w:type="spellEnd"/>
            <w:r w:rsidRPr="004E13E9">
              <w:rPr>
                <w:rFonts w:eastAsia="Malgun Gothic"/>
                <w:i/>
                <w:kern w:val="2"/>
                <w:sz w:val="18"/>
                <w:szCs w:val="18"/>
                <w:lang w:eastAsia="ko-KR"/>
                <w14:ligatures w14:val="standardContextual"/>
              </w:rPr>
              <w:t xml:space="preserve"> </w:t>
            </w:r>
            <w:proofErr w:type="spellStart"/>
            <w:r w:rsidRPr="004E13E9">
              <w:rPr>
                <w:rFonts w:eastAsia="Malgun Gothic"/>
                <w:i/>
                <w:kern w:val="2"/>
                <w:sz w:val="18"/>
                <w:szCs w:val="18"/>
                <w:lang w:eastAsia="ko-KR"/>
                <w14:ligatures w14:val="standardContextual"/>
              </w:rPr>
              <w:t>thoniers</w:t>
            </w:r>
            <w:proofErr w:type="spellEnd"/>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553B33CC" w14:textId="77777777" w:rsidR="007C1525" w:rsidRPr="004E13E9" w:rsidRDefault="007C1525" w:rsidP="00D47E5E">
            <w:pPr>
              <w:rPr>
                <w:rFonts w:eastAsia="Times New Roman" w:cs="Calibri"/>
                <w:i/>
                <w:iCs/>
                <w:sz w:val="18"/>
                <w:szCs w:val="18"/>
                <w:lang w:eastAsia="ja-JP"/>
              </w:rPr>
            </w:pPr>
          </w:p>
        </w:tc>
        <w:tc>
          <w:tcPr>
            <w:tcW w:w="2119" w:type="dxa"/>
            <w:gridSpan w:val="3"/>
            <w:tcBorders>
              <w:top w:val="single" w:sz="4" w:space="0" w:color="auto"/>
              <w:left w:val="single" w:sz="4" w:space="0" w:color="auto"/>
              <w:bottom w:val="single" w:sz="4" w:space="0" w:color="auto"/>
              <w:right w:val="single" w:sz="4" w:space="0" w:color="auto"/>
            </w:tcBorders>
            <w:hideMark/>
          </w:tcPr>
          <w:p w14:paraId="5B3EFE69" w14:textId="77777777" w:rsidR="007C1525" w:rsidRPr="004E13E9" w:rsidRDefault="007C1525" w:rsidP="00D47E5E">
            <w:pPr>
              <w:jc w:val="center"/>
              <w:rPr>
                <w:rFonts w:eastAsia="Times New Roman" w:cs="Calibri"/>
                <w:i/>
                <w:iCs/>
                <w:sz w:val="18"/>
                <w:szCs w:val="18"/>
                <w:lang w:val="en-GB" w:eastAsia="ja-JP"/>
              </w:rPr>
            </w:pPr>
            <w:r w:rsidRPr="004E13E9">
              <w:rPr>
                <w:rFonts w:eastAsia="Malgun Gothic"/>
                <w:i/>
                <w:kern w:val="2"/>
                <w:sz w:val="18"/>
                <w:szCs w:val="18"/>
                <w:lang w:eastAsia="ko-KR"/>
                <w14:ligatures w14:val="standardContextual"/>
              </w:rPr>
              <w:t xml:space="preserve">Année de </w:t>
            </w:r>
            <w:proofErr w:type="spellStart"/>
            <w:r w:rsidRPr="004E13E9">
              <w:rPr>
                <w:rFonts w:eastAsia="Malgun Gothic"/>
                <w:i/>
                <w:kern w:val="2"/>
                <w:sz w:val="18"/>
                <w:szCs w:val="18"/>
                <w:lang w:eastAsia="ko-KR"/>
                <w14:ligatures w14:val="standardContextual"/>
              </w:rPr>
              <w:t>réf</w:t>
            </w:r>
            <w:proofErr w:type="spellEnd"/>
            <w:r w:rsidRPr="004E13E9">
              <w:rPr>
                <w:rFonts w:eastAsia="Malgun Gothic"/>
                <w:i/>
                <w:kern w:val="2"/>
                <w:sz w:val="18"/>
                <w:szCs w:val="18"/>
                <w:lang w:eastAsia="ko-KR"/>
                <w14:ligatures w14:val="standardContextual"/>
              </w:rPr>
              <w:t>.</w:t>
            </w:r>
          </w:p>
        </w:tc>
        <w:tc>
          <w:tcPr>
            <w:tcW w:w="2559" w:type="dxa"/>
            <w:gridSpan w:val="4"/>
            <w:tcBorders>
              <w:top w:val="single" w:sz="4" w:space="0" w:color="auto"/>
              <w:left w:val="single" w:sz="4" w:space="0" w:color="auto"/>
              <w:bottom w:val="single" w:sz="4" w:space="0" w:color="auto"/>
              <w:right w:val="single" w:sz="4" w:space="0" w:color="auto"/>
            </w:tcBorders>
            <w:vAlign w:val="center"/>
            <w:hideMark/>
          </w:tcPr>
          <w:p w14:paraId="1AB2F22A" w14:textId="77777777" w:rsidR="007C1525" w:rsidRPr="004E13E9" w:rsidRDefault="007C1525" w:rsidP="00D47E5E">
            <w:pPr>
              <w:jc w:val="center"/>
              <w:rPr>
                <w:rFonts w:eastAsia="Times New Roman"/>
                <w:sz w:val="18"/>
                <w:szCs w:val="18"/>
                <w:lang w:eastAsia="ja-JP"/>
              </w:rPr>
            </w:pPr>
            <w:r w:rsidRPr="004E13E9">
              <w:rPr>
                <w:rFonts w:eastAsia="Malgun Gothic"/>
                <w:i/>
                <w:kern w:val="2"/>
                <w:sz w:val="18"/>
                <w:szCs w:val="18"/>
                <w:lang w:eastAsia="ko-KR"/>
                <w14:ligatures w14:val="standardContextual"/>
              </w:rPr>
              <w:t xml:space="preserve">Nombre de </w:t>
            </w:r>
            <w:proofErr w:type="spellStart"/>
            <w:r w:rsidRPr="004E13E9">
              <w:rPr>
                <w:rFonts w:eastAsia="Malgun Gothic"/>
                <w:i/>
                <w:kern w:val="2"/>
                <w:sz w:val="18"/>
                <w:szCs w:val="18"/>
                <w:lang w:eastAsia="ko-KR"/>
                <w14:ligatures w14:val="standardContextual"/>
              </w:rPr>
              <w:t>navires</w:t>
            </w:r>
            <w:proofErr w:type="spellEnd"/>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00FDF0" w14:textId="77777777" w:rsidR="007C1525" w:rsidRPr="004E13E9" w:rsidRDefault="007C1525" w:rsidP="00D47E5E">
            <w:pPr>
              <w:rPr>
                <w:rFonts w:eastAsia="Times New Roman"/>
                <w:sz w:val="18"/>
                <w:szCs w:val="18"/>
                <w:lang w:eastAsia="ja-JP"/>
              </w:rPr>
            </w:pPr>
          </w:p>
        </w:tc>
        <w:tc>
          <w:tcPr>
            <w:tcW w:w="2694" w:type="dxa"/>
            <w:gridSpan w:val="3"/>
            <w:tcBorders>
              <w:top w:val="single" w:sz="4" w:space="0" w:color="auto"/>
              <w:left w:val="single" w:sz="4" w:space="0" w:color="auto"/>
              <w:bottom w:val="single" w:sz="4" w:space="0" w:color="auto"/>
              <w:right w:val="single" w:sz="4" w:space="0" w:color="auto"/>
            </w:tcBorders>
            <w:hideMark/>
          </w:tcPr>
          <w:p w14:paraId="671AC15E" w14:textId="77777777" w:rsidR="007C1525" w:rsidRPr="004E13E9" w:rsidRDefault="007C1525" w:rsidP="00D47E5E">
            <w:pPr>
              <w:jc w:val="center"/>
              <w:rPr>
                <w:rFonts w:eastAsia="Times New Roman" w:cs="Calibri"/>
                <w:i/>
                <w:iCs/>
                <w:sz w:val="18"/>
                <w:szCs w:val="18"/>
                <w:lang w:val="en-GB" w:eastAsia="ja-JP"/>
              </w:rPr>
            </w:pPr>
            <w:r w:rsidRPr="004E13E9">
              <w:rPr>
                <w:rFonts w:eastAsia="Malgun Gothic"/>
                <w:i/>
                <w:kern w:val="2"/>
                <w:sz w:val="18"/>
                <w:szCs w:val="18"/>
                <w:lang w:eastAsia="ko-KR"/>
                <w14:ligatures w14:val="standardContextual"/>
              </w:rPr>
              <w:t xml:space="preserve">Année de </w:t>
            </w:r>
            <w:proofErr w:type="spellStart"/>
            <w:r w:rsidRPr="004E13E9">
              <w:rPr>
                <w:rFonts w:eastAsia="Malgun Gothic"/>
                <w:i/>
                <w:kern w:val="2"/>
                <w:sz w:val="18"/>
                <w:szCs w:val="18"/>
                <w:lang w:eastAsia="ko-KR"/>
                <w14:ligatures w14:val="standardContextual"/>
              </w:rPr>
              <w:t>réf</w:t>
            </w:r>
            <w:proofErr w:type="spellEnd"/>
            <w:r w:rsidRPr="004E13E9">
              <w:rPr>
                <w:rFonts w:eastAsia="Malgun Gothic"/>
                <w:i/>
                <w:kern w:val="2"/>
                <w:sz w:val="18"/>
                <w:szCs w:val="18"/>
                <w:lang w:eastAsia="ko-KR"/>
                <w14:ligatures w14:val="standardContextual"/>
              </w:rPr>
              <w:t>.</w:t>
            </w:r>
          </w:p>
        </w:tc>
        <w:tc>
          <w:tcPr>
            <w:tcW w:w="3981" w:type="dxa"/>
            <w:gridSpan w:val="5"/>
            <w:tcBorders>
              <w:top w:val="single" w:sz="4" w:space="0" w:color="auto"/>
              <w:left w:val="single" w:sz="4" w:space="0" w:color="auto"/>
              <w:bottom w:val="single" w:sz="4" w:space="0" w:color="auto"/>
              <w:right w:val="single" w:sz="4" w:space="0" w:color="auto"/>
            </w:tcBorders>
            <w:hideMark/>
          </w:tcPr>
          <w:p w14:paraId="0879238B" w14:textId="77777777" w:rsidR="007C1525" w:rsidRPr="004E13E9" w:rsidRDefault="007C1525" w:rsidP="00D47E5E">
            <w:pPr>
              <w:jc w:val="center"/>
              <w:rPr>
                <w:rFonts w:eastAsia="Times New Roman" w:cs="Calibri"/>
                <w:i/>
                <w:iCs/>
                <w:sz w:val="18"/>
                <w:szCs w:val="18"/>
                <w:lang w:eastAsia="ja-JP"/>
              </w:rPr>
            </w:pPr>
            <w:proofErr w:type="spellStart"/>
            <w:r w:rsidRPr="004E13E9">
              <w:rPr>
                <w:rFonts w:eastAsia="Malgun Gothic"/>
                <w:i/>
                <w:kern w:val="2"/>
                <w:sz w:val="18"/>
                <w:szCs w:val="18"/>
                <w:lang w:eastAsia="ko-KR"/>
                <w14:ligatures w14:val="standardContextual"/>
              </w:rPr>
              <w:t>Capacité</w:t>
            </w:r>
            <w:proofErr w:type="spellEnd"/>
            <w:r w:rsidRPr="004E13E9">
              <w:rPr>
                <w:rFonts w:eastAsia="Malgun Gothic"/>
                <w:i/>
                <w:kern w:val="2"/>
                <w:sz w:val="18"/>
                <w:szCs w:val="18"/>
                <w:lang w:eastAsia="ko-KR"/>
                <w14:ligatures w14:val="standardContextual"/>
              </w:rPr>
              <w:t xml:space="preserve"> de </w:t>
            </w:r>
            <w:proofErr w:type="spellStart"/>
            <w:r w:rsidRPr="004E13E9">
              <w:rPr>
                <w:rFonts w:eastAsia="Malgun Gothic"/>
                <w:i/>
                <w:kern w:val="2"/>
                <w:sz w:val="18"/>
                <w:szCs w:val="18"/>
                <w:lang w:eastAsia="ko-KR"/>
                <w14:ligatures w14:val="standardContextual"/>
              </w:rPr>
              <w:t>pêche</w:t>
            </w:r>
            <w:proofErr w:type="spellEnd"/>
          </w:p>
        </w:tc>
      </w:tr>
      <w:tr w:rsidR="007C1525" w:rsidRPr="004E13E9" w14:paraId="121E62C0"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2604099C" w14:textId="77777777" w:rsidR="007C1525" w:rsidRPr="004E13E9" w:rsidRDefault="007C1525" w:rsidP="00D47E5E">
            <w:pPr>
              <w:rPr>
                <w:rFonts w:eastAsia="Times New Roman" w:cs="Calibri"/>
                <w:b/>
                <w:bCs/>
                <w:sz w:val="18"/>
                <w:szCs w:val="18"/>
                <w:lang w:eastAsia="ja-JP"/>
              </w:rPr>
            </w:pPr>
            <w:r w:rsidRPr="004E13E9">
              <w:rPr>
                <w:rFonts w:eastAsia="Times New Roman" w:cs="Calibri"/>
                <w:b/>
                <w:bCs/>
                <w:sz w:val="18"/>
                <w:szCs w:val="18"/>
                <w:lang w:eastAsia="ja-JP"/>
              </w:rPr>
              <w:t>Type</w:t>
            </w:r>
          </w:p>
        </w:tc>
        <w:tc>
          <w:tcPr>
            <w:tcW w:w="1407" w:type="dxa"/>
            <w:tcBorders>
              <w:top w:val="single" w:sz="4" w:space="0" w:color="auto"/>
              <w:left w:val="single" w:sz="4" w:space="0" w:color="auto"/>
              <w:bottom w:val="single" w:sz="4" w:space="0" w:color="auto"/>
              <w:right w:val="single" w:sz="4" w:space="0" w:color="auto"/>
            </w:tcBorders>
            <w:vAlign w:val="center"/>
            <w:hideMark/>
          </w:tcPr>
          <w:p w14:paraId="03F17194" w14:textId="77777777" w:rsidR="007C1525" w:rsidRPr="004E13E9" w:rsidRDefault="007C1525" w:rsidP="00D47E5E">
            <w:pPr>
              <w:jc w:val="center"/>
              <w:rPr>
                <w:rFonts w:eastAsia="Times New Roman" w:cs="Calibri"/>
                <w:sz w:val="18"/>
                <w:szCs w:val="18"/>
                <w:lang w:val="fr-FR" w:eastAsia="ja-JP"/>
              </w:rPr>
            </w:pPr>
            <w:r w:rsidRPr="004E13E9">
              <w:rPr>
                <w:rFonts w:eastAsia="Malgun Gothic"/>
                <w:kern w:val="2"/>
                <w:sz w:val="18"/>
                <w:szCs w:val="18"/>
                <w:lang w:val="fr-FR" w:eastAsia="ko-KR"/>
                <w14:ligatures w14:val="standardContextual"/>
              </w:rPr>
              <w:t>Meilleurs taux de capture définis par le SCRS en 2009</w:t>
            </w:r>
            <w:r w:rsidRPr="004E13E9">
              <w:rPr>
                <w:rFonts w:eastAsia="Malgun Gothic"/>
                <w:kern w:val="2"/>
                <w:sz w:val="18"/>
                <w:szCs w:val="18"/>
                <w:vertAlign w:val="superscript"/>
                <w:lang w:val="fr-FR" w:eastAsia="ko-KR"/>
                <w14:ligatures w14:val="standardContextual"/>
              </w:rPr>
              <w:t>1</w:t>
            </w:r>
            <w:r w:rsidRPr="004E13E9">
              <w:rPr>
                <w:rFonts w:eastAsia="Malgun Gothic"/>
                <w:kern w:val="2"/>
                <w:sz w:val="18"/>
                <w:szCs w:val="18"/>
                <w:lang w:val="fr-FR" w:eastAsia="ko-KR"/>
                <w14:ligatures w14:val="standardContextual"/>
              </w:rPr>
              <w:t xml:space="preserve"> (t)</w:t>
            </w:r>
          </w:p>
        </w:tc>
        <w:tc>
          <w:tcPr>
            <w:tcW w:w="830" w:type="dxa"/>
            <w:tcBorders>
              <w:top w:val="single" w:sz="4" w:space="0" w:color="auto"/>
              <w:left w:val="single" w:sz="4" w:space="0" w:color="auto"/>
              <w:bottom w:val="single" w:sz="4" w:space="0" w:color="auto"/>
              <w:right w:val="single" w:sz="4" w:space="0" w:color="auto"/>
            </w:tcBorders>
            <w:vAlign w:val="center"/>
            <w:hideMark/>
          </w:tcPr>
          <w:p w14:paraId="609EEE51"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2006</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4C297211"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2008</w:t>
            </w:r>
          </w:p>
        </w:tc>
        <w:tc>
          <w:tcPr>
            <w:tcW w:w="674" w:type="dxa"/>
            <w:tcBorders>
              <w:top w:val="single" w:sz="4" w:space="0" w:color="auto"/>
              <w:left w:val="single" w:sz="4" w:space="0" w:color="auto"/>
              <w:bottom w:val="single" w:sz="4" w:space="0" w:color="auto"/>
              <w:right w:val="single" w:sz="4" w:space="0" w:color="auto"/>
            </w:tcBorders>
            <w:vAlign w:val="center"/>
            <w:hideMark/>
          </w:tcPr>
          <w:p w14:paraId="6D09CB71"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2018</w:t>
            </w:r>
          </w:p>
        </w:tc>
        <w:tc>
          <w:tcPr>
            <w:tcW w:w="706" w:type="dxa"/>
            <w:tcBorders>
              <w:top w:val="single" w:sz="4" w:space="0" w:color="auto"/>
              <w:left w:val="single" w:sz="4" w:space="0" w:color="auto"/>
              <w:bottom w:val="single" w:sz="4" w:space="0" w:color="auto"/>
              <w:right w:val="single" w:sz="4" w:space="0" w:color="auto"/>
            </w:tcBorders>
            <w:vAlign w:val="center"/>
            <w:hideMark/>
          </w:tcPr>
          <w:p w14:paraId="2BCEA304"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2023</w:t>
            </w:r>
          </w:p>
        </w:tc>
        <w:tc>
          <w:tcPr>
            <w:tcW w:w="615" w:type="dxa"/>
            <w:tcBorders>
              <w:top w:val="single" w:sz="4" w:space="0" w:color="auto"/>
              <w:left w:val="single" w:sz="4" w:space="0" w:color="auto"/>
              <w:bottom w:val="single" w:sz="4" w:space="0" w:color="auto"/>
              <w:right w:val="single" w:sz="4" w:space="0" w:color="auto"/>
            </w:tcBorders>
            <w:vAlign w:val="center"/>
            <w:hideMark/>
          </w:tcPr>
          <w:p w14:paraId="315098C3"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2024</w:t>
            </w:r>
          </w:p>
        </w:tc>
        <w:tc>
          <w:tcPr>
            <w:tcW w:w="615" w:type="dxa"/>
            <w:tcBorders>
              <w:top w:val="single" w:sz="4" w:space="0" w:color="auto"/>
              <w:left w:val="single" w:sz="4" w:space="0" w:color="auto"/>
              <w:bottom w:val="single" w:sz="4" w:space="0" w:color="auto"/>
              <w:right w:val="single" w:sz="4" w:space="0" w:color="auto"/>
            </w:tcBorders>
            <w:vAlign w:val="center"/>
            <w:hideMark/>
          </w:tcPr>
          <w:p w14:paraId="7C012F2D"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2025</w:t>
            </w:r>
          </w:p>
        </w:tc>
        <w:tc>
          <w:tcPr>
            <w:tcW w:w="623" w:type="dxa"/>
            <w:tcBorders>
              <w:top w:val="single" w:sz="4" w:space="0" w:color="auto"/>
              <w:left w:val="single" w:sz="4" w:space="0" w:color="auto"/>
              <w:bottom w:val="single" w:sz="4" w:space="0" w:color="auto"/>
              <w:right w:val="single" w:sz="4" w:space="0" w:color="auto"/>
            </w:tcBorders>
            <w:vAlign w:val="center"/>
            <w:hideMark/>
          </w:tcPr>
          <w:p w14:paraId="547BD658"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2026</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DDAD7B2" w14:textId="77777777" w:rsidR="007C1525" w:rsidRPr="004E13E9" w:rsidRDefault="007C1525" w:rsidP="00D47E5E">
            <w:pPr>
              <w:rPr>
                <w:rFonts w:eastAsia="Times New Roman" w:cs="Calibri"/>
                <w:sz w:val="18"/>
                <w:szCs w:val="18"/>
                <w:lang w:eastAsia="ja-JP"/>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F918674" w14:textId="77777777" w:rsidR="007C1525" w:rsidRPr="004E13E9" w:rsidRDefault="007C1525" w:rsidP="00D47E5E">
            <w:pPr>
              <w:jc w:val="center"/>
              <w:rPr>
                <w:rFonts w:eastAsia="Times New Roman" w:cs="Calibri"/>
                <w:sz w:val="18"/>
                <w:szCs w:val="18"/>
                <w:lang w:val="en-GB" w:eastAsia="ja-JP"/>
              </w:rPr>
            </w:pPr>
            <w:r w:rsidRPr="004E13E9">
              <w:rPr>
                <w:rFonts w:eastAsia="Times New Roman" w:cs="Calibri"/>
                <w:sz w:val="18"/>
                <w:szCs w:val="18"/>
                <w:lang w:eastAsia="ja-JP"/>
              </w:rPr>
              <w:t>2006</w:t>
            </w:r>
          </w:p>
        </w:tc>
        <w:tc>
          <w:tcPr>
            <w:tcW w:w="850" w:type="dxa"/>
            <w:tcBorders>
              <w:top w:val="single" w:sz="4" w:space="0" w:color="auto"/>
              <w:left w:val="single" w:sz="4" w:space="0" w:color="auto"/>
              <w:bottom w:val="single" w:sz="4" w:space="0" w:color="auto"/>
              <w:right w:val="single" w:sz="4" w:space="0" w:color="auto"/>
            </w:tcBorders>
            <w:vAlign w:val="center"/>
            <w:hideMark/>
          </w:tcPr>
          <w:p w14:paraId="4CDFF239"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2008</w:t>
            </w:r>
          </w:p>
        </w:tc>
        <w:tc>
          <w:tcPr>
            <w:tcW w:w="993" w:type="dxa"/>
            <w:tcBorders>
              <w:top w:val="single" w:sz="4" w:space="0" w:color="auto"/>
              <w:left w:val="single" w:sz="4" w:space="0" w:color="auto"/>
              <w:bottom w:val="single" w:sz="4" w:space="0" w:color="auto"/>
              <w:right w:val="single" w:sz="4" w:space="0" w:color="auto"/>
            </w:tcBorders>
            <w:vAlign w:val="center"/>
            <w:hideMark/>
          </w:tcPr>
          <w:p w14:paraId="465C45A1"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lang w:eastAsia="ja-JP"/>
              </w:rPr>
              <w:t>2018</w:t>
            </w:r>
          </w:p>
        </w:tc>
        <w:tc>
          <w:tcPr>
            <w:tcW w:w="850" w:type="dxa"/>
            <w:tcBorders>
              <w:top w:val="single" w:sz="4" w:space="0" w:color="auto"/>
              <w:left w:val="single" w:sz="4" w:space="0" w:color="auto"/>
              <w:bottom w:val="single" w:sz="4" w:space="0" w:color="auto"/>
              <w:right w:val="single" w:sz="4" w:space="0" w:color="auto"/>
            </w:tcBorders>
            <w:vAlign w:val="center"/>
            <w:hideMark/>
          </w:tcPr>
          <w:p w14:paraId="5CE811EB"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lang w:eastAsia="ja-JP"/>
              </w:rPr>
              <w:t>2023</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045BCE"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lang w:eastAsia="ja-JP"/>
              </w:rPr>
              <w:t>2024</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42DC35"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lang w:eastAsia="ja-JP"/>
              </w:rPr>
              <w:t>2025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06A615"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lang w:eastAsia="ja-JP"/>
              </w:rPr>
              <w:t>2026</w:t>
            </w:r>
          </w:p>
        </w:tc>
      </w:tr>
      <w:tr w:rsidR="007C1525" w:rsidRPr="004E13E9" w14:paraId="6E7942B9"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32BF218A" w14:textId="77777777" w:rsidR="007C1525" w:rsidRPr="004E13E9" w:rsidRDefault="007C1525" w:rsidP="00D47E5E">
            <w:pPr>
              <w:rPr>
                <w:rFonts w:eastAsia="Times New Roman" w:cs="Calibri"/>
                <w:sz w:val="18"/>
                <w:szCs w:val="18"/>
                <w:lang w:val="fr-FR" w:eastAsia="ja-JP"/>
              </w:rPr>
            </w:pPr>
            <w:r w:rsidRPr="004E13E9">
              <w:rPr>
                <w:rFonts w:eastAsia="Malgun Gothic"/>
                <w:kern w:val="2"/>
                <w:sz w:val="18"/>
                <w:szCs w:val="18"/>
                <w:lang w:val="fr-FR" w:eastAsia="ko-KR"/>
                <w14:ligatures w14:val="standardContextual"/>
              </w:rPr>
              <w:t>Senneur de plus de 40 m</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6976710A"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70,66</w:t>
            </w:r>
          </w:p>
        </w:tc>
        <w:tc>
          <w:tcPr>
            <w:tcW w:w="830" w:type="dxa"/>
            <w:tcBorders>
              <w:top w:val="single" w:sz="4" w:space="0" w:color="auto"/>
              <w:left w:val="single" w:sz="4" w:space="0" w:color="auto"/>
              <w:bottom w:val="single" w:sz="4" w:space="0" w:color="auto"/>
              <w:right w:val="single" w:sz="4" w:space="0" w:color="auto"/>
            </w:tcBorders>
            <w:vAlign w:val="center"/>
            <w:hideMark/>
          </w:tcPr>
          <w:p w14:paraId="7FDB7887"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tl/>
                <w:lang w:bidi="ar-TN"/>
              </w:rPr>
              <w:t>1</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21ABC277"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1</w:t>
            </w:r>
          </w:p>
        </w:tc>
        <w:tc>
          <w:tcPr>
            <w:tcW w:w="674" w:type="dxa"/>
            <w:tcBorders>
              <w:top w:val="single" w:sz="4" w:space="0" w:color="auto"/>
              <w:left w:val="single" w:sz="4" w:space="0" w:color="auto"/>
              <w:bottom w:val="single" w:sz="4" w:space="0" w:color="auto"/>
              <w:right w:val="single" w:sz="4" w:space="0" w:color="auto"/>
            </w:tcBorders>
            <w:vAlign w:val="center"/>
            <w:hideMark/>
          </w:tcPr>
          <w:p w14:paraId="5550069A"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7A1A24B3"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57FED04D"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6589FBC1"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798BF686"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97D639A" w14:textId="77777777" w:rsidR="007C1525" w:rsidRPr="004E13E9" w:rsidRDefault="007C1525" w:rsidP="00D47E5E">
            <w:pPr>
              <w:rPr>
                <w:rFonts w:eastAsia="Times New Roman" w:cs="Calibri"/>
                <w:sz w:val="18"/>
                <w:szCs w:val="18"/>
                <w:lang w:eastAsia="ja-JP"/>
              </w:rPr>
            </w:pPr>
            <w:r w:rsidRPr="004E13E9">
              <w:rPr>
                <w:rFonts w:eastAsia="Times New Roman" w:cs="Calibri"/>
                <w:sz w:val="18"/>
                <w:szCs w:val="18"/>
                <w:lang w:eastAsia="ja-JP"/>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2A62B43C"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70,7</w:t>
            </w:r>
          </w:p>
        </w:tc>
        <w:tc>
          <w:tcPr>
            <w:tcW w:w="850" w:type="dxa"/>
            <w:tcBorders>
              <w:top w:val="single" w:sz="4" w:space="0" w:color="auto"/>
              <w:left w:val="single" w:sz="4" w:space="0" w:color="auto"/>
              <w:bottom w:val="single" w:sz="4" w:space="0" w:color="auto"/>
              <w:right w:val="single" w:sz="4" w:space="0" w:color="auto"/>
            </w:tcBorders>
            <w:vAlign w:val="center"/>
            <w:hideMark/>
          </w:tcPr>
          <w:p w14:paraId="27A9187F"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70,7</w:t>
            </w:r>
          </w:p>
        </w:tc>
        <w:tc>
          <w:tcPr>
            <w:tcW w:w="993" w:type="dxa"/>
            <w:tcBorders>
              <w:top w:val="single" w:sz="4" w:space="0" w:color="auto"/>
              <w:left w:val="single" w:sz="4" w:space="0" w:color="auto"/>
              <w:bottom w:val="single" w:sz="4" w:space="0" w:color="auto"/>
              <w:right w:val="single" w:sz="4" w:space="0" w:color="auto"/>
            </w:tcBorders>
            <w:vAlign w:val="center"/>
            <w:hideMark/>
          </w:tcPr>
          <w:p w14:paraId="1D1D8A8B"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1158B823"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9CCEB0"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01B203B8"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1134" w:type="dxa"/>
            <w:tcBorders>
              <w:top w:val="single" w:sz="4" w:space="0" w:color="auto"/>
              <w:left w:val="single" w:sz="4" w:space="0" w:color="auto"/>
              <w:bottom w:val="single" w:sz="4" w:space="0" w:color="auto"/>
              <w:right w:val="single" w:sz="4" w:space="0" w:color="auto"/>
            </w:tcBorders>
            <w:hideMark/>
          </w:tcPr>
          <w:p w14:paraId="25454BCA"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lang w:eastAsia="ja-JP"/>
              </w:rPr>
              <w:t>0</w:t>
            </w:r>
          </w:p>
        </w:tc>
      </w:tr>
      <w:tr w:rsidR="007C1525" w:rsidRPr="004E13E9" w14:paraId="580EA31E"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3D01A8D8" w14:textId="77777777" w:rsidR="007C1525" w:rsidRPr="004E13E9" w:rsidRDefault="007C1525" w:rsidP="00D47E5E">
            <w:pPr>
              <w:rPr>
                <w:rFonts w:eastAsia="Times New Roman" w:cs="Calibri"/>
                <w:sz w:val="18"/>
                <w:szCs w:val="18"/>
                <w:lang w:eastAsia="ja-JP"/>
              </w:rPr>
            </w:pPr>
            <w:proofErr w:type="spellStart"/>
            <w:r w:rsidRPr="004E13E9">
              <w:rPr>
                <w:rFonts w:eastAsia="Malgun Gothic"/>
                <w:kern w:val="2"/>
                <w:sz w:val="18"/>
                <w:szCs w:val="18"/>
                <w:lang w:eastAsia="ko-KR"/>
                <w14:ligatures w14:val="standardContextual"/>
              </w:rPr>
              <w:t>Senneur</w:t>
            </w:r>
            <w:proofErr w:type="spellEnd"/>
            <w:r w:rsidRPr="004E13E9">
              <w:rPr>
                <w:rFonts w:eastAsia="Malgun Gothic"/>
                <w:kern w:val="2"/>
                <w:sz w:val="18"/>
                <w:szCs w:val="18"/>
                <w:lang w:eastAsia="ko-KR"/>
                <w14:ligatures w14:val="standardContextual"/>
              </w:rPr>
              <w:t xml:space="preserve"> entre 24 et 40 m</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03B74735"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49,78</w:t>
            </w:r>
          </w:p>
        </w:tc>
        <w:tc>
          <w:tcPr>
            <w:tcW w:w="830" w:type="dxa"/>
            <w:tcBorders>
              <w:top w:val="single" w:sz="4" w:space="0" w:color="auto"/>
              <w:left w:val="single" w:sz="4" w:space="0" w:color="auto"/>
              <w:bottom w:val="single" w:sz="4" w:space="0" w:color="auto"/>
              <w:right w:val="single" w:sz="4" w:space="0" w:color="auto"/>
            </w:tcBorders>
            <w:vAlign w:val="center"/>
            <w:hideMark/>
          </w:tcPr>
          <w:p w14:paraId="29335C7A"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tl/>
                <w:lang w:bidi="ar-TN"/>
              </w:rPr>
              <w:t>24</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326F6BD8"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24</w:t>
            </w:r>
          </w:p>
        </w:tc>
        <w:tc>
          <w:tcPr>
            <w:tcW w:w="674" w:type="dxa"/>
            <w:tcBorders>
              <w:top w:val="single" w:sz="4" w:space="0" w:color="auto"/>
              <w:left w:val="single" w:sz="4" w:space="0" w:color="auto"/>
              <w:bottom w:val="single" w:sz="4" w:space="0" w:color="auto"/>
              <w:right w:val="single" w:sz="4" w:space="0" w:color="auto"/>
            </w:tcBorders>
            <w:vAlign w:val="center"/>
            <w:hideMark/>
          </w:tcPr>
          <w:p w14:paraId="778907CB"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29</w:t>
            </w:r>
          </w:p>
        </w:tc>
        <w:tc>
          <w:tcPr>
            <w:tcW w:w="706" w:type="dxa"/>
            <w:tcBorders>
              <w:top w:val="single" w:sz="4" w:space="0" w:color="auto"/>
              <w:left w:val="single" w:sz="4" w:space="0" w:color="auto"/>
              <w:bottom w:val="single" w:sz="4" w:space="0" w:color="auto"/>
              <w:right w:val="single" w:sz="4" w:space="0" w:color="auto"/>
            </w:tcBorders>
            <w:vAlign w:val="center"/>
            <w:hideMark/>
          </w:tcPr>
          <w:p w14:paraId="5EFCFE24"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34</w:t>
            </w:r>
          </w:p>
        </w:tc>
        <w:tc>
          <w:tcPr>
            <w:tcW w:w="615" w:type="dxa"/>
            <w:tcBorders>
              <w:top w:val="single" w:sz="4" w:space="0" w:color="auto"/>
              <w:left w:val="single" w:sz="4" w:space="0" w:color="auto"/>
              <w:bottom w:val="single" w:sz="4" w:space="0" w:color="auto"/>
              <w:right w:val="single" w:sz="4" w:space="0" w:color="auto"/>
            </w:tcBorders>
            <w:vAlign w:val="center"/>
            <w:hideMark/>
          </w:tcPr>
          <w:p w14:paraId="2AAE8D9C"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45</w:t>
            </w:r>
          </w:p>
        </w:tc>
        <w:tc>
          <w:tcPr>
            <w:tcW w:w="615" w:type="dxa"/>
            <w:tcBorders>
              <w:top w:val="single" w:sz="4" w:space="0" w:color="auto"/>
              <w:left w:val="single" w:sz="4" w:space="0" w:color="auto"/>
              <w:bottom w:val="single" w:sz="4" w:space="0" w:color="auto"/>
              <w:right w:val="single" w:sz="4" w:space="0" w:color="auto"/>
            </w:tcBorders>
            <w:vAlign w:val="center"/>
            <w:hideMark/>
          </w:tcPr>
          <w:p w14:paraId="057B6E0C"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42</w:t>
            </w:r>
          </w:p>
        </w:tc>
        <w:tc>
          <w:tcPr>
            <w:tcW w:w="623" w:type="dxa"/>
            <w:tcBorders>
              <w:top w:val="single" w:sz="4" w:space="0" w:color="auto"/>
              <w:left w:val="single" w:sz="4" w:space="0" w:color="auto"/>
              <w:bottom w:val="single" w:sz="4" w:space="0" w:color="auto"/>
              <w:right w:val="single" w:sz="4" w:space="0" w:color="auto"/>
            </w:tcBorders>
            <w:vAlign w:val="center"/>
            <w:hideMark/>
          </w:tcPr>
          <w:p w14:paraId="6B3963B3"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50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B2C3B7" w14:textId="77777777" w:rsidR="007C1525" w:rsidRPr="004E13E9" w:rsidRDefault="007C1525" w:rsidP="00D47E5E">
            <w:pPr>
              <w:rPr>
                <w:rFonts w:eastAsia="Times New Roman" w:cs="Calibri"/>
                <w:sz w:val="18"/>
                <w:szCs w:val="18"/>
                <w:lang w:eastAsia="ja-JP"/>
              </w:rPr>
            </w:pPr>
            <w:r w:rsidRPr="004E13E9">
              <w:rPr>
                <w:rFonts w:eastAsia="Times New Roman" w:cs="Calibri"/>
                <w:sz w:val="18"/>
                <w:szCs w:val="18"/>
                <w:lang w:eastAsia="ja-JP"/>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4C0AF65B" w14:textId="77777777" w:rsidR="007C1525" w:rsidRPr="004E13E9" w:rsidRDefault="007C1525" w:rsidP="00D47E5E">
            <w:pPr>
              <w:rPr>
                <w:rFonts w:eastAsia="Times New Roman" w:cs="Calibri"/>
                <w:sz w:val="18"/>
                <w:szCs w:val="18"/>
                <w:lang w:eastAsia="ja-JP"/>
              </w:rPr>
            </w:pPr>
            <w:r w:rsidRPr="004E13E9">
              <w:rPr>
                <w:rFonts w:eastAsia="Times New Roman" w:cs="Calibri"/>
                <w:sz w:val="16"/>
                <w:szCs w:val="16"/>
              </w:rPr>
              <w:t>1194,72</w:t>
            </w:r>
          </w:p>
        </w:tc>
        <w:tc>
          <w:tcPr>
            <w:tcW w:w="850" w:type="dxa"/>
            <w:tcBorders>
              <w:top w:val="single" w:sz="4" w:space="0" w:color="auto"/>
              <w:left w:val="single" w:sz="4" w:space="0" w:color="auto"/>
              <w:bottom w:val="single" w:sz="4" w:space="0" w:color="auto"/>
              <w:right w:val="single" w:sz="4" w:space="0" w:color="auto"/>
            </w:tcBorders>
            <w:vAlign w:val="center"/>
            <w:hideMark/>
          </w:tcPr>
          <w:p w14:paraId="5B99E7B6" w14:textId="77777777" w:rsidR="007C1525" w:rsidRPr="004E13E9" w:rsidRDefault="007C1525" w:rsidP="00D47E5E">
            <w:pPr>
              <w:rPr>
                <w:rFonts w:eastAsia="Times New Roman" w:cs="Calibri"/>
                <w:sz w:val="18"/>
                <w:szCs w:val="18"/>
                <w:lang w:eastAsia="ja-JP"/>
              </w:rPr>
            </w:pPr>
            <w:r w:rsidRPr="004E13E9">
              <w:rPr>
                <w:rFonts w:eastAsia="Times New Roman" w:cs="Calibri"/>
                <w:sz w:val="16"/>
                <w:szCs w:val="16"/>
              </w:rPr>
              <w:t>1194,72</w:t>
            </w:r>
          </w:p>
        </w:tc>
        <w:tc>
          <w:tcPr>
            <w:tcW w:w="993" w:type="dxa"/>
            <w:tcBorders>
              <w:top w:val="single" w:sz="4" w:space="0" w:color="auto"/>
              <w:left w:val="single" w:sz="4" w:space="0" w:color="auto"/>
              <w:bottom w:val="single" w:sz="4" w:space="0" w:color="auto"/>
              <w:right w:val="single" w:sz="4" w:space="0" w:color="auto"/>
            </w:tcBorders>
            <w:vAlign w:val="center"/>
            <w:hideMark/>
          </w:tcPr>
          <w:p w14:paraId="3A5B051D" w14:textId="77777777" w:rsidR="007C1525" w:rsidRPr="004E13E9" w:rsidRDefault="007C1525" w:rsidP="00D47E5E">
            <w:pPr>
              <w:rPr>
                <w:rFonts w:eastAsia="Times New Roman" w:cs="Calibri"/>
                <w:sz w:val="16"/>
                <w:szCs w:val="16"/>
                <w:lang w:eastAsia="ja-JP"/>
              </w:rPr>
            </w:pPr>
            <w:r w:rsidRPr="004E13E9">
              <w:rPr>
                <w:rFonts w:eastAsia="Times New Roman" w:cs="Calibri"/>
                <w:sz w:val="16"/>
                <w:szCs w:val="16"/>
              </w:rPr>
              <w:t>1443,62</w:t>
            </w:r>
          </w:p>
        </w:tc>
        <w:tc>
          <w:tcPr>
            <w:tcW w:w="850" w:type="dxa"/>
            <w:tcBorders>
              <w:top w:val="single" w:sz="4" w:space="0" w:color="auto"/>
              <w:left w:val="single" w:sz="4" w:space="0" w:color="auto"/>
              <w:bottom w:val="single" w:sz="4" w:space="0" w:color="auto"/>
              <w:right w:val="single" w:sz="4" w:space="0" w:color="auto"/>
            </w:tcBorders>
            <w:vAlign w:val="center"/>
            <w:hideMark/>
          </w:tcPr>
          <w:p w14:paraId="50DFF4C3" w14:textId="77777777" w:rsidR="007C1525" w:rsidRPr="004E13E9" w:rsidRDefault="007C1525" w:rsidP="00D47E5E">
            <w:pPr>
              <w:rPr>
                <w:rFonts w:eastAsia="Times New Roman" w:cs="Calibri"/>
                <w:sz w:val="16"/>
                <w:szCs w:val="16"/>
                <w:lang w:eastAsia="ja-JP"/>
              </w:rPr>
            </w:pPr>
            <w:r w:rsidRPr="004E13E9">
              <w:rPr>
                <w:rFonts w:eastAsia="Times New Roman" w:cs="Calibri"/>
                <w:sz w:val="16"/>
                <w:szCs w:val="16"/>
              </w:rPr>
              <w:t>1692,52</w:t>
            </w:r>
          </w:p>
        </w:tc>
        <w:tc>
          <w:tcPr>
            <w:tcW w:w="992" w:type="dxa"/>
            <w:tcBorders>
              <w:top w:val="single" w:sz="4" w:space="0" w:color="auto"/>
              <w:left w:val="single" w:sz="4" w:space="0" w:color="auto"/>
              <w:bottom w:val="single" w:sz="4" w:space="0" w:color="auto"/>
              <w:right w:val="single" w:sz="4" w:space="0" w:color="auto"/>
            </w:tcBorders>
            <w:vAlign w:val="center"/>
            <w:hideMark/>
          </w:tcPr>
          <w:p w14:paraId="3ABDC4C4" w14:textId="77777777" w:rsidR="007C1525" w:rsidRPr="004E13E9" w:rsidRDefault="007C1525" w:rsidP="00D47E5E">
            <w:pPr>
              <w:rPr>
                <w:rFonts w:eastAsia="Times New Roman" w:cs="Calibri"/>
                <w:sz w:val="16"/>
                <w:szCs w:val="16"/>
                <w:lang w:eastAsia="ja-JP"/>
              </w:rPr>
            </w:pPr>
            <w:r w:rsidRPr="004E13E9">
              <w:rPr>
                <w:rFonts w:eastAsia="Times New Roman" w:cs="Calibri"/>
                <w:sz w:val="16"/>
                <w:szCs w:val="16"/>
              </w:rPr>
              <w:t>2240,100</w:t>
            </w:r>
          </w:p>
        </w:tc>
        <w:tc>
          <w:tcPr>
            <w:tcW w:w="993" w:type="dxa"/>
            <w:tcBorders>
              <w:top w:val="single" w:sz="4" w:space="0" w:color="auto"/>
              <w:left w:val="single" w:sz="4" w:space="0" w:color="auto"/>
              <w:bottom w:val="single" w:sz="4" w:space="0" w:color="auto"/>
              <w:right w:val="single" w:sz="4" w:space="0" w:color="auto"/>
            </w:tcBorders>
            <w:vAlign w:val="center"/>
            <w:hideMark/>
          </w:tcPr>
          <w:p w14:paraId="1D326A92" w14:textId="77777777" w:rsidR="007C1525" w:rsidRPr="004E13E9" w:rsidRDefault="007C1525" w:rsidP="00D47E5E">
            <w:pPr>
              <w:rPr>
                <w:rFonts w:eastAsia="Times New Roman" w:cs="Calibri"/>
                <w:sz w:val="16"/>
                <w:szCs w:val="16"/>
                <w:lang w:eastAsia="ja-JP"/>
              </w:rPr>
            </w:pPr>
            <w:r w:rsidRPr="004E13E9">
              <w:rPr>
                <w:rFonts w:eastAsia="Times New Roman" w:cs="Calibri"/>
                <w:sz w:val="16"/>
                <w:szCs w:val="16"/>
              </w:rPr>
              <w:t>2090,760</w:t>
            </w:r>
          </w:p>
        </w:tc>
        <w:tc>
          <w:tcPr>
            <w:tcW w:w="1134" w:type="dxa"/>
            <w:tcBorders>
              <w:top w:val="single" w:sz="4" w:space="0" w:color="auto"/>
              <w:left w:val="single" w:sz="4" w:space="0" w:color="auto"/>
              <w:bottom w:val="single" w:sz="4" w:space="0" w:color="auto"/>
              <w:right w:val="single" w:sz="4" w:space="0" w:color="auto"/>
            </w:tcBorders>
            <w:hideMark/>
          </w:tcPr>
          <w:p w14:paraId="322F34F0" w14:textId="77777777" w:rsidR="007C1525" w:rsidRPr="004E13E9" w:rsidRDefault="007C1525" w:rsidP="00D47E5E">
            <w:pPr>
              <w:rPr>
                <w:rFonts w:eastAsia="Times New Roman" w:cs="Calibri"/>
                <w:sz w:val="16"/>
                <w:szCs w:val="16"/>
                <w:lang w:eastAsia="ja-JP"/>
              </w:rPr>
            </w:pPr>
            <w:r w:rsidRPr="004E13E9">
              <w:rPr>
                <w:rFonts w:eastAsia="Times New Roman" w:cs="Calibri"/>
                <w:sz w:val="16"/>
                <w:szCs w:val="16"/>
                <w:lang w:eastAsia="ja-JP"/>
              </w:rPr>
              <w:t>2489</w:t>
            </w:r>
          </w:p>
        </w:tc>
      </w:tr>
      <w:tr w:rsidR="007C1525" w:rsidRPr="004E13E9" w14:paraId="7BE249DA"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44949E20" w14:textId="77777777" w:rsidR="007C1525" w:rsidRPr="004E13E9" w:rsidRDefault="007C1525" w:rsidP="00D47E5E">
            <w:pPr>
              <w:rPr>
                <w:rFonts w:eastAsia="Times New Roman" w:cs="Calibri"/>
                <w:sz w:val="18"/>
                <w:szCs w:val="18"/>
                <w:lang w:val="fr-FR" w:eastAsia="ja-JP"/>
              </w:rPr>
            </w:pPr>
            <w:r w:rsidRPr="004E13E9">
              <w:rPr>
                <w:rFonts w:eastAsia="Malgun Gothic"/>
                <w:kern w:val="2"/>
                <w:sz w:val="18"/>
                <w:szCs w:val="18"/>
                <w:lang w:val="fr-FR" w:eastAsia="ko-KR"/>
                <w14:ligatures w14:val="standardContextual"/>
              </w:rPr>
              <w:t>Senneur de moins de 24m</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1482FE81"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33,68</w:t>
            </w:r>
          </w:p>
        </w:tc>
        <w:tc>
          <w:tcPr>
            <w:tcW w:w="830" w:type="dxa"/>
            <w:tcBorders>
              <w:top w:val="single" w:sz="4" w:space="0" w:color="auto"/>
              <w:left w:val="single" w:sz="4" w:space="0" w:color="auto"/>
              <w:bottom w:val="single" w:sz="4" w:space="0" w:color="auto"/>
              <w:right w:val="single" w:sz="4" w:space="0" w:color="auto"/>
            </w:tcBorders>
            <w:vAlign w:val="center"/>
            <w:hideMark/>
          </w:tcPr>
          <w:p w14:paraId="006A5C48"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tl/>
                <w:lang w:bidi="ar-TN"/>
              </w:rPr>
              <w:t>16</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0B62D93A"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16</w:t>
            </w:r>
          </w:p>
        </w:tc>
        <w:tc>
          <w:tcPr>
            <w:tcW w:w="674" w:type="dxa"/>
            <w:tcBorders>
              <w:top w:val="single" w:sz="4" w:space="0" w:color="auto"/>
              <w:left w:val="single" w:sz="4" w:space="0" w:color="auto"/>
              <w:bottom w:val="single" w:sz="4" w:space="0" w:color="auto"/>
              <w:right w:val="single" w:sz="4" w:space="0" w:color="auto"/>
            </w:tcBorders>
            <w:vAlign w:val="center"/>
            <w:hideMark/>
          </w:tcPr>
          <w:p w14:paraId="6A3439D8"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8</w:t>
            </w:r>
          </w:p>
        </w:tc>
        <w:tc>
          <w:tcPr>
            <w:tcW w:w="706" w:type="dxa"/>
            <w:tcBorders>
              <w:top w:val="single" w:sz="4" w:space="0" w:color="auto"/>
              <w:left w:val="single" w:sz="4" w:space="0" w:color="auto"/>
              <w:bottom w:val="single" w:sz="4" w:space="0" w:color="auto"/>
              <w:right w:val="single" w:sz="4" w:space="0" w:color="auto"/>
            </w:tcBorders>
            <w:vAlign w:val="center"/>
            <w:hideMark/>
          </w:tcPr>
          <w:p w14:paraId="709C0C83"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20</w:t>
            </w:r>
          </w:p>
        </w:tc>
        <w:tc>
          <w:tcPr>
            <w:tcW w:w="615" w:type="dxa"/>
            <w:tcBorders>
              <w:top w:val="single" w:sz="4" w:space="0" w:color="auto"/>
              <w:left w:val="single" w:sz="4" w:space="0" w:color="auto"/>
              <w:bottom w:val="single" w:sz="4" w:space="0" w:color="auto"/>
              <w:right w:val="single" w:sz="4" w:space="0" w:color="auto"/>
            </w:tcBorders>
            <w:vAlign w:val="center"/>
            <w:hideMark/>
          </w:tcPr>
          <w:p w14:paraId="2D98FB79"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9</w:t>
            </w:r>
          </w:p>
        </w:tc>
        <w:tc>
          <w:tcPr>
            <w:tcW w:w="615" w:type="dxa"/>
            <w:tcBorders>
              <w:top w:val="single" w:sz="4" w:space="0" w:color="auto"/>
              <w:left w:val="single" w:sz="4" w:space="0" w:color="auto"/>
              <w:bottom w:val="single" w:sz="4" w:space="0" w:color="auto"/>
              <w:right w:val="single" w:sz="4" w:space="0" w:color="auto"/>
            </w:tcBorders>
            <w:vAlign w:val="center"/>
            <w:hideMark/>
          </w:tcPr>
          <w:p w14:paraId="60F40A6D"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26</w:t>
            </w:r>
          </w:p>
        </w:tc>
        <w:tc>
          <w:tcPr>
            <w:tcW w:w="623" w:type="dxa"/>
            <w:tcBorders>
              <w:top w:val="single" w:sz="4" w:space="0" w:color="auto"/>
              <w:left w:val="single" w:sz="4" w:space="0" w:color="auto"/>
              <w:bottom w:val="single" w:sz="4" w:space="0" w:color="auto"/>
              <w:right w:val="single" w:sz="4" w:space="0" w:color="auto"/>
            </w:tcBorders>
            <w:vAlign w:val="center"/>
            <w:hideMark/>
          </w:tcPr>
          <w:p w14:paraId="0D40DDA7"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26</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C841248" w14:textId="77777777" w:rsidR="007C1525" w:rsidRPr="004E13E9" w:rsidRDefault="007C1525" w:rsidP="00D47E5E">
            <w:pPr>
              <w:rPr>
                <w:rFonts w:eastAsia="Times New Roman" w:cs="Calibri"/>
                <w:sz w:val="18"/>
                <w:szCs w:val="18"/>
                <w:lang w:eastAsia="ja-JP"/>
              </w:rPr>
            </w:pPr>
            <w:r w:rsidRPr="004E13E9">
              <w:rPr>
                <w:rFonts w:eastAsia="Times New Roman" w:cs="Calibri"/>
                <w:sz w:val="18"/>
                <w:szCs w:val="18"/>
                <w:lang w:eastAsia="ja-JP"/>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41BE19FD" w14:textId="77777777" w:rsidR="007C1525" w:rsidRPr="004E13E9" w:rsidRDefault="007C1525" w:rsidP="00D47E5E">
            <w:pPr>
              <w:rPr>
                <w:rFonts w:eastAsia="Times New Roman" w:cs="Calibri"/>
                <w:sz w:val="18"/>
                <w:szCs w:val="18"/>
                <w:lang w:eastAsia="ja-JP"/>
              </w:rPr>
            </w:pPr>
            <w:r w:rsidRPr="004E13E9">
              <w:rPr>
                <w:rFonts w:eastAsia="Times New Roman" w:cs="Calibri"/>
                <w:sz w:val="16"/>
                <w:szCs w:val="16"/>
              </w:rPr>
              <w:t>538,88</w:t>
            </w:r>
          </w:p>
        </w:tc>
        <w:tc>
          <w:tcPr>
            <w:tcW w:w="850" w:type="dxa"/>
            <w:tcBorders>
              <w:top w:val="single" w:sz="4" w:space="0" w:color="auto"/>
              <w:left w:val="single" w:sz="4" w:space="0" w:color="auto"/>
              <w:bottom w:val="single" w:sz="4" w:space="0" w:color="auto"/>
              <w:right w:val="single" w:sz="4" w:space="0" w:color="auto"/>
            </w:tcBorders>
            <w:vAlign w:val="center"/>
            <w:hideMark/>
          </w:tcPr>
          <w:p w14:paraId="34F7E3D7" w14:textId="77777777" w:rsidR="007C1525" w:rsidRPr="004E13E9" w:rsidRDefault="007C1525" w:rsidP="00D47E5E">
            <w:pPr>
              <w:rPr>
                <w:rFonts w:eastAsia="Times New Roman" w:cs="Calibri"/>
                <w:sz w:val="18"/>
                <w:szCs w:val="18"/>
                <w:lang w:eastAsia="ja-JP"/>
              </w:rPr>
            </w:pPr>
            <w:r w:rsidRPr="004E13E9">
              <w:rPr>
                <w:rFonts w:eastAsia="Times New Roman" w:cs="Calibri"/>
                <w:sz w:val="16"/>
                <w:szCs w:val="16"/>
              </w:rPr>
              <w:t>538,88</w:t>
            </w:r>
          </w:p>
        </w:tc>
        <w:tc>
          <w:tcPr>
            <w:tcW w:w="993" w:type="dxa"/>
            <w:tcBorders>
              <w:top w:val="single" w:sz="4" w:space="0" w:color="auto"/>
              <w:left w:val="single" w:sz="4" w:space="0" w:color="auto"/>
              <w:bottom w:val="single" w:sz="4" w:space="0" w:color="auto"/>
              <w:right w:val="single" w:sz="4" w:space="0" w:color="auto"/>
            </w:tcBorders>
            <w:vAlign w:val="center"/>
            <w:hideMark/>
          </w:tcPr>
          <w:p w14:paraId="24EC7C49" w14:textId="77777777" w:rsidR="007C1525" w:rsidRPr="004E13E9" w:rsidRDefault="007C1525" w:rsidP="00D47E5E">
            <w:pPr>
              <w:rPr>
                <w:rFonts w:eastAsia="Times New Roman" w:cs="Calibri"/>
                <w:sz w:val="16"/>
                <w:szCs w:val="16"/>
                <w:lang w:eastAsia="ja-JP"/>
              </w:rPr>
            </w:pPr>
            <w:r w:rsidRPr="004E13E9">
              <w:rPr>
                <w:rFonts w:eastAsia="Times New Roman" w:cs="Calibri"/>
                <w:sz w:val="16"/>
                <w:szCs w:val="16"/>
              </w:rPr>
              <w:t>269,44</w:t>
            </w:r>
          </w:p>
        </w:tc>
        <w:tc>
          <w:tcPr>
            <w:tcW w:w="850" w:type="dxa"/>
            <w:tcBorders>
              <w:top w:val="single" w:sz="4" w:space="0" w:color="auto"/>
              <w:left w:val="single" w:sz="4" w:space="0" w:color="auto"/>
              <w:bottom w:val="single" w:sz="4" w:space="0" w:color="auto"/>
              <w:right w:val="single" w:sz="4" w:space="0" w:color="auto"/>
            </w:tcBorders>
            <w:vAlign w:val="center"/>
            <w:hideMark/>
          </w:tcPr>
          <w:p w14:paraId="1F68B372" w14:textId="77777777" w:rsidR="007C1525" w:rsidRPr="004E13E9" w:rsidRDefault="007C1525" w:rsidP="00D47E5E">
            <w:pPr>
              <w:rPr>
                <w:rFonts w:eastAsia="Times New Roman" w:cs="Calibri"/>
                <w:sz w:val="16"/>
                <w:szCs w:val="16"/>
                <w:lang w:eastAsia="ja-JP"/>
              </w:rPr>
            </w:pPr>
            <w:r w:rsidRPr="004E13E9">
              <w:rPr>
                <w:rFonts w:eastAsia="Times New Roman" w:cs="Calibri"/>
                <w:sz w:val="16"/>
                <w:szCs w:val="16"/>
              </w:rPr>
              <w:t>673,600</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B8D55D" w14:textId="77777777" w:rsidR="007C1525" w:rsidRPr="004E13E9" w:rsidRDefault="007C1525" w:rsidP="00D47E5E">
            <w:pPr>
              <w:rPr>
                <w:rFonts w:eastAsia="Times New Roman" w:cs="Calibri"/>
                <w:sz w:val="16"/>
                <w:szCs w:val="16"/>
                <w:lang w:eastAsia="ja-JP"/>
              </w:rPr>
            </w:pPr>
            <w:r w:rsidRPr="004E13E9">
              <w:rPr>
                <w:rFonts w:eastAsia="Times New Roman" w:cs="Calibri"/>
                <w:sz w:val="16"/>
                <w:szCs w:val="16"/>
              </w:rPr>
              <w:t>303,120</w:t>
            </w:r>
          </w:p>
        </w:tc>
        <w:tc>
          <w:tcPr>
            <w:tcW w:w="993" w:type="dxa"/>
            <w:tcBorders>
              <w:top w:val="single" w:sz="4" w:space="0" w:color="auto"/>
              <w:left w:val="single" w:sz="4" w:space="0" w:color="auto"/>
              <w:bottom w:val="single" w:sz="4" w:space="0" w:color="auto"/>
              <w:right w:val="single" w:sz="4" w:space="0" w:color="auto"/>
            </w:tcBorders>
            <w:vAlign w:val="center"/>
            <w:hideMark/>
          </w:tcPr>
          <w:p w14:paraId="63DE060F" w14:textId="77777777" w:rsidR="007C1525" w:rsidRPr="004E13E9" w:rsidRDefault="007C1525" w:rsidP="00D47E5E">
            <w:pPr>
              <w:rPr>
                <w:rFonts w:eastAsia="Times New Roman" w:cs="Calibri"/>
                <w:sz w:val="16"/>
                <w:szCs w:val="16"/>
                <w:lang w:eastAsia="ja-JP"/>
              </w:rPr>
            </w:pPr>
            <w:r w:rsidRPr="004E13E9">
              <w:rPr>
                <w:rFonts w:eastAsia="Times New Roman" w:cs="Calibri"/>
                <w:sz w:val="16"/>
                <w:szCs w:val="16"/>
              </w:rPr>
              <w:t>875,680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9B4CE8" w14:textId="77777777" w:rsidR="007C1525" w:rsidRPr="004E13E9" w:rsidRDefault="007C1525" w:rsidP="00D47E5E">
            <w:pPr>
              <w:rPr>
                <w:rFonts w:eastAsia="Times New Roman" w:cs="Calibri"/>
                <w:sz w:val="16"/>
                <w:szCs w:val="16"/>
                <w:lang w:eastAsia="ja-JP"/>
              </w:rPr>
            </w:pPr>
            <w:r w:rsidRPr="004E13E9">
              <w:rPr>
                <w:rFonts w:eastAsia="Times New Roman" w:cs="Calibri"/>
                <w:sz w:val="16"/>
                <w:szCs w:val="16"/>
              </w:rPr>
              <w:t>875,680</w:t>
            </w:r>
          </w:p>
        </w:tc>
      </w:tr>
      <w:tr w:rsidR="007C1525" w:rsidRPr="004E13E9" w14:paraId="5A25E195"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33382DC7" w14:textId="77777777" w:rsidR="007C1525" w:rsidRPr="004E13E9" w:rsidRDefault="007C1525" w:rsidP="00D47E5E">
            <w:pPr>
              <w:rPr>
                <w:rFonts w:eastAsia="Times New Roman" w:cs="Calibri"/>
                <w:b/>
                <w:bCs/>
                <w:sz w:val="18"/>
                <w:szCs w:val="18"/>
                <w:lang w:eastAsia="ja-JP"/>
              </w:rPr>
            </w:pPr>
            <w:proofErr w:type="spellStart"/>
            <w:r w:rsidRPr="004E13E9">
              <w:rPr>
                <w:rFonts w:eastAsia="Malgun Gothic"/>
                <w:b/>
                <w:kern w:val="2"/>
                <w:sz w:val="18"/>
                <w:szCs w:val="18"/>
                <w:lang w:eastAsia="ko-KR"/>
                <w14:ligatures w14:val="standardContextual"/>
              </w:rPr>
              <w:t>Flottille</w:t>
            </w:r>
            <w:proofErr w:type="spellEnd"/>
            <w:r w:rsidRPr="004E13E9">
              <w:rPr>
                <w:rFonts w:eastAsia="Malgun Gothic"/>
                <w:b/>
                <w:kern w:val="2"/>
                <w:sz w:val="18"/>
                <w:szCs w:val="18"/>
                <w:lang w:eastAsia="ko-KR"/>
                <w14:ligatures w14:val="standardContextual"/>
              </w:rPr>
              <w:t xml:space="preserve"> </w:t>
            </w:r>
            <w:proofErr w:type="spellStart"/>
            <w:r w:rsidRPr="004E13E9">
              <w:rPr>
                <w:rFonts w:eastAsia="Malgun Gothic"/>
                <w:b/>
                <w:kern w:val="2"/>
                <w:sz w:val="18"/>
                <w:szCs w:val="18"/>
                <w:lang w:eastAsia="ko-KR"/>
                <w14:ligatures w14:val="standardContextual"/>
              </w:rPr>
              <w:t>totale</w:t>
            </w:r>
            <w:proofErr w:type="spellEnd"/>
            <w:r w:rsidRPr="004E13E9">
              <w:rPr>
                <w:rFonts w:eastAsia="Malgun Gothic"/>
                <w:b/>
                <w:kern w:val="2"/>
                <w:sz w:val="18"/>
                <w:szCs w:val="18"/>
                <w:lang w:eastAsia="ko-KR"/>
                <w14:ligatures w14:val="standardContextual"/>
              </w:rPr>
              <w:t xml:space="preserve"> de </w:t>
            </w:r>
            <w:proofErr w:type="spellStart"/>
            <w:r w:rsidRPr="004E13E9">
              <w:rPr>
                <w:rFonts w:eastAsia="Malgun Gothic"/>
                <w:b/>
                <w:kern w:val="2"/>
                <w:sz w:val="18"/>
                <w:szCs w:val="18"/>
                <w:lang w:eastAsia="ko-KR"/>
                <w14:ligatures w14:val="standardContextual"/>
              </w:rPr>
              <w:t>senneurs</w:t>
            </w:r>
            <w:proofErr w:type="spellEnd"/>
            <w:r w:rsidRPr="004E13E9">
              <w:rPr>
                <w:rFonts w:eastAsia="Malgun Gothic"/>
                <w:b/>
                <w:kern w:val="2"/>
                <w:sz w:val="18"/>
                <w:szCs w:val="18"/>
                <w:vertAlign w:val="superscript"/>
                <w:lang w:eastAsia="ko-KR"/>
                <w14:ligatures w14:val="standardContextual"/>
              </w:rPr>
              <w:t xml:space="preserve"> 2</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0D40EF42" w14:textId="77777777" w:rsidR="007C1525" w:rsidRPr="004E13E9" w:rsidRDefault="007C1525" w:rsidP="00D47E5E">
            <w:pPr>
              <w:rPr>
                <w:rFonts w:eastAsia="Times New Roman"/>
                <w:sz w:val="18"/>
                <w:szCs w:val="18"/>
                <w:lang w:eastAsia="ja-JP"/>
              </w:rPr>
            </w:pPr>
            <w:r w:rsidRPr="004E13E9">
              <w:rPr>
                <w:rFonts w:eastAsia="Times New Roman"/>
                <w:sz w:val="18"/>
                <w:szCs w:val="18"/>
                <w:lang w:eastAsia="ja-JP"/>
              </w:rPr>
              <w:t> </w:t>
            </w:r>
          </w:p>
        </w:tc>
        <w:tc>
          <w:tcPr>
            <w:tcW w:w="830" w:type="dxa"/>
            <w:tcBorders>
              <w:top w:val="single" w:sz="4" w:space="0" w:color="auto"/>
              <w:left w:val="single" w:sz="4" w:space="0" w:color="auto"/>
              <w:bottom w:val="single" w:sz="4" w:space="0" w:color="auto"/>
              <w:right w:val="single" w:sz="4" w:space="0" w:color="auto"/>
            </w:tcBorders>
            <w:vAlign w:val="center"/>
            <w:hideMark/>
          </w:tcPr>
          <w:p w14:paraId="0F2760CA"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tl/>
                <w:lang w:bidi="ar-TN"/>
              </w:rPr>
              <w:t>41</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74B8E67E"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41</w:t>
            </w:r>
          </w:p>
        </w:tc>
        <w:tc>
          <w:tcPr>
            <w:tcW w:w="674" w:type="dxa"/>
            <w:tcBorders>
              <w:top w:val="single" w:sz="4" w:space="0" w:color="auto"/>
              <w:left w:val="single" w:sz="4" w:space="0" w:color="auto"/>
              <w:bottom w:val="single" w:sz="4" w:space="0" w:color="auto"/>
              <w:right w:val="single" w:sz="4" w:space="0" w:color="auto"/>
            </w:tcBorders>
            <w:vAlign w:val="center"/>
            <w:hideMark/>
          </w:tcPr>
          <w:p w14:paraId="746F6A0E"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37</w:t>
            </w:r>
          </w:p>
        </w:tc>
        <w:tc>
          <w:tcPr>
            <w:tcW w:w="706" w:type="dxa"/>
            <w:tcBorders>
              <w:top w:val="single" w:sz="4" w:space="0" w:color="auto"/>
              <w:left w:val="single" w:sz="4" w:space="0" w:color="auto"/>
              <w:bottom w:val="single" w:sz="4" w:space="0" w:color="auto"/>
              <w:right w:val="single" w:sz="4" w:space="0" w:color="auto"/>
            </w:tcBorders>
            <w:vAlign w:val="center"/>
            <w:hideMark/>
          </w:tcPr>
          <w:p w14:paraId="714485B5"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54</w:t>
            </w:r>
          </w:p>
        </w:tc>
        <w:tc>
          <w:tcPr>
            <w:tcW w:w="615" w:type="dxa"/>
            <w:tcBorders>
              <w:top w:val="single" w:sz="4" w:space="0" w:color="auto"/>
              <w:left w:val="single" w:sz="4" w:space="0" w:color="auto"/>
              <w:bottom w:val="single" w:sz="4" w:space="0" w:color="auto"/>
              <w:right w:val="single" w:sz="4" w:space="0" w:color="auto"/>
            </w:tcBorders>
            <w:vAlign w:val="center"/>
            <w:hideMark/>
          </w:tcPr>
          <w:p w14:paraId="6CCA5CDF"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54</w:t>
            </w:r>
          </w:p>
        </w:tc>
        <w:tc>
          <w:tcPr>
            <w:tcW w:w="615" w:type="dxa"/>
            <w:tcBorders>
              <w:top w:val="single" w:sz="4" w:space="0" w:color="auto"/>
              <w:left w:val="single" w:sz="4" w:space="0" w:color="auto"/>
              <w:bottom w:val="single" w:sz="4" w:space="0" w:color="auto"/>
              <w:right w:val="single" w:sz="4" w:space="0" w:color="auto"/>
            </w:tcBorders>
            <w:vAlign w:val="center"/>
            <w:hideMark/>
          </w:tcPr>
          <w:p w14:paraId="2A59DB69"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68</w:t>
            </w:r>
          </w:p>
        </w:tc>
        <w:tc>
          <w:tcPr>
            <w:tcW w:w="623" w:type="dxa"/>
            <w:tcBorders>
              <w:top w:val="single" w:sz="4" w:space="0" w:color="auto"/>
              <w:left w:val="single" w:sz="4" w:space="0" w:color="auto"/>
              <w:bottom w:val="single" w:sz="4" w:space="0" w:color="auto"/>
              <w:right w:val="single" w:sz="4" w:space="0" w:color="auto"/>
            </w:tcBorders>
            <w:vAlign w:val="center"/>
            <w:hideMark/>
          </w:tcPr>
          <w:p w14:paraId="5443237C"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76</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EB52BCE" w14:textId="77777777" w:rsidR="007C1525" w:rsidRPr="004E13E9" w:rsidRDefault="007C1525" w:rsidP="00D47E5E">
            <w:pPr>
              <w:rPr>
                <w:rFonts w:eastAsia="Times New Roman" w:cs="Calibri"/>
                <w:b/>
                <w:bCs/>
                <w:sz w:val="14"/>
                <w:szCs w:val="14"/>
                <w:lang w:eastAsia="ja-JP"/>
              </w:rPr>
            </w:pPr>
            <w:r w:rsidRPr="004E13E9">
              <w:rPr>
                <w:rFonts w:eastAsia="Times New Roman" w:cs="Calibri"/>
                <w:b/>
                <w:bCs/>
                <w:sz w:val="14"/>
                <w:szCs w:val="14"/>
                <w:lang w:eastAsia="ja-JP"/>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75E5CEB" w14:textId="77777777" w:rsidR="007C1525" w:rsidRPr="004E13E9" w:rsidRDefault="007C1525" w:rsidP="00D47E5E">
            <w:pPr>
              <w:ind w:hanging="104"/>
              <w:rPr>
                <w:rFonts w:eastAsia="Times New Roman" w:cs="Calibri"/>
                <w:b/>
                <w:bCs/>
                <w:sz w:val="14"/>
                <w:szCs w:val="14"/>
                <w:lang w:eastAsia="ja-JP"/>
              </w:rPr>
            </w:pPr>
            <w:r w:rsidRPr="004E13E9">
              <w:rPr>
                <w:rFonts w:eastAsia="Times New Roman" w:cs="Calibri"/>
                <w:b/>
                <w:bCs/>
                <w:sz w:val="14"/>
                <w:szCs w:val="14"/>
              </w:rPr>
              <w:t>1804,300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7A1F9077" w14:textId="77777777" w:rsidR="007C1525" w:rsidRPr="004E13E9" w:rsidRDefault="007C1525" w:rsidP="00D47E5E">
            <w:pPr>
              <w:rPr>
                <w:rFonts w:eastAsia="Times New Roman" w:cs="Calibri"/>
                <w:b/>
                <w:bCs/>
                <w:sz w:val="14"/>
                <w:szCs w:val="14"/>
                <w:lang w:eastAsia="ja-JP"/>
              </w:rPr>
            </w:pPr>
            <w:r w:rsidRPr="004E13E9">
              <w:rPr>
                <w:rFonts w:eastAsia="Times New Roman" w:cs="Calibri"/>
                <w:b/>
                <w:bCs/>
                <w:sz w:val="14"/>
                <w:szCs w:val="14"/>
              </w:rPr>
              <w:t>1804,300</w:t>
            </w:r>
          </w:p>
        </w:tc>
        <w:tc>
          <w:tcPr>
            <w:tcW w:w="993" w:type="dxa"/>
            <w:tcBorders>
              <w:top w:val="single" w:sz="4" w:space="0" w:color="auto"/>
              <w:left w:val="single" w:sz="4" w:space="0" w:color="auto"/>
              <w:bottom w:val="single" w:sz="4" w:space="0" w:color="auto"/>
              <w:right w:val="single" w:sz="4" w:space="0" w:color="auto"/>
            </w:tcBorders>
            <w:vAlign w:val="center"/>
            <w:hideMark/>
          </w:tcPr>
          <w:p w14:paraId="27F6110E" w14:textId="77777777" w:rsidR="007C1525" w:rsidRPr="004E13E9" w:rsidRDefault="007C1525" w:rsidP="00D47E5E">
            <w:pPr>
              <w:rPr>
                <w:rFonts w:eastAsia="Times New Roman" w:cs="Calibri"/>
                <w:b/>
                <w:bCs/>
                <w:sz w:val="16"/>
                <w:szCs w:val="16"/>
                <w:lang w:eastAsia="ja-JP"/>
              </w:rPr>
            </w:pPr>
            <w:r w:rsidRPr="004E13E9">
              <w:rPr>
                <w:rFonts w:eastAsia="Times New Roman" w:cs="Calibri"/>
                <w:b/>
                <w:bCs/>
                <w:sz w:val="16"/>
                <w:szCs w:val="16"/>
              </w:rPr>
              <w:t>1713,06</w:t>
            </w:r>
          </w:p>
        </w:tc>
        <w:tc>
          <w:tcPr>
            <w:tcW w:w="850" w:type="dxa"/>
            <w:tcBorders>
              <w:top w:val="single" w:sz="4" w:space="0" w:color="auto"/>
              <w:left w:val="single" w:sz="4" w:space="0" w:color="auto"/>
              <w:bottom w:val="single" w:sz="4" w:space="0" w:color="auto"/>
              <w:right w:val="single" w:sz="4" w:space="0" w:color="auto"/>
            </w:tcBorders>
            <w:vAlign w:val="center"/>
            <w:hideMark/>
          </w:tcPr>
          <w:p w14:paraId="25F90840" w14:textId="77777777" w:rsidR="007C1525" w:rsidRPr="004E13E9" w:rsidRDefault="007C1525" w:rsidP="00D47E5E">
            <w:pPr>
              <w:ind w:hanging="110"/>
              <w:rPr>
                <w:rFonts w:eastAsia="Times New Roman" w:cs="Calibri"/>
                <w:b/>
                <w:bCs/>
                <w:sz w:val="16"/>
                <w:szCs w:val="16"/>
                <w:lang w:eastAsia="ja-JP"/>
              </w:rPr>
            </w:pPr>
            <w:r w:rsidRPr="004E13E9">
              <w:rPr>
                <w:rFonts w:eastAsia="Times New Roman" w:cs="Calibri"/>
                <w:b/>
                <w:bCs/>
                <w:sz w:val="16"/>
                <w:szCs w:val="16"/>
              </w:rPr>
              <w:t>2366,120</w:t>
            </w:r>
          </w:p>
        </w:tc>
        <w:tc>
          <w:tcPr>
            <w:tcW w:w="992" w:type="dxa"/>
            <w:tcBorders>
              <w:top w:val="single" w:sz="4" w:space="0" w:color="auto"/>
              <w:left w:val="single" w:sz="4" w:space="0" w:color="auto"/>
              <w:bottom w:val="single" w:sz="4" w:space="0" w:color="auto"/>
              <w:right w:val="single" w:sz="4" w:space="0" w:color="auto"/>
            </w:tcBorders>
            <w:vAlign w:val="center"/>
            <w:hideMark/>
          </w:tcPr>
          <w:p w14:paraId="5DBE41A3" w14:textId="77777777" w:rsidR="007C1525" w:rsidRPr="004E13E9" w:rsidRDefault="007C1525" w:rsidP="00D47E5E">
            <w:pPr>
              <w:rPr>
                <w:rFonts w:eastAsia="Times New Roman" w:cs="Calibri"/>
                <w:b/>
                <w:bCs/>
                <w:sz w:val="16"/>
                <w:szCs w:val="16"/>
                <w:lang w:eastAsia="ja-JP"/>
              </w:rPr>
            </w:pPr>
            <w:r w:rsidRPr="004E13E9">
              <w:rPr>
                <w:rFonts w:eastAsia="Times New Roman" w:cs="Calibri"/>
                <w:b/>
                <w:bCs/>
                <w:sz w:val="16"/>
                <w:szCs w:val="16"/>
              </w:rPr>
              <w:t>2543,220</w:t>
            </w:r>
          </w:p>
        </w:tc>
        <w:tc>
          <w:tcPr>
            <w:tcW w:w="993" w:type="dxa"/>
            <w:tcBorders>
              <w:top w:val="single" w:sz="4" w:space="0" w:color="auto"/>
              <w:left w:val="single" w:sz="4" w:space="0" w:color="auto"/>
              <w:bottom w:val="single" w:sz="4" w:space="0" w:color="auto"/>
              <w:right w:val="single" w:sz="4" w:space="0" w:color="auto"/>
            </w:tcBorders>
            <w:vAlign w:val="center"/>
            <w:hideMark/>
          </w:tcPr>
          <w:p w14:paraId="66E8E181" w14:textId="77777777" w:rsidR="007C1525" w:rsidRPr="004E13E9" w:rsidRDefault="007C1525" w:rsidP="00D47E5E">
            <w:pPr>
              <w:rPr>
                <w:rFonts w:eastAsia="Times New Roman" w:cs="Calibri"/>
                <w:b/>
                <w:bCs/>
                <w:sz w:val="16"/>
                <w:szCs w:val="16"/>
                <w:lang w:eastAsia="ja-JP"/>
              </w:rPr>
            </w:pPr>
            <w:r w:rsidRPr="004E13E9">
              <w:rPr>
                <w:rFonts w:eastAsia="Times New Roman" w:cs="Calibri"/>
                <w:b/>
                <w:bCs/>
                <w:sz w:val="16"/>
                <w:szCs w:val="16"/>
              </w:rPr>
              <w:t>2966,440</w:t>
            </w:r>
          </w:p>
        </w:tc>
        <w:tc>
          <w:tcPr>
            <w:tcW w:w="1134" w:type="dxa"/>
            <w:tcBorders>
              <w:top w:val="single" w:sz="4" w:space="0" w:color="auto"/>
              <w:left w:val="single" w:sz="4" w:space="0" w:color="auto"/>
              <w:bottom w:val="single" w:sz="4" w:space="0" w:color="auto"/>
              <w:right w:val="single" w:sz="4" w:space="0" w:color="auto"/>
            </w:tcBorders>
            <w:hideMark/>
          </w:tcPr>
          <w:p w14:paraId="0F200328" w14:textId="77777777" w:rsidR="007C1525" w:rsidRPr="004E13E9" w:rsidRDefault="007C1525" w:rsidP="00D47E5E">
            <w:pPr>
              <w:rPr>
                <w:rFonts w:eastAsia="Times New Roman" w:cs="Calibri"/>
                <w:b/>
                <w:bCs/>
                <w:sz w:val="16"/>
                <w:szCs w:val="16"/>
                <w:lang w:eastAsia="ja-JP"/>
              </w:rPr>
            </w:pPr>
            <w:r w:rsidRPr="004E13E9">
              <w:rPr>
                <w:rFonts w:eastAsia="Times New Roman" w:cs="Calibri"/>
                <w:b/>
                <w:bCs/>
                <w:sz w:val="16"/>
                <w:szCs w:val="16"/>
                <w:lang w:eastAsia="ja-JP"/>
              </w:rPr>
              <w:t>3364,68</w:t>
            </w:r>
          </w:p>
        </w:tc>
      </w:tr>
      <w:tr w:rsidR="007C1525" w:rsidRPr="004E13E9" w14:paraId="0351EC2F"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7A4BF8FA" w14:textId="77777777" w:rsidR="007C1525" w:rsidRPr="004E13E9" w:rsidRDefault="007C1525" w:rsidP="00D47E5E">
            <w:pPr>
              <w:rPr>
                <w:rFonts w:eastAsia="Times New Roman" w:cs="Calibri"/>
                <w:sz w:val="18"/>
                <w:szCs w:val="18"/>
                <w:lang w:val="fr-FR" w:eastAsia="ja-JP"/>
              </w:rPr>
            </w:pPr>
            <w:r w:rsidRPr="004E13E9">
              <w:rPr>
                <w:rFonts w:eastAsia="Malgun Gothic"/>
                <w:kern w:val="2"/>
                <w:sz w:val="18"/>
                <w:szCs w:val="18"/>
                <w:lang w:val="fr-FR" w:eastAsia="ko-KR"/>
                <w14:ligatures w14:val="standardContextual"/>
              </w:rPr>
              <w:t>Palangrier de plus de 40 m</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4F9B8595"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25</w:t>
            </w:r>
          </w:p>
        </w:tc>
        <w:tc>
          <w:tcPr>
            <w:tcW w:w="830" w:type="dxa"/>
            <w:tcBorders>
              <w:top w:val="single" w:sz="4" w:space="0" w:color="auto"/>
              <w:left w:val="single" w:sz="4" w:space="0" w:color="auto"/>
              <w:bottom w:val="single" w:sz="4" w:space="0" w:color="auto"/>
              <w:right w:val="single" w:sz="4" w:space="0" w:color="auto"/>
            </w:tcBorders>
            <w:vAlign w:val="center"/>
            <w:hideMark/>
          </w:tcPr>
          <w:p w14:paraId="1C607B39"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tl/>
                <w:lang w:bidi="ar-TN"/>
              </w:rPr>
              <w:t>0</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3C64083C"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74" w:type="dxa"/>
            <w:tcBorders>
              <w:top w:val="single" w:sz="4" w:space="0" w:color="auto"/>
              <w:left w:val="single" w:sz="4" w:space="0" w:color="auto"/>
              <w:bottom w:val="single" w:sz="4" w:space="0" w:color="auto"/>
              <w:right w:val="single" w:sz="4" w:space="0" w:color="auto"/>
            </w:tcBorders>
            <w:vAlign w:val="center"/>
            <w:hideMark/>
          </w:tcPr>
          <w:p w14:paraId="649CA70F"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68C1CC4E"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6DC7AEB7"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20868F47"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653366BD"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FF95997" w14:textId="77777777" w:rsidR="007C1525" w:rsidRPr="004E13E9" w:rsidRDefault="007C1525" w:rsidP="00D47E5E">
            <w:pPr>
              <w:rPr>
                <w:rFonts w:eastAsia="Times New Roman" w:cs="Calibri"/>
                <w:sz w:val="18"/>
                <w:szCs w:val="18"/>
                <w:lang w:eastAsia="ja-JP"/>
              </w:rPr>
            </w:pPr>
            <w:r w:rsidRPr="004E13E9">
              <w:rPr>
                <w:rFonts w:eastAsia="Times New Roman" w:cs="Calibri"/>
                <w:sz w:val="18"/>
                <w:szCs w:val="18"/>
                <w:lang w:eastAsia="ja-JP"/>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1BEEFC81"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3A59A413"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1BF8441F"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1E5A1D39"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021FE3E2"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1C761637"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3F0FE6"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r>
      <w:tr w:rsidR="007C1525" w:rsidRPr="004E13E9" w14:paraId="37DF2CDB"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78DE83D7" w14:textId="77777777" w:rsidR="007C1525" w:rsidRPr="004E13E9" w:rsidRDefault="007C1525" w:rsidP="00D47E5E">
            <w:pPr>
              <w:rPr>
                <w:rFonts w:eastAsia="Times New Roman" w:cs="Calibri"/>
                <w:sz w:val="18"/>
                <w:szCs w:val="18"/>
                <w:lang w:eastAsia="ja-JP"/>
              </w:rPr>
            </w:pPr>
            <w:proofErr w:type="spellStart"/>
            <w:r w:rsidRPr="004E13E9">
              <w:rPr>
                <w:rFonts w:eastAsia="Malgun Gothic"/>
                <w:kern w:val="2"/>
                <w:sz w:val="18"/>
                <w:szCs w:val="18"/>
                <w:lang w:eastAsia="ko-KR"/>
                <w14:ligatures w14:val="standardContextual"/>
              </w:rPr>
              <w:t>Palangrier</w:t>
            </w:r>
            <w:proofErr w:type="spellEnd"/>
            <w:r w:rsidRPr="004E13E9">
              <w:rPr>
                <w:rFonts w:eastAsia="Malgun Gothic"/>
                <w:kern w:val="2"/>
                <w:sz w:val="18"/>
                <w:szCs w:val="18"/>
                <w:lang w:eastAsia="ko-KR"/>
                <w14:ligatures w14:val="standardContextual"/>
              </w:rPr>
              <w:t xml:space="preserve"> entre 24 et 40 m</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0B74B4DD"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5,68</w:t>
            </w:r>
          </w:p>
        </w:tc>
        <w:tc>
          <w:tcPr>
            <w:tcW w:w="830" w:type="dxa"/>
            <w:tcBorders>
              <w:top w:val="single" w:sz="4" w:space="0" w:color="auto"/>
              <w:left w:val="single" w:sz="4" w:space="0" w:color="auto"/>
              <w:bottom w:val="single" w:sz="4" w:space="0" w:color="auto"/>
              <w:right w:val="single" w:sz="4" w:space="0" w:color="auto"/>
            </w:tcBorders>
            <w:vAlign w:val="center"/>
            <w:hideMark/>
          </w:tcPr>
          <w:p w14:paraId="174B401B"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tl/>
                <w:lang w:bidi="ar-TN"/>
              </w:rPr>
              <w:t>0</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3CE6F9AA"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74" w:type="dxa"/>
            <w:tcBorders>
              <w:top w:val="single" w:sz="4" w:space="0" w:color="auto"/>
              <w:left w:val="single" w:sz="4" w:space="0" w:color="auto"/>
              <w:bottom w:val="single" w:sz="4" w:space="0" w:color="auto"/>
              <w:right w:val="single" w:sz="4" w:space="0" w:color="auto"/>
            </w:tcBorders>
            <w:vAlign w:val="center"/>
            <w:hideMark/>
          </w:tcPr>
          <w:p w14:paraId="0404CEE5"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4781DC64"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5BF0C0D1"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3E21FF9F"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39584D9B"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A5FACB" w14:textId="77777777" w:rsidR="007C1525" w:rsidRPr="004E13E9" w:rsidRDefault="007C1525" w:rsidP="00D47E5E">
            <w:pPr>
              <w:rPr>
                <w:rFonts w:eastAsia="Times New Roman" w:cs="Calibri"/>
                <w:sz w:val="18"/>
                <w:szCs w:val="18"/>
                <w:lang w:eastAsia="ja-JP"/>
              </w:rPr>
            </w:pPr>
            <w:r w:rsidRPr="004E13E9">
              <w:rPr>
                <w:rFonts w:eastAsia="Times New Roman" w:cs="Calibri"/>
                <w:sz w:val="18"/>
                <w:szCs w:val="18"/>
                <w:lang w:eastAsia="ja-JP"/>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992FC28"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16E09680"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40FA6BAA"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62013751"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63B4011B"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0B9B4B1E"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9D7D5C"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r>
      <w:tr w:rsidR="007C1525" w:rsidRPr="004E13E9" w14:paraId="119BE53B"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07C89FC2" w14:textId="77777777" w:rsidR="007C1525" w:rsidRPr="004E13E9" w:rsidRDefault="007C1525" w:rsidP="00D47E5E">
            <w:pPr>
              <w:rPr>
                <w:rFonts w:eastAsia="Times New Roman" w:cs="Calibri"/>
                <w:sz w:val="18"/>
                <w:szCs w:val="18"/>
                <w:lang w:val="fr-FR" w:eastAsia="ja-JP"/>
              </w:rPr>
            </w:pPr>
            <w:r w:rsidRPr="004E13E9">
              <w:rPr>
                <w:rFonts w:eastAsia="Malgun Gothic"/>
                <w:kern w:val="2"/>
                <w:sz w:val="18"/>
                <w:szCs w:val="18"/>
                <w:lang w:val="fr-FR" w:eastAsia="ko-KR"/>
                <w14:ligatures w14:val="standardContextual"/>
              </w:rPr>
              <w:t>Palangrier de moins de 24 m</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36A592EB"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5</w:t>
            </w:r>
          </w:p>
        </w:tc>
        <w:tc>
          <w:tcPr>
            <w:tcW w:w="830" w:type="dxa"/>
            <w:tcBorders>
              <w:top w:val="single" w:sz="4" w:space="0" w:color="auto"/>
              <w:left w:val="single" w:sz="4" w:space="0" w:color="auto"/>
              <w:bottom w:val="single" w:sz="4" w:space="0" w:color="auto"/>
              <w:right w:val="single" w:sz="4" w:space="0" w:color="auto"/>
            </w:tcBorders>
            <w:vAlign w:val="center"/>
            <w:hideMark/>
          </w:tcPr>
          <w:p w14:paraId="0902191E"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1</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308A3BE9"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1</w:t>
            </w:r>
          </w:p>
        </w:tc>
        <w:tc>
          <w:tcPr>
            <w:tcW w:w="674" w:type="dxa"/>
            <w:tcBorders>
              <w:top w:val="single" w:sz="4" w:space="0" w:color="auto"/>
              <w:left w:val="single" w:sz="4" w:space="0" w:color="auto"/>
              <w:bottom w:val="single" w:sz="4" w:space="0" w:color="auto"/>
              <w:right w:val="single" w:sz="4" w:space="0" w:color="auto"/>
            </w:tcBorders>
            <w:vAlign w:val="center"/>
            <w:hideMark/>
          </w:tcPr>
          <w:p w14:paraId="42293355"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41A32DFA"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2C27B174"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09CF7C9F"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77EC8C31"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8CB28FD" w14:textId="77777777" w:rsidR="007C1525" w:rsidRPr="004E13E9" w:rsidRDefault="007C1525" w:rsidP="00D47E5E">
            <w:pPr>
              <w:rPr>
                <w:rFonts w:eastAsia="Times New Roman" w:cs="Calibri"/>
                <w:sz w:val="18"/>
                <w:szCs w:val="18"/>
                <w:lang w:eastAsia="ja-JP"/>
              </w:rPr>
            </w:pPr>
            <w:r w:rsidRPr="004E13E9">
              <w:rPr>
                <w:rFonts w:eastAsia="Times New Roman" w:cs="Calibri"/>
                <w:sz w:val="18"/>
                <w:szCs w:val="18"/>
                <w:lang w:eastAsia="ja-JP"/>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34F04F0C"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021550BC"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5</w:t>
            </w:r>
          </w:p>
        </w:tc>
        <w:tc>
          <w:tcPr>
            <w:tcW w:w="993" w:type="dxa"/>
            <w:tcBorders>
              <w:top w:val="single" w:sz="4" w:space="0" w:color="auto"/>
              <w:left w:val="single" w:sz="4" w:space="0" w:color="auto"/>
              <w:bottom w:val="single" w:sz="4" w:space="0" w:color="auto"/>
              <w:right w:val="single" w:sz="4" w:space="0" w:color="auto"/>
            </w:tcBorders>
            <w:vAlign w:val="center"/>
            <w:hideMark/>
          </w:tcPr>
          <w:p w14:paraId="06C6F9D1"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1A6A7F47"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02A181AE"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08F8B1F7"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CFFFFA"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r>
      <w:tr w:rsidR="007C1525" w:rsidRPr="004E13E9" w14:paraId="172604BC"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24B5B8FD" w14:textId="77777777" w:rsidR="007C1525" w:rsidRPr="004E13E9" w:rsidRDefault="007C1525" w:rsidP="00D47E5E">
            <w:pPr>
              <w:rPr>
                <w:rFonts w:eastAsia="Times New Roman" w:cs="Calibri"/>
                <w:b/>
                <w:bCs/>
                <w:sz w:val="18"/>
                <w:szCs w:val="18"/>
                <w:lang w:eastAsia="ja-JP"/>
              </w:rPr>
            </w:pPr>
            <w:proofErr w:type="spellStart"/>
            <w:r w:rsidRPr="004E13E9">
              <w:rPr>
                <w:rFonts w:eastAsia="Malgun Gothic"/>
                <w:b/>
                <w:kern w:val="2"/>
                <w:sz w:val="18"/>
                <w:szCs w:val="18"/>
                <w:lang w:eastAsia="ko-KR"/>
                <w14:ligatures w14:val="standardContextual"/>
              </w:rPr>
              <w:t>Flottille</w:t>
            </w:r>
            <w:proofErr w:type="spellEnd"/>
            <w:r w:rsidRPr="004E13E9">
              <w:rPr>
                <w:rFonts w:eastAsia="Malgun Gothic"/>
                <w:b/>
                <w:kern w:val="2"/>
                <w:sz w:val="18"/>
                <w:szCs w:val="18"/>
                <w:lang w:eastAsia="ko-KR"/>
                <w14:ligatures w14:val="standardContextual"/>
              </w:rPr>
              <w:t xml:space="preserve"> </w:t>
            </w:r>
            <w:proofErr w:type="spellStart"/>
            <w:r w:rsidRPr="004E13E9">
              <w:rPr>
                <w:rFonts w:eastAsia="Malgun Gothic"/>
                <w:b/>
                <w:kern w:val="2"/>
                <w:sz w:val="18"/>
                <w:szCs w:val="18"/>
                <w:lang w:eastAsia="ko-KR"/>
                <w14:ligatures w14:val="standardContextual"/>
              </w:rPr>
              <w:t>totale</w:t>
            </w:r>
            <w:proofErr w:type="spellEnd"/>
            <w:r w:rsidRPr="004E13E9">
              <w:rPr>
                <w:rFonts w:eastAsia="Malgun Gothic"/>
                <w:b/>
                <w:kern w:val="2"/>
                <w:sz w:val="18"/>
                <w:szCs w:val="18"/>
                <w:lang w:eastAsia="ko-KR"/>
                <w14:ligatures w14:val="standardContextual"/>
              </w:rPr>
              <w:t xml:space="preserve"> de </w:t>
            </w:r>
            <w:proofErr w:type="spellStart"/>
            <w:r w:rsidRPr="004E13E9">
              <w:rPr>
                <w:rFonts w:eastAsia="Malgun Gothic"/>
                <w:b/>
                <w:kern w:val="2"/>
                <w:sz w:val="18"/>
                <w:szCs w:val="18"/>
                <w:lang w:eastAsia="ko-KR"/>
                <w14:ligatures w14:val="standardContextual"/>
              </w:rPr>
              <w:t>palangriers</w:t>
            </w:r>
            <w:proofErr w:type="spellEnd"/>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6A86905C" w14:textId="77777777" w:rsidR="007C1525" w:rsidRPr="004E13E9" w:rsidRDefault="007C1525" w:rsidP="00D47E5E">
            <w:pPr>
              <w:rPr>
                <w:rFonts w:eastAsia="Times New Roman"/>
                <w:sz w:val="18"/>
                <w:szCs w:val="18"/>
                <w:lang w:eastAsia="ja-JP"/>
              </w:rPr>
            </w:pPr>
            <w:r w:rsidRPr="004E13E9">
              <w:rPr>
                <w:rFonts w:eastAsia="Times New Roman"/>
                <w:sz w:val="18"/>
                <w:szCs w:val="18"/>
                <w:lang w:eastAsia="ja-JP"/>
              </w:rPr>
              <w:t> </w:t>
            </w:r>
          </w:p>
        </w:tc>
        <w:tc>
          <w:tcPr>
            <w:tcW w:w="830" w:type="dxa"/>
            <w:tcBorders>
              <w:top w:val="single" w:sz="4" w:space="0" w:color="auto"/>
              <w:left w:val="single" w:sz="4" w:space="0" w:color="auto"/>
              <w:bottom w:val="single" w:sz="4" w:space="0" w:color="auto"/>
              <w:right w:val="single" w:sz="4" w:space="0" w:color="auto"/>
            </w:tcBorders>
            <w:vAlign w:val="center"/>
            <w:hideMark/>
          </w:tcPr>
          <w:p w14:paraId="475CFA14"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1</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54F2B73E"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1</w:t>
            </w:r>
          </w:p>
        </w:tc>
        <w:tc>
          <w:tcPr>
            <w:tcW w:w="674" w:type="dxa"/>
            <w:tcBorders>
              <w:top w:val="single" w:sz="4" w:space="0" w:color="auto"/>
              <w:left w:val="single" w:sz="4" w:space="0" w:color="auto"/>
              <w:bottom w:val="single" w:sz="4" w:space="0" w:color="auto"/>
              <w:right w:val="single" w:sz="4" w:space="0" w:color="auto"/>
            </w:tcBorders>
            <w:vAlign w:val="center"/>
            <w:hideMark/>
          </w:tcPr>
          <w:p w14:paraId="7E6CA787"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2963D65D"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76236C0C"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47F50663"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1E02F1E3"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b/>
                <w:bCs/>
                <w:sz w:val="16"/>
                <w:szCs w:val="16"/>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20656D9" w14:textId="77777777" w:rsidR="007C1525" w:rsidRPr="004E13E9" w:rsidRDefault="007C1525" w:rsidP="00D47E5E">
            <w:pPr>
              <w:rPr>
                <w:rFonts w:eastAsia="Times New Roman" w:cs="Calibri"/>
                <w:b/>
                <w:bCs/>
                <w:sz w:val="18"/>
                <w:szCs w:val="18"/>
                <w:lang w:eastAsia="ja-JP"/>
              </w:rPr>
            </w:pPr>
            <w:r w:rsidRPr="004E13E9">
              <w:rPr>
                <w:rFonts w:eastAsia="Times New Roman" w:cs="Calibri"/>
                <w:b/>
                <w:bCs/>
                <w:sz w:val="18"/>
                <w:szCs w:val="18"/>
                <w:lang w:eastAsia="ja-JP"/>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83EA450"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1632770B"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5</w:t>
            </w:r>
          </w:p>
        </w:tc>
        <w:tc>
          <w:tcPr>
            <w:tcW w:w="993" w:type="dxa"/>
            <w:tcBorders>
              <w:top w:val="single" w:sz="4" w:space="0" w:color="auto"/>
              <w:left w:val="single" w:sz="4" w:space="0" w:color="auto"/>
              <w:bottom w:val="single" w:sz="4" w:space="0" w:color="auto"/>
              <w:right w:val="single" w:sz="4" w:space="0" w:color="auto"/>
            </w:tcBorders>
            <w:vAlign w:val="center"/>
            <w:hideMark/>
          </w:tcPr>
          <w:p w14:paraId="290D9CB7"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b/>
                <w:bCs/>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0A41E968"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b/>
                <w:bCs/>
                <w:sz w:val="16"/>
                <w:szCs w:val="16"/>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1DA3F4DA"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b/>
                <w:bCs/>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35F52045"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b/>
                <w:bCs/>
                <w:sz w:val="16"/>
                <w:szCs w:val="16"/>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E3BF13"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b/>
                <w:bCs/>
                <w:sz w:val="16"/>
                <w:szCs w:val="16"/>
              </w:rPr>
              <w:t>0</w:t>
            </w:r>
          </w:p>
        </w:tc>
      </w:tr>
      <w:tr w:rsidR="007C1525" w:rsidRPr="004E13E9" w14:paraId="2581114F"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2890690E" w14:textId="77777777" w:rsidR="007C1525" w:rsidRPr="004E13E9" w:rsidRDefault="007C1525" w:rsidP="00D47E5E">
            <w:pPr>
              <w:rPr>
                <w:rFonts w:eastAsia="Times New Roman" w:cs="Calibri"/>
                <w:sz w:val="18"/>
                <w:szCs w:val="18"/>
                <w:lang w:eastAsia="ja-JP"/>
              </w:rPr>
            </w:pPr>
            <w:proofErr w:type="spellStart"/>
            <w:r w:rsidRPr="004E13E9">
              <w:rPr>
                <w:rFonts w:eastAsia="Malgun Gothic"/>
                <w:kern w:val="2"/>
                <w:sz w:val="18"/>
                <w:szCs w:val="18"/>
                <w:lang w:eastAsia="ko-KR"/>
                <w14:ligatures w14:val="standardContextual"/>
              </w:rPr>
              <w:t>Canneur</w:t>
            </w:r>
            <w:proofErr w:type="spellEnd"/>
            <w:r w:rsidRPr="004E13E9">
              <w:rPr>
                <w:rFonts w:eastAsia="Malgun Gothic"/>
                <w:kern w:val="2"/>
                <w:sz w:val="18"/>
                <w:szCs w:val="18"/>
                <w:lang w:eastAsia="ko-KR"/>
                <w14:ligatures w14:val="standardContextual"/>
              </w:rPr>
              <w:t xml:space="preserve"> </w:t>
            </w:r>
            <w:r w:rsidRPr="004E13E9">
              <w:rPr>
                <w:rFonts w:eastAsia="Malgun Gothic"/>
                <w:kern w:val="2"/>
                <w:sz w:val="18"/>
                <w:szCs w:val="18"/>
                <w:vertAlign w:val="superscript"/>
                <w:lang w:eastAsia="ko-KR"/>
                <w14:ligatures w14:val="standardContextual"/>
              </w:rPr>
              <w:t>3</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471AFFDF"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19,75</w:t>
            </w:r>
          </w:p>
        </w:tc>
        <w:tc>
          <w:tcPr>
            <w:tcW w:w="830" w:type="dxa"/>
            <w:tcBorders>
              <w:top w:val="single" w:sz="4" w:space="0" w:color="auto"/>
              <w:left w:val="single" w:sz="4" w:space="0" w:color="auto"/>
              <w:bottom w:val="single" w:sz="4" w:space="0" w:color="auto"/>
              <w:right w:val="single" w:sz="4" w:space="0" w:color="auto"/>
            </w:tcBorders>
            <w:vAlign w:val="center"/>
            <w:hideMark/>
          </w:tcPr>
          <w:p w14:paraId="71D6FA48"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5F4C880D"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674" w:type="dxa"/>
            <w:tcBorders>
              <w:top w:val="single" w:sz="4" w:space="0" w:color="auto"/>
              <w:left w:val="single" w:sz="4" w:space="0" w:color="auto"/>
              <w:bottom w:val="single" w:sz="4" w:space="0" w:color="auto"/>
              <w:right w:val="single" w:sz="4" w:space="0" w:color="auto"/>
            </w:tcBorders>
            <w:vAlign w:val="center"/>
            <w:hideMark/>
          </w:tcPr>
          <w:p w14:paraId="160C4A25"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708524BC"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3EDF4273"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1604FCE3"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58665267"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740D43" w14:textId="77777777" w:rsidR="007C1525" w:rsidRPr="004E13E9" w:rsidRDefault="007C1525" w:rsidP="00D47E5E">
            <w:pPr>
              <w:rPr>
                <w:rFonts w:eastAsia="Times New Roman" w:cs="Calibri"/>
                <w:b/>
                <w:bCs/>
                <w:sz w:val="18"/>
                <w:szCs w:val="18"/>
                <w:lang w:eastAsia="ja-JP"/>
              </w:rPr>
            </w:pPr>
            <w:r w:rsidRPr="004E13E9">
              <w:rPr>
                <w:rFonts w:eastAsia="Times New Roman" w:cs="Calibri"/>
                <w:b/>
                <w:bCs/>
                <w:sz w:val="18"/>
                <w:szCs w:val="18"/>
                <w:lang w:eastAsia="ja-JP"/>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472DA6FF"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6C4E71"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7F0A1BAA"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41D44810"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sz w:val="16"/>
                <w:szCs w:val="16"/>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07DD58AB"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519F5D34"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sz w:val="16"/>
                <w:szCs w:val="16"/>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C77FDC"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sz w:val="16"/>
                <w:szCs w:val="16"/>
              </w:rPr>
              <w:t>0</w:t>
            </w:r>
          </w:p>
        </w:tc>
      </w:tr>
      <w:tr w:rsidR="007C1525" w:rsidRPr="004E13E9" w14:paraId="33A28D30"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6381DD3D" w14:textId="77777777" w:rsidR="007C1525" w:rsidRPr="004E13E9" w:rsidRDefault="007C1525" w:rsidP="00D47E5E">
            <w:pPr>
              <w:rPr>
                <w:rFonts w:eastAsia="Times New Roman" w:cs="Calibri"/>
                <w:sz w:val="18"/>
                <w:szCs w:val="18"/>
                <w:lang w:eastAsia="ja-JP"/>
              </w:rPr>
            </w:pPr>
            <w:r w:rsidRPr="004E13E9">
              <w:rPr>
                <w:rFonts w:eastAsia="Malgun Gothic"/>
                <w:kern w:val="2"/>
                <w:sz w:val="18"/>
                <w:szCs w:val="18"/>
                <w:lang w:eastAsia="ko-KR"/>
                <w14:ligatures w14:val="standardContextual"/>
              </w:rPr>
              <w:t>Ligne à main</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08114953"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5</w:t>
            </w:r>
          </w:p>
        </w:tc>
        <w:tc>
          <w:tcPr>
            <w:tcW w:w="830" w:type="dxa"/>
            <w:tcBorders>
              <w:top w:val="single" w:sz="4" w:space="0" w:color="auto"/>
              <w:left w:val="single" w:sz="4" w:space="0" w:color="auto"/>
              <w:bottom w:val="single" w:sz="4" w:space="0" w:color="auto"/>
              <w:right w:val="single" w:sz="4" w:space="0" w:color="auto"/>
            </w:tcBorders>
            <w:vAlign w:val="center"/>
            <w:hideMark/>
          </w:tcPr>
          <w:p w14:paraId="1A36B8AA"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40571E7C"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74" w:type="dxa"/>
            <w:tcBorders>
              <w:top w:val="single" w:sz="4" w:space="0" w:color="auto"/>
              <w:left w:val="single" w:sz="4" w:space="0" w:color="auto"/>
              <w:bottom w:val="single" w:sz="4" w:space="0" w:color="auto"/>
              <w:right w:val="single" w:sz="4" w:space="0" w:color="auto"/>
            </w:tcBorders>
            <w:vAlign w:val="center"/>
            <w:hideMark/>
          </w:tcPr>
          <w:p w14:paraId="693954E2"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577A5A23"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0BE0CA1C"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49B63C09"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6F29F105"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103F28" w14:textId="77777777" w:rsidR="007C1525" w:rsidRPr="004E13E9" w:rsidRDefault="007C1525" w:rsidP="00D47E5E">
            <w:pPr>
              <w:rPr>
                <w:rFonts w:eastAsia="Times New Roman" w:cs="Calibri"/>
                <w:sz w:val="18"/>
                <w:szCs w:val="18"/>
                <w:lang w:eastAsia="ja-JP"/>
              </w:rPr>
            </w:pPr>
            <w:r w:rsidRPr="004E13E9">
              <w:rPr>
                <w:rFonts w:eastAsia="Times New Roman" w:cs="Calibri"/>
                <w:sz w:val="18"/>
                <w:szCs w:val="18"/>
                <w:lang w:eastAsia="ja-JP"/>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53C291"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795BF0C4"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573082F7"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7B1D2FFE"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29C7238D"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57ABB0DD"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ACE38D"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r>
      <w:tr w:rsidR="007C1525" w:rsidRPr="004E13E9" w14:paraId="2AFE9934"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7E0F32BD" w14:textId="77777777" w:rsidR="007C1525" w:rsidRPr="004E13E9" w:rsidRDefault="007C1525" w:rsidP="00D47E5E">
            <w:pPr>
              <w:rPr>
                <w:rFonts w:eastAsia="Times New Roman" w:cs="Calibri"/>
                <w:sz w:val="18"/>
                <w:szCs w:val="18"/>
                <w:lang w:eastAsia="ja-JP"/>
              </w:rPr>
            </w:pPr>
            <w:proofErr w:type="spellStart"/>
            <w:r w:rsidRPr="004E13E9">
              <w:rPr>
                <w:rFonts w:eastAsia="Malgun Gothic"/>
                <w:kern w:val="2"/>
                <w:sz w:val="18"/>
                <w:szCs w:val="18"/>
                <w:lang w:eastAsia="ko-KR"/>
                <w14:ligatures w14:val="standardContextual"/>
              </w:rPr>
              <w:t>Chalutier</w:t>
            </w:r>
            <w:proofErr w:type="spellEnd"/>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281A87BB"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10</w:t>
            </w:r>
          </w:p>
        </w:tc>
        <w:tc>
          <w:tcPr>
            <w:tcW w:w="830" w:type="dxa"/>
            <w:tcBorders>
              <w:top w:val="single" w:sz="4" w:space="0" w:color="auto"/>
              <w:left w:val="single" w:sz="4" w:space="0" w:color="auto"/>
              <w:bottom w:val="single" w:sz="4" w:space="0" w:color="auto"/>
              <w:right w:val="single" w:sz="4" w:space="0" w:color="auto"/>
            </w:tcBorders>
            <w:vAlign w:val="center"/>
            <w:hideMark/>
          </w:tcPr>
          <w:p w14:paraId="1CD5C935"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5094B98A"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74" w:type="dxa"/>
            <w:tcBorders>
              <w:top w:val="single" w:sz="4" w:space="0" w:color="auto"/>
              <w:left w:val="single" w:sz="4" w:space="0" w:color="auto"/>
              <w:bottom w:val="single" w:sz="4" w:space="0" w:color="auto"/>
              <w:right w:val="single" w:sz="4" w:space="0" w:color="auto"/>
            </w:tcBorders>
            <w:vAlign w:val="center"/>
            <w:hideMark/>
          </w:tcPr>
          <w:p w14:paraId="749EC151"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096B26A2"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6EB5BF09"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4D6EA039"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28059089"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886ABD6" w14:textId="77777777" w:rsidR="007C1525" w:rsidRPr="004E13E9" w:rsidRDefault="007C1525" w:rsidP="00D47E5E">
            <w:pPr>
              <w:rPr>
                <w:rFonts w:eastAsia="Times New Roman" w:cs="Calibri"/>
                <w:sz w:val="18"/>
                <w:szCs w:val="18"/>
                <w:lang w:eastAsia="ja-JP"/>
              </w:rPr>
            </w:pPr>
            <w:r w:rsidRPr="004E13E9">
              <w:rPr>
                <w:rFonts w:eastAsia="Times New Roman" w:cs="Calibri"/>
                <w:sz w:val="18"/>
                <w:szCs w:val="18"/>
                <w:lang w:eastAsia="ja-JP"/>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17B294D"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4CEC52DA"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213353E8"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4926B589"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6D0F22D5"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78B82BF4"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7B231B"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rPr>
              <w:t>0</w:t>
            </w:r>
          </w:p>
        </w:tc>
      </w:tr>
      <w:tr w:rsidR="007C1525" w:rsidRPr="004E13E9" w14:paraId="3EEEEC07"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044823EE" w14:textId="77777777" w:rsidR="007C1525" w:rsidRPr="004E13E9" w:rsidRDefault="007C1525" w:rsidP="00D47E5E">
            <w:pPr>
              <w:rPr>
                <w:rFonts w:eastAsia="Times New Roman" w:cs="Calibri"/>
                <w:sz w:val="18"/>
                <w:szCs w:val="18"/>
                <w:lang w:eastAsia="ja-JP"/>
              </w:rPr>
            </w:pPr>
            <w:r w:rsidRPr="004E13E9">
              <w:rPr>
                <w:rFonts w:eastAsia="Malgun Gothic"/>
                <w:kern w:val="2"/>
                <w:sz w:val="18"/>
                <w:szCs w:val="18"/>
                <w:lang w:eastAsia="ko-KR"/>
                <w14:ligatures w14:val="standardContextual"/>
              </w:rPr>
              <w:t>Madrague</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5E97123D"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130</w:t>
            </w:r>
          </w:p>
        </w:tc>
        <w:tc>
          <w:tcPr>
            <w:tcW w:w="830" w:type="dxa"/>
            <w:tcBorders>
              <w:top w:val="single" w:sz="4" w:space="0" w:color="auto"/>
              <w:left w:val="single" w:sz="4" w:space="0" w:color="auto"/>
              <w:bottom w:val="single" w:sz="4" w:space="0" w:color="auto"/>
              <w:right w:val="single" w:sz="4" w:space="0" w:color="auto"/>
            </w:tcBorders>
            <w:vAlign w:val="center"/>
            <w:hideMark/>
          </w:tcPr>
          <w:p w14:paraId="64A39183"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7212493F"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674" w:type="dxa"/>
            <w:tcBorders>
              <w:top w:val="single" w:sz="4" w:space="0" w:color="auto"/>
              <w:left w:val="single" w:sz="4" w:space="0" w:color="auto"/>
              <w:bottom w:val="single" w:sz="4" w:space="0" w:color="auto"/>
              <w:right w:val="single" w:sz="4" w:space="0" w:color="auto"/>
            </w:tcBorders>
            <w:vAlign w:val="center"/>
            <w:hideMark/>
          </w:tcPr>
          <w:p w14:paraId="4290DCFD"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4A7AAD5A"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5F592E8F"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7B5C0E1F"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1596A3DD"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6"/>
                <w:szCs w:val="16"/>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F191EA4" w14:textId="77777777" w:rsidR="007C1525" w:rsidRPr="004E13E9" w:rsidRDefault="007C1525" w:rsidP="00D47E5E">
            <w:pPr>
              <w:rPr>
                <w:rFonts w:eastAsia="Times New Roman" w:cs="Calibri"/>
                <w:b/>
                <w:bCs/>
                <w:sz w:val="18"/>
                <w:szCs w:val="18"/>
                <w:lang w:eastAsia="ja-JP"/>
              </w:rPr>
            </w:pPr>
            <w:r w:rsidRPr="004E13E9">
              <w:rPr>
                <w:rFonts w:eastAsia="Times New Roman" w:cs="Calibri"/>
                <w:b/>
                <w:bCs/>
                <w:sz w:val="18"/>
                <w:szCs w:val="18"/>
                <w:lang w:eastAsia="ja-JP"/>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11B94CC0"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0CC22D0E"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10473A9F"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17A092A6"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sz w:val="16"/>
                <w:szCs w:val="16"/>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06269637"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115D8065"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sz w:val="16"/>
                <w:szCs w:val="16"/>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134FF3"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sz w:val="16"/>
                <w:szCs w:val="16"/>
              </w:rPr>
              <w:t>0</w:t>
            </w:r>
          </w:p>
        </w:tc>
      </w:tr>
      <w:tr w:rsidR="007C1525" w:rsidRPr="004E13E9" w14:paraId="290A9884"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vAlign w:val="center"/>
            <w:hideMark/>
          </w:tcPr>
          <w:p w14:paraId="6EE19EB5" w14:textId="77777777" w:rsidR="007C1525" w:rsidRPr="004E13E9" w:rsidRDefault="007C1525" w:rsidP="00D47E5E">
            <w:pPr>
              <w:rPr>
                <w:rFonts w:eastAsia="Times New Roman" w:cs="Calibri"/>
                <w:sz w:val="18"/>
                <w:szCs w:val="18"/>
                <w:lang w:eastAsia="ja-JP"/>
              </w:rPr>
            </w:pPr>
            <w:r w:rsidRPr="004E13E9">
              <w:rPr>
                <w:rFonts w:eastAsia="Malgun Gothic"/>
                <w:kern w:val="2"/>
                <w:sz w:val="18"/>
                <w:szCs w:val="18"/>
                <w:lang w:eastAsia="ko-KR"/>
                <w14:ligatures w14:val="standardContextual"/>
              </w:rPr>
              <w:t xml:space="preserve">Petits </w:t>
            </w:r>
            <w:proofErr w:type="spellStart"/>
            <w:r w:rsidRPr="004E13E9">
              <w:rPr>
                <w:rFonts w:eastAsia="Malgun Gothic"/>
                <w:kern w:val="2"/>
                <w:sz w:val="18"/>
                <w:szCs w:val="18"/>
                <w:lang w:eastAsia="ko-KR"/>
                <w14:ligatures w14:val="standardContextual"/>
              </w:rPr>
              <w:t>navires</w:t>
            </w:r>
            <w:proofErr w:type="spellEnd"/>
            <w:r w:rsidRPr="004E13E9">
              <w:rPr>
                <w:rFonts w:eastAsia="Malgun Gothic"/>
                <w:kern w:val="2"/>
                <w:sz w:val="18"/>
                <w:szCs w:val="18"/>
                <w:lang w:eastAsia="ko-KR"/>
                <w14:ligatures w14:val="standardContextual"/>
              </w:rPr>
              <w:t xml:space="preserve"> côtiers </w:t>
            </w:r>
            <w:r w:rsidRPr="004E13E9">
              <w:rPr>
                <w:rFonts w:eastAsia="Malgun Gothic"/>
                <w:kern w:val="2"/>
                <w:sz w:val="18"/>
                <w:szCs w:val="18"/>
                <w:vertAlign w:val="superscript"/>
                <w:lang w:eastAsia="ko-KR"/>
                <w14:ligatures w14:val="standardContextual"/>
              </w:rPr>
              <w:t>4</w:t>
            </w:r>
            <w:r w:rsidRPr="004E13E9">
              <w:rPr>
                <w:rFonts w:eastAsia="Malgun Gothic"/>
                <w:kern w:val="2"/>
                <w:sz w:val="18"/>
                <w:szCs w:val="18"/>
                <w:lang w:eastAsia="ko-KR"/>
                <w14:ligatures w14:val="standardContextual"/>
              </w:rPr>
              <w:t xml:space="preserve"> </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6092819C"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N/A</w:t>
            </w:r>
          </w:p>
        </w:tc>
        <w:tc>
          <w:tcPr>
            <w:tcW w:w="830" w:type="dxa"/>
            <w:tcBorders>
              <w:top w:val="single" w:sz="4" w:space="0" w:color="auto"/>
              <w:left w:val="single" w:sz="4" w:space="0" w:color="auto"/>
              <w:bottom w:val="single" w:sz="4" w:space="0" w:color="auto"/>
              <w:right w:val="single" w:sz="4" w:space="0" w:color="auto"/>
            </w:tcBorders>
            <w:vAlign w:val="center"/>
          </w:tcPr>
          <w:p w14:paraId="6F832140" w14:textId="77777777" w:rsidR="007C1525" w:rsidRPr="004E13E9" w:rsidRDefault="007C1525" w:rsidP="00D47E5E">
            <w:pPr>
              <w:jc w:val="center"/>
              <w:rPr>
                <w:rFonts w:eastAsia="Times New Roman" w:cs="Calibri"/>
                <w:b/>
                <w:bCs/>
                <w:sz w:val="18"/>
                <w:szCs w:val="18"/>
                <w:lang w:eastAsia="ja-JP"/>
              </w:rPr>
            </w:pP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149F7D74" w14:textId="77777777" w:rsidR="007C1525" w:rsidRPr="004E13E9" w:rsidRDefault="007C1525" w:rsidP="00D47E5E">
            <w:pPr>
              <w:jc w:val="center"/>
              <w:rPr>
                <w:rFonts w:eastAsia="Times New Roman" w:cs="Calibri"/>
                <w:b/>
                <w:bCs/>
                <w:sz w:val="18"/>
                <w:szCs w:val="18"/>
                <w:lang w:eastAsia="ja-JP"/>
              </w:rPr>
            </w:pPr>
          </w:p>
        </w:tc>
        <w:tc>
          <w:tcPr>
            <w:tcW w:w="674" w:type="dxa"/>
            <w:tcBorders>
              <w:top w:val="single" w:sz="4" w:space="0" w:color="auto"/>
              <w:left w:val="single" w:sz="4" w:space="0" w:color="auto"/>
              <w:bottom w:val="single" w:sz="4" w:space="0" w:color="auto"/>
              <w:right w:val="single" w:sz="4" w:space="0" w:color="auto"/>
            </w:tcBorders>
            <w:vAlign w:val="center"/>
            <w:hideMark/>
          </w:tcPr>
          <w:p w14:paraId="459C7F84" w14:textId="77777777" w:rsidR="007C1525" w:rsidRPr="004E13E9" w:rsidRDefault="007C1525" w:rsidP="00D47E5E">
            <w:pPr>
              <w:jc w:val="center"/>
              <w:rPr>
                <w:rFonts w:eastAsia="Times New Roman" w:cs="Calibri"/>
                <w:b/>
                <w:bCs/>
                <w:sz w:val="18"/>
                <w:szCs w:val="18"/>
                <w:lang w:eastAsia="ja-JP"/>
              </w:rPr>
            </w:pPr>
          </w:p>
        </w:tc>
        <w:tc>
          <w:tcPr>
            <w:tcW w:w="706" w:type="dxa"/>
            <w:tcBorders>
              <w:top w:val="single" w:sz="4" w:space="0" w:color="auto"/>
              <w:left w:val="single" w:sz="4" w:space="0" w:color="auto"/>
              <w:bottom w:val="single" w:sz="4" w:space="0" w:color="auto"/>
              <w:right w:val="single" w:sz="4" w:space="0" w:color="auto"/>
            </w:tcBorders>
            <w:vAlign w:val="center"/>
            <w:hideMark/>
          </w:tcPr>
          <w:p w14:paraId="1FD4C385" w14:textId="77777777" w:rsidR="007C1525" w:rsidRPr="004E13E9" w:rsidRDefault="007C1525" w:rsidP="00D47E5E">
            <w:pPr>
              <w:jc w:val="center"/>
              <w:rPr>
                <w:rFonts w:eastAsia="Times New Roman" w:cs="Calibri"/>
                <w:b/>
                <w:bCs/>
                <w:sz w:val="18"/>
                <w:szCs w:val="18"/>
                <w:lang w:val="en-GB" w:eastAsia="ja-JP"/>
              </w:rPr>
            </w:pPr>
          </w:p>
        </w:tc>
        <w:tc>
          <w:tcPr>
            <w:tcW w:w="615" w:type="dxa"/>
            <w:tcBorders>
              <w:top w:val="single" w:sz="4" w:space="0" w:color="auto"/>
              <w:left w:val="single" w:sz="4" w:space="0" w:color="auto"/>
              <w:bottom w:val="single" w:sz="4" w:space="0" w:color="auto"/>
              <w:right w:val="single" w:sz="4" w:space="0" w:color="auto"/>
            </w:tcBorders>
            <w:vAlign w:val="center"/>
            <w:hideMark/>
          </w:tcPr>
          <w:p w14:paraId="405D939E" w14:textId="77777777" w:rsidR="007C1525" w:rsidRPr="004E13E9" w:rsidRDefault="007C1525" w:rsidP="00D47E5E">
            <w:pPr>
              <w:jc w:val="center"/>
              <w:rPr>
                <w:rFonts w:eastAsia="Times New Roman" w:cs="Calibri"/>
                <w:b/>
                <w:bCs/>
                <w:sz w:val="18"/>
                <w:szCs w:val="18"/>
                <w:lang w:eastAsia="ja-JP"/>
              </w:rPr>
            </w:pPr>
          </w:p>
        </w:tc>
        <w:tc>
          <w:tcPr>
            <w:tcW w:w="615" w:type="dxa"/>
            <w:tcBorders>
              <w:top w:val="single" w:sz="4" w:space="0" w:color="auto"/>
              <w:left w:val="single" w:sz="4" w:space="0" w:color="auto"/>
              <w:bottom w:val="single" w:sz="4" w:space="0" w:color="auto"/>
              <w:right w:val="single" w:sz="4" w:space="0" w:color="auto"/>
            </w:tcBorders>
            <w:vAlign w:val="center"/>
          </w:tcPr>
          <w:p w14:paraId="60F4E71E" w14:textId="77777777" w:rsidR="007C1525" w:rsidRPr="004E13E9" w:rsidRDefault="007C1525" w:rsidP="00D47E5E">
            <w:pPr>
              <w:jc w:val="center"/>
              <w:rPr>
                <w:rFonts w:eastAsia="Times New Roman" w:cs="Calibri"/>
                <w:b/>
                <w:bCs/>
                <w:sz w:val="18"/>
                <w:szCs w:val="18"/>
                <w:lang w:eastAsia="ja-JP"/>
              </w:rPr>
            </w:pPr>
          </w:p>
        </w:tc>
        <w:tc>
          <w:tcPr>
            <w:tcW w:w="623" w:type="dxa"/>
            <w:tcBorders>
              <w:top w:val="single" w:sz="4" w:space="0" w:color="auto"/>
              <w:left w:val="single" w:sz="4" w:space="0" w:color="auto"/>
              <w:bottom w:val="single" w:sz="4" w:space="0" w:color="auto"/>
              <w:right w:val="single" w:sz="4" w:space="0" w:color="auto"/>
            </w:tcBorders>
            <w:vAlign w:val="center"/>
          </w:tcPr>
          <w:p w14:paraId="2E53581F" w14:textId="77777777" w:rsidR="007C1525" w:rsidRPr="004E13E9" w:rsidRDefault="007C1525" w:rsidP="00D47E5E">
            <w:pPr>
              <w:jc w:val="center"/>
              <w:rPr>
                <w:rFonts w:eastAsia="Times New Roman" w:cs="Calibri"/>
                <w:sz w:val="18"/>
                <w:szCs w:val="18"/>
                <w:lang w:eastAsia="ja-JP"/>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E685828" w14:textId="77777777" w:rsidR="007C1525" w:rsidRPr="004E13E9" w:rsidRDefault="007C1525" w:rsidP="00D47E5E">
            <w:pPr>
              <w:rPr>
                <w:rFonts w:eastAsia="Times New Roman" w:cs="Calibri"/>
                <w:b/>
                <w:bCs/>
                <w:sz w:val="18"/>
                <w:szCs w:val="18"/>
                <w:lang w:eastAsia="ja-JP"/>
              </w:rPr>
            </w:pPr>
            <w:r w:rsidRPr="004E13E9">
              <w:rPr>
                <w:rFonts w:eastAsia="Times New Roman" w:cs="Calibri"/>
                <w:b/>
                <w:bCs/>
                <w:sz w:val="18"/>
                <w:szCs w:val="18"/>
                <w:lang w:eastAsia="ja-JP"/>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140AC788" w14:textId="77777777" w:rsidR="007C1525" w:rsidRPr="004E13E9" w:rsidRDefault="007C1525" w:rsidP="00D47E5E">
            <w:pPr>
              <w:jc w:val="center"/>
              <w:rPr>
                <w:rFonts w:eastAsia="Times New Roman" w:cs="Calibri"/>
                <w:b/>
                <w:bCs/>
                <w:sz w:val="18"/>
                <w:szCs w:val="18"/>
                <w:lang w:eastAsia="ja-JP"/>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C956D71" w14:textId="77777777" w:rsidR="007C1525" w:rsidRPr="004E13E9" w:rsidRDefault="007C1525" w:rsidP="00D47E5E">
            <w:pPr>
              <w:jc w:val="center"/>
              <w:rPr>
                <w:rFonts w:eastAsia="Times New Roman" w:cs="Calibri"/>
                <w:b/>
                <w:bCs/>
                <w:sz w:val="18"/>
                <w:szCs w:val="18"/>
                <w:lang w:eastAsia="ja-JP"/>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0B947B5E" w14:textId="77777777" w:rsidR="007C1525" w:rsidRPr="004E13E9" w:rsidRDefault="007C1525" w:rsidP="00D47E5E">
            <w:pPr>
              <w:jc w:val="center"/>
              <w:rPr>
                <w:rFonts w:eastAsia="Times New Roman" w:cs="Calibri"/>
                <w:b/>
                <w:bCs/>
                <w:sz w:val="16"/>
                <w:szCs w:val="16"/>
                <w:lang w:eastAsia="ja-JP"/>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5A4D8D9A" w14:textId="77777777" w:rsidR="007C1525" w:rsidRPr="004E13E9" w:rsidRDefault="007C1525" w:rsidP="00D47E5E">
            <w:pPr>
              <w:jc w:val="center"/>
              <w:rPr>
                <w:rFonts w:eastAsia="Times New Roman" w:cs="Calibri"/>
                <w:b/>
                <w:bCs/>
                <w:sz w:val="16"/>
                <w:szCs w:val="16"/>
                <w:lang w:val="en-GB" w:eastAsia="ja-JP"/>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6C3E3F95" w14:textId="77777777" w:rsidR="007C1525" w:rsidRPr="004E13E9" w:rsidRDefault="007C1525" w:rsidP="00D47E5E">
            <w:pPr>
              <w:jc w:val="center"/>
              <w:rPr>
                <w:rFonts w:eastAsia="Times New Roman" w:cs="Calibri"/>
                <w:b/>
                <w:bCs/>
                <w:sz w:val="16"/>
                <w:szCs w:val="16"/>
                <w:lang w:eastAsia="ja-JP"/>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2B1A33E3" w14:textId="77777777" w:rsidR="007C1525" w:rsidRPr="004E13E9" w:rsidRDefault="007C1525" w:rsidP="00D47E5E">
            <w:pPr>
              <w:jc w:val="center"/>
              <w:rPr>
                <w:rFonts w:eastAsia="Times New Roman" w:cs="Calibri"/>
                <w:b/>
                <w:bCs/>
                <w:sz w:val="16"/>
                <w:szCs w:val="16"/>
                <w:lang w:eastAsia="ja-JP"/>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7454F94" w14:textId="77777777" w:rsidR="007C1525" w:rsidRPr="004E13E9" w:rsidRDefault="007C1525" w:rsidP="00D47E5E">
            <w:pPr>
              <w:jc w:val="center"/>
              <w:rPr>
                <w:rFonts w:eastAsia="Times New Roman" w:cs="Calibri"/>
                <w:b/>
                <w:bCs/>
                <w:sz w:val="16"/>
                <w:szCs w:val="16"/>
                <w:lang w:eastAsia="ja-JP"/>
              </w:rPr>
            </w:pPr>
          </w:p>
        </w:tc>
      </w:tr>
      <w:tr w:rsidR="007C1525" w:rsidRPr="004E13E9" w14:paraId="35719CF8"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vAlign w:val="center"/>
            <w:hideMark/>
          </w:tcPr>
          <w:p w14:paraId="1689B8D4" w14:textId="77777777" w:rsidR="007C1525" w:rsidRPr="004E13E9" w:rsidRDefault="007C1525" w:rsidP="00D47E5E">
            <w:pPr>
              <w:rPr>
                <w:rFonts w:eastAsia="Times New Roman" w:cs="Calibri"/>
                <w:sz w:val="18"/>
                <w:szCs w:val="18"/>
                <w:lang w:eastAsia="ja-JP"/>
              </w:rPr>
            </w:pPr>
            <w:proofErr w:type="spellStart"/>
            <w:r w:rsidRPr="004E13E9">
              <w:rPr>
                <w:rFonts w:eastAsia="Malgun Gothic"/>
                <w:kern w:val="2"/>
                <w:sz w:val="18"/>
                <w:szCs w:val="18"/>
                <w:lang w:eastAsia="ko-KR"/>
                <w14:ligatures w14:val="standardContextual"/>
              </w:rPr>
              <w:t>Autre</w:t>
            </w:r>
            <w:proofErr w:type="spellEnd"/>
            <w:r w:rsidRPr="004E13E9">
              <w:rPr>
                <w:rFonts w:eastAsia="Malgun Gothic"/>
                <w:kern w:val="2"/>
                <w:sz w:val="18"/>
                <w:szCs w:val="18"/>
                <w:lang w:eastAsia="ko-KR"/>
                <w14:ligatures w14:val="standardContextual"/>
              </w:rPr>
              <w:t xml:space="preserve"> (à </w:t>
            </w:r>
            <w:proofErr w:type="spellStart"/>
            <w:r w:rsidRPr="004E13E9">
              <w:rPr>
                <w:rFonts w:eastAsia="Malgun Gothic"/>
                <w:kern w:val="2"/>
                <w:sz w:val="18"/>
                <w:szCs w:val="18"/>
                <w:lang w:eastAsia="ko-KR"/>
                <w14:ligatures w14:val="standardContextual"/>
              </w:rPr>
              <w:t>préciser</w:t>
            </w:r>
            <w:proofErr w:type="spellEnd"/>
            <w:r w:rsidRPr="004E13E9">
              <w:rPr>
                <w:rFonts w:eastAsia="Malgun Gothic"/>
                <w:kern w:val="2"/>
                <w:sz w:val="18"/>
                <w:szCs w:val="18"/>
                <w:lang w:eastAsia="ko-KR"/>
                <w14:ligatures w14:val="standardContextual"/>
              </w:rPr>
              <w:t>)</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3C844B52"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5</w:t>
            </w:r>
          </w:p>
        </w:tc>
        <w:tc>
          <w:tcPr>
            <w:tcW w:w="830" w:type="dxa"/>
            <w:tcBorders>
              <w:top w:val="single" w:sz="4" w:space="0" w:color="auto"/>
              <w:left w:val="single" w:sz="4" w:space="0" w:color="auto"/>
              <w:bottom w:val="single" w:sz="4" w:space="0" w:color="auto"/>
              <w:right w:val="single" w:sz="4" w:space="0" w:color="auto"/>
            </w:tcBorders>
            <w:vAlign w:val="center"/>
          </w:tcPr>
          <w:p w14:paraId="3A4A6C5F" w14:textId="77777777" w:rsidR="007C1525" w:rsidRPr="004E13E9" w:rsidRDefault="007C1525" w:rsidP="00D47E5E">
            <w:pPr>
              <w:jc w:val="center"/>
              <w:rPr>
                <w:rFonts w:eastAsia="Times New Roman" w:cs="Calibri"/>
                <w:b/>
                <w:bCs/>
                <w:sz w:val="18"/>
                <w:szCs w:val="18"/>
                <w:lang w:eastAsia="ja-JP"/>
              </w:rPr>
            </w:pP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542C3B59" w14:textId="77777777" w:rsidR="007C1525" w:rsidRPr="004E13E9" w:rsidRDefault="007C1525" w:rsidP="00D47E5E">
            <w:pPr>
              <w:jc w:val="center"/>
              <w:rPr>
                <w:rFonts w:eastAsia="Times New Roman" w:cs="Calibri"/>
                <w:b/>
                <w:bCs/>
                <w:sz w:val="18"/>
                <w:szCs w:val="18"/>
                <w:lang w:eastAsia="ja-JP"/>
              </w:rPr>
            </w:pPr>
          </w:p>
        </w:tc>
        <w:tc>
          <w:tcPr>
            <w:tcW w:w="674" w:type="dxa"/>
            <w:tcBorders>
              <w:top w:val="single" w:sz="4" w:space="0" w:color="auto"/>
              <w:left w:val="single" w:sz="4" w:space="0" w:color="auto"/>
              <w:bottom w:val="single" w:sz="4" w:space="0" w:color="auto"/>
              <w:right w:val="single" w:sz="4" w:space="0" w:color="auto"/>
            </w:tcBorders>
            <w:vAlign w:val="center"/>
            <w:hideMark/>
          </w:tcPr>
          <w:p w14:paraId="3FEDA012" w14:textId="77777777" w:rsidR="007C1525" w:rsidRPr="004E13E9" w:rsidRDefault="007C1525" w:rsidP="00D47E5E">
            <w:pPr>
              <w:jc w:val="center"/>
            </w:pPr>
          </w:p>
        </w:tc>
        <w:tc>
          <w:tcPr>
            <w:tcW w:w="706" w:type="dxa"/>
            <w:tcBorders>
              <w:top w:val="single" w:sz="4" w:space="0" w:color="auto"/>
              <w:left w:val="single" w:sz="4" w:space="0" w:color="auto"/>
              <w:bottom w:val="single" w:sz="4" w:space="0" w:color="auto"/>
              <w:right w:val="single" w:sz="4" w:space="0" w:color="auto"/>
            </w:tcBorders>
            <w:vAlign w:val="center"/>
            <w:hideMark/>
          </w:tcPr>
          <w:p w14:paraId="1A22AB1B" w14:textId="77777777" w:rsidR="007C1525" w:rsidRPr="004E13E9" w:rsidRDefault="007C1525" w:rsidP="00D47E5E">
            <w:pPr>
              <w:jc w:val="center"/>
              <w:rPr>
                <w:rFonts w:eastAsia="Times New Roman" w:cs="Calibri"/>
                <w:b/>
                <w:bCs/>
                <w:sz w:val="18"/>
                <w:szCs w:val="18"/>
                <w:lang w:val="en-GB" w:eastAsia="ja-JP"/>
              </w:rPr>
            </w:pPr>
          </w:p>
        </w:tc>
        <w:tc>
          <w:tcPr>
            <w:tcW w:w="615" w:type="dxa"/>
            <w:tcBorders>
              <w:top w:val="single" w:sz="4" w:space="0" w:color="auto"/>
              <w:left w:val="single" w:sz="4" w:space="0" w:color="auto"/>
              <w:bottom w:val="single" w:sz="4" w:space="0" w:color="auto"/>
              <w:right w:val="single" w:sz="4" w:space="0" w:color="auto"/>
            </w:tcBorders>
            <w:vAlign w:val="center"/>
            <w:hideMark/>
          </w:tcPr>
          <w:p w14:paraId="3F0AF91C" w14:textId="77777777" w:rsidR="007C1525" w:rsidRPr="004E13E9" w:rsidRDefault="007C1525" w:rsidP="00D47E5E">
            <w:pPr>
              <w:jc w:val="center"/>
              <w:rPr>
                <w:rFonts w:eastAsia="Times New Roman" w:cs="Calibri"/>
                <w:b/>
                <w:bCs/>
                <w:sz w:val="18"/>
                <w:szCs w:val="18"/>
                <w:lang w:eastAsia="ja-JP"/>
              </w:rPr>
            </w:pPr>
          </w:p>
        </w:tc>
        <w:tc>
          <w:tcPr>
            <w:tcW w:w="615" w:type="dxa"/>
            <w:tcBorders>
              <w:top w:val="single" w:sz="4" w:space="0" w:color="auto"/>
              <w:left w:val="single" w:sz="4" w:space="0" w:color="auto"/>
              <w:bottom w:val="single" w:sz="4" w:space="0" w:color="auto"/>
              <w:right w:val="single" w:sz="4" w:space="0" w:color="auto"/>
            </w:tcBorders>
            <w:vAlign w:val="center"/>
          </w:tcPr>
          <w:p w14:paraId="230379E5" w14:textId="77777777" w:rsidR="007C1525" w:rsidRPr="004E13E9" w:rsidRDefault="007C1525" w:rsidP="00D47E5E">
            <w:pPr>
              <w:jc w:val="center"/>
              <w:rPr>
                <w:rFonts w:eastAsia="Times New Roman" w:cs="Calibri"/>
                <w:b/>
                <w:bCs/>
                <w:sz w:val="18"/>
                <w:szCs w:val="18"/>
                <w:lang w:eastAsia="ja-JP"/>
              </w:rPr>
            </w:pPr>
          </w:p>
        </w:tc>
        <w:tc>
          <w:tcPr>
            <w:tcW w:w="623" w:type="dxa"/>
            <w:tcBorders>
              <w:top w:val="single" w:sz="4" w:space="0" w:color="auto"/>
              <w:left w:val="single" w:sz="4" w:space="0" w:color="auto"/>
              <w:bottom w:val="single" w:sz="4" w:space="0" w:color="auto"/>
              <w:right w:val="single" w:sz="4" w:space="0" w:color="auto"/>
            </w:tcBorders>
            <w:vAlign w:val="center"/>
          </w:tcPr>
          <w:p w14:paraId="57680E0C" w14:textId="77777777" w:rsidR="007C1525" w:rsidRPr="004E13E9" w:rsidRDefault="007C1525" w:rsidP="00D47E5E">
            <w:pPr>
              <w:jc w:val="center"/>
              <w:rPr>
                <w:rFonts w:eastAsia="Times New Roman" w:cs="Calibri"/>
                <w:sz w:val="18"/>
                <w:szCs w:val="18"/>
                <w:lang w:eastAsia="ja-JP"/>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EFC39E" w14:textId="77777777" w:rsidR="007C1525" w:rsidRPr="004E13E9" w:rsidRDefault="007C1525" w:rsidP="00D47E5E">
            <w:pPr>
              <w:rPr>
                <w:rFonts w:eastAsia="Times New Roman" w:cs="Calibri"/>
                <w:b/>
                <w:bCs/>
                <w:sz w:val="18"/>
                <w:szCs w:val="18"/>
                <w:lang w:eastAsia="ja-JP"/>
              </w:rPr>
            </w:pPr>
            <w:r w:rsidRPr="004E13E9">
              <w:rPr>
                <w:rFonts w:eastAsia="Times New Roman" w:cs="Calibri"/>
                <w:b/>
                <w:bCs/>
                <w:sz w:val="18"/>
                <w:szCs w:val="18"/>
                <w:lang w:eastAsia="ja-JP"/>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2305566"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1348EB18"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6F6FC4AB"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2DD8D9DF"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sz w:val="16"/>
                <w:szCs w:val="16"/>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732AFC54"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531F04D2"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sz w:val="16"/>
                <w:szCs w:val="16"/>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08D21D" w14:textId="77777777" w:rsidR="007C1525" w:rsidRPr="004E13E9" w:rsidRDefault="007C1525" w:rsidP="00D47E5E">
            <w:pPr>
              <w:jc w:val="center"/>
              <w:rPr>
                <w:rFonts w:eastAsia="Times New Roman" w:cs="Calibri"/>
                <w:b/>
                <w:bCs/>
                <w:sz w:val="16"/>
                <w:szCs w:val="16"/>
                <w:lang w:eastAsia="ja-JP"/>
              </w:rPr>
            </w:pPr>
            <w:r w:rsidRPr="004E13E9">
              <w:rPr>
                <w:rFonts w:eastAsia="Times New Roman" w:cs="Calibri"/>
                <w:sz w:val="16"/>
                <w:szCs w:val="16"/>
              </w:rPr>
              <w:t>0</w:t>
            </w:r>
          </w:p>
        </w:tc>
      </w:tr>
      <w:tr w:rsidR="007C1525" w:rsidRPr="004E13E9" w14:paraId="70ABE6DD"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629FA84A" w14:textId="77777777" w:rsidR="007C1525" w:rsidRPr="004E13E9" w:rsidRDefault="007C1525" w:rsidP="00D47E5E">
            <w:pPr>
              <w:rPr>
                <w:rFonts w:eastAsia="Times New Roman" w:cs="Calibri"/>
                <w:b/>
                <w:bCs/>
                <w:sz w:val="18"/>
                <w:szCs w:val="18"/>
                <w:lang w:val="fr-FR" w:eastAsia="ja-JP"/>
              </w:rPr>
            </w:pPr>
            <w:r w:rsidRPr="004E13E9">
              <w:rPr>
                <w:rFonts w:eastAsia="Malgun Gothic"/>
                <w:b/>
                <w:kern w:val="2"/>
                <w:sz w:val="18"/>
                <w:szCs w:val="18"/>
                <w:lang w:val="fr-FR" w:eastAsia="ko-KR"/>
                <w14:ligatures w14:val="standardContextual"/>
              </w:rPr>
              <w:t>Capacité totale de la flottille/de pêche*</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220802B0" w14:textId="77777777" w:rsidR="007C1525" w:rsidRPr="004E13E9" w:rsidRDefault="007C1525" w:rsidP="00D47E5E">
            <w:pPr>
              <w:jc w:val="right"/>
              <w:rPr>
                <w:rFonts w:eastAsia="Times New Roman" w:cs="Calibri"/>
                <w:sz w:val="18"/>
                <w:szCs w:val="18"/>
                <w:lang w:val="fr-FR" w:eastAsia="ja-JP"/>
              </w:rPr>
            </w:pPr>
            <w:r w:rsidRPr="004E13E9">
              <w:rPr>
                <w:rFonts w:eastAsia="Times New Roman" w:cs="Calibri"/>
                <w:sz w:val="18"/>
                <w:szCs w:val="18"/>
                <w:lang w:val="fr-FR" w:eastAsia="ja-JP"/>
              </w:rPr>
              <w:t> </w:t>
            </w:r>
          </w:p>
        </w:tc>
        <w:tc>
          <w:tcPr>
            <w:tcW w:w="830" w:type="dxa"/>
            <w:tcBorders>
              <w:top w:val="single" w:sz="4" w:space="0" w:color="auto"/>
              <w:left w:val="single" w:sz="4" w:space="0" w:color="auto"/>
              <w:bottom w:val="single" w:sz="4" w:space="0" w:color="auto"/>
              <w:right w:val="single" w:sz="4" w:space="0" w:color="auto"/>
            </w:tcBorders>
            <w:vAlign w:val="center"/>
            <w:hideMark/>
          </w:tcPr>
          <w:p w14:paraId="285BF1AE"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42</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6A536E95"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42</w:t>
            </w:r>
          </w:p>
        </w:tc>
        <w:tc>
          <w:tcPr>
            <w:tcW w:w="674" w:type="dxa"/>
            <w:tcBorders>
              <w:top w:val="single" w:sz="4" w:space="0" w:color="auto"/>
              <w:left w:val="single" w:sz="4" w:space="0" w:color="auto"/>
              <w:bottom w:val="single" w:sz="4" w:space="0" w:color="auto"/>
              <w:right w:val="single" w:sz="4" w:space="0" w:color="auto"/>
            </w:tcBorders>
            <w:vAlign w:val="center"/>
            <w:hideMark/>
          </w:tcPr>
          <w:p w14:paraId="1DC64A2F"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37</w:t>
            </w:r>
          </w:p>
        </w:tc>
        <w:tc>
          <w:tcPr>
            <w:tcW w:w="706" w:type="dxa"/>
            <w:tcBorders>
              <w:top w:val="single" w:sz="4" w:space="0" w:color="auto"/>
              <w:left w:val="single" w:sz="4" w:space="0" w:color="auto"/>
              <w:bottom w:val="single" w:sz="4" w:space="0" w:color="auto"/>
              <w:right w:val="single" w:sz="4" w:space="0" w:color="auto"/>
            </w:tcBorders>
            <w:vAlign w:val="center"/>
            <w:hideMark/>
          </w:tcPr>
          <w:p w14:paraId="5B18B0CF"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54</w:t>
            </w:r>
          </w:p>
        </w:tc>
        <w:tc>
          <w:tcPr>
            <w:tcW w:w="615" w:type="dxa"/>
            <w:tcBorders>
              <w:top w:val="single" w:sz="4" w:space="0" w:color="auto"/>
              <w:left w:val="single" w:sz="4" w:space="0" w:color="auto"/>
              <w:bottom w:val="single" w:sz="4" w:space="0" w:color="auto"/>
              <w:right w:val="single" w:sz="4" w:space="0" w:color="auto"/>
            </w:tcBorders>
            <w:vAlign w:val="center"/>
            <w:hideMark/>
          </w:tcPr>
          <w:p w14:paraId="5D43D6D4"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54</w:t>
            </w:r>
          </w:p>
        </w:tc>
        <w:tc>
          <w:tcPr>
            <w:tcW w:w="615" w:type="dxa"/>
            <w:tcBorders>
              <w:top w:val="single" w:sz="4" w:space="0" w:color="auto"/>
              <w:left w:val="single" w:sz="4" w:space="0" w:color="auto"/>
              <w:bottom w:val="single" w:sz="4" w:space="0" w:color="auto"/>
              <w:right w:val="single" w:sz="4" w:space="0" w:color="auto"/>
            </w:tcBorders>
            <w:vAlign w:val="center"/>
            <w:hideMark/>
          </w:tcPr>
          <w:p w14:paraId="0E9576DC" w14:textId="77777777" w:rsidR="007C1525" w:rsidRPr="004E13E9" w:rsidRDefault="007C1525" w:rsidP="00D47E5E">
            <w:pPr>
              <w:jc w:val="center"/>
              <w:rPr>
                <w:rFonts w:eastAsia="Times New Roman" w:cs="Calibri"/>
                <w:b/>
                <w:bCs/>
                <w:sz w:val="18"/>
                <w:szCs w:val="18"/>
                <w:lang w:eastAsia="ja-JP"/>
              </w:rPr>
            </w:pPr>
            <w:r w:rsidRPr="004E13E9">
              <w:rPr>
                <w:rFonts w:eastAsia="Times New Roman" w:cs="Calibri"/>
                <w:b/>
                <w:bCs/>
                <w:sz w:val="16"/>
                <w:szCs w:val="16"/>
              </w:rPr>
              <w:t>68</w:t>
            </w:r>
          </w:p>
        </w:tc>
        <w:tc>
          <w:tcPr>
            <w:tcW w:w="623" w:type="dxa"/>
            <w:tcBorders>
              <w:top w:val="single" w:sz="4" w:space="0" w:color="auto"/>
              <w:left w:val="single" w:sz="4" w:space="0" w:color="auto"/>
              <w:bottom w:val="single" w:sz="4" w:space="0" w:color="auto"/>
              <w:right w:val="single" w:sz="4" w:space="0" w:color="auto"/>
            </w:tcBorders>
            <w:vAlign w:val="center"/>
            <w:hideMark/>
          </w:tcPr>
          <w:p w14:paraId="16FD825B"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sz w:val="18"/>
                <w:szCs w:val="18"/>
                <w:lang w:eastAsia="ja-JP"/>
              </w:rPr>
              <w:t>76</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67EABE3" w14:textId="77777777" w:rsidR="007C1525" w:rsidRPr="004E13E9" w:rsidRDefault="007C1525" w:rsidP="00D47E5E">
            <w:pPr>
              <w:rPr>
                <w:rFonts w:eastAsia="Times New Roman" w:cs="Calibri"/>
                <w:b/>
                <w:bCs/>
                <w:sz w:val="18"/>
                <w:szCs w:val="18"/>
                <w:lang w:eastAsia="ja-JP"/>
              </w:rPr>
            </w:pPr>
            <w:r w:rsidRPr="004E13E9">
              <w:rPr>
                <w:rFonts w:eastAsia="Times New Roman" w:cs="Calibri"/>
                <w:b/>
                <w:bCs/>
                <w:sz w:val="18"/>
                <w:szCs w:val="18"/>
                <w:lang w:eastAsia="ja-JP"/>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1494DA3E" w14:textId="77777777" w:rsidR="007C1525" w:rsidRPr="004E13E9" w:rsidRDefault="007C1525" w:rsidP="00D47E5E">
            <w:pPr>
              <w:rPr>
                <w:rFonts w:eastAsia="Times New Roman" w:cs="Calibri"/>
                <w:b/>
                <w:bCs/>
                <w:sz w:val="14"/>
                <w:szCs w:val="14"/>
                <w:lang w:eastAsia="ja-JP"/>
              </w:rPr>
            </w:pPr>
            <w:r w:rsidRPr="004E13E9">
              <w:rPr>
                <w:rFonts w:eastAsia="Times New Roman" w:cs="Calibri"/>
                <w:b/>
                <w:bCs/>
                <w:sz w:val="14"/>
                <w:szCs w:val="14"/>
              </w:rPr>
              <w:t>1809,300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2D852789" w14:textId="77777777" w:rsidR="007C1525" w:rsidRPr="004E13E9" w:rsidRDefault="007C1525" w:rsidP="00D47E5E">
            <w:pPr>
              <w:rPr>
                <w:rFonts w:eastAsia="Times New Roman" w:cs="Calibri"/>
                <w:b/>
                <w:bCs/>
                <w:sz w:val="14"/>
                <w:szCs w:val="14"/>
                <w:lang w:eastAsia="ja-JP"/>
              </w:rPr>
            </w:pPr>
            <w:r w:rsidRPr="004E13E9">
              <w:rPr>
                <w:rFonts w:eastAsia="Times New Roman" w:cs="Calibri"/>
                <w:b/>
                <w:bCs/>
                <w:sz w:val="14"/>
                <w:szCs w:val="14"/>
              </w:rPr>
              <w:t>1809,300</w:t>
            </w:r>
          </w:p>
        </w:tc>
        <w:tc>
          <w:tcPr>
            <w:tcW w:w="993" w:type="dxa"/>
            <w:tcBorders>
              <w:top w:val="single" w:sz="4" w:space="0" w:color="auto"/>
              <w:left w:val="single" w:sz="4" w:space="0" w:color="auto"/>
              <w:bottom w:val="single" w:sz="4" w:space="0" w:color="auto"/>
              <w:right w:val="single" w:sz="4" w:space="0" w:color="auto"/>
            </w:tcBorders>
            <w:vAlign w:val="center"/>
            <w:hideMark/>
          </w:tcPr>
          <w:p w14:paraId="684A7049" w14:textId="77777777" w:rsidR="007C1525" w:rsidRPr="004E13E9" w:rsidRDefault="007C1525" w:rsidP="00D47E5E">
            <w:pPr>
              <w:rPr>
                <w:rFonts w:eastAsia="Times New Roman" w:cs="Calibri"/>
                <w:b/>
                <w:bCs/>
                <w:sz w:val="16"/>
                <w:szCs w:val="16"/>
                <w:lang w:eastAsia="ja-JP"/>
              </w:rPr>
            </w:pPr>
            <w:r w:rsidRPr="004E13E9">
              <w:rPr>
                <w:rFonts w:eastAsia="Times New Roman" w:cs="Calibri"/>
                <w:b/>
                <w:bCs/>
                <w:sz w:val="16"/>
                <w:szCs w:val="16"/>
              </w:rPr>
              <w:t>1713,06</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AC27F3C" w14:textId="77777777" w:rsidR="007C1525" w:rsidRPr="004E13E9" w:rsidRDefault="007C1525" w:rsidP="00D47E5E">
            <w:pPr>
              <w:rPr>
                <w:rFonts w:eastAsia="Times New Roman" w:cs="Calibri"/>
                <w:b/>
                <w:bCs/>
                <w:sz w:val="14"/>
                <w:szCs w:val="14"/>
                <w:lang w:eastAsia="ja-JP"/>
              </w:rPr>
            </w:pPr>
            <w:r w:rsidRPr="004E13E9">
              <w:rPr>
                <w:rFonts w:eastAsia="Times New Roman" w:cs="Calibri"/>
                <w:b/>
                <w:bCs/>
                <w:sz w:val="14"/>
                <w:szCs w:val="14"/>
              </w:rPr>
              <w:t>2366,120</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297C4B0" w14:textId="77777777" w:rsidR="007C1525" w:rsidRPr="004E13E9" w:rsidRDefault="007C1525" w:rsidP="00D47E5E">
            <w:pPr>
              <w:rPr>
                <w:rFonts w:eastAsia="Times New Roman" w:cs="Calibri"/>
                <w:b/>
                <w:bCs/>
                <w:sz w:val="16"/>
                <w:szCs w:val="16"/>
                <w:lang w:eastAsia="ja-JP"/>
              </w:rPr>
            </w:pPr>
            <w:r w:rsidRPr="004E13E9">
              <w:rPr>
                <w:rFonts w:eastAsia="Times New Roman" w:cs="Calibri"/>
                <w:b/>
                <w:bCs/>
                <w:sz w:val="16"/>
                <w:szCs w:val="16"/>
              </w:rPr>
              <w:t>2543,220</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73616E00" w14:textId="77777777" w:rsidR="007C1525" w:rsidRPr="004E13E9" w:rsidRDefault="007C1525" w:rsidP="00D47E5E">
            <w:pPr>
              <w:rPr>
                <w:rFonts w:eastAsia="Times New Roman" w:cs="Calibri"/>
                <w:b/>
                <w:bCs/>
                <w:sz w:val="16"/>
                <w:szCs w:val="16"/>
                <w:lang w:eastAsia="ja-JP"/>
              </w:rPr>
            </w:pPr>
            <w:r w:rsidRPr="004E13E9">
              <w:rPr>
                <w:rFonts w:eastAsia="Times New Roman" w:cs="Calibri"/>
                <w:b/>
                <w:bCs/>
                <w:sz w:val="16"/>
                <w:szCs w:val="16"/>
              </w:rPr>
              <w:t>2966,440</w:t>
            </w:r>
          </w:p>
        </w:tc>
        <w:tc>
          <w:tcPr>
            <w:tcW w:w="1134" w:type="dxa"/>
            <w:tcBorders>
              <w:top w:val="single" w:sz="4" w:space="0" w:color="auto"/>
              <w:left w:val="single" w:sz="4" w:space="0" w:color="auto"/>
              <w:bottom w:val="single" w:sz="4" w:space="0" w:color="auto"/>
              <w:right w:val="single" w:sz="4" w:space="0" w:color="auto"/>
            </w:tcBorders>
            <w:vAlign w:val="center"/>
          </w:tcPr>
          <w:p w14:paraId="7BC5DC93" w14:textId="77777777" w:rsidR="007C1525" w:rsidRPr="004E13E9" w:rsidRDefault="007C1525" w:rsidP="00D47E5E">
            <w:pPr>
              <w:rPr>
                <w:rFonts w:eastAsia="Times New Roman" w:cs="Calibri"/>
                <w:b/>
                <w:bCs/>
                <w:sz w:val="16"/>
                <w:szCs w:val="16"/>
                <w:lang w:eastAsia="ja-JP"/>
              </w:rPr>
            </w:pPr>
            <w:r w:rsidRPr="004E13E9">
              <w:rPr>
                <w:rFonts w:eastAsia="Times New Roman" w:cs="Calibri"/>
                <w:b/>
                <w:bCs/>
                <w:sz w:val="16"/>
                <w:szCs w:val="16"/>
                <w:lang w:eastAsia="ja-JP"/>
              </w:rPr>
              <w:t>3364,68</w:t>
            </w:r>
          </w:p>
        </w:tc>
      </w:tr>
      <w:tr w:rsidR="007C1525" w:rsidRPr="004E13E9" w14:paraId="33925965"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DC4A90B" w14:textId="77777777" w:rsidR="007C1525" w:rsidRPr="004E13E9" w:rsidRDefault="007C1525" w:rsidP="00D47E5E">
            <w:pPr>
              <w:rPr>
                <w:rFonts w:eastAsia="Times New Roman" w:cs="Calibri"/>
                <w:b/>
                <w:bCs/>
                <w:sz w:val="18"/>
                <w:szCs w:val="18"/>
                <w:lang w:eastAsia="ja-JP"/>
              </w:rPr>
            </w:pPr>
            <w:r w:rsidRPr="004E13E9">
              <w:rPr>
                <w:rFonts w:eastAsia="Malgun Gothic"/>
                <w:b/>
                <w:kern w:val="2"/>
                <w:sz w:val="18"/>
                <w:szCs w:val="18"/>
                <w:lang w:eastAsia="ko-KR"/>
                <w14:ligatures w14:val="standardContextual"/>
              </w:rPr>
              <w:t xml:space="preserve">Quota initial </w:t>
            </w:r>
            <w:r w:rsidRPr="004E13E9">
              <w:rPr>
                <w:rFonts w:eastAsia="Malgun Gothic"/>
                <w:b/>
                <w:kern w:val="2"/>
                <w:sz w:val="18"/>
                <w:szCs w:val="18"/>
                <w:vertAlign w:val="superscript"/>
                <w:lang w:eastAsia="ko-KR"/>
                <w14:ligatures w14:val="standardContextual"/>
              </w:rPr>
              <w:t>5 *</w:t>
            </w:r>
          </w:p>
        </w:tc>
        <w:tc>
          <w:tcPr>
            <w:tcW w:w="140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C95CF1B" w14:textId="77777777" w:rsidR="007C1525" w:rsidRPr="004E13E9" w:rsidRDefault="007C1525" w:rsidP="00D47E5E">
            <w:pPr>
              <w:jc w:val="right"/>
              <w:rPr>
                <w:rFonts w:eastAsia="Times New Roman" w:cs="Calibri"/>
                <w:sz w:val="18"/>
                <w:szCs w:val="18"/>
                <w:lang w:eastAsia="ja-JP"/>
              </w:rPr>
            </w:pPr>
            <w:r w:rsidRPr="004E13E9">
              <w:rPr>
                <w:rFonts w:eastAsia="Times New Roman" w:cs="Calibri"/>
                <w:sz w:val="18"/>
                <w:szCs w:val="18"/>
                <w:lang w:eastAsia="ja-JP"/>
              </w:rPr>
              <w:t> </w:t>
            </w:r>
          </w:p>
        </w:tc>
        <w:tc>
          <w:tcPr>
            <w:tcW w:w="830" w:type="dxa"/>
            <w:tcBorders>
              <w:top w:val="single" w:sz="4" w:space="0" w:color="auto"/>
              <w:left w:val="single" w:sz="4" w:space="0" w:color="auto"/>
              <w:bottom w:val="single" w:sz="4" w:space="0" w:color="auto"/>
              <w:right w:val="single" w:sz="4" w:space="0" w:color="auto"/>
            </w:tcBorders>
            <w:shd w:val="clear" w:color="auto" w:fill="D9D9D9"/>
          </w:tcPr>
          <w:p w14:paraId="2A371CEC" w14:textId="77777777" w:rsidR="007C1525" w:rsidRPr="004E13E9" w:rsidRDefault="007C1525" w:rsidP="00D47E5E">
            <w:pPr>
              <w:rPr>
                <w:rFonts w:eastAsia="Times New Roman" w:cs="Calibri"/>
                <w:sz w:val="18"/>
                <w:szCs w:val="18"/>
                <w:lang w:eastAsia="ja-JP"/>
              </w:rPr>
            </w:pPr>
          </w:p>
        </w:tc>
        <w:tc>
          <w:tcPr>
            <w:tcW w:w="61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F5D429B" w14:textId="77777777" w:rsidR="007C1525" w:rsidRPr="004E13E9" w:rsidRDefault="007C1525" w:rsidP="00D47E5E">
            <w:pPr>
              <w:rPr>
                <w:rFonts w:eastAsia="Times New Roman" w:cs="Calibri"/>
                <w:sz w:val="18"/>
                <w:szCs w:val="18"/>
                <w:lang w:eastAsia="ja-JP"/>
              </w:rPr>
            </w:pPr>
            <w:r w:rsidRPr="004E13E9">
              <w:rPr>
                <w:rFonts w:eastAsia="Times New Roman" w:cs="Calibri"/>
                <w:sz w:val="18"/>
                <w:szCs w:val="18"/>
                <w:lang w:eastAsia="ja-JP"/>
              </w:rPr>
              <w:t> </w:t>
            </w:r>
          </w:p>
        </w:tc>
        <w:tc>
          <w:tcPr>
            <w:tcW w:w="67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7D108FA" w14:textId="77777777" w:rsidR="007C1525" w:rsidRPr="004E13E9" w:rsidRDefault="007C1525" w:rsidP="00D47E5E">
            <w:pPr>
              <w:rPr>
                <w:rFonts w:eastAsia="Times New Roman" w:cs="Calibri"/>
                <w:sz w:val="18"/>
                <w:szCs w:val="18"/>
                <w:lang w:eastAsia="ja-JP"/>
              </w:rPr>
            </w:pPr>
            <w:r w:rsidRPr="004E13E9">
              <w:rPr>
                <w:rFonts w:eastAsia="Times New Roman" w:cs="Calibri"/>
                <w:sz w:val="18"/>
                <w:szCs w:val="18"/>
                <w:lang w:eastAsia="ja-JP"/>
              </w:rPr>
              <w:t> </w:t>
            </w:r>
          </w:p>
        </w:tc>
        <w:tc>
          <w:tcPr>
            <w:tcW w:w="706" w:type="dxa"/>
            <w:tcBorders>
              <w:top w:val="single" w:sz="4" w:space="0" w:color="auto"/>
              <w:left w:val="single" w:sz="4" w:space="0" w:color="auto"/>
              <w:bottom w:val="single" w:sz="4" w:space="0" w:color="auto"/>
              <w:right w:val="single" w:sz="4" w:space="0" w:color="auto"/>
            </w:tcBorders>
            <w:shd w:val="clear" w:color="auto" w:fill="D9D9D9"/>
            <w:vAlign w:val="center"/>
          </w:tcPr>
          <w:p w14:paraId="09524267" w14:textId="77777777" w:rsidR="007C1525" w:rsidRPr="004E13E9" w:rsidRDefault="007C1525" w:rsidP="00D47E5E">
            <w:pPr>
              <w:rPr>
                <w:rFonts w:eastAsia="Times New Roman" w:cs="Calibri"/>
                <w:sz w:val="18"/>
                <w:szCs w:val="18"/>
                <w:lang w:eastAsia="ja-JP"/>
              </w:rPr>
            </w:pPr>
          </w:p>
        </w:tc>
        <w:tc>
          <w:tcPr>
            <w:tcW w:w="615" w:type="dxa"/>
            <w:tcBorders>
              <w:top w:val="single" w:sz="4" w:space="0" w:color="auto"/>
              <w:left w:val="single" w:sz="4" w:space="0" w:color="auto"/>
              <w:bottom w:val="single" w:sz="4" w:space="0" w:color="auto"/>
              <w:right w:val="single" w:sz="4" w:space="0" w:color="auto"/>
            </w:tcBorders>
            <w:shd w:val="clear" w:color="auto" w:fill="D9D9D9"/>
            <w:vAlign w:val="center"/>
          </w:tcPr>
          <w:p w14:paraId="33CA2C41" w14:textId="77777777" w:rsidR="007C1525" w:rsidRPr="004E13E9" w:rsidRDefault="007C1525" w:rsidP="00D47E5E">
            <w:pPr>
              <w:rPr>
                <w:rFonts w:eastAsia="Times New Roman" w:cs="Calibri"/>
                <w:sz w:val="18"/>
                <w:szCs w:val="18"/>
                <w:lang w:eastAsia="ja-JP"/>
              </w:rPr>
            </w:pPr>
          </w:p>
        </w:tc>
        <w:tc>
          <w:tcPr>
            <w:tcW w:w="615" w:type="dxa"/>
            <w:tcBorders>
              <w:top w:val="single" w:sz="4" w:space="0" w:color="auto"/>
              <w:left w:val="single" w:sz="4" w:space="0" w:color="auto"/>
              <w:bottom w:val="single" w:sz="4" w:space="0" w:color="auto"/>
              <w:right w:val="single" w:sz="4" w:space="0" w:color="auto"/>
            </w:tcBorders>
            <w:shd w:val="clear" w:color="auto" w:fill="D9D9D9"/>
          </w:tcPr>
          <w:p w14:paraId="6E109459" w14:textId="77777777" w:rsidR="007C1525" w:rsidRPr="004E13E9" w:rsidRDefault="007C1525" w:rsidP="00D47E5E">
            <w:pPr>
              <w:rPr>
                <w:rFonts w:eastAsia="Times New Roman" w:cs="Calibri"/>
                <w:sz w:val="18"/>
                <w:szCs w:val="18"/>
                <w:lang w:eastAsia="ja-JP"/>
              </w:rPr>
            </w:pPr>
          </w:p>
        </w:tc>
        <w:tc>
          <w:tcPr>
            <w:tcW w:w="623" w:type="dxa"/>
            <w:tcBorders>
              <w:top w:val="single" w:sz="4" w:space="0" w:color="auto"/>
              <w:left w:val="single" w:sz="4" w:space="0" w:color="auto"/>
              <w:bottom w:val="single" w:sz="4" w:space="0" w:color="auto"/>
              <w:right w:val="single" w:sz="4" w:space="0" w:color="auto"/>
            </w:tcBorders>
            <w:shd w:val="clear" w:color="auto" w:fill="D9D9D9"/>
          </w:tcPr>
          <w:p w14:paraId="0D181944" w14:textId="77777777" w:rsidR="007C1525" w:rsidRPr="004E13E9" w:rsidRDefault="007C1525" w:rsidP="00D47E5E">
            <w:pPr>
              <w:jc w:val="center"/>
              <w:rPr>
                <w:rFonts w:eastAsia="Times New Roman" w:cs="Calibri"/>
                <w:sz w:val="18"/>
                <w:szCs w:val="18"/>
                <w:lang w:eastAsia="ja-JP"/>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08DEDCA" w14:textId="77777777" w:rsidR="007C1525" w:rsidRPr="004E13E9" w:rsidRDefault="007C1525" w:rsidP="00D47E5E">
            <w:pPr>
              <w:rPr>
                <w:rFonts w:eastAsia="Times New Roman" w:cs="Calibri"/>
                <w:sz w:val="18"/>
                <w:szCs w:val="18"/>
                <w:lang w:eastAsia="ja-JP"/>
              </w:rPr>
            </w:pPr>
            <w:r w:rsidRPr="004E13E9">
              <w:rPr>
                <w:rFonts w:eastAsia="Times New Roman" w:cs="Calibri"/>
                <w:sz w:val="18"/>
                <w:szCs w:val="18"/>
                <w:lang w:eastAsia="ja-JP"/>
              </w:rPr>
              <w:t> </w:t>
            </w:r>
          </w:p>
        </w:tc>
        <w:tc>
          <w:tcPr>
            <w:tcW w:w="85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E83F0B" w14:textId="77777777" w:rsidR="007C1525" w:rsidRPr="004E13E9" w:rsidRDefault="007C1525" w:rsidP="00D47E5E">
            <w:pPr>
              <w:rPr>
                <w:rFonts w:eastAsia="Times New Roman" w:cs="Calibri"/>
                <w:sz w:val="18"/>
                <w:szCs w:val="18"/>
                <w:lang w:eastAsia="ja-JP"/>
              </w:rPr>
            </w:pPr>
            <w:r w:rsidRPr="004E13E9">
              <w:rPr>
                <w:rFonts w:eastAsia="Times New Roman" w:cs="Calibri"/>
                <w:b/>
                <w:bCs/>
                <w:sz w:val="16"/>
                <w:szCs w:val="16"/>
              </w:rPr>
              <w:t>2625</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BC748C2" w14:textId="77777777" w:rsidR="007C1525" w:rsidRPr="004E13E9" w:rsidRDefault="007C1525" w:rsidP="00D47E5E">
            <w:pPr>
              <w:rPr>
                <w:rFonts w:eastAsia="Times New Roman" w:cs="Calibri"/>
                <w:sz w:val="18"/>
                <w:szCs w:val="18"/>
                <w:lang w:eastAsia="ja-JP"/>
              </w:rPr>
            </w:pPr>
            <w:r w:rsidRPr="004E13E9">
              <w:rPr>
                <w:rFonts w:eastAsia="Times New Roman" w:cs="Calibri"/>
                <w:b/>
                <w:bCs/>
                <w:sz w:val="16"/>
                <w:szCs w:val="16"/>
              </w:rPr>
              <w:t>2254,48</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73F2A6C" w14:textId="77777777" w:rsidR="007C1525" w:rsidRPr="004E13E9" w:rsidRDefault="007C1525" w:rsidP="00D47E5E">
            <w:pPr>
              <w:rPr>
                <w:rFonts w:eastAsia="Times New Roman" w:cs="Calibri"/>
                <w:sz w:val="18"/>
                <w:szCs w:val="18"/>
                <w:lang w:eastAsia="ja-JP"/>
              </w:rPr>
            </w:pPr>
            <w:r w:rsidRPr="004E13E9">
              <w:rPr>
                <w:rFonts w:eastAsia="Times New Roman" w:cs="Calibri"/>
                <w:b/>
                <w:bCs/>
                <w:sz w:val="16"/>
                <w:szCs w:val="16"/>
              </w:rPr>
              <w:t>2115</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4B32F3" w14:textId="77777777" w:rsidR="007C1525" w:rsidRPr="004E13E9" w:rsidRDefault="007C1525" w:rsidP="00D47E5E">
            <w:pPr>
              <w:ind w:right="-109"/>
              <w:rPr>
                <w:rFonts w:eastAsia="Times New Roman" w:cs="Calibri"/>
                <w:sz w:val="16"/>
                <w:szCs w:val="16"/>
                <w:lang w:eastAsia="ja-JP"/>
              </w:rPr>
            </w:pPr>
            <w:r w:rsidRPr="004E13E9">
              <w:rPr>
                <w:rFonts w:eastAsia="Times New Roman" w:cs="Calibri"/>
                <w:b/>
                <w:bCs/>
                <w:sz w:val="16"/>
                <w:szCs w:val="16"/>
              </w:rPr>
              <w:t>3000,000</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EE5337" w14:textId="77777777" w:rsidR="007C1525" w:rsidRPr="004E13E9" w:rsidRDefault="007C1525" w:rsidP="00D47E5E">
            <w:pPr>
              <w:rPr>
                <w:rFonts w:eastAsia="Times New Roman" w:cs="Calibri"/>
                <w:sz w:val="16"/>
                <w:szCs w:val="16"/>
                <w:lang w:eastAsia="ja-JP"/>
              </w:rPr>
            </w:pPr>
            <w:r w:rsidRPr="004E13E9">
              <w:rPr>
                <w:rFonts w:eastAsia="Times New Roman" w:cs="Calibri"/>
                <w:b/>
                <w:bCs/>
                <w:sz w:val="16"/>
                <w:szCs w:val="16"/>
              </w:rPr>
              <w:t>3000,000</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9FB5500" w14:textId="77777777" w:rsidR="007C1525" w:rsidRPr="004E13E9" w:rsidRDefault="007C1525" w:rsidP="00D47E5E">
            <w:pPr>
              <w:rPr>
                <w:rFonts w:eastAsia="Times New Roman" w:cs="Calibri"/>
                <w:sz w:val="16"/>
                <w:szCs w:val="16"/>
                <w:lang w:eastAsia="ja-JP"/>
              </w:rPr>
            </w:pPr>
            <w:r w:rsidRPr="004E13E9">
              <w:rPr>
                <w:rFonts w:eastAsia="Times New Roman" w:cs="Calibri"/>
                <w:b/>
                <w:bCs/>
                <w:sz w:val="16"/>
                <w:szCs w:val="16"/>
              </w:rPr>
              <w:t>3000,000</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59F8A9AE" w14:textId="77777777" w:rsidR="007C1525" w:rsidRPr="004E13E9" w:rsidRDefault="007C1525" w:rsidP="00D47E5E">
            <w:pPr>
              <w:rPr>
                <w:rFonts w:eastAsia="Times New Roman" w:cs="Calibri"/>
                <w:sz w:val="16"/>
                <w:szCs w:val="16"/>
                <w:lang w:eastAsia="ja-JP"/>
              </w:rPr>
            </w:pPr>
            <w:r w:rsidRPr="004E13E9">
              <w:rPr>
                <w:rFonts w:eastAsia="Times New Roman" w:cs="Calibri"/>
                <w:sz w:val="16"/>
                <w:szCs w:val="16"/>
                <w:lang w:eastAsia="ja-JP"/>
              </w:rPr>
              <w:t>3508,85</w:t>
            </w:r>
          </w:p>
        </w:tc>
      </w:tr>
      <w:tr w:rsidR="007C1525" w:rsidRPr="004E13E9" w14:paraId="5C3965C5"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07C41B9" w14:textId="77777777" w:rsidR="007C1525" w:rsidRPr="004E13E9" w:rsidRDefault="007C1525" w:rsidP="00D47E5E">
            <w:pPr>
              <w:rPr>
                <w:rFonts w:eastAsia="Times New Roman" w:cs="Calibri"/>
                <w:b/>
                <w:bCs/>
                <w:sz w:val="18"/>
                <w:szCs w:val="18"/>
                <w:lang w:val="fr-FR" w:eastAsia="ja-JP"/>
              </w:rPr>
            </w:pPr>
            <w:r w:rsidRPr="004E13E9">
              <w:rPr>
                <w:rFonts w:eastAsia="Malgun Gothic"/>
                <w:b/>
                <w:kern w:val="2"/>
                <w:sz w:val="18"/>
                <w:szCs w:val="18"/>
                <w:lang w:val="fr-FR" w:eastAsia="ko-KR"/>
                <w14:ligatures w14:val="standardContextual"/>
              </w:rPr>
              <w:t>Quota ajusté (le cas échéant)</w:t>
            </w:r>
            <w:r w:rsidRPr="004E13E9">
              <w:rPr>
                <w:rFonts w:eastAsia="Malgun Gothic"/>
                <w:b/>
                <w:kern w:val="2"/>
                <w:sz w:val="18"/>
                <w:szCs w:val="18"/>
                <w:vertAlign w:val="superscript"/>
                <w:lang w:val="fr-FR" w:eastAsia="ko-KR"/>
                <w14:ligatures w14:val="standardContextual"/>
              </w:rPr>
              <w:t>6 *</w:t>
            </w:r>
            <w:r w:rsidRPr="004E13E9">
              <w:rPr>
                <w:rFonts w:eastAsia="Malgun Gothic"/>
                <w:b/>
                <w:kern w:val="2"/>
                <w:sz w:val="18"/>
                <w:szCs w:val="18"/>
                <w:lang w:val="fr-FR" w:eastAsia="ko-KR"/>
                <w14:ligatures w14:val="standardContextual"/>
              </w:rPr>
              <w:t xml:space="preserve"> </w:t>
            </w:r>
          </w:p>
        </w:tc>
        <w:tc>
          <w:tcPr>
            <w:tcW w:w="1407"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09F21B5F" w14:textId="77777777" w:rsidR="007C1525" w:rsidRPr="004E13E9" w:rsidRDefault="007C1525" w:rsidP="00D47E5E">
            <w:pPr>
              <w:jc w:val="right"/>
              <w:rPr>
                <w:rFonts w:eastAsia="Times New Roman" w:cs="Calibri"/>
                <w:sz w:val="18"/>
                <w:szCs w:val="18"/>
                <w:lang w:val="fr-FR" w:eastAsia="ja-JP"/>
              </w:rPr>
            </w:pPr>
          </w:p>
        </w:tc>
        <w:tc>
          <w:tcPr>
            <w:tcW w:w="830" w:type="dxa"/>
            <w:tcBorders>
              <w:top w:val="single" w:sz="4" w:space="0" w:color="auto"/>
              <w:left w:val="single" w:sz="4" w:space="0" w:color="auto"/>
              <w:bottom w:val="single" w:sz="4" w:space="0" w:color="auto"/>
              <w:right w:val="single" w:sz="4" w:space="0" w:color="auto"/>
            </w:tcBorders>
            <w:shd w:val="clear" w:color="auto" w:fill="D9D9D9"/>
          </w:tcPr>
          <w:p w14:paraId="2810B1BA" w14:textId="77777777" w:rsidR="007C1525" w:rsidRPr="004E13E9" w:rsidRDefault="007C1525" w:rsidP="00D47E5E">
            <w:pPr>
              <w:rPr>
                <w:rFonts w:eastAsia="Times New Roman" w:cs="Calibri"/>
                <w:sz w:val="18"/>
                <w:szCs w:val="18"/>
                <w:lang w:val="fr-FR" w:eastAsia="ja-JP"/>
              </w:rPr>
            </w:pPr>
          </w:p>
        </w:tc>
        <w:tc>
          <w:tcPr>
            <w:tcW w:w="615"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237EF87A" w14:textId="77777777" w:rsidR="007C1525" w:rsidRPr="004E13E9" w:rsidRDefault="007C1525" w:rsidP="00D47E5E">
            <w:pPr>
              <w:rPr>
                <w:rFonts w:eastAsia="Times New Roman" w:cs="Calibri"/>
                <w:sz w:val="18"/>
                <w:szCs w:val="18"/>
                <w:lang w:val="fr-FR" w:eastAsia="ja-JP"/>
              </w:rPr>
            </w:pPr>
          </w:p>
        </w:tc>
        <w:tc>
          <w:tcPr>
            <w:tcW w:w="674" w:type="dxa"/>
            <w:tcBorders>
              <w:top w:val="single" w:sz="4" w:space="0" w:color="auto"/>
              <w:left w:val="single" w:sz="4" w:space="0" w:color="auto"/>
              <w:bottom w:val="single" w:sz="4" w:space="0" w:color="auto"/>
              <w:right w:val="single" w:sz="4" w:space="0" w:color="auto"/>
            </w:tcBorders>
            <w:shd w:val="clear" w:color="auto" w:fill="D9D9D9"/>
            <w:vAlign w:val="center"/>
          </w:tcPr>
          <w:p w14:paraId="590F13DF" w14:textId="77777777" w:rsidR="007C1525" w:rsidRPr="004E13E9" w:rsidRDefault="007C1525" w:rsidP="00D47E5E">
            <w:pPr>
              <w:rPr>
                <w:rFonts w:eastAsia="Times New Roman" w:cs="Calibri"/>
                <w:sz w:val="18"/>
                <w:szCs w:val="18"/>
                <w:lang w:val="fr-FR" w:eastAsia="ja-JP"/>
              </w:rPr>
            </w:pPr>
          </w:p>
        </w:tc>
        <w:tc>
          <w:tcPr>
            <w:tcW w:w="706" w:type="dxa"/>
            <w:tcBorders>
              <w:top w:val="single" w:sz="4" w:space="0" w:color="auto"/>
              <w:left w:val="single" w:sz="4" w:space="0" w:color="auto"/>
              <w:bottom w:val="single" w:sz="4" w:space="0" w:color="auto"/>
              <w:right w:val="single" w:sz="4" w:space="0" w:color="auto"/>
            </w:tcBorders>
            <w:shd w:val="clear" w:color="auto" w:fill="D9D9D9"/>
            <w:vAlign w:val="center"/>
          </w:tcPr>
          <w:p w14:paraId="327A2AA7" w14:textId="77777777" w:rsidR="007C1525" w:rsidRPr="004E13E9" w:rsidRDefault="007C1525" w:rsidP="00D47E5E">
            <w:pPr>
              <w:rPr>
                <w:rFonts w:eastAsia="Times New Roman" w:cs="Calibri"/>
                <w:sz w:val="18"/>
                <w:szCs w:val="18"/>
                <w:lang w:val="fr-FR" w:eastAsia="ja-JP"/>
              </w:rPr>
            </w:pPr>
          </w:p>
        </w:tc>
        <w:tc>
          <w:tcPr>
            <w:tcW w:w="615" w:type="dxa"/>
            <w:tcBorders>
              <w:top w:val="single" w:sz="4" w:space="0" w:color="auto"/>
              <w:left w:val="single" w:sz="4" w:space="0" w:color="auto"/>
              <w:bottom w:val="single" w:sz="4" w:space="0" w:color="auto"/>
              <w:right w:val="single" w:sz="4" w:space="0" w:color="auto"/>
            </w:tcBorders>
            <w:shd w:val="clear" w:color="auto" w:fill="D9D9D9"/>
            <w:vAlign w:val="center"/>
          </w:tcPr>
          <w:p w14:paraId="13C31DF0" w14:textId="77777777" w:rsidR="007C1525" w:rsidRPr="004E13E9" w:rsidRDefault="007C1525" w:rsidP="00D47E5E">
            <w:pPr>
              <w:rPr>
                <w:rFonts w:eastAsia="Times New Roman" w:cs="Calibri"/>
                <w:sz w:val="18"/>
                <w:szCs w:val="18"/>
                <w:lang w:val="fr-FR" w:eastAsia="ja-JP"/>
              </w:rPr>
            </w:pPr>
          </w:p>
        </w:tc>
        <w:tc>
          <w:tcPr>
            <w:tcW w:w="615" w:type="dxa"/>
            <w:tcBorders>
              <w:top w:val="single" w:sz="4" w:space="0" w:color="auto"/>
              <w:left w:val="single" w:sz="4" w:space="0" w:color="auto"/>
              <w:bottom w:val="single" w:sz="4" w:space="0" w:color="auto"/>
              <w:right w:val="single" w:sz="4" w:space="0" w:color="auto"/>
            </w:tcBorders>
            <w:shd w:val="clear" w:color="auto" w:fill="D9D9D9"/>
          </w:tcPr>
          <w:p w14:paraId="3F604ECA" w14:textId="77777777" w:rsidR="007C1525" w:rsidRPr="004E13E9" w:rsidRDefault="007C1525" w:rsidP="00D47E5E">
            <w:pPr>
              <w:rPr>
                <w:rFonts w:eastAsia="Times New Roman" w:cs="Calibri"/>
                <w:sz w:val="18"/>
                <w:szCs w:val="18"/>
                <w:lang w:val="fr-FR" w:eastAsia="ja-JP"/>
              </w:rPr>
            </w:pPr>
          </w:p>
        </w:tc>
        <w:tc>
          <w:tcPr>
            <w:tcW w:w="623" w:type="dxa"/>
            <w:tcBorders>
              <w:top w:val="single" w:sz="4" w:space="0" w:color="auto"/>
              <w:left w:val="single" w:sz="4" w:space="0" w:color="auto"/>
              <w:bottom w:val="single" w:sz="4" w:space="0" w:color="auto"/>
              <w:right w:val="single" w:sz="4" w:space="0" w:color="auto"/>
            </w:tcBorders>
            <w:shd w:val="clear" w:color="auto" w:fill="D9D9D9"/>
          </w:tcPr>
          <w:p w14:paraId="6CBB639C" w14:textId="77777777" w:rsidR="007C1525" w:rsidRPr="004E13E9" w:rsidRDefault="007C1525" w:rsidP="00D47E5E">
            <w:pPr>
              <w:jc w:val="center"/>
              <w:rPr>
                <w:rFonts w:eastAsia="Times New Roman" w:cs="Calibri"/>
                <w:sz w:val="18"/>
                <w:szCs w:val="18"/>
                <w:lang w:val="fr-FR" w:eastAsia="ja-JP"/>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tcPr>
          <w:p w14:paraId="6BE95BC5" w14:textId="77777777" w:rsidR="007C1525" w:rsidRPr="004E13E9" w:rsidRDefault="007C1525" w:rsidP="00D47E5E">
            <w:pPr>
              <w:rPr>
                <w:rFonts w:eastAsia="Times New Roman" w:cs="Calibri"/>
                <w:sz w:val="18"/>
                <w:szCs w:val="18"/>
                <w:lang w:val="fr-FR" w:eastAsia="ja-JP"/>
              </w:rPr>
            </w:pPr>
          </w:p>
        </w:tc>
        <w:tc>
          <w:tcPr>
            <w:tcW w:w="85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2727765" w14:textId="77777777" w:rsidR="007C1525" w:rsidRPr="004E13E9" w:rsidRDefault="007C1525" w:rsidP="00D47E5E">
            <w:pPr>
              <w:rPr>
                <w:rFonts w:eastAsia="Times New Roman" w:cs="Calibri"/>
                <w:sz w:val="18"/>
                <w:szCs w:val="18"/>
                <w:lang w:eastAsia="ja-JP"/>
              </w:rPr>
            </w:pPr>
            <w:r w:rsidRPr="004E13E9">
              <w:rPr>
                <w:rFonts w:eastAsia="Times New Roman" w:cs="Calibri"/>
                <w:b/>
                <w:bCs/>
                <w:sz w:val="16"/>
                <w:szCs w:val="16"/>
              </w:rPr>
              <w:t>2625</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C5B4E03" w14:textId="77777777" w:rsidR="007C1525" w:rsidRPr="004E13E9" w:rsidRDefault="007C1525" w:rsidP="00D47E5E">
            <w:pPr>
              <w:rPr>
                <w:rFonts w:eastAsia="Times New Roman" w:cs="Calibri"/>
                <w:sz w:val="18"/>
                <w:szCs w:val="18"/>
                <w:lang w:eastAsia="ja-JP"/>
              </w:rPr>
            </w:pPr>
            <w:r w:rsidRPr="004E13E9">
              <w:rPr>
                <w:rFonts w:eastAsia="Times New Roman" w:cs="Calibri"/>
                <w:b/>
                <w:bCs/>
                <w:sz w:val="16"/>
                <w:szCs w:val="16"/>
              </w:rPr>
              <w:t>2364,48</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5CC875B" w14:textId="77777777" w:rsidR="007C1525" w:rsidRPr="004E13E9" w:rsidRDefault="007C1525" w:rsidP="00D47E5E">
            <w:pPr>
              <w:rPr>
                <w:rFonts w:eastAsia="Times New Roman" w:cs="Calibri"/>
                <w:sz w:val="18"/>
                <w:szCs w:val="18"/>
                <w:lang w:eastAsia="ja-JP"/>
              </w:rPr>
            </w:pPr>
            <w:r w:rsidRPr="004E13E9">
              <w:rPr>
                <w:rFonts w:eastAsia="Times New Roman" w:cs="Calibri"/>
                <w:b/>
                <w:bCs/>
                <w:sz w:val="16"/>
                <w:szCs w:val="16"/>
              </w:rPr>
              <w:t>2093,850</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27185B9" w14:textId="77777777" w:rsidR="007C1525" w:rsidRPr="004E13E9" w:rsidRDefault="007C1525" w:rsidP="00D47E5E">
            <w:pPr>
              <w:rPr>
                <w:rFonts w:eastAsia="Times New Roman" w:cs="Calibri"/>
                <w:sz w:val="16"/>
                <w:szCs w:val="16"/>
                <w:lang w:eastAsia="ja-JP"/>
              </w:rPr>
            </w:pPr>
            <w:r w:rsidRPr="004E13E9">
              <w:rPr>
                <w:rFonts w:eastAsia="Times New Roman" w:cs="Calibri"/>
                <w:b/>
                <w:bCs/>
                <w:sz w:val="16"/>
                <w:szCs w:val="16"/>
              </w:rPr>
              <w:t>2990</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23F7FA" w14:textId="77777777" w:rsidR="007C1525" w:rsidRPr="004E13E9" w:rsidRDefault="007C1525" w:rsidP="00D47E5E">
            <w:pPr>
              <w:rPr>
                <w:rFonts w:eastAsia="Times New Roman" w:cs="Calibri"/>
                <w:sz w:val="16"/>
                <w:szCs w:val="16"/>
                <w:lang w:eastAsia="ja-JP"/>
              </w:rPr>
            </w:pPr>
            <w:r w:rsidRPr="004E13E9">
              <w:rPr>
                <w:rFonts w:eastAsia="Times New Roman" w:cs="Calibri"/>
                <w:b/>
                <w:bCs/>
                <w:sz w:val="16"/>
                <w:szCs w:val="16"/>
              </w:rPr>
              <w:t>3000</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ED0FA1" w14:textId="77777777" w:rsidR="007C1525" w:rsidRPr="004E13E9" w:rsidRDefault="007C1525" w:rsidP="00D47E5E">
            <w:pPr>
              <w:rPr>
                <w:rFonts w:eastAsia="Times New Roman" w:cs="Calibri"/>
                <w:sz w:val="16"/>
                <w:szCs w:val="16"/>
                <w:lang w:eastAsia="ja-JP"/>
              </w:rPr>
            </w:pPr>
            <w:r w:rsidRPr="004E13E9">
              <w:rPr>
                <w:rFonts w:eastAsia="Times New Roman" w:cs="Calibri"/>
                <w:b/>
                <w:bCs/>
                <w:sz w:val="16"/>
                <w:szCs w:val="16"/>
              </w:rPr>
              <w:t>2.990,62</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7D7D37" w14:textId="77777777" w:rsidR="007C1525" w:rsidRPr="004E13E9" w:rsidRDefault="007C1525" w:rsidP="00D47E5E">
            <w:pPr>
              <w:rPr>
                <w:rFonts w:eastAsia="Times New Roman" w:cs="Calibri"/>
                <w:sz w:val="16"/>
                <w:szCs w:val="16"/>
                <w:lang w:eastAsia="ja-JP"/>
              </w:rPr>
            </w:pPr>
            <w:r w:rsidRPr="004E13E9">
              <w:rPr>
                <w:rFonts w:eastAsia="Times New Roman" w:cs="Calibri"/>
                <w:sz w:val="16"/>
                <w:szCs w:val="16"/>
                <w:lang w:eastAsia="ja-JP"/>
              </w:rPr>
              <w:t>3528,55</w:t>
            </w:r>
          </w:p>
        </w:tc>
      </w:tr>
      <w:tr w:rsidR="007C1525" w:rsidRPr="004E13E9" w14:paraId="1E6BA89E"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210218A6" w14:textId="77777777" w:rsidR="007C1525" w:rsidRPr="004E13E9" w:rsidRDefault="007C1525" w:rsidP="00D47E5E">
            <w:pPr>
              <w:rPr>
                <w:rFonts w:eastAsia="Times New Roman" w:cs="Calibri"/>
                <w:b/>
                <w:bCs/>
                <w:sz w:val="18"/>
                <w:szCs w:val="18"/>
                <w:lang w:val="fr-FR" w:eastAsia="ja-JP"/>
              </w:rPr>
            </w:pPr>
            <w:r w:rsidRPr="004E13E9">
              <w:rPr>
                <w:rFonts w:eastAsia="Malgun Gothic"/>
                <w:b/>
                <w:kern w:val="2"/>
                <w:sz w:val="18"/>
                <w:szCs w:val="18"/>
                <w:lang w:val="fr-FR" w:eastAsia="ko-KR"/>
                <w14:ligatures w14:val="standardContextual"/>
              </w:rPr>
              <w:t>Pourcentage alloué aux prises accessoires</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6878693A" w14:textId="77777777" w:rsidR="007C1525" w:rsidRPr="004E13E9" w:rsidRDefault="007C1525" w:rsidP="00D47E5E">
            <w:pPr>
              <w:jc w:val="right"/>
              <w:rPr>
                <w:rFonts w:eastAsia="Times New Roman" w:cs="Calibri"/>
                <w:sz w:val="18"/>
                <w:szCs w:val="18"/>
                <w:lang w:val="fr-FR" w:eastAsia="ja-JP"/>
              </w:rPr>
            </w:pPr>
            <w:r w:rsidRPr="004E13E9">
              <w:rPr>
                <w:rFonts w:eastAsia="Times New Roman" w:cs="Calibri"/>
                <w:sz w:val="18"/>
                <w:szCs w:val="18"/>
                <w:lang w:val="fr-FR" w:eastAsia="ja-JP"/>
              </w:rPr>
              <w:t> </w:t>
            </w:r>
          </w:p>
        </w:tc>
        <w:tc>
          <w:tcPr>
            <w:tcW w:w="830" w:type="dxa"/>
            <w:tcBorders>
              <w:top w:val="single" w:sz="4" w:space="0" w:color="auto"/>
              <w:left w:val="single" w:sz="4" w:space="0" w:color="auto"/>
              <w:bottom w:val="single" w:sz="4" w:space="0" w:color="auto"/>
              <w:right w:val="single" w:sz="4" w:space="0" w:color="auto"/>
            </w:tcBorders>
          </w:tcPr>
          <w:p w14:paraId="6E69B680" w14:textId="77777777" w:rsidR="007C1525" w:rsidRPr="004E13E9" w:rsidRDefault="007C1525" w:rsidP="00D47E5E">
            <w:pPr>
              <w:rPr>
                <w:rFonts w:eastAsia="Times New Roman" w:cs="Calibri"/>
                <w:sz w:val="18"/>
                <w:szCs w:val="18"/>
                <w:lang w:val="fr-FR" w:eastAsia="ja-JP"/>
              </w:rPr>
            </w:pP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688B43EF" w14:textId="77777777" w:rsidR="007C1525" w:rsidRPr="004E13E9" w:rsidRDefault="007C1525" w:rsidP="00D47E5E">
            <w:pPr>
              <w:rPr>
                <w:rFonts w:eastAsia="Times New Roman" w:cs="Calibri"/>
                <w:sz w:val="18"/>
                <w:szCs w:val="18"/>
                <w:lang w:val="fr-FR" w:eastAsia="ja-JP"/>
              </w:rPr>
            </w:pPr>
            <w:r w:rsidRPr="004E13E9">
              <w:rPr>
                <w:rFonts w:eastAsia="Times New Roman" w:cs="Calibri"/>
                <w:sz w:val="18"/>
                <w:szCs w:val="18"/>
                <w:lang w:val="fr-FR" w:eastAsia="ja-JP"/>
              </w:rPr>
              <w:t> </w:t>
            </w:r>
          </w:p>
        </w:tc>
        <w:tc>
          <w:tcPr>
            <w:tcW w:w="674" w:type="dxa"/>
            <w:tcBorders>
              <w:top w:val="single" w:sz="4" w:space="0" w:color="auto"/>
              <w:left w:val="single" w:sz="4" w:space="0" w:color="auto"/>
              <w:bottom w:val="single" w:sz="4" w:space="0" w:color="auto"/>
              <w:right w:val="single" w:sz="4" w:space="0" w:color="auto"/>
            </w:tcBorders>
            <w:vAlign w:val="center"/>
            <w:hideMark/>
          </w:tcPr>
          <w:p w14:paraId="41BA1658" w14:textId="77777777" w:rsidR="007C1525" w:rsidRPr="004E13E9" w:rsidRDefault="007C1525" w:rsidP="00D47E5E">
            <w:pPr>
              <w:rPr>
                <w:rFonts w:eastAsia="Times New Roman" w:cs="Calibri"/>
                <w:sz w:val="18"/>
                <w:szCs w:val="18"/>
                <w:lang w:val="fr-FR" w:eastAsia="ja-JP"/>
              </w:rPr>
            </w:pPr>
            <w:r w:rsidRPr="004E13E9">
              <w:rPr>
                <w:rFonts w:eastAsia="Times New Roman" w:cs="Calibri"/>
                <w:sz w:val="18"/>
                <w:szCs w:val="18"/>
                <w:lang w:val="fr-FR" w:eastAsia="ja-JP"/>
              </w:rPr>
              <w:t> </w:t>
            </w:r>
          </w:p>
        </w:tc>
        <w:tc>
          <w:tcPr>
            <w:tcW w:w="706" w:type="dxa"/>
            <w:tcBorders>
              <w:top w:val="single" w:sz="4" w:space="0" w:color="auto"/>
              <w:left w:val="single" w:sz="4" w:space="0" w:color="auto"/>
              <w:bottom w:val="single" w:sz="4" w:space="0" w:color="auto"/>
              <w:right w:val="single" w:sz="4" w:space="0" w:color="auto"/>
            </w:tcBorders>
            <w:vAlign w:val="center"/>
            <w:hideMark/>
          </w:tcPr>
          <w:p w14:paraId="1AF804BD" w14:textId="77777777" w:rsidR="007C1525" w:rsidRPr="004E13E9" w:rsidRDefault="007C1525" w:rsidP="00D47E5E">
            <w:pPr>
              <w:rPr>
                <w:rFonts w:eastAsia="Times New Roman" w:cs="Calibri"/>
                <w:sz w:val="18"/>
                <w:szCs w:val="18"/>
                <w:lang w:val="fr-FR" w:eastAsia="ja-JP"/>
              </w:rPr>
            </w:pPr>
            <w:r w:rsidRPr="004E13E9">
              <w:rPr>
                <w:rFonts w:eastAsia="Times New Roman" w:cs="Calibri"/>
                <w:sz w:val="18"/>
                <w:szCs w:val="18"/>
                <w:lang w:val="fr-FR" w:eastAsia="ja-JP"/>
              </w:rPr>
              <w:t> </w:t>
            </w:r>
          </w:p>
        </w:tc>
        <w:tc>
          <w:tcPr>
            <w:tcW w:w="615" w:type="dxa"/>
            <w:tcBorders>
              <w:top w:val="single" w:sz="4" w:space="0" w:color="auto"/>
              <w:left w:val="single" w:sz="4" w:space="0" w:color="auto"/>
              <w:bottom w:val="single" w:sz="4" w:space="0" w:color="auto"/>
              <w:right w:val="single" w:sz="4" w:space="0" w:color="auto"/>
            </w:tcBorders>
            <w:vAlign w:val="center"/>
            <w:hideMark/>
          </w:tcPr>
          <w:p w14:paraId="37DA872D" w14:textId="77777777" w:rsidR="007C1525" w:rsidRPr="004E13E9" w:rsidRDefault="007C1525" w:rsidP="00D47E5E">
            <w:pPr>
              <w:rPr>
                <w:rFonts w:eastAsia="Times New Roman" w:cs="Calibri"/>
                <w:sz w:val="18"/>
                <w:szCs w:val="18"/>
                <w:lang w:val="fr-FR" w:eastAsia="ja-JP"/>
              </w:rPr>
            </w:pPr>
            <w:r w:rsidRPr="004E13E9">
              <w:rPr>
                <w:rFonts w:eastAsia="Times New Roman" w:cs="Calibri"/>
                <w:sz w:val="18"/>
                <w:szCs w:val="18"/>
                <w:lang w:val="fr-FR" w:eastAsia="ja-JP"/>
              </w:rPr>
              <w:t> </w:t>
            </w:r>
          </w:p>
        </w:tc>
        <w:tc>
          <w:tcPr>
            <w:tcW w:w="615" w:type="dxa"/>
            <w:tcBorders>
              <w:top w:val="single" w:sz="4" w:space="0" w:color="auto"/>
              <w:left w:val="single" w:sz="4" w:space="0" w:color="auto"/>
              <w:bottom w:val="single" w:sz="4" w:space="0" w:color="auto"/>
              <w:right w:val="single" w:sz="4" w:space="0" w:color="auto"/>
            </w:tcBorders>
          </w:tcPr>
          <w:p w14:paraId="55808BE2" w14:textId="77777777" w:rsidR="007C1525" w:rsidRPr="004E13E9" w:rsidRDefault="007C1525" w:rsidP="00D47E5E">
            <w:pPr>
              <w:rPr>
                <w:rFonts w:eastAsia="Times New Roman" w:cs="Calibri"/>
                <w:sz w:val="18"/>
                <w:szCs w:val="18"/>
                <w:lang w:val="fr-FR" w:eastAsia="ja-JP"/>
              </w:rPr>
            </w:pPr>
          </w:p>
        </w:tc>
        <w:tc>
          <w:tcPr>
            <w:tcW w:w="623" w:type="dxa"/>
            <w:tcBorders>
              <w:top w:val="single" w:sz="4" w:space="0" w:color="auto"/>
              <w:left w:val="single" w:sz="4" w:space="0" w:color="auto"/>
              <w:bottom w:val="single" w:sz="4" w:space="0" w:color="auto"/>
              <w:right w:val="single" w:sz="4" w:space="0" w:color="auto"/>
            </w:tcBorders>
          </w:tcPr>
          <w:p w14:paraId="3F834254" w14:textId="77777777" w:rsidR="007C1525" w:rsidRPr="004E13E9" w:rsidRDefault="007C1525" w:rsidP="00D47E5E">
            <w:pPr>
              <w:jc w:val="center"/>
              <w:rPr>
                <w:rFonts w:eastAsia="Times New Roman" w:cs="Calibri"/>
                <w:sz w:val="18"/>
                <w:szCs w:val="18"/>
                <w:lang w:val="fr-FR" w:eastAsia="ja-JP"/>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9947991" w14:textId="77777777" w:rsidR="007C1525" w:rsidRPr="004E13E9" w:rsidRDefault="007C1525" w:rsidP="00D47E5E">
            <w:pPr>
              <w:rPr>
                <w:rFonts w:eastAsia="Times New Roman" w:cs="Calibri"/>
                <w:sz w:val="18"/>
                <w:szCs w:val="18"/>
                <w:lang w:val="fr-FR" w:eastAsia="ja-JP"/>
              </w:rPr>
            </w:pPr>
            <w:r w:rsidRPr="004E13E9">
              <w:rPr>
                <w:rFonts w:eastAsia="Times New Roman" w:cs="Calibri"/>
                <w:sz w:val="18"/>
                <w:szCs w:val="18"/>
                <w:lang w:val="fr-FR" w:eastAsia="ja-JP"/>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40087C7A"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b/>
                <w:bCs/>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9C3521"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b/>
                <w:bCs/>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23AF008B" w14:textId="77777777" w:rsidR="007C1525" w:rsidRPr="004E13E9" w:rsidRDefault="007C1525" w:rsidP="00D47E5E">
            <w:pPr>
              <w:jc w:val="center"/>
              <w:rPr>
                <w:rFonts w:eastAsia="Times New Roman" w:cs="Calibri"/>
                <w:b/>
                <w:bCs/>
                <w:sz w:val="16"/>
                <w:szCs w:val="16"/>
              </w:rPr>
            </w:pPr>
            <w:r w:rsidRPr="004E13E9">
              <w:rPr>
                <w:rFonts w:eastAsia="Times New Roman" w:cs="Calibri"/>
                <w:b/>
                <w:bCs/>
                <w:sz w:val="16"/>
                <w:szCs w:val="16"/>
              </w:rPr>
              <w:t>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BB487E7" w14:textId="77777777" w:rsidR="007C1525" w:rsidRPr="004E13E9" w:rsidRDefault="007C1525" w:rsidP="00D47E5E">
            <w:pPr>
              <w:jc w:val="center"/>
              <w:rPr>
                <w:rFonts w:eastAsia="Times New Roman" w:cs="Calibri"/>
                <w:b/>
                <w:bCs/>
                <w:sz w:val="16"/>
                <w:szCs w:val="16"/>
              </w:rPr>
            </w:pPr>
            <w:r w:rsidRPr="004E13E9">
              <w:rPr>
                <w:rFonts w:eastAsia="Times New Roman" w:cs="Calibri"/>
                <w:b/>
                <w:bCs/>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27CE4D43" w14:textId="77777777" w:rsidR="007C1525" w:rsidRPr="004E13E9" w:rsidRDefault="007C1525" w:rsidP="00D47E5E">
            <w:pPr>
              <w:jc w:val="center"/>
              <w:rPr>
                <w:rFonts w:eastAsia="Times New Roman" w:cs="Calibri"/>
                <w:b/>
                <w:bCs/>
                <w:sz w:val="16"/>
                <w:szCs w:val="16"/>
              </w:rPr>
            </w:pPr>
            <w:r w:rsidRPr="004E13E9">
              <w:rPr>
                <w:rFonts w:eastAsia="Times New Roman" w:cs="Calibri"/>
                <w:b/>
                <w:bCs/>
                <w:sz w:val="16"/>
                <w:szCs w:val="16"/>
              </w:rPr>
              <w:t>1%</w:t>
            </w:r>
          </w:p>
        </w:tc>
        <w:tc>
          <w:tcPr>
            <w:tcW w:w="993" w:type="dxa"/>
            <w:tcBorders>
              <w:top w:val="single" w:sz="4" w:space="0" w:color="auto"/>
              <w:left w:val="single" w:sz="4" w:space="0" w:color="auto"/>
              <w:bottom w:val="single" w:sz="4" w:space="0" w:color="auto"/>
              <w:right w:val="single" w:sz="4" w:space="0" w:color="auto"/>
            </w:tcBorders>
            <w:vAlign w:val="center"/>
            <w:hideMark/>
          </w:tcPr>
          <w:p w14:paraId="3076BA7D" w14:textId="77777777" w:rsidR="007C1525" w:rsidRPr="004E13E9" w:rsidRDefault="007C1525" w:rsidP="00D47E5E">
            <w:pPr>
              <w:jc w:val="center"/>
              <w:rPr>
                <w:rFonts w:eastAsia="Times New Roman" w:cs="Calibri"/>
                <w:b/>
                <w:bCs/>
                <w:sz w:val="16"/>
                <w:szCs w:val="16"/>
              </w:rPr>
            </w:pPr>
            <w:r w:rsidRPr="004E13E9">
              <w:rPr>
                <w:rFonts w:eastAsia="Times New Roman" w:cs="Calibri"/>
                <w:b/>
                <w:bCs/>
                <w:sz w:val="16"/>
                <w:szCs w:val="16"/>
              </w:rPr>
              <w:t>1%</w:t>
            </w:r>
          </w:p>
        </w:tc>
        <w:tc>
          <w:tcPr>
            <w:tcW w:w="1134" w:type="dxa"/>
            <w:tcBorders>
              <w:top w:val="single" w:sz="4" w:space="0" w:color="auto"/>
              <w:left w:val="single" w:sz="4" w:space="0" w:color="auto"/>
              <w:bottom w:val="single" w:sz="4" w:space="0" w:color="auto"/>
              <w:right w:val="single" w:sz="4" w:space="0" w:color="auto"/>
            </w:tcBorders>
            <w:vAlign w:val="center"/>
          </w:tcPr>
          <w:p w14:paraId="55DD1B42"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lang w:eastAsia="ja-JP"/>
              </w:rPr>
              <w:t>1</w:t>
            </w:r>
            <w:r w:rsidRPr="004E13E9">
              <w:rPr>
                <w:rFonts w:eastAsia="Times New Roman" w:cs="Calibri"/>
                <w:b/>
                <w:bCs/>
                <w:sz w:val="16"/>
                <w:szCs w:val="16"/>
              </w:rPr>
              <w:t>%</w:t>
            </w:r>
          </w:p>
        </w:tc>
      </w:tr>
      <w:tr w:rsidR="007C1525" w:rsidRPr="004E13E9" w14:paraId="36B3A951"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23306F9F" w14:textId="77777777" w:rsidR="007C1525" w:rsidRPr="004E13E9" w:rsidRDefault="007C1525" w:rsidP="00D47E5E">
            <w:pPr>
              <w:rPr>
                <w:rFonts w:eastAsia="Times New Roman" w:cs="Calibri"/>
                <w:b/>
                <w:bCs/>
                <w:sz w:val="18"/>
                <w:szCs w:val="18"/>
                <w:lang w:eastAsia="ja-JP"/>
              </w:rPr>
            </w:pPr>
            <w:r w:rsidRPr="004E13E9">
              <w:rPr>
                <w:rFonts w:eastAsia="Malgun Gothic"/>
                <w:b/>
                <w:kern w:val="2"/>
                <w:sz w:val="18"/>
                <w:szCs w:val="18"/>
                <w:lang w:eastAsia="ko-KR"/>
                <w14:ligatures w14:val="standardContextual"/>
              </w:rPr>
              <w:t xml:space="preserve">Allocation aux </w:t>
            </w:r>
            <w:proofErr w:type="spellStart"/>
            <w:r w:rsidRPr="004E13E9">
              <w:rPr>
                <w:rFonts w:eastAsia="Malgun Gothic"/>
                <w:b/>
                <w:kern w:val="2"/>
                <w:sz w:val="18"/>
                <w:szCs w:val="18"/>
                <w:lang w:eastAsia="ko-KR"/>
                <w14:ligatures w14:val="standardContextual"/>
              </w:rPr>
              <w:t>prises</w:t>
            </w:r>
            <w:proofErr w:type="spellEnd"/>
            <w:r w:rsidRPr="004E13E9">
              <w:rPr>
                <w:rFonts w:eastAsia="Malgun Gothic"/>
                <w:b/>
                <w:kern w:val="2"/>
                <w:sz w:val="18"/>
                <w:szCs w:val="18"/>
                <w:lang w:eastAsia="ko-KR"/>
                <w14:ligatures w14:val="standardContextual"/>
              </w:rPr>
              <w:t xml:space="preserve"> </w:t>
            </w:r>
            <w:proofErr w:type="spellStart"/>
            <w:r w:rsidRPr="004E13E9">
              <w:rPr>
                <w:rFonts w:eastAsia="Malgun Gothic"/>
                <w:b/>
                <w:kern w:val="2"/>
                <w:sz w:val="18"/>
                <w:szCs w:val="18"/>
                <w:lang w:eastAsia="ko-KR"/>
                <w14:ligatures w14:val="standardContextual"/>
              </w:rPr>
              <w:t>accessoires</w:t>
            </w:r>
            <w:proofErr w:type="spellEnd"/>
            <w:r w:rsidRPr="004E13E9">
              <w:rPr>
                <w:rFonts w:eastAsia="Malgun Gothic"/>
                <w:b/>
                <w:kern w:val="2"/>
                <w:sz w:val="18"/>
                <w:szCs w:val="18"/>
                <w:vertAlign w:val="superscript"/>
                <w:lang w:eastAsia="ko-KR"/>
                <w14:ligatures w14:val="standardContextual"/>
              </w:rPr>
              <w:t>*</w:t>
            </w:r>
          </w:p>
        </w:tc>
        <w:tc>
          <w:tcPr>
            <w:tcW w:w="1407" w:type="dxa"/>
            <w:tcBorders>
              <w:top w:val="single" w:sz="4" w:space="0" w:color="auto"/>
              <w:left w:val="single" w:sz="4" w:space="0" w:color="auto"/>
              <w:bottom w:val="single" w:sz="4" w:space="0" w:color="auto"/>
              <w:right w:val="single" w:sz="4" w:space="0" w:color="auto"/>
            </w:tcBorders>
            <w:noWrap/>
            <w:vAlign w:val="center"/>
          </w:tcPr>
          <w:p w14:paraId="1436DF69" w14:textId="77777777" w:rsidR="007C1525" w:rsidRPr="004E13E9" w:rsidRDefault="007C1525" w:rsidP="00D47E5E">
            <w:pPr>
              <w:jc w:val="right"/>
              <w:rPr>
                <w:rFonts w:eastAsia="Times New Roman" w:cs="Calibri"/>
                <w:sz w:val="18"/>
                <w:szCs w:val="18"/>
                <w:lang w:eastAsia="ja-JP"/>
              </w:rPr>
            </w:pPr>
          </w:p>
        </w:tc>
        <w:tc>
          <w:tcPr>
            <w:tcW w:w="830" w:type="dxa"/>
            <w:tcBorders>
              <w:top w:val="single" w:sz="4" w:space="0" w:color="auto"/>
              <w:left w:val="single" w:sz="4" w:space="0" w:color="auto"/>
              <w:bottom w:val="single" w:sz="4" w:space="0" w:color="auto"/>
              <w:right w:val="single" w:sz="4" w:space="0" w:color="auto"/>
            </w:tcBorders>
          </w:tcPr>
          <w:p w14:paraId="18257EE9" w14:textId="77777777" w:rsidR="007C1525" w:rsidRPr="004E13E9" w:rsidRDefault="007C1525" w:rsidP="00D47E5E">
            <w:pPr>
              <w:rPr>
                <w:rFonts w:eastAsia="Times New Roman" w:cs="Calibri"/>
                <w:sz w:val="18"/>
                <w:szCs w:val="18"/>
                <w:lang w:eastAsia="ja-JP"/>
              </w:rPr>
            </w:pPr>
          </w:p>
        </w:tc>
        <w:tc>
          <w:tcPr>
            <w:tcW w:w="615" w:type="dxa"/>
            <w:tcBorders>
              <w:top w:val="single" w:sz="4" w:space="0" w:color="auto"/>
              <w:left w:val="single" w:sz="4" w:space="0" w:color="auto"/>
              <w:bottom w:val="single" w:sz="4" w:space="0" w:color="auto"/>
              <w:right w:val="single" w:sz="4" w:space="0" w:color="auto"/>
            </w:tcBorders>
            <w:noWrap/>
            <w:vAlign w:val="center"/>
          </w:tcPr>
          <w:p w14:paraId="71827A39" w14:textId="77777777" w:rsidR="007C1525" w:rsidRPr="004E13E9" w:rsidRDefault="007C1525" w:rsidP="00D47E5E">
            <w:pPr>
              <w:rPr>
                <w:rFonts w:eastAsia="Times New Roman" w:cs="Calibri"/>
                <w:sz w:val="18"/>
                <w:szCs w:val="18"/>
                <w:lang w:eastAsia="ja-JP"/>
              </w:rPr>
            </w:pPr>
          </w:p>
        </w:tc>
        <w:tc>
          <w:tcPr>
            <w:tcW w:w="674" w:type="dxa"/>
            <w:tcBorders>
              <w:top w:val="single" w:sz="4" w:space="0" w:color="auto"/>
              <w:left w:val="single" w:sz="4" w:space="0" w:color="auto"/>
              <w:bottom w:val="single" w:sz="4" w:space="0" w:color="auto"/>
              <w:right w:val="single" w:sz="4" w:space="0" w:color="auto"/>
            </w:tcBorders>
            <w:vAlign w:val="center"/>
          </w:tcPr>
          <w:p w14:paraId="3597C4C9" w14:textId="77777777" w:rsidR="007C1525" w:rsidRPr="004E13E9" w:rsidRDefault="007C1525" w:rsidP="00D47E5E">
            <w:pPr>
              <w:rPr>
                <w:rFonts w:eastAsia="Times New Roman" w:cs="Calibri"/>
                <w:sz w:val="18"/>
                <w:szCs w:val="18"/>
                <w:lang w:eastAsia="ja-JP"/>
              </w:rPr>
            </w:pPr>
          </w:p>
        </w:tc>
        <w:tc>
          <w:tcPr>
            <w:tcW w:w="706" w:type="dxa"/>
            <w:tcBorders>
              <w:top w:val="single" w:sz="4" w:space="0" w:color="auto"/>
              <w:left w:val="single" w:sz="4" w:space="0" w:color="auto"/>
              <w:bottom w:val="single" w:sz="4" w:space="0" w:color="auto"/>
              <w:right w:val="single" w:sz="4" w:space="0" w:color="auto"/>
            </w:tcBorders>
            <w:vAlign w:val="center"/>
          </w:tcPr>
          <w:p w14:paraId="1A651209" w14:textId="77777777" w:rsidR="007C1525" w:rsidRPr="004E13E9" w:rsidRDefault="007C1525" w:rsidP="00D47E5E">
            <w:pPr>
              <w:rPr>
                <w:rFonts w:eastAsia="Times New Roman" w:cs="Calibri"/>
                <w:sz w:val="18"/>
                <w:szCs w:val="18"/>
                <w:lang w:eastAsia="ja-JP"/>
              </w:rPr>
            </w:pPr>
          </w:p>
        </w:tc>
        <w:tc>
          <w:tcPr>
            <w:tcW w:w="615" w:type="dxa"/>
            <w:tcBorders>
              <w:top w:val="single" w:sz="4" w:space="0" w:color="auto"/>
              <w:left w:val="single" w:sz="4" w:space="0" w:color="auto"/>
              <w:bottom w:val="single" w:sz="4" w:space="0" w:color="auto"/>
              <w:right w:val="single" w:sz="4" w:space="0" w:color="auto"/>
            </w:tcBorders>
            <w:vAlign w:val="center"/>
          </w:tcPr>
          <w:p w14:paraId="3271B3E5" w14:textId="77777777" w:rsidR="007C1525" w:rsidRPr="004E13E9" w:rsidRDefault="007C1525" w:rsidP="00D47E5E">
            <w:pPr>
              <w:rPr>
                <w:rFonts w:eastAsia="Times New Roman" w:cs="Calibri"/>
                <w:sz w:val="18"/>
                <w:szCs w:val="18"/>
                <w:lang w:eastAsia="ja-JP"/>
              </w:rPr>
            </w:pPr>
          </w:p>
        </w:tc>
        <w:tc>
          <w:tcPr>
            <w:tcW w:w="615" w:type="dxa"/>
            <w:tcBorders>
              <w:top w:val="single" w:sz="4" w:space="0" w:color="auto"/>
              <w:left w:val="single" w:sz="4" w:space="0" w:color="auto"/>
              <w:bottom w:val="single" w:sz="4" w:space="0" w:color="auto"/>
              <w:right w:val="single" w:sz="4" w:space="0" w:color="auto"/>
            </w:tcBorders>
          </w:tcPr>
          <w:p w14:paraId="4F0F1CC0" w14:textId="77777777" w:rsidR="007C1525" w:rsidRPr="004E13E9" w:rsidRDefault="007C1525" w:rsidP="00D47E5E">
            <w:pPr>
              <w:rPr>
                <w:rFonts w:eastAsia="Times New Roman" w:cs="Calibri"/>
                <w:sz w:val="18"/>
                <w:szCs w:val="18"/>
                <w:lang w:eastAsia="ja-JP"/>
              </w:rPr>
            </w:pPr>
          </w:p>
        </w:tc>
        <w:tc>
          <w:tcPr>
            <w:tcW w:w="623" w:type="dxa"/>
            <w:tcBorders>
              <w:top w:val="single" w:sz="4" w:space="0" w:color="auto"/>
              <w:left w:val="single" w:sz="4" w:space="0" w:color="auto"/>
              <w:bottom w:val="single" w:sz="4" w:space="0" w:color="auto"/>
              <w:right w:val="single" w:sz="4" w:space="0" w:color="auto"/>
            </w:tcBorders>
          </w:tcPr>
          <w:p w14:paraId="11CED34F" w14:textId="77777777" w:rsidR="007C1525" w:rsidRPr="004E13E9" w:rsidRDefault="007C1525" w:rsidP="00D47E5E">
            <w:pPr>
              <w:jc w:val="center"/>
              <w:rPr>
                <w:rFonts w:eastAsia="Times New Roman" w:cs="Calibri"/>
                <w:sz w:val="18"/>
                <w:szCs w:val="18"/>
                <w:lang w:eastAsia="ja-JP"/>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tcPr>
          <w:p w14:paraId="468D4435" w14:textId="77777777" w:rsidR="007C1525" w:rsidRPr="004E13E9" w:rsidRDefault="007C1525" w:rsidP="00D47E5E">
            <w:pPr>
              <w:rPr>
                <w:rFonts w:eastAsia="Times New Roman" w:cs="Calibri"/>
                <w:sz w:val="18"/>
                <w:szCs w:val="18"/>
                <w:lang w:eastAsia="ja-JP"/>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47E7C2C"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b/>
                <w:bCs/>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736E726E"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b/>
                <w:bCs/>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6F28ECFB" w14:textId="77777777" w:rsidR="007C1525" w:rsidRPr="004E13E9" w:rsidRDefault="007C1525" w:rsidP="00D47E5E">
            <w:pPr>
              <w:jc w:val="center"/>
              <w:rPr>
                <w:rFonts w:eastAsia="Times New Roman" w:cs="Calibri"/>
                <w:sz w:val="18"/>
                <w:szCs w:val="18"/>
                <w:lang w:eastAsia="ja-JP"/>
              </w:rPr>
            </w:pPr>
            <w:r w:rsidRPr="004E13E9">
              <w:rPr>
                <w:rFonts w:eastAsia="Times New Roman" w:cs="Calibri"/>
                <w:b/>
                <w:bCs/>
                <w:sz w:val="16"/>
                <w:szCs w:val="16"/>
              </w:rPr>
              <w:t>21,15</w:t>
            </w:r>
          </w:p>
        </w:tc>
        <w:tc>
          <w:tcPr>
            <w:tcW w:w="850" w:type="dxa"/>
            <w:tcBorders>
              <w:top w:val="single" w:sz="4" w:space="0" w:color="auto"/>
              <w:left w:val="single" w:sz="4" w:space="0" w:color="auto"/>
              <w:bottom w:val="single" w:sz="4" w:space="0" w:color="auto"/>
              <w:right w:val="single" w:sz="4" w:space="0" w:color="auto"/>
            </w:tcBorders>
            <w:vAlign w:val="center"/>
            <w:hideMark/>
          </w:tcPr>
          <w:p w14:paraId="10183F50"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b/>
                <w:bCs/>
                <w:sz w:val="16"/>
                <w:szCs w:val="16"/>
              </w:rPr>
              <w:t>30</w:t>
            </w:r>
          </w:p>
        </w:tc>
        <w:tc>
          <w:tcPr>
            <w:tcW w:w="992" w:type="dxa"/>
            <w:tcBorders>
              <w:top w:val="single" w:sz="4" w:space="0" w:color="auto"/>
              <w:left w:val="single" w:sz="4" w:space="0" w:color="auto"/>
              <w:bottom w:val="single" w:sz="4" w:space="0" w:color="auto"/>
              <w:right w:val="single" w:sz="4" w:space="0" w:color="auto"/>
            </w:tcBorders>
            <w:vAlign w:val="center"/>
            <w:hideMark/>
          </w:tcPr>
          <w:p w14:paraId="0D41A9B8"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b/>
                <w:bCs/>
                <w:sz w:val="16"/>
                <w:szCs w:val="16"/>
              </w:rPr>
              <w:t>30</w:t>
            </w:r>
          </w:p>
        </w:tc>
        <w:tc>
          <w:tcPr>
            <w:tcW w:w="993" w:type="dxa"/>
            <w:tcBorders>
              <w:top w:val="single" w:sz="4" w:space="0" w:color="auto"/>
              <w:left w:val="single" w:sz="4" w:space="0" w:color="auto"/>
              <w:bottom w:val="single" w:sz="4" w:space="0" w:color="auto"/>
              <w:right w:val="single" w:sz="4" w:space="0" w:color="auto"/>
            </w:tcBorders>
            <w:vAlign w:val="center"/>
            <w:hideMark/>
          </w:tcPr>
          <w:p w14:paraId="2B18C087"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b/>
                <w:bCs/>
                <w:sz w:val="16"/>
                <w:szCs w:val="16"/>
              </w:rPr>
              <w:t>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9EB5DC" w14:textId="77777777" w:rsidR="007C1525" w:rsidRPr="004E13E9" w:rsidRDefault="007C1525" w:rsidP="00D47E5E">
            <w:pPr>
              <w:jc w:val="center"/>
              <w:rPr>
                <w:rFonts w:eastAsia="Times New Roman" w:cs="Calibri"/>
                <w:sz w:val="16"/>
                <w:szCs w:val="16"/>
                <w:lang w:eastAsia="ja-JP"/>
              </w:rPr>
            </w:pPr>
            <w:r w:rsidRPr="004E13E9">
              <w:rPr>
                <w:rFonts w:eastAsia="Times New Roman" w:cs="Calibri"/>
                <w:sz w:val="16"/>
                <w:szCs w:val="16"/>
                <w:lang w:eastAsia="ja-JP"/>
              </w:rPr>
              <w:t>35,28</w:t>
            </w:r>
          </w:p>
        </w:tc>
      </w:tr>
      <w:tr w:rsidR="007C1525" w:rsidRPr="00C5533C" w14:paraId="3E7DF20E"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vAlign w:val="center"/>
            <w:hideMark/>
          </w:tcPr>
          <w:p w14:paraId="25734D96" w14:textId="77777777" w:rsidR="007C1525" w:rsidRPr="004E13E9" w:rsidRDefault="007C1525" w:rsidP="00D47E5E">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Quota de recherche scientifique</w:t>
            </w:r>
          </w:p>
          <w:p w14:paraId="53744011" w14:textId="77777777" w:rsidR="007C1525" w:rsidRPr="004E13E9" w:rsidRDefault="007C1525" w:rsidP="00D47E5E">
            <w:pPr>
              <w:rPr>
                <w:rFonts w:eastAsia="Times New Roman" w:cs="Calibri"/>
                <w:b/>
                <w:bCs/>
                <w:sz w:val="18"/>
                <w:szCs w:val="18"/>
                <w:lang w:val="fr-FR" w:eastAsia="ja-JP"/>
              </w:rPr>
            </w:pPr>
            <w:r w:rsidRPr="004E13E9">
              <w:rPr>
                <w:rFonts w:eastAsia="Malgun Gothic"/>
                <w:b/>
                <w:kern w:val="2"/>
                <w:sz w:val="18"/>
                <w:szCs w:val="18"/>
                <w:lang w:val="fr-FR" w:eastAsia="ko-KR"/>
                <w14:ligatures w14:val="standardContextual"/>
              </w:rPr>
              <w:t>(le cas échéant)*</w:t>
            </w:r>
          </w:p>
        </w:tc>
        <w:tc>
          <w:tcPr>
            <w:tcW w:w="1407" w:type="dxa"/>
            <w:tcBorders>
              <w:top w:val="single" w:sz="4" w:space="0" w:color="auto"/>
              <w:left w:val="single" w:sz="4" w:space="0" w:color="auto"/>
              <w:bottom w:val="single" w:sz="4" w:space="0" w:color="auto"/>
              <w:right w:val="single" w:sz="4" w:space="0" w:color="auto"/>
            </w:tcBorders>
            <w:noWrap/>
            <w:vAlign w:val="center"/>
          </w:tcPr>
          <w:p w14:paraId="2DCABE71" w14:textId="77777777" w:rsidR="007C1525" w:rsidRPr="004E13E9" w:rsidRDefault="007C1525" w:rsidP="00D47E5E">
            <w:pPr>
              <w:jc w:val="right"/>
              <w:rPr>
                <w:rFonts w:eastAsia="Times New Roman" w:cs="Calibri"/>
                <w:b/>
                <w:bCs/>
                <w:sz w:val="18"/>
                <w:szCs w:val="18"/>
                <w:lang w:val="fr-FR" w:eastAsia="ja-JP"/>
              </w:rPr>
            </w:pPr>
          </w:p>
        </w:tc>
        <w:tc>
          <w:tcPr>
            <w:tcW w:w="830" w:type="dxa"/>
            <w:tcBorders>
              <w:top w:val="single" w:sz="4" w:space="0" w:color="auto"/>
              <w:left w:val="single" w:sz="4" w:space="0" w:color="auto"/>
              <w:bottom w:val="single" w:sz="4" w:space="0" w:color="auto"/>
              <w:right w:val="single" w:sz="4" w:space="0" w:color="auto"/>
            </w:tcBorders>
          </w:tcPr>
          <w:p w14:paraId="55F8CEF7" w14:textId="77777777" w:rsidR="007C1525" w:rsidRPr="004E13E9" w:rsidRDefault="007C1525" w:rsidP="00D47E5E">
            <w:pPr>
              <w:rPr>
                <w:rFonts w:eastAsia="Times New Roman" w:cs="Calibri"/>
                <w:b/>
                <w:bCs/>
                <w:sz w:val="18"/>
                <w:szCs w:val="18"/>
                <w:lang w:val="fr-FR" w:eastAsia="ja-JP"/>
              </w:rPr>
            </w:pPr>
          </w:p>
        </w:tc>
        <w:tc>
          <w:tcPr>
            <w:tcW w:w="615" w:type="dxa"/>
            <w:tcBorders>
              <w:top w:val="single" w:sz="4" w:space="0" w:color="auto"/>
              <w:left w:val="single" w:sz="4" w:space="0" w:color="auto"/>
              <w:bottom w:val="single" w:sz="4" w:space="0" w:color="auto"/>
              <w:right w:val="single" w:sz="4" w:space="0" w:color="auto"/>
            </w:tcBorders>
            <w:noWrap/>
            <w:vAlign w:val="center"/>
          </w:tcPr>
          <w:p w14:paraId="4528B25F" w14:textId="77777777" w:rsidR="007C1525" w:rsidRPr="004E13E9" w:rsidRDefault="007C1525" w:rsidP="00D47E5E">
            <w:pPr>
              <w:rPr>
                <w:rFonts w:eastAsia="Times New Roman" w:cs="Calibri"/>
                <w:b/>
                <w:bCs/>
                <w:sz w:val="18"/>
                <w:szCs w:val="18"/>
                <w:lang w:val="fr-FR" w:eastAsia="ja-JP"/>
              </w:rPr>
            </w:pPr>
          </w:p>
        </w:tc>
        <w:tc>
          <w:tcPr>
            <w:tcW w:w="674" w:type="dxa"/>
            <w:tcBorders>
              <w:top w:val="single" w:sz="4" w:space="0" w:color="auto"/>
              <w:left w:val="single" w:sz="4" w:space="0" w:color="auto"/>
              <w:bottom w:val="single" w:sz="4" w:space="0" w:color="auto"/>
              <w:right w:val="single" w:sz="4" w:space="0" w:color="auto"/>
            </w:tcBorders>
            <w:vAlign w:val="center"/>
          </w:tcPr>
          <w:p w14:paraId="454FBBC8" w14:textId="77777777" w:rsidR="007C1525" w:rsidRPr="004E13E9" w:rsidRDefault="007C1525" w:rsidP="00D47E5E">
            <w:pPr>
              <w:rPr>
                <w:rFonts w:eastAsia="Times New Roman" w:cs="Calibri"/>
                <w:b/>
                <w:bCs/>
                <w:sz w:val="18"/>
                <w:szCs w:val="18"/>
                <w:lang w:val="fr-FR" w:eastAsia="ja-JP"/>
              </w:rPr>
            </w:pPr>
          </w:p>
        </w:tc>
        <w:tc>
          <w:tcPr>
            <w:tcW w:w="706" w:type="dxa"/>
            <w:tcBorders>
              <w:top w:val="single" w:sz="4" w:space="0" w:color="auto"/>
              <w:left w:val="single" w:sz="4" w:space="0" w:color="auto"/>
              <w:bottom w:val="single" w:sz="4" w:space="0" w:color="auto"/>
              <w:right w:val="single" w:sz="4" w:space="0" w:color="auto"/>
            </w:tcBorders>
            <w:vAlign w:val="center"/>
          </w:tcPr>
          <w:p w14:paraId="1EE3B642" w14:textId="77777777" w:rsidR="007C1525" w:rsidRPr="004E13E9" w:rsidRDefault="007C1525" w:rsidP="00D47E5E">
            <w:pPr>
              <w:rPr>
                <w:rFonts w:eastAsia="Times New Roman" w:cs="Calibri"/>
                <w:b/>
                <w:bCs/>
                <w:sz w:val="18"/>
                <w:szCs w:val="18"/>
                <w:lang w:val="fr-FR" w:eastAsia="ja-JP"/>
              </w:rPr>
            </w:pPr>
          </w:p>
        </w:tc>
        <w:tc>
          <w:tcPr>
            <w:tcW w:w="615" w:type="dxa"/>
            <w:tcBorders>
              <w:top w:val="single" w:sz="4" w:space="0" w:color="auto"/>
              <w:left w:val="single" w:sz="4" w:space="0" w:color="auto"/>
              <w:bottom w:val="single" w:sz="4" w:space="0" w:color="auto"/>
              <w:right w:val="single" w:sz="4" w:space="0" w:color="auto"/>
            </w:tcBorders>
            <w:vAlign w:val="center"/>
          </w:tcPr>
          <w:p w14:paraId="20D3CA36" w14:textId="77777777" w:rsidR="007C1525" w:rsidRPr="004E13E9" w:rsidRDefault="007C1525" w:rsidP="00D47E5E">
            <w:pPr>
              <w:rPr>
                <w:rFonts w:eastAsia="Times New Roman" w:cs="Calibri"/>
                <w:b/>
                <w:bCs/>
                <w:sz w:val="18"/>
                <w:szCs w:val="18"/>
                <w:lang w:val="fr-FR" w:eastAsia="ja-JP"/>
              </w:rPr>
            </w:pPr>
          </w:p>
        </w:tc>
        <w:tc>
          <w:tcPr>
            <w:tcW w:w="615" w:type="dxa"/>
            <w:tcBorders>
              <w:top w:val="single" w:sz="4" w:space="0" w:color="auto"/>
              <w:left w:val="single" w:sz="4" w:space="0" w:color="auto"/>
              <w:bottom w:val="single" w:sz="4" w:space="0" w:color="auto"/>
              <w:right w:val="single" w:sz="4" w:space="0" w:color="auto"/>
            </w:tcBorders>
          </w:tcPr>
          <w:p w14:paraId="780130FC" w14:textId="77777777" w:rsidR="007C1525" w:rsidRPr="004E13E9" w:rsidRDefault="007C1525" w:rsidP="00D47E5E">
            <w:pPr>
              <w:rPr>
                <w:rFonts w:eastAsia="Times New Roman" w:cs="Calibri"/>
                <w:b/>
                <w:bCs/>
                <w:sz w:val="18"/>
                <w:szCs w:val="18"/>
                <w:lang w:val="fr-FR" w:eastAsia="ja-JP"/>
              </w:rPr>
            </w:pPr>
          </w:p>
        </w:tc>
        <w:tc>
          <w:tcPr>
            <w:tcW w:w="623" w:type="dxa"/>
            <w:tcBorders>
              <w:top w:val="single" w:sz="4" w:space="0" w:color="auto"/>
              <w:left w:val="single" w:sz="4" w:space="0" w:color="auto"/>
              <w:bottom w:val="single" w:sz="4" w:space="0" w:color="auto"/>
              <w:right w:val="single" w:sz="4" w:space="0" w:color="auto"/>
            </w:tcBorders>
          </w:tcPr>
          <w:p w14:paraId="60C13CAA" w14:textId="77777777" w:rsidR="007C1525" w:rsidRPr="004E13E9" w:rsidRDefault="007C1525" w:rsidP="00D47E5E">
            <w:pPr>
              <w:jc w:val="center"/>
              <w:rPr>
                <w:rFonts w:eastAsia="Times New Roman" w:cs="Calibri"/>
                <w:sz w:val="18"/>
                <w:szCs w:val="18"/>
                <w:lang w:val="fr-FR" w:eastAsia="ja-JP"/>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tcPr>
          <w:p w14:paraId="70412F2E" w14:textId="77777777" w:rsidR="007C1525" w:rsidRPr="004E13E9" w:rsidRDefault="007C1525" w:rsidP="00D47E5E">
            <w:pPr>
              <w:rPr>
                <w:rFonts w:eastAsia="Times New Roman" w:cs="Calibri"/>
                <w:b/>
                <w:bCs/>
                <w:sz w:val="18"/>
                <w:szCs w:val="18"/>
                <w:lang w:val="fr-FR" w:eastAsia="ja-JP"/>
              </w:rPr>
            </w:pPr>
          </w:p>
        </w:tc>
        <w:tc>
          <w:tcPr>
            <w:tcW w:w="851" w:type="dxa"/>
            <w:tcBorders>
              <w:top w:val="single" w:sz="4" w:space="0" w:color="auto"/>
              <w:left w:val="single" w:sz="4" w:space="0" w:color="auto"/>
              <w:bottom w:val="single" w:sz="4" w:space="0" w:color="auto"/>
              <w:right w:val="single" w:sz="4" w:space="0" w:color="auto"/>
            </w:tcBorders>
            <w:vAlign w:val="center"/>
          </w:tcPr>
          <w:p w14:paraId="0FBBE75B" w14:textId="77777777" w:rsidR="007C1525" w:rsidRPr="004E13E9" w:rsidRDefault="007C1525" w:rsidP="00D47E5E">
            <w:pPr>
              <w:rPr>
                <w:rFonts w:eastAsia="Times New Roman" w:cs="Calibri"/>
                <w:b/>
                <w:bCs/>
                <w:sz w:val="18"/>
                <w:szCs w:val="18"/>
                <w:lang w:val="fr-FR" w:eastAsia="ja-JP"/>
              </w:rPr>
            </w:pPr>
          </w:p>
        </w:tc>
        <w:tc>
          <w:tcPr>
            <w:tcW w:w="850" w:type="dxa"/>
            <w:tcBorders>
              <w:top w:val="single" w:sz="4" w:space="0" w:color="auto"/>
              <w:left w:val="single" w:sz="4" w:space="0" w:color="auto"/>
              <w:bottom w:val="single" w:sz="4" w:space="0" w:color="auto"/>
              <w:right w:val="single" w:sz="4" w:space="0" w:color="auto"/>
            </w:tcBorders>
            <w:vAlign w:val="center"/>
          </w:tcPr>
          <w:p w14:paraId="36A75A69" w14:textId="77777777" w:rsidR="007C1525" w:rsidRPr="004E13E9" w:rsidRDefault="007C1525" w:rsidP="00D47E5E">
            <w:pPr>
              <w:rPr>
                <w:rFonts w:eastAsia="Times New Roman" w:cs="Calibri"/>
                <w:b/>
                <w:bCs/>
                <w:sz w:val="18"/>
                <w:szCs w:val="18"/>
                <w:lang w:val="fr-FR" w:eastAsia="ja-JP"/>
              </w:rPr>
            </w:pPr>
          </w:p>
        </w:tc>
        <w:tc>
          <w:tcPr>
            <w:tcW w:w="993" w:type="dxa"/>
            <w:tcBorders>
              <w:top w:val="single" w:sz="4" w:space="0" w:color="auto"/>
              <w:left w:val="single" w:sz="4" w:space="0" w:color="auto"/>
              <w:bottom w:val="single" w:sz="4" w:space="0" w:color="auto"/>
              <w:right w:val="single" w:sz="4" w:space="0" w:color="auto"/>
            </w:tcBorders>
            <w:vAlign w:val="center"/>
          </w:tcPr>
          <w:p w14:paraId="4D444B81" w14:textId="77777777" w:rsidR="007C1525" w:rsidRPr="004E13E9" w:rsidRDefault="007C1525" w:rsidP="00D47E5E">
            <w:pPr>
              <w:rPr>
                <w:rFonts w:eastAsia="Times New Roman" w:cs="Calibri"/>
                <w:b/>
                <w:bCs/>
                <w:sz w:val="18"/>
                <w:szCs w:val="18"/>
                <w:lang w:val="fr-FR" w:eastAsia="ja-JP"/>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0117A24" w14:textId="77777777" w:rsidR="007C1525" w:rsidRPr="004E13E9" w:rsidRDefault="007C1525" w:rsidP="00D47E5E">
            <w:pPr>
              <w:rPr>
                <w:rFonts w:eastAsia="Times New Roman" w:cs="Calibri"/>
                <w:b/>
                <w:bCs/>
                <w:sz w:val="16"/>
                <w:szCs w:val="16"/>
                <w:lang w:val="fr-FR" w:eastAsia="ja-JP"/>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9878E98" w14:textId="77777777" w:rsidR="007C1525" w:rsidRPr="004E13E9" w:rsidRDefault="007C1525" w:rsidP="00D47E5E">
            <w:pPr>
              <w:rPr>
                <w:rFonts w:eastAsia="Times New Roman" w:cs="Calibri"/>
                <w:b/>
                <w:bCs/>
                <w:sz w:val="16"/>
                <w:szCs w:val="16"/>
                <w:lang w:val="fr-FR" w:eastAsia="ja-JP"/>
              </w:rPr>
            </w:pPr>
          </w:p>
        </w:tc>
        <w:tc>
          <w:tcPr>
            <w:tcW w:w="993" w:type="dxa"/>
            <w:tcBorders>
              <w:top w:val="single" w:sz="4" w:space="0" w:color="auto"/>
              <w:left w:val="single" w:sz="4" w:space="0" w:color="auto"/>
              <w:bottom w:val="single" w:sz="4" w:space="0" w:color="auto"/>
              <w:right w:val="single" w:sz="4" w:space="0" w:color="auto"/>
            </w:tcBorders>
            <w:noWrap/>
            <w:vAlign w:val="center"/>
          </w:tcPr>
          <w:p w14:paraId="70763D0D" w14:textId="77777777" w:rsidR="007C1525" w:rsidRPr="004E13E9" w:rsidRDefault="007C1525" w:rsidP="00D47E5E">
            <w:pPr>
              <w:rPr>
                <w:rFonts w:eastAsia="Times New Roman" w:cs="Calibri"/>
                <w:b/>
                <w:bCs/>
                <w:sz w:val="16"/>
                <w:szCs w:val="16"/>
                <w:lang w:val="fr-FR" w:eastAsia="ja-JP"/>
              </w:rPr>
            </w:pPr>
          </w:p>
        </w:tc>
        <w:tc>
          <w:tcPr>
            <w:tcW w:w="1134" w:type="dxa"/>
            <w:tcBorders>
              <w:top w:val="single" w:sz="4" w:space="0" w:color="auto"/>
              <w:left w:val="single" w:sz="4" w:space="0" w:color="auto"/>
              <w:bottom w:val="single" w:sz="4" w:space="0" w:color="auto"/>
              <w:right w:val="single" w:sz="4" w:space="0" w:color="auto"/>
            </w:tcBorders>
          </w:tcPr>
          <w:p w14:paraId="031101C7" w14:textId="77777777" w:rsidR="007C1525" w:rsidRPr="004E13E9" w:rsidRDefault="007C1525" w:rsidP="00D47E5E">
            <w:pPr>
              <w:rPr>
                <w:rFonts w:eastAsia="Times New Roman" w:cs="Calibri"/>
                <w:b/>
                <w:bCs/>
                <w:sz w:val="16"/>
                <w:szCs w:val="16"/>
                <w:lang w:val="fr-FR"/>
              </w:rPr>
            </w:pPr>
          </w:p>
        </w:tc>
      </w:tr>
      <w:tr w:rsidR="007C1525" w:rsidRPr="004E13E9" w14:paraId="6ED9C160"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vAlign w:val="center"/>
            <w:hideMark/>
          </w:tcPr>
          <w:p w14:paraId="00BBD6DD" w14:textId="77777777" w:rsidR="007C1525" w:rsidRPr="004E13E9" w:rsidRDefault="007C1525" w:rsidP="00D47E5E">
            <w:pPr>
              <w:spacing w:line="276" w:lineRule="auto"/>
              <w:rPr>
                <w:rFonts w:eastAsia="Times New Roman" w:cs="Calibri"/>
                <w:b/>
                <w:bCs/>
                <w:kern w:val="2"/>
                <w:sz w:val="18"/>
                <w:szCs w:val="18"/>
                <w:lang w:val="fr-FR" w:eastAsia="ko-KR"/>
                <w14:ligatures w14:val="standardContextual"/>
              </w:rPr>
            </w:pPr>
            <w:r w:rsidRPr="004E13E9">
              <w:rPr>
                <w:rFonts w:eastAsia="Malgun Gothic"/>
                <w:b/>
                <w:kern w:val="2"/>
                <w:sz w:val="18"/>
                <w:szCs w:val="18"/>
                <w:lang w:val="fr-FR" w:eastAsia="ko-KR"/>
                <w14:ligatures w14:val="standardContextual"/>
              </w:rPr>
              <w:t>Tolérance pour la pêche sportive/récréative</w:t>
            </w:r>
          </w:p>
          <w:p w14:paraId="412E8340" w14:textId="77777777" w:rsidR="007C1525" w:rsidRPr="004E13E9" w:rsidRDefault="007C1525" w:rsidP="00D47E5E">
            <w:pPr>
              <w:rPr>
                <w:rFonts w:eastAsia="Times New Roman" w:cs="Calibri"/>
                <w:b/>
                <w:bCs/>
                <w:sz w:val="18"/>
                <w:szCs w:val="18"/>
                <w:lang w:eastAsia="ja-JP"/>
              </w:rPr>
            </w:pPr>
            <w:r w:rsidRPr="004E13E9">
              <w:rPr>
                <w:rFonts w:eastAsia="Malgun Gothic"/>
                <w:b/>
                <w:kern w:val="2"/>
                <w:sz w:val="18"/>
                <w:szCs w:val="18"/>
                <w:lang w:eastAsia="ko-KR"/>
                <w14:ligatures w14:val="standardContextual"/>
              </w:rPr>
              <w:t xml:space="preserve">(le </w:t>
            </w:r>
            <w:proofErr w:type="spellStart"/>
            <w:r w:rsidRPr="004E13E9">
              <w:rPr>
                <w:rFonts w:eastAsia="Malgun Gothic"/>
                <w:b/>
                <w:kern w:val="2"/>
                <w:sz w:val="18"/>
                <w:szCs w:val="18"/>
                <w:lang w:eastAsia="ko-KR"/>
                <w14:ligatures w14:val="standardContextual"/>
              </w:rPr>
              <w:t>cas</w:t>
            </w:r>
            <w:proofErr w:type="spellEnd"/>
            <w:r w:rsidRPr="004E13E9">
              <w:rPr>
                <w:rFonts w:eastAsia="Malgun Gothic"/>
                <w:b/>
                <w:kern w:val="2"/>
                <w:sz w:val="18"/>
                <w:szCs w:val="18"/>
                <w:lang w:eastAsia="ko-KR"/>
                <w14:ligatures w14:val="standardContextual"/>
              </w:rPr>
              <w:t xml:space="preserve"> </w:t>
            </w:r>
            <w:proofErr w:type="gramStart"/>
            <w:r w:rsidRPr="004E13E9">
              <w:rPr>
                <w:rFonts w:eastAsia="Malgun Gothic"/>
                <w:b/>
                <w:kern w:val="2"/>
                <w:sz w:val="18"/>
                <w:szCs w:val="18"/>
                <w:lang w:eastAsia="ko-KR"/>
                <w14:ligatures w14:val="standardContextual"/>
              </w:rPr>
              <w:t>échéant)*</w:t>
            </w:r>
            <w:proofErr w:type="gramEnd"/>
          </w:p>
        </w:tc>
        <w:tc>
          <w:tcPr>
            <w:tcW w:w="1407" w:type="dxa"/>
            <w:tcBorders>
              <w:top w:val="single" w:sz="4" w:space="0" w:color="auto"/>
              <w:left w:val="single" w:sz="4" w:space="0" w:color="auto"/>
              <w:bottom w:val="single" w:sz="4" w:space="0" w:color="auto"/>
              <w:right w:val="single" w:sz="4" w:space="0" w:color="auto"/>
            </w:tcBorders>
            <w:noWrap/>
            <w:vAlign w:val="center"/>
          </w:tcPr>
          <w:p w14:paraId="306DF31D" w14:textId="77777777" w:rsidR="007C1525" w:rsidRPr="004E13E9" w:rsidRDefault="007C1525" w:rsidP="00D47E5E">
            <w:pPr>
              <w:jc w:val="right"/>
              <w:rPr>
                <w:rFonts w:eastAsia="Times New Roman" w:cs="Calibri"/>
                <w:b/>
                <w:bCs/>
                <w:sz w:val="18"/>
                <w:szCs w:val="18"/>
                <w:lang w:eastAsia="ja-JP"/>
              </w:rPr>
            </w:pPr>
          </w:p>
        </w:tc>
        <w:tc>
          <w:tcPr>
            <w:tcW w:w="830" w:type="dxa"/>
            <w:tcBorders>
              <w:top w:val="single" w:sz="4" w:space="0" w:color="auto"/>
              <w:left w:val="single" w:sz="4" w:space="0" w:color="auto"/>
              <w:bottom w:val="single" w:sz="4" w:space="0" w:color="auto"/>
              <w:right w:val="single" w:sz="4" w:space="0" w:color="auto"/>
            </w:tcBorders>
          </w:tcPr>
          <w:p w14:paraId="05145BB5" w14:textId="77777777" w:rsidR="007C1525" w:rsidRPr="004E13E9" w:rsidRDefault="007C1525" w:rsidP="00D47E5E">
            <w:pPr>
              <w:rPr>
                <w:rFonts w:eastAsia="Times New Roman" w:cs="Calibri"/>
                <w:b/>
                <w:bCs/>
                <w:sz w:val="18"/>
                <w:szCs w:val="18"/>
                <w:lang w:eastAsia="ja-JP"/>
              </w:rPr>
            </w:pPr>
          </w:p>
        </w:tc>
        <w:tc>
          <w:tcPr>
            <w:tcW w:w="615" w:type="dxa"/>
            <w:tcBorders>
              <w:top w:val="single" w:sz="4" w:space="0" w:color="auto"/>
              <w:left w:val="single" w:sz="4" w:space="0" w:color="auto"/>
              <w:bottom w:val="single" w:sz="4" w:space="0" w:color="auto"/>
              <w:right w:val="single" w:sz="4" w:space="0" w:color="auto"/>
            </w:tcBorders>
            <w:noWrap/>
            <w:vAlign w:val="center"/>
          </w:tcPr>
          <w:p w14:paraId="790EDCC2" w14:textId="77777777" w:rsidR="007C1525" w:rsidRPr="004E13E9" w:rsidRDefault="007C1525" w:rsidP="00D47E5E">
            <w:pPr>
              <w:rPr>
                <w:rFonts w:eastAsia="Times New Roman" w:cs="Calibri"/>
                <w:b/>
                <w:bCs/>
                <w:sz w:val="18"/>
                <w:szCs w:val="18"/>
                <w:lang w:eastAsia="ja-JP"/>
              </w:rPr>
            </w:pPr>
          </w:p>
        </w:tc>
        <w:tc>
          <w:tcPr>
            <w:tcW w:w="674" w:type="dxa"/>
            <w:tcBorders>
              <w:top w:val="single" w:sz="4" w:space="0" w:color="auto"/>
              <w:left w:val="single" w:sz="4" w:space="0" w:color="auto"/>
              <w:bottom w:val="single" w:sz="4" w:space="0" w:color="auto"/>
              <w:right w:val="single" w:sz="4" w:space="0" w:color="auto"/>
            </w:tcBorders>
            <w:vAlign w:val="center"/>
          </w:tcPr>
          <w:p w14:paraId="4A37EC8C" w14:textId="77777777" w:rsidR="007C1525" w:rsidRPr="004E13E9" w:rsidRDefault="007C1525" w:rsidP="00D47E5E">
            <w:pPr>
              <w:rPr>
                <w:rFonts w:eastAsia="Times New Roman" w:cs="Calibri"/>
                <w:b/>
                <w:bCs/>
                <w:sz w:val="18"/>
                <w:szCs w:val="18"/>
                <w:lang w:eastAsia="ja-JP"/>
              </w:rPr>
            </w:pPr>
          </w:p>
        </w:tc>
        <w:tc>
          <w:tcPr>
            <w:tcW w:w="706" w:type="dxa"/>
            <w:tcBorders>
              <w:top w:val="single" w:sz="4" w:space="0" w:color="auto"/>
              <w:left w:val="single" w:sz="4" w:space="0" w:color="auto"/>
              <w:bottom w:val="single" w:sz="4" w:space="0" w:color="auto"/>
              <w:right w:val="single" w:sz="4" w:space="0" w:color="auto"/>
            </w:tcBorders>
            <w:vAlign w:val="center"/>
          </w:tcPr>
          <w:p w14:paraId="5E7A8A41" w14:textId="77777777" w:rsidR="007C1525" w:rsidRPr="004E13E9" w:rsidRDefault="007C1525" w:rsidP="00D47E5E">
            <w:pPr>
              <w:rPr>
                <w:rFonts w:eastAsia="Times New Roman" w:cs="Calibri"/>
                <w:b/>
                <w:bCs/>
                <w:sz w:val="18"/>
                <w:szCs w:val="18"/>
                <w:lang w:eastAsia="ja-JP"/>
              </w:rPr>
            </w:pPr>
          </w:p>
        </w:tc>
        <w:tc>
          <w:tcPr>
            <w:tcW w:w="615" w:type="dxa"/>
            <w:tcBorders>
              <w:top w:val="single" w:sz="4" w:space="0" w:color="auto"/>
              <w:left w:val="single" w:sz="4" w:space="0" w:color="auto"/>
              <w:bottom w:val="single" w:sz="4" w:space="0" w:color="auto"/>
              <w:right w:val="single" w:sz="4" w:space="0" w:color="auto"/>
            </w:tcBorders>
            <w:vAlign w:val="center"/>
          </w:tcPr>
          <w:p w14:paraId="1E16BFD3" w14:textId="77777777" w:rsidR="007C1525" w:rsidRPr="004E13E9" w:rsidRDefault="007C1525" w:rsidP="00D47E5E">
            <w:pPr>
              <w:rPr>
                <w:rFonts w:eastAsia="Times New Roman" w:cs="Calibri"/>
                <w:b/>
                <w:bCs/>
                <w:sz w:val="18"/>
                <w:szCs w:val="18"/>
                <w:lang w:eastAsia="ja-JP"/>
              </w:rPr>
            </w:pPr>
          </w:p>
        </w:tc>
        <w:tc>
          <w:tcPr>
            <w:tcW w:w="615" w:type="dxa"/>
            <w:tcBorders>
              <w:top w:val="single" w:sz="4" w:space="0" w:color="auto"/>
              <w:left w:val="single" w:sz="4" w:space="0" w:color="auto"/>
              <w:bottom w:val="single" w:sz="4" w:space="0" w:color="auto"/>
              <w:right w:val="single" w:sz="4" w:space="0" w:color="auto"/>
            </w:tcBorders>
          </w:tcPr>
          <w:p w14:paraId="69C9BDD1" w14:textId="77777777" w:rsidR="007C1525" w:rsidRPr="004E13E9" w:rsidRDefault="007C1525" w:rsidP="00D47E5E">
            <w:pPr>
              <w:rPr>
                <w:rFonts w:eastAsia="Times New Roman" w:cs="Calibri"/>
                <w:b/>
                <w:bCs/>
                <w:sz w:val="18"/>
                <w:szCs w:val="18"/>
                <w:lang w:eastAsia="ja-JP"/>
              </w:rPr>
            </w:pPr>
          </w:p>
        </w:tc>
        <w:tc>
          <w:tcPr>
            <w:tcW w:w="623" w:type="dxa"/>
            <w:tcBorders>
              <w:top w:val="single" w:sz="4" w:space="0" w:color="auto"/>
              <w:left w:val="single" w:sz="4" w:space="0" w:color="auto"/>
              <w:bottom w:val="single" w:sz="4" w:space="0" w:color="auto"/>
              <w:right w:val="single" w:sz="4" w:space="0" w:color="auto"/>
            </w:tcBorders>
          </w:tcPr>
          <w:p w14:paraId="7B83F5A8" w14:textId="77777777" w:rsidR="007C1525" w:rsidRPr="004E13E9" w:rsidRDefault="007C1525" w:rsidP="00D47E5E">
            <w:pPr>
              <w:jc w:val="center"/>
              <w:rPr>
                <w:rFonts w:eastAsia="Times New Roman" w:cs="Calibri"/>
                <w:sz w:val="18"/>
                <w:szCs w:val="18"/>
                <w:lang w:eastAsia="ja-JP"/>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tcPr>
          <w:p w14:paraId="10741C1B" w14:textId="77777777" w:rsidR="007C1525" w:rsidRPr="004E13E9" w:rsidRDefault="007C1525" w:rsidP="00D47E5E">
            <w:pPr>
              <w:rPr>
                <w:rFonts w:eastAsia="Times New Roman" w:cs="Calibri"/>
                <w:b/>
                <w:bCs/>
                <w:sz w:val="18"/>
                <w:szCs w:val="18"/>
                <w:lang w:eastAsia="ja-JP"/>
              </w:rPr>
            </w:pPr>
          </w:p>
        </w:tc>
        <w:tc>
          <w:tcPr>
            <w:tcW w:w="851" w:type="dxa"/>
            <w:tcBorders>
              <w:top w:val="single" w:sz="4" w:space="0" w:color="auto"/>
              <w:left w:val="single" w:sz="4" w:space="0" w:color="auto"/>
              <w:bottom w:val="single" w:sz="4" w:space="0" w:color="auto"/>
              <w:right w:val="single" w:sz="4" w:space="0" w:color="auto"/>
            </w:tcBorders>
          </w:tcPr>
          <w:p w14:paraId="5166E4D7" w14:textId="77777777" w:rsidR="007C1525" w:rsidRPr="004E13E9" w:rsidRDefault="007C1525" w:rsidP="00D47E5E">
            <w:pPr>
              <w:rPr>
                <w:rFonts w:eastAsia="Times New Roman" w:cs="Calibri"/>
                <w:b/>
                <w:bCs/>
                <w:sz w:val="18"/>
                <w:szCs w:val="18"/>
                <w:lang w:eastAsia="ja-JP"/>
              </w:rPr>
            </w:pPr>
          </w:p>
        </w:tc>
        <w:tc>
          <w:tcPr>
            <w:tcW w:w="850" w:type="dxa"/>
            <w:tcBorders>
              <w:top w:val="single" w:sz="4" w:space="0" w:color="auto"/>
              <w:left w:val="single" w:sz="4" w:space="0" w:color="auto"/>
              <w:bottom w:val="single" w:sz="4" w:space="0" w:color="auto"/>
              <w:right w:val="single" w:sz="4" w:space="0" w:color="auto"/>
            </w:tcBorders>
            <w:vAlign w:val="center"/>
          </w:tcPr>
          <w:p w14:paraId="7365EC50" w14:textId="77777777" w:rsidR="007C1525" w:rsidRPr="004E13E9" w:rsidRDefault="007C1525" w:rsidP="00D47E5E">
            <w:pPr>
              <w:rPr>
                <w:rFonts w:eastAsia="Times New Roman" w:cs="Calibri"/>
                <w:b/>
                <w:bCs/>
                <w:sz w:val="18"/>
                <w:szCs w:val="18"/>
                <w:lang w:eastAsia="ja-JP"/>
              </w:rPr>
            </w:pPr>
          </w:p>
        </w:tc>
        <w:tc>
          <w:tcPr>
            <w:tcW w:w="993" w:type="dxa"/>
            <w:tcBorders>
              <w:top w:val="single" w:sz="4" w:space="0" w:color="auto"/>
              <w:left w:val="single" w:sz="4" w:space="0" w:color="auto"/>
              <w:bottom w:val="single" w:sz="4" w:space="0" w:color="auto"/>
              <w:right w:val="single" w:sz="4" w:space="0" w:color="auto"/>
            </w:tcBorders>
            <w:vAlign w:val="center"/>
          </w:tcPr>
          <w:p w14:paraId="28279B98" w14:textId="77777777" w:rsidR="007C1525" w:rsidRPr="004E13E9" w:rsidRDefault="007C1525" w:rsidP="00D47E5E">
            <w:pPr>
              <w:rPr>
                <w:rFonts w:eastAsia="Times New Roman" w:cs="Calibri"/>
                <w:b/>
                <w:bCs/>
                <w:sz w:val="18"/>
                <w:szCs w:val="18"/>
                <w:lang w:eastAsia="ja-JP"/>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288EAAB" w14:textId="77777777" w:rsidR="007C1525" w:rsidRPr="004E13E9" w:rsidRDefault="007C1525" w:rsidP="00D47E5E">
            <w:pPr>
              <w:rPr>
                <w:rFonts w:eastAsia="Times New Roman" w:cs="Calibri"/>
                <w:b/>
                <w:bCs/>
                <w:sz w:val="16"/>
                <w:szCs w:val="16"/>
                <w:lang w:eastAsia="ja-JP"/>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99F4A6F" w14:textId="77777777" w:rsidR="007C1525" w:rsidRPr="004E13E9" w:rsidRDefault="007C1525" w:rsidP="00D47E5E">
            <w:pPr>
              <w:rPr>
                <w:rFonts w:eastAsia="Times New Roman" w:cs="Calibri"/>
                <w:b/>
                <w:bCs/>
                <w:sz w:val="16"/>
                <w:szCs w:val="16"/>
                <w:lang w:eastAsia="ja-JP"/>
              </w:rPr>
            </w:pPr>
          </w:p>
        </w:tc>
        <w:tc>
          <w:tcPr>
            <w:tcW w:w="993" w:type="dxa"/>
            <w:tcBorders>
              <w:top w:val="single" w:sz="4" w:space="0" w:color="auto"/>
              <w:left w:val="single" w:sz="4" w:space="0" w:color="auto"/>
              <w:bottom w:val="single" w:sz="4" w:space="0" w:color="auto"/>
              <w:right w:val="single" w:sz="4" w:space="0" w:color="auto"/>
            </w:tcBorders>
            <w:noWrap/>
            <w:vAlign w:val="center"/>
          </w:tcPr>
          <w:p w14:paraId="5EF75386" w14:textId="77777777" w:rsidR="007C1525" w:rsidRPr="004E13E9" w:rsidRDefault="007C1525" w:rsidP="00D47E5E">
            <w:pPr>
              <w:rPr>
                <w:rFonts w:eastAsia="Times New Roman" w:cs="Calibri"/>
                <w:b/>
                <w:bCs/>
                <w:sz w:val="16"/>
                <w:szCs w:val="16"/>
                <w:lang w:eastAsia="ja-JP"/>
              </w:rPr>
            </w:pPr>
          </w:p>
        </w:tc>
        <w:tc>
          <w:tcPr>
            <w:tcW w:w="1134" w:type="dxa"/>
            <w:tcBorders>
              <w:top w:val="single" w:sz="4" w:space="0" w:color="auto"/>
              <w:left w:val="single" w:sz="4" w:space="0" w:color="auto"/>
              <w:bottom w:val="single" w:sz="4" w:space="0" w:color="auto"/>
              <w:right w:val="single" w:sz="4" w:space="0" w:color="auto"/>
            </w:tcBorders>
          </w:tcPr>
          <w:p w14:paraId="514C154B" w14:textId="77777777" w:rsidR="007C1525" w:rsidRPr="004E13E9" w:rsidRDefault="007C1525" w:rsidP="00D47E5E">
            <w:pPr>
              <w:rPr>
                <w:rFonts w:eastAsia="Times New Roman" w:cs="Calibri"/>
                <w:b/>
                <w:bCs/>
                <w:sz w:val="16"/>
                <w:szCs w:val="16"/>
                <w:lang w:eastAsia="ja-JP"/>
              </w:rPr>
            </w:pPr>
          </w:p>
        </w:tc>
      </w:tr>
      <w:tr w:rsidR="007C1525" w:rsidRPr="004E13E9" w14:paraId="1BD90B30"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vAlign w:val="center"/>
            <w:hideMark/>
          </w:tcPr>
          <w:p w14:paraId="32DC65A1" w14:textId="77777777" w:rsidR="007C1525" w:rsidRPr="004E13E9" w:rsidRDefault="007C1525" w:rsidP="00D47E5E">
            <w:pPr>
              <w:rPr>
                <w:rFonts w:eastAsia="Times New Roman" w:cs="Calibri"/>
                <w:b/>
                <w:bCs/>
                <w:sz w:val="18"/>
                <w:szCs w:val="18"/>
                <w:lang w:eastAsia="ja-JP"/>
              </w:rPr>
            </w:pPr>
            <w:r w:rsidRPr="004E13E9">
              <w:rPr>
                <w:rFonts w:eastAsia="Malgun Gothic"/>
                <w:b/>
                <w:kern w:val="2"/>
                <w:sz w:val="18"/>
                <w:szCs w:val="18"/>
                <w:lang w:eastAsia="ko-KR"/>
                <w14:ligatures w14:val="standardContextual"/>
              </w:rPr>
              <w:t xml:space="preserve">Quota disponible </w:t>
            </w:r>
            <w:r w:rsidRPr="004E13E9">
              <w:rPr>
                <w:rFonts w:eastAsia="Malgun Gothic"/>
                <w:b/>
                <w:kern w:val="2"/>
                <w:sz w:val="18"/>
                <w:szCs w:val="18"/>
                <w:vertAlign w:val="superscript"/>
                <w:lang w:eastAsia="ko-KR"/>
                <w14:ligatures w14:val="standardContextual"/>
              </w:rPr>
              <w:t>7 *</w:t>
            </w:r>
          </w:p>
        </w:tc>
        <w:tc>
          <w:tcPr>
            <w:tcW w:w="1407" w:type="dxa"/>
            <w:tcBorders>
              <w:top w:val="single" w:sz="4" w:space="0" w:color="auto"/>
              <w:left w:val="single" w:sz="4" w:space="0" w:color="auto"/>
              <w:bottom w:val="single" w:sz="4" w:space="0" w:color="auto"/>
              <w:right w:val="single" w:sz="4" w:space="0" w:color="auto"/>
            </w:tcBorders>
            <w:noWrap/>
            <w:vAlign w:val="center"/>
          </w:tcPr>
          <w:p w14:paraId="4C339EBD" w14:textId="77777777" w:rsidR="007C1525" w:rsidRPr="004E13E9" w:rsidRDefault="007C1525" w:rsidP="00D47E5E">
            <w:pPr>
              <w:jc w:val="right"/>
              <w:rPr>
                <w:rFonts w:eastAsia="Times New Roman" w:cs="Calibri"/>
                <w:b/>
                <w:bCs/>
                <w:sz w:val="18"/>
                <w:szCs w:val="18"/>
                <w:lang w:eastAsia="ja-JP"/>
              </w:rPr>
            </w:pPr>
          </w:p>
        </w:tc>
        <w:tc>
          <w:tcPr>
            <w:tcW w:w="830" w:type="dxa"/>
            <w:tcBorders>
              <w:top w:val="single" w:sz="4" w:space="0" w:color="auto"/>
              <w:left w:val="single" w:sz="4" w:space="0" w:color="auto"/>
              <w:bottom w:val="single" w:sz="4" w:space="0" w:color="auto"/>
              <w:right w:val="single" w:sz="4" w:space="0" w:color="auto"/>
            </w:tcBorders>
          </w:tcPr>
          <w:p w14:paraId="735D9CE9" w14:textId="77777777" w:rsidR="007C1525" w:rsidRPr="004E13E9" w:rsidRDefault="007C1525" w:rsidP="00D47E5E">
            <w:pPr>
              <w:rPr>
                <w:rFonts w:eastAsia="Times New Roman" w:cs="Calibri"/>
                <w:b/>
                <w:bCs/>
                <w:sz w:val="18"/>
                <w:szCs w:val="18"/>
                <w:lang w:eastAsia="ja-JP"/>
              </w:rPr>
            </w:pPr>
          </w:p>
        </w:tc>
        <w:tc>
          <w:tcPr>
            <w:tcW w:w="615" w:type="dxa"/>
            <w:tcBorders>
              <w:top w:val="single" w:sz="4" w:space="0" w:color="auto"/>
              <w:left w:val="single" w:sz="4" w:space="0" w:color="auto"/>
              <w:bottom w:val="single" w:sz="4" w:space="0" w:color="auto"/>
              <w:right w:val="single" w:sz="4" w:space="0" w:color="auto"/>
            </w:tcBorders>
            <w:noWrap/>
            <w:vAlign w:val="center"/>
          </w:tcPr>
          <w:p w14:paraId="69599831" w14:textId="77777777" w:rsidR="007C1525" w:rsidRPr="004E13E9" w:rsidRDefault="007C1525" w:rsidP="00D47E5E">
            <w:pPr>
              <w:rPr>
                <w:rFonts w:eastAsia="Times New Roman" w:cs="Calibri"/>
                <w:b/>
                <w:bCs/>
                <w:sz w:val="18"/>
                <w:szCs w:val="18"/>
                <w:lang w:eastAsia="ja-JP"/>
              </w:rPr>
            </w:pPr>
          </w:p>
        </w:tc>
        <w:tc>
          <w:tcPr>
            <w:tcW w:w="674" w:type="dxa"/>
            <w:tcBorders>
              <w:top w:val="single" w:sz="4" w:space="0" w:color="auto"/>
              <w:left w:val="single" w:sz="4" w:space="0" w:color="auto"/>
              <w:bottom w:val="single" w:sz="4" w:space="0" w:color="auto"/>
              <w:right w:val="single" w:sz="4" w:space="0" w:color="auto"/>
            </w:tcBorders>
            <w:vAlign w:val="center"/>
          </w:tcPr>
          <w:p w14:paraId="2D309241" w14:textId="77777777" w:rsidR="007C1525" w:rsidRPr="004E13E9" w:rsidRDefault="007C1525" w:rsidP="00D47E5E">
            <w:pPr>
              <w:rPr>
                <w:rFonts w:eastAsia="Times New Roman" w:cs="Calibri"/>
                <w:b/>
                <w:bCs/>
                <w:sz w:val="18"/>
                <w:szCs w:val="18"/>
                <w:lang w:eastAsia="ja-JP"/>
              </w:rPr>
            </w:pPr>
          </w:p>
        </w:tc>
        <w:tc>
          <w:tcPr>
            <w:tcW w:w="706" w:type="dxa"/>
            <w:tcBorders>
              <w:top w:val="single" w:sz="4" w:space="0" w:color="auto"/>
              <w:left w:val="single" w:sz="4" w:space="0" w:color="auto"/>
              <w:bottom w:val="single" w:sz="4" w:space="0" w:color="auto"/>
              <w:right w:val="single" w:sz="4" w:space="0" w:color="auto"/>
            </w:tcBorders>
            <w:vAlign w:val="center"/>
          </w:tcPr>
          <w:p w14:paraId="3B678428" w14:textId="77777777" w:rsidR="007C1525" w:rsidRPr="004E13E9" w:rsidRDefault="007C1525" w:rsidP="00D47E5E">
            <w:pPr>
              <w:rPr>
                <w:rFonts w:eastAsia="Times New Roman" w:cs="Calibri"/>
                <w:b/>
                <w:bCs/>
                <w:sz w:val="18"/>
                <w:szCs w:val="18"/>
                <w:lang w:eastAsia="ja-JP"/>
              </w:rPr>
            </w:pPr>
          </w:p>
        </w:tc>
        <w:tc>
          <w:tcPr>
            <w:tcW w:w="615" w:type="dxa"/>
            <w:tcBorders>
              <w:top w:val="single" w:sz="4" w:space="0" w:color="auto"/>
              <w:left w:val="single" w:sz="4" w:space="0" w:color="auto"/>
              <w:bottom w:val="single" w:sz="4" w:space="0" w:color="auto"/>
              <w:right w:val="single" w:sz="4" w:space="0" w:color="auto"/>
            </w:tcBorders>
            <w:vAlign w:val="center"/>
          </w:tcPr>
          <w:p w14:paraId="0D45C362" w14:textId="77777777" w:rsidR="007C1525" w:rsidRPr="004E13E9" w:rsidRDefault="007C1525" w:rsidP="00D47E5E">
            <w:pPr>
              <w:rPr>
                <w:rFonts w:eastAsia="Times New Roman" w:cs="Calibri"/>
                <w:b/>
                <w:bCs/>
                <w:sz w:val="18"/>
                <w:szCs w:val="18"/>
                <w:lang w:eastAsia="ja-JP"/>
              </w:rPr>
            </w:pPr>
          </w:p>
        </w:tc>
        <w:tc>
          <w:tcPr>
            <w:tcW w:w="615" w:type="dxa"/>
            <w:tcBorders>
              <w:top w:val="single" w:sz="4" w:space="0" w:color="auto"/>
              <w:left w:val="single" w:sz="4" w:space="0" w:color="auto"/>
              <w:bottom w:val="single" w:sz="4" w:space="0" w:color="auto"/>
              <w:right w:val="single" w:sz="4" w:space="0" w:color="auto"/>
            </w:tcBorders>
          </w:tcPr>
          <w:p w14:paraId="486539B4" w14:textId="77777777" w:rsidR="007C1525" w:rsidRPr="004E13E9" w:rsidRDefault="007C1525" w:rsidP="00D47E5E">
            <w:pPr>
              <w:rPr>
                <w:rFonts w:eastAsia="Times New Roman" w:cs="Calibri"/>
                <w:b/>
                <w:bCs/>
                <w:sz w:val="18"/>
                <w:szCs w:val="18"/>
                <w:lang w:eastAsia="ja-JP"/>
              </w:rPr>
            </w:pPr>
          </w:p>
        </w:tc>
        <w:tc>
          <w:tcPr>
            <w:tcW w:w="623" w:type="dxa"/>
            <w:tcBorders>
              <w:top w:val="single" w:sz="4" w:space="0" w:color="auto"/>
              <w:left w:val="single" w:sz="4" w:space="0" w:color="auto"/>
              <w:bottom w:val="single" w:sz="4" w:space="0" w:color="auto"/>
              <w:right w:val="single" w:sz="4" w:space="0" w:color="auto"/>
            </w:tcBorders>
          </w:tcPr>
          <w:p w14:paraId="6E638395" w14:textId="77777777" w:rsidR="007C1525" w:rsidRPr="004E13E9" w:rsidRDefault="007C1525" w:rsidP="00D47E5E">
            <w:pPr>
              <w:jc w:val="center"/>
              <w:rPr>
                <w:rFonts w:eastAsia="Times New Roman" w:cs="Calibri"/>
                <w:sz w:val="18"/>
                <w:szCs w:val="18"/>
                <w:lang w:eastAsia="ja-JP"/>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tcPr>
          <w:p w14:paraId="7ABBD91F" w14:textId="77777777" w:rsidR="007C1525" w:rsidRPr="004E13E9" w:rsidRDefault="007C1525" w:rsidP="00D47E5E">
            <w:pPr>
              <w:rPr>
                <w:rFonts w:eastAsia="Times New Roman" w:cs="Calibri"/>
                <w:b/>
                <w:bCs/>
                <w:sz w:val="18"/>
                <w:szCs w:val="18"/>
                <w:lang w:eastAsia="ja-JP"/>
              </w:rPr>
            </w:pPr>
          </w:p>
        </w:tc>
        <w:tc>
          <w:tcPr>
            <w:tcW w:w="851" w:type="dxa"/>
            <w:tcBorders>
              <w:top w:val="single" w:sz="4" w:space="0" w:color="auto"/>
              <w:left w:val="single" w:sz="4" w:space="0" w:color="auto"/>
              <w:bottom w:val="single" w:sz="4" w:space="0" w:color="auto"/>
              <w:right w:val="single" w:sz="4" w:space="0" w:color="auto"/>
            </w:tcBorders>
          </w:tcPr>
          <w:p w14:paraId="13856CFB" w14:textId="77777777" w:rsidR="007C1525" w:rsidRPr="004E13E9" w:rsidRDefault="007C1525" w:rsidP="00D47E5E">
            <w:pPr>
              <w:rPr>
                <w:rFonts w:eastAsia="Times New Roman" w:cs="Calibri"/>
                <w:b/>
                <w:bCs/>
                <w:sz w:val="18"/>
                <w:szCs w:val="18"/>
                <w:lang w:eastAsia="ja-JP"/>
              </w:rPr>
            </w:pPr>
          </w:p>
        </w:tc>
        <w:tc>
          <w:tcPr>
            <w:tcW w:w="850" w:type="dxa"/>
            <w:tcBorders>
              <w:top w:val="single" w:sz="4" w:space="0" w:color="auto"/>
              <w:left w:val="single" w:sz="4" w:space="0" w:color="auto"/>
              <w:bottom w:val="single" w:sz="4" w:space="0" w:color="auto"/>
              <w:right w:val="single" w:sz="4" w:space="0" w:color="auto"/>
            </w:tcBorders>
            <w:vAlign w:val="center"/>
          </w:tcPr>
          <w:p w14:paraId="00B29043" w14:textId="77777777" w:rsidR="007C1525" w:rsidRPr="004E13E9" w:rsidRDefault="007C1525" w:rsidP="00D47E5E">
            <w:pPr>
              <w:rPr>
                <w:rFonts w:eastAsia="Times New Roman" w:cs="Calibri"/>
                <w:b/>
                <w:bCs/>
                <w:sz w:val="18"/>
                <w:szCs w:val="18"/>
                <w:lang w:eastAsia="ja-JP"/>
              </w:rPr>
            </w:pPr>
          </w:p>
        </w:tc>
        <w:tc>
          <w:tcPr>
            <w:tcW w:w="993" w:type="dxa"/>
            <w:tcBorders>
              <w:top w:val="single" w:sz="4" w:space="0" w:color="auto"/>
              <w:left w:val="single" w:sz="4" w:space="0" w:color="auto"/>
              <w:bottom w:val="single" w:sz="4" w:space="0" w:color="auto"/>
              <w:right w:val="single" w:sz="4" w:space="0" w:color="auto"/>
            </w:tcBorders>
            <w:vAlign w:val="center"/>
          </w:tcPr>
          <w:p w14:paraId="5D54FADB" w14:textId="77777777" w:rsidR="007C1525" w:rsidRPr="004E13E9" w:rsidRDefault="007C1525" w:rsidP="00D47E5E">
            <w:pPr>
              <w:rPr>
                <w:rFonts w:eastAsia="Times New Roman" w:cs="Calibri"/>
                <w:b/>
                <w:bCs/>
                <w:sz w:val="18"/>
                <w:szCs w:val="18"/>
                <w:lang w:eastAsia="ja-JP"/>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0289D52" w14:textId="77777777" w:rsidR="007C1525" w:rsidRPr="004E13E9" w:rsidRDefault="007C1525" w:rsidP="00D47E5E">
            <w:pPr>
              <w:rPr>
                <w:rFonts w:eastAsia="Times New Roman" w:cs="Calibri"/>
                <w:b/>
                <w:bCs/>
                <w:sz w:val="16"/>
                <w:szCs w:val="16"/>
                <w:lang w:eastAsia="ja-JP"/>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1281819" w14:textId="77777777" w:rsidR="007C1525" w:rsidRPr="004E13E9" w:rsidRDefault="007C1525" w:rsidP="00D47E5E">
            <w:pPr>
              <w:rPr>
                <w:rFonts w:eastAsia="Times New Roman" w:cs="Calibri"/>
                <w:b/>
                <w:bCs/>
                <w:sz w:val="16"/>
                <w:szCs w:val="16"/>
                <w:lang w:eastAsia="ja-JP"/>
              </w:rPr>
            </w:pPr>
          </w:p>
        </w:tc>
        <w:tc>
          <w:tcPr>
            <w:tcW w:w="993" w:type="dxa"/>
            <w:tcBorders>
              <w:top w:val="single" w:sz="4" w:space="0" w:color="auto"/>
              <w:left w:val="single" w:sz="4" w:space="0" w:color="auto"/>
              <w:bottom w:val="single" w:sz="4" w:space="0" w:color="auto"/>
              <w:right w:val="single" w:sz="4" w:space="0" w:color="auto"/>
            </w:tcBorders>
            <w:noWrap/>
            <w:vAlign w:val="center"/>
          </w:tcPr>
          <w:p w14:paraId="0A315199" w14:textId="77777777" w:rsidR="007C1525" w:rsidRPr="004E13E9" w:rsidRDefault="007C1525" w:rsidP="00D47E5E">
            <w:pPr>
              <w:rPr>
                <w:rFonts w:eastAsia="Times New Roman" w:cs="Calibri"/>
                <w:b/>
                <w:bCs/>
                <w:sz w:val="16"/>
                <w:szCs w:val="16"/>
                <w:lang w:eastAsia="ja-JP"/>
              </w:rPr>
            </w:pPr>
          </w:p>
        </w:tc>
        <w:tc>
          <w:tcPr>
            <w:tcW w:w="1134" w:type="dxa"/>
            <w:tcBorders>
              <w:top w:val="single" w:sz="4" w:space="0" w:color="auto"/>
              <w:left w:val="single" w:sz="4" w:space="0" w:color="auto"/>
              <w:bottom w:val="single" w:sz="4" w:space="0" w:color="auto"/>
              <w:right w:val="single" w:sz="4" w:space="0" w:color="auto"/>
            </w:tcBorders>
            <w:hideMark/>
          </w:tcPr>
          <w:p w14:paraId="21141E3F" w14:textId="77777777" w:rsidR="007C1525" w:rsidRPr="004E13E9" w:rsidRDefault="007C1525" w:rsidP="00D47E5E">
            <w:pPr>
              <w:rPr>
                <w:rFonts w:eastAsia="Times New Roman" w:cs="Calibri"/>
                <w:b/>
                <w:bCs/>
                <w:sz w:val="16"/>
                <w:szCs w:val="16"/>
                <w:lang w:eastAsia="ja-JP"/>
              </w:rPr>
            </w:pPr>
            <w:r w:rsidRPr="004E13E9">
              <w:rPr>
                <w:color w:val="000000" w:themeColor="text1"/>
                <w:sz w:val="16"/>
                <w:szCs w:val="16"/>
                <w:rtl/>
              </w:rPr>
              <w:t>3493</w:t>
            </w:r>
            <w:r w:rsidRPr="004E13E9">
              <w:rPr>
                <w:color w:val="000000" w:themeColor="text1"/>
                <w:sz w:val="16"/>
                <w:szCs w:val="16"/>
              </w:rPr>
              <w:t>,</w:t>
            </w:r>
            <w:r w:rsidRPr="004E13E9">
              <w:rPr>
                <w:color w:val="000000" w:themeColor="text1"/>
                <w:sz w:val="16"/>
                <w:szCs w:val="16"/>
                <w:rtl/>
              </w:rPr>
              <w:t>26</w:t>
            </w:r>
          </w:p>
        </w:tc>
      </w:tr>
      <w:tr w:rsidR="007C1525" w:rsidRPr="004E13E9" w14:paraId="5C02216A" w14:textId="77777777" w:rsidTr="00D47E5E">
        <w:trPr>
          <w:gridAfter w:val="1"/>
          <w:wAfter w:w="12" w:type="dxa"/>
          <w:trHeight w:val="20"/>
        </w:trPr>
        <w:tc>
          <w:tcPr>
            <w:tcW w:w="2846"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08F0208" w14:textId="77777777" w:rsidR="007C1525" w:rsidRPr="004E13E9" w:rsidRDefault="007C1525" w:rsidP="00D47E5E">
            <w:pPr>
              <w:rPr>
                <w:rFonts w:eastAsia="Times New Roman" w:cs="Calibri"/>
                <w:b/>
                <w:bCs/>
                <w:sz w:val="18"/>
                <w:szCs w:val="18"/>
                <w:lang w:eastAsia="ja-JP"/>
              </w:rPr>
            </w:pPr>
            <w:r w:rsidRPr="004E13E9">
              <w:rPr>
                <w:rFonts w:eastAsia="Malgun Gothic"/>
                <w:b/>
                <w:kern w:val="2"/>
                <w:sz w:val="18"/>
                <w:szCs w:val="18"/>
                <w:lang w:eastAsia="ko-KR"/>
                <w14:ligatures w14:val="standardContextual"/>
              </w:rPr>
              <w:t>Sous/surcapacité</w:t>
            </w:r>
            <w:r w:rsidRPr="004E13E9">
              <w:rPr>
                <w:rFonts w:eastAsia="Malgun Gothic"/>
                <w:b/>
                <w:kern w:val="2"/>
                <w:sz w:val="18"/>
                <w:szCs w:val="18"/>
                <w:vertAlign w:val="superscript"/>
                <w:lang w:eastAsia="ko-KR"/>
                <w14:ligatures w14:val="standardContextual"/>
              </w:rPr>
              <w:t>8*</w:t>
            </w:r>
          </w:p>
        </w:tc>
        <w:tc>
          <w:tcPr>
            <w:tcW w:w="140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394DE5B1" w14:textId="77777777" w:rsidR="007C1525" w:rsidRPr="004E13E9" w:rsidRDefault="007C1525" w:rsidP="00D47E5E">
            <w:pPr>
              <w:jc w:val="right"/>
              <w:rPr>
                <w:rFonts w:eastAsia="Times New Roman" w:cs="Calibri"/>
                <w:sz w:val="18"/>
                <w:szCs w:val="18"/>
                <w:lang w:eastAsia="ja-JP"/>
              </w:rPr>
            </w:pPr>
            <w:r w:rsidRPr="004E13E9">
              <w:rPr>
                <w:rFonts w:eastAsia="Times New Roman" w:cs="Calibri"/>
                <w:sz w:val="18"/>
                <w:szCs w:val="18"/>
                <w:lang w:eastAsia="ja-JP"/>
              </w:rPr>
              <w:t> </w:t>
            </w:r>
          </w:p>
        </w:tc>
        <w:tc>
          <w:tcPr>
            <w:tcW w:w="830" w:type="dxa"/>
            <w:tcBorders>
              <w:top w:val="single" w:sz="4" w:space="0" w:color="auto"/>
              <w:left w:val="single" w:sz="4" w:space="0" w:color="auto"/>
              <w:bottom w:val="single" w:sz="4" w:space="0" w:color="auto"/>
              <w:right w:val="single" w:sz="4" w:space="0" w:color="auto"/>
            </w:tcBorders>
            <w:shd w:val="clear" w:color="auto" w:fill="D9D9D9"/>
          </w:tcPr>
          <w:p w14:paraId="7C7189A5" w14:textId="77777777" w:rsidR="007C1525" w:rsidRPr="004E13E9" w:rsidRDefault="007C1525" w:rsidP="00D47E5E">
            <w:pPr>
              <w:rPr>
                <w:rFonts w:eastAsia="Times New Roman" w:cs="Calibri"/>
                <w:sz w:val="18"/>
                <w:szCs w:val="18"/>
                <w:lang w:eastAsia="ja-JP"/>
              </w:rPr>
            </w:pPr>
          </w:p>
        </w:tc>
        <w:tc>
          <w:tcPr>
            <w:tcW w:w="61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ABA70AF" w14:textId="77777777" w:rsidR="007C1525" w:rsidRPr="004E13E9" w:rsidRDefault="007C1525" w:rsidP="00D47E5E">
            <w:pPr>
              <w:rPr>
                <w:rFonts w:eastAsia="Times New Roman" w:cs="Calibri"/>
                <w:sz w:val="18"/>
                <w:szCs w:val="18"/>
                <w:lang w:eastAsia="ja-JP"/>
              </w:rPr>
            </w:pPr>
            <w:r w:rsidRPr="004E13E9">
              <w:rPr>
                <w:rFonts w:eastAsia="Times New Roman" w:cs="Calibri"/>
                <w:sz w:val="18"/>
                <w:szCs w:val="18"/>
                <w:lang w:eastAsia="ja-JP"/>
              </w:rPr>
              <w:t> </w:t>
            </w:r>
          </w:p>
        </w:tc>
        <w:tc>
          <w:tcPr>
            <w:tcW w:w="67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81B939" w14:textId="77777777" w:rsidR="007C1525" w:rsidRPr="004E13E9" w:rsidRDefault="007C1525" w:rsidP="00D47E5E">
            <w:pPr>
              <w:rPr>
                <w:rFonts w:eastAsia="Times New Roman" w:cs="Calibri"/>
                <w:sz w:val="18"/>
                <w:szCs w:val="18"/>
                <w:lang w:eastAsia="ja-JP"/>
              </w:rPr>
            </w:pPr>
            <w:r w:rsidRPr="004E13E9">
              <w:rPr>
                <w:rFonts w:eastAsia="Times New Roman" w:cs="Calibri"/>
                <w:sz w:val="18"/>
                <w:szCs w:val="18"/>
                <w:lang w:eastAsia="ja-JP"/>
              </w:rPr>
              <w:t> </w:t>
            </w:r>
          </w:p>
        </w:tc>
        <w:tc>
          <w:tcPr>
            <w:tcW w:w="70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4AB9CC6" w14:textId="77777777" w:rsidR="007C1525" w:rsidRPr="004E13E9" w:rsidRDefault="007C1525" w:rsidP="00D47E5E">
            <w:pPr>
              <w:rPr>
                <w:rFonts w:eastAsia="Times New Roman" w:cs="Calibri"/>
                <w:sz w:val="18"/>
                <w:szCs w:val="18"/>
                <w:lang w:eastAsia="ja-JP"/>
              </w:rPr>
            </w:pPr>
            <w:r w:rsidRPr="004E13E9">
              <w:rPr>
                <w:rFonts w:eastAsia="Times New Roman" w:cs="Calibri"/>
                <w:sz w:val="18"/>
                <w:szCs w:val="18"/>
                <w:lang w:eastAsia="ja-JP"/>
              </w:rPr>
              <w:t> </w:t>
            </w:r>
          </w:p>
        </w:tc>
        <w:tc>
          <w:tcPr>
            <w:tcW w:w="61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A9FBF8" w14:textId="77777777" w:rsidR="007C1525" w:rsidRPr="004E13E9" w:rsidRDefault="007C1525" w:rsidP="00D47E5E">
            <w:pPr>
              <w:rPr>
                <w:rFonts w:eastAsia="Times New Roman" w:cs="Calibri"/>
                <w:sz w:val="18"/>
                <w:szCs w:val="18"/>
                <w:lang w:eastAsia="ja-JP"/>
              </w:rPr>
            </w:pPr>
            <w:r w:rsidRPr="004E13E9">
              <w:rPr>
                <w:rFonts w:eastAsia="Times New Roman" w:cs="Calibri"/>
                <w:sz w:val="18"/>
                <w:szCs w:val="18"/>
                <w:lang w:eastAsia="ja-JP"/>
              </w:rPr>
              <w:t> </w:t>
            </w:r>
          </w:p>
        </w:tc>
        <w:tc>
          <w:tcPr>
            <w:tcW w:w="615" w:type="dxa"/>
            <w:tcBorders>
              <w:top w:val="single" w:sz="4" w:space="0" w:color="auto"/>
              <w:left w:val="single" w:sz="4" w:space="0" w:color="auto"/>
              <w:bottom w:val="single" w:sz="4" w:space="0" w:color="auto"/>
              <w:right w:val="single" w:sz="4" w:space="0" w:color="auto"/>
            </w:tcBorders>
            <w:shd w:val="clear" w:color="auto" w:fill="D9D9D9"/>
          </w:tcPr>
          <w:p w14:paraId="02344119" w14:textId="77777777" w:rsidR="007C1525" w:rsidRPr="004E13E9" w:rsidRDefault="007C1525" w:rsidP="00D47E5E">
            <w:pPr>
              <w:rPr>
                <w:rFonts w:eastAsia="Times New Roman" w:cs="Calibri"/>
                <w:sz w:val="18"/>
                <w:szCs w:val="18"/>
                <w:lang w:eastAsia="ja-JP"/>
              </w:rPr>
            </w:pPr>
          </w:p>
        </w:tc>
        <w:tc>
          <w:tcPr>
            <w:tcW w:w="623" w:type="dxa"/>
            <w:tcBorders>
              <w:top w:val="single" w:sz="4" w:space="0" w:color="auto"/>
              <w:left w:val="single" w:sz="4" w:space="0" w:color="auto"/>
              <w:bottom w:val="single" w:sz="4" w:space="0" w:color="auto"/>
              <w:right w:val="single" w:sz="4" w:space="0" w:color="auto"/>
            </w:tcBorders>
            <w:shd w:val="clear" w:color="auto" w:fill="D9D9D9"/>
          </w:tcPr>
          <w:p w14:paraId="29B2140E" w14:textId="77777777" w:rsidR="007C1525" w:rsidRPr="004E13E9" w:rsidRDefault="007C1525" w:rsidP="00D47E5E">
            <w:pPr>
              <w:jc w:val="center"/>
              <w:rPr>
                <w:rFonts w:eastAsia="Times New Roman" w:cs="Calibri"/>
                <w:sz w:val="18"/>
                <w:szCs w:val="18"/>
                <w:lang w:eastAsia="ja-JP"/>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B82ADD" w14:textId="77777777" w:rsidR="007C1525" w:rsidRPr="004E13E9" w:rsidRDefault="007C1525" w:rsidP="00D47E5E">
            <w:pPr>
              <w:rPr>
                <w:rFonts w:eastAsia="Times New Roman" w:cs="Calibri"/>
                <w:sz w:val="18"/>
                <w:szCs w:val="18"/>
                <w:lang w:eastAsia="ja-JP"/>
              </w:rPr>
            </w:pPr>
            <w:r w:rsidRPr="004E13E9">
              <w:rPr>
                <w:rFonts w:eastAsia="Times New Roman" w:cs="Calibri"/>
                <w:sz w:val="18"/>
                <w:szCs w:val="18"/>
                <w:lang w:eastAsia="ja-JP"/>
              </w:rPr>
              <w:t> </w:t>
            </w:r>
          </w:p>
        </w:tc>
        <w:tc>
          <w:tcPr>
            <w:tcW w:w="85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513F98" w14:textId="77777777" w:rsidR="007C1525" w:rsidRPr="004E13E9" w:rsidRDefault="007C1525" w:rsidP="00D47E5E">
            <w:pPr>
              <w:ind w:right="-101" w:hanging="14"/>
              <w:rPr>
                <w:rFonts w:eastAsia="Times New Roman" w:cs="Calibri"/>
                <w:sz w:val="18"/>
                <w:szCs w:val="18"/>
                <w:lang w:eastAsia="ja-JP"/>
              </w:rPr>
            </w:pPr>
            <w:r w:rsidRPr="004E13E9">
              <w:rPr>
                <w:rFonts w:eastAsia="Times New Roman" w:cs="Calibri"/>
                <w:b/>
                <w:bCs/>
                <w:sz w:val="16"/>
                <w:szCs w:val="16"/>
              </w:rPr>
              <w:t>-815,700</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0185DC" w14:textId="77777777" w:rsidR="007C1525" w:rsidRPr="004E13E9" w:rsidRDefault="007C1525" w:rsidP="00D47E5E">
            <w:pPr>
              <w:ind w:hanging="108"/>
              <w:rPr>
                <w:rFonts w:eastAsia="Times New Roman" w:cs="Calibri"/>
                <w:sz w:val="18"/>
                <w:szCs w:val="18"/>
                <w:lang w:eastAsia="ja-JP"/>
              </w:rPr>
            </w:pPr>
            <w:r w:rsidRPr="004E13E9">
              <w:rPr>
                <w:rFonts w:eastAsia="Times New Roman" w:cs="Calibri"/>
                <w:b/>
                <w:bCs/>
                <w:sz w:val="16"/>
                <w:szCs w:val="16"/>
              </w:rPr>
              <w:t>-555,180</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C790205" w14:textId="77777777" w:rsidR="007C1525" w:rsidRPr="004E13E9" w:rsidRDefault="007C1525" w:rsidP="00D47E5E">
            <w:pPr>
              <w:rPr>
                <w:rFonts w:eastAsia="Times New Roman" w:cs="Calibri"/>
                <w:sz w:val="18"/>
                <w:szCs w:val="18"/>
                <w:lang w:eastAsia="ja-JP"/>
              </w:rPr>
            </w:pPr>
            <w:r w:rsidRPr="004E13E9">
              <w:rPr>
                <w:rFonts w:eastAsia="Times New Roman" w:cs="Calibri"/>
                <w:b/>
                <w:bCs/>
                <w:sz w:val="16"/>
                <w:szCs w:val="16"/>
              </w:rPr>
              <w:t>-380,79</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94F3D08" w14:textId="77777777" w:rsidR="007C1525" w:rsidRPr="004E13E9" w:rsidRDefault="007C1525" w:rsidP="00D47E5E">
            <w:pPr>
              <w:ind w:hanging="110"/>
              <w:rPr>
                <w:rFonts w:eastAsia="Times New Roman" w:cs="Calibri"/>
                <w:sz w:val="16"/>
                <w:szCs w:val="16"/>
                <w:lang w:eastAsia="ja-JP"/>
              </w:rPr>
            </w:pPr>
            <w:r w:rsidRPr="004E13E9">
              <w:rPr>
                <w:rFonts w:eastAsia="Times New Roman" w:cs="Calibri"/>
                <w:b/>
                <w:bCs/>
                <w:sz w:val="16"/>
                <w:szCs w:val="16"/>
              </w:rPr>
              <w:t>-623.880</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FE50CC3" w14:textId="77777777" w:rsidR="007C1525" w:rsidRPr="004E13E9" w:rsidRDefault="007C1525" w:rsidP="00D47E5E">
            <w:pPr>
              <w:rPr>
                <w:rFonts w:eastAsia="Times New Roman" w:cs="Calibri"/>
                <w:sz w:val="16"/>
                <w:szCs w:val="16"/>
                <w:lang w:eastAsia="ja-JP"/>
              </w:rPr>
            </w:pPr>
            <w:r w:rsidRPr="004E13E9">
              <w:rPr>
                <w:rFonts w:eastAsia="Times New Roman" w:cs="Calibri"/>
                <w:b/>
                <w:bCs/>
                <w:sz w:val="16"/>
                <w:szCs w:val="16"/>
              </w:rPr>
              <w:t>-456,780</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2758CD" w14:textId="77777777" w:rsidR="007C1525" w:rsidRPr="004E13E9" w:rsidRDefault="007C1525" w:rsidP="00D47E5E">
            <w:pPr>
              <w:rPr>
                <w:rFonts w:eastAsia="Times New Roman" w:cs="Calibri"/>
                <w:sz w:val="16"/>
                <w:szCs w:val="16"/>
                <w:lang w:eastAsia="ja-JP"/>
              </w:rPr>
            </w:pPr>
            <w:r w:rsidRPr="004E13E9">
              <w:rPr>
                <w:rFonts w:eastAsia="Times New Roman" w:cs="Calibri"/>
                <w:b/>
                <w:bCs/>
                <w:sz w:val="16"/>
                <w:szCs w:val="16"/>
              </w:rPr>
              <w:t>-24,18</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6D8680A5" w14:textId="77777777" w:rsidR="007C1525" w:rsidRPr="004E13E9" w:rsidRDefault="007C1525" w:rsidP="00D47E5E">
            <w:pPr>
              <w:rPr>
                <w:rFonts w:eastAsia="Times New Roman" w:cs="Calibri"/>
                <w:sz w:val="16"/>
                <w:szCs w:val="16"/>
                <w:lang w:eastAsia="ja-JP"/>
              </w:rPr>
            </w:pPr>
            <w:r w:rsidRPr="004E13E9">
              <w:rPr>
                <w:rFonts w:eastAsia="Times New Roman" w:cs="Calibri"/>
                <w:b/>
                <w:bCs/>
                <w:sz w:val="16"/>
                <w:szCs w:val="16"/>
              </w:rPr>
              <w:t>-128,58</w:t>
            </w:r>
          </w:p>
        </w:tc>
      </w:tr>
    </w:tbl>
    <w:p w14:paraId="58C8D9DD" w14:textId="77777777" w:rsidR="007C1525" w:rsidRPr="004E13E9" w:rsidRDefault="007C1525" w:rsidP="007C1525">
      <w:pPr>
        <w:tabs>
          <w:tab w:val="left" w:pos="142"/>
        </w:tabs>
        <w:rPr>
          <w:sz w:val="16"/>
          <w:szCs w:val="16"/>
        </w:rPr>
      </w:pPr>
    </w:p>
    <w:p w14:paraId="2C5AE4E1" w14:textId="77777777" w:rsidR="007C1525" w:rsidRPr="004E13E9" w:rsidRDefault="007C1525" w:rsidP="007C1525">
      <w:pPr>
        <w:tabs>
          <w:tab w:val="left" w:pos="142"/>
        </w:tabs>
        <w:rPr>
          <w:sz w:val="16"/>
          <w:szCs w:val="16"/>
        </w:rPr>
      </w:pPr>
    </w:p>
    <w:p w14:paraId="360B4D4D" w14:textId="77777777" w:rsidR="007C1525" w:rsidRPr="004E13E9" w:rsidRDefault="007C1525" w:rsidP="007C1525">
      <w:pPr>
        <w:rPr>
          <w:b/>
          <w:bCs/>
          <w:color w:val="000000" w:themeColor="text1"/>
        </w:rPr>
      </w:pPr>
      <w:r w:rsidRPr="004E13E9">
        <w:rPr>
          <w:b/>
          <w:bCs/>
          <w:color w:val="000000" w:themeColor="text1"/>
        </w:rPr>
        <w:br w:type="page"/>
      </w:r>
    </w:p>
    <w:p w14:paraId="6AA15A56" w14:textId="77777777" w:rsidR="007C1525" w:rsidRPr="004E13E9" w:rsidRDefault="007C1525" w:rsidP="007C1525">
      <w:pPr>
        <w:jc w:val="center"/>
        <w:rPr>
          <w:b/>
          <w:bCs/>
          <w:color w:val="000000" w:themeColor="text1"/>
          <w:lang w:val="fr-FR"/>
        </w:rPr>
      </w:pPr>
      <w:r w:rsidRPr="004E13E9">
        <w:rPr>
          <w:b/>
          <w:bCs/>
          <w:color w:val="000000" w:themeColor="text1"/>
          <w:lang w:val="fr-FR"/>
        </w:rPr>
        <w:t>Ajustement de la capacité d’engraissement pour la Tunisie (2026)</w:t>
      </w:r>
    </w:p>
    <w:p w14:paraId="4B138D80" w14:textId="77777777" w:rsidR="007C1525" w:rsidRPr="004E13E9" w:rsidRDefault="007C1525" w:rsidP="007C1525">
      <w:pPr>
        <w:rPr>
          <w:color w:val="000000" w:themeColor="text1"/>
          <w:lang w:val="fr-FR"/>
        </w:rPr>
      </w:pPr>
    </w:p>
    <w:tbl>
      <w:tblPr>
        <w:tblW w:w="13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2145"/>
        <w:gridCol w:w="2738"/>
        <w:gridCol w:w="3128"/>
        <w:gridCol w:w="2101"/>
        <w:gridCol w:w="1978"/>
      </w:tblGrid>
      <w:tr w:rsidR="007C1525" w:rsidRPr="004E13E9" w14:paraId="01D312C4" w14:textId="77777777" w:rsidTr="00D47E5E">
        <w:trPr>
          <w:trHeight w:val="667"/>
        </w:trPr>
        <w:tc>
          <w:tcPr>
            <w:tcW w:w="1790" w:type="dxa"/>
            <w:tcBorders>
              <w:top w:val="single" w:sz="4" w:space="0" w:color="auto"/>
              <w:left w:val="single" w:sz="4" w:space="0" w:color="auto"/>
              <w:bottom w:val="single" w:sz="4" w:space="0" w:color="auto"/>
              <w:right w:val="single" w:sz="4" w:space="0" w:color="auto"/>
            </w:tcBorders>
            <w:vAlign w:val="center"/>
            <w:hideMark/>
          </w:tcPr>
          <w:p w14:paraId="482855CB" w14:textId="77777777" w:rsidR="007C1525" w:rsidRPr="004E13E9" w:rsidRDefault="007C1525" w:rsidP="00D47E5E">
            <w:pPr>
              <w:shd w:val="clear" w:color="auto" w:fill="FFFFFF" w:themeFill="background1"/>
              <w:jc w:val="center"/>
              <w:rPr>
                <w:bCs/>
                <w:i/>
                <w:color w:val="000000" w:themeColor="text1"/>
                <w:lang w:val="en-GB"/>
              </w:rPr>
            </w:pPr>
            <w:r w:rsidRPr="004E13E9">
              <w:rPr>
                <w:bCs/>
                <w:i/>
                <w:color w:val="000000" w:themeColor="text1"/>
              </w:rPr>
              <w:t xml:space="preserve">Nom de la </w:t>
            </w:r>
            <w:proofErr w:type="spellStart"/>
            <w:r w:rsidRPr="004E13E9">
              <w:rPr>
                <w:bCs/>
                <w:i/>
                <w:color w:val="000000" w:themeColor="text1"/>
              </w:rPr>
              <w:t>ferme</w:t>
            </w:r>
            <w:proofErr w:type="spellEnd"/>
          </w:p>
        </w:tc>
        <w:tc>
          <w:tcPr>
            <w:tcW w:w="2145" w:type="dxa"/>
            <w:tcBorders>
              <w:top w:val="single" w:sz="4" w:space="0" w:color="auto"/>
              <w:left w:val="single" w:sz="4" w:space="0" w:color="auto"/>
              <w:bottom w:val="single" w:sz="4" w:space="0" w:color="auto"/>
              <w:right w:val="single" w:sz="4" w:space="0" w:color="auto"/>
            </w:tcBorders>
            <w:vAlign w:val="center"/>
            <w:hideMark/>
          </w:tcPr>
          <w:p w14:paraId="4E7034F9" w14:textId="77777777" w:rsidR="007C1525" w:rsidRPr="004E13E9" w:rsidRDefault="007C1525" w:rsidP="00D47E5E">
            <w:pPr>
              <w:shd w:val="clear" w:color="auto" w:fill="FFFFFF" w:themeFill="background1"/>
              <w:jc w:val="center"/>
              <w:rPr>
                <w:bCs/>
                <w:i/>
                <w:color w:val="000000" w:themeColor="text1"/>
              </w:rPr>
            </w:pPr>
            <w:r w:rsidRPr="004E13E9">
              <w:rPr>
                <w:bCs/>
                <w:i/>
                <w:color w:val="000000" w:themeColor="text1"/>
              </w:rPr>
              <w:t>Nº ICCAT</w:t>
            </w:r>
          </w:p>
        </w:tc>
        <w:tc>
          <w:tcPr>
            <w:tcW w:w="2738" w:type="dxa"/>
            <w:tcBorders>
              <w:top w:val="single" w:sz="4" w:space="0" w:color="auto"/>
              <w:left w:val="single" w:sz="4" w:space="0" w:color="auto"/>
              <w:bottom w:val="single" w:sz="4" w:space="0" w:color="auto"/>
              <w:right w:val="single" w:sz="4" w:space="0" w:color="auto"/>
            </w:tcBorders>
            <w:vAlign w:val="center"/>
            <w:hideMark/>
          </w:tcPr>
          <w:p w14:paraId="41AD0155" w14:textId="77777777" w:rsidR="007C1525" w:rsidRPr="004E13E9" w:rsidRDefault="007C1525" w:rsidP="00D47E5E">
            <w:pPr>
              <w:shd w:val="clear" w:color="auto" w:fill="FFFFFF" w:themeFill="background1"/>
              <w:jc w:val="center"/>
              <w:rPr>
                <w:bCs/>
                <w:i/>
                <w:color w:val="000000" w:themeColor="text1"/>
              </w:rPr>
            </w:pPr>
            <w:proofErr w:type="spellStart"/>
            <w:r w:rsidRPr="004E13E9">
              <w:rPr>
                <w:bCs/>
                <w:i/>
                <w:color w:val="000000" w:themeColor="text1"/>
              </w:rPr>
              <w:t>Établissement</w:t>
            </w:r>
            <w:proofErr w:type="spellEnd"/>
            <w:r w:rsidRPr="004E13E9">
              <w:rPr>
                <w:bCs/>
                <w:i/>
                <w:color w:val="000000" w:themeColor="text1"/>
              </w:rPr>
              <w:t xml:space="preserve"> de</w:t>
            </w:r>
          </w:p>
          <w:p w14:paraId="251901A8" w14:textId="77777777" w:rsidR="007C1525" w:rsidRPr="004E13E9" w:rsidRDefault="007C1525" w:rsidP="00D47E5E">
            <w:pPr>
              <w:shd w:val="clear" w:color="auto" w:fill="FFFFFF" w:themeFill="background1"/>
              <w:jc w:val="center"/>
              <w:rPr>
                <w:bCs/>
                <w:i/>
                <w:color w:val="000000" w:themeColor="text1"/>
              </w:rPr>
            </w:pPr>
            <w:proofErr w:type="spellStart"/>
            <w:r w:rsidRPr="004E13E9">
              <w:rPr>
                <w:bCs/>
                <w:i/>
                <w:color w:val="000000" w:themeColor="text1"/>
              </w:rPr>
              <w:t>gérance</w:t>
            </w:r>
            <w:proofErr w:type="spellEnd"/>
          </w:p>
        </w:tc>
        <w:tc>
          <w:tcPr>
            <w:tcW w:w="3128" w:type="dxa"/>
            <w:tcBorders>
              <w:top w:val="single" w:sz="4" w:space="0" w:color="auto"/>
              <w:left w:val="single" w:sz="4" w:space="0" w:color="auto"/>
              <w:bottom w:val="single" w:sz="4" w:space="0" w:color="auto"/>
              <w:right w:val="single" w:sz="4" w:space="0" w:color="auto"/>
            </w:tcBorders>
            <w:vAlign w:val="center"/>
            <w:hideMark/>
          </w:tcPr>
          <w:p w14:paraId="4B615376" w14:textId="77777777" w:rsidR="007C1525" w:rsidRPr="004E13E9" w:rsidRDefault="007C1525" w:rsidP="00D47E5E">
            <w:pPr>
              <w:shd w:val="clear" w:color="auto" w:fill="FFFFFF" w:themeFill="background1"/>
              <w:jc w:val="center"/>
              <w:rPr>
                <w:bCs/>
                <w:i/>
                <w:color w:val="000000" w:themeColor="text1"/>
              </w:rPr>
            </w:pPr>
            <w:proofErr w:type="spellStart"/>
            <w:r w:rsidRPr="004E13E9">
              <w:rPr>
                <w:bCs/>
                <w:i/>
                <w:color w:val="000000" w:themeColor="text1"/>
              </w:rPr>
              <w:t>Coordonnées</w:t>
            </w:r>
            <w:proofErr w:type="spellEnd"/>
            <w:r w:rsidRPr="004E13E9">
              <w:rPr>
                <w:bCs/>
                <w:i/>
                <w:color w:val="000000" w:themeColor="text1"/>
              </w:rPr>
              <w:t xml:space="preserve"> de la </w:t>
            </w:r>
            <w:proofErr w:type="spellStart"/>
            <w:r w:rsidRPr="004E13E9">
              <w:rPr>
                <w:bCs/>
                <w:i/>
                <w:color w:val="000000" w:themeColor="text1"/>
              </w:rPr>
              <w:t>ferme</w:t>
            </w:r>
            <w:proofErr w:type="spellEnd"/>
          </w:p>
        </w:tc>
        <w:tc>
          <w:tcPr>
            <w:tcW w:w="2101" w:type="dxa"/>
            <w:tcBorders>
              <w:top w:val="single" w:sz="4" w:space="0" w:color="auto"/>
              <w:left w:val="single" w:sz="4" w:space="0" w:color="auto"/>
              <w:bottom w:val="single" w:sz="4" w:space="0" w:color="auto"/>
              <w:right w:val="single" w:sz="4" w:space="0" w:color="auto"/>
            </w:tcBorders>
            <w:vAlign w:val="center"/>
            <w:hideMark/>
          </w:tcPr>
          <w:p w14:paraId="6FCBB001" w14:textId="77777777" w:rsidR="007C1525" w:rsidRPr="004E13E9" w:rsidRDefault="007C1525" w:rsidP="00D47E5E">
            <w:pPr>
              <w:shd w:val="clear" w:color="auto" w:fill="FFFFFF" w:themeFill="background1"/>
              <w:jc w:val="center"/>
              <w:rPr>
                <w:bCs/>
                <w:i/>
                <w:color w:val="000000" w:themeColor="text1"/>
                <w:lang w:val="fr-FR"/>
              </w:rPr>
            </w:pPr>
            <w:r w:rsidRPr="004E13E9">
              <w:rPr>
                <w:bCs/>
                <w:i/>
                <w:color w:val="000000" w:themeColor="text1"/>
                <w:lang w:val="fr-FR"/>
              </w:rPr>
              <w:t xml:space="preserve">Entrée à l’état sauvage </w:t>
            </w:r>
          </w:p>
          <w:p w14:paraId="742C03E8" w14:textId="77777777" w:rsidR="007C1525" w:rsidRPr="004E13E9" w:rsidRDefault="007C1525" w:rsidP="00D47E5E">
            <w:pPr>
              <w:shd w:val="clear" w:color="auto" w:fill="FFFFFF" w:themeFill="background1"/>
              <w:jc w:val="center"/>
              <w:rPr>
                <w:bCs/>
                <w:i/>
                <w:color w:val="000000" w:themeColor="text1"/>
                <w:lang w:val="fr-FR"/>
              </w:rPr>
            </w:pPr>
            <w:r w:rsidRPr="004E13E9">
              <w:rPr>
                <w:bCs/>
                <w:i/>
                <w:color w:val="000000" w:themeColor="text1"/>
                <w:lang w:val="fr-FR"/>
              </w:rPr>
              <w:t xml:space="preserve">(tonnes) </w:t>
            </w:r>
          </w:p>
        </w:tc>
        <w:tc>
          <w:tcPr>
            <w:tcW w:w="1978" w:type="dxa"/>
            <w:tcBorders>
              <w:top w:val="single" w:sz="4" w:space="0" w:color="auto"/>
              <w:left w:val="single" w:sz="4" w:space="0" w:color="auto"/>
              <w:bottom w:val="single" w:sz="4" w:space="0" w:color="auto"/>
              <w:right w:val="single" w:sz="4" w:space="0" w:color="auto"/>
            </w:tcBorders>
            <w:vAlign w:val="center"/>
            <w:hideMark/>
          </w:tcPr>
          <w:p w14:paraId="579ECAB3" w14:textId="77777777" w:rsidR="007C1525" w:rsidRPr="004E13E9" w:rsidRDefault="007C1525" w:rsidP="00D47E5E">
            <w:pPr>
              <w:shd w:val="clear" w:color="auto" w:fill="FFFFFF" w:themeFill="background1"/>
              <w:jc w:val="center"/>
              <w:rPr>
                <w:bCs/>
                <w:i/>
                <w:color w:val="000000" w:themeColor="text1"/>
                <w:lang w:val="en-GB"/>
              </w:rPr>
            </w:pPr>
            <w:proofErr w:type="spellStart"/>
            <w:r w:rsidRPr="004E13E9">
              <w:rPr>
                <w:bCs/>
                <w:i/>
                <w:color w:val="000000" w:themeColor="text1"/>
              </w:rPr>
              <w:t>Capacité</w:t>
            </w:r>
            <w:proofErr w:type="spellEnd"/>
            <w:r w:rsidRPr="004E13E9">
              <w:rPr>
                <w:bCs/>
                <w:i/>
                <w:color w:val="000000" w:themeColor="text1"/>
              </w:rPr>
              <w:t xml:space="preserve"> </w:t>
            </w:r>
            <w:proofErr w:type="spellStart"/>
            <w:r w:rsidRPr="004E13E9">
              <w:rPr>
                <w:bCs/>
                <w:i/>
                <w:color w:val="000000" w:themeColor="text1"/>
              </w:rPr>
              <w:t>d’engraissement</w:t>
            </w:r>
            <w:proofErr w:type="spellEnd"/>
            <w:r w:rsidRPr="004E13E9">
              <w:rPr>
                <w:bCs/>
                <w:i/>
                <w:color w:val="000000" w:themeColor="text1"/>
              </w:rPr>
              <w:t xml:space="preserve"> (</w:t>
            </w:r>
            <w:proofErr w:type="spellStart"/>
            <w:r w:rsidRPr="004E13E9">
              <w:rPr>
                <w:bCs/>
                <w:i/>
                <w:color w:val="000000" w:themeColor="text1"/>
              </w:rPr>
              <w:t>tonnes</w:t>
            </w:r>
            <w:proofErr w:type="spellEnd"/>
            <w:r w:rsidRPr="004E13E9">
              <w:rPr>
                <w:bCs/>
                <w:i/>
                <w:color w:val="000000" w:themeColor="text1"/>
              </w:rPr>
              <w:t>)</w:t>
            </w:r>
          </w:p>
        </w:tc>
      </w:tr>
      <w:tr w:rsidR="007C1525" w:rsidRPr="004E13E9" w14:paraId="694AA1A4" w14:textId="77777777" w:rsidTr="00D47E5E">
        <w:trPr>
          <w:trHeight w:val="113"/>
        </w:trPr>
        <w:tc>
          <w:tcPr>
            <w:tcW w:w="1790" w:type="dxa"/>
            <w:vMerge w:val="restart"/>
            <w:tcBorders>
              <w:top w:val="single" w:sz="4" w:space="0" w:color="auto"/>
              <w:left w:val="single" w:sz="4" w:space="0" w:color="auto"/>
              <w:bottom w:val="single" w:sz="4" w:space="0" w:color="auto"/>
              <w:right w:val="single" w:sz="4" w:space="0" w:color="auto"/>
            </w:tcBorders>
            <w:vAlign w:val="center"/>
            <w:hideMark/>
          </w:tcPr>
          <w:p w14:paraId="1983A599" w14:textId="77777777" w:rsidR="007C1525" w:rsidRPr="004E13E9" w:rsidRDefault="007C1525" w:rsidP="00D47E5E">
            <w:pPr>
              <w:shd w:val="clear" w:color="auto" w:fill="FFFFFF" w:themeFill="background1"/>
              <w:jc w:val="center"/>
              <w:rPr>
                <w:b/>
                <w:bCs/>
                <w:color w:val="000000" w:themeColor="text1"/>
              </w:rPr>
            </w:pPr>
            <w:r w:rsidRPr="004E13E9">
              <w:rPr>
                <w:b/>
                <w:bCs/>
                <w:color w:val="000000" w:themeColor="text1"/>
              </w:rPr>
              <w:t>VMT</w:t>
            </w:r>
          </w:p>
        </w:tc>
        <w:tc>
          <w:tcPr>
            <w:tcW w:w="2145" w:type="dxa"/>
            <w:vMerge w:val="restart"/>
            <w:tcBorders>
              <w:top w:val="single" w:sz="4" w:space="0" w:color="auto"/>
              <w:left w:val="single" w:sz="4" w:space="0" w:color="auto"/>
              <w:bottom w:val="single" w:sz="4" w:space="0" w:color="auto"/>
              <w:right w:val="single" w:sz="4" w:space="0" w:color="auto"/>
            </w:tcBorders>
            <w:vAlign w:val="center"/>
            <w:hideMark/>
          </w:tcPr>
          <w:p w14:paraId="6A74A17E" w14:textId="77777777" w:rsidR="007C1525" w:rsidRPr="004E13E9" w:rsidRDefault="007C1525" w:rsidP="00D47E5E">
            <w:pPr>
              <w:shd w:val="clear" w:color="auto" w:fill="FFFFFF" w:themeFill="background1"/>
              <w:rPr>
                <w:color w:val="000000" w:themeColor="text1"/>
              </w:rPr>
            </w:pPr>
            <w:r w:rsidRPr="004E13E9">
              <w:rPr>
                <w:color w:val="000000" w:themeColor="text1"/>
              </w:rPr>
              <w:t>AT001TUN00001</w:t>
            </w:r>
          </w:p>
        </w:tc>
        <w:tc>
          <w:tcPr>
            <w:tcW w:w="2738" w:type="dxa"/>
            <w:vMerge w:val="restart"/>
            <w:tcBorders>
              <w:top w:val="single" w:sz="4" w:space="0" w:color="auto"/>
              <w:left w:val="single" w:sz="4" w:space="0" w:color="auto"/>
              <w:bottom w:val="single" w:sz="4" w:space="0" w:color="auto"/>
              <w:right w:val="single" w:sz="4" w:space="0" w:color="auto"/>
            </w:tcBorders>
            <w:vAlign w:val="center"/>
            <w:hideMark/>
          </w:tcPr>
          <w:p w14:paraId="1764577C" w14:textId="77777777" w:rsidR="007C1525" w:rsidRPr="004E13E9" w:rsidRDefault="007C1525" w:rsidP="00D47E5E">
            <w:pPr>
              <w:shd w:val="clear" w:color="auto" w:fill="FFFFFF" w:themeFill="background1"/>
              <w:rPr>
                <w:b/>
                <w:bCs/>
                <w:color w:val="000000" w:themeColor="text1"/>
              </w:rPr>
            </w:pPr>
            <w:r w:rsidRPr="004E13E9">
              <w:rPr>
                <w:b/>
                <w:bCs/>
                <w:color w:val="000000" w:themeColor="text1"/>
              </w:rPr>
              <w:t xml:space="preserve">VMT </w:t>
            </w:r>
          </w:p>
          <w:p w14:paraId="7F7CFB6C" w14:textId="77777777" w:rsidR="007C1525" w:rsidRPr="004E13E9" w:rsidRDefault="007C1525" w:rsidP="00D47E5E">
            <w:pPr>
              <w:shd w:val="clear" w:color="auto" w:fill="FFFFFF" w:themeFill="background1"/>
              <w:rPr>
                <w:color w:val="000000" w:themeColor="text1"/>
              </w:rPr>
            </w:pPr>
            <w:r w:rsidRPr="004E13E9">
              <w:rPr>
                <w:color w:val="000000" w:themeColor="text1"/>
              </w:rPr>
              <w:t xml:space="preserve">Sahbi </w:t>
            </w:r>
            <w:proofErr w:type="spellStart"/>
            <w:r w:rsidRPr="004E13E9">
              <w:rPr>
                <w:color w:val="000000" w:themeColor="text1"/>
              </w:rPr>
              <w:t>Sallem</w:t>
            </w:r>
            <w:proofErr w:type="spellEnd"/>
          </w:p>
        </w:tc>
        <w:tc>
          <w:tcPr>
            <w:tcW w:w="3128" w:type="dxa"/>
            <w:tcBorders>
              <w:top w:val="single" w:sz="4" w:space="0" w:color="auto"/>
              <w:left w:val="single" w:sz="4" w:space="0" w:color="auto"/>
              <w:bottom w:val="single" w:sz="4" w:space="0" w:color="auto"/>
              <w:right w:val="single" w:sz="4" w:space="0" w:color="auto"/>
            </w:tcBorders>
            <w:vAlign w:val="center"/>
            <w:hideMark/>
          </w:tcPr>
          <w:p w14:paraId="78C65418"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36°00’18’’N - 10°34’ 36’’E</w:t>
            </w:r>
          </w:p>
        </w:tc>
        <w:tc>
          <w:tcPr>
            <w:tcW w:w="2101" w:type="dxa"/>
            <w:vMerge w:val="restart"/>
            <w:tcBorders>
              <w:top w:val="single" w:sz="4" w:space="0" w:color="auto"/>
              <w:left w:val="single" w:sz="4" w:space="0" w:color="auto"/>
              <w:bottom w:val="single" w:sz="4" w:space="0" w:color="auto"/>
              <w:right w:val="single" w:sz="4" w:space="0" w:color="auto"/>
            </w:tcBorders>
            <w:vAlign w:val="center"/>
            <w:hideMark/>
          </w:tcPr>
          <w:p w14:paraId="6B951247" w14:textId="77777777" w:rsidR="007C1525" w:rsidRPr="004E13E9" w:rsidRDefault="007C1525" w:rsidP="00D47E5E">
            <w:pPr>
              <w:shd w:val="clear" w:color="auto" w:fill="FFFFFF" w:themeFill="background1"/>
              <w:ind w:right="175"/>
              <w:jc w:val="center"/>
              <w:rPr>
                <w:color w:val="000000" w:themeColor="text1"/>
              </w:rPr>
            </w:pPr>
            <w:r w:rsidRPr="004E13E9">
              <w:rPr>
                <w:color w:val="000000" w:themeColor="text1"/>
              </w:rPr>
              <w:t>850</w:t>
            </w:r>
          </w:p>
        </w:tc>
        <w:tc>
          <w:tcPr>
            <w:tcW w:w="1978" w:type="dxa"/>
            <w:vMerge w:val="restart"/>
            <w:tcBorders>
              <w:top w:val="single" w:sz="4" w:space="0" w:color="auto"/>
              <w:left w:val="single" w:sz="4" w:space="0" w:color="auto"/>
              <w:bottom w:val="single" w:sz="4" w:space="0" w:color="auto"/>
              <w:right w:val="single" w:sz="4" w:space="0" w:color="auto"/>
            </w:tcBorders>
            <w:vAlign w:val="center"/>
            <w:hideMark/>
          </w:tcPr>
          <w:p w14:paraId="50EB2DD8" w14:textId="77777777" w:rsidR="007C1525" w:rsidRPr="004E13E9" w:rsidRDefault="007C1525" w:rsidP="00D47E5E">
            <w:pPr>
              <w:shd w:val="clear" w:color="auto" w:fill="FFFFFF" w:themeFill="background1"/>
              <w:ind w:right="317"/>
              <w:jc w:val="center"/>
              <w:rPr>
                <w:color w:val="000000" w:themeColor="text1"/>
              </w:rPr>
            </w:pPr>
            <w:r w:rsidRPr="004E13E9">
              <w:rPr>
                <w:color w:val="000000" w:themeColor="text1"/>
              </w:rPr>
              <w:t>1.700</w:t>
            </w:r>
          </w:p>
        </w:tc>
      </w:tr>
      <w:tr w:rsidR="007C1525" w:rsidRPr="004E13E9" w14:paraId="31F52C76" w14:textId="77777777" w:rsidTr="00D47E5E">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27F92D"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8F2310"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41166B" w14:textId="77777777" w:rsidR="007C1525" w:rsidRPr="004E13E9" w:rsidRDefault="007C1525" w:rsidP="00D47E5E">
            <w:pPr>
              <w:rPr>
                <w:color w:val="000000" w:themeColor="text1"/>
                <w:lang w:val="en-GB"/>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7505FF94"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36°00’18’’N - 10°34’ 55’’E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AC296"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77A4AC" w14:textId="77777777" w:rsidR="007C1525" w:rsidRPr="004E13E9" w:rsidRDefault="007C1525" w:rsidP="00D47E5E">
            <w:pPr>
              <w:jc w:val="center"/>
              <w:rPr>
                <w:color w:val="000000" w:themeColor="text1"/>
                <w:lang w:val="en-GB"/>
              </w:rPr>
            </w:pPr>
          </w:p>
        </w:tc>
      </w:tr>
      <w:tr w:rsidR="007C1525" w:rsidRPr="004E13E9" w14:paraId="632797B5" w14:textId="77777777" w:rsidTr="00D47E5E">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B76A69"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79F2D3"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65305D" w14:textId="77777777" w:rsidR="007C1525" w:rsidRPr="004E13E9" w:rsidRDefault="007C1525" w:rsidP="00D47E5E">
            <w:pPr>
              <w:rPr>
                <w:color w:val="000000" w:themeColor="text1"/>
                <w:lang w:val="en-GB"/>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49FD43F7"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36°00’15’’N - 10°34’ 00’’E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252EF4"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870068" w14:textId="77777777" w:rsidR="007C1525" w:rsidRPr="004E13E9" w:rsidRDefault="007C1525" w:rsidP="00D47E5E">
            <w:pPr>
              <w:jc w:val="center"/>
              <w:rPr>
                <w:color w:val="000000" w:themeColor="text1"/>
                <w:lang w:val="en-GB"/>
              </w:rPr>
            </w:pPr>
          </w:p>
        </w:tc>
      </w:tr>
      <w:tr w:rsidR="007C1525" w:rsidRPr="004E13E9" w14:paraId="452EEA8A" w14:textId="77777777" w:rsidTr="00D47E5E">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F3D366"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019EF6"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3C11F8" w14:textId="77777777" w:rsidR="007C1525" w:rsidRPr="004E13E9" w:rsidRDefault="007C1525" w:rsidP="00D47E5E">
            <w:pPr>
              <w:rPr>
                <w:color w:val="000000" w:themeColor="text1"/>
                <w:lang w:val="en-GB"/>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7D8A2AD3"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36°00’15’’N - 10°34’ 37’’E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99CD00"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5A45A6" w14:textId="77777777" w:rsidR="007C1525" w:rsidRPr="004E13E9" w:rsidRDefault="007C1525" w:rsidP="00D47E5E">
            <w:pPr>
              <w:jc w:val="center"/>
              <w:rPr>
                <w:color w:val="000000" w:themeColor="text1"/>
                <w:lang w:val="en-GB"/>
              </w:rPr>
            </w:pPr>
          </w:p>
        </w:tc>
      </w:tr>
      <w:tr w:rsidR="007C1525" w:rsidRPr="004E13E9" w14:paraId="03890D34" w14:textId="77777777" w:rsidTr="00D47E5E">
        <w:trPr>
          <w:trHeight w:val="166"/>
        </w:trPr>
        <w:tc>
          <w:tcPr>
            <w:tcW w:w="1790" w:type="dxa"/>
            <w:vMerge w:val="restart"/>
            <w:tcBorders>
              <w:top w:val="single" w:sz="4" w:space="0" w:color="auto"/>
              <w:left w:val="single" w:sz="4" w:space="0" w:color="auto"/>
              <w:bottom w:val="single" w:sz="4" w:space="0" w:color="auto"/>
              <w:right w:val="single" w:sz="4" w:space="0" w:color="auto"/>
            </w:tcBorders>
            <w:vAlign w:val="center"/>
            <w:hideMark/>
          </w:tcPr>
          <w:p w14:paraId="33E88614" w14:textId="77777777" w:rsidR="007C1525" w:rsidRPr="004E13E9" w:rsidRDefault="007C1525" w:rsidP="00D47E5E">
            <w:pPr>
              <w:shd w:val="clear" w:color="auto" w:fill="FFFFFF" w:themeFill="background1"/>
              <w:jc w:val="center"/>
              <w:rPr>
                <w:b/>
                <w:bCs/>
                <w:color w:val="000000" w:themeColor="text1"/>
              </w:rPr>
            </w:pPr>
            <w:r w:rsidRPr="004E13E9">
              <w:rPr>
                <w:b/>
                <w:bCs/>
                <w:color w:val="000000" w:themeColor="text1"/>
              </w:rPr>
              <w:t>TT</w:t>
            </w:r>
          </w:p>
        </w:tc>
        <w:tc>
          <w:tcPr>
            <w:tcW w:w="2145" w:type="dxa"/>
            <w:vMerge w:val="restart"/>
            <w:tcBorders>
              <w:top w:val="single" w:sz="4" w:space="0" w:color="auto"/>
              <w:left w:val="single" w:sz="4" w:space="0" w:color="auto"/>
              <w:bottom w:val="single" w:sz="4" w:space="0" w:color="auto"/>
              <w:right w:val="single" w:sz="4" w:space="0" w:color="auto"/>
            </w:tcBorders>
            <w:vAlign w:val="center"/>
            <w:hideMark/>
          </w:tcPr>
          <w:p w14:paraId="7A6C6DDA" w14:textId="77777777" w:rsidR="007C1525" w:rsidRPr="004E13E9" w:rsidRDefault="007C1525" w:rsidP="00D47E5E">
            <w:pPr>
              <w:shd w:val="clear" w:color="auto" w:fill="FFFFFF" w:themeFill="background1"/>
              <w:rPr>
                <w:color w:val="000000" w:themeColor="text1"/>
              </w:rPr>
            </w:pPr>
            <w:r w:rsidRPr="004E13E9">
              <w:rPr>
                <w:color w:val="000000" w:themeColor="text1"/>
              </w:rPr>
              <w:t>AT001TUN00002</w:t>
            </w:r>
          </w:p>
        </w:tc>
        <w:tc>
          <w:tcPr>
            <w:tcW w:w="2738" w:type="dxa"/>
            <w:vMerge w:val="restart"/>
            <w:tcBorders>
              <w:top w:val="single" w:sz="4" w:space="0" w:color="auto"/>
              <w:left w:val="single" w:sz="4" w:space="0" w:color="auto"/>
              <w:bottom w:val="single" w:sz="4" w:space="0" w:color="auto"/>
              <w:right w:val="single" w:sz="4" w:space="0" w:color="auto"/>
            </w:tcBorders>
            <w:vAlign w:val="center"/>
            <w:hideMark/>
          </w:tcPr>
          <w:p w14:paraId="2CBF3411" w14:textId="77777777" w:rsidR="007C1525" w:rsidRPr="004E13E9" w:rsidRDefault="007C1525" w:rsidP="00D47E5E">
            <w:pPr>
              <w:shd w:val="clear" w:color="auto" w:fill="FFFFFF" w:themeFill="background1"/>
              <w:rPr>
                <w:color w:val="000000" w:themeColor="text1"/>
              </w:rPr>
            </w:pPr>
            <w:r w:rsidRPr="004E13E9">
              <w:rPr>
                <w:b/>
                <w:bCs/>
                <w:color w:val="000000" w:themeColor="text1"/>
              </w:rPr>
              <w:t>TT</w:t>
            </w:r>
          </w:p>
          <w:p w14:paraId="3E3D2AFF" w14:textId="77777777" w:rsidR="007C1525" w:rsidRPr="004E13E9" w:rsidRDefault="007C1525" w:rsidP="00D47E5E">
            <w:pPr>
              <w:shd w:val="clear" w:color="auto" w:fill="FFFFFF" w:themeFill="background1"/>
              <w:rPr>
                <w:color w:val="000000" w:themeColor="text1"/>
              </w:rPr>
            </w:pPr>
            <w:proofErr w:type="spellStart"/>
            <w:r w:rsidRPr="004E13E9">
              <w:rPr>
                <w:color w:val="000000" w:themeColor="text1"/>
              </w:rPr>
              <w:t>Abdelwaheb</w:t>
            </w:r>
            <w:proofErr w:type="spellEnd"/>
            <w:r w:rsidRPr="004E13E9">
              <w:rPr>
                <w:color w:val="000000" w:themeColor="text1"/>
              </w:rPr>
              <w:t xml:space="preserve"> Ben Ramdhane</w:t>
            </w:r>
          </w:p>
        </w:tc>
        <w:tc>
          <w:tcPr>
            <w:tcW w:w="3128" w:type="dxa"/>
            <w:tcBorders>
              <w:top w:val="single" w:sz="4" w:space="0" w:color="auto"/>
              <w:left w:val="single" w:sz="4" w:space="0" w:color="auto"/>
              <w:bottom w:val="single" w:sz="4" w:space="0" w:color="auto"/>
              <w:right w:val="single" w:sz="4" w:space="0" w:color="auto"/>
            </w:tcBorders>
            <w:vAlign w:val="center"/>
            <w:hideMark/>
          </w:tcPr>
          <w:p w14:paraId="4BA742AA"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35°25’00’’N - 11°04’ 40’’E</w:t>
            </w:r>
          </w:p>
        </w:tc>
        <w:tc>
          <w:tcPr>
            <w:tcW w:w="2101" w:type="dxa"/>
            <w:vMerge w:val="restart"/>
            <w:tcBorders>
              <w:top w:val="single" w:sz="4" w:space="0" w:color="auto"/>
              <w:left w:val="single" w:sz="4" w:space="0" w:color="auto"/>
              <w:bottom w:val="single" w:sz="4" w:space="0" w:color="auto"/>
              <w:right w:val="single" w:sz="4" w:space="0" w:color="auto"/>
            </w:tcBorders>
            <w:vAlign w:val="center"/>
            <w:hideMark/>
          </w:tcPr>
          <w:p w14:paraId="6AB55F47" w14:textId="77777777" w:rsidR="007C1525" w:rsidRPr="004E13E9" w:rsidRDefault="007C1525" w:rsidP="00D47E5E">
            <w:pPr>
              <w:shd w:val="clear" w:color="auto" w:fill="FFFFFF" w:themeFill="background1"/>
              <w:ind w:right="175"/>
              <w:jc w:val="center"/>
              <w:rPr>
                <w:color w:val="000000" w:themeColor="text1"/>
              </w:rPr>
            </w:pPr>
            <w:r w:rsidRPr="004E13E9">
              <w:rPr>
                <w:color w:val="000000" w:themeColor="text1"/>
              </w:rPr>
              <w:t>1.000</w:t>
            </w:r>
          </w:p>
        </w:tc>
        <w:tc>
          <w:tcPr>
            <w:tcW w:w="1978" w:type="dxa"/>
            <w:vMerge w:val="restart"/>
            <w:tcBorders>
              <w:top w:val="single" w:sz="4" w:space="0" w:color="auto"/>
              <w:left w:val="single" w:sz="4" w:space="0" w:color="auto"/>
              <w:bottom w:val="single" w:sz="4" w:space="0" w:color="auto"/>
              <w:right w:val="single" w:sz="4" w:space="0" w:color="auto"/>
            </w:tcBorders>
            <w:vAlign w:val="center"/>
            <w:hideMark/>
          </w:tcPr>
          <w:p w14:paraId="4B1519BC" w14:textId="77777777" w:rsidR="007C1525" w:rsidRPr="004E13E9" w:rsidRDefault="007C1525" w:rsidP="00D47E5E">
            <w:pPr>
              <w:shd w:val="clear" w:color="auto" w:fill="FFFFFF" w:themeFill="background1"/>
              <w:ind w:right="317"/>
              <w:jc w:val="center"/>
              <w:rPr>
                <w:color w:val="000000" w:themeColor="text1"/>
              </w:rPr>
            </w:pPr>
            <w:r w:rsidRPr="004E13E9">
              <w:rPr>
                <w:color w:val="000000" w:themeColor="text1"/>
              </w:rPr>
              <w:t>2.000</w:t>
            </w:r>
          </w:p>
        </w:tc>
      </w:tr>
      <w:tr w:rsidR="007C1525" w:rsidRPr="004E13E9" w14:paraId="16AB9095" w14:textId="77777777" w:rsidTr="00D47E5E">
        <w:trPr>
          <w:trHeight w:val="1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CC3771"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77C2B1"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74D592" w14:textId="77777777" w:rsidR="007C1525" w:rsidRPr="004E13E9" w:rsidRDefault="007C1525" w:rsidP="00D47E5E">
            <w:pPr>
              <w:rPr>
                <w:color w:val="000000" w:themeColor="text1"/>
                <w:lang w:val="en-GB"/>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1A3210A4"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35°25’00’’N - 11°05’ 04’’E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B52BD0"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5E81EE" w14:textId="77777777" w:rsidR="007C1525" w:rsidRPr="004E13E9" w:rsidRDefault="007C1525" w:rsidP="00D47E5E">
            <w:pPr>
              <w:jc w:val="center"/>
              <w:rPr>
                <w:color w:val="000000" w:themeColor="text1"/>
                <w:lang w:val="en-GB"/>
              </w:rPr>
            </w:pPr>
          </w:p>
        </w:tc>
      </w:tr>
      <w:tr w:rsidR="007C1525" w:rsidRPr="004E13E9" w14:paraId="0E558662" w14:textId="77777777" w:rsidTr="00D47E5E">
        <w:trPr>
          <w:trHeight w:val="1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D66730"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418C15"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A7CDD4" w14:textId="77777777" w:rsidR="007C1525" w:rsidRPr="004E13E9" w:rsidRDefault="007C1525" w:rsidP="00D47E5E">
            <w:pPr>
              <w:rPr>
                <w:color w:val="000000" w:themeColor="text1"/>
                <w:lang w:val="en-GB"/>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7B9033CD"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35°24’38’’N - 11°04’ 40’’E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202DFD"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91401D" w14:textId="77777777" w:rsidR="007C1525" w:rsidRPr="004E13E9" w:rsidRDefault="007C1525" w:rsidP="00D47E5E">
            <w:pPr>
              <w:jc w:val="center"/>
              <w:rPr>
                <w:color w:val="000000" w:themeColor="text1"/>
                <w:lang w:val="en-GB"/>
              </w:rPr>
            </w:pPr>
          </w:p>
        </w:tc>
      </w:tr>
      <w:tr w:rsidR="007C1525" w:rsidRPr="004E13E9" w14:paraId="178BA233" w14:textId="77777777" w:rsidTr="00D47E5E">
        <w:trPr>
          <w:trHeight w:val="1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111C2C"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726ACC"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77F165" w14:textId="77777777" w:rsidR="007C1525" w:rsidRPr="004E13E9" w:rsidRDefault="007C1525" w:rsidP="00D47E5E">
            <w:pPr>
              <w:rPr>
                <w:color w:val="000000" w:themeColor="text1"/>
                <w:lang w:val="en-GB"/>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2174A601"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35°24’38’’N - 11°05’ 04’’E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114703"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DDFEFB" w14:textId="77777777" w:rsidR="007C1525" w:rsidRPr="004E13E9" w:rsidRDefault="007C1525" w:rsidP="00D47E5E">
            <w:pPr>
              <w:jc w:val="center"/>
              <w:rPr>
                <w:color w:val="000000" w:themeColor="text1"/>
                <w:lang w:val="en-GB"/>
              </w:rPr>
            </w:pPr>
          </w:p>
        </w:tc>
      </w:tr>
      <w:tr w:rsidR="007C1525" w:rsidRPr="004E13E9" w14:paraId="15DD94B4" w14:textId="77777777" w:rsidTr="00D47E5E">
        <w:trPr>
          <w:trHeight w:val="113"/>
        </w:trPr>
        <w:tc>
          <w:tcPr>
            <w:tcW w:w="1790" w:type="dxa"/>
            <w:vMerge w:val="restart"/>
            <w:tcBorders>
              <w:top w:val="single" w:sz="4" w:space="0" w:color="auto"/>
              <w:left w:val="single" w:sz="4" w:space="0" w:color="auto"/>
              <w:bottom w:val="single" w:sz="4" w:space="0" w:color="auto"/>
              <w:right w:val="single" w:sz="4" w:space="0" w:color="auto"/>
            </w:tcBorders>
            <w:vAlign w:val="center"/>
            <w:hideMark/>
          </w:tcPr>
          <w:p w14:paraId="62DA4F26" w14:textId="77777777" w:rsidR="007C1525" w:rsidRPr="004E13E9" w:rsidRDefault="007C1525" w:rsidP="00D47E5E">
            <w:pPr>
              <w:shd w:val="clear" w:color="auto" w:fill="FFFFFF" w:themeFill="background1"/>
              <w:jc w:val="center"/>
              <w:rPr>
                <w:b/>
                <w:bCs/>
                <w:color w:val="000000" w:themeColor="text1"/>
              </w:rPr>
            </w:pPr>
            <w:r w:rsidRPr="004E13E9">
              <w:rPr>
                <w:b/>
                <w:bCs/>
                <w:color w:val="000000" w:themeColor="text1"/>
              </w:rPr>
              <w:t>SAGUN-DOUSS</w:t>
            </w:r>
          </w:p>
        </w:tc>
        <w:tc>
          <w:tcPr>
            <w:tcW w:w="2145" w:type="dxa"/>
            <w:vMerge w:val="restart"/>
            <w:tcBorders>
              <w:top w:val="single" w:sz="4" w:space="0" w:color="auto"/>
              <w:left w:val="single" w:sz="4" w:space="0" w:color="auto"/>
              <w:bottom w:val="single" w:sz="4" w:space="0" w:color="auto"/>
              <w:right w:val="single" w:sz="4" w:space="0" w:color="auto"/>
            </w:tcBorders>
            <w:vAlign w:val="center"/>
            <w:hideMark/>
          </w:tcPr>
          <w:p w14:paraId="6C1B4FBA" w14:textId="77777777" w:rsidR="007C1525" w:rsidRPr="004E13E9" w:rsidRDefault="007C1525" w:rsidP="00D47E5E">
            <w:pPr>
              <w:shd w:val="clear" w:color="auto" w:fill="FFFFFF" w:themeFill="background1"/>
              <w:rPr>
                <w:color w:val="000000" w:themeColor="text1"/>
              </w:rPr>
            </w:pPr>
            <w:r w:rsidRPr="004E13E9">
              <w:rPr>
                <w:color w:val="000000" w:themeColor="text1"/>
              </w:rPr>
              <w:t>AT001TUN00003</w:t>
            </w:r>
          </w:p>
        </w:tc>
        <w:tc>
          <w:tcPr>
            <w:tcW w:w="2738" w:type="dxa"/>
            <w:vMerge w:val="restart"/>
            <w:tcBorders>
              <w:top w:val="single" w:sz="4" w:space="0" w:color="auto"/>
              <w:left w:val="single" w:sz="4" w:space="0" w:color="auto"/>
              <w:bottom w:val="single" w:sz="4" w:space="0" w:color="auto"/>
              <w:right w:val="single" w:sz="4" w:space="0" w:color="auto"/>
            </w:tcBorders>
            <w:vAlign w:val="center"/>
            <w:hideMark/>
          </w:tcPr>
          <w:p w14:paraId="6ECE7420" w14:textId="77777777" w:rsidR="007C1525" w:rsidRPr="004E13E9" w:rsidRDefault="007C1525" w:rsidP="00D47E5E">
            <w:pPr>
              <w:shd w:val="clear" w:color="auto" w:fill="FFFFFF" w:themeFill="background1"/>
              <w:rPr>
                <w:b/>
                <w:bCs/>
                <w:color w:val="000000" w:themeColor="text1"/>
                <w:lang w:val="fr-FR"/>
              </w:rPr>
            </w:pPr>
            <w:r w:rsidRPr="004E13E9">
              <w:rPr>
                <w:b/>
                <w:bCs/>
                <w:color w:val="000000" w:themeColor="text1"/>
                <w:lang w:val="fr-FR"/>
              </w:rPr>
              <w:t>Sagun-</w:t>
            </w:r>
            <w:proofErr w:type="spellStart"/>
            <w:r w:rsidRPr="004E13E9">
              <w:rPr>
                <w:b/>
                <w:bCs/>
                <w:color w:val="000000" w:themeColor="text1"/>
                <w:lang w:val="fr-FR"/>
              </w:rPr>
              <w:t>Douss</w:t>
            </w:r>
            <w:proofErr w:type="spellEnd"/>
            <w:r w:rsidRPr="004E13E9">
              <w:rPr>
                <w:b/>
                <w:bCs/>
                <w:color w:val="000000" w:themeColor="text1"/>
                <w:lang w:val="fr-FR"/>
              </w:rPr>
              <w:t xml:space="preserve"> </w:t>
            </w:r>
          </w:p>
          <w:p w14:paraId="0149DCA6" w14:textId="77777777" w:rsidR="007C1525" w:rsidRPr="004E13E9" w:rsidRDefault="007C1525" w:rsidP="00D47E5E">
            <w:pPr>
              <w:shd w:val="clear" w:color="auto" w:fill="FFFFFF" w:themeFill="background1"/>
              <w:rPr>
                <w:color w:val="000000" w:themeColor="text1"/>
                <w:lang w:val="fr-FR"/>
              </w:rPr>
            </w:pPr>
            <w:r w:rsidRPr="004E13E9">
              <w:rPr>
                <w:color w:val="000000" w:themeColor="text1"/>
                <w:lang w:val="fr-FR"/>
              </w:rPr>
              <w:t xml:space="preserve">Mehdi Douss, Ahmet Sagun et Sabrine Douss </w:t>
            </w:r>
          </w:p>
        </w:tc>
        <w:tc>
          <w:tcPr>
            <w:tcW w:w="3128" w:type="dxa"/>
            <w:tcBorders>
              <w:top w:val="single" w:sz="4" w:space="0" w:color="auto"/>
              <w:left w:val="single" w:sz="4" w:space="0" w:color="auto"/>
              <w:bottom w:val="single" w:sz="4" w:space="0" w:color="auto"/>
              <w:right w:val="single" w:sz="4" w:space="0" w:color="auto"/>
            </w:tcBorders>
            <w:vAlign w:val="center"/>
            <w:hideMark/>
          </w:tcPr>
          <w:p w14:paraId="09A28AE0" w14:textId="77777777" w:rsidR="007C1525" w:rsidRPr="004E13E9" w:rsidRDefault="007C1525" w:rsidP="00D47E5E">
            <w:pPr>
              <w:shd w:val="clear" w:color="auto" w:fill="FFFFFF" w:themeFill="background1"/>
              <w:jc w:val="center"/>
              <w:rPr>
                <w:color w:val="000000" w:themeColor="text1"/>
                <w:lang w:val="en-GB"/>
              </w:rPr>
            </w:pPr>
            <w:r w:rsidRPr="004E13E9">
              <w:rPr>
                <w:color w:val="000000" w:themeColor="text1"/>
              </w:rPr>
              <w:t>35°</w:t>
            </w:r>
            <w:r w:rsidRPr="004E13E9">
              <w:rPr>
                <w:color w:val="000000" w:themeColor="text1"/>
                <w:rtl/>
                <w:lang w:bidi="ar-TN"/>
              </w:rPr>
              <w:t>19</w:t>
            </w:r>
            <w:r w:rsidRPr="004E13E9">
              <w:rPr>
                <w:color w:val="000000" w:themeColor="text1"/>
              </w:rPr>
              <w:t>’0</w:t>
            </w:r>
            <w:r w:rsidRPr="004E13E9">
              <w:rPr>
                <w:color w:val="000000" w:themeColor="text1"/>
                <w:rtl/>
                <w:lang w:bidi="ar-TN"/>
              </w:rPr>
              <w:t>0</w:t>
            </w:r>
            <w:r w:rsidRPr="004E13E9">
              <w:rPr>
                <w:color w:val="000000" w:themeColor="text1"/>
              </w:rPr>
              <w:t>’’N - 11°0</w:t>
            </w:r>
            <w:r w:rsidRPr="004E13E9">
              <w:rPr>
                <w:color w:val="000000" w:themeColor="text1"/>
                <w:rtl/>
                <w:lang w:bidi="ar-TN"/>
              </w:rPr>
              <w:t>9</w:t>
            </w:r>
            <w:r w:rsidRPr="004E13E9">
              <w:rPr>
                <w:color w:val="000000" w:themeColor="text1"/>
              </w:rPr>
              <w:t>’ </w:t>
            </w:r>
            <w:r w:rsidRPr="004E13E9">
              <w:rPr>
                <w:color w:val="000000" w:themeColor="text1"/>
                <w:rtl/>
                <w:lang w:bidi="ar-TN"/>
              </w:rPr>
              <w:t>10</w:t>
            </w:r>
            <w:r w:rsidRPr="004E13E9">
              <w:rPr>
                <w:color w:val="000000" w:themeColor="text1"/>
              </w:rPr>
              <w:t>’’E</w:t>
            </w:r>
          </w:p>
        </w:tc>
        <w:tc>
          <w:tcPr>
            <w:tcW w:w="2101" w:type="dxa"/>
            <w:vMerge w:val="restart"/>
            <w:tcBorders>
              <w:top w:val="single" w:sz="4" w:space="0" w:color="auto"/>
              <w:left w:val="single" w:sz="4" w:space="0" w:color="auto"/>
              <w:bottom w:val="single" w:sz="4" w:space="0" w:color="auto"/>
              <w:right w:val="single" w:sz="4" w:space="0" w:color="auto"/>
            </w:tcBorders>
            <w:vAlign w:val="center"/>
            <w:hideMark/>
          </w:tcPr>
          <w:p w14:paraId="3BB65A31" w14:textId="77777777" w:rsidR="007C1525" w:rsidRPr="004E13E9" w:rsidRDefault="007C1525" w:rsidP="00D47E5E">
            <w:pPr>
              <w:shd w:val="clear" w:color="auto" w:fill="FFFFFF" w:themeFill="background1"/>
              <w:ind w:right="175"/>
              <w:jc w:val="center"/>
              <w:rPr>
                <w:color w:val="000000" w:themeColor="text1"/>
              </w:rPr>
            </w:pPr>
            <w:r w:rsidRPr="004E13E9">
              <w:rPr>
                <w:color w:val="000000" w:themeColor="text1"/>
              </w:rPr>
              <w:t>-</w:t>
            </w:r>
          </w:p>
        </w:tc>
        <w:tc>
          <w:tcPr>
            <w:tcW w:w="1978" w:type="dxa"/>
            <w:vMerge w:val="restart"/>
            <w:tcBorders>
              <w:top w:val="single" w:sz="4" w:space="0" w:color="auto"/>
              <w:left w:val="single" w:sz="4" w:space="0" w:color="auto"/>
              <w:bottom w:val="single" w:sz="4" w:space="0" w:color="auto"/>
              <w:right w:val="single" w:sz="4" w:space="0" w:color="auto"/>
            </w:tcBorders>
            <w:vAlign w:val="center"/>
            <w:hideMark/>
          </w:tcPr>
          <w:p w14:paraId="5DAECC39" w14:textId="77777777" w:rsidR="007C1525" w:rsidRPr="004E13E9" w:rsidRDefault="007C1525" w:rsidP="00D47E5E">
            <w:pPr>
              <w:shd w:val="clear" w:color="auto" w:fill="FFFFFF" w:themeFill="background1"/>
              <w:ind w:right="317"/>
              <w:jc w:val="center"/>
              <w:rPr>
                <w:color w:val="000000" w:themeColor="text1"/>
              </w:rPr>
            </w:pPr>
            <w:r w:rsidRPr="004E13E9">
              <w:rPr>
                <w:color w:val="000000" w:themeColor="text1"/>
              </w:rPr>
              <w:t>-</w:t>
            </w:r>
          </w:p>
        </w:tc>
      </w:tr>
      <w:tr w:rsidR="007C1525" w:rsidRPr="004E13E9" w14:paraId="1E814FF2" w14:textId="77777777" w:rsidTr="00D47E5E">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9E89BD"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171B63"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826507" w14:textId="77777777" w:rsidR="007C1525" w:rsidRPr="004E13E9" w:rsidRDefault="007C1525" w:rsidP="00D47E5E">
            <w:pPr>
              <w:rPr>
                <w:color w:val="000000" w:themeColor="text1"/>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076AA300"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35°</w:t>
            </w:r>
            <w:r w:rsidRPr="004E13E9">
              <w:rPr>
                <w:color w:val="000000" w:themeColor="text1"/>
                <w:rtl/>
                <w:lang w:bidi="ar-TN"/>
              </w:rPr>
              <w:t>19</w:t>
            </w:r>
            <w:r w:rsidRPr="004E13E9">
              <w:rPr>
                <w:color w:val="000000" w:themeColor="text1"/>
              </w:rPr>
              <w:t>’00’’N - 11°0</w:t>
            </w:r>
            <w:r w:rsidRPr="004E13E9">
              <w:rPr>
                <w:color w:val="000000" w:themeColor="text1"/>
                <w:rtl/>
                <w:lang w:bidi="ar-TN"/>
              </w:rPr>
              <w:t>8</w:t>
            </w:r>
            <w:r w:rsidRPr="004E13E9">
              <w:rPr>
                <w:color w:val="000000" w:themeColor="text1"/>
              </w:rPr>
              <w:t>’ </w:t>
            </w:r>
            <w:r w:rsidRPr="004E13E9">
              <w:rPr>
                <w:color w:val="000000" w:themeColor="text1"/>
                <w:rtl/>
                <w:lang w:bidi="ar-TN"/>
              </w:rPr>
              <w:t>10</w:t>
            </w:r>
            <w:r w:rsidRPr="004E13E9">
              <w:rPr>
                <w:color w:val="000000" w:themeColor="text1"/>
              </w:rPr>
              <w: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FBE83B"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08DFDE" w14:textId="77777777" w:rsidR="007C1525" w:rsidRPr="004E13E9" w:rsidRDefault="007C1525" w:rsidP="00D47E5E">
            <w:pPr>
              <w:jc w:val="center"/>
              <w:rPr>
                <w:color w:val="000000" w:themeColor="text1"/>
                <w:lang w:val="en-GB"/>
              </w:rPr>
            </w:pPr>
          </w:p>
        </w:tc>
      </w:tr>
      <w:tr w:rsidR="007C1525" w:rsidRPr="004E13E9" w14:paraId="3C690C24" w14:textId="77777777" w:rsidTr="00D47E5E">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E4B9F9"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BF751A"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FC32A6" w14:textId="77777777" w:rsidR="007C1525" w:rsidRPr="004E13E9" w:rsidRDefault="007C1525" w:rsidP="00D47E5E">
            <w:pPr>
              <w:rPr>
                <w:color w:val="000000" w:themeColor="text1"/>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332FD9BB"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35°</w:t>
            </w:r>
            <w:r w:rsidRPr="004E13E9">
              <w:rPr>
                <w:color w:val="000000" w:themeColor="text1"/>
                <w:rtl/>
                <w:lang w:bidi="ar-TN"/>
              </w:rPr>
              <w:t>18</w:t>
            </w:r>
            <w:r w:rsidRPr="004E13E9">
              <w:rPr>
                <w:color w:val="000000" w:themeColor="text1"/>
              </w:rPr>
              <w:t>’</w:t>
            </w:r>
            <w:r w:rsidRPr="004E13E9">
              <w:rPr>
                <w:color w:val="000000" w:themeColor="text1"/>
                <w:rtl/>
                <w:lang w:bidi="ar-TN"/>
              </w:rPr>
              <w:t>42</w:t>
            </w:r>
            <w:r w:rsidRPr="004E13E9">
              <w:rPr>
                <w:color w:val="000000" w:themeColor="text1"/>
              </w:rPr>
              <w:t>’’N - 11°0</w:t>
            </w:r>
            <w:r w:rsidRPr="004E13E9">
              <w:rPr>
                <w:color w:val="000000" w:themeColor="text1"/>
                <w:rtl/>
                <w:lang w:bidi="ar-TN"/>
              </w:rPr>
              <w:t>9</w:t>
            </w:r>
            <w:r w:rsidRPr="004E13E9">
              <w:rPr>
                <w:color w:val="000000" w:themeColor="text1"/>
              </w:rPr>
              <w:t>’ </w:t>
            </w:r>
            <w:r w:rsidRPr="004E13E9">
              <w:rPr>
                <w:color w:val="000000" w:themeColor="text1"/>
                <w:rtl/>
                <w:lang w:bidi="ar-TN"/>
              </w:rPr>
              <w:t>1</w:t>
            </w:r>
            <w:r w:rsidRPr="004E13E9">
              <w:rPr>
                <w:color w:val="000000" w:themeColor="text1"/>
              </w:rPr>
              <w:t>0’’E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C0A317"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3D801F" w14:textId="77777777" w:rsidR="007C1525" w:rsidRPr="004E13E9" w:rsidRDefault="007C1525" w:rsidP="00D47E5E">
            <w:pPr>
              <w:jc w:val="center"/>
              <w:rPr>
                <w:color w:val="000000" w:themeColor="text1"/>
                <w:lang w:val="en-GB"/>
              </w:rPr>
            </w:pPr>
          </w:p>
        </w:tc>
      </w:tr>
      <w:tr w:rsidR="007C1525" w:rsidRPr="004E13E9" w14:paraId="6C026950" w14:textId="77777777" w:rsidTr="00D47E5E">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0383B1"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DFE323"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197448" w14:textId="77777777" w:rsidR="007C1525" w:rsidRPr="004E13E9" w:rsidRDefault="007C1525" w:rsidP="00D47E5E">
            <w:pPr>
              <w:rPr>
                <w:color w:val="000000" w:themeColor="text1"/>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158EBB56"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35°</w:t>
            </w:r>
            <w:r w:rsidRPr="004E13E9">
              <w:rPr>
                <w:color w:val="000000" w:themeColor="text1"/>
                <w:rtl/>
                <w:lang w:bidi="ar-TN"/>
              </w:rPr>
              <w:t>18</w:t>
            </w:r>
            <w:r w:rsidRPr="004E13E9">
              <w:rPr>
                <w:color w:val="000000" w:themeColor="text1"/>
              </w:rPr>
              <w:t>’</w:t>
            </w:r>
            <w:r w:rsidRPr="004E13E9">
              <w:rPr>
                <w:color w:val="000000" w:themeColor="text1"/>
                <w:rtl/>
                <w:lang w:bidi="ar-TN"/>
              </w:rPr>
              <w:t>42</w:t>
            </w:r>
            <w:r w:rsidRPr="004E13E9">
              <w:rPr>
                <w:color w:val="000000" w:themeColor="text1"/>
              </w:rPr>
              <w:t>’’N - 11°0</w:t>
            </w:r>
            <w:r w:rsidRPr="004E13E9">
              <w:rPr>
                <w:color w:val="000000" w:themeColor="text1"/>
                <w:rtl/>
                <w:lang w:bidi="ar-TN"/>
              </w:rPr>
              <w:t>8</w:t>
            </w:r>
            <w:r w:rsidRPr="004E13E9">
              <w:rPr>
                <w:color w:val="000000" w:themeColor="text1"/>
              </w:rPr>
              <w:t>’ </w:t>
            </w:r>
            <w:r w:rsidRPr="004E13E9">
              <w:rPr>
                <w:color w:val="000000" w:themeColor="text1"/>
                <w:rtl/>
                <w:lang w:bidi="ar-TN"/>
              </w:rPr>
              <w:t>45</w:t>
            </w:r>
            <w:r w:rsidRPr="004E13E9">
              <w:rPr>
                <w:color w:val="000000" w:themeColor="text1"/>
              </w:rPr>
              <w: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B5892B"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5BEF92" w14:textId="77777777" w:rsidR="007C1525" w:rsidRPr="004E13E9" w:rsidRDefault="007C1525" w:rsidP="00D47E5E">
            <w:pPr>
              <w:jc w:val="center"/>
              <w:rPr>
                <w:color w:val="000000" w:themeColor="text1"/>
                <w:lang w:val="en-GB"/>
              </w:rPr>
            </w:pPr>
          </w:p>
        </w:tc>
      </w:tr>
      <w:tr w:rsidR="007C1525" w:rsidRPr="004E13E9" w14:paraId="1AA849E6" w14:textId="77777777" w:rsidTr="00D47E5E">
        <w:trPr>
          <w:trHeight w:val="166"/>
        </w:trPr>
        <w:tc>
          <w:tcPr>
            <w:tcW w:w="1790" w:type="dxa"/>
            <w:vMerge w:val="restart"/>
            <w:tcBorders>
              <w:top w:val="single" w:sz="4" w:space="0" w:color="auto"/>
              <w:left w:val="single" w:sz="4" w:space="0" w:color="auto"/>
              <w:bottom w:val="single" w:sz="4" w:space="0" w:color="auto"/>
              <w:right w:val="single" w:sz="4" w:space="0" w:color="auto"/>
            </w:tcBorders>
            <w:vAlign w:val="center"/>
            <w:hideMark/>
          </w:tcPr>
          <w:p w14:paraId="338F0186" w14:textId="77777777" w:rsidR="007C1525" w:rsidRPr="004E13E9" w:rsidRDefault="007C1525" w:rsidP="00D47E5E">
            <w:pPr>
              <w:shd w:val="clear" w:color="auto" w:fill="FFFFFF" w:themeFill="background1"/>
              <w:jc w:val="center"/>
              <w:rPr>
                <w:b/>
                <w:bCs/>
                <w:color w:val="000000" w:themeColor="text1"/>
              </w:rPr>
            </w:pPr>
            <w:r w:rsidRPr="004E13E9">
              <w:rPr>
                <w:b/>
                <w:bCs/>
                <w:color w:val="000000" w:themeColor="text1"/>
              </w:rPr>
              <w:t>TFT</w:t>
            </w:r>
          </w:p>
        </w:tc>
        <w:tc>
          <w:tcPr>
            <w:tcW w:w="2145" w:type="dxa"/>
            <w:vMerge w:val="restart"/>
            <w:tcBorders>
              <w:top w:val="single" w:sz="4" w:space="0" w:color="auto"/>
              <w:left w:val="single" w:sz="4" w:space="0" w:color="auto"/>
              <w:bottom w:val="single" w:sz="4" w:space="0" w:color="auto"/>
              <w:right w:val="single" w:sz="4" w:space="0" w:color="auto"/>
            </w:tcBorders>
            <w:vAlign w:val="center"/>
            <w:hideMark/>
          </w:tcPr>
          <w:p w14:paraId="103A350B" w14:textId="77777777" w:rsidR="007C1525" w:rsidRPr="004E13E9" w:rsidRDefault="007C1525" w:rsidP="00D47E5E">
            <w:pPr>
              <w:shd w:val="clear" w:color="auto" w:fill="FFFFFF" w:themeFill="background1"/>
              <w:rPr>
                <w:color w:val="000000" w:themeColor="text1"/>
              </w:rPr>
            </w:pPr>
            <w:r w:rsidRPr="004E13E9">
              <w:rPr>
                <w:color w:val="000000" w:themeColor="text1"/>
              </w:rPr>
              <w:t>AT001TUN00004</w:t>
            </w:r>
          </w:p>
        </w:tc>
        <w:tc>
          <w:tcPr>
            <w:tcW w:w="2738" w:type="dxa"/>
            <w:vMerge w:val="restart"/>
            <w:tcBorders>
              <w:top w:val="single" w:sz="4" w:space="0" w:color="auto"/>
              <w:left w:val="single" w:sz="4" w:space="0" w:color="auto"/>
              <w:bottom w:val="single" w:sz="4" w:space="0" w:color="auto"/>
              <w:right w:val="single" w:sz="4" w:space="0" w:color="auto"/>
            </w:tcBorders>
            <w:vAlign w:val="center"/>
            <w:hideMark/>
          </w:tcPr>
          <w:p w14:paraId="2411A5CA" w14:textId="77777777" w:rsidR="007C1525" w:rsidRPr="004E13E9" w:rsidRDefault="007C1525" w:rsidP="00D47E5E">
            <w:pPr>
              <w:shd w:val="clear" w:color="auto" w:fill="FFFFFF" w:themeFill="background1"/>
              <w:rPr>
                <w:color w:val="000000" w:themeColor="text1"/>
              </w:rPr>
            </w:pPr>
            <w:r w:rsidRPr="004E13E9">
              <w:rPr>
                <w:b/>
                <w:bCs/>
                <w:color w:val="000000" w:themeColor="text1"/>
              </w:rPr>
              <w:t>TFT</w:t>
            </w:r>
          </w:p>
          <w:p w14:paraId="5411F21A" w14:textId="77777777" w:rsidR="007C1525" w:rsidRPr="004E13E9" w:rsidRDefault="007C1525" w:rsidP="00D47E5E">
            <w:pPr>
              <w:shd w:val="clear" w:color="auto" w:fill="FFFFFF" w:themeFill="background1"/>
              <w:rPr>
                <w:color w:val="000000" w:themeColor="text1"/>
              </w:rPr>
            </w:pPr>
            <w:r w:rsidRPr="004E13E9">
              <w:rPr>
                <w:color w:val="000000" w:themeColor="text1"/>
              </w:rPr>
              <w:t xml:space="preserve">Ridha </w:t>
            </w:r>
            <w:proofErr w:type="spellStart"/>
            <w:r w:rsidRPr="004E13E9">
              <w:rPr>
                <w:color w:val="000000" w:themeColor="text1"/>
              </w:rPr>
              <w:t>Sallem</w:t>
            </w:r>
            <w:proofErr w:type="spellEnd"/>
          </w:p>
        </w:tc>
        <w:tc>
          <w:tcPr>
            <w:tcW w:w="3128" w:type="dxa"/>
            <w:tcBorders>
              <w:top w:val="single" w:sz="4" w:space="0" w:color="auto"/>
              <w:left w:val="single" w:sz="4" w:space="0" w:color="auto"/>
              <w:bottom w:val="single" w:sz="4" w:space="0" w:color="auto"/>
              <w:right w:val="single" w:sz="4" w:space="0" w:color="auto"/>
            </w:tcBorders>
            <w:vAlign w:val="center"/>
            <w:hideMark/>
          </w:tcPr>
          <w:p w14:paraId="4F81A05E"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36°01’49’’N - 10°34’ 00’’E</w:t>
            </w:r>
          </w:p>
        </w:tc>
        <w:tc>
          <w:tcPr>
            <w:tcW w:w="2101" w:type="dxa"/>
            <w:vMerge w:val="restart"/>
            <w:tcBorders>
              <w:top w:val="single" w:sz="4" w:space="0" w:color="auto"/>
              <w:left w:val="single" w:sz="4" w:space="0" w:color="auto"/>
              <w:bottom w:val="single" w:sz="4" w:space="0" w:color="auto"/>
              <w:right w:val="single" w:sz="4" w:space="0" w:color="auto"/>
            </w:tcBorders>
            <w:vAlign w:val="center"/>
            <w:hideMark/>
          </w:tcPr>
          <w:p w14:paraId="3AF21695" w14:textId="77777777" w:rsidR="007C1525" w:rsidRPr="004E13E9" w:rsidRDefault="007C1525" w:rsidP="00D47E5E">
            <w:pPr>
              <w:shd w:val="clear" w:color="auto" w:fill="FFFFFF" w:themeFill="background1"/>
              <w:ind w:right="175"/>
              <w:jc w:val="center"/>
              <w:rPr>
                <w:color w:val="000000" w:themeColor="text1"/>
              </w:rPr>
            </w:pPr>
            <w:r w:rsidRPr="004E13E9">
              <w:rPr>
                <w:color w:val="000000" w:themeColor="text1"/>
              </w:rPr>
              <w:t>750</w:t>
            </w:r>
          </w:p>
        </w:tc>
        <w:tc>
          <w:tcPr>
            <w:tcW w:w="1978" w:type="dxa"/>
            <w:vMerge w:val="restart"/>
            <w:tcBorders>
              <w:top w:val="single" w:sz="4" w:space="0" w:color="auto"/>
              <w:left w:val="single" w:sz="4" w:space="0" w:color="auto"/>
              <w:bottom w:val="single" w:sz="4" w:space="0" w:color="auto"/>
              <w:right w:val="single" w:sz="4" w:space="0" w:color="auto"/>
            </w:tcBorders>
            <w:vAlign w:val="center"/>
            <w:hideMark/>
          </w:tcPr>
          <w:p w14:paraId="74592333" w14:textId="77777777" w:rsidR="007C1525" w:rsidRPr="004E13E9" w:rsidRDefault="007C1525" w:rsidP="00D47E5E">
            <w:pPr>
              <w:shd w:val="clear" w:color="auto" w:fill="FFFFFF" w:themeFill="background1"/>
              <w:ind w:right="317"/>
              <w:jc w:val="center"/>
              <w:rPr>
                <w:color w:val="000000" w:themeColor="text1"/>
              </w:rPr>
            </w:pPr>
            <w:r w:rsidRPr="004E13E9">
              <w:rPr>
                <w:color w:val="000000" w:themeColor="text1"/>
              </w:rPr>
              <w:t>1.500</w:t>
            </w:r>
          </w:p>
        </w:tc>
      </w:tr>
      <w:tr w:rsidR="007C1525" w:rsidRPr="004E13E9" w14:paraId="01106535" w14:textId="77777777" w:rsidTr="00D47E5E">
        <w:trPr>
          <w:trHeight w:val="1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27C576"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CF0F98"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95F7E3" w14:textId="77777777" w:rsidR="007C1525" w:rsidRPr="004E13E9" w:rsidRDefault="007C1525" w:rsidP="00D47E5E">
            <w:pPr>
              <w:rPr>
                <w:color w:val="000000" w:themeColor="text1"/>
                <w:lang w:val="en-GB"/>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575385BF"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36°01’38’’N - 10°34’ 00’’E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3ED8C3"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0E8BA8" w14:textId="77777777" w:rsidR="007C1525" w:rsidRPr="004E13E9" w:rsidRDefault="007C1525" w:rsidP="00D47E5E">
            <w:pPr>
              <w:jc w:val="center"/>
              <w:rPr>
                <w:color w:val="000000" w:themeColor="text1"/>
                <w:lang w:val="en-GB"/>
              </w:rPr>
            </w:pPr>
          </w:p>
        </w:tc>
      </w:tr>
      <w:tr w:rsidR="007C1525" w:rsidRPr="004E13E9" w14:paraId="395A9113" w14:textId="77777777" w:rsidTr="00D47E5E">
        <w:trPr>
          <w:trHeight w:val="1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074611"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17F3A3"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EA8429" w14:textId="77777777" w:rsidR="007C1525" w:rsidRPr="004E13E9" w:rsidRDefault="007C1525" w:rsidP="00D47E5E">
            <w:pPr>
              <w:rPr>
                <w:color w:val="000000" w:themeColor="text1"/>
                <w:lang w:val="en-GB"/>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6FDD11D4"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36°01’49’’N - 10°34’ 37’’E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01D274"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F356EC" w14:textId="77777777" w:rsidR="007C1525" w:rsidRPr="004E13E9" w:rsidRDefault="007C1525" w:rsidP="00D47E5E">
            <w:pPr>
              <w:jc w:val="center"/>
              <w:rPr>
                <w:color w:val="000000" w:themeColor="text1"/>
                <w:lang w:val="en-GB"/>
              </w:rPr>
            </w:pPr>
          </w:p>
        </w:tc>
      </w:tr>
      <w:tr w:rsidR="007C1525" w:rsidRPr="004E13E9" w14:paraId="689D163E" w14:textId="77777777" w:rsidTr="00D47E5E">
        <w:trPr>
          <w:trHeight w:val="1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7C4A9C"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47322A"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5C59E3" w14:textId="77777777" w:rsidR="007C1525" w:rsidRPr="004E13E9" w:rsidRDefault="007C1525" w:rsidP="00D47E5E">
            <w:pPr>
              <w:rPr>
                <w:color w:val="000000" w:themeColor="text1"/>
                <w:lang w:val="en-GB"/>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1CF13122"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36°01’38’’N - 10°34’ 37’’E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F6ACC2"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4E6C49" w14:textId="77777777" w:rsidR="007C1525" w:rsidRPr="004E13E9" w:rsidRDefault="007C1525" w:rsidP="00D47E5E">
            <w:pPr>
              <w:jc w:val="center"/>
              <w:rPr>
                <w:color w:val="000000" w:themeColor="text1"/>
                <w:lang w:val="en-GB"/>
              </w:rPr>
            </w:pPr>
          </w:p>
        </w:tc>
      </w:tr>
      <w:tr w:rsidR="007C1525" w:rsidRPr="004E13E9" w14:paraId="4610CAA4" w14:textId="77777777" w:rsidTr="00D47E5E">
        <w:trPr>
          <w:trHeight w:val="166"/>
        </w:trPr>
        <w:tc>
          <w:tcPr>
            <w:tcW w:w="1790" w:type="dxa"/>
            <w:vMerge w:val="restart"/>
            <w:tcBorders>
              <w:top w:val="single" w:sz="4" w:space="0" w:color="auto"/>
              <w:left w:val="single" w:sz="4" w:space="0" w:color="auto"/>
              <w:bottom w:val="single" w:sz="4" w:space="0" w:color="auto"/>
              <w:right w:val="single" w:sz="4" w:space="0" w:color="auto"/>
            </w:tcBorders>
            <w:vAlign w:val="center"/>
            <w:hideMark/>
          </w:tcPr>
          <w:p w14:paraId="6D6B2DC0" w14:textId="77777777" w:rsidR="007C1525" w:rsidRPr="004E13E9" w:rsidRDefault="007C1525" w:rsidP="00D47E5E">
            <w:pPr>
              <w:shd w:val="clear" w:color="auto" w:fill="FFFFFF" w:themeFill="background1"/>
              <w:jc w:val="center"/>
              <w:rPr>
                <w:b/>
                <w:bCs/>
                <w:color w:val="000000" w:themeColor="text1"/>
              </w:rPr>
            </w:pPr>
            <w:r w:rsidRPr="004E13E9">
              <w:rPr>
                <w:b/>
                <w:bCs/>
                <w:color w:val="000000" w:themeColor="text1"/>
              </w:rPr>
              <w:t>SNB</w:t>
            </w:r>
          </w:p>
        </w:tc>
        <w:tc>
          <w:tcPr>
            <w:tcW w:w="2145" w:type="dxa"/>
            <w:vMerge w:val="restart"/>
            <w:tcBorders>
              <w:top w:val="single" w:sz="4" w:space="0" w:color="auto"/>
              <w:left w:val="single" w:sz="4" w:space="0" w:color="auto"/>
              <w:bottom w:val="single" w:sz="4" w:space="0" w:color="auto"/>
              <w:right w:val="single" w:sz="4" w:space="0" w:color="auto"/>
            </w:tcBorders>
            <w:vAlign w:val="center"/>
            <w:hideMark/>
          </w:tcPr>
          <w:p w14:paraId="43C707CD" w14:textId="77777777" w:rsidR="007C1525" w:rsidRPr="004E13E9" w:rsidRDefault="007C1525" w:rsidP="00D47E5E">
            <w:pPr>
              <w:shd w:val="clear" w:color="auto" w:fill="FFFFFF" w:themeFill="background1"/>
              <w:rPr>
                <w:color w:val="000000" w:themeColor="text1"/>
              </w:rPr>
            </w:pPr>
            <w:r w:rsidRPr="004E13E9">
              <w:rPr>
                <w:color w:val="000000" w:themeColor="text1"/>
              </w:rPr>
              <w:t>AT001TUN00005</w:t>
            </w:r>
          </w:p>
        </w:tc>
        <w:tc>
          <w:tcPr>
            <w:tcW w:w="2738" w:type="dxa"/>
            <w:vMerge w:val="restart"/>
            <w:tcBorders>
              <w:top w:val="single" w:sz="4" w:space="0" w:color="auto"/>
              <w:left w:val="single" w:sz="4" w:space="0" w:color="auto"/>
              <w:bottom w:val="single" w:sz="4" w:space="0" w:color="auto"/>
              <w:right w:val="single" w:sz="4" w:space="0" w:color="auto"/>
            </w:tcBorders>
            <w:vAlign w:val="center"/>
            <w:hideMark/>
          </w:tcPr>
          <w:p w14:paraId="4583106D" w14:textId="77777777" w:rsidR="007C1525" w:rsidRPr="004E13E9" w:rsidRDefault="007C1525" w:rsidP="00D47E5E">
            <w:pPr>
              <w:shd w:val="clear" w:color="auto" w:fill="FFFFFF" w:themeFill="background1"/>
              <w:rPr>
                <w:color w:val="000000" w:themeColor="text1"/>
                <w:lang w:val="fr-FR"/>
              </w:rPr>
            </w:pPr>
            <w:r w:rsidRPr="004E13E9">
              <w:rPr>
                <w:b/>
                <w:bCs/>
                <w:color w:val="000000" w:themeColor="text1"/>
                <w:lang w:val="fr-FR"/>
              </w:rPr>
              <w:t>SNB</w:t>
            </w:r>
          </w:p>
          <w:p w14:paraId="5019EDFA" w14:textId="77777777" w:rsidR="007C1525" w:rsidRPr="004E13E9" w:rsidRDefault="007C1525" w:rsidP="00D47E5E">
            <w:pPr>
              <w:shd w:val="clear" w:color="auto" w:fill="FFFFFF" w:themeFill="background1"/>
              <w:rPr>
                <w:color w:val="000000" w:themeColor="text1"/>
                <w:lang w:val="fr-FR"/>
              </w:rPr>
            </w:pPr>
            <w:proofErr w:type="spellStart"/>
            <w:r w:rsidRPr="004E13E9">
              <w:rPr>
                <w:color w:val="000000" w:themeColor="text1"/>
                <w:lang w:val="fr-FR"/>
              </w:rPr>
              <w:t>Jaouher</w:t>
            </w:r>
            <w:proofErr w:type="spellEnd"/>
            <w:r w:rsidRPr="004E13E9">
              <w:rPr>
                <w:color w:val="000000" w:themeColor="text1"/>
                <w:lang w:val="fr-FR"/>
              </w:rPr>
              <w:t xml:space="preserve"> Ben Hmida </w:t>
            </w:r>
          </w:p>
          <w:p w14:paraId="0DCB7B7F" w14:textId="77777777" w:rsidR="007C1525" w:rsidRPr="004E13E9" w:rsidRDefault="007C1525" w:rsidP="00D47E5E">
            <w:pPr>
              <w:shd w:val="clear" w:color="auto" w:fill="FFFFFF" w:themeFill="background1"/>
              <w:rPr>
                <w:color w:val="000000" w:themeColor="text1"/>
                <w:lang w:val="fr-FR"/>
              </w:rPr>
            </w:pPr>
            <w:r w:rsidRPr="004E13E9">
              <w:rPr>
                <w:color w:val="000000" w:themeColor="text1"/>
                <w:lang w:val="fr-FR"/>
              </w:rPr>
              <w:t>et Sami Neifer</w:t>
            </w:r>
          </w:p>
        </w:tc>
        <w:tc>
          <w:tcPr>
            <w:tcW w:w="3128" w:type="dxa"/>
            <w:tcBorders>
              <w:top w:val="single" w:sz="4" w:space="0" w:color="auto"/>
              <w:left w:val="single" w:sz="4" w:space="0" w:color="auto"/>
              <w:bottom w:val="single" w:sz="4" w:space="0" w:color="auto"/>
              <w:right w:val="single" w:sz="4" w:space="0" w:color="auto"/>
            </w:tcBorders>
            <w:vAlign w:val="center"/>
            <w:hideMark/>
          </w:tcPr>
          <w:p w14:paraId="524D6B49" w14:textId="77777777" w:rsidR="007C1525" w:rsidRPr="004E13E9" w:rsidRDefault="007C1525" w:rsidP="00D47E5E">
            <w:pPr>
              <w:shd w:val="clear" w:color="auto" w:fill="FFFFFF" w:themeFill="background1"/>
              <w:jc w:val="center"/>
              <w:rPr>
                <w:color w:val="000000" w:themeColor="text1"/>
                <w:lang w:val="en-GB"/>
              </w:rPr>
            </w:pPr>
            <w:r w:rsidRPr="004E13E9">
              <w:rPr>
                <w:color w:val="000000" w:themeColor="text1"/>
              </w:rPr>
              <w:t>35°</w:t>
            </w:r>
            <w:r w:rsidRPr="004E13E9">
              <w:rPr>
                <w:color w:val="000000" w:themeColor="text1"/>
                <w:rtl/>
                <w:lang w:bidi="ar-TN"/>
              </w:rPr>
              <w:t>18</w:t>
            </w:r>
            <w:r w:rsidRPr="004E13E9">
              <w:rPr>
                <w:color w:val="000000" w:themeColor="text1"/>
              </w:rPr>
              <w:t>’</w:t>
            </w:r>
            <w:r w:rsidRPr="004E13E9">
              <w:rPr>
                <w:color w:val="000000" w:themeColor="text1"/>
                <w:rtl/>
                <w:lang w:bidi="ar-TN"/>
              </w:rPr>
              <w:t>1</w:t>
            </w:r>
            <w:r w:rsidRPr="004E13E9">
              <w:rPr>
                <w:color w:val="000000" w:themeColor="text1"/>
              </w:rPr>
              <w:t>0’’N - 11°0</w:t>
            </w:r>
            <w:r w:rsidRPr="004E13E9">
              <w:rPr>
                <w:color w:val="000000" w:themeColor="text1"/>
                <w:rtl/>
                <w:lang w:bidi="ar-TN"/>
              </w:rPr>
              <w:t>8</w:t>
            </w:r>
            <w:r w:rsidRPr="004E13E9">
              <w:rPr>
                <w:color w:val="000000" w:themeColor="text1"/>
              </w:rPr>
              <w:t>’ </w:t>
            </w:r>
            <w:r w:rsidRPr="004E13E9">
              <w:rPr>
                <w:color w:val="000000" w:themeColor="text1"/>
                <w:rtl/>
                <w:lang w:bidi="ar-TN"/>
              </w:rPr>
              <w:t>26</w:t>
            </w:r>
            <w:r w:rsidRPr="004E13E9">
              <w:rPr>
                <w:color w:val="000000" w:themeColor="text1"/>
              </w:rPr>
              <w:t>’’E</w:t>
            </w:r>
          </w:p>
        </w:tc>
        <w:tc>
          <w:tcPr>
            <w:tcW w:w="2101" w:type="dxa"/>
            <w:vMerge w:val="restart"/>
            <w:tcBorders>
              <w:top w:val="single" w:sz="4" w:space="0" w:color="auto"/>
              <w:left w:val="single" w:sz="4" w:space="0" w:color="auto"/>
              <w:bottom w:val="single" w:sz="4" w:space="0" w:color="auto"/>
              <w:right w:val="single" w:sz="4" w:space="0" w:color="auto"/>
            </w:tcBorders>
            <w:vAlign w:val="center"/>
            <w:hideMark/>
          </w:tcPr>
          <w:p w14:paraId="7F19B98A" w14:textId="77777777" w:rsidR="007C1525" w:rsidRPr="004E13E9" w:rsidRDefault="007C1525" w:rsidP="00D47E5E">
            <w:pPr>
              <w:shd w:val="clear" w:color="auto" w:fill="FFFFFF" w:themeFill="background1"/>
              <w:ind w:right="175"/>
              <w:jc w:val="center"/>
              <w:rPr>
                <w:color w:val="000000" w:themeColor="text1"/>
              </w:rPr>
            </w:pPr>
            <w:r w:rsidRPr="004E13E9">
              <w:rPr>
                <w:color w:val="000000" w:themeColor="text1"/>
              </w:rPr>
              <w:t>500</w:t>
            </w:r>
          </w:p>
        </w:tc>
        <w:tc>
          <w:tcPr>
            <w:tcW w:w="1978" w:type="dxa"/>
            <w:vMerge w:val="restart"/>
            <w:tcBorders>
              <w:top w:val="single" w:sz="4" w:space="0" w:color="auto"/>
              <w:left w:val="single" w:sz="4" w:space="0" w:color="auto"/>
              <w:bottom w:val="single" w:sz="4" w:space="0" w:color="auto"/>
              <w:right w:val="single" w:sz="4" w:space="0" w:color="auto"/>
            </w:tcBorders>
            <w:vAlign w:val="center"/>
            <w:hideMark/>
          </w:tcPr>
          <w:p w14:paraId="18EFE429" w14:textId="77777777" w:rsidR="007C1525" w:rsidRPr="004E13E9" w:rsidRDefault="007C1525" w:rsidP="00D47E5E">
            <w:pPr>
              <w:shd w:val="clear" w:color="auto" w:fill="FFFFFF" w:themeFill="background1"/>
              <w:ind w:right="317"/>
              <w:jc w:val="center"/>
              <w:rPr>
                <w:color w:val="000000" w:themeColor="text1"/>
              </w:rPr>
            </w:pPr>
            <w:r w:rsidRPr="004E13E9">
              <w:rPr>
                <w:color w:val="000000" w:themeColor="text1"/>
              </w:rPr>
              <w:t>1000</w:t>
            </w:r>
          </w:p>
        </w:tc>
      </w:tr>
      <w:tr w:rsidR="007C1525" w:rsidRPr="004E13E9" w14:paraId="0802F107" w14:textId="77777777" w:rsidTr="00D47E5E">
        <w:trPr>
          <w:trHeight w:val="1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3AD5F0"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2E224B"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E6635F" w14:textId="77777777" w:rsidR="007C1525" w:rsidRPr="004E13E9" w:rsidRDefault="007C1525" w:rsidP="00D47E5E">
            <w:pPr>
              <w:rPr>
                <w:color w:val="000000" w:themeColor="text1"/>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227F2255"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35°</w:t>
            </w:r>
            <w:r w:rsidRPr="004E13E9">
              <w:rPr>
                <w:color w:val="000000" w:themeColor="text1"/>
                <w:rtl/>
                <w:lang w:bidi="ar-TN"/>
              </w:rPr>
              <w:t>18</w:t>
            </w:r>
            <w:r w:rsidRPr="004E13E9">
              <w:rPr>
                <w:color w:val="000000" w:themeColor="text1"/>
              </w:rPr>
              <w:t>’</w:t>
            </w:r>
            <w:r w:rsidRPr="004E13E9">
              <w:rPr>
                <w:color w:val="000000" w:themeColor="text1"/>
                <w:rtl/>
                <w:lang w:bidi="ar-TN"/>
              </w:rPr>
              <w:t>1</w:t>
            </w:r>
            <w:r w:rsidRPr="004E13E9">
              <w:rPr>
                <w:color w:val="000000" w:themeColor="text1"/>
              </w:rPr>
              <w:t>0’’N - 11°0</w:t>
            </w:r>
            <w:r w:rsidRPr="004E13E9">
              <w:rPr>
                <w:color w:val="000000" w:themeColor="text1"/>
                <w:rtl/>
                <w:lang w:bidi="ar-TN"/>
              </w:rPr>
              <w:t>8</w:t>
            </w:r>
            <w:r w:rsidRPr="004E13E9">
              <w:rPr>
                <w:color w:val="000000" w:themeColor="text1"/>
              </w:rPr>
              <w:t>’ </w:t>
            </w:r>
            <w:r w:rsidRPr="004E13E9">
              <w:rPr>
                <w:color w:val="000000" w:themeColor="text1"/>
                <w:rtl/>
                <w:lang w:bidi="ar-TN"/>
              </w:rPr>
              <w:t>10</w:t>
            </w:r>
            <w:r w:rsidRPr="004E13E9">
              <w:rPr>
                <w:color w:val="000000" w:themeColor="text1"/>
              </w:rPr>
              <w: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54E33C"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9E2BCC" w14:textId="77777777" w:rsidR="007C1525" w:rsidRPr="004E13E9" w:rsidRDefault="007C1525" w:rsidP="00D47E5E">
            <w:pPr>
              <w:jc w:val="center"/>
              <w:rPr>
                <w:color w:val="000000" w:themeColor="text1"/>
                <w:lang w:val="en-GB"/>
              </w:rPr>
            </w:pPr>
          </w:p>
        </w:tc>
      </w:tr>
      <w:tr w:rsidR="007C1525" w:rsidRPr="004E13E9" w14:paraId="0B058E1C" w14:textId="77777777" w:rsidTr="00D47E5E">
        <w:trPr>
          <w:trHeight w:val="1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E561B2"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E1E6CB"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5FE0C7" w14:textId="77777777" w:rsidR="007C1525" w:rsidRPr="004E13E9" w:rsidRDefault="007C1525" w:rsidP="00D47E5E">
            <w:pPr>
              <w:rPr>
                <w:color w:val="000000" w:themeColor="text1"/>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033EDC68"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35°</w:t>
            </w:r>
            <w:r w:rsidRPr="004E13E9">
              <w:rPr>
                <w:color w:val="000000" w:themeColor="text1"/>
                <w:rtl/>
                <w:lang w:bidi="ar-TN"/>
              </w:rPr>
              <w:t>17</w:t>
            </w:r>
            <w:r w:rsidRPr="004E13E9">
              <w:rPr>
                <w:color w:val="000000" w:themeColor="text1"/>
              </w:rPr>
              <w:t>’</w:t>
            </w:r>
            <w:r w:rsidRPr="004E13E9">
              <w:rPr>
                <w:color w:val="000000" w:themeColor="text1"/>
                <w:rtl/>
                <w:lang w:bidi="ar-TN"/>
              </w:rPr>
              <w:t>53</w:t>
            </w:r>
            <w:r w:rsidRPr="004E13E9">
              <w:rPr>
                <w:color w:val="000000" w:themeColor="text1"/>
              </w:rPr>
              <w:t>’’N - 11°0</w:t>
            </w:r>
            <w:r w:rsidRPr="004E13E9">
              <w:rPr>
                <w:color w:val="000000" w:themeColor="text1"/>
                <w:rtl/>
                <w:lang w:bidi="ar-TN"/>
              </w:rPr>
              <w:t>8</w:t>
            </w:r>
            <w:r w:rsidRPr="004E13E9">
              <w:rPr>
                <w:color w:val="000000" w:themeColor="text1"/>
              </w:rPr>
              <w:t>’ </w:t>
            </w:r>
            <w:r w:rsidRPr="004E13E9">
              <w:rPr>
                <w:color w:val="000000" w:themeColor="text1"/>
                <w:rtl/>
                <w:lang w:bidi="ar-TN"/>
              </w:rPr>
              <w:t>26</w:t>
            </w:r>
            <w:r w:rsidRPr="004E13E9">
              <w:rPr>
                <w:color w:val="000000" w:themeColor="text1"/>
              </w:rPr>
              <w: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9A3868"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72B138" w14:textId="77777777" w:rsidR="007C1525" w:rsidRPr="004E13E9" w:rsidRDefault="007C1525" w:rsidP="00D47E5E">
            <w:pPr>
              <w:jc w:val="center"/>
              <w:rPr>
                <w:color w:val="000000" w:themeColor="text1"/>
                <w:lang w:val="en-GB"/>
              </w:rPr>
            </w:pPr>
          </w:p>
        </w:tc>
      </w:tr>
      <w:tr w:rsidR="007C1525" w:rsidRPr="004E13E9" w14:paraId="053B7144" w14:textId="77777777" w:rsidTr="00D47E5E">
        <w:trPr>
          <w:trHeight w:val="1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2976B3"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BBA984"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62E36D" w14:textId="77777777" w:rsidR="007C1525" w:rsidRPr="004E13E9" w:rsidRDefault="007C1525" w:rsidP="00D47E5E">
            <w:pPr>
              <w:rPr>
                <w:color w:val="000000" w:themeColor="text1"/>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42BBA876"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35°</w:t>
            </w:r>
            <w:r w:rsidRPr="004E13E9">
              <w:rPr>
                <w:color w:val="000000" w:themeColor="text1"/>
                <w:rtl/>
                <w:lang w:bidi="ar-TN"/>
              </w:rPr>
              <w:t>17</w:t>
            </w:r>
            <w:r w:rsidRPr="004E13E9">
              <w:rPr>
                <w:color w:val="000000" w:themeColor="text1"/>
              </w:rPr>
              <w:t>’</w:t>
            </w:r>
            <w:r w:rsidRPr="004E13E9">
              <w:rPr>
                <w:color w:val="000000" w:themeColor="text1"/>
                <w:rtl/>
                <w:lang w:bidi="ar-TN"/>
              </w:rPr>
              <w:t>53</w:t>
            </w:r>
            <w:r w:rsidRPr="004E13E9">
              <w:rPr>
                <w:color w:val="000000" w:themeColor="text1"/>
              </w:rPr>
              <w:t>’’N - 11°0</w:t>
            </w:r>
            <w:r w:rsidRPr="004E13E9">
              <w:rPr>
                <w:color w:val="000000" w:themeColor="text1"/>
                <w:rtl/>
                <w:lang w:bidi="ar-TN"/>
              </w:rPr>
              <w:t>8</w:t>
            </w:r>
            <w:r w:rsidRPr="004E13E9">
              <w:rPr>
                <w:color w:val="000000" w:themeColor="text1"/>
              </w:rPr>
              <w:t>’ </w:t>
            </w:r>
            <w:r w:rsidRPr="004E13E9">
              <w:rPr>
                <w:color w:val="000000" w:themeColor="text1"/>
                <w:rtl/>
                <w:lang w:bidi="ar-TN"/>
              </w:rPr>
              <w:t>10</w:t>
            </w:r>
            <w:r w:rsidRPr="004E13E9">
              <w:rPr>
                <w:color w:val="000000" w:themeColor="text1"/>
              </w:rPr>
              <w: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3A84DE"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0815DC" w14:textId="77777777" w:rsidR="007C1525" w:rsidRPr="004E13E9" w:rsidRDefault="007C1525" w:rsidP="00D47E5E">
            <w:pPr>
              <w:jc w:val="center"/>
              <w:rPr>
                <w:color w:val="000000" w:themeColor="text1"/>
                <w:lang w:val="en-GB"/>
              </w:rPr>
            </w:pPr>
          </w:p>
        </w:tc>
      </w:tr>
      <w:tr w:rsidR="007C1525" w:rsidRPr="004E13E9" w14:paraId="26BE2C62" w14:textId="77777777" w:rsidTr="00D47E5E">
        <w:trPr>
          <w:trHeight w:val="166"/>
        </w:trPr>
        <w:tc>
          <w:tcPr>
            <w:tcW w:w="1790" w:type="dxa"/>
            <w:vMerge w:val="restart"/>
            <w:tcBorders>
              <w:top w:val="single" w:sz="4" w:space="0" w:color="auto"/>
              <w:left w:val="single" w:sz="4" w:space="0" w:color="auto"/>
              <w:bottom w:val="single" w:sz="4" w:space="0" w:color="auto"/>
              <w:right w:val="single" w:sz="4" w:space="0" w:color="auto"/>
            </w:tcBorders>
            <w:vAlign w:val="center"/>
            <w:hideMark/>
          </w:tcPr>
          <w:p w14:paraId="5474F719" w14:textId="77777777" w:rsidR="007C1525" w:rsidRPr="004E13E9" w:rsidRDefault="007C1525" w:rsidP="00D47E5E">
            <w:pPr>
              <w:shd w:val="clear" w:color="auto" w:fill="FFFFFF" w:themeFill="background1"/>
              <w:jc w:val="center"/>
              <w:rPr>
                <w:b/>
                <w:bCs/>
                <w:color w:val="000000" w:themeColor="text1"/>
              </w:rPr>
            </w:pPr>
            <w:r w:rsidRPr="004E13E9">
              <w:rPr>
                <w:b/>
                <w:bCs/>
                <w:color w:val="000000" w:themeColor="text1"/>
              </w:rPr>
              <w:t>THC</w:t>
            </w:r>
          </w:p>
        </w:tc>
        <w:tc>
          <w:tcPr>
            <w:tcW w:w="2145" w:type="dxa"/>
            <w:vMerge w:val="restart"/>
            <w:tcBorders>
              <w:top w:val="single" w:sz="4" w:space="0" w:color="auto"/>
              <w:left w:val="single" w:sz="4" w:space="0" w:color="auto"/>
              <w:bottom w:val="single" w:sz="4" w:space="0" w:color="auto"/>
              <w:right w:val="single" w:sz="4" w:space="0" w:color="auto"/>
            </w:tcBorders>
            <w:vAlign w:val="center"/>
            <w:hideMark/>
          </w:tcPr>
          <w:p w14:paraId="2638592B" w14:textId="77777777" w:rsidR="007C1525" w:rsidRPr="004E13E9" w:rsidRDefault="007C1525" w:rsidP="00D47E5E">
            <w:pPr>
              <w:shd w:val="clear" w:color="auto" w:fill="FFFFFF" w:themeFill="background1"/>
              <w:rPr>
                <w:color w:val="000000" w:themeColor="text1"/>
              </w:rPr>
            </w:pPr>
            <w:r w:rsidRPr="004E13E9">
              <w:rPr>
                <w:color w:val="000000" w:themeColor="text1"/>
              </w:rPr>
              <w:t>AT001TUN00006</w:t>
            </w:r>
          </w:p>
        </w:tc>
        <w:tc>
          <w:tcPr>
            <w:tcW w:w="2738" w:type="dxa"/>
            <w:vMerge w:val="restart"/>
            <w:tcBorders>
              <w:top w:val="single" w:sz="4" w:space="0" w:color="auto"/>
              <w:left w:val="single" w:sz="4" w:space="0" w:color="auto"/>
              <w:bottom w:val="single" w:sz="4" w:space="0" w:color="auto"/>
              <w:right w:val="single" w:sz="4" w:space="0" w:color="auto"/>
            </w:tcBorders>
            <w:vAlign w:val="center"/>
            <w:hideMark/>
          </w:tcPr>
          <w:p w14:paraId="5AC18D5A" w14:textId="77777777" w:rsidR="007C1525" w:rsidRPr="004E13E9" w:rsidRDefault="007C1525" w:rsidP="00D47E5E">
            <w:pPr>
              <w:shd w:val="clear" w:color="auto" w:fill="FFFFFF" w:themeFill="background1"/>
              <w:rPr>
                <w:color w:val="000000" w:themeColor="text1"/>
              </w:rPr>
            </w:pPr>
            <w:r w:rsidRPr="004E13E9">
              <w:rPr>
                <w:b/>
                <w:bCs/>
                <w:color w:val="000000" w:themeColor="text1"/>
              </w:rPr>
              <w:t>THC</w:t>
            </w:r>
          </w:p>
          <w:p w14:paraId="4E58A184" w14:textId="77777777" w:rsidR="007C1525" w:rsidRPr="004E13E9" w:rsidRDefault="007C1525" w:rsidP="00D47E5E">
            <w:pPr>
              <w:shd w:val="clear" w:color="auto" w:fill="FFFFFF" w:themeFill="background1"/>
              <w:rPr>
                <w:color w:val="000000" w:themeColor="text1"/>
              </w:rPr>
            </w:pPr>
            <w:r w:rsidRPr="004E13E9">
              <w:rPr>
                <w:color w:val="000000" w:themeColor="text1"/>
              </w:rPr>
              <w:t xml:space="preserve">Taher Hajji </w:t>
            </w:r>
          </w:p>
          <w:p w14:paraId="39392D67" w14:textId="77777777" w:rsidR="007C1525" w:rsidRPr="004E13E9" w:rsidRDefault="007C1525" w:rsidP="00D47E5E">
            <w:pPr>
              <w:shd w:val="clear" w:color="auto" w:fill="FFFFFF" w:themeFill="background1"/>
              <w:rPr>
                <w:color w:val="000000" w:themeColor="text1"/>
              </w:rPr>
            </w:pPr>
            <w:r w:rsidRPr="004E13E9">
              <w:rPr>
                <w:color w:val="000000" w:themeColor="text1"/>
              </w:rPr>
              <w:t>et Mohamed Chiha</w:t>
            </w:r>
          </w:p>
        </w:tc>
        <w:tc>
          <w:tcPr>
            <w:tcW w:w="3128" w:type="dxa"/>
            <w:tcBorders>
              <w:top w:val="single" w:sz="4" w:space="0" w:color="auto"/>
              <w:left w:val="single" w:sz="4" w:space="0" w:color="auto"/>
              <w:bottom w:val="single" w:sz="4" w:space="0" w:color="auto"/>
              <w:right w:val="single" w:sz="4" w:space="0" w:color="auto"/>
            </w:tcBorders>
            <w:vAlign w:val="center"/>
            <w:hideMark/>
          </w:tcPr>
          <w:p w14:paraId="618FAA33" w14:textId="77777777" w:rsidR="007C1525" w:rsidRPr="004E13E9" w:rsidRDefault="007C1525" w:rsidP="00D47E5E">
            <w:pPr>
              <w:shd w:val="clear" w:color="auto" w:fill="FFFFFF" w:themeFill="background1"/>
              <w:jc w:val="center"/>
              <w:rPr>
                <w:color w:val="000000" w:themeColor="text1"/>
                <w:lang w:val="en-GB"/>
              </w:rPr>
            </w:pPr>
            <w:r w:rsidRPr="004E13E9">
              <w:rPr>
                <w:color w:val="000000" w:themeColor="text1"/>
              </w:rPr>
              <w:t>35°</w:t>
            </w:r>
            <w:r w:rsidRPr="004E13E9">
              <w:rPr>
                <w:color w:val="000000" w:themeColor="text1"/>
                <w:rtl/>
                <w:lang w:bidi="ar-TN"/>
              </w:rPr>
              <w:t>18</w:t>
            </w:r>
            <w:r w:rsidRPr="004E13E9">
              <w:rPr>
                <w:color w:val="000000" w:themeColor="text1"/>
              </w:rPr>
              <w:t>’</w:t>
            </w:r>
            <w:r w:rsidRPr="004E13E9">
              <w:rPr>
                <w:color w:val="000000" w:themeColor="text1"/>
                <w:rtl/>
                <w:lang w:bidi="ar-TN"/>
              </w:rPr>
              <w:t>1</w:t>
            </w:r>
            <w:r w:rsidRPr="004E13E9">
              <w:rPr>
                <w:color w:val="000000" w:themeColor="text1"/>
              </w:rPr>
              <w:t>0’’N - 11°0</w:t>
            </w:r>
            <w:r w:rsidRPr="004E13E9">
              <w:rPr>
                <w:color w:val="000000" w:themeColor="text1"/>
                <w:rtl/>
                <w:lang w:bidi="ar-TN"/>
              </w:rPr>
              <w:t>8</w:t>
            </w:r>
            <w:r w:rsidRPr="004E13E9">
              <w:rPr>
                <w:color w:val="000000" w:themeColor="text1"/>
              </w:rPr>
              <w:t>’ </w:t>
            </w:r>
            <w:r w:rsidRPr="004E13E9">
              <w:rPr>
                <w:color w:val="000000" w:themeColor="text1"/>
                <w:rtl/>
                <w:lang w:bidi="ar-TN"/>
              </w:rPr>
              <w:t>56</w:t>
            </w:r>
            <w:r w:rsidRPr="004E13E9">
              <w:rPr>
                <w:color w:val="000000" w:themeColor="text1"/>
              </w:rPr>
              <w:t>’’E</w:t>
            </w:r>
          </w:p>
        </w:tc>
        <w:tc>
          <w:tcPr>
            <w:tcW w:w="2101" w:type="dxa"/>
            <w:vMerge w:val="restart"/>
            <w:tcBorders>
              <w:top w:val="single" w:sz="4" w:space="0" w:color="auto"/>
              <w:left w:val="single" w:sz="4" w:space="0" w:color="auto"/>
              <w:bottom w:val="single" w:sz="4" w:space="0" w:color="auto"/>
              <w:right w:val="single" w:sz="4" w:space="0" w:color="auto"/>
            </w:tcBorders>
            <w:vAlign w:val="center"/>
            <w:hideMark/>
          </w:tcPr>
          <w:p w14:paraId="5F8141F0" w14:textId="77777777" w:rsidR="007C1525" w:rsidRPr="004E13E9" w:rsidRDefault="007C1525" w:rsidP="00D47E5E">
            <w:pPr>
              <w:shd w:val="clear" w:color="auto" w:fill="FFFFFF" w:themeFill="background1"/>
              <w:ind w:right="175"/>
              <w:jc w:val="center"/>
              <w:rPr>
                <w:color w:val="000000" w:themeColor="text1"/>
              </w:rPr>
            </w:pPr>
            <w:r w:rsidRPr="004E13E9">
              <w:rPr>
                <w:color w:val="000000" w:themeColor="text1"/>
              </w:rPr>
              <w:t>-</w:t>
            </w:r>
          </w:p>
        </w:tc>
        <w:tc>
          <w:tcPr>
            <w:tcW w:w="1978" w:type="dxa"/>
            <w:vMerge w:val="restart"/>
            <w:tcBorders>
              <w:top w:val="single" w:sz="4" w:space="0" w:color="auto"/>
              <w:left w:val="single" w:sz="4" w:space="0" w:color="auto"/>
              <w:bottom w:val="single" w:sz="4" w:space="0" w:color="auto"/>
              <w:right w:val="single" w:sz="4" w:space="0" w:color="auto"/>
            </w:tcBorders>
            <w:vAlign w:val="center"/>
            <w:hideMark/>
          </w:tcPr>
          <w:p w14:paraId="7CCB851A" w14:textId="77777777" w:rsidR="007C1525" w:rsidRPr="004E13E9" w:rsidRDefault="007C1525" w:rsidP="00D47E5E">
            <w:pPr>
              <w:shd w:val="clear" w:color="auto" w:fill="FFFFFF" w:themeFill="background1"/>
              <w:ind w:right="317"/>
              <w:jc w:val="center"/>
              <w:rPr>
                <w:color w:val="000000" w:themeColor="text1"/>
              </w:rPr>
            </w:pPr>
            <w:r w:rsidRPr="004E13E9">
              <w:rPr>
                <w:color w:val="000000" w:themeColor="text1"/>
              </w:rPr>
              <w:t>-</w:t>
            </w:r>
          </w:p>
        </w:tc>
      </w:tr>
      <w:tr w:rsidR="007C1525" w:rsidRPr="004E13E9" w14:paraId="6E30B8BC" w14:textId="77777777" w:rsidTr="00D47E5E">
        <w:trPr>
          <w:trHeight w:val="1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B981D8"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B717EE"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1DE4D9" w14:textId="77777777" w:rsidR="007C1525" w:rsidRPr="004E13E9" w:rsidRDefault="007C1525" w:rsidP="00D47E5E">
            <w:pPr>
              <w:rPr>
                <w:color w:val="000000" w:themeColor="text1"/>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7BE11512"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35°</w:t>
            </w:r>
            <w:r w:rsidRPr="004E13E9">
              <w:rPr>
                <w:color w:val="000000" w:themeColor="text1"/>
                <w:rtl/>
                <w:lang w:bidi="ar-TN"/>
              </w:rPr>
              <w:t>18</w:t>
            </w:r>
            <w:r w:rsidRPr="004E13E9">
              <w:rPr>
                <w:color w:val="000000" w:themeColor="text1"/>
              </w:rPr>
              <w:t>’</w:t>
            </w:r>
            <w:r w:rsidRPr="004E13E9">
              <w:rPr>
                <w:color w:val="000000" w:themeColor="text1"/>
                <w:rtl/>
                <w:lang w:bidi="ar-TN"/>
              </w:rPr>
              <w:t>1</w:t>
            </w:r>
            <w:r w:rsidRPr="004E13E9">
              <w:rPr>
                <w:color w:val="000000" w:themeColor="text1"/>
              </w:rPr>
              <w:t>0’’N - 11°0</w:t>
            </w:r>
            <w:r w:rsidRPr="004E13E9">
              <w:rPr>
                <w:color w:val="000000" w:themeColor="text1"/>
                <w:rtl/>
                <w:lang w:bidi="ar-TN"/>
              </w:rPr>
              <w:t>8</w:t>
            </w:r>
            <w:r w:rsidRPr="004E13E9">
              <w:rPr>
                <w:color w:val="000000" w:themeColor="text1"/>
              </w:rPr>
              <w:t>’ </w:t>
            </w:r>
            <w:r w:rsidRPr="004E13E9">
              <w:rPr>
                <w:color w:val="000000" w:themeColor="text1"/>
                <w:rtl/>
                <w:lang w:bidi="ar-TN"/>
              </w:rPr>
              <w:t>40</w:t>
            </w:r>
            <w:r w:rsidRPr="004E13E9">
              <w:rPr>
                <w:color w:val="000000" w:themeColor="text1"/>
              </w:rPr>
              <w: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F2553E"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BCEF2F" w14:textId="77777777" w:rsidR="007C1525" w:rsidRPr="004E13E9" w:rsidRDefault="007C1525" w:rsidP="00D47E5E">
            <w:pPr>
              <w:jc w:val="center"/>
              <w:rPr>
                <w:color w:val="000000" w:themeColor="text1"/>
                <w:lang w:val="en-GB"/>
              </w:rPr>
            </w:pPr>
          </w:p>
        </w:tc>
      </w:tr>
      <w:tr w:rsidR="007C1525" w:rsidRPr="004E13E9" w14:paraId="5DC32AA9" w14:textId="77777777" w:rsidTr="00D47E5E">
        <w:trPr>
          <w:trHeight w:val="1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2BFC41"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794279"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F7F546" w14:textId="77777777" w:rsidR="007C1525" w:rsidRPr="004E13E9" w:rsidRDefault="007C1525" w:rsidP="00D47E5E">
            <w:pPr>
              <w:rPr>
                <w:color w:val="000000" w:themeColor="text1"/>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498945B0"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35°</w:t>
            </w:r>
            <w:r w:rsidRPr="004E13E9">
              <w:rPr>
                <w:color w:val="000000" w:themeColor="text1"/>
                <w:rtl/>
                <w:lang w:bidi="ar-TN"/>
              </w:rPr>
              <w:t>17</w:t>
            </w:r>
            <w:r w:rsidRPr="004E13E9">
              <w:rPr>
                <w:color w:val="000000" w:themeColor="text1"/>
              </w:rPr>
              <w:t>’</w:t>
            </w:r>
            <w:r w:rsidRPr="004E13E9">
              <w:rPr>
                <w:color w:val="000000" w:themeColor="text1"/>
                <w:rtl/>
                <w:lang w:bidi="ar-TN"/>
              </w:rPr>
              <w:t>53</w:t>
            </w:r>
            <w:r w:rsidRPr="004E13E9">
              <w:rPr>
                <w:color w:val="000000" w:themeColor="text1"/>
              </w:rPr>
              <w:t>’’N - 11°0</w:t>
            </w:r>
            <w:r w:rsidRPr="004E13E9">
              <w:rPr>
                <w:color w:val="000000" w:themeColor="text1"/>
                <w:rtl/>
                <w:lang w:bidi="ar-TN"/>
              </w:rPr>
              <w:t>8</w:t>
            </w:r>
            <w:r w:rsidRPr="004E13E9">
              <w:rPr>
                <w:color w:val="000000" w:themeColor="text1"/>
              </w:rPr>
              <w:t>’ </w:t>
            </w:r>
            <w:r w:rsidRPr="004E13E9">
              <w:rPr>
                <w:color w:val="000000" w:themeColor="text1"/>
                <w:rtl/>
                <w:lang w:bidi="ar-TN"/>
              </w:rPr>
              <w:t>56</w:t>
            </w:r>
            <w:r w:rsidRPr="004E13E9">
              <w:rPr>
                <w:color w:val="000000" w:themeColor="text1"/>
              </w:rPr>
              <w: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4340D0"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1A372A" w14:textId="77777777" w:rsidR="007C1525" w:rsidRPr="004E13E9" w:rsidRDefault="007C1525" w:rsidP="00D47E5E">
            <w:pPr>
              <w:jc w:val="center"/>
              <w:rPr>
                <w:color w:val="000000" w:themeColor="text1"/>
                <w:lang w:val="en-GB"/>
              </w:rPr>
            </w:pPr>
          </w:p>
        </w:tc>
      </w:tr>
      <w:tr w:rsidR="007C1525" w:rsidRPr="004E13E9" w14:paraId="26FBC49E" w14:textId="77777777" w:rsidTr="00D47E5E">
        <w:trPr>
          <w:trHeight w:val="1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487E85" w14:textId="77777777" w:rsidR="007C1525" w:rsidRPr="004E13E9" w:rsidRDefault="007C1525" w:rsidP="00D47E5E">
            <w:pPr>
              <w:jc w:val="cente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2A8816" w14:textId="77777777" w:rsidR="007C1525" w:rsidRPr="004E13E9" w:rsidRDefault="007C1525" w:rsidP="00D47E5E">
            <w:pP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B390AF" w14:textId="77777777" w:rsidR="007C1525" w:rsidRPr="004E13E9" w:rsidRDefault="007C1525" w:rsidP="00D47E5E">
            <w:pPr>
              <w:rPr>
                <w:color w:val="000000" w:themeColor="text1"/>
              </w:rPr>
            </w:pPr>
          </w:p>
        </w:tc>
        <w:tc>
          <w:tcPr>
            <w:tcW w:w="3128" w:type="dxa"/>
            <w:tcBorders>
              <w:top w:val="single" w:sz="4" w:space="0" w:color="auto"/>
              <w:left w:val="single" w:sz="4" w:space="0" w:color="auto"/>
              <w:bottom w:val="single" w:sz="4" w:space="0" w:color="auto"/>
              <w:right w:val="single" w:sz="4" w:space="0" w:color="auto"/>
            </w:tcBorders>
            <w:vAlign w:val="center"/>
            <w:hideMark/>
          </w:tcPr>
          <w:p w14:paraId="3CC23123"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35°</w:t>
            </w:r>
            <w:r w:rsidRPr="004E13E9">
              <w:rPr>
                <w:color w:val="000000" w:themeColor="text1"/>
                <w:rtl/>
                <w:lang w:bidi="ar-TN"/>
              </w:rPr>
              <w:t>17</w:t>
            </w:r>
            <w:r w:rsidRPr="004E13E9">
              <w:rPr>
                <w:color w:val="000000" w:themeColor="text1"/>
              </w:rPr>
              <w:t>’</w:t>
            </w:r>
            <w:r w:rsidRPr="004E13E9">
              <w:rPr>
                <w:color w:val="000000" w:themeColor="text1"/>
                <w:rtl/>
                <w:lang w:bidi="ar-TN"/>
              </w:rPr>
              <w:t>53</w:t>
            </w:r>
            <w:r w:rsidRPr="004E13E9">
              <w:rPr>
                <w:color w:val="000000" w:themeColor="text1"/>
              </w:rPr>
              <w:t>’’N - 11°0</w:t>
            </w:r>
            <w:r w:rsidRPr="004E13E9">
              <w:rPr>
                <w:color w:val="000000" w:themeColor="text1"/>
                <w:rtl/>
                <w:lang w:bidi="ar-TN"/>
              </w:rPr>
              <w:t>8</w:t>
            </w:r>
            <w:r w:rsidRPr="004E13E9">
              <w:rPr>
                <w:color w:val="000000" w:themeColor="text1"/>
              </w:rPr>
              <w:t>’ </w:t>
            </w:r>
            <w:r w:rsidRPr="004E13E9">
              <w:rPr>
                <w:color w:val="000000" w:themeColor="text1"/>
                <w:rtl/>
                <w:lang w:bidi="ar-TN"/>
              </w:rPr>
              <w:t>40</w:t>
            </w:r>
            <w:r w:rsidRPr="004E13E9">
              <w:rPr>
                <w:color w:val="000000" w:themeColor="text1"/>
              </w:rPr>
              <w: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E3E1F6"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605077" w14:textId="77777777" w:rsidR="007C1525" w:rsidRPr="004E13E9" w:rsidRDefault="007C1525" w:rsidP="00D47E5E">
            <w:pPr>
              <w:jc w:val="center"/>
              <w:rPr>
                <w:color w:val="000000" w:themeColor="text1"/>
                <w:lang w:val="en-GB"/>
              </w:rPr>
            </w:pPr>
          </w:p>
        </w:tc>
      </w:tr>
      <w:tr w:rsidR="007C1525" w:rsidRPr="004E13E9" w14:paraId="64A8857F" w14:textId="77777777" w:rsidTr="00D47E5E">
        <w:trPr>
          <w:trHeight w:val="120"/>
        </w:trPr>
        <w:tc>
          <w:tcPr>
            <w:tcW w:w="1790" w:type="dxa"/>
            <w:vMerge w:val="restart"/>
            <w:tcBorders>
              <w:top w:val="single" w:sz="4" w:space="0" w:color="auto"/>
              <w:left w:val="single" w:sz="4" w:space="0" w:color="auto"/>
              <w:bottom w:val="single" w:sz="4" w:space="0" w:color="auto"/>
              <w:right w:val="single" w:sz="4" w:space="0" w:color="auto"/>
            </w:tcBorders>
            <w:vAlign w:val="center"/>
            <w:hideMark/>
          </w:tcPr>
          <w:p w14:paraId="23B2A91B" w14:textId="77777777" w:rsidR="007C1525" w:rsidRPr="004E13E9" w:rsidRDefault="007C1525" w:rsidP="00D47E5E">
            <w:pPr>
              <w:shd w:val="clear" w:color="auto" w:fill="FFFFFF" w:themeFill="background1"/>
              <w:spacing w:before="120" w:after="120"/>
              <w:ind w:right="35"/>
              <w:jc w:val="center"/>
              <w:rPr>
                <w:b/>
                <w:bCs/>
                <w:color w:val="000000" w:themeColor="text1"/>
              </w:rPr>
            </w:pPr>
            <w:proofErr w:type="spellStart"/>
            <w:r w:rsidRPr="004E13E9">
              <w:rPr>
                <w:b/>
                <w:bCs/>
                <w:color w:val="000000" w:themeColor="text1"/>
              </w:rPr>
              <w:t>Samaka</w:t>
            </w:r>
            <w:proofErr w:type="spellEnd"/>
            <w:r w:rsidRPr="004E13E9">
              <w:rPr>
                <w:b/>
                <w:bCs/>
                <w:color w:val="000000" w:themeColor="text1"/>
              </w:rPr>
              <w:t xml:space="preserve"> tuna farm</w:t>
            </w:r>
          </w:p>
        </w:tc>
        <w:tc>
          <w:tcPr>
            <w:tcW w:w="2145" w:type="dxa"/>
            <w:vMerge w:val="restart"/>
            <w:tcBorders>
              <w:top w:val="single" w:sz="4" w:space="0" w:color="auto"/>
              <w:left w:val="single" w:sz="4" w:space="0" w:color="auto"/>
              <w:bottom w:val="single" w:sz="4" w:space="0" w:color="auto"/>
              <w:right w:val="single" w:sz="4" w:space="0" w:color="auto"/>
            </w:tcBorders>
            <w:vAlign w:val="center"/>
          </w:tcPr>
          <w:p w14:paraId="180E4422" w14:textId="77777777" w:rsidR="007C1525" w:rsidRPr="004E13E9" w:rsidRDefault="007C1525" w:rsidP="00D47E5E">
            <w:pPr>
              <w:shd w:val="clear" w:color="auto" w:fill="FFFFFF" w:themeFill="background1"/>
              <w:rPr>
                <w:b/>
                <w:bCs/>
                <w:color w:val="000000" w:themeColor="text1"/>
              </w:rPr>
            </w:pPr>
            <w:r w:rsidRPr="004E13E9">
              <w:rPr>
                <w:color w:val="000000" w:themeColor="text1"/>
              </w:rPr>
              <w:t>AT001TUN00008</w:t>
            </w:r>
          </w:p>
        </w:tc>
        <w:tc>
          <w:tcPr>
            <w:tcW w:w="2738" w:type="dxa"/>
            <w:vMerge w:val="restart"/>
            <w:tcBorders>
              <w:top w:val="single" w:sz="4" w:space="0" w:color="auto"/>
              <w:left w:val="single" w:sz="4" w:space="0" w:color="auto"/>
              <w:bottom w:val="single" w:sz="4" w:space="0" w:color="auto"/>
              <w:right w:val="single" w:sz="4" w:space="0" w:color="auto"/>
            </w:tcBorders>
            <w:vAlign w:val="center"/>
            <w:hideMark/>
          </w:tcPr>
          <w:p w14:paraId="76587F3A" w14:textId="77777777" w:rsidR="007C1525" w:rsidRPr="004E13E9" w:rsidRDefault="007C1525" w:rsidP="00D47E5E">
            <w:pPr>
              <w:shd w:val="clear" w:color="auto" w:fill="FFFFFF" w:themeFill="background1"/>
              <w:spacing w:before="120" w:after="120"/>
              <w:ind w:right="35"/>
              <w:rPr>
                <w:b/>
                <w:bCs/>
                <w:color w:val="000000" w:themeColor="text1"/>
              </w:rPr>
            </w:pPr>
            <w:r w:rsidRPr="004E13E9">
              <w:rPr>
                <w:b/>
                <w:bCs/>
                <w:color w:val="000000" w:themeColor="text1"/>
              </w:rPr>
              <w:t xml:space="preserve">SAMAKA tuna farm </w:t>
            </w:r>
          </w:p>
          <w:p w14:paraId="3C15BAB9" w14:textId="77777777" w:rsidR="007C1525" w:rsidRPr="004E13E9" w:rsidRDefault="007C1525" w:rsidP="00D47E5E">
            <w:pPr>
              <w:shd w:val="clear" w:color="auto" w:fill="FFFFFF" w:themeFill="background1"/>
              <w:rPr>
                <w:b/>
                <w:bCs/>
                <w:color w:val="000000" w:themeColor="text1"/>
              </w:rPr>
            </w:pPr>
            <w:r w:rsidRPr="004E13E9">
              <w:rPr>
                <w:color w:val="000000" w:themeColor="text1"/>
              </w:rPr>
              <w:t xml:space="preserve">Boutheina </w:t>
            </w:r>
            <w:proofErr w:type="spellStart"/>
            <w:r w:rsidRPr="004E13E9">
              <w:rPr>
                <w:color w:val="000000" w:themeColor="text1"/>
              </w:rPr>
              <w:t>Bouzouita</w:t>
            </w:r>
            <w:proofErr w:type="spellEnd"/>
          </w:p>
        </w:tc>
        <w:tc>
          <w:tcPr>
            <w:tcW w:w="3128" w:type="dxa"/>
            <w:tcBorders>
              <w:top w:val="single" w:sz="4" w:space="0" w:color="auto"/>
              <w:left w:val="single" w:sz="4" w:space="0" w:color="auto"/>
              <w:bottom w:val="single" w:sz="4" w:space="0" w:color="auto"/>
              <w:right w:val="single" w:sz="4" w:space="0" w:color="auto"/>
            </w:tcBorders>
            <w:vAlign w:val="center"/>
          </w:tcPr>
          <w:p w14:paraId="28A91F5A"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tl/>
              </w:rPr>
              <w:t>36</w:t>
            </w:r>
            <w:r w:rsidRPr="004E13E9">
              <w:rPr>
                <w:color w:val="000000" w:themeColor="text1"/>
              </w:rPr>
              <w:t>°</w:t>
            </w:r>
            <w:r w:rsidRPr="004E13E9">
              <w:rPr>
                <w:color w:val="000000" w:themeColor="text1"/>
                <w:rtl/>
              </w:rPr>
              <w:t>30</w:t>
            </w:r>
            <w:r w:rsidRPr="004E13E9">
              <w:rPr>
                <w:color w:val="000000" w:themeColor="text1"/>
              </w:rPr>
              <w:t>’0</w:t>
            </w:r>
            <w:r w:rsidRPr="004E13E9">
              <w:rPr>
                <w:color w:val="000000" w:themeColor="text1"/>
                <w:rtl/>
              </w:rPr>
              <w:t>0</w:t>
            </w:r>
            <w:r w:rsidRPr="004E13E9">
              <w:rPr>
                <w:color w:val="000000" w:themeColor="text1"/>
              </w:rPr>
              <w:t>0” N-</w:t>
            </w:r>
            <w:r w:rsidRPr="004E13E9">
              <w:rPr>
                <w:color w:val="000000" w:themeColor="text1"/>
                <w:rtl/>
              </w:rPr>
              <w:t>10</w:t>
            </w:r>
            <w:r w:rsidRPr="004E13E9">
              <w:rPr>
                <w:color w:val="000000" w:themeColor="text1"/>
              </w:rPr>
              <w:t>°</w:t>
            </w:r>
            <w:r w:rsidRPr="004E13E9">
              <w:rPr>
                <w:color w:val="000000" w:themeColor="text1"/>
                <w:rtl/>
              </w:rPr>
              <w:t>55</w:t>
            </w:r>
            <w:r w:rsidRPr="004E13E9">
              <w:rPr>
                <w:color w:val="000000" w:themeColor="text1"/>
              </w:rPr>
              <w:t>’</w:t>
            </w:r>
            <w:r w:rsidRPr="004E13E9">
              <w:rPr>
                <w:color w:val="000000" w:themeColor="text1"/>
                <w:rtl/>
              </w:rPr>
              <w:t>000</w:t>
            </w:r>
            <w:r w:rsidRPr="004E13E9">
              <w:rPr>
                <w:color w:val="000000" w:themeColor="text1"/>
              </w:rPr>
              <w:t>” E</w:t>
            </w:r>
          </w:p>
        </w:tc>
        <w:tc>
          <w:tcPr>
            <w:tcW w:w="2101" w:type="dxa"/>
            <w:vMerge w:val="restart"/>
            <w:tcBorders>
              <w:top w:val="single" w:sz="4" w:space="0" w:color="auto"/>
              <w:left w:val="single" w:sz="4" w:space="0" w:color="auto"/>
              <w:bottom w:val="single" w:sz="4" w:space="0" w:color="auto"/>
              <w:right w:val="single" w:sz="4" w:space="0" w:color="auto"/>
            </w:tcBorders>
            <w:vAlign w:val="center"/>
            <w:hideMark/>
          </w:tcPr>
          <w:p w14:paraId="7B2498DB"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500</w:t>
            </w:r>
          </w:p>
        </w:tc>
        <w:tc>
          <w:tcPr>
            <w:tcW w:w="1978" w:type="dxa"/>
            <w:vMerge w:val="restart"/>
            <w:tcBorders>
              <w:top w:val="single" w:sz="4" w:space="0" w:color="auto"/>
              <w:left w:val="single" w:sz="4" w:space="0" w:color="auto"/>
              <w:bottom w:val="single" w:sz="4" w:space="0" w:color="auto"/>
              <w:right w:val="single" w:sz="4" w:space="0" w:color="auto"/>
            </w:tcBorders>
            <w:vAlign w:val="center"/>
            <w:hideMark/>
          </w:tcPr>
          <w:p w14:paraId="46090F9B"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Pr>
              <w:t>1000</w:t>
            </w:r>
          </w:p>
        </w:tc>
      </w:tr>
      <w:tr w:rsidR="007C1525" w:rsidRPr="004E13E9" w14:paraId="531F2137" w14:textId="77777777" w:rsidTr="00D47E5E">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165153" w14:textId="77777777" w:rsidR="007C1525" w:rsidRPr="004E13E9" w:rsidRDefault="007C1525" w:rsidP="00D47E5E">
            <w:pP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3A9E1D" w14:textId="77777777" w:rsidR="007C1525" w:rsidRPr="004E13E9" w:rsidRDefault="007C1525" w:rsidP="00D47E5E">
            <w:pP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D0AAE1" w14:textId="77777777" w:rsidR="007C1525" w:rsidRPr="004E13E9" w:rsidRDefault="007C1525" w:rsidP="00D47E5E">
            <w:pPr>
              <w:rPr>
                <w:b/>
                <w:bCs/>
                <w:color w:val="000000" w:themeColor="text1"/>
                <w:lang w:val="en-GB"/>
              </w:rPr>
            </w:pPr>
          </w:p>
        </w:tc>
        <w:tc>
          <w:tcPr>
            <w:tcW w:w="3128" w:type="dxa"/>
            <w:tcBorders>
              <w:top w:val="single" w:sz="4" w:space="0" w:color="auto"/>
              <w:left w:val="single" w:sz="4" w:space="0" w:color="auto"/>
              <w:bottom w:val="single" w:sz="4" w:space="0" w:color="auto"/>
              <w:right w:val="single" w:sz="4" w:space="0" w:color="auto"/>
            </w:tcBorders>
            <w:vAlign w:val="center"/>
          </w:tcPr>
          <w:p w14:paraId="12386C9B"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tl/>
              </w:rPr>
              <w:t>36</w:t>
            </w:r>
            <w:r w:rsidRPr="004E13E9">
              <w:rPr>
                <w:color w:val="000000" w:themeColor="text1"/>
              </w:rPr>
              <w:t>°</w:t>
            </w:r>
            <w:r w:rsidRPr="004E13E9">
              <w:rPr>
                <w:color w:val="000000" w:themeColor="text1"/>
                <w:rtl/>
              </w:rPr>
              <w:t>30</w:t>
            </w:r>
            <w:r w:rsidRPr="004E13E9">
              <w:rPr>
                <w:color w:val="000000" w:themeColor="text1"/>
              </w:rPr>
              <w:t>’0</w:t>
            </w:r>
            <w:r w:rsidRPr="004E13E9">
              <w:rPr>
                <w:color w:val="000000" w:themeColor="text1"/>
                <w:rtl/>
              </w:rPr>
              <w:t>0</w:t>
            </w:r>
            <w:r w:rsidRPr="004E13E9">
              <w:rPr>
                <w:color w:val="000000" w:themeColor="text1"/>
              </w:rPr>
              <w:t>0” N-</w:t>
            </w:r>
            <w:r w:rsidRPr="004E13E9">
              <w:rPr>
                <w:color w:val="000000" w:themeColor="text1"/>
                <w:rtl/>
              </w:rPr>
              <w:t>10</w:t>
            </w:r>
            <w:r w:rsidRPr="004E13E9">
              <w:rPr>
                <w:color w:val="000000" w:themeColor="text1"/>
              </w:rPr>
              <w:t>°</w:t>
            </w:r>
            <w:r w:rsidRPr="004E13E9">
              <w:rPr>
                <w:color w:val="000000" w:themeColor="text1"/>
                <w:rtl/>
              </w:rPr>
              <w:t>55</w:t>
            </w:r>
            <w:r w:rsidRPr="004E13E9">
              <w:rPr>
                <w:color w:val="000000" w:themeColor="text1"/>
              </w:rPr>
              <w:t>’5</w:t>
            </w:r>
            <w:r w:rsidRPr="004E13E9">
              <w:rPr>
                <w:color w:val="000000" w:themeColor="text1"/>
                <w:rtl/>
              </w:rPr>
              <w:t>00</w:t>
            </w:r>
            <w:r w:rsidRPr="004E13E9">
              <w:rPr>
                <w:color w:val="000000" w:themeColor="text1"/>
              </w:rPr>
              <w:t>” 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AB3B3F"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0C978F" w14:textId="77777777" w:rsidR="007C1525" w:rsidRPr="004E13E9" w:rsidRDefault="007C1525" w:rsidP="00D47E5E">
            <w:pPr>
              <w:jc w:val="center"/>
              <w:rPr>
                <w:color w:val="000000" w:themeColor="text1"/>
                <w:lang w:val="en-GB"/>
              </w:rPr>
            </w:pPr>
          </w:p>
        </w:tc>
      </w:tr>
      <w:tr w:rsidR="007C1525" w:rsidRPr="004E13E9" w14:paraId="613D7ECB" w14:textId="77777777" w:rsidTr="00D47E5E">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4A13C5" w14:textId="77777777" w:rsidR="007C1525" w:rsidRPr="004E13E9" w:rsidRDefault="007C1525" w:rsidP="00D47E5E">
            <w:pP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E54FC5" w14:textId="77777777" w:rsidR="007C1525" w:rsidRPr="004E13E9" w:rsidRDefault="007C1525" w:rsidP="00D47E5E">
            <w:pP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32254A" w14:textId="77777777" w:rsidR="007C1525" w:rsidRPr="004E13E9" w:rsidRDefault="007C1525" w:rsidP="00D47E5E">
            <w:pPr>
              <w:rPr>
                <w:b/>
                <w:bCs/>
                <w:color w:val="000000" w:themeColor="text1"/>
                <w:lang w:val="en-GB"/>
              </w:rPr>
            </w:pPr>
          </w:p>
        </w:tc>
        <w:tc>
          <w:tcPr>
            <w:tcW w:w="3128" w:type="dxa"/>
            <w:tcBorders>
              <w:top w:val="single" w:sz="4" w:space="0" w:color="auto"/>
              <w:left w:val="single" w:sz="4" w:space="0" w:color="auto"/>
              <w:bottom w:val="single" w:sz="4" w:space="0" w:color="auto"/>
              <w:right w:val="single" w:sz="4" w:space="0" w:color="auto"/>
            </w:tcBorders>
            <w:vAlign w:val="center"/>
          </w:tcPr>
          <w:p w14:paraId="26CD50F1"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tl/>
              </w:rPr>
              <w:t>36</w:t>
            </w:r>
            <w:r w:rsidRPr="004E13E9">
              <w:rPr>
                <w:color w:val="000000" w:themeColor="text1"/>
              </w:rPr>
              <w:t>°</w:t>
            </w:r>
            <w:r w:rsidRPr="004E13E9">
              <w:rPr>
                <w:color w:val="000000" w:themeColor="text1"/>
                <w:rtl/>
              </w:rPr>
              <w:t>29</w:t>
            </w:r>
            <w:r w:rsidRPr="004E13E9">
              <w:rPr>
                <w:color w:val="000000" w:themeColor="text1"/>
              </w:rPr>
              <w:t>’</w:t>
            </w:r>
            <w:r w:rsidRPr="004E13E9">
              <w:rPr>
                <w:color w:val="000000" w:themeColor="text1"/>
                <w:rtl/>
              </w:rPr>
              <w:t>630</w:t>
            </w:r>
            <w:r w:rsidRPr="004E13E9">
              <w:rPr>
                <w:color w:val="000000" w:themeColor="text1"/>
              </w:rPr>
              <w:t>” N-</w:t>
            </w:r>
            <w:r w:rsidRPr="004E13E9">
              <w:rPr>
                <w:color w:val="000000" w:themeColor="text1"/>
                <w:rtl/>
              </w:rPr>
              <w:t>10</w:t>
            </w:r>
            <w:r w:rsidRPr="004E13E9">
              <w:rPr>
                <w:color w:val="000000" w:themeColor="text1"/>
              </w:rPr>
              <w:t>°</w:t>
            </w:r>
            <w:r w:rsidRPr="004E13E9">
              <w:rPr>
                <w:color w:val="000000" w:themeColor="text1"/>
                <w:rtl/>
              </w:rPr>
              <w:t>55</w:t>
            </w:r>
            <w:r w:rsidRPr="004E13E9">
              <w:rPr>
                <w:color w:val="000000" w:themeColor="text1"/>
              </w:rPr>
              <w:t>’5</w:t>
            </w:r>
            <w:r w:rsidRPr="004E13E9">
              <w:rPr>
                <w:color w:val="000000" w:themeColor="text1"/>
                <w:rtl/>
              </w:rPr>
              <w:t>00</w:t>
            </w:r>
            <w:r w:rsidRPr="004E13E9">
              <w:rPr>
                <w:color w:val="000000" w:themeColor="text1"/>
              </w:rPr>
              <w:t>” 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A6E4D9"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A6349E" w14:textId="77777777" w:rsidR="007C1525" w:rsidRPr="004E13E9" w:rsidRDefault="007C1525" w:rsidP="00D47E5E">
            <w:pPr>
              <w:jc w:val="center"/>
              <w:rPr>
                <w:color w:val="000000" w:themeColor="text1"/>
                <w:lang w:val="en-GB"/>
              </w:rPr>
            </w:pPr>
          </w:p>
        </w:tc>
      </w:tr>
      <w:tr w:rsidR="007C1525" w:rsidRPr="004E13E9" w14:paraId="328D1957" w14:textId="77777777" w:rsidTr="00D47E5E">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361315" w14:textId="77777777" w:rsidR="007C1525" w:rsidRPr="004E13E9" w:rsidRDefault="007C1525" w:rsidP="00D47E5E">
            <w:pP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86BE3C" w14:textId="77777777" w:rsidR="007C1525" w:rsidRPr="004E13E9" w:rsidRDefault="007C1525" w:rsidP="00D47E5E">
            <w:pPr>
              <w:rPr>
                <w:b/>
                <w:bCs/>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3CC0B6" w14:textId="77777777" w:rsidR="007C1525" w:rsidRPr="004E13E9" w:rsidRDefault="007C1525" w:rsidP="00D47E5E">
            <w:pPr>
              <w:rPr>
                <w:b/>
                <w:bCs/>
                <w:color w:val="000000" w:themeColor="text1"/>
                <w:lang w:val="en-GB"/>
              </w:rPr>
            </w:pPr>
          </w:p>
        </w:tc>
        <w:tc>
          <w:tcPr>
            <w:tcW w:w="3128" w:type="dxa"/>
            <w:tcBorders>
              <w:top w:val="single" w:sz="4" w:space="0" w:color="auto"/>
              <w:left w:val="single" w:sz="4" w:space="0" w:color="auto"/>
              <w:bottom w:val="single" w:sz="4" w:space="0" w:color="auto"/>
              <w:right w:val="single" w:sz="4" w:space="0" w:color="auto"/>
            </w:tcBorders>
            <w:vAlign w:val="center"/>
          </w:tcPr>
          <w:p w14:paraId="39B9F9CF" w14:textId="77777777" w:rsidR="007C1525" w:rsidRPr="004E13E9" w:rsidRDefault="007C1525" w:rsidP="00D47E5E">
            <w:pPr>
              <w:shd w:val="clear" w:color="auto" w:fill="FFFFFF" w:themeFill="background1"/>
              <w:jc w:val="center"/>
              <w:rPr>
                <w:color w:val="000000" w:themeColor="text1"/>
              </w:rPr>
            </w:pPr>
            <w:r w:rsidRPr="004E13E9">
              <w:rPr>
                <w:color w:val="000000" w:themeColor="text1"/>
                <w:rtl/>
              </w:rPr>
              <w:t>36</w:t>
            </w:r>
            <w:r w:rsidRPr="004E13E9">
              <w:rPr>
                <w:color w:val="000000" w:themeColor="text1"/>
              </w:rPr>
              <w:t>°</w:t>
            </w:r>
            <w:r w:rsidRPr="004E13E9">
              <w:rPr>
                <w:color w:val="000000" w:themeColor="text1"/>
                <w:rtl/>
              </w:rPr>
              <w:t>29</w:t>
            </w:r>
            <w:r w:rsidRPr="004E13E9">
              <w:rPr>
                <w:color w:val="000000" w:themeColor="text1"/>
              </w:rPr>
              <w:t>’</w:t>
            </w:r>
            <w:r w:rsidRPr="004E13E9">
              <w:rPr>
                <w:color w:val="000000" w:themeColor="text1"/>
                <w:rtl/>
              </w:rPr>
              <w:t>630</w:t>
            </w:r>
            <w:r w:rsidRPr="004E13E9">
              <w:rPr>
                <w:color w:val="000000" w:themeColor="text1"/>
              </w:rPr>
              <w:t>” N-</w:t>
            </w:r>
            <w:r w:rsidRPr="004E13E9">
              <w:rPr>
                <w:color w:val="000000" w:themeColor="text1"/>
                <w:rtl/>
              </w:rPr>
              <w:t>10</w:t>
            </w:r>
            <w:r w:rsidRPr="004E13E9">
              <w:rPr>
                <w:color w:val="000000" w:themeColor="text1"/>
              </w:rPr>
              <w:t>°</w:t>
            </w:r>
            <w:r w:rsidRPr="004E13E9">
              <w:rPr>
                <w:color w:val="000000" w:themeColor="text1"/>
                <w:rtl/>
              </w:rPr>
              <w:t>55</w:t>
            </w:r>
            <w:r w:rsidRPr="004E13E9">
              <w:rPr>
                <w:color w:val="000000" w:themeColor="text1"/>
              </w:rPr>
              <w:t>’</w:t>
            </w:r>
            <w:r w:rsidRPr="004E13E9">
              <w:rPr>
                <w:color w:val="000000" w:themeColor="text1"/>
                <w:rtl/>
              </w:rPr>
              <w:t>000</w:t>
            </w:r>
            <w:r w:rsidRPr="004E13E9">
              <w:rPr>
                <w:color w:val="000000" w:themeColor="text1"/>
              </w:rPr>
              <w:t>” 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B13F0F" w14:textId="77777777" w:rsidR="007C1525" w:rsidRPr="004E13E9" w:rsidRDefault="007C1525" w:rsidP="00D47E5E">
            <w:pPr>
              <w:jc w:val="center"/>
              <w:rPr>
                <w:color w:val="000000" w:themeColor="text1"/>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CCF984" w14:textId="77777777" w:rsidR="007C1525" w:rsidRPr="004E13E9" w:rsidRDefault="007C1525" w:rsidP="00D47E5E">
            <w:pPr>
              <w:jc w:val="center"/>
              <w:rPr>
                <w:color w:val="000000" w:themeColor="text1"/>
                <w:lang w:val="en-GB"/>
              </w:rPr>
            </w:pPr>
          </w:p>
        </w:tc>
      </w:tr>
      <w:tr w:rsidR="007C1525" w:rsidRPr="004E13E9" w14:paraId="51EC31F9" w14:textId="77777777" w:rsidTr="00D47E5E">
        <w:trPr>
          <w:trHeight w:val="476"/>
        </w:trPr>
        <w:tc>
          <w:tcPr>
            <w:tcW w:w="9801" w:type="dxa"/>
            <w:gridSpan w:val="4"/>
            <w:tcBorders>
              <w:top w:val="single" w:sz="4" w:space="0" w:color="auto"/>
              <w:left w:val="single" w:sz="4" w:space="0" w:color="auto"/>
              <w:bottom w:val="single" w:sz="4" w:space="0" w:color="auto"/>
              <w:right w:val="single" w:sz="4" w:space="0" w:color="auto"/>
            </w:tcBorders>
            <w:vAlign w:val="center"/>
            <w:hideMark/>
          </w:tcPr>
          <w:p w14:paraId="6A11F705" w14:textId="77777777" w:rsidR="007C1525" w:rsidRPr="004E13E9" w:rsidRDefault="007C1525" w:rsidP="00D47E5E">
            <w:pPr>
              <w:shd w:val="clear" w:color="auto" w:fill="FFFFFF" w:themeFill="background1"/>
              <w:spacing w:before="120" w:after="120"/>
              <w:ind w:right="35"/>
              <w:jc w:val="center"/>
              <w:rPr>
                <w:b/>
                <w:bCs/>
                <w:color w:val="000000" w:themeColor="text1"/>
              </w:rPr>
            </w:pPr>
            <w:r w:rsidRPr="004E13E9">
              <w:rPr>
                <w:b/>
                <w:bCs/>
                <w:color w:val="000000" w:themeColor="text1"/>
              </w:rPr>
              <w:t>TOTAL (</w:t>
            </w:r>
            <w:proofErr w:type="spellStart"/>
            <w:r w:rsidRPr="004E13E9">
              <w:rPr>
                <w:b/>
                <w:bCs/>
                <w:color w:val="000000" w:themeColor="text1"/>
              </w:rPr>
              <w:t>tonnes</w:t>
            </w:r>
            <w:proofErr w:type="spellEnd"/>
            <w:r w:rsidRPr="004E13E9">
              <w:rPr>
                <w:b/>
                <w:bCs/>
                <w:color w:val="000000" w:themeColor="text1"/>
              </w:rPr>
              <w:t>)</w:t>
            </w:r>
          </w:p>
        </w:tc>
        <w:tc>
          <w:tcPr>
            <w:tcW w:w="2101" w:type="dxa"/>
            <w:tcBorders>
              <w:top w:val="single" w:sz="4" w:space="0" w:color="auto"/>
              <w:left w:val="single" w:sz="4" w:space="0" w:color="auto"/>
              <w:bottom w:val="single" w:sz="4" w:space="0" w:color="auto"/>
              <w:right w:val="single" w:sz="4" w:space="0" w:color="auto"/>
            </w:tcBorders>
            <w:vAlign w:val="center"/>
            <w:hideMark/>
          </w:tcPr>
          <w:p w14:paraId="4E3E618B" w14:textId="77777777" w:rsidR="007C1525" w:rsidRPr="004E13E9" w:rsidRDefault="007C1525" w:rsidP="00D47E5E">
            <w:pPr>
              <w:shd w:val="clear" w:color="auto" w:fill="FFFFFF" w:themeFill="background1"/>
              <w:spacing w:before="120" w:after="120"/>
              <w:ind w:right="175"/>
              <w:jc w:val="center"/>
              <w:rPr>
                <w:b/>
                <w:bCs/>
                <w:color w:val="000000" w:themeColor="text1"/>
              </w:rPr>
            </w:pPr>
            <w:r w:rsidRPr="004E13E9">
              <w:rPr>
                <w:b/>
                <w:bCs/>
                <w:color w:val="000000" w:themeColor="text1"/>
              </w:rPr>
              <w:t>3.600</w:t>
            </w:r>
          </w:p>
        </w:tc>
        <w:tc>
          <w:tcPr>
            <w:tcW w:w="1978" w:type="dxa"/>
            <w:tcBorders>
              <w:top w:val="single" w:sz="4" w:space="0" w:color="auto"/>
              <w:left w:val="single" w:sz="4" w:space="0" w:color="auto"/>
              <w:bottom w:val="single" w:sz="4" w:space="0" w:color="auto"/>
              <w:right w:val="single" w:sz="4" w:space="0" w:color="auto"/>
            </w:tcBorders>
            <w:vAlign w:val="center"/>
            <w:hideMark/>
          </w:tcPr>
          <w:p w14:paraId="4A30EC75" w14:textId="77777777" w:rsidR="007C1525" w:rsidRPr="004E13E9" w:rsidRDefault="007C1525" w:rsidP="00D47E5E">
            <w:pPr>
              <w:shd w:val="clear" w:color="auto" w:fill="FFFFFF" w:themeFill="background1"/>
              <w:spacing w:before="120" w:after="120"/>
              <w:ind w:right="317"/>
              <w:jc w:val="center"/>
              <w:rPr>
                <w:b/>
                <w:bCs/>
                <w:color w:val="000000" w:themeColor="text1"/>
              </w:rPr>
            </w:pPr>
            <w:r w:rsidRPr="004E13E9">
              <w:rPr>
                <w:b/>
                <w:bCs/>
                <w:color w:val="000000" w:themeColor="text1"/>
              </w:rPr>
              <w:t>7.200</w:t>
            </w:r>
          </w:p>
        </w:tc>
      </w:tr>
    </w:tbl>
    <w:p w14:paraId="7AB4367B" w14:textId="77777777" w:rsidR="007C1525" w:rsidRPr="004E13E9" w:rsidRDefault="007C1525">
      <w:pPr>
        <w:rPr>
          <w:lang w:val="fr-FR"/>
        </w:rPr>
      </w:pPr>
    </w:p>
    <w:p w14:paraId="46BB7F86" w14:textId="77777777" w:rsidR="00934E2D" w:rsidRPr="004E13E9" w:rsidRDefault="00934E2D" w:rsidP="00934E2D">
      <w:pPr>
        <w:rPr>
          <w:lang w:val="fr-FR"/>
        </w:rPr>
      </w:pPr>
      <w:r w:rsidRPr="004E13E9">
        <w:rPr>
          <w:lang w:val="fr-FR"/>
        </w:rPr>
        <w:br w:type="page"/>
      </w:r>
    </w:p>
    <w:p w14:paraId="221811D2" w14:textId="77777777" w:rsidR="00934E2D" w:rsidRPr="004E13E9" w:rsidRDefault="00934E2D" w:rsidP="00934E2D">
      <w:pPr>
        <w:rPr>
          <w:lang w:val="fr-FR"/>
        </w:rPr>
        <w:sectPr w:rsidR="00934E2D" w:rsidRPr="004E13E9" w:rsidSect="00030820">
          <w:footnotePr>
            <w:numFmt w:val="chicago"/>
          </w:footnotePr>
          <w:pgSz w:w="16840" w:h="11907" w:orient="landscape" w:code="9"/>
          <w:pgMar w:top="1418" w:right="1418" w:bottom="1418" w:left="1418" w:header="851" w:footer="1134" w:gutter="0"/>
          <w:cols w:space="720"/>
          <w:docGrid w:linePitch="272"/>
        </w:sectPr>
      </w:pPr>
    </w:p>
    <w:p w14:paraId="3FBD120C" w14:textId="68C16A33" w:rsidR="00267FDC" w:rsidRPr="004E13E9" w:rsidRDefault="00267FDC" w:rsidP="00267FDC">
      <w:pPr>
        <w:rPr>
          <w:lang w:val="it-IT" w:eastAsia="en-GB"/>
        </w:rPr>
      </w:pPr>
      <w:proofErr w:type="spellStart"/>
      <w:r w:rsidRPr="004E13E9">
        <w:rPr>
          <w:b/>
          <w:bCs/>
          <w:lang w:val="it-IT" w:eastAsia="en-GB"/>
        </w:rPr>
        <w:t>Türkiye</w:t>
      </w:r>
      <w:proofErr w:type="spellEnd"/>
      <w:r w:rsidRPr="004E13E9">
        <w:rPr>
          <w:lang w:val="it-IT" w:eastAsia="en-GB"/>
        </w:rPr>
        <w:t xml:space="preserve"> </w:t>
      </w:r>
    </w:p>
    <w:p w14:paraId="7460C6F1" w14:textId="77777777" w:rsidR="00267FDC" w:rsidRPr="004E13E9" w:rsidRDefault="00267FDC">
      <w:pPr>
        <w:rPr>
          <w:lang w:val="it-IT"/>
        </w:rPr>
      </w:pPr>
    </w:p>
    <w:p w14:paraId="65CBF0B4" w14:textId="77777777" w:rsidR="00D70898" w:rsidRPr="004E13E9" w:rsidRDefault="00D70898" w:rsidP="00D70898">
      <w:pPr>
        <w:widowControl w:val="0"/>
        <w:jc w:val="both"/>
        <w:rPr>
          <w:rFonts w:eastAsia="MS Gothic" w:cs="Times New Roman"/>
          <w:b/>
          <w:lang w:val="fr-FR" w:eastAsia="fr-FR" w:bidi="fr-FR"/>
        </w:rPr>
      </w:pPr>
      <w:r w:rsidRPr="004E13E9">
        <w:rPr>
          <w:rFonts w:eastAsia="MS Gothic" w:cs="Times New Roman"/>
          <w:b/>
          <w:lang w:val="fr-FR" w:eastAsia="fr-FR" w:bidi="fr-FR"/>
        </w:rPr>
        <w:t>Année du plan de pêche : 2026</w:t>
      </w:r>
    </w:p>
    <w:p w14:paraId="5BDE2851" w14:textId="77777777" w:rsidR="00D70898" w:rsidRPr="004E13E9" w:rsidRDefault="00D70898" w:rsidP="00D70898">
      <w:pPr>
        <w:widowControl w:val="0"/>
        <w:jc w:val="both"/>
        <w:rPr>
          <w:rFonts w:eastAsia="MS Gothic" w:cs="Times New Roman"/>
          <w:b/>
          <w:lang w:val="fr-FR" w:eastAsia="ja-JP" w:bidi="fr-FR"/>
        </w:rPr>
      </w:pPr>
    </w:p>
    <w:p w14:paraId="74BDA016" w14:textId="77777777" w:rsidR="00D70898" w:rsidRPr="004E13E9" w:rsidRDefault="00D70898" w:rsidP="00D70898">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 xml:space="preserve">1. </w:t>
      </w:r>
      <w:r w:rsidRPr="004E13E9">
        <w:rPr>
          <w:rFonts w:eastAsia="MS Gothic" w:cs="Times New Roman"/>
          <w:b/>
          <w:lang w:val="fr-FR" w:eastAsia="fr-FR" w:bidi="fr-FR"/>
        </w:rPr>
        <w:tab/>
        <w:t>Détails du plan annuel de pêche pour les navires de capture et les madragues</w:t>
      </w:r>
    </w:p>
    <w:p w14:paraId="29B36514" w14:textId="77777777" w:rsidR="00D70898" w:rsidRPr="004E13E9" w:rsidRDefault="00D70898" w:rsidP="00D70898">
      <w:pPr>
        <w:widowControl w:val="0"/>
        <w:jc w:val="both"/>
        <w:rPr>
          <w:rFonts w:eastAsia="MS Gothic" w:cs="Times New Roman"/>
          <w:i/>
          <w:lang w:val="fr-FR" w:eastAsia="fr-FR" w:bidi="fr-FR"/>
        </w:rPr>
      </w:pPr>
    </w:p>
    <w:p w14:paraId="6239781F" w14:textId="77777777" w:rsidR="00D70898" w:rsidRPr="004E13E9" w:rsidRDefault="00D70898" w:rsidP="00D70898">
      <w:pPr>
        <w:widowControl w:val="0"/>
        <w:jc w:val="both"/>
        <w:rPr>
          <w:rFonts w:eastAsia="MS Gothic" w:cs="Times New Roman"/>
          <w:b/>
          <w:bCs/>
          <w:i/>
          <w:iCs/>
          <w:color w:val="000000"/>
          <w:lang w:val="fr-FR" w:eastAsia="fr-FR" w:bidi="fr-FR"/>
        </w:rPr>
      </w:pPr>
      <w:r w:rsidRPr="004E13E9">
        <w:rPr>
          <w:rFonts w:eastAsia="MS Gothic" w:cs="Times New Roman"/>
          <w:b/>
          <w:bCs/>
          <w:i/>
          <w:iCs/>
          <w:color w:val="000000"/>
          <w:lang w:val="fr-FR" w:eastAsia="fr-FR" w:bidi="fr-FR"/>
        </w:rPr>
        <w:t>1a) Présentation (paragraphe 12)</w:t>
      </w:r>
    </w:p>
    <w:p w14:paraId="51C21E85" w14:textId="77777777" w:rsidR="00D70898" w:rsidRPr="004E13E9" w:rsidRDefault="00D70898" w:rsidP="00D70898">
      <w:pPr>
        <w:widowControl w:val="0"/>
        <w:contextualSpacing/>
        <w:jc w:val="both"/>
        <w:rPr>
          <w:rFonts w:eastAsia="MS Gothic" w:cs="Times New Roman"/>
          <w:b/>
          <w:lang w:val="fr-FR" w:eastAsia="fr-FR" w:bidi="fr-FR"/>
        </w:rPr>
      </w:pPr>
    </w:p>
    <w:p w14:paraId="1F19A551" w14:textId="77777777" w:rsidR="00D70898" w:rsidRPr="004E13E9" w:rsidRDefault="00D70898" w:rsidP="00D70898">
      <w:pPr>
        <w:widowControl w:val="0"/>
        <w:contextualSpacing/>
        <w:jc w:val="both"/>
        <w:rPr>
          <w:rFonts w:eastAsia="Calibri" w:cs="Times New Roman"/>
          <w:color w:val="000000"/>
          <w:lang w:val="fr-FR" w:eastAsia="fr-FR" w:bidi="fr-FR"/>
        </w:rPr>
      </w:pPr>
      <w:r w:rsidRPr="004E13E9">
        <w:rPr>
          <w:rFonts w:eastAsia="Calibri" w:cs="Times New Roman"/>
          <w:color w:val="000000"/>
          <w:lang w:val="fr-FR" w:eastAsia="fr-FR" w:bidi="fr-FR"/>
        </w:rPr>
        <w:t>La</w:t>
      </w:r>
      <w:r w:rsidRPr="004E13E9">
        <w:rPr>
          <w:rFonts w:eastAsia="Calibri" w:cs="Times New Roman"/>
          <w:i/>
          <w:iCs/>
          <w:color w:val="000000"/>
          <w:lang w:val="fr-FR" w:eastAsia="fr-FR" w:bidi="fr-FR"/>
        </w:rPr>
        <w:t xml:space="preserve"> Recommandation de l’ICCAT remplaçant la Recommandation 24-05 établissant un plan pluriannuel de gestion du thon rouge dans l’Atlantique Est et la Méditerranée</w:t>
      </w:r>
      <w:r w:rsidRPr="004E13E9">
        <w:rPr>
          <w:rFonts w:eastAsia="Calibri" w:cs="Times New Roman"/>
          <w:color w:val="000000"/>
          <w:lang w:val="fr-FR" w:eastAsia="fr-FR" w:bidi="fr-FR"/>
        </w:rPr>
        <w:t xml:space="preserve"> (Rec. 25-04) devra être mise en œuvre à partir du 1</w:t>
      </w:r>
      <w:r w:rsidRPr="004E13E9">
        <w:rPr>
          <w:rFonts w:eastAsia="Calibri" w:cs="Times New Roman"/>
          <w:color w:val="000000"/>
          <w:vertAlign w:val="superscript"/>
          <w:lang w:val="fr-FR" w:eastAsia="fr-FR" w:bidi="fr-FR"/>
        </w:rPr>
        <w:t>er</w:t>
      </w:r>
      <w:r w:rsidRPr="004E13E9">
        <w:rPr>
          <w:rFonts w:eastAsia="Calibri" w:cs="Times New Roman"/>
          <w:color w:val="000000"/>
          <w:lang w:val="fr-FR" w:eastAsia="fr-FR" w:bidi="fr-FR"/>
        </w:rPr>
        <w:t xml:space="preserve"> janvier 2026.</w:t>
      </w:r>
    </w:p>
    <w:p w14:paraId="35E7D577" w14:textId="77777777" w:rsidR="00D70898" w:rsidRPr="004E13E9" w:rsidRDefault="00D70898" w:rsidP="00D70898">
      <w:pPr>
        <w:widowControl w:val="0"/>
        <w:contextualSpacing/>
        <w:jc w:val="both"/>
        <w:rPr>
          <w:rFonts w:eastAsia="Calibri" w:cs="Times New Roman"/>
          <w:color w:val="000000"/>
          <w:lang w:val="fr-FR" w:eastAsia="fr-FR" w:bidi="fr-FR"/>
        </w:rPr>
      </w:pPr>
    </w:p>
    <w:p w14:paraId="19F5032F" w14:textId="77777777" w:rsidR="00D70898" w:rsidRPr="004E13E9" w:rsidRDefault="00D70898" w:rsidP="00D70898">
      <w:pPr>
        <w:widowControl w:val="0"/>
        <w:contextualSpacing/>
        <w:jc w:val="both"/>
        <w:rPr>
          <w:rFonts w:eastAsia="Calibri" w:cs="Times New Roman"/>
          <w:color w:val="000000"/>
          <w:lang w:val="fr-FR" w:eastAsia="fr-FR" w:bidi="fr-FR"/>
        </w:rPr>
      </w:pPr>
      <w:r w:rsidRPr="004E13E9">
        <w:rPr>
          <w:rFonts w:eastAsia="Calibri" w:cs="Times New Roman"/>
          <w:color w:val="000000"/>
          <w:lang w:val="fr-FR" w:eastAsia="fr-FR" w:bidi="fr-FR"/>
        </w:rPr>
        <w:t xml:space="preserve">Le quota annuel de 2026 de la </w:t>
      </w:r>
      <w:r w:rsidRPr="004E13E9">
        <w:rPr>
          <w:rFonts w:eastAsia="MS Gothic" w:cs="Times New Roman"/>
          <w:color w:val="000000"/>
          <w:lang w:val="fr-FR" w:eastAsia="fr-FR" w:bidi="fr-FR"/>
        </w:rPr>
        <w:t xml:space="preserve">Türkiye </w:t>
      </w:r>
      <w:r w:rsidRPr="004E13E9">
        <w:rPr>
          <w:rFonts w:eastAsia="Calibri" w:cs="Times New Roman"/>
          <w:color w:val="000000"/>
          <w:lang w:val="fr-FR" w:eastAsia="fr-FR" w:bidi="fr-FR"/>
        </w:rPr>
        <w:t>pour le thon rouge dans l'Atlantique Est et la Méditerranée est de 3.094,45 t, conformément à la Rec. 25-04 de l’ICCAT.</w:t>
      </w:r>
    </w:p>
    <w:p w14:paraId="6787EA74" w14:textId="77777777" w:rsidR="00D70898" w:rsidRPr="004E13E9" w:rsidRDefault="00D70898" w:rsidP="00D70898">
      <w:pPr>
        <w:widowControl w:val="0"/>
        <w:contextualSpacing/>
        <w:jc w:val="both"/>
        <w:rPr>
          <w:rFonts w:eastAsia="Calibri" w:cs="Times New Roman"/>
          <w:color w:val="000000"/>
          <w:lang w:val="fr-FR" w:eastAsia="fr-FR" w:bidi="fr-FR"/>
        </w:rPr>
      </w:pPr>
    </w:p>
    <w:p w14:paraId="643A4FD0" w14:textId="77777777" w:rsidR="00D70898" w:rsidRPr="004E13E9" w:rsidRDefault="00D70898" w:rsidP="00D70898">
      <w:pPr>
        <w:widowControl w:val="0"/>
        <w:contextualSpacing/>
        <w:jc w:val="both"/>
        <w:rPr>
          <w:rFonts w:eastAsia="Yu Mincho" w:cs="Times New Roman"/>
          <w:lang w:val="fr-FR"/>
        </w:rPr>
      </w:pPr>
      <w:r w:rsidRPr="004E13E9">
        <w:rPr>
          <w:rFonts w:eastAsia="Yu Mincho" w:cs="Times New Roman"/>
          <w:lang w:val="fr-FR"/>
        </w:rPr>
        <w:t xml:space="preserve">Néanmoins, la Türkiye appliquera un quota ajusté de 3.149,45 tonnes pour 2026. Ce quota comprendra le transfert de 55 t de la Mauritanie à la </w:t>
      </w:r>
      <w:r w:rsidRPr="004E13E9">
        <w:rPr>
          <w:rFonts w:eastAsia="MS Gothic" w:cs="Times New Roman"/>
          <w:color w:val="000000"/>
          <w:lang w:val="fr-FR" w:eastAsia="fr-FR" w:bidi="fr-FR"/>
        </w:rPr>
        <w:t xml:space="preserve">Türkiye </w:t>
      </w:r>
      <w:r w:rsidRPr="004E13E9">
        <w:rPr>
          <w:rFonts w:eastAsia="Yu Mincho" w:cs="Times New Roman"/>
          <w:lang w:val="fr-FR"/>
        </w:rPr>
        <w:t>(conformément au paragraphe 8 de la Rec. 25-04) outre le quota annuel.</w:t>
      </w:r>
    </w:p>
    <w:p w14:paraId="2C14B914" w14:textId="77777777" w:rsidR="00D70898" w:rsidRPr="004E13E9" w:rsidRDefault="00D70898" w:rsidP="00D70898">
      <w:pPr>
        <w:widowControl w:val="0"/>
        <w:contextualSpacing/>
        <w:jc w:val="both"/>
        <w:rPr>
          <w:rFonts w:eastAsia="Yu Mincho" w:cs="Times New Roman"/>
          <w:lang w:val="fr-FR"/>
        </w:rPr>
      </w:pPr>
    </w:p>
    <w:p w14:paraId="320CF7ED" w14:textId="77777777" w:rsidR="00D70898" w:rsidRPr="004E13E9" w:rsidRDefault="00D70898" w:rsidP="00D70898">
      <w:pPr>
        <w:widowControl w:val="0"/>
        <w:contextualSpacing/>
        <w:jc w:val="both"/>
        <w:rPr>
          <w:rFonts w:eastAsia="Yu Mincho" w:cs="Times New Roman"/>
          <w:lang w:val="fr-FR"/>
        </w:rPr>
      </w:pPr>
      <w:r w:rsidRPr="004E13E9">
        <w:rPr>
          <w:rFonts w:eastAsia="Yu Mincho" w:cs="Times New Roman"/>
          <w:lang w:val="fr-FR"/>
        </w:rPr>
        <w:t xml:space="preserve">Outre le quota ajusté susmentionné, la </w:t>
      </w:r>
      <w:r w:rsidRPr="004E13E9">
        <w:rPr>
          <w:rFonts w:eastAsia="MS Gothic" w:cs="Times New Roman"/>
          <w:color w:val="000000"/>
          <w:lang w:val="fr-FR" w:eastAsia="fr-FR" w:bidi="fr-FR"/>
        </w:rPr>
        <w:t xml:space="preserve">Türkiye </w:t>
      </w:r>
      <w:r w:rsidRPr="004E13E9">
        <w:rPr>
          <w:rFonts w:eastAsia="Yu Mincho" w:cs="Times New Roman"/>
          <w:lang w:val="fr-FR"/>
        </w:rPr>
        <w:t>peut transférer des quotas provenant d'autres CPC (conformément au paragraphe 8 de la Rec. 25-04)</w:t>
      </w:r>
      <w:r w:rsidRPr="004E13E9">
        <w:rPr>
          <w:rFonts w:eastAsia="Yu Mincho" w:cs="Times New Roman"/>
          <w:sz w:val="22"/>
          <w:szCs w:val="22"/>
          <w:vertAlign w:val="superscript"/>
          <w:lang w:val="fr-FR"/>
        </w:rPr>
        <w:footnoteReference w:id="27"/>
      </w:r>
      <w:r w:rsidRPr="004E13E9">
        <w:rPr>
          <w:rFonts w:eastAsia="Yu Mincho" w:cs="Times New Roman"/>
          <w:lang w:val="fr-FR"/>
        </w:rPr>
        <w:t>.</w:t>
      </w:r>
    </w:p>
    <w:p w14:paraId="369019C3" w14:textId="77777777" w:rsidR="00D70898" w:rsidRPr="004E13E9" w:rsidRDefault="00D70898" w:rsidP="00D70898">
      <w:pPr>
        <w:widowControl w:val="0"/>
        <w:contextualSpacing/>
        <w:jc w:val="both"/>
        <w:rPr>
          <w:rFonts w:eastAsia="Yu Mincho" w:cs="Times New Roman"/>
          <w:lang w:val="fr-FR"/>
        </w:rPr>
      </w:pPr>
    </w:p>
    <w:p w14:paraId="51391F70" w14:textId="77777777" w:rsidR="00D70898" w:rsidRPr="004E13E9" w:rsidRDefault="00D70898" w:rsidP="00D70898">
      <w:pPr>
        <w:widowControl w:val="0"/>
        <w:contextualSpacing/>
        <w:jc w:val="both"/>
        <w:rPr>
          <w:rFonts w:eastAsia="Calibri" w:cs="Times New Roman"/>
          <w:color w:val="000000"/>
          <w:lang w:val="fr-FR" w:eastAsia="fr-FR" w:bidi="fr-FR"/>
        </w:rPr>
      </w:pPr>
      <w:r w:rsidRPr="004E13E9">
        <w:rPr>
          <w:rFonts w:eastAsia="Calibri" w:cs="Times New Roman"/>
          <w:color w:val="000000"/>
          <w:lang w:val="fr-FR" w:eastAsia="fr-FR" w:bidi="fr-FR"/>
        </w:rPr>
        <w:t>L'article 22 de la notification n°6/1 réglementant la pêche commerciale (n°2024/20) énonce des dispositions génériques sur la réglementation de la pêche au thon rouge</w:t>
      </w:r>
      <w:r w:rsidRPr="004E13E9">
        <w:rPr>
          <w:rFonts w:eastAsia="Yu Mincho" w:cs="Times New Roman"/>
          <w:szCs w:val="22"/>
          <w:vertAlign w:val="superscript"/>
          <w:lang w:val="fr-FR"/>
        </w:rPr>
        <w:footnoteReference w:id="28"/>
      </w:r>
      <w:r w:rsidRPr="004E13E9">
        <w:rPr>
          <w:rFonts w:eastAsia="Calibri" w:cs="Times New Roman"/>
          <w:color w:val="000000"/>
          <w:lang w:val="fr-FR" w:eastAsia="fr-FR" w:bidi="fr-FR"/>
        </w:rPr>
        <w:t>.</w:t>
      </w:r>
    </w:p>
    <w:p w14:paraId="1777DE1D" w14:textId="77777777" w:rsidR="00D70898" w:rsidRPr="004E13E9" w:rsidRDefault="00D70898" w:rsidP="00D70898">
      <w:pPr>
        <w:widowControl w:val="0"/>
        <w:contextualSpacing/>
        <w:jc w:val="both"/>
        <w:rPr>
          <w:rFonts w:eastAsia="Calibri" w:cs="Times New Roman"/>
          <w:color w:val="000000"/>
          <w:lang w:val="fr-FR" w:eastAsia="fr-FR" w:bidi="fr-FR"/>
        </w:rPr>
      </w:pPr>
    </w:p>
    <w:p w14:paraId="6C90AA84" w14:textId="77777777" w:rsidR="00D70898" w:rsidRPr="004E13E9" w:rsidRDefault="00D70898" w:rsidP="00D70898">
      <w:pPr>
        <w:widowControl w:val="0"/>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 xml:space="preserve">Les normes établies par la Rec. </w:t>
      </w:r>
      <w:r w:rsidRPr="004E13E9">
        <w:rPr>
          <w:rFonts w:eastAsia="Calibri" w:cs="Times New Roman"/>
          <w:color w:val="000000"/>
          <w:lang w:val="fr-FR" w:eastAsia="fr-FR" w:bidi="fr-FR"/>
        </w:rPr>
        <w:t>25-04</w:t>
      </w:r>
      <w:r w:rsidRPr="004E13E9">
        <w:rPr>
          <w:rFonts w:eastAsia="MS Gothic" w:cs="Times New Roman"/>
          <w:color w:val="000000"/>
          <w:lang w:val="fr-FR" w:eastAsia="fr-FR" w:bidi="fr-FR"/>
        </w:rPr>
        <w:t xml:space="preserve"> ont été transposées dans la réglementation nationale turque par le biais de la Circulaire ministérielle concernant la pêche, l’élevage et le commerce du thon rouge de l'Est. La Circulaire ministérielle concernant la pêche, l'élevage et le commerce du thon rouge inclut toutes les dispositions de la Rec. </w:t>
      </w:r>
      <w:r w:rsidRPr="004E13E9">
        <w:rPr>
          <w:rFonts w:eastAsia="Calibri" w:cs="Times New Roman"/>
          <w:color w:val="000000"/>
          <w:lang w:val="fr-FR" w:eastAsia="fr-FR" w:bidi="fr-FR"/>
        </w:rPr>
        <w:t>25-04</w:t>
      </w:r>
      <w:r w:rsidRPr="004E13E9">
        <w:rPr>
          <w:rFonts w:eastAsia="MS Gothic" w:cs="Times New Roman"/>
          <w:color w:val="000000"/>
          <w:lang w:val="fr-FR" w:eastAsia="fr-FR" w:bidi="fr-FR"/>
        </w:rPr>
        <w:t xml:space="preserve"> de l’ICCAT et se fonde sur l'article 22 de la notification (n° 2024/20) ainsi que sur la loi sur la pêche n°1380</w:t>
      </w:r>
      <w:r w:rsidRPr="004E13E9">
        <w:rPr>
          <w:rFonts w:eastAsia="Yu Mincho" w:cs="Times New Roman"/>
          <w:szCs w:val="22"/>
          <w:vertAlign w:val="superscript"/>
          <w:lang w:val="fr-FR"/>
        </w:rPr>
        <w:footnoteReference w:id="29"/>
      </w:r>
      <w:r w:rsidRPr="004E13E9">
        <w:rPr>
          <w:rFonts w:eastAsia="MS Gothic" w:cs="Times New Roman"/>
          <w:color w:val="000000"/>
          <w:lang w:val="fr-FR" w:eastAsia="fr-FR" w:bidi="fr-FR"/>
        </w:rPr>
        <w:t xml:space="preserve"> et le règlement n°4988 ; il contient donc des dispositions juridiques contraignantes concernant la pêche au thon rouge pour ce qui est du respect des règles de l’ICCAT</w:t>
      </w:r>
      <w:r w:rsidRPr="004E13E9">
        <w:rPr>
          <w:rFonts w:eastAsia="Yu Mincho" w:cs="Times New Roman"/>
          <w:szCs w:val="22"/>
          <w:vertAlign w:val="superscript"/>
          <w:lang w:val="fr-FR"/>
        </w:rPr>
        <w:footnoteReference w:id="30"/>
      </w:r>
      <w:r w:rsidRPr="004E13E9">
        <w:rPr>
          <w:rFonts w:eastAsia="MS Gothic" w:cs="Times New Roman"/>
          <w:color w:val="000000"/>
          <w:lang w:val="fr-FR" w:eastAsia="fr-FR" w:bidi="fr-FR"/>
        </w:rPr>
        <w:t>.</w:t>
      </w:r>
    </w:p>
    <w:p w14:paraId="04EA7BB3" w14:textId="77777777" w:rsidR="00D70898" w:rsidRPr="004E13E9" w:rsidRDefault="00D70898" w:rsidP="00D70898">
      <w:pPr>
        <w:widowControl w:val="0"/>
        <w:contextualSpacing/>
        <w:jc w:val="both"/>
        <w:rPr>
          <w:rFonts w:eastAsia="MS Gothic" w:cs="Times New Roman"/>
          <w:b/>
          <w:lang w:val="fr-FR" w:eastAsia="fr-FR" w:bidi="fr-FR"/>
        </w:rPr>
      </w:pPr>
    </w:p>
    <w:p w14:paraId="32982B50" w14:textId="77777777" w:rsidR="00D70898" w:rsidRPr="004E13E9" w:rsidRDefault="00D70898" w:rsidP="00D70898">
      <w:pPr>
        <w:contextualSpacing/>
        <w:jc w:val="both"/>
        <w:rPr>
          <w:rFonts w:eastAsia="Calibri" w:cs="Times New Roman"/>
          <w:color w:val="000000"/>
          <w:lang w:val="fr-FR" w:eastAsia="fr-FR" w:bidi="fr-FR"/>
        </w:rPr>
      </w:pPr>
      <w:r w:rsidRPr="004E13E9">
        <w:rPr>
          <w:rFonts w:eastAsia="MS Gothic" w:cs="Times New Roman"/>
          <w:color w:val="000000"/>
          <w:lang w:val="fr-FR" w:eastAsia="fr-FR" w:bidi="fr-FR"/>
        </w:rPr>
        <w:t>Les activités de pêche et d’élevage du thon rouge de l’Atlantique Est et de la Méditerranée (BFT-E) seront réalisées dans le cadre du quota national de la Türkiye et des quotas individuels seront alloués à chaque navire de capture de thon rouge de l'Est, conformément à la Circulaire ministérielle.</w:t>
      </w:r>
    </w:p>
    <w:p w14:paraId="12C27920" w14:textId="77777777" w:rsidR="00D70898" w:rsidRPr="004E13E9" w:rsidRDefault="00D70898" w:rsidP="00D70898">
      <w:pPr>
        <w:contextualSpacing/>
        <w:jc w:val="both"/>
        <w:rPr>
          <w:rFonts w:eastAsia="Calibri" w:cs="Times New Roman"/>
          <w:color w:val="000000"/>
          <w:lang w:val="fr-FR" w:bidi="fr-FR"/>
        </w:rPr>
      </w:pPr>
    </w:p>
    <w:p w14:paraId="49AD8B07" w14:textId="77777777" w:rsidR="00D70898" w:rsidRPr="004E13E9" w:rsidRDefault="00D70898" w:rsidP="00D70898">
      <w:pPr>
        <w:contextualSpacing/>
        <w:jc w:val="both"/>
        <w:rPr>
          <w:rFonts w:eastAsia="Calibri" w:cs="Times New Roman"/>
          <w:color w:val="000000"/>
          <w:lang w:val="fr-FR" w:eastAsia="fr-FR" w:bidi="fr-FR"/>
        </w:rPr>
      </w:pPr>
      <w:r w:rsidRPr="004E13E9">
        <w:rPr>
          <w:rFonts w:eastAsia="MS Gothic" w:cs="Times New Roman"/>
          <w:color w:val="000000"/>
          <w:lang w:val="fr-FR" w:eastAsia="fr-FR" w:bidi="fr-FR"/>
        </w:rPr>
        <w:t>Le ministère de l’agriculture et de la sylviculture (MoAF) annoncera la décision susmentionnée à tous les acteurs du secteur conformément aux Notifications et aux Circulaires concernant le thon rouge de l'Est.</w:t>
      </w:r>
    </w:p>
    <w:p w14:paraId="21BB738C" w14:textId="77777777" w:rsidR="00D70898" w:rsidRPr="004E13E9" w:rsidRDefault="00D70898" w:rsidP="00D70898">
      <w:pPr>
        <w:contextualSpacing/>
        <w:jc w:val="both"/>
        <w:rPr>
          <w:rFonts w:eastAsia="Calibri" w:cs="Times New Roman"/>
          <w:color w:val="000000"/>
          <w:lang w:val="fr-FR" w:bidi="fr-FR"/>
        </w:rPr>
      </w:pPr>
    </w:p>
    <w:p w14:paraId="2F4C79D5" w14:textId="77777777" w:rsidR="00D70898" w:rsidRPr="004E13E9" w:rsidRDefault="00D70898" w:rsidP="00D70898">
      <w:pPr>
        <w:contextualSpacing/>
        <w:jc w:val="both"/>
        <w:rPr>
          <w:rFonts w:eastAsia="Calibri" w:cs="Times New Roman"/>
          <w:color w:val="000000"/>
          <w:lang w:val="fr-FR" w:eastAsia="fr-FR" w:bidi="fr-FR"/>
        </w:rPr>
      </w:pPr>
      <w:r w:rsidRPr="004E13E9">
        <w:rPr>
          <w:rFonts w:eastAsia="MS Gothic" w:cs="Times New Roman"/>
          <w:color w:val="000000"/>
          <w:lang w:val="fr-FR" w:eastAsia="fr-FR" w:bidi="fr-FR"/>
        </w:rPr>
        <w:t xml:space="preserve">Le MoAF délivrera des permis de pêche à tous les navires de pêche de thon rouge de l'Est autorisés au titre de </w:t>
      </w:r>
      <w:r w:rsidRPr="004E13E9">
        <w:rPr>
          <w:rFonts w:eastAsia="Calibri" w:cs="Times New Roman"/>
          <w:color w:val="000000"/>
          <w:lang w:val="fr-FR" w:eastAsia="fr-FR" w:bidi="fr-FR"/>
        </w:rPr>
        <w:t>2026</w:t>
      </w:r>
      <w:r w:rsidRPr="004E13E9">
        <w:rPr>
          <w:rFonts w:eastAsia="MS Gothic" w:cs="Times New Roman"/>
          <w:color w:val="000000"/>
          <w:lang w:val="fr-FR" w:eastAsia="fr-FR" w:bidi="fr-FR"/>
        </w:rPr>
        <w:t xml:space="preserve">. Tous les navires de pêche autorisés par le MoAF devront être déclarés à l'ICCAT en temps opportun. Tous les navires devront être équipés et contrôlés par un système de surveillance des bateaux opérationnel conformément à l'obligation stipulée à la section G de la Rec. </w:t>
      </w:r>
      <w:r w:rsidRPr="004E13E9">
        <w:rPr>
          <w:rFonts w:eastAsia="Calibri" w:cs="Times New Roman"/>
          <w:color w:val="000000"/>
          <w:lang w:val="fr-FR" w:eastAsia="fr-FR" w:bidi="fr-FR"/>
        </w:rPr>
        <w:t>25-04</w:t>
      </w:r>
      <w:r w:rsidRPr="004E13E9">
        <w:rPr>
          <w:rFonts w:eastAsia="MS Gothic" w:cs="Times New Roman"/>
          <w:color w:val="000000"/>
          <w:lang w:val="fr-FR" w:eastAsia="fr-FR" w:bidi="fr-FR"/>
        </w:rPr>
        <w:t xml:space="preserve"> (conformément aux articles 5 et 6 de la Circulaire ministérielle</w:t>
      </w:r>
      <w:r w:rsidRPr="004E13E9">
        <w:rPr>
          <w:rFonts w:eastAsia="Yu Mincho" w:cs="Times New Roman"/>
          <w:lang w:val="fr-FR"/>
        </w:rPr>
        <w:t xml:space="preserve"> concernant </w:t>
      </w:r>
      <w:r w:rsidRPr="004E13E9">
        <w:rPr>
          <w:rFonts w:eastAsia="MS Gothic" w:cs="Times New Roman"/>
          <w:color w:val="000000"/>
          <w:lang w:val="fr-FR" w:eastAsia="fr-FR" w:bidi="fr-FR"/>
        </w:rPr>
        <w:t>la pêche, l'élevage et le commerce du thon rouge).</w:t>
      </w:r>
    </w:p>
    <w:p w14:paraId="432FB61A" w14:textId="77777777" w:rsidR="00EF0033" w:rsidRPr="004E13E9" w:rsidRDefault="00EF0033" w:rsidP="00D70898">
      <w:pPr>
        <w:jc w:val="both"/>
        <w:rPr>
          <w:rFonts w:eastAsia="MS Gothic" w:cs="Times New Roman"/>
          <w:color w:val="000000"/>
          <w:lang w:val="fr-FR" w:eastAsia="fr-FR" w:bidi="fr-FR"/>
        </w:rPr>
      </w:pPr>
    </w:p>
    <w:p w14:paraId="7D27FCD5" w14:textId="772E3838" w:rsidR="00D70898" w:rsidRPr="004E13E9" w:rsidRDefault="00D70898" w:rsidP="00D70898">
      <w:pPr>
        <w:jc w:val="both"/>
        <w:rPr>
          <w:rFonts w:eastAsia="MS Gothic" w:cs="Times New Roman"/>
          <w:color w:val="000000"/>
          <w:lang w:val="fr-FR" w:eastAsia="fr-FR" w:bidi="fr-FR"/>
        </w:rPr>
      </w:pPr>
      <w:r w:rsidRPr="004E13E9">
        <w:rPr>
          <w:rFonts w:eastAsia="MS Gothic" w:cs="Times New Roman"/>
          <w:color w:val="000000"/>
          <w:lang w:val="fr-FR" w:eastAsia="fr-FR" w:bidi="fr-FR"/>
        </w:rPr>
        <w:t>Il est prévu de pratiquer la pêche de thon rouge l’Est en Méditerranée orientale et dans d'autres parties de la Méditerranée, comme cela a été fait les années précédentes.</w:t>
      </w:r>
    </w:p>
    <w:p w14:paraId="021B8273" w14:textId="77777777" w:rsidR="00D70898" w:rsidRPr="004E13E9" w:rsidRDefault="00D70898" w:rsidP="00D70898">
      <w:pPr>
        <w:jc w:val="both"/>
        <w:rPr>
          <w:rFonts w:eastAsia="MS Gothic" w:cs="Times New Roman"/>
          <w:color w:val="000000"/>
          <w:lang w:val="fr-FR" w:eastAsia="fr-FR" w:bidi="fr-FR"/>
        </w:rPr>
      </w:pPr>
    </w:p>
    <w:p w14:paraId="6FED8776" w14:textId="0DDD6188" w:rsidR="00EF0033" w:rsidRPr="004E13E9" w:rsidRDefault="00D70898" w:rsidP="00EF0033">
      <w:pPr>
        <w:jc w:val="both"/>
        <w:rPr>
          <w:rFonts w:eastAsia="Yu Mincho"/>
          <w:lang w:val="fr-FR" w:bidi="fr-FR"/>
        </w:rPr>
      </w:pPr>
      <w:r w:rsidRPr="004E13E9">
        <w:rPr>
          <w:rFonts w:eastAsia="Yu Mincho"/>
          <w:lang w:val="fr-FR" w:bidi="fr-FR"/>
        </w:rPr>
        <w:t xml:space="preserve">La Türkiye demande l'application de la dérogation prévue au paragraphe 28 de la Rec. 25-04 pour la période d'ouverture en Méditerranée orientale. En conséquence, la saison de pêche dans la partie orientale de la mer Méditerranée (zones de pêche FAO 37.3.1 et 37.3.2) s'étendra du 15 mai au 1er juillet. </w:t>
      </w:r>
      <w:r w:rsidR="00EF0033" w:rsidRPr="004E13E9">
        <w:rPr>
          <w:rFonts w:eastAsia="Yu Mincho"/>
          <w:lang w:val="fr-FR" w:bidi="fr-FR"/>
        </w:rPr>
        <w:br w:type="page"/>
      </w:r>
    </w:p>
    <w:p w14:paraId="402B7DFD" w14:textId="3B70C2CA" w:rsidR="00D70898" w:rsidRPr="004E13E9" w:rsidRDefault="00D70898" w:rsidP="00D70898">
      <w:pPr>
        <w:jc w:val="both"/>
        <w:rPr>
          <w:rFonts w:eastAsia="Yu Mincho"/>
          <w:lang w:val="fr-FR" w:bidi="fr-FR"/>
        </w:rPr>
      </w:pPr>
      <w:r w:rsidRPr="004E13E9">
        <w:rPr>
          <w:rFonts w:eastAsia="Yu Mincho"/>
          <w:lang w:val="fr-FR" w:bidi="fr-FR"/>
        </w:rPr>
        <w:t>En outre, il est prévu que certains opérateurs pratiquant la pêche au thon rouge de l’Est à la senne préfèrent exercer leurs activités de pêche en haute mer dans la Méditerranée (éventuellement dans la zone 37.2). Pour ces senneurs, la pêche au thon rouge devra être autorisée pendant la période allant du 19 mai au 1er juillet, conformément au paragraphe 28 de la Rec. 25-04.</w:t>
      </w:r>
    </w:p>
    <w:p w14:paraId="5F8D3703" w14:textId="77777777" w:rsidR="00D70898" w:rsidRPr="004E13E9" w:rsidRDefault="00D70898" w:rsidP="00D70898">
      <w:pPr>
        <w:jc w:val="both"/>
        <w:rPr>
          <w:rFonts w:eastAsia="MS Gothic" w:cs="Times New Roman"/>
          <w:color w:val="000000"/>
          <w:lang w:val="fr-FR" w:eastAsia="fr-FR" w:bidi="fr-FR"/>
        </w:rPr>
      </w:pPr>
    </w:p>
    <w:p w14:paraId="478461B4" w14:textId="77777777" w:rsidR="00D70898" w:rsidRPr="004E13E9" w:rsidRDefault="00D70898" w:rsidP="00D70898">
      <w:pPr>
        <w:contextualSpacing/>
        <w:jc w:val="both"/>
        <w:rPr>
          <w:rFonts w:eastAsia="Calibri" w:cs="Times New Roman"/>
          <w:color w:val="000000"/>
          <w:lang w:val="fr-FR" w:eastAsia="fr-FR" w:bidi="fr-FR"/>
        </w:rPr>
      </w:pPr>
      <w:r w:rsidRPr="004E13E9">
        <w:rPr>
          <w:rFonts w:eastAsia="MS Gothic" w:cs="Times New Roman"/>
          <w:color w:val="000000"/>
          <w:lang w:val="fr-FR" w:eastAsia="fr-FR" w:bidi="fr-FR"/>
        </w:rPr>
        <w:t xml:space="preserve">Les permis de pêche délivrés par le MoAF seront obligatoires pour que les navires de pêche de thon rouge de l'Est opèrent pendant la saison de pêche de </w:t>
      </w:r>
      <w:r w:rsidRPr="004E13E9">
        <w:rPr>
          <w:rFonts w:eastAsia="Calibri" w:cs="Times New Roman"/>
          <w:color w:val="000000"/>
          <w:lang w:val="fr-FR" w:eastAsia="fr-FR" w:bidi="fr-FR"/>
        </w:rPr>
        <w:t>2026</w:t>
      </w:r>
      <w:r w:rsidRPr="004E13E9">
        <w:rPr>
          <w:rFonts w:eastAsia="MS Gothic" w:cs="Times New Roman"/>
          <w:color w:val="000000"/>
          <w:lang w:val="fr-FR" w:eastAsia="fr-FR" w:bidi="fr-FR"/>
        </w:rPr>
        <w:t>. Tout en laissant une marge en cas de changements du nombre total et de la distribution des longueurs des navires qui seront autorisés jusqu'à la date limite de déclaration et, en vue de satisfaire aux dispositions pertinentes de la Rec.</w:t>
      </w:r>
      <w:r w:rsidRPr="004E13E9">
        <w:rPr>
          <w:rFonts w:eastAsia="Calibri" w:cs="Times New Roman"/>
          <w:color w:val="000000"/>
          <w:lang w:val="fr-FR" w:eastAsia="fr-FR" w:bidi="fr-FR"/>
        </w:rPr>
        <w:t xml:space="preserve"> 25-04</w:t>
      </w:r>
      <w:r w:rsidRPr="004E13E9">
        <w:rPr>
          <w:rFonts w:eastAsia="MS Gothic" w:cs="Times New Roman"/>
          <w:color w:val="000000"/>
          <w:lang w:val="fr-FR" w:eastAsia="fr-FR" w:bidi="fr-FR"/>
        </w:rPr>
        <w:t xml:space="preserve"> en matière d'ajustement de la capacité et compte tenu du processus national appliqué par le ministère, des permis de pêche devraient être accordés à 48 senneurs en tant que navires de capture de thon rouge pour la saison de pêche de thon rouge de </w:t>
      </w:r>
      <w:r w:rsidRPr="004E13E9">
        <w:rPr>
          <w:rFonts w:eastAsia="Calibri" w:cs="Times New Roman"/>
          <w:color w:val="000000"/>
          <w:lang w:val="fr-FR" w:eastAsia="fr-FR" w:bidi="fr-FR"/>
        </w:rPr>
        <w:t>2026</w:t>
      </w:r>
      <w:r w:rsidRPr="004E13E9">
        <w:rPr>
          <w:rFonts w:eastAsia="MS Gothic" w:cs="Times New Roman"/>
          <w:color w:val="000000"/>
          <w:lang w:val="fr-FR" w:eastAsia="fr-FR" w:bidi="fr-FR"/>
        </w:rPr>
        <w:t>. Pareillement, il est escompté que le MoAF autorise environ 90 autres navires de thon rouge de l'Est (remorqueurs, navires de support et navires auxiliaires) et 1 navire de transformation (conformément à la directive ministérielle de mise en œuvre)</w:t>
      </w:r>
      <w:r w:rsidRPr="004E13E9">
        <w:rPr>
          <w:rFonts w:eastAsia="Yu Mincho" w:cs="Times New Roman"/>
          <w:vertAlign w:val="superscript"/>
          <w:lang w:val="fr-FR"/>
        </w:rPr>
        <w:footnoteReference w:id="31"/>
      </w:r>
      <w:r w:rsidRPr="004E13E9">
        <w:rPr>
          <w:rFonts w:eastAsia="Yu Mincho" w:cs="Times New Roman"/>
          <w:b/>
          <w:bCs/>
          <w:lang w:val="fr-FR" w:eastAsia="fr-FR"/>
        </w:rPr>
        <w:t>.</w:t>
      </w:r>
    </w:p>
    <w:p w14:paraId="3CA51AA5" w14:textId="77777777" w:rsidR="00D70898" w:rsidRPr="004E13E9" w:rsidRDefault="00D70898" w:rsidP="00D70898">
      <w:pPr>
        <w:contextualSpacing/>
        <w:jc w:val="both"/>
        <w:rPr>
          <w:rFonts w:eastAsia="Calibri" w:cs="Times New Roman"/>
          <w:color w:val="000000"/>
          <w:lang w:val="fr-FR" w:bidi="fr-FR"/>
        </w:rPr>
      </w:pPr>
    </w:p>
    <w:p w14:paraId="24FC0722" w14:textId="77777777" w:rsidR="00D70898" w:rsidRPr="004E13E9" w:rsidRDefault="00D70898" w:rsidP="00D70898">
      <w:pPr>
        <w:widowControl w:val="0"/>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Conformément à la directive ministérielle de mise en œuvre, le MoAF a l’intention d’allouer le quota total à chacun des navires autorisés, sur la base de critères nationaux fondés sur les activités et les registres des navires de pêche concernés. Le report automatique de tout quota non utilisé n'est pas autorisé par le MoAF.</w:t>
      </w:r>
    </w:p>
    <w:p w14:paraId="73AA58FF" w14:textId="77777777" w:rsidR="00D70898" w:rsidRPr="004E13E9" w:rsidRDefault="00D70898" w:rsidP="00D70898">
      <w:pPr>
        <w:widowControl w:val="0"/>
        <w:contextualSpacing/>
        <w:jc w:val="both"/>
        <w:rPr>
          <w:rFonts w:eastAsia="Times New Roman" w:cs="Courier New"/>
          <w:lang w:val="fr-FR"/>
        </w:rPr>
      </w:pPr>
    </w:p>
    <w:p w14:paraId="692530EF" w14:textId="77777777" w:rsidR="00D70898" w:rsidRPr="004E13E9" w:rsidRDefault="00D70898" w:rsidP="00D70898">
      <w:pPr>
        <w:widowControl w:val="0"/>
        <w:contextualSpacing/>
        <w:jc w:val="both"/>
        <w:rPr>
          <w:rFonts w:eastAsia="MS Gothic" w:cs="Times New Roman"/>
          <w:color w:val="000000"/>
          <w:lang w:val="fr-FR" w:eastAsia="fr-FR" w:bidi="fr-FR"/>
        </w:rPr>
      </w:pPr>
      <w:r w:rsidRPr="004E13E9">
        <w:rPr>
          <w:rFonts w:eastAsia="Times New Roman" w:cs="Courier New"/>
          <w:lang w:val="fr-FR"/>
        </w:rPr>
        <w:t xml:space="preserve">Compte tenu des tendances de captures pertinentes pour les saisons de pêche précédentes, il est décidé d'allouer un niveau de quota spécifique de 3,5 t à la pêche artisanale, côtière, récréative et sportive, et 12 t aux prises accessoires au titre de </w:t>
      </w:r>
      <w:r w:rsidRPr="004E13E9">
        <w:rPr>
          <w:rFonts w:eastAsia="Calibri" w:cs="Times New Roman"/>
          <w:color w:val="000000"/>
          <w:lang w:val="fr-FR" w:eastAsia="fr-FR" w:bidi="fr-FR"/>
        </w:rPr>
        <w:t>2026</w:t>
      </w:r>
      <w:r w:rsidRPr="004E13E9">
        <w:rPr>
          <w:rFonts w:eastAsia="Times New Roman" w:cs="Courier New"/>
          <w:lang w:val="fr-FR"/>
        </w:rPr>
        <w:t xml:space="preserve">. </w:t>
      </w:r>
      <w:r w:rsidRPr="004E13E9">
        <w:rPr>
          <w:rFonts w:eastAsia="MS Gothic" w:cs="Times New Roman"/>
          <w:color w:val="000000"/>
          <w:lang w:val="fr-FR" w:eastAsia="fr-FR" w:bidi="fr-FR"/>
        </w:rPr>
        <w:t>Toutes les prises accessoires seront déduites du quota total (arrêté ministériel sur les quotas individuels à allouer pour la période 2026-2028).</w:t>
      </w:r>
    </w:p>
    <w:p w14:paraId="52D33C3B" w14:textId="77777777" w:rsidR="00D70898" w:rsidRPr="004E13E9" w:rsidRDefault="00D70898" w:rsidP="00D70898">
      <w:pPr>
        <w:widowControl w:val="0"/>
        <w:jc w:val="both"/>
        <w:rPr>
          <w:rFonts w:eastAsia="MS Gothic" w:cs="Times New Roman"/>
          <w:b/>
          <w:bCs/>
          <w:i/>
          <w:iCs/>
          <w:color w:val="000000"/>
          <w:lang w:val="fr-FR" w:eastAsia="fr-FR" w:bidi="fr-FR"/>
        </w:rPr>
      </w:pPr>
    </w:p>
    <w:p w14:paraId="0CBA837F" w14:textId="77777777" w:rsidR="00D70898" w:rsidRPr="004E13E9" w:rsidRDefault="00D70898" w:rsidP="00D70898">
      <w:pPr>
        <w:widowControl w:val="0"/>
        <w:jc w:val="both"/>
        <w:rPr>
          <w:rFonts w:eastAsia="MS Gothic" w:cs="Times New Roman"/>
          <w:b/>
          <w:bCs/>
          <w:i/>
          <w:iCs/>
          <w:color w:val="000000"/>
          <w:lang w:val="fr-FR" w:eastAsia="fr-FR" w:bidi="fr-FR"/>
        </w:rPr>
      </w:pPr>
      <w:r w:rsidRPr="004E13E9">
        <w:rPr>
          <w:rFonts w:eastAsia="MS Gothic" w:cs="Times New Roman"/>
          <w:b/>
          <w:bCs/>
          <w:i/>
          <w:iCs/>
          <w:color w:val="000000"/>
          <w:lang w:val="fr-FR" w:eastAsia="fr-FR" w:bidi="fr-FR"/>
        </w:rPr>
        <w:t>1 b) Report (paragraphe 6)</w:t>
      </w:r>
    </w:p>
    <w:p w14:paraId="6A534D5D" w14:textId="77777777" w:rsidR="00D70898" w:rsidRPr="004E13E9" w:rsidRDefault="00D70898" w:rsidP="00D70898">
      <w:pPr>
        <w:widowControl w:val="0"/>
        <w:jc w:val="both"/>
        <w:rPr>
          <w:rFonts w:eastAsia="MS Gothic" w:cs="Times New Roman"/>
          <w:color w:val="000000"/>
          <w:sz w:val="8"/>
          <w:szCs w:val="8"/>
          <w:lang w:val="fr-FR" w:eastAsia="fr-FR" w:bidi="fr-FR"/>
        </w:rPr>
      </w:pPr>
    </w:p>
    <w:p w14:paraId="18CBEBC3" w14:textId="77777777" w:rsidR="00D70898" w:rsidRPr="004E13E9" w:rsidRDefault="00D70898" w:rsidP="00D70898">
      <w:pPr>
        <w:widowControl w:val="0"/>
        <w:jc w:val="both"/>
        <w:rPr>
          <w:rFonts w:eastAsia="MS Gothic" w:cs="Times New Roman"/>
          <w:color w:val="000000"/>
          <w:lang w:val="fr-FR" w:eastAsia="fr-FR" w:bidi="fr-FR"/>
        </w:rPr>
      </w:pPr>
      <w:r w:rsidRPr="004E13E9">
        <w:rPr>
          <w:rFonts w:eastAsia="MS Gothic" w:cs="Times New Roman"/>
          <w:color w:val="000000"/>
          <w:lang w:val="fr-FR" w:eastAsia="fr-FR" w:bidi="fr-FR"/>
        </w:rPr>
        <w:t>La Türkiye ne demande pas le report de la sous-consommation de l'année 2025.</w:t>
      </w:r>
    </w:p>
    <w:p w14:paraId="62205ECC" w14:textId="77777777" w:rsidR="00D70898" w:rsidRPr="004E13E9" w:rsidRDefault="00D70898" w:rsidP="00D70898">
      <w:pPr>
        <w:widowControl w:val="0"/>
        <w:jc w:val="both"/>
        <w:rPr>
          <w:rFonts w:eastAsia="MS Gothic" w:cs="Times New Roman"/>
          <w:color w:val="000000"/>
          <w:lang w:val="fr-FR" w:eastAsia="fr-FR" w:bidi="fr-FR"/>
        </w:rPr>
      </w:pPr>
    </w:p>
    <w:p w14:paraId="0EE1927A" w14:textId="77777777" w:rsidR="00D70898" w:rsidRPr="004E13E9" w:rsidRDefault="00D70898" w:rsidP="00D70898">
      <w:pPr>
        <w:widowControl w:val="0"/>
        <w:jc w:val="both"/>
        <w:rPr>
          <w:rFonts w:eastAsia="MS Gothic" w:cs="Times New Roman"/>
          <w:b/>
          <w:bCs/>
          <w:i/>
          <w:iCs/>
          <w:color w:val="000000"/>
          <w:lang w:val="fr-FR" w:eastAsia="fr-FR" w:bidi="fr-FR"/>
        </w:rPr>
      </w:pPr>
      <w:r w:rsidRPr="004E13E9">
        <w:rPr>
          <w:rFonts w:eastAsia="MS Gothic" w:cs="Times New Roman"/>
          <w:b/>
          <w:bCs/>
          <w:i/>
          <w:iCs/>
          <w:color w:val="000000"/>
          <w:lang w:val="fr-FR" w:eastAsia="fr-FR" w:bidi="fr-FR"/>
        </w:rPr>
        <w:t>1 c) Destination de la capture</w:t>
      </w:r>
    </w:p>
    <w:p w14:paraId="7EBD080A" w14:textId="77777777" w:rsidR="00D70898" w:rsidRPr="004E13E9" w:rsidRDefault="00D70898" w:rsidP="00D70898">
      <w:pPr>
        <w:widowControl w:val="0"/>
        <w:jc w:val="both"/>
        <w:rPr>
          <w:rFonts w:eastAsia="MS Gothic" w:cs="Times New Roman"/>
          <w:b/>
          <w:bCs/>
          <w:i/>
          <w:iCs/>
          <w:color w:val="000000"/>
          <w:lang w:val="fr-FR" w:eastAsia="fr-FR" w:bidi="fr-FR"/>
        </w:rPr>
      </w:pPr>
    </w:p>
    <w:p w14:paraId="34EA70E7" w14:textId="77777777" w:rsidR="00D70898" w:rsidRPr="004E13E9" w:rsidRDefault="00D70898" w:rsidP="00D70898">
      <w:pPr>
        <w:rPr>
          <w:rFonts w:eastAsia="Yu Mincho" w:cs="Times New Roman"/>
          <w:iCs/>
          <w:lang w:val="fr-FR"/>
        </w:rPr>
      </w:pPr>
      <w:r w:rsidRPr="004E13E9">
        <w:rPr>
          <w:rFonts w:eastAsia="MS Gothic" w:cs="Times New Roman"/>
          <w:color w:val="000000"/>
          <w:lang w:val="fr-FR" w:eastAsia="fr-FR" w:bidi="fr-FR"/>
        </w:rPr>
        <w:t>Élevage : 3.133,95 t (plus le thon rouge vivant devant être importé)</w:t>
      </w:r>
      <w:r w:rsidRPr="004E13E9">
        <w:rPr>
          <w:rFonts w:eastAsia="Yu Mincho" w:cs="Times New Roman"/>
          <w:iCs/>
          <w:vertAlign w:val="superscript"/>
          <w:lang w:val="fr-FR"/>
        </w:rPr>
        <w:footnoteReference w:id="32"/>
      </w:r>
    </w:p>
    <w:p w14:paraId="20FA1EC5" w14:textId="77777777" w:rsidR="00D70898" w:rsidRPr="004E13E9" w:rsidRDefault="00D70898" w:rsidP="00D70898">
      <w:pPr>
        <w:widowControl w:val="0"/>
        <w:jc w:val="both"/>
        <w:rPr>
          <w:rFonts w:eastAsia="MS Gothic" w:cs="Times New Roman"/>
          <w:color w:val="000000"/>
          <w:lang w:val="fr-FR" w:eastAsia="fr-FR" w:bidi="fr-FR"/>
        </w:rPr>
      </w:pPr>
      <w:r w:rsidRPr="004E13E9">
        <w:rPr>
          <w:rFonts w:eastAsia="MS Gothic" w:cs="Times New Roman"/>
          <w:color w:val="000000"/>
          <w:lang w:val="fr-FR" w:eastAsia="fr-FR" w:bidi="fr-FR"/>
        </w:rPr>
        <w:t>Débarquement : environ 12 t sous forme de prises accessoires de thon rouge + 3,5 t pour les pêcheries artisanales, côtières, récréatives et sportives.</w:t>
      </w:r>
    </w:p>
    <w:p w14:paraId="367B1EAB" w14:textId="77777777" w:rsidR="00D70898" w:rsidRPr="004E13E9" w:rsidRDefault="00D70898" w:rsidP="00D70898">
      <w:pPr>
        <w:widowControl w:val="0"/>
        <w:jc w:val="both"/>
        <w:rPr>
          <w:rFonts w:eastAsia="MS Gothic" w:cs="Times New Roman"/>
          <w:color w:val="000000"/>
          <w:lang w:val="fr-FR" w:eastAsia="fr-FR" w:bidi="fr-FR"/>
        </w:rPr>
      </w:pPr>
    </w:p>
    <w:p w14:paraId="2068DDCE" w14:textId="77777777" w:rsidR="00D70898" w:rsidRPr="004E13E9" w:rsidRDefault="00D70898" w:rsidP="00D70898">
      <w:pPr>
        <w:widowControl w:val="0"/>
        <w:jc w:val="both"/>
        <w:rPr>
          <w:rFonts w:eastAsia="MS Gothic" w:cs="Times New Roman"/>
          <w:b/>
          <w:bCs/>
          <w:i/>
          <w:iCs/>
          <w:color w:val="000000"/>
          <w:lang w:val="fr-FR" w:eastAsia="fr-FR" w:bidi="fr-FR"/>
        </w:rPr>
      </w:pPr>
      <w:r w:rsidRPr="004E13E9">
        <w:rPr>
          <w:rFonts w:eastAsia="MS Gothic" w:cs="Times New Roman"/>
          <w:b/>
          <w:bCs/>
          <w:i/>
          <w:iCs/>
          <w:color w:val="000000"/>
          <w:lang w:val="fr-FR" w:eastAsia="fr-FR" w:bidi="fr-FR"/>
        </w:rPr>
        <w:t xml:space="preserve">1d) </w:t>
      </w:r>
    </w:p>
    <w:tbl>
      <w:tblPr>
        <w:tblStyle w:val="TableGrid"/>
        <w:tblW w:w="0" w:type="auto"/>
        <w:tblLayout w:type="fixed"/>
        <w:tblLook w:val="04A0" w:firstRow="1" w:lastRow="0" w:firstColumn="1" w:lastColumn="0" w:noHBand="0" w:noVBand="1"/>
      </w:tblPr>
      <w:tblGrid>
        <w:gridCol w:w="453"/>
        <w:gridCol w:w="1952"/>
        <w:gridCol w:w="3544"/>
        <w:gridCol w:w="2693"/>
        <w:gridCol w:w="418"/>
      </w:tblGrid>
      <w:tr w:rsidR="00EE4787" w:rsidRPr="004E13E9" w14:paraId="21C291B0" w14:textId="77777777" w:rsidTr="00EE4787">
        <w:tc>
          <w:tcPr>
            <w:tcW w:w="453" w:type="dxa"/>
            <w:vAlign w:val="center"/>
          </w:tcPr>
          <w:p w14:paraId="7211DED5" w14:textId="77777777" w:rsidR="00D70898" w:rsidRPr="004E13E9" w:rsidRDefault="00D70898" w:rsidP="00D70898">
            <w:pPr>
              <w:widowControl w:val="0"/>
              <w:jc w:val="center"/>
              <w:rPr>
                <w:rFonts w:ascii="Cambria" w:hAnsi="Cambria"/>
                <w:b/>
                <w:bCs/>
                <w:sz w:val="20"/>
                <w:szCs w:val="20"/>
              </w:rPr>
            </w:pPr>
          </w:p>
          <w:p w14:paraId="329E77A8" w14:textId="77777777" w:rsidR="00D70898" w:rsidRPr="004E13E9" w:rsidRDefault="00D70898" w:rsidP="00D70898">
            <w:pPr>
              <w:widowControl w:val="0"/>
              <w:contextualSpacing/>
              <w:jc w:val="center"/>
              <w:rPr>
                <w:rFonts w:ascii="Cambria" w:hAnsi="Cambria"/>
                <w:b/>
                <w:bCs/>
                <w:sz w:val="20"/>
                <w:szCs w:val="20"/>
              </w:rPr>
            </w:pPr>
          </w:p>
        </w:tc>
        <w:tc>
          <w:tcPr>
            <w:tcW w:w="1952" w:type="dxa"/>
            <w:vAlign w:val="center"/>
          </w:tcPr>
          <w:p w14:paraId="04613FA0" w14:textId="77777777" w:rsidR="00D70898" w:rsidRPr="004E13E9" w:rsidRDefault="00D70898" w:rsidP="00D70898">
            <w:pPr>
              <w:widowControl w:val="0"/>
              <w:contextualSpacing/>
              <w:jc w:val="center"/>
              <w:rPr>
                <w:rFonts w:ascii="Cambria" w:hAnsi="Cambria"/>
                <w:i/>
                <w:sz w:val="20"/>
                <w:szCs w:val="20"/>
              </w:rPr>
            </w:pPr>
            <w:r w:rsidRPr="004E13E9">
              <w:rPr>
                <w:rFonts w:ascii="Cambria" w:hAnsi="Cambria"/>
                <w:i/>
                <w:sz w:val="20"/>
                <w:szCs w:val="20"/>
              </w:rPr>
              <w:t xml:space="preserve">Exigence de l’ICCAT (en vertu de la </w:t>
            </w:r>
            <w:hyperlink r:id="rId197" w:history="1">
              <w:r w:rsidRPr="004E13E9">
                <w:rPr>
                  <w:rFonts w:ascii="Cambria" w:hAnsi="Cambria"/>
                  <w:i/>
                  <w:color w:val="0563C1"/>
                  <w:sz w:val="20"/>
                  <w:szCs w:val="20"/>
                </w:rPr>
                <w:t>Rec. 25-04</w:t>
              </w:r>
            </w:hyperlink>
            <w:r w:rsidRPr="004E13E9">
              <w:rPr>
                <w:rFonts w:ascii="Cambria" w:hAnsi="Cambria"/>
                <w:i/>
                <w:sz w:val="20"/>
                <w:szCs w:val="20"/>
              </w:rPr>
              <w:t>)</w:t>
            </w:r>
          </w:p>
        </w:tc>
        <w:tc>
          <w:tcPr>
            <w:tcW w:w="3544" w:type="dxa"/>
            <w:vAlign w:val="center"/>
          </w:tcPr>
          <w:p w14:paraId="21D29D91" w14:textId="77777777" w:rsidR="00D70898" w:rsidRPr="004E13E9" w:rsidRDefault="00D70898" w:rsidP="00D70898">
            <w:pPr>
              <w:widowControl w:val="0"/>
              <w:contextualSpacing/>
              <w:jc w:val="center"/>
              <w:rPr>
                <w:rFonts w:ascii="Cambria" w:hAnsi="Cambria"/>
                <w:i/>
                <w:sz w:val="20"/>
                <w:szCs w:val="20"/>
              </w:rPr>
            </w:pPr>
            <w:r w:rsidRPr="004E13E9">
              <w:rPr>
                <w:rFonts w:ascii="Cambria" w:hAnsi="Cambria"/>
                <w:i/>
                <w:sz w:val="20"/>
                <w:szCs w:val="20"/>
              </w:rPr>
              <w:t>Explication des mesures prises par la CPC à des fins de mise en œuvre</w:t>
            </w:r>
          </w:p>
        </w:tc>
        <w:tc>
          <w:tcPr>
            <w:tcW w:w="2693" w:type="dxa"/>
            <w:vAlign w:val="center"/>
          </w:tcPr>
          <w:p w14:paraId="27F37F3F" w14:textId="77777777" w:rsidR="00D70898" w:rsidRPr="004E13E9" w:rsidRDefault="00D70898" w:rsidP="00D70898">
            <w:pPr>
              <w:widowControl w:val="0"/>
              <w:contextualSpacing/>
              <w:jc w:val="center"/>
              <w:rPr>
                <w:rFonts w:ascii="Cambria" w:hAnsi="Cambria"/>
                <w:i/>
                <w:sz w:val="20"/>
                <w:szCs w:val="20"/>
              </w:rPr>
            </w:pPr>
            <w:r w:rsidRPr="004E13E9">
              <w:rPr>
                <w:rFonts w:ascii="Cambria" w:hAnsi="Cambria"/>
                <w:i/>
                <w:sz w:val="20"/>
                <w:szCs w:val="20"/>
              </w:rPr>
              <w:t>Lois ou réglementations nationales pertinentes (le cas échéant)</w:t>
            </w:r>
          </w:p>
        </w:tc>
        <w:tc>
          <w:tcPr>
            <w:tcW w:w="418" w:type="dxa"/>
            <w:vAlign w:val="center"/>
          </w:tcPr>
          <w:p w14:paraId="436556DF" w14:textId="77777777" w:rsidR="00D70898" w:rsidRPr="004E13E9" w:rsidRDefault="00D70898" w:rsidP="00D70898">
            <w:pPr>
              <w:widowControl w:val="0"/>
              <w:contextualSpacing/>
              <w:jc w:val="center"/>
              <w:rPr>
                <w:rFonts w:ascii="Cambria" w:hAnsi="Cambria"/>
                <w:i/>
                <w:sz w:val="20"/>
                <w:szCs w:val="20"/>
              </w:rPr>
            </w:pPr>
            <w:r w:rsidRPr="004E13E9">
              <w:rPr>
                <w:rFonts w:ascii="Cambria" w:hAnsi="Cambria"/>
                <w:i/>
                <w:sz w:val="20"/>
                <w:szCs w:val="20"/>
              </w:rPr>
              <w:t>Note</w:t>
            </w:r>
          </w:p>
        </w:tc>
      </w:tr>
      <w:tr w:rsidR="00EE4787" w:rsidRPr="00C5533C" w14:paraId="30C6BB78" w14:textId="77777777" w:rsidTr="00EE4787">
        <w:tc>
          <w:tcPr>
            <w:tcW w:w="453" w:type="dxa"/>
          </w:tcPr>
          <w:p w14:paraId="405BDD43"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1</w:t>
            </w:r>
          </w:p>
        </w:tc>
        <w:tc>
          <w:tcPr>
            <w:tcW w:w="1952" w:type="dxa"/>
          </w:tcPr>
          <w:p w14:paraId="1F442264"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Enregistrement et déclaration de la capture (paragraphes 74-88)</w:t>
            </w:r>
          </w:p>
        </w:tc>
        <w:tc>
          <w:tcPr>
            <w:tcW w:w="3544" w:type="dxa"/>
          </w:tcPr>
          <w:p w14:paraId="13E82202"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 xml:space="preserve">Les exigences en matière d'enregistrement/déclaration seront mises en œuvre conformément aux paragraphes 74-88 de la Rec. </w:t>
            </w:r>
            <w:r w:rsidRPr="004E13E9">
              <w:rPr>
                <w:rFonts w:ascii="Cambria" w:eastAsia="Calibri" w:hAnsi="Cambria"/>
                <w:sz w:val="20"/>
                <w:szCs w:val="20"/>
              </w:rPr>
              <w:t>25-04</w:t>
            </w:r>
            <w:r w:rsidRPr="004E13E9">
              <w:rPr>
                <w:rFonts w:ascii="Cambria" w:hAnsi="Cambria"/>
                <w:sz w:val="20"/>
                <w:szCs w:val="20"/>
              </w:rPr>
              <w:t>.</w:t>
            </w:r>
          </w:p>
          <w:p w14:paraId="4B6D6BBC" w14:textId="77777777" w:rsidR="00D70898" w:rsidRPr="004E13E9" w:rsidRDefault="00D70898" w:rsidP="00D70898">
            <w:pPr>
              <w:widowControl w:val="0"/>
              <w:contextualSpacing/>
              <w:jc w:val="both"/>
              <w:rPr>
                <w:rFonts w:ascii="Cambria" w:hAnsi="Cambria"/>
                <w:sz w:val="8"/>
                <w:szCs w:val="8"/>
              </w:rPr>
            </w:pPr>
          </w:p>
          <w:p w14:paraId="3FCAF04D" w14:textId="77777777" w:rsidR="00D70898" w:rsidRPr="004E13E9" w:rsidRDefault="00D70898" w:rsidP="00D70898">
            <w:pPr>
              <w:autoSpaceDE w:val="0"/>
              <w:autoSpaceDN w:val="0"/>
              <w:adjustRightInd w:val="0"/>
              <w:contextualSpacing/>
              <w:jc w:val="both"/>
              <w:rPr>
                <w:rFonts w:ascii="Cambria" w:hAnsi="Cambria"/>
                <w:sz w:val="20"/>
                <w:szCs w:val="20"/>
              </w:rPr>
            </w:pPr>
            <w:r w:rsidRPr="004E13E9">
              <w:rPr>
                <w:rFonts w:ascii="Cambria" w:hAnsi="Cambria" w:cs="Cambria"/>
                <w:sz w:val="20"/>
                <w:szCs w:val="20"/>
              </w:rPr>
              <w:t>Les carnets de pêche reliés et les carnets de pêche électroniques devront tous deux être utilisés pour consigner les données de capture.</w:t>
            </w:r>
            <w:r w:rsidRPr="004E13E9">
              <w:rPr>
                <w:rFonts w:ascii="Cambria" w:hAnsi="Cambria"/>
                <w:sz w:val="20"/>
                <w:szCs w:val="20"/>
              </w:rPr>
              <w:t xml:space="preserve"> </w:t>
            </w:r>
            <w:r w:rsidRPr="004E13E9">
              <w:rPr>
                <w:rFonts w:ascii="Cambria" w:hAnsi="Cambria" w:cs="Cambria"/>
                <w:sz w:val="20"/>
                <w:szCs w:val="20"/>
              </w:rPr>
              <w:t>Les poissons morts (conservés ou rejetés) seront comptabilisés sur le quota.</w:t>
            </w:r>
          </w:p>
        </w:tc>
        <w:tc>
          <w:tcPr>
            <w:tcW w:w="2693" w:type="dxa"/>
          </w:tcPr>
          <w:p w14:paraId="67718E1D"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Circulaire ministérielle concernant la pêche, l'élevage et le commerce du thon rouge de l'Est (Articles 9, 11, 13 et 21 Annexe 13/1)</w:t>
            </w:r>
          </w:p>
          <w:p w14:paraId="0A65EE11" w14:textId="77777777" w:rsidR="00D70898" w:rsidRPr="004E13E9" w:rsidRDefault="00D70898" w:rsidP="00D70898">
            <w:pPr>
              <w:widowControl w:val="0"/>
              <w:contextualSpacing/>
              <w:jc w:val="both"/>
              <w:rPr>
                <w:rFonts w:ascii="Cambria" w:hAnsi="Cambria"/>
                <w:sz w:val="20"/>
                <w:szCs w:val="20"/>
              </w:rPr>
            </w:pPr>
          </w:p>
          <w:p w14:paraId="036ABB80"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Article 9 et annexe 17/2 de la Circulaire ministérielle concernant la pêche et l'élevage du thon rouge de l’Est pour l'enregistrement des poissons morts.</w:t>
            </w:r>
          </w:p>
        </w:tc>
        <w:tc>
          <w:tcPr>
            <w:tcW w:w="418" w:type="dxa"/>
          </w:tcPr>
          <w:p w14:paraId="30A7CF41" w14:textId="77777777" w:rsidR="00D70898" w:rsidRPr="004E13E9" w:rsidRDefault="00D70898" w:rsidP="00D70898">
            <w:pPr>
              <w:widowControl w:val="0"/>
              <w:contextualSpacing/>
              <w:rPr>
                <w:rFonts w:ascii="Cambria" w:hAnsi="Cambria"/>
                <w:sz w:val="20"/>
                <w:szCs w:val="20"/>
              </w:rPr>
            </w:pPr>
          </w:p>
        </w:tc>
      </w:tr>
      <w:tr w:rsidR="00EE4787" w:rsidRPr="00C5533C" w14:paraId="715B151F" w14:textId="77777777" w:rsidTr="00EE4787">
        <w:trPr>
          <w:trHeight w:val="699"/>
        </w:trPr>
        <w:tc>
          <w:tcPr>
            <w:tcW w:w="453" w:type="dxa"/>
          </w:tcPr>
          <w:p w14:paraId="5312AFAD"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2</w:t>
            </w:r>
          </w:p>
        </w:tc>
        <w:tc>
          <w:tcPr>
            <w:tcW w:w="1952" w:type="dxa"/>
          </w:tcPr>
          <w:p w14:paraId="0EEA6BD3"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Périodes d’ouverture de la pêche (paragraphes 28-32)</w:t>
            </w:r>
          </w:p>
        </w:tc>
        <w:tc>
          <w:tcPr>
            <w:tcW w:w="3544" w:type="dxa"/>
          </w:tcPr>
          <w:p w14:paraId="52372750"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 xml:space="preserve">Les paragraphes 28 à 32 de la Rec. </w:t>
            </w:r>
            <w:r w:rsidRPr="004E13E9">
              <w:rPr>
                <w:rFonts w:ascii="Cambria" w:eastAsia="Calibri" w:hAnsi="Cambria"/>
                <w:sz w:val="20"/>
                <w:szCs w:val="20"/>
              </w:rPr>
              <w:t>25-04</w:t>
            </w:r>
            <w:r w:rsidRPr="004E13E9">
              <w:rPr>
                <w:rFonts w:ascii="Cambria" w:hAnsi="Cambria"/>
                <w:sz w:val="20"/>
                <w:szCs w:val="20"/>
              </w:rPr>
              <w:t xml:space="preserve"> doivent être mis en œuvre comme requis.</w:t>
            </w:r>
          </w:p>
          <w:p w14:paraId="28EC019B" w14:textId="77777777" w:rsidR="00D70898" w:rsidRPr="004E13E9" w:rsidRDefault="00D70898" w:rsidP="00D70898">
            <w:pPr>
              <w:widowControl w:val="0"/>
              <w:contextualSpacing/>
              <w:jc w:val="both"/>
              <w:rPr>
                <w:rFonts w:ascii="Cambria" w:hAnsi="Cambria"/>
                <w:sz w:val="20"/>
                <w:szCs w:val="20"/>
              </w:rPr>
            </w:pPr>
          </w:p>
          <w:p w14:paraId="01064D1C"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 xml:space="preserve">La Türkiye demande l'application de la dérogation du paragraphe 28 de la Rec. </w:t>
            </w:r>
            <w:r w:rsidRPr="004E13E9">
              <w:rPr>
                <w:rFonts w:ascii="Cambria" w:eastAsia="Calibri" w:hAnsi="Cambria"/>
                <w:sz w:val="20"/>
                <w:szCs w:val="20"/>
              </w:rPr>
              <w:t>25-04</w:t>
            </w:r>
            <w:r w:rsidRPr="004E13E9">
              <w:rPr>
                <w:rFonts w:ascii="Cambria" w:hAnsi="Cambria"/>
                <w:sz w:val="20"/>
                <w:szCs w:val="20"/>
              </w:rPr>
              <w:t xml:space="preserve"> pour la période d’ouverture en Méditerranée orientale, comme suit :</w:t>
            </w:r>
          </w:p>
          <w:p w14:paraId="69C8EEAE" w14:textId="77777777" w:rsidR="00D70898" w:rsidRPr="004E13E9" w:rsidRDefault="00D70898" w:rsidP="00D70898">
            <w:pPr>
              <w:widowControl w:val="0"/>
              <w:contextualSpacing/>
              <w:jc w:val="both"/>
              <w:rPr>
                <w:rFonts w:ascii="Cambria" w:hAnsi="Cambria"/>
                <w:sz w:val="20"/>
                <w:szCs w:val="20"/>
              </w:rPr>
            </w:pPr>
          </w:p>
          <w:p w14:paraId="5C797C4D"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La pêche de thon rouge de l'Est par les senneurs sera autorisée pour la période allant du 15 mai au 1</w:t>
            </w:r>
            <w:r w:rsidRPr="004E13E9">
              <w:rPr>
                <w:rFonts w:ascii="Cambria" w:hAnsi="Cambria"/>
                <w:sz w:val="20"/>
                <w:szCs w:val="20"/>
                <w:vertAlign w:val="superscript"/>
              </w:rPr>
              <w:t>er</w:t>
            </w:r>
            <w:r w:rsidRPr="004E13E9">
              <w:rPr>
                <w:rFonts w:ascii="Cambria" w:hAnsi="Cambria"/>
                <w:sz w:val="20"/>
                <w:szCs w:val="20"/>
              </w:rPr>
              <w:t xml:space="preserve"> juillet dans la Méditerranée orientale (pour les zones de pêche 37.3.1. et 37.3.2).</w:t>
            </w:r>
          </w:p>
          <w:p w14:paraId="3BA27B47" w14:textId="77777777" w:rsidR="00D70898" w:rsidRPr="004E13E9" w:rsidRDefault="00D70898" w:rsidP="00D70898">
            <w:pPr>
              <w:widowControl w:val="0"/>
              <w:contextualSpacing/>
              <w:jc w:val="both"/>
              <w:rPr>
                <w:rFonts w:ascii="Cambria" w:hAnsi="Cambria"/>
                <w:sz w:val="20"/>
                <w:szCs w:val="20"/>
              </w:rPr>
            </w:pPr>
          </w:p>
          <w:p w14:paraId="79303074" w14:textId="119BFD26" w:rsidR="00D70898" w:rsidRPr="004E13E9" w:rsidRDefault="00D70898" w:rsidP="00EE4787">
            <w:pPr>
              <w:widowControl w:val="0"/>
              <w:contextualSpacing/>
              <w:jc w:val="both"/>
              <w:rPr>
                <w:rFonts w:ascii="Cambria" w:hAnsi="Cambria"/>
                <w:sz w:val="20"/>
                <w:szCs w:val="20"/>
              </w:rPr>
            </w:pPr>
            <w:r w:rsidRPr="004E13E9">
              <w:rPr>
                <w:rFonts w:ascii="Cambria" w:hAnsi="Cambria"/>
                <w:sz w:val="20"/>
                <w:szCs w:val="20"/>
              </w:rPr>
              <w:t xml:space="preserve">Il est prévu que certains opérateurs de pêche BFT-E préfèrent mener des activités de pêche conformément à la Rec. </w:t>
            </w:r>
            <w:r w:rsidRPr="004E13E9">
              <w:rPr>
                <w:rFonts w:ascii="Cambria" w:eastAsia="Calibri" w:hAnsi="Cambria"/>
                <w:sz w:val="20"/>
                <w:szCs w:val="20"/>
              </w:rPr>
              <w:t>25-04</w:t>
            </w:r>
            <w:r w:rsidRPr="004E13E9">
              <w:rPr>
                <w:rFonts w:ascii="Cambria" w:hAnsi="Cambria"/>
                <w:sz w:val="20"/>
                <w:szCs w:val="20"/>
              </w:rPr>
              <w:t xml:space="preserve"> en haute mer dans la Méditerranée (éventuellement dans la zone 37.2) pendant la période du 19 mai au 1er juillet.</w:t>
            </w:r>
          </w:p>
        </w:tc>
        <w:tc>
          <w:tcPr>
            <w:tcW w:w="2693" w:type="dxa"/>
          </w:tcPr>
          <w:p w14:paraId="48BFD9B0"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Circulaire ministérielle concernant la pêche, l'élevage et le commerce du thon rouge de l'Est (article 4).</w:t>
            </w:r>
          </w:p>
        </w:tc>
        <w:tc>
          <w:tcPr>
            <w:tcW w:w="418" w:type="dxa"/>
          </w:tcPr>
          <w:p w14:paraId="030EFF0C" w14:textId="77777777" w:rsidR="00D70898" w:rsidRPr="004E13E9" w:rsidRDefault="00D70898" w:rsidP="00D70898">
            <w:pPr>
              <w:widowControl w:val="0"/>
              <w:contextualSpacing/>
              <w:rPr>
                <w:rFonts w:ascii="Cambria" w:hAnsi="Cambria"/>
                <w:sz w:val="20"/>
                <w:szCs w:val="20"/>
              </w:rPr>
            </w:pPr>
          </w:p>
        </w:tc>
      </w:tr>
      <w:tr w:rsidR="00EE4787" w:rsidRPr="00C5533C" w14:paraId="14AF8A8B" w14:textId="77777777" w:rsidTr="00EE4787">
        <w:tc>
          <w:tcPr>
            <w:tcW w:w="453" w:type="dxa"/>
          </w:tcPr>
          <w:p w14:paraId="4E463515"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3</w:t>
            </w:r>
          </w:p>
        </w:tc>
        <w:tc>
          <w:tcPr>
            <w:tcW w:w="1952" w:type="dxa"/>
          </w:tcPr>
          <w:p w14:paraId="766F49E8"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Taille minimale</w:t>
            </w:r>
          </w:p>
          <w:p w14:paraId="26733CF9"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(paragraphes 33-35)</w:t>
            </w:r>
          </w:p>
        </w:tc>
        <w:tc>
          <w:tcPr>
            <w:tcW w:w="3544" w:type="dxa"/>
          </w:tcPr>
          <w:p w14:paraId="2DF6E151"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 xml:space="preserve">Les paragraphes 33 à 35 de la Rec. </w:t>
            </w:r>
            <w:r w:rsidRPr="004E13E9">
              <w:rPr>
                <w:rFonts w:ascii="Cambria" w:eastAsia="Calibri" w:hAnsi="Cambria"/>
                <w:sz w:val="20"/>
                <w:szCs w:val="20"/>
              </w:rPr>
              <w:t>25-04</w:t>
            </w:r>
            <w:r w:rsidRPr="004E13E9">
              <w:rPr>
                <w:rFonts w:ascii="Cambria" w:hAnsi="Cambria"/>
                <w:sz w:val="20"/>
                <w:szCs w:val="20"/>
              </w:rPr>
              <w:t xml:space="preserve"> doivent être mis en œuvre comme requis.</w:t>
            </w:r>
          </w:p>
          <w:p w14:paraId="732EB77D" w14:textId="77777777" w:rsidR="00D70898" w:rsidRPr="004E13E9" w:rsidRDefault="00D70898" w:rsidP="00D70898">
            <w:pPr>
              <w:widowControl w:val="0"/>
              <w:contextualSpacing/>
              <w:jc w:val="both"/>
              <w:rPr>
                <w:rFonts w:ascii="Cambria" w:hAnsi="Cambria"/>
                <w:sz w:val="20"/>
                <w:szCs w:val="20"/>
              </w:rPr>
            </w:pPr>
          </w:p>
          <w:p w14:paraId="62423929" w14:textId="77777777" w:rsidR="00D70898" w:rsidRPr="004E13E9" w:rsidRDefault="00D70898" w:rsidP="00D70898">
            <w:pPr>
              <w:widowControl w:val="0"/>
              <w:contextualSpacing/>
              <w:jc w:val="both"/>
              <w:rPr>
                <w:rFonts w:ascii="Cambria" w:hAnsi="Cambria"/>
                <w:sz w:val="20"/>
                <w:szCs w:val="20"/>
              </w:rPr>
            </w:pPr>
            <w:r w:rsidRPr="004E13E9">
              <w:rPr>
                <w:rFonts w:ascii="Cambria" w:eastAsia="Cambria" w:hAnsi="Cambria" w:cs="Cambria"/>
                <w:sz w:val="20"/>
                <w:szCs w:val="20"/>
              </w:rPr>
              <w:t>La capture, la conservation à bord, le transbordement, le transfert, le débarquement, le transport, le stockage, la vente, l’exposition ou la proposition de vente de thon rouge d’un poids inférieur à 30 kg ou d’une longueur à la fourche de moins de 115 cm sont interdits.</w:t>
            </w:r>
          </w:p>
          <w:p w14:paraId="2197B263" w14:textId="77777777" w:rsidR="00D70898" w:rsidRPr="004E13E9" w:rsidRDefault="00D70898" w:rsidP="00D70898">
            <w:pPr>
              <w:widowControl w:val="0"/>
              <w:contextualSpacing/>
              <w:jc w:val="both"/>
              <w:rPr>
                <w:rFonts w:ascii="Cambria" w:hAnsi="Cambria"/>
                <w:sz w:val="20"/>
                <w:szCs w:val="20"/>
              </w:rPr>
            </w:pPr>
          </w:p>
          <w:p w14:paraId="53A3474C"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Les prises accessoires de thon rouge inférieurs à la taille et au poids tolérés ou supérieurs à la limite susmentionnée doivent être remis à l’eau. Les spécimens morts et sous taille devront être jetés en mer et déduits du quota de la Türkiye.</w:t>
            </w:r>
          </w:p>
        </w:tc>
        <w:tc>
          <w:tcPr>
            <w:tcW w:w="2693" w:type="dxa"/>
          </w:tcPr>
          <w:p w14:paraId="39F30574"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Notification nº6/1 réglementant les pêcheries commerciales (articles 17 et 18) / Circulaire sur la pêche, l'élevage et le commerce du thon rouge de l'Est (article 11(6), annexe 13).</w:t>
            </w:r>
          </w:p>
        </w:tc>
        <w:tc>
          <w:tcPr>
            <w:tcW w:w="418" w:type="dxa"/>
          </w:tcPr>
          <w:p w14:paraId="3B24FA9F" w14:textId="77777777" w:rsidR="00D70898" w:rsidRPr="004E13E9" w:rsidRDefault="00D70898" w:rsidP="00D70898">
            <w:pPr>
              <w:widowControl w:val="0"/>
              <w:contextualSpacing/>
              <w:rPr>
                <w:rFonts w:ascii="Cambria" w:hAnsi="Cambria"/>
                <w:sz w:val="20"/>
                <w:szCs w:val="20"/>
              </w:rPr>
            </w:pPr>
          </w:p>
        </w:tc>
      </w:tr>
      <w:tr w:rsidR="00EE4787" w:rsidRPr="00C5533C" w14:paraId="54F6704F" w14:textId="77777777" w:rsidTr="00EE4787">
        <w:tc>
          <w:tcPr>
            <w:tcW w:w="453" w:type="dxa"/>
          </w:tcPr>
          <w:p w14:paraId="2D62B5BD"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4</w:t>
            </w:r>
          </w:p>
        </w:tc>
        <w:tc>
          <w:tcPr>
            <w:tcW w:w="1952" w:type="dxa"/>
          </w:tcPr>
          <w:p w14:paraId="3EE2D2D3"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Prises accessoires (paragraphe 37)</w:t>
            </w:r>
          </w:p>
        </w:tc>
        <w:tc>
          <w:tcPr>
            <w:tcW w:w="3544" w:type="dxa"/>
          </w:tcPr>
          <w:p w14:paraId="1EBEC737"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 xml:space="preserve">Le paragraphe 37 de la Rec. </w:t>
            </w:r>
            <w:r w:rsidRPr="004E13E9">
              <w:rPr>
                <w:rFonts w:ascii="Cambria" w:eastAsia="Calibri" w:hAnsi="Cambria"/>
                <w:sz w:val="20"/>
                <w:szCs w:val="20"/>
              </w:rPr>
              <w:t>25-04</w:t>
            </w:r>
            <w:r w:rsidRPr="004E13E9">
              <w:rPr>
                <w:rFonts w:ascii="Cambria" w:hAnsi="Cambria"/>
                <w:sz w:val="20"/>
                <w:szCs w:val="20"/>
              </w:rPr>
              <w:t xml:space="preserve"> doit être mis en œuvre comme requis.</w:t>
            </w:r>
          </w:p>
          <w:p w14:paraId="17ED454D" w14:textId="77777777" w:rsidR="00D70898" w:rsidRPr="004E13E9" w:rsidRDefault="00D70898" w:rsidP="00D70898">
            <w:pPr>
              <w:widowControl w:val="0"/>
              <w:contextualSpacing/>
              <w:jc w:val="both"/>
              <w:rPr>
                <w:rFonts w:ascii="Cambria" w:hAnsi="Cambria"/>
                <w:sz w:val="20"/>
                <w:szCs w:val="20"/>
              </w:rPr>
            </w:pPr>
          </w:p>
          <w:p w14:paraId="048856EB" w14:textId="77777777" w:rsidR="00D70898" w:rsidRPr="004E13E9" w:rsidRDefault="00D70898" w:rsidP="00D70898">
            <w:pPr>
              <w:widowControl w:val="0"/>
              <w:contextualSpacing/>
              <w:jc w:val="both"/>
              <w:rPr>
                <w:rFonts w:ascii="Cambria" w:eastAsia="Times New Roman" w:hAnsi="Cambria" w:cs="Courier New"/>
                <w:sz w:val="20"/>
                <w:szCs w:val="20"/>
              </w:rPr>
            </w:pPr>
            <w:r w:rsidRPr="004E13E9">
              <w:rPr>
                <w:rFonts w:ascii="Cambria" w:eastAsia="Times New Roman" w:hAnsi="Cambria" w:cs="Courier New"/>
                <w:sz w:val="20"/>
                <w:szCs w:val="20"/>
              </w:rPr>
              <w:t xml:space="preserve">Un quota spécifique de 12 t </w:t>
            </w:r>
            <w:r w:rsidRPr="004E13E9">
              <w:rPr>
                <w:rFonts w:ascii="Cambria" w:hAnsi="Cambria"/>
                <w:sz w:val="20"/>
                <w:szCs w:val="20"/>
              </w:rPr>
              <w:t>(0,4%) s</w:t>
            </w:r>
            <w:r w:rsidRPr="004E13E9">
              <w:rPr>
                <w:rFonts w:ascii="Cambria" w:eastAsia="Times New Roman" w:hAnsi="Cambria" w:cs="Courier New"/>
                <w:sz w:val="20"/>
                <w:szCs w:val="20"/>
              </w:rPr>
              <w:t>era alloué aux prises accessoires au titre de 2026.</w:t>
            </w:r>
          </w:p>
          <w:p w14:paraId="7D7B34D5" w14:textId="77777777" w:rsidR="00D70898" w:rsidRPr="004E13E9" w:rsidRDefault="00D70898" w:rsidP="00D70898">
            <w:pPr>
              <w:widowControl w:val="0"/>
              <w:contextualSpacing/>
              <w:jc w:val="both"/>
              <w:rPr>
                <w:rFonts w:ascii="Cambria" w:eastAsia="Times New Roman" w:hAnsi="Cambria" w:cs="Courier New"/>
                <w:sz w:val="20"/>
                <w:szCs w:val="20"/>
              </w:rPr>
            </w:pPr>
          </w:p>
          <w:p w14:paraId="7AA6C9CF" w14:textId="77777777" w:rsidR="00D70898" w:rsidRPr="004E13E9" w:rsidRDefault="00D70898" w:rsidP="00D70898">
            <w:pPr>
              <w:rPr>
                <w:rFonts w:ascii="Cambria" w:eastAsia="Times New Roman" w:hAnsi="Cambria" w:cs="Courier New"/>
                <w:sz w:val="20"/>
                <w:szCs w:val="20"/>
              </w:rPr>
            </w:pPr>
            <w:r w:rsidRPr="004E13E9">
              <w:rPr>
                <w:rFonts w:ascii="Cambria" w:eastAsia="Times New Roman" w:hAnsi="Cambria" w:cs="Courier New"/>
                <w:sz w:val="20"/>
                <w:szCs w:val="20"/>
              </w:rPr>
              <w:t>Niveau des captures accessoires en :</w:t>
            </w:r>
          </w:p>
          <w:p w14:paraId="6B9902E8" w14:textId="77777777" w:rsidR="00D70898" w:rsidRPr="004E13E9" w:rsidRDefault="00D70898" w:rsidP="00D70898">
            <w:pPr>
              <w:rPr>
                <w:rFonts w:ascii="Cambria" w:hAnsi="Cambria"/>
                <w:sz w:val="20"/>
                <w:szCs w:val="20"/>
              </w:rPr>
            </w:pPr>
            <w:r w:rsidRPr="004E13E9">
              <w:rPr>
                <w:rFonts w:ascii="Cambria" w:hAnsi="Cambria"/>
                <w:sz w:val="20"/>
                <w:szCs w:val="20"/>
              </w:rPr>
              <w:t>2025 = 10 t, 0,4 %</w:t>
            </w:r>
          </w:p>
          <w:p w14:paraId="68117018" w14:textId="77777777" w:rsidR="00D70898" w:rsidRPr="004E13E9" w:rsidRDefault="00D70898" w:rsidP="00D70898">
            <w:pPr>
              <w:rPr>
                <w:rFonts w:ascii="Cambria" w:hAnsi="Cambria"/>
                <w:sz w:val="20"/>
                <w:szCs w:val="20"/>
              </w:rPr>
            </w:pPr>
            <w:r w:rsidRPr="004E13E9">
              <w:rPr>
                <w:rFonts w:ascii="Cambria" w:hAnsi="Cambria"/>
                <w:sz w:val="20"/>
                <w:szCs w:val="20"/>
              </w:rPr>
              <w:t>2024 = 10 t, 0,4 %</w:t>
            </w:r>
          </w:p>
          <w:p w14:paraId="000645A1" w14:textId="77777777" w:rsidR="00D70898" w:rsidRPr="004E13E9" w:rsidRDefault="00D70898" w:rsidP="00D70898">
            <w:pPr>
              <w:rPr>
                <w:rFonts w:ascii="Cambria" w:hAnsi="Cambria"/>
                <w:sz w:val="20"/>
                <w:szCs w:val="20"/>
              </w:rPr>
            </w:pPr>
            <w:r w:rsidRPr="004E13E9">
              <w:rPr>
                <w:rFonts w:ascii="Cambria" w:hAnsi="Cambria"/>
                <w:sz w:val="20"/>
                <w:szCs w:val="20"/>
              </w:rPr>
              <w:t>2023 = 9 t, 0,4 %</w:t>
            </w:r>
          </w:p>
          <w:p w14:paraId="0BA9DD1A" w14:textId="77777777" w:rsidR="00D70898" w:rsidRPr="004E13E9" w:rsidRDefault="00D70898" w:rsidP="00D70898">
            <w:pPr>
              <w:rPr>
                <w:rFonts w:ascii="Cambria" w:hAnsi="Cambria"/>
                <w:sz w:val="20"/>
                <w:szCs w:val="20"/>
              </w:rPr>
            </w:pPr>
            <w:r w:rsidRPr="004E13E9">
              <w:rPr>
                <w:rFonts w:ascii="Cambria" w:hAnsi="Cambria"/>
                <w:sz w:val="20"/>
                <w:szCs w:val="20"/>
              </w:rPr>
              <w:t>2022 =2,8 t, 0,1 %</w:t>
            </w:r>
          </w:p>
          <w:p w14:paraId="0E93D6FC" w14:textId="77777777" w:rsidR="00D70898" w:rsidRPr="004E13E9" w:rsidRDefault="00D70898" w:rsidP="00D70898">
            <w:pPr>
              <w:widowControl w:val="0"/>
              <w:contextualSpacing/>
              <w:jc w:val="both"/>
              <w:rPr>
                <w:rFonts w:ascii="Cambria" w:eastAsia="Times New Roman" w:hAnsi="Cambria" w:cs="Courier New"/>
                <w:sz w:val="20"/>
                <w:szCs w:val="20"/>
              </w:rPr>
            </w:pPr>
            <w:r w:rsidRPr="004E13E9">
              <w:rPr>
                <w:rFonts w:ascii="Cambria" w:eastAsia="Times New Roman" w:hAnsi="Cambria" w:cs="Courier New"/>
                <w:sz w:val="20"/>
                <w:szCs w:val="20"/>
              </w:rPr>
              <w:t>2021 = 35 t, 1,5%.</w:t>
            </w:r>
          </w:p>
          <w:p w14:paraId="58AB4CF1" w14:textId="77777777" w:rsidR="00D70898" w:rsidRPr="004E13E9" w:rsidRDefault="00D70898" w:rsidP="00D70898">
            <w:pPr>
              <w:widowControl w:val="0"/>
              <w:contextualSpacing/>
              <w:jc w:val="both"/>
              <w:rPr>
                <w:rFonts w:ascii="Cambria" w:eastAsia="Times New Roman" w:hAnsi="Cambria" w:cs="Courier New"/>
                <w:sz w:val="20"/>
                <w:szCs w:val="20"/>
              </w:rPr>
            </w:pPr>
            <w:r w:rsidRPr="004E13E9">
              <w:rPr>
                <w:rFonts w:ascii="Cambria" w:eastAsia="Times New Roman" w:hAnsi="Cambria" w:cs="Courier New"/>
                <w:sz w:val="20"/>
                <w:szCs w:val="20"/>
              </w:rPr>
              <w:t>2020 = 05 t, 0,2</w:t>
            </w:r>
            <w:r w:rsidRPr="004E13E9">
              <w:rPr>
                <w:rFonts w:ascii="Cambria" w:hAnsi="Cambria"/>
                <w:sz w:val="20"/>
                <w:szCs w:val="20"/>
              </w:rPr>
              <w:t> %</w:t>
            </w:r>
          </w:p>
          <w:p w14:paraId="3EB3A791" w14:textId="77777777" w:rsidR="00D70898" w:rsidRPr="004E13E9" w:rsidRDefault="00D70898" w:rsidP="00D70898">
            <w:pPr>
              <w:widowControl w:val="0"/>
              <w:contextualSpacing/>
              <w:jc w:val="both"/>
              <w:rPr>
                <w:rFonts w:ascii="Cambria" w:eastAsia="Times New Roman" w:hAnsi="Cambria" w:cs="Courier New"/>
                <w:sz w:val="20"/>
                <w:szCs w:val="20"/>
              </w:rPr>
            </w:pPr>
            <w:r w:rsidRPr="004E13E9">
              <w:rPr>
                <w:rFonts w:ascii="Cambria" w:eastAsia="Times New Roman" w:hAnsi="Cambria" w:cs="Courier New"/>
                <w:sz w:val="20"/>
                <w:szCs w:val="20"/>
              </w:rPr>
              <w:t>2019 = 50 t, 2,7</w:t>
            </w:r>
            <w:r w:rsidRPr="004E13E9">
              <w:rPr>
                <w:rFonts w:ascii="Cambria" w:hAnsi="Cambria"/>
                <w:sz w:val="20"/>
                <w:szCs w:val="20"/>
              </w:rPr>
              <w:t> %</w:t>
            </w:r>
          </w:p>
          <w:p w14:paraId="0D302A2A" w14:textId="77777777" w:rsidR="00D70898" w:rsidRPr="004E13E9" w:rsidRDefault="00D70898" w:rsidP="00D70898">
            <w:pPr>
              <w:widowControl w:val="0"/>
              <w:contextualSpacing/>
              <w:jc w:val="both"/>
              <w:rPr>
                <w:rFonts w:ascii="Cambria" w:eastAsia="Times New Roman" w:hAnsi="Cambria" w:cs="Courier New"/>
                <w:sz w:val="20"/>
                <w:szCs w:val="20"/>
              </w:rPr>
            </w:pPr>
          </w:p>
          <w:p w14:paraId="0BCE417D"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 xml:space="preserve">Le niveau des prises accessoires ne devra pas dépasser 5 % du total des captures à bord à la fin de chaque sortie de pêche et sera calculé par rapport au total des captures à bord « en poids » (ou « en nombre d'espèces » dans le cas de la pêche au thon et espèces apparentées).    </w:t>
            </w:r>
          </w:p>
          <w:p w14:paraId="02B2FCAE" w14:textId="77777777" w:rsidR="00D70898" w:rsidRPr="004E13E9" w:rsidRDefault="00D70898" w:rsidP="00D70898">
            <w:pPr>
              <w:widowControl w:val="0"/>
              <w:contextualSpacing/>
              <w:jc w:val="both"/>
              <w:rPr>
                <w:rFonts w:ascii="Cambria" w:hAnsi="Cambria"/>
                <w:sz w:val="20"/>
                <w:szCs w:val="20"/>
              </w:rPr>
            </w:pPr>
          </w:p>
          <w:p w14:paraId="7FB6814C" w14:textId="2CF4DFAF" w:rsidR="00D70898" w:rsidRPr="004E13E9" w:rsidRDefault="00D70898" w:rsidP="00EE4787">
            <w:pPr>
              <w:widowControl w:val="0"/>
              <w:contextualSpacing/>
              <w:jc w:val="both"/>
              <w:rPr>
                <w:rFonts w:ascii="Cambria" w:hAnsi="Cambria"/>
                <w:sz w:val="20"/>
                <w:szCs w:val="20"/>
              </w:rPr>
            </w:pPr>
            <w:r w:rsidRPr="004E13E9">
              <w:rPr>
                <w:rFonts w:ascii="Cambria" w:hAnsi="Cambria"/>
                <w:sz w:val="20"/>
                <w:szCs w:val="20"/>
              </w:rPr>
              <w:t>Toutes les prises accessoires, y compris les rejets, seront déduites du quota total.</w:t>
            </w:r>
          </w:p>
        </w:tc>
        <w:tc>
          <w:tcPr>
            <w:tcW w:w="2693" w:type="dxa"/>
          </w:tcPr>
          <w:p w14:paraId="178B4CE1"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Notification nº6/1 réglementant les pêcheries commerciales (article 18) / Circulaire concernant la pêche, l'élevage et le commerce du thon rouge de l'Est  (article 4, 11), Arrêté ministériel sur les quotas individuels à allouer pour la période 2026-2028.</w:t>
            </w:r>
          </w:p>
          <w:p w14:paraId="56110869" w14:textId="77777777" w:rsidR="00D70898" w:rsidRPr="004E13E9" w:rsidRDefault="00D70898" w:rsidP="00D70898">
            <w:pPr>
              <w:widowControl w:val="0"/>
              <w:contextualSpacing/>
              <w:jc w:val="both"/>
              <w:rPr>
                <w:rFonts w:ascii="Cambria" w:hAnsi="Cambria"/>
                <w:sz w:val="20"/>
                <w:szCs w:val="20"/>
              </w:rPr>
            </w:pPr>
          </w:p>
        </w:tc>
        <w:tc>
          <w:tcPr>
            <w:tcW w:w="418" w:type="dxa"/>
          </w:tcPr>
          <w:p w14:paraId="667C9895" w14:textId="77777777" w:rsidR="00D70898" w:rsidRPr="004E13E9" w:rsidRDefault="00D70898" w:rsidP="00D70898">
            <w:pPr>
              <w:widowControl w:val="0"/>
              <w:contextualSpacing/>
              <w:rPr>
                <w:rFonts w:ascii="Cambria" w:hAnsi="Cambria"/>
                <w:sz w:val="20"/>
                <w:szCs w:val="20"/>
              </w:rPr>
            </w:pPr>
          </w:p>
        </w:tc>
      </w:tr>
      <w:tr w:rsidR="00EE4787" w:rsidRPr="00C5533C" w14:paraId="60781FD4" w14:textId="77777777" w:rsidTr="00EE4787">
        <w:tc>
          <w:tcPr>
            <w:tcW w:w="453" w:type="dxa"/>
          </w:tcPr>
          <w:p w14:paraId="0D3F5AEC"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5</w:t>
            </w:r>
          </w:p>
        </w:tc>
        <w:tc>
          <w:tcPr>
            <w:tcW w:w="1952" w:type="dxa"/>
          </w:tcPr>
          <w:p w14:paraId="528FC981"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Pêcheries récréatives et sportives (paragraphes 38-46)</w:t>
            </w:r>
          </w:p>
        </w:tc>
        <w:tc>
          <w:tcPr>
            <w:tcW w:w="3544" w:type="dxa"/>
          </w:tcPr>
          <w:p w14:paraId="7132356C"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Les paragraphes 38-46 de la Rec. 25-04 doivent être mis en œuvre comme requis.</w:t>
            </w:r>
          </w:p>
          <w:p w14:paraId="2E386F17" w14:textId="77777777" w:rsidR="00D70898" w:rsidRPr="004E13E9" w:rsidRDefault="00D70898" w:rsidP="00D70898">
            <w:pPr>
              <w:autoSpaceDE w:val="0"/>
              <w:autoSpaceDN w:val="0"/>
              <w:adjustRightInd w:val="0"/>
              <w:contextualSpacing/>
              <w:jc w:val="both"/>
              <w:rPr>
                <w:rFonts w:ascii="Cambria" w:hAnsi="Cambria" w:cs="Cambria"/>
                <w:sz w:val="20"/>
                <w:szCs w:val="20"/>
              </w:rPr>
            </w:pPr>
          </w:p>
          <w:p w14:paraId="460A8CC3" w14:textId="77777777" w:rsidR="00D70898" w:rsidRPr="004E13E9" w:rsidRDefault="00D70898" w:rsidP="00D70898">
            <w:pPr>
              <w:autoSpaceDE w:val="0"/>
              <w:autoSpaceDN w:val="0"/>
              <w:adjustRightInd w:val="0"/>
              <w:contextualSpacing/>
              <w:jc w:val="both"/>
              <w:rPr>
                <w:rFonts w:ascii="Cambria" w:hAnsi="Cambria" w:cs="Cambria"/>
                <w:sz w:val="20"/>
                <w:szCs w:val="20"/>
              </w:rPr>
            </w:pPr>
            <w:r w:rsidRPr="004E13E9">
              <w:rPr>
                <w:rFonts w:ascii="Cambria" w:hAnsi="Cambria" w:cs="Cambria"/>
                <w:sz w:val="20"/>
                <w:szCs w:val="20"/>
              </w:rPr>
              <w:t>Chaque navire opérant dans le cadre des pêcheries récréatives et sportives capturant le thon rouge de l'Est doit faire l'objet d'une autorisation. La capture et la rétention à bord, le transbordement ou le débarquement de plus d'un spécimen de thon rouge de l'Est par navire par jour sont interdits.</w:t>
            </w:r>
          </w:p>
          <w:p w14:paraId="1DC6F2A7" w14:textId="77777777" w:rsidR="00D70898" w:rsidRPr="004E13E9" w:rsidRDefault="00D70898" w:rsidP="00D70898">
            <w:pPr>
              <w:autoSpaceDE w:val="0"/>
              <w:autoSpaceDN w:val="0"/>
              <w:adjustRightInd w:val="0"/>
              <w:contextualSpacing/>
              <w:jc w:val="both"/>
              <w:rPr>
                <w:rFonts w:ascii="Cambria" w:hAnsi="Cambria" w:cs="Cambria"/>
                <w:sz w:val="20"/>
                <w:szCs w:val="20"/>
              </w:rPr>
            </w:pPr>
          </w:p>
          <w:p w14:paraId="7457B407" w14:textId="77777777" w:rsidR="00D70898" w:rsidRPr="004E13E9" w:rsidRDefault="00D70898" w:rsidP="00D70898">
            <w:pPr>
              <w:autoSpaceDE w:val="0"/>
              <w:autoSpaceDN w:val="0"/>
              <w:adjustRightInd w:val="0"/>
              <w:contextualSpacing/>
              <w:jc w:val="both"/>
              <w:rPr>
                <w:rFonts w:ascii="Cambria" w:hAnsi="Cambria" w:cs="Cambria"/>
                <w:sz w:val="20"/>
                <w:szCs w:val="20"/>
              </w:rPr>
            </w:pPr>
            <w:r w:rsidRPr="004E13E9">
              <w:rPr>
                <w:rFonts w:ascii="Cambria" w:hAnsi="Cambria" w:cs="Cambria"/>
                <w:sz w:val="20"/>
                <w:szCs w:val="20"/>
              </w:rPr>
              <w:t>La commercialisation du thon rouge de l'Est capturé dans le cadre de la pêche récréative et sportive est interdite.</w:t>
            </w:r>
          </w:p>
          <w:p w14:paraId="63A255B2" w14:textId="77777777" w:rsidR="00D70898" w:rsidRPr="004E13E9" w:rsidRDefault="00D70898" w:rsidP="00D70898">
            <w:pPr>
              <w:autoSpaceDE w:val="0"/>
              <w:autoSpaceDN w:val="0"/>
              <w:adjustRightInd w:val="0"/>
              <w:contextualSpacing/>
              <w:jc w:val="both"/>
              <w:rPr>
                <w:rFonts w:ascii="Cambria" w:hAnsi="Cambria" w:cs="Cambria"/>
                <w:sz w:val="20"/>
                <w:szCs w:val="20"/>
              </w:rPr>
            </w:pPr>
          </w:p>
          <w:p w14:paraId="65BE6FE5"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 xml:space="preserve">Les données de capture obtenues de la pêcherie récréative devront être soumises au ministère, toutes les prises récréatives devront être décomptées du quota total de la Türkiye destiné aux pêcheries récréatives et sportives. </w:t>
            </w:r>
          </w:p>
        </w:tc>
        <w:tc>
          <w:tcPr>
            <w:tcW w:w="2693" w:type="dxa"/>
          </w:tcPr>
          <w:p w14:paraId="55D7830D"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Notification nº6/2 réglementant les pêcheries récréatives et de loisirs (article 15) / Circulaire sur la pêche, l'élevage et le commerce du thon rouge de l'Est (article 11(5)).</w:t>
            </w:r>
          </w:p>
        </w:tc>
        <w:tc>
          <w:tcPr>
            <w:tcW w:w="418" w:type="dxa"/>
          </w:tcPr>
          <w:p w14:paraId="47CB61EA" w14:textId="77777777" w:rsidR="00D70898" w:rsidRPr="004E13E9" w:rsidRDefault="00D70898" w:rsidP="00D70898">
            <w:pPr>
              <w:widowControl w:val="0"/>
              <w:contextualSpacing/>
              <w:rPr>
                <w:rFonts w:ascii="Cambria" w:hAnsi="Cambria"/>
                <w:sz w:val="20"/>
                <w:szCs w:val="20"/>
              </w:rPr>
            </w:pPr>
          </w:p>
        </w:tc>
      </w:tr>
      <w:tr w:rsidR="00EE4787" w:rsidRPr="00C5533C" w14:paraId="7F122C40" w14:textId="77777777" w:rsidTr="00EE4787">
        <w:tc>
          <w:tcPr>
            <w:tcW w:w="453" w:type="dxa"/>
          </w:tcPr>
          <w:p w14:paraId="7B69EF57"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6</w:t>
            </w:r>
          </w:p>
        </w:tc>
        <w:tc>
          <w:tcPr>
            <w:tcW w:w="1952" w:type="dxa"/>
          </w:tcPr>
          <w:p w14:paraId="2A0FC8F4"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 xml:space="preserve">Transbordement (paragraphes 89-94) </w:t>
            </w:r>
          </w:p>
        </w:tc>
        <w:tc>
          <w:tcPr>
            <w:tcW w:w="3544" w:type="dxa"/>
          </w:tcPr>
          <w:p w14:paraId="3A9D054B"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Les paragraphes 89 à 94 de la Rec. 25-04 doivent être mis en œuvre comme requis.</w:t>
            </w:r>
          </w:p>
          <w:p w14:paraId="34E0E11E" w14:textId="77777777" w:rsidR="00D70898" w:rsidRPr="004E13E9" w:rsidRDefault="00D70898" w:rsidP="00D70898">
            <w:pPr>
              <w:widowControl w:val="0"/>
              <w:contextualSpacing/>
              <w:jc w:val="both"/>
              <w:rPr>
                <w:rFonts w:ascii="Cambria" w:hAnsi="Cambria"/>
                <w:sz w:val="20"/>
                <w:szCs w:val="20"/>
              </w:rPr>
            </w:pPr>
          </w:p>
          <w:p w14:paraId="322911B1"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 xml:space="preserve">Les opérations de transbordement de thon rouge de l'Est en mer sont interdites. </w:t>
            </w:r>
          </w:p>
          <w:p w14:paraId="6C988C50" w14:textId="77777777" w:rsidR="00D70898" w:rsidRPr="004E13E9" w:rsidRDefault="00D70898" w:rsidP="00D70898">
            <w:pPr>
              <w:widowControl w:val="0"/>
              <w:contextualSpacing/>
              <w:jc w:val="both"/>
              <w:rPr>
                <w:rFonts w:ascii="Cambria" w:hAnsi="Cambria"/>
                <w:sz w:val="20"/>
                <w:szCs w:val="20"/>
              </w:rPr>
            </w:pPr>
          </w:p>
          <w:p w14:paraId="334BD12C"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Les navires de pêche de BFT-E ne devront transborder/débarquer les captures de BFT-E que dans les ports désignés à cet effet.</w:t>
            </w:r>
          </w:p>
          <w:p w14:paraId="7EA4656A" w14:textId="77777777" w:rsidR="00D70898" w:rsidRPr="004E13E9" w:rsidRDefault="00D70898" w:rsidP="00D70898">
            <w:pPr>
              <w:widowControl w:val="0"/>
              <w:contextualSpacing/>
              <w:jc w:val="both"/>
              <w:rPr>
                <w:rFonts w:ascii="Cambria" w:hAnsi="Cambria"/>
                <w:sz w:val="20"/>
                <w:szCs w:val="20"/>
              </w:rPr>
            </w:pPr>
          </w:p>
          <w:p w14:paraId="4F89FCC1" w14:textId="77777777" w:rsidR="00737F1C" w:rsidRPr="004E13E9" w:rsidRDefault="00737F1C" w:rsidP="00D70898">
            <w:pPr>
              <w:widowControl w:val="0"/>
              <w:contextualSpacing/>
              <w:jc w:val="both"/>
              <w:rPr>
                <w:rFonts w:ascii="Cambria" w:hAnsi="Cambria"/>
                <w:sz w:val="20"/>
                <w:szCs w:val="20"/>
              </w:rPr>
            </w:pPr>
          </w:p>
          <w:p w14:paraId="03D38AF3" w14:textId="54B8C5D2"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Liste des ports de débarquement et de transbordement de thon rouge de l’Est désignés :</w:t>
            </w:r>
          </w:p>
          <w:p w14:paraId="65862E11" w14:textId="77777777" w:rsidR="00D70898" w:rsidRPr="004E13E9" w:rsidRDefault="00D70898" w:rsidP="00D70898">
            <w:pPr>
              <w:widowControl w:val="0"/>
              <w:contextualSpacing/>
              <w:jc w:val="both"/>
              <w:rPr>
                <w:rFonts w:ascii="Cambria" w:hAnsi="Cambria"/>
                <w:sz w:val="20"/>
                <w:szCs w:val="20"/>
              </w:rPr>
            </w:pPr>
          </w:p>
          <w:p w14:paraId="67A23F4E"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1) Province d'Adana :</w:t>
            </w:r>
          </w:p>
          <w:p w14:paraId="56637A36"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Port de pêche de Karataş</w:t>
            </w:r>
          </w:p>
          <w:p w14:paraId="41545284"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2) Province d'Antalya :</w:t>
            </w:r>
          </w:p>
          <w:p w14:paraId="5AEE772E"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Port de pêche d'Antalya</w:t>
            </w:r>
          </w:p>
          <w:p w14:paraId="095F08C4"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Port de pêche d’Alanya</w:t>
            </w:r>
          </w:p>
          <w:p w14:paraId="1DDFEDA5"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3) Province de Mersin :</w:t>
            </w:r>
          </w:p>
          <w:p w14:paraId="32AC8D63"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Port de pêche d'</w:t>
            </w:r>
            <w:proofErr w:type="spellStart"/>
            <w:r w:rsidRPr="004E13E9">
              <w:rPr>
                <w:rFonts w:ascii="Cambria" w:hAnsi="Cambria"/>
                <w:sz w:val="20"/>
                <w:szCs w:val="20"/>
              </w:rPr>
              <w:t>Erdemli</w:t>
            </w:r>
            <w:proofErr w:type="spellEnd"/>
          </w:p>
          <w:p w14:paraId="20B8DC85"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4) Province de Hatay :</w:t>
            </w:r>
          </w:p>
          <w:p w14:paraId="6EF08DB7"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 xml:space="preserve">Port de pêche de </w:t>
            </w:r>
            <w:proofErr w:type="spellStart"/>
            <w:r w:rsidRPr="004E13E9">
              <w:rPr>
                <w:rFonts w:ascii="Cambria" w:hAnsi="Cambria"/>
                <w:sz w:val="20"/>
                <w:szCs w:val="20"/>
              </w:rPr>
              <w:t>Çevlik</w:t>
            </w:r>
            <w:proofErr w:type="spellEnd"/>
          </w:p>
          <w:p w14:paraId="1D79968D"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 xml:space="preserve">Port de pêche </w:t>
            </w:r>
            <w:proofErr w:type="spellStart"/>
            <w:r w:rsidRPr="004E13E9">
              <w:rPr>
                <w:rFonts w:ascii="Cambria" w:hAnsi="Cambria"/>
                <w:sz w:val="20"/>
                <w:szCs w:val="20"/>
              </w:rPr>
              <w:t>Çevlik</w:t>
            </w:r>
            <w:proofErr w:type="spellEnd"/>
          </w:p>
          <w:p w14:paraId="5C915672"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 xml:space="preserve">Port de pêche </w:t>
            </w:r>
            <w:proofErr w:type="spellStart"/>
            <w:r w:rsidRPr="004E13E9">
              <w:rPr>
                <w:rFonts w:ascii="Cambria" w:hAnsi="Cambria"/>
                <w:sz w:val="20"/>
                <w:szCs w:val="20"/>
              </w:rPr>
              <w:t>Işıklı-Konacık</w:t>
            </w:r>
            <w:proofErr w:type="spellEnd"/>
          </w:p>
          <w:p w14:paraId="4EAE283B"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 xml:space="preserve">5) Province de Canakkale :   </w:t>
            </w:r>
          </w:p>
          <w:p w14:paraId="0A4A50F4"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 xml:space="preserve">Port de pêche de </w:t>
            </w:r>
            <w:proofErr w:type="spellStart"/>
            <w:r w:rsidRPr="004E13E9">
              <w:rPr>
                <w:rFonts w:ascii="Cambria" w:hAnsi="Cambria"/>
                <w:sz w:val="20"/>
                <w:szCs w:val="20"/>
              </w:rPr>
              <w:t>Yeniköy</w:t>
            </w:r>
            <w:proofErr w:type="spellEnd"/>
          </w:p>
          <w:p w14:paraId="60105B3C"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Port de pêche de Gülpınar</w:t>
            </w:r>
          </w:p>
          <w:p w14:paraId="6E88E848" w14:textId="77777777" w:rsidR="00D70898" w:rsidRPr="004E13E9" w:rsidRDefault="00D70898" w:rsidP="00D70898">
            <w:pPr>
              <w:widowControl w:val="0"/>
              <w:tabs>
                <w:tab w:val="left" w:pos="4939"/>
              </w:tabs>
              <w:contextualSpacing/>
              <w:jc w:val="both"/>
              <w:rPr>
                <w:rFonts w:ascii="Cambria" w:hAnsi="Cambria"/>
                <w:spacing w:val="-12"/>
                <w:w w:val="105"/>
                <w:sz w:val="20"/>
                <w:szCs w:val="20"/>
              </w:rPr>
            </w:pPr>
            <w:r w:rsidRPr="004E13E9">
              <w:rPr>
                <w:rFonts w:ascii="Cambria" w:hAnsi="Cambria"/>
                <w:sz w:val="20"/>
                <w:szCs w:val="20"/>
              </w:rPr>
              <w:t>6) Province d'Istanbul :</w:t>
            </w:r>
          </w:p>
          <w:p w14:paraId="15440A0B"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 xml:space="preserve">Port de pêche de </w:t>
            </w:r>
            <w:proofErr w:type="spellStart"/>
            <w:r w:rsidRPr="004E13E9">
              <w:rPr>
                <w:rFonts w:ascii="Cambria" w:hAnsi="Cambria"/>
                <w:sz w:val="20"/>
                <w:szCs w:val="20"/>
              </w:rPr>
              <w:t>Gürpınar</w:t>
            </w:r>
            <w:proofErr w:type="spellEnd"/>
          </w:p>
          <w:p w14:paraId="6E421372"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Port de pêche de Tuzla</w:t>
            </w:r>
          </w:p>
          <w:p w14:paraId="77F0F93E" w14:textId="77777777" w:rsidR="00D70898" w:rsidRPr="004E13E9" w:rsidRDefault="00D70898" w:rsidP="00D70898">
            <w:pPr>
              <w:widowControl w:val="0"/>
              <w:tabs>
                <w:tab w:val="left" w:pos="4939"/>
              </w:tabs>
              <w:contextualSpacing/>
              <w:jc w:val="both"/>
              <w:rPr>
                <w:rFonts w:ascii="Cambria" w:hAnsi="Cambria"/>
                <w:spacing w:val="-12"/>
                <w:w w:val="105"/>
                <w:sz w:val="20"/>
                <w:szCs w:val="20"/>
              </w:rPr>
            </w:pPr>
            <w:r w:rsidRPr="004E13E9">
              <w:rPr>
                <w:rFonts w:ascii="Cambria" w:hAnsi="Cambria"/>
                <w:sz w:val="20"/>
                <w:szCs w:val="20"/>
              </w:rPr>
              <w:t>7) Province d'Izmir :</w:t>
            </w:r>
          </w:p>
          <w:p w14:paraId="7296B109" w14:textId="77777777" w:rsidR="00D70898" w:rsidRPr="004E13E9" w:rsidRDefault="00D70898" w:rsidP="00D70898">
            <w:pPr>
              <w:widowControl w:val="0"/>
              <w:contextualSpacing/>
              <w:rPr>
                <w:rFonts w:ascii="Cambria" w:hAnsi="Cambria"/>
                <w:sz w:val="20"/>
                <w:szCs w:val="20"/>
              </w:rPr>
            </w:pPr>
            <w:r w:rsidRPr="004E13E9">
              <w:rPr>
                <w:rFonts w:ascii="Cambria" w:hAnsi="Cambria"/>
                <w:sz w:val="20"/>
                <w:szCs w:val="20"/>
              </w:rPr>
              <w:t xml:space="preserve">Port de pêche de </w:t>
            </w:r>
            <w:proofErr w:type="spellStart"/>
            <w:r w:rsidRPr="004E13E9">
              <w:rPr>
                <w:rFonts w:ascii="Cambria" w:hAnsi="Cambria"/>
                <w:sz w:val="20"/>
                <w:szCs w:val="20"/>
              </w:rPr>
              <w:t>Karaburun</w:t>
            </w:r>
            <w:proofErr w:type="spellEnd"/>
          </w:p>
        </w:tc>
        <w:tc>
          <w:tcPr>
            <w:tcW w:w="2693" w:type="dxa"/>
          </w:tcPr>
          <w:p w14:paraId="1A12ADAB"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Circulaire ministérielle concernant la pêche, l'élevage et le commerce du thon rouge de l'Est (article 9, annexe 9).</w:t>
            </w:r>
          </w:p>
        </w:tc>
        <w:tc>
          <w:tcPr>
            <w:tcW w:w="418" w:type="dxa"/>
          </w:tcPr>
          <w:p w14:paraId="599D354A" w14:textId="77777777" w:rsidR="00D70898" w:rsidRPr="004E13E9" w:rsidRDefault="00D70898" w:rsidP="00D70898">
            <w:pPr>
              <w:widowControl w:val="0"/>
              <w:contextualSpacing/>
              <w:rPr>
                <w:rFonts w:ascii="Cambria" w:hAnsi="Cambria"/>
                <w:sz w:val="20"/>
                <w:szCs w:val="20"/>
              </w:rPr>
            </w:pPr>
          </w:p>
        </w:tc>
      </w:tr>
      <w:tr w:rsidR="00EE4787" w:rsidRPr="00C5533C" w14:paraId="3572CBA2" w14:textId="77777777" w:rsidTr="00EE4787">
        <w:tc>
          <w:tcPr>
            <w:tcW w:w="453" w:type="dxa"/>
          </w:tcPr>
          <w:p w14:paraId="77388151"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7</w:t>
            </w:r>
          </w:p>
        </w:tc>
        <w:tc>
          <w:tcPr>
            <w:tcW w:w="1952" w:type="dxa"/>
          </w:tcPr>
          <w:p w14:paraId="4DC5FA2F"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VMS (paragraphes 222-228)</w:t>
            </w:r>
          </w:p>
        </w:tc>
        <w:tc>
          <w:tcPr>
            <w:tcW w:w="3544" w:type="dxa"/>
          </w:tcPr>
          <w:p w14:paraId="3F1BBD5C"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Les paragraphes 222-228 de la Rec. 25-04 doivent être mis en œuvre comme requis.</w:t>
            </w:r>
          </w:p>
          <w:p w14:paraId="263C358F" w14:textId="77777777" w:rsidR="00D70898" w:rsidRPr="004E13E9" w:rsidRDefault="00D70898" w:rsidP="00D70898">
            <w:pPr>
              <w:widowControl w:val="0"/>
              <w:contextualSpacing/>
              <w:jc w:val="both"/>
              <w:rPr>
                <w:rFonts w:ascii="Cambria" w:hAnsi="Cambria"/>
                <w:sz w:val="8"/>
                <w:szCs w:val="8"/>
              </w:rPr>
            </w:pPr>
          </w:p>
          <w:p w14:paraId="6EDF7F32"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Les navires de pêche sollicitant un permis de pêche du thon rouge de l'Est pour la saison de pêche 2026 devront être équipés à leur bord d'un système de surveillance des navires par satellite (VMS) opérant sans interruption, tel que l'exige le MoAF.</w:t>
            </w:r>
          </w:p>
          <w:p w14:paraId="0F1F8F9D" w14:textId="77777777" w:rsidR="00D70898" w:rsidRPr="004E13E9" w:rsidRDefault="00D70898" w:rsidP="00D70898">
            <w:pPr>
              <w:widowControl w:val="0"/>
              <w:contextualSpacing/>
              <w:jc w:val="both"/>
              <w:rPr>
                <w:rFonts w:ascii="Cambria" w:hAnsi="Cambria"/>
                <w:sz w:val="8"/>
                <w:szCs w:val="8"/>
              </w:rPr>
            </w:pPr>
          </w:p>
          <w:p w14:paraId="48D5239F"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La transmission des données VMS à l'ICCAT débutera au moins 5 jours avant le début de leur période d'autorisation et se poursuivra au moins 5 jours après la fin de la période d’autorisation.</w:t>
            </w:r>
          </w:p>
          <w:p w14:paraId="33C45D55" w14:textId="77777777" w:rsidR="00D70898" w:rsidRPr="004E13E9" w:rsidRDefault="00D70898" w:rsidP="00D70898">
            <w:pPr>
              <w:widowControl w:val="0"/>
              <w:contextualSpacing/>
              <w:jc w:val="both"/>
              <w:rPr>
                <w:rFonts w:ascii="Cambria" w:hAnsi="Cambria"/>
                <w:sz w:val="8"/>
                <w:szCs w:val="8"/>
              </w:rPr>
            </w:pPr>
          </w:p>
          <w:p w14:paraId="0F3D662A"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Les navires de pêche autorisés pour le thon rouge de l’Est, y compris les remorqueurs de thon rouge de l’Est, devront déclarer leur position toutes les heures.</w:t>
            </w:r>
          </w:p>
        </w:tc>
        <w:tc>
          <w:tcPr>
            <w:tcW w:w="2693" w:type="dxa"/>
          </w:tcPr>
          <w:p w14:paraId="41851C65"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Notification nº6/1 réglementant les pêcheries commerciales (article 22) / Circulaire concernant la pêche, l'élevage et le commerce du thon rouge de l'Est (article 6).</w:t>
            </w:r>
          </w:p>
        </w:tc>
        <w:tc>
          <w:tcPr>
            <w:tcW w:w="418" w:type="dxa"/>
          </w:tcPr>
          <w:p w14:paraId="2A9F1EF1" w14:textId="77777777" w:rsidR="00D70898" w:rsidRPr="004E13E9" w:rsidRDefault="00D70898" w:rsidP="00D70898">
            <w:pPr>
              <w:widowControl w:val="0"/>
              <w:contextualSpacing/>
              <w:rPr>
                <w:rFonts w:ascii="Cambria" w:hAnsi="Cambria"/>
                <w:sz w:val="20"/>
                <w:szCs w:val="20"/>
              </w:rPr>
            </w:pPr>
          </w:p>
        </w:tc>
      </w:tr>
      <w:tr w:rsidR="00EE4787" w:rsidRPr="00C5533C" w14:paraId="1A7A61B4" w14:textId="77777777" w:rsidTr="00EE4787">
        <w:tc>
          <w:tcPr>
            <w:tcW w:w="453" w:type="dxa"/>
          </w:tcPr>
          <w:p w14:paraId="0FFAD5A7"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8</w:t>
            </w:r>
          </w:p>
        </w:tc>
        <w:tc>
          <w:tcPr>
            <w:tcW w:w="1952" w:type="dxa"/>
          </w:tcPr>
          <w:p w14:paraId="24E32C4E"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 xml:space="preserve">Programme d'observateurs des CPC </w:t>
            </w:r>
          </w:p>
          <w:p w14:paraId="3A276E80"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(paragraphes 95-100)</w:t>
            </w:r>
          </w:p>
        </w:tc>
        <w:tc>
          <w:tcPr>
            <w:tcW w:w="3544" w:type="dxa"/>
          </w:tcPr>
          <w:p w14:paraId="15C6E6E4"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Les paragraphes 95 à 100 de la Rec. 25-04 doivent être mis en œuvre comme requis.</w:t>
            </w:r>
          </w:p>
          <w:p w14:paraId="0A9469C3" w14:textId="77777777" w:rsidR="00D70898" w:rsidRPr="004E13E9" w:rsidRDefault="00D70898" w:rsidP="00D70898">
            <w:pPr>
              <w:widowControl w:val="0"/>
              <w:contextualSpacing/>
              <w:jc w:val="both"/>
              <w:rPr>
                <w:rFonts w:ascii="Cambria" w:hAnsi="Cambria"/>
                <w:sz w:val="8"/>
                <w:szCs w:val="8"/>
              </w:rPr>
            </w:pPr>
          </w:p>
          <w:p w14:paraId="7AAA0267"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La présence d’« observateurs des CPC » devra être assurée en 2023 à bord de tous les remorqueurs de thon rouge de l'Est pendant toute la période d’autorisation.</w:t>
            </w:r>
          </w:p>
        </w:tc>
        <w:tc>
          <w:tcPr>
            <w:tcW w:w="2693" w:type="dxa"/>
          </w:tcPr>
          <w:p w14:paraId="672B1BD5"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Notification nº6/1 réglementant les pêcheries commerciales (article 22) / Circulaire concernant la pêche, l'élevage et le commerce du thon rouge de l'Est (article 7, annexe 5).</w:t>
            </w:r>
          </w:p>
        </w:tc>
        <w:tc>
          <w:tcPr>
            <w:tcW w:w="418" w:type="dxa"/>
          </w:tcPr>
          <w:p w14:paraId="7BD7A24D" w14:textId="77777777" w:rsidR="00D70898" w:rsidRPr="004E13E9" w:rsidRDefault="00D70898" w:rsidP="00D70898">
            <w:pPr>
              <w:widowControl w:val="0"/>
              <w:contextualSpacing/>
              <w:rPr>
                <w:rFonts w:ascii="Cambria" w:hAnsi="Cambria"/>
                <w:sz w:val="20"/>
                <w:szCs w:val="20"/>
              </w:rPr>
            </w:pPr>
          </w:p>
        </w:tc>
      </w:tr>
      <w:tr w:rsidR="00EE4787" w:rsidRPr="00C5533C" w14:paraId="3F0220A6" w14:textId="77777777" w:rsidTr="00EE4787">
        <w:tc>
          <w:tcPr>
            <w:tcW w:w="453" w:type="dxa"/>
          </w:tcPr>
          <w:p w14:paraId="6403086F"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9</w:t>
            </w:r>
          </w:p>
        </w:tc>
        <w:tc>
          <w:tcPr>
            <w:tcW w:w="1952" w:type="dxa"/>
          </w:tcPr>
          <w:p w14:paraId="6367868E"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 xml:space="preserve">Programme d'observateurs régionaux </w:t>
            </w:r>
          </w:p>
          <w:p w14:paraId="15A1D592"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(paragraphes 101-107)</w:t>
            </w:r>
          </w:p>
        </w:tc>
        <w:tc>
          <w:tcPr>
            <w:tcW w:w="3544" w:type="dxa"/>
          </w:tcPr>
          <w:p w14:paraId="7C8B0FA9"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Les paragraphes 101-107 de la Rec. 25-04 doivent être mis en œuvre comme requis.</w:t>
            </w:r>
          </w:p>
          <w:p w14:paraId="7DE4CD7D" w14:textId="77777777" w:rsidR="00D70898" w:rsidRPr="004E13E9" w:rsidRDefault="00D70898" w:rsidP="00D70898">
            <w:pPr>
              <w:widowControl w:val="0"/>
              <w:contextualSpacing/>
              <w:jc w:val="both"/>
              <w:rPr>
                <w:rFonts w:ascii="Cambria" w:hAnsi="Cambria"/>
                <w:sz w:val="8"/>
                <w:szCs w:val="8"/>
              </w:rPr>
            </w:pPr>
          </w:p>
          <w:p w14:paraId="4DAC216E"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Une couverture à 100% par des « observateurs régionaux de l’ICCAT » à bord de navires de capture de thon rouge de l'Est et dans les fermes d'élevage de thon rouge de l'Est (au moment des opérations de mise en cage et de mise à mort) est obligatoire.</w:t>
            </w:r>
          </w:p>
        </w:tc>
        <w:tc>
          <w:tcPr>
            <w:tcW w:w="2693" w:type="dxa"/>
          </w:tcPr>
          <w:p w14:paraId="5F8B5DE3"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Notification réglementant les pêcheries commerciales (article 22) / Circulaire concernant la pêche, l'élevage et le commerce du thon rouge de l'Est (article 7, annexe 3).</w:t>
            </w:r>
          </w:p>
        </w:tc>
        <w:tc>
          <w:tcPr>
            <w:tcW w:w="418" w:type="dxa"/>
          </w:tcPr>
          <w:p w14:paraId="009DC102" w14:textId="77777777" w:rsidR="00D70898" w:rsidRPr="004E13E9" w:rsidRDefault="00D70898" w:rsidP="00D70898">
            <w:pPr>
              <w:widowControl w:val="0"/>
              <w:contextualSpacing/>
              <w:rPr>
                <w:rFonts w:ascii="Cambria" w:hAnsi="Cambria"/>
                <w:sz w:val="20"/>
                <w:szCs w:val="20"/>
              </w:rPr>
            </w:pPr>
          </w:p>
        </w:tc>
      </w:tr>
      <w:tr w:rsidR="00EE4787" w:rsidRPr="00C5533C" w14:paraId="28E7CAC7" w14:textId="77777777" w:rsidTr="00EE4787">
        <w:tc>
          <w:tcPr>
            <w:tcW w:w="453" w:type="dxa"/>
          </w:tcPr>
          <w:p w14:paraId="4FAB5F9D"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10</w:t>
            </w:r>
          </w:p>
        </w:tc>
        <w:tc>
          <w:tcPr>
            <w:tcW w:w="1952" w:type="dxa"/>
          </w:tcPr>
          <w:p w14:paraId="7C7FF122" w14:textId="77777777" w:rsidR="00D70898" w:rsidRPr="004E13E9" w:rsidRDefault="00D70898" w:rsidP="00D70898">
            <w:pPr>
              <w:widowControl w:val="0"/>
              <w:contextualSpacing/>
              <w:rPr>
                <w:rFonts w:ascii="Cambria" w:hAnsi="Cambria"/>
                <w:b/>
                <w:bCs/>
                <w:sz w:val="20"/>
                <w:szCs w:val="20"/>
              </w:rPr>
            </w:pPr>
            <w:r w:rsidRPr="004E13E9">
              <w:rPr>
                <w:rFonts w:ascii="Cambria" w:hAnsi="Cambria"/>
                <w:b/>
                <w:bCs/>
                <w:sz w:val="20"/>
                <w:szCs w:val="20"/>
              </w:rPr>
              <w:t>Législation nationale</w:t>
            </w:r>
          </w:p>
        </w:tc>
        <w:tc>
          <w:tcPr>
            <w:tcW w:w="3544" w:type="dxa"/>
          </w:tcPr>
          <w:p w14:paraId="5352A328"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Les règles établies par la Rec. 25-04 de l'ICCAT ont été transposées dans la réglementation nationale turque par le biais du « Circulaire ministérielle concernant la pêche, l'élevage et le commerce du thon rouge ».</w:t>
            </w:r>
          </w:p>
        </w:tc>
        <w:tc>
          <w:tcPr>
            <w:tcW w:w="2693" w:type="dxa"/>
          </w:tcPr>
          <w:p w14:paraId="244A0E79"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Circulaire ministérielle concernant la pêche, l’élevage et le commerce du thon rouge de l'Est, Notification ministérielle nº6/1 réglementant les pêcheries commerciales, Directives, Arrêté ministériel sur les quotas individuels à allouer pour la période 2026-2028).</w:t>
            </w:r>
          </w:p>
        </w:tc>
        <w:tc>
          <w:tcPr>
            <w:tcW w:w="418" w:type="dxa"/>
          </w:tcPr>
          <w:p w14:paraId="481A02BC" w14:textId="77777777" w:rsidR="00D70898" w:rsidRPr="004E13E9" w:rsidRDefault="00D70898" w:rsidP="00D70898">
            <w:pPr>
              <w:widowControl w:val="0"/>
              <w:contextualSpacing/>
              <w:rPr>
                <w:rFonts w:ascii="Cambria" w:hAnsi="Cambria"/>
                <w:sz w:val="20"/>
                <w:szCs w:val="20"/>
              </w:rPr>
            </w:pPr>
          </w:p>
        </w:tc>
      </w:tr>
      <w:tr w:rsidR="00EE4787" w:rsidRPr="00C5533C" w14:paraId="4C0E1904" w14:textId="77777777" w:rsidTr="00EE4787">
        <w:tc>
          <w:tcPr>
            <w:tcW w:w="453" w:type="dxa"/>
          </w:tcPr>
          <w:p w14:paraId="5F5AFE05" w14:textId="77777777" w:rsidR="00D70898" w:rsidRPr="004E13E9" w:rsidRDefault="00D70898" w:rsidP="00D70898">
            <w:pPr>
              <w:widowControl w:val="0"/>
              <w:contextualSpacing/>
              <w:rPr>
                <w:rFonts w:ascii="Cambria" w:hAnsi="Cambria"/>
                <w:b/>
                <w:bCs/>
                <w:i/>
                <w:sz w:val="20"/>
                <w:szCs w:val="20"/>
              </w:rPr>
            </w:pPr>
          </w:p>
        </w:tc>
        <w:tc>
          <w:tcPr>
            <w:tcW w:w="1952" w:type="dxa"/>
          </w:tcPr>
          <w:p w14:paraId="40CFFBD4" w14:textId="77777777" w:rsidR="00D70898" w:rsidRPr="004E13E9" w:rsidRDefault="00D70898" w:rsidP="00D70898">
            <w:pPr>
              <w:widowControl w:val="0"/>
              <w:contextualSpacing/>
              <w:rPr>
                <w:rFonts w:ascii="Cambria" w:hAnsi="Cambria"/>
                <w:b/>
                <w:bCs/>
                <w:i/>
                <w:sz w:val="20"/>
                <w:szCs w:val="20"/>
              </w:rPr>
            </w:pPr>
            <w:r w:rsidRPr="004E13E9">
              <w:rPr>
                <w:rFonts w:ascii="Cambria" w:hAnsi="Cambria"/>
                <w:b/>
                <w:bCs/>
                <w:i/>
                <w:sz w:val="20"/>
                <w:szCs w:val="20"/>
              </w:rPr>
              <w:t>Autres exigences, telles que :</w:t>
            </w:r>
          </w:p>
          <w:p w14:paraId="05FCD115" w14:textId="77777777" w:rsidR="00D70898" w:rsidRPr="004E13E9" w:rsidRDefault="00D70898" w:rsidP="00D70898">
            <w:pPr>
              <w:widowControl w:val="0"/>
              <w:contextualSpacing/>
              <w:rPr>
                <w:rFonts w:ascii="Cambria" w:hAnsi="Cambria"/>
                <w:b/>
                <w:bCs/>
                <w:i/>
                <w:sz w:val="20"/>
                <w:szCs w:val="20"/>
              </w:rPr>
            </w:pPr>
            <w:r w:rsidRPr="004E13E9">
              <w:rPr>
                <w:rFonts w:ascii="Cambria" w:hAnsi="Cambria"/>
                <w:b/>
                <w:bCs/>
                <w:i/>
                <w:sz w:val="20"/>
                <w:szCs w:val="20"/>
              </w:rPr>
              <w:t>programme de marquage (para 44), etc..</w:t>
            </w:r>
          </w:p>
        </w:tc>
        <w:tc>
          <w:tcPr>
            <w:tcW w:w="3544" w:type="dxa"/>
          </w:tcPr>
          <w:p w14:paraId="4EEDB6AB"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La Türkiye continuera à soutenir le Programme GBYP de l'ICCAT en 2026.</w:t>
            </w:r>
          </w:p>
          <w:p w14:paraId="1085A620" w14:textId="77777777" w:rsidR="00D70898" w:rsidRPr="004E13E9" w:rsidRDefault="00D70898" w:rsidP="00D70898">
            <w:pPr>
              <w:widowControl w:val="0"/>
              <w:contextualSpacing/>
              <w:jc w:val="both"/>
              <w:rPr>
                <w:rFonts w:ascii="Cambria" w:hAnsi="Cambria"/>
                <w:sz w:val="20"/>
                <w:szCs w:val="20"/>
              </w:rPr>
            </w:pPr>
          </w:p>
          <w:p w14:paraId="7242D198" w14:textId="77777777" w:rsidR="00D70898" w:rsidRPr="004E13E9" w:rsidRDefault="00D70898" w:rsidP="00D70898">
            <w:pPr>
              <w:widowControl w:val="0"/>
              <w:contextualSpacing/>
              <w:jc w:val="both"/>
              <w:rPr>
                <w:rFonts w:ascii="Cambria" w:hAnsi="Cambria"/>
                <w:sz w:val="20"/>
                <w:szCs w:val="20"/>
              </w:rPr>
            </w:pPr>
            <w:r w:rsidRPr="004E13E9">
              <w:rPr>
                <w:rFonts w:ascii="Cambria" w:hAnsi="Cambria"/>
                <w:sz w:val="20"/>
                <w:szCs w:val="20"/>
              </w:rPr>
              <w:t>Des prospections larvaires ont été menées en 2025 et il est prévu de les poursuivre en 2026. Le programme de marquage devrait se poursuivre en 2026 dans le cadre du programme GBYP.</w:t>
            </w:r>
          </w:p>
        </w:tc>
        <w:tc>
          <w:tcPr>
            <w:tcW w:w="2693" w:type="dxa"/>
          </w:tcPr>
          <w:p w14:paraId="086FA85D" w14:textId="77777777" w:rsidR="00D70898" w:rsidRPr="004E13E9" w:rsidRDefault="00D70898" w:rsidP="00D70898">
            <w:pPr>
              <w:widowControl w:val="0"/>
              <w:contextualSpacing/>
              <w:jc w:val="both"/>
              <w:rPr>
                <w:rFonts w:ascii="Cambria" w:hAnsi="Cambria"/>
                <w:sz w:val="20"/>
                <w:szCs w:val="20"/>
              </w:rPr>
            </w:pPr>
          </w:p>
        </w:tc>
        <w:tc>
          <w:tcPr>
            <w:tcW w:w="418" w:type="dxa"/>
          </w:tcPr>
          <w:p w14:paraId="3E9A99E1" w14:textId="77777777" w:rsidR="00D70898" w:rsidRPr="004E13E9" w:rsidRDefault="00D70898" w:rsidP="00D70898">
            <w:pPr>
              <w:widowControl w:val="0"/>
              <w:contextualSpacing/>
              <w:rPr>
                <w:rFonts w:ascii="Cambria" w:hAnsi="Cambria"/>
                <w:sz w:val="20"/>
                <w:szCs w:val="20"/>
              </w:rPr>
            </w:pPr>
          </w:p>
        </w:tc>
      </w:tr>
    </w:tbl>
    <w:p w14:paraId="11745E58" w14:textId="77777777" w:rsidR="0086587C" w:rsidRPr="004E13E9" w:rsidRDefault="0086587C" w:rsidP="00D70898">
      <w:pPr>
        <w:contextualSpacing/>
        <w:rPr>
          <w:rFonts w:eastAsia="Yu Mincho" w:cs="Times New Roman"/>
          <w:b/>
          <w:bCs/>
          <w:i/>
          <w:iCs/>
          <w:lang w:val="fr-FR" w:eastAsia="ja-JP"/>
        </w:rPr>
      </w:pPr>
    </w:p>
    <w:p w14:paraId="479EE7CA" w14:textId="4A469950" w:rsidR="00D70898" w:rsidRPr="004E13E9" w:rsidRDefault="00D70898" w:rsidP="00D70898">
      <w:pPr>
        <w:contextualSpacing/>
        <w:rPr>
          <w:rFonts w:eastAsia="Yu Mincho" w:cs="Times New Roman"/>
          <w:b/>
          <w:bCs/>
          <w:i/>
          <w:iCs/>
          <w:lang w:val="fr-FR" w:eastAsia="ja-JP"/>
        </w:rPr>
      </w:pPr>
      <w:r w:rsidRPr="004E13E9">
        <w:rPr>
          <w:rFonts w:eastAsia="Yu Mincho" w:cs="Times New Roman"/>
          <w:b/>
          <w:bCs/>
          <w:i/>
          <w:iCs/>
          <w:lang w:val="fr-FR" w:eastAsia="ja-JP"/>
        </w:rPr>
        <w:t>1e) Ports désignés (paragraphe 80)</w:t>
      </w:r>
    </w:p>
    <w:p w14:paraId="362F13BD" w14:textId="77777777" w:rsidR="00D70898" w:rsidRPr="004E13E9" w:rsidRDefault="00D70898" w:rsidP="00D70898">
      <w:pPr>
        <w:contextualSpacing/>
        <w:rPr>
          <w:rFonts w:eastAsia="Yu Mincho" w:cs="Times New Roman"/>
          <w:b/>
          <w:bCs/>
          <w:i/>
          <w:iCs/>
          <w:lang w:val="fr-FR" w:eastAsia="ja-JP"/>
        </w:rPr>
      </w:pPr>
    </w:p>
    <w:p w14:paraId="47150DF4" w14:textId="77777777" w:rsidR="00D70898" w:rsidRPr="004E13E9" w:rsidRDefault="00D70898" w:rsidP="00D70898">
      <w:pPr>
        <w:contextualSpacing/>
        <w:jc w:val="both"/>
        <w:rPr>
          <w:rFonts w:eastAsia="Yu Mincho" w:cs="Times New Roman"/>
          <w:lang w:val="fr-FR" w:eastAsia="ja-JP"/>
        </w:rPr>
      </w:pPr>
      <w:r w:rsidRPr="004E13E9">
        <w:rPr>
          <w:rFonts w:eastAsia="Yu Mincho" w:cs="Times New Roman"/>
          <w:lang w:val="fr-FR" w:eastAsia="ja-JP"/>
        </w:rPr>
        <w:t>La liste des ports désignés pour le débarquement et le transbordement est présentée ci-dessous. La Türkiye a également soumis le formulaire CP24 avec le présent plan.</w:t>
      </w:r>
    </w:p>
    <w:p w14:paraId="0DC530BF" w14:textId="77777777" w:rsidR="00D70898" w:rsidRPr="004E13E9" w:rsidRDefault="00D70898" w:rsidP="00D70898">
      <w:pPr>
        <w:contextualSpacing/>
        <w:rPr>
          <w:rFonts w:eastAsia="Yu Mincho" w:cs="Times New Roman"/>
          <w:i/>
          <w:iCs/>
          <w:lang w:val="fr-FR" w:eastAsia="ja-JP"/>
        </w:rPr>
      </w:pPr>
    </w:p>
    <w:p w14:paraId="60EBC077" w14:textId="77777777" w:rsidR="00D70898" w:rsidRPr="004E13E9" w:rsidRDefault="00D70898" w:rsidP="00D70898">
      <w:pPr>
        <w:contextualSpacing/>
        <w:rPr>
          <w:rFonts w:eastAsia="Yu Mincho" w:cs="Times New Roman"/>
          <w:i/>
          <w:iCs/>
          <w:lang w:val="fr-FR" w:eastAsia="ja-JP"/>
        </w:rPr>
      </w:pPr>
      <w:r w:rsidRPr="004E13E9">
        <w:rPr>
          <w:rFonts w:eastAsia="Yu Mincho" w:cs="Times New Roman"/>
          <w:i/>
          <w:iCs/>
          <w:lang w:val="fr-FR" w:eastAsia="ja-JP"/>
        </w:rPr>
        <w:t>Liste des ports autorisés</w:t>
      </w:r>
    </w:p>
    <w:p w14:paraId="4F436E18" w14:textId="77777777" w:rsidR="00D70898" w:rsidRPr="004E13E9" w:rsidRDefault="00D70898" w:rsidP="00D70898">
      <w:pPr>
        <w:contextualSpacing/>
        <w:rPr>
          <w:rFonts w:eastAsia="Yu Mincho" w:cs="Times New Roman"/>
          <w:b/>
          <w:bCs/>
          <w:i/>
          <w:iCs/>
          <w:sz w:val="8"/>
          <w:szCs w:val="8"/>
          <w:lang w:val="fr-FR" w:eastAsia="ja-JP"/>
        </w:rPr>
      </w:pPr>
    </w:p>
    <w:p w14:paraId="68E378E4" w14:textId="77777777" w:rsidR="00D70898" w:rsidRPr="004E13E9" w:rsidRDefault="00D70898" w:rsidP="00487A5C">
      <w:pPr>
        <w:numPr>
          <w:ilvl w:val="0"/>
          <w:numId w:val="52"/>
        </w:numPr>
        <w:spacing w:after="160" w:line="259" w:lineRule="auto"/>
        <w:ind w:left="567" w:hanging="425"/>
        <w:contextualSpacing/>
        <w:rPr>
          <w:rFonts w:eastAsia="Yu Mincho" w:cs="Times New Roman"/>
          <w:iCs/>
          <w:lang w:val="fr-FR"/>
        </w:rPr>
      </w:pPr>
      <w:r w:rsidRPr="004E13E9">
        <w:rPr>
          <w:rFonts w:eastAsia="Yu Mincho" w:cs="Times New Roman"/>
          <w:iCs/>
          <w:lang w:val="fr-FR"/>
        </w:rPr>
        <w:t>Adana - Karataş</w:t>
      </w:r>
    </w:p>
    <w:p w14:paraId="79A1AB6D" w14:textId="77777777" w:rsidR="00D70898" w:rsidRPr="004E13E9" w:rsidRDefault="00D70898" w:rsidP="00487A5C">
      <w:pPr>
        <w:numPr>
          <w:ilvl w:val="0"/>
          <w:numId w:val="52"/>
        </w:numPr>
        <w:spacing w:after="160" w:line="259" w:lineRule="auto"/>
        <w:ind w:left="567" w:hanging="425"/>
        <w:contextualSpacing/>
        <w:rPr>
          <w:rFonts w:eastAsia="Yu Mincho" w:cs="Times New Roman"/>
          <w:iCs/>
          <w:lang w:val="fr-FR"/>
        </w:rPr>
      </w:pPr>
      <w:r w:rsidRPr="004E13E9">
        <w:rPr>
          <w:rFonts w:eastAsia="Yu Mincho" w:cs="Times New Roman"/>
          <w:iCs/>
          <w:lang w:val="fr-FR"/>
        </w:rPr>
        <w:t>Antalya</w:t>
      </w:r>
    </w:p>
    <w:p w14:paraId="4A3A6451" w14:textId="77777777" w:rsidR="00D70898" w:rsidRPr="004E13E9" w:rsidRDefault="00D70898" w:rsidP="00487A5C">
      <w:pPr>
        <w:numPr>
          <w:ilvl w:val="0"/>
          <w:numId w:val="52"/>
        </w:numPr>
        <w:spacing w:after="160" w:line="259" w:lineRule="auto"/>
        <w:ind w:left="567" w:hanging="425"/>
        <w:contextualSpacing/>
        <w:rPr>
          <w:rFonts w:eastAsia="Yu Mincho" w:cs="Times New Roman"/>
          <w:iCs/>
          <w:lang w:val="fr-FR"/>
        </w:rPr>
      </w:pPr>
      <w:r w:rsidRPr="004E13E9">
        <w:rPr>
          <w:rFonts w:eastAsia="Yu Mincho" w:cs="Times New Roman"/>
          <w:iCs/>
          <w:lang w:val="fr-FR"/>
        </w:rPr>
        <w:t>Antalya - Alanya</w:t>
      </w:r>
    </w:p>
    <w:p w14:paraId="3D274AAC" w14:textId="77777777" w:rsidR="00D70898" w:rsidRPr="004E13E9" w:rsidRDefault="00D70898" w:rsidP="00487A5C">
      <w:pPr>
        <w:numPr>
          <w:ilvl w:val="0"/>
          <w:numId w:val="52"/>
        </w:numPr>
        <w:spacing w:after="160" w:line="259" w:lineRule="auto"/>
        <w:ind w:left="567" w:hanging="425"/>
        <w:contextualSpacing/>
        <w:rPr>
          <w:rFonts w:eastAsia="Yu Mincho" w:cs="Times New Roman"/>
          <w:iCs/>
          <w:lang w:val="fr-FR"/>
        </w:rPr>
      </w:pPr>
      <w:r w:rsidRPr="004E13E9">
        <w:rPr>
          <w:rFonts w:eastAsia="Yu Mincho" w:cs="Times New Roman"/>
          <w:iCs/>
          <w:lang w:val="fr-FR"/>
        </w:rPr>
        <w:t xml:space="preserve">Mersin - </w:t>
      </w:r>
      <w:proofErr w:type="spellStart"/>
      <w:r w:rsidRPr="004E13E9">
        <w:rPr>
          <w:rFonts w:eastAsia="Yu Mincho" w:cs="Times New Roman"/>
          <w:iCs/>
          <w:lang w:val="fr-FR"/>
        </w:rPr>
        <w:t>Erdemli</w:t>
      </w:r>
      <w:proofErr w:type="spellEnd"/>
    </w:p>
    <w:p w14:paraId="27687AC2" w14:textId="77777777" w:rsidR="00D70898" w:rsidRPr="004E13E9" w:rsidRDefault="00D70898" w:rsidP="00487A5C">
      <w:pPr>
        <w:numPr>
          <w:ilvl w:val="0"/>
          <w:numId w:val="52"/>
        </w:numPr>
        <w:spacing w:after="160" w:line="259" w:lineRule="auto"/>
        <w:ind w:left="567" w:hanging="425"/>
        <w:contextualSpacing/>
        <w:rPr>
          <w:rFonts w:eastAsia="Yu Mincho" w:cs="Times New Roman"/>
          <w:iCs/>
          <w:lang w:val="fr-FR"/>
        </w:rPr>
      </w:pPr>
      <w:r w:rsidRPr="004E13E9">
        <w:rPr>
          <w:rFonts w:eastAsia="Yu Mincho" w:cs="Times New Roman"/>
          <w:iCs/>
          <w:lang w:val="fr-FR"/>
        </w:rPr>
        <w:t xml:space="preserve">Hatay – </w:t>
      </w:r>
      <w:proofErr w:type="spellStart"/>
      <w:r w:rsidRPr="004E13E9">
        <w:rPr>
          <w:rFonts w:eastAsia="Yu Mincho" w:cs="Times New Roman"/>
          <w:iCs/>
          <w:lang w:val="fr-FR"/>
        </w:rPr>
        <w:t>Çevlik</w:t>
      </w:r>
      <w:proofErr w:type="spellEnd"/>
    </w:p>
    <w:p w14:paraId="6E3A28E2" w14:textId="77777777" w:rsidR="00D70898" w:rsidRPr="004E13E9" w:rsidRDefault="00D70898" w:rsidP="00487A5C">
      <w:pPr>
        <w:numPr>
          <w:ilvl w:val="0"/>
          <w:numId w:val="52"/>
        </w:numPr>
        <w:spacing w:after="160" w:line="259" w:lineRule="auto"/>
        <w:ind w:left="567" w:hanging="425"/>
        <w:contextualSpacing/>
        <w:rPr>
          <w:rFonts w:eastAsia="Yu Mincho" w:cs="Times New Roman"/>
          <w:iCs/>
          <w:lang w:val="fr-FR"/>
        </w:rPr>
      </w:pPr>
      <w:r w:rsidRPr="004E13E9">
        <w:rPr>
          <w:rFonts w:eastAsia="Yu Mincho" w:cs="Times New Roman"/>
          <w:iCs/>
          <w:lang w:val="fr-FR"/>
        </w:rPr>
        <w:t>Hatay-</w:t>
      </w:r>
      <w:proofErr w:type="spellStart"/>
      <w:r w:rsidRPr="004E13E9">
        <w:rPr>
          <w:rFonts w:eastAsia="Yu Mincho" w:cs="Times New Roman"/>
          <w:iCs/>
          <w:lang w:val="fr-FR"/>
        </w:rPr>
        <w:t>Işıklı</w:t>
      </w:r>
      <w:proofErr w:type="spellEnd"/>
      <w:r w:rsidRPr="004E13E9">
        <w:rPr>
          <w:rFonts w:eastAsia="Yu Mincho" w:cs="Times New Roman"/>
          <w:iCs/>
          <w:lang w:val="fr-FR"/>
        </w:rPr>
        <w:t xml:space="preserve"> </w:t>
      </w:r>
      <w:proofErr w:type="spellStart"/>
      <w:r w:rsidRPr="004E13E9">
        <w:rPr>
          <w:rFonts w:eastAsia="Yu Mincho" w:cs="Times New Roman"/>
          <w:iCs/>
          <w:lang w:val="fr-FR"/>
        </w:rPr>
        <w:t>Konacık</w:t>
      </w:r>
      <w:proofErr w:type="spellEnd"/>
      <w:r w:rsidRPr="004E13E9">
        <w:rPr>
          <w:rFonts w:eastAsia="Yu Mincho" w:cs="Times New Roman"/>
          <w:iCs/>
          <w:lang w:val="fr-FR"/>
        </w:rPr>
        <w:t xml:space="preserve"> </w:t>
      </w:r>
    </w:p>
    <w:p w14:paraId="483F6016" w14:textId="77777777" w:rsidR="00D70898" w:rsidRPr="004E13E9" w:rsidRDefault="00D70898" w:rsidP="00487A5C">
      <w:pPr>
        <w:numPr>
          <w:ilvl w:val="0"/>
          <w:numId w:val="52"/>
        </w:numPr>
        <w:spacing w:after="160" w:line="259" w:lineRule="auto"/>
        <w:ind w:left="567" w:hanging="425"/>
        <w:contextualSpacing/>
        <w:rPr>
          <w:rFonts w:eastAsia="Yu Mincho" w:cs="Times New Roman"/>
          <w:iCs/>
          <w:lang w:val="fr-FR"/>
        </w:rPr>
      </w:pPr>
      <w:r w:rsidRPr="004E13E9">
        <w:rPr>
          <w:rFonts w:eastAsia="Yu Mincho" w:cs="Times New Roman"/>
          <w:iCs/>
          <w:lang w:val="fr-FR"/>
        </w:rPr>
        <w:t xml:space="preserve">Çanakkale - </w:t>
      </w:r>
      <w:proofErr w:type="spellStart"/>
      <w:r w:rsidRPr="004E13E9">
        <w:rPr>
          <w:rFonts w:eastAsia="Yu Mincho" w:cs="Times New Roman"/>
          <w:iCs/>
          <w:lang w:val="fr-FR"/>
        </w:rPr>
        <w:t>Yeniköy</w:t>
      </w:r>
      <w:proofErr w:type="spellEnd"/>
    </w:p>
    <w:p w14:paraId="4255FABE" w14:textId="77777777" w:rsidR="00D70898" w:rsidRPr="004E13E9" w:rsidRDefault="00D70898" w:rsidP="00487A5C">
      <w:pPr>
        <w:numPr>
          <w:ilvl w:val="0"/>
          <w:numId w:val="52"/>
        </w:numPr>
        <w:spacing w:after="160" w:line="259" w:lineRule="auto"/>
        <w:ind w:left="567" w:hanging="425"/>
        <w:contextualSpacing/>
        <w:rPr>
          <w:rFonts w:eastAsia="Yu Mincho" w:cs="Times New Roman"/>
          <w:iCs/>
          <w:lang w:val="fr-FR"/>
        </w:rPr>
      </w:pPr>
      <w:r w:rsidRPr="004E13E9">
        <w:rPr>
          <w:rFonts w:eastAsia="Yu Mincho" w:cs="Times New Roman"/>
          <w:iCs/>
          <w:lang w:val="fr-FR"/>
        </w:rPr>
        <w:t>Çanakkale-</w:t>
      </w:r>
      <w:proofErr w:type="spellStart"/>
      <w:r w:rsidRPr="004E13E9">
        <w:rPr>
          <w:rFonts w:eastAsia="Yu Mincho" w:cs="Times New Roman"/>
          <w:iCs/>
          <w:lang w:val="fr-FR"/>
        </w:rPr>
        <w:t>Gülpınar</w:t>
      </w:r>
      <w:proofErr w:type="spellEnd"/>
    </w:p>
    <w:p w14:paraId="77812130" w14:textId="77777777" w:rsidR="00D70898" w:rsidRPr="004E13E9" w:rsidRDefault="00D70898" w:rsidP="00487A5C">
      <w:pPr>
        <w:numPr>
          <w:ilvl w:val="0"/>
          <w:numId w:val="52"/>
        </w:numPr>
        <w:spacing w:after="160" w:line="259" w:lineRule="auto"/>
        <w:ind w:left="567" w:hanging="425"/>
        <w:contextualSpacing/>
        <w:rPr>
          <w:rFonts w:eastAsia="Yu Mincho" w:cs="Times New Roman"/>
          <w:iCs/>
          <w:lang w:val="fr-FR"/>
        </w:rPr>
      </w:pPr>
      <w:r w:rsidRPr="004E13E9">
        <w:rPr>
          <w:rFonts w:eastAsia="Yu Mincho" w:cs="Times New Roman"/>
          <w:iCs/>
          <w:lang w:val="fr-FR"/>
        </w:rPr>
        <w:t xml:space="preserve">İstanbul - </w:t>
      </w:r>
      <w:proofErr w:type="spellStart"/>
      <w:r w:rsidRPr="004E13E9">
        <w:rPr>
          <w:rFonts w:eastAsia="Yu Mincho" w:cs="Times New Roman"/>
          <w:iCs/>
          <w:lang w:val="fr-FR"/>
        </w:rPr>
        <w:t>Gürpınar</w:t>
      </w:r>
      <w:proofErr w:type="spellEnd"/>
      <w:r w:rsidRPr="004E13E9">
        <w:rPr>
          <w:rFonts w:eastAsia="Yu Mincho" w:cs="Times New Roman"/>
          <w:iCs/>
          <w:lang w:val="fr-FR"/>
        </w:rPr>
        <w:t xml:space="preserve"> </w:t>
      </w:r>
    </w:p>
    <w:p w14:paraId="2FE32A4C" w14:textId="77777777" w:rsidR="00D70898" w:rsidRPr="004E13E9" w:rsidRDefault="00D70898" w:rsidP="00487A5C">
      <w:pPr>
        <w:numPr>
          <w:ilvl w:val="0"/>
          <w:numId w:val="52"/>
        </w:numPr>
        <w:spacing w:after="160" w:line="259" w:lineRule="auto"/>
        <w:ind w:left="567" w:hanging="425"/>
        <w:contextualSpacing/>
        <w:rPr>
          <w:rFonts w:eastAsia="Yu Mincho" w:cs="Times New Roman"/>
          <w:iCs/>
          <w:lang w:val="fr-FR"/>
        </w:rPr>
      </w:pPr>
      <w:r w:rsidRPr="004E13E9">
        <w:rPr>
          <w:rFonts w:eastAsia="Yu Mincho" w:cs="Times New Roman"/>
          <w:iCs/>
          <w:lang w:val="fr-FR"/>
        </w:rPr>
        <w:t xml:space="preserve">İstanbul - Tuzla </w:t>
      </w:r>
    </w:p>
    <w:p w14:paraId="38DA62D4" w14:textId="77777777" w:rsidR="00D70898" w:rsidRPr="004E13E9" w:rsidRDefault="00D70898" w:rsidP="00487A5C">
      <w:pPr>
        <w:numPr>
          <w:ilvl w:val="0"/>
          <w:numId w:val="52"/>
        </w:numPr>
        <w:spacing w:after="160" w:line="259" w:lineRule="auto"/>
        <w:ind w:left="567" w:hanging="425"/>
        <w:contextualSpacing/>
        <w:rPr>
          <w:rFonts w:eastAsia="Yu Mincho" w:cs="Times New Roman"/>
          <w:b/>
          <w:bCs/>
          <w:iCs/>
          <w:lang w:val="fr-FR"/>
        </w:rPr>
      </w:pPr>
      <w:r w:rsidRPr="004E13E9">
        <w:rPr>
          <w:rFonts w:eastAsia="Yu Mincho" w:cs="Times New Roman"/>
          <w:iCs/>
          <w:lang w:val="fr-FR"/>
        </w:rPr>
        <w:t>İzmir - Karaburun</w:t>
      </w:r>
    </w:p>
    <w:p w14:paraId="2D0E21DA" w14:textId="77777777" w:rsidR="00D70898" w:rsidRPr="004E13E9" w:rsidRDefault="00D70898" w:rsidP="00D70898">
      <w:pPr>
        <w:widowControl w:val="0"/>
        <w:ind w:left="426" w:hanging="426"/>
        <w:contextualSpacing/>
        <w:rPr>
          <w:rFonts w:eastAsia="MS Gothic" w:cs="Times New Roman"/>
          <w:b/>
          <w:lang w:val="fr-FR" w:eastAsia="fr-FR" w:bidi="fr-FR"/>
        </w:rPr>
      </w:pPr>
    </w:p>
    <w:p w14:paraId="123582F0" w14:textId="77777777" w:rsidR="00D70898" w:rsidRPr="004E13E9" w:rsidRDefault="00D70898" w:rsidP="00D70898">
      <w:pPr>
        <w:widowControl w:val="0"/>
        <w:ind w:left="426" w:hanging="426"/>
        <w:contextualSpacing/>
        <w:rPr>
          <w:rFonts w:eastAsia="MS Gothic" w:cs="Times New Roman"/>
          <w:b/>
          <w:lang w:val="fr-FR" w:eastAsia="fr-FR" w:bidi="fr-FR"/>
        </w:rPr>
      </w:pPr>
    </w:p>
    <w:p w14:paraId="29ECE364" w14:textId="77777777" w:rsidR="00D70898" w:rsidRPr="004E13E9" w:rsidRDefault="00D70898" w:rsidP="00D70898">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2.</w:t>
      </w:r>
      <w:r w:rsidRPr="004E13E9">
        <w:rPr>
          <w:rFonts w:eastAsia="MS Gothic" w:cs="Times New Roman"/>
          <w:b/>
          <w:lang w:val="fr-FR" w:eastAsia="fr-FR" w:bidi="fr-FR"/>
        </w:rPr>
        <w:tab/>
        <w:t>Plan annuel de gestion de la capacité de pêche (paragraphes 14-21)</w:t>
      </w:r>
    </w:p>
    <w:p w14:paraId="7FDC41A0" w14:textId="77777777" w:rsidR="00D70898" w:rsidRPr="004E13E9" w:rsidRDefault="00D70898" w:rsidP="00D70898">
      <w:pPr>
        <w:widowControl w:val="0"/>
        <w:contextualSpacing/>
        <w:rPr>
          <w:rFonts w:eastAsia="MS Gothic" w:cs="Times New Roman"/>
          <w:b/>
          <w:lang w:val="fr-FR" w:eastAsia="fr-FR" w:bidi="fr-FR"/>
        </w:rPr>
      </w:pPr>
    </w:p>
    <w:p w14:paraId="3FCE9036" w14:textId="77777777" w:rsidR="00D70898" w:rsidRPr="004E13E9" w:rsidRDefault="00D70898" w:rsidP="00D70898">
      <w:pPr>
        <w:widowControl w:val="0"/>
        <w:contextualSpacing/>
        <w:jc w:val="both"/>
        <w:rPr>
          <w:rFonts w:eastAsia="MS Gothic" w:cs="Times New Roman"/>
          <w:bCs/>
          <w:lang w:val="fr-FR" w:eastAsia="fr-FR" w:bidi="fr-FR"/>
        </w:rPr>
      </w:pPr>
      <w:r w:rsidRPr="004E13E9">
        <w:rPr>
          <w:rFonts w:eastAsia="MS Gothic" w:cs="Times New Roman"/>
          <w:bCs/>
          <w:lang w:val="fr-FR" w:eastAsia="fr-FR" w:bidi="fr-FR"/>
        </w:rPr>
        <w:t>Le nombre de navires de pêche et la capacité de pêche correspondante utilisant le modèle fourni par le Secrétariat se trouvent à la dernière page du plan.</w:t>
      </w:r>
    </w:p>
    <w:p w14:paraId="0A76F20A" w14:textId="462FAADD" w:rsidR="0086587C" w:rsidRPr="004E13E9" w:rsidRDefault="0086587C">
      <w:pPr>
        <w:rPr>
          <w:rFonts w:eastAsia="MS Gothic" w:cs="Times New Roman"/>
          <w:lang w:val="fr-FR" w:eastAsia="fr-FR" w:bidi="fr-FR"/>
        </w:rPr>
      </w:pPr>
    </w:p>
    <w:p w14:paraId="144D1638" w14:textId="38540600" w:rsidR="00D70898" w:rsidRPr="004E13E9" w:rsidRDefault="00D70898" w:rsidP="00D70898">
      <w:pPr>
        <w:widowControl w:val="0"/>
        <w:contextualSpacing/>
        <w:jc w:val="both"/>
        <w:rPr>
          <w:rFonts w:eastAsia="MS Gothic" w:cs="Times New Roman"/>
          <w:lang w:val="fr-FR" w:eastAsia="fr-FR" w:bidi="fr-FR"/>
        </w:rPr>
      </w:pPr>
      <w:r w:rsidRPr="004E13E9">
        <w:rPr>
          <w:rFonts w:eastAsia="MS Gothic" w:cs="Times New Roman"/>
          <w:lang w:val="fr-FR" w:eastAsia="fr-FR" w:bidi="fr-FR"/>
        </w:rPr>
        <w:t>Il est prévu que le MoAF délivre des permis de pêche à un 48 senneurs les autorisant à capturer du thon rouge. Ce chiffre est le plafond des navires de capture de thon rouge qui peuvent être autorisés en 2026. Un total de 90 autres navires de thon rouge de l'Est (remorqueurs, navires de support et navires auxiliaires). Un quota d'un montant viable sera alloué aux navires de capture de thon rouge de l'Est autorisés qui auront acquis un permis de pêche valide pour la saison de pêche de thon rouge de l'Est de 2026.</w:t>
      </w:r>
    </w:p>
    <w:p w14:paraId="6C5A0D20" w14:textId="77777777" w:rsidR="00D70898" w:rsidRPr="004E13E9" w:rsidRDefault="00D70898" w:rsidP="00D70898">
      <w:pPr>
        <w:widowControl w:val="0"/>
        <w:contextualSpacing/>
        <w:jc w:val="both"/>
        <w:rPr>
          <w:rFonts w:eastAsia="MS Gothic" w:cs="Times New Roman"/>
          <w:lang w:val="fr-FR" w:eastAsia="fr-FR" w:bidi="fr-FR"/>
        </w:rPr>
      </w:pPr>
    </w:p>
    <w:p w14:paraId="55B679F6" w14:textId="77777777" w:rsidR="00D70898" w:rsidRPr="004E13E9" w:rsidRDefault="00D70898" w:rsidP="00D70898">
      <w:pPr>
        <w:widowControl w:val="0"/>
        <w:ind w:left="426" w:hanging="426"/>
        <w:contextualSpacing/>
        <w:rPr>
          <w:rFonts w:eastAsia="MS Gothic" w:cs="Times New Roman"/>
          <w:b/>
          <w:lang w:val="fr-FR" w:eastAsia="fr-FR" w:bidi="fr-FR"/>
        </w:rPr>
      </w:pPr>
    </w:p>
    <w:p w14:paraId="5471BD97" w14:textId="77777777" w:rsidR="00D70898" w:rsidRPr="004E13E9" w:rsidRDefault="00D70898" w:rsidP="00D70898">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3.</w:t>
      </w:r>
      <w:r w:rsidRPr="004E13E9">
        <w:rPr>
          <w:rFonts w:eastAsia="MS Gothic" w:cs="Times New Roman"/>
          <w:b/>
          <w:lang w:val="fr-FR" w:eastAsia="fr-FR" w:bidi="fr-FR"/>
        </w:rPr>
        <w:tab/>
        <w:t>Plan annuel de gestion de l’élevage (paragraphes 22 et 23)</w:t>
      </w:r>
    </w:p>
    <w:p w14:paraId="2A8320EC" w14:textId="77777777" w:rsidR="00D70898" w:rsidRPr="004E13E9" w:rsidRDefault="00D70898" w:rsidP="00D70898">
      <w:pPr>
        <w:widowControl w:val="0"/>
        <w:jc w:val="both"/>
        <w:rPr>
          <w:rFonts w:eastAsia="MS Gothic" w:cs="Times New Roman"/>
          <w:bCs/>
          <w:lang w:val="fr-FR" w:eastAsia="fr-FR" w:bidi="fr-FR"/>
        </w:rPr>
      </w:pPr>
    </w:p>
    <w:p w14:paraId="6C1A610E" w14:textId="284B6822" w:rsidR="00F479C7" w:rsidRPr="004E13E9" w:rsidRDefault="00D70898" w:rsidP="002F30F6">
      <w:pPr>
        <w:widowControl w:val="0"/>
        <w:jc w:val="both"/>
        <w:rPr>
          <w:rFonts w:eastAsia="MS Gothic" w:cs="Times New Roman"/>
          <w:bCs/>
          <w:lang w:val="fr-FR" w:eastAsia="fr-FR" w:bidi="fr-FR"/>
        </w:rPr>
      </w:pPr>
      <w:r w:rsidRPr="004E13E9">
        <w:rPr>
          <w:rFonts w:eastAsia="MS Gothic" w:cs="Times New Roman"/>
          <w:bCs/>
          <w:lang w:val="fr-FR" w:eastAsia="fr-FR" w:bidi="fr-FR"/>
        </w:rPr>
        <w:t xml:space="preserve">Toutes les activités d’élevage feront l'objet d'un suivi, d'un contrôle et d'inspections réguliers par le MoAF en </w:t>
      </w:r>
      <w:r w:rsidRPr="004E13E9">
        <w:rPr>
          <w:rFonts w:eastAsia="MS Gothic" w:cs="Times New Roman"/>
          <w:lang w:val="fr-FR" w:eastAsia="fr-FR" w:bidi="fr-FR"/>
        </w:rPr>
        <w:t>2026</w:t>
      </w:r>
      <w:r w:rsidRPr="004E13E9">
        <w:rPr>
          <w:rFonts w:eastAsia="MS Gothic" w:cs="Times New Roman"/>
          <w:bCs/>
          <w:lang w:val="fr-FR" w:eastAsia="fr-FR" w:bidi="fr-FR"/>
        </w:rPr>
        <w:t xml:space="preserve">. Celles-ci seront menées sur une base trimestrielle en général ou sur la base de l'opération de mise en cage, l'opération de transfert, l'opération de mise à mort, selon ce qui est appliqué dans le contexte de la Rec. 25-04. Les inspections à réaliser par le ministère tout au long de l'année sont planifiées sur la base des fermes et en tenant compte d'une priorisation basée sur les risques. Les résultats des systèmes de caméras conventionnelles et stéréoscopiques seront utilisés par le ministère pour estimer l'utilisation des quotas. </w:t>
      </w:r>
    </w:p>
    <w:p w14:paraId="7E5CDFAE" w14:textId="77777777" w:rsidR="00EE4787" w:rsidRPr="004E13E9" w:rsidRDefault="00EE4787" w:rsidP="002F30F6">
      <w:pPr>
        <w:widowControl w:val="0"/>
        <w:jc w:val="both"/>
        <w:rPr>
          <w:rFonts w:eastAsia="MS Gothic" w:cs="Times New Roman"/>
          <w:bCs/>
          <w:lang w:val="fr-FR" w:eastAsia="fr-FR" w:bidi="fr-FR"/>
        </w:rPr>
      </w:pPr>
    </w:p>
    <w:p w14:paraId="684E6692" w14:textId="7991DEB9" w:rsidR="00D70898" w:rsidRPr="004E13E9" w:rsidRDefault="00D70898" w:rsidP="00D70898">
      <w:pPr>
        <w:widowControl w:val="0"/>
        <w:jc w:val="both"/>
        <w:rPr>
          <w:rFonts w:eastAsia="MS Gothic" w:cs="Times New Roman"/>
          <w:bCs/>
          <w:lang w:val="fr-FR" w:eastAsia="fr-FR" w:bidi="fr-FR"/>
        </w:rPr>
      </w:pPr>
      <w:r w:rsidRPr="004E13E9">
        <w:rPr>
          <w:rFonts w:eastAsia="MS Gothic" w:cs="Times New Roman"/>
          <w:bCs/>
          <w:lang w:val="fr-FR" w:eastAsia="fr-FR" w:bidi="fr-FR"/>
        </w:rPr>
        <w:t>Des contrôles aléatoires seront effectués sur la base de l'évaluation des risques et conformément aux paragraphes 211-218 de la Rec. 25-04. En 2026, 10 % du nombre de cages de chaque ferme sera couvert et les données/informations documentées (contenu des cages déclaré, plans schématiques des fermes dans l'inventaire du MoAF, DTI(s), DCI(s), BCD(s) correspondants, etc.) feront l'objet d'une vérification croisée.</w:t>
      </w:r>
    </w:p>
    <w:p w14:paraId="22C1F05E" w14:textId="77777777" w:rsidR="00D70898" w:rsidRPr="004E13E9" w:rsidRDefault="00D70898" w:rsidP="00D70898">
      <w:pPr>
        <w:widowControl w:val="0"/>
        <w:jc w:val="both"/>
        <w:rPr>
          <w:rFonts w:eastAsia="MS Gothic" w:cs="Times New Roman"/>
          <w:bCs/>
          <w:lang w:val="fr-FR" w:eastAsia="fr-FR" w:bidi="fr-FR"/>
        </w:rPr>
      </w:pPr>
    </w:p>
    <w:p w14:paraId="052F0D42" w14:textId="77777777" w:rsidR="00D70898" w:rsidRPr="004E13E9" w:rsidRDefault="00D70898" w:rsidP="00D70898">
      <w:pPr>
        <w:widowControl w:val="0"/>
        <w:jc w:val="both"/>
        <w:rPr>
          <w:rFonts w:eastAsia="MS Gothic" w:cs="Times New Roman"/>
          <w:bCs/>
          <w:lang w:val="fr-FR" w:eastAsia="fr-FR" w:bidi="fr-FR"/>
        </w:rPr>
      </w:pPr>
      <w:r w:rsidRPr="004E13E9">
        <w:rPr>
          <w:rFonts w:eastAsia="MS Gothic" w:cs="Times New Roman"/>
          <w:bCs/>
          <w:lang w:val="fr-FR" w:eastAsia="fr-FR" w:bidi="fr-FR"/>
        </w:rPr>
        <w:t xml:space="preserve">Le MoAF établira des protocoles pour le scellement des cages de transport et des cages de la ferme, et exigera que les cages d'élevage contenant du thon rouge soient scellées à tout moment en 2026. </w:t>
      </w:r>
    </w:p>
    <w:p w14:paraId="2A062D03" w14:textId="77777777" w:rsidR="00EE4787" w:rsidRPr="004E13E9" w:rsidRDefault="00EE4787">
      <w:pPr>
        <w:rPr>
          <w:rFonts w:eastAsia="MS Gothic" w:cs="Times New Roman"/>
          <w:lang w:val="fr-FR" w:eastAsia="fr-FR" w:bidi="fr-FR"/>
        </w:rPr>
      </w:pPr>
      <w:r w:rsidRPr="004E13E9">
        <w:rPr>
          <w:rFonts w:eastAsia="MS Gothic" w:cs="Times New Roman"/>
          <w:lang w:val="fr-FR" w:eastAsia="fr-FR" w:bidi="fr-FR"/>
        </w:rPr>
        <w:br w:type="page"/>
      </w:r>
    </w:p>
    <w:p w14:paraId="50720ADA" w14:textId="63E02C08" w:rsidR="00D70898" w:rsidRPr="004E13E9" w:rsidRDefault="00D70898" w:rsidP="00D70898">
      <w:pPr>
        <w:widowControl w:val="0"/>
        <w:contextualSpacing/>
        <w:jc w:val="both"/>
        <w:rPr>
          <w:rFonts w:eastAsia="MS Gothic" w:cs="Times New Roman"/>
          <w:lang w:val="fr-FR" w:eastAsia="fr-FR" w:bidi="fr-FR"/>
        </w:rPr>
      </w:pPr>
      <w:r w:rsidRPr="004E13E9">
        <w:rPr>
          <w:rFonts w:eastAsia="MS Gothic" w:cs="Times New Roman"/>
          <w:lang w:val="fr-FR" w:eastAsia="fr-FR" w:bidi="fr-FR"/>
        </w:rPr>
        <w:t xml:space="preserve">En référence au paragraphes 10 et 22 à 24 de la Rec. </w:t>
      </w:r>
      <w:r w:rsidRPr="004E13E9">
        <w:rPr>
          <w:rFonts w:eastAsia="MS Gothic" w:cs="Times New Roman"/>
          <w:bCs/>
          <w:lang w:val="fr-FR" w:eastAsia="fr-FR" w:bidi="fr-FR"/>
        </w:rPr>
        <w:t>25-04</w:t>
      </w:r>
      <w:r w:rsidRPr="004E13E9">
        <w:rPr>
          <w:rFonts w:eastAsia="MS Gothic" w:cs="Times New Roman"/>
          <w:lang w:val="fr-FR" w:eastAsia="fr-FR" w:bidi="fr-FR"/>
        </w:rPr>
        <w:t xml:space="preserve">, le plan annuel de gestion de l’élevage au titre de </w:t>
      </w:r>
      <w:r w:rsidRPr="004E13E9">
        <w:rPr>
          <w:rFonts w:eastAsia="MS Gothic" w:cs="Times New Roman"/>
          <w:bCs/>
          <w:lang w:val="fr-FR" w:eastAsia="fr-FR" w:bidi="fr-FR"/>
        </w:rPr>
        <w:t xml:space="preserve">2026 </w:t>
      </w:r>
      <w:r w:rsidRPr="004E13E9">
        <w:rPr>
          <w:rFonts w:eastAsia="MS Gothic" w:cs="Times New Roman"/>
          <w:lang w:val="fr-FR" w:eastAsia="fr-FR" w:bidi="fr-FR"/>
        </w:rPr>
        <w:t>est présenté ci-dessous :</w:t>
      </w:r>
    </w:p>
    <w:p w14:paraId="16340D47" w14:textId="50A07224" w:rsidR="0086587C" w:rsidRPr="004E13E9" w:rsidRDefault="0086587C" w:rsidP="00D70898">
      <w:pPr>
        <w:widowControl w:val="0"/>
        <w:contextualSpacing/>
        <w:jc w:val="both"/>
        <w:rPr>
          <w:rFonts w:eastAsia="MS Gothic" w:cs="Times New Roman"/>
          <w:lang w:val="fr-FR" w:eastAsia="fr-FR" w:bidi="fr-FR"/>
        </w:rPr>
      </w:pPr>
    </w:p>
    <w:tbl>
      <w:tblPr>
        <w:tblStyle w:val="TabloKlavuzu1"/>
        <w:tblW w:w="5000" w:type="pct"/>
        <w:tblLook w:val="04A0" w:firstRow="1" w:lastRow="0" w:firstColumn="1" w:lastColumn="0" w:noHBand="0" w:noVBand="1"/>
      </w:tblPr>
      <w:tblGrid>
        <w:gridCol w:w="1362"/>
        <w:gridCol w:w="1662"/>
        <w:gridCol w:w="1424"/>
        <w:gridCol w:w="1484"/>
        <w:gridCol w:w="3128"/>
      </w:tblGrid>
      <w:tr w:rsidR="0086587C" w:rsidRPr="004E13E9" w14:paraId="01C90973" w14:textId="77777777" w:rsidTr="002F30F6">
        <w:trPr>
          <w:tblHeader/>
        </w:trPr>
        <w:tc>
          <w:tcPr>
            <w:tcW w:w="5000" w:type="pct"/>
            <w:gridSpan w:val="5"/>
          </w:tcPr>
          <w:p w14:paraId="010D9991" w14:textId="3647A6E5" w:rsidR="0086587C" w:rsidRPr="004E13E9" w:rsidRDefault="0086587C" w:rsidP="00D70898">
            <w:pPr>
              <w:jc w:val="center"/>
              <w:rPr>
                <w:rFonts w:ascii="Cambria" w:hAnsi="Cambria"/>
                <w:bCs/>
                <w:i/>
                <w:iCs/>
                <w:sz w:val="19"/>
                <w:szCs w:val="19"/>
              </w:rPr>
            </w:pPr>
            <w:r w:rsidRPr="004E13E9">
              <w:rPr>
                <w:rFonts w:ascii="Cambria" w:hAnsi="Cambria"/>
                <w:b/>
                <w:i/>
                <w:sz w:val="19"/>
                <w:szCs w:val="19"/>
              </w:rPr>
              <w:t>Capacité d’élevage pour 2026*</w:t>
            </w:r>
          </w:p>
        </w:tc>
      </w:tr>
      <w:tr w:rsidR="0086587C" w:rsidRPr="004E13E9" w14:paraId="416E9CAE" w14:textId="77777777" w:rsidTr="002F30F6">
        <w:trPr>
          <w:tblHeader/>
        </w:trPr>
        <w:tc>
          <w:tcPr>
            <w:tcW w:w="752" w:type="pct"/>
          </w:tcPr>
          <w:p w14:paraId="0E7ED8C2" w14:textId="77777777" w:rsidR="0086587C" w:rsidRPr="004E13E9" w:rsidRDefault="0086587C" w:rsidP="00D70898">
            <w:pPr>
              <w:jc w:val="center"/>
              <w:rPr>
                <w:rFonts w:ascii="Cambria" w:hAnsi="Cambria"/>
                <w:bCs/>
                <w:i/>
                <w:iCs/>
                <w:sz w:val="19"/>
                <w:szCs w:val="19"/>
              </w:rPr>
            </w:pPr>
            <w:r w:rsidRPr="004E13E9">
              <w:rPr>
                <w:rFonts w:ascii="Cambria" w:eastAsia="Times New Roman" w:hAnsi="Cambria"/>
                <w:bCs/>
                <w:i/>
                <w:iCs/>
                <w:sz w:val="19"/>
                <w:szCs w:val="19"/>
                <w:lang w:eastAsia="tr-TR"/>
              </w:rPr>
              <w:t>Pays</w:t>
            </w:r>
          </w:p>
        </w:tc>
        <w:tc>
          <w:tcPr>
            <w:tcW w:w="917" w:type="pct"/>
          </w:tcPr>
          <w:p w14:paraId="334E33FE" w14:textId="77777777" w:rsidR="0086587C" w:rsidRPr="004E13E9" w:rsidRDefault="0086587C" w:rsidP="00D70898">
            <w:pPr>
              <w:jc w:val="center"/>
              <w:rPr>
                <w:rFonts w:ascii="Cambria" w:hAnsi="Cambria"/>
                <w:bCs/>
                <w:i/>
                <w:iCs/>
                <w:sz w:val="19"/>
                <w:szCs w:val="19"/>
              </w:rPr>
            </w:pPr>
            <w:r w:rsidRPr="004E13E9">
              <w:rPr>
                <w:rFonts w:ascii="Cambria" w:eastAsia="Times New Roman" w:hAnsi="Cambria"/>
                <w:bCs/>
                <w:i/>
                <w:iCs/>
                <w:sz w:val="19"/>
                <w:szCs w:val="19"/>
                <w:lang w:eastAsia="tr-TR"/>
              </w:rPr>
              <w:t>Ferme*</w:t>
            </w:r>
          </w:p>
        </w:tc>
        <w:tc>
          <w:tcPr>
            <w:tcW w:w="786" w:type="pct"/>
            <w:vAlign w:val="center"/>
          </w:tcPr>
          <w:p w14:paraId="5A2D5384" w14:textId="77777777" w:rsidR="0086587C" w:rsidRPr="004E13E9" w:rsidRDefault="0086587C" w:rsidP="00D70898">
            <w:pPr>
              <w:jc w:val="center"/>
              <w:rPr>
                <w:rFonts w:ascii="Cambria" w:hAnsi="Cambria"/>
                <w:bCs/>
                <w:i/>
                <w:sz w:val="19"/>
                <w:szCs w:val="19"/>
              </w:rPr>
            </w:pPr>
            <w:r w:rsidRPr="004E13E9">
              <w:rPr>
                <w:rFonts w:ascii="Cambria" w:hAnsi="Cambria"/>
                <w:bCs/>
                <w:i/>
                <w:sz w:val="19"/>
                <w:szCs w:val="19"/>
              </w:rPr>
              <w:t>Active/</w:t>
            </w:r>
          </w:p>
          <w:p w14:paraId="17E9CA4B" w14:textId="77777777" w:rsidR="0086587C" w:rsidRPr="004E13E9" w:rsidRDefault="0086587C" w:rsidP="00D70898">
            <w:pPr>
              <w:jc w:val="center"/>
              <w:rPr>
                <w:rFonts w:ascii="Cambria" w:eastAsia="Times New Roman" w:hAnsi="Cambria"/>
                <w:bCs/>
                <w:i/>
                <w:iCs/>
                <w:sz w:val="19"/>
                <w:szCs w:val="19"/>
                <w:lang w:eastAsia="tr-TR"/>
              </w:rPr>
            </w:pPr>
            <w:r w:rsidRPr="004E13E9">
              <w:rPr>
                <w:rFonts w:ascii="Cambria" w:hAnsi="Cambria"/>
                <w:bCs/>
                <w:i/>
                <w:sz w:val="19"/>
                <w:szCs w:val="19"/>
              </w:rPr>
              <w:t>Inactive</w:t>
            </w:r>
          </w:p>
        </w:tc>
        <w:tc>
          <w:tcPr>
            <w:tcW w:w="819" w:type="pct"/>
          </w:tcPr>
          <w:p w14:paraId="7F0262D4" w14:textId="77777777" w:rsidR="0086587C" w:rsidRPr="004E13E9" w:rsidRDefault="0086587C" w:rsidP="00D70898">
            <w:pPr>
              <w:jc w:val="center"/>
              <w:rPr>
                <w:rFonts w:ascii="Cambria" w:hAnsi="Cambria"/>
                <w:bCs/>
                <w:i/>
                <w:iCs/>
                <w:sz w:val="19"/>
                <w:szCs w:val="19"/>
              </w:rPr>
            </w:pPr>
            <w:r w:rsidRPr="004E13E9">
              <w:rPr>
                <w:rFonts w:ascii="Cambria" w:hAnsi="Cambria"/>
                <w:bCs/>
                <w:i/>
                <w:sz w:val="19"/>
                <w:szCs w:val="19"/>
              </w:rPr>
              <w:t>Capacité d’entrée (t)*</w:t>
            </w:r>
          </w:p>
        </w:tc>
        <w:tc>
          <w:tcPr>
            <w:tcW w:w="1725" w:type="pct"/>
          </w:tcPr>
          <w:p w14:paraId="37E403B2" w14:textId="77777777" w:rsidR="0086587C" w:rsidRPr="004E13E9" w:rsidRDefault="0086587C" w:rsidP="00D70898">
            <w:pPr>
              <w:jc w:val="center"/>
              <w:rPr>
                <w:rFonts w:ascii="Cambria" w:hAnsi="Cambria"/>
                <w:bCs/>
                <w:i/>
                <w:iCs/>
                <w:sz w:val="19"/>
                <w:szCs w:val="19"/>
              </w:rPr>
            </w:pPr>
            <w:r w:rsidRPr="004E13E9">
              <w:rPr>
                <w:rFonts w:ascii="Cambria" w:hAnsi="Cambria"/>
                <w:bCs/>
                <w:i/>
                <w:iCs/>
                <w:sz w:val="19"/>
                <w:szCs w:val="19"/>
              </w:rPr>
              <w:t>Coordonnées de la ferme</w:t>
            </w:r>
          </w:p>
        </w:tc>
      </w:tr>
      <w:tr w:rsidR="0086587C" w:rsidRPr="004E13E9" w14:paraId="3EE684AE" w14:textId="77777777" w:rsidTr="002F30F6">
        <w:tc>
          <w:tcPr>
            <w:tcW w:w="752" w:type="pct"/>
            <w:vAlign w:val="center"/>
          </w:tcPr>
          <w:p w14:paraId="4B7D90F5" w14:textId="77777777" w:rsidR="0086587C" w:rsidRPr="004E13E9" w:rsidRDefault="0086587C" w:rsidP="00D70898">
            <w:pPr>
              <w:jc w:val="center"/>
              <w:rPr>
                <w:rFonts w:ascii="Cambria" w:hAnsi="Cambria"/>
                <w:sz w:val="19"/>
                <w:szCs w:val="19"/>
              </w:rPr>
            </w:pPr>
            <w:r w:rsidRPr="004E13E9">
              <w:rPr>
                <w:rFonts w:ascii="Cambria" w:hAnsi="Cambria"/>
                <w:sz w:val="19"/>
                <w:szCs w:val="19"/>
              </w:rPr>
              <w:t>Türkiye</w:t>
            </w:r>
          </w:p>
        </w:tc>
        <w:tc>
          <w:tcPr>
            <w:tcW w:w="917" w:type="pct"/>
            <w:vAlign w:val="center"/>
          </w:tcPr>
          <w:p w14:paraId="2B2EE75D" w14:textId="77777777" w:rsidR="0086587C" w:rsidRPr="004E13E9" w:rsidRDefault="0086587C" w:rsidP="00D70898">
            <w:pPr>
              <w:jc w:val="center"/>
              <w:rPr>
                <w:rFonts w:ascii="Cambria" w:hAnsi="Cambria"/>
                <w:sz w:val="19"/>
                <w:szCs w:val="19"/>
                <w:lang w:val="en-US"/>
              </w:rPr>
            </w:pPr>
            <w:r w:rsidRPr="004E13E9">
              <w:rPr>
                <w:rFonts w:ascii="Cambria" w:hAnsi="Cambria"/>
                <w:sz w:val="19"/>
                <w:szCs w:val="19"/>
              </w:rPr>
              <w:t xml:space="preserve">Sagun Tuna </w:t>
            </w:r>
            <w:proofErr w:type="spellStart"/>
            <w:r w:rsidRPr="004E13E9">
              <w:rPr>
                <w:rFonts w:ascii="Cambria" w:hAnsi="Cambria"/>
                <w:sz w:val="19"/>
                <w:szCs w:val="19"/>
              </w:rPr>
              <w:t>Farming</w:t>
            </w:r>
            <w:proofErr w:type="spellEnd"/>
          </w:p>
        </w:tc>
        <w:tc>
          <w:tcPr>
            <w:tcW w:w="786" w:type="pct"/>
            <w:vAlign w:val="center"/>
          </w:tcPr>
          <w:p w14:paraId="416EA4E4" w14:textId="77777777" w:rsidR="0086587C" w:rsidRPr="004E13E9" w:rsidRDefault="0086587C" w:rsidP="00D70898">
            <w:pPr>
              <w:jc w:val="center"/>
              <w:rPr>
                <w:rFonts w:ascii="Cambria" w:hAnsi="Cambria"/>
                <w:sz w:val="19"/>
                <w:szCs w:val="19"/>
              </w:rPr>
            </w:pPr>
            <w:r w:rsidRPr="004E13E9">
              <w:rPr>
                <w:rFonts w:ascii="Cambria" w:hAnsi="Cambria"/>
                <w:sz w:val="19"/>
                <w:szCs w:val="19"/>
              </w:rPr>
              <w:t>Active</w:t>
            </w:r>
          </w:p>
        </w:tc>
        <w:tc>
          <w:tcPr>
            <w:tcW w:w="819" w:type="pct"/>
            <w:vAlign w:val="center"/>
          </w:tcPr>
          <w:p w14:paraId="4CB88AF4" w14:textId="77777777" w:rsidR="0086587C" w:rsidRPr="004E13E9" w:rsidRDefault="0086587C" w:rsidP="00D70898">
            <w:pPr>
              <w:jc w:val="center"/>
              <w:rPr>
                <w:rFonts w:ascii="Cambria" w:hAnsi="Cambria"/>
                <w:sz w:val="19"/>
                <w:szCs w:val="19"/>
              </w:rPr>
            </w:pPr>
            <w:r w:rsidRPr="004E13E9">
              <w:rPr>
                <w:rFonts w:ascii="Cambria" w:hAnsi="Cambria"/>
                <w:sz w:val="19"/>
                <w:szCs w:val="19"/>
              </w:rPr>
              <w:t>800</w:t>
            </w:r>
          </w:p>
        </w:tc>
        <w:tc>
          <w:tcPr>
            <w:tcW w:w="1725" w:type="pct"/>
          </w:tcPr>
          <w:p w14:paraId="45B9F825" w14:textId="77777777" w:rsidR="0086587C" w:rsidRPr="004E13E9" w:rsidRDefault="0086587C" w:rsidP="00D70898">
            <w:pPr>
              <w:rPr>
                <w:rFonts w:ascii="Cambria" w:hAnsi="Cambria"/>
                <w:sz w:val="19"/>
                <w:szCs w:val="19"/>
              </w:rPr>
            </w:pPr>
            <w:r w:rsidRPr="004E13E9">
              <w:rPr>
                <w:rFonts w:ascii="Cambria" w:hAnsi="Cambria"/>
                <w:sz w:val="19"/>
                <w:szCs w:val="19"/>
              </w:rPr>
              <w:t>38 29 16,73 N, 26 23 23,12 E</w:t>
            </w:r>
          </w:p>
          <w:p w14:paraId="0A7179D6" w14:textId="77777777" w:rsidR="0086587C" w:rsidRPr="004E13E9" w:rsidRDefault="0086587C" w:rsidP="00D70898">
            <w:pPr>
              <w:rPr>
                <w:rFonts w:ascii="Cambria" w:hAnsi="Cambria"/>
                <w:sz w:val="19"/>
                <w:szCs w:val="19"/>
              </w:rPr>
            </w:pPr>
            <w:r w:rsidRPr="004E13E9">
              <w:rPr>
                <w:rFonts w:ascii="Cambria" w:hAnsi="Cambria"/>
                <w:sz w:val="19"/>
                <w:szCs w:val="19"/>
              </w:rPr>
              <w:t>38 29 22,41 N, 26 23 23,08 E</w:t>
            </w:r>
          </w:p>
          <w:p w14:paraId="3E5BCAC7" w14:textId="77777777" w:rsidR="0086587C" w:rsidRPr="004E13E9" w:rsidRDefault="0086587C" w:rsidP="00D70898">
            <w:pPr>
              <w:rPr>
                <w:rFonts w:ascii="Cambria" w:hAnsi="Cambria"/>
                <w:sz w:val="19"/>
                <w:szCs w:val="19"/>
              </w:rPr>
            </w:pPr>
            <w:r w:rsidRPr="004E13E9">
              <w:rPr>
                <w:rFonts w:ascii="Cambria" w:hAnsi="Cambria"/>
                <w:sz w:val="19"/>
                <w:szCs w:val="19"/>
              </w:rPr>
              <w:t>38 29 22,37 N, 26 23 15,85 E</w:t>
            </w:r>
          </w:p>
          <w:p w14:paraId="627F0B6F" w14:textId="77777777" w:rsidR="0086587C" w:rsidRPr="004E13E9" w:rsidRDefault="0086587C" w:rsidP="00D70898">
            <w:pPr>
              <w:rPr>
                <w:rFonts w:ascii="Cambria" w:hAnsi="Cambria"/>
                <w:sz w:val="19"/>
                <w:szCs w:val="19"/>
              </w:rPr>
            </w:pPr>
            <w:r w:rsidRPr="004E13E9">
              <w:rPr>
                <w:rFonts w:ascii="Cambria" w:hAnsi="Cambria"/>
                <w:sz w:val="19"/>
                <w:szCs w:val="19"/>
              </w:rPr>
              <w:t>38 29 16,69 N, 26 23 15,90 E</w:t>
            </w:r>
          </w:p>
        </w:tc>
      </w:tr>
      <w:tr w:rsidR="0086587C" w:rsidRPr="004E13E9" w14:paraId="710623B9" w14:textId="77777777" w:rsidTr="002F30F6">
        <w:tc>
          <w:tcPr>
            <w:tcW w:w="752" w:type="pct"/>
          </w:tcPr>
          <w:p w14:paraId="2C7CDB82" w14:textId="77777777" w:rsidR="0086587C" w:rsidRPr="004E13E9" w:rsidRDefault="0086587C" w:rsidP="00D70898">
            <w:pPr>
              <w:jc w:val="center"/>
              <w:rPr>
                <w:rFonts w:ascii="Cambria" w:hAnsi="Cambria"/>
                <w:sz w:val="19"/>
                <w:szCs w:val="19"/>
              </w:rPr>
            </w:pPr>
            <w:r w:rsidRPr="004E13E9">
              <w:rPr>
                <w:rFonts w:ascii="Cambria" w:hAnsi="Cambria"/>
                <w:sz w:val="19"/>
                <w:szCs w:val="19"/>
              </w:rPr>
              <w:t>Türkiye</w:t>
            </w:r>
          </w:p>
        </w:tc>
        <w:tc>
          <w:tcPr>
            <w:tcW w:w="917" w:type="pct"/>
            <w:vAlign w:val="center"/>
          </w:tcPr>
          <w:p w14:paraId="4CFDCAF7" w14:textId="77777777" w:rsidR="0086587C" w:rsidRPr="004E13E9" w:rsidRDefault="0086587C" w:rsidP="00D70898">
            <w:pPr>
              <w:jc w:val="center"/>
              <w:rPr>
                <w:rFonts w:ascii="Cambria" w:hAnsi="Cambria"/>
                <w:sz w:val="19"/>
                <w:szCs w:val="19"/>
                <w:lang w:val="en-US"/>
              </w:rPr>
            </w:pPr>
            <w:r w:rsidRPr="004E13E9">
              <w:rPr>
                <w:rFonts w:ascii="Cambria" w:hAnsi="Cambria"/>
                <w:sz w:val="19"/>
                <w:szCs w:val="19"/>
                <w:lang w:val="en-US"/>
              </w:rPr>
              <w:t>Akua Group</w:t>
            </w:r>
          </w:p>
          <w:p w14:paraId="3F603D2C" w14:textId="77777777" w:rsidR="0086587C" w:rsidRPr="004E13E9" w:rsidRDefault="0086587C" w:rsidP="00D70898">
            <w:pPr>
              <w:jc w:val="center"/>
              <w:rPr>
                <w:rFonts w:ascii="Cambria" w:hAnsi="Cambria"/>
                <w:sz w:val="19"/>
                <w:szCs w:val="19"/>
                <w:lang w:val="en-US"/>
              </w:rPr>
            </w:pPr>
            <w:proofErr w:type="spellStart"/>
            <w:r w:rsidRPr="004E13E9">
              <w:rPr>
                <w:rFonts w:ascii="Cambria" w:hAnsi="Cambria"/>
                <w:sz w:val="19"/>
                <w:szCs w:val="19"/>
                <w:lang w:val="en-US"/>
              </w:rPr>
              <w:t>Orkinos</w:t>
            </w:r>
            <w:proofErr w:type="spellEnd"/>
          </w:p>
          <w:p w14:paraId="6A1799D9" w14:textId="77777777" w:rsidR="0086587C" w:rsidRPr="004E13E9" w:rsidRDefault="0086587C" w:rsidP="00D70898">
            <w:pPr>
              <w:jc w:val="center"/>
              <w:rPr>
                <w:rFonts w:ascii="Cambria" w:hAnsi="Cambria"/>
                <w:sz w:val="19"/>
                <w:szCs w:val="19"/>
                <w:lang w:val="en-US"/>
              </w:rPr>
            </w:pPr>
            <w:proofErr w:type="spellStart"/>
            <w:r w:rsidRPr="004E13E9">
              <w:rPr>
                <w:rFonts w:ascii="Cambria" w:hAnsi="Cambria"/>
                <w:sz w:val="19"/>
                <w:szCs w:val="19"/>
                <w:lang w:val="en-US"/>
              </w:rPr>
              <w:t>Besiciligi</w:t>
            </w:r>
            <w:proofErr w:type="spellEnd"/>
          </w:p>
          <w:p w14:paraId="26760402" w14:textId="77777777" w:rsidR="0086587C" w:rsidRPr="004E13E9" w:rsidRDefault="0086587C" w:rsidP="00D70898">
            <w:pPr>
              <w:jc w:val="center"/>
              <w:rPr>
                <w:rFonts w:ascii="Cambria" w:hAnsi="Cambria"/>
                <w:sz w:val="19"/>
                <w:szCs w:val="19"/>
                <w:lang w:val="en-US"/>
              </w:rPr>
            </w:pPr>
            <w:proofErr w:type="spellStart"/>
            <w:r w:rsidRPr="004E13E9">
              <w:rPr>
                <w:rFonts w:ascii="Cambria" w:hAnsi="Cambria"/>
                <w:sz w:val="19"/>
                <w:szCs w:val="19"/>
                <w:lang w:val="en-US"/>
              </w:rPr>
              <w:t>Projesi</w:t>
            </w:r>
            <w:proofErr w:type="spellEnd"/>
          </w:p>
        </w:tc>
        <w:tc>
          <w:tcPr>
            <w:tcW w:w="786" w:type="pct"/>
            <w:vAlign w:val="center"/>
          </w:tcPr>
          <w:p w14:paraId="188482F7" w14:textId="77777777" w:rsidR="0086587C" w:rsidRPr="004E13E9" w:rsidRDefault="0086587C" w:rsidP="00D70898">
            <w:pPr>
              <w:jc w:val="center"/>
              <w:rPr>
                <w:rFonts w:ascii="Cambria" w:hAnsi="Cambria"/>
                <w:sz w:val="19"/>
                <w:szCs w:val="19"/>
              </w:rPr>
            </w:pPr>
            <w:r w:rsidRPr="004E13E9">
              <w:rPr>
                <w:rFonts w:ascii="Cambria" w:hAnsi="Cambria"/>
                <w:sz w:val="19"/>
                <w:szCs w:val="19"/>
              </w:rPr>
              <w:t>Active</w:t>
            </w:r>
          </w:p>
        </w:tc>
        <w:tc>
          <w:tcPr>
            <w:tcW w:w="819" w:type="pct"/>
            <w:vAlign w:val="center"/>
          </w:tcPr>
          <w:p w14:paraId="2EA10716" w14:textId="77777777" w:rsidR="0086587C" w:rsidRPr="004E13E9" w:rsidRDefault="0086587C" w:rsidP="00D70898">
            <w:pPr>
              <w:jc w:val="center"/>
              <w:rPr>
                <w:rFonts w:ascii="Cambria" w:hAnsi="Cambria"/>
                <w:sz w:val="19"/>
                <w:szCs w:val="19"/>
              </w:rPr>
            </w:pPr>
            <w:r w:rsidRPr="004E13E9">
              <w:rPr>
                <w:rFonts w:ascii="Cambria" w:hAnsi="Cambria"/>
                <w:sz w:val="19"/>
                <w:szCs w:val="19"/>
              </w:rPr>
              <w:t>800</w:t>
            </w:r>
          </w:p>
        </w:tc>
        <w:tc>
          <w:tcPr>
            <w:tcW w:w="1725" w:type="pct"/>
          </w:tcPr>
          <w:p w14:paraId="0C21D890" w14:textId="77777777" w:rsidR="0086587C" w:rsidRPr="004E13E9" w:rsidRDefault="0086587C" w:rsidP="00D70898">
            <w:pPr>
              <w:autoSpaceDE w:val="0"/>
              <w:autoSpaceDN w:val="0"/>
              <w:adjustRightInd w:val="0"/>
              <w:rPr>
                <w:rFonts w:ascii="Cambria" w:hAnsi="Cambria"/>
                <w:sz w:val="19"/>
                <w:szCs w:val="19"/>
              </w:rPr>
            </w:pPr>
            <w:r w:rsidRPr="004E13E9">
              <w:rPr>
                <w:rFonts w:ascii="Cambria" w:hAnsi="Cambria"/>
                <w:sz w:val="19"/>
                <w:szCs w:val="19"/>
              </w:rPr>
              <w:t>38 27 24,00 N, 26 27 18,00 E</w:t>
            </w:r>
          </w:p>
          <w:p w14:paraId="097DD4EC" w14:textId="77777777" w:rsidR="0086587C" w:rsidRPr="004E13E9" w:rsidRDefault="0086587C" w:rsidP="00D70898">
            <w:pPr>
              <w:autoSpaceDE w:val="0"/>
              <w:autoSpaceDN w:val="0"/>
              <w:adjustRightInd w:val="0"/>
              <w:rPr>
                <w:rFonts w:ascii="Cambria" w:hAnsi="Cambria"/>
                <w:sz w:val="19"/>
                <w:szCs w:val="19"/>
              </w:rPr>
            </w:pPr>
            <w:r w:rsidRPr="004E13E9">
              <w:rPr>
                <w:rFonts w:ascii="Cambria" w:hAnsi="Cambria"/>
                <w:sz w:val="19"/>
                <w:szCs w:val="19"/>
              </w:rPr>
              <w:t>38 27 12,00 N, 26 27 18,00 E</w:t>
            </w:r>
          </w:p>
          <w:p w14:paraId="3B5E1596" w14:textId="77777777" w:rsidR="0086587C" w:rsidRPr="004E13E9" w:rsidRDefault="0086587C" w:rsidP="00D70898">
            <w:pPr>
              <w:autoSpaceDE w:val="0"/>
              <w:autoSpaceDN w:val="0"/>
              <w:adjustRightInd w:val="0"/>
              <w:rPr>
                <w:rFonts w:ascii="Cambria" w:hAnsi="Cambria"/>
                <w:sz w:val="19"/>
                <w:szCs w:val="19"/>
              </w:rPr>
            </w:pPr>
            <w:r w:rsidRPr="004E13E9">
              <w:rPr>
                <w:rFonts w:ascii="Cambria" w:hAnsi="Cambria"/>
                <w:sz w:val="19"/>
                <w:szCs w:val="19"/>
              </w:rPr>
              <w:t>38 27 12,00 N, 26 27 09,00 E</w:t>
            </w:r>
          </w:p>
          <w:p w14:paraId="236EE9A5" w14:textId="77777777" w:rsidR="0086587C" w:rsidRPr="004E13E9" w:rsidRDefault="0086587C" w:rsidP="00D70898">
            <w:pPr>
              <w:rPr>
                <w:rFonts w:ascii="Cambria" w:hAnsi="Cambria"/>
                <w:sz w:val="19"/>
                <w:szCs w:val="19"/>
              </w:rPr>
            </w:pPr>
            <w:r w:rsidRPr="004E13E9">
              <w:rPr>
                <w:rFonts w:ascii="Cambria" w:hAnsi="Cambria"/>
                <w:sz w:val="19"/>
                <w:szCs w:val="19"/>
              </w:rPr>
              <w:t>38 27 24,00 N, 26 27 09,00 E</w:t>
            </w:r>
          </w:p>
        </w:tc>
      </w:tr>
      <w:tr w:rsidR="0086587C" w:rsidRPr="004E13E9" w14:paraId="49706B5E" w14:textId="77777777" w:rsidTr="002F30F6">
        <w:tc>
          <w:tcPr>
            <w:tcW w:w="752" w:type="pct"/>
          </w:tcPr>
          <w:p w14:paraId="139566AC" w14:textId="77777777" w:rsidR="0086587C" w:rsidRPr="004E13E9" w:rsidRDefault="0086587C" w:rsidP="00D70898">
            <w:pPr>
              <w:jc w:val="center"/>
              <w:rPr>
                <w:rFonts w:ascii="Cambria" w:hAnsi="Cambria"/>
                <w:sz w:val="19"/>
                <w:szCs w:val="19"/>
              </w:rPr>
            </w:pPr>
            <w:r w:rsidRPr="004E13E9">
              <w:rPr>
                <w:rFonts w:ascii="Cambria" w:hAnsi="Cambria"/>
                <w:sz w:val="19"/>
                <w:szCs w:val="19"/>
              </w:rPr>
              <w:t>Türkiye</w:t>
            </w:r>
          </w:p>
        </w:tc>
        <w:tc>
          <w:tcPr>
            <w:tcW w:w="917" w:type="pct"/>
            <w:vAlign w:val="center"/>
          </w:tcPr>
          <w:p w14:paraId="65908EB4" w14:textId="77777777" w:rsidR="0086587C" w:rsidRPr="004E13E9" w:rsidRDefault="0086587C" w:rsidP="00D70898">
            <w:pPr>
              <w:jc w:val="center"/>
              <w:rPr>
                <w:rFonts w:ascii="Cambria" w:hAnsi="Cambria"/>
                <w:sz w:val="19"/>
                <w:szCs w:val="19"/>
              </w:rPr>
            </w:pPr>
            <w:r w:rsidRPr="004E13E9">
              <w:rPr>
                <w:rFonts w:ascii="Cambria" w:hAnsi="Cambria"/>
                <w:sz w:val="19"/>
                <w:szCs w:val="19"/>
              </w:rPr>
              <w:t>BASARANLAR ORKINOS BESICILIGI PROJESI</w:t>
            </w:r>
          </w:p>
        </w:tc>
        <w:tc>
          <w:tcPr>
            <w:tcW w:w="786" w:type="pct"/>
            <w:vAlign w:val="center"/>
          </w:tcPr>
          <w:p w14:paraId="75BF6E66" w14:textId="77777777" w:rsidR="0086587C" w:rsidRPr="004E13E9" w:rsidRDefault="0086587C" w:rsidP="00D70898">
            <w:pPr>
              <w:jc w:val="center"/>
              <w:rPr>
                <w:rFonts w:ascii="Cambria" w:hAnsi="Cambria"/>
                <w:sz w:val="19"/>
                <w:szCs w:val="19"/>
              </w:rPr>
            </w:pPr>
            <w:r w:rsidRPr="004E13E9">
              <w:rPr>
                <w:rFonts w:ascii="Cambria" w:hAnsi="Cambria"/>
                <w:sz w:val="19"/>
                <w:szCs w:val="19"/>
              </w:rPr>
              <w:t>Active</w:t>
            </w:r>
          </w:p>
        </w:tc>
        <w:tc>
          <w:tcPr>
            <w:tcW w:w="819" w:type="pct"/>
            <w:vAlign w:val="center"/>
          </w:tcPr>
          <w:p w14:paraId="4BFB252E" w14:textId="77777777" w:rsidR="0086587C" w:rsidRPr="004E13E9" w:rsidRDefault="0086587C" w:rsidP="00D70898">
            <w:pPr>
              <w:jc w:val="center"/>
              <w:rPr>
                <w:rFonts w:ascii="Cambria" w:hAnsi="Cambria"/>
                <w:sz w:val="19"/>
                <w:szCs w:val="19"/>
              </w:rPr>
            </w:pPr>
            <w:r w:rsidRPr="004E13E9">
              <w:rPr>
                <w:rFonts w:ascii="Cambria" w:hAnsi="Cambria"/>
                <w:sz w:val="19"/>
                <w:szCs w:val="19"/>
              </w:rPr>
              <w:t>900</w:t>
            </w:r>
          </w:p>
        </w:tc>
        <w:tc>
          <w:tcPr>
            <w:tcW w:w="1725" w:type="pct"/>
          </w:tcPr>
          <w:p w14:paraId="1055DF9E" w14:textId="77777777" w:rsidR="0086587C" w:rsidRPr="004E13E9" w:rsidRDefault="0086587C" w:rsidP="00D70898">
            <w:pPr>
              <w:rPr>
                <w:rFonts w:ascii="Cambria" w:hAnsi="Cambria"/>
                <w:sz w:val="19"/>
                <w:szCs w:val="19"/>
              </w:rPr>
            </w:pPr>
            <w:r w:rsidRPr="004E13E9">
              <w:rPr>
                <w:rFonts w:ascii="Cambria" w:hAnsi="Cambria"/>
                <w:sz w:val="19"/>
                <w:szCs w:val="19"/>
              </w:rPr>
              <w:t>38 07 49, 03N, 26 39 28,19 E 38 07 48, 05N, 26 39 33,81 E 38 07 40, 26 N 26 39 25,20 E 38 07 39, 28 N 26 39 30,83 E</w:t>
            </w:r>
          </w:p>
        </w:tc>
      </w:tr>
      <w:tr w:rsidR="0086587C" w:rsidRPr="004E13E9" w14:paraId="2DBD1368" w14:textId="77777777" w:rsidTr="002F30F6">
        <w:tc>
          <w:tcPr>
            <w:tcW w:w="752" w:type="pct"/>
          </w:tcPr>
          <w:p w14:paraId="78D3CD1C" w14:textId="77777777" w:rsidR="0086587C" w:rsidRPr="004E13E9" w:rsidRDefault="0086587C" w:rsidP="00D70898">
            <w:pPr>
              <w:jc w:val="center"/>
              <w:rPr>
                <w:rFonts w:ascii="Cambria" w:hAnsi="Cambria"/>
                <w:sz w:val="19"/>
                <w:szCs w:val="19"/>
              </w:rPr>
            </w:pPr>
            <w:r w:rsidRPr="004E13E9">
              <w:rPr>
                <w:rFonts w:ascii="Cambria" w:hAnsi="Cambria"/>
                <w:sz w:val="19"/>
                <w:szCs w:val="19"/>
              </w:rPr>
              <w:t>Türkiye</w:t>
            </w:r>
          </w:p>
        </w:tc>
        <w:tc>
          <w:tcPr>
            <w:tcW w:w="917" w:type="pct"/>
            <w:vAlign w:val="center"/>
          </w:tcPr>
          <w:p w14:paraId="7070B4D0" w14:textId="77777777" w:rsidR="0086587C" w:rsidRPr="004E13E9" w:rsidRDefault="0086587C" w:rsidP="00D70898">
            <w:pPr>
              <w:jc w:val="center"/>
              <w:rPr>
                <w:rFonts w:ascii="Cambria" w:hAnsi="Cambria"/>
                <w:sz w:val="19"/>
                <w:szCs w:val="19"/>
              </w:rPr>
            </w:pPr>
            <w:r w:rsidRPr="004E13E9">
              <w:rPr>
                <w:rFonts w:ascii="Cambria" w:hAnsi="Cambria"/>
                <w:sz w:val="19"/>
                <w:szCs w:val="19"/>
              </w:rPr>
              <w:t xml:space="preserve">KILIÇ </w:t>
            </w:r>
            <w:proofErr w:type="spellStart"/>
            <w:r w:rsidRPr="004E13E9">
              <w:rPr>
                <w:rFonts w:ascii="Cambria" w:hAnsi="Cambria"/>
                <w:sz w:val="19"/>
                <w:szCs w:val="19"/>
              </w:rPr>
              <w:t>Orkinos</w:t>
            </w:r>
            <w:proofErr w:type="spellEnd"/>
            <w:r w:rsidRPr="004E13E9">
              <w:rPr>
                <w:rFonts w:ascii="Cambria" w:hAnsi="Cambria"/>
                <w:sz w:val="19"/>
                <w:szCs w:val="19"/>
              </w:rPr>
              <w:t xml:space="preserve"> </w:t>
            </w:r>
            <w:proofErr w:type="spellStart"/>
            <w:r w:rsidRPr="004E13E9">
              <w:rPr>
                <w:rFonts w:ascii="Cambria" w:hAnsi="Cambria"/>
                <w:sz w:val="19"/>
                <w:szCs w:val="19"/>
              </w:rPr>
              <w:t>Besiciliği</w:t>
            </w:r>
            <w:proofErr w:type="spellEnd"/>
            <w:r w:rsidRPr="004E13E9">
              <w:rPr>
                <w:rFonts w:ascii="Cambria" w:hAnsi="Cambria"/>
                <w:sz w:val="19"/>
                <w:szCs w:val="19"/>
              </w:rPr>
              <w:t xml:space="preserve"> Projesi</w:t>
            </w:r>
          </w:p>
        </w:tc>
        <w:tc>
          <w:tcPr>
            <w:tcW w:w="786" w:type="pct"/>
            <w:vAlign w:val="center"/>
          </w:tcPr>
          <w:p w14:paraId="2ED58354" w14:textId="77777777" w:rsidR="0086587C" w:rsidRPr="004E13E9" w:rsidRDefault="0086587C" w:rsidP="00D70898">
            <w:pPr>
              <w:jc w:val="center"/>
              <w:rPr>
                <w:rFonts w:ascii="Cambria" w:hAnsi="Cambria"/>
                <w:sz w:val="19"/>
                <w:szCs w:val="19"/>
              </w:rPr>
            </w:pPr>
            <w:r w:rsidRPr="004E13E9">
              <w:rPr>
                <w:rFonts w:ascii="Cambria" w:hAnsi="Cambria"/>
                <w:sz w:val="19"/>
                <w:szCs w:val="19"/>
              </w:rPr>
              <w:t>Active</w:t>
            </w:r>
          </w:p>
        </w:tc>
        <w:tc>
          <w:tcPr>
            <w:tcW w:w="819" w:type="pct"/>
            <w:vAlign w:val="center"/>
          </w:tcPr>
          <w:p w14:paraId="501BF96B" w14:textId="77777777" w:rsidR="0086587C" w:rsidRPr="004E13E9" w:rsidRDefault="0086587C" w:rsidP="00D70898">
            <w:pPr>
              <w:jc w:val="center"/>
              <w:rPr>
                <w:rFonts w:ascii="Cambria" w:hAnsi="Cambria"/>
                <w:sz w:val="19"/>
                <w:szCs w:val="19"/>
              </w:rPr>
            </w:pPr>
            <w:r w:rsidRPr="004E13E9">
              <w:rPr>
                <w:rFonts w:ascii="Cambria" w:hAnsi="Cambria"/>
                <w:sz w:val="19"/>
                <w:szCs w:val="19"/>
              </w:rPr>
              <w:t>1840</w:t>
            </w:r>
          </w:p>
        </w:tc>
        <w:tc>
          <w:tcPr>
            <w:tcW w:w="1725" w:type="pct"/>
          </w:tcPr>
          <w:p w14:paraId="120092AA" w14:textId="77777777" w:rsidR="0086587C" w:rsidRPr="004E13E9" w:rsidRDefault="0086587C" w:rsidP="00D70898">
            <w:pPr>
              <w:autoSpaceDE w:val="0"/>
              <w:autoSpaceDN w:val="0"/>
              <w:adjustRightInd w:val="0"/>
              <w:rPr>
                <w:rFonts w:ascii="Cambria" w:hAnsi="Cambria"/>
                <w:sz w:val="19"/>
                <w:szCs w:val="19"/>
              </w:rPr>
            </w:pPr>
            <w:r w:rsidRPr="004E13E9">
              <w:rPr>
                <w:rFonts w:ascii="Cambria" w:hAnsi="Cambria"/>
                <w:sz w:val="19"/>
                <w:szCs w:val="19"/>
              </w:rPr>
              <w:t>38 24 40,00 N, 26 23 14,00 E</w:t>
            </w:r>
          </w:p>
          <w:p w14:paraId="3B0732AA" w14:textId="77777777" w:rsidR="0086587C" w:rsidRPr="004E13E9" w:rsidRDefault="0086587C" w:rsidP="00D70898">
            <w:pPr>
              <w:autoSpaceDE w:val="0"/>
              <w:autoSpaceDN w:val="0"/>
              <w:adjustRightInd w:val="0"/>
              <w:rPr>
                <w:rFonts w:ascii="Cambria" w:hAnsi="Cambria"/>
                <w:sz w:val="19"/>
                <w:szCs w:val="19"/>
              </w:rPr>
            </w:pPr>
            <w:r w:rsidRPr="004E13E9">
              <w:rPr>
                <w:rFonts w:ascii="Cambria" w:hAnsi="Cambria"/>
                <w:sz w:val="19"/>
                <w:szCs w:val="19"/>
              </w:rPr>
              <w:t>38 24 40,00 N, 26 23 20,00 E</w:t>
            </w:r>
          </w:p>
          <w:p w14:paraId="1E2F725C" w14:textId="77777777" w:rsidR="0086587C" w:rsidRPr="004E13E9" w:rsidRDefault="0086587C" w:rsidP="00D70898">
            <w:pPr>
              <w:autoSpaceDE w:val="0"/>
              <w:autoSpaceDN w:val="0"/>
              <w:adjustRightInd w:val="0"/>
              <w:rPr>
                <w:rFonts w:ascii="Cambria" w:hAnsi="Cambria"/>
                <w:sz w:val="19"/>
                <w:szCs w:val="19"/>
              </w:rPr>
            </w:pPr>
            <w:r w:rsidRPr="004E13E9">
              <w:rPr>
                <w:rFonts w:ascii="Cambria" w:hAnsi="Cambria"/>
                <w:sz w:val="19"/>
                <w:szCs w:val="19"/>
              </w:rPr>
              <w:t>38 24 34,00 N, 26 23 20,00 E</w:t>
            </w:r>
          </w:p>
          <w:p w14:paraId="1D42FBA8" w14:textId="77777777" w:rsidR="0086587C" w:rsidRPr="004E13E9" w:rsidRDefault="0086587C" w:rsidP="00D70898">
            <w:pPr>
              <w:rPr>
                <w:rFonts w:ascii="Cambria" w:hAnsi="Cambria"/>
                <w:sz w:val="19"/>
                <w:szCs w:val="19"/>
              </w:rPr>
            </w:pPr>
            <w:r w:rsidRPr="004E13E9">
              <w:rPr>
                <w:rFonts w:ascii="Cambria" w:hAnsi="Cambria"/>
                <w:sz w:val="19"/>
                <w:szCs w:val="19"/>
              </w:rPr>
              <w:t>38 24 34,00 N, 26 23 14,00 E</w:t>
            </w:r>
          </w:p>
        </w:tc>
      </w:tr>
      <w:tr w:rsidR="0086587C" w:rsidRPr="004E13E9" w14:paraId="76EB6461" w14:textId="77777777" w:rsidTr="002F30F6">
        <w:tc>
          <w:tcPr>
            <w:tcW w:w="752" w:type="pct"/>
          </w:tcPr>
          <w:p w14:paraId="499E392C" w14:textId="77777777" w:rsidR="0086587C" w:rsidRPr="004E13E9" w:rsidRDefault="0086587C" w:rsidP="00D70898">
            <w:pPr>
              <w:jc w:val="center"/>
              <w:rPr>
                <w:rFonts w:ascii="Cambria" w:hAnsi="Cambria"/>
                <w:sz w:val="19"/>
                <w:szCs w:val="19"/>
              </w:rPr>
            </w:pPr>
            <w:r w:rsidRPr="004E13E9">
              <w:rPr>
                <w:rFonts w:ascii="Cambria" w:hAnsi="Cambria"/>
                <w:sz w:val="19"/>
                <w:szCs w:val="19"/>
              </w:rPr>
              <w:t>Türkiye</w:t>
            </w:r>
          </w:p>
        </w:tc>
        <w:tc>
          <w:tcPr>
            <w:tcW w:w="917" w:type="pct"/>
            <w:vAlign w:val="center"/>
          </w:tcPr>
          <w:p w14:paraId="56043642" w14:textId="77777777" w:rsidR="0086587C" w:rsidRPr="004E13E9" w:rsidRDefault="0086587C" w:rsidP="00D70898">
            <w:pPr>
              <w:jc w:val="center"/>
              <w:rPr>
                <w:rFonts w:ascii="Cambria" w:hAnsi="Cambria"/>
                <w:sz w:val="19"/>
                <w:szCs w:val="19"/>
              </w:rPr>
            </w:pPr>
            <w:r w:rsidRPr="004E13E9">
              <w:rPr>
                <w:rFonts w:ascii="Cambria" w:hAnsi="Cambria"/>
                <w:sz w:val="19"/>
                <w:szCs w:val="19"/>
              </w:rPr>
              <w:t>Sagun Orkinoz Besiciliği Projesi</w:t>
            </w:r>
          </w:p>
        </w:tc>
        <w:tc>
          <w:tcPr>
            <w:tcW w:w="786" w:type="pct"/>
            <w:vAlign w:val="center"/>
          </w:tcPr>
          <w:p w14:paraId="7AA263AE" w14:textId="77777777" w:rsidR="0086587C" w:rsidRPr="004E13E9" w:rsidRDefault="0086587C" w:rsidP="00D70898">
            <w:pPr>
              <w:jc w:val="center"/>
              <w:rPr>
                <w:rFonts w:ascii="Cambria" w:hAnsi="Cambria"/>
                <w:sz w:val="19"/>
                <w:szCs w:val="19"/>
              </w:rPr>
            </w:pPr>
            <w:r w:rsidRPr="004E13E9">
              <w:rPr>
                <w:rFonts w:ascii="Cambria" w:hAnsi="Cambria"/>
                <w:sz w:val="19"/>
                <w:szCs w:val="19"/>
              </w:rPr>
              <w:t>Active</w:t>
            </w:r>
          </w:p>
        </w:tc>
        <w:tc>
          <w:tcPr>
            <w:tcW w:w="819" w:type="pct"/>
            <w:vAlign w:val="center"/>
          </w:tcPr>
          <w:p w14:paraId="42D70505" w14:textId="77777777" w:rsidR="0086587C" w:rsidRPr="004E13E9" w:rsidRDefault="0086587C" w:rsidP="00D70898">
            <w:pPr>
              <w:jc w:val="center"/>
              <w:rPr>
                <w:rFonts w:ascii="Cambria" w:hAnsi="Cambria"/>
                <w:sz w:val="19"/>
                <w:szCs w:val="19"/>
              </w:rPr>
            </w:pPr>
            <w:r w:rsidRPr="004E13E9">
              <w:rPr>
                <w:rFonts w:ascii="Cambria" w:hAnsi="Cambria"/>
                <w:sz w:val="19"/>
                <w:szCs w:val="19"/>
              </w:rPr>
              <w:t>1000</w:t>
            </w:r>
          </w:p>
        </w:tc>
        <w:tc>
          <w:tcPr>
            <w:tcW w:w="1725" w:type="pct"/>
          </w:tcPr>
          <w:p w14:paraId="66A713D7" w14:textId="77777777" w:rsidR="0086587C" w:rsidRPr="004E13E9" w:rsidRDefault="0086587C" w:rsidP="00D70898">
            <w:pPr>
              <w:autoSpaceDE w:val="0"/>
              <w:autoSpaceDN w:val="0"/>
              <w:adjustRightInd w:val="0"/>
              <w:rPr>
                <w:rFonts w:ascii="Cambria" w:hAnsi="Cambria"/>
                <w:sz w:val="19"/>
                <w:szCs w:val="19"/>
              </w:rPr>
            </w:pPr>
            <w:r w:rsidRPr="004E13E9">
              <w:rPr>
                <w:rFonts w:ascii="Cambria" w:hAnsi="Cambria"/>
                <w:sz w:val="19"/>
                <w:szCs w:val="19"/>
              </w:rPr>
              <w:t>38 24 59,00 N, 26 24 44,00 E</w:t>
            </w:r>
          </w:p>
          <w:p w14:paraId="32B11AF7" w14:textId="77777777" w:rsidR="0086587C" w:rsidRPr="004E13E9" w:rsidRDefault="0086587C" w:rsidP="00D70898">
            <w:pPr>
              <w:autoSpaceDE w:val="0"/>
              <w:autoSpaceDN w:val="0"/>
              <w:adjustRightInd w:val="0"/>
              <w:rPr>
                <w:rFonts w:ascii="Cambria" w:hAnsi="Cambria"/>
                <w:sz w:val="19"/>
                <w:szCs w:val="19"/>
              </w:rPr>
            </w:pPr>
            <w:r w:rsidRPr="004E13E9">
              <w:rPr>
                <w:rFonts w:ascii="Cambria" w:hAnsi="Cambria"/>
                <w:sz w:val="19"/>
                <w:szCs w:val="19"/>
              </w:rPr>
              <w:t>38 24 59,00 N, 26 24 52,00 E</w:t>
            </w:r>
          </w:p>
          <w:p w14:paraId="4F6432DF" w14:textId="77777777" w:rsidR="0086587C" w:rsidRPr="004E13E9" w:rsidRDefault="0086587C" w:rsidP="00D70898">
            <w:pPr>
              <w:autoSpaceDE w:val="0"/>
              <w:autoSpaceDN w:val="0"/>
              <w:adjustRightInd w:val="0"/>
              <w:rPr>
                <w:rFonts w:ascii="Cambria" w:hAnsi="Cambria"/>
                <w:sz w:val="19"/>
                <w:szCs w:val="19"/>
              </w:rPr>
            </w:pPr>
            <w:r w:rsidRPr="004E13E9">
              <w:rPr>
                <w:rFonts w:ascii="Cambria" w:hAnsi="Cambria"/>
                <w:sz w:val="19"/>
                <w:szCs w:val="19"/>
              </w:rPr>
              <w:t>38 24 46,00 N, 26 24 52,00 E</w:t>
            </w:r>
          </w:p>
          <w:p w14:paraId="5200773E" w14:textId="77777777" w:rsidR="0086587C" w:rsidRPr="004E13E9" w:rsidRDefault="0086587C" w:rsidP="00D70898">
            <w:pPr>
              <w:rPr>
                <w:rFonts w:ascii="Cambria" w:hAnsi="Cambria"/>
                <w:sz w:val="19"/>
                <w:szCs w:val="19"/>
              </w:rPr>
            </w:pPr>
            <w:r w:rsidRPr="004E13E9">
              <w:rPr>
                <w:rFonts w:ascii="Cambria" w:hAnsi="Cambria"/>
                <w:sz w:val="19"/>
                <w:szCs w:val="19"/>
              </w:rPr>
              <w:t>38 24 46,00 N, 26 24 44,00 E</w:t>
            </w:r>
          </w:p>
        </w:tc>
      </w:tr>
      <w:tr w:rsidR="0086587C" w:rsidRPr="004E13E9" w14:paraId="03B7E032" w14:textId="77777777" w:rsidTr="002F30F6">
        <w:tc>
          <w:tcPr>
            <w:tcW w:w="752" w:type="pct"/>
          </w:tcPr>
          <w:p w14:paraId="3F76DBCB" w14:textId="77777777" w:rsidR="0086587C" w:rsidRPr="004E13E9" w:rsidRDefault="0086587C" w:rsidP="00D70898">
            <w:pPr>
              <w:jc w:val="center"/>
              <w:rPr>
                <w:rFonts w:ascii="Cambria" w:hAnsi="Cambria"/>
                <w:sz w:val="19"/>
                <w:szCs w:val="19"/>
              </w:rPr>
            </w:pPr>
            <w:r w:rsidRPr="004E13E9">
              <w:rPr>
                <w:rFonts w:ascii="Cambria" w:hAnsi="Cambria"/>
                <w:sz w:val="19"/>
                <w:szCs w:val="19"/>
              </w:rPr>
              <w:t>Türkiye</w:t>
            </w:r>
          </w:p>
        </w:tc>
        <w:tc>
          <w:tcPr>
            <w:tcW w:w="917" w:type="pct"/>
            <w:vAlign w:val="center"/>
          </w:tcPr>
          <w:p w14:paraId="4DDACCA4" w14:textId="77777777" w:rsidR="0086587C" w:rsidRPr="004E13E9" w:rsidRDefault="0086587C" w:rsidP="00D70898">
            <w:pPr>
              <w:jc w:val="center"/>
              <w:rPr>
                <w:rFonts w:ascii="Cambria" w:hAnsi="Cambria"/>
                <w:sz w:val="19"/>
                <w:szCs w:val="19"/>
                <w:lang w:val="en-US"/>
              </w:rPr>
            </w:pPr>
            <w:r w:rsidRPr="004E13E9">
              <w:rPr>
                <w:rFonts w:ascii="Cambria" w:hAnsi="Cambria"/>
                <w:sz w:val="19"/>
                <w:szCs w:val="19"/>
                <w:lang w:val="en-US"/>
              </w:rPr>
              <w:t>AK-TUNA ORKINOS BESICILIGI PROJESI</w:t>
            </w:r>
          </w:p>
        </w:tc>
        <w:tc>
          <w:tcPr>
            <w:tcW w:w="786" w:type="pct"/>
            <w:vAlign w:val="center"/>
          </w:tcPr>
          <w:p w14:paraId="5DE99DDF" w14:textId="77777777" w:rsidR="0086587C" w:rsidRPr="004E13E9" w:rsidRDefault="0086587C" w:rsidP="00D70898">
            <w:pPr>
              <w:jc w:val="center"/>
              <w:rPr>
                <w:rFonts w:ascii="Cambria" w:hAnsi="Cambria"/>
                <w:sz w:val="19"/>
                <w:szCs w:val="19"/>
              </w:rPr>
            </w:pPr>
            <w:r w:rsidRPr="004E13E9">
              <w:rPr>
                <w:rFonts w:ascii="Cambria" w:hAnsi="Cambria"/>
                <w:sz w:val="19"/>
                <w:szCs w:val="19"/>
              </w:rPr>
              <w:t>Active</w:t>
            </w:r>
          </w:p>
        </w:tc>
        <w:tc>
          <w:tcPr>
            <w:tcW w:w="819" w:type="pct"/>
            <w:vAlign w:val="center"/>
          </w:tcPr>
          <w:p w14:paraId="665A5C3C" w14:textId="77777777" w:rsidR="0086587C" w:rsidRPr="004E13E9" w:rsidRDefault="0086587C" w:rsidP="00D70898">
            <w:pPr>
              <w:jc w:val="center"/>
              <w:rPr>
                <w:rFonts w:ascii="Cambria" w:hAnsi="Cambria"/>
                <w:sz w:val="19"/>
                <w:szCs w:val="19"/>
              </w:rPr>
            </w:pPr>
            <w:r w:rsidRPr="004E13E9">
              <w:rPr>
                <w:rFonts w:ascii="Cambria" w:hAnsi="Cambria"/>
                <w:sz w:val="19"/>
                <w:szCs w:val="19"/>
              </w:rPr>
              <w:t>1000</w:t>
            </w:r>
          </w:p>
        </w:tc>
        <w:tc>
          <w:tcPr>
            <w:tcW w:w="1725" w:type="pct"/>
          </w:tcPr>
          <w:p w14:paraId="6AAB0A0B" w14:textId="77777777" w:rsidR="0086587C" w:rsidRPr="004E13E9" w:rsidRDefault="0086587C" w:rsidP="00D70898">
            <w:pPr>
              <w:autoSpaceDE w:val="0"/>
              <w:autoSpaceDN w:val="0"/>
              <w:adjustRightInd w:val="0"/>
              <w:rPr>
                <w:rFonts w:ascii="Cambria" w:hAnsi="Cambria"/>
                <w:sz w:val="19"/>
                <w:szCs w:val="19"/>
              </w:rPr>
            </w:pPr>
            <w:r w:rsidRPr="004E13E9">
              <w:rPr>
                <w:rFonts w:ascii="Cambria" w:hAnsi="Cambria"/>
                <w:sz w:val="19"/>
                <w:szCs w:val="19"/>
              </w:rPr>
              <w:t>38 23 29,00 N, 26 26 10,00 E</w:t>
            </w:r>
          </w:p>
          <w:p w14:paraId="3EAD37CA" w14:textId="77777777" w:rsidR="0086587C" w:rsidRPr="004E13E9" w:rsidRDefault="0086587C" w:rsidP="00D70898">
            <w:pPr>
              <w:autoSpaceDE w:val="0"/>
              <w:autoSpaceDN w:val="0"/>
              <w:adjustRightInd w:val="0"/>
              <w:rPr>
                <w:rFonts w:ascii="Cambria" w:hAnsi="Cambria"/>
                <w:sz w:val="19"/>
                <w:szCs w:val="19"/>
              </w:rPr>
            </w:pPr>
            <w:r w:rsidRPr="004E13E9">
              <w:rPr>
                <w:rFonts w:ascii="Cambria" w:hAnsi="Cambria"/>
                <w:sz w:val="19"/>
                <w:szCs w:val="19"/>
              </w:rPr>
              <w:t>38 23 23,00 N, 26 26 10,00 E</w:t>
            </w:r>
          </w:p>
          <w:p w14:paraId="16421A86" w14:textId="77777777" w:rsidR="0086587C" w:rsidRPr="004E13E9" w:rsidRDefault="0086587C" w:rsidP="00D70898">
            <w:pPr>
              <w:autoSpaceDE w:val="0"/>
              <w:autoSpaceDN w:val="0"/>
              <w:adjustRightInd w:val="0"/>
              <w:rPr>
                <w:rFonts w:ascii="Cambria" w:hAnsi="Cambria"/>
                <w:sz w:val="19"/>
                <w:szCs w:val="19"/>
              </w:rPr>
            </w:pPr>
            <w:r w:rsidRPr="004E13E9">
              <w:rPr>
                <w:rFonts w:ascii="Cambria" w:hAnsi="Cambria"/>
                <w:sz w:val="19"/>
                <w:szCs w:val="19"/>
              </w:rPr>
              <w:t>38 23 23,00 N, 26 26 31,00 E</w:t>
            </w:r>
          </w:p>
          <w:p w14:paraId="01004DDE" w14:textId="77777777" w:rsidR="0086587C" w:rsidRPr="004E13E9" w:rsidRDefault="0086587C" w:rsidP="00D70898">
            <w:pPr>
              <w:rPr>
                <w:rFonts w:ascii="Cambria" w:hAnsi="Cambria"/>
                <w:sz w:val="19"/>
                <w:szCs w:val="19"/>
              </w:rPr>
            </w:pPr>
            <w:r w:rsidRPr="004E13E9">
              <w:rPr>
                <w:rFonts w:ascii="Cambria" w:hAnsi="Cambria"/>
                <w:sz w:val="19"/>
                <w:szCs w:val="19"/>
              </w:rPr>
              <w:t>38 23 29,00 N, 26 26 31,00 E</w:t>
            </w:r>
          </w:p>
        </w:tc>
      </w:tr>
      <w:tr w:rsidR="0086587C" w:rsidRPr="004E13E9" w14:paraId="6C13C013" w14:textId="77777777" w:rsidTr="002F30F6">
        <w:tc>
          <w:tcPr>
            <w:tcW w:w="1669" w:type="pct"/>
            <w:gridSpan w:val="2"/>
            <w:vAlign w:val="center"/>
          </w:tcPr>
          <w:p w14:paraId="40208787" w14:textId="77777777" w:rsidR="0086587C" w:rsidRPr="004E13E9" w:rsidRDefault="0086587C" w:rsidP="00D70898">
            <w:pPr>
              <w:jc w:val="center"/>
              <w:rPr>
                <w:rFonts w:ascii="Cambria" w:hAnsi="Cambria"/>
                <w:b/>
                <w:sz w:val="19"/>
                <w:szCs w:val="19"/>
              </w:rPr>
            </w:pPr>
            <w:r w:rsidRPr="004E13E9">
              <w:rPr>
                <w:rFonts w:ascii="Cambria" w:hAnsi="Cambria"/>
                <w:b/>
                <w:sz w:val="18"/>
              </w:rPr>
              <w:t>TOTAL</w:t>
            </w:r>
          </w:p>
        </w:tc>
        <w:tc>
          <w:tcPr>
            <w:tcW w:w="786" w:type="pct"/>
            <w:vAlign w:val="center"/>
          </w:tcPr>
          <w:p w14:paraId="3AFC0F35" w14:textId="77777777" w:rsidR="0086587C" w:rsidRPr="004E13E9" w:rsidRDefault="0086587C" w:rsidP="00D70898">
            <w:pPr>
              <w:jc w:val="center"/>
              <w:rPr>
                <w:rFonts w:ascii="Cambria" w:hAnsi="Cambria"/>
                <w:b/>
                <w:sz w:val="19"/>
                <w:szCs w:val="19"/>
              </w:rPr>
            </w:pPr>
          </w:p>
        </w:tc>
        <w:tc>
          <w:tcPr>
            <w:tcW w:w="819" w:type="pct"/>
            <w:vAlign w:val="center"/>
          </w:tcPr>
          <w:p w14:paraId="72E03194" w14:textId="77777777" w:rsidR="0086587C" w:rsidRPr="004E13E9" w:rsidRDefault="0086587C" w:rsidP="00D70898">
            <w:pPr>
              <w:jc w:val="center"/>
              <w:rPr>
                <w:rFonts w:ascii="Cambria" w:hAnsi="Cambria"/>
                <w:b/>
                <w:sz w:val="19"/>
                <w:szCs w:val="19"/>
              </w:rPr>
            </w:pPr>
            <w:r w:rsidRPr="004E13E9">
              <w:rPr>
                <w:rFonts w:ascii="Cambria" w:hAnsi="Cambria"/>
                <w:b/>
                <w:sz w:val="18"/>
              </w:rPr>
              <w:t>6.340</w:t>
            </w:r>
          </w:p>
        </w:tc>
        <w:tc>
          <w:tcPr>
            <w:tcW w:w="1725" w:type="pct"/>
          </w:tcPr>
          <w:p w14:paraId="71B5F20D" w14:textId="77777777" w:rsidR="0086587C" w:rsidRPr="004E13E9" w:rsidRDefault="0086587C" w:rsidP="00D70898">
            <w:pPr>
              <w:jc w:val="center"/>
              <w:rPr>
                <w:rFonts w:ascii="Cambria" w:hAnsi="Cambria"/>
                <w:sz w:val="19"/>
                <w:szCs w:val="19"/>
              </w:rPr>
            </w:pPr>
          </w:p>
        </w:tc>
      </w:tr>
      <w:tr w:rsidR="0086587C" w:rsidRPr="004E13E9" w14:paraId="5A2A60E3" w14:textId="77777777" w:rsidTr="002F30F6">
        <w:tc>
          <w:tcPr>
            <w:tcW w:w="1669" w:type="pct"/>
            <w:gridSpan w:val="2"/>
            <w:vAlign w:val="center"/>
          </w:tcPr>
          <w:p w14:paraId="4CBC93B6" w14:textId="77777777" w:rsidR="0086587C" w:rsidRPr="004E13E9" w:rsidRDefault="0086587C" w:rsidP="00D70898">
            <w:pPr>
              <w:jc w:val="center"/>
              <w:rPr>
                <w:rFonts w:ascii="Cambria" w:hAnsi="Cambria"/>
                <w:b/>
                <w:sz w:val="18"/>
              </w:rPr>
            </w:pPr>
          </w:p>
        </w:tc>
        <w:tc>
          <w:tcPr>
            <w:tcW w:w="786" w:type="pct"/>
            <w:vAlign w:val="center"/>
          </w:tcPr>
          <w:p w14:paraId="797B7BDD" w14:textId="77777777" w:rsidR="0086587C" w:rsidRPr="004E13E9" w:rsidRDefault="0086587C" w:rsidP="00D70898">
            <w:pPr>
              <w:jc w:val="center"/>
              <w:rPr>
                <w:rFonts w:ascii="Cambria" w:hAnsi="Cambria"/>
                <w:b/>
                <w:sz w:val="19"/>
                <w:szCs w:val="19"/>
              </w:rPr>
            </w:pPr>
            <w:r w:rsidRPr="004E13E9">
              <w:rPr>
                <w:rFonts w:ascii="Cambria" w:hAnsi="Cambria"/>
                <w:sz w:val="18"/>
              </w:rPr>
              <w:t>Inactive</w:t>
            </w:r>
          </w:p>
        </w:tc>
        <w:tc>
          <w:tcPr>
            <w:tcW w:w="819" w:type="pct"/>
            <w:vAlign w:val="center"/>
          </w:tcPr>
          <w:p w14:paraId="114BC9D2" w14:textId="77777777" w:rsidR="0086587C" w:rsidRPr="004E13E9" w:rsidRDefault="0086587C" w:rsidP="00D70898">
            <w:pPr>
              <w:jc w:val="center"/>
              <w:rPr>
                <w:rFonts w:ascii="Cambria" w:hAnsi="Cambria"/>
                <w:b/>
                <w:sz w:val="18"/>
              </w:rPr>
            </w:pPr>
            <w:r w:rsidRPr="004E13E9">
              <w:rPr>
                <w:rFonts w:ascii="Cambria" w:hAnsi="Cambria"/>
                <w:sz w:val="18"/>
              </w:rPr>
              <w:t xml:space="preserve">500 </w:t>
            </w:r>
            <w:r w:rsidRPr="004E13E9">
              <w:rPr>
                <w:rFonts w:ascii="Cambria" w:hAnsi="Cambria"/>
                <w:sz w:val="18"/>
                <w:vertAlign w:val="superscript"/>
              </w:rPr>
              <w:t>(1)</w:t>
            </w:r>
          </w:p>
        </w:tc>
        <w:tc>
          <w:tcPr>
            <w:tcW w:w="1725" w:type="pct"/>
            <w:vAlign w:val="center"/>
          </w:tcPr>
          <w:p w14:paraId="06DCA81F" w14:textId="77777777" w:rsidR="0086587C" w:rsidRPr="004E13E9" w:rsidRDefault="0086587C" w:rsidP="00D70898">
            <w:pPr>
              <w:jc w:val="center"/>
              <w:rPr>
                <w:rFonts w:ascii="Cambria" w:hAnsi="Cambria"/>
                <w:sz w:val="19"/>
                <w:szCs w:val="19"/>
              </w:rPr>
            </w:pPr>
          </w:p>
        </w:tc>
      </w:tr>
    </w:tbl>
    <w:p w14:paraId="26D3C413" w14:textId="77777777" w:rsidR="00D70898" w:rsidRPr="004E13E9" w:rsidRDefault="00D70898" w:rsidP="00D70898">
      <w:pPr>
        <w:widowControl w:val="0"/>
        <w:contextualSpacing/>
        <w:jc w:val="both"/>
        <w:rPr>
          <w:rFonts w:eastAsia="MS Gothic" w:cs="Times New Roman"/>
          <w:sz w:val="16"/>
          <w:szCs w:val="16"/>
          <w:lang w:val="fr-FR" w:eastAsia="fr-FR" w:bidi="fr-FR"/>
        </w:rPr>
      </w:pPr>
      <w:r w:rsidRPr="004E13E9">
        <w:rPr>
          <w:rFonts w:eastAsia="MS Gothic" w:cs="Times New Roman"/>
          <w:sz w:val="16"/>
          <w:szCs w:val="16"/>
          <w:lang w:val="fr-FR" w:eastAsia="fr-FR" w:bidi="fr-FR"/>
        </w:rPr>
        <w:t>* En cas de changement, la version finale du plan de capacité de l’élevage sera communiquée avant le 1er juin.</w:t>
      </w:r>
    </w:p>
    <w:p w14:paraId="2515DE0D" w14:textId="77777777" w:rsidR="00D70898" w:rsidRPr="004E13E9" w:rsidRDefault="00D70898" w:rsidP="00D70898">
      <w:pPr>
        <w:widowControl w:val="0"/>
        <w:contextualSpacing/>
        <w:jc w:val="both"/>
        <w:rPr>
          <w:rFonts w:eastAsia="Yu Mincho" w:cs="Times New Roman"/>
          <w:sz w:val="16"/>
          <w:szCs w:val="16"/>
          <w:lang w:val="fr-FR"/>
        </w:rPr>
      </w:pPr>
      <w:r w:rsidRPr="004E13E9">
        <w:rPr>
          <w:rFonts w:eastAsia="MS Gothic" w:cs="Times New Roman"/>
          <w:sz w:val="16"/>
          <w:szCs w:val="16"/>
          <w:lang w:val="fr-FR" w:eastAsia="fr-FR" w:bidi="fr-FR"/>
        </w:rPr>
        <w:t>**</w:t>
      </w:r>
      <w:r w:rsidRPr="004E13E9">
        <w:rPr>
          <w:rFonts w:eastAsia="Yu Mincho" w:cs="Times New Roman"/>
          <w:sz w:val="16"/>
          <w:szCs w:val="16"/>
          <w:lang w:val="fr-FR"/>
        </w:rPr>
        <w:t xml:space="preserve"> Le montant de 6.340 tonnes constitue la capacité maximale d’entrée destinée à l'élevage pour 2026. Ce chiffre englobe l’entrée maximale de thon rouge sauvage estimée pour chaque ferme, sur la base :  des parts de quota allouées au niveau national ; de la limite de capture annuelle de la Türkiye telle qu'établie au paragraphe 8 de la Rec. 25-04 ;  des transferts de quota potentiels provenant d'autres CPC ; et des importations de thon rouge vivant destiné à l’élevage en 2026.</w:t>
      </w:r>
    </w:p>
    <w:p w14:paraId="52F467B2" w14:textId="77777777" w:rsidR="00D70898" w:rsidRPr="004E13E9" w:rsidRDefault="00D70898" w:rsidP="00D70898">
      <w:pPr>
        <w:widowControl w:val="0"/>
        <w:contextualSpacing/>
        <w:jc w:val="both"/>
        <w:rPr>
          <w:rFonts w:eastAsia="MS Gothic" w:cs="Times New Roman"/>
          <w:sz w:val="18"/>
          <w:szCs w:val="18"/>
          <w:lang w:val="fr-FR" w:eastAsia="fr-FR" w:bidi="fr-FR"/>
        </w:rPr>
      </w:pPr>
    </w:p>
    <w:p w14:paraId="053B02BE" w14:textId="77777777" w:rsidR="00D70898" w:rsidRPr="004E13E9" w:rsidRDefault="00D70898" w:rsidP="00D70898">
      <w:pPr>
        <w:widowControl w:val="0"/>
        <w:contextualSpacing/>
        <w:jc w:val="both"/>
        <w:rPr>
          <w:rFonts w:eastAsia="MS Gothic" w:cs="Times New Roman"/>
          <w:sz w:val="16"/>
          <w:szCs w:val="16"/>
          <w:lang w:val="fr-FR" w:eastAsia="fr-FR" w:bidi="fr-FR"/>
        </w:rPr>
      </w:pPr>
      <w:r w:rsidRPr="004E13E9">
        <w:rPr>
          <w:rFonts w:eastAsia="MS Gothic" w:cs="Times New Roman"/>
          <w:sz w:val="16"/>
          <w:szCs w:val="16"/>
          <w:lang w:val="fr-FR" w:eastAsia="fr-FR" w:bidi="fr-FR"/>
        </w:rPr>
        <w:t xml:space="preserve">(1) Sans préjudice du droit d'utilisation à tout moment, la capacité d’élevage de 500 tonnes métriques indiquée dans le tableau ci-dessus que la Türkiye détient ne sera pas utilisée en </w:t>
      </w:r>
      <w:r w:rsidRPr="004E13E9">
        <w:rPr>
          <w:rFonts w:eastAsia="MS Gothic" w:cs="Times New Roman"/>
          <w:bCs/>
          <w:sz w:val="16"/>
          <w:szCs w:val="16"/>
          <w:lang w:val="fr-FR" w:eastAsia="fr-FR" w:bidi="fr-FR"/>
        </w:rPr>
        <w:t>2026</w:t>
      </w:r>
      <w:r w:rsidRPr="004E13E9">
        <w:rPr>
          <w:rFonts w:eastAsia="MS Gothic" w:cs="Times New Roman"/>
          <w:sz w:val="16"/>
          <w:szCs w:val="16"/>
          <w:lang w:val="fr-FR" w:eastAsia="fr-FR" w:bidi="fr-FR"/>
        </w:rPr>
        <w:t>.</w:t>
      </w:r>
    </w:p>
    <w:p w14:paraId="43E4D5CA" w14:textId="77777777" w:rsidR="00D70898" w:rsidRPr="004E13E9" w:rsidRDefault="00D70898" w:rsidP="00D70898">
      <w:pPr>
        <w:widowControl w:val="0"/>
        <w:contextualSpacing/>
        <w:rPr>
          <w:rFonts w:eastAsia="MS Gothic" w:cs="Times New Roman"/>
          <w:lang w:val="fr-FR" w:eastAsia="fr-FR" w:bidi="fr-FR"/>
        </w:rPr>
      </w:pPr>
    </w:p>
    <w:p w14:paraId="3CEA8B03" w14:textId="77777777" w:rsidR="00D70898" w:rsidRPr="004E13E9" w:rsidRDefault="00D70898" w:rsidP="00D70898">
      <w:pPr>
        <w:widowControl w:val="0"/>
        <w:contextualSpacing/>
        <w:rPr>
          <w:rFonts w:eastAsia="Yu Mincho" w:cs="Times New Roman"/>
          <w:lang w:val="fr-FR" w:bidi="fr-FR"/>
        </w:rPr>
      </w:pPr>
      <w:r w:rsidRPr="004E13E9">
        <w:rPr>
          <w:rFonts w:eastAsia="Yu Mincho" w:cs="Times New Roman"/>
          <w:lang w:val="fr-FR" w:bidi="fr-FR"/>
        </w:rPr>
        <w:t>Un rapport annuel de déclaration de report pour toutes les fermes sera soumis en annexe du plan révisé de gestion de l’élevage, lorsque tous les transferts d'évaluation de report seront terminés.</w:t>
      </w:r>
    </w:p>
    <w:p w14:paraId="0CE3C9C2" w14:textId="77777777" w:rsidR="00D70898" w:rsidRPr="004E13E9" w:rsidRDefault="00D70898" w:rsidP="00D70898">
      <w:pPr>
        <w:widowControl w:val="0"/>
        <w:contextualSpacing/>
        <w:rPr>
          <w:rFonts w:eastAsia="MS Gothic" w:cs="Times New Roman"/>
          <w:b/>
          <w:lang w:val="fr-FR" w:eastAsia="ja-JP" w:bidi="fr-FR"/>
        </w:rPr>
      </w:pPr>
    </w:p>
    <w:p w14:paraId="19BFDEE3" w14:textId="77777777" w:rsidR="00D70898" w:rsidRPr="004E13E9" w:rsidRDefault="00D70898" w:rsidP="00D70898">
      <w:pPr>
        <w:widowControl w:val="0"/>
        <w:jc w:val="both"/>
        <w:rPr>
          <w:rFonts w:eastAsia="MS Gothic" w:cs="Times New Roman"/>
          <w:bCs/>
          <w:lang w:val="fr-FR" w:eastAsia="fr-FR" w:bidi="fr-FR"/>
        </w:rPr>
      </w:pPr>
      <w:r w:rsidRPr="004E13E9">
        <w:rPr>
          <w:rFonts w:eastAsia="MS Gothic" w:cs="Times New Roman"/>
          <w:bCs/>
          <w:lang w:val="fr-FR" w:eastAsia="fr-FR" w:bidi="fr-FR"/>
        </w:rPr>
        <w:t xml:space="preserve">Les informations sur l'autorité compétente de la CPC de la ferme et la liste des points de contact désignés comme responsables de la mise en œuvre des activités nationales de mise en cage et de leur contrôle sont fournies ci-dessous : </w:t>
      </w:r>
    </w:p>
    <w:p w14:paraId="70D661E9" w14:textId="77777777" w:rsidR="00D70898" w:rsidRPr="004E13E9" w:rsidRDefault="00D70898" w:rsidP="00D70898">
      <w:pPr>
        <w:widowControl w:val="0"/>
        <w:jc w:val="both"/>
        <w:rPr>
          <w:rFonts w:eastAsia="MS Gothic" w:cs="Times New Roman"/>
          <w:bCs/>
          <w:lang w:val="fr-FR" w:eastAsia="fr-FR" w:bidi="fr-FR"/>
        </w:rPr>
      </w:pPr>
    </w:p>
    <w:p w14:paraId="6B77115E" w14:textId="77777777" w:rsidR="00D70898" w:rsidRPr="004E13E9" w:rsidRDefault="00D70898" w:rsidP="00D70898">
      <w:pPr>
        <w:widowControl w:val="0"/>
        <w:jc w:val="both"/>
        <w:rPr>
          <w:rFonts w:eastAsia="MS Gothic" w:cs="Times New Roman"/>
          <w:bCs/>
          <w:lang w:val="fr-FR" w:eastAsia="fr-FR" w:bidi="fr-FR"/>
        </w:rPr>
      </w:pPr>
      <w:r w:rsidRPr="004E13E9">
        <w:rPr>
          <w:rFonts w:eastAsia="MS Gothic" w:cs="Times New Roman"/>
          <w:bCs/>
          <w:lang w:val="fr-FR" w:eastAsia="fr-FR" w:bidi="fr-FR"/>
        </w:rPr>
        <w:t xml:space="preserve">Autorité compétente de la CPC de la ferme : ministère de l’Agriculture et des Forêts / Direction générale de la pêche et de l'aquaculture </w:t>
      </w:r>
    </w:p>
    <w:p w14:paraId="14EC4CBA" w14:textId="731E125A" w:rsidR="00F479C7" w:rsidRPr="004E13E9" w:rsidRDefault="00F479C7">
      <w:pPr>
        <w:rPr>
          <w:rFonts w:eastAsia="MS Gothic" w:cs="Times New Roman"/>
          <w:bCs/>
          <w:lang w:val="fr-FR" w:eastAsia="fr-FR" w:bidi="fr-FR"/>
        </w:rPr>
      </w:pPr>
    </w:p>
    <w:p w14:paraId="6C33D3FF" w14:textId="7B44AEA1" w:rsidR="00D70898" w:rsidRPr="004E13E9" w:rsidRDefault="00D70898" w:rsidP="00D70898">
      <w:pPr>
        <w:widowControl w:val="0"/>
        <w:jc w:val="both"/>
        <w:rPr>
          <w:rFonts w:eastAsia="MS Gothic" w:cs="Times New Roman"/>
          <w:bCs/>
          <w:lang w:val="fr-FR" w:eastAsia="fr-FR" w:bidi="fr-FR"/>
        </w:rPr>
      </w:pPr>
      <w:r w:rsidRPr="004E13E9">
        <w:rPr>
          <w:rFonts w:eastAsia="MS Gothic" w:cs="Times New Roman"/>
          <w:bCs/>
          <w:lang w:val="fr-FR" w:eastAsia="fr-FR" w:bidi="fr-FR"/>
        </w:rPr>
        <w:t>Liste des points de contact :</w:t>
      </w:r>
    </w:p>
    <w:p w14:paraId="1B58D7C6" w14:textId="77777777" w:rsidR="00D70898" w:rsidRPr="004E13E9" w:rsidRDefault="00D70898" w:rsidP="00D70898">
      <w:pPr>
        <w:widowControl w:val="0"/>
        <w:jc w:val="both"/>
        <w:rPr>
          <w:rFonts w:eastAsia="MS Gothic" w:cs="Times New Roman"/>
          <w:bCs/>
          <w:lang w:val="fr-FR" w:eastAsia="fr-FR" w:bidi="fr-FR"/>
        </w:rPr>
      </w:pPr>
    </w:p>
    <w:p w14:paraId="3A5A7D67" w14:textId="77777777" w:rsidR="00D70898" w:rsidRPr="004E13E9" w:rsidRDefault="00D70898" w:rsidP="00D70898">
      <w:pPr>
        <w:widowControl w:val="0"/>
        <w:jc w:val="both"/>
        <w:rPr>
          <w:rFonts w:eastAsia="MS Gothic" w:cs="Times New Roman"/>
          <w:bCs/>
          <w:lang w:val="fr-FR" w:eastAsia="fr-FR" w:bidi="fr-FR"/>
        </w:rPr>
      </w:pPr>
      <w:r w:rsidRPr="004E13E9">
        <w:rPr>
          <w:rFonts w:eastAsia="MS Gothic" w:cs="Times New Roman"/>
          <w:bCs/>
          <w:lang w:val="fr-FR" w:eastAsia="fr-FR" w:bidi="fr-FR"/>
        </w:rPr>
        <w:t xml:space="preserve">M. İlhan ÜZE, Chef de Département, </w:t>
      </w:r>
      <w:hyperlink r:id="rId198" w:history="1">
        <w:r w:rsidRPr="004E13E9">
          <w:rPr>
            <w:rFonts w:eastAsia="MS Gothic" w:cs="Times New Roman"/>
            <w:color w:val="0563C1"/>
            <w:lang w:val="fr-FR" w:eastAsia="fr-FR" w:bidi="fr-FR"/>
          </w:rPr>
          <w:t>ilhan.uze@tarimorman.gov.tr</w:t>
        </w:r>
      </w:hyperlink>
      <w:r w:rsidRPr="004E13E9">
        <w:rPr>
          <w:rFonts w:eastAsia="MS Gothic" w:cs="Times New Roman"/>
          <w:bCs/>
          <w:lang w:val="fr-FR" w:eastAsia="fr-FR" w:bidi="fr-FR"/>
        </w:rPr>
        <w:t xml:space="preserve"> </w:t>
      </w:r>
    </w:p>
    <w:p w14:paraId="3C89B448" w14:textId="77777777" w:rsidR="00D70898" w:rsidRPr="004E13E9" w:rsidRDefault="00D70898" w:rsidP="00D70898">
      <w:pPr>
        <w:widowControl w:val="0"/>
        <w:jc w:val="both"/>
        <w:rPr>
          <w:rFonts w:eastAsia="MS Gothic" w:cs="Times New Roman"/>
          <w:bCs/>
          <w:lang w:val="fr-FR" w:eastAsia="fr-FR" w:bidi="fr-FR"/>
        </w:rPr>
      </w:pPr>
      <w:r w:rsidRPr="004E13E9">
        <w:rPr>
          <w:rFonts w:eastAsia="MS Gothic" w:cs="Times New Roman"/>
          <w:bCs/>
          <w:lang w:val="fr-FR" w:eastAsia="fr-FR" w:bidi="fr-FR"/>
        </w:rPr>
        <w:t xml:space="preserve">M. Hüseyin KARCI, Coordinateur, </w:t>
      </w:r>
      <w:hyperlink r:id="rId199" w:history="1">
        <w:r w:rsidRPr="004E13E9">
          <w:rPr>
            <w:rFonts w:eastAsia="Yu Mincho" w:cs="Times New Roman"/>
            <w:color w:val="0563C1"/>
            <w:lang w:val="fr-FR"/>
          </w:rPr>
          <w:t>huseyin.karci@tarimorman.gov.tr</w:t>
        </w:r>
      </w:hyperlink>
    </w:p>
    <w:p w14:paraId="09D5FC29" w14:textId="77777777" w:rsidR="00D70898" w:rsidRPr="004E13E9" w:rsidRDefault="00D70898" w:rsidP="00D70898">
      <w:pPr>
        <w:spacing w:after="160" w:line="259" w:lineRule="auto"/>
        <w:rPr>
          <w:rFonts w:eastAsia="MS Gothic" w:cs="Times New Roman"/>
          <w:color w:val="0070C0"/>
          <w:lang w:val="fr-FR" w:eastAsia="fr-FR" w:bidi="fr-FR"/>
        </w:rPr>
      </w:pPr>
      <w:r w:rsidRPr="004E13E9">
        <w:rPr>
          <w:rFonts w:eastAsia="MS Gothic" w:cs="Times New Roman"/>
          <w:bCs/>
          <w:lang w:val="fr-FR" w:eastAsia="fr-FR" w:bidi="fr-FR"/>
        </w:rPr>
        <w:t xml:space="preserve">M. Semih SAYIN, Ingénieur, </w:t>
      </w:r>
      <w:hyperlink r:id="rId200" w:history="1">
        <w:r w:rsidRPr="004E13E9">
          <w:rPr>
            <w:rFonts w:eastAsia="MS Gothic" w:cs="Times New Roman"/>
            <w:color w:val="0563C1"/>
            <w:lang w:val="fr-FR" w:eastAsia="fr-FR" w:bidi="fr-FR"/>
          </w:rPr>
          <w:t>semih.sayin@tarimorman.gov.tr</w:t>
        </w:r>
      </w:hyperlink>
    </w:p>
    <w:p w14:paraId="3ECFEA2C" w14:textId="77777777" w:rsidR="00F479C7" w:rsidRPr="004E13E9" w:rsidRDefault="00F479C7" w:rsidP="00D70898">
      <w:pPr>
        <w:spacing w:after="160" w:line="259" w:lineRule="auto"/>
        <w:ind w:left="426" w:hanging="426"/>
        <w:rPr>
          <w:rFonts w:eastAsia="Yu Mincho" w:cs="Times New Roman"/>
          <w:b/>
          <w:lang w:val="fr-FR"/>
        </w:rPr>
      </w:pPr>
    </w:p>
    <w:p w14:paraId="07A7A0EC" w14:textId="77777777" w:rsidR="00EE4787" w:rsidRPr="004E13E9" w:rsidRDefault="00EE4787">
      <w:pPr>
        <w:rPr>
          <w:rFonts w:eastAsia="Yu Mincho" w:cs="Times New Roman"/>
          <w:b/>
          <w:lang w:val="fr-FR"/>
        </w:rPr>
      </w:pPr>
      <w:r w:rsidRPr="004E13E9">
        <w:rPr>
          <w:rFonts w:eastAsia="Yu Mincho" w:cs="Times New Roman"/>
          <w:b/>
          <w:lang w:val="fr-FR"/>
        </w:rPr>
        <w:br w:type="page"/>
      </w:r>
    </w:p>
    <w:p w14:paraId="7593BC5C" w14:textId="49F99A77" w:rsidR="00D70898" w:rsidRPr="004E13E9" w:rsidRDefault="00D70898" w:rsidP="00D70898">
      <w:pPr>
        <w:spacing w:after="160" w:line="259" w:lineRule="auto"/>
        <w:ind w:left="426" w:hanging="426"/>
        <w:rPr>
          <w:rFonts w:eastAsia="Yu Mincho" w:cs="Times New Roman"/>
          <w:b/>
          <w:lang w:val="fr-FR"/>
        </w:rPr>
      </w:pPr>
      <w:r w:rsidRPr="004E13E9">
        <w:rPr>
          <w:rFonts w:eastAsia="Yu Mincho" w:cs="Times New Roman"/>
          <w:b/>
          <w:lang w:val="fr-FR"/>
        </w:rPr>
        <w:t>4.</w:t>
      </w:r>
      <w:r w:rsidRPr="004E13E9">
        <w:rPr>
          <w:rFonts w:eastAsia="Yu Mincho" w:cs="Times New Roman"/>
          <w:b/>
          <w:lang w:val="fr-FR"/>
        </w:rPr>
        <w:tab/>
        <w:t xml:space="preserve">Plan annuel d’aquaculture (paragraphe 10 e) de la </w:t>
      </w:r>
      <w:hyperlink r:id="rId201" w:history="1">
        <w:r w:rsidRPr="004E13E9">
          <w:rPr>
            <w:rFonts w:eastAsia="Yu Mincho" w:cs="Times New Roman"/>
            <w:b/>
            <w:color w:val="0563C1"/>
            <w:lang w:val="fr-FR"/>
          </w:rPr>
          <w:t xml:space="preserve">Rec. 25-04 </w:t>
        </w:r>
      </w:hyperlink>
      <w:r w:rsidRPr="004E13E9">
        <w:rPr>
          <w:rFonts w:eastAsia="Yu Mincho" w:cs="Times New Roman"/>
          <w:b/>
          <w:lang w:val="fr-FR"/>
        </w:rPr>
        <w:t xml:space="preserve">conformément à la </w:t>
      </w:r>
      <w:hyperlink r:id="rId202" w:history="1">
        <w:r w:rsidRPr="004E13E9">
          <w:rPr>
            <w:rFonts w:eastAsia="Yu Mincho" w:cs="Times New Roman"/>
            <w:b/>
            <w:color w:val="0563C1"/>
            <w:lang w:val="fr-FR"/>
          </w:rPr>
          <w:t>Rec. 24-07</w:t>
        </w:r>
      </w:hyperlink>
      <w:r w:rsidRPr="004E13E9">
        <w:rPr>
          <w:rFonts w:eastAsia="Yu Mincho" w:cs="Times New Roman"/>
          <w:b/>
          <w:lang w:val="fr-FR"/>
        </w:rPr>
        <w:t>), le cas échéant</w:t>
      </w:r>
    </w:p>
    <w:p w14:paraId="3FAE1B9E" w14:textId="77777777" w:rsidR="00D70898" w:rsidRPr="004E13E9" w:rsidRDefault="00D70898" w:rsidP="00D70898">
      <w:pPr>
        <w:widowControl w:val="0"/>
        <w:ind w:left="426" w:hanging="426"/>
        <w:rPr>
          <w:rFonts w:eastAsia="MS Gothic" w:cs="Times New Roman"/>
          <w:lang w:val="fr-FR" w:eastAsia="fr-FR" w:bidi="fr-FR"/>
        </w:rPr>
      </w:pPr>
      <w:r w:rsidRPr="004E13E9">
        <w:rPr>
          <w:rFonts w:eastAsia="MS Gothic" w:cs="Times New Roman"/>
          <w:color w:val="000000"/>
          <w:lang w:val="fr-FR" w:eastAsia="fr-FR" w:bidi="fr-FR"/>
        </w:rPr>
        <w:t>Non applicable. La Türkiye ne réalise pas ces activités.</w:t>
      </w:r>
    </w:p>
    <w:p w14:paraId="28989277" w14:textId="77777777" w:rsidR="00F479C7" w:rsidRPr="004E13E9" w:rsidRDefault="00F479C7" w:rsidP="00D70898">
      <w:pPr>
        <w:widowControl w:val="0"/>
        <w:ind w:left="426" w:hanging="426"/>
        <w:rPr>
          <w:rFonts w:eastAsia="MS Gothic" w:cs="Times New Roman"/>
          <w:b/>
          <w:bCs/>
          <w:lang w:val="fr-FR" w:eastAsia="fr-FR" w:bidi="fr-FR"/>
        </w:rPr>
      </w:pPr>
    </w:p>
    <w:p w14:paraId="6FE43156" w14:textId="77777777" w:rsidR="00F479C7" w:rsidRPr="004E13E9" w:rsidRDefault="00F479C7" w:rsidP="00D70898">
      <w:pPr>
        <w:widowControl w:val="0"/>
        <w:ind w:left="426" w:hanging="426"/>
        <w:rPr>
          <w:rFonts w:eastAsia="MS Gothic" w:cs="Times New Roman"/>
          <w:b/>
          <w:bCs/>
          <w:lang w:val="fr-FR" w:eastAsia="fr-FR" w:bidi="fr-FR"/>
        </w:rPr>
      </w:pPr>
    </w:p>
    <w:p w14:paraId="5E7821D6" w14:textId="0037988E" w:rsidR="00D70898" w:rsidRPr="004E13E9" w:rsidRDefault="00D70898" w:rsidP="00D70898">
      <w:pPr>
        <w:widowControl w:val="0"/>
        <w:ind w:left="426" w:hanging="426"/>
        <w:rPr>
          <w:rFonts w:eastAsia="MS Gothic" w:cs="Times New Roman"/>
          <w:b/>
          <w:lang w:val="fr-FR" w:eastAsia="fr-FR" w:bidi="fr-FR"/>
        </w:rPr>
      </w:pPr>
      <w:r w:rsidRPr="004E13E9">
        <w:rPr>
          <w:rFonts w:eastAsia="MS Gothic" w:cs="Times New Roman"/>
          <w:b/>
          <w:bCs/>
          <w:lang w:val="fr-FR" w:eastAsia="fr-FR" w:bidi="fr-FR"/>
        </w:rPr>
        <w:t>5.</w:t>
      </w:r>
      <w:r w:rsidRPr="004E13E9">
        <w:rPr>
          <w:rFonts w:eastAsia="MS Gothic" w:cs="Times New Roman"/>
          <w:b/>
          <w:lang w:val="fr-FR" w:eastAsia="fr-FR" w:bidi="fr-FR"/>
        </w:rPr>
        <w:t xml:space="preserve"> </w:t>
      </w:r>
      <w:r w:rsidRPr="004E13E9">
        <w:rPr>
          <w:rFonts w:eastAsia="MS Gothic" w:cs="Times New Roman"/>
          <w:b/>
          <w:lang w:val="fr-FR" w:eastAsia="fr-FR" w:bidi="fr-FR"/>
        </w:rPr>
        <w:tab/>
        <w:t>Plan de suivi, contrôle et inspection</w:t>
      </w:r>
    </w:p>
    <w:p w14:paraId="41B6F40C" w14:textId="77777777" w:rsidR="00D70898" w:rsidRPr="004E13E9" w:rsidRDefault="00D70898" w:rsidP="00D70898">
      <w:pPr>
        <w:widowControl w:val="0"/>
        <w:rPr>
          <w:rFonts w:eastAsia="MS Gothic" w:cs="Times New Roman"/>
          <w:b/>
          <w:lang w:val="fr-FR" w:eastAsia="fr-FR" w:bidi="fr-FR"/>
        </w:rPr>
      </w:pPr>
    </w:p>
    <w:p w14:paraId="22BD3A04" w14:textId="77777777" w:rsidR="00D70898" w:rsidRPr="004E13E9" w:rsidRDefault="00D70898" w:rsidP="00D70898">
      <w:pPr>
        <w:widowControl w:val="0"/>
        <w:rPr>
          <w:rFonts w:eastAsia="MS Gothic" w:cs="Times New Roman"/>
          <w:b/>
          <w:i/>
          <w:iCs/>
          <w:lang w:val="fr-FR" w:eastAsia="fr-FR" w:bidi="fr-FR"/>
        </w:rPr>
      </w:pPr>
      <w:r w:rsidRPr="004E13E9">
        <w:rPr>
          <w:rFonts w:eastAsia="MS Gothic" w:cs="Times New Roman"/>
          <w:b/>
          <w:i/>
          <w:iCs/>
          <w:lang w:val="fr-FR" w:eastAsia="fr-FR" w:bidi="fr-FR"/>
        </w:rPr>
        <w:t>5a) Suivi, contrôle et inspection de la CPC (paragraphe 10 c)</w:t>
      </w:r>
    </w:p>
    <w:p w14:paraId="50677422" w14:textId="77777777" w:rsidR="00D70898" w:rsidRPr="004E13E9" w:rsidRDefault="00D70898" w:rsidP="00D70898">
      <w:pPr>
        <w:widowControl w:val="0"/>
        <w:contextualSpacing/>
        <w:rPr>
          <w:rFonts w:eastAsia="MS Gothic" w:cs="Times New Roman"/>
          <w:b/>
          <w:i/>
          <w:lang w:val="fr-FR" w:eastAsia="fr-FR" w:bidi="fr-FR"/>
        </w:rPr>
      </w:pPr>
    </w:p>
    <w:p w14:paraId="2BDF1D89" w14:textId="77777777" w:rsidR="00D70898" w:rsidRPr="004E13E9" w:rsidRDefault="00D70898" w:rsidP="00D70898">
      <w:pPr>
        <w:widowControl w:val="0"/>
        <w:contextualSpacing/>
        <w:jc w:val="both"/>
        <w:rPr>
          <w:rFonts w:eastAsia="MS Gothic" w:cs="Times New Roman"/>
          <w:iCs/>
          <w:lang w:val="fr-FR" w:eastAsia="fr-FR" w:bidi="fr-FR"/>
        </w:rPr>
      </w:pPr>
      <w:r w:rsidRPr="004E13E9">
        <w:rPr>
          <w:rFonts w:eastAsia="MS Gothic" w:cs="Times New Roman"/>
          <w:iCs/>
          <w:lang w:val="fr-FR" w:eastAsia="fr-FR" w:bidi="fr-FR"/>
        </w:rPr>
        <w:t xml:space="preserve">L'autorité compétente en matière de contrôle de la CPC et la liste des points de contact désignés comme responsables de la mise en œuvre de ce plan de suivi, de contrôle et d'inspection sont fournies comme suit : </w:t>
      </w:r>
    </w:p>
    <w:p w14:paraId="297CDACD" w14:textId="77777777" w:rsidR="00D70898" w:rsidRPr="004E13E9" w:rsidRDefault="00D70898" w:rsidP="00D70898">
      <w:pPr>
        <w:widowControl w:val="0"/>
        <w:contextualSpacing/>
        <w:rPr>
          <w:rFonts w:eastAsia="MS Gothic" w:cs="Times New Roman"/>
          <w:i/>
          <w:lang w:val="fr-FR" w:eastAsia="fr-FR" w:bidi="fr-FR"/>
        </w:rPr>
      </w:pPr>
    </w:p>
    <w:p w14:paraId="35E2AFA2" w14:textId="77777777" w:rsidR="00D70898" w:rsidRPr="004E13E9" w:rsidRDefault="00D70898" w:rsidP="00D70898">
      <w:pPr>
        <w:widowControl w:val="0"/>
        <w:contextualSpacing/>
        <w:rPr>
          <w:rFonts w:eastAsia="MS Gothic" w:cs="Times New Roman"/>
          <w:iCs/>
          <w:lang w:val="fr-FR" w:eastAsia="fr-FR" w:bidi="fr-FR"/>
        </w:rPr>
      </w:pPr>
      <w:r w:rsidRPr="004E13E9">
        <w:rPr>
          <w:rFonts w:eastAsia="MS Gothic" w:cs="Times New Roman"/>
          <w:iCs/>
          <w:lang w:val="fr-FR" w:eastAsia="fr-FR" w:bidi="fr-FR"/>
        </w:rPr>
        <w:t xml:space="preserve">Autorité compétente de la CPC : ministère de l’Agriculture et des Forêts / Direction générale de la pêche et de l'aquaculture </w:t>
      </w:r>
    </w:p>
    <w:p w14:paraId="5478A66D" w14:textId="77777777" w:rsidR="00D70898" w:rsidRPr="004E13E9" w:rsidRDefault="00D70898" w:rsidP="00D70898">
      <w:pPr>
        <w:widowControl w:val="0"/>
        <w:contextualSpacing/>
        <w:rPr>
          <w:rFonts w:eastAsia="MS Gothic" w:cs="Times New Roman"/>
          <w:iCs/>
          <w:lang w:val="fr-FR" w:eastAsia="fr-FR" w:bidi="fr-FR"/>
        </w:rPr>
      </w:pPr>
    </w:p>
    <w:p w14:paraId="339595DD" w14:textId="77777777" w:rsidR="00D70898" w:rsidRPr="004E13E9" w:rsidRDefault="00D70898" w:rsidP="00D70898">
      <w:pPr>
        <w:widowControl w:val="0"/>
        <w:contextualSpacing/>
        <w:rPr>
          <w:rFonts w:eastAsia="MS Gothic" w:cs="Times New Roman"/>
          <w:iCs/>
          <w:lang w:val="fr-FR" w:eastAsia="fr-FR" w:bidi="fr-FR"/>
        </w:rPr>
      </w:pPr>
      <w:r w:rsidRPr="004E13E9">
        <w:rPr>
          <w:rFonts w:eastAsia="MS Gothic" w:cs="Times New Roman"/>
          <w:iCs/>
          <w:lang w:val="fr-FR" w:eastAsia="fr-FR" w:bidi="fr-FR"/>
        </w:rPr>
        <w:t xml:space="preserve">Liste des points de contact :  </w:t>
      </w:r>
    </w:p>
    <w:p w14:paraId="0CA31934" w14:textId="77777777" w:rsidR="00D70898" w:rsidRPr="004E13E9" w:rsidRDefault="00D70898" w:rsidP="00D70898">
      <w:pPr>
        <w:widowControl w:val="0"/>
        <w:jc w:val="both"/>
        <w:rPr>
          <w:rFonts w:eastAsia="MS Gothic" w:cs="Times New Roman"/>
          <w:bCs/>
          <w:sz w:val="8"/>
          <w:szCs w:val="8"/>
          <w:lang w:val="fr-FR" w:eastAsia="fr-FR" w:bidi="fr-FR"/>
        </w:rPr>
      </w:pPr>
    </w:p>
    <w:p w14:paraId="680A922A" w14:textId="77777777" w:rsidR="00D70898" w:rsidRPr="004E13E9" w:rsidRDefault="00D70898" w:rsidP="00D70898">
      <w:pPr>
        <w:widowControl w:val="0"/>
        <w:jc w:val="both"/>
        <w:rPr>
          <w:rFonts w:eastAsia="MS Gothic" w:cs="Times New Roman"/>
          <w:bCs/>
          <w:lang w:val="fr-FR" w:eastAsia="fr-FR" w:bidi="fr-FR"/>
        </w:rPr>
      </w:pPr>
      <w:r w:rsidRPr="004E13E9">
        <w:rPr>
          <w:rFonts w:eastAsia="MS Gothic" w:cs="Times New Roman"/>
          <w:bCs/>
          <w:lang w:val="fr-FR" w:eastAsia="fr-FR" w:bidi="fr-FR"/>
        </w:rPr>
        <w:t xml:space="preserve">M. İlhan ÜZE, Chef de Département, </w:t>
      </w:r>
      <w:hyperlink r:id="rId203" w:history="1">
        <w:r w:rsidRPr="004E13E9">
          <w:rPr>
            <w:rFonts w:eastAsia="MS Gothic" w:cs="Times New Roman"/>
            <w:color w:val="0563C1"/>
            <w:lang w:val="fr-FR" w:eastAsia="fr-FR" w:bidi="fr-FR"/>
          </w:rPr>
          <w:t>ilhan.uze@tarimorman.gov.tr</w:t>
        </w:r>
      </w:hyperlink>
      <w:r w:rsidRPr="004E13E9">
        <w:rPr>
          <w:rFonts w:eastAsia="MS Gothic" w:cs="Times New Roman"/>
          <w:bCs/>
          <w:lang w:val="fr-FR" w:eastAsia="fr-FR" w:bidi="fr-FR"/>
        </w:rPr>
        <w:t xml:space="preserve"> </w:t>
      </w:r>
    </w:p>
    <w:p w14:paraId="789650E3" w14:textId="77777777" w:rsidR="00D70898" w:rsidRPr="004E13E9" w:rsidRDefault="00D70898" w:rsidP="00D70898">
      <w:pPr>
        <w:widowControl w:val="0"/>
        <w:jc w:val="both"/>
        <w:rPr>
          <w:rFonts w:eastAsia="MS Gothic" w:cs="Times New Roman"/>
          <w:bCs/>
          <w:lang w:val="fr-FR" w:eastAsia="fr-FR" w:bidi="fr-FR"/>
        </w:rPr>
      </w:pPr>
      <w:r w:rsidRPr="004E13E9">
        <w:rPr>
          <w:rFonts w:eastAsia="MS Gothic" w:cs="Times New Roman"/>
          <w:bCs/>
          <w:lang w:val="fr-FR" w:eastAsia="fr-FR" w:bidi="fr-FR"/>
        </w:rPr>
        <w:t xml:space="preserve">M. Hüseyin KARCI, Coordinateur, </w:t>
      </w:r>
      <w:hyperlink r:id="rId204" w:history="1">
        <w:r w:rsidRPr="004E13E9">
          <w:rPr>
            <w:rFonts w:eastAsia="Yu Mincho" w:cs="Times New Roman"/>
            <w:color w:val="0563C1"/>
            <w:lang w:val="fr-FR"/>
          </w:rPr>
          <w:t>huseyin.karci@tarimorman.gov.tr</w:t>
        </w:r>
      </w:hyperlink>
    </w:p>
    <w:p w14:paraId="39AA096E" w14:textId="77777777" w:rsidR="00D70898" w:rsidRPr="004E13E9" w:rsidRDefault="00D70898" w:rsidP="00D70898">
      <w:pPr>
        <w:spacing w:after="160" w:line="259" w:lineRule="auto"/>
        <w:rPr>
          <w:rFonts w:eastAsia="MS Gothic" w:cs="Times New Roman"/>
          <w:color w:val="0070C0"/>
          <w:lang w:val="fr-FR" w:eastAsia="fr-FR" w:bidi="fr-FR"/>
        </w:rPr>
      </w:pPr>
      <w:r w:rsidRPr="004E13E9">
        <w:rPr>
          <w:rFonts w:eastAsia="MS Gothic" w:cs="Times New Roman"/>
          <w:bCs/>
          <w:lang w:val="fr-FR" w:eastAsia="fr-FR" w:bidi="fr-FR"/>
        </w:rPr>
        <w:t xml:space="preserve">M. Semih SAYIN, Ingénieur, </w:t>
      </w:r>
      <w:hyperlink r:id="rId205" w:history="1">
        <w:r w:rsidRPr="004E13E9">
          <w:rPr>
            <w:rFonts w:eastAsia="MS Gothic" w:cs="Times New Roman"/>
            <w:color w:val="0563C1"/>
            <w:lang w:val="fr-FR" w:eastAsia="fr-FR" w:bidi="fr-FR"/>
          </w:rPr>
          <w:t>semih.sayin@tarimorman.gov.tr</w:t>
        </w:r>
      </w:hyperlink>
    </w:p>
    <w:p w14:paraId="4B388944" w14:textId="77777777" w:rsidR="00D70898" w:rsidRPr="004E13E9" w:rsidRDefault="00D70898" w:rsidP="00D70898">
      <w:pPr>
        <w:widowControl w:val="0"/>
        <w:contextualSpacing/>
        <w:rPr>
          <w:rFonts w:eastAsia="MS Gothic" w:cs="Times New Roman"/>
          <w:i/>
          <w:lang w:val="fr-FR" w:eastAsia="fr-FR" w:bidi="fr-FR"/>
        </w:rPr>
      </w:pPr>
      <w:r w:rsidRPr="004E13E9">
        <w:rPr>
          <w:rFonts w:eastAsia="MS Gothic" w:cs="Times New Roman"/>
          <w:i/>
          <w:lang w:val="fr-FR" w:eastAsia="fr-FR" w:bidi="fr-FR"/>
        </w:rPr>
        <w:t xml:space="preserve">Suivi, contrôle et inspection des opérations de pêche et de transfert de thon rouge de l’Est </w:t>
      </w:r>
    </w:p>
    <w:p w14:paraId="52F6DA68" w14:textId="77777777" w:rsidR="00D70898" w:rsidRPr="004E13E9" w:rsidRDefault="00D70898" w:rsidP="00D70898">
      <w:pPr>
        <w:widowControl w:val="0"/>
        <w:contextualSpacing/>
        <w:rPr>
          <w:rFonts w:eastAsia="MS Gothic" w:cs="Times New Roman"/>
          <w:lang w:val="fr-FR" w:eastAsia="fr-FR" w:bidi="fr-FR"/>
        </w:rPr>
      </w:pPr>
    </w:p>
    <w:p w14:paraId="6325A66A" w14:textId="77777777" w:rsidR="00D70898" w:rsidRPr="004E13E9" w:rsidRDefault="00D70898" w:rsidP="00D70898">
      <w:pPr>
        <w:widowControl w:val="0"/>
        <w:contextualSpacing/>
        <w:jc w:val="both"/>
        <w:rPr>
          <w:rFonts w:eastAsia="MS Gothic" w:cs="Times New Roman"/>
          <w:lang w:val="fr-FR" w:eastAsia="fr-FR" w:bidi="fr-FR"/>
        </w:rPr>
      </w:pPr>
      <w:r w:rsidRPr="004E13E9">
        <w:rPr>
          <w:rFonts w:eastAsia="MS Gothic" w:cs="Times New Roman"/>
          <w:lang w:val="fr-FR" w:eastAsia="fr-FR" w:bidi="fr-FR"/>
        </w:rPr>
        <w:t>Tous les navires devront être équipés et contrôlés par un système de surveillance des bateaux (VMS) opérationnel. Le Centre de surveillance des pêches (FMC), opéré par le ministère, continuera à être utilisé pendant toute la campagne de pêche.</w:t>
      </w:r>
    </w:p>
    <w:p w14:paraId="366E1A28" w14:textId="77777777" w:rsidR="00D70898" w:rsidRPr="004E13E9" w:rsidRDefault="00D70898" w:rsidP="00D70898">
      <w:pPr>
        <w:widowControl w:val="0"/>
        <w:contextualSpacing/>
        <w:rPr>
          <w:rFonts w:eastAsia="MS Gothic" w:cs="Times New Roman"/>
          <w:lang w:val="fr-FR" w:eastAsia="fr-FR" w:bidi="fr-FR"/>
        </w:rPr>
      </w:pPr>
    </w:p>
    <w:p w14:paraId="38EE4EB8" w14:textId="77777777" w:rsidR="00D70898" w:rsidRPr="004E13E9" w:rsidRDefault="00D70898" w:rsidP="00D70898">
      <w:pPr>
        <w:widowControl w:val="0"/>
        <w:contextualSpacing/>
        <w:jc w:val="both"/>
        <w:rPr>
          <w:rFonts w:eastAsia="MS Gothic" w:cs="Times New Roman"/>
          <w:lang w:val="fr-FR" w:eastAsia="fr-FR" w:bidi="fr-FR"/>
        </w:rPr>
      </w:pPr>
      <w:r w:rsidRPr="004E13E9">
        <w:rPr>
          <w:rFonts w:eastAsia="MS Gothic" w:cs="Times New Roman"/>
          <w:lang w:val="fr-FR" w:eastAsia="fr-FR" w:bidi="fr-FR"/>
        </w:rPr>
        <w:t xml:space="preserve">En collaboration avec le Commandement turc de la garde-côtière en mer (TCGC), le MoAF garantira une couverture d’inspection exhaustive en mer pendant la saison de pêche de thon rouge de l'Est de 2026. À cette fin, un navire de recherche </w:t>
      </w:r>
      <w:proofErr w:type="spellStart"/>
      <w:r w:rsidRPr="004E13E9">
        <w:rPr>
          <w:rFonts w:eastAsia="MS Gothic" w:cs="Times New Roman"/>
          <w:lang w:val="fr-FR" w:eastAsia="fr-FR" w:bidi="fr-FR"/>
        </w:rPr>
        <w:t>autodyne</w:t>
      </w:r>
      <w:proofErr w:type="spellEnd"/>
      <w:r w:rsidRPr="004E13E9">
        <w:rPr>
          <w:rFonts w:eastAsia="MS Gothic" w:cs="Times New Roman"/>
          <w:lang w:val="fr-FR" w:eastAsia="fr-FR" w:bidi="fr-FR"/>
        </w:rPr>
        <w:t xml:space="preserve">, à savoir le </w:t>
      </w:r>
      <w:r w:rsidRPr="004E13E9">
        <w:rPr>
          <w:rFonts w:eastAsia="MS Gothic" w:cs="Times New Roman"/>
          <w:i/>
          <w:iCs/>
          <w:lang w:val="fr-FR" w:eastAsia="fr-FR" w:bidi="fr-FR"/>
        </w:rPr>
        <w:t>AKDENİZ ARAŞTIRMA 1</w:t>
      </w:r>
      <w:r w:rsidRPr="004E13E9">
        <w:rPr>
          <w:rFonts w:eastAsia="MS Gothic" w:cs="Times New Roman"/>
          <w:lang w:val="fr-FR" w:eastAsia="fr-FR" w:bidi="fr-FR"/>
        </w:rPr>
        <w:t>, sera chargé par le MoAF de réaliser des inspections en mer.</w:t>
      </w:r>
    </w:p>
    <w:p w14:paraId="294EA8AF" w14:textId="77777777" w:rsidR="00D70898" w:rsidRPr="004E13E9" w:rsidRDefault="00D70898" w:rsidP="00D70898">
      <w:pPr>
        <w:widowControl w:val="0"/>
        <w:contextualSpacing/>
        <w:jc w:val="both"/>
        <w:rPr>
          <w:rFonts w:eastAsia="MS Gothic" w:cs="Times New Roman"/>
          <w:lang w:val="fr-FR" w:eastAsia="fr-FR" w:bidi="fr-FR"/>
        </w:rPr>
      </w:pPr>
    </w:p>
    <w:p w14:paraId="49AA121F" w14:textId="77777777" w:rsidR="00D70898" w:rsidRPr="004E13E9" w:rsidRDefault="00D70898" w:rsidP="00D70898">
      <w:pPr>
        <w:widowControl w:val="0"/>
        <w:contextualSpacing/>
        <w:jc w:val="both"/>
        <w:rPr>
          <w:rFonts w:eastAsia="MS Gothic" w:cs="Times New Roman"/>
          <w:lang w:val="fr-FR" w:eastAsia="fr-FR" w:bidi="fr-FR"/>
        </w:rPr>
      </w:pPr>
      <w:r w:rsidRPr="004E13E9">
        <w:rPr>
          <w:rFonts w:eastAsia="MS Gothic" w:cs="Times New Roman"/>
          <w:lang w:val="fr-FR" w:eastAsia="fr-FR" w:bidi="fr-FR"/>
        </w:rPr>
        <w:t>Un suivi, un contrôle et une inspection continus devront être assurés dans les ports de débarquement potentiellement actifs par le biais du déploiement d'inspecteurs du MoAF. En outre, le MoAF poursuivra ses inspections aléatoires même avant/après la saison de pêche dans les ports de débarquement, les véhicules de transport et les marchés aux poissons afin de vérifier et de consigner tout débarquement, transport ou stockage de thon rouge de l'Est. Les pêcheries artisanales et côtières ainsi que les pêcheries sportives et récréatives seront inspectées dans le cadre des inspections annuelles prévues par le MoAF et le TCGC dans les eaux territoriales.</w:t>
      </w:r>
    </w:p>
    <w:p w14:paraId="1C861338" w14:textId="77777777" w:rsidR="00D70898" w:rsidRPr="004E13E9" w:rsidRDefault="00D70898" w:rsidP="00D70898">
      <w:pPr>
        <w:widowControl w:val="0"/>
        <w:contextualSpacing/>
        <w:jc w:val="both"/>
        <w:rPr>
          <w:rFonts w:eastAsia="MS Gothic" w:cs="Times New Roman"/>
          <w:lang w:val="fr-FR" w:eastAsia="fr-FR" w:bidi="fr-FR"/>
        </w:rPr>
      </w:pPr>
    </w:p>
    <w:p w14:paraId="5E9C0AA8" w14:textId="77777777" w:rsidR="00D70898" w:rsidRPr="004E13E9" w:rsidRDefault="00D70898" w:rsidP="00D70898">
      <w:pPr>
        <w:widowControl w:val="0"/>
        <w:contextualSpacing/>
        <w:jc w:val="both"/>
        <w:rPr>
          <w:rFonts w:eastAsia="MS Gothic" w:cs="Times New Roman"/>
          <w:iCs/>
          <w:lang w:val="fr-FR" w:eastAsia="fr-FR" w:bidi="fr-FR"/>
        </w:rPr>
      </w:pPr>
      <w:r w:rsidRPr="004E13E9">
        <w:rPr>
          <w:rFonts w:eastAsia="MS Gothic" w:cs="Times New Roman"/>
          <w:iCs/>
          <w:lang w:val="fr-FR" w:eastAsia="fr-FR" w:bidi="fr-FR"/>
        </w:rPr>
        <w:t xml:space="preserve">Si les enregistrements vidéo ne répondent pas aux normes minimales, l'opérateur donneur effectuera un ou plusieurs transferts volontaires, et le MoAF ordonnera un transfert de contrôle dans le cas où la détermination du nombre de poissons transférés ne peut être estimée par les transferts volontaires.      </w:t>
      </w:r>
    </w:p>
    <w:p w14:paraId="2351BB88" w14:textId="77777777" w:rsidR="00D70898" w:rsidRPr="004E13E9" w:rsidRDefault="00D70898" w:rsidP="00D70898">
      <w:pPr>
        <w:widowControl w:val="0"/>
        <w:contextualSpacing/>
        <w:jc w:val="both"/>
        <w:rPr>
          <w:rFonts w:eastAsia="MS Gothic" w:cs="Times New Roman"/>
          <w:i/>
          <w:lang w:val="fr-FR" w:eastAsia="fr-FR" w:bidi="fr-FR"/>
        </w:rPr>
      </w:pPr>
    </w:p>
    <w:p w14:paraId="1194047C" w14:textId="77777777" w:rsidR="00D70898" w:rsidRPr="004E13E9" w:rsidRDefault="00D70898" w:rsidP="00D70898">
      <w:pPr>
        <w:widowControl w:val="0"/>
        <w:contextualSpacing/>
        <w:jc w:val="both"/>
        <w:rPr>
          <w:rFonts w:eastAsia="MS Gothic" w:cs="Times New Roman"/>
          <w:i/>
          <w:lang w:val="fr-FR" w:eastAsia="fr-FR" w:bidi="fr-FR"/>
        </w:rPr>
      </w:pPr>
      <w:r w:rsidRPr="004E13E9">
        <w:rPr>
          <w:rFonts w:eastAsia="MS Gothic" w:cs="Times New Roman"/>
          <w:i/>
          <w:lang w:val="fr-FR" w:eastAsia="fr-FR" w:bidi="fr-FR"/>
        </w:rPr>
        <w:t>Suivi, contrôle et inspection des opérations de mise en cages de thon rouge de l’Est</w:t>
      </w:r>
    </w:p>
    <w:p w14:paraId="767CC5BC" w14:textId="77777777" w:rsidR="00D70898" w:rsidRPr="004E13E9" w:rsidRDefault="00D70898" w:rsidP="00D70898">
      <w:pPr>
        <w:widowControl w:val="0"/>
        <w:contextualSpacing/>
        <w:jc w:val="both"/>
        <w:rPr>
          <w:rFonts w:eastAsia="MS Gothic" w:cs="Times New Roman"/>
          <w:sz w:val="14"/>
          <w:szCs w:val="14"/>
          <w:lang w:val="fr-FR" w:eastAsia="fr-FR" w:bidi="fr-FR"/>
        </w:rPr>
      </w:pPr>
    </w:p>
    <w:p w14:paraId="228099F3" w14:textId="0586D08D" w:rsidR="00F479C7" w:rsidRPr="004E13E9" w:rsidRDefault="00D70898" w:rsidP="00F479C7">
      <w:pPr>
        <w:widowControl w:val="0"/>
        <w:contextualSpacing/>
        <w:jc w:val="both"/>
        <w:rPr>
          <w:rFonts w:eastAsia="MS Gothic" w:cs="Times New Roman"/>
          <w:lang w:val="fr-FR" w:eastAsia="fr-FR" w:bidi="fr-FR"/>
        </w:rPr>
      </w:pPr>
      <w:r w:rsidRPr="004E13E9">
        <w:rPr>
          <w:rFonts w:eastAsia="MS Gothic" w:cs="Times New Roman"/>
          <w:lang w:val="fr-FR" w:eastAsia="fr-FR" w:bidi="fr-FR"/>
        </w:rPr>
        <w:t xml:space="preserve">Les inspecteurs du MoAF devront régulièrement contrôler la mise en œuvre adéquate des programmes de mise en cages dans les fermes. Tous les transferts des remorqueurs vers les cages des fermes doivent être contrôlés au moyen de caméras stéréoscopiques ainsi que de caméras classiques et les enregistrements de chaque transfert doivent être fournis au MoAF pour évaluation. La ferme devra communiquer les résultats du programme de mise en cage à l'inspecteur ministériel et à l'observateur régional de l'ICCAT. Ces résultats devront également être communiqués à la CPC de capture, le cas échéant. </w:t>
      </w:r>
    </w:p>
    <w:p w14:paraId="0944C4DC" w14:textId="77777777" w:rsidR="00EE4787" w:rsidRPr="004E13E9" w:rsidRDefault="00EE4787" w:rsidP="00F479C7">
      <w:pPr>
        <w:widowControl w:val="0"/>
        <w:contextualSpacing/>
        <w:jc w:val="both"/>
        <w:rPr>
          <w:rFonts w:eastAsia="MS Gothic" w:cs="Times New Roman"/>
          <w:lang w:val="fr-FR" w:eastAsia="fr-FR" w:bidi="fr-FR"/>
        </w:rPr>
      </w:pPr>
    </w:p>
    <w:p w14:paraId="66291183" w14:textId="653AC000" w:rsidR="00EE4787" w:rsidRPr="004E13E9" w:rsidRDefault="00D70898" w:rsidP="00EE4787">
      <w:pPr>
        <w:widowControl w:val="0"/>
        <w:contextualSpacing/>
        <w:jc w:val="both"/>
        <w:rPr>
          <w:rFonts w:eastAsia="MS Gothic" w:cs="Times New Roman"/>
          <w:lang w:val="fr-FR" w:eastAsia="fr-FR" w:bidi="fr-FR"/>
        </w:rPr>
      </w:pPr>
      <w:r w:rsidRPr="004E13E9">
        <w:rPr>
          <w:rFonts w:eastAsia="MS Gothic" w:cs="Times New Roman"/>
          <w:lang w:val="fr-FR" w:eastAsia="fr-FR" w:bidi="fr-FR"/>
        </w:rPr>
        <w:t xml:space="preserve">Conformément aux dispositions connexes de la Rec. 25-04, les opérateurs des fermes sont autorisés à reporter le thon rouge non mis à mort </w:t>
      </w:r>
      <w:r w:rsidRPr="004E13E9">
        <w:rPr>
          <w:rFonts w:eastAsia="Yu Mincho" w:cs="Times New Roman"/>
          <w:lang w:val="fr-FR"/>
        </w:rPr>
        <w:t>a</w:t>
      </w:r>
      <w:r w:rsidRPr="004E13E9">
        <w:rPr>
          <w:rFonts w:eastAsia="MS Gothic" w:cs="Times New Roman"/>
          <w:lang w:val="fr-FR" w:eastAsia="fr-FR" w:bidi="fr-FR"/>
        </w:rPr>
        <w:t>vant le début de la saison de pêche des senneurs de 2026 par le biais de transferts d'évaluation du report de thons rouges non mis à mort vers une ou plusieurs autres cages vides au moyen de caméras stéréoscopiques de contrôle. L'évaluation du report sera effectuée en présence d'inspecteurs ministériels et déclarée à l’ICCAT. La déclaration de report sera transmise en annexe du plan de gestion révisé de l'élevage dans les 15 jours suivant la fin de l'opération.</w:t>
      </w:r>
      <w:r w:rsidR="00EE4787" w:rsidRPr="004E13E9">
        <w:rPr>
          <w:rFonts w:eastAsia="MS Gothic" w:cs="Times New Roman"/>
          <w:lang w:val="fr-FR" w:eastAsia="fr-FR" w:bidi="fr-FR"/>
        </w:rPr>
        <w:br w:type="page"/>
      </w:r>
    </w:p>
    <w:p w14:paraId="1ECB5AC2" w14:textId="2AE67527" w:rsidR="00D70898" w:rsidRPr="004E13E9" w:rsidRDefault="00D70898" w:rsidP="00D70898">
      <w:pPr>
        <w:widowControl w:val="0"/>
        <w:contextualSpacing/>
        <w:jc w:val="both"/>
        <w:rPr>
          <w:rFonts w:eastAsia="MS Gothic" w:cs="Times New Roman"/>
          <w:lang w:val="fr-FR" w:eastAsia="fr-FR" w:bidi="fr-FR"/>
        </w:rPr>
      </w:pPr>
      <w:r w:rsidRPr="004E13E9">
        <w:rPr>
          <w:rFonts w:eastAsia="MS Gothic" w:cs="Times New Roman"/>
          <w:lang w:val="fr-FR" w:eastAsia="fr-FR" w:bidi="fr-FR"/>
        </w:rPr>
        <w:t xml:space="preserve">Comme prévu à la section 3 ci-dessus, le MoaF effectuera des contrôles aléatoires dans chacune des fermes avant la première mise en cage de 2026, conformément aux procédures définies aux paragraphes 211-218 de la Rec. 25-04. </w:t>
      </w:r>
    </w:p>
    <w:p w14:paraId="0BD6B66F" w14:textId="77777777" w:rsidR="00F479C7" w:rsidRPr="004E13E9" w:rsidRDefault="00F479C7" w:rsidP="00D70898">
      <w:pPr>
        <w:widowControl w:val="0"/>
        <w:ind w:left="426" w:hanging="426"/>
        <w:jc w:val="both"/>
        <w:rPr>
          <w:rFonts w:eastAsia="MS Gothic" w:cs="Times New Roman"/>
          <w:b/>
          <w:i/>
          <w:iCs/>
          <w:lang w:val="fr-FR" w:eastAsia="fr-FR" w:bidi="fr-FR"/>
        </w:rPr>
      </w:pPr>
    </w:p>
    <w:p w14:paraId="25DB8DFD" w14:textId="0CDCC0A2" w:rsidR="00D70898" w:rsidRPr="004E13E9" w:rsidRDefault="00D70898" w:rsidP="00D70898">
      <w:pPr>
        <w:widowControl w:val="0"/>
        <w:ind w:left="426" w:hanging="426"/>
        <w:jc w:val="both"/>
        <w:rPr>
          <w:rFonts w:eastAsia="MS Gothic" w:cs="Times New Roman"/>
          <w:b/>
          <w:i/>
          <w:iCs/>
          <w:lang w:val="fr-FR" w:eastAsia="fr-FR" w:bidi="fr-FR"/>
        </w:rPr>
      </w:pPr>
      <w:r w:rsidRPr="004E13E9">
        <w:rPr>
          <w:rFonts w:eastAsia="MS Gothic" w:cs="Times New Roman"/>
          <w:b/>
          <w:i/>
          <w:iCs/>
          <w:lang w:val="fr-FR" w:eastAsia="fr-FR" w:bidi="fr-FR"/>
        </w:rPr>
        <w:t>5b) Programme d’inspection internationale conjointe (JIS) (paragraphes 232-235)</w:t>
      </w:r>
    </w:p>
    <w:p w14:paraId="72E2DD80" w14:textId="77777777" w:rsidR="00D70898" w:rsidRPr="004E13E9" w:rsidRDefault="00D70898" w:rsidP="00D70898">
      <w:pPr>
        <w:widowControl w:val="0"/>
        <w:contextualSpacing/>
        <w:rPr>
          <w:rFonts w:eastAsia="MS Gothic" w:cs="Times New Roman"/>
          <w:b/>
          <w:lang w:val="fr-FR" w:eastAsia="fr-FR" w:bidi="fr-FR"/>
        </w:rPr>
      </w:pPr>
    </w:p>
    <w:p w14:paraId="0458795B" w14:textId="77777777" w:rsidR="00D70898" w:rsidRPr="004E13E9" w:rsidRDefault="00D70898" w:rsidP="00D70898">
      <w:pPr>
        <w:contextualSpacing/>
        <w:jc w:val="both"/>
        <w:rPr>
          <w:rFonts w:eastAsia="Calibri" w:cs="Times New Roman"/>
          <w:iCs/>
          <w:color w:val="000000"/>
          <w:lang w:val="fr-FR" w:bidi="fr-FR"/>
        </w:rPr>
      </w:pPr>
      <w:r w:rsidRPr="004E13E9">
        <w:rPr>
          <w:rFonts w:eastAsia="Calibri" w:cs="Times New Roman"/>
          <w:color w:val="000000"/>
          <w:lang w:val="fr-FR" w:bidi="fr-FR"/>
        </w:rPr>
        <w:t xml:space="preserve">La Türkiye prévoit de poursuivre sa contribution volontaire de longue date au programme ICCAT d’inspection internationale conjointe en </w:t>
      </w:r>
      <w:r w:rsidRPr="004E13E9">
        <w:rPr>
          <w:rFonts w:eastAsia="MS Gothic" w:cs="Times New Roman"/>
          <w:lang w:val="fr-FR" w:eastAsia="fr-FR" w:bidi="fr-FR"/>
        </w:rPr>
        <w:t>2026</w:t>
      </w:r>
      <w:r w:rsidRPr="004E13E9">
        <w:rPr>
          <w:rFonts w:eastAsia="Calibri" w:cs="Times New Roman"/>
          <w:color w:val="000000"/>
          <w:lang w:val="fr-FR" w:bidi="fr-FR"/>
        </w:rPr>
        <w:t xml:space="preserve">. À cet égard, le Commandement turc de la garde-côtière (TCGC) prévoit de désigner 77 </w:t>
      </w:r>
      <w:r w:rsidRPr="004E13E9">
        <w:rPr>
          <w:rFonts w:eastAsia="MS Gothic" w:cs="Times New Roman"/>
          <w:color w:val="000000"/>
          <w:lang w:val="fr-FR" w:eastAsia="fr-FR" w:bidi="fr-FR"/>
        </w:rPr>
        <w:t xml:space="preserve">navires </w:t>
      </w:r>
      <w:r w:rsidRPr="004E13E9">
        <w:rPr>
          <w:rFonts w:eastAsia="Calibri" w:cs="Times New Roman"/>
          <w:color w:val="000000"/>
          <w:lang w:val="fr-FR" w:bidi="fr-FR"/>
        </w:rPr>
        <w:t xml:space="preserve">d'inspection, 17 moyens de contrôle aérien (hélicoptères / avions) et 394 inspecteurs sur le terrain pendant la campagne de pêche de thon rouge de l’Est (BFT-E) de </w:t>
      </w:r>
      <w:r w:rsidRPr="004E13E9">
        <w:rPr>
          <w:rFonts w:eastAsia="MS Gothic" w:cs="Times New Roman"/>
          <w:lang w:val="fr-FR" w:eastAsia="fr-FR" w:bidi="fr-FR"/>
        </w:rPr>
        <w:t>2026</w:t>
      </w:r>
      <w:r w:rsidRPr="004E13E9">
        <w:rPr>
          <w:rFonts w:eastAsia="Calibri" w:cs="Times New Roman"/>
          <w:color w:val="000000"/>
          <w:lang w:val="fr-FR" w:bidi="fr-FR"/>
        </w:rPr>
        <w:t xml:space="preserve">. En outre, le Commandement des forces navales turques devrait rejoindre le programme d'inspection de </w:t>
      </w:r>
      <w:r w:rsidRPr="004E13E9">
        <w:rPr>
          <w:rFonts w:eastAsia="MS Gothic" w:cs="Times New Roman"/>
          <w:lang w:val="fr-FR" w:eastAsia="fr-FR" w:bidi="fr-FR"/>
        </w:rPr>
        <w:t xml:space="preserve">2026 </w:t>
      </w:r>
      <w:r w:rsidRPr="004E13E9">
        <w:rPr>
          <w:rFonts w:eastAsia="Calibri" w:cs="Times New Roman"/>
          <w:color w:val="000000"/>
          <w:lang w:val="fr-FR" w:bidi="fr-FR"/>
        </w:rPr>
        <w:t xml:space="preserve">en affectant 47 navires d'inspection et 132 inspecteurs pendant la campagne de pêche de thon rouge de l’Est de </w:t>
      </w:r>
      <w:r w:rsidRPr="004E13E9">
        <w:rPr>
          <w:rFonts w:eastAsia="MS Gothic" w:cs="Times New Roman"/>
          <w:lang w:val="fr-FR" w:eastAsia="fr-FR" w:bidi="fr-FR"/>
        </w:rPr>
        <w:t>2026</w:t>
      </w:r>
      <w:r w:rsidRPr="004E13E9">
        <w:rPr>
          <w:rFonts w:eastAsia="Calibri" w:cs="Times New Roman"/>
          <w:color w:val="000000"/>
          <w:lang w:val="fr-FR" w:bidi="fr-FR"/>
        </w:rPr>
        <w:t xml:space="preserve">. En outre, le MoAF prévoit d'inclure environ 150 inspecteurs ministériels dans le programme d'inspection conjointe pendant la campagne. </w:t>
      </w:r>
    </w:p>
    <w:p w14:paraId="5134434B" w14:textId="77777777" w:rsidR="00D70898" w:rsidRPr="004E13E9" w:rsidRDefault="00D70898" w:rsidP="00D70898">
      <w:pPr>
        <w:contextualSpacing/>
        <w:jc w:val="both"/>
        <w:rPr>
          <w:rFonts w:eastAsia="Calibri" w:cs="Times New Roman"/>
          <w:color w:val="000000"/>
          <w:lang w:val="fr-FR" w:bidi="fr-FR"/>
        </w:rPr>
      </w:pPr>
    </w:p>
    <w:p w14:paraId="5D0666AA" w14:textId="77777777" w:rsidR="00D70898" w:rsidRPr="004E13E9" w:rsidRDefault="00D70898" w:rsidP="00D70898">
      <w:pPr>
        <w:contextualSpacing/>
        <w:jc w:val="both"/>
        <w:rPr>
          <w:rFonts w:eastAsia="Calibri" w:cs="Times New Roman"/>
          <w:color w:val="000000"/>
          <w:lang w:val="fr-FR" w:eastAsia="fr-FR" w:bidi="fr-FR"/>
        </w:rPr>
      </w:pPr>
      <w:r w:rsidRPr="004E13E9">
        <w:rPr>
          <w:rFonts w:eastAsia="MS Gothic" w:cs="Times New Roman"/>
          <w:color w:val="000000"/>
          <w:lang w:val="fr-FR" w:eastAsia="fr-FR" w:bidi="fr-FR"/>
        </w:rPr>
        <w:t xml:space="preserve">De surcroît, un navire d'inspection supplémentaire, à savoir le </w:t>
      </w:r>
      <w:r w:rsidRPr="004E13E9">
        <w:rPr>
          <w:rFonts w:eastAsia="MS Gothic" w:cs="Times New Roman"/>
          <w:i/>
          <w:iCs/>
          <w:color w:val="000000"/>
          <w:lang w:val="fr-FR" w:eastAsia="fr-FR" w:bidi="fr-FR"/>
        </w:rPr>
        <w:t>AKDENİZ ARAŞTIRMA 1</w:t>
      </w:r>
      <w:r w:rsidRPr="004E13E9">
        <w:rPr>
          <w:rFonts w:eastAsia="MS Gothic" w:cs="Times New Roman"/>
          <w:color w:val="000000"/>
          <w:lang w:val="fr-FR" w:eastAsia="fr-FR" w:bidi="fr-FR"/>
        </w:rPr>
        <w:t>, qui a été détaché par le MoAF, contribuera également aux activités menées dans la région dans le cadre du Programme ICCAT d’inspection internationale conjointe.</w:t>
      </w:r>
    </w:p>
    <w:p w14:paraId="599D8077" w14:textId="77777777" w:rsidR="00D70898" w:rsidRPr="004E13E9" w:rsidRDefault="00D70898" w:rsidP="00D70898">
      <w:pPr>
        <w:contextualSpacing/>
        <w:jc w:val="both"/>
        <w:rPr>
          <w:rFonts w:eastAsia="Calibri" w:cs="Times New Roman"/>
          <w:color w:val="000000"/>
          <w:lang w:val="fr-FR" w:bidi="fr-FR"/>
        </w:rPr>
      </w:pPr>
    </w:p>
    <w:p w14:paraId="0A5646FA" w14:textId="77777777" w:rsidR="00D70898" w:rsidRPr="004E13E9" w:rsidRDefault="00D70898" w:rsidP="00D70898">
      <w:pPr>
        <w:autoSpaceDE w:val="0"/>
        <w:autoSpaceDN w:val="0"/>
        <w:adjustRightInd w:val="0"/>
        <w:contextualSpacing/>
        <w:jc w:val="both"/>
        <w:rPr>
          <w:rFonts w:eastAsia="MS Gothic"/>
          <w:color w:val="000000"/>
          <w:lang w:val="fr-FR" w:eastAsia="fr-FR"/>
        </w:rPr>
      </w:pPr>
      <w:r w:rsidRPr="004E13E9">
        <w:rPr>
          <w:rFonts w:eastAsia="MS Gothic"/>
          <w:color w:val="000000"/>
          <w:lang w:val="fr-FR" w:eastAsia="fr-FR"/>
        </w:rPr>
        <w:t>Sur la base d'une approche d'analyse des risques, il est prévu de s’intéresser tout particulièrement en</w:t>
      </w:r>
      <w:r w:rsidRPr="004E13E9">
        <w:rPr>
          <w:rFonts w:eastAsia="Calibri" w:cs="Times New Roman"/>
          <w:color w:val="000000"/>
          <w:lang w:val="fr-FR" w:bidi="fr-FR"/>
        </w:rPr>
        <w:t xml:space="preserve"> </w:t>
      </w:r>
      <w:r w:rsidRPr="004E13E9">
        <w:rPr>
          <w:rFonts w:eastAsia="MS Gothic" w:cs="Times New Roman"/>
          <w:lang w:val="fr-FR" w:eastAsia="fr-FR" w:bidi="fr-FR"/>
        </w:rPr>
        <w:t xml:space="preserve">2026 </w:t>
      </w:r>
      <w:r w:rsidRPr="004E13E9">
        <w:rPr>
          <w:rFonts w:eastAsia="MS Gothic"/>
          <w:color w:val="000000"/>
          <w:lang w:val="fr-FR" w:eastAsia="fr-FR"/>
        </w:rPr>
        <w:t xml:space="preserve">aux lieux de majeure concentration des navires de pêche au cours des saisons antérieures. Dans ce contexte, les activités de pêche et de transfert du thon rouge de l’Est ainsi que les activités de pêche de l’espadon de la Méditerranée continuent de faire régulièrement l’objet d’inspection tout au long de la prochaine campagne de pêche. </w:t>
      </w:r>
    </w:p>
    <w:p w14:paraId="2AED8DF5" w14:textId="77777777" w:rsidR="00D70898" w:rsidRPr="004E13E9" w:rsidRDefault="00D70898" w:rsidP="00D70898">
      <w:pPr>
        <w:autoSpaceDE w:val="0"/>
        <w:autoSpaceDN w:val="0"/>
        <w:adjustRightInd w:val="0"/>
        <w:contextualSpacing/>
        <w:jc w:val="both"/>
        <w:rPr>
          <w:rFonts w:eastAsia="MS Gothic"/>
          <w:color w:val="000000"/>
          <w:lang w:val="fr-FR" w:eastAsia="fr-FR"/>
        </w:rPr>
      </w:pPr>
    </w:p>
    <w:p w14:paraId="766BBF20" w14:textId="77777777" w:rsidR="00D70898" w:rsidRPr="004E13E9" w:rsidRDefault="00D70898" w:rsidP="00D70898">
      <w:pPr>
        <w:autoSpaceDE w:val="0"/>
        <w:autoSpaceDN w:val="0"/>
        <w:adjustRightInd w:val="0"/>
        <w:contextualSpacing/>
        <w:jc w:val="both"/>
        <w:rPr>
          <w:rFonts w:eastAsia="MS Gothic"/>
          <w:color w:val="000000"/>
          <w:lang w:val="fr-FR" w:eastAsia="fr-FR"/>
        </w:rPr>
      </w:pPr>
      <w:r w:rsidRPr="004E13E9">
        <w:rPr>
          <w:rFonts w:eastAsia="MS Gothic"/>
          <w:color w:val="000000"/>
          <w:lang w:val="fr-FR" w:eastAsia="fr-FR"/>
        </w:rPr>
        <w:t xml:space="preserve">Les registres des signaux VMS seront régulièrement contrôlés dans les locaux du MoAF et au principal centre d'opérations des Garde-côtes à Ankara, ainsi que dans les centres régionaux d'opération du TCGC. </w:t>
      </w:r>
    </w:p>
    <w:p w14:paraId="1E9027A3" w14:textId="77777777" w:rsidR="00D70898" w:rsidRPr="004E13E9" w:rsidRDefault="00D70898" w:rsidP="00D70898">
      <w:pPr>
        <w:autoSpaceDE w:val="0"/>
        <w:autoSpaceDN w:val="0"/>
        <w:adjustRightInd w:val="0"/>
        <w:contextualSpacing/>
        <w:jc w:val="both"/>
        <w:rPr>
          <w:rFonts w:eastAsia="MS Gothic"/>
          <w:color w:val="000000"/>
          <w:lang w:val="fr-FR" w:eastAsia="fr-FR"/>
        </w:rPr>
      </w:pPr>
    </w:p>
    <w:p w14:paraId="1B4D592E" w14:textId="77777777" w:rsidR="00D70898" w:rsidRPr="004E13E9" w:rsidRDefault="00D70898" w:rsidP="00D70898">
      <w:pPr>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Le TCGC tiendra compte des données de position probable des navires de pêche qui seront obtenues par VMS pendant les inspections de l’ICCAT.</w:t>
      </w:r>
    </w:p>
    <w:p w14:paraId="0162FFB3" w14:textId="77777777" w:rsidR="00D70898" w:rsidRPr="004E13E9" w:rsidRDefault="00D70898" w:rsidP="00D70898">
      <w:pPr>
        <w:contextualSpacing/>
        <w:jc w:val="both"/>
        <w:rPr>
          <w:rFonts w:eastAsia="MS Gothic" w:cs="Times New Roman"/>
          <w:color w:val="000000"/>
          <w:lang w:val="fr-FR" w:eastAsia="fr-FR" w:bidi="fr-FR"/>
        </w:rPr>
      </w:pPr>
    </w:p>
    <w:p w14:paraId="4DF81C2A" w14:textId="77777777" w:rsidR="00D70898" w:rsidRPr="004E13E9" w:rsidRDefault="00D70898" w:rsidP="00D70898">
      <w:pPr>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Les inspections doivent être menées dans les eaux territoriales de la Türkiye et en haute mer en Méditerranée et dans la mer Égée. L'équipe du TCGC réalisera les inspections de l'ICCAT pendant toute la saison de pêche du thon rouge de l’Est.</w:t>
      </w:r>
    </w:p>
    <w:p w14:paraId="425D628E" w14:textId="77777777" w:rsidR="00D70898" w:rsidRPr="004E13E9" w:rsidRDefault="00D70898" w:rsidP="00D70898">
      <w:pPr>
        <w:contextualSpacing/>
        <w:jc w:val="both"/>
        <w:rPr>
          <w:rFonts w:eastAsia="MS Gothic" w:cs="Times New Roman"/>
          <w:color w:val="000000"/>
          <w:lang w:val="fr-FR" w:eastAsia="fr-FR" w:bidi="fr-FR"/>
        </w:rPr>
      </w:pPr>
    </w:p>
    <w:p w14:paraId="139ACB17" w14:textId="77777777" w:rsidR="00D70898" w:rsidRPr="004E13E9" w:rsidRDefault="00D70898" w:rsidP="00D70898">
      <w:pPr>
        <w:contextualSpacing/>
        <w:jc w:val="both"/>
        <w:rPr>
          <w:rFonts w:eastAsia="MS Gothic" w:cs="Times New Roman"/>
          <w:color w:val="000000"/>
          <w:lang w:val="fr-FR" w:eastAsia="fr-FR" w:bidi="fr-FR"/>
        </w:rPr>
      </w:pPr>
      <w:r w:rsidRPr="004E13E9">
        <w:rPr>
          <w:rFonts w:eastAsia="MS Gothic" w:cs="Times New Roman"/>
          <w:color w:val="000000"/>
          <w:lang w:val="fr-FR" w:eastAsia="fr-FR" w:bidi="fr-FR"/>
        </w:rPr>
        <w:t>Les moyens d’inspection en mer devront être déployés principalement sur les lieux de pêche du thon rouge de l’Est et de l’espadon de la Méditerranée qui sont déterminés selon les données de l’évaluation des risques de 2025.</w:t>
      </w:r>
    </w:p>
    <w:p w14:paraId="346DDB3E" w14:textId="77777777" w:rsidR="00D70898" w:rsidRPr="004E13E9" w:rsidRDefault="00D70898" w:rsidP="00D70898">
      <w:pPr>
        <w:contextualSpacing/>
        <w:jc w:val="both"/>
        <w:rPr>
          <w:rFonts w:eastAsia="MS Gothic" w:cs="Times New Roman"/>
          <w:color w:val="000000"/>
          <w:lang w:val="fr-FR" w:eastAsia="fr-FR" w:bidi="fr-FR"/>
        </w:rPr>
      </w:pPr>
    </w:p>
    <w:p w14:paraId="7580A19A" w14:textId="77777777" w:rsidR="00D70898" w:rsidRPr="004E13E9" w:rsidRDefault="00D70898" w:rsidP="00D70898">
      <w:pPr>
        <w:contextualSpacing/>
        <w:jc w:val="both"/>
        <w:rPr>
          <w:rFonts w:eastAsia="Calibri" w:cs="Times New Roman"/>
          <w:color w:val="000000"/>
          <w:lang w:val="fr-FR" w:eastAsia="fr-FR" w:bidi="fr-FR"/>
        </w:rPr>
      </w:pPr>
    </w:p>
    <w:p w14:paraId="62C4871B" w14:textId="77777777" w:rsidR="00D70898" w:rsidRPr="004E13E9" w:rsidRDefault="00D70898" w:rsidP="00D70898">
      <w:pPr>
        <w:widowControl w:val="0"/>
        <w:ind w:left="426" w:hanging="426"/>
        <w:contextualSpacing/>
        <w:jc w:val="both"/>
        <w:rPr>
          <w:rFonts w:eastAsia="MS Gothic" w:cs="Times New Roman"/>
          <w:b/>
          <w:lang w:val="fr-FR" w:eastAsia="fr-FR" w:bidi="fr-FR"/>
        </w:rPr>
      </w:pPr>
      <w:r w:rsidRPr="004E13E9">
        <w:rPr>
          <w:rFonts w:eastAsia="MS Gothic" w:cs="Times New Roman"/>
          <w:b/>
          <w:lang w:val="fr-FR" w:eastAsia="fr-FR" w:bidi="fr-FR"/>
        </w:rPr>
        <w:t xml:space="preserve">6. </w:t>
      </w:r>
      <w:r w:rsidRPr="004E13E9">
        <w:rPr>
          <w:rFonts w:eastAsia="MS Gothic" w:cs="Times New Roman"/>
          <w:b/>
          <w:lang w:val="fr-FR" w:eastAsia="fr-FR" w:bidi="fr-FR"/>
        </w:rPr>
        <w:tab/>
        <w:t>Autres</w:t>
      </w:r>
    </w:p>
    <w:p w14:paraId="288001E2" w14:textId="77777777" w:rsidR="00D70898" w:rsidRPr="004E13E9" w:rsidRDefault="00D70898" w:rsidP="00D70898">
      <w:pPr>
        <w:widowControl w:val="0"/>
        <w:ind w:left="426" w:hanging="426"/>
        <w:rPr>
          <w:rFonts w:eastAsia="MS Gothic" w:cs="Times New Roman"/>
          <w:b/>
          <w:lang w:val="fr-FR" w:eastAsia="fr-FR" w:bidi="fr-FR"/>
        </w:rPr>
      </w:pPr>
    </w:p>
    <w:p w14:paraId="51D5043B" w14:textId="77777777" w:rsidR="00D70898" w:rsidRPr="004E13E9" w:rsidRDefault="00D70898" w:rsidP="00D70898">
      <w:pPr>
        <w:widowControl w:val="0"/>
        <w:jc w:val="both"/>
        <w:rPr>
          <w:rFonts w:eastAsia="MS Gothic" w:cs="Times New Roman"/>
          <w:bCs/>
          <w:lang w:val="fr-FR" w:eastAsia="fr-FR" w:bidi="fr-FR"/>
        </w:rPr>
      </w:pPr>
      <w:r w:rsidRPr="004E13E9">
        <w:rPr>
          <w:rFonts w:eastAsia="MS Gothic" w:cs="Times New Roman"/>
          <w:bCs/>
          <w:lang w:val="fr-FR" w:eastAsia="fr-FR" w:bidi="fr-FR"/>
        </w:rPr>
        <w:t>La Türkiye continuera à soutenir le programme GBYP de l’ICCAT.</w:t>
      </w:r>
    </w:p>
    <w:p w14:paraId="7410300F" w14:textId="77777777" w:rsidR="00D70898" w:rsidRPr="004E13E9" w:rsidRDefault="00D70898" w:rsidP="00D70898">
      <w:pPr>
        <w:widowControl w:val="0"/>
        <w:jc w:val="both"/>
        <w:rPr>
          <w:rFonts w:eastAsia="MS Gothic" w:cs="Times New Roman"/>
          <w:bCs/>
          <w:lang w:val="fr-FR" w:eastAsia="fr-FR" w:bidi="fr-FR"/>
        </w:rPr>
      </w:pPr>
    </w:p>
    <w:p w14:paraId="2C10AD7B" w14:textId="77777777" w:rsidR="00D70898" w:rsidRPr="004E13E9" w:rsidRDefault="00D70898" w:rsidP="00D70898">
      <w:pPr>
        <w:widowControl w:val="0"/>
        <w:jc w:val="both"/>
        <w:rPr>
          <w:rFonts w:eastAsia="MS Gothic" w:cs="Times New Roman"/>
          <w:bCs/>
          <w:lang w:val="fr-FR" w:eastAsia="fr-FR" w:bidi="fr-FR"/>
        </w:rPr>
      </w:pPr>
      <w:r w:rsidRPr="004E13E9">
        <w:rPr>
          <w:rFonts w:eastAsia="MS Gothic" w:cs="Times New Roman"/>
          <w:bCs/>
          <w:lang w:val="fr-FR" w:eastAsia="fr-FR" w:bidi="fr-FR"/>
        </w:rPr>
        <w:t>Il est prévu de continuer à mener des activités dans le cadre du projet de recherche intitulé « Investigation des comportements de reproduction et de migration des thons de l'Atlantique (</w:t>
      </w:r>
      <w:proofErr w:type="spellStart"/>
      <w:r w:rsidRPr="004E13E9">
        <w:rPr>
          <w:rFonts w:eastAsia="MS Gothic" w:cs="Times New Roman"/>
          <w:bCs/>
          <w:i/>
          <w:iCs/>
          <w:lang w:val="fr-FR" w:eastAsia="fr-FR" w:bidi="fr-FR"/>
        </w:rPr>
        <w:t>Thunnus</w:t>
      </w:r>
      <w:proofErr w:type="spellEnd"/>
      <w:r w:rsidRPr="004E13E9">
        <w:rPr>
          <w:rFonts w:eastAsia="MS Gothic" w:cs="Times New Roman"/>
          <w:bCs/>
          <w:i/>
          <w:iCs/>
          <w:lang w:val="fr-FR" w:eastAsia="fr-FR" w:bidi="fr-FR"/>
        </w:rPr>
        <w:t xml:space="preserve"> </w:t>
      </w:r>
      <w:proofErr w:type="spellStart"/>
      <w:r w:rsidRPr="004E13E9">
        <w:rPr>
          <w:rFonts w:eastAsia="MS Gothic" w:cs="Times New Roman"/>
          <w:bCs/>
          <w:i/>
          <w:iCs/>
          <w:lang w:val="fr-FR" w:eastAsia="fr-FR" w:bidi="fr-FR"/>
        </w:rPr>
        <w:t>thynnus</w:t>
      </w:r>
      <w:proofErr w:type="spellEnd"/>
      <w:r w:rsidRPr="004E13E9">
        <w:rPr>
          <w:rFonts w:eastAsia="MS Gothic" w:cs="Times New Roman"/>
          <w:bCs/>
          <w:lang w:val="fr-FR" w:eastAsia="fr-FR" w:bidi="fr-FR"/>
        </w:rPr>
        <w:t>) qui se reproduisent en Méditerranée orientale (I. Période) (TAGEM/HAYSUD/T1/24/A7/P1/7275) » en coopération avec diverses universités, entre 2024 et 2028.</w:t>
      </w:r>
    </w:p>
    <w:p w14:paraId="16DC0F3E" w14:textId="77777777" w:rsidR="00D70898" w:rsidRPr="004E13E9" w:rsidRDefault="00D70898" w:rsidP="00D70898">
      <w:pPr>
        <w:widowControl w:val="0"/>
        <w:jc w:val="both"/>
        <w:rPr>
          <w:rFonts w:eastAsia="MS Gothic" w:cs="Times New Roman"/>
          <w:bCs/>
          <w:lang w:val="fr-FR" w:eastAsia="fr-FR" w:bidi="fr-FR"/>
        </w:rPr>
      </w:pPr>
    </w:p>
    <w:p w14:paraId="2B6E7A17" w14:textId="19E4B365" w:rsidR="00F479C7" w:rsidRPr="004E13E9" w:rsidRDefault="00D70898" w:rsidP="00F479C7">
      <w:pPr>
        <w:widowControl w:val="0"/>
        <w:jc w:val="both"/>
        <w:rPr>
          <w:rFonts w:eastAsia="MS Gothic" w:cs="Times New Roman"/>
          <w:bCs/>
          <w:lang w:val="fr-FR" w:eastAsia="fr-FR" w:bidi="fr-FR"/>
        </w:rPr>
      </w:pPr>
      <w:r w:rsidRPr="004E13E9">
        <w:rPr>
          <w:rFonts w:eastAsia="MS Gothic" w:cs="Times New Roman"/>
          <w:bCs/>
          <w:lang w:val="fr-FR" w:eastAsia="fr-FR" w:bidi="fr-FR"/>
        </w:rPr>
        <w:t>Dans le cadre de ce projet de recherche, des prospections d’</w:t>
      </w:r>
      <w:proofErr w:type="spellStart"/>
      <w:r w:rsidRPr="004E13E9">
        <w:rPr>
          <w:rFonts w:eastAsia="MS Gothic" w:cs="Times New Roman"/>
          <w:bCs/>
          <w:lang w:val="fr-FR" w:eastAsia="fr-FR" w:bidi="fr-FR"/>
        </w:rPr>
        <w:t>ichtyoplancton</w:t>
      </w:r>
      <w:proofErr w:type="spellEnd"/>
      <w:r w:rsidRPr="004E13E9">
        <w:rPr>
          <w:rFonts w:eastAsia="MS Gothic" w:cs="Times New Roman"/>
          <w:bCs/>
          <w:lang w:val="fr-FR" w:eastAsia="fr-FR" w:bidi="fr-FR"/>
        </w:rPr>
        <w:t xml:space="preserve"> seront menées afin de déterminer les zones de frai et la biomasse du stock reproducteur des concentrations de frai dans l'Est de la Méditerranée.</w:t>
      </w:r>
    </w:p>
    <w:p w14:paraId="518B96B2" w14:textId="77777777" w:rsidR="00EE4787" w:rsidRPr="004E13E9" w:rsidRDefault="00EE4787" w:rsidP="00F479C7">
      <w:pPr>
        <w:widowControl w:val="0"/>
        <w:jc w:val="both"/>
        <w:rPr>
          <w:rFonts w:eastAsia="MS Gothic" w:cs="Times New Roman"/>
          <w:bCs/>
          <w:lang w:val="fr-FR" w:eastAsia="fr-FR" w:bidi="fr-FR"/>
        </w:rPr>
      </w:pPr>
    </w:p>
    <w:p w14:paraId="076021BF" w14:textId="2AAC34B3" w:rsidR="00D70898" w:rsidRPr="004E13E9" w:rsidRDefault="00D70898" w:rsidP="00D70898">
      <w:pPr>
        <w:widowControl w:val="0"/>
        <w:jc w:val="both"/>
        <w:rPr>
          <w:rFonts w:eastAsia="MS Gothic" w:cs="Times New Roman"/>
          <w:bCs/>
          <w:lang w:val="fr-FR" w:eastAsia="fr-FR" w:bidi="fr-FR"/>
        </w:rPr>
      </w:pPr>
      <w:r w:rsidRPr="004E13E9">
        <w:rPr>
          <w:rFonts w:eastAsia="MS Gothic" w:cs="Times New Roman"/>
          <w:bCs/>
          <w:lang w:val="fr-FR" w:eastAsia="fr-FR" w:bidi="fr-FR"/>
        </w:rPr>
        <w:t>Ces prospections se poursuivront en 2026.</w:t>
      </w:r>
    </w:p>
    <w:p w14:paraId="0DFB5111" w14:textId="77777777" w:rsidR="00D70898" w:rsidRPr="004E13E9" w:rsidRDefault="00D70898" w:rsidP="00D70898">
      <w:pPr>
        <w:widowControl w:val="0"/>
        <w:jc w:val="both"/>
        <w:rPr>
          <w:rFonts w:eastAsia="MS Gothic" w:cs="Times New Roman"/>
          <w:bCs/>
          <w:lang w:val="fr-FR" w:eastAsia="fr-FR" w:bidi="fr-FR"/>
        </w:rPr>
      </w:pPr>
    </w:p>
    <w:p w14:paraId="7D61A0E2" w14:textId="77777777" w:rsidR="00D70898" w:rsidRPr="004E13E9" w:rsidRDefault="00D70898" w:rsidP="00D70898">
      <w:pPr>
        <w:widowControl w:val="0"/>
        <w:jc w:val="both"/>
        <w:rPr>
          <w:rFonts w:eastAsia="MS Gothic" w:cs="Times New Roman"/>
          <w:bCs/>
          <w:lang w:val="fr-FR" w:eastAsia="fr-FR" w:bidi="fr-FR"/>
        </w:rPr>
      </w:pPr>
      <w:r w:rsidRPr="004E13E9">
        <w:rPr>
          <w:rFonts w:eastAsia="MS Gothic" w:cs="Times New Roman"/>
          <w:bCs/>
          <w:lang w:val="fr-FR" w:eastAsia="fr-FR" w:bidi="fr-FR"/>
        </w:rPr>
        <w:t>Il est prévu de mener un programme de marquage dans le cadre des activités de recherche du Programme de recherche de l’ICCAT sur le thon rouge englobant tout l'Atlantique (GBYP).</w:t>
      </w:r>
    </w:p>
    <w:p w14:paraId="256608A5" w14:textId="77777777" w:rsidR="00D70898" w:rsidRPr="004E13E9" w:rsidRDefault="00D70898" w:rsidP="00D70898">
      <w:pPr>
        <w:widowControl w:val="0"/>
        <w:jc w:val="both"/>
        <w:rPr>
          <w:rFonts w:eastAsia="MS Gothic" w:cs="Times New Roman"/>
          <w:bCs/>
          <w:lang w:val="fr-FR" w:eastAsia="fr-FR" w:bidi="fr-FR"/>
        </w:rPr>
      </w:pPr>
    </w:p>
    <w:p w14:paraId="5666763C" w14:textId="77777777" w:rsidR="00D70898" w:rsidRPr="004E13E9" w:rsidRDefault="00D70898" w:rsidP="00D70898">
      <w:pPr>
        <w:widowControl w:val="0"/>
        <w:jc w:val="both"/>
        <w:rPr>
          <w:rFonts w:eastAsia="MS Gothic" w:cs="Times New Roman"/>
          <w:b/>
          <w:lang w:val="fr-FR" w:eastAsia="fr-FR" w:bidi="fr-FR"/>
        </w:rPr>
      </w:pPr>
    </w:p>
    <w:p w14:paraId="33D2C2E6" w14:textId="77777777" w:rsidR="00D70898" w:rsidRPr="004E13E9" w:rsidRDefault="00D70898" w:rsidP="00D70898">
      <w:pPr>
        <w:widowControl w:val="0"/>
        <w:rPr>
          <w:rFonts w:eastAsia="Yu Mincho" w:cs="Times New Roman"/>
          <w:i/>
          <w:lang w:val="fr-FR"/>
        </w:rPr>
        <w:sectPr w:rsidR="00D70898" w:rsidRPr="004E13E9" w:rsidSect="00D70898">
          <w:headerReference w:type="first" r:id="rId206"/>
          <w:footerReference w:type="first" r:id="rId207"/>
          <w:pgSz w:w="11906" w:h="16838" w:code="9"/>
          <w:pgMar w:top="1418" w:right="1418" w:bottom="1418" w:left="1418" w:header="851" w:footer="1134" w:gutter="0"/>
          <w:cols w:space="425"/>
          <w:docGrid w:linePitch="360"/>
        </w:sectPr>
      </w:pPr>
      <w:bookmarkStart w:id="36" w:name="_Hlk96069857"/>
    </w:p>
    <w:bookmarkEnd w:id="36"/>
    <w:p w14:paraId="378BC8FF" w14:textId="77777777" w:rsidR="00D70898" w:rsidRPr="004E13E9" w:rsidRDefault="00D70898" w:rsidP="00D70898">
      <w:pPr>
        <w:rPr>
          <w:rFonts w:eastAsia="MS Gothic" w:cs="Times New Roman"/>
          <w:b/>
          <w:bCs/>
          <w:iCs/>
          <w:lang w:val="fr-FR" w:eastAsia="fr-FR" w:bidi="fr-FR"/>
        </w:rPr>
      </w:pPr>
      <w:r w:rsidRPr="004E13E9">
        <w:rPr>
          <w:rFonts w:eastAsia="MS Gothic" w:cs="Times New Roman"/>
          <w:b/>
          <w:szCs w:val="24"/>
          <w:lang w:val="fr-FR" w:eastAsia="fr-FR" w:bidi="fr-FR"/>
        </w:rPr>
        <w:t>Tableau de la capacité</w:t>
      </w:r>
    </w:p>
    <w:p w14:paraId="08AAB781" w14:textId="77777777" w:rsidR="00D70898" w:rsidRPr="004E13E9" w:rsidRDefault="00D70898" w:rsidP="00D70898">
      <w:pPr>
        <w:widowControl w:val="0"/>
        <w:ind w:left="284" w:hanging="284"/>
        <w:jc w:val="both"/>
        <w:rPr>
          <w:rFonts w:eastAsia="MS Gothic" w:cs="Times New Roman"/>
          <w:sz w:val="16"/>
          <w:szCs w:val="16"/>
          <w:lang w:val="fr-FR" w:eastAsia="fr-FR" w:bidi="fr-FR"/>
        </w:rPr>
      </w:pPr>
    </w:p>
    <w:tbl>
      <w:tblPr>
        <w:tblW w:w="15339" w:type="dxa"/>
        <w:tblInd w:w="-176" w:type="dxa"/>
        <w:tblLayout w:type="fixed"/>
        <w:tblLook w:val="04A0" w:firstRow="1" w:lastRow="0" w:firstColumn="1" w:lastColumn="0" w:noHBand="0" w:noVBand="1"/>
      </w:tblPr>
      <w:tblGrid>
        <w:gridCol w:w="2399"/>
        <w:gridCol w:w="1017"/>
        <w:gridCol w:w="592"/>
        <w:gridCol w:w="591"/>
        <w:gridCol w:w="1110"/>
        <w:gridCol w:w="591"/>
        <w:gridCol w:w="1188"/>
        <w:gridCol w:w="591"/>
        <w:gridCol w:w="590"/>
        <w:gridCol w:w="236"/>
        <w:gridCol w:w="520"/>
        <w:gridCol w:w="591"/>
        <w:gridCol w:w="1212"/>
        <w:gridCol w:w="1276"/>
        <w:gridCol w:w="1134"/>
        <w:gridCol w:w="869"/>
        <w:gridCol w:w="832"/>
      </w:tblGrid>
      <w:tr w:rsidR="00D70898" w:rsidRPr="004E13E9" w14:paraId="1F606DEE"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184E93AD"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i/>
                <w:color w:val="000000"/>
                <w:sz w:val="14"/>
                <w:szCs w:val="14"/>
                <w:lang w:val="fr-FR" w:eastAsia="fr-FR" w:bidi="fr-FR"/>
              </w:rPr>
              <w:t>Type de navires thoniers</w:t>
            </w:r>
          </w:p>
        </w:tc>
        <w:tc>
          <w:tcPr>
            <w:tcW w:w="1017" w:type="dxa"/>
            <w:tcBorders>
              <w:top w:val="single" w:sz="4" w:space="0" w:color="000000"/>
              <w:left w:val="single" w:sz="4" w:space="0" w:color="000000"/>
              <w:bottom w:val="single" w:sz="4" w:space="0" w:color="000000"/>
              <w:right w:val="single" w:sz="4" w:space="0" w:color="000000"/>
            </w:tcBorders>
            <w:vAlign w:val="center"/>
          </w:tcPr>
          <w:p w14:paraId="19841616"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2293" w:type="dxa"/>
            <w:gridSpan w:val="3"/>
            <w:tcBorders>
              <w:top w:val="single" w:sz="4" w:space="0" w:color="000000"/>
              <w:left w:val="single" w:sz="4" w:space="0" w:color="000000"/>
              <w:bottom w:val="single" w:sz="4" w:space="0" w:color="000000"/>
              <w:right w:val="single" w:sz="4" w:space="0" w:color="000000"/>
            </w:tcBorders>
            <w:hideMark/>
          </w:tcPr>
          <w:p w14:paraId="7B50135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i/>
                <w:color w:val="000000"/>
                <w:sz w:val="14"/>
                <w:szCs w:val="14"/>
                <w:lang w:val="fr-FR" w:eastAsia="fr-FR" w:bidi="fr-FR"/>
              </w:rPr>
              <w:t>Année de réf.</w:t>
            </w:r>
          </w:p>
        </w:tc>
        <w:tc>
          <w:tcPr>
            <w:tcW w:w="2960" w:type="dxa"/>
            <w:gridSpan w:val="4"/>
            <w:tcBorders>
              <w:top w:val="single" w:sz="4" w:space="0" w:color="000000"/>
              <w:left w:val="single" w:sz="4" w:space="0" w:color="000000"/>
              <w:bottom w:val="single" w:sz="4" w:space="0" w:color="000000"/>
              <w:right w:val="single" w:sz="4" w:space="0" w:color="000000"/>
            </w:tcBorders>
            <w:vAlign w:val="center"/>
            <w:hideMark/>
          </w:tcPr>
          <w:p w14:paraId="4A031081"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i/>
                <w:color w:val="000000"/>
                <w:sz w:val="14"/>
                <w:szCs w:val="14"/>
                <w:lang w:val="fr-FR" w:eastAsia="fr-FR" w:bidi="fr-FR"/>
              </w:rPr>
              <w:t>Nombre de navires</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29CF050" w14:textId="77777777" w:rsidR="00D70898" w:rsidRPr="004E13E9" w:rsidRDefault="00D70898" w:rsidP="00D70898">
            <w:pPr>
              <w:widowControl w:val="0"/>
              <w:suppressAutoHyphens/>
              <w:jc w:val="center"/>
              <w:rPr>
                <w:rFonts w:eastAsia="Times New Roman" w:cs="Times New Roman"/>
                <w:color w:val="000000"/>
                <w:sz w:val="14"/>
                <w:szCs w:val="14"/>
                <w:lang w:val="fr-FR" w:eastAsia="ja-JP" w:bidi="fr-FR"/>
              </w:rPr>
            </w:pPr>
          </w:p>
        </w:tc>
        <w:tc>
          <w:tcPr>
            <w:tcW w:w="2323" w:type="dxa"/>
            <w:gridSpan w:val="3"/>
            <w:tcBorders>
              <w:top w:val="single" w:sz="4" w:space="0" w:color="000000"/>
              <w:left w:val="single" w:sz="4" w:space="0" w:color="000000"/>
              <w:bottom w:val="single" w:sz="4" w:space="0" w:color="000000"/>
              <w:right w:val="single" w:sz="4" w:space="0" w:color="000000"/>
            </w:tcBorders>
            <w:hideMark/>
          </w:tcPr>
          <w:p w14:paraId="09BC29E6"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i/>
                <w:color w:val="000000"/>
                <w:sz w:val="14"/>
                <w:szCs w:val="14"/>
                <w:lang w:val="fr-FR" w:eastAsia="fr-FR" w:bidi="fr-FR"/>
              </w:rPr>
              <w:t>Année de réf.</w:t>
            </w:r>
          </w:p>
        </w:tc>
        <w:tc>
          <w:tcPr>
            <w:tcW w:w="4111" w:type="dxa"/>
            <w:gridSpan w:val="4"/>
            <w:tcBorders>
              <w:top w:val="single" w:sz="4" w:space="0" w:color="000000"/>
              <w:left w:val="single" w:sz="4" w:space="0" w:color="000000"/>
              <w:bottom w:val="single" w:sz="4" w:space="0" w:color="000000"/>
              <w:right w:val="single" w:sz="4" w:space="0" w:color="000000"/>
            </w:tcBorders>
            <w:hideMark/>
          </w:tcPr>
          <w:p w14:paraId="12A0015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i/>
                <w:color w:val="000000"/>
                <w:sz w:val="14"/>
                <w:szCs w:val="14"/>
                <w:lang w:val="fr-FR" w:eastAsia="fr-FR" w:bidi="fr-FR"/>
              </w:rPr>
              <w:t>Capacité de pêche</w:t>
            </w:r>
          </w:p>
        </w:tc>
      </w:tr>
      <w:tr w:rsidR="00D70898" w:rsidRPr="004E13E9" w14:paraId="0E76A24B"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5165F896"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b/>
                <w:color w:val="000000"/>
                <w:sz w:val="14"/>
                <w:szCs w:val="14"/>
                <w:lang w:val="fr-FR" w:eastAsia="fr-FR" w:bidi="fr-FR"/>
              </w:rPr>
              <w:t>Type</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4FFE6403" w14:textId="77777777" w:rsidR="00D70898" w:rsidRPr="004E13E9" w:rsidRDefault="00D70898" w:rsidP="00D70898">
            <w:pPr>
              <w:widowControl w:val="0"/>
              <w:suppressAutoHyphens/>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 xml:space="preserve">Meilleurs taux de capture </w:t>
            </w:r>
          </w:p>
          <w:p w14:paraId="6D4FB8E7" w14:textId="77777777" w:rsidR="00D70898" w:rsidRPr="004E13E9" w:rsidRDefault="00D70898" w:rsidP="00D70898">
            <w:pPr>
              <w:widowControl w:val="0"/>
              <w:suppressAutoHyphens/>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 xml:space="preserve">définis par le SCRS </w:t>
            </w:r>
          </w:p>
          <w:p w14:paraId="267572C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en 2009 (t)</w:t>
            </w:r>
          </w:p>
        </w:tc>
        <w:tc>
          <w:tcPr>
            <w:tcW w:w="592" w:type="dxa"/>
            <w:tcBorders>
              <w:top w:val="single" w:sz="4" w:space="0" w:color="000000"/>
              <w:left w:val="single" w:sz="4" w:space="0" w:color="000000"/>
              <w:bottom w:val="single" w:sz="4" w:space="0" w:color="000000"/>
              <w:right w:val="single" w:sz="4" w:space="0" w:color="000000"/>
            </w:tcBorders>
            <w:vAlign w:val="center"/>
            <w:hideMark/>
          </w:tcPr>
          <w:p w14:paraId="02BFFAE8" w14:textId="77777777" w:rsidR="00D70898" w:rsidRPr="004E13E9" w:rsidRDefault="00D70898" w:rsidP="00D70898">
            <w:pPr>
              <w:widowControl w:val="0"/>
              <w:suppressAutoHyphens/>
              <w:jc w:val="center"/>
              <w:rPr>
                <w:rFonts w:eastAsia="MS Gothic" w:cs="Times New Roman"/>
                <w:sz w:val="14"/>
                <w:szCs w:val="14"/>
                <w:lang w:val="fr-FR" w:eastAsia="fr-FR" w:bidi="fr-FR"/>
              </w:rPr>
            </w:pPr>
            <w:r w:rsidRPr="004E13E9">
              <w:rPr>
                <w:rFonts w:eastAsia="MS Gothic" w:cs="Times New Roman"/>
                <w:sz w:val="14"/>
                <w:szCs w:val="14"/>
                <w:lang w:val="fr-FR" w:eastAsia="fr-FR" w:bidi="fr-FR"/>
              </w:rPr>
              <w:t>2006</w:t>
            </w: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1A0950E1" w14:textId="77777777" w:rsidR="00D70898" w:rsidRPr="004E13E9" w:rsidRDefault="00D70898" w:rsidP="00D70898">
            <w:pPr>
              <w:widowControl w:val="0"/>
              <w:suppressAutoHyphens/>
              <w:jc w:val="center"/>
              <w:rPr>
                <w:rFonts w:eastAsia="MS Gothic" w:cs="Times New Roman"/>
                <w:sz w:val="14"/>
                <w:szCs w:val="14"/>
                <w:lang w:val="fr-FR" w:eastAsia="fr-FR" w:bidi="fr-FR"/>
              </w:rPr>
            </w:pPr>
            <w:r w:rsidRPr="004E13E9">
              <w:rPr>
                <w:rFonts w:eastAsia="MS Gothic" w:cs="Times New Roman"/>
                <w:sz w:val="14"/>
                <w:szCs w:val="14"/>
                <w:lang w:val="fr-FR" w:eastAsia="fr-FR" w:bidi="fr-FR"/>
              </w:rPr>
              <w:t>2008</w:t>
            </w: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72707CDD" w14:textId="77777777" w:rsidR="00D70898" w:rsidRPr="004E13E9" w:rsidRDefault="00D70898" w:rsidP="00D70898">
            <w:pPr>
              <w:widowControl w:val="0"/>
              <w:suppressAutoHyphens/>
              <w:jc w:val="center"/>
              <w:rPr>
                <w:rFonts w:eastAsia="MS Gothic" w:cs="Times New Roman"/>
                <w:sz w:val="14"/>
                <w:szCs w:val="14"/>
                <w:lang w:val="fr-FR" w:eastAsia="fr-FR" w:bidi="fr-FR"/>
              </w:rPr>
            </w:pPr>
            <w:r w:rsidRPr="004E13E9">
              <w:rPr>
                <w:rFonts w:eastAsia="MS Gothic" w:cs="Times New Roman"/>
                <w:sz w:val="14"/>
                <w:szCs w:val="14"/>
                <w:lang w:val="fr-FR" w:eastAsia="fr-FR" w:bidi="fr-FR"/>
              </w:rPr>
              <w:t>2018</w:t>
            </w: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607312CF" w14:textId="77777777" w:rsidR="00D70898" w:rsidRPr="004E13E9" w:rsidRDefault="00D70898" w:rsidP="00D70898">
            <w:pPr>
              <w:widowControl w:val="0"/>
              <w:suppressAutoHyphens/>
              <w:jc w:val="center"/>
              <w:rPr>
                <w:rFonts w:eastAsia="MS Gothic" w:cs="Times New Roman"/>
                <w:sz w:val="14"/>
                <w:szCs w:val="14"/>
                <w:lang w:val="fr-FR" w:eastAsia="fr-FR" w:bidi="fr-FR"/>
              </w:rPr>
            </w:pPr>
            <w:r w:rsidRPr="004E13E9">
              <w:rPr>
                <w:rFonts w:eastAsia="MS Gothic" w:cs="Times New Roman"/>
                <w:sz w:val="14"/>
                <w:szCs w:val="14"/>
                <w:lang w:val="fr-FR" w:eastAsia="fr-FR" w:bidi="fr-FR"/>
              </w:rPr>
              <w:t>2023</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39A57806" w14:textId="77777777" w:rsidR="00D70898" w:rsidRPr="004E13E9" w:rsidRDefault="00D70898" w:rsidP="00D70898">
            <w:pPr>
              <w:widowControl w:val="0"/>
              <w:suppressAutoHyphens/>
              <w:jc w:val="center"/>
              <w:rPr>
                <w:rFonts w:eastAsia="MS Gothic" w:cs="Times New Roman"/>
                <w:sz w:val="14"/>
                <w:szCs w:val="14"/>
                <w:lang w:val="fr-FR" w:eastAsia="fr-FR" w:bidi="fr-FR"/>
              </w:rPr>
            </w:pPr>
            <w:r w:rsidRPr="004E13E9">
              <w:rPr>
                <w:rFonts w:eastAsia="MS Gothic" w:cs="Times New Roman"/>
                <w:sz w:val="14"/>
                <w:szCs w:val="14"/>
                <w:lang w:val="fr-FR" w:eastAsia="fr-FR" w:bidi="fr-FR"/>
              </w:rPr>
              <w:t>2024</w:t>
            </w: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1BFA5C71" w14:textId="77777777" w:rsidR="00D70898" w:rsidRPr="004E13E9" w:rsidRDefault="00D70898" w:rsidP="00D70898">
            <w:pPr>
              <w:widowControl w:val="0"/>
              <w:suppressAutoHyphens/>
              <w:jc w:val="center"/>
              <w:rPr>
                <w:rFonts w:eastAsia="MS Gothic" w:cs="Times New Roman"/>
                <w:sz w:val="14"/>
                <w:szCs w:val="14"/>
                <w:lang w:val="fr-FR" w:eastAsia="fr-FR" w:bidi="fr-FR"/>
              </w:rPr>
            </w:pPr>
            <w:r w:rsidRPr="004E13E9">
              <w:rPr>
                <w:rFonts w:eastAsia="MS Gothic" w:cs="Times New Roman"/>
                <w:sz w:val="14"/>
                <w:szCs w:val="14"/>
                <w:lang w:val="fr-FR" w:eastAsia="fr-FR" w:bidi="fr-FR"/>
              </w:rPr>
              <w:t>2025</w:t>
            </w:r>
          </w:p>
        </w:tc>
        <w:tc>
          <w:tcPr>
            <w:tcW w:w="590" w:type="dxa"/>
            <w:tcBorders>
              <w:top w:val="single" w:sz="4" w:space="0" w:color="000000"/>
              <w:left w:val="single" w:sz="4" w:space="0" w:color="000000"/>
              <w:bottom w:val="single" w:sz="4" w:space="0" w:color="000000"/>
              <w:right w:val="single" w:sz="4" w:space="0" w:color="000000"/>
            </w:tcBorders>
            <w:vAlign w:val="center"/>
            <w:hideMark/>
          </w:tcPr>
          <w:p w14:paraId="6EB921DB" w14:textId="77777777" w:rsidR="00D70898" w:rsidRPr="004E13E9" w:rsidRDefault="00D70898" w:rsidP="00D70898">
            <w:pPr>
              <w:widowControl w:val="0"/>
              <w:suppressAutoHyphens/>
              <w:jc w:val="center"/>
              <w:rPr>
                <w:rFonts w:eastAsia="MS Gothic" w:cs="Times New Roman"/>
                <w:sz w:val="14"/>
                <w:szCs w:val="14"/>
                <w:lang w:val="fr-FR" w:eastAsia="fr-FR" w:bidi="fr-FR"/>
              </w:rPr>
            </w:pPr>
            <w:r w:rsidRPr="004E13E9">
              <w:rPr>
                <w:rFonts w:eastAsia="MS Gothic" w:cs="Times New Roman"/>
                <w:sz w:val="14"/>
                <w:szCs w:val="14"/>
                <w:lang w:val="fr-FR" w:eastAsia="fr-FR" w:bidi="fr-FR"/>
              </w:rPr>
              <w:t>2026</w:t>
            </w:r>
            <w:r w:rsidRPr="004E13E9">
              <w:rPr>
                <w:rFonts w:eastAsia="MS Gothic" w:cs="Times New Roman"/>
                <w:sz w:val="14"/>
                <w:szCs w:val="14"/>
                <w:vertAlign w:val="superscript"/>
                <w:lang w:val="fr-FR" w:eastAsia="fr-FR" w:bidi="fr-FR"/>
              </w:rPr>
              <w:t>a</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F54C159"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20" w:type="dxa"/>
            <w:tcBorders>
              <w:top w:val="single" w:sz="4" w:space="0" w:color="000000"/>
              <w:left w:val="single" w:sz="4" w:space="0" w:color="000000"/>
              <w:bottom w:val="single" w:sz="4" w:space="0" w:color="000000"/>
              <w:right w:val="single" w:sz="4" w:space="0" w:color="000000"/>
            </w:tcBorders>
            <w:vAlign w:val="center"/>
            <w:hideMark/>
          </w:tcPr>
          <w:p w14:paraId="018A57AA" w14:textId="77777777" w:rsidR="00D70898" w:rsidRPr="004E13E9" w:rsidRDefault="00D70898" w:rsidP="00D70898">
            <w:pPr>
              <w:widowControl w:val="0"/>
              <w:suppressAutoHyphens/>
              <w:ind w:hanging="57"/>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2006</w:t>
            </w: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3351D08D"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2008</w:t>
            </w:r>
          </w:p>
        </w:tc>
        <w:tc>
          <w:tcPr>
            <w:tcW w:w="1212" w:type="dxa"/>
            <w:tcBorders>
              <w:top w:val="single" w:sz="4" w:space="0" w:color="000000"/>
              <w:left w:val="single" w:sz="4" w:space="0" w:color="000000"/>
              <w:bottom w:val="single" w:sz="4" w:space="0" w:color="000000"/>
              <w:right w:val="single" w:sz="4" w:space="0" w:color="000000"/>
            </w:tcBorders>
            <w:vAlign w:val="center"/>
            <w:hideMark/>
          </w:tcPr>
          <w:p w14:paraId="64BA891D"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2018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32B055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2023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790765"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2024</w:t>
            </w: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321D5BE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2025</w:t>
            </w:r>
          </w:p>
        </w:tc>
        <w:tc>
          <w:tcPr>
            <w:tcW w:w="832" w:type="dxa"/>
            <w:tcBorders>
              <w:top w:val="single" w:sz="4" w:space="0" w:color="000000"/>
              <w:left w:val="single" w:sz="4" w:space="0" w:color="000000"/>
              <w:bottom w:val="single" w:sz="4" w:space="0" w:color="000000"/>
              <w:right w:val="single" w:sz="4" w:space="0" w:color="000000"/>
            </w:tcBorders>
            <w:vAlign w:val="center"/>
            <w:hideMark/>
          </w:tcPr>
          <w:p w14:paraId="2B5C495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2026</w:t>
            </w:r>
          </w:p>
        </w:tc>
      </w:tr>
      <w:tr w:rsidR="00D70898" w:rsidRPr="004E13E9" w14:paraId="2F6E1B24"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783CCB3E"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Senneur de plus de 40 m</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4F4E0BF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70,66</w:t>
            </w:r>
          </w:p>
        </w:tc>
        <w:tc>
          <w:tcPr>
            <w:tcW w:w="592" w:type="dxa"/>
            <w:tcBorders>
              <w:top w:val="single" w:sz="4" w:space="0" w:color="000000"/>
              <w:left w:val="single" w:sz="4" w:space="0" w:color="000000"/>
              <w:bottom w:val="single" w:sz="4" w:space="0" w:color="000000"/>
              <w:right w:val="single" w:sz="4" w:space="0" w:color="000000"/>
            </w:tcBorders>
            <w:vAlign w:val="center"/>
          </w:tcPr>
          <w:p w14:paraId="002E3271"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0751CA8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41</w:t>
            </w: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67D28C35"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16</w:t>
            </w: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1359B134"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23</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72EFC7EB"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24</w:t>
            </w: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73D56CC4"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32</w:t>
            </w:r>
          </w:p>
        </w:tc>
        <w:tc>
          <w:tcPr>
            <w:tcW w:w="590" w:type="dxa"/>
            <w:tcBorders>
              <w:top w:val="single" w:sz="4" w:space="0" w:color="000000"/>
              <w:left w:val="single" w:sz="4" w:space="0" w:color="000000"/>
              <w:bottom w:val="single" w:sz="4" w:space="0" w:color="000000"/>
              <w:right w:val="single" w:sz="4" w:space="0" w:color="000000"/>
            </w:tcBorders>
            <w:vAlign w:val="center"/>
            <w:hideMark/>
          </w:tcPr>
          <w:p w14:paraId="5DBA98B5"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33</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A813B2F"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2AC85557"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627EA73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2899</w:t>
            </w:r>
          </w:p>
        </w:tc>
        <w:tc>
          <w:tcPr>
            <w:tcW w:w="1212" w:type="dxa"/>
            <w:tcBorders>
              <w:top w:val="single" w:sz="4" w:space="0" w:color="000000"/>
              <w:left w:val="single" w:sz="4" w:space="0" w:color="000000"/>
              <w:bottom w:val="single" w:sz="4" w:space="0" w:color="000000"/>
              <w:right w:val="single" w:sz="4" w:space="0" w:color="000000"/>
            </w:tcBorders>
            <w:vAlign w:val="center"/>
            <w:hideMark/>
          </w:tcPr>
          <w:p w14:paraId="2FE20D86"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1131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E2DA307"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1626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D3F2C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1697</w:t>
            </w: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691473D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2264</w:t>
            </w:r>
          </w:p>
        </w:tc>
        <w:tc>
          <w:tcPr>
            <w:tcW w:w="832" w:type="dxa"/>
            <w:tcBorders>
              <w:top w:val="single" w:sz="4" w:space="0" w:color="000000"/>
              <w:left w:val="single" w:sz="4" w:space="0" w:color="000000"/>
              <w:bottom w:val="single" w:sz="4" w:space="0" w:color="000000"/>
              <w:right w:val="single" w:sz="4" w:space="0" w:color="000000"/>
            </w:tcBorders>
            <w:vAlign w:val="center"/>
            <w:hideMark/>
          </w:tcPr>
          <w:p w14:paraId="50AD9D08" w14:textId="77777777" w:rsidR="00D70898" w:rsidRPr="004E13E9" w:rsidRDefault="00D70898" w:rsidP="00D70898">
            <w:pPr>
              <w:widowControl w:val="0"/>
              <w:suppressAutoHyphens/>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2331,8</w:t>
            </w:r>
          </w:p>
        </w:tc>
      </w:tr>
      <w:tr w:rsidR="00D70898" w:rsidRPr="004E13E9" w14:paraId="25CBA744"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2E1408C0"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Senneur entre 24 et 40 m</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51A06AF7"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49,78</w:t>
            </w:r>
          </w:p>
        </w:tc>
        <w:tc>
          <w:tcPr>
            <w:tcW w:w="592" w:type="dxa"/>
            <w:tcBorders>
              <w:top w:val="single" w:sz="4" w:space="0" w:color="000000"/>
              <w:left w:val="single" w:sz="4" w:space="0" w:color="000000"/>
              <w:bottom w:val="single" w:sz="4" w:space="0" w:color="000000"/>
              <w:right w:val="single" w:sz="4" w:space="0" w:color="000000"/>
            </w:tcBorders>
            <w:vAlign w:val="center"/>
          </w:tcPr>
          <w:p w14:paraId="12346EEF"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00907B34"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49</w:t>
            </w: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41D32C1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6</w:t>
            </w: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5D4F6305"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6</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4996950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6</w:t>
            </w: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30DF0734"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4</w:t>
            </w:r>
          </w:p>
        </w:tc>
        <w:tc>
          <w:tcPr>
            <w:tcW w:w="590" w:type="dxa"/>
            <w:tcBorders>
              <w:top w:val="single" w:sz="4" w:space="0" w:color="000000"/>
              <w:left w:val="single" w:sz="4" w:space="0" w:color="000000"/>
              <w:bottom w:val="single" w:sz="4" w:space="0" w:color="000000"/>
              <w:right w:val="single" w:sz="4" w:space="0" w:color="000000"/>
            </w:tcBorders>
            <w:vAlign w:val="center"/>
            <w:hideMark/>
          </w:tcPr>
          <w:p w14:paraId="7724266F"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15</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0E37AA4"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71E4CB67"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715C28D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2439</w:t>
            </w:r>
          </w:p>
        </w:tc>
        <w:tc>
          <w:tcPr>
            <w:tcW w:w="1212" w:type="dxa"/>
            <w:tcBorders>
              <w:top w:val="single" w:sz="4" w:space="0" w:color="000000"/>
              <w:left w:val="single" w:sz="4" w:space="0" w:color="000000"/>
              <w:bottom w:val="single" w:sz="4" w:space="0" w:color="000000"/>
              <w:right w:val="single" w:sz="4" w:space="0" w:color="000000"/>
            </w:tcBorders>
            <w:vAlign w:val="center"/>
            <w:hideMark/>
          </w:tcPr>
          <w:p w14:paraId="7798058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299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E1970F4"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299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0EF0D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299</w:t>
            </w: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45397A43"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199</w:t>
            </w:r>
          </w:p>
        </w:tc>
        <w:tc>
          <w:tcPr>
            <w:tcW w:w="832" w:type="dxa"/>
            <w:tcBorders>
              <w:top w:val="single" w:sz="4" w:space="0" w:color="000000"/>
              <w:left w:val="single" w:sz="4" w:space="0" w:color="000000"/>
              <w:bottom w:val="single" w:sz="4" w:space="0" w:color="000000"/>
              <w:right w:val="single" w:sz="4" w:space="0" w:color="000000"/>
            </w:tcBorders>
            <w:vAlign w:val="center"/>
            <w:hideMark/>
          </w:tcPr>
          <w:p w14:paraId="49142B3D" w14:textId="77777777" w:rsidR="00D70898" w:rsidRPr="004E13E9" w:rsidRDefault="00D70898" w:rsidP="00D70898">
            <w:pPr>
              <w:widowControl w:val="0"/>
              <w:suppressAutoHyphens/>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746,7</w:t>
            </w:r>
          </w:p>
        </w:tc>
      </w:tr>
      <w:tr w:rsidR="00D70898" w:rsidRPr="004E13E9" w14:paraId="2C4165AD"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10DCA8F5"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Senneur de moins de 24m</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7C4A7CE4"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33,68</w:t>
            </w:r>
          </w:p>
        </w:tc>
        <w:tc>
          <w:tcPr>
            <w:tcW w:w="592" w:type="dxa"/>
            <w:tcBorders>
              <w:top w:val="single" w:sz="4" w:space="0" w:color="000000"/>
              <w:left w:val="single" w:sz="4" w:space="0" w:color="000000"/>
              <w:bottom w:val="single" w:sz="4" w:space="0" w:color="000000"/>
              <w:right w:val="single" w:sz="4" w:space="0" w:color="000000"/>
            </w:tcBorders>
            <w:vAlign w:val="center"/>
          </w:tcPr>
          <w:p w14:paraId="50A63861"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13CDBD54"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3</w:t>
            </w: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56E4FC0E"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0</w:t>
            </w: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29A69C4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0</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77C6E91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0</w:t>
            </w: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24E8531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0</w:t>
            </w:r>
          </w:p>
        </w:tc>
        <w:tc>
          <w:tcPr>
            <w:tcW w:w="590" w:type="dxa"/>
            <w:tcBorders>
              <w:top w:val="single" w:sz="4" w:space="0" w:color="000000"/>
              <w:left w:val="single" w:sz="4" w:space="0" w:color="000000"/>
              <w:bottom w:val="single" w:sz="4" w:space="0" w:color="000000"/>
              <w:right w:val="single" w:sz="4" w:space="0" w:color="000000"/>
            </w:tcBorders>
            <w:vAlign w:val="center"/>
            <w:hideMark/>
          </w:tcPr>
          <w:p w14:paraId="7FC8ADC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0</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0BFF1B4"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6EA85FA1"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4C698A24"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101</w:t>
            </w:r>
          </w:p>
        </w:tc>
        <w:tc>
          <w:tcPr>
            <w:tcW w:w="1212" w:type="dxa"/>
            <w:tcBorders>
              <w:top w:val="single" w:sz="4" w:space="0" w:color="000000"/>
              <w:left w:val="single" w:sz="4" w:space="0" w:color="000000"/>
              <w:bottom w:val="single" w:sz="4" w:space="0" w:color="000000"/>
              <w:right w:val="single" w:sz="4" w:space="0" w:color="000000"/>
            </w:tcBorders>
            <w:vAlign w:val="center"/>
            <w:hideMark/>
          </w:tcPr>
          <w:p w14:paraId="07E55B3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4E972E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E8B4B3"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0</w:t>
            </w: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1C68E8C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0</w:t>
            </w:r>
          </w:p>
        </w:tc>
        <w:tc>
          <w:tcPr>
            <w:tcW w:w="832" w:type="dxa"/>
            <w:tcBorders>
              <w:top w:val="single" w:sz="4" w:space="0" w:color="000000"/>
              <w:left w:val="single" w:sz="4" w:space="0" w:color="000000"/>
              <w:bottom w:val="single" w:sz="4" w:space="0" w:color="000000"/>
              <w:right w:val="single" w:sz="4" w:space="0" w:color="000000"/>
            </w:tcBorders>
            <w:vAlign w:val="center"/>
            <w:hideMark/>
          </w:tcPr>
          <w:p w14:paraId="7FB70B8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0</w:t>
            </w:r>
          </w:p>
        </w:tc>
      </w:tr>
      <w:tr w:rsidR="00D70898" w:rsidRPr="004E13E9" w14:paraId="7EE7D888"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63E6639B"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b/>
                <w:color w:val="000000"/>
                <w:sz w:val="14"/>
                <w:szCs w:val="14"/>
                <w:lang w:val="fr-FR" w:eastAsia="fr-FR" w:bidi="fr-FR"/>
              </w:rPr>
              <w:t>Flottille totale de senneurs</w:t>
            </w:r>
            <w:r w:rsidRPr="004E13E9">
              <w:rPr>
                <w:rFonts w:eastAsia="MS Gothic" w:cs="Times New Roman"/>
                <w:b/>
                <w:color w:val="000000"/>
                <w:sz w:val="14"/>
                <w:szCs w:val="14"/>
                <w:vertAlign w:val="superscript"/>
                <w:lang w:val="fr-FR" w:eastAsia="fr-FR" w:bidi="fr-FR"/>
              </w:rPr>
              <w:t xml:space="preserve"> </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18880F45"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2" w:type="dxa"/>
            <w:tcBorders>
              <w:top w:val="single" w:sz="4" w:space="0" w:color="000000"/>
              <w:left w:val="single" w:sz="4" w:space="0" w:color="000000"/>
              <w:bottom w:val="single" w:sz="4" w:space="0" w:color="000000"/>
              <w:right w:val="single" w:sz="4" w:space="0" w:color="000000"/>
            </w:tcBorders>
            <w:vAlign w:val="center"/>
          </w:tcPr>
          <w:p w14:paraId="36BE9B5D"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495B1BB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93</w:t>
            </w: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47425E7F"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22</w:t>
            </w: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582FF804"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29</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434A8F0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30</w:t>
            </w: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1E5E4774"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r w:rsidRPr="004E13E9">
              <w:rPr>
                <w:rFonts w:eastAsia="MS Gothic" w:cs="Times New Roman"/>
                <w:b/>
                <w:color w:val="000000"/>
                <w:sz w:val="14"/>
                <w:szCs w:val="14"/>
                <w:lang w:val="fr-FR" w:eastAsia="fr-FR" w:bidi="fr-FR"/>
              </w:rPr>
              <w:t>36</w:t>
            </w:r>
          </w:p>
        </w:tc>
        <w:tc>
          <w:tcPr>
            <w:tcW w:w="590" w:type="dxa"/>
            <w:tcBorders>
              <w:top w:val="single" w:sz="4" w:space="0" w:color="000000"/>
              <w:left w:val="single" w:sz="4" w:space="0" w:color="000000"/>
              <w:bottom w:val="single" w:sz="4" w:space="0" w:color="000000"/>
              <w:right w:val="single" w:sz="4" w:space="0" w:color="000000"/>
            </w:tcBorders>
            <w:vAlign w:val="center"/>
            <w:hideMark/>
          </w:tcPr>
          <w:p w14:paraId="21E7F84C"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r w:rsidRPr="004E13E9">
              <w:rPr>
                <w:rFonts w:eastAsia="MS Gothic" w:cs="Times New Roman"/>
                <w:b/>
                <w:color w:val="000000"/>
                <w:sz w:val="14"/>
                <w:szCs w:val="14"/>
                <w:lang w:val="fr-FR" w:eastAsia="fr-FR" w:bidi="fr-FR"/>
              </w:rPr>
              <w:t>48</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B2D3634"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70854460"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439D0EC3"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5439</w:t>
            </w:r>
          </w:p>
        </w:tc>
        <w:tc>
          <w:tcPr>
            <w:tcW w:w="1212" w:type="dxa"/>
            <w:tcBorders>
              <w:top w:val="single" w:sz="4" w:space="0" w:color="000000"/>
              <w:left w:val="single" w:sz="4" w:space="0" w:color="000000"/>
              <w:bottom w:val="single" w:sz="4" w:space="0" w:color="000000"/>
              <w:right w:val="single" w:sz="4" w:space="0" w:color="000000"/>
            </w:tcBorders>
            <w:vAlign w:val="center"/>
            <w:hideMark/>
          </w:tcPr>
          <w:p w14:paraId="7B4C1A4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1430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19985B7"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1925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AB88A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1996</w:t>
            </w: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74A58FCE"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2463</w:t>
            </w:r>
          </w:p>
        </w:tc>
        <w:tc>
          <w:tcPr>
            <w:tcW w:w="832" w:type="dxa"/>
            <w:tcBorders>
              <w:top w:val="single" w:sz="4" w:space="0" w:color="000000"/>
              <w:left w:val="single" w:sz="4" w:space="0" w:color="000000"/>
              <w:bottom w:val="single" w:sz="4" w:space="0" w:color="000000"/>
              <w:right w:val="single" w:sz="4" w:space="0" w:color="000000"/>
            </w:tcBorders>
            <w:vAlign w:val="center"/>
            <w:hideMark/>
          </w:tcPr>
          <w:p w14:paraId="0E8AD3B1" w14:textId="77777777" w:rsidR="00D70898" w:rsidRPr="004E13E9" w:rsidRDefault="00D70898" w:rsidP="00D70898">
            <w:pPr>
              <w:widowControl w:val="0"/>
              <w:suppressAutoHyphens/>
              <w:jc w:val="center"/>
              <w:rPr>
                <w:rFonts w:eastAsia="Times New Roman" w:cs="Calibri"/>
                <w:b/>
                <w:bCs/>
                <w:color w:val="000000"/>
                <w:sz w:val="14"/>
                <w:szCs w:val="14"/>
                <w:lang w:val="fr-FR" w:eastAsia="fr-FR" w:bidi="fr-FR"/>
              </w:rPr>
            </w:pPr>
            <w:r w:rsidRPr="004E13E9">
              <w:rPr>
                <w:rFonts w:eastAsia="Times New Roman" w:cs="Calibri"/>
                <w:b/>
                <w:bCs/>
                <w:color w:val="000000"/>
                <w:sz w:val="14"/>
                <w:szCs w:val="14"/>
                <w:lang w:val="en-GB" w:eastAsia="ja-JP" w:bidi="fr-FR"/>
              </w:rPr>
              <w:t>3078,5</w:t>
            </w:r>
          </w:p>
        </w:tc>
      </w:tr>
      <w:tr w:rsidR="00D70898" w:rsidRPr="004E13E9" w14:paraId="0885F6D8"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1F6AD231"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Palangrier de plus de 40 m</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600E7425"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25</w:t>
            </w:r>
          </w:p>
        </w:tc>
        <w:tc>
          <w:tcPr>
            <w:tcW w:w="592" w:type="dxa"/>
            <w:tcBorders>
              <w:top w:val="single" w:sz="4" w:space="0" w:color="000000"/>
              <w:left w:val="single" w:sz="4" w:space="0" w:color="000000"/>
              <w:bottom w:val="single" w:sz="4" w:space="0" w:color="000000"/>
              <w:right w:val="single" w:sz="4" w:space="0" w:color="000000"/>
            </w:tcBorders>
            <w:vAlign w:val="center"/>
          </w:tcPr>
          <w:p w14:paraId="258AA12F"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52565793"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556A7187"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6F921AB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5316B93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29CB4BF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0" w:type="dxa"/>
            <w:tcBorders>
              <w:top w:val="single" w:sz="4" w:space="0" w:color="000000"/>
              <w:left w:val="single" w:sz="4" w:space="0" w:color="000000"/>
              <w:bottom w:val="single" w:sz="4" w:space="0" w:color="000000"/>
              <w:right w:val="single" w:sz="4" w:space="0" w:color="000000"/>
            </w:tcBorders>
            <w:vAlign w:val="center"/>
          </w:tcPr>
          <w:p w14:paraId="772E214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FBFF69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4262D4B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6486771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1593CA0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1BA677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20939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47CB647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32" w:type="dxa"/>
            <w:tcBorders>
              <w:top w:val="single" w:sz="4" w:space="0" w:color="000000"/>
              <w:left w:val="single" w:sz="4" w:space="0" w:color="000000"/>
              <w:bottom w:val="single" w:sz="4" w:space="0" w:color="000000"/>
              <w:right w:val="single" w:sz="4" w:space="0" w:color="000000"/>
            </w:tcBorders>
            <w:vAlign w:val="center"/>
          </w:tcPr>
          <w:p w14:paraId="60D939A9"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r>
      <w:tr w:rsidR="00D70898" w:rsidRPr="004E13E9" w14:paraId="2AE2103B"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165B65E8"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Palangrier entre 24 et 40 m</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4B6139E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5,68</w:t>
            </w:r>
          </w:p>
        </w:tc>
        <w:tc>
          <w:tcPr>
            <w:tcW w:w="592" w:type="dxa"/>
            <w:tcBorders>
              <w:top w:val="single" w:sz="4" w:space="0" w:color="000000"/>
              <w:left w:val="single" w:sz="4" w:space="0" w:color="000000"/>
              <w:bottom w:val="single" w:sz="4" w:space="0" w:color="000000"/>
              <w:right w:val="single" w:sz="4" w:space="0" w:color="000000"/>
            </w:tcBorders>
            <w:vAlign w:val="center"/>
          </w:tcPr>
          <w:p w14:paraId="6BF7AE8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17EF802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5A1455F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59330A5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161FD5F7"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5E6026F7"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0" w:type="dxa"/>
            <w:tcBorders>
              <w:top w:val="single" w:sz="4" w:space="0" w:color="000000"/>
              <w:left w:val="single" w:sz="4" w:space="0" w:color="000000"/>
              <w:bottom w:val="single" w:sz="4" w:space="0" w:color="000000"/>
              <w:right w:val="single" w:sz="4" w:space="0" w:color="000000"/>
            </w:tcBorders>
            <w:vAlign w:val="center"/>
          </w:tcPr>
          <w:p w14:paraId="29C3C173"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5E12BF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3A5FD495"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096B20A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6DD0C6A3"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D6153D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DA96C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71D64BBE"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32" w:type="dxa"/>
            <w:tcBorders>
              <w:top w:val="single" w:sz="4" w:space="0" w:color="000000"/>
              <w:left w:val="single" w:sz="4" w:space="0" w:color="000000"/>
              <w:bottom w:val="single" w:sz="4" w:space="0" w:color="000000"/>
              <w:right w:val="single" w:sz="4" w:space="0" w:color="000000"/>
            </w:tcBorders>
            <w:vAlign w:val="center"/>
          </w:tcPr>
          <w:p w14:paraId="4524ABDD"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r>
      <w:tr w:rsidR="00D70898" w:rsidRPr="004E13E9" w14:paraId="05EC711F"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3D958432"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Palangrier de moins de 24m</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2BFD470F"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5</w:t>
            </w:r>
          </w:p>
        </w:tc>
        <w:tc>
          <w:tcPr>
            <w:tcW w:w="592" w:type="dxa"/>
            <w:tcBorders>
              <w:top w:val="single" w:sz="4" w:space="0" w:color="000000"/>
              <w:left w:val="single" w:sz="4" w:space="0" w:color="000000"/>
              <w:bottom w:val="single" w:sz="4" w:space="0" w:color="000000"/>
              <w:right w:val="single" w:sz="4" w:space="0" w:color="000000"/>
            </w:tcBorders>
            <w:vAlign w:val="center"/>
          </w:tcPr>
          <w:p w14:paraId="2E9BDC9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2C69A9E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6CA6D23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56DC3C2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59FCCE2E"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527E9A05"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0" w:type="dxa"/>
            <w:tcBorders>
              <w:top w:val="single" w:sz="4" w:space="0" w:color="000000"/>
              <w:left w:val="single" w:sz="4" w:space="0" w:color="000000"/>
              <w:bottom w:val="single" w:sz="4" w:space="0" w:color="000000"/>
              <w:right w:val="single" w:sz="4" w:space="0" w:color="000000"/>
            </w:tcBorders>
            <w:vAlign w:val="center"/>
          </w:tcPr>
          <w:p w14:paraId="5DE78D74"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72A7A9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53AE292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5B6DBABF"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1BA21BB6"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50DE54B"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222F5B"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477FB057"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32" w:type="dxa"/>
            <w:tcBorders>
              <w:top w:val="single" w:sz="4" w:space="0" w:color="000000"/>
              <w:left w:val="single" w:sz="4" w:space="0" w:color="000000"/>
              <w:bottom w:val="single" w:sz="4" w:space="0" w:color="000000"/>
              <w:right w:val="single" w:sz="4" w:space="0" w:color="000000"/>
            </w:tcBorders>
            <w:vAlign w:val="center"/>
          </w:tcPr>
          <w:p w14:paraId="089CE43B"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r>
      <w:tr w:rsidR="00D70898" w:rsidRPr="004E13E9" w14:paraId="3B4A73CE"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5ABC62E4"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b/>
                <w:color w:val="000000"/>
                <w:sz w:val="14"/>
                <w:szCs w:val="14"/>
                <w:lang w:val="fr-FR" w:eastAsia="fr-FR" w:bidi="fr-FR"/>
              </w:rPr>
              <w:t>Flottille totale de palangriers</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082A9A4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2" w:type="dxa"/>
            <w:tcBorders>
              <w:top w:val="single" w:sz="4" w:space="0" w:color="000000"/>
              <w:left w:val="single" w:sz="4" w:space="0" w:color="000000"/>
              <w:bottom w:val="single" w:sz="4" w:space="0" w:color="000000"/>
              <w:right w:val="single" w:sz="4" w:space="0" w:color="000000"/>
            </w:tcBorders>
            <w:vAlign w:val="center"/>
          </w:tcPr>
          <w:p w14:paraId="656C3F6C"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04C9F897"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535270F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1CC5028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4CFF01D5"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6DF62DD4"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0" w:type="dxa"/>
            <w:tcBorders>
              <w:top w:val="single" w:sz="4" w:space="0" w:color="000000"/>
              <w:left w:val="single" w:sz="4" w:space="0" w:color="000000"/>
              <w:bottom w:val="single" w:sz="4" w:space="0" w:color="000000"/>
              <w:right w:val="single" w:sz="4" w:space="0" w:color="000000"/>
            </w:tcBorders>
            <w:vAlign w:val="center"/>
          </w:tcPr>
          <w:p w14:paraId="18491BF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7C2DFF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1A1715FF"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02B39681"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3EA1958D"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7F30F06"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9450FE"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2EF3E4C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32" w:type="dxa"/>
            <w:tcBorders>
              <w:top w:val="single" w:sz="4" w:space="0" w:color="000000"/>
              <w:left w:val="single" w:sz="4" w:space="0" w:color="000000"/>
              <w:bottom w:val="single" w:sz="4" w:space="0" w:color="000000"/>
              <w:right w:val="single" w:sz="4" w:space="0" w:color="000000"/>
            </w:tcBorders>
            <w:vAlign w:val="center"/>
          </w:tcPr>
          <w:p w14:paraId="5D9BC110"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r>
      <w:tr w:rsidR="00D70898" w:rsidRPr="004E13E9" w14:paraId="79189CDE"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32497C61"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 xml:space="preserve">Canneur </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48356736"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19,75</w:t>
            </w:r>
          </w:p>
        </w:tc>
        <w:tc>
          <w:tcPr>
            <w:tcW w:w="592" w:type="dxa"/>
            <w:tcBorders>
              <w:top w:val="single" w:sz="4" w:space="0" w:color="000000"/>
              <w:left w:val="single" w:sz="4" w:space="0" w:color="000000"/>
              <w:bottom w:val="single" w:sz="4" w:space="0" w:color="000000"/>
              <w:right w:val="single" w:sz="4" w:space="0" w:color="000000"/>
            </w:tcBorders>
            <w:vAlign w:val="center"/>
          </w:tcPr>
          <w:p w14:paraId="43C55184"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03D5191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212F21B4"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282CB44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560D095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4D2C50FB"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0" w:type="dxa"/>
            <w:tcBorders>
              <w:top w:val="single" w:sz="4" w:space="0" w:color="000000"/>
              <w:left w:val="single" w:sz="4" w:space="0" w:color="000000"/>
              <w:bottom w:val="single" w:sz="4" w:space="0" w:color="000000"/>
              <w:right w:val="single" w:sz="4" w:space="0" w:color="000000"/>
            </w:tcBorders>
            <w:vAlign w:val="center"/>
          </w:tcPr>
          <w:p w14:paraId="382B891F"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9383F3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7DDE9385"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5ECE547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2C8B62E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A5CF8B3"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BDD64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1CD12C65"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32" w:type="dxa"/>
            <w:tcBorders>
              <w:top w:val="single" w:sz="4" w:space="0" w:color="000000"/>
              <w:left w:val="single" w:sz="4" w:space="0" w:color="000000"/>
              <w:bottom w:val="single" w:sz="4" w:space="0" w:color="000000"/>
              <w:right w:val="single" w:sz="4" w:space="0" w:color="000000"/>
            </w:tcBorders>
            <w:vAlign w:val="center"/>
          </w:tcPr>
          <w:p w14:paraId="1FA0DBAF"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r>
      <w:tr w:rsidR="00D70898" w:rsidRPr="004E13E9" w14:paraId="6EE8FCB9"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4046D7C0"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Ligne à main</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78CFB83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5</w:t>
            </w:r>
          </w:p>
        </w:tc>
        <w:tc>
          <w:tcPr>
            <w:tcW w:w="592" w:type="dxa"/>
            <w:tcBorders>
              <w:top w:val="single" w:sz="4" w:space="0" w:color="000000"/>
              <w:left w:val="single" w:sz="4" w:space="0" w:color="000000"/>
              <w:bottom w:val="single" w:sz="4" w:space="0" w:color="000000"/>
              <w:right w:val="single" w:sz="4" w:space="0" w:color="000000"/>
            </w:tcBorders>
            <w:vAlign w:val="center"/>
          </w:tcPr>
          <w:p w14:paraId="53DA08A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6E8B4C14"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70F291CD"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24D04D1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662A9A03"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0B634E71"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0" w:type="dxa"/>
            <w:tcBorders>
              <w:top w:val="single" w:sz="4" w:space="0" w:color="000000"/>
              <w:left w:val="single" w:sz="4" w:space="0" w:color="000000"/>
              <w:bottom w:val="single" w:sz="4" w:space="0" w:color="000000"/>
              <w:right w:val="single" w:sz="4" w:space="0" w:color="000000"/>
            </w:tcBorders>
            <w:vAlign w:val="center"/>
          </w:tcPr>
          <w:p w14:paraId="7BC5075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0B84B1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4926403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5B7A966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08E818F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B12ED76"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2C9C03"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3A69F841"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32" w:type="dxa"/>
            <w:tcBorders>
              <w:top w:val="single" w:sz="4" w:space="0" w:color="000000"/>
              <w:left w:val="single" w:sz="4" w:space="0" w:color="000000"/>
              <w:bottom w:val="single" w:sz="4" w:space="0" w:color="000000"/>
              <w:right w:val="single" w:sz="4" w:space="0" w:color="000000"/>
            </w:tcBorders>
            <w:vAlign w:val="center"/>
          </w:tcPr>
          <w:p w14:paraId="0E65B54D"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r>
      <w:tr w:rsidR="00D70898" w:rsidRPr="004E13E9" w14:paraId="72D88137"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7B34366C"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Chalutier</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1D18B8C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10</w:t>
            </w:r>
          </w:p>
        </w:tc>
        <w:tc>
          <w:tcPr>
            <w:tcW w:w="592" w:type="dxa"/>
            <w:tcBorders>
              <w:top w:val="single" w:sz="4" w:space="0" w:color="000000"/>
              <w:left w:val="single" w:sz="4" w:space="0" w:color="000000"/>
              <w:bottom w:val="single" w:sz="4" w:space="0" w:color="000000"/>
              <w:right w:val="single" w:sz="4" w:space="0" w:color="000000"/>
            </w:tcBorders>
            <w:vAlign w:val="center"/>
          </w:tcPr>
          <w:p w14:paraId="5874B721"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10A23FDD"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3B78B0B7"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2020357F"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0EB11AE3"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3B613076"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0" w:type="dxa"/>
            <w:tcBorders>
              <w:top w:val="single" w:sz="4" w:space="0" w:color="000000"/>
              <w:left w:val="single" w:sz="4" w:space="0" w:color="000000"/>
              <w:bottom w:val="single" w:sz="4" w:space="0" w:color="000000"/>
              <w:right w:val="single" w:sz="4" w:space="0" w:color="000000"/>
            </w:tcBorders>
            <w:vAlign w:val="center"/>
          </w:tcPr>
          <w:p w14:paraId="1A8CE8F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AD26496"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646996F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41D0B48E"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7EAB81F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4A63E3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ADC17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4CE49567"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32" w:type="dxa"/>
            <w:tcBorders>
              <w:top w:val="single" w:sz="4" w:space="0" w:color="000000"/>
              <w:left w:val="single" w:sz="4" w:space="0" w:color="000000"/>
              <w:bottom w:val="single" w:sz="4" w:space="0" w:color="000000"/>
              <w:right w:val="single" w:sz="4" w:space="0" w:color="000000"/>
            </w:tcBorders>
            <w:vAlign w:val="center"/>
          </w:tcPr>
          <w:p w14:paraId="784464B6"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r>
      <w:tr w:rsidR="00D70898" w:rsidRPr="004E13E9" w14:paraId="03D82628"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76E218C8"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Madrague</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5ADDAFF5"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130</w:t>
            </w:r>
          </w:p>
        </w:tc>
        <w:tc>
          <w:tcPr>
            <w:tcW w:w="592" w:type="dxa"/>
            <w:tcBorders>
              <w:top w:val="single" w:sz="4" w:space="0" w:color="000000"/>
              <w:left w:val="single" w:sz="4" w:space="0" w:color="000000"/>
              <w:bottom w:val="single" w:sz="4" w:space="0" w:color="000000"/>
              <w:right w:val="single" w:sz="4" w:space="0" w:color="000000"/>
            </w:tcBorders>
            <w:vAlign w:val="center"/>
          </w:tcPr>
          <w:p w14:paraId="05B43B39"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6E50BEC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2AB4375B"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5EBC6E2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7DDAD50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4F2BB8AC"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0" w:type="dxa"/>
            <w:tcBorders>
              <w:top w:val="single" w:sz="4" w:space="0" w:color="000000"/>
              <w:left w:val="single" w:sz="4" w:space="0" w:color="000000"/>
              <w:bottom w:val="single" w:sz="4" w:space="0" w:color="000000"/>
              <w:right w:val="single" w:sz="4" w:space="0" w:color="000000"/>
            </w:tcBorders>
            <w:vAlign w:val="center"/>
          </w:tcPr>
          <w:p w14:paraId="5B5888CE"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E853D5F"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08904CFE"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22E659E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7A13E48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8323726"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7AAA9B"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21EFFB8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32" w:type="dxa"/>
            <w:tcBorders>
              <w:top w:val="single" w:sz="4" w:space="0" w:color="000000"/>
              <w:left w:val="single" w:sz="4" w:space="0" w:color="000000"/>
              <w:bottom w:val="single" w:sz="4" w:space="0" w:color="000000"/>
              <w:right w:val="single" w:sz="4" w:space="0" w:color="000000"/>
            </w:tcBorders>
            <w:vAlign w:val="center"/>
          </w:tcPr>
          <w:p w14:paraId="0E91A0F2"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r>
      <w:tr w:rsidR="00D70898" w:rsidRPr="004E13E9" w14:paraId="3E157854"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163C6F87"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 xml:space="preserve">Petits navires côtiers </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278F3AD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N/A</w:t>
            </w:r>
          </w:p>
        </w:tc>
        <w:tc>
          <w:tcPr>
            <w:tcW w:w="592" w:type="dxa"/>
            <w:tcBorders>
              <w:top w:val="single" w:sz="4" w:space="0" w:color="000000"/>
              <w:left w:val="single" w:sz="4" w:space="0" w:color="000000"/>
              <w:bottom w:val="single" w:sz="4" w:space="0" w:color="000000"/>
              <w:right w:val="single" w:sz="4" w:space="0" w:color="000000"/>
            </w:tcBorders>
            <w:vAlign w:val="center"/>
          </w:tcPr>
          <w:p w14:paraId="3CD18880"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4D6E5F0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1E408927"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2CDA6F71"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52F20676"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29EEB07D"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0" w:type="dxa"/>
            <w:tcBorders>
              <w:top w:val="single" w:sz="4" w:space="0" w:color="000000"/>
              <w:left w:val="single" w:sz="4" w:space="0" w:color="000000"/>
              <w:bottom w:val="single" w:sz="4" w:space="0" w:color="000000"/>
              <w:right w:val="single" w:sz="4" w:space="0" w:color="000000"/>
            </w:tcBorders>
            <w:vAlign w:val="center"/>
          </w:tcPr>
          <w:p w14:paraId="44F57A2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85C4D11"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2805344F"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6AB477D7"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28665557"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8E4A31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51F4A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4122E31D"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832" w:type="dxa"/>
            <w:tcBorders>
              <w:top w:val="single" w:sz="4" w:space="0" w:color="000000"/>
              <w:left w:val="single" w:sz="4" w:space="0" w:color="000000"/>
              <w:bottom w:val="single" w:sz="4" w:space="0" w:color="000000"/>
              <w:right w:val="single" w:sz="4" w:space="0" w:color="000000"/>
            </w:tcBorders>
            <w:vAlign w:val="center"/>
          </w:tcPr>
          <w:p w14:paraId="726F978A"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r>
      <w:tr w:rsidR="00D70898" w:rsidRPr="004E13E9" w14:paraId="658C87D2"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58B5F745"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Autre (à préciser)</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57DBFA37"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5</w:t>
            </w:r>
          </w:p>
        </w:tc>
        <w:tc>
          <w:tcPr>
            <w:tcW w:w="592" w:type="dxa"/>
            <w:tcBorders>
              <w:top w:val="single" w:sz="4" w:space="0" w:color="000000"/>
              <w:left w:val="single" w:sz="4" w:space="0" w:color="000000"/>
              <w:bottom w:val="single" w:sz="4" w:space="0" w:color="000000"/>
              <w:right w:val="single" w:sz="4" w:space="0" w:color="000000"/>
            </w:tcBorders>
            <w:vAlign w:val="center"/>
          </w:tcPr>
          <w:p w14:paraId="2D1AFC41"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7F4C0F25"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23EDEDDD"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79CAEEA7"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793285C9"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22435972"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0" w:type="dxa"/>
            <w:tcBorders>
              <w:top w:val="single" w:sz="4" w:space="0" w:color="000000"/>
              <w:left w:val="single" w:sz="4" w:space="0" w:color="000000"/>
              <w:bottom w:val="single" w:sz="4" w:space="0" w:color="000000"/>
              <w:right w:val="single" w:sz="4" w:space="0" w:color="000000"/>
            </w:tcBorders>
            <w:vAlign w:val="center"/>
          </w:tcPr>
          <w:p w14:paraId="0CCB33C6"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A8DDFB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5FCD20F6"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5B766C4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69241995"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8F661C4" w14:textId="77777777" w:rsidR="00D70898" w:rsidRPr="004E13E9" w:rsidRDefault="00D70898" w:rsidP="00D70898">
            <w:pPr>
              <w:spacing w:after="160" w:line="256" w:lineRule="auto"/>
              <w:jc w:val="center"/>
              <w:rPr>
                <w:rFonts w:eastAsia="MS Gothic" w:cs="Times New Roman"/>
                <w:sz w:val="14"/>
                <w:szCs w:val="14"/>
                <w:lang w:val="fr-FR" w:eastAsia="fr-FR" w:bidi="fr-FR"/>
              </w:rPr>
            </w:pPr>
            <w:r w:rsidRPr="004E13E9">
              <w:rPr>
                <w:rFonts w:eastAsia="MS Gothic" w:cs="Times New Roman"/>
                <w:b/>
                <w:sz w:val="14"/>
                <w:szCs w:val="14"/>
                <w:lang w:val="fr-FR" w:eastAsia="fr-FR" w:bidi="fr-FR"/>
              </w:rPr>
              <w:t>3</w:t>
            </w:r>
            <w:r w:rsidRPr="004E13E9">
              <w:rPr>
                <w:rFonts w:eastAsia="MS Gothic" w:cs="Times New Roman"/>
                <w:b/>
                <w:sz w:val="14"/>
                <w:szCs w:val="14"/>
                <w:vertAlign w:val="superscript"/>
                <w:lang w:val="fr-FR" w:eastAsia="fr-FR" w:bidi="fr-FR"/>
              </w:rPr>
              <w:t>b</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11609E"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3</w:t>
            </w:r>
            <w:r w:rsidRPr="004E13E9">
              <w:rPr>
                <w:rFonts w:eastAsia="MS Gothic" w:cs="Times New Roman"/>
                <w:b/>
                <w:sz w:val="14"/>
                <w:szCs w:val="14"/>
                <w:vertAlign w:val="superscript"/>
                <w:lang w:val="fr-FR" w:eastAsia="fr-FR" w:bidi="fr-FR"/>
              </w:rPr>
              <w:t>b</w:t>
            </w: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28B43AA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3</w:t>
            </w:r>
            <w:r w:rsidRPr="004E13E9">
              <w:rPr>
                <w:rFonts w:eastAsia="MS Gothic" w:cs="Times New Roman"/>
                <w:b/>
                <w:sz w:val="14"/>
                <w:szCs w:val="14"/>
                <w:vertAlign w:val="superscript"/>
                <w:lang w:val="fr-FR" w:eastAsia="fr-FR" w:bidi="fr-FR"/>
              </w:rPr>
              <w:t>b</w:t>
            </w:r>
          </w:p>
        </w:tc>
        <w:tc>
          <w:tcPr>
            <w:tcW w:w="832" w:type="dxa"/>
            <w:tcBorders>
              <w:top w:val="single" w:sz="4" w:space="0" w:color="000000"/>
              <w:left w:val="single" w:sz="4" w:space="0" w:color="000000"/>
              <w:bottom w:val="single" w:sz="4" w:space="0" w:color="000000"/>
              <w:right w:val="single" w:sz="4" w:space="0" w:color="000000"/>
            </w:tcBorders>
            <w:vAlign w:val="center"/>
            <w:hideMark/>
          </w:tcPr>
          <w:p w14:paraId="253B0DC8"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r w:rsidRPr="004E13E9">
              <w:rPr>
                <w:rFonts w:eastAsia="MS Gothic" w:cs="Times New Roman"/>
                <w:b/>
                <w:sz w:val="14"/>
                <w:szCs w:val="14"/>
                <w:lang w:val="fr-FR" w:eastAsia="fr-FR" w:bidi="fr-FR"/>
              </w:rPr>
              <w:t>3,5</w:t>
            </w:r>
            <w:r w:rsidRPr="004E13E9">
              <w:rPr>
                <w:rFonts w:eastAsia="MS Gothic" w:cs="Times New Roman"/>
                <w:b/>
                <w:sz w:val="14"/>
                <w:szCs w:val="14"/>
                <w:vertAlign w:val="superscript"/>
                <w:lang w:val="fr-FR" w:eastAsia="fr-FR" w:bidi="fr-FR"/>
              </w:rPr>
              <w:t>b</w:t>
            </w:r>
          </w:p>
        </w:tc>
      </w:tr>
      <w:tr w:rsidR="00D70898" w:rsidRPr="004E13E9" w14:paraId="4B753054"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5B437F25"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b/>
                <w:color w:val="000000"/>
                <w:sz w:val="14"/>
                <w:szCs w:val="14"/>
                <w:lang w:val="fr-FR" w:eastAsia="fr-FR" w:bidi="fr-FR"/>
              </w:rPr>
              <w:t>Capacité totale de la flottille/de pêche</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477191F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2" w:type="dxa"/>
            <w:tcBorders>
              <w:top w:val="single" w:sz="4" w:space="0" w:color="000000"/>
              <w:left w:val="single" w:sz="4" w:space="0" w:color="000000"/>
              <w:bottom w:val="single" w:sz="4" w:space="0" w:color="000000"/>
              <w:right w:val="single" w:sz="4" w:space="0" w:color="000000"/>
            </w:tcBorders>
            <w:vAlign w:val="center"/>
          </w:tcPr>
          <w:p w14:paraId="6AF8D325"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66C9114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93</w:t>
            </w: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4AA98F5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22</w:t>
            </w: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65EBCFD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30</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22908A6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30</w:t>
            </w: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1E194B9C"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r w:rsidRPr="004E13E9">
              <w:rPr>
                <w:rFonts w:eastAsia="MS Gothic" w:cs="Times New Roman"/>
                <w:b/>
                <w:color w:val="000000"/>
                <w:sz w:val="14"/>
                <w:szCs w:val="14"/>
                <w:lang w:val="fr-FR" w:eastAsia="fr-FR" w:bidi="fr-FR"/>
              </w:rPr>
              <w:t>36</w:t>
            </w:r>
          </w:p>
        </w:tc>
        <w:tc>
          <w:tcPr>
            <w:tcW w:w="590" w:type="dxa"/>
            <w:tcBorders>
              <w:top w:val="single" w:sz="4" w:space="0" w:color="000000"/>
              <w:left w:val="single" w:sz="4" w:space="0" w:color="000000"/>
              <w:bottom w:val="single" w:sz="4" w:space="0" w:color="000000"/>
              <w:right w:val="single" w:sz="4" w:space="0" w:color="000000"/>
            </w:tcBorders>
            <w:vAlign w:val="center"/>
            <w:hideMark/>
          </w:tcPr>
          <w:p w14:paraId="4B766521"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r w:rsidRPr="004E13E9">
              <w:rPr>
                <w:rFonts w:eastAsia="MS Gothic" w:cs="Times New Roman"/>
                <w:b/>
                <w:color w:val="000000"/>
                <w:sz w:val="14"/>
                <w:szCs w:val="14"/>
                <w:lang w:val="fr-FR" w:eastAsia="fr-FR" w:bidi="fr-FR"/>
              </w:rPr>
              <w:t>48</w:t>
            </w: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8128B71"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1A7C2979"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284FBC0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5439</w:t>
            </w:r>
          </w:p>
        </w:tc>
        <w:tc>
          <w:tcPr>
            <w:tcW w:w="1212" w:type="dxa"/>
            <w:tcBorders>
              <w:top w:val="single" w:sz="4" w:space="0" w:color="000000"/>
              <w:left w:val="single" w:sz="4" w:space="0" w:color="000000"/>
              <w:bottom w:val="single" w:sz="4" w:space="0" w:color="000000"/>
              <w:right w:val="single" w:sz="4" w:space="0" w:color="000000"/>
            </w:tcBorders>
            <w:vAlign w:val="center"/>
            <w:hideMark/>
          </w:tcPr>
          <w:p w14:paraId="15EC634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1430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8A990BB"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1928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222C0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1999</w:t>
            </w: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15FFD71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sz w:val="14"/>
                <w:szCs w:val="14"/>
                <w:lang w:val="fr-FR" w:eastAsia="fr-FR" w:bidi="fr-FR"/>
              </w:rPr>
              <w:t>2463</w:t>
            </w:r>
          </w:p>
        </w:tc>
        <w:tc>
          <w:tcPr>
            <w:tcW w:w="832" w:type="dxa"/>
            <w:tcBorders>
              <w:top w:val="single" w:sz="4" w:space="0" w:color="000000"/>
              <w:left w:val="single" w:sz="4" w:space="0" w:color="000000"/>
              <w:bottom w:val="single" w:sz="4" w:space="0" w:color="000000"/>
              <w:right w:val="single" w:sz="4" w:space="0" w:color="000000"/>
            </w:tcBorders>
            <w:vAlign w:val="center"/>
            <w:hideMark/>
          </w:tcPr>
          <w:p w14:paraId="12EA8ECE" w14:textId="77777777" w:rsidR="00D70898" w:rsidRPr="004E13E9" w:rsidRDefault="00D70898" w:rsidP="00D70898">
            <w:pPr>
              <w:widowControl w:val="0"/>
              <w:suppressAutoHyphens/>
              <w:jc w:val="center"/>
              <w:rPr>
                <w:rFonts w:eastAsia="Times New Roman" w:cs="Calibri"/>
                <w:b/>
                <w:bCs/>
                <w:color w:val="000000"/>
                <w:sz w:val="14"/>
                <w:szCs w:val="14"/>
                <w:lang w:val="fr-FR" w:eastAsia="fr-FR" w:bidi="fr-FR"/>
              </w:rPr>
            </w:pPr>
            <w:r w:rsidRPr="004E13E9">
              <w:rPr>
                <w:rFonts w:eastAsia="Times New Roman" w:cs="Calibri"/>
                <w:b/>
                <w:bCs/>
                <w:sz w:val="14"/>
                <w:szCs w:val="14"/>
                <w:lang w:val="fr-FR" w:eastAsia="ja-JP"/>
              </w:rPr>
              <w:t>3082</w:t>
            </w:r>
          </w:p>
        </w:tc>
      </w:tr>
      <w:tr w:rsidR="00D70898" w:rsidRPr="004E13E9" w14:paraId="7311A7D6"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9CBE8E5"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b/>
                <w:color w:val="000000"/>
                <w:sz w:val="14"/>
                <w:szCs w:val="14"/>
                <w:lang w:val="fr-FR" w:eastAsia="fr-FR" w:bidi="fr-FR"/>
              </w:rPr>
              <w:t xml:space="preserve">Quota initial </w:t>
            </w:r>
          </w:p>
        </w:tc>
        <w:tc>
          <w:tcPr>
            <w:tcW w:w="101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EB285FD"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CB0AD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56C6C7E"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1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B8AFE0F"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E414895"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8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98A72BE"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60AB1B"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90FA9B"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6EAF74F"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1E53DB"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98407A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color w:val="000000"/>
                <w:sz w:val="14"/>
                <w:szCs w:val="14"/>
                <w:lang w:val="fr-FR" w:eastAsia="fr-FR" w:bidi="fr-FR"/>
              </w:rPr>
              <w:t>887</w:t>
            </w:r>
          </w:p>
        </w:tc>
        <w:tc>
          <w:tcPr>
            <w:tcW w:w="121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92728E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b/>
                <w:color w:val="000000"/>
                <w:sz w:val="14"/>
                <w:szCs w:val="14"/>
                <w:lang w:val="fr-FR" w:eastAsia="fr-FR" w:bidi="fr-FR"/>
              </w:rPr>
              <w:t>1414</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E59E4F7"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2600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9B19B8A"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2600</w:t>
            </w:r>
          </w:p>
        </w:tc>
        <w:tc>
          <w:tcPr>
            <w:tcW w:w="86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DA8E5B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2600</w:t>
            </w:r>
          </w:p>
        </w:tc>
        <w:tc>
          <w:tcPr>
            <w:tcW w:w="83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38226A7" w14:textId="77777777" w:rsidR="00D70898" w:rsidRPr="004E13E9" w:rsidRDefault="00D70898" w:rsidP="00D70898">
            <w:pPr>
              <w:widowControl w:val="0"/>
              <w:suppressAutoHyphens/>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3094,45</w:t>
            </w:r>
          </w:p>
        </w:tc>
      </w:tr>
      <w:tr w:rsidR="00D70898" w:rsidRPr="004E13E9" w14:paraId="1AB24598"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760AE6A"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b/>
                <w:color w:val="000000"/>
                <w:sz w:val="14"/>
                <w:szCs w:val="14"/>
                <w:lang w:val="fr-FR" w:eastAsia="fr-FR" w:bidi="fr-FR"/>
              </w:rPr>
              <w:t>Quota ajusté (le cas échéant)</w:t>
            </w:r>
          </w:p>
        </w:tc>
        <w:tc>
          <w:tcPr>
            <w:tcW w:w="101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0FBAC1"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D7C31F7"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959EE2"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11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FD08E2"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44ABC90"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11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30C0D3"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621055"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1950C5"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3C4F69"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BF51AD"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AD2E39"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12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D2E20E"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F36E00A" w14:textId="77777777" w:rsidR="00D70898" w:rsidRPr="004E13E9" w:rsidRDefault="00D70898" w:rsidP="00D70898">
            <w:pPr>
              <w:widowControl w:val="0"/>
              <w:suppressAutoHyphens/>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3284,17</w:t>
            </w:r>
            <w:r w:rsidRPr="004E13E9">
              <w:rPr>
                <w:rFonts w:eastAsia="MS Gothic" w:cs="Times New Roman"/>
                <w:color w:val="000000"/>
                <w:sz w:val="14"/>
                <w:szCs w:val="14"/>
                <w:vertAlign w:val="superscript"/>
                <w:lang w:val="fr-FR" w:eastAsia="fr-FR" w:bidi="fr-FR"/>
              </w:rPr>
              <w:t>c</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73DDF3D" w14:textId="77777777" w:rsidR="00D70898" w:rsidRPr="004E13E9" w:rsidRDefault="00D70898" w:rsidP="00D70898">
            <w:pPr>
              <w:widowControl w:val="0"/>
              <w:suppressAutoHyphens/>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3200,64</w:t>
            </w:r>
            <w:r w:rsidRPr="004E13E9">
              <w:rPr>
                <w:rFonts w:eastAsia="MS Gothic" w:cs="Times New Roman"/>
                <w:color w:val="000000"/>
                <w:sz w:val="14"/>
                <w:szCs w:val="14"/>
                <w:vertAlign w:val="superscript"/>
                <w:lang w:val="fr-FR" w:eastAsia="fr-FR" w:bidi="fr-FR"/>
              </w:rPr>
              <w:t xml:space="preserve"> e</w:t>
            </w:r>
          </w:p>
        </w:tc>
        <w:tc>
          <w:tcPr>
            <w:tcW w:w="86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BA9FE75" w14:textId="77777777" w:rsidR="00D70898" w:rsidRPr="004E13E9" w:rsidRDefault="00D70898" w:rsidP="00D70898">
            <w:pPr>
              <w:widowControl w:val="0"/>
              <w:suppressAutoHyphens/>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2728</w:t>
            </w:r>
            <w:r w:rsidRPr="004E13E9">
              <w:rPr>
                <w:rFonts w:eastAsia="MS Gothic" w:cs="Times New Roman"/>
                <w:color w:val="000000"/>
                <w:sz w:val="14"/>
                <w:szCs w:val="14"/>
                <w:vertAlign w:val="superscript"/>
                <w:lang w:val="fr-FR" w:eastAsia="fr-FR" w:bidi="fr-FR"/>
              </w:rPr>
              <w:t xml:space="preserve"> g</w:t>
            </w:r>
          </w:p>
        </w:tc>
        <w:tc>
          <w:tcPr>
            <w:tcW w:w="83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3937312" w14:textId="77777777" w:rsidR="00D70898" w:rsidRPr="004E13E9" w:rsidRDefault="00D70898" w:rsidP="00D70898">
            <w:pPr>
              <w:widowControl w:val="0"/>
              <w:suppressAutoHyphens/>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3149,45</w:t>
            </w:r>
            <w:r w:rsidRPr="004E13E9">
              <w:rPr>
                <w:rFonts w:eastAsia="MS Gothic" w:cs="Times New Roman"/>
                <w:color w:val="000000"/>
                <w:sz w:val="14"/>
                <w:szCs w:val="14"/>
                <w:vertAlign w:val="superscript"/>
                <w:lang w:val="fr-FR" w:eastAsia="fr-FR" w:bidi="fr-FR"/>
              </w:rPr>
              <w:t>i</w:t>
            </w:r>
          </w:p>
        </w:tc>
      </w:tr>
      <w:tr w:rsidR="00D70898" w:rsidRPr="004E13E9" w14:paraId="153B5234"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442499B5"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b/>
                <w:color w:val="000000"/>
                <w:sz w:val="14"/>
                <w:szCs w:val="14"/>
                <w:lang w:val="fr-FR" w:eastAsia="fr-FR" w:bidi="fr-FR"/>
              </w:rPr>
              <w:t>Pourcentage alloué aux prises accessoires</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4B298527"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2" w:type="dxa"/>
            <w:tcBorders>
              <w:top w:val="single" w:sz="4" w:space="0" w:color="000000"/>
              <w:left w:val="single" w:sz="4" w:space="0" w:color="000000"/>
              <w:bottom w:val="single" w:sz="4" w:space="0" w:color="000000"/>
              <w:right w:val="single" w:sz="4" w:space="0" w:color="000000"/>
            </w:tcBorders>
            <w:vAlign w:val="center"/>
          </w:tcPr>
          <w:p w14:paraId="12E5FF3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1C7B9BFF"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4D1C4B05"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hideMark/>
          </w:tcPr>
          <w:p w14:paraId="5176E04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5887A983"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677EE1A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0" w:type="dxa"/>
            <w:tcBorders>
              <w:top w:val="single" w:sz="4" w:space="0" w:color="000000"/>
              <w:left w:val="single" w:sz="4" w:space="0" w:color="000000"/>
              <w:bottom w:val="single" w:sz="4" w:space="0" w:color="000000"/>
              <w:right w:val="single" w:sz="4" w:space="0" w:color="000000"/>
            </w:tcBorders>
            <w:vAlign w:val="center"/>
          </w:tcPr>
          <w:p w14:paraId="09A2AB91"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09C977E"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526C90FE"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2A03406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59CAB158"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0025575"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0,4%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955734"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0,4%</w:t>
            </w: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703F165E"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0,4%</w:t>
            </w:r>
          </w:p>
        </w:tc>
        <w:tc>
          <w:tcPr>
            <w:tcW w:w="832" w:type="dxa"/>
            <w:tcBorders>
              <w:top w:val="single" w:sz="4" w:space="0" w:color="000000"/>
              <w:left w:val="single" w:sz="4" w:space="0" w:color="000000"/>
              <w:bottom w:val="single" w:sz="4" w:space="0" w:color="000000"/>
              <w:right w:val="single" w:sz="4" w:space="0" w:color="000000"/>
            </w:tcBorders>
            <w:vAlign w:val="center"/>
            <w:hideMark/>
          </w:tcPr>
          <w:p w14:paraId="3F4A01FE"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sz w:val="14"/>
                <w:szCs w:val="14"/>
                <w:lang w:val="fr-FR" w:eastAsia="fr-FR" w:bidi="fr-FR"/>
              </w:rPr>
              <w:t>0,4%</w:t>
            </w:r>
          </w:p>
        </w:tc>
      </w:tr>
      <w:tr w:rsidR="00D70898" w:rsidRPr="004E13E9" w14:paraId="772ABED0"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1FCD6212"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b/>
                <w:color w:val="000000"/>
                <w:sz w:val="14"/>
                <w:szCs w:val="14"/>
                <w:lang w:val="fr-FR" w:eastAsia="fr-FR" w:bidi="fr-FR"/>
              </w:rPr>
              <w:t>Allocation aux prises accessoires</w:t>
            </w:r>
          </w:p>
        </w:tc>
        <w:tc>
          <w:tcPr>
            <w:tcW w:w="1017" w:type="dxa"/>
            <w:tcBorders>
              <w:top w:val="single" w:sz="4" w:space="0" w:color="000000"/>
              <w:left w:val="single" w:sz="4" w:space="0" w:color="000000"/>
              <w:bottom w:val="single" w:sz="4" w:space="0" w:color="000000"/>
              <w:right w:val="single" w:sz="4" w:space="0" w:color="000000"/>
            </w:tcBorders>
            <w:vAlign w:val="center"/>
          </w:tcPr>
          <w:p w14:paraId="25380377"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92" w:type="dxa"/>
            <w:tcBorders>
              <w:top w:val="single" w:sz="4" w:space="0" w:color="000000"/>
              <w:left w:val="single" w:sz="4" w:space="0" w:color="000000"/>
              <w:bottom w:val="single" w:sz="4" w:space="0" w:color="000000"/>
              <w:right w:val="single" w:sz="4" w:space="0" w:color="000000"/>
            </w:tcBorders>
            <w:vAlign w:val="center"/>
          </w:tcPr>
          <w:p w14:paraId="70E9A52C"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4E728AFC"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1110" w:type="dxa"/>
            <w:tcBorders>
              <w:top w:val="single" w:sz="4" w:space="0" w:color="000000"/>
              <w:left w:val="single" w:sz="4" w:space="0" w:color="000000"/>
              <w:bottom w:val="single" w:sz="4" w:space="0" w:color="000000"/>
              <w:right w:val="single" w:sz="4" w:space="0" w:color="000000"/>
            </w:tcBorders>
            <w:vAlign w:val="center"/>
          </w:tcPr>
          <w:p w14:paraId="1B4AC515"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1E7780CF"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1188" w:type="dxa"/>
            <w:tcBorders>
              <w:top w:val="single" w:sz="4" w:space="0" w:color="000000"/>
              <w:left w:val="single" w:sz="4" w:space="0" w:color="000000"/>
              <w:bottom w:val="single" w:sz="4" w:space="0" w:color="000000"/>
              <w:right w:val="single" w:sz="4" w:space="0" w:color="000000"/>
            </w:tcBorders>
            <w:vAlign w:val="center"/>
          </w:tcPr>
          <w:p w14:paraId="6995584B"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21691FF2"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90" w:type="dxa"/>
            <w:tcBorders>
              <w:top w:val="single" w:sz="4" w:space="0" w:color="000000"/>
              <w:left w:val="single" w:sz="4" w:space="0" w:color="000000"/>
              <w:bottom w:val="single" w:sz="4" w:space="0" w:color="000000"/>
              <w:right w:val="single" w:sz="4" w:space="0" w:color="000000"/>
            </w:tcBorders>
            <w:vAlign w:val="center"/>
          </w:tcPr>
          <w:p w14:paraId="58FB5391"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C1B48C"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6E3834A6"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7D48C3AE"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6B87E252"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7024438" w14:textId="77777777" w:rsidR="00D70898" w:rsidRPr="004E13E9" w:rsidRDefault="00D70898" w:rsidP="00D70898">
            <w:pPr>
              <w:widowControl w:val="0"/>
              <w:suppressAutoHyphens/>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10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D000FDC" w14:textId="77777777" w:rsidR="00D70898" w:rsidRPr="004E13E9" w:rsidRDefault="00D70898" w:rsidP="00D70898">
            <w:pPr>
              <w:widowControl w:val="0"/>
              <w:suppressAutoHyphens/>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10</w:t>
            </w: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566D1388" w14:textId="77777777" w:rsidR="00D70898" w:rsidRPr="004E13E9" w:rsidRDefault="00D70898" w:rsidP="00D70898">
            <w:pPr>
              <w:widowControl w:val="0"/>
              <w:suppressAutoHyphens/>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10</w:t>
            </w:r>
          </w:p>
        </w:tc>
        <w:tc>
          <w:tcPr>
            <w:tcW w:w="832" w:type="dxa"/>
            <w:tcBorders>
              <w:top w:val="single" w:sz="4" w:space="0" w:color="000000"/>
              <w:left w:val="single" w:sz="4" w:space="0" w:color="000000"/>
              <w:bottom w:val="single" w:sz="4" w:space="0" w:color="000000"/>
              <w:right w:val="single" w:sz="4" w:space="0" w:color="000000"/>
            </w:tcBorders>
            <w:vAlign w:val="center"/>
            <w:hideMark/>
          </w:tcPr>
          <w:p w14:paraId="3193337B" w14:textId="77777777" w:rsidR="00D70898" w:rsidRPr="004E13E9" w:rsidRDefault="00D70898" w:rsidP="00D70898">
            <w:pPr>
              <w:widowControl w:val="0"/>
              <w:suppressAutoHyphens/>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12</w:t>
            </w:r>
          </w:p>
        </w:tc>
      </w:tr>
      <w:tr w:rsidR="00D70898" w:rsidRPr="00C5533C" w14:paraId="41948C2F"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3DE71631" w14:textId="77777777" w:rsidR="00D70898" w:rsidRPr="004E13E9" w:rsidRDefault="00D70898" w:rsidP="00D70898">
            <w:pPr>
              <w:widowControl w:val="0"/>
              <w:suppressAutoHyphens/>
              <w:jc w:val="both"/>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Quota de recherche scientifique</w:t>
            </w:r>
          </w:p>
          <w:p w14:paraId="654B2D8A"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b/>
                <w:color w:val="000000"/>
                <w:sz w:val="14"/>
                <w:szCs w:val="14"/>
                <w:lang w:val="fr-FR" w:eastAsia="fr-FR" w:bidi="fr-FR"/>
              </w:rPr>
              <w:t>(le cas échéant)</w:t>
            </w:r>
          </w:p>
        </w:tc>
        <w:tc>
          <w:tcPr>
            <w:tcW w:w="1017" w:type="dxa"/>
            <w:tcBorders>
              <w:top w:val="single" w:sz="4" w:space="0" w:color="000000"/>
              <w:left w:val="single" w:sz="4" w:space="0" w:color="000000"/>
              <w:bottom w:val="single" w:sz="4" w:space="0" w:color="000000"/>
              <w:right w:val="single" w:sz="4" w:space="0" w:color="000000"/>
            </w:tcBorders>
            <w:vAlign w:val="center"/>
          </w:tcPr>
          <w:p w14:paraId="101EFBE0"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2" w:type="dxa"/>
            <w:tcBorders>
              <w:top w:val="single" w:sz="4" w:space="0" w:color="000000"/>
              <w:left w:val="single" w:sz="4" w:space="0" w:color="000000"/>
              <w:bottom w:val="single" w:sz="4" w:space="0" w:color="000000"/>
              <w:right w:val="single" w:sz="4" w:space="0" w:color="000000"/>
            </w:tcBorders>
            <w:vAlign w:val="center"/>
          </w:tcPr>
          <w:p w14:paraId="0FB173B4"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25B08421"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1110" w:type="dxa"/>
            <w:tcBorders>
              <w:top w:val="single" w:sz="4" w:space="0" w:color="000000"/>
              <w:left w:val="single" w:sz="4" w:space="0" w:color="000000"/>
              <w:bottom w:val="single" w:sz="4" w:space="0" w:color="000000"/>
              <w:right w:val="single" w:sz="4" w:space="0" w:color="000000"/>
            </w:tcBorders>
            <w:vAlign w:val="center"/>
          </w:tcPr>
          <w:p w14:paraId="7FC9A141"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753C2E73"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1188" w:type="dxa"/>
            <w:tcBorders>
              <w:top w:val="single" w:sz="4" w:space="0" w:color="000000"/>
              <w:left w:val="single" w:sz="4" w:space="0" w:color="000000"/>
              <w:bottom w:val="single" w:sz="4" w:space="0" w:color="000000"/>
              <w:right w:val="single" w:sz="4" w:space="0" w:color="000000"/>
            </w:tcBorders>
            <w:vAlign w:val="center"/>
          </w:tcPr>
          <w:p w14:paraId="20CEEB17"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3D1D87D4"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0" w:type="dxa"/>
            <w:tcBorders>
              <w:top w:val="single" w:sz="4" w:space="0" w:color="000000"/>
              <w:left w:val="single" w:sz="4" w:space="0" w:color="000000"/>
              <w:bottom w:val="single" w:sz="4" w:space="0" w:color="000000"/>
              <w:right w:val="single" w:sz="4" w:space="0" w:color="000000"/>
            </w:tcBorders>
            <w:vAlign w:val="center"/>
          </w:tcPr>
          <w:p w14:paraId="30F0ABE1"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FEA4BE"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1302C3E0"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6C211A5A"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4CFCCE74"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9891761"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52928B"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869" w:type="dxa"/>
            <w:tcBorders>
              <w:top w:val="single" w:sz="4" w:space="0" w:color="000000"/>
              <w:left w:val="single" w:sz="4" w:space="0" w:color="000000"/>
              <w:bottom w:val="single" w:sz="4" w:space="0" w:color="000000"/>
              <w:right w:val="single" w:sz="4" w:space="0" w:color="000000"/>
            </w:tcBorders>
            <w:vAlign w:val="center"/>
          </w:tcPr>
          <w:p w14:paraId="69CCC213"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832" w:type="dxa"/>
            <w:tcBorders>
              <w:top w:val="single" w:sz="4" w:space="0" w:color="000000"/>
              <w:left w:val="single" w:sz="4" w:space="0" w:color="000000"/>
              <w:bottom w:val="single" w:sz="4" w:space="0" w:color="000000"/>
              <w:right w:val="single" w:sz="4" w:space="0" w:color="000000"/>
            </w:tcBorders>
            <w:vAlign w:val="center"/>
          </w:tcPr>
          <w:p w14:paraId="6F3E3C19"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r>
      <w:tr w:rsidR="00D70898" w:rsidRPr="004E13E9" w14:paraId="042CD0F4"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7AD2BFB6" w14:textId="77777777" w:rsidR="00D70898" w:rsidRPr="004E13E9" w:rsidRDefault="00D70898" w:rsidP="00D70898">
            <w:pPr>
              <w:widowControl w:val="0"/>
              <w:suppressAutoHyphens/>
              <w:jc w:val="both"/>
              <w:rPr>
                <w:rFonts w:eastAsia="MS Gothic" w:cs="Times New Roman"/>
                <w:b/>
                <w:color w:val="000000"/>
                <w:sz w:val="14"/>
                <w:szCs w:val="14"/>
                <w:lang w:val="fr-FR" w:eastAsia="fr-FR" w:bidi="fr-FR"/>
              </w:rPr>
            </w:pPr>
            <w:r w:rsidRPr="004E13E9">
              <w:rPr>
                <w:rFonts w:eastAsia="MS Gothic" w:cs="Times New Roman"/>
                <w:b/>
                <w:color w:val="000000"/>
                <w:sz w:val="14"/>
                <w:szCs w:val="14"/>
                <w:lang w:val="fr-FR" w:eastAsia="fr-FR" w:bidi="fr-FR"/>
              </w:rPr>
              <w:t>Tolérance pour la pêche sportive/récréative</w:t>
            </w:r>
          </w:p>
          <w:p w14:paraId="0211A4C1"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b/>
                <w:color w:val="000000"/>
                <w:sz w:val="14"/>
                <w:szCs w:val="14"/>
                <w:lang w:val="fr-FR" w:eastAsia="fr-FR" w:bidi="fr-FR"/>
              </w:rPr>
              <w:t>(le cas échéant)</w:t>
            </w:r>
          </w:p>
        </w:tc>
        <w:tc>
          <w:tcPr>
            <w:tcW w:w="1017" w:type="dxa"/>
            <w:tcBorders>
              <w:top w:val="single" w:sz="4" w:space="0" w:color="000000"/>
              <w:left w:val="single" w:sz="4" w:space="0" w:color="000000"/>
              <w:bottom w:val="single" w:sz="4" w:space="0" w:color="000000"/>
              <w:right w:val="single" w:sz="4" w:space="0" w:color="000000"/>
            </w:tcBorders>
            <w:vAlign w:val="center"/>
          </w:tcPr>
          <w:p w14:paraId="79EA287F"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2" w:type="dxa"/>
            <w:tcBorders>
              <w:top w:val="single" w:sz="4" w:space="0" w:color="000000"/>
              <w:left w:val="single" w:sz="4" w:space="0" w:color="000000"/>
              <w:bottom w:val="single" w:sz="4" w:space="0" w:color="000000"/>
              <w:right w:val="single" w:sz="4" w:space="0" w:color="000000"/>
            </w:tcBorders>
            <w:vAlign w:val="center"/>
          </w:tcPr>
          <w:p w14:paraId="27208CAC"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26C168B2"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1110" w:type="dxa"/>
            <w:tcBorders>
              <w:top w:val="single" w:sz="4" w:space="0" w:color="000000"/>
              <w:left w:val="single" w:sz="4" w:space="0" w:color="000000"/>
              <w:bottom w:val="single" w:sz="4" w:space="0" w:color="000000"/>
              <w:right w:val="single" w:sz="4" w:space="0" w:color="000000"/>
            </w:tcBorders>
            <w:vAlign w:val="center"/>
          </w:tcPr>
          <w:p w14:paraId="64DA2FB5"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216511B1"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1188" w:type="dxa"/>
            <w:tcBorders>
              <w:top w:val="single" w:sz="4" w:space="0" w:color="000000"/>
              <w:left w:val="single" w:sz="4" w:space="0" w:color="000000"/>
              <w:bottom w:val="single" w:sz="4" w:space="0" w:color="000000"/>
              <w:right w:val="single" w:sz="4" w:space="0" w:color="000000"/>
            </w:tcBorders>
            <w:vAlign w:val="center"/>
          </w:tcPr>
          <w:p w14:paraId="3D646C19"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5093C8C8"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0" w:type="dxa"/>
            <w:tcBorders>
              <w:top w:val="single" w:sz="4" w:space="0" w:color="000000"/>
              <w:left w:val="single" w:sz="4" w:space="0" w:color="000000"/>
              <w:bottom w:val="single" w:sz="4" w:space="0" w:color="000000"/>
              <w:right w:val="single" w:sz="4" w:space="0" w:color="000000"/>
            </w:tcBorders>
            <w:vAlign w:val="center"/>
          </w:tcPr>
          <w:p w14:paraId="508A885B"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9DF3E1"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5FA2035C"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6567CDBE"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5A4CCC63"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F49CE0D"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D72ABA0"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869" w:type="dxa"/>
            <w:tcBorders>
              <w:top w:val="single" w:sz="4" w:space="0" w:color="000000"/>
              <w:left w:val="single" w:sz="4" w:space="0" w:color="000000"/>
              <w:bottom w:val="single" w:sz="4" w:space="0" w:color="000000"/>
              <w:right w:val="single" w:sz="4" w:space="0" w:color="000000"/>
            </w:tcBorders>
            <w:vAlign w:val="center"/>
          </w:tcPr>
          <w:p w14:paraId="132F1057" w14:textId="77777777" w:rsidR="00D70898" w:rsidRPr="004E13E9" w:rsidRDefault="00D70898" w:rsidP="00D70898">
            <w:pPr>
              <w:widowControl w:val="0"/>
              <w:suppressAutoHyphens/>
              <w:jc w:val="center"/>
              <w:rPr>
                <w:rFonts w:eastAsia="MS Gothic" w:cs="Times New Roman"/>
                <w:b/>
                <w:color w:val="000000"/>
                <w:sz w:val="14"/>
                <w:szCs w:val="14"/>
                <w:lang w:val="fr-FR" w:eastAsia="fr-FR" w:bidi="fr-FR"/>
              </w:rPr>
            </w:pPr>
          </w:p>
        </w:tc>
        <w:tc>
          <w:tcPr>
            <w:tcW w:w="832" w:type="dxa"/>
            <w:tcBorders>
              <w:top w:val="single" w:sz="4" w:space="0" w:color="000000"/>
              <w:left w:val="single" w:sz="4" w:space="0" w:color="000000"/>
              <w:bottom w:val="single" w:sz="4" w:space="0" w:color="000000"/>
              <w:right w:val="single" w:sz="4" w:space="0" w:color="000000"/>
            </w:tcBorders>
            <w:vAlign w:val="center"/>
          </w:tcPr>
          <w:p w14:paraId="0F928CB6"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r>
      <w:tr w:rsidR="00D70898" w:rsidRPr="004E13E9" w14:paraId="5F226357"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vAlign w:val="center"/>
            <w:hideMark/>
          </w:tcPr>
          <w:p w14:paraId="4658C1E9"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b/>
                <w:color w:val="000000"/>
                <w:sz w:val="14"/>
                <w:szCs w:val="14"/>
                <w:lang w:val="fr-FR" w:eastAsia="fr-FR" w:bidi="fr-FR"/>
              </w:rPr>
              <w:t xml:space="preserve">Quota disponible </w:t>
            </w:r>
          </w:p>
        </w:tc>
        <w:tc>
          <w:tcPr>
            <w:tcW w:w="1017" w:type="dxa"/>
            <w:tcBorders>
              <w:top w:val="single" w:sz="4" w:space="0" w:color="000000"/>
              <w:left w:val="single" w:sz="4" w:space="0" w:color="000000"/>
              <w:bottom w:val="single" w:sz="4" w:space="0" w:color="000000"/>
              <w:right w:val="single" w:sz="4" w:space="0" w:color="000000"/>
            </w:tcBorders>
            <w:vAlign w:val="center"/>
          </w:tcPr>
          <w:p w14:paraId="5613D3FF"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c>
          <w:tcPr>
            <w:tcW w:w="592" w:type="dxa"/>
            <w:tcBorders>
              <w:top w:val="single" w:sz="4" w:space="0" w:color="000000"/>
              <w:left w:val="single" w:sz="4" w:space="0" w:color="000000"/>
              <w:bottom w:val="single" w:sz="4" w:space="0" w:color="000000"/>
              <w:right w:val="single" w:sz="4" w:space="0" w:color="000000"/>
            </w:tcBorders>
            <w:vAlign w:val="center"/>
          </w:tcPr>
          <w:p w14:paraId="51B8BAFF"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36EAAEEA"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c>
          <w:tcPr>
            <w:tcW w:w="1110" w:type="dxa"/>
            <w:tcBorders>
              <w:top w:val="single" w:sz="4" w:space="0" w:color="000000"/>
              <w:left w:val="single" w:sz="4" w:space="0" w:color="000000"/>
              <w:bottom w:val="single" w:sz="4" w:space="0" w:color="000000"/>
              <w:right w:val="single" w:sz="4" w:space="0" w:color="000000"/>
            </w:tcBorders>
            <w:vAlign w:val="center"/>
          </w:tcPr>
          <w:p w14:paraId="64451E86"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4AB0DA83"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c>
          <w:tcPr>
            <w:tcW w:w="1188" w:type="dxa"/>
            <w:tcBorders>
              <w:top w:val="single" w:sz="4" w:space="0" w:color="000000"/>
              <w:left w:val="single" w:sz="4" w:space="0" w:color="000000"/>
              <w:bottom w:val="single" w:sz="4" w:space="0" w:color="000000"/>
              <w:right w:val="single" w:sz="4" w:space="0" w:color="000000"/>
            </w:tcBorders>
            <w:vAlign w:val="center"/>
          </w:tcPr>
          <w:p w14:paraId="7DBBB9A4"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25CDB18E"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c>
          <w:tcPr>
            <w:tcW w:w="590" w:type="dxa"/>
            <w:tcBorders>
              <w:top w:val="single" w:sz="4" w:space="0" w:color="000000"/>
              <w:left w:val="single" w:sz="4" w:space="0" w:color="000000"/>
              <w:bottom w:val="single" w:sz="4" w:space="0" w:color="000000"/>
              <w:right w:val="single" w:sz="4" w:space="0" w:color="000000"/>
            </w:tcBorders>
            <w:vAlign w:val="center"/>
          </w:tcPr>
          <w:p w14:paraId="5F215A7E"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D997FAC"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c>
          <w:tcPr>
            <w:tcW w:w="520" w:type="dxa"/>
            <w:tcBorders>
              <w:top w:val="single" w:sz="4" w:space="0" w:color="000000"/>
              <w:left w:val="single" w:sz="4" w:space="0" w:color="000000"/>
              <w:bottom w:val="single" w:sz="4" w:space="0" w:color="000000"/>
              <w:right w:val="single" w:sz="4" w:space="0" w:color="000000"/>
            </w:tcBorders>
            <w:vAlign w:val="center"/>
          </w:tcPr>
          <w:p w14:paraId="24C3B28B"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02A535CC"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170D8889" w14:textId="77777777" w:rsidR="00D70898" w:rsidRPr="004E13E9" w:rsidRDefault="00D70898" w:rsidP="00D70898">
            <w:pPr>
              <w:widowControl w:val="0"/>
              <w:suppressAutoHyphens/>
              <w:jc w:val="center"/>
              <w:rPr>
                <w:rFonts w:eastAsia="Times New Roman" w:cs="Calibri"/>
                <w:b/>
                <w:bCs/>
                <w:color w:val="000000"/>
                <w:sz w:val="14"/>
                <w:szCs w:val="14"/>
                <w:lang w:val="fr-FR" w:eastAsia="ja-JP" w:bidi="fr-FR"/>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D3BB6CD" w14:textId="77777777" w:rsidR="00D70898" w:rsidRPr="004E13E9" w:rsidRDefault="00D70898" w:rsidP="00D70898">
            <w:pPr>
              <w:widowControl w:val="0"/>
              <w:suppressAutoHyphens/>
              <w:jc w:val="center"/>
              <w:rPr>
                <w:rFonts w:eastAsia="Times New Roman" w:cs="Calibri"/>
                <w:b/>
                <w:bCs/>
                <w:color w:val="000000"/>
                <w:sz w:val="14"/>
                <w:szCs w:val="14"/>
                <w:lang w:val="fr-FR" w:eastAsia="fr-FR" w:bidi="fr-FR"/>
              </w:rPr>
            </w:pPr>
            <w:r w:rsidRPr="004E13E9">
              <w:rPr>
                <w:rFonts w:eastAsia="MS Gothic" w:cs="Times New Roman"/>
                <w:b/>
                <w:sz w:val="14"/>
                <w:szCs w:val="14"/>
                <w:lang w:val="fr-FR" w:eastAsia="fr-FR" w:bidi="fr-FR"/>
              </w:rPr>
              <w:t>3271,17</w:t>
            </w:r>
            <w:r w:rsidRPr="004E13E9">
              <w:rPr>
                <w:rFonts w:eastAsia="MS Gothic" w:cs="Times New Roman"/>
                <w:b/>
                <w:color w:val="000000"/>
                <w:sz w:val="14"/>
                <w:szCs w:val="14"/>
                <w:vertAlign w:val="superscript"/>
                <w:lang w:val="fr-FR" w:eastAsia="fr-FR" w:bidi="fr-FR"/>
              </w:rPr>
              <w:t xml:space="preserve"> d</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E0CECE" w14:textId="77777777" w:rsidR="00D70898" w:rsidRPr="004E13E9" w:rsidRDefault="00D70898" w:rsidP="00D70898">
            <w:pPr>
              <w:widowControl w:val="0"/>
              <w:suppressAutoHyphens/>
              <w:jc w:val="center"/>
              <w:rPr>
                <w:rFonts w:eastAsia="Times New Roman" w:cs="Calibri"/>
                <w:b/>
                <w:bCs/>
                <w:color w:val="000000"/>
                <w:sz w:val="14"/>
                <w:szCs w:val="14"/>
                <w:lang w:val="fr-FR" w:eastAsia="fr-FR" w:bidi="fr-FR"/>
              </w:rPr>
            </w:pPr>
            <w:r w:rsidRPr="004E13E9">
              <w:rPr>
                <w:rFonts w:eastAsia="MS Gothic" w:cs="Times New Roman"/>
                <w:b/>
                <w:sz w:val="14"/>
                <w:szCs w:val="14"/>
                <w:lang w:val="fr-FR" w:eastAsia="fr-FR" w:bidi="fr-FR"/>
              </w:rPr>
              <w:t>3187,64</w:t>
            </w:r>
            <w:r w:rsidRPr="004E13E9">
              <w:rPr>
                <w:rFonts w:eastAsia="MS Gothic" w:cs="Times New Roman"/>
                <w:b/>
                <w:sz w:val="14"/>
                <w:szCs w:val="14"/>
                <w:vertAlign w:val="superscript"/>
                <w:lang w:val="fr-FR" w:eastAsia="fr-FR" w:bidi="fr-FR"/>
              </w:rPr>
              <w:t>f</w:t>
            </w:r>
          </w:p>
        </w:tc>
        <w:tc>
          <w:tcPr>
            <w:tcW w:w="869" w:type="dxa"/>
            <w:tcBorders>
              <w:top w:val="single" w:sz="4" w:space="0" w:color="000000"/>
              <w:left w:val="single" w:sz="4" w:space="0" w:color="000000"/>
              <w:bottom w:val="single" w:sz="4" w:space="0" w:color="000000"/>
              <w:right w:val="single" w:sz="4" w:space="0" w:color="000000"/>
            </w:tcBorders>
            <w:vAlign w:val="center"/>
            <w:hideMark/>
          </w:tcPr>
          <w:p w14:paraId="296AAA40" w14:textId="77777777" w:rsidR="00D70898" w:rsidRPr="004E13E9" w:rsidRDefault="00D70898" w:rsidP="00D70898">
            <w:pPr>
              <w:widowControl w:val="0"/>
              <w:suppressAutoHyphens/>
              <w:jc w:val="center"/>
              <w:rPr>
                <w:rFonts w:eastAsia="Times New Roman" w:cs="Calibri"/>
                <w:b/>
                <w:bCs/>
                <w:color w:val="000000"/>
                <w:sz w:val="14"/>
                <w:szCs w:val="14"/>
                <w:lang w:val="fr-FR" w:eastAsia="fr-FR" w:bidi="fr-FR"/>
              </w:rPr>
            </w:pPr>
            <w:r w:rsidRPr="004E13E9">
              <w:rPr>
                <w:rFonts w:eastAsia="MS Gothic" w:cs="Times New Roman"/>
                <w:b/>
                <w:color w:val="000000"/>
                <w:sz w:val="14"/>
                <w:szCs w:val="14"/>
                <w:lang w:val="fr-FR" w:eastAsia="fr-FR" w:bidi="fr-FR"/>
              </w:rPr>
              <w:t>2715</w:t>
            </w:r>
            <w:r w:rsidRPr="004E13E9">
              <w:rPr>
                <w:rFonts w:eastAsia="MS Gothic" w:cs="Times New Roman"/>
                <w:b/>
                <w:color w:val="000000"/>
                <w:sz w:val="14"/>
                <w:szCs w:val="14"/>
                <w:vertAlign w:val="superscript"/>
                <w:lang w:val="fr-FR" w:eastAsia="fr-FR" w:bidi="fr-FR"/>
              </w:rPr>
              <w:t xml:space="preserve"> h</w:t>
            </w:r>
          </w:p>
        </w:tc>
        <w:tc>
          <w:tcPr>
            <w:tcW w:w="832" w:type="dxa"/>
            <w:tcBorders>
              <w:top w:val="single" w:sz="4" w:space="0" w:color="000000"/>
              <w:left w:val="single" w:sz="4" w:space="0" w:color="000000"/>
              <w:bottom w:val="single" w:sz="4" w:space="0" w:color="000000"/>
              <w:right w:val="single" w:sz="4" w:space="0" w:color="000000"/>
            </w:tcBorders>
            <w:vAlign w:val="center"/>
            <w:hideMark/>
          </w:tcPr>
          <w:p w14:paraId="7C122500" w14:textId="77777777" w:rsidR="00D70898" w:rsidRPr="004E13E9" w:rsidRDefault="00D70898" w:rsidP="00D70898">
            <w:pPr>
              <w:tabs>
                <w:tab w:val="left" w:pos="142"/>
              </w:tabs>
              <w:suppressAutoHyphens/>
              <w:jc w:val="center"/>
              <w:rPr>
                <w:rFonts w:eastAsia="MS Gothic" w:cs="Times New Roman"/>
                <w:b/>
                <w:bCs/>
                <w:color w:val="000000"/>
                <w:sz w:val="14"/>
                <w:szCs w:val="14"/>
                <w:lang w:val="fr-FR" w:eastAsia="fr-FR" w:bidi="fr-FR"/>
              </w:rPr>
            </w:pPr>
            <w:r w:rsidRPr="004E13E9">
              <w:rPr>
                <w:rFonts w:eastAsia="MS Gothic" w:cs="Times New Roman"/>
                <w:b/>
                <w:color w:val="000000"/>
                <w:sz w:val="14"/>
                <w:szCs w:val="14"/>
                <w:lang w:val="fr-FR" w:eastAsia="fr-FR" w:bidi="fr-FR"/>
              </w:rPr>
              <w:t xml:space="preserve">3133,95 </w:t>
            </w:r>
            <w:r w:rsidRPr="004E13E9">
              <w:rPr>
                <w:rFonts w:eastAsia="MS Gothic" w:cs="Times New Roman"/>
                <w:b/>
                <w:color w:val="000000"/>
                <w:sz w:val="14"/>
                <w:szCs w:val="14"/>
                <w:vertAlign w:val="superscript"/>
                <w:lang w:val="fr-FR" w:eastAsia="fr-FR" w:bidi="fr-FR"/>
              </w:rPr>
              <w:t>j</w:t>
            </w:r>
          </w:p>
        </w:tc>
      </w:tr>
      <w:tr w:rsidR="00D70898" w:rsidRPr="004E13E9" w14:paraId="2FB711CB" w14:textId="77777777" w:rsidTr="00D47E5E">
        <w:trPr>
          <w:trHeight w:val="20"/>
        </w:trPr>
        <w:tc>
          <w:tcPr>
            <w:tcW w:w="239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549E1A3" w14:textId="77777777" w:rsidR="00D70898" w:rsidRPr="004E13E9" w:rsidRDefault="00D70898" w:rsidP="00D70898">
            <w:pPr>
              <w:widowControl w:val="0"/>
              <w:suppressAutoHyphens/>
              <w:jc w:val="both"/>
              <w:rPr>
                <w:rFonts w:eastAsia="MS Gothic" w:cs="Times New Roman"/>
                <w:color w:val="000000"/>
                <w:sz w:val="14"/>
                <w:szCs w:val="14"/>
                <w:lang w:val="fr-FR" w:eastAsia="fr-FR" w:bidi="fr-FR"/>
              </w:rPr>
            </w:pPr>
            <w:r w:rsidRPr="004E13E9">
              <w:rPr>
                <w:rFonts w:eastAsia="MS Gothic" w:cs="Times New Roman"/>
                <w:b/>
                <w:color w:val="000000"/>
                <w:sz w:val="14"/>
                <w:szCs w:val="14"/>
                <w:lang w:val="fr-FR" w:eastAsia="fr-FR" w:bidi="fr-FR"/>
              </w:rPr>
              <w:t>Sous/surcapacité</w:t>
            </w:r>
          </w:p>
        </w:tc>
        <w:tc>
          <w:tcPr>
            <w:tcW w:w="101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E620CA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8CEFE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3DBA34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1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C144732"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0FBFF9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118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E880C34"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491F5F"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44582B6"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9B45C0D"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p>
        </w:tc>
        <w:tc>
          <w:tcPr>
            <w:tcW w:w="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3C5A0E" w14:textId="77777777" w:rsidR="00D70898" w:rsidRPr="004E13E9" w:rsidRDefault="00D70898" w:rsidP="00D70898">
            <w:pPr>
              <w:widowControl w:val="0"/>
              <w:suppressAutoHyphens/>
              <w:jc w:val="center"/>
              <w:rPr>
                <w:rFonts w:eastAsia="Times New Roman" w:cs="Calibri"/>
                <w:color w:val="000000"/>
                <w:sz w:val="14"/>
                <w:szCs w:val="14"/>
                <w:lang w:val="fr-FR" w:eastAsia="ja-JP" w:bidi="fr-FR"/>
              </w:rPr>
            </w:pPr>
          </w:p>
        </w:tc>
        <w:tc>
          <w:tcPr>
            <w:tcW w:w="591"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157A42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4552</w:t>
            </w:r>
          </w:p>
        </w:tc>
        <w:tc>
          <w:tcPr>
            <w:tcW w:w="121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A422B10"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-16</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77AE10C"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-1343,17</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0187A33"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-1188</w:t>
            </w:r>
          </w:p>
        </w:tc>
        <w:tc>
          <w:tcPr>
            <w:tcW w:w="86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614E57E"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MS Gothic" w:cs="Times New Roman"/>
                <w:color w:val="000000"/>
                <w:sz w:val="14"/>
                <w:szCs w:val="14"/>
                <w:lang w:val="fr-FR" w:eastAsia="fr-FR" w:bidi="fr-FR"/>
              </w:rPr>
              <w:t>-252</w:t>
            </w:r>
          </w:p>
        </w:tc>
        <w:tc>
          <w:tcPr>
            <w:tcW w:w="83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AB5136E" w14:textId="77777777" w:rsidR="00D70898" w:rsidRPr="004E13E9" w:rsidRDefault="00D70898" w:rsidP="00D70898">
            <w:pPr>
              <w:widowControl w:val="0"/>
              <w:suppressAutoHyphens/>
              <w:jc w:val="center"/>
              <w:rPr>
                <w:rFonts w:eastAsia="MS Gothic" w:cs="Times New Roman"/>
                <w:color w:val="000000"/>
                <w:sz w:val="14"/>
                <w:szCs w:val="14"/>
                <w:lang w:val="fr-FR" w:eastAsia="fr-FR" w:bidi="fr-FR"/>
              </w:rPr>
            </w:pPr>
            <w:r w:rsidRPr="004E13E9">
              <w:rPr>
                <w:rFonts w:eastAsia="Yu Mincho" w:cs="Times New Roman"/>
                <w:sz w:val="14"/>
                <w:szCs w:val="14"/>
                <w:lang w:val="fr-FR"/>
              </w:rPr>
              <w:t>-</w:t>
            </w:r>
            <w:r w:rsidRPr="004E13E9">
              <w:rPr>
                <w:rFonts w:eastAsia="Times New Roman" w:cs="Calibri"/>
                <w:sz w:val="14"/>
                <w:szCs w:val="14"/>
                <w:lang w:val="fr-FR" w:eastAsia="ja-JP"/>
              </w:rPr>
              <w:t>51,95</w:t>
            </w:r>
          </w:p>
        </w:tc>
      </w:tr>
    </w:tbl>
    <w:p w14:paraId="6A39F618" w14:textId="77777777" w:rsidR="00053167" w:rsidRPr="004E13E9" w:rsidRDefault="00053167" w:rsidP="00053167">
      <w:pPr>
        <w:widowControl w:val="0"/>
        <w:ind w:left="284" w:hanging="284"/>
        <w:jc w:val="both"/>
        <w:rPr>
          <w:rFonts w:eastAsia="MS Gothic" w:cs="Times New Roman"/>
          <w:sz w:val="16"/>
          <w:szCs w:val="16"/>
          <w:vertAlign w:val="superscript"/>
          <w:lang w:val="fr-FR" w:eastAsia="fr-FR" w:bidi="fr-FR"/>
        </w:rPr>
      </w:pPr>
      <w:r w:rsidRPr="004E13E9">
        <w:rPr>
          <w:rFonts w:eastAsia="MS Gothic" w:cs="Times New Roman"/>
          <w:sz w:val="16"/>
          <w:szCs w:val="16"/>
          <w:vertAlign w:val="superscript"/>
          <w:lang w:val="fr-FR" w:eastAsia="fr-FR" w:bidi="fr-FR"/>
        </w:rPr>
        <w:t xml:space="preserve">a </w:t>
      </w:r>
      <w:r w:rsidRPr="004E13E9">
        <w:rPr>
          <w:rFonts w:eastAsia="MS Gothic" w:cs="Times New Roman"/>
          <w:sz w:val="16"/>
          <w:szCs w:val="16"/>
          <w:lang w:val="fr-FR" w:eastAsia="fr-FR" w:bidi="fr-FR"/>
        </w:rPr>
        <w:t xml:space="preserve"> </w:t>
      </w:r>
      <w:r w:rsidRPr="004E13E9">
        <w:rPr>
          <w:rFonts w:eastAsia="MS Gothic" w:cs="Times New Roman"/>
          <w:sz w:val="16"/>
          <w:szCs w:val="16"/>
          <w:lang w:val="fr-FR" w:eastAsia="fr-FR" w:bidi="fr-FR"/>
        </w:rPr>
        <w:tab/>
        <w:t>Le nombre de navires à autoriser et leurs distributions de tailles sont provisoires et reposent sur des présomptions. Le nombre définitif et la ventilation des navires seront établis d’ici le 30 avril.</w:t>
      </w:r>
    </w:p>
    <w:p w14:paraId="4CA2D547" w14:textId="77777777" w:rsidR="00053167" w:rsidRPr="004E13E9" w:rsidRDefault="00053167" w:rsidP="00053167">
      <w:pPr>
        <w:widowControl w:val="0"/>
        <w:ind w:left="284" w:hanging="284"/>
        <w:jc w:val="both"/>
        <w:rPr>
          <w:rFonts w:eastAsia="MS Gothic" w:cs="Times New Roman"/>
          <w:sz w:val="16"/>
          <w:szCs w:val="16"/>
          <w:lang w:val="fr-FR" w:eastAsia="fr-FR" w:bidi="fr-FR"/>
        </w:rPr>
      </w:pPr>
      <w:proofErr w:type="gramStart"/>
      <w:r w:rsidRPr="004E13E9">
        <w:rPr>
          <w:rFonts w:eastAsia="MS Gothic" w:cs="Times New Roman"/>
          <w:sz w:val="16"/>
          <w:szCs w:val="16"/>
          <w:vertAlign w:val="superscript"/>
          <w:lang w:val="fr-FR" w:eastAsia="fr-FR" w:bidi="fr-FR"/>
        </w:rPr>
        <w:t xml:space="preserve">b </w:t>
      </w:r>
      <w:r w:rsidRPr="004E13E9">
        <w:rPr>
          <w:rFonts w:eastAsia="MS Gothic" w:cs="Times New Roman"/>
          <w:sz w:val="16"/>
          <w:szCs w:val="16"/>
          <w:lang w:val="fr-FR" w:eastAsia="fr-FR" w:bidi="fr-FR"/>
        </w:rPr>
        <w:t xml:space="preserve"> </w:t>
      </w:r>
      <w:r w:rsidRPr="004E13E9">
        <w:rPr>
          <w:rFonts w:eastAsia="MS Gothic" w:cs="Times New Roman"/>
          <w:sz w:val="16"/>
          <w:szCs w:val="16"/>
          <w:lang w:val="fr-FR" w:eastAsia="fr-FR" w:bidi="fr-FR"/>
        </w:rPr>
        <w:tab/>
      </w:r>
      <w:proofErr w:type="gramEnd"/>
      <w:r w:rsidRPr="004E13E9">
        <w:rPr>
          <w:rFonts w:eastAsia="MS Gothic" w:cs="Times New Roman"/>
          <w:sz w:val="16"/>
          <w:szCs w:val="16"/>
          <w:lang w:val="fr-FR" w:eastAsia="fr-FR" w:bidi="fr-FR"/>
        </w:rPr>
        <w:t xml:space="preserve">Montant </w:t>
      </w:r>
      <w:proofErr w:type="gramStart"/>
      <w:r w:rsidRPr="004E13E9">
        <w:rPr>
          <w:rFonts w:eastAsia="MS Gothic" w:cs="Times New Roman"/>
          <w:sz w:val="16"/>
          <w:szCs w:val="16"/>
          <w:lang w:val="fr-FR" w:eastAsia="fr-FR" w:bidi="fr-FR"/>
        </w:rPr>
        <w:t>alloué</w:t>
      </w:r>
      <w:proofErr w:type="gramEnd"/>
      <w:r w:rsidRPr="004E13E9">
        <w:rPr>
          <w:rFonts w:eastAsia="MS Gothic" w:cs="Times New Roman"/>
          <w:sz w:val="16"/>
          <w:szCs w:val="16"/>
          <w:lang w:val="fr-FR" w:eastAsia="fr-FR" w:bidi="fr-FR"/>
        </w:rPr>
        <w:t xml:space="preserve"> aux pêcheries artisanales et côtières, récréatives et sportives.</w:t>
      </w:r>
    </w:p>
    <w:p w14:paraId="1DDCE77A" w14:textId="77777777" w:rsidR="00053167" w:rsidRPr="004E13E9" w:rsidRDefault="00053167" w:rsidP="00053167">
      <w:pPr>
        <w:widowControl w:val="0"/>
        <w:ind w:left="284" w:hanging="284"/>
        <w:jc w:val="both"/>
        <w:rPr>
          <w:rFonts w:eastAsia="MS Gothic" w:cs="Times New Roman"/>
          <w:sz w:val="16"/>
          <w:szCs w:val="16"/>
          <w:lang w:val="fr-FR" w:eastAsia="fr-FR" w:bidi="fr-FR"/>
        </w:rPr>
      </w:pPr>
      <w:r w:rsidRPr="004E13E9">
        <w:rPr>
          <w:rFonts w:eastAsia="MS Gothic" w:cs="Times New Roman"/>
          <w:sz w:val="16"/>
          <w:szCs w:val="16"/>
          <w:vertAlign w:val="superscript"/>
          <w:lang w:val="fr-FR" w:eastAsia="fr-FR" w:bidi="fr-FR"/>
        </w:rPr>
        <w:t>c</w:t>
      </w:r>
      <w:r w:rsidRPr="004E13E9">
        <w:rPr>
          <w:rFonts w:eastAsia="MS Gothic" w:cs="Times New Roman"/>
          <w:sz w:val="16"/>
          <w:szCs w:val="16"/>
          <w:lang w:val="fr-FR" w:eastAsia="fr-FR" w:bidi="fr-FR"/>
        </w:rPr>
        <w:t xml:space="preserve"> </w:t>
      </w:r>
      <w:r w:rsidRPr="004E13E9">
        <w:rPr>
          <w:rFonts w:eastAsia="MS Gothic" w:cs="Times New Roman"/>
          <w:sz w:val="16"/>
          <w:szCs w:val="16"/>
          <w:lang w:val="fr-FR" w:eastAsia="fr-FR" w:bidi="fr-FR"/>
        </w:rPr>
        <w:tab/>
        <w:t>Quota ajusté pour 2023 = 2.600 t (quota) + 48,3 t (montant reporté) + 635,87 t (quota transféré de l'Égypte et de la Syrie conformément au paragraphe 8 de la Rec. 22-08) = 3.284,17 t.</w:t>
      </w:r>
    </w:p>
    <w:p w14:paraId="3EA8EF43" w14:textId="77777777" w:rsidR="00053167" w:rsidRPr="004E13E9" w:rsidRDefault="00053167" w:rsidP="00053167">
      <w:pPr>
        <w:widowControl w:val="0"/>
        <w:ind w:left="284" w:hanging="284"/>
        <w:jc w:val="both"/>
        <w:rPr>
          <w:rFonts w:eastAsia="MS Gothic" w:cs="Times New Roman"/>
          <w:sz w:val="16"/>
          <w:szCs w:val="16"/>
          <w:lang w:val="fr-FR" w:eastAsia="fr-FR" w:bidi="fr-FR"/>
        </w:rPr>
      </w:pPr>
      <w:r w:rsidRPr="004E13E9">
        <w:rPr>
          <w:rFonts w:eastAsia="MS Gothic" w:cs="Times New Roman"/>
          <w:sz w:val="16"/>
          <w:szCs w:val="16"/>
          <w:vertAlign w:val="superscript"/>
          <w:lang w:val="fr-FR" w:eastAsia="fr-FR" w:bidi="fr-FR"/>
        </w:rPr>
        <w:t>d</w:t>
      </w:r>
      <w:r w:rsidRPr="004E13E9">
        <w:rPr>
          <w:rFonts w:eastAsia="MS Gothic" w:cs="Times New Roman"/>
          <w:sz w:val="16"/>
          <w:szCs w:val="16"/>
          <w:lang w:val="fr-FR" w:eastAsia="fr-FR" w:bidi="fr-FR"/>
        </w:rPr>
        <w:t xml:space="preserve">  </w:t>
      </w:r>
      <w:r w:rsidRPr="004E13E9">
        <w:rPr>
          <w:rFonts w:eastAsia="MS Gothic" w:cs="Times New Roman"/>
          <w:sz w:val="16"/>
          <w:szCs w:val="16"/>
          <w:lang w:val="fr-FR" w:eastAsia="fr-FR" w:bidi="fr-FR"/>
        </w:rPr>
        <w:tab/>
        <w:t>Quota disponible pour 2023 = 3.284,17 t (quota) – 10 t (quota de prises accessoires)  -3 t (allocation aux fins de la pêche artisanale et côtière, de la pêche récréative et sportive) = 3.271,17 t.</w:t>
      </w:r>
    </w:p>
    <w:p w14:paraId="71EFC32A" w14:textId="77777777" w:rsidR="00053167" w:rsidRPr="004E13E9" w:rsidRDefault="00053167" w:rsidP="00053167">
      <w:pPr>
        <w:widowControl w:val="0"/>
        <w:ind w:left="284" w:hanging="284"/>
        <w:jc w:val="both"/>
        <w:rPr>
          <w:rFonts w:eastAsia="MS Gothic" w:cs="Times New Roman"/>
          <w:sz w:val="16"/>
          <w:szCs w:val="16"/>
          <w:lang w:val="fr-FR" w:eastAsia="fr-FR" w:bidi="fr-FR"/>
        </w:rPr>
      </w:pPr>
      <w:r w:rsidRPr="004E13E9">
        <w:rPr>
          <w:rFonts w:eastAsia="MS Gothic" w:cs="Times New Roman"/>
          <w:sz w:val="16"/>
          <w:szCs w:val="16"/>
          <w:vertAlign w:val="superscript"/>
          <w:lang w:val="fr-FR" w:eastAsia="fr-FR" w:bidi="fr-FR"/>
        </w:rPr>
        <w:t xml:space="preserve">e </w:t>
      </w:r>
      <w:r w:rsidRPr="004E13E9">
        <w:rPr>
          <w:rFonts w:eastAsia="MS Gothic" w:cs="Times New Roman"/>
          <w:sz w:val="16"/>
          <w:szCs w:val="16"/>
          <w:lang w:val="fr-FR" w:eastAsia="fr-FR" w:bidi="fr-FR"/>
        </w:rPr>
        <w:t xml:space="preserve"> </w:t>
      </w:r>
      <w:r w:rsidRPr="004E13E9">
        <w:rPr>
          <w:rFonts w:eastAsia="MS Gothic" w:cs="Times New Roman"/>
          <w:sz w:val="16"/>
          <w:szCs w:val="16"/>
          <w:lang w:val="fr-FR" w:eastAsia="fr-FR" w:bidi="fr-FR"/>
        </w:rPr>
        <w:tab/>
        <w:t>Quota ajusté pour 2024 = 2.600 t (quota) - 35,13 t (quantité de surconsommation en 2023)+507,87 t (quota transféré de l'Égypte conformément au paragraphe 8 de la Rec. 22-08) +128 t (quota transféré de la Syrie conformément au paragraphe 8 de la Rec. 22-08)= 3.200,64 t.</w:t>
      </w:r>
    </w:p>
    <w:p w14:paraId="161F1CB2" w14:textId="77777777" w:rsidR="00053167" w:rsidRPr="004E13E9" w:rsidRDefault="00053167" w:rsidP="00053167">
      <w:pPr>
        <w:widowControl w:val="0"/>
        <w:ind w:left="284" w:hanging="284"/>
        <w:jc w:val="both"/>
        <w:rPr>
          <w:rFonts w:eastAsia="MS Gothic" w:cs="Times New Roman"/>
          <w:sz w:val="16"/>
          <w:szCs w:val="16"/>
          <w:lang w:val="fr-FR" w:eastAsia="fr-FR" w:bidi="fr-FR"/>
        </w:rPr>
      </w:pPr>
      <w:r w:rsidRPr="004E13E9">
        <w:rPr>
          <w:rFonts w:eastAsia="MS Gothic" w:cs="Times New Roman"/>
          <w:sz w:val="16"/>
          <w:szCs w:val="16"/>
          <w:vertAlign w:val="superscript"/>
          <w:lang w:val="fr-FR" w:eastAsia="fr-FR" w:bidi="fr-FR"/>
        </w:rPr>
        <w:t>f</w:t>
      </w:r>
      <w:r w:rsidRPr="004E13E9">
        <w:rPr>
          <w:rFonts w:eastAsia="MS Gothic" w:cs="Times New Roman"/>
          <w:sz w:val="16"/>
          <w:szCs w:val="16"/>
          <w:lang w:val="fr-FR" w:eastAsia="fr-FR" w:bidi="fr-FR"/>
        </w:rPr>
        <w:t xml:space="preserve"> </w:t>
      </w:r>
      <w:r w:rsidRPr="004E13E9">
        <w:rPr>
          <w:rFonts w:eastAsia="MS Gothic" w:cs="Times New Roman"/>
          <w:sz w:val="16"/>
          <w:szCs w:val="16"/>
          <w:lang w:val="fr-FR" w:eastAsia="fr-FR" w:bidi="fr-FR"/>
        </w:rPr>
        <w:tab/>
        <w:t>Quota disponible pour 2024 = 3.200,64 (quota ajusté) - 10 t (quota de prises accessoires) - 3 t (allocation aux fins de la pêche artisanale et côtière, de la pêche récréative et sportive) = 3.187,64 t.</w:t>
      </w:r>
    </w:p>
    <w:p w14:paraId="429C84A6" w14:textId="77777777" w:rsidR="00053167" w:rsidRPr="004E13E9" w:rsidRDefault="00053167" w:rsidP="00053167">
      <w:pPr>
        <w:widowControl w:val="0"/>
        <w:ind w:left="284" w:hanging="284"/>
        <w:jc w:val="both"/>
        <w:rPr>
          <w:rFonts w:eastAsia="MS Gothic" w:cs="Times New Roman"/>
          <w:sz w:val="16"/>
          <w:szCs w:val="16"/>
          <w:lang w:val="fr-FR" w:eastAsia="fr-FR" w:bidi="fr-FR"/>
        </w:rPr>
      </w:pPr>
      <w:r w:rsidRPr="004E13E9">
        <w:rPr>
          <w:rFonts w:eastAsia="MS Gothic" w:cs="Times New Roman"/>
          <w:sz w:val="16"/>
          <w:szCs w:val="16"/>
          <w:vertAlign w:val="superscript"/>
          <w:lang w:val="fr-FR" w:eastAsia="fr-FR" w:bidi="fr-FR"/>
        </w:rPr>
        <w:t xml:space="preserve">g </w:t>
      </w:r>
      <w:r w:rsidRPr="004E13E9">
        <w:rPr>
          <w:rFonts w:eastAsia="MS Gothic" w:cs="Times New Roman"/>
          <w:sz w:val="16"/>
          <w:szCs w:val="16"/>
          <w:vertAlign w:val="superscript"/>
          <w:lang w:val="fr-FR" w:eastAsia="fr-FR" w:bidi="fr-FR"/>
        </w:rPr>
        <w:tab/>
      </w:r>
      <w:r w:rsidRPr="004E13E9">
        <w:rPr>
          <w:rFonts w:eastAsia="MS Gothic" w:cs="Times New Roman"/>
          <w:sz w:val="16"/>
          <w:szCs w:val="16"/>
          <w:lang w:val="fr-FR" w:eastAsia="fr-FR" w:bidi="fr-FR"/>
        </w:rPr>
        <w:t>Quota ajusté pour 2025 = 2.600 t (quota initial de 2025) + 128 t (quota transféré de la Syrie conformément au paragraphe 8 de la Rec. 24-05) = 2.728 t.</w:t>
      </w:r>
    </w:p>
    <w:p w14:paraId="09999FB0" w14:textId="77777777" w:rsidR="00053167" w:rsidRPr="004E13E9" w:rsidRDefault="00053167" w:rsidP="00053167">
      <w:pPr>
        <w:widowControl w:val="0"/>
        <w:ind w:left="284" w:hanging="284"/>
        <w:jc w:val="both"/>
        <w:rPr>
          <w:rFonts w:eastAsia="MS Gothic" w:cs="Times New Roman"/>
          <w:sz w:val="16"/>
          <w:szCs w:val="16"/>
          <w:vertAlign w:val="superscript"/>
          <w:lang w:val="fr-FR" w:eastAsia="fr-FR" w:bidi="fr-FR"/>
        </w:rPr>
      </w:pPr>
      <w:r w:rsidRPr="004E13E9">
        <w:rPr>
          <w:rFonts w:eastAsia="MS Gothic" w:cs="Times New Roman"/>
          <w:sz w:val="16"/>
          <w:szCs w:val="16"/>
          <w:vertAlign w:val="superscript"/>
          <w:lang w:val="fr-FR" w:eastAsia="fr-FR" w:bidi="fr-FR"/>
        </w:rPr>
        <w:t>h</w:t>
      </w:r>
      <w:r w:rsidRPr="004E13E9">
        <w:rPr>
          <w:rFonts w:eastAsia="MS Gothic" w:cs="Times New Roman"/>
          <w:sz w:val="16"/>
          <w:szCs w:val="16"/>
          <w:lang w:val="fr-FR" w:eastAsia="fr-FR" w:bidi="fr-FR"/>
        </w:rPr>
        <w:t xml:space="preserve"> </w:t>
      </w:r>
      <w:r w:rsidRPr="004E13E9">
        <w:rPr>
          <w:rFonts w:eastAsia="MS Gothic" w:cs="Times New Roman"/>
          <w:sz w:val="16"/>
          <w:szCs w:val="16"/>
          <w:lang w:val="fr-FR" w:eastAsia="fr-FR" w:bidi="fr-FR"/>
        </w:rPr>
        <w:tab/>
        <w:t>Quota disponible pour 2025 = 2.728 t (quota ajusté pour 2025) - 10 t (prises accessoires)- 3 t (allocation aux fins de la pêche artisanale et côtière, de la pêche récréative et sportive) = 2.715 t.</w:t>
      </w:r>
    </w:p>
    <w:p w14:paraId="658FCC12" w14:textId="77777777" w:rsidR="00053167" w:rsidRPr="004E13E9" w:rsidRDefault="00053167" w:rsidP="00053167">
      <w:pPr>
        <w:widowControl w:val="0"/>
        <w:ind w:left="284" w:hanging="284"/>
        <w:jc w:val="both"/>
        <w:rPr>
          <w:rFonts w:eastAsia="MS Gothic" w:cs="Times New Roman"/>
          <w:sz w:val="16"/>
          <w:szCs w:val="16"/>
          <w:lang w:val="fr-FR" w:eastAsia="fr-FR" w:bidi="fr-FR"/>
        </w:rPr>
      </w:pPr>
      <w:r w:rsidRPr="004E13E9">
        <w:rPr>
          <w:rFonts w:eastAsia="MS Gothic" w:cs="Times New Roman"/>
          <w:sz w:val="16"/>
          <w:szCs w:val="16"/>
          <w:vertAlign w:val="superscript"/>
          <w:lang w:val="fr-FR" w:eastAsia="fr-FR" w:bidi="fr-FR"/>
        </w:rPr>
        <w:t xml:space="preserve">I </w:t>
      </w:r>
      <w:r w:rsidRPr="004E13E9">
        <w:rPr>
          <w:rFonts w:eastAsia="MS Gothic" w:cs="Times New Roman"/>
          <w:sz w:val="16"/>
          <w:szCs w:val="16"/>
          <w:lang w:val="fr-FR" w:eastAsia="fr-FR" w:bidi="fr-FR"/>
        </w:rPr>
        <w:t xml:space="preserve"> </w:t>
      </w:r>
      <w:r w:rsidRPr="004E13E9">
        <w:rPr>
          <w:rFonts w:eastAsia="MS Gothic" w:cs="Times New Roman"/>
          <w:sz w:val="16"/>
          <w:szCs w:val="16"/>
          <w:lang w:val="fr-FR" w:eastAsia="fr-FR" w:bidi="fr-FR"/>
        </w:rPr>
        <w:tab/>
        <w:t>Quota ajusté pour 2026 = 3.094,45 t (quota initial de 2026) + 55 t (quota transféré de la Mauritanie conformément au paragraphe 8 de la Rec. 25-04) = 3.149,45 t.</w:t>
      </w:r>
    </w:p>
    <w:p w14:paraId="5894C407" w14:textId="77777777" w:rsidR="00053167" w:rsidRPr="004E13E9" w:rsidRDefault="00053167" w:rsidP="00053167">
      <w:pPr>
        <w:widowControl w:val="0"/>
        <w:ind w:left="284" w:hanging="284"/>
        <w:jc w:val="both"/>
        <w:rPr>
          <w:rFonts w:eastAsia="MS Gothic" w:cs="Times New Roman"/>
          <w:sz w:val="16"/>
          <w:szCs w:val="16"/>
          <w:lang w:val="fr-FR" w:eastAsia="fr-FR" w:bidi="fr-FR"/>
        </w:rPr>
      </w:pPr>
      <w:r w:rsidRPr="004E13E9">
        <w:rPr>
          <w:rFonts w:eastAsia="MS Gothic" w:cs="Times New Roman"/>
          <w:b/>
          <w:sz w:val="16"/>
          <w:szCs w:val="16"/>
          <w:vertAlign w:val="superscript"/>
          <w:lang w:val="fr-FR" w:eastAsia="fr-FR" w:bidi="fr-FR"/>
        </w:rPr>
        <w:t xml:space="preserve">j </w:t>
      </w:r>
      <w:r w:rsidRPr="004E13E9">
        <w:rPr>
          <w:rFonts w:eastAsia="MS Gothic" w:cs="Times New Roman"/>
          <w:b/>
          <w:sz w:val="16"/>
          <w:szCs w:val="16"/>
          <w:vertAlign w:val="superscript"/>
          <w:lang w:val="fr-FR" w:eastAsia="fr-FR" w:bidi="fr-FR"/>
        </w:rPr>
        <w:tab/>
      </w:r>
      <w:r w:rsidRPr="004E13E9">
        <w:rPr>
          <w:rFonts w:eastAsia="MS Gothic" w:cs="Times New Roman"/>
          <w:sz w:val="16"/>
          <w:szCs w:val="16"/>
          <w:lang w:val="fr-FR" w:eastAsia="fr-FR" w:bidi="fr-FR"/>
        </w:rPr>
        <w:t>Quota disponible pour 2026 = 3.149,45 t (quota ajusté pour 2026) - 12 t (prises accessoires)- 3,5 t (allocation aux fins de la pêche artisanale et côtière, de la pêche récréative et sportive) = 3.133,95 t.</w:t>
      </w:r>
    </w:p>
    <w:p w14:paraId="0825BC03" w14:textId="77777777" w:rsidR="00934E2D" w:rsidRPr="004E13E9" w:rsidRDefault="00934E2D" w:rsidP="00934E2D">
      <w:pPr>
        <w:rPr>
          <w:lang w:val="fr-FR"/>
        </w:rPr>
      </w:pPr>
      <w:r w:rsidRPr="004E13E9">
        <w:rPr>
          <w:lang w:val="fr-FR"/>
        </w:rPr>
        <w:br w:type="page"/>
      </w:r>
    </w:p>
    <w:p w14:paraId="2AAA7CC2" w14:textId="77777777" w:rsidR="00934E2D" w:rsidRPr="004E13E9" w:rsidRDefault="00934E2D" w:rsidP="00934E2D">
      <w:pPr>
        <w:rPr>
          <w:lang w:val="fr-FR"/>
        </w:rPr>
        <w:sectPr w:rsidR="00934E2D" w:rsidRPr="004E13E9" w:rsidSect="00A34790">
          <w:footnotePr>
            <w:numFmt w:val="chicago"/>
          </w:footnotePr>
          <w:pgSz w:w="16840" w:h="11907" w:orient="landscape" w:code="9"/>
          <w:pgMar w:top="1418" w:right="1418" w:bottom="1418" w:left="1418" w:header="851" w:footer="1134" w:gutter="0"/>
          <w:cols w:space="720"/>
          <w:docGrid w:linePitch="272"/>
        </w:sectPr>
      </w:pPr>
    </w:p>
    <w:p w14:paraId="1C68D53B" w14:textId="1F531152" w:rsidR="00AE7739" w:rsidRPr="004E13E9" w:rsidRDefault="00AE7739" w:rsidP="00AE7739">
      <w:pPr>
        <w:widowControl w:val="0"/>
        <w:jc w:val="both"/>
        <w:rPr>
          <w:lang w:val="fr-FR" w:eastAsia="en-GB"/>
        </w:rPr>
      </w:pPr>
      <w:r w:rsidRPr="004E13E9">
        <w:rPr>
          <w:rFonts w:eastAsia="MS Gothic" w:cs="Times New Roman"/>
          <w:b/>
          <w:lang w:val="fr-FR" w:eastAsia="fr-FR" w:bidi="fr-FR"/>
        </w:rPr>
        <w:t>Royaume-Uni</w:t>
      </w:r>
    </w:p>
    <w:p w14:paraId="35D73714" w14:textId="77777777" w:rsidR="00AE7739" w:rsidRPr="004E13E9" w:rsidRDefault="00AE7739">
      <w:pPr>
        <w:rPr>
          <w:lang w:val="fr-FR"/>
        </w:rPr>
      </w:pPr>
    </w:p>
    <w:p w14:paraId="76DA5979" w14:textId="77777777" w:rsidR="003928B6" w:rsidRPr="004E13E9" w:rsidRDefault="003928B6" w:rsidP="003928B6">
      <w:pPr>
        <w:rPr>
          <w:b/>
          <w:lang w:val="fr-FR"/>
        </w:rPr>
      </w:pPr>
      <w:r w:rsidRPr="004E13E9">
        <w:rPr>
          <w:b/>
          <w:lang w:val="fr-FR"/>
        </w:rPr>
        <w:t>Année du plan de pêche : 2026</w:t>
      </w:r>
    </w:p>
    <w:p w14:paraId="31A76255" w14:textId="77777777" w:rsidR="003928B6" w:rsidRPr="004E13E9" w:rsidRDefault="003928B6" w:rsidP="003928B6">
      <w:pPr>
        <w:rPr>
          <w:lang w:val="fr-FR"/>
        </w:rPr>
      </w:pPr>
    </w:p>
    <w:p w14:paraId="7D741597" w14:textId="77777777" w:rsidR="003928B6" w:rsidRPr="004E13E9" w:rsidRDefault="003928B6" w:rsidP="003928B6">
      <w:pPr>
        <w:tabs>
          <w:tab w:val="left" w:pos="426"/>
        </w:tabs>
        <w:rPr>
          <w:b/>
          <w:lang w:val="fr-FR"/>
        </w:rPr>
      </w:pPr>
      <w:r w:rsidRPr="004E13E9">
        <w:rPr>
          <w:b/>
          <w:lang w:val="fr-FR"/>
        </w:rPr>
        <w:t xml:space="preserve">1. </w:t>
      </w:r>
      <w:r w:rsidRPr="004E13E9">
        <w:rPr>
          <w:b/>
          <w:lang w:val="fr-FR"/>
        </w:rPr>
        <w:tab/>
        <w:t xml:space="preserve">Détails du plan annuel de pêche pour les navires de capture et les madragues </w:t>
      </w:r>
    </w:p>
    <w:p w14:paraId="696D4354" w14:textId="77777777" w:rsidR="003928B6" w:rsidRPr="004E13E9" w:rsidRDefault="003928B6" w:rsidP="003928B6">
      <w:pPr>
        <w:rPr>
          <w:i/>
          <w:lang w:val="fr-FR"/>
        </w:rPr>
      </w:pPr>
    </w:p>
    <w:p w14:paraId="1FBCE8ED" w14:textId="77777777" w:rsidR="003928B6" w:rsidRPr="004E13E9" w:rsidRDefault="003928B6" w:rsidP="003928B6">
      <w:pPr>
        <w:rPr>
          <w:i/>
          <w:lang w:val="fr-FR"/>
        </w:rPr>
      </w:pPr>
      <w:r w:rsidRPr="004E13E9">
        <w:rPr>
          <w:b/>
          <w:i/>
          <w:lang w:val="fr-FR"/>
        </w:rPr>
        <w:t>1a) Présentation (paragraphe 12)</w:t>
      </w:r>
    </w:p>
    <w:p w14:paraId="2D4085CB" w14:textId="77777777" w:rsidR="003928B6" w:rsidRPr="004E13E9" w:rsidRDefault="003928B6" w:rsidP="003928B6">
      <w:pPr>
        <w:pStyle w:val="paragraph"/>
        <w:spacing w:before="0" w:beforeAutospacing="0" w:after="0" w:afterAutospacing="0"/>
        <w:jc w:val="both"/>
        <w:textAlignment w:val="baseline"/>
        <w:rPr>
          <w:rStyle w:val="normaltextrun"/>
          <w:rFonts w:ascii="Cambria" w:hAnsi="Cambria" w:cs="Segoe UI"/>
          <w:sz w:val="20"/>
          <w:szCs w:val="20"/>
        </w:rPr>
      </w:pPr>
    </w:p>
    <w:p w14:paraId="1F599158" w14:textId="77777777" w:rsidR="003928B6" w:rsidRPr="004E13E9" w:rsidRDefault="003928B6" w:rsidP="003928B6">
      <w:pPr>
        <w:pStyle w:val="paragraph"/>
        <w:spacing w:before="0" w:beforeAutospacing="0" w:after="0" w:afterAutospacing="0"/>
        <w:jc w:val="both"/>
        <w:textAlignment w:val="baseline"/>
        <w:rPr>
          <w:rStyle w:val="normaltextrun"/>
          <w:rFonts w:ascii="Cambria" w:hAnsi="Cambria" w:cs="Segoe UI"/>
          <w:sz w:val="20"/>
          <w:szCs w:val="20"/>
        </w:rPr>
      </w:pPr>
      <w:r w:rsidRPr="004E13E9">
        <w:rPr>
          <w:rStyle w:val="normaltextrun"/>
          <w:rFonts w:ascii="Cambria" w:hAnsi="Cambria"/>
          <w:sz w:val="20"/>
          <w:szCs w:val="20"/>
        </w:rPr>
        <w:t xml:space="preserve">Le Royaume-Uni dispose d'un quota initial de 230,56 t pour 2026, conformément à la Recommandation 25-04 de l’ICCAT, ajusté à 243,16 t (voir ci-dessous). Nous utiliserons ce quota pour développer nos activités de pêche en 2026, en nous appuyant sur les années précédentes. En particulier :   </w:t>
      </w:r>
    </w:p>
    <w:p w14:paraId="4A299337" w14:textId="77777777" w:rsidR="003928B6" w:rsidRPr="004E13E9" w:rsidRDefault="003928B6" w:rsidP="003928B6">
      <w:pPr>
        <w:pStyle w:val="paragraph"/>
        <w:spacing w:before="0" w:beforeAutospacing="0" w:after="0" w:afterAutospacing="0"/>
        <w:jc w:val="both"/>
        <w:textAlignment w:val="baseline"/>
        <w:rPr>
          <w:rStyle w:val="normaltextrun"/>
          <w:rFonts w:ascii="Cambria" w:hAnsi="Cambria" w:cs="Segoe UI"/>
          <w:sz w:val="20"/>
          <w:szCs w:val="20"/>
          <w:lang w:val="en-US"/>
        </w:rPr>
      </w:pPr>
    </w:p>
    <w:p w14:paraId="3801924D" w14:textId="77777777" w:rsidR="003928B6" w:rsidRPr="004E13E9" w:rsidRDefault="003928B6" w:rsidP="00487A5C">
      <w:pPr>
        <w:pStyle w:val="paragraph"/>
        <w:numPr>
          <w:ilvl w:val="0"/>
          <w:numId w:val="53"/>
        </w:numPr>
        <w:spacing w:before="0" w:beforeAutospacing="0" w:after="0" w:afterAutospacing="0"/>
        <w:ind w:left="851" w:hanging="425"/>
        <w:jc w:val="both"/>
        <w:textAlignment w:val="baseline"/>
        <w:rPr>
          <w:rStyle w:val="eop"/>
          <w:rFonts w:ascii="Cambria" w:hAnsi="Cambria" w:cs="Segoe UI"/>
          <w:b/>
          <w:bCs/>
          <w:sz w:val="20"/>
          <w:szCs w:val="20"/>
        </w:rPr>
      </w:pPr>
      <w:r w:rsidRPr="004E13E9">
        <w:rPr>
          <w:rStyle w:val="eop"/>
          <w:rFonts w:ascii="Cambria" w:hAnsi="Cambria"/>
          <w:sz w:val="20"/>
          <w:szCs w:val="20"/>
        </w:rPr>
        <w:t xml:space="preserve">Le Royaume-Uni développera les pêcheries commerciales de thon rouge de l’Est. </w:t>
      </w:r>
    </w:p>
    <w:p w14:paraId="2F566E56" w14:textId="77777777" w:rsidR="003928B6" w:rsidRPr="004E13E9" w:rsidRDefault="003928B6" w:rsidP="00487A5C">
      <w:pPr>
        <w:pStyle w:val="paragraph"/>
        <w:numPr>
          <w:ilvl w:val="0"/>
          <w:numId w:val="53"/>
        </w:numPr>
        <w:spacing w:before="0" w:beforeAutospacing="0" w:after="0" w:afterAutospacing="0"/>
        <w:ind w:left="851" w:hanging="425"/>
        <w:jc w:val="both"/>
        <w:textAlignment w:val="baseline"/>
        <w:rPr>
          <w:rFonts w:ascii="Cambria" w:hAnsi="Cambria"/>
          <w:sz w:val="20"/>
          <w:szCs w:val="20"/>
        </w:rPr>
      </w:pPr>
      <w:r w:rsidRPr="004E13E9">
        <w:rPr>
          <w:rFonts w:ascii="Cambria" w:hAnsi="Cambria"/>
          <w:sz w:val="20"/>
          <w:szCs w:val="20"/>
        </w:rPr>
        <w:t xml:space="preserve">Le Royaume-Uni développera les pêcheries récréatives de capture et remise à l'eau du thon rouge de l’Est. </w:t>
      </w:r>
    </w:p>
    <w:p w14:paraId="21D3B555" w14:textId="77777777" w:rsidR="003928B6" w:rsidRPr="004E13E9" w:rsidRDefault="003928B6" w:rsidP="00487A5C">
      <w:pPr>
        <w:pStyle w:val="paragraph"/>
        <w:numPr>
          <w:ilvl w:val="0"/>
          <w:numId w:val="53"/>
        </w:numPr>
        <w:spacing w:before="0" w:beforeAutospacing="0" w:after="0" w:afterAutospacing="0"/>
        <w:ind w:left="851" w:hanging="425"/>
        <w:jc w:val="both"/>
        <w:textAlignment w:val="baseline"/>
        <w:rPr>
          <w:rStyle w:val="normaltextrun"/>
          <w:rFonts w:ascii="Cambria" w:hAnsi="Cambria" w:cs="Segoe UI"/>
          <w:b/>
          <w:bCs/>
          <w:sz w:val="20"/>
          <w:szCs w:val="20"/>
        </w:rPr>
      </w:pPr>
      <w:r w:rsidRPr="004E13E9">
        <w:rPr>
          <w:rStyle w:val="normaltextrun"/>
          <w:rFonts w:ascii="Cambria" w:hAnsi="Cambria"/>
          <w:sz w:val="20"/>
          <w:szCs w:val="20"/>
        </w:rPr>
        <w:t xml:space="preserve">Certaines administrations des pêches au Royaume-Uni continueront à mettre en œuvre des programmes scientifiques de marquage des captures et de remise à l'eau (CHART), </w:t>
      </w:r>
      <w:bookmarkStart w:id="37" w:name="_Int_kD6ZRYJk"/>
      <w:bookmarkEnd w:id="37"/>
      <w:r w:rsidRPr="004E13E9">
        <w:rPr>
          <w:rStyle w:val="normaltextrun"/>
          <w:rFonts w:ascii="Cambria" w:hAnsi="Cambria"/>
          <w:sz w:val="20"/>
          <w:szCs w:val="20"/>
        </w:rPr>
        <w:t>qui seront menés conjointement par des capitaines et des scientifiques spécialement formés. </w:t>
      </w:r>
    </w:p>
    <w:p w14:paraId="51E03A6C" w14:textId="77777777" w:rsidR="003928B6" w:rsidRPr="004E13E9" w:rsidRDefault="003928B6" w:rsidP="00487A5C">
      <w:pPr>
        <w:pStyle w:val="paragraph"/>
        <w:numPr>
          <w:ilvl w:val="0"/>
          <w:numId w:val="53"/>
        </w:numPr>
        <w:spacing w:before="0" w:beforeAutospacing="0" w:after="0" w:afterAutospacing="0"/>
        <w:ind w:left="851" w:hanging="425"/>
        <w:jc w:val="both"/>
        <w:textAlignment w:val="baseline"/>
        <w:rPr>
          <w:rStyle w:val="eop"/>
          <w:rFonts w:ascii="Cambria" w:hAnsi="Cambria" w:cs="Segoe UI"/>
          <w:b/>
          <w:sz w:val="20"/>
          <w:szCs w:val="20"/>
        </w:rPr>
      </w:pPr>
      <w:r w:rsidRPr="004E13E9">
        <w:rPr>
          <w:rStyle w:val="eop"/>
          <w:rFonts w:ascii="Cambria" w:hAnsi="Cambria"/>
          <w:sz w:val="20"/>
          <w:szCs w:val="20"/>
        </w:rPr>
        <w:t>Le Royaume-Uni continuera d'autoriser certaines possibilités limitées de vente de thon rouge de l’Est capturé accidentellement dans les pêcheries commerciales utilisant certains types d'engins.</w:t>
      </w:r>
    </w:p>
    <w:p w14:paraId="222E1216" w14:textId="77777777" w:rsidR="003928B6" w:rsidRPr="004E13E9" w:rsidRDefault="003928B6" w:rsidP="003928B6">
      <w:pPr>
        <w:pStyle w:val="paragraph"/>
        <w:spacing w:before="0" w:beforeAutospacing="0" w:after="0" w:afterAutospacing="0"/>
        <w:ind w:left="720"/>
        <w:jc w:val="both"/>
        <w:textAlignment w:val="baseline"/>
        <w:rPr>
          <w:rStyle w:val="normaltextrun"/>
          <w:rFonts w:ascii="Cambria" w:hAnsi="Cambria"/>
          <w:b/>
          <w:sz w:val="20"/>
          <w:szCs w:val="20"/>
        </w:rPr>
      </w:pPr>
    </w:p>
    <w:p w14:paraId="5C788918" w14:textId="77777777" w:rsidR="003928B6" w:rsidRPr="004E13E9" w:rsidRDefault="003928B6" w:rsidP="003928B6">
      <w:pPr>
        <w:pStyle w:val="paragraph"/>
        <w:spacing w:before="0" w:beforeAutospacing="0" w:after="0" w:afterAutospacing="0"/>
        <w:jc w:val="both"/>
        <w:textAlignment w:val="baseline"/>
        <w:rPr>
          <w:rFonts w:ascii="Cambria" w:hAnsi="Cambria" w:cs="Segoe UI"/>
          <w:sz w:val="20"/>
          <w:szCs w:val="20"/>
        </w:rPr>
      </w:pPr>
      <w:r w:rsidRPr="004E13E9">
        <w:rPr>
          <w:rStyle w:val="normaltextrun"/>
          <w:rFonts w:ascii="Cambria" w:hAnsi="Cambria"/>
          <w:sz w:val="20"/>
          <w:szCs w:val="20"/>
        </w:rPr>
        <w:t xml:space="preserve">Le Royaume-Uni n'autorisera que le ciblage commercial du thon rouge de l’Est à la canne et au moulinet. Aucun autre engin commercial n'est autorisé. Les navires impliqués dans cette pêcherie seront des navires côtiers de petite taille. </w:t>
      </w:r>
    </w:p>
    <w:p w14:paraId="173032EA" w14:textId="0790CFEF" w:rsidR="003928B6" w:rsidRPr="004E13E9" w:rsidRDefault="003928B6" w:rsidP="003928B6">
      <w:pPr>
        <w:pStyle w:val="paragraph"/>
        <w:spacing w:before="0" w:beforeAutospacing="0" w:after="0" w:afterAutospacing="0"/>
        <w:jc w:val="both"/>
        <w:textAlignment w:val="baseline"/>
        <w:rPr>
          <w:rFonts w:ascii="Cambria" w:hAnsi="Cambria" w:cs="Segoe UI"/>
          <w:sz w:val="20"/>
          <w:szCs w:val="20"/>
        </w:rPr>
      </w:pPr>
    </w:p>
    <w:p w14:paraId="2F1E02A4" w14:textId="77777777" w:rsidR="003928B6" w:rsidRPr="004E13E9" w:rsidRDefault="003928B6" w:rsidP="003928B6">
      <w:pPr>
        <w:rPr>
          <w:rStyle w:val="normaltextrun"/>
          <w:lang w:val="fr-FR"/>
        </w:rPr>
      </w:pPr>
      <w:r w:rsidRPr="004E13E9">
        <w:rPr>
          <w:rStyle w:val="normaltextrun"/>
          <w:lang w:val="fr-FR"/>
        </w:rPr>
        <w:t>Notre approche de gestion sera suivie de près au cours de l'année. Toute amélioration de cette approche qui nécessite des ajustements de notre plan de pêche sera notifiée à l’ICCAT conformément au paragraphe 13 de la Recommandation 25-04.</w:t>
      </w:r>
    </w:p>
    <w:p w14:paraId="2D5819EE" w14:textId="77777777" w:rsidR="003928B6" w:rsidRPr="004E13E9" w:rsidRDefault="003928B6" w:rsidP="003928B6">
      <w:pPr>
        <w:rPr>
          <w:rStyle w:val="normaltextrun"/>
          <w:lang w:val="fr-FR"/>
        </w:rPr>
      </w:pPr>
    </w:p>
    <w:p w14:paraId="27E79CD3" w14:textId="77777777" w:rsidR="003928B6" w:rsidRPr="004E13E9" w:rsidRDefault="003928B6" w:rsidP="003928B6">
      <w:pPr>
        <w:rPr>
          <w:lang w:val="fr-FR"/>
        </w:rPr>
      </w:pPr>
      <w:r w:rsidRPr="004E13E9">
        <w:rPr>
          <w:lang w:val="fr-FR"/>
        </w:rPr>
        <w:t xml:space="preserve">En 2025, l'adhésion du Royaume-Uni à l’ICCAT a été étendue au bailliage de Jersey. En 2026, Jersey a l'intention d'élargir sa pêcherie récréative de thon rouge de l’Est. Le processus d'extension de l'adhésion du Royaume-Uni à l’ICCAT pour y inclure le bailliage de Guernesey est en cours et devrait s'achever en 2026. Le Royaume-Uni informera le Secrétariat de l’ICCAT une fois le processus achevé. À l'issue du processus, Guernesey a l'intention d'ouvrir une petite pêcherie récréative de thon rouge de l’Est. Les exploitants de navires de Jersey et de Guernesey pourront également demander des permis de pêche commerciale du thon rouge.  </w:t>
      </w:r>
    </w:p>
    <w:p w14:paraId="7B780A90" w14:textId="77777777" w:rsidR="003928B6" w:rsidRPr="004E13E9" w:rsidRDefault="003928B6" w:rsidP="003928B6">
      <w:pPr>
        <w:rPr>
          <w:rStyle w:val="normaltextrun"/>
          <w:lang w:val="fr-FR"/>
        </w:rPr>
      </w:pPr>
    </w:p>
    <w:p w14:paraId="473A3431" w14:textId="77777777" w:rsidR="003928B6" w:rsidRPr="004E13E9" w:rsidRDefault="003928B6" w:rsidP="003928B6">
      <w:pPr>
        <w:pStyle w:val="paragraph"/>
        <w:spacing w:before="0" w:beforeAutospacing="0" w:after="0" w:afterAutospacing="0"/>
        <w:jc w:val="both"/>
        <w:textAlignment w:val="baseline"/>
        <w:rPr>
          <w:rStyle w:val="eop"/>
          <w:rFonts w:ascii="Cambria" w:hAnsi="Cambria"/>
          <w:i/>
          <w:sz w:val="20"/>
          <w:szCs w:val="20"/>
        </w:rPr>
      </w:pPr>
      <w:r w:rsidRPr="004E13E9">
        <w:rPr>
          <w:rStyle w:val="normaltextrun"/>
          <w:rFonts w:ascii="Cambria" w:hAnsi="Cambria"/>
          <w:i/>
          <w:sz w:val="20"/>
          <w:szCs w:val="20"/>
        </w:rPr>
        <w:t>Couverture des prises accessoires</w:t>
      </w:r>
      <w:r w:rsidRPr="004E13E9">
        <w:rPr>
          <w:rStyle w:val="eop"/>
          <w:rFonts w:ascii="Cambria" w:hAnsi="Cambria"/>
          <w:i/>
          <w:sz w:val="20"/>
          <w:szCs w:val="20"/>
        </w:rPr>
        <w:t> </w:t>
      </w:r>
    </w:p>
    <w:p w14:paraId="1EF11BA3" w14:textId="77777777" w:rsidR="003928B6" w:rsidRPr="004E13E9" w:rsidRDefault="003928B6" w:rsidP="003928B6">
      <w:pPr>
        <w:pStyle w:val="paragraph"/>
        <w:spacing w:before="0" w:beforeAutospacing="0" w:after="0" w:afterAutospacing="0"/>
        <w:jc w:val="both"/>
        <w:textAlignment w:val="baseline"/>
        <w:rPr>
          <w:rStyle w:val="eop"/>
          <w:rFonts w:ascii="Cambria" w:hAnsi="Cambria"/>
          <w:i/>
          <w:sz w:val="20"/>
          <w:szCs w:val="20"/>
        </w:rPr>
      </w:pPr>
    </w:p>
    <w:p w14:paraId="22BDFBE8" w14:textId="77777777" w:rsidR="003928B6" w:rsidRPr="004E13E9" w:rsidRDefault="003928B6" w:rsidP="003928B6">
      <w:pPr>
        <w:pStyle w:val="paragraph"/>
        <w:spacing w:before="0" w:beforeAutospacing="0" w:after="0" w:afterAutospacing="0"/>
        <w:jc w:val="both"/>
        <w:textAlignment w:val="baseline"/>
        <w:rPr>
          <w:rStyle w:val="normaltextrun"/>
          <w:rFonts w:ascii="Cambria" w:hAnsi="Cambria"/>
          <w:sz w:val="20"/>
          <w:szCs w:val="20"/>
        </w:rPr>
      </w:pPr>
      <w:r w:rsidRPr="004E13E9">
        <w:rPr>
          <w:rStyle w:val="normaltextrun"/>
          <w:rFonts w:ascii="Cambria" w:hAnsi="Cambria"/>
          <w:sz w:val="20"/>
          <w:szCs w:val="20"/>
        </w:rPr>
        <w:t xml:space="preserve">Toutes les prises accessoires de thon rouge de l'Est mort seront déduites du quota du Royaume-Unis. En 2026, le Royaume-Uni réservera 10 t pour les prises accidentelles réalisées par des navires qui ne ciblent pas le thon rouge de l’Est. </w:t>
      </w:r>
      <w:r w:rsidRPr="004E13E9">
        <w:rPr>
          <w:rFonts w:ascii="Cambria" w:hAnsi="Cambria"/>
          <w:sz w:val="20"/>
          <w:szCs w:val="20"/>
        </w:rPr>
        <w:t xml:space="preserve"> </w:t>
      </w:r>
      <w:r w:rsidRPr="004E13E9">
        <w:rPr>
          <w:rStyle w:val="normaltextrun"/>
          <w:rFonts w:ascii="Cambria" w:hAnsi="Cambria"/>
          <w:sz w:val="20"/>
          <w:szCs w:val="20"/>
        </w:rPr>
        <w:t xml:space="preserve">Prenant en compte les prises accidentelles de thon rouge de l’Est réalisées par les navires commerciaux britanniques au cours des années précédentes (4,10 t en 2024 et </w:t>
      </w:r>
      <w:r w:rsidRPr="004E13E9">
        <w:rPr>
          <w:rFonts w:ascii="Cambria" w:hAnsi="Cambria"/>
          <w:sz w:val="20"/>
          <w:szCs w:val="20"/>
        </w:rPr>
        <w:t>3,31 t</w:t>
      </w:r>
      <w:r w:rsidRPr="004E13E9">
        <w:rPr>
          <w:rStyle w:val="normaltextrun"/>
          <w:rFonts w:ascii="Cambria" w:hAnsi="Cambria"/>
          <w:sz w:val="20"/>
          <w:szCs w:val="20"/>
        </w:rPr>
        <w:t xml:space="preserve"> en 2025), mais notant également que le thon rouge de l’Est est observé dans les eaux britanniques en nombre significatif et sur une zone géographique croissante, conduisant à une plus grande probabilité d'interactions avec les navires de pêche, le Royaume-Uni considère que 10 t sont suffisantes pour s'assurer que nous pouvons correctement prendre en compte toutes les prises accidentelles de thon rouge de l’Est.</w:t>
      </w:r>
      <w:r w:rsidRPr="004E13E9">
        <w:rPr>
          <w:rFonts w:ascii="Cambria" w:hAnsi="Cambria"/>
          <w:sz w:val="20"/>
          <w:szCs w:val="20"/>
        </w:rPr>
        <w:t>.</w:t>
      </w:r>
      <w:r w:rsidRPr="004E13E9">
        <w:rPr>
          <w:rStyle w:val="normaltextrun"/>
          <w:rFonts w:ascii="Cambria" w:hAnsi="Cambria"/>
          <w:sz w:val="20"/>
          <w:szCs w:val="20"/>
        </w:rPr>
        <w:t xml:space="preserve"> </w:t>
      </w:r>
    </w:p>
    <w:p w14:paraId="6D75B5E4" w14:textId="77777777" w:rsidR="003928B6" w:rsidRPr="004E13E9" w:rsidRDefault="003928B6" w:rsidP="003928B6">
      <w:pPr>
        <w:pStyle w:val="paragraph"/>
        <w:spacing w:before="0" w:beforeAutospacing="0" w:after="0" w:afterAutospacing="0"/>
        <w:jc w:val="both"/>
        <w:textAlignment w:val="baseline"/>
        <w:rPr>
          <w:rFonts w:ascii="Cambria" w:hAnsi="Cambria"/>
          <w:sz w:val="20"/>
          <w:szCs w:val="20"/>
        </w:rPr>
      </w:pPr>
      <w:r w:rsidRPr="004E13E9">
        <w:rPr>
          <w:rStyle w:val="eop"/>
          <w:rFonts w:ascii="Cambria" w:hAnsi="Cambria"/>
          <w:sz w:val="20"/>
          <w:szCs w:val="20"/>
        </w:rPr>
        <w:t> </w:t>
      </w:r>
    </w:p>
    <w:p w14:paraId="57CFD806" w14:textId="77777777" w:rsidR="003928B6" w:rsidRPr="004E13E9" w:rsidRDefault="003928B6" w:rsidP="003928B6">
      <w:pPr>
        <w:pStyle w:val="paragraph"/>
        <w:spacing w:before="0" w:beforeAutospacing="0" w:after="0" w:afterAutospacing="0"/>
        <w:jc w:val="both"/>
        <w:textAlignment w:val="baseline"/>
        <w:rPr>
          <w:rFonts w:ascii="Cambria" w:hAnsi="Cambria"/>
          <w:sz w:val="20"/>
          <w:szCs w:val="20"/>
        </w:rPr>
      </w:pPr>
      <w:r w:rsidRPr="004E13E9">
        <w:rPr>
          <w:rFonts w:ascii="Cambria" w:hAnsi="Cambria"/>
          <w:sz w:val="20"/>
          <w:szCs w:val="20"/>
        </w:rPr>
        <w:t>Pour éviter d'encourager le ciblage du thon rouge de l’Est par des navires qui ne font pas partie de la pêcherie commerciale de thon rouge de l’Est, les navires commerciaux britanniques qui ne sont pas autorisés à cibler le thon rouge de l’Est continueront à être autorisés à débarquer et à vendre un maximum d'un poisson capturé accidentellement par sortie.</w:t>
      </w:r>
      <w:r w:rsidRPr="004E13E9">
        <w:rPr>
          <w:rStyle w:val="normaltextrun"/>
          <w:rFonts w:ascii="Cambria" w:hAnsi="Cambria"/>
          <w:sz w:val="20"/>
          <w:szCs w:val="20"/>
        </w:rPr>
        <w:t xml:space="preserve"> </w:t>
      </w:r>
      <w:r w:rsidRPr="004E13E9">
        <w:rPr>
          <w:rFonts w:ascii="Cambria" w:hAnsi="Cambria"/>
          <w:sz w:val="20"/>
          <w:szCs w:val="20"/>
        </w:rPr>
        <w:t>Ceci garantira également qu'ils ne dépassent pas le maximum de 20% fixé au paragraphe 37 de la Recommandation 25-04.</w:t>
      </w:r>
      <w:r w:rsidRPr="004E13E9">
        <w:rPr>
          <w:rStyle w:val="normaltextrun"/>
          <w:rFonts w:ascii="Cambria" w:hAnsi="Cambria"/>
          <w:sz w:val="20"/>
          <w:szCs w:val="20"/>
        </w:rPr>
        <w:t xml:space="preserve"> Tout autre thon rouge de l'Est qui est capturé devra être remis à l'eau vivant si possible. S'il est mort, le navire devra en informer les autorités compétentes et pourra être tenu de retenir le spécimen pour un échantillonnage scientifique, mais il ne pourra pas le proposer à la vente. </w:t>
      </w:r>
    </w:p>
    <w:p w14:paraId="5B9F431B" w14:textId="77777777" w:rsidR="003928B6" w:rsidRPr="004E13E9" w:rsidRDefault="003928B6" w:rsidP="003928B6">
      <w:pPr>
        <w:pStyle w:val="paragraph"/>
        <w:spacing w:before="0" w:beforeAutospacing="0" w:after="0" w:afterAutospacing="0"/>
        <w:jc w:val="both"/>
        <w:textAlignment w:val="baseline"/>
        <w:rPr>
          <w:rFonts w:ascii="Cambria" w:hAnsi="Cambria"/>
          <w:sz w:val="20"/>
          <w:szCs w:val="20"/>
        </w:rPr>
      </w:pPr>
      <w:r w:rsidRPr="004E13E9">
        <w:rPr>
          <w:rStyle w:val="eop"/>
          <w:rFonts w:ascii="Cambria" w:hAnsi="Cambria"/>
          <w:sz w:val="20"/>
          <w:szCs w:val="20"/>
        </w:rPr>
        <w:t> </w:t>
      </w:r>
    </w:p>
    <w:p w14:paraId="0CCF33DE" w14:textId="77777777" w:rsidR="000B6944" w:rsidRPr="004E13E9" w:rsidRDefault="000B6944">
      <w:pPr>
        <w:rPr>
          <w:rStyle w:val="normaltextrun"/>
          <w:rFonts w:eastAsia="Times New Roman" w:cs="Times New Roman"/>
          <w:lang w:val="fr-FR" w:eastAsia="en-GB"/>
        </w:rPr>
      </w:pPr>
      <w:r w:rsidRPr="004E13E9">
        <w:rPr>
          <w:rStyle w:val="normaltextrun"/>
          <w:lang w:val="fr-FR"/>
        </w:rPr>
        <w:br w:type="page"/>
      </w:r>
    </w:p>
    <w:p w14:paraId="07DE565A" w14:textId="2DC58013" w:rsidR="003928B6" w:rsidRPr="004E13E9" w:rsidRDefault="003928B6" w:rsidP="000B6944">
      <w:pPr>
        <w:pStyle w:val="paragraph"/>
        <w:spacing w:before="0" w:beforeAutospacing="0" w:after="0" w:afterAutospacing="0"/>
        <w:jc w:val="both"/>
        <w:textAlignment w:val="baseline"/>
        <w:rPr>
          <w:rStyle w:val="eop"/>
          <w:rFonts w:ascii="Cambria" w:hAnsi="Cambria" w:cs="Segoe UI"/>
          <w:sz w:val="20"/>
          <w:szCs w:val="20"/>
        </w:rPr>
      </w:pPr>
      <w:r w:rsidRPr="004E13E9">
        <w:rPr>
          <w:rStyle w:val="normaltextrun"/>
          <w:rFonts w:ascii="Cambria" w:hAnsi="Cambria"/>
          <w:sz w:val="20"/>
          <w:szCs w:val="20"/>
        </w:rPr>
        <w:t>Si le quota du Royaume-Uni est épuisé, tous les thons rouges de l’Est capturés qui sont vivants devront être remis à l'eau. En vertu de l'obligation de débarquement du Royaume-Uni, tout thon rouge de l’Est capturé qui est mort et qui dépasse la taille minimale de référence pour la conservation devra être retenu. Ces poissons morts retenus peuvent être envoyés pour un échantillonnage scientifique mais ils ne peuvent être mis en vente sur les marchés destinés à la consommation humaine. Dans ce scénario, les débarquements seraient pris en compte en ajustant le quota du Royaume-Uni pour 2027.</w:t>
      </w:r>
    </w:p>
    <w:p w14:paraId="77A3719D" w14:textId="77777777" w:rsidR="003928B6" w:rsidRPr="004E13E9" w:rsidRDefault="003928B6" w:rsidP="000B6944">
      <w:pPr>
        <w:pStyle w:val="paragraph"/>
        <w:spacing w:before="0" w:beforeAutospacing="0" w:after="0" w:afterAutospacing="0"/>
        <w:jc w:val="both"/>
        <w:textAlignment w:val="baseline"/>
        <w:rPr>
          <w:rFonts w:ascii="Cambria" w:hAnsi="Cambria"/>
          <w:sz w:val="20"/>
          <w:szCs w:val="20"/>
        </w:rPr>
      </w:pPr>
    </w:p>
    <w:p w14:paraId="544A99B5" w14:textId="77777777" w:rsidR="003928B6" w:rsidRPr="004E13E9" w:rsidRDefault="003928B6" w:rsidP="000B6944">
      <w:pPr>
        <w:pStyle w:val="paragraph"/>
        <w:spacing w:before="0" w:beforeAutospacing="0" w:after="0" w:afterAutospacing="0"/>
        <w:jc w:val="both"/>
        <w:textAlignment w:val="baseline"/>
        <w:rPr>
          <w:rStyle w:val="normaltextrun"/>
          <w:rFonts w:ascii="Cambria" w:hAnsi="Cambria" w:cs="Segoe UI"/>
          <w:sz w:val="20"/>
          <w:szCs w:val="20"/>
        </w:rPr>
      </w:pPr>
      <w:r w:rsidRPr="004E13E9">
        <w:rPr>
          <w:rStyle w:val="normaltextrun"/>
          <w:rFonts w:ascii="Cambria" w:hAnsi="Cambria"/>
          <w:sz w:val="20"/>
          <w:szCs w:val="20"/>
        </w:rPr>
        <w:t>Toutes les prises accessoires de thon rouge de l’Est seront soumises aux exigences du programme électronique de documentation des captures de thon rouge de l'ICCAT (eBCD). </w:t>
      </w:r>
    </w:p>
    <w:p w14:paraId="4CF79064" w14:textId="77777777" w:rsidR="003928B6" w:rsidRPr="004E13E9" w:rsidRDefault="003928B6" w:rsidP="000B6944">
      <w:pPr>
        <w:pStyle w:val="paragraph"/>
        <w:spacing w:before="0" w:beforeAutospacing="0" w:after="0" w:afterAutospacing="0"/>
        <w:jc w:val="both"/>
        <w:textAlignment w:val="baseline"/>
        <w:rPr>
          <w:rStyle w:val="eop"/>
          <w:rFonts w:ascii="Cambria" w:hAnsi="Cambria" w:cs="Segoe UI"/>
          <w:sz w:val="20"/>
          <w:szCs w:val="20"/>
        </w:rPr>
      </w:pPr>
      <w:r w:rsidRPr="004E13E9">
        <w:rPr>
          <w:rStyle w:val="normaltextrun"/>
          <w:rFonts w:ascii="Cambria" w:hAnsi="Cambria"/>
          <w:sz w:val="20"/>
          <w:szCs w:val="20"/>
        </w:rPr>
        <w:t> </w:t>
      </w:r>
      <w:r w:rsidRPr="004E13E9">
        <w:rPr>
          <w:rStyle w:val="eop"/>
          <w:rFonts w:ascii="Cambria" w:hAnsi="Cambria"/>
          <w:sz w:val="20"/>
          <w:szCs w:val="20"/>
        </w:rPr>
        <w:t> </w:t>
      </w:r>
    </w:p>
    <w:p w14:paraId="506B2BC9" w14:textId="77777777" w:rsidR="003928B6" w:rsidRPr="004E13E9" w:rsidRDefault="003928B6" w:rsidP="000B6944">
      <w:pPr>
        <w:pStyle w:val="paragraph"/>
        <w:spacing w:before="0" w:beforeAutospacing="0" w:after="0" w:afterAutospacing="0"/>
        <w:jc w:val="both"/>
        <w:textAlignment w:val="baseline"/>
        <w:rPr>
          <w:rStyle w:val="normaltextrun"/>
          <w:rFonts w:ascii="Cambria" w:hAnsi="Cambria" w:cs="Segoe UI"/>
          <w:i/>
          <w:iCs/>
          <w:sz w:val="20"/>
          <w:szCs w:val="20"/>
        </w:rPr>
      </w:pPr>
      <w:r w:rsidRPr="004E13E9">
        <w:rPr>
          <w:rStyle w:val="normaltextrun"/>
          <w:rFonts w:ascii="Cambria" w:hAnsi="Cambria"/>
          <w:i/>
          <w:sz w:val="20"/>
          <w:szCs w:val="20"/>
        </w:rPr>
        <w:t>Pêcherie commerciale </w:t>
      </w:r>
    </w:p>
    <w:p w14:paraId="3A7BA798" w14:textId="77777777" w:rsidR="003928B6" w:rsidRPr="004E13E9" w:rsidRDefault="003928B6" w:rsidP="000B6944">
      <w:pPr>
        <w:pStyle w:val="paragraph"/>
        <w:spacing w:before="0" w:beforeAutospacing="0" w:after="0" w:afterAutospacing="0"/>
        <w:jc w:val="both"/>
        <w:textAlignment w:val="baseline"/>
        <w:rPr>
          <w:rStyle w:val="normaltextrun"/>
          <w:rFonts w:ascii="Cambria" w:hAnsi="Cambria" w:cs="Segoe UI"/>
          <w:i/>
          <w:iCs/>
          <w:sz w:val="20"/>
          <w:szCs w:val="20"/>
        </w:rPr>
      </w:pPr>
    </w:p>
    <w:p w14:paraId="34D94970" w14:textId="77777777" w:rsidR="003928B6" w:rsidRPr="004E13E9" w:rsidRDefault="003928B6" w:rsidP="000B6944">
      <w:pPr>
        <w:jc w:val="both"/>
        <w:rPr>
          <w:lang w:val="fr-FR"/>
        </w:rPr>
      </w:pPr>
      <w:r w:rsidRPr="004E13E9">
        <w:rPr>
          <w:rStyle w:val="eop"/>
          <w:lang w:val="fr-FR"/>
        </w:rPr>
        <w:t>L'intérêt pour la poursuite du développement des pêcheries commerciales de thon rouge de l’Est au Royaume-Uni reste important, la demande de licences dépassant largement le nombre de licences disponibles en 2024 et 2025. Le Royaume-Uni a l'intention d'étendre ses pêcheries commerciales de thon rouge de l’Est de manière progressive au cours du cycle de gestion/TAC 2026-2028. En 2026, nous augmenterons le nombre de licences commerciales de 15 à 30, et allouerons 120 t de notre quota aux navires commerciaux ciblant le thon rouge de l’Est</w:t>
      </w:r>
      <w:r w:rsidRPr="004E13E9">
        <w:rPr>
          <w:lang w:val="fr-FR"/>
        </w:rPr>
        <w:t xml:space="preserve">. Tous les opérateurs éligibles du Royaume-Uni, de Jersey et de Guernesey (une fois que l'adhésion du Royaume-Uni aura été étendue à celui-ci) pourront solliciter des licences commerciales et, s'ils sont retenus, pourront exercer des activités de pêche commerciale. </w:t>
      </w:r>
    </w:p>
    <w:p w14:paraId="0EE311A7" w14:textId="77777777" w:rsidR="003928B6" w:rsidRPr="004E13E9" w:rsidRDefault="003928B6" w:rsidP="000B6944">
      <w:pPr>
        <w:jc w:val="both"/>
        <w:rPr>
          <w:lang w:val="fr-FR"/>
        </w:rPr>
      </w:pPr>
    </w:p>
    <w:p w14:paraId="3828DD7B" w14:textId="77777777" w:rsidR="003928B6" w:rsidRPr="004E13E9" w:rsidRDefault="003928B6" w:rsidP="000B6944">
      <w:pPr>
        <w:jc w:val="both"/>
        <w:rPr>
          <w:rStyle w:val="eop"/>
          <w:rFonts w:cs="Segoe UI"/>
          <w:lang w:val="fr-FR"/>
        </w:rPr>
      </w:pPr>
      <w:r w:rsidRPr="004E13E9">
        <w:rPr>
          <w:rStyle w:val="eop"/>
          <w:lang w:val="fr-FR"/>
        </w:rPr>
        <w:t xml:space="preserve">Nous avons l'intention d'augmenter encore le nombre de licences commerciales et la proportion de notre quota allouée aux navires commerciaux en 2027, puis en 2028. </w:t>
      </w:r>
      <w:r w:rsidRPr="004E13E9">
        <w:rPr>
          <w:lang w:val="fr-FR"/>
        </w:rPr>
        <w:t xml:space="preserve">Cette approche progressive vise à garantir que le régime britannique de contrôle et d'inspection axé sur le risque est efficace pour gérer nos pêcheries de thon rouge de l’Est au fur et à mesure qu'elles se développent et permet de revoir et d'affiner le régime chaque année. Cette approche permettra d'allouer la totalité du quota du Royaume-Uni d'ici à 2028. </w:t>
      </w:r>
    </w:p>
    <w:p w14:paraId="12C578CD" w14:textId="77777777" w:rsidR="003928B6" w:rsidRPr="004E13E9" w:rsidRDefault="003928B6" w:rsidP="000B6944">
      <w:pPr>
        <w:pStyle w:val="paragraph"/>
        <w:spacing w:before="0" w:beforeAutospacing="0" w:after="0" w:afterAutospacing="0"/>
        <w:jc w:val="both"/>
        <w:textAlignment w:val="baseline"/>
        <w:rPr>
          <w:rStyle w:val="eop"/>
          <w:rFonts w:ascii="Cambria" w:hAnsi="Cambria" w:cs="Segoe UI"/>
          <w:sz w:val="20"/>
          <w:szCs w:val="20"/>
        </w:rPr>
      </w:pPr>
    </w:p>
    <w:p w14:paraId="3CB7FE08" w14:textId="77777777" w:rsidR="003928B6" w:rsidRPr="004E13E9" w:rsidRDefault="003928B6" w:rsidP="000B6944">
      <w:pPr>
        <w:pStyle w:val="paragraph"/>
        <w:spacing w:before="0" w:beforeAutospacing="0" w:after="0" w:afterAutospacing="0"/>
        <w:jc w:val="both"/>
        <w:textAlignment w:val="baseline"/>
        <w:rPr>
          <w:rStyle w:val="eop"/>
          <w:rFonts w:ascii="Cambria" w:hAnsi="Cambria" w:cs="Segoe UI"/>
          <w:sz w:val="20"/>
          <w:szCs w:val="20"/>
        </w:rPr>
      </w:pPr>
      <w:r w:rsidRPr="004E13E9">
        <w:rPr>
          <w:rStyle w:val="eop"/>
          <w:rFonts w:ascii="Cambria" w:hAnsi="Cambria"/>
          <w:sz w:val="20"/>
          <w:szCs w:val="20"/>
        </w:rPr>
        <w:t xml:space="preserve">Les pêcheries commerciales de thon rouge de l’Est seront ouvertes du 13 juillet au 31 décembre (6 mois). La pêche sera pratiquée par des navires de petite taille (d'une longueur maximale de 12 m). Les navires n'opéreront que dans la zone économique exclusive du Royaume-Uni, et principalement dans les eaux territoriales (0-12 nm). Leurs sorties de pêche dureront chacune moins de 24 heures. Ils utiliseront des engins de pêche à la canne et au moulinet (aucun appât n'étant autorisé) afin de maximiser la sélectivité de la pêche et de maximiser les possibilités de remise à l'eau en toute sécurité de tout poisson sous-taille qui serait capturé. Les navires participants entreront donc dans la catégorie des "petits navires côtiers" telle que définie dans la Recommandation 25-04 (paragraphe 2(dd)). </w:t>
      </w:r>
    </w:p>
    <w:p w14:paraId="79993D2A" w14:textId="77777777" w:rsidR="003928B6" w:rsidRPr="004E13E9" w:rsidRDefault="003928B6" w:rsidP="000B6944">
      <w:pPr>
        <w:jc w:val="both"/>
        <w:rPr>
          <w:lang w:val="fr-FR"/>
        </w:rPr>
      </w:pPr>
      <w:r w:rsidRPr="004E13E9">
        <w:rPr>
          <w:rStyle w:val="eop"/>
          <w:lang w:val="fr-FR"/>
        </w:rPr>
        <w:t xml:space="preserve">  </w:t>
      </w:r>
    </w:p>
    <w:p w14:paraId="06CC604F" w14:textId="77777777" w:rsidR="003928B6" w:rsidRPr="004E13E9" w:rsidRDefault="003928B6" w:rsidP="000B6944">
      <w:pPr>
        <w:pStyle w:val="paragraph"/>
        <w:spacing w:before="0" w:beforeAutospacing="0" w:after="0" w:afterAutospacing="0"/>
        <w:jc w:val="both"/>
        <w:textAlignment w:val="baseline"/>
        <w:rPr>
          <w:rStyle w:val="eop"/>
          <w:rFonts w:ascii="Cambria" w:hAnsi="Cambria"/>
          <w:i/>
          <w:sz w:val="20"/>
          <w:szCs w:val="20"/>
        </w:rPr>
      </w:pPr>
      <w:r w:rsidRPr="004E13E9">
        <w:rPr>
          <w:rStyle w:val="normaltextrun"/>
          <w:rFonts w:ascii="Cambria" w:hAnsi="Cambria"/>
          <w:i/>
          <w:sz w:val="20"/>
          <w:szCs w:val="20"/>
        </w:rPr>
        <w:t>Programmes de marquage des captures et de remise à l'eau et programmes de recherche sur le thon rouge de l’Est</w:t>
      </w:r>
      <w:r w:rsidRPr="004E13E9">
        <w:rPr>
          <w:rStyle w:val="eop"/>
          <w:rFonts w:ascii="Cambria" w:hAnsi="Cambria"/>
          <w:i/>
          <w:sz w:val="20"/>
          <w:szCs w:val="20"/>
        </w:rPr>
        <w:t> </w:t>
      </w:r>
    </w:p>
    <w:p w14:paraId="6997677A" w14:textId="77777777" w:rsidR="003928B6" w:rsidRPr="004E13E9" w:rsidRDefault="003928B6" w:rsidP="000B6944">
      <w:pPr>
        <w:pStyle w:val="paragraph"/>
        <w:spacing w:before="0" w:beforeAutospacing="0" w:after="0" w:afterAutospacing="0"/>
        <w:jc w:val="both"/>
        <w:textAlignment w:val="baseline"/>
        <w:rPr>
          <w:rStyle w:val="eop"/>
          <w:rFonts w:ascii="Cambria" w:hAnsi="Cambria"/>
          <w:i/>
          <w:sz w:val="20"/>
          <w:szCs w:val="20"/>
        </w:rPr>
      </w:pPr>
    </w:p>
    <w:p w14:paraId="706996AC" w14:textId="77777777" w:rsidR="003928B6" w:rsidRPr="004E13E9" w:rsidRDefault="003928B6" w:rsidP="000B6944">
      <w:pPr>
        <w:pStyle w:val="paragraph"/>
        <w:spacing w:before="0" w:beforeAutospacing="0" w:after="0" w:afterAutospacing="0"/>
        <w:jc w:val="both"/>
        <w:textAlignment w:val="baseline"/>
        <w:rPr>
          <w:rFonts w:ascii="Cambria" w:hAnsi="Cambria"/>
          <w:sz w:val="20"/>
          <w:szCs w:val="20"/>
        </w:rPr>
      </w:pPr>
      <w:r w:rsidRPr="004E13E9">
        <w:rPr>
          <w:rFonts w:ascii="Cambria" w:hAnsi="Cambria"/>
          <w:sz w:val="20"/>
          <w:szCs w:val="20"/>
        </w:rPr>
        <w:t xml:space="preserve">En 2026, le Royaume-Uni réservera 5 t de quota pour la poursuite du programme "de marquage des captures et de remise à l'eau " (CHART) pour le thon rouge de l’Est et pour tout autre programme de recherche prévu sur le thon rouge de l’Est à mener dans les eaux britanniques. Les programmes de recherche prévus en sont actuellement aux stades préliminaires de leur développement et de leur mise en œuvre. </w:t>
      </w:r>
    </w:p>
    <w:p w14:paraId="1DC63F25" w14:textId="77777777" w:rsidR="003928B6" w:rsidRPr="004E13E9" w:rsidRDefault="003928B6" w:rsidP="000B6944">
      <w:pPr>
        <w:pStyle w:val="paragraph"/>
        <w:spacing w:before="0" w:beforeAutospacing="0" w:after="0" w:afterAutospacing="0"/>
        <w:jc w:val="both"/>
        <w:textAlignment w:val="baseline"/>
        <w:rPr>
          <w:rFonts w:ascii="Cambria" w:hAnsi="Cambria"/>
          <w:sz w:val="20"/>
          <w:szCs w:val="20"/>
        </w:rPr>
      </w:pPr>
    </w:p>
    <w:p w14:paraId="59712F41" w14:textId="77777777" w:rsidR="003928B6" w:rsidRPr="004E13E9" w:rsidRDefault="003928B6" w:rsidP="000B6944">
      <w:pPr>
        <w:pStyle w:val="paragraph"/>
        <w:spacing w:before="0" w:beforeAutospacing="0" w:after="0" w:afterAutospacing="0"/>
        <w:jc w:val="both"/>
        <w:textAlignment w:val="baseline"/>
        <w:rPr>
          <w:rStyle w:val="normaltextrun"/>
          <w:rFonts w:ascii="Cambria" w:hAnsi="Cambria" w:cs="Segoe UI"/>
          <w:sz w:val="20"/>
          <w:szCs w:val="20"/>
        </w:rPr>
      </w:pPr>
      <w:r w:rsidRPr="004E13E9">
        <w:rPr>
          <w:rStyle w:val="normaltextrun"/>
          <w:rFonts w:ascii="Cambria" w:hAnsi="Cambria"/>
          <w:sz w:val="20"/>
          <w:szCs w:val="20"/>
        </w:rPr>
        <w:t xml:space="preserve">Un quota de 5 t est considéré comme une mesure de précaution appropriée et plus que suffisante pour couvrir l'activité envisagée, en notant qu'en 2025, aucune mortalité n'a été signalée dans le cadre du programme CHART. Si les programmes de recherche prévus mentionnés ci-dessus sont mis en œuvre, une évaluation des besoins en quotas prévus pour ces activités sera effectuée et le quota de 5 t alloué à la science sera réparti entre ces activités et le CHART en conséquence. </w:t>
      </w:r>
    </w:p>
    <w:p w14:paraId="662EAF05" w14:textId="77777777" w:rsidR="003928B6" w:rsidRPr="004E13E9" w:rsidRDefault="003928B6" w:rsidP="000B6944">
      <w:pPr>
        <w:pStyle w:val="paragraph"/>
        <w:spacing w:before="0" w:beforeAutospacing="0" w:after="0" w:afterAutospacing="0"/>
        <w:jc w:val="both"/>
        <w:textAlignment w:val="baseline"/>
        <w:rPr>
          <w:rStyle w:val="normaltextrun"/>
          <w:rFonts w:ascii="Cambria" w:hAnsi="Cambria" w:cs="Segoe UI"/>
          <w:sz w:val="20"/>
          <w:szCs w:val="20"/>
        </w:rPr>
      </w:pPr>
    </w:p>
    <w:p w14:paraId="27FD4DED" w14:textId="77777777" w:rsidR="003928B6" w:rsidRPr="004E13E9" w:rsidRDefault="003928B6" w:rsidP="000B6944">
      <w:pPr>
        <w:pStyle w:val="paragraph"/>
        <w:spacing w:before="0" w:beforeAutospacing="0" w:after="0" w:afterAutospacing="0"/>
        <w:jc w:val="both"/>
        <w:textAlignment w:val="baseline"/>
        <w:rPr>
          <w:rStyle w:val="normaltextrun"/>
          <w:rFonts w:ascii="Cambria" w:hAnsi="Cambria"/>
          <w:sz w:val="20"/>
          <w:szCs w:val="20"/>
        </w:rPr>
      </w:pPr>
      <w:r w:rsidRPr="004E13E9">
        <w:rPr>
          <w:rStyle w:val="normaltextrun"/>
          <w:rFonts w:ascii="Cambria" w:hAnsi="Cambria"/>
          <w:sz w:val="20"/>
          <w:szCs w:val="20"/>
        </w:rPr>
        <w:t>Le quota alloué à ces fins sera utilisé pour comptabiliser toute mortalité accidentelle à bord des bateaux associée au programme CHART ou à d'autres programmes à mettre en œuvre. Ce chiffre a été établi en tenant compte de la durée envisagée du programme, du nombre de navires participant et de nos estimations concernant le nombre moyen de jours de pêche par mois, la capture par unité d'effort, le poids et la mortalité à bord des navires. Le quota ne sera pas attribué navire par navire mais couvrira plutôt l'ensemble du programme CHART et tout autre programme.</w:t>
      </w:r>
    </w:p>
    <w:p w14:paraId="5D13CC59" w14:textId="77777777" w:rsidR="000B6944" w:rsidRPr="004E13E9" w:rsidRDefault="000B6944">
      <w:pPr>
        <w:rPr>
          <w:rFonts w:eastAsia="Times New Roman" w:cs="Times New Roman"/>
          <w:lang w:val="fr-FR" w:eastAsia="en-GB"/>
        </w:rPr>
      </w:pPr>
      <w:r w:rsidRPr="004E13E9">
        <w:rPr>
          <w:lang w:val="fr-FR"/>
        </w:rPr>
        <w:br w:type="page"/>
      </w:r>
    </w:p>
    <w:p w14:paraId="010C4C3D" w14:textId="61F05C5A" w:rsidR="003928B6" w:rsidRPr="004E13E9" w:rsidRDefault="003928B6" w:rsidP="000B6944">
      <w:pPr>
        <w:pStyle w:val="paragraph"/>
        <w:spacing w:before="0" w:beforeAutospacing="0" w:after="0" w:afterAutospacing="0"/>
        <w:jc w:val="both"/>
        <w:textAlignment w:val="baseline"/>
        <w:rPr>
          <w:rStyle w:val="normaltextrun"/>
          <w:rFonts w:ascii="Cambria" w:hAnsi="Cambria"/>
          <w:sz w:val="20"/>
          <w:szCs w:val="20"/>
        </w:rPr>
      </w:pPr>
      <w:r w:rsidRPr="004E13E9">
        <w:rPr>
          <w:rFonts w:ascii="Cambria" w:hAnsi="Cambria"/>
          <w:sz w:val="20"/>
          <w:szCs w:val="20"/>
        </w:rPr>
        <w:t>Le programme CHART et tout autre programme seront mis en œuvre conformément au paragraphe 44 de la Recommandation 25-04, y compris la présentation d'un rapport au SCRS. Tous les programmes seront autorisés par les administrations des pêches britanniques compétentes et la pêche sera réalisée dans des conditions strictes de contrôle et de déclaration.</w:t>
      </w:r>
    </w:p>
    <w:p w14:paraId="4FD574E9" w14:textId="77777777" w:rsidR="003928B6" w:rsidRPr="004E13E9" w:rsidRDefault="003928B6" w:rsidP="000B6944">
      <w:pPr>
        <w:jc w:val="both"/>
        <w:rPr>
          <w:rStyle w:val="eop"/>
          <w:rFonts w:cs="Segoe UI"/>
          <w:lang w:val="fr-FR"/>
        </w:rPr>
      </w:pPr>
    </w:p>
    <w:p w14:paraId="4AF2E3B0" w14:textId="77777777" w:rsidR="003928B6" w:rsidRPr="004E13E9" w:rsidRDefault="003928B6" w:rsidP="000B6944">
      <w:pPr>
        <w:pStyle w:val="paragraph"/>
        <w:spacing w:before="0" w:beforeAutospacing="0" w:after="0" w:afterAutospacing="0"/>
        <w:jc w:val="both"/>
        <w:textAlignment w:val="baseline"/>
        <w:rPr>
          <w:rStyle w:val="normaltextrun"/>
          <w:rFonts w:ascii="Cambria" w:hAnsi="Cambria"/>
          <w:sz w:val="20"/>
          <w:szCs w:val="20"/>
        </w:rPr>
      </w:pPr>
      <w:r w:rsidRPr="004E13E9">
        <w:rPr>
          <w:rFonts w:ascii="Cambria" w:hAnsi="Cambria"/>
          <w:sz w:val="20"/>
          <w:szCs w:val="20"/>
        </w:rPr>
        <w:t>La saison de pêche pour le programme CHART 2026 est prévue d’août à la mi-décembre 2026.</w:t>
      </w:r>
    </w:p>
    <w:p w14:paraId="6315C275" w14:textId="77777777" w:rsidR="003928B6" w:rsidRPr="004E13E9" w:rsidRDefault="003928B6" w:rsidP="000B6944">
      <w:pPr>
        <w:pStyle w:val="paragraph"/>
        <w:spacing w:before="0" w:beforeAutospacing="0" w:after="0" w:afterAutospacing="0"/>
        <w:jc w:val="both"/>
        <w:textAlignment w:val="baseline"/>
        <w:rPr>
          <w:rStyle w:val="eop"/>
          <w:rFonts w:ascii="Cambria" w:hAnsi="Cambria"/>
          <w:sz w:val="20"/>
          <w:szCs w:val="20"/>
        </w:rPr>
      </w:pPr>
    </w:p>
    <w:p w14:paraId="54D1F571" w14:textId="77777777" w:rsidR="003928B6" w:rsidRPr="004E13E9" w:rsidRDefault="003928B6" w:rsidP="000B6944">
      <w:pPr>
        <w:pStyle w:val="paragraph"/>
        <w:spacing w:before="0" w:beforeAutospacing="0" w:after="0" w:afterAutospacing="0"/>
        <w:jc w:val="both"/>
        <w:textAlignment w:val="baseline"/>
        <w:rPr>
          <w:rStyle w:val="eop"/>
          <w:rFonts w:ascii="Cambria" w:hAnsi="Cambria" w:cs="Segoe UI"/>
          <w:i/>
          <w:sz w:val="20"/>
          <w:szCs w:val="20"/>
        </w:rPr>
      </w:pPr>
      <w:r w:rsidRPr="004E13E9">
        <w:rPr>
          <w:rStyle w:val="eop"/>
          <w:rFonts w:ascii="Cambria" w:hAnsi="Cambria"/>
          <w:i/>
          <w:sz w:val="20"/>
          <w:szCs w:val="20"/>
        </w:rPr>
        <w:t>Pêcherie récréative</w:t>
      </w:r>
    </w:p>
    <w:p w14:paraId="15C1E252" w14:textId="77777777" w:rsidR="003928B6" w:rsidRPr="004E13E9" w:rsidRDefault="003928B6" w:rsidP="000B6944">
      <w:pPr>
        <w:pStyle w:val="paragraph"/>
        <w:spacing w:before="0" w:beforeAutospacing="0" w:after="0" w:afterAutospacing="0"/>
        <w:jc w:val="both"/>
        <w:textAlignment w:val="baseline"/>
        <w:rPr>
          <w:rStyle w:val="eop"/>
          <w:rFonts w:ascii="Cambria" w:hAnsi="Cambria"/>
          <w:sz w:val="20"/>
          <w:szCs w:val="20"/>
        </w:rPr>
      </w:pPr>
    </w:p>
    <w:p w14:paraId="4A141757" w14:textId="77777777" w:rsidR="003928B6" w:rsidRPr="004E13E9" w:rsidRDefault="003928B6" w:rsidP="000B6944">
      <w:pPr>
        <w:pStyle w:val="paragraph"/>
        <w:spacing w:before="0" w:beforeAutospacing="0" w:after="0" w:afterAutospacing="0"/>
        <w:jc w:val="both"/>
        <w:textAlignment w:val="baseline"/>
        <w:rPr>
          <w:rStyle w:val="normaltextrun"/>
          <w:rFonts w:ascii="Cambria" w:hAnsi="Cambria" w:cs="Segoe UI"/>
          <w:sz w:val="20"/>
          <w:szCs w:val="20"/>
        </w:rPr>
      </w:pPr>
      <w:bookmarkStart w:id="38" w:name="_Hlk190083009"/>
      <w:r w:rsidRPr="004E13E9">
        <w:rPr>
          <w:rFonts w:ascii="Cambria" w:hAnsi="Cambria"/>
          <w:sz w:val="20"/>
          <w:szCs w:val="20"/>
        </w:rPr>
        <w:t xml:space="preserve">En 2025, le Royaume-Uni a continué la pêche récréative avec capture et remise à l’eau (CRRF) du thon rouge de l’Est. </w:t>
      </w:r>
      <w:r w:rsidRPr="004E13E9">
        <w:rPr>
          <w:rStyle w:val="normaltextrun"/>
          <w:rFonts w:ascii="Cambria" w:hAnsi="Cambria"/>
          <w:sz w:val="20"/>
          <w:szCs w:val="20"/>
        </w:rPr>
        <w:t xml:space="preserve">L'intérêt pour le développement de la pêcherie récréative reste important : en 2024 et 2025, le nombre de demandes de permis de pêche récréative du thon rouge en Angleterre était beaucoup plus élevé que le nombre de permis mis à disposition. </w:t>
      </w:r>
    </w:p>
    <w:p w14:paraId="7FD03D3E" w14:textId="77777777" w:rsidR="003928B6" w:rsidRPr="004E13E9" w:rsidRDefault="003928B6" w:rsidP="000B6944">
      <w:pPr>
        <w:pStyle w:val="paragraph"/>
        <w:spacing w:before="0" w:beforeAutospacing="0" w:after="0" w:afterAutospacing="0"/>
        <w:jc w:val="both"/>
        <w:textAlignment w:val="baseline"/>
        <w:rPr>
          <w:rStyle w:val="normaltextrun"/>
          <w:rFonts w:ascii="Cambria" w:hAnsi="Cambria" w:cs="Segoe UI"/>
          <w:sz w:val="20"/>
          <w:szCs w:val="20"/>
        </w:rPr>
      </w:pPr>
    </w:p>
    <w:p w14:paraId="72CA6F27" w14:textId="77777777" w:rsidR="003928B6" w:rsidRPr="004E13E9" w:rsidRDefault="003928B6" w:rsidP="000B6944">
      <w:pPr>
        <w:pStyle w:val="paragraph"/>
        <w:spacing w:before="0" w:beforeAutospacing="0" w:after="0" w:afterAutospacing="0"/>
        <w:jc w:val="both"/>
        <w:textAlignment w:val="baseline"/>
        <w:rPr>
          <w:rFonts w:ascii="Cambria" w:hAnsi="Cambria"/>
          <w:sz w:val="20"/>
          <w:szCs w:val="20"/>
        </w:rPr>
      </w:pPr>
      <w:r w:rsidRPr="004E13E9">
        <w:rPr>
          <w:rStyle w:val="normaltextrun"/>
          <w:rFonts w:ascii="Cambria" w:hAnsi="Cambria"/>
          <w:sz w:val="20"/>
          <w:szCs w:val="20"/>
        </w:rPr>
        <w:t xml:space="preserve">En 2025, le niveau d'activité de pêche et le taux de mortalité déclaré étaient nettement inférieurs aux prévisions, ce qui a conduit à une utilisation très limitée du quota. En 2025, 14 cas de mortalité ont été signalés dans la pêcherie récréative, ce qui équivaut à environ 1,75 t. </w:t>
      </w:r>
      <w:r w:rsidRPr="004E13E9">
        <w:rPr>
          <w:rFonts w:ascii="Cambria" w:hAnsi="Cambria"/>
          <w:sz w:val="20"/>
          <w:szCs w:val="20"/>
        </w:rPr>
        <w:t xml:space="preserve">Les données relatives à la taille/au poids des spécimens, à la CPUE et </w:t>
      </w:r>
      <w:proofErr w:type="gramStart"/>
      <w:r w:rsidRPr="004E13E9">
        <w:rPr>
          <w:rFonts w:ascii="Cambria" w:hAnsi="Cambria"/>
          <w:sz w:val="20"/>
          <w:szCs w:val="20"/>
        </w:rPr>
        <w:t>à la mortalité recueillies</w:t>
      </w:r>
      <w:proofErr w:type="gramEnd"/>
      <w:r w:rsidRPr="004E13E9">
        <w:rPr>
          <w:rFonts w:ascii="Cambria" w:hAnsi="Cambria"/>
          <w:sz w:val="20"/>
          <w:szCs w:val="20"/>
        </w:rPr>
        <w:t xml:space="preserve"> dans le cadre de la pêcherie récréative de 2025 seront mises à la disposition de l’ICCAT. </w:t>
      </w:r>
    </w:p>
    <w:p w14:paraId="5B172048" w14:textId="77777777" w:rsidR="003928B6" w:rsidRPr="004E13E9" w:rsidRDefault="003928B6" w:rsidP="000B6944">
      <w:pPr>
        <w:pStyle w:val="paragraph"/>
        <w:spacing w:before="0" w:beforeAutospacing="0" w:after="0" w:afterAutospacing="0"/>
        <w:jc w:val="both"/>
        <w:textAlignment w:val="baseline"/>
        <w:rPr>
          <w:rFonts w:ascii="Cambria" w:hAnsi="Cambria"/>
          <w:sz w:val="20"/>
          <w:szCs w:val="20"/>
        </w:rPr>
      </w:pPr>
    </w:p>
    <w:p w14:paraId="213E4067" w14:textId="77777777" w:rsidR="003928B6" w:rsidRPr="004E13E9" w:rsidRDefault="003928B6" w:rsidP="000B6944">
      <w:pPr>
        <w:pStyle w:val="paragraph"/>
        <w:spacing w:before="0" w:beforeAutospacing="0" w:after="0" w:afterAutospacing="0"/>
        <w:jc w:val="both"/>
        <w:textAlignment w:val="baseline"/>
        <w:rPr>
          <w:rFonts w:ascii="Cambria" w:hAnsi="Cambria"/>
          <w:sz w:val="20"/>
          <w:szCs w:val="20"/>
        </w:rPr>
      </w:pPr>
      <w:r w:rsidRPr="004E13E9">
        <w:rPr>
          <w:rStyle w:val="eop"/>
          <w:rFonts w:ascii="Cambria" w:hAnsi="Cambria"/>
          <w:sz w:val="20"/>
          <w:szCs w:val="20"/>
        </w:rPr>
        <w:t>Le Royaume-Uni a l'intention d'étendre ses pêcheries récréatives de manière progressive au cours du cycle de gestion/TAC 2026-2028.</w:t>
      </w:r>
      <w:r w:rsidRPr="004E13E9">
        <w:rPr>
          <w:rFonts w:ascii="Cambria" w:hAnsi="Cambria"/>
          <w:sz w:val="20"/>
          <w:szCs w:val="20"/>
        </w:rPr>
        <w:t xml:space="preserve"> Pour 2026, le Royaume-Uni augmentera la limite maximale du nombre de permis récréatifs disponibles, qui passeront de 185 à 230. Il s'agit notamment des permis qui seront délivrés par Jersey et Guernesey ainsi que par le reste du Royaume-Uni. Jersey a l'intention d'étendre sa pêcherie récréative en 2026 en autorisant les navires récréatifs à participer ainsi que les bateaux affrétés. À l'issue du processus d’adhésion, Guernesey a également l'intention d'ouvrir une petite pêcherie récréative de thon rouge de l’Est. Les deux seront comptabilisées dans le nombre total de permis de navires britanniques à délivrer et toute mortalité accidentelle sera décomptée du quota de thon rouge de l’Est du Royaume-Uni.  </w:t>
      </w:r>
    </w:p>
    <w:p w14:paraId="6C396584" w14:textId="77777777" w:rsidR="003928B6" w:rsidRPr="004E13E9" w:rsidRDefault="003928B6" w:rsidP="000B6944">
      <w:pPr>
        <w:pStyle w:val="paragraph"/>
        <w:spacing w:before="0" w:beforeAutospacing="0" w:after="0" w:afterAutospacing="0"/>
        <w:jc w:val="both"/>
        <w:textAlignment w:val="baseline"/>
        <w:rPr>
          <w:rFonts w:ascii="Cambria" w:hAnsi="Cambria"/>
          <w:sz w:val="20"/>
          <w:szCs w:val="20"/>
        </w:rPr>
      </w:pPr>
    </w:p>
    <w:p w14:paraId="70F85856" w14:textId="77777777" w:rsidR="003928B6" w:rsidRPr="004E13E9" w:rsidRDefault="003928B6" w:rsidP="000B6944">
      <w:pPr>
        <w:pStyle w:val="paragraph"/>
        <w:widowControl w:val="0"/>
        <w:spacing w:before="0" w:beforeAutospacing="0" w:after="0" w:afterAutospacing="0"/>
        <w:jc w:val="both"/>
        <w:rPr>
          <w:rFonts w:ascii="Cambria" w:hAnsi="Cambria"/>
          <w:sz w:val="20"/>
          <w:szCs w:val="20"/>
        </w:rPr>
      </w:pPr>
      <w:r w:rsidRPr="004E13E9">
        <w:rPr>
          <w:rFonts w:ascii="Cambria" w:hAnsi="Cambria"/>
          <w:sz w:val="20"/>
          <w:szCs w:val="20"/>
        </w:rPr>
        <w:t>Le Royaume-Uni allouera 20 t de son quota pour couvrir les mortalités accidentelles estimées. Le principal mécanisme permettant de s'assurer que le quota n’est pas dépassé consiste à limiter le nombre de permis délivrés. Les autorités de gestion des pêcheries contrôlent l'utilisation des quotas sur une base hebdomadaire et ont le pouvoir de modifier les conditions des permis ou de fermer la pêcherie plus tôt si le quota risque d'être dépassé. La modélisation de la pêcherie a été utilisée pour déterminer la quantité moyenne de quota qui pourrait être utilisée par chaque détenteur de permis. Le modèle a été alimenté par les données de la CRRF anglaise pour le thon rouge en 2024 et 2025 et par l'expertise des scientifiques, des régulateurs et du secteur de la pêche récréative. Le modèle est basé sur les hypothèses suivantes : </w:t>
      </w:r>
    </w:p>
    <w:p w14:paraId="0261BDED" w14:textId="77777777" w:rsidR="003928B6" w:rsidRPr="004E13E9" w:rsidRDefault="003928B6" w:rsidP="000B6944">
      <w:pPr>
        <w:pStyle w:val="paragraph"/>
        <w:widowControl w:val="0"/>
        <w:spacing w:before="0" w:beforeAutospacing="0" w:after="0" w:afterAutospacing="0"/>
        <w:jc w:val="both"/>
        <w:rPr>
          <w:rFonts w:ascii="Cambria" w:hAnsi="Cambria"/>
          <w:sz w:val="20"/>
          <w:szCs w:val="20"/>
          <w:lang w:bidi="fr-FR"/>
        </w:rPr>
      </w:pPr>
    </w:p>
    <w:p w14:paraId="7ABFE91D" w14:textId="77777777" w:rsidR="003928B6" w:rsidRPr="004E13E9" w:rsidRDefault="003928B6" w:rsidP="00487A5C">
      <w:pPr>
        <w:pStyle w:val="paragraph"/>
        <w:widowControl w:val="0"/>
        <w:numPr>
          <w:ilvl w:val="0"/>
          <w:numId w:val="54"/>
        </w:numPr>
        <w:spacing w:before="0" w:beforeAutospacing="0" w:after="0" w:afterAutospacing="0"/>
        <w:jc w:val="both"/>
        <w:rPr>
          <w:rFonts w:ascii="Cambria" w:hAnsi="Cambria"/>
          <w:sz w:val="20"/>
          <w:szCs w:val="20"/>
        </w:rPr>
      </w:pPr>
      <w:r w:rsidRPr="004E13E9">
        <w:rPr>
          <w:rFonts w:ascii="Cambria" w:hAnsi="Cambria"/>
          <w:sz w:val="20"/>
          <w:szCs w:val="20"/>
        </w:rPr>
        <w:t>Poids moyen du thon rouge capturé </w:t>
      </w:r>
    </w:p>
    <w:p w14:paraId="2F5EEA56" w14:textId="77777777" w:rsidR="003928B6" w:rsidRPr="004E13E9" w:rsidRDefault="003928B6" w:rsidP="00487A5C">
      <w:pPr>
        <w:pStyle w:val="paragraph"/>
        <w:widowControl w:val="0"/>
        <w:numPr>
          <w:ilvl w:val="0"/>
          <w:numId w:val="54"/>
        </w:numPr>
        <w:spacing w:before="0" w:beforeAutospacing="0" w:after="0" w:afterAutospacing="0"/>
        <w:jc w:val="both"/>
        <w:rPr>
          <w:rFonts w:ascii="Cambria" w:hAnsi="Cambria"/>
          <w:sz w:val="20"/>
          <w:szCs w:val="20"/>
        </w:rPr>
      </w:pPr>
      <w:r w:rsidRPr="004E13E9">
        <w:rPr>
          <w:rFonts w:ascii="Cambria" w:hAnsi="Cambria"/>
          <w:sz w:val="20"/>
          <w:szCs w:val="20"/>
        </w:rPr>
        <w:t>Taux de mortalité global des captures de thon rouge </w:t>
      </w:r>
    </w:p>
    <w:p w14:paraId="6750A5E7" w14:textId="77777777" w:rsidR="003928B6" w:rsidRPr="004E13E9" w:rsidRDefault="003928B6" w:rsidP="00487A5C">
      <w:pPr>
        <w:pStyle w:val="paragraph"/>
        <w:widowControl w:val="0"/>
        <w:numPr>
          <w:ilvl w:val="0"/>
          <w:numId w:val="54"/>
        </w:numPr>
        <w:spacing w:before="0" w:beforeAutospacing="0" w:after="0" w:afterAutospacing="0"/>
        <w:jc w:val="both"/>
        <w:rPr>
          <w:rFonts w:ascii="Cambria" w:hAnsi="Cambria"/>
          <w:sz w:val="20"/>
          <w:szCs w:val="20"/>
        </w:rPr>
      </w:pPr>
      <w:r w:rsidRPr="004E13E9">
        <w:rPr>
          <w:rFonts w:ascii="Cambria" w:hAnsi="Cambria"/>
          <w:sz w:val="20"/>
          <w:szCs w:val="20"/>
        </w:rPr>
        <w:t>Effort de pêche prévu</w:t>
      </w:r>
    </w:p>
    <w:p w14:paraId="1BF985C2" w14:textId="77777777" w:rsidR="003928B6" w:rsidRPr="004E13E9" w:rsidRDefault="003928B6" w:rsidP="000B6944">
      <w:pPr>
        <w:pStyle w:val="paragraph"/>
        <w:spacing w:before="0" w:beforeAutospacing="0" w:after="0" w:afterAutospacing="0"/>
        <w:jc w:val="both"/>
        <w:rPr>
          <w:rFonts w:ascii="Cambria" w:hAnsi="Cambria"/>
          <w:sz w:val="20"/>
          <w:szCs w:val="20"/>
          <w:lang w:bidi="fr-FR"/>
        </w:rPr>
      </w:pPr>
    </w:p>
    <w:p w14:paraId="4E8D1A19" w14:textId="77777777" w:rsidR="003928B6" w:rsidRPr="004E13E9" w:rsidRDefault="003928B6" w:rsidP="000B6944">
      <w:pPr>
        <w:pStyle w:val="paragraph"/>
        <w:spacing w:before="0" w:beforeAutospacing="0" w:after="0" w:afterAutospacing="0"/>
        <w:jc w:val="both"/>
        <w:rPr>
          <w:rFonts w:ascii="Cambria" w:hAnsi="Cambria"/>
          <w:sz w:val="20"/>
          <w:szCs w:val="20"/>
        </w:rPr>
      </w:pPr>
      <w:r w:rsidRPr="004E13E9">
        <w:rPr>
          <w:rFonts w:ascii="Cambria" w:hAnsi="Cambria"/>
          <w:sz w:val="20"/>
          <w:szCs w:val="20"/>
        </w:rPr>
        <w:t>Ces chiffres sont utilisés pour calculer le volume moyen de mortalité du thon rouge que chaque permis est susceptible de générer. </w:t>
      </w:r>
      <w:bookmarkEnd w:id="38"/>
      <w:r w:rsidRPr="004E13E9">
        <w:rPr>
          <w:rFonts w:ascii="Cambria" w:hAnsi="Cambria"/>
          <w:sz w:val="20"/>
          <w:szCs w:val="20"/>
        </w:rPr>
        <w:t xml:space="preserve"> </w:t>
      </w:r>
    </w:p>
    <w:p w14:paraId="162F1AE2" w14:textId="77777777" w:rsidR="003928B6" w:rsidRPr="004E13E9" w:rsidRDefault="003928B6" w:rsidP="000B6944">
      <w:pPr>
        <w:pStyle w:val="paragraph"/>
        <w:spacing w:before="0" w:beforeAutospacing="0" w:after="0" w:afterAutospacing="0"/>
        <w:jc w:val="both"/>
        <w:textAlignment w:val="baseline"/>
        <w:rPr>
          <w:rFonts w:ascii="Cambria" w:hAnsi="Cambria"/>
          <w:sz w:val="20"/>
          <w:szCs w:val="20"/>
        </w:rPr>
      </w:pPr>
    </w:p>
    <w:p w14:paraId="282715DD" w14:textId="77777777" w:rsidR="003928B6" w:rsidRPr="004E13E9" w:rsidRDefault="003928B6" w:rsidP="000B6944">
      <w:pPr>
        <w:pStyle w:val="paragraph"/>
        <w:spacing w:before="0" w:beforeAutospacing="0" w:after="0" w:afterAutospacing="0"/>
        <w:jc w:val="both"/>
        <w:textAlignment w:val="baseline"/>
        <w:rPr>
          <w:rStyle w:val="eop"/>
          <w:rFonts w:ascii="Cambria" w:hAnsi="Cambria" w:cs="Segoe UI"/>
          <w:i/>
          <w:iCs/>
          <w:sz w:val="20"/>
          <w:szCs w:val="20"/>
        </w:rPr>
      </w:pPr>
      <w:r w:rsidRPr="004E13E9">
        <w:rPr>
          <w:rStyle w:val="normaltextrun"/>
          <w:rFonts w:ascii="Cambria" w:hAnsi="Cambria"/>
          <w:i/>
          <w:sz w:val="20"/>
          <w:szCs w:val="20"/>
        </w:rPr>
        <w:t>Programmes de marquage électronique</w:t>
      </w:r>
      <w:r w:rsidRPr="004E13E9">
        <w:rPr>
          <w:rStyle w:val="eop"/>
          <w:rFonts w:ascii="Cambria" w:hAnsi="Cambria"/>
          <w:i/>
          <w:sz w:val="20"/>
          <w:szCs w:val="20"/>
        </w:rPr>
        <w:t> </w:t>
      </w:r>
    </w:p>
    <w:p w14:paraId="7E7E76E1" w14:textId="77777777" w:rsidR="003928B6" w:rsidRPr="004E13E9" w:rsidRDefault="003928B6" w:rsidP="000B6944">
      <w:pPr>
        <w:pStyle w:val="paragraph"/>
        <w:spacing w:before="0" w:beforeAutospacing="0" w:after="0" w:afterAutospacing="0"/>
        <w:jc w:val="both"/>
        <w:textAlignment w:val="baseline"/>
        <w:rPr>
          <w:rFonts w:ascii="Cambria" w:hAnsi="Cambria"/>
          <w:sz w:val="20"/>
          <w:szCs w:val="20"/>
        </w:rPr>
      </w:pPr>
    </w:p>
    <w:p w14:paraId="54A38D66" w14:textId="77777777" w:rsidR="003928B6" w:rsidRPr="004E13E9" w:rsidRDefault="003928B6" w:rsidP="000B6944">
      <w:pPr>
        <w:jc w:val="both"/>
        <w:textAlignment w:val="baseline"/>
        <w:rPr>
          <w:lang w:val="fr-FR"/>
        </w:rPr>
      </w:pPr>
      <w:r w:rsidRPr="004E13E9">
        <w:rPr>
          <w:rStyle w:val="normaltextrun"/>
          <w:lang w:val="fr-FR"/>
        </w:rPr>
        <w:t>En fonction du financement, le Royaume-Uni pourrait poursuivre ses programmes de marquage électronique en soutenant le GBYP (Programme de recherche sur le thon rouge englobant tout l’Atlantique), la mortalité étant couverte par la tolérance de mortalité pour la recherche plutôt que par le quota national. </w:t>
      </w:r>
      <w:r w:rsidRPr="004E13E9">
        <w:rPr>
          <w:rStyle w:val="eop"/>
          <w:lang w:val="fr-FR"/>
        </w:rPr>
        <w:t> </w:t>
      </w:r>
      <w:r w:rsidRPr="004E13E9">
        <w:rPr>
          <w:lang w:val="fr-FR"/>
        </w:rPr>
        <w:t xml:space="preserve">  </w:t>
      </w:r>
    </w:p>
    <w:p w14:paraId="21745F0B" w14:textId="77777777" w:rsidR="003928B6" w:rsidRPr="004E13E9" w:rsidRDefault="003928B6" w:rsidP="000B6944">
      <w:pPr>
        <w:jc w:val="both"/>
        <w:rPr>
          <w:lang w:val="fr-FR"/>
        </w:rPr>
      </w:pPr>
    </w:p>
    <w:p w14:paraId="086EEC6F" w14:textId="77777777" w:rsidR="003928B6" w:rsidRPr="004E13E9" w:rsidRDefault="003928B6" w:rsidP="000B6944">
      <w:pPr>
        <w:jc w:val="both"/>
        <w:rPr>
          <w:lang w:val="fr-FR"/>
        </w:rPr>
      </w:pPr>
      <w:r w:rsidRPr="004E13E9">
        <w:rPr>
          <w:lang w:val="fr-FR"/>
        </w:rPr>
        <w:t xml:space="preserve">La science de la pêche est une question décentralisée au Royaume-Uni et si une administration de la pêche britannique exprime l'intention de mener une étude scientifique qui est substantiellement différente de celles décrites ci-dessus, le Royaume-Uni en informera l’ICCAT, si nécessaire, en modifiant son plan de pêche. </w:t>
      </w:r>
    </w:p>
    <w:p w14:paraId="40369F1E" w14:textId="77777777" w:rsidR="000B6944" w:rsidRPr="004E13E9" w:rsidRDefault="000B6944">
      <w:pPr>
        <w:rPr>
          <w:b/>
          <w:i/>
          <w:lang w:val="fr-FR"/>
        </w:rPr>
      </w:pPr>
      <w:r w:rsidRPr="004E13E9">
        <w:rPr>
          <w:b/>
          <w:i/>
          <w:lang w:val="fr-FR"/>
        </w:rPr>
        <w:br w:type="page"/>
      </w:r>
    </w:p>
    <w:p w14:paraId="22712416" w14:textId="5B936280" w:rsidR="003928B6" w:rsidRPr="004E13E9" w:rsidRDefault="003928B6" w:rsidP="000B6944">
      <w:pPr>
        <w:jc w:val="both"/>
        <w:rPr>
          <w:b/>
          <w:bCs/>
          <w:i/>
          <w:iCs/>
          <w:lang w:val="fr-FR"/>
        </w:rPr>
      </w:pPr>
      <w:r w:rsidRPr="004E13E9">
        <w:rPr>
          <w:b/>
          <w:i/>
          <w:lang w:val="fr-FR"/>
        </w:rPr>
        <w:t>1 b) Report (paragraphe 6)</w:t>
      </w:r>
    </w:p>
    <w:p w14:paraId="69821796" w14:textId="77777777" w:rsidR="003928B6" w:rsidRPr="004E13E9" w:rsidRDefault="003928B6" w:rsidP="000B6944">
      <w:pPr>
        <w:jc w:val="both"/>
        <w:rPr>
          <w:lang w:val="fr-FR"/>
        </w:rPr>
      </w:pPr>
    </w:p>
    <w:p w14:paraId="3ECFCD27" w14:textId="77777777" w:rsidR="003928B6" w:rsidRPr="004E13E9" w:rsidRDefault="003928B6" w:rsidP="000B6944">
      <w:pPr>
        <w:jc w:val="both"/>
        <w:rPr>
          <w:lang w:val="fr-FR"/>
        </w:rPr>
      </w:pPr>
      <w:r w:rsidRPr="004E13E9">
        <w:rPr>
          <w:lang w:val="fr-FR"/>
        </w:rPr>
        <w:t xml:space="preserve">Conformément au paragraphe 4 de la Rec. 25-04 de l'ICCAT, le quota du Royaume-Uni pour 2026 est de 230,56 t. En 2025, le Royaume-Uni a connu une sous-consommation de thon rouge de l’Est, 22,35 t de son quota initial n’ayant pas été pêchées. Conformément au paragraphe 6 de la Rec. 25-04, le Royaume-Uni souhaiterait reporter 12,6 t (20% de son quota initial) de 2025 à 2026. Le quota ajusté pour le Royaume-Uni en 2025 serait donc de 243,16 t. </w:t>
      </w:r>
    </w:p>
    <w:p w14:paraId="44FE2E14" w14:textId="77777777" w:rsidR="003928B6" w:rsidRPr="004E13E9" w:rsidRDefault="003928B6" w:rsidP="000B6944">
      <w:pPr>
        <w:jc w:val="both"/>
        <w:rPr>
          <w:iCs/>
          <w:lang w:val="fr-FR"/>
        </w:rPr>
      </w:pPr>
    </w:p>
    <w:p w14:paraId="663A9818" w14:textId="77777777" w:rsidR="003928B6" w:rsidRPr="004E13E9" w:rsidRDefault="003928B6" w:rsidP="000B6944">
      <w:pPr>
        <w:jc w:val="both"/>
        <w:rPr>
          <w:b/>
          <w:bCs/>
          <w:i/>
          <w:lang w:val="fr-FR"/>
        </w:rPr>
      </w:pPr>
      <w:r w:rsidRPr="004E13E9">
        <w:rPr>
          <w:b/>
          <w:i/>
          <w:lang w:val="fr-FR"/>
        </w:rPr>
        <w:t>1 c) Destination de la capture</w:t>
      </w:r>
    </w:p>
    <w:p w14:paraId="70E9C0F5" w14:textId="77777777" w:rsidR="003928B6" w:rsidRPr="004E13E9" w:rsidRDefault="003928B6" w:rsidP="000B6944">
      <w:pPr>
        <w:jc w:val="both"/>
        <w:rPr>
          <w:iCs/>
          <w:lang w:val="fr-FR"/>
        </w:rPr>
      </w:pPr>
    </w:p>
    <w:p w14:paraId="529C7AF4" w14:textId="77777777" w:rsidR="003928B6" w:rsidRPr="004E13E9" w:rsidRDefault="003928B6" w:rsidP="000B6944">
      <w:pPr>
        <w:jc w:val="both"/>
        <w:rPr>
          <w:lang w:val="fr-FR"/>
        </w:rPr>
      </w:pPr>
      <w:r w:rsidRPr="004E13E9">
        <w:rPr>
          <w:lang w:val="fr-FR"/>
        </w:rPr>
        <w:t xml:space="preserve">Toutes les captures commerciales de thon rouge de l’Est du Royaume-Uni qui dépassent la taille minimale de référence pour la conservation seront débarquées. Le Royaume-Uni n'a aucune activité d'élevage de thon rouge. </w:t>
      </w:r>
    </w:p>
    <w:p w14:paraId="5825B789" w14:textId="77777777" w:rsidR="003928B6" w:rsidRPr="004E13E9" w:rsidRDefault="003928B6" w:rsidP="000B6944">
      <w:pPr>
        <w:jc w:val="both"/>
        <w:rPr>
          <w:iCs/>
          <w:lang w:val="fr-FR"/>
        </w:rPr>
      </w:pPr>
    </w:p>
    <w:p w14:paraId="39FED4E4" w14:textId="77777777" w:rsidR="003928B6" w:rsidRPr="004E13E9" w:rsidRDefault="003928B6" w:rsidP="000B6944">
      <w:pPr>
        <w:jc w:val="both"/>
        <w:rPr>
          <w:i/>
        </w:rPr>
      </w:pPr>
      <w:r w:rsidRPr="004E13E9">
        <w:rPr>
          <w:b/>
          <w:i/>
        </w:rPr>
        <w:t>1 d)</w:t>
      </w:r>
    </w:p>
    <w:p w14:paraId="003A0BAB" w14:textId="77777777" w:rsidR="003928B6" w:rsidRPr="004E13E9" w:rsidRDefault="003928B6" w:rsidP="003928B6">
      <w:pPr>
        <w:rPr>
          <w:i/>
        </w:rPr>
      </w:pPr>
    </w:p>
    <w:tbl>
      <w:tblPr>
        <w:tblStyle w:val="TableGrid"/>
        <w:tblW w:w="9060" w:type="dxa"/>
        <w:tblLook w:val="04A0" w:firstRow="1" w:lastRow="0" w:firstColumn="1" w:lastColumn="0" w:noHBand="0" w:noVBand="1"/>
      </w:tblPr>
      <w:tblGrid>
        <w:gridCol w:w="465"/>
        <w:gridCol w:w="2082"/>
        <w:gridCol w:w="2977"/>
        <w:gridCol w:w="2268"/>
        <w:gridCol w:w="1268"/>
      </w:tblGrid>
      <w:tr w:rsidR="000A7B95" w:rsidRPr="004E13E9" w14:paraId="32F43435" w14:textId="77777777" w:rsidTr="000B6944">
        <w:trPr>
          <w:tblHeader/>
        </w:trPr>
        <w:tc>
          <w:tcPr>
            <w:tcW w:w="465" w:type="dxa"/>
          </w:tcPr>
          <w:p w14:paraId="4DDE549F" w14:textId="77777777" w:rsidR="000A7B95" w:rsidRPr="004E13E9" w:rsidRDefault="000A7B95" w:rsidP="000A7B95">
            <w:pPr>
              <w:rPr>
                <w:rFonts w:ascii="Cambria" w:hAnsi="Cambria"/>
                <w:color w:val="auto"/>
                <w:sz w:val="20"/>
                <w:szCs w:val="20"/>
              </w:rPr>
            </w:pPr>
          </w:p>
        </w:tc>
        <w:tc>
          <w:tcPr>
            <w:tcW w:w="2082" w:type="dxa"/>
            <w:vAlign w:val="center"/>
          </w:tcPr>
          <w:p w14:paraId="5AF29570" w14:textId="004A408A" w:rsidR="000A7B95" w:rsidRPr="004E13E9" w:rsidRDefault="000A7B95" w:rsidP="000A7B95">
            <w:pPr>
              <w:jc w:val="center"/>
              <w:rPr>
                <w:rFonts w:ascii="Cambria" w:hAnsi="Cambria"/>
                <w:i/>
                <w:color w:val="auto"/>
                <w:sz w:val="20"/>
                <w:szCs w:val="20"/>
              </w:rPr>
            </w:pPr>
            <w:r w:rsidRPr="004E13E9">
              <w:rPr>
                <w:rFonts w:ascii="Cambria" w:hAnsi="Cambria"/>
                <w:i/>
                <w:sz w:val="20"/>
                <w:szCs w:val="20"/>
              </w:rPr>
              <w:t xml:space="preserve">Exigence de l’ICCAT (en vertu de la </w:t>
            </w:r>
            <w:hyperlink r:id="rId208" w:history="1">
              <w:r w:rsidRPr="004E13E9">
                <w:rPr>
                  <w:rFonts w:ascii="Cambria" w:hAnsi="Cambria"/>
                  <w:i/>
                  <w:color w:val="0563C1"/>
                  <w:sz w:val="20"/>
                  <w:szCs w:val="20"/>
                </w:rPr>
                <w:t>Rec. 25-04</w:t>
              </w:r>
            </w:hyperlink>
            <w:r w:rsidRPr="004E13E9">
              <w:rPr>
                <w:rFonts w:ascii="Cambria" w:hAnsi="Cambria"/>
                <w:i/>
                <w:sz w:val="20"/>
                <w:szCs w:val="20"/>
              </w:rPr>
              <w:t>)</w:t>
            </w:r>
          </w:p>
        </w:tc>
        <w:tc>
          <w:tcPr>
            <w:tcW w:w="2977" w:type="dxa"/>
            <w:vAlign w:val="center"/>
          </w:tcPr>
          <w:p w14:paraId="275BBD3C" w14:textId="3775C0FE" w:rsidR="000A7B95" w:rsidRPr="004E13E9" w:rsidRDefault="000A7B95" w:rsidP="000A7B95">
            <w:pPr>
              <w:jc w:val="center"/>
              <w:rPr>
                <w:rFonts w:ascii="Cambria" w:hAnsi="Cambria"/>
                <w:i/>
                <w:color w:val="auto"/>
                <w:sz w:val="20"/>
                <w:szCs w:val="20"/>
              </w:rPr>
            </w:pPr>
            <w:r w:rsidRPr="004E13E9">
              <w:rPr>
                <w:rFonts w:ascii="Cambria" w:hAnsi="Cambria"/>
                <w:i/>
                <w:sz w:val="20"/>
                <w:szCs w:val="20"/>
              </w:rPr>
              <w:t>Explication des mesures prises par la CPC à des fins de mise en œuvre</w:t>
            </w:r>
          </w:p>
        </w:tc>
        <w:tc>
          <w:tcPr>
            <w:tcW w:w="2268" w:type="dxa"/>
            <w:vAlign w:val="center"/>
          </w:tcPr>
          <w:p w14:paraId="05776E95" w14:textId="4246F153" w:rsidR="000A7B95" w:rsidRPr="004E13E9" w:rsidRDefault="000A7B95" w:rsidP="000A7B95">
            <w:pPr>
              <w:jc w:val="center"/>
              <w:rPr>
                <w:rFonts w:ascii="Cambria" w:hAnsi="Cambria"/>
                <w:i/>
                <w:color w:val="auto"/>
                <w:sz w:val="20"/>
                <w:szCs w:val="20"/>
              </w:rPr>
            </w:pPr>
            <w:r w:rsidRPr="004E13E9">
              <w:rPr>
                <w:rFonts w:ascii="Cambria" w:hAnsi="Cambria"/>
                <w:i/>
                <w:sz w:val="20"/>
                <w:szCs w:val="20"/>
              </w:rPr>
              <w:t>Lois ou réglementations nationales pertinentes (le cas échéant)</w:t>
            </w:r>
          </w:p>
        </w:tc>
        <w:tc>
          <w:tcPr>
            <w:tcW w:w="1268" w:type="dxa"/>
            <w:vAlign w:val="center"/>
          </w:tcPr>
          <w:p w14:paraId="51D9FE0E" w14:textId="77777777" w:rsidR="000A7B95" w:rsidRPr="004E13E9" w:rsidRDefault="000A7B95" w:rsidP="000A7B95">
            <w:pPr>
              <w:jc w:val="center"/>
              <w:rPr>
                <w:rFonts w:ascii="Cambria" w:hAnsi="Cambria"/>
                <w:i/>
                <w:color w:val="auto"/>
                <w:sz w:val="20"/>
                <w:szCs w:val="20"/>
              </w:rPr>
            </w:pPr>
            <w:r w:rsidRPr="004E13E9">
              <w:rPr>
                <w:rFonts w:ascii="Cambria" w:hAnsi="Cambria"/>
                <w:i/>
                <w:color w:val="auto"/>
                <w:sz w:val="20"/>
                <w:szCs w:val="20"/>
              </w:rPr>
              <w:t>Note</w:t>
            </w:r>
          </w:p>
        </w:tc>
      </w:tr>
      <w:tr w:rsidR="003928B6" w:rsidRPr="004E13E9" w14:paraId="7CE44F46" w14:textId="77777777" w:rsidTr="000B6944">
        <w:tc>
          <w:tcPr>
            <w:tcW w:w="465" w:type="dxa"/>
          </w:tcPr>
          <w:p w14:paraId="5D8395EA" w14:textId="77777777" w:rsidR="003928B6" w:rsidRPr="004E13E9" w:rsidRDefault="003928B6" w:rsidP="00D47E5E">
            <w:pPr>
              <w:rPr>
                <w:rFonts w:ascii="Cambria" w:hAnsi="Cambria"/>
                <w:b/>
                <w:color w:val="auto"/>
                <w:sz w:val="20"/>
                <w:szCs w:val="20"/>
              </w:rPr>
            </w:pPr>
            <w:r w:rsidRPr="004E13E9">
              <w:rPr>
                <w:rFonts w:ascii="Cambria" w:hAnsi="Cambria"/>
                <w:b/>
                <w:color w:val="auto"/>
                <w:sz w:val="20"/>
                <w:szCs w:val="20"/>
              </w:rPr>
              <w:t>1</w:t>
            </w:r>
          </w:p>
        </w:tc>
        <w:tc>
          <w:tcPr>
            <w:tcW w:w="2082" w:type="dxa"/>
          </w:tcPr>
          <w:p w14:paraId="1C1B28D9" w14:textId="77777777" w:rsidR="003928B6" w:rsidRPr="004E13E9" w:rsidRDefault="003928B6" w:rsidP="000A7B95">
            <w:pPr>
              <w:jc w:val="both"/>
              <w:rPr>
                <w:rFonts w:ascii="Cambria" w:hAnsi="Cambria"/>
                <w:b/>
                <w:color w:val="auto"/>
                <w:sz w:val="20"/>
                <w:szCs w:val="20"/>
              </w:rPr>
            </w:pPr>
            <w:r w:rsidRPr="004E13E9">
              <w:rPr>
                <w:rFonts w:ascii="Cambria" w:hAnsi="Cambria"/>
                <w:b/>
                <w:color w:val="auto"/>
                <w:sz w:val="20"/>
                <w:szCs w:val="20"/>
              </w:rPr>
              <w:t xml:space="preserve">Enregistrement et déclaration de la capture </w:t>
            </w:r>
          </w:p>
          <w:p w14:paraId="58FAC374" w14:textId="77777777" w:rsidR="003928B6" w:rsidRPr="004E13E9" w:rsidRDefault="003928B6" w:rsidP="000A7B95">
            <w:pPr>
              <w:jc w:val="both"/>
              <w:rPr>
                <w:rFonts w:ascii="Cambria" w:hAnsi="Cambria"/>
                <w:b/>
                <w:color w:val="auto"/>
                <w:sz w:val="20"/>
                <w:szCs w:val="20"/>
              </w:rPr>
            </w:pPr>
            <w:r w:rsidRPr="004E13E9">
              <w:rPr>
                <w:rFonts w:ascii="Cambria" w:hAnsi="Cambria"/>
                <w:b/>
                <w:color w:val="auto"/>
                <w:sz w:val="20"/>
                <w:szCs w:val="20"/>
              </w:rPr>
              <w:t>(paragr. 74-88)</w:t>
            </w:r>
          </w:p>
        </w:tc>
        <w:tc>
          <w:tcPr>
            <w:tcW w:w="2977" w:type="dxa"/>
          </w:tcPr>
          <w:p w14:paraId="272922F1" w14:textId="77777777" w:rsidR="003928B6" w:rsidRPr="004E13E9" w:rsidRDefault="003928B6" w:rsidP="000A7B95">
            <w:pPr>
              <w:pStyle w:val="paragraph"/>
              <w:spacing w:before="0" w:beforeAutospacing="0" w:after="0" w:afterAutospacing="0"/>
              <w:jc w:val="both"/>
              <w:textAlignment w:val="baseline"/>
              <w:rPr>
                <w:rStyle w:val="eop"/>
                <w:rFonts w:ascii="Cambria" w:hAnsi="Cambria" w:cs="Segoe UI"/>
                <w:i/>
                <w:iCs/>
                <w:sz w:val="20"/>
                <w:szCs w:val="20"/>
              </w:rPr>
            </w:pPr>
            <w:r w:rsidRPr="004E13E9">
              <w:rPr>
                <w:rStyle w:val="normaltextrun"/>
                <w:rFonts w:ascii="Cambria" w:hAnsi="Cambria"/>
                <w:i/>
                <w:sz w:val="20"/>
                <w:szCs w:val="20"/>
              </w:rPr>
              <w:t>Pêcherie commerciale et prises accessoires</w:t>
            </w:r>
            <w:r w:rsidRPr="004E13E9">
              <w:rPr>
                <w:rStyle w:val="eop"/>
                <w:rFonts w:ascii="Cambria" w:hAnsi="Cambria"/>
                <w:i/>
                <w:sz w:val="20"/>
                <w:szCs w:val="20"/>
              </w:rPr>
              <w:t> </w:t>
            </w:r>
          </w:p>
          <w:p w14:paraId="702E3D4E" w14:textId="77777777" w:rsidR="003928B6" w:rsidRPr="004E13E9" w:rsidRDefault="003928B6" w:rsidP="000A7B95">
            <w:pPr>
              <w:pStyle w:val="paragraph"/>
              <w:spacing w:before="0" w:beforeAutospacing="0" w:after="0" w:afterAutospacing="0"/>
              <w:jc w:val="both"/>
              <w:textAlignment w:val="baseline"/>
              <w:rPr>
                <w:rStyle w:val="normaltextrun"/>
                <w:rFonts w:ascii="Cambria" w:hAnsi="Cambria" w:cs="Segoe UI"/>
                <w:sz w:val="20"/>
                <w:szCs w:val="20"/>
              </w:rPr>
            </w:pPr>
            <w:r w:rsidRPr="004E13E9">
              <w:rPr>
                <w:rStyle w:val="normaltextrun"/>
                <w:rFonts w:ascii="Cambria" w:hAnsi="Cambria"/>
                <w:sz w:val="20"/>
                <w:szCs w:val="20"/>
              </w:rPr>
              <w:t xml:space="preserve">Tous les navires commerciaux autorisés à cibler le thon rouge de l’Est devront consigner toutes leurs captures dans un carnet de pêche. Ces carnets de pêche répondront aux exigences énoncées à l'annexe 2 de la Rec. 25-04. </w:t>
            </w:r>
          </w:p>
          <w:p w14:paraId="38F2DDA9" w14:textId="77777777" w:rsidR="003928B6" w:rsidRPr="004E13E9" w:rsidRDefault="003928B6" w:rsidP="000A7B95">
            <w:pPr>
              <w:pStyle w:val="paragraph"/>
              <w:spacing w:before="0" w:beforeAutospacing="0" w:after="0" w:afterAutospacing="0"/>
              <w:jc w:val="both"/>
              <w:textAlignment w:val="baseline"/>
              <w:rPr>
                <w:rStyle w:val="normaltextrun"/>
                <w:rFonts w:ascii="Cambria" w:hAnsi="Cambria" w:cs="Segoe UI"/>
                <w:sz w:val="20"/>
                <w:szCs w:val="20"/>
              </w:rPr>
            </w:pPr>
          </w:p>
          <w:p w14:paraId="582E6DD7" w14:textId="77777777" w:rsidR="003928B6" w:rsidRPr="004E13E9" w:rsidRDefault="003928B6" w:rsidP="000A7B95">
            <w:pPr>
              <w:pStyle w:val="paragraph"/>
              <w:spacing w:before="0" w:beforeAutospacing="0" w:after="0" w:afterAutospacing="0"/>
              <w:jc w:val="both"/>
              <w:textAlignment w:val="baseline"/>
              <w:rPr>
                <w:rStyle w:val="eop"/>
                <w:rFonts w:ascii="Cambria" w:eastAsia="Cambria" w:hAnsi="Cambria"/>
                <w:sz w:val="20"/>
                <w:szCs w:val="20"/>
              </w:rPr>
            </w:pPr>
            <w:r w:rsidRPr="004E13E9">
              <w:rPr>
                <w:rStyle w:val="normaltextrun"/>
                <w:rFonts w:ascii="Cambria" w:hAnsi="Cambria"/>
                <w:sz w:val="20"/>
                <w:szCs w:val="20"/>
              </w:rPr>
              <w:t xml:space="preserve">Tout navire qui capture un thon rouge de l’Est sera tenu d'alerter les autorités compétentes quatre heures avant l'arrivée au port ou, si cela est impossible pour des raisons pratiques, dès que possible. </w:t>
            </w:r>
          </w:p>
          <w:p w14:paraId="0838BBF5" w14:textId="77777777" w:rsidR="003928B6" w:rsidRPr="004E13E9" w:rsidRDefault="003928B6" w:rsidP="000A7B95">
            <w:pPr>
              <w:pStyle w:val="paragraph"/>
              <w:spacing w:before="0" w:beforeAutospacing="0" w:after="0" w:afterAutospacing="0"/>
              <w:jc w:val="both"/>
              <w:textAlignment w:val="baseline"/>
              <w:rPr>
                <w:rFonts w:ascii="Cambria" w:hAnsi="Cambria" w:cs="Segoe UI"/>
                <w:sz w:val="20"/>
                <w:szCs w:val="20"/>
              </w:rPr>
            </w:pPr>
            <w:r w:rsidRPr="004E13E9">
              <w:rPr>
                <w:rStyle w:val="eop"/>
                <w:rFonts w:ascii="Cambria" w:hAnsi="Cambria"/>
                <w:sz w:val="20"/>
                <w:szCs w:val="20"/>
              </w:rPr>
              <w:t>  </w:t>
            </w:r>
          </w:p>
          <w:p w14:paraId="038F5A3C" w14:textId="77777777" w:rsidR="003928B6" w:rsidRPr="004E13E9" w:rsidRDefault="003928B6" w:rsidP="000A7B95">
            <w:pPr>
              <w:pStyle w:val="paragraph"/>
              <w:spacing w:before="0" w:beforeAutospacing="0" w:after="0" w:afterAutospacing="0"/>
              <w:jc w:val="both"/>
              <w:rPr>
                <w:rStyle w:val="eop"/>
                <w:rFonts w:ascii="Cambria" w:hAnsi="Cambria"/>
                <w:sz w:val="20"/>
                <w:szCs w:val="20"/>
              </w:rPr>
            </w:pPr>
            <w:r w:rsidRPr="004E13E9">
              <w:rPr>
                <w:rStyle w:val="eop"/>
                <w:rFonts w:ascii="Cambria" w:hAnsi="Cambria"/>
                <w:sz w:val="20"/>
                <w:szCs w:val="20"/>
              </w:rPr>
              <w:t xml:space="preserve">Le Royaume-Uni soumettra des rapports bimensuels de capture de thon rouge de l’Est conformément au paragraphe 86 de la Rec. 25-04. </w:t>
            </w:r>
          </w:p>
          <w:p w14:paraId="2D855410" w14:textId="77777777" w:rsidR="003928B6" w:rsidRPr="004E13E9" w:rsidRDefault="003928B6" w:rsidP="000A7B95">
            <w:pPr>
              <w:pStyle w:val="paragraph"/>
              <w:spacing w:before="0" w:beforeAutospacing="0" w:after="0" w:afterAutospacing="0"/>
              <w:jc w:val="both"/>
              <w:rPr>
                <w:rStyle w:val="eop"/>
                <w:rFonts w:ascii="Cambria" w:hAnsi="Cambria"/>
                <w:sz w:val="20"/>
                <w:szCs w:val="20"/>
                <w:lang w:eastAsia="fr-FR"/>
              </w:rPr>
            </w:pPr>
          </w:p>
          <w:p w14:paraId="6EF6C05A" w14:textId="77777777" w:rsidR="003928B6" w:rsidRPr="004E13E9" w:rsidRDefault="003928B6" w:rsidP="000A7B95">
            <w:pPr>
              <w:pStyle w:val="paragraph"/>
              <w:spacing w:before="0" w:beforeAutospacing="0" w:after="0" w:afterAutospacing="0"/>
              <w:jc w:val="both"/>
              <w:textAlignment w:val="baseline"/>
              <w:rPr>
                <w:rStyle w:val="eop"/>
                <w:rFonts w:ascii="Cambria" w:hAnsi="Cambria" w:cs="Segoe UI"/>
                <w:i/>
                <w:iCs/>
                <w:sz w:val="20"/>
                <w:szCs w:val="20"/>
              </w:rPr>
            </w:pPr>
            <w:r w:rsidRPr="004E13E9">
              <w:rPr>
                <w:rStyle w:val="normaltextrun"/>
                <w:rFonts w:ascii="Cambria" w:hAnsi="Cambria"/>
                <w:i/>
                <w:sz w:val="20"/>
                <w:szCs w:val="20"/>
              </w:rPr>
              <w:t>Programme de marquage des captures et remise à l’eau</w:t>
            </w:r>
            <w:r w:rsidRPr="004E13E9">
              <w:rPr>
                <w:rStyle w:val="normaltextrun"/>
                <w:rFonts w:ascii="Cambria" w:hAnsi="Cambria"/>
                <w:b/>
                <w:i/>
                <w:sz w:val="20"/>
                <w:szCs w:val="20"/>
              </w:rPr>
              <w:t xml:space="preserve"> </w:t>
            </w:r>
            <w:r w:rsidRPr="004E13E9">
              <w:rPr>
                <w:rStyle w:val="normaltextrun"/>
                <w:rFonts w:ascii="Cambria" w:hAnsi="Cambria"/>
                <w:i/>
                <w:sz w:val="20"/>
                <w:szCs w:val="20"/>
              </w:rPr>
              <w:t>(CHART) et programmes scientifiques</w:t>
            </w:r>
            <w:r w:rsidRPr="004E13E9">
              <w:rPr>
                <w:rStyle w:val="eop"/>
                <w:rFonts w:ascii="Cambria" w:hAnsi="Cambria"/>
                <w:i/>
                <w:sz w:val="20"/>
                <w:szCs w:val="20"/>
              </w:rPr>
              <w:t> </w:t>
            </w:r>
          </w:p>
          <w:p w14:paraId="0B3E3509"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normaltextrun"/>
                <w:rFonts w:ascii="Cambria" w:hAnsi="Cambria"/>
                <w:sz w:val="20"/>
                <w:szCs w:val="20"/>
              </w:rPr>
              <w:t>Les capitaines participant à des programmes scientifiques devront enregistrer les données de pêche et de capture spécifiées par des moyens électroniques ou sur papier dans les 24 heures suivant la capture. Les données comprendront (entre autres choses) la date, l'heure, le lieu de l'effort et de la capture, le nombre de thons rouges capturés et marqués, leur longueur, ainsi que toute mortalité accidentelle.  </w:t>
            </w:r>
            <w:r w:rsidRPr="004E13E9">
              <w:rPr>
                <w:rStyle w:val="eop"/>
                <w:rFonts w:ascii="Cambria" w:hAnsi="Cambria"/>
                <w:sz w:val="20"/>
                <w:szCs w:val="20"/>
              </w:rPr>
              <w:t> </w:t>
            </w:r>
          </w:p>
          <w:p w14:paraId="6C8542F4" w14:textId="77777777" w:rsidR="003928B6" w:rsidRPr="004E13E9" w:rsidRDefault="003928B6" w:rsidP="000A7B95">
            <w:pPr>
              <w:pStyle w:val="paragraph"/>
              <w:spacing w:before="0" w:beforeAutospacing="0" w:after="0" w:afterAutospacing="0"/>
              <w:jc w:val="both"/>
              <w:rPr>
                <w:rStyle w:val="eop"/>
                <w:rFonts w:ascii="Cambria" w:hAnsi="Cambria" w:cs="Segoe UI"/>
                <w:sz w:val="20"/>
                <w:szCs w:val="20"/>
              </w:rPr>
            </w:pPr>
          </w:p>
          <w:p w14:paraId="4F667CAE" w14:textId="77777777" w:rsidR="003928B6" w:rsidRPr="004E13E9" w:rsidRDefault="003928B6" w:rsidP="000A7B95">
            <w:pPr>
              <w:jc w:val="both"/>
              <w:rPr>
                <w:rFonts w:ascii="Cambria" w:hAnsi="Cambria"/>
                <w:color w:val="auto"/>
                <w:sz w:val="20"/>
                <w:szCs w:val="20"/>
              </w:rPr>
            </w:pPr>
            <w:r w:rsidRPr="004E13E9">
              <w:rPr>
                <w:rStyle w:val="normaltextrun"/>
                <w:rFonts w:ascii="Cambria" w:hAnsi="Cambria"/>
                <w:color w:val="auto"/>
                <w:sz w:val="20"/>
                <w:szCs w:val="20"/>
              </w:rPr>
              <w:t>Il sera nécessaire d'alerter les autorités compétentes de toute mortalité accidentelle de thon rouge de l’Est quatre heures avant l'arrivée au port ou dès que possible pour</w:t>
            </w:r>
            <w:r w:rsidRPr="004E13E9">
              <w:rPr>
                <w:rFonts w:ascii="Cambria" w:hAnsi="Cambria"/>
                <w:color w:val="auto"/>
                <w:sz w:val="20"/>
                <w:szCs w:val="20"/>
              </w:rPr>
              <w:t xml:space="preserve"> organiser la collecte ou l'élimination.</w:t>
            </w:r>
            <w:r w:rsidRPr="004E13E9">
              <w:rPr>
                <w:rStyle w:val="eop"/>
                <w:rFonts w:ascii="Cambria" w:hAnsi="Cambria"/>
                <w:color w:val="auto"/>
                <w:sz w:val="20"/>
                <w:szCs w:val="20"/>
              </w:rPr>
              <w:t> </w:t>
            </w:r>
            <w:r w:rsidRPr="004E13E9">
              <w:rPr>
                <w:rFonts w:ascii="Cambria" w:hAnsi="Cambria"/>
                <w:color w:val="auto"/>
                <w:sz w:val="20"/>
                <w:szCs w:val="20"/>
              </w:rPr>
              <w:t>Toute mortalité accidentelle de thon rouge de l’Est sera décomptée du quota de thon rouge de l’Est du Royaume-Uni.</w:t>
            </w:r>
            <w:r w:rsidRPr="004E13E9">
              <w:rPr>
                <w:rStyle w:val="eop"/>
                <w:rFonts w:ascii="Cambria" w:hAnsi="Cambria"/>
                <w:color w:val="auto"/>
                <w:sz w:val="20"/>
                <w:szCs w:val="20"/>
              </w:rPr>
              <w:t xml:space="preserve"> </w:t>
            </w:r>
          </w:p>
        </w:tc>
        <w:tc>
          <w:tcPr>
            <w:tcW w:w="2268" w:type="dxa"/>
          </w:tcPr>
          <w:p w14:paraId="29CA0ABC" w14:textId="77777777" w:rsidR="003928B6" w:rsidRPr="004E13E9" w:rsidRDefault="003928B6" w:rsidP="000A7B95">
            <w:pPr>
              <w:jc w:val="both"/>
              <w:rPr>
                <w:rFonts w:ascii="Cambria" w:hAnsi="Cambria"/>
                <w:color w:val="auto"/>
                <w:sz w:val="20"/>
                <w:szCs w:val="20"/>
              </w:rPr>
            </w:pPr>
            <w:r w:rsidRPr="004E13E9">
              <w:rPr>
                <w:rStyle w:val="normaltextrun"/>
                <w:rFonts w:ascii="Cambria" w:hAnsi="Cambria"/>
                <w:color w:val="auto"/>
                <w:sz w:val="20"/>
                <w:szCs w:val="20"/>
                <w:shd w:val="clear" w:color="auto" w:fill="FFFFFF"/>
              </w:rPr>
              <w:t>Règlementations retenues 1224/2009, 404/2011 et 2016/1627.</w:t>
            </w:r>
            <w:r w:rsidRPr="004E13E9">
              <w:rPr>
                <w:rStyle w:val="eop"/>
                <w:rFonts w:ascii="Cambria" w:hAnsi="Cambria"/>
                <w:color w:val="auto"/>
                <w:sz w:val="20"/>
                <w:szCs w:val="20"/>
                <w:shd w:val="clear" w:color="auto" w:fill="FFFFFF"/>
              </w:rPr>
              <w:t> </w:t>
            </w:r>
          </w:p>
        </w:tc>
        <w:tc>
          <w:tcPr>
            <w:tcW w:w="1268" w:type="dxa"/>
          </w:tcPr>
          <w:p w14:paraId="470A9AE0" w14:textId="77777777" w:rsidR="003928B6" w:rsidRPr="004E13E9" w:rsidRDefault="003928B6" w:rsidP="000A7B95">
            <w:pPr>
              <w:jc w:val="both"/>
              <w:rPr>
                <w:rFonts w:ascii="Cambria" w:hAnsi="Cambria"/>
                <w:color w:val="auto"/>
                <w:sz w:val="20"/>
                <w:szCs w:val="20"/>
              </w:rPr>
            </w:pPr>
          </w:p>
        </w:tc>
      </w:tr>
      <w:tr w:rsidR="003928B6" w:rsidRPr="00C5533C" w14:paraId="121011BE" w14:textId="77777777" w:rsidTr="000B6944">
        <w:tc>
          <w:tcPr>
            <w:tcW w:w="465" w:type="dxa"/>
          </w:tcPr>
          <w:p w14:paraId="5DC230B5" w14:textId="77777777" w:rsidR="003928B6" w:rsidRPr="004E13E9" w:rsidRDefault="003928B6" w:rsidP="00D47E5E">
            <w:pPr>
              <w:rPr>
                <w:rFonts w:ascii="Cambria" w:hAnsi="Cambria"/>
                <w:b/>
                <w:color w:val="auto"/>
                <w:sz w:val="20"/>
                <w:szCs w:val="20"/>
              </w:rPr>
            </w:pPr>
            <w:r w:rsidRPr="004E13E9">
              <w:rPr>
                <w:rFonts w:ascii="Cambria" w:hAnsi="Cambria"/>
                <w:b/>
                <w:color w:val="auto"/>
                <w:sz w:val="20"/>
                <w:szCs w:val="20"/>
              </w:rPr>
              <w:t>2</w:t>
            </w:r>
          </w:p>
        </w:tc>
        <w:tc>
          <w:tcPr>
            <w:tcW w:w="2082" w:type="dxa"/>
          </w:tcPr>
          <w:p w14:paraId="7DD36864" w14:textId="77777777" w:rsidR="003928B6" w:rsidRPr="004E13E9" w:rsidRDefault="003928B6" w:rsidP="000A7B95">
            <w:pPr>
              <w:jc w:val="both"/>
              <w:rPr>
                <w:rFonts w:ascii="Cambria" w:hAnsi="Cambria"/>
                <w:b/>
                <w:color w:val="auto"/>
                <w:sz w:val="20"/>
                <w:szCs w:val="20"/>
              </w:rPr>
            </w:pPr>
            <w:r w:rsidRPr="004E13E9">
              <w:rPr>
                <w:rFonts w:ascii="Cambria" w:hAnsi="Cambria"/>
                <w:b/>
                <w:color w:val="auto"/>
                <w:sz w:val="20"/>
                <w:szCs w:val="20"/>
              </w:rPr>
              <w:t xml:space="preserve">Périodes d’ouverture de la pêche </w:t>
            </w:r>
          </w:p>
          <w:p w14:paraId="3258BFF6" w14:textId="77777777" w:rsidR="003928B6" w:rsidRPr="004E13E9" w:rsidRDefault="003928B6" w:rsidP="000A7B95">
            <w:pPr>
              <w:jc w:val="both"/>
              <w:rPr>
                <w:rFonts w:ascii="Cambria" w:hAnsi="Cambria"/>
                <w:b/>
                <w:color w:val="auto"/>
                <w:sz w:val="20"/>
                <w:szCs w:val="20"/>
              </w:rPr>
            </w:pPr>
            <w:r w:rsidRPr="004E13E9">
              <w:rPr>
                <w:rFonts w:ascii="Cambria" w:hAnsi="Cambria"/>
                <w:b/>
                <w:color w:val="auto"/>
                <w:sz w:val="20"/>
                <w:szCs w:val="20"/>
              </w:rPr>
              <w:t>(paragr. 28-32)</w:t>
            </w:r>
          </w:p>
        </w:tc>
        <w:tc>
          <w:tcPr>
            <w:tcW w:w="2977" w:type="dxa"/>
          </w:tcPr>
          <w:p w14:paraId="11C90F1F" w14:textId="77777777" w:rsidR="003928B6" w:rsidRPr="004E13E9" w:rsidRDefault="003928B6" w:rsidP="000A7B95">
            <w:pPr>
              <w:pStyle w:val="paragraph"/>
              <w:spacing w:before="0" w:beforeAutospacing="0" w:after="0" w:afterAutospacing="0"/>
              <w:jc w:val="both"/>
              <w:textAlignment w:val="baseline"/>
              <w:rPr>
                <w:rFonts w:ascii="Cambria" w:hAnsi="Cambria"/>
                <w:i/>
                <w:iCs/>
                <w:sz w:val="20"/>
                <w:szCs w:val="20"/>
              </w:rPr>
            </w:pPr>
            <w:r w:rsidRPr="004E13E9">
              <w:rPr>
                <w:rStyle w:val="normaltextrun"/>
                <w:rFonts w:ascii="Cambria" w:hAnsi="Cambria"/>
                <w:i/>
                <w:sz w:val="20"/>
                <w:szCs w:val="20"/>
              </w:rPr>
              <w:t xml:space="preserve">Prises </w:t>
            </w:r>
            <w:proofErr w:type="gramStart"/>
            <w:r w:rsidRPr="004E13E9">
              <w:rPr>
                <w:rStyle w:val="normaltextrun"/>
                <w:rFonts w:ascii="Cambria" w:hAnsi="Cambria"/>
                <w:i/>
                <w:sz w:val="20"/>
                <w:szCs w:val="20"/>
              </w:rPr>
              <w:t>accessoires commerciales</w:t>
            </w:r>
            <w:proofErr w:type="gramEnd"/>
            <w:r w:rsidRPr="004E13E9">
              <w:rPr>
                <w:rStyle w:val="eop"/>
                <w:rFonts w:ascii="Cambria" w:hAnsi="Cambria"/>
                <w:i/>
                <w:sz w:val="20"/>
                <w:szCs w:val="20"/>
              </w:rPr>
              <w:t> </w:t>
            </w:r>
          </w:p>
          <w:p w14:paraId="6955C810" w14:textId="77777777" w:rsidR="003928B6" w:rsidRPr="004E13E9" w:rsidRDefault="003928B6" w:rsidP="000A7B95">
            <w:pPr>
              <w:pStyle w:val="paragraph"/>
              <w:spacing w:before="0" w:beforeAutospacing="0" w:after="0" w:afterAutospacing="0"/>
              <w:jc w:val="both"/>
              <w:rPr>
                <w:rStyle w:val="eop"/>
                <w:rFonts w:ascii="Cambria" w:hAnsi="Cambria" w:cs="Segoe UI"/>
                <w:sz w:val="20"/>
                <w:szCs w:val="20"/>
              </w:rPr>
            </w:pPr>
            <w:r w:rsidRPr="004E13E9">
              <w:rPr>
                <w:rStyle w:val="normaltextrun"/>
                <w:rFonts w:ascii="Cambria" w:hAnsi="Cambria"/>
                <w:sz w:val="20"/>
                <w:szCs w:val="20"/>
              </w:rPr>
              <w:t xml:space="preserve">Les prises accessoires commerciales seront décomptées du quota de thon rouge de l’Est du Royaume-Uni pour 2026. </w:t>
            </w:r>
          </w:p>
          <w:p w14:paraId="1AE909AC"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eop"/>
                <w:rFonts w:ascii="Cambria" w:hAnsi="Cambria"/>
                <w:sz w:val="20"/>
                <w:szCs w:val="20"/>
              </w:rPr>
              <w:t> </w:t>
            </w:r>
          </w:p>
          <w:p w14:paraId="7924C89F" w14:textId="77777777" w:rsidR="003928B6" w:rsidRPr="004E13E9" w:rsidRDefault="003928B6" w:rsidP="000A7B95">
            <w:pPr>
              <w:pStyle w:val="paragraph"/>
              <w:spacing w:before="0" w:beforeAutospacing="0" w:after="0" w:afterAutospacing="0"/>
              <w:jc w:val="both"/>
              <w:textAlignment w:val="baseline"/>
              <w:rPr>
                <w:rFonts w:ascii="Cambria" w:hAnsi="Cambria"/>
                <w:i/>
                <w:iCs/>
                <w:sz w:val="20"/>
                <w:szCs w:val="20"/>
              </w:rPr>
            </w:pPr>
            <w:r w:rsidRPr="004E13E9">
              <w:rPr>
                <w:rFonts w:ascii="Cambria" w:hAnsi="Cambria"/>
                <w:i/>
                <w:sz w:val="20"/>
                <w:szCs w:val="20"/>
              </w:rPr>
              <w:t>Programme de marquage des captures et remise à l’eau</w:t>
            </w:r>
            <w:r w:rsidRPr="004E13E9">
              <w:rPr>
                <w:rStyle w:val="normaltextrun"/>
                <w:rFonts w:ascii="Cambria" w:hAnsi="Cambria"/>
                <w:i/>
                <w:sz w:val="20"/>
                <w:szCs w:val="20"/>
              </w:rPr>
              <w:t xml:space="preserve"> </w:t>
            </w:r>
            <w:r w:rsidRPr="004E13E9">
              <w:rPr>
                <w:rFonts w:ascii="Cambria" w:hAnsi="Cambria"/>
                <w:i/>
                <w:sz w:val="20"/>
                <w:szCs w:val="20"/>
              </w:rPr>
              <w:t>(CHART) et programmes scientifiques</w:t>
            </w:r>
          </w:p>
          <w:p w14:paraId="1331845C" w14:textId="77777777" w:rsidR="003928B6" w:rsidRPr="004E13E9" w:rsidRDefault="003928B6" w:rsidP="000A7B95">
            <w:pPr>
              <w:pStyle w:val="paragraph"/>
              <w:spacing w:before="0" w:beforeAutospacing="0" w:after="0" w:afterAutospacing="0"/>
              <w:jc w:val="both"/>
              <w:textAlignment w:val="baseline"/>
              <w:rPr>
                <w:rFonts w:ascii="Cambria" w:hAnsi="Cambria" w:cs="Segoe UI"/>
                <w:sz w:val="20"/>
                <w:szCs w:val="20"/>
              </w:rPr>
            </w:pPr>
            <w:r w:rsidRPr="004E13E9">
              <w:rPr>
                <w:rStyle w:val="normaltextrun"/>
                <w:rFonts w:ascii="Cambria" w:hAnsi="Cambria"/>
                <w:sz w:val="20"/>
                <w:szCs w:val="20"/>
              </w:rPr>
              <w:t>L'ouverture du programme CHART est prévue entre août et fin décembre 2026. Toutes les mortalités issues des programmes scientifiques seront décomptées du quota de thon rouge de l’Est du Royaume-Uni pour 2026.</w:t>
            </w:r>
          </w:p>
          <w:p w14:paraId="6DAF75FE" w14:textId="77777777" w:rsidR="003928B6" w:rsidRPr="004E13E9" w:rsidRDefault="003928B6" w:rsidP="000A7B95">
            <w:pPr>
              <w:jc w:val="both"/>
              <w:rPr>
                <w:rFonts w:ascii="Cambria" w:hAnsi="Cambria"/>
                <w:color w:val="auto"/>
                <w:sz w:val="20"/>
                <w:szCs w:val="20"/>
              </w:rPr>
            </w:pPr>
          </w:p>
          <w:p w14:paraId="7F4E706E" w14:textId="77777777" w:rsidR="003928B6" w:rsidRPr="004E13E9" w:rsidRDefault="003928B6" w:rsidP="000A7B95">
            <w:pPr>
              <w:jc w:val="both"/>
              <w:rPr>
                <w:rFonts w:ascii="Cambria" w:hAnsi="Cambria"/>
                <w:i/>
                <w:iCs/>
                <w:color w:val="auto"/>
                <w:sz w:val="20"/>
                <w:szCs w:val="20"/>
              </w:rPr>
            </w:pPr>
            <w:r w:rsidRPr="004E13E9">
              <w:rPr>
                <w:rFonts w:ascii="Cambria" w:hAnsi="Cambria"/>
                <w:i/>
                <w:color w:val="auto"/>
                <w:sz w:val="20"/>
                <w:szCs w:val="20"/>
              </w:rPr>
              <w:t xml:space="preserve">Pêcherie commerciale </w:t>
            </w:r>
          </w:p>
          <w:p w14:paraId="7F3C202C" w14:textId="77777777" w:rsidR="003928B6" w:rsidRPr="004E13E9" w:rsidRDefault="003928B6" w:rsidP="000A7B95">
            <w:pPr>
              <w:jc w:val="both"/>
              <w:rPr>
                <w:rFonts w:ascii="Cambria" w:hAnsi="Cambria"/>
                <w:color w:val="auto"/>
                <w:sz w:val="20"/>
                <w:szCs w:val="20"/>
              </w:rPr>
            </w:pPr>
            <w:r w:rsidRPr="004E13E9">
              <w:rPr>
                <w:rFonts w:ascii="Cambria" w:hAnsi="Cambria"/>
                <w:color w:val="auto"/>
                <w:sz w:val="20"/>
                <w:szCs w:val="20"/>
              </w:rPr>
              <w:t>La pêcherie commerciale à la canne et au moulinet sera ouverte entre le 13 juillet et le 31 décembre 2026. Toutes les activités se dérouleront dans les eaux britanniques. Une fois le quota épuisé, cette pêcherie sera fermée.</w:t>
            </w:r>
          </w:p>
        </w:tc>
        <w:tc>
          <w:tcPr>
            <w:tcW w:w="2268" w:type="dxa"/>
          </w:tcPr>
          <w:p w14:paraId="40AB2DB2" w14:textId="77777777" w:rsidR="003928B6" w:rsidRPr="004E13E9" w:rsidRDefault="003928B6" w:rsidP="000A7B95">
            <w:pPr>
              <w:jc w:val="both"/>
              <w:rPr>
                <w:rFonts w:ascii="Cambria" w:hAnsi="Cambria"/>
                <w:color w:val="auto"/>
                <w:sz w:val="20"/>
                <w:szCs w:val="20"/>
              </w:rPr>
            </w:pPr>
          </w:p>
        </w:tc>
        <w:tc>
          <w:tcPr>
            <w:tcW w:w="1268" w:type="dxa"/>
          </w:tcPr>
          <w:p w14:paraId="0204ED4B" w14:textId="77777777" w:rsidR="003928B6" w:rsidRPr="004E13E9" w:rsidRDefault="003928B6" w:rsidP="000A7B95">
            <w:pPr>
              <w:jc w:val="both"/>
              <w:rPr>
                <w:rFonts w:ascii="Cambria" w:hAnsi="Cambria"/>
                <w:color w:val="auto"/>
                <w:sz w:val="20"/>
                <w:szCs w:val="20"/>
              </w:rPr>
            </w:pPr>
          </w:p>
        </w:tc>
      </w:tr>
      <w:tr w:rsidR="003928B6" w:rsidRPr="00C5533C" w14:paraId="57CE48D9" w14:textId="77777777" w:rsidTr="000B6944">
        <w:tc>
          <w:tcPr>
            <w:tcW w:w="465" w:type="dxa"/>
          </w:tcPr>
          <w:p w14:paraId="0D85620C" w14:textId="77777777" w:rsidR="003928B6" w:rsidRPr="004E13E9" w:rsidRDefault="003928B6" w:rsidP="00D47E5E">
            <w:pPr>
              <w:rPr>
                <w:rFonts w:ascii="Cambria" w:hAnsi="Cambria"/>
                <w:b/>
                <w:color w:val="auto"/>
                <w:sz w:val="20"/>
                <w:szCs w:val="20"/>
              </w:rPr>
            </w:pPr>
            <w:r w:rsidRPr="004E13E9">
              <w:rPr>
                <w:rFonts w:ascii="Cambria" w:hAnsi="Cambria"/>
                <w:b/>
                <w:color w:val="auto"/>
                <w:sz w:val="20"/>
                <w:szCs w:val="20"/>
              </w:rPr>
              <w:t>3</w:t>
            </w:r>
          </w:p>
        </w:tc>
        <w:tc>
          <w:tcPr>
            <w:tcW w:w="2082" w:type="dxa"/>
          </w:tcPr>
          <w:p w14:paraId="510F1D6E" w14:textId="77777777" w:rsidR="003928B6" w:rsidRPr="004E13E9" w:rsidRDefault="003928B6" w:rsidP="000A7B95">
            <w:pPr>
              <w:jc w:val="both"/>
              <w:rPr>
                <w:rFonts w:ascii="Cambria" w:hAnsi="Cambria"/>
                <w:b/>
                <w:color w:val="auto"/>
                <w:sz w:val="20"/>
                <w:szCs w:val="20"/>
              </w:rPr>
            </w:pPr>
            <w:r w:rsidRPr="004E13E9">
              <w:rPr>
                <w:rFonts w:ascii="Cambria" w:hAnsi="Cambria"/>
                <w:b/>
                <w:color w:val="auto"/>
                <w:sz w:val="20"/>
                <w:szCs w:val="20"/>
              </w:rPr>
              <w:t>Taille minimale</w:t>
            </w:r>
          </w:p>
          <w:p w14:paraId="4BE8F235" w14:textId="77777777" w:rsidR="003928B6" w:rsidRPr="004E13E9" w:rsidRDefault="003928B6" w:rsidP="000A7B95">
            <w:pPr>
              <w:jc w:val="both"/>
              <w:rPr>
                <w:rFonts w:ascii="Cambria" w:hAnsi="Cambria"/>
                <w:b/>
                <w:color w:val="auto"/>
                <w:sz w:val="20"/>
                <w:szCs w:val="20"/>
              </w:rPr>
            </w:pPr>
            <w:r w:rsidRPr="004E13E9">
              <w:rPr>
                <w:rFonts w:ascii="Cambria" w:hAnsi="Cambria"/>
                <w:b/>
                <w:color w:val="auto"/>
                <w:sz w:val="20"/>
                <w:szCs w:val="20"/>
              </w:rPr>
              <w:t>(paragr. 33-35)</w:t>
            </w:r>
          </w:p>
        </w:tc>
        <w:tc>
          <w:tcPr>
            <w:tcW w:w="2977" w:type="dxa"/>
          </w:tcPr>
          <w:p w14:paraId="42A0AEA6" w14:textId="77777777" w:rsidR="003928B6" w:rsidRPr="004E13E9" w:rsidRDefault="003928B6" w:rsidP="000A7B95">
            <w:pPr>
              <w:pStyle w:val="paragraph"/>
              <w:spacing w:before="0" w:beforeAutospacing="0" w:after="0" w:afterAutospacing="0"/>
              <w:jc w:val="both"/>
              <w:textAlignment w:val="baseline"/>
              <w:rPr>
                <w:rFonts w:ascii="Cambria" w:hAnsi="Cambria"/>
                <w:i/>
                <w:iCs/>
                <w:sz w:val="20"/>
                <w:szCs w:val="20"/>
              </w:rPr>
            </w:pPr>
            <w:r w:rsidRPr="004E13E9">
              <w:rPr>
                <w:rStyle w:val="normaltextrun"/>
                <w:rFonts w:ascii="Cambria" w:hAnsi="Cambria"/>
                <w:i/>
                <w:sz w:val="20"/>
                <w:szCs w:val="20"/>
              </w:rPr>
              <w:t>Pêcherie commerciale et prises accessoires</w:t>
            </w:r>
            <w:r w:rsidRPr="004E13E9">
              <w:rPr>
                <w:rStyle w:val="eop"/>
                <w:rFonts w:ascii="Cambria" w:hAnsi="Cambria"/>
                <w:i/>
                <w:sz w:val="20"/>
                <w:szCs w:val="20"/>
              </w:rPr>
              <w:t> </w:t>
            </w:r>
          </w:p>
          <w:p w14:paraId="2958F684"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normaltextrun"/>
                <w:rFonts w:ascii="Cambria" w:hAnsi="Cambria"/>
                <w:sz w:val="20"/>
                <w:szCs w:val="20"/>
              </w:rPr>
              <w:t>Les navires de pêche commerciale britanniques devront relâcher tout thon rouge de l'Est vivant sous-taille capturé accidentellement (c'est-à-dire pesant moins de 30 kg ou dont la longueur à la fourche est inférieure à 115 cm). </w:t>
            </w:r>
            <w:r w:rsidRPr="004E13E9">
              <w:rPr>
                <w:rStyle w:val="eop"/>
                <w:rFonts w:ascii="Cambria" w:hAnsi="Cambria"/>
                <w:sz w:val="20"/>
                <w:szCs w:val="20"/>
              </w:rPr>
              <w:t> </w:t>
            </w:r>
          </w:p>
          <w:p w14:paraId="54F5E21F"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eop"/>
                <w:rFonts w:ascii="Cambria" w:hAnsi="Cambria"/>
                <w:sz w:val="20"/>
                <w:szCs w:val="20"/>
              </w:rPr>
              <w:t> </w:t>
            </w:r>
          </w:p>
          <w:p w14:paraId="77F093A1"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normaltextrun"/>
                <w:rFonts w:ascii="Cambria" w:hAnsi="Cambria"/>
                <w:sz w:val="20"/>
                <w:szCs w:val="20"/>
              </w:rPr>
              <w:t>Il sera interdit de commercialiser ou de retenir des poissons sous-taille. Tout le thon rouge de l’Est retenu et les rejets morts seront déduits du quota de thon rouge de l’Est de 2026 du Royaume-Uni et déclarés à l’ICCAT. </w:t>
            </w:r>
            <w:r w:rsidRPr="004E13E9">
              <w:rPr>
                <w:rStyle w:val="eop"/>
                <w:rFonts w:ascii="Cambria" w:hAnsi="Cambria"/>
                <w:sz w:val="20"/>
                <w:szCs w:val="20"/>
              </w:rPr>
              <w:t> </w:t>
            </w:r>
          </w:p>
          <w:p w14:paraId="635C758E"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eop"/>
                <w:rFonts w:ascii="Cambria" w:hAnsi="Cambria"/>
                <w:sz w:val="20"/>
                <w:szCs w:val="20"/>
              </w:rPr>
              <w:t> </w:t>
            </w:r>
          </w:p>
          <w:p w14:paraId="6D16C258" w14:textId="77777777" w:rsidR="003928B6" w:rsidRPr="004E13E9" w:rsidRDefault="003928B6" w:rsidP="000A7B95">
            <w:pPr>
              <w:pStyle w:val="paragraph"/>
              <w:spacing w:before="0" w:beforeAutospacing="0" w:after="0" w:afterAutospacing="0"/>
              <w:jc w:val="both"/>
              <w:textAlignment w:val="baseline"/>
              <w:rPr>
                <w:rStyle w:val="normaltextrun"/>
                <w:rFonts w:ascii="Cambria" w:hAnsi="Cambria"/>
                <w:i/>
                <w:iCs/>
                <w:sz w:val="20"/>
                <w:szCs w:val="20"/>
              </w:rPr>
            </w:pPr>
            <w:r w:rsidRPr="004E13E9">
              <w:rPr>
                <w:rStyle w:val="normaltextrun"/>
                <w:rFonts w:ascii="Cambria" w:hAnsi="Cambria"/>
                <w:i/>
                <w:sz w:val="20"/>
                <w:szCs w:val="20"/>
              </w:rPr>
              <w:t>Programme de marquage des captures et remise à l’eau (CHART) et programmes scientifiques</w:t>
            </w:r>
          </w:p>
          <w:p w14:paraId="1D2A8A2E" w14:textId="77777777" w:rsidR="003928B6" w:rsidRPr="004E13E9" w:rsidRDefault="003928B6" w:rsidP="000A7B95">
            <w:pPr>
              <w:jc w:val="both"/>
              <w:rPr>
                <w:rStyle w:val="eop"/>
                <w:rFonts w:ascii="Cambria" w:hAnsi="Cambria" w:cs="Segoe UI"/>
                <w:color w:val="auto"/>
                <w:sz w:val="20"/>
                <w:szCs w:val="20"/>
              </w:rPr>
            </w:pPr>
            <w:r w:rsidRPr="004E13E9">
              <w:rPr>
                <w:rStyle w:val="normaltextrun"/>
                <w:rFonts w:ascii="Cambria" w:hAnsi="Cambria"/>
                <w:color w:val="auto"/>
                <w:sz w:val="20"/>
                <w:szCs w:val="20"/>
              </w:rPr>
              <w:t xml:space="preserve">Étant donné qu'aucun thon rouge de l’Est ne sera débarqué dans le cadre de CHART, aucune taille minimale n'a été établie pour le programme. </w:t>
            </w:r>
            <w:r w:rsidRPr="004E13E9">
              <w:rPr>
                <w:rStyle w:val="eop"/>
                <w:rFonts w:ascii="Cambria" w:hAnsi="Cambria"/>
                <w:color w:val="auto"/>
                <w:sz w:val="20"/>
                <w:szCs w:val="20"/>
              </w:rPr>
              <w:t> </w:t>
            </w:r>
          </w:p>
          <w:p w14:paraId="0403C2E2" w14:textId="77777777" w:rsidR="003928B6" w:rsidRPr="004E13E9" w:rsidRDefault="003928B6" w:rsidP="000A7B95">
            <w:pPr>
              <w:jc w:val="both"/>
              <w:rPr>
                <w:rFonts w:ascii="Cambria" w:hAnsi="Cambria"/>
                <w:color w:val="auto"/>
                <w:sz w:val="20"/>
                <w:szCs w:val="20"/>
              </w:rPr>
            </w:pPr>
          </w:p>
          <w:p w14:paraId="1F58061C" w14:textId="77777777" w:rsidR="003928B6" w:rsidRPr="004E13E9" w:rsidRDefault="003928B6" w:rsidP="000A7B95">
            <w:pPr>
              <w:jc w:val="both"/>
              <w:rPr>
                <w:rFonts w:ascii="Cambria" w:hAnsi="Cambria"/>
                <w:color w:val="auto"/>
                <w:sz w:val="20"/>
                <w:szCs w:val="20"/>
              </w:rPr>
            </w:pPr>
            <w:r w:rsidRPr="004E13E9">
              <w:rPr>
                <w:rFonts w:ascii="Cambria" w:hAnsi="Cambria"/>
                <w:color w:val="auto"/>
                <w:sz w:val="20"/>
                <w:szCs w:val="20"/>
              </w:rPr>
              <w:t>Tous les programmes de recherche prévus respecteront les exigences de taille minimale énoncées dans la Rec. 24-05.</w:t>
            </w:r>
          </w:p>
        </w:tc>
        <w:tc>
          <w:tcPr>
            <w:tcW w:w="2268" w:type="dxa"/>
          </w:tcPr>
          <w:p w14:paraId="0EEF27E2"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normaltextrun"/>
                <w:rFonts w:ascii="Cambria" w:hAnsi="Cambria"/>
                <w:sz w:val="20"/>
                <w:szCs w:val="20"/>
              </w:rPr>
              <w:t>Règlementation retenue 2016/1627.</w:t>
            </w:r>
            <w:r w:rsidRPr="004E13E9">
              <w:rPr>
                <w:rStyle w:val="eop"/>
                <w:rFonts w:ascii="Cambria" w:hAnsi="Cambria"/>
                <w:sz w:val="20"/>
                <w:szCs w:val="20"/>
              </w:rPr>
              <w:t> </w:t>
            </w:r>
          </w:p>
          <w:p w14:paraId="07D9B610" w14:textId="77777777" w:rsidR="003928B6" w:rsidRPr="004E13E9" w:rsidRDefault="003928B6" w:rsidP="000A7B95">
            <w:pPr>
              <w:pStyle w:val="paragraph"/>
              <w:spacing w:before="0" w:beforeAutospacing="0" w:after="0" w:afterAutospacing="0"/>
              <w:jc w:val="both"/>
              <w:textAlignment w:val="baseline"/>
              <w:rPr>
                <w:rFonts w:ascii="Cambria" w:hAnsi="Cambria" w:cs="Segoe UI"/>
                <w:sz w:val="20"/>
                <w:szCs w:val="20"/>
              </w:rPr>
            </w:pPr>
            <w:r w:rsidRPr="004E13E9">
              <w:rPr>
                <w:rStyle w:val="normaltextrun"/>
                <w:rFonts w:ascii="Cambria" w:hAnsi="Cambria"/>
                <w:sz w:val="20"/>
                <w:szCs w:val="20"/>
              </w:rPr>
              <w:t>Règlementation relative à l'obligation de débarquement 2013/1380 article 15</w:t>
            </w:r>
            <w:r w:rsidRPr="004E13E9">
              <w:rPr>
                <w:rStyle w:val="eop"/>
                <w:rFonts w:ascii="Cambria" w:hAnsi="Cambria"/>
                <w:sz w:val="20"/>
                <w:szCs w:val="20"/>
              </w:rPr>
              <w:t> </w:t>
            </w:r>
          </w:p>
          <w:p w14:paraId="462A36B0" w14:textId="77777777" w:rsidR="003928B6" w:rsidRPr="004E13E9" w:rsidRDefault="003928B6" w:rsidP="000A7B95">
            <w:pPr>
              <w:jc w:val="both"/>
              <w:rPr>
                <w:rFonts w:ascii="Cambria" w:hAnsi="Cambria"/>
                <w:color w:val="auto"/>
                <w:sz w:val="20"/>
                <w:szCs w:val="20"/>
              </w:rPr>
            </w:pPr>
          </w:p>
        </w:tc>
        <w:tc>
          <w:tcPr>
            <w:tcW w:w="1268" w:type="dxa"/>
          </w:tcPr>
          <w:p w14:paraId="5C80E496" w14:textId="77777777" w:rsidR="003928B6" w:rsidRPr="004E13E9" w:rsidRDefault="003928B6" w:rsidP="000A7B95">
            <w:pPr>
              <w:jc w:val="both"/>
              <w:rPr>
                <w:rFonts w:ascii="Cambria" w:hAnsi="Cambria"/>
                <w:color w:val="auto"/>
                <w:sz w:val="20"/>
                <w:szCs w:val="20"/>
              </w:rPr>
            </w:pPr>
          </w:p>
        </w:tc>
      </w:tr>
      <w:tr w:rsidR="003928B6" w:rsidRPr="00C5533C" w14:paraId="333E5CEB" w14:textId="77777777" w:rsidTr="000B6944">
        <w:tc>
          <w:tcPr>
            <w:tcW w:w="465" w:type="dxa"/>
          </w:tcPr>
          <w:p w14:paraId="1FCD9E6D" w14:textId="77777777" w:rsidR="003928B6" w:rsidRPr="004E13E9" w:rsidRDefault="003928B6" w:rsidP="00D47E5E">
            <w:pPr>
              <w:rPr>
                <w:rFonts w:ascii="Cambria" w:hAnsi="Cambria"/>
                <w:b/>
                <w:color w:val="auto"/>
                <w:sz w:val="20"/>
                <w:szCs w:val="20"/>
              </w:rPr>
            </w:pPr>
            <w:r w:rsidRPr="004E13E9">
              <w:rPr>
                <w:rFonts w:ascii="Cambria" w:hAnsi="Cambria"/>
                <w:b/>
                <w:color w:val="auto"/>
                <w:sz w:val="20"/>
                <w:szCs w:val="20"/>
              </w:rPr>
              <w:t>4</w:t>
            </w:r>
          </w:p>
        </w:tc>
        <w:tc>
          <w:tcPr>
            <w:tcW w:w="2082" w:type="dxa"/>
          </w:tcPr>
          <w:p w14:paraId="2E437D29" w14:textId="77777777" w:rsidR="003928B6" w:rsidRPr="004E13E9" w:rsidRDefault="003928B6" w:rsidP="000A7B95">
            <w:pPr>
              <w:jc w:val="both"/>
              <w:rPr>
                <w:rFonts w:ascii="Cambria" w:hAnsi="Cambria"/>
                <w:b/>
                <w:color w:val="auto"/>
                <w:sz w:val="20"/>
                <w:szCs w:val="20"/>
              </w:rPr>
            </w:pPr>
            <w:r w:rsidRPr="004E13E9">
              <w:rPr>
                <w:rFonts w:ascii="Cambria" w:hAnsi="Cambria"/>
                <w:b/>
                <w:color w:val="auto"/>
                <w:sz w:val="20"/>
                <w:szCs w:val="20"/>
              </w:rPr>
              <w:t xml:space="preserve">Prises accessoires </w:t>
            </w:r>
          </w:p>
          <w:p w14:paraId="6E256542" w14:textId="77777777" w:rsidR="003928B6" w:rsidRPr="004E13E9" w:rsidRDefault="003928B6" w:rsidP="000A7B95">
            <w:pPr>
              <w:jc w:val="both"/>
              <w:rPr>
                <w:rFonts w:ascii="Cambria" w:hAnsi="Cambria"/>
                <w:b/>
                <w:color w:val="auto"/>
                <w:sz w:val="20"/>
                <w:szCs w:val="20"/>
              </w:rPr>
            </w:pPr>
            <w:r w:rsidRPr="004E13E9">
              <w:rPr>
                <w:rFonts w:ascii="Cambria" w:hAnsi="Cambria"/>
                <w:b/>
                <w:color w:val="auto"/>
                <w:sz w:val="20"/>
                <w:szCs w:val="20"/>
              </w:rPr>
              <w:t xml:space="preserve">(Paragr. 37) </w:t>
            </w:r>
          </w:p>
        </w:tc>
        <w:tc>
          <w:tcPr>
            <w:tcW w:w="2977" w:type="dxa"/>
          </w:tcPr>
          <w:p w14:paraId="2BAA8D3D" w14:textId="77777777" w:rsidR="003928B6" w:rsidRPr="004E13E9" w:rsidRDefault="003928B6" w:rsidP="000A7B95">
            <w:pPr>
              <w:pStyle w:val="paragraph"/>
              <w:spacing w:before="0" w:beforeAutospacing="0" w:after="0" w:afterAutospacing="0"/>
              <w:jc w:val="both"/>
              <w:textAlignment w:val="baseline"/>
              <w:rPr>
                <w:rStyle w:val="eop"/>
                <w:rFonts w:ascii="Cambria" w:hAnsi="Cambria" w:cs="Segoe UI"/>
                <w:i/>
                <w:iCs/>
                <w:sz w:val="20"/>
                <w:szCs w:val="20"/>
              </w:rPr>
            </w:pPr>
            <w:r w:rsidRPr="004E13E9">
              <w:rPr>
                <w:rStyle w:val="normaltextrun"/>
                <w:rFonts w:ascii="Cambria" w:hAnsi="Cambria"/>
                <w:i/>
                <w:sz w:val="20"/>
                <w:szCs w:val="20"/>
              </w:rPr>
              <w:t>Pêcheries commerciale d'autres espèces</w:t>
            </w:r>
            <w:r w:rsidRPr="004E13E9">
              <w:rPr>
                <w:rStyle w:val="normaltextrun"/>
                <w:rFonts w:ascii="Cambria" w:hAnsi="Cambria"/>
                <w:b/>
                <w:i/>
                <w:sz w:val="20"/>
                <w:szCs w:val="20"/>
              </w:rPr>
              <w:t> </w:t>
            </w:r>
            <w:r w:rsidRPr="004E13E9">
              <w:rPr>
                <w:rStyle w:val="eop"/>
                <w:rFonts w:ascii="Cambria" w:hAnsi="Cambria"/>
                <w:i/>
                <w:sz w:val="20"/>
                <w:szCs w:val="20"/>
              </w:rPr>
              <w:t> </w:t>
            </w:r>
          </w:p>
          <w:p w14:paraId="48F9252B"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normaltextrun"/>
                <w:rFonts w:ascii="Cambria" w:hAnsi="Cambria"/>
                <w:sz w:val="20"/>
                <w:szCs w:val="20"/>
              </w:rPr>
              <w:t>Tous les débarquements de thon rouge de l’Est du Royaume-Uni seront déduits du quota de thon rouge de l’Est du Royaume-Uni pour 2026. </w:t>
            </w:r>
            <w:r w:rsidRPr="004E13E9">
              <w:rPr>
                <w:rStyle w:val="eop"/>
                <w:rFonts w:ascii="Cambria" w:hAnsi="Cambria"/>
                <w:sz w:val="20"/>
                <w:szCs w:val="20"/>
              </w:rPr>
              <w:t> </w:t>
            </w:r>
          </w:p>
          <w:p w14:paraId="1913AB74" w14:textId="77777777" w:rsidR="003928B6" w:rsidRPr="004E13E9" w:rsidRDefault="003928B6" w:rsidP="000A7B95">
            <w:pPr>
              <w:pStyle w:val="paragraph"/>
              <w:spacing w:before="0" w:beforeAutospacing="0" w:after="0" w:afterAutospacing="0"/>
              <w:jc w:val="both"/>
              <w:textAlignment w:val="baseline"/>
              <w:rPr>
                <w:rStyle w:val="normaltextrun"/>
                <w:rFonts w:ascii="Cambria" w:hAnsi="Cambria" w:cs="Segoe UI"/>
                <w:sz w:val="20"/>
                <w:szCs w:val="20"/>
              </w:rPr>
            </w:pPr>
          </w:p>
          <w:p w14:paraId="22A549E6"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normaltextrun"/>
                <w:rFonts w:ascii="Cambria" w:hAnsi="Cambria"/>
                <w:sz w:val="20"/>
                <w:szCs w:val="20"/>
              </w:rPr>
              <w:t xml:space="preserve">Dix tonnes du quota du Royaume-Uni seront mises de côté pour tenir compte des prises accidentelles des navires de pêche commerciale ciblant d'autres espèces. Cela équivaut à 4,34% du quota initial du Royaume-Uni. En 2025, 3,31 t de thon rouge de l’Est ont été capturées comme prises accessoires dans les pêcheries britanniques ciblant d'autres espèces. </w:t>
            </w:r>
            <w:r w:rsidRPr="004E13E9">
              <w:rPr>
                <w:rStyle w:val="eop"/>
                <w:rFonts w:ascii="Cambria" w:hAnsi="Cambria"/>
                <w:sz w:val="20"/>
                <w:szCs w:val="20"/>
              </w:rPr>
              <w:t> </w:t>
            </w:r>
          </w:p>
          <w:p w14:paraId="3A10BE58"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eop"/>
                <w:rFonts w:ascii="Cambria" w:hAnsi="Cambria"/>
                <w:sz w:val="20"/>
                <w:szCs w:val="20"/>
              </w:rPr>
              <w:t> </w:t>
            </w:r>
          </w:p>
          <w:p w14:paraId="2F62FBE1"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normaltextrun"/>
                <w:rFonts w:ascii="Cambria" w:hAnsi="Cambria"/>
                <w:sz w:val="20"/>
                <w:szCs w:val="20"/>
              </w:rPr>
              <w:t>Les calculs des prises accessoires seront basés sur la proportion de thon rouge de l'Est par rapport au poids vif de toutes les autres espèces à bord.</w:t>
            </w:r>
            <w:r w:rsidRPr="004E13E9">
              <w:rPr>
                <w:rStyle w:val="eop"/>
                <w:rFonts w:ascii="Cambria" w:hAnsi="Cambria"/>
                <w:sz w:val="20"/>
                <w:szCs w:val="20"/>
              </w:rPr>
              <w:t> </w:t>
            </w:r>
          </w:p>
          <w:p w14:paraId="0365AC47" w14:textId="77777777" w:rsidR="003928B6" w:rsidRPr="004E13E9" w:rsidRDefault="003928B6" w:rsidP="000A7B95">
            <w:pPr>
              <w:pStyle w:val="paragraph"/>
              <w:spacing w:before="0" w:beforeAutospacing="0" w:after="0" w:afterAutospacing="0"/>
              <w:jc w:val="both"/>
              <w:textAlignment w:val="baseline"/>
              <w:rPr>
                <w:rFonts w:ascii="Cambria" w:hAnsi="Cambria" w:cs="Segoe UI"/>
                <w:sz w:val="20"/>
                <w:szCs w:val="20"/>
              </w:rPr>
            </w:pPr>
            <w:r w:rsidRPr="004E13E9">
              <w:rPr>
                <w:rStyle w:val="eop"/>
                <w:rFonts w:ascii="Cambria" w:hAnsi="Cambria"/>
                <w:sz w:val="20"/>
                <w:szCs w:val="20"/>
              </w:rPr>
              <w:t> </w:t>
            </w:r>
          </w:p>
          <w:p w14:paraId="6E8EC27B"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normaltextrun"/>
                <w:rFonts w:ascii="Cambria" w:hAnsi="Cambria"/>
                <w:sz w:val="20"/>
                <w:szCs w:val="20"/>
              </w:rPr>
              <w:t>Tout thon rouge de l’Est capturé accidentellement qui est retenu pour la commercialisation sera soumis aux exigences de l'eBCD. </w:t>
            </w:r>
            <w:r w:rsidRPr="004E13E9">
              <w:rPr>
                <w:rStyle w:val="eop"/>
                <w:rFonts w:ascii="Cambria" w:hAnsi="Cambria"/>
                <w:sz w:val="20"/>
                <w:szCs w:val="20"/>
              </w:rPr>
              <w:t> </w:t>
            </w:r>
          </w:p>
          <w:p w14:paraId="75C7ECB4"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eop"/>
                <w:rFonts w:ascii="Cambria" w:hAnsi="Cambria"/>
                <w:sz w:val="20"/>
                <w:szCs w:val="20"/>
              </w:rPr>
              <w:t> </w:t>
            </w:r>
          </w:p>
          <w:p w14:paraId="11D0B7B2" w14:textId="77777777" w:rsidR="003928B6" w:rsidRPr="004E13E9" w:rsidRDefault="003928B6" w:rsidP="000A7B95">
            <w:pPr>
              <w:pStyle w:val="paragraph"/>
              <w:spacing w:before="0" w:beforeAutospacing="0" w:after="0" w:afterAutospacing="0"/>
              <w:jc w:val="both"/>
              <w:textAlignment w:val="baseline"/>
              <w:rPr>
                <w:rStyle w:val="eop"/>
                <w:rFonts w:ascii="Cambria" w:hAnsi="Cambria" w:cs="Segoe UI"/>
                <w:sz w:val="20"/>
                <w:szCs w:val="20"/>
              </w:rPr>
            </w:pPr>
            <w:r w:rsidRPr="004E13E9">
              <w:rPr>
                <w:rStyle w:val="normaltextrun"/>
                <w:rFonts w:ascii="Cambria" w:hAnsi="Cambria"/>
                <w:sz w:val="20"/>
                <w:szCs w:val="20"/>
              </w:rPr>
              <w:t>Seuls les navires de pêche commerciale autorisés à pêcher d'autres espèces et susceptibles d'interagir avec des thons rouges de l’Est seront autorisés à vendre des thons rouges de l’Est capturés accidentellement. Ils ne pourront vendre qu'un seul thon rouge de l’Est par sortie. </w:t>
            </w:r>
            <w:r w:rsidRPr="004E13E9">
              <w:rPr>
                <w:rStyle w:val="eop"/>
                <w:rFonts w:ascii="Cambria" w:hAnsi="Cambria"/>
                <w:sz w:val="20"/>
                <w:szCs w:val="20"/>
              </w:rPr>
              <w:t>  </w:t>
            </w:r>
          </w:p>
          <w:p w14:paraId="0F23D659"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p>
          <w:p w14:paraId="6CE2CE06"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normaltextrun"/>
                <w:rFonts w:ascii="Cambria" w:hAnsi="Cambria"/>
                <w:sz w:val="20"/>
                <w:szCs w:val="20"/>
              </w:rPr>
              <w:t>Si plus d'un poisson est capturé, les autres poissons seront relâchés s'ils sont vivants. S'il est mort, le poisson sera retenu mais ne pourra pas être vendu. Tous les poissons retenus seront déduits du quota du Royaume-Uni.</w:t>
            </w:r>
            <w:r w:rsidRPr="004E13E9">
              <w:rPr>
                <w:rStyle w:val="eop"/>
                <w:rFonts w:ascii="Cambria" w:hAnsi="Cambria"/>
                <w:sz w:val="20"/>
                <w:szCs w:val="20"/>
              </w:rPr>
              <w:t> </w:t>
            </w:r>
          </w:p>
          <w:p w14:paraId="5406B723"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eop"/>
                <w:rFonts w:ascii="Cambria" w:hAnsi="Cambria"/>
                <w:sz w:val="20"/>
                <w:szCs w:val="20"/>
              </w:rPr>
              <w:t> </w:t>
            </w:r>
          </w:p>
          <w:p w14:paraId="20AC9667"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normaltextrun"/>
                <w:rFonts w:ascii="Cambria" w:hAnsi="Cambria"/>
                <w:sz w:val="20"/>
                <w:szCs w:val="20"/>
              </w:rPr>
              <w:t>Si le quota du Royaume-Uni est épuisé, les navires seront toujours tenus de retenir les thons rouges de l’Est morts qui dépassent la taille minimale de référence pour la conservation. Ces poissons ne peuvent pas être vendus mais peuvent être envoyés pour être échantillonnés. </w:t>
            </w:r>
            <w:r w:rsidRPr="004E13E9">
              <w:rPr>
                <w:rStyle w:val="eop"/>
                <w:rFonts w:ascii="Cambria" w:hAnsi="Cambria"/>
                <w:sz w:val="20"/>
                <w:szCs w:val="20"/>
              </w:rPr>
              <w:t> </w:t>
            </w:r>
          </w:p>
          <w:p w14:paraId="1812BB59"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eop"/>
                <w:rFonts w:ascii="Cambria" w:hAnsi="Cambria"/>
                <w:sz w:val="20"/>
                <w:szCs w:val="20"/>
              </w:rPr>
              <w:t> </w:t>
            </w:r>
          </w:p>
          <w:p w14:paraId="21A9F537"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normaltextrun"/>
                <w:rFonts w:ascii="Cambria" w:hAnsi="Cambria"/>
                <w:sz w:val="20"/>
                <w:szCs w:val="20"/>
              </w:rPr>
              <w:t>Toutes les données de captures seront fournies à l'ICCAT . </w:t>
            </w:r>
            <w:r w:rsidRPr="004E13E9">
              <w:rPr>
                <w:rStyle w:val="eop"/>
                <w:rFonts w:ascii="Cambria" w:hAnsi="Cambria"/>
                <w:sz w:val="20"/>
                <w:szCs w:val="20"/>
              </w:rPr>
              <w:t> </w:t>
            </w:r>
          </w:p>
          <w:p w14:paraId="1030F515" w14:textId="77777777" w:rsidR="003928B6" w:rsidRPr="004E13E9" w:rsidRDefault="003928B6" w:rsidP="000A7B95">
            <w:pPr>
              <w:pStyle w:val="paragraph"/>
              <w:spacing w:before="0" w:beforeAutospacing="0" w:after="0" w:afterAutospacing="0"/>
              <w:jc w:val="both"/>
              <w:textAlignment w:val="baseline"/>
              <w:rPr>
                <w:rStyle w:val="eop"/>
                <w:rFonts w:ascii="Cambria" w:hAnsi="Cambria" w:cs="Segoe UI"/>
                <w:sz w:val="20"/>
                <w:szCs w:val="20"/>
              </w:rPr>
            </w:pPr>
            <w:r w:rsidRPr="004E13E9">
              <w:rPr>
                <w:rStyle w:val="eop"/>
                <w:rFonts w:ascii="Cambria" w:hAnsi="Cambria"/>
                <w:sz w:val="20"/>
                <w:szCs w:val="20"/>
              </w:rPr>
              <w:t> </w:t>
            </w:r>
          </w:p>
          <w:p w14:paraId="4136DFA6" w14:textId="77777777" w:rsidR="003928B6" w:rsidRPr="004E13E9" w:rsidRDefault="003928B6" w:rsidP="000A7B95">
            <w:pPr>
              <w:pStyle w:val="paragraph"/>
              <w:spacing w:before="0" w:beforeAutospacing="0" w:after="0" w:afterAutospacing="0"/>
              <w:jc w:val="both"/>
              <w:textAlignment w:val="baseline"/>
              <w:rPr>
                <w:rFonts w:ascii="Cambria" w:hAnsi="Cambria"/>
                <w:i/>
                <w:iCs/>
                <w:sz w:val="20"/>
                <w:szCs w:val="20"/>
              </w:rPr>
            </w:pPr>
            <w:r w:rsidRPr="004E13E9">
              <w:rPr>
                <w:rFonts w:ascii="Cambria" w:hAnsi="Cambria"/>
                <w:i/>
                <w:sz w:val="20"/>
                <w:szCs w:val="20"/>
              </w:rPr>
              <w:t>Programme de marquage des captures et remise à l’eau (CHART) et programmes de recherche prévus</w:t>
            </w:r>
          </w:p>
          <w:p w14:paraId="712EC5E8" w14:textId="77777777" w:rsidR="003928B6" w:rsidRPr="004E13E9" w:rsidRDefault="003928B6" w:rsidP="000A7B95">
            <w:pPr>
              <w:jc w:val="both"/>
              <w:rPr>
                <w:rFonts w:ascii="Cambria" w:hAnsi="Cambria"/>
                <w:color w:val="auto"/>
                <w:sz w:val="20"/>
                <w:szCs w:val="20"/>
              </w:rPr>
            </w:pPr>
            <w:r w:rsidRPr="004E13E9">
              <w:rPr>
                <w:rStyle w:val="normaltextrun"/>
                <w:rFonts w:ascii="Cambria" w:hAnsi="Cambria"/>
                <w:color w:val="auto"/>
                <w:sz w:val="20"/>
                <w:szCs w:val="20"/>
              </w:rPr>
              <w:t>Cinq (5) t seront allouées pour tenir compte de la mortalité accidentelle dans le cadre des programmes de recherche.</w:t>
            </w:r>
          </w:p>
        </w:tc>
        <w:tc>
          <w:tcPr>
            <w:tcW w:w="2268" w:type="dxa"/>
          </w:tcPr>
          <w:p w14:paraId="2A6B56FC" w14:textId="77777777" w:rsidR="003928B6" w:rsidRPr="004E13E9" w:rsidRDefault="003928B6" w:rsidP="000A7B95">
            <w:pPr>
              <w:jc w:val="both"/>
              <w:rPr>
                <w:rFonts w:ascii="Cambria" w:hAnsi="Cambria"/>
                <w:color w:val="auto"/>
                <w:sz w:val="20"/>
                <w:szCs w:val="20"/>
              </w:rPr>
            </w:pPr>
            <w:r w:rsidRPr="004E13E9">
              <w:rPr>
                <w:rStyle w:val="normaltextrun"/>
                <w:rFonts w:ascii="Cambria" w:hAnsi="Cambria"/>
                <w:color w:val="auto"/>
                <w:sz w:val="20"/>
                <w:szCs w:val="20"/>
                <w:shd w:val="clear" w:color="auto" w:fill="FFFFFF"/>
              </w:rPr>
              <w:t>S.23 de la Loi sur la pêche de 2020</w:t>
            </w:r>
            <w:r w:rsidRPr="004E13E9">
              <w:rPr>
                <w:rStyle w:val="eop"/>
                <w:rFonts w:ascii="Cambria" w:hAnsi="Cambria"/>
                <w:color w:val="auto"/>
                <w:sz w:val="20"/>
                <w:szCs w:val="20"/>
                <w:shd w:val="clear" w:color="auto" w:fill="FFFFFF"/>
              </w:rPr>
              <w:t> </w:t>
            </w:r>
          </w:p>
        </w:tc>
        <w:tc>
          <w:tcPr>
            <w:tcW w:w="1268" w:type="dxa"/>
          </w:tcPr>
          <w:p w14:paraId="72F4C534" w14:textId="77777777" w:rsidR="003928B6" w:rsidRPr="004E13E9" w:rsidRDefault="003928B6" w:rsidP="000A7B95">
            <w:pPr>
              <w:jc w:val="both"/>
              <w:rPr>
                <w:rFonts w:ascii="Cambria" w:hAnsi="Cambria"/>
                <w:color w:val="auto"/>
                <w:sz w:val="20"/>
                <w:szCs w:val="20"/>
              </w:rPr>
            </w:pPr>
          </w:p>
        </w:tc>
      </w:tr>
      <w:tr w:rsidR="003928B6" w:rsidRPr="00C5533C" w14:paraId="66C27952" w14:textId="77777777" w:rsidTr="000B6944">
        <w:tc>
          <w:tcPr>
            <w:tcW w:w="465" w:type="dxa"/>
          </w:tcPr>
          <w:p w14:paraId="7A7F751D" w14:textId="77777777" w:rsidR="003928B6" w:rsidRPr="004E13E9" w:rsidRDefault="003928B6" w:rsidP="00D47E5E">
            <w:pPr>
              <w:rPr>
                <w:rFonts w:ascii="Cambria" w:hAnsi="Cambria"/>
                <w:b/>
                <w:color w:val="auto"/>
                <w:sz w:val="20"/>
                <w:szCs w:val="20"/>
              </w:rPr>
            </w:pPr>
            <w:r w:rsidRPr="004E13E9">
              <w:rPr>
                <w:rFonts w:ascii="Cambria" w:hAnsi="Cambria"/>
                <w:b/>
                <w:color w:val="auto"/>
                <w:sz w:val="20"/>
                <w:szCs w:val="20"/>
              </w:rPr>
              <w:t>5</w:t>
            </w:r>
          </w:p>
        </w:tc>
        <w:tc>
          <w:tcPr>
            <w:tcW w:w="2082" w:type="dxa"/>
          </w:tcPr>
          <w:p w14:paraId="06BCE043" w14:textId="77777777" w:rsidR="003928B6" w:rsidRPr="004E13E9" w:rsidRDefault="003928B6" w:rsidP="000A7B95">
            <w:pPr>
              <w:jc w:val="both"/>
              <w:rPr>
                <w:rFonts w:ascii="Cambria" w:hAnsi="Cambria"/>
                <w:b/>
                <w:color w:val="auto"/>
                <w:sz w:val="20"/>
                <w:szCs w:val="20"/>
              </w:rPr>
            </w:pPr>
            <w:r w:rsidRPr="004E13E9">
              <w:rPr>
                <w:rFonts w:ascii="Cambria" w:hAnsi="Cambria"/>
                <w:b/>
                <w:color w:val="auto"/>
                <w:sz w:val="20"/>
                <w:szCs w:val="20"/>
              </w:rPr>
              <w:t xml:space="preserve">Pêcheries récréatives et sportives </w:t>
            </w:r>
          </w:p>
          <w:p w14:paraId="16F40E3C" w14:textId="77777777" w:rsidR="003928B6" w:rsidRPr="004E13E9" w:rsidRDefault="003928B6" w:rsidP="000A7B95">
            <w:pPr>
              <w:jc w:val="both"/>
              <w:rPr>
                <w:rFonts w:ascii="Cambria" w:hAnsi="Cambria"/>
                <w:b/>
                <w:color w:val="auto"/>
                <w:sz w:val="20"/>
                <w:szCs w:val="20"/>
              </w:rPr>
            </w:pPr>
            <w:r w:rsidRPr="004E13E9">
              <w:rPr>
                <w:rFonts w:ascii="Cambria" w:hAnsi="Cambria"/>
                <w:b/>
                <w:color w:val="auto"/>
                <w:sz w:val="20"/>
                <w:szCs w:val="20"/>
              </w:rPr>
              <w:t>(paragraphes 38-46)</w:t>
            </w:r>
          </w:p>
        </w:tc>
        <w:tc>
          <w:tcPr>
            <w:tcW w:w="2977" w:type="dxa"/>
          </w:tcPr>
          <w:p w14:paraId="2BD2C780" w14:textId="77777777" w:rsidR="003928B6" w:rsidRPr="004E13E9" w:rsidRDefault="003928B6" w:rsidP="000A7B95">
            <w:pPr>
              <w:pStyle w:val="paragraph"/>
              <w:spacing w:before="0" w:beforeAutospacing="0" w:after="0" w:afterAutospacing="0"/>
              <w:jc w:val="both"/>
              <w:textAlignment w:val="baseline"/>
              <w:rPr>
                <w:rStyle w:val="eop"/>
                <w:rFonts w:ascii="Cambria" w:eastAsia="MS Gothic" w:hAnsi="Cambria" w:cs="Segoe UI"/>
                <w:i/>
                <w:sz w:val="20"/>
                <w:szCs w:val="20"/>
              </w:rPr>
            </w:pPr>
            <w:r w:rsidRPr="004E13E9">
              <w:rPr>
                <w:rStyle w:val="normaltextrun"/>
                <w:rFonts w:ascii="Cambria" w:hAnsi="Cambria"/>
                <w:i/>
                <w:sz w:val="20"/>
                <w:szCs w:val="20"/>
              </w:rPr>
              <w:t>Pêche sportive et récréative non liée au marquage</w:t>
            </w:r>
            <w:r w:rsidRPr="004E13E9">
              <w:rPr>
                <w:rStyle w:val="eop"/>
                <w:rFonts w:ascii="Cambria" w:hAnsi="Cambria"/>
                <w:i/>
                <w:sz w:val="20"/>
                <w:szCs w:val="20"/>
              </w:rPr>
              <w:t> </w:t>
            </w:r>
          </w:p>
          <w:p w14:paraId="503C39B6" w14:textId="77777777" w:rsidR="003928B6" w:rsidRPr="004E13E9" w:rsidRDefault="003928B6" w:rsidP="000A7B95">
            <w:pPr>
              <w:pStyle w:val="paragraph"/>
              <w:spacing w:before="0" w:beforeAutospacing="0" w:after="0" w:afterAutospacing="0"/>
              <w:jc w:val="both"/>
              <w:textAlignment w:val="baseline"/>
              <w:rPr>
                <w:rStyle w:val="normaltextrun"/>
                <w:rFonts w:ascii="Cambria" w:hAnsi="Cambria"/>
                <w:sz w:val="20"/>
                <w:szCs w:val="20"/>
              </w:rPr>
            </w:pPr>
            <w:r w:rsidRPr="004E13E9">
              <w:rPr>
                <w:rStyle w:val="normaltextrun"/>
                <w:rFonts w:ascii="Cambria" w:hAnsi="Cambria"/>
                <w:sz w:val="20"/>
                <w:szCs w:val="20"/>
              </w:rPr>
              <w:t xml:space="preserve">Le Royaume-Uni a mis en place une législation permettant à ses autorités de pêche de délivrer aux navires des autorisations de pêche récréative du thon rouge de l’Est. Le Royaume-Uni prévoit actuellement de ne pas délivrer plus de 230 autorisations en 2026. Toutefois, nous continuerons à examiner cette question et l’ICCAT sera informée le cas échéant. </w:t>
            </w:r>
          </w:p>
          <w:p w14:paraId="317EEE82" w14:textId="77777777" w:rsidR="003928B6" w:rsidRPr="004E13E9" w:rsidRDefault="003928B6" w:rsidP="000A7B95">
            <w:pPr>
              <w:pStyle w:val="paragraph"/>
              <w:spacing w:before="0" w:beforeAutospacing="0" w:after="0" w:afterAutospacing="0"/>
              <w:jc w:val="both"/>
              <w:textAlignment w:val="baseline"/>
              <w:rPr>
                <w:rStyle w:val="eop"/>
                <w:rFonts w:ascii="Cambria" w:hAnsi="Cambria" w:cs="Segoe UI"/>
                <w:i/>
                <w:iCs/>
                <w:sz w:val="20"/>
                <w:szCs w:val="20"/>
              </w:rPr>
            </w:pPr>
            <w:r w:rsidRPr="004E13E9">
              <w:rPr>
                <w:rFonts w:ascii="Cambria" w:hAnsi="Cambria"/>
                <w:i/>
                <w:sz w:val="20"/>
                <w:szCs w:val="20"/>
              </w:rPr>
              <w:t>Programme de marquage des captures et remise à l’eau</w:t>
            </w:r>
            <w:r w:rsidRPr="004E13E9">
              <w:rPr>
                <w:rStyle w:val="normaltextrun"/>
                <w:rFonts w:ascii="Cambria" w:hAnsi="Cambria"/>
                <w:i/>
                <w:sz w:val="20"/>
                <w:szCs w:val="20"/>
              </w:rPr>
              <w:t xml:space="preserve"> </w:t>
            </w:r>
            <w:r w:rsidRPr="004E13E9">
              <w:rPr>
                <w:rFonts w:ascii="Cambria" w:hAnsi="Cambria"/>
                <w:i/>
                <w:sz w:val="20"/>
                <w:szCs w:val="20"/>
              </w:rPr>
              <w:t>(CHART) et programmes de recherche</w:t>
            </w:r>
          </w:p>
          <w:p w14:paraId="6D90C093"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normaltextrun"/>
                <w:rFonts w:ascii="Cambria" w:hAnsi="Cambria"/>
                <w:sz w:val="20"/>
                <w:szCs w:val="20"/>
              </w:rPr>
              <w:t>Certaines administrations de pêche du Royaume-Uni mettront en œuvre un programme CHART pour le thon rouge de l’Est dans les eaux britanniques en 2026. Celui-ci sera mené conformément au paragraphe 44 de la Rec. 25-04. Ces activités seront contrôlées par les autorités compétentes des administrations de pêche du Royaume-Uni.</w:t>
            </w:r>
          </w:p>
          <w:p w14:paraId="6538AEF4" w14:textId="77777777" w:rsidR="003928B6" w:rsidRPr="004E13E9" w:rsidRDefault="003928B6" w:rsidP="000A7B95">
            <w:pPr>
              <w:pStyle w:val="paragraph"/>
              <w:spacing w:before="0" w:beforeAutospacing="0" w:after="0" w:afterAutospacing="0"/>
              <w:jc w:val="both"/>
              <w:rPr>
                <w:rStyle w:val="eop"/>
                <w:rFonts w:ascii="Cambria" w:hAnsi="Cambria" w:cs="Segoe UI"/>
                <w:sz w:val="20"/>
                <w:szCs w:val="20"/>
              </w:rPr>
            </w:pPr>
          </w:p>
          <w:p w14:paraId="4A9CA1AE" w14:textId="77777777" w:rsidR="003928B6" w:rsidRPr="004E13E9" w:rsidRDefault="003928B6" w:rsidP="000A7B95">
            <w:pPr>
              <w:jc w:val="both"/>
              <w:rPr>
                <w:rFonts w:ascii="Cambria" w:hAnsi="Cambria"/>
                <w:color w:val="auto"/>
                <w:sz w:val="20"/>
                <w:szCs w:val="20"/>
              </w:rPr>
            </w:pPr>
            <w:r w:rsidRPr="004E13E9">
              <w:rPr>
                <w:rStyle w:val="normaltextrun"/>
                <w:rFonts w:ascii="Cambria" w:hAnsi="Cambria"/>
                <w:color w:val="auto"/>
                <w:sz w:val="20"/>
                <w:szCs w:val="20"/>
              </w:rPr>
              <w:t>Un maximum de 25 navires sera autorisé à participer au programme CHART. Toute mortalité accidentelle résultant de l'activité du programme CHART en 2026 sera prélevée sur le quota de 5 t alloué aux activités scientifiques. Toutes les obligations énoncées au paragraphe 44 de la Rec. 25-04 de l’ICCAT seront respectées.</w:t>
            </w:r>
          </w:p>
        </w:tc>
        <w:tc>
          <w:tcPr>
            <w:tcW w:w="2268" w:type="dxa"/>
          </w:tcPr>
          <w:p w14:paraId="75F35E49" w14:textId="77777777" w:rsidR="003928B6" w:rsidRPr="004E13E9" w:rsidRDefault="003928B6" w:rsidP="000A7B95">
            <w:pPr>
              <w:jc w:val="both"/>
              <w:rPr>
                <w:rFonts w:ascii="Cambria" w:eastAsia="Cambria" w:hAnsi="Cambria" w:cs="Cambria"/>
                <w:color w:val="auto"/>
                <w:sz w:val="20"/>
                <w:szCs w:val="20"/>
              </w:rPr>
            </w:pPr>
            <w:hyperlink r:id="rId209" w:history="1">
              <w:r w:rsidRPr="004E13E9">
                <w:rPr>
                  <w:rStyle w:val="Hyperlink"/>
                  <w:rFonts w:ascii="Cambria" w:hAnsi="Cambria"/>
                  <w:color w:val="auto"/>
                  <w:sz w:val="20"/>
                  <w:szCs w:val="20"/>
                  <w:u w:val="none"/>
                </w:rPr>
                <w:t>Les pêches maritimes (Commission internationale pour la conservation des thonidés de l'Atlantique) (Amendement) (Nº2) Règlements 2024</w:t>
              </w:r>
            </w:hyperlink>
          </w:p>
        </w:tc>
        <w:tc>
          <w:tcPr>
            <w:tcW w:w="1268" w:type="dxa"/>
          </w:tcPr>
          <w:p w14:paraId="1474FAB4" w14:textId="77777777" w:rsidR="003928B6" w:rsidRPr="004E13E9" w:rsidRDefault="003928B6" w:rsidP="000A7B95">
            <w:pPr>
              <w:jc w:val="both"/>
              <w:rPr>
                <w:rFonts w:ascii="Cambria" w:hAnsi="Cambria"/>
                <w:color w:val="auto"/>
                <w:sz w:val="20"/>
                <w:szCs w:val="20"/>
              </w:rPr>
            </w:pPr>
          </w:p>
        </w:tc>
      </w:tr>
      <w:tr w:rsidR="003928B6" w:rsidRPr="00C5533C" w14:paraId="1BBE50F3" w14:textId="77777777" w:rsidTr="000B6944">
        <w:tc>
          <w:tcPr>
            <w:tcW w:w="465" w:type="dxa"/>
          </w:tcPr>
          <w:p w14:paraId="4DB525E4" w14:textId="77777777" w:rsidR="003928B6" w:rsidRPr="004E13E9" w:rsidRDefault="003928B6" w:rsidP="00D47E5E">
            <w:pPr>
              <w:rPr>
                <w:rFonts w:ascii="Cambria" w:hAnsi="Cambria"/>
                <w:b/>
                <w:color w:val="auto"/>
                <w:sz w:val="20"/>
                <w:szCs w:val="20"/>
              </w:rPr>
            </w:pPr>
            <w:r w:rsidRPr="004E13E9">
              <w:rPr>
                <w:rFonts w:ascii="Cambria" w:hAnsi="Cambria"/>
                <w:b/>
                <w:color w:val="auto"/>
                <w:sz w:val="20"/>
                <w:szCs w:val="20"/>
              </w:rPr>
              <w:t>6</w:t>
            </w:r>
          </w:p>
        </w:tc>
        <w:tc>
          <w:tcPr>
            <w:tcW w:w="2082" w:type="dxa"/>
          </w:tcPr>
          <w:p w14:paraId="397B7345" w14:textId="77777777" w:rsidR="003928B6" w:rsidRPr="004E13E9" w:rsidRDefault="003928B6" w:rsidP="000A7B95">
            <w:pPr>
              <w:jc w:val="both"/>
              <w:rPr>
                <w:rFonts w:ascii="Cambria" w:hAnsi="Cambria"/>
                <w:b/>
                <w:color w:val="auto"/>
                <w:sz w:val="20"/>
                <w:szCs w:val="20"/>
              </w:rPr>
            </w:pPr>
            <w:r w:rsidRPr="004E13E9">
              <w:rPr>
                <w:rFonts w:ascii="Cambria" w:hAnsi="Cambria"/>
                <w:b/>
                <w:color w:val="auto"/>
                <w:sz w:val="20"/>
                <w:szCs w:val="20"/>
              </w:rPr>
              <w:t>Transbordement</w:t>
            </w:r>
          </w:p>
          <w:p w14:paraId="5001F6EE" w14:textId="77777777" w:rsidR="003928B6" w:rsidRPr="004E13E9" w:rsidRDefault="003928B6" w:rsidP="000A7B95">
            <w:pPr>
              <w:jc w:val="both"/>
              <w:rPr>
                <w:rFonts w:ascii="Cambria" w:hAnsi="Cambria"/>
                <w:b/>
                <w:color w:val="auto"/>
                <w:sz w:val="20"/>
                <w:szCs w:val="20"/>
              </w:rPr>
            </w:pPr>
            <w:r w:rsidRPr="004E13E9">
              <w:rPr>
                <w:rFonts w:ascii="Cambria" w:hAnsi="Cambria"/>
                <w:b/>
                <w:color w:val="auto"/>
                <w:sz w:val="20"/>
                <w:szCs w:val="20"/>
              </w:rPr>
              <w:t xml:space="preserve">(paragr. 89-94) </w:t>
            </w:r>
          </w:p>
        </w:tc>
        <w:tc>
          <w:tcPr>
            <w:tcW w:w="2977" w:type="dxa"/>
          </w:tcPr>
          <w:p w14:paraId="766AF2A2" w14:textId="77777777" w:rsidR="003928B6" w:rsidRPr="004E13E9" w:rsidRDefault="003928B6" w:rsidP="000A7B95">
            <w:pPr>
              <w:jc w:val="both"/>
              <w:rPr>
                <w:rFonts w:ascii="Cambria" w:hAnsi="Cambria"/>
                <w:color w:val="auto"/>
                <w:sz w:val="20"/>
                <w:szCs w:val="20"/>
              </w:rPr>
            </w:pPr>
            <w:r w:rsidRPr="004E13E9">
              <w:rPr>
                <w:rStyle w:val="normaltextrun"/>
                <w:rFonts w:ascii="Cambria" w:hAnsi="Cambria"/>
                <w:color w:val="auto"/>
                <w:sz w:val="20"/>
                <w:szCs w:val="20"/>
                <w:shd w:val="clear" w:color="auto" w:fill="FFFFFF"/>
              </w:rPr>
              <w:t>Les navires britanniques sont interdits de transbordement en mer.</w:t>
            </w:r>
            <w:r w:rsidRPr="004E13E9">
              <w:rPr>
                <w:rStyle w:val="eop"/>
                <w:rFonts w:ascii="Cambria" w:hAnsi="Cambria"/>
                <w:color w:val="auto"/>
                <w:sz w:val="20"/>
                <w:szCs w:val="20"/>
                <w:shd w:val="clear" w:color="auto" w:fill="FFFFFF"/>
              </w:rPr>
              <w:t> </w:t>
            </w:r>
          </w:p>
          <w:p w14:paraId="7FEB1973" w14:textId="77777777" w:rsidR="003928B6" w:rsidRPr="004E13E9" w:rsidRDefault="003928B6" w:rsidP="000A7B95">
            <w:pPr>
              <w:jc w:val="both"/>
              <w:rPr>
                <w:rFonts w:ascii="Cambria" w:hAnsi="Cambria"/>
                <w:color w:val="auto"/>
                <w:sz w:val="20"/>
                <w:szCs w:val="20"/>
              </w:rPr>
            </w:pPr>
            <w:r w:rsidRPr="004E13E9">
              <w:rPr>
                <w:rFonts w:ascii="Cambria" w:hAnsi="Cambria"/>
                <w:color w:val="auto"/>
                <w:sz w:val="20"/>
                <w:szCs w:val="20"/>
              </w:rPr>
              <w:t>En outre, le Royaume-Uni n'autorise pas le transbordement dans les ports.</w:t>
            </w:r>
          </w:p>
        </w:tc>
        <w:tc>
          <w:tcPr>
            <w:tcW w:w="2268" w:type="dxa"/>
          </w:tcPr>
          <w:p w14:paraId="793C407E" w14:textId="77777777" w:rsidR="003928B6" w:rsidRPr="004E13E9" w:rsidRDefault="003928B6" w:rsidP="000A7B95">
            <w:pPr>
              <w:jc w:val="both"/>
              <w:rPr>
                <w:rFonts w:ascii="Cambria" w:hAnsi="Cambria"/>
                <w:color w:val="auto"/>
                <w:sz w:val="20"/>
                <w:szCs w:val="20"/>
              </w:rPr>
            </w:pPr>
            <w:r w:rsidRPr="004E13E9">
              <w:rPr>
                <w:rStyle w:val="normaltextrun"/>
                <w:rFonts w:ascii="Cambria" w:hAnsi="Cambria"/>
                <w:color w:val="auto"/>
                <w:sz w:val="20"/>
                <w:szCs w:val="20"/>
                <w:shd w:val="clear" w:color="auto" w:fill="FFFFFF"/>
              </w:rPr>
              <w:t>Article 20 de la réglementation retenue 1224/2009 (navires commerciaux)</w:t>
            </w:r>
            <w:r w:rsidRPr="004E13E9">
              <w:rPr>
                <w:rStyle w:val="eop"/>
                <w:rFonts w:ascii="Cambria" w:hAnsi="Cambria"/>
                <w:color w:val="auto"/>
                <w:sz w:val="20"/>
                <w:szCs w:val="20"/>
                <w:shd w:val="clear" w:color="auto" w:fill="FFFFFF"/>
              </w:rPr>
              <w:t> </w:t>
            </w:r>
          </w:p>
        </w:tc>
        <w:tc>
          <w:tcPr>
            <w:tcW w:w="1268" w:type="dxa"/>
          </w:tcPr>
          <w:p w14:paraId="17831B63" w14:textId="77777777" w:rsidR="003928B6" w:rsidRPr="004E13E9" w:rsidRDefault="003928B6" w:rsidP="000A7B95">
            <w:pPr>
              <w:jc w:val="both"/>
              <w:rPr>
                <w:rFonts w:ascii="Cambria" w:hAnsi="Cambria"/>
                <w:color w:val="auto"/>
                <w:sz w:val="20"/>
                <w:szCs w:val="20"/>
              </w:rPr>
            </w:pPr>
          </w:p>
        </w:tc>
      </w:tr>
      <w:tr w:rsidR="003928B6" w:rsidRPr="00C5533C" w14:paraId="3674A202" w14:textId="77777777" w:rsidTr="000B6944">
        <w:tc>
          <w:tcPr>
            <w:tcW w:w="465" w:type="dxa"/>
          </w:tcPr>
          <w:p w14:paraId="6F3445A7" w14:textId="77777777" w:rsidR="003928B6" w:rsidRPr="004E13E9" w:rsidRDefault="003928B6" w:rsidP="00D47E5E">
            <w:pPr>
              <w:rPr>
                <w:rFonts w:ascii="Cambria" w:hAnsi="Cambria"/>
                <w:b/>
                <w:color w:val="auto"/>
                <w:sz w:val="20"/>
                <w:szCs w:val="20"/>
              </w:rPr>
            </w:pPr>
            <w:r w:rsidRPr="004E13E9">
              <w:rPr>
                <w:rFonts w:ascii="Cambria" w:hAnsi="Cambria"/>
                <w:b/>
                <w:color w:val="auto"/>
                <w:sz w:val="20"/>
                <w:szCs w:val="20"/>
              </w:rPr>
              <w:t>7</w:t>
            </w:r>
          </w:p>
        </w:tc>
        <w:tc>
          <w:tcPr>
            <w:tcW w:w="2082" w:type="dxa"/>
          </w:tcPr>
          <w:p w14:paraId="43610D88" w14:textId="77777777" w:rsidR="003928B6" w:rsidRPr="004E13E9" w:rsidRDefault="003928B6" w:rsidP="000A7B95">
            <w:pPr>
              <w:jc w:val="both"/>
              <w:rPr>
                <w:rFonts w:ascii="Cambria" w:hAnsi="Cambria"/>
                <w:b/>
                <w:color w:val="auto"/>
                <w:sz w:val="20"/>
                <w:szCs w:val="20"/>
              </w:rPr>
            </w:pPr>
            <w:r w:rsidRPr="004E13E9">
              <w:rPr>
                <w:rFonts w:ascii="Cambria" w:hAnsi="Cambria"/>
                <w:b/>
                <w:color w:val="auto"/>
                <w:sz w:val="20"/>
                <w:szCs w:val="20"/>
              </w:rPr>
              <w:t xml:space="preserve">VMS </w:t>
            </w:r>
          </w:p>
          <w:p w14:paraId="7D50E99A" w14:textId="77777777" w:rsidR="003928B6" w:rsidRPr="004E13E9" w:rsidRDefault="003928B6" w:rsidP="000A7B95">
            <w:pPr>
              <w:jc w:val="both"/>
              <w:rPr>
                <w:rFonts w:ascii="Cambria" w:hAnsi="Cambria"/>
                <w:b/>
                <w:color w:val="auto"/>
                <w:sz w:val="20"/>
                <w:szCs w:val="20"/>
              </w:rPr>
            </w:pPr>
            <w:r w:rsidRPr="004E13E9">
              <w:rPr>
                <w:rFonts w:ascii="Cambria" w:hAnsi="Cambria"/>
                <w:b/>
                <w:color w:val="auto"/>
                <w:sz w:val="20"/>
                <w:szCs w:val="20"/>
              </w:rPr>
              <w:t>(paragr. 222-228)</w:t>
            </w:r>
          </w:p>
        </w:tc>
        <w:tc>
          <w:tcPr>
            <w:tcW w:w="2977" w:type="dxa"/>
          </w:tcPr>
          <w:p w14:paraId="241EB8ED"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normaltextrun"/>
                <w:rFonts w:ascii="Cambria" w:hAnsi="Cambria"/>
                <w:i/>
                <w:sz w:val="20"/>
                <w:szCs w:val="20"/>
              </w:rPr>
              <w:t>Pêcheries commerciales</w:t>
            </w:r>
          </w:p>
          <w:p w14:paraId="49A918DD"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normaltextrun"/>
                <w:rFonts w:ascii="Cambria" w:hAnsi="Cambria"/>
                <w:sz w:val="20"/>
                <w:szCs w:val="20"/>
              </w:rPr>
              <w:t>Les navires de pêche commerciale du Royaume-Uni d’une longueur de 12 m et plus doivent disposer d'un système de surveillance des navires (VMS) opérationnel pour pouvoir opérer dans les eaux britanniques, dans les eaux de pays tiers et/ou dans les eaux internationales. Les systèmes VMS des navires doivent signaler leur position toutes les deux heures.</w:t>
            </w:r>
            <w:r w:rsidRPr="004E13E9">
              <w:rPr>
                <w:rStyle w:val="eop"/>
                <w:rFonts w:ascii="Cambria" w:hAnsi="Cambria"/>
                <w:sz w:val="20"/>
                <w:szCs w:val="20"/>
              </w:rPr>
              <w:t xml:space="preserve"> </w:t>
            </w:r>
          </w:p>
          <w:p w14:paraId="772BBC09" w14:textId="77777777" w:rsidR="003928B6" w:rsidRPr="004E13E9" w:rsidRDefault="003928B6" w:rsidP="000A7B95">
            <w:pPr>
              <w:pStyle w:val="paragraph"/>
              <w:spacing w:before="0" w:beforeAutospacing="0" w:after="0" w:afterAutospacing="0"/>
              <w:jc w:val="both"/>
              <w:textAlignment w:val="baseline"/>
              <w:rPr>
                <w:rStyle w:val="normaltextrun"/>
                <w:rFonts w:ascii="Cambria" w:hAnsi="Cambria"/>
                <w:sz w:val="20"/>
                <w:szCs w:val="20"/>
                <w:lang w:eastAsia="fr-FR"/>
              </w:rPr>
            </w:pPr>
          </w:p>
          <w:p w14:paraId="63D998BB" w14:textId="77777777" w:rsidR="003928B6" w:rsidRPr="004E13E9" w:rsidRDefault="003928B6" w:rsidP="000A7B95">
            <w:pPr>
              <w:pStyle w:val="paragraph"/>
              <w:spacing w:before="0" w:beforeAutospacing="0" w:after="0" w:afterAutospacing="0"/>
              <w:jc w:val="both"/>
              <w:rPr>
                <w:rStyle w:val="normaltextrun"/>
                <w:rFonts w:ascii="Cambria" w:hAnsi="Cambria" w:cs="Segoe UI"/>
                <w:sz w:val="20"/>
                <w:szCs w:val="20"/>
              </w:rPr>
            </w:pPr>
            <w:r w:rsidRPr="004E13E9">
              <w:rPr>
                <w:rStyle w:val="normaltextrun"/>
                <w:rFonts w:ascii="Cambria" w:hAnsi="Cambria"/>
                <w:sz w:val="20"/>
                <w:szCs w:val="20"/>
              </w:rPr>
              <w:t xml:space="preserve">L'Angleterre a l'intention d'imposer à tous les navires de pêche commerciale de moins de 12 m, quelle que soit leur nationalité, l'obligation de disposer d'un VMS opérationnel lorsqu'ils opèrent dans les eaux anglaises. Cette mesure est déjà en place dans les eaux du Pays de Galles et de Jersey.  </w:t>
            </w:r>
          </w:p>
          <w:p w14:paraId="2DC53AB1" w14:textId="77777777" w:rsidR="003928B6" w:rsidRPr="004E13E9" w:rsidRDefault="003928B6" w:rsidP="000A7B95">
            <w:pPr>
              <w:pStyle w:val="paragraph"/>
              <w:spacing w:before="0" w:beforeAutospacing="0" w:after="0" w:afterAutospacing="0"/>
              <w:jc w:val="both"/>
              <w:textAlignment w:val="baseline"/>
              <w:rPr>
                <w:rStyle w:val="normaltextrun"/>
                <w:rFonts w:ascii="Cambria" w:hAnsi="Cambria" w:cs="Segoe UI"/>
                <w:sz w:val="20"/>
                <w:szCs w:val="20"/>
                <w:lang w:eastAsia="fr-FR"/>
              </w:rPr>
            </w:pPr>
          </w:p>
          <w:p w14:paraId="02695C57" w14:textId="77777777" w:rsidR="003928B6" w:rsidRPr="004E13E9" w:rsidRDefault="003928B6" w:rsidP="000A7B95">
            <w:pPr>
              <w:pStyle w:val="paragraph"/>
              <w:spacing w:before="0" w:beforeAutospacing="0" w:after="0" w:afterAutospacing="0"/>
              <w:jc w:val="both"/>
              <w:textAlignment w:val="baseline"/>
              <w:rPr>
                <w:rFonts w:ascii="Cambria" w:hAnsi="Cambria"/>
                <w:sz w:val="20"/>
                <w:szCs w:val="20"/>
              </w:rPr>
            </w:pPr>
            <w:r w:rsidRPr="004E13E9">
              <w:rPr>
                <w:rStyle w:val="normaltextrun"/>
                <w:rFonts w:ascii="Cambria" w:hAnsi="Cambria"/>
                <w:i/>
                <w:sz w:val="20"/>
                <w:szCs w:val="20"/>
              </w:rPr>
              <w:t>Programme de marquage des captures et remise à l’eau (CHART) et programmes de recherche </w:t>
            </w:r>
          </w:p>
          <w:p w14:paraId="1F082663" w14:textId="77777777" w:rsidR="003928B6" w:rsidRPr="004E13E9" w:rsidRDefault="003928B6" w:rsidP="000A7B95">
            <w:pPr>
              <w:jc w:val="both"/>
              <w:rPr>
                <w:rFonts w:ascii="Cambria" w:hAnsi="Cambria"/>
                <w:color w:val="auto"/>
                <w:sz w:val="20"/>
                <w:szCs w:val="20"/>
              </w:rPr>
            </w:pPr>
            <w:r w:rsidRPr="004E13E9">
              <w:rPr>
                <w:rStyle w:val="normaltextrun"/>
                <w:rFonts w:ascii="Cambria" w:hAnsi="Cambria"/>
                <w:color w:val="auto"/>
                <w:sz w:val="20"/>
                <w:szCs w:val="20"/>
              </w:rPr>
              <w:t>Les navires devront tenir un registre de leurs activités pour chaque jour de pêche aux thonidés et les soumettre aux autorités compétentes en matière de pêche ou aux organismes scientifiques désignés responsables du programme de recherche, p. ex. le programme CHART en Irlande du Nord, à l'Institut de l'agroalimentaire et des biosciences (AFBI), en Écosse l’Association écossaise des sciences de la mer (SAMS) et l'Université d'Exeter, et à Jersey, Ressources marines et pêcheries.</w:t>
            </w:r>
          </w:p>
        </w:tc>
        <w:tc>
          <w:tcPr>
            <w:tcW w:w="2268" w:type="dxa"/>
          </w:tcPr>
          <w:p w14:paraId="16B560F6" w14:textId="77777777" w:rsidR="003928B6" w:rsidRPr="004E13E9" w:rsidRDefault="003928B6" w:rsidP="000A7B95">
            <w:pPr>
              <w:jc w:val="both"/>
              <w:rPr>
                <w:rFonts w:ascii="Cambria" w:hAnsi="Cambria"/>
                <w:color w:val="auto"/>
                <w:sz w:val="20"/>
                <w:szCs w:val="20"/>
              </w:rPr>
            </w:pPr>
            <w:r w:rsidRPr="004E13E9">
              <w:rPr>
                <w:rStyle w:val="normaltextrun"/>
                <w:rFonts w:ascii="Cambria" w:hAnsi="Cambria"/>
                <w:color w:val="auto"/>
                <w:sz w:val="20"/>
                <w:szCs w:val="20"/>
                <w:shd w:val="clear" w:color="auto" w:fill="FFFFFF"/>
              </w:rPr>
              <w:t>Article 9 de la Réglementation retenue 1224/2009</w:t>
            </w:r>
            <w:r w:rsidRPr="004E13E9">
              <w:rPr>
                <w:rStyle w:val="eop"/>
                <w:rFonts w:ascii="Cambria" w:hAnsi="Cambria"/>
                <w:color w:val="auto"/>
                <w:sz w:val="20"/>
                <w:szCs w:val="20"/>
                <w:shd w:val="clear" w:color="auto" w:fill="FFFFFF"/>
              </w:rPr>
              <w:t> </w:t>
            </w:r>
          </w:p>
        </w:tc>
        <w:tc>
          <w:tcPr>
            <w:tcW w:w="1268" w:type="dxa"/>
          </w:tcPr>
          <w:p w14:paraId="4755824D" w14:textId="77777777" w:rsidR="003928B6" w:rsidRPr="004E13E9" w:rsidRDefault="003928B6" w:rsidP="000A7B95">
            <w:pPr>
              <w:jc w:val="both"/>
              <w:rPr>
                <w:rFonts w:ascii="Cambria" w:hAnsi="Cambria"/>
                <w:color w:val="auto"/>
                <w:sz w:val="20"/>
                <w:szCs w:val="20"/>
              </w:rPr>
            </w:pPr>
          </w:p>
        </w:tc>
      </w:tr>
      <w:tr w:rsidR="003928B6" w:rsidRPr="004E13E9" w14:paraId="560C69BD" w14:textId="77777777" w:rsidTr="000B6944">
        <w:tc>
          <w:tcPr>
            <w:tcW w:w="465" w:type="dxa"/>
          </w:tcPr>
          <w:p w14:paraId="3377FEFE" w14:textId="77777777" w:rsidR="003928B6" w:rsidRPr="004E13E9" w:rsidRDefault="003928B6" w:rsidP="00D47E5E">
            <w:pPr>
              <w:rPr>
                <w:rFonts w:ascii="Cambria" w:hAnsi="Cambria"/>
                <w:b/>
                <w:color w:val="auto"/>
                <w:sz w:val="20"/>
                <w:szCs w:val="20"/>
              </w:rPr>
            </w:pPr>
            <w:r w:rsidRPr="004E13E9">
              <w:rPr>
                <w:rFonts w:ascii="Cambria" w:hAnsi="Cambria"/>
                <w:b/>
                <w:color w:val="auto"/>
                <w:sz w:val="20"/>
                <w:szCs w:val="20"/>
              </w:rPr>
              <w:t>8</w:t>
            </w:r>
          </w:p>
        </w:tc>
        <w:tc>
          <w:tcPr>
            <w:tcW w:w="2082" w:type="dxa"/>
          </w:tcPr>
          <w:p w14:paraId="1D7E2F11" w14:textId="77777777" w:rsidR="003928B6" w:rsidRPr="004E13E9" w:rsidRDefault="003928B6" w:rsidP="000A7B95">
            <w:pPr>
              <w:jc w:val="both"/>
              <w:rPr>
                <w:rFonts w:ascii="Cambria" w:hAnsi="Cambria"/>
                <w:b/>
                <w:color w:val="auto"/>
                <w:sz w:val="20"/>
                <w:szCs w:val="20"/>
              </w:rPr>
            </w:pPr>
            <w:r w:rsidRPr="004E13E9">
              <w:rPr>
                <w:rFonts w:ascii="Cambria" w:hAnsi="Cambria"/>
                <w:b/>
                <w:color w:val="auto"/>
                <w:sz w:val="20"/>
                <w:szCs w:val="20"/>
              </w:rPr>
              <w:t>Programme d’observateurs des CPC (paragr. 95-100)</w:t>
            </w:r>
          </w:p>
        </w:tc>
        <w:tc>
          <w:tcPr>
            <w:tcW w:w="2977" w:type="dxa"/>
          </w:tcPr>
          <w:p w14:paraId="0CE05C05" w14:textId="77777777" w:rsidR="003928B6" w:rsidRPr="004E13E9" w:rsidRDefault="003928B6" w:rsidP="000A7B95">
            <w:pPr>
              <w:pStyle w:val="paragraph"/>
              <w:spacing w:before="0" w:beforeAutospacing="0" w:after="0" w:afterAutospacing="0"/>
              <w:jc w:val="both"/>
              <w:textAlignment w:val="baseline"/>
              <w:rPr>
                <w:rStyle w:val="eop"/>
                <w:rFonts w:ascii="Cambria" w:hAnsi="Cambria" w:cs="Segoe UI"/>
                <w:i/>
                <w:iCs/>
                <w:sz w:val="20"/>
                <w:szCs w:val="20"/>
              </w:rPr>
            </w:pPr>
            <w:r w:rsidRPr="004E13E9">
              <w:rPr>
                <w:rFonts w:ascii="Cambria" w:hAnsi="Cambria"/>
                <w:i/>
                <w:sz w:val="20"/>
                <w:szCs w:val="20"/>
              </w:rPr>
              <w:t>Programmes de marquage des captures et remises à l'eau</w:t>
            </w:r>
            <w:r w:rsidRPr="004E13E9">
              <w:rPr>
                <w:rStyle w:val="eop"/>
                <w:rFonts w:ascii="Cambria" w:hAnsi="Cambria"/>
                <w:i/>
                <w:sz w:val="20"/>
                <w:szCs w:val="20"/>
              </w:rPr>
              <w:t> (CHART)</w:t>
            </w:r>
          </w:p>
          <w:p w14:paraId="1636F22D" w14:textId="77777777" w:rsidR="003928B6" w:rsidRPr="004E13E9" w:rsidRDefault="003928B6" w:rsidP="000A7B95">
            <w:pPr>
              <w:pStyle w:val="paragraph"/>
              <w:spacing w:before="0" w:beforeAutospacing="0" w:after="0" w:afterAutospacing="0"/>
              <w:jc w:val="both"/>
              <w:textAlignment w:val="baseline"/>
              <w:rPr>
                <w:rFonts w:ascii="Cambria" w:hAnsi="Cambria" w:cs="Segoe UI"/>
                <w:sz w:val="20"/>
                <w:szCs w:val="20"/>
              </w:rPr>
            </w:pPr>
            <w:r w:rsidRPr="004E13E9">
              <w:rPr>
                <w:rStyle w:val="normaltextrun"/>
                <w:rFonts w:ascii="Cambria" w:hAnsi="Cambria"/>
                <w:sz w:val="20"/>
                <w:szCs w:val="20"/>
              </w:rPr>
              <w:t>Le programme CHART vise à observer jusqu’à 5% des activités de marquage afin de garantir le respect des meilleures pratiques des protocoles de capture, marquage et remise à l'eau.</w:t>
            </w:r>
          </w:p>
          <w:p w14:paraId="54F57154" w14:textId="77777777" w:rsidR="003928B6" w:rsidRPr="004E13E9" w:rsidRDefault="003928B6" w:rsidP="000A7B95">
            <w:pPr>
              <w:jc w:val="both"/>
              <w:rPr>
                <w:rFonts w:ascii="Cambria" w:hAnsi="Cambria"/>
                <w:color w:val="auto"/>
                <w:sz w:val="20"/>
                <w:szCs w:val="20"/>
              </w:rPr>
            </w:pPr>
          </w:p>
          <w:p w14:paraId="67097A35" w14:textId="77777777" w:rsidR="003928B6" w:rsidRPr="004E13E9" w:rsidRDefault="003928B6" w:rsidP="000A7B95">
            <w:pPr>
              <w:jc w:val="both"/>
              <w:rPr>
                <w:rFonts w:ascii="Cambria" w:hAnsi="Cambria"/>
                <w:i/>
                <w:iCs/>
                <w:color w:val="auto"/>
                <w:sz w:val="20"/>
                <w:szCs w:val="20"/>
              </w:rPr>
            </w:pPr>
            <w:r w:rsidRPr="004E13E9">
              <w:rPr>
                <w:rFonts w:ascii="Cambria" w:hAnsi="Cambria"/>
                <w:i/>
                <w:color w:val="auto"/>
                <w:sz w:val="20"/>
                <w:szCs w:val="20"/>
              </w:rPr>
              <w:t>Pêcherie commerciale</w:t>
            </w:r>
          </w:p>
          <w:p w14:paraId="71A22329" w14:textId="77777777" w:rsidR="003928B6" w:rsidRPr="004E13E9" w:rsidRDefault="003928B6" w:rsidP="000A7B95">
            <w:pPr>
              <w:jc w:val="both"/>
              <w:rPr>
                <w:rStyle w:val="eop"/>
                <w:rFonts w:ascii="Cambria" w:hAnsi="Cambria" w:cs="Segoe UI"/>
                <w:color w:val="auto"/>
                <w:sz w:val="20"/>
                <w:szCs w:val="20"/>
              </w:rPr>
            </w:pPr>
            <w:r w:rsidRPr="004E13E9">
              <w:rPr>
                <w:rStyle w:val="eop"/>
                <w:rFonts w:ascii="Cambria" w:hAnsi="Cambria"/>
                <w:color w:val="auto"/>
                <w:sz w:val="20"/>
                <w:szCs w:val="20"/>
              </w:rPr>
              <w:t>La pêcherie commerciale de thon rouge de l’Est du Royaume-Uni sera limitée aux navires de moins de 12 m qui utiliseront des cannes et des moulinets. Ils ne seront pas autorisés à appâter.</w:t>
            </w:r>
          </w:p>
          <w:p w14:paraId="742BC8EA" w14:textId="77777777" w:rsidR="003928B6" w:rsidRPr="004E13E9" w:rsidRDefault="003928B6" w:rsidP="000A7B95">
            <w:pPr>
              <w:jc w:val="both"/>
              <w:rPr>
                <w:rStyle w:val="eop"/>
                <w:rFonts w:ascii="Cambria" w:hAnsi="Cambria" w:cs="Segoe UI"/>
                <w:color w:val="auto"/>
                <w:sz w:val="20"/>
                <w:szCs w:val="20"/>
              </w:rPr>
            </w:pPr>
          </w:p>
          <w:p w14:paraId="4EC79DF0" w14:textId="77777777" w:rsidR="003928B6" w:rsidRPr="004E13E9" w:rsidRDefault="003928B6" w:rsidP="000A7B95">
            <w:pPr>
              <w:jc w:val="both"/>
              <w:rPr>
                <w:rFonts w:ascii="Cambria" w:hAnsi="Cambria"/>
                <w:color w:val="auto"/>
                <w:sz w:val="20"/>
                <w:szCs w:val="20"/>
              </w:rPr>
            </w:pPr>
            <w:r w:rsidRPr="004E13E9">
              <w:rPr>
                <w:rStyle w:val="eop"/>
                <w:rFonts w:ascii="Cambria" w:hAnsi="Cambria"/>
                <w:color w:val="auto"/>
                <w:sz w:val="20"/>
                <w:szCs w:val="20"/>
              </w:rPr>
              <w:t>Le paragraphe 95 de la Rec. 25-04 de l'ICCAT n'exige pas que les navires de moins de 15 m déploient des observateurs. Toutefois, l'activité des navires britanniques est étroitement surveillée.</w:t>
            </w:r>
          </w:p>
        </w:tc>
        <w:tc>
          <w:tcPr>
            <w:tcW w:w="2268" w:type="dxa"/>
          </w:tcPr>
          <w:p w14:paraId="5B02CD70" w14:textId="77777777" w:rsidR="003928B6" w:rsidRPr="004E13E9" w:rsidRDefault="003928B6" w:rsidP="000A7B95">
            <w:pPr>
              <w:jc w:val="both"/>
              <w:rPr>
                <w:rFonts w:ascii="Cambria" w:hAnsi="Cambria"/>
                <w:color w:val="auto"/>
                <w:sz w:val="20"/>
                <w:szCs w:val="20"/>
              </w:rPr>
            </w:pPr>
          </w:p>
        </w:tc>
        <w:tc>
          <w:tcPr>
            <w:tcW w:w="1268" w:type="dxa"/>
          </w:tcPr>
          <w:p w14:paraId="159025F2" w14:textId="77777777" w:rsidR="003928B6" w:rsidRPr="004E13E9" w:rsidRDefault="003928B6" w:rsidP="000A7B95">
            <w:pPr>
              <w:jc w:val="both"/>
              <w:rPr>
                <w:rFonts w:ascii="Cambria" w:hAnsi="Cambria"/>
                <w:color w:val="auto"/>
                <w:sz w:val="20"/>
                <w:szCs w:val="20"/>
              </w:rPr>
            </w:pPr>
          </w:p>
        </w:tc>
      </w:tr>
      <w:tr w:rsidR="003928B6" w:rsidRPr="00C5533C" w14:paraId="3A45C23A" w14:textId="77777777" w:rsidTr="000B6944">
        <w:tc>
          <w:tcPr>
            <w:tcW w:w="465" w:type="dxa"/>
          </w:tcPr>
          <w:p w14:paraId="354153AC" w14:textId="77777777" w:rsidR="003928B6" w:rsidRPr="004E13E9" w:rsidRDefault="003928B6" w:rsidP="00D47E5E">
            <w:pPr>
              <w:rPr>
                <w:rFonts w:ascii="Cambria" w:hAnsi="Cambria"/>
                <w:b/>
                <w:color w:val="auto"/>
                <w:sz w:val="20"/>
                <w:szCs w:val="20"/>
              </w:rPr>
            </w:pPr>
            <w:r w:rsidRPr="004E13E9">
              <w:rPr>
                <w:rFonts w:ascii="Cambria" w:hAnsi="Cambria"/>
                <w:b/>
                <w:color w:val="auto"/>
                <w:sz w:val="20"/>
                <w:szCs w:val="20"/>
              </w:rPr>
              <w:t>9</w:t>
            </w:r>
          </w:p>
        </w:tc>
        <w:tc>
          <w:tcPr>
            <w:tcW w:w="2082" w:type="dxa"/>
          </w:tcPr>
          <w:p w14:paraId="2633C96C" w14:textId="77777777" w:rsidR="003928B6" w:rsidRPr="004E13E9" w:rsidRDefault="003928B6" w:rsidP="000A7B95">
            <w:pPr>
              <w:jc w:val="both"/>
              <w:rPr>
                <w:rFonts w:ascii="Cambria" w:hAnsi="Cambria"/>
                <w:b/>
                <w:color w:val="auto"/>
                <w:sz w:val="20"/>
                <w:szCs w:val="20"/>
              </w:rPr>
            </w:pPr>
            <w:r w:rsidRPr="004E13E9">
              <w:rPr>
                <w:rFonts w:ascii="Cambria" w:hAnsi="Cambria"/>
                <w:b/>
                <w:color w:val="auto"/>
                <w:sz w:val="20"/>
                <w:szCs w:val="20"/>
              </w:rPr>
              <w:t xml:space="preserve">Programme d’observateurs régionaux </w:t>
            </w:r>
          </w:p>
          <w:p w14:paraId="2BC30934" w14:textId="77777777" w:rsidR="003928B6" w:rsidRPr="004E13E9" w:rsidRDefault="003928B6" w:rsidP="000A7B95">
            <w:pPr>
              <w:jc w:val="both"/>
              <w:rPr>
                <w:rFonts w:ascii="Cambria" w:hAnsi="Cambria"/>
                <w:b/>
                <w:color w:val="auto"/>
                <w:sz w:val="20"/>
                <w:szCs w:val="20"/>
              </w:rPr>
            </w:pPr>
            <w:r w:rsidRPr="004E13E9">
              <w:rPr>
                <w:rFonts w:ascii="Cambria" w:hAnsi="Cambria"/>
                <w:b/>
                <w:color w:val="auto"/>
                <w:sz w:val="20"/>
                <w:szCs w:val="20"/>
              </w:rPr>
              <w:t>(paragr. 101-107)</w:t>
            </w:r>
          </w:p>
        </w:tc>
        <w:tc>
          <w:tcPr>
            <w:tcW w:w="2977" w:type="dxa"/>
          </w:tcPr>
          <w:p w14:paraId="7444E8FA" w14:textId="77777777" w:rsidR="003928B6" w:rsidRPr="004E13E9" w:rsidRDefault="003928B6" w:rsidP="000A7B95">
            <w:pPr>
              <w:jc w:val="both"/>
              <w:rPr>
                <w:rFonts w:ascii="Cambria" w:hAnsi="Cambria"/>
                <w:color w:val="auto"/>
                <w:sz w:val="20"/>
                <w:szCs w:val="20"/>
              </w:rPr>
            </w:pPr>
            <w:r w:rsidRPr="004E13E9">
              <w:rPr>
                <w:rStyle w:val="normaltextrun"/>
                <w:rFonts w:ascii="Cambria" w:hAnsi="Cambria"/>
                <w:color w:val="auto"/>
                <w:sz w:val="20"/>
                <w:szCs w:val="20"/>
                <w:shd w:val="clear" w:color="auto" w:fill="FFFFFF"/>
              </w:rPr>
              <w:t>N/A - Le Royaume-Uni n'a pas l'intention d'autoriser les senneurs à pêcher du thon rouge. Le Royaume-Uni n'autorisera pas non plus les madragues, la mise en cage, les transferts d'une cage à l'autre ou l'élevage du thon rouge de l'Est.</w:t>
            </w:r>
          </w:p>
        </w:tc>
        <w:tc>
          <w:tcPr>
            <w:tcW w:w="2268" w:type="dxa"/>
          </w:tcPr>
          <w:p w14:paraId="12AABDE7" w14:textId="77777777" w:rsidR="003928B6" w:rsidRPr="004E13E9" w:rsidRDefault="003928B6" w:rsidP="000A7B95">
            <w:pPr>
              <w:jc w:val="both"/>
              <w:rPr>
                <w:rFonts w:ascii="Cambria" w:hAnsi="Cambria"/>
                <w:color w:val="auto"/>
                <w:sz w:val="20"/>
                <w:szCs w:val="20"/>
              </w:rPr>
            </w:pPr>
          </w:p>
        </w:tc>
        <w:tc>
          <w:tcPr>
            <w:tcW w:w="1268" w:type="dxa"/>
          </w:tcPr>
          <w:p w14:paraId="3B43FCCB" w14:textId="77777777" w:rsidR="003928B6" w:rsidRPr="004E13E9" w:rsidRDefault="003928B6" w:rsidP="000A7B95">
            <w:pPr>
              <w:jc w:val="both"/>
              <w:rPr>
                <w:rFonts w:ascii="Cambria" w:hAnsi="Cambria"/>
                <w:color w:val="auto"/>
                <w:sz w:val="20"/>
                <w:szCs w:val="20"/>
              </w:rPr>
            </w:pPr>
          </w:p>
        </w:tc>
      </w:tr>
      <w:tr w:rsidR="003928B6" w:rsidRPr="004E13E9" w14:paraId="6131DDCE" w14:textId="77777777" w:rsidTr="000B6944">
        <w:tc>
          <w:tcPr>
            <w:tcW w:w="465" w:type="dxa"/>
          </w:tcPr>
          <w:p w14:paraId="2138F3AE" w14:textId="77777777" w:rsidR="003928B6" w:rsidRPr="004E13E9" w:rsidRDefault="003928B6" w:rsidP="00D47E5E">
            <w:pPr>
              <w:rPr>
                <w:rFonts w:ascii="Cambria" w:hAnsi="Cambria"/>
                <w:b/>
                <w:bCs/>
                <w:iCs/>
                <w:color w:val="auto"/>
                <w:sz w:val="20"/>
                <w:szCs w:val="20"/>
              </w:rPr>
            </w:pPr>
            <w:r w:rsidRPr="004E13E9">
              <w:rPr>
                <w:rFonts w:ascii="Cambria" w:hAnsi="Cambria"/>
                <w:b/>
                <w:color w:val="auto"/>
                <w:sz w:val="20"/>
                <w:szCs w:val="20"/>
              </w:rPr>
              <w:t>10</w:t>
            </w:r>
          </w:p>
        </w:tc>
        <w:tc>
          <w:tcPr>
            <w:tcW w:w="2082" w:type="dxa"/>
          </w:tcPr>
          <w:p w14:paraId="20E90E10" w14:textId="77777777" w:rsidR="003928B6" w:rsidRPr="004E13E9" w:rsidRDefault="003928B6" w:rsidP="000A7B95">
            <w:pPr>
              <w:jc w:val="both"/>
              <w:rPr>
                <w:rFonts w:ascii="Cambria" w:hAnsi="Cambria"/>
                <w:b/>
                <w:bCs/>
                <w:iCs/>
                <w:color w:val="auto"/>
                <w:sz w:val="20"/>
                <w:szCs w:val="20"/>
              </w:rPr>
            </w:pPr>
            <w:r w:rsidRPr="004E13E9">
              <w:rPr>
                <w:rFonts w:ascii="Cambria" w:hAnsi="Cambria"/>
                <w:b/>
                <w:color w:val="auto"/>
                <w:sz w:val="20"/>
                <w:szCs w:val="20"/>
              </w:rPr>
              <w:t>Législation nationale</w:t>
            </w:r>
          </w:p>
        </w:tc>
        <w:tc>
          <w:tcPr>
            <w:tcW w:w="2977" w:type="dxa"/>
          </w:tcPr>
          <w:p w14:paraId="27CD49F7" w14:textId="77777777" w:rsidR="003928B6" w:rsidRPr="004E13E9" w:rsidRDefault="003928B6" w:rsidP="000A7B95">
            <w:pPr>
              <w:jc w:val="both"/>
              <w:rPr>
                <w:rFonts w:ascii="Cambria" w:hAnsi="Cambria"/>
                <w:color w:val="auto"/>
                <w:sz w:val="20"/>
                <w:szCs w:val="20"/>
              </w:rPr>
            </w:pPr>
            <w:r w:rsidRPr="004E13E9">
              <w:rPr>
                <w:rFonts w:ascii="Cambria" w:hAnsi="Cambria"/>
                <w:color w:val="auto"/>
                <w:sz w:val="20"/>
                <w:szCs w:val="20"/>
              </w:rPr>
              <w:t>Le Royaume-Uni dispose de réglementations retenues (UE) : Réglementation (UE) 2016/1627 du Parlement européen et du Conseil du 14 septembre 2016 relatif à un programme pluriannuel de rétablissement des stocks de thon rouge dans l'Atlantique Est et la Méditerranée.</w:t>
            </w:r>
          </w:p>
          <w:p w14:paraId="099B4D85" w14:textId="77777777" w:rsidR="003928B6" w:rsidRPr="004E13E9" w:rsidRDefault="003928B6" w:rsidP="000A7B95">
            <w:pPr>
              <w:jc w:val="both"/>
              <w:rPr>
                <w:rFonts w:ascii="Cambria" w:hAnsi="Cambria"/>
                <w:color w:val="auto"/>
                <w:sz w:val="20"/>
                <w:szCs w:val="20"/>
              </w:rPr>
            </w:pPr>
          </w:p>
          <w:p w14:paraId="25F9910E" w14:textId="77777777" w:rsidR="003928B6" w:rsidRPr="004E13E9" w:rsidRDefault="003928B6" w:rsidP="000A7B95">
            <w:pPr>
              <w:jc w:val="both"/>
              <w:rPr>
                <w:rFonts w:ascii="Cambria" w:hAnsi="Cambria"/>
                <w:color w:val="auto"/>
                <w:sz w:val="20"/>
                <w:szCs w:val="20"/>
              </w:rPr>
            </w:pPr>
            <w:r w:rsidRPr="004E13E9">
              <w:rPr>
                <w:rFonts w:ascii="Cambria" w:hAnsi="Cambria"/>
                <w:color w:val="auto"/>
                <w:sz w:val="20"/>
                <w:szCs w:val="20"/>
              </w:rPr>
              <w:t>Le Royaume-Uni a achevé le processus de mise à jour de sa législation nationale et a adopté en 2024 : les Règlements des pêches marines (Commission internationale pour la conservation des thonidés de l'Atlantique) (Amendement) Règlement No. 439 de 2024 pour rendre obligatoire l'utilisation des documents électroniques de capture dans la pêcherie de thon rouge de l'Atlantique Est et mettre à jour les éléments de la législation européenne retenue relatifs à la mise en œuvre des mesures de l’ICCAT. Ces amendements supplémentaires comprennent l'interdiction de l'élevage du thon rouge et de l'utilisation de madragues à thon rouge dans les eaux du RU-Met ou par les navires du Royaume-Uni dans la zone de la Convention.</w:t>
            </w:r>
          </w:p>
          <w:p w14:paraId="723E803A" w14:textId="77777777" w:rsidR="003928B6" w:rsidRPr="004E13E9" w:rsidRDefault="003928B6" w:rsidP="000A7B95">
            <w:pPr>
              <w:jc w:val="both"/>
              <w:rPr>
                <w:rFonts w:ascii="Cambria" w:hAnsi="Cambria"/>
                <w:color w:val="auto"/>
                <w:sz w:val="20"/>
                <w:szCs w:val="20"/>
              </w:rPr>
            </w:pPr>
          </w:p>
          <w:p w14:paraId="62CA2F79" w14:textId="77777777" w:rsidR="003928B6" w:rsidRPr="004E13E9" w:rsidRDefault="003928B6" w:rsidP="000A7B95">
            <w:pPr>
              <w:jc w:val="both"/>
              <w:rPr>
                <w:rFonts w:ascii="Cambria" w:hAnsi="Cambria"/>
                <w:color w:val="auto"/>
                <w:sz w:val="20"/>
                <w:szCs w:val="20"/>
              </w:rPr>
            </w:pPr>
            <w:r w:rsidRPr="004E13E9">
              <w:rPr>
                <w:rFonts w:ascii="Cambria" w:hAnsi="Cambria"/>
                <w:color w:val="auto"/>
                <w:sz w:val="20"/>
                <w:szCs w:val="20"/>
              </w:rPr>
              <w:t>Le Royaume-Uni a également adopté les Règlements des pêches marines (Commission internationale pour la conservation des thonidés de l'Atlantique) (Amendement) (nº2) Règlement No. 655 de 2024 pour faciliter le démarrage d'une pêcherie récréative de thon rouge de l’Est. </w:t>
            </w:r>
          </w:p>
        </w:tc>
        <w:tc>
          <w:tcPr>
            <w:tcW w:w="2268" w:type="dxa"/>
          </w:tcPr>
          <w:p w14:paraId="018C1F49" w14:textId="77777777" w:rsidR="003928B6" w:rsidRPr="004E13E9" w:rsidRDefault="003928B6" w:rsidP="000A7B95">
            <w:pPr>
              <w:jc w:val="both"/>
              <w:rPr>
                <w:rFonts w:ascii="Cambria" w:hAnsi="Cambria"/>
                <w:color w:val="auto"/>
                <w:sz w:val="20"/>
                <w:szCs w:val="20"/>
              </w:rPr>
            </w:pPr>
            <w:r w:rsidRPr="004E13E9">
              <w:rPr>
                <w:rFonts w:ascii="Cambria" w:hAnsi="Cambria"/>
                <w:color w:val="auto"/>
                <w:sz w:val="20"/>
                <w:szCs w:val="20"/>
              </w:rPr>
              <w:t>UK SI No.439</w:t>
            </w:r>
          </w:p>
          <w:p w14:paraId="7798DD54" w14:textId="77777777" w:rsidR="003928B6" w:rsidRPr="004E13E9" w:rsidRDefault="003928B6" w:rsidP="000A7B95">
            <w:pPr>
              <w:jc w:val="both"/>
              <w:rPr>
                <w:rFonts w:ascii="Cambria" w:hAnsi="Cambria"/>
                <w:color w:val="auto"/>
                <w:sz w:val="20"/>
                <w:szCs w:val="20"/>
              </w:rPr>
            </w:pPr>
            <w:r w:rsidRPr="004E13E9">
              <w:rPr>
                <w:rFonts w:ascii="Cambria" w:hAnsi="Cambria"/>
                <w:color w:val="auto"/>
                <w:sz w:val="20"/>
                <w:szCs w:val="20"/>
              </w:rPr>
              <w:t>UK SI No. 655</w:t>
            </w:r>
          </w:p>
        </w:tc>
        <w:tc>
          <w:tcPr>
            <w:tcW w:w="1268" w:type="dxa"/>
          </w:tcPr>
          <w:p w14:paraId="3E6FC6FE" w14:textId="77777777" w:rsidR="003928B6" w:rsidRPr="004E13E9" w:rsidRDefault="003928B6" w:rsidP="000A7B95">
            <w:pPr>
              <w:jc w:val="both"/>
              <w:rPr>
                <w:rFonts w:ascii="Cambria" w:hAnsi="Cambria"/>
                <w:color w:val="auto"/>
                <w:sz w:val="20"/>
                <w:szCs w:val="20"/>
                <w:lang w:val="es-ES"/>
              </w:rPr>
            </w:pPr>
          </w:p>
        </w:tc>
      </w:tr>
      <w:tr w:rsidR="003928B6" w:rsidRPr="00C5533C" w14:paraId="3505C6F8" w14:textId="77777777" w:rsidTr="000B6944">
        <w:tc>
          <w:tcPr>
            <w:tcW w:w="465" w:type="dxa"/>
          </w:tcPr>
          <w:p w14:paraId="51171861" w14:textId="77777777" w:rsidR="003928B6" w:rsidRPr="004E13E9" w:rsidRDefault="003928B6" w:rsidP="00D47E5E">
            <w:pPr>
              <w:rPr>
                <w:rFonts w:ascii="Cambria" w:hAnsi="Cambria"/>
                <w:i/>
                <w:color w:val="auto"/>
                <w:sz w:val="20"/>
                <w:szCs w:val="20"/>
                <w:lang w:val="es-ES"/>
              </w:rPr>
            </w:pPr>
          </w:p>
        </w:tc>
        <w:tc>
          <w:tcPr>
            <w:tcW w:w="2082" w:type="dxa"/>
          </w:tcPr>
          <w:p w14:paraId="7E0F1455" w14:textId="77777777" w:rsidR="003928B6" w:rsidRPr="004E13E9" w:rsidRDefault="003928B6" w:rsidP="000A7B95">
            <w:pPr>
              <w:jc w:val="both"/>
              <w:rPr>
                <w:rFonts w:ascii="Cambria" w:hAnsi="Cambria"/>
                <w:i/>
                <w:color w:val="auto"/>
                <w:sz w:val="20"/>
                <w:szCs w:val="20"/>
              </w:rPr>
            </w:pPr>
            <w:r w:rsidRPr="004E13E9">
              <w:rPr>
                <w:rFonts w:ascii="Cambria" w:hAnsi="Cambria"/>
                <w:i/>
                <w:color w:val="auto"/>
                <w:sz w:val="20"/>
                <w:szCs w:val="20"/>
              </w:rPr>
              <w:t>Autres exigences, telles que :</w:t>
            </w:r>
          </w:p>
          <w:p w14:paraId="238BEB94" w14:textId="77777777" w:rsidR="003928B6" w:rsidRPr="004E13E9" w:rsidRDefault="003928B6" w:rsidP="000A7B95">
            <w:pPr>
              <w:jc w:val="both"/>
              <w:rPr>
                <w:rFonts w:ascii="Cambria" w:hAnsi="Cambria"/>
                <w:i/>
                <w:color w:val="auto"/>
                <w:sz w:val="20"/>
                <w:szCs w:val="20"/>
              </w:rPr>
            </w:pPr>
            <w:r w:rsidRPr="004E13E9">
              <w:rPr>
                <w:rFonts w:ascii="Cambria" w:hAnsi="Cambria"/>
                <w:i/>
                <w:color w:val="auto"/>
                <w:sz w:val="20"/>
                <w:szCs w:val="20"/>
              </w:rPr>
              <w:t xml:space="preserve">programme de marquage </w:t>
            </w:r>
          </w:p>
          <w:p w14:paraId="49D9596B" w14:textId="77777777" w:rsidR="003928B6" w:rsidRPr="004E13E9" w:rsidRDefault="003928B6" w:rsidP="000A7B95">
            <w:pPr>
              <w:jc w:val="both"/>
              <w:rPr>
                <w:rFonts w:ascii="Cambria" w:hAnsi="Cambria"/>
                <w:i/>
                <w:color w:val="auto"/>
                <w:sz w:val="20"/>
                <w:szCs w:val="20"/>
              </w:rPr>
            </w:pPr>
            <w:r w:rsidRPr="004E13E9">
              <w:rPr>
                <w:rFonts w:ascii="Cambria" w:hAnsi="Cambria"/>
                <w:i/>
                <w:color w:val="auto"/>
                <w:sz w:val="20"/>
                <w:szCs w:val="20"/>
              </w:rPr>
              <w:t>(paragr. 44), etc.</w:t>
            </w:r>
          </w:p>
        </w:tc>
        <w:tc>
          <w:tcPr>
            <w:tcW w:w="2977" w:type="dxa"/>
          </w:tcPr>
          <w:p w14:paraId="324830BE" w14:textId="77777777" w:rsidR="003928B6" w:rsidRPr="004E13E9" w:rsidRDefault="003928B6" w:rsidP="000A7B95">
            <w:pPr>
              <w:jc w:val="both"/>
              <w:rPr>
                <w:rFonts w:ascii="Cambria" w:hAnsi="Cambria"/>
                <w:i/>
                <w:iCs/>
                <w:color w:val="auto"/>
                <w:sz w:val="20"/>
                <w:szCs w:val="20"/>
              </w:rPr>
            </w:pPr>
            <w:r w:rsidRPr="004E13E9">
              <w:rPr>
                <w:rFonts w:ascii="Cambria" w:hAnsi="Cambria"/>
                <w:i/>
                <w:color w:val="auto"/>
                <w:sz w:val="20"/>
                <w:szCs w:val="20"/>
              </w:rPr>
              <w:t>Programme de marquage des captures et remise à l'eau (CHART)</w:t>
            </w:r>
          </w:p>
          <w:p w14:paraId="1682BED2" w14:textId="77777777" w:rsidR="003928B6" w:rsidRPr="004E13E9" w:rsidRDefault="003928B6" w:rsidP="000A7B95">
            <w:pPr>
              <w:jc w:val="both"/>
              <w:rPr>
                <w:rFonts w:ascii="Cambria" w:hAnsi="Cambria"/>
                <w:color w:val="auto"/>
                <w:sz w:val="20"/>
                <w:szCs w:val="20"/>
              </w:rPr>
            </w:pPr>
            <w:r w:rsidRPr="004E13E9">
              <w:rPr>
                <w:rFonts w:ascii="Cambria" w:hAnsi="Cambria"/>
                <w:color w:val="auto"/>
                <w:sz w:val="20"/>
                <w:szCs w:val="20"/>
              </w:rPr>
              <w:t xml:space="preserve">Le marquage conventionnel avec des marques </w:t>
            </w:r>
            <w:proofErr w:type="spellStart"/>
            <w:r w:rsidRPr="004E13E9">
              <w:rPr>
                <w:rFonts w:ascii="Cambria" w:hAnsi="Cambria"/>
                <w:color w:val="auto"/>
                <w:sz w:val="20"/>
                <w:szCs w:val="20"/>
              </w:rPr>
              <w:t>floy</w:t>
            </w:r>
            <w:proofErr w:type="spellEnd"/>
            <w:r w:rsidRPr="004E13E9">
              <w:rPr>
                <w:rFonts w:ascii="Cambria" w:hAnsi="Cambria"/>
                <w:color w:val="auto"/>
                <w:sz w:val="20"/>
                <w:szCs w:val="20"/>
              </w:rPr>
              <w:t xml:space="preserve"> et par satellite sera effectué dans le cadre du programme CHART par des capitaines dûment formés. </w:t>
            </w:r>
          </w:p>
        </w:tc>
        <w:tc>
          <w:tcPr>
            <w:tcW w:w="2268" w:type="dxa"/>
          </w:tcPr>
          <w:p w14:paraId="30DF30F1" w14:textId="77777777" w:rsidR="003928B6" w:rsidRPr="004E13E9" w:rsidRDefault="003928B6" w:rsidP="000A7B95">
            <w:pPr>
              <w:jc w:val="both"/>
              <w:rPr>
                <w:rFonts w:ascii="Cambria" w:hAnsi="Cambria"/>
                <w:color w:val="auto"/>
                <w:sz w:val="20"/>
                <w:szCs w:val="20"/>
              </w:rPr>
            </w:pPr>
          </w:p>
        </w:tc>
        <w:tc>
          <w:tcPr>
            <w:tcW w:w="1268" w:type="dxa"/>
          </w:tcPr>
          <w:p w14:paraId="7D655F4B" w14:textId="77777777" w:rsidR="003928B6" w:rsidRPr="004E13E9" w:rsidRDefault="003928B6" w:rsidP="000A7B95">
            <w:pPr>
              <w:jc w:val="both"/>
              <w:rPr>
                <w:rFonts w:ascii="Cambria" w:hAnsi="Cambria"/>
                <w:color w:val="auto"/>
                <w:sz w:val="20"/>
                <w:szCs w:val="20"/>
              </w:rPr>
            </w:pPr>
          </w:p>
        </w:tc>
      </w:tr>
    </w:tbl>
    <w:p w14:paraId="052E4A66" w14:textId="3EDB7092" w:rsidR="003928B6" w:rsidRPr="004E13E9" w:rsidRDefault="003928B6" w:rsidP="003928B6">
      <w:pPr>
        <w:rPr>
          <w:b/>
          <w:i/>
          <w:lang w:val="fr-FR"/>
        </w:rPr>
      </w:pPr>
    </w:p>
    <w:p w14:paraId="5BE8EB44" w14:textId="77777777" w:rsidR="003928B6" w:rsidRPr="004E13E9" w:rsidRDefault="003928B6" w:rsidP="000A7B95">
      <w:pPr>
        <w:jc w:val="both"/>
        <w:rPr>
          <w:b/>
          <w:i/>
          <w:iCs/>
          <w:lang w:val="fr-FR"/>
        </w:rPr>
      </w:pPr>
      <w:r w:rsidRPr="004E13E9">
        <w:rPr>
          <w:b/>
          <w:i/>
          <w:lang w:val="fr-FR"/>
        </w:rPr>
        <w:t xml:space="preserve">1e) Ports désignés (paragr. 80) </w:t>
      </w:r>
    </w:p>
    <w:p w14:paraId="11968319" w14:textId="77777777" w:rsidR="003928B6" w:rsidRPr="004E13E9" w:rsidRDefault="003928B6" w:rsidP="000A7B95">
      <w:pPr>
        <w:jc w:val="both"/>
        <w:rPr>
          <w:bCs/>
          <w:lang w:val="fr-FR" w:eastAsia="ja-JP"/>
        </w:rPr>
      </w:pPr>
    </w:p>
    <w:p w14:paraId="562FFF11" w14:textId="77777777" w:rsidR="003928B6" w:rsidRPr="004E13E9" w:rsidRDefault="003928B6" w:rsidP="000A7B95">
      <w:pPr>
        <w:jc w:val="both"/>
        <w:rPr>
          <w:lang w:val="fr-FR"/>
        </w:rPr>
      </w:pPr>
      <w:r w:rsidRPr="004E13E9">
        <w:rPr>
          <w:lang w:val="fr-FR"/>
        </w:rPr>
        <w:t>La liste des ports désignés du Royaume-Uni se trouve à l’</w:t>
      </w:r>
      <w:r w:rsidRPr="004E13E9">
        <w:rPr>
          <w:b/>
          <w:bCs/>
          <w:lang w:val="fr-FR"/>
        </w:rPr>
        <w:t>annexe 1</w:t>
      </w:r>
      <w:r w:rsidRPr="004E13E9">
        <w:rPr>
          <w:lang w:val="fr-FR"/>
        </w:rPr>
        <w:t xml:space="preserve">. Les navires britanniques ne seront pas autorisés à débarquer du thon rouge dans les ports étrangers.  </w:t>
      </w:r>
    </w:p>
    <w:p w14:paraId="0A5916BB" w14:textId="77777777" w:rsidR="003928B6" w:rsidRPr="004E13E9" w:rsidRDefault="003928B6" w:rsidP="000A7B95">
      <w:pPr>
        <w:jc w:val="both"/>
        <w:rPr>
          <w:lang w:val="fr-FR"/>
        </w:rPr>
      </w:pPr>
    </w:p>
    <w:p w14:paraId="16C9B876" w14:textId="77777777" w:rsidR="003928B6" w:rsidRPr="004E13E9" w:rsidRDefault="003928B6" w:rsidP="000A7B95">
      <w:pPr>
        <w:jc w:val="both"/>
        <w:rPr>
          <w:lang w:val="fr-FR"/>
        </w:rPr>
      </w:pPr>
    </w:p>
    <w:p w14:paraId="53B64701" w14:textId="77777777" w:rsidR="003928B6" w:rsidRPr="004E13E9" w:rsidRDefault="003928B6" w:rsidP="000A7B95">
      <w:pPr>
        <w:tabs>
          <w:tab w:val="left" w:pos="426"/>
        </w:tabs>
        <w:ind w:left="426" w:hanging="426"/>
        <w:jc w:val="both"/>
        <w:rPr>
          <w:b/>
          <w:lang w:val="fr-FR"/>
        </w:rPr>
      </w:pPr>
      <w:r w:rsidRPr="004E13E9">
        <w:rPr>
          <w:b/>
          <w:lang w:val="fr-FR"/>
        </w:rPr>
        <w:t>2.</w:t>
      </w:r>
      <w:r w:rsidRPr="004E13E9">
        <w:rPr>
          <w:b/>
          <w:lang w:val="fr-FR"/>
        </w:rPr>
        <w:tab/>
        <w:t>Plan annuel de gestion de la capacité de pêche (</w:t>
      </w:r>
      <w:r w:rsidRPr="004E13E9">
        <w:rPr>
          <w:rStyle w:val="Hyperlink"/>
          <w:u w:val="none"/>
          <w:lang w:val="fr-FR"/>
        </w:rPr>
        <w:t xml:space="preserve">paragr. </w:t>
      </w:r>
      <w:r w:rsidRPr="004E13E9">
        <w:rPr>
          <w:b/>
          <w:lang w:val="fr-FR"/>
        </w:rPr>
        <w:t>14-21)</w:t>
      </w:r>
    </w:p>
    <w:p w14:paraId="12CEDDCA" w14:textId="77777777" w:rsidR="003928B6" w:rsidRPr="004E13E9" w:rsidRDefault="003928B6" w:rsidP="000A7B95">
      <w:pPr>
        <w:jc w:val="both"/>
        <w:rPr>
          <w:b/>
          <w:lang w:val="fr-FR"/>
        </w:rPr>
      </w:pPr>
    </w:p>
    <w:p w14:paraId="251F3B7E" w14:textId="77777777" w:rsidR="003928B6" w:rsidRPr="004E13E9" w:rsidRDefault="003928B6" w:rsidP="000A7B95">
      <w:pPr>
        <w:jc w:val="both"/>
        <w:rPr>
          <w:lang w:val="fr-FR"/>
        </w:rPr>
      </w:pPr>
      <w:r w:rsidRPr="004E13E9">
        <w:rPr>
          <w:lang w:val="fr-FR"/>
        </w:rPr>
        <w:t>Le Royaume-Uni accordera une licence à un maximum de 30 navires de moins de 12 m pour participer à cette pêcherie commerciale en 2026. Les détails figurent dans le tableau de la capacité. L'augmentation de la capacité reflète le développement et l'expansion des pêcheries commerciales de thon rouge de l’Est du Royaume-Uni, comme décrit au point 1.</w:t>
      </w:r>
      <w:r w:rsidRPr="004E13E9">
        <w:rPr>
          <w:i/>
          <w:lang w:val="fr-FR"/>
        </w:rPr>
        <w:t xml:space="preserve"> </w:t>
      </w:r>
      <w:r w:rsidRPr="004E13E9">
        <w:rPr>
          <w:i/>
          <w:iCs/>
          <w:lang w:val="fr-FR"/>
        </w:rPr>
        <w:t>Détails du plan annuel de pêche pour les navires de capture et les madragues, voir ci-dessus.</w:t>
      </w:r>
      <w:r w:rsidRPr="004E13E9">
        <w:rPr>
          <w:lang w:val="fr-FR"/>
        </w:rPr>
        <w:t xml:space="preserve"> </w:t>
      </w:r>
    </w:p>
    <w:p w14:paraId="3A3A1196" w14:textId="77777777" w:rsidR="003928B6" w:rsidRPr="004E13E9" w:rsidRDefault="003928B6" w:rsidP="000A7B95">
      <w:pPr>
        <w:jc w:val="both"/>
        <w:rPr>
          <w:i/>
          <w:lang w:val="fr-FR" w:eastAsia="ja-JP"/>
        </w:rPr>
      </w:pPr>
    </w:p>
    <w:p w14:paraId="60C185E6" w14:textId="77777777" w:rsidR="003928B6" w:rsidRPr="004E13E9" w:rsidRDefault="003928B6" w:rsidP="000A7B95">
      <w:pPr>
        <w:jc w:val="both"/>
        <w:rPr>
          <w:i/>
          <w:lang w:val="fr-FR" w:eastAsia="ja-JP"/>
        </w:rPr>
      </w:pPr>
    </w:p>
    <w:p w14:paraId="7B3AC3A9" w14:textId="77777777" w:rsidR="003928B6" w:rsidRPr="004E13E9" w:rsidRDefault="003928B6" w:rsidP="000A7B95">
      <w:pPr>
        <w:tabs>
          <w:tab w:val="left" w:pos="426"/>
        </w:tabs>
        <w:ind w:left="426" w:hanging="426"/>
        <w:jc w:val="both"/>
        <w:rPr>
          <w:b/>
          <w:lang w:val="fr-FR"/>
        </w:rPr>
      </w:pPr>
      <w:r w:rsidRPr="004E13E9">
        <w:rPr>
          <w:b/>
          <w:lang w:val="fr-FR"/>
        </w:rPr>
        <w:t xml:space="preserve">3.  </w:t>
      </w:r>
      <w:r w:rsidRPr="004E13E9">
        <w:rPr>
          <w:b/>
          <w:lang w:val="fr-FR"/>
        </w:rPr>
        <w:tab/>
        <w:t>Plan annuel de gestion de l’élevage (</w:t>
      </w:r>
      <w:r w:rsidRPr="004E13E9">
        <w:rPr>
          <w:rStyle w:val="Hyperlink"/>
          <w:u w:val="none"/>
          <w:lang w:val="fr-FR"/>
        </w:rPr>
        <w:t>paragr.</w:t>
      </w:r>
      <w:r w:rsidRPr="004E13E9">
        <w:rPr>
          <w:b/>
          <w:lang w:val="fr-FR"/>
        </w:rPr>
        <w:t xml:space="preserve"> 22-23), le cas échéant</w:t>
      </w:r>
    </w:p>
    <w:p w14:paraId="187114F2" w14:textId="77777777" w:rsidR="003928B6" w:rsidRPr="004E13E9" w:rsidRDefault="003928B6" w:rsidP="000A7B95">
      <w:pPr>
        <w:jc w:val="both"/>
        <w:rPr>
          <w:b/>
          <w:lang w:val="fr-FR"/>
        </w:rPr>
      </w:pPr>
    </w:p>
    <w:p w14:paraId="453D46C7" w14:textId="77777777" w:rsidR="003928B6" w:rsidRPr="004E13E9" w:rsidRDefault="003928B6" w:rsidP="000A7B95">
      <w:pPr>
        <w:jc w:val="both"/>
        <w:rPr>
          <w:lang w:val="fr-FR"/>
        </w:rPr>
      </w:pPr>
      <w:r w:rsidRPr="004E13E9">
        <w:rPr>
          <w:lang w:val="fr-FR"/>
        </w:rPr>
        <w:t>N/A : Le Royaume-Uni ne pratique pas l'élevage du thon rouge de l'Est.</w:t>
      </w:r>
    </w:p>
    <w:p w14:paraId="5AD12957" w14:textId="77777777" w:rsidR="003928B6" w:rsidRPr="004E13E9" w:rsidRDefault="003928B6" w:rsidP="000A7B95">
      <w:pPr>
        <w:jc w:val="both"/>
        <w:rPr>
          <w:lang w:val="fr-FR"/>
        </w:rPr>
      </w:pPr>
    </w:p>
    <w:p w14:paraId="252BE1C6" w14:textId="77777777" w:rsidR="003928B6" w:rsidRPr="004E13E9" w:rsidRDefault="003928B6" w:rsidP="000A7B95">
      <w:pPr>
        <w:jc w:val="both"/>
        <w:rPr>
          <w:lang w:val="fr-FR"/>
        </w:rPr>
      </w:pPr>
    </w:p>
    <w:p w14:paraId="1F812360" w14:textId="77777777" w:rsidR="003928B6" w:rsidRPr="004E13E9" w:rsidRDefault="003928B6" w:rsidP="00487A5C">
      <w:pPr>
        <w:pStyle w:val="ListParagraph"/>
        <w:widowControl w:val="0"/>
        <w:numPr>
          <w:ilvl w:val="0"/>
          <w:numId w:val="54"/>
        </w:numPr>
        <w:tabs>
          <w:tab w:val="clear" w:pos="720"/>
        </w:tabs>
        <w:spacing w:after="0" w:line="240" w:lineRule="auto"/>
        <w:ind w:left="426" w:hanging="426"/>
        <w:jc w:val="both"/>
        <w:rPr>
          <w:rFonts w:ascii="Cambria" w:hAnsi="Cambria"/>
          <w:b/>
          <w:sz w:val="20"/>
          <w:szCs w:val="20"/>
        </w:rPr>
      </w:pPr>
      <w:r w:rsidRPr="004E13E9">
        <w:rPr>
          <w:rFonts w:ascii="Cambria" w:hAnsi="Cambria"/>
          <w:b/>
          <w:bCs/>
          <w:sz w:val="20"/>
          <w:szCs w:val="20"/>
        </w:rPr>
        <w:t>Plan annuel d’aquaculture (paragraphe 10 e de la</w:t>
      </w:r>
      <w:r w:rsidRPr="004E13E9">
        <w:rPr>
          <w:rFonts w:ascii="Cambria" w:hAnsi="Cambria"/>
          <w:sz w:val="20"/>
          <w:szCs w:val="20"/>
        </w:rPr>
        <w:t xml:space="preserve"> </w:t>
      </w:r>
      <w:hyperlink r:id="rId210" w:history="1">
        <w:r w:rsidRPr="004E13E9">
          <w:rPr>
            <w:rStyle w:val="Hyperlink"/>
            <w:rFonts w:ascii="Cambria" w:hAnsi="Cambria"/>
            <w:sz w:val="20"/>
            <w:szCs w:val="20"/>
            <w:u w:val="none"/>
          </w:rPr>
          <w:t>Rec. 25-04</w:t>
        </w:r>
      </w:hyperlink>
      <w:r w:rsidRPr="004E13E9">
        <w:rPr>
          <w:rFonts w:ascii="Cambria" w:hAnsi="Cambria"/>
          <w:sz w:val="20"/>
          <w:szCs w:val="20"/>
        </w:rPr>
        <w:t xml:space="preserve"> </w:t>
      </w:r>
      <w:r w:rsidRPr="004E13E9">
        <w:rPr>
          <w:rFonts w:ascii="Cambria" w:hAnsi="Cambria"/>
          <w:b/>
          <w:bCs/>
          <w:sz w:val="20"/>
          <w:szCs w:val="20"/>
        </w:rPr>
        <w:t xml:space="preserve"> conformément à la</w:t>
      </w:r>
      <w:r w:rsidRPr="004E13E9">
        <w:rPr>
          <w:rFonts w:ascii="Cambria" w:hAnsi="Cambria"/>
          <w:sz w:val="20"/>
          <w:szCs w:val="20"/>
        </w:rPr>
        <w:t xml:space="preserve"> </w:t>
      </w:r>
      <w:hyperlink r:id="rId211" w:history="1">
        <w:r w:rsidRPr="004E13E9">
          <w:rPr>
            <w:rStyle w:val="Hyperlink"/>
            <w:rFonts w:ascii="Cambria" w:hAnsi="Cambria"/>
            <w:sz w:val="20"/>
            <w:szCs w:val="20"/>
            <w:u w:val="none"/>
          </w:rPr>
          <w:t>Rec. 24-07</w:t>
        </w:r>
      </w:hyperlink>
      <w:r w:rsidRPr="004E13E9">
        <w:rPr>
          <w:rFonts w:ascii="Cambria" w:hAnsi="Cambria"/>
          <w:b/>
          <w:sz w:val="20"/>
          <w:szCs w:val="20"/>
        </w:rPr>
        <w:t>), le cas é</w:t>
      </w:r>
      <w:r w:rsidRPr="004E13E9">
        <w:rPr>
          <w:rFonts w:ascii="Cambria" w:hAnsi="Cambria"/>
          <w:b/>
          <w:bCs/>
          <w:sz w:val="20"/>
          <w:szCs w:val="20"/>
        </w:rPr>
        <w:t>chéant</w:t>
      </w:r>
    </w:p>
    <w:p w14:paraId="3836E76D" w14:textId="77777777" w:rsidR="003928B6" w:rsidRPr="004E13E9" w:rsidRDefault="003928B6" w:rsidP="000A7B95">
      <w:pPr>
        <w:tabs>
          <w:tab w:val="left" w:pos="426"/>
        </w:tabs>
        <w:jc w:val="both"/>
        <w:rPr>
          <w:b/>
          <w:lang w:val="fr-FR"/>
        </w:rPr>
      </w:pPr>
    </w:p>
    <w:p w14:paraId="2D591A5D" w14:textId="77777777" w:rsidR="003928B6" w:rsidRPr="004E13E9" w:rsidRDefault="003928B6" w:rsidP="000A7B95">
      <w:pPr>
        <w:jc w:val="both"/>
        <w:rPr>
          <w:lang w:val="fr-FR"/>
        </w:rPr>
      </w:pPr>
      <w:r w:rsidRPr="004E13E9">
        <w:rPr>
          <w:lang w:val="fr-FR"/>
        </w:rPr>
        <w:t>N/A : Le Royaume-Uni ne pratique pas l’aquaculture du thon rouge de l'Est.</w:t>
      </w:r>
    </w:p>
    <w:p w14:paraId="4E552C7D" w14:textId="77777777" w:rsidR="003928B6" w:rsidRPr="004E13E9" w:rsidRDefault="003928B6" w:rsidP="000A7B95">
      <w:pPr>
        <w:jc w:val="both"/>
        <w:rPr>
          <w:lang w:val="fr-FR"/>
        </w:rPr>
      </w:pPr>
    </w:p>
    <w:p w14:paraId="349894EC" w14:textId="77777777" w:rsidR="003928B6" w:rsidRPr="004E13E9" w:rsidRDefault="003928B6" w:rsidP="000A7B95">
      <w:pPr>
        <w:jc w:val="both"/>
        <w:rPr>
          <w:i/>
          <w:iCs/>
          <w:lang w:val="fr-FR"/>
        </w:rPr>
      </w:pPr>
    </w:p>
    <w:p w14:paraId="5C95EF95" w14:textId="77777777" w:rsidR="003928B6" w:rsidRPr="004E13E9" w:rsidRDefault="003928B6" w:rsidP="000A7B95">
      <w:pPr>
        <w:tabs>
          <w:tab w:val="left" w:pos="426"/>
        </w:tabs>
        <w:jc w:val="both"/>
        <w:rPr>
          <w:b/>
          <w:lang w:val="fr-FR"/>
        </w:rPr>
      </w:pPr>
      <w:r w:rsidRPr="004E13E9">
        <w:rPr>
          <w:b/>
          <w:lang w:val="fr-FR"/>
        </w:rPr>
        <w:t xml:space="preserve">5. </w:t>
      </w:r>
      <w:r w:rsidRPr="004E13E9">
        <w:rPr>
          <w:b/>
          <w:lang w:val="fr-FR"/>
        </w:rPr>
        <w:tab/>
        <w:t>Plan de suivi, contrôle et inspection</w:t>
      </w:r>
    </w:p>
    <w:p w14:paraId="7F151CC3" w14:textId="77777777" w:rsidR="003928B6" w:rsidRPr="004E13E9" w:rsidRDefault="003928B6" w:rsidP="000A7B95">
      <w:pPr>
        <w:jc w:val="both"/>
        <w:rPr>
          <w:b/>
          <w:lang w:val="fr-FR"/>
        </w:rPr>
      </w:pPr>
    </w:p>
    <w:p w14:paraId="67FD6BC9" w14:textId="77777777" w:rsidR="003928B6" w:rsidRPr="004E13E9" w:rsidRDefault="003928B6" w:rsidP="000A7B95">
      <w:pPr>
        <w:jc w:val="both"/>
        <w:rPr>
          <w:b/>
          <w:i/>
          <w:iCs/>
          <w:lang w:val="fr-FR"/>
        </w:rPr>
      </w:pPr>
      <w:r w:rsidRPr="004E13E9">
        <w:rPr>
          <w:b/>
          <w:i/>
          <w:lang w:val="fr-FR"/>
        </w:rPr>
        <w:t>5a) Suivi, contrôle et inspection de la CPC (paragraphe 10 c)</w:t>
      </w:r>
    </w:p>
    <w:p w14:paraId="001CDD1C" w14:textId="77777777" w:rsidR="003928B6" w:rsidRPr="004E13E9" w:rsidRDefault="003928B6" w:rsidP="000A7B95">
      <w:pPr>
        <w:jc w:val="both"/>
        <w:rPr>
          <w:lang w:val="fr-FR"/>
        </w:rPr>
      </w:pPr>
    </w:p>
    <w:p w14:paraId="6E5B1B8A" w14:textId="77777777" w:rsidR="003928B6" w:rsidRPr="004E13E9" w:rsidRDefault="003928B6" w:rsidP="000A7B95">
      <w:pPr>
        <w:jc w:val="both"/>
        <w:rPr>
          <w:lang w:val="fr-FR"/>
        </w:rPr>
      </w:pPr>
      <w:r w:rsidRPr="004E13E9">
        <w:rPr>
          <w:lang w:val="fr-FR"/>
        </w:rPr>
        <w:t xml:space="preserve">Les autorités britanniques chargées de faire respecter la réglementation de la pêche - l’Organisation de la gestion marine (MMO) pour l’Angleterre, la Direction maritime du Gouvernement écossais, l’Inspection des pêcheries maritimes d’Irlande du Nord  et l’équipe de contrôle et d’exécution du Gouvernement gallois - concentrent leurs activités d'inspection sur les débarquements de thon rouge de l’Est dans les ports de débarquement désignés de thon rouge de l’Est et surveillent tout débarquement de prises accessoires dans d'autres ports commerciaux. Chaque autorité dispose également d'une présence en mer chargée de faire respecter la règlementation. Il convient de signaler que le Royaume-Uni n'autorise pas le transbordement de thon rouge de l’Est. Les autorités compétentes peuvent être contactées en envoyant un courriel à </w:t>
      </w:r>
      <w:hyperlink r:id="rId212">
        <w:r w:rsidRPr="004E13E9">
          <w:rPr>
            <w:rStyle w:val="Hyperlink"/>
            <w:u w:val="none"/>
            <w:lang w:val="fr-FR"/>
          </w:rPr>
          <w:t>MCS@defra.gov.uk</w:t>
        </w:r>
      </w:hyperlink>
      <w:r w:rsidRPr="004E13E9">
        <w:rPr>
          <w:lang w:val="fr-FR"/>
        </w:rPr>
        <w:t>.</w:t>
      </w:r>
    </w:p>
    <w:p w14:paraId="383C68F5" w14:textId="77777777" w:rsidR="003928B6" w:rsidRPr="004E13E9" w:rsidRDefault="003928B6" w:rsidP="000A7B95">
      <w:pPr>
        <w:jc w:val="both"/>
        <w:rPr>
          <w:lang w:val="fr-FR"/>
        </w:rPr>
      </w:pPr>
      <w:r w:rsidRPr="004E13E9">
        <w:rPr>
          <w:lang w:val="fr-FR"/>
        </w:rPr>
        <w:t xml:space="preserve"> </w:t>
      </w:r>
    </w:p>
    <w:p w14:paraId="00934F8E" w14:textId="77777777" w:rsidR="003928B6" w:rsidRPr="004E13E9" w:rsidRDefault="003928B6" w:rsidP="000A7B95">
      <w:pPr>
        <w:jc w:val="both"/>
        <w:rPr>
          <w:lang w:val="fr-FR"/>
        </w:rPr>
      </w:pPr>
      <w:r w:rsidRPr="004E13E9">
        <w:rPr>
          <w:lang w:val="fr-FR"/>
        </w:rPr>
        <w:t xml:space="preserve">Les inspections sont basées sur les risques, les renseignements et les taux </w:t>
      </w:r>
      <w:proofErr w:type="gramStart"/>
      <w:r w:rsidRPr="004E13E9">
        <w:rPr>
          <w:lang w:val="fr-FR"/>
        </w:rPr>
        <w:t>cibles annuels</w:t>
      </w:r>
      <w:proofErr w:type="gramEnd"/>
      <w:r w:rsidRPr="004E13E9">
        <w:rPr>
          <w:lang w:val="fr-FR"/>
        </w:rPr>
        <w:t xml:space="preserve"> sont régulièrement révisés.  Les activités de suivi, de contrôle et de surveillance couvrent les activités de pêche récréative et commerciale ainsi que les activités commerciales en aval, afin de garantir qu'aucune commercialisation non autorisée n'a lieu et que les captures sont pleinement documentées. Les agents des pêches concentrent leurs efforts sur la conformité des débarquements et la traçabilité du poisson.</w:t>
      </w:r>
    </w:p>
    <w:p w14:paraId="16FA5919" w14:textId="77777777" w:rsidR="00DD0AAE" w:rsidRPr="004E13E9" w:rsidRDefault="00DD0AAE">
      <w:pPr>
        <w:rPr>
          <w:lang w:val="fr-FR"/>
        </w:rPr>
      </w:pPr>
      <w:r w:rsidRPr="004E13E9">
        <w:rPr>
          <w:lang w:val="fr-FR"/>
        </w:rPr>
        <w:br w:type="page"/>
      </w:r>
    </w:p>
    <w:p w14:paraId="29297C07" w14:textId="07A9C515" w:rsidR="003928B6" w:rsidRPr="004E13E9" w:rsidRDefault="003928B6" w:rsidP="000A7B95">
      <w:pPr>
        <w:jc w:val="both"/>
        <w:rPr>
          <w:lang w:val="fr-FR"/>
        </w:rPr>
      </w:pPr>
      <w:r w:rsidRPr="004E13E9">
        <w:rPr>
          <w:lang w:val="fr-FR"/>
        </w:rPr>
        <w:t>Une formation obligatoire est dispensée à tous les opérateurs de navires commerciaux de thon rouge de l’Est. Cette formation couvre les exigences en matière de déclaration, y compris les exigences de documentation des captures (eBCD), la taille minimale des poissons, les exigences en matière d'engins de pêche et la vente uniquement aux acheteurs enregistrés. Les capitaines des navires reçoivent également une carte d'instructions pour la timonerie ; celle-ci comprend toutes les exigences pertinentes en matière de déclaration ainsi que les coordonnées de l’administration des pêches pour déclarer les débarquements.</w:t>
      </w:r>
    </w:p>
    <w:p w14:paraId="3787EA2E" w14:textId="77777777" w:rsidR="003928B6" w:rsidRPr="004E13E9" w:rsidRDefault="003928B6" w:rsidP="000A7B95">
      <w:pPr>
        <w:jc w:val="both"/>
        <w:rPr>
          <w:lang w:val="fr-FR"/>
        </w:rPr>
      </w:pPr>
    </w:p>
    <w:p w14:paraId="742FA96F" w14:textId="77777777" w:rsidR="003928B6" w:rsidRPr="004E13E9" w:rsidRDefault="003928B6" w:rsidP="000A7B95">
      <w:pPr>
        <w:jc w:val="both"/>
        <w:rPr>
          <w:lang w:val="fr-FR"/>
        </w:rPr>
      </w:pPr>
      <w:r w:rsidRPr="004E13E9">
        <w:rPr>
          <w:lang w:val="fr-FR"/>
        </w:rPr>
        <w:t>En Angleterre, les pêcheurs récréatifs sont tenus de déclarer les périodes d'activité, les lieux et le nombre de poissons capturés, y compris leur longueur et leur temps de lutte. Les pêcheurs récréatifs sont également fortement encouragés à se conformer au code de conduite sur le thon rouge (https://ukbfta.co.uk/) qui définit les meilleures pratiques pour la pêcherie. Ce code couvre la manipulation des poissons afin d'assurer la survie maximale de tous les poissons relâchés. Le code de conduite sur le thon rouge de l’Est a été élaboré grâce à une étroite collaboration entre le gouvernement du Royaume-Uni, le Cefas, Natural England et les représentants des parties prenantes. La formation au code de conduite est en cours d'élaboration et l'intention est de la rendre obligatoire pour tous les pêcheurs récréatifs en Angleterre en 2026. D'autres administrations britanniques envisagent également d'introduire une formation obligatoire pour les pêcheurs récréatifs.</w:t>
      </w:r>
    </w:p>
    <w:p w14:paraId="6383EAD4" w14:textId="77777777" w:rsidR="003928B6" w:rsidRPr="004E13E9" w:rsidRDefault="003928B6" w:rsidP="000A7B95">
      <w:pPr>
        <w:jc w:val="both"/>
        <w:rPr>
          <w:lang w:val="fr-FR"/>
        </w:rPr>
      </w:pPr>
      <w:r w:rsidRPr="004E13E9">
        <w:rPr>
          <w:lang w:val="fr-FR"/>
        </w:rPr>
        <w:t xml:space="preserve"> </w:t>
      </w:r>
    </w:p>
    <w:p w14:paraId="56D4A93F" w14:textId="77777777" w:rsidR="003928B6" w:rsidRPr="004E13E9" w:rsidRDefault="003928B6" w:rsidP="000A7B95">
      <w:pPr>
        <w:jc w:val="both"/>
        <w:rPr>
          <w:lang w:val="fr-FR"/>
        </w:rPr>
      </w:pPr>
      <w:r w:rsidRPr="004E13E9">
        <w:rPr>
          <w:lang w:val="fr-FR"/>
        </w:rPr>
        <w:t>Toute mortalité accidentelle associée au programme CHART doit être immédiatement notifiée à l’administration compétente de la pêche du Royaume-Uni et tout thon rouge de l'Est mort pourrait devoir être ramené à terre pour un échantillonnage biologique à l'appui de la recherche. Il sera interdit de mettre en vente ces poissons. Une série de mesures de surveillance seront mises en œuvre dans le cadre du programme, notamment l'objectif d'une couverture d’observateurs allant jusqu'à 5% et, si possible, un enregistrement vidéo de la capture. Des mécanismes seront en place pour interrompre, affiner et, si nécessaire, clôturer le programme si les mortalités accidentelles risquent de dépasser le quota alloué. Les données du programme CHART doivent être communiquées dans les 24 heures afin que les captures et les mortalités accidentelles puissent être évaluées en temps quasi réel.</w:t>
      </w:r>
    </w:p>
    <w:p w14:paraId="376DB4BF" w14:textId="77777777" w:rsidR="003928B6" w:rsidRPr="004E13E9" w:rsidRDefault="003928B6" w:rsidP="000A7B95">
      <w:pPr>
        <w:jc w:val="both"/>
        <w:rPr>
          <w:lang w:val="fr-FR"/>
        </w:rPr>
      </w:pPr>
    </w:p>
    <w:p w14:paraId="06BBDB95" w14:textId="77777777" w:rsidR="003928B6" w:rsidRPr="004E13E9" w:rsidRDefault="003928B6" w:rsidP="000A7B95">
      <w:pPr>
        <w:ind w:left="426" w:hanging="426"/>
        <w:jc w:val="both"/>
        <w:rPr>
          <w:b/>
          <w:i/>
          <w:iCs/>
          <w:lang w:val="fr-FR"/>
        </w:rPr>
      </w:pPr>
      <w:r w:rsidRPr="004E13E9">
        <w:rPr>
          <w:b/>
          <w:i/>
          <w:lang w:val="fr-FR"/>
        </w:rPr>
        <w:t>5b) Programme d’inspection internationale conjointe (JIS) (</w:t>
      </w:r>
      <w:r w:rsidRPr="004E13E9">
        <w:rPr>
          <w:rStyle w:val="Hyperlink"/>
          <w:i/>
          <w:u w:val="none"/>
          <w:lang w:val="fr-FR"/>
        </w:rPr>
        <w:t>paragr.</w:t>
      </w:r>
      <w:r w:rsidRPr="004E13E9">
        <w:rPr>
          <w:b/>
          <w:i/>
          <w:lang w:val="fr-FR"/>
        </w:rPr>
        <w:t xml:space="preserve"> 232-235)</w:t>
      </w:r>
    </w:p>
    <w:p w14:paraId="6FE38E96" w14:textId="77777777" w:rsidR="003928B6" w:rsidRPr="004E13E9" w:rsidRDefault="003928B6" w:rsidP="000A7B95">
      <w:pPr>
        <w:jc w:val="both"/>
        <w:rPr>
          <w:b/>
          <w:i/>
          <w:iCs/>
          <w:lang w:val="fr-FR"/>
        </w:rPr>
      </w:pPr>
    </w:p>
    <w:p w14:paraId="07E1F7D2" w14:textId="77777777" w:rsidR="003928B6" w:rsidRPr="004E13E9" w:rsidRDefault="003928B6" w:rsidP="000A7B95">
      <w:pPr>
        <w:jc w:val="both"/>
        <w:rPr>
          <w:lang w:val="fr-FR"/>
        </w:rPr>
      </w:pPr>
      <w:r w:rsidRPr="004E13E9">
        <w:rPr>
          <w:lang w:val="fr-FR"/>
        </w:rPr>
        <w:t>Le Royaume-Uni ne participe pas au programme d'inspection conjointe. Les autorités du Royaume-Uni chargées de faire respecter la règlementation ont procédé à une évaluation des risques et ont estimé que le risque de non-application en haute mer de la part des navires de thon rouge de l’Est du Royaume-Uni était nul. Cela s'explique par le fait que tous les navires commerciaux de thon rouge de l’Est du Royaume-Uni effectuent des sorties d’une journée et opèrent donc régulièrement dans les eaux territoriales du Royaume-Uni (dans les 12 milles nautiques de la côte) ; il n'y a pas d'activité en dehors de la ZEE du Royaume-Uni. Notre activité visant à faire respecter la règlementation se concentre sur les eaux où opèrent les navires de thon rouge de l’Atlantique Est du Royaume-Uni et sur les ports dans lesquels ils débarquent.</w:t>
      </w:r>
    </w:p>
    <w:p w14:paraId="02ECF95A" w14:textId="77777777" w:rsidR="003928B6" w:rsidRPr="004E13E9" w:rsidRDefault="003928B6" w:rsidP="000A7B95">
      <w:pPr>
        <w:jc w:val="both"/>
        <w:rPr>
          <w:lang w:val="fr-FR"/>
        </w:rPr>
      </w:pPr>
    </w:p>
    <w:p w14:paraId="58269ECD" w14:textId="77777777" w:rsidR="003928B6" w:rsidRPr="004E13E9" w:rsidRDefault="003928B6" w:rsidP="000A7B95">
      <w:pPr>
        <w:jc w:val="both"/>
        <w:rPr>
          <w:lang w:val="fr-FR"/>
        </w:rPr>
      </w:pPr>
      <w:r w:rsidRPr="004E13E9">
        <w:rPr>
          <w:lang w:val="fr-FR"/>
        </w:rPr>
        <w:t xml:space="preserve">Comme indiqué ci-dessus dans le plan de suivi, de contrôle et d'inspection du Royaume-Uni, ce dernier dispose d'une solide présence d'inspection au sein de ses pêcheries de thon rouge de l’Est. Au cours de la première et de la deuxième année de la pêcherie commerciale de thon rouge de l’Est du Royaume-Uni, 2023 et 2024, les taux d'inspection des débarquements de thon rouge de l’Est en Angleterre étaient respectivement de 30% et de 15%. Les taux d'inspection des poissons individuels étaient de 19% en 2023 et de 34% en 2024. Ces chiffres démontrent que le Royaume-Uni s'est engagé dans une gestion prudente, les taux d'inspection des débarquements de thon rouge de l’Est en Angleterre ayant diminué en raison du nombre accru de débarquements de poissons, du renforcement de l’application par le secteur et du déploiement des moyens visant à faire respecter la règlementation conformément à une approche basée sur le risque au fur et à mesure du développement de la pêcherie britannique. </w:t>
      </w:r>
    </w:p>
    <w:p w14:paraId="5CA705A6" w14:textId="77777777" w:rsidR="003928B6" w:rsidRPr="004E13E9" w:rsidRDefault="003928B6" w:rsidP="000A7B95">
      <w:pPr>
        <w:jc w:val="both"/>
        <w:rPr>
          <w:lang w:val="fr-FR"/>
        </w:rPr>
      </w:pPr>
    </w:p>
    <w:p w14:paraId="0E90A6B8" w14:textId="77777777" w:rsidR="003928B6" w:rsidRPr="004E13E9" w:rsidRDefault="003928B6" w:rsidP="000A7B95">
      <w:pPr>
        <w:jc w:val="both"/>
        <w:rPr>
          <w:lang w:val="fr-FR"/>
        </w:rPr>
      </w:pPr>
      <w:r w:rsidRPr="004E13E9">
        <w:rPr>
          <w:lang w:val="fr-FR"/>
        </w:rPr>
        <w:t>En 2025, le taux d'inspection des débarquements de thon rouge de l’Est en Angleterre était de 32%, et le taux d'inspection des poissons individuels était de 34%. En outre, en 2025, cinq inspections en mer de navires récréatifs et deux inspections en mer de navires commerciaux ont été effectuées, sans qu'aucune infraction n'ait été constatée. En 2026, le Royaume-Uni prévoit de déployer des moyens visant à faire respecter la règlementation conformément à une approche basée sur le risque au fur et à mesure que la pêcherie se développe, avec une couverture d'inspection similaire à celle qui a été atteinte au cours des trois dernières années.</w:t>
      </w:r>
    </w:p>
    <w:p w14:paraId="611DF1D2" w14:textId="77777777" w:rsidR="00DD0AAE" w:rsidRPr="004E13E9" w:rsidRDefault="00DD0AAE">
      <w:pPr>
        <w:rPr>
          <w:b/>
          <w:lang w:val="fr-FR"/>
        </w:rPr>
      </w:pPr>
      <w:r w:rsidRPr="004E13E9">
        <w:rPr>
          <w:b/>
          <w:lang w:val="fr-FR"/>
        </w:rPr>
        <w:br w:type="page"/>
      </w:r>
    </w:p>
    <w:p w14:paraId="34E725F1" w14:textId="4FC8B03D" w:rsidR="003928B6" w:rsidRPr="004E13E9" w:rsidRDefault="003928B6" w:rsidP="000A7B95">
      <w:pPr>
        <w:tabs>
          <w:tab w:val="left" w:pos="426"/>
        </w:tabs>
        <w:jc w:val="both"/>
        <w:rPr>
          <w:b/>
          <w:lang w:val="fr-FR"/>
        </w:rPr>
      </w:pPr>
      <w:r w:rsidRPr="004E13E9">
        <w:rPr>
          <w:b/>
          <w:lang w:val="fr-FR"/>
        </w:rPr>
        <w:t xml:space="preserve">6. </w:t>
      </w:r>
      <w:r w:rsidRPr="004E13E9">
        <w:rPr>
          <w:b/>
          <w:lang w:val="fr-FR"/>
        </w:rPr>
        <w:tab/>
        <w:t>Autres</w:t>
      </w:r>
    </w:p>
    <w:p w14:paraId="22A762B3" w14:textId="77777777" w:rsidR="003928B6" w:rsidRPr="004E13E9" w:rsidRDefault="003928B6" w:rsidP="000A7B95">
      <w:pPr>
        <w:jc w:val="both"/>
        <w:rPr>
          <w:b/>
          <w:lang w:val="fr-FR"/>
        </w:rPr>
      </w:pPr>
    </w:p>
    <w:p w14:paraId="0A821FD5" w14:textId="77777777" w:rsidR="003928B6" w:rsidRPr="004E13E9" w:rsidRDefault="003928B6" w:rsidP="000A7B95">
      <w:pPr>
        <w:jc w:val="both"/>
        <w:rPr>
          <w:lang w:val="fr-FR"/>
        </w:rPr>
      </w:pPr>
      <w:r w:rsidRPr="004E13E9">
        <w:rPr>
          <w:lang w:val="fr-FR"/>
        </w:rPr>
        <w:t>Le Royaume-Uni examine actuellement sa capacité à poursuivre les programmes de recherche qui permettront d'obtenir des informations et de comprendre la résidence, les migrations et le comportement du thon rouge présent dans les eaux britanniques. Tous les travaux de marquage et d'échantillonnage dans le cadre de ce programme sont menés conformément aux protocoles et techniques du GBYP de l’ICCAT et contribuent aux objectifs de recherche du GBYP. Le Royaume-Uni sollicitera la couverture de la tolérance de mortalité pour la recherche (RMA) de l'ICCAT pour tenir compte de toute mortalité associée à cette recherche.</w:t>
      </w:r>
    </w:p>
    <w:p w14:paraId="3D0BE7B3" w14:textId="77777777" w:rsidR="003928B6" w:rsidRPr="004E13E9" w:rsidRDefault="003928B6" w:rsidP="003928B6">
      <w:pPr>
        <w:rPr>
          <w:lang w:val="fr-FR"/>
        </w:rPr>
      </w:pPr>
    </w:p>
    <w:p w14:paraId="0CC49625" w14:textId="77777777" w:rsidR="003928B6" w:rsidRPr="004E13E9" w:rsidRDefault="003928B6" w:rsidP="003928B6">
      <w:pPr>
        <w:rPr>
          <w:i/>
          <w:lang w:val="fr-FR"/>
        </w:rPr>
        <w:sectPr w:rsidR="003928B6" w:rsidRPr="004E13E9" w:rsidSect="003928B6">
          <w:pgSz w:w="11906" w:h="16838" w:code="9"/>
          <w:pgMar w:top="1418" w:right="1418" w:bottom="1418" w:left="1418" w:header="851" w:footer="1134" w:gutter="0"/>
          <w:cols w:space="425"/>
          <w:docGrid w:linePitch="360"/>
        </w:sectPr>
      </w:pPr>
    </w:p>
    <w:p w14:paraId="6CC0D44B" w14:textId="77777777" w:rsidR="003928B6" w:rsidRPr="004E13E9" w:rsidRDefault="003928B6" w:rsidP="003928B6">
      <w:pPr>
        <w:rPr>
          <w:b/>
          <w:bCs/>
          <w:iCs/>
        </w:rPr>
      </w:pPr>
      <w:r w:rsidRPr="004E13E9">
        <w:rPr>
          <w:b/>
        </w:rPr>
        <w:t xml:space="preserve">Tableau de la </w:t>
      </w:r>
      <w:proofErr w:type="spellStart"/>
      <w:r w:rsidRPr="004E13E9">
        <w:rPr>
          <w:b/>
        </w:rPr>
        <w:t>capacité</w:t>
      </w:r>
      <w:proofErr w:type="spellEnd"/>
    </w:p>
    <w:tbl>
      <w:tblPr>
        <w:tblW w:w="15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6"/>
        <w:gridCol w:w="2102"/>
        <w:gridCol w:w="615"/>
        <w:gridCol w:w="615"/>
        <w:gridCol w:w="615"/>
        <w:gridCol w:w="615"/>
        <w:gridCol w:w="615"/>
        <w:gridCol w:w="615"/>
        <w:gridCol w:w="615"/>
        <w:gridCol w:w="256"/>
        <w:gridCol w:w="615"/>
        <w:gridCol w:w="615"/>
        <w:gridCol w:w="653"/>
        <w:gridCol w:w="851"/>
        <w:gridCol w:w="1201"/>
        <w:gridCol w:w="888"/>
        <w:gridCol w:w="951"/>
      </w:tblGrid>
      <w:tr w:rsidR="003928B6" w:rsidRPr="004E13E9" w14:paraId="4BBBA824" w14:textId="77777777" w:rsidTr="00D47E5E">
        <w:trPr>
          <w:trHeight w:val="20"/>
        </w:trPr>
        <w:tc>
          <w:tcPr>
            <w:tcW w:w="2846" w:type="dxa"/>
            <w:noWrap/>
            <w:vAlign w:val="center"/>
            <w:hideMark/>
          </w:tcPr>
          <w:p w14:paraId="3C9D2CB2" w14:textId="77777777" w:rsidR="003928B6" w:rsidRPr="004E13E9" w:rsidRDefault="003928B6" w:rsidP="00D47E5E">
            <w:pPr>
              <w:jc w:val="center"/>
              <w:rPr>
                <w:i/>
                <w:sz w:val="18"/>
                <w:szCs w:val="18"/>
              </w:rPr>
            </w:pPr>
            <w:r w:rsidRPr="004E13E9">
              <w:rPr>
                <w:i/>
                <w:sz w:val="18"/>
                <w:szCs w:val="18"/>
              </w:rPr>
              <w:t xml:space="preserve">Type de </w:t>
            </w:r>
            <w:proofErr w:type="spellStart"/>
            <w:r w:rsidRPr="004E13E9">
              <w:rPr>
                <w:i/>
                <w:sz w:val="18"/>
                <w:szCs w:val="18"/>
              </w:rPr>
              <w:t>navires</w:t>
            </w:r>
            <w:proofErr w:type="spellEnd"/>
            <w:r w:rsidRPr="004E13E9">
              <w:rPr>
                <w:i/>
                <w:sz w:val="18"/>
                <w:szCs w:val="18"/>
              </w:rPr>
              <w:t xml:space="preserve"> </w:t>
            </w:r>
            <w:proofErr w:type="spellStart"/>
            <w:r w:rsidRPr="004E13E9">
              <w:rPr>
                <w:i/>
                <w:sz w:val="18"/>
                <w:szCs w:val="18"/>
              </w:rPr>
              <w:t>thoniers</w:t>
            </w:r>
            <w:proofErr w:type="spellEnd"/>
          </w:p>
        </w:tc>
        <w:tc>
          <w:tcPr>
            <w:tcW w:w="2102" w:type="dxa"/>
            <w:noWrap/>
            <w:vAlign w:val="center"/>
            <w:hideMark/>
          </w:tcPr>
          <w:p w14:paraId="74C86E6B" w14:textId="77777777" w:rsidR="003928B6" w:rsidRPr="004E13E9" w:rsidRDefault="003928B6" w:rsidP="00D47E5E">
            <w:pPr>
              <w:jc w:val="center"/>
              <w:rPr>
                <w:sz w:val="18"/>
                <w:szCs w:val="18"/>
              </w:rPr>
            </w:pPr>
          </w:p>
        </w:tc>
        <w:tc>
          <w:tcPr>
            <w:tcW w:w="1845" w:type="dxa"/>
            <w:gridSpan w:val="3"/>
          </w:tcPr>
          <w:p w14:paraId="48410332" w14:textId="77777777" w:rsidR="003928B6" w:rsidRPr="004E13E9" w:rsidRDefault="003928B6" w:rsidP="00D47E5E">
            <w:pPr>
              <w:jc w:val="center"/>
              <w:rPr>
                <w:i/>
                <w:sz w:val="18"/>
                <w:szCs w:val="18"/>
              </w:rPr>
            </w:pPr>
            <w:r w:rsidRPr="004E13E9">
              <w:rPr>
                <w:i/>
                <w:sz w:val="18"/>
                <w:szCs w:val="18"/>
              </w:rPr>
              <w:t xml:space="preserve">Année de </w:t>
            </w:r>
            <w:proofErr w:type="spellStart"/>
            <w:r w:rsidRPr="004E13E9">
              <w:rPr>
                <w:i/>
                <w:sz w:val="18"/>
                <w:szCs w:val="18"/>
              </w:rPr>
              <w:t>réf</w:t>
            </w:r>
            <w:proofErr w:type="spellEnd"/>
            <w:r w:rsidRPr="004E13E9">
              <w:rPr>
                <w:i/>
                <w:sz w:val="18"/>
                <w:szCs w:val="18"/>
              </w:rPr>
              <w:t>.</w:t>
            </w:r>
          </w:p>
        </w:tc>
        <w:tc>
          <w:tcPr>
            <w:tcW w:w="2460" w:type="dxa"/>
            <w:gridSpan w:val="4"/>
            <w:vAlign w:val="center"/>
          </w:tcPr>
          <w:p w14:paraId="0124669E" w14:textId="77777777" w:rsidR="003928B6" w:rsidRPr="004E13E9" w:rsidRDefault="003928B6" w:rsidP="00D47E5E">
            <w:pPr>
              <w:jc w:val="center"/>
              <w:rPr>
                <w:sz w:val="18"/>
                <w:szCs w:val="18"/>
              </w:rPr>
            </w:pPr>
            <w:r w:rsidRPr="004E13E9">
              <w:rPr>
                <w:i/>
                <w:sz w:val="18"/>
                <w:szCs w:val="18"/>
              </w:rPr>
              <w:t xml:space="preserve">Nombre de </w:t>
            </w:r>
            <w:proofErr w:type="spellStart"/>
            <w:r w:rsidRPr="004E13E9">
              <w:rPr>
                <w:i/>
                <w:sz w:val="18"/>
                <w:szCs w:val="18"/>
              </w:rPr>
              <w:t>navires</w:t>
            </w:r>
            <w:proofErr w:type="spellEnd"/>
          </w:p>
        </w:tc>
        <w:tc>
          <w:tcPr>
            <w:tcW w:w="256" w:type="dxa"/>
            <w:shd w:val="clear" w:color="auto" w:fill="D9D9D9"/>
            <w:vAlign w:val="center"/>
            <w:hideMark/>
          </w:tcPr>
          <w:p w14:paraId="6C815984" w14:textId="77777777" w:rsidR="003928B6" w:rsidRPr="004E13E9" w:rsidRDefault="003928B6" w:rsidP="00D47E5E">
            <w:pPr>
              <w:jc w:val="center"/>
              <w:rPr>
                <w:sz w:val="18"/>
                <w:szCs w:val="18"/>
              </w:rPr>
            </w:pPr>
          </w:p>
        </w:tc>
        <w:tc>
          <w:tcPr>
            <w:tcW w:w="1883" w:type="dxa"/>
            <w:gridSpan w:val="3"/>
          </w:tcPr>
          <w:p w14:paraId="39541DE8" w14:textId="77777777" w:rsidR="003928B6" w:rsidRPr="004E13E9" w:rsidRDefault="003928B6" w:rsidP="00D47E5E">
            <w:pPr>
              <w:jc w:val="center"/>
              <w:rPr>
                <w:i/>
                <w:sz w:val="18"/>
                <w:szCs w:val="18"/>
              </w:rPr>
            </w:pPr>
            <w:r w:rsidRPr="004E13E9">
              <w:rPr>
                <w:i/>
                <w:sz w:val="18"/>
                <w:szCs w:val="18"/>
              </w:rPr>
              <w:t xml:space="preserve">Année de </w:t>
            </w:r>
            <w:proofErr w:type="spellStart"/>
            <w:r w:rsidRPr="004E13E9">
              <w:rPr>
                <w:i/>
                <w:sz w:val="18"/>
                <w:szCs w:val="18"/>
              </w:rPr>
              <w:t>réf</w:t>
            </w:r>
            <w:proofErr w:type="spellEnd"/>
            <w:r w:rsidRPr="004E13E9">
              <w:rPr>
                <w:i/>
                <w:sz w:val="18"/>
                <w:szCs w:val="18"/>
              </w:rPr>
              <w:t>.</w:t>
            </w:r>
          </w:p>
        </w:tc>
        <w:tc>
          <w:tcPr>
            <w:tcW w:w="3891" w:type="dxa"/>
            <w:gridSpan w:val="4"/>
          </w:tcPr>
          <w:p w14:paraId="6B0C2385" w14:textId="77777777" w:rsidR="003928B6" w:rsidRPr="004E13E9" w:rsidRDefault="003928B6" w:rsidP="00D47E5E">
            <w:pPr>
              <w:jc w:val="center"/>
              <w:rPr>
                <w:i/>
                <w:sz w:val="18"/>
                <w:szCs w:val="18"/>
              </w:rPr>
            </w:pPr>
            <w:proofErr w:type="spellStart"/>
            <w:r w:rsidRPr="004E13E9">
              <w:rPr>
                <w:i/>
                <w:sz w:val="18"/>
                <w:szCs w:val="18"/>
              </w:rPr>
              <w:t>Capacité</w:t>
            </w:r>
            <w:proofErr w:type="spellEnd"/>
            <w:r w:rsidRPr="004E13E9">
              <w:rPr>
                <w:i/>
                <w:sz w:val="18"/>
                <w:szCs w:val="18"/>
              </w:rPr>
              <w:t xml:space="preserve"> de </w:t>
            </w:r>
            <w:proofErr w:type="spellStart"/>
            <w:r w:rsidRPr="004E13E9">
              <w:rPr>
                <w:i/>
                <w:sz w:val="18"/>
                <w:szCs w:val="18"/>
              </w:rPr>
              <w:t>pêche</w:t>
            </w:r>
            <w:proofErr w:type="spellEnd"/>
          </w:p>
        </w:tc>
      </w:tr>
      <w:tr w:rsidR="003928B6" w:rsidRPr="004E13E9" w14:paraId="373A8423" w14:textId="77777777" w:rsidTr="00D47E5E">
        <w:trPr>
          <w:trHeight w:val="20"/>
        </w:trPr>
        <w:tc>
          <w:tcPr>
            <w:tcW w:w="2846" w:type="dxa"/>
            <w:noWrap/>
            <w:vAlign w:val="center"/>
            <w:hideMark/>
          </w:tcPr>
          <w:p w14:paraId="792E4C9C" w14:textId="77777777" w:rsidR="003928B6" w:rsidRPr="004E13E9" w:rsidRDefault="003928B6" w:rsidP="00D47E5E">
            <w:pPr>
              <w:rPr>
                <w:b/>
                <w:sz w:val="18"/>
                <w:szCs w:val="18"/>
              </w:rPr>
            </w:pPr>
            <w:r w:rsidRPr="004E13E9">
              <w:rPr>
                <w:b/>
                <w:sz w:val="18"/>
                <w:szCs w:val="18"/>
              </w:rPr>
              <w:t>Type</w:t>
            </w:r>
          </w:p>
        </w:tc>
        <w:tc>
          <w:tcPr>
            <w:tcW w:w="2102" w:type="dxa"/>
            <w:vAlign w:val="center"/>
            <w:hideMark/>
          </w:tcPr>
          <w:p w14:paraId="003DED38" w14:textId="77777777" w:rsidR="003928B6" w:rsidRPr="004E13E9" w:rsidRDefault="003928B6" w:rsidP="00D47E5E">
            <w:pPr>
              <w:jc w:val="center"/>
              <w:rPr>
                <w:sz w:val="18"/>
                <w:szCs w:val="18"/>
                <w:lang w:val="fr-FR"/>
              </w:rPr>
            </w:pPr>
            <w:r w:rsidRPr="004E13E9">
              <w:rPr>
                <w:sz w:val="18"/>
                <w:szCs w:val="18"/>
                <w:lang w:val="fr-FR"/>
              </w:rPr>
              <w:t>Meilleurs taux de capture définis par le SCRS en 2009 (t)</w:t>
            </w:r>
          </w:p>
        </w:tc>
        <w:tc>
          <w:tcPr>
            <w:tcW w:w="615" w:type="dxa"/>
            <w:vAlign w:val="center"/>
          </w:tcPr>
          <w:p w14:paraId="62C22A39" w14:textId="77777777" w:rsidR="003928B6" w:rsidRPr="004E13E9" w:rsidRDefault="003928B6" w:rsidP="00D47E5E">
            <w:pPr>
              <w:jc w:val="center"/>
              <w:rPr>
                <w:sz w:val="18"/>
                <w:szCs w:val="18"/>
              </w:rPr>
            </w:pPr>
            <w:r w:rsidRPr="004E13E9">
              <w:rPr>
                <w:sz w:val="18"/>
                <w:szCs w:val="18"/>
              </w:rPr>
              <w:t>2006</w:t>
            </w:r>
          </w:p>
        </w:tc>
        <w:tc>
          <w:tcPr>
            <w:tcW w:w="615" w:type="dxa"/>
            <w:noWrap/>
            <w:vAlign w:val="center"/>
            <w:hideMark/>
          </w:tcPr>
          <w:p w14:paraId="4DDAC558" w14:textId="77777777" w:rsidR="003928B6" w:rsidRPr="004E13E9" w:rsidRDefault="003928B6" w:rsidP="00D47E5E">
            <w:pPr>
              <w:jc w:val="center"/>
              <w:rPr>
                <w:sz w:val="18"/>
                <w:szCs w:val="18"/>
              </w:rPr>
            </w:pPr>
            <w:r w:rsidRPr="004E13E9">
              <w:rPr>
                <w:sz w:val="18"/>
                <w:szCs w:val="18"/>
              </w:rPr>
              <w:t>2008</w:t>
            </w:r>
          </w:p>
        </w:tc>
        <w:tc>
          <w:tcPr>
            <w:tcW w:w="615" w:type="dxa"/>
            <w:vAlign w:val="center"/>
            <w:hideMark/>
          </w:tcPr>
          <w:p w14:paraId="5CD193C3" w14:textId="77777777" w:rsidR="003928B6" w:rsidRPr="004E13E9" w:rsidRDefault="003928B6" w:rsidP="00D47E5E">
            <w:pPr>
              <w:jc w:val="center"/>
              <w:rPr>
                <w:sz w:val="18"/>
                <w:szCs w:val="18"/>
              </w:rPr>
            </w:pPr>
            <w:r w:rsidRPr="004E13E9">
              <w:rPr>
                <w:sz w:val="18"/>
                <w:szCs w:val="18"/>
              </w:rPr>
              <w:t>2018</w:t>
            </w:r>
          </w:p>
        </w:tc>
        <w:tc>
          <w:tcPr>
            <w:tcW w:w="615" w:type="dxa"/>
            <w:vAlign w:val="center"/>
            <w:hideMark/>
          </w:tcPr>
          <w:p w14:paraId="6F1E9506" w14:textId="77777777" w:rsidR="003928B6" w:rsidRPr="004E13E9" w:rsidRDefault="003928B6" w:rsidP="00D47E5E">
            <w:pPr>
              <w:jc w:val="center"/>
              <w:rPr>
                <w:sz w:val="18"/>
                <w:szCs w:val="18"/>
              </w:rPr>
            </w:pPr>
            <w:r w:rsidRPr="004E13E9">
              <w:rPr>
                <w:sz w:val="18"/>
                <w:szCs w:val="18"/>
              </w:rPr>
              <w:t>2023</w:t>
            </w:r>
          </w:p>
        </w:tc>
        <w:tc>
          <w:tcPr>
            <w:tcW w:w="615" w:type="dxa"/>
            <w:vAlign w:val="center"/>
            <w:hideMark/>
          </w:tcPr>
          <w:p w14:paraId="03480AAF" w14:textId="77777777" w:rsidR="003928B6" w:rsidRPr="004E13E9" w:rsidRDefault="003928B6" w:rsidP="00D47E5E">
            <w:pPr>
              <w:jc w:val="center"/>
              <w:rPr>
                <w:sz w:val="18"/>
                <w:szCs w:val="18"/>
              </w:rPr>
            </w:pPr>
            <w:r w:rsidRPr="004E13E9">
              <w:rPr>
                <w:sz w:val="18"/>
                <w:szCs w:val="18"/>
              </w:rPr>
              <w:t>2024</w:t>
            </w:r>
          </w:p>
        </w:tc>
        <w:tc>
          <w:tcPr>
            <w:tcW w:w="615" w:type="dxa"/>
            <w:vAlign w:val="center"/>
          </w:tcPr>
          <w:p w14:paraId="7DCE86A8" w14:textId="77777777" w:rsidR="003928B6" w:rsidRPr="004E13E9" w:rsidRDefault="003928B6" w:rsidP="00D47E5E">
            <w:pPr>
              <w:jc w:val="center"/>
              <w:rPr>
                <w:sz w:val="18"/>
                <w:szCs w:val="18"/>
              </w:rPr>
            </w:pPr>
            <w:r w:rsidRPr="004E13E9">
              <w:rPr>
                <w:sz w:val="18"/>
                <w:szCs w:val="18"/>
              </w:rPr>
              <w:t>2025</w:t>
            </w:r>
          </w:p>
        </w:tc>
        <w:tc>
          <w:tcPr>
            <w:tcW w:w="615" w:type="dxa"/>
            <w:vAlign w:val="center"/>
          </w:tcPr>
          <w:p w14:paraId="7710C5E1" w14:textId="77777777" w:rsidR="003928B6" w:rsidRPr="004E13E9" w:rsidRDefault="003928B6" w:rsidP="00D47E5E">
            <w:pPr>
              <w:jc w:val="center"/>
              <w:rPr>
                <w:sz w:val="18"/>
                <w:szCs w:val="18"/>
              </w:rPr>
            </w:pPr>
            <w:r w:rsidRPr="004E13E9">
              <w:rPr>
                <w:sz w:val="18"/>
                <w:szCs w:val="18"/>
              </w:rPr>
              <w:t>2026</w:t>
            </w:r>
          </w:p>
        </w:tc>
        <w:tc>
          <w:tcPr>
            <w:tcW w:w="256" w:type="dxa"/>
            <w:shd w:val="clear" w:color="000000" w:fill="D9D9D9"/>
            <w:vAlign w:val="center"/>
            <w:hideMark/>
          </w:tcPr>
          <w:p w14:paraId="59843A67" w14:textId="77777777" w:rsidR="003928B6" w:rsidRPr="004E13E9" w:rsidRDefault="003928B6" w:rsidP="00D47E5E">
            <w:pPr>
              <w:jc w:val="center"/>
              <w:rPr>
                <w:sz w:val="18"/>
                <w:szCs w:val="18"/>
              </w:rPr>
            </w:pPr>
          </w:p>
        </w:tc>
        <w:tc>
          <w:tcPr>
            <w:tcW w:w="615" w:type="dxa"/>
            <w:vAlign w:val="center"/>
          </w:tcPr>
          <w:p w14:paraId="40C17063" w14:textId="77777777" w:rsidR="003928B6" w:rsidRPr="004E13E9" w:rsidRDefault="003928B6" w:rsidP="00D47E5E">
            <w:pPr>
              <w:jc w:val="center"/>
              <w:rPr>
                <w:sz w:val="18"/>
                <w:szCs w:val="18"/>
              </w:rPr>
            </w:pPr>
            <w:r w:rsidRPr="004E13E9">
              <w:rPr>
                <w:sz w:val="18"/>
                <w:szCs w:val="18"/>
              </w:rPr>
              <w:t>2006</w:t>
            </w:r>
          </w:p>
        </w:tc>
        <w:tc>
          <w:tcPr>
            <w:tcW w:w="615" w:type="dxa"/>
            <w:vAlign w:val="center"/>
            <w:hideMark/>
          </w:tcPr>
          <w:p w14:paraId="5801602D" w14:textId="77777777" w:rsidR="003928B6" w:rsidRPr="004E13E9" w:rsidRDefault="003928B6" w:rsidP="00D47E5E">
            <w:pPr>
              <w:jc w:val="center"/>
              <w:rPr>
                <w:sz w:val="18"/>
                <w:szCs w:val="18"/>
              </w:rPr>
            </w:pPr>
            <w:r w:rsidRPr="004E13E9">
              <w:rPr>
                <w:sz w:val="18"/>
                <w:szCs w:val="18"/>
              </w:rPr>
              <w:t>2008</w:t>
            </w:r>
          </w:p>
        </w:tc>
        <w:tc>
          <w:tcPr>
            <w:tcW w:w="653" w:type="dxa"/>
            <w:vAlign w:val="center"/>
            <w:hideMark/>
          </w:tcPr>
          <w:p w14:paraId="47D392DC" w14:textId="77777777" w:rsidR="003928B6" w:rsidRPr="004E13E9" w:rsidRDefault="003928B6" w:rsidP="00D47E5E">
            <w:pPr>
              <w:jc w:val="center"/>
              <w:rPr>
                <w:sz w:val="18"/>
                <w:szCs w:val="18"/>
              </w:rPr>
            </w:pPr>
            <w:r w:rsidRPr="004E13E9">
              <w:rPr>
                <w:sz w:val="18"/>
                <w:szCs w:val="18"/>
              </w:rPr>
              <w:t>2018</w:t>
            </w:r>
          </w:p>
        </w:tc>
        <w:tc>
          <w:tcPr>
            <w:tcW w:w="851" w:type="dxa"/>
            <w:vAlign w:val="center"/>
            <w:hideMark/>
          </w:tcPr>
          <w:p w14:paraId="1AB5ED12" w14:textId="77777777" w:rsidR="003928B6" w:rsidRPr="004E13E9" w:rsidRDefault="003928B6" w:rsidP="00D47E5E">
            <w:pPr>
              <w:jc w:val="center"/>
              <w:rPr>
                <w:sz w:val="18"/>
                <w:szCs w:val="18"/>
              </w:rPr>
            </w:pPr>
            <w:r w:rsidRPr="004E13E9">
              <w:rPr>
                <w:sz w:val="18"/>
                <w:szCs w:val="18"/>
              </w:rPr>
              <w:t>2023</w:t>
            </w:r>
          </w:p>
        </w:tc>
        <w:tc>
          <w:tcPr>
            <w:tcW w:w="1201" w:type="dxa"/>
            <w:vAlign w:val="center"/>
            <w:hideMark/>
          </w:tcPr>
          <w:p w14:paraId="50549BA3" w14:textId="77777777" w:rsidR="003928B6" w:rsidRPr="004E13E9" w:rsidRDefault="003928B6" w:rsidP="00D47E5E">
            <w:pPr>
              <w:jc w:val="center"/>
              <w:rPr>
                <w:sz w:val="18"/>
                <w:szCs w:val="18"/>
              </w:rPr>
            </w:pPr>
            <w:r w:rsidRPr="004E13E9">
              <w:rPr>
                <w:sz w:val="18"/>
                <w:szCs w:val="18"/>
              </w:rPr>
              <w:t>2024</w:t>
            </w:r>
          </w:p>
        </w:tc>
        <w:tc>
          <w:tcPr>
            <w:tcW w:w="888" w:type="dxa"/>
            <w:vAlign w:val="center"/>
            <w:hideMark/>
          </w:tcPr>
          <w:p w14:paraId="58E39CB9" w14:textId="77777777" w:rsidR="003928B6" w:rsidRPr="004E13E9" w:rsidRDefault="003928B6" w:rsidP="00D47E5E">
            <w:pPr>
              <w:jc w:val="center"/>
              <w:rPr>
                <w:sz w:val="18"/>
                <w:szCs w:val="18"/>
              </w:rPr>
            </w:pPr>
            <w:r w:rsidRPr="004E13E9">
              <w:rPr>
                <w:sz w:val="18"/>
                <w:szCs w:val="18"/>
              </w:rPr>
              <w:t>2025</w:t>
            </w:r>
          </w:p>
        </w:tc>
        <w:tc>
          <w:tcPr>
            <w:tcW w:w="950" w:type="dxa"/>
            <w:vAlign w:val="center"/>
          </w:tcPr>
          <w:p w14:paraId="2F003D40" w14:textId="77777777" w:rsidR="003928B6" w:rsidRPr="004E13E9" w:rsidRDefault="003928B6" w:rsidP="00D47E5E">
            <w:pPr>
              <w:jc w:val="center"/>
              <w:rPr>
                <w:sz w:val="18"/>
                <w:szCs w:val="18"/>
              </w:rPr>
            </w:pPr>
            <w:r w:rsidRPr="004E13E9">
              <w:rPr>
                <w:sz w:val="18"/>
                <w:szCs w:val="18"/>
              </w:rPr>
              <w:t>2026</w:t>
            </w:r>
          </w:p>
        </w:tc>
      </w:tr>
      <w:tr w:rsidR="003928B6" w:rsidRPr="004E13E9" w14:paraId="58DCFA6C" w14:textId="77777777" w:rsidTr="00D47E5E">
        <w:trPr>
          <w:trHeight w:val="20"/>
        </w:trPr>
        <w:tc>
          <w:tcPr>
            <w:tcW w:w="2846" w:type="dxa"/>
            <w:noWrap/>
            <w:vAlign w:val="center"/>
            <w:hideMark/>
          </w:tcPr>
          <w:p w14:paraId="5AEBFBEB" w14:textId="77777777" w:rsidR="003928B6" w:rsidRPr="004E13E9" w:rsidRDefault="003928B6" w:rsidP="00D47E5E">
            <w:pPr>
              <w:rPr>
                <w:sz w:val="18"/>
                <w:szCs w:val="18"/>
                <w:lang w:val="fr-FR"/>
              </w:rPr>
            </w:pPr>
            <w:r w:rsidRPr="004E13E9">
              <w:rPr>
                <w:sz w:val="18"/>
                <w:szCs w:val="18"/>
                <w:lang w:val="fr-FR"/>
              </w:rPr>
              <w:t>Senneur de plus de 40 m</w:t>
            </w:r>
          </w:p>
        </w:tc>
        <w:tc>
          <w:tcPr>
            <w:tcW w:w="2102" w:type="dxa"/>
            <w:noWrap/>
            <w:vAlign w:val="center"/>
            <w:hideMark/>
          </w:tcPr>
          <w:p w14:paraId="2A2C51F8" w14:textId="77777777" w:rsidR="003928B6" w:rsidRPr="004E13E9" w:rsidRDefault="003928B6" w:rsidP="00D47E5E">
            <w:pPr>
              <w:jc w:val="center"/>
              <w:rPr>
                <w:sz w:val="18"/>
                <w:szCs w:val="18"/>
              </w:rPr>
            </w:pPr>
            <w:r w:rsidRPr="004E13E9">
              <w:rPr>
                <w:sz w:val="18"/>
                <w:szCs w:val="18"/>
              </w:rPr>
              <w:t>70,66</w:t>
            </w:r>
          </w:p>
        </w:tc>
        <w:tc>
          <w:tcPr>
            <w:tcW w:w="615" w:type="dxa"/>
          </w:tcPr>
          <w:p w14:paraId="01516AA5" w14:textId="77777777" w:rsidR="003928B6" w:rsidRPr="004E13E9" w:rsidRDefault="003928B6" w:rsidP="00D47E5E">
            <w:pPr>
              <w:rPr>
                <w:sz w:val="18"/>
                <w:szCs w:val="18"/>
              </w:rPr>
            </w:pPr>
          </w:p>
        </w:tc>
        <w:tc>
          <w:tcPr>
            <w:tcW w:w="615" w:type="dxa"/>
            <w:noWrap/>
            <w:vAlign w:val="center"/>
            <w:hideMark/>
          </w:tcPr>
          <w:p w14:paraId="2B74DD5C" w14:textId="77777777" w:rsidR="003928B6" w:rsidRPr="004E13E9" w:rsidRDefault="003928B6" w:rsidP="00D47E5E">
            <w:pPr>
              <w:rPr>
                <w:sz w:val="18"/>
                <w:szCs w:val="18"/>
              </w:rPr>
            </w:pPr>
            <w:r w:rsidRPr="004E13E9">
              <w:rPr>
                <w:sz w:val="18"/>
                <w:szCs w:val="18"/>
              </w:rPr>
              <w:t> </w:t>
            </w:r>
          </w:p>
        </w:tc>
        <w:tc>
          <w:tcPr>
            <w:tcW w:w="615" w:type="dxa"/>
            <w:vAlign w:val="center"/>
            <w:hideMark/>
          </w:tcPr>
          <w:p w14:paraId="3D5CECB6" w14:textId="77777777" w:rsidR="003928B6" w:rsidRPr="004E13E9" w:rsidRDefault="003928B6" w:rsidP="00D47E5E">
            <w:pPr>
              <w:rPr>
                <w:sz w:val="18"/>
                <w:szCs w:val="18"/>
              </w:rPr>
            </w:pPr>
            <w:r w:rsidRPr="004E13E9">
              <w:rPr>
                <w:sz w:val="18"/>
                <w:szCs w:val="18"/>
              </w:rPr>
              <w:t> </w:t>
            </w:r>
          </w:p>
        </w:tc>
        <w:tc>
          <w:tcPr>
            <w:tcW w:w="615" w:type="dxa"/>
            <w:vAlign w:val="center"/>
            <w:hideMark/>
          </w:tcPr>
          <w:p w14:paraId="30F1E2BD" w14:textId="77777777" w:rsidR="003928B6" w:rsidRPr="004E13E9" w:rsidRDefault="003928B6" w:rsidP="00D47E5E">
            <w:pPr>
              <w:rPr>
                <w:sz w:val="18"/>
                <w:szCs w:val="18"/>
              </w:rPr>
            </w:pPr>
            <w:r w:rsidRPr="004E13E9">
              <w:rPr>
                <w:sz w:val="18"/>
                <w:szCs w:val="18"/>
              </w:rPr>
              <w:t> </w:t>
            </w:r>
          </w:p>
        </w:tc>
        <w:tc>
          <w:tcPr>
            <w:tcW w:w="615" w:type="dxa"/>
            <w:vAlign w:val="center"/>
            <w:hideMark/>
          </w:tcPr>
          <w:p w14:paraId="4A943BEF" w14:textId="77777777" w:rsidR="003928B6" w:rsidRPr="004E13E9" w:rsidRDefault="003928B6" w:rsidP="00D47E5E">
            <w:pPr>
              <w:rPr>
                <w:sz w:val="18"/>
                <w:szCs w:val="18"/>
              </w:rPr>
            </w:pPr>
            <w:r w:rsidRPr="004E13E9">
              <w:rPr>
                <w:sz w:val="18"/>
                <w:szCs w:val="18"/>
              </w:rPr>
              <w:t> </w:t>
            </w:r>
          </w:p>
        </w:tc>
        <w:tc>
          <w:tcPr>
            <w:tcW w:w="615" w:type="dxa"/>
          </w:tcPr>
          <w:p w14:paraId="33CC2068" w14:textId="77777777" w:rsidR="003928B6" w:rsidRPr="004E13E9" w:rsidRDefault="003928B6" w:rsidP="00D47E5E">
            <w:pPr>
              <w:rPr>
                <w:sz w:val="18"/>
                <w:szCs w:val="18"/>
              </w:rPr>
            </w:pPr>
          </w:p>
        </w:tc>
        <w:tc>
          <w:tcPr>
            <w:tcW w:w="615" w:type="dxa"/>
          </w:tcPr>
          <w:p w14:paraId="390414CB" w14:textId="77777777" w:rsidR="003928B6" w:rsidRPr="004E13E9" w:rsidRDefault="003928B6" w:rsidP="00D47E5E">
            <w:pPr>
              <w:jc w:val="center"/>
              <w:rPr>
                <w:sz w:val="18"/>
                <w:szCs w:val="18"/>
              </w:rPr>
            </w:pPr>
          </w:p>
        </w:tc>
        <w:tc>
          <w:tcPr>
            <w:tcW w:w="256" w:type="dxa"/>
            <w:shd w:val="clear" w:color="000000" w:fill="D9D9D9"/>
            <w:vAlign w:val="center"/>
            <w:hideMark/>
          </w:tcPr>
          <w:p w14:paraId="6C9E6F82" w14:textId="77777777" w:rsidR="003928B6" w:rsidRPr="004E13E9" w:rsidRDefault="003928B6" w:rsidP="00D47E5E">
            <w:pPr>
              <w:rPr>
                <w:sz w:val="18"/>
                <w:szCs w:val="18"/>
              </w:rPr>
            </w:pPr>
            <w:r w:rsidRPr="004E13E9">
              <w:rPr>
                <w:sz w:val="18"/>
                <w:szCs w:val="18"/>
              </w:rPr>
              <w:t> </w:t>
            </w:r>
          </w:p>
        </w:tc>
        <w:tc>
          <w:tcPr>
            <w:tcW w:w="615" w:type="dxa"/>
          </w:tcPr>
          <w:p w14:paraId="1528BE2C" w14:textId="77777777" w:rsidR="003928B6" w:rsidRPr="004E13E9" w:rsidRDefault="003928B6" w:rsidP="00D47E5E">
            <w:pPr>
              <w:rPr>
                <w:sz w:val="18"/>
                <w:szCs w:val="18"/>
              </w:rPr>
            </w:pPr>
          </w:p>
        </w:tc>
        <w:tc>
          <w:tcPr>
            <w:tcW w:w="615" w:type="dxa"/>
            <w:vAlign w:val="center"/>
            <w:hideMark/>
          </w:tcPr>
          <w:p w14:paraId="57145FD8" w14:textId="77777777" w:rsidR="003928B6" w:rsidRPr="004E13E9" w:rsidRDefault="003928B6" w:rsidP="00D47E5E">
            <w:pPr>
              <w:rPr>
                <w:sz w:val="18"/>
                <w:szCs w:val="18"/>
              </w:rPr>
            </w:pPr>
            <w:r w:rsidRPr="004E13E9">
              <w:rPr>
                <w:sz w:val="18"/>
                <w:szCs w:val="18"/>
              </w:rPr>
              <w:t> </w:t>
            </w:r>
          </w:p>
        </w:tc>
        <w:tc>
          <w:tcPr>
            <w:tcW w:w="653" w:type="dxa"/>
            <w:vAlign w:val="center"/>
            <w:hideMark/>
          </w:tcPr>
          <w:p w14:paraId="43ADD4B5" w14:textId="77777777" w:rsidR="003928B6" w:rsidRPr="004E13E9" w:rsidRDefault="003928B6" w:rsidP="00D47E5E">
            <w:pPr>
              <w:rPr>
                <w:sz w:val="18"/>
                <w:szCs w:val="18"/>
              </w:rPr>
            </w:pPr>
            <w:r w:rsidRPr="004E13E9">
              <w:rPr>
                <w:sz w:val="18"/>
                <w:szCs w:val="18"/>
              </w:rPr>
              <w:t> </w:t>
            </w:r>
          </w:p>
        </w:tc>
        <w:tc>
          <w:tcPr>
            <w:tcW w:w="851" w:type="dxa"/>
            <w:vAlign w:val="center"/>
            <w:hideMark/>
          </w:tcPr>
          <w:p w14:paraId="7EC60B87" w14:textId="77777777" w:rsidR="003928B6" w:rsidRPr="004E13E9" w:rsidRDefault="003928B6" w:rsidP="00D47E5E">
            <w:pPr>
              <w:rPr>
                <w:sz w:val="18"/>
                <w:szCs w:val="18"/>
              </w:rPr>
            </w:pPr>
            <w:r w:rsidRPr="004E13E9">
              <w:rPr>
                <w:sz w:val="18"/>
                <w:szCs w:val="18"/>
              </w:rPr>
              <w:t> </w:t>
            </w:r>
          </w:p>
        </w:tc>
        <w:tc>
          <w:tcPr>
            <w:tcW w:w="1201" w:type="dxa"/>
            <w:vAlign w:val="center"/>
            <w:hideMark/>
          </w:tcPr>
          <w:p w14:paraId="0EB529D7" w14:textId="77777777" w:rsidR="003928B6" w:rsidRPr="004E13E9" w:rsidRDefault="003928B6" w:rsidP="00D47E5E">
            <w:pPr>
              <w:rPr>
                <w:sz w:val="18"/>
                <w:szCs w:val="18"/>
              </w:rPr>
            </w:pPr>
            <w:r w:rsidRPr="004E13E9">
              <w:rPr>
                <w:sz w:val="18"/>
                <w:szCs w:val="18"/>
              </w:rPr>
              <w:t> </w:t>
            </w:r>
          </w:p>
        </w:tc>
        <w:tc>
          <w:tcPr>
            <w:tcW w:w="888" w:type="dxa"/>
            <w:vAlign w:val="center"/>
            <w:hideMark/>
          </w:tcPr>
          <w:p w14:paraId="5712D0E1" w14:textId="77777777" w:rsidR="003928B6" w:rsidRPr="004E13E9" w:rsidRDefault="003928B6" w:rsidP="00D47E5E">
            <w:pPr>
              <w:rPr>
                <w:sz w:val="18"/>
                <w:szCs w:val="18"/>
              </w:rPr>
            </w:pPr>
            <w:r w:rsidRPr="004E13E9">
              <w:rPr>
                <w:sz w:val="18"/>
                <w:szCs w:val="18"/>
              </w:rPr>
              <w:t> </w:t>
            </w:r>
          </w:p>
        </w:tc>
        <w:tc>
          <w:tcPr>
            <w:tcW w:w="950" w:type="dxa"/>
          </w:tcPr>
          <w:p w14:paraId="07E4354A" w14:textId="77777777" w:rsidR="003928B6" w:rsidRPr="004E13E9" w:rsidRDefault="003928B6" w:rsidP="00D47E5E">
            <w:pPr>
              <w:rPr>
                <w:sz w:val="18"/>
                <w:szCs w:val="18"/>
              </w:rPr>
            </w:pPr>
          </w:p>
        </w:tc>
      </w:tr>
      <w:tr w:rsidR="003928B6" w:rsidRPr="004E13E9" w14:paraId="664786B1" w14:textId="77777777" w:rsidTr="00D47E5E">
        <w:trPr>
          <w:trHeight w:val="20"/>
        </w:trPr>
        <w:tc>
          <w:tcPr>
            <w:tcW w:w="2846" w:type="dxa"/>
            <w:noWrap/>
            <w:vAlign w:val="center"/>
            <w:hideMark/>
          </w:tcPr>
          <w:p w14:paraId="307FF753" w14:textId="77777777" w:rsidR="003928B6" w:rsidRPr="004E13E9" w:rsidRDefault="003928B6" w:rsidP="00D47E5E">
            <w:pPr>
              <w:rPr>
                <w:sz w:val="18"/>
                <w:szCs w:val="18"/>
              </w:rPr>
            </w:pPr>
            <w:proofErr w:type="spellStart"/>
            <w:r w:rsidRPr="004E13E9">
              <w:rPr>
                <w:sz w:val="18"/>
                <w:szCs w:val="18"/>
              </w:rPr>
              <w:t>Senneur</w:t>
            </w:r>
            <w:proofErr w:type="spellEnd"/>
            <w:r w:rsidRPr="004E13E9">
              <w:rPr>
                <w:sz w:val="18"/>
                <w:szCs w:val="18"/>
              </w:rPr>
              <w:t xml:space="preserve"> entre 24 et 40 m</w:t>
            </w:r>
          </w:p>
        </w:tc>
        <w:tc>
          <w:tcPr>
            <w:tcW w:w="2102" w:type="dxa"/>
            <w:noWrap/>
            <w:vAlign w:val="center"/>
            <w:hideMark/>
          </w:tcPr>
          <w:p w14:paraId="383FE8D2" w14:textId="77777777" w:rsidR="003928B6" w:rsidRPr="004E13E9" w:rsidRDefault="003928B6" w:rsidP="00D47E5E">
            <w:pPr>
              <w:jc w:val="center"/>
              <w:rPr>
                <w:sz w:val="18"/>
                <w:szCs w:val="18"/>
              </w:rPr>
            </w:pPr>
            <w:r w:rsidRPr="004E13E9">
              <w:rPr>
                <w:sz w:val="18"/>
                <w:szCs w:val="18"/>
              </w:rPr>
              <w:t>49,78</w:t>
            </w:r>
          </w:p>
        </w:tc>
        <w:tc>
          <w:tcPr>
            <w:tcW w:w="615" w:type="dxa"/>
          </w:tcPr>
          <w:p w14:paraId="06D38693" w14:textId="77777777" w:rsidR="003928B6" w:rsidRPr="004E13E9" w:rsidRDefault="003928B6" w:rsidP="00D47E5E">
            <w:pPr>
              <w:rPr>
                <w:sz w:val="18"/>
                <w:szCs w:val="18"/>
              </w:rPr>
            </w:pPr>
          </w:p>
        </w:tc>
        <w:tc>
          <w:tcPr>
            <w:tcW w:w="615" w:type="dxa"/>
            <w:noWrap/>
            <w:vAlign w:val="center"/>
            <w:hideMark/>
          </w:tcPr>
          <w:p w14:paraId="7BDE7769" w14:textId="77777777" w:rsidR="003928B6" w:rsidRPr="004E13E9" w:rsidRDefault="003928B6" w:rsidP="00D47E5E">
            <w:pPr>
              <w:rPr>
                <w:sz w:val="18"/>
                <w:szCs w:val="18"/>
              </w:rPr>
            </w:pPr>
            <w:r w:rsidRPr="004E13E9">
              <w:rPr>
                <w:sz w:val="18"/>
                <w:szCs w:val="18"/>
              </w:rPr>
              <w:t> </w:t>
            </w:r>
          </w:p>
        </w:tc>
        <w:tc>
          <w:tcPr>
            <w:tcW w:w="615" w:type="dxa"/>
            <w:vAlign w:val="center"/>
            <w:hideMark/>
          </w:tcPr>
          <w:p w14:paraId="2097F853" w14:textId="77777777" w:rsidR="003928B6" w:rsidRPr="004E13E9" w:rsidRDefault="003928B6" w:rsidP="00D47E5E">
            <w:pPr>
              <w:rPr>
                <w:sz w:val="18"/>
                <w:szCs w:val="18"/>
              </w:rPr>
            </w:pPr>
            <w:r w:rsidRPr="004E13E9">
              <w:rPr>
                <w:sz w:val="18"/>
                <w:szCs w:val="18"/>
              </w:rPr>
              <w:t> </w:t>
            </w:r>
          </w:p>
        </w:tc>
        <w:tc>
          <w:tcPr>
            <w:tcW w:w="615" w:type="dxa"/>
            <w:vAlign w:val="center"/>
            <w:hideMark/>
          </w:tcPr>
          <w:p w14:paraId="011E4154" w14:textId="77777777" w:rsidR="003928B6" w:rsidRPr="004E13E9" w:rsidRDefault="003928B6" w:rsidP="00D47E5E">
            <w:pPr>
              <w:rPr>
                <w:sz w:val="18"/>
                <w:szCs w:val="18"/>
              </w:rPr>
            </w:pPr>
            <w:r w:rsidRPr="004E13E9">
              <w:rPr>
                <w:sz w:val="18"/>
                <w:szCs w:val="18"/>
              </w:rPr>
              <w:t> </w:t>
            </w:r>
          </w:p>
        </w:tc>
        <w:tc>
          <w:tcPr>
            <w:tcW w:w="615" w:type="dxa"/>
            <w:vAlign w:val="center"/>
            <w:hideMark/>
          </w:tcPr>
          <w:p w14:paraId="00BCD756" w14:textId="77777777" w:rsidR="003928B6" w:rsidRPr="004E13E9" w:rsidRDefault="003928B6" w:rsidP="00D47E5E">
            <w:pPr>
              <w:rPr>
                <w:sz w:val="18"/>
                <w:szCs w:val="18"/>
              </w:rPr>
            </w:pPr>
            <w:r w:rsidRPr="004E13E9">
              <w:rPr>
                <w:sz w:val="18"/>
                <w:szCs w:val="18"/>
              </w:rPr>
              <w:t> </w:t>
            </w:r>
          </w:p>
        </w:tc>
        <w:tc>
          <w:tcPr>
            <w:tcW w:w="615" w:type="dxa"/>
          </w:tcPr>
          <w:p w14:paraId="679DAAF9" w14:textId="77777777" w:rsidR="003928B6" w:rsidRPr="004E13E9" w:rsidRDefault="003928B6" w:rsidP="00D47E5E">
            <w:pPr>
              <w:rPr>
                <w:sz w:val="18"/>
                <w:szCs w:val="18"/>
              </w:rPr>
            </w:pPr>
          </w:p>
        </w:tc>
        <w:tc>
          <w:tcPr>
            <w:tcW w:w="615" w:type="dxa"/>
          </w:tcPr>
          <w:p w14:paraId="26B508A8" w14:textId="77777777" w:rsidR="003928B6" w:rsidRPr="004E13E9" w:rsidRDefault="003928B6" w:rsidP="00D47E5E">
            <w:pPr>
              <w:jc w:val="center"/>
              <w:rPr>
                <w:sz w:val="18"/>
                <w:szCs w:val="18"/>
              </w:rPr>
            </w:pPr>
          </w:p>
        </w:tc>
        <w:tc>
          <w:tcPr>
            <w:tcW w:w="256" w:type="dxa"/>
            <w:shd w:val="clear" w:color="000000" w:fill="D9D9D9"/>
            <w:vAlign w:val="center"/>
            <w:hideMark/>
          </w:tcPr>
          <w:p w14:paraId="0A19D95F" w14:textId="77777777" w:rsidR="003928B6" w:rsidRPr="004E13E9" w:rsidRDefault="003928B6" w:rsidP="00D47E5E">
            <w:pPr>
              <w:rPr>
                <w:sz w:val="18"/>
                <w:szCs w:val="18"/>
              </w:rPr>
            </w:pPr>
            <w:r w:rsidRPr="004E13E9">
              <w:rPr>
                <w:sz w:val="18"/>
                <w:szCs w:val="18"/>
              </w:rPr>
              <w:t> </w:t>
            </w:r>
          </w:p>
        </w:tc>
        <w:tc>
          <w:tcPr>
            <w:tcW w:w="615" w:type="dxa"/>
          </w:tcPr>
          <w:p w14:paraId="1CB4B7CD" w14:textId="77777777" w:rsidR="003928B6" w:rsidRPr="004E13E9" w:rsidRDefault="003928B6" w:rsidP="00D47E5E">
            <w:pPr>
              <w:rPr>
                <w:sz w:val="18"/>
                <w:szCs w:val="18"/>
              </w:rPr>
            </w:pPr>
          </w:p>
        </w:tc>
        <w:tc>
          <w:tcPr>
            <w:tcW w:w="615" w:type="dxa"/>
            <w:vAlign w:val="center"/>
            <w:hideMark/>
          </w:tcPr>
          <w:p w14:paraId="5BFC0658" w14:textId="77777777" w:rsidR="003928B6" w:rsidRPr="004E13E9" w:rsidRDefault="003928B6" w:rsidP="00D47E5E">
            <w:pPr>
              <w:rPr>
                <w:sz w:val="18"/>
                <w:szCs w:val="18"/>
              </w:rPr>
            </w:pPr>
            <w:r w:rsidRPr="004E13E9">
              <w:rPr>
                <w:sz w:val="18"/>
                <w:szCs w:val="18"/>
              </w:rPr>
              <w:t> </w:t>
            </w:r>
          </w:p>
        </w:tc>
        <w:tc>
          <w:tcPr>
            <w:tcW w:w="653" w:type="dxa"/>
            <w:vAlign w:val="center"/>
            <w:hideMark/>
          </w:tcPr>
          <w:p w14:paraId="6E8C33C2" w14:textId="77777777" w:rsidR="003928B6" w:rsidRPr="004E13E9" w:rsidRDefault="003928B6" w:rsidP="00D47E5E">
            <w:pPr>
              <w:rPr>
                <w:sz w:val="18"/>
                <w:szCs w:val="18"/>
              </w:rPr>
            </w:pPr>
            <w:r w:rsidRPr="004E13E9">
              <w:rPr>
                <w:sz w:val="18"/>
                <w:szCs w:val="18"/>
              </w:rPr>
              <w:t> </w:t>
            </w:r>
          </w:p>
        </w:tc>
        <w:tc>
          <w:tcPr>
            <w:tcW w:w="851" w:type="dxa"/>
            <w:vAlign w:val="center"/>
            <w:hideMark/>
          </w:tcPr>
          <w:p w14:paraId="13AA98DC" w14:textId="77777777" w:rsidR="003928B6" w:rsidRPr="004E13E9" w:rsidRDefault="003928B6" w:rsidP="00D47E5E">
            <w:pPr>
              <w:rPr>
                <w:sz w:val="18"/>
                <w:szCs w:val="18"/>
              </w:rPr>
            </w:pPr>
            <w:r w:rsidRPr="004E13E9">
              <w:rPr>
                <w:sz w:val="18"/>
                <w:szCs w:val="18"/>
              </w:rPr>
              <w:t> </w:t>
            </w:r>
          </w:p>
        </w:tc>
        <w:tc>
          <w:tcPr>
            <w:tcW w:w="1201" w:type="dxa"/>
            <w:vAlign w:val="center"/>
            <w:hideMark/>
          </w:tcPr>
          <w:p w14:paraId="12B6DB4F" w14:textId="77777777" w:rsidR="003928B6" w:rsidRPr="004E13E9" w:rsidRDefault="003928B6" w:rsidP="00D47E5E">
            <w:pPr>
              <w:rPr>
                <w:sz w:val="18"/>
                <w:szCs w:val="18"/>
              </w:rPr>
            </w:pPr>
            <w:r w:rsidRPr="004E13E9">
              <w:rPr>
                <w:sz w:val="18"/>
                <w:szCs w:val="18"/>
              </w:rPr>
              <w:t> </w:t>
            </w:r>
          </w:p>
        </w:tc>
        <w:tc>
          <w:tcPr>
            <w:tcW w:w="888" w:type="dxa"/>
            <w:vAlign w:val="center"/>
            <w:hideMark/>
          </w:tcPr>
          <w:p w14:paraId="0C081FB2" w14:textId="77777777" w:rsidR="003928B6" w:rsidRPr="004E13E9" w:rsidRDefault="003928B6" w:rsidP="00D47E5E">
            <w:pPr>
              <w:rPr>
                <w:sz w:val="18"/>
                <w:szCs w:val="18"/>
              </w:rPr>
            </w:pPr>
            <w:r w:rsidRPr="004E13E9">
              <w:rPr>
                <w:sz w:val="18"/>
                <w:szCs w:val="18"/>
              </w:rPr>
              <w:t> </w:t>
            </w:r>
          </w:p>
        </w:tc>
        <w:tc>
          <w:tcPr>
            <w:tcW w:w="950" w:type="dxa"/>
          </w:tcPr>
          <w:p w14:paraId="2EB4B9C5" w14:textId="77777777" w:rsidR="003928B6" w:rsidRPr="004E13E9" w:rsidRDefault="003928B6" w:rsidP="00D47E5E">
            <w:pPr>
              <w:rPr>
                <w:sz w:val="18"/>
                <w:szCs w:val="18"/>
              </w:rPr>
            </w:pPr>
          </w:p>
        </w:tc>
      </w:tr>
      <w:tr w:rsidR="003928B6" w:rsidRPr="004E13E9" w14:paraId="35F4F832" w14:textId="77777777" w:rsidTr="00D47E5E">
        <w:trPr>
          <w:trHeight w:val="20"/>
        </w:trPr>
        <w:tc>
          <w:tcPr>
            <w:tcW w:w="2846" w:type="dxa"/>
            <w:noWrap/>
            <w:vAlign w:val="center"/>
            <w:hideMark/>
          </w:tcPr>
          <w:p w14:paraId="6107231E" w14:textId="77777777" w:rsidR="003928B6" w:rsidRPr="004E13E9" w:rsidRDefault="003928B6" w:rsidP="00D47E5E">
            <w:pPr>
              <w:rPr>
                <w:sz w:val="18"/>
                <w:szCs w:val="18"/>
                <w:lang w:val="fr-FR"/>
              </w:rPr>
            </w:pPr>
            <w:r w:rsidRPr="004E13E9">
              <w:rPr>
                <w:sz w:val="18"/>
                <w:szCs w:val="18"/>
                <w:lang w:val="fr-FR"/>
              </w:rPr>
              <w:t>Senneur de moins de 24m</w:t>
            </w:r>
          </w:p>
        </w:tc>
        <w:tc>
          <w:tcPr>
            <w:tcW w:w="2102" w:type="dxa"/>
            <w:noWrap/>
            <w:vAlign w:val="center"/>
            <w:hideMark/>
          </w:tcPr>
          <w:p w14:paraId="69DB2889" w14:textId="77777777" w:rsidR="003928B6" w:rsidRPr="004E13E9" w:rsidRDefault="003928B6" w:rsidP="00D47E5E">
            <w:pPr>
              <w:jc w:val="center"/>
              <w:rPr>
                <w:sz w:val="18"/>
                <w:szCs w:val="18"/>
              </w:rPr>
            </w:pPr>
            <w:r w:rsidRPr="004E13E9">
              <w:rPr>
                <w:sz w:val="18"/>
                <w:szCs w:val="18"/>
              </w:rPr>
              <w:t>33,68</w:t>
            </w:r>
          </w:p>
        </w:tc>
        <w:tc>
          <w:tcPr>
            <w:tcW w:w="615" w:type="dxa"/>
          </w:tcPr>
          <w:p w14:paraId="17AF0C87" w14:textId="77777777" w:rsidR="003928B6" w:rsidRPr="004E13E9" w:rsidRDefault="003928B6" w:rsidP="00D47E5E">
            <w:pPr>
              <w:rPr>
                <w:sz w:val="18"/>
                <w:szCs w:val="18"/>
              </w:rPr>
            </w:pPr>
          </w:p>
        </w:tc>
        <w:tc>
          <w:tcPr>
            <w:tcW w:w="615" w:type="dxa"/>
            <w:noWrap/>
            <w:vAlign w:val="center"/>
            <w:hideMark/>
          </w:tcPr>
          <w:p w14:paraId="31805B14" w14:textId="77777777" w:rsidR="003928B6" w:rsidRPr="004E13E9" w:rsidRDefault="003928B6" w:rsidP="00D47E5E">
            <w:pPr>
              <w:rPr>
                <w:sz w:val="18"/>
                <w:szCs w:val="18"/>
              </w:rPr>
            </w:pPr>
            <w:r w:rsidRPr="004E13E9">
              <w:rPr>
                <w:sz w:val="18"/>
                <w:szCs w:val="18"/>
              </w:rPr>
              <w:t> </w:t>
            </w:r>
          </w:p>
        </w:tc>
        <w:tc>
          <w:tcPr>
            <w:tcW w:w="615" w:type="dxa"/>
            <w:vAlign w:val="center"/>
            <w:hideMark/>
          </w:tcPr>
          <w:p w14:paraId="2432E569" w14:textId="77777777" w:rsidR="003928B6" w:rsidRPr="004E13E9" w:rsidRDefault="003928B6" w:rsidP="00D47E5E">
            <w:pPr>
              <w:rPr>
                <w:sz w:val="18"/>
                <w:szCs w:val="18"/>
              </w:rPr>
            </w:pPr>
            <w:r w:rsidRPr="004E13E9">
              <w:rPr>
                <w:sz w:val="18"/>
                <w:szCs w:val="18"/>
              </w:rPr>
              <w:t> </w:t>
            </w:r>
          </w:p>
        </w:tc>
        <w:tc>
          <w:tcPr>
            <w:tcW w:w="615" w:type="dxa"/>
            <w:vAlign w:val="center"/>
            <w:hideMark/>
          </w:tcPr>
          <w:p w14:paraId="4F97AA23" w14:textId="77777777" w:rsidR="003928B6" w:rsidRPr="004E13E9" w:rsidRDefault="003928B6" w:rsidP="00D47E5E">
            <w:pPr>
              <w:rPr>
                <w:sz w:val="18"/>
                <w:szCs w:val="18"/>
              </w:rPr>
            </w:pPr>
            <w:r w:rsidRPr="004E13E9">
              <w:rPr>
                <w:sz w:val="18"/>
                <w:szCs w:val="18"/>
              </w:rPr>
              <w:t> </w:t>
            </w:r>
          </w:p>
        </w:tc>
        <w:tc>
          <w:tcPr>
            <w:tcW w:w="615" w:type="dxa"/>
            <w:vAlign w:val="center"/>
            <w:hideMark/>
          </w:tcPr>
          <w:p w14:paraId="0866D503" w14:textId="77777777" w:rsidR="003928B6" w:rsidRPr="004E13E9" w:rsidRDefault="003928B6" w:rsidP="00D47E5E">
            <w:pPr>
              <w:rPr>
                <w:sz w:val="18"/>
                <w:szCs w:val="18"/>
              </w:rPr>
            </w:pPr>
            <w:r w:rsidRPr="004E13E9">
              <w:rPr>
                <w:sz w:val="18"/>
                <w:szCs w:val="18"/>
              </w:rPr>
              <w:t> </w:t>
            </w:r>
          </w:p>
        </w:tc>
        <w:tc>
          <w:tcPr>
            <w:tcW w:w="615" w:type="dxa"/>
          </w:tcPr>
          <w:p w14:paraId="6C0694D3" w14:textId="77777777" w:rsidR="003928B6" w:rsidRPr="004E13E9" w:rsidRDefault="003928B6" w:rsidP="00D47E5E">
            <w:pPr>
              <w:rPr>
                <w:sz w:val="18"/>
                <w:szCs w:val="18"/>
              </w:rPr>
            </w:pPr>
          </w:p>
        </w:tc>
        <w:tc>
          <w:tcPr>
            <w:tcW w:w="615" w:type="dxa"/>
          </w:tcPr>
          <w:p w14:paraId="53886075" w14:textId="77777777" w:rsidR="003928B6" w:rsidRPr="004E13E9" w:rsidRDefault="003928B6" w:rsidP="00D47E5E">
            <w:pPr>
              <w:jc w:val="center"/>
              <w:rPr>
                <w:sz w:val="18"/>
                <w:szCs w:val="18"/>
              </w:rPr>
            </w:pPr>
          </w:p>
        </w:tc>
        <w:tc>
          <w:tcPr>
            <w:tcW w:w="256" w:type="dxa"/>
            <w:shd w:val="clear" w:color="000000" w:fill="D9D9D9"/>
            <w:vAlign w:val="center"/>
            <w:hideMark/>
          </w:tcPr>
          <w:p w14:paraId="31E94172" w14:textId="77777777" w:rsidR="003928B6" w:rsidRPr="004E13E9" w:rsidRDefault="003928B6" w:rsidP="00D47E5E">
            <w:pPr>
              <w:rPr>
                <w:sz w:val="18"/>
                <w:szCs w:val="18"/>
              </w:rPr>
            </w:pPr>
            <w:r w:rsidRPr="004E13E9">
              <w:rPr>
                <w:sz w:val="18"/>
                <w:szCs w:val="18"/>
              </w:rPr>
              <w:t> </w:t>
            </w:r>
          </w:p>
        </w:tc>
        <w:tc>
          <w:tcPr>
            <w:tcW w:w="615" w:type="dxa"/>
          </w:tcPr>
          <w:p w14:paraId="5C807D31" w14:textId="77777777" w:rsidR="003928B6" w:rsidRPr="004E13E9" w:rsidRDefault="003928B6" w:rsidP="00D47E5E">
            <w:pPr>
              <w:rPr>
                <w:sz w:val="18"/>
                <w:szCs w:val="18"/>
              </w:rPr>
            </w:pPr>
          </w:p>
        </w:tc>
        <w:tc>
          <w:tcPr>
            <w:tcW w:w="615" w:type="dxa"/>
            <w:vAlign w:val="center"/>
            <w:hideMark/>
          </w:tcPr>
          <w:p w14:paraId="484FA548" w14:textId="77777777" w:rsidR="003928B6" w:rsidRPr="004E13E9" w:rsidRDefault="003928B6" w:rsidP="00D47E5E">
            <w:pPr>
              <w:rPr>
                <w:sz w:val="18"/>
                <w:szCs w:val="18"/>
              </w:rPr>
            </w:pPr>
            <w:r w:rsidRPr="004E13E9">
              <w:rPr>
                <w:sz w:val="18"/>
                <w:szCs w:val="18"/>
              </w:rPr>
              <w:t> </w:t>
            </w:r>
          </w:p>
        </w:tc>
        <w:tc>
          <w:tcPr>
            <w:tcW w:w="653" w:type="dxa"/>
            <w:vAlign w:val="center"/>
            <w:hideMark/>
          </w:tcPr>
          <w:p w14:paraId="328484E3" w14:textId="77777777" w:rsidR="003928B6" w:rsidRPr="004E13E9" w:rsidRDefault="003928B6" w:rsidP="00D47E5E">
            <w:pPr>
              <w:rPr>
                <w:sz w:val="18"/>
                <w:szCs w:val="18"/>
              </w:rPr>
            </w:pPr>
            <w:r w:rsidRPr="004E13E9">
              <w:rPr>
                <w:sz w:val="18"/>
                <w:szCs w:val="18"/>
              </w:rPr>
              <w:t> </w:t>
            </w:r>
          </w:p>
        </w:tc>
        <w:tc>
          <w:tcPr>
            <w:tcW w:w="851" w:type="dxa"/>
            <w:vAlign w:val="center"/>
            <w:hideMark/>
          </w:tcPr>
          <w:p w14:paraId="20EAC81E" w14:textId="77777777" w:rsidR="003928B6" w:rsidRPr="004E13E9" w:rsidRDefault="003928B6" w:rsidP="00D47E5E">
            <w:pPr>
              <w:rPr>
                <w:sz w:val="18"/>
                <w:szCs w:val="18"/>
              </w:rPr>
            </w:pPr>
            <w:r w:rsidRPr="004E13E9">
              <w:rPr>
                <w:sz w:val="18"/>
                <w:szCs w:val="18"/>
              </w:rPr>
              <w:t> </w:t>
            </w:r>
          </w:p>
        </w:tc>
        <w:tc>
          <w:tcPr>
            <w:tcW w:w="1201" w:type="dxa"/>
            <w:vAlign w:val="center"/>
            <w:hideMark/>
          </w:tcPr>
          <w:p w14:paraId="6A0BDD98" w14:textId="77777777" w:rsidR="003928B6" w:rsidRPr="004E13E9" w:rsidRDefault="003928B6" w:rsidP="00D47E5E">
            <w:pPr>
              <w:rPr>
                <w:sz w:val="18"/>
                <w:szCs w:val="18"/>
              </w:rPr>
            </w:pPr>
            <w:r w:rsidRPr="004E13E9">
              <w:rPr>
                <w:sz w:val="18"/>
                <w:szCs w:val="18"/>
              </w:rPr>
              <w:t> </w:t>
            </w:r>
          </w:p>
        </w:tc>
        <w:tc>
          <w:tcPr>
            <w:tcW w:w="888" w:type="dxa"/>
            <w:vAlign w:val="center"/>
            <w:hideMark/>
          </w:tcPr>
          <w:p w14:paraId="644100FC" w14:textId="77777777" w:rsidR="003928B6" w:rsidRPr="004E13E9" w:rsidRDefault="003928B6" w:rsidP="00D47E5E">
            <w:pPr>
              <w:rPr>
                <w:sz w:val="18"/>
                <w:szCs w:val="18"/>
              </w:rPr>
            </w:pPr>
            <w:r w:rsidRPr="004E13E9">
              <w:rPr>
                <w:sz w:val="18"/>
                <w:szCs w:val="18"/>
              </w:rPr>
              <w:t> </w:t>
            </w:r>
          </w:p>
        </w:tc>
        <w:tc>
          <w:tcPr>
            <w:tcW w:w="950" w:type="dxa"/>
          </w:tcPr>
          <w:p w14:paraId="2CCFAB8D" w14:textId="77777777" w:rsidR="003928B6" w:rsidRPr="004E13E9" w:rsidRDefault="003928B6" w:rsidP="00D47E5E">
            <w:pPr>
              <w:rPr>
                <w:sz w:val="18"/>
                <w:szCs w:val="18"/>
              </w:rPr>
            </w:pPr>
          </w:p>
        </w:tc>
      </w:tr>
      <w:tr w:rsidR="003928B6" w:rsidRPr="004E13E9" w14:paraId="7840CD36" w14:textId="77777777" w:rsidTr="00D47E5E">
        <w:trPr>
          <w:trHeight w:val="20"/>
        </w:trPr>
        <w:tc>
          <w:tcPr>
            <w:tcW w:w="2846" w:type="dxa"/>
            <w:noWrap/>
            <w:vAlign w:val="center"/>
            <w:hideMark/>
          </w:tcPr>
          <w:p w14:paraId="11E263F1" w14:textId="77777777" w:rsidR="003928B6" w:rsidRPr="004E13E9" w:rsidRDefault="003928B6" w:rsidP="00D47E5E">
            <w:pPr>
              <w:rPr>
                <w:b/>
                <w:sz w:val="18"/>
                <w:szCs w:val="18"/>
              </w:rPr>
            </w:pPr>
            <w:proofErr w:type="spellStart"/>
            <w:r w:rsidRPr="004E13E9">
              <w:rPr>
                <w:b/>
                <w:sz w:val="18"/>
                <w:szCs w:val="18"/>
              </w:rPr>
              <w:t>Flottille</w:t>
            </w:r>
            <w:proofErr w:type="spellEnd"/>
            <w:r w:rsidRPr="004E13E9">
              <w:rPr>
                <w:b/>
                <w:sz w:val="18"/>
                <w:szCs w:val="18"/>
              </w:rPr>
              <w:t xml:space="preserve"> totale de senneurs</w:t>
            </w:r>
          </w:p>
        </w:tc>
        <w:tc>
          <w:tcPr>
            <w:tcW w:w="2102" w:type="dxa"/>
            <w:noWrap/>
            <w:vAlign w:val="center"/>
            <w:hideMark/>
          </w:tcPr>
          <w:p w14:paraId="3520DCDC" w14:textId="77777777" w:rsidR="003928B6" w:rsidRPr="004E13E9" w:rsidRDefault="003928B6" w:rsidP="00D47E5E">
            <w:pPr>
              <w:rPr>
                <w:sz w:val="18"/>
                <w:szCs w:val="18"/>
              </w:rPr>
            </w:pPr>
            <w:r w:rsidRPr="004E13E9">
              <w:rPr>
                <w:sz w:val="18"/>
                <w:szCs w:val="18"/>
              </w:rPr>
              <w:t> </w:t>
            </w:r>
          </w:p>
        </w:tc>
        <w:tc>
          <w:tcPr>
            <w:tcW w:w="615" w:type="dxa"/>
          </w:tcPr>
          <w:p w14:paraId="48C5A243" w14:textId="77777777" w:rsidR="003928B6" w:rsidRPr="004E13E9" w:rsidRDefault="003928B6" w:rsidP="00D47E5E">
            <w:pPr>
              <w:rPr>
                <w:b/>
                <w:sz w:val="18"/>
                <w:szCs w:val="18"/>
              </w:rPr>
            </w:pPr>
          </w:p>
        </w:tc>
        <w:tc>
          <w:tcPr>
            <w:tcW w:w="615" w:type="dxa"/>
            <w:noWrap/>
            <w:vAlign w:val="center"/>
            <w:hideMark/>
          </w:tcPr>
          <w:p w14:paraId="60EEC2F9" w14:textId="77777777" w:rsidR="003928B6" w:rsidRPr="004E13E9" w:rsidRDefault="003928B6" w:rsidP="00D47E5E">
            <w:pPr>
              <w:rPr>
                <w:b/>
                <w:sz w:val="18"/>
                <w:szCs w:val="18"/>
              </w:rPr>
            </w:pPr>
            <w:r w:rsidRPr="004E13E9">
              <w:rPr>
                <w:b/>
                <w:sz w:val="18"/>
                <w:szCs w:val="18"/>
              </w:rPr>
              <w:t> </w:t>
            </w:r>
          </w:p>
        </w:tc>
        <w:tc>
          <w:tcPr>
            <w:tcW w:w="615" w:type="dxa"/>
            <w:vAlign w:val="center"/>
            <w:hideMark/>
          </w:tcPr>
          <w:p w14:paraId="42BAB41B" w14:textId="77777777" w:rsidR="003928B6" w:rsidRPr="004E13E9" w:rsidRDefault="003928B6" w:rsidP="00D47E5E">
            <w:pPr>
              <w:rPr>
                <w:b/>
                <w:sz w:val="18"/>
                <w:szCs w:val="18"/>
              </w:rPr>
            </w:pPr>
            <w:r w:rsidRPr="004E13E9">
              <w:rPr>
                <w:b/>
                <w:sz w:val="18"/>
                <w:szCs w:val="18"/>
              </w:rPr>
              <w:t> </w:t>
            </w:r>
          </w:p>
        </w:tc>
        <w:tc>
          <w:tcPr>
            <w:tcW w:w="615" w:type="dxa"/>
            <w:vAlign w:val="center"/>
            <w:hideMark/>
          </w:tcPr>
          <w:p w14:paraId="0F9C4DFF" w14:textId="77777777" w:rsidR="003928B6" w:rsidRPr="004E13E9" w:rsidRDefault="003928B6" w:rsidP="00D47E5E">
            <w:pPr>
              <w:rPr>
                <w:b/>
                <w:sz w:val="18"/>
                <w:szCs w:val="18"/>
              </w:rPr>
            </w:pPr>
            <w:r w:rsidRPr="004E13E9">
              <w:rPr>
                <w:b/>
                <w:sz w:val="18"/>
                <w:szCs w:val="18"/>
              </w:rPr>
              <w:t> </w:t>
            </w:r>
          </w:p>
        </w:tc>
        <w:tc>
          <w:tcPr>
            <w:tcW w:w="615" w:type="dxa"/>
            <w:vAlign w:val="center"/>
            <w:hideMark/>
          </w:tcPr>
          <w:p w14:paraId="7A68EF79" w14:textId="77777777" w:rsidR="003928B6" w:rsidRPr="004E13E9" w:rsidRDefault="003928B6" w:rsidP="00D47E5E">
            <w:pPr>
              <w:rPr>
                <w:b/>
                <w:sz w:val="18"/>
                <w:szCs w:val="18"/>
              </w:rPr>
            </w:pPr>
            <w:r w:rsidRPr="004E13E9">
              <w:rPr>
                <w:b/>
                <w:sz w:val="18"/>
                <w:szCs w:val="18"/>
              </w:rPr>
              <w:t> </w:t>
            </w:r>
          </w:p>
        </w:tc>
        <w:tc>
          <w:tcPr>
            <w:tcW w:w="615" w:type="dxa"/>
          </w:tcPr>
          <w:p w14:paraId="26B7EBDF" w14:textId="77777777" w:rsidR="003928B6" w:rsidRPr="004E13E9" w:rsidRDefault="003928B6" w:rsidP="00D47E5E">
            <w:pPr>
              <w:rPr>
                <w:b/>
                <w:sz w:val="18"/>
                <w:szCs w:val="18"/>
              </w:rPr>
            </w:pPr>
          </w:p>
        </w:tc>
        <w:tc>
          <w:tcPr>
            <w:tcW w:w="615" w:type="dxa"/>
          </w:tcPr>
          <w:p w14:paraId="78E087AD" w14:textId="77777777" w:rsidR="003928B6" w:rsidRPr="004E13E9" w:rsidRDefault="003928B6" w:rsidP="00D47E5E">
            <w:pPr>
              <w:jc w:val="center"/>
              <w:rPr>
                <w:sz w:val="18"/>
                <w:szCs w:val="18"/>
              </w:rPr>
            </w:pPr>
          </w:p>
        </w:tc>
        <w:tc>
          <w:tcPr>
            <w:tcW w:w="256" w:type="dxa"/>
            <w:shd w:val="clear" w:color="000000" w:fill="D9D9D9"/>
            <w:vAlign w:val="center"/>
            <w:hideMark/>
          </w:tcPr>
          <w:p w14:paraId="58C1E47E" w14:textId="77777777" w:rsidR="003928B6" w:rsidRPr="004E13E9" w:rsidRDefault="003928B6" w:rsidP="00D47E5E">
            <w:pPr>
              <w:rPr>
                <w:b/>
                <w:sz w:val="18"/>
                <w:szCs w:val="18"/>
              </w:rPr>
            </w:pPr>
            <w:r w:rsidRPr="004E13E9">
              <w:rPr>
                <w:b/>
                <w:sz w:val="18"/>
                <w:szCs w:val="18"/>
              </w:rPr>
              <w:t> </w:t>
            </w:r>
          </w:p>
        </w:tc>
        <w:tc>
          <w:tcPr>
            <w:tcW w:w="615" w:type="dxa"/>
          </w:tcPr>
          <w:p w14:paraId="21679E4D" w14:textId="77777777" w:rsidR="003928B6" w:rsidRPr="004E13E9" w:rsidRDefault="003928B6" w:rsidP="00D47E5E">
            <w:pPr>
              <w:rPr>
                <w:b/>
                <w:sz w:val="18"/>
                <w:szCs w:val="18"/>
              </w:rPr>
            </w:pPr>
          </w:p>
        </w:tc>
        <w:tc>
          <w:tcPr>
            <w:tcW w:w="615" w:type="dxa"/>
            <w:vAlign w:val="center"/>
            <w:hideMark/>
          </w:tcPr>
          <w:p w14:paraId="1F30B25D" w14:textId="77777777" w:rsidR="003928B6" w:rsidRPr="004E13E9" w:rsidRDefault="003928B6" w:rsidP="00D47E5E">
            <w:pPr>
              <w:rPr>
                <w:b/>
                <w:sz w:val="18"/>
                <w:szCs w:val="18"/>
              </w:rPr>
            </w:pPr>
            <w:r w:rsidRPr="004E13E9">
              <w:rPr>
                <w:b/>
                <w:sz w:val="18"/>
                <w:szCs w:val="18"/>
              </w:rPr>
              <w:t> </w:t>
            </w:r>
          </w:p>
        </w:tc>
        <w:tc>
          <w:tcPr>
            <w:tcW w:w="653" w:type="dxa"/>
            <w:vAlign w:val="center"/>
            <w:hideMark/>
          </w:tcPr>
          <w:p w14:paraId="2A374AB7" w14:textId="77777777" w:rsidR="003928B6" w:rsidRPr="004E13E9" w:rsidRDefault="003928B6" w:rsidP="00D47E5E">
            <w:pPr>
              <w:rPr>
                <w:b/>
                <w:sz w:val="18"/>
                <w:szCs w:val="18"/>
              </w:rPr>
            </w:pPr>
            <w:r w:rsidRPr="004E13E9">
              <w:rPr>
                <w:b/>
                <w:sz w:val="18"/>
                <w:szCs w:val="18"/>
              </w:rPr>
              <w:t> </w:t>
            </w:r>
          </w:p>
        </w:tc>
        <w:tc>
          <w:tcPr>
            <w:tcW w:w="851" w:type="dxa"/>
            <w:vAlign w:val="center"/>
            <w:hideMark/>
          </w:tcPr>
          <w:p w14:paraId="263A1969" w14:textId="77777777" w:rsidR="003928B6" w:rsidRPr="004E13E9" w:rsidRDefault="003928B6" w:rsidP="00D47E5E">
            <w:pPr>
              <w:rPr>
                <w:b/>
                <w:sz w:val="18"/>
                <w:szCs w:val="18"/>
              </w:rPr>
            </w:pPr>
            <w:r w:rsidRPr="004E13E9">
              <w:rPr>
                <w:b/>
                <w:sz w:val="18"/>
                <w:szCs w:val="18"/>
              </w:rPr>
              <w:t> </w:t>
            </w:r>
          </w:p>
        </w:tc>
        <w:tc>
          <w:tcPr>
            <w:tcW w:w="1201" w:type="dxa"/>
            <w:vAlign w:val="center"/>
            <w:hideMark/>
          </w:tcPr>
          <w:p w14:paraId="1DED9D33" w14:textId="77777777" w:rsidR="003928B6" w:rsidRPr="004E13E9" w:rsidRDefault="003928B6" w:rsidP="00D47E5E">
            <w:pPr>
              <w:rPr>
                <w:b/>
                <w:sz w:val="18"/>
                <w:szCs w:val="18"/>
              </w:rPr>
            </w:pPr>
            <w:r w:rsidRPr="004E13E9">
              <w:rPr>
                <w:b/>
                <w:sz w:val="18"/>
                <w:szCs w:val="18"/>
              </w:rPr>
              <w:t> </w:t>
            </w:r>
          </w:p>
        </w:tc>
        <w:tc>
          <w:tcPr>
            <w:tcW w:w="888" w:type="dxa"/>
            <w:vAlign w:val="center"/>
            <w:hideMark/>
          </w:tcPr>
          <w:p w14:paraId="3FB46F04" w14:textId="77777777" w:rsidR="003928B6" w:rsidRPr="004E13E9" w:rsidRDefault="003928B6" w:rsidP="00D47E5E">
            <w:pPr>
              <w:rPr>
                <w:b/>
                <w:sz w:val="18"/>
                <w:szCs w:val="18"/>
              </w:rPr>
            </w:pPr>
            <w:r w:rsidRPr="004E13E9">
              <w:rPr>
                <w:b/>
                <w:sz w:val="18"/>
                <w:szCs w:val="18"/>
              </w:rPr>
              <w:t> </w:t>
            </w:r>
          </w:p>
        </w:tc>
        <w:tc>
          <w:tcPr>
            <w:tcW w:w="950" w:type="dxa"/>
          </w:tcPr>
          <w:p w14:paraId="0813BCDB" w14:textId="77777777" w:rsidR="003928B6" w:rsidRPr="004E13E9" w:rsidRDefault="003928B6" w:rsidP="00D47E5E">
            <w:pPr>
              <w:rPr>
                <w:b/>
                <w:sz w:val="18"/>
                <w:szCs w:val="18"/>
              </w:rPr>
            </w:pPr>
          </w:p>
        </w:tc>
      </w:tr>
      <w:tr w:rsidR="003928B6" w:rsidRPr="004E13E9" w14:paraId="36F04D18" w14:textId="77777777" w:rsidTr="00D47E5E">
        <w:trPr>
          <w:trHeight w:val="20"/>
        </w:trPr>
        <w:tc>
          <w:tcPr>
            <w:tcW w:w="2846" w:type="dxa"/>
            <w:noWrap/>
            <w:vAlign w:val="center"/>
            <w:hideMark/>
          </w:tcPr>
          <w:p w14:paraId="690D7E89" w14:textId="77777777" w:rsidR="003928B6" w:rsidRPr="004E13E9" w:rsidRDefault="003928B6" w:rsidP="00D47E5E">
            <w:pPr>
              <w:rPr>
                <w:sz w:val="18"/>
                <w:szCs w:val="18"/>
                <w:lang w:val="fr-FR"/>
              </w:rPr>
            </w:pPr>
            <w:r w:rsidRPr="004E13E9">
              <w:rPr>
                <w:sz w:val="18"/>
                <w:szCs w:val="18"/>
                <w:lang w:val="fr-FR"/>
              </w:rPr>
              <w:t>Palangrier de plus de 40 m</w:t>
            </w:r>
          </w:p>
        </w:tc>
        <w:tc>
          <w:tcPr>
            <w:tcW w:w="2102" w:type="dxa"/>
            <w:noWrap/>
            <w:vAlign w:val="center"/>
            <w:hideMark/>
          </w:tcPr>
          <w:p w14:paraId="45BC3997" w14:textId="77777777" w:rsidR="003928B6" w:rsidRPr="004E13E9" w:rsidRDefault="003928B6" w:rsidP="00D47E5E">
            <w:pPr>
              <w:jc w:val="center"/>
              <w:rPr>
                <w:sz w:val="18"/>
                <w:szCs w:val="18"/>
              </w:rPr>
            </w:pPr>
            <w:r w:rsidRPr="004E13E9">
              <w:rPr>
                <w:sz w:val="18"/>
                <w:szCs w:val="18"/>
              </w:rPr>
              <w:t>25</w:t>
            </w:r>
          </w:p>
        </w:tc>
        <w:tc>
          <w:tcPr>
            <w:tcW w:w="615" w:type="dxa"/>
          </w:tcPr>
          <w:p w14:paraId="60FA3E4E" w14:textId="77777777" w:rsidR="003928B6" w:rsidRPr="004E13E9" w:rsidRDefault="003928B6" w:rsidP="00D47E5E">
            <w:pPr>
              <w:rPr>
                <w:sz w:val="18"/>
                <w:szCs w:val="18"/>
              </w:rPr>
            </w:pPr>
          </w:p>
        </w:tc>
        <w:tc>
          <w:tcPr>
            <w:tcW w:w="615" w:type="dxa"/>
            <w:noWrap/>
            <w:vAlign w:val="center"/>
            <w:hideMark/>
          </w:tcPr>
          <w:p w14:paraId="7B35181D" w14:textId="77777777" w:rsidR="003928B6" w:rsidRPr="004E13E9" w:rsidRDefault="003928B6" w:rsidP="00D47E5E">
            <w:pPr>
              <w:rPr>
                <w:sz w:val="18"/>
                <w:szCs w:val="18"/>
              </w:rPr>
            </w:pPr>
            <w:r w:rsidRPr="004E13E9">
              <w:rPr>
                <w:sz w:val="18"/>
                <w:szCs w:val="18"/>
              </w:rPr>
              <w:t> </w:t>
            </w:r>
          </w:p>
        </w:tc>
        <w:tc>
          <w:tcPr>
            <w:tcW w:w="615" w:type="dxa"/>
            <w:vAlign w:val="center"/>
            <w:hideMark/>
          </w:tcPr>
          <w:p w14:paraId="3EEB1250" w14:textId="77777777" w:rsidR="003928B6" w:rsidRPr="004E13E9" w:rsidRDefault="003928B6" w:rsidP="00D47E5E">
            <w:pPr>
              <w:rPr>
                <w:sz w:val="18"/>
                <w:szCs w:val="18"/>
              </w:rPr>
            </w:pPr>
            <w:r w:rsidRPr="004E13E9">
              <w:rPr>
                <w:sz w:val="18"/>
                <w:szCs w:val="18"/>
              </w:rPr>
              <w:t> </w:t>
            </w:r>
          </w:p>
        </w:tc>
        <w:tc>
          <w:tcPr>
            <w:tcW w:w="615" w:type="dxa"/>
            <w:vAlign w:val="center"/>
            <w:hideMark/>
          </w:tcPr>
          <w:p w14:paraId="5B2A519D" w14:textId="77777777" w:rsidR="003928B6" w:rsidRPr="004E13E9" w:rsidRDefault="003928B6" w:rsidP="00D47E5E">
            <w:pPr>
              <w:rPr>
                <w:sz w:val="18"/>
                <w:szCs w:val="18"/>
              </w:rPr>
            </w:pPr>
            <w:r w:rsidRPr="004E13E9">
              <w:rPr>
                <w:sz w:val="18"/>
                <w:szCs w:val="18"/>
              </w:rPr>
              <w:t> </w:t>
            </w:r>
          </w:p>
        </w:tc>
        <w:tc>
          <w:tcPr>
            <w:tcW w:w="615" w:type="dxa"/>
            <w:vAlign w:val="center"/>
            <w:hideMark/>
          </w:tcPr>
          <w:p w14:paraId="0189E9FA" w14:textId="77777777" w:rsidR="003928B6" w:rsidRPr="004E13E9" w:rsidRDefault="003928B6" w:rsidP="00D47E5E">
            <w:pPr>
              <w:rPr>
                <w:sz w:val="18"/>
                <w:szCs w:val="18"/>
              </w:rPr>
            </w:pPr>
            <w:r w:rsidRPr="004E13E9">
              <w:rPr>
                <w:sz w:val="18"/>
                <w:szCs w:val="18"/>
              </w:rPr>
              <w:t> </w:t>
            </w:r>
          </w:p>
        </w:tc>
        <w:tc>
          <w:tcPr>
            <w:tcW w:w="615" w:type="dxa"/>
          </w:tcPr>
          <w:p w14:paraId="22E1CB8D" w14:textId="77777777" w:rsidR="003928B6" w:rsidRPr="004E13E9" w:rsidRDefault="003928B6" w:rsidP="00D47E5E">
            <w:pPr>
              <w:rPr>
                <w:sz w:val="18"/>
                <w:szCs w:val="18"/>
              </w:rPr>
            </w:pPr>
          </w:p>
        </w:tc>
        <w:tc>
          <w:tcPr>
            <w:tcW w:w="615" w:type="dxa"/>
          </w:tcPr>
          <w:p w14:paraId="4B4AAEC0" w14:textId="77777777" w:rsidR="003928B6" w:rsidRPr="004E13E9" w:rsidRDefault="003928B6" w:rsidP="00D47E5E">
            <w:pPr>
              <w:jc w:val="center"/>
              <w:rPr>
                <w:sz w:val="18"/>
                <w:szCs w:val="18"/>
              </w:rPr>
            </w:pPr>
          </w:p>
        </w:tc>
        <w:tc>
          <w:tcPr>
            <w:tcW w:w="256" w:type="dxa"/>
            <w:shd w:val="clear" w:color="000000" w:fill="D9D9D9"/>
            <w:vAlign w:val="center"/>
            <w:hideMark/>
          </w:tcPr>
          <w:p w14:paraId="0B1EC885" w14:textId="77777777" w:rsidR="003928B6" w:rsidRPr="004E13E9" w:rsidRDefault="003928B6" w:rsidP="00D47E5E">
            <w:pPr>
              <w:rPr>
                <w:sz w:val="18"/>
                <w:szCs w:val="18"/>
              </w:rPr>
            </w:pPr>
            <w:r w:rsidRPr="004E13E9">
              <w:rPr>
                <w:sz w:val="18"/>
                <w:szCs w:val="18"/>
              </w:rPr>
              <w:t> </w:t>
            </w:r>
          </w:p>
        </w:tc>
        <w:tc>
          <w:tcPr>
            <w:tcW w:w="615" w:type="dxa"/>
          </w:tcPr>
          <w:p w14:paraId="36FF3A22" w14:textId="77777777" w:rsidR="003928B6" w:rsidRPr="004E13E9" w:rsidRDefault="003928B6" w:rsidP="00D47E5E">
            <w:pPr>
              <w:rPr>
                <w:sz w:val="18"/>
                <w:szCs w:val="18"/>
              </w:rPr>
            </w:pPr>
          </w:p>
        </w:tc>
        <w:tc>
          <w:tcPr>
            <w:tcW w:w="615" w:type="dxa"/>
            <w:vAlign w:val="center"/>
            <w:hideMark/>
          </w:tcPr>
          <w:p w14:paraId="7865FD72" w14:textId="77777777" w:rsidR="003928B6" w:rsidRPr="004E13E9" w:rsidRDefault="003928B6" w:rsidP="00D47E5E">
            <w:pPr>
              <w:rPr>
                <w:sz w:val="18"/>
                <w:szCs w:val="18"/>
              </w:rPr>
            </w:pPr>
            <w:r w:rsidRPr="004E13E9">
              <w:rPr>
                <w:sz w:val="18"/>
                <w:szCs w:val="18"/>
              </w:rPr>
              <w:t> </w:t>
            </w:r>
          </w:p>
        </w:tc>
        <w:tc>
          <w:tcPr>
            <w:tcW w:w="653" w:type="dxa"/>
            <w:vAlign w:val="center"/>
            <w:hideMark/>
          </w:tcPr>
          <w:p w14:paraId="7BB8E91C" w14:textId="77777777" w:rsidR="003928B6" w:rsidRPr="004E13E9" w:rsidRDefault="003928B6" w:rsidP="00D47E5E">
            <w:pPr>
              <w:rPr>
                <w:sz w:val="18"/>
                <w:szCs w:val="18"/>
              </w:rPr>
            </w:pPr>
            <w:r w:rsidRPr="004E13E9">
              <w:rPr>
                <w:sz w:val="18"/>
                <w:szCs w:val="18"/>
              </w:rPr>
              <w:t> </w:t>
            </w:r>
          </w:p>
        </w:tc>
        <w:tc>
          <w:tcPr>
            <w:tcW w:w="851" w:type="dxa"/>
            <w:vAlign w:val="center"/>
            <w:hideMark/>
          </w:tcPr>
          <w:p w14:paraId="7FD3CA2F" w14:textId="77777777" w:rsidR="003928B6" w:rsidRPr="004E13E9" w:rsidRDefault="003928B6" w:rsidP="00D47E5E">
            <w:pPr>
              <w:rPr>
                <w:sz w:val="18"/>
                <w:szCs w:val="18"/>
              </w:rPr>
            </w:pPr>
            <w:r w:rsidRPr="004E13E9">
              <w:rPr>
                <w:sz w:val="18"/>
                <w:szCs w:val="18"/>
              </w:rPr>
              <w:t> </w:t>
            </w:r>
          </w:p>
        </w:tc>
        <w:tc>
          <w:tcPr>
            <w:tcW w:w="1201" w:type="dxa"/>
            <w:vAlign w:val="center"/>
            <w:hideMark/>
          </w:tcPr>
          <w:p w14:paraId="7B006661" w14:textId="77777777" w:rsidR="003928B6" w:rsidRPr="004E13E9" w:rsidRDefault="003928B6" w:rsidP="00D47E5E">
            <w:pPr>
              <w:rPr>
                <w:sz w:val="18"/>
                <w:szCs w:val="18"/>
              </w:rPr>
            </w:pPr>
            <w:r w:rsidRPr="004E13E9">
              <w:rPr>
                <w:sz w:val="18"/>
                <w:szCs w:val="18"/>
              </w:rPr>
              <w:t> </w:t>
            </w:r>
          </w:p>
        </w:tc>
        <w:tc>
          <w:tcPr>
            <w:tcW w:w="888" w:type="dxa"/>
            <w:vAlign w:val="center"/>
            <w:hideMark/>
          </w:tcPr>
          <w:p w14:paraId="59649A70" w14:textId="77777777" w:rsidR="003928B6" w:rsidRPr="004E13E9" w:rsidRDefault="003928B6" w:rsidP="00D47E5E">
            <w:pPr>
              <w:rPr>
                <w:sz w:val="18"/>
                <w:szCs w:val="18"/>
              </w:rPr>
            </w:pPr>
            <w:r w:rsidRPr="004E13E9">
              <w:rPr>
                <w:sz w:val="18"/>
                <w:szCs w:val="18"/>
              </w:rPr>
              <w:t> </w:t>
            </w:r>
          </w:p>
        </w:tc>
        <w:tc>
          <w:tcPr>
            <w:tcW w:w="950" w:type="dxa"/>
          </w:tcPr>
          <w:p w14:paraId="038596A1" w14:textId="77777777" w:rsidR="003928B6" w:rsidRPr="004E13E9" w:rsidRDefault="003928B6" w:rsidP="00D47E5E">
            <w:pPr>
              <w:rPr>
                <w:sz w:val="18"/>
                <w:szCs w:val="18"/>
              </w:rPr>
            </w:pPr>
          </w:p>
        </w:tc>
      </w:tr>
      <w:tr w:rsidR="003928B6" w:rsidRPr="004E13E9" w14:paraId="7A6AADC3" w14:textId="77777777" w:rsidTr="00D47E5E">
        <w:trPr>
          <w:trHeight w:val="20"/>
        </w:trPr>
        <w:tc>
          <w:tcPr>
            <w:tcW w:w="2846" w:type="dxa"/>
            <w:noWrap/>
            <w:vAlign w:val="center"/>
            <w:hideMark/>
          </w:tcPr>
          <w:p w14:paraId="3BCA6ACF" w14:textId="77777777" w:rsidR="003928B6" w:rsidRPr="004E13E9" w:rsidRDefault="003928B6" w:rsidP="00D47E5E">
            <w:pPr>
              <w:rPr>
                <w:sz w:val="18"/>
                <w:szCs w:val="18"/>
              </w:rPr>
            </w:pPr>
            <w:proofErr w:type="spellStart"/>
            <w:r w:rsidRPr="004E13E9">
              <w:rPr>
                <w:sz w:val="18"/>
                <w:szCs w:val="18"/>
              </w:rPr>
              <w:t>Palangrier</w:t>
            </w:r>
            <w:proofErr w:type="spellEnd"/>
            <w:r w:rsidRPr="004E13E9">
              <w:rPr>
                <w:sz w:val="18"/>
                <w:szCs w:val="18"/>
              </w:rPr>
              <w:t xml:space="preserve"> entre 24 et 40 m</w:t>
            </w:r>
          </w:p>
        </w:tc>
        <w:tc>
          <w:tcPr>
            <w:tcW w:w="2102" w:type="dxa"/>
            <w:noWrap/>
            <w:vAlign w:val="center"/>
            <w:hideMark/>
          </w:tcPr>
          <w:p w14:paraId="5F705FEA" w14:textId="77777777" w:rsidR="003928B6" w:rsidRPr="004E13E9" w:rsidRDefault="003928B6" w:rsidP="00D47E5E">
            <w:pPr>
              <w:jc w:val="center"/>
              <w:rPr>
                <w:sz w:val="18"/>
                <w:szCs w:val="18"/>
              </w:rPr>
            </w:pPr>
            <w:r w:rsidRPr="004E13E9">
              <w:rPr>
                <w:sz w:val="18"/>
                <w:szCs w:val="18"/>
              </w:rPr>
              <w:t>5,68</w:t>
            </w:r>
          </w:p>
        </w:tc>
        <w:tc>
          <w:tcPr>
            <w:tcW w:w="615" w:type="dxa"/>
          </w:tcPr>
          <w:p w14:paraId="751C703E" w14:textId="77777777" w:rsidR="003928B6" w:rsidRPr="004E13E9" w:rsidRDefault="003928B6" w:rsidP="00D47E5E">
            <w:pPr>
              <w:rPr>
                <w:sz w:val="18"/>
                <w:szCs w:val="18"/>
              </w:rPr>
            </w:pPr>
          </w:p>
        </w:tc>
        <w:tc>
          <w:tcPr>
            <w:tcW w:w="615" w:type="dxa"/>
            <w:noWrap/>
            <w:vAlign w:val="center"/>
            <w:hideMark/>
          </w:tcPr>
          <w:p w14:paraId="5F0AEB5D" w14:textId="77777777" w:rsidR="003928B6" w:rsidRPr="004E13E9" w:rsidRDefault="003928B6" w:rsidP="00D47E5E">
            <w:pPr>
              <w:rPr>
                <w:sz w:val="18"/>
                <w:szCs w:val="18"/>
              </w:rPr>
            </w:pPr>
            <w:r w:rsidRPr="004E13E9">
              <w:rPr>
                <w:sz w:val="18"/>
                <w:szCs w:val="18"/>
              </w:rPr>
              <w:t> </w:t>
            </w:r>
          </w:p>
        </w:tc>
        <w:tc>
          <w:tcPr>
            <w:tcW w:w="615" w:type="dxa"/>
            <w:vAlign w:val="center"/>
            <w:hideMark/>
          </w:tcPr>
          <w:p w14:paraId="40F43DE7" w14:textId="77777777" w:rsidR="003928B6" w:rsidRPr="004E13E9" w:rsidRDefault="003928B6" w:rsidP="00D47E5E">
            <w:pPr>
              <w:rPr>
                <w:sz w:val="18"/>
                <w:szCs w:val="18"/>
              </w:rPr>
            </w:pPr>
            <w:r w:rsidRPr="004E13E9">
              <w:rPr>
                <w:sz w:val="18"/>
                <w:szCs w:val="18"/>
              </w:rPr>
              <w:t> </w:t>
            </w:r>
          </w:p>
        </w:tc>
        <w:tc>
          <w:tcPr>
            <w:tcW w:w="615" w:type="dxa"/>
            <w:vAlign w:val="center"/>
            <w:hideMark/>
          </w:tcPr>
          <w:p w14:paraId="74F7AF11" w14:textId="77777777" w:rsidR="003928B6" w:rsidRPr="004E13E9" w:rsidRDefault="003928B6" w:rsidP="00D47E5E">
            <w:pPr>
              <w:rPr>
                <w:sz w:val="18"/>
                <w:szCs w:val="18"/>
              </w:rPr>
            </w:pPr>
            <w:r w:rsidRPr="004E13E9">
              <w:rPr>
                <w:sz w:val="18"/>
                <w:szCs w:val="18"/>
              </w:rPr>
              <w:t> </w:t>
            </w:r>
          </w:p>
        </w:tc>
        <w:tc>
          <w:tcPr>
            <w:tcW w:w="615" w:type="dxa"/>
            <w:vAlign w:val="center"/>
            <w:hideMark/>
          </w:tcPr>
          <w:p w14:paraId="5D040B72" w14:textId="77777777" w:rsidR="003928B6" w:rsidRPr="004E13E9" w:rsidRDefault="003928B6" w:rsidP="00D47E5E">
            <w:pPr>
              <w:rPr>
                <w:sz w:val="18"/>
                <w:szCs w:val="18"/>
              </w:rPr>
            </w:pPr>
            <w:r w:rsidRPr="004E13E9">
              <w:rPr>
                <w:sz w:val="18"/>
                <w:szCs w:val="18"/>
              </w:rPr>
              <w:t> </w:t>
            </w:r>
          </w:p>
        </w:tc>
        <w:tc>
          <w:tcPr>
            <w:tcW w:w="615" w:type="dxa"/>
          </w:tcPr>
          <w:p w14:paraId="7F380062" w14:textId="77777777" w:rsidR="003928B6" w:rsidRPr="004E13E9" w:rsidRDefault="003928B6" w:rsidP="00D47E5E">
            <w:pPr>
              <w:rPr>
                <w:sz w:val="18"/>
                <w:szCs w:val="18"/>
              </w:rPr>
            </w:pPr>
          </w:p>
        </w:tc>
        <w:tc>
          <w:tcPr>
            <w:tcW w:w="615" w:type="dxa"/>
          </w:tcPr>
          <w:p w14:paraId="2273A5FE" w14:textId="77777777" w:rsidR="003928B6" w:rsidRPr="004E13E9" w:rsidRDefault="003928B6" w:rsidP="00D47E5E">
            <w:pPr>
              <w:jc w:val="center"/>
              <w:rPr>
                <w:sz w:val="18"/>
                <w:szCs w:val="18"/>
              </w:rPr>
            </w:pPr>
          </w:p>
        </w:tc>
        <w:tc>
          <w:tcPr>
            <w:tcW w:w="256" w:type="dxa"/>
            <w:shd w:val="clear" w:color="000000" w:fill="D9D9D9"/>
            <w:vAlign w:val="center"/>
            <w:hideMark/>
          </w:tcPr>
          <w:p w14:paraId="49B3B473" w14:textId="77777777" w:rsidR="003928B6" w:rsidRPr="004E13E9" w:rsidRDefault="003928B6" w:rsidP="00D47E5E">
            <w:pPr>
              <w:rPr>
                <w:sz w:val="18"/>
                <w:szCs w:val="18"/>
              </w:rPr>
            </w:pPr>
            <w:r w:rsidRPr="004E13E9">
              <w:rPr>
                <w:sz w:val="18"/>
                <w:szCs w:val="18"/>
              </w:rPr>
              <w:t> </w:t>
            </w:r>
          </w:p>
        </w:tc>
        <w:tc>
          <w:tcPr>
            <w:tcW w:w="615" w:type="dxa"/>
          </w:tcPr>
          <w:p w14:paraId="0E1E7BF1" w14:textId="77777777" w:rsidR="003928B6" w:rsidRPr="004E13E9" w:rsidRDefault="003928B6" w:rsidP="00D47E5E">
            <w:pPr>
              <w:rPr>
                <w:sz w:val="18"/>
                <w:szCs w:val="18"/>
              </w:rPr>
            </w:pPr>
          </w:p>
        </w:tc>
        <w:tc>
          <w:tcPr>
            <w:tcW w:w="615" w:type="dxa"/>
            <w:vAlign w:val="center"/>
            <w:hideMark/>
          </w:tcPr>
          <w:p w14:paraId="42859010" w14:textId="77777777" w:rsidR="003928B6" w:rsidRPr="004E13E9" w:rsidRDefault="003928B6" w:rsidP="00D47E5E">
            <w:pPr>
              <w:rPr>
                <w:sz w:val="18"/>
                <w:szCs w:val="18"/>
              </w:rPr>
            </w:pPr>
            <w:r w:rsidRPr="004E13E9">
              <w:rPr>
                <w:sz w:val="18"/>
                <w:szCs w:val="18"/>
              </w:rPr>
              <w:t> </w:t>
            </w:r>
          </w:p>
        </w:tc>
        <w:tc>
          <w:tcPr>
            <w:tcW w:w="653" w:type="dxa"/>
            <w:vAlign w:val="center"/>
            <w:hideMark/>
          </w:tcPr>
          <w:p w14:paraId="18F4828B" w14:textId="77777777" w:rsidR="003928B6" w:rsidRPr="004E13E9" w:rsidRDefault="003928B6" w:rsidP="00D47E5E">
            <w:pPr>
              <w:rPr>
                <w:sz w:val="18"/>
                <w:szCs w:val="18"/>
              </w:rPr>
            </w:pPr>
            <w:r w:rsidRPr="004E13E9">
              <w:rPr>
                <w:sz w:val="18"/>
                <w:szCs w:val="18"/>
              </w:rPr>
              <w:t> </w:t>
            </w:r>
          </w:p>
        </w:tc>
        <w:tc>
          <w:tcPr>
            <w:tcW w:w="851" w:type="dxa"/>
            <w:vAlign w:val="center"/>
            <w:hideMark/>
          </w:tcPr>
          <w:p w14:paraId="7740C1F8" w14:textId="77777777" w:rsidR="003928B6" w:rsidRPr="004E13E9" w:rsidRDefault="003928B6" w:rsidP="00D47E5E">
            <w:pPr>
              <w:rPr>
                <w:sz w:val="18"/>
                <w:szCs w:val="18"/>
              </w:rPr>
            </w:pPr>
            <w:r w:rsidRPr="004E13E9">
              <w:rPr>
                <w:sz w:val="18"/>
                <w:szCs w:val="18"/>
              </w:rPr>
              <w:t> </w:t>
            </w:r>
          </w:p>
        </w:tc>
        <w:tc>
          <w:tcPr>
            <w:tcW w:w="1201" w:type="dxa"/>
            <w:vAlign w:val="center"/>
            <w:hideMark/>
          </w:tcPr>
          <w:p w14:paraId="0A5E3F22" w14:textId="77777777" w:rsidR="003928B6" w:rsidRPr="004E13E9" w:rsidRDefault="003928B6" w:rsidP="00D47E5E">
            <w:pPr>
              <w:rPr>
                <w:sz w:val="18"/>
                <w:szCs w:val="18"/>
              </w:rPr>
            </w:pPr>
            <w:r w:rsidRPr="004E13E9">
              <w:rPr>
                <w:sz w:val="18"/>
                <w:szCs w:val="18"/>
              </w:rPr>
              <w:t> </w:t>
            </w:r>
          </w:p>
        </w:tc>
        <w:tc>
          <w:tcPr>
            <w:tcW w:w="888" w:type="dxa"/>
            <w:vAlign w:val="center"/>
            <w:hideMark/>
          </w:tcPr>
          <w:p w14:paraId="5CA8AE87" w14:textId="77777777" w:rsidR="003928B6" w:rsidRPr="004E13E9" w:rsidRDefault="003928B6" w:rsidP="00D47E5E">
            <w:pPr>
              <w:rPr>
                <w:sz w:val="18"/>
                <w:szCs w:val="18"/>
              </w:rPr>
            </w:pPr>
            <w:r w:rsidRPr="004E13E9">
              <w:rPr>
                <w:sz w:val="18"/>
                <w:szCs w:val="18"/>
              </w:rPr>
              <w:t> </w:t>
            </w:r>
          </w:p>
        </w:tc>
        <w:tc>
          <w:tcPr>
            <w:tcW w:w="950" w:type="dxa"/>
          </w:tcPr>
          <w:p w14:paraId="4E3C4D34" w14:textId="77777777" w:rsidR="003928B6" w:rsidRPr="004E13E9" w:rsidRDefault="003928B6" w:rsidP="00D47E5E">
            <w:pPr>
              <w:rPr>
                <w:sz w:val="18"/>
                <w:szCs w:val="18"/>
              </w:rPr>
            </w:pPr>
          </w:p>
        </w:tc>
      </w:tr>
      <w:tr w:rsidR="003928B6" w:rsidRPr="004E13E9" w14:paraId="3015ED6F" w14:textId="77777777" w:rsidTr="00D47E5E">
        <w:trPr>
          <w:trHeight w:val="20"/>
        </w:trPr>
        <w:tc>
          <w:tcPr>
            <w:tcW w:w="2846" w:type="dxa"/>
            <w:noWrap/>
            <w:vAlign w:val="center"/>
            <w:hideMark/>
          </w:tcPr>
          <w:p w14:paraId="699904ED" w14:textId="77777777" w:rsidR="003928B6" w:rsidRPr="004E13E9" w:rsidRDefault="003928B6" w:rsidP="00D47E5E">
            <w:pPr>
              <w:rPr>
                <w:sz w:val="18"/>
                <w:szCs w:val="18"/>
                <w:lang w:val="fr-FR"/>
              </w:rPr>
            </w:pPr>
            <w:r w:rsidRPr="004E13E9">
              <w:rPr>
                <w:sz w:val="18"/>
                <w:szCs w:val="18"/>
                <w:lang w:val="fr-FR"/>
              </w:rPr>
              <w:t>Palangrier de moins de 24m</w:t>
            </w:r>
          </w:p>
        </w:tc>
        <w:tc>
          <w:tcPr>
            <w:tcW w:w="2102" w:type="dxa"/>
            <w:noWrap/>
            <w:vAlign w:val="center"/>
            <w:hideMark/>
          </w:tcPr>
          <w:p w14:paraId="2E5EF84D" w14:textId="77777777" w:rsidR="003928B6" w:rsidRPr="004E13E9" w:rsidRDefault="003928B6" w:rsidP="00D47E5E">
            <w:pPr>
              <w:jc w:val="center"/>
              <w:rPr>
                <w:sz w:val="18"/>
                <w:szCs w:val="18"/>
              </w:rPr>
            </w:pPr>
            <w:r w:rsidRPr="004E13E9">
              <w:rPr>
                <w:sz w:val="18"/>
                <w:szCs w:val="18"/>
              </w:rPr>
              <w:t>5</w:t>
            </w:r>
          </w:p>
        </w:tc>
        <w:tc>
          <w:tcPr>
            <w:tcW w:w="615" w:type="dxa"/>
          </w:tcPr>
          <w:p w14:paraId="0C6873A6" w14:textId="77777777" w:rsidR="003928B6" w:rsidRPr="004E13E9" w:rsidRDefault="003928B6" w:rsidP="00D47E5E">
            <w:pPr>
              <w:rPr>
                <w:sz w:val="18"/>
                <w:szCs w:val="18"/>
              </w:rPr>
            </w:pPr>
          </w:p>
        </w:tc>
        <w:tc>
          <w:tcPr>
            <w:tcW w:w="615" w:type="dxa"/>
            <w:noWrap/>
            <w:vAlign w:val="center"/>
            <w:hideMark/>
          </w:tcPr>
          <w:p w14:paraId="1E295A55" w14:textId="77777777" w:rsidR="003928B6" w:rsidRPr="004E13E9" w:rsidRDefault="003928B6" w:rsidP="00D47E5E">
            <w:pPr>
              <w:rPr>
                <w:sz w:val="18"/>
                <w:szCs w:val="18"/>
              </w:rPr>
            </w:pPr>
            <w:r w:rsidRPr="004E13E9">
              <w:rPr>
                <w:sz w:val="18"/>
                <w:szCs w:val="18"/>
              </w:rPr>
              <w:t> </w:t>
            </w:r>
          </w:p>
        </w:tc>
        <w:tc>
          <w:tcPr>
            <w:tcW w:w="615" w:type="dxa"/>
            <w:vAlign w:val="center"/>
            <w:hideMark/>
          </w:tcPr>
          <w:p w14:paraId="337B3D1B" w14:textId="77777777" w:rsidR="003928B6" w:rsidRPr="004E13E9" w:rsidRDefault="003928B6" w:rsidP="00D47E5E">
            <w:pPr>
              <w:rPr>
                <w:sz w:val="18"/>
                <w:szCs w:val="18"/>
              </w:rPr>
            </w:pPr>
            <w:r w:rsidRPr="004E13E9">
              <w:rPr>
                <w:sz w:val="18"/>
                <w:szCs w:val="18"/>
              </w:rPr>
              <w:t> </w:t>
            </w:r>
          </w:p>
        </w:tc>
        <w:tc>
          <w:tcPr>
            <w:tcW w:w="615" w:type="dxa"/>
            <w:vAlign w:val="center"/>
            <w:hideMark/>
          </w:tcPr>
          <w:p w14:paraId="19E40090" w14:textId="77777777" w:rsidR="003928B6" w:rsidRPr="004E13E9" w:rsidRDefault="003928B6" w:rsidP="00D47E5E">
            <w:pPr>
              <w:rPr>
                <w:sz w:val="18"/>
                <w:szCs w:val="18"/>
              </w:rPr>
            </w:pPr>
            <w:r w:rsidRPr="004E13E9">
              <w:rPr>
                <w:sz w:val="18"/>
                <w:szCs w:val="18"/>
              </w:rPr>
              <w:t> </w:t>
            </w:r>
          </w:p>
        </w:tc>
        <w:tc>
          <w:tcPr>
            <w:tcW w:w="615" w:type="dxa"/>
            <w:vAlign w:val="center"/>
            <w:hideMark/>
          </w:tcPr>
          <w:p w14:paraId="5AF6604A" w14:textId="77777777" w:rsidR="003928B6" w:rsidRPr="004E13E9" w:rsidRDefault="003928B6" w:rsidP="00D47E5E">
            <w:pPr>
              <w:rPr>
                <w:sz w:val="18"/>
                <w:szCs w:val="18"/>
              </w:rPr>
            </w:pPr>
            <w:r w:rsidRPr="004E13E9">
              <w:rPr>
                <w:sz w:val="18"/>
                <w:szCs w:val="18"/>
              </w:rPr>
              <w:t> </w:t>
            </w:r>
          </w:p>
        </w:tc>
        <w:tc>
          <w:tcPr>
            <w:tcW w:w="615" w:type="dxa"/>
          </w:tcPr>
          <w:p w14:paraId="38D8D7C4" w14:textId="77777777" w:rsidR="003928B6" w:rsidRPr="004E13E9" w:rsidRDefault="003928B6" w:rsidP="00D47E5E">
            <w:pPr>
              <w:rPr>
                <w:sz w:val="18"/>
                <w:szCs w:val="18"/>
              </w:rPr>
            </w:pPr>
          </w:p>
        </w:tc>
        <w:tc>
          <w:tcPr>
            <w:tcW w:w="615" w:type="dxa"/>
          </w:tcPr>
          <w:p w14:paraId="71DA4EB8" w14:textId="77777777" w:rsidR="003928B6" w:rsidRPr="004E13E9" w:rsidRDefault="003928B6" w:rsidP="00D47E5E">
            <w:pPr>
              <w:jc w:val="center"/>
              <w:rPr>
                <w:sz w:val="18"/>
                <w:szCs w:val="18"/>
              </w:rPr>
            </w:pPr>
          </w:p>
        </w:tc>
        <w:tc>
          <w:tcPr>
            <w:tcW w:w="256" w:type="dxa"/>
            <w:shd w:val="clear" w:color="000000" w:fill="D9D9D9"/>
            <w:vAlign w:val="center"/>
            <w:hideMark/>
          </w:tcPr>
          <w:p w14:paraId="5F0AE4D9" w14:textId="77777777" w:rsidR="003928B6" w:rsidRPr="004E13E9" w:rsidRDefault="003928B6" w:rsidP="00D47E5E">
            <w:pPr>
              <w:rPr>
                <w:sz w:val="18"/>
                <w:szCs w:val="18"/>
              </w:rPr>
            </w:pPr>
            <w:r w:rsidRPr="004E13E9">
              <w:rPr>
                <w:sz w:val="18"/>
                <w:szCs w:val="18"/>
              </w:rPr>
              <w:t> </w:t>
            </w:r>
          </w:p>
        </w:tc>
        <w:tc>
          <w:tcPr>
            <w:tcW w:w="615" w:type="dxa"/>
          </w:tcPr>
          <w:p w14:paraId="3FFA4A59" w14:textId="77777777" w:rsidR="003928B6" w:rsidRPr="004E13E9" w:rsidRDefault="003928B6" w:rsidP="00D47E5E">
            <w:pPr>
              <w:rPr>
                <w:sz w:val="18"/>
                <w:szCs w:val="18"/>
              </w:rPr>
            </w:pPr>
          </w:p>
        </w:tc>
        <w:tc>
          <w:tcPr>
            <w:tcW w:w="615" w:type="dxa"/>
            <w:vAlign w:val="center"/>
            <w:hideMark/>
          </w:tcPr>
          <w:p w14:paraId="0003194B" w14:textId="77777777" w:rsidR="003928B6" w:rsidRPr="004E13E9" w:rsidRDefault="003928B6" w:rsidP="00D47E5E">
            <w:pPr>
              <w:rPr>
                <w:sz w:val="18"/>
                <w:szCs w:val="18"/>
              </w:rPr>
            </w:pPr>
            <w:r w:rsidRPr="004E13E9">
              <w:rPr>
                <w:sz w:val="18"/>
                <w:szCs w:val="18"/>
              </w:rPr>
              <w:t> </w:t>
            </w:r>
          </w:p>
        </w:tc>
        <w:tc>
          <w:tcPr>
            <w:tcW w:w="653" w:type="dxa"/>
            <w:vAlign w:val="center"/>
            <w:hideMark/>
          </w:tcPr>
          <w:p w14:paraId="11EE0760" w14:textId="77777777" w:rsidR="003928B6" w:rsidRPr="004E13E9" w:rsidRDefault="003928B6" w:rsidP="00D47E5E">
            <w:pPr>
              <w:rPr>
                <w:sz w:val="18"/>
                <w:szCs w:val="18"/>
              </w:rPr>
            </w:pPr>
            <w:r w:rsidRPr="004E13E9">
              <w:rPr>
                <w:sz w:val="18"/>
                <w:szCs w:val="18"/>
              </w:rPr>
              <w:t> </w:t>
            </w:r>
          </w:p>
        </w:tc>
        <w:tc>
          <w:tcPr>
            <w:tcW w:w="851" w:type="dxa"/>
            <w:vAlign w:val="center"/>
            <w:hideMark/>
          </w:tcPr>
          <w:p w14:paraId="739D9908" w14:textId="77777777" w:rsidR="003928B6" w:rsidRPr="004E13E9" w:rsidRDefault="003928B6" w:rsidP="00D47E5E">
            <w:pPr>
              <w:rPr>
                <w:sz w:val="18"/>
                <w:szCs w:val="18"/>
              </w:rPr>
            </w:pPr>
            <w:r w:rsidRPr="004E13E9">
              <w:rPr>
                <w:sz w:val="18"/>
                <w:szCs w:val="18"/>
              </w:rPr>
              <w:t> </w:t>
            </w:r>
          </w:p>
        </w:tc>
        <w:tc>
          <w:tcPr>
            <w:tcW w:w="1201" w:type="dxa"/>
            <w:vAlign w:val="center"/>
            <w:hideMark/>
          </w:tcPr>
          <w:p w14:paraId="0004C78D" w14:textId="77777777" w:rsidR="003928B6" w:rsidRPr="004E13E9" w:rsidRDefault="003928B6" w:rsidP="00D47E5E">
            <w:pPr>
              <w:rPr>
                <w:sz w:val="18"/>
                <w:szCs w:val="18"/>
              </w:rPr>
            </w:pPr>
            <w:r w:rsidRPr="004E13E9">
              <w:rPr>
                <w:sz w:val="18"/>
                <w:szCs w:val="18"/>
              </w:rPr>
              <w:t> </w:t>
            </w:r>
          </w:p>
        </w:tc>
        <w:tc>
          <w:tcPr>
            <w:tcW w:w="888" w:type="dxa"/>
            <w:vAlign w:val="center"/>
            <w:hideMark/>
          </w:tcPr>
          <w:p w14:paraId="52681CDA" w14:textId="77777777" w:rsidR="003928B6" w:rsidRPr="004E13E9" w:rsidRDefault="003928B6" w:rsidP="00D47E5E">
            <w:pPr>
              <w:rPr>
                <w:sz w:val="18"/>
                <w:szCs w:val="18"/>
              </w:rPr>
            </w:pPr>
            <w:r w:rsidRPr="004E13E9">
              <w:rPr>
                <w:sz w:val="18"/>
                <w:szCs w:val="18"/>
              </w:rPr>
              <w:t> </w:t>
            </w:r>
          </w:p>
        </w:tc>
        <w:tc>
          <w:tcPr>
            <w:tcW w:w="950" w:type="dxa"/>
          </w:tcPr>
          <w:p w14:paraId="7F27AC9D" w14:textId="77777777" w:rsidR="003928B6" w:rsidRPr="004E13E9" w:rsidRDefault="003928B6" w:rsidP="00D47E5E">
            <w:pPr>
              <w:rPr>
                <w:sz w:val="18"/>
                <w:szCs w:val="18"/>
              </w:rPr>
            </w:pPr>
          </w:p>
        </w:tc>
      </w:tr>
      <w:tr w:rsidR="003928B6" w:rsidRPr="004E13E9" w14:paraId="218A6B93" w14:textId="77777777" w:rsidTr="00D47E5E">
        <w:trPr>
          <w:trHeight w:val="20"/>
        </w:trPr>
        <w:tc>
          <w:tcPr>
            <w:tcW w:w="2846" w:type="dxa"/>
            <w:noWrap/>
            <w:vAlign w:val="center"/>
            <w:hideMark/>
          </w:tcPr>
          <w:p w14:paraId="54429277" w14:textId="77777777" w:rsidR="003928B6" w:rsidRPr="004E13E9" w:rsidRDefault="003928B6" w:rsidP="00D47E5E">
            <w:pPr>
              <w:rPr>
                <w:b/>
                <w:sz w:val="18"/>
                <w:szCs w:val="18"/>
              </w:rPr>
            </w:pPr>
            <w:proofErr w:type="spellStart"/>
            <w:r w:rsidRPr="004E13E9">
              <w:rPr>
                <w:b/>
                <w:sz w:val="18"/>
                <w:szCs w:val="18"/>
              </w:rPr>
              <w:t>Flottille</w:t>
            </w:r>
            <w:proofErr w:type="spellEnd"/>
            <w:r w:rsidRPr="004E13E9">
              <w:rPr>
                <w:b/>
                <w:sz w:val="18"/>
                <w:szCs w:val="18"/>
              </w:rPr>
              <w:t xml:space="preserve"> totale de </w:t>
            </w:r>
            <w:proofErr w:type="spellStart"/>
            <w:r w:rsidRPr="004E13E9">
              <w:rPr>
                <w:b/>
                <w:sz w:val="18"/>
                <w:szCs w:val="18"/>
              </w:rPr>
              <w:t>palangriers</w:t>
            </w:r>
            <w:proofErr w:type="spellEnd"/>
          </w:p>
        </w:tc>
        <w:tc>
          <w:tcPr>
            <w:tcW w:w="2102" w:type="dxa"/>
            <w:noWrap/>
            <w:vAlign w:val="center"/>
            <w:hideMark/>
          </w:tcPr>
          <w:p w14:paraId="18F9C297" w14:textId="77777777" w:rsidR="003928B6" w:rsidRPr="004E13E9" w:rsidRDefault="003928B6" w:rsidP="00D47E5E">
            <w:pPr>
              <w:rPr>
                <w:sz w:val="18"/>
                <w:szCs w:val="18"/>
              </w:rPr>
            </w:pPr>
            <w:r w:rsidRPr="004E13E9">
              <w:rPr>
                <w:sz w:val="18"/>
                <w:szCs w:val="18"/>
              </w:rPr>
              <w:t> </w:t>
            </w:r>
          </w:p>
        </w:tc>
        <w:tc>
          <w:tcPr>
            <w:tcW w:w="615" w:type="dxa"/>
          </w:tcPr>
          <w:p w14:paraId="40AAC8C9" w14:textId="77777777" w:rsidR="003928B6" w:rsidRPr="004E13E9" w:rsidRDefault="003928B6" w:rsidP="00D47E5E">
            <w:pPr>
              <w:rPr>
                <w:b/>
                <w:sz w:val="18"/>
                <w:szCs w:val="18"/>
              </w:rPr>
            </w:pPr>
          </w:p>
        </w:tc>
        <w:tc>
          <w:tcPr>
            <w:tcW w:w="615" w:type="dxa"/>
            <w:noWrap/>
            <w:vAlign w:val="center"/>
            <w:hideMark/>
          </w:tcPr>
          <w:p w14:paraId="72E5AE1E" w14:textId="77777777" w:rsidR="003928B6" w:rsidRPr="004E13E9" w:rsidRDefault="003928B6" w:rsidP="00D47E5E">
            <w:pPr>
              <w:rPr>
                <w:b/>
                <w:sz w:val="18"/>
                <w:szCs w:val="18"/>
              </w:rPr>
            </w:pPr>
            <w:r w:rsidRPr="004E13E9">
              <w:rPr>
                <w:b/>
                <w:sz w:val="18"/>
                <w:szCs w:val="18"/>
              </w:rPr>
              <w:t> </w:t>
            </w:r>
          </w:p>
        </w:tc>
        <w:tc>
          <w:tcPr>
            <w:tcW w:w="615" w:type="dxa"/>
            <w:vAlign w:val="center"/>
            <w:hideMark/>
          </w:tcPr>
          <w:p w14:paraId="7055B2B3" w14:textId="77777777" w:rsidR="003928B6" w:rsidRPr="004E13E9" w:rsidRDefault="003928B6" w:rsidP="00D47E5E">
            <w:pPr>
              <w:rPr>
                <w:b/>
                <w:sz w:val="18"/>
                <w:szCs w:val="18"/>
              </w:rPr>
            </w:pPr>
            <w:r w:rsidRPr="004E13E9">
              <w:rPr>
                <w:b/>
                <w:sz w:val="18"/>
                <w:szCs w:val="18"/>
              </w:rPr>
              <w:t> </w:t>
            </w:r>
          </w:p>
        </w:tc>
        <w:tc>
          <w:tcPr>
            <w:tcW w:w="615" w:type="dxa"/>
            <w:vAlign w:val="center"/>
            <w:hideMark/>
          </w:tcPr>
          <w:p w14:paraId="22B57C55" w14:textId="77777777" w:rsidR="003928B6" w:rsidRPr="004E13E9" w:rsidRDefault="003928B6" w:rsidP="00D47E5E">
            <w:pPr>
              <w:rPr>
                <w:b/>
                <w:sz w:val="18"/>
                <w:szCs w:val="18"/>
              </w:rPr>
            </w:pPr>
            <w:r w:rsidRPr="004E13E9">
              <w:rPr>
                <w:b/>
                <w:sz w:val="18"/>
                <w:szCs w:val="18"/>
              </w:rPr>
              <w:t> </w:t>
            </w:r>
          </w:p>
        </w:tc>
        <w:tc>
          <w:tcPr>
            <w:tcW w:w="615" w:type="dxa"/>
            <w:vAlign w:val="center"/>
            <w:hideMark/>
          </w:tcPr>
          <w:p w14:paraId="276F93BC" w14:textId="77777777" w:rsidR="003928B6" w:rsidRPr="004E13E9" w:rsidRDefault="003928B6" w:rsidP="00D47E5E">
            <w:pPr>
              <w:rPr>
                <w:b/>
                <w:sz w:val="18"/>
                <w:szCs w:val="18"/>
              </w:rPr>
            </w:pPr>
            <w:r w:rsidRPr="004E13E9">
              <w:rPr>
                <w:b/>
                <w:sz w:val="18"/>
                <w:szCs w:val="18"/>
              </w:rPr>
              <w:t> </w:t>
            </w:r>
          </w:p>
        </w:tc>
        <w:tc>
          <w:tcPr>
            <w:tcW w:w="615" w:type="dxa"/>
          </w:tcPr>
          <w:p w14:paraId="7E835861" w14:textId="77777777" w:rsidR="003928B6" w:rsidRPr="004E13E9" w:rsidRDefault="003928B6" w:rsidP="00D47E5E">
            <w:pPr>
              <w:rPr>
                <w:b/>
                <w:sz w:val="18"/>
                <w:szCs w:val="18"/>
              </w:rPr>
            </w:pPr>
          </w:p>
        </w:tc>
        <w:tc>
          <w:tcPr>
            <w:tcW w:w="615" w:type="dxa"/>
          </w:tcPr>
          <w:p w14:paraId="0FE26D37" w14:textId="77777777" w:rsidR="003928B6" w:rsidRPr="004E13E9" w:rsidRDefault="003928B6" w:rsidP="00D47E5E">
            <w:pPr>
              <w:jc w:val="center"/>
              <w:rPr>
                <w:sz w:val="18"/>
                <w:szCs w:val="18"/>
              </w:rPr>
            </w:pPr>
          </w:p>
        </w:tc>
        <w:tc>
          <w:tcPr>
            <w:tcW w:w="256" w:type="dxa"/>
            <w:shd w:val="clear" w:color="000000" w:fill="D9D9D9"/>
            <w:vAlign w:val="center"/>
            <w:hideMark/>
          </w:tcPr>
          <w:p w14:paraId="7C8480B6" w14:textId="77777777" w:rsidR="003928B6" w:rsidRPr="004E13E9" w:rsidRDefault="003928B6" w:rsidP="00D47E5E">
            <w:pPr>
              <w:rPr>
                <w:b/>
                <w:sz w:val="18"/>
                <w:szCs w:val="18"/>
              </w:rPr>
            </w:pPr>
            <w:r w:rsidRPr="004E13E9">
              <w:rPr>
                <w:b/>
                <w:sz w:val="18"/>
                <w:szCs w:val="18"/>
              </w:rPr>
              <w:t> </w:t>
            </w:r>
          </w:p>
        </w:tc>
        <w:tc>
          <w:tcPr>
            <w:tcW w:w="615" w:type="dxa"/>
          </w:tcPr>
          <w:p w14:paraId="024ACCFE" w14:textId="77777777" w:rsidR="003928B6" w:rsidRPr="004E13E9" w:rsidRDefault="003928B6" w:rsidP="00D47E5E">
            <w:pPr>
              <w:rPr>
                <w:b/>
                <w:sz w:val="18"/>
                <w:szCs w:val="18"/>
              </w:rPr>
            </w:pPr>
          </w:p>
        </w:tc>
        <w:tc>
          <w:tcPr>
            <w:tcW w:w="615" w:type="dxa"/>
            <w:vAlign w:val="center"/>
            <w:hideMark/>
          </w:tcPr>
          <w:p w14:paraId="0AA6DDF4" w14:textId="77777777" w:rsidR="003928B6" w:rsidRPr="004E13E9" w:rsidRDefault="003928B6" w:rsidP="00D47E5E">
            <w:pPr>
              <w:rPr>
                <w:b/>
                <w:sz w:val="18"/>
                <w:szCs w:val="18"/>
              </w:rPr>
            </w:pPr>
            <w:r w:rsidRPr="004E13E9">
              <w:rPr>
                <w:b/>
                <w:sz w:val="18"/>
                <w:szCs w:val="18"/>
              </w:rPr>
              <w:t> </w:t>
            </w:r>
          </w:p>
        </w:tc>
        <w:tc>
          <w:tcPr>
            <w:tcW w:w="653" w:type="dxa"/>
            <w:vAlign w:val="center"/>
            <w:hideMark/>
          </w:tcPr>
          <w:p w14:paraId="3E9D9D87" w14:textId="77777777" w:rsidR="003928B6" w:rsidRPr="004E13E9" w:rsidRDefault="003928B6" w:rsidP="00D47E5E">
            <w:pPr>
              <w:rPr>
                <w:b/>
                <w:sz w:val="18"/>
                <w:szCs w:val="18"/>
              </w:rPr>
            </w:pPr>
            <w:r w:rsidRPr="004E13E9">
              <w:rPr>
                <w:b/>
                <w:sz w:val="18"/>
                <w:szCs w:val="18"/>
              </w:rPr>
              <w:t> </w:t>
            </w:r>
          </w:p>
        </w:tc>
        <w:tc>
          <w:tcPr>
            <w:tcW w:w="851" w:type="dxa"/>
            <w:vAlign w:val="center"/>
            <w:hideMark/>
          </w:tcPr>
          <w:p w14:paraId="3FB1243E" w14:textId="77777777" w:rsidR="003928B6" w:rsidRPr="004E13E9" w:rsidRDefault="003928B6" w:rsidP="00D47E5E">
            <w:pPr>
              <w:rPr>
                <w:b/>
                <w:sz w:val="18"/>
                <w:szCs w:val="18"/>
              </w:rPr>
            </w:pPr>
            <w:r w:rsidRPr="004E13E9">
              <w:rPr>
                <w:b/>
                <w:sz w:val="18"/>
                <w:szCs w:val="18"/>
              </w:rPr>
              <w:t> </w:t>
            </w:r>
          </w:p>
        </w:tc>
        <w:tc>
          <w:tcPr>
            <w:tcW w:w="1201" w:type="dxa"/>
            <w:vAlign w:val="center"/>
            <w:hideMark/>
          </w:tcPr>
          <w:p w14:paraId="09C831C6" w14:textId="77777777" w:rsidR="003928B6" w:rsidRPr="004E13E9" w:rsidRDefault="003928B6" w:rsidP="00D47E5E">
            <w:pPr>
              <w:rPr>
                <w:b/>
                <w:sz w:val="18"/>
                <w:szCs w:val="18"/>
              </w:rPr>
            </w:pPr>
            <w:r w:rsidRPr="004E13E9">
              <w:rPr>
                <w:b/>
                <w:sz w:val="18"/>
                <w:szCs w:val="18"/>
              </w:rPr>
              <w:t> </w:t>
            </w:r>
          </w:p>
        </w:tc>
        <w:tc>
          <w:tcPr>
            <w:tcW w:w="888" w:type="dxa"/>
            <w:vAlign w:val="center"/>
            <w:hideMark/>
          </w:tcPr>
          <w:p w14:paraId="602A24D6" w14:textId="77777777" w:rsidR="003928B6" w:rsidRPr="004E13E9" w:rsidRDefault="003928B6" w:rsidP="00D47E5E">
            <w:pPr>
              <w:rPr>
                <w:b/>
                <w:sz w:val="18"/>
                <w:szCs w:val="18"/>
              </w:rPr>
            </w:pPr>
            <w:r w:rsidRPr="004E13E9">
              <w:rPr>
                <w:b/>
                <w:sz w:val="18"/>
                <w:szCs w:val="18"/>
              </w:rPr>
              <w:t> </w:t>
            </w:r>
          </w:p>
        </w:tc>
        <w:tc>
          <w:tcPr>
            <w:tcW w:w="950" w:type="dxa"/>
          </w:tcPr>
          <w:p w14:paraId="4BD41084" w14:textId="77777777" w:rsidR="003928B6" w:rsidRPr="004E13E9" w:rsidRDefault="003928B6" w:rsidP="00D47E5E">
            <w:pPr>
              <w:rPr>
                <w:b/>
                <w:sz w:val="18"/>
                <w:szCs w:val="18"/>
              </w:rPr>
            </w:pPr>
          </w:p>
        </w:tc>
      </w:tr>
      <w:tr w:rsidR="003928B6" w:rsidRPr="004E13E9" w14:paraId="62481821" w14:textId="77777777" w:rsidTr="00D47E5E">
        <w:trPr>
          <w:trHeight w:val="20"/>
        </w:trPr>
        <w:tc>
          <w:tcPr>
            <w:tcW w:w="2846" w:type="dxa"/>
            <w:noWrap/>
            <w:vAlign w:val="center"/>
            <w:hideMark/>
          </w:tcPr>
          <w:p w14:paraId="564DB527" w14:textId="77777777" w:rsidR="003928B6" w:rsidRPr="004E13E9" w:rsidRDefault="003928B6" w:rsidP="00D47E5E">
            <w:pPr>
              <w:rPr>
                <w:sz w:val="18"/>
                <w:szCs w:val="18"/>
              </w:rPr>
            </w:pPr>
            <w:proofErr w:type="spellStart"/>
            <w:r w:rsidRPr="004E13E9">
              <w:rPr>
                <w:sz w:val="18"/>
                <w:szCs w:val="18"/>
              </w:rPr>
              <w:t>Canneur</w:t>
            </w:r>
            <w:proofErr w:type="spellEnd"/>
          </w:p>
        </w:tc>
        <w:tc>
          <w:tcPr>
            <w:tcW w:w="2102" w:type="dxa"/>
            <w:noWrap/>
            <w:vAlign w:val="center"/>
            <w:hideMark/>
          </w:tcPr>
          <w:p w14:paraId="7E2B6F55" w14:textId="77777777" w:rsidR="003928B6" w:rsidRPr="004E13E9" w:rsidRDefault="003928B6" w:rsidP="00D47E5E">
            <w:pPr>
              <w:jc w:val="center"/>
              <w:rPr>
                <w:sz w:val="18"/>
                <w:szCs w:val="18"/>
              </w:rPr>
            </w:pPr>
            <w:r w:rsidRPr="004E13E9">
              <w:rPr>
                <w:sz w:val="18"/>
                <w:szCs w:val="18"/>
              </w:rPr>
              <w:t>19,75</w:t>
            </w:r>
          </w:p>
        </w:tc>
        <w:tc>
          <w:tcPr>
            <w:tcW w:w="615" w:type="dxa"/>
          </w:tcPr>
          <w:p w14:paraId="635B0BBC" w14:textId="77777777" w:rsidR="003928B6" w:rsidRPr="004E13E9" w:rsidRDefault="003928B6" w:rsidP="00D47E5E">
            <w:pPr>
              <w:rPr>
                <w:b/>
                <w:sz w:val="18"/>
                <w:szCs w:val="18"/>
              </w:rPr>
            </w:pPr>
          </w:p>
        </w:tc>
        <w:tc>
          <w:tcPr>
            <w:tcW w:w="615" w:type="dxa"/>
            <w:noWrap/>
            <w:vAlign w:val="center"/>
            <w:hideMark/>
          </w:tcPr>
          <w:p w14:paraId="36DE0EE1" w14:textId="77777777" w:rsidR="003928B6" w:rsidRPr="004E13E9" w:rsidRDefault="003928B6" w:rsidP="00D47E5E">
            <w:pPr>
              <w:rPr>
                <w:b/>
                <w:sz w:val="18"/>
                <w:szCs w:val="18"/>
              </w:rPr>
            </w:pPr>
            <w:r w:rsidRPr="004E13E9">
              <w:rPr>
                <w:b/>
                <w:sz w:val="18"/>
                <w:szCs w:val="18"/>
              </w:rPr>
              <w:t> </w:t>
            </w:r>
          </w:p>
        </w:tc>
        <w:tc>
          <w:tcPr>
            <w:tcW w:w="615" w:type="dxa"/>
            <w:vAlign w:val="center"/>
            <w:hideMark/>
          </w:tcPr>
          <w:p w14:paraId="7FED9092" w14:textId="77777777" w:rsidR="003928B6" w:rsidRPr="004E13E9" w:rsidRDefault="003928B6" w:rsidP="00D47E5E">
            <w:pPr>
              <w:rPr>
                <w:b/>
                <w:sz w:val="18"/>
                <w:szCs w:val="18"/>
              </w:rPr>
            </w:pPr>
            <w:r w:rsidRPr="004E13E9">
              <w:rPr>
                <w:b/>
                <w:sz w:val="18"/>
                <w:szCs w:val="18"/>
              </w:rPr>
              <w:t> </w:t>
            </w:r>
          </w:p>
        </w:tc>
        <w:tc>
          <w:tcPr>
            <w:tcW w:w="615" w:type="dxa"/>
            <w:vAlign w:val="center"/>
            <w:hideMark/>
          </w:tcPr>
          <w:p w14:paraId="57D03224" w14:textId="77777777" w:rsidR="003928B6" w:rsidRPr="004E13E9" w:rsidRDefault="003928B6" w:rsidP="00D47E5E">
            <w:pPr>
              <w:rPr>
                <w:b/>
                <w:sz w:val="18"/>
                <w:szCs w:val="18"/>
              </w:rPr>
            </w:pPr>
            <w:r w:rsidRPr="004E13E9">
              <w:rPr>
                <w:b/>
                <w:sz w:val="18"/>
                <w:szCs w:val="18"/>
              </w:rPr>
              <w:t> </w:t>
            </w:r>
          </w:p>
        </w:tc>
        <w:tc>
          <w:tcPr>
            <w:tcW w:w="615" w:type="dxa"/>
            <w:vAlign w:val="center"/>
            <w:hideMark/>
          </w:tcPr>
          <w:p w14:paraId="692067B7" w14:textId="77777777" w:rsidR="003928B6" w:rsidRPr="004E13E9" w:rsidRDefault="003928B6" w:rsidP="00D47E5E">
            <w:pPr>
              <w:rPr>
                <w:b/>
                <w:sz w:val="18"/>
                <w:szCs w:val="18"/>
              </w:rPr>
            </w:pPr>
            <w:r w:rsidRPr="004E13E9">
              <w:rPr>
                <w:b/>
                <w:sz w:val="18"/>
                <w:szCs w:val="18"/>
              </w:rPr>
              <w:t> </w:t>
            </w:r>
          </w:p>
        </w:tc>
        <w:tc>
          <w:tcPr>
            <w:tcW w:w="615" w:type="dxa"/>
          </w:tcPr>
          <w:p w14:paraId="1B37D31D" w14:textId="77777777" w:rsidR="003928B6" w:rsidRPr="004E13E9" w:rsidRDefault="003928B6" w:rsidP="00D47E5E">
            <w:pPr>
              <w:rPr>
                <w:b/>
                <w:sz w:val="18"/>
                <w:szCs w:val="18"/>
              </w:rPr>
            </w:pPr>
          </w:p>
        </w:tc>
        <w:tc>
          <w:tcPr>
            <w:tcW w:w="615" w:type="dxa"/>
          </w:tcPr>
          <w:p w14:paraId="47AACE23" w14:textId="77777777" w:rsidR="003928B6" w:rsidRPr="004E13E9" w:rsidRDefault="003928B6" w:rsidP="00D47E5E">
            <w:pPr>
              <w:jc w:val="center"/>
              <w:rPr>
                <w:sz w:val="18"/>
                <w:szCs w:val="18"/>
              </w:rPr>
            </w:pPr>
          </w:p>
        </w:tc>
        <w:tc>
          <w:tcPr>
            <w:tcW w:w="256" w:type="dxa"/>
            <w:shd w:val="clear" w:color="000000" w:fill="D9D9D9"/>
            <w:vAlign w:val="center"/>
            <w:hideMark/>
          </w:tcPr>
          <w:p w14:paraId="7EB2DCF1" w14:textId="77777777" w:rsidR="003928B6" w:rsidRPr="004E13E9" w:rsidRDefault="003928B6" w:rsidP="00D47E5E">
            <w:pPr>
              <w:rPr>
                <w:b/>
                <w:sz w:val="18"/>
                <w:szCs w:val="18"/>
              </w:rPr>
            </w:pPr>
            <w:r w:rsidRPr="004E13E9">
              <w:rPr>
                <w:b/>
                <w:sz w:val="18"/>
                <w:szCs w:val="18"/>
              </w:rPr>
              <w:t> </w:t>
            </w:r>
          </w:p>
        </w:tc>
        <w:tc>
          <w:tcPr>
            <w:tcW w:w="615" w:type="dxa"/>
          </w:tcPr>
          <w:p w14:paraId="2ED30DA7" w14:textId="77777777" w:rsidR="003928B6" w:rsidRPr="004E13E9" w:rsidRDefault="003928B6" w:rsidP="00D47E5E">
            <w:pPr>
              <w:rPr>
                <w:b/>
                <w:sz w:val="18"/>
                <w:szCs w:val="18"/>
              </w:rPr>
            </w:pPr>
          </w:p>
        </w:tc>
        <w:tc>
          <w:tcPr>
            <w:tcW w:w="615" w:type="dxa"/>
            <w:vAlign w:val="center"/>
            <w:hideMark/>
          </w:tcPr>
          <w:p w14:paraId="71BF7C22" w14:textId="77777777" w:rsidR="003928B6" w:rsidRPr="004E13E9" w:rsidRDefault="003928B6" w:rsidP="00D47E5E">
            <w:pPr>
              <w:rPr>
                <w:b/>
                <w:sz w:val="18"/>
                <w:szCs w:val="18"/>
              </w:rPr>
            </w:pPr>
            <w:r w:rsidRPr="004E13E9">
              <w:rPr>
                <w:b/>
                <w:sz w:val="18"/>
                <w:szCs w:val="18"/>
              </w:rPr>
              <w:t> </w:t>
            </w:r>
          </w:p>
        </w:tc>
        <w:tc>
          <w:tcPr>
            <w:tcW w:w="653" w:type="dxa"/>
            <w:vAlign w:val="center"/>
            <w:hideMark/>
          </w:tcPr>
          <w:p w14:paraId="5A0A1498" w14:textId="77777777" w:rsidR="003928B6" w:rsidRPr="004E13E9" w:rsidRDefault="003928B6" w:rsidP="00D47E5E">
            <w:pPr>
              <w:rPr>
                <w:b/>
                <w:sz w:val="18"/>
                <w:szCs w:val="18"/>
              </w:rPr>
            </w:pPr>
            <w:r w:rsidRPr="004E13E9">
              <w:rPr>
                <w:b/>
                <w:sz w:val="18"/>
                <w:szCs w:val="18"/>
              </w:rPr>
              <w:t> </w:t>
            </w:r>
          </w:p>
        </w:tc>
        <w:tc>
          <w:tcPr>
            <w:tcW w:w="851" w:type="dxa"/>
            <w:vAlign w:val="center"/>
            <w:hideMark/>
          </w:tcPr>
          <w:p w14:paraId="4FC4E8F4" w14:textId="77777777" w:rsidR="003928B6" w:rsidRPr="004E13E9" w:rsidRDefault="003928B6" w:rsidP="00D47E5E">
            <w:pPr>
              <w:rPr>
                <w:b/>
                <w:sz w:val="18"/>
                <w:szCs w:val="18"/>
              </w:rPr>
            </w:pPr>
            <w:r w:rsidRPr="004E13E9">
              <w:rPr>
                <w:b/>
                <w:sz w:val="18"/>
                <w:szCs w:val="18"/>
              </w:rPr>
              <w:t> </w:t>
            </w:r>
          </w:p>
        </w:tc>
        <w:tc>
          <w:tcPr>
            <w:tcW w:w="1201" w:type="dxa"/>
            <w:vAlign w:val="center"/>
            <w:hideMark/>
          </w:tcPr>
          <w:p w14:paraId="5029BB65" w14:textId="77777777" w:rsidR="003928B6" w:rsidRPr="004E13E9" w:rsidRDefault="003928B6" w:rsidP="00D47E5E">
            <w:pPr>
              <w:rPr>
                <w:b/>
                <w:sz w:val="18"/>
                <w:szCs w:val="18"/>
              </w:rPr>
            </w:pPr>
            <w:r w:rsidRPr="004E13E9">
              <w:rPr>
                <w:b/>
                <w:sz w:val="18"/>
                <w:szCs w:val="18"/>
              </w:rPr>
              <w:t> </w:t>
            </w:r>
          </w:p>
        </w:tc>
        <w:tc>
          <w:tcPr>
            <w:tcW w:w="888" w:type="dxa"/>
            <w:vAlign w:val="center"/>
            <w:hideMark/>
          </w:tcPr>
          <w:p w14:paraId="6C06FAF7" w14:textId="77777777" w:rsidR="003928B6" w:rsidRPr="004E13E9" w:rsidRDefault="003928B6" w:rsidP="00D47E5E">
            <w:pPr>
              <w:rPr>
                <w:b/>
                <w:sz w:val="18"/>
                <w:szCs w:val="18"/>
              </w:rPr>
            </w:pPr>
            <w:r w:rsidRPr="004E13E9">
              <w:rPr>
                <w:b/>
                <w:sz w:val="18"/>
                <w:szCs w:val="18"/>
              </w:rPr>
              <w:t> </w:t>
            </w:r>
          </w:p>
        </w:tc>
        <w:tc>
          <w:tcPr>
            <w:tcW w:w="950" w:type="dxa"/>
          </w:tcPr>
          <w:p w14:paraId="62D6B76F" w14:textId="77777777" w:rsidR="003928B6" w:rsidRPr="004E13E9" w:rsidRDefault="003928B6" w:rsidP="00D47E5E">
            <w:pPr>
              <w:rPr>
                <w:b/>
                <w:sz w:val="18"/>
                <w:szCs w:val="18"/>
              </w:rPr>
            </w:pPr>
          </w:p>
        </w:tc>
      </w:tr>
      <w:tr w:rsidR="003928B6" w:rsidRPr="004E13E9" w14:paraId="7647800F" w14:textId="77777777" w:rsidTr="00D47E5E">
        <w:trPr>
          <w:trHeight w:val="20"/>
        </w:trPr>
        <w:tc>
          <w:tcPr>
            <w:tcW w:w="2846" w:type="dxa"/>
            <w:noWrap/>
            <w:vAlign w:val="center"/>
            <w:hideMark/>
          </w:tcPr>
          <w:p w14:paraId="02D29F08" w14:textId="77777777" w:rsidR="003928B6" w:rsidRPr="004E13E9" w:rsidRDefault="003928B6" w:rsidP="00D47E5E">
            <w:pPr>
              <w:rPr>
                <w:sz w:val="18"/>
                <w:szCs w:val="18"/>
              </w:rPr>
            </w:pPr>
            <w:r w:rsidRPr="004E13E9">
              <w:rPr>
                <w:sz w:val="18"/>
                <w:szCs w:val="18"/>
              </w:rPr>
              <w:t>Ligne à main</w:t>
            </w:r>
          </w:p>
        </w:tc>
        <w:tc>
          <w:tcPr>
            <w:tcW w:w="2102" w:type="dxa"/>
            <w:noWrap/>
            <w:vAlign w:val="center"/>
            <w:hideMark/>
          </w:tcPr>
          <w:p w14:paraId="652B9EBD" w14:textId="77777777" w:rsidR="003928B6" w:rsidRPr="004E13E9" w:rsidRDefault="003928B6" w:rsidP="00D47E5E">
            <w:pPr>
              <w:jc w:val="center"/>
              <w:rPr>
                <w:sz w:val="18"/>
                <w:szCs w:val="18"/>
              </w:rPr>
            </w:pPr>
            <w:r w:rsidRPr="004E13E9">
              <w:rPr>
                <w:sz w:val="18"/>
                <w:szCs w:val="18"/>
              </w:rPr>
              <w:t>5</w:t>
            </w:r>
          </w:p>
        </w:tc>
        <w:tc>
          <w:tcPr>
            <w:tcW w:w="615" w:type="dxa"/>
          </w:tcPr>
          <w:p w14:paraId="5575B8A4" w14:textId="77777777" w:rsidR="003928B6" w:rsidRPr="004E13E9" w:rsidRDefault="003928B6" w:rsidP="00D47E5E">
            <w:pPr>
              <w:rPr>
                <w:sz w:val="18"/>
                <w:szCs w:val="18"/>
              </w:rPr>
            </w:pPr>
          </w:p>
        </w:tc>
        <w:tc>
          <w:tcPr>
            <w:tcW w:w="615" w:type="dxa"/>
            <w:noWrap/>
            <w:vAlign w:val="center"/>
            <w:hideMark/>
          </w:tcPr>
          <w:p w14:paraId="20393F5A" w14:textId="77777777" w:rsidR="003928B6" w:rsidRPr="004E13E9" w:rsidRDefault="003928B6" w:rsidP="00D47E5E">
            <w:pPr>
              <w:rPr>
                <w:sz w:val="18"/>
                <w:szCs w:val="18"/>
              </w:rPr>
            </w:pPr>
            <w:r w:rsidRPr="004E13E9">
              <w:rPr>
                <w:sz w:val="18"/>
                <w:szCs w:val="18"/>
              </w:rPr>
              <w:t> </w:t>
            </w:r>
          </w:p>
        </w:tc>
        <w:tc>
          <w:tcPr>
            <w:tcW w:w="615" w:type="dxa"/>
            <w:vAlign w:val="center"/>
            <w:hideMark/>
          </w:tcPr>
          <w:p w14:paraId="4F401605" w14:textId="77777777" w:rsidR="003928B6" w:rsidRPr="004E13E9" w:rsidRDefault="003928B6" w:rsidP="00D47E5E">
            <w:pPr>
              <w:rPr>
                <w:sz w:val="18"/>
                <w:szCs w:val="18"/>
              </w:rPr>
            </w:pPr>
            <w:r w:rsidRPr="004E13E9">
              <w:rPr>
                <w:sz w:val="18"/>
                <w:szCs w:val="18"/>
              </w:rPr>
              <w:t> </w:t>
            </w:r>
          </w:p>
        </w:tc>
        <w:tc>
          <w:tcPr>
            <w:tcW w:w="615" w:type="dxa"/>
            <w:vAlign w:val="center"/>
            <w:hideMark/>
          </w:tcPr>
          <w:p w14:paraId="68998BBD" w14:textId="77777777" w:rsidR="003928B6" w:rsidRPr="004E13E9" w:rsidRDefault="003928B6" w:rsidP="00D47E5E">
            <w:pPr>
              <w:rPr>
                <w:sz w:val="18"/>
                <w:szCs w:val="18"/>
              </w:rPr>
            </w:pPr>
            <w:r w:rsidRPr="004E13E9">
              <w:rPr>
                <w:sz w:val="18"/>
                <w:szCs w:val="18"/>
              </w:rPr>
              <w:t> </w:t>
            </w:r>
          </w:p>
        </w:tc>
        <w:tc>
          <w:tcPr>
            <w:tcW w:w="615" w:type="dxa"/>
            <w:vAlign w:val="center"/>
            <w:hideMark/>
          </w:tcPr>
          <w:p w14:paraId="6592CE44" w14:textId="77777777" w:rsidR="003928B6" w:rsidRPr="004E13E9" w:rsidRDefault="003928B6" w:rsidP="00D47E5E">
            <w:pPr>
              <w:rPr>
                <w:sz w:val="18"/>
                <w:szCs w:val="18"/>
              </w:rPr>
            </w:pPr>
            <w:r w:rsidRPr="004E13E9">
              <w:rPr>
                <w:sz w:val="18"/>
                <w:szCs w:val="18"/>
              </w:rPr>
              <w:t> </w:t>
            </w:r>
          </w:p>
        </w:tc>
        <w:tc>
          <w:tcPr>
            <w:tcW w:w="615" w:type="dxa"/>
          </w:tcPr>
          <w:p w14:paraId="4BFFE32A" w14:textId="77777777" w:rsidR="003928B6" w:rsidRPr="004E13E9" w:rsidRDefault="003928B6" w:rsidP="00D47E5E">
            <w:pPr>
              <w:rPr>
                <w:sz w:val="18"/>
                <w:szCs w:val="18"/>
              </w:rPr>
            </w:pPr>
          </w:p>
        </w:tc>
        <w:tc>
          <w:tcPr>
            <w:tcW w:w="615" w:type="dxa"/>
          </w:tcPr>
          <w:p w14:paraId="32BAA1A5" w14:textId="77777777" w:rsidR="003928B6" w:rsidRPr="004E13E9" w:rsidRDefault="003928B6" w:rsidP="00D47E5E">
            <w:pPr>
              <w:jc w:val="center"/>
              <w:rPr>
                <w:sz w:val="18"/>
                <w:szCs w:val="18"/>
              </w:rPr>
            </w:pPr>
          </w:p>
        </w:tc>
        <w:tc>
          <w:tcPr>
            <w:tcW w:w="256" w:type="dxa"/>
            <w:shd w:val="clear" w:color="000000" w:fill="D9D9D9"/>
            <w:vAlign w:val="center"/>
            <w:hideMark/>
          </w:tcPr>
          <w:p w14:paraId="3CD7F32F" w14:textId="77777777" w:rsidR="003928B6" w:rsidRPr="004E13E9" w:rsidRDefault="003928B6" w:rsidP="00D47E5E">
            <w:pPr>
              <w:rPr>
                <w:sz w:val="18"/>
                <w:szCs w:val="18"/>
              </w:rPr>
            </w:pPr>
            <w:r w:rsidRPr="004E13E9">
              <w:rPr>
                <w:sz w:val="18"/>
                <w:szCs w:val="18"/>
              </w:rPr>
              <w:t> </w:t>
            </w:r>
          </w:p>
        </w:tc>
        <w:tc>
          <w:tcPr>
            <w:tcW w:w="615" w:type="dxa"/>
          </w:tcPr>
          <w:p w14:paraId="43992D69" w14:textId="77777777" w:rsidR="003928B6" w:rsidRPr="004E13E9" w:rsidRDefault="003928B6" w:rsidP="00D47E5E">
            <w:pPr>
              <w:rPr>
                <w:sz w:val="18"/>
                <w:szCs w:val="18"/>
              </w:rPr>
            </w:pPr>
          </w:p>
        </w:tc>
        <w:tc>
          <w:tcPr>
            <w:tcW w:w="615" w:type="dxa"/>
            <w:vAlign w:val="center"/>
            <w:hideMark/>
          </w:tcPr>
          <w:p w14:paraId="666FFF17" w14:textId="77777777" w:rsidR="003928B6" w:rsidRPr="004E13E9" w:rsidRDefault="003928B6" w:rsidP="00D47E5E">
            <w:pPr>
              <w:rPr>
                <w:sz w:val="18"/>
                <w:szCs w:val="18"/>
              </w:rPr>
            </w:pPr>
            <w:r w:rsidRPr="004E13E9">
              <w:rPr>
                <w:sz w:val="18"/>
                <w:szCs w:val="18"/>
              </w:rPr>
              <w:t> </w:t>
            </w:r>
          </w:p>
        </w:tc>
        <w:tc>
          <w:tcPr>
            <w:tcW w:w="653" w:type="dxa"/>
            <w:vAlign w:val="center"/>
            <w:hideMark/>
          </w:tcPr>
          <w:p w14:paraId="719A0F69" w14:textId="77777777" w:rsidR="003928B6" w:rsidRPr="004E13E9" w:rsidRDefault="003928B6" w:rsidP="00D47E5E">
            <w:pPr>
              <w:rPr>
                <w:sz w:val="18"/>
                <w:szCs w:val="18"/>
              </w:rPr>
            </w:pPr>
            <w:r w:rsidRPr="004E13E9">
              <w:rPr>
                <w:sz w:val="18"/>
                <w:szCs w:val="18"/>
              </w:rPr>
              <w:t> </w:t>
            </w:r>
          </w:p>
        </w:tc>
        <w:tc>
          <w:tcPr>
            <w:tcW w:w="851" w:type="dxa"/>
            <w:vAlign w:val="center"/>
            <w:hideMark/>
          </w:tcPr>
          <w:p w14:paraId="3E4E2B3A" w14:textId="77777777" w:rsidR="003928B6" w:rsidRPr="004E13E9" w:rsidRDefault="003928B6" w:rsidP="00D47E5E">
            <w:pPr>
              <w:rPr>
                <w:sz w:val="18"/>
                <w:szCs w:val="18"/>
              </w:rPr>
            </w:pPr>
            <w:r w:rsidRPr="004E13E9">
              <w:rPr>
                <w:sz w:val="18"/>
                <w:szCs w:val="18"/>
              </w:rPr>
              <w:t> </w:t>
            </w:r>
          </w:p>
        </w:tc>
        <w:tc>
          <w:tcPr>
            <w:tcW w:w="1201" w:type="dxa"/>
            <w:vAlign w:val="center"/>
            <w:hideMark/>
          </w:tcPr>
          <w:p w14:paraId="57DD221E" w14:textId="77777777" w:rsidR="003928B6" w:rsidRPr="004E13E9" w:rsidRDefault="003928B6" w:rsidP="00D47E5E">
            <w:pPr>
              <w:rPr>
                <w:sz w:val="18"/>
                <w:szCs w:val="18"/>
              </w:rPr>
            </w:pPr>
            <w:r w:rsidRPr="004E13E9">
              <w:rPr>
                <w:sz w:val="18"/>
                <w:szCs w:val="18"/>
              </w:rPr>
              <w:t> </w:t>
            </w:r>
          </w:p>
        </w:tc>
        <w:tc>
          <w:tcPr>
            <w:tcW w:w="888" w:type="dxa"/>
            <w:vAlign w:val="center"/>
            <w:hideMark/>
          </w:tcPr>
          <w:p w14:paraId="5972AEC4" w14:textId="77777777" w:rsidR="003928B6" w:rsidRPr="004E13E9" w:rsidRDefault="003928B6" w:rsidP="00D47E5E">
            <w:pPr>
              <w:rPr>
                <w:sz w:val="18"/>
                <w:szCs w:val="18"/>
              </w:rPr>
            </w:pPr>
            <w:r w:rsidRPr="004E13E9">
              <w:rPr>
                <w:sz w:val="18"/>
                <w:szCs w:val="18"/>
              </w:rPr>
              <w:t> </w:t>
            </w:r>
          </w:p>
        </w:tc>
        <w:tc>
          <w:tcPr>
            <w:tcW w:w="950" w:type="dxa"/>
          </w:tcPr>
          <w:p w14:paraId="1FA77530" w14:textId="77777777" w:rsidR="003928B6" w:rsidRPr="004E13E9" w:rsidRDefault="003928B6" w:rsidP="00D47E5E">
            <w:pPr>
              <w:rPr>
                <w:sz w:val="18"/>
                <w:szCs w:val="18"/>
              </w:rPr>
            </w:pPr>
          </w:p>
        </w:tc>
      </w:tr>
      <w:tr w:rsidR="003928B6" w:rsidRPr="004E13E9" w14:paraId="77557930" w14:textId="77777777" w:rsidTr="00D47E5E">
        <w:trPr>
          <w:trHeight w:val="20"/>
        </w:trPr>
        <w:tc>
          <w:tcPr>
            <w:tcW w:w="2846" w:type="dxa"/>
            <w:noWrap/>
            <w:vAlign w:val="center"/>
            <w:hideMark/>
          </w:tcPr>
          <w:p w14:paraId="3008C68C" w14:textId="77777777" w:rsidR="003928B6" w:rsidRPr="004E13E9" w:rsidRDefault="003928B6" w:rsidP="00D47E5E">
            <w:pPr>
              <w:rPr>
                <w:sz w:val="18"/>
                <w:szCs w:val="18"/>
              </w:rPr>
            </w:pPr>
            <w:proofErr w:type="spellStart"/>
            <w:r w:rsidRPr="004E13E9">
              <w:rPr>
                <w:sz w:val="18"/>
                <w:szCs w:val="18"/>
              </w:rPr>
              <w:t>Chalutier</w:t>
            </w:r>
            <w:proofErr w:type="spellEnd"/>
          </w:p>
        </w:tc>
        <w:tc>
          <w:tcPr>
            <w:tcW w:w="2102" w:type="dxa"/>
            <w:noWrap/>
            <w:vAlign w:val="center"/>
            <w:hideMark/>
          </w:tcPr>
          <w:p w14:paraId="5BB5AF84" w14:textId="77777777" w:rsidR="003928B6" w:rsidRPr="004E13E9" w:rsidRDefault="003928B6" w:rsidP="00D47E5E">
            <w:pPr>
              <w:jc w:val="center"/>
              <w:rPr>
                <w:sz w:val="18"/>
                <w:szCs w:val="18"/>
              </w:rPr>
            </w:pPr>
            <w:r w:rsidRPr="004E13E9">
              <w:rPr>
                <w:sz w:val="18"/>
                <w:szCs w:val="18"/>
              </w:rPr>
              <w:t>10</w:t>
            </w:r>
          </w:p>
        </w:tc>
        <w:tc>
          <w:tcPr>
            <w:tcW w:w="615" w:type="dxa"/>
          </w:tcPr>
          <w:p w14:paraId="641B3FCE" w14:textId="77777777" w:rsidR="003928B6" w:rsidRPr="004E13E9" w:rsidRDefault="003928B6" w:rsidP="00D47E5E">
            <w:pPr>
              <w:rPr>
                <w:sz w:val="18"/>
                <w:szCs w:val="18"/>
              </w:rPr>
            </w:pPr>
          </w:p>
        </w:tc>
        <w:tc>
          <w:tcPr>
            <w:tcW w:w="615" w:type="dxa"/>
            <w:noWrap/>
            <w:vAlign w:val="center"/>
            <w:hideMark/>
          </w:tcPr>
          <w:p w14:paraId="046BAE69" w14:textId="77777777" w:rsidR="003928B6" w:rsidRPr="004E13E9" w:rsidRDefault="003928B6" w:rsidP="00D47E5E">
            <w:pPr>
              <w:rPr>
                <w:sz w:val="18"/>
                <w:szCs w:val="18"/>
              </w:rPr>
            </w:pPr>
            <w:r w:rsidRPr="004E13E9">
              <w:rPr>
                <w:sz w:val="18"/>
                <w:szCs w:val="18"/>
              </w:rPr>
              <w:t> </w:t>
            </w:r>
          </w:p>
        </w:tc>
        <w:tc>
          <w:tcPr>
            <w:tcW w:w="615" w:type="dxa"/>
            <w:vAlign w:val="center"/>
            <w:hideMark/>
          </w:tcPr>
          <w:p w14:paraId="320EAD30" w14:textId="77777777" w:rsidR="003928B6" w:rsidRPr="004E13E9" w:rsidRDefault="003928B6" w:rsidP="00D47E5E">
            <w:pPr>
              <w:rPr>
                <w:sz w:val="18"/>
                <w:szCs w:val="18"/>
              </w:rPr>
            </w:pPr>
            <w:r w:rsidRPr="004E13E9">
              <w:rPr>
                <w:sz w:val="18"/>
                <w:szCs w:val="18"/>
              </w:rPr>
              <w:t> </w:t>
            </w:r>
          </w:p>
        </w:tc>
        <w:tc>
          <w:tcPr>
            <w:tcW w:w="615" w:type="dxa"/>
            <w:vAlign w:val="center"/>
            <w:hideMark/>
          </w:tcPr>
          <w:p w14:paraId="7816E95E" w14:textId="77777777" w:rsidR="003928B6" w:rsidRPr="004E13E9" w:rsidRDefault="003928B6" w:rsidP="00D47E5E">
            <w:pPr>
              <w:rPr>
                <w:sz w:val="18"/>
                <w:szCs w:val="18"/>
              </w:rPr>
            </w:pPr>
            <w:r w:rsidRPr="004E13E9">
              <w:rPr>
                <w:sz w:val="18"/>
                <w:szCs w:val="18"/>
              </w:rPr>
              <w:t> </w:t>
            </w:r>
          </w:p>
        </w:tc>
        <w:tc>
          <w:tcPr>
            <w:tcW w:w="615" w:type="dxa"/>
            <w:vAlign w:val="center"/>
            <w:hideMark/>
          </w:tcPr>
          <w:p w14:paraId="2203C0AC" w14:textId="77777777" w:rsidR="003928B6" w:rsidRPr="004E13E9" w:rsidRDefault="003928B6" w:rsidP="00D47E5E">
            <w:pPr>
              <w:rPr>
                <w:sz w:val="18"/>
                <w:szCs w:val="18"/>
              </w:rPr>
            </w:pPr>
            <w:r w:rsidRPr="004E13E9">
              <w:rPr>
                <w:sz w:val="18"/>
                <w:szCs w:val="18"/>
              </w:rPr>
              <w:t> </w:t>
            </w:r>
          </w:p>
        </w:tc>
        <w:tc>
          <w:tcPr>
            <w:tcW w:w="615" w:type="dxa"/>
          </w:tcPr>
          <w:p w14:paraId="05035457" w14:textId="77777777" w:rsidR="003928B6" w:rsidRPr="004E13E9" w:rsidRDefault="003928B6" w:rsidP="00D47E5E">
            <w:pPr>
              <w:rPr>
                <w:sz w:val="18"/>
                <w:szCs w:val="18"/>
              </w:rPr>
            </w:pPr>
          </w:p>
        </w:tc>
        <w:tc>
          <w:tcPr>
            <w:tcW w:w="615" w:type="dxa"/>
          </w:tcPr>
          <w:p w14:paraId="6BC73684" w14:textId="77777777" w:rsidR="003928B6" w:rsidRPr="004E13E9" w:rsidRDefault="003928B6" w:rsidP="00D47E5E">
            <w:pPr>
              <w:jc w:val="center"/>
              <w:rPr>
                <w:sz w:val="18"/>
                <w:szCs w:val="18"/>
              </w:rPr>
            </w:pPr>
          </w:p>
        </w:tc>
        <w:tc>
          <w:tcPr>
            <w:tcW w:w="256" w:type="dxa"/>
            <w:shd w:val="clear" w:color="000000" w:fill="D9D9D9"/>
            <w:vAlign w:val="center"/>
            <w:hideMark/>
          </w:tcPr>
          <w:p w14:paraId="54834689" w14:textId="77777777" w:rsidR="003928B6" w:rsidRPr="004E13E9" w:rsidRDefault="003928B6" w:rsidP="00D47E5E">
            <w:pPr>
              <w:rPr>
                <w:sz w:val="18"/>
                <w:szCs w:val="18"/>
              </w:rPr>
            </w:pPr>
            <w:r w:rsidRPr="004E13E9">
              <w:rPr>
                <w:sz w:val="18"/>
                <w:szCs w:val="18"/>
              </w:rPr>
              <w:t> </w:t>
            </w:r>
          </w:p>
        </w:tc>
        <w:tc>
          <w:tcPr>
            <w:tcW w:w="615" w:type="dxa"/>
          </w:tcPr>
          <w:p w14:paraId="4B35D4DA" w14:textId="77777777" w:rsidR="003928B6" w:rsidRPr="004E13E9" w:rsidRDefault="003928B6" w:rsidP="00D47E5E">
            <w:pPr>
              <w:rPr>
                <w:sz w:val="18"/>
                <w:szCs w:val="18"/>
              </w:rPr>
            </w:pPr>
          </w:p>
        </w:tc>
        <w:tc>
          <w:tcPr>
            <w:tcW w:w="615" w:type="dxa"/>
            <w:vAlign w:val="center"/>
            <w:hideMark/>
          </w:tcPr>
          <w:p w14:paraId="6B339C4A" w14:textId="77777777" w:rsidR="003928B6" w:rsidRPr="004E13E9" w:rsidRDefault="003928B6" w:rsidP="00D47E5E">
            <w:pPr>
              <w:rPr>
                <w:sz w:val="18"/>
                <w:szCs w:val="18"/>
              </w:rPr>
            </w:pPr>
            <w:r w:rsidRPr="004E13E9">
              <w:rPr>
                <w:sz w:val="18"/>
                <w:szCs w:val="18"/>
              </w:rPr>
              <w:t> </w:t>
            </w:r>
          </w:p>
        </w:tc>
        <w:tc>
          <w:tcPr>
            <w:tcW w:w="653" w:type="dxa"/>
            <w:vAlign w:val="center"/>
            <w:hideMark/>
          </w:tcPr>
          <w:p w14:paraId="35FFAEB5" w14:textId="77777777" w:rsidR="003928B6" w:rsidRPr="004E13E9" w:rsidRDefault="003928B6" w:rsidP="00D47E5E">
            <w:pPr>
              <w:rPr>
                <w:sz w:val="18"/>
                <w:szCs w:val="18"/>
              </w:rPr>
            </w:pPr>
            <w:r w:rsidRPr="004E13E9">
              <w:rPr>
                <w:sz w:val="18"/>
                <w:szCs w:val="18"/>
              </w:rPr>
              <w:t> </w:t>
            </w:r>
          </w:p>
        </w:tc>
        <w:tc>
          <w:tcPr>
            <w:tcW w:w="851" w:type="dxa"/>
            <w:vAlign w:val="center"/>
            <w:hideMark/>
          </w:tcPr>
          <w:p w14:paraId="2CDE17EB" w14:textId="77777777" w:rsidR="003928B6" w:rsidRPr="004E13E9" w:rsidRDefault="003928B6" w:rsidP="00D47E5E">
            <w:pPr>
              <w:rPr>
                <w:sz w:val="18"/>
                <w:szCs w:val="18"/>
              </w:rPr>
            </w:pPr>
            <w:r w:rsidRPr="004E13E9">
              <w:rPr>
                <w:sz w:val="18"/>
                <w:szCs w:val="18"/>
              </w:rPr>
              <w:t> </w:t>
            </w:r>
          </w:p>
        </w:tc>
        <w:tc>
          <w:tcPr>
            <w:tcW w:w="1201" w:type="dxa"/>
            <w:vAlign w:val="center"/>
            <w:hideMark/>
          </w:tcPr>
          <w:p w14:paraId="5F4854C2" w14:textId="77777777" w:rsidR="003928B6" w:rsidRPr="004E13E9" w:rsidRDefault="003928B6" w:rsidP="00D47E5E">
            <w:pPr>
              <w:rPr>
                <w:sz w:val="18"/>
                <w:szCs w:val="18"/>
              </w:rPr>
            </w:pPr>
            <w:r w:rsidRPr="004E13E9">
              <w:rPr>
                <w:sz w:val="18"/>
                <w:szCs w:val="18"/>
              </w:rPr>
              <w:t> </w:t>
            </w:r>
          </w:p>
        </w:tc>
        <w:tc>
          <w:tcPr>
            <w:tcW w:w="888" w:type="dxa"/>
            <w:vAlign w:val="center"/>
            <w:hideMark/>
          </w:tcPr>
          <w:p w14:paraId="74E86DC4" w14:textId="77777777" w:rsidR="003928B6" w:rsidRPr="004E13E9" w:rsidRDefault="003928B6" w:rsidP="00D47E5E">
            <w:pPr>
              <w:rPr>
                <w:sz w:val="18"/>
                <w:szCs w:val="18"/>
              </w:rPr>
            </w:pPr>
            <w:r w:rsidRPr="004E13E9">
              <w:rPr>
                <w:sz w:val="18"/>
                <w:szCs w:val="18"/>
              </w:rPr>
              <w:t> </w:t>
            </w:r>
          </w:p>
        </w:tc>
        <w:tc>
          <w:tcPr>
            <w:tcW w:w="950" w:type="dxa"/>
          </w:tcPr>
          <w:p w14:paraId="13C7E97F" w14:textId="77777777" w:rsidR="003928B6" w:rsidRPr="004E13E9" w:rsidRDefault="003928B6" w:rsidP="00D47E5E">
            <w:pPr>
              <w:rPr>
                <w:sz w:val="18"/>
                <w:szCs w:val="18"/>
              </w:rPr>
            </w:pPr>
          </w:p>
        </w:tc>
      </w:tr>
      <w:tr w:rsidR="003928B6" w:rsidRPr="004E13E9" w14:paraId="091A5639" w14:textId="77777777" w:rsidTr="00D47E5E">
        <w:trPr>
          <w:trHeight w:val="20"/>
        </w:trPr>
        <w:tc>
          <w:tcPr>
            <w:tcW w:w="2846" w:type="dxa"/>
            <w:noWrap/>
            <w:vAlign w:val="center"/>
            <w:hideMark/>
          </w:tcPr>
          <w:p w14:paraId="25170E4A" w14:textId="77777777" w:rsidR="003928B6" w:rsidRPr="004E13E9" w:rsidRDefault="003928B6" w:rsidP="00D47E5E">
            <w:pPr>
              <w:rPr>
                <w:sz w:val="18"/>
                <w:szCs w:val="18"/>
              </w:rPr>
            </w:pPr>
            <w:r w:rsidRPr="004E13E9">
              <w:rPr>
                <w:sz w:val="18"/>
                <w:szCs w:val="18"/>
              </w:rPr>
              <w:t>Madrague</w:t>
            </w:r>
          </w:p>
        </w:tc>
        <w:tc>
          <w:tcPr>
            <w:tcW w:w="2102" w:type="dxa"/>
            <w:noWrap/>
            <w:vAlign w:val="center"/>
            <w:hideMark/>
          </w:tcPr>
          <w:p w14:paraId="008BFD6F" w14:textId="77777777" w:rsidR="003928B6" w:rsidRPr="004E13E9" w:rsidRDefault="003928B6" w:rsidP="00D47E5E">
            <w:pPr>
              <w:jc w:val="center"/>
              <w:rPr>
                <w:sz w:val="18"/>
                <w:szCs w:val="18"/>
              </w:rPr>
            </w:pPr>
            <w:r w:rsidRPr="004E13E9">
              <w:rPr>
                <w:sz w:val="18"/>
                <w:szCs w:val="18"/>
              </w:rPr>
              <w:t>130</w:t>
            </w:r>
          </w:p>
        </w:tc>
        <w:tc>
          <w:tcPr>
            <w:tcW w:w="615" w:type="dxa"/>
          </w:tcPr>
          <w:p w14:paraId="158648EB" w14:textId="77777777" w:rsidR="003928B6" w:rsidRPr="004E13E9" w:rsidRDefault="003928B6" w:rsidP="00D47E5E">
            <w:pPr>
              <w:rPr>
                <w:b/>
                <w:sz w:val="18"/>
                <w:szCs w:val="18"/>
              </w:rPr>
            </w:pPr>
          </w:p>
        </w:tc>
        <w:tc>
          <w:tcPr>
            <w:tcW w:w="615" w:type="dxa"/>
            <w:noWrap/>
            <w:vAlign w:val="center"/>
            <w:hideMark/>
          </w:tcPr>
          <w:p w14:paraId="5BA81EAF" w14:textId="77777777" w:rsidR="003928B6" w:rsidRPr="004E13E9" w:rsidRDefault="003928B6" w:rsidP="00D47E5E">
            <w:pPr>
              <w:rPr>
                <w:b/>
                <w:sz w:val="18"/>
                <w:szCs w:val="18"/>
              </w:rPr>
            </w:pPr>
            <w:r w:rsidRPr="004E13E9">
              <w:rPr>
                <w:b/>
                <w:sz w:val="18"/>
                <w:szCs w:val="18"/>
              </w:rPr>
              <w:t> </w:t>
            </w:r>
          </w:p>
        </w:tc>
        <w:tc>
          <w:tcPr>
            <w:tcW w:w="615" w:type="dxa"/>
            <w:vAlign w:val="center"/>
            <w:hideMark/>
          </w:tcPr>
          <w:p w14:paraId="5BAE1792" w14:textId="77777777" w:rsidR="003928B6" w:rsidRPr="004E13E9" w:rsidRDefault="003928B6" w:rsidP="00D47E5E">
            <w:pPr>
              <w:rPr>
                <w:b/>
                <w:sz w:val="18"/>
                <w:szCs w:val="18"/>
              </w:rPr>
            </w:pPr>
            <w:r w:rsidRPr="004E13E9">
              <w:rPr>
                <w:b/>
                <w:sz w:val="18"/>
                <w:szCs w:val="18"/>
              </w:rPr>
              <w:t> </w:t>
            </w:r>
          </w:p>
        </w:tc>
        <w:tc>
          <w:tcPr>
            <w:tcW w:w="615" w:type="dxa"/>
            <w:vAlign w:val="center"/>
            <w:hideMark/>
          </w:tcPr>
          <w:p w14:paraId="40CB2517" w14:textId="77777777" w:rsidR="003928B6" w:rsidRPr="004E13E9" w:rsidRDefault="003928B6" w:rsidP="00D47E5E">
            <w:pPr>
              <w:rPr>
                <w:b/>
                <w:sz w:val="18"/>
                <w:szCs w:val="18"/>
              </w:rPr>
            </w:pPr>
            <w:r w:rsidRPr="004E13E9">
              <w:rPr>
                <w:b/>
                <w:sz w:val="18"/>
                <w:szCs w:val="18"/>
              </w:rPr>
              <w:t> </w:t>
            </w:r>
          </w:p>
        </w:tc>
        <w:tc>
          <w:tcPr>
            <w:tcW w:w="615" w:type="dxa"/>
            <w:vAlign w:val="center"/>
            <w:hideMark/>
          </w:tcPr>
          <w:p w14:paraId="4C5AB028" w14:textId="77777777" w:rsidR="003928B6" w:rsidRPr="004E13E9" w:rsidRDefault="003928B6" w:rsidP="00D47E5E">
            <w:pPr>
              <w:rPr>
                <w:b/>
                <w:sz w:val="18"/>
                <w:szCs w:val="18"/>
              </w:rPr>
            </w:pPr>
            <w:r w:rsidRPr="004E13E9">
              <w:rPr>
                <w:b/>
                <w:sz w:val="18"/>
                <w:szCs w:val="18"/>
              </w:rPr>
              <w:t> </w:t>
            </w:r>
          </w:p>
        </w:tc>
        <w:tc>
          <w:tcPr>
            <w:tcW w:w="615" w:type="dxa"/>
          </w:tcPr>
          <w:p w14:paraId="4E24CF57" w14:textId="77777777" w:rsidR="003928B6" w:rsidRPr="004E13E9" w:rsidRDefault="003928B6" w:rsidP="00D47E5E">
            <w:pPr>
              <w:rPr>
                <w:b/>
                <w:sz w:val="18"/>
                <w:szCs w:val="18"/>
              </w:rPr>
            </w:pPr>
          </w:p>
        </w:tc>
        <w:tc>
          <w:tcPr>
            <w:tcW w:w="615" w:type="dxa"/>
          </w:tcPr>
          <w:p w14:paraId="75330A27" w14:textId="77777777" w:rsidR="003928B6" w:rsidRPr="004E13E9" w:rsidRDefault="003928B6" w:rsidP="00D47E5E">
            <w:pPr>
              <w:jc w:val="center"/>
              <w:rPr>
                <w:sz w:val="18"/>
                <w:szCs w:val="18"/>
              </w:rPr>
            </w:pPr>
          </w:p>
        </w:tc>
        <w:tc>
          <w:tcPr>
            <w:tcW w:w="256" w:type="dxa"/>
            <w:shd w:val="clear" w:color="000000" w:fill="D9D9D9"/>
            <w:vAlign w:val="center"/>
            <w:hideMark/>
          </w:tcPr>
          <w:p w14:paraId="42197A4C" w14:textId="77777777" w:rsidR="003928B6" w:rsidRPr="004E13E9" w:rsidRDefault="003928B6" w:rsidP="00D47E5E">
            <w:pPr>
              <w:rPr>
                <w:b/>
                <w:sz w:val="18"/>
                <w:szCs w:val="18"/>
              </w:rPr>
            </w:pPr>
            <w:r w:rsidRPr="004E13E9">
              <w:rPr>
                <w:b/>
                <w:sz w:val="18"/>
                <w:szCs w:val="18"/>
              </w:rPr>
              <w:t> </w:t>
            </w:r>
          </w:p>
        </w:tc>
        <w:tc>
          <w:tcPr>
            <w:tcW w:w="615" w:type="dxa"/>
          </w:tcPr>
          <w:p w14:paraId="66758076" w14:textId="77777777" w:rsidR="003928B6" w:rsidRPr="004E13E9" w:rsidRDefault="003928B6" w:rsidP="00D47E5E">
            <w:pPr>
              <w:rPr>
                <w:b/>
                <w:sz w:val="18"/>
                <w:szCs w:val="18"/>
              </w:rPr>
            </w:pPr>
          </w:p>
        </w:tc>
        <w:tc>
          <w:tcPr>
            <w:tcW w:w="615" w:type="dxa"/>
            <w:vAlign w:val="center"/>
            <w:hideMark/>
          </w:tcPr>
          <w:p w14:paraId="44CE1A50" w14:textId="77777777" w:rsidR="003928B6" w:rsidRPr="004E13E9" w:rsidRDefault="003928B6" w:rsidP="00D47E5E">
            <w:pPr>
              <w:rPr>
                <w:b/>
                <w:sz w:val="18"/>
                <w:szCs w:val="18"/>
              </w:rPr>
            </w:pPr>
            <w:r w:rsidRPr="004E13E9">
              <w:rPr>
                <w:b/>
                <w:sz w:val="18"/>
                <w:szCs w:val="18"/>
              </w:rPr>
              <w:t> </w:t>
            </w:r>
          </w:p>
        </w:tc>
        <w:tc>
          <w:tcPr>
            <w:tcW w:w="653" w:type="dxa"/>
            <w:vAlign w:val="center"/>
            <w:hideMark/>
          </w:tcPr>
          <w:p w14:paraId="31D45B09" w14:textId="77777777" w:rsidR="003928B6" w:rsidRPr="004E13E9" w:rsidRDefault="003928B6" w:rsidP="00D47E5E">
            <w:pPr>
              <w:rPr>
                <w:b/>
                <w:sz w:val="18"/>
                <w:szCs w:val="18"/>
              </w:rPr>
            </w:pPr>
            <w:r w:rsidRPr="004E13E9">
              <w:rPr>
                <w:b/>
                <w:sz w:val="18"/>
                <w:szCs w:val="18"/>
              </w:rPr>
              <w:t> </w:t>
            </w:r>
          </w:p>
        </w:tc>
        <w:tc>
          <w:tcPr>
            <w:tcW w:w="851" w:type="dxa"/>
            <w:vAlign w:val="center"/>
            <w:hideMark/>
          </w:tcPr>
          <w:p w14:paraId="3AB5384B" w14:textId="77777777" w:rsidR="003928B6" w:rsidRPr="004E13E9" w:rsidRDefault="003928B6" w:rsidP="00D47E5E">
            <w:pPr>
              <w:rPr>
                <w:b/>
                <w:sz w:val="18"/>
                <w:szCs w:val="18"/>
              </w:rPr>
            </w:pPr>
            <w:r w:rsidRPr="004E13E9">
              <w:rPr>
                <w:b/>
                <w:sz w:val="18"/>
                <w:szCs w:val="18"/>
              </w:rPr>
              <w:t> </w:t>
            </w:r>
          </w:p>
        </w:tc>
        <w:tc>
          <w:tcPr>
            <w:tcW w:w="1201" w:type="dxa"/>
            <w:vAlign w:val="center"/>
            <w:hideMark/>
          </w:tcPr>
          <w:p w14:paraId="553D6EC9" w14:textId="77777777" w:rsidR="003928B6" w:rsidRPr="004E13E9" w:rsidRDefault="003928B6" w:rsidP="00D47E5E">
            <w:pPr>
              <w:rPr>
                <w:b/>
                <w:sz w:val="18"/>
                <w:szCs w:val="18"/>
              </w:rPr>
            </w:pPr>
            <w:r w:rsidRPr="004E13E9">
              <w:rPr>
                <w:b/>
                <w:sz w:val="18"/>
                <w:szCs w:val="18"/>
              </w:rPr>
              <w:t> </w:t>
            </w:r>
          </w:p>
        </w:tc>
        <w:tc>
          <w:tcPr>
            <w:tcW w:w="888" w:type="dxa"/>
            <w:vAlign w:val="center"/>
            <w:hideMark/>
          </w:tcPr>
          <w:p w14:paraId="30CFF12F" w14:textId="77777777" w:rsidR="003928B6" w:rsidRPr="004E13E9" w:rsidRDefault="003928B6" w:rsidP="00D47E5E">
            <w:pPr>
              <w:rPr>
                <w:b/>
                <w:sz w:val="18"/>
                <w:szCs w:val="18"/>
              </w:rPr>
            </w:pPr>
            <w:r w:rsidRPr="004E13E9">
              <w:rPr>
                <w:b/>
                <w:sz w:val="18"/>
                <w:szCs w:val="18"/>
              </w:rPr>
              <w:t> </w:t>
            </w:r>
          </w:p>
        </w:tc>
        <w:tc>
          <w:tcPr>
            <w:tcW w:w="950" w:type="dxa"/>
          </w:tcPr>
          <w:p w14:paraId="34645B96" w14:textId="77777777" w:rsidR="003928B6" w:rsidRPr="004E13E9" w:rsidRDefault="003928B6" w:rsidP="00D47E5E">
            <w:pPr>
              <w:rPr>
                <w:b/>
                <w:sz w:val="18"/>
                <w:szCs w:val="18"/>
              </w:rPr>
            </w:pPr>
          </w:p>
        </w:tc>
      </w:tr>
      <w:tr w:rsidR="003928B6" w:rsidRPr="004E13E9" w14:paraId="3A552640" w14:textId="77777777" w:rsidTr="00D47E5E">
        <w:trPr>
          <w:trHeight w:val="20"/>
        </w:trPr>
        <w:tc>
          <w:tcPr>
            <w:tcW w:w="2846" w:type="dxa"/>
            <w:vAlign w:val="center"/>
            <w:hideMark/>
          </w:tcPr>
          <w:p w14:paraId="526A7C2F" w14:textId="77777777" w:rsidR="003928B6" w:rsidRPr="004E13E9" w:rsidRDefault="003928B6" w:rsidP="00D47E5E">
            <w:pPr>
              <w:rPr>
                <w:sz w:val="18"/>
                <w:szCs w:val="18"/>
              </w:rPr>
            </w:pPr>
            <w:r w:rsidRPr="004E13E9">
              <w:rPr>
                <w:sz w:val="18"/>
                <w:szCs w:val="18"/>
              </w:rPr>
              <w:t xml:space="preserve">Petits </w:t>
            </w:r>
            <w:proofErr w:type="spellStart"/>
            <w:r w:rsidRPr="004E13E9">
              <w:rPr>
                <w:sz w:val="18"/>
                <w:szCs w:val="18"/>
              </w:rPr>
              <w:t>navires</w:t>
            </w:r>
            <w:proofErr w:type="spellEnd"/>
            <w:r w:rsidRPr="004E13E9">
              <w:rPr>
                <w:sz w:val="18"/>
                <w:szCs w:val="18"/>
              </w:rPr>
              <w:t xml:space="preserve"> </w:t>
            </w:r>
            <w:proofErr w:type="spellStart"/>
            <w:r w:rsidRPr="004E13E9">
              <w:rPr>
                <w:sz w:val="18"/>
                <w:szCs w:val="18"/>
              </w:rPr>
              <w:t>côtiers</w:t>
            </w:r>
            <w:proofErr w:type="spellEnd"/>
            <w:r w:rsidRPr="004E13E9">
              <w:rPr>
                <w:sz w:val="18"/>
                <w:szCs w:val="18"/>
              </w:rPr>
              <w:t xml:space="preserve"> </w:t>
            </w:r>
          </w:p>
        </w:tc>
        <w:tc>
          <w:tcPr>
            <w:tcW w:w="2102" w:type="dxa"/>
            <w:noWrap/>
            <w:vAlign w:val="center"/>
            <w:hideMark/>
          </w:tcPr>
          <w:p w14:paraId="5A2AE8BF" w14:textId="77777777" w:rsidR="003928B6" w:rsidRPr="004E13E9" w:rsidRDefault="003928B6" w:rsidP="00D47E5E">
            <w:pPr>
              <w:jc w:val="center"/>
              <w:rPr>
                <w:sz w:val="18"/>
                <w:szCs w:val="18"/>
              </w:rPr>
            </w:pPr>
            <w:r w:rsidRPr="004E13E9">
              <w:rPr>
                <w:sz w:val="18"/>
                <w:szCs w:val="18"/>
              </w:rPr>
              <w:t>N/A</w:t>
            </w:r>
          </w:p>
        </w:tc>
        <w:tc>
          <w:tcPr>
            <w:tcW w:w="615" w:type="dxa"/>
          </w:tcPr>
          <w:p w14:paraId="3B2FC0C7" w14:textId="77777777" w:rsidR="003928B6" w:rsidRPr="004E13E9" w:rsidRDefault="003928B6" w:rsidP="00D47E5E">
            <w:pPr>
              <w:rPr>
                <w:b/>
                <w:sz w:val="18"/>
                <w:szCs w:val="18"/>
              </w:rPr>
            </w:pPr>
          </w:p>
        </w:tc>
        <w:tc>
          <w:tcPr>
            <w:tcW w:w="615" w:type="dxa"/>
            <w:noWrap/>
            <w:vAlign w:val="center"/>
            <w:hideMark/>
          </w:tcPr>
          <w:p w14:paraId="32036085" w14:textId="77777777" w:rsidR="003928B6" w:rsidRPr="004E13E9" w:rsidRDefault="003928B6" w:rsidP="00D47E5E">
            <w:pPr>
              <w:rPr>
                <w:b/>
                <w:sz w:val="18"/>
                <w:szCs w:val="18"/>
              </w:rPr>
            </w:pPr>
            <w:r w:rsidRPr="004E13E9">
              <w:rPr>
                <w:b/>
                <w:sz w:val="18"/>
                <w:szCs w:val="18"/>
              </w:rPr>
              <w:t> </w:t>
            </w:r>
          </w:p>
        </w:tc>
        <w:tc>
          <w:tcPr>
            <w:tcW w:w="615" w:type="dxa"/>
            <w:vAlign w:val="center"/>
            <w:hideMark/>
          </w:tcPr>
          <w:p w14:paraId="469A9A12" w14:textId="77777777" w:rsidR="003928B6" w:rsidRPr="004E13E9" w:rsidRDefault="003928B6" w:rsidP="00D47E5E">
            <w:pPr>
              <w:rPr>
                <w:b/>
                <w:sz w:val="18"/>
                <w:szCs w:val="18"/>
              </w:rPr>
            </w:pPr>
            <w:r w:rsidRPr="004E13E9">
              <w:rPr>
                <w:b/>
                <w:sz w:val="18"/>
                <w:szCs w:val="18"/>
              </w:rPr>
              <w:t> </w:t>
            </w:r>
          </w:p>
        </w:tc>
        <w:tc>
          <w:tcPr>
            <w:tcW w:w="615" w:type="dxa"/>
            <w:vAlign w:val="center"/>
            <w:hideMark/>
          </w:tcPr>
          <w:p w14:paraId="34157084" w14:textId="77777777" w:rsidR="003928B6" w:rsidRPr="004E13E9" w:rsidRDefault="003928B6" w:rsidP="00D47E5E">
            <w:pPr>
              <w:rPr>
                <w:b/>
                <w:sz w:val="18"/>
                <w:szCs w:val="18"/>
              </w:rPr>
            </w:pPr>
            <w:r w:rsidRPr="004E13E9">
              <w:rPr>
                <w:b/>
                <w:sz w:val="18"/>
                <w:szCs w:val="18"/>
              </w:rPr>
              <w:t> 10</w:t>
            </w:r>
          </w:p>
        </w:tc>
        <w:tc>
          <w:tcPr>
            <w:tcW w:w="615" w:type="dxa"/>
            <w:vAlign w:val="center"/>
            <w:hideMark/>
          </w:tcPr>
          <w:p w14:paraId="358A58D6" w14:textId="77777777" w:rsidR="003928B6" w:rsidRPr="004E13E9" w:rsidRDefault="003928B6" w:rsidP="00D47E5E">
            <w:pPr>
              <w:rPr>
                <w:b/>
                <w:sz w:val="18"/>
                <w:szCs w:val="18"/>
              </w:rPr>
            </w:pPr>
            <w:r w:rsidRPr="004E13E9">
              <w:rPr>
                <w:b/>
                <w:sz w:val="18"/>
                <w:szCs w:val="18"/>
              </w:rPr>
              <w:t>13 </w:t>
            </w:r>
          </w:p>
        </w:tc>
        <w:tc>
          <w:tcPr>
            <w:tcW w:w="615" w:type="dxa"/>
          </w:tcPr>
          <w:p w14:paraId="177EDE44" w14:textId="77777777" w:rsidR="003928B6" w:rsidRPr="004E13E9" w:rsidRDefault="003928B6" w:rsidP="00D47E5E">
            <w:pPr>
              <w:rPr>
                <w:b/>
                <w:sz w:val="18"/>
                <w:szCs w:val="18"/>
              </w:rPr>
            </w:pPr>
            <w:r w:rsidRPr="004E13E9">
              <w:rPr>
                <w:b/>
                <w:sz w:val="18"/>
                <w:szCs w:val="18"/>
              </w:rPr>
              <w:t>15</w:t>
            </w:r>
          </w:p>
        </w:tc>
        <w:tc>
          <w:tcPr>
            <w:tcW w:w="615" w:type="dxa"/>
          </w:tcPr>
          <w:p w14:paraId="792185FB" w14:textId="77777777" w:rsidR="003928B6" w:rsidRPr="004E13E9" w:rsidRDefault="003928B6" w:rsidP="00D47E5E">
            <w:pPr>
              <w:jc w:val="center"/>
              <w:rPr>
                <w:b/>
                <w:sz w:val="18"/>
                <w:szCs w:val="18"/>
              </w:rPr>
            </w:pPr>
            <w:r w:rsidRPr="004E13E9">
              <w:rPr>
                <w:b/>
                <w:sz w:val="18"/>
                <w:szCs w:val="18"/>
              </w:rPr>
              <w:t>30</w:t>
            </w:r>
          </w:p>
        </w:tc>
        <w:tc>
          <w:tcPr>
            <w:tcW w:w="256" w:type="dxa"/>
            <w:shd w:val="clear" w:color="000000" w:fill="D9D9D9"/>
            <w:vAlign w:val="center"/>
            <w:hideMark/>
          </w:tcPr>
          <w:p w14:paraId="161DDFA1" w14:textId="77777777" w:rsidR="003928B6" w:rsidRPr="004E13E9" w:rsidRDefault="003928B6" w:rsidP="00D47E5E">
            <w:pPr>
              <w:rPr>
                <w:b/>
                <w:sz w:val="18"/>
                <w:szCs w:val="18"/>
              </w:rPr>
            </w:pPr>
            <w:r w:rsidRPr="004E13E9">
              <w:rPr>
                <w:b/>
                <w:sz w:val="18"/>
                <w:szCs w:val="18"/>
              </w:rPr>
              <w:t> </w:t>
            </w:r>
          </w:p>
        </w:tc>
        <w:tc>
          <w:tcPr>
            <w:tcW w:w="615" w:type="dxa"/>
          </w:tcPr>
          <w:p w14:paraId="1318D744" w14:textId="77777777" w:rsidR="003928B6" w:rsidRPr="004E13E9" w:rsidRDefault="003928B6" w:rsidP="00D47E5E">
            <w:pPr>
              <w:rPr>
                <w:b/>
                <w:sz w:val="18"/>
                <w:szCs w:val="18"/>
              </w:rPr>
            </w:pPr>
          </w:p>
        </w:tc>
        <w:tc>
          <w:tcPr>
            <w:tcW w:w="615" w:type="dxa"/>
            <w:vAlign w:val="center"/>
            <w:hideMark/>
          </w:tcPr>
          <w:p w14:paraId="3B0712E3" w14:textId="77777777" w:rsidR="003928B6" w:rsidRPr="004E13E9" w:rsidRDefault="003928B6" w:rsidP="00D47E5E">
            <w:pPr>
              <w:rPr>
                <w:b/>
                <w:sz w:val="18"/>
                <w:szCs w:val="18"/>
              </w:rPr>
            </w:pPr>
            <w:r w:rsidRPr="004E13E9">
              <w:rPr>
                <w:b/>
                <w:sz w:val="18"/>
                <w:szCs w:val="18"/>
              </w:rPr>
              <w:t> </w:t>
            </w:r>
          </w:p>
        </w:tc>
        <w:tc>
          <w:tcPr>
            <w:tcW w:w="653" w:type="dxa"/>
            <w:vAlign w:val="center"/>
            <w:hideMark/>
          </w:tcPr>
          <w:p w14:paraId="196C575F" w14:textId="77777777" w:rsidR="003928B6" w:rsidRPr="004E13E9" w:rsidRDefault="003928B6" w:rsidP="00D47E5E">
            <w:pPr>
              <w:rPr>
                <w:b/>
                <w:sz w:val="18"/>
                <w:szCs w:val="18"/>
              </w:rPr>
            </w:pPr>
            <w:r w:rsidRPr="004E13E9">
              <w:rPr>
                <w:b/>
                <w:sz w:val="18"/>
                <w:szCs w:val="18"/>
              </w:rPr>
              <w:t> </w:t>
            </w:r>
          </w:p>
        </w:tc>
        <w:tc>
          <w:tcPr>
            <w:tcW w:w="851" w:type="dxa"/>
            <w:vAlign w:val="center"/>
            <w:hideMark/>
          </w:tcPr>
          <w:p w14:paraId="6C60A73C" w14:textId="77777777" w:rsidR="003928B6" w:rsidRPr="004E13E9" w:rsidRDefault="003928B6" w:rsidP="00D47E5E">
            <w:pPr>
              <w:rPr>
                <w:b/>
                <w:sz w:val="18"/>
                <w:szCs w:val="18"/>
              </w:rPr>
            </w:pPr>
            <w:r w:rsidRPr="004E13E9">
              <w:rPr>
                <w:b/>
                <w:sz w:val="18"/>
                <w:szCs w:val="18"/>
              </w:rPr>
              <w:t> 39 t</w:t>
            </w:r>
          </w:p>
        </w:tc>
        <w:tc>
          <w:tcPr>
            <w:tcW w:w="1201" w:type="dxa"/>
            <w:vAlign w:val="center"/>
            <w:hideMark/>
          </w:tcPr>
          <w:p w14:paraId="52FC8CD3" w14:textId="77777777" w:rsidR="003928B6" w:rsidRPr="004E13E9" w:rsidRDefault="003928B6" w:rsidP="00D47E5E">
            <w:pPr>
              <w:rPr>
                <w:b/>
                <w:sz w:val="18"/>
                <w:szCs w:val="18"/>
              </w:rPr>
            </w:pPr>
            <w:r w:rsidRPr="004E13E9">
              <w:rPr>
                <w:b/>
                <w:sz w:val="18"/>
                <w:szCs w:val="18"/>
              </w:rPr>
              <w:t>39 t</w:t>
            </w:r>
          </w:p>
        </w:tc>
        <w:tc>
          <w:tcPr>
            <w:tcW w:w="888" w:type="dxa"/>
            <w:vAlign w:val="center"/>
            <w:hideMark/>
          </w:tcPr>
          <w:p w14:paraId="3DB36760" w14:textId="77777777" w:rsidR="003928B6" w:rsidRPr="004E13E9" w:rsidRDefault="003928B6" w:rsidP="00D47E5E">
            <w:pPr>
              <w:rPr>
                <w:b/>
                <w:sz w:val="18"/>
                <w:szCs w:val="18"/>
              </w:rPr>
            </w:pPr>
            <w:r w:rsidRPr="004E13E9">
              <w:rPr>
                <w:b/>
                <w:sz w:val="18"/>
                <w:szCs w:val="18"/>
              </w:rPr>
              <w:t>45 t </w:t>
            </w:r>
          </w:p>
        </w:tc>
        <w:tc>
          <w:tcPr>
            <w:tcW w:w="950" w:type="dxa"/>
          </w:tcPr>
          <w:p w14:paraId="269196DB" w14:textId="77777777" w:rsidR="003928B6" w:rsidRPr="004E13E9" w:rsidRDefault="003928B6" w:rsidP="00D47E5E">
            <w:pPr>
              <w:rPr>
                <w:b/>
                <w:sz w:val="18"/>
                <w:szCs w:val="18"/>
              </w:rPr>
            </w:pPr>
            <w:r w:rsidRPr="004E13E9">
              <w:rPr>
                <w:b/>
                <w:sz w:val="18"/>
                <w:szCs w:val="18"/>
              </w:rPr>
              <w:t>120 t</w:t>
            </w:r>
          </w:p>
        </w:tc>
      </w:tr>
      <w:tr w:rsidR="003928B6" w:rsidRPr="00C5533C" w14:paraId="56CFA19A" w14:textId="77777777" w:rsidTr="00D47E5E">
        <w:trPr>
          <w:trHeight w:val="20"/>
        </w:trPr>
        <w:tc>
          <w:tcPr>
            <w:tcW w:w="2846" w:type="dxa"/>
            <w:vAlign w:val="center"/>
            <w:hideMark/>
          </w:tcPr>
          <w:p w14:paraId="6FA94528" w14:textId="77777777" w:rsidR="003928B6" w:rsidRPr="004E13E9" w:rsidRDefault="003928B6" w:rsidP="00D47E5E">
            <w:pPr>
              <w:rPr>
                <w:sz w:val="18"/>
                <w:szCs w:val="18"/>
              </w:rPr>
            </w:pPr>
            <w:proofErr w:type="spellStart"/>
            <w:r w:rsidRPr="004E13E9">
              <w:rPr>
                <w:sz w:val="18"/>
                <w:szCs w:val="18"/>
              </w:rPr>
              <w:t>Autre</w:t>
            </w:r>
            <w:proofErr w:type="spellEnd"/>
            <w:r w:rsidRPr="004E13E9">
              <w:rPr>
                <w:sz w:val="18"/>
                <w:szCs w:val="18"/>
              </w:rPr>
              <w:t xml:space="preserve"> (à préciser)</w:t>
            </w:r>
          </w:p>
        </w:tc>
        <w:tc>
          <w:tcPr>
            <w:tcW w:w="2102" w:type="dxa"/>
            <w:noWrap/>
            <w:vAlign w:val="center"/>
            <w:hideMark/>
          </w:tcPr>
          <w:p w14:paraId="4BCEFC8D" w14:textId="77777777" w:rsidR="003928B6" w:rsidRPr="004E13E9" w:rsidRDefault="003928B6" w:rsidP="00D47E5E">
            <w:pPr>
              <w:jc w:val="center"/>
              <w:rPr>
                <w:sz w:val="18"/>
                <w:szCs w:val="18"/>
              </w:rPr>
            </w:pPr>
            <w:r w:rsidRPr="004E13E9">
              <w:rPr>
                <w:sz w:val="18"/>
                <w:szCs w:val="18"/>
              </w:rPr>
              <w:t>5</w:t>
            </w:r>
          </w:p>
        </w:tc>
        <w:tc>
          <w:tcPr>
            <w:tcW w:w="615" w:type="dxa"/>
          </w:tcPr>
          <w:p w14:paraId="5EBB9226" w14:textId="77777777" w:rsidR="003928B6" w:rsidRPr="004E13E9" w:rsidRDefault="003928B6" w:rsidP="00D47E5E">
            <w:pPr>
              <w:rPr>
                <w:b/>
                <w:sz w:val="18"/>
                <w:szCs w:val="18"/>
              </w:rPr>
            </w:pPr>
          </w:p>
        </w:tc>
        <w:tc>
          <w:tcPr>
            <w:tcW w:w="615" w:type="dxa"/>
            <w:noWrap/>
            <w:vAlign w:val="center"/>
            <w:hideMark/>
          </w:tcPr>
          <w:p w14:paraId="5CE2AF58" w14:textId="77777777" w:rsidR="003928B6" w:rsidRPr="004E13E9" w:rsidRDefault="003928B6" w:rsidP="00D47E5E">
            <w:pPr>
              <w:rPr>
                <w:b/>
                <w:sz w:val="18"/>
                <w:szCs w:val="18"/>
              </w:rPr>
            </w:pPr>
            <w:r w:rsidRPr="004E13E9">
              <w:rPr>
                <w:b/>
                <w:sz w:val="18"/>
                <w:szCs w:val="18"/>
              </w:rPr>
              <w:t> </w:t>
            </w:r>
          </w:p>
        </w:tc>
        <w:tc>
          <w:tcPr>
            <w:tcW w:w="615" w:type="dxa"/>
            <w:vAlign w:val="center"/>
            <w:hideMark/>
          </w:tcPr>
          <w:p w14:paraId="7F6DA040" w14:textId="77777777" w:rsidR="003928B6" w:rsidRPr="004E13E9" w:rsidRDefault="003928B6" w:rsidP="00D47E5E">
            <w:pPr>
              <w:rPr>
                <w:b/>
                <w:sz w:val="18"/>
                <w:szCs w:val="18"/>
              </w:rPr>
            </w:pPr>
            <w:r w:rsidRPr="004E13E9">
              <w:rPr>
                <w:b/>
                <w:sz w:val="18"/>
                <w:szCs w:val="18"/>
              </w:rPr>
              <w:t> </w:t>
            </w:r>
          </w:p>
        </w:tc>
        <w:tc>
          <w:tcPr>
            <w:tcW w:w="615" w:type="dxa"/>
            <w:vAlign w:val="center"/>
            <w:hideMark/>
          </w:tcPr>
          <w:p w14:paraId="2BA9BCEC" w14:textId="77777777" w:rsidR="003928B6" w:rsidRPr="004E13E9" w:rsidRDefault="003928B6" w:rsidP="00D47E5E">
            <w:pPr>
              <w:rPr>
                <w:b/>
                <w:sz w:val="18"/>
                <w:szCs w:val="18"/>
              </w:rPr>
            </w:pPr>
            <w:r w:rsidRPr="004E13E9">
              <w:rPr>
                <w:b/>
                <w:sz w:val="18"/>
                <w:szCs w:val="18"/>
              </w:rPr>
              <w:t> </w:t>
            </w:r>
          </w:p>
        </w:tc>
        <w:tc>
          <w:tcPr>
            <w:tcW w:w="615" w:type="dxa"/>
            <w:vAlign w:val="center"/>
            <w:hideMark/>
          </w:tcPr>
          <w:p w14:paraId="29C18560" w14:textId="77777777" w:rsidR="003928B6" w:rsidRPr="004E13E9" w:rsidRDefault="003928B6" w:rsidP="00D47E5E">
            <w:pPr>
              <w:rPr>
                <w:b/>
                <w:sz w:val="18"/>
                <w:szCs w:val="18"/>
              </w:rPr>
            </w:pPr>
            <w:r w:rsidRPr="004E13E9">
              <w:rPr>
                <w:b/>
                <w:sz w:val="18"/>
                <w:szCs w:val="18"/>
              </w:rPr>
              <w:t> </w:t>
            </w:r>
          </w:p>
        </w:tc>
        <w:tc>
          <w:tcPr>
            <w:tcW w:w="615" w:type="dxa"/>
          </w:tcPr>
          <w:p w14:paraId="00266CF9" w14:textId="77777777" w:rsidR="003928B6" w:rsidRPr="004E13E9" w:rsidRDefault="003928B6" w:rsidP="00D47E5E">
            <w:pPr>
              <w:rPr>
                <w:b/>
                <w:sz w:val="18"/>
                <w:szCs w:val="18"/>
              </w:rPr>
            </w:pPr>
          </w:p>
        </w:tc>
        <w:tc>
          <w:tcPr>
            <w:tcW w:w="615" w:type="dxa"/>
          </w:tcPr>
          <w:p w14:paraId="5D2F4FAB" w14:textId="77777777" w:rsidR="003928B6" w:rsidRPr="004E13E9" w:rsidRDefault="003928B6" w:rsidP="00D47E5E">
            <w:pPr>
              <w:jc w:val="center"/>
              <w:rPr>
                <w:sz w:val="18"/>
                <w:szCs w:val="18"/>
              </w:rPr>
            </w:pPr>
          </w:p>
        </w:tc>
        <w:tc>
          <w:tcPr>
            <w:tcW w:w="256" w:type="dxa"/>
            <w:shd w:val="clear" w:color="000000" w:fill="D9D9D9"/>
            <w:vAlign w:val="center"/>
            <w:hideMark/>
          </w:tcPr>
          <w:p w14:paraId="7B102A56" w14:textId="77777777" w:rsidR="003928B6" w:rsidRPr="004E13E9" w:rsidRDefault="003928B6" w:rsidP="00D47E5E">
            <w:pPr>
              <w:rPr>
                <w:b/>
                <w:sz w:val="18"/>
                <w:szCs w:val="18"/>
              </w:rPr>
            </w:pPr>
            <w:r w:rsidRPr="004E13E9">
              <w:rPr>
                <w:b/>
                <w:sz w:val="18"/>
                <w:szCs w:val="18"/>
              </w:rPr>
              <w:t> </w:t>
            </w:r>
          </w:p>
        </w:tc>
        <w:tc>
          <w:tcPr>
            <w:tcW w:w="615" w:type="dxa"/>
          </w:tcPr>
          <w:p w14:paraId="36351DF4" w14:textId="77777777" w:rsidR="003928B6" w:rsidRPr="004E13E9" w:rsidRDefault="003928B6" w:rsidP="00D47E5E">
            <w:pPr>
              <w:rPr>
                <w:b/>
                <w:sz w:val="18"/>
                <w:szCs w:val="18"/>
              </w:rPr>
            </w:pPr>
          </w:p>
        </w:tc>
        <w:tc>
          <w:tcPr>
            <w:tcW w:w="615" w:type="dxa"/>
            <w:vAlign w:val="center"/>
            <w:hideMark/>
          </w:tcPr>
          <w:p w14:paraId="2ECAE518" w14:textId="77777777" w:rsidR="003928B6" w:rsidRPr="004E13E9" w:rsidRDefault="003928B6" w:rsidP="00D47E5E">
            <w:pPr>
              <w:rPr>
                <w:b/>
                <w:sz w:val="18"/>
                <w:szCs w:val="18"/>
              </w:rPr>
            </w:pPr>
            <w:r w:rsidRPr="004E13E9">
              <w:rPr>
                <w:b/>
                <w:sz w:val="18"/>
                <w:szCs w:val="18"/>
              </w:rPr>
              <w:t> </w:t>
            </w:r>
          </w:p>
        </w:tc>
        <w:tc>
          <w:tcPr>
            <w:tcW w:w="653" w:type="dxa"/>
            <w:vAlign w:val="center"/>
            <w:hideMark/>
          </w:tcPr>
          <w:p w14:paraId="38C3A030" w14:textId="77777777" w:rsidR="003928B6" w:rsidRPr="004E13E9" w:rsidRDefault="003928B6" w:rsidP="00D47E5E">
            <w:pPr>
              <w:rPr>
                <w:b/>
                <w:sz w:val="18"/>
                <w:szCs w:val="18"/>
              </w:rPr>
            </w:pPr>
            <w:r w:rsidRPr="004E13E9">
              <w:rPr>
                <w:b/>
                <w:sz w:val="18"/>
                <w:szCs w:val="18"/>
              </w:rPr>
              <w:t> </w:t>
            </w:r>
          </w:p>
        </w:tc>
        <w:tc>
          <w:tcPr>
            <w:tcW w:w="851" w:type="dxa"/>
            <w:vAlign w:val="center"/>
            <w:hideMark/>
          </w:tcPr>
          <w:p w14:paraId="43E51C71" w14:textId="77777777" w:rsidR="003928B6" w:rsidRPr="004E13E9" w:rsidRDefault="003928B6" w:rsidP="00D47E5E">
            <w:pPr>
              <w:rPr>
                <w:b/>
                <w:sz w:val="18"/>
                <w:szCs w:val="18"/>
              </w:rPr>
            </w:pPr>
            <w:r w:rsidRPr="004E13E9">
              <w:rPr>
                <w:b/>
                <w:sz w:val="18"/>
                <w:szCs w:val="18"/>
              </w:rPr>
              <w:t> </w:t>
            </w:r>
          </w:p>
        </w:tc>
        <w:tc>
          <w:tcPr>
            <w:tcW w:w="1201" w:type="dxa"/>
            <w:vAlign w:val="center"/>
            <w:hideMark/>
          </w:tcPr>
          <w:p w14:paraId="4780EE12" w14:textId="77777777" w:rsidR="003928B6" w:rsidRPr="004E13E9" w:rsidRDefault="003928B6" w:rsidP="00D47E5E">
            <w:pPr>
              <w:rPr>
                <w:bCs/>
                <w:sz w:val="18"/>
                <w:szCs w:val="18"/>
                <w:lang w:val="fr-FR"/>
              </w:rPr>
            </w:pPr>
            <w:r w:rsidRPr="004E13E9">
              <w:rPr>
                <w:sz w:val="18"/>
                <w:szCs w:val="18"/>
                <w:lang w:val="fr-FR"/>
              </w:rPr>
              <w:t>1 t pour l'activité de marquage non liée au programme CHART</w:t>
            </w:r>
          </w:p>
        </w:tc>
        <w:tc>
          <w:tcPr>
            <w:tcW w:w="888" w:type="dxa"/>
            <w:vAlign w:val="center"/>
            <w:hideMark/>
          </w:tcPr>
          <w:p w14:paraId="383A0C45" w14:textId="77777777" w:rsidR="003928B6" w:rsidRPr="004E13E9" w:rsidRDefault="003928B6" w:rsidP="00D47E5E">
            <w:pPr>
              <w:rPr>
                <w:b/>
                <w:sz w:val="18"/>
                <w:szCs w:val="18"/>
                <w:lang w:val="fr-FR"/>
              </w:rPr>
            </w:pPr>
            <w:r w:rsidRPr="004E13E9">
              <w:rPr>
                <w:b/>
                <w:sz w:val="18"/>
                <w:szCs w:val="18"/>
                <w:lang w:val="fr-FR"/>
              </w:rPr>
              <w:t> </w:t>
            </w:r>
          </w:p>
        </w:tc>
        <w:tc>
          <w:tcPr>
            <w:tcW w:w="950" w:type="dxa"/>
          </w:tcPr>
          <w:p w14:paraId="25F583D7" w14:textId="77777777" w:rsidR="003928B6" w:rsidRPr="004E13E9" w:rsidRDefault="003928B6" w:rsidP="00D47E5E">
            <w:pPr>
              <w:rPr>
                <w:b/>
                <w:sz w:val="18"/>
                <w:szCs w:val="18"/>
                <w:lang w:val="fr-FR"/>
              </w:rPr>
            </w:pPr>
          </w:p>
        </w:tc>
      </w:tr>
      <w:tr w:rsidR="003928B6" w:rsidRPr="00C5533C" w14:paraId="4CF0FA01" w14:textId="77777777" w:rsidTr="00D47E5E">
        <w:trPr>
          <w:trHeight w:val="20"/>
        </w:trPr>
        <w:tc>
          <w:tcPr>
            <w:tcW w:w="2846" w:type="dxa"/>
            <w:noWrap/>
            <w:vAlign w:val="center"/>
            <w:hideMark/>
          </w:tcPr>
          <w:p w14:paraId="76776A42" w14:textId="77777777" w:rsidR="003928B6" w:rsidRPr="004E13E9" w:rsidRDefault="003928B6" w:rsidP="00D47E5E">
            <w:pPr>
              <w:rPr>
                <w:b/>
                <w:sz w:val="18"/>
                <w:szCs w:val="18"/>
                <w:lang w:val="fr-FR"/>
              </w:rPr>
            </w:pPr>
            <w:r w:rsidRPr="004E13E9">
              <w:rPr>
                <w:b/>
                <w:sz w:val="18"/>
                <w:szCs w:val="18"/>
                <w:lang w:val="fr-FR"/>
              </w:rPr>
              <w:t>Capacité totale de la flottille/de pêche</w:t>
            </w:r>
          </w:p>
        </w:tc>
        <w:tc>
          <w:tcPr>
            <w:tcW w:w="2102" w:type="dxa"/>
            <w:noWrap/>
            <w:vAlign w:val="center"/>
            <w:hideMark/>
          </w:tcPr>
          <w:p w14:paraId="5E345398" w14:textId="77777777" w:rsidR="003928B6" w:rsidRPr="004E13E9" w:rsidRDefault="003928B6" w:rsidP="00D47E5E">
            <w:pPr>
              <w:jc w:val="right"/>
              <w:rPr>
                <w:sz w:val="18"/>
                <w:szCs w:val="18"/>
                <w:lang w:val="fr-FR"/>
              </w:rPr>
            </w:pPr>
            <w:r w:rsidRPr="004E13E9">
              <w:rPr>
                <w:sz w:val="18"/>
                <w:szCs w:val="18"/>
                <w:lang w:val="fr-FR"/>
              </w:rPr>
              <w:t> </w:t>
            </w:r>
          </w:p>
        </w:tc>
        <w:tc>
          <w:tcPr>
            <w:tcW w:w="615" w:type="dxa"/>
          </w:tcPr>
          <w:p w14:paraId="1877E489" w14:textId="77777777" w:rsidR="003928B6" w:rsidRPr="004E13E9" w:rsidRDefault="003928B6" w:rsidP="00D47E5E">
            <w:pPr>
              <w:rPr>
                <w:b/>
                <w:sz w:val="18"/>
                <w:szCs w:val="18"/>
                <w:lang w:val="fr-FR"/>
              </w:rPr>
            </w:pPr>
          </w:p>
        </w:tc>
        <w:tc>
          <w:tcPr>
            <w:tcW w:w="615" w:type="dxa"/>
            <w:noWrap/>
            <w:vAlign w:val="center"/>
            <w:hideMark/>
          </w:tcPr>
          <w:p w14:paraId="4A8707FA" w14:textId="77777777" w:rsidR="003928B6" w:rsidRPr="004E13E9" w:rsidRDefault="003928B6" w:rsidP="00D47E5E">
            <w:pPr>
              <w:rPr>
                <w:b/>
                <w:sz w:val="18"/>
                <w:szCs w:val="18"/>
                <w:lang w:val="fr-FR"/>
              </w:rPr>
            </w:pPr>
            <w:r w:rsidRPr="004E13E9">
              <w:rPr>
                <w:b/>
                <w:sz w:val="18"/>
                <w:szCs w:val="18"/>
                <w:lang w:val="fr-FR"/>
              </w:rPr>
              <w:t> </w:t>
            </w:r>
          </w:p>
        </w:tc>
        <w:tc>
          <w:tcPr>
            <w:tcW w:w="615" w:type="dxa"/>
            <w:vAlign w:val="center"/>
            <w:hideMark/>
          </w:tcPr>
          <w:p w14:paraId="3949E21B" w14:textId="77777777" w:rsidR="003928B6" w:rsidRPr="004E13E9" w:rsidRDefault="003928B6" w:rsidP="00D47E5E">
            <w:pPr>
              <w:rPr>
                <w:b/>
                <w:sz w:val="18"/>
                <w:szCs w:val="18"/>
                <w:lang w:val="fr-FR"/>
              </w:rPr>
            </w:pPr>
            <w:r w:rsidRPr="004E13E9">
              <w:rPr>
                <w:b/>
                <w:sz w:val="18"/>
                <w:szCs w:val="18"/>
                <w:lang w:val="fr-FR"/>
              </w:rPr>
              <w:t> </w:t>
            </w:r>
          </w:p>
        </w:tc>
        <w:tc>
          <w:tcPr>
            <w:tcW w:w="615" w:type="dxa"/>
            <w:vAlign w:val="center"/>
            <w:hideMark/>
          </w:tcPr>
          <w:p w14:paraId="6273E8F1" w14:textId="77777777" w:rsidR="003928B6" w:rsidRPr="004E13E9" w:rsidRDefault="003928B6" w:rsidP="00D47E5E">
            <w:pPr>
              <w:rPr>
                <w:b/>
                <w:sz w:val="18"/>
                <w:szCs w:val="18"/>
                <w:lang w:val="fr-FR"/>
              </w:rPr>
            </w:pPr>
            <w:r w:rsidRPr="004E13E9">
              <w:rPr>
                <w:b/>
                <w:sz w:val="18"/>
                <w:szCs w:val="18"/>
                <w:lang w:val="fr-FR"/>
              </w:rPr>
              <w:t> </w:t>
            </w:r>
          </w:p>
        </w:tc>
        <w:tc>
          <w:tcPr>
            <w:tcW w:w="615" w:type="dxa"/>
            <w:vAlign w:val="center"/>
            <w:hideMark/>
          </w:tcPr>
          <w:p w14:paraId="13BC5C2A" w14:textId="77777777" w:rsidR="003928B6" w:rsidRPr="004E13E9" w:rsidRDefault="003928B6" w:rsidP="00D47E5E">
            <w:pPr>
              <w:rPr>
                <w:b/>
                <w:sz w:val="18"/>
                <w:szCs w:val="18"/>
                <w:lang w:val="fr-FR"/>
              </w:rPr>
            </w:pPr>
            <w:r w:rsidRPr="004E13E9">
              <w:rPr>
                <w:b/>
                <w:sz w:val="18"/>
                <w:szCs w:val="18"/>
                <w:lang w:val="fr-FR"/>
              </w:rPr>
              <w:t> </w:t>
            </w:r>
          </w:p>
        </w:tc>
        <w:tc>
          <w:tcPr>
            <w:tcW w:w="615" w:type="dxa"/>
          </w:tcPr>
          <w:p w14:paraId="3C287F57" w14:textId="77777777" w:rsidR="003928B6" w:rsidRPr="004E13E9" w:rsidRDefault="003928B6" w:rsidP="00D47E5E">
            <w:pPr>
              <w:rPr>
                <w:b/>
                <w:sz w:val="18"/>
                <w:szCs w:val="18"/>
                <w:lang w:val="fr-FR"/>
              </w:rPr>
            </w:pPr>
          </w:p>
        </w:tc>
        <w:tc>
          <w:tcPr>
            <w:tcW w:w="615" w:type="dxa"/>
          </w:tcPr>
          <w:p w14:paraId="78A9FC67" w14:textId="77777777" w:rsidR="003928B6" w:rsidRPr="004E13E9" w:rsidRDefault="003928B6" w:rsidP="00D47E5E">
            <w:pPr>
              <w:jc w:val="center"/>
              <w:rPr>
                <w:sz w:val="18"/>
                <w:szCs w:val="18"/>
                <w:lang w:val="fr-FR"/>
              </w:rPr>
            </w:pPr>
          </w:p>
        </w:tc>
        <w:tc>
          <w:tcPr>
            <w:tcW w:w="256" w:type="dxa"/>
            <w:shd w:val="clear" w:color="000000" w:fill="D9D9D9"/>
            <w:vAlign w:val="center"/>
            <w:hideMark/>
          </w:tcPr>
          <w:p w14:paraId="2C44E66B" w14:textId="77777777" w:rsidR="003928B6" w:rsidRPr="004E13E9" w:rsidRDefault="003928B6" w:rsidP="00D47E5E">
            <w:pPr>
              <w:rPr>
                <w:b/>
                <w:sz w:val="18"/>
                <w:szCs w:val="18"/>
                <w:lang w:val="fr-FR"/>
              </w:rPr>
            </w:pPr>
            <w:r w:rsidRPr="004E13E9">
              <w:rPr>
                <w:b/>
                <w:sz w:val="18"/>
                <w:szCs w:val="18"/>
                <w:lang w:val="fr-FR"/>
              </w:rPr>
              <w:t> </w:t>
            </w:r>
          </w:p>
        </w:tc>
        <w:tc>
          <w:tcPr>
            <w:tcW w:w="615" w:type="dxa"/>
          </w:tcPr>
          <w:p w14:paraId="6A485908" w14:textId="77777777" w:rsidR="003928B6" w:rsidRPr="004E13E9" w:rsidRDefault="003928B6" w:rsidP="00D47E5E">
            <w:pPr>
              <w:rPr>
                <w:b/>
                <w:sz w:val="18"/>
                <w:szCs w:val="18"/>
                <w:lang w:val="fr-FR"/>
              </w:rPr>
            </w:pPr>
          </w:p>
        </w:tc>
        <w:tc>
          <w:tcPr>
            <w:tcW w:w="615" w:type="dxa"/>
            <w:vAlign w:val="center"/>
            <w:hideMark/>
          </w:tcPr>
          <w:p w14:paraId="748C70A7" w14:textId="77777777" w:rsidR="003928B6" w:rsidRPr="004E13E9" w:rsidRDefault="003928B6" w:rsidP="00D47E5E">
            <w:pPr>
              <w:rPr>
                <w:b/>
                <w:sz w:val="18"/>
                <w:szCs w:val="18"/>
                <w:lang w:val="fr-FR"/>
              </w:rPr>
            </w:pPr>
            <w:r w:rsidRPr="004E13E9">
              <w:rPr>
                <w:b/>
                <w:sz w:val="18"/>
                <w:szCs w:val="18"/>
                <w:lang w:val="fr-FR"/>
              </w:rPr>
              <w:t> </w:t>
            </w:r>
          </w:p>
        </w:tc>
        <w:tc>
          <w:tcPr>
            <w:tcW w:w="653" w:type="dxa"/>
            <w:vAlign w:val="center"/>
            <w:hideMark/>
          </w:tcPr>
          <w:p w14:paraId="4ACAB453" w14:textId="77777777" w:rsidR="003928B6" w:rsidRPr="004E13E9" w:rsidRDefault="003928B6" w:rsidP="00D47E5E">
            <w:pPr>
              <w:rPr>
                <w:b/>
                <w:sz w:val="18"/>
                <w:szCs w:val="18"/>
                <w:lang w:val="fr-FR"/>
              </w:rPr>
            </w:pPr>
            <w:r w:rsidRPr="004E13E9">
              <w:rPr>
                <w:b/>
                <w:sz w:val="18"/>
                <w:szCs w:val="18"/>
                <w:lang w:val="fr-FR"/>
              </w:rPr>
              <w:t> </w:t>
            </w:r>
          </w:p>
        </w:tc>
        <w:tc>
          <w:tcPr>
            <w:tcW w:w="851" w:type="dxa"/>
            <w:noWrap/>
            <w:vAlign w:val="center"/>
            <w:hideMark/>
          </w:tcPr>
          <w:p w14:paraId="5D749F27" w14:textId="77777777" w:rsidR="003928B6" w:rsidRPr="004E13E9" w:rsidRDefault="003928B6" w:rsidP="00D47E5E">
            <w:pPr>
              <w:rPr>
                <w:b/>
                <w:sz w:val="18"/>
                <w:szCs w:val="18"/>
                <w:lang w:val="fr-FR"/>
              </w:rPr>
            </w:pPr>
            <w:r w:rsidRPr="004E13E9">
              <w:rPr>
                <w:b/>
                <w:sz w:val="18"/>
                <w:szCs w:val="18"/>
                <w:lang w:val="fr-FR"/>
              </w:rPr>
              <w:t> </w:t>
            </w:r>
          </w:p>
        </w:tc>
        <w:tc>
          <w:tcPr>
            <w:tcW w:w="1201" w:type="dxa"/>
            <w:noWrap/>
            <w:vAlign w:val="center"/>
            <w:hideMark/>
          </w:tcPr>
          <w:p w14:paraId="5E0A948D" w14:textId="77777777" w:rsidR="003928B6" w:rsidRPr="004E13E9" w:rsidRDefault="003928B6" w:rsidP="00D47E5E">
            <w:pPr>
              <w:rPr>
                <w:b/>
                <w:sz w:val="18"/>
                <w:szCs w:val="18"/>
                <w:lang w:val="fr-FR"/>
              </w:rPr>
            </w:pPr>
            <w:r w:rsidRPr="004E13E9">
              <w:rPr>
                <w:b/>
                <w:sz w:val="18"/>
                <w:szCs w:val="18"/>
                <w:lang w:val="fr-FR"/>
              </w:rPr>
              <w:t> </w:t>
            </w:r>
          </w:p>
        </w:tc>
        <w:tc>
          <w:tcPr>
            <w:tcW w:w="888" w:type="dxa"/>
            <w:noWrap/>
            <w:vAlign w:val="center"/>
            <w:hideMark/>
          </w:tcPr>
          <w:p w14:paraId="56F1C8F3" w14:textId="77777777" w:rsidR="003928B6" w:rsidRPr="004E13E9" w:rsidRDefault="003928B6" w:rsidP="00D47E5E">
            <w:pPr>
              <w:rPr>
                <w:b/>
                <w:sz w:val="18"/>
                <w:szCs w:val="18"/>
                <w:lang w:val="fr-FR"/>
              </w:rPr>
            </w:pPr>
            <w:r w:rsidRPr="004E13E9">
              <w:rPr>
                <w:b/>
                <w:sz w:val="18"/>
                <w:szCs w:val="18"/>
                <w:lang w:val="fr-FR"/>
              </w:rPr>
              <w:t> </w:t>
            </w:r>
          </w:p>
        </w:tc>
        <w:tc>
          <w:tcPr>
            <w:tcW w:w="950" w:type="dxa"/>
          </w:tcPr>
          <w:p w14:paraId="14B7096B" w14:textId="77777777" w:rsidR="003928B6" w:rsidRPr="004E13E9" w:rsidRDefault="003928B6" w:rsidP="00D47E5E">
            <w:pPr>
              <w:rPr>
                <w:b/>
                <w:sz w:val="18"/>
                <w:szCs w:val="18"/>
                <w:lang w:val="fr-FR"/>
              </w:rPr>
            </w:pPr>
          </w:p>
        </w:tc>
      </w:tr>
      <w:tr w:rsidR="003928B6" w:rsidRPr="004E13E9" w14:paraId="4C45E8ED" w14:textId="77777777" w:rsidTr="00D47E5E">
        <w:trPr>
          <w:trHeight w:val="20"/>
        </w:trPr>
        <w:tc>
          <w:tcPr>
            <w:tcW w:w="2846" w:type="dxa"/>
            <w:shd w:val="clear" w:color="auto" w:fill="D9D9D9"/>
            <w:noWrap/>
            <w:vAlign w:val="center"/>
            <w:hideMark/>
          </w:tcPr>
          <w:p w14:paraId="53B3D1AD" w14:textId="77777777" w:rsidR="003928B6" w:rsidRPr="004E13E9" w:rsidRDefault="003928B6" w:rsidP="00D47E5E">
            <w:pPr>
              <w:rPr>
                <w:rFonts w:eastAsia="Times New Roman" w:cs="Calibri"/>
                <w:b/>
                <w:bCs/>
                <w:sz w:val="18"/>
                <w:szCs w:val="18"/>
              </w:rPr>
            </w:pPr>
            <w:r w:rsidRPr="004E13E9">
              <w:rPr>
                <w:b/>
                <w:sz w:val="18"/>
                <w:szCs w:val="18"/>
              </w:rPr>
              <w:t>Quota initial</w:t>
            </w:r>
          </w:p>
        </w:tc>
        <w:tc>
          <w:tcPr>
            <w:tcW w:w="2102" w:type="dxa"/>
            <w:shd w:val="clear" w:color="auto" w:fill="D9D9D9"/>
            <w:noWrap/>
            <w:vAlign w:val="center"/>
            <w:hideMark/>
          </w:tcPr>
          <w:p w14:paraId="347FC778" w14:textId="77777777" w:rsidR="003928B6" w:rsidRPr="004E13E9" w:rsidRDefault="003928B6" w:rsidP="00D47E5E">
            <w:pPr>
              <w:jc w:val="right"/>
              <w:rPr>
                <w:rFonts w:eastAsia="Times New Roman" w:cs="Calibri"/>
                <w:sz w:val="18"/>
                <w:szCs w:val="18"/>
              </w:rPr>
            </w:pPr>
            <w:r w:rsidRPr="004E13E9">
              <w:rPr>
                <w:sz w:val="18"/>
                <w:szCs w:val="18"/>
              </w:rPr>
              <w:t> </w:t>
            </w:r>
          </w:p>
        </w:tc>
        <w:tc>
          <w:tcPr>
            <w:tcW w:w="615" w:type="dxa"/>
            <w:shd w:val="clear" w:color="auto" w:fill="D9D9D9"/>
          </w:tcPr>
          <w:p w14:paraId="25141678" w14:textId="77777777" w:rsidR="003928B6" w:rsidRPr="004E13E9" w:rsidRDefault="003928B6" w:rsidP="00D47E5E">
            <w:pPr>
              <w:rPr>
                <w:rFonts w:eastAsia="Times New Roman" w:cs="Calibri"/>
                <w:sz w:val="18"/>
                <w:szCs w:val="18"/>
                <w:lang w:eastAsia="ja-JP"/>
              </w:rPr>
            </w:pPr>
          </w:p>
        </w:tc>
        <w:tc>
          <w:tcPr>
            <w:tcW w:w="615" w:type="dxa"/>
            <w:shd w:val="clear" w:color="auto" w:fill="D9D9D9"/>
            <w:noWrap/>
            <w:vAlign w:val="center"/>
            <w:hideMark/>
          </w:tcPr>
          <w:p w14:paraId="0EAEC533" w14:textId="77777777" w:rsidR="003928B6" w:rsidRPr="004E13E9" w:rsidRDefault="003928B6" w:rsidP="00D47E5E">
            <w:pPr>
              <w:rPr>
                <w:rFonts w:eastAsia="Times New Roman" w:cs="Calibri"/>
                <w:sz w:val="18"/>
                <w:szCs w:val="18"/>
              </w:rPr>
            </w:pPr>
            <w:r w:rsidRPr="004E13E9">
              <w:rPr>
                <w:sz w:val="18"/>
                <w:szCs w:val="18"/>
              </w:rPr>
              <w:t> </w:t>
            </w:r>
          </w:p>
        </w:tc>
        <w:tc>
          <w:tcPr>
            <w:tcW w:w="615" w:type="dxa"/>
            <w:shd w:val="clear" w:color="auto" w:fill="D9D9D9"/>
            <w:vAlign w:val="center"/>
            <w:hideMark/>
          </w:tcPr>
          <w:p w14:paraId="61CFF391" w14:textId="77777777" w:rsidR="003928B6" w:rsidRPr="004E13E9" w:rsidRDefault="003928B6" w:rsidP="00D47E5E">
            <w:pPr>
              <w:rPr>
                <w:rFonts w:eastAsia="Times New Roman" w:cs="Calibri"/>
                <w:sz w:val="18"/>
                <w:szCs w:val="18"/>
              </w:rPr>
            </w:pPr>
            <w:r w:rsidRPr="004E13E9">
              <w:rPr>
                <w:sz w:val="18"/>
                <w:szCs w:val="18"/>
              </w:rPr>
              <w:t> </w:t>
            </w:r>
          </w:p>
        </w:tc>
        <w:tc>
          <w:tcPr>
            <w:tcW w:w="615" w:type="dxa"/>
            <w:shd w:val="clear" w:color="auto" w:fill="D9D9D9"/>
            <w:vAlign w:val="center"/>
            <w:hideMark/>
          </w:tcPr>
          <w:p w14:paraId="01BFEACE" w14:textId="77777777" w:rsidR="003928B6" w:rsidRPr="004E13E9" w:rsidRDefault="003928B6" w:rsidP="00D47E5E">
            <w:pPr>
              <w:rPr>
                <w:rFonts w:eastAsia="Times New Roman" w:cs="Calibri"/>
                <w:sz w:val="18"/>
                <w:szCs w:val="18"/>
              </w:rPr>
            </w:pPr>
            <w:r w:rsidRPr="004E13E9">
              <w:rPr>
                <w:sz w:val="18"/>
                <w:szCs w:val="18"/>
              </w:rPr>
              <w:t> </w:t>
            </w:r>
          </w:p>
        </w:tc>
        <w:tc>
          <w:tcPr>
            <w:tcW w:w="615" w:type="dxa"/>
            <w:shd w:val="clear" w:color="auto" w:fill="D9D9D9"/>
            <w:vAlign w:val="center"/>
            <w:hideMark/>
          </w:tcPr>
          <w:p w14:paraId="3A9F8E3E" w14:textId="77777777" w:rsidR="003928B6" w:rsidRPr="004E13E9" w:rsidRDefault="003928B6" w:rsidP="00D47E5E">
            <w:pPr>
              <w:rPr>
                <w:rFonts w:eastAsia="Times New Roman" w:cs="Calibri"/>
                <w:sz w:val="18"/>
                <w:szCs w:val="18"/>
              </w:rPr>
            </w:pPr>
            <w:r w:rsidRPr="004E13E9">
              <w:rPr>
                <w:sz w:val="18"/>
                <w:szCs w:val="18"/>
              </w:rPr>
              <w:t> </w:t>
            </w:r>
          </w:p>
        </w:tc>
        <w:tc>
          <w:tcPr>
            <w:tcW w:w="615" w:type="dxa"/>
            <w:shd w:val="clear" w:color="auto" w:fill="D9D9D9"/>
          </w:tcPr>
          <w:p w14:paraId="1620BD37" w14:textId="77777777" w:rsidR="003928B6" w:rsidRPr="004E13E9" w:rsidRDefault="003928B6" w:rsidP="00D47E5E">
            <w:pPr>
              <w:rPr>
                <w:rFonts w:eastAsia="Times New Roman" w:cs="Calibri"/>
                <w:sz w:val="18"/>
                <w:szCs w:val="18"/>
                <w:lang w:eastAsia="ja-JP"/>
              </w:rPr>
            </w:pPr>
          </w:p>
        </w:tc>
        <w:tc>
          <w:tcPr>
            <w:tcW w:w="615" w:type="dxa"/>
            <w:shd w:val="clear" w:color="auto" w:fill="D9D9D9"/>
          </w:tcPr>
          <w:p w14:paraId="0107A58D" w14:textId="77777777" w:rsidR="003928B6" w:rsidRPr="004E13E9" w:rsidRDefault="003928B6" w:rsidP="00D47E5E">
            <w:pPr>
              <w:jc w:val="center"/>
              <w:rPr>
                <w:rFonts w:eastAsia="Times New Roman" w:cs="Calibri"/>
                <w:sz w:val="18"/>
                <w:szCs w:val="18"/>
                <w:lang w:eastAsia="ja-JP"/>
              </w:rPr>
            </w:pPr>
          </w:p>
        </w:tc>
        <w:tc>
          <w:tcPr>
            <w:tcW w:w="256" w:type="dxa"/>
            <w:shd w:val="clear" w:color="auto" w:fill="D9D9D9"/>
            <w:vAlign w:val="center"/>
            <w:hideMark/>
          </w:tcPr>
          <w:p w14:paraId="1D66B90A" w14:textId="77777777" w:rsidR="003928B6" w:rsidRPr="004E13E9" w:rsidRDefault="003928B6" w:rsidP="00D47E5E">
            <w:pPr>
              <w:rPr>
                <w:rFonts w:eastAsia="Times New Roman" w:cs="Calibri"/>
                <w:sz w:val="18"/>
                <w:szCs w:val="18"/>
              </w:rPr>
            </w:pPr>
            <w:r w:rsidRPr="004E13E9">
              <w:rPr>
                <w:sz w:val="18"/>
                <w:szCs w:val="18"/>
              </w:rPr>
              <w:t> </w:t>
            </w:r>
          </w:p>
        </w:tc>
        <w:tc>
          <w:tcPr>
            <w:tcW w:w="615" w:type="dxa"/>
            <w:shd w:val="clear" w:color="auto" w:fill="D9D9D9"/>
          </w:tcPr>
          <w:p w14:paraId="08D56B8F" w14:textId="77777777" w:rsidR="003928B6" w:rsidRPr="004E13E9" w:rsidRDefault="003928B6" w:rsidP="00D47E5E">
            <w:pPr>
              <w:rPr>
                <w:rFonts w:eastAsia="Times New Roman" w:cs="Calibri"/>
                <w:sz w:val="18"/>
                <w:szCs w:val="18"/>
                <w:lang w:eastAsia="ja-JP"/>
              </w:rPr>
            </w:pPr>
          </w:p>
        </w:tc>
        <w:tc>
          <w:tcPr>
            <w:tcW w:w="615" w:type="dxa"/>
            <w:shd w:val="clear" w:color="auto" w:fill="D9D9D9"/>
            <w:vAlign w:val="center"/>
            <w:hideMark/>
          </w:tcPr>
          <w:p w14:paraId="7E8C1165" w14:textId="77777777" w:rsidR="003928B6" w:rsidRPr="004E13E9" w:rsidRDefault="003928B6" w:rsidP="00D47E5E">
            <w:pPr>
              <w:rPr>
                <w:rFonts w:eastAsia="Times New Roman" w:cs="Calibri"/>
                <w:sz w:val="18"/>
                <w:szCs w:val="18"/>
              </w:rPr>
            </w:pPr>
            <w:r w:rsidRPr="004E13E9">
              <w:rPr>
                <w:sz w:val="18"/>
                <w:szCs w:val="18"/>
              </w:rPr>
              <w:t> </w:t>
            </w:r>
          </w:p>
        </w:tc>
        <w:tc>
          <w:tcPr>
            <w:tcW w:w="653" w:type="dxa"/>
            <w:shd w:val="clear" w:color="auto" w:fill="D9D9D9"/>
            <w:vAlign w:val="center"/>
            <w:hideMark/>
          </w:tcPr>
          <w:p w14:paraId="5E8439FA" w14:textId="77777777" w:rsidR="003928B6" w:rsidRPr="004E13E9" w:rsidRDefault="003928B6" w:rsidP="00D47E5E">
            <w:pPr>
              <w:rPr>
                <w:rFonts w:eastAsia="Times New Roman" w:cs="Calibri"/>
                <w:sz w:val="18"/>
                <w:szCs w:val="18"/>
              </w:rPr>
            </w:pPr>
            <w:r w:rsidRPr="004E13E9">
              <w:rPr>
                <w:sz w:val="18"/>
                <w:szCs w:val="18"/>
              </w:rPr>
              <w:t> 48,4t</w:t>
            </w:r>
          </w:p>
        </w:tc>
        <w:tc>
          <w:tcPr>
            <w:tcW w:w="851" w:type="dxa"/>
            <w:shd w:val="clear" w:color="auto" w:fill="D9D9D9"/>
            <w:vAlign w:val="center"/>
            <w:hideMark/>
          </w:tcPr>
          <w:p w14:paraId="11B10BCE" w14:textId="77777777" w:rsidR="003928B6" w:rsidRPr="004E13E9" w:rsidRDefault="003928B6" w:rsidP="00D47E5E">
            <w:pPr>
              <w:rPr>
                <w:rFonts w:eastAsia="Times New Roman" w:cs="Calibri"/>
                <w:sz w:val="18"/>
                <w:szCs w:val="18"/>
              </w:rPr>
            </w:pPr>
            <w:r w:rsidRPr="004E13E9">
              <w:rPr>
                <w:sz w:val="18"/>
                <w:szCs w:val="18"/>
              </w:rPr>
              <w:t>63t </w:t>
            </w:r>
          </w:p>
        </w:tc>
        <w:tc>
          <w:tcPr>
            <w:tcW w:w="1201" w:type="dxa"/>
            <w:shd w:val="clear" w:color="auto" w:fill="D9D9D9"/>
            <w:vAlign w:val="center"/>
            <w:hideMark/>
          </w:tcPr>
          <w:p w14:paraId="501EAB76" w14:textId="77777777" w:rsidR="003928B6" w:rsidRPr="004E13E9" w:rsidRDefault="003928B6" w:rsidP="00D47E5E">
            <w:pPr>
              <w:rPr>
                <w:rFonts w:eastAsia="Times New Roman" w:cs="Calibri"/>
                <w:sz w:val="18"/>
                <w:szCs w:val="18"/>
              </w:rPr>
            </w:pPr>
            <w:r w:rsidRPr="004E13E9">
              <w:rPr>
                <w:sz w:val="18"/>
                <w:szCs w:val="18"/>
              </w:rPr>
              <w:t>63t </w:t>
            </w:r>
          </w:p>
        </w:tc>
        <w:tc>
          <w:tcPr>
            <w:tcW w:w="888" w:type="dxa"/>
            <w:shd w:val="clear" w:color="auto" w:fill="D9D9D9"/>
            <w:vAlign w:val="center"/>
            <w:hideMark/>
          </w:tcPr>
          <w:p w14:paraId="43A4AE9A" w14:textId="77777777" w:rsidR="003928B6" w:rsidRPr="004E13E9" w:rsidRDefault="003928B6" w:rsidP="00D47E5E">
            <w:pPr>
              <w:rPr>
                <w:rFonts w:eastAsia="Times New Roman" w:cs="Calibri"/>
                <w:sz w:val="18"/>
                <w:szCs w:val="18"/>
              </w:rPr>
            </w:pPr>
            <w:r w:rsidRPr="004E13E9">
              <w:rPr>
                <w:sz w:val="18"/>
                <w:szCs w:val="18"/>
              </w:rPr>
              <w:t>63t </w:t>
            </w:r>
          </w:p>
        </w:tc>
        <w:tc>
          <w:tcPr>
            <w:tcW w:w="950" w:type="dxa"/>
            <w:shd w:val="clear" w:color="auto" w:fill="D9D9D9"/>
          </w:tcPr>
          <w:p w14:paraId="1FCB1088" w14:textId="77777777" w:rsidR="003928B6" w:rsidRPr="004E13E9" w:rsidRDefault="003928B6" w:rsidP="00D47E5E">
            <w:pPr>
              <w:rPr>
                <w:rFonts w:eastAsia="Times New Roman" w:cs="Calibri"/>
                <w:sz w:val="18"/>
                <w:szCs w:val="18"/>
              </w:rPr>
            </w:pPr>
            <w:r w:rsidRPr="004E13E9">
              <w:rPr>
                <w:sz w:val="18"/>
                <w:szCs w:val="18"/>
              </w:rPr>
              <w:t>230,56t</w:t>
            </w:r>
          </w:p>
        </w:tc>
      </w:tr>
      <w:tr w:rsidR="003928B6" w:rsidRPr="004E13E9" w14:paraId="2E567BF5" w14:textId="77777777" w:rsidTr="00D47E5E">
        <w:trPr>
          <w:trHeight w:val="20"/>
        </w:trPr>
        <w:tc>
          <w:tcPr>
            <w:tcW w:w="2846" w:type="dxa"/>
            <w:shd w:val="clear" w:color="auto" w:fill="D9D9D9"/>
            <w:noWrap/>
            <w:vAlign w:val="center"/>
          </w:tcPr>
          <w:p w14:paraId="3105BCCB" w14:textId="77777777" w:rsidR="003928B6" w:rsidRPr="004E13E9" w:rsidRDefault="003928B6" w:rsidP="00D47E5E">
            <w:pPr>
              <w:rPr>
                <w:b/>
                <w:sz w:val="18"/>
                <w:szCs w:val="18"/>
                <w:lang w:val="fr-FR"/>
              </w:rPr>
            </w:pPr>
            <w:r w:rsidRPr="004E13E9">
              <w:rPr>
                <w:b/>
                <w:sz w:val="18"/>
                <w:szCs w:val="18"/>
                <w:lang w:val="fr-FR"/>
              </w:rPr>
              <w:t xml:space="preserve">Quota ajusté (le cas échéant) </w:t>
            </w:r>
          </w:p>
        </w:tc>
        <w:tc>
          <w:tcPr>
            <w:tcW w:w="2102" w:type="dxa"/>
            <w:shd w:val="clear" w:color="auto" w:fill="D9D9D9"/>
            <w:noWrap/>
            <w:vAlign w:val="center"/>
          </w:tcPr>
          <w:p w14:paraId="4428726A" w14:textId="77777777" w:rsidR="003928B6" w:rsidRPr="004E13E9" w:rsidRDefault="003928B6" w:rsidP="00D47E5E">
            <w:pPr>
              <w:jc w:val="right"/>
              <w:rPr>
                <w:sz w:val="18"/>
                <w:szCs w:val="18"/>
                <w:lang w:val="fr-FR"/>
              </w:rPr>
            </w:pPr>
          </w:p>
        </w:tc>
        <w:tc>
          <w:tcPr>
            <w:tcW w:w="615" w:type="dxa"/>
            <w:shd w:val="clear" w:color="auto" w:fill="D9D9D9"/>
          </w:tcPr>
          <w:p w14:paraId="5EBA2EF6" w14:textId="77777777" w:rsidR="003928B6" w:rsidRPr="004E13E9" w:rsidRDefault="003928B6" w:rsidP="00D47E5E">
            <w:pPr>
              <w:rPr>
                <w:sz w:val="18"/>
                <w:szCs w:val="18"/>
                <w:lang w:val="fr-FR"/>
              </w:rPr>
            </w:pPr>
          </w:p>
        </w:tc>
        <w:tc>
          <w:tcPr>
            <w:tcW w:w="615" w:type="dxa"/>
            <w:shd w:val="clear" w:color="auto" w:fill="D9D9D9"/>
            <w:noWrap/>
            <w:vAlign w:val="center"/>
          </w:tcPr>
          <w:p w14:paraId="27A88722" w14:textId="77777777" w:rsidR="003928B6" w:rsidRPr="004E13E9" w:rsidRDefault="003928B6" w:rsidP="00D47E5E">
            <w:pPr>
              <w:rPr>
                <w:sz w:val="18"/>
                <w:szCs w:val="18"/>
                <w:lang w:val="fr-FR"/>
              </w:rPr>
            </w:pPr>
          </w:p>
        </w:tc>
        <w:tc>
          <w:tcPr>
            <w:tcW w:w="615" w:type="dxa"/>
            <w:shd w:val="clear" w:color="auto" w:fill="D9D9D9"/>
            <w:vAlign w:val="center"/>
          </w:tcPr>
          <w:p w14:paraId="0754EF2F" w14:textId="77777777" w:rsidR="003928B6" w:rsidRPr="004E13E9" w:rsidRDefault="003928B6" w:rsidP="00D47E5E">
            <w:pPr>
              <w:rPr>
                <w:sz w:val="18"/>
                <w:szCs w:val="18"/>
                <w:lang w:val="fr-FR"/>
              </w:rPr>
            </w:pPr>
          </w:p>
        </w:tc>
        <w:tc>
          <w:tcPr>
            <w:tcW w:w="615" w:type="dxa"/>
            <w:shd w:val="clear" w:color="auto" w:fill="D9D9D9"/>
            <w:vAlign w:val="center"/>
          </w:tcPr>
          <w:p w14:paraId="60688AA8" w14:textId="77777777" w:rsidR="003928B6" w:rsidRPr="004E13E9" w:rsidRDefault="003928B6" w:rsidP="00D47E5E">
            <w:pPr>
              <w:rPr>
                <w:sz w:val="18"/>
                <w:szCs w:val="18"/>
                <w:lang w:val="fr-FR"/>
              </w:rPr>
            </w:pPr>
          </w:p>
        </w:tc>
        <w:tc>
          <w:tcPr>
            <w:tcW w:w="615" w:type="dxa"/>
            <w:shd w:val="clear" w:color="auto" w:fill="D9D9D9"/>
            <w:vAlign w:val="center"/>
          </w:tcPr>
          <w:p w14:paraId="259C2BCB" w14:textId="77777777" w:rsidR="003928B6" w:rsidRPr="004E13E9" w:rsidRDefault="003928B6" w:rsidP="00D47E5E">
            <w:pPr>
              <w:rPr>
                <w:sz w:val="18"/>
                <w:szCs w:val="18"/>
                <w:lang w:val="fr-FR"/>
              </w:rPr>
            </w:pPr>
          </w:p>
        </w:tc>
        <w:tc>
          <w:tcPr>
            <w:tcW w:w="615" w:type="dxa"/>
            <w:shd w:val="clear" w:color="auto" w:fill="D9D9D9"/>
          </w:tcPr>
          <w:p w14:paraId="7348DFA3" w14:textId="77777777" w:rsidR="003928B6" w:rsidRPr="004E13E9" w:rsidRDefault="003928B6" w:rsidP="00D47E5E">
            <w:pPr>
              <w:rPr>
                <w:sz w:val="18"/>
                <w:szCs w:val="18"/>
                <w:lang w:val="fr-FR"/>
              </w:rPr>
            </w:pPr>
          </w:p>
        </w:tc>
        <w:tc>
          <w:tcPr>
            <w:tcW w:w="615" w:type="dxa"/>
            <w:shd w:val="clear" w:color="auto" w:fill="D9D9D9"/>
          </w:tcPr>
          <w:p w14:paraId="4DB868B3" w14:textId="77777777" w:rsidR="003928B6" w:rsidRPr="004E13E9" w:rsidRDefault="003928B6" w:rsidP="00D47E5E">
            <w:pPr>
              <w:jc w:val="center"/>
              <w:rPr>
                <w:sz w:val="18"/>
                <w:szCs w:val="18"/>
                <w:lang w:val="fr-FR"/>
              </w:rPr>
            </w:pPr>
          </w:p>
        </w:tc>
        <w:tc>
          <w:tcPr>
            <w:tcW w:w="256" w:type="dxa"/>
            <w:shd w:val="clear" w:color="auto" w:fill="D9D9D9"/>
            <w:vAlign w:val="center"/>
          </w:tcPr>
          <w:p w14:paraId="369577DD" w14:textId="77777777" w:rsidR="003928B6" w:rsidRPr="004E13E9" w:rsidRDefault="003928B6" w:rsidP="00D47E5E">
            <w:pPr>
              <w:rPr>
                <w:sz w:val="18"/>
                <w:szCs w:val="18"/>
                <w:lang w:val="fr-FR"/>
              </w:rPr>
            </w:pPr>
          </w:p>
        </w:tc>
        <w:tc>
          <w:tcPr>
            <w:tcW w:w="615" w:type="dxa"/>
            <w:shd w:val="clear" w:color="auto" w:fill="D9D9D9"/>
          </w:tcPr>
          <w:p w14:paraId="1F243526" w14:textId="77777777" w:rsidR="003928B6" w:rsidRPr="004E13E9" w:rsidRDefault="003928B6" w:rsidP="00D47E5E">
            <w:pPr>
              <w:rPr>
                <w:sz w:val="18"/>
                <w:szCs w:val="18"/>
                <w:lang w:val="fr-FR"/>
              </w:rPr>
            </w:pPr>
          </w:p>
        </w:tc>
        <w:tc>
          <w:tcPr>
            <w:tcW w:w="615" w:type="dxa"/>
            <w:shd w:val="clear" w:color="auto" w:fill="D9D9D9"/>
            <w:vAlign w:val="center"/>
          </w:tcPr>
          <w:p w14:paraId="4B17C0CE" w14:textId="77777777" w:rsidR="003928B6" w:rsidRPr="004E13E9" w:rsidRDefault="003928B6" w:rsidP="00D47E5E">
            <w:pPr>
              <w:rPr>
                <w:sz w:val="18"/>
                <w:szCs w:val="18"/>
                <w:lang w:val="fr-FR"/>
              </w:rPr>
            </w:pPr>
          </w:p>
        </w:tc>
        <w:tc>
          <w:tcPr>
            <w:tcW w:w="653" w:type="dxa"/>
            <w:shd w:val="clear" w:color="auto" w:fill="D9D9D9"/>
            <w:vAlign w:val="center"/>
          </w:tcPr>
          <w:p w14:paraId="694C7C0B" w14:textId="77777777" w:rsidR="003928B6" w:rsidRPr="004E13E9" w:rsidRDefault="003928B6" w:rsidP="00D47E5E">
            <w:pPr>
              <w:rPr>
                <w:sz w:val="18"/>
                <w:szCs w:val="18"/>
                <w:lang w:val="fr-FR"/>
              </w:rPr>
            </w:pPr>
          </w:p>
        </w:tc>
        <w:tc>
          <w:tcPr>
            <w:tcW w:w="851" w:type="dxa"/>
            <w:shd w:val="clear" w:color="auto" w:fill="D9D9D9"/>
            <w:vAlign w:val="center"/>
          </w:tcPr>
          <w:p w14:paraId="363FB0B3" w14:textId="77777777" w:rsidR="003928B6" w:rsidRPr="004E13E9" w:rsidRDefault="003928B6" w:rsidP="00D47E5E">
            <w:pPr>
              <w:rPr>
                <w:sz w:val="18"/>
                <w:szCs w:val="18"/>
              </w:rPr>
            </w:pPr>
            <w:r w:rsidRPr="004E13E9">
              <w:rPr>
                <w:sz w:val="18"/>
                <w:szCs w:val="18"/>
              </w:rPr>
              <w:t>66,42 t</w:t>
            </w:r>
          </w:p>
        </w:tc>
        <w:tc>
          <w:tcPr>
            <w:tcW w:w="1201" w:type="dxa"/>
            <w:shd w:val="clear" w:color="auto" w:fill="D9D9D9"/>
            <w:vAlign w:val="center"/>
          </w:tcPr>
          <w:p w14:paraId="446AA2C9" w14:textId="77777777" w:rsidR="003928B6" w:rsidRPr="004E13E9" w:rsidRDefault="003928B6" w:rsidP="00D47E5E">
            <w:pPr>
              <w:rPr>
                <w:sz w:val="18"/>
                <w:szCs w:val="18"/>
              </w:rPr>
            </w:pPr>
            <w:r w:rsidRPr="004E13E9">
              <w:rPr>
                <w:sz w:val="18"/>
                <w:szCs w:val="18"/>
              </w:rPr>
              <w:t>66,15 t</w:t>
            </w:r>
          </w:p>
        </w:tc>
        <w:tc>
          <w:tcPr>
            <w:tcW w:w="888" w:type="dxa"/>
            <w:shd w:val="clear" w:color="auto" w:fill="D9D9D9"/>
            <w:vAlign w:val="center"/>
          </w:tcPr>
          <w:p w14:paraId="49F3D81A" w14:textId="77777777" w:rsidR="003928B6" w:rsidRPr="004E13E9" w:rsidRDefault="003928B6" w:rsidP="00D47E5E">
            <w:pPr>
              <w:rPr>
                <w:sz w:val="18"/>
                <w:szCs w:val="18"/>
              </w:rPr>
            </w:pPr>
            <w:r w:rsidRPr="004E13E9">
              <w:rPr>
                <w:sz w:val="18"/>
                <w:szCs w:val="18"/>
              </w:rPr>
              <w:t xml:space="preserve">66,15 t </w:t>
            </w:r>
          </w:p>
        </w:tc>
        <w:tc>
          <w:tcPr>
            <w:tcW w:w="950" w:type="dxa"/>
            <w:shd w:val="clear" w:color="auto" w:fill="D9D9D9"/>
          </w:tcPr>
          <w:p w14:paraId="2AB64A8B" w14:textId="77777777" w:rsidR="003928B6" w:rsidRPr="004E13E9" w:rsidRDefault="003928B6" w:rsidP="00D47E5E">
            <w:pPr>
              <w:rPr>
                <w:sz w:val="18"/>
                <w:szCs w:val="18"/>
              </w:rPr>
            </w:pPr>
            <w:r w:rsidRPr="004E13E9">
              <w:rPr>
                <w:sz w:val="18"/>
                <w:szCs w:val="18"/>
              </w:rPr>
              <w:t>243,16 t</w:t>
            </w:r>
          </w:p>
        </w:tc>
      </w:tr>
      <w:tr w:rsidR="003928B6" w:rsidRPr="004E13E9" w14:paraId="63267B62" w14:textId="77777777" w:rsidTr="00D47E5E">
        <w:trPr>
          <w:trHeight w:val="20"/>
        </w:trPr>
        <w:tc>
          <w:tcPr>
            <w:tcW w:w="2846" w:type="dxa"/>
            <w:noWrap/>
            <w:vAlign w:val="center"/>
            <w:hideMark/>
          </w:tcPr>
          <w:p w14:paraId="46DE2817" w14:textId="77777777" w:rsidR="003928B6" w:rsidRPr="004E13E9" w:rsidRDefault="003928B6" w:rsidP="00D47E5E">
            <w:pPr>
              <w:rPr>
                <w:b/>
                <w:sz w:val="18"/>
                <w:szCs w:val="18"/>
                <w:lang w:val="fr-FR"/>
              </w:rPr>
            </w:pPr>
            <w:r w:rsidRPr="004E13E9">
              <w:rPr>
                <w:b/>
                <w:sz w:val="18"/>
                <w:szCs w:val="18"/>
                <w:lang w:val="fr-FR"/>
              </w:rPr>
              <w:t>Pourcentage alloué aux prises accessoires</w:t>
            </w:r>
          </w:p>
        </w:tc>
        <w:tc>
          <w:tcPr>
            <w:tcW w:w="2102" w:type="dxa"/>
            <w:noWrap/>
            <w:vAlign w:val="center"/>
            <w:hideMark/>
          </w:tcPr>
          <w:p w14:paraId="53B4DC23" w14:textId="77777777" w:rsidR="003928B6" w:rsidRPr="004E13E9" w:rsidRDefault="003928B6" w:rsidP="00D47E5E">
            <w:pPr>
              <w:jc w:val="right"/>
              <w:rPr>
                <w:sz w:val="18"/>
                <w:szCs w:val="18"/>
                <w:lang w:val="fr-FR"/>
              </w:rPr>
            </w:pPr>
            <w:r w:rsidRPr="004E13E9">
              <w:rPr>
                <w:sz w:val="18"/>
                <w:szCs w:val="18"/>
                <w:lang w:val="fr-FR"/>
              </w:rPr>
              <w:t> </w:t>
            </w:r>
          </w:p>
        </w:tc>
        <w:tc>
          <w:tcPr>
            <w:tcW w:w="615" w:type="dxa"/>
          </w:tcPr>
          <w:p w14:paraId="5C6E0620" w14:textId="77777777" w:rsidR="003928B6" w:rsidRPr="004E13E9" w:rsidRDefault="003928B6" w:rsidP="00D47E5E">
            <w:pPr>
              <w:rPr>
                <w:sz w:val="18"/>
                <w:szCs w:val="18"/>
                <w:lang w:val="fr-FR"/>
              </w:rPr>
            </w:pPr>
          </w:p>
        </w:tc>
        <w:tc>
          <w:tcPr>
            <w:tcW w:w="615" w:type="dxa"/>
            <w:noWrap/>
            <w:vAlign w:val="center"/>
            <w:hideMark/>
          </w:tcPr>
          <w:p w14:paraId="03EDEA8C" w14:textId="77777777" w:rsidR="003928B6" w:rsidRPr="004E13E9" w:rsidRDefault="003928B6" w:rsidP="00D47E5E">
            <w:pPr>
              <w:rPr>
                <w:sz w:val="18"/>
                <w:szCs w:val="18"/>
                <w:lang w:val="fr-FR"/>
              </w:rPr>
            </w:pPr>
            <w:r w:rsidRPr="004E13E9">
              <w:rPr>
                <w:sz w:val="18"/>
                <w:szCs w:val="18"/>
                <w:lang w:val="fr-FR"/>
              </w:rPr>
              <w:t> </w:t>
            </w:r>
          </w:p>
        </w:tc>
        <w:tc>
          <w:tcPr>
            <w:tcW w:w="615" w:type="dxa"/>
            <w:vAlign w:val="center"/>
            <w:hideMark/>
          </w:tcPr>
          <w:p w14:paraId="594BA612" w14:textId="77777777" w:rsidR="003928B6" w:rsidRPr="004E13E9" w:rsidRDefault="003928B6" w:rsidP="00D47E5E">
            <w:pPr>
              <w:rPr>
                <w:sz w:val="18"/>
                <w:szCs w:val="18"/>
                <w:lang w:val="fr-FR"/>
              </w:rPr>
            </w:pPr>
            <w:r w:rsidRPr="004E13E9">
              <w:rPr>
                <w:sz w:val="18"/>
                <w:szCs w:val="18"/>
                <w:lang w:val="fr-FR"/>
              </w:rPr>
              <w:t> </w:t>
            </w:r>
          </w:p>
        </w:tc>
        <w:tc>
          <w:tcPr>
            <w:tcW w:w="615" w:type="dxa"/>
            <w:vAlign w:val="center"/>
            <w:hideMark/>
          </w:tcPr>
          <w:p w14:paraId="462ED6A2" w14:textId="77777777" w:rsidR="003928B6" w:rsidRPr="004E13E9" w:rsidRDefault="003928B6" w:rsidP="00D47E5E">
            <w:pPr>
              <w:rPr>
                <w:sz w:val="18"/>
                <w:szCs w:val="18"/>
                <w:lang w:val="fr-FR"/>
              </w:rPr>
            </w:pPr>
            <w:r w:rsidRPr="004E13E9">
              <w:rPr>
                <w:sz w:val="18"/>
                <w:szCs w:val="18"/>
                <w:lang w:val="fr-FR"/>
              </w:rPr>
              <w:t> </w:t>
            </w:r>
          </w:p>
        </w:tc>
        <w:tc>
          <w:tcPr>
            <w:tcW w:w="615" w:type="dxa"/>
            <w:vAlign w:val="center"/>
            <w:hideMark/>
          </w:tcPr>
          <w:p w14:paraId="0DECD361" w14:textId="77777777" w:rsidR="003928B6" w:rsidRPr="004E13E9" w:rsidRDefault="003928B6" w:rsidP="00D47E5E">
            <w:pPr>
              <w:rPr>
                <w:sz w:val="18"/>
                <w:szCs w:val="18"/>
                <w:lang w:val="fr-FR"/>
              </w:rPr>
            </w:pPr>
            <w:r w:rsidRPr="004E13E9">
              <w:rPr>
                <w:sz w:val="18"/>
                <w:szCs w:val="18"/>
                <w:lang w:val="fr-FR"/>
              </w:rPr>
              <w:t> </w:t>
            </w:r>
          </w:p>
        </w:tc>
        <w:tc>
          <w:tcPr>
            <w:tcW w:w="615" w:type="dxa"/>
          </w:tcPr>
          <w:p w14:paraId="5175F180" w14:textId="77777777" w:rsidR="003928B6" w:rsidRPr="004E13E9" w:rsidRDefault="003928B6" w:rsidP="00D47E5E">
            <w:pPr>
              <w:rPr>
                <w:sz w:val="18"/>
                <w:szCs w:val="18"/>
                <w:lang w:val="fr-FR"/>
              </w:rPr>
            </w:pPr>
          </w:p>
        </w:tc>
        <w:tc>
          <w:tcPr>
            <w:tcW w:w="615" w:type="dxa"/>
          </w:tcPr>
          <w:p w14:paraId="34BE9D5B" w14:textId="77777777" w:rsidR="003928B6" w:rsidRPr="004E13E9" w:rsidRDefault="003928B6" w:rsidP="00D47E5E">
            <w:pPr>
              <w:jc w:val="center"/>
              <w:rPr>
                <w:sz w:val="18"/>
                <w:szCs w:val="18"/>
                <w:lang w:val="fr-FR"/>
              </w:rPr>
            </w:pPr>
          </w:p>
        </w:tc>
        <w:tc>
          <w:tcPr>
            <w:tcW w:w="256" w:type="dxa"/>
            <w:shd w:val="clear" w:color="000000" w:fill="D9D9D9"/>
            <w:vAlign w:val="center"/>
            <w:hideMark/>
          </w:tcPr>
          <w:p w14:paraId="0FA78E71" w14:textId="77777777" w:rsidR="003928B6" w:rsidRPr="004E13E9" w:rsidRDefault="003928B6" w:rsidP="00D47E5E">
            <w:pPr>
              <w:rPr>
                <w:sz w:val="18"/>
                <w:szCs w:val="18"/>
                <w:lang w:val="fr-FR"/>
              </w:rPr>
            </w:pPr>
            <w:r w:rsidRPr="004E13E9">
              <w:rPr>
                <w:sz w:val="18"/>
                <w:szCs w:val="18"/>
                <w:lang w:val="fr-FR"/>
              </w:rPr>
              <w:t> </w:t>
            </w:r>
          </w:p>
        </w:tc>
        <w:tc>
          <w:tcPr>
            <w:tcW w:w="615" w:type="dxa"/>
          </w:tcPr>
          <w:p w14:paraId="2A104B7C" w14:textId="77777777" w:rsidR="003928B6" w:rsidRPr="004E13E9" w:rsidRDefault="003928B6" w:rsidP="00D47E5E">
            <w:pPr>
              <w:rPr>
                <w:sz w:val="18"/>
                <w:szCs w:val="18"/>
                <w:lang w:val="fr-FR"/>
              </w:rPr>
            </w:pPr>
          </w:p>
        </w:tc>
        <w:tc>
          <w:tcPr>
            <w:tcW w:w="615" w:type="dxa"/>
            <w:vAlign w:val="center"/>
            <w:hideMark/>
          </w:tcPr>
          <w:p w14:paraId="4E2CA3FF" w14:textId="77777777" w:rsidR="003928B6" w:rsidRPr="004E13E9" w:rsidRDefault="003928B6" w:rsidP="00D47E5E">
            <w:pPr>
              <w:rPr>
                <w:sz w:val="18"/>
                <w:szCs w:val="18"/>
                <w:lang w:val="fr-FR"/>
              </w:rPr>
            </w:pPr>
            <w:r w:rsidRPr="004E13E9">
              <w:rPr>
                <w:sz w:val="18"/>
                <w:szCs w:val="18"/>
                <w:lang w:val="fr-FR"/>
              </w:rPr>
              <w:t> </w:t>
            </w:r>
          </w:p>
        </w:tc>
        <w:tc>
          <w:tcPr>
            <w:tcW w:w="653" w:type="dxa"/>
            <w:vAlign w:val="center"/>
            <w:hideMark/>
          </w:tcPr>
          <w:p w14:paraId="219C4036" w14:textId="77777777" w:rsidR="003928B6" w:rsidRPr="004E13E9" w:rsidRDefault="003928B6" w:rsidP="00D47E5E">
            <w:pPr>
              <w:rPr>
                <w:sz w:val="18"/>
                <w:szCs w:val="18"/>
              </w:rPr>
            </w:pPr>
            <w:r w:rsidRPr="004E13E9">
              <w:rPr>
                <w:sz w:val="18"/>
                <w:szCs w:val="18"/>
                <w:lang w:val="fr-FR"/>
              </w:rPr>
              <w:t> </w:t>
            </w:r>
            <w:r w:rsidRPr="004E13E9">
              <w:rPr>
                <w:sz w:val="18"/>
                <w:szCs w:val="18"/>
              </w:rPr>
              <w:t>41%</w:t>
            </w:r>
          </w:p>
        </w:tc>
        <w:tc>
          <w:tcPr>
            <w:tcW w:w="851" w:type="dxa"/>
            <w:vAlign w:val="center"/>
            <w:hideMark/>
          </w:tcPr>
          <w:p w14:paraId="0258118A" w14:textId="77777777" w:rsidR="003928B6" w:rsidRPr="004E13E9" w:rsidRDefault="003928B6" w:rsidP="00D47E5E">
            <w:pPr>
              <w:rPr>
                <w:sz w:val="18"/>
                <w:szCs w:val="18"/>
              </w:rPr>
            </w:pPr>
            <w:r w:rsidRPr="004E13E9">
              <w:rPr>
                <w:sz w:val="18"/>
                <w:szCs w:val="18"/>
              </w:rPr>
              <w:t>23% </w:t>
            </w:r>
          </w:p>
        </w:tc>
        <w:tc>
          <w:tcPr>
            <w:tcW w:w="1201" w:type="dxa"/>
            <w:vAlign w:val="center"/>
            <w:hideMark/>
          </w:tcPr>
          <w:p w14:paraId="07A59E46" w14:textId="77777777" w:rsidR="003928B6" w:rsidRPr="004E13E9" w:rsidRDefault="003928B6" w:rsidP="00D47E5E">
            <w:pPr>
              <w:rPr>
                <w:sz w:val="18"/>
                <w:szCs w:val="18"/>
              </w:rPr>
            </w:pPr>
            <w:r w:rsidRPr="004E13E9">
              <w:rPr>
                <w:sz w:val="18"/>
                <w:szCs w:val="18"/>
              </w:rPr>
              <w:t>15% </w:t>
            </w:r>
          </w:p>
        </w:tc>
        <w:tc>
          <w:tcPr>
            <w:tcW w:w="888" w:type="dxa"/>
            <w:vAlign w:val="center"/>
            <w:hideMark/>
          </w:tcPr>
          <w:p w14:paraId="77B58D50" w14:textId="77777777" w:rsidR="003928B6" w:rsidRPr="004E13E9" w:rsidRDefault="003928B6" w:rsidP="00D47E5E">
            <w:pPr>
              <w:rPr>
                <w:sz w:val="18"/>
                <w:szCs w:val="18"/>
              </w:rPr>
            </w:pPr>
            <w:r w:rsidRPr="004E13E9">
              <w:rPr>
                <w:sz w:val="18"/>
                <w:szCs w:val="18"/>
              </w:rPr>
              <w:t>11% </w:t>
            </w:r>
          </w:p>
        </w:tc>
        <w:tc>
          <w:tcPr>
            <w:tcW w:w="950" w:type="dxa"/>
          </w:tcPr>
          <w:p w14:paraId="0AFB3B81" w14:textId="77777777" w:rsidR="003928B6" w:rsidRPr="004E13E9" w:rsidRDefault="003928B6" w:rsidP="00D47E5E">
            <w:pPr>
              <w:rPr>
                <w:sz w:val="18"/>
                <w:szCs w:val="18"/>
              </w:rPr>
            </w:pPr>
            <w:r w:rsidRPr="004E13E9">
              <w:rPr>
                <w:sz w:val="18"/>
                <w:szCs w:val="18"/>
              </w:rPr>
              <w:t>4,34%</w:t>
            </w:r>
          </w:p>
        </w:tc>
      </w:tr>
      <w:tr w:rsidR="003928B6" w:rsidRPr="004E13E9" w14:paraId="09BE333D" w14:textId="77777777" w:rsidTr="00D47E5E">
        <w:trPr>
          <w:trHeight w:val="20"/>
        </w:trPr>
        <w:tc>
          <w:tcPr>
            <w:tcW w:w="2846" w:type="dxa"/>
            <w:noWrap/>
            <w:vAlign w:val="center"/>
          </w:tcPr>
          <w:p w14:paraId="56584F4B" w14:textId="77777777" w:rsidR="003928B6" w:rsidRPr="004E13E9" w:rsidRDefault="003928B6" w:rsidP="00D47E5E">
            <w:pPr>
              <w:rPr>
                <w:rFonts w:eastAsia="Times New Roman" w:cs="Calibri"/>
                <w:b/>
                <w:bCs/>
                <w:sz w:val="18"/>
                <w:szCs w:val="18"/>
              </w:rPr>
            </w:pPr>
            <w:r w:rsidRPr="004E13E9">
              <w:rPr>
                <w:b/>
                <w:sz w:val="18"/>
                <w:szCs w:val="18"/>
              </w:rPr>
              <w:t xml:space="preserve">Allocation aux </w:t>
            </w:r>
            <w:proofErr w:type="spellStart"/>
            <w:r w:rsidRPr="004E13E9">
              <w:rPr>
                <w:b/>
                <w:sz w:val="18"/>
                <w:szCs w:val="18"/>
              </w:rPr>
              <w:t>prises</w:t>
            </w:r>
            <w:proofErr w:type="spellEnd"/>
            <w:r w:rsidRPr="004E13E9">
              <w:rPr>
                <w:b/>
                <w:sz w:val="18"/>
                <w:szCs w:val="18"/>
              </w:rPr>
              <w:t xml:space="preserve"> </w:t>
            </w:r>
            <w:proofErr w:type="spellStart"/>
            <w:r w:rsidRPr="004E13E9">
              <w:rPr>
                <w:b/>
                <w:sz w:val="18"/>
                <w:szCs w:val="18"/>
              </w:rPr>
              <w:t>accessoires</w:t>
            </w:r>
            <w:proofErr w:type="spellEnd"/>
          </w:p>
        </w:tc>
        <w:tc>
          <w:tcPr>
            <w:tcW w:w="2102" w:type="dxa"/>
            <w:noWrap/>
            <w:vAlign w:val="center"/>
          </w:tcPr>
          <w:p w14:paraId="14E6D148" w14:textId="77777777" w:rsidR="003928B6" w:rsidRPr="004E13E9" w:rsidRDefault="003928B6" w:rsidP="00D47E5E">
            <w:pPr>
              <w:jc w:val="right"/>
              <w:rPr>
                <w:rFonts w:eastAsia="Times New Roman" w:cs="Calibri"/>
                <w:sz w:val="18"/>
                <w:szCs w:val="18"/>
                <w:lang w:eastAsia="ja-JP"/>
              </w:rPr>
            </w:pPr>
          </w:p>
        </w:tc>
        <w:tc>
          <w:tcPr>
            <w:tcW w:w="615" w:type="dxa"/>
          </w:tcPr>
          <w:p w14:paraId="75F7733F" w14:textId="77777777" w:rsidR="003928B6" w:rsidRPr="004E13E9" w:rsidRDefault="003928B6" w:rsidP="00D47E5E">
            <w:pPr>
              <w:rPr>
                <w:rFonts w:eastAsia="Times New Roman" w:cs="Calibri"/>
                <w:sz w:val="18"/>
                <w:szCs w:val="18"/>
                <w:lang w:eastAsia="ja-JP"/>
              </w:rPr>
            </w:pPr>
          </w:p>
        </w:tc>
        <w:tc>
          <w:tcPr>
            <w:tcW w:w="615" w:type="dxa"/>
            <w:noWrap/>
            <w:vAlign w:val="center"/>
          </w:tcPr>
          <w:p w14:paraId="310D2BA7" w14:textId="77777777" w:rsidR="003928B6" w:rsidRPr="004E13E9" w:rsidRDefault="003928B6" w:rsidP="00D47E5E">
            <w:pPr>
              <w:rPr>
                <w:rFonts w:eastAsia="Times New Roman" w:cs="Calibri"/>
                <w:sz w:val="18"/>
                <w:szCs w:val="18"/>
                <w:lang w:eastAsia="ja-JP"/>
              </w:rPr>
            </w:pPr>
          </w:p>
        </w:tc>
        <w:tc>
          <w:tcPr>
            <w:tcW w:w="615" w:type="dxa"/>
            <w:vAlign w:val="center"/>
          </w:tcPr>
          <w:p w14:paraId="61507192" w14:textId="77777777" w:rsidR="003928B6" w:rsidRPr="004E13E9" w:rsidRDefault="003928B6" w:rsidP="00D47E5E">
            <w:pPr>
              <w:rPr>
                <w:rFonts w:eastAsia="Times New Roman" w:cs="Calibri"/>
                <w:sz w:val="18"/>
                <w:szCs w:val="18"/>
                <w:lang w:eastAsia="ja-JP"/>
              </w:rPr>
            </w:pPr>
          </w:p>
        </w:tc>
        <w:tc>
          <w:tcPr>
            <w:tcW w:w="615" w:type="dxa"/>
            <w:vAlign w:val="center"/>
          </w:tcPr>
          <w:p w14:paraId="6621C7F3" w14:textId="77777777" w:rsidR="003928B6" w:rsidRPr="004E13E9" w:rsidRDefault="003928B6" w:rsidP="00D47E5E">
            <w:pPr>
              <w:rPr>
                <w:rFonts w:eastAsia="Times New Roman" w:cs="Calibri"/>
                <w:sz w:val="18"/>
                <w:szCs w:val="18"/>
                <w:lang w:eastAsia="ja-JP"/>
              </w:rPr>
            </w:pPr>
          </w:p>
        </w:tc>
        <w:tc>
          <w:tcPr>
            <w:tcW w:w="615" w:type="dxa"/>
            <w:vAlign w:val="center"/>
          </w:tcPr>
          <w:p w14:paraId="3900B448" w14:textId="77777777" w:rsidR="003928B6" w:rsidRPr="004E13E9" w:rsidRDefault="003928B6" w:rsidP="00D47E5E">
            <w:pPr>
              <w:rPr>
                <w:rFonts w:eastAsia="Times New Roman" w:cs="Calibri"/>
                <w:sz w:val="18"/>
                <w:szCs w:val="18"/>
                <w:lang w:eastAsia="ja-JP"/>
              </w:rPr>
            </w:pPr>
          </w:p>
        </w:tc>
        <w:tc>
          <w:tcPr>
            <w:tcW w:w="615" w:type="dxa"/>
          </w:tcPr>
          <w:p w14:paraId="6B11036C" w14:textId="77777777" w:rsidR="003928B6" w:rsidRPr="004E13E9" w:rsidRDefault="003928B6" w:rsidP="00D47E5E">
            <w:pPr>
              <w:rPr>
                <w:rFonts w:eastAsia="Times New Roman" w:cs="Calibri"/>
                <w:sz w:val="18"/>
                <w:szCs w:val="18"/>
                <w:lang w:eastAsia="ja-JP"/>
              </w:rPr>
            </w:pPr>
          </w:p>
        </w:tc>
        <w:tc>
          <w:tcPr>
            <w:tcW w:w="615" w:type="dxa"/>
          </w:tcPr>
          <w:p w14:paraId="06BD3B34" w14:textId="77777777" w:rsidR="003928B6" w:rsidRPr="004E13E9" w:rsidRDefault="003928B6" w:rsidP="00D47E5E">
            <w:pPr>
              <w:jc w:val="center"/>
              <w:rPr>
                <w:rFonts w:eastAsia="Times New Roman" w:cs="Calibri"/>
                <w:sz w:val="18"/>
                <w:szCs w:val="18"/>
                <w:lang w:eastAsia="ja-JP"/>
              </w:rPr>
            </w:pPr>
          </w:p>
        </w:tc>
        <w:tc>
          <w:tcPr>
            <w:tcW w:w="256" w:type="dxa"/>
            <w:shd w:val="clear" w:color="000000" w:fill="D9D9D9"/>
            <w:vAlign w:val="center"/>
          </w:tcPr>
          <w:p w14:paraId="2494DBD6" w14:textId="77777777" w:rsidR="003928B6" w:rsidRPr="004E13E9" w:rsidRDefault="003928B6" w:rsidP="00D47E5E">
            <w:pPr>
              <w:rPr>
                <w:rFonts w:eastAsia="Times New Roman" w:cs="Calibri"/>
                <w:sz w:val="18"/>
                <w:szCs w:val="18"/>
                <w:lang w:eastAsia="ja-JP"/>
              </w:rPr>
            </w:pPr>
          </w:p>
        </w:tc>
        <w:tc>
          <w:tcPr>
            <w:tcW w:w="615" w:type="dxa"/>
          </w:tcPr>
          <w:p w14:paraId="7DC25F14" w14:textId="77777777" w:rsidR="003928B6" w:rsidRPr="004E13E9" w:rsidRDefault="003928B6" w:rsidP="00D47E5E">
            <w:pPr>
              <w:rPr>
                <w:rFonts w:eastAsia="Times New Roman" w:cs="Calibri"/>
                <w:sz w:val="18"/>
                <w:szCs w:val="18"/>
                <w:lang w:eastAsia="ja-JP"/>
              </w:rPr>
            </w:pPr>
          </w:p>
        </w:tc>
        <w:tc>
          <w:tcPr>
            <w:tcW w:w="615" w:type="dxa"/>
            <w:vAlign w:val="center"/>
          </w:tcPr>
          <w:p w14:paraId="24C68744" w14:textId="77777777" w:rsidR="003928B6" w:rsidRPr="004E13E9" w:rsidRDefault="003928B6" w:rsidP="00D47E5E">
            <w:pPr>
              <w:rPr>
                <w:rFonts w:eastAsia="Times New Roman" w:cs="Calibri"/>
                <w:sz w:val="18"/>
                <w:szCs w:val="18"/>
                <w:lang w:eastAsia="ja-JP"/>
              </w:rPr>
            </w:pPr>
          </w:p>
        </w:tc>
        <w:tc>
          <w:tcPr>
            <w:tcW w:w="653" w:type="dxa"/>
            <w:vAlign w:val="center"/>
          </w:tcPr>
          <w:p w14:paraId="6F3FFF10" w14:textId="77777777" w:rsidR="003928B6" w:rsidRPr="004E13E9" w:rsidRDefault="003928B6" w:rsidP="00D47E5E">
            <w:pPr>
              <w:rPr>
                <w:rFonts w:eastAsia="Times New Roman" w:cs="Calibri"/>
                <w:sz w:val="18"/>
                <w:szCs w:val="18"/>
                <w:lang w:eastAsia="ja-JP"/>
              </w:rPr>
            </w:pPr>
          </w:p>
        </w:tc>
        <w:tc>
          <w:tcPr>
            <w:tcW w:w="851" w:type="dxa"/>
            <w:vAlign w:val="center"/>
          </w:tcPr>
          <w:p w14:paraId="0528EDF8" w14:textId="77777777" w:rsidR="003928B6" w:rsidRPr="004E13E9" w:rsidRDefault="003928B6" w:rsidP="00D47E5E">
            <w:pPr>
              <w:rPr>
                <w:rFonts w:eastAsia="Times New Roman" w:cs="Calibri"/>
                <w:sz w:val="18"/>
                <w:szCs w:val="18"/>
              </w:rPr>
            </w:pPr>
            <w:r w:rsidRPr="004E13E9">
              <w:rPr>
                <w:sz w:val="18"/>
                <w:szCs w:val="18"/>
              </w:rPr>
              <w:t>14t</w:t>
            </w:r>
          </w:p>
        </w:tc>
        <w:tc>
          <w:tcPr>
            <w:tcW w:w="1201" w:type="dxa"/>
            <w:vAlign w:val="center"/>
          </w:tcPr>
          <w:p w14:paraId="0E3DFEF7" w14:textId="77777777" w:rsidR="003928B6" w:rsidRPr="004E13E9" w:rsidRDefault="003928B6" w:rsidP="00D47E5E">
            <w:pPr>
              <w:rPr>
                <w:rFonts w:eastAsia="Times New Roman" w:cs="Calibri"/>
                <w:sz w:val="18"/>
                <w:szCs w:val="18"/>
              </w:rPr>
            </w:pPr>
            <w:r w:rsidRPr="004E13E9">
              <w:rPr>
                <w:sz w:val="18"/>
                <w:szCs w:val="18"/>
              </w:rPr>
              <w:t>9,15 t</w:t>
            </w:r>
          </w:p>
        </w:tc>
        <w:tc>
          <w:tcPr>
            <w:tcW w:w="888" w:type="dxa"/>
            <w:vAlign w:val="center"/>
          </w:tcPr>
          <w:p w14:paraId="7B6B0239" w14:textId="77777777" w:rsidR="003928B6" w:rsidRPr="004E13E9" w:rsidRDefault="003928B6" w:rsidP="00D47E5E">
            <w:pPr>
              <w:rPr>
                <w:rFonts w:eastAsia="Times New Roman" w:cs="Calibri"/>
                <w:sz w:val="18"/>
                <w:szCs w:val="18"/>
              </w:rPr>
            </w:pPr>
            <w:r w:rsidRPr="004E13E9">
              <w:rPr>
                <w:sz w:val="18"/>
                <w:szCs w:val="18"/>
              </w:rPr>
              <w:t>7,15 t</w:t>
            </w:r>
          </w:p>
        </w:tc>
        <w:tc>
          <w:tcPr>
            <w:tcW w:w="950" w:type="dxa"/>
          </w:tcPr>
          <w:p w14:paraId="53414343" w14:textId="77777777" w:rsidR="003928B6" w:rsidRPr="004E13E9" w:rsidRDefault="003928B6" w:rsidP="00D47E5E">
            <w:pPr>
              <w:rPr>
                <w:rFonts w:eastAsia="Times New Roman" w:cs="Calibri"/>
                <w:sz w:val="18"/>
                <w:szCs w:val="18"/>
              </w:rPr>
            </w:pPr>
            <w:r w:rsidRPr="004E13E9">
              <w:rPr>
                <w:sz w:val="18"/>
                <w:szCs w:val="18"/>
              </w:rPr>
              <w:t>10 t</w:t>
            </w:r>
          </w:p>
        </w:tc>
      </w:tr>
      <w:tr w:rsidR="003928B6" w:rsidRPr="004E13E9" w14:paraId="73E30B90" w14:textId="77777777" w:rsidTr="00D47E5E">
        <w:trPr>
          <w:trHeight w:val="20"/>
        </w:trPr>
        <w:tc>
          <w:tcPr>
            <w:tcW w:w="2846" w:type="dxa"/>
            <w:vAlign w:val="center"/>
          </w:tcPr>
          <w:p w14:paraId="60C07317" w14:textId="77777777" w:rsidR="003928B6" w:rsidRPr="004E13E9" w:rsidRDefault="003928B6" w:rsidP="00D47E5E">
            <w:pPr>
              <w:rPr>
                <w:rFonts w:eastAsia="Times New Roman" w:cs="Calibri"/>
                <w:b/>
                <w:bCs/>
                <w:sz w:val="18"/>
                <w:szCs w:val="18"/>
                <w:lang w:val="fr-FR"/>
              </w:rPr>
            </w:pPr>
            <w:r w:rsidRPr="004E13E9">
              <w:rPr>
                <w:b/>
                <w:sz w:val="18"/>
                <w:szCs w:val="18"/>
                <w:lang w:val="fr-FR"/>
              </w:rPr>
              <w:t>Quota de recherche scientifique</w:t>
            </w:r>
          </w:p>
          <w:p w14:paraId="520C2194" w14:textId="77777777" w:rsidR="003928B6" w:rsidRPr="004E13E9" w:rsidRDefault="003928B6" w:rsidP="00D47E5E">
            <w:pPr>
              <w:rPr>
                <w:b/>
                <w:sz w:val="18"/>
                <w:szCs w:val="18"/>
                <w:lang w:val="fr-FR"/>
              </w:rPr>
            </w:pPr>
            <w:r w:rsidRPr="004E13E9">
              <w:rPr>
                <w:b/>
                <w:sz w:val="18"/>
                <w:szCs w:val="18"/>
                <w:lang w:val="fr-FR"/>
              </w:rPr>
              <w:t>(le cas échéant)</w:t>
            </w:r>
          </w:p>
        </w:tc>
        <w:tc>
          <w:tcPr>
            <w:tcW w:w="2102" w:type="dxa"/>
            <w:noWrap/>
            <w:vAlign w:val="center"/>
          </w:tcPr>
          <w:p w14:paraId="36711E02" w14:textId="77777777" w:rsidR="003928B6" w:rsidRPr="004E13E9" w:rsidRDefault="003928B6" w:rsidP="00D47E5E">
            <w:pPr>
              <w:jc w:val="right"/>
              <w:rPr>
                <w:b/>
                <w:sz w:val="18"/>
                <w:szCs w:val="18"/>
                <w:lang w:val="fr-FR"/>
              </w:rPr>
            </w:pPr>
          </w:p>
        </w:tc>
        <w:tc>
          <w:tcPr>
            <w:tcW w:w="615" w:type="dxa"/>
          </w:tcPr>
          <w:p w14:paraId="2C98F424" w14:textId="77777777" w:rsidR="003928B6" w:rsidRPr="004E13E9" w:rsidRDefault="003928B6" w:rsidP="00D47E5E">
            <w:pPr>
              <w:rPr>
                <w:b/>
                <w:sz w:val="18"/>
                <w:szCs w:val="18"/>
                <w:lang w:val="fr-FR"/>
              </w:rPr>
            </w:pPr>
          </w:p>
        </w:tc>
        <w:tc>
          <w:tcPr>
            <w:tcW w:w="615" w:type="dxa"/>
            <w:noWrap/>
            <w:vAlign w:val="center"/>
          </w:tcPr>
          <w:p w14:paraId="02DAD283" w14:textId="77777777" w:rsidR="003928B6" w:rsidRPr="004E13E9" w:rsidRDefault="003928B6" w:rsidP="00D47E5E">
            <w:pPr>
              <w:rPr>
                <w:b/>
                <w:sz w:val="18"/>
                <w:szCs w:val="18"/>
                <w:lang w:val="fr-FR"/>
              </w:rPr>
            </w:pPr>
          </w:p>
        </w:tc>
        <w:tc>
          <w:tcPr>
            <w:tcW w:w="615" w:type="dxa"/>
            <w:vAlign w:val="center"/>
          </w:tcPr>
          <w:p w14:paraId="1FCA9F5E" w14:textId="77777777" w:rsidR="003928B6" w:rsidRPr="004E13E9" w:rsidRDefault="003928B6" w:rsidP="00D47E5E">
            <w:pPr>
              <w:rPr>
                <w:b/>
                <w:sz w:val="18"/>
                <w:szCs w:val="18"/>
                <w:lang w:val="fr-FR"/>
              </w:rPr>
            </w:pPr>
          </w:p>
        </w:tc>
        <w:tc>
          <w:tcPr>
            <w:tcW w:w="615" w:type="dxa"/>
            <w:vAlign w:val="center"/>
          </w:tcPr>
          <w:p w14:paraId="3B50A055" w14:textId="77777777" w:rsidR="003928B6" w:rsidRPr="004E13E9" w:rsidRDefault="003928B6" w:rsidP="00D47E5E">
            <w:pPr>
              <w:rPr>
                <w:b/>
                <w:sz w:val="18"/>
                <w:szCs w:val="18"/>
                <w:lang w:val="fr-FR"/>
              </w:rPr>
            </w:pPr>
          </w:p>
        </w:tc>
        <w:tc>
          <w:tcPr>
            <w:tcW w:w="615" w:type="dxa"/>
            <w:vAlign w:val="center"/>
          </w:tcPr>
          <w:p w14:paraId="1F23BCCA" w14:textId="77777777" w:rsidR="003928B6" w:rsidRPr="004E13E9" w:rsidRDefault="003928B6" w:rsidP="00D47E5E">
            <w:pPr>
              <w:rPr>
                <w:b/>
                <w:sz w:val="18"/>
                <w:szCs w:val="18"/>
                <w:lang w:val="fr-FR"/>
              </w:rPr>
            </w:pPr>
          </w:p>
        </w:tc>
        <w:tc>
          <w:tcPr>
            <w:tcW w:w="615" w:type="dxa"/>
          </w:tcPr>
          <w:p w14:paraId="390E580A" w14:textId="77777777" w:rsidR="003928B6" w:rsidRPr="004E13E9" w:rsidRDefault="003928B6" w:rsidP="00D47E5E">
            <w:pPr>
              <w:rPr>
                <w:b/>
                <w:sz w:val="18"/>
                <w:szCs w:val="18"/>
                <w:lang w:val="fr-FR"/>
              </w:rPr>
            </w:pPr>
          </w:p>
        </w:tc>
        <w:tc>
          <w:tcPr>
            <w:tcW w:w="615" w:type="dxa"/>
          </w:tcPr>
          <w:p w14:paraId="76545C7C" w14:textId="77777777" w:rsidR="003928B6" w:rsidRPr="004E13E9" w:rsidRDefault="003928B6" w:rsidP="00D47E5E">
            <w:pPr>
              <w:jc w:val="center"/>
              <w:rPr>
                <w:sz w:val="18"/>
                <w:szCs w:val="18"/>
                <w:lang w:val="fr-FR"/>
              </w:rPr>
            </w:pPr>
          </w:p>
        </w:tc>
        <w:tc>
          <w:tcPr>
            <w:tcW w:w="256" w:type="dxa"/>
            <w:shd w:val="clear" w:color="000000" w:fill="D9D9D9"/>
            <w:vAlign w:val="center"/>
          </w:tcPr>
          <w:p w14:paraId="1D6CED9F" w14:textId="77777777" w:rsidR="003928B6" w:rsidRPr="004E13E9" w:rsidRDefault="003928B6" w:rsidP="00D47E5E">
            <w:pPr>
              <w:rPr>
                <w:b/>
                <w:sz w:val="18"/>
                <w:szCs w:val="18"/>
                <w:lang w:val="fr-FR"/>
              </w:rPr>
            </w:pPr>
          </w:p>
        </w:tc>
        <w:tc>
          <w:tcPr>
            <w:tcW w:w="615" w:type="dxa"/>
          </w:tcPr>
          <w:p w14:paraId="76E4A7E1" w14:textId="77777777" w:rsidR="003928B6" w:rsidRPr="004E13E9" w:rsidRDefault="003928B6" w:rsidP="00D47E5E">
            <w:pPr>
              <w:rPr>
                <w:b/>
                <w:sz w:val="18"/>
                <w:szCs w:val="18"/>
                <w:lang w:val="fr-FR"/>
              </w:rPr>
            </w:pPr>
          </w:p>
        </w:tc>
        <w:tc>
          <w:tcPr>
            <w:tcW w:w="615" w:type="dxa"/>
            <w:vAlign w:val="center"/>
          </w:tcPr>
          <w:p w14:paraId="3D0948A4" w14:textId="77777777" w:rsidR="003928B6" w:rsidRPr="004E13E9" w:rsidRDefault="003928B6" w:rsidP="00D47E5E">
            <w:pPr>
              <w:rPr>
                <w:b/>
                <w:sz w:val="18"/>
                <w:szCs w:val="18"/>
                <w:lang w:val="fr-FR"/>
              </w:rPr>
            </w:pPr>
          </w:p>
        </w:tc>
        <w:tc>
          <w:tcPr>
            <w:tcW w:w="653" w:type="dxa"/>
            <w:vAlign w:val="center"/>
          </w:tcPr>
          <w:p w14:paraId="2834969E" w14:textId="77777777" w:rsidR="003928B6" w:rsidRPr="004E13E9" w:rsidRDefault="003928B6" w:rsidP="00D47E5E">
            <w:pPr>
              <w:rPr>
                <w:b/>
                <w:sz w:val="18"/>
                <w:szCs w:val="18"/>
                <w:lang w:val="fr-FR"/>
              </w:rPr>
            </w:pPr>
          </w:p>
        </w:tc>
        <w:tc>
          <w:tcPr>
            <w:tcW w:w="851" w:type="dxa"/>
            <w:noWrap/>
            <w:vAlign w:val="center"/>
          </w:tcPr>
          <w:p w14:paraId="0482F97A" w14:textId="77777777" w:rsidR="003928B6" w:rsidRPr="004E13E9" w:rsidRDefault="003928B6" w:rsidP="00D47E5E">
            <w:pPr>
              <w:rPr>
                <w:b/>
                <w:sz w:val="18"/>
                <w:szCs w:val="18"/>
              </w:rPr>
            </w:pPr>
            <w:r w:rsidRPr="004E13E9">
              <w:rPr>
                <w:b/>
                <w:sz w:val="18"/>
                <w:szCs w:val="18"/>
              </w:rPr>
              <w:t>10 t</w:t>
            </w:r>
          </w:p>
        </w:tc>
        <w:tc>
          <w:tcPr>
            <w:tcW w:w="1201" w:type="dxa"/>
            <w:noWrap/>
            <w:vAlign w:val="center"/>
          </w:tcPr>
          <w:p w14:paraId="2FA97B23" w14:textId="77777777" w:rsidR="003928B6" w:rsidRPr="004E13E9" w:rsidRDefault="003928B6" w:rsidP="00D47E5E">
            <w:pPr>
              <w:rPr>
                <w:b/>
                <w:sz w:val="18"/>
                <w:szCs w:val="18"/>
              </w:rPr>
            </w:pPr>
            <w:r w:rsidRPr="004E13E9">
              <w:rPr>
                <w:b/>
                <w:sz w:val="18"/>
                <w:szCs w:val="18"/>
              </w:rPr>
              <w:t>1 t</w:t>
            </w:r>
          </w:p>
        </w:tc>
        <w:tc>
          <w:tcPr>
            <w:tcW w:w="888" w:type="dxa"/>
            <w:noWrap/>
            <w:vAlign w:val="center"/>
          </w:tcPr>
          <w:p w14:paraId="13E5C1F0" w14:textId="77777777" w:rsidR="003928B6" w:rsidRPr="004E13E9" w:rsidRDefault="003928B6" w:rsidP="00D47E5E">
            <w:pPr>
              <w:rPr>
                <w:b/>
                <w:sz w:val="18"/>
                <w:szCs w:val="18"/>
              </w:rPr>
            </w:pPr>
            <w:r w:rsidRPr="004E13E9">
              <w:rPr>
                <w:b/>
                <w:sz w:val="18"/>
                <w:szCs w:val="18"/>
              </w:rPr>
              <w:t>1 t</w:t>
            </w:r>
          </w:p>
        </w:tc>
        <w:tc>
          <w:tcPr>
            <w:tcW w:w="950" w:type="dxa"/>
            <w:vAlign w:val="center"/>
          </w:tcPr>
          <w:p w14:paraId="704DCDF4" w14:textId="77777777" w:rsidR="003928B6" w:rsidRPr="004E13E9" w:rsidRDefault="003928B6" w:rsidP="00D47E5E">
            <w:pPr>
              <w:rPr>
                <w:b/>
                <w:sz w:val="18"/>
                <w:szCs w:val="18"/>
              </w:rPr>
            </w:pPr>
            <w:r w:rsidRPr="004E13E9">
              <w:rPr>
                <w:b/>
                <w:sz w:val="18"/>
                <w:szCs w:val="18"/>
              </w:rPr>
              <w:t xml:space="preserve">5 t </w:t>
            </w:r>
          </w:p>
        </w:tc>
      </w:tr>
      <w:tr w:rsidR="003928B6" w:rsidRPr="004E13E9" w14:paraId="2767BF2C" w14:textId="77777777" w:rsidTr="00D47E5E">
        <w:trPr>
          <w:trHeight w:val="20"/>
        </w:trPr>
        <w:tc>
          <w:tcPr>
            <w:tcW w:w="2846" w:type="dxa"/>
            <w:vAlign w:val="center"/>
          </w:tcPr>
          <w:p w14:paraId="683F9250" w14:textId="77777777" w:rsidR="003928B6" w:rsidRPr="004E13E9" w:rsidRDefault="003928B6" w:rsidP="00D47E5E">
            <w:pPr>
              <w:rPr>
                <w:b/>
                <w:sz w:val="18"/>
                <w:szCs w:val="18"/>
                <w:lang w:val="fr-FR"/>
              </w:rPr>
            </w:pPr>
            <w:r w:rsidRPr="004E13E9">
              <w:rPr>
                <w:b/>
                <w:sz w:val="18"/>
                <w:szCs w:val="18"/>
                <w:lang w:val="fr-FR"/>
              </w:rPr>
              <w:t>Tolérance pour la pêche sportive/récréative</w:t>
            </w:r>
          </w:p>
          <w:p w14:paraId="69DD02C4" w14:textId="77777777" w:rsidR="003928B6" w:rsidRPr="004E13E9" w:rsidRDefault="003928B6" w:rsidP="00D47E5E">
            <w:pPr>
              <w:rPr>
                <w:b/>
                <w:sz w:val="18"/>
                <w:szCs w:val="18"/>
              </w:rPr>
            </w:pPr>
            <w:r w:rsidRPr="004E13E9">
              <w:rPr>
                <w:b/>
                <w:sz w:val="18"/>
                <w:szCs w:val="18"/>
              </w:rPr>
              <w:t xml:space="preserve">(le </w:t>
            </w:r>
            <w:proofErr w:type="spellStart"/>
            <w:r w:rsidRPr="004E13E9">
              <w:rPr>
                <w:b/>
                <w:sz w:val="18"/>
                <w:szCs w:val="18"/>
              </w:rPr>
              <w:t>cas</w:t>
            </w:r>
            <w:proofErr w:type="spellEnd"/>
            <w:r w:rsidRPr="004E13E9">
              <w:rPr>
                <w:b/>
                <w:sz w:val="18"/>
                <w:szCs w:val="18"/>
              </w:rPr>
              <w:t xml:space="preserve"> échéant)</w:t>
            </w:r>
          </w:p>
        </w:tc>
        <w:tc>
          <w:tcPr>
            <w:tcW w:w="2102" w:type="dxa"/>
            <w:noWrap/>
            <w:vAlign w:val="center"/>
          </w:tcPr>
          <w:p w14:paraId="5EC01522" w14:textId="77777777" w:rsidR="003928B6" w:rsidRPr="004E13E9" w:rsidRDefault="003928B6" w:rsidP="00D47E5E">
            <w:pPr>
              <w:jc w:val="right"/>
              <w:rPr>
                <w:b/>
                <w:sz w:val="18"/>
                <w:szCs w:val="18"/>
              </w:rPr>
            </w:pPr>
          </w:p>
        </w:tc>
        <w:tc>
          <w:tcPr>
            <w:tcW w:w="615" w:type="dxa"/>
          </w:tcPr>
          <w:p w14:paraId="09F7A3D4" w14:textId="77777777" w:rsidR="003928B6" w:rsidRPr="004E13E9" w:rsidRDefault="003928B6" w:rsidP="00D47E5E">
            <w:pPr>
              <w:rPr>
                <w:b/>
                <w:sz w:val="18"/>
                <w:szCs w:val="18"/>
              </w:rPr>
            </w:pPr>
          </w:p>
        </w:tc>
        <w:tc>
          <w:tcPr>
            <w:tcW w:w="615" w:type="dxa"/>
            <w:noWrap/>
            <w:vAlign w:val="center"/>
          </w:tcPr>
          <w:p w14:paraId="7C54B3C2" w14:textId="77777777" w:rsidR="003928B6" w:rsidRPr="004E13E9" w:rsidRDefault="003928B6" w:rsidP="00D47E5E">
            <w:pPr>
              <w:rPr>
                <w:b/>
                <w:sz w:val="18"/>
                <w:szCs w:val="18"/>
              </w:rPr>
            </w:pPr>
          </w:p>
        </w:tc>
        <w:tc>
          <w:tcPr>
            <w:tcW w:w="615" w:type="dxa"/>
            <w:vAlign w:val="center"/>
          </w:tcPr>
          <w:p w14:paraId="58811F13" w14:textId="77777777" w:rsidR="003928B6" w:rsidRPr="004E13E9" w:rsidRDefault="003928B6" w:rsidP="00D47E5E">
            <w:pPr>
              <w:rPr>
                <w:b/>
                <w:sz w:val="18"/>
                <w:szCs w:val="18"/>
              </w:rPr>
            </w:pPr>
          </w:p>
        </w:tc>
        <w:tc>
          <w:tcPr>
            <w:tcW w:w="615" w:type="dxa"/>
            <w:vAlign w:val="center"/>
          </w:tcPr>
          <w:p w14:paraId="6C91F0A5" w14:textId="77777777" w:rsidR="003928B6" w:rsidRPr="004E13E9" w:rsidRDefault="003928B6" w:rsidP="00D47E5E">
            <w:pPr>
              <w:rPr>
                <w:b/>
                <w:sz w:val="18"/>
                <w:szCs w:val="18"/>
              </w:rPr>
            </w:pPr>
          </w:p>
        </w:tc>
        <w:tc>
          <w:tcPr>
            <w:tcW w:w="615" w:type="dxa"/>
            <w:vAlign w:val="center"/>
          </w:tcPr>
          <w:p w14:paraId="35C9D47E" w14:textId="77777777" w:rsidR="003928B6" w:rsidRPr="004E13E9" w:rsidRDefault="003928B6" w:rsidP="00D47E5E">
            <w:pPr>
              <w:rPr>
                <w:b/>
                <w:sz w:val="18"/>
                <w:szCs w:val="18"/>
              </w:rPr>
            </w:pPr>
          </w:p>
        </w:tc>
        <w:tc>
          <w:tcPr>
            <w:tcW w:w="615" w:type="dxa"/>
          </w:tcPr>
          <w:p w14:paraId="1AE9A4A4" w14:textId="77777777" w:rsidR="003928B6" w:rsidRPr="004E13E9" w:rsidRDefault="003928B6" w:rsidP="00D47E5E">
            <w:pPr>
              <w:rPr>
                <w:b/>
                <w:sz w:val="18"/>
                <w:szCs w:val="18"/>
              </w:rPr>
            </w:pPr>
          </w:p>
        </w:tc>
        <w:tc>
          <w:tcPr>
            <w:tcW w:w="615" w:type="dxa"/>
          </w:tcPr>
          <w:p w14:paraId="105DEA44" w14:textId="77777777" w:rsidR="003928B6" w:rsidRPr="004E13E9" w:rsidRDefault="003928B6" w:rsidP="00D47E5E">
            <w:pPr>
              <w:jc w:val="center"/>
              <w:rPr>
                <w:sz w:val="18"/>
                <w:szCs w:val="18"/>
              </w:rPr>
            </w:pPr>
          </w:p>
        </w:tc>
        <w:tc>
          <w:tcPr>
            <w:tcW w:w="256" w:type="dxa"/>
            <w:shd w:val="clear" w:color="000000" w:fill="D9D9D9"/>
            <w:vAlign w:val="center"/>
          </w:tcPr>
          <w:p w14:paraId="7DF0FF80" w14:textId="77777777" w:rsidR="003928B6" w:rsidRPr="004E13E9" w:rsidRDefault="003928B6" w:rsidP="00D47E5E">
            <w:pPr>
              <w:rPr>
                <w:b/>
                <w:sz w:val="18"/>
                <w:szCs w:val="18"/>
              </w:rPr>
            </w:pPr>
          </w:p>
        </w:tc>
        <w:tc>
          <w:tcPr>
            <w:tcW w:w="615" w:type="dxa"/>
          </w:tcPr>
          <w:p w14:paraId="2186D8AC" w14:textId="77777777" w:rsidR="003928B6" w:rsidRPr="004E13E9" w:rsidRDefault="003928B6" w:rsidP="00D47E5E">
            <w:pPr>
              <w:rPr>
                <w:b/>
                <w:sz w:val="18"/>
                <w:szCs w:val="18"/>
              </w:rPr>
            </w:pPr>
          </w:p>
        </w:tc>
        <w:tc>
          <w:tcPr>
            <w:tcW w:w="615" w:type="dxa"/>
            <w:vAlign w:val="center"/>
          </w:tcPr>
          <w:p w14:paraId="4D330C09" w14:textId="77777777" w:rsidR="003928B6" w:rsidRPr="004E13E9" w:rsidRDefault="003928B6" w:rsidP="00D47E5E">
            <w:pPr>
              <w:rPr>
                <w:b/>
                <w:sz w:val="18"/>
                <w:szCs w:val="18"/>
              </w:rPr>
            </w:pPr>
          </w:p>
        </w:tc>
        <w:tc>
          <w:tcPr>
            <w:tcW w:w="653" w:type="dxa"/>
            <w:vAlign w:val="center"/>
          </w:tcPr>
          <w:p w14:paraId="3A618F09" w14:textId="77777777" w:rsidR="003928B6" w:rsidRPr="004E13E9" w:rsidRDefault="003928B6" w:rsidP="00D47E5E">
            <w:pPr>
              <w:rPr>
                <w:b/>
                <w:sz w:val="18"/>
                <w:szCs w:val="18"/>
              </w:rPr>
            </w:pPr>
            <w:r w:rsidRPr="004E13E9">
              <w:rPr>
                <w:b/>
                <w:sz w:val="18"/>
                <w:szCs w:val="18"/>
              </w:rPr>
              <w:t>10 t</w:t>
            </w:r>
          </w:p>
        </w:tc>
        <w:tc>
          <w:tcPr>
            <w:tcW w:w="851" w:type="dxa"/>
            <w:noWrap/>
            <w:vAlign w:val="center"/>
          </w:tcPr>
          <w:p w14:paraId="4BB916F9" w14:textId="77777777" w:rsidR="003928B6" w:rsidRPr="004E13E9" w:rsidRDefault="003928B6" w:rsidP="00D47E5E">
            <w:pPr>
              <w:rPr>
                <w:b/>
                <w:sz w:val="18"/>
                <w:szCs w:val="18"/>
              </w:rPr>
            </w:pPr>
            <w:r w:rsidRPr="004E13E9">
              <w:rPr>
                <w:b/>
                <w:sz w:val="18"/>
                <w:szCs w:val="18"/>
              </w:rPr>
              <w:t>10 t</w:t>
            </w:r>
          </w:p>
        </w:tc>
        <w:tc>
          <w:tcPr>
            <w:tcW w:w="1201" w:type="dxa"/>
            <w:noWrap/>
            <w:vAlign w:val="center"/>
          </w:tcPr>
          <w:p w14:paraId="16B32BF8" w14:textId="77777777" w:rsidR="003928B6" w:rsidRPr="004E13E9" w:rsidRDefault="003928B6" w:rsidP="00D47E5E">
            <w:pPr>
              <w:rPr>
                <w:b/>
                <w:sz w:val="18"/>
                <w:szCs w:val="18"/>
              </w:rPr>
            </w:pPr>
            <w:r w:rsidRPr="004E13E9">
              <w:rPr>
                <w:b/>
                <w:sz w:val="18"/>
                <w:szCs w:val="18"/>
              </w:rPr>
              <w:t>16 t</w:t>
            </w:r>
          </w:p>
        </w:tc>
        <w:tc>
          <w:tcPr>
            <w:tcW w:w="888" w:type="dxa"/>
            <w:noWrap/>
            <w:vAlign w:val="center"/>
          </w:tcPr>
          <w:p w14:paraId="72AA96F1" w14:textId="77777777" w:rsidR="003928B6" w:rsidRPr="004E13E9" w:rsidRDefault="003928B6" w:rsidP="00D47E5E">
            <w:pPr>
              <w:rPr>
                <w:b/>
                <w:sz w:val="18"/>
                <w:szCs w:val="18"/>
              </w:rPr>
            </w:pPr>
            <w:r w:rsidRPr="004E13E9">
              <w:rPr>
                <w:b/>
                <w:sz w:val="18"/>
                <w:szCs w:val="18"/>
              </w:rPr>
              <w:t>13 t</w:t>
            </w:r>
          </w:p>
        </w:tc>
        <w:tc>
          <w:tcPr>
            <w:tcW w:w="950" w:type="dxa"/>
            <w:vAlign w:val="center"/>
          </w:tcPr>
          <w:p w14:paraId="156D9131" w14:textId="77777777" w:rsidR="003928B6" w:rsidRPr="004E13E9" w:rsidRDefault="003928B6" w:rsidP="00D47E5E">
            <w:pPr>
              <w:rPr>
                <w:b/>
                <w:sz w:val="18"/>
                <w:szCs w:val="18"/>
              </w:rPr>
            </w:pPr>
            <w:r w:rsidRPr="004E13E9">
              <w:rPr>
                <w:b/>
                <w:sz w:val="18"/>
                <w:szCs w:val="18"/>
              </w:rPr>
              <w:t>20 t</w:t>
            </w:r>
          </w:p>
        </w:tc>
      </w:tr>
      <w:tr w:rsidR="003928B6" w:rsidRPr="004E13E9" w14:paraId="31926771" w14:textId="77777777" w:rsidTr="00D47E5E">
        <w:trPr>
          <w:trHeight w:val="20"/>
        </w:trPr>
        <w:tc>
          <w:tcPr>
            <w:tcW w:w="2846" w:type="dxa"/>
            <w:vAlign w:val="center"/>
          </w:tcPr>
          <w:p w14:paraId="521DC191" w14:textId="77777777" w:rsidR="003928B6" w:rsidRPr="004E13E9" w:rsidRDefault="003928B6" w:rsidP="00D47E5E">
            <w:pPr>
              <w:rPr>
                <w:b/>
                <w:sz w:val="18"/>
                <w:szCs w:val="18"/>
              </w:rPr>
            </w:pPr>
            <w:r w:rsidRPr="004E13E9">
              <w:rPr>
                <w:b/>
                <w:sz w:val="18"/>
                <w:szCs w:val="18"/>
              </w:rPr>
              <w:t>Quota disponible</w:t>
            </w:r>
          </w:p>
        </w:tc>
        <w:tc>
          <w:tcPr>
            <w:tcW w:w="2102" w:type="dxa"/>
            <w:noWrap/>
            <w:vAlign w:val="center"/>
          </w:tcPr>
          <w:p w14:paraId="5A97B58F" w14:textId="77777777" w:rsidR="003928B6" w:rsidRPr="004E13E9" w:rsidRDefault="003928B6" w:rsidP="00D47E5E">
            <w:pPr>
              <w:jc w:val="right"/>
              <w:rPr>
                <w:b/>
                <w:sz w:val="18"/>
                <w:szCs w:val="18"/>
              </w:rPr>
            </w:pPr>
          </w:p>
        </w:tc>
        <w:tc>
          <w:tcPr>
            <w:tcW w:w="615" w:type="dxa"/>
          </w:tcPr>
          <w:p w14:paraId="091D1FA5" w14:textId="77777777" w:rsidR="003928B6" w:rsidRPr="004E13E9" w:rsidRDefault="003928B6" w:rsidP="00D47E5E">
            <w:pPr>
              <w:rPr>
                <w:b/>
                <w:sz w:val="18"/>
                <w:szCs w:val="18"/>
              </w:rPr>
            </w:pPr>
          </w:p>
        </w:tc>
        <w:tc>
          <w:tcPr>
            <w:tcW w:w="615" w:type="dxa"/>
            <w:noWrap/>
            <w:vAlign w:val="center"/>
          </w:tcPr>
          <w:p w14:paraId="3D53B79C" w14:textId="77777777" w:rsidR="003928B6" w:rsidRPr="004E13E9" w:rsidRDefault="003928B6" w:rsidP="00D47E5E">
            <w:pPr>
              <w:rPr>
                <w:b/>
                <w:sz w:val="18"/>
                <w:szCs w:val="18"/>
              </w:rPr>
            </w:pPr>
          </w:p>
        </w:tc>
        <w:tc>
          <w:tcPr>
            <w:tcW w:w="615" w:type="dxa"/>
            <w:vAlign w:val="center"/>
          </w:tcPr>
          <w:p w14:paraId="4FB7BE21" w14:textId="77777777" w:rsidR="003928B6" w:rsidRPr="004E13E9" w:rsidRDefault="003928B6" w:rsidP="00D47E5E">
            <w:pPr>
              <w:rPr>
                <w:b/>
                <w:sz w:val="18"/>
                <w:szCs w:val="18"/>
              </w:rPr>
            </w:pPr>
          </w:p>
        </w:tc>
        <w:tc>
          <w:tcPr>
            <w:tcW w:w="615" w:type="dxa"/>
            <w:vAlign w:val="center"/>
          </w:tcPr>
          <w:p w14:paraId="5705C563" w14:textId="77777777" w:rsidR="003928B6" w:rsidRPr="004E13E9" w:rsidRDefault="003928B6" w:rsidP="00D47E5E">
            <w:pPr>
              <w:rPr>
                <w:b/>
                <w:sz w:val="18"/>
                <w:szCs w:val="18"/>
              </w:rPr>
            </w:pPr>
          </w:p>
        </w:tc>
        <w:tc>
          <w:tcPr>
            <w:tcW w:w="615" w:type="dxa"/>
            <w:vAlign w:val="center"/>
          </w:tcPr>
          <w:p w14:paraId="13725929" w14:textId="77777777" w:rsidR="003928B6" w:rsidRPr="004E13E9" w:rsidRDefault="003928B6" w:rsidP="00D47E5E">
            <w:pPr>
              <w:rPr>
                <w:b/>
                <w:sz w:val="18"/>
                <w:szCs w:val="18"/>
              </w:rPr>
            </w:pPr>
          </w:p>
        </w:tc>
        <w:tc>
          <w:tcPr>
            <w:tcW w:w="615" w:type="dxa"/>
          </w:tcPr>
          <w:p w14:paraId="24D3267B" w14:textId="77777777" w:rsidR="003928B6" w:rsidRPr="004E13E9" w:rsidRDefault="003928B6" w:rsidP="00D47E5E">
            <w:pPr>
              <w:rPr>
                <w:b/>
                <w:sz w:val="18"/>
                <w:szCs w:val="18"/>
              </w:rPr>
            </w:pPr>
          </w:p>
        </w:tc>
        <w:tc>
          <w:tcPr>
            <w:tcW w:w="615" w:type="dxa"/>
          </w:tcPr>
          <w:p w14:paraId="5377F315" w14:textId="77777777" w:rsidR="003928B6" w:rsidRPr="004E13E9" w:rsidRDefault="003928B6" w:rsidP="00D47E5E">
            <w:pPr>
              <w:jc w:val="center"/>
              <w:rPr>
                <w:sz w:val="18"/>
                <w:szCs w:val="18"/>
              </w:rPr>
            </w:pPr>
          </w:p>
        </w:tc>
        <w:tc>
          <w:tcPr>
            <w:tcW w:w="256" w:type="dxa"/>
            <w:shd w:val="clear" w:color="000000" w:fill="D9D9D9"/>
            <w:vAlign w:val="center"/>
          </w:tcPr>
          <w:p w14:paraId="3BB54186" w14:textId="77777777" w:rsidR="003928B6" w:rsidRPr="004E13E9" w:rsidRDefault="003928B6" w:rsidP="00D47E5E">
            <w:pPr>
              <w:rPr>
                <w:b/>
                <w:sz w:val="18"/>
                <w:szCs w:val="18"/>
              </w:rPr>
            </w:pPr>
          </w:p>
        </w:tc>
        <w:tc>
          <w:tcPr>
            <w:tcW w:w="615" w:type="dxa"/>
          </w:tcPr>
          <w:p w14:paraId="339F83CD" w14:textId="77777777" w:rsidR="003928B6" w:rsidRPr="004E13E9" w:rsidRDefault="003928B6" w:rsidP="00D47E5E">
            <w:pPr>
              <w:rPr>
                <w:b/>
                <w:sz w:val="18"/>
                <w:szCs w:val="18"/>
              </w:rPr>
            </w:pPr>
          </w:p>
        </w:tc>
        <w:tc>
          <w:tcPr>
            <w:tcW w:w="615" w:type="dxa"/>
            <w:vAlign w:val="center"/>
          </w:tcPr>
          <w:p w14:paraId="09902C50" w14:textId="77777777" w:rsidR="003928B6" w:rsidRPr="004E13E9" w:rsidRDefault="003928B6" w:rsidP="00D47E5E">
            <w:pPr>
              <w:rPr>
                <w:b/>
                <w:sz w:val="18"/>
                <w:szCs w:val="18"/>
              </w:rPr>
            </w:pPr>
          </w:p>
        </w:tc>
        <w:tc>
          <w:tcPr>
            <w:tcW w:w="653" w:type="dxa"/>
            <w:vAlign w:val="center"/>
          </w:tcPr>
          <w:p w14:paraId="7B00AE8F" w14:textId="77777777" w:rsidR="003928B6" w:rsidRPr="004E13E9" w:rsidRDefault="003928B6" w:rsidP="00D47E5E">
            <w:pPr>
              <w:rPr>
                <w:b/>
                <w:sz w:val="18"/>
                <w:szCs w:val="18"/>
              </w:rPr>
            </w:pPr>
          </w:p>
        </w:tc>
        <w:tc>
          <w:tcPr>
            <w:tcW w:w="851" w:type="dxa"/>
            <w:noWrap/>
            <w:vAlign w:val="center"/>
          </w:tcPr>
          <w:p w14:paraId="64359850" w14:textId="77777777" w:rsidR="003928B6" w:rsidRPr="004E13E9" w:rsidRDefault="003928B6" w:rsidP="00D47E5E">
            <w:pPr>
              <w:rPr>
                <w:b/>
                <w:sz w:val="18"/>
                <w:szCs w:val="18"/>
              </w:rPr>
            </w:pPr>
            <w:r w:rsidRPr="004E13E9">
              <w:rPr>
                <w:b/>
                <w:sz w:val="18"/>
                <w:szCs w:val="18"/>
              </w:rPr>
              <w:t>46,42</w:t>
            </w:r>
          </w:p>
        </w:tc>
        <w:tc>
          <w:tcPr>
            <w:tcW w:w="1201" w:type="dxa"/>
            <w:noWrap/>
            <w:vAlign w:val="center"/>
          </w:tcPr>
          <w:p w14:paraId="77211258" w14:textId="77777777" w:rsidR="003928B6" w:rsidRPr="004E13E9" w:rsidRDefault="003928B6" w:rsidP="00D47E5E">
            <w:pPr>
              <w:rPr>
                <w:b/>
                <w:sz w:val="18"/>
                <w:szCs w:val="18"/>
              </w:rPr>
            </w:pPr>
            <w:r w:rsidRPr="004E13E9">
              <w:rPr>
                <w:b/>
                <w:sz w:val="18"/>
                <w:szCs w:val="18"/>
              </w:rPr>
              <w:t>40 t</w:t>
            </w:r>
          </w:p>
        </w:tc>
        <w:tc>
          <w:tcPr>
            <w:tcW w:w="888" w:type="dxa"/>
            <w:noWrap/>
            <w:vAlign w:val="center"/>
          </w:tcPr>
          <w:p w14:paraId="4AC9BFA4" w14:textId="77777777" w:rsidR="003928B6" w:rsidRPr="004E13E9" w:rsidRDefault="003928B6" w:rsidP="00D47E5E">
            <w:pPr>
              <w:rPr>
                <w:b/>
                <w:sz w:val="18"/>
                <w:szCs w:val="18"/>
              </w:rPr>
            </w:pPr>
            <w:r w:rsidRPr="004E13E9">
              <w:rPr>
                <w:b/>
                <w:sz w:val="18"/>
                <w:szCs w:val="18"/>
              </w:rPr>
              <w:t>45 t</w:t>
            </w:r>
          </w:p>
        </w:tc>
        <w:tc>
          <w:tcPr>
            <w:tcW w:w="950" w:type="dxa"/>
          </w:tcPr>
          <w:p w14:paraId="38C9D237" w14:textId="77777777" w:rsidR="003928B6" w:rsidRPr="004E13E9" w:rsidRDefault="003928B6" w:rsidP="00D47E5E">
            <w:pPr>
              <w:rPr>
                <w:b/>
                <w:sz w:val="18"/>
                <w:szCs w:val="18"/>
              </w:rPr>
            </w:pPr>
            <w:r w:rsidRPr="004E13E9">
              <w:rPr>
                <w:b/>
                <w:sz w:val="18"/>
                <w:szCs w:val="18"/>
              </w:rPr>
              <w:t>208,16 t</w:t>
            </w:r>
          </w:p>
        </w:tc>
      </w:tr>
      <w:tr w:rsidR="003928B6" w:rsidRPr="004E13E9" w14:paraId="0B3655D4" w14:textId="77777777" w:rsidTr="00D47E5E">
        <w:trPr>
          <w:trHeight w:val="20"/>
        </w:trPr>
        <w:tc>
          <w:tcPr>
            <w:tcW w:w="2846" w:type="dxa"/>
            <w:shd w:val="clear" w:color="auto" w:fill="D9D9D9"/>
            <w:noWrap/>
            <w:vAlign w:val="center"/>
            <w:hideMark/>
          </w:tcPr>
          <w:p w14:paraId="58971D43" w14:textId="77777777" w:rsidR="003928B6" w:rsidRPr="004E13E9" w:rsidRDefault="003928B6" w:rsidP="00D47E5E">
            <w:pPr>
              <w:rPr>
                <w:rFonts w:eastAsia="Times New Roman" w:cs="Calibri"/>
                <w:b/>
                <w:bCs/>
                <w:sz w:val="18"/>
                <w:szCs w:val="18"/>
              </w:rPr>
            </w:pPr>
            <w:r w:rsidRPr="004E13E9">
              <w:rPr>
                <w:b/>
                <w:sz w:val="18"/>
                <w:szCs w:val="18"/>
              </w:rPr>
              <w:t>Sous/</w:t>
            </w:r>
            <w:proofErr w:type="spellStart"/>
            <w:r w:rsidRPr="004E13E9">
              <w:rPr>
                <w:b/>
                <w:sz w:val="18"/>
                <w:szCs w:val="18"/>
              </w:rPr>
              <w:t>surcapacité</w:t>
            </w:r>
            <w:proofErr w:type="spellEnd"/>
          </w:p>
        </w:tc>
        <w:tc>
          <w:tcPr>
            <w:tcW w:w="2102" w:type="dxa"/>
            <w:shd w:val="clear" w:color="auto" w:fill="D9D9D9"/>
            <w:noWrap/>
            <w:vAlign w:val="center"/>
            <w:hideMark/>
          </w:tcPr>
          <w:p w14:paraId="384A6A8F" w14:textId="77777777" w:rsidR="003928B6" w:rsidRPr="004E13E9" w:rsidRDefault="003928B6" w:rsidP="00D47E5E">
            <w:pPr>
              <w:jc w:val="right"/>
              <w:rPr>
                <w:rFonts w:eastAsia="Times New Roman" w:cs="Calibri"/>
                <w:sz w:val="18"/>
                <w:szCs w:val="18"/>
              </w:rPr>
            </w:pPr>
            <w:r w:rsidRPr="004E13E9">
              <w:rPr>
                <w:sz w:val="18"/>
                <w:szCs w:val="18"/>
              </w:rPr>
              <w:t> </w:t>
            </w:r>
          </w:p>
        </w:tc>
        <w:tc>
          <w:tcPr>
            <w:tcW w:w="615" w:type="dxa"/>
            <w:shd w:val="clear" w:color="auto" w:fill="D9D9D9"/>
          </w:tcPr>
          <w:p w14:paraId="19E6B3E9" w14:textId="77777777" w:rsidR="003928B6" w:rsidRPr="004E13E9" w:rsidRDefault="003928B6" w:rsidP="00D47E5E">
            <w:pPr>
              <w:rPr>
                <w:rFonts w:eastAsia="Times New Roman" w:cs="Calibri"/>
                <w:sz w:val="18"/>
                <w:szCs w:val="18"/>
                <w:lang w:eastAsia="ja-JP"/>
              </w:rPr>
            </w:pPr>
          </w:p>
        </w:tc>
        <w:tc>
          <w:tcPr>
            <w:tcW w:w="615" w:type="dxa"/>
            <w:shd w:val="clear" w:color="auto" w:fill="D9D9D9"/>
            <w:noWrap/>
            <w:vAlign w:val="center"/>
            <w:hideMark/>
          </w:tcPr>
          <w:p w14:paraId="4290C1D1" w14:textId="77777777" w:rsidR="003928B6" w:rsidRPr="004E13E9" w:rsidRDefault="003928B6" w:rsidP="00D47E5E">
            <w:pPr>
              <w:rPr>
                <w:rFonts w:eastAsia="Times New Roman" w:cs="Calibri"/>
                <w:sz w:val="18"/>
                <w:szCs w:val="18"/>
              </w:rPr>
            </w:pPr>
            <w:r w:rsidRPr="004E13E9">
              <w:rPr>
                <w:sz w:val="18"/>
                <w:szCs w:val="18"/>
              </w:rPr>
              <w:t> </w:t>
            </w:r>
          </w:p>
        </w:tc>
        <w:tc>
          <w:tcPr>
            <w:tcW w:w="615" w:type="dxa"/>
            <w:shd w:val="clear" w:color="auto" w:fill="D9D9D9"/>
            <w:vAlign w:val="center"/>
            <w:hideMark/>
          </w:tcPr>
          <w:p w14:paraId="46685667" w14:textId="77777777" w:rsidR="003928B6" w:rsidRPr="004E13E9" w:rsidRDefault="003928B6" w:rsidP="00D47E5E">
            <w:pPr>
              <w:rPr>
                <w:rFonts w:eastAsia="Times New Roman" w:cs="Calibri"/>
                <w:sz w:val="18"/>
                <w:szCs w:val="18"/>
              </w:rPr>
            </w:pPr>
            <w:r w:rsidRPr="004E13E9">
              <w:rPr>
                <w:sz w:val="18"/>
                <w:szCs w:val="18"/>
              </w:rPr>
              <w:t> </w:t>
            </w:r>
          </w:p>
        </w:tc>
        <w:tc>
          <w:tcPr>
            <w:tcW w:w="615" w:type="dxa"/>
            <w:shd w:val="clear" w:color="auto" w:fill="D9D9D9"/>
            <w:vAlign w:val="center"/>
            <w:hideMark/>
          </w:tcPr>
          <w:p w14:paraId="2BC78157" w14:textId="77777777" w:rsidR="003928B6" w:rsidRPr="004E13E9" w:rsidRDefault="003928B6" w:rsidP="00D47E5E">
            <w:pPr>
              <w:rPr>
                <w:rFonts w:eastAsia="Times New Roman" w:cs="Calibri"/>
                <w:sz w:val="18"/>
                <w:szCs w:val="18"/>
              </w:rPr>
            </w:pPr>
            <w:r w:rsidRPr="004E13E9">
              <w:rPr>
                <w:sz w:val="18"/>
                <w:szCs w:val="18"/>
              </w:rPr>
              <w:t> </w:t>
            </w:r>
          </w:p>
        </w:tc>
        <w:tc>
          <w:tcPr>
            <w:tcW w:w="615" w:type="dxa"/>
            <w:shd w:val="clear" w:color="auto" w:fill="D9D9D9"/>
            <w:vAlign w:val="center"/>
            <w:hideMark/>
          </w:tcPr>
          <w:p w14:paraId="1FB9AADE" w14:textId="77777777" w:rsidR="003928B6" w:rsidRPr="004E13E9" w:rsidRDefault="003928B6" w:rsidP="00D47E5E">
            <w:pPr>
              <w:rPr>
                <w:rFonts w:eastAsia="Times New Roman" w:cs="Calibri"/>
                <w:sz w:val="18"/>
                <w:szCs w:val="18"/>
              </w:rPr>
            </w:pPr>
            <w:r w:rsidRPr="004E13E9">
              <w:rPr>
                <w:sz w:val="18"/>
                <w:szCs w:val="18"/>
              </w:rPr>
              <w:t> </w:t>
            </w:r>
          </w:p>
        </w:tc>
        <w:tc>
          <w:tcPr>
            <w:tcW w:w="615" w:type="dxa"/>
            <w:shd w:val="clear" w:color="auto" w:fill="D9D9D9"/>
          </w:tcPr>
          <w:p w14:paraId="30DCCC55" w14:textId="77777777" w:rsidR="003928B6" w:rsidRPr="004E13E9" w:rsidRDefault="003928B6" w:rsidP="00D47E5E">
            <w:pPr>
              <w:rPr>
                <w:rFonts w:eastAsia="Times New Roman" w:cs="Calibri"/>
                <w:sz w:val="18"/>
                <w:szCs w:val="18"/>
                <w:lang w:eastAsia="ja-JP"/>
              </w:rPr>
            </w:pPr>
          </w:p>
        </w:tc>
        <w:tc>
          <w:tcPr>
            <w:tcW w:w="615" w:type="dxa"/>
            <w:shd w:val="clear" w:color="auto" w:fill="D9D9D9"/>
          </w:tcPr>
          <w:p w14:paraId="2197AFDF" w14:textId="77777777" w:rsidR="003928B6" w:rsidRPr="004E13E9" w:rsidRDefault="003928B6" w:rsidP="00D47E5E">
            <w:pPr>
              <w:jc w:val="center"/>
              <w:rPr>
                <w:rFonts w:eastAsia="Times New Roman" w:cs="Calibri"/>
                <w:sz w:val="18"/>
                <w:szCs w:val="18"/>
                <w:lang w:eastAsia="ja-JP"/>
              </w:rPr>
            </w:pPr>
          </w:p>
        </w:tc>
        <w:tc>
          <w:tcPr>
            <w:tcW w:w="256" w:type="dxa"/>
            <w:shd w:val="clear" w:color="auto" w:fill="D9D9D9"/>
            <w:vAlign w:val="center"/>
            <w:hideMark/>
          </w:tcPr>
          <w:p w14:paraId="5342D36E" w14:textId="77777777" w:rsidR="003928B6" w:rsidRPr="004E13E9" w:rsidRDefault="003928B6" w:rsidP="00D47E5E">
            <w:pPr>
              <w:rPr>
                <w:rFonts w:eastAsia="Times New Roman" w:cs="Calibri"/>
                <w:sz w:val="18"/>
                <w:szCs w:val="18"/>
              </w:rPr>
            </w:pPr>
            <w:r w:rsidRPr="004E13E9">
              <w:rPr>
                <w:sz w:val="18"/>
                <w:szCs w:val="18"/>
              </w:rPr>
              <w:t> </w:t>
            </w:r>
          </w:p>
        </w:tc>
        <w:tc>
          <w:tcPr>
            <w:tcW w:w="615" w:type="dxa"/>
            <w:shd w:val="clear" w:color="auto" w:fill="D9D9D9"/>
          </w:tcPr>
          <w:p w14:paraId="45B5FF7F" w14:textId="77777777" w:rsidR="003928B6" w:rsidRPr="004E13E9" w:rsidRDefault="003928B6" w:rsidP="00D47E5E">
            <w:pPr>
              <w:rPr>
                <w:rFonts w:eastAsia="Times New Roman" w:cs="Calibri"/>
                <w:sz w:val="18"/>
                <w:szCs w:val="18"/>
                <w:lang w:eastAsia="ja-JP"/>
              </w:rPr>
            </w:pPr>
          </w:p>
        </w:tc>
        <w:tc>
          <w:tcPr>
            <w:tcW w:w="615" w:type="dxa"/>
            <w:shd w:val="clear" w:color="auto" w:fill="D9D9D9"/>
            <w:vAlign w:val="center"/>
            <w:hideMark/>
          </w:tcPr>
          <w:p w14:paraId="7217917C" w14:textId="77777777" w:rsidR="003928B6" w:rsidRPr="004E13E9" w:rsidRDefault="003928B6" w:rsidP="00D47E5E">
            <w:pPr>
              <w:rPr>
                <w:rFonts w:eastAsia="Times New Roman" w:cs="Calibri"/>
                <w:sz w:val="18"/>
                <w:szCs w:val="18"/>
              </w:rPr>
            </w:pPr>
            <w:r w:rsidRPr="004E13E9">
              <w:rPr>
                <w:sz w:val="18"/>
                <w:szCs w:val="18"/>
              </w:rPr>
              <w:t> </w:t>
            </w:r>
          </w:p>
        </w:tc>
        <w:tc>
          <w:tcPr>
            <w:tcW w:w="653" w:type="dxa"/>
            <w:shd w:val="clear" w:color="auto" w:fill="D9D9D9"/>
            <w:vAlign w:val="center"/>
            <w:hideMark/>
          </w:tcPr>
          <w:p w14:paraId="0D3546E6" w14:textId="77777777" w:rsidR="003928B6" w:rsidRPr="004E13E9" w:rsidRDefault="003928B6" w:rsidP="00D47E5E">
            <w:pPr>
              <w:rPr>
                <w:rFonts w:eastAsia="Times New Roman" w:cs="Calibri"/>
                <w:sz w:val="18"/>
                <w:szCs w:val="18"/>
              </w:rPr>
            </w:pPr>
            <w:r w:rsidRPr="004E13E9">
              <w:rPr>
                <w:sz w:val="18"/>
                <w:szCs w:val="18"/>
              </w:rPr>
              <w:t> </w:t>
            </w:r>
          </w:p>
        </w:tc>
        <w:tc>
          <w:tcPr>
            <w:tcW w:w="851" w:type="dxa"/>
            <w:shd w:val="clear" w:color="auto" w:fill="D9D9D9"/>
            <w:vAlign w:val="center"/>
            <w:hideMark/>
          </w:tcPr>
          <w:p w14:paraId="4FED9AFA" w14:textId="77777777" w:rsidR="003928B6" w:rsidRPr="004E13E9" w:rsidRDefault="003928B6" w:rsidP="00D47E5E">
            <w:pPr>
              <w:rPr>
                <w:rFonts w:eastAsia="Times New Roman" w:cs="Calibri"/>
                <w:sz w:val="18"/>
                <w:szCs w:val="18"/>
              </w:rPr>
            </w:pPr>
            <w:r w:rsidRPr="004E13E9">
              <w:rPr>
                <w:sz w:val="18"/>
                <w:szCs w:val="18"/>
              </w:rPr>
              <w:t> </w:t>
            </w:r>
          </w:p>
        </w:tc>
        <w:tc>
          <w:tcPr>
            <w:tcW w:w="1201" w:type="dxa"/>
            <w:shd w:val="clear" w:color="auto" w:fill="D9D9D9"/>
            <w:vAlign w:val="center"/>
            <w:hideMark/>
          </w:tcPr>
          <w:p w14:paraId="695F5637" w14:textId="77777777" w:rsidR="003928B6" w:rsidRPr="004E13E9" w:rsidRDefault="003928B6" w:rsidP="00D47E5E">
            <w:pPr>
              <w:rPr>
                <w:rFonts w:eastAsia="Times New Roman" w:cs="Calibri"/>
                <w:sz w:val="18"/>
                <w:szCs w:val="18"/>
              </w:rPr>
            </w:pPr>
            <w:r w:rsidRPr="004E13E9">
              <w:rPr>
                <w:sz w:val="18"/>
                <w:szCs w:val="18"/>
              </w:rPr>
              <w:t> </w:t>
            </w:r>
          </w:p>
        </w:tc>
        <w:tc>
          <w:tcPr>
            <w:tcW w:w="888" w:type="dxa"/>
            <w:shd w:val="clear" w:color="auto" w:fill="D9D9D9"/>
            <w:vAlign w:val="center"/>
            <w:hideMark/>
          </w:tcPr>
          <w:p w14:paraId="097B5D51" w14:textId="77777777" w:rsidR="003928B6" w:rsidRPr="004E13E9" w:rsidRDefault="003928B6" w:rsidP="00D47E5E">
            <w:pPr>
              <w:rPr>
                <w:rFonts w:eastAsia="Times New Roman" w:cs="Calibri"/>
                <w:sz w:val="18"/>
                <w:szCs w:val="18"/>
              </w:rPr>
            </w:pPr>
            <w:r w:rsidRPr="004E13E9">
              <w:rPr>
                <w:sz w:val="18"/>
                <w:szCs w:val="18"/>
              </w:rPr>
              <w:t> </w:t>
            </w:r>
          </w:p>
        </w:tc>
        <w:tc>
          <w:tcPr>
            <w:tcW w:w="950" w:type="dxa"/>
            <w:shd w:val="clear" w:color="auto" w:fill="D9D9D9"/>
          </w:tcPr>
          <w:p w14:paraId="5CB79E07" w14:textId="77777777" w:rsidR="003928B6" w:rsidRPr="004E13E9" w:rsidRDefault="003928B6" w:rsidP="00D47E5E">
            <w:pPr>
              <w:rPr>
                <w:rFonts w:eastAsia="Times New Roman" w:cs="Calibri"/>
                <w:sz w:val="18"/>
                <w:szCs w:val="18"/>
                <w:lang w:eastAsia="ja-JP"/>
              </w:rPr>
            </w:pPr>
          </w:p>
        </w:tc>
      </w:tr>
    </w:tbl>
    <w:p w14:paraId="3E874CFB" w14:textId="77777777" w:rsidR="003928B6" w:rsidRPr="004E13E9" w:rsidRDefault="003928B6" w:rsidP="003928B6">
      <w:pPr>
        <w:rPr>
          <w:i/>
        </w:rPr>
      </w:pPr>
    </w:p>
    <w:p w14:paraId="67A0FE0A" w14:textId="77777777" w:rsidR="003928B6" w:rsidRPr="004E13E9" w:rsidRDefault="003928B6" w:rsidP="003928B6">
      <w:pPr>
        <w:tabs>
          <w:tab w:val="left" w:pos="142"/>
        </w:tabs>
      </w:pPr>
      <w:r w:rsidRPr="004E13E9">
        <w:br w:type="page"/>
      </w:r>
    </w:p>
    <w:p w14:paraId="263EC311" w14:textId="77777777" w:rsidR="003928B6" w:rsidRPr="004E13E9" w:rsidRDefault="003928B6" w:rsidP="003928B6">
      <w:pPr>
        <w:tabs>
          <w:tab w:val="left" w:pos="142"/>
        </w:tabs>
        <w:sectPr w:rsidR="003928B6" w:rsidRPr="004E13E9" w:rsidSect="003928B6">
          <w:headerReference w:type="default" r:id="rId213"/>
          <w:footerReference w:type="default" r:id="rId214"/>
          <w:pgSz w:w="16838" w:h="11906" w:orient="landscape" w:code="9"/>
          <w:pgMar w:top="720" w:right="720" w:bottom="720" w:left="720" w:header="851" w:footer="1134" w:gutter="0"/>
          <w:cols w:space="425"/>
          <w:docGrid w:linePitch="360"/>
        </w:sectPr>
      </w:pPr>
    </w:p>
    <w:p w14:paraId="50CE1933" w14:textId="77777777" w:rsidR="003928B6" w:rsidRPr="004E13E9" w:rsidRDefault="003928B6" w:rsidP="000A7B95">
      <w:pPr>
        <w:jc w:val="right"/>
        <w:rPr>
          <w:b/>
          <w:lang w:val="fr-FR"/>
        </w:rPr>
      </w:pPr>
      <w:r w:rsidRPr="004E13E9">
        <w:rPr>
          <w:b/>
          <w:lang w:val="fr-FR"/>
        </w:rPr>
        <w:t>Annexe 1</w:t>
      </w:r>
    </w:p>
    <w:p w14:paraId="0DA991F2" w14:textId="77777777" w:rsidR="003928B6" w:rsidRPr="004E13E9" w:rsidRDefault="003928B6" w:rsidP="003928B6">
      <w:pPr>
        <w:jc w:val="center"/>
        <w:rPr>
          <w:b/>
          <w:bCs/>
          <w:lang w:val="fr-FR"/>
        </w:rPr>
      </w:pPr>
      <w:r w:rsidRPr="004E13E9">
        <w:rPr>
          <w:b/>
          <w:lang w:val="fr-FR"/>
        </w:rPr>
        <w:t>Ports désignés du Royaume-Uni</w:t>
      </w:r>
    </w:p>
    <w:p w14:paraId="3D50B147" w14:textId="77777777" w:rsidR="003928B6" w:rsidRPr="004E13E9" w:rsidRDefault="003928B6" w:rsidP="003928B6">
      <w:pPr>
        <w:rPr>
          <w:b/>
          <w:bCs/>
          <w:lang w:val="fr-FR"/>
        </w:rPr>
      </w:pPr>
    </w:p>
    <w:tbl>
      <w:tblPr>
        <w:tblW w:w="7723" w:type="dxa"/>
        <w:jc w:val="center"/>
        <w:tblLook w:val="04A0" w:firstRow="1" w:lastRow="0" w:firstColumn="1" w:lastColumn="0" w:noHBand="0" w:noVBand="1"/>
      </w:tblPr>
      <w:tblGrid>
        <w:gridCol w:w="2405"/>
        <w:gridCol w:w="1276"/>
        <w:gridCol w:w="2059"/>
        <w:gridCol w:w="884"/>
        <w:gridCol w:w="39"/>
        <w:gridCol w:w="1060"/>
      </w:tblGrid>
      <w:tr w:rsidR="003928B6" w:rsidRPr="004E13E9" w14:paraId="782C5072"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5BADCBC1" w14:textId="77777777" w:rsidR="003928B6" w:rsidRPr="004E13E9" w:rsidRDefault="003928B6" w:rsidP="00D47E5E">
            <w:pPr>
              <w:rPr>
                <w:rFonts w:eastAsia="Times New Roman" w:cs="Calibri"/>
                <w:i/>
                <w:iCs/>
              </w:rPr>
            </w:pPr>
            <w:r w:rsidRPr="004E13E9">
              <w:rPr>
                <w:i/>
              </w:rPr>
              <w:t>Nom du port</w:t>
            </w:r>
          </w:p>
        </w:tc>
        <w:tc>
          <w:tcPr>
            <w:tcW w:w="1276" w:type="dxa"/>
            <w:tcBorders>
              <w:top w:val="single" w:sz="4" w:space="0" w:color="000000" w:themeColor="text1"/>
              <w:left w:val="nil"/>
              <w:bottom w:val="single" w:sz="4" w:space="0" w:color="000000" w:themeColor="text1"/>
              <w:right w:val="nil"/>
            </w:tcBorders>
            <w:hideMark/>
          </w:tcPr>
          <w:p w14:paraId="356E9896" w14:textId="77777777" w:rsidR="003928B6" w:rsidRPr="004E13E9" w:rsidRDefault="003928B6" w:rsidP="00D47E5E">
            <w:pPr>
              <w:rPr>
                <w:rFonts w:eastAsia="Times New Roman" w:cs="Calibri"/>
                <w:i/>
                <w:iCs/>
              </w:rPr>
            </w:pPr>
            <w:r w:rsidRPr="004E13E9">
              <w:rPr>
                <w:i/>
              </w:rPr>
              <w:t>Pays</w:t>
            </w:r>
          </w:p>
        </w:tc>
        <w:tc>
          <w:tcPr>
            <w:tcW w:w="2059" w:type="dxa"/>
            <w:tcBorders>
              <w:top w:val="single" w:sz="4" w:space="0" w:color="000000" w:themeColor="text1"/>
              <w:left w:val="nil"/>
              <w:bottom w:val="single" w:sz="4" w:space="0" w:color="000000" w:themeColor="text1"/>
              <w:right w:val="nil"/>
            </w:tcBorders>
            <w:hideMark/>
          </w:tcPr>
          <w:p w14:paraId="6EE0746D" w14:textId="77777777" w:rsidR="003928B6" w:rsidRPr="004E13E9" w:rsidRDefault="003928B6" w:rsidP="00D47E5E">
            <w:pPr>
              <w:rPr>
                <w:rFonts w:eastAsia="Times New Roman" w:cs="Calibri"/>
                <w:i/>
                <w:iCs/>
              </w:rPr>
            </w:pPr>
            <w:r w:rsidRPr="004E13E9">
              <w:rPr>
                <w:i/>
              </w:rPr>
              <w:t>Code du port</w:t>
            </w:r>
          </w:p>
        </w:tc>
        <w:tc>
          <w:tcPr>
            <w:tcW w:w="923" w:type="dxa"/>
            <w:gridSpan w:val="2"/>
            <w:tcBorders>
              <w:top w:val="single" w:sz="4" w:space="0" w:color="000000" w:themeColor="text1"/>
              <w:left w:val="nil"/>
              <w:bottom w:val="single" w:sz="4" w:space="0" w:color="000000" w:themeColor="text1"/>
              <w:right w:val="nil"/>
            </w:tcBorders>
            <w:hideMark/>
          </w:tcPr>
          <w:p w14:paraId="33DF73CF" w14:textId="77777777" w:rsidR="003928B6" w:rsidRPr="004E13E9" w:rsidRDefault="003928B6" w:rsidP="00D47E5E">
            <w:pPr>
              <w:rPr>
                <w:rFonts w:eastAsia="Times New Roman" w:cs="Calibri"/>
                <w:i/>
                <w:iCs/>
              </w:rPr>
            </w:pPr>
            <w:r w:rsidRPr="004E13E9">
              <w:rPr>
                <w:i/>
              </w:rPr>
              <w:t>Latitude</w:t>
            </w:r>
          </w:p>
        </w:tc>
        <w:tc>
          <w:tcPr>
            <w:tcW w:w="1060" w:type="dxa"/>
            <w:tcBorders>
              <w:top w:val="single" w:sz="4" w:space="0" w:color="000000" w:themeColor="text1"/>
              <w:left w:val="nil"/>
              <w:bottom w:val="single" w:sz="4" w:space="0" w:color="000000" w:themeColor="text1"/>
              <w:right w:val="single" w:sz="4" w:space="0" w:color="auto"/>
            </w:tcBorders>
            <w:hideMark/>
          </w:tcPr>
          <w:p w14:paraId="1E6A8991" w14:textId="77777777" w:rsidR="003928B6" w:rsidRPr="004E13E9" w:rsidRDefault="003928B6" w:rsidP="00D47E5E">
            <w:pPr>
              <w:rPr>
                <w:rFonts w:eastAsia="Times New Roman" w:cs="Calibri"/>
                <w:i/>
                <w:iCs/>
              </w:rPr>
            </w:pPr>
            <w:r w:rsidRPr="004E13E9">
              <w:rPr>
                <w:i/>
              </w:rPr>
              <w:t>Longitude</w:t>
            </w:r>
          </w:p>
        </w:tc>
      </w:tr>
      <w:tr w:rsidR="003928B6" w:rsidRPr="004E13E9" w14:paraId="7C490AD0"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57171E46" w14:textId="77777777" w:rsidR="003928B6" w:rsidRPr="004E13E9" w:rsidRDefault="003928B6" w:rsidP="00D47E5E">
            <w:pPr>
              <w:rPr>
                <w:rFonts w:eastAsia="Times New Roman" w:cs="Calibri"/>
              </w:rPr>
            </w:pPr>
            <w:r w:rsidRPr="004E13E9">
              <w:t>Brixham</w:t>
            </w:r>
          </w:p>
        </w:tc>
        <w:tc>
          <w:tcPr>
            <w:tcW w:w="1276" w:type="dxa"/>
            <w:tcBorders>
              <w:top w:val="single" w:sz="4" w:space="0" w:color="000000" w:themeColor="text1"/>
              <w:left w:val="nil"/>
              <w:bottom w:val="single" w:sz="4" w:space="0" w:color="000000" w:themeColor="text1"/>
              <w:right w:val="nil"/>
            </w:tcBorders>
            <w:hideMark/>
          </w:tcPr>
          <w:p w14:paraId="2CF13CD2"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3DB71284" w14:textId="77777777" w:rsidR="003928B6" w:rsidRPr="004E13E9" w:rsidRDefault="003928B6" w:rsidP="00D47E5E">
            <w:pPr>
              <w:rPr>
                <w:rFonts w:eastAsia="Times New Roman" w:cs="Calibri"/>
              </w:rPr>
            </w:pPr>
            <w:r w:rsidRPr="004E13E9">
              <w:t>GBBRX</w:t>
            </w:r>
          </w:p>
        </w:tc>
        <w:tc>
          <w:tcPr>
            <w:tcW w:w="923" w:type="dxa"/>
            <w:gridSpan w:val="2"/>
            <w:tcBorders>
              <w:top w:val="single" w:sz="4" w:space="0" w:color="000000" w:themeColor="text1"/>
              <w:left w:val="nil"/>
              <w:bottom w:val="single" w:sz="4" w:space="0" w:color="000000" w:themeColor="text1"/>
              <w:right w:val="nil"/>
            </w:tcBorders>
            <w:hideMark/>
          </w:tcPr>
          <w:p w14:paraId="334E1DB5" w14:textId="77777777" w:rsidR="003928B6" w:rsidRPr="004E13E9" w:rsidRDefault="003928B6" w:rsidP="00D47E5E">
            <w:pPr>
              <w:rPr>
                <w:rFonts w:eastAsia="Times New Roman" w:cs="Calibri"/>
              </w:rPr>
            </w:pPr>
            <w:r w:rsidRPr="004E13E9">
              <w:t>50,401</w:t>
            </w:r>
          </w:p>
        </w:tc>
        <w:tc>
          <w:tcPr>
            <w:tcW w:w="1060" w:type="dxa"/>
            <w:tcBorders>
              <w:top w:val="single" w:sz="4" w:space="0" w:color="000000" w:themeColor="text1"/>
              <w:left w:val="nil"/>
              <w:bottom w:val="single" w:sz="4" w:space="0" w:color="000000" w:themeColor="text1"/>
              <w:right w:val="single" w:sz="4" w:space="0" w:color="auto"/>
            </w:tcBorders>
            <w:hideMark/>
          </w:tcPr>
          <w:p w14:paraId="56D674BB" w14:textId="77777777" w:rsidR="003928B6" w:rsidRPr="004E13E9" w:rsidRDefault="003928B6" w:rsidP="00D47E5E">
            <w:pPr>
              <w:rPr>
                <w:rFonts w:eastAsia="Times New Roman" w:cs="Calibri"/>
              </w:rPr>
            </w:pPr>
            <w:r w:rsidRPr="004E13E9">
              <w:t>-3,509</w:t>
            </w:r>
          </w:p>
        </w:tc>
      </w:tr>
      <w:tr w:rsidR="003928B6" w:rsidRPr="004E13E9" w14:paraId="6E0EA8E1"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1930C873" w14:textId="77777777" w:rsidR="003928B6" w:rsidRPr="004E13E9" w:rsidRDefault="003928B6" w:rsidP="00D47E5E">
            <w:pPr>
              <w:rPr>
                <w:rFonts w:eastAsia="Times New Roman" w:cs="Calibri"/>
              </w:rPr>
            </w:pPr>
            <w:r w:rsidRPr="004E13E9">
              <w:t>Coverack</w:t>
            </w:r>
          </w:p>
        </w:tc>
        <w:tc>
          <w:tcPr>
            <w:tcW w:w="1276" w:type="dxa"/>
            <w:tcBorders>
              <w:top w:val="single" w:sz="4" w:space="0" w:color="000000" w:themeColor="text1"/>
              <w:left w:val="nil"/>
              <w:bottom w:val="single" w:sz="4" w:space="0" w:color="000000" w:themeColor="text1"/>
              <w:right w:val="nil"/>
            </w:tcBorders>
            <w:hideMark/>
          </w:tcPr>
          <w:p w14:paraId="7F86930E"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68C47186" w14:textId="77777777" w:rsidR="003928B6" w:rsidRPr="004E13E9" w:rsidRDefault="003928B6" w:rsidP="00D47E5E">
            <w:pPr>
              <w:rPr>
                <w:rFonts w:eastAsia="Times New Roman" w:cs="Calibri"/>
              </w:rPr>
            </w:pPr>
            <w:r w:rsidRPr="004E13E9">
              <w:t>GBCOV</w:t>
            </w:r>
          </w:p>
        </w:tc>
        <w:tc>
          <w:tcPr>
            <w:tcW w:w="923" w:type="dxa"/>
            <w:gridSpan w:val="2"/>
            <w:tcBorders>
              <w:top w:val="single" w:sz="4" w:space="0" w:color="000000" w:themeColor="text1"/>
              <w:left w:val="nil"/>
              <w:bottom w:val="single" w:sz="4" w:space="0" w:color="000000" w:themeColor="text1"/>
              <w:right w:val="nil"/>
            </w:tcBorders>
            <w:hideMark/>
          </w:tcPr>
          <w:p w14:paraId="5344222E" w14:textId="77777777" w:rsidR="003928B6" w:rsidRPr="004E13E9" w:rsidRDefault="003928B6" w:rsidP="00D47E5E">
            <w:pPr>
              <w:rPr>
                <w:rFonts w:eastAsia="Times New Roman" w:cs="Calibri"/>
              </w:rPr>
            </w:pPr>
            <w:r w:rsidRPr="004E13E9">
              <w:t>50,022</w:t>
            </w:r>
          </w:p>
        </w:tc>
        <w:tc>
          <w:tcPr>
            <w:tcW w:w="1060" w:type="dxa"/>
            <w:tcBorders>
              <w:top w:val="single" w:sz="4" w:space="0" w:color="000000" w:themeColor="text1"/>
              <w:left w:val="nil"/>
              <w:bottom w:val="single" w:sz="4" w:space="0" w:color="000000" w:themeColor="text1"/>
              <w:right w:val="single" w:sz="4" w:space="0" w:color="auto"/>
            </w:tcBorders>
            <w:hideMark/>
          </w:tcPr>
          <w:p w14:paraId="77E02C41" w14:textId="77777777" w:rsidR="003928B6" w:rsidRPr="004E13E9" w:rsidRDefault="003928B6" w:rsidP="00D47E5E">
            <w:pPr>
              <w:rPr>
                <w:rFonts w:eastAsia="Times New Roman" w:cs="Calibri"/>
              </w:rPr>
            </w:pPr>
            <w:r w:rsidRPr="004E13E9">
              <w:t xml:space="preserve">-5,093 </w:t>
            </w:r>
          </w:p>
        </w:tc>
      </w:tr>
      <w:tr w:rsidR="003928B6" w:rsidRPr="004E13E9" w14:paraId="1E8A54E6"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4371B5E6" w14:textId="77777777" w:rsidR="003928B6" w:rsidRPr="004E13E9" w:rsidRDefault="003928B6" w:rsidP="00D47E5E">
            <w:pPr>
              <w:rPr>
                <w:rFonts w:eastAsia="Times New Roman" w:cs="Calibri"/>
              </w:rPr>
            </w:pPr>
            <w:r w:rsidRPr="004E13E9">
              <w:t>Falmouth</w:t>
            </w:r>
          </w:p>
        </w:tc>
        <w:tc>
          <w:tcPr>
            <w:tcW w:w="1276" w:type="dxa"/>
            <w:tcBorders>
              <w:top w:val="single" w:sz="4" w:space="0" w:color="000000" w:themeColor="text1"/>
              <w:left w:val="nil"/>
              <w:bottom w:val="single" w:sz="4" w:space="0" w:color="000000" w:themeColor="text1"/>
              <w:right w:val="nil"/>
            </w:tcBorders>
            <w:hideMark/>
          </w:tcPr>
          <w:p w14:paraId="7C5C23A0"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75CFA09E" w14:textId="77777777" w:rsidR="003928B6" w:rsidRPr="004E13E9" w:rsidRDefault="003928B6" w:rsidP="00D47E5E">
            <w:pPr>
              <w:rPr>
                <w:rFonts w:eastAsia="Times New Roman" w:cs="Calibri"/>
              </w:rPr>
            </w:pPr>
            <w:r w:rsidRPr="004E13E9">
              <w:t>GBFAL</w:t>
            </w:r>
          </w:p>
        </w:tc>
        <w:tc>
          <w:tcPr>
            <w:tcW w:w="923" w:type="dxa"/>
            <w:gridSpan w:val="2"/>
            <w:tcBorders>
              <w:top w:val="single" w:sz="4" w:space="0" w:color="000000" w:themeColor="text1"/>
              <w:left w:val="nil"/>
              <w:bottom w:val="single" w:sz="4" w:space="0" w:color="000000" w:themeColor="text1"/>
              <w:right w:val="nil"/>
            </w:tcBorders>
            <w:hideMark/>
          </w:tcPr>
          <w:p w14:paraId="3951B207" w14:textId="77777777" w:rsidR="003928B6" w:rsidRPr="004E13E9" w:rsidRDefault="003928B6" w:rsidP="00D47E5E">
            <w:pPr>
              <w:rPr>
                <w:rFonts w:eastAsia="Times New Roman" w:cs="Calibri"/>
              </w:rPr>
            </w:pPr>
            <w:r w:rsidRPr="004E13E9">
              <w:t>50,161</w:t>
            </w:r>
          </w:p>
        </w:tc>
        <w:tc>
          <w:tcPr>
            <w:tcW w:w="1060" w:type="dxa"/>
            <w:tcBorders>
              <w:top w:val="single" w:sz="4" w:space="0" w:color="000000" w:themeColor="text1"/>
              <w:left w:val="nil"/>
              <w:bottom w:val="single" w:sz="4" w:space="0" w:color="000000" w:themeColor="text1"/>
              <w:right w:val="single" w:sz="4" w:space="0" w:color="auto"/>
            </w:tcBorders>
            <w:hideMark/>
          </w:tcPr>
          <w:p w14:paraId="0E278E4A" w14:textId="77777777" w:rsidR="003928B6" w:rsidRPr="004E13E9" w:rsidRDefault="003928B6" w:rsidP="00D47E5E">
            <w:pPr>
              <w:rPr>
                <w:rFonts w:eastAsia="Times New Roman" w:cs="Calibri"/>
              </w:rPr>
            </w:pPr>
            <w:r w:rsidRPr="004E13E9">
              <w:t>-5,073</w:t>
            </w:r>
          </w:p>
        </w:tc>
      </w:tr>
      <w:tr w:rsidR="003928B6" w:rsidRPr="004E13E9" w14:paraId="66065999"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3BE7AEE2" w14:textId="77777777" w:rsidR="003928B6" w:rsidRPr="004E13E9" w:rsidRDefault="003928B6" w:rsidP="00D47E5E">
            <w:pPr>
              <w:rPr>
                <w:rFonts w:eastAsia="Times New Roman" w:cs="Calibri"/>
              </w:rPr>
            </w:pPr>
            <w:r w:rsidRPr="004E13E9">
              <w:t>Fleetwood</w:t>
            </w:r>
          </w:p>
        </w:tc>
        <w:tc>
          <w:tcPr>
            <w:tcW w:w="1276" w:type="dxa"/>
            <w:tcBorders>
              <w:top w:val="single" w:sz="4" w:space="0" w:color="000000" w:themeColor="text1"/>
              <w:left w:val="nil"/>
              <w:bottom w:val="single" w:sz="4" w:space="0" w:color="000000" w:themeColor="text1"/>
              <w:right w:val="nil"/>
            </w:tcBorders>
            <w:hideMark/>
          </w:tcPr>
          <w:p w14:paraId="422CD7D6"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4D610E60" w14:textId="77777777" w:rsidR="003928B6" w:rsidRPr="004E13E9" w:rsidRDefault="003928B6" w:rsidP="00D47E5E">
            <w:pPr>
              <w:rPr>
                <w:rFonts w:eastAsia="Times New Roman" w:cs="Calibri"/>
              </w:rPr>
            </w:pPr>
            <w:r w:rsidRPr="004E13E9">
              <w:t>GBFLE</w:t>
            </w:r>
          </w:p>
        </w:tc>
        <w:tc>
          <w:tcPr>
            <w:tcW w:w="923" w:type="dxa"/>
            <w:gridSpan w:val="2"/>
            <w:tcBorders>
              <w:top w:val="single" w:sz="4" w:space="0" w:color="000000" w:themeColor="text1"/>
              <w:left w:val="nil"/>
              <w:bottom w:val="single" w:sz="4" w:space="0" w:color="000000" w:themeColor="text1"/>
              <w:right w:val="nil"/>
            </w:tcBorders>
            <w:hideMark/>
          </w:tcPr>
          <w:p w14:paraId="1F71465A" w14:textId="77777777" w:rsidR="003928B6" w:rsidRPr="004E13E9" w:rsidRDefault="003928B6" w:rsidP="00D47E5E">
            <w:pPr>
              <w:rPr>
                <w:rFonts w:eastAsia="Times New Roman" w:cs="Calibri"/>
              </w:rPr>
            </w:pPr>
            <w:r w:rsidRPr="004E13E9">
              <w:t>53,922</w:t>
            </w:r>
          </w:p>
        </w:tc>
        <w:tc>
          <w:tcPr>
            <w:tcW w:w="1060" w:type="dxa"/>
            <w:tcBorders>
              <w:top w:val="single" w:sz="4" w:space="0" w:color="000000" w:themeColor="text1"/>
              <w:left w:val="nil"/>
              <w:bottom w:val="single" w:sz="4" w:space="0" w:color="000000" w:themeColor="text1"/>
              <w:right w:val="single" w:sz="4" w:space="0" w:color="auto"/>
            </w:tcBorders>
            <w:hideMark/>
          </w:tcPr>
          <w:p w14:paraId="57A4BD7D" w14:textId="77777777" w:rsidR="003928B6" w:rsidRPr="004E13E9" w:rsidRDefault="003928B6" w:rsidP="00D47E5E">
            <w:pPr>
              <w:rPr>
                <w:rFonts w:eastAsia="Times New Roman" w:cs="Calibri"/>
              </w:rPr>
            </w:pPr>
            <w:r w:rsidRPr="004E13E9">
              <w:t>-3,008</w:t>
            </w:r>
          </w:p>
        </w:tc>
      </w:tr>
      <w:tr w:rsidR="003928B6" w:rsidRPr="004E13E9" w14:paraId="771F7EC3"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1CA81FB8" w14:textId="77777777" w:rsidR="003928B6" w:rsidRPr="004E13E9" w:rsidRDefault="003928B6" w:rsidP="00D47E5E">
            <w:pPr>
              <w:rPr>
                <w:rFonts w:eastAsia="Times New Roman" w:cs="Calibri"/>
              </w:rPr>
            </w:pPr>
            <w:r w:rsidRPr="004E13E9">
              <w:t>Folkestone</w:t>
            </w:r>
          </w:p>
        </w:tc>
        <w:tc>
          <w:tcPr>
            <w:tcW w:w="1276" w:type="dxa"/>
            <w:tcBorders>
              <w:top w:val="single" w:sz="4" w:space="0" w:color="000000" w:themeColor="text1"/>
              <w:left w:val="nil"/>
              <w:bottom w:val="single" w:sz="4" w:space="0" w:color="000000" w:themeColor="text1"/>
              <w:right w:val="nil"/>
            </w:tcBorders>
            <w:hideMark/>
          </w:tcPr>
          <w:p w14:paraId="78D5A736"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377CCCDC" w14:textId="77777777" w:rsidR="003928B6" w:rsidRPr="004E13E9" w:rsidRDefault="003928B6" w:rsidP="00D47E5E">
            <w:pPr>
              <w:rPr>
                <w:rFonts w:eastAsia="Times New Roman" w:cs="Calibri"/>
              </w:rPr>
            </w:pPr>
            <w:r w:rsidRPr="004E13E9">
              <w:t>GBFOL</w:t>
            </w:r>
          </w:p>
        </w:tc>
        <w:tc>
          <w:tcPr>
            <w:tcW w:w="923" w:type="dxa"/>
            <w:gridSpan w:val="2"/>
            <w:tcBorders>
              <w:top w:val="single" w:sz="4" w:space="0" w:color="000000" w:themeColor="text1"/>
              <w:left w:val="nil"/>
              <w:bottom w:val="single" w:sz="4" w:space="0" w:color="000000" w:themeColor="text1"/>
              <w:right w:val="nil"/>
            </w:tcBorders>
            <w:hideMark/>
          </w:tcPr>
          <w:p w14:paraId="49CBF2B5" w14:textId="77777777" w:rsidR="003928B6" w:rsidRPr="004E13E9" w:rsidRDefault="003928B6" w:rsidP="00D47E5E">
            <w:pPr>
              <w:rPr>
                <w:rFonts w:eastAsia="Times New Roman" w:cs="Calibri"/>
              </w:rPr>
            </w:pPr>
            <w:r w:rsidRPr="004E13E9">
              <w:t>51,078</w:t>
            </w:r>
          </w:p>
        </w:tc>
        <w:tc>
          <w:tcPr>
            <w:tcW w:w="1060" w:type="dxa"/>
            <w:tcBorders>
              <w:top w:val="single" w:sz="4" w:space="0" w:color="000000" w:themeColor="text1"/>
              <w:left w:val="nil"/>
              <w:bottom w:val="single" w:sz="4" w:space="0" w:color="000000" w:themeColor="text1"/>
              <w:right w:val="single" w:sz="4" w:space="0" w:color="auto"/>
            </w:tcBorders>
            <w:hideMark/>
          </w:tcPr>
          <w:p w14:paraId="302ADAFA" w14:textId="77777777" w:rsidR="003928B6" w:rsidRPr="004E13E9" w:rsidRDefault="003928B6" w:rsidP="00D47E5E">
            <w:pPr>
              <w:rPr>
                <w:rFonts w:eastAsia="Times New Roman" w:cs="Calibri"/>
              </w:rPr>
            </w:pPr>
            <w:r w:rsidRPr="004E13E9">
              <w:t>1,190</w:t>
            </w:r>
          </w:p>
        </w:tc>
      </w:tr>
      <w:tr w:rsidR="003928B6" w:rsidRPr="004E13E9" w14:paraId="02E7C176"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0E4EE5CB" w14:textId="77777777" w:rsidR="003928B6" w:rsidRPr="004E13E9" w:rsidRDefault="003928B6" w:rsidP="00D47E5E">
            <w:pPr>
              <w:rPr>
                <w:rFonts w:eastAsia="Times New Roman" w:cs="Calibri"/>
              </w:rPr>
            </w:pPr>
            <w:r w:rsidRPr="004E13E9">
              <w:t>Grimsby</w:t>
            </w:r>
          </w:p>
        </w:tc>
        <w:tc>
          <w:tcPr>
            <w:tcW w:w="1276" w:type="dxa"/>
            <w:tcBorders>
              <w:top w:val="single" w:sz="4" w:space="0" w:color="000000" w:themeColor="text1"/>
              <w:left w:val="nil"/>
              <w:bottom w:val="single" w:sz="4" w:space="0" w:color="000000" w:themeColor="text1"/>
              <w:right w:val="nil"/>
            </w:tcBorders>
            <w:hideMark/>
          </w:tcPr>
          <w:p w14:paraId="03D26668"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39AF4619" w14:textId="77777777" w:rsidR="003928B6" w:rsidRPr="004E13E9" w:rsidRDefault="003928B6" w:rsidP="00D47E5E">
            <w:pPr>
              <w:rPr>
                <w:rFonts w:eastAsia="Times New Roman" w:cs="Calibri"/>
              </w:rPr>
            </w:pPr>
            <w:r w:rsidRPr="004E13E9">
              <w:t>GBGSY</w:t>
            </w:r>
          </w:p>
        </w:tc>
        <w:tc>
          <w:tcPr>
            <w:tcW w:w="923" w:type="dxa"/>
            <w:gridSpan w:val="2"/>
            <w:tcBorders>
              <w:top w:val="single" w:sz="4" w:space="0" w:color="000000" w:themeColor="text1"/>
              <w:left w:val="nil"/>
              <w:bottom w:val="single" w:sz="4" w:space="0" w:color="000000" w:themeColor="text1"/>
              <w:right w:val="nil"/>
            </w:tcBorders>
            <w:hideMark/>
          </w:tcPr>
          <w:p w14:paraId="14210E44" w14:textId="77777777" w:rsidR="003928B6" w:rsidRPr="004E13E9" w:rsidRDefault="003928B6" w:rsidP="00D47E5E">
            <w:pPr>
              <w:rPr>
                <w:rFonts w:eastAsia="Times New Roman" w:cs="Calibri"/>
              </w:rPr>
            </w:pPr>
            <w:r w:rsidRPr="004E13E9">
              <w:t>53,579</w:t>
            </w:r>
          </w:p>
        </w:tc>
        <w:tc>
          <w:tcPr>
            <w:tcW w:w="1060" w:type="dxa"/>
            <w:tcBorders>
              <w:top w:val="single" w:sz="4" w:space="0" w:color="000000" w:themeColor="text1"/>
              <w:left w:val="nil"/>
              <w:bottom w:val="single" w:sz="4" w:space="0" w:color="000000" w:themeColor="text1"/>
              <w:right w:val="single" w:sz="4" w:space="0" w:color="auto"/>
            </w:tcBorders>
            <w:hideMark/>
          </w:tcPr>
          <w:p w14:paraId="532D10BB" w14:textId="77777777" w:rsidR="003928B6" w:rsidRPr="004E13E9" w:rsidRDefault="003928B6" w:rsidP="00D47E5E">
            <w:pPr>
              <w:rPr>
                <w:rFonts w:eastAsia="Times New Roman" w:cs="Calibri"/>
              </w:rPr>
            </w:pPr>
            <w:r w:rsidRPr="004E13E9">
              <w:t>-0,074</w:t>
            </w:r>
          </w:p>
        </w:tc>
      </w:tr>
      <w:tr w:rsidR="003928B6" w:rsidRPr="004E13E9" w14:paraId="38C76549"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0FF57215" w14:textId="77777777" w:rsidR="003928B6" w:rsidRPr="004E13E9" w:rsidRDefault="003928B6" w:rsidP="00D47E5E">
            <w:pPr>
              <w:rPr>
                <w:rFonts w:eastAsia="Times New Roman" w:cs="Calibri"/>
              </w:rPr>
            </w:pPr>
            <w:r w:rsidRPr="004E13E9">
              <w:t>Harwich</w:t>
            </w:r>
          </w:p>
        </w:tc>
        <w:tc>
          <w:tcPr>
            <w:tcW w:w="1276" w:type="dxa"/>
            <w:tcBorders>
              <w:top w:val="single" w:sz="4" w:space="0" w:color="000000" w:themeColor="text1"/>
              <w:left w:val="nil"/>
              <w:bottom w:val="single" w:sz="4" w:space="0" w:color="000000" w:themeColor="text1"/>
              <w:right w:val="nil"/>
            </w:tcBorders>
            <w:hideMark/>
          </w:tcPr>
          <w:p w14:paraId="56265B88"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18926153" w14:textId="77777777" w:rsidR="003928B6" w:rsidRPr="004E13E9" w:rsidRDefault="003928B6" w:rsidP="00D47E5E">
            <w:pPr>
              <w:rPr>
                <w:rFonts w:eastAsia="Times New Roman" w:cs="Calibri"/>
              </w:rPr>
            </w:pPr>
            <w:r w:rsidRPr="004E13E9">
              <w:t>GBHRW</w:t>
            </w:r>
          </w:p>
        </w:tc>
        <w:tc>
          <w:tcPr>
            <w:tcW w:w="923" w:type="dxa"/>
            <w:gridSpan w:val="2"/>
            <w:tcBorders>
              <w:top w:val="single" w:sz="4" w:space="0" w:color="000000" w:themeColor="text1"/>
              <w:left w:val="nil"/>
              <w:bottom w:val="single" w:sz="4" w:space="0" w:color="000000" w:themeColor="text1"/>
              <w:right w:val="nil"/>
            </w:tcBorders>
            <w:hideMark/>
          </w:tcPr>
          <w:p w14:paraId="42AC7CBA" w14:textId="77777777" w:rsidR="003928B6" w:rsidRPr="004E13E9" w:rsidRDefault="003928B6" w:rsidP="00D47E5E">
            <w:pPr>
              <w:rPr>
                <w:rFonts w:eastAsia="Times New Roman" w:cs="Calibri"/>
              </w:rPr>
            </w:pPr>
            <w:r w:rsidRPr="004E13E9">
              <w:t>51,945</w:t>
            </w:r>
          </w:p>
        </w:tc>
        <w:tc>
          <w:tcPr>
            <w:tcW w:w="1060" w:type="dxa"/>
            <w:tcBorders>
              <w:top w:val="single" w:sz="4" w:space="0" w:color="000000" w:themeColor="text1"/>
              <w:left w:val="nil"/>
              <w:bottom w:val="single" w:sz="4" w:space="0" w:color="000000" w:themeColor="text1"/>
              <w:right w:val="single" w:sz="4" w:space="0" w:color="auto"/>
            </w:tcBorders>
            <w:hideMark/>
          </w:tcPr>
          <w:p w14:paraId="6E39C1A9" w14:textId="77777777" w:rsidR="003928B6" w:rsidRPr="004E13E9" w:rsidRDefault="003928B6" w:rsidP="00D47E5E">
            <w:pPr>
              <w:rPr>
                <w:rFonts w:eastAsia="Times New Roman" w:cs="Calibri"/>
              </w:rPr>
            </w:pPr>
            <w:r w:rsidRPr="004E13E9">
              <w:t>1,280</w:t>
            </w:r>
          </w:p>
        </w:tc>
      </w:tr>
      <w:tr w:rsidR="003928B6" w:rsidRPr="004E13E9" w14:paraId="1508FFDE"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548562C8" w14:textId="77777777" w:rsidR="003928B6" w:rsidRPr="004E13E9" w:rsidRDefault="003928B6" w:rsidP="00D47E5E">
            <w:pPr>
              <w:rPr>
                <w:rFonts w:eastAsia="Times New Roman" w:cs="Calibri"/>
              </w:rPr>
            </w:pPr>
            <w:r w:rsidRPr="004E13E9">
              <w:t>Hayle</w:t>
            </w:r>
          </w:p>
        </w:tc>
        <w:tc>
          <w:tcPr>
            <w:tcW w:w="1276" w:type="dxa"/>
            <w:tcBorders>
              <w:top w:val="single" w:sz="4" w:space="0" w:color="000000" w:themeColor="text1"/>
              <w:left w:val="nil"/>
              <w:bottom w:val="single" w:sz="4" w:space="0" w:color="000000" w:themeColor="text1"/>
              <w:right w:val="nil"/>
            </w:tcBorders>
            <w:hideMark/>
          </w:tcPr>
          <w:p w14:paraId="1C2B7484"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4A21A7F8" w14:textId="77777777" w:rsidR="003928B6" w:rsidRPr="004E13E9" w:rsidRDefault="003928B6" w:rsidP="00D47E5E">
            <w:pPr>
              <w:rPr>
                <w:rFonts w:eastAsia="Times New Roman" w:cs="Calibri"/>
              </w:rPr>
            </w:pPr>
            <w:r w:rsidRPr="004E13E9">
              <w:t>GBHAY</w:t>
            </w:r>
          </w:p>
        </w:tc>
        <w:tc>
          <w:tcPr>
            <w:tcW w:w="884" w:type="dxa"/>
            <w:tcBorders>
              <w:top w:val="single" w:sz="4" w:space="0" w:color="000000" w:themeColor="text1"/>
              <w:left w:val="nil"/>
              <w:bottom w:val="single" w:sz="4" w:space="0" w:color="000000" w:themeColor="text1"/>
              <w:right w:val="nil"/>
            </w:tcBorders>
            <w:hideMark/>
          </w:tcPr>
          <w:p w14:paraId="0835C1E5" w14:textId="77777777" w:rsidR="003928B6" w:rsidRPr="004E13E9" w:rsidRDefault="003928B6" w:rsidP="00D47E5E">
            <w:r w:rsidRPr="004E13E9">
              <w:t>50,190</w:t>
            </w:r>
          </w:p>
        </w:tc>
        <w:tc>
          <w:tcPr>
            <w:tcW w:w="1099" w:type="dxa"/>
            <w:gridSpan w:val="2"/>
            <w:tcBorders>
              <w:top w:val="single" w:sz="4" w:space="0" w:color="000000" w:themeColor="text1"/>
              <w:left w:val="nil"/>
              <w:bottom w:val="single" w:sz="4" w:space="0" w:color="000000" w:themeColor="text1"/>
              <w:right w:val="single" w:sz="4" w:space="0" w:color="auto"/>
            </w:tcBorders>
            <w:hideMark/>
          </w:tcPr>
          <w:p w14:paraId="115C17C8" w14:textId="77777777" w:rsidR="003928B6" w:rsidRPr="004E13E9" w:rsidRDefault="003928B6" w:rsidP="00D47E5E">
            <w:r w:rsidRPr="004E13E9">
              <w:t>-5,4292</w:t>
            </w:r>
          </w:p>
        </w:tc>
      </w:tr>
      <w:tr w:rsidR="003928B6" w:rsidRPr="004E13E9" w14:paraId="394D8B96"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154CA192" w14:textId="77777777" w:rsidR="003928B6" w:rsidRPr="004E13E9" w:rsidRDefault="003928B6" w:rsidP="00D47E5E">
            <w:pPr>
              <w:rPr>
                <w:rFonts w:eastAsia="Times New Roman" w:cs="Calibri"/>
              </w:rPr>
            </w:pPr>
            <w:r w:rsidRPr="004E13E9">
              <w:t>Hull</w:t>
            </w:r>
          </w:p>
        </w:tc>
        <w:tc>
          <w:tcPr>
            <w:tcW w:w="1276" w:type="dxa"/>
            <w:tcBorders>
              <w:top w:val="single" w:sz="4" w:space="0" w:color="000000" w:themeColor="text1"/>
              <w:left w:val="nil"/>
              <w:bottom w:val="single" w:sz="4" w:space="0" w:color="000000" w:themeColor="text1"/>
              <w:right w:val="nil"/>
            </w:tcBorders>
            <w:hideMark/>
          </w:tcPr>
          <w:p w14:paraId="37DF212D"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06088B9A" w14:textId="77777777" w:rsidR="003928B6" w:rsidRPr="004E13E9" w:rsidRDefault="003928B6" w:rsidP="00D47E5E">
            <w:pPr>
              <w:rPr>
                <w:rFonts w:eastAsia="Times New Roman" w:cs="Calibri"/>
              </w:rPr>
            </w:pPr>
            <w:r w:rsidRPr="004E13E9">
              <w:t>GBHUL</w:t>
            </w:r>
          </w:p>
        </w:tc>
        <w:tc>
          <w:tcPr>
            <w:tcW w:w="923" w:type="dxa"/>
            <w:gridSpan w:val="2"/>
            <w:tcBorders>
              <w:top w:val="single" w:sz="4" w:space="0" w:color="000000" w:themeColor="text1"/>
              <w:left w:val="nil"/>
              <w:bottom w:val="single" w:sz="4" w:space="0" w:color="000000" w:themeColor="text1"/>
              <w:right w:val="nil"/>
            </w:tcBorders>
            <w:hideMark/>
          </w:tcPr>
          <w:p w14:paraId="10E034AB" w14:textId="77777777" w:rsidR="003928B6" w:rsidRPr="004E13E9" w:rsidRDefault="003928B6" w:rsidP="00D47E5E">
            <w:pPr>
              <w:rPr>
                <w:rFonts w:eastAsia="Times New Roman" w:cs="Calibri"/>
              </w:rPr>
            </w:pPr>
            <w:r w:rsidRPr="004E13E9">
              <w:t>53,742</w:t>
            </w:r>
          </w:p>
        </w:tc>
        <w:tc>
          <w:tcPr>
            <w:tcW w:w="1060" w:type="dxa"/>
            <w:tcBorders>
              <w:top w:val="single" w:sz="4" w:space="0" w:color="000000" w:themeColor="text1"/>
              <w:left w:val="nil"/>
              <w:bottom w:val="single" w:sz="4" w:space="0" w:color="000000" w:themeColor="text1"/>
              <w:right w:val="single" w:sz="4" w:space="0" w:color="auto"/>
            </w:tcBorders>
            <w:hideMark/>
          </w:tcPr>
          <w:p w14:paraId="04512D8F" w14:textId="77777777" w:rsidR="003928B6" w:rsidRPr="004E13E9" w:rsidRDefault="003928B6" w:rsidP="00D47E5E">
            <w:pPr>
              <w:rPr>
                <w:rFonts w:eastAsia="Times New Roman" w:cs="Calibri"/>
              </w:rPr>
            </w:pPr>
            <w:r w:rsidRPr="004E13E9">
              <w:t>-0,280</w:t>
            </w:r>
          </w:p>
        </w:tc>
      </w:tr>
      <w:tr w:rsidR="003928B6" w:rsidRPr="004E13E9" w14:paraId="4EABD068"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6EF0BBA7" w14:textId="77777777" w:rsidR="003928B6" w:rsidRPr="004E13E9" w:rsidRDefault="003928B6" w:rsidP="00D47E5E">
            <w:pPr>
              <w:rPr>
                <w:rFonts w:eastAsia="Times New Roman" w:cs="Calibri"/>
              </w:rPr>
            </w:pPr>
            <w:r w:rsidRPr="004E13E9">
              <w:t>Immingham</w:t>
            </w:r>
          </w:p>
        </w:tc>
        <w:tc>
          <w:tcPr>
            <w:tcW w:w="1276" w:type="dxa"/>
            <w:tcBorders>
              <w:top w:val="single" w:sz="4" w:space="0" w:color="000000" w:themeColor="text1"/>
              <w:left w:val="nil"/>
              <w:bottom w:val="single" w:sz="4" w:space="0" w:color="000000" w:themeColor="text1"/>
              <w:right w:val="nil"/>
            </w:tcBorders>
            <w:hideMark/>
          </w:tcPr>
          <w:p w14:paraId="245BDE6B"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7370864F" w14:textId="77777777" w:rsidR="003928B6" w:rsidRPr="004E13E9" w:rsidRDefault="003928B6" w:rsidP="00D47E5E">
            <w:pPr>
              <w:rPr>
                <w:rFonts w:eastAsia="Times New Roman" w:cs="Calibri"/>
              </w:rPr>
            </w:pPr>
            <w:r w:rsidRPr="004E13E9">
              <w:t>GBIMM</w:t>
            </w:r>
          </w:p>
        </w:tc>
        <w:tc>
          <w:tcPr>
            <w:tcW w:w="923" w:type="dxa"/>
            <w:gridSpan w:val="2"/>
            <w:tcBorders>
              <w:top w:val="single" w:sz="4" w:space="0" w:color="000000" w:themeColor="text1"/>
              <w:left w:val="nil"/>
              <w:bottom w:val="single" w:sz="4" w:space="0" w:color="000000" w:themeColor="text1"/>
              <w:right w:val="nil"/>
            </w:tcBorders>
            <w:hideMark/>
          </w:tcPr>
          <w:p w14:paraId="3EDD83EE" w14:textId="77777777" w:rsidR="003928B6" w:rsidRPr="004E13E9" w:rsidRDefault="003928B6" w:rsidP="00D47E5E">
            <w:pPr>
              <w:rPr>
                <w:rFonts w:eastAsia="Times New Roman" w:cs="Calibri"/>
              </w:rPr>
            </w:pPr>
            <w:r w:rsidRPr="004E13E9">
              <w:t>53,636</w:t>
            </w:r>
          </w:p>
        </w:tc>
        <w:tc>
          <w:tcPr>
            <w:tcW w:w="1060" w:type="dxa"/>
            <w:tcBorders>
              <w:top w:val="single" w:sz="4" w:space="0" w:color="000000" w:themeColor="text1"/>
              <w:left w:val="nil"/>
              <w:bottom w:val="single" w:sz="4" w:space="0" w:color="000000" w:themeColor="text1"/>
              <w:right w:val="single" w:sz="4" w:space="0" w:color="auto"/>
            </w:tcBorders>
            <w:hideMark/>
          </w:tcPr>
          <w:p w14:paraId="531B056C" w14:textId="77777777" w:rsidR="003928B6" w:rsidRPr="004E13E9" w:rsidRDefault="003928B6" w:rsidP="00D47E5E">
            <w:pPr>
              <w:rPr>
                <w:rFonts w:eastAsia="Times New Roman" w:cs="Calibri"/>
              </w:rPr>
            </w:pPr>
            <w:r w:rsidRPr="004E13E9">
              <w:t>-0,185</w:t>
            </w:r>
          </w:p>
        </w:tc>
      </w:tr>
      <w:tr w:rsidR="003928B6" w:rsidRPr="004E13E9" w14:paraId="547B5A11"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30670D42" w14:textId="77777777" w:rsidR="003928B6" w:rsidRPr="004E13E9" w:rsidRDefault="003928B6" w:rsidP="00D47E5E">
            <w:pPr>
              <w:rPr>
                <w:rFonts w:eastAsia="Times New Roman" w:cs="Calibri"/>
              </w:rPr>
            </w:pPr>
            <w:r w:rsidRPr="004E13E9">
              <w:t>Ilfracombe</w:t>
            </w:r>
          </w:p>
        </w:tc>
        <w:tc>
          <w:tcPr>
            <w:tcW w:w="1276" w:type="dxa"/>
            <w:tcBorders>
              <w:top w:val="single" w:sz="4" w:space="0" w:color="000000" w:themeColor="text1"/>
              <w:left w:val="nil"/>
              <w:bottom w:val="single" w:sz="4" w:space="0" w:color="000000" w:themeColor="text1"/>
              <w:right w:val="nil"/>
            </w:tcBorders>
            <w:hideMark/>
          </w:tcPr>
          <w:p w14:paraId="7C7470E5"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1A1BEBD1" w14:textId="77777777" w:rsidR="003928B6" w:rsidRPr="004E13E9" w:rsidRDefault="003928B6" w:rsidP="00D47E5E">
            <w:pPr>
              <w:rPr>
                <w:rFonts w:eastAsia="Times New Roman" w:cs="Calibri"/>
              </w:rPr>
            </w:pPr>
            <w:r w:rsidRPr="004E13E9">
              <w:t>GBILF</w:t>
            </w:r>
          </w:p>
        </w:tc>
        <w:tc>
          <w:tcPr>
            <w:tcW w:w="923" w:type="dxa"/>
            <w:gridSpan w:val="2"/>
            <w:tcBorders>
              <w:top w:val="single" w:sz="4" w:space="0" w:color="000000" w:themeColor="text1"/>
              <w:left w:val="nil"/>
              <w:bottom w:val="single" w:sz="4" w:space="0" w:color="000000" w:themeColor="text1"/>
              <w:right w:val="nil"/>
            </w:tcBorders>
            <w:hideMark/>
          </w:tcPr>
          <w:p w14:paraId="3C3276AF" w14:textId="77777777" w:rsidR="003928B6" w:rsidRPr="004E13E9" w:rsidRDefault="003928B6" w:rsidP="00D47E5E">
            <w:pPr>
              <w:rPr>
                <w:rFonts w:eastAsia="Times New Roman" w:cs="Calibri"/>
              </w:rPr>
            </w:pPr>
            <w:r w:rsidRPr="004E13E9">
              <w:t>51,210</w:t>
            </w:r>
          </w:p>
        </w:tc>
        <w:tc>
          <w:tcPr>
            <w:tcW w:w="1060" w:type="dxa"/>
            <w:tcBorders>
              <w:top w:val="single" w:sz="4" w:space="0" w:color="000000" w:themeColor="text1"/>
              <w:left w:val="nil"/>
              <w:bottom w:val="single" w:sz="4" w:space="0" w:color="000000" w:themeColor="text1"/>
              <w:right w:val="single" w:sz="4" w:space="0" w:color="auto"/>
            </w:tcBorders>
            <w:hideMark/>
          </w:tcPr>
          <w:p w14:paraId="76FFF588" w14:textId="77777777" w:rsidR="003928B6" w:rsidRPr="004E13E9" w:rsidRDefault="003928B6" w:rsidP="00D47E5E">
            <w:pPr>
              <w:rPr>
                <w:rFonts w:eastAsia="Times New Roman" w:cs="Calibri"/>
              </w:rPr>
            </w:pPr>
            <w:r w:rsidRPr="004E13E9">
              <w:t>-4,112</w:t>
            </w:r>
          </w:p>
        </w:tc>
      </w:tr>
      <w:tr w:rsidR="003928B6" w:rsidRPr="004E13E9" w14:paraId="3038DA85"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1B3B1B2A" w14:textId="77777777" w:rsidR="003928B6" w:rsidRPr="004E13E9" w:rsidRDefault="003928B6" w:rsidP="00D47E5E">
            <w:pPr>
              <w:rPr>
                <w:rFonts w:eastAsia="Times New Roman" w:cs="Calibri"/>
              </w:rPr>
            </w:pPr>
            <w:r w:rsidRPr="004E13E9">
              <w:t>Liverpool</w:t>
            </w:r>
          </w:p>
        </w:tc>
        <w:tc>
          <w:tcPr>
            <w:tcW w:w="1276" w:type="dxa"/>
            <w:tcBorders>
              <w:top w:val="single" w:sz="4" w:space="0" w:color="000000" w:themeColor="text1"/>
              <w:left w:val="nil"/>
              <w:bottom w:val="single" w:sz="4" w:space="0" w:color="000000" w:themeColor="text1"/>
              <w:right w:val="nil"/>
            </w:tcBorders>
            <w:hideMark/>
          </w:tcPr>
          <w:p w14:paraId="458DDDB1"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6E7EBB6B" w14:textId="77777777" w:rsidR="003928B6" w:rsidRPr="004E13E9" w:rsidRDefault="003928B6" w:rsidP="00D47E5E">
            <w:pPr>
              <w:rPr>
                <w:rFonts w:eastAsia="Times New Roman" w:cs="Calibri"/>
              </w:rPr>
            </w:pPr>
            <w:r w:rsidRPr="004E13E9">
              <w:t>GBLIV</w:t>
            </w:r>
          </w:p>
        </w:tc>
        <w:tc>
          <w:tcPr>
            <w:tcW w:w="923" w:type="dxa"/>
            <w:gridSpan w:val="2"/>
            <w:tcBorders>
              <w:top w:val="single" w:sz="4" w:space="0" w:color="000000" w:themeColor="text1"/>
              <w:left w:val="nil"/>
              <w:bottom w:val="single" w:sz="4" w:space="0" w:color="000000" w:themeColor="text1"/>
              <w:right w:val="nil"/>
            </w:tcBorders>
            <w:hideMark/>
          </w:tcPr>
          <w:p w14:paraId="0EE8FC33" w14:textId="77777777" w:rsidR="003928B6" w:rsidRPr="004E13E9" w:rsidRDefault="003928B6" w:rsidP="00D47E5E">
            <w:pPr>
              <w:rPr>
                <w:rFonts w:eastAsia="Times New Roman" w:cs="Calibri"/>
              </w:rPr>
            </w:pPr>
            <w:r w:rsidRPr="004E13E9">
              <w:t>53,422</w:t>
            </w:r>
          </w:p>
        </w:tc>
        <w:tc>
          <w:tcPr>
            <w:tcW w:w="1060" w:type="dxa"/>
            <w:tcBorders>
              <w:top w:val="single" w:sz="4" w:space="0" w:color="000000" w:themeColor="text1"/>
              <w:left w:val="nil"/>
              <w:bottom w:val="single" w:sz="4" w:space="0" w:color="000000" w:themeColor="text1"/>
              <w:right w:val="single" w:sz="4" w:space="0" w:color="auto"/>
            </w:tcBorders>
            <w:hideMark/>
          </w:tcPr>
          <w:p w14:paraId="1B1FDB9D" w14:textId="77777777" w:rsidR="003928B6" w:rsidRPr="004E13E9" w:rsidRDefault="003928B6" w:rsidP="00D47E5E">
            <w:pPr>
              <w:rPr>
                <w:rFonts w:eastAsia="Times New Roman" w:cs="Calibri"/>
              </w:rPr>
            </w:pPr>
            <w:r w:rsidRPr="004E13E9">
              <w:t>-3,008</w:t>
            </w:r>
          </w:p>
        </w:tc>
      </w:tr>
      <w:tr w:rsidR="003928B6" w:rsidRPr="004E13E9" w14:paraId="3D8E892D"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1023FAE8" w14:textId="77777777" w:rsidR="003928B6" w:rsidRPr="004E13E9" w:rsidRDefault="003928B6" w:rsidP="00D47E5E">
            <w:pPr>
              <w:rPr>
                <w:rFonts w:eastAsia="Times New Roman" w:cs="Calibri"/>
              </w:rPr>
            </w:pPr>
            <w:r w:rsidRPr="004E13E9">
              <w:t>Lowestoft</w:t>
            </w:r>
          </w:p>
        </w:tc>
        <w:tc>
          <w:tcPr>
            <w:tcW w:w="1276" w:type="dxa"/>
            <w:tcBorders>
              <w:top w:val="single" w:sz="4" w:space="0" w:color="000000" w:themeColor="text1"/>
              <w:left w:val="nil"/>
              <w:bottom w:val="single" w:sz="4" w:space="0" w:color="000000" w:themeColor="text1"/>
              <w:right w:val="nil"/>
            </w:tcBorders>
            <w:hideMark/>
          </w:tcPr>
          <w:p w14:paraId="4F5D60E9"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4C5BA130" w14:textId="77777777" w:rsidR="003928B6" w:rsidRPr="004E13E9" w:rsidRDefault="003928B6" w:rsidP="00D47E5E">
            <w:pPr>
              <w:rPr>
                <w:rFonts w:eastAsia="Times New Roman" w:cs="Calibri"/>
              </w:rPr>
            </w:pPr>
            <w:r w:rsidRPr="004E13E9">
              <w:t>GBLOW</w:t>
            </w:r>
          </w:p>
        </w:tc>
        <w:tc>
          <w:tcPr>
            <w:tcW w:w="923" w:type="dxa"/>
            <w:gridSpan w:val="2"/>
            <w:tcBorders>
              <w:top w:val="single" w:sz="4" w:space="0" w:color="000000" w:themeColor="text1"/>
              <w:left w:val="nil"/>
              <w:bottom w:val="single" w:sz="4" w:space="0" w:color="000000" w:themeColor="text1"/>
              <w:right w:val="nil"/>
            </w:tcBorders>
            <w:hideMark/>
          </w:tcPr>
          <w:p w14:paraId="72438068" w14:textId="77777777" w:rsidR="003928B6" w:rsidRPr="004E13E9" w:rsidRDefault="003928B6" w:rsidP="00D47E5E">
            <w:pPr>
              <w:rPr>
                <w:rFonts w:eastAsia="Times New Roman" w:cs="Calibri"/>
              </w:rPr>
            </w:pPr>
            <w:r w:rsidRPr="004E13E9">
              <w:t>52,474</w:t>
            </w:r>
          </w:p>
        </w:tc>
        <w:tc>
          <w:tcPr>
            <w:tcW w:w="1060" w:type="dxa"/>
            <w:tcBorders>
              <w:top w:val="single" w:sz="4" w:space="0" w:color="000000" w:themeColor="text1"/>
              <w:left w:val="nil"/>
              <w:bottom w:val="single" w:sz="4" w:space="0" w:color="000000" w:themeColor="text1"/>
              <w:right w:val="single" w:sz="4" w:space="0" w:color="auto"/>
            </w:tcBorders>
            <w:hideMark/>
          </w:tcPr>
          <w:p w14:paraId="22A20B0C" w14:textId="77777777" w:rsidR="003928B6" w:rsidRPr="004E13E9" w:rsidRDefault="003928B6" w:rsidP="00D47E5E">
            <w:pPr>
              <w:rPr>
                <w:rFonts w:eastAsia="Times New Roman" w:cs="Calibri"/>
              </w:rPr>
            </w:pPr>
            <w:r w:rsidRPr="004E13E9">
              <w:t>1,736</w:t>
            </w:r>
          </w:p>
        </w:tc>
      </w:tr>
      <w:tr w:rsidR="003928B6" w:rsidRPr="004E13E9" w14:paraId="3C28E076"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20315792" w14:textId="77777777" w:rsidR="003928B6" w:rsidRPr="004E13E9" w:rsidRDefault="003928B6" w:rsidP="00D47E5E">
            <w:pPr>
              <w:rPr>
                <w:rFonts w:eastAsia="Times New Roman" w:cs="Calibri"/>
              </w:rPr>
            </w:pPr>
            <w:r w:rsidRPr="004E13E9">
              <w:t>Looe</w:t>
            </w:r>
          </w:p>
        </w:tc>
        <w:tc>
          <w:tcPr>
            <w:tcW w:w="1276" w:type="dxa"/>
            <w:tcBorders>
              <w:top w:val="single" w:sz="4" w:space="0" w:color="000000" w:themeColor="text1"/>
              <w:left w:val="nil"/>
              <w:bottom w:val="single" w:sz="4" w:space="0" w:color="000000" w:themeColor="text1"/>
              <w:right w:val="nil"/>
            </w:tcBorders>
            <w:hideMark/>
          </w:tcPr>
          <w:p w14:paraId="1FF935D0"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369221C3" w14:textId="77777777" w:rsidR="003928B6" w:rsidRPr="004E13E9" w:rsidRDefault="003928B6" w:rsidP="00D47E5E">
            <w:pPr>
              <w:rPr>
                <w:rFonts w:eastAsia="Times New Roman" w:cs="Calibri"/>
              </w:rPr>
            </w:pPr>
            <w:r w:rsidRPr="004E13E9">
              <w:t>GBLOE</w:t>
            </w:r>
          </w:p>
        </w:tc>
        <w:tc>
          <w:tcPr>
            <w:tcW w:w="923" w:type="dxa"/>
            <w:gridSpan w:val="2"/>
            <w:tcBorders>
              <w:top w:val="single" w:sz="4" w:space="0" w:color="000000" w:themeColor="text1"/>
              <w:left w:val="nil"/>
              <w:bottom w:val="single" w:sz="4" w:space="0" w:color="000000" w:themeColor="text1"/>
              <w:right w:val="nil"/>
            </w:tcBorders>
            <w:hideMark/>
          </w:tcPr>
          <w:p w14:paraId="1F260E55" w14:textId="77777777" w:rsidR="003928B6" w:rsidRPr="004E13E9" w:rsidRDefault="003928B6" w:rsidP="00D47E5E">
            <w:pPr>
              <w:rPr>
                <w:rFonts w:eastAsia="Times New Roman" w:cs="Calibri"/>
              </w:rPr>
            </w:pPr>
            <w:r w:rsidRPr="004E13E9">
              <w:t>50,354</w:t>
            </w:r>
          </w:p>
        </w:tc>
        <w:tc>
          <w:tcPr>
            <w:tcW w:w="1060" w:type="dxa"/>
            <w:tcBorders>
              <w:top w:val="single" w:sz="4" w:space="0" w:color="000000" w:themeColor="text1"/>
              <w:left w:val="nil"/>
              <w:bottom w:val="single" w:sz="4" w:space="0" w:color="000000" w:themeColor="text1"/>
              <w:right w:val="single" w:sz="4" w:space="0" w:color="auto"/>
            </w:tcBorders>
            <w:hideMark/>
          </w:tcPr>
          <w:p w14:paraId="12009A37" w14:textId="77777777" w:rsidR="003928B6" w:rsidRPr="004E13E9" w:rsidRDefault="003928B6" w:rsidP="00D47E5E">
            <w:pPr>
              <w:rPr>
                <w:rFonts w:eastAsia="Times New Roman" w:cs="Calibri"/>
              </w:rPr>
            </w:pPr>
            <w:r w:rsidRPr="004E13E9">
              <w:t>-4,455</w:t>
            </w:r>
          </w:p>
        </w:tc>
      </w:tr>
      <w:tr w:rsidR="003928B6" w:rsidRPr="004E13E9" w14:paraId="712B487E"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0737D65A" w14:textId="77777777" w:rsidR="003928B6" w:rsidRPr="004E13E9" w:rsidRDefault="003928B6" w:rsidP="00D47E5E">
            <w:pPr>
              <w:rPr>
                <w:rFonts w:eastAsia="Times New Roman" w:cs="Calibri"/>
              </w:rPr>
            </w:pPr>
            <w:r w:rsidRPr="004E13E9">
              <w:t>Lyme Regis</w:t>
            </w:r>
          </w:p>
        </w:tc>
        <w:tc>
          <w:tcPr>
            <w:tcW w:w="1276" w:type="dxa"/>
            <w:tcBorders>
              <w:top w:val="single" w:sz="4" w:space="0" w:color="000000" w:themeColor="text1"/>
              <w:left w:val="nil"/>
              <w:bottom w:val="single" w:sz="4" w:space="0" w:color="000000" w:themeColor="text1"/>
              <w:right w:val="nil"/>
            </w:tcBorders>
            <w:hideMark/>
          </w:tcPr>
          <w:p w14:paraId="0426F91D"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662F8CC6" w14:textId="77777777" w:rsidR="003928B6" w:rsidRPr="004E13E9" w:rsidRDefault="003928B6" w:rsidP="00D47E5E">
            <w:pPr>
              <w:rPr>
                <w:rFonts w:eastAsia="Times New Roman" w:cs="Calibri"/>
              </w:rPr>
            </w:pPr>
            <w:r w:rsidRPr="004E13E9">
              <w:t>GBLYR</w:t>
            </w:r>
          </w:p>
        </w:tc>
        <w:tc>
          <w:tcPr>
            <w:tcW w:w="923" w:type="dxa"/>
            <w:gridSpan w:val="2"/>
            <w:tcBorders>
              <w:top w:val="single" w:sz="4" w:space="0" w:color="000000" w:themeColor="text1"/>
              <w:left w:val="nil"/>
              <w:bottom w:val="single" w:sz="4" w:space="0" w:color="000000" w:themeColor="text1"/>
              <w:right w:val="nil"/>
            </w:tcBorders>
            <w:hideMark/>
          </w:tcPr>
          <w:p w14:paraId="49386D75" w14:textId="77777777" w:rsidR="003928B6" w:rsidRPr="004E13E9" w:rsidRDefault="003928B6" w:rsidP="00D47E5E">
            <w:pPr>
              <w:rPr>
                <w:rFonts w:eastAsia="Times New Roman" w:cs="Calibri"/>
              </w:rPr>
            </w:pPr>
            <w:r w:rsidRPr="004E13E9">
              <w:t>50,720</w:t>
            </w:r>
          </w:p>
        </w:tc>
        <w:tc>
          <w:tcPr>
            <w:tcW w:w="1060" w:type="dxa"/>
            <w:tcBorders>
              <w:top w:val="single" w:sz="4" w:space="0" w:color="000000" w:themeColor="text1"/>
              <w:left w:val="nil"/>
              <w:bottom w:val="single" w:sz="4" w:space="0" w:color="000000" w:themeColor="text1"/>
              <w:right w:val="single" w:sz="4" w:space="0" w:color="auto"/>
            </w:tcBorders>
            <w:hideMark/>
          </w:tcPr>
          <w:p w14:paraId="14CC0011" w14:textId="77777777" w:rsidR="003928B6" w:rsidRPr="004E13E9" w:rsidRDefault="003928B6" w:rsidP="00D47E5E">
            <w:pPr>
              <w:rPr>
                <w:rFonts w:eastAsia="Times New Roman" w:cs="Calibri"/>
              </w:rPr>
            </w:pPr>
            <w:r w:rsidRPr="004E13E9">
              <w:t>-2,934</w:t>
            </w:r>
          </w:p>
        </w:tc>
      </w:tr>
      <w:tr w:rsidR="003928B6" w:rsidRPr="004E13E9" w14:paraId="3E1781C8"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2488EC15" w14:textId="77777777" w:rsidR="003928B6" w:rsidRPr="004E13E9" w:rsidRDefault="003928B6" w:rsidP="00D47E5E">
            <w:pPr>
              <w:rPr>
                <w:rFonts w:eastAsia="Times New Roman" w:cs="Calibri"/>
              </w:rPr>
            </w:pPr>
            <w:proofErr w:type="spellStart"/>
            <w:r w:rsidRPr="004E13E9">
              <w:t>Mevagissey</w:t>
            </w:r>
            <w:proofErr w:type="spellEnd"/>
          </w:p>
        </w:tc>
        <w:tc>
          <w:tcPr>
            <w:tcW w:w="1276" w:type="dxa"/>
            <w:tcBorders>
              <w:top w:val="single" w:sz="4" w:space="0" w:color="000000" w:themeColor="text1"/>
              <w:left w:val="nil"/>
              <w:bottom w:val="single" w:sz="4" w:space="0" w:color="000000" w:themeColor="text1"/>
              <w:right w:val="nil"/>
            </w:tcBorders>
            <w:hideMark/>
          </w:tcPr>
          <w:p w14:paraId="33D5A118"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2591E9CA" w14:textId="77777777" w:rsidR="003928B6" w:rsidRPr="004E13E9" w:rsidRDefault="003928B6" w:rsidP="00D47E5E">
            <w:pPr>
              <w:rPr>
                <w:rFonts w:eastAsia="Times New Roman" w:cs="Calibri"/>
              </w:rPr>
            </w:pPr>
            <w:r w:rsidRPr="004E13E9">
              <w:t>GBMVG</w:t>
            </w:r>
          </w:p>
        </w:tc>
        <w:tc>
          <w:tcPr>
            <w:tcW w:w="923" w:type="dxa"/>
            <w:gridSpan w:val="2"/>
            <w:tcBorders>
              <w:top w:val="single" w:sz="4" w:space="0" w:color="000000" w:themeColor="text1"/>
              <w:left w:val="nil"/>
              <w:bottom w:val="single" w:sz="4" w:space="0" w:color="000000" w:themeColor="text1"/>
              <w:right w:val="nil"/>
            </w:tcBorders>
            <w:hideMark/>
          </w:tcPr>
          <w:p w14:paraId="69C2BC94" w14:textId="77777777" w:rsidR="003928B6" w:rsidRPr="004E13E9" w:rsidRDefault="003928B6" w:rsidP="00D47E5E">
            <w:pPr>
              <w:rPr>
                <w:rFonts w:eastAsia="Times New Roman" w:cs="Calibri"/>
              </w:rPr>
            </w:pPr>
            <w:r w:rsidRPr="004E13E9">
              <w:t>50,269</w:t>
            </w:r>
          </w:p>
        </w:tc>
        <w:tc>
          <w:tcPr>
            <w:tcW w:w="1060" w:type="dxa"/>
            <w:tcBorders>
              <w:top w:val="single" w:sz="4" w:space="0" w:color="000000" w:themeColor="text1"/>
              <w:left w:val="nil"/>
              <w:bottom w:val="single" w:sz="4" w:space="0" w:color="000000" w:themeColor="text1"/>
              <w:right w:val="single" w:sz="4" w:space="0" w:color="auto"/>
            </w:tcBorders>
            <w:hideMark/>
          </w:tcPr>
          <w:p w14:paraId="6EC95D91" w14:textId="77777777" w:rsidR="003928B6" w:rsidRPr="004E13E9" w:rsidRDefault="003928B6" w:rsidP="00D47E5E">
            <w:pPr>
              <w:rPr>
                <w:rFonts w:eastAsia="Times New Roman" w:cs="Calibri"/>
              </w:rPr>
            </w:pPr>
            <w:r w:rsidRPr="004E13E9">
              <w:t>-4,783</w:t>
            </w:r>
          </w:p>
        </w:tc>
      </w:tr>
      <w:tr w:rsidR="003928B6" w:rsidRPr="004E13E9" w14:paraId="794BF7CC"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tcPr>
          <w:p w14:paraId="26DAA41C" w14:textId="77777777" w:rsidR="003928B6" w:rsidRPr="004E13E9" w:rsidRDefault="003928B6" w:rsidP="00D47E5E">
            <w:r w:rsidRPr="004E13E9">
              <w:t>Mylor</w:t>
            </w:r>
          </w:p>
        </w:tc>
        <w:tc>
          <w:tcPr>
            <w:tcW w:w="1276" w:type="dxa"/>
            <w:tcBorders>
              <w:top w:val="single" w:sz="4" w:space="0" w:color="000000" w:themeColor="text1"/>
              <w:left w:val="nil"/>
              <w:bottom w:val="single" w:sz="4" w:space="0" w:color="000000" w:themeColor="text1"/>
              <w:right w:val="nil"/>
            </w:tcBorders>
          </w:tcPr>
          <w:p w14:paraId="2CD68078" w14:textId="77777777" w:rsidR="003928B6" w:rsidRPr="004E13E9" w:rsidRDefault="003928B6" w:rsidP="00D47E5E">
            <w:r w:rsidRPr="004E13E9">
              <w:t>GB-ENG</w:t>
            </w:r>
          </w:p>
        </w:tc>
        <w:tc>
          <w:tcPr>
            <w:tcW w:w="2059" w:type="dxa"/>
            <w:tcBorders>
              <w:top w:val="single" w:sz="4" w:space="0" w:color="000000" w:themeColor="text1"/>
              <w:left w:val="nil"/>
              <w:bottom w:val="single" w:sz="4" w:space="0" w:color="000000" w:themeColor="text1"/>
              <w:right w:val="nil"/>
            </w:tcBorders>
          </w:tcPr>
          <w:p w14:paraId="3C0B3B35" w14:textId="77777777" w:rsidR="003928B6" w:rsidRPr="004E13E9" w:rsidRDefault="003928B6" w:rsidP="00D47E5E">
            <w:r w:rsidRPr="004E13E9">
              <w:t>GBMYL</w:t>
            </w:r>
          </w:p>
        </w:tc>
        <w:tc>
          <w:tcPr>
            <w:tcW w:w="923" w:type="dxa"/>
            <w:gridSpan w:val="2"/>
            <w:tcBorders>
              <w:top w:val="single" w:sz="4" w:space="0" w:color="000000" w:themeColor="text1"/>
              <w:left w:val="nil"/>
              <w:bottom w:val="single" w:sz="4" w:space="0" w:color="000000" w:themeColor="text1"/>
              <w:right w:val="nil"/>
            </w:tcBorders>
          </w:tcPr>
          <w:p w14:paraId="15EB4243" w14:textId="77777777" w:rsidR="003928B6" w:rsidRPr="004E13E9" w:rsidRDefault="003928B6" w:rsidP="00D47E5E">
            <w:r w:rsidRPr="004E13E9">
              <w:t>50,177</w:t>
            </w:r>
          </w:p>
        </w:tc>
        <w:tc>
          <w:tcPr>
            <w:tcW w:w="1060" w:type="dxa"/>
            <w:tcBorders>
              <w:top w:val="single" w:sz="4" w:space="0" w:color="000000" w:themeColor="text1"/>
              <w:left w:val="nil"/>
              <w:bottom w:val="single" w:sz="4" w:space="0" w:color="000000" w:themeColor="text1"/>
              <w:right w:val="single" w:sz="4" w:space="0" w:color="auto"/>
            </w:tcBorders>
          </w:tcPr>
          <w:p w14:paraId="7D59CE4A" w14:textId="77777777" w:rsidR="003928B6" w:rsidRPr="004E13E9" w:rsidRDefault="003928B6" w:rsidP="00D47E5E">
            <w:r w:rsidRPr="004E13E9">
              <w:t>-5,054</w:t>
            </w:r>
          </w:p>
        </w:tc>
      </w:tr>
      <w:tr w:rsidR="003928B6" w:rsidRPr="004E13E9" w14:paraId="449E12DE"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726E4451" w14:textId="77777777" w:rsidR="003928B6" w:rsidRPr="004E13E9" w:rsidRDefault="003928B6" w:rsidP="00D47E5E">
            <w:pPr>
              <w:rPr>
                <w:rFonts w:eastAsia="Times New Roman" w:cs="Calibri"/>
              </w:rPr>
            </w:pPr>
            <w:r w:rsidRPr="004E13E9">
              <w:t>Newhaven</w:t>
            </w:r>
          </w:p>
        </w:tc>
        <w:tc>
          <w:tcPr>
            <w:tcW w:w="1276" w:type="dxa"/>
            <w:tcBorders>
              <w:top w:val="single" w:sz="4" w:space="0" w:color="000000" w:themeColor="text1"/>
              <w:left w:val="nil"/>
              <w:bottom w:val="single" w:sz="4" w:space="0" w:color="000000" w:themeColor="text1"/>
              <w:right w:val="nil"/>
            </w:tcBorders>
            <w:hideMark/>
          </w:tcPr>
          <w:p w14:paraId="0B3FD755"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2B348DC1" w14:textId="77777777" w:rsidR="003928B6" w:rsidRPr="004E13E9" w:rsidRDefault="003928B6" w:rsidP="00D47E5E">
            <w:pPr>
              <w:rPr>
                <w:rFonts w:eastAsia="Times New Roman" w:cs="Calibri"/>
              </w:rPr>
            </w:pPr>
            <w:r w:rsidRPr="004E13E9">
              <w:t>GBNHV</w:t>
            </w:r>
          </w:p>
        </w:tc>
        <w:tc>
          <w:tcPr>
            <w:tcW w:w="923" w:type="dxa"/>
            <w:gridSpan w:val="2"/>
            <w:tcBorders>
              <w:top w:val="single" w:sz="4" w:space="0" w:color="000000" w:themeColor="text1"/>
              <w:left w:val="nil"/>
              <w:bottom w:val="single" w:sz="4" w:space="0" w:color="000000" w:themeColor="text1"/>
              <w:right w:val="nil"/>
            </w:tcBorders>
            <w:hideMark/>
          </w:tcPr>
          <w:p w14:paraId="1A2EEF98" w14:textId="77777777" w:rsidR="003928B6" w:rsidRPr="004E13E9" w:rsidRDefault="003928B6" w:rsidP="00D47E5E">
            <w:pPr>
              <w:rPr>
                <w:rFonts w:eastAsia="Times New Roman" w:cs="Calibri"/>
              </w:rPr>
            </w:pPr>
            <w:r w:rsidRPr="004E13E9">
              <w:t>50,786</w:t>
            </w:r>
          </w:p>
        </w:tc>
        <w:tc>
          <w:tcPr>
            <w:tcW w:w="1060" w:type="dxa"/>
            <w:tcBorders>
              <w:top w:val="single" w:sz="4" w:space="0" w:color="000000" w:themeColor="text1"/>
              <w:left w:val="nil"/>
              <w:bottom w:val="single" w:sz="4" w:space="0" w:color="000000" w:themeColor="text1"/>
              <w:right w:val="single" w:sz="4" w:space="0" w:color="auto"/>
            </w:tcBorders>
            <w:hideMark/>
          </w:tcPr>
          <w:p w14:paraId="15AA62D4" w14:textId="77777777" w:rsidR="003928B6" w:rsidRPr="004E13E9" w:rsidRDefault="003928B6" w:rsidP="00D47E5E">
            <w:pPr>
              <w:rPr>
                <w:rFonts w:eastAsia="Times New Roman" w:cs="Calibri"/>
              </w:rPr>
            </w:pPr>
            <w:r w:rsidRPr="004E13E9">
              <w:t>0,058</w:t>
            </w:r>
          </w:p>
        </w:tc>
      </w:tr>
      <w:tr w:rsidR="003928B6" w:rsidRPr="004E13E9" w14:paraId="3FBF97BA"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7F469CCC" w14:textId="77777777" w:rsidR="003928B6" w:rsidRPr="004E13E9" w:rsidRDefault="003928B6" w:rsidP="00D47E5E">
            <w:pPr>
              <w:rPr>
                <w:rFonts w:eastAsia="Times New Roman" w:cs="Calibri"/>
              </w:rPr>
            </w:pPr>
            <w:r w:rsidRPr="004E13E9">
              <w:t>Newlyn</w:t>
            </w:r>
          </w:p>
        </w:tc>
        <w:tc>
          <w:tcPr>
            <w:tcW w:w="1276" w:type="dxa"/>
            <w:tcBorders>
              <w:top w:val="single" w:sz="4" w:space="0" w:color="000000" w:themeColor="text1"/>
              <w:left w:val="nil"/>
              <w:bottom w:val="single" w:sz="4" w:space="0" w:color="000000" w:themeColor="text1"/>
              <w:right w:val="nil"/>
            </w:tcBorders>
            <w:hideMark/>
          </w:tcPr>
          <w:p w14:paraId="52FA2942"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620D9939" w14:textId="77777777" w:rsidR="003928B6" w:rsidRPr="004E13E9" w:rsidRDefault="003928B6" w:rsidP="00D47E5E">
            <w:pPr>
              <w:rPr>
                <w:rFonts w:eastAsia="Times New Roman" w:cs="Calibri"/>
              </w:rPr>
            </w:pPr>
            <w:r w:rsidRPr="004E13E9">
              <w:t>GBNYL</w:t>
            </w:r>
          </w:p>
        </w:tc>
        <w:tc>
          <w:tcPr>
            <w:tcW w:w="923" w:type="dxa"/>
            <w:gridSpan w:val="2"/>
            <w:tcBorders>
              <w:top w:val="single" w:sz="4" w:space="0" w:color="000000" w:themeColor="text1"/>
              <w:left w:val="nil"/>
              <w:bottom w:val="single" w:sz="4" w:space="0" w:color="000000" w:themeColor="text1"/>
              <w:right w:val="nil"/>
            </w:tcBorders>
            <w:hideMark/>
          </w:tcPr>
          <w:p w14:paraId="3EBC0E27" w14:textId="77777777" w:rsidR="003928B6" w:rsidRPr="004E13E9" w:rsidRDefault="003928B6" w:rsidP="00D47E5E">
            <w:pPr>
              <w:rPr>
                <w:rFonts w:eastAsia="Times New Roman" w:cs="Calibri"/>
              </w:rPr>
            </w:pPr>
            <w:r w:rsidRPr="004E13E9">
              <w:t>50,104</w:t>
            </w:r>
          </w:p>
        </w:tc>
        <w:tc>
          <w:tcPr>
            <w:tcW w:w="1060" w:type="dxa"/>
            <w:tcBorders>
              <w:top w:val="single" w:sz="4" w:space="0" w:color="000000" w:themeColor="text1"/>
              <w:left w:val="nil"/>
              <w:bottom w:val="single" w:sz="4" w:space="0" w:color="000000" w:themeColor="text1"/>
              <w:right w:val="single" w:sz="4" w:space="0" w:color="auto"/>
            </w:tcBorders>
            <w:hideMark/>
          </w:tcPr>
          <w:p w14:paraId="4F77BDF7" w14:textId="77777777" w:rsidR="003928B6" w:rsidRPr="004E13E9" w:rsidRDefault="003928B6" w:rsidP="00D47E5E">
            <w:pPr>
              <w:rPr>
                <w:rFonts w:eastAsia="Times New Roman" w:cs="Calibri"/>
              </w:rPr>
            </w:pPr>
            <w:r w:rsidRPr="004E13E9">
              <w:t>-5,547</w:t>
            </w:r>
          </w:p>
        </w:tc>
      </w:tr>
      <w:tr w:rsidR="003928B6" w:rsidRPr="004E13E9" w14:paraId="5E47AFF3"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342CA319" w14:textId="77777777" w:rsidR="003928B6" w:rsidRPr="004E13E9" w:rsidRDefault="003928B6" w:rsidP="00D47E5E">
            <w:pPr>
              <w:rPr>
                <w:rFonts w:eastAsia="Times New Roman" w:cs="Calibri"/>
              </w:rPr>
            </w:pPr>
            <w:r w:rsidRPr="004E13E9">
              <w:t>Newquay</w:t>
            </w:r>
          </w:p>
        </w:tc>
        <w:tc>
          <w:tcPr>
            <w:tcW w:w="1276" w:type="dxa"/>
            <w:tcBorders>
              <w:top w:val="single" w:sz="4" w:space="0" w:color="000000" w:themeColor="text1"/>
              <w:left w:val="nil"/>
              <w:bottom w:val="single" w:sz="4" w:space="0" w:color="000000" w:themeColor="text1"/>
              <w:right w:val="nil"/>
            </w:tcBorders>
            <w:hideMark/>
          </w:tcPr>
          <w:p w14:paraId="2F79B878"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6BA6AAE2" w14:textId="77777777" w:rsidR="003928B6" w:rsidRPr="004E13E9" w:rsidRDefault="003928B6" w:rsidP="00D47E5E">
            <w:pPr>
              <w:rPr>
                <w:rFonts w:eastAsia="Times New Roman" w:cs="Calibri"/>
              </w:rPr>
            </w:pPr>
            <w:r w:rsidRPr="004E13E9">
              <w:t>GBNQY</w:t>
            </w:r>
          </w:p>
        </w:tc>
        <w:tc>
          <w:tcPr>
            <w:tcW w:w="923" w:type="dxa"/>
            <w:gridSpan w:val="2"/>
            <w:tcBorders>
              <w:top w:val="single" w:sz="4" w:space="0" w:color="000000" w:themeColor="text1"/>
              <w:left w:val="nil"/>
              <w:bottom w:val="single" w:sz="4" w:space="0" w:color="000000" w:themeColor="text1"/>
              <w:right w:val="nil"/>
            </w:tcBorders>
            <w:hideMark/>
          </w:tcPr>
          <w:p w14:paraId="73F69164" w14:textId="77777777" w:rsidR="003928B6" w:rsidRPr="004E13E9" w:rsidRDefault="003928B6" w:rsidP="00D47E5E">
            <w:pPr>
              <w:rPr>
                <w:rFonts w:eastAsia="Times New Roman" w:cs="Calibri"/>
              </w:rPr>
            </w:pPr>
            <w:r w:rsidRPr="004E13E9">
              <w:t>50,419</w:t>
            </w:r>
          </w:p>
        </w:tc>
        <w:tc>
          <w:tcPr>
            <w:tcW w:w="1060" w:type="dxa"/>
            <w:tcBorders>
              <w:top w:val="single" w:sz="4" w:space="0" w:color="000000" w:themeColor="text1"/>
              <w:left w:val="nil"/>
              <w:bottom w:val="single" w:sz="4" w:space="0" w:color="000000" w:themeColor="text1"/>
              <w:right w:val="single" w:sz="4" w:space="0" w:color="auto"/>
            </w:tcBorders>
            <w:hideMark/>
          </w:tcPr>
          <w:p w14:paraId="55349BBE" w14:textId="77777777" w:rsidR="003928B6" w:rsidRPr="004E13E9" w:rsidRDefault="003928B6" w:rsidP="00D47E5E">
            <w:pPr>
              <w:rPr>
                <w:rFonts w:eastAsia="Times New Roman" w:cs="Calibri"/>
              </w:rPr>
            </w:pPr>
            <w:r w:rsidRPr="004E13E9">
              <w:t>-5,083</w:t>
            </w:r>
          </w:p>
        </w:tc>
      </w:tr>
      <w:tr w:rsidR="003928B6" w:rsidRPr="004E13E9" w14:paraId="2EAFD412"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7F35D4A4" w14:textId="77777777" w:rsidR="003928B6" w:rsidRPr="004E13E9" w:rsidRDefault="003928B6" w:rsidP="00D47E5E">
            <w:pPr>
              <w:rPr>
                <w:rFonts w:eastAsia="Times New Roman" w:cs="Calibri"/>
              </w:rPr>
            </w:pPr>
            <w:r w:rsidRPr="004E13E9">
              <w:t>North Shields</w:t>
            </w:r>
          </w:p>
        </w:tc>
        <w:tc>
          <w:tcPr>
            <w:tcW w:w="1276" w:type="dxa"/>
            <w:tcBorders>
              <w:top w:val="single" w:sz="4" w:space="0" w:color="000000" w:themeColor="text1"/>
              <w:left w:val="nil"/>
              <w:bottom w:val="single" w:sz="4" w:space="0" w:color="000000" w:themeColor="text1"/>
              <w:right w:val="nil"/>
            </w:tcBorders>
            <w:hideMark/>
          </w:tcPr>
          <w:p w14:paraId="4F2B8FD6"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5539F31C" w14:textId="77777777" w:rsidR="003928B6" w:rsidRPr="004E13E9" w:rsidRDefault="003928B6" w:rsidP="00D47E5E">
            <w:pPr>
              <w:rPr>
                <w:rFonts w:eastAsia="Times New Roman" w:cs="Calibri"/>
              </w:rPr>
            </w:pPr>
            <w:r w:rsidRPr="004E13E9">
              <w:t>GBNSH</w:t>
            </w:r>
          </w:p>
        </w:tc>
        <w:tc>
          <w:tcPr>
            <w:tcW w:w="923" w:type="dxa"/>
            <w:gridSpan w:val="2"/>
            <w:tcBorders>
              <w:top w:val="single" w:sz="4" w:space="0" w:color="000000" w:themeColor="text1"/>
              <w:left w:val="nil"/>
              <w:bottom w:val="single" w:sz="4" w:space="0" w:color="000000" w:themeColor="text1"/>
              <w:right w:val="nil"/>
            </w:tcBorders>
            <w:hideMark/>
          </w:tcPr>
          <w:p w14:paraId="2B30685E" w14:textId="77777777" w:rsidR="003928B6" w:rsidRPr="004E13E9" w:rsidRDefault="003928B6" w:rsidP="00D47E5E">
            <w:pPr>
              <w:rPr>
                <w:rFonts w:eastAsia="Times New Roman" w:cs="Calibri"/>
              </w:rPr>
            </w:pPr>
            <w:r w:rsidRPr="004E13E9">
              <w:t>55,009</w:t>
            </w:r>
          </w:p>
        </w:tc>
        <w:tc>
          <w:tcPr>
            <w:tcW w:w="1060" w:type="dxa"/>
            <w:tcBorders>
              <w:top w:val="single" w:sz="4" w:space="0" w:color="000000" w:themeColor="text1"/>
              <w:left w:val="nil"/>
              <w:bottom w:val="single" w:sz="4" w:space="0" w:color="000000" w:themeColor="text1"/>
              <w:right w:val="single" w:sz="4" w:space="0" w:color="auto"/>
            </w:tcBorders>
            <w:hideMark/>
          </w:tcPr>
          <w:p w14:paraId="7B20A6E7" w14:textId="77777777" w:rsidR="003928B6" w:rsidRPr="004E13E9" w:rsidRDefault="003928B6" w:rsidP="00D47E5E">
            <w:pPr>
              <w:rPr>
                <w:rFonts w:eastAsia="Times New Roman" w:cs="Calibri"/>
              </w:rPr>
            </w:pPr>
            <w:r w:rsidRPr="004E13E9">
              <w:t>-1,439</w:t>
            </w:r>
          </w:p>
        </w:tc>
      </w:tr>
      <w:tr w:rsidR="003928B6" w:rsidRPr="004E13E9" w14:paraId="46BCDB81"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2A677C99" w14:textId="77777777" w:rsidR="003928B6" w:rsidRPr="004E13E9" w:rsidRDefault="003928B6" w:rsidP="00D47E5E">
            <w:pPr>
              <w:rPr>
                <w:rFonts w:eastAsia="Times New Roman" w:cs="Calibri"/>
              </w:rPr>
            </w:pPr>
            <w:r w:rsidRPr="004E13E9">
              <w:t>Padstow</w:t>
            </w:r>
          </w:p>
        </w:tc>
        <w:tc>
          <w:tcPr>
            <w:tcW w:w="1276" w:type="dxa"/>
            <w:tcBorders>
              <w:top w:val="single" w:sz="4" w:space="0" w:color="000000" w:themeColor="text1"/>
              <w:left w:val="nil"/>
              <w:bottom w:val="single" w:sz="4" w:space="0" w:color="000000" w:themeColor="text1"/>
              <w:right w:val="nil"/>
            </w:tcBorders>
            <w:hideMark/>
          </w:tcPr>
          <w:p w14:paraId="5F23CD0D"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7B7E52E5" w14:textId="77777777" w:rsidR="003928B6" w:rsidRPr="004E13E9" w:rsidRDefault="003928B6" w:rsidP="00D47E5E">
            <w:pPr>
              <w:rPr>
                <w:rFonts w:eastAsia="Times New Roman" w:cs="Calibri"/>
              </w:rPr>
            </w:pPr>
            <w:r w:rsidRPr="004E13E9">
              <w:t>GBPAD</w:t>
            </w:r>
          </w:p>
        </w:tc>
        <w:tc>
          <w:tcPr>
            <w:tcW w:w="923" w:type="dxa"/>
            <w:gridSpan w:val="2"/>
            <w:tcBorders>
              <w:top w:val="single" w:sz="4" w:space="0" w:color="000000" w:themeColor="text1"/>
              <w:left w:val="nil"/>
              <w:bottom w:val="single" w:sz="4" w:space="0" w:color="000000" w:themeColor="text1"/>
              <w:right w:val="nil"/>
            </w:tcBorders>
            <w:hideMark/>
          </w:tcPr>
          <w:p w14:paraId="383F1FF7" w14:textId="77777777" w:rsidR="003928B6" w:rsidRPr="004E13E9" w:rsidRDefault="003928B6" w:rsidP="00D47E5E">
            <w:pPr>
              <w:rPr>
                <w:rFonts w:eastAsia="Times New Roman" w:cs="Calibri"/>
              </w:rPr>
            </w:pPr>
            <w:r w:rsidRPr="004E13E9">
              <w:t>50,540</w:t>
            </w:r>
          </w:p>
        </w:tc>
        <w:tc>
          <w:tcPr>
            <w:tcW w:w="1060" w:type="dxa"/>
            <w:tcBorders>
              <w:top w:val="single" w:sz="4" w:space="0" w:color="000000" w:themeColor="text1"/>
              <w:left w:val="nil"/>
              <w:bottom w:val="single" w:sz="4" w:space="0" w:color="000000" w:themeColor="text1"/>
              <w:right w:val="single" w:sz="4" w:space="0" w:color="auto"/>
            </w:tcBorders>
            <w:hideMark/>
          </w:tcPr>
          <w:p w14:paraId="68BA1B79" w14:textId="77777777" w:rsidR="003928B6" w:rsidRPr="004E13E9" w:rsidRDefault="003928B6" w:rsidP="00D47E5E">
            <w:pPr>
              <w:rPr>
                <w:rFonts w:eastAsia="Times New Roman" w:cs="Calibri"/>
              </w:rPr>
            </w:pPr>
            <w:r w:rsidRPr="004E13E9">
              <w:t>-4,936</w:t>
            </w:r>
          </w:p>
        </w:tc>
      </w:tr>
      <w:tr w:rsidR="003928B6" w:rsidRPr="004E13E9" w14:paraId="1C17F8B0"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563DC8F1" w14:textId="77777777" w:rsidR="003928B6" w:rsidRPr="004E13E9" w:rsidRDefault="003928B6" w:rsidP="00D47E5E">
            <w:pPr>
              <w:rPr>
                <w:rFonts w:eastAsia="Times New Roman" w:cs="Calibri"/>
              </w:rPr>
            </w:pPr>
            <w:r w:rsidRPr="004E13E9">
              <w:t>Plymouth</w:t>
            </w:r>
          </w:p>
        </w:tc>
        <w:tc>
          <w:tcPr>
            <w:tcW w:w="1276" w:type="dxa"/>
            <w:tcBorders>
              <w:top w:val="single" w:sz="4" w:space="0" w:color="000000" w:themeColor="text1"/>
              <w:left w:val="nil"/>
              <w:bottom w:val="single" w:sz="4" w:space="0" w:color="000000" w:themeColor="text1"/>
              <w:right w:val="nil"/>
            </w:tcBorders>
            <w:hideMark/>
          </w:tcPr>
          <w:p w14:paraId="1B52A0AB"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4BEA6ECD" w14:textId="77777777" w:rsidR="003928B6" w:rsidRPr="004E13E9" w:rsidRDefault="003928B6" w:rsidP="00D47E5E">
            <w:pPr>
              <w:rPr>
                <w:rFonts w:eastAsia="Times New Roman" w:cs="Calibri"/>
              </w:rPr>
            </w:pPr>
            <w:r w:rsidRPr="004E13E9">
              <w:t>GBPLY</w:t>
            </w:r>
          </w:p>
        </w:tc>
        <w:tc>
          <w:tcPr>
            <w:tcW w:w="923" w:type="dxa"/>
            <w:gridSpan w:val="2"/>
            <w:tcBorders>
              <w:top w:val="single" w:sz="4" w:space="0" w:color="000000" w:themeColor="text1"/>
              <w:left w:val="nil"/>
              <w:bottom w:val="single" w:sz="4" w:space="0" w:color="000000" w:themeColor="text1"/>
              <w:right w:val="nil"/>
            </w:tcBorders>
            <w:hideMark/>
          </w:tcPr>
          <w:p w14:paraId="7BA98E87" w14:textId="77777777" w:rsidR="003928B6" w:rsidRPr="004E13E9" w:rsidRDefault="003928B6" w:rsidP="00D47E5E">
            <w:pPr>
              <w:rPr>
                <w:rFonts w:eastAsia="Times New Roman" w:cs="Calibri"/>
              </w:rPr>
            </w:pPr>
            <w:r w:rsidRPr="004E13E9">
              <w:t>50,372</w:t>
            </w:r>
          </w:p>
        </w:tc>
        <w:tc>
          <w:tcPr>
            <w:tcW w:w="1060" w:type="dxa"/>
            <w:tcBorders>
              <w:top w:val="single" w:sz="4" w:space="0" w:color="000000" w:themeColor="text1"/>
              <w:left w:val="nil"/>
              <w:bottom w:val="single" w:sz="4" w:space="0" w:color="000000" w:themeColor="text1"/>
              <w:right w:val="single" w:sz="4" w:space="0" w:color="auto"/>
            </w:tcBorders>
            <w:hideMark/>
          </w:tcPr>
          <w:p w14:paraId="32CDCC00" w14:textId="77777777" w:rsidR="003928B6" w:rsidRPr="004E13E9" w:rsidRDefault="003928B6" w:rsidP="00D47E5E">
            <w:pPr>
              <w:rPr>
                <w:rFonts w:eastAsia="Times New Roman" w:cs="Calibri"/>
              </w:rPr>
            </w:pPr>
            <w:r w:rsidRPr="004E13E9">
              <w:t>-4,150</w:t>
            </w:r>
          </w:p>
        </w:tc>
      </w:tr>
      <w:tr w:rsidR="003928B6" w:rsidRPr="004E13E9" w14:paraId="33B0401D"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tcPr>
          <w:p w14:paraId="5EAC45DD" w14:textId="77777777" w:rsidR="003928B6" w:rsidRPr="004E13E9" w:rsidRDefault="003928B6" w:rsidP="00D47E5E">
            <w:pPr>
              <w:rPr>
                <w:rFonts w:eastAsia="Times New Roman" w:cs="Calibri"/>
              </w:rPr>
            </w:pPr>
            <w:r w:rsidRPr="004E13E9">
              <w:t>Port Issac</w:t>
            </w:r>
          </w:p>
        </w:tc>
        <w:tc>
          <w:tcPr>
            <w:tcW w:w="1276" w:type="dxa"/>
            <w:tcBorders>
              <w:top w:val="single" w:sz="4" w:space="0" w:color="000000" w:themeColor="text1"/>
              <w:left w:val="nil"/>
              <w:bottom w:val="single" w:sz="4" w:space="0" w:color="000000" w:themeColor="text1"/>
              <w:right w:val="nil"/>
            </w:tcBorders>
          </w:tcPr>
          <w:p w14:paraId="12010588"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tcPr>
          <w:p w14:paraId="4C3DE881" w14:textId="77777777" w:rsidR="003928B6" w:rsidRPr="004E13E9" w:rsidRDefault="003928B6" w:rsidP="00D47E5E">
            <w:pPr>
              <w:rPr>
                <w:rFonts w:eastAsia="Times New Roman" w:cs="Calibri"/>
              </w:rPr>
            </w:pPr>
            <w:r w:rsidRPr="004E13E9">
              <w:t>GBISA</w:t>
            </w:r>
          </w:p>
        </w:tc>
        <w:tc>
          <w:tcPr>
            <w:tcW w:w="923" w:type="dxa"/>
            <w:gridSpan w:val="2"/>
            <w:tcBorders>
              <w:top w:val="single" w:sz="4" w:space="0" w:color="000000" w:themeColor="text1"/>
              <w:left w:val="nil"/>
              <w:bottom w:val="single" w:sz="4" w:space="0" w:color="000000" w:themeColor="text1"/>
              <w:right w:val="nil"/>
            </w:tcBorders>
          </w:tcPr>
          <w:p w14:paraId="7E0D7C3E" w14:textId="77777777" w:rsidR="003928B6" w:rsidRPr="004E13E9" w:rsidRDefault="003928B6" w:rsidP="00D47E5E">
            <w:pPr>
              <w:rPr>
                <w:rFonts w:eastAsia="Times New Roman" w:cs="Calibri"/>
              </w:rPr>
            </w:pPr>
            <w:r w:rsidRPr="004E13E9">
              <w:t>50,594</w:t>
            </w:r>
          </w:p>
        </w:tc>
        <w:tc>
          <w:tcPr>
            <w:tcW w:w="1060" w:type="dxa"/>
            <w:tcBorders>
              <w:top w:val="single" w:sz="4" w:space="0" w:color="000000" w:themeColor="text1"/>
              <w:left w:val="nil"/>
              <w:bottom w:val="single" w:sz="4" w:space="0" w:color="000000" w:themeColor="text1"/>
              <w:right w:val="single" w:sz="4" w:space="0" w:color="auto"/>
            </w:tcBorders>
          </w:tcPr>
          <w:p w14:paraId="66645F7E" w14:textId="77777777" w:rsidR="003928B6" w:rsidRPr="004E13E9" w:rsidRDefault="003928B6" w:rsidP="00D47E5E">
            <w:pPr>
              <w:rPr>
                <w:rFonts w:eastAsia="Times New Roman" w:cs="Calibri"/>
              </w:rPr>
            </w:pPr>
            <w:r w:rsidRPr="004E13E9">
              <w:t>-4,834</w:t>
            </w:r>
          </w:p>
        </w:tc>
      </w:tr>
      <w:tr w:rsidR="003928B6" w:rsidRPr="004E13E9" w14:paraId="2C18B8AB"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tcPr>
          <w:p w14:paraId="0B985C20" w14:textId="77777777" w:rsidR="003928B6" w:rsidRPr="004E13E9" w:rsidRDefault="003928B6" w:rsidP="00D47E5E">
            <w:pPr>
              <w:ind w:right="-250"/>
              <w:rPr>
                <w:rFonts w:eastAsia="Times New Roman" w:cs="Calibri"/>
              </w:rPr>
            </w:pPr>
            <w:r w:rsidRPr="004E13E9">
              <w:t>Port Navas (Helford River)</w:t>
            </w:r>
          </w:p>
        </w:tc>
        <w:tc>
          <w:tcPr>
            <w:tcW w:w="1276" w:type="dxa"/>
            <w:tcBorders>
              <w:top w:val="single" w:sz="4" w:space="0" w:color="000000" w:themeColor="text1"/>
              <w:left w:val="nil"/>
              <w:bottom w:val="single" w:sz="4" w:space="0" w:color="000000" w:themeColor="text1"/>
              <w:right w:val="nil"/>
            </w:tcBorders>
          </w:tcPr>
          <w:p w14:paraId="6F12E4F4"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tcPr>
          <w:p w14:paraId="42E660B9" w14:textId="77777777" w:rsidR="003928B6" w:rsidRPr="004E13E9" w:rsidRDefault="003928B6" w:rsidP="00D47E5E">
            <w:pPr>
              <w:rPr>
                <w:rFonts w:eastAsia="Times New Roman" w:cs="Calibri"/>
              </w:rPr>
            </w:pPr>
            <w:r w:rsidRPr="004E13E9">
              <w:t>GBHDR</w:t>
            </w:r>
          </w:p>
        </w:tc>
        <w:tc>
          <w:tcPr>
            <w:tcW w:w="923" w:type="dxa"/>
            <w:gridSpan w:val="2"/>
            <w:tcBorders>
              <w:top w:val="single" w:sz="4" w:space="0" w:color="000000" w:themeColor="text1"/>
              <w:left w:val="nil"/>
              <w:bottom w:val="single" w:sz="4" w:space="0" w:color="000000" w:themeColor="text1"/>
              <w:right w:val="nil"/>
            </w:tcBorders>
          </w:tcPr>
          <w:p w14:paraId="1B196B42" w14:textId="77777777" w:rsidR="003928B6" w:rsidRPr="004E13E9" w:rsidRDefault="003928B6" w:rsidP="00D47E5E">
            <w:pPr>
              <w:rPr>
                <w:rFonts w:eastAsia="Times New Roman" w:cs="Calibri"/>
              </w:rPr>
            </w:pPr>
            <w:r w:rsidRPr="004E13E9">
              <w:t>50,106</w:t>
            </w:r>
          </w:p>
        </w:tc>
        <w:tc>
          <w:tcPr>
            <w:tcW w:w="1060" w:type="dxa"/>
            <w:tcBorders>
              <w:top w:val="single" w:sz="4" w:space="0" w:color="000000" w:themeColor="text1"/>
              <w:left w:val="nil"/>
              <w:bottom w:val="single" w:sz="4" w:space="0" w:color="000000" w:themeColor="text1"/>
              <w:right w:val="single" w:sz="4" w:space="0" w:color="auto"/>
            </w:tcBorders>
          </w:tcPr>
          <w:p w14:paraId="3934727B" w14:textId="77777777" w:rsidR="003928B6" w:rsidRPr="004E13E9" w:rsidRDefault="003928B6" w:rsidP="00D47E5E">
            <w:pPr>
              <w:rPr>
                <w:rFonts w:eastAsia="Times New Roman" w:cs="Calibri"/>
              </w:rPr>
            </w:pPr>
            <w:r w:rsidRPr="004E13E9">
              <w:t>-5,141</w:t>
            </w:r>
          </w:p>
        </w:tc>
      </w:tr>
      <w:tr w:rsidR="003928B6" w:rsidRPr="004E13E9" w14:paraId="7F8FC3DD"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4B7145BF" w14:textId="77777777" w:rsidR="003928B6" w:rsidRPr="004E13E9" w:rsidRDefault="003928B6" w:rsidP="00D47E5E">
            <w:pPr>
              <w:rPr>
                <w:rFonts w:eastAsia="Times New Roman" w:cs="Calibri"/>
              </w:rPr>
            </w:pPr>
            <w:proofErr w:type="spellStart"/>
            <w:r w:rsidRPr="004E13E9">
              <w:t>Porthleven</w:t>
            </w:r>
            <w:proofErr w:type="spellEnd"/>
          </w:p>
        </w:tc>
        <w:tc>
          <w:tcPr>
            <w:tcW w:w="1276" w:type="dxa"/>
            <w:tcBorders>
              <w:top w:val="single" w:sz="4" w:space="0" w:color="000000" w:themeColor="text1"/>
              <w:left w:val="nil"/>
              <w:bottom w:val="single" w:sz="4" w:space="0" w:color="000000" w:themeColor="text1"/>
              <w:right w:val="nil"/>
            </w:tcBorders>
            <w:hideMark/>
          </w:tcPr>
          <w:p w14:paraId="538D911E"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790518D7" w14:textId="77777777" w:rsidR="003928B6" w:rsidRPr="004E13E9" w:rsidRDefault="003928B6" w:rsidP="00D47E5E">
            <w:pPr>
              <w:rPr>
                <w:rFonts w:eastAsia="Times New Roman" w:cs="Calibri"/>
              </w:rPr>
            </w:pPr>
            <w:r w:rsidRPr="004E13E9">
              <w:t>GBPLV</w:t>
            </w:r>
          </w:p>
        </w:tc>
        <w:tc>
          <w:tcPr>
            <w:tcW w:w="923" w:type="dxa"/>
            <w:gridSpan w:val="2"/>
            <w:tcBorders>
              <w:top w:val="single" w:sz="4" w:space="0" w:color="000000" w:themeColor="text1"/>
              <w:left w:val="nil"/>
              <w:bottom w:val="single" w:sz="4" w:space="0" w:color="000000" w:themeColor="text1"/>
              <w:right w:val="nil"/>
            </w:tcBorders>
            <w:hideMark/>
          </w:tcPr>
          <w:p w14:paraId="5396F45A" w14:textId="77777777" w:rsidR="003928B6" w:rsidRPr="004E13E9" w:rsidRDefault="003928B6" w:rsidP="00D47E5E">
            <w:pPr>
              <w:rPr>
                <w:rFonts w:eastAsia="Times New Roman" w:cs="Calibri"/>
              </w:rPr>
            </w:pPr>
            <w:r w:rsidRPr="004E13E9">
              <w:t>50,086</w:t>
            </w:r>
          </w:p>
        </w:tc>
        <w:tc>
          <w:tcPr>
            <w:tcW w:w="1060" w:type="dxa"/>
            <w:tcBorders>
              <w:top w:val="single" w:sz="4" w:space="0" w:color="000000" w:themeColor="text1"/>
              <w:left w:val="nil"/>
              <w:bottom w:val="single" w:sz="4" w:space="0" w:color="000000" w:themeColor="text1"/>
              <w:right w:val="single" w:sz="4" w:space="0" w:color="auto"/>
            </w:tcBorders>
            <w:hideMark/>
          </w:tcPr>
          <w:p w14:paraId="61291176" w14:textId="77777777" w:rsidR="003928B6" w:rsidRPr="004E13E9" w:rsidRDefault="003928B6" w:rsidP="00D47E5E">
            <w:pPr>
              <w:rPr>
                <w:rFonts w:eastAsia="Times New Roman" w:cs="Calibri"/>
              </w:rPr>
            </w:pPr>
            <w:r w:rsidRPr="004E13E9">
              <w:t>-5,315</w:t>
            </w:r>
          </w:p>
        </w:tc>
      </w:tr>
      <w:tr w:rsidR="003928B6" w:rsidRPr="004E13E9" w14:paraId="6C7A8B7B"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4959F9FC" w14:textId="77777777" w:rsidR="003928B6" w:rsidRPr="004E13E9" w:rsidRDefault="003928B6" w:rsidP="00D47E5E">
            <w:pPr>
              <w:rPr>
                <w:rFonts w:eastAsia="Times New Roman" w:cs="Calibri"/>
              </w:rPr>
            </w:pPr>
            <w:r w:rsidRPr="004E13E9">
              <w:t>Portsmouth</w:t>
            </w:r>
          </w:p>
        </w:tc>
        <w:tc>
          <w:tcPr>
            <w:tcW w:w="1276" w:type="dxa"/>
            <w:tcBorders>
              <w:top w:val="single" w:sz="4" w:space="0" w:color="000000" w:themeColor="text1"/>
              <w:left w:val="nil"/>
              <w:bottom w:val="single" w:sz="4" w:space="0" w:color="000000" w:themeColor="text1"/>
              <w:right w:val="nil"/>
            </w:tcBorders>
            <w:hideMark/>
          </w:tcPr>
          <w:p w14:paraId="1BD80666"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497A4654" w14:textId="77777777" w:rsidR="003928B6" w:rsidRPr="004E13E9" w:rsidRDefault="003928B6" w:rsidP="00D47E5E">
            <w:pPr>
              <w:rPr>
                <w:rFonts w:eastAsia="Times New Roman" w:cs="Calibri"/>
              </w:rPr>
            </w:pPr>
            <w:r w:rsidRPr="004E13E9">
              <w:t>GBPME</w:t>
            </w:r>
          </w:p>
        </w:tc>
        <w:tc>
          <w:tcPr>
            <w:tcW w:w="923" w:type="dxa"/>
            <w:gridSpan w:val="2"/>
            <w:tcBorders>
              <w:top w:val="single" w:sz="4" w:space="0" w:color="000000" w:themeColor="text1"/>
              <w:left w:val="nil"/>
              <w:bottom w:val="single" w:sz="4" w:space="0" w:color="000000" w:themeColor="text1"/>
              <w:right w:val="nil"/>
            </w:tcBorders>
            <w:hideMark/>
          </w:tcPr>
          <w:p w14:paraId="72E8E518" w14:textId="77777777" w:rsidR="003928B6" w:rsidRPr="004E13E9" w:rsidRDefault="003928B6" w:rsidP="00D47E5E">
            <w:pPr>
              <w:rPr>
                <w:rFonts w:eastAsia="Times New Roman" w:cs="Calibri"/>
              </w:rPr>
            </w:pPr>
            <w:r w:rsidRPr="004E13E9">
              <w:t>50,803</w:t>
            </w:r>
          </w:p>
        </w:tc>
        <w:tc>
          <w:tcPr>
            <w:tcW w:w="1060" w:type="dxa"/>
            <w:tcBorders>
              <w:top w:val="single" w:sz="4" w:space="0" w:color="000000" w:themeColor="text1"/>
              <w:left w:val="nil"/>
              <w:bottom w:val="single" w:sz="4" w:space="0" w:color="000000" w:themeColor="text1"/>
              <w:right w:val="single" w:sz="4" w:space="0" w:color="auto"/>
            </w:tcBorders>
            <w:hideMark/>
          </w:tcPr>
          <w:p w14:paraId="6BA9CF17" w14:textId="77777777" w:rsidR="003928B6" w:rsidRPr="004E13E9" w:rsidRDefault="003928B6" w:rsidP="00D47E5E">
            <w:pPr>
              <w:rPr>
                <w:rFonts w:eastAsia="Times New Roman" w:cs="Calibri"/>
              </w:rPr>
            </w:pPr>
            <w:r w:rsidRPr="004E13E9">
              <w:t>-1,102</w:t>
            </w:r>
          </w:p>
        </w:tc>
      </w:tr>
      <w:tr w:rsidR="003928B6" w:rsidRPr="004E13E9" w14:paraId="3CFB1B84"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3445DDB4" w14:textId="77777777" w:rsidR="003928B6" w:rsidRPr="004E13E9" w:rsidRDefault="003928B6" w:rsidP="00D47E5E">
            <w:pPr>
              <w:rPr>
                <w:rFonts w:eastAsia="Times New Roman" w:cs="Calibri"/>
              </w:rPr>
            </w:pPr>
            <w:r w:rsidRPr="004E13E9">
              <w:t>Rye</w:t>
            </w:r>
          </w:p>
        </w:tc>
        <w:tc>
          <w:tcPr>
            <w:tcW w:w="1276" w:type="dxa"/>
            <w:tcBorders>
              <w:top w:val="single" w:sz="4" w:space="0" w:color="000000" w:themeColor="text1"/>
              <w:left w:val="nil"/>
              <w:bottom w:val="single" w:sz="4" w:space="0" w:color="000000" w:themeColor="text1"/>
              <w:right w:val="nil"/>
            </w:tcBorders>
            <w:hideMark/>
          </w:tcPr>
          <w:p w14:paraId="77570B25"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61537297" w14:textId="77777777" w:rsidR="003928B6" w:rsidRPr="004E13E9" w:rsidRDefault="003928B6" w:rsidP="00D47E5E">
            <w:pPr>
              <w:rPr>
                <w:rFonts w:eastAsia="Times New Roman" w:cs="Calibri"/>
              </w:rPr>
            </w:pPr>
            <w:r w:rsidRPr="004E13E9">
              <w:t>GBRYE</w:t>
            </w:r>
          </w:p>
        </w:tc>
        <w:tc>
          <w:tcPr>
            <w:tcW w:w="923" w:type="dxa"/>
            <w:gridSpan w:val="2"/>
            <w:tcBorders>
              <w:top w:val="single" w:sz="4" w:space="0" w:color="000000" w:themeColor="text1"/>
              <w:left w:val="nil"/>
              <w:bottom w:val="single" w:sz="4" w:space="0" w:color="000000" w:themeColor="text1"/>
              <w:right w:val="nil"/>
            </w:tcBorders>
            <w:hideMark/>
          </w:tcPr>
          <w:p w14:paraId="595FF747" w14:textId="77777777" w:rsidR="003928B6" w:rsidRPr="004E13E9" w:rsidRDefault="003928B6" w:rsidP="00D47E5E">
            <w:pPr>
              <w:rPr>
                <w:rFonts w:eastAsia="Times New Roman" w:cs="Calibri"/>
              </w:rPr>
            </w:pPr>
            <w:r w:rsidRPr="004E13E9">
              <w:t>50,945</w:t>
            </w:r>
          </w:p>
        </w:tc>
        <w:tc>
          <w:tcPr>
            <w:tcW w:w="1060" w:type="dxa"/>
            <w:tcBorders>
              <w:top w:val="single" w:sz="4" w:space="0" w:color="000000" w:themeColor="text1"/>
              <w:left w:val="nil"/>
              <w:bottom w:val="single" w:sz="4" w:space="0" w:color="000000" w:themeColor="text1"/>
              <w:right w:val="single" w:sz="4" w:space="0" w:color="auto"/>
            </w:tcBorders>
            <w:hideMark/>
          </w:tcPr>
          <w:p w14:paraId="519E3243" w14:textId="77777777" w:rsidR="003928B6" w:rsidRPr="004E13E9" w:rsidRDefault="003928B6" w:rsidP="00D47E5E">
            <w:pPr>
              <w:rPr>
                <w:rFonts w:eastAsia="Times New Roman" w:cs="Calibri"/>
              </w:rPr>
            </w:pPr>
            <w:r w:rsidRPr="004E13E9">
              <w:t>0,747</w:t>
            </w:r>
          </w:p>
        </w:tc>
      </w:tr>
      <w:tr w:rsidR="003928B6" w:rsidRPr="004E13E9" w14:paraId="3630663B"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085B755E" w14:textId="77777777" w:rsidR="003928B6" w:rsidRPr="004E13E9" w:rsidRDefault="003928B6" w:rsidP="00D47E5E">
            <w:pPr>
              <w:rPr>
                <w:rFonts w:eastAsia="Times New Roman" w:cs="Calibri"/>
              </w:rPr>
            </w:pPr>
            <w:r w:rsidRPr="004E13E9">
              <w:t>Scarborough</w:t>
            </w:r>
          </w:p>
        </w:tc>
        <w:tc>
          <w:tcPr>
            <w:tcW w:w="1276" w:type="dxa"/>
            <w:tcBorders>
              <w:top w:val="single" w:sz="4" w:space="0" w:color="000000" w:themeColor="text1"/>
              <w:left w:val="nil"/>
              <w:bottom w:val="single" w:sz="4" w:space="0" w:color="000000" w:themeColor="text1"/>
              <w:right w:val="nil"/>
            </w:tcBorders>
            <w:hideMark/>
          </w:tcPr>
          <w:p w14:paraId="37B24588"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4D223697" w14:textId="77777777" w:rsidR="003928B6" w:rsidRPr="004E13E9" w:rsidRDefault="003928B6" w:rsidP="00D47E5E">
            <w:pPr>
              <w:rPr>
                <w:rFonts w:eastAsia="Times New Roman" w:cs="Calibri"/>
              </w:rPr>
            </w:pPr>
            <w:r w:rsidRPr="004E13E9">
              <w:t>GBSCA</w:t>
            </w:r>
          </w:p>
        </w:tc>
        <w:tc>
          <w:tcPr>
            <w:tcW w:w="923" w:type="dxa"/>
            <w:gridSpan w:val="2"/>
            <w:tcBorders>
              <w:top w:val="single" w:sz="4" w:space="0" w:color="000000" w:themeColor="text1"/>
              <w:left w:val="nil"/>
              <w:bottom w:val="single" w:sz="4" w:space="0" w:color="000000" w:themeColor="text1"/>
              <w:right w:val="nil"/>
            </w:tcBorders>
            <w:hideMark/>
          </w:tcPr>
          <w:p w14:paraId="349523EF" w14:textId="77777777" w:rsidR="003928B6" w:rsidRPr="004E13E9" w:rsidRDefault="003928B6" w:rsidP="00D47E5E">
            <w:pPr>
              <w:rPr>
                <w:rFonts w:eastAsia="Times New Roman" w:cs="Calibri"/>
              </w:rPr>
            </w:pPr>
            <w:r w:rsidRPr="004E13E9">
              <w:t>54,283</w:t>
            </w:r>
          </w:p>
        </w:tc>
        <w:tc>
          <w:tcPr>
            <w:tcW w:w="1060" w:type="dxa"/>
            <w:tcBorders>
              <w:top w:val="single" w:sz="4" w:space="0" w:color="000000" w:themeColor="text1"/>
              <w:left w:val="nil"/>
              <w:bottom w:val="single" w:sz="4" w:space="0" w:color="000000" w:themeColor="text1"/>
              <w:right w:val="single" w:sz="4" w:space="0" w:color="auto"/>
            </w:tcBorders>
            <w:hideMark/>
          </w:tcPr>
          <w:p w14:paraId="589062F0" w14:textId="77777777" w:rsidR="003928B6" w:rsidRPr="004E13E9" w:rsidRDefault="003928B6" w:rsidP="00D47E5E">
            <w:pPr>
              <w:rPr>
                <w:rFonts w:eastAsia="Times New Roman" w:cs="Calibri"/>
              </w:rPr>
            </w:pPr>
            <w:r w:rsidRPr="004E13E9">
              <w:t>-0,390</w:t>
            </w:r>
          </w:p>
        </w:tc>
      </w:tr>
      <w:tr w:rsidR="003928B6" w:rsidRPr="004E13E9" w14:paraId="3A42723F"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79CEC57D" w14:textId="77777777" w:rsidR="003928B6" w:rsidRPr="004E13E9" w:rsidRDefault="003928B6" w:rsidP="00D47E5E">
            <w:pPr>
              <w:rPr>
                <w:rFonts w:eastAsia="Times New Roman" w:cs="Calibri"/>
              </w:rPr>
            </w:pPr>
            <w:r w:rsidRPr="004E13E9">
              <w:t>Shoreham</w:t>
            </w:r>
          </w:p>
        </w:tc>
        <w:tc>
          <w:tcPr>
            <w:tcW w:w="1276" w:type="dxa"/>
            <w:tcBorders>
              <w:top w:val="single" w:sz="4" w:space="0" w:color="000000" w:themeColor="text1"/>
              <w:left w:val="nil"/>
              <w:bottom w:val="single" w:sz="4" w:space="0" w:color="000000" w:themeColor="text1"/>
              <w:right w:val="nil"/>
            </w:tcBorders>
            <w:hideMark/>
          </w:tcPr>
          <w:p w14:paraId="0C7B475F"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706DBDD5" w14:textId="77777777" w:rsidR="003928B6" w:rsidRPr="004E13E9" w:rsidRDefault="003928B6" w:rsidP="00D47E5E">
            <w:pPr>
              <w:rPr>
                <w:rFonts w:eastAsia="Times New Roman" w:cs="Calibri"/>
              </w:rPr>
            </w:pPr>
            <w:r w:rsidRPr="004E13E9">
              <w:t>GBSHO</w:t>
            </w:r>
          </w:p>
        </w:tc>
        <w:tc>
          <w:tcPr>
            <w:tcW w:w="923" w:type="dxa"/>
            <w:gridSpan w:val="2"/>
            <w:tcBorders>
              <w:top w:val="single" w:sz="4" w:space="0" w:color="000000" w:themeColor="text1"/>
              <w:left w:val="nil"/>
              <w:bottom w:val="single" w:sz="4" w:space="0" w:color="000000" w:themeColor="text1"/>
              <w:right w:val="nil"/>
            </w:tcBorders>
            <w:hideMark/>
          </w:tcPr>
          <w:p w14:paraId="3D1888AB" w14:textId="77777777" w:rsidR="003928B6" w:rsidRPr="004E13E9" w:rsidRDefault="003928B6" w:rsidP="00D47E5E">
            <w:pPr>
              <w:rPr>
                <w:rFonts w:eastAsia="Times New Roman" w:cs="Calibri"/>
              </w:rPr>
            </w:pPr>
            <w:r w:rsidRPr="004E13E9">
              <w:t>50,830</w:t>
            </w:r>
          </w:p>
        </w:tc>
        <w:tc>
          <w:tcPr>
            <w:tcW w:w="1060" w:type="dxa"/>
            <w:tcBorders>
              <w:top w:val="single" w:sz="4" w:space="0" w:color="000000" w:themeColor="text1"/>
              <w:left w:val="nil"/>
              <w:bottom w:val="single" w:sz="4" w:space="0" w:color="000000" w:themeColor="text1"/>
              <w:right w:val="single" w:sz="4" w:space="0" w:color="auto"/>
            </w:tcBorders>
            <w:hideMark/>
          </w:tcPr>
          <w:p w14:paraId="713FDE5C" w14:textId="77777777" w:rsidR="003928B6" w:rsidRPr="004E13E9" w:rsidRDefault="003928B6" w:rsidP="00D47E5E">
            <w:pPr>
              <w:rPr>
                <w:rFonts w:eastAsia="Times New Roman" w:cs="Calibri"/>
              </w:rPr>
            </w:pPr>
            <w:r w:rsidRPr="004E13E9">
              <w:t>-0,233</w:t>
            </w:r>
          </w:p>
        </w:tc>
      </w:tr>
      <w:tr w:rsidR="003928B6" w:rsidRPr="004E13E9" w14:paraId="39C4BA17"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tcPr>
          <w:p w14:paraId="2225BA6C" w14:textId="77777777" w:rsidR="003928B6" w:rsidRPr="004E13E9" w:rsidRDefault="003928B6" w:rsidP="00D47E5E">
            <w:pPr>
              <w:rPr>
                <w:rFonts w:eastAsia="Times New Roman" w:cs="Calibri"/>
              </w:rPr>
            </w:pPr>
            <w:r w:rsidRPr="004E13E9">
              <w:t>St Helier</w:t>
            </w:r>
          </w:p>
        </w:tc>
        <w:tc>
          <w:tcPr>
            <w:tcW w:w="1276" w:type="dxa"/>
            <w:tcBorders>
              <w:top w:val="single" w:sz="4" w:space="0" w:color="000000" w:themeColor="text1"/>
              <w:left w:val="nil"/>
              <w:bottom w:val="single" w:sz="4" w:space="0" w:color="000000" w:themeColor="text1"/>
              <w:right w:val="nil"/>
            </w:tcBorders>
          </w:tcPr>
          <w:p w14:paraId="1C6D8B6A"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tcPr>
          <w:p w14:paraId="318A349B" w14:textId="77777777" w:rsidR="003928B6" w:rsidRPr="004E13E9" w:rsidRDefault="003928B6" w:rsidP="00D47E5E">
            <w:pPr>
              <w:rPr>
                <w:rFonts w:eastAsia="Times New Roman" w:cs="Calibri"/>
              </w:rPr>
            </w:pPr>
            <w:r w:rsidRPr="004E13E9">
              <w:t>JESTH</w:t>
            </w:r>
          </w:p>
        </w:tc>
        <w:tc>
          <w:tcPr>
            <w:tcW w:w="923" w:type="dxa"/>
            <w:gridSpan w:val="2"/>
            <w:tcBorders>
              <w:top w:val="single" w:sz="4" w:space="0" w:color="000000" w:themeColor="text1"/>
              <w:left w:val="nil"/>
              <w:bottom w:val="single" w:sz="4" w:space="0" w:color="000000" w:themeColor="text1"/>
              <w:right w:val="nil"/>
            </w:tcBorders>
          </w:tcPr>
          <w:p w14:paraId="1E10E2A5" w14:textId="77777777" w:rsidR="003928B6" w:rsidRPr="004E13E9" w:rsidRDefault="003928B6" w:rsidP="00D47E5E">
            <w:pPr>
              <w:rPr>
                <w:rFonts w:eastAsia="Times New Roman" w:cs="Calibri"/>
              </w:rPr>
            </w:pPr>
            <w:r w:rsidRPr="004E13E9">
              <w:t>49,183</w:t>
            </w:r>
          </w:p>
        </w:tc>
        <w:tc>
          <w:tcPr>
            <w:tcW w:w="1060" w:type="dxa"/>
            <w:tcBorders>
              <w:top w:val="single" w:sz="4" w:space="0" w:color="000000" w:themeColor="text1"/>
              <w:left w:val="nil"/>
              <w:bottom w:val="single" w:sz="4" w:space="0" w:color="000000" w:themeColor="text1"/>
              <w:right w:val="single" w:sz="4" w:space="0" w:color="auto"/>
            </w:tcBorders>
          </w:tcPr>
          <w:p w14:paraId="08D3A099" w14:textId="77777777" w:rsidR="003928B6" w:rsidRPr="004E13E9" w:rsidRDefault="003928B6" w:rsidP="00D47E5E">
            <w:pPr>
              <w:rPr>
                <w:rFonts w:eastAsia="Times New Roman" w:cs="Calibri"/>
              </w:rPr>
            </w:pPr>
            <w:r w:rsidRPr="004E13E9">
              <w:t>-2,117</w:t>
            </w:r>
          </w:p>
        </w:tc>
      </w:tr>
      <w:tr w:rsidR="003928B6" w:rsidRPr="004E13E9" w14:paraId="37274459"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4B23DA26" w14:textId="77777777" w:rsidR="003928B6" w:rsidRPr="004E13E9" w:rsidRDefault="003928B6" w:rsidP="00D47E5E">
            <w:pPr>
              <w:rPr>
                <w:rFonts w:eastAsia="Times New Roman" w:cs="Calibri"/>
              </w:rPr>
            </w:pPr>
            <w:r w:rsidRPr="004E13E9">
              <w:t>St Ives</w:t>
            </w:r>
          </w:p>
        </w:tc>
        <w:tc>
          <w:tcPr>
            <w:tcW w:w="1276" w:type="dxa"/>
            <w:tcBorders>
              <w:top w:val="single" w:sz="4" w:space="0" w:color="000000" w:themeColor="text1"/>
              <w:left w:val="nil"/>
              <w:bottom w:val="single" w:sz="4" w:space="0" w:color="000000" w:themeColor="text1"/>
              <w:right w:val="nil"/>
            </w:tcBorders>
            <w:hideMark/>
          </w:tcPr>
          <w:p w14:paraId="3974BCD2"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4E7C9609" w14:textId="77777777" w:rsidR="003928B6" w:rsidRPr="004E13E9" w:rsidRDefault="003928B6" w:rsidP="00D47E5E">
            <w:pPr>
              <w:rPr>
                <w:rFonts w:eastAsia="Times New Roman" w:cs="Calibri"/>
              </w:rPr>
            </w:pPr>
            <w:r w:rsidRPr="004E13E9">
              <w:t>GBIVS</w:t>
            </w:r>
          </w:p>
        </w:tc>
        <w:tc>
          <w:tcPr>
            <w:tcW w:w="923" w:type="dxa"/>
            <w:gridSpan w:val="2"/>
            <w:tcBorders>
              <w:top w:val="single" w:sz="4" w:space="0" w:color="000000" w:themeColor="text1"/>
              <w:left w:val="nil"/>
              <w:bottom w:val="single" w:sz="4" w:space="0" w:color="000000" w:themeColor="text1"/>
              <w:right w:val="nil"/>
            </w:tcBorders>
            <w:hideMark/>
          </w:tcPr>
          <w:p w14:paraId="1C94B7A1" w14:textId="77777777" w:rsidR="003928B6" w:rsidRPr="004E13E9" w:rsidRDefault="003928B6" w:rsidP="00D47E5E">
            <w:pPr>
              <w:rPr>
                <w:rFonts w:eastAsia="Times New Roman" w:cs="Calibri"/>
              </w:rPr>
            </w:pPr>
            <w:r w:rsidRPr="004E13E9">
              <w:t>50,210</w:t>
            </w:r>
          </w:p>
        </w:tc>
        <w:tc>
          <w:tcPr>
            <w:tcW w:w="1060" w:type="dxa"/>
            <w:tcBorders>
              <w:top w:val="single" w:sz="4" w:space="0" w:color="000000" w:themeColor="text1"/>
              <w:left w:val="nil"/>
              <w:bottom w:val="single" w:sz="4" w:space="0" w:color="000000" w:themeColor="text1"/>
              <w:right w:val="single" w:sz="4" w:space="0" w:color="auto"/>
            </w:tcBorders>
            <w:hideMark/>
          </w:tcPr>
          <w:p w14:paraId="10556598" w14:textId="77777777" w:rsidR="003928B6" w:rsidRPr="004E13E9" w:rsidRDefault="003928B6" w:rsidP="00D47E5E">
            <w:pPr>
              <w:rPr>
                <w:rFonts w:eastAsia="Times New Roman" w:cs="Calibri"/>
              </w:rPr>
            </w:pPr>
            <w:r w:rsidRPr="004E13E9">
              <w:t>-5,476</w:t>
            </w:r>
          </w:p>
        </w:tc>
      </w:tr>
      <w:tr w:rsidR="003928B6" w:rsidRPr="004E13E9" w14:paraId="21E47FED"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tcPr>
          <w:p w14:paraId="7875D2C9" w14:textId="77777777" w:rsidR="003928B6" w:rsidRPr="004E13E9" w:rsidRDefault="003928B6" w:rsidP="00D47E5E">
            <w:pPr>
              <w:rPr>
                <w:rFonts w:eastAsia="Times New Roman" w:cs="Calibri"/>
              </w:rPr>
            </w:pPr>
            <w:r w:rsidRPr="004E13E9">
              <w:t>St Mary’s (Isles of Scilly)</w:t>
            </w:r>
          </w:p>
        </w:tc>
        <w:tc>
          <w:tcPr>
            <w:tcW w:w="1276" w:type="dxa"/>
            <w:tcBorders>
              <w:top w:val="single" w:sz="4" w:space="0" w:color="000000" w:themeColor="text1"/>
              <w:left w:val="nil"/>
              <w:bottom w:val="single" w:sz="4" w:space="0" w:color="000000" w:themeColor="text1"/>
              <w:right w:val="nil"/>
            </w:tcBorders>
          </w:tcPr>
          <w:p w14:paraId="5B245BA9"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tcPr>
          <w:p w14:paraId="1CDD38F0" w14:textId="77777777" w:rsidR="003928B6" w:rsidRPr="004E13E9" w:rsidRDefault="003928B6" w:rsidP="00D47E5E">
            <w:pPr>
              <w:rPr>
                <w:rFonts w:eastAsia="Times New Roman" w:cs="Calibri"/>
              </w:rPr>
            </w:pPr>
            <w:r w:rsidRPr="004E13E9">
              <w:t>GBISC</w:t>
            </w:r>
          </w:p>
        </w:tc>
        <w:tc>
          <w:tcPr>
            <w:tcW w:w="923" w:type="dxa"/>
            <w:gridSpan w:val="2"/>
            <w:tcBorders>
              <w:top w:val="single" w:sz="4" w:space="0" w:color="000000" w:themeColor="text1"/>
              <w:left w:val="nil"/>
              <w:bottom w:val="single" w:sz="4" w:space="0" w:color="000000" w:themeColor="text1"/>
              <w:right w:val="nil"/>
            </w:tcBorders>
          </w:tcPr>
          <w:p w14:paraId="6DDE2128" w14:textId="77777777" w:rsidR="003928B6" w:rsidRPr="004E13E9" w:rsidRDefault="003928B6" w:rsidP="00D47E5E">
            <w:pPr>
              <w:rPr>
                <w:rFonts w:eastAsia="Times New Roman" w:cs="Calibri"/>
              </w:rPr>
            </w:pPr>
            <w:r w:rsidRPr="004E13E9">
              <w:t>49,918</w:t>
            </w:r>
          </w:p>
        </w:tc>
        <w:tc>
          <w:tcPr>
            <w:tcW w:w="1060" w:type="dxa"/>
            <w:tcBorders>
              <w:top w:val="single" w:sz="4" w:space="0" w:color="000000" w:themeColor="text1"/>
              <w:left w:val="nil"/>
              <w:bottom w:val="single" w:sz="4" w:space="0" w:color="000000" w:themeColor="text1"/>
              <w:right w:val="single" w:sz="4" w:space="0" w:color="auto"/>
            </w:tcBorders>
          </w:tcPr>
          <w:p w14:paraId="7DAAF0CA" w14:textId="77777777" w:rsidR="003928B6" w:rsidRPr="004E13E9" w:rsidRDefault="003928B6" w:rsidP="00D47E5E">
            <w:pPr>
              <w:rPr>
                <w:rFonts w:eastAsia="Times New Roman" w:cs="Calibri"/>
              </w:rPr>
            </w:pPr>
            <w:r w:rsidRPr="004E13E9">
              <w:t>-6,317</w:t>
            </w:r>
          </w:p>
        </w:tc>
      </w:tr>
      <w:tr w:rsidR="003928B6" w:rsidRPr="004E13E9" w14:paraId="5B303C1D"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tcPr>
          <w:p w14:paraId="560C7B64" w14:textId="77777777" w:rsidR="003928B6" w:rsidRPr="004E13E9" w:rsidRDefault="003928B6" w:rsidP="00D47E5E">
            <w:pPr>
              <w:rPr>
                <w:rFonts w:eastAsia="Times New Roman" w:cs="Calibri"/>
              </w:rPr>
            </w:pPr>
            <w:r w:rsidRPr="004E13E9">
              <w:t>St Mawes</w:t>
            </w:r>
          </w:p>
        </w:tc>
        <w:tc>
          <w:tcPr>
            <w:tcW w:w="1276" w:type="dxa"/>
            <w:tcBorders>
              <w:top w:val="single" w:sz="4" w:space="0" w:color="000000" w:themeColor="text1"/>
              <w:left w:val="nil"/>
              <w:bottom w:val="single" w:sz="4" w:space="0" w:color="000000" w:themeColor="text1"/>
              <w:right w:val="nil"/>
            </w:tcBorders>
          </w:tcPr>
          <w:p w14:paraId="37E6926E"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tcPr>
          <w:p w14:paraId="238C5D68" w14:textId="77777777" w:rsidR="003928B6" w:rsidRPr="004E13E9" w:rsidRDefault="003928B6" w:rsidP="00D47E5E">
            <w:pPr>
              <w:rPr>
                <w:rFonts w:eastAsia="Times New Roman" w:cs="Calibri"/>
              </w:rPr>
            </w:pPr>
            <w:r w:rsidRPr="004E13E9">
              <w:t>GBSMV</w:t>
            </w:r>
          </w:p>
        </w:tc>
        <w:tc>
          <w:tcPr>
            <w:tcW w:w="923" w:type="dxa"/>
            <w:gridSpan w:val="2"/>
            <w:tcBorders>
              <w:top w:val="single" w:sz="4" w:space="0" w:color="000000" w:themeColor="text1"/>
              <w:left w:val="nil"/>
              <w:bottom w:val="single" w:sz="4" w:space="0" w:color="000000" w:themeColor="text1"/>
              <w:right w:val="nil"/>
            </w:tcBorders>
          </w:tcPr>
          <w:p w14:paraId="5AE81148" w14:textId="77777777" w:rsidR="003928B6" w:rsidRPr="004E13E9" w:rsidRDefault="003928B6" w:rsidP="00D47E5E">
            <w:pPr>
              <w:rPr>
                <w:rFonts w:eastAsia="Times New Roman" w:cs="Calibri"/>
              </w:rPr>
            </w:pPr>
            <w:r w:rsidRPr="004E13E9">
              <w:t>50,158</w:t>
            </w:r>
          </w:p>
        </w:tc>
        <w:tc>
          <w:tcPr>
            <w:tcW w:w="1060" w:type="dxa"/>
            <w:tcBorders>
              <w:top w:val="single" w:sz="4" w:space="0" w:color="000000" w:themeColor="text1"/>
              <w:left w:val="nil"/>
              <w:bottom w:val="single" w:sz="4" w:space="0" w:color="000000" w:themeColor="text1"/>
              <w:right w:val="single" w:sz="4" w:space="0" w:color="auto"/>
            </w:tcBorders>
          </w:tcPr>
          <w:p w14:paraId="13EBE155" w14:textId="77777777" w:rsidR="003928B6" w:rsidRPr="004E13E9" w:rsidRDefault="003928B6" w:rsidP="00D47E5E">
            <w:pPr>
              <w:rPr>
                <w:rFonts w:eastAsia="Times New Roman" w:cs="Calibri"/>
              </w:rPr>
            </w:pPr>
            <w:r w:rsidRPr="004E13E9">
              <w:t>-5,014</w:t>
            </w:r>
          </w:p>
        </w:tc>
      </w:tr>
      <w:tr w:rsidR="003928B6" w:rsidRPr="004E13E9" w14:paraId="71E98E65"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647F1440" w14:textId="77777777" w:rsidR="003928B6" w:rsidRPr="004E13E9" w:rsidRDefault="003928B6" w:rsidP="00D47E5E">
            <w:pPr>
              <w:rPr>
                <w:rFonts w:eastAsia="Times New Roman" w:cs="Calibri"/>
              </w:rPr>
            </w:pPr>
            <w:r w:rsidRPr="004E13E9">
              <w:t>Whitby</w:t>
            </w:r>
          </w:p>
        </w:tc>
        <w:tc>
          <w:tcPr>
            <w:tcW w:w="1276" w:type="dxa"/>
            <w:tcBorders>
              <w:top w:val="single" w:sz="4" w:space="0" w:color="000000" w:themeColor="text1"/>
              <w:left w:val="nil"/>
              <w:bottom w:val="single" w:sz="4" w:space="0" w:color="000000" w:themeColor="text1"/>
              <w:right w:val="nil"/>
            </w:tcBorders>
            <w:hideMark/>
          </w:tcPr>
          <w:p w14:paraId="7A38D4C8"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7147EE52" w14:textId="77777777" w:rsidR="003928B6" w:rsidRPr="004E13E9" w:rsidRDefault="003928B6" w:rsidP="00D47E5E">
            <w:pPr>
              <w:rPr>
                <w:rFonts w:eastAsia="Times New Roman" w:cs="Calibri"/>
              </w:rPr>
            </w:pPr>
            <w:r w:rsidRPr="004E13E9">
              <w:t>GBWTB</w:t>
            </w:r>
          </w:p>
        </w:tc>
        <w:tc>
          <w:tcPr>
            <w:tcW w:w="923" w:type="dxa"/>
            <w:gridSpan w:val="2"/>
            <w:tcBorders>
              <w:top w:val="single" w:sz="4" w:space="0" w:color="000000" w:themeColor="text1"/>
              <w:left w:val="nil"/>
              <w:bottom w:val="single" w:sz="4" w:space="0" w:color="000000" w:themeColor="text1"/>
              <w:right w:val="nil"/>
            </w:tcBorders>
            <w:hideMark/>
          </w:tcPr>
          <w:p w14:paraId="6F8EAEC1" w14:textId="77777777" w:rsidR="003928B6" w:rsidRPr="004E13E9" w:rsidRDefault="003928B6" w:rsidP="00D47E5E">
            <w:pPr>
              <w:rPr>
                <w:rFonts w:eastAsia="Times New Roman" w:cs="Calibri"/>
              </w:rPr>
            </w:pPr>
            <w:r w:rsidRPr="004E13E9">
              <w:t>54,485</w:t>
            </w:r>
          </w:p>
        </w:tc>
        <w:tc>
          <w:tcPr>
            <w:tcW w:w="1060" w:type="dxa"/>
            <w:tcBorders>
              <w:top w:val="single" w:sz="4" w:space="0" w:color="000000" w:themeColor="text1"/>
              <w:left w:val="nil"/>
              <w:bottom w:val="single" w:sz="4" w:space="0" w:color="000000" w:themeColor="text1"/>
              <w:right w:val="single" w:sz="4" w:space="0" w:color="auto"/>
            </w:tcBorders>
            <w:hideMark/>
          </w:tcPr>
          <w:p w14:paraId="4FD322C4" w14:textId="77777777" w:rsidR="003928B6" w:rsidRPr="004E13E9" w:rsidRDefault="003928B6" w:rsidP="00D47E5E">
            <w:pPr>
              <w:rPr>
                <w:rFonts w:eastAsia="Times New Roman" w:cs="Calibri"/>
              </w:rPr>
            </w:pPr>
            <w:r w:rsidRPr="004E13E9">
              <w:t>-0,612</w:t>
            </w:r>
          </w:p>
        </w:tc>
      </w:tr>
      <w:tr w:rsidR="003928B6" w:rsidRPr="004E13E9" w14:paraId="495B7E78"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2808A6B0" w14:textId="77777777" w:rsidR="003928B6" w:rsidRPr="004E13E9" w:rsidRDefault="003928B6" w:rsidP="00D47E5E">
            <w:pPr>
              <w:rPr>
                <w:rFonts w:eastAsia="Times New Roman" w:cs="Calibri"/>
              </w:rPr>
            </w:pPr>
            <w:r w:rsidRPr="004E13E9">
              <w:t>Whitehaven</w:t>
            </w:r>
          </w:p>
        </w:tc>
        <w:tc>
          <w:tcPr>
            <w:tcW w:w="1276" w:type="dxa"/>
            <w:tcBorders>
              <w:top w:val="single" w:sz="4" w:space="0" w:color="000000" w:themeColor="text1"/>
              <w:left w:val="nil"/>
              <w:bottom w:val="single" w:sz="4" w:space="0" w:color="000000" w:themeColor="text1"/>
              <w:right w:val="nil"/>
            </w:tcBorders>
            <w:hideMark/>
          </w:tcPr>
          <w:p w14:paraId="6EEF7A49" w14:textId="77777777" w:rsidR="003928B6" w:rsidRPr="004E13E9" w:rsidRDefault="003928B6" w:rsidP="00D47E5E">
            <w:pPr>
              <w:rPr>
                <w:rFonts w:eastAsia="Times New Roman" w:cs="Calibri"/>
              </w:rPr>
            </w:pPr>
            <w:r w:rsidRPr="004E13E9">
              <w:t>GB-ENG</w:t>
            </w:r>
          </w:p>
        </w:tc>
        <w:tc>
          <w:tcPr>
            <w:tcW w:w="2059" w:type="dxa"/>
            <w:tcBorders>
              <w:top w:val="single" w:sz="4" w:space="0" w:color="000000" w:themeColor="text1"/>
              <w:left w:val="nil"/>
              <w:bottom w:val="single" w:sz="4" w:space="0" w:color="000000" w:themeColor="text1"/>
              <w:right w:val="nil"/>
            </w:tcBorders>
            <w:hideMark/>
          </w:tcPr>
          <w:p w14:paraId="7433463E" w14:textId="77777777" w:rsidR="003928B6" w:rsidRPr="004E13E9" w:rsidRDefault="003928B6" w:rsidP="00D47E5E">
            <w:pPr>
              <w:rPr>
                <w:rFonts w:eastAsia="Times New Roman" w:cs="Calibri"/>
              </w:rPr>
            </w:pPr>
            <w:r w:rsidRPr="004E13E9">
              <w:t>GBWHV</w:t>
            </w:r>
          </w:p>
        </w:tc>
        <w:tc>
          <w:tcPr>
            <w:tcW w:w="923" w:type="dxa"/>
            <w:gridSpan w:val="2"/>
            <w:tcBorders>
              <w:top w:val="single" w:sz="4" w:space="0" w:color="000000" w:themeColor="text1"/>
              <w:left w:val="nil"/>
              <w:bottom w:val="single" w:sz="4" w:space="0" w:color="000000" w:themeColor="text1"/>
              <w:right w:val="nil"/>
            </w:tcBorders>
            <w:hideMark/>
          </w:tcPr>
          <w:p w14:paraId="6E1A9EF3" w14:textId="77777777" w:rsidR="003928B6" w:rsidRPr="004E13E9" w:rsidRDefault="003928B6" w:rsidP="00D47E5E">
            <w:pPr>
              <w:rPr>
                <w:rFonts w:eastAsia="Times New Roman" w:cs="Calibri"/>
              </w:rPr>
            </w:pPr>
            <w:r w:rsidRPr="004E13E9">
              <w:t>54,551</w:t>
            </w:r>
          </w:p>
        </w:tc>
        <w:tc>
          <w:tcPr>
            <w:tcW w:w="1060" w:type="dxa"/>
            <w:tcBorders>
              <w:top w:val="single" w:sz="4" w:space="0" w:color="000000" w:themeColor="text1"/>
              <w:left w:val="nil"/>
              <w:bottom w:val="single" w:sz="4" w:space="0" w:color="000000" w:themeColor="text1"/>
              <w:right w:val="single" w:sz="4" w:space="0" w:color="auto"/>
            </w:tcBorders>
            <w:hideMark/>
          </w:tcPr>
          <w:p w14:paraId="0E50B5CF" w14:textId="77777777" w:rsidR="003928B6" w:rsidRPr="004E13E9" w:rsidRDefault="003928B6" w:rsidP="00D47E5E">
            <w:pPr>
              <w:rPr>
                <w:rFonts w:eastAsia="Times New Roman" w:cs="Calibri"/>
              </w:rPr>
            </w:pPr>
            <w:r w:rsidRPr="004E13E9">
              <w:t>-3,594</w:t>
            </w:r>
          </w:p>
        </w:tc>
      </w:tr>
      <w:tr w:rsidR="003928B6" w:rsidRPr="004E13E9" w14:paraId="00B263E6"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560FAB3E" w14:textId="77777777" w:rsidR="003928B6" w:rsidRPr="004E13E9" w:rsidRDefault="003928B6" w:rsidP="00D47E5E">
            <w:pPr>
              <w:rPr>
                <w:rFonts w:eastAsia="Times New Roman" w:cs="Calibri"/>
              </w:rPr>
            </w:pPr>
            <w:r w:rsidRPr="004E13E9">
              <w:t>Holyhead</w:t>
            </w:r>
          </w:p>
        </w:tc>
        <w:tc>
          <w:tcPr>
            <w:tcW w:w="1276" w:type="dxa"/>
            <w:tcBorders>
              <w:top w:val="single" w:sz="4" w:space="0" w:color="000000" w:themeColor="text1"/>
              <w:left w:val="nil"/>
              <w:bottom w:val="single" w:sz="4" w:space="0" w:color="000000" w:themeColor="text1"/>
              <w:right w:val="nil"/>
            </w:tcBorders>
            <w:hideMark/>
          </w:tcPr>
          <w:p w14:paraId="322947B6" w14:textId="77777777" w:rsidR="003928B6" w:rsidRPr="004E13E9" w:rsidRDefault="003928B6" w:rsidP="00D47E5E">
            <w:pPr>
              <w:rPr>
                <w:rFonts w:eastAsia="Times New Roman" w:cs="Calibri"/>
              </w:rPr>
            </w:pPr>
            <w:r w:rsidRPr="004E13E9">
              <w:t>GB-WLS</w:t>
            </w:r>
          </w:p>
        </w:tc>
        <w:tc>
          <w:tcPr>
            <w:tcW w:w="2059" w:type="dxa"/>
            <w:tcBorders>
              <w:top w:val="single" w:sz="4" w:space="0" w:color="000000" w:themeColor="text1"/>
              <w:left w:val="nil"/>
              <w:bottom w:val="single" w:sz="4" w:space="0" w:color="000000" w:themeColor="text1"/>
              <w:right w:val="nil"/>
            </w:tcBorders>
            <w:hideMark/>
          </w:tcPr>
          <w:p w14:paraId="74B0D0F4" w14:textId="77777777" w:rsidR="003928B6" w:rsidRPr="004E13E9" w:rsidRDefault="003928B6" w:rsidP="00D47E5E">
            <w:pPr>
              <w:rPr>
                <w:rFonts w:eastAsia="Times New Roman" w:cs="Calibri"/>
              </w:rPr>
            </w:pPr>
            <w:r w:rsidRPr="004E13E9">
              <w:t>GBHLY</w:t>
            </w:r>
          </w:p>
        </w:tc>
        <w:tc>
          <w:tcPr>
            <w:tcW w:w="923" w:type="dxa"/>
            <w:gridSpan w:val="2"/>
            <w:tcBorders>
              <w:top w:val="single" w:sz="4" w:space="0" w:color="000000" w:themeColor="text1"/>
              <w:left w:val="nil"/>
              <w:bottom w:val="single" w:sz="4" w:space="0" w:color="000000" w:themeColor="text1"/>
              <w:right w:val="nil"/>
            </w:tcBorders>
            <w:hideMark/>
          </w:tcPr>
          <w:p w14:paraId="3E4D178D" w14:textId="77777777" w:rsidR="003928B6" w:rsidRPr="004E13E9" w:rsidRDefault="003928B6" w:rsidP="00D47E5E">
            <w:pPr>
              <w:rPr>
                <w:rFonts w:eastAsia="Times New Roman" w:cs="Calibri"/>
              </w:rPr>
            </w:pPr>
            <w:r w:rsidRPr="004E13E9">
              <w:t>53,318</w:t>
            </w:r>
          </w:p>
        </w:tc>
        <w:tc>
          <w:tcPr>
            <w:tcW w:w="1060" w:type="dxa"/>
            <w:tcBorders>
              <w:top w:val="single" w:sz="4" w:space="0" w:color="000000" w:themeColor="text1"/>
              <w:left w:val="nil"/>
              <w:bottom w:val="single" w:sz="4" w:space="0" w:color="000000" w:themeColor="text1"/>
              <w:right w:val="single" w:sz="4" w:space="0" w:color="auto"/>
            </w:tcBorders>
            <w:hideMark/>
          </w:tcPr>
          <w:p w14:paraId="2E8D6041" w14:textId="77777777" w:rsidR="003928B6" w:rsidRPr="004E13E9" w:rsidRDefault="003928B6" w:rsidP="00D47E5E">
            <w:pPr>
              <w:rPr>
                <w:rFonts w:eastAsia="Times New Roman" w:cs="Calibri"/>
              </w:rPr>
            </w:pPr>
            <w:r w:rsidRPr="004E13E9">
              <w:t>-4,629</w:t>
            </w:r>
          </w:p>
        </w:tc>
      </w:tr>
      <w:tr w:rsidR="003928B6" w:rsidRPr="004E13E9" w14:paraId="3A06F949"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56AF3091" w14:textId="77777777" w:rsidR="003928B6" w:rsidRPr="004E13E9" w:rsidRDefault="003928B6" w:rsidP="00D47E5E">
            <w:pPr>
              <w:rPr>
                <w:rFonts w:eastAsia="Times New Roman" w:cs="Calibri"/>
              </w:rPr>
            </w:pPr>
            <w:r w:rsidRPr="004E13E9">
              <w:t>Milford Haven</w:t>
            </w:r>
          </w:p>
        </w:tc>
        <w:tc>
          <w:tcPr>
            <w:tcW w:w="1276" w:type="dxa"/>
            <w:tcBorders>
              <w:top w:val="single" w:sz="4" w:space="0" w:color="000000" w:themeColor="text1"/>
              <w:left w:val="nil"/>
              <w:bottom w:val="single" w:sz="4" w:space="0" w:color="000000" w:themeColor="text1"/>
              <w:right w:val="nil"/>
            </w:tcBorders>
            <w:hideMark/>
          </w:tcPr>
          <w:p w14:paraId="19E7057E" w14:textId="77777777" w:rsidR="003928B6" w:rsidRPr="004E13E9" w:rsidRDefault="003928B6" w:rsidP="00D47E5E">
            <w:pPr>
              <w:rPr>
                <w:rFonts w:eastAsia="Times New Roman" w:cs="Calibri"/>
              </w:rPr>
            </w:pPr>
            <w:r w:rsidRPr="004E13E9">
              <w:t>GB-WLS</w:t>
            </w:r>
          </w:p>
        </w:tc>
        <w:tc>
          <w:tcPr>
            <w:tcW w:w="2059" w:type="dxa"/>
            <w:tcBorders>
              <w:top w:val="single" w:sz="4" w:space="0" w:color="000000" w:themeColor="text1"/>
              <w:left w:val="nil"/>
              <w:bottom w:val="single" w:sz="4" w:space="0" w:color="000000" w:themeColor="text1"/>
              <w:right w:val="nil"/>
            </w:tcBorders>
            <w:hideMark/>
          </w:tcPr>
          <w:p w14:paraId="4ECA7768" w14:textId="77777777" w:rsidR="003928B6" w:rsidRPr="004E13E9" w:rsidRDefault="003928B6" w:rsidP="00D47E5E">
            <w:pPr>
              <w:rPr>
                <w:rFonts w:eastAsia="Times New Roman" w:cs="Calibri"/>
              </w:rPr>
            </w:pPr>
            <w:r w:rsidRPr="004E13E9">
              <w:t>GBMLF</w:t>
            </w:r>
          </w:p>
        </w:tc>
        <w:tc>
          <w:tcPr>
            <w:tcW w:w="923" w:type="dxa"/>
            <w:gridSpan w:val="2"/>
            <w:tcBorders>
              <w:top w:val="single" w:sz="4" w:space="0" w:color="000000" w:themeColor="text1"/>
              <w:left w:val="nil"/>
              <w:bottom w:val="single" w:sz="4" w:space="0" w:color="000000" w:themeColor="text1"/>
              <w:right w:val="nil"/>
            </w:tcBorders>
            <w:hideMark/>
          </w:tcPr>
          <w:p w14:paraId="4853B94E" w14:textId="77777777" w:rsidR="003928B6" w:rsidRPr="004E13E9" w:rsidRDefault="003928B6" w:rsidP="00D47E5E">
            <w:pPr>
              <w:rPr>
                <w:rFonts w:eastAsia="Times New Roman" w:cs="Calibri"/>
              </w:rPr>
            </w:pPr>
            <w:r w:rsidRPr="004E13E9">
              <w:t>51,700</w:t>
            </w:r>
          </w:p>
        </w:tc>
        <w:tc>
          <w:tcPr>
            <w:tcW w:w="1060" w:type="dxa"/>
            <w:tcBorders>
              <w:top w:val="single" w:sz="4" w:space="0" w:color="000000" w:themeColor="text1"/>
              <w:left w:val="nil"/>
              <w:bottom w:val="single" w:sz="4" w:space="0" w:color="000000" w:themeColor="text1"/>
              <w:right w:val="single" w:sz="4" w:space="0" w:color="auto"/>
            </w:tcBorders>
            <w:hideMark/>
          </w:tcPr>
          <w:p w14:paraId="4EF8CE16" w14:textId="77777777" w:rsidR="003928B6" w:rsidRPr="004E13E9" w:rsidRDefault="003928B6" w:rsidP="00D47E5E">
            <w:pPr>
              <w:rPr>
                <w:rFonts w:eastAsia="Times New Roman" w:cs="Calibri"/>
              </w:rPr>
            </w:pPr>
            <w:r w:rsidRPr="004E13E9">
              <w:t>-5,003</w:t>
            </w:r>
          </w:p>
        </w:tc>
      </w:tr>
      <w:tr w:rsidR="003928B6" w:rsidRPr="004E13E9" w14:paraId="1892FE94"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38963073" w14:textId="77777777" w:rsidR="003928B6" w:rsidRPr="004E13E9" w:rsidRDefault="003928B6" w:rsidP="00D47E5E">
            <w:pPr>
              <w:rPr>
                <w:rFonts w:eastAsia="Times New Roman" w:cs="Calibri"/>
              </w:rPr>
            </w:pPr>
            <w:r w:rsidRPr="004E13E9">
              <w:t>Ardglass</w:t>
            </w:r>
          </w:p>
        </w:tc>
        <w:tc>
          <w:tcPr>
            <w:tcW w:w="1276" w:type="dxa"/>
            <w:tcBorders>
              <w:top w:val="single" w:sz="4" w:space="0" w:color="000000" w:themeColor="text1"/>
              <w:left w:val="nil"/>
              <w:bottom w:val="single" w:sz="4" w:space="0" w:color="000000" w:themeColor="text1"/>
              <w:right w:val="nil"/>
            </w:tcBorders>
            <w:hideMark/>
          </w:tcPr>
          <w:p w14:paraId="74CD77D4" w14:textId="77777777" w:rsidR="003928B6" w:rsidRPr="004E13E9" w:rsidRDefault="003928B6" w:rsidP="00D47E5E">
            <w:pPr>
              <w:rPr>
                <w:rFonts w:eastAsia="Times New Roman" w:cs="Calibri"/>
              </w:rPr>
            </w:pPr>
            <w:r w:rsidRPr="004E13E9">
              <w:t>GB-NIR</w:t>
            </w:r>
          </w:p>
        </w:tc>
        <w:tc>
          <w:tcPr>
            <w:tcW w:w="2059" w:type="dxa"/>
            <w:tcBorders>
              <w:top w:val="single" w:sz="4" w:space="0" w:color="000000" w:themeColor="text1"/>
              <w:left w:val="nil"/>
              <w:bottom w:val="single" w:sz="4" w:space="0" w:color="000000" w:themeColor="text1"/>
              <w:right w:val="nil"/>
            </w:tcBorders>
            <w:hideMark/>
          </w:tcPr>
          <w:p w14:paraId="097AE7DF" w14:textId="77777777" w:rsidR="003928B6" w:rsidRPr="004E13E9" w:rsidRDefault="003928B6" w:rsidP="00D47E5E">
            <w:pPr>
              <w:rPr>
                <w:rFonts w:eastAsia="Times New Roman" w:cs="Calibri"/>
              </w:rPr>
            </w:pPr>
            <w:r w:rsidRPr="004E13E9">
              <w:t>GBAGL</w:t>
            </w:r>
          </w:p>
        </w:tc>
        <w:tc>
          <w:tcPr>
            <w:tcW w:w="923" w:type="dxa"/>
            <w:gridSpan w:val="2"/>
            <w:tcBorders>
              <w:top w:val="single" w:sz="4" w:space="0" w:color="000000" w:themeColor="text1"/>
              <w:left w:val="nil"/>
              <w:bottom w:val="single" w:sz="4" w:space="0" w:color="000000" w:themeColor="text1"/>
              <w:right w:val="nil"/>
            </w:tcBorders>
            <w:hideMark/>
          </w:tcPr>
          <w:p w14:paraId="4B1E0032" w14:textId="77777777" w:rsidR="003928B6" w:rsidRPr="004E13E9" w:rsidRDefault="003928B6" w:rsidP="00D47E5E">
            <w:pPr>
              <w:rPr>
                <w:rFonts w:eastAsia="Times New Roman" w:cs="Calibri"/>
              </w:rPr>
            </w:pPr>
            <w:r w:rsidRPr="004E13E9">
              <w:t>54,261</w:t>
            </w:r>
          </w:p>
        </w:tc>
        <w:tc>
          <w:tcPr>
            <w:tcW w:w="1060" w:type="dxa"/>
            <w:tcBorders>
              <w:top w:val="single" w:sz="4" w:space="0" w:color="000000" w:themeColor="text1"/>
              <w:left w:val="nil"/>
              <w:bottom w:val="single" w:sz="4" w:space="0" w:color="000000" w:themeColor="text1"/>
              <w:right w:val="single" w:sz="4" w:space="0" w:color="auto"/>
            </w:tcBorders>
            <w:hideMark/>
          </w:tcPr>
          <w:p w14:paraId="58FA621E" w14:textId="77777777" w:rsidR="003928B6" w:rsidRPr="004E13E9" w:rsidRDefault="003928B6" w:rsidP="00D47E5E">
            <w:pPr>
              <w:rPr>
                <w:rFonts w:eastAsia="Times New Roman" w:cs="Calibri"/>
              </w:rPr>
            </w:pPr>
            <w:r w:rsidRPr="004E13E9">
              <w:t>-5,605</w:t>
            </w:r>
          </w:p>
        </w:tc>
      </w:tr>
      <w:tr w:rsidR="003928B6" w:rsidRPr="004E13E9" w14:paraId="02F2B8E4"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5A3D39E6" w14:textId="77777777" w:rsidR="003928B6" w:rsidRPr="004E13E9" w:rsidRDefault="003928B6" w:rsidP="00D47E5E">
            <w:pPr>
              <w:rPr>
                <w:rFonts w:eastAsia="Times New Roman" w:cs="Calibri"/>
              </w:rPr>
            </w:pPr>
            <w:r w:rsidRPr="004E13E9">
              <w:t>Bangor</w:t>
            </w:r>
          </w:p>
        </w:tc>
        <w:tc>
          <w:tcPr>
            <w:tcW w:w="1276" w:type="dxa"/>
            <w:tcBorders>
              <w:top w:val="single" w:sz="4" w:space="0" w:color="000000" w:themeColor="text1"/>
              <w:left w:val="nil"/>
              <w:bottom w:val="single" w:sz="4" w:space="0" w:color="000000" w:themeColor="text1"/>
              <w:right w:val="nil"/>
            </w:tcBorders>
            <w:hideMark/>
          </w:tcPr>
          <w:p w14:paraId="79E306FD" w14:textId="77777777" w:rsidR="003928B6" w:rsidRPr="004E13E9" w:rsidRDefault="003928B6" w:rsidP="00D47E5E">
            <w:pPr>
              <w:rPr>
                <w:rFonts w:eastAsia="Times New Roman" w:cs="Calibri"/>
              </w:rPr>
            </w:pPr>
            <w:r w:rsidRPr="004E13E9">
              <w:t>GB-NIR</w:t>
            </w:r>
          </w:p>
        </w:tc>
        <w:tc>
          <w:tcPr>
            <w:tcW w:w="2059" w:type="dxa"/>
            <w:tcBorders>
              <w:top w:val="single" w:sz="4" w:space="0" w:color="000000" w:themeColor="text1"/>
              <w:left w:val="nil"/>
              <w:bottom w:val="single" w:sz="4" w:space="0" w:color="000000" w:themeColor="text1"/>
              <w:right w:val="nil"/>
            </w:tcBorders>
            <w:hideMark/>
          </w:tcPr>
          <w:p w14:paraId="15902155" w14:textId="77777777" w:rsidR="003928B6" w:rsidRPr="004E13E9" w:rsidRDefault="003928B6" w:rsidP="00D47E5E">
            <w:pPr>
              <w:rPr>
                <w:rFonts w:eastAsia="Times New Roman" w:cs="Calibri"/>
              </w:rPr>
            </w:pPr>
            <w:r w:rsidRPr="004E13E9">
              <w:t xml:space="preserve">GBBNG </w:t>
            </w:r>
          </w:p>
        </w:tc>
        <w:tc>
          <w:tcPr>
            <w:tcW w:w="923" w:type="dxa"/>
            <w:gridSpan w:val="2"/>
            <w:tcBorders>
              <w:top w:val="single" w:sz="4" w:space="0" w:color="000000" w:themeColor="text1"/>
              <w:left w:val="nil"/>
              <w:bottom w:val="single" w:sz="4" w:space="0" w:color="000000" w:themeColor="text1"/>
              <w:right w:val="nil"/>
            </w:tcBorders>
            <w:hideMark/>
          </w:tcPr>
          <w:p w14:paraId="555B7273" w14:textId="77777777" w:rsidR="003928B6" w:rsidRPr="004E13E9" w:rsidRDefault="003928B6" w:rsidP="00D47E5E">
            <w:pPr>
              <w:rPr>
                <w:rFonts w:eastAsia="Times New Roman" w:cs="Calibri"/>
              </w:rPr>
            </w:pPr>
            <w:r w:rsidRPr="004E13E9">
              <w:t>54,666</w:t>
            </w:r>
          </w:p>
        </w:tc>
        <w:tc>
          <w:tcPr>
            <w:tcW w:w="1060" w:type="dxa"/>
            <w:tcBorders>
              <w:top w:val="single" w:sz="4" w:space="0" w:color="000000" w:themeColor="text1"/>
              <w:left w:val="nil"/>
              <w:bottom w:val="single" w:sz="4" w:space="0" w:color="000000" w:themeColor="text1"/>
              <w:right w:val="single" w:sz="4" w:space="0" w:color="auto"/>
            </w:tcBorders>
            <w:hideMark/>
          </w:tcPr>
          <w:p w14:paraId="304284F0" w14:textId="77777777" w:rsidR="003928B6" w:rsidRPr="004E13E9" w:rsidRDefault="003928B6" w:rsidP="00D47E5E">
            <w:pPr>
              <w:rPr>
                <w:rFonts w:eastAsia="Times New Roman" w:cs="Calibri"/>
              </w:rPr>
            </w:pPr>
            <w:r w:rsidRPr="004E13E9">
              <w:t>-5,668</w:t>
            </w:r>
          </w:p>
        </w:tc>
      </w:tr>
      <w:tr w:rsidR="003928B6" w:rsidRPr="004E13E9" w14:paraId="37A38B28"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34ABC42B" w14:textId="77777777" w:rsidR="003928B6" w:rsidRPr="004E13E9" w:rsidRDefault="003928B6" w:rsidP="00D47E5E">
            <w:pPr>
              <w:rPr>
                <w:rFonts w:eastAsia="Times New Roman" w:cs="Calibri"/>
              </w:rPr>
            </w:pPr>
            <w:r w:rsidRPr="004E13E9">
              <w:t>Belfast</w:t>
            </w:r>
          </w:p>
        </w:tc>
        <w:tc>
          <w:tcPr>
            <w:tcW w:w="1276" w:type="dxa"/>
            <w:tcBorders>
              <w:top w:val="single" w:sz="4" w:space="0" w:color="000000" w:themeColor="text1"/>
              <w:left w:val="nil"/>
              <w:bottom w:val="single" w:sz="4" w:space="0" w:color="000000" w:themeColor="text1"/>
              <w:right w:val="nil"/>
            </w:tcBorders>
            <w:hideMark/>
          </w:tcPr>
          <w:p w14:paraId="3C916816" w14:textId="77777777" w:rsidR="003928B6" w:rsidRPr="004E13E9" w:rsidRDefault="003928B6" w:rsidP="00D47E5E">
            <w:pPr>
              <w:rPr>
                <w:rFonts w:eastAsia="Times New Roman" w:cs="Calibri"/>
              </w:rPr>
            </w:pPr>
            <w:r w:rsidRPr="004E13E9">
              <w:t>GB-NIR</w:t>
            </w:r>
          </w:p>
        </w:tc>
        <w:tc>
          <w:tcPr>
            <w:tcW w:w="2059" w:type="dxa"/>
            <w:tcBorders>
              <w:top w:val="single" w:sz="4" w:space="0" w:color="000000" w:themeColor="text1"/>
              <w:left w:val="nil"/>
              <w:bottom w:val="single" w:sz="4" w:space="0" w:color="000000" w:themeColor="text1"/>
              <w:right w:val="nil"/>
            </w:tcBorders>
            <w:hideMark/>
          </w:tcPr>
          <w:p w14:paraId="3152E2E5" w14:textId="77777777" w:rsidR="003928B6" w:rsidRPr="004E13E9" w:rsidRDefault="003928B6" w:rsidP="00D47E5E">
            <w:pPr>
              <w:rPr>
                <w:rFonts w:eastAsia="Times New Roman" w:cs="Calibri"/>
              </w:rPr>
            </w:pPr>
            <w:r w:rsidRPr="004E13E9">
              <w:t>GBBEL</w:t>
            </w:r>
          </w:p>
        </w:tc>
        <w:tc>
          <w:tcPr>
            <w:tcW w:w="923" w:type="dxa"/>
            <w:gridSpan w:val="2"/>
            <w:tcBorders>
              <w:top w:val="single" w:sz="4" w:space="0" w:color="000000" w:themeColor="text1"/>
              <w:left w:val="nil"/>
              <w:bottom w:val="single" w:sz="4" w:space="0" w:color="000000" w:themeColor="text1"/>
              <w:right w:val="nil"/>
            </w:tcBorders>
            <w:hideMark/>
          </w:tcPr>
          <w:p w14:paraId="53D728EE" w14:textId="77777777" w:rsidR="003928B6" w:rsidRPr="004E13E9" w:rsidRDefault="003928B6" w:rsidP="00D47E5E">
            <w:pPr>
              <w:rPr>
                <w:rFonts w:eastAsia="Times New Roman" w:cs="Calibri"/>
              </w:rPr>
            </w:pPr>
            <w:r w:rsidRPr="004E13E9">
              <w:t>54,619</w:t>
            </w:r>
          </w:p>
        </w:tc>
        <w:tc>
          <w:tcPr>
            <w:tcW w:w="1060" w:type="dxa"/>
            <w:tcBorders>
              <w:top w:val="single" w:sz="4" w:space="0" w:color="000000" w:themeColor="text1"/>
              <w:left w:val="nil"/>
              <w:bottom w:val="single" w:sz="4" w:space="0" w:color="000000" w:themeColor="text1"/>
              <w:right w:val="single" w:sz="4" w:space="0" w:color="auto"/>
            </w:tcBorders>
            <w:hideMark/>
          </w:tcPr>
          <w:p w14:paraId="004A2614" w14:textId="77777777" w:rsidR="003928B6" w:rsidRPr="004E13E9" w:rsidRDefault="003928B6" w:rsidP="00D47E5E">
            <w:pPr>
              <w:rPr>
                <w:rFonts w:eastAsia="Times New Roman" w:cs="Calibri"/>
              </w:rPr>
            </w:pPr>
            <w:r w:rsidRPr="004E13E9">
              <w:t>-5,898</w:t>
            </w:r>
          </w:p>
        </w:tc>
      </w:tr>
      <w:tr w:rsidR="003928B6" w:rsidRPr="004E13E9" w14:paraId="0B0696DD"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181E58B9" w14:textId="77777777" w:rsidR="003928B6" w:rsidRPr="004E13E9" w:rsidRDefault="003928B6" w:rsidP="00D47E5E">
            <w:pPr>
              <w:rPr>
                <w:rFonts w:eastAsia="Times New Roman" w:cs="Calibri"/>
              </w:rPr>
            </w:pPr>
            <w:r w:rsidRPr="004E13E9">
              <w:t>Kilkeel</w:t>
            </w:r>
          </w:p>
        </w:tc>
        <w:tc>
          <w:tcPr>
            <w:tcW w:w="1276" w:type="dxa"/>
            <w:tcBorders>
              <w:top w:val="single" w:sz="4" w:space="0" w:color="000000" w:themeColor="text1"/>
              <w:left w:val="nil"/>
              <w:bottom w:val="single" w:sz="4" w:space="0" w:color="000000" w:themeColor="text1"/>
              <w:right w:val="nil"/>
            </w:tcBorders>
            <w:hideMark/>
          </w:tcPr>
          <w:p w14:paraId="5F3E753E" w14:textId="77777777" w:rsidR="003928B6" w:rsidRPr="004E13E9" w:rsidRDefault="003928B6" w:rsidP="00D47E5E">
            <w:pPr>
              <w:rPr>
                <w:rFonts w:eastAsia="Times New Roman" w:cs="Calibri"/>
              </w:rPr>
            </w:pPr>
            <w:r w:rsidRPr="004E13E9">
              <w:t>GB-NIR</w:t>
            </w:r>
          </w:p>
        </w:tc>
        <w:tc>
          <w:tcPr>
            <w:tcW w:w="2059" w:type="dxa"/>
            <w:tcBorders>
              <w:top w:val="single" w:sz="4" w:space="0" w:color="000000" w:themeColor="text1"/>
              <w:left w:val="nil"/>
              <w:bottom w:val="single" w:sz="4" w:space="0" w:color="000000" w:themeColor="text1"/>
              <w:right w:val="nil"/>
            </w:tcBorders>
            <w:hideMark/>
          </w:tcPr>
          <w:p w14:paraId="7A24A2A9" w14:textId="77777777" w:rsidR="003928B6" w:rsidRPr="004E13E9" w:rsidRDefault="003928B6" w:rsidP="00D47E5E">
            <w:pPr>
              <w:rPr>
                <w:rFonts w:eastAsia="Times New Roman" w:cs="Calibri"/>
              </w:rPr>
            </w:pPr>
            <w:r w:rsidRPr="004E13E9">
              <w:t>GBKLK</w:t>
            </w:r>
          </w:p>
        </w:tc>
        <w:tc>
          <w:tcPr>
            <w:tcW w:w="923" w:type="dxa"/>
            <w:gridSpan w:val="2"/>
            <w:tcBorders>
              <w:top w:val="single" w:sz="4" w:space="0" w:color="000000" w:themeColor="text1"/>
              <w:left w:val="nil"/>
              <w:bottom w:val="single" w:sz="4" w:space="0" w:color="000000" w:themeColor="text1"/>
              <w:right w:val="nil"/>
            </w:tcBorders>
            <w:hideMark/>
          </w:tcPr>
          <w:p w14:paraId="6A81371C" w14:textId="77777777" w:rsidR="003928B6" w:rsidRPr="004E13E9" w:rsidRDefault="003928B6" w:rsidP="00D47E5E">
            <w:pPr>
              <w:rPr>
                <w:rFonts w:eastAsia="Times New Roman" w:cs="Calibri"/>
              </w:rPr>
            </w:pPr>
            <w:r w:rsidRPr="004E13E9">
              <w:t>54,059</w:t>
            </w:r>
          </w:p>
        </w:tc>
        <w:tc>
          <w:tcPr>
            <w:tcW w:w="1060" w:type="dxa"/>
            <w:tcBorders>
              <w:top w:val="single" w:sz="4" w:space="0" w:color="000000" w:themeColor="text1"/>
              <w:left w:val="nil"/>
              <w:bottom w:val="single" w:sz="4" w:space="0" w:color="000000" w:themeColor="text1"/>
              <w:right w:val="single" w:sz="4" w:space="0" w:color="auto"/>
            </w:tcBorders>
            <w:hideMark/>
          </w:tcPr>
          <w:p w14:paraId="7A2C27FA" w14:textId="77777777" w:rsidR="003928B6" w:rsidRPr="004E13E9" w:rsidRDefault="003928B6" w:rsidP="00D47E5E">
            <w:pPr>
              <w:rPr>
                <w:rFonts w:eastAsia="Times New Roman" w:cs="Calibri"/>
              </w:rPr>
            </w:pPr>
            <w:r w:rsidRPr="004E13E9">
              <w:t>-5,995</w:t>
            </w:r>
          </w:p>
        </w:tc>
      </w:tr>
      <w:tr w:rsidR="003928B6" w:rsidRPr="004E13E9" w14:paraId="05F469A2"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16D64546" w14:textId="77777777" w:rsidR="003928B6" w:rsidRPr="004E13E9" w:rsidRDefault="003928B6" w:rsidP="00D47E5E">
            <w:pPr>
              <w:rPr>
                <w:rFonts w:eastAsia="Times New Roman" w:cs="Calibri"/>
              </w:rPr>
            </w:pPr>
            <w:r w:rsidRPr="004E13E9">
              <w:t>Londonderry</w:t>
            </w:r>
          </w:p>
        </w:tc>
        <w:tc>
          <w:tcPr>
            <w:tcW w:w="1276" w:type="dxa"/>
            <w:tcBorders>
              <w:top w:val="single" w:sz="4" w:space="0" w:color="000000" w:themeColor="text1"/>
              <w:left w:val="nil"/>
              <w:bottom w:val="single" w:sz="4" w:space="0" w:color="000000" w:themeColor="text1"/>
              <w:right w:val="nil"/>
            </w:tcBorders>
            <w:hideMark/>
          </w:tcPr>
          <w:p w14:paraId="352C4F9E" w14:textId="77777777" w:rsidR="003928B6" w:rsidRPr="004E13E9" w:rsidRDefault="003928B6" w:rsidP="00D47E5E">
            <w:pPr>
              <w:rPr>
                <w:rFonts w:eastAsia="Times New Roman" w:cs="Calibri"/>
              </w:rPr>
            </w:pPr>
            <w:r w:rsidRPr="004E13E9">
              <w:t>GB-NIR</w:t>
            </w:r>
          </w:p>
        </w:tc>
        <w:tc>
          <w:tcPr>
            <w:tcW w:w="2059" w:type="dxa"/>
            <w:tcBorders>
              <w:top w:val="single" w:sz="4" w:space="0" w:color="000000" w:themeColor="text1"/>
              <w:left w:val="nil"/>
              <w:bottom w:val="single" w:sz="4" w:space="0" w:color="000000" w:themeColor="text1"/>
              <w:right w:val="nil"/>
            </w:tcBorders>
            <w:hideMark/>
          </w:tcPr>
          <w:p w14:paraId="7FF73B48" w14:textId="77777777" w:rsidR="003928B6" w:rsidRPr="004E13E9" w:rsidRDefault="003928B6" w:rsidP="00D47E5E">
            <w:pPr>
              <w:rPr>
                <w:rFonts w:eastAsia="Times New Roman" w:cs="Calibri"/>
              </w:rPr>
            </w:pPr>
            <w:r w:rsidRPr="004E13E9">
              <w:t>GBLDY</w:t>
            </w:r>
          </w:p>
        </w:tc>
        <w:tc>
          <w:tcPr>
            <w:tcW w:w="923" w:type="dxa"/>
            <w:gridSpan w:val="2"/>
            <w:tcBorders>
              <w:top w:val="single" w:sz="4" w:space="0" w:color="000000" w:themeColor="text1"/>
              <w:left w:val="nil"/>
              <w:bottom w:val="single" w:sz="4" w:space="0" w:color="000000" w:themeColor="text1"/>
              <w:right w:val="nil"/>
            </w:tcBorders>
            <w:hideMark/>
          </w:tcPr>
          <w:p w14:paraId="4AAA4605" w14:textId="77777777" w:rsidR="003928B6" w:rsidRPr="004E13E9" w:rsidRDefault="003928B6" w:rsidP="00D47E5E">
            <w:pPr>
              <w:rPr>
                <w:rFonts w:eastAsia="Times New Roman" w:cs="Calibri"/>
              </w:rPr>
            </w:pPr>
            <w:r w:rsidRPr="004E13E9">
              <w:t>55,045</w:t>
            </w:r>
          </w:p>
        </w:tc>
        <w:tc>
          <w:tcPr>
            <w:tcW w:w="1060" w:type="dxa"/>
            <w:tcBorders>
              <w:top w:val="single" w:sz="4" w:space="0" w:color="000000" w:themeColor="text1"/>
              <w:left w:val="nil"/>
              <w:bottom w:val="single" w:sz="4" w:space="0" w:color="000000" w:themeColor="text1"/>
              <w:right w:val="single" w:sz="4" w:space="0" w:color="auto"/>
            </w:tcBorders>
            <w:hideMark/>
          </w:tcPr>
          <w:p w14:paraId="014D1A3E" w14:textId="77777777" w:rsidR="003928B6" w:rsidRPr="004E13E9" w:rsidRDefault="003928B6" w:rsidP="00D47E5E">
            <w:pPr>
              <w:rPr>
                <w:rFonts w:eastAsia="Times New Roman" w:cs="Calibri"/>
              </w:rPr>
            </w:pPr>
            <w:r w:rsidRPr="004E13E9">
              <w:t>-7,254</w:t>
            </w:r>
          </w:p>
        </w:tc>
      </w:tr>
      <w:tr w:rsidR="003928B6" w:rsidRPr="004E13E9" w14:paraId="7A9BA047"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0C852CAB" w14:textId="77777777" w:rsidR="003928B6" w:rsidRPr="004E13E9" w:rsidRDefault="003928B6" w:rsidP="00D47E5E">
            <w:pPr>
              <w:rPr>
                <w:rFonts w:eastAsia="Times New Roman" w:cs="Calibri"/>
              </w:rPr>
            </w:pPr>
            <w:proofErr w:type="spellStart"/>
            <w:r w:rsidRPr="004E13E9">
              <w:t>Portavogie</w:t>
            </w:r>
            <w:proofErr w:type="spellEnd"/>
          </w:p>
        </w:tc>
        <w:tc>
          <w:tcPr>
            <w:tcW w:w="1276" w:type="dxa"/>
            <w:tcBorders>
              <w:top w:val="single" w:sz="4" w:space="0" w:color="000000" w:themeColor="text1"/>
              <w:left w:val="nil"/>
              <w:bottom w:val="single" w:sz="4" w:space="0" w:color="000000" w:themeColor="text1"/>
              <w:right w:val="nil"/>
            </w:tcBorders>
            <w:hideMark/>
          </w:tcPr>
          <w:p w14:paraId="6C0F5FA9" w14:textId="77777777" w:rsidR="003928B6" w:rsidRPr="004E13E9" w:rsidRDefault="003928B6" w:rsidP="00D47E5E">
            <w:pPr>
              <w:rPr>
                <w:rFonts w:eastAsia="Times New Roman" w:cs="Calibri"/>
              </w:rPr>
            </w:pPr>
            <w:r w:rsidRPr="004E13E9">
              <w:t>GB-NIR</w:t>
            </w:r>
          </w:p>
        </w:tc>
        <w:tc>
          <w:tcPr>
            <w:tcW w:w="2059" w:type="dxa"/>
            <w:tcBorders>
              <w:top w:val="single" w:sz="4" w:space="0" w:color="000000" w:themeColor="text1"/>
              <w:left w:val="nil"/>
              <w:bottom w:val="single" w:sz="4" w:space="0" w:color="000000" w:themeColor="text1"/>
              <w:right w:val="nil"/>
            </w:tcBorders>
            <w:hideMark/>
          </w:tcPr>
          <w:p w14:paraId="24D5D887" w14:textId="77777777" w:rsidR="003928B6" w:rsidRPr="004E13E9" w:rsidRDefault="003928B6" w:rsidP="00D47E5E">
            <w:pPr>
              <w:rPr>
                <w:rFonts w:eastAsia="Times New Roman" w:cs="Calibri"/>
              </w:rPr>
            </w:pPr>
            <w:r w:rsidRPr="004E13E9">
              <w:t>GBPVG</w:t>
            </w:r>
          </w:p>
        </w:tc>
        <w:tc>
          <w:tcPr>
            <w:tcW w:w="923" w:type="dxa"/>
            <w:gridSpan w:val="2"/>
            <w:tcBorders>
              <w:top w:val="single" w:sz="4" w:space="0" w:color="000000" w:themeColor="text1"/>
              <w:left w:val="nil"/>
              <w:bottom w:val="single" w:sz="4" w:space="0" w:color="000000" w:themeColor="text1"/>
              <w:right w:val="nil"/>
            </w:tcBorders>
            <w:hideMark/>
          </w:tcPr>
          <w:p w14:paraId="3AE081F1" w14:textId="77777777" w:rsidR="003928B6" w:rsidRPr="004E13E9" w:rsidRDefault="003928B6" w:rsidP="00D47E5E">
            <w:pPr>
              <w:rPr>
                <w:rFonts w:eastAsia="Times New Roman" w:cs="Calibri"/>
              </w:rPr>
            </w:pPr>
            <w:r w:rsidRPr="004E13E9">
              <w:t>54,458</w:t>
            </w:r>
          </w:p>
        </w:tc>
        <w:tc>
          <w:tcPr>
            <w:tcW w:w="1060" w:type="dxa"/>
            <w:tcBorders>
              <w:top w:val="single" w:sz="4" w:space="0" w:color="000000" w:themeColor="text1"/>
              <w:left w:val="nil"/>
              <w:bottom w:val="single" w:sz="4" w:space="0" w:color="000000" w:themeColor="text1"/>
              <w:right w:val="single" w:sz="4" w:space="0" w:color="auto"/>
            </w:tcBorders>
            <w:hideMark/>
          </w:tcPr>
          <w:p w14:paraId="51E5DEA7" w14:textId="77777777" w:rsidR="003928B6" w:rsidRPr="004E13E9" w:rsidRDefault="003928B6" w:rsidP="00D47E5E">
            <w:pPr>
              <w:rPr>
                <w:rFonts w:eastAsia="Times New Roman" w:cs="Calibri"/>
              </w:rPr>
            </w:pPr>
            <w:r w:rsidRPr="004E13E9">
              <w:t>-5,437</w:t>
            </w:r>
          </w:p>
        </w:tc>
      </w:tr>
      <w:tr w:rsidR="003928B6" w:rsidRPr="004E13E9" w14:paraId="49878298"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3F60CE69" w14:textId="77777777" w:rsidR="003928B6" w:rsidRPr="004E13E9" w:rsidRDefault="003928B6" w:rsidP="00D47E5E">
            <w:pPr>
              <w:rPr>
                <w:rFonts w:eastAsia="Times New Roman" w:cs="Calibri"/>
              </w:rPr>
            </w:pPr>
            <w:r w:rsidRPr="004E13E9">
              <w:t>Warrenpoint</w:t>
            </w:r>
          </w:p>
        </w:tc>
        <w:tc>
          <w:tcPr>
            <w:tcW w:w="1276" w:type="dxa"/>
            <w:tcBorders>
              <w:top w:val="single" w:sz="4" w:space="0" w:color="000000" w:themeColor="text1"/>
              <w:left w:val="nil"/>
              <w:bottom w:val="single" w:sz="4" w:space="0" w:color="000000" w:themeColor="text1"/>
              <w:right w:val="nil"/>
            </w:tcBorders>
            <w:hideMark/>
          </w:tcPr>
          <w:p w14:paraId="7FDB6D7B" w14:textId="77777777" w:rsidR="003928B6" w:rsidRPr="004E13E9" w:rsidRDefault="003928B6" w:rsidP="00D47E5E">
            <w:pPr>
              <w:rPr>
                <w:rFonts w:eastAsia="Times New Roman" w:cs="Calibri"/>
              </w:rPr>
            </w:pPr>
            <w:r w:rsidRPr="004E13E9">
              <w:t>GB-NIR</w:t>
            </w:r>
          </w:p>
        </w:tc>
        <w:tc>
          <w:tcPr>
            <w:tcW w:w="2059" w:type="dxa"/>
            <w:tcBorders>
              <w:top w:val="single" w:sz="4" w:space="0" w:color="000000" w:themeColor="text1"/>
              <w:left w:val="nil"/>
              <w:bottom w:val="single" w:sz="4" w:space="0" w:color="000000" w:themeColor="text1"/>
              <w:right w:val="nil"/>
            </w:tcBorders>
            <w:hideMark/>
          </w:tcPr>
          <w:p w14:paraId="2003F1A2" w14:textId="77777777" w:rsidR="003928B6" w:rsidRPr="004E13E9" w:rsidRDefault="003928B6" w:rsidP="00D47E5E">
            <w:pPr>
              <w:rPr>
                <w:rFonts w:eastAsia="Times New Roman" w:cs="Calibri"/>
              </w:rPr>
            </w:pPr>
            <w:r w:rsidRPr="004E13E9">
              <w:t>GBWPT</w:t>
            </w:r>
          </w:p>
        </w:tc>
        <w:tc>
          <w:tcPr>
            <w:tcW w:w="923" w:type="dxa"/>
            <w:gridSpan w:val="2"/>
            <w:tcBorders>
              <w:top w:val="single" w:sz="4" w:space="0" w:color="000000" w:themeColor="text1"/>
              <w:left w:val="nil"/>
              <w:bottom w:val="single" w:sz="4" w:space="0" w:color="000000" w:themeColor="text1"/>
              <w:right w:val="nil"/>
            </w:tcBorders>
            <w:hideMark/>
          </w:tcPr>
          <w:p w14:paraId="5259A7B2" w14:textId="77777777" w:rsidR="003928B6" w:rsidRPr="004E13E9" w:rsidRDefault="003928B6" w:rsidP="00D47E5E">
            <w:pPr>
              <w:rPr>
                <w:rFonts w:eastAsia="Times New Roman" w:cs="Calibri"/>
              </w:rPr>
            </w:pPr>
            <w:r w:rsidRPr="004E13E9">
              <w:t>54,100</w:t>
            </w:r>
          </w:p>
        </w:tc>
        <w:tc>
          <w:tcPr>
            <w:tcW w:w="1060" w:type="dxa"/>
            <w:tcBorders>
              <w:top w:val="single" w:sz="4" w:space="0" w:color="000000" w:themeColor="text1"/>
              <w:left w:val="nil"/>
              <w:bottom w:val="single" w:sz="4" w:space="0" w:color="000000" w:themeColor="text1"/>
              <w:right w:val="single" w:sz="4" w:space="0" w:color="auto"/>
            </w:tcBorders>
            <w:hideMark/>
          </w:tcPr>
          <w:p w14:paraId="54833B51" w14:textId="77777777" w:rsidR="003928B6" w:rsidRPr="004E13E9" w:rsidRDefault="003928B6" w:rsidP="00D47E5E">
            <w:pPr>
              <w:rPr>
                <w:rFonts w:eastAsia="Times New Roman" w:cs="Calibri"/>
              </w:rPr>
            </w:pPr>
            <w:r w:rsidRPr="004E13E9">
              <w:t>-6,260</w:t>
            </w:r>
          </w:p>
        </w:tc>
      </w:tr>
      <w:tr w:rsidR="003928B6" w:rsidRPr="004E13E9" w14:paraId="1ACBD91F"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6EA9D7D5" w14:textId="77777777" w:rsidR="003928B6" w:rsidRPr="004E13E9" w:rsidRDefault="003928B6" w:rsidP="00D47E5E">
            <w:pPr>
              <w:rPr>
                <w:rFonts w:eastAsia="Times New Roman" w:cs="Calibri"/>
              </w:rPr>
            </w:pPr>
            <w:r w:rsidRPr="004E13E9">
              <w:t>Aberdeen</w:t>
            </w:r>
          </w:p>
        </w:tc>
        <w:tc>
          <w:tcPr>
            <w:tcW w:w="1276" w:type="dxa"/>
            <w:tcBorders>
              <w:top w:val="single" w:sz="4" w:space="0" w:color="000000" w:themeColor="text1"/>
              <w:left w:val="nil"/>
              <w:bottom w:val="single" w:sz="4" w:space="0" w:color="000000" w:themeColor="text1"/>
              <w:right w:val="nil"/>
            </w:tcBorders>
            <w:hideMark/>
          </w:tcPr>
          <w:p w14:paraId="04CA05B0"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5548D56D" w14:textId="77777777" w:rsidR="003928B6" w:rsidRPr="004E13E9" w:rsidRDefault="003928B6" w:rsidP="00D47E5E">
            <w:pPr>
              <w:rPr>
                <w:rFonts w:eastAsia="Times New Roman" w:cs="Calibri"/>
              </w:rPr>
            </w:pPr>
            <w:r w:rsidRPr="004E13E9">
              <w:t>GBABD</w:t>
            </w:r>
          </w:p>
        </w:tc>
        <w:tc>
          <w:tcPr>
            <w:tcW w:w="923" w:type="dxa"/>
            <w:gridSpan w:val="2"/>
            <w:tcBorders>
              <w:top w:val="single" w:sz="4" w:space="0" w:color="000000" w:themeColor="text1"/>
              <w:left w:val="nil"/>
              <w:bottom w:val="single" w:sz="4" w:space="0" w:color="000000" w:themeColor="text1"/>
              <w:right w:val="nil"/>
            </w:tcBorders>
            <w:hideMark/>
          </w:tcPr>
          <w:p w14:paraId="6630A20B" w14:textId="77777777" w:rsidR="003928B6" w:rsidRPr="004E13E9" w:rsidRDefault="003928B6" w:rsidP="00D47E5E">
            <w:pPr>
              <w:rPr>
                <w:rFonts w:eastAsia="Times New Roman" w:cs="Calibri"/>
              </w:rPr>
            </w:pPr>
            <w:r w:rsidRPr="004E13E9">
              <w:t>57,143</w:t>
            </w:r>
          </w:p>
        </w:tc>
        <w:tc>
          <w:tcPr>
            <w:tcW w:w="1060" w:type="dxa"/>
            <w:tcBorders>
              <w:top w:val="single" w:sz="4" w:space="0" w:color="000000" w:themeColor="text1"/>
              <w:left w:val="nil"/>
              <w:bottom w:val="single" w:sz="4" w:space="0" w:color="000000" w:themeColor="text1"/>
              <w:right w:val="single" w:sz="4" w:space="0" w:color="auto"/>
            </w:tcBorders>
            <w:hideMark/>
          </w:tcPr>
          <w:p w14:paraId="72C56BF7" w14:textId="77777777" w:rsidR="003928B6" w:rsidRPr="004E13E9" w:rsidRDefault="003928B6" w:rsidP="00D47E5E">
            <w:pPr>
              <w:rPr>
                <w:rFonts w:eastAsia="Times New Roman" w:cs="Calibri"/>
              </w:rPr>
            </w:pPr>
            <w:r w:rsidRPr="004E13E9">
              <w:t>-2,079</w:t>
            </w:r>
          </w:p>
        </w:tc>
      </w:tr>
      <w:tr w:rsidR="003928B6" w:rsidRPr="004E13E9" w14:paraId="3EF1773E"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19552D71" w14:textId="77777777" w:rsidR="003928B6" w:rsidRPr="004E13E9" w:rsidRDefault="003928B6" w:rsidP="00D47E5E">
            <w:pPr>
              <w:rPr>
                <w:rFonts w:eastAsia="Times New Roman" w:cs="Calibri"/>
              </w:rPr>
            </w:pPr>
            <w:r w:rsidRPr="004E13E9">
              <w:t>Buckie</w:t>
            </w:r>
          </w:p>
        </w:tc>
        <w:tc>
          <w:tcPr>
            <w:tcW w:w="1276" w:type="dxa"/>
            <w:tcBorders>
              <w:top w:val="single" w:sz="4" w:space="0" w:color="000000" w:themeColor="text1"/>
              <w:left w:val="nil"/>
              <w:bottom w:val="single" w:sz="4" w:space="0" w:color="000000" w:themeColor="text1"/>
              <w:right w:val="nil"/>
            </w:tcBorders>
            <w:hideMark/>
          </w:tcPr>
          <w:p w14:paraId="73BCFDD9"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346357B5" w14:textId="77777777" w:rsidR="003928B6" w:rsidRPr="004E13E9" w:rsidRDefault="003928B6" w:rsidP="00D47E5E">
            <w:pPr>
              <w:rPr>
                <w:rFonts w:eastAsia="Times New Roman" w:cs="Calibri"/>
              </w:rPr>
            </w:pPr>
            <w:r w:rsidRPr="004E13E9">
              <w:t>GBBUC</w:t>
            </w:r>
          </w:p>
        </w:tc>
        <w:tc>
          <w:tcPr>
            <w:tcW w:w="923" w:type="dxa"/>
            <w:gridSpan w:val="2"/>
            <w:tcBorders>
              <w:top w:val="single" w:sz="4" w:space="0" w:color="000000" w:themeColor="text1"/>
              <w:left w:val="nil"/>
              <w:bottom w:val="single" w:sz="4" w:space="0" w:color="000000" w:themeColor="text1"/>
              <w:right w:val="nil"/>
            </w:tcBorders>
            <w:hideMark/>
          </w:tcPr>
          <w:p w14:paraId="6228878E" w14:textId="77777777" w:rsidR="003928B6" w:rsidRPr="004E13E9" w:rsidRDefault="003928B6" w:rsidP="00D47E5E">
            <w:pPr>
              <w:rPr>
                <w:rFonts w:eastAsia="Times New Roman" w:cs="Calibri"/>
              </w:rPr>
            </w:pPr>
            <w:r w:rsidRPr="004E13E9">
              <w:t>57,681</w:t>
            </w:r>
          </w:p>
        </w:tc>
        <w:tc>
          <w:tcPr>
            <w:tcW w:w="1060" w:type="dxa"/>
            <w:tcBorders>
              <w:top w:val="single" w:sz="4" w:space="0" w:color="000000" w:themeColor="text1"/>
              <w:left w:val="nil"/>
              <w:bottom w:val="single" w:sz="4" w:space="0" w:color="000000" w:themeColor="text1"/>
              <w:right w:val="single" w:sz="4" w:space="0" w:color="auto"/>
            </w:tcBorders>
            <w:hideMark/>
          </w:tcPr>
          <w:p w14:paraId="47E53365" w14:textId="77777777" w:rsidR="003928B6" w:rsidRPr="004E13E9" w:rsidRDefault="003928B6" w:rsidP="00D47E5E">
            <w:pPr>
              <w:rPr>
                <w:rFonts w:eastAsia="Times New Roman" w:cs="Calibri"/>
              </w:rPr>
            </w:pPr>
            <w:r w:rsidRPr="004E13E9">
              <w:t>-2,957</w:t>
            </w:r>
          </w:p>
        </w:tc>
      </w:tr>
      <w:tr w:rsidR="003928B6" w:rsidRPr="004E13E9" w14:paraId="68A72710"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50785F49" w14:textId="77777777" w:rsidR="003928B6" w:rsidRPr="004E13E9" w:rsidRDefault="003928B6" w:rsidP="00D47E5E">
            <w:pPr>
              <w:rPr>
                <w:rFonts w:eastAsia="Times New Roman" w:cs="Calibri"/>
              </w:rPr>
            </w:pPr>
            <w:r w:rsidRPr="004E13E9">
              <w:t>Campbeltown</w:t>
            </w:r>
          </w:p>
        </w:tc>
        <w:tc>
          <w:tcPr>
            <w:tcW w:w="1276" w:type="dxa"/>
            <w:tcBorders>
              <w:top w:val="single" w:sz="4" w:space="0" w:color="000000" w:themeColor="text1"/>
              <w:left w:val="nil"/>
              <w:bottom w:val="single" w:sz="4" w:space="0" w:color="000000" w:themeColor="text1"/>
              <w:right w:val="nil"/>
            </w:tcBorders>
            <w:hideMark/>
          </w:tcPr>
          <w:p w14:paraId="34EC6496"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6BDBAC00" w14:textId="77777777" w:rsidR="003928B6" w:rsidRPr="004E13E9" w:rsidRDefault="003928B6" w:rsidP="00D47E5E">
            <w:pPr>
              <w:rPr>
                <w:rFonts w:eastAsia="Times New Roman" w:cs="Calibri"/>
              </w:rPr>
            </w:pPr>
            <w:r w:rsidRPr="004E13E9">
              <w:t>GBCBT</w:t>
            </w:r>
          </w:p>
        </w:tc>
        <w:tc>
          <w:tcPr>
            <w:tcW w:w="923" w:type="dxa"/>
            <w:gridSpan w:val="2"/>
            <w:tcBorders>
              <w:top w:val="single" w:sz="4" w:space="0" w:color="000000" w:themeColor="text1"/>
              <w:left w:val="nil"/>
              <w:bottom w:val="single" w:sz="4" w:space="0" w:color="000000" w:themeColor="text1"/>
              <w:right w:val="nil"/>
            </w:tcBorders>
            <w:hideMark/>
          </w:tcPr>
          <w:p w14:paraId="65627036" w14:textId="77777777" w:rsidR="003928B6" w:rsidRPr="004E13E9" w:rsidRDefault="003928B6" w:rsidP="00D47E5E">
            <w:pPr>
              <w:rPr>
                <w:rFonts w:eastAsia="Times New Roman" w:cs="Calibri"/>
              </w:rPr>
            </w:pPr>
            <w:r w:rsidRPr="004E13E9">
              <w:t>55,426</w:t>
            </w:r>
          </w:p>
        </w:tc>
        <w:tc>
          <w:tcPr>
            <w:tcW w:w="1060" w:type="dxa"/>
            <w:tcBorders>
              <w:top w:val="single" w:sz="4" w:space="0" w:color="000000" w:themeColor="text1"/>
              <w:left w:val="nil"/>
              <w:bottom w:val="single" w:sz="4" w:space="0" w:color="000000" w:themeColor="text1"/>
              <w:right w:val="single" w:sz="4" w:space="0" w:color="auto"/>
            </w:tcBorders>
            <w:hideMark/>
          </w:tcPr>
          <w:p w14:paraId="0C77BD55" w14:textId="77777777" w:rsidR="003928B6" w:rsidRPr="004E13E9" w:rsidRDefault="003928B6" w:rsidP="00D47E5E">
            <w:pPr>
              <w:rPr>
                <w:rFonts w:eastAsia="Times New Roman" w:cs="Calibri"/>
              </w:rPr>
            </w:pPr>
            <w:r w:rsidRPr="004E13E9">
              <w:t>-5,600</w:t>
            </w:r>
          </w:p>
        </w:tc>
      </w:tr>
      <w:tr w:rsidR="003928B6" w:rsidRPr="004E13E9" w14:paraId="54E08E23"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6F929210" w14:textId="77777777" w:rsidR="003928B6" w:rsidRPr="004E13E9" w:rsidRDefault="003928B6" w:rsidP="00D47E5E">
            <w:pPr>
              <w:rPr>
                <w:rFonts w:eastAsia="Times New Roman" w:cs="Calibri"/>
              </w:rPr>
            </w:pPr>
            <w:proofErr w:type="spellStart"/>
            <w:r w:rsidRPr="004E13E9">
              <w:t>Cullivoe</w:t>
            </w:r>
            <w:proofErr w:type="spellEnd"/>
          </w:p>
        </w:tc>
        <w:tc>
          <w:tcPr>
            <w:tcW w:w="1276" w:type="dxa"/>
            <w:tcBorders>
              <w:top w:val="single" w:sz="4" w:space="0" w:color="000000" w:themeColor="text1"/>
              <w:left w:val="nil"/>
              <w:bottom w:val="single" w:sz="4" w:space="0" w:color="000000" w:themeColor="text1"/>
              <w:right w:val="nil"/>
            </w:tcBorders>
            <w:hideMark/>
          </w:tcPr>
          <w:p w14:paraId="64FA5650"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72CE277B" w14:textId="77777777" w:rsidR="003928B6" w:rsidRPr="004E13E9" w:rsidRDefault="003928B6" w:rsidP="00D47E5E">
            <w:pPr>
              <w:rPr>
                <w:rFonts w:eastAsia="Times New Roman" w:cs="Calibri"/>
              </w:rPr>
            </w:pPr>
            <w:r w:rsidRPr="004E13E9">
              <w:t>GBCUV</w:t>
            </w:r>
          </w:p>
        </w:tc>
        <w:tc>
          <w:tcPr>
            <w:tcW w:w="923" w:type="dxa"/>
            <w:gridSpan w:val="2"/>
            <w:tcBorders>
              <w:top w:val="single" w:sz="4" w:space="0" w:color="000000" w:themeColor="text1"/>
              <w:left w:val="nil"/>
              <w:bottom w:val="single" w:sz="4" w:space="0" w:color="000000" w:themeColor="text1"/>
              <w:right w:val="nil"/>
            </w:tcBorders>
            <w:hideMark/>
          </w:tcPr>
          <w:p w14:paraId="69CD9384" w14:textId="77777777" w:rsidR="003928B6" w:rsidRPr="004E13E9" w:rsidRDefault="003928B6" w:rsidP="00D47E5E">
            <w:pPr>
              <w:rPr>
                <w:rFonts w:eastAsia="Times New Roman" w:cs="Calibri"/>
              </w:rPr>
            </w:pPr>
            <w:r w:rsidRPr="004E13E9">
              <w:t>60,700</w:t>
            </w:r>
          </w:p>
        </w:tc>
        <w:tc>
          <w:tcPr>
            <w:tcW w:w="1060" w:type="dxa"/>
            <w:tcBorders>
              <w:top w:val="single" w:sz="4" w:space="0" w:color="000000" w:themeColor="text1"/>
              <w:left w:val="nil"/>
              <w:bottom w:val="single" w:sz="4" w:space="0" w:color="000000" w:themeColor="text1"/>
              <w:right w:val="single" w:sz="4" w:space="0" w:color="auto"/>
            </w:tcBorders>
            <w:hideMark/>
          </w:tcPr>
          <w:p w14:paraId="0EA11648" w14:textId="77777777" w:rsidR="003928B6" w:rsidRPr="004E13E9" w:rsidRDefault="003928B6" w:rsidP="00D47E5E">
            <w:pPr>
              <w:rPr>
                <w:rFonts w:eastAsia="Times New Roman" w:cs="Calibri"/>
              </w:rPr>
            </w:pPr>
            <w:r w:rsidRPr="004E13E9">
              <w:t>-1,001</w:t>
            </w:r>
          </w:p>
        </w:tc>
      </w:tr>
      <w:tr w:rsidR="003928B6" w:rsidRPr="004E13E9" w14:paraId="71D43D89"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45B9C794" w14:textId="77777777" w:rsidR="003928B6" w:rsidRPr="004E13E9" w:rsidRDefault="003928B6" w:rsidP="00D47E5E">
            <w:pPr>
              <w:rPr>
                <w:rFonts w:eastAsia="Times New Roman" w:cs="Calibri"/>
              </w:rPr>
            </w:pPr>
            <w:r w:rsidRPr="004E13E9">
              <w:t>Eyemouth</w:t>
            </w:r>
          </w:p>
        </w:tc>
        <w:tc>
          <w:tcPr>
            <w:tcW w:w="1276" w:type="dxa"/>
            <w:tcBorders>
              <w:top w:val="single" w:sz="4" w:space="0" w:color="000000" w:themeColor="text1"/>
              <w:left w:val="nil"/>
              <w:bottom w:val="single" w:sz="4" w:space="0" w:color="000000" w:themeColor="text1"/>
              <w:right w:val="nil"/>
            </w:tcBorders>
            <w:hideMark/>
          </w:tcPr>
          <w:p w14:paraId="032A6411"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0C4D97DA" w14:textId="77777777" w:rsidR="003928B6" w:rsidRPr="004E13E9" w:rsidRDefault="003928B6" w:rsidP="00D47E5E">
            <w:pPr>
              <w:rPr>
                <w:rFonts w:eastAsia="Times New Roman" w:cs="Calibri"/>
              </w:rPr>
            </w:pPr>
            <w:r w:rsidRPr="004E13E9">
              <w:t>GBEYM</w:t>
            </w:r>
          </w:p>
        </w:tc>
        <w:tc>
          <w:tcPr>
            <w:tcW w:w="923" w:type="dxa"/>
            <w:gridSpan w:val="2"/>
            <w:tcBorders>
              <w:top w:val="single" w:sz="4" w:space="0" w:color="000000" w:themeColor="text1"/>
              <w:left w:val="nil"/>
              <w:bottom w:val="single" w:sz="4" w:space="0" w:color="000000" w:themeColor="text1"/>
              <w:right w:val="nil"/>
            </w:tcBorders>
            <w:hideMark/>
          </w:tcPr>
          <w:p w14:paraId="17C7381A" w14:textId="77777777" w:rsidR="003928B6" w:rsidRPr="004E13E9" w:rsidRDefault="003928B6" w:rsidP="00D47E5E">
            <w:pPr>
              <w:rPr>
                <w:rFonts w:eastAsia="Times New Roman" w:cs="Calibri"/>
              </w:rPr>
            </w:pPr>
            <w:r w:rsidRPr="004E13E9">
              <w:t>55,873</w:t>
            </w:r>
          </w:p>
        </w:tc>
        <w:tc>
          <w:tcPr>
            <w:tcW w:w="1060" w:type="dxa"/>
            <w:tcBorders>
              <w:top w:val="single" w:sz="4" w:space="0" w:color="000000" w:themeColor="text1"/>
              <w:left w:val="nil"/>
              <w:bottom w:val="single" w:sz="4" w:space="0" w:color="000000" w:themeColor="text1"/>
              <w:right w:val="single" w:sz="4" w:space="0" w:color="auto"/>
            </w:tcBorders>
            <w:hideMark/>
          </w:tcPr>
          <w:p w14:paraId="50C006DD" w14:textId="77777777" w:rsidR="003928B6" w:rsidRPr="004E13E9" w:rsidRDefault="003928B6" w:rsidP="00D47E5E">
            <w:pPr>
              <w:rPr>
                <w:rFonts w:eastAsia="Times New Roman" w:cs="Calibri"/>
              </w:rPr>
            </w:pPr>
            <w:r w:rsidRPr="004E13E9">
              <w:t>-2,087</w:t>
            </w:r>
          </w:p>
        </w:tc>
      </w:tr>
      <w:tr w:rsidR="003928B6" w:rsidRPr="004E13E9" w14:paraId="15128064"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7649B2D8" w14:textId="77777777" w:rsidR="003928B6" w:rsidRPr="004E13E9" w:rsidRDefault="003928B6" w:rsidP="00D47E5E">
            <w:pPr>
              <w:rPr>
                <w:rFonts w:eastAsia="Times New Roman" w:cs="Calibri"/>
              </w:rPr>
            </w:pPr>
            <w:r w:rsidRPr="004E13E9">
              <w:t>Fraserburgh</w:t>
            </w:r>
          </w:p>
        </w:tc>
        <w:tc>
          <w:tcPr>
            <w:tcW w:w="1276" w:type="dxa"/>
            <w:tcBorders>
              <w:top w:val="single" w:sz="4" w:space="0" w:color="000000" w:themeColor="text1"/>
              <w:left w:val="nil"/>
              <w:bottom w:val="single" w:sz="4" w:space="0" w:color="000000" w:themeColor="text1"/>
              <w:right w:val="nil"/>
            </w:tcBorders>
            <w:hideMark/>
          </w:tcPr>
          <w:p w14:paraId="045EEEE6"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48FFACB8" w14:textId="77777777" w:rsidR="003928B6" w:rsidRPr="004E13E9" w:rsidRDefault="003928B6" w:rsidP="00D47E5E">
            <w:pPr>
              <w:rPr>
                <w:rFonts w:eastAsia="Times New Roman" w:cs="Calibri"/>
              </w:rPr>
            </w:pPr>
            <w:r w:rsidRPr="004E13E9">
              <w:t>GBFRB</w:t>
            </w:r>
          </w:p>
        </w:tc>
        <w:tc>
          <w:tcPr>
            <w:tcW w:w="923" w:type="dxa"/>
            <w:gridSpan w:val="2"/>
            <w:tcBorders>
              <w:top w:val="single" w:sz="4" w:space="0" w:color="000000" w:themeColor="text1"/>
              <w:left w:val="nil"/>
              <w:bottom w:val="single" w:sz="4" w:space="0" w:color="000000" w:themeColor="text1"/>
              <w:right w:val="nil"/>
            </w:tcBorders>
            <w:hideMark/>
          </w:tcPr>
          <w:p w14:paraId="1391ED68" w14:textId="77777777" w:rsidR="003928B6" w:rsidRPr="004E13E9" w:rsidRDefault="003928B6" w:rsidP="00D47E5E">
            <w:pPr>
              <w:rPr>
                <w:rFonts w:eastAsia="Times New Roman" w:cs="Calibri"/>
              </w:rPr>
            </w:pPr>
            <w:r w:rsidRPr="004E13E9">
              <w:t>57,693</w:t>
            </w:r>
          </w:p>
        </w:tc>
        <w:tc>
          <w:tcPr>
            <w:tcW w:w="1060" w:type="dxa"/>
            <w:tcBorders>
              <w:top w:val="single" w:sz="4" w:space="0" w:color="000000" w:themeColor="text1"/>
              <w:left w:val="nil"/>
              <w:bottom w:val="single" w:sz="4" w:space="0" w:color="000000" w:themeColor="text1"/>
              <w:right w:val="single" w:sz="4" w:space="0" w:color="auto"/>
            </w:tcBorders>
            <w:hideMark/>
          </w:tcPr>
          <w:p w14:paraId="604D6B19" w14:textId="77777777" w:rsidR="003928B6" w:rsidRPr="004E13E9" w:rsidRDefault="003928B6" w:rsidP="00D47E5E">
            <w:pPr>
              <w:rPr>
                <w:rFonts w:eastAsia="Times New Roman" w:cs="Calibri"/>
              </w:rPr>
            </w:pPr>
            <w:r w:rsidRPr="004E13E9">
              <w:t>-2,000</w:t>
            </w:r>
          </w:p>
        </w:tc>
      </w:tr>
      <w:tr w:rsidR="003928B6" w:rsidRPr="004E13E9" w14:paraId="2C464C2E"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01D43BCC" w14:textId="77777777" w:rsidR="003928B6" w:rsidRPr="004E13E9" w:rsidRDefault="003928B6" w:rsidP="00D47E5E">
            <w:pPr>
              <w:rPr>
                <w:rFonts w:eastAsia="Times New Roman" w:cs="Calibri"/>
              </w:rPr>
            </w:pPr>
            <w:proofErr w:type="spellStart"/>
            <w:r w:rsidRPr="004E13E9">
              <w:t>Kinlochbervie</w:t>
            </w:r>
            <w:proofErr w:type="spellEnd"/>
          </w:p>
        </w:tc>
        <w:tc>
          <w:tcPr>
            <w:tcW w:w="1276" w:type="dxa"/>
            <w:tcBorders>
              <w:top w:val="single" w:sz="4" w:space="0" w:color="000000" w:themeColor="text1"/>
              <w:left w:val="nil"/>
              <w:bottom w:val="single" w:sz="4" w:space="0" w:color="000000" w:themeColor="text1"/>
              <w:right w:val="nil"/>
            </w:tcBorders>
            <w:hideMark/>
          </w:tcPr>
          <w:p w14:paraId="4606AED1"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096D5A21" w14:textId="77777777" w:rsidR="003928B6" w:rsidRPr="004E13E9" w:rsidRDefault="003928B6" w:rsidP="00D47E5E">
            <w:pPr>
              <w:rPr>
                <w:rFonts w:eastAsia="Times New Roman" w:cs="Calibri"/>
              </w:rPr>
            </w:pPr>
            <w:r w:rsidRPr="004E13E9">
              <w:t>GBKBE</w:t>
            </w:r>
          </w:p>
        </w:tc>
        <w:tc>
          <w:tcPr>
            <w:tcW w:w="923" w:type="dxa"/>
            <w:gridSpan w:val="2"/>
            <w:tcBorders>
              <w:top w:val="single" w:sz="4" w:space="0" w:color="000000" w:themeColor="text1"/>
              <w:left w:val="nil"/>
              <w:bottom w:val="single" w:sz="4" w:space="0" w:color="000000" w:themeColor="text1"/>
              <w:right w:val="nil"/>
            </w:tcBorders>
            <w:hideMark/>
          </w:tcPr>
          <w:p w14:paraId="43275212" w14:textId="77777777" w:rsidR="003928B6" w:rsidRPr="004E13E9" w:rsidRDefault="003928B6" w:rsidP="00D47E5E">
            <w:pPr>
              <w:rPr>
                <w:rFonts w:eastAsia="Times New Roman" w:cs="Calibri"/>
              </w:rPr>
            </w:pPr>
            <w:r w:rsidRPr="004E13E9">
              <w:t>58,457</w:t>
            </w:r>
          </w:p>
        </w:tc>
        <w:tc>
          <w:tcPr>
            <w:tcW w:w="1060" w:type="dxa"/>
            <w:tcBorders>
              <w:top w:val="single" w:sz="4" w:space="0" w:color="000000" w:themeColor="text1"/>
              <w:left w:val="nil"/>
              <w:bottom w:val="single" w:sz="4" w:space="0" w:color="000000" w:themeColor="text1"/>
              <w:right w:val="single" w:sz="4" w:space="0" w:color="auto"/>
            </w:tcBorders>
            <w:hideMark/>
          </w:tcPr>
          <w:p w14:paraId="56844B36" w14:textId="77777777" w:rsidR="003928B6" w:rsidRPr="004E13E9" w:rsidRDefault="003928B6" w:rsidP="00D47E5E">
            <w:pPr>
              <w:rPr>
                <w:rFonts w:eastAsia="Times New Roman" w:cs="Calibri"/>
              </w:rPr>
            </w:pPr>
            <w:r w:rsidRPr="004E13E9">
              <w:t>-5,049</w:t>
            </w:r>
          </w:p>
        </w:tc>
      </w:tr>
      <w:tr w:rsidR="003928B6" w:rsidRPr="004E13E9" w14:paraId="52D38CD2"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1FE55A54" w14:textId="77777777" w:rsidR="003928B6" w:rsidRPr="004E13E9" w:rsidRDefault="003928B6" w:rsidP="00D47E5E">
            <w:pPr>
              <w:rPr>
                <w:rFonts w:eastAsia="Times New Roman" w:cs="Calibri"/>
              </w:rPr>
            </w:pPr>
            <w:r w:rsidRPr="004E13E9">
              <w:t>Kirkwall</w:t>
            </w:r>
          </w:p>
        </w:tc>
        <w:tc>
          <w:tcPr>
            <w:tcW w:w="1276" w:type="dxa"/>
            <w:tcBorders>
              <w:top w:val="single" w:sz="4" w:space="0" w:color="000000" w:themeColor="text1"/>
              <w:left w:val="nil"/>
              <w:bottom w:val="single" w:sz="4" w:space="0" w:color="000000" w:themeColor="text1"/>
              <w:right w:val="nil"/>
            </w:tcBorders>
            <w:hideMark/>
          </w:tcPr>
          <w:p w14:paraId="3CC70548"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3A2280E9" w14:textId="77777777" w:rsidR="003928B6" w:rsidRPr="004E13E9" w:rsidRDefault="003928B6" w:rsidP="00D47E5E">
            <w:pPr>
              <w:rPr>
                <w:rFonts w:eastAsia="Times New Roman" w:cs="Calibri"/>
              </w:rPr>
            </w:pPr>
            <w:r w:rsidRPr="004E13E9">
              <w:t>GBKWL</w:t>
            </w:r>
          </w:p>
        </w:tc>
        <w:tc>
          <w:tcPr>
            <w:tcW w:w="923" w:type="dxa"/>
            <w:gridSpan w:val="2"/>
            <w:tcBorders>
              <w:top w:val="single" w:sz="4" w:space="0" w:color="000000" w:themeColor="text1"/>
              <w:left w:val="nil"/>
              <w:bottom w:val="single" w:sz="4" w:space="0" w:color="000000" w:themeColor="text1"/>
              <w:right w:val="nil"/>
            </w:tcBorders>
            <w:hideMark/>
          </w:tcPr>
          <w:p w14:paraId="58B837BF" w14:textId="77777777" w:rsidR="003928B6" w:rsidRPr="004E13E9" w:rsidRDefault="003928B6" w:rsidP="00D47E5E">
            <w:pPr>
              <w:rPr>
                <w:rFonts w:eastAsia="Times New Roman" w:cs="Calibri"/>
              </w:rPr>
            </w:pPr>
            <w:r w:rsidRPr="004E13E9">
              <w:t>58,987</w:t>
            </w:r>
          </w:p>
        </w:tc>
        <w:tc>
          <w:tcPr>
            <w:tcW w:w="1060" w:type="dxa"/>
            <w:tcBorders>
              <w:top w:val="single" w:sz="4" w:space="0" w:color="000000" w:themeColor="text1"/>
              <w:left w:val="nil"/>
              <w:bottom w:val="single" w:sz="4" w:space="0" w:color="000000" w:themeColor="text1"/>
              <w:right w:val="single" w:sz="4" w:space="0" w:color="auto"/>
            </w:tcBorders>
            <w:hideMark/>
          </w:tcPr>
          <w:p w14:paraId="2E3F70B5" w14:textId="77777777" w:rsidR="003928B6" w:rsidRPr="004E13E9" w:rsidRDefault="003928B6" w:rsidP="00D47E5E">
            <w:pPr>
              <w:rPr>
                <w:rFonts w:eastAsia="Times New Roman" w:cs="Calibri"/>
              </w:rPr>
            </w:pPr>
            <w:r w:rsidRPr="004E13E9">
              <w:t>-2,959</w:t>
            </w:r>
          </w:p>
        </w:tc>
      </w:tr>
      <w:tr w:rsidR="003928B6" w:rsidRPr="004E13E9" w14:paraId="5921DCC7"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18CE2F8E" w14:textId="77777777" w:rsidR="003928B6" w:rsidRPr="004E13E9" w:rsidRDefault="003928B6" w:rsidP="00D47E5E">
            <w:pPr>
              <w:rPr>
                <w:rFonts w:eastAsia="Times New Roman" w:cs="Calibri"/>
              </w:rPr>
            </w:pPr>
            <w:r w:rsidRPr="004E13E9">
              <w:t>Lerwick</w:t>
            </w:r>
          </w:p>
        </w:tc>
        <w:tc>
          <w:tcPr>
            <w:tcW w:w="1276" w:type="dxa"/>
            <w:tcBorders>
              <w:top w:val="single" w:sz="4" w:space="0" w:color="000000" w:themeColor="text1"/>
              <w:left w:val="nil"/>
              <w:bottom w:val="single" w:sz="4" w:space="0" w:color="000000" w:themeColor="text1"/>
              <w:right w:val="nil"/>
            </w:tcBorders>
            <w:hideMark/>
          </w:tcPr>
          <w:p w14:paraId="39031734"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469DFDB5" w14:textId="77777777" w:rsidR="003928B6" w:rsidRPr="004E13E9" w:rsidRDefault="003928B6" w:rsidP="00D47E5E">
            <w:pPr>
              <w:rPr>
                <w:rFonts w:eastAsia="Times New Roman" w:cs="Calibri"/>
              </w:rPr>
            </w:pPr>
            <w:r w:rsidRPr="004E13E9">
              <w:t>GBLER</w:t>
            </w:r>
          </w:p>
        </w:tc>
        <w:tc>
          <w:tcPr>
            <w:tcW w:w="923" w:type="dxa"/>
            <w:gridSpan w:val="2"/>
            <w:tcBorders>
              <w:top w:val="single" w:sz="4" w:space="0" w:color="000000" w:themeColor="text1"/>
              <w:left w:val="nil"/>
              <w:bottom w:val="single" w:sz="4" w:space="0" w:color="000000" w:themeColor="text1"/>
              <w:right w:val="nil"/>
            </w:tcBorders>
            <w:hideMark/>
          </w:tcPr>
          <w:p w14:paraId="361ADE19" w14:textId="77777777" w:rsidR="003928B6" w:rsidRPr="004E13E9" w:rsidRDefault="003928B6" w:rsidP="00D47E5E">
            <w:pPr>
              <w:rPr>
                <w:rFonts w:eastAsia="Times New Roman" w:cs="Calibri"/>
              </w:rPr>
            </w:pPr>
            <w:r w:rsidRPr="004E13E9">
              <w:t>60,168</w:t>
            </w:r>
          </w:p>
        </w:tc>
        <w:tc>
          <w:tcPr>
            <w:tcW w:w="1060" w:type="dxa"/>
            <w:tcBorders>
              <w:top w:val="single" w:sz="4" w:space="0" w:color="000000" w:themeColor="text1"/>
              <w:left w:val="nil"/>
              <w:bottom w:val="single" w:sz="4" w:space="0" w:color="000000" w:themeColor="text1"/>
              <w:right w:val="single" w:sz="4" w:space="0" w:color="auto"/>
            </w:tcBorders>
            <w:hideMark/>
          </w:tcPr>
          <w:p w14:paraId="3FC73AA7" w14:textId="77777777" w:rsidR="003928B6" w:rsidRPr="004E13E9" w:rsidRDefault="003928B6" w:rsidP="00D47E5E">
            <w:pPr>
              <w:rPr>
                <w:rFonts w:eastAsia="Times New Roman" w:cs="Calibri"/>
              </w:rPr>
            </w:pPr>
            <w:r w:rsidRPr="004E13E9">
              <w:t>-1,152</w:t>
            </w:r>
          </w:p>
        </w:tc>
      </w:tr>
      <w:tr w:rsidR="003928B6" w:rsidRPr="004E13E9" w14:paraId="49ED1079"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031F9C68" w14:textId="77777777" w:rsidR="003928B6" w:rsidRPr="004E13E9" w:rsidRDefault="003928B6" w:rsidP="00D47E5E">
            <w:pPr>
              <w:rPr>
                <w:rFonts w:eastAsia="Times New Roman" w:cs="Calibri"/>
              </w:rPr>
            </w:pPr>
            <w:proofErr w:type="spellStart"/>
            <w:r w:rsidRPr="004E13E9">
              <w:t>Lochinver</w:t>
            </w:r>
            <w:proofErr w:type="spellEnd"/>
          </w:p>
        </w:tc>
        <w:tc>
          <w:tcPr>
            <w:tcW w:w="1276" w:type="dxa"/>
            <w:tcBorders>
              <w:top w:val="single" w:sz="4" w:space="0" w:color="000000" w:themeColor="text1"/>
              <w:left w:val="nil"/>
              <w:bottom w:val="single" w:sz="4" w:space="0" w:color="000000" w:themeColor="text1"/>
              <w:right w:val="nil"/>
            </w:tcBorders>
            <w:hideMark/>
          </w:tcPr>
          <w:p w14:paraId="6EBFFAA6"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55FFAD57" w14:textId="77777777" w:rsidR="003928B6" w:rsidRPr="004E13E9" w:rsidRDefault="003928B6" w:rsidP="00D47E5E">
            <w:pPr>
              <w:rPr>
                <w:rFonts w:eastAsia="Times New Roman" w:cs="Calibri"/>
              </w:rPr>
            </w:pPr>
            <w:r w:rsidRPr="004E13E9">
              <w:t>GBLOV</w:t>
            </w:r>
          </w:p>
        </w:tc>
        <w:tc>
          <w:tcPr>
            <w:tcW w:w="923" w:type="dxa"/>
            <w:gridSpan w:val="2"/>
            <w:tcBorders>
              <w:top w:val="single" w:sz="4" w:space="0" w:color="000000" w:themeColor="text1"/>
              <w:left w:val="nil"/>
              <w:bottom w:val="single" w:sz="4" w:space="0" w:color="000000" w:themeColor="text1"/>
              <w:right w:val="nil"/>
            </w:tcBorders>
            <w:hideMark/>
          </w:tcPr>
          <w:p w14:paraId="4CA9B6E6" w14:textId="77777777" w:rsidR="003928B6" w:rsidRPr="004E13E9" w:rsidRDefault="003928B6" w:rsidP="00D47E5E">
            <w:pPr>
              <w:rPr>
                <w:rFonts w:eastAsia="Times New Roman" w:cs="Calibri"/>
              </w:rPr>
            </w:pPr>
            <w:r w:rsidRPr="004E13E9">
              <w:t>58,148</w:t>
            </w:r>
          </w:p>
        </w:tc>
        <w:tc>
          <w:tcPr>
            <w:tcW w:w="1060" w:type="dxa"/>
            <w:tcBorders>
              <w:top w:val="single" w:sz="4" w:space="0" w:color="000000" w:themeColor="text1"/>
              <w:left w:val="nil"/>
              <w:bottom w:val="single" w:sz="4" w:space="0" w:color="000000" w:themeColor="text1"/>
              <w:right w:val="single" w:sz="4" w:space="0" w:color="auto"/>
            </w:tcBorders>
            <w:hideMark/>
          </w:tcPr>
          <w:p w14:paraId="25DA7CA8" w14:textId="77777777" w:rsidR="003928B6" w:rsidRPr="004E13E9" w:rsidRDefault="003928B6" w:rsidP="00D47E5E">
            <w:pPr>
              <w:rPr>
                <w:rFonts w:eastAsia="Times New Roman" w:cs="Calibri"/>
              </w:rPr>
            </w:pPr>
            <w:r w:rsidRPr="004E13E9">
              <w:t>-5,247</w:t>
            </w:r>
          </w:p>
        </w:tc>
      </w:tr>
      <w:tr w:rsidR="003928B6" w:rsidRPr="004E13E9" w14:paraId="22920B15"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269DCAD3" w14:textId="77777777" w:rsidR="003928B6" w:rsidRPr="004E13E9" w:rsidRDefault="003928B6" w:rsidP="00D47E5E">
            <w:pPr>
              <w:rPr>
                <w:rFonts w:eastAsia="Times New Roman" w:cs="Calibri"/>
              </w:rPr>
            </w:pPr>
            <w:r w:rsidRPr="004E13E9">
              <w:t>Mallaig</w:t>
            </w:r>
          </w:p>
        </w:tc>
        <w:tc>
          <w:tcPr>
            <w:tcW w:w="1276" w:type="dxa"/>
            <w:tcBorders>
              <w:top w:val="single" w:sz="4" w:space="0" w:color="000000" w:themeColor="text1"/>
              <w:left w:val="nil"/>
              <w:bottom w:val="single" w:sz="4" w:space="0" w:color="000000" w:themeColor="text1"/>
              <w:right w:val="nil"/>
            </w:tcBorders>
            <w:hideMark/>
          </w:tcPr>
          <w:p w14:paraId="0E7AC477"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16CFCB78" w14:textId="77777777" w:rsidR="003928B6" w:rsidRPr="004E13E9" w:rsidRDefault="003928B6" w:rsidP="00D47E5E">
            <w:pPr>
              <w:rPr>
                <w:rFonts w:eastAsia="Times New Roman" w:cs="Calibri"/>
              </w:rPr>
            </w:pPr>
            <w:r w:rsidRPr="004E13E9">
              <w:t>GBMLG</w:t>
            </w:r>
          </w:p>
        </w:tc>
        <w:tc>
          <w:tcPr>
            <w:tcW w:w="923" w:type="dxa"/>
            <w:gridSpan w:val="2"/>
            <w:tcBorders>
              <w:top w:val="single" w:sz="4" w:space="0" w:color="000000" w:themeColor="text1"/>
              <w:left w:val="nil"/>
              <w:bottom w:val="single" w:sz="4" w:space="0" w:color="000000" w:themeColor="text1"/>
              <w:right w:val="nil"/>
            </w:tcBorders>
            <w:hideMark/>
          </w:tcPr>
          <w:p w14:paraId="3CBD83F3" w14:textId="77777777" w:rsidR="003928B6" w:rsidRPr="004E13E9" w:rsidRDefault="003928B6" w:rsidP="00D47E5E">
            <w:pPr>
              <w:rPr>
                <w:rFonts w:eastAsia="Times New Roman" w:cs="Calibri"/>
              </w:rPr>
            </w:pPr>
            <w:r w:rsidRPr="004E13E9">
              <w:t>57,006</w:t>
            </w:r>
          </w:p>
        </w:tc>
        <w:tc>
          <w:tcPr>
            <w:tcW w:w="1060" w:type="dxa"/>
            <w:tcBorders>
              <w:top w:val="single" w:sz="4" w:space="0" w:color="000000" w:themeColor="text1"/>
              <w:left w:val="nil"/>
              <w:bottom w:val="single" w:sz="4" w:space="0" w:color="000000" w:themeColor="text1"/>
              <w:right w:val="single" w:sz="4" w:space="0" w:color="auto"/>
            </w:tcBorders>
            <w:hideMark/>
          </w:tcPr>
          <w:p w14:paraId="4D7BD472" w14:textId="77777777" w:rsidR="003928B6" w:rsidRPr="004E13E9" w:rsidRDefault="003928B6" w:rsidP="00D47E5E">
            <w:pPr>
              <w:rPr>
                <w:rFonts w:eastAsia="Times New Roman" w:cs="Calibri"/>
              </w:rPr>
            </w:pPr>
            <w:r w:rsidRPr="004E13E9">
              <w:t>-5,825</w:t>
            </w:r>
          </w:p>
        </w:tc>
      </w:tr>
      <w:tr w:rsidR="003928B6" w:rsidRPr="004E13E9" w14:paraId="0ED11EA5"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57BFED29" w14:textId="77777777" w:rsidR="003928B6" w:rsidRPr="004E13E9" w:rsidRDefault="003928B6" w:rsidP="00D47E5E">
            <w:pPr>
              <w:rPr>
                <w:rFonts w:eastAsia="Times New Roman" w:cs="Calibri"/>
              </w:rPr>
            </w:pPr>
            <w:r w:rsidRPr="004E13E9">
              <w:t>Oban</w:t>
            </w:r>
          </w:p>
        </w:tc>
        <w:tc>
          <w:tcPr>
            <w:tcW w:w="1276" w:type="dxa"/>
            <w:tcBorders>
              <w:top w:val="single" w:sz="4" w:space="0" w:color="000000" w:themeColor="text1"/>
              <w:left w:val="nil"/>
              <w:bottom w:val="single" w:sz="4" w:space="0" w:color="000000" w:themeColor="text1"/>
              <w:right w:val="nil"/>
            </w:tcBorders>
            <w:hideMark/>
          </w:tcPr>
          <w:p w14:paraId="78FA1123"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2C70645A" w14:textId="77777777" w:rsidR="003928B6" w:rsidRPr="004E13E9" w:rsidRDefault="003928B6" w:rsidP="00D47E5E">
            <w:pPr>
              <w:rPr>
                <w:rFonts w:eastAsia="Times New Roman" w:cs="Calibri"/>
              </w:rPr>
            </w:pPr>
            <w:r w:rsidRPr="004E13E9">
              <w:t>GBOBA</w:t>
            </w:r>
          </w:p>
        </w:tc>
        <w:tc>
          <w:tcPr>
            <w:tcW w:w="923" w:type="dxa"/>
            <w:gridSpan w:val="2"/>
            <w:tcBorders>
              <w:top w:val="single" w:sz="4" w:space="0" w:color="000000" w:themeColor="text1"/>
              <w:left w:val="nil"/>
              <w:bottom w:val="single" w:sz="4" w:space="0" w:color="000000" w:themeColor="text1"/>
              <w:right w:val="nil"/>
            </w:tcBorders>
            <w:hideMark/>
          </w:tcPr>
          <w:p w14:paraId="6EC69541" w14:textId="77777777" w:rsidR="003928B6" w:rsidRPr="004E13E9" w:rsidRDefault="003928B6" w:rsidP="00D47E5E">
            <w:pPr>
              <w:rPr>
                <w:rFonts w:eastAsia="Times New Roman" w:cs="Calibri"/>
              </w:rPr>
            </w:pPr>
            <w:r w:rsidRPr="004E13E9">
              <w:t>56,414</w:t>
            </w:r>
          </w:p>
        </w:tc>
        <w:tc>
          <w:tcPr>
            <w:tcW w:w="1060" w:type="dxa"/>
            <w:tcBorders>
              <w:top w:val="single" w:sz="4" w:space="0" w:color="000000" w:themeColor="text1"/>
              <w:left w:val="nil"/>
              <w:bottom w:val="single" w:sz="4" w:space="0" w:color="000000" w:themeColor="text1"/>
              <w:right w:val="single" w:sz="4" w:space="0" w:color="auto"/>
            </w:tcBorders>
            <w:hideMark/>
          </w:tcPr>
          <w:p w14:paraId="5358C02B" w14:textId="77777777" w:rsidR="003928B6" w:rsidRPr="004E13E9" w:rsidRDefault="003928B6" w:rsidP="00D47E5E">
            <w:pPr>
              <w:rPr>
                <w:rFonts w:eastAsia="Times New Roman" w:cs="Calibri"/>
              </w:rPr>
            </w:pPr>
            <w:r w:rsidRPr="004E13E9">
              <w:t>-5,478</w:t>
            </w:r>
          </w:p>
        </w:tc>
      </w:tr>
      <w:tr w:rsidR="003928B6" w:rsidRPr="004E13E9" w14:paraId="089B2E50"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07915E6F" w14:textId="77777777" w:rsidR="003928B6" w:rsidRPr="004E13E9" w:rsidRDefault="003928B6" w:rsidP="00D47E5E">
            <w:pPr>
              <w:rPr>
                <w:rFonts w:eastAsia="Times New Roman" w:cs="Calibri"/>
              </w:rPr>
            </w:pPr>
            <w:r w:rsidRPr="004E13E9">
              <w:t>Peterhead</w:t>
            </w:r>
          </w:p>
        </w:tc>
        <w:tc>
          <w:tcPr>
            <w:tcW w:w="1276" w:type="dxa"/>
            <w:tcBorders>
              <w:top w:val="single" w:sz="4" w:space="0" w:color="000000" w:themeColor="text1"/>
              <w:left w:val="nil"/>
              <w:bottom w:val="single" w:sz="4" w:space="0" w:color="000000" w:themeColor="text1"/>
              <w:right w:val="nil"/>
            </w:tcBorders>
            <w:hideMark/>
          </w:tcPr>
          <w:p w14:paraId="6EE08E88"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37C8D8D0" w14:textId="77777777" w:rsidR="003928B6" w:rsidRPr="004E13E9" w:rsidRDefault="003928B6" w:rsidP="00D47E5E">
            <w:pPr>
              <w:rPr>
                <w:rFonts w:eastAsia="Times New Roman" w:cs="Calibri"/>
              </w:rPr>
            </w:pPr>
            <w:r w:rsidRPr="004E13E9">
              <w:t>GBPHD</w:t>
            </w:r>
          </w:p>
        </w:tc>
        <w:tc>
          <w:tcPr>
            <w:tcW w:w="923" w:type="dxa"/>
            <w:gridSpan w:val="2"/>
            <w:tcBorders>
              <w:top w:val="single" w:sz="4" w:space="0" w:color="000000" w:themeColor="text1"/>
              <w:left w:val="nil"/>
              <w:bottom w:val="single" w:sz="4" w:space="0" w:color="000000" w:themeColor="text1"/>
              <w:right w:val="nil"/>
            </w:tcBorders>
            <w:hideMark/>
          </w:tcPr>
          <w:p w14:paraId="2F32827F" w14:textId="77777777" w:rsidR="003928B6" w:rsidRPr="004E13E9" w:rsidRDefault="003928B6" w:rsidP="00D47E5E">
            <w:pPr>
              <w:rPr>
                <w:rFonts w:eastAsia="Times New Roman" w:cs="Calibri"/>
              </w:rPr>
            </w:pPr>
            <w:r w:rsidRPr="004E13E9">
              <w:t>57,498</w:t>
            </w:r>
          </w:p>
        </w:tc>
        <w:tc>
          <w:tcPr>
            <w:tcW w:w="1060" w:type="dxa"/>
            <w:tcBorders>
              <w:top w:val="single" w:sz="4" w:space="0" w:color="000000" w:themeColor="text1"/>
              <w:left w:val="nil"/>
              <w:bottom w:val="single" w:sz="4" w:space="0" w:color="000000" w:themeColor="text1"/>
              <w:right w:val="single" w:sz="4" w:space="0" w:color="auto"/>
            </w:tcBorders>
            <w:hideMark/>
          </w:tcPr>
          <w:p w14:paraId="3FC5214C" w14:textId="77777777" w:rsidR="003928B6" w:rsidRPr="004E13E9" w:rsidRDefault="003928B6" w:rsidP="00D47E5E">
            <w:pPr>
              <w:rPr>
                <w:rFonts w:eastAsia="Times New Roman" w:cs="Calibri"/>
              </w:rPr>
            </w:pPr>
            <w:r w:rsidRPr="004E13E9">
              <w:t>-1,782</w:t>
            </w:r>
          </w:p>
        </w:tc>
      </w:tr>
      <w:tr w:rsidR="003928B6" w:rsidRPr="004E13E9" w14:paraId="41169474"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444C7466" w14:textId="77777777" w:rsidR="003928B6" w:rsidRPr="004E13E9" w:rsidRDefault="003928B6" w:rsidP="00D47E5E">
            <w:pPr>
              <w:rPr>
                <w:rFonts w:eastAsia="Times New Roman" w:cs="Calibri"/>
              </w:rPr>
            </w:pPr>
            <w:proofErr w:type="spellStart"/>
            <w:r w:rsidRPr="004E13E9">
              <w:t>Pittenweem</w:t>
            </w:r>
            <w:proofErr w:type="spellEnd"/>
          </w:p>
        </w:tc>
        <w:tc>
          <w:tcPr>
            <w:tcW w:w="1276" w:type="dxa"/>
            <w:tcBorders>
              <w:top w:val="single" w:sz="4" w:space="0" w:color="000000" w:themeColor="text1"/>
              <w:left w:val="nil"/>
              <w:bottom w:val="single" w:sz="4" w:space="0" w:color="000000" w:themeColor="text1"/>
              <w:right w:val="nil"/>
            </w:tcBorders>
            <w:hideMark/>
          </w:tcPr>
          <w:p w14:paraId="441A55E1"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415D7700" w14:textId="77777777" w:rsidR="003928B6" w:rsidRPr="004E13E9" w:rsidRDefault="003928B6" w:rsidP="00D47E5E">
            <w:pPr>
              <w:rPr>
                <w:rFonts w:eastAsia="Times New Roman" w:cs="Calibri"/>
              </w:rPr>
            </w:pPr>
            <w:r w:rsidRPr="004E13E9">
              <w:t>GBPWM </w:t>
            </w:r>
          </w:p>
        </w:tc>
        <w:tc>
          <w:tcPr>
            <w:tcW w:w="923" w:type="dxa"/>
            <w:gridSpan w:val="2"/>
            <w:tcBorders>
              <w:top w:val="single" w:sz="4" w:space="0" w:color="000000" w:themeColor="text1"/>
              <w:left w:val="nil"/>
              <w:bottom w:val="single" w:sz="4" w:space="0" w:color="000000" w:themeColor="text1"/>
              <w:right w:val="nil"/>
            </w:tcBorders>
            <w:hideMark/>
          </w:tcPr>
          <w:p w14:paraId="39AB01CF" w14:textId="77777777" w:rsidR="003928B6" w:rsidRPr="004E13E9" w:rsidRDefault="003928B6" w:rsidP="00D47E5E">
            <w:pPr>
              <w:rPr>
                <w:rFonts w:eastAsia="Times New Roman" w:cs="Calibri"/>
              </w:rPr>
            </w:pPr>
            <w:r w:rsidRPr="004E13E9">
              <w:t>56,211</w:t>
            </w:r>
          </w:p>
        </w:tc>
        <w:tc>
          <w:tcPr>
            <w:tcW w:w="1060" w:type="dxa"/>
            <w:tcBorders>
              <w:top w:val="single" w:sz="4" w:space="0" w:color="000000" w:themeColor="text1"/>
              <w:left w:val="nil"/>
              <w:bottom w:val="single" w:sz="4" w:space="0" w:color="000000" w:themeColor="text1"/>
              <w:right w:val="single" w:sz="4" w:space="0" w:color="auto"/>
            </w:tcBorders>
            <w:hideMark/>
          </w:tcPr>
          <w:p w14:paraId="70712EA0" w14:textId="77777777" w:rsidR="003928B6" w:rsidRPr="004E13E9" w:rsidRDefault="003928B6" w:rsidP="00D47E5E">
            <w:pPr>
              <w:rPr>
                <w:rFonts w:eastAsia="Times New Roman" w:cs="Calibri"/>
              </w:rPr>
            </w:pPr>
            <w:r w:rsidRPr="004E13E9">
              <w:t>-2,727</w:t>
            </w:r>
          </w:p>
        </w:tc>
      </w:tr>
      <w:tr w:rsidR="003928B6" w:rsidRPr="004E13E9" w14:paraId="703189E5"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1A4A0860" w14:textId="77777777" w:rsidR="003928B6" w:rsidRPr="004E13E9" w:rsidRDefault="003928B6" w:rsidP="00D47E5E">
            <w:pPr>
              <w:rPr>
                <w:rFonts w:eastAsia="Times New Roman" w:cs="Calibri"/>
              </w:rPr>
            </w:pPr>
            <w:r w:rsidRPr="004E13E9">
              <w:t>Portree</w:t>
            </w:r>
          </w:p>
        </w:tc>
        <w:tc>
          <w:tcPr>
            <w:tcW w:w="1276" w:type="dxa"/>
            <w:tcBorders>
              <w:top w:val="single" w:sz="4" w:space="0" w:color="000000" w:themeColor="text1"/>
              <w:left w:val="nil"/>
              <w:bottom w:val="single" w:sz="4" w:space="0" w:color="000000" w:themeColor="text1"/>
              <w:right w:val="nil"/>
            </w:tcBorders>
            <w:hideMark/>
          </w:tcPr>
          <w:p w14:paraId="2530035F"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3DFE2BB4" w14:textId="77777777" w:rsidR="003928B6" w:rsidRPr="004E13E9" w:rsidRDefault="003928B6" w:rsidP="00D47E5E">
            <w:pPr>
              <w:rPr>
                <w:rFonts w:eastAsia="Times New Roman" w:cs="Calibri"/>
              </w:rPr>
            </w:pPr>
            <w:r w:rsidRPr="004E13E9">
              <w:t>GBPRT </w:t>
            </w:r>
          </w:p>
        </w:tc>
        <w:tc>
          <w:tcPr>
            <w:tcW w:w="923" w:type="dxa"/>
            <w:gridSpan w:val="2"/>
            <w:tcBorders>
              <w:top w:val="single" w:sz="4" w:space="0" w:color="000000" w:themeColor="text1"/>
              <w:left w:val="nil"/>
              <w:bottom w:val="single" w:sz="4" w:space="0" w:color="000000" w:themeColor="text1"/>
              <w:right w:val="nil"/>
            </w:tcBorders>
            <w:hideMark/>
          </w:tcPr>
          <w:p w14:paraId="5ADF6A36" w14:textId="77777777" w:rsidR="003928B6" w:rsidRPr="004E13E9" w:rsidRDefault="003928B6" w:rsidP="00D47E5E">
            <w:pPr>
              <w:rPr>
                <w:rFonts w:eastAsia="Times New Roman" w:cs="Calibri"/>
              </w:rPr>
            </w:pPr>
            <w:r w:rsidRPr="004E13E9">
              <w:t>57,411</w:t>
            </w:r>
          </w:p>
        </w:tc>
        <w:tc>
          <w:tcPr>
            <w:tcW w:w="1060" w:type="dxa"/>
            <w:tcBorders>
              <w:top w:val="single" w:sz="4" w:space="0" w:color="000000" w:themeColor="text1"/>
              <w:left w:val="nil"/>
              <w:bottom w:val="single" w:sz="4" w:space="0" w:color="000000" w:themeColor="text1"/>
              <w:right w:val="single" w:sz="4" w:space="0" w:color="auto"/>
            </w:tcBorders>
            <w:hideMark/>
          </w:tcPr>
          <w:p w14:paraId="47FA80F1" w14:textId="77777777" w:rsidR="003928B6" w:rsidRPr="004E13E9" w:rsidRDefault="003928B6" w:rsidP="00D47E5E">
            <w:pPr>
              <w:rPr>
                <w:rFonts w:eastAsia="Times New Roman" w:cs="Calibri"/>
              </w:rPr>
            </w:pPr>
            <w:r w:rsidRPr="004E13E9">
              <w:t>-6,190</w:t>
            </w:r>
          </w:p>
        </w:tc>
      </w:tr>
      <w:tr w:rsidR="003928B6" w:rsidRPr="004E13E9" w14:paraId="50460E7A"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3784090F" w14:textId="77777777" w:rsidR="003928B6" w:rsidRPr="004E13E9" w:rsidRDefault="003928B6" w:rsidP="00D47E5E">
            <w:pPr>
              <w:rPr>
                <w:rFonts w:eastAsia="Times New Roman" w:cs="Calibri"/>
              </w:rPr>
            </w:pPr>
            <w:r w:rsidRPr="004E13E9">
              <w:t xml:space="preserve">Scalloway </w:t>
            </w:r>
          </w:p>
        </w:tc>
        <w:tc>
          <w:tcPr>
            <w:tcW w:w="1276" w:type="dxa"/>
            <w:tcBorders>
              <w:top w:val="single" w:sz="4" w:space="0" w:color="000000" w:themeColor="text1"/>
              <w:left w:val="nil"/>
              <w:bottom w:val="single" w:sz="4" w:space="0" w:color="000000" w:themeColor="text1"/>
              <w:right w:val="nil"/>
            </w:tcBorders>
            <w:hideMark/>
          </w:tcPr>
          <w:p w14:paraId="5F5C4975"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727AF281" w14:textId="77777777" w:rsidR="003928B6" w:rsidRPr="004E13E9" w:rsidRDefault="003928B6" w:rsidP="00D47E5E">
            <w:pPr>
              <w:rPr>
                <w:rFonts w:eastAsia="Times New Roman" w:cs="Calibri"/>
              </w:rPr>
            </w:pPr>
            <w:r w:rsidRPr="004E13E9">
              <w:t>GBSWY</w:t>
            </w:r>
          </w:p>
        </w:tc>
        <w:tc>
          <w:tcPr>
            <w:tcW w:w="923" w:type="dxa"/>
            <w:gridSpan w:val="2"/>
            <w:tcBorders>
              <w:top w:val="single" w:sz="4" w:space="0" w:color="000000" w:themeColor="text1"/>
              <w:left w:val="nil"/>
              <w:bottom w:val="single" w:sz="4" w:space="0" w:color="000000" w:themeColor="text1"/>
              <w:right w:val="nil"/>
            </w:tcBorders>
            <w:hideMark/>
          </w:tcPr>
          <w:p w14:paraId="71B6395E" w14:textId="77777777" w:rsidR="003928B6" w:rsidRPr="004E13E9" w:rsidRDefault="003928B6" w:rsidP="00D47E5E">
            <w:pPr>
              <w:rPr>
                <w:rFonts w:eastAsia="Times New Roman" w:cs="Calibri"/>
              </w:rPr>
            </w:pPr>
            <w:r w:rsidRPr="004E13E9">
              <w:t>60,135</w:t>
            </w:r>
          </w:p>
        </w:tc>
        <w:tc>
          <w:tcPr>
            <w:tcW w:w="1060" w:type="dxa"/>
            <w:tcBorders>
              <w:top w:val="single" w:sz="4" w:space="0" w:color="000000" w:themeColor="text1"/>
              <w:left w:val="nil"/>
              <w:bottom w:val="single" w:sz="4" w:space="0" w:color="000000" w:themeColor="text1"/>
              <w:right w:val="single" w:sz="4" w:space="0" w:color="auto"/>
            </w:tcBorders>
            <w:hideMark/>
          </w:tcPr>
          <w:p w14:paraId="76C3CAC0" w14:textId="77777777" w:rsidR="003928B6" w:rsidRPr="004E13E9" w:rsidRDefault="003928B6" w:rsidP="00D47E5E">
            <w:pPr>
              <w:rPr>
                <w:rFonts w:eastAsia="Times New Roman" w:cs="Calibri"/>
              </w:rPr>
            </w:pPr>
            <w:r w:rsidRPr="004E13E9">
              <w:t>-1,277</w:t>
            </w:r>
          </w:p>
        </w:tc>
      </w:tr>
      <w:tr w:rsidR="003928B6" w:rsidRPr="004E13E9" w14:paraId="05BE3D8B"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2AA6395C" w14:textId="77777777" w:rsidR="003928B6" w:rsidRPr="004E13E9" w:rsidRDefault="003928B6" w:rsidP="00D47E5E">
            <w:pPr>
              <w:rPr>
                <w:rFonts w:eastAsia="Times New Roman" w:cs="Calibri"/>
              </w:rPr>
            </w:pPr>
            <w:proofErr w:type="spellStart"/>
            <w:r w:rsidRPr="004E13E9">
              <w:t>Scrabster</w:t>
            </w:r>
            <w:proofErr w:type="spellEnd"/>
          </w:p>
        </w:tc>
        <w:tc>
          <w:tcPr>
            <w:tcW w:w="1276" w:type="dxa"/>
            <w:tcBorders>
              <w:top w:val="single" w:sz="4" w:space="0" w:color="000000" w:themeColor="text1"/>
              <w:left w:val="nil"/>
              <w:bottom w:val="single" w:sz="4" w:space="0" w:color="000000" w:themeColor="text1"/>
              <w:right w:val="nil"/>
            </w:tcBorders>
            <w:hideMark/>
          </w:tcPr>
          <w:p w14:paraId="45F34C7F"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21CA8851" w14:textId="77777777" w:rsidR="003928B6" w:rsidRPr="004E13E9" w:rsidRDefault="003928B6" w:rsidP="00D47E5E">
            <w:pPr>
              <w:rPr>
                <w:rFonts w:eastAsia="Times New Roman" w:cs="Calibri"/>
              </w:rPr>
            </w:pPr>
            <w:r w:rsidRPr="004E13E9">
              <w:t>GBSCR</w:t>
            </w:r>
          </w:p>
        </w:tc>
        <w:tc>
          <w:tcPr>
            <w:tcW w:w="923" w:type="dxa"/>
            <w:gridSpan w:val="2"/>
            <w:tcBorders>
              <w:top w:val="single" w:sz="4" w:space="0" w:color="000000" w:themeColor="text1"/>
              <w:left w:val="nil"/>
              <w:bottom w:val="single" w:sz="4" w:space="0" w:color="000000" w:themeColor="text1"/>
              <w:right w:val="nil"/>
            </w:tcBorders>
            <w:hideMark/>
          </w:tcPr>
          <w:p w14:paraId="71DC5FA4" w14:textId="77777777" w:rsidR="003928B6" w:rsidRPr="004E13E9" w:rsidRDefault="003928B6" w:rsidP="00D47E5E">
            <w:pPr>
              <w:rPr>
                <w:rFonts w:eastAsia="Times New Roman" w:cs="Calibri"/>
              </w:rPr>
            </w:pPr>
            <w:r w:rsidRPr="004E13E9">
              <w:t>58,611</w:t>
            </w:r>
          </w:p>
        </w:tc>
        <w:tc>
          <w:tcPr>
            <w:tcW w:w="1060" w:type="dxa"/>
            <w:tcBorders>
              <w:top w:val="single" w:sz="4" w:space="0" w:color="000000" w:themeColor="text1"/>
              <w:left w:val="nil"/>
              <w:bottom w:val="single" w:sz="4" w:space="0" w:color="000000" w:themeColor="text1"/>
              <w:right w:val="single" w:sz="4" w:space="0" w:color="auto"/>
            </w:tcBorders>
            <w:hideMark/>
          </w:tcPr>
          <w:p w14:paraId="2E4E1D13" w14:textId="77777777" w:rsidR="003928B6" w:rsidRPr="004E13E9" w:rsidRDefault="003928B6" w:rsidP="00D47E5E">
            <w:pPr>
              <w:rPr>
                <w:rFonts w:eastAsia="Times New Roman" w:cs="Calibri"/>
              </w:rPr>
            </w:pPr>
            <w:r w:rsidRPr="004E13E9">
              <w:t>-3,544</w:t>
            </w:r>
          </w:p>
        </w:tc>
      </w:tr>
      <w:tr w:rsidR="003928B6" w:rsidRPr="004E13E9" w14:paraId="4AE591B6"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6E4BB697" w14:textId="77777777" w:rsidR="003928B6" w:rsidRPr="004E13E9" w:rsidRDefault="003928B6" w:rsidP="00D47E5E">
            <w:pPr>
              <w:rPr>
                <w:rFonts w:eastAsia="Times New Roman" w:cs="Calibri"/>
              </w:rPr>
            </w:pPr>
            <w:r w:rsidRPr="004E13E9">
              <w:t>Stornoway</w:t>
            </w:r>
          </w:p>
        </w:tc>
        <w:tc>
          <w:tcPr>
            <w:tcW w:w="1276" w:type="dxa"/>
            <w:tcBorders>
              <w:top w:val="single" w:sz="4" w:space="0" w:color="000000" w:themeColor="text1"/>
              <w:left w:val="nil"/>
              <w:bottom w:val="single" w:sz="4" w:space="0" w:color="000000" w:themeColor="text1"/>
              <w:right w:val="nil"/>
            </w:tcBorders>
            <w:hideMark/>
          </w:tcPr>
          <w:p w14:paraId="69A8A86D"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06525B42" w14:textId="77777777" w:rsidR="003928B6" w:rsidRPr="004E13E9" w:rsidRDefault="003928B6" w:rsidP="00D47E5E">
            <w:pPr>
              <w:rPr>
                <w:rFonts w:eastAsia="Times New Roman" w:cs="Calibri"/>
              </w:rPr>
            </w:pPr>
            <w:r w:rsidRPr="004E13E9">
              <w:t>GBSTO</w:t>
            </w:r>
          </w:p>
        </w:tc>
        <w:tc>
          <w:tcPr>
            <w:tcW w:w="923" w:type="dxa"/>
            <w:gridSpan w:val="2"/>
            <w:tcBorders>
              <w:top w:val="single" w:sz="4" w:space="0" w:color="000000" w:themeColor="text1"/>
              <w:left w:val="nil"/>
              <w:bottom w:val="single" w:sz="4" w:space="0" w:color="000000" w:themeColor="text1"/>
              <w:right w:val="nil"/>
            </w:tcBorders>
            <w:hideMark/>
          </w:tcPr>
          <w:p w14:paraId="2083978B" w14:textId="77777777" w:rsidR="003928B6" w:rsidRPr="004E13E9" w:rsidRDefault="003928B6" w:rsidP="00D47E5E">
            <w:pPr>
              <w:rPr>
                <w:rFonts w:eastAsia="Times New Roman" w:cs="Calibri"/>
              </w:rPr>
            </w:pPr>
            <w:r w:rsidRPr="004E13E9">
              <w:t>58,207</w:t>
            </w:r>
          </w:p>
        </w:tc>
        <w:tc>
          <w:tcPr>
            <w:tcW w:w="1060" w:type="dxa"/>
            <w:tcBorders>
              <w:top w:val="single" w:sz="4" w:space="0" w:color="000000" w:themeColor="text1"/>
              <w:left w:val="nil"/>
              <w:bottom w:val="single" w:sz="4" w:space="0" w:color="000000" w:themeColor="text1"/>
              <w:right w:val="single" w:sz="4" w:space="0" w:color="auto"/>
            </w:tcBorders>
            <w:hideMark/>
          </w:tcPr>
          <w:p w14:paraId="73597B8C" w14:textId="77777777" w:rsidR="003928B6" w:rsidRPr="004E13E9" w:rsidRDefault="003928B6" w:rsidP="00D47E5E">
            <w:pPr>
              <w:rPr>
                <w:rFonts w:eastAsia="Times New Roman" w:cs="Calibri"/>
              </w:rPr>
            </w:pPr>
            <w:r w:rsidRPr="004E13E9">
              <w:t>-6,384</w:t>
            </w:r>
          </w:p>
        </w:tc>
      </w:tr>
      <w:tr w:rsidR="003928B6" w:rsidRPr="004E13E9" w14:paraId="0032376D"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6413C3AA" w14:textId="77777777" w:rsidR="003928B6" w:rsidRPr="004E13E9" w:rsidRDefault="003928B6" w:rsidP="00D47E5E">
            <w:pPr>
              <w:rPr>
                <w:rFonts w:eastAsia="Times New Roman" w:cs="Calibri"/>
              </w:rPr>
            </w:pPr>
            <w:r w:rsidRPr="004E13E9">
              <w:t>Troon</w:t>
            </w:r>
          </w:p>
        </w:tc>
        <w:tc>
          <w:tcPr>
            <w:tcW w:w="1276" w:type="dxa"/>
            <w:tcBorders>
              <w:top w:val="single" w:sz="4" w:space="0" w:color="000000" w:themeColor="text1"/>
              <w:left w:val="nil"/>
              <w:bottom w:val="single" w:sz="4" w:space="0" w:color="000000" w:themeColor="text1"/>
              <w:right w:val="nil"/>
            </w:tcBorders>
            <w:hideMark/>
          </w:tcPr>
          <w:p w14:paraId="654634B6"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51610FCB" w14:textId="77777777" w:rsidR="003928B6" w:rsidRPr="004E13E9" w:rsidRDefault="003928B6" w:rsidP="00D47E5E">
            <w:pPr>
              <w:rPr>
                <w:rFonts w:eastAsia="Times New Roman" w:cs="Calibri"/>
              </w:rPr>
            </w:pPr>
            <w:r w:rsidRPr="004E13E9">
              <w:t>GBTRN</w:t>
            </w:r>
          </w:p>
        </w:tc>
        <w:tc>
          <w:tcPr>
            <w:tcW w:w="923" w:type="dxa"/>
            <w:gridSpan w:val="2"/>
            <w:tcBorders>
              <w:top w:val="single" w:sz="4" w:space="0" w:color="000000" w:themeColor="text1"/>
              <w:left w:val="nil"/>
              <w:bottom w:val="single" w:sz="4" w:space="0" w:color="000000" w:themeColor="text1"/>
              <w:right w:val="nil"/>
            </w:tcBorders>
            <w:hideMark/>
          </w:tcPr>
          <w:p w14:paraId="13A7CB3F" w14:textId="77777777" w:rsidR="003928B6" w:rsidRPr="004E13E9" w:rsidRDefault="003928B6" w:rsidP="00D47E5E">
            <w:pPr>
              <w:rPr>
                <w:rFonts w:eastAsia="Times New Roman" w:cs="Calibri"/>
              </w:rPr>
            </w:pPr>
            <w:r w:rsidRPr="004E13E9">
              <w:t>55,548</w:t>
            </w:r>
          </w:p>
        </w:tc>
        <w:tc>
          <w:tcPr>
            <w:tcW w:w="1060" w:type="dxa"/>
            <w:tcBorders>
              <w:top w:val="single" w:sz="4" w:space="0" w:color="000000" w:themeColor="text1"/>
              <w:left w:val="nil"/>
              <w:bottom w:val="single" w:sz="4" w:space="0" w:color="000000" w:themeColor="text1"/>
              <w:right w:val="single" w:sz="4" w:space="0" w:color="auto"/>
            </w:tcBorders>
            <w:hideMark/>
          </w:tcPr>
          <w:p w14:paraId="272CE3F7" w14:textId="77777777" w:rsidR="003928B6" w:rsidRPr="004E13E9" w:rsidRDefault="003928B6" w:rsidP="00D47E5E">
            <w:pPr>
              <w:rPr>
                <w:rFonts w:eastAsia="Times New Roman" w:cs="Calibri"/>
              </w:rPr>
            </w:pPr>
            <w:r w:rsidRPr="004E13E9">
              <w:t>-4,680</w:t>
            </w:r>
          </w:p>
        </w:tc>
      </w:tr>
      <w:tr w:rsidR="003928B6" w:rsidRPr="004E13E9" w14:paraId="5002155A"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21850905" w14:textId="77777777" w:rsidR="003928B6" w:rsidRPr="004E13E9" w:rsidRDefault="003928B6" w:rsidP="00D47E5E">
            <w:pPr>
              <w:rPr>
                <w:rFonts w:eastAsia="Times New Roman" w:cs="Calibri"/>
              </w:rPr>
            </w:pPr>
            <w:r w:rsidRPr="004E13E9">
              <w:t>Ullapool</w:t>
            </w:r>
          </w:p>
        </w:tc>
        <w:tc>
          <w:tcPr>
            <w:tcW w:w="1276" w:type="dxa"/>
            <w:tcBorders>
              <w:top w:val="single" w:sz="4" w:space="0" w:color="000000" w:themeColor="text1"/>
              <w:left w:val="nil"/>
              <w:bottom w:val="single" w:sz="4" w:space="0" w:color="000000" w:themeColor="text1"/>
              <w:right w:val="nil"/>
            </w:tcBorders>
            <w:hideMark/>
          </w:tcPr>
          <w:p w14:paraId="07B7D60B"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329B21F7" w14:textId="77777777" w:rsidR="003928B6" w:rsidRPr="004E13E9" w:rsidRDefault="003928B6" w:rsidP="00D47E5E">
            <w:pPr>
              <w:rPr>
                <w:rFonts w:eastAsia="Times New Roman" w:cs="Calibri"/>
              </w:rPr>
            </w:pPr>
            <w:r w:rsidRPr="004E13E9">
              <w:t>GBULL</w:t>
            </w:r>
          </w:p>
        </w:tc>
        <w:tc>
          <w:tcPr>
            <w:tcW w:w="923" w:type="dxa"/>
            <w:gridSpan w:val="2"/>
            <w:tcBorders>
              <w:top w:val="single" w:sz="4" w:space="0" w:color="000000" w:themeColor="text1"/>
              <w:left w:val="nil"/>
              <w:bottom w:val="single" w:sz="4" w:space="0" w:color="000000" w:themeColor="text1"/>
              <w:right w:val="nil"/>
            </w:tcBorders>
            <w:hideMark/>
          </w:tcPr>
          <w:p w14:paraId="0472BC87" w14:textId="77777777" w:rsidR="003928B6" w:rsidRPr="004E13E9" w:rsidRDefault="003928B6" w:rsidP="00D47E5E">
            <w:pPr>
              <w:rPr>
                <w:rFonts w:eastAsia="Times New Roman" w:cs="Calibri"/>
              </w:rPr>
            </w:pPr>
            <w:r w:rsidRPr="004E13E9">
              <w:t>57,893</w:t>
            </w:r>
          </w:p>
        </w:tc>
        <w:tc>
          <w:tcPr>
            <w:tcW w:w="1060" w:type="dxa"/>
            <w:tcBorders>
              <w:top w:val="single" w:sz="4" w:space="0" w:color="000000" w:themeColor="text1"/>
              <w:left w:val="nil"/>
              <w:bottom w:val="single" w:sz="4" w:space="0" w:color="000000" w:themeColor="text1"/>
              <w:right w:val="single" w:sz="4" w:space="0" w:color="auto"/>
            </w:tcBorders>
            <w:hideMark/>
          </w:tcPr>
          <w:p w14:paraId="40B73892" w14:textId="77777777" w:rsidR="003928B6" w:rsidRPr="004E13E9" w:rsidRDefault="003928B6" w:rsidP="00D47E5E">
            <w:pPr>
              <w:rPr>
                <w:rFonts w:eastAsia="Times New Roman" w:cs="Calibri"/>
              </w:rPr>
            </w:pPr>
            <w:r w:rsidRPr="004E13E9">
              <w:t>-5,155</w:t>
            </w:r>
          </w:p>
        </w:tc>
      </w:tr>
      <w:tr w:rsidR="003928B6" w:rsidRPr="004E13E9" w14:paraId="2A8815B9"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7AF9EF24" w14:textId="77777777" w:rsidR="003928B6" w:rsidRPr="004E13E9" w:rsidRDefault="003928B6" w:rsidP="00D47E5E">
            <w:pPr>
              <w:rPr>
                <w:rFonts w:eastAsia="Times New Roman" w:cs="Calibri"/>
              </w:rPr>
            </w:pPr>
            <w:r w:rsidRPr="004E13E9">
              <w:t>Dundee</w:t>
            </w:r>
          </w:p>
        </w:tc>
        <w:tc>
          <w:tcPr>
            <w:tcW w:w="1276" w:type="dxa"/>
            <w:tcBorders>
              <w:top w:val="single" w:sz="4" w:space="0" w:color="000000" w:themeColor="text1"/>
              <w:left w:val="nil"/>
              <w:bottom w:val="single" w:sz="4" w:space="0" w:color="000000" w:themeColor="text1"/>
              <w:right w:val="nil"/>
            </w:tcBorders>
            <w:hideMark/>
          </w:tcPr>
          <w:p w14:paraId="615822ED"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0D40B8D7" w14:textId="77777777" w:rsidR="003928B6" w:rsidRPr="004E13E9" w:rsidRDefault="003928B6" w:rsidP="00D47E5E">
            <w:pPr>
              <w:rPr>
                <w:rFonts w:eastAsia="Times New Roman" w:cs="Calibri"/>
              </w:rPr>
            </w:pPr>
            <w:r w:rsidRPr="004E13E9">
              <w:t>GBDUN</w:t>
            </w:r>
          </w:p>
        </w:tc>
        <w:tc>
          <w:tcPr>
            <w:tcW w:w="923" w:type="dxa"/>
            <w:gridSpan w:val="2"/>
            <w:tcBorders>
              <w:top w:val="single" w:sz="4" w:space="0" w:color="000000" w:themeColor="text1"/>
              <w:left w:val="nil"/>
              <w:bottom w:val="single" w:sz="4" w:space="0" w:color="000000" w:themeColor="text1"/>
              <w:right w:val="nil"/>
            </w:tcBorders>
            <w:hideMark/>
          </w:tcPr>
          <w:p w14:paraId="06FFC250" w14:textId="77777777" w:rsidR="003928B6" w:rsidRPr="004E13E9" w:rsidRDefault="003928B6" w:rsidP="00D47E5E">
            <w:pPr>
              <w:rPr>
                <w:rFonts w:eastAsia="Times New Roman" w:cs="Calibri"/>
              </w:rPr>
            </w:pPr>
            <w:r w:rsidRPr="004E13E9">
              <w:t>56,463</w:t>
            </w:r>
          </w:p>
        </w:tc>
        <w:tc>
          <w:tcPr>
            <w:tcW w:w="1060" w:type="dxa"/>
            <w:tcBorders>
              <w:top w:val="single" w:sz="4" w:space="0" w:color="000000" w:themeColor="text1"/>
              <w:left w:val="nil"/>
              <w:bottom w:val="single" w:sz="4" w:space="0" w:color="000000" w:themeColor="text1"/>
              <w:right w:val="single" w:sz="4" w:space="0" w:color="auto"/>
            </w:tcBorders>
            <w:hideMark/>
          </w:tcPr>
          <w:p w14:paraId="1CCE1F00" w14:textId="77777777" w:rsidR="003928B6" w:rsidRPr="004E13E9" w:rsidRDefault="003928B6" w:rsidP="00D47E5E">
            <w:pPr>
              <w:rPr>
                <w:rFonts w:eastAsia="Times New Roman" w:cs="Calibri"/>
              </w:rPr>
            </w:pPr>
            <w:r w:rsidRPr="004E13E9">
              <w:t>-2,947</w:t>
            </w:r>
          </w:p>
        </w:tc>
      </w:tr>
      <w:tr w:rsidR="003928B6" w:rsidRPr="004E13E9" w14:paraId="10FEB2DE"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41B62210" w14:textId="77777777" w:rsidR="003928B6" w:rsidRPr="004E13E9" w:rsidRDefault="003928B6" w:rsidP="00D47E5E">
            <w:pPr>
              <w:rPr>
                <w:rFonts w:eastAsia="Times New Roman" w:cs="Calibri"/>
              </w:rPr>
            </w:pPr>
            <w:r w:rsidRPr="004E13E9">
              <w:t>Grangemouth</w:t>
            </w:r>
          </w:p>
        </w:tc>
        <w:tc>
          <w:tcPr>
            <w:tcW w:w="1276" w:type="dxa"/>
            <w:tcBorders>
              <w:top w:val="single" w:sz="4" w:space="0" w:color="000000" w:themeColor="text1"/>
              <w:left w:val="nil"/>
              <w:bottom w:val="single" w:sz="4" w:space="0" w:color="000000" w:themeColor="text1"/>
              <w:right w:val="nil"/>
            </w:tcBorders>
            <w:hideMark/>
          </w:tcPr>
          <w:p w14:paraId="0345A113"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2141008A" w14:textId="77777777" w:rsidR="003928B6" w:rsidRPr="004E13E9" w:rsidRDefault="003928B6" w:rsidP="00D47E5E">
            <w:pPr>
              <w:rPr>
                <w:rFonts w:eastAsia="Times New Roman" w:cs="Calibri"/>
              </w:rPr>
            </w:pPr>
            <w:r w:rsidRPr="004E13E9">
              <w:t>GBGRG</w:t>
            </w:r>
          </w:p>
        </w:tc>
        <w:tc>
          <w:tcPr>
            <w:tcW w:w="923" w:type="dxa"/>
            <w:gridSpan w:val="2"/>
            <w:tcBorders>
              <w:top w:val="single" w:sz="4" w:space="0" w:color="000000" w:themeColor="text1"/>
              <w:left w:val="nil"/>
              <w:bottom w:val="single" w:sz="4" w:space="0" w:color="000000" w:themeColor="text1"/>
              <w:right w:val="nil"/>
            </w:tcBorders>
            <w:hideMark/>
          </w:tcPr>
          <w:p w14:paraId="55BE6F2C" w14:textId="77777777" w:rsidR="003928B6" w:rsidRPr="004E13E9" w:rsidRDefault="003928B6" w:rsidP="00D47E5E">
            <w:pPr>
              <w:rPr>
                <w:rFonts w:eastAsia="Times New Roman" w:cs="Calibri"/>
              </w:rPr>
            </w:pPr>
            <w:r w:rsidRPr="004E13E9">
              <w:t>56,029</w:t>
            </w:r>
          </w:p>
        </w:tc>
        <w:tc>
          <w:tcPr>
            <w:tcW w:w="1060" w:type="dxa"/>
            <w:tcBorders>
              <w:top w:val="single" w:sz="4" w:space="0" w:color="000000" w:themeColor="text1"/>
              <w:left w:val="nil"/>
              <w:bottom w:val="single" w:sz="4" w:space="0" w:color="000000" w:themeColor="text1"/>
              <w:right w:val="single" w:sz="4" w:space="0" w:color="auto"/>
            </w:tcBorders>
            <w:hideMark/>
          </w:tcPr>
          <w:p w14:paraId="05BBCEF1" w14:textId="77777777" w:rsidR="003928B6" w:rsidRPr="004E13E9" w:rsidRDefault="003928B6" w:rsidP="00D47E5E">
            <w:pPr>
              <w:rPr>
                <w:rFonts w:eastAsia="Times New Roman" w:cs="Calibri"/>
              </w:rPr>
            </w:pPr>
            <w:r w:rsidRPr="004E13E9">
              <w:t>-3,705</w:t>
            </w:r>
          </w:p>
        </w:tc>
      </w:tr>
      <w:tr w:rsidR="003928B6" w:rsidRPr="004E13E9" w14:paraId="6A65741D"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1620B4C9" w14:textId="77777777" w:rsidR="003928B6" w:rsidRPr="004E13E9" w:rsidRDefault="003928B6" w:rsidP="00D47E5E">
            <w:pPr>
              <w:rPr>
                <w:rFonts w:eastAsia="Times New Roman" w:cs="Calibri"/>
              </w:rPr>
            </w:pPr>
            <w:r w:rsidRPr="004E13E9">
              <w:t>Greenock</w:t>
            </w:r>
          </w:p>
        </w:tc>
        <w:tc>
          <w:tcPr>
            <w:tcW w:w="1276" w:type="dxa"/>
            <w:tcBorders>
              <w:top w:val="single" w:sz="4" w:space="0" w:color="000000" w:themeColor="text1"/>
              <w:left w:val="nil"/>
              <w:bottom w:val="single" w:sz="4" w:space="0" w:color="000000" w:themeColor="text1"/>
              <w:right w:val="nil"/>
            </w:tcBorders>
            <w:hideMark/>
          </w:tcPr>
          <w:p w14:paraId="7FC43717"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258276C7" w14:textId="77777777" w:rsidR="003928B6" w:rsidRPr="004E13E9" w:rsidRDefault="003928B6" w:rsidP="00D47E5E">
            <w:pPr>
              <w:rPr>
                <w:rFonts w:eastAsia="Times New Roman" w:cs="Calibri"/>
              </w:rPr>
            </w:pPr>
            <w:r w:rsidRPr="004E13E9">
              <w:t>GBGRK</w:t>
            </w:r>
          </w:p>
        </w:tc>
        <w:tc>
          <w:tcPr>
            <w:tcW w:w="923" w:type="dxa"/>
            <w:gridSpan w:val="2"/>
            <w:tcBorders>
              <w:top w:val="single" w:sz="4" w:space="0" w:color="000000" w:themeColor="text1"/>
              <w:left w:val="nil"/>
              <w:bottom w:val="single" w:sz="4" w:space="0" w:color="000000" w:themeColor="text1"/>
              <w:right w:val="nil"/>
            </w:tcBorders>
            <w:hideMark/>
          </w:tcPr>
          <w:p w14:paraId="191368DE" w14:textId="77777777" w:rsidR="003928B6" w:rsidRPr="004E13E9" w:rsidRDefault="003928B6" w:rsidP="00D47E5E">
            <w:pPr>
              <w:rPr>
                <w:rFonts w:eastAsia="Times New Roman" w:cs="Calibri"/>
              </w:rPr>
            </w:pPr>
            <w:r w:rsidRPr="004E13E9">
              <w:t>55,948</w:t>
            </w:r>
          </w:p>
        </w:tc>
        <w:tc>
          <w:tcPr>
            <w:tcW w:w="1060" w:type="dxa"/>
            <w:tcBorders>
              <w:top w:val="single" w:sz="4" w:space="0" w:color="000000" w:themeColor="text1"/>
              <w:left w:val="nil"/>
              <w:bottom w:val="single" w:sz="4" w:space="0" w:color="000000" w:themeColor="text1"/>
              <w:right w:val="single" w:sz="4" w:space="0" w:color="auto"/>
            </w:tcBorders>
            <w:hideMark/>
          </w:tcPr>
          <w:p w14:paraId="18AAC572" w14:textId="77777777" w:rsidR="003928B6" w:rsidRPr="004E13E9" w:rsidRDefault="003928B6" w:rsidP="00D47E5E">
            <w:pPr>
              <w:rPr>
                <w:rFonts w:eastAsia="Times New Roman" w:cs="Calibri"/>
              </w:rPr>
            </w:pPr>
            <w:r w:rsidRPr="004E13E9">
              <w:t>-4,743</w:t>
            </w:r>
          </w:p>
        </w:tc>
      </w:tr>
      <w:tr w:rsidR="003928B6" w:rsidRPr="004E13E9" w14:paraId="6F21995A"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5124643C" w14:textId="77777777" w:rsidR="003928B6" w:rsidRPr="004E13E9" w:rsidRDefault="003928B6" w:rsidP="00D47E5E">
            <w:pPr>
              <w:rPr>
                <w:rFonts w:eastAsia="Times New Roman" w:cs="Calibri"/>
              </w:rPr>
            </w:pPr>
            <w:r w:rsidRPr="004E13E9">
              <w:t>Invergordon</w:t>
            </w:r>
          </w:p>
        </w:tc>
        <w:tc>
          <w:tcPr>
            <w:tcW w:w="1276" w:type="dxa"/>
            <w:tcBorders>
              <w:top w:val="single" w:sz="4" w:space="0" w:color="000000" w:themeColor="text1"/>
              <w:left w:val="nil"/>
              <w:bottom w:val="single" w:sz="4" w:space="0" w:color="000000" w:themeColor="text1"/>
              <w:right w:val="nil"/>
            </w:tcBorders>
            <w:hideMark/>
          </w:tcPr>
          <w:p w14:paraId="7C263A9E"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61A3C405" w14:textId="77777777" w:rsidR="003928B6" w:rsidRPr="004E13E9" w:rsidRDefault="003928B6" w:rsidP="00D47E5E">
            <w:pPr>
              <w:rPr>
                <w:rFonts w:eastAsia="Times New Roman" w:cs="Calibri"/>
              </w:rPr>
            </w:pPr>
            <w:r w:rsidRPr="004E13E9">
              <w:t>GBIVG</w:t>
            </w:r>
          </w:p>
        </w:tc>
        <w:tc>
          <w:tcPr>
            <w:tcW w:w="923" w:type="dxa"/>
            <w:gridSpan w:val="2"/>
            <w:tcBorders>
              <w:top w:val="single" w:sz="4" w:space="0" w:color="000000" w:themeColor="text1"/>
              <w:left w:val="nil"/>
              <w:bottom w:val="single" w:sz="4" w:space="0" w:color="000000" w:themeColor="text1"/>
              <w:right w:val="nil"/>
            </w:tcBorders>
            <w:hideMark/>
          </w:tcPr>
          <w:p w14:paraId="62A3E123" w14:textId="77777777" w:rsidR="003928B6" w:rsidRPr="004E13E9" w:rsidRDefault="003928B6" w:rsidP="00D47E5E">
            <w:pPr>
              <w:rPr>
                <w:rFonts w:eastAsia="Times New Roman" w:cs="Calibri"/>
              </w:rPr>
            </w:pPr>
            <w:r w:rsidRPr="004E13E9">
              <w:t>57,687</w:t>
            </w:r>
          </w:p>
        </w:tc>
        <w:tc>
          <w:tcPr>
            <w:tcW w:w="1060" w:type="dxa"/>
            <w:tcBorders>
              <w:top w:val="single" w:sz="4" w:space="0" w:color="000000" w:themeColor="text1"/>
              <w:left w:val="nil"/>
              <w:bottom w:val="single" w:sz="4" w:space="0" w:color="000000" w:themeColor="text1"/>
              <w:right w:val="single" w:sz="4" w:space="0" w:color="auto"/>
            </w:tcBorders>
            <w:hideMark/>
          </w:tcPr>
          <w:p w14:paraId="4400D614" w14:textId="77777777" w:rsidR="003928B6" w:rsidRPr="004E13E9" w:rsidRDefault="003928B6" w:rsidP="00D47E5E">
            <w:pPr>
              <w:rPr>
                <w:rFonts w:eastAsia="Times New Roman" w:cs="Calibri"/>
              </w:rPr>
            </w:pPr>
            <w:r w:rsidRPr="004E13E9">
              <w:t>-4,161</w:t>
            </w:r>
          </w:p>
        </w:tc>
      </w:tr>
      <w:tr w:rsidR="003928B6" w:rsidRPr="004E13E9" w14:paraId="45A84E76"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7704F499" w14:textId="77777777" w:rsidR="003928B6" w:rsidRPr="004E13E9" w:rsidRDefault="003928B6" w:rsidP="00D47E5E">
            <w:pPr>
              <w:rPr>
                <w:rFonts w:eastAsia="Times New Roman" w:cs="Calibri"/>
              </w:rPr>
            </w:pPr>
            <w:r w:rsidRPr="004E13E9">
              <w:t>Leith</w:t>
            </w:r>
          </w:p>
        </w:tc>
        <w:tc>
          <w:tcPr>
            <w:tcW w:w="1276" w:type="dxa"/>
            <w:tcBorders>
              <w:top w:val="single" w:sz="4" w:space="0" w:color="000000" w:themeColor="text1"/>
              <w:left w:val="nil"/>
              <w:bottom w:val="single" w:sz="4" w:space="0" w:color="000000" w:themeColor="text1"/>
              <w:right w:val="nil"/>
            </w:tcBorders>
            <w:hideMark/>
          </w:tcPr>
          <w:p w14:paraId="142888CC"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7214AD48" w14:textId="77777777" w:rsidR="003928B6" w:rsidRPr="004E13E9" w:rsidRDefault="003928B6" w:rsidP="00D47E5E">
            <w:pPr>
              <w:rPr>
                <w:rFonts w:eastAsia="Times New Roman" w:cs="Calibri"/>
              </w:rPr>
            </w:pPr>
            <w:r w:rsidRPr="004E13E9">
              <w:t>GBLEI</w:t>
            </w:r>
          </w:p>
        </w:tc>
        <w:tc>
          <w:tcPr>
            <w:tcW w:w="923" w:type="dxa"/>
            <w:gridSpan w:val="2"/>
            <w:tcBorders>
              <w:top w:val="single" w:sz="4" w:space="0" w:color="000000" w:themeColor="text1"/>
              <w:left w:val="nil"/>
              <w:bottom w:val="single" w:sz="4" w:space="0" w:color="000000" w:themeColor="text1"/>
              <w:right w:val="nil"/>
            </w:tcBorders>
            <w:hideMark/>
          </w:tcPr>
          <w:p w14:paraId="1E48A5AF" w14:textId="77777777" w:rsidR="003928B6" w:rsidRPr="004E13E9" w:rsidRDefault="003928B6" w:rsidP="00D47E5E">
            <w:pPr>
              <w:rPr>
                <w:rFonts w:eastAsia="Times New Roman" w:cs="Calibri"/>
              </w:rPr>
            </w:pPr>
            <w:r w:rsidRPr="004E13E9">
              <w:t>55,982</w:t>
            </w:r>
          </w:p>
        </w:tc>
        <w:tc>
          <w:tcPr>
            <w:tcW w:w="1060" w:type="dxa"/>
            <w:tcBorders>
              <w:top w:val="single" w:sz="4" w:space="0" w:color="000000" w:themeColor="text1"/>
              <w:left w:val="nil"/>
              <w:bottom w:val="single" w:sz="4" w:space="0" w:color="000000" w:themeColor="text1"/>
              <w:right w:val="single" w:sz="4" w:space="0" w:color="auto"/>
            </w:tcBorders>
            <w:hideMark/>
          </w:tcPr>
          <w:p w14:paraId="6408EE3C" w14:textId="77777777" w:rsidR="003928B6" w:rsidRPr="004E13E9" w:rsidRDefault="003928B6" w:rsidP="00D47E5E">
            <w:pPr>
              <w:rPr>
                <w:rFonts w:eastAsia="Times New Roman" w:cs="Calibri"/>
              </w:rPr>
            </w:pPr>
            <w:r w:rsidRPr="004E13E9">
              <w:t>-3,171</w:t>
            </w:r>
          </w:p>
        </w:tc>
      </w:tr>
      <w:tr w:rsidR="003928B6" w:rsidRPr="004E13E9" w14:paraId="3BF00E9B"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64D6D676" w14:textId="77777777" w:rsidR="003928B6" w:rsidRPr="004E13E9" w:rsidRDefault="003928B6" w:rsidP="00D47E5E">
            <w:pPr>
              <w:rPr>
                <w:rFonts w:eastAsia="Times New Roman" w:cs="Calibri"/>
              </w:rPr>
            </w:pPr>
            <w:proofErr w:type="spellStart"/>
            <w:r w:rsidRPr="004E13E9">
              <w:t>Leverburgh</w:t>
            </w:r>
            <w:proofErr w:type="spellEnd"/>
          </w:p>
        </w:tc>
        <w:tc>
          <w:tcPr>
            <w:tcW w:w="1276" w:type="dxa"/>
            <w:tcBorders>
              <w:top w:val="single" w:sz="4" w:space="0" w:color="000000" w:themeColor="text1"/>
              <w:left w:val="nil"/>
              <w:bottom w:val="single" w:sz="4" w:space="0" w:color="000000" w:themeColor="text1"/>
              <w:right w:val="nil"/>
            </w:tcBorders>
            <w:hideMark/>
          </w:tcPr>
          <w:p w14:paraId="20EE65A7"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74BE8A03" w14:textId="77777777" w:rsidR="003928B6" w:rsidRPr="004E13E9" w:rsidRDefault="003928B6" w:rsidP="00D47E5E">
            <w:pPr>
              <w:rPr>
                <w:rFonts w:eastAsia="Times New Roman" w:cs="Calibri"/>
              </w:rPr>
            </w:pPr>
            <w:r w:rsidRPr="004E13E9">
              <w:t>GBLVR            </w:t>
            </w:r>
          </w:p>
        </w:tc>
        <w:tc>
          <w:tcPr>
            <w:tcW w:w="923" w:type="dxa"/>
            <w:gridSpan w:val="2"/>
            <w:tcBorders>
              <w:top w:val="single" w:sz="4" w:space="0" w:color="000000" w:themeColor="text1"/>
              <w:left w:val="nil"/>
              <w:bottom w:val="single" w:sz="4" w:space="0" w:color="000000" w:themeColor="text1"/>
              <w:right w:val="nil"/>
            </w:tcBorders>
            <w:hideMark/>
          </w:tcPr>
          <w:p w14:paraId="4CC186D5" w14:textId="77777777" w:rsidR="003928B6" w:rsidRPr="004E13E9" w:rsidRDefault="003928B6" w:rsidP="00D47E5E">
            <w:pPr>
              <w:rPr>
                <w:rFonts w:eastAsia="Times New Roman" w:cs="Calibri"/>
              </w:rPr>
            </w:pPr>
            <w:r w:rsidRPr="004E13E9">
              <w:t>57,766</w:t>
            </w:r>
          </w:p>
        </w:tc>
        <w:tc>
          <w:tcPr>
            <w:tcW w:w="1060" w:type="dxa"/>
            <w:tcBorders>
              <w:top w:val="single" w:sz="4" w:space="0" w:color="000000" w:themeColor="text1"/>
              <w:left w:val="nil"/>
              <w:bottom w:val="single" w:sz="4" w:space="0" w:color="000000" w:themeColor="text1"/>
              <w:right w:val="single" w:sz="4" w:space="0" w:color="auto"/>
            </w:tcBorders>
            <w:hideMark/>
          </w:tcPr>
          <w:p w14:paraId="375E6907" w14:textId="77777777" w:rsidR="003928B6" w:rsidRPr="004E13E9" w:rsidRDefault="003928B6" w:rsidP="00D47E5E">
            <w:pPr>
              <w:rPr>
                <w:rFonts w:eastAsia="Times New Roman" w:cs="Calibri"/>
              </w:rPr>
            </w:pPr>
            <w:r w:rsidRPr="004E13E9">
              <w:t>-7,026</w:t>
            </w:r>
          </w:p>
        </w:tc>
      </w:tr>
      <w:tr w:rsidR="003928B6" w:rsidRPr="004E13E9" w14:paraId="3DEA0B75" w14:textId="77777777" w:rsidTr="00D47E5E">
        <w:trPr>
          <w:trHeight w:val="219"/>
          <w:jc w:val="center"/>
        </w:trPr>
        <w:tc>
          <w:tcPr>
            <w:tcW w:w="2405" w:type="dxa"/>
            <w:tcBorders>
              <w:top w:val="single" w:sz="4" w:space="0" w:color="000000" w:themeColor="text1"/>
              <w:left w:val="single" w:sz="4" w:space="0" w:color="auto"/>
              <w:bottom w:val="single" w:sz="4" w:space="0" w:color="000000" w:themeColor="text1"/>
              <w:right w:val="nil"/>
            </w:tcBorders>
            <w:noWrap/>
            <w:hideMark/>
          </w:tcPr>
          <w:p w14:paraId="036D1AB7" w14:textId="77777777" w:rsidR="003928B6" w:rsidRPr="004E13E9" w:rsidRDefault="003928B6" w:rsidP="00D47E5E">
            <w:pPr>
              <w:rPr>
                <w:rFonts w:eastAsia="Times New Roman" w:cs="Calibri"/>
              </w:rPr>
            </w:pPr>
            <w:proofErr w:type="spellStart"/>
            <w:r w:rsidRPr="004E13E9">
              <w:t>Methil</w:t>
            </w:r>
            <w:proofErr w:type="spellEnd"/>
          </w:p>
        </w:tc>
        <w:tc>
          <w:tcPr>
            <w:tcW w:w="1276" w:type="dxa"/>
            <w:tcBorders>
              <w:top w:val="single" w:sz="4" w:space="0" w:color="000000" w:themeColor="text1"/>
              <w:left w:val="nil"/>
              <w:bottom w:val="single" w:sz="4" w:space="0" w:color="000000" w:themeColor="text1"/>
              <w:right w:val="nil"/>
            </w:tcBorders>
            <w:hideMark/>
          </w:tcPr>
          <w:p w14:paraId="0BA6A01F" w14:textId="77777777" w:rsidR="003928B6" w:rsidRPr="004E13E9" w:rsidRDefault="003928B6" w:rsidP="00D47E5E">
            <w:pPr>
              <w:rPr>
                <w:rFonts w:eastAsia="Times New Roman" w:cs="Calibri"/>
              </w:rPr>
            </w:pPr>
            <w:r w:rsidRPr="004E13E9">
              <w:t>GB-SCT</w:t>
            </w:r>
          </w:p>
        </w:tc>
        <w:tc>
          <w:tcPr>
            <w:tcW w:w="2059" w:type="dxa"/>
            <w:tcBorders>
              <w:top w:val="single" w:sz="4" w:space="0" w:color="000000" w:themeColor="text1"/>
              <w:left w:val="nil"/>
              <w:bottom w:val="single" w:sz="4" w:space="0" w:color="000000" w:themeColor="text1"/>
              <w:right w:val="nil"/>
            </w:tcBorders>
            <w:hideMark/>
          </w:tcPr>
          <w:p w14:paraId="12597D3C" w14:textId="77777777" w:rsidR="003928B6" w:rsidRPr="004E13E9" w:rsidRDefault="003928B6" w:rsidP="00D47E5E">
            <w:pPr>
              <w:rPr>
                <w:rFonts w:eastAsia="Times New Roman" w:cs="Calibri"/>
              </w:rPr>
            </w:pPr>
            <w:r w:rsidRPr="004E13E9">
              <w:t>GBMTH</w:t>
            </w:r>
          </w:p>
        </w:tc>
        <w:tc>
          <w:tcPr>
            <w:tcW w:w="923" w:type="dxa"/>
            <w:gridSpan w:val="2"/>
            <w:tcBorders>
              <w:top w:val="single" w:sz="4" w:space="0" w:color="000000" w:themeColor="text1"/>
              <w:left w:val="nil"/>
              <w:bottom w:val="single" w:sz="4" w:space="0" w:color="000000" w:themeColor="text1"/>
              <w:right w:val="nil"/>
            </w:tcBorders>
            <w:hideMark/>
          </w:tcPr>
          <w:p w14:paraId="0E263493" w14:textId="77777777" w:rsidR="003928B6" w:rsidRPr="004E13E9" w:rsidRDefault="003928B6" w:rsidP="00D47E5E">
            <w:pPr>
              <w:rPr>
                <w:rFonts w:eastAsia="Times New Roman" w:cs="Calibri"/>
              </w:rPr>
            </w:pPr>
            <w:r w:rsidRPr="004E13E9">
              <w:t>56,184</w:t>
            </w:r>
          </w:p>
        </w:tc>
        <w:tc>
          <w:tcPr>
            <w:tcW w:w="1060" w:type="dxa"/>
            <w:tcBorders>
              <w:top w:val="single" w:sz="4" w:space="0" w:color="000000" w:themeColor="text1"/>
              <w:left w:val="nil"/>
              <w:bottom w:val="single" w:sz="4" w:space="0" w:color="000000" w:themeColor="text1"/>
              <w:right w:val="single" w:sz="4" w:space="0" w:color="auto"/>
            </w:tcBorders>
            <w:hideMark/>
          </w:tcPr>
          <w:p w14:paraId="6ABBB3B5" w14:textId="77777777" w:rsidR="003928B6" w:rsidRPr="004E13E9" w:rsidRDefault="003928B6" w:rsidP="00D47E5E">
            <w:pPr>
              <w:rPr>
                <w:rFonts w:eastAsia="Times New Roman" w:cs="Calibri"/>
              </w:rPr>
            </w:pPr>
            <w:r w:rsidRPr="004E13E9">
              <w:t>-3,005</w:t>
            </w:r>
          </w:p>
        </w:tc>
      </w:tr>
    </w:tbl>
    <w:p w14:paraId="56C66623" w14:textId="77777777" w:rsidR="003928B6" w:rsidRPr="004E13E9" w:rsidRDefault="003928B6" w:rsidP="003928B6">
      <w:pPr>
        <w:tabs>
          <w:tab w:val="left" w:pos="142"/>
        </w:tabs>
      </w:pPr>
    </w:p>
    <w:p w14:paraId="1449365E" w14:textId="77777777" w:rsidR="003928B6" w:rsidRPr="004E13E9" w:rsidRDefault="003928B6" w:rsidP="003928B6">
      <w:pPr>
        <w:tabs>
          <w:tab w:val="left" w:pos="142"/>
        </w:tabs>
      </w:pPr>
    </w:p>
    <w:p w14:paraId="7043DF4C" w14:textId="77777777" w:rsidR="003928B6" w:rsidRPr="004E13E9" w:rsidRDefault="003928B6">
      <w:pPr>
        <w:rPr>
          <w:lang w:val="fr-FR"/>
        </w:rPr>
      </w:pPr>
    </w:p>
    <w:p w14:paraId="44BF07B0" w14:textId="77777777" w:rsidR="00934E2D" w:rsidRPr="004E13E9" w:rsidRDefault="00934E2D" w:rsidP="00934E2D">
      <w:pPr>
        <w:rPr>
          <w:lang w:val="fr-FR"/>
        </w:rPr>
      </w:pPr>
      <w:r w:rsidRPr="004E13E9">
        <w:rPr>
          <w:lang w:val="fr-FR"/>
        </w:rPr>
        <w:br w:type="page"/>
      </w:r>
    </w:p>
    <w:p w14:paraId="6F96C560" w14:textId="77777777" w:rsidR="00934E2D" w:rsidRPr="004E13E9" w:rsidRDefault="00934E2D" w:rsidP="00934E2D">
      <w:pPr>
        <w:rPr>
          <w:lang w:val="fr-FR"/>
        </w:rPr>
        <w:sectPr w:rsidR="00934E2D" w:rsidRPr="004E13E9" w:rsidSect="00934E2D">
          <w:footnotePr>
            <w:numFmt w:val="chicago"/>
          </w:footnotePr>
          <w:pgSz w:w="11907" w:h="16840" w:code="9"/>
          <w:pgMar w:top="1418" w:right="1418" w:bottom="1418" w:left="1418" w:header="851" w:footer="1134" w:gutter="0"/>
          <w:cols w:space="720"/>
          <w:docGrid w:linePitch="272"/>
        </w:sectPr>
      </w:pPr>
    </w:p>
    <w:p w14:paraId="1174CDA0" w14:textId="50CC35A7" w:rsidR="00B904E6" w:rsidRPr="004E13E9" w:rsidRDefault="00B904E6" w:rsidP="00B904E6">
      <w:pPr>
        <w:rPr>
          <w:lang w:eastAsia="en-GB"/>
        </w:rPr>
      </w:pPr>
      <w:r w:rsidRPr="004E13E9">
        <w:rPr>
          <w:b/>
          <w:bCs/>
          <w:lang w:eastAsia="en-GB"/>
        </w:rPr>
        <w:t xml:space="preserve">Taipei chinois </w:t>
      </w:r>
    </w:p>
    <w:p w14:paraId="3911834C" w14:textId="77777777" w:rsidR="00DD0AAE" w:rsidRPr="004E13E9" w:rsidRDefault="00DD0AAE">
      <w:pPr>
        <w:rPr>
          <w:lang w:val="fr-FR"/>
        </w:rPr>
      </w:pPr>
    </w:p>
    <w:p w14:paraId="756CFC0C" w14:textId="77777777" w:rsidR="00594EA1" w:rsidRPr="004E13E9" w:rsidRDefault="00594EA1" w:rsidP="00594EA1">
      <w:pPr>
        <w:widowControl w:val="0"/>
        <w:jc w:val="both"/>
        <w:rPr>
          <w:rFonts w:eastAsia="MS Gothic" w:cs="Times New Roman"/>
          <w:b/>
          <w:lang w:val="fr-FR" w:eastAsia="fr-FR" w:bidi="fr-FR"/>
        </w:rPr>
      </w:pPr>
      <w:r w:rsidRPr="004E13E9">
        <w:rPr>
          <w:rFonts w:eastAsia="MS Gothic" w:cs="Times New Roman"/>
          <w:b/>
          <w:lang w:val="fr-FR" w:eastAsia="fr-FR" w:bidi="fr-FR"/>
        </w:rPr>
        <w:t>Année du plan de pêche : 2026</w:t>
      </w:r>
    </w:p>
    <w:p w14:paraId="710E5676" w14:textId="77777777" w:rsidR="00594EA1" w:rsidRPr="004E13E9" w:rsidRDefault="00594EA1" w:rsidP="00594EA1">
      <w:pPr>
        <w:widowControl w:val="0"/>
        <w:jc w:val="both"/>
        <w:rPr>
          <w:rFonts w:eastAsia="MS Gothic" w:cs="Times New Roman"/>
          <w:lang w:val="fr-FR" w:eastAsia="fr-FR" w:bidi="fr-FR"/>
        </w:rPr>
      </w:pPr>
    </w:p>
    <w:p w14:paraId="4E17E1AE" w14:textId="77777777" w:rsidR="00594EA1" w:rsidRPr="004E13E9" w:rsidRDefault="00594EA1" w:rsidP="00594EA1">
      <w:pPr>
        <w:widowControl w:val="0"/>
        <w:tabs>
          <w:tab w:val="left" w:pos="426"/>
        </w:tabs>
        <w:jc w:val="both"/>
        <w:rPr>
          <w:rFonts w:eastAsia="MS Gothic" w:cs="Times New Roman"/>
          <w:b/>
          <w:lang w:val="fr-FR" w:eastAsia="fr-FR" w:bidi="fr-FR"/>
        </w:rPr>
      </w:pPr>
      <w:r w:rsidRPr="004E13E9">
        <w:rPr>
          <w:rFonts w:eastAsia="MS Gothic" w:cs="Times New Roman"/>
          <w:b/>
          <w:lang w:val="fr-FR" w:eastAsia="fr-FR" w:bidi="fr-FR"/>
        </w:rPr>
        <w:t xml:space="preserve">1. </w:t>
      </w:r>
      <w:r w:rsidRPr="004E13E9">
        <w:rPr>
          <w:rFonts w:eastAsia="MS Gothic" w:cs="Times New Roman"/>
          <w:b/>
          <w:lang w:val="fr-FR" w:eastAsia="fr-FR" w:bidi="fr-FR"/>
        </w:rPr>
        <w:tab/>
        <w:t xml:space="preserve">Détails du plan annuel de pêche pour les navires de capture et les madragues </w:t>
      </w:r>
    </w:p>
    <w:p w14:paraId="0539B0F3" w14:textId="77777777" w:rsidR="00594EA1" w:rsidRPr="004E13E9" w:rsidRDefault="00594EA1" w:rsidP="00594EA1">
      <w:pPr>
        <w:widowControl w:val="0"/>
        <w:jc w:val="both"/>
        <w:rPr>
          <w:rFonts w:eastAsia="MS Gothic" w:cs="Times New Roman"/>
          <w:i/>
          <w:lang w:val="fr-FR" w:eastAsia="fr-FR" w:bidi="fr-FR"/>
        </w:rPr>
      </w:pPr>
    </w:p>
    <w:p w14:paraId="1145FA80" w14:textId="77777777" w:rsidR="00594EA1" w:rsidRPr="004E13E9" w:rsidRDefault="00594EA1" w:rsidP="00594EA1">
      <w:pPr>
        <w:widowControl w:val="0"/>
        <w:jc w:val="both"/>
        <w:rPr>
          <w:rFonts w:eastAsia="MS Gothic" w:cs="Times New Roman"/>
          <w:b/>
          <w:bCs/>
          <w:i/>
          <w:iCs/>
          <w:lang w:val="fr-FR" w:eastAsia="fr-FR" w:bidi="fr-FR"/>
        </w:rPr>
      </w:pPr>
      <w:r w:rsidRPr="004E13E9">
        <w:rPr>
          <w:rFonts w:eastAsia="MS Gothic" w:cs="Times New Roman"/>
          <w:b/>
          <w:i/>
          <w:lang w:val="fr-FR" w:eastAsia="fr-FR" w:bidi="fr-FR"/>
        </w:rPr>
        <w:t>1a) Présentation (paragraphe 12)</w:t>
      </w:r>
    </w:p>
    <w:p w14:paraId="44A7B806" w14:textId="77777777" w:rsidR="00594EA1" w:rsidRPr="004E13E9" w:rsidRDefault="00594EA1" w:rsidP="00594EA1">
      <w:pPr>
        <w:widowControl w:val="0"/>
        <w:jc w:val="both"/>
        <w:rPr>
          <w:rFonts w:eastAsia="MS Gothic" w:cs="Times New Roman"/>
          <w:i/>
          <w:lang w:val="fr-FR" w:eastAsia="fr-FR" w:bidi="fr-FR"/>
        </w:rPr>
      </w:pPr>
    </w:p>
    <w:p w14:paraId="714B8882" w14:textId="77777777" w:rsidR="00594EA1" w:rsidRPr="004E13E9" w:rsidRDefault="00594EA1" w:rsidP="00594EA1">
      <w:pPr>
        <w:widowControl w:val="0"/>
        <w:jc w:val="both"/>
        <w:rPr>
          <w:rFonts w:eastAsia="PMingLiU" w:cs="Times New Roman"/>
          <w:iCs/>
          <w:lang w:val="fr-FR" w:eastAsia="fr-FR" w:bidi="fr-FR"/>
        </w:rPr>
      </w:pPr>
      <w:r w:rsidRPr="004E13E9">
        <w:rPr>
          <w:rFonts w:eastAsia="MS Gothic" w:cs="Times New Roman"/>
          <w:lang w:val="fr-FR" w:eastAsia="fr-FR" w:bidi="fr-FR"/>
        </w:rPr>
        <w:t>L'Agence des pêches du Taipei chinois (TFA) a achevé le processus législatif visant à reprendre la pêcherie de thon rouge de l'Atlantique Est et de la Méditerranée (BFT-E). Un grand palangrier thonier de la flottille existante de palangriers de l'Atlantique du Taipei chinois</w:t>
      </w:r>
      <w:r w:rsidRPr="004E13E9">
        <w:rPr>
          <w:rFonts w:eastAsia="PMingLiU" w:cs="Times New Roman"/>
          <w:iCs/>
          <w:vertAlign w:val="superscript"/>
          <w:lang w:eastAsia="zh-TW" w:bidi="fr-FR"/>
        </w:rPr>
        <w:footnoteReference w:id="33"/>
      </w:r>
      <w:r w:rsidRPr="004E13E9">
        <w:rPr>
          <w:rFonts w:eastAsia="MS Gothic" w:cs="Times New Roman"/>
          <w:lang w:val="fr-FR" w:eastAsia="fr-FR" w:bidi="fr-FR"/>
        </w:rPr>
        <w:t xml:space="preserve"> est autorisé à capturer et à retenir du thon rouge de l’Est au cours de la saison de pêche 2026 (du 1er août 2026 au 31 janvier 2027). La zone de pêche autorisée est la zone délimitée à l'Ouest de 10°W et au Nord de 42°N. Tout thon rouge de l’Est capturé accidentellement par d'autres navires de pêche devra être immédiatement rejeté/remis à l’eau.   </w:t>
      </w:r>
    </w:p>
    <w:p w14:paraId="79C0C441" w14:textId="77777777" w:rsidR="00594EA1" w:rsidRPr="004E13E9" w:rsidRDefault="00594EA1" w:rsidP="00594EA1">
      <w:pPr>
        <w:widowControl w:val="0"/>
        <w:jc w:val="both"/>
        <w:rPr>
          <w:rFonts w:eastAsia="PMingLiU" w:cs="Times New Roman"/>
          <w:iCs/>
          <w:lang w:val="fr-FR" w:eastAsia="zh-TW" w:bidi="fr-FR"/>
        </w:rPr>
      </w:pPr>
    </w:p>
    <w:p w14:paraId="7335FA81" w14:textId="77777777" w:rsidR="00594EA1" w:rsidRPr="004E13E9" w:rsidRDefault="00594EA1" w:rsidP="00594EA1">
      <w:pPr>
        <w:widowControl w:val="0"/>
        <w:jc w:val="both"/>
        <w:rPr>
          <w:rFonts w:eastAsia="PMingLiU" w:cs="Times New Roman"/>
          <w:iCs/>
          <w:lang w:val="fr-FR" w:eastAsia="fr-FR" w:bidi="fr-FR"/>
        </w:rPr>
      </w:pPr>
      <w:r w:rsidRPr="004E13E9">
        <w:rPr>
          <w:rFonts w:eastAsia="MS Gothic" w:cs="Times New Roman"/>
          <w:lang w:val="fr-FR" w:eastAsia="fr-FR" w:bidi="fr-FR"/>
        </w:rPr>
        <w:t>Le quota ajusté pour la saison de pêche 2026 sera de 71,2 t = 101 t du quota initial - 50 t transférées à la Corée (</w:t>
      </w:r>
      <w:proofErr w:type="spellStart"/>
      <w:r w:rsidRPr="004E13E9">
        <w:rPr>
          <w:rFonts w:eastAsia="MS Gothic" w:cs="Times New Roman"/>
          <w:lang w:val="fr-FR" w:eastAsia="fr-FR" w:bidi="fr-FR"/>
        </w:rPr>
        <w:t>Rép</w:t>
      </w:r>
      <w:proofErr w:type="spellEnd"/>
      <w:r w:rsidRPr="004E13E9">
        <w:rPr>
          <w:rFonts w:eastAsia="MS Gothic" w:cs="Times New Roman"/>
          <w:lang w:val="fr-FR" w:eastAsia="fr-FR" w:bidi="fr-FR"/>
        </w:rPr>
        <w:t xml:space="preserve">) + 20,2 t de report de 2025 à 2026 conformément au paragr. 6 de la Rec. 25-04 et sous réserve de l'approbation de la Sous-commission 2. </w:t>
      </w:r>
    </w:p>
    <w:p w14:paraId="78D821AB" w14:textId="77777777" w:rsidR="00594EA1" w:rsidRPr="004E13E9" w:rsidRDefault="00594EA1" w:rsidP="00594EA1">
      <w:pPr>
        <w:widowControl w:val="0"/>
        <w:jc w:val="both"/>
        <w:rPr>
          <w:rFonts w:eastAsia="PMingLiU" w:cs="Times New Roman"/>
          <w:iCs/>
          <w:lang w:val="fr-FR" w:eastAsia="zh-TW" w:bidi="fr-FR"/>
        </w:rPr>
      </w:pPr>
    </w:p>
    <w:p w14:paraId="1690923D" w14:textId="77777777" w:rsidR="00594EA1" w:rsidRPr="004E13E9" w:rsidRDefault="00594EA1" w:rsidP="00594EA1">
      <w:pPr>
        <w:widowControl w:val="0"/>
        <w:jc w:val="both"/>
        <w:rPr>
          <w:rFonts w:eastAsia="PMingLiU" w:cs="Times New Roman"/>
          <w:iCs/>
          <w:lang w:val="fr-FR" w:eastAsia="fr-FR" w:bidi="fr-FR"/>
        </w:rPr>
      </w:pPr>
      <w:r w:rsidRPr="004E13E9">
        <w:rPr>
          <w:rFonts w:eastAsia="MS Gothic" w:cs="Times New Roman"/>
          <w:lang w:val="fr-FR" w:eastAsia="fr-FR" w:bidi="fr-FR"/>
        </w:rPr>
        <w:t xml:space="preserve">Sur les 71,2 t, 1 t est mise en réserve pour les prises accessoires, ce qui est suffisant compte tenu de la possibilité minime de capturer accidentellement du thon rouge de l’Est dans la zone de la convention de l’ICCAT autre que la zone de pêche autorisée, comme indiqué ci-dessus. Le quota disponible pour la saison de pêche 2026 sera donc de 70,2 t, qui seront toutes allouées au seul palangrier autorisé à pêcher le thon rouge de l’Est. </w:t>
      </w:r>
    </w:p>
    <w:p w14:paraId="4346DE0A" w14:textId="77777777" w:rsidR="00594EA1" w:rsidRPr="004E13E9" w:rsidRDefault="00594EA1" w:rsidP="00594EA1">
      <w:pPr>
        <w:widowControl w:val="0"/>
        <w:jc w:val="both"/>
        <w:rPr>
          <w:rFonts w:eastAsia="MS Gothic" w:cs="Times New Roman"/>
          <w:iCs/>
          <w:lang w:val="fr-FR" w:eastAsia="fr-FR" w:bidi="fr-FR"/>
        </w:rPr>
      </w:pPr>
    </w:p>
    <w:p w14:paraId="10C10219" w14:textId="77777777" w:rsidR="00594EA1" w:rsidRPr="004E13E9" w:rsidRDefault="00594EA1" w:rsidP="00594EA1">
      <w:pPr>
        <w:widowControl w:val="0"/>
        <w:jc w:val="both"/>
        <w:rPr>
          <w:rFonts w:eastAsia="PMingLiU" w:cs="Times New Roman"/>
          <w:iCs/>
          <w:lang w:val="fr-FR" w:eastAsia="fr-FR" w:bidi="fr-FR"/>
        </w:rPr>
      </w:pPr>
      <w:r w:rsidRPr="004E13E9">
        <w:rPr>
          <w:rFonts w:eastAsia="MS Gothic" w:cs="Times New Roman"/>
          <w:lang w:val="fr-FR" w:eastAsia="fr-FR" w:bidi="fr-FR"/>
        </w:rPr>
        <w:t>La Loi sur les pêcheries en eaux lointaines (DWFA) et les Règlements pour les palangriers thoniers qui pêchent dans l'océan Atlantique (les Règlements de l'Atlantique) sont les principales législations régissant les palangriers du Taipei chinois opérant dans la zone de la Convention de l'ICCAT. Les mesures applicables de l’ICCAT concernant la pêcherie de thon rouge de l’Est sont transposées dans les Règlements de l'Atlantique. Le palangrier autorisé à pêcher du thon rouge de l’Est est tenu d'installer un système de surveillance des navires (VMS) opérationnel et de transmettre ses positions au Centre de surveillance des pêches (FMC) du Taipei chinois toutes les heures. Les données/informations sur les captures de thon rouge de l’Est devront être déclarées quotidiennement par le biais du système de carnet de pêche électronique (ELB). Le débarquement et le transbordement de tout thon rouge de l’Est ne devront avoir lieu que dans les trois ports désignés et devront respecter les exigences pertinentes, telles que la présentation des déclarations requises dans les délais impartis.</w:t>
      </w:r>
    </w:p>
    <w:p w14:paraId="577A321A" w14:textId="77777777" w:rsidR="00594EA1" w:rsidRPr="004E13E9" w:rsidRDefault="00594EA1" w:rsidP="00594EA1">
      <w:pPr>
        <w:widowControl w:val="0"/>
        <w:jc w:val="both"/>
        <w:rPr>
          <w:rFonts w:eastAsia="PMingLiU" w:cs="Times New Roman"/>
          <w:iCs/>
          <w:lang w:val="fr-FR" w:eastAsia="zh-TW" w:bidi="fr-FR"/>
        </w:rPr>
      </w:pPr>
    </w:p>
    <w:p w14:paraId="05E0F20E" w14:textId="77777777" w:rsidR="00594EA1" w:rsidRPr="004E13E9" w:rsidRDefault="00594EA1" w:rsidP="00594EA1">
      <w:pPr>
        <w:widowControl w:val="0"/>
        <w:jc w:val="both"/>
        <w:rPr>
          <w:rFonts w:eastAsia="PMingLiU" w:cs="Times New Roman"/>
          <w:iCs/>
          <w:lang w:val="fr-FR" w:eastAsia="fr-FR" w:bidi="fr-FR"/>
        </w:rPr>
      </w:pPr>
      <w:r w:rsidRPr="004E13E9">
        <w:rPr>
          <w:rFonts w:eastAsia="MS Gothic" w:cs="Times New Roman"/>
          <w:lang w:val="fr-FR" w:eastAsia="fr-FR" w:bidi="fr-FR"/>
        </w:rPr>
        <w:t xml:space="preserve">La TFA veille au respect du quota, y compris le quota individuel par navire, en contrôlant les données de prise/rejet communiquées quotidiennement par l'intermédiaire de l'ELB. La TFA garantira également une couverture d'observateurs de 20% pour la saison de pêche 2026.       </w:t>
      </w:r>
    </w:p>
    <w:p w14:paraId="21B2B810" w14:textId="77777777" w:rsidR="00594EA1" w:rsidRPr="004E13E9" w:rsidRDefault="00594EA1" w:rsidP="00594EA1">
      <w:pPr>
        <w:widowControl w:val="0"/>
        <w:jc w:val="both"/>
        <w:rPr>
          <w:rFonts w:eastAsia="PMingLiU" w:cs="Times New Roman"/>
          <w:lang w:val="fr-FR" w:eastAsia="zh-TW" w:bidi="fr-FR"/>
        </w:rPr>
      </w:pPr>
    </w:p>
    <w:p w14:paraId="604C0165" w14:textId="77777777" w:rsidR="00594EA1" w:rsidRPr="004E13E9" w:rsidRDefault="00594EA1" w:rsidP="00594EA1">
      <w:pPr>
        <w:widowControl w:val="0"/>
        <w:jc w:val="both"/>
        <w:rPr>
          <w:rFonts w:eastAsia="MS Gothic" w:cs="Times New Roman"/>
          <w:b/>
          <w:bCs/>
          <w:i/>
          <w:iCs/>
          <w:lang w:val="fr-FR" w:eastAsia="fr-FR" w:bidi="fr-FR"/>
        </w:rPr>
      </w:pPr>
      <w:r w:rsidRPr="004E13E9">
        <w:rPr>
          <w:rFonts w:eastAsia="MS Gothic" w:cs="Times New Roman"/>
          <w:b/>
          <w:i/>
          <w:lang w:val="fr-FR" w:eastAsia="fr-FR" w:bidi="fr-FR"/>
        </w:rPr>
        <w:t>1 b) Report (paragraphe 6)</w:t>
      </w:r>
    </w:p>
    <w:p w14:paraId="5EDE79BF" w14:textId="77777777" w:rsidR="00594EA1" w:rsidRPr="004E13E9" w:rsidRDefault="00594EA1" w:rsidP="00594EA1">
      <w:pPr>
        <w:widowControl w:val="0"/>
        <w:jc w:val="both"/>
        <w:rPr>
          <w:rFonts w:eastAsia="MS Gothic" w:cs="Times New Roman"/>
          <w:lang w:val="fr-FR" w:eastAsia="fr-FR" w:bidi="fr-FR"/>
        </w:rPr>
      </w:pPr>
    </w:p>
    <w:p w14:paraId="17F19079" w14:textId="77777777" w:rsidR="00594EA1" w:rsidRPr="004E13E9" w:rsidRDefault="00594EA1" w:rsidP="00594EA1">
      <w:pPr>
        <w:widowControl w:val="0"/>
        <w:jc w:val="both"/>
        <w:rPr>
          <w:rFonts w:eastAsia="PMingLiU" w:cs="Times New Roman"/>
          <w:iCs/>
          <w:lang w:val="fr-FR" w:eastAsia="fr-FR" w:bidi="fr-FR"/>
        </w:rPr>
      </w:pPr>
      <w:r w:rsidRPr="004E13E9">
        <w:rPr>
          <w:rFonts w:eastAsia="MS Gothic" w:cs="Times New Roman"/>
          <w:lang w:val="fr-FR" w:eastAsia="fr-FR" w:bidi="fr-FR"/>
        </w:rPr>
        <w:t xml:space="preserve">Conformément au paragraphe 6 de la Rec. 25-04, le Taipei chinois souhaite demander le report de 20% de son quota initial de 2025 à la saison de pêche 2026. </w:t>
      </w:r>
    </w:p>
    <w:p w14:paraId="29401DA4" w14:textId="77777777" w:rsidR="00594EA1" w:rsidRPr="004E13E9" w:rsidRDefault="00594EA1" w:rsidP="00594EA1">
      <w:pPr>
        <w:widowControl w:val="0"/>
        <w:jc w:val="both"/>
        <w:rPr>
          <w:rFonts w:eastAsia="PMingLiU" w:cs="Times New Roman"/>
          <w:iCs/>
          <w:lang w:val="fr-FR" w:eastAsia="zh-TW" w:bidi="fr-FR"/>
        </w:rPr>
      </w:pPr>
    </w:p>
    <w:p w14:paraId="1BBDF273" w14:textId="77777777" w:rsidR="00594EA1" w:rsidRPr="004E13E9" w:rsidRDefault="00594EA1" w:rsidP="00594EA1">
      <w:pPr>
        <w:widowControl w:val="0"/>
        <w:jc w:val="both"/>
        <w:rPr>
          <w:rFonts w:eastAsia="PMingLiU" w:cs="Times New Roman"/>
          <w:iCs/>
          <w:lang w:val="fr-FR" w:eastAsia="fr-FR" w:bidi="fr-FR"/>
        </w:rPr>
      </w:pPr>
      <w:r w:rsidRPr="004E13E9">
        <w:rPr>
          <w:rFonts w:eastAsia="MS Gothic" w:cs="Times New Roman"/>
          <w:lang w:val="fr-FR" w:eastAsia="fr-FR" w:bidi="fr-FR"/>
        </w:rPr>
        <w:t>Le quota non utilisé en 2025 est de 51 t (101 t du quota initial - 50 t transférées à la Corée (</w:t>
      </w:r>
      <w:proofErr w:type="spellStart"/>
      <w:r w:rsidRPr="004E13E9">
        <w:rPr>
          <w:rFonts w:eastAsia="MS Gothic" w:cs="Times New Roman"/>
          <w:lang w:val="fr-FR" w:eastAsia="fr-FR" w:bidi="fr-FR"/>
        </w:rPr>
        <w:t>Rép</w:t>
      </w:r>
      <w:proofErr w:type="spellEnd"/>
      <w:r w:rsidRPr="004E13E9">
        <w:rPr>
          <w:rFonts w:eastAsia="MS Gothic" w:cs="Times New Roman"/>
          <w:lang w:val="fr-FR" w:eastAsia="fr-FR" w:bidi="fr-FR"/>
        </w:rPr>
        <w:t>.), sans registre de rétention ou de rejet de thon rouge de l’Est par les palangriers du Taipei chinois), ce qui représente 50,5% de la sous-consommation. Par conséquent, 20% du quota initial de 2025, soit 20,2 t, doivent être reportés à la saison de pêche 2026.</w:t>
      </w:r>
    </w:p>
    <w:p w14:paraId="610ADF65" w14:textId="77777777" w:rsidR="00594EA1" w:rsidRPr="004E13E9" w:rsidRDefault="00594EA1" w:rsidP="00594EA1">
      <w:pPr>
        <w:widowControl w:val="0"/>
        <w:jc w:val="both"/>
        <w:rPr>
          <w:rFonts w:eastAsia="MS Gothic" w:cs="Times New Roman"/>
          <w:i/>
          <w:lang w:val="fr-FR" w:eastAsia="fr-FR" w:bidi="fr-FR"/>
        </w:rPr>
      </w:pPr>
    </w:p>
    <w:p w14:paraId="792919AD" w14:textId="77777777" w:rsidR="00594EA1" w:rsidRPr="004E13E9" w:rsidRDefault="00594EA1" w:rsidP="00594EA1">
      <w:pPr>
        <w:widowControl w:val="0"/>
        <w:jc w:val="both"/>
        <w:rPr>
          <w:rFonts w:eastAsia="MS Gothic" w:cs="Times New Roman"/>
          <w:b/>
          <w:bCs/>
          <w:i/>
          <w:lang w:val="fr-FR" w:eastAsia="fr-FR" w:bidi="fr-FR"/>
        </w:rPr>
      </w:pPr>
      <w:r w:rsidRPr="004E13E9">
        <w:rPr>
          <w:rFonts w:eastAsia="MS Gothic" w:cs="Times New Roman"/>
          <w:b/>
          <w:i/>
          <w:lang w:val="fr-FR" w:eastAsia="fr-FR" w:bidi="fr-FR"/>
        </w:rPr>
        <w:t>1 c) Destination de la capture</w:t>
      </w:r>
    </w:p>
    <w:p w14:paraId="38CB08F2" w14:textId="77777777" w:rsidR="00594EA1" w:rsidRPr="004E13E9" w:rsidRDefault="00594EA1" w:rsidP="00594EA1">
      <w:pPr>
        <w:widowControl w:val="0"/>
        <w:jc w:val="both"/>
        <w:rPr>
          <w:rFonts w:eastAsia="MS Gothic" w:cs="Times New Roman"/>
          <w:iCs/>
          <w:lang w:val="fr-FR" w:eastAsia="fr-FR" w:bidi="fr-FR"/>
        </w:rPr>
      </w:pPr>
    </w:p>
    <w:p w14:paraId="6022F292" w14:textId="77777777" w:rsidR="00594EA1" w:rsidRPr="004E13E9" w:rsidRDefault="00594EA1" w:rsidP="00594EA1">
      <w:pPr>
        <w:widowControl w:val="0"/>
        <w:jc w:val="both"/>
        <w:rPr>
          <w:rFonts w:eastAsia="PMingLiU" w:cs="Times New Roman"/>
          <w:iCs/>
          <w:lang w:val="fr-FR" w:eastAsia="fr-FR" w:bidi="fr-FR"/>
        </w:rPr>
      </w:pPr>
      <w:r w:rsidRPr="004E13E9">
        <w:rPr>
          <w:rFonts w:eastAsia="MS Gothic" w:cs="Times New Roman"/>
          <w:lang w:val="fr-FR" w:eastAsia="fr-FR" w:bidi="fr-FR"/>
        </w:rPr>
        <w:t>Élevage : Non</w:t>
      </w:r>
    </w:p>
    <w:p w14:paraId="37C0AFE5" w14:textId="77777777" w:rsidR="00594EA1" w:rsidRPr="004E13E9" w:rsidRDefault="00594EA1" w:rsidP="00594EA1">
      <w:pPr>
        <w:widowControl w:val="0"/>
        <w:jc w:val="both"/>
        <w:rPr>
          <w:rFonts w:eastAsia="PMingLiU" w:cs="Times New Roman"/>
          <w:iCs/>
          <w:lang w:val="fr-FR" w:eastAsia="fr-FR" w:bidi="fr-FR"/>
        </w:rPr>
      </w:pPr>
      <w:r w:rsidRPr="004E13E9">
        <w:rPr>
          <w:rFonts w:eastAsia="MS Gothic" w:cs="Times New Roman"/>
          <w:lang w:val="fr-FR" w:eastAsia="fr-FR" w:bidi="fr-FR"/>
        </w:rPr>
        <w:t>Débarquement : Oui</w:t>
      </w:r>
    </w:p>
    <w:p w14:paraId="7628AA65" w14:textId="77777777" w:rsidR="00594EA1" w:rsidRPr="004E13E9" w:rsidRDefault="00594EA1" w:rsidP="00594EA1">
      <w:pPr>
        <w:widowControl w:val="0"/>
        <w:jc w:val="both"/>
        <w:rPr>
          <w:rFonts w:eastAsia="PMingLiU" w:cs="Times New Roman"/>
          <w:i/>
          <w:lang w:val="fr-FR" w:eastAsia="zh-TW" w:bidi="fr-FR"/>
        </w:rPr>
      </w:pPr>
    </w:p>
    <w:p w14:paraId="440549CD" w14:textId="71DADDE5" w:rsidR="00594EA1" w:rsidRPr="004E13E9" w:rsidRDefault="00594EA1" w:rsidP="00594EA1">
      <w:pPr>
        <w:widowControl w:val="0"/>
        <w:jc w:val="both"/>
        <w:rPr>
          <w:rFonts w:eastAsia="MS Gothic" w:cs="Times New Roman"/>
          <w:i/>
          <w:lang w:val="fr-FR" w:eastAsia="fr-FR" w:bidi="fr-FR"/>
        </w:rPr>
      </w:pPr>
      <w:r w:rsidRPr="004E13E9">
        <w:rPr>
          <w:rFonts w:eastAsia="MS Gothic" w:cs="Times New Roman"/>
          <w:b/>
          <w:bCs/>
          <w:i/>
          <w:iCs/>
          <w:lang w:val="fr-FR" w:eastAsia="fr-FR" w:bidi="fr-FR"/>
        </w:rPr>
        <w:t>1d)</w:t>
      </w:r>
      <w:r w:rsidRPr="004E13E9">
        <w:rPr>
          <w:rFonts w:eastAsia="MS Gothic" w:cs="Times New Roman"/>
          <w:i/>
          <w:iCs/>
          <w:lang w:val="fr-FR" w:eastAsia="fr-FR" w:bidi="fr-FR"/>
        </w:rPr>
        <w:t xml:space="preserve"> </w:t>
      </w:r>
    </w:p>
    <w:tbl>
      <w:tblPr>
        <w:tblStyle w:val="TableGrid"/>
        <w:tblpPr w:leftFromText="180" w:rightFromText="180" w:vertAnchor="text" w:tblpY="1"/>
        <w:tblOverlap w:val="never"/>
        <w:tblW w:w="0" w:type="auto"/>
        <w:tblLook w:val="04A0" w:firstRow="1" w:lastRow="0" w:firstColumn="1" w:lastColumn="0" w:noHBand="0" w:noVBand="1"/>
      </w:tblPr>
      <w:tblGrid>
        <w:gridCol w:w="454"/>
        <w:gridCol w:w="2388"/>
        <w:gridCol w:w="2965"/>
        <w:gridCol w:w="1985"/>
        <w:gridCol w:w="1268"/>
      </w:tblGrid>
      <w:tr w:rsidR="0063524B" w:rsidRPr="004E13E9" w14:paraId="5AFE49C9" w14:textId="77777777" w:rsidTr="0063524B">
        <w:trPr>
          <w:tblHeader/>
        </w:trPr>
        <w:tc>
          <w:tcPr>
            <w:tcW w:w="454" w:type="dxa"/>
          </w:tcPr>
          <w:p w14:paraId="19ED1CA2" w14:textId="77777777" w:rsidR="00594EA1" w:rsidRPr="004E13E9" w:rsidRDefault="00594EA1" w:rsidP="00594EA1">
            <w:pPr>
              <w:widowControl w:val="0"/>
              <w:rPr>
                <w:rFonts w:ascii="Cambria" w:hAnsi="Cambria"/>
                <w:sz w:val="20"/>
                <w:szCs w:val="20"/>
              </w:rPr>
            </w:pPr>
          </w:p>
        </w:tc>
        <w:tc>
          <w:tcPr>
            <w:tcW w:w="2388" w:type="dxa"/>
            <w:vAlign w:val="center"/>
          </w:tcPr>
          <w:p w14:paraId="3870408E" w14:textId="77777777" w:rsidR="00594EA1" w:rsidRPr="004E13E9" w:rsidRDefault="00594EA1" w:rsidP="00594EA1">
            <w:pPr>
              <w:widowControl w:val="0"/>
              <w:jc w:val="center"/>
              <w:rPr>
                <w:rFonts w:ascii="Cambria" w:hAnsi="Cambria"/>
                <w:i/>
                <w:sz w:val="20"/>
                <w:szCs w:val="20"/>
              </w:rPr>
            </w:pPr>
            <w:r w:rsidRPr="004E13E9">
              <w:rPr>
                <w:rFonts w:ascii="Cambria" w:hAnsi="Cambria"/>
                <w:i/>
                <w:sz w:val="20"/>
                <w:szCs w:val="20"/>
              </w:rPr>
              <w:t xml:space="preserve">Exigence de l’ICCAT </w:t>
            </w:r>
          </w:p>
          <w:p w14:paraId="456948EC" w14:textId="77777777" w:rsidR="00594EA1" w:rsidRPr="004E13E9" w:rsidRDefault="00594EA1" w:rsidP="00594EA1">
            <w:pPr>
              <w:widowControl w:val="0"/>
              <w:jc w:val="center"/>
              <w:rPr>
                <w:rFonts w:ascii="Cambria" w:hAnsi="Cambria"/>
                <w:i/>
                <w:iCs/>
                <w:sz w:val="20"/>
                <w:szCs w:val="20"/>
              </w:rPr>
            </w:pPr>
            <w:r w:rsidRPr="004E13E9">
              <w:rPr>
                <w:rFonts w:ascii="Cambria" w:hAnsi="Cambria"/>
                <w:i/>
                <w:iCs/>
                <w:sz w:val="20"/>
                <w:szCs w:val="20"/>
              </w:rPr>
              <w:t xml:space="preserve">(En vertu de la </w:t>
            </w:r>
          </w:p>
          <w:p w14:paraId="731F6E8E" w14:textId="77777777" w:rsidR="00594EA1" w:rsidRPr="004E13E9" w:rsidRDefault="00594EA1" w:rsidP="00594EA1">
            <w:pPr>
              <w:widowControl w:val="0"/>
              <w:jc w:val="center"/>
              <w:rPr>
                <w:rFonts w:ascii="Cambria" w:hAnsi="Cambria"/>
                <w:i/>
                <w:sz w:val="20"/>
                <w:szCs w:val="20"/>
              </w:rPr>
            </w:pPr>
            <w:hyperlink r:id="rId215" w:history="1">
              <w:r w:rsidRPr="004E13E9">
                <w:rPr>
                  <w:rFonts w:ascii="Cambria" w:hAnsi="Cambria"/>
                  <w:i/>
                  <w:color w:val="0563C1"/>
                  <w:sz w:val="20"/>
                  <w:szCs w:val="20"/>
                </w:rPr>
                <w:t>Rec. 25-04</w:t>
              </w:r>
            </w:hyperlink>
            <w:r w:rsidRPr="004E13E9">
              <w:rPr>
                <w:rFonts w:ascii="Cambria" w:hAnsi="Cambria"/>
                <w:i/>
                <w:iCs/>
                <w:sz w:val="20"/>
                <w:szCs w:val="20"/>
              </w:rPr>
              <w:t>)</w:t>
            </w:r>
          </w:p>
        </w:tc>
        <w:tc>
          <w:tcPr>
            <w:tcW w:w="2965" w:type="dxa"/>
            <w:vAlign w:val="center"/>
          </w:tcPr>
          <w:p w14:paraId="17E14236" w14:textId="77777777" w:rsidR="00594EA1" w:rsidRPr="004E13E9" w:rsidRDefault="00594EA1" w:rsidP="006A3862">
            <w:pPr>
              <w:widowControl w:val="0"/>
              <w:jc w:val="center"/>
              <w:rPr>
                <w:rFonts w:ascii="Cambria" w:hAnsi="Cambria"/>
                <w:i/>
                <w:sz w:val="20"/>
                <w:szCs w:val="20"/>
              </w:rPr>
            </w:pPr>
            <w:r w:rsidRPr="004E13E9">
              <w:rPr>
                <w:rFonts w:ascii="Cambria" w:hAnsi="Cambria"/>
                <w:i/>
                <w:sz w:val="20"/>
                <w:szCs w:val="20"/>
              </w:rPr>
              <w:t>Explication des actions prises par la CPC à des fins de mise en œuvre</w:t>
            </w:r>
          </w:p>
        </w:tc>
        <w:tc>
          <w:tcPr>
            <w:tcW w:w="1985" w:type="dxa"/>
            <w:vAlign w:val="center"/>
          </w:tcPr>
          <w:p w14:paraId="37B5D893" w14:textId="3B298DB3" w:rsidR="00594EA1" w:rsidRPr="004E13E9" w:rsidRDefault="00594EA1" w:rsidP="006A3862">
            <w:pPr>
              <w:widowControl w:val="0"/>
              <w:jc w:val="center"/>
              <w:rPr>
                <w:rFonts w:ascii="Cambria" w:hAnsi="Cambria"/>
                <w:i/>
                <w:sz w:val="20"/>
                <w:szCs w:val="20"/>
              </w:rPr>
            </w:pPr>
            <w:r w:rsidRPr="004E13E9">
              <w:rPr>
                <w:rFonts w:ascii="Cambria" w:hAnsi="Cambria"/>
                <w:i/>
                <w:sz w:val="20"/>
                <w:szCs w:val="20"/>
              </w:rPr>
              <w:t>Lois ou réglementations nationales pertinentes</w:t>
            </w:r>
          </w:p>
          <w:p w14:paraId="564259C4" w14:textId="77777777" w:rsidR="00594EA1" w:rsidRPr="004E13E9" w:rsidRDefault="00594EA1" w:rsidP="006A3862">
            <w:pPr>
              <w:widowControl w:val="0"/>
              <w:jc w:val="center"/>
              <w:rPr>
                <w:rFonts w:ascii="Cambria" w:hAnsi="Cambria"/>
                <w:i/>
                <w:sz w:val="20"/>
                <w:szCs w:val="20"/>
              </w:rPr>
            </w:pPr>
            <w:r w:rsidRPr="004E13E9">
              <w:rPr>
                <w:rFonts w:ascii="Cambria" w:hAnsi="Cambria"/>
                <w:i/>
                <w:sz w:val="20"/>
                <w:szCs w:val="20"/>
              </w:rPr>
              <w:t>(le cas échéant)</w:t>
            </w:r>
          </w:p>
        </w:tc>
        <w:tc>
          <w:tcPr>
            <w:tcW w:w="1268" w:type="dxa"/>
            <w:vAlign w:val="center"/>
          </w:tcPr>
          <w:p w14:paraId="4A7A904A" w14:textId="77777777" w:rsidR="00594EA1" w:rsidRPr="004E13E9" w:rsidRDefault="00594EA1" w:rsidP="00594EA1">
            <w:pPr>
              <w:widowControl w:val="0"/>
              <w:jc w:val="center"/>
              <w:rPr>
                <w:rFonts w:ascii="Cambria" w:hAnsi="Cambria"/>
                <w:i/>
                <w:sz w:val="20"/>
                <w:szCs w:val="20"/>
              </w:rPr>
            </w:pPr>
            <w:r w:rsidRPr="004E13E9">
              <w:rPr>
                <w:rFonts w:ascii="Cambria" w:hAnsi="Cambria"/>
                <w:i/>
                <w:sz w:val="20"/>
                <w:szCs w:val="20"/>
              </w:rPr>
              <w:t>Note</w:t>
            </w:r>
          </w:p>
        </w:tc>
      </w:tr>
      <w:tr w:rsidR="0063524B" w:rsidRPr="00150EE2" w14:paraId="0B0038C0" w14:textId="77777777" w:rsidTr="0063524B">
        <w:tc>
          <w:tcPr>
            <w:tcW w:w="454" w:type="dxa"/>
          </w:tcPr>
          <w:p w14:paraId="68619B3A"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1</w:t>
            </w:r>
          </w:p>
        </w:tc>
        <w:tc>
          <w:tcPr>
            <w:tcW w:w="2388" w:type="dxa"/>
          </w:tcPr>
          <w:p w14:paraId="038CFFE7"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 xml:space="preserve">Enregistrement et déclaration de la capture </w:t>
            </w:r>
          </w:p>
          <w:p w14:paraId="5341EFBF"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(paragr. 74-88)</w:t>
            </w:r>
          </w:p>
        </w:tc>
        <w:tc>
          <w:tcPr>
            <w:tcW w:w="2965" w:type="dxa"/>
          </w:tcPr>
          <w:p w14:paraId="23976062" w14:textId="77777777" w:rsidR="00594EA1" w:rsidRPr="004E13E9" w:rsidRDefault="00594EA1" w:rsidP="00487A5C">
            <w:pPr>
              <w:widowControl w:val="0"/>
              <w:numPr>
                <w:ilvl w:val="0"/>
                <w:numId w:val="33"/>
              </w:numPr>
              <w:contextualSpacing/>
              <w:jc w:val="both"/>
              <w:rPr>
                <w:rFonts w:ascii="Cambria" w:hAnsi="Cambria"/>
                <w:sz w:val="20"/>
                <w:szCs w:val="20"/>
              </w:rPr>
            </w:pPr>
            <w:r w:rsidRPr="004E13E9">
              <w:rPr>
                <w:rFonts w:ascii="Cambria" w:hAnsi="Cambria"/>
                <w:sz w:val="20"/>
                <w:szCs w:val="20"/>
              </w:rPr>
              <w:t xml:space="preserve">Tous les palangriers opérant dans la zone de la Convention de l’ICCAT devront déclarer quotidiennement les données/informations relatives aux captures, y compris les prises accessoires, à la FMC par l'intermédiaire de l'ELB. Un carnet de pêche sur </w:t>
            </w:r>
            <w:proofErr w:type="gramStart"/>
            <w:r w:rsidRPr="004E13E9">
              <w:rPr>
                <w:rFonts w:ascii="Cambria" w:hAnsi="Cambria"/>
                <w:sz w:val="20"/>
                <w:szCs w:val="20"/>
              </w:rPr>
              <w:t>support papier</w:t>
            </w:r>
            <w:proofErr w:type="gramEnd"/>
            <w:r w:rsidRPr="004E13E9">
              <w:rPr>
                <w:rFonts w:ascii="Cambria" w:hAnsi="Cambria"/>
                <w:sz w:val="20"/>
                <w:szCs w:val="20"/>
              </w:rPr>
              <w:t xml:space="preserve"> doit également être conservé à bord.  </w:t>
            </w:r>
          </w:p>
          <w:p w14:paraId="01595BF5" w14:textId="77777777" w:rsidR="00594EA1" w:rsidRPr="004E13E9" w:rsidRDefault="00594EA1" w:rsidP="00487A5C">
            <w:pPr>
              <w:widowControl w:val="0"/>
              <w:numPr>
                <w:ilvl w:val="0"/>
                <w:numId w:val="33"/>
              </w:numPr>
              <w:contextualSpacing/>
              <w:jc w:val="both"/>
              <w:rPr>
                <w:rFonts w:ascii="Cambria" w:hAnsi="Cambria"/>
                <w:sz w:val="20"/>
                <w:szCs w:val="20"/>
              </w:rPr>
            </w:pPr>
            <w:r w:rsidRPr="004E13E9">
              <w:rPr>
                <w:rFonts w:ascii="Cambria" w:hAnsi="Cambria"/>
                <w:sz w:val="20"/>
                <w:szCs w:val="20"/>
              </w:rPr>
              <w:t>Les informations à déclarer comprennent la date, l'heure, la position (</w:t>
            </w:r>
            <w:proofErr w:type="spellStart"/>
            <w:r w:rsidRPr="004E13E9">
              <w:rPr>
                <w:rFonts w:ascii="Cambria" w:hAnsi="Cambria"/>
                <w:sz w:val="20"/>
                <w:szCs w:val="20"/>
              </w:rPr>
              <w:t>lat</w:t>
            </w:r>
            <w:proofErr w:type="spellEnd"/>
            <w:r w:rsidRPr="004E13E9">
              <w:rPr>
                <w:rFonts w:ascii="Cambria" w:hAnsi="Cambria"/>
                <w:sz w:val="20"/>
                <w:szCs w:val="20"/>
              </w:rPr>
              <w:t>/</w:t>
            </w:r>
            <w:proofErr w:type="spellStart"/>
            <w:r w:rsidRPr="004E13E9">
              <w:rPr>
                <w:rFonts w:ascii="Cambria" w:hAnsi="Cambria"/>
                <w:sz w:val="20"/>
                <w:szCs w:val="20"/>
              </w:rPr>
              <w:t>lon</w:t>
            </w:r>
            <w:proofErr w:type="spellEnd"/>
            <w:r w:rsidRPr="004E13E9">
              <w:rPr>
                <w:rFonts w:ascii="Cambria" w:hAnsi="Cambria"/>
                <w:sz w:val="20"/>
                <w:szCs w:val="20"/>
              </w:rPr>
              <w:t>), le nombre et les quantités de captures, y compris les thons rouges de l’Est retenus, rejetés et remis à l'eau.</w:t>
            </w:r>
          </w:p>
          <w:p w14:paraId="5C297D00" w14:textId="77777777" w:rsidR="00594EA1" w:rsidRPr="004E13E9" w:rsidRDefault="00594EA1" w:rsidP="00487A5C">
            <w:pPr>
              <w:widowControl w:val="0"/>
              <w:numPr>
                <w:ilvl w:val="0"/>
                <w:numId w:val="33"/>
              </w:numPr>
              <w:contextualSpacing/>
              <w:jc w:val="both"/>
              <w:rPr>
                <w:rFonts w:ascii="Cambria" w:hAnsi="Cambria"/>
                <w:sz w:val="20"/>
                <w:szCs w:val="20"/>
              </w:rPr>
            </w:pPr>
            <w:r w:rsidRPr="004E13E9">
              <w:rPr>
                <w:rFonts w:ascii="Cambria" w:hAnsi="Cambria"/>
                <w:sz w:val="20"/>
                <w:szCs w:val="20"/>
              </w:rPr>
              <w:t xml:space="preserve">Tous les poissons morts (retenus ou rejetés) seront décomptés du quota 2026 du Taipei chinois. </w:t>
            </w:r>
          </w:p>
        </w:tc>
        <w:tc>
          <w:tcPr>
            <w:tcW w:w="1985" w:type="dxa"/>
          </w:tcPr>
          <w:p w14:paraId="3EAD4F47" w14:textId="77777777" w:rsidR="00594EA1" w:rsidRPr="004E13E9" w:rsidRDefault="00594EA1" w:rsidP="006A3862">
            <w:pPr>
              <w:widowControl w:val="0"/>
              <w:jc w:val="both"/>
              <w:rPr>
                <w:rFonts w:ascii="Cambria" w:eastAsia="PMingLiU" w:hAnsi="Cambria"/>
                <w:sz w:val="20"/>
                <w:szCs w:val="20"/>
              </w:rPr>
            </w:pPr>
            <w:r w:rsidRPr="004E13E9">
              <w:rPr>
                <w:rFonts w:ascii="Cambria" w:hAnsi="Cambria"/>
                <w:sz w:val="20"/>
                <w:szCs w:val="20"/>
              </w:rPr>
              <w:t>Articles 38 et 40 des Règlements de l’Atlantique</w:t>
            </w:r>
          </w:p>
        </w:tc>
        <w:tc>
          <w:tcPr>
            <w:tcW w:w="1268" w:type="dxa"/>
          </w:tcPr>
          <w:p w14:paraId="19C739C7" w14:textId="77777777" w:rsidR="00594EA1" w:rsidRPr="004E13E9" w:rsidRDefault="00594EA1" w:rsidP="00594EA1">
            <w:pPr>
              <w:widowControl w:val="0"/>
              <w:rPr>
                <w:rFonts w:ascii="Cambria" w:eastAsia="PMingLiU" w:hAnsi="Cambria"/>
                <w:sz w:val="20"/>
                <w:szCs w:val="20"/>
                <w:lang w:eastAsia="zh-TW"/>
              </w:rPr>
            </w:pPr>
          </w:p>
        </w:tc>
      </w:tr>
      <w:tr w:rsidR="0063524B" w:rsidRPr="00150EE2" w14:paraId="57F08DA4" w14:textId="77777777" w:rsidTr="0063524B">
        <w:tc>
          <w:tcPr>
            <w:tcW w:w="454" w:type="dxa"/>
          </w:tcPr>
          <w:p w14:paraId="228DCCBB"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2</w:t>
            </w:r>
          </w:p>
        </w:tc>
        <w:tc>
          <w:tcPr>
            <w:tcW w:w="2388" w:type="dxa"/>
          </w:tcPr>
          <w:p w14:paraId="34F3F781"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 xml:space="preserve">Périodes d’ouverture de la pêche </w:t>
            </w:r>
          </w:p>
          <w:p w14:paraId="0E6AD3FA"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(paragraphes 28-32)</w:t>
            </w:r>
          </w:p>
        </w:tc>
        <w:tc>
          <w:tcPr>
            <w:tcW w:w="2965" w:type="dxa"/>
          </w:tcPr>
          <w:p w14:paraId="3352D591" w14:textId="77777777" w:rsidR="00594EA1" w:rsidRPr="004E13E9" w:rsidRDefault="00594EA1" w:rsidP="006A3862">
            <w:pPr>
              <w:widowControl w:val="0"/>
              <w:jc w:val="both"/>
              <w:rPr>
                <w:rFonts w:ascii="Cambria" w:eastAsia="PMingLiU" w:hAnsi="Cambria"/>
                <w:sz w:val="20"/>
                <w:szCs w:val="20"/>
              </w:rPr>
            </w:pPr>
            <w:r w:rsidRPr="004E13E9">
              <w:rPr>
                <w:rFonts w:ascii="Cambria" w:hAnsi="Cambria"/>
                <w:sz w:val="20"/>
                <w:szCs w:val="20"/>
              </w:rPr>
              <w:t>01/08/2026 au 31/01/2027</w:t>
            </w:r>
          </w:p>
        </w:tc>
        <w:tc>
          <w:tcPr>
            <w:tcW w:w="1985" w:type="dxa"/>
          </w:tcPr>
          <w:p w14:paraId="0BD7FAEA" w14:textId="77777777" w:rsidR="00594EA1" w:rsidRPr="004E13E9" w:rsidRDefault="00594EA1" w:rsidP="006A3862">
            <w:pPr>
              <w:widowControl w:val="0"/>
              <w:jc w:val="both"/>
              <w:rPr>
                <w:rFonts w:ascii="Cambria" w:eastAsia="PMingLiU" w:hAnsi="Cambria"/>
                <w:sz w:val="20"/>
                <w:szCs w:val="20"/>
              </w:rPr>
            </w:pPr>
            <w:r w:rsidRPr="004E13E9">
              <w:rPr>
                <w:rFonts w:ascii="Cambria" w:hAnsi="Cambria"/>
                <w:sz w:val="20"/>
                <w:szCs w:val="20"/>
              </w:rPr>
              <w:t>Article 4 des Règlements de l’Atlantique</w:t>
            </w:r>
          </w:p>
        </w:tc>
        <w:tc>
          <w:tcPr>
            <w:tcW w:w="1268" w:type="dxa"/>
          </w:tcPr>
          <w:p w14:paraId="77C1914F" w14:textId="77777777" w:rsidR="00594EA1" w:rsidRPr="004E13E9" w:rsidRDefault="00594EA1" w:rsidP="00594EA1">
            <w:pPr>
              <w:widowControl w:val="0"/>
              <w:rPr>
                <w:rFonts w:ascii="Cambria" w:hAnsi="Cambria"/>
                <w:sz w:val="20"/>
                <w:szCs w:val="20"/>
              </w:rPr>
            </w:pPr>
          </w:p>
        </w:tc>
      </w:tr>
      <w:tr w:rsidR="0063524B" w:rsidRPr="00150EE2" w14:paraId="54E9D883" w14:textId="77777777" w:rsidTr="0063524B">
        <w:tc>
          <w:tcPr>
            <w:tcW w:w="454" w:type="dxa"/>
          </w:tcPr>
          <w:p w14:paraId="4276B5DA"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3</w:t>
            </w:r>
          </w:p>
        </w:tc>
        <w:tc>
          <w:tcPr>
            <w:tcW w:w="2388" w:type="dxa"/>
          </w:tcPr>
          <w:p w14:paraId="5F2B4DE6"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Taille minimale</w:t>
            </w:r>
          </w:p>
          <w:p w14:paraId="1B586B5D"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(paragraphes 33-35)</w:t>
            </w:r>
          </w:p>
        </w:tc>
        <w:tc>
          <w:tcPr>
            <w:tcW w:w="2965" w:type="dxa"/>
          </w:tcPr>
          <w:p w14:paraId="2A1B9D76" w14:textId="77777777" w:rsidR="00594EA1" w:rsidRPr="004E13E9" w:rsidRDefault="00594EA1" w:rsidP="006A3862">
            <w:pPr>
              <w:widowControl w:val="0"/>
              <w:jc w:val="both"/>
              <w:rPr>
                <w:rFonts w:ascii="Cambria" w:eastAsia="PMingLiU" w:hAnsi="Cambria"/>
                <w:sz w:val="20"/>
                <w:szCs w:val="20"/>
              </w:rPr>
            </w:pPr>
            <w:r w:rsidRPr="004E13E9">
              <w:rPr>
                <w:rFonts w:ascii="Cambria" w:hAnsi="Cambria"/>
                <w:sz w:val="20"/>
                <w:szCs w:val="20"/>
              </w:rPr>
              <w:t>Les thons rouges de l’Est de moins de 30 kilogrammes ou de moins de 115 centimètres de longueur à la fourche devront être rejetés/remis à l'eau, et cette quantité devra être enregistrée dans le carnet de pêche sur support papier et dans l'ELB. La quantité de rejets morts sera décomptée du quota 2026 du Taipei chinois.</w:t>
            </w:r>
          </w:p>
        </w:tc>
        <w:tc>
          <w:tcPr>
            <w:tcW w:w="1985" w:type="dxa"/>
          </w:tcPr>
          <w:p w14:paraId="00748712" w14:textId="77777777" w:rsidR="00594EA1" w:rsidRPr="004E13E9" w:rsidRDefault="00594EA1" w:rsidP="006A3862">
            <w:pPr>
              <w:widowControl w:val="0"/>
              <w:jc w:val="both"/>
              <w:rPr>
                <w:rFonts w:ascii="Cambria" w:eastAsia="PMingLiU" w:hAnsi="Cambria"/>
                <w:sz w:val="20"/>
                <w:szCs w:val="20"/>
              </w:rPr>
            </w:pPr>
            <w:r w:rsidRPr="004E13E9">
              <w:rPr>
                <w:rFonts w:ascii="Cambria" w:hAnsi="Cambria"/>
                <w:sz w:val="20"/>
                <w:szCs w:val="20"/>
              </w:rPr>
              <w:t>Article 40 des Règlements de l’Atlantique</w:t>
            </w:r>
          </w:p>
        </w:tc>
        <w:tc>
          <w:tcPr>
            <w:tcW w:w="1268" w:type="dxa"/>
          </w:tcPr>
          <w:p w14:paraId="116E70CB" w14:textId="77777777" w:rsidR="00594EA1" w:rsidRPr="004E13E9" w:rsidRDefault="00594EA1" w:rsidP="00594EA1">
            <w:pPr>
              <w:widowControl w:val="0"/>
              <w:rPr>
                <w:rFonts w:ascii="Cambria" w:hAnsi="Cambria"/>
                <w:sz w:val="20"/>
                <w:szCs w:val="20"/>
              </w:rPr>
            </w:pPr>
          </w:p>
        </w:tc>
      </w:tr>
      <w:tr w:rsidR="0063524B" w:rsidRPr="00150EE2" w14:paraId="0F2859F8" w14:textId="77777777" w:rsidTr="0063524B">
        <w:tc>
          <w:tcPr>
            <w:tcW w:w="454" w:type="dxa"/>
          </w:tcPr>
          <w:p w14:paraId="2A240AD8"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4</w:t>
            </w:r>
          </w:p>
        </w:tc>
        <w:tc>
          <w:tcPr>
            <w:tcW w:w="2388" w:type="dxa"/>
          </w:tcPr>
          <w:p w14:paraId="43C0DC2E"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 xml:space="preserve">Prises accessoires </w:t>
            </w:r>
          </w:p>
          <w:p w14:paraId="58CBB723"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 xml:space="preserve">(Paragr. 37) </w:t>
            </w:r>
          </w:p>
        </w:tc>
        <w:tc>
          <w:tcPr>
            <w:tcW w:w="2965" w:type="dxa"/>
          </w:tcPr>
          <w:p w14:paraId="1A3D9F2C" w14:textId="77777777" w:rsidR="00594EA1" w:rsidRPr="004E13E9" w:rsidRDefault="00594EA1" w:rsidP="00487A5C">
            <w:pPr>
              <w:widowControl w:val="0"/>
              <w:numPr>
                <w:ilvl w:val="0"/>
                <w:numId w:val="55"/>
              </w:numPr>
              <w:contextualSpacing/>
              <w:jc w:val="both"/>
              <w:rPr>
                <w:rFonts w:ascii="Cambria" w:eastAsia="PMingLiU" w:hAnsi="Cambria"/>
                <w:sz w:val="20"/>
                <w:szCs w:val="20"/>
              </w:rPr>
            </w:pPr>
            <w:r w:rsidRPr="004E13E9">
              <w:rPr>
                <w:rFonts w:ascii="Cambria" w:hAnsi="Cambria"/>
                <w:sz w:val="20"/>
                <w:szCs w:val="20"/>
              </w:rPr>
              <w:t xml:space="preserve">Un seul palangrier est autorisé à conserver les thons rouges de l’Est. Pour les autres palangriers, tout thon rouge de l’Est capturé accidentellement devra être rejeté ou immédiatement remis à l'eau. </w:t>
            </w:r>
          </w:p>
          <w:p w14:paraId="49100C36" w14:textId="77777777" w:rsidR="00594EA1" w:rsidRPr="004E13E9" w:rsidRDefault="00594EA1" w:rsidP="00487A5C">
            <w:pPr>
              <w:widowControl w:val="0"/>
              <w:numPr>
                <w:ilvl w:val="0"/>
                <w:numId w:val="55"/>
              </w:numPr>
              <w:contextualSpacing/>
              <w:jc w:val="both"/>
              <w:rPr>
                <w:rFonts w:ascii="Cambria" w:eastAsia="PMingLiU" w:hAnsi="Cambria"/>
                <w:sz w:val="20"/>
                <w:szCs w:val="20"/>
              </w:rPr>
            </w:pPr>
            <w:r w:rsidRPr="004E13E9">
              <w:rPr>
                <w:rFonts w:ascii="Cambria" w:hAnsi="Cambria"/>
                <w:sz w:val="20"/>
                <w:szCs w:val="20"/>
              </w:rPr>
              <w:t>Aucune prise accessoire n’a été enregistrée en 2025. Néanmoins, le Taipei chinois réserve une tonne pour les prises accessoires de thon rouge de l’Est lors de la saison de pêche de 2026.</w:t>
            </w:r>
          </w:p>
          <w:p w14:paraId="07B15A6C" w14:textId="77777777" w:rsidR="00594EA1" w:rsidRPr="004E13E9" w:rsidRDefault="00594EA1" w:rsidP="00487A5C">
            <w:pPr>
              <w:widowControl w:val="0"/>
              <w:numPr>
                <w:ilvl w:val="0"/>
                <w:numId w:val="55"/>
              </w:numPr>
              <w:contextualSpacing/>
              <w:jc w:val="both"/>
              <w:rPr>
                <w:rFonts w:ascii="Cambria" w:eastAsia="PMingLiU" w:hAnsi="Cambria"/>
                <w:sz w:val="20"/>
                <w:szCs w:val="20"/>
              </w:rPr>
            </w:pPr>
            <w:r w:rsidRPr="004E13E9">
              <w:rPr>
                <w:rFonts w:ascii="Cambria" w:hAnsi="Cambria"/>
                <w:sz w:val="20"/>
                <w:szCs w:val="20"/>
              </w:rPr>
              <w:t xml:space="preserve">La quantité des prises accessoires rejetées sera décomptée du quota du Taipei chinois. </w:t>
            </w:r>
          </w:p>
        </w:tc>
        <w:tc>
          <w:tcPr>
            <w:tcW w:w="1985" w:type="dxa"/>
          </w:tcPr>
          <w:p w14:paraId="39E69CCE" w14:textId="77777777" w:rsidR="00594EA1" w:rsidRPr="004E13E9" w:rsidRDefault="00594EA1" w:rsidP="006A3862">
            <w:pPr>
              <w:widowControl w:val="0"/>
              <w:jc w:val="both"/>
              <w:rPr>
                <w:rFonts w:ascii="Cambria" w:eastAsia="PMingLiU" w:hAnsi="Cambria"/>
                <w:sz w:val="20"/>
                <w:szCs w:val="20"/>
              </w:rPr>
            </w:pPr>
            <w:r w:rsidRPr="004E13E9">
              <w:rPr>
                <w:rFonts w:ascii="Cambria" w:hAnsi="Cambria"/>
                <w:sz w:val="20"/>
                <w:szCs w:val="20"/>
              </w:rPr>
              <w:t>Article 40 des Règlements de l’Atlantique</w:t>
            </w:r>
          </w:p>
        </w:tc>
        <w:tc>
          <w:tcPr>
            <w:tcW w:w="1268" w:type="dxa"/>
          </w:tcPr>
          <w:p w14:paraId="5F1A4DD2" w14:textId="77777777" w:rsidR="00594EA1" w:rsidRPr="004E13E9" w:rsidRDefault="00594EA1" w:rsidP="00594EA1">
            <w:pPr>
              <w:widowControl w:val="0"/>
              <w:rPr>
                <w:rFonts w:ascii="Cambria" w:hAnsi="Cambria"/>
                <w:sz w:val="20"/>
                <w:szCs w:val="20"/>
                <w:lang w:eastAsia="ja-JP"/>
              </w:rPr>
            </w:pPr>
          </w:p>
        </w:tc>
      </w:tr>
      <w:tr w:rsidR="0063524B" w:rsidRPr="004E13E9" w14:paraId="75A5E55D" w14:textId="77777777" w:rsidTr="0063524B">
        <w:tc>
          <w:tcPr>
            <w:tcW w:w="454" w:type="dxa"/>
          </w:tcPr>
          <w:p w14:paraId="1A10290E"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5</w:t>
            </w:r>
          </w:p>
        </w:tc>
        <w:tc>
          <w:tcPr>
            <w:tcW w:w="2388" w:type="dxa"/>
          </w:tcPr>
          <w:p w14:paraId="7903CD22"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 xml:space="preserve">Pêcheries récréatives et sportives </w:t>
            </w:r>
          </w:p>
          <w:p w14:paraId="21E18365"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(paragraphes 38-46)</w:t>
            </w:r>
          </w:p>
        </w:tc>
        <w:tc>
          <w:tcPr>
            <w:tcW w:w="2965" w:type="dxa"/>
          </w:tcPr>
          <w:p w14:paraId="637A7ED9" w14:textId="77777777" w:rsidR="00594EA1" w:rsidRPr="004E13E9" w:rsidRDefault="00594EA1" w:rsidP="006A3862">
            <w:pPr>
              <w:widowControl w:val="0"/>
              <w:jc w:val="both"/>
              <w:rPr>
                <w:rFonts w:ascii="Cambria" w:hAnsi="Cambria"/>
                <w:sz w:val="20"/>
                <w:szCs w:val="20"/>
              </w:rPr>
            </w:pPr>
            <w:r w:rsidRPr="004E13E9">
              <w:rPr>
                <w:rFonts w:ascii="Cambria" w:hAnsi="Cambria"/>
                <w:sz w:val="20"/>
                <w:szCs w:val="20"/>
              </w:rPr>
              <w:t>Non applicable. Le Taipei chinois n’a pas de pêcherie récréative et sportive dans la zone de la Convention de l’ICCAT.</w:t>
            </w:r>
          </w:p>
        </w:tc>
        <w:tc>
          <w:tcPr>
            <w:tcW w:w="1985" w:type="dxa"/>
          </w:tcPr>
          <w:p w14:paraId="6D613DC5" w14:textId="77777777" w:rsidR="00594EA1" w:rsidRPr="004E13E9" w:rsidRDefault="00594EA1" w:rsidP="006A3862">
            <w:pPr>
              <w:widowControl w:val="0"/>
              <w:jc w:val="both"/>
              <w:rPr>
                <w:rFonts w:ascii="Cambria" w:hAnsi="Cambria"/>
                <w:sz w:val="20"/>
                <w:szCs w:val="20"/>
              </w:rPr>
            </w:pPr>
            <w:r w:rsidRPr="004E13E9">
              <w:rPr>
                <w:rFonts w:ascii="Cambria" w:hAnsi="Cambria"/>
                <w:sz w:val="20"/>
                <w:szCs w:val="20"/>
              </w:rPr>
              <w:t>Non applicable</w:t>
            </w:r>
          </w:p>
        </w:tc>
        <w:tc>
          <w:tcPr>
            <w:tcW w:w="1268" w:type="dxa"/>
          </w:tcPr>
          <w:p w14:paraId="468BA0D5" w14:textId="77777777" w:rsidR="00594EA1" w:rsidRPr="004E13E9" w:rsidRDefault="00594EA1" w:rsidP="00594EA1">
            <w:pPr>
              <w:widowControl w:val="0"/>
              <w:rPr>
                <w:rFonts w:ascii="Cambria" w:hAnsi="Cambria"/>
                <w:sz w:val="20"/>
                <w:szCs w:val="20"/>
              </w:rPr>
            </w:pPr>
          </w:p>
        </w:tc>
      </w:tr>
      <w:tr w:rsidR="0063524B" w:rsidRPr="00150EE2" w14:paraId="630B5415" w14:textId="77777777" w:rsidTr="0063524B">
        <w:tc>
          <w:tcPr>
            <w:tcW w:w="454" w:type="dxa"/>
          </w:tcPr>
          <w:p w14:paraId="785D26C1"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6</w:t>
            </w:r>
          </w:p>
        </w:tc>
        <w:tc>
          <w:tcPr>
            <w:tcW w:w="2388" w:type="dxa"/>
          </w:tcPr>
          <w:p w14:paraId="28A4B1A0"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Transbordement</w:t>
            </w:r>
          </w:p>
          <w:p w14:paraId="513F162C"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 xml:space="preserve">(paragraphes 89-94) </w:t>
            </w:r>
          </w:p>
        </w:tc>
        <w:tc>
          <w:tcPr>
            <w:tcW w:w="2965" w:type="dxa"/>
          </w:tcPr>
          <w:p w14:paraId="7C428806" w14:textId="77777777" w:rsidR="00594EA1" w:rsidRPr="004E13E9" w:rsidRDefault="00594EA1" w:rsidP="006A3862">
            <w:pPr>
              <w:widowControl w:val="0"/>
              <w:jc w:val="both"/>
              <w:rPr>
                <w:rFonts w:ascii="Cambria" w:eastAsia="PMingLiU" w:hAnsi="Cambria"/>
                <w:sz w:val="20"/>
                <w:szCs w:val="20"/>
              </w:rPr>
            </w:pPr>
            <w:r w:rsidRPr="004E13E9">
              <w:rPr>
                <w:rFonts w:ascii="Cambria" w:hAnsi="Cambria"/>
                <w:sz w:val="20"/>
                <w:szCs w:val="20"/>
              </w:rPr>
              <w:t xml:space="preserve">Le palangrier autorisé à pêcher du thon rouge de l’Est ne devra débarquer et/ou transborder la capture de thon rouge de l’Est que dans les ports désignés. Le transbordement en mer de thon rouge de l’Est n'est pas autorisé.  </w:t>
            </w:r>
          </w:p>
        </w:tc>
        <w:tc>
          <w:tcPr>
            <w:tcW w:w="1985" w:type="dxa"/>
          </w:tcPr>
          <w:p w14:paraId="1F69398E" w14:textId="77777777" w:rsidR="00594EA1" w:rsidRPr="004E13E9" w:rsidRDefault="00594EA1" w:rsidP="006A3862">
            <w:pPr>
              <w:widowControl w:val="0"/>
              <w:jc w:val="both"/>
              <w:rPr>
                <w:rFonts w:ascii="Cambria" w:eastAsia="PMingLiU" w:hAnsi="Cambria"/>
                <w:sz w:val="20"/>
                <w:szCs w:val="20"/>
              </w:rPr>
            </w:pPr>
            <w:r w:rsidRPr="004E13E9">
              <w:rPr>
                <w:rFonts w:ascii="Cambria" w:hAnsi="Cambria"/>
                <w:sz w:val="20"/>
                <w:szCs w:val="20"/>
              </w:rPr>
              <w:t>Articles 50 et 57 des Règlements de l’Atlantique</w:t>
            </w:r>
          </w:p>
        </w:tc>
        <w:tc>
          <w:tcPr>
            <w:tcW w:w="1268" w:type="dxa"/>
          </w:tcPr>
          <w:p w14:paraId="22D1BB4E" w14:textId="77777777" w:rsidR="00594EA1" w:rsidRPr="004E13E9" w:rsidRDefault="00594EA1" w:rsidP="00594EA1">
            <w:pPr>
              <w:widowControl w:val="0"/>
              <w:rPr>
                <w:rFonts w:ascii="Cambria" w:hAnsi="Cambria"/>
                <w:sz w:val="20"/>
                <w:szCs w:val="20"/>
              </w:rPr>
            </w:pPr>
          </w:p>
        </w:tc>
      </w:tr>
      <w:tr w:rsidR="0063524B" w:rsidRPr="00150EE2" w14:paraId="2C76A42A" w14:textId="77777777" w:rsidTr="0063524B">
        <w:tc>
          <w:tcPr>
            <w:tcW w:w="454" w:type="dxa"/>
          </w:tcPr>
          <w:p w14:paraId="44A5A509"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7</w:t>
            </w:r>
          </w:p>
        </w:tc>
        <w:tc>
          <w:tcPr>
            <w:tcW w:w="2388" w:type="dxa"/>
          </w:tcPr>
          <w:p w14:paraId="21B92A54"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 xml:space="preserve">VMS </w:t>
            </w:r>
          </w:p>
          <w:p w14:paraId="5799AD1C"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(paragraphes 222-228)</w:t>
            </w:r>
          </w:p>
        </w:tc>
        <w:tc>
          <w:tcPr>
            <w:tcW w:w="2965" w:type="dxa"/>
          </w:tcPr>
          <w:p w14:paraId="3D92E7C9" w14:textId="77777777" w:rsidR="00594EA1" w:rsidRPr="004E13E9" w:rsidRDefault="00594EA1" w:rsidP="006A3862">
            <w:pPr>
              <w:widowControl w:val="0"/>
              <w:jc w:val="both"/>
              <w:rPr>
                <w:rFonts w:ascii="Cambria" w:eastAsia="PMingLiU" w:hAnsi="Cambria"/>
                <w:sz w:val="20"/>
                <w:szCs w:val="20"/>
              </w:rPr>
            </w:pPr>
            <w:r w:rsidRPr="004E13E9">
              <w:rPr>
                <w:rFonts w:ascii="Cambria" w:hAnsi="Cambria"/>
                <w:sz w:val="20"/>
                <w:szCs w:val="20"/>
              </w:rPr>
              <w:t xml:space="preserve">Le palangrier autorisé à pêcher du thon rouge de l’Est est équipé d'un VMS fonctionnel et est tenu de transmettre ses positions toutes les heures au FMC, qui transmet ensuite ces données VMS au Secrétariat de l’ICCAT. </w:t>
            </w:r>
          </w:p>
        </w:tc>
        <w:tc>
          <w:tcPr>
            <w:tcW w:w="1985" w:type="dxa"/>
          </w:tcPr>
          <w:p w14:paraId="47D2D0FA" w14:textId="77777777" w:rsidR="00594EA1" w:rsidRPr="004E13E9" w:rsidRDefault="00594EA1" w:rsidP="006A3862">
            <w:pPr>
              <w:widowControl w:val="0"/>
              <w:jc w:val="both"/>
              <w:rPr>
                <w:rFonts w:ascii="Cambria" w:eastAsia="PMingLiU" w:hAnsi="Cambria"/>
                <w:sz w:val="20"/>
                <w:szCs w:val="20"/>
              </w:rPr>
            </w:pPr>
            <w:r w:rsidRPr="004E13E9">
              <w:rPr>
                <w:rFonts w:ascii="Cambria" w:hAnsi="Cambria"/>
                <w:sz w:val="20"/>
                <w:szCs w:val="20"/>
              </w:rPr>
              <w:t>Articles 33 et 34 des Règlements de l’Atlantique</w:t>
            </w:r>
          </w:p>
        </w:tc>
        <w:tc>
          <w:tcPr>
            <w:tcW w:w="1268" w:type="dxa"/>
          </w:tcPr>
          <w:p w14:paraId="7DA7E12E" w14:textId="77777777" w:rsidR="00594EA1" w:rsidRPr="004E13E9" w:rsidRDefault="00594EA1" w:rsidP="00594EA1">
            <w:pPr>
              <w:widowControl w:val="0"/>
              <w:rPr>
                <w:rFonts w:ascii="Cambria" w:hAnsi="Cambria"/>
                <w:sz w:val="20"/>
                <w:szCs w:val="20"/>
              </w:rPr>
            </w:pPr>
          </w:p>
        </w:tc>
      </w:tr>
      <w:tr w:rsidR="0063524B" w:rsidRPr="004E13E9" w14:paraId="518DAF73" w14:textId="77777777" w:rsidTr="0063524B">
        <w:tc>
          <w:tcPr>
            <w:tcW w:w="454" w:type="dxa"/>
          </w:tcPr>
          <w:p w14:paraId="5E849BE0"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8</w:t>
            </w:r>
          </w:p>
        </w:tc>
        <w:tc>
          <w:tcPr>
            <w:tcW w:w="2388" w:type="dxa"/>
          </w:tcPr>
          <w:p w14:paraId="205CB831"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 xml:space="preserve">Programme d’observateurs des CPC </w:t>
            </w:r>
          </w:p>
          <w:p w14:paraId="20130525"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(paragraphes 95-100)</w:t>
            </w:r>
          </w:p>
        </w:tc>
        <w:tc>
          <w:tcPr>
            <w:tcW w:w="2965" w:type="dxa"/>
          </w:tcPr>
          <w:p w14:paraId="14B93203" w14:textId="77777777" w:rsidR="00594EA1" w:rsidRPr="004E13E9" w:rsidRDefault="00594EA1" w:rsidP="006A3862">
            <w:pPr>
              <w:widowControl w:val="0"/>
              <w:jc w:val="both"/>
              <w:rPr>
                <w:rFonts w:ascii="Cambria" w:eastAsia="PMingLiU" w:hAnsi="Cambria"/>
                <w:sz w:val="20"/>
                <w:szCs w:val="20"/>
              </w:rPr>
            </w:pPr>
            <w:r w:rsidRPr="004E13E9">
              <w:rPr>
                <w:rFonts w:ascii="Cambria" w:hAnsi="Cambria"/>
                <w:sz w:val="20"/>
                <w:szCs w:val="20"/>
              </w:rPr>
              <w:t xml:space="preserve">La TFA assurera la couverture d'observateurs pendant 20% du temps pendant lequel le palangrier autorisé est actif dans la pêcherie de thon rouge de l’Est pour la saison de pêche 2026, conformément au paragr. 96 de la Rec. 25-04. </w:t>
            </w:r>
          </w:p>
        </w:tc>
        <w:tc>
          <w:tcPr>
            <w:tcW w:w="1985" w:type="dxa"/>
          </w:tcPr>
          <w:p w14:paraId="1FC06134" w14:textId="77777777" w:rsidR="00594EA1" w:rsidRPr="004E13E9" w:rsidRDefault="00594EA1" w:rsidP="006A3862">
            <w:pPr>
              <w:widowControl w:val="0"/>
              <w:jc w:val="both"/>
              <w:rPr>
                <w:rFonts w:ascii="Cambria" w:eastAsia="PMingLiU" w:hAnsi="Cambria"/>
                <w:sz w:val="20"/>
                <w:szCs w:val="20"/>
              </w:rPr>
            </w:pPr>
            <w:r w:rsidRPr="004E13E9">
              <w:rPr>
                <w:rFonts w:ascii="Cambria" w:hAnsi="Cambria"/>
                <w:sz w:val="20"/>
                <w:szCs w:val="20"/>
              </w:rPr>
              <w:t>N/A</w:t>
            </w:r>
          </w:p>
        </w:tc>
        <w:tc>
          <w:tcPr>
            <w:tcW w:w="1268" w:type="dxa"/>
          </w:tcPr>
          <w:p w14:paraId="325DBFA3" w14:textId="77777777" w:rsidR="00594EA1" w:rsidRPr="004E13E9" w:rsidRDefault="00594EA1" w:rsidP="00594EA1">
            <w:pPr>
              <w:widowControl w:val="0"/>
              <w:rPr>
                <w:rFonts w:ascii="Cambria" w:hAnsi="Cambria"/>
                <w:sz w:val="20"/>
                <w:szCs w:val="20"/>
              </w:rPr>
            </w:pPr>
          </w:p>
        </w:tc>
      </w:tr>
      <w:tr w:rsidR="0063524B" w:rsidRPr="004E13E9" w14:paraId="23721505" w14:textId="77777777" w:rsidTr="0063524B">
        <w:tc>
          <w:tcPr>
            <w:tcW w:w="454" w:type="dxa"/>
          </w:tcPr>
          <w:p w14:paraId="4390A372"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9</w:t>
            </w:r>
          </w:p>
        </w:tc>
        <w:tc>
          <w:tcPr>
            <w:tcW w:w="2388" w:type="dxa"/>
          </w:tcPr>
          <w:p w14:paraId="1EDB2FFF"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 xml:space="preserve">Programme d’observateurs régionaux </w:t>
            </w:r>
          </w:p>
          <w:p w14:paraId="59CD0C79" w14:textId="77777777" w:rsidR="00594EA1" w:rsidRPr="004E13E9" w:rsidRDefault="00594EA1" w:rsidP="00594EA1">
            <w:pPr>
              <w:widowControl w:val="0"/>
              <w:rPr>
                <w:rFonts w:ascii="Cambria" w:hAnsi="Cambria"/>
                <w:b/>
                <w:sz w:val="20"/>
                <w:szCs w:val="20"/>
              </w:rPr>
            </w:pPr>
            <w:r w:rsidRPr="004E13E9">
              <w:rPr>
                <w:rFonts w:ascii="Cambria" w:hAnsi="Cambria"/>
                <w:b/>
                <w:sz w:val="20"/>
                <w:szCs w:val="20"/>
              </w:rPr>
              <w:t>(paragraphes 101-107)</w:t>
            </w:r>
          </w:p>
        </w:tc>
        <w:tc>
          <w:tcPr>
            <w:tcW w:w="2965" w:type="dxa"/>
          </w:tcPr>
          <w:p w14:paraId="2A6458B2" w14:textId="77777777" w:rsidR="00594EA1" w:rsidRPr="004E13E9" w:rsidRDefault="00594EA1" w:rsidP="006A3862">
            <w:pPr>
              <w:widowControl w:val="0"/>
              <w:jc w:val="both"/>
              <w:rPr>
                <w:rFonts w:ascii="Cambria" w:eastAsia="PMingLiU" w:hAnsi="Cambria"/>
                <w:sz w:val="20"/>
                <w:szCs w:val="20"/>
              </w:rPr>
            </w:pPr>
            <w:r w:rsidRPr="004E13E9">
              <w:rPr>
                <w:rFonts w:ascii="Cambria" w:hAnsi="Cambria"/>
                <w:sz w:val="20"/>
                <w:szCs w:val="20"/>
              </w:rPr>
              <w:t>Non applicable, car le Taipei chinois n'exploite pas de senneurs et ne pratique pas l'élevage dans la pêcherie de thon rouge dans la zone de la Convention de l’ICCAT.</w:t>
            </w:r>
          </w:p>
        </w:tc>
        <w:tc>
          <w:tcPr>
            <w:tcW w:w="1985" w:type="dxa"/>
          </w:tcPr>
          <w:p w14:paraId="66AB7D3A" w14:textId="77777777" w:rsidR="00594EA1" w:rsidRPr="004E13E9" w:rsidRDefault="00594EA1" w:rsidP="006A3862">
            <w:pPr>
              <w:widowControl w:val="0"/>
              <w:jc w:val="both"/>
              <w:rPr>
                <w:rFonts w:ascii="Cambria" w:eastAsia="PMingLiU" w:hAnsi="Cambria"/>
                <w:sz w:val="20"/>
                <w:szCs w:val="20"/>
              </w:rPr>
            </w:pPr>
            <w:r w:rsidRPr="004E13E9">
              <w:rPr>
                <w:rFonts w:ascii="Cambria" w:hAnsi="Cambria"/>
                <w:sz w:val="20"/>
                <w:szCs w:val="20"/>
              </w:rPr>
              <w:t>N/A</w:t>
            </w:r>
          </w:p>
        </w:tc>
        <w:tc>
          <w:tcPr>
            <w:tcW w:w="1268" w:type="dxa"/>
          </w:tcPr>
          <w:p w14:paraId="5BF00EBB" w14:textId="77777777" w:rsidR="00594EA1" w:rsidRPr="004E13E9" w:rsidRDefault="00594EA1" w:rsidP="00594EA1">
            <w:pPr>
              <w:widowControl w:val="0"/>
              <w:rPr>
                <w:rFonts w:ascii="Cambria" w:hAnsi="Cambria"/>
                <w:sz w:val="20"/>
                <w:szCs w:val="20"/>
              </w:rPr>
            </w:pPr>
          </w:p>
        </w:tc>
      </w:tr>
      <w:tr w:rsidR="0063524B" w:rsidRPr="004E13E9" w14:paraId="2E4FE8FE" w14:textId="77777777" w:rsidTr="0063524B">
        <w:tc>
          <w:tcPr>
            <w:tcW w:w="454" w:type="dxa"/>
          </w:tcPr>
          <w:p w14:paraId="6A9D28AC" w14:textId="77777777" w:rsidR="00594EA1" w:rsidRPr="004E13E9" w:rsidRDefault="00594EA1" w:rsidP="00594EA1">
            <w:pPr>
              <w:widowControl w:val="0"/>
              <w:rPr>
                <w:rFonts w:ascii="Cambria" w:hAnsi="Cambria"/>
                <w:b/>
                <w:bCs/>
                <w:iCs/>
                <w:sz w:val="20"/>
                <w:szCs w:val="20"/>
              </w:rPr>
            </w:pPr>
            <w:r w:rsidRPr="004E13E9">
              <w:rPr>
                <w:rFonts w:ascii="Cambria" w:hAnsi="Cambria"/>
                <w:b/>
                <w:sz w:val="20"/>
                <w:szCs w:val="20"/>
              </w:rPr>
              <w:t>10</w:t>
            </w:r>
          </w:p>
        </w:tc>
        <w:tc>
          <w:tcPr>
            <w:tcW w:w="2388" w:type="dxa"/>
          </w:tcPr>
          <w:p w14:paraId="2A2E2FBE" w14:textId="77777777" w:rsidR="00594EA1" w:rsidRPr="004E13E9" w:rsidRDefault="00594EA1" w:rsidP="00594EA1">
            <w:pPr>
              <w:widowControl w:val="0"/>
              <w:rPr>
                <w:rFonts w:ascii="Cambria" w:hAnsi="Cambria"/>
                <w:b/>
                <w:bCs/>
                <w:iCs/>
                <w:sz w:val="20"/>
                <w:szCs w:val="20"/>
              </w:rPr>
            </w:pPr>
            <w:r w:rsidRPr="004E13E9">
              <w:rPr>
                <w:rFonts w:ascii="Cambria" w:hAnsi="Cambria"/>
                <w:b/>
                <w:sz w:val="20"/>
                <w:szCs w:val="20"/>
              </w:rPr>
              <w:t>Législation nationale</w:t>
            </w:r>
          </w:p>
        </w:tc>
        <w:tc>
          <w:tcPr>
            <w:tcW w:w="2965" w:type="dxa"/>
          </w:tcPr>
          <w:p w14:paraId="48EA5D05" w14:textId="77777777" w:rsidR="00594EA1" w:rsidRPr="004E13E9" w:rsidRDefault="00594EA1" w:rsidP="006A3862">
            <w:pPr>
              <w:widowControl w:val="0"/>
              <w:jc w:val="both"/>
              <w:rPr>
                <w:rFonts w:ascii="Cambria" w:eastAsia="PMingLiU" w:hAnsi="Cambria"/>
                <w:sz w:val="20"/>
                <w:szCs w:val="20"/>
              </w:rPr>
            </w:pPr>
            <w:r w:rsidRPr="004E13E9">
              <w:rPr>
                <w:rFonts w:ascii="Cambria" w:hAnsi="Cambria"/>
                <w:sz w:val="20"/>
                <w:szCs w:val="20"/>
              </w:rPr>
              <w:t xml:space="preserve">La TFA a transposé les recommandations pertinentes de l’ICCAT, y compris les mesures applicables au thon rouge de l’Est, dans la réglementation nationale.  </w:t>
            </w:r>
          </w:p>
        </w:tc>
        <w:tc>
          <w:tcPr>
            <w:tcW w:w="1985" w:type="dxa"/>
          </w:tcPr>
          <w:p w14:paraId="61FF7037" w14:textId="77777777" w:rsidR="00594EA1" w:rsidRPr="004E13E9" w:rsidRDefault="00594EA1" w:rsidP="006A3862">
            <w:pPr>
              <w:widowControl w:val="0"/>
              <w:jc w:val="both"/>
              <w:rPr>
                <w:rFonts w:ascii="Cambria" w:eastAsia="PMingLiU" w:hAnsi="Cambria"/>
                <w:sz w:val="20"/>
                <w:szCs w:val="20"/>
              </w:rPr>
            </w:pPr>
            <w:r w:rsidRPr="004E13E9">
              <w:rPr>
                <w:rFonts w:ascii="Cambria" w:hAnsi="Cambria"/>
                <w:sz w:val="20"/>
                <w:szCs w:val="20"/>
              </w:rPr>
              <w:t xml:space="preserve">Les Règlements de l'Atlantique </w:t>
            </w:r>
          </w:p>
        </w:tc>
        <w:tc>
          <w:tcPr>
            <w:tcW w:w="1268" w:type="dxa"/>
          </w:tcPr>
          <w:p w14:paraId="1F80E14C" w14:textId="77777777" w:rsidR="00594EA1" w:rsidRPr="004E13E9" w:rsidRDefault="00594EA1" w:rsidP="00594EA1">
            <w:pPr>
              <w:widowControl w:val="0"/>
              <w:rPr>
                <w:rFonts w:ascii="Cambria" w:hAnsi="Cambria"/>
                <w:sz w:val="20"/>
                <w:szCs w:val="20"/>
              </w:rPr>
            </w:pPr>
          </w:p>
        </w:tc>
      </w:tr>
      <w:tr w:rsidR="0063524B" w:rsidRPr="004E13E9" w14:paraId="57427361" w14:textId="77777777" w:rsidTr="0063524B">
        <w:tc>
          <w:tcPr>
            <w:tcW w:w="454" w:type="dxa"/>
          </w:tcPr>
          <w:p w14:paraId="4AAA1D95" w14:textId="77777777" w:rsidR="00594EA1" w:rsidRPr="004E13E9" w:rsidRDefault="00594EA1" w:rsidP="00594EA1">
            <w:pPr>
              <w:widowControl w:val="0"/>
              <w:rPr>
                <w:rFonts w:ascii="Cambria" w:hAnsi="Cambria"/>
                <w:i/>
                <w:sz w:val="20"/>
                <w:szCs w:val="20"/>
              </w:rPr>
            </w:pPr>
          </w:p>
        </w:tc>
        <w:tc>
          <w:tcPr>
            <w:tcW w:w="2388" w:type="dxa"/>
          </w:tcPr>
          <w:p w14:paraId="7B3DB7A4" w14:textId="77777777" w:rsidR="00594EA1" w:rsidRPr="004E13E9" w:rsidRDefault="00594EA1" w:rsidP="00594EA1">
            <w:pPr>
              <w:widowControl w:val="0"/>
              <w:rPr>
                <w:rFonts w:ascii="Cambria" w:hAnsi="Cambria"/>
                <w:i/>
                <w:sz w:val="20"/>
                <w:szCs w:val="20"/>
              </w:rPr>
            </w:pPr>
            <w:r w:rsidRPr="004E13E9">
              <w:rPr>
                <w:rFonts w:ascii="Cambria" w:hAnsi="Cambria"/>
                <w:i/>
                <w:sz w:val="20"/>
                <w:szCs w:val="20"/>
              </w:rPr>
              <w:t>Autres exigences, telles que :programme de marquage (paragr. 44), etc.</w:t>
            </w:r>
          </w:p>
        </w:tc>
        <w:tc>
          <w:tcPr>
            <w:tcW w:w="2965" w:type="dxa"/>
          </w:tcPr>
          <w:p w14:paraId="09BAF89B" w14:textId="77777777" w:rsidR="00594EA1" w:rsidRPr="004E13E9" w:rsidRDefault="00594EA1" w:rsidP="006A3862">
            <w:pPr>
              <w:widowControl w:val="0"/>
              <w:jc w:val="both"/>
              <w:rPr>
                <w:rFonts w:ascii="Cambria" w:hAnsi="Cambria"/>
                <w:sz w:val="20"/>
                <w:szCs w:val="20"/>
              </w:rPr>
            </w:pPr>
          </w:p>
        </w:tc>
        <w:tc>
          <w:tcPr>
            <w:tcW w:w="1985" w:type="dxa"/>
          </w:tcPr>
          <w:p w14:paraId="64E006AE" w14:textId="77777777" w:rsidR="00594EA1" w:rsidRPr="004E13E9" w:rsidRDefault="00594EA1" w:rsidP="006A3862">
            <w:pPr>
              <w:widowControl w:val="0"/>
              <w:jc w:val="both"/>
              <w:rPr>
                <w:rFonts w:ascii="Cambria" w:hAnsi="Cambria"/>
                <w:sz w:val="20"/>
                <w:szCs w:val="20"/>
              </w:rPr>
            </w:pPr>
          </w:p>
        </w:tc>
        <w:tc>
          <w:tcPr>
            <w:tcW w:w="1268" w:type="dxa"/>
          </w:tcPr>
          <w:p w14:paraId="016D4025" w14:textId="77777777" w:rsidR="00594EA1" w:rsidRPr="004E13E9" w:rsidRDefault="00594EA1" w:rsidP="00594EA1">
            <w:pPr>
              <w:widowControl w:val="0"/>
              <w:rPr>
                <w:rFonts w:ascii="Cambria" w:hAnsi="Cambria"/>
                <w:sz w:val="20"/>
                <w:szCs w:val="20"/>
              </w:rPr>
            </w:pPr>
          </w:p>
        </w:tc>
      </w:tr>
    </w:tbl>
    <w:p w14:paraId="2B5122F6" w14:textId="77777777" w:rsidR="00594EA1" w:rsidRPr="004E13E9" w:rsidRDefault="00594EA1" w:rsidP="00594EA1">
      <w:pPr>
        <w:widowControl w:val="0"/>
        <w:rPr>
          <w:rFonts w:eastAsia="MS Gothic" w:cs="Times New Roman"/>
          <w:lang w:val="fr-FR" w:eastAsia="fr-FR" w:bidi="fr-FR"/>
        </w:rPr>
      </w:pPr>
    </w:p>
    <w:p w14:paraId="257AA94E" w14:textId="77777777" w:rsidR="0063524B" w:rsidRPr="004E13E9" w:rsidRDefault="0063524B">
      <w:pPr>
        <w:rPr>
          <w:rFonts w:eastAsia="MS Gothic" w:cs="Times New Roman"/>
          <w:b/>
          <w:i/>
          <w:lang w:val="fr-FR" w:eastAsia="fr-FR" w:bidi="fr-FR"/>
        </w:rPr>
      </w:pPr>
      <w:r w:rsidRPr="004E13E9">
        <w:rPr>
          <w:rFonts w:eastAsia="MS Gothic" w:cs="Times New Roman"/>
          <w:b/>
          <w:i/>
          <w:lang w:val="fr-FR" w:eastAsia="fr-FR" w:bidi="fr-FR"/>
        </w:rPr>
        <w:br w:type="page"/>
      </w:r>
    </w:p>
    <w:p w14:paraId="62B70AB0" w14:textId="17F1774E" w:rsidR="00594EA1" w:rsidRPr="004E13E9" w:rsidRDefault="00594EA1" w:rsidP="00594EA1">
      <w:pPr>
        <w:widowControl w:val="0"/>
        <w:rPr>
          <w:rFonts w:eastAsia="MS Gothic" w:cs="Times New Roman"/>
          <w:b/>
          <w:i/>
          <w:iCs/>
          <w:lang w:val="fr-FR" w:eastAsia="fr-FR" w:bidi="fr-FR"/>
        </w:rPr>
      </w:pPr>
      <w:r w:rsidRPr="004E13E9">
        <w:rPr>
          <w:rFonts w:eastAsia="MS Gothic" w:cs="Times New Roman"/>
          <w:b/>
          <w:i/>
          <w:lang w:val="fr-FR" w:eastAsia="fr-FR" w:bidi="fr-FR"/>
        </w:rPr>
        <w:t xml:space="preserve">1e) Ports désignés (paragr. 80) </w:t>
      </w:r>
    </w:p>
    <w:p w14:paraId="2321DB2E" w14:textId="77777777" w:rsidR="00594EA1" w:rsidRPr="004E13E9" w:rsidRDefault="00594EA1" w:rsidP="00594EA1">
      <w:pPr>
        <w:widowControl w:val="0"/>
        <w:rPr>
          <w:rFonts w:eastAsia="MS Gothic" w:cs="Times New Roman"/>
          <w:bCs/>
          <w:lang w:val="fr-FR" w:eastAsia="ja-JP" w:bidi="fr-FR"/>
        </w:rPr>
      </w:pPr>
    </w:p>
    <w:p w14:paraId="64E233FF" w14:textId="77777777" w:rsidR="00594EA1" w:rsidRPr="004E13E9" w:rsidRDefault="00594EA1" w:rsidP="00594EA1">
      <w:pPr>
        <w:widowControl w:val="0"/>
        <w:rPr>
          <w:rFonts w:eastAsia="PMingLiU" w:cs="Times New Roman"/>
          <w:bCs/>
          <w:lang w:val="fr-FR" w:eastAsia="fr-FR" w:bidi="fr-FR"/>
        </w:rPr>
      </w:pPr>
      <w:r w:rsidRPr="004E13E9">
        <w:rPr>
          <w:rFonts w:eastAsia="MS Gothic" w:cs="Times New Roman"/>
          <w:lang w:val="fr-FR" w:eastAsia="fr-FR" w:bidi="fr-FR"/>
        </w:rPr>
        <w:t xml:space="preserve">Le port national de transbordement et de débarquement est le port de pêche de </w:t>
      </w:r>
      <w:proofErr w:type="spellStart"/>
      <w:r w:rsidRPr="004E13E9">
        <w:rPr>
          <w:rFonts w:eastAsia="MS Gothic" w:cs="Times New Roman"/>
          <w:lang w:val="fr-FR" w:eastAsia="fr-FR" w:bidi="fr-FR"/>
        </w:rPr>
        <w:t>Chienchen</w:t>
      </w:r>
      <w:proofErr w:type="spellEnd"/>
      <w:r w:rsidRPr="004E13E9">
        <w:rPr>
          <w:rFonts w:eastAsia="MS Gothic" w:cs="Times New Roman"/>
          <w:lang w:val="fr-FR" w:eastAsia="fr-FR" w:bidi="fr-FR"/>
        </w:rPr>
        <w:t xml:space="preserve">. Les ports tiers de transbordement et de débarquement sont le port de </w:t>
      </w:r>
      <w:proofErr w:type="spellStart"/>
      <w:r w:rsidRPr="004E13E9">
        <w:rPr>
          <w:rFonts w:eastAsia="MS Gothic" w:cs="Times New Roman"/>
          <w:lang w:val="fr-FR" w:eastAsia="fr-FR" w:bidi="fr-FR"/>
        </w:rPr>
        <w:t>Mindelo</w:t>
      </w:r>
      <w:proofErr w:type="spellEnd"/>
      <w:r w:rsidRPr="004E13E9">
        <w:rPr>
          <w:rFonts w:eastAsia="MS Gothic" w:cs="Times New Roman"/>
          <w:lang w:val="fr-FR" w:eastAsia="fr-FR" w:bidi="fr-FR"/>
        </w:rPr>
        <w:t xml:space="preserve"> (Cabo Verde) et le port de Las Palmas (Espagne).   </w:t>
      </w:r>
    </w:p>
    <w:p w14:paraId="54F1B7FE" w14:textId="77777777" w:rsidR="00594EA1" w:rsidRPr="004E13E9" w:rsidRDefault="00594EA1" w:rsidP="00594EA1">
      <w:pPr>
        <w:widowControl w:val="0"/>
        <w:rPr>
          <w:rFonts w:eastAsia="MS Gothic" w:cs="Times New Roman"/>
          <w:b/>
          <w:lang w:val="fr-FR" w:eastAsia="ja-JP" w:bidi="fr-FR"/>
        </w:rPr>
      </w:pPr>
    </w:p>
    <w:p w14:paraId="582C7CDD" w14:textId="77777777" w:rsidR="00594EA1" w:rsidRPr="004E13E9" w:rsidRDefault="00594EA1" w:rsidP="00594EA1">
      <w:pPr>
        <w:widowControl w:val="0"/>
        <w:rPr>
          <w:rFonts w:eastAsia="MS Gothic" w:cs="Times New Roman"/>
          <w:b/>
          <w:lang w:val="fr-FR" w:eastAsia="ja-JP" w:bidi="fr-FR"/>
        </w:rPr>
      </w:pPr>
    </w:p>
    <w:p w14:paraId="3DBF1236" w14:textId="77777777" w:rsidR="00594EA1" w:rsidRPr="004E13E9" w:rsidRDefault="00594EA1" w:rsidP="00594EA1">
      <w:pPr>
        <w:widowControl w:val="0"/>
        <w:tabs>
          <w:tab w:val="left" w:pos="426"/>
        </w:tabs>
        <w:ind w:left="426" w:hanging="426"/>
        <w:jc w:val="both"/>
        <w:rPr>
          <w:rFonts w:eastAsia="MS Gothic" w:cs="Times New Roman"/>
          <w:b/>
          <w:lang w:val="fr-FR" w:eastAsia="fr-FR" w:bidi="fr-FR"/>
        </w:rPr>
      </w:pPr>
      <w:r w:rsidRPr="004E13E9">
        <w:rPr>
          <w:rFonts w:eastAsia="MS Gothic" w:cs="Times New Roman"/>
          <w:b/>
          <w:lang w:val="fr-FR" w:eastAsia="fr-FR" w:bidi="fr-FR"/>
        </w:rPr>
        <w:t>2.</w:t>
      </w:r>
      <w:r w:rsidRPr="004E13E9">
        <w:rPr>
          <w:rFonts w:eastAsia="MS Gothic" w:cs="Times New Roman"/>
          <w:b/>
          <w:lang w:val="fr-FR" w:eastAsia="fr-FR" w:bidi="fr-FR"/>
        </w:rPr>
        <w:tab/>
        <w:t>Plan annuel de gestion de la capacité de pêche (paragr. 14-21)</w:t>
      </w:r>
    </w:p>
    <w:p w14:paraId="662A78FB" w14:textId="77777777" w:rsidR="00594EA1" w:rsidRPr="004E13E9" w:rsidRDefault="00594EA1" w:rsidP="00594EA1">
      <w:pPr>
        <w:widowControl w:val="0"/>
        <w:rPr>
          <w:rFonts w:eastAsia="MS Gothic" w:cs="Times New Roman"/>
          <w:b/>
          <w:lang w:val="fr-FR" w:eastAsia="fr-FR" w:bidi="fr-FR"/>
        </w:rPr>
      </w:pPr>
    </w:p>
    <w:p w14:paraId="06702D73" w14:textId="77777777" w:rsidR="00594EA1" w:rsidRPr="004E13E9" w:rsidRDefault="00594EA1" w:rsidP="00594EA1">
      <w:pPr>
        <w:widowControl w:val="0"/>
        <w:jc w:val="both"/>
        <w:rPr>
          <w:rFonts w:eastAsia="PMingLiU" w:cs="Times New Roman"/>
          <w:iCs/>
          <w:lang w:val="fr-FR" w:eastAsia="fr-FR" w:bidi="fr-FR"/>
        </w:rPr>
      </w:pPr>
      <w:r w:rsidRPr="004E13E9">
        <w:rPr>
          <w:rFonts w:eastAsia="MS Gothic" w:cs="Times New Roman"/>
          <w:lang w:val="fr-FR" w:eastAsia="fr-FR" w:bidi="fr-FR"/>
        </w:rPr>
        <w:t xml:space="preserve">Un palangrier est autorisé à pêcher le thon rouge de l’Est. Voir le tableau de la capacité pour plus de détails. </w:t>
      </w:r>
    </w:p>
    <w:p w14:paraId="188C3659" w14:textId="77777777" w:rsidR="00594EA1" w:rsidRPr="004E13E9" w:rsidRDefault="00594EA1" w:rsidP="00594EA1">
      <w:pPr>
        <w:widowControl w:val="0"/>
        <w:jc w:val="both"/>
        <w:rPr>
          <w:rFonts w:eastAsia="PMingLiU" w:cs="Times New Roman"/>
          <w:i/>
          <w:lang w:val="fr-FR" w:eastAsia="zh-TW" w:bidi="fr-FR"/>
        </w:rPr>
      </w:pPr>
    </w:p>
    <w:p w14:paraId="560DB631" w14:textId="77777777" w:rsidR="00594EA1" w:rsidRPr="004E13E9" w:rsidRDefault="00594EA1" w:rsidP="00594EA1">
      <w:pPr>
        <w:widowControl w:val="0"/>
        <w:jc w:val="both"/>
        <w:rPr>
          <w:rFonts w:eastAsia="PMingLiU" w:cs="Times New Roman"/>
          <w:i/>
          <w:lang w:val="fr-FR" w:eastAsia="zh-TW" w:bidi="fr-FR"/>
        </w:rPr>
      </w:pPr>
    </w:p>
    <w:p w14:paraId="6713690A" w14:textId="77777777" w:rsidR="00594EA1" w:rsidRPr="004E13E9" w:rsidRDefault="00594EA1" w:rsidP="00594EA1">
      <w:pPr>
        <w:widowControl w:val="0"/>
        <w:tabs>
          <w:tab w:val="left" w:pos="426"/>
        </w:tabs>
        <w:ind w:left="426" w:hanging="426"/>
        <w:jc w:val="both"/>
        <w:rPr>
          <w:rFonts w:eastAsia="MS Gothic" w:cs="Times New Roman"/>
          <w:b/>
          <w:lang w:val="fr-FR" w:eastAsia="fr-FR" w:bidi="fr-FR"/>
        </w:rPr>
      </w:pPr>
      <w:r w:rsidRPr="004E13E9">
        <w:rPr>
          <w:rFonts w:eastAsia="MS Gothic" w:cs="Times New Roman"/>
          <w:b/>
          <w:lang w:val="fr-FR" w:eastAsia="fr-FR" w:bidi="fr-FR"/>
        </w:rPr>
        <w:t>3.</w:t>
      </w:r>
      <w:r w:rsidRPr="004E13E9">
        <w:rPr>
          <w:rFonts w:eastAsia="MS Gothic" w:cs="Times New Roman"/>
          <w:b/>
          <w:lang w:val="fr-FR" w:eastAsia="fr-FR" w:bidi="fr-FR"/>
        </w:rPr>
        <w:tab/>
        <w:t>Plan annuel de gestion de l’élevage (paragr. 22-23), le cas échéant</w:t>
      </w:r>
    </w:p>
    <w:p w14:paraId="6EB18C68" w14:textId="77777777" w:rsidR="00594EA1" w:rsidRPr="004E13E9" w:rsidRDefault="00594EA1" w:rsidP="00594EA1">
      <w:pPr>
        <w:widowControl w:val="0"/>
        <w:jc w:val="both"/>
        <w:rPr>
          <w:rFonts w:eastAsia="MS Gothic" w:cs="Times New Roman"/>
          <w:b/>
          <w:lang w:val="fr-FR" w:eastAsia="fr-FR" w:bidi="fr-FR"/>
        </w:rPr>
      </w:pPr>
    </w:p>
    <w:p w14:paraId="2C646193" w14:textId="77777777" w:rsidR="00594EA1" w:rsidRPr="004E13E9" w:rsidRDefault="00594EA1" w:rsidP="00594EA1">
      <w:pPr>
        <w:widowControl w:val="0"/>
        <w:jc w:val="both"/>
        <w:rPr>
          <w:rFonts w:eastAsia="PMingLiU" w:cs="Times New Roman"/>
          <w:lang w:val="fr-FR" w:eastAsia="fr-FR" w:bidi="fr-FR"/>
        </w:rPr>
      </w:pPr>
      <w:r w:rsidRPr="004E13E9">
        <w:rPr>
          <w:rFonts w:eastAsia="MS Gothic" w:cs="Times New Roman"/>
          <w:lang w:val="fr-FR" w:eastAsia="fr-FR" w:bidi="fr-FR"/>
        </w:rPr>
        <w:t xml:space="preserve">Non applicable. </w:t>
      </w:r>
    </w:p>
    <w:p w14:paraId="22001E8B" w14:textId="77777777" w:rsidR="00594EA1" w:rsidRPr="004E13E9" w:rsidRDefault="00594EA1" w:rsidP="00594EA1">
      <w:pPr>
        <w:widowControl w:val="0"/>
        <w:jc w:val="both"/>
        <w:rPr>
          <w:rFonts w:eastAsia="MS Gothic" w:cs="Times New Roman"/>
          <w:lang w:val="fr-FR" w:eastAsia="fr-FR" w:bidi="fr-FR"/>
        </w:rPr>
      </w:pPr>
    </w:p>
    <w:p w14:paraId="79A081AD" w14:textId="77777777" w:rsidR="00594EA1" w:rsidRPr="004E13E9" w:rsidRDefault="00594EA1" w:rsidP="00594EA1">
      <w:pPr>
        <w:widowControl w:val="0"/>
        <w:jc w:val="both"/>
        <w:rPr>
          <w:rFonts w:eastAsia="MS Gothic" w:cs="Times New Roman"/>
          <w:lang w:val="fr-FR" w:eastAsia="fr-FR" w:bidi="fr-FR"/>
        </w:rPr>
      </w:pPr>
    </w:p>
    <w:p w14:paraId="1D9BB91E" w14:textId="77777777" w:rsidR="00594EA1" w:rsidRPr="004E13E9" w:rsidRDefault="00594EA1" w:rsidP="00487A5C">
      <w:pPr>
        <w:widowControl w:val="0"/>
        <w:numPr>
          <w:ilvl w:val="0"/>
          <w:numId w:val="55"/>
        </w:numPr>
        <w:tabs>
          <w:tab w:val="left" w:pos="426"/>
        </w:tabs>
        <w:contextualSpacing/>
        <w:jc w:val="both"/>
        <w:rPr>
          <w:rFonts w:eastAsia="MS Gothic" w:cs="Times New Roman"/>
          <w:b/>
          <w:lang w:val="fr-FR" w:eastAsia="fr-FR" w:bidi="fr-FR"/>
        </w:rPr>
      </w:pPr>
      <w:r w:rsidRPr="004E13E9">
        <w:rPr>
          <w:rFonts w:eastAsia="MS Gothic" w:cs="Times New Roman"/>
          <w:b/>
          <w:bCs/>
          <w:color w:val="000000"/>
          <w:lang w:val="fr-FR" w:eastAsia="fr-FR" w:bidi="fr-FR"/>
        </w:rPr>
        <w:t xml:space="preserve">Plan annuel d’aquaculture (paragraphe 10 e de la </w:t>
      </w:r>
      <w:hyperlink r:id="rId216" w:history="1">
        <w:r w:rsidRPr="004E13E9">
          <w:rPr>
            <w:rFonts w:eastAsia="MS Gothic" w:cs="Times New Roman"/>
            <w:b/>
            <w:color w:val="0563C1"/>
            <w:lang w:val="fr-FR" w:eastAsia="fr-FR" w:bidi="fr-FR"/>
          </w:rPr>
          <w:t>Rec. 25-04</w:t>
        </w:r>
      </w:hyperlink>
      <w:r w:rsidRPr="004E13E9">
        <w:rPr>
          <w:rFonts w:eastAsia="MS Gothic" w:cs="Times New Roman"/>
          <w:b/>
          <w:bCs/>
          <w:lang w:val="fr-FR" w:eastAsia="fr-FR" w:bidi="fr-FR"/>
        </w:rPr>
        <w:t xml:space="preserve"> </w:t>
      </w:r>
      <w:r w:rsidRPr="004E13E9">
        <w:rPr>
          <w:rFonts w:eastAsia="MS Gothic" w:cs="Times New Roman"/>
          <w:b/>
          <w:bCs/>
          <w:color w:val="000000"/>
          <w:lang w:val="fr-FR" w:eastAsia="fr-FR" w:bidi="fr-FR"/>
        </w:rPr>
        <w:t xml:space="preserve"> conformément à la </w:t>
      </w:r>
      <w:hyperlink r:id="rId217" w:history="1">
        <w:r w:rsidRPr="004E13E9">
          <w:rPr>
            <w:rFonts w:eastAsia="MS Gothic" w:cs="Times New Roman"/>
            <w:b/>
            <w:color w:val="0563C1"/>
            <w:lang w:val="fr-FR" w:eastAsia="fr-FR" w:bidi="fr-FR"/>
          </w:rPr>
          <w:t>Rec.</w:t>
        </w:r>
        <w:r w:rsidRPr="004E13E9">
          <w:rPr>
            <w:rFonts w:eastAsia="MS Gothic" w:cs="Times New Roman"/>
            <w:b/>
            <w:bCs/>
            <w:color w:val="0563C1"/>
            <w:lang w:val="fr-FR" w:eastAsia="fr-FR" w:bidi="fr-FR"/>
          </w:rPr>
          <w:t xml:space="preserve"> 24-07</w:t>
        </w:r>
      </w:hyperlink>
      <w:r w:rsidRPr="004E13E9">
        <w:rPr>
          <w:rFonts w:eastAsia="MS Gothic" w:cs="Times New Roman"/>
          <w:b/>
          <w:bCs/>
          <w:lang w:val="fr-FR" w:eastAsia="fr-FR" w:bidi="fr-FR"/>
        </w:rPr>
        <w:t>), le cas é</w:t>
      </w:r>
      <w:r w:rsidRPr="004E13E9">
        <w:rPr>
          <w:rFonts w:eastAsia="MS Gothic" w:cs="Times New Roman"/>
          <w:b/>
          <w:lang w:val="fr-FR" w:eastAsia="fr-FR" w:bidi="fr-FR"/>
        </w:rPr>
        <w:t>chéant</w:t>
      </w:r>
    </w:p>
    <w:p w14:paraId="7A1983B2" w14:textId="77777777" w:rsidR="00594EA1" w:rsidRPr="004E13E9" w:rsidRDefault="00594EA1" w:rsidP="00594EA1">
      <w:pPr>
        <w:widowControl w:val="0"/>
        <w:jc w:val="both"/>
        <w:rPr>
          <w:rFonts w:eastAsia="MS Gothic" w:cs="Times New Roman"/>
          <w:b/>
          <w:lang w:val="fr-FR" w:eastAsia="fr-FR" w:bidi="fr-FR"/>
        </w:rPr>
      </w:pPr>
    </w:p>
    <w:p w14:paraId="3FDE2EA9" w14:textId="77777777" w:rsidR="00594EA1" w:rsidRPr="004E13E9" w:rsidRDefault="00594EA1" w:rsidP="00594EA1">
      <w:pPr>
        <w:widowControl w:val="0"/>
        <w:jc w:val="both"/>
        <w:rPr>
          <w:rFonts w:eastAsia="PMingLiU" w:cs="Times New Roman"/>
          <w:lang w:val="fr-FR" w:eastAsia="fr-FR" w:bidi="fr-FR"/>
        </w:rPr>
      </w:pPr>
      <w:r w:rsidRPr="004E13E9">
        <w:rPr>
          <w:rFonts w:eastAsia="MS Gothic" w:cs="Times New Roman"/>
          <w:lang w:val="fr-FR" w:eastAsia="fr-FR" w:bidi="fr-FR"/>
        </w:rPr>
        <w:t>Non applicable.</w:t>
      </w:r>
    </w:p>
    <w:p w14:paraId="243DAD1F" w14:textId="50D0B220" w:rsidR="00594EA1" w:rsidRPr="004E13E9" w:rsidRDefault="00594EA1" w:rsidP="00594EA1">
      <w:pPr>
        <w:rPr>
          <w:rFonts w:eastAsia="MS Gothic" w:cs="Times New Roman"/>
          <w:i/>
          <w:iCs/>
          <w:lang w:val="fr-FR" w:eastAsia="fr-FR" w:bidi="fr-FR"/>
        </w:rPr>
      </w:pPr>
    </w:p>
    <w:p w14:paraId="6414BC5C" w14:textId="77777777" w:rsidR="0063524B" w:rsidRPr="004E13E9" w:rsidRDefault="0063524B" w:rsidP="00594EA1">
      <w:pPr>
        <w:rPr>
          <w:rFonts w:eastAsia="MS Gothic" w:cs="Times New Roman"/>
          <w:i/>
          <w:iCs/>
          <w:lang w:val="fr-FR" w:eastAsia="fr-FR" w:bidi="fr-FR"/>
        </w:rPr>
      </w:pPr>
    </w:p>
    <w:p w14:paraId="6D27558D" w14:textId="77777777" w:rsidR="00594EA1" w:rsidRPr="004E13E9" w:rsidRDefault="00594EA1" w:rsidP="00594EA1">
      <w:pPr>
        <w:widowControl w:val="0"/>
        <w:tabs>
          <w:tab w:val="left" w:pos="426"/>
        </w:tabs>
        <w:rPr>
          <w:rFonts w:eastAsia="MS Gothic" w:cs="Times New Roman"/>
          <w:b/>
          <w:lang w:val="fr-FR" w:eastAsia="fr-FR" w:bidi="fr-FR"/>
        </w:rPr>
      </w:pPr>
      <w:r w:rsidRPr="004E13E9">
        <w:rPr>
          <w:rFonts w:eastAsia="MS Gothic" w:cs="Times New Roman"/>
          <w:b/>
          <w:lang w:val="fr-FR" w:eastAsia="fr-FR" w:bidi="fr-FR"/>
        </w:rPr>
        <w:t xml:space="preserve">5. </w:t>
      </w:r>
      <w:r w:rsidRPr="004E13E9">
        <w:rPr>
          <w:rFonts w:eastAsia="MS Gothic" w:cs="Times New Roman"/>
          <w:b/>
          <w:lang w:val="fr-FR" w:eastAsia="fr-FR" w:bidi="fr-FR"/>
        </w:rPr>
        <w:tab/>
        <w:t>Plan de suivi, contrôle et inspection</w:t>
      </w:r>
    </w:p>
    <w:p w14:paraId="1909F384" w14:textId="77777777" w:rsidR="00594EA1" w:rsidRPr="004E13E9" w:rsidRDefault="00594EA1" w:rsidP="00594EA1">
      <w:pPr>
        <w:widowControl w:val="0"/>
        <w:rPr>
          <w:rFonts w:eastAsia="MS Gothic" w:cs="Times New Roman"/>
          <w:b/>
          <w:lang w:val="fr-FR" w:eastAsia="fr-FR" w:bidi="fr-FR"/>
        </w:rPr>
      </w:pPr>
    </w:p>
    <w:p w14:paraId="2DCFDB02" w14:textId="77777777" w:rsidR="00594EA1" w:rsidRPr="004E13E9" w:rsidRDefault="00594EA1" w:rsidP="00594EA1">
      <w:pPr>
        <w:widowControl w:val="0"/>
        <w:rPr>
          <w:rFonts w:eastAsia="MS Gothic" w:cs="Times New Roman"/>
          <w:b/>
          <w:i/>
          <w:iCs/>
          <w:lang w:val="fr-FR" w:eastAsia="fr-FR" w:bidi="fr-FR"/>
        </w:rPr>
      </w:pPr>
      <w:r w:rsidRPr="004E13E9">
        <w:rPr>
          <w:rFonts w:eastAsia="MS Gothic" w:cs="Times New Roman"/>
          <w:b/>
          <w:i/>
          <w:lang w:val="fr-FR" w:eastAsia="fr-FR" w:bidi="fr-FR"/>
        </w:rPr>
        <w:t>5a) Suivi, contrôle et inspection de la CPC (paragraphe 10 c)</w:t>
      </w:r>
    </w:p>
    <w:p w14:paraId="1A119D37" w14:textId="77777777" w:rsidR="00594EA1" w:rsidRPr="004E13E9" w:rsidRDefault="00594EA1" w:rsidP="00594EA1">
      <w:pPr>
        <w:widowControl w:val="0"/>
        <w:rPr>
          <w:rFonts w:eastAsia="MS Gothic" w:cs="Times New Roman"/>
          <w:lang w:val="fr-FR" w:eastAsia="fr-FR" w:bidi="fr-FR"/>
        </w:rPr>
      </w:pPr>
    </w:p>
    <w:p w14:paraId="30C91761" w14:textId="77777777" w:rsidR="00594EA1" w:rsidRPr="004E13E9" w:rsidRDefault="00594EA1" w:rsidP="00594EA1">
      <w:pPr>
        <w:widowControl w:val="0"/>
        <w:rPr>
          <w:rFonts w:eastAsia="MS Gothic" w:cs="Times New Roman"/>
          <w:lang w:val="fr-FR" w:eastAsia="fr-FR" w:bidi="fr-FR"/>
        </w:rPr>
      </w:pPr>
      <w:r w:rsidRPr="004E13E9">
        <w:rPr>
          <w:rFonts w:eastAsia="MS Gothic" w:cs="Times New Roman"/>
          <w:lang w:val="fr-FR" w:eastAsia="fr-FR" w:bidi="fr-FR"/>
        </w:rPr>
        <w:t>L'autorité compétente est la TFA, et les points de contact sont les suivants :</w:t>
      </w:r>
    </w:p>
    <w:p w14:paraId="2D92BA42" w14:textId="77777777" w:rsidR="00594EA1" w:rsidRPr="004E13E9" w:rsidRDefault="00594EA1" w:rsidP="00594EA1">
      <w:pPr>
        <w:widowControl w:val="0"/>
        <w:rPr>
          <w:rFonts w:eastAsia="PMingLiU" w:cs="Times New Roman"/>
          <w:lang w:val="fr-FR" w:eastAsia="fr-FR" w:bidi="fr-FR"/>
        </w:rPr>
      </w:pPr>
    </w:p>
    <w:p w14:paraId="71003D88" w14:textId="77777777" w:rsidR="00594EA1" w:rsidRPr="004E13E9" w:rsidRDefault="00594EA1" w:rsidP="00487A5C">
      <w:pPr>
        <w:widowControl w:val="0"/>
        <w:numPr>
          <w:ilvl w:val="0"/>
          <w:numId w:val="56"/>
        </w:numPr>
        <w:contextualSpacing/>
        <w:jc w:val="both"/>
        <w:rPr>
          <w:rFonts w:eastAsia="PMingLiU" w:cs="Times New Roman"/>
          <w:lang w:val="fr-FR" w:eastAsia="fr-FR" w:bidi="fr-FR"/>
        </w:rPr>
      </w:pPr>
      <w:r w:rsidRPr="004E13E9">
        <w:rPr>
          <w:rFonts w:eastAsia="MS Gothic" w:cs="Times New Roman"/>
          <w:lang w:val="fr-FR" w:eastAsia="fr-FR" w:bidi="fr-FR"/>
        </w:rPr>
        <w:t>Mme Yen-</w:t>
      </w:r>
      <w:proofErr w:type="spellStart"/>
      <w:r w:rsidRPr="004E13E9">
        <w:rPr>
          <w:rFonts w:eastAsia="MS Gothic" w:cs="Times New Roman"/>
          <w:lang w:val="fr-FR" w:eastAsia="fr-FR" w:bidi="fr-FR"/>
        </w:rPr>
        <w:t>ju</w:t>
      </w:r>
      <w:proofErr w:type="spellEnd"/>
      <w:r w:rsidRPr="004E13E9">
        <w:rPr>
          <w:rFonts w:eastAsia="MS Gothic" w:cs="Times New Roman"/>
          <w:lang w:val="fr-FR" w:eastAsia="fr-FR" w:bidi="fr-FR"/>
        </w:rPr>
        <w:t xml:space="preserve"> LIN, Division de la pêche en eaux lointaines de la TFA, </w:t>
      </w:r>
      <w:hyperlink r:id="rId218" w:history="1">
        <w:r w:rsidRPr="004E13E9">
          <w:rPr>
            <w:rFonts w:eastAsia="MS Gothic" w:cs="Times New Roman"/>
            <w:color w:val="0563C1"/>
            <w:lang w:val="fr-FR" w:eastAsia="fr-FR" w:bidi="fr-FR"/>
          </w:rPr>
          <w:t>yenju@ms1.fa.gov.tw</w:t>
        </w:r>
      </w:hyperlink>
    </w:p>
    <w:p w14:paraId="31457628" w14:textId="77777777" w:rsidR="00594EA1" w:rsidRPr="004E13E9" w:rsidRDefault="00594EA1" w:rsidP="00487A5C">
      <w:pPr>
        <w:widowControl w:val="0"/>
        <w:numPr>
          <w:ilvl w:val="0"/>
          <w:numId w:val="56"/>
        </w:numPr>
        <w:contextualSpacing/>
        <w:jc w:val="both"/>
        <w:rPr>
          <w:rFonts w:eastAsia="PMingLiU" w:cs="Times New Roman"/>
          <w:lang w:val="fr-FR" w:eastAsia="fr-FR" w:bidi="fr-FR"/>
        </w:rPr>
      </w:pPr>
      <w:r w:rsidRPr="004E13E9">
        <w:rPr>
          <w:rFonts w:eastAsia="MS Gothic" w:cs="Times New Roman"/>
          <w:lang w:val="fr-FR" w:eastAsia="fr-FR" w:bidi="fr-FR"/>
        </w:rPr>
        <w:t>M. An-</w:t>
      </w:r>
      <w:proofErr w:type="spellStart"/>
      <w:r w:rsidRPr="004E13E9">
        <w:rPr>
          <w:rFonts w:eastAsia="MS Gothic" w:cs="Times New Roman"/>
          <w:lang w:val="fr-FR" w:eastAsia="fr-FR" w:bidi="fr-FR"/>
        </w:rPr>
        <w:t>chiang</w:t>
      </w:r>
      <w:proofErr w:type="spellEnd"/>
      <w:r w:rsidRPr="004E13E9">
        <w:rPr>
          <w:rFonts w:eastAsia="MS Gothic" w:cs="Times New Roman"/>
          <w:lang w:val="fr-FR" w:eastAsia="fr-FR" w:bidi="fr-FR"/>
        </w:rPr>
        <w:t xml:space="preserve"> HUANG, Division des pêches en eaux lointaines de la TFA, </w:t>
      </w:r>
      <w:hyperlink r:id="rId219" w:history="1">
        <w:r w:rsidRPr="004E13E9">
          <w:rPr>
            <w:rFonts w:eastAsia="MS Gothic" w:cs="Times New Roman"/>
            <w:color w:val="0563C1"/>
            <w:lang w:val="fr-FR" w:eastAsia="fr-FR" w:bidi="fr-FR"/>
          </w:rPr>
          <w:t>anchiang@ms1.fa.gov.tw</w:t>
        </w:r>
      </w:hyperlink>
    </w:p>
    <w:p w14:paraId="50D297CD" w14:textId="77777777" w:rsidR="00594EA1" w:rsidRPr="004E13E9" w:rsidRDefault="00594EA1" w:rsidP="00487A5C">
      <w:pPr>
        <w:widowControl w:val="0"/>
        <w:numPr>
          <w:ilvl w:val="0"/>
          <w:numId w:val="56"/>
        </w:numPr>
        <w:contextualSpacing/>
        <w:jc w:val="both"/>
        <w:rPr>
          <w:rFonts w:eastAsia="PMingLiU" w:cs="Times New Roman"/>
          <w:lang w:val="fr-FR" w:eastAsia="fr-FR" w:bidi="fr-FR"/>
        </w:rPr>
      </w:pPr>
      <w:r w:rsidRPr="004E13E9">
        <w:rPr>
          <w:rFonts w:eastAsia="MS Gothic" w:cs="Times New Roman"/>
          <w:lang w:val="fr-FR" w:eastAsia="fr-FR" w:bidi="fr-FR"/>
        </w:rPr>
        <w:t>M. Huang-</w:t>
      </w:r>
      <w:proofErr w:type="spellStart"/>
      <w:r w:rsidRPr="004E13E9">
        <w:rPr>
          <w:rFonts w:eastAsia="MS Gothic" w:cs="Times New Roman"/>
          <w:lang w:val="fr-FR" w:eastAsia="fr-FR" w:bidi="fr-FR"/>
        </w:rPr>
        <w:t>wei</w:t>
      </w:r>
      <w:proofErr w:type="spellEnd"/>
      <w:r w:rsidRPr="004E13E9">
        <w:rPr>
          <w:rFonts w:eastAsia="MS Gothic" w:cs="Times New Roman"/>
          <w:lang w:val="fr-FR" w:eastAsia="fr-FR" w:bidi="fr-FR"/>
        </w:rPr>
        <w:t xml:space="preserve"> HSU, Division des pêches en eaux lointaines de la TFA, </w:t>
      </w:r>
      <w:hyperlink r:id="rId220" w:history="1">
        <w:r w:rsidRPr="004E13E9">
          <w:rPr>
            <w:rFonts w:eastAsia="MS Gothic" w:cs="Times New Roman"/>
            <w:color w:val="0563C1"/>
            <w:lang w:val="fr-FR" w:eastAsia="fr-FR" w:bidi="fr-FR"/>
          </w:rPr>
          <w:t>huangwei0510@ms1.fa.gov.tw</w:t>
        </w:r>
      </w:hyperlink>
    </w:p>
    <w:p w14:paraId="3A1660F3" w14:textId="77777777" w:rsidR="00594EA1" w:rsidRPr="004E13E9" w:rsidRDefault="00594EA1" w:rsidP="00594EA1">
      <w:pPr>
        <w:widowControl w:val="0"/>
        <w:rPr>
          <w:rFonts w:eastAsia="PMingLiU" w:cs="Times New Roman"/>
          <w:lang w:val="fr-FR" w:eastAsia="zh-TW" w:bidi="fr-FR"/>
        </w:rPr>
      </w:pPr>
    </w:p>
    <w:p w14:paraId="07921D14" w14:textId="77777777" w:rsidR="00594EA1" w:rsidRPr="004E13E9" w:rsidRDefault="00594EA1" w:rsidP="00594EA1">
      <w:pPr>
        <w:widowControl w:val="0"/>
        <w:rPr>
          <w:rFonts w:eastAsia="MS Gothic" w:cs="Times New Roman"/>
          <w:lang w:val="fr-FR" w:eastAsia="fr-FR" w:bidi="fr-FR"/>
        </w:rPr>
      </w:pPr>
      <w:r w:rsidRPr="004E13E9">
        <w:rPr>
          <w:rFonts w:eastAsia="MS Gothic" w:cs="Times New Roman"/>
          <w:lang w:val="fr-FR" w:eastAsia="fr-FR" w:bidi="fr-FR"/>
        </w:rPr>
        <w:t>La TFA surveille et contrôle sa pêcherie de thon rouge de l’Est par les moyens suivants :</w:t>
      </w:r>
    </w:p>
    <w:p w14:paraId="0B7230BB" w14:textId="77777777" w:rsidR="00594EA1" w:rsidRPr="004E13E9" w:rsidRDefault="00594EA1" w:rsidP="00594EA1">
      <w:pPr>
        <w:widowControl w:val="0"/>
        <w:rPr>
          <w:rFonts w:eastAsia="PMingLiU" w:cs="Times New Roman"/>
          <w:lang w:val="fr-FR" w:eastAsia="fr-FR" w:bidi="fr-FR"/>
        </w:rPr>
      </w:pPr>
    </w:p>
    <w:p w14:paraId="36C42CB5" w14:textId="77777777" w:rsidR="00594EA1" w:rsidRPr="004E13E9" w:rsidRDefault="00594EA1" w:rsidP="00487A5C">
      <w:pPr>
        <w:widowControl w:val="0"/>
        <w:numPr>
          <w:ilvl w:val="0"/>
          <w:numId w:val="57"/>
        </w:numPr>
        <w:contextualSpacing/>
        <w:jc w:val="both"/>
        <w:rPr>
          <w:rFonts w:eastAsia="PMingLiU" w:cs="Times New Roman"/>
          <w:lang w:val="fr-FR" w:eastAsia="fr-FR" w:bidi="fr-FR"/>
        </w:rPr>
      </w:pPr>
      <w:r w:rsidRPr="004E13E9">
        <w:rPr>
          <w:rFonts w:eastAsia="MS Gothic" w:cs="Times New Roman"/>
          <w:lang w:val="fr-FR" w:eastAsia="fr-FR" w:bidi="fr-FR"/>
        </w:rPr>
        <w:t>VMS : La TFA surveille les positions de ses palangriers opérant dans la zone de la Convention de l’ICCAT, afin de s'assurer que les navires de pêche non autorisés à pêcher le thon rouge de l’Est n'opèrent pas dans la zone de pêche de thon rouge de l’Est, et que le palangrier autorisé à pêcher le thon rouge de l’Est ne pénètre dans la zone de pêche de thon rouge de l’Est qu'au cours de la période d'ouverture de la pêche.</w:t>
      </w:r>
    </w:p>
    <w:p w14:paraId="1EF3ED21" w14:textId="77777777" w:rsidR="00594EA1" w:rsidRPr="004E13E9" w:rsidRDefault="00594EA1" w:rsidP="00594EA1">
      <w:pPr>
        <w:widowControl w:val="0"/>
        <w:ind w:left="720"/>
        <w:contextualSpacing/>
        <w:jc w:val="both"/>
        <w:rPr>
          <w:rFonts w:eastAsia="PMingLiU" w:cs="Times New Roman"/>
          <w:lang w:val="fr-FR" w:eastAsia="fr-FR" w:bidi="fr-FR"/>
        </w:rPr>
      </w:pPr>
    </w:p>
    <w:p w14:paraId="0EDCC882" w14:textId="0E37160F" w:rsidR="00594EA1" w:rsidRPr="004E13E9" w:rsidRDefault="00594EA1" w:rsidP="00487A5C">
      <w:pPr>
        <w:widowControl w:val="0"/>
        <w:numPr>
          <w:ilvl w:val="0"/>
          <w:numId w:val="57"/>
        </w:numPr>
        <w:contextualSpacing/>
        <w:jc w:val="both"/>
        <w:rPr>
          <w:rFonts w:eastAsia="PMingLiU" w:cs="Times New Roman"/>
          <w:lang w:val="fr-FR" w:eastAsia="fr-FR" w:bidi="fr-FR"/>
        </w:rPr>
      </w:pPr>
      <w:r w:rsidRPr="004E13E9">
        <w:rPr>
          <w:rFonts w:eastAsia="MS Gothic" w:cs="Times New Roman"/>
          <w:lang w:val="fr-FR" w:eastAsia="fr-FR" w:bidi="fr-FR"/>
        </w:rPr>
        <w:t>Rapport de capture : Tous les palangriers du Taipei opérant dans la zone de la Convention de l’ICCAT devront déclarer quotidiennement les données/informations relatives aux captures au FMC par l'intermédiaire de l'ELB. La TFA veille au respect du quota, y compris du quota individuel par navire, en contrôlant étroitement les quantités de captures et de rejets déclarées. En outre, si la quantité de captures de thon rouge de l’Est du palangrier autorisé à pêcher du thon rouge de l’Est atteint 95</w:t>
      </w:r>
      <w:r w:rsidR="00173A66" w:rsidRPr="004E13E9">
        <w:rPr>
          <w:rFonts w:eastAsia="MS Gothic" w:cs="Times New Roman"/>
          <w:lang w:val="fr-FR" w:eastAsia="fr-FR" w:bidi="fr-FR"/>
        </w:rPr>
        <w:t> </w:t>
      </w:r>
      <w:r w:rsidRPr="004E13E9">
        <w:rPr>
          <w:rFonts w:eastAsia="MS Gothic" w:cs="Times New Roman"/>
          <w:lang w:val="fr-FR" w:eastAsia="fr-FR" w:bidi="fr-FR"/>
        </w:rPr>
        <w:t xml:space="preserve">% du quota individuel du navire, la TFA ordonnera au palangrier d'arrêter de capturer le thon rouge de l’Est. </w:t>
      </w:r>
    </w:p>
    <w:p w14:paraId="4704DB93" w14:textId="77777777" w:rsidR="00594EA1" w:rsidRPr="004E13E9" w:rsidRDefault="00594EA1" w:rsidP="00594EA1">
      <w:pPr>
        <w:widowControl w:val="0"/>
        <w:ind w:left="720"/>
        <w:contextualSpacing/>
        <w:jc w:val="both"/>
        <w:rPr>
          <w:rFonts w:eastAsia="PMingLiU" w:cs="Times New Roman"/>
          <w:lang w:val="fr-FR" w:eastAsia="fr-FR" w:bidi="fr-FR"/>
        </w:rPr>
      </w:pPr>
    </w:p>
    <w:p w14:paraId="206860A9" w14:textId="77777777" w:rsidR="00594EA1" w:rsidRPr="004E13E9" w:rsidRDefault="00594EA1" w:rsidP="00487A5C">
      <w:pPr>
        <w:widowControl w:val="0"/>
        <w:numPr>
          <w:ilvl w:val="0"/>
          <w:numId w:val="57"/>
        </w:numPr>
        <w:contextualSpacing/>
        <w:jc w:val="both"/>
        <w:rPr>
          <w:rFonts w:eastAsia="PMingLiU" w:cs="Times New Roman"/>
          <w:lang w:val="fr-FR" w:eastAsia="fr-FR" w:bidi="fr-FR"/>
        </w:rPr>
      </w:pPr>
      <w:r w:rsidRPr="004E13E9">
        <w:rPr>
          <w:rFonts w:eastAsia="MS Gothic" w:cs="Times New Roman"/>
          <w:lang w:val="fr-FR" w:eastAsia="fr-FR" w:bidi="fr-FR"/>
        </w:rPr>
        <w:t>Programme d’observateurs : La TFA enverra un observateur à bord du palangrier autorisé à pêcher le thon rouge de l’Est afin d'assurer une couverture de 20% du temps pendant lequel le palangrier est actif dans la pêcherie de thon rouge de l’Est.</w:t>
      </w:r>
    </w:p>
    <w:p w14:paraId="5F50E718" w14:textId="77777777" w:rsidR="00594EA1" w:rsidRPr="004E13E9" w:rsidRDefault="00594EA1" w:rsidP="00594EA1">
      <w:pPr>
        <w:widowControl w:val="0"/>
        <w:ind w:left="720"/>
        <w:contextualSpacing/>
        <w:jc w:val="both"/>
        <w:rPr>
          <w:rFonts w:eastAsia="PMingLiU" w:cs="Times New Roman"/>
          <w:lang w:val="fr-FR" w:eastAsia="fr-FR" w:bidi="fr-FR"/>
        </w:rPr>
      </w:pPr>
    </w:p>
    <w:p w14:paraId="3DBE6A4C" w14:textId="77777777" w:rsidR="00594EA1" w:rsidRPr="004E13E9" w:rsidRDefault="00594EA1" w:rsidP="00487A5C">
      <w:pPr>
        <w:widowControl w:val="0"/>
        <w:numPr>
          <w:ilvl w:val="0"/>
          <w:numId w:val="57"/>
        </w:numPr>
        <w:contextualSpacing/>
        <w:jc w:val="both"/>
        <w:rPr>
          <w:rFonts w:eastAsia="PMingLiU" w:cs="Times New Roman"/>
          <w:lang w:val="fr-FR" w:eastAsia="fr-FR" w:bidi="fr-FR"/>
        </w:rPr>
      </w:pPr>
      <w:r w:rsidRPr="004E13E9">
        <w:rPr>
          <w:rFonts w:eastAsia="MS Gothic" w:cs="Times New Roman"/>
          <w:lang w:val="fr-FR" w:eastAsia="fr-FR" w:bidi="fr-FR"/>
        </w:rPr>
        <w:t xml:space="preserve">Débarquement et transbordement : Ces activités devront être menées uniquement dans les trois ports désignés. Pour chaque débarquement et transbordement, le palangrier de thon rouge de l’Est devra obtenir l'autorisation préalable de la TFA et, une fois le débarquement et le transbordement terminés, soumettre une déclaration à la TFA. Tout doit être fait dans les délais impartis. En outre, le palangrier de thon rouge de l’Est devra également notifier et soumettre à l'autorité de la CPC du port une déclaration de débarquement dans les délais requis conformément au paragr. 85 de la Rec. 25-04. Le débarquement et le transbordement dans le port devront faire l'objet d'une inspection portuaire par la CPC du port et/ou la TFA. Le débarquement de thon rouge de l’Est effectué par le palangrier de thon rouge de l’Est dans le port national désigné sera inspecté à 100% par la TFA. </w:t>
      </w:r>
    </w:p>
    <w:p w14:paraId="4D00B2A3" w14:textId="77777777" w:rsidR="00594EA1" w:rsidRPr="004E13E9" w:rsidRDefault="00594EA1" w:rsidP="00594EA1">
      <w:pPr>
        <w:widowControl w:val="0"/>
        <w:ind w:left="720"/>
        <w:contextualSpacing/>
        <w:jc w:val="both"/>
        <w:rPr>
          <w:rFonts w:eastAsia="PMingLiU" w:cs="Times New Roman"/>
          <w:lang w:val="fr-FR" w:eastAsia="fr-FR" w:bidi="fr-FR"/>
        </w:rPr>
      </w:pPr>
    </w:p>
    <w:p w14:paraId="2ED1E691" w14:textId="77777777" w:rsidR="00594EA1" w:rsidRPr="004E13E9" w:rsidRDefault="00594EA1" w:rsidP="00487A5C">
      <w:pPr>
        <w:widowControl w:val="0"/>
        <w:numPr>
          <w:ilvl w:val="0"/>
          <w:numId w:val="57"/>
        </w:numPr>
        <w:contextualSpacing/>
        <w:jc w:val="both"/>
        <w:rPr>
          <w:rFonts w:eastAsia="PMingLiU" w:cs="Times New Roman"/>
          <w:lang w:val="fr-FR" w:eastAsia="fr-FR" w:bidi="fr-FR"/>
        </w:rPr>
      </w:pPr>
      <w:r w:rsidRPr="004E13E9">
        <w:rPr>
          <w:rFonts w:eastAsia="MS Gothic" w:cs="Times New Roman"/>
          <w:lang w:val="fr-FR" w:eastAsia="fr-FR" w:bidi="fr-FR"/>
        </w:rPr>
        <w:t>Recoupement : La TFA recoupe les données et les informations communiquées par tous ces canaux afin de détecter les anomalies. En cas de soupçon, des enquêtes seront lancées et toute non-application potentielle sera traitée conformément à la DWFA et aux Règlements de l'Atlantique.</w:t>
      </w:r>
    </w:p>
    <w:p w14:paraId="458709DD" w14:textId="77777777" w:rsidR="00594EA1" w:rsidRPr="004E13E9" w:rsidRDefault="00594EA1" w:rsidP="00594EA1">
      <w:pPr>
        <w:widowControl w:val="0"/>
        <w:rPr>
          <w:rFonts w:eastAsia="PMingLiU" w:cs="Times New Roman"/>
          <w:lang w:val="fr-FR" w:eastAsia="zh-TW" w:bidi="fr-FR"/>
        </w:rPr>
      </w:pPr>
    </w:p>
    <w:p w14:paraId="68923E2C" w14:textId="77777777" w:rsidR="00594EA1" w:rsidRPr="004E13E9" w:rsidRDefault="00594EA1" w:rsidP="00594EA1">
      <w:pPr>
        <w:widowControl w:val="0"/>
        <w:ind w:left="426" w:hanging="426"/>
        <w:rPr>
          <w:rFonts w:eastAsia="MS Gothic" w:cs="Times New Roman"/>
          <w:b/>
          <w:i/>
          <w:iCs/>
          <w:lang w:val="fr-FR" w:eastAsia="fr-FR" w:bidi="fr-FR"/>
        </w:rPr>
      </w:pPr>
      <w:r w:rsidRPr="004E13E9">
        <w:rPr>
          <w:rFonts w:eastAsia="MS Gothic" w:cs="Times New Roman"/>
          <w:b/>
          <w:i/>
          <w:lang w:val="fr-FR" w:eastAsia="fr-FR" w:bidi="fr-FR"/>
        </w:rPr>
        <w:t>5b) Programme d’inspection internationale conjointe (JIS) (paragr. 232-235)</w:t>
      </w:r>
    </w:p>
    <w:p w14:paraId="4D68047C" w14:textId="77777777" w:rsidR="00594EA1" w:rsidRPr="004E13E9" w:rsidRDefault="00594EA1" w:rsidP="00594EA1">
      <w:pPr>
        <w:widowControl w:val="0"/>
        <w:rPr>
          <w:rFonts w:eastAsia="MS Gothic" w:cs="Times New Roman"/>
          <w:b/>
          <w:i/>
          <w:iCs/>
          <w:lang w:val="fr-FR" w:eastAsia="fr-FR" w:bidi="fr-FR"/>
        </w:rPr>
      </w:pPr>
    </w:p>
    <w:p w14:paraId="2A80F578" w14:textId="77777777" w:rsidR="00594EA1" w:rsidRPr="004E13E9" w:rsidRDefault="00594EA1" w:rsidP="00594EA1">
      <w:pPr>
        <w:widowControl w:val="0"/>
        <w:jc w:val="both"/>
        <w:rPr>
          <w:rFonts w:eastAsia="PMingLiU" w:cs="Times New Roman"/>
          <w:iCs/>
          <w:lang w:val="fr-FR" w:eastAsia="fr-FR" w:bidi="fr-FR"/>
        </w:rPr>
      </w:pPr>
      <w:r w:rsidRPr="004E13E9">
        <w:rPr>
          <w:rFonts w:eastAsia="MS Gothic" w:cs="Times New Roman"/>
          <w:lang w:val="fr-FR" w:eastAsia="fr-FR" w:bidi="fr-FR"/>
        </w:rPr>
        <w:t xml:space="preserve">Non applicable, car le Taipei chinois ne possède qu'un seul palangrier de thon rouge de l’Est. </w:t>
      </w:r>
    </w:p>
    <w:p w14:paraId="3055D011" w14:textId="77777777" w:rsidR="00594EA1" w:rsidRPr="004E13E9" w:rsidRDefault="00594EA1" w:rsidP="00594EA1">
      <w:pPr>
        <w:widowControl w:val="0"/>
        <w:jc w:val="both"/>
        <w:rPr>
          <w:rFonts w:eastAsia="MS Gothic" w:cs="Times New Roman"/>
          <w:i/>
          <w:lang w:val="fr-FR" w:eastAsia="fr-FR" w:bidi="fr-FR"/>
        </w:rPr>
      </w:pPr>
    </w:p>
    <w:p w14:paraId="671BDCFD" w14:textId="77777777" w:rsidR="00594EA1" w:rsidRPr="004E13E9" w:rsidRDefault="00594EA1" w:rsidP="00594EA1">
      <w:pPr>
        <w:widowControl w:val="0"/>
        <w:jc w:val="both"/>
        <w:rPr>
          <w:rFonts w:eastAsia="MS Gothic" w:cs="Times New Roman"/>
          <w:i/>
          <w:lang w:val="fr-FR" w:eastAsia="fr-FR" w:bidi="fr-FR"/>
        </w:rPr>
      </w:pPr>
    </w:p>
    <w:p w14:paraId="32F9B452" w14:textId="77777777" w:rsidR="00594EA1" w:rsidRPr="004E13E9" w:rsidRDefault="00594EA1" w:rsidP="00594EA1">
      <w:pPr>
        <w:widowControl w:val="0"/>
        <w:tabs>
          <w:tab w:val="left" w:pos="426"/>
        </w:tabs>
        <w:jc w:val="both"/>
        <w:rPr>
          <w:rFonts w:eastAsia="MS Gothic" w:cs="Times New Roman"/>
          <w:b/>
          <w:lang w:val="fr-FR" w:eastAsia="fr-FR" w:bidi="fr-FR"/>
        </w:rPr>
      </w:pPr>
      <w:r w:rsidRPr="004E13E9">
        <w:rPr>
          <w:rFonts w:eastAsia="MS Gothic" w:cs="Times New Roman"/>
          <w:b/>
          <w:lang w:val="fr-FR" w:eastAsia="fr-FR" w:bidi="fr-FR"/>
        </w:rPr>
        <w:t xml:space="preserve">6. </w:t>
      </w:r>
      <w:r w:rsidRPr="004E13E9">
        <w:rPr>
          <w:rFonts w:eastAsia="MS Gothic" w:cs="Times New Roman"/>
          <w:b/>
          <w:lang w:val="fr-FR" w:eastAsia="fr-FR" w:bidi="fr-FR"/>
        </w:rPr>
        <w:tab/>
        <w:t>Autres</w:t>
      </w:r>
    </w:p>
    <w:p w14:paraId="30878289" w14:textId="77777777" w:rsidR="00594EA1" w:rsidRPr="004E13E9" w:rsidRDefault="00594EA1" w:rsidP="00594EA1">
      <w:pPr>
        <w:widowControl w:val="0"/>
        <w:jc w:val="both"/>
        <w:rPr>
          <w:rFonts w:eastAsia="MS Gothic" w:cs="Times New Roman"/>
          <w:b/>
          <w:lang w:val="fr-FR" w:eastAsia="fr-FR" w:bidi="fr-FR"/>
        </w:rPr>
      </w:pPr>
    </w:p>
    <w:p w14:paraId="59A785F4" w14:textId="77777777" w:rsidR="00594EA1" w:rsidRPr="004E13E9" w:rsidRDefault="00594EA1" w:rsidP="00594EA1">
      <w:pPr>
        <w:widowControl w:val="0"/>
        <w:jc w:val="both"/>
        <w:rPr>
          <w:rFonts w:eastAsia="PMingLiU" w:cs="Times New Roman"/>
          <w:iCs/>
          <w:lang w:val="fr-FR" w:eastAsia="fr-FR" w:bidi="fr-FR"/>
        </w:rPr>
      </w:pPr>
      <w:r w:rsidRPr="004E13E9">
        <w:rPr>
          <w:rFonts w:eastAsia="MS Gothic" w:cs="Times New Roman"/>
          <w:lang w:val="fr-FR" w:eastAsia="fr-FR" w:bidi="fr-FR"/>
        </w:rPr>
        <w:t>N/A</w:t>
      </w:r>
    </w:p>
    <w:p w14:paraId="0ACAC6B9" w14:textId="77777777" w:rsidR="00594EA1" w:rsidRPr="004E13E9" w:rsidRDefault="00594EA1" w:rsidP="00594EA1">
      <w:pPr>
        <w:rPr>
          <w:rFonts w:eastAsia="MS Gothic" w:cs="Times New Roman"/>
          <w:i/>
          <w:lang w:val="fr-FR" w:eastAsia="fr-FR" w:bidi="fr-FR"/>
        </w:rPr>
        <w:sectPr w:rsidR="00594EA1" w:rsidRPr="004E13E9" w:rsidSect="00594EA1">
          <w:footerReference w:type="default" r:id="rId221"/>
          <w:pgSz w:w="11906" w:h="16838" w:code="9"/>
          <w:pgMar w:top="1418" w:right="1418" w:bottom="1418" w:left="1418" w:header="851" w:footer="1134" w:gutter="0"/>
          <w:cols w:space="425"/>
          <w:docGrid w:linePitch="360"/>
        </w:sectPr>
      </w:pPr>
    </w:p>
    <w:p w14:paraId="20365BF5" w14:textId="77777777" w:rsidR="00594EA1" w:rsidRPr="004E13E9" w:rsidRDefault="00594EA1" w:rsidP="00594EA1">
      <w:pPr>
        <w:rPr>
          <w:rFonts w:eastAsia="MS Gothic" w:cs="Times New Roman"/>
          <w:b/>
          <w:bCs/>
          <w:iCs/>
          <w:lang w:val="fr-FR" w:eastAsia="fr-FR" w:bidi="fr-FR"/>
        </w:rPr>
      </w:pPr>
      <w:r w:rsidRPr="004E13E9">
        <w:rPr>
          <w:rFonts w:eastAsia="MS Gothic" w:cs="Times New Roman"/>
          <w:b/>
          <w:szCs w:val="24"/>
          <w:lang w:val="fr-FR" w:eastAsia="fr-FR" w:bidi="fr-FR"/>
        </w:rPr>
        <w:t>Tableau de la capacité</w:t>
      </w:r>
    </w:p>
    <w:tbl>
      <w:tblPr>
        <w:tblW w:w="14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4"/>
        <w:gridCol w:w="2103"/>
        <w:gridCol w:w="615"/>
        <w:gridCol w:w="615"/>
        <w:gridCol w:w="615"/>
        <w:gridCol w:w="615"/>
        <w:gridCol w:w="615"/>
        <w:gridCol w:w="615"/>
        <w:gridCol w:w="615"/>
        <w:gridCol w:w="256"/>
        <w:gridCol w:w="615"/>
        <w:gridCol w:w="615"/>
        <w:gridCol w:w="615"/>
        <w:gridCol w:w="615"/>
        <w:gridCol w:w="615"/>
        <w:gridCol w:w="615"/>
        <w:gridCol w:w="615"/>
      </w:tblGrid>
      <w:tr w:rsidR="00594EA1" w:rsidRPr="004E13E9" w14:paraId="62C576C9" w14:textId="77777777" w:rsidTr="00D47E5E">
        <w:trPr>
          <w:trHeight w:val="20"/>
          <w:jc w:val="center"/>
        </w:trPr>
        <w:tc>
          <w:tcPr>
            <w:tcW w:w="0" w:type="auto"/>
            <w:noWrap/>
            <w:vAlign w:val="center"/>
            <w:hideMark/>
          </w:tcPr>
          <w:p w14:paraId="60729B0C" w14:textId="77777777" w:rsidR="00594EA1" w:rsidRPr="004E13E9" w:rsidRDefault="00594EA1" w:rsidP="00594EA1">
            <w:pPr>
              <w:widowControl w:val="0"/>
              <w:jc w:val="center"/>
              <w:rPr>
                <w:rFonts w:eastAsia="Times New Roman" w:cs="Calibri"/>
                <w:i/>
                <w:iCs/>
                <w:color w:val="000000"/>
                <w:sz w:val="18"/>
                <w:szCs w:val="18"/>
                <w:lang w:val="fr-FR" w:eastAsia="fr-FR" w:bidi="fr-FR"/>
              </w:rPr>
            </w:pPr>
            <w:r w:rsidRPr="004E13E9">
              <w:rPr>
                <w:rFonts w:eastAsia="MS Gothic" w:cs="Times New Roman"/>
                <w:i/>
                <w:color w:val="000000"/>
                <w:sz w:val="18"/>
                <w:szCs w:val="24"/>
                <w:lang w:val="fr-FR" w:eastAsia="fr-FR" w:bidi="fr-FR"/>
              </w:rPr>
              <w:t>Type de navires thoniers</w:t>
            </w:r>
          </w:p>
        </w:tc>
        <w:tc>
          <w:tcPr>
            <w:tcW w:w="2103" w:type="dxa"/>
            <w:noWrap/>
            <w:vAlign w:val="center"/>
            <w:hideMark/>
          </w:tcPr>
          <w:p w14:paraId="27B2FB6B" w14:textId="77777777" w:rsidR="00594EA1" w:rsidRPr="004E13E9" w:rsidRDefault="00594EA1" w:rsidP="00594EA1">
            <w:pPr>
              <w:widowControl w:val="0"/>
              <w:jc w:val="center"/>
              <w:rPr>
                <w:rFonts w:eastAsia="Times New Roman" w:cs="Calibri"/>
                <w:color w:val="000000"/>
                <w:sz w:val="18"/>
                <w:szCs w:val="18"/>
                <w:lang w:val="fr-FR" w:eastAsia="ja-JP" w:bidi="fr-FR"/>
              </w:rPr>
            </w:pPr>
          </w:p>
        </w:tc>
        <w:tc>
          <w:tcPr>
            <w:tcW w:w="1974" w:type="dxa"/>
            <w:gridSpan w:val="3"/>
          </w:tcPr>
          <w:p w14:paraId="18640C78" w14:textId="77777777" w:rsidR="00594EA1" w:rsidRPr="004E13E9" w:rsidRDefault="00594EA1" w:rsidP="00594EA1">
            <w:pPr>
              <w:widowControl w:val="0"/>
              <w:jc w:val="center"/>
              <w:rPr>
                <w:rFonts w:eastAsia="Times New Roman" w:cs="Calibri"/>
                <w:i/>
                <w:iCs/>
                <w:color w:val="000000"/>
                <w:sz w:val="18"/>
                <w:szCs w:val="18"/>
                <w:lang w:val="fr-FR" w:eastAsia="fr-FR" w:bidi="fr-FR"/>
              </w:rPr>
            </w:pPr>
            <w:r w:rsidRPr="004E13E9">
              <w:rPr>
                <w:rFonts w:eastAsia="MS Gothic" w:cs="Times New Roman"/>
                <w:i/>
                <w:color w:val="000000"/>
                <w:sz w:val="18"/>
                <w:szCs w:val="24"/>
                <w:lang w:val="fr-FR" w:eastAsia="fr-FR" w:bidi="fr-FR"/>
              </w:rPr>
              <w:t>Année de réf.</w:t>
            </w:r>
          </w:p>
        </w:tc>
        <w:tc>
          <w:tcPr>
            <w:tcW w:w="0" w:type="auto"/>
            <w:gridSpan w:val="4"/>
            <w:vAlign w:val="center"/>
          </w:tcPr>
          <w:p w14:paraId="513F0DD7" w14:textId="77777777" w:rsidR="00594EA1" w:rsidRPr="004E13E9" w:rsidRDefault="00594EA1" w:rsidP="00594EA1">
            <w:pPr>
              <w:widowControl w:val="0"/>
              <w:jc w:val="center"/>
              <w:rPr>
                <w:rFonts w:eastAsia="Times New Roman" w:cs="Times New Roman"/>
                <w:color w:val="000000"/>
                <w:sz w:val="18"/>
                <w:szCs w:val="18"/>
                <w:lang w:val="fr-FR" w:eastAsia="fr-FR" w:bidi="fr-FR"/>
              </w:rPr>
            </w:pPr>
            <w:r w:rsidRPr="004E13E9">
              <w:rPr>
                <w:rFonts w:eastAsia="MS Gothic" w:cs="Times New Roman"/>
                <w:i/>
                <w:color w:val="000000"/>
                <w:sz w:val="18"/>
                <w:szCs w:val="24"/>
                <w:lang w:val="fr-FR" w:eastAsia="fr-FR" w:bidi="fr-FR"/>
              </w:rPr>
              <w:t>Nombre de navires</w:t>
            </w:r>
          </w:p>
        </w:tc>
        <w:tc>
          <w:tcPr>
            <w:tcW w:w="0" w:type="auto"/>
            <w:shd w:val="clear" w:color="auto" w:fill="D9D9D9"/>
            <w:vAlign w:val="center"/>
            <w:hideMark/>
          </w:tcPr>
          <w:p w14:paraId="7B02DE6C" w14:textId="77777777" w:rsidR="00594EA1" w:rsidRPr="004E13E9" w:rsidRDefault="00594EA1" w:rsidP="00594EA1">
            <w:pPr>
              <w:widowControl w:val="0"/>
              <w:jc w:val="center"/>
              <w:rPr>
                <w:rFonts w:eastAsia="Times New Roman" w:cs="Times New Roman"/>
                <w:color w:val="000000"/>
                <w:sz w:val="18"/>
                <w:szCs w:val="18"/>
                <w:lang w:val="fr-FR" w:eastAsia="ja-JP" w:bidi="fr-FR"/>
              </w:rPr>
            </w:pPr>
          </w:p>
        </w:tc>
        <w:tc>
          <w:tcPr>
            <w:tcW w:w="0" w:type="auto"/>
            <w:gridSpan w:val="3"/>
          </w:tcPr>
          <w:p w14:paraId="381BD5F6" w14:textId="77777777" w:rsidR="00594EA1" w:rsidRPr="004E13E9" w:rsidRDefault="00594EA1" w:rsidP="00594EA1">
            <w:pPr>
              <w:widowControl w:val="0"/>
              <w:jc w:val="center"/>
              <w:rPr>
                <w:rFonts w:eastAsia="Times New Roman" w:cs="Calibri"/>
                <w:i/>
                <w:iCs/>
                <w:color w:val="000000"/>
                <w:sz w:val="18"/>
                <w:szCs w:val="18"/>
                <w:lang w:val="fr-FR" w:eastAsia="fr-FR" w:bidi="fr-FR"/>
              </w:rPr>
            </w:pPr>
            <w:r w:rsidRPr="004E13E9">
              <w:rPr>
                <w:rFonts w:eastAsia="MS Gothic" w:cs="Times New Roman"/>
                <w:i/>
                <w:color w:val="000000"/>
                <w:sz w:val="18"/>
                <w:szCs w:val="24"/>
                <w:lang w:val="fr-FR" w:eastAsia="fr-FR" w:bidi="fr-FR"/>
              </w:rPr>
              <w:t>Année de réf.</w:t>
            </w:r>
          </w:p>
        </w:tc>
        <w:tc>
          <w:tcPr>
            <w:tcW w:w="0" w:type="auto"/>
            <w:gridSpan w:val="4"/>
          </w:tcPr>
          <w:p w14:paraId="1EEC1A9B" w14:textId="77777777" w:rsidR="00594EA1" w:rsidRPr="004E13E9" w:rsidRDefault="00594EA1" w:rsidP="00594EA1">
            <w:pPr>
              <w:widowControl w:val="0"/>
              <w:jc w:val="center"/>
              <w:rPr>
                <w:rFonts w:eastAsia="Times New Roman" w:cs="Calibri"/>
                <w:i/>
                <w:iCs/>
                <w:color w:val="000000"/>
                <w:sz w:val="18"/>
                <w:szCs w:val="18"/>
                <w:lang w:val="fr-FR" w:eastAsia="fr-FR" w:bidi="fr-FR"/>
              </w:rPr>
            </w:pPr>
            <w:r w:rsidRPr="004E13E9">
              <w:rPr>
                <w:rFonts w:eastAsia="MS Gothic" w:cs="Times New Roman"/>
                <w:i/>
                <w:color w:val="000000"/>
                <w:sz w:val="18"/>
                <w:szCs w:val="24"/>
                <w:lang w:val="fr-FR" w:eastAsia="fr-FR" w:bidi="fr-FR"/>
              </w:rPr>
              <w:t>Capacité de pêche</w:t>
            </w:r>
          </w:p>
        </w:tc>
      </w:tr>
      <w:tr w:rsidR="00594EA1" w:rsidRPr="004E13E9" w14:paraId="6AB1B1B8" w14:textId="77777777" w:rsidTr="00D47E5E">
        <w:trPr>
          <w:trHeight w:val="20"/>
          <w:jc w:val="center"/>
        </w:trPr>
        <w:tc>
          <w:tcPr>
            <w:tcW w:w="0" w:type="auto"/>
            <w:noWrap/>
            <w:vAlign w:val="center"/>
            <w:hideMark/>
          </w:tcPr>
          <w:p w14:paraId="4C6AEBFD" w14:textId="77777777" w:rsidR="00594EA1" w:rsidRPr="004E13E9" w:rsidRDefault="00594EA1" w:rsidP="00594EA1">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Type</w:t>
            </w:r>
          </w:p>
        </w:tc>
        <w:tc>
          <w:tcPr>
            <w:tcW w:w="2103" w:type="dxa"/>
            <w:vAlign w:val="center"/>
            <w:hideMark/>
          </w:tcPr>
          <w:p w14:paraId="3CEC2320"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Meilleurs taux de capture définis par le SCRS en 2009 (t)</w:t>
            </w:r>
          </w:p>
        </w:tc>
        <w:tc>
          <w:tcPr>
            <w:tcW w:w="710" w:type="dxa"/>
            <w:vAlign w:val="center"/>
          </w:tcPr>
          <w:p w14:paraId="4A0C50C6"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2006</w:t>
            </w:r>
          </w:p>
        </w:tc>
        <w:tc>
          <w:tcPr>
            <w:tcW w:w="0" w:type="auto"/>
            <w:noWrap/>
            <w:vAlign w:val="center"/>
            <w:hideMark/>
          </w:tcPr>
          <w:p w14:paraId="5583A713"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2008</w:t>
            </w:r>
          </w:p>
        </w:tc>
        <w:tc>
          <w:tcPr>
            <w:tcW w:w="0" w:type="auto"/>
            <w:vAlign w:val="center"/>
            <w:hideMark/>
          </w:tcPr>
          <w:p w14:paraId="36AD7A5D"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2018</w:t>
            </w:r>
          </w:p>
        </w:tc>
        <w:tc>
          <w:tcPr>
            <w:tcW w:w="0" w:type="auto"/>
            <w:vAlign w:val="center"/>
            <w:hideMark/>
          </w:tcPr>
          <w:p w14:paraId="383C224B"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2023</w:t>
            </w:r>
          </w:p>
        </w:tc>
        <w:tc>
          <w:tcPr>
            <w:tcW w:w="0" w:type="auto"/>
            <w:vAlign w:val="center"/>
            <w:hideMark/>
          </w:tcPr>
          <w:p w14:paraId="75FC6F49"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2024</w:t>
            </w:r>
          </w:p>
        </w:tc>
        <w:tc>
          <w:tcPr>
            <w:tcW w:w="0" w:type="auto"/>
            <w:vAlign w:val="center"/>
          </w:tcPr>
          <w:p w14:paraId="70462DC4"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2025</w:t>
            </w:r>
          </w:p>
        </w:tc>
        <w:tc>
          <w:tcPr>
            <w:tcW w:w="0" w:type="auto"/>
            <w:vAlign w:val="center"/>
          </w:tcPr>
          <w:p w14:paraId="4F56A7EC"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2026</w:t>
            </w:r>
          </w:p>
        </w:tc>
        <w:tc>
          <w:tcPr>
            <w:tcW w:w="0" w:type="auto"/>
            <w:shd w:val="clear" w:color="000000" w:fill="D9D9D9"/>
            <w:vAlign w:val="center"/>
            <w:hideMark/>
          </w:tcPr>
          <w:p w14:paraId="4A74DBFB" w14:textId="77777777" w:rsidR="00594EA1" w:rsidRPr="004E13E9" w:rsidRDefault="00594EA1" w:rsidP="00594EA1">
            <w:pPr>
              <w:widowControl w:val="0"/>
              <w:jc w:val="center"/>
              <w:rPr>
                <w:rFonts w:eastAsia="Times New Roman" w:cs="Calibri"/>
                <w:color w:val="000000"/>
                <w:sz w:val="18"/>
                <w:szCs w:val="18"/>
                <w:lang w:val="fr-FR" w:eastAsia="ja-JP" w:bidi="fr-FR"/>
              </w:rPr>
            </w:pPr>
          </w:p>
        </w:tc>
        <w:tc>
          <w:tcPr>
            <w:tcW w:w="0" w:type="auto"/>
            <w:vAlign w:val="center"/>
          </w:tcPr>
          <w:p w14:paraId="0027FE76"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2006</w:t>
            </w:r>
          </w:p>
        </w:tc>
        <w:tc>
          <w:tcPr>
            <w:tcW w:w="0" w:type="auto"/>
            <w:vAlign w:val="center"/>
            <w:hideMark/>
          </w:tcPr>
          <w:p w14:paraId="195992EB"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2008</w:t>
            </w:r>
          </w:p>
        </w:tc>
        <w:tc>
          <w:tcPr>
            <w:tcW w:w="0" w:type="auto"/>
            <w:vAlign w:val="center"/>
            <w:hideMark/>
          </w:tcPr>
          <w:p w14:paraId="1C65EEA2"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2018</w:t>
            </w:r>
          </w:p>
        </w:tc>
        <w:tc>
          <w:tcPr>
            <w:tcW w:w="0" w:type="auto"/>
            <w:vAlign w:val="center"/>
            <w:hideMark/>
          </w:tcPr>
          <w:p w14:paraId="0D80739C"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2023</w:t>
            </w:r>
          </w:p>
        </w:tc>
        <w:tc>
          <w:tcPr>
            <w:tcW w:w="0" w:type="auto"/>
            <w:vAlign w:val="center"/>
            <w:hideMark/>
          </w:tcPr>
          <w:p w14:paraId="13DFDA8D"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2024</w:t>
            </w:r>
          </w:p>
        </w:tc>
        <w:tc>
          <w:tcPr>
            <w:tcW w:w="0" w:type="auto"/>
            <w:vAlign w:val="center"/>
            <w:hideMark/>
          </w:tcPr>
          <w:p w14:paraId="0DD01384"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2025</w:t>
            </w:r>
          </w:p>
        </w:tc>
        <w:tc>
          <w:tcPr>
            <w:tcW w:w="0" w:type="auto"/>
            <w:vAlign w:val="center"/>
          </w:tcPr>
          <w:p w14:paraId="02895C97"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2026</w:t>
            </w:r>
          </w:p>
        </w:tc>
      </w:tr>
      <w:tr w:rsidR="00594EA1" w:rsidRPr="004E13E9" w14:paraId="07BD4814" w14:textId="77777777" w:rsidTr="00D47E5E">
        <w:trPr>
          <w:trHeight w:val="20"/>
          <w:jc w:val="center"/>
        </w:trPr>
        <w:tc>
          <w:tcPr>
            <w:tcW w:w="0" w:type="auto"/>
            <w:noWrap/>
            <w:vAlign w:val="center"/>
            <w:hideMark/>
          </w:tcPr>
          <w:p w14:paraId="3DFBC7C6"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Senneur de plus de 40 m</w:t>
            </w:r>
          </w:p>
        </w:tc>
        <w:tc>
          <w:tcPr>
            <w:tcW w:w="2103" w:type="dxa"/>
            <w:noWrap/>
            <w:vAlign w:val="center"/>
            <w:hideMark/>
          </w:tcPr>
          <w:p w14:paraId="7F2BBEEF"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70,66</w:t>
            </w:r>
          </w:p>
        </w:tc>
        <w:tc>
          <w:tcPr>
            <w:tcW w:w="710" w:type="dxa"/>
          </w:tcPr>
          <w:p w14:paraId="4C48C604" w14:textId="77777777" w:rsidR="00594EA1" w:rsidRPr="004E13E9" w:rsidRDefault="00594EA1" w:rsidP="00594EA1">
            <w:pPr>
              <w:widowControl w:val="0"/>
              <w:jc w:val="both"/>
              <w:rPr>
                <w:rFonts w:eastAsia="Times New Roman" w:cs="Calibri"/>
                <w:color w:val="000000"/>
                <w:sz w:val="18"/>
                <w:szCs w:val="18"/>
                <w:lang w:val="fr-FR" w:eastAsia="ja-JP" w:bidi="fr-FR"/>
              </w:rPr>
            </w:pPr>
          </w:p>
        </w:tc>
        <w:tc>
          <w:tcPr>
            <w:tcW w:w="0" w:type="auto"/>
            <w:noWrap/>
            <w:vAlign w:val="center"/>
            <w:hideMark/>
          </w:tcPr>
          <w:p w14:paraId="1EE17693"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vAlign w:val="center"/>
            <w:hideMark/>
          </w:tcPr>
          <w:p w14:paraId="4A8EA730"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vAlign w:val="center"/>
            <w:hideMark/>
          </w:tcPr>
          <w:p w14:paraId="5DB0C8B5"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vAlign w:val="center"/>
            <w:hideMark/>
          </w:tcPr>
          <w:p w14:paraId="6210B3A6"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tcPr>
          <w:p w14:paraId="35C8D6B9" w14:textId="77777777" w:rsidR="00594EA1" w:rsidRPr="004E13E9" w:rsidRDefault="00594EA1" w:rsidP="00594EA1">
            <w:pPr>
              <w:widowControl w:val="0"/>
              <w:jc w:val="both"/>
              <w:rPr>
                <w:rFonts w:eastAsia="Times New Roman" w:cs="Calibri"/>
                <w:color w:val="000000"/>
                <w:sz w:val="18"/>
                <w:szCs w:val="18"/>
                <w:lang w:val="fr-FR" w:eastAsia="ja-JP" w:bidi="fr-FR"/>
              </w:rPr>
            </w:pPr>
          </w:p>
        </w:tc>
        <w:tc>
          <w:tcPr>
            <w:tcW w:w="0" w:type="auto"/>
          </w:tcPr>
          <w:p w14:paraId="74E254DD" w14:textId="77777777" w:rsidR="00594EA1" w:rsidRPr="004E13E9" w:rsidRDefault="00594EA1" w:rsidP="00594EA1">
            <w:pPr>
              <w:widowControl w:val="0"/>
              <w:jc w:val="center"/>
              <w:rPr>
                <w:rFonts w:eastAsia="Times New Roman" w:cs="Calibri"/>
                <w:color w:val="000000"/>
                <w:sz w:val="18"/>
                <w:szCs w:val="18"/>
                <w:lang w:val="fr-FR" w:eastAsia="ja-JP" w:bidi="fr-FR"/>
              </w:rPr>
            </w:pPr>
          </w:p>
        </w:tc>
        <w:tc>
          <w:tcPr>
            <w:tcW w:w="0" w:type="auto"/>
            <w:shd w:val="clear" w:color="000000" w:fill="D9D9D9"/>
            <w:vAlign w:val="center"/>
            <w:hideMark/>
          </w:tcPr>
          <w:p w14:paraId="29DEA470"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tcPr>
          <w:p w14:paraId="5D5723CB" w14:textId="77777777" w:rsidR="00594EA1" w:rsidRPr="004E13E9" w:rsidRDefault="00594EA1" w:rsidP="00594EA1">
            <w:pPr>
              <w:widowControl w:val="0"/>
              <w:jc w:val="both"/>
              <w:rPr>
                <w:rFonts w:eastAsia="Times New Roman" w:cs="Calibri"/>
                <w:color w:val="000000"/>
                <w:sz w:val="18"/>
                <w:szCs w:val="18"/>
                <w:lang w:val="fr-FR" w:eastAsia="ja-JP" w:bidi="fr-FR"/>
              </w:rPr>
            </w:pPr>
          </w:p>
        </w:tc>
        <w:tc>
          <w:tcPr>
            <w:tcW w:w="0" w:type="auto"/>
            <w:vAlign w:val="center"/>
            <w:hideMark/>
          </w:tcPr>
          <w:p w14:paraId="73050B0B"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vAlign w:val="center"/>
            <w:hideMark/>
          </w:tcPr>
          <w:p w14:paraId="23859F35"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vAlign w:val="center"/>
            <w:hideMark/>
          </w:tcPr>
          <w:p w14:paraId="5839719E"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vAlign w:val="center"/>
            <w:hideMark/>
          </w:tcPr>
          <w:p w14:paraId="2EC8B189"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vAlign w:val="center"/>
            <w:hideMark/>
          </w:tcPr>
          <w:p w14:paraId="644FA744"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tcPr>
          <w:p w14:paraId="5ED0B504" w14:textId="77777777" w:rsidR="00594EA1" w:rsidRPr="004E13E9" w:rsidRDefault="00594EA1" w:rsidP="00594EA1">
            <w:pPr>
              <w:widowControl w:val="0"/>
              <w:jc w:val="both"/>
              <w:rPr>
                <w:rFonts w:eastAsia="Times New Roman" w:cs="Calibri"/>
                <w:color w:val="000000"/>
                <w:sz w:val="18"/>
                <w:szCs w:val="18"/>
                <w:lang w:val="fr-FR" w:eastAsia="ja-JP" w:bidi="fr-FR"/>
              </w:rPr>
            </w:pPr>
          </w:p>
        </w:tc>
      </w:tr>
      <w:tr w:rsidR="00594EA1" w:rsidRPr="004E13E9" w14:paraId="6D196E53" w14:textId="77777777" w:rsidTr="00D47E5E">
        <w:trPr>
          <w:trHeight w:val="20"/>
          <w:jc w:val="center"/>
        </w:trPr>
        <w:tc>
          <w:tcPr>
            <w:tcW w:w="0" w:type="auto"/>
            <w:noWrap/>
            <w:vAlign w:val="center"/>
            <w:hideMark/>
          </w:tcPr>
          <w:p w14:paraId="0382D0C8"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Senneur entre 24 et 40 m</w:t>
            </w:r>
          </w:p>
        </w:tc>
        <w:tc>
          <w:tcPr>
            <w:tcW w:w="2103" w:type="dxa"/>
            <w:noWrap/>
            <w:vAlign w:val="center"/>
            <w:hideMark/>
          </w:tcPr>
          <w:p w14:paraId="4C902DE5"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49,78</w:t>
            </w:r>
          </w:p>
        </w:tc>
        <w:tc>
          <w:tcPr>
            <w:tcW w:w="710" w:type="dxa"/>
          </w:tcPr>
          <w:p w14:paraId="523D8E98" w14:textId="77777777" w:rsidR="00594EA1" w:rsidRPr="004E13E9" w:rsidRDefault="00594EA1" w:rsidP="00594EA1">
            <w:pPr>
              <w:widowControl w:val="0"/>
              <w:jc w:val="both"/>
              <w:rPr>
                <w:rFonts w:eastAsia="Times New Roman" w:cs="Calibri"/>
                <w:color w:val="000000"/>
                <w:sz w:val="18"/>
                <w:szCs w:val="18"/>
                <w:lang w:val="fr-FR" w:eastAsia="ja-JP" w:bidi="fr-FR"/>
              </w:rPr>
            </w:pPr>
          </w:p>
        </w:tc>
        <w:tc>
          <w:tcPr>
            <w:tcW w:w="0" w:type="auto"/>
            <w:noWrap/>
            <w:vAlign w:val="center"/>
            <w:hideMark/>
          </w:tcPr>
          <w:p w14:paraId="1E944658"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vAlign w:val="center"/>
            <w:hideMark/>
          </w:tcPr>
          <w:p w14:paraId="395B71BD"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vAlign w:val="center"/>
            <w:hideMark/>
          </w:tcPr>
          <w:p w14:paraId="04273C5A"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vAlign w:val="center"/>
            <w:hideMark/>
          </w:tcPr>
          <w:p w14:paraId="7042F041"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tcPr>
          <w:p w14:paraId="5307EA38" w14:textId="77777777" w:rsidR="00594EA1" w:rsidRPr="004E13E9" w:rsidRDefault="00594EA1" w:rsidP="00594EA1">
            <w:pPr>
              <w:widowControl w:val="0"/>
              <w:jc w:val="both"/>
              <w:rPr>
                <w:rFonts w:eastAsia="Times New Roman" w:cs="Calibri"/>
                <w:color w:val="000000"/>
                <w:sz w:val="18"/>
                <w:szCs w:val="18"/>
                <w:lang w:val="fr-FR" w:eastAsia="ja-JP" w:bidi="fr-FR"/>
              </w:rPr>
            </w:pPr>
          </w:p>
        </w:tc>
        <w:tc>
          <w:tcPr>
            <w:tcW w:w="0" w:type="auto"/>
          </w:tcPr>
          <w:p w14:paraId="71B142E1" w14:textId="77777777" w:rsidR="00594EA1" w:rsidRPr="004E13E9" w:rsidRDefault="00594EA1" w:rsidP="00594EA1">
            <w:pPr>
              <w:widowControl w:val="0"/>
              <w:jc w:val="center"/>
              <w:rPr>
                <w:rFonts w:eastAsia="Times New Roman" w:cs="Calibri"/>
                <w:color w:val="000000"/>
                <w:sz w:val="18"/>
                <w:szCs w:val="18"/>
                <w:lang w:val="fr-FR" w:eastAsia="ja-JP" w:bidi="fr-FR"/>
              </w:rPr>
            </w:pPr>
          </w:p>
        </w:tc>
        <w:tc>
          <w:tcPr>
            <w:tcW w:w="0" w:type="auto"/>
            <w:shd w:val="clear" w:color="000000" w:fill="D9D9D9"/>
            <w:vAlign w:val="center"/>
            <w:hideMark/>
          </w:tcPr>
          <w:p w14:paraId="385F9817"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tcPr>
          <w:p w14:paraId="465A88FD" w14:textId="77777777" w:rsidR="00594EA1" w:rsidRPr="004E13E9" w:rsidRDefault="00594EA1" w:rsidP="00594EA1">
            <w:pPr>
              <w:widowControl w:val="0"/>
              <w:jc w:val="both"/>
              <w:rPr>
                <w:rFonts w:eastAsia="Times New Roman" w:cs="Calibri"/>
                <w:color w:val="000000"/>
                <w:sz w:val="18"/>
                <w:szCs w:val="18"/>
                <w:lang w:val="fr-FR" w:eastAsia="ja-JP" w:bidi="fr-FR"/>
              </w:rPr>
            </w:pPr>
          </w:p>
        </w:tc>
        <w:tc>
          <w:tcPr>
            <w:tcW w:w="0" w:type="auto"/>
            <w:vAlign w:val="center"/>
            <w:hideMark/>
          </w:tcPr>
          <w:p w14:paraId="1A463B90"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vAlign w:val="center"/>
            <w:hideMark/>
          </w:tcPr>
          <w:p w14:paraId="1367BB23"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vAlign w:val="center"/>
            <w:hideMark/>
          </w:tcPr>
          <w:p w14:paraId="0D82ED8F"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vAlign w:val="center"/>
            <w:hideMark/>
          </w:tcPr>
          <w:p w14:paraId="72E03122"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vAlign w:val="center"/>
            <w:hideMark/>
          </w:tcPr>
          <w:p w14:paraId="1DC9C94F"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0" w:type="auto"/>
          </w:tcPr>
          <w:p w14:paraId="613C9B29" w14:textId="77777777" w:rsidR="00594EA1" w:rsidRPr="004E13E9" w:rsidRDefault="00594EA1" w:rsidP="00594EA1">
            <w:pPr>
              <w:widowControl w:val="0"/>
              <w:jc w:val="both"/>
              <w:rPr>
                <w:rFonts w:eastAsia="Times New Roman" w:cs="Calibri"/>
                <w:color w:val="000000"/>
                <w:sz w:val="18"/>
                <w:szCs w:val="18"/>
                <w:lang w:val="fr-FR" w:eastAsia="ja-JP" w:bidi="fr-FR"/>
              </w:rPr>
            </w:pPr>
          </w:p>
        </w:tc>
      </w:tr>
      <w:tr w:rsidR="00594EA1" w:rsidRPr="004E13E9" w14:paraId="64163082" w14:textId="77777777" w:rsidTr="00D47E5E">
        <w:trPr>
          <w:trHeight w:val="20"/>
          <w:jc w:val="center"/>
        </w:trPr>
        <w:tc>
          <w:tcPr>
            <w:tcW w:w="0" w:type="auto"/>
            <w:noWrap/>
            <w:vAlign w:val="center"/>
            <w:hideMark/>
          </w:tcPr>
          <w:p w14:paraId="03AA5EB7"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Senneur de moins de 24m</w:t>
            </w:r>
          </w:p>
        </w:tc>
        <w:tc>
          <w:tcPr>
            <w:tcW w:w="2103" w:type="dxa"/>
            <w:noWrap/>
            <w:vAlign w:val="center"/>
            <w:hideMark/>
          </w:tcPr>
          <w:p w14:paraId="3A004FFF"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33,68</w:t>
            </w:r>
          </w:p>
        </w:tc>
        <w:tc>
          <w:tcPr>
            <w:tcW w:w="710" w:type="dxa"/>
          </w:tcPr>
          <w:p w14:paraId="3909C859" w14:textId="77777777" w:rsidR="00594EA1" w:rsidRPr="004E13E9" w:rsidRDefault="00594EA1" w:rsidP="00594EA1">
            <w:pPr>
              <w:widowControl w:val="0"/>
              <w:jc w:val="both"/>
              <w:rPr>
                <w:rFonts w:eastAsia="Times New Roman" w:cs="Calibri"/>
                <w:color w:val="000000"/>
                <w:sz w:val="16"/>
                <w:szCs w:val="16"/>
                <w:lang w:val="fr-FR" w:eastAsia="ja-JP" w:bidi="fr-FR"/>
              </w:rPr>
            </w:pPr>
          </w:p>
        </w:tc>
        <w:tc>
          <w:tcPr>
            <w:tcW w:w="0" w:type="auto"/>
            <w:noWrap/>
            <w:vAlign w:val="center"/>
            <w:hideMark/>
          </w:tcPr>
          <w:p w14:paraId="4757C896" w14:textId="77777777" w:rsidR="00594EA1" w:rsidRPr="004E13E9" w:rsidRDefault="00594EA1" w:rsidP="00594EA1">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 </w:t>
            </w:r>
          </w:p>
        </w:tc>
        <w:tc>
          <w:tcPr>
            <w:tcW w:w="0" w:type="auto"/>
            <w:vAlign w:val="center"/>
            <w:hideMark/>
          </w:tcPr>
          <w:p w14:paraId="0DB6FC8F" w14:textId="77777777" w:rsidR="00594EA1" w:rsidRPr="004E13E9" w:rsidRDefault="00594EA1" w:rsidP="00594EA1">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 </w:t>
            </w:r>
          </w:p>
        </w:tc>
        <w:tc>
          <w:tcPr>
            <w:tcW w:w="0" w:type="auto"/>
            <w:vAlign w:val="center"/>
            <w:hideMark/>
          </w:tcPr>
          <w:p w14:paraId="4003BA2A" w14:textId="77777777" w:rsidR="00594EA1" w:rsidRPr="004E13E9" w:rsidRDefault="00594EA1" w:rsidP="00594EA1">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 </w:t>
            </w:r>
          </w:p>
        </w:tc>
        <w:tc>
          <w:tcPr>
            <w:tcW w:w="0" w:type="auto"/>
            <w:vAlign w:val="center"/>
            <w:hideMark/>
          </w:tcPr>
          <w:p w14:paraId="6A09AA48" w14:textId="77777777" w:rsidR="00594EA1" w:rsidRPr="004E13E9" w:rsidRDefault="00594EA1" w:rsidP="00594EA1">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 </w:t>
            </w:r>
          </w:p>
        </w:tc>
        <w:tc>
          <w:tcPr>
            <w:tcW w:w="0" w:type="auto"/>
          </w:tcPr>
          <w:p w14:paraId="0FD681DF" w14:textId="77777777" w:rsidR="00594EA1" w:rsidRPr="004E13E9" w:rsidRDefault="00594EA1" w:rsidP="00594EA1">
            <w:pPr>
              <w:widowControl w:val="0"/>
              <w:jc w:val="both"/>
              <w:rPr>
                <w:rFonts w:eastAsia="Times New Roman" w:cs="Calibri"/>
                <w:color w:val="000000"/>
                <w:sz w:val="16"/>
                <w:szCs w:val="16"/>
                <w:lang w:val="fr-FR" w:eastAsia="ja-JP" w:bidi="fr-FR"/>
              </w:rPr>
            </w:pPr>
          </w:p>
        </w:tc>
        <w:tc>
          <w:tcPr>
            <w:tcW w:w="0" w:type="auto"/>
          </w:tcPr>
          <w:p w14:paraId="33410933"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000000" w:fill="D9D9D9"/>
            <w:vAlign w:val="center"/>
            <w:hideMark/>
          </w:tcPr>
          <w:p w14:paraId="610AC46A" w14:textId="77777777" w:rsidR="00594EA1" w:rsidRPr="004E13E9" w:rsidRDefault="00594EA1" w:rsidP="00594EA1">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 </w:t>
            </w:r>
          </w:p>
        </w:tc>
        <w:tc>
          <w:tcPr>
            <w:tcW w:w="0" w:type="auto"/>
          </w:tcPr>
          <w:p w14:paraId="751DFD02" w14:textId="77777777" w:rsidR="00594EA1" w:rsidRPr="004E13E9" w:rsidRDefault="00594EA1" w:rsidP="00594EA1">
            <w:pPr>
              <w:widowControl w:val="0"/>
              <w:jc w:val="both"/>
              <w:rPr>
                <w:rFonts w:eastAsia="Times New Roman" w:cs="Calibri"/>
                <w:color w:val="000000"/>
                <w:sz w:val="16"/>
                <w:szCs w:val="16"/>
                <w:lang w:val="fr-FR" w:eastAsia="ja-JP" w:bidi="fr-FR"/>
              </w:rPr>
            </w:pPr>
          </w:p>
        </w:tc>
        <w:tc>
          <w:tcPr>
            <w:tcW w:w="0" w:type="auto"/>
            <w:vAlign w:val="center"/>
            <w:hideMark/>
          </w:tcPr>
          <w:p w14:paraId="1A802227" w14:textId="77777777" w:rsidR="00594EA1" w:rsidRPr="004E13E9" w:rsidRDefault="00594EA1" w:rsidP="00594EA1">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 </w:t>
            </w:r>
          </w:p>
        </w:tc>
        <w:tc>
          <w:tcPr>
            <w:tcW w:w="0" w:type="auto"/>
            <w:vAlign w:val="center"/>
            <w:hideMark/>
          </w:tcPr>
          <w:p w14:paraId="40AADF5A" w14:textId="77777777" w:rsidR="00594EA1" w:rsidRPr="004E13E9" w:rsidRDefault="00594EA1" w:rsidP="00594EA1">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 </w:t>
            </w:r>
          </w:p>
        </w:tc>
        <w:tc>
          <w:tcPr>
            <w:tcW w:w="0" w:type="auto"/>
            <w:vAlign w:val="center"/>
            <w:hideMark/>
          </w:tcPr>
          <w:p w14:paraId="76474779" w14:textId="77777777" w:rsidR="00594EA1" w:rsidRPr="004E13E9" w:rsidRDefault="00594EA1" w:rsidP="00594EA1">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 </w:t>
            </w:r>
          </w:p>
        </w:tc>
        <w:tc>
          <w:tcPr>
            <w:tcW w:w="0" w:type="auto"/>
            <w:vAlign w:val="center"/>
            <w:hideMark/>
          </w:tcPr>
          <w:p w14:paraId="278DED9C" w14:textId="77777777" w:rsidR="00594EA1" w:rsidRPr="004E13E9" w:rsidRDefault="00594EA1" w:rsidP="00594EA1">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 </w:t>
            </w:r>
          </w:p>
        </w:tc>
        <w:tc>
          <w:tcPr>
            <w:tcW w:w="0" w:type="auto"/>
            <w:vAlign w:val="center"/>
            <w:hideMark/>
          </w:tcPr>
          <w:p w14:paraId="0AE14EDE" w14:textId="77777777" w:rsidR="00594EA1" w:rsidRPr="004E13E9" w:rsidRDefault="00594EA1" w:rsidP="00594EA1">
            <w:pPr>
              <w:widowControl w:val="0"/>
              <w:jc w:val="both"/>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 </w:t>
            </w:r>
          </w:p>
        </w:tc>
        <w:tc>
          <w:tcPr>
            <w:tcW w:w="0" w:type="auto"/>
          </w:tcPr>
          <w:p w14:paraId="009B6249" w14:textId="77777777" w:rsidR="00594EA1" w:rsidRPr="004E13E9" w:rsidRDefault="00594EA1" w:rsidP="00594EA1">
            <w:pPr>
              <w:widowControl w:val="0"/>
              <w:jc w:val="both"/>
              <w:rPr>
                <w:rFonts w:eastAsia="Times New Roman" w:cs="Calibri"/>
                <w:color w:val="000000"/>
                <w:sz w:val="16"/>
                <w:szCs w:val="16"/>
                <w:lang w:val="fr-FR" w:eastAsia="ja-JP" w:bidi="fr-FR"/>
              </w:rPr>
            </w:pPr>
          </w:p>
        </w:tc>
      </w:tr>
      <w:tr w:rsidR="00594EA1" w:rsidRPr="004E13E9" w14:paraId="0A59D1CB" w14:textId="77777777" w:rsidTr="00D47E5E">
        <w:trPr>
          <w:trHeight w:val="20"/>
          <w:jc w:val="center"/>
        </w:trPr>
        <w:tc>
          <w:tcPr>
            <w:tcW w:w="0" w:type="auto"/>
            <w:noWrap/>
            <w:vAlign w:val="center"/>
            <w:hideMark/>
          </w:tcPr>
          <w:p w14:paraId="424FC897" w14:textId="77777777" w:rsidR="00594EA1" w:rsidRPr="004E13E9" w:rsidRDefault="00594EA1" w:rsidP="00594EA1">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Flottille totale de senneurs</w:t>
            </w:r>
          </w:p>
        </w:tc>
        <w:tc>
          <w:tcPr>
            <w:tcW w:w="2103" w:type="dxa"/>
            <w:noWrap/>
            <w:vAlign w:val="center"/>
            <w:hideMark/>
          </w:tcPr>
          <w:p w14:paraId="09CF143D" w14:textId="77777777" w:rsidR="00594EA1" w:rsidRPr="004E13E9" w:rsidRDefault="00594EA1" w:rsidP="00594EA1">
            <w:pPr>
              <w:widowControl w:val="0"/>
              <w:jc w:val="both"/>
              <w:rPr>
                <w:rFonts w:eastAsia="Times New Roman" w:cs="Times New Roman"/>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710" w:type="dxa"/>
          </w:tcPr>
          <w:p w14:paraId="6848114B" w14:textId="77777777" w:rsidR="00594EA1" w:rsidRPr="004E13E9" w:rsidRDefault="00594EA1" w:rsidP="00594EA1">
            <w:pPr>
              <w:widowControl w:val="0"/>
              <w:jc w:val="both"/>
              <w:rPr>
                <w:rFonts w:eastAsia="Times New Roman" w:cs="Calibri"/>
                <w:b/>
                <w:bCs/>
                <w:color w:val="000000"/>
                <w:sz w:val="16"/>
                <w:szCs w:val="16"/>
                <w:lang w:val="fr-FR" w:eastAsia="ja-JP" w:bidi="fr-FR"/>
              </w:rPr>
            </w:pPr>
          </w:p>
        </w:tc>
        <w:tc>
          <w:tcPr>
            <w:tcW w:w="0" w:type="auto"/>
            <w:noWrap/>
            <w:vAlign w:val="center"/>
            <w:hideMark/>
          </w:tcPr>
          <w:p w14:paraId="2FCC5FBC" w14:textId="77777777" w:rsidR="00594EA1" w:rsidRPr="004E13E9" w:rsidRDefault="00594EA1" w:rsidP="00594EA1">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24"/>
                <w:lang w:val="fr-FR" w:eastAsia="fr-FR" w:bidi="fr-FR"/>
              </w:rPr>
              <w:t> </w:t>
            </w:r>
          </w:p>
        </w:tc>
        <w:tc>
          <w:tcPr>
            <w:tcW w:w="0" w:type="auto"/>
            <w:vAlign w:val="center"/>
            <w:hideMark/>
          </w:tcPr>
          <w:p w14:paraId="4E8181F1" w14:textId="77777777" w:rsidR="00594EA1" w:rsidRPr="004E13E9" w:rsidRDefault="00594EA1" w:rsidP="00594EA1">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24"/>
                <w:lang w:val="fr-FR" w:eastAsia="fr-FR" w:bidi="fr-FR"/>
              </w:rPr>
              <w:t> </w:t>
            </w:r>
          </w:p>
        </w:tc>
        <w:tc>
          <w:tcPr>
            <w:tcW w:w="0" w:type="auto"/>
            <w:vAlign w:val="center"/>
            <w:hideMark/>
          </w:tcPr>
          <w:p w14:paraId="5962E1CD" w14:textId="77777777" w:rsidR="00594EA1" w:rsidRPr="004E13E9" w:rsidRDefault="00594EA1" w:rsidP="00594EA1">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24"/>
                <w:lang w:val="fr-FR" w:eastAsia="fr-FR" w:bidi="fr-FR"/>
              </w:rPr>
              <w:t> </w:t>
            </w:r>
          </w:p>
        </w:tc>
        <w:tc>
          <w:tcPr>
            <w:tcW w:w="0" w:type="auto"/>
            <w:vAlign w:val="center"/>
            <w:hideMark/>
          </w:tcPr>
          <w:p w14:paraId="417D5ADA" w14:textId="77777777" w:rsidR="00594EA1" w:rsidRPr="004E13E9" w:rsidRDefault="00594EA1" w:rsidP="00594EA1">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24"/>
                <w:lang w:val="fr-FR" w:eastAsia="fr-FR" w:bidi="fr-FR"/>
              </w:rPr>
              <w:t> </w:t>
            </w:r>
          </w:p>
        </w:tc>
        <w:tc>
          <w:tcPr>
            <w:tcW w:w="0" w:type="auto"/>
          </w:tcPr>
          <w:p w14:paraId="01132DD3" w14:textId="77777777" w:rsidR="00594EA1" w:rsidRPr="004E13E9" w:rsidRDefault="00594EA1" w:rsidP="00594EA1">
            <w:pPr>
              <w:widowControl w:val="0"/>
              <w:jc w:val="both"/>
              <w:rPr>
                <w:rFonts w:eastAsia="Times New Roman" w:cs="Calibri"/>
                <w:b/>
                <w:bCs/>
                <w:color w:val="000000"/>
                <w:sz w:val="16"/>
                <w:szCs w:val="16"/>
                <w:lang w:val="fr-FR" w:eastAsia="ja-JP" w:bidi="fr-FR"/>
              </w:rPr>
            </w:pPr>
          </w:p>
        </w:tc>
        <w:tc>
          <w:tcPr>
            <w:tcW w:w="0" w:type="auto"/>
          </w:tcPr>
          <w:p w14:paraId="57D195D9"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000000" w:fill="D9D9D9"/>
            <w:vAlign w:val="center"/>
            <w:hideMark/>
          </w:tcPr>
          <w:p w14:paraId="1E6E8764" w14:textId="77777777" w:rsidR="00594EA1" w:rsidRPr="004E13E9" w:rsidRDefault="00594EA1" w:rsidP="00594EA1">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24"/>
                <w:lang w:val="fr-FR" w:eastAsia="fr-FR" w:bidi="fr-FR"/>
              </w:rPr>
              <w:t> </w:t>
            </w:r>
          </w:p>
        </w:tc>
        <w:tc>
          <w:tcPr>
            <w:tcW w:w="0" w:type="auto"/>
          </w:tcPr>
          <w:p w14:paraId="114CD94E" w14:textId="77777777" w:rsidR="00594EA1" w:rsidRPr="004E13E9" w:rsidRDefault="00594EA1" w:rsidP="00594EA1">
            <w:pPr>
              <w:widowControl w:val="0"/>
              <w:jc w:val="both"/>
              <w:rPr>
                <w:rFonts w:eastAsia="Times New Roman" w:cs="Calibri"/>
                <w:b/>
                <w:bCs/>
                <w:color w:val="000000"/>
                <w:sz w:val="16"/>
                <w:szCs w:val="16"/>
                <w:lang w:val="fr-FR" w:eastAsia="ja-JP" w:bidi="fr-FR"/>
              </w:rPr>
            </w:pPr>
          </w:p>
        </w:tc>
        <w:tc>
          <w:tcPr>
            <w:tcW w:w="0" w:type="auto"/>
            <w:vAlign w:val="center"/>
            <w:hideMark/>
          </w:tcPr>
          <w:p w14:paraId="4C392DDF" w14:textId="77777777" w:rsidR="00594EA1" w:rsidRPr="004E13E9" w:rsidRDefault="00594EA1" w:rsidP="00594EA1">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24"/>
                <w:lang w:val="fr-FR" w:eastAsia="fr-FR" w:bidi="fr-FR"/>
              </w:rPr>
              <w:t> </w:t>
            </w:r>
          </w:p>
        </w:tc>
        <w:tc>
          <w:tcPr>
            <w:tcW w:w="0" w:type="auto"/>
            <w:vAlign w:val="center"/>
            <w:hideMark/>
          </w:tcPr>
          <w:p w14:paraId="48A1A81E" w14:textId="77777777" w:rsidR="00594EA1" w:rsidRPr="004E13E9" w:rsidRDefault="00594EA1" w:rsidP="00594EA1">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24"/>
                <w:lang w:val="fr-FR" w:eastAsia="fr-FR" w:bidi="fr-FR"/>
              </w:rPr>
              <w:t> </w:t>
            </w:r>
          </w:p>
        </w:tc>
        <w:tc>
          <w:tcPr>
            <w:tcW w:w="0" w:type="auto"/>
            <w:vAlign w:val="center"/>
            <w:hideMark/>
          </w:tcPr>
          <w:p w14:paraId="7CBB5425" w14:textId="77777777" w:rsidR="00594EA1" w:rsidRPr="004E13E9" w:rsidRDefault="00594EA1" w:rsidP="00594EA1">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24"/>
                <w:lang w:val="fr-FR" w:eastAsia="fr-FR" w:bidi="fr-FR"/>
              </w:rPr>
              <w:t> </w:t>
            </w:r>
          </w:p>
        </w:tc>
        <w:tc>
          <w:tcPr>
            <w:tcW w:w="0" w:type="auto"/>
            <w:vAlign w:val="center"/>
            <w:hideMark/>
          </w:tcPr>
          <w:p w14:paraId="39981A0F" w14:textId="77777777" w:rsidR="00594EA1" w:rsidRPr="004E13E9" w:rsidRDefault="00594EA1" w:rsidP="00594EA1">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24"/>
                <w:lang w:val="fr-FR" w:eastAsia="fr-FR" w:bidi="fr-FR"/>
              </w:rPr>
              <w:t> </w:t>
            </w:r>
          </w:p>
        </w:tc>
        <w:tc>
          <w:tcPr>
            <w:tcW w:w="0" w:type="auto"/>
            <w:vAlign w:val="center"/>
            <w:hideMark/>
          </w:tcPr>
          <w:p w14:paraId="1B2C8CCA" w14:textId="77777777" w:rsidR="00594EA1" w:rsidRPr="004E13E9" w:rsidRDefault="00594EA1" w:rsidP="00594EA1">
            <w:pPr>
              <w:widowControl w:val="0"/>
              <w:jc w:val="both"/>
              <w:rPr>
                <w:rFonts w:eastAsia="Times New Roman" w:cs="Calibri"/>
                <w:b/>
                <w:bCs/>
                <w:color w:val="000000"/>
                <w:sz w:val="16"/>
                <w:szCs w:val="16"/>
                <w:lang w:val="fr-FR" w:eastAsia="fr-FR" w:bidi="fr-FR"/>
              </w:rPr>
            </w:pPr>
            <w:r w:rsidRPr="004E13E9">
              <w:rPr>
                <w:rFonts w:eastAsia="MS Gothic" w:cs="Times New Roman"/>
                <w:b/>
                <w:color w:val="000000"/>
                <w:sz w:val="16"/>
                <w:szCs w:val="24"/>
                <w:lang w:val="fr-FR" w:eastAsia="fr-FR" w:bidi="fr-FR"/>
              </w:rPr>
              <w:t> </w:t>
            </w:r>
          </w:p>
        </w:tc>
        <w:tc>
          <w:tcPr>
            <w:tcW w:w="0" w:type="auto"/>
          </w:tcPr>
          <w:p w14:paraId="1721E4F9" w14:textId="77777777" w:rsidR="00594EA1" w:rsidRPr="004E13E9" w:rsidRDefault="00594EA1" w:rsidP="00594EA1">
            <w:pPr>
              <w:widowControl w:val="0"/>
              <w:jc w:val="both"/>
              <w:rPr>
                <w:rFonts w:eastAsia="Times New Roman" w:cs="Calibri"/>
                <w:b/>
                <w:bCs/>
                <w:color w:val="000000"/>
                <w:sz w:val="16"/>
                <w:szCs w:val="16"/>
                <w:lang w:val="fr-FR" w:eastAsia="ja-JP" w:bidi="fr-FR"/>
              </w:rPr>
            </w:pPr>
          </w:p>
        </w:tc>
      </w:tr>
      <w:tr w:rsidR="00594EA1" w:rsidRPr="004E13E9" w14:paraId="19EAC2EF" w14:textId="77777777" w:rsidTr="00D47E5E">
        <w:trPr>
          <w:trHeight w:val="20"/>
          <w:jc w:val="center"/>
        </w:trPr>
        <w:tc>
          <w:tcPr>
            <w:tcW w:w="0" w:type="auto"/>
            <w:noWrap/>
            <w:vAlign w:val="center"/>
            <w:hideMark/>
          </w:tcPr>
          <w:p w14:paraId="32D2081A"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Palangrier de plus de 40 m</w:t>
            </w:r>
          </w:p>
        </w:tc>
        <w:tc>
          <w:tcPr>
            <w:tcW w:w="2103" w:type="dxa"/>
            <w:noWrap/>
            <w:vAlign w:val="center"/>
            <w:hideMark/>
          </w:tcPr>
          <w:p w14:paraId="3E8D9F7E"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25</w:t>
            </w:r>
          </w:p>
        </w:tc>
        <w:tc>
          <w:tcPr>
            <w:tcW w:w="710" w:type="dxa"/>
            <w:vAlign w:val="center"/>
          </w:tcPr>
          <w:p w14:paraId="5A2C7AA4"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8</w:t>
            </w:r>
          </w:p>
        </w:tc>
        <w:tc>
          <w:tcPr>
            <w:tcW w:w="0" w:type="auto"/>
            <w:noWrap/>
            <w:vAlign w:val="center"/>
            <w:hideMark/>
          </w:tcPr>
          <w:p w14:paraId="7769C58F" w14:textId="77777777" w:rsidR="00594EA1" w:rsidRPr="004E13E9" w:rsidRDefault="00594EA1" w:rsidP="00594EA1">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vAlign w:val="center"/>
            <w:hideMark/>
          </w:tcPr>
          <w:p w14:paraId="2FCCF2F1" w14:textId="77777777" w:rsidR="00594EA1" w:rsidRPr="004E13E9" w:rsidRDefault="00594EA1" w:rsidP="00594EA1">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vAlign w:val="center"/>
            <w:hideMark/>
          </w:tcPr>
          <w:p w14:paraId="6490C1EB" w14:textId="77777777" w:rsidR="00594EA1" w:rsidRPr="004E13E9" w:rsidRDefault="00594EA1" w:rsidP="00594EA1">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vAlign w:val="center"/>
            <w:hideMark/>
          </w:tcPr>
          <w:p w14:paraId="206C4152" w14:textId="77777777" w:rsidR="00594EA1" w:rsidRPr="004E13E9" w:rsidRDefault="00594EA1" w:rsidP="00594EA1">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vAlign w:val="center"/>
          </w:tcPr>
          <w:p w14:paraId="74129E4F" w14:textId="77777777" w:rsidR="00594EA1" w:rsidRPr="004E13E9" w:rsidRDefault="00594EA1" w:rsidP="00594EA1">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vAlign w:val="center"/>
          </w:tcPr>
          <w:p w14:paraId="09502D65"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1</w:t>
            </w:r>
          </w:p>
        </w:tc>
        <w:tc>
          <w:tcPr>
            <w:tcW w:w="0" w:type="auto"/>
            <w:shd w:val="clear" w:color="000000" w:fill="D9D9D9"/>
            <w:vAlign w:val="center"/>
            <w:hideMark/>
          </w:tcPr>
          <w:p w14:paraId="63EA365C"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2B3449E1"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200</w:t>
            </w:r>
          </w:p>
        </w:tc>
        <w:tc>
          <w:tcPr>
            <w:tcW w:w="0" w:type="auto"/>
            <w:vAlign w:val="center"/>
            <w:hideMark/>
          </w:tcPr>
          <w:p w14:paraId="10030A24"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vAlign w:val="center"/>
            <w:hideMark/>
          </w:tcPr>
          <w:p w14:paraId="5FA8D2E7" w14:textId="77777777" w:rsidR="00594EA1" w:rsidRPr="004E13E9" w:rsidRDefault="00594EA1" w:rsidP="00594EA1">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vAlign w:val="center"/>
            <w:hideMark/>
          </w:tcPr>
          <w:p w14:paraId="6AAFE139" w14:textId="77777777" w:rsidR="00594EA1" w:rsidRPr="004E13E9" w:rsidRDefault="00594EA1" w:rsidP="00594EA1">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vAlign w:val="center"/>
            <w:hideMark/>
          </w:tcPr>
          <w:p w14:paraId="78604AD4" w14:textId="77777777" w:rsidR="00594EA1" w:rsidRPr="004E13E9" w:rsidRDefault="00594EA1" w:rsidP="00594EA1">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vAlign w:val="center"/>
            <w:hideMark/>
          </w:tcPr>
          <w:p w14:paraId="2123A246" w14:textId="77777777" w:rsidR="00594EA1" w:rsidRPr="004E13E9" w:rsidRDefault="00594EA1" w:rsidP="00594EA1">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vAlign w:val="center"/>
          </w:tcPr>
          <w:p w14:paraId="6F1529A0"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25</w:t>
            </w:r>
          </w:p>
        </w:tc>
      </w:tr>
      <w:tr w:rsidR="00594EA1" w:rsidRPr="004E13E9" w14:paraId="05BF8525" w14:textId="77777777" w:rsidTr="00D47E5E">
        <w:trPr>
          <w:trHeight w:val="20"/>
          <w:jc w:val="center"/>
        </w:trPr>
        <w:tc>
          <w:tcPr>
            <w:tcW w:w="0" w:type="auto"/>
            <w:noWrap/>
            <w:vAlign w:val="center"/>
            <w:hideMark/>
          </w:tcPr>
          <w:p w14:paraId="5E44FC33"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Palangrier entre 24 et 40 m</w:t>
            </w:r>
          </w:p>
        </w:tc>
        <w:tc>
          <w:tcPr>
            <w:tcW w:w="2103" w:type="dxa"/>
            <w:noWrap/>
            <w:vAlign w:val="center"/>
            <w:hideMark/>
          </w:tcPr>
          <w:p w14:paraId="178C2545"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5,68</w:t>
            </w:r>
          </w:p>
        </w:tc>
        <w:tc>
          <w:tcPr>
            <w:tcW w:w="710" w:type="dxa"/>
            <w:vAlign w:val="center"/>
          </w:tcPr>
          <w:p w14:paraId="767E7B64"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noWrap/>
            <w:vAlign w:val="center"/>
            <w:hideMark/>
          </w:tcPr>
          <w:p w14:paraId="6D50956D"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4781583B"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48229CFC"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72ED494F"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14224CC5"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02E7D8CB"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000000" w:fill="D9D9D9"/>
            <w:vAlign w:val="center"/>
            <w:hideMark/>
          </w:tcPr>
          <w:p w14:paraId="13749234"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7A19A00B"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441DBDF5"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440D3280"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495731D0"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311EE62F"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097168F4"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5ED3FDE1" w14:textId="77777777" w:rsidR="00594EA1" w:rsidRPr="004E13E9" w:rsidRDefault="00594EA1" w:rsidP="00594EA1">
            <w:pPr>
              <w:widowControl w:val="0"/>
              <w:jc w:val="center"/>
              <w:rPr>
                <w:rFonts w:eastAsia="Times New Roman" w:cs="Calibri"/>
                <w:color w:val="000000"/>
                <w:sz w:val="16"/>
                <w:szCs w:val="16"/>
                <w:lang w:val="fr-FR" w:eastAsia="ja-JP" w:bidi="fr-FR"/>
              </w:rPr>
            </w:pPr>
          </w:p>
        </w:tc>
      </w:tr>
      <w:tr w:rsidR="00594EA1" w:rsidRPr="004E13E9" w14:paraId="1A64CEA6" w14:textId="77777777" w:rsidTr="00D47E5E">
        <w:trPr>
          <w:trHeight w:val="20"/>
          <w:jc w:val="center"/>
        </w:trPr>
        <w:tc>
          <w:tcPr>
            <w:tcW w:w="0" w:type="auto"/>
            <w:noWrap/>
            <w:vAlign w:val="center"/>
            <w:hideMark/>
          </w:tcPr>
          <w:p w14:paraId="1F639F34"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Palangrier de moins de 24m</w:t>
            </w:r>
          </w:p>
        </w:tc>
        <w:tc>
          <w:tcPr>
            <w:tcW w:w="2103" w:type="dxa"/>
            <w:noWrap/>
            <w:vAlign w:val="center"/>
            <w:hideMark/>
          </w:tcPr>
          <w:p w14:paraId="4BDF61A9"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5</w:t>
            </w:r>
          </w:p>
        </w:tc>
        <w:tc>
          <w:tcPr>
            <w:tcW w:w="710" w:type="dxa"/>
            <w:vAlign w:val="center"/>
          </w:tcPr>
          <w:p w14:paraId="53B26D14"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noWrap/>
            <w:vAlign w:val="center"/>
            <w:hideMark/>
          </w:tcPr>
          <w:p w14:paraId="7F0F8C8D"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128FF9D5"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3870168E"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3F1E0593"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7DC8B6E2"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181CFE2E"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000000" w:fill="D9D9D9"/>
            <w:vAlign w:val="center"/>
            <w:hideMark/>
          </w:tcPr>
          <w:p w14:paraId="2B4FEAC7"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33EE9362"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6298EE31"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1FF6B49B"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567B59E0"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5533CFB9"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3FB4D4E2"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1757B26D" w14:textId="77777777" w:rsidR="00594EA1" w:rsidRPr="004E13E9" w:rsidRDefault="00594EA1" w:rsidP="00594EA1">
            <w:pPr>
              <w:widowControl w:val="0"/>
              <w:jc w:val="center"/>
              <w:rPr>
                <w:rFonts w:eastAsia="Times New Roman" w:cs="Calibri"/>
                <w:color w:val="000000"/>
                <w:sz w:val="16"/>
                <w:szCs w:val="16"/>
                <w:lang w:val="fr-FR" w:eastAsia="ja-JP" w:bidi="fr-FR"/>
              </w:rPr>
            </w:pPr>
          </w:p>
        </w:tc>
      </w:tr>
      <w:tr w:rsidR="00594EA1" w:rsidRPr="004E13E9" w14:paraId="4E250D81" w14:textId="77777777" w:rsidTr="00D47E5E">
        <w:trPr>
          <w:trHeight w:val="20"/>
          <w:jc w:val="center"/>
        </w:trPr>
        <w:tc>
          <w:tcPr>
            <w:tcW w:w="0" w:type="auto"/>
            <w:noWrap/>
            <w:vAlign w:val="center"/>
            <w:hideMark/>
          </w:tcPr>
          <w:p w14:paraId="285881FC" w14:textId="77777777" w:rsidR="00594EA1" w:rsidRPr="004E13E9" w:rsidRDefault="00594EA1" w:rsidP="00594EA1">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Flottille totale de palangriers</w:t>
            </w:r>
          </w:p>
        </w:tc>
        <w:tc>
          <w:tcPr>
            <w:tcW w:w="2103" w:type="dxa"/>
            <w:noWrap/>
            <w:vAlign w:val="center"/>
            <w:hideMark/>
          </w:tcPr>
          <w:p w14:paraId="667F658E" w14:textId="77777777" w:rsidR="00594EA1" w:rsidRPr="004E13E9" w:rsidRDefault="00594EA1" w:rsidP="00594EA1">
            <w:pPr>
              <w:widowControl w:val="0"/>
              <w:jc w:val="both"/>
              <w:rPr>
                <w:rFonts w:eastAsia="Times New Roman" w:cs="Times New Roman"/>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710" w:type="dxa"/>
            <w:vAlign w:val="center"/>
          </w:tcPr>
          <w:p w14:paraId="4067DD97"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noWrap/>
            <w:vAlign w:val="center"/>
            <w:hideMark/>
          </w:tcPr>
          <w:p w14:paraId="6BACBDFF"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5D01DF2A"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2BDB2E18"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12840E69"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6F2994C1"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293C9C50"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000000" w:fill="D9D9D9"/>
            <w:vAlign w:val="center"/>
            <w:hideMark/>
          </w:tcPr>
          <w:p w14:paraId="154567A1"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22A558AB"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3C474F0B"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16B0384F"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016CE3FA"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4972A6EA"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4E7A4895"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443F5ECF"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r>
      <w:tr w:rsidR="00594EA1" w:rsidRPr="004E13E9" w14:paraId="180D011F" w14:textId="77777777" w:rsidTr="00D47E5E">
        <w:trPr>
          <w:trHeight w:val="20"/>
          <w:jc w:val="center"/>
        </w:trPr>
        <w:tc>
          <w:tcPr>
            <w:tcW w:w="0" w:type="auto"/>
            <w:noWrap/>
            <w:vAlign w:val="center"/>
            <w:hideMark/>
          </w:tcPr>
          <w:p w14:paraId="7E83F3B0"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Canneur</w:t>
            </w:r>
          </w:p>
        </w:tc>
        <w:tc>
          <w:tcPr>
            <w:tcW w:w="2103" w:type="dxa"/>
            <w:noWrap/>
            <w:vAlign w:val="center"/>
            <w:hideMark/>
          </w:tcPr>
          <w:p w14:paraId="2728A15F"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19,75</w:t>
            </w:r>
          </w:p>
        </w:tc>
        <w:tc>
          <w:tcPr>
            <w:tcW w:w="710" w:type="dxa"/>
            <w:vAlign w:val="center"/>
          </w:tcPr>
          <w:p w14:paraId="5CC38BDB"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noWrap/>
            <w:vAlign w:val="center"/>
            <w:hideMark/>
          </w:tcPr>
          <w:p w14:paraId="54D9424C"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2DD15379"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527C1815"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7DB4B045"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17DB54AF"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544C7CBD"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000000" w:fill="D9D9D9"/>
            <w:vAlign w:val="center"/>
            <w:hideMark/>
          </w:tcPr>
          <w:p w14:paraId="155A3D39"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41EB7006"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0035787D"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1E5C12E0"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4D4CEF72"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1B8AC900"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364DBDA6"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5F714911"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r>
      <w:tr w:rsidR="00594EA1" w:rsidRPr="004E13E9" w14:paraId="41EF54CD" w14:textId="77777777" w:rsidTr="00D47E5E">
        <w:trPr>
          <w:trHeight w:val="20"/>
          <w:jc w:val="center"/>
        </w:trPr>
        <w:tc>
          <w:tcPr>
            <w:tcW w:w="0" w:type="auto"/>
            <w:noWrap/>
            <w:vAlign w:val="center"/>
            <w:hideMark/>
          </w:tcPr>
          <w:p w14:paraId="45F0C3F9"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Ligne à main</w:t>
            </w:r>
          </w:p>
        </w:tc>
        <w:tc>
          <w:tcPr>
            <w:tcW w:w="2103" w:type="dxa"/>
            <w:noWrap/>
            <w:vAlign w:val="center"/>
            <w:hideMark/>
          </w:tcPr>
          <w:p w14:paraId="409B0CC3"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5</w:t>
            </w:r>
          </w:p>
        </w:tc>
        <w:tc>
          <w:tcPr>
            <w:tcW w:w="710" w:type="dxa"/>
            <w:vAlign w:val="center"/>
          </w:tcPr>
          <w:p w14:paraId="17455E7F"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noWrap/>
            <w:vAlign w:val="center"/>
            <w:hideMark/>
          </w:tcPr>
          <w:p w14:paraId="5B46F6D1"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4C77911B"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2206A934"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7495F50C"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37E6C04D"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2A6C1607"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000000" w:fill="D9D9D9"/>
            <w:vAlign w:val="center"/>
            <w:hideMark/>
          </w:tcPr>
          <w:p w14:paraId="0F95CC09"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00C11F4F"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0BDAC95B"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636B6F9D"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2BA5D149"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135AA741"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17CF11E7"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7DEE819D" w14:textId="77777777" w:rsidR="00594EA1" w:rsidRPr="004E13E9" w:rsidRDefault="00594EA1" w:rsidP="00594EA1">
            <w:pPr>
              <w:widowControl w:val="0"/>
              <w:jc w:val="center"/>
              <w:rPr>
                <w:rFonts w:eastAsia="Times New Roman" w:cs="Calibri"/>
                <w:color w:val="000000"/>
                <w:sz w:val="16"/>
                <w:szCs w:val="16"/>
                <w:lang w:val="fr-FR" w:eastAsia="ja-JP" w:bidi="fr-FR"/>
              </w:rPr>
            </w:pPr>
          </w:p>
        </w:tc>
      </w:tr>
      <w:tr w:rsidR="00594EA1" w:rsidRPr="004E13E9" w14:paraId="453CF4F7" w14:textId="77777777" w:rsidTr="00D47E5E">
        <w:trPr>
          <w:trHeight w:val="20"/>
          <w:jc w:val="center"/>
        </w:trPr>
        <w:tc>
          <w:tcPr>
            <w:tcW w:w="0" w:type="auto"/>
            <w:noWrap/>
            <w:vAlign w:val="center"/>
            <w:hideMark/>
          </w:tcPr>
          <w:p w14:paraId="1595248D"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Chalutier</w:t>
            </w:r>
          </w:p>
        </w:tc>
        <w:tc>
          <w:tcPr>
            <w:tcW w:w="2103" w:type="dxa"/>
            <w:noWrap/>
            <w:vAlign w:val="center"/>
            <w:hideMark/>
          </w:tcPr>
          <w:p w14:paraId="15A7F42A"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10</w:t>
            </w:r>
          </w:p>
        </w:tc>
        <w:tc>
          <w:tcPr>
            <w:tcW w:w="710" w:type="dxa"/>
            <w:vAlign w:val="center"/>
          </w:tcPr>
          <w:p w14:paraId="674EB8E9"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noWrap/>
            <w:vAlign w:val="center"/>
            <w:hideMark/>
          </w:tcPr>
          <w:p w14:paraId="5218B1B0"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18658E1F"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0B0A054B"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1A79D368"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4EB0095B"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5263DA53"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000000" w:fill="D9D9D9"/>
            <w:vAlign w:val="center"/>
            <w:hideMark/>
          </w:tcPr>
          <w:p w14:paraId="5BBB7C11"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429370D1"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2D5BD732"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375B67C4"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48A8926F"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06068A10"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43EB4434"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33A4682A" w14:textId="77777777" w:rsidR="00594EA1" w:rsidRPr="004E13E9" w:rsidRDefault="00594EA1" w:rsidP="00594EA1">
            <w:pPr>
              <w:widowControl w:val="0"/>
              <w:jc w:val="center"/>
              <w:rPr>
                <w:rFonts w:eastAsia="Times New Roman" w:cs="Calibri"/>
                <w:color w:val="000000"/>
                <w:sz w:val="16"/>
                <w:szCs w:val="16"/>
                <w:lang w:val="fr-FR" w:eastAsia="ja-JP" w:bidi="fr-FR"/>
              </w:rPr>
            </w:pPr>
          </w:p>
        </w:tc>
      </w:tr>
      <w:tr w:rsidR="00594EA1" w:rsidRPr="004E13E9" w14:paraId="2232837C" w14:textId="77777777" w:rsidTr="00D47E5E">
        <w:trPr>
          <w:trHeight w:val="20"/>
          <w:jc w:val="center"/>
        </w:trPr>
        <w:tc>
          <w:tcPr>
            <w:tcW w:w="0" w:type="auto"/>
            <w:noWrap/>
            <w:vAlign w:val="center"/>
            <w:hideMark/>
          </w:tcPr>
          <w:p w14:paraId="4E8E7C2D"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Madrague</w:t>
            </w:r>
          </w:p>
        </w:tc>
        <w:tc>
          <w:tcPr>
            <w:tcW w:w="2103" w:type="dxa"/>
            <w:noWrap/>
            <w:vAlign w:val="center"/>
            <w:hideMark/>
          </w:tcPr>
          <w:p w14:paraId="4B3E9906"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130</w:t>
            </w:r>
          </w:p>
        </w:tc>
        <w:tc>
          <w:tcPr>
            <w:tcW w:w="710" w:type="dxa"/>
            <w:vAlign w:val="center"/>
          </w:tcPr>
          <w:p w14:paraId="3B814A61"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noWrap/>
            <w:vAlign w:val="center"/>
            <w:hideMark/>
          </w:tcPr>
          <w:p w14:paraId="6A0F44DA"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66D14253"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04EA4FE9"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2C084462"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543439EB"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729ECFCC"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000000" w:fill="D9D9D9"/>
            <w:vAlign w:val="center"/>
            <w:hideMark/>
          </w:tcPr>
          <w:p w14:paraId="5196C6BC"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2052FD6E"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2AD1245A"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346C5DCC"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3C57316D"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78100606"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19C415CF"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128562F8"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r>
      <w:tr w:rsidR="00594EA1" w:rsidRPr="004E13E9" w14:paraId="3500E295" w14:textId="77777777" w:rsidTr="00D47E5E">
        <w:trPr>
          <w:trHeight w:val="20"/>
          <w:jc w:val="center"/>
        </w:trPr>
        <w:tc>
          <w:tcPr>
            <w:tcW w:w="0" w:type="auto"/>
            <w:vAlign w:val="center"/>
            <w:hideMark/>
          </w:tcPr>
          <w:p w14:paraId="06EAF927"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Petits navires côtiers</w:t>
            </w:r>
            <w:r w:rsidRPr="004E13E9">
              <w:rPr>
                <w:rFonts w:eastAsia="MS Gothic" w:cs="Times New Roman"/>
                <w:color w:val="000000"/>
                <w:sz w:val="18"/>
                <w:szCs w:val="24"/>
                <w:vertAlign w:val="superscript"/>
                <w:lang w:val="fr-FR" w:eastAsia="fr-FR" w:bidi="fr-FR"/>
              </w:rPr>
              <w:t>4</w:t>
            </w:r>
            <w:r w:rsidRPr="004E13E9">
              <w:rPr>
                <w:rFonts w:eastAsia="MS Gothic" w:cs="Times New Roman"/>
                <w:color w:val="000000"/>
                <w:sz w:val="18"/>
                <w:szCs w:val="24"/>
                <w:lang w:val="fr-FR" w:eastAsia="fr-FR" w:bidi="fr-FR"/>
              </w:rPr>
              <w:t xml:space="preserve"> </w:t>
            </w:r>
          </w:p>
        </w:tc>
        <w:tc>
          <w:tcPr>
            <w:tcW w:w="2103" w:type="dxa"/>
            <w:noWrap/>
            <w:vAlign w:val="center"/>
            <w:hideMark/>
          </w:tcPr>
          <w:p w14:paraId="7F64FD1E"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N/A</w:t>
            </w:r>
          </w:p>
        </w:tc>
        <w:tc>
          <w:tcPr>
            <w:tcW w:w="710" w:type="dxa"/>
            <w:vAlign w:val="center"/>
          </w:tcPr>
          <w:p w14:paraId="604F71B1"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noWrap/>
            <w:vAlign w:val="center"/>
            <w:hideMark/>
          </w:tcPr>
          <w:p w14:paraId="62C96EA3"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64A64D29"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5AEB17F4"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0802C15D"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6CC0B877"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3871A976"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000000" w:fill="D9D9D9"/>
            <w:vAlign w:val="center"/>
            <w:hideMark/>
          </w:tcPr>
          <w:p w14:paraId="7B7EF3FF"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50637F90"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14218FF5"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669C58E8"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170BB13F"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369B861E"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07750AA3"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3025CB9C"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r>
      <w:tr w:rsidR="00594EA1" w:rsidRPr="004E13E9" w14:paraId="216E8E48" w14:textId="77777777" w:rsidTr="00D47E5E">
        <w:trPr>
          <w:trHeight w:val="20"/>
          <w:jc w:val="center"/>
        </w:trPr>
        <w:tc>
          <w:tcPr>
            <w:tcW w:w="0" w:type="auto"/>
            <w:vAlign w:val="center"/>
            <w:hideMark/>
          </w:tcPr>
          <w:p w14:paraId="7E014FD5" w14:textId="77777777" w:rsidR="00594EA1" w:rsidRPr="004E13E9" w:rsidRDefault="00594EA1" w:rsidP="00594EA1">
            <w:pPr>
              <w:widowControl w:val="0"/>
              <w:jc w:val="both"/>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Autre (à préciser)</w:t>
            </w:r>
          </w:p>
        </w:tc>
        <w:tc>
          <w:tcPr>
            <w:tcW w:w="2103" w:type="dxa"/>
            <w:noWrap/>
            <w:vAlign w:val="center"/>
            <w:hideMark/>
          </w:tcPr>
          <w:p w14:paraId="13609930" w14:textId="77777777" w:rsidR="00594EA1" w:rsidRPr="004E13E9" w:rsidRDefault="00594EA1" w:rsidP="00594EA1">
            <w:pPr>
              <w:widowControl w:val="0"/>
              <w:jc w:val="center"/>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5</w:t>
            </w:r>
          </w:p>
        </w:tc>
        <w:tc>
          <w:tcPr>
            <w:tcW w:w="710" w:type="dxa"/>
            <w:vAlign w:val="center"/>
          </w:tcPr>
          <w:p w14:paraId="7BE1952F"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noWrap/>
            <w:vAlign w:val="center"/>
            <w:hideMark/>
          </w:tcPr>
          <w:p w14:paraId="1825289C"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649397F3"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0D3936B9"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66F50AD5"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61AD6CFC"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553AF70E"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000000" w:fill="D9D9D9"/>
            <w:vAlign w:val="center"/>
            <w:hideMark/>
          </w:tcPr>
          <w:p w14:paraId="5224C96C"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68501F4E"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64CDE2D4"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4983C3A5"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5EF5689B"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07BAF015"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hideMark/>
          </w:tcPr>
          <w:p w14:paraId="29990D14"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6F977BA0"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r>
      <w:tr w:rsidR="00594EA1" w:rsidRPr="004E13E9" w14:paraId="3A344F7B" w14:textId="77777777" w:rsidTr="00D47E5E">
        <w:trPr>
          <w:trHeight w:val="20"/>
          <w:jc w:val="center"/>
        </w:trPr>
        <w:tc>
          <w:tcPr>
            <w:tcW w:w="0" w:type="auto"/>
            <w:noWrap/>
            <w:vAlign w:val="center"/>
            <w:hideMark/>
          </w:tcPr>
          <w:p w14:paraId="29551C07" w14:textId="77777777" w:rsidR="00594EA1" w:rsidRPr="004E13E9" w:rsidRDefault="00594EA1" w:rsidP="00594EA1">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Capacité totale de la flottille/de pêche</w:t>
            </w:r>
          </w:p>
        </w:tc>
        <w:tc>
          <w:tcPr>
            <w:tcW w:w="2103" w:type="dxa"/>
            <w:noWrap/>
            <w:vAlign w:val="center"/>
            <w:hideMark/>
          </w:tcPr>
          <w:p w14:paraId="4120F10A" w14:textId="77777777" w:rsidR="00594EA1" w:rsidRPr="004E13E9" w:rsidRDefault="00594EA1" w:rsidP="00594EA1">
            <w:pPr>
              <w:widowControl w:val="0"/>
              <w:jc w:val="right"/>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710" w:type="dxa"/>
            <w:vAlign w:val="center"/>
          </w:tcPr>
          <w:p w14:paraId="27CBE4D3" w14:textId="77777777" w:rsidR="00594EA1" w:rsidRPr="004E13E9" w:rsidRDefault="00594EA1" w:rsidP="00594EA1">
            <w:pPr>
              <w:widowControl w:val="0"/>
              <w:jc w:val="center"/>
              <w:rPr>
                <w:rFonts w:eastAsia="Times New Roman" w:cs="Calibri"/>
                <w:b/>
                <w:bCs/>
                <w:color w:val="000000"/>
                <w:sz w:val="16"/>
                <w:szCs w:val="16"/>
                <w:lang w:val="fr-FR" w:eastAsia="fr-FR" w:bidi="fr-FR"/>
              </w:rPr>
            </w:pPr>
            <w:r w:rsidRPr="004E13E9">
              <w:rPr>
                <w:rFonts w:eastAsia="MS Gothic" w:cs="Times New Roman"/>
                <w:color w:val="000000"/>
                <w:sz w:val="16"/>
                <w:szCs w:val="24"/>
                <w:lang w:val="fr-FR" w:eastAsia="fr-FR" w:bidi="fr-FR"/>
              </w:rPr>
              <w:t>8</w:t>
            </w:r>
          </w:p>
        </w:tc>
        <w:tc>
          <w:tcPr>
            <w:tcW w:w="0" w:type="auto"/>
            <w:noWrap/>
            <w:vAlign w:val="center"/>
            <w:hideMark/>
          </w:tcPr>
          <w:p w14:paraId="54164479" w14:textId="77777777" w:rsidR="00594EA1" w:rsidRPr="004E13E9" w:rsidRDefault="00594EA1" w:rsidP="00594EA1">
            <w:pPr>
              <w:widowControl w:val="0"/>
              <w:jc w:val="center"/>
              <w:rPr>
                <w:rFonts w:eastAsia="Times New Roman" w:cs="Calibri"/>
                <w:b/>
                <w:bCs/>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vAlign w:val="center"/>
            <w:hideMark/>
          </w:tcPr>
          <w:p w14:paraId="754DBD48" w14:textId="77777777" w:rsidR="00594EA1" w:rsidRPr="004E13E9" w:rsidRDefault="00594EA1" w:rsidP="00594EA1">
            <w:pPr>
              <w:widowControl w:val="0"/>
              <w:jc w:val="center"/>
              <w:rPr>
                <w:rFonts w:eastAsia="Times New Roman" w:cs="Calibri"/>
                <w:b/>
                <w:bCs/>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vAlign w:val="center"/>
            <w:hideMark/>
          </w:tcPr>
          <w:p w14:paraId="42635F81" w14:textId="77777777" w:rsidR="00594EA1" w:rsidRPr="004E13E9" w:rsidRDefault="00594EA1" w:rsidP="00594EA1">
            <w:pPr>
              <w:widowControl w:val="0"/>
              <w:jc w:val="center"/>
              <w:rPr>
                <w:rFonts w:eastAsia="Times New Roman" w:cs="Calibri"/>
                <w:b/>
                <w:bCs/>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vAlign w:val="center"/>
            <w:hideMark/>
          </w:tcPr>
          <w:p w14:paraId="7953A483" w14:textId="77777777" w:rsidR="00594EA1" w:rsidRPr="004E13E9" w:rsidRDefault="00594EA1" w:rsidP="00594EA1">
            <w:pPr>
              <w:widowControl w:val="0"/>
              <w:jc w:val="center"/>
              <w:rPr>
                <w:rFonts w:eastAsia="Times New Roman" w:cs="Calibri"/>
                <w:b/>
                <w:bCs/>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vAlign w:val="center"/>
          </w:tcPr>
          <w:p w14:paraId="18DB2ED4" w14:textId="77777777" w:rsidR="00594EA1" w:rsidRPr="004E13E9" w:rsidRDefault="00594EA1" w:rsidP="00594EA1">
            <w:pPr>
              <w:widowControl w:val="0"/>
              <w:jc w:val="center"/>
              <w:rPr>
                <w:rFonts w:eastAsia="Times New Roman" w:cs="Calibri"/>
                <w:b/>
                <w:bCs/>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vAlign w:val="center"/>
          </w:tcPr>
          <w:p w14:paraId="2BA02A99" w14:textId="77777777" w:rsidR="00594EA1" w:rsidRPr="004E13E9" w:rsidRDefault="00594EA1" w:rsidP="00594EA1">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1</w:t>
            </w:r>
          </w:p>
        </w:tc>
        <w:tc>
          <w:tcPr>
            <w:tcW w:w="0" w:type="auto"/>
            <w:shd w:val="clear" w:color="000000" w:fill="D9D9D9"/>
            <w:vAlign w:val="center"/>
            <w:hideMark/>
          </w:tcPr>
          <w:p w14:paraId="3A8EF02C"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18A0917E" w14:textId="77777777" w:rsidR="00594EA1" w:rsidRPr="004E13E9" w:rsidRDefault="00594EA1" w:rsidP="00594EA1">
            <w:pPr>
              <w:widowControl w:val="0"/>
              <w:jc w:val="center"/>
              <w:rPr>
                <w:rFonts w:eastAsia="Times New Roman" w:cs="Calibri"/>
                <w:b/>
                <w:bCs/>
                <w:color w:val="000000"/>
                <w:sz w:val="16"/>
                <w:szCs w:val="16"/>
                <w:lang w:val="fr-FR" w:eastAsia="fr-FR" w:bidi="fr-FR"/>
              </w:rPr>
            </w:pPr>
            <w:r w:rsidRPr="004E13E9">
              <w:rPr>
                <w:rFonts w:eastAsia="MS Gothic" w:cs="Times New Roman"/>
                <w:color w:val="000000"/>
                <w:sz w:val="16"/>
                <w:szCs w:val="24"/>
                <w:lang w:val="fr-FR" w:eastAsia="fr-FR" w:bidi="fr-FR"/>
              </w:rPr>
              <w:t>200</w:t>
            </w:r>
          </w:p>
        </w:tc>
        <w:tc>
          <w:tcPr>
            <w:tcW w:w="0" w:type="auto"/>
            <w:vAlign w:val="center"/>
            <w:hideMark/>
          </w:tcPr>
          <w:p w14:paraId="62FA4984" w14:textId="77777777" w:rsidR="00594EA1" w:rsidRPr="004E13E9" w:rsidRDefault="00594EA1" w:rsidP="00594EA1">
            <w:pPr>
              <w:widowControl w:val="0"/>
              <w:jc w:val="center"/>
              <w:rPr>
                <w:rFonts w:eastAsia="Times New Roman" w:cs="Calibri"/>
                <w:b/>
                <w:bCs/>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vAlign w:val="center"/>
            <w:hideMark/>
          </w:tcPr>
          <w:p w14:paraId="36E33661" w14:textId="77777777" w:rsidR="00594EA1" w:rsidRPr="004E13E9" w:rsidRDefault="00594EA1" w:rsidP="00594EA1">
            <w:pPr>
              <w:widowControl w:val="0"/>
              <w:jc w:val="center"/>
              <w:rPr>
                <w:rFonts w:eastAsia="Times New Roman" w:cs="Calibri"/>
                <w:b/>
                <w:bCs/>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noWrap/>
            <w:vAlign w:val="center"/>
            <w:hideMark/>
          </w:tcPr>
          <w:p w14:paraId="45A9F085" w14:textId="77777777" w:rsidR="00594EA1" w:rsidRPr="004E13E9" w:rsidRDefault="00594EA1" w:rsidP="00594EA1">
            <w:pPr>
              <w:widowControl w:val="0"/>
              <w:jc w:val="center"/>
              <w:rPr>
                <w:rFonts w:eastAsia="Times New Roman" w:cs="Calibri"/>
                <w:b/>
                <w:bCs/>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noWrap/>
            <w:vAlign w:val="center"/>
            <w:hideMark/>
          </w:tcPr>
          <w:p w14:paraId="237CEA85" w14:textId="77777777" w:rsidR="00594EA1" w:rsidRPr="004E13E9" w:rsidRDefault="00594EA1" w:rsidP="00594EA1">
            <w:pPr>
              <w:widowControl w:val="0"/>
              <w:jc w:val="center"/>
              <w:rPr>
                <w:rFonts w:eastAsia="Times New Roman" w:cs="Calibri"/>
                <w:b/>
                <w:bCs/>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noWrap/>
            <w:vAlign w:val="center"/>
            <w:hideMark/>
          </w:tcPr>
          <w:p w14:paraId="0A3DBFBE" w14:textId="77777777" w:rsidR="00594EA1" w:rsidRPr="004E13E9" w:rsidRDefault="00594EA1" w:rsidP="00594EA1">
            <w:pPr>
              <w:widowControl w:val="0"/>
              <w:jc w:val="center"/>
              <w:rPr>
                <w:rFonts w:eastAsia="Times New Roman" w:cs="Calibri"/>
                <w:b/>
                <w:bCs/>
                <w:color w:val="000000"/>
                <w:sz w:val="16"/>
                <w:szCs w:val="16"/>
                <w:lang w:val="fr-FR" w:eastAsia="fr-FR" w:bidi="fr-FR"/>
              </w:rPr>
            </w:pPr>
            <w:r w:rsidRPr="004E13E9">
              <w:rPr>
                <w:rFonts w:eastAsia="MS Gothic" w:cs="Times New Roman"/>
                <w:color w:val="000000"/>
                <w:sz w:val="16"/>
                <w:szCs w:val="24"/>
                <w:lang w:val="fr-FR" w:eastAsia="fr-FR" w:bidi="fr-FR"/>
              </w:rPr>
              <w:t>0</w:t>
            </w:r>
          </w:p>
        </w:tc>
        <w:tc>
          <w:tcPr>
            <w:tcW w:w="0" w:type="auto"/>
            <w:vAlign w:val="center"/>
          </w:tcPr>
          <w:p w14:paraId="7DF1A42D" w14:textId="77777777" w:rsidR="00594EA1" w:rsidRPr="004E13E9" w:rsidRDefault="00594EA1" w:rsidP="00594EA1">
            <w:pPr>
              <w:widowControl w:val="0"/>
              <w:jc w:val="center"/>
              <w:rPr>
                <w:rFonts w:eastAsia="Times New Roman" w:cs="Calibri"/>
                <w:b/>
                <w:bCs/>
                <w:color w:val="000000"/>
                <w:sz w:val="16"/>
                <w:szCs w:val="16"/>
                <w:lang w:val="fr-FR" w:eastAsia="fr-FR" w:bidi="fr-FR"/>
              </w:rPr>
            </w:pPr>
            <w:r w:rsidRPr="004E13E9">
              <w:rPr>
                <w:rFonts w:eastAsia="MS Gothic" w:cs="Times New Roman"/>
                <w:color w:val="000000"/>
                <w:sz w:val="16"/>
                <w:szCs w:val="24"/>
                <w:lang w:val="fr-FR" w:eastAsia="fr-FR" w:bidi="fr-FR"/>
              </w:rPr>
              <w:t>25</w:t>
            </w:r>
          </w:p>
        </w:tc>
      </w:tr>
      <w:tr w:rsidR="00594EA1" w:rsidRPr="004E13E9" w14:paraId="26C36338" w14:textId="77777777" w:rsidTr="00D47E5E">
        <w:trPr>
          <w:trHeight w:val="20"/>
          <w:jc w:val="center"/>
        </w:trPr>
        <w:tc>
          <w:tcPr>
            <w:tcW w:w="0" w:type="auto"/>
            <w:shd w:val="clear" w:color="auto" w:fill="D9D9D9"/>
            <w:noWrap/>
            <w:vAlign w:val="center"/>
            <w:hideMark/>
          </w:tcPr>
          <w:p w14:paraId="03D9E25A" w14:textId="77777777" w:rsidR="00594EA1" w:rsidRPr="004E13E9" w:rsidRDefault="00594EA1" w:rsidP="00594EA1">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Quota initial</w:t>
            </w:r>
          </w:p>
        </w:tc>
        <w:tc>
          <w:tcPr>
            <w:tcW w:w="2103" w:type="dxa"/>
            <w:shd w:val="clear" w:color="auto" w:fill="D9D9D9"/>
            <w:noWrap/>
            <w:vAlign w:val="center"/>
            <w:hideMark/>
          </w:tcPr>
          <w:p w14:paraId="58CD40CE" w14:textId="77777777" w:rsidR="00594EA1" w:rsidRPr="004E13E9" w:rsidRDefault="00594EA1" w:rsidP="00594EA1">
            <w:pPr>
              <w:widowControl w:val="0"/>
              <w:jc w:val="right"/>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710" w:type="dxa"/>
            <w:shd w:val="clear" w:color="auto" w:fill="D9D9D9"/>
            <w:vAlign w:val="center"/>
          </w:tcPr>
          <w:p w14:paraId="553BFBD2"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noWrap/>
            <w:vAlign w:val="center"/>
            <w:hideMark/>
          </w:tcPr>
          <w:p w14:paraId="79389116"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hideMark/>
          </w:tcPr>
          <w:p w14:paraId="0A22E51E"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tcPr>
          <w:p w14:paraId="77BC6791" w14:textId="77777777" w:rsidR="00594EA1" w:rsidRPr="004E13E9" w:rsidRDefault="00594EA1" w:rsidP="00594EA1">
            <w:pPr>
              <w:widowControl w:val="0"/>
              <w:jc w:val="center"/>
              <w:rPr>
                <w:rFonts w:eastAsia="PMingLiU" w:cs="Calibri"/>
                <w:color w:val="000000"/>
                <w:sz w:val="16"/>
                <w:szCs w:val="16"/>
                <w:lang w:val="fr-FR" w:eastAsia="zh-TW" w:bidi="fr-FR"/>
              </w:rPr>
            </w:pPr>
          </w:p>
        </w:tc>
        <w:tc>
          <w:tcPr>
            <w:tcW w:w="0" w:type="auto"/>
            <w:shd w:val="clear" w:color="auto" w:fill="D9D9D9"/>
            <w:vAlign w:val="center"/>
          </w:tcPr>
          <w:p w14:paraId="11DE244F"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tcPr>
          <w:p w14:paraId="12239D47" w14:textId="77777777" w:rsidR="00594EA1" w:rsidRPr="004E13E9" w:rsidRDefault="00594EA1" w:rsidP="00594EA1">
            <w:pPr>
              <w:widowControl w:val="0"/>
              <w:jc w:val="center"/>
              <w:rPr>
                <w:rFonts w:eastAsia="PMingLiU" w:cs="Calibri"/>
                <w:color w:val="000000"/>
                <w:sz w:val="16"/>
                <w:szCs w:val="16"/>
                <w:lang w:val="fr-FR" w:eastAsia="zh-TW" w:bidi="fr-FR"/>
              </w:rPr>
            </w:pPr>
          </w:p>
        </w:tc>
        <w:tc>
          <w:tcPr>
            <w:tcW w:w="0" w:type="auto"/>
            <w:shd w:val="clear" w:color="auto" w:fill="D9D9D9"/>
            <w:vAlign w:val="center"/>
          </w:tcPr>
          <w:p w14:paraId="7B557791" w14:textId="77777777" w:rsidR="00594EA1" w:rsidRPr="004E13E9" w:rsidRDefault="00594EA1" w:rsidP="00594EA1">
            <w:pPr>
              <w:widowControl w:val="0"/>
              <w:jc w:val="center"/>
              <w:rPr>
                <w:rFonts w:eastAsia="PMingLiU" w:cs="Calibri"/>
                <w:color w:val="000000"/>
                <w:sz w:val="16"/>
                <w:szCs w:val="16"/>
                <w:lang w:val="fr-FR" w:eastAsia="zh-TW" w:bidi="fr-FR"/>
              </w:rPr>
            </w:pPr>
          </w:p>
        </w:tc>
        <w:tc>
          <w:tcPr>
            <w:tcW w:w="0" w:type="auto"/>
            <w:shd w:val="clear" w:color="auto" w:fill="D9D9D9"/>
            <w:vAlign w:val="center"/>
            <w:hideMark/>
          </w:tcPr>
          <w:p w14:paraId="18D90085"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tcPr>
          <w:p w14:paraId="57F5B81F"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480</w:t>
            </w:r>
          </w:p>
        </w:tc>
        <w:tc>
          <w:tcPr>
            <w:tcW w:w="0" w:type="auto"/>
            <w:shd w:val="clear" w:color="auto" w:fill="D9D9D9"/>
            <w:vAlign w:val="center"/>
            <w:hideMark/>
          </w:tcPr>
          <w:p w14:paraId="08A553E2"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68,71</w:t>
            </w:r>
          </w:p>
        </w:tc>
        <w:tc>
          <w:tcPr>
            <w:tcW w:w="0" w:type="auto"/>
            <w:shd w:val="clear" w:color="auto" w:fill="D9D9D9"/>
            <w:vAlign w:val="center"/>
            <w:hideMark/>
          </w:tcPr>
          <w:p w14:paraId="498FB7AE"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79</w:t>
            </w:r>
          </w:p>
        </w:tc>
        <w:tc>
          <w:tcPr>
            <w:tcW w:w="0" w:type="auto"/>
            <w:shd w:val="clear" w:color="auto" w:fill="D9D9D9"/>
            <w:vAlign w:val="center"/>
            <w:hideMark/>
          </w:tcPr>
          <w:p w14:paraId="298658FE" w14:textId="77777777" w:rsidR="00594EA1" w:rsidRPr="004E13E9" w:rsidRDefault="00594EA1" w:rsidP="00594EA1">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101</w:t>
            </w:r>
          </w:p>
        </w:tc>
        <w:tc>
          <w:tcPr>
            <w:tcW w:w="0" w:type="auto"/>
            <w:shd w:val="clear" w:color="auto" w:fill="D9D9D9"/>
            <w:vAlign w:val="center"/>
            <w:hideMark/>
          </w:tcPr>
          <w:p w14:paraId="2210C664" w14:textId="77777777" w:rsidR="00594EA1" w:rsidRPr="004E13E9" w:rsidRDefault="00594EA1" w:rsidP="00594EA1">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101</w:t>
            </w:r>
          </w:p>
        </w:tc>
        <w:tc>
          <w:tcPr>
            <w:tcW w:w="0" w:type="auto"/>
            <w:shd w:val="clear" w:color="auto" w:fill="D9D9D9"/>
            <w:vAlign w:val="center"/>
            <w:hideMark/>
          </w:tcPr>
          <w:p w14:paraId="7897B40E" w14:textId="77777777" w:rsidR="00594EA1" w:rsidRPr="004E13E9" w:rsidRDefault="00594EA1" w:rsidP="00594EA1">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101</w:t>
            </w:r>
          </w:p>
        </w:tc>
        <w:tc>
          <w:tcPr>
            <w:tcW w:w="0" w:type="auto"/>
            <w:shd w:val="clear" w:color="auto" w:fill="D9D9D9"/>
            <w:vAlign w:val="center"/>
          </w:tcPr>
          <w:p w14:paraId="6EE37318" w14:textId="77777777" w:rsidR="00594EA1" w:rsidRPr="004E13E9" w:rsidRDefault="00594EA1" w:rsidP="00594EA1">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101</w:t>
            </w:r>
          </w:p>
        </w:tc>
      </w:tr>
      <w:tr w:rsidR="00594EA1" w:rsidRPr="004E13E9" w14:paraId="06DD1B84" w14:textId="77777777" w:rsidTr="00D47E5E">
        <w:trPr>
          <w:trHeight w:val="20"/>
          <w:jc w:val="center"/>
        </w:trPr>
        <w:tc>
          <w:tcPr>
            <w:tcW w:w="0" w:type="auto"/>
            <w:shd w:val="clear" w:color="auto" w:fill="D9D9D9"/>
            <w:noWrap/>
            <w:vAlign w:val="center"/>
          </w:tcPr>
          <w:p w14:paraId="30C22CCB" w14:textId="77777777" w:rsidR="00594EA1" w:rsidRPr="004E13E9" w:rsidRDefault="00594EA1" w:rsidP="00594EA1">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Quota ajusté (le cas échéant)</w:t>
            </w:r>
          </w:p>
        </w:tc>
        <w:tc>
          <w:tcPr>
            <w:tcW w:w="2103" w:type="dxa"/>
            <w:shd w:val="clear" w:color="auto" w:fill="D9D9D9"/>
            <w:noWrap/>
            <w:vAlign w:val="center"/>
          </w:tcPr>
          <w:p w14:paraId="243D2C3C" w14:textId="77777777" w:rsidR="00594EA1" w:rsidRPr="004E13E9" w:rsidRDefault="00594EA1" w:rsidP="00594EA1">
            <w:pPr>
              <w:widowControl w:val="0"/>
              <w:jc w:val="right"/>
              <w:rPr>
                <w:rFonts w:eastAsia="Times New Roman" w:cs="Calibri"/>
                <w:color w:val="000000"/>
                <w:sz w:val="18"/>
                <w:szCs w:val="18"/>
                <w:lang w:val="fr-FR" w:eastAsia="ja-JP" w:bidi="fr-FR"/>
              </w:rPr>
            </w:pPr>
          </w:p>
        </w:tc>
        <w:tc>
          <w:tcPr>
            <w:tcW w:w="710" w:type="dxa"/>
            <w:shd w:val="clear" w:color="auto" w:fill="D9D9D9"/>
            <w:vAlign w:val="center"/>
          </w:tcPr>
          <w:p w14:paraId="59D6AE05"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noWrap/>
            <w:vAlign w:val="center"/>
          </w:tcPr>
          <w:p w14:paraId="1BDEE6D0"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tcPr>
          <w:p w14:paraId="514969BE"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tcPr>
          <w:p w14:paraId="086A7000"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tcPr>
          <w:p w14:paraId="76575889"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tcPr>
          <w:p w14:paraId="0FEC63E1"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tcPr>
          <w:p w14:paraId="7AC0559F"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tcPr>
          <w:p w14:paraId="3FA1BF61"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tcPr>
          <w:p w14:paraId="3B37C794"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tcPr>
          <w:p w14:paraId="65F03C59"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tcPr>
          <w:p w14:paraId="4C481C64"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29</w:t>
            </w:r>
          </w:p>
        </w:tc>
        <w:tc>
          <w:tcPr>
            <w:tcW w:w="0" w:type="auto"/>
            <w:shd w:val="clear" w:color="auto" w:fill="D9D9D9"/>
            <w:vAlign w:val="center"/>
          </w:tcPr>
          <w:p w14:paraId="0575FE0D"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51</w:t>
            </w:r>
          </w:p>
        </w:tc>
        <w:tc>
          <w:tcPr>
            <w:tcW w:w="0" w:type="auto"/>
            <w:shd w:val="clear" w:color="auto" w:fill="D9D9D9"/>
            <w:vAlign w:val="center"/>
          </w:tcPr>
          <w:p w14:paraId="1A9FE469"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51</w:t>
            </w:r>
          </w:p>
        </w:tc>
        <w:tc>
          <w:tcPr>
            <w:tcW w:w="0" w:type="auto"/>
            <w:shd w:val="clear" w:color="auto" w:fill="D9D9D9"/>
            <w:vAlign w:val="center"/>
          </w:tcPr>
          <w:p w14:paraId="030A3FA7"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51</w:t>
            </w:r>
          </w:p>
        </w:tc>
        <w:tc>
          <w:tcPr>
            <w:tcW w:w="0" w:type="auto"/>
            <w:shd w:val="clear" w:color="auto" w:fill="D9D9D9"/>
            <w:vAlign w:val="center"/>
          </w:tcPr>
          <w:p w14:paraId="3B38A34A"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71,2</w:t>
            </w:r>
          </w:p>
        </w:tc>
      </w:tr>
      <w:tr w:rsidR="00594EA1" w:rsidRPr="004E13E9" w14:paraId="0F330302" w14:textId="77777777" w:rsidTr="00D47E5E">
        <w:trPr>
          <w:trHeight w:val="20"/>
          <w:jc w:val="center"/>
        </w:trPr>
        <w:tc>
          <w:tcPr>
            <w:tcW w:w="0" w:type="auto"/>
            <w:noWrap/>
            <w:vAlign w:val="center"/>
            <w:hideMark/>
          </w:tcPr>
          <w:p w14:paraId="6B7541F6" w14:textId="77777777" w:rsidR="00594EA1" w:rsidRPr="004E13E9" w:rsidRDefault="00594EA1" w:rsidP="00594EA1">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Pourcentage alloué aux prises accessoires</w:t>
            </w:r>
          </w:p>
        </w:tc>
        <w:tc>
          <w:tcPr>
            <w:tcW w:w="2103" w:type="dxa"/>
            <w:noWrap/>
            <w:vAlign w:val="center"/>
            <w:hideMark/>
          </w:tcPr>
          <w:p w14:paraId="0C705E40" w14:textId="77777777" w:rsidR="00594EA1" w:rsidRPr="004E13E9" w:rsidRDefault="00594EA1" w:rsidP="00594EA1">
            <w:pPr>
              <w:widowControl w:val="0"/>
              <w:jc w:val="right"/>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710" w:type="dxa"/>
            <w:vAlign w:val="center"/>
          </w:tcPr>
          <w:p w14:paraId="4DDC75AC"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noWrap/>
            <w:vAlign w:val="center"/>
            <w:hideMark/>
          </w:tcPr>
          <w:p w14:paraId="1D9B18B6"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620FADB2"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0E876C9E"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7C5EB2E6"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58022906"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65ECB49A"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000000" w:fill="D9D9D9"/>
            <w:vAlign w:val="center"/>
            <w:hideMark/>
          </w:tcPr>
          <w:p w14:paraId="44D96797"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6367D80E"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hideMark/>
          </w:tcPr>
          <w:p w14:paraId="21D886E0"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0ABB0789" w14:textId="77777777" w:rsidR="00594EA1" w:rsidRPr="004E13E9" w:rsidRDefault="00594EA1" w:rsidP="00594EA1">
            <w:pPr>
              <w:widowControl w:val="0"/>
              <w:jc w:val="center"/>
              <w:rPr>
                <w:rFonts w:eastAsia="PMingLiU" w:cs="Calibri"/>
                <w:color w:val="000000"/>
                <w:lang w:val="fr-FR" w:eastAsia="fr-FR" w:bidi="fr-FR"/>
              </w:rPr>
            </w:pPr>
            <w:r w:rsidRPr="004E13E9">
              <w:rPr>
                <w:rFonts w:eastAsia="MS Gothic" w:cs="Times New Roman"/>
                <w:color w:val="000000"/>
                <w:szCs w:val="24"/>
                <w:lang w:val="fr-FR" w:eastAsia="fr-FR" w:bidi="fr-FR"/>
              </w:rPr>
              <w:t>*</w:t>
            </w:r>
          </w:p>
        </w:tc>
        <w:tc>
          <w:tcPr>
            <w:tcW w:w="0" w:type="auto"/>
            <w:vAlign w:val="center"/>
          </w:tcPr>
          <w:p w14:paraId="441CC32C" w14:textId="77777777" w:rsidR="00594EA1" w:rsidRPr="004E13E9" w:rsidRDefault="00594EA1" w:rsidP="00594EA1">
            <w:pPr>
              <w:widowControl w:val="0"/>
              <w:jc w:val="center"/>
              <w:rPr>
                <w:rFonts w:eastAsia="PMingLiU" w:cs="Calibri"/>
                <w:color w:val="000000"/>
                <w:lang w:val="fr-FR" w:eastAsia="fr-FR" w:bidi="fr-FR"/>
              </w:rPr>
            </w:pPr>
            <w:r w:rsidRPr="004E13E9">
              <w:rPr>
                <w:rFonts w:eastAsia="MS Gothic" w:cs="Times New Roman"/>
                <w:color w:val="000000"/>
                <w:szCs w:val="24"/>
                <w:lang w:val="fr-FR" w:eastAsia="fr-FR" w:bidi="fr-FR"/>
              </w:rPr>
              <w:t>*</w:t>
            </w:r>
          </w:p>
        </w:tc>
        <w:tc>
          <w:tcPr>
            <w:tcW w:w="0" w:type="auto"/>
            <w:vAlign w:val="center"/>
          </w:tcPr>
          <w:p w14:paraId="1E7855DD" w14:textId="77777777" w:rsidR="00594EA1" w:rsidRPr="004E13E9" w:rsidRDefault="00594EA1" w:rsidP="00594EA1">
            <w:pPr>
              <w:widowControl w:val="0"/>
              <w:jc w:val="center"/>
              <w:rPr>
                <w:rFonts w:eastAsia="PMingLiU" w:cs="Calibri"/>
                <w:color w:val="000000"/>
                <w:lang w:val="fr-FR" w:eastAsia="fr-FR" w:bidi="fr-FR"/>
              </w:rPr>
            </w:pPr>
            <w:r w:rsidRPr="004E13E9">
              <w:rPr>
                <w:rFonts w:eastAsia="MS Gothic" w:cs="Times New Roman"/>
                <w:color w:val="000000"/>
                <w:szCs w:val="24"/>
                <w:lang w:val="fr-FR" w:eastAsia="fr-FR" w:bidi="fr-FR"/>
              </w:rPr>
              <w:t>*</w:t>
            </w:r>
          </w:p>
        </w:tc>
        <w:tc>
          <w:tcPr>
            <w:tcW w:w="0" w:type="auto"/>
            <w:vAlign w:val="center"/>
          </w:tcPr>
          <w:p w14:paraId="0982C1D3" w14:textId="77777777" w:rsidR="00594EA1" w:rsidRPr="004E13E9" w:rsidRDefault="00594EA1" w:rsidP="00594EA1">
            <w:pPr>
              <w:widowControl w:val="0"/>
              <w:jc w:val="center"/>
              <w:rPr>
                <w:rFonts w:eastAsia="PMingLiU" w:cs="Calibri"/>
                <w:color w:val="000000"/>
                <w:lang w:val="fr-FR" w:eastAsia="fr-FR" w:bidi="fr-FR"/>
              </w:rPr>
            </w:pPr>
            <w:r w:rsidRPr="004E13E9">
              <w:rPr>
                <w:rFonts w:eastAsia="MS Gothic" w:cs="Times New Roman"/>
                <w:color w:val="000000"/>
                <w:szCs w:val="24"/>
                <w:lang w:val="fr-FR" w:eastAsia="fr-FR" w:bidi="fr-FR"/>
              </w:rPr>
              <w:t>*</w:t>
            </w:r>
          </w:p>
        </w:tc>
        <w:tc>
          <w:tcPr>
            <w:tcW w:w="0" w:type="auto"/>
            <w:vAlign w:val="center"/>
          </w:tcPr>
          <w:p w14:paraId="78527A84"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1%</w:t>
            </w:r>
          </w:p>
        </w:tc>
      </w:tr>
      <w:tr w:rsidR="00594EA1" w:rsidRPr="004E13E9" w14:paraId="353A5E4C" w14:textId="77777777" w:rsidTr="00D47E5E">
        <w:trPr>
          <w:trHeight w:val="20"/>
          <w:jc w:val="center"/>
        </w:trPr>
        <w:tc>
          <w:tcPr>
            <w:tcW w:w="0" w:type="auto"/>
            <w:noWrap/>
            <w:vAlign w:val="center"/>
          </w:tcPr>
          <w:p w14:paraId="33070A51" w14:textId="77777777" w:rsidR="00594EA1" w:rsidRPr="004E13E9" w:rsidRDefault="00594EA1" w:rsidP="00594EA1">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Allocation aux prises accessoires</w:t>
            </w:r>
          </w:p>
        </w:tc>
        <w:tc>
          <w:tcPr>
            <w:tcW w:w="2103" w:type="dxa"/>
            <w:noWrap/>
            <w:vAlign w:val="center"/>
          </w:tcPr>
          <w:p w14:paraId="30238DCF" w14:textId="77777777" w:rsidR="00594EA1" w:rsidRPr="004E13E9" w:rsidRDefault="00594EA1" w:rsidP="00594EA1">
            <w:pPr>
              <w:widowControl w:val="0"/>
              <w:jc w:val="right"/>
              <w:rPr>
                <w:rFonts w:eastAsia="Times New Roman" w:cs="Calibri"/>
                <w:color w:val="000000"/>
                <w:sz w:val="18"/>
                <w:szCs w:val="18"/>
                <w:lang w:val="fr-FR" w:eastAsia="ja-JP" w:bidi="fr-FR"/>
              </w:rPr>
            </w:pPr>
          </w:p>
        </w:tc>
        <w:tc>
          <w:tcPr>
            <w:tcW w:w="710" w:type="dxa"/>
            <w:vAlign w:val="center"/>
          </w:tcPr>
          <w:p w14:paraId="5F040382"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noWrap/>
            <w:vAlign w:val="center"/>
          </w:tcPr>
          <w:p w14:paraId="38076CBE"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0FE378B0"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2499AC3D"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367171C2"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3925F1E6"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7FBDD6E6"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000000" w:fill="D9D9D9"/>
            <w:vAlign w:val="center"/>
          </w:tcPr>
          <w:p w14:paraId="30EA274C"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21F25E43"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6A16E709"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vAlign w:val="center"/>
          </w:tcPr>
          <w:p w14:paraId="0BAA350A" w14:textId="77777777" w:rsidR="00594EA1" w:rsidRPr="004E13E9" w:rsidRDefault="00594EA1" w:rsidP="00594EA1">
            <w:pPr>
              <w:widowControl w:val="0"/>
              <w:jc w:val="center"/>
              <w:rPr>
                <w:rFonts w:eastAsia="PMingLiU" w:cs="Calibri"/>
                <w:color w:val="000000"/>
                <w:lang w:val="fr-FR" w:eastAsia="fr-FR" w:bidi="fr-FR"/>
              </w:rPr>
            </w:pPr>
            <w:r w:rsidRPr="004E13E9">
              <w:rPr>
                <w:rFonts w:eastAsia="MS Gothic" w:cs="Times New Roman"/>
                <w:color w:val="000000"/>
                <w:szCs w:val="24"/>
                <w:lang w:val="fr-FR" w:eastAsia="fr-FR" w:bidi="fr-FR"/>
              </w:rPr>
              <w:t>*</w:t>
            </w:r>
          </w:p>
        </w:tc>
        <w:tc>
          <w:tcPr>
            <w:tcW w:w="0" w:type="auto"/>
            <w:vAlign w:val="center"/>
          </w:tcPr>
          <w:p w14:paraId="1BC18246" w14:textId="77777777" w:rsidR="00594EA1" w:rsidRPr="004E13E9" w:rsidRDefault="00594EA1" w:rsidP="00594EA1">
            <w:pPr>
              <w:widowControl w:val="0"/>
              <w:jc w:val="center"/>
              <w:rPr>
                <w:rFonts w:eastAsia="PMingLiU" w:cs="Calibri"/>
                <w:color w:val="000000"/>
                <w:lang w:val="fr-FR" w:eastAsia="fr-FR" w:bidi="fr-FR"/>
              </w:rPr>
            </w:pPr>
            <w:r w:rsidRPr="004E13E9">
              <w:rPr>
                <w:rFonts w:eastAsia="MS Gothic" w:cs="Times New Roman"/>
                <w:color w:val="000000"/>
                <w:szCs w:val="24"/>
                <w:lang w:val="fr-FR" w:eastAsia="fr-FR" w:bidi="fr-FR"/>
              </w:rPr>
              <w:t>*</w:t>
            </w:r>
          </w:p>
        </w:tc>
        <w:tc>
          <w:tcPr>
            <w:tcW w:w="0" w:type="auto"/>
            <w:vAlign w:val="center"/>
          </w:tcPr>
          <w:p w14:paraId="69AF6F66" w14:textId="77777777" w:rsidR="00594EA1" w:rsidRPr="004E13E9" w:rsidRDefault="00594EA1" w:rsidP="00594EA1">
            <w:pPr>
              <w:widowControl w:val="0"/>
              <w:jc w:val="center"/>
              <w:rPr>
                <w:rFonts w:eastAsia="PMingLiU" w:cs="Calibri"/>
                <w:color w:val="000000"/>
                <w:lang w:val="fr-FR" w:eastAsia="fr-FR" w:bidi="fr-FR"/>
              </w:rPr>
            </w:pPr>
            <w:r w:rsidRPr="004E13E9">
              <w:rPr>
                <w:rFonts w:eastAsia="MS Gothic" w:cs="Times New Roman"/>
                <w:color w:val="000000"/>
                <w:szCs w:val="24"/>
                <w:lang w:val="fr-FR" w:eastAsia="fr-FR" w:bidi="fr-FR"/>
              </w:rPr>
              <w:t>*</w:t>
            </w:r>
          </w:p>
        </w:tc>
        <w:tc>
          <w:tcPr>
            <w:tcW w:w="0" w:type="auto"/>
            <w:vAlign w:val="center"/>
          </w:tcPr>
          <w:p w14:paraId="0A519032" w14:textId="77777777" w:rsidR="00594EA1" w:rsidRPr="004E13E9" w:rsidRDefault="00594EA1" w:rsidP="00594EA1">
            <w:pPr>
              <w:widowControl w:val="0"/>
              <w:jc w:val="center"/>
              <w:rPr>
                <w:rFonts w:eastAsia="PMingLiU" w:cs="Calibri"/>
                <w:color w:val="000000"/>
                <w:lang w:val="fr-FR" w:eastAsia="fr-FR" w:bidi="fr-FR"/>
              </w:rPr>
            </w:pPr>
            <w:r w:rsidRPr="004E13E9">
              <w:rPr>
                <w:rFonts w:eastAsia="MS Gothic" w:cs="Times New Roman"/>
                <w:color w:val="000000"/>
                <w:szCs w:val="24"/>
                <w:lang w:val="fr-FR" w:eastAsia="fr-FR" w:bidi="fr-FR"/>
              </w:rPr>
              <w:t>*</w:t>
            </w:r>
          </w:p>
        </w:tc>
        <w:tc>
          <w:tcPr>
            <w:tcW w:w="0" w:type="auto"/>
            <w:vAlign w:val="center"/>
          </w:tcPr>
          <w:p w14:paraId="76159678"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1 t</w:t>
            </w:r>
          </w:p>
        </w:tc>
      </w:tr>
      <w:tr w:rsidR="00594EA1" w:rsidRPr="00150EE2" w14:paraId="57E63EE1" w14:textId="77777777" w:rsidTr="00D47E5E">
        <w:trPr>
          <w:trHeight w:val="20"/>
          <w:jc w:val="center"/>
        </w:trPr>
        <w:tc>
          <w:tcPr>
            <w:tcW w:w="0" w:type="auto"/>
            <w:vAlign w:val="center"/>
          </w:tcPr>
          <w:p w14:paraId="1B40683F" w14:textId="77777777" w:rsidR="00594EA1" w:rsidRPr="004E13E9" w:rsidRDefault="00594EA1" w:rsidP="00594EA1">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Quota de recherche scientifique</w:t>
            </w:r>
          </w:p>
          <w:p w14:paraId="10EBFC2D" w14:textId="77777777" w:rsidR="00594EA1" w:rsidRPr="004E13E9" w:rsidRDefault="00594EA1" w:rsidP="00594EA1">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(le cas échéant)</w:t>
            </w:r>
          </w:p>
        </w:tc>
        <w:tc>
          <w:tcPr>
            <w:tcW w:w="2103" w:type="dxa"/>
            <w:noWrap/>
            <w:vAlign w:val="center"/>
          </w:tcPr>
          <w:p w14:paraId="4836022B" w14:textId="77777777" w:rsidR="00594EA1" w:rsidRPr="004E13E9" w:rsidRDefault="00594EA1" w:rsidP="00594EA1">
            <w:pPr>
              <w:widowControl w:val="0"/>
              <w:jc w:val="right"/>
              <w:rPr>
                <w:rFonts w:eastAsia="Times New Roman" w:cs="Calibri"/>
                <w:b/>
                <w:bCs/>
                <w:color w:val="000000"/>
                <w:sz w:val="18"/>
                <w:szCs w:val="18"/>
                <w:lang w:val="fr-FR" w:eastAsia="ja-JP" w:bidi="fr-FR"/>
              </w:rPr>
            </w:pPr>
          </w:p>
        </w:tc>
        <w:tc>
          <w:tcPr>
            <w:tcW w:w="710" w:type="dxa"/>
            <w:vAlign w:val="center"/>
          </w:tcPr>
          <w:p w14:paraId="5AFE11D2"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noWrap/>
            <w:vAlign w:val="center"/>
          </w:tcPr>
          <w:p w14:paraId="5FFE9C33"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45BB347B"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39D9385D"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5D540DEB"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7CA6CACE"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25BF4A42"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000000" w:fill="D9D9D9"/>
            <w:vAlign w:val="center"/>
          </w:tcPr>
          <w:p w14:paraId="36907E8C"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6053A004"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032EAD85"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30C388A8"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noWrap/>
            <w:vAlign w:val="center"/>
          </w:tcPr>
          <w:p w14:paraId="585E577E"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noWrap/>
            <w:vAlign w:val="center"/>
          </w:tcPr>
          <w:p w14:paraId="364F720A"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noWrap/>
            <w:vAlign w:val="center"/>
          </w:tcPr>
          <w:p w14:paraId="20D6A760"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65DFDB20"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r>
      <w:tr w:rsidR="00594EA1" w:rsidRPr="004E13E9" w14:paraId="21CD639C" w14:textId="77777777" w:rsidTr="00D47E5E">
        <w:trPr>
          <w:trHeight w:val="20"/>
          <w:jc w:val="center"/>
        </w:trPr>
        <w:tc>
          <w:tcPr>
            <w:tcW w:w="0" w:type="auto"/>
            <w:vAlign w:val="center"/>
          </w:tcPr>
          <w:p w14:paraId="370718ED" w14:textId="77777777" w:rsidR="00594EA1" w:rsidRPr="004E13E9" w:rsidRDefault="00594EA1" w:rsidP="00594EA1">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Tolérance pour la pêche sportive/récréative</w:t>
            </w:r>
          </w:p>
          <w:p w14:paraId="2654181D" w14:textId="77777777" w:rsidR="00594EA1" w:rsidRPr="004E13E9" w:rsidRDefault="00594EA1" w:rsidP="00594EA1">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(le cas échéant)</w:t>
            </w:r>
          </w:p>
        </w:tc>
        <w:tc>
          <w:tcPr>
            <w:tcW w:w="2103" w:type="dxa"/>
            <w:noWrap/>
            <w:vAlign w:val="center"/>
          </w:tcPr>
          <w:p w14:paraId="032DC61D" w14:textId="77777777" w:rsidR="00594EA1" w:rsidRPr="004E13E9" w:rsidRDefault="00594EA1" w:rsidP="00594EA1">
            <w:pPr>
              <w:widowControl w:val="0"/>
              <w:jc w:val="right"/>
              <w:rPr>
                <w:rFonts w:eastAsia="Times New Roman" w:cs="Calibri"/>
                <w:b/>
                <w:bCs/>
                <w:color w:val="000000"/>
                <w:sz w:val="18"/>
                <w:szCs w:val="18"/>
                <w:lang w:val="fr-FR" w:eastAsia="ja-JP" w:bidi="fr-FR"/>
              </w:rPr>
            </w:pPr>
          </w:p>
        </w:tc>
        <w:tc>
          <w:tcPr>
            <w:tcW w:w="710" w:type="dxa"/>
            <w:vAlign w:val="center"/>
          </w:tcPr>
          <w:p w14:paraId="0E15F525"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noWrap/>
            <w:vAlign w:val="center"/>
          </w:tcPr>
          <w:p w14:paraId="7B6A3F2B"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36064457"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297890DA"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1159CD78"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3D2C3901"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6493AEFB"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000000" w:fill="D9D9D9"/>
            <w:vAlign w:val="center"/>
          </w:tcPr>
          <w:p w14:paraId="10ACC84D"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4F8CE1C7"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6ABE64C9"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252D5687"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noWrap/>
            <w:vAlign w:val="center"/>
          </w:tcPr>
          <w:p w14:paraId="575D34E9"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noWrap/>
            <w:vAlign w:val="center"/>
          </w:tcPr>
          <w:p w14:paraId="2DC3AD81"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noWrap/>
            <w:vAlign w:val="center"/>
          </w:tcPr>
          <w:p w14:paraId="46E4060E"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34C918E9"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r>
      <w:tr w:rsidR="00594EA1" w:rsidRPr="004E13E9" w14:paraId="616653E9" w14:textId="77777777" w:rsidTr="00D47E5E">
        <w:trPr>
          <w:trHeight w:val="20"/>
          <w:jc w:val="center"/>
        </w:trPr>
        <w:tc>
          <w:tcPr>
            <w:tcW w:w="0" w:type="auto"/>
            <w:vAlign w:val="center"/>
          </w:tcPr>
          <w:p w14:paraId="5F731DA7" w14:textId="77777777" w:rsidR="00594EA1" w:rsidRPr="004E13E9" w:rsidRDefault="00594EA1" w:rsidP="00594EA1">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Quota disponible</w:t>
            </w:r>
          </w:p>
        </w:tc>
        <w:tc>
          <w:tcPr>
            <w:tcW w:w="2103" w:type="dxa"/>
            <w:noWrap/>
            <w:vAlign w:val="center"/>
          </w:tcPr>
          <w:p w14:paraId="5E458288" w14:textId="77777777" w:rsidR="00594EA1" w:rsidRPr="004E13E9" w:rsidRDefault="00594EA1" w:rsidP="00594EA1">
            <w:pPr>
              <w:widowControl w:val="0"/>
              <w:jc w:val="right"/>
              <w:rPr>
                <w:rFonts w:eastAsia="Times New Roman" w:cs="Calibri"/>
                <w:b/>
                <w:bCs/>
                <w:color w:val="000000"/>
                <w:sz w:val="18"/>
                <w:szCs w:val="18"/>
                <w:lang w:val="fr-FR" w:eastAsia="ja-JP" w:bidi="fr-FR"/>
              </w:rPr>
            </w:pPr>
          </w:p>
        </w:tc>
        <w:tc>
          <w:tcPr>
            <w:tcW w:w="710" w:type="dxa"/>
            <w:vAlign w:val="center"/>
          </w:tcPr>
          <w:p w14:paraId="2BAD86B5"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noWrap/>
            <w:vAlign w:val="center"/>
          </w:tcPr>
          <w:p w14:paraId="3B15856D"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43AC7EDD"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4B8BBD13"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4AE1651B"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43F0A988"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02A48F64"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000000" w:fill="D9D9D9"/>
            <w:vAlign w:val="center"/>
          </w:tcPr>
          <w:p w14:paraId="7E1D9FA7" w14:textId="77777777" w:rsidR="00594EA1" w:rsidRPr="004E13E9" w:rsidRDefault="00594EA1" w:rsidP="00594EA1">
            <w:pPr>
              <w:widowControl w:val="0"/>
              <w:jc w:val="center"/>
              <w:rPr>
                <w:rFonts w:eastAsia="Times New Roman" w:cs="Calibri"/>
                <w:b/>
                <w:bCs/>
                <w:color w:val="000000"/>
                <w:sz w:val="16"/>
                <w:szCs w:val="16"/>
                <w:lang w:val="fr-FR" w:eastAsia="ja-JP" w:bidi="fr-FR"/>
              </w:rPr>
            </w:pPr>
          </w:p>
        </w:tc>
        <w:tc>
          <w:tcPr>
            <w:tcW w:w="0" w:type="auto"/>
            <w:vAlign w:val="center"/>
          </w:tcPr>
          <w:p w14:paraId="5182CFF1"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480</w:t>
            </w:r>
          </w:p>
        </w:tc>
        <w:tc>
          <w:tcPr>
            <w:tcW w:w="0" w:type="auto"/>
            <w:vAlign w:val="center"/>
          </w:tcPr>
          <w:p w14:paraId="22702E4A"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68,71</w:t>
            </w:r>
          </w:p>
        </w:tc>
        <w:tc>
          <w:tcPr>
            <w:tcW w:w="0" w:type="auto"/>
            <w:vAlign w:val="center"/>
          </w:tcPr>
          <w:p w14:paraId="44AC8946"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29</w:t>
            </w:r>
          </w:p>
        </w:tc>
        <w:tc>
          <w:tcPr>
            <w:tcW w:w="0" w:type="auto"/>
            <w:noWrap/>
            <w:vAlign w:val="center"/>
          </w:tcPr>
          <w:p w14:paraId="2A1B2BB5"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51</w:t>
            </w:r>
          </w:p>
        </w:tc>
        <w:tc>
          <w:tcPr>
            <w:tcW w:w="0" w:type="auto"/>
            <w:noWrap/>
            <w:vAlign w:val="center"/>
          </w:tcPr>
          <w:p w14:paraId="6F687A18"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51</w:t>
            </w:r>
          </w:p>
        </w:tc>
        <w:tc>
          <w:tcPr>
            <w:tcW w:w="0" w:type="auto"/>
            <w:noWrap/>
            <w:vAlign w:val="center"/>
          </w:tcPr>
          <w:p w14:paraId="1620E587"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51</w:t>
            </w:r>
          </w:p>
        </w:tc>
        <w:tc>
          <w:tcPr>
            <w:tcW w:w="0" w:type="auto"/>
            <w:vAlign w:val="center"/>
          </w:tcPr>
          <w:p w14:paraId="07123ACC"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70,2</w:t>
            </w:r>
          </w:p>
        </w:tc>
      </w:tr>
      <w:tr w:rsidR="00594EA1" w:rsidRPr="004E13E9" w14:paraId="3F2C0CE4" w14:textId="77777777" w:rsidTr="00D47E5E">
        <w:trPr>
          <w:trHeight w:val="20"/>
          <w:jc w:val="center"/>
        </w:trPr>
        <w:tc>
          <w:tcPr>
            <w:tcW w:w="0" w:type="auto"/>
            <w:shd w:val="clear" w:color="auto" w:fill="D9D9D9"/>
            <w:noWrap/>
            <w:vAlign w:val="center"/>
            <w:hideMark/>
          </w:tcPr>
          <w:p w14:paraId="2DAE0D81" w14:textId="77777777" w:rsidR="00594EA1" w:rsidRPr="004E13E9" w:rsidRDefault="00594EA1" w:rsidP="00594EA1">
            <w:pPr>
              <w:widowControl w:val="0"/>
              <w:jc w:val="both"/>
              <w:rPr>
                <w:rFonts w:eastAsia="Times New Roman" w:cs="Calibri"/>
                <w:b/>
                <w:bCs/>
                <w:color w:val="000000"/>
                <w:sz w:val="18"/>
                <w:szCs w:val="18"/>
                <w:lang w:val="fr-FR" w:eastAsia="fr-FR" w:bidi="fr-FR"/>
              </w:rPr>
            </w:pPr>
            <w:r w:rsidRPr="004E13E9">
              <w:rPr>
                <w:rFonts w:eastAsia="MS Gothic" w:cs="Times New Roman"/>
                <w:b/>
                <w:color w:val="000000"/>
                <w:sz w:val="18"/>
                <w:szCs w:val="24"/>
                <w:lang w:val="fr-FR" w:eastAsia="fr-FR" w:bidi="fr-FR"/>
              </w:rPr>
              <w:t>Sous/surcapacité</w:t>
            </w:r>
          </w:p>
        </w:tc>
        <w:tc>
          <w:tcPr>
            <w:tcW w:w="2103" w:type="dxa"/>
            <w:shd w:val="clear" w:color="auto" w:fill="D9D9D9"/>
            <w:noWrap/>
            <w:vAlign w:val="center"/>
            <w:hideMark/>
          </w:tcPr>
          <w:p w14:paraId="0948CB02" w14:textId="77777777" w:rsidR="00594EA1" w:rsidRPr="004E13E9" w:rsidRDefault="00594EA1" w:rsidP="00594EA1">
            <w:pPr>
              <w:widowControl w:val="0"/>
              <w:jc w:val="right"/>
              <w:rPr>
                <w:rFonts w:eastAsia="Times New Roman" w:cs="Calibri"/>
                <w:color w:val="000000"/>
                <w:sz w:val="18"/>
                <w:szCs w:val="18"/>
                <w:lang w:val="fr-FR" w:eastAsia="fr-FR" w:bidi="fr-FR"/>
              </w:rPr>
            </w:pPr>
            <w:r w:rsidRPr="004E13E9">
              <w:rPr>
                <w:rFonts w:eastAsia="MS Gothic" w:cs="Times New Roman"/>
                <w:color w:val="000000"/>
                <w:sz w:val="18"/>
                <w:szCs w:val="24"/>
                <w:lang w:val="fr-FR" w:eastAsia="fr-FR" w:bidi="fr-FR"/>
              </w:rPr>
              <w:t> </w:t>
            </w:r>
          </w:p>
        </w:tc>
        <w:tc>
          <w:tcPr>
            <w:tcW w:w="710" w:type="dxa"/>
            <w:shd w:val="clear" w:color="auto" w:fill="D9D9D9"/>
            <w:vAlign w:val="center"/>
          </w:tcPr>
          <w:p w14:paraId="48A0C798"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noWrap/>
            <w:vAlign w:val="center"/>
            <w:hideMark/>
          </w:tcPr>
          <w:p w14:paraId="5B15F114"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hideMark/>
          </w:tcPr>
          <w:p w14:paraId="73CE6474"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hideMark/>
          </w:tcPr>
          <w:p w14:paraId="4FF0AE53"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hideMark/>
          </w:tcPr>
          <w:p w14:paraId="5F5C8D7A"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tcPr>
          <w:p w14:paraId="7CAC6DAA"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tcPr>
          <w:p w14:paraId="7DF8059F"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hideMark/>
          </w:tcPr>
          <w:p w14:paraId="2EFC9023" w14:textId="77777777" w:rsidR="00594EA1" w:rsidRPr="004E13E9" w:rsidRDefault="00594EA1" w:rsidP="00594EA1">
            <w:pPr>
              <w:widowControl w:val="0"/>
              <w:jc w:val="center"/>
              <w:rPr>
                <w:rFonts w:eastAsia="Times New Roman" w:cs="Calibri"/>
                <w:color w:val="000000"/>
                <w:sz w:val="16"/>
                <w:szCs w:val="16"/>
                <w:lang w:val="fr-FR" w:eastAsia="ja-JP" w:bidi="fr-FR"/>
              </w:rPr>
            </w:pPr>
          </w:p>
        </w:tc>
        <w:tc>
          <w:tcPr>
            <w:tcW w:w="0" w:type="auto"/>
            <w:shd w:val="clear" w:color="auto" w:fill="D9D9D9"/>
            <w:vAlign w:val="center"/>
          </w:tcPr>
          <w:p w14:paraId="2A324D6E"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-280</w:t>
            </w:r>
          </w:p>
        </w:tc>
        <w:tc>
          <w:tcPr>
            <w:tcW w:w="0" w:type="auto"/>
            <w:shd w:val="clear" w:color="auto" w:fill="D9D9D9"/>
            <w:vAlign w:val="center"/>
            <w:hideMark/>
          </w:tcPr>
          <w:p w14:paraId="66D15012" w14:textId="77777777" w:rsidR="00594EA1" w:rsidRPr="004E13E9" w:rsidRDefault="00594EA1" w:rsidP="00594EA1">
            <w:pPr>
              <w:widowControl w:val="0"/>
              <w:jc w:val="center"/>
              <w:rPr>
                <w:rFonts w:eastAsia="Times New Roman" w:cs="Calibri"/>
                <w:color w:val="000000"/>
                <w:sz w:val="14"/>
                <w:szCs w:val="14"/>
                <w:lang w:val="fr-FR" w:eastAsia="fr-FR" w:bidi="fr-FR"/>
              </w:rPr>
            </w:pPr>
            <w:r w:rsidRPr="004E13E9">
              <w:rPr>
                <w:rFonts w:eastAsia="MS Gothic" w:cs="Times New Roman"/>
                <w:color w:val="000000"/>
                <w:sz w:val="14"/>
                <w:szCs w:val="14"/>
                <w:lang w:val="fr-FR" w:eastAsia="fr-FR" w:bidi="fr-FR"/>
              </w:rPr>
              <w:t>-68,71</w:t>
            </w:r>
          </w:p>
        </w:tc>
        <w:tc>
          <w:tcPr>
            <w:tcW w:w="0" w:type="auto"/>
            <w:shd w:val="clear" w:color="auto" w:fill="D9D9D9"/>
            <w:vAlign w:val="center"/>
            <w:hideMark/>
          </w:tcPr>
          <w:p w14:paraId="06F9BDF3" w14:textId="77777777" w:rsidR="00594EA1" w:rsidRPr="004E13E9" w:rsidRDefault="00594EA1" w:rsidP="00594EA1">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-29</w:t>
            </w:r>
          </w:p>
        </w:tc>
        <w:tc>
          <w:tcPr>
            <w:tcW w:w="0" w:type="auto"/>
            <w:shd w:val="clear" w:color="auto" w:fill="D9D9D9"/>
            <w:vAlign w:val="center"/>
            <w:hideMark/>
          </w:tcPr>
          <w:p w14:paraId="35F8CCF9" w14:textId="77777777" w:rsidR="00594EA1" w:rsidRPr="004E13E9" w:rsidRDefault="00594EA1" w:rsidP="00594EA1">
            <w:pPr>
              <w:widowControl w:val="0"/>
              <w:jc w:val="center"/>
              <w:rPr>
                <w:rFonts w:eastAsia="Times New Roman" w:cs="Calibri"/>
                <w:color w:val="000000"/>
                <w:sz w:val="16"/>
                <w:szCs w:val="16"/>
                <w:lang w:val="fr-FR" w:eastAsia="fr-FR" w:bidi="fr-FR"/>
              </w:rPr>
            </w:pPr>
            <w:r w:rsidRPr="004E13E9">
              <w:rPr>
                <w:rFonts w:eastAsia="MS Gothic" w:cs="Times New Roman"/>
                <w:color w:val="000000"/>
                <w:sz w:val="16"/>
                <w:szCs w:val="24"/>
                <w:lang w:val="fr-FR" w:eastAsia="fr-FR" w:bidi="fr-FR"/>
              </w:rPr>
              <w:t>-51</w:t>
            </w:r>
          </w:p>
        </w:tc>
        <w:tc>
          <w:tcPr>
            <w:tcW w:w="0" w:type="auto"/>
            <w:shd w:val="clear" w:color="auto" w:fill="D9D9D9"/>
            <w:vAlign w:val="center"/>
            <w:hideMark/>
          </w:tcPr>
          <w:p w14:paraId="24DC410E"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-51</w:t>
            </w:r>
          </w:p>
        </w:tc>
        <w:tc>
          <w:tcPr>
            <w:tcW w:w="0" w:type="auto"/>
            <w:shd w:val="clear" w:color="auto" w:fill="D9D9D9"/>
            <w:vAlign w:val="center"/>
            <w:hideMark/>
          </w:tcPr>
          <w:p w14:paraId="30B86C56"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-51</w:t>
            </w:r>
          </w:p>
        </w:tc>
        <w:tc>
          <w:tcPr>
            <w:tcW w:w="0" w:type="auto"/>
            <w:shd w:val="clear" w:color="auto" w:fill="D9D9D9"/>
            <w:vAlign w:val="center"/>
          </w:tcPr>
          <w:p w14:paraId="2E20E633" w14:textId="77777777" w:rsidR="00594EA1" w:rsidRPr="004E13E9" w:rsidRDefault="00594EA1" w:rsidP="00594EA1">
            <w:pPr>
              <w:widowControl w:val="0"/>
              <w:jc w:val="center"/>
              <w:rPr>
                <w:rFonts w:eastAsia="PMingLiU" w:cs="Calibri"/>
                <w:color w:val="000000"/>
                <w:sz w:val="16"/>
                <w:szCs w:val="16"/>
                <w:lang w:val="fr-FR" w:eastAsia="fr-FR" w:bidi="fr-FR"/>
              </w:rPr>
            </w:pPr>
            <w:r w:rsidRPr="004E13E9">
              <w:rPr>
                <w:rFonts w:eastAsia="MS Gothic" w:cs="Times New Roman"/>
                <w:color w:val="000000"/>
                <w:sz w:val="16"/>
                <w:szCs w:val="24"/>
                <w:lang w:val="fr-FR" w:eastAsia="fr-FR" w:bidi="fr-FR"/>
              </w:rPr>
              <w:t>-45,2</w:t>
            </w:r>
          </w:p>
        </w:tc>
      </w:tr>
    </w:tbl>
    <w:p w14:paraId="17F762EB" w14:textId="77777777" w:rsidR="00594EA1" w:rsidRPr="004E13E9" w:rsidRDefault="00594EA1" w:rsidP="00594EA1">
      <w:pPr>
        <w:widowControl w:val="0"/>
        <w:tabs>
          <w:tab w:val="left" w:pos="142"/>
        </w:tabs>
        <w:jc w:val="both"/>
        <w:rPr>
          <w:rFonts w:eastAsia="PMingLiU" w:cs="Times New Roman"/>
          <w:color w:val="000000"/>
          <w:sz w:val="16"/>
          <w:szCs w:val="16"/>
          <w:lang w:val="fr-FR" w:eastAsia="zh-TW" w:bidi="fr-FR"/>
        </w:rPr>
      </w:pPr>
    </w:p>
    <w:p w14:paraId="089A8DEB" w14:textId="77777777" w:rsidR="00594EA1" w:rsidRPr="004E13E9" w:rsidRDefault="00594EA1" w:rsidP="00594EA1">
      <w:pPr>
        <w:widowControl w:val="0"/>
        <w:tabs>
          <w:tab w:val="left" w:pos="142"/>
        </w:tabs>
        <w:jc w:val="both"/>
        <w:rPr>
          <w:rFonts w:eastAsia="PMingLiU" w:cs="Times New Roman"/>
          <w:color w:val="000000"/>
          <w:sz w:val="16"/>
          <w:szCs w:val="16"/>
          <w:lang w:val="fr-FR" w:eastAsia="fr-FR" w:bidi="fr-FR"/>
        </w:rPr>
      </w:pPr>
      <w:r w:rsidRPr="004E13E9">
        <w:rPr>
          <w:rFonts w:eastAsia="MS Gothic" w:cs="Times New Roman"/>
          <w:color w:val="000000"/>
          <w:sz w:val="16"/>
          <w:szCs w:val="24"/>
          <w:lang w:val="fr-FR" w:eastAsia="fr-FR" w:bidi="fr-FR"/>
        </w:rPr>
        <w:t xml:space="preserve">* Le Taipei chinois a volontairement interdit la pêche de thon rouge de l’Est au cours de ces années. Le quota ajusté était donc entièrement réservé aux prises accessoires. </w:t>
      </w:r>
    </w:p>
    <w:p w14:paraId="2C431ADB" w14:textId="77777777" w:rsidR="00594EA1" w:rsidRPr="004E13E9" w:rsidRDefault="00594EA1" w:rsidP="00594EA1">
      <w:pPr>
        <w:widowControl w:val="0"/>
        <w:tabs>
          <w:tab w:val="left" w:pos="142"/>
        </w:tabs>
        <w:jc w:val="both"/>
        <w:rPr>
          <w:rFonts w:eastAsia="PMingLiU" w:cs="Times New Roman"/>
          <w:color w:val="000000"/>
          <w:sz w:val="16"/>
          <w:szCs w:val="16"/>
          <w:lang w:val="fr-FR" w:eastAsia="fr-FR" w:bidi="fr-FR"/>
        </w:rPr>
      </w:pPr>
    </w:p>
    <w:p w14:paraId="2E070F4C" w14:textId="77777777" w:rsidR="00594EA1" w:rsidRPr="004E13E9" w:rsidRDefault="00594EA1">
      <w:pPr>
        <w:rPr>
          <w:lang w:val="fr-FR"/>
        </w:rPr>
      </w:pPr>
    </w:p>
    <w:p w14:paraId="7166D7E1" w14:textId="54D2E113" w:rsidR="00934E2D" w:rsidRPr="004E13E9" w:rsidRDefault="00934E2D">
      <w:pPr>
        <w:rPr>
          <w:lang w:val="fr-FR"/>
        </w:rPr>
      </w:pPr>
      <w:r w:rsidRPr="004E13E9">
        <w:rPr>
          <w:lang w:val="fr-FR"/>
        </w:rPr>
        <w:br w:type="page"/>
      </w:r>
    </w:p>
    <w:p w14:paraId="4EE872F4" w14:textId="77777777" w:rsidR="00934E2D" w:rsidRPr="004E13E9" w:rsidRDefault="00934E2D">
      <w:pPr>
        <w:rPr>
          <w:lang w:val="fr-FR"/>
        </w:rPr>
        <w:sectPr w:rsidR="00934E2D" w:rsidRPr="004E13E9" w:rsidSect="00173A66">
          <w:footnotePr>
            <w:numFmt w:val="chicago"/>
          </w:footnotePr>
          <w:pgSz w:w="16840" w:h="11907" w:orient="landscape" w:code="9"/>
          <w:pgMar w:top="1418" w:right="1418" w:bottom="1418" w:left="1418" w:header="851" w:footer="1134" w:gutter="0"/>
          <w:cols w:space="720"/>
          <w:docGrid w:linePitch="272"/>
        </w:sectPr>
      </w:pPr>
    </w:p>
    <w:p w14:paraId="31CE3588" w14:textId="4F3AE06B" w:rsidR="00B904E6" w:rsidRPr="004E13E9" w:rsidRDefault="00C415C7" w:rsidP="00C415C7">
      <w:pPr>
        <w:jc w:val="right"/>
        <w:rPr>
          <w:b/>
          <w:bCs/>
          <w:lang w:val="fr-FR"/>
        </w:rPr>
      </w:pPr>
      <w:r w:rsidRPr="004E13E9">
        <w:rPr>
          <w:b/>
          <w:bCs/>
          <w:lang w:val="fr-FR"/>
        </w:rPr>
        <w:t>Appendice 4</w:t>
      </w:r>
    </w:p>
    <w:p w14:paraId="13552B33" w14:textId="77777777" w:rsidR="002551E6" w:rsidRPr="004E13E9" w:rsidRDefault="002551E6" w:rsidP="00C415C7">
      <w:pPr>
        <w:jc w:val="right"/>
        <w:rPr>
          <w:b/>
          <w:bCs/>
          <w:lang w:val="fr-FR"/>
        </w:rPr>
      </w:pPr>
    </w:p>
    <w:p w14:paraId="00E435A1" w14:textId="77777777" w:rsidR="005E04BF" w:rsidRPr="004E13E9" w:rsidRDefault="005E04BF" w:rsidP="005E04BF">
      <w:pPr>
        <w:jc w:val="center"/>
        <w:rPr>
          <w:rFonts w:eastAsia="Yu Mincho" w:cs="Times New Roman"/>
          <w:b/>
          <w:bCs/>
          <w:lang w:val="fr-FR"/>
        </w:rPr>
      </w:pPr>
      <w:r w:rsidRPr="004E13E9">
        <w:rPr>
          <w:b/>
          <w:lang w:val="fr-FR"/>
        </w:rPr>
        <w:t>Projet de modèle de plan de pêche/de gestion du thon rouge de l'Atlantique Ouest</w:t>
      </w:r>
    </w:p>
    <w:p w14:paraId="3D5AE38F" w14:textId="77777777" w:rsidR="00F849E5" w:rsidRPr="004E13E9" w:rsidRDefault="00F849E5" w:rsidP="00F968FF">
      <w:pPr>
        <w:jc w:val="center"/>
        <w:rPr>
          <w:rFonts w:eastAsia="MS Mincho" w:cs="Times New Roman"/>
          <w:lang w:val="fr-FR"/>
        </w:rPr>
      </w:pPr>
    </w:p>
    <w:p w14:paraId="60A8A112" w14:textId="11AAD44B" w:rsidR="00EB490D" w:rsidRPr="004E13E9" w:rsidRDefault="00EB490D">
      <w:pPr>
        <w:rPr>
          <w:rFonts w:eastAsia="MS Mincho" w:cs="Times New Roman"/>
          <w:lang w:val="fr-FR"/>
        </w:rPr>
      </w:pPr>
    </w:p>
    <w:p w14:paraId="7876F8F5" w14:textId="77777777" w:rsidR="00C56EAB" w:rsidRPr="004E13E9" w:rsidRDefault="00C56EAB" w:rsidP="00C56EAB">
      <w:pPr>
        <w:widowControl w:val="0"/>
        <w:jc w:val="right"/>
        <w:rPr>
          <w:rFonts w:eastAsia="MS Gothic" w:cs="Times New Roman"/>
          <w:b/>
          <w:lang w:val="fr-FR" w:eastAsia="fr-FR" w:bidi="fr-FR"/>
        </w:rPr>
      </w:pPr>
      <w:r w:rsidRPr="004E13E9">
        <w:rPr>
          <w:rFonts w:eastAsia="MS Gothic" w:cs="Times New Roman"/>
          <w:b/>
          <w:lang w:val="fr-FR" w:eastAsia="fr-FR" w:bidi="fr-FR"/>
        </w:rPr>
        <w:t>CP62-WBFTPlan</w:t>
      </w:r>
    </w:p>
    <w:p w14:paraId="0739D08F" w14:textId="77777777" w:rsidR="00C56EAB" w:rsidRPr="004E13E9" w:rsidRDefault="00C56EAB" w:rsidP="00C56EAB">
      <w:pPr>
        <w:widowControl w:val="0"/>
        <w:jc w:val="right"/>
        <w:rPr>
          <w:rFonts w:eastAsia="MS Gothic" w:cs="Times New Roman"/>
          <w:b/>
          <w:lang w:val="fr-FR" w:eastAsia="fr-FR" w:bidi="fr-FR"/>
        </w:rPr>
      </w:pPr>
    </w:p>
    <w:p w14:paraId="5002B3AC" w14:textId="77777777" w:rsidR="00C56EAB" w:rsidRPr="004E13E9" w:rsidRDefault="00C56EAB" w:rsidP="00C56EAB">
      <w:pPr>
        <w:widowControl w:val="0"/>
        <w:jc w:val="center"/>
        <w:rPr>
          <w:rFonts w:eastAsia="MS Gothic" w:cs="Times New Roman"/>
          <w:b/>
          <w:lang w:val="fr-FR" w:eastAsia="fr-FR" w:bidi="fr-FR"/>
        </w:rPr>
      </w:pPr>
      <w:r w:rsidRPr="004E13E9">
        <w:rPr>
          <w:rFonts w:eastAsia="MS Gothic" w:cs="Times New Roman"/>
          <w:b/>
          <w:lang w:val="fr-FR" w:eastAsia="fr-FR" w:bidi="fr-FR"/>
        </w:rPr>
        <w:t>Plan de pêche et de gestion du thon rouge de l'Atlantique Ouest</w:t>
      </w:r>
    </w:p>
    <w:p w14:paraId="12B3B065" w14:textId="77777777" w:rsidR="00C56EAB" w:rsidRPr="004E13E9" w:rsidRDefault="00C56EAB" w:rsidP="00C56EAB">
      <w:pPr>
        <w:widowControl w:val="0"/>
        <w:jc w:val="center"/>
        <w:rPr>
          <w:rFonts w:eastAsia="MS Gothic" w:cs="Times New Roman"/>
          <w:b/>
          <w:lang w:val="fr-FR" w:eastAsia="fr-FR" w:bidi="fr-FR"/>
        </w:rPr>
      </w:pPr>
    </w:p>
    <w:p w14:paraId="1282BD2E" w14:textId="77777777" w:rsidR="00C56EAB" w:rsidRPr="004E13E9" w:rsidRDefault="00C56EAB" w:rsidP="00C56EAB">
      <w:pPr>
        <w:widowControl w:val="0"/>
        <w:jc w:val="center"/>
        <w:rPr>
          <w:rFonts w:eastAsia="MS Gothic" w:cs="Times New Roman"/>
          <w:b/>
          <w:lang w:val="fr-FR" w:eastAsia="fr-FR" w:bidi="fr-FR"/>
        </w:rPr>
      </w:pPr>
    </w:p>
    <w:p w14:paraId="3458EEAE" w14:textId="77777777" w:rsidR="006C528B" w:rsidRPr="004E13E9" w:rsidRDefault="006C528B" w:rsidP="006C528B">
      <w:pPr>
        <w:widowControl w:val="0"/>
        <w:jc w:val="both"/>
        <w:rPr>
          <w:rFonts w:eastAsia="MS Gothic" w:cs="Times New Roman"/>
          <w:b/>
          <w:bCs/>
          <w:lang w:val="fr-FR" w:eastAsia="fr-FR" w:bidi="fr-FR"/>
        </w:rPr>
      </w:pPr>
      <w:r w:rsidRPr="004E13E9">
        <w:rPr>
          <w:rFonts w:eastAsia="MS Gothic" w:cs="Times New Roman"/>
          <w:b/>
          <w:lang w:val="fr-FR" w:eastAsia="fr-FR" w:bidi="fr-FR"/>
        </w:rPr>
        <w:t>Nom de la CPC : XXX</w:t>
      </w:r>
    </w:p>
    <w:p w14:paraId="52C9539D" w14:textId="77777777" w:rsidR="006C528B" w:rsidRPr="004E13E9" w:rsidRDefault="006C528B" w:rsidP="006C528B">
      <w:pPr>
        <w:widowControl w:val="0"/>
        <w:jc w:val="both"/>
        <w:rPr>
          <w:rFonts w:eastAsia="MS Gothic" w:cs="Times New Roman"/>
          <w:lang w:val="fr-FR" w:eastAsia="fr-FR" w:bidi="fr-FR"/>
        </w:rPr>
      </w:pPr>
    </w:p>
    <w:p w14:paraId="1099960A" w14:textId="22D6367A" w:rsidR="006C528B" w:rsidRPr="004E13E9" w:rsidRDefault="006C528B" w:rsidP="006C528B">
      <w:pPr>
        <w:rPr>
          <w:b/>
          <w:lang w:val="fr-FR"/>
        </w:rPr>
      </w:pPr>
      <w:r w:rsidRPr="004E13E9">
        <w:rPr>
          <w:rFonts w:eastAsia="MS Gothic" w:cs="Times New Roman"/>
          <w:b/>
          <w:lang w:val="fr-FR" w:eastAsia="fr-FR" w:bidi="fr-FR"/>
        </w:rPr>
        <w:t>Année du plan de pêche : XXXX</w:t>
      </w:r>
      <w:r w:rsidR="00B70D05" w:rsidRPr="004E13E9">
        <w:rPr>
          <w:rStyle w:val="FootnoteReference"/>
          <w:rFonts w:eastAsia="MS Gothic" w:cs="Times New Roman"/>
          <w:b/>
          <w:lang w:val="fr-FR" w:eastAsia="fr-FR" w:bidi="fr-FR"/>
        </w:rPr>
        <w:footnoteReference w:id="34"/>
      </w:r>
    </w:p>
    <w:p w14:paraId="6F1DB59A" w14:textId="77777777" w:rsidR="006C528B" w:rsidRPr="004E13E9" w:rsidRDefault="006C528B" w:rsidP="006C528B">
      <w:pPr>
        <w:widowControl w:val="0"/>
        <w:jc w:val="both"/>
        <w:rPr>
          <w:rFonts w:eastAsia="MS Gothic" w:cs="Times New Roman"/>
          <w:lang w:val="fr-FR" w:eastAsia="fr-FR" w:bidi="fr-FR"/>
        </w:rPr>
      </w:pPr>
    </w:p>
    <w:p w14:paraId="61CCC915" w14:textId="77777777" w:rsidR="006C528B" w:rsidRPr="004E13E9" w:rsidRDefault="006C528B" w:rsidP="006C528B">
      <w:pPr>
        <w:contextualSpacing/>
        <w:jc w:val="both"/>
        <w:rPr>
          <w:i/>
          <w:iCs/>
          <w:lang w:val="fr-FR"/>
        </w:rPr>
      </w:pPr>
      <w:r w:rsidRPr="004E13E9">
        <w:rPr>
          <w:i/>
          <w:iCs/>
          <w:lang w:val="fr-FR"/>
        </w:rPr>
        <w:t xml:space="preserve">Comme spécifié au paragraphe 3 de la Recommandation 25-05, « Chaque CPC détenant un quota supérieur à 50 t pour une pêcherie ciblant le thon rouge devra soumettre un plan de pêche/de gestion à la Commission avant le 15 septembre de chaque année. </w:t>
      </w:r>
    </w:p>
    <w:p w14:paraId="084B1974" w14:textId="77777777" w:rsidR="006C528B" w:rsidRPr="004E13E9" w:rsidRDefault="006C528B" w:rsidP="006C528B">
      <w:pPr>
        <w:contextualSpacing/>
        <w:jc w:val="both"/>
        <w:rPr>
          <w:i/>
          <w:iCs/>
          <w:lang w:val="fr-FR"/>
        </w:rPr>
      </w:pPr>
    </w:p>
    <w:p w14:paraId="441C1D0E" w14:textId="77777777" w:rsidR="006C528B" w:rsidRPr="004E13E9" w:rsidRDefault="006C528B" w:rsidP="006C528B">
      <w:pPr>
        <w:contextualSpacing/>
        <w:jc w:val="both"/>
        <w:rPr>
          <w:i/>
          <w:iCs/>
          <w:lang w:val="fr-FR"/>
        </w:rPr>
      </w:pPr>
      <w:r w:rsidRPr="004E13E9">
        <w:rPr>
          <w:i/>
          <w:iCs/>
          <w:lang w:val="fr-FR"/>
        </w:rPr>
        <w:t>Ce plan devra inclure les éléments suivants, le cas échéant :</w:t>
      </w:r>
    </w:p>
    <w:p w14:paraId="0593787B" w14:textId="77777777" w:rsidR="006C528B" w:rsidRPr="004E13E9" w:rsidRDefault="006C528B" w:rsidP="006C528B">
      <w:pPr>
        <w:contextualSpacing/>
        <w:jc w:val="both"/>
        <w:rPr>
          <w:i/>
          <w:iCs/>
          <w:lang w:val="fr-FR"/>
        </w:rPr>
      </w:pPr>
    </w:p>
    <w:p w14:paraId="0581CAB9" w14:textId="42B51D36" w:rsidR="006C528B" w:rsidRPr="004E13E9" w:rsidRDefault="006C528B" w:rsidP="00487A5C">
      <w:pPr>
        <w:pStyle w:val="ListParagraph"/>
        <w:numPr>
          <w:ilvl w:val="0"/>
          <w:numId w:val="61"/>
        </w:numPr>
        <w:spacing w:after="0" w:line="240" w:lineRule="auto"/>
        <w:jc w:val="both"/>
        <w:rPr>
          <w:rFonts w:ascii="Cambria" w:hAnsi="Cambria"/>
          <w:i/>
          <w:iCs/>
          <w:sz w:val="20"/>
          <w:szCs w:val="20"/>
        </w:rPr>
      </w:pPr>
      <w:r w:rsidRPr="004E13E9">
        <w:rPr>
          <w:rFonts w:ascii="Cambria" w:hAnsi="Cambria"/>
          <w:i/>
          <w:iCs/>
          <w:sz w:val="20"/>
          <w:szCs w:val="20"/>
        </w:rPr>
        <w:t>Les quotas de la flottille pour tous les secteurs et la méthode utilisée pour allouer et gérer ces quotas</w:t>
      </w:r>
      <w:r w:rsidR="00C8323B" w:rsidRPr="004E13E9">
        <w:rPr>
          <w:rFonts w:ascii="Cambria" w:hAnsi="Cambria"/>
          <w:i/>
          <w:iCs/>
          <w:sz w:val="20"/>
          <w:szCs w:val="20"/>
        </w:rPr>
        <w:t> ;</w:t>
      </w:r>
    </w:p>
    <w:p w14:paraId="5F4ACBFC" w14:textId="77777777" w:rsidR="006C528B" w:rsidRPr="004E13E9" w:rsidRDefault="006C528B" w:rsidP="006C528B">
      <w:pPr>
        <w:contextualSpacing/>
        <w:jc w:val="both"/>
        <w:rPr>
          <w:i/>
          <w:iCs/>
          <w:sz w:val="8"/>
          <w:szCs w:val="8"/>
          <w:lang w:val="fr-FR"/>
        </w:rPr>
      </w:pPr>
    </w:p>
    <w:p w14:paraId="538065E7" w14:textId="77777777" w:rsidR="006C528B" w:rsidRPr="004E13E9" w:rsidRDefault="006C528B" w:rsidP="00487A5C">
      <w:pPr>
        <w:pStyle w:val="ListParagraph"/>
        <w:numPr>
          <w:ilvl w:val="0"/>
          <w:numId w:val="61"/>
        </w:numPr>
        <w:spacing w:after="0" w:line="240" w:lineRule="auto"/>
        <w:jc w:val="both"/>
        <w:rPr>
          <w:rFonts w:ascii="Cambria" w:hAnsi="Cambria"/>
          <w:i/>
          <w:iCs/>
          <w:sz w:val="20"/>
          <w:szCs w:val="20"/>
        </w:rPr>
      </w:pPr>
      <w:r w:rsidRPr="004E13E9">
        <w:rPr>
          <w:rFonts w:ascii="Cambria" w:hAnsi="Cambria"/>
          <w:i/>
          <w:iCs/>
          <w:sz w:val="20"/>
          <w:szCs w:val="20"/>
        </w:rPr>
        <w:t>Les mesures de contrôle des pêcheries et des prises accessoires ; et</w:t>
      </w:r>
    </w:p>
    <w:p w14:paraId="7FD22335" w14:textId="77777777" w:rsidR="006C528B" w:rsidRPr="004E13E9" w:rsidRDefault="006C528B" w:rsidP="006C528B">
      <w:pPr>
        <w:contextualSpacing/>
        <w:jc w:val="both"/>
        <w:rPr>
          <w:i/>
          <w:iCs/>
          <w:sz w:val="8"/>
          <w:szCs w:val="8"/>
          <w:lang w:val="fr-FR"/>
        </w:rPr>
      </w:pPr>
    </w:p>
    <w:p w14:paraId="3B9DB5B8" w14:textId="77777777" w:rsidR="006C528B" w:rsidRPr="004E13E9" w:rsidRDefault="006C528B" w:rsidP="00487A5C">
      <w:pPr>
        <w:pStyle w:val="ListParagraph"/>
        <w:numPr>
          <w:ilvl w:val="0"/>
          <w:numId w:val="61"/>
        </w:numPr>
        <w:spacing w:after="0" w:line="240" w:lineRule="auto"/>
        <w:jc w:val="both"/>
        <w:rPr>
          <w:rFonts w:ascii="Cambria" w:hAnsi="Cambria"/>
          <w:i/>
          <w:iCs/>
          <w:sz w:val="20"/>
          <w:szCs w:val="20"/>
        </w:rPr>
      </w:pPr>
      <w:r w:rsidRPr="004E13E9">
        <w:rPr>
          <w:rFonts w:ascii="Cambria" w:hAnsi="Cambria"/>
          <w:i/>
          <w:iCs/>
          <w:sz w:val="20"/>
          <w:szCs w:val="20"/>
        </w:rPr>
        <w:t>Toute mesure supplémentaire utilisée à des fins d’exécution ou de suivi, de contrôle et d'inspection. »</w:t>
      </w:r>
    </w:p>
    <w:p w14:paraId="2C512B49" w14:textId="77777777" w:rsidR="006C528B" w:rsidRPr="004E13E9" w:rsidRDefault="006C528B" w:rsidP="006C528B">
      <w:pPr>
        <w:widowControl w:val="0"/>
        <w:jc w:val="both"/>
        <w:rPr>
          <w:rFonts w:eastAsia="MS Gothic" w:cs="Times New Roman"/>
          <w:lang w:val="fr-FR" w:eastAsia="fr-FR" w:bidi="fr-FR"/>
        </w:rPr>
      </w:pPr>
    </w:p>
    <w:p w14:paraId="40F66862" w14:textId="77777777" w:rsidR="006C528B" w:rsidRPr="004E13E9" w:rsidRDefault="006C528B" w:rsidP="006C528B">
      <w:pPr>
        <w:widowControl w:val="0"/>
        <w:jc w:val="both"/>
        <w:rPr>
          <w:rFonts w:eastAsia="MS Gothic" w:cs="Times New Roman"/>
          <w:lang w:val="fr-FR" w:eastAsia="fr-FR" w:bidi="fr-FR"/>
        </w:rPr>
      </w:pPr>
    </w:p>
    <w:p w14:paraId="480F61C6" w14:textId="77777777" w:rsidR="006C528B" w:rsidRPr="004E13E9" w:rsidRDefault="006C528B" w:rsidP="006C528B">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 xml:space="preserve">1. </w:t>
      </w:r>
      <w:r w:rsidRPr="004E13E9">
        <w:rPr>
          <w:rFonts w:eastAsia="MS Gothic" w:cs="Times New Roman"/>
          <w:b/>
          <w:lang w:val="fr-FR" w:eastAsia="fr-FR" w:bidi="fr-FR"/>
        </w:rPr>
        <w:tab/>
        <w:t xml:space="preserve">Quotas de flottille pour tous les secteurs et méthode utilisée pour allouer et gérer ces quotas </w:t>
      </w:r>
    </w:p>
    <w:p w14:paraId="1126D188" w14:textId="77777777" w:rsidR="006C528B" w:rsidRPr="004E13E9" w:rsidRDefault="006C528B" w:rsidP="006C528B">
      <w:pPr>
        <w:contextualSpacing/>
        <w:rPr>
          <w:b/>
          <w:lang w:val="fr-FR"/>
        </w:rPr>
      </w:pPr>
    </w:p>
    <w:p w14:paraId="194117C4" w14:textId="77777777" w:rsidR="006C528B" w:rsidRPr="004E13E9" w:rsidRDefault="006C528B" w:rsidP="006C528B">
      <w:pPr>
        <w:contextualSpacing/>
        <w:rPr>
          <w:b/>
          <w:i/>
          <w:iCs/>
          <w:lang w:val="fr-FR"/>
        </w:rPr>
      </w:pPr>
      <w:r w:rsidRPr="004E13E9">
        <w:rPr>
          <w:b/>
          <w:i/>
          <w:iCs/>
          <w:lang w:val="fr-FR"/>
        </w:rPr>
        <w:t>1 a) Aperçu général</w:t>
      </w:r>
    </w:p>
    <w:p w14:paraId="71396702" w14:textId="77777777" w:rsidR="006C528B" w:rsidRPr="004E13E9" w:rsidRDefault="006C528B" w:rsidP="006C528B">
      <w:pPr>
        <w:contextualSpacing/>
        <w:rPr>
          <w:b/>
          <w:lang w:val="fr-FR"/>
        </w:rPr>
      </w:pPr>
    </w:p>
    <w:p w14:paraId="4231A965" w14:textId="77777777" w:rsidR="006C528B" w:rsidRPr="004E13E9" w:rsidRDefault="006C528B" w:rsidP="006C528B">
      <w:pPr>
        <w:widowControl w:val="0"/>
        <w:jc w:val="both"/>
        <w:rPr>
          <w:rFonts w:eastAsia="MS Gothic" w:cs="Times New Roman"/>
          <w:lang w:val="fr-FR" w:eastAsia="fr-FR" w:bidi="fr-FR"/>
        </w:rPr>
      </w:pPr>
      <w:r w:rsidRPr="004E13E9">
        <w:rPr>
          <w:i/>
          <w:lang w:val="fr-FR"/>
        </w:rPr>
        <w:t>Les CPC sont invitées à décrire leurs plans de pêche.</w:t>
      </w:r>
    </w:p>
    <w:p w14:paraId="063C504D" w14:textId="77777777" w:rsidR="006C528B" w:rsidRPr="004E13E9" w:rsidRDefault="006C528B" w:rsidP="006C528B">
      <w:pPr>
        <w:widowControl w:val="0"/>
        <w:jc w:val="both"/>
        <w:rPr>
          <w:rFonts w:eastAsia="MS Gothic" w:cs="Times New Roman"/>
          <w:lang w:val="fr-FR" w:eastAsia="fr-FR" w:bidi="fr-FR"/>
        </w:rPr>
      </w:pPr>
    </w:p>
    <w:p w14:paraId="52E14DD2" w14:textId="77777777" w:rsidR="006C528B" w:rsidRPr="004E13E9" w:rsidRDefault="006C528B" w:rsidP="006C528B">
      <w:pPr>
        <w:widowControl w:val="0"/>
        <w:jc w:val="both"/>
        <w:rPr>
          <w:rFonts w:eastAsia="MS Gothic" w:cs="Times New Roman"/>
          <w:b/>
          <w:lang w:val="fr-FR" w:eastAsia="fr-FR" w:bidi="fr-FR"/>
        </w:rPr>
      </w:pPr>
      <w:r w:rsidRPr="004E13E9">
        <w:rPr>
          <w:rFonts w:eastAsia="MS Gothic" w:cs="Times New Roman"/>
          <w:b/>
          <w:i/>
          <w:lang w:val="fr-FR" w:eastAsia="fr-FR" w:bidi="fr-FR"/>
        </w:rPr>
        <w:t>1 b) Quotas de flottille pour tous les secteurs (paragraphe 3)</w:t>
      </w:r>
    </w:p>
    <w:p w14:paraId="287365CE" w14:textId="77777777" w:rsidR="006C528B" w:rsidRPr="004E13E9" w:rsidRDefault="006C528B" w:rsidP="006C528B">
      <w:pPr>
        <w:widowControl w:val="0"/>
        <w:jc w:val="both"/>
        <w:rPr>
          <w:rFonts w:eastAsia="MS Gothic" w:cs="Times New Roman"/>
          <w:b/>
          <w:lang w:val="fr-FR" w:eastAsia="fr-FR" w:bidi="fr-FR"/>
        </w:rPr>
      </w:pPr>
    </w:p>
    <w:tbl>
      <w:tblPr>
        <w:tblpPr w:leftFromText="180" w:rightFromText="180" w:vertAnchor="text" w:horzAnchor="margin" w:tblpXSpec="center" w:tblpY="169"/>
        <w:tblW w:w="37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5"/>
        <w:gridCol w:w="2323"/>
      </w:tblGrid>
      <w:tr w:rsidR="006C528B" w:rsidRPr="004E13E9" w14:paraId="4C6CB5A8" w14:textId="77777777" w:rsidTr="00125C7F">
        <w:trPr>
          <w:trHeight w:val="268"/>
        </w:trPr>
        <w:tc>
          <w:tcPr>
            <w:tcW w:w="3286" w:type="pct"/>
            <w:noWrap/>
            <w:vAlign w:val="center"/>
          </w:tcPr>
          <w:p w14:paraId="4DFD4ADF" w14:textId="77777777" w:rsidR="006C528B" w:rsidRPr="004E13E9" w:rsidRDefault="006C528B" w:rsidP="00125C7F">
            <w:pPr>
              <w:jc w:val="center"/>
              <w:rPr>
                <w:rFonts w:eastAsia="MS Gothic" w:cs="Times New Roman"/>
                <w:bCs/>
                <w:i/>
                <w:iCs/>
                <w:color w:val="000000"/>
                <w:lang w:eastAsia="fr-FR" w:bidi="fr-FR"/>
              </w:rPr>
            </w:pPr>
            <w:proofErr w:type="spellStart"/>
            <w:r w:rsidRPr="004E13E9">
              <w:rPr>
                <w:rFonts w:eastAsia="MS Gothic" w:cs="Times New Roman"/>
                <w:i/>
                <w:color w:val="000000"/>
                <w:lang w:eastAsia="fr-FR" w:bidi="fr-FR"/>
              </w:rPr>
              <w:t>Secteur</w:t>
            </w:r>
            <w:proofErr w:type="spellEnd"/>
            <w:r w:rsidRPr="004E13E9">
              <w:rPr>
                <w:rFonts w:eastAsia="MS Gothic" w:cs="Times New Roman"/>
                <w:i/>
                <w:color w:val="000000"/>
                <w:lang w:eastAsia="fr-FR" w:bidi="fr-FR"/>
              </w:rPr>
              <w:t xml:space="preserve"> des </w:t>
            </w:r>
            <w:proofErr w:type="spellStart"/>
            <w:r w:rsidRPr="004E13E9">
              <w:rPr>
                <w:rFonts w:eastAsia="MS Gothic" w:cs="Times New Roman"/>
                <w:i/>
                <w:color w:val="000000"/>
                <w:lang w:eastAsia="fr-FR" w:bidi="fr-FR"/>
              </w:rPr>
              <w:t>flottilles</w:t>
            </w:r>
            <w:proofErr w:type="spellEnd"/>
          </w:p>
        </w:tc>
        <w:tc>
          <w:tcPr>
            <w:tcW w:w="1714" w:type="pct"/>
            <w:tcBorders>
              <w:bottom w:val="single" w:sz="4" w:space="0" w:color="auto"/>
            </w:tcBorders>
            <w:vAlign w:val="center"/>
          </w:tcPr>
          <w:p w14:paraId="092E3325" w14:textId="77777777" w:rsidR="006C528B" w:rsidRPr="004E13E9" w:rsidRDefault="006C528B" w:rsidP="00125C7F">
            <w:pPr>
              <w:jc w:val="center"/>
              <w:rPr>
                <w:rFonts w:eastAsia="MS Gothic" w:cs="Times New Roman"/>
                <w:bCs/>
                <w:i/>
                <w:iCs/>
                <w:lang w:eastAsia="fr-FR" w:bidi="fr-FR"/>
              </w:rPr>
            </w:pPr>
            <w:r w:rsidRPr="004E13E9">
              <w:rPr>
                <w:rFonts w:eastAsia="MS Gothic" w:cs="Times New Roman"/>
                <w:i/>
                <w:color w:val="000000"/>
                <w:lang w:eastAsia="fr-FR" w:bidi="fr-FR"/>
              </w:rPr>
              <w:t xml:space="preserve">Quota </w:t>
            </w:r>
            <w:proofErr w:type="spellStart"/>
            <w:r w:rsidRPr="004E13E9">
              <w:rPr>
                <w:rFonts w:eastAsia="MS Gothic" w:cs="Times New Roman"/>
                <w:i/>
                <w:color w:val="000000"/>
                <w:lang w:eastAsia="fr-FR" w:bidi="fr-FR"/>
              </w:rPr>
              <w:t>alloué</w:t>
            </w:r>
            <w:proofErr w:type="spellEnd"/>
            <w:r w:rsidRPr="004E13E9">
              <w:rPr>
                <w:rFonts w:eastAsia="MS Gothic" w:cs="Times New Roman"/>
                <w:i/>
                <w:color w:val="000000"/>
                <w:lang w:eastAsia="fr-FR" w:bidi="fr-FR"/>
              </w:rPr>
              <w:t xml:space="preserve"> (t)</w:t>
            </w:r>
          </w:p>
        </w:tc>
      </w:tr>
      <w:tr w:rsidR="006C528B" w:rsidRPr="004E13E9" w14:paraId="27EDB531" w14:textId="77777777" w:rsidTr="00125C7F">
        <w:trPr>
          <w:trHeight w:val="300"/>
        </w:trPr>
        <w:tc>
          <w:tcPr>
            <w:tcW w:w="3286" w:type="pct"/>
            <w:tcBorders>
              <w:right w:val="single" w:sz="4" w:space="0" w:color="auto"/>
            </w:tcBorders>
            <w:noWrap/>
            <w:vAlign w:val="center"/>
          </w:tcPr>
          <w:p w14:paraId="0181D61C" w14:textId="77777777" w:rsidR="006C528B" w:rsidRPr="004E13E9" w:rsidRDefault="006C528B" w:rsidP="00125C7F">
            <w:pPr>
              <w:jc w:val="both"/>
              <w:rPr>
                <w:rFonts w:eastAsia="MS Gothic" w:cs="Times New Roman"/>
                <w:color w:val="000000"/>
                <w:lang w:eastAsia="fr-FR" w:bidi="fr-FR"/>
              </w:rPr>
            </w:pPr>
          </w:p>
        </w:tc>
        <w:tc>
          <w:tcPr>
            <w:tcW w:w="1714" w:type="pct"/>
            <w:tcBorders>
              <w:top w:val="single" w:sz="4" w:space="0" w:color="auto"/>
              <w:left w:val="single" w:sz="4" w:space="0" w:color="auto"/>
              <w:bottom w:val="single" w:sz="4" w:space="0" w:color="auto"/>
              <w:right w:val="single" w:sz="4" w:space="0" w:color="auto"/>
            </w:tcBorders>
            <w:noWrap/>
          </w:tcPr>
          <w:p w14:paraId="6CFFAF1C" w14:textId="77777777" w:rsidR="006C528B" w:rsidRPr="004E13E9" w:rsidRDefault="006C528B" w:rsidP="00125C7F">
            <w:pPr>
              <w:widowControl w:val="0"/>
              <w:jc w:val="right"/>
              <w:rPr>
                <w:rFonts w:eastAsia="MS Gothic" w:cs="Times New Roman"/>
                <w:color w:val="000000"/>
                <w:lang w:eastAsia="fr-FR" w:bidi="fr-FR"/>
              </w:rPr>
            </w:pPr>
          </w:p>
        </w:tc>
      </w:tr>
      <w:tr w:rsidR="006C528B" w:rsidRPr="004E13E9" w14:paraId="0A6387BC" w14:textId="77777777" w:rsidTr="00125C7F">
        <w:trPr>
          <w:trHeight w:val="300"/>
        </w:trPr>
        <w:tc>
          <w:tcPr>
            <w:tcW w:w="3286" w:type="pct"/>
            <w:tcBorders>
              <w:right w:val="single" w:sz="4" w:space="0" w:color="auto"/>
            </w:tcBorders>
            <w:noWrap/>
            <w:vAlign w:val="center"/>
          </w:tcPr>
          <w:p w14:paraId="654CED18" w14:textId="77777777" w:rsidR="006C528B" w:rsidRPr="004E13E9" w:rsidRDefault="006C528B" w:rsidP="00125C7F">
            <w:pPr>
              <w:jc w:val="both"/>
              <w:rPr>
                <w:rFonts w:eastAsia="MS Gothic" w:cs="Times New Roman"/>
                <w:color w:val="000000"/>
                <w:lang w:eastAsia="fr-FR" w:bidi="fr-FR"/>
              </w:rPr>
            </w:pPr>
          </w:p>
        </w:tc>
        <w:tc>
          <w:tcPr>
            <w:tcW w:w="1714" w:type="pct"/>
            <w:tcBorders>
              <w:top w:val="single" w:sz="4" w:space="0" w:color="auto"/>
              <w:left w:val="single" w:sz="4" w:space="0" w:color="auto"/>
              <w:bottom w:val="single" w:sz="4" w:space="0" w:color="auto"/>
              <w:right w:val="single" w:sz="4" w:space="0" w:color="auto"/>
            </w:tcBorders>
            <w:noWrap/>
          </w:tcPr>
          <w:p w14:paraId="533098D2" w14:textId="77777777" w:rsidR="006C528B" w:rsidRPr="004E13E9" w:rsidRDefault="006C528B" w:rsidP="00125C7F">
            <w:pPr>
              <w:widowControl w:val="0"/>
              <w:jc w:val="right"/>
              <w:rPr>
                <w:rFonts w:eastAsia="MS Gothic" w:cs="Times New Roman"/>
                <w:color w:val="000000"/>
                <w:lang w:eastAsia="fr-FR" w:bidi="fr-FR"/>
              </w:rPr>
            </w:pPr>
          </w:p>
        </w:tc>
      </w:tr>
      <w:tr w:rsidR="006C528B" w:rsidRPr="004E13E9" w14:paraId="49B1AFC2" w14:textId="77777777" w:rsidTr="00125C7F">
        <w:trPr>
          <w:trHeight w:val="300"/>
        </w:trPr>
        <w:tc>
          <w:tcPr>
            <w:tcW w:w="3286" w:type="pct"/>
            <w:tcBorders>
              <w:right w:val="single" w:sz="4" w:space="0" w:color="auto"/>
            </w:tcBorders>
            <w:noWrap/>
            <w:vAlign w:val="center"/>
          </w:tcPr>
          <w:p w14:paraId="275AE9CD" w14:textId="77777777" w:rsidR="006C528B" w:rsidRPr="004E13E9" w:rsidRDefault="006C528B" w:rsidP="00125C7F">
            <w:pPr>
              <w:jc w:val="both"/>
              <w:rPr>
                <w:rFonts w:eastAsia="MS Gothic" w:cs="Times New Roman"/>
                <w:color w:val="000000"/>
                <w:lang w:eastAsia="fr-FR" w:bidi="fr-FR"/>
              </w:rPr>
            </w:pPr>
          </w:p>
        </w:tc>
        <w:tc>
          <w:tcPr>
            <w:tcW w:w="1714" w:type="pct"/>
            <w:tcBorders>
              <w:top w:val="single" w:sz="4" w:space="0" w:color="auto"/>
              <w:left w:val="single" w:sz="4" w:space="0" w:color="auto"/>
              <w:bottom w:val="single" w:sz="4" w:space="0" w:color="auto"/>
              <w:right w:val="single" w:sz="4" w:space="0" w:color="auto"/>
            </w:tcBorders>
            <w:noWrap/>
          </w:tcPr>
          <w:p w14:paraId="65C82148" w14:textId="77777777" w:rsidR="006C528B" w:rsidRPr="004E13E9" w:rsidRDefault="006C528B" w:rsidP="00125C7F">
            <w:pPr>
              <w:widowControl w:val="0"/>
              <w:jc w:val="right"/>
              <w:rPr>
                <w:rFonts w:eastAsia="MS Gothic" w:cs="Times New Roman"/>
                <w:color w:val="000000"/>
                <w:lang w:eastAsia="fr-FR" w:bidi="fr-FR"/>
              </w:rPr>
            </w:pPr>
          </w:p>
        </w:tc>
      </w:tr>
      <w:tr w:rsidR="006C528B" w:rsidRPr="004E13E9" w14:paraId="3C535087" w14:textId="77777777" w:rsidTr="00125C7F">
        <w:trPr>
          <w:trHeight w:val="300"/>
        </w:trPr>
        <w:tc>
          <w:tcPr>
            <w:tcW w:w="3286" w:type="pct"/>
            <w:tcBorders>
              <w:right w:val="single" w:sz="4" w:space="0" w:color="auto"/>
            </w:tcBorders>
            <w:noWrap/>
            <w:vAlign w:val="center"/>
          </w:tcPr>
          <w:p w14:paraId="40B06ED5" w14:textId="77777777" w:rsidR="006C528B" w:rsidRPr="004E13E9" w:rsidRDefault="006C528B" w:rsidP="00125C7F">
            <w:pPr>
              <w:jc w:val="both"/>
              <w:rPr>
                <w:rFonts w:eastAsia="MS Gothic" w:cs="Times New Roman"/>
                <w:color w:val="000000"/>
                <w:lang w:eastAsia="fr-FR" w:bidi="fr-FR"/>
              </w:rPr>
            </w:pPr>
          </w:p>
        </w:tc>
        <w:tc>
          <w:tcPr>
            <w:tcW w:w="1714" w:type="pct"/>
            <w:tcBorders>
              <w:top w:val="single" w:sz="4" w:space="0" w:color="auto"/>
              <w:left w:val="single" w:sz="4" w:space="0" w:color="auto"/>
              <w:bottom w:val="single" w:sz="4" w:space="0" w:color="auto"/>
              <w:right w:val="single" w:sz="4" w:space="0" w:color="auto"/>
            </w:tcBorders>
            <w:noWrap/>
          </w:tcPr>
          <w:p w14:paraId="4B98B48D" w14:textId="77777777" w:rsidR="006C528B" w:rsidRPr="004E13E9" w:rsidRDefault="006C528B" w:rsidP="00125C7F">
            <w:pPr>
              <w:widowControl w:val="0"/>
              <w:jc w:val="right"/>
              <w:rPr>
                <w:rFonts w:eastAsia="MS Gothic" w:cs="Times New Roman"/>
                <w:color w:val="000000"/>
                <w:lang w:eastAsia="fr-FR" w:bidi="fr-FR"/>
              </w:rPr>
            </w:pPr>
          </w:p>
        </w:tc>
      </w:tr>
      <w:tr w:rsidR="006C528B" w:rsidRPr="004E13E9" w14:paraId="406DCF94" w14:textId="77777777" w:rsidTr="00125C7F">
        <w:trPr>
          <w:trHeight w:val="315"/>
        </w:trPr>
        <w:tc>
          <w:tcPr>
            <w:tcW w:w="3286" w:type="pct"/>
            <w:tcBorders>
              <w:right w:val="single" w:sz="4" w:space="0" w:color="auto"/>
            </w:tcBorders>
            <w:noWrap/>
            <w:vAlign w:val="center"/>
          </w:tcPr>
          <w:p w14:paraId="63451392" w14:textId="77777777" w:rsidR="006C528B" w:rsidRPr="004E13E9" w:rsidRDefault="006C528B" w:rsidP="00125C7F">
            <w:pPr>
              <w:jc w:val="center"/>
              <w:rPr>
                <w:rFonts w:eastAsia="MS Gothic" w:cs="Times New Roman"/>
                <w:color w:val="000000"/>
                <w:lang w:eastAsia="fr-FR" w:bidi="fr-FR"/>
              </w:rPr>
            </w:pPr>
            <w:r w:rsidRPr="004E13E9">
              <w:rPr>
                <w:rFonts w:eastAsia="MS Gothic" w:cs="Times New Roman"/>
                <w:color w:val="000000"/>
                <w:lang w:eastAsia="fr-FR" w:bidi="fr-FR"/>
              </w:rPr>
              <w:t>…</w:t>
            </w:r>
          </w:p>
        </w:tc>
        <w:tc>
          <w:tcPr>
            <w:tcW w:w="1714" w:type="pct"/>
            <w:tcBorders>
              <w:top w:val="single" w:sz="4" w:space="0" w:color="auto"/>
              <w:left w:val="single" w:sz="4" w:space="0" w:color="auto"/>
              <w:bottom w:val="single" w:sz="4" w:space="0" w:color="auto"/>
              <w:right w:val="single" w:sz="4" w:space="0" w:color="auto"/>
            </w:tcBorders>
            <w:noWrap/>
          </w:tcPr>
          <w:p w14:paraId="6C0CC1A5" w14:textId="77777777" w:rsidR="006C528B" w:rsidRPr="004E13E9" w:rsidRDefault="006C528B" w:rsidP="00125C7F">
            <w:pPr>
              <w:widowControl w:val="0"/>
              <w:jc w:val="center"/>
              <w:rPr>
                <w:rFonts w:eastAsia="MS Gothic" w:cs="Times New Roman"/>
                <w:color w:val="000000"/>
                <w:lang w:eastAsia="fr-FR" w:bidi="fr-FR"/>
              </w:rPr>
            </w:pPr>
            <w:r w:rsidRPr="004E13E9">
              <w:rPr>
                <w:rFonts w:eastAsia="MS Gothic" w:cs="Times New Roman"/>
                <w:color w:val="000000"/>
                <w:lang w:eastAsia="fr-FR" w:bidi="fr-FR"/>
              </w:rPr>
              <w:t>…</w:t>
            </w:r>
          </w:p>
        </w:tc>
      </w:tr>
      <w:tr w:rsidR="006C528B" w:rsidRPr="004E13E9" w14:paraId="075786A1" w14:textId="77777777" w:rsidTr="00125C7F">
        <w:trPr>
          <w:trHeight w:val="315"/>
        </w:trPr>
        <w:tc>
          <w:tcPr>
            <w:tcW w:w="3286" w:type="pct"/>
            <w:tcBorders>
              <w:right w:val="single" w:sz="4" w:space="0" w:color="auto"/>
            </w:tcBorders>
            <w:shd w:val="clear" w:color="auto" w:fill="BFBFBF"/>
            <w:noWrap/>
            <w:vAlign w:val="center"/>
          </w:tcPr>
          <w:p w14:paraId="4FC12553" w14:textId="77777777" w:rsidR="006C528B" w:rsidRPr="004E13E9" w:rsidRDefault="006C528B" w:rsidP="00125C7F">
            <w:pPr>
              <w:rPr>
                <w:rFonts w:eastAsia="MS Gothic" w:cs="Times New Roman"/>
                <w:b/>
                <w:bCs/>
                <w:color w:val="000000"/>
                <w:lang w:eastAsia="fr-FR" w:bidi="fr-FR"/>
              </w:rPr>
            </w:pPr>
            <w:r w:rsidRPr="004E13E9">
              <w:rPr>
                <w:rFonts w:eastAsia="MS Gothic" w:cs="Times New Roman"/>
                <w:b/>
                <w:color w:val="000000"/>
                <w:lang w:eastAsia="fr-FR" w:bidi="fr-FR"/>
              </w:rPr>
              <w:t>Total</w:t>
            </w:r>
          </w:p>
        </w:tc>
        <w:tc>
          <w:tcPr>
            <w:tcW w:w="1714" w:type="pct"/>
            <w:tcBorders>
              <w:top w:val="single" w:sz="4" w:space="0" w:color="auto"/>
              <w:left w:val="single" w:sz="4" w:space="0" w:color="auto"/>
              <w:bottom w:val="single" w:sz="4" w:space="0" w:color="auto"/>
              <w:right w:val="single" w:sz="4" w:space="0" w:color="auto"/>
            </w:tcBorders>
            <w:shd w:val="clear" w:color="auto" w:fill="BFBFBF"/>
            <w:noWrap/>
          </w:tcPr>
          <w:p w14:paraId="3FC1C2B6" w14:textId="77777777" w:rsidR="006C528B" w:rsidRPr="004E13E9" w:rsidRDefault="006C528B" w:rsidP="00125C7F">
            <w:pPr>
              <w:widowControl w:val="0"/>
              <w:jc w:val="right"/>
              <w:rPr>
                <w:rFonts w:eastAsia="MS Gothic" w:cs="Times New Roman"/>
                <w:b/>
                <w:color w:val="000000"/>
                <w:lang w:eastAsia="fr-FR" w:bidi="fr-FR"/>
              </w:rPr>
            </w:pPr>
          </w:p>
        </w:tc>
      </w:tr>
      <w:tr w:rsidR="006C528B" w:rsidRPr="004E13E9" w14:paraId="7930D112" w14:textId="77777777" w:rsidTr="00125C7F">
        <w:trPr>
          <w:trHeight w:val="315"/>
        </w:trPr>
        <w:tc>
          <w:tcPr>
            <w:tcW w:w="3286" w:type="pct"/>
            <w:noWrap/>
            <w:vAlign w:val="center"/>
          </w:tcPr>
          <w:p w14:paraId="43D47F0B" w14:textId="77777777" w:rsidR="006C528B" w:rsidRPr="004E13E9" w:rsidRDefault="006C528B" w:rsidP="00125C7F">
            <w:pPr>
              <w:jc w:val="both"/>
              <w:rPr>
                <w:rFonts w:eastAsia="MS Gothic" w:cs="Times New Roman"/>
                <w:b/>
                <w:color w:val="000000"/>
                <w:lang w:eastAsia="fr-FR" w:bidi="fr-FR"/>
              </w:rPr>
            </w:pPr>
            <w:r w:rsidRPr="004E13E9">
              <w:rPr>
                <w:rFonts w:eastAsia="MS Gothic" w:cs="Times New Roman"/>
                <w:color w:val="000000"/>
                <w:lang w:eastAsia="fr-FR" w:bidi="fr-FR"/>
              </w:rPr>
              <w:t xml:space="preserve">Quota </w:t>
            </w:r>
          </w:p>
        </w:tc>
        <w:tc>
          <w:tcPr>
            <w:tcW w:w="1714" w:type="pct"/>
            <w:noWrap/>
            <w:vAlign w:val="center"/>
          </w:tcPr>
          <w:p w14:paraId="4A1A9772" w14:textId="77777777" w:rsidR="006C528B" w:rsidRPr="004E13E9" w:rsidRDefault="006C528B" w:rsidP="00125C7F">
            <w:pPr>
              <w:widowControl w:val="0"/>
              <w:jc w:val="right"/>
              <w:rPr>
                <w:rFonts w:eastAsia="MS Gothic" w:cs="Times New Roman"/>
                <w:b/>
                <w:color w:val="000000"/>
                <w:lang w:eastAsia="fr-FR" w:bidi="fr-FR"/>
              </w:rPr>
            </w:pPr>
          </w:p>
        </w:tc>
      </w:tr>
      <w:tr w:rsidR="006C528B" w:rsidRPr="004E13E9" w14:paraId="7C9C8D3B" w14:textId="77777777" w:rsidTr="00125C7F">
        <w:trPr>
          <w:trHeight w:val="315"/>
        </w:trPr>
        <w:tc>
          <w:tcPr>
            <w:tcW w:w="3286" w:type="pct"/>
            <w:noWrap/>
            <w:vAlign w:val="center"/>
          </w:tcPr>
          <w:p w14:paraId="60D18584" w14:textId="77777777" w:rsidR="006C528B" w:rsidRPr="004E13E9" w:rsidRDefault="006C528B" w:rsidP="00125C7F">
            <w:pPr>
              <w:jc w:val="both"/>
              <w:rPr>
                <w:rFonts w:eastAsia="MS Gothic" w:cs="Times New Roman"/>
                <w:color w:val="000000"/>
                <w:lang w:val="fr-FR" w:eastAsia="fr-FR" w:bidi="fr-FR"/>
              </w:rPr>
            </w:pPr>
            <w:r w:rsidRPr="004E13E9">
              <w:rPr>
                <w:rFonts w:eastAsia="MS Gothic" w:cs="Times New Roman"/>
                <w:color w:val="000000"/>
                <w:lang w:val="fr-FR" w:eastAsia="fr-FR" w:bidi="fr-FR"/>
              </w:rPr>
              <w:t xml:space="preserve">Quota ajusté (le cas échéant, incluant report, </w:t>
            </w:r>
          </w:p>
          <w:p w14:paraId="60FBFB08" w14:textId="77777777" w:rsidR="006C528B" w:rsidRPr="004E13E9" w:rsidRDefault="006C528B" w:rsidP="00125C7F">
            <w:pPr>
              <w:jc w:val="both"/>
              <w:rPr>
                <w:rFonts w:eastAsia="MS Gothic" w:cs="Times New Roman"/>
                <w:color w:val="000000"/>
                <w:lang w:eastAsia="fr-FR" w:bidi="fr-FR"/>
              </w:rPr>
            </w:pPr>
            <w:proofErr w:type="spellStart"/>
            <w:r w:rsidRPr="004E13E9">
              <w:rPr>
                <w:rFonts w:eastAsia="MS Gothic" w:cs="Times New Roman"/>
                <w:color w:val="000000"/>
                <w:lang w:eastAsia="fr-FR" w:bidi="fr-FR"/>
              </w:rPr>
              <w:t>surconsommation</w:t>
            </w:r>
            <w:proofErr w:type="spellEnd"/>
            <w:r w:rsidRPr="004E13E9">
              <w:rPr>
                <w:rFonts w:eastAsia="MS Gothic" w:cs="Times New Roman"/>
                <w:color w:val="000000"/>
                <w:lang w:eastAsia="fr-FR" w:bidi="fr-FR"/>
              </w:rPr>
              <w:t xml:space="preserve"> et </w:t>
            </w:r>
            <w:proofErr w:type="spellStart"/>
            <w:r w:rsidRPr="004E13E9">
              <w:rPr>
                <w:rFonts w:eastAsia="MS Gothic" w:cs="Times New Roman"/>
                <w:color w:val="000000"/>
                <w:lang w:eastAsia="fr-FR" w:bidi="fr-FR"/>
              </w:rPr>
              <w:t>transferts</w:t>
            </w:r>
            <w:proofErr w:type="spellEnd"/>
            <w:r w:rsidRPr="004E13E9">
              <w:rPr>
                <w:rFonts w:eastAsia="MS Gothic" w:cs="Times New Roman"/>
                <w:color w:val="000000"/>
                <w:lang w:eastAsia="fr-FR" w:bidi="fr-FR"/>
              </w:rPr>
              <w:t>)</w:t>
            </w:r>
          </w:p>
        </w:tc>
        <w:tc>
          <w:tcPr>
            <w:tcW w:w="1714" w:type="pct"/>
            <w:noWrap/>
            <w:vAlign w:val="center"/>
          </w:tcPr>
          <w:p w14:paraId="3DDA5931" w14:textId="77777777" w:rsidR="006C528B" w:rsidRPr="004E13E9" w:rsidRDefault="006C528B" w:rsidP="00125C7F">
            <w:pPr>
              <w:widowControl w:val="0"/>
              <w:jc w:val="right"/>
              <w:rPr>
                <w:rFonts w:eastAsia="MS Gothic" w:cs="Times New Roman"/>
                <w:color w:val="000000"/>
                <w:lang w:eastAsia="fr-FR" w:bidi="fr-FR"/>
              </w:rPr>
            </w:pPr>
          </w:p>
        </w:tc>
      </w:tr>
      <w:tr w:rsidR="006C528B" w:rsidRPr="004E13E9" w14:paraId="59D94E63" w14:textId="77777777" w:rsidTr="00125C7F">
        <w:trPr>
          <w:trHeight w:val="315"/>
        </w:trPr>
        <w:tc>
          <w:tcPr>
            <w:tcW w:w="3286" w:type="pct"/>
            <w:noWrap/>
            <w:vAlign w:val="center"/>
          </w:tcPr>
          <w:p w14:paraId="1CE307DF" w14:textId="77777777" w:rsidR="006C528B" w:rsidRPr="004E13E9" w:rsidRDefault="006C528B" w:rsidP="00125C7F">
            <w:pPr>
              <w:jc w:val="both"/>
              <w:rPr>
                <w:rFonts w:eastAsia="MS Gothic" w:cs="Times New Roman"/>
                <w:b/>
                <w:color w:val="000000"/>
                <w:lang w:eastAsia="fr-FR" w:bidi="fr-FR"/>
              </w:rPr>
            </w:pPr>
            <w:r w:rsidRPr="004E13E9">
              <w:rPr>
                <w:rFonts w:eastAsia="MS Gothic" w:cs="Times New Roman"/>
                <w:color w:val="000000"/>
                <w:lang w:eastAsia="fr-FR" w:bidi="fr-FR"/>
              </w:rPr>
              <w:t xml:space="preserve">Pêche </w:t>
            </w:r>
            <w:proofErr w:type="spellStart"/>
            <w:r w:rsidRPr="004E13E9">
              <w:rPr>
                <w:rFonts w:eastAsia="MS Gothic" w:cs="Times New Roman"/>
                <w:color w:val="000000"/>
                <w:lang w:eastAsia="fr-FR" w:bidi="fr-FR"/>
              </w:rPr>
              <w:t>récréative</w:t>
            </w:r>
            <w:proofErr w:type="spellEnd"/>
          </w:p>
        </w:tc>
        <w:tc>
          <w:tcPr>
            <w:tcW w:w="1714" w:type="pct"/>
            <w:tcBorders>
              <w:top w:val="single" w:sz="4" w:space="0" w:color="auto"/>
              <w:left w:val="single" w:sz="4" w:space="0" w:color="auto"/>
              <w:bottom w:val="single" w:sz="4" w:space="0" w:color="auto"/>
              <w:right w:val="single" w:sz="4" w:space="0" w:color="auto"/>
            </w:tcBorders>
            <w:noWrap/>
            <w:vAlign w:val="center"/>
          </w:tcPr>
          <w:p w14:paraId="4CB1BE2B" w14:textId="77777777" w:rsidR="006C528B" w:rsidRPr="004E13E9" w:rsidRDefault="006C528B" w:rsidP="00125C7F">
            <w:pPr>
              <w:widowControl w:val="0"/>
              <w:jc w:val="right"/>
              <w:rPr>
                <w:rFonts w:eastAsia="MS Gothic" w:cs="Times New Roman"/>
                <w:color w:val="000000"/>
                <w:lang w:eastAsia="fr-FR" w:bidi="fr-FR"/>
              </w:rPr>
            </w:pPr>
          </w:p>
        </w:tc>
      </w:tr>
      <w:tr w:rsidR="006C528B" w:rsidRPr="00150EE2" w14:paraId="04192A99" w14:textId="77777777" w:rsidTr="00125C7F">
        <w:trPr>
          <w:trHeight w:val="315"/>
        </w:trPr>
        <w:tc>
          <w:tcPr>
            <w:tcW w:w="3286" w:type="pct"/>
            <w:noWrap/>
            <w:vAlign w:val="center"/>
          </w:tcPr>
          <w:p w14:paraId="00A112D8" w14:textId="77777777" w:rsidR="006C528B" w:rsidRPr="004E13E9" w:rsidRDefault="006C528B" w:rsidP="00125C7F">
            <w:pPr>
              <w:jc w:val="both"/>
              <w:rPr>
                <w:rFonts w:eastAsia="MS Gothic" w:cs="Times New Roman"/>
                <w:b/>
                <w:color w:val="000000"/>
                <w:lang w:val="fr-FR" w:eastAsia="fr-FR" w:bidi="fr-FR"/>
              </w:rPr>
            </w:pPr>
            <w:r w:rsidRPr="004E13E9">
              <w:rPr>
                <w:rFonts w:eastAsia="MS Gothic" w:cs="Times New Roman"/>
                <w:color w:val="000000"/>
                <w:lang w:val="fr-FR" w:eastAsia="fr-FR" w:bidi="fr-FR"/>
              </w:rPr>
              <w:t>Réserve de prises accessoires (le cas échéant)</w:t>
            </w:r>
          </w:p>
        </w:tc>
        <w:tc>
          <w:tcPr>
            <w:tcW w:w="1714" w:type="pct"/>
            <w:tcBorders>
              <w:top w:val="single" w:sz="4" w:space="0" w:color="auto"/>
              <w:left w:val="single" w:sz="4" w:space="0" w:color="auto"/>
              <w:bottom w:val="single" w:sz="4" w:space="0" w:color="auto"/>
              <w:right w:val="single" w:sz="4" w:space="0" w:color="auto"/>
            </w:tcBorders>
            <w:noWrap/>
            <w:vAlign w:val="center"/>
          </w:tcPr>
          <w:p w14:paraId="3E5CAB01" w14:textId="77777777" w:rsidR="006C528B" w:rsidRPr="004E13E9" w:rsidRDefault="006C528B" w:rsidP="00125C7F">
            <w:pPr>
              <w:widowControl w:val="0"/>
              <w:jc w:val="right"/>
              <w:rPr>
                <w:rFonts w:eastAsia="MS Gothic" w:cs="Times New Roman"/>
                <w:color w:val="000000"/>
                <w:lang w:val="fr-FR" w:eastAsia="fr-FR" w:bidi="fr-FR"/>
              </w:rPr>
            </w:pPr>
          </w:p>
        </w:tc>
      </w:tr>
    </w:tbl>
    <w:p w14:paraId="60EA1C4B" w14:textId="77777777" w:rsidR="006C528B" w:rsidRPr="004E13E9" w:rsidRDefault="006C528B" w:rsidP="006C528B">
      <w:pPr>
        <w:widowControl w:val="0"/>
        <w:jc w:val="both"/>
        <w:rPr>
          <w:rFonts w:eastAsia="MS Gothic" w:cs="Times New Roman"/>
          <w:b/>
          <w:bCs/>
          <w:i/>
          <w:iCs/>
          <w:lang w:val="fr-FR" w:eastAsia="fr-FR" w:bidi="fr-FR"/>
        </w:rPr>
      </w:pPr>
    </w:p>
    <w:p w14:paraId="104C5FB6" w14:textId="77777777" w:rsidR="006C528B" w:rsidRPr="004E13E9" w:rsidRDefault="006C528B" w:rsidP="006C528B">
      <w:pPr>
        <w:widowControl w:val="0"/>
        <w:jc w:val="both"/>
        <w:rPr>
          <w:rFonts w:eastAsia="MS Gothic" w:cs="Times New Roman"/>
          <w:b/>
          <w:i/>
          <w:lang w:val="fr-FR" w:eastAsia="fr-FR" w:bidi="fr-FR"/>
        </w:rPr>
      </w:pPr>
    </w:p>
    <w:p w14:paraId="5D008343" w14:textId="77777777" w:rsidR="006C528B" w:rsidRPr="004E13E9" w:rsidRDefault="006C528B" w:rsidP="006C528B">
      <w:pPr>
        <w:widowControl w:val="0"/>
        <w:jc w:val="both"/>
        <w:rPr>
          <w:rFonts w:eastAsia="MS Gothic" w:cs="Times New Roman"/>
          <w:b/>
          <w:i/>
          <w:lang w:val="fr-FR" w:eastAsia="fr-FR" w:bidi="fr-FR"/>
        </w:rPr>
      </w:pPr>
    </w:p>
    <w:p w14:paraId="77B87961" w14:textId="77777777" w:rsidR="006C528B" w:rsidRPr="004E13E9" w:rsidRDefault="006C528B" w:rsidP="006C528B">
      <w:pPr>
        <w:widowControl w:val="0"/>
        <w:jc w:val="both"/>
        <w:rPr>
          <w:rFonts w:eastAsia="MS Gothic" w:cs="Times New Roman"/>
          <w:b/>
          <w:i/>
          <w:lang w:val="fr-FR" w:eastAsia="fr-FR" w:bidi="fr-FR"/>
        </w:rPr>
      </w:pPr>
    </w:p>
    <w:p w14:paraId="7B15687C" w14:textId="77777777" w:rsidR="006C528B" w:rsidRPr="004E13E9" w:rsidRDefault="006C528B" w:rsidP="006C528B">
      <w:pPr>
        <w:widowControl w:val="0"/>
        <w:jc w:val="both"/>
        <w:rPr>
          <w:rFonts w:eastAsia="MS Gothic" w:cs="Times New Roman"/>
          <w:b/>
          <w:i/>
          <w:lang w:val="fr-FR" w:eastAsia="fr-FR" w:bidi="fr-FR"/>
        </w:rPr>
      </w:pPr>
    </w:p>
    <w:p w14:paraId="7F564CC3" w14:textId="77777777" w:rsidR="006C528B" w:rsidRPr="004E13E9" w:rsidRDefault="006C528B" w:rsidP="006C528B">
      <w:pPr>
        <w:widowControl w:val="0"/>
        <w:jc w:val="both"/>
        <w:rPr>
          <w:rFonts w:eastAsia="MS Gothic" w:cs="Times New Roman"/>
          <w:b/>
          <w:i/>
          <w:lang w:val="fr-FR" w:eastAsia="fr-FR" w:bidi="fr-FR"/>
        </w:rPr>
      </w:pPr>
    </w:p>
    <w:p w14:paraId="2CCBCE73" w14:textId="77777777" w:rsidR="006C528B" w:rsidRPr="004E13E9" w:rsidRDefault="006C528B" w:rsidP="006C528B">
      <w:pPr>
        <w:widowControl w:val="0"/>
        <w:jc w:val="both"/>
        <w:rPr>
          <w:rFonts w:eastAsia="MS Gothic" w:cs="Times New Roman"/>
          <w:b/>
          <w:i/>
          <w:lang w:val="fr-FR" w:eastAsia="fr-FR" w:bidi="fr-FR"/>
        </w:rPr>
      </w:pPr>
    </w:p>
    <w:p w14:paraId="21BBE420" w14:textId="77777777" w:rsidR="006C528B" w:rsidRPr="004E13E9" w:rsidRDefault="006C528B" w:rsidP="006C528B">
      <w:pPr>
        <w:widowControl w:val="0"/>
        <w:jc w:val="both"/>
        <w:rPr>
          <w:rFonts w:eastAsia="MS Gothic" w:cs="Times New Roman"/>
          <w:b/>
          <w:i/>
          <w:lang w:val="fr-FR" w:eastAsia="fr-FR" w:bidi="fr-FR"/>
        </w:rPr>
      </w:pPr>
    </w:p>
    <w:p w14:paraId="402B6B01" w14:textId="77777777" w:rsidR="006C528B" w:rsidRPr="004E13E9" w:rsidRDefault="006C528B" w:rsidP="006C528B">
      <w:pPr>
        <w:widowControl w:val="0"/>
        <w:jc w:val="both"/>
        <w:rPr>
          <w:rFonts w:eastAsia="MS Gothic" w:cs="Times New Roman"/>
          <w:b/>
          <w:i/>
          <w:lang w:val="fr-FR" w:eastAsia="fr-FR" w:bidi="fr-FR"/>
        </w:rPr>
      </w:pPr>
    </w:p>
    <w:p w14:paraId="5CB4D4DC" w14:textId="77777777" w:rsidR="006C528B" w:rsidRPr="004E13E9" w:rsidRDefault="006C528B" w:rsidP="006C528B">
      <w:pPr>
        <w:widowControl w:val="0"/>
        <w:jc w:val="both"/>
        <w:rPr>
          <w:rFonts w:eastAsia="MS Gothic" w:cs="Times New Roman"/>
          <w:b/>
          <w:i/>
          <w:lang w:val="fr-FR" w:eastAsia="fr-FR" w:bidi="fr-FR"/>
        </w:rPr>
      </w:pPr>
    </w:p>
    <w:p w14:paraId="2056F169" w14:textId="77777777" w:rsidR="006C528B" w:rsidRPr="004E13E9" w:rsidRDefault="006C528B" w:rsidP="006C528B">
      <w:pPr>
        <w:widowControl w:val="0"/>
        <w:jc w:val="both"/>
        <w:rPr>
          <w:rFonts w:eastAsia="MS Gothic" w:cs="Times New Roman"/>
          <w:b/>
          <w:i/>
          <w:lang w:val="fr-FR" w:eastAsia="fr-FR" w:bidi="fr-FR"/>
        </w:rPr>
      </w:pPr>
    </w:p>
    <w:p w14:paraId="42781BCA" w14:textId="77777777" w:rsidR="006C528B" w:rsidRPr="004E13E9" w:rsidRDefault="006C528B" w:rsidP="006C528B">
      <w:pPr>
        <w:widowControl w:val="0"/>
        <w:jc w:val="both"/>
        <w:rPr>
          <w:rFonts w:eastAsia="MS Gothic" w:cs="Times New Roman"/>
          <w:b/>
          <w:i/>
          <w:lang w:val="fr-FR" w:eastAsia="fr-FR" w:bidi="fr-FR"/>
        </w:rPr>
      </w:pPr>
    </w:p>
    <w:p w14:paraId="14CEFBA3" w14:textId="77777777" w:rsidR="006C528B" w:rsidRPr="004E13E9" w:rsidRDefault="006C528B" w:rsidP="006C528B">
      <w:pPr>
        <w:widowControl w:val="0"/>
        <w:jc w:val="both"/>
        <w:rPr>
          <w:rFonts w:eastAsia="MS Gothic" w:cs="Times New Roman"/>
          <w:b/>
          <w:i/>
          <w:lang w:val="fr-FR" w:eastAsia="fr-FR" w:bidi="fr-FR"/>
        </w:rPr>
      </w:pPr>
    </w:p>
    <w:p w14:paraId="63985B3A" w14:textId="77777777" w:rsidR="006C528B" w:rsidRPr="004E13E9" w:rsidRDefault="006C528B" w:rsidP="006C528B">
      <w:pPr>
        <w:widowControl w:val="0"/>
        <w:jc w:val="both"/>
        <w:rPr>
          <w:rFonts w:eastAsia="MS Gothic" w:cs="Times New Roman"/>
          <w:b/>
          <w:i/>
          <w:lang w:val="fr-FR" w:eastAsia="fr-FR" w:bidi="fr-FR"/>
        </w:rPr>
      </w:pPr>
    </w:p>
    <w:p w14:paraId="66F0B70E" w14:textId="77777777" w:rsidR="006C528B" w:rsidRPr="004E13E9" w:rsidRDefault="006C528B" w:rsidP="006C528B">
      <w:pPr>
        <w:widowControl w:val="0"/>
        <w:jc w:val="both"/>
        <w:rPr>
          <w:rFonts w:eastAsia="MS Gothic" w:cs="Times New Roman"/>
          <w:b/>
          <w:i/>
          <w:lang w:val="fr-FR" w:eastAsia="fr-FR" w:bidi="fr-FR"/>
        </w:rPr>
      </w:pPr>
    </w:p>
    <w:p w14:paraId="3BAB7F02" w14:textId="77777777" w:rsidR="006C528B" w:rsidRPr="004E13E9" w:rsidRDefault="006C528B" w:rsidP="006C528B">
      <w:pPr>
        <w:widowControl w:val="0"/>
        <w:jc w:val="both"/>
        <w:rPr>
          <w:rFonts w:eastAsia="MS Gothic" w:cs="Times New Roman"/>
          <w:b/>
          <w:i/>
          <w:lang w:val="fr-FR" w:eastAsia="fr-FR" w:bidi="fr-FR"/>
        </w:rPr>
      </w:pPr>
    </w:p>
    <w:p w14:paraId="3D345149" w14:textId="77777777" w:rsidR="006C528B" w:rsidRPr="004E13E9" w:rsidRDefault="006C528B" w:rsidP="006C528B">
      <w:pPr>
        <w:widowControl w:val="0"/>
        <w:jc w:val="both"/>
        <w:rPr>
          <w:rFonts w:eastAsia="MS Gothic" w:cs="Times New Roman"/>
          <w:b/>
          <w:i/>
          <w:lang w:val="fr-FR" w:eastAsia="fr-FR" w:bidi="fr-FR"/>
        </w:rPr>
      </w:pPr>
    </w:p>
    <w:p w14:paraId="7BB8BFDD" w14:textId="4F85A245" w:rsidR="00B70D05" w:rsidRPr="004E13E9" w:rsidRDefault="00B70D05">
      <w:pPr>
        <w:rPr>
          <w:rFonts w:eastAsia="MS Gothic" w:cs="Times New Roman"/>
          <w:b/>
          <w:i/>
          <w:lang w:val="fr-FR" w:eastAsia="fr-FR" w:bidi="fr-FR"/>
        </w:rPr>
      </w:pPr>
    </w:p>
    <w:p w14:paraId="1B1F2408" w14:textId="04318B46" w:rsidR="006C528B" w:rsidRPr="004E13E9" w:rsidRDefault="006C528B" w:rsidP="006C528B">
      <w:pPr>
        <w:widowControl w:val="0"/>
        <w:jc w:val="both"/>
        <w:rPr>
          <w:rFonts w:eastAsia="MS Gothic" w:cs="Times New Roman"/>
          <w:b/>
          <w:lang w:val="fr-FR" w:eastAsia="fr-FR" w:bidi="fr-FR"/>
        </w:rPr>
      </w:pPr>
      <w:r w:rsidRPr="004E13E9">
        <w:rPr>
          <w:rFonts w:eastAsia="MS Gothic" w:cs="Times New Roman"/>
          <w:b/>
          <w:i/>
          <w:lang w:val="fr-FR" w:eastAsia="fr-FR" w:bidi="fr-FR"/>
        </w:rPr>
        <w:t>1 c) Méthode utilisée pour allouer et gérer ces quotas (paragraphe 3)</w:t>
      </w:r>
    </w:p>
    <w:p w14:paraId="14B5F776" w14:textId="77777777" w:rsidR="006C528B" w:rsidRPr="004E13E9" w:rsidRDefault="006C528B" w:rsidP="006C528B">
      <w:pPr>
        <w:widowControl w:val="0"/>
        <w:jc w:val="both"/>
        <w:rPr>
          <w:rFonts w:eastAsia="MS Gothic" w:cs="Times New Roman"/>
          <w:lang w:val="fr-FR" w:eastAsia="fr-FR" w:bidi="fr-FR"/>
        </w:rPr>
      </w:pPr>
    </w:p>
    <w:p w14:paraId="5354A149" w14:textId="77777777" w:rsidR="00BA0F91" w:rsidRPr="004E13E9" w:rsidRDefault="00BA0F91">
      <w:pPr>
        <w:rPr>
          <w:rFonts w:eastAsia="MS Gothic" w:cs="Times New Roman"/>
          <w:b/>
          <w:i/>
          <w:lang w:val="fr-FR" w:eastAsia="fr-FR" w:bidi="fr-FR"/>
        </w:rPr>
      </w:pPr>
      <w:r w:rsidRPr="004E13E9">
        <w:rPr>
          <w:rFonts w:eastAsia="MS Gothic" w:cs="Times New Roman"/>
          <w:b/>
          <w:i/>
          <w:lang w:val="fr-FR" w:eastAsia="fr-FR" w:bidi="fr-FR"/>
        </w:rPr>
        <w:br w:type="page"/>
      </w:r>
    </w:p>
    <w:p w14:paraId="4CF6E6E2" w14:textId="3271D066" w:rsidR="00C56EAB" w:rsidRPr="004E13E9" w:rsidRDefault="00C56EAB" w:rsidP="00C56EAB">
      <w:pPr>
        <w:widowControl w:val="0"/>
        <w:jc w:val="both"/>
        <w:rPr>
          <w:rFonts w:eastAsia="MS Gothic" w:cs="Times New Roman"/>
          <w:b/>
          <w:bCs/>
          <w:i/>
          <w:iCs/>
          <w:lang w:val="fr-FR" w:eastAsia="fr-FR" w:bidi="fr-FR"/>
        </w:rPr>
      </w:pPr>
      <w:r w:rsidRPr="004E13E9">
        <w:rPr>
          <w:rFonts w:eastAsia="MS Gothic" w:cs="Times New Roman"/>
          <w:b/>
          <w:i/>
          <w:lang w:val="fr-FR" w:eastAsia="fr-FR" w:bidi="fr-FR"/>
        </w:rPr>
        <w:t>1 d) Ajustement pour surconsommation et sous-consommation (paragraphe 8)</w:t>
      </w:r>
    </w:p>
    <w:p w14:paraId="37044125" w14:textId="77777777" w:rsidR="00C56EAB" w:rsidRPr="004E13E9" w:rsidRDefault="00C56EAB" w:rsidP="00C56EAB">
      <w:pPr>
        <w:widowControl w:val="0"/>
        <w:jc w:val="both"/>
        <w:rPr>
          <w:rFonts w:eastAsia="MS Gothic" w:cs="Times New Roman"/>
          <w:lang w:val="fr-FR" w:eastAsia="fr-FR" w:bidi="fr-FR"/>
        </w:rPr>
      </w:pPr>
    </w:p>
    <w:p w14:paraId="39440880" w14:textId="77777777" w:rsidR="00C56EAB" w:rsidRPr="004E13E9" w:rsidRDefault="00C56EAB" w:rsidP="00C56EAB">
      <w:pPr>
        <w:widowControl w:val="0"/>
        <w:jc w:val="both"/>
        <w:rPr>
          <w:rFonts w:eastAsia="MS Gothic" w:cs="Times New Roman"/>
          <w:i/>
          <w:iCs/>
          <w:lang w:val="fr-FR" w:eastAsia="fr-FR" w:bidi="fr-FR"/>
        </w:rPr>
      </w:pPr>
      <w:r w:rsidRPr="004E13E9">
        <w:rPr>
          <w:rFonts w:eastAsia="MS Gothic" w:cs="Times New Roman"/>
          <w:i/>
          <w:iCs/>
          <w:lang w:val="fr-FR" w:eastAsia="fr-FR" w:bidi="fr-FR"/>
        </w:rPr>
        <w:t>Veuillez indiquer si la CPC a ajusté son quota pour sous-consommation ou surconsommation et, dans l’affirmative, le montant et la manière dont elle a été calculée.</w:t>
      </w:r>
    </w:p>
    <w:p w14:paraId="0206EB19" w14:textId="77777777" w:rsidR="00C56EAB" w:rsidRPr="004E13E9" w:rsidRDefault="00C56EAB" w:rsidP="00C56EAB">
      <w:pPr>
        <w:widowControl w:val="0"/>
        <w:jc w:val="both"/>
        <w:rPr>
          <w:rFonts w:eastAsia="MS Gothic" w:cs="Times New Roman"/>
          <w:i/>
          <w:lang w:val="fr-FR" w:eastAsia="fr-FR" w:bidi="fr-FR"/>
        </w:rPr>
      </w:pPr>
    </w:p>
    <w:p w14:paraId="5E75D454" w14:textId="77777777" w:rsidR="00C56EAB" w:rsidRPr="004E13E9" w:rsidRDefault="00C56EAB" w:rsidP="00C56EAB">
      <w:pPr>
        <w:widowControl w:val="0"/>
        <w:jc w:val="both"/>
        <w:rPr>
          <w:rFonts w:eastAsia="MS Gothic" w:cs="Times New Roman"/>
          <w:i/>
          <w:lang w:val="fr-FR" w:eastAsia="fr-FR" w:bidi="fr-FR"/>
        </w:rPr>
      </w:pPr>
    </w:p>
    <w:p w14:paraId="695F87D6" w14:textId="77777777" w:rsidR="00C56EAB" w:rsidRPr="004E13E9" w:rsidRDefault="00C56EAB" w:rsidP="00C56EAB">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2.</w:t>
      </w:r>
      <w:r w:rsidRPr="004E13E9">
        <w:rPr>
          <w:rFonts w:eastAsia="MS Gothic" w:cs="Times New Roman"/>
          <w:b/>
          <w:lang w:val="fr-FR" w:eastAsia="fr-FR" w:bidi="fr-FR"/>
        </w:rPr>
        <w:tab/>
        <w:t>Mesures de contrôle des pêches et des prises accessoires (paragraphe 3)</w:t>
      </w:r>
    </w:p>
    <w:p w14:paraId="10EB0E1D" w14:textId="77777777" w:rsidR="00C56EAB" w:rsidRPr="004E13E9" w:rsidRDefault="00C56EAB" w:rsidP="00C56EAB">
      <w:pPr>
        <w:widowControl w:val="0"/>
        <w:jc w:val="both"/>
        <w:rPr>
          <w:rFonts w:eastAsia="MS Gothic" w:cs="Times New Roman"/>
          <w:i/>
          <w:lang w:val="fr-FR" w:eastAsia="fr-FR" w:bidi="fr-FR"/>
        </w:rPr>
      </w:pPr>
    </w:p>
    <w:p w14:paraId="24891B32" w14:textId="77777777" w:rsidR="00C56EAB" w:rsidRPr="004E13E9" w:rsidRDefault="00C56EAB" w:rsidP="00C56EAB">
      <w:pPr>
        <w:widowControl w:val="0"/>
        <w:jc w:val="both"/>
        <w:rPr>
          <w:rFonts w:eastAsia="MS Gothic" w:cs="Times New Roman"/>
          <w:i/>
          <w:iCs/>
          <w:lang w:val="fr-FR" w:eastAsia="fr-FR" w:bidi="fr-FR"/>
        </w:rPr>
      </w:pPr>
      <w:r w:rsidRPr="004E13E9">
        <w:rPr>
          <w:rFonts w:eastAsia="MS Gothic" w:cs="Times New Roman"/>
          <w:i/>
          <w:iCs/>
          <w:lang w:val="fr-FR" w:eastAsia="fr-FR" w:bidi="fr-FR"/>
        </w:rPr>
        <w:t>Le Secrétariat suggère aux CPC de remplir le tableau suivant et d'y inclure toute autre information pertinente qu'elles jugeraient appropriée dans cette section :</w:t>
      </w:r>
    </w:p>
    <w:p w14:paraId="3AE50A88" w14:textId="77777777" w:rsidR="00C56EAB" w:rsidRPr="004E13E9" w:rsidRDefault="00C56EAB" w:rsidP="00C56EAB">
      <w:pPr>
        <w:rPr>
          <w:rFonts w:eastAsia="MS Gothic" w:cs="Times New Roman"/>
          <w:i/>
          <w:lang w:val="fr-FR" w:eastAsia="fr-FR" w:bidi="fr-FR"/>
        </w:rPr>
      </w:pPr>
    </w:p>
    <w:p w14:paraId="7FD1D42D" w14:textId="77777777" w:rsidR="00C56EAB" w:rsidRPr="004E13E9" w:rsidRDefault="00C56EAB" w:rsidP="00C56EAB">
      <w:pPr>
        <w:widowControl w:val="0"/>
        <w:jc w:val="both"/>
        <w:rPr>
          <w:rFonts w:eastAsia="MS Gothic" w:cs="Times New Roman"/>
          <w:i/>
          <w:sz w:val="8"/>
          <w:szCs w:val="8"/>
          <w:lang w:val="fr-FR" w:eastAsia="fr-FR" w:bidi="fr-FR"/>
        </w:rPr>
      </w:pPr>
    </w:p>
    <w:tbl>
      <w:tblPr>
        <w:tblStyle w:val="TableGrid"/>
        <w:tblpPr w:leftFromText="180" w:rightFromText="180" w:vertAnchor="text" w:tblpY="1"/>
        <w:tblOverlap w:val="never"/>
        <w:tblW w:w="0" w:type="auto"/>
        <w:tblLook w:val="04A0" w:firstRow="1" w:lastRow="0" w:firstColumn="1" w:lastColumn="0" w:noHBand="0" w:noVBand="1"/>
      </w:tblPr>
      <w:tblGrid>
        <w:gridCol w:w="518"/>
        <w:gridCol w:w="2641"/>
        <w:gridCol w:w="1871"/>
        <w:gridCol w:w="1944"/>
        <w:gridCol w:w="2087"/>
      </w:tblGrid>
      <w:tr w:rsidR="00C56EAB" w:rsidRPr="004E13E9" w14:paraId="1DEB4BDD" w14:textId="77777777" w:rsidTr="00BA0F91">
        <w:trPr>
          <w:tblHeader/>
        </w:trPr>
        <w:tc>
          <w:tcPr>
            <w:tcW w:w="518" w:type="dxa"/>
          </w:tcPr>
          <w:p w14:paraId="2FC5BB35" w14:textId="77777777" w:rsidR="00C56EAB" w:rsidRPr="004E13E9" w:rsidRDefault="00C56EAB" w:rsidP="00C56EAB">
            <w:pPr>
              <w:widowControl w:val="0"/>
              <w:rPr>
                <w:rFonts w:ascii="Cambria" w:hAnsi="Cambria"/>
                <w:sz w:val="20"/>
                <w:szCs w:val="20"/>
              </w:rPr>
            </w:pPr>
          </w:p>
        </w:tc>
        <w:tc>
          <w:tcPr>
            <w:tcW w:w="2641" w:type="dxa"/>
            <w:vAlign w:val="center"/>
          </w:tcPr>
          <w:p w14:paraId="4FABB9A5" w14:textId="77777777" w:rsidR="00C56EAB" w:rsidRPr="004E13E9" w:rsidRDefault="00C56EAB" w:rsidP="00C56EAB">
            <w:pPr>
              <w:widowControl w:val="0"/>
              <w:jc w:val="center"/>
              <w:rPr>
                <w:rFonts w:ascii="Cambria" w:hAnsi="Cambria"/>
                <w:i/>
                <w:sz w:val="20"/>
                <w:szCs w:val="20"/>
              </w:rPr>
            </w:pPr>
            <w:r w:rsidRPr="004E13E9">
              <w:rPr>
                <w:rFonts w:ascii="Cambria" w:hAnsi="Cambria"/>
                <w:i/>
                <w:sz w:val="20"/>
                <w:szCs w:val="20"/>
              </w:rPr>
              <w:t xml:space="preserve">Exigence de l’ICCAT </w:t>
            </w:r>
          </w:p>
          <w:p w14:paraId="09FDBD2C" w14:textId="77777777" w:rsidR="00C56EAB" w:rsidRPr="004E13E9" w:rsidRDefault="00C56EAB" w:rsidP="00C56EAB">
            <w:pPr>
              <w:widowControl w:val="0"/>
              <w:jc w:val="center"/>
              <w:rPr>
                <w:rFonts w:ascii="Cambria" w:hAnsi="Cambria"/>
                <w:i/>
                <w:sz w:val="20"/>
                <w:szCs w:val="20"/>
              </w:rPr>
            </w:pPr>
            <w:r w:rsidRPr="004E13E9">
              <w:rPr>
                <w:rFonts w:ascii="Cambria" w:hAnsi="Cambria"/>
                <w:i/>
                <w:iCs/>
                <w:sz w:val="20"/>
                <w:szCs w:val="20"/>
              </w:rPr>
              <w:t xml:space="preserve">(En vertu de la </w:t>
            </w:r>
            <w:hyperlink r:id="rId222" w:history="1">
              <w:r w:rsidRPr="004E13E9">
                <w:rPr>
                  <w:rFonts w:ascii="Cambria" w:hAnsi="Cambria"/>
                  <w:i/>
                  <w:color w:val="0563C1"/>
                  <w:sz w:val="20"/>
                  <w:szCs w:val="20"/>
                </w:rPr>
                <w:t>Rec. 25-05</w:t>
              </w:r>
            </w:hyperlink>
            <w:r w:rsidRPr="004E13E9">
              <w:rPr>
                <w:rFonts w:ascii="Cambria" w:hAnsi="Cambria"/>
                <w:i/>
                <w:iCs/>
                <w:sz w:val="20"/>
                <w:szCs w:val="20"/>
              </w:rPr>
              <w:t>)</w:t>
            </w:r>
          </w:p>
        </w:tc>
        <w:tc>
          <w:tcPr>
            <w:tcW w:w="1871" w:type="dxa"/>
            <w:vAlign w:val="center"/>
          </w:tcPr>
          <w:p w14:paraId="664EE65F" w14:textId="77777777" w:rsidR="00C56EAB" w:rsidRPr="004E13E9" w:rsidRDefault="00C56EAB" w:rsidP="00C56EAB">
            <w:pPr>
              <w:widowControl w:val="0"/>
              <w:jc w:val="center"/>
              <w:rPr>
                <w:rFonts w:ascii="Cambria" w:hAnsi="Cambria"/>
                <w:i/>
                <w:sz w:val="20"/>
                <w:szCs w:val="20"/>
              </w:rPr>
            </w:pPr>
            <w:r w:rsidRPr="004E13E9">
              <w:rPr>
                <w:rFonts w:ascii="Cambria" w:hAnsi="Cambria"/>
                <w:i/>
                <w:sz w:val="20"/>
                <w:szCs w:val="20"/>
              </w:rPr>
              <w:t>Explication des actions prises par la CPC à des fins de mise en œuvre</w:t>
            </w:r>
          </w:p>
        </w:tc>
        <w:tc>
          <w:tcPr>
            <w:tcW w:w="1944" w:type="dxa"/>
            <w:vAlign w:val="center"/>
          </w:tcPr>
          <w:p w14:paraId="7BE8BCD9" w14:textId="77777777" w:rsidR="00C56EAB" w:rsidRPr="004E13E9" w:rsidRDefault="00C56EAB" w:rsidP="00C56EAB">
            <w:pPr>
              <w:widowControl w:val="0"/>
              <w:jc w:val="center"/>
              <w:rPr>
                <w:rFonts w:ascii="Cambria" w:hAnsi="Cambria"/>
                <w:i/>
                <w:sz w:val="20"/>
                <w:szCs w:val="20"/>
              </w:rPr>
            </w:pPr>
            <w:r w:rsidRPr="004E13E9">
              <w:rPr>
                <w:rFonts w:ascii="Cambria" w:hAnsi="Cambria"/>
                <w:i/>
                <w:sz w:val="20"/>
                <w:szCs w:val="20"/>
              </w:rPr>
              <w:t>Lois ou réglementations nationales pertinentes (le cas échéant)</w:t>
            </w:r>
          </w:p>
        </w:tc>
        <w:tc>
          <w:tcPr>
            <w:tcW w:w="2087" w:type="dxa"/>
            <w:vAlign w:val="center"/>
          </w:tcPr>
          <w:p w14:paraId="2AA1D814" w14:textId="77777777" w:rsidR="00C56EAB" w:rsidRPr="004E13E9" w:rsidRDefault="00C56EAB" w:rsidP="00C56EAB">
            <w:pPr>
              <w:widowControl w:val="0"/>
              <w:jc w:val="center"/>
              <w:rPr>
                <w:rFonts w:ascii="Cambria" w:hAnsi="Cambria"/>
                <w:i/>
                <w:sz w:val="20"/>
                <w:szCs w:val="20"/>
              </w:rPr>
            </w:pPr>
            <w:r w:rsidRPr="004E13E9">
              <w:rPr>
                <w:rFonts w:ascii="Cambria" w:hAnsi="Cambria"/>
                <w:i/>
                <w:sz w:val="20"/>
                <w:szCs w:val="20"/>
              </w:rPr>
              <w:t>Note</w:t>
            </w:r>
          </w:p>
        </w:tc>
      </w:tr>
      <w:tr w:rsidR="00C56EAB" w:rsidRPr="00150EE2" w14:paraId="259E0CB9" w14:textId="77777777" w:rsidTr="00BA0F91">
        <w:tc>
          <w:tcPr>
            <w:tcW w:w="518" w:type="dxa"/>
          </w:tcPr>
          <w:p w14:paraId="66CA1388" w14:textId="77777777" w:rsidR="00C56EAB" w:rsidRPr="004E13E9" w:rsidRDefault="00C56EAB" w:rsidP="00C56EAB">
            <w:pPr>
              <w:widowControl w:val="0"/>
              <w:rPr>
                <w:rFonts w:ascii="Cambria" w:hAnsi="Cambria"/>
                <w:b/>
                <w:sz w:val="20"/>
                <w:szCs w:val="20"/>
              </w:rPr>
            </w:pPr>
            <w:r w:rsidRPr="004E13E9">
              <w:rPr>
                <w:rFonts w:ascii="Cambria" w:hAnsi="Cambria"/>
                <w:b/>
                <w:sz w:val="20"/>
                <w:szCs w:val="20"/>
              </w:rPr>
              <w:t>1</w:t>
            </w:r>
          </w:p>
        </w:tc>
        <w:tc>
          <w:tcPr>
            <w:tcW w:w="2641" w:type="dxa"/>
          </w:tcPr>
          <w:p w14:paraId="715C35B9" w14:textId="77777777" w:rsidR="00C56EAB" w:rsidRPr="004E13E9" w:rsidDel="00C371CA" w:rsidRDefault="00C56EAB" w:rsidP="00C56EAB">
            <w:pPr>
              <w:widowControl w:val="0"/>
              <w:rPr>
                <w:rFonts w:ascii="Cambria" w:hAnsi="Cambria"/>
                <w:b/>
                <w:sz w:val="20"/>
                <w:szCs w:val="20"/>
              </w:rPr>
            </w:pPr>
            <w:r w:rsidRPr="004E13E9">
              <w:rPr>
                <w:rFonts w:ascii="Cambria" w:hAnsi="Cambria"/>
                <w:b/>
                <w:sz w:val="20"/>
                <w:szCs w:val="20"/>
              </w:rPr>
              <w:t>Limites de l’effort et de la capacité (paragraphe 2)</w:t>
            </w:r>
          </w:p>
        </w:tc>
        <w:tc>
          <w:tcPr>
            <w:tcW w:w="1871" w:type="dxa"/>
          </w:tcPr>
          <w:p w14:paraId="7985FAEE" w14:textId="77777777" w:rsidR="00C56EAB" w:rsidRPr="004E13E9" w:rsidRDefault="00C56EAB" w:rsidP="00C56EAB">
            <w:pPr>
              <w:widowControl w:val="0"/>
              <w:rPr>
                <w:rFonts w:ascii="Cambria" w:hAnsi="Cambria"/>
                <w:b/>
                <w:sz w:val="20"/>
                <w:szCs w:val="20"/>
              </w:rPr>
            </w:pPr>
          </w:p>
        </w:tc>
        <w:tc>
          <w:tcPr>
            <w:tcW w:w="1944" w:type="dxa"/>
          </w:tcPr>
          <w:p w14:paraId="23F87F10" w14:textId="77777777" w:rsidR="00C56EAB" w:rsidRPr="004E13E9" w:rsidRDefault="00C56EAB" w:rsidP="00C56EAB">
            <w:pPr>
              <w:widowControl w:val="0"/>
              <w:rPr>
                <w:rFonts w:ascii="Cambria" w:hAnsi="Cambria"/>
                <w:sz w:val="20"/>
                <w:szCs w:val="20"/>
              </w:rPr>
            </w:pPr>
          </w:p>
        </w:tc>
        <w:tc>
          <w:tcPr>
            <w:tcW w:w="2087" w:type="dxa"/>
          </w:tcPr>
          <w:p w14:paraId="0F2F535F" w14:textId="77777777" w:rsidR="00C56EAB" w:rsidRPr="004E13E9" w:rsidRDefault="00C56EAB" w:rsidP="00C56EAB">
            <w:pPr>
              <w:widowControl w:val="0"/>
              <w:jc w:val="both"/>
              <w:rPr>
                <w:rFonts w:ascii="Cambria" w:hAnsi="Cambria"/>
                <w:i/>
                <w:iCs/>
                <w:sz w:val="20"/>
                <w:szCs w:val="20"/>
              </w:rPr>
            </w:pPr>
            <w:r w:rsidRPr="004E13E9">
              <w:rPr>
                <w:rFonts w:ascii="Cambria" w:hAnsi="Cambria"/>
                <w:i/>
                <w:iCs/>
                <w:sz w:val="20"/>
                <w:szCs w:val="20"/>
              </w:rPr>
              <w:t>Cette entrée ne s'applique pas aux CPC qui détiennent uniquement des quotas pour l'Ouest.</w:t>
            </w:r>
          </w:p>
        </w:tc>
      </w:tr>
      <w:tr w:rsidR="00C56EAB" w:rsidRPr="004E13E9" w14:paraId="7F61211F" w14:textId="77777777" w:rsidTr="00BA0F91">
        <w:tc>
          <w:tcPr>
            <w:tcW w:w="518" w:type="dxa"/>
          </w:tcPr>
          <w:p w14:paraId="3B5AEB4D" w14:textId="77777777" w:rsidR="00C56EAB" w:rsidRPr="004E13E9" w:rsidRDefault="00C56EAB" w:rsidP="00C56EAB">
            <w:pPr>
              <w:widowControl w:val="0"/>
              <w:rPr>
                <w:rFonts w:ascii="Cambria" w:hAnsi="Cambria"/>
                <w:b/>
                <w:sz w:val="20"/>
                <w:szCs w:val="20"/>
              </w:rPr>
            </w:pPr>
            <w:r w:rsidRPr="004E13E9">
              <w:rPr>
                <w:rFonts w:ascii="Cambria" w:hAnsi="Cambria"/>
                <w:b/>
                <w:sz w:val="20"/>
                <w:szCs w:val="20"/>
              </w:rPr>
              <w:t>2</w:t>
            </w:r>
          </w:p>
        </w:tc>
        <w:tc>
          <w:tcPr>
            <w:tcW w:w="2641" w:type="dxa"/>
          </w:tcPr>
          <w:p w14:paraId="2A01B780" w14:textId="77777777" w:rsidR="00C56EAB" w:rsidRPr="004E13E9" w:rsidRDefault="00C56EAB" w:rsidP="00C56EAB">
            <w:pPr>
              <w:widowControl w:val="0"/>
              <w:rPr>
                <w:rFonts w:ascii="Cambria" w:hAnsi="Cambria"/>
                <w:b/>
                <w:sz w:val="20"/>
                <w:szCs w:val="20"/>
              </w:rPr>
            </w:pPr>
            <w:r w:rsidRPr="004E13E9">
              <w:rPr>
                <w:rFonts w:ascii="Cambria" w:hAnsi="Cambria"/>
                <w:b/>
                <w:sz w:val="20"/>
                <w:szCs w:val="20"/>
              </w:rPr>
              <w:t>Exigences en matière de données et de déclaration</w:t>
            </w:r>
          </w:p>
          <w:p w14:paraId="1EE96AC4" w14:textId="77777777" w:rsidR="00C56EAB" w:rsidRPr="004E13E9" w:rsidRDefault="00C56EAB" w:rsidP="00C56EAB">
            <w:pPr>
              <w:widowControl w:val="0"/>
              <w:rPr>
                <w:rFonts w:ascii="Cambria" w:hAnsi="Cambria"/>
                <w:b/>
                <w:sz w:val="20"/>
                <w:szCs w:val="20"/>
              </w:rPr>
            </w:pPr>
            <w:r w:rsidRPr="004E13E9">
              <w:rPr>
                <w:rFonts w:ascii="Cambria" w:hAnsi="Cambria"/>
                <w:b/>
                <w:sz w:val="20"/>
                <w:szCs w:val="20"/>
              </w:rPr>
              <w:t>(paragraphes 18-19, 21, 23)</w:t>
            </w:r>
          </w:p>
        </w:tc>
        <w:tc>
          <w:tcPr>
            <w:tcW w:w="1871" w:type="dxa"/>
          </w:tcPr>
          <w:p w14:paraId="7BB19CB1" w14:textId="77777777" w:rsidR="00C56EAB" w:rsidRPr="004E13E9" w:rsidRDefault="00C56EAB" w:rsidP="00C56EAB">
            <w:pPr>
              <w:widowControl w:val="0"/>
              <w:rPr>
                <w:rFonts w:ascii="Cambria" w:hAnsi="Cambria"/>
                <w:sz w:val="20"/>
                <w:szCs w:val="20"/>
              </w:rPr>
            </w:pPr>
          </w:p>
        </w:tc>
        <w:tc>
          <w:tcPr>
            <w:tcW w:w="1944" w:type="dxa"/>
          </w:tcPr>
          <w:p w14:paraId="67D53B0B" w14:textId="77777777" w:rsidR="00C56EAB" w:rsidRPr="004E13E9" w:rsidRDefault="00C56EAB" w:rsidP="00C56EAB">
            <w:pPr>
              <w:widowControl w:val="0"/>
              <w:rPr>
                <w:rFonts w:ascii="Cambria" w:hAnsi="Cambria"/>
                <w:sz w:val="20"/>
                <w:szCs w:val="20"/>
              </w:rPr>
            </w:pPr>
          </w:p>
        </w:tc>
        <w:tc>
          <w:tcPr>
            <w:tcW w:w="2087" w:type="dxa"/>
          </w:tcPr>
          <w:p w14:paraId="7A4701DD" w14:textId="77777777" w:rsidR="00C56EAB" w:rsidRPr="004E13E9" w:rsidRDefault="00C56EAB" w:rsidP="00C56EAB">
            <w:pPr>
              <w:widowControl w:val="0"/>
              <w:jc w:val="both"/>
              <w:rPr>
                <w:rFonts w:ascii="Cambria" w:hAnsi="Cambria"/>
                <w:i/>
                <w:iCs/>
                <w:sz w:val="20"/>
                <w:szCs w:val="20"/>
              </w:rPr>
            </w:pPr>
          </w:p>
          <w:p w14:paraId="111F7892" w14:textId="4A490292" w:rsidR="00C56EAB" w:rsidRPr="004E13E9" w:rsidRDefault="00C56EAB" w:rsidP="00C56EAB">
            <w:pPr>
              <w:widowControl w:val="0"/>
              <w:jc w:val="both"/>
              <w:rPr>
                <w:rFonts w:ascii="Cambria" w:hAnsi="Cambria"/>
                <w:sz w:val="20"/>
                <w:szCs w:val="20"/>
              </w:rPr>
            </w:pPr>
          </w:p>
        </w:tc>
      </w:tr>
      <w:tr w:rsidR="00C56EAB" w:rsidRPr="004E13E9" w14:paraId="2F2369D0" w14:textId="77777777" w:rsidTr="00BA0F91">
        <w:tc>
          <w:tcPr>
            <w:tcW w:w="518" w:type="dxa"/>
          </w:tcPr>
          <w:p w14:paraId="4C40A948" w14:textId="77777777" w:rsidR="00C56EAB" w:rsidRPr="004E13E9" w:rsidRDefault="00C56EAB" w:rsidP="00C56EAB">
            <w:pPr>
              <w:widowControl w:val="0"/>
              <w:rPr>
                <w:rFonts w:ascii="Cambria" w:hAnsi="Cambria"/>
                <w:b/>
                <w:sz w:val="20"/>
                <w:szCs w:val="20"/>
              </w:rPr>
            </w:pPr>
            <w:r w:rsidRPr="004E13E9">
              <w:rPr>
                <w:rFonts w:ascii="Cambria" w:hAnsi="Cambria"/>
                <w:b/>
                <w:sz w:val="20"/>
                <w:szCs w:val="20"/>
              </w:rPr>
              <w:t>3</w:t>
            </w:r>
          </w:p>
        </w:tc>
        <w:tc>
          <w:tcPr>
            <w:tcW w:w="2641" w:type="dxa"/>
          </w:tcPr>
          <w:p w14:paraId="67AB1548" w14:textId="77777777" w:rsidR="00C56EAB" w:rsidRPr="004E13E9" w:rsidRDefault="00C56EAB" w:rsidP="00C56EAB">
            <w:pPr>
              <w:widowControl w:val="0"/>
              <w:rPr>
                <w:rFonts w:ascii="Cambria" w:hAnsi="Cambria"/>
                <w:b/>
                <w:sz w:val="20"/>
                <w:szCs w:val="20"/>
              </w:rPr>
            </w:pPr>
            <w:r w:rsidRPr="004E13E9">
              <w:rPr>
                <w:rFonts w:ascii="Cambria" w:hAnsi="Cambria"/>
                <w:b/>
                <w:sz w:val="20"/>
                <w:szCs w:val="20"/>
              </w:rPr>
              <w:t>Restrictions spatio-temporelles</w:t>
            </w:r>
          </w:p>
          <w:p w14:paraId="295C5B1A" w14:textId="77777777" w:rsidR="00C56EAB" w:rsidRPr="004E13E9" w:rsidRDefault="00C56EAB" w:rsidP="00C56EAB">
            <w:pPr>
              <w:widowControl w:val="0"/>
              <w:rPr>
                <w:rFonts w:ascii="Cambria" w:hAnsi="Cambria"/>
                <w:b/>
                <w:sz w:val="20"/>
                <w:szCs w:val="20"/>
              </w:rPr>
            </w:pPr>
            <w:r w:rsidRPr="004E13E9">
              <w:rPr>
                <w:rFonts w:ascii="Cambria" w:hAnsi="Cambria"/>
                <w:b/>
                <w:sz w:val="20"/>
                <w:szCs w:val="20"/>
              </w:rPr>
              <w:t>(paragraphe 13)</w:t>
            </w:r>
          </w:p>
        </w:tc>
        <w:tc>
          <w:tcPr>
            <w:tcW w:w="1871" w:type="dxa"/>
          </w:tcPr>
          <w:p w14:paraId="571FB628" w14:textId="77777777" w:rsidR="00C56EAB" w:rsidRPr="004E13E9" w:rsidRDefault="00C56EAB" w:rsidP="00C56EAB">
            <w:pPr>
              <w:widowControl w:val="0"/>
              <w:rPr>
                <w:rFonts w:ascii="Cambria" w:hAnsi="Cambria"/>
                <w:sz w:val="20"/>
                <w:szCs w:val="20"/>
              </w:rPr>
            </w:pPr>
          </w:p>
        </w:tc>
        <w:tc>
          <w:tcPr>
            <w:tcW w:w="1944" w:type="dxa"/>
          </w:tcPr>
          <w:p w14:paraId="769C01D5" w14:textId="77777777" w:rsidR="00C56EAB" w:rsidRPr="004E13E9" w:rsidRDefault="00C56EAB" w:rsidP="00C56EAB">
            <w:pPr>
              <w:widowControl w:val="0"/>
              <w:rPr>
                <w:rFonts w:ascii="Cambria" w:hAnsi="Cambria"/>
                <w:sz w:val="20"/>
                <w:szCs w:val="20"/>
              </w:rPr>
            </w:pPr>
          </w:p>
        </w:tc>
        <w:tc>
          <w:tcPr>
            <w:tcW w:w="2087" w:type="dxa"/>
          </w:tcPr>
          <w:p w14:paraId="59FF3865" w14:textId="77777777" w:rsidR="00C56EAB" w:rsidRPr="004E13E9" w:rsidRDefault="00C56EAB" w:rsidP="00C56EAB">
            <w:pPr>
              <w:widowControl w:val="0"/>
              <w:jc w:val="both"/>
              <w:rPr>
                <w:rFonts w:ascii="Cambria" w:hAnsi="Cambria"/>
                <w:sz w:val="20"/>
                <w:szCs w:val="20"/>
              </w:rPr>
            </w:pPr>
          </w:p>
        </w:tc>
      </w:tr>
      <w:tr w:rsidR="00C56EAB" w:rsidRPr="0084719E" w14:paraId="4234AF7C" w14:textId="77777777" w:rsidTr="00BA0F91">
        <w:tc>
          <w:tcPr>
            <w:tcW w:w="518" w:type="dxa"/>
          </w:tcPr>
          <w:p w14:paraId="7C9F1259" w14:textId="77777777" w:rsidR="00C56EAB" w:rsidRPr="004E13E9" w:rsidRDefault="00C56EAB" w:rsidP="00C56EAB">
            <w:pPr>
              <w:widowControl w:val="0"/>
              <w:rPr>
                <w:rFonts w:ascii="Cambria" w:hAnsi="Cambria"/>
                <w:b/>
                <w:sz w:val="20"/>
                <w:szCs w:val="20"/>
              </w:rPr>
            </w:pPr>
            <w:r w:rsidRPr="004E13E9">
              <w:rPr>
                <w:rFonts w:ascii="Cambria" w:hAnsi="Cambria"/>
                <w:b/>
                <w:sz w:val="20"/>
                <w:szCs w:val="20"/>
              </w:rPr>
              <w:t>4</w:t>
            </w:r>
          </w:p>
        </w:tc>
        <w:tc>
          <w:tcPr>
            <w:tcW w:w="2641" w:type="dxa"/>
          </w:tcPr>
          <w:p w14:paraId="7D8FCC9A" w14:textId="77777777" w:rsidR="00C56EAB" w:rsidRPr="004E13E9" w:rsidRDefault="00C56EAB" w:rsidP="00C56EAB">
            <w:pPr>
              <w:widowControl w:val="0"/>
              <w:rPr>
                <w:rFonts w:ascii="Cambria" w:hAnsi="Cambria"/>
                <w:b/>
                <w:sz w:val="20"/>
                <w:szCs w:val="20"/>
              </w:rPr>
            </w:pPr>
            <w:r w:rsidRPr="004E13E9">
              <w:rPr>
                <w:rFonts w:ascii="Cambria" w:hAnsi="Cambria"/>
                <w:b/>
                <w:bCs/>
                <w:sz w:val="20"/>
                <w:szCs w:val="20"/>
              </w:rPr>
              <w:t>Taille minimale et protection des petits poissons</w:t>
            </w:r>
            <w:r w:rsidRPr="004E13E9">
              <w:rPr>
                <w:rFonts w:ascii="Cambria" w:hAnsi="Cambria"/>
                <w:b/>
                <w:sz w:val="20"/>
                <w:szCs w:val="20"/>
              </w:rPr>
              <w:t xml:space="preserve"> (paragraphes 9-10)</w:t>
            </w:r>
          </w:p>
        </w:tc>
        <w:tc>
          <w:tcPr>
            <w:tcW w:w="1871" w:type="dxa"/>
          </w:tcPr>
          <w:p w14:paraId="10A91BEC" w14:textId="77777777" w:rsidR="00C56EAB" w:rsidRPr="004E13E9" w:rsidRDefault="00C56EAB" w:rsidP="00C56EAB">
            <w:pPr>
              <w:widowControl w:val="0"/>
              <w:rPr>
                <w:rFonts w:ascii="Cambria" w:hAnsi="Cambria"/>
                <w:sz w:val="20"/>
                <w:szCs w:val="20"/>
              </w:rPr>
            </w:pPr>
          </w:p>
        </w:tc>
        <w:tc>
          <w:tcPr>
            <w:tcW w:w="1944" w:type="dxa"/>
          </w:tcPr>
          <w:p w14:paraId="42A0D678" w14:textId="77777777" w:rsidR="00C56EAB" w:rsidRPr="004E13E9" w:rsidRDefault="00C56EAB" w:rsidP="00C56EAB">
            <w:pPr>
              <w:widowControl w:val="0"/>
              <w:rPr>
                <w:rFonts w:ascii="Cambria" w:hAnsi="Cambria"/>
                <w:sz w:val="20"/>
                <w:szCs w:val="20"/>
              </w:rPr>
            </w:pPr>
          </w:p>
        </w:tc>
        <w:tc>
          <w:tcPr>
            <w:tcW w:w="2087" w:type="dxa"/>
          </w:tcPr>
          <w:p w14:paraId="2F509A1A" w14:textId="77777777" w:rsidR="00C56EAB" w:rsidRPr="004E13E9" w:rsidRDefault="00C56EAB" w:rsidP="00C56EAB">
            <w:pPr>
              <w:widowControl w:val="0"/>
              <w:jc w:val="both"/>
              <w:rPr>
                <w:rFonts w:ascii="Cambria" w:hAnsi="Cambria"/>
                <w:sz w:val="20"/>
                <w:szCs w:val="20"/>
              </w:rPr>
            </w:pPr>
          </w:p>
        </w:tc>
      </w:tr>
      <w:tr w:rsidR="00C56EAB" w:rsidRPr="0084719E" w14:paraId="5DA0E09B" w14:textId="77777777" w:rsidTr="00BA0F91">
        <w:tc>
          <w:tcPr>
            <w:tcW w:w="518" w:type="dxa"/>
          </w:tcPr>
          <w:p w14:paraId="7A3D124B" w14:textId="77777777" w:rsidR="00C56EAB" w:rsidRPr="004E13E9" w:rsidRDefault="00C56EAB" w:rsidP="00C56EAB">
            <w:pPr>
              <w:widowControl w:val="0"/>
              <w:rPr>
                <w:rFonts w:ascii="Cambria" w:hAnsi="Cambria"/>
                <w:b/>
                <w:sz w:val="20"/>
                <w:szCs w:val="20"/>
              </w:rPr>
            </w:pPr>
            <w:r w:rsidRPr="004E13E9">
              <w:rPr>
                <w:rFonts w:ascii="Cambria" w:hAnsi="Cambria"/>
                <w:b/>
                <w:sz w:val="20"/>
                <w:szCs w:val="20"/>
              </w:rPr>
              <w:t>5</w:t>
            </w:r>
          </w:p>
        </w:tc>
        <w:tc>
          <w:tcPr>
            <w:tcW w:w="2641" w:type="dxa"/>
          </w:tcPr>
          <w:p w14:paraId="13F3B6D1" w14:textId="77777777" w:rsidR="00C56EAB" w:rsidRPr="004E13E9" w:rsidRDefault="00C56EAB" w:rsidP="00C56EAB">
            <w:pPr>
              <w:widowControl w:val="0"/>
              <w:rPr>
                <w:rFonts w:ascii="Cambria" w:hAnsi="Cambria"/>
                <w:b/>
                <w:sz w:val="20"/>
                <w:szCs w:val="20"/>
              </w:rPr>
            </w:pPr>
            <w:r w:rsidRPr="004E13E9">
              <w:rPr>
                <w:rFonts w:ascii="Cambria" w:hAnsi="Cambria"/>
                <w:b/>
                <w:sz w:val="20"/>
                <w:szCs w:val="20"/>
              </w:rPr>
              <w:t xml:space="preserve">Prises accessoires </w:t>
            </w:r>
          </w:p>
          <w:p w14:paraId="07B9353D" w14:textId="77777777" w:rsidR="00C56EAB" w:rsidRPr="004E13E9" w:rsidRDefault="00C56EAB" w:rsidP="00C56EAB">
            <w:pPr>
              <w:widowControl w:val="0"/>
              <w:rPr>
                <w:rFonts w:ascii="Cambria" w:hAnsi="Cambria"/>
                <w:b/>
                <w:sz w:val="20"/>
                <w:szCs w:val="20"/>
              </w:rPr>
            </w:pPr>
            <w:r w:rsidRPr="004E13E9">
              <w:rPr>
                <w:rFonts w:ascii="Cambria" w:hAnsi="Cambria"/>
                <w:b/>
                <w:sz w:val="20"/>
                <w:szCs w:val="20"/>
              </w:rPr>
              <w:t xml:space="preserve">(paragraphe 6) </w:t>
            </w:r>
          </w:p>
        </w:tc>
        <w:tc>
          <w:tcPr>
            <w:tcW w:w="1871" w:type="dxa"/>
          </w:tcPr>
          <w:p w14:paraId="673C194F" w14:textId="77777777" w:rsidR="00C56EAB" w:rsidRPr="004E13E9" w:rsidRDefault="00C56EAB" w:rsidP="00C56EAB">
            <w:pPr>
              <w:widowControl w:val="0"/>
              <w:rPr>
                <w:rFonts w:ascii="Cambria" w:hAnsi="Cambria"/>
                <w:sz w:val="20"/>
                <w:szCs w:val="20"/>
              </w:rPr>
            </w:pPr>
          </w:p>
        </w:tc>
        <w:tc>
          <w:tcPr>
            <w:tcW w:w="1944" w:type="dxa"/>
          </w:tcPr>
          <w:p w14:paraId="07A3D5BA" w14:textId="77777777" w:rsidR="00C56EAB" w:rsidRPr="004E13E9" w:rsidRDefault="00C56EAB" w:rsidP="00C56EAB">
            <w:pPr>
              <w:widowControl w:val="0"/>
              <w:rPr>
                <w:rFonts w:ascii="Cambria" w:hAnsi="Cambria"/>
                <w:sz w:val="20"/>
                <w:szCs w:val="20"/>
              </w:rPr>
            </w:pPr>
          </w:p>
        </w:tc>
        <w:tc>
          <w:tcPr>
            <w:tcW w:w="2087" w:type="dxa"/>
          </w:tcPr>
          <w:p w14:paraId="334AF4DF" w14:textId="77777777" w:rsidR="00C56EAB" w:rsidRPr="004E13E9" w:rsidRDefault="00C56EAB" w:rsidP="00C56EAB">
            <w:pPr>
              <w:widowControl w:val="0"/>
              <w:jc w:val="both"/>
              <w:rPr>
                <w:rFonts w:ascii="Cambria" w:hAnsi="Cambria"/>
                <w:i/>
                <w:iCs/>
                <w:sz w:val="20"/>
                <w:szCs w:val="20"/>
              </w:rPr>
            </w:pPr>
            <w:r w:rsidRPr="004E13E9">
              <w:rPr>
                <w:rFonts w:ascii="Cambria" w:hAnsi="Cambria"/>
                <w:i/>
                <w:iCs/>
                <w:sz w:val="20"/>
                <w:szCs w:val="20"/>
              </w:rPr>
              <w:t>Veuillez expliquer l'utilisation réelle du quota de prises accessoires.</w:t>
            </w:r>
          </w:p>
        </w:tc>
      </w:tr>
      <w:tr w:rsidR="00C56EAB" w:rsidRPr="0084719E" w14:paraId="5F5EA4D2" w14:textId="77777777" w:rsidTr="00BA0F91">
        <w:tc>
          <w:tcPr>
            <w:tcW w:w="518" w:type="dxa"/>
          </w:tcPr>
          <w:p w14:paraId="7FD59317" w14:textId="77777777" w:rsidR="00C56EAB" w:rsidRPr="004E13E9" w:rsidRDefault="00C56EAB" w:rsidP="00C56EAB">
            <w:pPr>
              <w:widowControl w:val="0"/>
              <w:rPr>
                <w:rFonts w:ascii="Cambria" w:hAnsi="Cambria"/>
                <w:b/>
                <w:sz w:val="20"/>
                <w:szCs w:val="20"/>
              </w:rPr>
            </w:pPr>
            <w:r w:rsidRPr="004E13E9">
              <w:rPr>
                <w:rFonts w:ascii="Cambria" w:hAnsi="Cambria"/>
                <w:b/>
                <w:sz w:val="20"/>
                <w:szCs w:val="20"/>
              </w:rPr>
              <w:t>6</w:t>
            </w:r>
          </w:p>
        </w:tc>
        <w:tc>
          <w:tcPr>
            <w:tcW w:w="2641" w:type="dxa"/>
          </w:tcPr>
          <w:p w14:paraId="3F78D211" w14:textId="77777777" w:rsidR="00C56EAB" w:rsidRPr="004E13E9" w:rsidRDefault="00C56EAB" w:rsidP="00C56EAB">
            <w:pPr>
              <w:widowControl w:val="0"/>
              <w:rPr>
                <w:rFonts w:ascii="Cambria" w:hAnsi="Cambria"/>
                <w:b/>
                <w:sz w:val="20"/>
                <w:szCs w:val="20"/>
              </w:rPr>
            </w:pPr>
            <w:r w:rsidRPr="004E13E9">
              <w:rPr>
                <w:rFonts w:ascii="Cambria" w:hAnsi="Cambria"/>
                <w:b/>
                <w:sz w:val="20"/>
                <w:szCs w:val="20"/>
              </w:rPr>
              <w:t>Pêcheries récréatives [et sportives] (paragraphe 11)</w:t>
            </w:r>
          </w:p>
        </w:tc>
        <w:tc>
          <w:tcPr>
            <w:tcW w:w="1871" w:type="dxa"/>
          </w:tcPr>
          <w:p w14:paraId="191FA1A2" w14:textId="77777777" w:rsidR="00C56EAB" w:rsidRPr="004E13E9" w:rsidRDefault="00C56EAB" w:rsidP="00C56EAB">
            <w:pPr>
              <w:widowControl w:val="0"/>
              <w:rPr>
                <w:rFonts w:ascii="Cambria" w:hAnsi="Cambria"/>
                <w:sz w:val="20"/>
                <w:szCs w:val="20"/>
              </w:rPr>
            </w:pPr>
          </w:p>
        </w:tc>
        <w:tc>
          <w:tcPr>
            <w:tcW w:w="1944" w:type="dxa"/>
          </w:tcPr>
          <w:p w14:paraId="6D8873F4" w14:textId="77777777" w:rsidR="00C56EAB" w:rsidRPr="004E13E9" w:rsidRDefault="00C56EAB" w:rsidP="00C56EAB">
            <w:pPr>
              <w:widowControl w:val="0"/>
              <w:rPr>
                <w:rFonts w:ascii="Cambria" w:hAnsi="Cambria"/>
                <w:sz w:val="20"/>
                <w:szCs w:val="20"/>
              </w:rPr>
            </w:pPr>
          </w:p>
        </w:tc>
        <w:tc>
          <w:tcPr>
            <w:tcW w:w="2087" w:type="dxa"/>
          </w:tcPr>
          <w:p w14:paraId="26D54902" w14:textId="77777777" w:rsidR="00C56EAB" w:rsidRPr="004E13E9" w:rsidRDefault="00C56EAB" w:rsidP="00C56EAB">
            <w:pPr>
              <w:widowControl w:val="0"/>
              <w:jc w:val="both"/>
              <w:rPr>
                <w:rFonts w:ascii="Cambria" w:hAnsi="Cambria"/>
                <w:sz w:val="20"/>
                <w:szCs w:val="20"/>
              </w:rPr>
            </w:pPr>
          </w:p>
        </w:tc>
      </w:tr>
      <w:tr w:rsidR="00C56EAB" w:rsidRPr="004E13E9" w14:paraId="50810B81" w14:textId="77777777" w:rsidTr="00BA0F91">
        <w:tc>
          <w:tcPr>
            <w:tcW w:w="518" w:type="dxa"/>
          </w:tcPr>
          <w:p w14:paraId="4CE5F6FD" w14:textId="77777777" w:rsidR="00C56EAB" w:rsidRPr="004E13E9" w:rsidRDefault="00C56EAB" w:rsidP="00C56EAB">
            <w:pPr>
              <w:widowControl w:val="0"/>
              <w:rPr>
                <w:rFonts w:ascii="Cambria" w:hAnsi="Cambria"/>
                <w:b/>
                <w:sz w:val="20"/>
                <w:szCs w:val="20"/>
              </w:rPr>
            </w:pPr>
            <w:r w:rsidRPr="004E13E9">
              <w:rPr>
                <w:rFonts w:ascii="Cambria" w:hAnsi="Cambria"/>
                <w:b/>
                <w:sz w:val="20"/>
                <w:szCs w:val="20"/>
              </w:rPr>
              <w:t>7</w:t>
            </w:r>
          </w:p>
        </w:tc>
        <w:tc>
          <w:tcPr>
            <w:tcW w:w="2641" w:type="dxa"/>
          </w:tcPr>
          <w:p w14:paraId="2D411490" w14:textId="77777777" w:rsidR="00C56EAB" w:rsidRPr="004E13E9" w:rsidRDefault="00C56EAB" w:rsidP="00C56EAB">
            <w:pPr>
              <w:widowControl w:val="0"/>
              <w:rPr>
                <w:rFonts w:ascii="Cambria" w:hAnsi="Cambria"/>
                <w:b/>
                <w:sz w:val="20"/>
                <w:szCs w:val="20"/>
              </w:rPr>
            </w:pPr>
            <w:r w:rsidRPr="004E13E9">
              <w:rPr>
                <w:rFonts w:ascii="Cambria" w:hAnsi="Cambria"/>
                <w:b/>
                <w:sz w:val="20"/>
                <w:szCs w:val="20"/>
              </w:rPr>
              <w:t>Transbordement en mer (paragraphe 14)</w:t>
            </w:r>
          </w:p>
        </w:tc>
        <w:tc>
          <w:tcPr>
            <w:tcW w:w="1871" w:type="dxa"/>
          </w:tcPr>
          <w:p w14:paraId="34BEAB2F" w14:textId="77777777" w:rsidR="00C56EAB" w:rsidRPr="004E13E9" w:rsidRDefault="00C56EAB" w:rsidP="00C56EAB">
            <w:pPr>
              <w:widowControl w:val="0"/>
              <w:rPr>
                <w:rFonts w:ascii="Cambria" w:hAnsi="Cambria"/>
                <w:sz w:val="20"/>
                <w:szCs w:val="20"/>
              </w:rPr>
            </w:pPr>
          </w:p>
        </w:tc>
        <w:tc>
          <w:tcPr>
            <w:tcW w:w="1944" w:type="dxa"/>
          </w:tcPr>
          <w:p w14:paraId="11B9FFDF" w14:textId="77777777" w:rsidR="00C56EAB" w:rsidRPr="004E13E9" w:rsidRDefault="00C56EAB" w:rsidP="00C56EAB">
            <w:pPr>
              <w:widowControl w:val="0"/>
              <w:rPr>
                <w:rFonts w:ascii="Cambria" w:hAnsi="Cambria"/>
                <w:sz w:val="20"/>
                <w:szCs w:val="20"/>
              </w:rPr>
            </w:pPr>
          </w:p>
        </w:tc>
        <w:tc>
          <w:tcPr>
            <w:tcW w:w="2087" w:type="dxa"/>
          </w:tcPr>
          <w:p w14:paraId="2799C0AA" w14:textId="77777777" w:rsidR="00C56EAB" w:rsidRPr="004E13E9" w:rsidRDefault="00C56EAB" w:rsidP="00C56EAB">
            <w:pPr>
              <w:widowControl w:val="0"/>
              <w:jc w:val="both"/>
              <w:rPr>
                <w:rFonts w:ascii="Cambria" w:hAnsi="Cambria"/>
                <w:sz w:val="20"/>
                <w:szCs w:val="20"/>
              </w:rPr>
            </w:pPr>
          </w:p>
        </w:tc>
      </w:tr>
    </w:tbl>
    <w:p w14:paraId="685E4B7C" w14:textId="77777777" w:rsidR="00C56EAB" w:rsidRPr="004E13E9" w:rsidRDefault="00C56EAB" w:rsidP="00C56EAB">
      <w:pPr>
        <w:widowControl w:val="0"/>
        <w:rPr>
          <w:rFonts w:eastAsia="MS Gothic" w:cs="Times New Roman"/>
          <w:lang w:val="fr-FR" w:eastAsia="fr-FR" w:bidi="fr-FR"/>
        </w:rPr>
      </w:pPr>
    </w:p>
    <w:p w14:paraId="0482CC76" w14:textId="77777777" w:rsidR="00C56EAB" w:rsidRPr="004E13E9" w:rsidRDefault="00C56EAB" w:rsidP="00C56EAB">
      <w:pPr>
        <w:widowControl w:val="0"/>
        <w:jc w:val="both"/>
        <w:rPr>
          <w:rFonts w:eastAsia="MS Gothic" w:cs="Times New Roman"/>
          <w:i/>
          <w:lang w:val="fr-FR" w:eastAsia="ja-JP" w:bidi="fr-FR"/>
        </w:rPr>
      </w:pPr>
    </w:p>
    <w:p w14:paraId="28EA7A60" w14:textId="77777777" w:rsidR="00C56EAB" w:rsidRPr="004E13E9" w:rsidRDefault="00C56EAB" w:rsidP="00C56EAB">
      <w:pPr>
        <w:widowControl w:val="0"/>
        <w:ind w:left="426" w:hanging="426"/>
        <w:jc w:val="both"/>
        <w:rPr>
          <w:rFonts w:eastAsia="MS Gothic" w:cs="Times New Roman"/>
          <w:b/>
          <w:lang w:val="fr-FR" w:eastAsia="fr-FR" w:bidi="fr-FR"/>
        </w:rPr>
      </w:pPr>
      <w:r w:rsidRPr="004E13E9">
        <w:rPr>
          <w:rFonts w:eastAsia="MS Gothic" w:cs="Times New Roman"/>
          <w:b/>
          <w:lang w:val="fr-FR" w:eastAsia="fr-FR" w:bidi="fr-FR"/>
        </w:rPr>
        <w:t>3.</w:t>
      </w:r>
      <w:r w:rsidRPr="004E13E9">
        <w:rPr>
          <w:rFonts w:eastAsia="MS Gothic" w:cs="Times New Roman"/>
          <w:b/>
          <w:lang w:val="fr-FR" w:eastAsia="fr-FR" w:bidi="fr-FR"/>
        </w:rPr>
        <w:tab/>
        <w:t>Mesures supplémentaires utilisées à des fins d’exécution ou de suivi, de contrôle et d'inspection (paragraphe 3)</w:t>
      </w:r>
    </w:p>
    <w:p w14:paraId="46656E7F" w14:textId="77777777" w:rsidR="00C56EAB" w:rsidRPr="004E13E9" w:rsidRDefault="00C56EAB" w:rsidP="00C56EAB">
      <w:pPr>
        <w:widowControl w:val="0"/>
        <w:jc w:val="both"/>
        <w:rPr>
          <w:rFonts w:eastAsia="MS Gothic" w:cs="Times New Roman"/>
          <w:b/>
          <w:lang w:val="fr-FR" w:eastAsia="fr-FR" w:bidi="fr-FR"/>
        </w:rPr>
      </w:pPr>
    </w:p>
    <w:p w14:paraId="3C4CCBC3" w14:textId="77777777" w:rsidR="00C56EAB" w:rsidRPr="004E13E9" w:rsidRDefault="00C56EAB" w:rsidP="00C56EAB">
      <w:pPr>
        <w:widowControl w:val="0"/>
        <w:jc w:val="both"/>
        <w:rPr>
          <w:rFonts w:eastAsia="MS Gothic" w:cs="Times New Roman"/>
          <w:i/>
          <w:iCs/>
          <w:lang w:val="fr-FR" w:eastAsia="fr-FR" w:bidi="fr-FR"/>
        </w:rPr>
      </w:pPr>
      <w:r w:rsidRPr="004E13E9">
        <w:rPr>
          <w:rFonts w:eastAsia="MS Gothic" w:cs="Times New Roman"/>
          <w:i/>
          <w:iCs/>
          <w:lang w:val="fr-FR" w:eastAsia="fr-FR" w:bidi="fr-FR"/>
        </w:rPr>
        <w:t>Cette section devrait inclure toutes les mesures supplémentaires utilisées à des fins d’exécution ou de suivi, de contrôle et d'inspection.</w:t>
      </w:r>
    </w:p>
    <w:p w14:paraId="5ED87BA0" w14:textId="77777777" w:rsidR="00D62E70" w:rsidRPr="004E13E9" w:rsidRDefault="00D62E70">
      <w:pPr>
        <w:rPr>
          <w:b/>
          <w:bCs/>
          <w:lang w:val="fr-FR"/>
        </w:rPr>
        <w:sectPr w:rsidR="00D62E70" w:rsidRPr="004E13E9" w:rsidSect="002506D6">
          <w:footnotePr>
            <w:numRestart w:val="eachSect"/>
          </w:footnotePr>
          <w:pgSz w:w="11907" w:h="16840" w:code="9"/>
          <w:pgMar w:top="1418" w:right="1418" w:bottom="1418" w:left="1418" w:header="851" w:footer="1134" w:gutter="0"/>
          <w:cols w:space="720"/>
          <w:docGrid w:linePitch="272"/>
        </w:sectPr>
      </w:pPr>
    </w:p>
    <w:p w14:paraId="53BC592C" w14:textId="24C23B52" w:rsidR="00C415C7" w:rsidRPr="004E13E9" w:rsidRDefault="00A402C0" w:rsidP="00A402C0">
      <w:pPr>
        <w:jc w:val="right"/>
        <w:rPr>
          <w:b/>
          <w:bCs/>
          <w:lang w:val="fr-FR"/>
        </w:rPr>
      </w:pPr>
      <w:r w:rsidRPr="004E13E9">
        <w:rPr>
          <w:b/>
          <w:bCs/>
          <w:lang w:val="fr-FR"/>
        </w:rPr>
        <w:t>Appendice 5</w:t>
      </w:r>
    </w:p>
    <w:p w14:paraId="509D83B0" w14:textId="77777777" w:rsidR="009B5A25" w:rsidRPr="004E13E9" w:rsidRDefault="009B5A25" w:rsidP="009B5A25">
      <w:pPr>
        <w:jc w:val="center"/>
        <w:rPr>
          <w:b/>
          <w:bCs/>
          <w:lang w:val="fr-FR"/>
        </w:rPr>
      </w:pPr>
      <w:r w:rsidRPr="004E13E9">
        <w:rPr>
          <w:b/>
          <w:bCs/>
          <w:lang w:val="fr-FR"/>
        </w:rPr>
        <w:t xml:space="preserve">Demandes d’éclaircissement en ce qui concerne la </w:t>
      </w:r>
      <w:hyperlink r:id="rId223" w:history="1">
        <w:r w:rsidRPr="004E13E9">
          <w:rPr>
            <w:rStyle w:val="Hyperlink"/>
            <w:b/>
            <w:u w:val="none"/>
            <w:lang w:val="fr-FR"/>
          </w:rPr>
          <w:t>Rec. 25-04</w:t>
        </w:r>
      </w:hyperlink>
      <w:r w:rsidRPr="004E13E9">
        <w:rPr>
          <w:b/>
          <w:bCs/>
          <w:lang w:val="fr-FR"/>
        </w:rPr>
        <w:t xml:space="preserve"> soumises par le</w:t>
      </w:r>
      <w:r w:rsidRPr="004E13E9">
        <w:rPr>
          <w:b/>
          <w:lang w:val="fr-FR"/>
        </w:rPr>
        <w:t xml:space="preserve"> </w:t>
      </w:r>
    </w:p>
    <w:p w14:paraId="78A6555E" w14:textId="490BEDC3" w:rsidR="009B5A25" w:rsidRPr="004E13E9" w:rsidRDefault="009B5A25" w:rsidP="009B5A25">
      <w:pPr>
        <w:jc w:val="center"/>
        <w:rPr>
          <w:lang w:val="fr-FR"/>
        </w:rPr>
      </w:pPr>
      <w:r w:rsidRPr="004E13E9">
        <w:rPr>
          <w:b/>
          <w:lang w:val="fr-FR"/>
        </w:rPr>
        <w:t>Consortium chargé de la mise en œuvre du Programme d’observateurs régionaux de l’ICCAT pour le thon rouge (ROP-BFT)</w:t>
      </w:r>
    </w:p>
    <w:p w14:paraId="45D1E4DB" w14:textId="2025F794" w:rsidR="009B5A25" w:rsidRPr="004E13E9" w:rsidRDefault="009B5A25" w:rsidP="009B5A25">
      <w:pPr>
        <w:jc w:val="center"/>
        <w:rPr>
          <w:b/>
          <w:bCs/>
          <w:lang w:val="fr-FR"/>
        </w:rPr>
      </w:pPr>
    </w:p>
    <w:tbl>
      <w:tblPr>
        <w:tblStyle w:val="TableNormal1"/>
        <w:tblpPr w:leftFromText="180" w:rightFromText="180" w:vertAnchor="text" w:tblpY="1"/>
        <w:tblOverlap w:val="never"/>
        <w:tblW w:w="499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8"/>
        <w:gridCol w:w="1733"/>
        <w:gridCol w:w="2110"/>
        <w:gridCol w:w="2138"/>
        <w:gridCol w:w="2137"/>
        <w:gridCol w:w="2137"/>
        <w:gridCol w:w="2135"/>
      </w:tblGrid>
      <w:tr w:rsidR="00BA361E" w:rsidRPr="0084719E" w14:paraId="2BDE05ED" w14:textId="77777777" w:rsidTr="00F204CE">
        <w:trPr>
          <w:cantSplit/>
          <w:tblHeader/>
        </w:trPr>
        <w:tc>
          <w:tcPr>
            <w:tcW w:w="571" w:type="pct"/>
            <w:vAlign w:val="center"/>
            <w:hideMark/>
          </w:tcPr>
          <w:p w14:paraId="164DB6C1" w14:textId="77777777" w:rsidR="00BA361E" w:rsidRPr="004E13E9" w:rsidRDefault="00BA361E" w:rsidP="00BA361E">
            <w:pPr>
              <w:spacing w:line="231" w:lineRule="exact"/>
              <w:contextualSpacing/>
              <w:jc w:val="center"/>
              <w:rPr>
                <w:rFonts w:ascii="Cambria" w:hAnsi="Cambria"/>
                <w:i/>
                <w:iCs/>
                <w:sz w:val="20"/>
                <w:szCs w:val="20"/>
                <w:lang w:val="fr-FR"/>
              </w:rPr>
            </w:pPr>
            <w:r w:rsidRPr="004E13E9">
              <w:rPr>
                <w:rFonts w:ascii="Cambria" w:eastAsia="Times New Roman" w:hAnsi="Cambria" w:cs="Times New Roman"/>
                <w:i/>
                <w:sz w:val="20"/>
                <w:szCs w:val="20"/>
                <w:lang w:val="fr-FR"/>
              </w:rPr>
              <w:t>Thème</w:t>
            </w:r>
          </w:p>
        </w:tc>
        <w:tc>
          <w:tcPr>
            <w:tcW w:w="619" w:type="pct"/>
            <w:vAlign w:val="center"/>
          </w:tcPr>
          <w:p w14:paraId="3E68C8FB" w14:textId="77777777" w:rsidR="00BA361E" w:rsidRPr="004E13E9" w:rsidRDefault="00BA361E" w:rsidP="00BA361E">
            <w:pPr>
              <w:spacing w:before="60" w:after="60" w:line="231" w:lineRule="exact"/>
              <w:ind w:left="102"/>
              <w:contextualSpacing/>
              <w:jc w:val="center"/>
              <w:rPr>
                <w:rFonts w:ascii="Cambria" w:hAnsi="Cambria"/>
                <w:i/>
                <w:iCs/>
                <w:spacing w:val="-1"/>
                <w:sz w:val="20"/>
                <w:szCs w:val="20"/>
                <w:lang w:val="fr-FR"/>
              </w:rPr>
            </w:pPr>
            <w:r w:rsidRPr="004E13E9">
              <w:rPr>
                <w:rFonts w:ascii="Cambria" w:eastAsia="Times New Roman" w:hAnsi="Cambria" w:cs="Times New Roman"/>
                <w:i/>
                <w:sz w:val="20"/>
                <w:szCs w:val="20"/>
                <w:lang w:val="fr-FR"/>
              </w:rPr>
              <w:t>État</w:t>
            </w:r>
          </w:p>
        </w:tc>
        <w:tc>
          <w:tcPr>
            <w:tcW w:w="754" w:type="pct"/>
            <w:vAlign w:val="center"/>
            <w:hideMark/>
          </w:tcPr>
          <w:p w14:paraId="54F3135F" w14:textId="77777777" w:rsidR="00BA361E" w:rsidRPr="004E13E9" w:rsidRDefault="00BA361E" w:rsidP="00BA361E">
            <w:pPr>
              <w:spacing w:before="60" w:after="60" w:line="231" w:lineRule="exact"/>
              <w:ind w:left="102"/>
              <w:contextualSpacing/>
              <w:jc w:val="center"/>
              <w:rPr>
                <w:rFonts w:ascii="Cambria" w:hAnsi="Cambria"/>
                <w:i/>
                <w:iCs/>
                <w:sz w:val="20"/>
                <w:szCs w:val="20"/>
                <w:lang w:val="fr-FR"/>
              </w:rPr>
            </w:pPr>
            <w:r w:rsidRPr="004E13E9">
              <w:rPr>
                <w:rFonts w:ascii="Cambria" w:eastAsia="Times New Roman" w:hAnsi="Cambria" w:cs="Times New Roman"/>
                <w:i/>
                <w:sz w:val="20"/>
                <w:szCs w:val="20"/>
                <w:lang w:val="fr-FR"/>
              </w:rPr>
              <w:t>Éclaircissement</w:t>
            </w:r>
          </w:p>
        </w:tc>
        <w:tc>
          <w:tcPr>
            <w:tcW w:w="764" w:type="pct"/>
            <w:vAlign w:val="center"/>
          </w:tcPr>
          <w:p w14:paraId="0C3AFEED" w14:textId="77777777" w:rsidR="00BA361E" w:rsidRPr="004E13E9" w:rsidRDefault="00BA361E" w:rsidP="00BA361E">
            <w:pPr>
              <w:spacing w:before="60" w:after="60" w:line="231" w:lineRule="exact"/>
              <w:ind w:left="102"/>
              <w:contextualSpacing/>
              <w:jc w:val="center"/>
              <w:rPr>
                <w:rFonts w:ascii="Cambria" w:hAnsi="Cambria"/>
                <w:i/>
                <w:iCs/>
                <w:spacing w:val="-1"/>
                <w:sz w:val="20"/>
                <w:szCs w:val="20"/>
                <w:lang w:val="fr-FR"/>
              </w:rPr>
            </w:pPr>
            <w:r w:rsidRPr="004E13E9">
              <w:rPr>
                <w:rFonts w:ascii="Cambria" w:eastAsia="Times New Roman" w:hAnsi="Cambria" w:cs="Times New Roman"/>
                <w:i/>
                <w:sz w:val="20"/>
                <w:szCs w:val="20"/>
                <w:lang w:val="fr-FR"/>
              </w:rPr>
              <w:t xml:space="preserve">Réponse de la </w:t>
            </w:r>
            <w:r w:rsidRPr="004E13E9">
              <w:rPr>
                <w:rFonts w:ascii="Cambria" w:hAnsi="Cambria"/>
                <w:i/>
                <w:iCs/>
                <w:spacing w:val="-1"/>
                <w:sz w:val="20"/>
                <w:szCs w:val="20"/>
              </w:rPr>
              <w:t>Türkiye</w:t>
            </w:r>
          </w:p>
        </w:tc>
        <w:tc>
          <w:tcPr>
            <w:tcW w:w="764" w:type="pct"/>
            <w:vAlign w:val="center"/>
          </w:tcPr>
          <w:p w14:paraId="4E5294A7" w14:textId="77777777" w:rsidR="00BA361E" w:rsidRPr="004E13E9" w:rsidRDefault="00BA361E" w:rsidP="00BA361E">
            <w:pPr>
              <w:spacing w:before="60" w:after="60" w:line="231" w:lineRule="exact"/>
              <w:ind w:left="102"/>
              <w:contextualSpacing/>
              <w:jc w:val="center"/>
              <w:rPr>
                <w:rFonts w:ascii="Cambria" w:eastAsia="Times New Roman" w:hAnsi="Cambria" w:cs="Times New Roman"/>
                <w:i/>
                <w:sz w:val="20"/>
                <w:szCs w:val="20"/>
                <w:lang w:val="fr-FR"/>
              </w:rPr>
            </w:pPr>
            <w:r w:rsidRPr="004E13E9">
              <w:rPr>
                <w:rFonts w:ascii="Cambria" w:eastAsia="Times New Roman" w:hAnsi="Cambria" w:cs="Times New Roman"/>
                <w:i/>
                <w:sz w:val="20"/>
                <w:szCs w:val="20"/>
                <w:lang w:val="fr-FR"/>
              </w:rPr>
              <w:t>Réponse de l’UE</w:t>
            </w:r>
          </w:p>
        </w:tc>
        <w:tc>
          <w:tcPr>
            <w:tcW w:w="764" w:type="pct"/>
            <w:vAlign w:val="center"/>
          </w:tcPr>
          <w:p w14:paraId="511D9A3E" w14:textId="77777777" w:rsidR="00BA361E" w:rsidRPr="004E13E9" w:rsidRDefault="00BA361E" w:rsidP="00BA361E">
            <w:pPr>
              <w:spacing w:before="60" w:after="60" w:line="231" w:lineRule="exact"/>
              <w:ind w:left="102"/>
              <w:contextualSpacing/>
              <w:jc w:val="center"/>
              <w:rPr>
                <w:rFonts w:ascii="Cambria" w:eastAsia="Times New Roman" w:hAnsi="Cambria" w:cs="Times New Roman"/>
                <w:i/>
                <w:sz w:val="20"/>
                <w:szCs w:val="20"/>
                <w:lang w:val="fr-FR"/>
              </w:rPr>
            </w:pPr>
            <w:r w:rsidRPr="004E13E9">
              <w:rPr>
                <w:rFonts w:ascii="Cambria" w:eastAsia="Times New Roman" w:hAnsi="Cambria" w:cs="Times New Roman"/>
                <w:i/>
                <w:sz w:val="20"/>
                <w:szCs w:val="20"/>
                <w:lang w:val="fr-FR"/>
              </w:rPr>
              <w:t>Commentaires du ROP-BFT</w:t>
            </w:r>
            <w:r w:rsidRPr="004E13E9">
              <w:rPr>
                <w:rFonts w:ascii="Cambria" w:eastAsia="Times New Roman" w:hAnsi="Cambria" w:cs="Times New Roman"/>
                <w:i/>
                <w:sz w:val="20"/>
                <w:szCs w:val="20"/>
                <w:vertAlign w:val="superscript"/>
                <w:lang w:val="fr-FR"/>
              </w:rPr>
              <w:footnoteReference w:id="35"/>
            </w:r>
          </w:p>
        </w:tc>
        <w:tc>
          <w:tcPr>
            <w:tcW w:w="763" w:type="pct"/>
            <w:vAlign w:val="center"/>
          </w:tcPr>
          <w:p w14:paraId="77B3129D" w14:textId="77777777" w:rsidR="00BA361E" w:rsidRPr="004E13E9" w:rsidRDefault="00BA361E" w:rsidP="00BA361E">
            <w:pPr>
              <w:spacing w:before="60" w:after="60" w:line="231" w:lineRule="exact"/>
              <w:ind w:left="102"/>
              <w:contextualSpacing/>
              <w:jc w:val="center"/>
              <w:rPr>
                <w:rFonts w:ascii="Cambria" w:eastAsia="Times New Roman" w:hAnsi="Cambria" w:cs="Times New Roman"/>
                <w:i/>
                <w:sz w:val="20"/>
                <w:szCs w:val="20"/>
                <w:lang w:val="fr-FR"/>
              </w:rPr>
            </w:pPr>
            <w:r w:rsidRPr="004E13E9">
              <w:rPr>
                <w:rFonts w:ascii="Cambria" w:eastAsia="Times New Roman" w:hAnsi="Cambria" w:cs="Times New Roman"/>
                <w:i/>
                <w:sz w:val="20"/>
                <w:szCs w:val="20"/>
                <w:lang w:val="fr-FR"/>
              </w:rPr>
              <w:t>Réponse de la Sous-commission 2</w:t>
            </w:r>
          </w:p>
        </w:tc>
      </w:tr>
      <w:tr w:rsidR="00BA361E" w:rsidRPr="0084719E" w14:paraId="05907A69" w14:textId="77777777" w:rsidTr="00F204CE">
        <w:trPr>
          <w:cantSplit/>
          <w:trHeight w:val="71"/>
        </w:trPr>
        <w:tc>
          <w:tcPr>
            <w:tcW w:w="571" w:type="pct"/>
            <w:vAlign w:val="center"/>
          </w:tcPr>
          <w:p w14:paraId="7F96165B" w14:textId="77777777" w:rsidR="00BA361E" w:rsidRPr="004E13E9" w:rsidRDefault="00BA361E" w:rsidP="00BA361E">
            <w:pPr>
              <w:spacing w:line="233" w:lineRule="exact"/>
              <w:ind w:left="102"/>
              <w:contextualSpacing/>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Rôle de l’observateur dans le suivi des transferts ultérieurs</w:t>
            </w:r>
          </w:p>
          <w:p w14:paraId="3BE4A947" w14:textId="77777777" w:rsidR="00BA361E" w:rsidRPr="004E13E9" w:rsidRDefault="00BA361E" w:rsidP="00BA361E">
            <w:pPr>
              <w:spacing w:line="233" w:lineRule="exact"/>
              <w:ind w:left="102"/>
              <w:contextualSpacing/>
              <w:rPr>
                <w:rFonts w:ascii="Cambria" w:eastAsia="Times New Roman" w:hAnsi="Cambria" w:cs="Times New Roman"/>
                <w:sz w:val="20"/>
                <w:szCs w:val="20"/>
                <w:lang w:val="fr-FR"/>
              </w:rPr>
            </w:pPr>
            <w:hyperlink r:id="rId224" w:history="1">
              <w:r w:rsidRPr="004E13E9">
                <w:rPr>
                  <w:rFonts w:ascii="Cambria" w:eastAsia="Times New Roman" w:hAnsi="Cambria" w:cs="Times New Roman"/>
                  <w:color w:val="0563C1"/>
                  <w:sz w:val="20"/>
                  <w:szCs w:val="20"/>
                  <w:lang w:val="fr-FR"/>
                </w:rPr>
                <w:t>Rec. 25-04</w:t>
              </w:r>
            </w:hyperlink>
            <w:r w:rsidRPr="004E13E9">
              <w:rPr>
                <w:rFonts w:ascii="Cambria" w:eastAsia="Times New Roman" w:hAnsi="Cambria" w:cs="Times New Roman"/>
                <w:sz w:val="20"/>
                <w:szCs w:val="20"/>
                <w:lang w:val="fr-FR"/>
              </w:rPr>
              <w:t xml:space="preserve">: paragraphes 2k) et 2l); et </w:t>
            </w:r>
          </w:p>
          <w:p w14:paraId="4E3EEB53" w14:textId="77777777" w:rsidR="00BA361E" w:rsidRPr="004E13E9" w:rsidRDefault="00BA361E" w:rsidP="00BA361E">
            <w:pPr>
              <w:spacing w:line="233" w:lineRule="exact"/>
              <w:ind w:left="102"/>
              <w:contextualSpacing/>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Paragraphe 101 – deuxième point.</w:t>
            </w:r>
            <w:r w:rsidRPr="004E13E9">
              <w:rPr>
                <w:rFonts w:ascii="Cambria" w:eastAsia="Times New Roman" w:hAnsi="Cambria" w:cs="Times New Roman"/>
                <w:sz w:val="20"/>
                <w:szCs w:val="20"/>
                <w:lang w:val="fr-FR"/>
              </w:rPr>
              <w:br/>
            </w:r>
          </w:p>
          <w:p w14:paraId="5ED6A385" w14:textId="77777777" w:rsidR="00BA361E" w:rsidRPr="004E13E9" w:rsidRDefault="00BA361E" w:rsidP="00BA361E">
            <w:pPr>
              <w:spacing w:line="233" w:lineRule="exact"/>
              <w:ind w:left="102"/>
              <w:contextualSpacing/>
              <w:jc w:val="both"/>
              <w:rPr>
                <w:rFonts w:ascii="Cambria" w:hAnsi="Cambria"/>
                <w:sz w:val="20"/>
                <w:szCs w:val="20"/>
                <w:lang w:val="fr-FR"/>
              </w:rPr>
            </w:pPr>
            <w:r w:rsidRPr="004E13E9">
              <w:rPr>
                <w:rFonts w:ascii="Cambria" w:eastAsia="Times New Roman" w:hAnsi="Cambria" w:cs="Times New Roman"/>
                <w:sz w:val="20"/>
                <w:szCs w:val="20"/>
                <w:lang w:val="fr-FR"/>
              </w:rPr>
              <w:t>Annexe 6 paragraphes viii-xvi</w:t>
            </w:r>
          </w:p>
        </w:tc>
        <w:tc>
          <w:tcPr>
            <w:tcW w:w="619" w:type="pct"/>
            <w:vAlign w:val="center"/>
          </w:tcPr>
          <w:p w14:paraId="6B4C1362" w14:textId="77777777" w:rsidR="00BA361E" w:rsidRPr="004E13E9" w:rsidRDefault="00BA361E" w:rsidP="00BA361E">
            <w:pPr>
              <w:spacing w:before="60" w:after="60"/>
              <w:ind w:left="102" w:right="102"/>
              <w:contextualSpacing/>
              <w:jc w:val="center"/>
              <w:rPr>
                <w:rFonts w:ascii="Cambria" w:hAnsi="Cambria"/>
                <w:sz w:val="20"/>
                <w:szCs w:val="20"/>
                <w:lang w:val="fr-FR"/>
              </w:rPr>
            </w:pPr>
            <w:r w:rsidRPr="004E13E9">
              <w:rPr>
                <w:rFonts w:ascii="Cambria" w:eastAsia="Times New Roman" w:hAnsi="Cambria" w:cs="Times New Roman"/>
                <w:sz w:val="20"/>
                <w:szCs w:val="20"/>
                <w:lang w:val="fr-FR"/>
              </w:rPr>
              <w:t>Nouvelle demande d’éclaircissement</w:t>
            </w:r>
          </w:p>
        </w:tc>
        <w:tc>
          <w:tcPr>
            <w:tcW w:w="754" w:type="pct"/>
            <w:vAlign w:val="center"/>
          </w:tcPr>
          <w:p w14:paraId="60909049"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Le consortium peut-il préciser si l'observateur régional a un rôle à jouer dans le suivi des opérations ultérieures de transfert, sachant que celles-ci peuvent avoir lieu simultanément avec le premier transfert et que la Recommandation semble limiter explicitement le rôle de l'observateur au suivi du premier transfert uniquement ?</w:t>
            </w:r>
          </w:p>
          <w:p w14:paraId="24FC19C3" w14:textId="77777777" w:rsidR="00BA361E" w:rsidRPr="004E13E9" w:rsidRDefault="00BA361E" w:rsidP="00BA361E">
            <w:pPr>
              <w:spacing w:before="60" w:after="60"/>
              <w:ind w:left="102" w:right="102"/>
              <w:contextualSpacing/>
              <w:jc w:val="both"/>
              <w:rPr>
                <w:rFonts w:ascii="Cambria" w:hAnsi="Cambria"/>
                <w:sz w:val="20"/>
                <w:szCs w:val="20"/>
                <w:lang w:val="fr-FR"/>
              </w:rPr>
            </w:pPr>
          </w:p>
          <w:p w14:paraId="76750E20"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Existe-t-il des situations dans lesquelles un transfert ultérieur doit être suivi comme s'il s'agissait d'un premier transfert ?</w:t>
            </w:r>
          </w:p>
        </w:tc>
        <w:tc>
          <w:tcPr>
            <w:tcW w:w="764" w:type="pct"/>
            <w:vAlign w:val="center"/>
          </w:tcPr>
          <w:p w14:paraId="03ABDBFD"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hAnsi="Cambria"/>
                <w:sz w:val="20"/>
                <w:szCs w:val="20"/>
                <w:lang w:val="fr-FR"/>
              </w:rPr>
              <w:t>Les transferts ultérieurs sont effectués sous la responsabilité de l'observateur de la CPC.</w:t>
            </w:r>
          </w:p>
          <w:p w14:paraId="73231DD9" w14:textId="77777777" w:rsidR="00BA361E" w:rsidRPr="004E13E9" w:rsidRDefault="00BA361E" w:rsidP="00BA361E">
            <w:pPr>
              <w:spacing w:before="60" w:after="60"/>
              <w:ind w:left="102" w:right="102"/>
              <w:contextualSpacing/>
              <w:jc w:val="both"/>
              <w:rPr>
                <w:rFonts w:ascii="Cambria" w:hAnsi="Cambria"/>
                <w:sz w:val="20"/>
                <w:szCs w:val="20"/>
                <w:lang w:val="fr-FR"/>
              </w:rPr>
            </w:pPr>
          </w:p>
          <w:p w14:paraId="253CFCBA"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hAnsi="Cambria"/>
                <w:sz w:val="20"/>
                <w:szCs w:val="20"/>
                <w:lang w:val="fr-FR"/>
              </w:rPr>
              <w:t>Dans la pratique actuelle, la participation de l'observateur du ROP BFT n'a pas été jugée nécessaire en ce qui concerne les transferts ultérieurs.</w:t>
            </w:r>
          </w:p>
          <w:p w14:paraId="2FB83ED1" w14:textId="77777777" w:rsidR="00BA361E" w:rsidRPr="004E13E9" w:rsidRDefault="00BA361E" w:rsidP="00BA361E">
            <w:pPr>
              <w:spacing w:before="60" w:after="60"/>
              <w:ind w:left="102" w:right="102"/>
              <w:contextualSpacing/>
              <w:jc w:val="both"/>
              <w:rPr>
                <w:rFonts w:ascii="Cambria" w:hAnsi="Cambria"/>
                <w:sz w:val="20"/>
                <w:szCs w:val="20"/>
                <w:lang w:val="fr-FR"/>
              </w:rPr>
            </w:pPr>
          </w:p>
          <w:p w14:paraId="4A4EAA32"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hAnsi="Cambria"/>
                <w:sz w:val="20"/>
                <w:szCs w:val="20"/>
                <w:lang w:val="fr-FR"/>
              </w:rPr>
              <w:t>La présence d'un observateur du ROP BFT pour les transferts ultérieurs n'a jamais été requise jusqu'à présent.</w:t>
            </w:r>
          </w:p>
        </w:tc>
        <w:tc>
          <w:tcPr>
            <w:tcW w:w="764" w:type="pct"/>
          </w:tcPr>
          <w:p w14:paraId="46E42AF0"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 xml:space="preserve">Oui, il y en a. Opérations qui se déroulent simultanément du senneur (PS) au remorqueur 1 (TW1) et remorqueur 2 (TW2). Le thon rouge traverse du TW1 au TW2 comme dans un tunnel. Enfin, le thon rouge est transféré dans les deux cages en une seule opération. Le thon rouge dans le TW2 est passé directement du PS, puisqu'il n'était pas auparavant dans le TW1.   </w:t>
            </w:r>
          </w:p>
          <w:p w14:paraId="3A500CCF" w14:textId="77777777" w:rsidR="00BA361E" w:rsidRPr="004E13E9" w:rsidRDefault="00BA361E" w:rsidP="00BA361E">
            <w:pPr>
              <w:spacing w:before="60" w:after="60"/>
              <w:ind w:left="102" w:right="102"/>
              <w:contextualSpacing/>
              <w:jc w:val="both"/>
              <w:rPr>
                <w:rFonts w:ascii="Cambria" w:hAnsi="Cambria"/>
                <w:sz w:val="20"/>
                <w:szCs w:val="20"/>
                <w:lang w:val="fr-FR"/>
              </w:rPr>
            </w:pPr>
          </w:p>
          <w:p w14:paraId="2C082FF3"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 xml:space="preserve">Dans ce cas, l’observateur régional (ROB) devrait connaître la quantité dans le TW2 et devrait donc revoir la vidéo du thon rouge entrant dans le TW2. Dans le cas contraire, le ROB n'aurait connaissance que du thon rouge passant du PS au TW1, et non de la quantité "retenue" dans le TW1.  </w:t>
            </w:r>
          </w:p>
        </w:tc>
        <w:tc>
          <w:tcPr>
            <w:tcW w:w="764" w:type="pct"/>
          </w:tcPr>
          <w:p w14:paraId="51245372"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 xml:space="preserve">Il peut y avoir et il y a des cas où deux premiers transferts, l'un après l'autre, sont effectués du filet à la cage. Les deux cages sont attachées au filet l'une après l'autre. Dans ces cas, l'observateur contrôle les deux et deux ITD distinctes sont établis. </w:t>
            </w:r>
          </w:p>
          <w:p w14:paraId="79A211E7" w14:textId="77777777" w:rsidR="00BA361E" w:rsidRPr="004E13E9" w:rsidRDefault="00BA361E" w:rsidP="00BA361E">
            <w:pPr>
              <w:spacing w:before="60" w:after="60"/>
              <w:ind w:left="102" w:right="102"/>
              <w:contextualSpacing/>
              <w:jc w:val="both"/>
              <w:rPr>
                <w:rFonts w:ascii="Cambria" w:hAnsi="Cambria"/>
                <w:sz w:val="20"/>
                <w:szCs w:val="20"/>
                <w:lang w:val="fr-FR"/>
              </w:rPr>
            </w:pPr>
          </w:p>
          <w:p w14:paraId="5995D4C9"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Il s'agit toutefois d'une situation différente de celle dans laquelle la capture est d'abord transférée dans la cage lors d’un premier transfert, puis une plus petite quantité est transférée dans une deuxième cage attachée à la première par un autre transfert.</w:t>
            </w:r>
          </w:p>
          <w:p w14:paraId="64110540" w14:textId="77777777" w:rsidR="00BA361E" w:rsidRPr="004E13E9" w:rsidRDefault="00BA361E" w:rsidP="00BA361E">
            <w:pPr>
              <w:spacing w:before="60" w:after="60"/>
              <w:ind w:left="102" w:right="102"/>
              <w:contextualSpacing/>
              <w:jc w:val="both"/>
              <w:rPr>
                <w:rFonts w:ascii="Cambria" w:hAnsi="Cambria"/>
                <w:sz w:val="20"/>
                <w:szCs w:val="20"/>
                <w:lang w:val="fr-FR"/>
              </w:rPr>
            </w:pPr>
          </w:p>
          <w:p w14:paraId="7C03471B"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 xml:space="preserve">Par définition, il est impossible de transférer des poissons du filet à deux cages en une seule opération de transfert. Il doit y avoir soit un deuxième premier transfert du filet vers la deuxième cage, soit un nouveau transfert de la première cage vers la deuxième. Ce deuxième scénario est en fait discuté dans le rapport annuel avec une image (PA2_601/25, Annexe 1 - ROP-BFT : Rapport de mise en œuvre du Consortium. Section 3.2.1.1.1, "Transferts multiples", à la page 14). </w:t>
            </w:r>
          </w:p>
          <w:p w14:paraId="24CBD55D" w14:textId="77777777" w:rsidR="00BA361E" w:rsidRPr="004E13E9" w:rsidRDefault="00BA361E" w:rsidP="00BA361E">
            <w:pPr>
              <w:spacing w:before="60" w:after="60"/>
              <w:ind w:left="102" w:right="102"/>
              <w:contextualSpacing/>
              <w:jc w:val="both"/>
              <w:rPr>
                <w:rFonts w:ascii="Cambria" w:hAnsi="Cambria"/>
                <w:sz w:val="20"/>
                <w:szCs w:val="20"/>
                <w:lang w:val="fr-FR"/>
              </w:rPr>
            </w:pPr>
          </w:p>
          <w:p w14:paraId="3AC522AF"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Dans le scénario décrit par l'UE, comment l'opération serait-elle enregistrée dans l’ITD?</w:t>
            </w:r>
          </w:p>
          <w:p w14:paraId="37D05B82" w14:textId="77777777" w:rsidR="00BA361E" w:rsidRPr="004E13E9" w:rsidRDefault="00BA361E" w:rsidP="00BA361E">
            <w:pPr>
              <w:spacing w:before="60" w:after="60"/>
              <w:ind w:left="102" w:right="102"/>
              <w:contextualSpacing/>
              <w:jc w:val="both"/>
              <w:rPr>
                <w:rFonts w:ascii="Cambria" w:hAnsi="Cambria"/>
                <w:sz w:val="20"/>
                <w:szCs w:val="20"/>
                <w:lang w:val="fr-FR"/>
              </w:rPr>
            </w:pPr>
          </w:p>
          <w:p w14:paraId="4F534C17"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Si cette situation de deux transferts physiques de poissons dans des cages séparées doit être considérée comme une seule, il est important que la manière dont cela doit être enregistré soit claire.</w:t>
            </w:r>
          </w:p>
          <w:p w14:paraId="499ADB3B"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p>
          <w:p w14:paraId="54D94E35" w14:textId="77777777" w:rsidR="00BA361E" w:rsidRPr="004E13E9" w:rsidRDefault="00BA361E" w:rsidP="00BA361E">
            <w:pPr>
              <w:spacing w:before="60" w:after="60"/>
              <w:ind w:left="102" w:right="102"/>
              <w:contextualSpacing/>
              <w:jc w:val="both"/>
              <w:rPr>
                <w:rFonts w:ascii="Cambria" w:eastAsia="Times New Roman" w:hAnsi="Cambria" w:cs="Times New Roman"/>
                <w:b/>
                <w:bCs/>
                <w:sz w:val="20"/>
                <w:szCs w:val="20"/>
                <w:lang w:val="fr-FR"/>
              </w:rPr>
            </w:pPr>
            <w:r w:rsidRPr="004E13E9">
              <w:rPr>
                <w:rFonts w:ascii="Cambria" w:eastAsia="Times New Roman" w:hAnsi="Cambria" w:cs="Times New Roman"/>
                <w:b/>
                <w:bCs/>
                <w:sz w:val="20"/>
                <w:szCs w:val="20"/>
                <w:lang w:val="fr-FR"/>
              </w:rPr>
              <w:t>Commentaire à la réponse formulée par l’UE :</w:t>
            </w:r>
          </w:p>
          <w:p w14:paraId="2F9A370C"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Cette interprétation n'est pas étayée par la Recommandation. TW1 au TW2 est un autre transfert. L'observateur n'est pas responsable de l'estimation du nombre de poissons restant dans la cage, mais seulement du nombre de poissons transférés.</w:t>
            </w:r>
          </w:p>
        </w:tc>
        <w:tc>
          <w:tcPr>
            <w:tcW w:w="763" w:type="pct"/>
          </w:tcPr>
          <w:p w14:paraId="4A3EA17F" w14:textId="77777777" w:rsidR="00BA361E" w:rsidRPr="0084719E" w:rsidRDefault="00BA361E" w:rsidP="00BA361E">
            <w:pPr>
              <w:spacing w:before="60" w:after="60"/>
              <w:ind w:left="102" w:right="102"/>
              <w:contextualSpacing/>
              <w:jc w:val="both"/>
              <w:rPr>
                <w:rFonts w:ascii="Cambria" w:hAnsi="Cambria"/>
                <w:sz w:val="20"/>
                <w:szCs w:val="20"/>
                <w:lang w:val="fr-FR"/>
              </w:rPr>
            </w:pPr>
            <w:r w:rsidRPr="0084719E">
              <w:rPr>
                <w:rFonts w:ascii="Cambria" w:eastAsia="Times New Roman" w:hAnsi="Cambria" w:cs="Times New Roman"/>
                <w:sz w:val="20"/>
                <w:szCs w:val="20"/>
                <w:lang w:val="fr-FR"/>
              </w:rPr>
              <w:t>La CPC devra informer le Consortium de la manière dont l'opération de transfert vers plus d'une cage sera considérée :</w:t>
            </w:r>
          </w:p>
          <w:p w14:paraId="5FC672AE" w14:textId="77777777" w:rsidR="00BA361E" w:rsidRPr="0084719E" w:rsidRDefault="00BA361E" w:rsidP="00487A5C">
            <w:pPr>
              <w:numPr>
                <w:ilvl w:val="0"/>
                <w:numId w:val="62"/>
              </w:numPr>
              <w:spacing w:before="60" w:after="60"/>
              <w:ind w:left="194" w:right="102" w:hanging="194"/>
              <w:contextualSpacing/>
              <w:jc w:val="both"/>
              <w:rPr>
                <w:rFonts w:ascii="Cambria" w:hAnsi="Cambria"/>
                <w:sz w:val="20"/>
                <w:szCs w:val="20"/>
                <w:lang w:val="fr-FR"/>
              </w:rPr>
            </w:pPr>
            <w:r w:rsidRPr="0084719E">
              <w:rPr>
                <w:rFonts w:ascii="Cambria" w:hAnsi="Cambria" w:cs="Times New Roman"/>
                <w:sz w:val="20"/>
                <w:szCs w:val="20"/>
                <w:lang w:val="fr-FR"/>
              </w:rPr>
              <w:t>Lorsque deux premiers transferts sont effectués du filet à la cage, l'un après l'autre, et que les deux cages sont attachées au filet de manière séquentielle. Dans ces cas, le ROP contrôle les deux transferts et deux ITD distinctes sont établies.</w:t>
            </w:r>
          </w:p>
          <w:p w14:paraId="5B2A6C7A" w14:textId="33E6C128" w:rsidR="00BA361E" w:rsidRPr="0084719E" w:rsidRDefault="00BA361E" w:rsidP="00487A5C">
            <w:pPr>
              <w:numPr>
                <w:ilvl w:val="0"/>
                <w:numId w:val="62"/>
              </w:numPr>
              <w:spacing w:before="60" w:after="60"/>
              <w:ind w:left="194" w:right="102" w:hanging="194"/>
              <w:contextualSpacing/>
              <w:jc w:val="both"/>
              <w:rPr>
                <w:rFonts w:ascii="Cambria" w:hAnsi="Cambria" w:cs="Times New Roman"/>
                <w:sz w:val="20"/>
                <w:szCs w:val="20"/>
                <w:lang w:val="fr-FR"/>
              </w:rPr>
            </w:pPr>
            <w:r w:rsidRPr="0084719E">
              <w:rPr>
                <w:rFonts w:ascii="Cambria" w:hAnsi="Cambria" w:cs="Times New Roman"/>
                <w:sz w:val="20"/>
                <w:szCs w:val="20"/>
                <w:lang w:val="fr-FR"/>
              </w:rPr>
              <w:t>Lorsque la prise est d'abord transférée dans une première cage par le biais d'un premier transfert, puis qu'une quantité est transférée</w:t>
            </w:r>
            <w:r w:rsidR="0063153A" w:rsidRPr="0084719E">
              <w:rPr>
                <w:rFonts w:ascii="Cambria" w:hAnsi="Cambria" w:cs="Times New Roman"/>
                <w:sz w:val="20"/>
                <w:szCs w:val="20"/>
                <w:lang w:val="fr-FR"/>
              </w:rPr>
              <w:t xml:space="preserve"> simultanément</w:t>
            </w:r>
            <w:r w:rsidRPr="0084719E">
              <w:rPr>
                <w:rFonts w:ascii="Cambria" w:hAnsi="Cambria" w:cs="Times New Roman"/>
                <w:sz w:val="20"/>
                <w:szCs w:val="20"/>
                <w:lang w:val="fr-FR"/>
              </w:rPr>
              <w:t xml:space="preserve"> dans une deuxième cage attachée à la première dans le cadre du même transfert, dans ce cas, </w:t>
            </w:r>
            <w:r w:rsidR="0063153A" w:rsidRPr="0084719E">
              <w:rPr>
                <w:rFonts w:ascii="Cambria" w:hAnsi="Cambria" w:cs="Times New Roman"/>
                <w:sz w:val="20"/>
                <w:szCs w:val="20"/>
                <w:lang w:val="fr-FR"/>
              </w:rPr>
              <w:t>deux</w:t>
            </w:r>
            <w:r w:rsidRPr="0084719E">
              <w:rPr>
                <w:rFonts w:ascii="Cambria" w:hAnsi="Cambria" w:cs="Times New Roman"/>
                <w:sz w:val="20"/>
                <w:szCs w:val="20"/>
                <w:lang w:val="fr-FR"/>
              </w:rPr>
              <w:t xml:space="preserve"> premier</w:t>
            </w:r>
            <w:r w:rsidR="0063153A" w:rsidRPr="0084719E">
              <w:rPr>
                <w:rFonts w:ascii="Cambria" w:hAnsi="Cambria" w:cs="Times New Roman"/>
                <w:sz w:val="20"/>
                <w:szCs w:val="20"/>
                <w:lang w:val="fr-FR"/>
              </w:rPr>
              <w:t>s</w:t>
            </w:r>
            <w:r w:rsidRPr="0084719E">
              <w:rPr>
                <w:rFonts w:ascii="Cambria" w:hAnsi="Cambria" w:cs="Times New Roman"/>
                <w:sz w:val="20"/>
                <w:szCs w:val="20"/>
                <w:lang w:val="fr-FR"/>
              </w:rPr>
              <w:t xml:space="preserve"> transfert</w:t>
            </w:r>
            <w:r w:rsidR="0063153A" w:rsidRPr="0084719E">
              <w:rPr>
                <w:rFonts w:ascii="Cambria" w:hAnsi="Cambria" w:cs="Times New Roman"/>
                <w:sz w:val="20"/>
                <w:szCs w:val="20"/>
                <w:lang w:val="fr-FR"/>
              </w:rPr>
              <w:t>s</w:t>
            </w:r>
            <w:r w:rsidRPr="0084719E">
              <w:rPr>
                <w:rFonts w:ascii="Cambria" w:hAnsi="Cambria" w:cs="Times New Roman"/>
                <w:sz w:val="20"/>
                <w:szCs w:val="20"/>
                <w:lang w:val="fr-FR"/>
              </w:rPr>
              <w:t xml:space="preserve"> </w:t>
            </w:r>
            <w:r w:rsidR="00376CE1" w:rsidRPr="0084719E">
              <w:rPr>
                <w:rFonts w:ascii="Cambria" w:hAnsi="Cambria" w:cs="Times New Roman"/>
                <w:sz w:val="20"/>
                <w:szCs w:val="20"/>
                <w:lang w:val="fr-FR"/>
              </w:rPr>
              <w:t>sont</w:t>
            </w:r>
            <w:r w:rsidRPr="0084719E">
              <w:rPr>
                <w:rFonts w:ascii="Cambria" w:hAnsi="Cambria" w:cs="Times New Roman"/>
                <w:sz w:val="20"/>
                <w:szCs w:val="20"/>
                <w:lang w:val="fr-FR"/>
              </w:rPr>
              <w:t xml:space="preserve"> considéré</w:t>
            </w:r>
            <w:r w:rsidR="00376CE1" w:rsidRPr="0084719E">
              <w:rPr>
                <w:rFonts w:ascii="Cambria" w:hAnsi="Cambria" w:cs="Times New Roman"/>
                <w:sz w:val="20"/>
                <w:szCs w:val="20"/>
                <w:lang w:val="fr-FR"/>
              </w:rPr>
              <w:t>s</w:t>
            </w:r>
            <w:r w:rsidRPr="0084719E">
              <w:rPr>
                <w:rFonts w:ascii="Cambria" w:hAnsi="Cambria" w:cs="Times New Roman"/>
                <w:sz w:val="20"/>
                <w:szCs w:val="20"/>
                <w:lang w:val="fr-FR"/>
              </w:rPr>
              <w:t xml:space="preserve"> pour les deux cages et le processus doit être entièrement contrôlé par le ROP.</w:t>
            </w:r>
          </w:p>
        </w:tc>
      </w:tr>
      <w:tr w:rsidR="00BA361E" w:rsidRPr="0084719E" w14:paraId="241B1AE5" w14:textId="77777777" w:rsidTr="00F204CE">
        <w:trPr>
          <w:cantSplit/>
        </w:trPr>
        <w:tc>
          <w:tcPr>
            <w:tcW w:w="571" w:type="pct"/>
            <w:vAlign w:val="center"/>
          </w:tcPr>
          <w:p w14:paraId="12B4CBD0" w14:textId="77777777" w:rsidR="00BA361E" w:rsidRPr="004E13E9" w:rsidRDefault="00BA361E" w:rsidP="00BA361E">
            <w:pPr>
              <w:ind w:left="102" w:right="-8"/>
              <w:contextualSpacing/>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Standards minimum applicables aux procédures d’enregistrement vidéo : Affichage du numéro de la cage</w:t>
            </w:r>
          </w:p>
          <w:p w14:paraId="3CFBB0D9" w14:textId="77777777" w:rsidR="00BA361E" w:rsidRPr="004E13E9" w:rsidRDefault="00BA361E" w:rsidP="00BA361E">
            <w:pPr>
              <w:spacing w:line="233" w:lineRule="exact"/>
              <w:ind w:left="102" w:right="125"/>
              <w:contextualSpacing/>
              <w:jc w:val="both"/>
              <w:rPr>
                <w:rFonts w:ascii="Cambria" w:hAnsi="Cambria"/>
                <w:sz w:val="20"/>
                <w:szCs w:val="20"/>
                <w:lang w:val="fr-FR"/>
              </w:rPr>
            </w:pPr>
            <w:hyperlink r:id="rId225" w:history="1">
              <w:r w:rsidRPr="004E13E9">
                <w:rPr>
                  <w:rFonts w:ascii="Cambria" w:eastAsia="Times New Roman" w:hAnsi="Cambria" w:cs="Times New Roman"/>
                  <w:color w:val="0563C1"/>
                  <w:sz w:val="20"/>
                  <w:szCs w:val="20"/>
                  <w:lang w:val="fr-FR"/>
                </w:rPr>
                <w:t>Rec. 25-04</w:t>
              </w:r>
            </w:hyperlink>
            <w:r w:rsidRPr="004E13E9">
              <w:rPr>
                <w:rFonts w:ascii="Cambria" w:eastAsia="Times New Roman" w:hAnsi="Cambria" w:cs="Times New Roman"/>
                <w:sz w:val="20"/>
                <w:szCs w:val="20"/>
                <w:lang w:val="fr-FR"/>
              </w:rPr>
              <w:t xml:space="preserve"> : Annexe 8 paragraphe 1a)</w:t>
            </w:r>
          </w:p>
        </w:tc>
        <w:tc>
          <w:tcPr>
            <w:tcW w:w="619" w:type="pct"/>
            <w:vAlign w:val="center"/>
          </w:tcPr>
          <w:p w14:paraId="1EBC36D9" w14:textId="77777777" w:rsidR="00BA361E" w:rsidRPr="004E13E9" w:rsidRDefault="00BA361E" w:rsidP="00BA361E">
            <w:pPr>
              <w:spacing w:before="60" w:after="60"/>
              <w:ind w:left="94" w:right="135"/>
              <w:contextualSpacing/>
              <w:jc w:val="center"/>
              <w:rPr>
                <w:rFonts w:ascii="Cambria" w:hAnsi="Cambria"/>
                <w:sz w:val="20"/>
                <w:szCs w:val="20"/>
                <w:lang w:val="fr-FR"/>
              </w:rPr>
            </w:pPr>
            <w:r w:rsidRPr="004E13E9">
              <w:rPr>
                <w:rFonts w:ascii="Cambria" w:eastAsia="Times New Roman" w:hAnsi="Cambria" w:cs="Times New Roman"/>
                <w:sz w:val="20"/>
                <w:szCs w:val="20"/>
                <w:lang w:val="fr-FR"/>
              </w:rPr>
              <w:t>Nouvelle demande d’éclaircissement</w:t>
            </w:r>
          </w:p>
        </w:tc>
        <w:tc>
          <w:tcPr>
            <w:tcW w:w="754" w:type="pct"/>
            <w:vAlign w:val="center"/>
          </w:tcPr>
          <w:p w14:paraId="3590D748" w14:textId="77777777" w:rsidR="00BA361E" w:rsidRPr="004E13E9" w:rsidRDefault="00BA361E" w:rsidP="00BA361E">
            <w:pPr>
              <w:spacing w:before="60" w:after="60"/>
              <w:ind w:left="94" w:right="135"/>
              <w:contextualSpacing/>
              <w:jc w:val="both"/>
              <w:rPr>
                <w:rFonts w:ascii="Cambria" w:hAnsi="Cambria"/>
                <w:sz w:val="20"/>
                <w:szCs w:val="20"/>
                <w:lang w:val="fr-FR"/>
              </w:rPr>
            </w:pPr>
            <w:r w:rsidRPr="004E13E9">
              <w:rPr>
                <w:rFonts w:ascii="Cambria" w:eastAsia="Times New Roman" w:hAnsi="Cambria" w:cs="Times New Roman"/>
                <w:sz w:val="20"/>
                <w:szCs w:val="20"/>
                <w:lang w:val="fr-FR"/>
              </w:rPr>
              <w:t>L'annexe 8 s'applique aux opérations de transfert, de mise en cage et de libération.</w:t>
            </w:r>
          </w:p>
          <w:p w14:paraId="109FC4B1" w14:textId="77777777" w:rsidR="00BA361E" w:rsidRPr="004E13E9" w:rsidRDefault="00BA361E" w:rsidP="00BA361E">
            <w:pPr>
              <w:spacing w:before="60" w:after="60"/>
              <w:ind w:left="94" w:right="135"/>
              <w:contextualSpacing/>
              <w:jc w:val="both"/>
              <w:rPr>
                <w:rFonts w:ascii="Cambria" w:hAnsi="Cambria"/>
                <w:sz w:val="20"/>
                <w:szCs w:val="20"/>
                <w:lang w:val="fr-FR"/>
              </w:rPr>
            </w:pPr>
            <w:r w:rsidRPr="004E13E9">
              <w:rPr>
                <w:rFonts w:ascii="Cambria" w:eastAsia="Times New Roman" w:hAnsi="Cambria" w:cs="Times New Roman"/>
                <w:sz w:val="20"/>
                <w:szCs w:val="20"/>
                <w:lang w:val="fr-FR"/>
              </w:rPr>
              <w:t>Le paragraphe 1a exige que le numéro de cage (tel qu'indiqué dans l'ITD) soit affiché au début et/ou à la fin de la vidéo.</w:t>
            </w:r>
          </w:p>
          <w:p w14:paraId="5C49847A" w14:textId="77777777" w:rsidR="00BA361E" w:rsidRPr="004E13E9" w:rsidRDefault="00BA361E" w:rsidP="00BA361E">
            <w:pPr>
              <w:spacing w:before="60" w:after="60"/>
              <w:ind w:left="94" w:right="135"/>
              <w:contextualSpacing/>
              <w:jc w:val="both"/>
              <w:rPr>
                <w:rFonts w:ascii="Cambria" w:hAnsi="Cambria"/>
                <w:sz w:val="20"/>
                <w:szCs w:val="20"/>
                <w:lang w:val="fr-FR"/>
              </w:rPr>
            </w:pPr>
          </w:p>
          <w:p w14:paraId="0B6C35C8" w14:textId="77777777" w:rsidR="00BA361E" w:rsidRPr="004E13E9" w:rsidRDefault="00BA361E" w:rsidP="00BA361E">
            <w:pPr>
              <w:spacing w:before="60" w:after="60"/>
              <w:ind w:left="94" w:right="135"/>
              <w:contextualSpacing/>
              <w:jc w:val="both"/>
              <w:rPr>
                <w:rFonts w:ascii="Cambria" w:hAnsi="Cambria"/>
                <w:sz w:val="20"/>
                <w:szCs w:val="20"/>
                <w:lang w:val="fr-FR"/>
              </w:rPr>
            </w:pPr>
            <w:r w:rsidRPr="004E13E9">
              <w:rPr>
                <w:rFonts w:ascii="Cambria" w:eastAsia="Times New Roman" w:hAnsi="Cambria" w:cs="Times New Roman"/>
                <w:sz w:val="20"/>
                <w:szCs w:val="20"/>
                <w:lang w:val="fr-FR"/>
              </w:rPr>
              <w:t>Dans le cas des mises en cage et avant les séparations préalables à la libération, étant donné qu'aucune ITD n'est émise, le consortium devra-il considérer que le numéro de cage indiqué correspond à la cage réceptrice ?</w:t>
            </w:r>
          </w:p>
        </w:tc>
        <w:tc>
          <w:tcPr>
            <w:tcW w:w="764" w:type="pct"/>
            <w:vAlign w:val="center"/>
          </w:tcPr>
          <w:p w14:paraId="5157FDFD"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hAnsi="Cambria"/>
                <w:sz w:val="20"/>
                <w:szCs w:val="20"/>
                <w:lang w:val="fr-FR"/>
              </w:rPr>
              <w:t>Le numéro de cage réceptrice peut être affiché dans la vidéo pour les opérations de mise en cage et avant les séparations préalables à la libération lorsqu'aucune déclaration de transfert de l'ICCAT (ITD) n'est produite.</w:t>
            </w:r>
          </w:p>
        </w:tc>
        <w:tc>
          <w:tcPr>
            <w:tcW w:w="764" w:type="pct"/>
          </w:tcPr>
          <w:p w14:paraId="37B7C5ED" w14:textId="77777777" w:rsidR="00BA361E" w:rsidRPr="004E13E9" w:rsidRDefault="00BA361E" w:rsidP="00BA361E">
            <w:pPr>
              <w:spacing w:before="60" w:after="60"/>
              <w:ind w:left="94" w:right="135"/>
              <w:contextualSpacing/>
              <w:jc w:val="both"/>
              <w:rPr>
                <w:rFonts w:ascii="Cambria" w:hAnsi="Cambria"/>
                <w:i/>
                <w:iCs/>
                <w:sz w:val="20"/>
                <w:szCs w:val="20"/>
                <w:lang w:val="fr-FR"/>
              </w:rPr>
            </w:pPr>
            <w:r w:rsidRPr="004E13E9">
              <w:rPr>
                <w:rFonts w:ascii="Cambria" w:eastAsia="Times New Roman" w:hAnsi="Cambria" w:cs="Times New Roman"/>
                <w:i/>
                <w:sz w:val="20"/>
                <w:szCs w:val="20"/>
                <w:lang w:val="fr-FR"/>
              </w:rPr>
              <w:t>1a)</w:t>
            </w:r>
            <w:r w:rsidRPr="004E13E9">
              <w:rPr>
                <w:rFonts w:ascii="Cambria" w:eastAsia="Times New Roman" w:hAnsi="Cambria" w:cs="Times New Roman"/>
                <w:i/>
                <w:sz w:val="20"/>
                <w:szCs w:val="20"/>
                <w:lang w:val="fr-FR"/>
              </w:rPr>
              <w:tab/>
              <w:t>Le numéro ICCAT de l’autorisation de transfert ou de mise en cage ou de l’ordre de libération et le numéro de la ou des cages (conformément à ce qui est indiqué dans la déclaration de transfert - ITD) devront être affichés au début et/ou à la fin de chaque vidéo, selon ce qui est demandé ;</w:t>
            </w:r>
            <w:r w:rsidRPr="004E13E9">
              <w:rPr>
                <w:rFonts w:ascii="Cambria" w:eastAsia="Times New Roman" w:hAnsi="Cambria" w:cs="Times New Roman"/>
                <w:i/>
                <w:sz w:val="20"/>
                <w:szCs w:val="20"/>
                <w:lang w:val="fr-FR"/>
              </w:rPr>
              <w:br/>
            </w:r>
          </w:p>
          <w:p w14:paraId="2030E7F8"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L'objectif est d'identifier sans équivoque l'enregistrement vidéo avec l'opération. Pour garantir la cohérence des transferts, les deux cages (donatrice et réceptrice) doivent être identifiables sur la séquence vidéo.</w:t>
            </w:r>
          </w:p>
        </w:tc>
        <w:tc>
          <w:tcPr>
            <w:tcW w:w="764" w:type="pct"/>
          </w:tcPr>
          <w:p w14:paraId="0F3FEAE4" w14:textId="77777777" w:rsidR="00BA361E" w:rsidRPr="004E13E9" w:rsidRDefault="00BA361E" w:rsidP="00BA361E">
            <w:pPr>
              <w:spacing w:before="60" w:after="60"/>
              <w:ind w:left="94" w:right="135"/>
              <w:contextualSpacing/>
              <w:jc w:val="both"/>
              <w:rPr>
                <w:rFonts w:ascii="Cambria" w:eastAsia="Times New Roman" w:hAnsi="Cambria" w:cs="Times New Roman"/>
                <w:i/>
                <w:sz w:val="20"/>
                <w:szCs w:val="20"/>
                <w:lang w:val="fr-FR"/>
              </w:rPr>
            </w:pPr>
          </w:p>
        </w:tc>
        <w:tc>
          <w:tcPr>
            <w:tcW w:w="763" w:type="pct"/>
          </w:tcPr>
          <w:tbl>
            <w:tblPr>
              <w:tblStyle w:val="TableNormal1"/>
              <w:tblpPr w:leftFromText="180" w:rightFromText="180" w:vertAnchor="text" w:tblpY="1"/>
              <w:tblOverlap w:val="never"/>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tblGrid>
            <w:tr w:rsidR="00BA361E" w:rsidRPr="0084719E" w14:paraId="2EE4436F" w14:textId="77777777" w:rsidTr="008C32A2">
              <w:tc>
                <w:tcPr>
                  <w:tcW w:w="819" w:type="pct"/>
                </w:tcPr>
                <w:p w14:paraId="2222DF7B" w14:textId="77777777" w:rsidR="00BA361E" w:rsidRPr="004E13E9" w:rsidRDefault="00BA361E" w:rsidP="00BA361E">
                  <w:pPr>
                    <w:spacing w:before="60" w:after="60"/>
                    <w:ind w:left="94" w:right="135"/>
                    <w:contextualSpacing/>
                    <w:jc w:val="both"/>
                    <w:rPr>
                      <w:rFonts w:ascii="Cambria" w:hAnsi="Cambria"/>
                      <w:sz w:val="20"/>
                      <w:szCs w:val="20"/>
                      <w:lang w:val="fr-FR"/>
                    </w:rPr>
                  </w:pPr>
                  <w:r w:rsidRPr="004E13E9">
                    <w:rPr>
                      <w:rFonts w:ascii="Cambria" w:eastAsia="Times New Roman" w:hAnsi="Cambria" w:cs="Times New Roman"/>
                      <w:sz w:val="20"/>
                      <w:szCs w:val="20"/>
                      <w:lang w:val="fr-FR"/>
                    </w:rPr>
                    <w:t>Les numéros d’identification des deux cages (donatrice et réceptrice) doivent être visibles sur la séquence vidéo.</w:t>
                  </w:r>
                </w:p>
              </w:tc>
            </w:tr>
          </w:tbl>
          <w:p w14:paraId="05FBB353" w14:textId="77777777" w:rsidR="00BA361E" w:rsidRPr="004E13E9" w:rsidRDefault="00BA361E" w:rsidP="00BA361E">
            <w:pPr>
              <w:spacing w:before="60" w:after="60"/>
              <w:ind w:left="94" w:right="135"/>
              <w:contextualSpacing/>
              <w:jc w:val="both"/>
              <w:rPr>
                <w:rFonts w:ascii="Cambria" w:eastAsia="Times New Roman" w:hAnsi="Cambria" w:cs="Times New Roman"/>
                <w:i/>
                <w:sz w:val="20"/>
                <w:szCs w:val="20"/>
                <w:lang w:val="fr-FR"/>
              </w:rPr>
            </w:pPr>
          </w:p>
        </w:tc>
      </w:tr>
      <w:tr w:rsidR="00BA361E" w:rsidRPr="0084719E" w14:paraId="663C08C0" w14:textId="77777777" w:rsidTr="00F204CE">
        <w:trPr>
          <w:cantSplit/>
          <w:trHeight w:val="849"/>
        </w:trPr>
        <w:tc>
          <w:tcPr>
            <w:tcW w:w="571" w:type="pct"/>
            <w:vAlign w:val="center"/>
          </w:tcPr>
          <w:p w14:paraId="3EE38F52" w14:textId="77777777" w:rsidR="00BA361E" w:rsidRPr="004E13E9" w:rsidRDefault="00BA361E" w:rsidP="00BA361E">
            <w:pPr>
              <w:spacing w:line="233" w:lineRule="exact"/>
              <w:ind w:left="102"/>
              <w:contextualSpacing/>
              <w:jc w:val="both"/>
              <w:rPr>
                <w:rFonts w:ascii="Cambria" w:hAnsi="Cambria"/>
                <w:sz w:val="20"/>
                <w:szCs w:val="20"/>
                <w:lang w:val="fr-FR"/>
              </w:rPr>
            </w:pPr>
            <w:r w:rsidRPr="004E13E9">
              <w:rPr>
                <w:rFonts w:ascii="Cambria" w:eastAsia="Times New Roman" w:hAnsi="Cambria" w:cs="Times New Roman"/>
                <w:sz w:val="20"/>
                <w:szCs w:val="20"/>
                <w:lang w:val="fr-FR"/>
              </w:rPr>
              <w:t>Estimations des observateurs concernant le thon mis en cage et transféré durant les séparations préalables à la libération.</w:t>
            </w:r>
          </w:p>
          <w:p w14:paraId="3AFE053F" w14:textId="77777777" w:rsidR="00BA361E" w:rsidRPr="004E13E9" w:rsidRDefault="00BA361E" w:rsidP="00BA361E">
            <w:pPr>
              <w:spacing w:line="233" w:lineRule="exact"/>
              <w:ind w:left="102" w:right="150"/>
              <w:contextualSpacing/>
              <w:jc w:val="both"/>
              <w:rPr>
                <w:rFonts w:ascii="Cambria" w:hAnsi="Cambria"/>
                <w:sz w:val="20"/>
                <w:szCs w:val="20"/>
                <w:lang w:val="fr-FR"/>
              </w:rPr>
            </w:pPr>
            <w:hyperlink r:id="rId226" w:history="1">
              <w:r w:rsidRPr="004E13E9">
                <w:rPr>
                  <w:rFonts w:ascii="Cambria" w:eastAsia="Times New Roman" w:hAnsi="Cambria" w:cs="Times New Roman"/>
                  <w:color w:val="0563C1"/>
                  <w:sz w:val="20"/>
                  <w:szCs w:val="20"/>
                  <w:lang w:val="fr-FR"/>
                </w:rPr>
                <w:t>Rec. 25-04</w:t>
              </w:r>
            </w:hyperlink>
            <w:r w:rsidRPr="004E13E9">
              <w:rPr>
                <w:rFonts w:ascii="Cambria" w:eastAsia="Times New Roman" w:hAnsi="Cambria" w:cs="Times New Roman"/>
                <w:sz w:val="20"/>
                <w:szCs w:val="20"/>
                <w:lang w:val="fr-FR"/>
              </w:rPr>
              <w:t xml:space="preserve"> annexe 6, paragraphe xx</w:t>
            </w:r>
          </w:p>
        </w:tc>
        <w:tc>
          <w:tcPr>
            <w:tcW w:w="619" w:type="pct"/>
            <w:vAlign w:val="center"/>
          </w:tcPr>
          <w:p w14:paraId="3E1C0E2A" w14:textId="77777777" w:rsidR="00BA361E" w:rsidRPr="004E13E9" w:rsidRDefault="00BA361E" w:rsidP="00BA361E">
            <w:pPr>
              <w:spacing w:before="60" w:after="60"/>
              <w:ind w:left="102" w:right="102"/>
              <w:contextualSpacing/>
              <w:jc w:val="center"/>
              <w:rPr>
                <w:rFonts w:ascii="Cambria" w:hAnsi="Cambria"/>
                <w:sz w:val="20"/>
                <w:szCs w:val="20"/>
                <w:lang w:val="fr-FR"/>
              </w:rPr>
            </w:pPr>
            <w:r w:rsidRPr="004E13E9">
              <w:rPr>
                <w:rFonts w:ascii="Cambria" w:eastAsia="Times New Roman" w:hAnsi="Cambria" w:cs="Times New Roman"/>
                <w:sz w:val="20"/>
                <w:szCs w:val="20"/>
                <w:lang w:val="fr-FR"/>
              </w:rPr>
              <w:t>Nouvelle demande d’éclaircissement</w:t>
            </w:r>
          </w:p>
        </w:tc>
        <w:tc>
          <w:tcPr>
            <w:tcW w:w="754" w:type="pct"/>
            <w:vAlign w:val="center"/>
          </w:tcPr>
          <w:p w14:paraId="555837A6"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 xml:space="preserve">Il n'existe aucune directive explicite concernant la différence acceptable entre les estimations des observateurs et celles des fermes pour les mises en cage et les séparations préalables à la libération (comme c'est le cas pour les transferts). </w:t>
            </w:r>
          </w:p>
          <w:p w14:paraId="345BC5B4" w14:textId="77777777" w:rsidR="00BA361E" w:rsidRPr="004E13E9" w:rsidRDefault="00BA361E" w:rsidP="00BA361E">
            <w:pPr>
              <w:spacing w:before="60" w:after="60"/>
              <w:ind w:left="102" w:right="102"/>
              <w:contextualSpacing/>
              <w:jc w:val="both"/>
              <w:rPr>
                <w:rFonts w:ascii="Cambria" w:hAnsi="Cambria"/>
                <w:sz w:val="20"/>
                <w:szCs w:val="20"/>
                <w:lang w:val="fr-FR"/>
              </w:rPr>
            </w:pPr>
          </w:p>
          <w:p w14:paraId="3FBC6188"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Le consortium doit-il considérer qu'un écart supérieur à 10  % est incompatible avec ses propres observations et refuse donc de signer la déclaration de mise en cage, l'eBCD ou l'ordre de libération conformément au paragraphe xx de l'annexe 6 ?</w:t>
            </w:r>
          </w:p>
        </w:tc>
        <w:tc>
          <w:tcPr>
            <w:tcW w:w="764" w:type="pct"/>
            <w:vAlign w:val="center"/>
          </w:tcPr>
          <w:p w14:paraId="38F681C3"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hAnsi="Cambria"/>
                <w:sz w:val="20"/>
                <w:szCs w:val="20"/>
                <w:lang w:val="fr-FR"/>
              </w:rPr>
              <w:t>L'observateur ne devrait pas signer la déclaration de mise en cage ni l'eBCD lorsque la différence est supérieure à 10 %.</w:t>
            </w:r>
          </w:p>
          <w:p w14:paraId="63DCEA22" w14:textId="77777777" w:rsidR="00BA361E" w:rsidRPr="004E13E9" w:rsidRDefault="00BA361E" w:rsidP="00BA361E">
            <w:pPr>
              <w:spacing w:before="60" w:after="60"/>
              <w:ind w:left="102" w:right="102"/>
              <w:contextualSpacing/>
              <w:jc w:val="both"/>
              <w:rPr>
                <w:rFonts w:ascii="Cambria" w:hAnsi="Cambria"/>
                <w:sz w:val="20"/>
                <w:szCs w:val="20"/>
                <w:lang w:val="fr-FR"/>
              </w:rPr>
            </w:pPr>
          </w:p>
          <w:p w14:paraId="2D0F0174"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hAnsi="Cambria"/>
                <w:sz w:val="20"/>
                <w:szCs w:val="20"/>
                <w:lang w:val="fr-FR"/>
              </w:rPr>
              <w:t>De plus, l'ordre de libération ne doit pas être signé lorsque la différence est supérieure à 10 %.</w:t>
            </w:r>
          </w:p>
        </w:tc>
        <w:tc>
          <w:tcPr>
            <w:tcW w:w="764" w:type="pct"/>
          </w:tcPr>
          <w:p w14:paraId="33B79695" w14:textId="66A77EE1"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 xml:space="preserve">Le ROP </w:t>
            </w:r>
            <w:proofErr w:type="gramStart"/>
            <w:r w:rsidRPr="004E13E9">
              <w:rPr>
                <w:rFonts w:ascii="Cambria" w:eastAsia="Times New Roman" w:hAnsi="Cambria" w:cs="Times New Roman"/>
                <w:sz w:val="20"/>
                <w:szCs w:val="20"/>
                <w:lang w:val="fr-FR"/>
              </w:rPr>
              <w:t>a</w:t>
            </w:r>
            <w:proofErr w:type="gramEnd"/>
            <w:r w:rsidRPr="004E13E9">
              <w:rPr>
                <w:rFonts w:ascii="Cambria" w:eastAsia="Times New Roman" w:hAnsi="Cambria" w:cs="Times New Roman"/>
                <w:sz w:val="20"/>
                <w:szCs w:val="20"/>
                <w:lang w:val="fr-FR"/>
              </w:rPr>
              <w:t xml:space="preserve"> un rôle d'analyse des séquences vidéo. Les différences éventuelles de plus de 10 % font l'objet d'une enquête par les autorités de la CPC, conformément aux dispositions des paragraphes 171 et 172. Le ROB devrait en prendre note, comme c'est le cas pour l’ITD. L'opération concernée n'est pas conforme aux mesures de conservation et de gestion de l’ICCAT, de sorte que les documents ne devraient pas être signés dans de tels cas</w:t>
            </w:r>
          </w:p>
        </w:tc>
        <w:tc>
          <w:tcPr>
            <w:tcW w:w="764" w:type="pct"/>
          </w:tcPr>
          <w:p w14:paraId="2518AAFF" w14:textId="77777777" w:rsidR="00BA361E" w:rsidRPr="004E13E9" w:rsidRDefault="00BA361E" w:rsidP="00BA361E">
            <w:pPr>
              <w:spacing w:before="60" w:after="60"/>
              <w:ind w:left="102" w:right="102"/>
              <w:contextualSpacing/>
              <w:jc w:val="both"/>
              <w:rPr>
                <w:rFonts w:ascii="Cambria" w:eastAsia="Times New Roman" w:hAnsi="Cambria" w:cs="Times New Roman"/>
                <w:b/>
                <w:bCs/>
                <w:sz w:val="20"/>
                <w:szCs w:val="20"/>
                <w:lang w:val="fr-FR"/>
              </w:rPr>
            </w:pPr>
            <w:r w:rsidRPr="004E13E9">
              <w:rPr>
                <w:rFonts w:ascii="Cambria" w:eastAsia="Times New Roman" w:hAnsi="Cambria" w:cs="Times New Roman"/>
                <w:b/>
                <w:bCs/>
                <w:sz w:val="20"/>
                <w:szCs w:val="20"/>
                <w:lang w:val="fr-FR"/>
              </w:rPr>
              <w:t>Commentaire à la réponse formulée par l’UE :</w:t>
            </w:r>
          </w:p>
          <w:p w14:paraId="3E64BC72"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Il s’agit de l'examen de la vidéo stéréoscopique par les autorités de la CPC et non par le ROP. Cependant, nous sommes heureux de continuer à appliquer le même principe.</w:t>
            </w:r>
          </w:p>
          <w:p w14:paraId="399E4A04" w14:textId="77777777" w:rsidR="00BA361E" w:rsidRPr="004E13E9" w:rsidRDefault="00BA361E" w:rsidP="00BA361E">
            <w:pPr>
              <w:spacing w:before="60" w:after="60"/>
              <w:ind w:left="102" w:right="102"/>
              <w:contextualSpacing/>
              <w:jc w:val="both"/>
              <w:rPr>
                <w:rFonts w:ascii="Cambria" w:eastAsia="Times New Roman" w:hAnsi="Cambria" w:cs="Times New Roman"/>
                <w:b/>
                <w:bCs/>
                <w:sz w:val="20"/>
                <w:szCs w:val="20"/>
                <w:lang w:val="fr-FR"/>
              </w:rPr>
            </w:pPr>
          </w:p>
          <w:p w14:paraId="088A44D0"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p>
        </w:tc>
        <w:tc>
          <w:tcPr>
            <w:tcW w:w="763" w:type="pct"/>
          </w:tcPr>
          <w:tbl>
            <w:tblPr>
              <w:tblStyle w:val="TableNormal1"/>
              <w:tblpPr w:leftFromText="180" w:rightFromText="180" w:vertAnchor="text" w:tblpY="1"/>
              <w:tblOverlap w:val="never"/>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tblGrid>
            <w:tr w:rsidR="00BA361E" w:rsidRPr="0084719E" w14:paraId="00DBE3D2" w14:textId="77777777" w:rsidTr="008C32A2">
              <w:trPr>
                <w:trHeight w:val="849"/>
              </w:trPr>
              <w:tc>
                <w:tcPr>
                  <w:tcW w:w="819" w:type="pct"/>
                </w:tcPr>
                <w:p w14:paraId="3B7E8C5F"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Si la différence entre les estimations du ROP et celles de la ferme pour la mise en cage, avant les séparations préalables à la libération, est supérieure à 10%, le ROP ne devrait pas signer la déclaration de mise en cage, l'eBCD ni l'ordre de libération.</w:t>
                  </w:r>
                </w:p>
              </w:tc>
            </w:tr>
          </w:tbl>
          <w:p w14:paraId="0EBF9176"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p>
        </w:tc>
      </w:tr>
      <w:tr w:rsidR="00BA361E" w:rsidRPr="0084719E" w14:paraId="07A9E3CF" w14:textId="77777777" w:rsidTr="00F204CE">
        <w:trPr>
          <w:cantSplit/>
          <w:trHeight w:val="849"/>
        </w:trPr>
        <w:tc>
          <w:tcPr>
            <w:tcW w:w="571" w:type="pct"/>
            <w:vAlign w:val="center"/>
          </w:tcPr>
          <w:p w14:paraId="28288B86" w14:textId="77777777" w:rsidR="00BA361E" w:rsidRPr="004E13E9" w:rsidRDefault="00BA361E" w:rsidP="00BA361E">
            <w:pPr>
              <w:spacing w:line="233" w:lineRule="exact"/>
              <w:ind w:left="102"/>
              <w:contextualSpacing/>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Opérations de séparation avant la libération</w:t>
            </w:r>
          </w:p>
          <w:p w14:paraId="367D66B3" w14:textId="77777777" w:rsidR="00BA361E" w:rsidRPr="004E13E9" w:rsidRDefault="00BA361E" w:rsidP="00BA361E">
            <w:pPr>
              <w:spacing w:line="233" w:lineRule="exact"/>
              <w:ind w:left="102"/>
              <w:contextualSpacing/>
              <w:rPr>
                <w:rFonts w:ascii="Cambria" w:eastAsia="Times New Roman" w:hAnsi="Cambria" w:cs="Times New Roman"/>
                <w:sz w:val="20"/>
                <w:szCs w:val="20"/>
                <w:lang w:val="fr-FR"/>
              </w:rPr>
            </w:pPr>
            <w:hyperlink r:id="rId227" w:history="1">
              <w:r w:rsidRPr="004E13E9">
                <w:rPr>
                  <w:rFonts w:ascii="Cambria" w:eastAsia="Times New Roman" w:hAnsi="Cambria" w:cs="Times New Roman"/>
                  <w:color w:val="0563C1"/>
                  <w:sz w:val="20"/>
                  <w:szCs w:val="20"/>
                  <w:lang w:val="fr-FR"/>
                </w:rPr>
                <w:t>Rec. 25-04</w:t>
              </w:r>
            </w:hyperlink>
            <w:r w:rsidRPr="004E13E9">
              <w:rPr>
                <w:rFonts w:ascii="Cambria" w:eastAsia="Times New Roman" w:hAnsi="Cambria" w:cs="Times New Roman"/>
                <w:sz w:val="20"/>
                <w:szCs w:val="20"/>
                <w:lang w:val="fr-FR"/>
              </w:rPr>
              <w:t xml:space="preserve"> annexe 6 </w:t>
            </w:r>
            <w:proofErr w:type="gramStart"/>
            <w:r w:rsidRPr="004E13E9">
              <w:rPr>
                <w:rFonts w:ascii="Cambria" w:eastAsia="Times New Roman" w:hAnsi="Cambria" w:cs="Times New Roman"/>
                <w:sz w:val="20"/>
                <w:szCs w:val="20"/>
                <w:lang w:val="fr-FR"/>
              </w:rPr>
              <w:t>paragraphe xxii</w:t>
            </w:r>
            <w:proofErr w:type="gramEnd"/>
            <w:r w:rsidRPr="004E13E9">
              <w:rPr>
                <w:rFonts w:ascii="Cambria" w:eastAsia="Times New Roman" w:hAnsi="Cambria" w:cs="Times New Roman"/>
                <w:sz w:val="20"/>
                <w:szCs w:val="20"/>
                <w:lang w:val="fr-FR"/>
              </w:rPr>
              <w:t>.</w:t>
            </w:r>
          </w:p>
          <w:p w14:paraId="03D9C4C3" w14:textId="77777777" w:rsidR="00BA361E" w:rsidRPr="004E13E9" w:rsidRDefault="00BA361E" w:rsidP="00BA361E">
            <w:pPr>
              <w:spacing w:line="233" w:lineRule="exact"/>
              <w:ind w:left="102" w:right="150"/>
              <w:contextualSpacing/>
              <w:jc w:val="both"/>
              <w:rPr>
                <w:rFonts w:ascii="Cambria" w:hAnsi="Cambria"/>
                <w:sz w:val="20"/>
                <w:szCs w:val="20"/>
                <w:lang w:val="fr-FR"/>
              </w:rPr>
            </w:pPr>
            <w:r w:rsidRPr="004E13E9">
              <w:rPr>
                <w:rFonts w:ascii="Cambria" w:eastAsia="Times New Roman" w:hAnsi="Cambria" w:cs="Times New Roman"/>
                <w:sz w:val="20"/>
                <w:szCs w:val="20"/>
                <w:lang w:val="fr-FR"/>
              </w:rPr>
              <w:t>Annexe 10, paragraphe 3</w:t>
            </w:r>
          </w:p>
        </w:tc>
        <w:tc>
          <w:tcPr>
            <w:tcW w:w="619" w:type="pct"/>
            <w:vAlign w:val="center"/>
          </w:tcPr>
          <w:p w14:paraId="545E1740" w14:textId="77777777" w:rsidR="00BA361E" w:rsidRPr="004E13E9" w:rsidRDefault="00BA361E" w:rsidP="00BA361E">
            <w:pPr>
              <w:spacing w:before="60" w:after="60"/>
              <w:ind w:left="102" w:right="102"/>
              <w:contextualSpacing/>
              <w:jc w:val="center"/>
              <w:rPr>
                <w:rFonts w:ascii="Cambria" w:hAnsi="Cambria"/>
                <w:sz w:val="20"/>
                <w:szCs w:val="20"/>
                <w:lang w:val="fr-FR"/>
              </w:rPr>
            </w:pPr>
            <w:r w:rsidRPr="004E13E9">
              <w:rPr>
                <w:rFonts w:ascii="Cambria" w:eastAsia="Times New Roman" w:hAnsi="Cambria" w:cs="Times New Roman"/>
                <w:sz w:val="20"/>
                <w:szCs w:val="20"/>
                <w:lang w:val="fr-FR"/>
              </w:rPr>
              <w:t>Nouvelle demande d’éclaircissement</w:t>
            </w:r>
          </w:p>
        </w:tc>
        <w:tc>
          <w:tcPr>
            <w:tcW w:w="754" w:type="pct"/>
            <w:vAlign w:val="center"/>
          </w:tcPr>
          <w:p w14:paraId="38AEC4BF"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 xml:space="preserve">Les séparations préalables à la libération impliquent souvent plusieurs opérations entre la cage donatrice et la cage de remorquage. </w:t>
            </w:r>
          </w:p>
          <w:p w14:paraId="23BEACB4" w14:textId="77777777" w:rsidR="00BA361E" w:rsidRPr="004E13E9" w:rsidRDefault="00BA361E" w:rsidP="00BA361E">
            <w:pPr>
              <w:spacing w:before="60" w:after="60"/>
              <w:ind w:left="102" w:right="102"/>
              <w:contextualSpacing/>
              <w:jc w:val="both"/>
              <w:rPr>
                <w:rFonts w:ascii="Cambria" w:hAnsi="Cambria"/>
                <w:sz w:val="20"/>
                <w:szCs w:val="20"/>
                <w:lang w:val="fr-FR"/>
              </w:rPr>
            </w:pPr>
          </w:p>
          <w:p w14:paraId="64F43CA5"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L'observateur doit-il considérer, afin d'être cohérent avec ses observations, que le nombre final calculé dans la cage de remorquage, en tenant compte des entrées et des sorties au cours des opérations de séparation préalables à la libération, est le nombre à comparer avec le montant enregistré dans le rapport de libération ?</w:t>
            </w:r>
          </w:p>
        </w:tc>
        <w:tc>
          <w:tcPr>
            <w:tcW w:w="764" w:type="pct"/>
          </w:tcPr>
          <w:p w14:paraId="08C77C2F"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hAnsi="Cambria"/>
                <w:sz w:val="20"/>
                <w:szCs w:val="20"/>
                <w:lang w:val="fr-FR"/>
              </w:rPr>
              <w:t>La première opération de mise en cage doit être terminée et la déclaration de mise en cage/l’eBCD doivent être finalisés/signés.</w:t>
            </w:r>
          </w:p>
          <w:p w14:paraId="67F3BC50" w14:textId="77777777" w:rsidR="00BA361E" w:rsidRPr="004E13E9" w:rsidRDefault="00BA361E" w:rsidP="00BA361E">
            <w:pPr>
              <w:spacing w:before="60" w:after="60"/>
              <w:ind w:left="102" w:right="102"/>
              <w:contextualSpacing/>
              <w:jc w:val="both"/>
              <w:rPr>
                <w:rFonts w:ascii="Cambria" w:hAnsi="Cambria"/>
                <w:sz w:val="20"/>
                <w:szCs w:val="20"/>
                <w:lang w:val="fr-FR"/>
              </w:rPr>
            </w:pPr>
          </w:p>
          <w:p w14:paraId="0C8C2D78"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hAnsi="Cambria"/>
                <w:sz w:val="20"/>
                <w:szCs w:val="20"/>
                <w:lang w:val="fr-FR"/>
              </w:rPr>
              <w:t>Ensuite, sur la base des nombres finaux calculés, les opérations de séparation préalables à la libération et les opérations de libération devraient être achevées.</w:t>
            </w:r>
          </w:p>
          <w:p w14:paraId="78B9175A" w14:textId="77777777" w:rsidR="00BA361E" w:rsidRPr="004E13E9" w:rsidRDefault="00BA361E" w:rsidP="00BA361E">
            <w:pPr>
              <w:spacing w:before="60" w:after="60"/>
              <w:ind w:left="102" w:right="102"/>
              <w:contextualSpacing/>
              <w:jc w:val="both"/>
              <w:rPr>
                <w:rFonts w:ascii="Cambria" w:hAnsi="Cambria"/>
                <w:sz w:val="20"/>
                <w:szCs w:val="20"/>
                <w:lang w:val="fr-FR"/>
              </w:rPr>
            </w:pPr>
          </w:p>
          <w:p w14:paraId="6FC1D1D3"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hAnsi="Cambria"/>
                <w:sz w:val="20"/>
                <w:szCs w:val="20"/>
                <w:lang w:val="fr-FR"/>
              </w:rPr>
              <w:t>On considère qu'en appliquant cette procédure, il n'y aura aucune confusion quant aux chiffres/nombres calculés.</w:t>
            </w:r>
          </w:p>
        </w:tc>
        <w:tc>
          <w:tcPr>
            <w:tcW w:w="764" w:type="pct"/>
            <w:vAlign w:val="center"/>
          </w:tcPr>
          <w:p w14:paraId="799B8ED9"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 xml:space="preserve">Oui, les chiffres relatifs à la cage de transport sont ceux qui doivent être utilisés pour le rapport de libération. </w:t>
            </w:r>
          </w:p>
          <w:p w14:paraId="5FC41D21"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 xml:space="preserve">(Étant donné que le paragraphe 5 de l'annexe 10 n'établit pas que la libération du thon rouge de la cage de transport en mer devrait être conforme aux normes minimales établies à l'annexe 8, le nombre à comparer devra être le nombre final dans la cage de remorquage). Il est très probable que l'enregistrement de l'opération de libération ne permette pas d'obtenir des chiffres exacts. </w:t>
            </w:r>
          </w:p>
        </w:tc>
        <w:tc>
          <w:tcPr>
            <w:tcW w:w="764" w:type="pct"/>
          </w:tcPr>
          <w:p w14:paraId="019E7666" w14:textId="77777777" w:rsidR="00BA361E" w:rsidRPr="004E13E9" w:rsidRDefault="00BA361E" w:rsidP="00BA361E">
            <w:pPr>
              <w:spacing w:before="60" w:after="60"/>
              <w:ind w:left="102" w:right="102"/>
              <w:contextualSpacing/>
              <w:jc w:val="both"/>
              <w:rPr>
                <w:rFonts w:ascii="Cambria" w:eastAsia="Times New Roman" w:hAnsi="Cambria" w:cs="Times New Roman"/>
                <w:b/>
                <w:bCs/>
                <w:sz w:val="20"/>
                <w:szCs w:val="20"/>
                <w:lang w:val="fr-FR"/>
              </w:rPr>
            </w:pPr>
            <w:r w:rsidRPr="004E13E9">
              <w:rPr>
                <w:rFonts w:ascii="Cambria" w:eastAsia="Times New Roman" w:hAnsi="Cambria" w:cs="Times New Roman"/>
                <w:b/>
                <w:bCs/>
                <w:sz w:val="20"/>
                <w:szCs w:val="20"/>
                <w:lang w:val="fr-FR"/>
              </w:rPr>
              <w:t>Commentaire à la réponse formulée par l’UE :</w:t>
            </w:r>
          </w:p>
          <w:p w14:paraId="3730E0C0"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p>
          <w:p w14:paraId="692AFA58"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 xml:space="preserve">Le consortium </w:t>
            </w:r>
            <w:proofErr w:type="spellStart"/>
            <w:r w:rsidRPr="004E13E9">
              <w:rPr>
                <w:rFonts w:ascii="Cambria" w:eastAsia="Times New Roman" w:hAnsi="Cambria" w:cs="Times New Roman"/>
                <w:sz w:val="20"/>
                <w:szCs w:val="20"/>
                <w:lang w:val="fr-FR"/>
              </w:rPr>
              <w:t>ROP-n’est</w:t>
            </w:r>
            <w:proofErr w:type="spellEnd"/>
            <w:r w:rsidRPr="004E13E9">
              <w:rPr>
                <w:rFonts w:ascii="Cambria" w:eastAsia="Times New Roman" w:hAnsi="Cambria" w:cs="Times New Roman"/>
                <w:sz w:val="20"/>
                <w:szCs w:val="20"/>
                <w:lang w:val="fr-FR"/>
              </w:rPr>
              <w:t xml:space="preserve"> pas sûr que cela réponde à la question. La question est de savoir si la comparaison des chiffres doit se faire sur la base du montant final estimé, sur la base des différents mouvements en amont et en aval ou sur la base d'une opération par opération.</w:t>
            </w:r>
          </w:p>
          <w:p w14:paraId="30D2EA0C"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p>
        </w:tc>
        <w:tc>
          <w:tcPr>
            <w:tcW w:w="763" w:type="pct"/>
          </w:tcPr>
          <w:tbl>
            <w:tblPr>
              <w:tblStyle w:val="TableNormal1"/>
              <w:tblpPr w:leftFromText="180" w:rightFromText="180" w:vertAnchor="text" w:tblpY="1"/>
              <w:tblOverlap w:val="never"/>
              <w:tblW w:w="5000" w:type="pct"/>
              <w:tblInd w:w="0" w:type="dxa"/>
              <w:tblBorders>
                <w:top w:val="single" w:sz="4" w:space="0" w:color="auto"/>
                <w:left w:val="single" w:sz="4" w:space="0" w:color="auto"/>
                <w:right w:val="single" w:sz="4" w:space="0" w:color="auto"/>
              </w:tblBorders>
              <w:tblLook w:val="01E0" w:firstRow="1" w:lastRow="1" w:firstColumn="1" w:lastColumn="1" w:noHBand="0" w:noVBand="0"/>
            </w:tblPr>
            <w:tblGrid>
              <w:gridCol w:w="2115"/>
            </w:tblGrid>
            <w:tr w:rsidR="00BA361E" w:rsidRPr="0084719E" w14:paraId="3A5E8CA1" w14:textId="77777777" w:rsidTr="008C32A2">
              <w:trPr>
                <w:trHeight w:val="849"/>
              </w:trPr>
              <w:tc>
                <w:tcPr>
                  <w:tcW w:w="819" w:type="pct"/>
                </w:tcPr>
                <w:p w14:paraId="26698D4D"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La réponse à la question posée par le Consortium est "oui".</w:t>
                  </w:r>
                </w:p>
              </w:tc>
            </w:tr>
          </w:tbl>
          <w:p w14:paraId="5845C52B"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p>
        </w:tc>
      </w:tr>
      <w:tr w:rsidR="00BA361E" w:rsidRPr="0084719E" w14:paraId="60DEAC8D" w14:textId="77777777" w:rsidTr="00F204CE">
        <w:trPr>
          <w:cantSplit/>
          <w:trHeight w:val="496"/>
        </w:trPr>
        <w:tc>
          <w:tcPr>
            <w:tcW w:w="571" w:type="pct"/>
            <w:vAlign w:val="center"/>
          </w:tcPr>
          <w:p w14:paraId="1B951FDE" w14:textId="77777777" w:rsidR="00BA361E" w:rsidRPr="004E13E9" w:rsidRDefault="00BA361E" w:rsidP="00BA361E">
            <w:pPr>
              <w:spacing w:line="233" w:lineRule="exact"/>
              <w:ind w:left="102"/>
              <w:contextualSpacing/>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Exigences en matière d'enregistrement dans le carnet de pêche</w:t>
            </w:r>
          </w:p>
          <w:p w14:paraId="42F44CCF" w14:textId="77777777" w:rsidR="00BA361E" w:rsidRPr="004E13E9" w:rsidRDefault="00BA361E" w:rsidP="00BA361E">
            <w:pPr>
              <w:spacing w:line="233" w:lineRule="exact"/>
              <w:ind w:left="102"/>
              <w:contextualSpacing/>
              <w:rPr>
                <w:rFonts w:ascii="Cambria" w:eastAsia="Times New Roman" w:hAnsi="Cambria" w:cs="Times New Roman"/>
                <w:sz w:val="20"/>
                <w:szCs w:val="20"/>
                <w:lang w:val="fr-FR"/>
              </w:rPr>
            </w:pPr>
            <w:hyperlink r:id="rId228" w:history="1">
              <w:r w:rsidRPr="004E13E9">
                <w:rPr>
                  <w:rFonts w:ascii="Cambria" w:eastAsia="Times New Roman" w:hAnsi="Cambria" w:cs="Times New Roman"/>
                  <w:color w:val="0563C1"/>
                  <w:sz w:val="20"/>
                  <w:szCs w:val="20"/>
                  <w:lang w:val="fr-FR"/>
                </w:rPr>
                <w:t xml:space="preserve">Rec. </w:t>
              </w:r>
            </w:hyperlink>
            <w:hyperlink r:id="rId229" w:history="1">
              <w:r w:rsidRPr="004E13E9">
                <w:rPr>
                  <w:rFonts w:ascii="Cambria" w:eastAsia="Times New Roman" w:hAnsi="Cambria" w:cs="Times New Roman"/>
                  <w:color w:val="0563C1"/>
                  <w:sz w:val="20"/>
                  <w:szCs w:val="20"/>
                  <w:lang w:val="fr-FR"/>
                </w:rPr>
                <w:t>25-04</w:t>
              </w:r>
            </w:hyperlink>
            <w:r w:rsidRPr="004E13E9">
              <w:rPr>
                <w:rFonts w:ascii="Cambria" w:eastAsia="Times New Roman" w:hAnsi="Cambria" w:cs="Times New Roman"/>
                <w:sz w:val="20"/>
                <w:szCs w:val="20"/>
                <w:lang w:val="fr-FR"/>
              </w:rPr>
              <w:t xml:space="preserve"> paragraphe 74 et annexe 2 Spécifications minimales pour les carnets de pêche paragraphe 2  </w:t>
            </w:r>
          </w:p>
        </w:tc>
        <w:tc>
          <w:tcPr>
            <w:tcW w:w="619" w:type="pct"/>
            <w:vAlign w:val="center"/>
          </w:tcPr>
          <w:p w14:paraId="31336DC7" w14:textId="77777777" w:rsidR="00BA361E" w:rsidRPr="004E13E9" w:rsidRDefault="00BA361E" w:rsidP="00BA361E">
            <w:pPr>
              <w:spacing w:before="60" w:after="60"/>
              <w:ind w:left="102" w:right="102"/>
              <w:contextualSpacing/>
              <w:jc w:val="center"/>
              <w:rPr>
                <w:rFonts w:ascii="Cambria" w:hAnsi="Cambria"/>
                <w:sz w:val="20"/>
                <w:szCs w:val="20"/>
                <w:lang w:val="fr-FR"/>
              </w:rPr>
            </w:pPr>
            <w:r w:rsidRPr="004E13E9">
              <w:rPr>
                <w:rFonts w:ascii="Cambria" w:eastAsia="Times New Roman" w:hAnsi="Cambria" w:cs="Times New Roman"/>
                <w:sz w:val="20"/>
                <w:szCs w:val="20"/>
                <w:lang w:val="fr-FR"/>
              </w:rPr>
              <w:t>Nouvelle demande d’éclaircissement</w:t>
            </w:r>
          </w:p>
        </w:tc>
        <w:tc>
          <w:tcPr>
            <w:tcW w:w="754" w:type="pct"/>
            <w:vAlign w:val="center"/>
          </w:tcPr>
          <w:p w14:paraId="1D073733"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 xml:space="preserve">L'annexe 2 exige que le carnet de pêche soit rempli chaque jour avant minuit. </w:t>
            </w:r>
          </w:p>
          <w:p w14:paraId="38DD5314"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p>
          <w:p w14:paraId="1DC8FEE9"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Étant donné que les détails des opérations de pêche peuvent ne pas être connus avant l'opération de transfert ultérieure qui peut avoir lieu le ou les jours suivants, l'observateur devra-il considérer que les enregistrements du carnet de pêche relatifs aux opérations de pêche devront être complétés avant minuit le jour même où la série d'opérations est terminée, c'est-à-dire lorsque le transfert est terminé ?</w:t>
            </w:r>
          </w:p>
        </w:tc>
        <w:tc>
          <w:tcPr>
            <w:tcW w:w="764" w:type="pct"/>
            <w:vAlign w:val="center"/>
          </w:tcPr>
          <w:p w14:paraId="42E7DF8D"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hAnsi="Cambria"/>
                <w:sz w:val="20"/>
                <w:szCs w:val="20"/>
                <w:lang w:val="fr-FR"/>
              </w:rPr>
              <w:t>Dans ces circonstances, lorsque les informations pertinentes ne sont disponibles qu'à un stade ultérieur, l’opérateur du navire et l'observateur devraient être autorisés à mettre à jour ou à corriger les registres en conséquence, à condition que ces modifications soient dûment justifiées et documentées.</w:t>
            </w:r>
          </w:p>
        </w:tc>
        <w:tc>
          <w:tcPr>
            <w:tcW w:w="764" w:type="pct"/>
            <w:vAlign w:val="center"/>
          </w:tcPr>
          <w:p w14:paraId="5477F2D2"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Pour se conformer à l'obligation de déclaration avant minuit, la déclaration des captures dans le carnet de pêche devrait être basée sur des estimations réalisées par l'opérateur.</w:t>
            </w:r>
          </w:p>
        </w:tc>
        <w:tc>
          <w:tcPr>
            <w:tcW w:w="764" w:type="pct"/>
          </w:tcPr>
          <w:p w14:paraId="18AB50E3" w14:textId="77777777" w:rsidR="00BA361E" w:rsidRPr="004E13E9" w:rsidRDefault="00BA361E" w:rsidP="00BA361E">
            <w:pPr>
              <w:spacing w:before="60" w:after="60"/>
              <w:ind w:left="102" w:right="102"/>
              <w:contextualSpacing/>
              <w:jc w:val="both"/>
              <w:rPr>
                <w:rFonts w:ascii="Cambria" w:eastAsia="Times New Roman" w:hAnsi="Cambria" w:cs="Times New Roman"/>
                <w:b/>
                <w:bCs/>
                <w:sz w:val="20"/>
                <w:szCs w:val="20"/>
                <w:lang w:val="fr-FR"/>
              </w:rPr>
            </w:pPr>
            <w:r w:rsidRPr="004E13E9">
              <w:rPr>
                <w:rFonts w:ascii="Cambria" w:eastAsia="Times New Roman" w:hAnsi="Cambria" w:cs="Times New Roman"/>
                <w:b/>
                <w:bCs/>
                <w:sz w:val="20"/>
                <w:szCs w:val="20"/>
                <w:lang w:val="fr-FR"/>
              </w:rPr>
              <w:t>Commentaire à la réponse formulée par l’UE :</w:t>
            </w:r>
          </w:p>
          <w:p w14:paraId="7F4ACBD5"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Le problème est que ces estimations ne sont pas toujours disponibles avant le lendemain, ce qui explique cette clarification.</w:t>
            </w:r>
          </w:p>
          <w:p w14:paraId="737AB37F"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p>
        </w:tc>
        <w:tc>
          <w:tcPr>
            <w:tcW w:w="763" w:type="pct"/>
          </w:tcPr>
          <w:tbl>
            <w:tblPr>
              <w:tblStyle w:val="TableNormal1"/>
              <w:tblpPr w:leftFromText="180" w:rightFromText="180" w:vertAnchor="text" w:tblpY="1"/>
              <w:tblOverlap w:val="never"/>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tblGrid>
            <w:tr w:rsidR="00BA361E" w:rsidRPr="0084719E" w14:paraId="020075AC" w14:textId="77777777" w:rsidTr="008C32A2">
              <w:trPr>
                <w:trHeight w:val="849"/>
              </w:trPr>
              <w:tc>
                <w:tcPr>
                  <w:tcW w:w="819" w:type="pct"/>
                </w:tcPr>
                <w:p w14:paraId="4544F890" w14:textId="77777777" w:rsidR="00BA361E" w:rsidRPr="004E13E9" w:rsidRDefault="00BA361E" w:rsidP="00BA361E">
                  <w:pPr>
                    <w:spacing w:before="60" w:after="60"/>
                    <w:ind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Conformément à la Rec. 25-04, paragraphe 112, le capitaine du navire devra remplir le carnet de pêche avec le nombre et le poids estimé du thon rouge à transférer avant minuit le jour de la pêche. Ces chiffres peuvent être modifiés après l'examen des enregistrements vidéo du premier transfert.</w:t>
                  </w:r>
                </w:p>
              </w:tc>
            </w:tr>
          </w:tbl>
          <w:p w14:paraId="66AEF44A"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p>
        </w:tc>
      </w:tr>
      <w:tr w:rsidR="00BA361E" w:rsidRPr="004E13E9" w14:paraId="49A119DF" w14:textId="77777777" w:rsidTr="00F204CE">
        <w:trPr>
          <w:cantSplit/>
          <w:trHeight w:val="849"/>
        </w:trPr>
        <w:tc>
          <w:tcPr>
            <w:tcW w:w="571" w:type="pct"/>
            <w:vAlign w:val="center"/>
          </w:tcPr>
          <w:p w14:paraId="598E7CC1" w14:textId="77777777" w:rsidR="00BA361E" w:rsidRPr="004E13E9" w:rsidRDefault="00BA361E" w:rsidP="00BA361E">
            <w:pPr>
              <w:spacing w:line="233" w:lineRule="exact"/>
              <w:ind w:left="102"/>
              <w:contextualSpacing/>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Transferts inversés de la madrague vers la cage.</w:t>
            </w:r>
          </w:p>
          <w:p w14:paraId="4A54E8A8" w14:textId="77777777" w:rsidR="00BA361E" w:rsidRPr="004E13E9" w:rsidRDefault="00BA361E" w:rsidP="00BA361E">
            <w:pPr>
              <w:spacing w:line="233" w:lineRule="exact"/>
              <w:ind w:left="102"/>
              <w:contextualSpacing/>
              <w:rPr>
                <w:rFonts w:ascii="Cambria" w:eastAsia="Times New Roman" w:hAnsi="Cambria" w:cs="Times New Roman"/>
                <w:sz w:val="20"/>
                <w:szCs w:val="20"/>
                <w:lang w:val="fr-FR"/>
              </w:rPr>
            </w:pPr>
            <w:hyperlink r:id="rId230" w:history="1">
              <w:r w:rsidRPr="004E13E9">
                <w:rPr>
                  <w:rFonts w:ascii="Cambria" w:eastAsia="Times New Roman" w:hAnsi="Cambria" w:cs="Times New Roman"/>
                  <w:color w:val="0563C1"/>
                  <w:sz w:val="20"/>
                  <w:szCs w:val="20"/>
                  <w:lang w:val="fr-FR"/>
                </w:rPr>
                <w:t>Rec. 25-04</w:t>
              </w:r>
            </w:hyperlink>
            <w:r w:rsidRPr="004E13E9">
              <w:rPr>
                <w:rFonts w:ascii="Cambria" w:eastAsia="Times New Roman" w:hAnsi="Cambria" w:cs="Times New Roman"/>
                <w:sz w:val="20"/>
                <w:szCs w:val="20"/>
                <w:lang w:val="fr-FR"/>
              </w:rPr>
              <w:t xml:space="preserve">  paragraphe 2i deuxième point</w:t>
            </w:r>
          </w:p>
          <w:p w14:paraId="366E4821" w14:textId="77777777" w:rsidR="00BA361E" w:rsidRPr="004E13E9" w:rsidRDefault="00BA361E" w:rsidP="00BA361E">
            <w:pPr>
              <w:spacing w:line="233" w:lineRule="exact"/>
              <w:ind w:left="102"/>
              <w:contextualSpacing/>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Annexe 4</w:t>
            </w:r>
          </w:p>
        </w:tc>
        <w:tc>
          <w:tcPr>
            <w:tcW w:w="619" w:type="pct"/>
            <w:vAlign w:val="center"/>
          </w:tcPr>
          <w:p w14:paraId="3FD1DE53" w14:textId="77777777" w:rsidR="00BA361E" w:rsidRPr="004E13E9" w:rsidRDefault="00BA361E" w:rsidP="00BA361E">
            <w:pPr>
              <w:spacing w:before="60" w:after="60"/>
              <w:ind w:left="102" w:right="102"/>
              <w:contextualSpacing/>
              <w:jc w:val="center"/>
              <w:rPr>
                <w:rFonts w:ascii="Cambria" w:hAnsi="Cambria"/>
                <w:sz w:val="20"/>
                <w:szCs w:val="20"/>
                <w:lang w:val="fr-FR"/>
              </w:rPr>
            </w:pPr>
            <w:r w:rsidRPr="004E13E9">
              <w:rPr>
                <w:rFonts w:ascii="Cambria" w:eastAsia="Times New Roman" w:hAnsi="Cambria" w:cs="Times New Roman"/>
                <w:sz w:val="20"/>
                <w:szCs w:val="20"/>
                <w:lang w:val="fr-FR"/>
              </w:rPr>
              <w:t>Nouvelle demande d’éclaircissement</w:t>
            </w:r>
          </w:p>
        </w:tc>
        <w:tc>
          <w:tcPr>
            <w:tcW w:w="754" w:type="pct"/>
            <w:vAlign w:val="center"/>
          </w:tcPr>
          <w:p w14:paraId="714AE2CD"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La Recommandation ne prévoit pas le transfert de retour des poissons depuis la madrague, à savoir de la ferme connectée vers la madrague.</w:t>
            </w:r>
          </w:p>
          <w:p w14:paraId="60EBCBB4"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p>
          <w:p w14:paraId="50F2B4B2"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Comme cela s'est déjà produit par le passé, dans un tel cas, une déclaration de transfert sur mesure a été établie pour documenter cette opération, l'observateur signant pour confirmer sa présence sans nécessairement confirmer que l'opération était conforme aux mesures de conservation et gestion de l’ICCAT, qui ne semblent pas couvrir ce cas.</w:t>
            </w:r>
          </w:p>
          <w:p w14:paraId="0A0AF79F"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p>
          <w:p w14:paraId="61CA31E7"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Si un tel cas se présente à nouveau, l'observateur devra-il continuer à agir de la même façon? Est-il nécessaire de soumettre un PNC étant donné que cette opération n'est pas prévue par la Recommandation ?</w:t>
            </w:r>
          </w:p>
        </w:tc>
        <w:tc>
          <w:tcPr>
            <w:tcW w:w="764" w:type="pct"/>
            <w:vAlign w:val="center"/>
          </w:tcPr>
          <w:p w14:paraId="24E94C07" w14:textId="77777777" w:rsidR="00BA361E" w:rsidRPr="004E13E9" w:rsidRDefault="00BA361E" w:rsidP="00BA361E">
            <w:pPr>
              <w:spacing w:before="60" w:after="60"/>
              <w:ind w:left="102" w:right="102"/>
              <w:contextualSpacing/>
              <w:rPr>
                <w:rFonts w:ascii="Cambria" w:hAnsi="Cambria"/>
                <w:sz w:val="20"/>
                <w:szCs w:val="20"/>
                <w:lang w:val="fr-FR"/>
              </w:rPr>
            </w:pPr>
            <w:r w:rsidRPr="004E13E9">
              <w:rPr>
                <w:rFonts w:ascii="Cambria" w:hAnsi="Cambria"/>
                <w:sz w:val="20"/>
                <w:szCs w:val="20"/>
                <w:lang w:val="fr-FR"/>
              </w:rPr>
              <w:t xml:space="preserve">Non applicable pour la </w:t>
            </w:r>
            <w:r w:rsidRPr="004E13E9">
              <w:rPr>
                <w:rFonts w:ascii="Cambria" w:hAnsi="Cambria"/>
                <w:spacing w:val="-1"/>
                <w:sz w:val="20"/>
                <w:szCs w:val="20"/>
                <w:lang w:val="fr-FR"/>
              </w:rPr>
              <w:t>Türkiye.</w:t>
            </w:r>
          </w:p>
        </w:tc>
        <w:tc>
          <w:tcPr>
            <w:tcW w:w="764" w:type="pct"/>
            <w:vAlign w:val="center"/>
          </w:tcPr>
          <w:p w14:paraId="25166B9B"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 xml:space="preserve">Bien que cette définition ne soit pas prise en compte dans la recommandation et que l'opération consiste à transférer des poissons d'une cage de la ferme à une madrague, la présence du ROP devrait être exigée par souci de cohérence avec toutes les opérations de la ferme.  </w:t>
            </w:r>
          </w:p>
        </w:tc>
        <w:tc>
          <w:tcPr>
            <w:tcW w:w="764" w:type="pct"/>
          </w:tcPr>
          <w:p w14:paraId="682AE296"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p>
        </w:tc>
        <w:tc>
          <w:tcPr>
            <w:tcW w:w="763" w:type="pct"/>
          </w:tcPr>
          <w:p w14:paraId="5043870F"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Dans un tel cas, non couvert par la recommandation pertinente, une déclaration de transfert sur mesure doit être établie pour documenter cette opération, et l'observateur doit la signer pour confirmer sa présence sans nécessairement confirmer que l'opération était conforme aux CMM de l’ICCAT. Cela ne doit pas être considéré comme une PNC.</w:t>
            </w:r>
          </w:p>
        </w:tc>
      </w:tr>
      <w:tr w:rsidR="00BA361E" w:rsidRPr="0084719E" w14:paraId="19B04279" w14:textId="77777777" w:rsidTr="00F204CE">
        <w:trPr>
          <w:cantSplit/>
          <w:trHeight w:val="849"/>
        </w:trPr>
        <w:tc>
          <w:tcPr>
            <w:tcW w:w="571" w:type="pct"/>
            <w:vAlign w:val="center"/>
          </w:tcPr>
          <w:p w14:paraId="446A6E88" w14:textId="77777777" w:rsidR="00BA361E" w:rsidRPr="004E13E9" w:rsidRDefault="00BA361E" w:rsidP="00BA361E">
            <w:pPr>
              <w:spacing w:line="233" w:lineRule="exact"/>
              <w:ind w:left="102"/>
              <w:contextualSpacing/>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Libérations depuis les fermes</w:t>
            </w:r>
          </w:p>
          <w:p w14:paraId="421F2E2C" w14:textId="77777777" w:rsidR="00BA361E" w:rsidRPr="004E13E9" w:rsidRDefault="00BA361E" w:rsidP="00BA361E">
            <w:pPr>
              <w:spacing w:line="233" w:lineRule="exact"/>
              <w:ind w:left="102"/>
              <w:contextualSpacing/>
              <w:rPr>
                <w:rFonts w:ascii="Cambria" w:eastAsia="Times New Roman" w:hAnsi="Cambria" w:cs="Times New Roman"/>
                <w:sz w:val="20"/>
                <w:szCs w:val="20"/>
                <w:lang w:val="fr-FR"/>
              </w:rPr>
            </w:pPr>
            <w:hyperlink r:id="rId231" w:history="1">
              <w:r w:rsidRPr="004E13E9">
                <w:rPr>
                  <w:rFonts w:ascii="Cambria" w:eastAsia="Times New Roman" w:hAnsi="Cambria" w:cs="Times New Roman"/>
                  <w:color w:val="0563C1"/>
                  <w:sz w:val="20"/>
                  <w:szCs w:val="20"/>
                  <w:lang w:val="fr-FR"/>
                </w:rPr>
                <w:t>Rec. 25-04</w:t>
              </w:r>
            </w:hyperlink>
            <w:r w:rsidRPr="004E13E9">
              <w:rPr>
                <w:rFonts w:ascii="Cambria" w:eastAsia="Times New Roman" w:hAnsi="Cambria" w:cs="Times New Roman"/>
                <w:sz w:val="20"/>
                <w:szCs w:val="20"/>
                <w:lang w:val="fr-FR"/>
              </w:rPr>
              <w:t xml:space="preserve"> ; annexe 10, paragraphe 9</w:t>
            </w:r>
          </w:p>
        </w:tc>
        <w:tc>
          <w:tcPr>
            <w:tcW w:w="619" w:type="pct"/>
            <w:vAlign w:val="center"/>
          </w:tcPr>
          <w:p w14:paraId="413B34DC" w14:textId="77777777" w:rsidR="00BA361E" w:rsidRPr="004E13E9" w:rsidRDefault="00BA361E" w:rsidP="00BA361E">
            <w:pPr>
              <w:spacing w:before="60" w:after="60"/>
              <w:ind w:left="102" w:right="102"/>
              <w:contextualSpacing/>
              <w:jc w:val="center"/>
              <w:rPr>
                <w:rFonts w:ascii="Cambria" w:hAnsi="Cambria"/>
                <w:sz w:val="20"/>
                <w:szCs w:val="20"/>
                <w:lang w:val="fr-FR"/>
              </w:rPr>
            </w:pPr>
            <w:r w:rsidRPr="004E13E9">
              <w:rPr>
                <w:rFonts w:ascii="Cambria" w:eastAsia="Times New Roman" w:hAnsi="Cambria" w:cs="Times New Roman"/>
                <w:sz w:val="20"/>
                <w:szCs w:val="20"/>
                <w:lang w:val="fr-FR"/>
              </w:rPr>
              <w:t>Nouvelle demande d’éclaircissement</w:t>
            </w:r>
          </w:p>
        </w:tc>
        <w:tc>
          <w:tcPr>
            <w:tcW w:w="754" w:type="pct"/>
            <w:vAlign w:val="center"/>
          </w:tcPr>
          <w:p w14:paraId="1767C4D3"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Y a-t-il des circonstances, en dehors des fermes directement reliées à la madrague, où les libérations peuvent avoir lieu directement depuis la ferme plutôt que d'être remorquées sur la distance minimale jusqu'à la mer ?</w:t>
            </w:r>
          </w:p>
        </w:tc>
        <w:tc>
          <w:tcPr>
            <w:tcW w:w="764" w:type="pct"/>
            <w:vAlign w:val="center"/>
          </w:tcPr>
          <w:p w14:paraId="02F69185"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hAnsi="Cambria"/>
                <w:sz w:val="20"/>
                <w:szCs w:val="20"/>
                <w:lang w:val="fr-FR"/>
              </w:rPr>
              <w:t xml:space="preserve">Non applicable pour la </w:t>
            </w:r>
            <w:r w:rsidRPr="004E13E9">
              <w:rPr>
                <w:rFonts w:ascii="Cambria" w:hAnsi="Cambria"/>
                <w:spacing w:val="-1"/>
                <w:sz w:val="20"/>
                <w:szCs w:val="20"/>
                <w:lang w:val="fr-FR"/>
              </w:rPr>
              <w:t>Türkiye.</w:t>
            </w:r>
          </w:p>
        </w:tc>
        <w:tc>
          <w:tcPr>
            <w:tcW w:w="764" w:type="pct"/>
            <w:vAlign w:val="center"/>
          </w:tcPr>
          <w:p w14:paraId="48395E01"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L'UE n'a pas connaissance de telles circonstances. En tout état de cause, la distance minimale par rapport à la mer est importante pour améliorer les possibilités de retour à un stock sauvage. En outre, les libérations à proximité des côtes pourraient avoir une incidence sur les activités de pêche menées par d'autres segments de la flottille côtière.</w:t>
            </w:r>
          </w:p>
        </w:tc>
        <w:tc>
          <w:tcPr>
            <w:tcW w:w="764" w:type="pct"/>
          </w:tcPr>
          <w:p w14:paraId="5BD8192A" w14:textId="77777777" w:rsidR="00BA361E" w:rsidRPr="004E13E9" w:rsidRDefault="00BA361E" w:rsidP="00BA361E">
            <w:pPr>
              <w:spacing w:before="60" w:after="60"/>
              <w:ind w:left="102" w:right="102"/>
              <w:contextualSpacing/>
              <w:jc w:val="both"/>
              <w:rPr>
                <w:rFonts w:ascii="Cambria" w:eastAsia="Times New Roman" w:hAnsi="Cambria" w:cs="Times New Roman"/>
                <w:b/>
                <w:bCs/>
                <w:sz w:val="20"/>
                <w:szCs w:val="20"/>
                <w:lang w:val="fr-FR"/>
              </w:rPr>
            </w:pPr>
            <w:r w:rsidRPr="004E13E9">
              <w:rPr>
                <w:rFonts w:ascii="Cambria" w:eastAsia="Times New Roman" w:hAnsi="Cambria" w:cs="Times New Roman"/>
                <w:b/>
                <w:bCs/>
                <w:sz w:val="20"/>
                <w:szCs w:val="20"/>
                <w:lang w:val="fr-FR"/>
              </w:rPr>
              <w:t>Commentaire à la réponse formulée par l’UE :</w:t>
            </w:r>
          </w:p>
          <w:p w14:paraId="0C4A5812"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Plusieurs PNC ont été envoyées à l'UE à ce sujet, les poissons étant relâchés directement à partir de la ferme.</w:t>
            </w:r>
          </w:p>
          <w:p w14:paraId="1B216F07" w14:textId="77777777" w:rsidR="00BA361E" w:rsidRPr="004E13E9" w:rsidRDefault="00BA361E" w:rsidP="00BA361E">
            <w:pPr>
              <w:spacing w:before="60" w:after="60"/>
              <w:ind w:left="102" w:right="102"/>
              <w:contextualSpacing/>
              <w:jc w:val="both"/>
              <w:rPr>
                <w:rFonts w:ascii="Cambria" w:eastAsia="Times New Roman" w:hAnsi="Cambria" w:cs="Times New Roman"/>
                <w:b/>
                <w:bCs/>
                <w:sz w:val="20"/>
                <w:szCs w:val="20"/>
                <w:lang w:val="fr-FR"/>
              </w:rPr>
            </w:pPr>
          </w:p>
          <w:p w14:paraId="6CAD13C4"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p>
        </w:tc>
        <w:tc>
          <w:tcPr>
            <w:tcW w:w="763" w:type="pct"/>
          </w:tcPr>
          <w:tbl>
            <w:tblPr>
              <w:tblStyle w:val="TableNormal1"/>
              <w:tblpPr w:leftFromText="180" w:rightFromText="180" w:vertAnchor="text" w:tblpY="1"/>
              <w:tblOverlap w:val="never"/>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tblGrid>
            <w:tr w:rsidR="00BA361E" w:rsidRPr="0084719E" w14:paraId="093E4FB6" w14:textId="77777777" w:rsidTr="008C32A2">
              <w:trPr>
                <w:trHeight w:val="849"/>
              </w:trPr>
              <w:tc>
                <w:tcPr>
                  <w:tcW w:w="819" w:type="pct"/>
                </w:tcPr>
                <w:p w14:paraId="46DC3732"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Conformément à la Rec. 25-04, annexe 10, paragraphes 9 et 14, à l'exception des fermes directement reliées à une madrague, toutes les opérations de libération à partir des fermes doivent être effectuées à une distance minimale. Dans le cas contraire, cela sera considéré comme une PNC.</w:t>
                  </w:r>
                </w:p>
              </w:tc>
            </w:tr>
          </w:tbl>
          <w:p w14:paraId="3684A4BA"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p>
        </w:tc>
      </w:tr>
      <w:tr w:rsidR="00BA361E" w:rsidRPr="0084719E" w14:paraId="368D682F" w14:textId="77777777" w:rsidTr="00F204CE">
        <w:trPr>
          <w:cantSplit/>
          <w:trHeight w:val="849"/>
        </w:trPr>
        <w:tc>
          <w:tcPr>
            <w:tcW w:w="571" w:type="pct"/>
            <w:vAlign w:val="center"/>
          </w:tcPr>
          <w:p w14:paraId="19F2D9B3" w14:textId="77777777" w:rsidR="00BA361E" w:rsidRPr="004E13E9" w:rsidRDefault="00BA361E" w:rsidP="00BA361E">
            <w:pPr>
              <w:spacing w:line="233" w:lineRule="exact"/>
              <w:ind w:left="102"/>
              <w:contextualSpacing/>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Scellés dans les fermes pendant le déploiement couvrant la mise à mort</w:t>
            </w:r>
          </w:p>
          <w:p w14:paraId="14967548" w14:textId="77777777" w:rsidR="00BA361E" w:rsidRPr="004E13E9" w:rsidRDefault="00BA361E" w:rsidP="00BA361E">
            <w:pPr>
              <w:spacing w:line="233" w:lineRule="exact"/>
              <w:ind w:left="102"/>
              <w:contextualSpacing/>
              <w:rPr>
                <w:rFonts w:ascii="Cambria" w:eastAsia="Times New Roman" w:hAnsi="Cambria" w:cs="Times New Roman"/>
                <w:sz w:val="20"/>
                <w:szCs w:val="20"/>
                <w:lang w:val="fr-FR"/>
              </w:rPr>
            </w:pPr>
            <w:hyperlink r:id="rId232" w:history="1">
              <w:r w:rsidRPr="004E13E9">
                <w:rPr>
                  <w:rFonts w:ascii="Cambria" w:eastAsia="Times New Roman" w:hAnsi="Cambria" w:cs="Times New Roman"/>
                  <w:color w:val="0563C1"/>
                  <w:sz w:val="20"/>
                  <w:szCs w:val="20"/>
                  <w:lang w:val="fr-FR"/>
                </w:rPr>
                <w:t>Rec. 25-04</w:t>
              </w:r>
            </w:hyperlink>
            <w:r w:rsidRPr="004E13E9">
              <w:rPr>
                <w:rFonts w:ascii="Cambria" w:eastAsia="Times New Roman" w:hAnsi="Cambria" w:cs="Times New Roman"/>
                <w:sz w:val="20"/>
                <w:szCs w:val="20"/>
                <w:lang w:val="fr-FR"/>
              </w:rPr>
              <w:t>, paragraphe 159</w:t>
            </w:r>
          </w:p>
        </w:tc>
        <w:tc>
          <w:tcPr>
            <w:tcW w:w="619" w:type="pct"/>
            <w:vAlign w:val="center"/>
          </w:tcPr>
          <w:p w14:paraId="6B1E090B" w14:textId="77777777" w:rsidR="00BA361E" w:rsidRPr="004E13E9" w:rsidRDefault="00BA361E" w:rsidP="00BA361E">
            <w:pPr>
              <w:spacing w:before="60" w:after="60"/>
              <w:ind w:left="102" w:right="102"/>
              <w:contextualSpacing/>
              <w:jc w:val="center"/>
              <w:rPr>
                <w:rFonts w:ascii="Cambria" w:hAnsi="Cambria"/>
                <w:sz w:val="20"/>
                <w:szCs w:val="20"/>
                <w:lang w:val="fr-FR"/>
              </w:rPr>
            </w:pPr>
            <w:r w:rsidRPr="004E13E9">
              <w:rPr>
                <w:rFonts w:ascii="Cambria" w:eastAsia="Times New Roman" w:hAnsi="Cambria" w:cs="Times New Roman"/>
                <w:sz w:val="20"/>
                <w:szCs w:val="20"/>
                <w:lang w:val="fr-FR"/>
              </w:rPr>
              <w:t>Nouvelle demande d’éclaircissement</w:t>
            </w:r>
          </w:p>
        </w:tc>
        <w:tc>
          <w:tcPr>
            <w:tcW w:w="754" w:type="pct"/>
            <w:vAlign w:val="center"/>
          </w:tcPr>
          <w:p w14:paraId="7A4DEC8B"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 xml:space="preserve">La Recommandation ne prévoit pas l'apposition de scellés dans les fermes, ni pendant les opérations de mise à mort et de mise en cage. Le consortium peut-il cesser de mettre les scellés à la disposition de l'observateur du ROP pendant ces opérations, sachant que les scellés de la CPC seront toujours disponibles pour l'observateur national dans la ferme ?  </w:t>
            </w:r>
          </w:p>
        </w:tc>
        <w:tc>
          <w:tcPr>
            <w:tcW w:w="764" w:type="pct"/>
            <w:vAlign w:val="center"/>
          </w:tcPr>
          <w:p w14:paraId="1A7892F3"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hAnsi="Cambria"/>
                <w:sz w:val="20"/>
                <w:szCs w:val="20"/>
                <w:lang w:val="fr-FR"/>
              </w:rPr>
              <w:t xml:space="preserve">Cela est acceptable pour la </w:t>
            </w:r>
            <w:r w:rsidRPr="004E13E9">
              <w:rPr>
                <w:rFonts w:ascii="Cambria" w:hAnsi="Cambria"/>
                <w:spacing w:val="-1"/>
                <w:sz w:val="20"/>
                <w:szCs w:val="20"/>
                <w:lang w:val="fr-FR"/>
              </w:rPr>
              <w:t>Türkiye</w:t>
            </w:r>
            <w:r w:rsidRPr="004E13E9">
              <w:rPr>
                <w:rFonts w:ascii="Cambria" w:hAnsi="Cambria"/>
                <w:sz w:val="20"/>
                <w:szCs w:val="20"/>
                <w:lang w:val="fr-FR"/>
              </w:rPr>
              <w:t>, car l'autorité compétente turque fournit des scellés de la CPC pour les cages utilisées dans les opérations d’élevage, comme le sait le Consortium.</w:t>
            </w:r>
          </w:p>
        </w:tc>
        <w:tc>
          <w:tcPr>
            <w:tcW w:w="764" w:type="pct"/>
            <w:vAlign w:val="center"/>
          </w:tcPr>
          <w:p w14:paraId="1EAA30E6"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Les autorités de contrôle sont celles qui sont chargées du contrôle dans les fermes. Elles sont chargées de sceller et de desceller les cages.</w:t>
            </w:r>
          </w:p>
        </w:tc>
        <w:tc>
          <w:tcPr>
            <w:tcW w:w="764" w:type="pct"/>
          </w:tcPr>
          <w:p w14:paraId="02229903" w14:textId="77777777" w:rsidR="00BA361E" w:rsidRPr="004E13E9" w:rsidRDefault="00BA361E" w:rsidP="00BA361E">
            <w:pPr>
              <w:spacing w:before="60" w:after="60"/>
              <w:ind w:left="102" w:right="102"/>
              <w:contextualSpacing/>
              <w:jc w:val="both"/>
              <w:rPr>
                <w:rFonts w:ascii="Cambria" w:eastAsia="Times New Roman" w:hAnsi="Cambria" w:cs="Times New Roman"/>
                <w:b/>
                <w:bCs/>
                <w:sz w:val="20"/>
                <w:szCs w:val="20"/>
                <w:lang w:val="fr-FR"/>
              </w:rPr>
            </w:pPr>
            <w:r w:rsidRPr="004E13E9">
              <w:rPr>
                <w:rFonts w:ascii="Cambria" w:eastAsia="Times New Roman" w:hAnsi="Cambria" w:cs="Times New Roman"/>
                <w:b/>
                <w:bCs/>
                <w:sz w:val="20"/>
                <w:szCs w:val="20"/>
                <w:lang w:val="fr-FR"/>
              </w:rPr>
              <w:t>Commentaire à la réponse formulée par l’UE :</w:t>
            </w:r>
          </w:p>
          <w:p w14:paraId="0454B713"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r w:rsidRPr="004E13E9">
              <w:rPr>
                <w:rFonts w:ascii="Cambria" w:eastAsia="Times New Roman" w:hAnsi="Cambria" w:cs="Times New Roman"/>
                <w:sz w:val="20"/>
                <w:szCs w:val="20"/>
                <w:lang w:val="fr-FR"/>
              </w:rPr>
              <w:t>Les orientations antérieures étaient les suivantes : les transferts peuvent se faire à partir des fermes qui, par définition, peuvent nécessiter des scellés de cage de l’ICCAT. Les orientations antérieures étaient également que les observateurs peuvent être invités à fournir des scellés en dehors des situations énoncées dans la Rec. Toutefois, nous sommes heureux de suivre cette interprétation.</w:t>
            </w:r>
          </w:p>
        </w:tc>
        <w:tc>
          <w:tcPr>
            <w:tcW w:w="763" w:type="pct"/>
          </w:tcPr>
          <w:tbl>
            <w:tblPr>
              <w:tblStyle w:val="TableNormal1"/>
              <w:tblpPr w:leftFromText="180" w:rightFromText="180" w:vertAnchor="text" w:tblpY="1"/>
              <w:tblOverlap w:val="never"/>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tblGrid>
            <w:tr w:rsidR="00BA361E" w:rsidRPr="0084719E" w14:paraId="38842447" w14:textId="77777777" w:rsidTr="008C32A2">
              <w:trPr>
                <w:trHeight w:val="849"/>
              </w:trPr>
              <w:tc>
                <w:tcPr>
                  <w:tcW w:w="819" w:type="pct"/>
                  <w:tcBorders>
                    <w:bottom w:val="nil"/>
                  </w:tcBorders>
                </w:tcPr>
                <w:p w14:paraId="4100031C" w14:textId="77777777" w:rsidR="00BA361E" w:rsidRPr="004E13E9" w:rsidRDefault="00BA361E" w:rsidP="00BA361E">
                  <w:pPr>
                    <w:spacing w:before="60" w:after="60"/>
                    <w:ind w:left="102" w:right="102"/>
                    <w:contextualSpacing/>
                    <w:jc w:val="both"/>
                    <w:rPr>
                      <w:rFonts w:ascii="Cambria" w:hAnsi="Cambria"/>
                      <w:sz w:val="20"/>
                      <w:szCs w:val="20"/>
                      <w:lang w:val="fr-FR"/>
                    </w:rPr>
                  </w:pPr>
                  <w:r w:rsidRPr="004E13E9">
                    <w:rPr>
                      <w:rFonts w:ascii="Cambria" w:eastAsia="Times New Roman" w:hAnsi="Cambria" w:cs="Times New Roman"/>
                      <w:sz w:val="20"/>
                      <w:szCs w:val="20"/>
                      <w:lang w:val="fr-FR"/>
                    </w:rPr>
                    <w:t>Oui, le Consortium peut cesser de mettre les scellés à la disposition de l'observateur du ROP au cours de ces opérations, car les autorités nationales de contrôle sont responsables du contrôle dans les fermes et fourniront les scellés de la CPC pour les cages pour les opérations dans les fermes.</w:t>
                  </w:r>
                </w:p>
              </w:tc>
            </w:tr>
          </w:tbl>
          <w:p w14:paraId="40707D8D" w14:textId="77777777" w:rsidR="00BA361E" w:rsidRPr="004E13E9" w:rsidRDefault="00BA361E" w:rsidP="00BA361E">
            <w:pPr>
              <w:spacing w:before="60" w:after="60"/>
              <w:ind w:left="102" w:right="102"/>
              <w:contextualSpacing/>
              <w:jc w:val="both"/>
              <w:rPr>
                <w:rFonts w:ascii="Cambria" w:eastAsia="Times New Roman" w:hAnsi="Cambria" w:cs="Times New Roman"/>
                <w:sz w:val="20"/>
                <w:szCs w:val="20"/>
                <w:lang w:val="fr-FR"/>
              </w:rPr>
            </w:pPr>
          </w:p>
        </w:tc>
      </w:tr>
    </w:tbl>
    <w:p w14:paraId="0F91CD3E" w14:textId="77777777" w:rsidR="009B5A25" w:rsidRPr="004E13E9" w:rsidRDefault="009B5A25" w:rsidP="009B5A25">
      <w:pPr>
        <w:rPr>
          <w:lang w:val="fr-FR"/>
        </w:rPr>
      </w:pPr>
    </w:p>
    <w:p w14:paraId="6E65C0AC" w14:textId="77777777" w:rsidR="009B5A25" w:rsidRPr="004E13E9" w:rsidRDefault="009B5A25" w:rsidP="00F968FF">
      <w:pPr>
        <w:jc w:val="center"/>
        <w:rPr>
          <w:lang w:val="fr-FR"/>
        </w:rPr>
      </w:pPr>
    </w:p>
    <w:p w14:paraId="2EB87678" w14:textId="77777777" w:rsidR="00AB59EE" w:rsidRPr="004E13E9" w:rsidRDefault="007620BE" w:rsidP="00F968FF">
      <w:pPr>
        <w:jc w:val="center"/>
        <w:rPr>
          <w:b/>
          <w:bCs/>
          <w:lang w:val="fr-FR"/>
        </w:rPr>
        <w:sectPr w:rsidR="00AB59EE" w:rsidRPr="004E13E9" w:rsidSect="00442C45">
          <w:footnotePr>
            <w:numRestart w:val="eachSect"/>
          </w:footnotePr>
          <w:pgSz w:w="16840" w:h="11907" w:orient="landscape" w:code="9"/>
          <w:pgMar w:top="1418" w:right="1418" w:bottom="1418" w:left="1418" w:header="851" w:footer="1134" w:gutter="0"/>
          <w:cols w:space="720"/>
          <w:docGrid w:linePitch="272"/>
        </w:sectPr>
      </w:pPr>
      <w:r w:rsidRPr="004E13E9">
        <w:rPr>
          <w:b/>
          <w:bCs/>
          <w:lang w:val="fr-FR"/>
        </w:rPr>
        <w:br w:type="page"/>
      </w:r>
    </w:p>
    <w:p w14:paraId="1332D0ED" w14:textId="2DF7796E" w:rsidR="00A402C0" w:rsidRPr="004E13E9" w:rsidRDefault="00C90F1C" w:rsidP="0017470B">
      <w:pPr>
        <w:jc w:val="right"/>
        <w:rPr>
          <w:b/>
          <w:bCs/>
          <w:lang w:val="fr-FR"/>
        </w:rPr>
      </w:pPr>
      <w:r w:rsidRPr="004E13E9">
        <w:rPr>
          <w:b/>
          <w:bCs/>
          <w:lang w:val="fr-FR"/>
        </w:rPr>
        <w:t>Appendice 6</w:t>
      </w:r>
    </w:p>
    <w:p w14:paraId="3E1E7EF1" w14:textId="77777777" w:rsidR="00D42329" w:rsidRPr="004E13E9" w:rsidRDefault="00D42329" w:rsidP="005449C8">
      <w:pPr>
        <w:jc w:val="center"/>
        <w:rPr>
          <w:rFonts w:eastAsia="Yu Gothic" w:cs="Times New Roman"/>
          <w:kern w:val="2"/>
          <w:lang w:val="fr-FR"/>
          <w14:ligatures w14:val="standardContextual"/>
        </w:rPr>
      </w:pPr>
    </w:p>
    <w:p w14:paraId="425B6F0A" w14:textId="77777777" w:rsidR="00D42329" w:rsidRPr="004E13E9" w:rsidRDefault="00D42329" w:rsidP="00D42329">
      <w:pPr>
        <w:jc w:val="center"/>
        <w:rPr>
          <w:rFonts w:eastAsia="Yu Mincho" w:cs="Times New Roman"/>
          <w:b/>
          <w:bCs/>
          <w:kern w:val="2"/>
          <w:lang w:val="fr-FR" w:eastAsia="ja-JP"/>
          <w14:ligatures w14:val="standardContextual"/>
        </w:rPr>
      </w:pPr>
      <w:r w:rsidRPr="004E13E9">
        <w:rPr>
          <w:rFonts w:eastAsia="Yu Mincho" w:cs="Times New Roman"/>
          <w:b/>
          <w:kern w:val="2"/>
          <w:lang w:val="fr-FR" w:eastAsia="ja-JP"/>
          <w14:ligatures w14:val="standardContextual"/>
        </w:rPr>
        <w:t>Clarifications demandées en ce qui concerne les Recommandations 24-05 et 25-04</w:t>
      </w:r>
    </w:p>
    <w:p w14:paraId="48BFB311" w14:textId="77777777" w:rsidR="00D42329" w:rsidRPr="004E13E9" w:rsidRDefault="00D42329" w:rsidP="00D42329">
      <w:pPr>
        <w:jc w:val="center"/>
        <w:rPr>
          <w:rFonts w:eastAsia="Yu Mincho" w:cs="Times New Roman"/>
          <w:kern w:val="2"/>
          <w:lang w:val="fr-FR" w:eastAsia="ja-JP"/>
          <w14:ligatures w14:val="standardContextual"/>
        </w:rPr>
      </w:pPr>
    </w:p>
    <w:p w14:paraId="76A0B3E1" w14:textId="77777777" w:rsidR="00D42329" w:rsidRPr="004E13E9" w:rsidRDefault="00D42329" w:rsidP="00D42329">
      <w:pPr>
        <w:jc w:val="both"/>
        <w:rPr>
          <w:rFonts w:eastAsia="Yu Mincho" w:cs="Times New Roman"/>
          <w:kern w:val="2"/>
          <w:lang w:val="fr-FR" w:eastAsia="ja-JP"/>
          <w14:ligatures w14:val="standardContextual"/>
        </w:rPr>
      </w:pPr>
      <w:r w:rsidRPr="004E13E9">
        <w:rPr>
          <w:rFonts w:eastAsia="Yu Mincho" w:cs="Times New Roman"/>
          <w:kern w:val="2"/>
          <w:lang w:val="fr-FR" w:eastAsia="ja-JP"/>
          <w14:ligatures w14:val="standardContextual"/>
        </w:rPr>
        <w:t xml:space="preserve">Au cours de la 29e réunion ordinaire de la Commission, le Secrétariat a présenté le document intitulé « Clarifications demandées en ce qui concerne la Recommandation 24-05 </w:t>
      </w:r>
      <w:hyperlink r:id="rId233" w:history="1">
        <w:r w:rsidRPr="004E13E9">
          <w:rPr>
            <w:rFonts w:eastAsia="Yu Mincho" w:cs="Times New Roman"/>
            <w:color w:val="0563C1"/>
            <w:kern w:val="2"/>
            <w:lang w:val="fr-FR" w:eastAsia="ja-JP"/>
            <w14:ligatures w14:val="standardContextual"/>
          </w:rPr>
          <w:t>» (PA2_606/2025).</w:t>
        </w:r>
      </w:hyperlink>
      <w:r w:rsidRPr="004E13E9">
        <w:rPr>
          <w:rFonts w:eastAsia="Yu Mincho" w:cs="Times New Roman"/>
          <w:kern w:val="2"/>
          <w:lang w:val="fr-FR" w:eastAsia="ja-JP"/>
          <w14:ligatures w14:val="standardContextual"/>
        </w:rPr>
        <w:t xml:space="preserve"> En raison de la nécessité d'aborder des questions plus urgentes au sein de la Sous-commission 2, ces précisions n'ont pas été abordées au cours des sessions de la Sous-commission 2. </w:t>
      </w:r>
    </w:p>
    <w:p w14:paraId="0E21B4D4" w14:textId="77777777" w:rsidR="00D42329" w:rsidRPr="004E13E9" w:rsidRDefault="00D42329" w:rsidP="00D42329">
      <w:pPr>
        <w:jc w:val="both"/>
        <w:rPr>
          <w:rFonts w:eastAsia="Yu Mincho" w:cs="Times New Roman"/>
          <w:kern w:val="2"/>
          <w:lang w:val="fr-FR" w:eastAsia="ja-JP"/>
          <w14:ligatures w14:val="standardContextual"/>
        </w:rPr>
      </w:pPr>
    </w:p>
    <w:p w14:paraId="3E22E6AF" w14:textId="424B9F8B" w:rsidR="00D42329" w:rsidRPr="004E13E9" w:rsidRDefault="00D42329" w:rsidP="00D42329">
      <w:pPr>
        <w:jc w:val="both"/>
        <w:rPr>
          <w:rFonts w:eastAsia="Yu Mincho" w:cs="Times New Roman"/>
          <w:kern w:val="2"/>
          <w:lang w:val="fr-FR" w:eastAsia="ja-JP"/>
          <w14:ligatures w14:val="standardContextual"/>
        </w:rPr>
      </w:pPr>
      <w:r w:rsidRPr="004E13E9">
        <w:rPr>
          <w:rFonts w:eastAsia="Yu Mincho" w:cs="Times New Roman"/>
          <w:kern w:val="2"/>
          <w:lang w:val="fr-FR" w:eastAsia="ja-JP"/>
          <w14:ligatures w14:val="standardContextual"/>
        </w:rPr>
        <w:t xml:space="preserve">A la lumière de ce qui précède, le Secrétariat a de nouveau sollicité les commentaires des membres de la Sous-commission 2 par le biais de la Circulaire ICCAT </w:t>
      </w:r>
      <w:r w:rsidR="00626333" w:rsidRPr="004E13E9">
        <w:rPr>
          <w:rFonts w:eastAsia="Yu Mincho" w:cs="Times New Roman"/>
          <w:kern w:val="2"/>
          <w:lang w:val="fr-FR" w:eastAsia="ja-JP"/>
          <w14:ligatures w14:val="standardContextual"/>
        </w:rPr>
        <w:t>nº</w:t>
      </w:r>
      <w:r w:rsidRPr="004E13E9">
        <w:rPr>
          <w:rFonts w:eastAsia="Yu Mincho" w:cs="Times New Roman"/>
          <w:kern w:val="2"/>
          <w:lang w:val="fr-FR" w:eastAsia="ja-JP"/>
          <w14:ligatures w14:val="standardContextual"/>
        </w:rPr>
        <w:t>00652/2026 et a reçu, dans les délais impartis, des soumissions de l'Union européenne et de l'Égypte sur cette question.</w:t>
      </w:r>
    </w:p>
    <w:p w14:paraId="5BF88DDB" w14:textId="77777777" w:rsidR="00D42329" w:rsidRPr="004E13E9" w:rsidRDefault="00D42329" w:rsidP="00D42329">
      <w:pPr>
        <w:jc w:val="both"/>
        <w:rPr>
          <w:rFonts w:eastAsia="Yu Mincho" w:cs="Times New Roman"/>
          <w:kern w:val="2"/>
          <w:lang w:val="fr-FR" w:eastAsia="ja-JP"/>
          <w14:ligatures w14:val="standardContextual"/>
        </w:rPr>
      </w:pPr>
    </w:p>
    <w:p w14:paraId="6966F2EE" w14:textId="77777777" w:rsidR="00D42329" w:rsidRPr="004E13E9" w:rsidRDefault="00D42329" w:rsidP="00D42329">
      <w:pPr>
        <w:jc w:val="both"/>
        <w:rPr>
          <w:rFonts w:eastAsia="Yu Mincho" w:cs="Times New Roman"/>
          <w:kern w:val="2"/>
          <w:lang w:val="fr-FR" w:eastAsia="ja-JP"/>
          <w14:ligatures w14:val="standardContextual"/>
        </w:rPr>
      </w:pPr>
      <w:r w:rsidRPr="004E13E9">
        <w:rPr>
          <w:rFonts w:eastAsia="Yu Mincho" w:cs="Times New Roman"/>
          <w:kern w:val="2"/>
          <w:lang w:val="fr-FR" w:eastAsia="ja-JP"/>
          <w14:ligatures w14:val="standardContextual"/>
        </w:rPr>
        <w:t xml:space="preserve">Les nouveaux commentaires ont été incorporés dans le document révisé, conjointement avec ceux déjà présentés dans le document </w:t>
      </w:r>
      <w:hyperlink r:id="rId234" w:history="1">
        <w:r w:rsidRPr="004E13E9">
          <w:rPr>
            <w:rFonts w:eastAsia="Yu Mincho" w:cs="Times New Roman"/>
            <w:color w:val="0563C1"/>
            <w:kern w:val="2"/>
            <w:lang w:val="fr-FR" w:eastAsia="ja-JP"/>
            <w14:ligatures w14:val="standardContextual"/>
          </w:rPr>
          <w:t>PA2_606/2025</w:t>
        </w:r>
      </w:hyperlink>
      <w:r w:rsidRPr="004E13E9">
        <w:rPr>
          <w:rFonts w:eastAsia="Yu Mincho" w:cs="Times New Roman"/>
          <w:kern w:val="2"/>
          <w:lang w:val="fr-FR" w:eastAsia="ja-JP"/>
          <w14:ligatures w14:val="standardContextual"/>
        </w:rPr>
        <w:t xml:space="preserve">, qui est disponible en tant que </w:t>
      </w:r>
      <w:r w:rsidRPr="004E13E9">
        <w:rPr>
          <w:rFonts w:eastAsia="Yu Mincho" w:cs="Times New Roman"/>
          <w:b/>
          <w:kern w:val="2"/>
          <w:lang w:val="fr-FR" w:eastAsia="ja-JP"/>
          <w14:ligatures w14:val="standardContextual"/>
        </w:rPr>
        <w:t xml:space="preserve">tableau 1 </w:t>
      </w:r>
      <w:r w:rsidRPr="004E13E9">
        <w:rPr>
          <w:rFonts w:eastAsia="Yu Mincho" w:cs="Times New Roman"/>
          <w:kern w:val="2"/>
          <w:lang w:val="fr-FR" w:eastAsia="ja-JP"/>
          <w14:ligatures w14:val="standardContextual"/>
        </w:rPr>
        <w:t>du présent document.</w:t>
      </w:r>
    </w:p>
    <w:p w14:paraId="2D8295A4" w14:textId="77777777" w:rsidR="00D42329" w:rsidRPr="004E13E9" w:rsidRDefault="00D42329" w:rsidP="00D42329">
      <w:pPr>
        <w:jc w:val="both"/>
        <w:rPr>
          <w:rFonts w:eastAsia="Yu Mincho" w:cs="Times New Roman"/>
          <w:kern w:val="2"/>
          <w:lang w:val="fr-FR" w:eastAsia="ja-JP"/>
          <w14:ligatures w14:val="standardContextual"/>
        </w:rPr>
      </w:pPr>
    </w:p>
    <w:p w14:paraId="05B36DC1" w14:textId="77777777" w:rsidR="00D42329" w:rsidRPr="004E13E9" w:rsidRDefault="00D42329" w:rsidP="00D42329">
      <w:pPr>
        <w:jc w:val="both"/>
        <w:rPr>
          <w:rFonts w:eastAsia="Yu Mincho" w:cs="Times New Roman"/>
          <w:kern w:val="2"/>
          <w:lang w:val="fr-FR" w:eastAsia="ja-JP"/>
          <w14:ligatures w14:val="standardContextual"/>
        </w:rPr>
      </w:pPr>
      <w:r w:rsidRPr="004E13E9">
        <w:rPr>
          <w:rFonts w:eastAsia="Yu Mincho" w:cs="Times New Roman"/>
          <w:kern w:val="2"/>
          <w:lang w:val="fr-FR" w:eastAsia="ja-JP"/>
          <w14:ligatures w14:val="standardContextual"/>
        </w:rPr>
        <w:t xml:space="preserve">Veuillez noter que les questions en suspens s'appliquent également à la </w:t>
      </w:r>
      <w:hyperlink r:id="rId235" w:history="1">
        <w:r w:rsidRPr="004E13E9">
          <w:rPr>
            <w:rFonts w:eastAsia="Yu Mincho" w:cs="Times New Roman"/>
            <w:i/>
            <w:iCs/>
            <w:color w:val="0563C1"/>
            <w:kern w:val="2"/>
            <w:lang w:val="fr-FR" w:eastAsia="ja-JP"/>
            <w14:ligatures w14:val="standardContextual"/>
          </w:rPr>
          <w:t>Recommandation de l’ICCAT remplaçant la Recommandation 24-05 établissant un plan pluriannuel de gestion du thon rouge dans l’Atlantique Est et la Méditerranée</w:t>
        </w:r>
        <w:r w:rsidRPr="004E13E9">
          <w:rPr>
            <w:rFonts w:eastAsia="Yu Mincho" w:cs="Times New Roman"/>
            <w:color w:val="0563C1"/>
            <w:kern w:val="2"/>
            <w:lang w:val="fr-FR" w:eastAsia="ja-JP"/>
            <w14:ligatures w14:val="standardContextual"/>
          </w:rPr>
          <w:t xml:space="preserve"> (Rec. 25-04</w:t>
        </w:r>
      </w:hyperlink>
      <w:r w:rsidRPr="004E13E9">
        <w:rPr>
          <w:rFonts w:eastAsia="Yu Mincho" w:cs="Times New Roman"/>
          <w:kern w:val="2"/>
          <w:lang w:val="fr-FR" w:eastAsia="ja-JP"/>
          <w14:ligatures w14:val="standardContextual"/>
        </w:rPr>
        <w:t>) qui, après consultation du Président de la Sous-commission 2 et conformément à la circulaire n°12095/2025 de l’ICCAT, servira de référence unique pour la saison de pêche au thon rouge de l'Atlantique Est et de la Méditerranée en 2026.</w:t>
      </w:r>
    </w:p>
    <w:p w14:paraId="4F8628EE" w14:textId="77777777" w:rsidR="00D42329" w:rsidRPr="004E13E9" w:rsidRDefault="00D42329" w:rsidP="00D42329">
      <w:pPr>
        <w:jc w:val="both"/>
        <w:rPr>
          <w:rFonts w:eastAsia="Yu Mincho" w:cs="Times New Roman"/>
          <w:kern w:val="2"/>
          <w:lang w:val="fr-FR" w:eastAsia="ja-JP"/>
          <w14:ligatures w14:val="standardContextual"/>
        </w:rPr>
      </w:pPr>
    </w:p>
    <w:p w14:paraId="68DD058E" w14:textId="77777777" w:rsidR="00D42329" w:rsidRPr="004E13E9" w:rsidRDefault="00D42329" w:rsidP="00D42329">
      <w:pPr>
        <w:jc w:val="both"/>
        <w:rPr>
          <w:rFonts w:eastAsia="Yu Mincho" w:cs="Times New Roman"/>
          <w:kern w:val="2"/>
          <w:lang w:val="fr-FR" w:eastAsia="ja-JP"/>
          <w14:ligatures w14:val="standardContextual"/>
        </w:rPr>
      </w:pPr>
    </w:p>
    <w:p w14:paraId="022B034A" w14:textId="77777777" w:rsidR="00D42329" w:rsidRPr="004E13E9" w:rsidRDefault="00D42329" w:rsidP="00D42329">
      <w:pPr>
        <w:jc w:val="both"/>
        <w:rPr>
          <w:rFonts w:eastAsia="Yu Mincho" w:cs="Times New Roman"/>
          <w:kern w:val="2"/>
          <w:lang w:val="fr-FR" w:eastAsia="ja-JP"/>
          <w14:ligatures w14:val="standardContextual"/>
        </w:rPr>
      </w:pPr>
    </w:p>
    <w:p w14:paraId="4729D42C" w14:textId="77777777" w:rsidR="00D42329" w:rsidRPr="004E13E9" w:rsidRDefault="00D42329" w:rsidP="00D42329">
      <w:pPr>
        <w:jc w:val="both"/>
        <w:rPr>
          <w:rFonts w:eastAsia="Yu Mincho" w:cs="Times New Roman"/>
          <w:kern w:val="2"/>
          <w:lang w:val="fr-FR" w:eastAsia="ja-JP"/>
          <w14:ligatures w14:val="standardContextual"/>
        </w:rPr>
      </w:pPr>
    </w:p>
    <w:p w14:paraId="01771BA2" w14:textId="77777777" w:rsidR="005C118D" w:rsidRPr="004E13E9" w:rsidRDefault="005C118D" w:rsidP="00D42329">
      <w:pPr>
        <w:jc w:val="both"/>
        <w:rPr>
          <w:rFonts w:eastAsia="Yu Mincho" w:cs="Times New Roman"/>
          <w:kern w:val="2"/>
          <w:lang w:val="fr-FR" w:eastAsia="ja-JP"/>
          <w14:ligatures w14:val="standardContextual"/>
        </w:rPr>
        <w:sectPr w:rsidR="005C118D" w:rsidRPr="004E13E9" w:rsidSect="002506D6">
          <w:pgSz w:w="11907" w:h="16840" w:code="9"/>
          <w:pgMar w:top="1418" w:right="1418" w:bottom="1418" w:left="1418" w:header="851" w:footer="1134" w:gutter="0"/>
          <w:cols w:space="720"/>
          <w:docGrid w:linePitch="272"/>
        </w:sectPr>
      </w:pPr>
    </w:p>
    <w:p w14:paraId="1FC66C25" w14:textId="77777777" w:rsidR="00B66197" w:rsidRPr="004E13E9" w:rsidRDefault="00B66197" w:rsidP="00B66197">
      <w:pPr>
        <w:jc w:val="right"/>
        <w:rPr>
          <w:rFonts w:eastAsia="Yu Mincho" w:cs="Times New Roman"/>
          <w:b/>
          <w:bCs/>
          <w:lang w:val="fr-FR"/>
        </w:rPr>
      </w:pPr>
      <w:r w:rsidRPr="004E13E9">
        <w:rPr>
          <w:b/>
          <w:lang w:val="fr-FR"/>
        </w:rPr>
        <w:t>Tableau 1</w:t>
      </w:r>
    </w:p>
    <w:p w14:paraId="1A2F7AFF" w14:textId="77777777" w:rsidR="00B66197" w:rsidRPr="004E13E9" w:rsidRDefault="00B66197" w:rsidP="00B66197">
      <w:pPr>
        <w:jc w:val="center"/>
        <w:rPr>
          <w:b/>
          <w:bCs/>
          <w:lang w:val="fr-FR"/>
        </w:rPr>
      </w:pPr>
    </w:p>
    <w:p w14:paraId="2A8E3AEA" w14:textId="77777777" w:rsidR="00B66197" w:rsidRPr="004E13E9" w:rsidRDefault="00B66197" w:rsidP="00B66197">
      <w:pPr>
        <w:jc w:val="center"/>
        <w:rPr>
          <w:rFonts w:eastAsia="Yu Mincho" w:cs="Times New Roman"/>
          <w:b/>
          <w:bCs/>
          <w:lang w:val="fr-FR"/>
        </w:rPr>
      </w:pPr>
      <w:r w:rsidRPr="004E13E9">
        <w:rPr>
          <w:b/>
          <w:lang w:val="fr-FR"/>
        </w:rPr>
        <w:t>Clarifications demandées en ce qui concerne les Recommandations 24-05 et 25-04</w:t>
      </w:r>
    </w:p>
    <w:p w14:paraId="2D76F847" w14:textId="77777777" w:rsidR="00B66197" w:rsidRPr="004E13E9" w:rsidRDefault="00B66197" w:rsidP="00B66197">
      <w:pPr>
        <w:jc w:val="center"/>
        <w:rPr>
          <w:lang w:val="fr-FR"/>
        </w:rPr>
      </w:pPr>
      <w:r w:rsidRPr="004E13E9">
        <w:rPr>
          <w:lang w:val="fr-FR"/>
        </w:rPr>
        <w:tab/>
      </w:r>
    </w:p>
    <w:tbl>
      <w:tblPr>
        <w:tblStyle w:val="TableGrid2"/>
        <w:tblW w:w="5000" w:type="pct"/>
        <w:jc w:val="center"/>
        <w:tblLayout w:type="fixed"/>
        <w:tblLook w:val="04A0" w:firstRow="1" w:lastRow="0" w:firstColumn="1" w:lastColumn="0" w:noHBand="0" w:noVBand="1"/>
      </w:tblPr>
      <w:tblGrid>
        <w:gridCol w:w="932"/>
        <w:gridCol w:w="1993"/>
        <w:gridCol w:w="1755"/>
        <w:gridCol w:w="1173"/>
        <w:gridCol w:w="1405"/>
        <w:gridCol w:w="1872"/>
        <w:gridCol w:w="2432"/>
        <w:gridCol w:w="2432"/>
      </w:tblGrid>
      <w:tr w:rsidR="00B66197" w:rsidRPr="0084719E" w14:paraId="1C1303E9" w14:textId="77777777" w:rsidTr="00125C7F">
        <w:trPr>
          <w:trHeight w:val="142"/>
          <w:tblHeader/>
          <w:jc w:val="center"/>
        </w:trPr>
        <w:tc>
          <w:tcPr>
            <w:tcW w:w="333" w:type="pct"/>
            <w:vAlign w:val="center"/>
          </w:tcPr>
          <w:p w14:paraId="481F8A65" w14:textId="77777777" w:rsidR="00B66197" w:rsidRPr="004E13E9" w:rsidRDefault="00B66197" w:rsidP="00125C7F">
            <w:pPr>
              <w:ind w:left="426"/>
              <w:contextualSpacing/>
              <w:rPr>
                <w:rFonts w:ascii="Cambria" w:eastAsia="Yu Mincho" w:hAnsi="Cambria"/>
                <w:b/>
                <w:bCs/>
                <w:sz w:val="18"/>
                <w:szCs w:val="18"/>
                <w:lang w:val="fr-FR"/>
              </w:rPr>
            </w:pPr>
          </w:p>
        </w:tc>
        <w:tc>
          <w:tcPr>
            <w:tcW w:w="712" w:type="pct"/>
            <w:vAlign w:val="center"/>
          </w:tcPr>
          <w:p w14:paraId="7D0D0CEB" w14:textId="77777777" w:rsidR="00B66197" w:rsidRPr="004E13E9" w:rsidRDefault="00B66197" w:rsidP="00125C7F">
            <w:pPr>
              <w:ind w:left="426"/>
              <w:contextualSpacing/>
              <w:rPr>
                <w:rFonts w:ascii="Cambria" w:eastAsia="Yu Mincho" w:hAnsi="Cambria"/>
                <w:b/>
                <w:bCs/>
                <w:sz w:val="18"/>
                <w:szCs w:val="18"/>
              </w:rPr>
            </w:pPr>
            <w:r w:rsidRPr="004E13E9">
              <w:rPr>
                <w:rFonts w:ascii="Cambria" w:hAnsi="Cambria"/>
                <w:b/>
                <w:i/>
                <w:sz w:val="18"/>
                <w:szCs w:val="18"/>
              </w:rPr>
              <w:t>Question</w:t>
            </w:r>
          </w:p>
        </w:tc>
        <w:tc>
          <w:tcPr>
            <w:tcW w:w="627" w:type="pct"/>
            <w:vAlign w:val="center"/>
          </w:tcPr>
          <w:p w14:paraId="78B59777" w14:textId="77777777" w:rsidR="00B66197" w:rsidRPr="004E13E9" w:rsidRDefault="00B66197" w:rsidP="00125C7F">
            <w:pPr>
              <w:ind w:left="426"/>
              <w:contextualSpacing/>
              <w:rPr>
                <w:rFonts w:ascii="Cambria" w:eastAsia="Yu Mincho" w:hAnsi="Cambria"/>
                <w:b/>
                <w:bCs/>
                <w:sz w:val="18"/>
                <w:szCs w:val="18"/>
              </w:rPr>
            </w:pPr>
            <w:proofErr w:type="spellStart"/>
            <w:r w:rsidRPr="004E13E9">
              <w:rPr>
                <w:rFonts w:ascii="Cambria" w:hAnsi="Cambria"/>
                <w:b/>
                <w:i/>
                <w:sz w:val="18"/>
                <w:szCs w:val="18"/>
              </w:rPr>
              <w:t>Demande</w:t>
            </w:r>
            <w:proofErr w:type="spellEnd"/>
          </w:p>
        </w:tc>
        <w:tc>
          <w:tcPr>
            <w:tcW w:w="419" w:type="pct"/>
            <w:vAlign w:val="center"/>
          </w:tcPr>
          <w:p w14:paraId="6980B96C" w14:textId="77777777" w:rsidR="00B66197" w:rsidRPr="004E13E9" w:rsidRDefault="00B66197" w:rsidP="00125C7F">
            <w:pPr>
              <w:ind w:left="177"/>
              <w:contextualSpacing/>
              <w:jc w:val="center"/>
              <w:rPr>
                <w:rFonts w:ascii="Cambria" w:eastAsia="Yu Mincho" w:hAnsi="Cambria"/>
                <w:b/>
                <w:bCs/>
                <w:sz w:val="18"/>
                <w:szCs w:val="18"/>
              </w:rPr>
            </w:pPr>
            <w:proofErr w:type="spellStart"/>
            <w:r w:rsidRPr="004E13E9">
              <w:rPr>
                <w:rFonts w:ascii="Cambria" w:hAnsi="Cambria"/>
                <w:b/>
                <w:i/>
                <w:sz w:val="18"/>
                <w:szCs w:val="18"/>
              </w:rPr>
              <w:t>Commen-taires</w:t>
            </w:r>
            <w:proofErr w:type="spellEnd"/>
            <w:r w:rsidRPr="004E13E9">
              <w:rPr>
                <w:rFonts w:ascii="Cambria" w:hAnsi="Cambria"/>
                <w:b/>
                <w:i/>
                <w:sz w:val="18"/>
                <w:szCs w:val="18"/>
              </w:rPr>
              <w:t xml:space="preserve"> de Türkiye</w:t>
            </w:r>
          </w:p>
        </w:tc>
        <w:tc>
          <w:tcPr>
            <w:tcW w:w="502" w:type="pct"/>
            <w:vAlign w:val="center"/>
          </w:tcPr>
          <w:p w14:paraId="0A56548E" w14:textId="77777777" w:rsidR="00B66197" w:rsidRPr="004E13E9" w:rsidRDefault="00B66197" w:rsidP="00125C7F">
            <w:pPr>
              <w:ind w:left="-105" w:right="-184"/>
              <w:contextualSpacing/>
              <w:jc w:val="center"/>
              <w:rPr>
                <w:rFonts w:ascii="Cambria" w:eastAsia="Yu Mincho" w:hAnsi="Cambria"/>
                <w:b/>
                <w:bCs/>
                <w:sz w:val="18"/>
                <w:szCs w:val="18"/>
              </w:rPr>
            </w:pPr>
            <w:proofErr w:type="spellStart"/>
            <w:r w:rsidRPr="004E13E9">
              <w:rPr>
                <w:rFonts w:ascii="Cambria" w:hAnsi="Cambria"/>
                <w:b/>
                <w:i/>
                <w:sz w:val="18"/>
                <w:szCs w:val="18"/>
              </w:rPr>
              <w:t>Commentaires</w:t>
            </w:r>
            <w:proofErr w:type="spellEnd"/>
            <w:r w:rsidRPr="004E13E9">
              <w:rPr>
                <w:rFonts w:ascii="Cambria" w:hAnsi="Cambria"/>
                <w:b/>
                <w:i/>
                <w:sz w:val="18"/>
                <w:szCs w:val="18"/>
              </w:rPr>
              <w:t xml:space="preserve"> du </w:t>
            </w:r>
            <w:proofErr w:type="spellStart"/>
            <w:r w:rsidRPr="004E13E9">
              <w:rPr>
                <w:rFonts w:ascii="Cambria" w:hAnsi="Cambria"/>
                <w:b/>
                <w:i/>
                <w:sz w:val="18"/>
                <w:szCs w:val="18"/>
              </w:rPr>
              <w:t>Japon</w:t>
            </w:r>
            <w:proofErr w:type="spellEnd"/>
          </w:p>
        </w:tc>
        <w:tc>
          <w:tcPr>
            <w:tcW w:w="669" w:type="pct"/>
            <w:vAlign w:val="center"/>
          </w:tcPr>
          <w:p w14:paraId="2CF689C7" w14:textId="77777777" w:rsidR="00B66197" w:rsidRPr="004E13E9" w:rsidRDefault="00B66197" w:rsidP="00125C7F">
            <w:pPr>
              <w:ind w:left="177" w:hanging="284"/>
              <w:jc w:val="center"/>
              <w:rPr>
                <w:rFonts w:ascii="Cambria" w:eastAsia="Yu Mincho" w:hAnsi="Cambria"/>
                <w:b/>
                <w:bCs/>
                <w:i/>
                <w:iCs/>
                <w:sz w:val="18"/>
                <w:szCs w:val="18"/>
              </w:rPr>
            </w:pPr>
            <w:proofErr w:type="spellStart"/>
            <w:r w:rsidRPr="004E13E9">
              <w:rPr>
                <w:rFonts w:ascii="Cambria" w:hAnsi="Cambria"/>
                <w:b/>
                <w:i/>
                <w:sz w:val="18"/>
                <w:szCs w:val="18"/>
              </w:rPr>
              <w:t>Commentaires</w:t>
            </w:r>
            <w:proofErr w:type="spellEnd"/>
            <w:r w:rsidRPr="004E13E9">
              <w:rPr>
                <w:rFonts w:ascii="Cambria" w:hAnsi="Cambria"/>
                <w:b/>
                <w:i/>
                <w:sz w:val="18"/>
                <w:szCs w:val="18"/>
              </w:rPr>
              <w:t xml:space="preserve"> de </w:t>
            </w:r>
            <w:proofErr w:type="spellStart"/>
            <w:r w:rsidRPr="004E13E9">
              <w:rPr>
                <w:rFonts w:ascii="Cambria" w:hAnsi="Cambria"/>
                <w:b/>
                <w:i/>
                <w:sz w:val="18"/>
                <w:szCs w:val="18"/>
              </w:rPr>
              <w:t>l’UE</w:t>
            </w:r>
            <w:proofErr w:type="spellEnd"/>
          </w:p>
        </w:tc>
        <w:tc>
          <w:tcPr>
            <w:tcW w:w="869" w:type="pct"/>
            <w:vAlign w:val="center"/>
          </w:tcPr>
          <w:p w14:paraId="091067FF" w14:textId="77777777" w:rsidR="00B66197" w:rsidRPr="004E13E9" w:rsidRDefault="00B66197" w:rsidP="00125C7F">
            <w:pPr>
              <w:ind w:left="23"/>
              <w:jc w:val="center"/>
              <w:rPr>
                <w:rFonts w:ascii="Cambria" w:eastAsia="Yu Mincho" w:hAnsi="Cambria"/>
                <w:b/>
                <w:bCs/>
                <w:i/>
                <w:iCs/>
                <w:sz w:val="18"/>
                <w:szCs w:val="18"/>
              </w:rPr>
            </w:pPr>
            <w:proofErr w:type="spellStart"/>
            <w:r w:rsidRPr="004E13E9">
              <w:rPr>
                <w:rFonts w:ascii="Cambria" w:hAnsi="Cambria"/>
                <w:b/>
                <w:i/>
                <w:sz w:val="18"/>
                <w:szCs w:val="18"/>
              </w:rPr>
              <w:t>Commentaires</w:t>
            </w:r>
            <w:proofErr w:type="spellEnd"/>
            <w:r w:rsidRPr="004E13E9">
              <w:rPr>
                <w:rFonts w:ascii="Cambria" w:hAnsi="Cambria"/>
                <w:b/>
                <w:i/>
                <w:sz w:val="18"/>
                <w:szCs w:val="18"/>
              </w:rPr>
              <w:t xml:space="preserve"> de </w:t>
            </w:r>
            <w:proofErr w:type="spellStart"/>
            <w:r w:rsidRPr="004E13E9">
              <w:rPr>
                <w:rFonts w:ascii="Cambria" w:hAnsi="Cambria"/>
                <w:b/>
                <w:i/>
                <w:sz w:val="18"/>
                <w:szCs w:val="18"/>
              </w:rPr>
              <w:t>l'Égypte</w:t>
            </w:r>
            <w:proofErr w:type="spellEnd"/>
          </w:p>
        </w:tc>
        <w:tc>
          <w:tcPr>
            <w:tcW w:w="869" w:type="pct"/>
            <w:vAlign w:val="center"/>
          </w:tcPr>
          <w:p w14:paraId="557246CD" w14:textId="77777777" w:rsidR="00B66197" w:rsidRPr="004E13E9" w:rsidRDefault="00B66197" w:rsidP="00125C7F">
            <w:pPr>
              <w:ind w:left="23"/>
              <w:jc w:val="center"/>
              <w:rPr>
                <w:rFonts w:ascii="Cambria" w:hAnsi="Cambria"/>
                <w:b/>
                <w:i/>
                <w:sz w:val="18"/>
                <w:szCs w:val="18"/>
                <w:lang w:val="fr-FR"/>
              </w:rPr>
            </w:pPr>
            <w:r w:rsidRPr="004E13E9">
              <w:rPr>
                <w:rFonts w:ascii="Cambria" w:hAnsi="Cambria"/>
                <w:b/>
                <w:i/>
                <w:sz w:val="18"/>
                <w:szCs w:val="18"/>
                <w:lang w:val="fr-FR"/>
              </w:rPr>
              <w:t>Réponse de la Sous-commission 2</w:t>
            </w:r>
          </w:p>
        </w:tc>
      </w:tr>
      <w:tr w:rsidR="00B66197" w:rsidRPr="0084719E" w14:paraId="42E8FA43" w14:textId="77777777" w:rsidTr="00125C7F">
        <w:trPr>
          <w:trHeight w:val="142"/>
          <w:jc w:val="center"/>
        </w:trPr>
        <w:tc>
          <w:tcPr>
            <w:tcW w:w="333" w:type="pct"/>
          </w:tcPr>
          <w:p w14:paraId="2089C887" w14:textId="77777777" w:rsidR="00B66197" w:rsidRPr="004E13E9" w:rsidRDefault="00B66197" w:rsidP="00125C7F">
            <w:pPr>
              <w:contextualSpacing/>
              <w:rPr>
                <w:rFonts w:ascii="Cambria" w:hAnsi="Cambria"/>
                <w:b/>
                <w:sz w:val="18"/>
                <w:szCs w:val="18"/>
                <w:lang w:val="fr-FR"/>
              </w:rPr>
            </w:pPr>
            <w:r w:rsidRPr="004E13E9">
              <w:rPr>
                <w:rFonts w:ascii="Cambria" w:hAnsi="Cambria"/>
                <w:b/>
                <w:sz w:val="18"/>
                <w:szCs w:val="18"/>
                <w:lang w:val="fr-FR"/>
              </w:rPr>
              <w:t>1. Rapports de mise en cage de thon rouge</w:t>
            </w:r>
          </w:p>
        </w:tc>
        <w:tc>
          <w:tcPr>
            <w:tcW w:w="712" w:type="pct"/>
          </w:tcPr>
          <w:p w14:paraId="60DEB670" w14:textId="77777777" w:rsidR="00B66197" w:rsidRPr="004E13E9" w:rsidRDefault="00B66197" w:rsidP="00125C7F">
            <w:pPr>
              <w:pStyle w:val="BodyText"/>
              <w:ind w:right="132"/>
              <w:rPr>
                <w:rFonts w:ascii="Cambria" w:hAnsi="Cambria"/>
                <w:sz w:val="18"/>
                <w:szCs w:val="18"/>
                <w:lang w:val="fr-FR"/>
              </w:rPr>
            </w:pPr>
            <w:r w:rsidRPr="004E13E9">
              <w:rPr>
                <w:rFonts w:ascii="Cambria" w:hAnsi="Cambria"/>
                <w:sz w:val="18"/>
                <w:szCs w:val="18"/>
                <w:lang w:val="fr-FR"/>
              </w:rPr>
              <w:t>En ce qui concerne les délais et la déclaration des données conformément aux exigences M:BFT02 et M:BFT04, il convient de noter qu'à la suite de l'adoption de la Recommandation 21-08, qui a remplacé la Recommandation 06-07, il n'y a plus de délai spécifique pour la déclaration des données sur la mise en cage et l'élevage.</w:t>
            </w:r>
          </w:p>
          <w:p w14:paraId="5B09C6E5" w14:textId="77777777" w:rsidR="00B66197" w:rsidRPr="004E13E9" w:rsidRDefault="00B66197" w:rsidP="00125C7F">
            <w:pPr>
              <w:pStyle w:val="BodyText"/>
              <w:ind w:left="720" w:right="132"/>
              <w:rPr>
                <w:rFonts w:ascii="Cambria" w:hAnsi="Cambria"/>
                <w:sz w:val="18"/>
                <w:szCs w:val="18"/>
                <w:lang w:val="fr-FR"/>
              </w:rPr>
            </w:pPr>
          </w:p>
          <w:p w14:paraId="212021B9" w14:textId="77777777" w:rsidR="00B66197" w:rsidRPr="004E13E9" w:rsidRDefault="00B66197" w:rsidP="00125C7F">
            <w:pPr>
              <w:pStyle w:val="BodyText"/>
              <w:ind w:right="132"/>
              <w:rPr>
                <w:rFonts w:ascii="Cambria" w:hAnsi="Cambria"/>
                <w:sz w:val="18"/>
                <w:szCs w:val="18"/>
                <w:lang w:val="fr-FR"/>
              </w:rPr>
            </w:pPr>
            <w:r w:rsidRPr="004E13E9">
              <w:rPr>
                <w:rFonts w:ascii="Cambria" w:hAnsi="Cambria"/>
                <w:sz w:val="18"/>
                <w:szCs w:val="18"/>
                <w:lang w:val="fr-FR"/>
              </w:rPr>
              <w:t xml:space="preserve">Conformément aux paragraphes 24 et 188 de la </w:t>
            </w:r>
            <w:r w:rsidRPr="004E13E9">
              <w:rPr>
                <w:rFonts w:ascii="Cambria" w:hAnsi="Cambria"/>
                <w:i/>
                <w:iCs/>
                <w:sz w:val="18"/>
                <w:szCs w:val="18"/>
                <w:lang w:val="fr-FR"/>
              </w:rPr>
              <w:t>Recommandation de l’ICCAT amendant la Recommandation 22-08 établissant un plan pluriannuel de gestion du thon rouge dans l’Atlantique Est et la Méditerranée</w:t>
            </w:r>
            <w:r w:rsidRPr="004E13E9">
              <w:rPr>
                <w:rFonts w:ascii="Cambria" w:hAnsi="Cambria"/>
                <w:sz w:val="18"/>
                <w:szCs w:val="18"/>
                <w:lang w:val="fr-FR"/>
              </w:rPr>
              <w:t xml:space="preserve"> (Rec. 24-05) :</w:t>
            </w:r>
          </w:p>
          <w:p w14:paraId="68BA8A93" w14:textId="77777777" w:rsidR="00B66197" w:rsidRPr="004E13E9" w:rsidRDefault="00B66197" w:rsidP="00125C7F">
            <w:pPr>
              <w:pStyle w:val="BodyText"/>
              <w:ind w:right="132"/>
              <w:rPr>
                <w:rFonts w:ascii="Cambria" w:hAnsi="Cambria"/>
                <w:sz w:val="18"/>
                <w:szCs w:val="18"/>
                <w:lang w:val="fr-FR"/>
              </w:rPr>
            </w:pPr>
          </w:p>
          <w:p w14:paraId="57631779" w14:textId="77777777" w:rsidR="00B66197" w:rsidRPr="004E13E9" w:rsidRDefault="00B66197" w:rsidP="00125C7F">
            <w:pPr>
              <w:pStyle w:val="BodyText"/>
              <w:ind w:right="132"/>
              <w:rPr>
                <w:rFonts w:ascii="Cambria" w:hAnsi="Cambria"/>
                <w:sz w:val="18"/>
                <w:szCs w:val="18"/>
                <w:lang w:val="fr-FR"/>
              </w:rPr>
            </w:pPr>
            <w:r w:rsidRPr="004E13E9">
              <w:rPr>
                <w:rFonts w:ascii="Cambria" w:hAnsi="Cambria"/>
                <w:sz w:val="18"/>
                <w:szCs w:val="18"/>
                <w:lang w:val="fr-FR"/>
              </w:rPr>
              <w:t>« 24. Le Secrétariat de l’ICCAT devra compiler des statistiques sur la quantité annuelle mise en cage (entrée de poissons capturés à l’état sauvage), mise à mort et exportée par CPC de la ferme, en utilisant les données du système eBCD. Le Groupe de travail permanent sur les systèmes de documentation des captures (CDS WG) devra envisager de développer cette fonction d'extraction de données et, jusqu'à ce que cette fonction soit disponible, chaque CPC de la ferme devra communiquer ces statistiques au Secrétariat de l’ICCAT. Ces statistiques devront être publiées sur le site internet de l'ICCAT et soumises aux exigences de confidentialité. </w:t>
            </w:r>
          </w:p>
          <w:p w14:paraId="7B7C8D07" w14:textId="77777777" w:rsidR="00B66197" w:rsidRPr="004E13E9" w:rsidRDefault="00B66197" w:rsidP="00125C7F">
            <w:pPr>
              <w:pStyle w:val="BodyText"/>
              <w:ind w:right="132"/>
              <w:rPr>
                <w:rFonts w:ascii="Cambria" w:hAnsi="Cambria"/>
                <w:b/>
                <w:sz w:val="18"/>
                <w:szCs w:val="18"/>
                <w:lang w:val="fr-FR"/>
              </w:rPr>
            </w:pPr>
          </w:p>
          <w:p w14:paraId="28038434" w14:textId="77777777" w:rsidR="004A6863" w:rsidRPr="004E13E9" w:rsidRDefault="004A6863" w:rsidP="00125C7F">
            <w:pPr>
              <w:pStyle w:val="BodyText"/>
              <w:ind w:right="132"/>
              <w:rPr>
                <w:rFonts w:ascii="Cambria" w:hAnsi="Cambria"/>
                <w:b/>
                <w:sz w:val="18"/>
                <w:szCs w:val="18"/>
                <w:lang w:val="fr-FR"/>
              </w:rPr>
            </w:pPr>
          </w:p>
          <w:p w14:paraId="7FF23E37" w14:textId="77777777" w:rsidR="004A6863" w:rsidRPr="004E13E9" w:rsidRDefault="004A6863" w:rsidP="00125C7F">
            <w:pPr>
              <w:pStyle w:val="BodyText"/>
              <w:ind w:right="132"/>
              <w:rPr>
                <w:rFonts w:ascii="Cambria" w:hAnsi="Cambria"/>
                <w:b/>
                <w:sz w:val="18"/>
                <w:szCs w:val="18"/>
                <w:lang w:val="fr-FR"/>
              </w:rPr>
            </w:pPr>
          </w:p>
          <w:p w14:paraId="28B2E857" w14:textId="77777777" w:rsidR="004A6863" w:rsidRPr="004E13E9" w:rsidRDefault="004A6863" w:rsidP="00125C7F">
            <w:pPr>
              <w:pStyle w:val="BodyText"/>
              <w:ind w:right="132"/>
              <w:rPr>
                <w:rFonts w:ascii="Cambria" w:hAnsi="Cambria"/>
                <w:b/>
                <w:sz w:val="18"/>
                <w:szCs w:val="18"/>
                <w:lang w:val="fr-FR"/>
              </w:rPr>
            </w:pPr>
          </w:p>
          <w:p w14:paraId="6D0025B2" w14:textId="77777777" w:rsidR="004A6863" w:rsidRPr="004E13E9" w:rsidRDefault="004A6863" w:rsidP="00125C7F">
            <w:pPr>
              <w:pStyle w:val="BodyText"/>
              <w:ind w:right="132"/>
              <w:rPr>
                <w:rFonts w:ascii="Cambria" w:hAnsi="Cambria"/>
                <w:b/>
                <w:sz w:val="18"/>
                <w:szCs w:val="18"/>
                <w:lang w:val="fr-FR"/>
              </w:rPr>
            </w:pPr>
          </w:p>
          <w:p w14:paraId="743B528E" w14:textId="72882BAB" w:rsidR="00B66197" w:rsidRPr="004E13E9" w:rsidRDefault="00B66197" w:rsidP="00125C7F">
            <w:pPr>
              <w:pStyle w:val="BodyText"/>
              <w:ind w:right="132"/>
              <w:rPr>
                <w:rFonts w:ascii="Cambria" w:hAnsi="Cambria"/>
                <w:b/>
                <w:bCs/>
                <w:sz w:val="18"/>
                <w:szCs w:val="18"/>
                <w:lang w:val="fr-FR"/>
              </w:rPr>
            </w:pPr>
            <w:r w:rsidRPr="004E13E9">
              <w:rPr>
                <w:rFonts w:ascii="Cambria" w:hAnsi="Cambria"/>
                <w:b/>
                <w:sz w:val="18"/>
                <w:szCs w:val="18"/>
                <w:lang w:val="fr-FR"/>
              </w:rPr>
              <w:t>Rapport de mise en cages</w:t>
            </w:r>
          </w:p>
          <w:p w14:paraId="22DB0C19" w14:textId="77777777" w:rsidR="00B66197" w:rsidRPr="004E13E9" w:rsidRDefault="00B66197" w:rsidP="00125C7F">
            <w:pPr>
              <w:pStyle w:val="BodyText"/>
              <w:ind w:right="132"/>
              <w:rPr>
                <w:rFonts w:ascii="Cambria" w:hAnsi="Cambria"/>
                <w:sz w:val="18"/>
                <w:szCs w:val="18"/>
                <w:lang w:val="fr-FR"/>
              </w:rPr>
            </w:pPr>
          </w:p>
          <w:p w14:paraId="486BCDF5" w14:textId="77777777" w:rsidR="00B66197" w:rsidRPr="004E13E9" w:rsidRDefault="00B66197" w:rsidP="00125C7F">
            <w:pPr>
              <w:pStyle w:val="BodyText"/>
              <w:ind w:right="132"/>
              <w:rPr>
                <w:rFonts w:ascii="Cambria" w:hAnsi="Cambria"/>
                <w:sz w:val="18"/>
                <w:szCs w:val="18"/>
                <w:lang w:val="fr-FR"/>
              </w:rPr>
            </w:pPr>
            <w:r w:rsidRPr="004E13E9">
              <w:rPr>
                <w:rFonts w:ascii="Cambria" w:hAnsi="Cambria"/>
                <w:sz w:val="18"/>
                <w:szCs w:val="18"/>
                <w:lang w:val="fr-FR"/>
              </w:rPr>
              <w:t>188. Dans les 15 jours suivant l'exécution des ordres de libération, l'autorité compétente de la CPC de la ferme devra émettre un rapport de mise en cage pour chaque opération de mise en cage individuelle ou, dans le cas d'une opération de pêche conjointe ou des madragues de la même CPC/du même État membre de l’Union européenne, pour l'ensemble complet des opérations de mise en cage liées à cette opération de pêche conjointe ou à ces madragues. Le rapport de mise en cage devra inclure les informations visées à l’annexe 9, paragraphe 3, et être communiqué à l'autorité compétente de la CPC du pavillon de capture ou de la madrague et au Secrétariat de l’ICCAT. »</w:t>
            </w:r>
          </w:p>
          <w:p w14:paraId="6AC916A7" w14:textId="77777777" w:rsidR="00B66197" w:rsidRPr="004E13E9" w:rsidRDefault="00B66197" w:rsidP="00125C7F">
            <w:pPr>
              <w:pStyle w:val="BodyText"/>
              <w:ind w:firstLine="720"/>
              <w:rPr>
                <w:rFonts w:ascii="Cambria" w:hAnsi="Cambria"/>
                <w:sz w:val="18"/>
                <w:szCs w:val="18"/>
                <w:lang w:val="fr-FR"/>
              </w:rPr>
            </w:pPr>
          </w:p>
          <w:p w14:paraId="3F76FF07" w14:textId="77777777" w:rsidR="00B66197" w:rsidRPr="004E13E9" w:rsidRDefault="00B66197" w:rsidP="00125C7F">
            <w:pPr>
              <w:pStyle w:val="BodyText"/>
              <w:rPr>
                <w:rFonts w:ascii="Cambria" w:hAnsi="Cambria"/>
                <w:sz w:val="18"/>
                <w:szCs w:val="18"/>
                <w:lang w:val="fr-FR"/>
              </w:rPr>
            </w:pPr>
            <w:r w:rsidRPr="004E13E9">
              <w:rPr>
                <w:rFonts w:ascii="Cambria" w:hAnsi="Cambria"/>
                <w:sz w:val="18"/>
                <w:szCs w:val="18"/>
                <w:lang w:val="fr-FR"/>
              </w:rPr>
              <w:t>Le Secrétariat considère que M:BFT02 et M:BFT04 représentent des exigences de déclaration liées mais distinctes :</w:t>
            </w:r>
          </w:p>
          <w:p w14:paraId="53227AD8" w14:textId="77777777" w:rsidR="00B66197" w:rsidRPr="004E13E9" w:rsidRDefault="00B66197" w:rsidP="00125C7F">
            <w:pPr>
              <w:pStyle w:val="BodyText"/>
              <w:ind w:left="360"/>
              <w:rPr>
                <w:rFonts w:ascii="Cambria" w:hAnsi="Cambria"/>
                <w:sz w:val="18"/>
                <w:szCs w:val="18"/>
                <w:lang w:val="fr-FR"/>
              </w:rPr>
            </w:pPr>
          </w:p>
          <w:p w14:paraId="6CCF9F5C" w14:textId="77777777" w:rsidR="00B66197" w:rsidRPr="004E13E9" w:rsidRDefault="00B66197" w:rsidP="00487A5C">
            <w:pPr>
              <w:pStyle w:val="BodyText"/>
              <w:widowControl w:val="0"/>
              <w:numPr>
                <w:ilvl w:val="0"/>
                <w:numId w:val="63"/>
              </w:numPr>
              <w:ind w:left="362"/>
              <w:rPr>
                <w:rFonts w:ascii="Cambria" w:hAnsi="Cambria"/>
                <w:sz w:val="18"/>
                <w:szCs w:val="18"/>
                <w:lang w:val="fr-FR"/>
              </w:rPr>
            </w:pPr>
            <w:r w:rsidRPr="004E13E9">
              <w:rPr>
                <w:rFonts w:ascii="Cambria" w:hAnsi="Cambria"/>
                <w:sz w:val="18"/>
                <w:szCs w:val="18"/>
                <w:lang w:val="fr-FR"/>
              </w:rPr>
              <w:t>M:BFT04 - Rapport sur la mise en cage du thon rouge, se réfère uniquement aux informations sur la mise en cage, qui comprennent à la fois les opérations de libération et les opérations de mise en cage ultérieures ou bien la mise en cage seule lorsqu'il n'y a pas de libération. Le délai est explicitement fixé à 15 jours après l'achèvement de la libération ou, s'il n'y a pas de libération, à 15 jours après l'opération de mise en cage.</w:t>
            </w:r>
          </w:p>
          <w:p w14:paraId="74218607" w14:textId="77777777" w:rsidR="00B66197" w:rsidRPr="004E13E9" w:rsidRDefault="00B66197" w:rsidP="00487A5C">
            <w:pPr>
              <w:pStyle w:val="BodyText"/>
              <w:widowControl w:val="0"/>
              <w:numPr>
                <w:ilvl w:val="0"/>
                <w:numId w:val="63"/>
              </w:numPr>
              <w:ind w:left="362"/>
              <w:rPr>
                <w:rFonts w:ascii="Cambria" w:hAnsi="Cambria"/>
                <w:b/>
                <w:sz w:val="18"/>
                <w:szCs w:val="18"/>
                <w:lang w:val="fr-FR"/>
              </w:rPr>
            </w:pPr>
            <w:r w:rsidRPr="004E13E9">
              <w:rPr>
                <w:rFonts w:ascii="Cambria" w:hAnsi="Cambria"/>
                <w:sz w:val="18"/>
                <w:szCs w:val="18"/>
                <w:lang w:val="fr-FR"/>
              </w:rPr>
              <w:t>M:BFT02 - Rapports sur l'élevage du thon rouge, se réfère à d'autres activités d'élevage au sein de la ferme, telles que les transferts au sein de la ferme, les reports, les mises à mort, etc., comme indiqué dans le tableau des événements du formulaire CP09. Ces points ne sont pas explicitement couverts par la recommandation actuelle avec un délai défini.</w:t>
            </w:r>
          </w:p>
        </w:tc>
        <w:tc>
          <w:tcPr>
            <w:tcW w:w="627" w:type="pct"/>
          </w:tcPr>
          <w:p w14:paraId="451FB341" w14:textId="77777777" w:rsidR="00B66197" w:rsidRPr="004E13E9" w:rsidRDefault="00B66197" w:rsidP="00125C7F">
            <w:pPr>
              <w:jc w:val="both"/>
              <w:rPr>
                <w:rFonts w:ascii="Cambria" w:eastAsia="Yu Mincho" w:hAnsi="Cambria"/>
                <w:sz w:val="18"/>
                <w:szCs w:val="18"/>
                <w:lang w:val="fr-FR"/>
              </w:rPr>
            </w:pPr>
            <w:r w:rsidRPr="004E13E9">
              <w:rPr>
                <w:rFonts w:ascii="Cambria" w:hAnsi="Cambria"/>
                <w:sz w:val="18"/>
                <w:szCs w:val="18"/>
                <w:lang w:val="fr-FR"/>
              </w:rPr>
              <w:t xml:space="preserve">Bien que le site web de l’ICCAT indique actuellement une date limite pour M:BFT02, cela peut sembler vague ou redondant, étant donné que les opérations de mise en cage et de libération sont déjà traitées dans le cadre de M:BFT04. L'absence de délai clairement défini dans la Recommandation actuelle pourrait prêter à confusion. </w:t>
            </w:r>
          </w:p>
          <w:p w14:paraId="6C2C9010" w14:textId="77777777" w:rsidR="00B66197" w:rsidRPr="004E13E9" w:rsidRDefault="00B66197" w:rsidP="00125C7F">
            <w:pPr>
              <w:jc w:val="both"/>
              <w:rPr>
                <w:rFonts w:ascii="Cambria" w:eastAsia="Yu Mincho" w:hAnsi="Cambria"/>
                <w:sz w:val="18"/>
                <w:szCs w:val="18"/>
                <w:lang w:val="fr-FR"/>
              </w:rPr>
            </w:pPr>
          </w:p>
          <w:p w14:paraId="049FB2A6" w14:textId="77777777" w:rsidR="00B66197" w:rsidRPr="004E13E9" w:rsidRDefault="00B66197" w:rsidP="00125C7F">
            <w:pPr>
              <w:contextualSpacing/>
              <w:jc w:val="both"/>
              <w:rPr>
                <w:rFonts w:ascii="Cambria" w:hAnsi="Cambria"/>
                <w:b/>
                <w:sz w:val="18"/>
                <w:szCs w:val="18"/>
                <w:lang w:val="fr-FR"/>
              </w:rPr>
            </w:pPr>
            <w:r w:rsidRPr="004E13E9">
              <w:rPr>
                <w:rFonts w:ascii="Cambria" w:hAnsi="Cambria"/>
                <w:sz w:val="18"/>
                <w:szCs w:val="18"/>
                <w:lang w:val="fr-FR"/>
              </w:rPr>
              <w:t>Le Secrétariat remercie par avance le Groupe de travail permanent sur l’amélioration des statistiques et des mesures de conservation de l’ICCAT (PWG) et/ou la Sous-commission 2 de bien vouloir lui préciser les données spécifiques requises pour chaque exigence et de l’orienter sur l'établissement d'une date limite explicite pour ces opérations supplémentaires dans la nouvelle Recommandation sur le thon rouge de l’Est qui sera élaborée cette année.</w:t>
            </w:r>
          </w:p>
        </w:tc>
        <w:tc>
          <w:tcPr>
            <w:tcW w:w="419" w:type="pct"/>
          </w:tcPr>
          <w:p w14:paraId="7D952F17" w14:textId="77777777" w:rsidR="00B66197" w:rsidRPr="004E13E9" w:rsidRDefault="00B66197" w:rsidP="00125C7F">
            <w:pPr>
              <w:jc w:val="both"/>
              <w:rPr>
                <w:rFonts w:ascii="Cambria" w:eastAsia="Yu Mincho" w:hAnsi="Cambria"/>
                <w:sz w:val="18"/>
                <w:szCs w:val="18"/>
                <w:lang w:val="fr-FR"/>
              </w:rPr>
            </w:pPr>
            <w:r w:rsidRPr="004E13E9">
              <w:rPr>
                <w:rFonts w:ascii="Cambria" w:hAnsi="Cambria"/>
                <w:sz w:val="18"/>
                <w:szCs w:val="18"/>
                <w:lang w:val="fr-FR"/>
              </w:rPr>
              <w:t>La Türkiye soutient l’établissement d'une date limite pour la déclaration des données relatives à la mise en en cage et à l'élevage, telle qu'elle est prévue dans les Recommandations précédentes.</w:t>
            </w:r>
          </w:p>
          <w:p w14:paraId="5F3C8CAD" w14:textId="77777777" w:rsidR="00B66197" w:rsidRPr="004E13E9" w:rsidRDefault="00B66197" w:rsidP="00125C7F">
            <w:pPr>
              <w:contextualSpacing/>
              <w:rPr>
                <w:rFonts w:ascii="Cambria" w:hAnsi="Cambria"/>
                <w:b/>
                <w:sz w:val="18"/>
                <w:szCs w:val="18"/>
                <w:lang w:val="fr-FR"/>
              </w:rPr>
            </w:pPr>
          </w:p>
        </w:tc>
        <w:tc>
          <w:tcPr>
            <w:tcW w:w="502" w:type="pct"/>
          </w:tcPr>
          <w:p w14:paraId="30EDA47C" w14:textId="77777777" w:rsidR="00B66197" w:rsidRPr="004E13E9" w:rsidRDefault="00B66197" w:rsidP="00125C7F">
            <w:pPr>
              <w:contextualSpacing/>
              <w:rPr>
                <w:rFonts w:ascii="Cambria" w:hAnsi="Cambria"/>
                <w:b/>
                <w:sz w:val="18"/>
                <w:szCs w:val="18"/>
                <w:lang w:val="fr-FR"/>
              </w:rPr>
            </w:pPr>
          </w:p>
        </w:tc>
        <w:tc>
          <w:tcPr>
            <w:tcW w:w="669" w:type="pct"/>
          </w:tcPr>
          <w:p w14:paraId="27CC0882" w14:textId="77777777" w:rsidR="00B66197" w:rsidRPr="004E13E9" w:rsidRDefault="00B66197" w:rsidP="00125C7F">
            <w:pPr>
              <w:jc w:val="both"/>
              <w:rPr>
                <w:rFonts w:ascii="Cambria" w:eastAsia="Yu Mincho" w:hAnsi="Cambria"/>
                <w:sz w:val="18"/>
                <w:szCs w:val="18"/>
                <w:lang w:val="fr-FR"/>
              </w:rPr>
            </w:pPr>
            <w:r w:rsidRPr="004E13E9">
              <w:rPr>
                <w:rFonts w:ascii="Cambria" w:hAnsi="Cambria"/>
                <w:sz w:val="18"/>
                <w:szCs w:val="18"/>
                <w:lang w:val="fr-FR"/>
              </w:rPr>
              <w:t>L'UE estime qu'il est important de collecter et de publier des informations générales sur les activités d’élevage (c'est-à-dire les informations visées au paragraphe 24, qui peuvent même être complétées par d'autres informations extraites de l'eBCD, afin de fournir une vue d'ensemble des différentes étapes de l'élevage). Cependant, l'envoi de rapports individuels sur chaque opération de mise en cage et chaque remise à l’eau, ou l'envoi des informations contenues dans le modèle CP09, crée une charge importante et inutile pour les CPC. Il s'agirait d'une duplication des obligations de déclaration pour les CPC puisqu'elles communiquent déjà ces informations dans l'eBCD. Le Secrétariat a accès à toutes les informations requises par le biais de l'eBCD, même s'il n'est pas encore techniquement possible de les extraire du système. Toutefois, l'UE n'est pas d'accord pour dire que cela signifie que les CPC devraient supporter l'importante charge administrative qui résulterait d'une double déclaration.</w:t>
            </w:r>
          </w:p>
        </w:tc>
        <w:tc>
          <w:tcPr>
            <w:tcW w:w="869" w:type="pct"/>
          </w:tcPr>
          <w:p w14:paraId="596F2670" w14:textId="77777777" w:rsidR="00B66197" w:rsidRPr="004E13E9" w:rsidRDefault="00B66197" w:rsidP="00125C7F">
            <w:pPr>
              <w:jc w:val="both"/>
              <w:rPr>
                <w:rFonts w:ascii="Cambria" w:eastAsia="Yu Mincho" w:hAnsi="Cambria"/>
                <w:sz w:val="18"/>
                <w:szCs w:val="18"/>
                <w:lang w:val="fr-FR"/>
              </w:rPr>
            </w:pPr>
            <w:r w:rsidRPr="004E13E9">
              <w:rPr>
                <w:rFonts w:ascii="Cambria" w:hAnsi="Cambria"/>
                <w:sz w:val="18"/>
                <w:szCs w:val="18"/>
                <w:lang w:val="fr-FR"/>
              </w:rPr>
              <w:t>L'Égypte convient avec le Secrétariat qu'il y a un manque de clarté en ce qui concerne les délais de déclaration des données de mise en cage et d’élevage dans le cadre de la recommandation actuelle. Afin d'éviter toute confusion et d'assurer une mise en œuvre cohérente, nous appuyons les points suivants :</w:t>
            </w:r>
          </w:p>
          <w:p w14:paraId="18226DE8" w14:textId="77777777" w:rsidR="00B66197" w:rsidRPr="004E13E9" w:rsidRDefault="00B66197" w:rsidP="00125C7F">
            <w:pPr>
              <w:jc w:val="both"/>
              <w:rPr>
                <w:rFonts w:ascii="Cambria" w:eastAsia="Yu Mincho" w:hAnsi="Cambria"/>
                <w:sz w:val="18"/>
                <w:szCs w:val="18"/>
                <w:lang w:val="fr-FR"/>
              </w:rPr>
            </w:pPr>
          </w:p>
          <w:p w14:paraId="7BDF213D" w14:textId="77777777" w:rsidR="00B66197" w:rsidRPr="004E13E9" w:rsidRDefault="00B66197" w:rsidP="00125C7F">
            <w:pPr>
              <w:ind w:left="319" w:hanging="283"/>
              <w:jc w:val="both"/>
              <w:rPr>
                <w:rFonts w:ascii="Cambria" w:eastAsia="Yu Mincho" w:hAnsi="Cambria"/>
                <w:sz w:val="18"/>
                <w:szCs w:val="18"/>
                <w:lang w:val="fr-FR"/>
              </w:rPr>
            </w:pPr>
            <w:r w:rsidRPr="004E13E9">
              <w:rPr>
                <w:rFonts w:ascii="Cambria" w:hAnsi="Cambria"/>
                <w:sz w:val="18"/>
                <w:szCs w:val="18"/>
                <w:lang w:val="fr-FR"/>
              </w:rPr>
              <w:t xml:space="preserve">- </w:t>
            </w:r>
            <w:r w:rsidRPr="004E13E9">
              <w:rPr>
                <w:rFonts w:ascii="Cambria" w:hAnsi="Cambria"/>
                <w:sz w:val="18"/>
                <w:szCs w:val="18"/>
                <w:lang w:val="fr-FR"/>
              </w:rPr>
              <w:tab/>
              <w:t>Distinction claire entre M:BFT02 (opérations d'élevage) et M:BFT04 (rapports de mise en cage).</w:t>
            </w:r>
          </w:p>
          <w:p w14:paraId="3A0B17B3" w14:textId="77777777" w:rsidR="00B66197" w:rsidRPr="004E13E9" w:rsidRDefault="00B66197" w:rsidP="00125C7F">
            <w:pPr>
              <w:ind w:left="319"/>
              <w:jc w:val="both"/>
              <w:rPr>
                <w:rFonts w:ascii="Cambria" w:eastAsia="Yu Mincho" w:hAnsi="Cambria"/>
                <w:sz w:val="18"/>
                <w:szCs w:val="18"/>
                <w:lang w:val="fr-FR"/>
              </w:rPr>
            </w:pPr>
          </w:p>
          <w:p w14:paraId="5698EF4A" w14:textId="77777777" w:rsidR="00B66197" w:rsidRPr="004E13E9" w:rsidRDefault="00B66197" w:rsidP="00487A5C">
            <w:pPr>
              <w:pStyle w:val="ListParagraph"/>
              <w:numPr>
                <w:ilvl w:val="0"/>
                <w:numId w:val="63"/>
              </w:numPr>
              <w:spacing w:after="0" w:line="240" w:lineRule="auto"/>
              <w:ind w:left="319" w:hanging="283"/>
              <w:jc w:val="both"/>
              <w:rPr>
                <w:rFonts w:ascii="Cambria" w:eastAsia="Yu Mincho" w:hAnsi="Cambria"/>
                <w:sz w:val="18"/>
                <w:szCs w:val="18"/>
              </w:rPr>
            </w:pPr>
            <w:r w:rsidRPr="004E13E9">
              <w:rPr>
                <w:rFonts w:ascii="Cambria" w:hAnsi="Cambria"/>
                <w:sz w:val="18"/>
                <w:szCs w:val="18"/>
              </w:rPr>
              <w:t>Établissement d’un délai spécifique pour M:BFT02, similaire au délai de 15 jours déjà appliqué à M:BFT04.</w:t>
            </w:r>
          </w:p>
          <w:p w14:paraId="4420CBBD" w14:textId="77777777" w:rsidR="00B66197" w:rsidRPr="004E13E9" w:rsidRDefault="00B66197" w:rsidP="00125C7F">
            <w:pPr>
              <w:ind w:left="319" w:hanging="283"/>
              <w:jc w:val="both"/>
              <w:rPr>
                <w:rFonts w:ascii="Cambria" w:eastAsia="Yu Mincho" w:hAnsi="Cambria"/>
                <w:sz w:val="18"/>
                <w:szCs w:val="18"/>
                <w:lang w:val="fr-FR"/>
              </w:rPr>
            </w:pPr>
          </w:p>
          <w:p w14:paraId="3934F40B" w14:textId="77777777" w:rsidR="00B66197" w:rsidRPr="004E13E9" w:rsidRDefault="00B66197" w:rsidP="00125C7F">
            <w:pPr>
              <w:jc w:val="both"/>
              <w:rPr>
                <w:rFonts w:ascii="Cambria" w:eastAsia="Yu Mincho" w:hAnsi="Cambria"/>
                <w:sz w:val="18"/>
                <w:szCs w:val="18"/>
                <w:lang w:val="fr-FR"/>
              </w:rPr>
            </w:pPr>
            <w:r w:rsidRPr="004E13E9">
              <w:rPr>
                <w:rFonts w:ascii="Cambria" w:hAnsi="Cambria"/>
                <w:sz w:val="18"/>
                <w:szCs w:val="18"/>
                <w:lang w:val="fr-FR"/>
              </w:rPr>
              <w:t>Inclure ces clarifications dans la prochaine recommandation révisée sur la gestion du thon rouge.</w:t>
            </w:r>
          </w:p>
        </w:tc>
        <w:tc>
          <w:tcPr>
            <w:tcW w:w="869" w:type="pct"/>
          </w:tcPr>
          <w:p w14:paraId="3F83106E" w14:textId="77777777" w:rsidR="00B66197" w:rsidRPr="004E13E9" w:rsidRDefault="00B66197" w:rsidP="00125C7F">
            <w:pPr>
              <w:jc w:val="both"/>
              <w:rPr>
                <w:rFonts w:ascii="Cambria" w:eastAsia="Yu Mincho" w:hAnsi="Cambria"/>
                <w:sz w:val="18"/>
                <w:szCs w:val="18"/>
                <w:lang w:val="fr-FR"/>
              </w:rPr>
            </w:pPr>
          </w:p>
          <w:p w14:paraId="221A1BE9" w14:textId="77777777" w:rsidR="00B66197" w:rsidRPr="004E13E9" w:rsidRDefault="00B66197" w:rsidP="00125C7F">
            <w:pPr>
              <w:jc w:val="both"/>
              <w:rPr>
                <w:rFonts w:ascii="Cambria" w:eastAsia="Yu Mincho" w:hAnsi="Cambria"/>
                <w:sz w:val="18"/>
                <w:szCs w:val="18"/>
                <w:lang w:val="fr-FR"/>
              </w:rPr>
            </w:pPr>
            <w:r w:rsidRPr="004E13E9">
              <w:rPr>
                <w:rFonts w:ascii="Cambria" w:eastAsia="Yu Mincho" w:hAnsi="Cambria"/>
                <w:sz w:val="18"/>
                <w:szCs w:val="18"/>
                <w:lang w:val="fr-FR"/>
              </w:rPr>
              <w:t>Consensus sur l’établissement de dates limites de déclaration des données relatives à la mise en cage et à l'élevage. À inclure dans la prochaine modification ou le prochain remplacement de la Recommandation actuelle sur le thon rouge de l’Est.</w:t>
            </w:r>
          </w:p>
          <w:p w14:paraId="5EAD8C37" w14:textId="77777777" w:rsidR="00B66197" w:rsidRPr="004E13E9" w:rsidRDefault="00B66197" w:rsidP="00125C7F">
            <w:pPr>
              <w:jc w:val="both"/>
              <w:rPr>
                <w:rFonts w:ascii="Cambria" w:hAnsi="Cambria"/>
                <w:sz w:val="18"/>
                <w:szCs w:val="18"/>
                <w:lang w:val="fr-FR"/>
              </w:rPr>
            </w:pPr>
          </w:p>
        </w:tc>
      </w:tr>
      <w:tr w:rsidR="00B66197" w:rsidRPr="0084719E" w14:paraId="4BC01326" w14:textId="77777777" w:rsidTr="00125C7F">
        <w:trPr>
          <w:trHeight w:val="8007"/>
          <w:jc w:val="center"/>
        </w:trPr>
        <w:tc>
          <w:tcPr>
            <w:tcW w:w="333" w:type="pct"/>
          </w:tcPr>
          <w:p w14:paraId="7ED5C5D6" w14:textId="77777777" w:rsidR="00B66197" w:rsidRPr="004E13E9" w:rsidRDefault="00B66197" w:rsidP="00125C7F">
            <w:pPr>
              <w:contextualSpacing/>
              <w:rPr>
                <w:rFonts w:ascii="Cambria" w:eastAsia="Yu Mincho" w:hAnsi="Cambria"/>
                <w:b/>
                <w:bCs/>
                <w:sz w:val="18"/>
                <w:szCs w:val="18"/>
                <w:lang w:val="fr-FR"/>
              </w:rPr>
            </w:pPr>
            <w:r w:rsidRPr="004E13E9">
              <w:rPr>
                <w:rFonts w:ascii="Cambria" w:hAnsi="Cambria"/>
                <w:b/>
                <w:sz w:val="18"/>
                <w:szCs w:val="18"/>
                <w:lang w:val="fr-FR"/>
              </w:rPr>
              <w:t>2. Quotas de thon rouge pour les navires de capture de plus de 24 m</w:t>
            </w:r>
          </w:p>
          <w:p w14:paraId="6A13995A" w14:textId="77777777" w:rsidR="00B66197" w:rsidRPr="004E13E9" w:rsidRDefault="00B66197" w:rsidP="00125C7F">
            <w:pPr>
              <w:contextualSpacing/>
              <w:rPr>
                <w:rFonts w:ascii="Cambria" w:hAnsi="Cambria"/>
                <w:b/>
                <w:sz w:val="18"/>
                <w:szCs w:val="18"/>
                <w:lang w:val="fr-FR"/>
              </w:rPr>
            </w:pPr>
          </w:p>
        </w:tc>
        <w:tc>
          <w:tcPr>
            <w:tcW w:w="712" w:type="pct"/>
          </w:tcPr>
          <w:p w14:paraId="0CEF0038" w14:textId="77777777" w:rsidR="00B66197" w:rsidRPr="004E13E9" w:rsidRDefault="00B66197" w:rsidP="00125C7F">
            <w:pPr>
              <w:jc w:val="both"/>
              <w:rPr>
                <w:rFonts w:ascii="Cambria" w:eastAsia="Yu Mincho" w:hAnsi="Cambria"/>
                <w:sz w:val="18"/>
                <w:szCs w:val="18"/>
                <w:lang w:val="fr-FR"/>
              </w:rPr>
            </w:pPr>
            <w:r w:rsidRPr="004E13E9">
              <w:rPr>
                <w:rFonts w:ascii="Cambria" w:hAnsi="Cambria"/>
                <w:sz w:val="18"/>
                <w:szCs w:val="18"/>
                <w:lang w:val="fr-FR"/>
              </w:rPr>
              <w:t xml:space="preserve">Conformément au paragraphe 3 de la </w:t>
            </w:r>
            <w:r w:rsidRPr="004E13E9">
              <w:rPr>
                <w:rFonts w:ascii="Cambria" w:hAnsi="Cambria"/>
                <w:i/>
                <w:iCs/>
                <w:sz w:val="18"/>
                <w:szCs w:val="18"/>
                <w:lang w:val="fr-FR"/>
              </w:rPr>
              <w:t>Recommandation de l’ICCAT amendant la Recommandation 22-08 établissant un plan pluriannuel de gestion du thon rouge dans l’Atlantique Est et la Méditerranée</w:t>
            </w:r>
            <w:r w:rsidRPr="004E13E9">
              <w:rPr>
                <w:rFonts w:ascii="Cambria" w:hAnsi="Cambria"/>
                <w:sz w:val="18"/>
                <w:szCs w:val="18"/>
                <w:lang w:val="fr-FR"/>
              </w:rPr>
              <w:t xml:space="preserve"> (Rec. 24-05) :</w:t>
            </w:r>
          </w:p>
          <w:p w14:paraId="47E814BF" w14:textId="77777777" w:rsidR="00B66197" w:rsidRPr="004E13E9" w:rsidRDefault="00B66197" w:rsidP="00125C7F">
            <w:pPr>
              <w:jc w:val="both"/>
              <w:rPr>
                <w:rFonts w:ascii="Cambria" w:eastAsia="Yu Mincho" w:hAnsi="Cambria"/>
                <w:sz w:val="18"/>
                <w:szCs w:val="18"/>
                <w:lang w:val="fr-FR"/>
              </w:rPr>
            </w:pPr>
          </w:p>
          <w:p w14:paraId="2D70CA44" w14:textId="77777777" w:rsidR="00B66197" w:rsidRPr="004E13E9" w:rsidRDefault="00B66197" w:rsidP="00125C7F">
            <w:pPr>
              <w:jc w:val="both"/>
              <w:rPr>
                <w:rFonts w:ascii="Cambria" w:eastAsia="Yu Mincho" w:hAnsi="Cambria"/>
                <w:sz w:val="18"/>
                <w:szCs w:val="18"/>
                <w:lang w:val="fr-FR"/>
              </w:rPr>
            </w:pPr>
            <w:r w:rsidRPr="004E13E9">
              <w:rPr>
                <w:rFonts w:ascii="Cambria" w:hAnsi="Cambria"/>
                <w:sz w:val="18"/>
                <w:szCs w:val="18"/>
                <w:lang w:val="fr-FR"/>
              </w:rPr>
              <w:t>« 3. Chaque CPC devra prendre les mesures nécessaires afin de s’assurer que l’effort de pêche de ses navires de capture et de ses madragues est proportionnel aux possibilités de pêche de thon rouge dont dispose cette CPC dans l’Atlantique Est et en Méditerranée, y compris en établissant des quotas individuels pour ses navires de capture de plus de 24 m inclus dans la liste visée au paragraphe 48 a) de la présente Recommandation. »</w:t>
            </w:r>
          </w:p>
          <w:p w14:paraId="5B0C553D" w14:textId="77777777" w:rsidR="00B66197" w:rsidRPr="004E13E9" w:rsidRDefault="00B66197" w:rsidP="00125C7F">
            <w:pPr>
              <w:jc w:val="both"/>
              <w:rPr>
                <w:rFonts w:ascii="Cambria" w:eastAsia="Yu Mincho" w:hAnsi="Cambria"/>
                <w:sz w:val="18"/>
                <w:szCs w:val="18"/>
                <w:lang w:val="fr-FR"/>
              </w:rPr>
            </w:pPr>
          </w:p>
          <w:p w14:paraId="032EEA64" w14:textId="77777777" w:rsidR="00B66197" w:rsidRPr="004E13E9" w:rsidRDefault="00B66197" w:rsidP="00125C7F">
            <w:pPr>
              <w:jc w:val="both"/>
              <w:rPr>
                <w:rFonts w:ascii="Cambria" w:eastAsia="Yu Mincho" w:hAnsi="Cambria"/>
                <w:sz w:val="18"/>
                <w:szCs w:val="18"/>
                <w:lang w:val="fr-FR"/>
              </w:rPr>
            </w:pPr>
            <w:r w:rsidRPr="004E13E9">
              <w:rPr>
                <w:rFonts w:ascii="Cambria" w:hAnsi="Cambria"/>
                <w:sz w:val="18"/>
                <w:szCs w:val="18"/>
                <w:lang w:val="fr-FR"/>
              </w:rPr>
              <w:t>À la lumière de ce qui précède, le Secrétariat interprète que tous les navires de capture de plus de 24 m de longueur hors tout (LOA) pêchant activement le thon rouge, c'est-à-dire ceux qui ciblent le thon rouge au cours d'une saison de pêche donnée et qui sont donc actifs dans le Registre ICCAT des navires de capture de thon rouge, doivent se voir attribuer un quota valide, qui ne doit pas être nul ou égal à zéro. Ce dernier point peut avoir des implications, notamment en raison des interconnexions avec d'autres systèmes liés au registre des navires, tels que l'eBCD.</w:t>
            </w:r>
          </w:p>
          <w:p w14:paraId="39E2C104" w14:textId="77777777" w:rsidR="00B66197" w:rsidRPr="004E13E9" w:rsidRDefault="00B66197" w:rsidP="00125C7F">
            <w:pPr>
              <w:jc w:val="both"/>
              <w:rPr>
                <w:rFonts w:ascii="Cambria" w:eastAsia="Yu Mincho" w:hAnsi="Cambria"/>
                <w:sz w:val="18"/>
                <w:szCs w:val="18"/>
                <w:lang w:val="fr-FR"/>
              </w:rPr>
            </w:pPr>
          </w:p>
          <w:p w14:paraId="4B138342" w14:textId="77777777" w:rsidR="00B66197" w:rsidRPr="004E13E9" w:rsidRDefault="00B66197" w:rsidP="00125C7F">
            <w:pPr>
              <w:contextualSpacing/>
              <w:rPr>
                <w:rFonts w:ascii="Cambria" w:hAnsi="Cambria"/>
                <w:b/>
                <w:sz w:val="18"/>
                <w:szCs w:val="18"/>
                <w:lang w:val="fr-FR"/>
              </w:rPr>
            </w:pPr>
            <w:r w:rsidRPr="004E13E9">
              <w:rPr>
                <w:rFonts w:ascii="Cambria" w:hAnsi="Cambria"/>
                <w:sz w:val="18"/>
                <w:szCs w:val="18"/>
                <w:lang w:val="fr-FR"/>
              </w:rPr>
              <w:t>Toutefois, certaines CPC ont demandé que le Secrétariat maintienne dans la liste susmentionnée les navires dont le quota est égal à zéro.</w:t>
            </w:r>
          </w:p>
        </w:tc>
        <w:tc>
          <w:tcPr>
            <w:tcW w:w="627" w:type="pct"/>
          </w:tcPr>
          <w:p w14:paraId="469F4C6C" w14:textId="77777777" w:rsidR="00B66197" w:rsidRPr="004E13E9" w:rsidRDefault="00B66197" w:rsidP="00125C7F">
            <w:pPr>
              <w:contextualSpacing/>
              <w:rPr>
                <w:rFonts w:ascii="Cambria" w:hAnsi="Cambria"/>
                <w:b/>
                <w:sz w:val="18"/>
                <w:szCs w:val="18"/>
                <w:lang w:val="fr-FR"/>
              </w:rPr>
            </w:pPr>
            <w:r w:rsidRPr="004E13E9">
              <w:rPr>
                <w:rFonts w:ascii="Cambria" w:hAnsi="Cambria"/>
                <w:sz w:val="18"/>
                <w:szCs w:val="18"/>
                <w:lang w:val="fr-FR"/>
              </w:rPr>
              <w:t>Le Secrétariat remercie par avance le Groupe de travail permanent sur l’amélioration des statistiques et des mesures de conservation de l’ICCAT (PWG) et/ou la Sous-commission 2 de bien vouloir lui fournir une orientation sur la manière de procéder et sur la question de savoir si un quota nul ou zéro est acceptable en tant que quota individuel pour les navires de capture de plus de 24 mètres.</w:t>
            </w:r>
          </w:p>
        </w:tc>
        <w:tc>
          <w:tcPr>
            <w:tcW w:w="419" w:type="pct"/>
          </w:tcPr>
          <w:p w14:paraId="6843B614" w14:textId="77777777" w:rsidR="00B66197" w:rsidRPr="004E13E9" w:rsidRDefault="00B66197" w:rsidP="00125C7F">
            <w:pPr>
              <w:contextualSpacing/>
              <w:rPr>
                <w:rFonts w:ascii="Cambria" w:hAnsi="Cambria"/>
                <w:b/>
                <w:sz w:val="18"/>
                <w:szCs w:val="18"/>
                <w:lang w:val="fr-FR"/>
              </w:rPr>
            </w:pPr>
          </w:p>
        </w:tc>
        <w:tc>
          <w:tcPr>
            <w:tcW w:w="502" w:type="pct"/>
          </w:tcPr>
          <w:p w14:paraId="08AD1E39" w14:textId="77777777" w:rsidR="00B66197" w:rsidRPr="004E13E9" w:rsidRDefault="00B66197" w:rsidP="00125C7F">
            <w:pPr>
              <w:jc w:val="both"/>
              <w:rPr>
                <w:rFonts w:ascii="Cambria" w:hAnsi="Cambria"/>
                <w:sz w:val="18"/>
                <w:szCs w:val="18"/>
                <w:lang w:val="fr-FR"/>
              </w:rPr>
            </w:pPr>
            <w:r w:rsidRPr="004E13E9">
              <w:rPr>
                <w:rFonts w:ascii="Cambria" w:hAnsi="Cambria"/>
                <w:sz w:val="18"/>
                <w:szCs w:val="18"/>
                <w:lang w:val="fr-FR"/>
              </w:rPr>
              <w:t>Le Japon comprend que, bien que les navires de capture doivent être enregistrés avec un quota valide dans le registre ICCAT des navires de capture de thon rouge, ceux-ci peuvent être maintenus dans le registre même après avoir épuisé ou transféré la totalité du quota qui leur avait été attribué, afin de pouvoir bénéficier de futurs transferts de quota.</w:t>
            </w:r>
          </w:p>
          <w:p w14:paraId="746D14F8" w14:textId="77777777" w:rsidR="00B66197" w:rsidRPr="004E13E9" w:rsidRDefault="00B66197" w:rsidP="00125C7F">
            <w:pPr>
              <w:jc w:val="both"/>
              <w:rPr>
                <w:rFonts w:ascii="Cambria" w:hAnsi="Cambria"/>
                <w:sz w:val="18"/>
                <w:szCs w:val="18"/>
                <w:lang w:val="fr-FR"/>
              </w:rPr>
            </w:pPr>
          </w:p>
          <w:p w14:paraId="17CA6B01" w14:textId="77777777" w:rsidR="00B66197" w:rsidRPr="004E13E9" w:rsidRDefault="00B66197" w:rsidP="00125C7F">
            <w:pPr>
              <w:contextualSpacing/>
              <w:rPr>
                <w:rFonts w:ascii="Cambria" w:hAnsi="Cambria"/>
                <w:b/>
                <w:sz w:val="18"/>
                <w:szCs w:val="18"/>
                <w:lang w:val="fr-FR"/>
              </w:rPr>
            </w:pPr>
            <w:r w:rsidRPr="004E13E9">
              <w:rPr>
                <w:rFonts w:ascii="Cambria" w:hAnsi="Cambria"/>
                <w:sz w:val="18"/>
                <w:szCs w:val="18"/>
                <w:lang w:val="fr-FR"/>
              </w:rPr>
              <w:t xml:space="preserve">Le Japon désigne, au début de la saison de pêche, les navires qui participeront à la pêche de thon rouge pour l'année en cours, conformément au paragraphe 52 de la Rec. 24-05. Tous les navires disposent d'un quota valide, mais certains d'entre eux pourraient devoir transférer leur quota avant la fin de la campagne de pêche. Étant donné que le paragraphe 53 de la Rec. 24-05 limite les inscriptions rétroactives des navires, les navires receveurs doivent être inscrits avant le début de l'activité de pêche. Dans certains cas, les navires qui ont entièrement consommé/transféré leur quota </w:t>
            </w:r>
            <w:proofErr w:type="gramStart"/>
            <w:r w:rsidRPr="004E13E9">
              <w:rPr>
                <w:rFonts w:ascii="Cambria" w:hAnsi="Cambria"/>
                <w:sz w:val="18"/>
                <w:szCs w:val="18"/>
                <w:lang w:val="fr-FR"/>
              </w:rPr>
              <w:t>souhaitent</w:t>
            </w:r>
            <w:proofErr w:type="gramEnd"/>
            <w:r w:rsidRPr="004E13E9">
              <w:rPr>
                <w:rFonts w:ascii="Cambria" w:hAnsi="Cambria"/>
                <w:sz w:val="18"/>
                <w:szCs w:val="18"/>
                <w:lang w:val="fr-FR"/>
              </w:rPr>
              <w:t xml:space="preserve"> bénéficier d'un tel transfert. Ces navires devraient être autorisés à figurer dans le registre même après avoir épuisé la totalité de leur quota initial, c'est-à-dire un quota zéro. </w:t>
            </w:r>
          </w:p>
        </w:tc>
        <w:tc>
          <w:tcPr>
            <w:tcW w:w="669" w:type="pct"/>
          </w:tcPr>
          <w:p w14:paraId="4B77B10C" w14:textId="77777777" w:rsidR="00B66197" w:rsidRPr="004E13E9" w:rsidRDefault="00B66197" w:rsidP="00125C7F">
            <w:pPr>
              <w:jc w:val="both"/>
              <w:rPr>
                <w:rFonts w:ascii="Cambria" w:eastAsia="Yu Mincho" w:hAnsi="Cambria"/>
                <w:sz w:val="18"/>
                <w:szCs w:val="18"/>
                <w:lang w:val="fr-FR"/>
              </w:rPr>
            </w:pPr>
            <w:r w:rsidRPr="004E13E9">
              <w:rPr>
                <w:rFonts w:ascii="Cambria" w:hAnsi="Cambria"/>
                <w:sz w:val="18"/>
                <w:szCs w:val="18"/>
                <w:lang w:val="fr-FR"/>
              </w:rPr>
              <w:t>En ce qui concerne les quotas de thon rouge pour les navires de capture de plus de 24 mètres, l'UE approuve l'interprétation fournie par le Secrétariat de l’ICCAT selon laquelle les navires de capture de plus de 24 mètres qui figurent dans le registre des navires de l’ICCAT devraient se voir attribuer un quota, qui ne devrait pas être nul. Le fait de ne pas suivre cette interprétation fait du registre un outil peu fiable pour déterminer qui est autorisé à cibler le thon rouge. Lorsqu'un navire est inscrit au registre, nous supposons qu'il peut pêcher le thon rouge et que, pour ce faire, il doit disposer d'un quota alloué. Cela est particulièrement important dans le cas d'un programme d'inspection conjointe où il est essentiel de savoir si un navire peut ou non cibler le thon rouge.</w:t>
            </w:r>
          </w:p>
        </w:tc>
        <w:tc>
          <w:tcPr>
            <w:tcW w:w="869" w:type="pct"/>
          </w:tcPr>
          <w:p w14:paraId="49CFEF3A" w14:textId="77777777" w:rsidR="00B66197" w:rsidRPr="004E13E9" w:rsidRDefault="00B66197" w:rsidP="00125C7F">
            <w:pPr>
              <w:jc w:val="both"/>
              <w:rPr>
                <w:rFonts w:ascii="Cambria" w:eastAsia="Yu Mincho" w:hAnsi="Cambria"/>
                <w:sz w:val="18"/>
                <w:szCs w:val="18"/>
                <w:lang w:val="fr-FR"/>
              </w:rPr>
            </w:pPr>
            <w:r w:rsidRPr="004E13E9">
              <w:rPr>
                <w:rFonts w:ascii="Cambria" w:hAnsi="Cambria"/>
                <w:sz w:val="18"/>
                <w:szCs w:val="18"/>
                <w:lang w:val="fr-FR"/>
              </w:rPr>
              <w:t>L'Égypte comprend le besoin de flexibilité dans l'enregistrement des navires et la gestion des quotas. Nous soutenons le point de vue selon lequel :</w:t>
            </w:r>
          </w:p>
          <w:p w14:paraId="4919640E" w14:textId="77777777" w:rsidR="00B66197" w:rsidRPr="004E13E9" w:rsidRDefault="00B66197" w:rsidP="00125C7F">
            <w:pPr>
              <w:jc w:val="both"/>
              <w:rPr>
                <w:rFonts w:ascii="Cambria" w:eastAsia="Yu Mincho" w:hAnsi="Cambria"/>
                <w:sz w:val="18"/>
                <w:szCs w:val="18"/>
                <w:lang w:val="fr-FR"/>
              </w:rPr>
            </w:pPr>
          </w:p>
          <w:p w14:paraId="6E203AB6" w14:textId="77777777" w:rsidR="00B66197" w:rsidRPr="004E13E9" w:rsidRDefault="00B66197" w:rsidP="00125C7F">
            <w:pPr>
              <w:jc w:val="both"/>
              <w:rPr>
                <w:rFonts w:ascii="Cambria" w:eastAsia="Yu Mincho" w:hAnsi="Cambria"/>
                <w:sz w:val="18"/>
                <w:szCs w:val="18"/>
                <w:lang w:val="fr-FR"/>
              </w:rPr>
            </w:pPr>
            <w:r w:rsidRPr="004E13E9">
              <w:rPr>
                <w:rFonts w:ascii="Cambria" w:hAnsi="Cambria"/>
                <w:sz w:val="18"/>
                <w:szCs w:val="18"/>
                <w:lang w:val="fr-FR"/>
              </w:rPr>
              <w:t>Les navires devraient être autorisés à rester dans le registre ICCAT des navires de capture de thon rouge même si leur quota individuel est temporairement nul, à condition qu'il soit prévu qu'ils reçoivent des transferts de quotas plus tard au cours de la saison.</w:t>
            </w:r>
          </w:p>
          <w:p w14:paraId="657938D9" w14:textId="77777777" w:rsidR="00B66197" w:rsidRPr="004E13E9" w:rsidRDefault="00B66197" w:rsidP="00125C7F">
            <w:pPr>
              <w:jc w:val="both"/>
              <w:rPr>
                <w:rFonts w:ascii="Cambria" w:eastAsia="Yu Mincho" w:hAnsi="Cambria"/>
                <w:sz w:val="18"/>
                <w:szCs w:val="18"/>
                <w:lang w:val="fr-FR"/>
              </w:rPr>
            </w:pPr>
          </w:p>
          <w:p w14:paraId="7686C9DA" w14:textId="77777777" w:rsidR="00B66197" w:rsidRPr="004E13E9" w:rsidRDefault="00B66197" w:rsidP="00125C7F">
            <w:pPr>
              <w:jc w:val="both"/>
              <w:rPr>
                <w:rFonts w:ascii="Cambria" w:eastAsia="Yu Mincho" w:hAnsi="Cambria"/>
                <w:sz w:val="18"/>
                <w:szCs w:val="18"/>
                <w:lang w:val="fr-FR"/>
              </w:rPr>
            </w:pPr>
            <w:r w:rsidRPr="004E13E9">
              <w:rPr>
                <w:rFonts w:ascii="Cambria" w:hAnsi="Cambria"/>
                <w:sz w:val="18"/>
                <w:szCs w:val="18"/>
                <w:lang w:val="fr-FR"/>
              </w:rPr>
              <w:t>Cela est conforme au besoin de flexibilité opérationnelle et évite une charge administrative inutile.</w:t>
            </w:r>
          </w:p>
          <w:p w14:paraId="2BFA950D" w14:textId="77777777" w:rsidR="00B66197" w:rsidRPr="004E13E9" w:rsidRDefault="00B66197" w:rsidP="00125C7F">
            <w:pPr>
              <w:jc w:val="both"/>
              <w:rPr>
                <w:rFonts w:ascii="Cambria" w:eastAsia="Yu Mincho" w:hAnsi="Cambria"/>
                <w:sz w:val="18"/>
                <w:szCs w:val="18"/>
                <w:lang w:val="fr-FR"/>
              </w:rPr>
            </w:pPr>
          </w:p>
          <w:p w14:paraId="4734DA15" w14:textId="77777777" w:rsidR="00B66197" w:rsidRPr="004E13E9" w:rsidRDefault="00B66197" w:rsidP="00125C7F">
            <w:pPr>
              <w:jc w:val="both"/>
              <w:rPr>
                <w:rFonts w:ascii="Cambria" w:eastAsia="Yu Mincho" w:hAnsi="Cambria"/>
                <w:sz w:val="18"/>
                <w:szCs w:val="18"/>
                <w:lang w:val="fr-FR"/>
              </w:rPr>
            </w:pPr>
            <w:r w:rsidRPr="004E13E9">
              <w:rPr>
                <w:rFonts w:ascii="Cambria" w:hAnsi="Cambria"/>
                <w:sz w:val="18"/>
                <w:szCs w:val="18"/>
                <w:lang w:val="fr-FR"/>
              </w:rPr>
              <w:t>Toutefois, des garanties doivent être mises en place pour s'assurer que les navires sans quota ne se livrent pas à des activités de pêche tant qu'un quota valide ne leur ait été transféré.</w:t>
            </w:r>
          </w:p>
          <w:p w14:paraId="519F209C" w14:textId="77777777" w:rsidR="00B66197" w:rsidRPr="004E13E9" w:rsidRDefault="00B66197" w:rsidP="00125C7F">
            <w:pPr>
              <w:jc w:val="both"/>
              <w:rPr>
                <w:rFonts w:ascii="Cambria" w:eastAsia="Yu Mincho" w:hAnsi="Cambria"/>
                <w:sz w:val="18"/>
                <w:szCs w:val="18"/>
                <w:lang w:val="fr-FR"/>
              </w:rPr>
            </w:pPr>
          </w:p>
          <w:p w14:paraId="60B2D75D" w14:textId="77777777" w:rsidR="00B66197" w:rsidRPr="004E13E9" w:rsidRDefault="00B66197" w:rsidP="00125C7F">
            <w:pPr>
              <w:jc w:val="both"/>
              <w:rPr>
                <w:rFonts w:ascii="Cambria" w:eastAsia="Yu Mincho" w:hAnsi="Cambria"/>
                <w:sz w:val="18"/>
                <w:szCs w:val="18"/>
                <w:lang w:val="fr-FR"/>
              </w:rPr>
            </w:pPr>
            <w:r w:rsidRPr="004E13E9">
              <w:rPr>
                <w:rFonts w:ascii="Cambria" w:hAnsi="Cambria"/>
                <w:sz w:val="18"/>
                <w:szCs w:val="18"/>
                <w:lang w:val="fr-FR"/>
              </w:rPr>
              <w:t>Nous encourageons la Sous-commission à fournir des orientations claires sur cette question afin de garantir une application harmonisée entre les CPC.</w:t>
            </w:r>
          </w:p>
          <w:p w14:paraId="47FCEAB1" w14:textId="77777777" w:rsidR="00B66197" w:rsidRPr="004E13E9" w:rsidRDefault="00B66197" w:rsidP="00125C7F">
            <w:pPr>
              <w:jc w:val="both"/>
              <w:rPr>
                <w:rFonts w:ascii="Cambria" w:eastAsia="Yu Mincho" w:hAnsi="Cambria"/>
                <w:sz w:val="18"/>
                <w:szCs w:val="18"/>
                <w:lang w:val="fr-FR"/>
              </w:rPr>
            </w:pPr>
          </w:p>
          <w:p w14:paraId="4CC47552" w14:textId="77777777" w:rsidR="00B66197" w:rsidRPr="004E13E9" w:rsidRDefault="00B66197" w:rsidP="00125C7F">
            <w:pPr>
              <w:jc w:val="both"/>
              <w:rPr>
                <w:rFonts w:ascii="Cambria" w:eastAsia="Yu Mincho" w:hAnsi="Cambria"/>
                <w:sz w:val="18"/>
                <w:szCs w:val="18"/>
                <w:lang w:val="fr-FR"/>
              </w:rPr>
            </w:pPr>
            <w:r w:rsidRPr="004E13E9">
              <w:rPr>
                <w:rFonts w:ascii="Cambria" w:hAnsi="Cambria"/>
                <w:sz w:val="18"/>
                <w:szCs w:val="18"/>
                <w:lang w:val="fr-FR"/>
              </w:rPr>
              <w:t>Nous pensons que cela améliorera l’application et la qualité des données.</w:t>
            </w:r>
          </w:p>
        </w:tc>
        <w:tc>
          <w:tcPr>
            <w:tcW w:w="869" w:type="pct"/>
          </w:tcPr>
          <w:p w14:paraId="27D5AFA5" w14:textId="77777777" w:rsidR="00B66197" w:rsidRPr="004E13E9" w:rsidRDefault="00B66197" w:rsidP="00125C7F">
            <w:pPr>
              <w:jc w:val="both"/>
              <w:rPr>
                <w:rFonts w:ascii="Cambria" w:hAnsi="Cambria"/>
                <w:sz w:val="18"/>
                <w:szCs w:val="18"/>
                <w:lang w:val="fr-FR"/>
              </w:rPr>
            </w:pPr>
            <w:r w:rsidRPr="004E13E9">
              <w:rPr>
                <w:rFonts w:ascii="Cambria" w:hAnsi="Cambria"/>
                <w:sz w:val="18"/>
                <w:szCs w:val="18"/>
                <w:lang w:val="fr-FR"/>
              </w:rPr>
              <w:t>Aucun consensus n’a été dégagé sur cette question.</w:t>
            </w:r>
          </w:p>
        </w:tc>
      </w:tr>
    </w:tbl>
    <w:p w14:paraId="4DB83DB4" w14:textId="77777777" w:rsidR="00BB3686" w:rsidRPr="004E13E9" w:rsidRDefault="00BB3686">
      <w:pPr>
        <w:rPr>
          <w:b/>
          <w:bCs/>
          <w:lang w:val="fr-FR"/>
        </w:rPr>
      </w:pPr>
      <w:r w:rsidRPr="004E13E9">
        <w:rPr>
          <w:b/>
          <w:bCs/>
          <w:lang w:val="fr-FR"/>
        </w:rPr>
        <w:br w:type="page"/>
      </w:r>
    </w:p>
    <w:p w14:paraId="006D3F5C" w14:textId="74431CE4" w:rsidR="00C90F1C" w:rsidRPr="004E13E9" w:rsidRDefault="004F391F" w:rsidP="004F391F">
      <w:pPr>
        <w:jc w:val="right"/>
        <w:rPr>
          <w:b/>
          <w:bCs/>
          <w:lang w:val="fr-FR"/>
        </w:rPr>
      </w:pPr>
      <w:r w:rsidRPr="004E13E9">
        <w:rPr>
          <w:b/>
          <w:bCs/>
          <w:lang w:val="fr-FR"/>
        </w:rPr>
        <w:t>Appendice 7</w:t>
      </w:r>
    </w:p>
    <w:p w14:paraId="1D60BB0B" w14:textId="201EA895" w:rsidR="00AC0A94" w:rsidRPr="004E13E9" w:rsidRDefault="00AC0A94" w:rsidP="00AC0A94">
      <w:pPr>
        <w:jc w:val="center"/>
        <w:rPr>
          <w:lang w:val="fr-FR"/>
        </w:rPr>
      </w:pPr>
      <w:r w:rsidRPr="004E13E9">
        <w:rPr>
          <w:b/>
          <w:lang w:val="fr-FR"/>
        </w:rPr>
        <w:t>Examen des demandes adressées par la Commission au SCRS</w:t>
      </w:r>
    </w:p>
    <w:p w14:paraId="69A72A9D" w14:textId="77777777" w:rsidR="00AC0A94" w:rsidRPr="004E13E9" w:rsidRDefault="00AC0A94" w:rsidP="00AC0A94">
      <w:pPr>
        <w:jc w:val="center"/>
        <w:rPr>
          <w:b/>
          <w:sz w:val="8"/>
          <w:szCs w:val="8"/>
          <w:lang w:val="fr-FR"/>
        </w:rPr>
      </w:pPr>
    </w:p>
    <w:tbl>
      <w:tblPr>
        <w:tblStyle w:val="TableGrid"/>
        <w:tblW w:w="5000" w:type="pct"/>
        <w:tblLook w:val="04A0" w:firstRow="1" w:lastRow="0" w:firstColumn="1" w:lastColumn="0" w:noHBand="0" w:noVBand="1"/>
      </w:tblPr>
      <w:tblGrid>
        <w:gridCol w:w="7739"/>
        <w:gridCol w:w="6255"/>
      </w:tblGrid>
      <w:tr w:rsidR="00772348" w:rsidRPr="0084719E" w14:paraId="47BD237C" w14:textId="77777777" w:rsidTr="00D3014A">
        <w:tc>
          <w:tcPr>
            <w:tcW w:w="2765" w:type="pct"/>
          </w:tcPr>
          <w:p w14:paraId="3357D048" w14:textId="77777777" w:rsidR="00772348" w:rsidRPr="004E13E9" w:rsidRDefault="00772348" w:rsidP="00D3014A">
            <w:pPr>
              <w:widowControl w:val="0"/>
              <w:jc w:val="center"/>
              <w:rPr>
                <w:rFonts w:ascii="Cambria" w:eastAsia="Yu Mincho" w:hAnsi="Cambria"/>
                <w:i/>
                <w:iCs/>
                <w:sz w:val="20"/>
                <w:szCs w:val="20"/>
              </w:rPr>
            </w:pPr>
            <w:r w:rsidRPr="004E13E9">
              <w:rPr>
                <w:rFonts w:ascii="Cambria" w:hAnsi="Cambria"/>
                <w:i/>
                <w:sz w:val="20"/>
              </w:rPr>
              <w:t>Demandes de la Sous-commission 2</w:t>
            </w:r>
          </w:p>
        </w:tc>
        <w:tc>
          <w:tcPr>
            <w:tcW w:w="2235" w:type="pct"/>
          </w:tcPr>
          <w:p w14:paraId="4ADE284E" w14:textId="77777777" w:rsidR="00772348" w:rsidRPr="004E13E9" w:rsidRDefault="00772348" w:rsidP="00D3014A">
            <w:pPr>
              <w:widowControl w:val="0"/>
              <w:jc w:val="center"/>
              <w:rPr>
                <w:rFonts w:ascii="Cambria" w:eastAsia="Yu Mincho" w:hAnsi="Cambria"/>
                <w:i/>
                <w:iCs/>
                <w:sz w:val="20"/>
                <w:szCs w:val="20"/>
              </w:rPr>
            </w:pPr>
            <w:r w:rsidRPr="004E13E9">
              <w:rPr>
                <w:rFonts w:ascii="Cambria" w:hAnsi="Cambria"/>
                <w:i/>
                <w:sz w:val="20"/>
              </w:rPr>
              <w:t>Réponse du SCRS et/ou commentaire</w:t>
            </w:r>
          </w:p>
        </w:tc>
      </w:tr>
      <w:tr w:rsidR="00772348" w:rsidRPr="0084719E" w14:paraId="3C9B340E" w14:textId="77777777" w:rsidTr="00D3014A">
        <w:tc>
          <w:tcPr>
            <w:tcW w:w="2765" w:type="pct"/>
          </w:tcPr>
          <w:p w14:paraId="3E071C25" w14:textId="77777777" w:rsidR="00772348" w:rsidRPr="004E13E9" w:rsidRDefault="00772348" w:rsidP="00D3014A">
            <w:pPr>
              <w:widowControl w:val="0"/>
              <w:jc w:val="both"/>
              <w:rPr>
                <w:rFonts w:ascii="Cambria" w:eastAsia="Yu Mincho" w:hAnsi="Cambria"/>
                <w:b/>
                <w:bCs/>
                <w:i/>
                <w:iCs/>
                <w:sz w:val="20"/>
                <w:szCs w:val="20"/>
              </w:rPr>
            </w:pPr>
            <w:r w:rsidRPr="004E13E9">
              <w:rPr>
                <w:rFonts w:ascii="Cambria" w:hAnsi="Cambria"/>
                <w:b/>
                <w:i/>
                <w:sz w:val="20"/>
                <w:szCs w:val="20"/>
              </w:rPr>
              <w:t xml:space="preserve">19.5 Le SCRS devra évaluer la survenance de circonstances exceptionnelles (EC) et la Commission devra agir conformément au Protocole relatif aux circonstances exceptionnelles figurant à l’annexe 2, </w:t>
            </w:r>
            <w:hyperlink r:id="rId236" w:history="1">
              <w:r w:rsidRPr="004E13E9">
                <w:rPr>
                  <w:rStyle w:val="Hyperlink"/>
                  <w:rFonts w:ascii="Cambria" w:hAnsi="Cambria"/>
                  <w:b/>
                  <w:i/>
                  <w:sz w:val="20"/>
                  <w:szCs w:val="20"/>
                  <w:u w:val="none"/>
                </w:rPr>
                <w:t>Rec. 21-04</w:t>
              </w:r>
            </w:hyperlink>
            <w:r w:rsidRPr="004E13E9">
              <w:rPr>
                <w:rFonts w:ascii="Cambria" w:hAnsi="Cambria"/>
                <w:b/>
                <w:i/>
                <w:sz w:val="20"/>
                <w:szCs w:val="20"/>
              </w:rPr>
              <w:t>, paragraphe 4</w:t>
            </w:r>
          </w:p>
          <w:p w14:paraId="31CF97F3" w14:textId="77777777" w:rsidR="00772348" w:rsidRPr="004E13E9" w:rsidRDefault="00772348" w:rsidP="00D3014A">
            <w:pPr>
              <w:widowControl w:val="0"/>
              <w:jc w:val="both"/>
              <w:rPr>
                <w:rFonts w:ascii="Cambria" w:eastAsia="Yu Mincho" w:hAnsi="Cambria"/>
                <w:b/>
                <w:bCs/>
                <w:i/>
                <w:iCs/>
                <w:sz w:val="20"/>
                <w:szCs w:val="20"/>
              </w:rPr>
            </w:pPr>
          </w:p>
          <w:p w14:paraId="04051D52" w14:textId="77777777" w:rsidR="00772348" w:rsidRPr="004E13E9" w:rsidRDefault="00772348" w:rsidP="00D3014A">
            <w:pPr>
              <w:widowControl w:val="0"/>
              <w:jc w:val="both"/>
              <w:rPr>
                <w:rFonts w:ascii="Cambria" w:eastAsia="Yu Mincho" w:hAnsi="Cambria"/>
                <w:sz w:val="20"/>
                <w:szCs w:val="20"/>
              </w:rPr>
            </w:pPr>
            <w:r w:rsidRPr="004E13E9">
              <w:rPr>
                <w:rFonts w:ascii="Cambria" w:hAnsi="Cambria"/>
                <w:sz w:val="20"/>
                <w:szCs w:val="20"/>
              </w:rPr>
              <w:t>Le SCRS devra évaluer la survenance de circonstances exceptionnelles (EC) et la Commission devra agir conformément au Protocole relatif aux circonstances exceptionnelles figurant à l'annexe 2.</w:t>
            </w:r>
          </w:p>
        </w:tc>
        <w:tc>
          <w:tcPr>
            <w:tcW w:w="2235" w:type="pct"/>
            <w:vAlign w:val="center"/>
          </w:tcPr>
          <w:p w14:paraId="534296AC" w14:textId="77777777" w:rsidR="00772348" w:rsidRPr="004E13E9" w:rsidRDefault="00772348" w:rsidP="00D3014A">
            <w:pPr>
              <w:widowControl w:val="0"/>
              <w:rPr>
                <w:rFonts w:ascii="Cambria" w:eastAsia="Yu Mincho" w:hAnsi="Cambria"/>
                <w:sz w:val="20"/>
                <w:szCs w:val="20"/>
              </w:rPr>
            </w:pPr>
            <w:r w:rsidRPr="004E13E9">
              <w:rPr>
                <w:rFonts w:ascii="Cambria" w:hAnsi="Cambria"/>
                <w:sz w:val="20"/>
              </w:rPr>
              <w:t>Commentaire : Il s'agit d'une tâche courante qui doit être conservée.</w:t>
            </w:r>
          </w:p>
        </w:tc>
      </w:tr>
      <w:tr w:rsidR="00772348" w:rsidRPr="0084719E" w14:paraId="735455DB" w14:textId="77777777" w:rsidTr="00D3014A">
        <w:tc>
          <w:tcPr>
            <w:tcW w:w="2765" w:type="pct"/>
          </w:tcPr>
          <w:p w14:paraId="2928C252" w14:textId="77777777" w:rsidR="00772348" w:rsidRPr="004E13E9" w:rsidRDefault="00772348" w:rsidP="00D3014A">
            <w:pPr>
              <w:widowControl w:val="0"/>
              <w:jc w:val="both"/>
              <w:rPr>
                <w:rFonts w:ascii="Cambria" w:eastAsia="Yu Mincho" w:hAnsi="Cambria"/>
                <w:b/>
                <w:bCs/>
                <w:i/>
                <w:iCs/>
                <w:sz w:val="20"/>
                <w:szCs w:val="20"/>
              </w:rPr>
            </w:pPr>
            <w:r w:rsidRPr="004E13E9">
              <w:rPr>
                <w:rFonts w:ascii="Cambria" w:hAnsi="Cambria"/>
                <w:b/>
                <w:i/>
                <w:sz w:val="20"/>
                <w:szCs w:val="20"/>
              </w:rPr>
              <w:t xml:space="preserve">19.6 Le SCRS fournira une évaluation actualisée de l’état du stock sur la base des données les plus récentes disponibles, </w:t>
            </w:r>
            <w:hyperlink r:id="rId237" w:history="1">
              <w:r w:rsidRPr="004E13E9">
                <w:rPr>
                  <w:rStyle w:val="Hyperlink"/>
                  <w:rFonts w:ascii="Cambria" w:hAnsi="Cambria"/>
                  <w:b/>
                  <w:i/>
                  <w:sz w:val="20"/>
                  <w:szCs w:val="20"/>
                  <w:u w:val="none"/>
                </w:rPr>
                <w:t>Rec. 24-08</w:t>
              </w:r>
            </w:hyperlink>
            <w:r w:rsidRPr="004E13E9">
              <w:rPr>
                <w:rFonts w:ascii="Cambria" w:hAnsi="Cambria"/>
                <w:b/>
                <w:i/>
                <w:sz w:val="20"/>
                <w:szCs w:val="20"/>
              </w:rPr>
              <w:t>, paragraphe 11</w:t>
            </w:r>
          </w:p>
          <w:p w14:paraId="1BB39756" w14:textId="77777777" w:rsidR="00772348" w:rsidRPr="004E13E9" w:rsidRDefault="00772348" w:rsidP="00D3014A">
            <w:pPr>
              <w:widowControl w:val="0"/>
              <w:jc w:val="both"/>
              <w:rPr>
                <w:rFonts w:ascii="Cambria" w:eastAsia="Yu Mincho" w:hAnsi="Cambria"/>
                <w:b/>
                <w:bCs/>
                <w:i/>
                <w:iCs/>
                <w:sz w:val="20"/>
                <w:szCs w:val="20"/>
              </w:rPr>
            </w:pPr>
          </w:p>
          <w:p w14:paraId="53C18606" w14:textId="77777777" w:rsidR="00772348" w:rsidRPr="004E13E9" w:rsidRDefault="00772348" w:rsidP="00D3014A">
            <w:pPr>
              <w:widowControl w:val="0"/>
              <w:jc w:val="both"/>
              <w:rPr>
                <w:rFonts w:ascii="Cambria" w:eastAsia="Yu Mincho" w:hAnsi="Cambria"/>
                <w:sz w:val="20"/>
                <w:szCs w:val="20"/>
              </w:rPr>
            </w:pPr>
            <w:r w:rsidRPr="004E13E9">
              <w:rPr>
                <w:rFonts w:ascii="Cambria" w:hAnsi="Cambria"/>
                <w:sz w:val="20"/>
                <w:szCs w:val="20"/>
              </w:rPr>
              <w:t xml:space="preserve">En 2026, ou lors de toute autre année ultérieure identifiée par le SCRS en 2025 en raison de limitations des données qui l'empêcheraient de poursuivre ses travaux, le SCRS devra fournir une évaluation actualisée de l’état du stock sur la base des données les plus récentes disponibles. </w:t>
            </w:r>
          </w:p>
          <w:p w14:paraId="423F6E78" w14:textId="77777777" w:rsidR="00772348" w:rsidRPr="004E13E9" w:rsidRDefault="00772348" w:rsidP="00D3014A">
            <w:pPr>
              <w:widowControl w:val="0"/>
              <w:jc w:val="both"/>
              <w:rPr>
                <w:rFonts w:ascii="Cambria" w:eastAsia="Yu Mincho" w:hAnsi="Cambria"/>
                <w:sz w:val="20"/>
                <w:szCs w:val="20"/>
              </w:rPr>
            </w:pPr>
          </w:p>
          <w:p w14:paraId="167DC6B7" w14:textId="77777777" w:rsidR="00772348" w:rsidRPr="004E13E9" w:rsidRDefault="00772348" w:rsidP="00D3014A">
            <w:pPr>
              <w:widowControl w:val="0"/>
              <w:jc w:val="both"/>
              <w:rPr>
                <w:rFonts w:ascii="Cambria" w:eastAsia="Yu Mincho" w:hAnsi="Cambria"/>
                <w:sz w:val="20"/>
                <w:szCs w:val="20"/>
              </w:rPr>
            </w:pPr>
            <w:r w:rsidRPr="004E13E9">
              <w:rPr>
                <w:rFonts w:ascii="Cambria" w:hAnsi="Cambria"/>
                <w:sz w:val="20"/>
                <w:szCs w:val="20"/>
              </w:rPr>
              <w:t>Il devra évaluer l'efficacité de ce plan de rétablissement et formuler un avis sur de potentiels amendements aux diverses mesures incluses dans ce plan. Le SCRS devra formuler un avis à la Commission sur les caractéristiques appropriées de l'engin de pêche, la période de fermeture énoncée au paragraphe 9, ainsi que sur la taille minimale à mettre en œuvre pour le germon de la Méditerranée.</w:t>
            </w:r>
          </w:p>
        </w:tc>
        <w:tc>
          <w:tcPr>
            <w:tcW w:w="2235" w:type="pct"/>
          </w:tcPr>
          <w:p w14:paraId="723D1B24" w14:textId="77777777" w:rsidR="00772348" w:rsidRPr="004E13E9" w:rsidRDefault="00772348" w:rsidP="00D3014A">
            <w:pPr>
              <w:widowControl w:val="0"/>
              <w:jc w:val="both"/>
              <w:rPr>
                <w:rFonts w:ascii="Cambria" w:eastAsia="Yu Mincho" w:hAnsi="Cambria"/>
                <w:sz w:val="20"/>
                <w:szCs w:val="20"/>
              </w:rPr>
            </w:pPr>
            <w:r w:rsidRPr="004E13E9">
              <w:rPr>
                <w:rFonts w:ascii="Cambria" w:hAnsi="Cambria"/>
                <w:sz w:val="20"/>
              </w:rPr>
              <w:t xml:space="preserve">En 2025, le SCRS conseillait que la prochaine évaluation complète ne soit pas programmée avant 2027 et que ces incertitudes majeures soient levées. </w:t>
            </w:r>
          </w:p>
          <w:p w14:paraId="2D472AEA" w14:textId="77777777" w:rsidR="00772348" w:rsidRPr="004E13E9" w:rsidRDefault="00772348" w:rsidP="00D3014A">
            <w:pPr>
              <w:widowControl w:val="0"/>
              <w:jc w:val="both"/>
              <w:rPr>
                <w:rFonts w:ascii="Cambria" w:eastAsia="Yu Mincho" w:hAnsi="Cambria"/>
                <w:sz w:val="20"/>
                <w:szCs w:val="20"/>
              </w:rPr>
            </w:pPr>
          </w:p>
          <w:p w14:paraId="1E463025" w14:textId="77777777" w:rsidR="00772348" w:rsidRPr="004E13E9" w:rsidRDefault="00772348" w:rsidP="00D3014A">
            <w:pPr>
              <w:widowControl w:val="0"/>
              <w:jc w:val="both"/>
              <w:rPr>
                <w:rFonts w:ascii="Cambria" w:eastAsia="Yu Mincho" w:hAnsi="Cambria"/>
                <w:sz w:val="20"/>
                <w:szCs w:val="20"/>
              </w:rPr>
            </w:pPr>
            <w:r w:rsidRPr="004E13E9">
              <w:rPr>
                <w:rFonts w:ascii="Cambria" w:hAnsi="Cambria"/>
                <w:sz w:val="20"/>
              </w:rPr>
              <w:t>Commentaire : Le SCRS pourra répéter cette phrase dans son rapport de 2026.</w:t>
            </w:r>
          </w:p>
          <w:p w14:paraId="05B1CCD1" w14:textId="77777777" w:rsidR="00772348" w:rsidRPr="004E13E9" w:rsidRDefault="00772348" w:rsidP="00D3014A">
            <w:pPr>
              <w:widowControl w:val="0"/>
              <w:jc w:val="both"/>
              <w:rPr>
                <w:rFonts w:ascii="Cambria" w:eastAsia="Yu Mincho" w:hAnsi="Cambria"/>
                <w:sz w:val="20"/>
                <w:szCs w:val="20"/>
              </w:rPr>
            </w:pPr>
          </w:p>
          <w:p w14:paraId="110B2B72" w14:textId="77777777" w:rsidR="00772348" w:rsidRPr="004E13E9" w:rsidRDefault="00772348" w:rsidP="00D3014A">
            <w:pPr>
              <w:widowControl w:val="0"/>
              <w:jc w:val="both"/>
              <w:rPr>
                <w:rFonts w:ascii="Cambria" w:eastAsia="Yu Mincho" w:hAnsi="Cambria"/>
                <w:sz w:val="20"/>
                <w:szCs w:val="20"/>
              </w:rPr>
            </w:pPr>
            <w:r w:rsidRPr="004E13E9">
              <w:rPr>
                <w:rFonts w:ascii="Cambria" w:hAnsi="Cambria"/>
                <w:sz w:val="20"/>
              </w:rPr>
              <w:t>Le SCRS a considéré que les modifications apportées aux engins de pêche apporteraient peu d'avantages, étant donné que la plupart des captures sont supérieures à la taille de la première maturité, et il a noté que les fermetures automne-hiver adoptées en 2022 peuvent contribuer à réduire l'effort de pêche, même si leur effet ne pouvait pas encore être quantifié. En ce qui concerne la taille minimale, le Comité a réaffirmé qu'une telle mesure ne présenterait qu'un intérêt limité, voire nul, compte tenu de la composition actuelle des captures et de la mortalité probablement élevée des rejets. L'efficacité du plan de rétablissement ne peut pas encore être évaluée, car les données disponibles ne reflètent pas sa mise en œuvre récente.</w:t>
            </w:r>
          </w:p>
          <w:p w14:paraId="748E6CC2" w14:textId="77777777" w:rsidR="00772348" w:rsidRPr="004E13E9" w:rsidRDefault="00772348" w:rsidP="00D3014A">
            <w:pPr>
              <w:widowControl w:val="0"/>
              <w:jc w:val="both"/>
              <w:rPr>
                <w:rFonts w:ascii="Cambria" w:eastAsia="Yu Mincho" w:hAnsi="Cambria"/>
                <w:sz w:val="20"/>
                <w:szCs w:val="20"/>
              </w:rPr>
            </w:pPr>
          </w:p>
          <w:p w14:paraId="16EF3F19" w14:textId="77777777" w:rsidR="00772348" w:rsidRPr="004E13E9" w:rsidRDefault="00772348" w:rsidP="00D3014A">
            <w:pPr>
              <w:widowControl w:val="0"/>
              <w:jc w:val="both"/>
              <w:rPr>
                <w:rFonts w:ascii="Cambria" w:eastAsia="Yu Mincho" w:hAnsi="Cambria"/>
                <w:sz w:val="20"/>
                <w:szCs w:val="20"/>
              </w:rPr>
            </w:pPr>
            <w:r w:rsidRPr="004E13E9">
              <w:rPr>
                <w:rFonts w:ascii="Cambria" w:hAnsi="Cambria"/>
                <w:sz w:val="20"/>
              </w:rPr>
              <w:t>Commentaire : Bien que le SCRS ait déclaré qu'il attendrait plusieurs années avant de voir les effets du plan de rétablissement actuel, il a clairement indiqué qu'aucune taille minimale n'était nécessaire, car la plupart des captures dépassent la taille de première maturité. Ainsi, le SCRS n'aura pas à répondre à cette question en 2026 et par la suite.</w:t>
            </w:r>
          </w:p>
        </w:tc>
      </w:tr>
      <w:tr w:rsidR="00772348" w:rsidRPr="0084719E" w14:paraId="3FBE9FF2" w14:textId="77777777" w:rsidTr="00D3014A">
        <w:tc>
          <w:tcPr>
            <w:tcW w:w="2765" w:type="pct"/>
          </w:tcPr>
          <w:p w14:paraId="5C47A652" w14:textId="77777777" w:rsidR="00772348" w:rsidRPr="004E13E9" w:rsidRDefault="00772348" w:rsidP="00D3014A">
            <w:pPr>
              <w:widowControl w:val="0"/>
              <w:jc w:val="both"/>
              <w:rPr>
                <w:rFonts w:ascii="Cambria" w:hAnsi="Cambria"/>
                <w:b/>
                <w:bCs/>
                <w:i/>
                <w:iCs/>
                <w:sz w:val="20"/>
              </w:rPr>
            </w:pPr>
            <w:r w:rsidRPr="004E13E9">
              <w:rPr>
                <w:rFonts w:ascii="Cambria" w:hAnsi="Cambria"/>
                <w:b/>
                <w:bCs/>
                <w:i/>
                <w:iCs/>
                <w:sz w:val="20"/>
              </w:rPr>
              <w:t>19.10</w:t>
            </w:r>
            <w:r w:rsidRPr="004E13E9">
              <w:rPr>
                <w:rFonts w:ascii="Cambria" w:hAnsi="Cambria"/>
                <w:i/>
                <w:sz w:val="20"/>
              </w:rPr>
              <w:tab/>
            </w:r>
            <w:r w:rsidRPr="004E13E9">
              <w:rPr>
                <w:rFonts w:ascii="Cambria" w:hAnsi="Cambria"/>
                <w:b/>
                <w:bCs/>
                <w:i/>
                <w:iCs/>
                <w:sz w:val="20"/>
              </w:rPr>
              <w:t xml:space="preserve">Conformément au calendrier établi à l’annexe 3, le SCRS devra exécuter la MP spécifiée à l'annexe 2 et informer la Commission du TAC résultant pour la zone de gestion de l’Ouest et la zone de gestion de l’Est, </w:t>
            </w:r>
            <w:hyperlink r:id="rId238" w:history="1">
              <w:r w:rsidRPr="004E13E9">
                <w:rPr>
                  <w:rStyle w:val="Hyperlink"/>
                  <w:rFonts w:ascii="Cambria" w:hAnsi="Cambria"/>
                  <w:b/>
                  <w:bCs/>
                  <w:i/>
                  <w:iCs/>
                  <w:sz w:val="20"/>
                  <w:u w:val="none"/>
                </w:rPr>
                <w:t>Rec. 23-07</w:t>
              </w:r>
            </w:hyperlink>
            <w:r w:rsidRPr="004E13E9">
              <w:rPr>
                <w:rFonts w:ascii="Cambria" w:hAnsi="Cambria"/>
                <w:b/>
                <w:bCs/>
                <w:i/>
                <w:iCs/>
                <w:sz w:val="20"/>
              </w:rPr>
              <w:t>, paragraphe 7</w:t>
            </w:r>
          </w:p>
          <w:p w14:paraId="056EA01C" w14:textId="77777777" w:rsidR="00772348" w:rsidRPr="004E13E9" w:rsidRDefault="00772348" w:rsidP="00D3014A">
            <w:pPr>
              <w:widowControl w:val="0"/>
              <w:jc w:val="both"/>
              <w:rPr>
                <w:rFonts w:ascii="Cambria" w:eastAsia="Yu Mincho" w:hAnsi="Cambria"/>
                <w:sz w:val="20"/>
                <w:szCs w:val="20"/>
              </w:rPr>
            </w:pPr>
          </w:p>
        </w:tc>
        <w:tc>
          <w:tcPr>
            <w:tcW w:w="2235" w:type="pct"/>
          </w:tcPr>
          <w:p w14:paraId="0000F4DE" w14:textId="77777777" w:rsidR="00772348" w:rsidRPr="004E13E9" w:rsidRDefault="00772348" w:rsidP="00D3014A">
            <w:pPr>
              <w:widowControl w:val="0"/>
              <w:jc w:val="both"/>
              <w:rPr>
                <w:rFonts w:ascii="Cambria" w:eastAsia="Yu Mincho" w:hAnsi="Cambria"/>
                <w:sz w:val="20"/>
                <w:szCs w:val="20"/>
              </w:rPr>
            </w:pPr>
            <w:r w:rsidRPr="004E13E9">
              <w:rPr>
                <w:rFonts w:ascii="Cambria" w:hAnsi="Cambria"/>
                <w:sz w:val="20"/>
              </w:rPr>
              <w:t>Commentaire : Le prochain calcul de la MP aura lieu en 2028. Le SCRS n'a pas à mentionner ce point dans son rapport de 2026.</w:t>
            </w:r>
          </w:p>
        </w:tc>
      </w:tr>
      <w:tr w:rsidR="00772348" w:rsidRPr="0084719E" w14:paraId="00519667" w14:textId="77777777" w:rsidTr="00D3014A">
        <w:tc>
          <w:tcPr>
            <w:tcW w:w="2765" w:type="pct"/>
          </w:tcPr>
          <w:p w14:paraId="0F0AE2B5" w14:textId="77777777" w:rsidR="00772348" w:rsidRPr="004E13E9" w:rsidRDefault="00772348" w:rsidP="00D3014A">
            <w:pPr>
              <w:widowControl w:val="0"/>
              <w:autoSpaceDE w:val="0"/>
              <w:autoSpaceDN w:val="0"/>
              <w:adjustRightInd w:val="0"/>
              <w:jc w:val="both"/>
              <w:rPr>
                <w:rFonts w:ascii="Cambria" w:eastAsia="Yu Mincho" w:hAnsi="Cambria" w:cs="Cambria"/>
                <w:b/>
                <w:bCs/>
                <w:i/>
                <w:iCs/>
                <w:sz w:val="20"/>
                <w:szCs w:val="20"/>
              </w:rPr>
            </w:pPr>
            <w:r w:rsidRPr="004E13E9">
              <w:rPr>
                <w:rFonts w:ascii="Cambria" w:hAnsi="Cambria"/>
                <w:b/>
                <w:i/>
                <w:sz w:val="20"/>
              </w:rPr>
              <w:t xml:space="preserve">19.12 Le SCRS devrait envisager de réviser et de mettre à jour le tableau de croissance publié en 2022, dès que possible, et présenter ces résultats à la Commission, </w:t>
            </w:r>
            <w:hyperlink r:id="rId239" w:history="1">
              <w:r w:rsidRPr="004E13E9">
                <w:rPr>
                  <w:rStyle w:val="Hyperlink"/>
                  <w:rFonts w:ascii="Cambria" w:hAnsi="Cambria"/>
                  <w:b/>
                  <w:i/>
                  <w:sz w:val="20"/>
                  <w:u w:val="none"/>
                </w:rPr>
                <w:t>Rec. 24-05</w:t>
              </w:r>
            </w:hyperlink>
            <w:r w:rsidRPr="004E13E9">
              <w:rPr>
                <w:rFonts w:ascii="Cambria" w:hAnsi="Cambria"/>
                <w:b/>
                <w:i/>
                <w:sz w:val="20"/>
              </w:rPr>
              <w:t xml:space="preserve">, paragraphe 25 ; le SCRS devra évaluer la précision du logiciel d'analyse vidéo qui incorpore l'intelligence artificielle et estime la longueur du thon rouge, et devra formuler un avis à la Commission à des fins d’examen, </w:t>
            </w:r>
            <w:hyperlink r:id="rId240" w:history="1">
              <w:r w:rsidRPr="004E13E9">
                <w:rPr>
                  <w:rStyle w:val="Hyperlink"/>
                  <w:rFonts w:ascii="Cambria" w:hAnsi="Cambria"/>
                  <w:b/>
                  <w:i/>
                  <w:sz w:val="20"/>
                  <w:u w:val="none"/>
                </w:rPr>
                <w:t>Rec. 24-05</w:t>
              </w:r>
            </w:hyperlink>
            <w:r w:rsidRPr="004E13E9">
              <w:rPr>
                <w:rFonts w:ascii="Cambria" w:hAnsi="Cambria"/>
                <w:b/>
                <w:i/>
                <w:sz w:val="20"/>
              </w:rPr>
              <w:t xml:space="preserve">, paragraphe 173 </w:t>
            </w:r>
          </w:p>
          <w:p w14:paraId="2FA7E836" w14:textId="77777777" w:rsidR="00772348" w:rsidRPr="004E13E9" w:rsidRDefault="00772348" w:rsidP="00D3014A">
            <w:pPr>
              <w:widowControl w:val="0"/>
              <w:autoSpaceDE w:val="0"/>
              <w:autoSpaceDN w:val="0"/>
              <w:adjustRightInd w:val="0"/>
              <w:rPr>
                <w:rFonts w:ascii="Cambria" w:eastAsia="Yu Mincho" w:hAnsi="Cambria" w:cs="Cambria"/>
                <w:sz w:val="20"/>
                <w:szCs w:val="20"/>
              </w:rPr>
            </w:pPr>
          </w:p>
          <w:p w14:paraId="57842AC5" w14:textId="77777777" w:rsidR="00772348" w:rsidRPr="004E13E9" w:rsidRDefault="00772348" w:rsidP="00D3014A">
            <w:pPr>
              <w:widowControl w:val="0"/>
              <w:autoSpaceDE w:val="0"/>
              <w:autoSpaceDN w:val="0"/>
              <w:adjustRightInd w:val="0"/>
              <w:jc w:val="both"/>
              <w:rPr>
                <w:rFonts w:ascii="Cambria" w:eastAsia="Yu Mincho" w:hAnsi="Cambria" w:cs="Cambria"/>
                <w:sz w:val="20"/>
                <w:szCs w:val="20"/>
              </w:rPr>
            </w:pPr>
            <w:r w:rsidRPr="004E13E9">
              <w:rPr>
                <w:rFonts w:ascii="Cambria" w:hAnsi="Cambria"/>
                <w:sz w:val="20"/>
              </w:rPr>
              <w:t xml:space="preserve">Paragraphe 25 : Sur la base des nouvelles informations scientifiques disponibles, y compris, le cas échéant, les résultats des essais sur l'intelligence artificielle (IA) mentionnés au paragraphe 167, le SCRS devrait envisager de réviser et de mettre à jour le tableau de croissance publié en 2022, dès que possible, et présenter ces résultats à la Commission. </w:t>
            </w:r>
          </w:p>
          <w:p w14:paraId="0469A887" w14:textId="77777777" w:rsidR="00772348" w:rsidRPr="004E13E9" w:rsidRDefault="00772348" w:rsidP="00D3014A">
            <w:pPr>
              <w:widowControl w:val="0"/>
              <w:autoSpaceDE w:val="0"/>
              <w:autoSpaceDN w:val="0"/>
              <w:adjustRightInd w:val="0"/>
              <w:rPr>
                <w:rFonts w:ascii="Cambria" w:eastAsia="Yu Mincho" w:hAnsi="Cambria" w:cs="Cambria"/>
                <w:sz w:val="20"/>
                <w:szCs w:val="20"/>
              </w:rPr>
            </w:pPr>
          </w:p>
          <w:p w14:paraId="6472F82A" w14:textId="77777777" w:rsidR="00772348" w:rsidRPr="004E13E9" w:rsidRDefault="00772348" w:rsidP="00D3014A">
            <w:pPr>
              <w:widowControl w:val="0"/>
              <w:jc w:val="both"/>
              <w:rPr>
                <w:rFonts w:ascii="Cambria" w:eastAsia="Yu Mincho" w:hAnsi="Cambria"/>
                <w:sz w:val="20"/>
                <w:szCs w:val="20"/>
              </w:rPr>
            </w:pPr>
            <w:r w:rsidRPr="004E13E9">
              <w:rPr>
                <w:rFonts w:ascii="Cambria" w:hAnsi="Cambria"/>
                <w:sz w:val="20"/>
              </w:rPr>
              <w:t>Paragraphe 173 : Dès que les développements technologiques auront été considérés comme robustes et prêts pour leur application commerciale et que le SCRS aura établi les critères techniques et les lignes directrices pour leur sélection, le SCRS devra évaluer la précision du logiciel d'analyse vidéo qui incorpore l'intelligence artificielle et estime la longueur du thon rouge, et devra formuler un avis à la Commission à des fins d’examen.</w:t>
            </w:r>
          </w:p>
        </w:tc>
        <w:tc>
          <w:tcPr>
            <w:tcW w:w="2235" w:type="pct"/>
          </w:tcPr>
          <w:p w14:paraId="29A75B25" w14:textId="77777777" w:rsidR="00772348" w:rsidRPr="004E13E9" w:rsidRDefault="00772348" w:rsidP="00D3014A">
            <w:pPr>
              <w:widowControl w:val="0"/>
              <w:jc w:val="both"/>
              <w:rPr>
                <w:rFonts w:ascii="Cambria" w:eastAsia="Yu Mincho" w:hAnsi="Cambria"/>
                <w:sz w:val="20"/>
                <w:szCs w:val="20"/>
              </w:rPr>
            </w:pPr>
            <w:r w:rsidRPr="004E13E9">
              <w:rPr>
                <w:rFonts w:ascii="Cambria" w:hAnsi="Cambria"/>
                <w:sz w:val="20"/>
              </w:rPr>
              <w:t>Commentaire : Le SCRS devrait revoir et mettre à jour le tableau de croissance en 2022. Veuillez noter que dans le rapport du SCRS de 2025 (19.12), le SCRS a recommandé d'utiliser l'intervalle de confiance supérieur de 75 %, correspondant au 87,5e centile, comme indicateur de croissance atypique. Ceci doit être utilisé jusqu'à ce que le SCRS mette à jour le tableau.</w:t>
            </w:r>
          </w:p>
          <w:p w14:paraId="146065E6" w14:textId="77777777" w:rsidR="00772348" w:rsidRPr="004E13E9" w:rsidRDefault="00772348" w:rsidP="00D3014A">
            <w:pPr>
              <w:widowControl w:val="0"/>
              <w:jc w:val="both"/>
              <w:rPr>
                <w:rFonts w:ascii="Cambria" w:eastAsia="Yu Mincho" w:hAnsi="Cambria"/>
                <w:sz w:val="20"/>
                <w:szCs w:val="20"/>
              </w:rPr>
            </w:pPr>
          </w:p>
          <w:p w14:paraId="5131D8A8" w14:textId="77777777" w:rsidR="00772348" w:rsidRPr="004E13E9" w:rsidRDefault="00772348" w:rsidP="00D3014A">
            <w:pPr>
              <w:widowControl w:val="0"/>
              <w:jc w:val="both"/>
              <w:rPr>
                <w:rFonts w:ascii="Cambria" w:eastAsia="Yu Mincho" w:hAnsi="Cambria"/>
                <w:sz w:val="20"/>
                <w:szCs w:val="20"/>
              </w:rPr>
            </w:pPr>
            <w:r w:rsidRPr="004E13E9">
              <w:rPr>
                <w:rFonts w:ascii="Cambria" w:hAnsi="Cambria"/>
                <w:sz w:val="20"/>
              </w:rPr>
              <w:t>Le SCRS a déjà évalué la précision du logiciel d'analyse vidéo qui incorpore l'intelligence artificielle et estime la longueur du thon rouge, et a formulé un avis à la Commission à des fins d’examen. Le SCRS estime qu'il n'est pas nécessaire de procéder à une évaluation plus approfondie.</w:t>
            </w:r>
          </w:p>
        </w:tc>
      </w:tr>
      <w:tr w:rsidR="00772348" w:rsidRPr="0084719E" w14:paraId="37220767" w14:textId="77777777" w:rsidTr="00D3014A">
        <w:tc>
          <w:tcPr>
            <w:tcW w:w="2765" w:type="pct"/>
          </w:tcPr>
          <w:p w14:paraId="55039A13" w14:textId="77777777" w:rsidR="00772348" w:rsidRPr="004E13E9" w:rsidRDefault="00772348" w:rsidP="00D3014A">
            <w:pPr>
              <w:widowControl w:val="0"/>
              <w:autoSpaceDE w:val="0"/>
              <w:autoSpaceDN w:val="0"/>
              <w:adjustRightInd w:val="0"/>
              <w:rPr>
                <w:rFonts w:ascii="Cambria" w:eastAsia="Yu Mincho" w:hAnsi="Cambria" w:cs="Cambria"/>
                <w:b/>
                <w:bCs/>
                <w:i/>
                <w:iCs/>
                <w:sz w:val="20"/>
                <w:szCs w:val="20"/>
              </w:rPr>
            </w:pPr>
            <w:r w:rsidRPr="004E13E9">
              <w:rPr>
                <w:rFonts w:ascii="Cambria" w:hAnsi="Cambria"/>
                <w:b/>
                <w:i/>
                <w:sz w:val="20"/>
              </w:rPr>
              <w:t xml:space="preserve">19.13 Les CPC des fermes devront s’efforcer d’assurer que les taux de croissance issus des eBCD sont cohérents avec les taux de croissance publiés par le SCRS en 2022. Si des divergences significatives sont détectées entre les tableaux du SCRS de 2022 et les taux de croissance observés, cette information devrait être envoyée au SCRS à des fins d’analyse, </w:t>
            </w:r>
            <w:hyperlink r:id="rId241" w:history="1">
              <w:r w:rsidRPr="004E13E9">
                <w:rPr>
                  <w:rStyle w:val="Hyperlink"/>
                  <w:rFonts w:ascii="Cambria" w:hAnsi="Cambria"/>
                  <w:b/>
                  <w:i/>
                  <w:sz w:val="20"/>
                  <w:u w:val="none"/>
                </w:rPr>
                <w:t>Rec. 24-05</w:t>
              </w:r>
            </w:hyperlink>
            <w:r w:rsidRPr="004E13E9">
              <w:rPr>
                <w:rFonts w:ascii="Cambria" w:hAnsi="Cambria"/>
                <w:b/>
                <w:i/>
                <w:sz w:val="20"/>
              </w:rPr>
              <w:t xml:space="preserve">, paragraphe 26 </w:t>
            </w:r>
          </w:p>
          <w:p w14:paraId="063AAEA3" w14:textId="77777777" w:rsidR="00772348" w:rsidRPr="004E13E9" w:rsidRDefault="00772348" w:rsidP="00D3014A">
            <w:pPr>
              <w:widowControl w:val="0"/>
              <w:autoSpaceDE w:val="0"/>
              <w:autoSpaceDN w:val="0"/>
              <w:adjustRightInd w:val="0"/>
              <w:rPr>
                <w:rFonts w:ascii="Cambria" w:eastAsia="Yu Mincho" w:hAnsi="Cambria" w:cs="Cambria"/>
                <w:sz w:val="20"/>
                <w:szCs w:val="20"/>
              </w:rPr>
            </w:pPr>
          </w:p>
          <w:p w14:paraId="144A5C03" w14:textId="77777777" w:rsidR="00772348" w:rsidRPr="004E13E9" w:rsidRDefault="00772348" w:rsidP="00D3014A">
            <w:pPr>
              <w:widowControl w:val="0"/>
              <w:jc w:val="both"/>
              <w:rPr>
                <w:rFonts w:ascii="Cambria" w:eastAsia="Yu Mincho" w:hAnsi="Cambria"/>
                <w:sz w:val="20"/>
                <w:szCs w:val="20"/>
              </w:rPr>
            </w:pPr>
            <w:r w:rsidRPr="004E13E9">
              <w:rPr>
                <w:rFonts w:ascii="Cambria" w:hAnsi="Cambria"/>
                <w:sz w:val="20"/>
              </w:rPr>
              <w:t>Les CPC des fermes devront s’efforcer d’assurer que les taux de croissance issus des eBCD sont cohérents avec les taux de croissance publiés par le SCRS en 2022. Si des divergences significatives sont détectées entre les tableaux du SCRS de 2022 et les taux de croissance observés, cette information devrait être envoyée au SCRS à des fins d’analyse. Les CPC d'importation et les CPC des fermes seront encouragées à coopérer au suivi des taux de croissance de manière exhaustive par l'échange de données pertinentes, sans préjudice des normes applicables en matière de protection des données personnelles, et à communiquer les résultats du suivi à la Sous-commission 2, le cas échéant.</w:t>
            </w:r>
          </w:p>
        </w:tc>
        <w:tc>
          <w:tcPr>
            <w:tcW w:w="2235" w:type="pct"/>
          </w:tcPr>
          <w:p w14:paraId="03B8ACCB" w14:textId="77777777" w:rsidR="00772348" w:rsidRPr="004E13E9" w:rsidRDefault="00772348" w:rsidP="00D3014A">
            <w:pPr>
              <w:widowControl w:val="0"/>
              <w:jc w:val="both"/>
              <w:rPr>
                <w:rFonts w:ascii="Cambria" w:eastAsia="Yu Mincho" w:hAnsi="Cambria"/>
                <w:sz w:val="20"/>
                <w:szCs w:val="20"/>
              </w:rPr>
            </w:pPr>
            <w:r w:rsidRPr="004E13E9">
              <w:rPr>
                <w:rFonts w:ascii="Cambria" w:hAnsi="Cambria"/>
                <w:sz w:val="20"/>
              </w:rPr>
              <w:t>Le SCRS a déclaré qu’il n’avait reçu aucune donnée permettant d’évaluer si les taux de croissance issus des eBCD sont cohérents avec les taux de croissance publiés par le SCRS en 2022.</w:t>
            </w:r>
          </w:p>
          <w:p w14:paraId="5EC9A915" w14:textId="77777777" w:rsidR="00772348" w:rsidRPr="004E13E9" w:rsidRDefault="00772348" w:rsidP="00D3014A">
            <w:pPr>
              <w:widowControl w:val="0"/>
              <w:jc w:val="both"/>
              <w:rPr>
                <w:rFonts w:ascii="Cambria" w:eastAsia="Yu Mincho" w:hAnsi="Cambria"/>
                <w:sz w:val="20"/>
                <w:szCs w:val="20"/>
              </w:rPr>
            </w:pPr>
          </w:p>
          <w:p w14:paraId="79687373" w14:textId="77777777" w:rsidR="00772348" w:rsidRPr="004E13E9" w:rsidRDefault="00772348" w:rsidP="00D3014A">
            <w:pPr>
              <w:widowControl w:val="0"/>
              <w:jc w:val="both"/>
              <w:rPr>
                <w:rFonts w:ascii="Cambria" w:eastAsia="Yu Mincho" w:hAnsi="Cambria"/>
                <w:sz w:val="20"/>
                <w:szCs w:val="20"/>
              </w:rPr>
            </w:pPr>
            <w:r w:rsidRPr="004E13E9">
              <w:rPr>
                <w:rFonts w:ascii="Cambria" w:hAnsi="Cambria"/>
                <w:sz w:val="20"/>
              </w:rPr>
              <w:t xml:space="preserve">Commentaire : Si cette tendance se poursuit, le paragraphe 26 devrait être supprimé de la </w:t>
            </w:r>
            <w:hyperlink r:id="rId242" w:history="1">
              <w:r w:rsidRPr="004E13E9">
                <w:rPr>
                  <w:rStyle w:val="Hyperlink"/>
                  <w:rFonts w:ascii="Cambria" w:hAnsi="Cambria"/>
                  <w:sz w:val="20"/>
                  <w:u w:val="none"/>
                </w:rPr>
                <w:t>Rec. 24-05</w:t>
              </w:r>
            </w:hyperlink>
            <w:r w:rsidRPr="004E13E9">
              <w:rPr>
                <w:rFonts w:ascii="Cambria" w:hAnsi="Cambria"/>
                <w:sz w:val="20"/>
              </w:rPr>
              <w:t xml:space="preserve"> (désormais </w:t>
            </w:r>
            <w:hyperlink r:id="rId243" w:history="1">
              <w:r w:rsidRPr="004E13E9">
                <w:rPr>
                  <w:rStyle w:val="Hyperlink"/>
                  <w:rFonts w:ascii="Cambria" w:hAnsi="Cambria"/>
                  <w:sz w:val="20"/>
                  <w:u w:val="none"/>
                </w:rPr>
                <w:t>Rec. 25-04</w:t>
              </w:r>
            </w:hyperlink>
            <w:r w:rsidRPr="004E13E9">
              <w:rPr>
                <w:rFonts w:ascii="Cambria" w:hAnsi="Cambria"/>
                <w:sz w:val="20"/>
              </w:rPr>
              <w:t>).</w:t>
            </w:r>
          </w:p>
        </w:tc>
      </w:tr>
      <w:tr w:rsidR="00772348" w:rsidRPr="0084719E" w14:paraId="542FB23F" w14:textId="77777777" w:rsidTr="00D3014A">
        <w:tc>
          <w:tcPr>
            <w:tcW w:w="2765" w:type="pct"/>
          </w:tcPr>
          <w:p w14:paraId="2F82C160" w14:textId="77777777" w:rsidR="00772348" w:rsidRPr="004E13E9" w:rsidRDefault="00772348" w:rsidP="00D3014A">
            <w:pPr>
              <w:widowControl w:val="0"/>
              <w:jc w:val="both"/>
              <w:rPr>
                <w:rFonts w:ascii="Cambria" w:eastAsia="Yu Mincho" w:hAnsi="Cambria"/>
                <w:sz w:val="20"/>
                <w:szCs w:val="20"/>
              </w:rPr>
            </w:pPr>
            <w:r w:rsidRPr="004E13E9">
              <w:rPr>
                <w:rFonts w:ascii="Cambria" w:hAnsi="Cambria"/>
                <w:b/>
                <w:i/>
                <w:sz w:val="20"/>
              </w:rPr>
              <w:t>19.14 Demandes de la Sous-commission 2 au SCRS, réunion intersessions de la Sous-commission 2 de 2025 (quant à savoir si un report de 20 % est acceptable ou non)</w:t>
            </w:r>
          </w:p>
        </w:tc>
        <w:tc>
          <w:tcPr>
            <w:tcW w:w="2235" w:type="pct"/>
          </w:tcPr>
          <w:p w14:paraId="46415A3D" w14:textId="77777777" w:rsidR="00772348" w:rsidRPr="004E13E9" w:rsidRDefault="00772348" w:rsidP="00D3014A">
            <w:pPr>
              <w:widowControl w:val="0"/>
              <w:jc w:val="both"/>
              <w:rPr>
                <w:rFonts w:ascii="Cambria" w:eastAsia="Yu Mincho" w:hAnsi="Cambria"/>
                <w:sz w:val="20"/>
                <w:szCs w:val="20"/>
              </w:rPr>
            </w:pPr>
            <w:r w:rsidRPr="004E13E9">
              <w:rPr>
                <w:rFonts w:ascii="Cambria" w:hAnsi="Cambria"/>
                <w:sz w:val="20"/>
              </w:rPr>
              <w:t>Commentaire : Une réponse a été donnée en 2025. Aucune autre mesure n'est requise.</w:t>
            </w:r>
          </w:p>
        </w:tc>
      </w:tr>
    </w:tbl>
    <w:p w14:paraId="6C59C709" w14:textId="77777777" w:rsidR="00AC0A94" w:rsidRPr="004E13E9" w:rsidRDefault="00AC0A94" w:rsidP="005449C8">
      <w:pPr>
        <w:jc w:val="center"/>
        <w:rPr>
          <w:lang w:val="fr-FR"/>
        </w:rPr>
      </w:pPr>
    </w:p>
    <w:sectPr w:rsidR="00AC0A94" w:rsidRPr="004E13E9" w:rsidSect="00DD7C5A">
      <w:pgSz w:w="16840" w:h="11907" w:orient="landscape" w:code="9"/>
      <w:pgMar w:top="1418" w:right="1418" w:bottom="1418" w:left="1418" w:header="851"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DDF95" w14:textId="77777777" w:rsidR="00487A5C" w:rsidRDefault="00487A5C">
      <w:r>
        <w:separator/>
      </w:r>
    </w:p>
  </w:endnote>
  <w:endnote w:type="continuationSeparator" w:id="0">
    <w:p w14:paraId="6025FDD0" w14:textId="77777777" w:rsidR="00487A5C" w:rsidRDefault="00487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modern"/>
    <w:pitch w:val="variable"/>
    <w:sig w:usb0="00000000"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Carlito">
    <w:altName w:val="Calibri"/>
    <w:charset w:val="01"/>
    <w:family w:val="roman"/>
    <w:pitch w:val="variable"/>
  </w:font>
  <w:font w:name="Noto Sans SC Regular">
    <w:charset w:val="01"/>
    <w:family w:val="auto"/>
    <w:pitch w:val="variable"/>
  </w:font>
  <w:font w:name="Noto Sans Devanagari">
    <w:charset w:val="00"/>
    <w:family w:val="swiss"/>
    <w:pitch w:val="variable"/>
    <w:sig w:usb0="80008023" w:usb1="00002046" w:usb2="00000000" w:usb3="00000000" w:csb0="00000001" w:csb1="00000000"/>
  </w:font>
  <w:font w:name="font1308">
    <w:altName w:val="Times New Roman"/>
    <w:charset w:val="01"/>
    <w:family w:val="auto"/>
    <w:pitch w:val="variable"/>
  </w:font>
  <w:font w:name="Yu Gothic">
    <w:altName w:val="游ゴシック"/>
    <w:panose1 w:val="020B04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30D5" w14:textId="74F11FF5" w:rsidR="00B046C3" w:rsidRPr="00C712A4" w:rsidRDefault="00C712A4" w:rsidP="00C712A4">
    <w:pPr>
      <w:tabs>
        <w:tab w:val="center" w:pos="4680"/>
        <w:tab w:val="right" w:pos="9360"/>
      </w:tabs>
      <w:jc w:val="center"/>
      <w:rPr>
        <w:color w:val="000000"/>
        <w:kern w:val="2"/>
        <w:szCs w:val="22"/>
        <w14:ligatures w14:val="standardContextual"/>
      </w:rPr>
    </w:pPr>
    <w:sdt>
      <w:sdtPr>
        <w:rPr>
          <w:rFonts w:eastAsia="Calibri"/>
          <w:color w:val="000000"/>
          <w:kern w:val="2"/>
          <w14:ligatures w14:val="standardContextual"/>
        </w:rPr>
        <w:id w:val="856775711"/>
        <w:docPartObj>
          <w:docPartGallery w:val="Page Numbers (Top of Page)"/>
          <w:docPartUnique/>
        </w:docPartObj>
      </w:sdtPr>
      <w:sdtContent>
        <w:r w:rsidRPr="00025F23">
          <w:rPr>
            <w:rFonts w:eastAsia="Calibri"/>
            <w:color w:val="000000"/>
            <w:kern w:val="2"/>
            <w14:ligatures w14:val="standardContextual"/>
          </w:rPr>
          <w:fldChar w:fldCharType="begin"/>
        </w:r>
        <w:r w:rsidRPr="00025F23">
          <w:rPr>
            <w:rFonts w:eastAsia="Calibri"/>
            <w:color w:val="000000"/>
            <w:kern w:val="2"/>
            <w14:ligatures w14:val="standardContextual"/>
          </w:rPr>
          <w:instrText xml:space="preserve"> PAGE </w:instrText>
        </w:r>
        <w:r w:rsidRPr="00025F23">
          <w:rPr>
            <w:rFonts w:eastAsia="Calibri"/>
            <w:color w:val="000000"/>
            <w:kern w:val="2"/>
            <w14:ligatures w14:val="standardContextual"/>
          </w:rPr>
          <w:fldChar w:fldCharType="separate"/>
        </w:r>
        <w:r>
          <w:rPr>
            <w:rFonts w:eastAsia="Calibri"/>
            <w:color w:val="000000"/>
            <w:kern w:val="2"/>
            <w14:ligatures w14:val="standardContextual"/>
          </w:rPr>
          <w:t>1</w:t>
        </w:r>
        <w:r w:rsidRPr="00025F23">
          <w:rPr>
            <w:rFonts w:eastAsia="Calibri"/>
            <w:color w:val="000000"/>
            <w:kern w:val="2"/>
            <w14:ligatures w14:val="standardContextual"/>
          </w:rPr>
          <w:fldChar w:fldCharType="end"/>
        </w:r>
        <w:r w:rsidRPr="00025F23">
          <w:rPr>
            <w:rFonts w:eastAsia="Calibri"/>
            <w:color w:val="000000"/>
            <w:kern w:val="2"/>
            <w14:ligatures w14:val="standardContextual"/>
          </w:rPr>
          <w:t xml:space="preserve"> / </w:t>
        </w:r>
        <w:r w:rsidRPr="00025F23">
          <w:rPr>
            <w:rFonts w:eastAsia="Calibri"/>
            <w:color w:val="000000"/>
            <w:kern w:val="2"/>
            <w14:ligatures w14:val="standardContextual"/>
          </w:rPr>
          <w:fldChar w:fldCharType="begin"/>
        </w:r>
        <w:r w:rsidRPr="00025F23">
          <w:rPr>
            <w:rFonts w:eastAsia="Calibri"/>
            <w:color w:val="000000"/>
            <w:kern w:val="2"/>
            <w14:ligatures w14:val="standardContextual"/>
          </w:rPr>
          <w:instrText xml:space="preserve"> NUMPAGES  </w:instrText>
        </w:r>
        <w:r w:rsidRPr="00025F23">
          <w:rPr>
            <w:rFonts w:eastAsia="Calibri"/>
            <w:color w:val="000000"/>
            <w:kern w:val="2"/>
            <w14:ligatures w14:val="standardContextual"/>
          </w:rPr>
          <w:fldChar w:fldCharType="separate"/>
        </w:r>
        <w:r>
          <w:rPr>
            <w:rFonts w:eastAsia="Calibri"/>
            <w:color w:val="000000"/>
            <w:kern w:val="2"/>
            <w14:ligatures w14:val="standardContextual"/>
          </w:rPr>
          <w:t>106</w:t>
        </w:r>
        <w:r w:rsidRPr="00025F23">
          <w:rPr>
            <w:rFonts w:eastAsia="Calibri"/>
            <w:color w:val="000000"/>
            <w:kern w:val="2"/>
            <w14:ligatures w14:val="standardContextual"/>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738543"/>
      <w:docPartObj>
        <w:docPartGallery w:val="Page Numbers (Bottom of Page)"/>
        <w:docPartUnique/>
      </w:docPartObj>
    </w:sdtPr>
    <w:sdtEndPr/>
    <w:sdtContent>
      <w:sdt>
        <w:sdtPr>
          <w:id w:val="107863525"/>
          <w:docPartObj>
            <w:docPartGallery w:val="Page Numbers (Top of Page)"/>
            <w:docPartUnique/>
          </w:docPartObj>
        </w:sdtPr>
        <w:sdtEndPr/>
        <w:sdtContent>
          <w:p w14:paraId="77D3504F" w14:textId="77777777" w:rsidR="00827114" w:rsidRDefault="00827114" w:rsidP="002813AE">
            <w:pPr>
              <w:pStyle w:val="Footer"/>
              <w:jc w:val="center"/>
            </w:pPr>
            <w:r w:rsidRPr="002813AE">
              <w:rPr>
                <w:bCs/>
              </w:rPr>
              <w:fldChar w:fldCharType="begin"/>
            </w:r>
            <w:r w:rsidRPr="002813AE">
              <w:rPr>
                <w:bCs/>
              </w:rPr>
              <w:instrText xml:space="preserve"> PAGE </w:instrText>
            </w:r>
            <w:r w:rsidRPr="002813AE">
              <w:rPr>
                <w:bCs/>
              </w:rPr>
              <w:fldChar w:fldCharType="separate"/>
            </w:r>
            <w:r>
              <w:rPr>
                <w:bCs/>
              </w:rPr>
              <w:t>1</w:t>
            </w:r>
            <w:r w:rsidRPr="002813AE">
              <w:rPr>
                <w:bCs/>
              </w:rPr>
              <w:fldChar w:fldCharType="end"/>
            </w:r>
            <w:r>
              <w:t xml:space="preserve">  / </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143101"/>
      <w:docPartObj>
        <w:docPartGallery w:val="Page Numbers (Bottom of Page)"/>
        <w:docPartUnique/>
      </w:docPartObj>
    </w:sdtPr>
    <w:sdtEndPr/>
    <w:sdtContent>
      <w:sdt>
        <w:sdtPr>
          <w:id w:val="-2057459610"/>
          <w:docPartObj>
            <w:docPartGallery w:val="Page Numbers (Top of Page)"/>
            <w:docPartUnique/>
          </w:docPartObj>
        </w:sdtPr>
        <w:sdtEndPr/>
        <w:sdtContent>
          <w:p w14:paraId="5F94ABE2" w14:textId="77777777" w:rsidR="00AC150B" w:rsidRDefault="00AC150B" w:rsidP="006E44B3">
            <w:pPr>
              <w:pStyle w:val="Footer"/>
              <w:jc w:val="center"/>
            </w:pPr>
            <w:r w:rsidRPr="002813AE">
              <w:rPr>
                <w:bCs/>
              </w:rPr>
              <w:fldChar w:fldCharType="begin"/>
            </w:r>
            <w:r w:rsidRPr="002813AE">
              <w:rPr>
                <w:bCs/>
              </w:rPr>
              <w:instrText xml:space="preserve"> PAGE </w:instrText>
            </w:r>
            <w:r w:rsidRPr="002813AE">
              <w:rPr>
                <w:bCs/>
              </w:rPr>
              <w:fldChar w:fldCharType="separate"/>
            </w:r>
            <w:r>
              <w:rPr>
                <w:bCs/>
              </w:rPr>
              <w:t>1</w:t>
            </w:r>
            <w:r w:rsidRPr="002813AE">
              <w:rPr>
                <w:bCs/>
              </w:rPr>
              <w:fldChar w:fldCharType="end"/>
            </w:r>
            <w:r>
              <w:t xml:space="preserve">  / </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0B835" w14:textId="77777777" w:rsidR="00DF358A" w:rsidRDefault="00DF358A" w:rsidP="00554D7B">
    <w:pPr>
      <w:pStyle w:val="Footer"/>
      <w:jc w:val="center"/>
    </w:pPr>
    <w:r w:rsidRPr="002813AE">
      <w:rPr>
        <w:bCs/>
      </w:rPr>
      <w:fldChar w:fldCharType="begin"/>
    </w:r>
    <w:r w:rsidRPr="002813AE">
      <w:rPr>
        <w:bCs/>
      </w:rPr>
      <w:instrText xml:space="preserve"> PAGE </w:instrText>
    </w:r>
    <w:r w:rsidRPr="002813AE">
      <w:rPr>
        <w:bCs/>
      </w:rPr>
      <w:fldChar w:fldCharType="separate"/>
    </w:r>
    <w:r>
      <w:rPr>
        <w:bCs/>
      </w:rPr>
      <w:t>1</w:t>
    </w:r>
    <w:r w:rsidRPr="002813AE">
      <w:rPr>
        <w:bCs/>
      </w:rPr>
      <w:fldChar w:fldCharType="end"/>
    </w:r>
    <w:r>
      <w:t xml:space="preserve">  /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542259"/>
      <w:docPartObj>
        <w:docPartGallery w:val="Page Numbers (Bottom of Page)"/>
        <w:docPartUnique/>
      </w:docPartObj>
    </w:sdtPr>
    <w:sdtEndPr/>
    <w:sdtContent>
      <w:sdt>
        <w:sdtPr>
          <w:id w:val="1472408856"/>
          <w:docPartObj>
            <w:docPartGallery w:val="Page Numbers (Top of Page)"/>
            <w:docPartUnique/>
          </w:docPartObj>
        </w:sdtPr>
        <w:sdtEndPr/>
        <w:sdtContent>
          <w:p w14:paraId="0DA35935" w14:textId="77777777" w:rsidR="0062309A" w:rsidRDefault="0062309A" w:rsidP="00554D7B">
            <w:pPr>
              <w:pStyle w:val="Footer"/>
              <w:jc w:val="center"/>
            </w:pPr>
            <w:r w:rsidRPr="002813AE">
              <w:rPr>
                <w:bCs/>
              </w:rPr>
              <w:fldChar w:fldCharType="begin"/>
            </w:r>
            <w:r w:rsidRPr="002813AE">
              <w:rPr>
                <w:bCs/>
              </w:rPr>
              <w:instrText xml:space="preserve"> PAGE </w:instrText>
            </w:r>
            <w:r w:rsidRPr="002813AE">
              <w:rPr>
                <w:bCs/>
              </w:rPr>
              <w:fldChar w:fldCharType="separate"/>
            </w:r>
            <w:r>
              <w:rPr>
                <w:bCs/>
              </w:rPr>
              <w:t>1</w:t>
            </w:r>
            <w:r w:rsidRPr="002813AE">
              <w:rPr>
                <w:bCs/>
              </w:rPr>
              <w:fldChar w:fldCharType="end"/>
            </w:r>
            <w:r>
              <w:t xml:space="preserve">  / </w:t>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099826"/>
      <w:docPartObj>
        <w:docPartGallery w:val="Page Numbers (Bottom of Page)"/>
        <w:docPartUnique/>
      </w:docPartObj>
    </w:sdtPr>
    <w:sdtEndPr>
      <w:rPr>
        <w:noProof/>
      </w:rPr>
    </w:sdtEndPr>
    <w:sdtContent>
      <w:p w14:paraId="0A0652F2" w14:textId="73505B8D" w:rsidR="00473589" w:rsidRPr="00E33113" w:rsidRDefault="00E2473F" w:rsidP="00E247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5658007"/>
      <w:docPartObj>
        <w:docPartGallery w:val="Page Numbers (Bottom of Page)"/>
        <w:docPartUnique/>
      </w:docPartObj>
    </w:sdtPr>
    <w:sdtEndPr/>
    <w:sdtContent>
      <w:sdt>
        <w:sdtPr>
          <w:id w:val="1668520257"/>
          <w:docPartObj>
            <w:docPartGallery w:val="Page Numbers (Top of Page)"/>
            <w:docPartUnique/>
          </w:docPartObj>
        </w:sdtPr>
        <w:sdtEndPr/>
        <w:sdtContent>
          <w:p w14:paraId="536B1283" w14:textId="77777777" w:rsidR="00473589" w:rsidRDefault="00473589" w:rsidP="00554D7B">
            <w:pPr>
              <w:pStyle w:val="Footer"/>
              <w:jc w:val="center"/>
            </w:pPr>
            <w:r w:rsidRPr="002813AE">
              <w:rPr>
                <w:bCs/>
              </w:rPr>
              <w:fldChar w:fldCharType="begin"/>
            </w:r>
            <w:r w:rsidRPr="002813AE">
              <w:rPr>
                <w:bCs/>
              </w:rPr>
              <w:instrText xml:space="preserve"> PAGE </w:instrText>
            </w:r>
            <w:r w:rsidRPr="002813AE">
              <w:rPr>
                <w:bCs/>
              </w:rPr>
              <w:fldChar w:fldCharType="separate"/>
            </w:r>
            <w:r>
              <w:rPr>
                <w:bCs/>
              </w:rPr>
              <w:t>1</w:t>
            </w:r>
            <w:r w:rsidRPr="002813AE">
              <w:rPr>
                <w:bCs/>
              </w:rPr>
              <w:fldChar w:fldCharType="end"/>
            </w:r>
            <w:r>
              <w:t xml:space="preserve">  / </w:t>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77042"/>
      <w:docPartObj>
        <w:docPartGallery w:val="Page Numbers (Bottom of Page)"/>
        <w:docPartUnique/>
      </w:docPartObj>
    </w:sdtPr>
    <w:sdtEndPr>
      <w:rPr>
        <w:noProof/>
      </w:rPr>
    </w:sdtEndPr>
    <w:sdtContent>
      <w:p w14:paraId="0F7245C8" w14:textId="72249B2C" w:rsidR="00EA1783" w:rsidRPr="002A3957" w:rsidRDefault="00E2473F" w:rsidP="00E247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169978"/>
      <w:docPartObj>
        <w:docPartGallery w:val="Page Numbers (Bottom of Page)"/>
        <w:docPartUnique/>
      </w:docPartObj>
    </w:sdtPr>
    <w:sdtEndPr/>
    <w:sdtContent>
      <w:sdt>
        <w:sdtPr>
          <w:id w:val="1832724507"/>
          <w:docPartObj>
            <w:docPartGallery w:val="Page Numbers (Top of Page)"/>
            <w:docPartUnique/>
          </w:docPartObj>
        </w:sdtPr>
        <w:sdtEndPr/>
        <w:sdtContent>
          <w:p w14:paraId="63D31CBB" w14:textId="77777777" w:rsidR="00EA1783" w:rsidRDefault="00EA1783" w:rsidP="006029F3">
            <w:pPr>
              <w:pStyle w:val="Footer"/>
              <w:jc w:val="center"/>
            </w:pPr>
            <w:r w:rsidRPr="002813AE">
              <w:rPr>
                <w:bCs/>
              </w:rPr>
              <w:fldChar w:fldCharType="begin"/>
            </w:r>
            <w:r w:rsidRPr="002813AE">
              <w:rPr>
                <w:bCs/>
              </w:rPr>
              <w:instrText xml:space="preserve"> PAGE </w:instrText>
            </w:r>
            <w:r w:rsidRPr="002813AE">
              <w:rPr>
                <w:bCs/>
              </w:rPr>
              <w:fldChar w:fldCharType="separate"/>
            </w:r>
            <w:r>
              <w:rPr>
                <w:bCs/>
              </w:rPr>
              <w:t>1</w:t>
            </w:r>
            <w:r w:rsidRPr="002813AE">
              <w:rPr>
                <w:bCs/>
              </w:rPr>
              <w:fldChar w:fldCharType="end"/>
            </w:r>
            <w:r>
              <w:t xml:space="preserve">  / </w:t>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530342"/>
      <w:docPartObj>
        <w:docPartGallery w:val="Page Numbers (Bottom of Page)"/>
        <w:docPartUnique/>
      </w:docPartObj>
    </w:sdtPr>
    <w:sdtEndPr>
      <w:rPr>
        <w:noProof/>
      </w:rPr>
    </w:sdtEndPr>
    <w:sdtContent>
      <w:p w14:paraId="1F70AC82" w14:textId="70DC1A26" w:rsidR="0084313D" w:rsidRPr="00B675E6" w:rsidRDefault="00B9128E" w:rsidP="00B912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3436082"/>
      <w:docPartObj>
        <w:docPartGallery w:val="Page Numbers (Bottom of Page)"/>
        <w:docPartUnique/>
      </w:docPartObj>
    </w:sdtPr>
    <w:sdtEndPr/>
    <w:sdtContent>
      <w:sdt>
        <w:sdtPr>
          <w:id w:val="-55859190"/>
          <w:docPartObj>
            <w:docPartGallery w:val="Page Numbers (Top of Page)"/>
            <w:docPartUnique/>
          </w:docPartObj>
        </w:sdtPr>
        <w:sdtEndPr/>
        <w:sdtContent>
          <w:p w14:paraId="6B98AEF0" w14:textId="77777777" w:rsidR="0084313D" w:rsidRDefault="0084313D" w:rsidP="002813AE">
            <w:pPr>
              <w:pStyle w:val="Footer"/>
              <w:jc w:val="center"/>
            </w:pPr>
            <w:r w:rsidRPr="002813AE">
              <w:rPr>
                <w:bCs/>
              </w:rPr>
              <w:fldChar w:fldCharType="begin"/>
            </w:r>
            <w:r w:rsidRPr="002813AE">
              <w:rPr>
                <w:bCs/>
              </w:rPr>
              <w:instrText xml:space="preserve"> PAGE </w:instrText>
            </w:r>
            <w:r w:rsidRPr="002813AE">
              <w:rPr>
                <w:bCs/>
              </w:rPr>
              <w:fldChar w:fldCharType="separate"/>
            </w:r>
            <w:r>
              <w:rPr>
                <w:bCs/>
              </w:rPr>
              <w:t>1</w:t>
            </w:r>
            <w:r w:rsidRPr="002813AE">
              <w:rPr>
                <w:bCs/>
              </w:rPr>
              <w:fldChar w:fldCharType="end"/>
            </w:r>
            <w:r>
              <w:t xml:space="preserve">  / </w:t>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116509"/>
      <w:docPartObj>
        <w:docPartGallery w:val="Page Numbers (Bottom of Page)"/>
        <w:docPartUnique/>
      </w:docPartObj>
    </w:sdtPr>
    <w:sdtEndPr/>
    <w:sdtContent>
      <w:sdt>
        <w:sdtPr>
          <w:id w:val="-1741561212"/>
          <w:docPartObj>
            <w:docPartGallery w:val="Page Numbers (Top of Page)"/>
            <w:docPartUnique/>
          </w:docPartObj>
        </w:sdtPr>
        <w:sdtEndPr/>
        <w:sdtContent>
          <w:p w14:paraId="231C9DD2" w14:textId="77777777" w:rsidR="002F5AFF" w:rsidRDefault="002F5AFF" w:rsidP="00A914AC">
            <w:pPr>
              <w:pStyle w:val="Footer"/>
              <w:jc w:val="center"/>
            </w:pPr>
            <w:r w:rsidRPr="002813AE">
              <w:fldChar w:fldCharType="begin"/>
            </w:r>
            <w:r w:rsidRPr="002813AE">
              <w:instrText xml:space="preserve"> PAGE </w:instrText>
            </w:r>
            <w:r w:rsidRPr="002813AE">
              <w:fldChar w:fldCharType="separate"/>
            </w:r>
            <w:r>
              <w:t>1</w:t>
            </w:r>
            <w:r w:rsidRPr="002813AE">
              <w:fldChar w:fldCharType="end"/>
            </w:r>
            <w:r>
              <w:t xml:space="preserve"> / </w:t>
            </w:r>
            <w:fldSimple w:instr=" NUMPAGES  ">
              <w:r>
                <w:t>3</w:t>
              </w:r>
            </w:fldSimple>
          </w:p>
        </w:sdtContent>
      </w:sdt>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720254"/>
      <w:docPartObj>
        <w:docPartGallery w:val="Page Numbers (Bottom of Page)"/>
        <w:docPartUnique/>
      </w:docPartObj>
    </w:sdtPr>
    <w:sdtEndPr>
      <w:rPr>
        <w:noProof/>
      </w:rPr>
    </w:sdtEndPr>
    <w:sdtContent>
      <w:p w14:paraId="2B80CE6B" w14:textId="33051DC7" w:rsidR="002F5AFF" w:rsidRPr="00B675E6" w:rsidRDefault="00B9128E" w:rsidP="00B912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23454"/>
      <w:docPartObj>
        <w:docPartGallery w:val="Page Numbers (Bottom of Page)"/>
        <w:docPartUnique/>
      </w:docPartObj>
    </w:sdtPr>
    <w:sdtEndPr/>
    <w:sdtContent>
      <w:sdt>
        <w:sdtPr>
          <w:id w:val="733899555"/>
          <w:docPartObj>
            <w:docPartGallery w:val="Page Numbers (Top of Page)"/>
            <w:docPartUnique/>
          </w:docPartObj>
        </w:sdtPr>
        <w:sdtEndPr/>
        <w:sdtContent>
          <w:p w14:paraId="369F2EAC" w14:textId="77777777" w:rsidR="00D95D78" w:rsidRDefault="00D95D78" w:rsidP="002813AE">
            <w:pPr>
              <w:pStyle w:val="Footer"/>
              <w:jc w:val="center"/>
            </w:pPr>
            <w:r w:rsidRPr="002813AE">
              <w:fldChar w:fldCharType="begin"/>
            </w:r>
            <w:r w:rsidRPr="002813AE">
              <w:instrText xml:space="preserve"> PAGE </w:instrText>
            </w:r>
            <w:r w:rsidRPr="002813AE">
              <w:fldChar w:fldCharType="separate"/>
            </w:r>
            <w:r>
              <w:t>1</w:t>
            </w:r>
            <w:r w:rsidRPr="002813AE">
              <w:fldChar w:fldCharType="end"/>
            </w:r>
            <w:r>
              <w:t xml:space="preserve"> / </w:t>
            </w:r>
            <w:fldSimple w:instr=" NUMPAGES  ">
              <w:r>
                <w:t>3</w:t>
              </w:r>
            </w:fldSimple>
          </w:p>
        </w:sdtContent>
      </w:sdt>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0220984"/>
      <w:docPartObj>
        <w:docPartGallery w:val="Page Numbers (Bottom of Page)"/>
        <w:docPartUnique/>
      </w:docPartObj>
    </w:sdtPr>
    <w:sdtEndPr>
      <w:rPr>
        <w:noProof/>
      </w:rPr>
    </w:sdtEndPr>
    <w:sdtContent>
      <w:p w14:paraId="008491F0" w14:textId="2003A679" w:rsidR="00004CA5" w:rsidRPr="00B675E6" w:rsidRDefault="00291B36" w:rsidP="00B912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246545"/>
      <w:docPartObj>
        <w:docPartGallery w:val="Page Numbers (Bottom of Page)"/>
        <w:docPartUnique/>
      </w:docPartObj>
    </w:sdtPr>
    <w:sdtEndPr/>
    <w:sdtContent>
      <w:sdt>
        <w:sdtPr>
          <w:id w:val="-1906064738"/>
          <w:docPartObj>
            <w:docPartGallery w:val="Page Numbers (Top of Page)"/>
            <w:docPartUnique/>
          </w:docPartObj>
        </w:sdtPr>
        <w:sdtEndPr/>
        <w:sdtContent>
          <w:p w14:paraId="4CE405BA" w14:textId="77777777" w:rsidR="00004CA5" w:rsidRDefault="00004CA5" w:rsidP="002813AE">
            <w:pPr>
              <w:pStyle w:val="Footer"/>
              <w:jc w:val="center"/>
            </w:pPr>
            <w:r w:rsidRPr="002813AE">
              <w:rPr>
                <w:bCs/>
              </w:rPr>
              <w:fldChar w:fldCharType="begin"/>
            </w:r>
            <w:r w:rsidRPr="002813AE">
              <w:rPr>
                <w:bCs/>
              </w:rPr>
              <w:instrText xml:space="preserve"> PAGE </w:instrText>
            </w:r>
            <w:r w:rsidRPr="002813AE">
              <w:rPr>
                <w:bCs/>
              </w:rPr>
              <w:fldChar w:fldCharType="separate"/>
            </w:r>
            <w:r>
              <w:rPr>
                <w:bCs/>
              </w:rPr>
              <w:t>1</w:t>
            </w:r>
            <w:r w:rsidRPr="002813AE">
              <w:rPr>
                <w:bCs/>
              </w:rPr>
              <w:fldChar w:fldCharType="end"/>
            </w:r>
            <w:r>
              <w:t xml:space="preserve">  / </w:t>
            </w:r>
          </w:p>
        </w:sdtContent>
      </w:sdt>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8146054"/>
      <w:docPartObj>
        <w:docPartGallery w:val="Page Numbers (Bottom of Page)"/>
        <w:docPartUnique/>
      </w:docPartObj>
    </w:sdtPr>
    <w:sdtEndPr>
      <w:rPr>
        <w:noProof/>
      </w:rPr>
    </w:sdtEndPr>
    <w:sdtContent>
      <w:p w14:paraId="3AE019EC" w14:textId="78E25A62" w:rsidR="00654430" w:rsidRPr="00D706FD" w:rsidRDefault="0005723D" w:rsidP="00F958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80401" w14:textId="77777777" w:rsidR="007C1525" w:rsidRDefault="007C152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016612"/>
      <w:docPartObj>
        <w:docPartGallery w:val="Page Numbers (Bottom of Page)"/>
        <w:docPartUnique/>
      </w:docPartObj>
    </w:sdtPr>
    <w:sdtEndPr/>
    <w:sdtContent>
      <w:sdt>
        <w:sdtPr>
          <w:id w:val="1747457363"/>
          <w:docPartObj>
            <w:docPartGallery w:val="Page Numbers (Top of Page)"/>
            <w:docPartUnique/>
          </w:docPartObj>
        </w:sdtPr>
        <w:sdtEndPr/>
        <w:sdtContent>
          <w:p w14:paraId="2C469732" w14:textId="77777777" w:rsidR="007C1525" w:rsidRDefault="007C1525" w:rsidP="002813AE">
            <w:pPr>
              <w:pStyle w:val="Footer"/>
              <w:jc w:val="center"/>
            </w:pPr>
            <w:r w:rsidRPr="002813AE">
              <w:rPr>
                <w:bCs/>
              </w:rPr>
              <w:fldChar w:fldCharType="begin"/>
            </w:r>
            <w:r w:rsidRPr="002813AE">
              <w:rPr>
                <w:bCs/>
              </w:rPr>
              <w:instrText xml:space="preserve"> PAGE </w:instrText>
            </w:r>
            <w:r w:rsidRPr="002813AE">
              <w:rPr>
                <w:bCs/>
              </w:rPr>
              <w:fldChar w:fldCharType="separate"/>
            </w:r>
            <w:r>
              <w:rPr>
                <w:bCs/>
              </w:rPr>
              <w:t>1</w:t>
            </w:r>
            <w:r w:rsidRPr="002813AE">
              <w:rPr>
                <w:bCs/>
              </w:rPr>
              <w:fldChar w:fldCharType="end"/>
            </w:r>
            <w:r>
              <w:t xml:space="preserve">  / </w:t>
            </w:r>
          </w:p>
        </w:sdtContent>
      </w:sdt>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09724"/>
      <w:docPartObj>
        <w:docPartGallery w:val="Page Numbers (Bottom of Page)"/>
        <w:docPartUnique/>
      </w:docPartObj>
    </w:sdtPr>
    <w:sdtEndPr/>
    <w:sdtContent>
      <w:sdt>
        <w:sdtPr>
          <w:id w:val="-621234431"/>
          <w:docPartObj>
            <w:docPartGallery w:val="Page Numbers (Top of Page)"/>
            <w:docPartUnique/>
          </w:docPartObj>
        </w:sdtPr>
        <w:sdtEndPr/>
        <w:sdtContent>
          <w:p w14:paraId="07D82258" w14:textId="77777777" w:rsidR="00D70898" w:rsidRDefault="00D70898" w:rsidP="002813AE">
            <w:pPr>
              <w:pStyle w:val="Footer"/>
              <w:jc w:val="center"/>
            </w:pPr>
            <w:r w:rsidRPr="002813AE">
              <w:rPr>
                <w:bCs/>
              </w:rPr>
              <w:fldChar w:fldCharType="begin"/>
            </w:r>
            <w:r w:rsidRPr="002813AE">
              <w:rPr>
                <w:bCs/>
              </w:rPr>
              <w:instrText xml:space="preserve"> PAGE </w:instrText>
            </w:r>
            <w:r w:rsidRPr="002813AE">
              <w:rPr>
                <w:bCs/>
              </w:rPr>
              <w:fldChar w:fldCharType="separate"/>
            </w:r>
            <w:r>
              <w:rPr>
                <w:bCs/>
              </w:rPr>
              <w:t>1</w:t>
            </w:r>
            <w:r w:rsidRPr="002813AE">
              <w:rPr>
                <w:bCs/>
              </w:rPr>
              <w:fldChar w:fldCharType="end"/>
            </w:r>
            <w:r>
              <w:t xml:space="preserve">  / </w:t>
            </w:r>
          </w:p>
        </w:sdtContent>
      </w:sdt>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288736"/>
      <w:docPartObj>
        <w:docPartGallery w:val="Page Numbers (Bottom of Page)"/>
        <w:docPartUnique/>
      </w:docPartObj>
    </w:sdtPr>
    <w:sdtEndPr>
      <w:rPr>
        <w:noProof/>
      </w:rPr>
    </w:sdtEndPr>
    <w:sdtContent>
      <w:p w14:paraId="2907AA3C" w14:textId="0DAB73A2" w:rsidR="003928B6" w:rsidRPr="00264140" w:rsidRDefault="0005723D" w:rsidP="000572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904226"/>
      <w:docPartObj>
        <w:docPartGallery w:val="Page Numbers (Bottom of Page)"/>
        <w:docPartUnique/>
      </w:docPartObj>
    </w:sdtPr>
    <w:sdtEndPr>
      <w:rPr>
        <w:noProof/>
      </w:rPr>
    </w:sdtEndPr>
    <w:sdtContent>
      <w:p w14:paraId="543BEFD7" w14:textId="71AB177F" w:rsidR="00594EA1" w:rsidRPr="00B675E6" w:rsidRDefault="001C72B5" w:rsidP="000572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1FD4A" w14:textId="77777777" w:rsidR="00487A5C" w:rsidRDefault="00487A5C">
      <w:r>
        <w:separator/>
      </w:r>
    </w:p>
  </w:footnote>
  <w:footnote w:type="continuationSeparator" w:id="0">
    <w:p w14:paraId="46D0C066" w14:textId="77777777" w:rsidR="00487A5C" w:rsidRDefault="00487A5C">
      <w:r>
        <w:continuationSeparator/>
      </w:r>
    </w:p>
  </w:footnote>
  <w:footnote w:id="1">
    <w:p w14:paraId="38432770" w14:textId="77777777" w:rsidR="009476A8" w:rsidRPr="00311A5A" w:rsidRDefault="009476A8" w:rsidP="009476A8">
      <w:pPr>
        <w:pStyle w:val="FootnoteText"/>
        <w:spacing w:after="0"/>
        <w:ind w:left="0" w:firstLine="0"/>
        <w:contextualSpacing/>
        <w:rPr>
          <w:rFonts w:ascii="Cambria" w:hAnsi="Cambria"/>
          <w:sz w:val="16"/>
          <w:szCs w:val="16"/>
        </w:rPr>
      </w:pPr>
      <w:r w:rsidRPr="00311A5A">
        <w:rPr>
          <w:rStyle w:val="FootnoteReference"/>
          <w:rFonts w:ascii="Cambria" w:hAnsi="Cambria"/>
          <w:sz w:val="16"/>
          <w:szCs w:val="16"/>
        </w:rPr>
        <w:footnoteRef/>
      </w:r>
      <w:r w:rsidRPr="00311A5A">
        <w:rPr>
          <w:rFonts w:ascii="Cambria" w:hAnsi="Cambria"/>
          <w:sz w:val="16"/>
          <w:szCs w:val="16"/>
        </w:rPr>
        <w:t xml:space="preserve"> En raison de la demande de protection des données émise par quelques délégués, les coordonnées complètes ne sont pas mentionnées dans certains cas.</w:t>
      </w:r>
    </w:p>
    <w:p w14:paraId="034CC79C" w14:textId="77777777" w:rsidR="009476A8" w:rsidRPr="003248E6" w:rsidRDefault="009476A8" w:rsidP="009476A8">
      <w:pPr>
        <w:contextualSpacing/>
        <w:rPr>
          <w:sz w:val="18"/>
          <w:szCs w:val="18"/>
          <w:lang w:val="fr-FR"/>
        </w:rPr>
      </w:pPr>
      <w:r w:rsidRPr="00311A5A">
        <w:rPr>
          <w:rStyle w:val="FootnoteReference"/>
          <w:sz w:val="16"/>
          <w:szCs w:val="16"/>
        </w:rPr>
        <w:sym w:font="Symbol" w:char="F02A"/>
      </w:r>
      <w:r w:rsidRPr="003248E6">
        <w:rPr>
          <w:sz w:val="16"/>
          <w:szCs w:val="16"/>
          <w:lang w:val="fr-FR"/>
        </w:rPr>
        <w:t xml:space="preserve"> Chef de délégation.</w:t>
      </w:r>
    </w:p>
  </w:footnote>
  <w:footnote w:id="2">
    <w:p w14:paraId="18FA528D" w14:textId="77777777" w:rsidR="00DF358A" w:rsidRPr="007E20D4" w:rsidRDefault="00DF358A" w:rsidP="007E20D4">
      <w:pPr>
        <w:pStyle w:val="FootnoteText"/>
        <w:spacing w:after="0"/>
        <w:contextualSpacing/>
        <w:rPr>
          <w:rFonts w:ascii="Cambria" w:hAnsi="Cambria"/>
          <w:sz w:val="16"/>
          <w:szCs w:val="16"/>
        </w:rPr>
      </w:pPr>
      <w:r w:rsidRPr="007E20D4">
        <w:rPr>
          <w:rStyle w:val="FootnoteReference"/>
          <w:rFonts w:ascii="Cambria" w:hAnsi="Cambria"/>
          <w:sz w:val="16"/>
          <w:szCs w:val="16"/>
        </w:rPr>
        <w:footnoteRef/>
      </w:r>
      <w:r w:rsidRPr="007E20D4">
        <w:rPr>
          <w:rFonts w:ascii="Cambria" w:hAnsi="Cambria"/>
          <w:sz w:val="16"/>
          <w:szCs w:val="16"/>
        </w:rPr>
        <w:t xml:space="preserve"> Règlement (UE) 2019/833 du Parlement européen et du Conseil du 20 mai 2019 établissant les mesures de conservation et d'exécution applicables dans la zone de réglementation de l'Organisation des pêches de l'Atlantique du Nord-Ouest, modifiant le règlement (UE) 2016/1627 et abrogeant les règlements (CE) n°2115/2005 et (CE) n°1386/2007 du Conseil (ci-après : Règlement (UE) 2019/833).</w:t>
      </w:r>
    </w:p>
  </w:footnote>
  <w:footnote w:id="3">
    <w:p w14:paraId="563DB314" w14:textId="77777777" w:rsidR="00DF358A" w:rsidRPr="007E20D4" w:rsidRDefault="00DF358A" w:rsidP="007E20D4">
      <w:pPr>
        <w:pStyle w:val="FootnoteText"/>
        <w:spacing w:after="0"/>
        <w:contextualSpacing/>
        <w:rPr>
          <w:rFonts w:ascii="Cambria" w:hAnsi="Cambria"/>
          <w:sz w:val="16"/>
          <w:szCs w:val="16"/>
        </w:rPr>
      </w:pPr>
      <w:r w:rsidRPr="007E20D4">
        <w:rPr>
          <w:rStyle w:val="FootnoteReference"/>
          <w:rFonts w:ascii="Cambria" w:hAnsi="Cambria"/>
          <w:sz w:val="16"/>
          <w:szCs w:val="16"/>
        </w:rPr>
        <w:footnoteRef/>
      </w:r>
      <w:r w:rsidRPr="007E20D4">
        <w:rPr>
          <w:rFonts w:ascii="Cambria" w:hAnsi="Cambria"/>
          <w:sz w:val="16"/>
          <w:szCs w:val="16"/>
        </w:rPr>
        <w:t xml:space="preserve"> Règlement (UE) 2023/2053 du Parlement européen et du Conseil du 13 septembre 2023 établissant un plan de gestion pluriannuel pour le thon rouge dans l'Atlantique Est et la Méditerranée, modifiant les règlements (CE) n°1936/2001, (UE) 2017/2107 et (UE) 2019/833 et abrogeant le règlement (UE) 2016/1627.</w:t>
      </w:r>
    </w:p>
  </w:footnote>
  <w:footnote w:id="4">
    <w:p w14:paraId="180BE786" w14:textId="77777777" w:rsidR="00DF358A" w:rsidRPr="007E20D4" w:rsidRDefault="00DF358A" w:rsidP="007E20D4">
      <w:pPr>
        <w:pStyle w:val="FootnoteText"/>
        <w:spacing w:after="0"/>
        <w:contextualSpacing/>
        <w:rPr>
          <w:rFonts w:ascii="Cambria" w:hAnsi="Cambria"/>
          <w:sz w:val="16"/>
          <w:szCs w:val="16"/>
        </w:rPr>
      </w:pPr>
      <w:r w:rsidRPr="007E20D4">
        <w:rPr>
          <w:rStyle w:val="FootnoteReference"/>
          <w:rFonts w:ascii="Cambria" w:hAnsi="Cambria"/>
          <w:sz w:val="16"/>
          <w:szCs w:val="16"/>
        </w:rPr>
        <w:footnoteRef/>
      </w:r>
      <w:r w:rsidRPr="007E20D4">
        <w:rPr>
          <w:rFonts w:ascii="Cambria" w:hAnsi="Cambria"/>
          <w:sz w:val="16"/>
          <w:szCs w:val="16"/>
        </w:rPr>
        <w:t xml:space="preserve"> Règlement (UE) 2024/897 du Parlement européen et du Conseil du 13 mars 2024 modifiant le règlement (UE) 2017/2107 établissant des mesures de gestion, de conservation et de contrôle applicables dans la zone de la Convention de la Commission internationale pour la conservation des thonidés de l'Atlantique (ICCAT) et le règlement (UE) 2023/2053 établissant un plan de gestion pluriannuel pour le thon rouge dans l'Atlantique Est et la Méditerranée.</w:t>
      </w:r>
    </w:p>
  </w:footnote>
  <w:footnote w:id="5">
    <w:p w14:paraId="1BBDD0AE" w14:textId="77777777" w:rsidR="00DF358A" w:rsidRPr="00696DF0" w:rsidRDefault="00DF358A" w:rsidP="007E20D4">
      <w:pPr>
        <w:pStyle w:val="FootnoteText"/>
        <w:spacing w:after="0"/>
        <w:contextualSpacing/>
        <w:rPr>
          <w:sz w:val="16"/>
          <w:szCs w:val="16"/>
        </w:rPr>
      </w:pPr>
      <w:r w:rsidRPr="007E20D4">
        <w:rPr>
          <w:rStyle w:val="FootnoteReference"/>
          <w:rFonts w:ascii="Cambria" w:hAnsi="Cambria"/>
          <w:sz w:val="16"/>
          <w:szCs w:val="16"/>
        </w:rPr>
        <w:footnoteRef/>
      </w:r>
      <w:r w:rsidRPr="007E20D4">
        <w:rPr>
          <w:rFonts w:ascii="Cambria" w:hAnsi="Cambria"/>
          <w:sz w:val="16"/>
          <w:szCs w:val="16"/>
        </w:rPr>
        <w:t xml:space="preserve"> Règlement délégué (UE) 2024/2925 de la Commission du 19 juin 2024 modifiant le règlement (UE) 2023/2053 du Parlement européen et du Conseil en ce qui concerne la gestion du thon rouge dans l’Atlantique Est et la Méditerranée</w:t>
      </w:r>
    </w:p>
  </w:footnote>
  <w:footnote w:id="6">
    <w:p w14:paraId="5BFB643F" w14:textId="77777777" w:rsidR="00DF358A" w:rsidRPr="007E20D4" w:rsidRDefault="00DF358A" w:rsidP="007E20D4">
      <w:pPr>
        <w:pStyle w:val="FootnoteText"/>
        <w:spacing w:after="0"/>
        <w:contextualSpacing/>
        <w:rPr>
          <w:rFonts w:ascii="Cambria" w:hAnsi="Cambria"/>
          <w:sz w:val="16"/>
          <w:szCs w:val="16"/>
        </w:rPr>
      </w:pPr>
      <w:r w:rsidRPr="007E20D4">
        <w:rPr>
          <w:rStyle w:val="FootnoteReference"/>
          <w:rFonts w:ascii="Cambria" w:hAnsi="Cambria"/>
          <w:sz w:val="16"/>
          <w:szCs w:val="16"/>
        </w:rPr>
        <w:footnoteRef/>
      </w:r>
      <w:r w:rsidRPr="007E20D4">
        <w:rPr>
          <w:rFonts w:ascii="Cambria" w:hAnsi="Cambria"/>
          <w:sz w:val="16"/>
          <w:szCs w:val="16"/>
        </w:rPr>
        <w:t xml:space="preserve"> Le plan de pêche de l'UE présente le nombre et la catégorie de longueur des navires qui seront autorisés par l'UE en 2025 et le quota qui leur est alloué.</w:t>
      </w:r>
    </w:p>
  </w:footnote>
  <w:footnote w:id="7">
    <w:p w14:paraId="5641B833" w14:textId="77777777" w:rsidR="00DF358A" w:rsidRPr="00A838FB" w:rsidRDefault="00DF358A" w:rsidP="007E20D4">
      <w:pPr>
        <w:pStyle w:val="FootnoteText"/>
        <w:spacing w:after="0"/>
        <w:contextualSpacing/>
      </w:pPr>
      <w:r w:rsidRPr="007E20D4">
        <w:rPr>
          <w:rStyle w:val="FootnoteReference"/>
          <w:rFonts w:ascii="Cambria" w:hAnsi="Cambria"/>
          <w:sz w:val="16"/>
          <w:szCs w:val="16"/>
        </w:rPr>
        <w:footnoteRef/>
      </w:r>
      <w:r w:rsidRPr="007E20D4">
        <w:rPr>
          <w:rFonts w:ascii="Cambria" w:hAnsi="Cambria"/>
          <w:sz w:val="16"/>
          <w:szCs w:val="16"/>
        </w:rPr>
        <w:t xml:space="preserve"> Le quota ajusté est de 23.370,03 tonnes, soit 25.164,62 tonnes (quota) moins 483 tonnes (allocation pour les prises accessoires) moins 134 tonnes (allocation pour la pêche sportive/récréative) moins 1.165 tonnes (contingence).</w:t>
      </w:r>
    </w:p>
  </w:footnote>
  <w:footnote w:id="8">
    <w:p w14:paraId="32446B46" w14:textId="77777777" w:rsidR="00DF358A" w:rsidRPr="007E20D4" w:rsidRDefault="00DF358A" w:rsidP="007E20D4">
      <w:pPr>
        <w:pStyle w:val="FootnoteText"/>
        <w:spacing w:after="0"/>
        <w:rPr>
          <w:rFonts w:ascii="Cambria" w:hAnsi="Cambria"/>
          <w:sz w:val="16"/>
          <w:szCs w:val="16"/>
        </w:rPr>
      </w:pPr>
      <w:r w:rsidRPr="007E20D4">
        <w:rPr>
          <w:rStyle w:val="FootnoteReference"/>
          <w:rFonts w:ascii="Cambria" w:hAnsi="Cambria"/>
          <w:sz w:val="16"/>
          <w:szCs w:val="16"/>
        </w:rPr>
        <w:footnoteRef/>
      </w:r>
      <w:r w:rsidRPr="007E20D4">
        <w:rPr>
          <w:rFonts w:ascii="Cambria" w:hAnsi="Cambria"/>
          <w:sz w:val="16"/>
          <w:szCs w:val="16"/>
        </w:rPr>
        <w:t xml:space="preserve"> Règlement (UE) nº</w:t>
      </w:r>
      <w:r w:rsidRPr="007E20D4">
        <w:rPr>
          <w:rFonts w:ascii="Cambria" w:eastAsia="MS Gothic" w:hAnsi="Cambria"/>
          <w:bCs/>
          <w:color w:val="000000"/>
          <w:sz w:val="16"/>
          <w:szCs w:val="16"/>
          <w:lang w:eastAsia="fr-FR" w:bidi="fr-FR"/>
        </w:rPr>
        <w:t>2023/2053</w:t>
      </w:r>
      <w:r w:rsidRPr="007E20D4">
        <w:rPr>
          <w:rFonts w:ascii="Cambria" w:hAnsi="Cambria"/>
          <w:sz w:val="16"/>
          <w:szCs w:val="16"/>
        </w:rPr>
        <w:t xml:space="preserve"> du Parlement européen et du Conseil du 13 septembre 2023 établissant un programme pluriannuel de gestion du thon rouge dans l'Atlantique Est et la Méditerranée, amendant les Règlements (CE) No 1936/2001, (UE) 2017/2107, et (UE) 2019/833 et abrogeant le Règlement (UE) 2016/1627.</w:t>
      </w:r>
    </w:p>
  </w:footnote>
  <w:footnote w:id="9">
    <w:p w14:paraId="05D421BE" w14:textId="77777777" w:rsidR="00DF358A" w:rsidRPr="00696DF0" w:rsidRDefault="00DF358A" w:rsidP="007E20D4">
      <w:pPr>
        <w:pStyle w:val="FootnoteText"/>
        <w:spacing w:after="0"/>
      </w:pPr>
      <w:r w:rsidRPr="007E20D4">
        <w:rPr>
          <w:rStyle w:val="FootnoteReference"/>
          <w:rFonts w:ascii="Cambria" w:hAnsi="Cambria"/>
          <w:sz w:val="16"/>
          <w:szCs w:val="16"/>
        </w:rPr>
        <w:footnoteRef/>
      </w:r>
      <w:r w:rsidRPr="007E20D4">
        <w:rPr>
          <w:rFonts w:ascii="Cambria" w:hAnsi="Cambria"/>
          <w:sz w:val="16"/>
          <w:szCs w:val="16"/>
        </w:rPr>
        <w:t xml:space="preserve"> Règlement (CE) nº 1224/2009 du Conseil du 20 novembre 2009 instituant un régime communautaire de contrôle afin d'assurer le respect des règles de la politique commune de la pêche.</w:t>
      </w:r>
    </w:p>
  </w:footnote>
  <w:footnote w:id="10">
    <w:p w14:paraId="361F2A2D" w14:textId="77777777" w:rsidR="00DF358A" w:rsidRPr="007E20D4" w:rsidRDefault="00DF358A" w:rsidP="007E20D4">
      <w:pPr>
        <w:pStyle w:val="FootnoteText"/>
        <w:spacing w:after="0"/>
        <w:contextualSpacing/>
        <w:rPr>
          <w:rFonts w:ascii="Cambria" w:hAnsi="Cambria"/>
          <w:sz w:val="16"/>
          <w:szCs w:val="16"/>
        </w:rPr>
      </w:pPr>
      <w:r w:rsidRPr="007E20D4">
        <w:rPr>
          <w:rStyle w:val="FootnoteReference"/>
          <w:rFonts w:ascii="Cambria" w:hAnsi="Cambria"/>
          <w:sz w:val="16"/>
          <w:szCs w:val="16"/>
        </w:rPr>
        <w:footnoteRef/>
      </w:r>
      <w:r w:rsidRPr="007E20D4">
        <w:rPr>
          <w:rFonts w:ascii="Cambria" w:hAnsi="Cambria"/>
          <w:sz w:val="16"/>
          <w:szCs w:val="16"/>
        </w:rPr>
        <w:t xml:space="preserve"> Règlement (UE) n °1380/2013 du Parlement européen et du Conseil du 11 décembre 2013 relatif à la politique commune de la pêche.</w:t>
      </w:r>
    </w:p>
  </w:footnote>
  <w:footnote w:id="11">
    <w:p w14:paraId="64A1C402" w14:textId="77777777" w:rsidR="00DF358A" w:rsidRPr="00696DF0" w:rsidRDefault="00DF358A" w:rsidP="007E20D4">
      <w:pPr>
        <w:pStyle w:val="FootnoteText"/>
        <w:spacing w:after="0"/>
        <w:contextualSpacing/>
        <w:rPr>
          <w:sz w:val="16"/>
          <w:szCs w:val="16"/>
        </w:rPr>
      </w:pPr>
      <w:r w:rsidRPr="007E20D4">
        <w:rPr>
          <w:rStyle w:val="FootnoteReference"/>
          <w:rFonts w:ascii="Cambria" w:hAnsi="Cambria"/>
          <w:sz w:val="16"/>
          <w:szCs w:val="16"/>
        </w:rPr>
        <w:footnoteRef/>
      </w:r>
      <w:r w:rsidRPr="007E20D4">
        <w:rPr>
          <w:rFonts w:ascii="Cambria" w:hAnsi="Cambria"/>
          <w:sz w:val="16"/>
          <w:szCs w:val="16"/>
        </w:rPr>
        <w:t xml:space="preserve"> Règlement délégué (UE) 2015/98 de la Commission du 18 novembre 2014 relatif à la mise en œuvre des obligations internationales de l'Union, telles que visées à l'article 15, paragraphe 2, du règlement (UE) nº 1380/2013 du Parlement européen et du Conseil, conformément à la Convention internationale pour la conservation des thonidés de l'Atlantique et à la Convention sur la future coopération multilatérale dans les pêches de l'Atlantique du Nord-Ouest, modifié par les Règlements délégués (UE) de la Commission 2016/171, 2017/1352, 2018/191 et 2019/2020.</w:t>
      </w:r>
    </w:p>
  </w:footnote>
  <w:footnote w:id="12">
    <w:p w14:paraId="2CE95B64" w14:textId="77777777" w:rsidR="00DF358A" w:rsidRPr="007E20D4" w:rsidRDefault="00DF358A" w:rsidP="007E20D4">
      <w:pPr>
        <w:pStyle w:val="FootnoteText"/>
        <w:spacing w:after="0"/>
        <w:contextualSpacing/>
        <w:rPr>
          <w:rFonts w:ascii="Cambria" w:hAnsi="Cambria"/>
          <w:sz w:val="16"/>
          <w:szCs w:val="16"/>
        </w:rPr>
      </w:pPr>
      <w:r w:rsidRPr="007E20D4">
        <w:rPr>
          <w:rStyle w:val="FootnoteReference"/>
          <w:rFonts w:ascii="Cambria" w:hAnsi="Cambria"/>
          <w:sz w:val="16"/>
          <w:szCs w:val="16"/>
        </w:rPr>
        <w:footnoteRef/>
      </w:r>
      <w:r w:rsidRPr="007E20D4">
        <w:rPr>
          <w:rFonts w:ascii="Cambria" w:hAnsi="Cambria"/>
          <w:sz w:val="16"/>
          <w:szCs w:val="16"/>
        </w:rPr>
        <w:t xml:space="preserve"> Règlement d'exécution (UE) No 404/2011 de la Commission du 8 avril 2011 portant modalités d’application du règlement (CE) no 1224/2009 du Conseil instituant un régime communautaire de contrôle afin d’assurer le respect des règles de la politique commune de la pêche.</w:t>
      </w:r>
    </w:p>
  </w:footnote>
  <w:footnote w:id="13">
    <w:p w14:paraId="0F63DCEE" w14:textId="77777777" w:rsidR="00DF358A" w:rsidRPr="007E20D4" w:rsidRDefault="00DF358A" w:rsidP="007E20D4">
      <w:pPr>
        <w:pStyle w:val="FootnoteText"/>
        <w:spacing w:after="0"/>
        <w:contextualSpacing/>
        <w:rPr>
          <w:rFonts w:ascii="Cambria" w:hAnsi="Cambria"/>
          <w:sz w:val="16"/>
          <w:szCs w:val="16"/>
        </w:rPr>
      </w:pPr>
      <w:r w:rsidRPr="007E20D4">
        <w:rPr>
          <w:rStyle w:val="FootnoteReference"/>
          <w:rFonts w:ascii="Cambria" w:hAnsi="Cambria"/>
          <w:sz w:val="16"/>
          <w:szCs w:val="16"/>
        </w:rPr>
        <w:footnoteRef/>
      </w:r>
      <w:r w:rsidRPr="007E20D4">
        <w:rPr>
          <w:rFonts w:ascii="Cambria" w:hAnsi="Cambria"/>
          <w:sz w:val="16"/>
          <w:szCs w:val="16"/>
        </w:rPr>
        <w:t xml:space="preserve"> Règlement (UE) 2017/1004 du Parlement européen et du Conseil du 17 mai 2017 relatif à l'établissement d'un cadre de l'Union pour la collecte, la gestion et l'utilisation de données dans le secteur de la pêche et le soutien aux avis scientifiques sur la politique commune de la pêche, et abrogeant le règlement (CE) n° 199/2008 du Conseil (refonte).</w:t>
      </w:r>
    </w:p>
  </w:footnote>
  <w:footnote w:id="14">
    <w:p w14:paraId="051F4286" w14:textId="77777777" w:rsidR="00DF358A" w:rsidRPr="007E20D4" w:rsidRDefault="00DF358A" w:rsidP="007E20D4">
      <w:pPr>
        <w:pStyle w:val="FootnoteText"/>
        <w:spacing w:after="0"/>
        <w:contextualSpacing/>
        <w:rPr>
          <w:rFonts w:ascii="Cambria" w:hAnsi="Cambria"/>
          <w:sz w:val="16"/>
          <w:szCs w:val="16"/>
        </w:rPr>
      </w:pPr>
      <w:r w:rsidRPr="007E20D4">
        <w:rPr>
          <w:rStyle w:val="FootnoteReference"/>
          <w:rFonts w:ascii="Cambria" w:hAnsi="Cambria"/>
          <w:sz w:val="16"/>
          <w:szCs w:val="16"/>
        </w:rPr>
        <w:footnoteRef/>
      </w:r>
      <w:r w:rsidRPr="007E20D4">
        <w:rPr>
          <w:rFonts w:ascii="Cambria" w:hAnsi="Cambria"/>
          <w:sz w:val="16"/>
          <w:szCs w:val="16"/>
          <w:vertAlign w:val="superscript"/>
        </w:rPr>
        <w:t xml:space="preserve">  </w:t>
      </w:r>
      <w:r w:rsidRPr="007E20D4">
        <w:rPr>
          <w:rFonts w:ascii="Cambria" w:hAnsi="Cambria"/>
          <w:sz w:val="16"/>
          <w:szCs w:val="16"/>
        </w:rPr>
        <w:t xml:space="preserve"> Règlement (UE) 2023/2053 du Parlement européen et du Conseil du 13 septembre 2023 établissant un plan de gestion pluriannuel pour le thon rouge dans l'Atlantique Est et la Méditerranée, modifiant les règlements (CE) n° 1936/2001, (UE) 2017/2107 et (UE) 2019/833 et abrogeant le règlement (UE) 2016/1627.</w:t>
      </w:r>
    </w:p>
  </w:footnote>
  <w:footnote w:id="15">
    <w:p w14:paraId="1B47BAAA" w14:textId="77777777" w:rsidR="00DF358A" w:rsidRPr="00696DF0" w:rsidRDefault="00DF358A" w:rsidP="007E20D4">
      <w:pPr>
        <w:pStyle w:val="FootnoteText"/>
        <w:spacing w:after="0"/>
        <w:rPr>
          <w:sz w:val="16"/>
          <w:szCs w:val="16"/>
        </w:rPr>
      </w:pPr>
      <w:r w:rsidRPr="007E20D4">
        <w:rPr>
          <w:rStyle w:val="FootnoteReference"/>
          <w:rFonts w:ascii="Cambria" w:hAnsi="Cambria"/>
          <w:sz w:val="16"/>
          <w:szCs w:val="16"/>
        </w:rPr>
        <w:footnoteRef/>
      </w:r>
      <w:r w:rsidRPr="007E20D4">
        <w:rPr>
          <w:rFonts w:ascii="Cambria" w:hAnsi="Cambria"/>
          <w:sz w:val="16"/>
          <w:szCs w:val="16"/>
        </w:rPr>
        <w:t>Règlement (UE) 2023/2833 du Parlement européen et du Conseil du 13 décembre 2023 établissant un programme de documentation des captures de thon rouge (</w:t>
      </w:r>
      <w:r w:rsidRPr="007E20D4">
        <w:rPr>
          <w:rFonts w:ascii="Cambria" w:hAnsi="Cambria"/>
          <w:i/>
          <w:iCs/>
          <w:sz w:val="16"/>
          <w:szCs w:val="16"/>
        </w:rPr>
        <w:t>Thunnus thynnus</w:t>
      </w:r>
      <w:r w:rsidRPr="007E20D4">
        <w:rPr>
          <w:rFonts w:ascii="Cambria" w:hAnsi="Cambria"/>
          <w:sz w:val="16"/>
          <w:szCs w:val="16"/>
        </w:rPr>
        <w:t>) et abrogeant le règlement (UE) nº 640/2010.</w:t>
      </w:r>
    </w:p>
  </w:footnote>
  <w:footnote w:id="16">
    <w:p w14:paraId="29D0D723" w14:textId="77777777" w:rsidR="00DF358A" w:rsidRPr="007E20D4" w:rsidRDefault="00DF358A" w:rsidP="007E20D4">
      <w:pPr>
        <w:pStyle w:val="FootnoteText"/>
        <w:spacing w:after="0"/>
        <w:contextualSpacing/>
        <w:rPr>
          <w:rFonts w:ascii="Cambria" w:hAnsi="Cambria"/>
          <w:sz w:val="16"/>
          <w:szCs w:val="16"/>
        </w:rPr>
      </w:pPr>
      <w:r w:rsidRPr="007E20D4">
        <w:rPr>
          <w:rStyle w:val="FootnoteReference"/>
          <w:rFonts w:ascii="Cambria" w:hAnsi="Cambria"/>
          <w:sz w:val="16"/>
          <w:szCs w:val="16"/>
        </w:rPr>
        <w:footnoteRef/>
      </w:r>
      <w:r w:rsidRPr="007E20D4">
        <w:rPr>
          <w:rFonts w:ascii="Cambria" w:hAnsi="Cambria"/>
          <w:sz w:val="16"/>
          <w:szCs w:val="16"/>
        </w:rPr>
        <w:t xml:space="preserve"> Règlement (UE) 2019/833 du Parlement européen et du Conseil du 20 mai 2019 établissant les mesures de conservation et d'exécution applicables dans la zone de réglementation de l'Organisation des pêcheries de l'Atlantique du Nord-Ouest, modifiant le règlement (UE) 2016/1627 et abrogeant les règlements (CE) n° 2115/2005 et (CE) n° 1386/2007 du Conseil (ci-après : Règlement (UE) n° 2019/833).</w:t>
      </w:r>
    </w:p>
  </w:footnote>
  <w:footnote w:id="17">
    <w:p w14:paraId="4BDA2937" w14:textId="77777777" w:rsidR="00DF358A" w:rsidRPr="007E20D4" w:rsidRDefault="00DF358A" w:rsidP="007E20D4">
      <w:pPr>
        <w:pStyle w:val="FootnoteText"/>
        <w:spacing w:after="0"/>
        <w:contextualSpacing/>
        <w:rPr>
          <w:rFonts w:ascii="Cambria" w:hAnsi="Cambria"/>
          <w:sz w:val="16"/>
          <w:szCs w:val="16"/>
        </w:rPr>
      </w:pPr>
      <w:r w:rsidRPr="007E20D4">
        <w:rPr>
          <w:rStyle w:val="FootnoteReference"/>
          <w:rFonts w:ascii="Cambria" w:hAnsi="Cambria"/>
          <w:sz w:val="16"/>
          <w:szCs w:val="16"/>
        </w:rPr>
        <w:footnoteRef/>
      </w:r>
      <w:r w:rsidRPr="007E20D4">
        <w:rPr>
          <w:rFonts w:ascii="Cambria" w:hAnsi="Cambria"/>
          <w:sz w:val="16"/>
          <w:szCs w:val="16"/>
        </w:rPr>
        <w:t xml:space="preserve"> Règlement (UE) 2024/897 du Parlement européen et du Conseil du 13 mars 2024 modifiant le règlement (UE) 2017/2107 établissant des mesures de gestion, de conservation et de contrôle applicables dans la zone de la Convention de la Commission internationale pour la conservation des thonidés de l'Atlantique (ICCAT) et le Règlement (UE) 2023/2053 établissant un plan de gestion pluriannuel pour le thon rouge dans l'Atlantique Est et la Méditerranée, JO L, 2024/897, 19.3.2024.</w:t>
      </w:r>
    </w:p>
  </w:footnote>
  <w:footnote w:id="18">
    <w:p w14:paraId="0B6BF21C" w14:textId="77777777" w:rsidR="00DF358A" w:rsidRPr="00B44C87" w:rsidRDefault="00DF358A" w:rsidP="007E20D4">
      <w:pPr>
        <w:pStyle w:val="FootnoteText"/>
        <w:spacing w:after="0"/>
        <w:contextualSpacing/>
        <w:rPr>
          <w:u w:val="single"/>
        </w:rPr>
      </w:pPr>
      <w:r w:rsidRPr="007E20D4">
        <w:rPr>
          <w:rFonts w:ascii="Cambria" w:hAnsi="Cambria"/>
          <w:sz w:val="16"/>
          <w:szCs w:val="16"/>
          <w:vertAlign w:val="superscript"/>
          <w:lang w:val="en-IE"/>
        </w:rPr>
        <w:footnoteRef/>
      </w:r>
      <w:r w:rsidRPr="007E20D4">
        <w:rPr>
          <w:rFonts w:ascii="Cambria" w:hAnsi="Cambria"/>
          <w:sz w:val="16"/>
          <w:szCs w:val="16"/>
          <w:vertAlign w:val="superscript"/>
        </w:rPr>
        <w:t xml:space="preserve"> </w:t>
      </w:r>
      <w:r w:rsidRPr="007E20D4">
        <w:rPr>
          <w:rFonts w:ascii="Cambria" w:hAnsi="Cambria"/>
          <w:sz w:val="16"/>
          <w:szCs w:val="16"/>
        </w:rPr>
        <w:t xml:space="preserve"> Règlement (UE) 2026/249 du Conseil du 26 janvier 2026 fixant, pour 2026, 2027 et 2028, les possibilités de pêche pour certains stocks halieutiques, applicables dans les eaux de l'Union et, pour les navires de pêche de l'Union, dans certaines eaux non UE, et modifiant le règlement (UE) 2025/202.</w:t>
      </w:r>
    </w:p>
  </w:footnote>
  <w:footnote w:id="19">
    <w:p w14:paraId="4733C874" w14:textId="77777777" w:rsidR="00DF358A" w:rsidRPr="007E20D4" w:rsidRDefault="00DF358A" w:rsidP="007E20D4">
      <w:pPr>
        <w:pStyle w:val="FootnoteText"/>
        <w:spacing w:after="0"/>
        <w:contextualSpacing/>
        <w:rPr>
          <w:rFonts w:ascii="Cambria" w:hAnsi="Cambria"/>
          <w:sz w:val="16"/>
          <w:szCs w:val="16"/>
        </w:rPr>
      </w:pPr>
      <w:r w:rsidRPr="007E20D4">
        <w:rPr>
          <w:rStyle w:val="FootnoteReference"/>
          <w:rFonts w:ascii="Cambria" w:hAnsi="Cambria"/>
          <w:sz w:val="16"/>
          <w:szCs w:val="16"/>
        </w:rPr>
        <w:footnoteRef/>
      </w:r>
      <w:r w:rsidRPr="007E20D4">
        <w:rPr>
          <w:rFonts w:ascii="Cambria" w:hAnsi="Cambria"/>
          <w:sz w:val="16"/>
          <w:szCs w:val="16"/>
        </w:rPr>
        <w:t xml:space="preserve">  Décision d'exécution (UE) 2018/1986 de la Commission du 13 décembre 2018 établissant des programmes spécifiques de contrôle et d'inspection pour certaines pêcheries.</w:t>
      </w:r>
    </w:p>
  </w:footnote>
  <w:footnote w:id="20">
    <w:p w14:paraId="289DF165" w14:textId="77777777" w:rsidR="00DF358A" w:rsidRPr="007E20D4" w:rsidRDefault="00DF358A" w:rsidP="00DF358A">
      <w:pPr>
        <w:pStyle w:val="FootnoteText"/>
        <w:rPr>
          <w:rFonts w:ascii="Cambria" w:hAnsi="Cambria"/>
          <w:color w:val="000000"/>
          <w:sz w:val="16"/>
          <w:szCs w:val="16"/>
          <w:lang w:eastAsia="fr-FR" w:bidi="fr-FR"/>
        </w:rPr>
      </w:pPr>
      <w:r w:rsidRPr="007E20D4">
        <w:rPr>
          <w:rStyle w:val="FootnoteReference"/>
          <w:rFonts w:ascii="Cambria" w:hAnsi="Cambria"/>
          <w:sz w:val="16"/>
          <w:szCs w:val="16"/>
        </w:rPr>
        <w:footnoteRef/>
      </w:r>
      <w:r w:rsidRPr="007E20D4">
        <w:rPr>
          <w:rFonts w:ascii="Cambria" w:hAnsi="Cambria"/>
          <w:sz w:val="16"/>
          <w:szCs w:val="16"/>
        </w:rPr>
        <w:t xml:space="preserve"> Le report maximal autorisé, tel que modifié par la Rec. 25-04 (20 %), n'a pas encore été transposé dans le droit communautaire. L'UE enverra un plan de pêche révisé tenant compte de cette nouvelle limite dès qu'elle entrera en vigueur pour les États membres de l'UE.</w:t>
      </w:r>
    </w:p>
  </w:footnote>
  <w:footnote w:id="21">
    <w:p w14:paraId="6049F7C3" w14:textId="77777777" w:rsidR="002F5AFF" w:rsidRPr="00BA6455" w:rsidRDefault="002F5AFF" w:rsidP="00E02C62">
      <w:pPr>
        <w:pStyle w:val="FootnoteText"/>
        <w:spacing w:after="0"/>
        <w:contextualSpacing/>
        <w:rPr>
          <w:rFonts w:ascii="Cambria" w:hAnsi="Cambria"/>
          <w:sz w:val="16"/>
          <w:szCs w:val="16"/>
        </w:rPr>
      </w:pPr>
      <w:r w:rsidRPr="00BA6455">
        <w:rPr>
          <w:rStyle w:val="FootnoteReference"/>
          <w:rFonts w:ascii="Cambria" w:hAnsi="Cambria"/>
          <w:sz w:val="16"/>
          <w:szCs w:val="16"/>
        </w:rPr>
        <w:footnoteRef/>
      </w:r>
      <w:r>
        <w:rPr>
          <w:rFonts w:ascii="Cambria" w:hAnsi="Cambria"/>
          <w:sz w:val="16"/>
          <w:szCs w:val="16"/>
        </w:rPr>
        <w:t xml:space="preserve"> </w:t>
      </w:r>
      <w:r w:rsidRPr="00BA6455">
        <w:rPr>
          <w:rFonts w:ascii="Cambria" w:hAnsi="Cambria"/>
          <w:sz w:val="16"/>
          <w:szCs w:val="16"/>
        </w:rPr>
        <w:t xml:space="preserve">Quota disponible pour 2018 : 104 t (quota initial </w:t>
      </w:r>
      <w:r>
        <w:rPr>
          <w:rFonts w:ascii="Cambria" w:hAnsi="Cambria"/>
          <w:sz w:val="16"/>
          <w:szCs w:val="16"/>
        </w:rPr>
        <w:t xml:space="preserve">de </w:t>
      </w:r>
      <w:r w:rsidRPr="00BA6455">
        <w:rPr>
          <w:rFonts w:ascii="Cambria" w:hAnsi="Cambria"/>
          <w:sz w:val="16"/>
          <w:szCs w:val="16"/>
        </w:rPr>
        <w:t>2018)</w:t>
      </w:r>
      <w:r>
        <w:rPr>
          <w:rFonts w:ascii="Cambria" w:hAnsi="Cambria"/>
          <w:sz w:val="16"/>
          <w:szCs w:val="16"/>
        </w:rPr>
        <w:t xml:space="preserve"> </w:t>
      </w:r>
      <w:r w:rsidRPr="00BA6455">
        <w:rPr>
          <w:rFonts w:ascii="Cambria" w:hAnsi="Cambria"/>
          <w:sz w:val="16"/>
          <w:szCs w:val="16"/>
        </w:rPr>
        <w:t xml:space="preserve">– 14 t (prises accessoires) = </w:t>
      </w:r>
      <w:r w:rsidRPr="00BA6455">
        <w:rPr>
          <w:rFonts w:ascii="Cambria" w:hAnsi="Cambria"/>
          <w:b/>
          <w:sz w:val="16"/>
          <w:szCs w:val="16"/>
        </w:rPr>
        <w:t>90 t</w:t>
      </w:r>
    </w:p>
  </w:footnote>
  <w:footnote w:id="22">
    <w:p w14:paraId="10B2D806" w14:textId="77777777" w:rsidR="002F5AFF" w:rsidRPr="00BA6455" w:rsidRDefault="002F5AFF" w:rsidP="00E02C62">
      <w:pPr>
        <w:pStyle w:val="FootnoteText"/>
        <w:spacing w:after="0"/>
        <w:contextualSpacing/>
        <w:rPr>
          <w:rFonts w:ascii="Cambria" w:hAnsi="Cambria"/>
          <w:sz w:val="16"/>
          <w:szCs w:val="16"/>
        </w:rPr>
      </w:pPr>
      <w:r w:rsidRPr="00BA6455">
        <w:rPr>
          <w:rStyle w:val="FootnoteReference"/>
          <w:rFonts w:ascii="Cambria" w:hAnsi="Cambria"/>
          <w:sz w:val="16"/>
          <w:szCs w:val="16"/>
        </w:rPr>
        <w:footnoteRef/>
      </w:r>
      <w:r>
        <w:rPr>
          <w:rFonts w:ascii="Cambria" w:hAnsi="Cambria"/>
          <w:sz w:val="16"/>
          <w:szCs w:val="16"/>
        </w:rPr>
        <w:t xml:space="preserve"> </w:t>
      </w:r>
      <w:r w:rsidRPr="00BA6455">
        <w:rPr>
          <w:rFonts w:ascii="Cambria" w:hAnsi="Cambria"/>
          <w:sz w:val="16"/>
          <w:szCs w:val="16"/>
        </w:rPr>
        <w:t xml:space="preserve">Quota disponible pour 2023 : 368 t (quota initial </w:t>
      </w:r>
      <w:r>
        <w:rPr>
          <w:rFonts w:ascii="Cambria" w:hAnsi="Cambria"/>
          <w:sz w:val="16"/>
          <w:szCs w:val="16"/>
        </w:rPr>
        <w:t xml:space="preserve">de </w:t>
      </w:r>
      <w:r w:rsidRPr="00BA6455">
        <w:rPr>
          <w:rFonts w:ascii="Cambria" w:hAnsi="Cambria"/>
          <w:sz w:val="16"/>
          <w:szCs w:val="16"/>
        </w:rPr>
        <w:t xml:space="preserve">2023) + 15 t (report de 2022) - 15 t (prises accessoires) - 18 t (recherche) – 10 t (pêche sportive/récréative) = </w:t>
      </w:r>
      <w:r w:rsidRPr="00BA6455">
        <w:rPr>
          <w:rFonts w:ascii="Cambria" w:hAnsi="Cambria"/>
          <w:b/>
          <w:bCs/>
          <w:sz w:val="16"/>
          <w:szCs w:val="16"/>
        </w:rPr>
        <w:t>340 t</w:t>
      </w:r>
    </w:p>
  </w:footnote>
  <w:footnote w:id="23">
    <w:p w14:paraId="38160C09" w14:textId="77777777" w:rsidR="002F5AFF" w:rsidRPr="00BA6455" w:rsidRDefault="002F5AFF" w:rsidP="00E02C62">
      <w:pPr>
        <w:pStyle w:val="FootnoteText"/>
        <w:spacing w:after="0"/>
        <w:contextualSpacing/>
        <w:rPr>
          <w:rFonts w:ascii="Cambria" w:hAnsi="Cambria"/>
          <w:sz w:val="16"/>
          <w:szCs w:val="16"/>
        </w:rPr>
      </w:pPr>
      <w:r w:rsidRPr="00BA6455">
        <w:rPr>
          <w:rStyle w:val="FootnoteReference"/>
          <w:rFonts w:ascii="Cambria" w:hAnsi="Cambria"/>
          <w:sz w:val="16"/>
          <w:szCs w:val="16"/>
        </w:rPr>
        <w:footnoteRef/>
      </w:r>
      <w:r>
        <w:rPr>
          <w:rFonts w:ascii="Cambria" w:hAnsi="Cambria"/>
          <w:sz w:val="16"/>
          <w:szCs w:val="16"/>
        </w:rPr>
        <w:t xml:space="preserve"> </w:t>
      </w:r>
      <w:r w:rsidRPr="00BA6455">
        <w:rPr>
          <w:rFonts w:ascii="Cambria" w:hAnsi="Cambria"/>
          <w:sz w:val="16"/>
          <w:szCs w:val="16"/>
        </w:rPr>
        <w:t xml:space="preserve">Quota disponible pour 2024 : 368 t (quota initial </w:t>
      </w:r>
      <w:r>
        <w:rPr>
          <w:rFonts w:ascii="Cambria" w:hAnsi="Cambria"/>
          <w:sz w:val="16"/>
          <w:szCs w:val="16"/>
        </w:rPr>
        <w:t xml:space="preserve">de </w:t>
      </w:r>
      <w:r w:rsidRPr="00BA6455">
        <w:rPr>
          <w:rFonts w:ascii="Cambria" w:hAnsi="Cambria"/>
          <w:sz w:val="16"/>
          <w:szCs w:val="16"/>
        </w:rPr>
        <w:t xml:space="preserve">2024) + 18,4 t (report de 2023) - 15 t (prises accessoires) - 33,4 t (recherche) – 10 t (pêche sportive/récréative) = </w:t>
      </w:r>
      <w:r w:rsidRPr="00BA6455">
        <w:rPr>
          <w:rFonts w:ascii="Cambria" w:hAnsi="Cambria"/>
          <w:b/>
          <w:bCs/>
          <w:sz w:val="16"/>
          <w:szCs w:val="16"/>
        </w:rPr>
        <w:t>328 t</w:t>
      </w:r>
    </w:p>
  </w:footnote>
  <w:footnote w:id="24">
    <w:p w14:paraId="40D89567" w14:textId="77777777" w:rsidR="002F5AFF" w:rsidRPr="00BA6455" w:rsidRDefault="002F5AFF" w:rsidP="00E02C62">
      <w:pPr>
        <w:pStyle w:val="FootnoteText"/>
        <w:spacing w:after="0"/>
        <w:contextualSpacing/>
        <w:rPr>
          <w:rFonts w:ascii="Cambria" w:hAnsi="Cambria"/>
          <w:sz w:val="16"/>
          <w:szCs w:val="16"/>
        </w:rPr>
      </w:pPr>
      <w:r w:rsidRPr="00BA6455">
        <w:rPr>
          <w:rStyle w:val="FootnoteReference"/>
          <w:rFonts w:ascii="Cambria" w:hAnsi="Cambria"/>
          <w:sz w:val="16"/>
          <w:szCs w:val="16"/>
        </w:rPr>
        <w:footnoteRef/>
      </w:r>
      <w:r>
        <w:rPr>
          <w:rFonts w:ascii="Cambria" w:hAnsi="Cambria"/>
          <w:sz w:val="16"/>
          <w:szCs w:val="16"/>
        </w:rPr>
        <w:t xml:space="preserve"> </w:t>
      </w:r>
      <w:r w:rsidRPr="00BA6455">
        <w:rPr>
          <w:rFonts w:ascii="Cambria" w:hAnsi="Cambria"/>
          <w:sz w:val="16"/>
          <w:szCs w:val="16"/>
        </w:rPr>
        <w:t xml:space="preserve">Quota disponible pour 2025 : 368 t (quota initial </w:t>
      </w:r>
      <w:r>
        <w:rPr>
          <w:rFonts w:ascii="Cambria" w:hAnsi="Cambria"/>
          <w:sz w:val="16"/>
          <w:szCs w:val="16"/>
        </w:rPr>
        <w:t xml:space="preserve">de </w:t>
      </w:r>
      <w:r w:rsidRPr="00BA6455">
        <w:rPr>
          <w:rFonts w:ascii="Cambria" w:hAnsi="Cambria"/>
          <w:sz w:val="16"/>
          <w:szCs w:val="16"/>
        </w:rPr>
        <w:t xml:space="preserve">2025) + 18,4 t (report de 2024) - 15 t (prises accessoires) - 33,4 t (recherche) – 10 t (pêche sportive/récréative) = </w:t>
      </w:r>
      <w:r w:rsidRPr="00BA6455">
        <w:rPr>
          <w:rFonts w:ascii="Cambria" w:hAnsi="Cambria"/>
          <w:b/>
          <w:bCs/>
          <w:sz w:val="16"/>
          <w:szCs w:val="16"/>
        </w:rPr>
        <w:t>328 t</w:t>
      </w:r>
    </w:p>
  </w:footnote>
  <w:footnote w:id="25">
    <w:p w14:paraId="4FE86BFB" w14:textId="77777777" w:rsidR="002F5AFF" w:rsidRPr="00BA6455" w:rsidRDefault="002F5AFF" w:rsidP="00E02C62">
      <w:pPr>
        <w:pStyle w:val="FootnoteText"/>
        <w:spacing w:after="0"/>
        <w:contextualSpacing/>
        <w:rPr>
          <w:rFonts w:ascii="Cambria" w:hAnsi="Cambria"/>
          <w:sz w:val="16"/>
          <w:szCs w:val="16"/>
        </w:rPr>
      </w:pPr>
      <w:r w:rsidRPr="00BA6455">
        <w:rPr>
          <w:rStyle w:val="FootnoteReference"/>
          <w:rFonts w:ascii="Cambria" w:hAnsi="Cambria"/>
          <w:sz w:val="16"/>
          <w:szCs w:val="16"/>
        </w:rPr>
        <w:footnoteRef/>
      </w:r>
      <w:r w:rsidRPr="00BA6455">
        <w:rPr>
          <w:rFonts w:ascii="Cambria" w:hAnsi="Cambria"/>
          <w:sz w:val="16"/>
          <w:szCs w:val="16"/>
        </w:rPr>
        <w:t xml:space="preserve"> Quota disponible pour 2026 : 461,38 t (quota initial </w:t>
      </w:r>
      <w:r>
        <w:rPr>
          <w:rFonts w:ascii="Cambria" w:hAnsi="Cambria"/>
          <w:sz w:val="16"/>
          <w:szCs w:val="16"/>
        </w:rPr>
        <w:t xml:space="preserve">de </w:t>
      </w:r>
      <w:r w:rsidRPr="00BA6455">
        <w:rPr>
          <w:rFonts w:ascii="Cambria" w:hAnsi="Cambria"/>
          <w:sz w:val="16"/>
          <w:szCs w:val="16"/>
        </w:rPr>
        <w:t xml:space="preserve">2026) + 73,6 t (report de 2025) - 10 t (prises accessoires) - 34,98 t (recherche) – 10 t (pêche sportive/récréative) = </w:t>
      </w:r>
      <w:r w:rsidRPr="00BA6455">
        <w:rPr>
          <w:rFonts w:ascii="Cambria" w:hAnsi="Cambria"/>
          <w:b/>
          <w:bCs/>
          <w:sz w:val="16"/>
          <w:szCs w:val="16"/>
        </w:rPr>
        <w:t>480 t</w:t>
      </w:r>
      <w:r w:rsidRPr="00BA6455">
        <w:rPr>
          <w:rFonts w:ascii="Cambria" w:hAnsi="Cambria"/>
          <w:sz w:val="16"/>
          <w:szCs w:val="16"/>
        </w:rPr>
        <w:t xml:space="preserve">  </w:t>
      </w:r>
    </w:p>
  </w:footnote>
  <w:footnote w:id="26">
    <w:p w14:paraId="228354AD" w14:textId="77777777" w:rsidR="002F5AFF" w:rsidRPr="00D25BF0" w:rsidRDefault="002F5AFF" w:rsidP="002F5AFF">
      <w:pPr>
        <w:pStyle w:val="FootnoteText"/>
        <w:rPr>
          <w:rFonts w:ascii="Cambria" w:hAnsi="Cambria"/>
          <w:sz w:val="16"/>
          <w:szCs w:val="16"/>
        </w:rPr>
      </w:pPr>
      <w:r w:rsidRPr="00BA6455">
        <w:rPr>
          <w:rStyle w:val="FootnoteReference"/>
          <w:rFonts w:ascii="Cambria" w:hAnsi="Cambria"/>
          <w:sz w:val="16"/>
          <w:szCs w:val="16"/>
        </w:rPr>
        <w:footnoteRef/>
      </w:r>
      <w:r>
        <w:rPr>
          <w:rFonts w:ascii="Cambria" w:hAnsi="Cambria"/>
          <w:sz w:val="16"/>
          <w:szCs w:val="16"/>
        </w:rPr>
        <w:t xml:space="preserve"> </w:t>
      </w:r>
      <w:r w:rsidRPr="00BA6455">
        <w:rPr>
          <w:rFonts w:ascii="Cambria" w:hAnsi="Cambria"/>
          <w:sz w:val="16"/>
          <w:szCs w:val="16"/>
        </w:rPr>
        <w:t>Conformément à la Rec. 25-04, paragraphe 20b), l'ajustement de la capacité de pêche prévu aux paragraphes 15, 16 et 19 ne s'applique pas à la Norvège.</w:t>
      </w:r>
    </w:p>
  </w:footnote>
  <w:footnote w:id="27">
    <w:p w14:paraId="191834F0" w14:textId="77777777" w:rsidR="00D70898" w:rsidRPr="00EF0033" w:rsidRDefault="00D70898" w:rsidP="00EF0033">
      <w:pPr>
        <w:pStyle w:val="FootnoteText"/>
        <w:spacing w:after="0"/>
        <w:rPr>
          <w:rFonts w:ascii="Cambria" w:hAnsi="Cambria"/>
          <w:sz w:val="16"/>
          <w:szCs w:val="16"/>
          <w:lang w:val="tr-TR"/>
        </w:rPr>
      </w:pPr>
      <w:r w:rsidRPr="00EF0033">
        <w:rPr>
          <w:rStyle w:val="FootnoteReference"/>
          <w:rFonts w:ascii="Cambria" w:hAnsi="Cambria"/>
          <w:sz w:val="16"/>
          <w:szCs w:val="16"/>
        </w:rPr>
        <w:footnoteRef/>
      </w:r>
      <w:r w:rsidRPr="00EF0033">
        <w:rPr>
          <w:rFonts w:ascii="Cambria" w:hAnsi="Cambria"/>
          <w:sz w:val="16"/>
          <w:szCs w:val="16"/>
        </w:rPr>
        <w:t xml:space="preserve"> Le cas échéant, il sera soumis dans le cadre d'un plan révisé.</w:t>
      </w:r>
    </w:p>
  </w:footnote>
  <w:footnote w:id="28">
    <w:p w14:paraId="50B39422" w14:textId="77777777" w:rsidR="00D70898" w:rsidRPr="00EF0033" w:rsidRDefault="00D70898" w:rsidP="00EF0033">
      <w:pPr>
        <w:pStyle w:val="FootnoteText"/>
        <w:spacing w:after="0"/>
        <w:rPr>
          <w:rFonts w:ascii="Cambria" w:hAnsi="Cambria"/>
          <w:sz w:val="16"/>
          <w:szCs w:val="16"/>
        </w:rPr>
      </w:pPr>
      <w:r w:rsidRPr="00EF0033">
        <w:rPr>
          <w:rStyle w:val="FootnoteReference"/>
          <w:rFonts w:ascii="Cambria" w:hAnsi="Cambria"/>
          <w:sz w:val="16"/>
          <w:szCs w:val="16"/>
        </w:rPr>
        <w:footnoteRef/>
      </w:r>
      <w:r w:rsidRPr="00EF0033">
        <w:rPr>
          <w:rFonts w:ascii="Cambria" w:hAnsi="Cambria"/>
          <w:sz w:val="16"/>
          <w:szCs w:val="16"/>
        </w:rPr>
        <w:t xml:space="preserve"> Sur la base de la loi sur la pêche n°1380 et du règlement n° 4988, la notification a été publiée pour être appliquée pour la période du 01/09/2024 au 31/08/2028.</w:t>
      </w:r>
    </w:p>
  </w:footnote>
  <w:footnote w:id="29">
    <w:p w14:paraId="1446B7FE" w14:textId="77777777" w:rsidR="00D70898" w:rsidRPr="00EF0033" w:rsidRDefault="00D70898" w:rsidP="00EF0033">
      <w:pPr>
        <w:pStyle w:val="FootnoteText"/>
        <w:spacing w:after="0"/>
        <w:rPr>
          <w:rFonts w:ascii="Cambria" w:hAnsi="Cambria"/>
          <w:sz w:val="16"/>
          <w:szCs w:val="16"/>
          <w:lang w:val="tr-TR"/>
        </w:rPr>
      </w:pPr>
      <w:r w:rsidRPr="00EF0033">
        <w:rPr>
          <w:rStyle w:val="FootnoteReference"/>
          <w:rFonts w:ascii="Cambria" w:hAnsi="Cambria"/>
          <w:sz w:val="16"/>
          <w:szCs w:val="16"/>
        </w:rPr>
        <w:footnoteRef/>
      </w:r>
      <w:r w:rsidRPr="00EF0033">
        <w:rPr>
          <w:rFonts w:ascii="Cambria" w:hAnsi="Cambria"/>
          <w:sz w:val="16"/>
          <w:szCs w:val="16"/>
        </w:rPr>
        <w:t xml:space="preserve"> La loi sur la pêche (n° 1380) est la principale législation qui couvre les questions liées à la protection, à la production et au contrôle de la pêche et des produits de la pêche.</w:t>
      </w:r>
    </w:p>
  </w:footnote>
  <w:footnote w:id="30">
    <w:p w14:paraId="780D445E" w14:textId="77777777" w:rsidR="00D70898" w:rsidRPr="007A5CE4" w:rsidRDefault="00D70898" w:rsidP="00EF0033">
      <w:pPr>
        <w:pStyle w:val="FootnoteText"/>
        <w:spacing w:after="0"/>
        <w:contextualSpacing/>
        <w:rPr>
          <w:u w:val="single"/>
          <w:lang w:val="tr-TR"/>
        </w:rPr>
      </w:pPr>
      <w:r w:rsidRPr="00EF0033">
        <w:rPr>
          <w:rStyle w:val="FootnoteReference"/>
          <w:rFonts w:ascii="Cambria" w:hAnsi="Cambria"/>
          <w:sz w:val="16"/>
          <w:szCs w:val="16"/>
        </w:rPr>
        <w:footnoteRef/>
      </w:r>
      <w:r w:rsidRPr="00EF0033">
        <w:rPr>
          <w:rFonts w:ascii="Cambria" w:hAnsi="Cambria"/>
          <w:sz w:val="16"/>
          <w:szCs w:val="16"/>
        </w:rPr>
        <w:t xml:space="preserve"> La réglementation de la pêche, les qualifications et conditions minimales concernant les engins de pêche, les interdictions générales, les limitations et les obligations pour les espèces, les zones et les périodes sont déterminées par le règlement sur la pêche (n°4988), la notification ministérielle (n°2024/20) et la législation secondaire connexe publiée en référence à ces règlements qui créent des obligations contraignantes pour les opérateurs et permettent des poursuites en cas de non-application.</w:t>
      </w:r>
    </w:p>
  </w:footnote>
  <w:footnote w:id="31">
    <w:p w14:paraId="3004B3B9" w14:textId="77777777" w:rsidR="00D70898" w:rsidRPr="00EF0033" w:rsidRDefault="00D70898" w:rsidP="00EF0033">
      <w:pPr>
        <w:pStyle w:val="FootnoteText"/>
        <w:spacing w:after="0"/>
        <w:rPr>
          <w:rFonts w:ascii="Cambria" w:hAnsi="Cambria"/>
          <w:sz w:val="16"/>
          <w:szCs w:val="16"/>
        </w:rPr>
      </w:pPr>
      <w:r w:rsidRPr="00EF0033">
        <w:rPr>
          <w:rStyle w:val="FootnoteReference"/>
          <w:rFonts w:ascii="Cambria" w:hAnsi="Cambria"/>
          <w:sz w:val="16"/>
          <w:szCs w:val="16"/>
        </w:rPr>
        <w:footnoteRef/>
      </w:r>
      <w:r w:rsidRPr="00EF0033">
        <w:rPr>
          <w:rFonts w:ascii="Cambria" w:hAnsi="Cambria"/>
          <w:sz w:val="16"/>
          <w:szCs w:val="16"/>
        </w:rPr>
        <w:t xml:space="preserve"> Dans le cadre des mesures réglementaires mentionnées, le permis de pêche spécial (ou le certificat) des navires de pêche au thon rouge qui s'engagent dans des activités de pêche contraires aux règles et procédures déterminées par le ministère sera annulé et un nouveau permis de pêche ne sera pas délivré pour la période de pêche concernée.</w:t>
      </w:r>
    </w:p>
  </w:footnote>
  <w:footnote w:id="32">
    <w:p w14:paraId="3F6F9780" w14:textId="77777777" w:rsidR="00D70898" w:rsidRPr="000C0B43" w:rsidRDefault="00D70898" w:rsidP="00EF0033">
      <w:pPr>
        <w:pStyle w:val="FootnoteText"/>
        <w:spacing w:after="0"/>
        <w:rPr>
          <w:sz w:val="16"/>
          <w:szCs w:val="16"/>
        </w:rPr>
      </w:pPr>
      <w:r w:rsidRPr="00EF0033">
        <w:rPr>
          <w:rStyle w:val="FootnoteReference"/>
          <w:rFonts w:ascii="Cambria" w:hAnsi="Cambria"/>
          <w:sz w:val="16"/>
          <w:szCs w:val="16"/>
        </w:rPr>
        <w:footnoteRef/>
      </w:r>
      <w:r w:rsidRPr="00EF0033">
        <w:rPr>
          <w:rFonts w:ascii="Cambria" w:hAnsi="Cambria"/>
          <w:sz w:val="16"/>
          <w:szCs w:val="16"/>
        </w:rPr>
        <w:t xml:space="preserve"> Étant donné que la quantité de thon rouge vivant à importer pourrait ne pas être claire avant le début de la saison de pêche, le cas échéant, elle sera soumise dans le cadre d'un plan révisé.</w:t>
      </w:r>
    </w:p>
  </w:footnote>
  <w:footnote w:id="33">
    <w:p w14:paraId="256A1D06" w14:textId="77777777" w:rsidR="00594EA1" w:rsidRPr="00477C0B" w:rsidRDefault="00594EA1" w:rsidP="00594EA1">
      <w:pPr>
        <w:pStyle w:val="FootnoteText"/>
        <w:rPr>
          <w:rFonts w:ascii="Cambria" w:eastAsia="PMingLiU" w:hAnsi="Cambria"/>
          <w:iCs/>
        </w:rPr>
      </w:pPr>
      <w:r>
        <w:rPr>
          <w:rStyle w:val="FootnoteReference"/>
          <w:sz w:val="16"/>
          <w:szCs w:val="16"/>
        </w:rPr>
        <w:footnoteRef/>
      </w:r>
      <w:r>
        <w:t xml:space="preserve"> </w:t>
      </w:r>
      <w:r>
        <w:rPr>
          <w:rFonts w:ascii="Cambria" w:hAnsi="Cambria"/>
          <w:sz w:val="16"/>
        </w:rPr>
        <w:t>Le Taipei chinois ne compte que des palangriers opérant dans la zone de la Convention de l’ICCAT.</w:t>
      </w:r>
    </w:p>
  </w:footnote>
  <w:footnote w:id="34">
    <w:p w14:paraId="0EF4AC75" w14:textId="41799F13" w:rsidR="00B70D05" w:rsidRPr="00B70D05" w:rsidRDefault="00B70D05">
      <w:pPr>
        <w:pStyle w:val="FootnoteText"/>
      </w:pPr>
      <w:r w:rsidRPr="00FB1B2A">
        <w:rPr>
          <w:rStyle w:val="FootnoteReference"/>
        </w:rPr>
        <w:footnoteRef/>
      </w:r>
      <w:r w:rsidRPr="00FB1B2A">
        <w:t xml:space="preserve"> </w:t>
      </w:r>
      <w:r w:rsidRPr="00FB1B2A">
        <w:rPr>
          <w:rFonts w:ascii="Cambria" w:hAnsi="Cambria"/>
          <w:sz w:val="16"/>
          <w:szCs w:val="16"/>
          <w:lang w:eastAsia="ja-JP"/>
        </w:rPr>
        <w:t>Les CPC devront soumettre un plan de pêche pour l'année précédente.</w:t>
      </w:r>
    </w:p>
  </w:footnote>
  <w:footnote w:id="35">
    <w:p w14:paraId="69E2A45F" w14:textId="77777777" w:rsidR="00BA361E" w:rsidRPr="005C27FE" w:rsidRDefault="00BA361E" w:rsidP="00BA361E">
      <w:pPr>
        <w:pStyle w:val="FootnoteText"/>
        <w:rPr>
          <w:rFonts w:ascii="Cambria" w:hAnsi="Cambria"/>
          <w:sz w:val="16"/>
          <w:szCs w:val="16"/>
        </w:rPr>
      </w:pPr>
      <w:r w:rsidRPr="005C27FE">
        <w:rPr>
          <w:rStyle w:val="FootnoteReference"/>
          <w:rFonts w:ascii="Cambria" w:hAnsi="Cambria"/>
          <w:sz w:val="16"/>
          <w:szCs w:val="16"/>
        </w:rPr>
        <w:footnoteRef/>
      </w:r>
      <w:r w:rsidRPr="005C27FE">
        <w:rPr>
          <w:rFonts w:ascii="Cambria" w:hAnsi="Cambria"/>
          <w:sz w:val="16"/>
          <w:szCs w:val="16"/>
        </w:rPr>
        <w:t xml:space="preserve"> Certains commentaires formulés par le consortium ROP-BFT portaient spécifiquement sur la réponse apportée par l'UE à la demande d’éclaircissement en question. Cela a été indiqué le cas échéant.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593FF" w14:textId="77777777" w:rsidR="00C712A4" w:rsidRPr="003725BA" w:rsidRDefault="00C712A4" w:rsidP="00C712A4">
    <w:pPr>
      <w:tabs>
        <w:tab w:val="center" w:pos="4680"/>
        <w:tab w:val="left" w:pos="6520"/>
        <w:tab w:val="right" w:pos="9360"/>
        <w:tab w:val="right" w:pos="14240"/>
      </w:tabs>
      <w:suppressAutoHyphens/>
      <w:ind w:left="10" w:hanging="10"/>
      <w:jc w:val="right"/>
      <w:rPr>
        <w:rFonts w:eastAsia="Calibri" w:cs="Times New Roman"/>
        <w:b/>
        <w:bCs/>
        <w:color w:val="000000"/>
        <w:kern w:val="2"/>
        <w14:ligatures w14:val="standardContextual"/>
      </w:rPr>
    </w:pPr>
    <w:r>
      <w:rPr>
        <w:rFonts w:eastAsia="Calibri" w:cs="Times New Roman"/>
        <w:b/>
        <w:bCs/>
        <w:color w:val="000000"/>
        <w:kern w:val="2"/>
        <w14:ligatures w14:val="standardContextual"/>
      </w:rPr>
      <w:t>P</w:t>
    </w:r>
    <w:r>
      <w:rPr>
        <w:rFonts w:eastAsia="Calibri" w:cs="Times New Roman"/>
        <w:b/>
        <w:bCs/>
        <w:color w:val="000000"/>
        <w:kern w:val="2"/>
        <w:szCs w:val="24"/>
        <w14:ligatures w14:val="standardContextual"/>
      </w:rPr>
      <w:t>A2</w:t>
    </w:r>
    <w:r w:rsidRPr="003725BA">
      <w:rPr>
        <w:rFonts w:eastAsia="Calibri" w:cs="Times New Roman"/>
        <w:b/>
        <w:bCs/>
        <w:color w:val="000000"/>
        <w:kern w:val="2"/>
        <w14:ligatures w14:val="standardContextual"/>
      </w:rPr>
      <w:t>_</w:t>
    </w:r>
    <w:r>
      <w:rPr>
        <w:rFonts w:eastAsia="Calibri" w:cs="Times New Roman"/>
        <w:b/>
        <w:bCs/>
        <w:color w:val="000000"/>
        <w:kern w:val="2"/>
        <w14:ligatures w14:val="standardContextual"/>
      </w:rPr>
      <w:t>602</w:t>
    </w:r>
    <w:r w:rsidRPr="003725BA">
      <w:rPr>
        <w:rFonts w:eastAsia="Calibri" w:cs="Times New Roman"/>
        <w:b/>
        <w:bCs/>
        <w:color w:val="000000"/>
        <w:kern w:val="2"/>
        <w14:ligatures w14:val="standardContextual"/>
      </w:rPr>
      <w:t>/2026</w:t>
    </w:r>
  </w:p>
  <w:p w14:paraId="1FDA0156" w14:textId="26B901B7" w:rsidR="003834CD" w:rsidRPr="00C712A4" w:rsidRDefault="00C712A4" w:rsidP="00C712A4">
    <w:pPr>
      <w:pStyle w:val="Header"/>
      <w:jc w:val="right"/>
    </w:pPr>
    <w:r w:rsidRPr="003725BA">
      <w:rPr>
        <w:rFonts w:eastAsia="Times New Roman" w:cs="Times New Roman"/>
        <w:b/>
        <w:bCs/>
        <w:color w:val="000000"/>
        <w:kern w:val="2"/>
        <w:sz w:val="16"/>
        <w:szCs w:val="16"/>
        <w:lang w:val="es-ES_tradnl"/>
        <w14:ligatures w14:val="standardContextual"/>
      </w:rPr>
      <w:fldChar w:fldCharType="begin"/>
    </w:r>
    <w:r w:rsidRPr="003725BA">
      <w:rPr>
        <w:rFonts w:eastAsia="Times New Roman" w:cs="Times New Roman"/>
        <w:b/>
        <w:bCs/>
        <w:color w:val="000000"/>
        <w:kern w:val="2"/>
        <w:sz w:val="16"/>
        <w:szCs w:val="16"/>
        <w:lang w:val="es-ES_tradnl"/>
        <w14:ligatures w14:val="standardContextual"/>
      </w:rPr>
      <w:instrText xml:space="preserve"> TIME \@ "dd/MM/yyyy H:mm" </w:instrText>
    </w:r>
    <w:r w:rsidRPr="003725BA">
      <w:rPr>
        <w:rFonts w:eastAsia="Times New Roman" w:cs="Times New Roman"/>
        <w:b/>
        <w:bCs/>
        <w:color w:val="000000"/>
        <w:kern w:val="2"/>
        <w:sz w:val="16"/>
        <w:szCs w:val="16"/>
        <w:lang w:val="es-ES_tradnl"/>
        <w14:ligatures w14:val="standardContextual"/>
      </w:rPr>
      <w:fldChar w:fldCharType="separate"/>
    </w:r>
    <w:r w:rsidRPr="003725BA">
      <w:rPr>
        <w:rFonts w:eastAsia="Times New Roman" w:cs="Times New Roman"/>
        <w:b/>
        <w:bCs/>
        <w:noProof/>
        <w:color w:val="000000"/>
        <w:kern w:val="2"/>
        <w:sz w:val="16"/>
        <w:szCs w:val="16"/>
        <w:lang w:val="es-ES_tradnl"/>
        <w14:ligatures w14:val="standardContextual"/>
      </w:rPr>
      <w:t>02/10/2026 12:21</w:t>
    </w:r>
    <w:r w:rsidRPr="003725BA">
      <w:rPr>
        <w:rFonts w:eastAsia="Times New Roman" w:cs="Times New Roman"/>
        <w:b/>
        <w:bCs/>
        <w:color w:val="000000"/>
        <w:kern w:val="2"/>
        <w:sz w:val="16"/>
        <w:szCs w:val="16"/>
        <w:lang w:val="es-ES_tradnl"/>
        <w14:ligatures w14:val="standardContextua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9CE4B" w14:textId="75B1D0E2" w:rsidR="002B2770" w:rsidRPr="002B2770" w:rsidRDefault="002B2770" w:rsidP="002B2770">
    <w:pPr>
      <w:tabs>
        <w:tab w:val="center" w:pos="4680"/>
        <w:tab w:val="right" w:pos="9360"/>
      </w:tabs>
      <w:jc w:val="center"/>
      <w:rPr>
        <w:lang w:val="fr-FR"/>
      </w:rPr>
    </w:pPr>
    <w:r w:rsidRPr="002B2770">
      <w:rPr>
        <w:rFonts w:ascii="Arial" w:hAnsi="Arial" w:cs="Arial"/>
        <w:sz w:val="16"/>
        <w:szCs w:val="16"/>
        <w:lang w:val="fr-FR"/>
      </w:rPr>
      <w:t xml:space="preserve">RÉUNION INTERSESSIONS DE LA SOUS-COMMISSION 2 – HYBRIDE/MADRID, MARS </w:t>
    </w:r>
    <w:r>
      <w:rPr>
        <w:rFonts w:ascii="Arial" w:hAnsi="Arial" w:cs="Arial"/>
        <w:sz w:val="16"/>
        <w:szCs w:val="16"/>
        <w:lang w:val="fr-FR"/>
      </w:rPr>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3F464" w14:textId="3C5AA990" w:rsidR="003834CD" w:rsidRPr="003834CD" w:rsidRDefault="003834CD" w:rsidP="003834CD">
    <w:pPr>
      <w:tabs>
        <w:tab w:val="center" w:pos="4680"/>
        <w:tab w:val="right" w:pos="9360"/>
      </w:tabs>
      <w:jc w:val="center"/>
      <w:rPr>
        <w:lang w:val="fr-FR"/>
      </w:rPr>
    </w:pPr>
    <w:r w:rsidRPr="003834CD">
      <w:rPr>
        <w:rFonts w:ascii="Arial" w:hAnsi="Arial" w:cs="Arial"/>
        <w:sz w:val="16"/>
        <w:szCs w:val="16"/>
        <w:lang w:val="fr-FR"/>
      </w:rPr>
      <w:t xml:space="preserve">RÉUNION INTERSESSIONS DE LA SOUS-COMMISSION 2 – HYBRIDE/MADRID, MARS </w:t>
    </w:r>
    <w:r>
      <w:rPr>
        <w:rFonts w:ascii="Arial" w:hAnsi="Arial" w:cs="Arial"/>
        <w:sz w:val="16"/>
        <w:szCs w:val="16"/>
        <w:lang w:val="fr-FR"/>
      </w:rPr>
      <w:t>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F3E5E" w14:textId="77777777" w:rsidR="00827114" w:rsidRPr="00A03143" w:rsidRDefault="00827114" w:rsidP="002813AE">
    <w:pPr>
      <w:spacing w:line="240" w:lineRule="exact"/>
      <w:rPr>
        <w:b/>
        <w:bCs/>
        <w:sz w:val="28"/>
      </w:rPr>
    </w:pPr>
    <w:r w:rsidRPr="00430F82">
      <w:rPr>
        <w:b/>
        <w:bCs/>
      </w:rPr>
      <w:t>COMMISSION 2016 – Guidelines preparation bluefin tuna plans</w:t>
    </w:r>
    <w:r w:rsidRPr="00430F82">
      <w:rPr>
        <w:b/>
        <w:bCs/>
      </w:rPr>
      <w:tab/>
    </w:r>
    <w:r w:rsidRPr="00430F82">
      <w:rPr>
        <w:b/>
        <w:bCs/>
        <w:sz w:val="26"/>
        <w:szCs w:val="26"/>
      </w:rPr>
      <w:t xml:space="preserve">Doc. </w:t>
    </w:r>
    <w:r>
      <w:rPr>
        <w:b/>
        <w:bCs/>
        <w:sz w:val="26"/>
        <w:szCs w:val="26"/>
      </w:rPr>
      <w:t>Nº PA2-602 / 2016</w:t>
    </w:r>
  </w:p>
  <w:p w14:paraId="6F58449B" w14:textId="5F94D312" w:rsidR="00827114" w:rsidRPr="002813AE" w:rsidRDefault="00827114" w:rsidP="002813AE">
    <w:pPr>
      <w:tabs>
        <w:tab w:val="left" w:pos="7320"/>
      </w:tabs>
      <w:spacing w:line="240" w:lineRule="exact"/>
      <w:rPr>
        <w:b/>
        <w:bCs/>
      </w:rPr>
    </w:pP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r>
      <w:rPr>
        <w:b/>
        <w:bCs/>
      </w:rPr>
      <w:t xml:space="preserve">; </w:t>
    </w: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p>
  <w:p w14:paraId="284CF1D0" w14:textId="77777777" w:rsidR="00827114" w:rsidRPr="00A03143" w:rsidRDefault="00827114" w:rsidP="002813AE">
    <w:pPr>
      <w:tabs>
        <w:tab w:val="left" w:pos="7320"/>
      </w:tabs>
      <w:spacing w:line="240" w:lineRule="exact"/>
      <w:rPr>
        <w:b/>
        <w:bCs/>
      </w:rPr>
    </w:pPr>
    <w:r>
      <w:rPr>
        <w:b/>
        <w:bCs/>
        <w:noProof/>
      </w:rPr>
      <mc:AlternateContent>
        <mc:Choice Requires="wps">
          <w:drawing>
            <wp:anchor distT="0" distB="0" distL="114300" distR="114300" simplePos="0" relativeHeight="251659264" behindDoc="0" locked="0" layoutInCell="1" allowOverlap="1" wp14:anchorId="3EE747E0" wp14:editId="49BD2222">
              <wp:simplePos x="0" y="0"/>
              <wp:positionH relativeFrom="column">
                <wp:posOffset>0</wp:posOffset>
              </wp:positionH>
              <wp:positionV relativeFrom="paragraph">
                <wp:posOffset>17145</wp:posOffset>
              </wp:positionV>
              <wp:extent cx="5715000" cy="0"/>
              <wp:effectExtent l="9525" t="7620" r="9525"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0CEFC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BC6FE" w14:textId="77777777" w:rsidR="003834CD" w:rsidRPr="003834CD" w:rsidRDefault="003834CD" w:rsidP="003834CD">
    <w:pPr>
      <w:tabs>
        <w:tab w:val="center" w:pos="4680"/>
        <w:tab w:val="right" w:pos="9360"/>
      </w:tabs>
      <w:jc w:val="center"/>
      <w:rPr>
        <w:lang w:val="fr-FR"/>
      </w:rPr>
    </w:pPr>
    <w:r w:rsidRPr="003834CD">
      <w:rPr>
        <w:rFonts w:ascii="Arial" w:hAnsi="Arial" w:cs="Arial"/>
        <w:sz w:val="16"/>
        <w:szCs w:val="16"/>
        <w:lang w:val="fr-FR"/>
      </w:rPr>
      <w:t xml:space="preserve">RÉUNION INTERSESSIONS DE LA SOUS-COMMISSION 2 – HYBRIDE/MADRID, MARS </w:t>
    </w:r>
    <w:r>
      <w:rPr>
        <w:rFonts w:ascii="Arial" w:hAnsi="Arial" w:cs="Arial"/>
        <w:sz w:val="16"/>
        <w:szCs w:val="16"/>
        <w:lang w:val="fr-FR"/>
      </w:rPr>
      <w:t>2026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99496" w14:textId="77777777" w:rsidR="00AC150B" w:rsidRPr="00DF0B15" w:rsidRDefault="00AC150B" w:rsidP="006E44B3">
    <w:pPr>
      <w:spacing w:line="240" w:lineRule="exact"/>
      <w:rPr>
        <w:b/>
        <w:bCs/>
        <w:sz w:val="28"/>
      </w:rPr>
    </w:pPr>
    <w:r w:rsidRPr="004D58C5">
      <w:rPr>
        <w:b/>
        <w:bCs/>
      </w:rPr>
      <w:t>COMMISSION 2016 – Guidelines preparation bluefin tuna plans</w:t>
    </w:r>
    <w:r w:rsidRPr="004D58C5">
      <w:rPr>
        <w:b/>
        <w:bCs/>
      </w:rPr>
      <w:tab/>
    </w:r>
    <w:r w:rsidRPr="004D58C5">
      <w:rPr>
        <w:b/>
        <w:bCs/>
        <w:sz w:val="26"/>
        <w:szCs w:val="26"/>
      </w:rPr>
      <w:t xml:space="preserve">Doc. </w:t>
    </w:r>
    <w:r w:rsidRPr="00DF0B15">
      <w:rPr>
        <w:b/>
        <w:bCs/>
        <w:sz w:val="26"/>
        <w:szCs w:val="26"/>
      </w:rPr>
      <w:t xml:space="preserve">Nº PA2 -04 / </w:t>
    </w:r>
    <w:proofErr w:type="spellStart"/>
    <w:r w:rsidRPr="00DF0B15">
      <w:rPr>
        <w:b/>
        <w:bCs/>
        <w:sz w:val="26"/>
        <w:szCs w:val="26"/>
      </w:rPr>
      <w:t>i</w:t>
    </w:r>
    <w:proofErr w:type="spellEnd"/>
    <w:r w:rsidRPr="00DF0B15">
      <w:rPr>
        <w:b/>
        <w:bCs/>
        <w:sz w:val="26"/>
        <w:szCs w:val="26"/>
      </w:rPr>
      <w:t xml:space="preserve"> 2019</w:t>
    </w:r>
  </w:p>
  <w:p w14:paraId="3465F424" w14:textId="7A75EF12" w:rsidR="00AC150B" w:rsidRPr="002813AE" w:rsidRDefault="00AC150B" w:rsidP="006E44B3">
    <w:pPr>
      <w:tabs>
        <w:tab w:val="left" w:pos="7320"/>
      </w:tabs>
      <w:spacing w:line="240" w:lineRule="exact"/>
      <w:rPr>
        <w:b/>
        <w:bCs/>
      </w:rPr>
    </w:pP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r>
      <w:rPr>
        <w:b/>
        <w:bCs/>
      </w:rPr>
      <w:t xml:space="preserve">; </w:t>
    </w: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p>
  <w:p w14:paraId="4653E504" w14:textId="77777777" w:rsidR="00AC150B" w:rsidRPr="00A03143" w:rsidRDefault="00AC150B" w:rsidP="006E44B3">
    <w:pPr>
      <w:tabs>
        <w:tab w:val="left" w:pos="7320"/>
      </w:tabs>
      <w:spacing w:line="240" w:lineRule="exact"/>
      <w:rPr>
        <w:b/>
        <w:bCs/>
      </w:rPr>
    </w:pPr>
    <w:r>
      <w:rPr>
        <w:noProof/>
      </w:rPr>
      <mc:AlternateContent>
        <mc:Choice Requires="wps">
          <w:drawing>
            <wp:anchor distT="4294967295" distB="4294967295" distL="114300" distR="114300" simplePos="0" relativeHeight="251661312" behindDoc="0" locked="0" layoutInCell="1" allowOverlap="1" wp14:anchorId="7041CB52" wp14:editId="272207DF">
              <wp:simplePos x="0" y="0"/>
              <wp:positionH relativeFrom="column">
                <wp:posOffset>0</wp:posOffset>
              </wp:positionH>
              <wp:positionV relativeFrom="paragraph">
                <wp:posOffset>17144</wp:posOffset>
              </wp:positionV>
              <wp:extent cx="5715000" cy="0"/>
              <wp:effectExtent l="0" t="0" r="0" b="0"/>
              <wp:wrapNone/>
              <wp:docPr id="10932685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768C643"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0DEAD" w14:textId="77777777" w:rsidR="003834CD" w:rsidRPr="003834CD" w:rsidRDefault="003834CD" w:rsidP="003834CD">
    <w:pPr>
      <w:tabs>
        <w:tab w:val="center" w:pos="4680"/>
        <w:tab w:val="right" w:pos="9360"/>
      </w:tabs>
      <w:jc w:val="center"/>
      <w:rPr>
        <w:lang w:val="fr-FR"/>
      </w:rPr>
    </w:pPr>
    <w:r w:rsidRPr="003834CD">
      <w:rPr>
        <w:rFonts w:ascii="Arial" w:hAnsi="Arial" w:cs="Arial"/>
        <w:sz w:val="16"/>
        <w:szCs w:val="16"/>
        <w:lang w:val="fr-FR"/>
      </w:rPr>
      <w:t xml:space="preserve">RÉUNION INTERSESSIONS DE LA SOUS-COMMISSION 2 – HYBRIDE/MADRID, MARS </w:t>
    </w:r>
    <w:r>
      <w:rPr>
        <w:rFonts w:ascii="Arial" w:hAnsi="Arial" w:cs="Arial"/>
        <w:sz w:val="16"/>
        <w:szCs w:val="16"/>
        <w:lang w:val="fr-FR"/>
      </w:rPr>
      <w:t>2026</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D929D" w14:textId="77777777" w:rsidR="003834CD" w:rsidRPr="003834CD" w:rsidRDefault="003834CD" w:rsidP="003834CD">
    <w:pPr>
      <w:tabs>
        <w:tab w:val="center" w:pos="4680"/>
        <w:tab w:val="right" w:pos="9360"/>
      </w:tabs>
      <w:jc w:val="center"/>
      <w:rPr>
        <w:lang w:val="fr-FR"/>
      </w:rPr>
    </w:pPr>
    <w:r w:rsidRPr="003834CD">
      <w:rPr>
        <w:rFonts w:ascii="Arial" w:hAnsi="Arial" w:cs="Arial"/>
        <w:sz w:val="16"/>
        <w:szCs w:val="16"/>
        <w:lang w:val="fr-FR"/>
      </w:rPr>
      <w:t xml:space="preserve">RÉUNION INTERSESSIONS DE LA SOUS-COMMISSION 2 – HYBRIDE/MADRID, MARS </w:t>
    </w:r>
    <w:r>
      <w:rPr>
        <w:rFonts w:ascii="Arial" w:hAnsi="Arial" w:cs="Arial"/>
        <w:sz w:val="16"/>
        <w:szCs w:val="16"/>
        <w:lang w:val="fr-FR"/>
      </w:rPr>
      <w:t>2026</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95AB9" w14:textId="77777777" w:rsidR="00DF358A" w:rsidRPr="00DF0B15" w:rsidRDefault="00DF358A" w:rsidP="00554D7B">
    <w:pPr>
      <w:spacing w:line="240" w:lineRule="exact"/>
      <w:rPr>
        <w:b/>
        <w:bCs/>
        <w:sz w:val="28"/>
      </w:rPr>
    </w:pPr>
    <w:r w:rsidRPr="00D05707">
      <w:rPr>
        <w:b/>
        <w:bCs/>
      </w:rPr>
      <w:t>COMMISSION 2016 – Guidelines preparation bluefin tuna plans</w:t>
    </w:r>
    <w:r w:rsidRPr="00D05707">
      <w:rPr>
        <w:b/>
        <w:bCs/>
      </w:rPr>
      <w:tab/>
    </w:r>
    <w:r w:rsidRPr="00D05707">
      <w:rPr>
        <w:b/>
        <w:bCs/>
        <w:sz w:val="26"/>
        <w:szCs w:val="26"/>
      </w:rPr>
      <w:t xml:space="preserve">Doc. </w:t>
    </w:r>
    <w:r w:rsidRPr="00DF0B15">
      <w:rPr>
        <w:b/>
        <w:bCs/>
        <w:sz w:val="26"/>
        <w:szCs w:val="26"/>
      </w:rPr>
      <w:t>Nº PA2-602 / 2016</w:t>
    </w:r>
  </w:p>
  <w:p w14:paraId="60DA20EE" w14:textId="37E4109A" w:rsidR="00DF358A" w:rsidRPr="002813AE" w:rsidRDefault="00DF358A" w:rsidP="00554D7B">
    <w:pPr>
      <w:tabs>
        <w:tab w:val="left" w:pos="7320"/>
      </w:tabs>
      <w:spacing w:line="240" w:lineRule="exact"/>
      <w:rPr>
        <w:b/>
        <w:bCs/>
      </w:rPr>
    </w:pP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r>
      <w:rPr>
        <w:b/>
        <w:bCs/>
      </w:rPr>
      <w:t xml:space="preserve">; </w:t>
    </w: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p>
  <w:p w14:paraId="2B2E2D5E" w14:textId="77777777" w:rsidR="00DF358A" w:rsidRPr="00A03143" w:rsidRDefault="00DF358A" w:rsidP="00554D7B">
    <w:pPr>
      <w:tabs>
        <w:tab w:val="left" w:pos="7320"/>
      </w:tabs>
      <w:spacing w:line="240" w:lineRule="exact"/>
      <w:rPr>
        <w:b/>
        <w:bCs/>
      </w:rPr>
    </w:pPr>
    <w:r>
      <w:rPr>
        <w:noProof/>
      </w:rPr>
      <mc:AlternateContent>
        <mc:Choice Requires="wps">
          <w:drawing>
            <wp:anchor distT="4294967295" distB="4294967295" distL="114300" distR="114300" simplePos="0" relativeHeight="251663360" behindDoc="0" locked="0" layoutInCell="1" allowOverlap="1" wp14:anchorId="0396F31B" wp14:editId="50F901A3">
              <wp:simplePos x="0" y="0"/>
              <wp:positionH relativeFrom="column">
                <wp:posOffset>0</wp:posOffset>
              </wp:positionH>
              <wp:positionV relativeFrom="paragraph">
                <wp:posOffset>17144</wp:posOffset>
              </wp:positionV>
              <wp:extent cx="5715000" cy="0"/>
              <wp:effectExtent l="0" t="0" r="0" b="0"/>
              <wp:wrapNone/>
              <wp:docPr id="439244543" name="Straight Connector 439244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6703B" id="Straight Connector 43924454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CBD4" w14:textId="77777777" w:rsidR="007325B7" w:rsidRPr="003834CD" w:rsidRDefault="007325B7" w:rsidP="007325B7">
    <w:pPr>
      <w:tabs>
        <w:tab w:val="center" w:pos="4680"/>
        <w:tab w:val="right" w:pos="9360"/>
      </w:tabs>
      <w:jc w:val="center"/>
      <w:rPr>
        <w:lang w:val="fr-FR"/>
      </w:rPr>
    </w:pPr>
    <w:r w:rsidRPr="003834CD">
      <w:rPr>
        <w:rFonts w:ascii="Arial" w:hAnsi="Arial" w:cs="Arial"/>
        <w:sz w:val="16"/>
        <w:szCs w:val="16"/>
        <w:lang w:val="fr-FR"/>
      </w:rPr>
      <w:t xml:space="preserve">RÉUNION INTERSESSIONS DE LA SOUS-COMMISSION 2 – HYBRIDE/MADRID, MARS </w:t>
    </w:r>
    <w:r>
      <w:rPr>
        <w:rFonts w:ascii="Arial" w:hAnsi="Arial" w:cs="Arial"/>
        <w:sz w:val="16"/>
        <w:szCs w:val="16"/>
        <w:lang w:val="fr-FR"/>
      </w:rPr>
      <w:t>2026</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4C447" w14:textId="77777777" w:rsidR="007325B7" w:rsidRPr="003834CD" w:rsidRDefault="007325B7" w:rsidP="007325B7">
    <w:pPr>
      <w:tabs>
        <w:tab w:val="center" w:pos="4680"/>
        <w:tab w:val="right" w:pos="9360"/>
      </w:tabs>
      <w:jc w:val="center"/>
      <w:rPr>
        <w:lang w:val="fr-FR"/>
      </w:rPr>
    </w:pPr>
    <w:r w:rsidRPr="003834CD">
      <w:rPr>
        <w:rFonts w:ascii="Arial" w:hAnsi="Arial" w:cs="Arial"/>
        <w:sz w:val="16"/>
        <w:szCs w:val="16"/>
        <w:lang w:val="fr-FR"/>
      </w:rPr>
      <w:t xml:space="preserve">RÉUNION INTERSESSIONS DE LA SOUS-COMMISSION 2 – HYBRIDE/MADRID, MARS </w:t>
    </w:r>
    <w:r>
      <w:rPr>
        <w:rFonts w:ascii="Arial" w:hAnsi="Arial" w:cs="Arial"/>
        <w:sz w:val="16"/>
        <w:szCs w:val="16"/>
        <w:lang w:val="fr-FR"/>
      </w:rPr>
      <w:t>2026</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817EB" w14:textId="77777777" w:rsidR="0062309A" w:rsidRPr="00DF0B15" w:rsidRDefault="0062309A" w:rsidP="00554D7B">
    <w:pPr>
      <w:spacing w:line="240" w:lineRule="exact"/>
      <w:rPr>
        <w:b/>
        <w:bCs/>
        <w:sz w:val="28"/>
      </w:rPr>
    </w:pPr>
    <w:r w:rsidRPr="00AC34F8">
      <w:rPr>
        <w:b/>
        <w:bCs/>
      </w:rPr>
      <w:t>COMMISSION 2016 – Guidelines preparation bluefin tuna plans</w:t>
    </w:r>
    <w:r w:rsidRPr="00AC34F8">
      <w:rPr>
        <w:b/>
        <w:bCs/>
      </w:rPr>
      <w:tab/>
    </w:r>
    <w:r w:rsidRPr="00AC34F8">
      <w:rPr>
        <w:b/>
        <w:bCs/>
        <w:sz w:val="26"/>
        <w:szCs w:val="26"/>
      </w:rPr>
      <w:t xml:space="preserve">Doc. </w:t>
    </w:r>
    <w:r w:rsidRPr="00DF0B15">
      <w:rPr>
        <w:b/>
        <w:bCs/>
        <w:sz w:val="26"/>
        <w:szCs w:val="26"/>
      </w:rPr>
      <w:t>Nº PA2-602 /2016</w:t>
    </w:r>
  </w:p>
  <w:p w14:paraId="72BA7353" w14:textId="03BCB470" w:rsidR="0062309A" w:rsidRPr="002813AE" w:rsidRDefault="0062309A" w:rsidP="00554D7B">
    <w:pPr>
      <w:tabs>
        <w:tab w:val="left" w:pos="7320"/>
      </w:tabs>
      <w:spacing w:line="240" w:lineRule="exact"/>
      <w:rPr>
        <w:b/>
        <w:bCs/>
      </w:rPr>
    </w:pP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r>
      <w:rPr>
        <w:b/>
        <w:bCs/>
      </w:rPr>
      <w:t xml:space="preserve">; </w:t>
    </w: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p>
  <w:p w14:paraId="75E73900" w14:textId="77777777" w:rsidR="0062309A" w:rsidRPr="00A03143" w:rsidRDefault="0062309A" w:rsidP="00554D7B">
    <w:pPr>
      <w:tabs>
        <w:tab w:val="left" w:pos="7320"/>
      </w:tabs>
      <w:spacing w:line="240" w:lineRule="exact"/>
      <w:rPr>
        <w:b/>
        <w:bCs/>
      </w:rPr>
    </w:pPr>
    <w:r>
      <w:rPr>
        <w:b/>
        <w:bCs/>
        <w:noProof/>
      </w:rPr>
      <mc:AlternateContent>
        <mc:Choice Requires="wps">
          <w:drawing>
            <wp:anchor distT="0" distB="0" distL="114300" distR="114300" simplePos="0" relativeHeight="251665408" behindDoc="0" locked="0" layoutInCell="1" allowOverlap="1" wp14:anchorId="2A322BDD" wp14:editId="61C99699">
              <wp:simplePos x="0" y="0"/>
              <wp:positionH relativeFrom="column">
                <wp:posOffset>0</wp:posOffset>
              </wp:positionH>
              <wp:positionV relativeFrom="paragraph">
                <wp:posOffset>17145</wp:posOffset>
              </wp:positionV>
              <wp:extent cx="5715000" cy="0"/>
              <wp:effectExtent l="9525" t="7620" r="9525"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976FC" id="Straight Connector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DBF9C" w14:textId="77777777" w:rsidR="007325B7" w:rsidRPr="003834CD" w:rsidRDefault="007325B7" w:rsidP="007325B7">
    <w:pPr>
      <w:tabs>
        <w:tab w:val="center" w:pos="4680"/>
        <w:tab w:val="right" w:pos="9360"/>
      </w:tabs>
      <w:jc w:val="center"/>
      <w:rPr>
        <w:lang w:val="fr-FR"/>
      </w:rPr>
    </w:pPr>
    <w:r w:rsidRPr="003834CD">
      <w:rPr>
        <w:rFonts w:ascii="Arial" w:hAnsi="Arial" w:cs="Arial"/>
        <w:sz w:val="16"/>
        <w:szCs w:val="16"/>
        <w:lang w:val="fr-FR"/>
      </w:rPr>
      <w:t xml:space="preserve">RÉUNION INTERSESSIONS DE LA SOUS-COMMISSION 2 – HYBRIDE/MADRID, MARS </w:t>
    </w:r>
    <w:r>
      <w:rPr>
        <w:rFonts w:ascii="Arial" w:hAnsi="Arial" w:cs="Arial"/>
        <w:sz w:val="16"/>
        <w:szCs w:val="16"/>
        <w:lang w:val="fr-FR"/>
      </w:rPr>
      <w:t>2026</w:t>
    </w:r>
  </w:p>
  <w:p w14:paraId="25801F39" w14:textId="77777777" w:rsidR="006A3093" w:rsidRPr="007325B7" w:rsidRDefault="006A3093" w:rsidP="004B5131">
    <w:pPr>
      <w:pStyle w:val="Header"/>
      <w:jc w:val="right"/>
      <w:rPr>
        <w:lang w:val="fr-FR"/>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5F2C0" w14:textId="77777777" w:rsidR="007325B7" w:rsidRPr="003834CD" w:rsidRDefault="007325B7" w:rsidP="007325B7">
    <w:pPr>
      <w:tabs>
        <w:tab w:val="center" w:pos="4680"/>
        <w:tab w:val="right" w:pos="9360"/>
      </w:tabs>
      <w:jc w:val="center"/>
      <w:rPr>
        <w:lang w:val="fr-FR"/>
      </w:rPr>
    </w:pPr>
    <w:r w:rsidRPr="003834CD">
      <w:rPr>
        <w:rFonts w:ascii="Arial" w:hAnsi="Arial" w:cs="Arial"/>
        <w:sz w:val="16"/>
        <w:szCs w:val="16"/>
        <w:lang w:val="fr-FR"/>
      </w:rPr>
      <w:t xml:space="preserve">RÉUNION INTERSESSIONS DE LA SOUS-COMMISSION 2 – HYBRIDE/MADRID, MARS </w:t>
    </w:r>
    <w:r>
      <w:rPr>
        <w:rFonts w:ascii="Arial" w:hAnsi="Arial" w:cs="Arial"/>
        <w:sz w:val="16"/>
        <w:szCs w:val="16"/>
        <w:lang w:val="fr-FR"/>
      </w:rPr>
      <w:t>2026</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4F872" w14:textId="77777777" w:rsidR="00473589" w:rsidRPr="00DF0B15" w:rsidRDefault="00473589" w:rsidP="00554D7B">
    <w:pPr>
      <w:spacing w:line="240" w:lineRule="exact"/>
      <w:rPr>
        <w:b/>
        <w:bCs/>
        <w:sz w:val="28"/>
      </w:rPr>
    </w:pPr>
    <w:r w:rsidRPr="00AC34F8">
      <w:rPr>
        <w:b/>
        <w:bCs/>
      </w:rPr>
      <w:t>COMMISSION 2016 – Guidelines preparation bluefin tuna plans</w:t>
    </w:r>
    <w:r w:rsidRPr="00AC34F8">
      <w:rPr>
        <w:b/>
        <w:bCs/>
      </w:rPr>
      <w:tab/>
    </w:r>
    <w:r w:rsidRPr="00AC34F8">
      <w:rPr>
        <w:b/>
        <w:bCs/>
        <w:sz w:val="26"/>
        <w:szCs w:val="26"/>
      </w:rPr>
      <w:t xml:space="preserve">Doc. </w:t>
    </w:r>
    <w:r w:rsidRPr="00DF0B15">
      <w:rPr>
        <w:b/>
        <w:bCs/>
        <w:sz w:val="26"/>
        <w:szCs w:val="26"/>
      </w:rPr>
      <w:t>Nº PA2-602 /2016</w:t>
    </w:r>
  </w:p>
  <w:p w14:paraId="491C33C3" w14:textId="38C95831" w:rsidR="00473589" w:rsidRPr="002813AE" w:rsidRDefault="00473589" w:rsidP="00554D7B">
    <w:pPr>
      <w:tabs>
        <w:tab w:val="left" w:pos="7320"/>
      </w:tabs>
      <w:spacing w:line="240" w:lineRule="exact"/>
      <w:rPr>
        <w:b/>
        <w:bCs/>
      </w:rPr>
    </w:pP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r>
      <w:rPr>
        <w:b/>
        <w:bCs/>
      </w:rPr>
      <w:t xml:space="preserve">; </w:t>
    </w: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p>
  <w:p w14:paraId="59FA8D8A" w14:textId="77777777" w:rsidR="00473589" w:rsidRPr="00A03143" w:rsidRDefault="00473589" w:rsidP="00554D7B">
    <w:pPr>
      <w:tabs>
        <w:tab w:val="left" w:pos="7320"/>
      </w:tabs>
      <w:spacing w:line="240" w:lineRule="exact"/>
      <w:rPr>
        <w:b/>
        <w:bCs/>
      </w:rPr>
    </w:pPr>
    <w:r>
      <w:rPr>
        <w:b/>
        <w:bCs/>
        <w:noProof/>
      </w:rPr>
      <mc:AlternateContent>
        <mc:Choice Requires="wps">
          <w:drawing>
            <wp:anchor distT="0" distB="0" distL="114300" distR="114300" simplePos="0" relativeHeight="251667456" behindDoc="0" locked="0" layoutInCell="1" allowOverlap="1" wp14:anchorId="454FAA34" wp14:editId="1C416B3A">
              <wp:simplePos x="0" y="0"/>
              <wp:positionH relativeFrom="column">
                <wp:posOffset>0</wp:posOffset>
              </wp:positionH>
              <wp:positionV relativeFrom="paragraph">
                <wp:posOffset>17145</wp:posOffset>
              </wp:positionV>
              <wp:extent cx="5715000" cy="0"/>
              <wp:effectExtent l="9525" t="7620" r="9525" b="11430"/>
              <wp:wrapNone/>
              <wp:docPr id="821265169" name="Straight Connector 821265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DBA4B8" id="Straight Connector 82126516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3ACC" w14:textId="77777777" w:rsidR="007325B7" w:rsidRPr="003834CD" w:rsidRDefault="007325B7" w:rsidP="007325B7">
    <w:pPr>
      <w:tabs>
        <w:tab w:val="center" w:pos="4680"/>
        <w:tab w:val="right" w:pos="9360"/>
      </w:tabs>
      <w:jc w:val="center"/>
      <w:rPr>
        <w:lang w:val="fr-FR"/>
      </w:rPr>
    </w:pPr>
    <w:r w:rsidRPr="003834CD">
      <w:rPr>
        <w:rFonts w:ascii="Arial" w:hAnsi="Arial" w:cs="Arial"/>
        <w:sz w:val="16"/>
        <w:szCs w:val="16"/>
        <w:lang w:val="fr-FR"/>
      </w:rPr>
      <w:t xml:space="preserve">RÉUNION INTERSESSIONS DE LA SOUS-COMMISSION 2 – HYBRIDE/MADRID, MARS </w:t>
    </w:r>
    <w:r>
      <w:rPr>
        <w:rFonts w:ascii="Arial" w:hAnsi="Arial" w:cs="Arial"/>
        <w:sz w:val="16"/>
        <w:szCs w:val="16"/>
        <w:lang w:val="fr-FR"/>
      </w:rPr>
      <w:t>2026</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58F9" w14:textId="77777777" w:rsidR="00EA1783" w:rsidRPr="00DF0B15" w:rsidRDefault="00EA1783" w:rsidP="006029F3">
    <w:pPr>
      <w:spacing w:line="240" w:lineRule="exact"/>
      <w:rPr>
        <w:b/>
        <w:bCs/>
        <w:sz w:val="28"/>
      </w:rPr>
    </w:pPr>
    <w:r w:rsidRPr="007E58ED">
      <w:rPr>
        <w:b/>
        <w:bCs/>
      </w:rPr>
      <w:t>COMMISSION 2016 – Guidelines preparation bluefin tuna plans</w:t>
    </w:r>
    <w:r w:rsidRPr="007E58ED">
      <w:rPr>
        <w:b/>
        <w:bCs/>
      </w:rPr>
      <w:tab/>
    </w:r>
    <w:r w:rsidRPr="007E58ED">
      <w:rPr>
        <w:b/>
        <w:bCs/>
        <w:sz w:val="26"/>
        <w:szCs w:val="26"/>
      </w:rPr>
      <w:t xml:space="preserve">Doc. </w:t>
    </w:r>
    <w:r w:rsidRPr="00DF0B15">
      <w:rPr>
        <w:b/>
        <w:bCs/>
        <w:sz w:val="26"/>
        <w:szCs w:val="26"/>
      </w:rPr>
      <w:t>Nº PA2-602 / 2016</w:t>
    </w:r>
  </w:p>
  <w:p w14:paraId="64451F99" w14:textId="76C68A31" w:rsidR="00EA1783" w:rsidRPr="002813AE" w:rsidRDefault="00EA1783" w:rsidP="006029F3">
    <w:pPr>
      <w:tabs>
        <w:tab w:val="left" w:pos="7320"/>
      </w:tabs>
      <w:spacing w:line="240" w:lineRule="exact"/>
      <w:rPr>
        <w:b/>
        <w:bCs/>
      </w:rPr>
    </w:pP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r>
      <w:rPr>
        <w:b/>
        <w:bCs/>
      </w:rPr>
      <w:t xml:space="preserve">; </w:t>
    </w: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p>
  <w:p w14:paraId="4ADA13F0" w14:textId="77777777" w:rsidR="00EA1783" w:rsidRPr="00A03143" w:rsidRDefault="00EA1783" w:rsidP="006029F3">
    <w:pPr>
      <w:tabs>
        <w:tab w:val="left" w:pos="7320"/>
      </w:tabs>
      <w:spacing w:line="240" w:lineRule="exact"/>
      <w:rPr>
        <w:b/>
        <w:bCs/>
      </w:rPr>
    </w:pPr>
    <w:r>
      <w:rPr>
        <w:b/>
        <w:bCs/>
        <w:noProof/>
      </w:rPr>
      <mc:AlternateContent>
        <mc:Choice Requires="wps">
          <w:drawing>
            <wp:anchor distT="0" distB="0" distL="114300" distR="114300" simplePos="0" relativeHeight="251669504" behindDoc="0" locked="0" layoutInCell="1" allowOverlap="1" wp14:anchorId="2C3AFFC9" wp14:editId="6E739975">
              <wp:simplePos x="0" y="0"/>
              <wp:positionH relativeFrom="column">
                <wp:posOffset>0</wp:posOffset>
              </wp:positionH>
              <wp:positionV relativeFrom="paragraph">
                <wp:posOffset>17145</wp:posOffset>
              </wp:positionV>
              <wp:extent cx="5715000" cy="0"/>
              <wp:effectExtent l="9525" t="7620" r="9525" b="1143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9F9A09" id="Straight Connector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76DCA" w14:textId="77777777" w:rsidR="007325B7" w:rsidRPr="003834CD" w:rsidRDefault="007325B7" w:rsidP="007325B7">
    <w:pPr>
      <w:tabs>
        <w:tab w:val="center" w:pos="4680"/>
        <w:tab w:val="right" w:pos="9360"/>
      </w:tabs>
      <w:jc w:val="center"/>
      <w:rPr>
        <w:lang w:val="fr-FR"/>
      </w:rPr>
    </w:pPr>
    <w:r w:rsidRPr="003834CD">
      <w:rPr>
        <w:rFonts w:ascii="Arial" w:hAnsi="Arial" w:cs="Arial"/>
        <w:sz w:val="16"/>
        <w:szCs w:val="16"/>
        <w:lang w:val="fr-FR"/>
      </w:rPr>
      <w:t xml:space="preserve">RÉUNION INTERSESSIONS DE LA SOUS-COMMISSION 2 – HYBRIDE/MADRID, MARS </w:t>
    </w:r>
    <w:r>
      <w:rPr>
        <w:rFonts w:ascii="Arial" w:hAnsi="Arial" w:cs="Arial"/>
        <w:sz w:val="16"/>
        <w:szCs w:val="16"/>
        <w:lang w:val="fr-FR"/>
      </w:rPr>
      <w:t>2026</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2E328" w14:textId="77777777" w:rsidR="0084313D" w:rsidRPr="00A03143" w:rsidRDefault="0084313D" w:rsidP="002813AE">
    <w:pPr>
      <w:spacing w:line="240" w:lineRule="exact"/>
      <w:rPr>
        <w:b/>
        <w:bCs/>
        <w:sz w:val="28"/>
      </w:rPr>
    </w:pPr>
    <w:r w:rsidRPr="00430F82">
      <w:rPr>
        <w:b/>
        <w:bCs/>
      </w:rPr>
      <w:t>COMMISSION 2016 – Guidelines preparation bluefin tuna plans</w:t>
    </w:r>
    <w:r w:rsidRPr="00430F82">
      <w:rPr>
        <w:b/>
        <w:bCs/>
      </w:rPr>
      <w:tab/>
    </w:r>
    <w:r w:rsidRPr="00430F82">
      <w:rPr>
        <w:b/>
        <w:bCs/>
        <w:sz w:val="26"/>
        <w:szCs w:val="26"/>
      </w:rPr>
      <w:t xml:space="preserve">Doc. </w:t>
    </w:r>
    <w:r>
      <w:rPr>
        <w:b/>
        <w:bCs/>
        <w:sz w:val="26"/>
        <w:szCs w:val="26"/>
      </w:rPr>
      <w:t>Nº PA2-602 / 2016</w:t>
    </w:r>
  </w:p>
  <w:p w14:paraId="39917CC7" w14:textId="145F7E81" w:rsidR="0084313D" w:rsidRPr="002813AE" w:rsidRDefault="0084313D" w:rsidP="002813AE">
    <w:pPr>
      <w:tabs>
        <w:tab w:val="left" w:pos="7320"/>
      </w:tabs>
      <w:spacing w:line="240" w:lineRule="exact"/>
      <w:rPr>
        <w:b/>
        <w:bCs/>
      </w:rPr>
    </w:pP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r>
      <w:rPr>
        <w:b/>
        <w:bCs/>
      </w:rPr>
      <w:t xml:space="preserve">; </w:t>
    </w: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p>
  <w:p w14:paraId="1D6CB2E4" w14:textId="77777777" w:rsidR="0084313D" w:rsidRPr="00A03143" w:rsidRDefault="0084313D" w:rsidP="002813AE">
    <w:pPr>
      <w:tabs>
        <w:tab w:val="left" w:pos="7320"/>
      </w:tabs>
      <w:spacing w:line="240" w:lineRule="exact"/>
      <w:rPr>
        <w:b/>
        <w:bCs/>
      </w:rPr>
    </w:pPr>
    <w:r>
      <w:rPr>
        <w:b/>
        <w:bCs/>
        <w:noProof/>
      </w:rPr>
      <mc:AlternateContent>
        <mc:Choice Requires="wps">
          <w:drawing>
            <wp:anchor distT="0" distB="0" distL="114300" distR="114300" simplePos="0" relativeHeight="251671552" behindDoc="0" locked="0" layoutInCell="1" allowOverlap="1" wp14:anchorId="183F453A" wp14:editId="4E4F7625">
              <wp:simplePos x="0" y="0"/>
              <wp:positionH relativeFrom="column">
                <wp:posOffset>0</wp:posOffset>
              </wp:positionH>
              <wp:positionV relativeFrom="paragraph">
                <wp:posOffset>17145</wp:posOffset>
              </wp:positionV>
              <wp:extent cx="5715000" cy="0"/>
              <wp:effectExtent l="9525" t="7620" r="9525" b="11430"/>
              <wp:wrapNone/>
              <wp:docPr id="1779790373" name="Straight Connector 1779790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A5EEC1" id="Straight Connector 177979037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4BFAE" w14:textId="77777777" w:rsidR="007325B7" w:rsidRPr="003834CD" w:rsidRDefault="007325B7" w:rsidP="007325B7">
    <w:pPr>
      <w:tabs>
        <w:tab w:val="center" w:pos="4680"/>
        <w:tab w:val="right" w:pos="9360"/>
      </w:tabs>
      <w:jc w:val="center"/>
      <w:rPr>
        <w:lang w:val="fr-FR"/>
      </w:rPr>
    </w:pPr>
    <w:r w:rsidRPr="003834CD">
      <w:rPr>
        <w:rFonts w:ascii="Arial" w:hAnsi="Arial" w:cs="Arial"/>
        <w:sz w:val="16"/>
        <w:szCs w:val="16"/>
        <w:lang w:val="fr-FR"/>
      </w:rPr>
      <w:t xml:space="preserve">RÉUNION INTERSESSIONS DE LA SOUS-COMMISSION 2 – HYBRIDE/MADRID, MARS </w:t>
    </w:r>
    <w:r>
      <w:rPr>
        <w:rFonts w:ascii="Arial" w:hAnsi="Arial" w:cs="Arial"/>
        <w:sz w:val="16"/>
        <w:szCs w:val="16"/>
        <w:lang w:val="fr-FR"/>
      </w:rPr>
      <w:t>2026</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EAF83" w14:textId="77777777" w:rsidR="002F5AFF" w:rsidRPr="00A03143" w:rsidRDefault="002F5AFF" w:rsidP="002813AE">
    <w:pPr>
      <w:spacing w:line="240" w:lineRule="exact"/>
      <w:rPr>
        <w:b/>
        <w:bCs/>
        <w:sz w:val="28"/>
      </w:rPr>
    </w:pPr>
    <w:r w:rsidRPr="00582C57">
      <w:rPr>
        <w:b/>
        <w:lang w:val="fr-FR"/>
      </w:rPr>
      <w:t>COMMISSION 2016 - Lignes directrices préparation plans thon rouge</w:t>
    </w:r>
    <w:r w:rsidRPr="00582C57">
      <w:rPr>
        <w:b/>
        <w:lang w:val="fr-FR"/>
      </w:rPr>
      <w:tab/>
    </w:r>
    <w:r w:rsidRPr="00582C57">
      <w:rPr>
        <w:b/>
        <w:sz w:val="26"/>
        <w:lang w:val="fr-FR"/>
      </w:rPr>
      <w:t xml:space="preserve">Doc. </w:t>
    </w:r>
    <w:proofErr w:type="gramStart"/>
    <w:r>
      <w:rPr>
        <w:b/>
        <w:sz w:val="26"/>
      </w:rPr>
      <w:t>Nº</w:t>
    </w:r>
    <w:proofErr w:type="gramEnd"/>
    <w:r>
      <w:rPr>
        <w:b/>
        <w:sz w:val="26"/>
      </w:rPr>
      <w:t xml:space="preserve"> PA2-602 /2016</w:t>
    </w:r>
  </w:p>
  <w:p w14:paraId="72900B5B" w14:textId="09327C71" w:rsidR="002F5AFF" w:rsidRPr="002813AE" w:rsidRDefault="002F5AFF" w:rsidP="002813AE">
    <w:pPr>
      <w:tabs>
        <w:tab w:val="left" w:pos="7320"/>
      </w:tabs>
      <w:spacing w:line="240" w:lineRule="exact"/>
      <w:rPr>
        <w:b/>
        <w:bCs/>
      </w:rPr>
    </w:pPr>
    <w:r w:rsidRPr="00A03143">
      <w:rPr>
        <w:b/>
        <w:lang w:val="fr-FR"/>
      </w:rPr>
      <w:fldChar w:fldCharType="begin"/>
    </w:r>
    <w:r w:rsidRPr="00A03143">
      <w:rPr>
        <w:b/>
      </w:rPr>
      <w:instrText xml:space="preserve"> TIME \@ "d MMMM yyyy HH:mm:ss" </w:instrText>
    </w:r>
    <w:r w:rsidRPr="00A03143">
      <w:rPr>
        <w:b/>
        <w:lang w:val="fr-FR"/>
      </w:rPr>
      <w:fldChar w:fldCharType="separate"/>
    </w:r>
    <w:r w:rsidR="00C712A4">
      <w:rPr>
        <w:b/>
        <w:noProof/>
      </w:rPr>
      <w:t>2 October 2026 13:23:57</w:t>
    </w:r>
    <w:r w:rsidRPr="00A03143">
      <w:rPr>
        <w:b/>
        <w:bCs/>
        <w:lang w:val="es-ES"/>
      </w:rPr>
      <w:fldChar w:fldCharType="end"/>
    </w:r>
    <w:r>
      <w:rPr>
        <w:b/>
      </w:rPr>
      <w:t xml:space="preserve">; </w:t>
    </w:r>
    <w:r w:rsidRPr="00A03143">
      <w:rPr>
        <w:b/>
        <w:lang w:val="fr-FR"/>
      </w:rPr>
      <w:fldChar w:fldCharType="begin"/>
    </w:r>
    <w:r w:rsidRPr="00A03143">
      <w:rPr>
        <w:b/>
      </w:rPr>
      <w:instrText xml:space="preserve"> TIME \@ "d MMMM yyyy HH:mm:ss" </w:instrText>
    </w:r>
    <w:r w:rsidRPr="00A03143">
      <w:rPr>
        <w:b/>
        <w:lang w:val="fr-FR"/>
      </w:rPr>
      <w:fldChar w:fldCharType="separate"/>
    </w:r>
    <w:r w:rsidR="00C712A4">
      <w:rPr>
        <w:b/>
        <w:noProof/>
      </w:rPr>
      <w:t>2 October 2026 13:23:57</w:t>
    </w:r>
    <w:r w:rsidRPr="00A03143">
      <w:rPr>
        <w:b/>
        <w:bCs/>
        <w:lang w:val="es-ES"/>
      </w:rPr>
      <w:fldChar w:fldCharType="end"/>
    </w:r>
  </w:p>
  <w:p w14:paraId="1B1088F0" w14:textId="77777777" w:rsidR="002F5AFF" w:rsidRPr="00A914AC" w:rsidRDefault="002F5AFF" w:rsidP="00A914AC">
    <w:pPr>
      <w:tabs>
        <w:tab w:val="left" w:pos="7320"/>
      </w:tabs>
      <w:spacing w:line="240" w:lineRule="exact"/>
      <w:rPr>
        <w:b/>
      </w:rPr>
    </w:pPr>
    <w:r>
      <w:rPr>
        <w:b/>
        <w:noProof/>
      </w:rPr>
      <mc:AlternateContent>
        <mc:Choice Requires="wps">
          <w:drawing>
            <wp:anchor distT="0" distB="0" distL="114300" distR="114300" simplePos="0" relativeHeight="251673600" behindDoc="0" locked="0" layoutInCell="1" allowOverlap="1" wp14:anchorId="23B77B4F" wp14:editId="51024443">
              <wp:simplePos x="0" y="0"/>
              <wp:positionH relativeFrom="column">
                <wp:posOffset>0</wp:posOffset>
              </wp:positionH>
              <wp:positionV relativeFrom="paragraph">
                <wp:posOffset>17145</wp:posOffset>
              </wp:positionV>
              <wp:extent cx="5715000" cy="0"/>
              <wp:effectExtent l="9525" t="7620" r="9525" b="11430"/>
              <wp:wrapNone/>
              <wp:docPr id="1473767436" name="Rett linj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058B45" id="Rett linje 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738F" w14:textId="77777777" w:rsidR="007325B7" w:rsidRPr="003834CD" w:rsidRDefault="007325B7" w:rsidP="007325B7">
    <w:pPr>
      <w:tabs>
        <w:tab w:val="center" w:pos="4680"/>
        <w:tab w:val="right" w:pos="9360"/>
      </w:tabs>
      <w:jc w:val="center"/>
      <w:rPr>
        <w:lang w:val="fr-FR"/>
      </w:rPr>
    </w:pPr>
    <w:r w:rsidRPr="003834CD">
      <w:rPr>
        <w:rFonts w:ascii="Arial" w:hAnsi="Arial" w:cs="Arial"/>
        <w:sz w:val="16"/>
        <w:szCs w:val="16"/>
        <w:lang w:val="fr-FR"/>
      </w:rPr>
      <w:t xml:space="preserve">RÉUNION INTERSESSIONS DE LA SOUS-COMMISSION 2 – HYBRIDE/MADRID, MARS </w:t>
    </w:r>
    <w:r>
      <w:rPr>
        <w:rFonts w:ascii="Arial" w:hAnsi="Arial" w:cs="Arial"/>
        <w:sz w:val="16"/>
        <w:szCs w:val="16"/>
        <w:lang w:val="fr-FR"/>
      </w:rPr>
      <w:t>2026</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C8F7B" w14:textId="77777777" w:rsidR="00D95D78" w:rsidRPr="00A03143" w:rsidRDefault="00D95D78" w:rsidP="002813AE">
    <w:pPr>
      <w:spacing w:line="240" w:lineRule="exact"/>
      <w:rPr>
        <w:b/>
        <w:bCs/>
        <w:sz w:val="28"/>
      </w:rPr>
    </w:pPr>
    <w:r w:rsidRPr="00B07693">
      <w:rPr>
        <w:b/>
        <w:lang w:val="fr-FR"/>
      </w:rPr>
      <w:t>COMMISSION 2016 - Lignes directrices pour la préparation des plans concernant le thon rouge</w:t>
    </w:r>
    <w:r w:rsidRPr="00B07693">
      <w:rPr>
        <w:b/>
        <w:lang w:val="fr-FR"/>
      </w:rPr>
      <w:tab/>
    </w:r>
    <w:proofErr w:type="gramStart"/>
    <w:r w:rsidRPr="00B07693">
      <w:rPr>
        <w:b/>
        <w:sz w:val="26"/>
        <w:lang w:val="fr-FR"/>
      </w:rPr>
      <w:t>Doc.</w:t>
    </w:r>
    <w:r w:rsidRPr="00B07693">
      <w:rPr>
        <w:b/>
        <w:lang w:val="fr-FR"/>
      </w:rPr>
      <w:t>.</w:t>
    </w:r>
    <w:proofErr w:type="gramEnd"/>
    <w:r w:rsidRPr="00B07693">
      <w:rPr>
        <w:b/>
        <w:sz w:val="26"/>
        <w:lang w:val="fr-FR"/>
      </w:rPr>
      <w:t xml:space="preserve"> </w:t>
    </w:r>
    <w:r>
      <w:rPr>
        <w:b/>
        <w:sz w:val="26"/>
      </w:rPr>
      <w:t>Nº PA2-602/2016</w:t>
    </w:r>
  </w:p>
  <w:p w14:paraId="4CE90D37" w14:textId="6D4331B0" w:rsidR="00D95D78" w:rsidRPr="002813AE" w:rsidRDefault="00D95D78" w:rsidP="002813AE">
    <w:pPr>
      <w:tabs>
        <w:tab w:val="left" w:pos="7320"/>
      </w:tabs>
      <w:spacing w:line="240" w:lineRule="exact"/>
      <w:rPr>
        <w:b/>
        <w:bCs/>
      </w:rPr>
    </w:pPr>
    <w:r w:rsidRPr="00A03143">
      <w:rPr>
        <w:b/>
      </w:rPr>
      <w:fldChar w:fldCharType="begin"/>
    </w:r>
    <w:r w:rsidRPr="00A03143">
      <w:rPr>
        <w:b/>
      </w:rPr>
      <w:instrText xml:space="preserve"> TIME \@ "d MMMM yyyy HH:mm:ss" </w:instrText>
    </w:r>
    <w:r w:rsidRPr="00A03143">
      <w:rPr>
        <w:b/>
      </w:rPr>
      <w:fldChar w:fldCharType="separate"/>
    </w:r>
    <w:r w:rsidR="00C712A4">
      <w:rPr>
        <w:b/>
        <w:noProof/>
      </w:rPr>
      <w:t>2 October 2026 13:23:57</w:t>
    </w:r>
    <w:r w:rsidRPr="00A03143">
      <w:rPr>
        <w:b/>
        <w:bCs/>
      </w:rPr>
      <w:fldChar w:fldCharType="end"/>
    </w:r>
    <w:r>
      <w:rPr>
        <w:b/>
      </w:rPr>
      <w:t xml:space="preserve">; </w:t>
    </w:r>
    <w:r w:rsidRPr="00A03143">
      <w:rPr>
        <w:b/>
      </w:rPr>
      <w:fldChar w:fldCharType="begin"/>
    </w:r>
    <w:r w:rsidRPr="00A03143">
      <w:rPr>
        <w:b/>
      </w:rPr>
      <w:instrText xml:space="preserve"> TIME \@ "d MMMM yyyy HH:mm:ss" </w:instrText>
    </w:r>
    <w:r w:rsidRPr="00A03143">
      <w:rPr>
        <w:b/>
      </w:rPr>
      <w:fldChar w:fldCharType="separate"/>
    </w:r>
    <w:r w:rsidR="00C712A4">
      <w:rPr>
        <w:b/>
        <w:noProof/>
      </w:rPr>
      <w:t>2 October 2026 13:23:57</w:t>
    </w:r>
    <w:r w:rsidRPr="00A03143">
      <w:rPr>
        <w:b/>
        <w:bCs/>
      </w:rPr>
      <w:fldChar w:fldCharType="end"/>
    </w:r>
  </w:p>
  <w:p w14:paraId="23ACE547" w14:textId="77777777" w:rsidR="00D95D78" w:rsidRPr="00A03143" w:rsidRDefault="00D95D78" w:rsidP="002813AE">
    <w:pPr>
      <w:tabs>
        <w:tab w:val="left" w:pos="7320"/>
      </w:tabs>
      <w:spacing w:line="240" w:lineRule="exact"/>
      <w:rPr>
        <w:b/>
        <w:bCs/>
      </w:rPr>
    </w:pPr>
    <w:r>
      <w:rPr>
        <w:b/>
        <w:noProof/>
      </w:rPr>
      <mc:AlternateContent>
        <mc:Choice Requires="wps">
          <w:drawing>
            <wp:anchor distT="0" distB="0" distL="114300" distR="114300" simplePos="0" relativeHeight="251675648" behindDoc="0" locked="0" layoutInCell="1" allowOverlap="1" wp14:anchorId="6E7477E8" wp14:editId="0528E710">
              <wp:simplePos x="0" y="0"/>
              <wp:positionH relativeFrom="column">
                <wp:posOffset>0</wp:posOffset>
              </wp:positionH>
              <wp:positionV relativeFrom="paragraph">
                <wp:posOffset>17145</wp:posOffset>
              </wp:positionV>
              <wp:extent cx="5715000" cy="0"/>
              <wp:effectExtent l="9525" t="7620" r="9525" b="11430"/>
              <wp:wrapNone/>
              <wp:docPr id="1595761896" name="Straight Connector 15957618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B02650" id="Straight Connector 1595761896"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10579" w14:textId="77777777" w:rsidR="00004CA5" w:rsidRPr="00A03143" w:rsidRDefault="00004CA5" w:rsidP="002813AE">
    <w:pPr>
      <w:spacing w:line="240" w:lineRule="exact"/>
      <w:rPr>
        <w:b/>
        <w:bCs/>
        <w:sz w:val="28"/>
      </w:rPr>
    </w:pPr>
    <w:r w:rsidRPr="00430F82">
      <w:rPr>
        <w:b/>
        <w:bCs/>
      </w:rPr>
      <w:t>COMMISSION 2016 – Guidelines preparation bluefin tuna plans</w:t>
    </w:r>
    <w:r w:rsidRPr="00430F82">
      <w:rPr>
        <w:b/>
        <w:bCs/>
      </w:rPr>
      <w:tab/>
    </w:r>
    <w:r w:rsidRPr="00430F82">
      <w:rPr>
        <w:b/>
        <w:bCs/>
        <w:sz w:val="26"/>
        <w:szCs w:val="26"/>
      </w:rPr>
      <w:t xml:space="preserve">Doc. </w:t>
    </w:r>
    <w:r>
      <w:rPr>
        <w:b/>
        <w:bCs/>
        <w:sz w:val="26"/>
        <w:szCs w:val="26"/>
      </w:rPr>
      <w:t>Nº PA2-602 / 2016</w:t>
    </w:r>
  </w:p>
  <w:p w14:paraId="78BBA921" w14:textId="507FD1E7" w:rsidR="00004CA5" w:rsidRPr="002813AE" w:rsidRDefault="00004CA5" w:rsidP="002813AE">
    <w:pPr>
      <w:tabs>
        <w:tab w:val="left" w:pos="7320"/>
      </w:tabs>
      <w:spacing w:line="240" w:lineRule="exact"/>
      <w:rPr>
        <w:b/>
        <w:bCs/>
      </w:rPr>
    </w:pP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r>
      <w:rPr>
        <w:b/>
        <w:bCs/>
      </w:rPr>
      <w:t xml:space="preserve">; </w:t>
    </w: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p>
  <w:p w14:paraId="52543D57" w14:textId="77777777" w:rsidR="00004CA5" w:rsidRPr="00A03143" w:rsidRDefault="00004CA5" w:rsidP="002813AE">
    <w:pPr>
      <w:tabs>
        <w:tab w:val="left" w:pos="7320"/>
      </w:tabs>
      <w:spacing w:line="240" w:lineRule="exact"/>
      <w:rPr>
        <w:b/>
        <w:bCs/>
      </w:rPr>
    </w:pPr>
    <w:r>
      <w:rPr>
        <w:b/>
        <w:bCs/>
        <w:noProof/>
      </w:rPr>
      <mc:AlternateContent>
        <mc:Choice Requires="wps">
          <w:drawing>
            <wp:anchor distT="0" distB="0" distL="114300" distR="114300" simplePos="0" relativeHeight="251677696" behindDoc="0" locked="0" layoutInCell="1" allowOverlap="1" wp14:anchorId="241C3AD0" wp14:editId="6A08F562">
              <wp:simplePos x="0" y="0"/>
              <wp:positionH relativeFrom="column">
                <wp:posOffset>0</wp:posOffset>
              </wp:positionH>
              <wp:positionV relativeFrom="paragraph">
                <wp:posOffset>17145</wp:posOffset>
              </wp:positionV>
              <wp:extent cx="5715000" cy="0"/>
              <wp:effectExtent l="9525" t="7620" r="9525" b="11430"/>
              <wp:wrapNone/>
              <wp:docPr id="1223992932" name="Straight Connector 12239929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59918F" id="Straight Connector 122399293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0A884" w14:textId="77777777" w:rsidR="007C1525" w:rsidRDefault="007C152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A7D46" w14:textId="77777777" w:rsidR="001C72B5" w:rsidRPr="003834CD" w:rsidRDefault="001C72B5" w:rsidP="001C72B5">
    <w:pPr>
      <w:tabs>
        <w:tab w:val="center" w:pos="4680"/>
        <w:tab w:val="right" w:pos="9360"/>
      </w:tabs>
      <w:jc w:val="center"/>
      <w:rPr>
        <w:lang w:val="fr-FR"/>
      </w:rPr>
    </w:pPr>
    <w:r w:rsidRPr="003834CD">
      <w:rPr>
        <w:rFonts w:ascii="Arial" w:hAnsi="Arial" w:cs="Arial"/>
        <w:sz w:val="16"/>
        <w:szCs w:val="16"/>
        <w:lang w:val="fr-FR"/>
      </w:rPr>
      <w:t xml:space="preserve">RÉUNION INTERSESSIONS DE LA SOUS-COMMISSION 2 – HYBRIDE/MADRID, MARS </w:t>
    </w:r>
    <w:r>
      <w:rPr>
        <w:rFonts w:ascii="Arial" w:hAnsi="Arial" w:cs="Arial"/>
        <w:sz w:val="16"/>
        <w:szCs w:val="16"/>
        <w:lang w:val="fr-FR"/>
      </w:rPr>
      <w:t>2026</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47579" w14:textId="77777777" w:rsidR="007C1525" w:rsidRPr="00A03143" w:rsidRDefault="007C1525" w:rsidP="002813AE">
    <w:pPr>
      <w:spacing w:line="240" w:lineRule="exact"/>
      <w:rPr>
        <w:b/>
        <w:bCs/>
        <w:sz w:val="28"/>
      </w:rPr>
    </w:pPr>
    <w:r w:rsidRPr="00430F82">
      <w:rPr>
        <w:b/>
        <w:bCs/>
      </w:rPr>
      <w:t>COMMISSION 2016 – Guidelines preparation bluefin tuna plans</w:t>
    </w:r>
    <w:r w:rsidRPr="00430F82">
      <w:rPr>
        <w:b/>
        <w:bCs/>
      </w:rPr>
      <w:tab/>
    </w:r>
    <w:r w:rsidRPr="00430F82">
      <w:rPr>
        <w:b/>
        <w:bCs/>
        <w:sz w:val="26"/>
        <w:szCs w:val="26"/>
      </w:rPr>
      <w:t xml:space="preserve">Doc. </w:t>
    </w:r>
    <w:r>
      <w:rPr>
        <w:b/>
        <w:bCs/>
        <w:sz w:val="26"/>
        <w:szCs w:val="26"/>
      </w:rPr>
      <w:t>Nº PA2-602 / 2016</w:t>
    </w:r>
  </w:p>
  <w:p w14:paraId="35BB8F3B" w14:textId="15E55459" w:rsidR="007C1525" w:rsidRPr="002813AE" w:rsidRDefault="007C1525" w:rsidP="002813AE">
    <w:pPr>
      <w:tabs>
        <w:tab w:val="left" w:pos="7320"/>
      </w:tabs>
      <w:spacing w:line="240" w:lineRule="exact"/>
      <w:rPr>
        <w:b/>
        <w:bCs/>
      </w:rPr>
    </w:pP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r>
      <w:rPr>
        <w:b/>
        <w:bCs/>
      </w:rPr>
      <w:t xml:space="preserve">; </w:t>
    </w: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p>
  <w:p w14:paraId="7772900A" w14:textId="77777777" w:rsidR="007C1525" w:rsidRPr="00A03143" w:rsidRDefault="007C1525" w:rsidP="002813AE">
    <w:pPr>
      <w:tabs>
        <w:tab w:val="left" w:pos="7320"/>
      </w:tabs>
      <w:spacing w:line="240" w:lineRule="exact"/>
      <w:rPr>
        <w:b/>
        <w:bCs/>
      </w:rPr>
    </w:pPr>
    <w:r>
      <w:rPr>
        <w:b/>
        <w:bCs/>
        <w:noProof/>
      </w:rPr>
      <mc:AlternateContent>
        <mc:Choice Requires="wps">
          <w:drawing>
            <wp:anchor distT="0" distB="0" distL="114300" distR="114300" simplePos="0" relativeHeight="251679744" behindDoc="0" locked="0" layoutInCell="1" allowOverlap="1" wp14:anchorId="6215875B" wp14:editId="6EF68A38">
              <wp:simplePos x="0" y="0"/>
              <wp:positionH relativeFrom="column">
                <wp:posOffset>0</wp:posOffset>
              </wp:positionH>
              <wp:positionV relativeFrom="paragraph">
                <wp:posOffset>17145</wp:posOffset>
              </wp:positionV>
              <wp:extent cx="5715000" cy="0"/>
              <wp:effectExtent l="9525" t="7620" r="9525" b="11430"/>
              <wp:wrapNone/>
              <wp:docPr id="798318622" name="Straight Connector 7983186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5499A" id="Straight Connector 798318622"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A40D8" w14:textId="77777777" w:rsidR="00D70898" w:rsidRPr="00A03143" w:rsidRDefault="00D70898" w:rsidP="002813AE">
    <w:pPr>
      <w:spacing w:line="240" w:lineRule="exact"/>
      <w:rPr>
        <w:b/>
        <w:bCs/>
        <w:sz w:val="28"/>
      </w:rPr>
    </w:pPr>
    <w:r w:rsidRPr="000361F2">
      <w:rPr>
        <w:b/>
        <w:bCs/>
      </w:rPr>
      <w:t>COMMISSION 2016 – Guidelines preparation bluefin tuna plans</w:t>
    </w:r>
    <w:r w:rsidRPr="000361F2">
      <w:rPr>
        <w:b/>
        <w:bCs/>
      </w:rPr>
      <w:tab/>
    </w:r>
    <w:r w:rsidRPr="000361F2">
      <w:rPr>
        <w:b/>
        <w:bCs/>
        <w:sz w:val="26"/>
        <w:szCs w:val="26"/>
      </w:rPr>
      <w:t xml:space="preserve">Doc. </w:t>
    </w:r>
    <w:r>
      <w:rPr>
        <w:b/>
        <w:bCs/>
        <w:sz w:val="26"/>
        <w:szCs w:val="26"/>
      </w:rPr>
      <w:t>Nº PA2-602/ 2016</w:t>
    </w:r>
  </w:p>
  <w:p w14:paraId="7B668471" w14:textId="6B4F275E" w:rsidR="00D70898" w:rsidRPr="002813AE" w:rsidRDefault="00D70898" w:rsidP="002813AE">
    <w:pPr>
      <w:tabs>
        <w:tab w:val="left" w:pos="7320"/>
      </w:tabs>
      <w:spacing w:line="240" w:lineRule="exact"/>
      <w:rPr>
        <w:b/>
        <w:bCs/>
      </w:rPr>
    </w:pP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r>
      <w:rPr>
        <w:b/>
        <w:bCs/>
      </w:rPr>
      <w:t xml:space="preserve">; </w:t>
    </w:r>
    <w:r w:rsidRPr="00A03143">
      <w:rPr>
        <w:b/>
        <w:bCs/>
        <w:lang w:val="fr-FR"/>
      </w:rPr>
      <w:fldChar w:fldCharType="begin"/>
    </w:r>
    <w:r w:rsidRPr="00A03143">
      <w:rPr>
        <w:b/>
        <w:bCs/>
      </w:rPr>
      <w:instrText xml:space="preserve"> TIME \@ "d MMMM yyyy HH:mm:ss" </w:instrText>
    </w:r>
    <w:r w:rsidRPr="00A03143">
      <w:rPr>
        <w:b/>
        <w:bCs/>
        <w:lang w:val="fr-FR"/>
      </w:rPr>
      <w:fldChar w:fldCharType="separate"/>
    </w:r>
    <w:r w:rsidR="00C712A4">
      <w:rPr>
        <w:b/>
        <w:bCs/>
        <w:noProof/>
      </w:rPr>
      <w:t>2 October 2026 13:23:57</w:t>
    </w:r>
    <w:r w:rsidRPr="00A03143">
      <w:rPr>
        <w:b/>
        <w:bCs/>
        <w:lang w:val="es-ES"/>
      </w:rPr>
      <w:fldChar w:fldCharType="end"/>
    </w:r>
  </w:p>
  <w:p w14:paraId="26F3EB6C" w14:textId="77777777" w:rsidR="00D70898" w:rsidRPr="00A03143" w:rsidRDefault="00D70898" w:rsidP="002813AE">
    <w:pPr>
      <w:tabs>
        <w:tab w:val="left" w:pos="7320"/>
      </w:tabs>
      <w:spacing w:line="240" w:lineRule="exact"/>
      <w:rPr>
        <w:b/>
        <w:bCs/>
      </w:rPr>
    </w:pPr>
    <w:r>
      <w:rPr>
        <w:b/>
        <w:bCs/>
        <w:noProof/>
      </w:rPr>
      <mc:AlternateContent>
        <mc:Choice Requires="wps">
          <w:drawing>
            <wp:anchor distT="0" distB="0" distL="114300" distR="114300" simplePos="0" relativeHeight="251681792" behindDoc="0" locked="0" layoutInCell="1" allowOverlap="1" wp14:anchorId="40930DFE" wp14:editId="648C9A1F">
              <wp:simplePos x="0" y="0"/>
              <wp:positionH relativeFrom="column">
                <wp:posOffset>0</wp:posOffset>
              </wp:positionH>
              <wp:positionV relativeFrom="paragraph">
                <wp:posOffset>17145</wp:posOffset>
              </wp:positionV>
              <wp:extent cx="5715000" cy="0"/>
              <wp:effectExtent l="9525" t="7620" r="9525" b="11430"/>
              <wp:wrapNone/>
              <wp:docPr id="753847307" name="Straight Connector 753847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B7C6BE" id="Straight Connector 75384730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788B4" w14:textId="77777777" w:rsidR="001C72B5" w:rsidRPr="003834CD" w:rsidRDefault="001C72B5" w:rsidP="001C72B5">
    <w:pPr>
      <w:tabs>
        <w:tab w:val="center" w:pos="4680"/>
        <w:tab w:val="right" w:pos="9360"/>
      </w:tabs>
      <w:jc w:val="center"/>
      <w:rPr>
        <w:lang w:val="fr-FR"/>
      </w:rPr>
    </w:pPr>
    <w:r w:rsidRPr="003834CD">
      <w:rPr>
        <w:rFonts w:ascii="Arial" w:hAnsi="Arial" w:cs="Arial"/>
        <w:sz w:val="16"/>
        <w:szCs w:val="16"/>
        <w:lang w:val="fr-FR"/>
      </w:rPr>
      <w:t xml:space="preserve">RÉUNION INTERSESSIONS DE LA SOUS-COMMISSION 2 – HYBRIDE/MADRID, MARS </w:t>
    </w:r>
    <w:r>
      <w:rPr>
        <w:rFonts w:ascii="Arial" w:hAnsi="Arial" w:cs="Arial"/>
        <w:sz w:val="16"/>
        <w:szCs w:val="16"/>
        <w:lang w:val="fr-FR"/>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6A4C8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6ADF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EC8E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86C98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F6E1F8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0A83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EAA1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A741C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E8C54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1"/>
    <w:name w:val="WW8Num1"/>
    <w:lvl w:ilvl="0">
      <w:start w:val="2"/>
      <w:numFmt w:val="bullet"/>
      <w:lvlText w:val="-"/>
      <w:lvlJc w:val="left"/>
      <w:pPr>
        <w:tabs>
          <w:tab w:val="num" w:pos="0"/>
        </w:tabs>
        <w:ind w:left="720" w:hanging="360"/>
      </w:pPr>
      <w:rPr>
        <w:rFonts w:ascii="Arial Unicode MS" w:hAnsi="Arial Unicode MS" w:cs="Arial Unicode MS"/>
      </w:rPr>
    </w:lvl>
  </w:abstractNum>
  <w:abstractNum w:abstractNumId="11" w15:restartNumberingAfterBreak="0">
    <w:nsid w:val="02610027"/>
    <w:multiLevelType w:val="hybridMultilevel"/>
    <w:tmpl w:val="0306644C"/>
    <w:lvl w:ilvl="0" w:tplc="158CD9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2E2370C"/>
    <w:multiLevelType w:val="hybridMultilevel"/>
    <w:tmpl w:val="FC363BAE"/>
    <w:lvl w:ilvl="0" w:tplc="779AEB3C">
      <w:start w:val="1"/>
      <w:numFmt w:val="bullet"/>
      <w:lvlText w:val=""/>
      <w:lvlJc w:val="left"/>
      <w:pPr>
        <w:ind w:left="462" w:hanging="360"/>
      </w:pPr>
      <w:rPr>
        <w:rFonts w:ascii="Symbol" w:hAnsi="Symbol" w:hint="default"/>
      </w:rPr>
    </w:lvl>
    <w:lvl w:ilvl="1" w:tplc="08090003" w:tentative="1">
      <w:start w:val="1"/>
      <w:numFmt w:val="bullet"/>
      <w:lvlText w:val="o"/>
      <w:lvlJc w:val="left"/>
      <w:pPr>
        <w:ind w:left="1182" w:hanging="360"/>
      </w:pPr>
      <w:rPr>
        <w:rFonts w:ascii="Courier New" w:hAnsi="Courier New" w:cs="Courier New" w:hint="default"/>
      </w:rPr>
    </w:lvl>
    <w:lvl w:ilvl="2" w:tplc="08090005" w:tentative="1">
      <w:start w:val="1"/>
      <w:numFmt w:val="bullet"/>
      <w:lvlText w:val=""/>
      <w:lvlJc w:val="left"/>
      <w:pPr>
        <w:ind w:left="1902" w:hanging="360"/>
      </w:pPr>
      <w:rPr>
        <w:rFonts w:ascii="Wingdings" w:hAnsi="Wingdings" w:hint="default"/>
      </w:rPr>
    </w:lvl>
    <w:lvl w:ilvl="3" w:tplc="08090001" w:tentative="1">
      <w:start w:val="1"/>
      <w:numFmt w:val="bullet"/>
      <w:lvlText w:val=""/>
      <w:lvlJc w:val="left"/>
      <w:pPr>
        <w:ind w:left="2622" w:hanging="360"/>
      </w:pPr>
      <w:rPr>
        <w:rFonts w:ascii="Symbol" w:hAnsi="Symbol" w:hint="default"/>
      </w:rPr>
    </w:lvl>
    <w:lvl w:ilvl="4" w:tplc="08090003" w:tentative="1">
      <w:start w:val="1"/>
      <w:numFmt w:val="bullet"/>
      <w:lvlText w:val="o"/>
      <w:lvlJc w:val="left"/>
      <w:pPr>
        <w:ind w:left="3342" w:hanging="360"/>
      </w:pPr>
      <w:rPr>
        <w:rFonts w:ascii="Courier New" w:hAnsi="Courier New" w:cs="Courier New" w:hint="default"/>
      </w:rPr>
    </w:lvl>
    <w:lvl w:ilvl="5" w:tplc="08090005" w:tentative="1">
      <w:start w:val="1"/>
      <w:numFmt w:val="bullet"/>
      <w:lvlText w:val=""/>
      <w:lvlJc w:val="left"/>
      <w:pPr>
        <w:ind w:left="4062" w:hanging="360"/>
      </w:pPr>
      <w:rPr>
        <w:rFonts w:ascii="Wingdings" w:hAnsi="Wingdings" w:hint="default"/>
      </w:rPr>
    </w:lvl>
    <w:lvl w:ilvl="6" w:tplc="08090001" w:tentative="1">
      <w:start w:val="1"/>
      <w:numFmt w:val="bullet"/>
      <w:lvlText w:val=""/>
      <w:lvlJc w:val="left"/>
      <w:pPr>
        <w:ind w:left="4782" w:hanging="360"/>
      </w:pPr>
      <w:rPr>
        <w:rFonts w:ascii="Symbol" w:hAnsi="Symbol" w:hint="default"/>
      </w:rPr>
    </w:lvl>
    <w:lvl w:ilvl="7" w:tplc="08090003" w:tentative="1">
      <w:start w:val="1"/>
      <w:numFmt w:val="bullet"/>
      <w:lvlText w:val="o"/>
      <w:lvlJc w:val="left"/>
      <w:pPr>
        <w:ind w:left="5502" w:hanging="360"/>
      </w:pPr>
      <w:rPr>
        <w:rFonts w:ascii="Courier New" w:hAnsi="Courier New" w:cs="Courier New" w:hint="default"/>
      </w:rPr>
    </w:lvl>
    <w:lvl w:ilvl="8" w:tplc="08090005" w:tentative="1">
      <w:start w:val="1"/>
      <w:numFmt w:val="bullet"/>
      <w:lvlText w:val=""/>
      <w:lvlJc w:val="left"/>
      <w:pPr>
        <w:ind w:left="6222" w:hanging="360"/>
      </w:pPr>
      <w:rPr>
        <w:rFonts w:ascii="Wingdings" w:hAnsi="Wingdings" w:hint="default"/>
      </w:rPr>
    </w:lvl>
  </w:abstractNum>
  <w:abstractNum w:abstractNumId="13" w15:restartNumberingAfterBreak="0">
    <w:nsid w:val="095233CD"/>
    <w:multiLevelType w:val="hybridMultilevel"/>
    <w:tmpl w:val="3DEE64F4"/>
    <w:lvl w:ilvl="0" w:tplc="D4CAFA48">
      <w:numFmt w:val="bullet"/>
      <w:lvlText w:val="–"/>
      <w:lvlJc w:val="left"/>
      <w:pPr>
        <w:ind w:left="720" w:hanging="360"/>
      </w:pPr>
      <w:rPr>
        <w:rFonts w:ascii="Cambria" w:eastAsia="MS Gothic"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B3F2270"/>
    <w:multiLevelType w:val="hybridMultilevel"/>
    <w:tmpl w:val="018A6202"/>
    <w:lvl w:ilvl="0" w:tplc="D4CAFA48">
      <w:numFmt w:val="bullet"/>
      <w:lvlText w:val="–"/>
      <w:lvlJc w:val="left"/>
      <w:pPr>
        <w:ind w:left="720" w:hanging="360"/>
      </w:pPr>
      <w:rPr>
        <w:rFonts w:ascii="Cambria" w:eastAsia="MS Gothic"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EBD14CB"/>
    <w:multiLevelType w:val="multilevel"/>
    <w:tmpl w:val="3F6EE946"/>
    <w:lvl w:ilvl="0">
      <w:start w:val="1"/>
      <w:numFmt w:val="decimal"/>
      <w:lvlText w:val="%1."/>
      <w:lvlJc w:val="left"/>
      <w:pPr>
        <w:ind w:left="360" w:hanging="360"/>
      </w:pPr>
      <w:rPr>
        <w:rFonts w:hint="default"/>
      </w:rPr>
    </w:lvl>
    <w:lvl w:ilvl="1">
      <w:start w:val="1"/>
      <w:numFmt w:val="decimal"/>
      <w:pStyle w:val="Heading2bis"/>
      <w:lvlText w:val="%1.%2."/>
      <w:lvlJc w:val="left"/>
      <w:pPr>
        <w:ind w:left="792" w:hanging="432"/>
      </w:pPr>
      <w:rPr>
        <w:rFonts w:hint="default"/>
      </w:rPr>
    </w:lvl>
    <w:lvl w:ilvl="2">
      <w:start w:val="1"/>
      <w:numFmt w:val="decimal"/>
      <w:pStyle w:val="Heading3bis"/>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0221BF7"/>
    <w:multiLevelType w:val="hybridMultilevel"/>
    <w:tmpl w:val="0CDCB58A"/>
    <w:lvl w:ilvl="0" w:tplc="5038D572">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57F610B"/>
    <w:multiLevelType w:val="hybridMultilevel"/>
    <w:tmpl w:val="559E27F6"/>
    <w:lvl w:ilvl="0" w:tplc="DE0AA002">
      <w:start w:val="1"/>
      <w:numFmt w:val="bullet"/>
      <w:lvlText w:val=""/>
      <w:lvlJc w:val="left"/>
      <w:pPr>
        <w:ind w:left="720" w:hanging="360"/>
      </w:pPr>
      <w:rPr>
        <w:rFonts w:ascii="Symbol" w:hAnsi="Symbol"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5F61C3"/>
    <w:multiLevelType w:val="hybridMultilevel"/>
    <w:tmpl w:val="39A83486"/>
    <w:lvl w:ilvl="0" w:tplc="296213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D533702"/>
    <w:multiLevelType w:val="hybridMultilevel"/>
    <w:tmpl w:val="E604EBDA"/>
    <w:lvl w:ilvl="0" w:tplc="4CB0847C">
      <w:start w:val="1"/>
      <w:numFmt w:val="bullet"/>
      <w:lvlText w:val="-"/>
      <w:lvlJc w:val="left"/>
      <w:pPr>
        <w:ind w:left="360" w:hanging="360"/>
      </w:pPr>
      <w:rPr>
        <w:rFonts w:ascii="Cambria" w:eastAsia="MS Gothic"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EB96953"/>
    <w:multiLevelType w:val="hybridMultilevel"/>
    <w:tmpl w:val="EA487E6E"/>
    <w:lvl w:ilvl="0" w:tplc="B7BC3CAE">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1EF013AA"/>
    <w:multiLevelType w:val="hybridMultilevel"/>
    <w:tmpl w:val="507AE12C"/>
    <w:lvl w:ilvl="0" w:tplc="D4CAFA48">
      <w:numFmt w:val="bullet"/>
      <w:lvlText w:val="–"/>
      <w:lvlJc w:val="left"/>
      <w:pPr>
        <w:ind w:left="720" w:hanging="360"/>
      </w:pPr>
      <w:rPr>
        <w:rFonts w:ascii="Cambria" w:eastAsia="MS Gothic"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F6F0C47"/>
    <w:multiLevelType w:val="hybridMultilevel"/>
    <w:tmpl w:val="3788ECFA"/>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0C444E0"/>
    <w:multiLevelType w:val="hybridMultilevel"/>
    <w:tmpl w:val="94F4DCE8"/>
    <w:lvl w:ilvl="0" w:tplc="D4CAFA48">
      <w:numFmt w:val="bullet"/>
      <w:lvlText w:val="–"/>
      <w:lvlJc w:val="left"/>
      <w:pPr>
        <w:ind w:left="360" w:hanging="360"/>
      </w:pPr>
      <w:rPr>
        <w:rFonts w:ascii="Cambria" w:eastAsia="MS Gothic" w:hAnsi="Cambria"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23C91D51"/>
    <w:multiLevelType w:val="hybridMultilevel"/>
    <w:tmpl w:val="BCD26DE4"/>
    <w:lvl w:ilvl="0" w:tplc="863C18AE">
      <w:start w:val="1"/>
      <w:numFmt w:val="decimal"/>
      <w:pStyle w:val="Heading1bis"/>
      <w:lvlText w:val="%1."/>
      <w:lvlJc w:val="left"/>
      <w:pPr>
        <w:ind w:left="360" w:hanging="360"/>
      </w:pPr>
      <w:rPr>
        <w:b/>
        <w:i w:val="0"/>
      </w:rPr>
    </w:lvl>
    <w:lvl w:ilvl="1" w:tplc="5A04E816">
      <w:numFmt w:val="bullet"/>
      <w:lvlText w:val="•"/>
      <w:lvlJc w:val="left"/>
      <w:pPr>
        <w:ind w:left="1080" w:hanging="360"/>
      </w:pPr>
      <w:rPr>
        <w:rFonts w:ascii="Times New Roman" w:eastAsia="Times New Roman" w:hAnsi="Times New Roman" w:cs="Times New Roman" w:hint="default"/>
      </w:r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5" w15:restartNumberingAfterBreak="0">
    <w:nsid w:val="2ADF7658"/>
    <w:multiLevelType w:val="hybridMultilevel"/>
    <w:tmpl w:val="7EA4FCC8"/>
    <w:lvl w:ilvl="0" w:tplc="546E9A2E">
      <w:start w:val="1"/>
      <w:numFmt w:val="bullet"/>
      <w:lvlText w:val="-"/>
      <w:lvlJc w:val="left"/>
      <w:pPr>
        <w:ind w:left="1200" w:hanging="360"/>
      </w:pPr>
      <w:rPr>
        <w:rFonts w:ascii="Cambria" w:eastAsia="MS Gothic" w:hAnsi="Cambria" w:cstheme="majorBidi" w:hint="default"/>
      </w:rPr>
    </w:lvl>
    <w:lvl w:ilvl="1" w:tplc="040C0003" w:tentative="1">
      <w:start w:val="1"/>
      <w:numFmt w:val="bullet"/>
      <w:lvlText w:val="o"/>
      <w:lvlJc w:val="left"/>
      <w:pPr>
        <w:ind w:left="1920" w:hanging="360"/>
      </w:pPr>
      <w:rPr>
        <w:rFonts w:ascii="Courier New" w:hAnsi="Courier New" w:cs="Courier New" w:hint="default"/>
      </w:rPr>
    </w:lvl>
    <w:lvl w:ilvl="2" w:tplc="040C0005" w:tentative="1">
      <w:start w:val="1"/>
      <w:numFmt w:val="bullet"/>
      <w:lvlText w:val=""/>
      <w:lvlJc w:val="left"/>
      <w:pPr>
        <w:ind w:left="2640" w:hanging="360"/>
      </w:pPr>
      <w:rPr>
        <w:rFonts w:ascii="Wingdings" w:hAnsi="Wingdings" w:hint="default"/>
      </w:rPr>
    </w:lvl>
    <w:lvl w:ilvl="3" w:tplc="040C0001" w:tentative="1">
      <w:start w:val="1"/>
      <w:numFmt w:val="bullet"/>
      <w:lvlText w:val=""/>
      <w:lvlJc w:val="left"/>
      <w:pPr>
        <w:ind w:left="3360" w:hanging="360"/>
      </w:pPr>
      <w:rPr>
        <w:rFonts w:ascii="Symbol" w:hAnsi="Symbol" w:hint="default"/>
      </w:rPr>
    </w:lvl>
    <w:lvl w:ilvl="4" w:tplc="040C0003" w:tentative="1">
      <w:start w:val="1"/>
      <w:numFmt w:val="bullet"/>
      <w:lvlText w:val="o"/>
      <w:lvlJc w:val="left"/>
      <w:pPr>
        <w:ind w:left="4080" w:hanging="360"/>
      </w:pPr>
      <w:rPr>
        <w:rFonts w:ascii="Courier New" w:hAnsi="Courier New" w:cs="Courier New" w:hint="default"/>
      </w:rPr>
    </w:lvl>
    <w:lvl w:ilvl="5" w:tplc="040C0005" w:tentative="1">
      <w:start w:val="1"/>
      <w:numFmt w:val="bullet"/>
      <w:lvlText w:val=""/>
      <w:lvlJc w:val="left"/>
      <w:pPr>
        <w:ind w:left="4800" w:hanging="360"/>
      </w:pPr>
      <w:rPr>
        <w:rFonts w:ascii="Wingdings" w:hAnsi="Wingdings" w:hint="default"/>
      </w:rPr>
    </w:lvl>
    <w:lvl w:ilvl="6" w:tplc="040C0001" w:tentative="1">
      <w:start w:val="1"/>
      <w:numFmt w:val="bullet"/>
      <w:lvlText w:val=""/>
      <w:lvlJc w:val="left"/>
      <w:pPr>
        <w:ind w:left="5520" w:hanging="360"/>
      </w:pPr>
      <w:rPr>
        <w:rFonts w:ascii="Symbol" w:hAnsi="Symbol" w:hint="default"/>
      </w:rPr>
    </w:lvl>
    <w:lvl w:ilvl="7" w:tplc="040C0003" w:tentative="1">
      <w:start w:val="1"/>
      <w:numFmt w:val="bullet"/>
      <w:lvlText w:val="o"/>
      <w:lvlJc w:val="left"/>
      <w:pPr>
        <w:ind w:left="6240" w:hanging="360"/>
      </w:pPr>
      <w:rPr>
        <w:rFonts w:ascii="Courier New" w:hAnsi="Courier New" w:cs="Courier New" w:hint="default"/>
      </w:rPr>
    </w:lvl>
    <w:lvl w:ilvl="8" w:tplc="040C0005" w:tentative="1">
      <w:start w:val="1"/>
      <w:numFmt w:val="bullet"/>
      <w:lvlText w:val=""/>
      <w:lvlJc w:val="left"/>
      <w:pPr>
        <w:ind w:left="6960" w:hanging="360"/>
      </w:pPr>
      <w:rPr>
        <w:rFonts w:ascii="Wingdings" w:hAnsi="Wingdings" w:hint="default"/>
      </w:rPr>
    </w:lvl>
  </w:abstractNum>
  <w:abstractNum w:abstractNumId="26" w15:restartNumberingAfterBreak="0">
    <w:nsid w:val="2B9C31DF"/>
    <w:multiLevelType w:val="hybridMultilevel"/>
    <w:tmpl w:val="082CB8B0"/>
    <w:lvl w:ilvl="0" w:tplc="5E7C1E0A">
      <w:numFmt w:val="bullet"/>
      <w:lvlText w:val="-"/>
      <w:lvlJc w:val="left"/>
      <w:pPr>
        <w:ind w:left="720" w:hanging="360"/>
      </w:pPr>
      <w:rPr>
        <w:rFonts w:ascii="Cambria" w:eastAsia="MS Gothic" w:hAnsi="Cambria"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BAD4A4B"/>
    <w:multiLevelType w:val="hybridMultilevel"/>
    <w:tmpl w:val="927AED1A"/>
    <w:lvl w:ilvl="0" w:tplc="34983AAE">
      <w:start w:val="1"/>
      <w:numFmt w:val="decimal"/>
      <w:lvlText w:val="%1."/>
      <w:lvlJc w:val="left"/>
      <w:pPr>
        <w:ind w:left="431" w:hanging="360"/>
      </w:pPr>
      <w:rPr>
        <w:rFonts w:hint="default"/>
      </w:rPr>
    </w:lvl>
    <w:lvl w:ilvl="1" w:tplc="04090019" w:tentative="1">
      <w:start w:val="1"/>
      <w:numFmt w:val="lowerLetter"/>
      <w:lvlText w:val="%2."/>
      <w:lvlJc w:val="left"/>
      <w:pPr>
        <w:ind w:left="1151" w:hanging="360"/>
      </w:pPr>
    </w:lvl>
    <w:lvl w:ilvl="2" w:tplc="0409001B" w:tentative="1">
      <w:start w:val="1"/>
      <w:numFmt w:val="lowerRoman"/>
      <w:lvlText w:val="%3."/>
      <w:lvlJc w:val="right"/>
      <w:pPr>
        <w:ind w:left="1871" w:hanging="180"/>
      </w:pPr>
    </w:lvl>
    <w:lvl w:ilvl="3" w:tplc="0409000F" w:tentative="1">
      <w:start w:val="1"/>
      <w:numFmt w:val="decimal"/>
      <w:lvlText w:val="%4."/>
      <w:lvlJc w:val="left"/>
      <w:pPr>
        <w:ind w:left="2591" w:hanging="360"/>
      </w:pPr>
    </w:lvl>
    <w:lvl w:ilvl="4" w:tplc="04090019" w:tentative="1">
      <w:start w:val="1"/>
      <w:numFmt w:val="lowerLetter"/>
      <w:lvlText w:val="%5."/>
      <w:lvlJc w:val="left"/>
      <w:pPr>
        <w:ind w:left="3311" w:hanging="360"/>
      </w:pPr>
    </w:lvl>
    <w:lvl w:ilvl="5" w:tplc="0409001B" w:tentative="1">
      <w:start w:val="1"/>
      <w:numFmt w:val="lowerRoman"/>
      <w:lvlText w:val="%6."/>
      <w:lvlJc w:val="right"/>
      <w:pPr>
        <w:ind w:left="4031" w:hanging="180"/>
      </w:pPr>
    </w:lvl>
    <w:lvl w:ilvl="6" w:tplc="0409000F" w:tentative="1">
      <w:start w:val="1"/>
      <w:numFmt w:val="decimal"/>
      <w:lvlText w:val="%7."/>
      <w:lvlJc w:val="left"/>
      <w:pPr>
        <w:ind w:left="4751" w:hanging="360"/>
      </w:pPr>
    </w:lvl>
    <w:lvl w:ilvl="7" w:tplc="04090019" w:tentative="1">
      <w:start w:val="1"/>
      <w:numFmt w:val="lowerLetter"/>
      <w:lvlText w:val="%8."/>
      <w:lvlJc w:val="left"/>
      <w:pPr>
        <w:ind w:left="5471" w:hanging="360"/>
      </w:pPr>
    </w:lvl>
    <w:lvl w:ilvl="8" w:tplc="0409001B" w:tentative="1">
      <w:start w:val="1"/>
      <w:numFmt w:val="lowerRoman"/>
      <w:lvlText w:val="%9."/>
      <w:lvlJc w:val="right"/>
      <w:pPr>
        <w:ind w:left="6191" w:hanging="180"/>
      </w:pPr>
    </w:lvl>
  </w:abstractNum>
  <w:abstractNum w:abstractNumId="2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361E67F5"/>
    <w:multiLevelType w:val="hybridMultilevel"/>
    <w:tmpl w:val="DEBC8E04"/>
    <w:lvl w:ilvl="0" w:tplc="D4CAFA48">
      <w:numFmt w:val="bullet"/>
      <w:lvlText w:val="–"/>
      <w:lvlJc w:val="left"/>
      <w:pPr>
        <w:ind w:left="720" w:hanging="360"/>
      </w:pPr>
      <w:rPr>
        <w:rFonts w:ascii="Cambria" w:eastAsia="MS Gothic"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72D6913"/>
    <w:multiLevelType w:val="hybridMultilevel"/>
    <w:tmpl w:val="41805804"/>
    <w:lvl w:ilvl="0" w:tplc="607260CE">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8DD2B71"/>
    <w:multiLevelType w:val="hybridMultilevel"/>
    <w:tmpl w:val="78B2E7B6"/>
    <w:lvl w:ilvl="0" w:tplc="C1C2D048">
      <w:start w:val="15"/>
      <w:numFmt w:val="bullet"/>
      <w:lvlText w:val="-"/>
      <w:lvlJc w:val="left"/>
      <w:pPr>
        <w:ind w:left="720" w:hanging="360"/>
      </w:pPr>
      <w:rPr>
        <w:rFonts w:ascii="Cambria" w:eastAsia="MS Gothic" w:hAnsi="Cambria" w:cs="Times New Roman" w:hint="default"/>
        <w:b w:val="0"/>
        <w:i/>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39095FA7"/>
    <w:multiLevelType w:val="hybridMultilevel"/>
    <w:tmpl w:val="88C46284"/>
    <w:lvl w:ilvl="0" w:tplc="1FAA267C">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39273B21"/>
    <w:multiLevelType w:val="hybridMultilevel"/>
    <w:tmpl w:val="4A2A7E0C"/>
    <w:lvl w:ilvl="0" w:tplc="DE0AA002">
      <w:start w:val="1"/>
      <w:numFmt w:val="bullet"/>
      <w:lvlText w:val=""/>
      <w:lvlJc w:val="left"/>
      <w:pPr>
        <w:ind w:left="360" w:hanging="360"/>
      </w:pPr>
      <w:rPr>
        <w:rFonts w:ascii="Symbol" w:hAnsi="Symbol" w:hint="default"/>
        <w:b w:val="0"/>
        <w:i w:val="0"/>
        <w:sz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4" w15:restartNumberingAfterBreak="0">
    <w:nsid w:val="39A643A1"/>
    <w:multiLevelType w:val="hybridMultilevel"/>
    <w:tmpl w:val="762C13DC"/>
    <w:lvl w:ilvl="0" w:tplc="2D9E64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3A673FA6"/>
    <w:multiLevelType w:val="hybridMultilevel"/>
    <w:tmpl w:val="41805804"/>
    <w:lvl w:ilvl="0" w:tplc="FFFFFFFF">
      <w:start w:val="1"/>
      <w:numFmt w:val="decimal"/>
      <w:lvlText w:val="%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37" w15:restartNumberingAfterBreak="0">
    <w:nsid w:val="3B823C3E"/>
    <w:multiLevelType w:val="multilevel"/>
    <w:tmpl w:val="60F06EEC"/>
    <w:lvl w:ilvl="0">
      <w:numFmt w:val="bullet"/>
      <w:lvlText w:val="–"/>
      <w:lvlJc w:val="left"/>
      <w:pPr>
        <w:tabs>
          <w:tab w:val="num" w:pos="720"/>
        </w:tabs>
        <w:ind w:left="720" w:hanging="360"/>
      </w:pPr>
      <w:rPr>
        <w:rFonts w:ascii="Cambria" w:eastAsia="MS Gothic" w:hAnsi="Cambria"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0B22E84"/>
    <w:multiLevelType w:val="hybridMultilevel"/>
    <w:tmpl w:val="1B42F9B2"/>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D4CAFA48">
      <w:numFmt w:val="bullet"/>
      <w:lvlText w:val="–"/>
      <w:lvlJc w:val="left"/>
      <w:pPr>
        <w:ind w:left="720" w:hanging="360"/>
      </w:pPr>
      <w:rPr>
        <w:rFonts w:ascii="Cambria" w:eastAsia="MS Gothic" w:hAnsi="Cambria" w:cs="Times New Roman"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9" w15:restartNumberingAfterBreak="0">
    <w:nsid w:val="42587470"/>
    <w:multiLevelType w:val="hybridMultilevel"/>
    <w:tmpl w:val="72E4F2C4"/>
    <w:lvl w:ilvl="0" w:tplc="DE0AA002">
      <w:start w:val="1"/>
      <w:numFmt w:val="bullet"/>
      <w:lvlText w:val=""/>
      <w:lvlJc w:val="left"/>
      <w:pPr>
        <w:ind w:left="720" w:hanging="360"/>
      </w:pPr>
      <w:rPr>
        <w:rFonts w:ascii="Symbol" w:hAnsi="Symbol" w:hint="default"/>
        <w:b w:val="0"/>
        <w:i w:val="0"/>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445B2211"/>
    <w:multiLevelType w:val="hybridMultilevel"/>
    <w:tmpl w:val="42007C08"/>
    <w:lvl w:ilvl="0" w:tplc="1BFE4F7A">
      <w:start w:val="1"/>
      <w:numFmt w:val="bullet"/>
      <w:lvlText w:val="-"/>
      <w:lvlJc w:val="left"/>
      <w:pPr>
        <w:ind w:left="720" w:hanging="360"/>
      </w:pPr>
      <w:rPr>
        <w:rFonts w:ascii="Cambria" w:hAnsi="Cambri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804109B"/>
    <w:multiLevelType w:val="hybridMultilevel"/>
    <w:tmpl w:val="91E6B9D4"/>
    <w:lvl w:ilvl="0" w:tplc="DE0AA002">
      <w:start w:val="1"/>
      <w:numFmt w:val="bullet"/>
      <w:lvlText w:val=""/>
      <w:lvlJc w:val="left"/>
      <w:pPr>
        <w:ind w:left="720" w:hanging="360"/>
      </w:pPr>
      <w:rPr>
        <w:rFonts w:ascii="Symbol" w:hAnsi="Symbol" w:hint="default"/>
        <w:b w:val="0"/>
        <w:i w:val="0"/>
        <w:sz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2" w15:restartNumberingAfterBreak="0">
    <w:nsid w:val="4B8C7609"/>
    <w:multiLevelType w:val="hybridMultilevel"/>
    <w:tmpl w:val="F23C8B5E"/>
    <w:lvl w:ilvl="0" w:tplc="DE0AA002">
      <w:start w:val="1"/>
      <w:numFmt w:val="bullet"/>
      <w:lvlText w:val=""/>
      <w:lvlJc w:val="left"/>
      <w:pPr>
        <w:ind w:left="720" w:hanging="360"/>
      </w:pPr>
      <w:rPr>
        <w:rFonts w:ascii="Symbol" w:hAnsi="Symbol"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C9B2CCE"/>
    <w:multiLevelType w:val="multilevel"/>
    <w:tmpl w:val="365CD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8D80E30"/>
    <w:multiLevelType w:val="hybridMultilevel"/>
    <w:tmpl w:val="C86C7142"/>
    <w:lvl w:ilvl="0" w:tplc="57501E8A">
      <w:start w:val="1"/>
      <w:numFmt w:val="decimal"/>
      <w:lvlText w:val="%1."/>
      <w:lvlJc w:val="left"/>
      <w:pPr>
        <w:ind w:left="928" w:hanging="360"/>
      </w:pPr>
      <w:rPr>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58D93E8E"/>
    <w:multiLevelType w:val="hybridMultilevel"/>
    <w:tmpl w:val="BF887078"/>
    <w:lvl w:ilvl="0" w:tplc="BE4E5B1C">
      <w:start w:val="54"/>
      <w:numFmt w:val="bullet"/>
      <w:lvlText w:val="-"/>
      <w:lvlJc w:val="left"/>
      <w:pPr>
        <w:ind w:left="720" w:hanging="360"/>
      </w:pPr>
      <w:rPr>
        <w:rFonts w:ascii="Times New Roman" w:eastAsia="MS Gothic"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6" w15:restartNumberingAfterBreak="0">
    <w:nsid w:val="59F139BD"/>
    <w:multiLevelType w:val="hybridMultilevel"/>
    <w:tmpl w:val="3F5C119A"/>
    <w:lvl w:ilvl="0" w:tplc="90EC5116">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47" w15:restartNumberingAfterBreak="0">
    <w:nsid w:val="5A32671C"/>
    <w:multiLevelType w:val="hybridMultilevel"/>
    <w:tmpl w:val="A112D2BE"/>
    <w:lvl w:ilvl="0" w:tplc="DE0AA002">
      <w:start w:val="1"/>
      <w:numFmt w:val="bullet"/>
      <w:lvlText w:val=""/>
      <w:lvlJc w:val="left"/>
      <w:pPr>
        <w:ind w:left="720" w:hanging="360"/>
      </w:pPr>
      <w:rPr>
        <w:rFonts w:ascii="Symbol" w:hAnsi="Symbol" w:hint="default"/>
        <w:b w:val="0"/>
        <w:i w:val="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0D471D3"/>
    <w:multiLevelType w:val="hybridMultilevel"/>
    <w:tmpl w:val="FFDE9564"/>
    <w:lvl w:ilvl="0" w:tplc="A2E492F8">
      <w:start w:val="45"/>
      <w:numFmt w:val="bullet"/>
      <w:lvlText w:val="-"/>
      <w:lvlJc w:val="left"/>
      <w:pPr>
        <w:ind w:left="720" w:hanging="360"/>
      </w:pPr>
      <w:rPr>
        <w:rFonts w:ascii="Cambria" w:eastAsia="Times New Roman" w:hAnsi="Cambria" w:cs="Segoe UI" w:hint="default"/>
        <w:color w:val="000000" w:themeColor="text1"/>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9" w15:restartNumberingAfterBreak="0">
    <w:nsid w:val="62CE55CA"/>
    <w:multiLevelType w:val="hybridMultilevel"/>
    <w:tmpl w:val="CC08CF4C"/>
    <w:lvl w:ilvl="0" w:tplc="2E9A20E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62D26F57"/>
    <w:multiLevelType w:val="hybridMultilevel"/>
    <w:tmpl w:val="4E544D76"/>
    <w:lvl w:ilvl="0" w:tplc="75C68D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41E1CAA"/>
    <w:multiLevelType w:val="hybridMultilevel"/>
    <w:tmpl w:val="FECA540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645A0CDE"/>
    <w:multiLevelType w:val="hybridMultilevel"/>
    <w:tmpl w:val="1D6E899E"/>
    <w:lvl w:ilvl="0" w:tplc="6ACCA7FC">
      <w:numFmt w:val="bullet"/>
      <w:lvlText w:val="-"/>
      <w:lvlJc w:val="left"/>
      <w:pPr>
        <w:ind w:left="720" w:hanging="360"/>
      </w:pPr>
      <w:rPr>
        <w:rFonts w:ascii="Cambria" w:eastAsia="MS Gothic"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64F84EA4"/>
    <w:multiLevelType w:val="hybridMultilevel"/>
    <w:tmpl w:val="65BA27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68AF5564"/>
    <w:multiLevelType w:val="hybridMultilevel"/>
    <w:tmpl w:val="9E022D1E"/>
    <w:lvl w:ilvl="0" w:tplc="D4CAFA48">
      <w:numFmt w:val="bullet"/>
      <w:lvlText w:val="–"/>
      <w:lvlJc w:val="left"/>
      <w:pPr>
        <w:ind w:left="720" w:hanging="360"/>
      </w:pPr>
      <w:rPr>
        <w:rFonts w:ascii="Cambria" w:eastAsia="MS Gothic"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68B25315"/>
    <w:multiLevelType w:val="hybridMultilevel"/>
    <w:tmpl w:val="5EBCC3CA"/>
    <w:lvl w:ilvl="0" w:tplc="96F4AB90">
      <w:start w:val="4"/>
      <w:numFmt w:val="bullet"/>
      <w:lvlText w:val="-"/>
      <w:lvlJc w:val="left"/>
      <w:pPr>
        <w:ind w:left="720" w:hanging="360"/>
      </w:pPr>
      <w:rPr>
        <w:rFonts w:ascii="Cambria" w:eastAsia="MS Gothic" w:hAnsi="Cambr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15:restartNumberingAfterBreak="0">
    <w:nsid w:val="692D3F50"/>
    <w:multiLevelType w:val="hybridMultilevel"/>
    <w:tmpl w:val="F55A07B6"/>
    <w:lvl w:ilvl="0" w:tplc="6DE215C8">
      <w:numFmt w:val="bullet"/>
      <w:lvlText w:val="-"/>
      <w:lvlJc w:val="left"/>
      <w:pPr>
        <w:ind w:left="651" w:hanging="360"/>
      </w:pPr>
      <w:rPr>
        <w:rFonts w:ascii="Cambria" w:eastAsia="Cambria" w:hAnsi="Cambria" w:cs="Cambria" w:hint="default"/>
      </w:rPr>
    </w:lvl>
    <w:lvl w:ilvl="1" w:tplc="04090003" w:tentative="1">
      <w:start w:val="1"/>
      <w:numFmt w:val="bullet"/>
      <w:lvlText w:val="o"/>
      <w:lvlJc w:val="left"/>
      <w:pPr>
        <w:ind w:left="1371" w:hanging="360"/>
      </w:pPr>
      <w:rPr>
        <w:rFonts w:ascii="Courier New" w:hAnsi="Courier New" w:cs="Courier New" w:hint="default"/>
      </w:rPr>
    </w:lvl>
    <w:lvl w:ilvl="2" w:tplc="04090005" w:tentative="1">
      <w:start w:val="1"/>
      <w:numFmt w:val="bullet"/>
      <w:lvlText w:val=""/>
      <w:lvlJc w:val="left"/>
      <w:pPr>
        <w:ind w:left="2091" w:hanging="360"/>
      </w:pPr>
      <w:rPr>
        <w:rFonts w:ascii="Wingdings" w:hAnsi="Wingdings" w:hint="default"/>
      </w:rPr>
    </w:lvl>
    <w:lvl w:ilvl="3" w:tplc="04090001" w:tentative="1">
      <w:start w:val="1"/>
      <w:numFmt w:val="bullet"/>
      <w:lvlText w:val=""/>
      <w:lvlJc w:val="left"/>
      <w:pPr>
        <w:ind w:left="2811" w:hanging="360"/>
      </w:pPr>
      <w:rPr>
        <w:rFonts w:ascii="Symbol" w:hAnsi="Symbol" w:hint="default"/>
      </w:rPr>
    </w:lvl>
    <w:lvl w:ilvl="4" w:tplc="04090003" w:tentative="1">
      <w:start w:val="1"/>
      <w:numFmt w:val="bullet"/>
      <w:lvlText w:val="o"/>
      <w:lvlJc w:val="left"/>
      <w:pPr>
        <w:ind w:left="3531" w:hanging="360"/>
      </w:pPr>
      <w:rPr>
        <w:rFonts w:ascii="Courier New" w:hAnsi="Courier New" w:cs="Courier New" w:hint="default"/>
      </w:rPr>
    </w:lvl>
    <w:lvl w:ilvl="5" w:tplc="04090005" w:tentative="1">
      <w:start w:val="1"/>
      <w:numFmt w:val="bullet"/>
      <w:lvlText w:val=""/>
      <w:lvlJc w:val="left"/>
      <w:pPr>
        <w:ind w:left="4251" w:hanging="360"/>
      </w:pPr>
      <w:rPr>
        <w:rFonts w:ascii="Wingdings" w:hAnsi="Wingdings" w:hint="default"/>
      </w:rPr>
    </w:lvl>
    <w:lvl w:ilvl="6" w:tplc="04090001" w:tentative="1">
      <w:start w:val="1"/>
      <w:numFmt w:val="bullet"/>
      <w:lvlText w:val=""/>
      <w:lvlJc w:val="left"/>
      <w:pPr>
        <w:ind w:left="4971" w:hanging="360"/>
      </w:pPr>
      <w:rPr>
        <w:rFonts w:ascii="Symbol" w:hAnsi="Symbol" w:hint="default"/>
      </w:rPr>
    </w:lvl>
    <w:lvl w:ilvl="7" w:tplc="04090003" w:tentative="1">
      <w:start w:val="1"/>
      <w:numFmt w:val="bullet"/>
      <w:lvlText w:val="o"/>
      <w:lvlJc w:val="left"/>
      <w:pPr>
        <w:ind w:left="5691" w:hanging="360"/>
      </w:pPr>
      <w:rPr>
        <w:rFonts w:ascii="Courier New" w:hAnsi="Courier New" w:cs="Courier New" w:hint="default"/>
      </w:rPr>
    </w:lvl>
    <w:lvl w:ilvl="8" w:tplc="04090005" w:tentative="1">
      <w:start w:val="1"/>
      <w:numFmt w:val="bullet"/>
      <w:lvlText w:val=""/>
      <w:lvlJc w:val="left"/>
      <w:pPr>
        <w:ind w:left="6411" w:hanging="360"/>
      </w:pPr>
      <w:rPr>
        <w:rFonts w:ascii="Wingdings" w:hAnsi="Wingdings" w:hint="default"/>
      </w:rPr>
    </w:lvl>
  </w:abstractNum>
  <w:abstractNum w:abstractNumId="57" w15:restartNumberingAfterBreak="0">
    <w:nsid w:val="6B66643F"/>
    <w:multiLevelType w:val="hybridMultilevel"/>
    <w:tmpl w:val="2BC22106"/>
    <w:lvl w:ilvl="0" w:tplc="BCF80CC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6CAA7A2F"/>
    <w:multiLevelType w:val="hybridMultilevel"/>
    <w:tmpl w:val="68C49984"/>
    <w:lvl w:ilvl="0" w:tplc="DE0AA002">
      <w:start w:val="1"/>
      <w:numFmt w:val="bullet"/>
      <w:lvlText w:val=""/>
      <w:lvlJc w:val="left"/>
      <w:pPr>
        <w:ind w:left="720" w:hanging="360"/>
      </w:pPr>
      <w:rPr>
        <w:rFonts w:ascii="Symbol" w:hAnsi="Symbol"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4083A82"/>
    <w:multiLevelType w:val="multilevel"/>
    <w:tmpl w:val="B0AC3C5C"/>
    <w:lvl w:ilvl="0">
      <w:start w:val="1"/>
      <w:numFmt w:val="bullet"/>
      <w:pStyle w:val="bullets1"/>
      <w:lvlText w:val="-"/>
      <w:lvlJc w:val="left"/>
      <w:pPr>
        <w:ind w:left="720" w:hanging="360"/>
      </w:pPr>
      <w:rPr>
        <w:rFonts w:ascii="Cambria" w:eastAsia="Cambria" w:hAnsi="Cambria" w:cs="Cambria"/>
        <w:color w:val="000000"/>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0" w15:restartNumberingAfterBreak="0">
    <w:nsid w:val="767E2266"/>
    <w:multiLevelType w:val="hybridMultilevel"/>
    <w:tmpl w:val="09F8E09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78216C17"/>
    <w:multiLevelType w:val="hybridMultilevel"/>
    <w:tmpl w:val="F8380522"/>
    <w:lvl w:ilvl="0" w:tplc="D4CAFA48">
      <w:numFmt w:val="bullet"/>
      <w:lvlText w:val="–"/>
      <w:lvlJc w:val="left"/>
      <w:pPr>
        <w:ind w:left="431" w:hanging="360"/>
      </w:pPr>
      <w:rPr>
        <w:rFonts w:ascii="Cambria" w:eastAsia="MS Gothic" w:hAnsi="Cambria" w:cs="Times New Roman" w:hint="default"/>
      </w:rPr>
    </w:lvl>
    <w:lvl w:ilvl="1" w:tplc="04090003" w:tentative="1">
      <w:start w:val="1"/>
      <w:numFmt w:val="bullet"/>
      <w:lvlText w:val="o"/>
      <w:lvlJc w:val="left"/>
      <w:pPr>
        <w:ind w:left="1151" w:hanging="360"/>
      </w:pPr>
      <w:rPr>
        <w:rFonts w:ascii="Courier New" w:hAnsi="Courier New" w:cs="Courier New" w:hint="default"/>
      </w:rPr>
    </w:lvl>
    <w:lvl w:ilvl="2" w:tplc="04090005" w:tentative="1">
      <w:start w:val="1"/>
      <w:numFmt w:val="bullet"/>
      <w:lvlText w:val=""/>
      <w:lvlJc w:val="left"/>
      <w:pPr>
        <w:ind w:left="1871" w:hanging="360"/>
      </w:pPr>
      <w:rPr>
        <w:rFonts w:ascii="Wingdings" w:hAnsi="Wingdings" w:hint="default"/>
      </w:rPr>
    </w:lvl>
    <w:lvl w:ilvl="3" w:tplc="04090001" w:tentative="1">
      <w:start w:val="1"/>
      <w:numFmt w:val="bullet"/>
      <w:lvlText w:val=""/>
      <w:lvlJc w:val="left"/>
      <w:pPr>
        <w:ind w:left="2591" w:hanging="360"/>
      </w:pPr>
      <w:rPr>
        <w:rFonts w:ascii="Symbol" w:hAnsi="Symbol" w:hint="default"/>
      </w:rPr>
    </w:lvl>
    <w:lvl w:ilvl="4" w:tplc="04090003" w:tentative="1">
      <w:start w:val="1"/>
      <w:numFmt w:val="bullet"/>
      <w:lvlText w:val="o"/>
      <w:lvlJc w:val="left"/>
      <w:pPr>
        <w:ind w:left="3311" w:hanging="360"/>
      </w:pPr>
      <w:rPr>
        <w:rFonts w:ascii="Courier New" w:hAnsi="Courier New" w:cs="Courier New" w:hint="default"/>
      </w:rPr>
    </w:lvl>
    <w:lvl w:ilvl="5" w:tplc="04090005" w:tentative="1">
      <w:start w:val="1"/>
      <w:numFmt w:val="bullet"/>
      <w:lvlText w:val=""/>
      <w:lvlJc w:val="left"/>
      <w:pPr>
        <w:ind w:left="4031" w:hanging="360"/>
      </w:pPr>
      <w:rPr>
        <w:rFonts w:ascii="Wingdings" w:hAnsi="Wingdings" w:hint="default"/>
      </w:rPr>
    </w:lvl>
    <w:lvl w:ilvl="6" w:tplc="04090001" w:tentative="1">
      <w:start w:val="1"/>
      <w:numFmt w:val="bullet"/>
      <w:lvlText w:val=""/>
      <w:lvlJc w:val="left"/>
      <w:pPr>
        <w:ind w:left="4751" w:hanging="360"/>
      </w:pPr>
      <w:rPr>
        <w:rFonts w:ascii="Symbol" w:hAnsi="Symbol" w:hint="default"/>
      </w:rPr>
    </w:lvl>
    <w:lvl w:ilvl="7" w:tplc="04090003" w:tentative="1">
      <w:start w:val="1"/>
      <w:numFmt w:val="bullet"/>
      <w:lvlText w:val="o"/>
      <w:lvlJc w:val="left"/>
      <w:pPr>
        <w:ind w:left="5471" w:hanging="360"/>
      </w:pPr>
      <w:rPr>
        <w:rFonts w:ascii="Courier New" w:hAnsi="Courier New" w:cs="Courier New" w:hint="default"/>
      </w:rPr>
    </w:lvl>
    <w:lvl w:ilvl="8" w:tplc="04090005" w:tentative="1">
      <w:start w:val="1"/>
      <w:numFmt w:val="bullet"/>
      <w:lvlText w:val=""/>
      <w:lvlJc w:val="left"/>
      <w:pPr>
        <w:ind w:left="6191" w:hanging="360"/>
      </w:pPr>
      <w:rPr>
        <w:rFonts w:ascii="Wingdings" w:hAnsi="Wingdings" w:hint="default"/>
      </w:rPr>
    </w:lvl>
  </w:abstractNum>
  <w:abstractNum w:abstractNumId="62" w15:restartNumberingAfterBreak="0">
    <w:nsid w:val="7D2D087D"/>
    <w:multiLevelType w:val="hybridMultilevel"/>
    <w:tmpl w:val="50F098CA"/>
    <w:lvl w:ilvl="0" w:tplc="D3C0E8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82567718">
    <w:abstractNumId w:val="24"/>
  </w:num>
  <w:num w:numId="2" w16cid:durableId="81293800">
    <w:abstractNumId w:val="15"/>
  </w:num>
  <w:num w:numId="3" w16cid:durableId="711658608">
    <w:abstractNumId w:val="50"/>
  </w:num>
  <w:num w:numId="4" w16cid:durableId="120343658">
    <w:abstractNumId w:val="22"/>
  </w:num>
  <w:num w:numId="5" w16cid:durableId="2112046220">
    <w:abstractNumId w:val="58"/>
  </w:num>
  <w:num w:numId="6" w16cid:durableId="2107379390">
    <w:abstractNumId w:val="26"/>
  </w:num>
  <w:num w:numId="7" w16cid:durableId="160241618">
    <w:abstractNumId w:val="61"/>
  </w:num>
  <w:num w:numId="8" w16cid:durableId="1311524044">
    <w:abstractNumId w:val="27"/>
  </w:num>
  <w:num w:numId="9" w16cid:durableId="39596467">
    <w:abstractNumId w:val="23"/>
  </w:num>
  <w:num w:numId="10" w16cid:durableId="845556089">
    <w:abstractNumId w:val="54"/>
  </w:num>
  <w:num w:numId="11" w16cid:durableId="215512222">
    <w:abstractNumId w:val="13"/>
  </w:num>
  <w:num w:numId="12" w16cid:durableId="1747418630">
    <w:abstractNumId w:val="14"/>
  </w:num>
  <w:num w:numId="13" w16cid:durableId="503013966">
    <w:abstractNumId w:val="21"/>
  </w:num>
  <w:num w:numId="14" w16cid:durableId="111293595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98932748">
    <w:abstractNumId w:val="36"/>
  </w:num>
  <w:num w:numId="16" w16cid:durableId="745420403">
    <w:abstractNumId w:val="9"/>
  </w:num>
  <w:num w:numId="17" w16cid:durableId="548418638">
    <w:abstractNumId w:val="7"/>
  </w:num>
  <w:num w:numId="18" w16cid:durableId="1357075247">
    <w:abstractNumId w:val="6"/>
  </w:num>
  <w:num w:numId="19" w16cid:durableId="109980695">
    <w:abstractNumId w:val="5"/>
  </w:num>
  <w:num w:numId="20" w16cid:durableId="910428267">
    <w:abstractNumId w:val="4"/>
  </w:num>
  <w:num w:numId="21" w16cid:durableId="861554197">
    <w:abstractNumId w:val="8"/>
  </w:num>
  <w:num w:numId="22" w16cid:durableId="1762140556">
    <w:abstractNumId w:val="3"/>
  </w:num>
  <w:num w:numId="23" w16cid:durableId="1104693396">
    <w:abstractNumId w:val="2"/>
  </w:num>
  <w:num w:numId="24" w16cid:durableId="325673402">
    <w:abstractNumId w:val="1"/>
  </w:num>
  <w:num w:numId="25" w16cid:durableId="2043046727">
    <w:abstractNumId w:val="0"/>
  </w:num>
  <w:num w:numId="26" w16cid:durableId="1549106063">
    <w:abstractNumId w:val="59"/>
  </w:num>
  <w:num w:numId="27" w16cid:durableId="1363825850">
    <w:abstractNumId w:val="28"/>
  </w:num>
  <w:num w:numId="28" w16cid:durableId="1000155976">
    <w:abstractNumId w:val="38"/>
  </w:num>
  <w:num w:numId="29" w16cid:durableId="1680348477">
    <w:abstractNumId w:val="55"/>
  </w:num>
  <w:num w:numId="30" w16cid:durableId="1545482457">
    <w:abstractNumId w:val="10"/>
  </w:num>
  <w:num w:numId="31" w16cid:durableId="2030599603">
    <w:abstractNumId w:val="19"/>
  </w:num>
  <w:num w:numId="32" w16cid:durableId="1933705796">
    <w:abstractNumId w:val="34"/>
  </w:num>
  <w:num w:numId="33" w16cid:durableId="506284244">
    <w:abstractNumId w:val="18"/>
  </w:num>
  <w:num w:numId="34" w16cid:durableId="1721706208">
    <w:abstractNumId w:val="17"/>
  </w:num>
  <w:num w:numId="35" w16cid:durableId="1972979888">
    <w:abstractNumId w:val="47"/>
  </w:num>
  <w:num w:numId="36" w16cid:durableId="917405664">
    <w:abstractNumId w:val="49"/>
  </w:num>
  <w:num w:numId="37" w16cid:durableId="1338458834">
    <w:abstractNumId w:val="37"/>
  </w:num>
  <w:num w:numId="38" w16cid:durableId="923146539">
    <w:abstractNumId w:val="25"/>
  </w:num>
  <w:num w:numId="39" w16cid:durableId="118650838">
    <w:abstractNumId w:val="39"/>
  </w:num>
  <w:num w:numId="40" w16cid:durableId="293217173">
    <w:abstractNumId w:val="33"/>
  </w:num>
  <w:num w:numId="41" w16cid:durableId="1462964908">
    <w:abstractNumId w:val="32"/>
  </w:num>
  <w:num w:numId="42" w16cid:durableId="106432251">
    <w:abstractNumId w:val="52"/>
  </w:num>
  <w:num w:numId="43" w16cid:durableId="1942909583">
    <w:abstractNumId w:val="41"/>
  </w:num>
  <w:num w:numId="44" w16cid:durableId="959871414">
    <w:abstractNumId w:val="20"/>
  </w:num>
  <w:num w:numId="45" w16cid:durableId="1104568735">
    <w:abstractNumId w:val="42"/>
  </w:num>
  <w:num w:numId="46" w16cid:durableId="1947417685">
    <w:abstractNumId w:val="60"/>
  </w:num>
  <w:num w:numId="47" w16cid:durableId="460652914">
    <w:abstractNumId w:val="40"/>
  </w:num>
  <w:num w:numId="48" w16cid:durableId="160243420">
    <w:abstractNumId w:val="57"/>
  </w:num>
  <w:num w:numId="49" w16cid:durableId="1924484814">
    <w:abstractNumId w:val="45"/>
  </w:num>
  <w:num w:numId="50" w16cid:durableId="66717752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92712946">
    <w:abstractNumId w:val="31"/>
  </w:num>
  <w:num w:numId="52" w16cid:durableId="270674980">
    <w:abstractNumId w:val="44"/>
  </w:num>
  <w:num w:numId="53" w16cid:durableId="700202555">
    <w:abstractNumId w:val="48"/>
  </w:num>
  <w:num w:numId="54" w16cid:durableId="180706828">
    <w:abstractNumId w:val="43"/>
  </w:num>
  <w:num w:numId="55" w16cid:durableId="292247971">
    <w:abstractNumId w:val="11"/>
  </w:num>
  <w:num w:numId="56" w16cid:durableId="348416199">
    <w:abstractNumId w:val="62"/>
  </w:num>
  <w:num w:numId="57" w16cid:durableId="497235629">
    <w:abstractNumId w:val="16"/>
  </w:num>
  <w:num w:numId="58" w16cid:durableId="1552158843">
    <w:abstractNumId w:val="51"/>
  </w:num>
  <w:num w:numId="59" w16cid:durableId="516967556">
    <w:abstractNumId w:val="30"/>
  </w:num>
  <w:num w:numId="60" w16cid:durableId="95567919">
    <w:abstractNumId w:val="35"/>
  </w:num>
  <w:num w:numId="61" w16cid:durableId="1065762280">
    <w:abstractNumId w:val="29"/>
  </w:num>
  <w:num w:numId="62" w16cid:durableId="1538851042">
    <w:abstractNumId w:val="12"/>
  </w:num>
  <w:num w:numId="63" w16cid:durableId="658195084">
    <w:abstractNumId w:val="5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BB9"/>
    <w:rsid w:val="00000AD5"/>
    <w:rsid w:val="00004140"/>
    <w:rsid w:val="00004CA5"/>
    <w:rsid w:val="00006F7D"/>
    <w:rsid w:val="000111E9"/>
    <w:rsid w:val="00021CD2"/>
    <w:rsid w:val="00022EB3"/>
    <w:rsid w:val="000230C8"/>
    <w:rsid w:val="00023C0C"/>
    <w:rsid w:val="00025E19"/>
    <w:rsid w:val="00030820"/>
    <w:rsid w:val="00032C13"/>
    <w:rsid w:val="00035A2D"/>
    <w:rsid w:val="000410CF"/>
    <w:rsid w:val="00045053"/>
    <w:rsid w:val="000469C3"/>
    <w:rsid w:val="00053167"/>
    <w:rsid w:val="000567A5"/>
    <w:rsid w:val="0005723D"/>
    <w:rsid w:val="000620A7"/>
    <w:rsid w:val="00062243"/>
    <w:rsid w:val="00066E01"/>
    <w:rsid w:val="00072BA2"/>
    <w:rsid w:val="000743EF"/>
    <w:rsid w:val="00081516"/>
    <w:rsid w:val="0008276D"/>
    <w:rsid w:val="00083BB9"/>
    <w:rsid w:val="00084114"/>
    <w:rsid w:val="000871CA"/>
    <w:rsid w:val="00092456"/>
    <w:rsid w:val="000926DE"/>
    <w:rsid w:val="000A36DE"/>
    <w:rsid w:val="000A7B95"/>
    <w:rsid w:val="000B1E36"/>
    <w:rsid w:val="000B6944"/>
    <w:rsid w:val="000C4DA2"/>
    <w:rsid w:val="000D39C2"/>
    <w:rsid w:val="000D625D"/>
    <w:rsid w:val="000D6E00"/>
    <w:rsid w:val="000D738A"/>
    <w:rsid w:val="000E38CA"/>
    <w:rsid w:val="000E4FDD"/>
    <w:rsid w:val="000F0679"/>
    <w:rsid w:val="000F26BB"/>
    <w:rsid w:val="00104887"/>
    <w:rsid w:val="00113A2F"/>
    <w:rsid w:val="00116ECE"/>
    <w:rsid w:val="00120100"/>
    <w:rsid w:val="00120A8B"/>
    <w:rsid w:val="00130CDF"/>
    <w:rsid w:val="00134E6A"/>
    <w:rsid w:val="001351A2"/>
    <w:rsid w:val="001357D1"/>
    <w:rsid w:val="00136CD6"/>
    <w:rsid w:val="00141A72"/>
    <w:rsid w:val="00142152"/>
    <w:rsid w:val="00142DD9"/>
    <w:rsid w:val="0014582E"/>
    <w:rsid w:val="00150EE2"/>
    <w:rsid w:val="00152064"/>
    <w:rsid w:val="0016157B"/>
    <w:rsid w:val="00170DB8"/>
    <w:rsid w:val="00173A66"/>
    <w:rsid w:val="0017470B"/>
    <w:rsid w:val="00177CC7"/>
    <w:rsid w:val="001802EF"/>
    <w:rsid w:val="00190563"/>
    <w:rsid w:val="00196A26"/>
    <w:rsid w:val="001A5F96"/>
    <w:rsid w:val="001A7CED"/>
    <w:rsid w:val="001B366C"/>
    <w:rsid w:val="001B5C70"/>
    <w:rsid w:val="001C3A69"/>
    <w:rsid w:val="001C72B5"/>
    <w:rsid w:val="001C76E2"/>
    <w:rsid w:val="001D2A18"/>
    <w:rsid w:val="001D746A"/>
    <w:rsid w:val="001E2D1B"/>
    <w:rsid w:val="001F225E"/>
    <w:rsid w:val="001F469F"/>
    <w:rsid w:val="001F72C4"/>
    <w:rsid w:val="00205C7A"/>
    <w:rsid w:val="002245BF"/>
    <w:rsid w:val="0023228C"/>
    <w:rsid w:val="00243DAC"/>
    <w:rsid w:val="002455C2"/>
    <w:rsid w:val="002478CD"/>
    <w:rsid w:val="002506D6"/>
    <w:rsid w:val="002521AE"/>
    <w:rsid w:val="00253DCB"/>
    <w:rsid w:val="002551E6"/>
    <w:rsid w:val="00257989"/>
    <w:rsid w:val="002638A4"/>
    <w:rsid w:val="002654AB"/>
    <w:rsid w:val="002678F5"/>
    <w:rsid w:val="00267FDC"/>
    <w:rsid w:val="002733F5"/>
    <w:rsid w:val="0027574B"/>
    <w:rsid w:val="002765DC"/>
    <w:rsid w:val="00291B36"/>
    <w:rsid w:val="00292C2F"/>
    <w:rsid w:val="00294375"/>
    <w:rsid w:val="002951EA"/>
    <w:rsid w:val="002B01C1"/>
    <w:rsid w:val="002B1AA1"/>
    <w:rsid w:val="002B2770"/>
    <w:rsid w:val="002B7EFB"/>
    <w:rsid w:val="002C5856"/>
    <w:rsid w:val="002C636E"/>
    <w:rsid w:val="002D1AFF"/>
    <w:rsid w:val="002D245C"/>
    <w:rsid w:val="002D549B"/>
    <w:rsid w:val="002D61D7"/>
    <w:rsid w:val="002D6830"/>
    <w:rsid w:val="002E1EDA"/>
    <w:rsid w:val="002E4388"/>
    <w:rsid w:val="002E7D5E"/>
    <w:rsid w:val="002F2FEE"/>
    <w:rsid w:val="002F30F6"/>
    <w:rsid w:val="002F41E7"/>
    <w:rsid w:val="002F5AFF"/>
    <w:rsid w:val="002F7375"/>
    <w:rsid w:val="002F7F78"/>
    <w:rsid w:val="00300014"/>
    <w:rsid w:val="00301388"/>
    <w:rsid w:val="00304E87"/>
    <w:rsid w:val="003061F3"/>
    <w:rsid w:val="003079DF"/>
    <w:rsid w:val="0032435E"/>
    <w:rsid w:val="003248E6"/>
    <w:rsid w:val="0032736C"/>
    <w:rsid w:val="003279E8"/>
    <w:rsid w:val="003300D0"/>
    <w:rsid w:val="003312A5"/>
    <w:rsid w:val="00333E77"/>
    <w:rsid w:val="003362D7"/>
    <w:rsid w:val="0034284E"/>
    <w:rsid w:val="003553AF"/>
    <w:rsid w:val="00356C58"/>
    <w:rsid w:val="003578A8"/>
    <w:rsid w:val="0037109F"/>
    <w:rsid w:val="00372C71"/>
    <w:rsid w:val="00376CE1"/>
    <w:rsid w:val="00377102"/>
    <w:rsid w:val="003820D9"/>
    <w:rsid w:val="003834CD"/>
    <w:rsid w:val="003928B6"/>
    <w:rsid w:val="003939D7"/>
    <w:rsid w:val="003B00D5"/>
    <w:rsid w:val="003B1192"/>
    <w:rsid w:val="003B6147"/>
    <w:rsid w:val="003C1AE0"/>
    <w:rsid w:val="003C62BD"/>
    <w:rsid w:val="003C6351"/>
    <w:rsid w:val="003D3F9E"/>
    <w:rsid w:val="003E28D1"/>
    <w:rsid w:val="003F170B"/>
    <w:rsid w:val="003F6737"/>
    <w:rsid w:val="003F7B76"/>
    <w:rsid w:val="0040366C"/>
    <w:rsid w:val="00403F0F"/>
    <w:rsid w:val="004061C6"/>
    <w:rsid w:val="00407F32"/>
    <w:rsid w:val="00413BF6"/>
    <w:rsid w:val="00421EC6"/>
    <w:rsid w:val="00431CB5"/>
    <w:rsid w:val="00442735"/>
    <w:rsid w:val="00442C45"/>
    <w:rsid w:val="004433EE"/>
    <w:rsid w:val="004535BB"/>
    <w:rsid w:val="00460086"/>
    <w:rsid w:val="00462960"/>
    <w:rsid w:val="00463134"/>
    <w:rsid w:val="004633FF"/>
    <w:rsid w:val="00467249"/>
    <w:rsid w:val="00467EBF"/>
    <w:rsid w:val="00471DEF"/>
    <w:rsid w:val="00473589"/>
    <w:rsid w:val="0047716C"/>
    <w:rsid w:val="00481F47"/>
    <w:rsid w:val="00483191"/>
    <w:rsid w:val="00487A5C"/>
    <w:rsid w:val="00490C00"/>
    <w:rsid w:val="00494174"/>
    <w:rsid w:val="004A027C"/>
    <w:rsid w:val="004A6643"/>
    <w:rsid w:val="004A6863"/>
    <w:rsid w:val="004A72C1"/>
    <w:rsid w:val="004B1BAC"/>
    <w:rsid w:val="004B270C"/>
    <w:rsid w:val="004B6327"/>
    <w:rsid w:val="004C076F"/>
    <w:rsid w:val="004C3006"/>
    <w:rsid w:val="004C5242"/>
    <w:rsid w:val="004C5B27"/>
    <w:rsid w:val="004C6CF9"/>
    <w:rsid w:val="004C7658"/>
    <w:rsid w:val="004D5595"/>
    <w:rsid w:val="004E13E9"/>
    <w:rsid w:val="004E5F17"/>
    <w:rsid w:val="004F391F"/>
    <w:rsid w:val="004F49FC"/>
    <w:rsid w:val="004F7801"/>
    <w:rsid w:val="0050409F"/>
    <w:rsid w:val="005055C9"/>
    <w:rsid w:val="00506164"/>
    <w:rsid w:val="00507420"/>
    <w:rsid w:val="00511096"/>
    <w:rsid w:val="005449C8"/>
    <w:rsid w:val="0054545D"/>
    <w:rsid w:val="00551CF5"/>
    <w:rsid w:val="005525A2"/>
    <w:rsid w:val="00553F14"/>
    <w:rsid w:val="00565D5A"/>
    <w:rsid w:val="00575566"/>
    <w:rsid w:val="00575AE8"/>
    <w:rsid w:val="00582C57"/>
    <w:rsid w:val="0058571D"/>
    <w:rsid w:val="005872C7"/>
    <w:rsid w:val="00594EA1"/>
    <w:rsid w:val="005955B5"/>
    <w:rsid w:val="00596EC6"/>
    <w:rsid w:val="0059760B"/>
    <w:rsid w:val="00597B9C"/>
    <w:rsid w:val="005B0BF4"/>
    <w:rsid w:val="005B1A94"/>
    <w:rsid w:val="005C118D"/>
    <w:rsid w:val="005C27FE"/>
    <w:rsid w:val="005C7690"/>
    <w:rsid w:val="005D58E1"/>
    <w:rsid w:val="005D5B72"/>
    <w:rsid w:val="005D6582"/>
    <w:rsid w:val="005D66EC"/>
    <w:rsid w:val="005E04BF"/>
    <w:rsid w:val="005E7B7B"/>
    <w:rsid w:val="005F26D9"/>
    <w:rsid w:val="005F38C1"/>
    <w:rsid w:val="005F4121"/>
    <w:rsid w:val="00615CC7"/>
    <w:rsid w:val="00615DCB"/>
    <w:rsid w:val="0062309A"/>
    <w:rsid w:val="00626333"/>
    <w:rsid w:val="006263C7"/>
    <w:rsid w:val="0063153A"/>
    <w:rsid w:val="00632B51"/>
    <w:rsid w:val="00633FAA"/>
    <w:rsid w:val="0063524B"/>
    <w:rsid w:val="0063794F"/>
    <w:rsid w:val="006406DF"/>
    <w:rsid w:val="00642F18"/>
    <w:rsid w:val="006458E3"/>
    <w:rsid w:val="0064645B"/>
    <w:rsid w:val="00647C9F"/>
    <w:rsid w:val="00652E86"/>
    <w:rsid w:val="00654430"/>
    <w:rsid w:val="0065770A"/>
    <w:rsid w:val="00663926"/>
    <w:rsid w:val="006650F3"/>
    <w:rsid w:val="00666C35"/>
    <w:rsid w:val="00673DED"/>
    <w:rsid w:val="00676ABD"/>
    <w:rsid w:val="006834F8"/>
    <w:rsid w:val="00684D6A"/>
    <w:rsid w:val="00685078"/>
    <w:rsid w:val="00694BF1"/>
    <w:rsid w:val="006972C0"/>
    <w:rsid w:val="006A2397"/>
    <w:rsid w:val="006A3093"/>
    <w:rsid w:val="006A3862"/>
    <w:rsid w:val="006A78AF"/>
    <w:rsid w:val="006C528B"/>
    <w:rsid w:val="006C6552"/>
    <w:rsid w:val="006C6F60"/>
    <w:rsid w:val="006C71FD"/>
    <w:rsid w:val="006D1C27"/>
    <w:rsid w:val="006D50A5"/>
    <w:rsid w:val="006D6671"/>
    <w:rsid w:val="006E27D8"/>
    <w:rsid w:val="006F1BC3"/>
    <w:rsid w:val="006F47C2"/>
    <w:rsid w:val="006F7127"/>
    <w:rsid w:val="00704F96"/>
    <w:rsid w:val="00706B75"/>
    <w:rsid w:val="00726774"/>
    <w:rsid w:val="007313A6"/>
    <w:rsid w:val="007325B7"/>
    <w:rsid w:val="00734E1F"/>
    <w:rsid w:val="00735A49"/>
    <w:rsid w:val="00737F1C"/>
    <w:rsid w:val="00745BE8"/>
    <w:rsid w:val="00746A9E"/>
    <w:rsid w:val="00756459"/>
    <w:rsid w:val="007620BE"/>
    <w:rsid w:val="00763339"/>
    <w:rsid w:val="0076386A"/>
    <w:rsid w:val="00772348"/>
    <w:rsid w:val="0077237B"/>
    <w:rsid w:val="007779D6"/>
    <w:rsid w:val="00787115"/>
    <w:rsid w:val="007956C4"/>
    <w:rsid w:val="007A2E17"/>
    <w:rsid w:val="007B2C5B"/>
    <w:rsid w:val="007C1525"/>
    <w:rsid w:val="007C45E5"/>
    <w:rsid w:val="007C4ADF"/>
    <w:rsid w:val="007C6529"/>
    <w:rsid w:val="007D4762"/>
    <w:rsid w:val="007E1D22"/>
    <w:rsid w:val="007E20D4"/>
    <w:rsid w:val="007E37B7"/>
    <w:rsid w:val="007F4F41"/>
    <w:rsid w:val="0080215F"/>
    <w:rsid w:val="00803307"/>
    <w:rsid w:val="008125D2"/>
    <w:rsid w:val="00813972"/>
    <w:rsid w:val="00816B7D"/>
    <w:rsid w:val="0082292C"/>
    <w:rsid w:val="00827114"/>
    <w:rsid w:val="00827783"/>
    <w:rsid w:val="0083175D"/>
    <w:rsid w:val="00841FA2"/>
    <w:rsid w:val="0084313D"/>
    <w:rsid w:val="00843A76"/>
    <w:rsid w:val="00846B45"/>
    <w:rsid w:val="0084719E"/>
    <w:rsid w:val="00847A27"/>
    <w:rsid w:val="00850623"/>
    <w:rsid w:val="008534D9"/>
    <w:rsid w:val="008536EC"/>
    <w:rsid w:val="008552C7"/>
    <w:rsid w:val="00863934"/>
    <w:rsid w:val="0086587C"/>
    <w:rsid w:val="0087073D"/>
    <w:rsid w:val="00874E94"/>
    <w:rsid w:val="00881C6C"/>
    <w:rsid w:val="008839EE"/>
    <w:rsid w:val="0089560E"/>
    <w:rsid w:val="008A0FE5"/>
    <w:rsid w:val="008A2F8F"/>
    <w:rsid w:val="008A3586"/>
    <w:rsid w:val="008A5CDD"/>
    <w:rsid w:val="008B0CEF"/>
    <w:rsid w:val="008B0FF3"/>
    <w:rsid w:val="008B5078"/>
    <w:rsid w:val="008C5121"/>
    <w:rsid w:val="008D0B51"/>
    <w:rsid w:val="008D4C97"/>
    <w:rsid w:val="008D6E32"/>
    <w:rsid w:val="008D75F4"/>
    <w:rsid w:val="008D7B19"/>
    <w:rsid w:val="008E33F7"/>
    <w:rsid w:val="008E4DCB"/>
    <w:rsid w:val="008E517B"/>
    <w:rsid w:val="008F5CCE"/>
    <w:rsid w:val="00905523"/>
    <w:rsid w:val="00927E3F"/>
    <w:rsid w:val="00932B5C"/>
    <w:rsid w:val="00934E2D"/>
    <w:rsid w:val="009362CC"/>
    <w:rsid w:val="00936B71"/>
    <w:rsid w:val="009476A8"/>
    <w:rsid w:val="00951B5A"/>
    <w:rsid w:val="009523C8"/>
    <w:rsid w:val="009528FF"/>
    <w:rsid w:val="009743C2"/>
    <w:rsid w:val="00976976"/>
    <w:rsid w:val="009769BF"/>
    <w:rsid w:val="00977931"/>
    <w:rsid w:val="0098146C"/>
    <w:rsid w:val="009850C1"/>
    <w:rsid w:val="00985A92"/>
    <w:rsid w:val="00986188"/>
    <w:rsid w:val="009A2CE0"/>
    <w:rsid w:val="009A4092"/>
    <w:rsid w:val="009A589C"/>
    <w:rsid w:val="009B4621"/>
    <w:rsid w:val="009B49E3"/>
    <w:rsid w:val="009B5A25"/>
    <w:rsid w:val="009B6AE2"/>
    <w:rsid w:val="009B6D42"/>
    <w:rsid w:val="009D3BE5"/>
    <w:rsid w:val="009D41D8"/>
    <w:rsid w:val="009D5B3E"/>
    <w:rsid w:val="009D7AA4"/>
    <w:rsid w:val="009E0BC7"/>
    <w:rsid w:val="009E4700"/>
    <w:rsid w:val="009E6152"/>
    <w:rsid w:val="009E6E52"/>
    <w:rsid w:val="009F34B6"/>
    <w:rsid w:val="009F66B0"/>
    <w:rsid w:val="00A009B9"/>
    <w:rsid w:val="00A01338"/>
    <w:rsid w:val="00A049DB"/>
    <w:rsid w:val="00A05C11"/>
    <w:rsid w:val="00A1495F"/>
    <w:rsid w:val="00A15A6D"/>
    <w:rsid w:val="00A2583A"/>
    <w:rsid w:val="00A34790"/>
    <w:rsid w:val="00A37ED5"/>
    <w:rsid w:val="00A402C0"/>
    <w:rsid w:val="00A418E0"/>
    <w:rsid w:val="00A422FA"/>
    <w:rsid w:val="00A43228"/>
    <w:rsid w:val="00A43601"/>
    <w:rsid w:val="00A51E12"/>
    <w:rsid w:val="00A66C10"/>
    <w:rsid w:val="00A85F56"/>
    <w:rsid w:val="00AA6360"/>
    <w:rsid w:val="00AA6FD5"/>
    <w:rsid w:val="00AB3BE9"/>
    <w:rsid w:val="00AB59EE"/>
    <w:rsid w:val="00AC08E4"/>
    <w:rsid w:val="00AC0A94"/>
    <w:rsid w:val="00AC150B"/>
    <w:rsid w:val="00AE11AD"/>
    <w:rsid w:val="00AE2154"/>
    <w:rsid w:val="00AE7739"/>
    <w:rsid w:val="00B046C3"/>
    <w:rsid w:val="00B07693"/>
    <w:rsid w:val="00B13C09"/>
    <w:rsid w:val="00B20156"/>
    <w:rsid w:val="00B278C7"/>
    <w:rsid w:val="00B40AA9"/>
    <w:rsid w:val="00B52B33"/>
    <w:rsid w:val="00B56197"/>
    <w:rsid w:val="00B66197"/>
    <w:rsid w:val="00B671AF"/>
    <w:rsid w:val="00B70D05"/>
    <w:rsid w:val="00B73ED4"/>
    <w:rsid w:val="00B76956"/>
    <w:rsid w:val="00B82E87"/>
    <w:rsid w:val="00B866B6"/>
    <w:rsid w:val="00B87E9A"/>
    <w:rsid w:val="00B904E6"/>
    <w:rsid w:val="00B9128E"/>
    <w:rsid w:val="00B913F8"/>
    <w:rsid w:val="00B91B58"/>
    <w:rsid w:val="00B95EBE"/>
    <w:rsid w:val="00BA0F91"/>
    <w:rsid w:val="00BA21B7"/>
    <w:rsid w:val="00BA294A"/>
    <w:rsid w:val="00BA30FD"/>
    <w:rsid w:val="00BA361E"/>
    <w:rsid w:val="00BB3686"/>
    <w:rsid w:val="00BB6D78"/>
    <w:rsid w:val="00BC556C"/>
    <w:rsid w:val="00BC63AE"/>
    <w:rsid w:val="00BC7A73"/>
    <w:rsid w:val="00BE0D3A"/>
    <w:rsid w:val="00BE0E7F"/>
    <w:rsid w:val="00BE1BB4"/>
    <w:rsid w:val="00BE5E9E"/>
    <w:rsid w:val="00BE7FAC"/>
    <w:rsid w:val="00BF1470"/>
    <w:rsid w:val="00BF467E"/>
    <w:rsid w:val="00BF5CE7"/>
    <w:rsid w:val="00C14CCB"/>
    <w:rsid w:val="00C154F1"/>
    <w:rsid w:val="00C250F8"/>
    <w:rsid w:val="00C26D7C"/>
    <w:rsid w:val="00C27C36"/>
    <w:rsid w:val="00C41297"/>
    <w:rsid w:val="00C415C7"/>
    <w:rsid w:val="00C52BC0"/>
    <w:rsid w:val="00C53B2B"/>
    <w:rsid w:val="00C5533C"/>
    <w:rsid w:val="00C554C7"/>
    <w:rsid w:val="00C56EAB"/>
    <w:rsid w:val="00C61F56"/>
    <w:rsid w:val="00C650C8"/>
    <w:rsid w:val="00C66A7D"/>
    <w:rsid w:val="00C67DD6"/>
    <w:rsid w:val="00C712A4"/>
    <w:rsid w:val="00C80B99"/>
    <w:rsid w:val="00C8323B"/>
    <w:rsid w:val="00C90F1C"/>
    <w:rsid w:val="00C91123"/>
    <w:rsid w:val="00C9533B"/>
    <w:rsid w:val="00CA6A97"/>
    <w:rsid w:val="00CB2C56"/>
    <w:rsid w:val="00CB3E51"/>
    <w:rsid w:val="00CC0CE8"/>
    <w:rsid w:val="00CC42F1"/>
    <w:rsid w:val="00CF2760"/>
    <w:rsid w:val="00CF3DDA"/>
    <w:rsid w:val="00D0554E"/>
    <w:rsid w:val="00D14085"/>
    <w:rsid w:val="00D229C2"/>
    <w:rsid w:val="00D31282"/>
    <w:rsid w:val="00D3188C"/>
    <w:rsid w:val="00D40F3B"/>
    <w:rsid w:val="00D40F91"/>
    <w:rsid w:val="00D41BB9"/>
    <w:rsid w:val="00D42329"/>
    <w:rsid w:val="00D51764"/>
    <w:rsid w:val="00D51B8D"/>
    <w:rsid w:val="00D530FA"/>
    <w:rsid w:val="00D53CBE"/>
    <w:rsid w:val="00D548A8"/>
    <w:rsid w:val="00D6136B"/>
    <w:rsid w:val="00D62E70"/>
    <w:rsid w:val="00D6614B"/>
    <w:rsid w:val="00D67184"/>
    <w:rsid w:val="00D70898"/>
    <w:rsid w:val="00D71D9A"/>
    <w:rsid w:val="00D73762"/>
    <w:rsid w:val="00D87915"/>
    <w:rsid w:val="00D95D78"/>
    <w:rsid w:val="00D96B66"/>
    <w:rsid w:val="00D96D6A"/>
    <w:rsid w:val="00DB110A"/>
    <w:rsid w:val="00DB7058"/>
    <w:rsid w:val="00DC0329"/>
    <w:rsid w:val="00DC51DA"/>
    <w:rsid w:val="00DD0AAE"/>
    <w:rsid w:val="00DD2389"/>
    <w:rsid w:val="00DD3F2E"/>
    <w:rsid w:val="00DD7C5A"/>
    <w:rsid w:val="00DE0DB9"/>
    <w:rsid w:val="00DE164C"/>
    <w:rsid w:val="00DE3219"/>
    <w:rsid w:val="00DF1150"/>
    <w:rsid w:val="00DF358A"/>
    <w:rsid w:val="00DF6927"/>
    <w:rsid w:val="00E02C62"/>
    <w:rsid w:val="00E04185"/>
    <w:rsid w:val="00E07EFF"/>
    <w:rsid w:val="00E07FCF"/>
    <w:rsid w:val="00E12393"/>
    <w:rsid w:val="00E2473F"/>
    <w:rsid w:val="00E26F9C"/>
    <w:rsid w:val="00E30BD1"/>
    <w:rsid w:val="00E37480"/>
    <w:rsid w:val="00E51C40"/>
    <w:rsid w:val="00E56633"/>
    <w:rsid w:val="00E57302"/>
    <w:rsid w:val="00E73D88"/>
    <w:rsid w:val="00E77484"/>
    <w:rsid w:val="00E86197"/>
    <w:rsid w:val="00E87966"/>
    <w:rsid w:val="00E9255B"/>
    <w:rsid w:val="00E92D77"/>
    <w:rsid w:val="00E938A6"/>
    <w:rsid w:val="00E95051"/>
    <w:rsid w:val="00EA0B6B"/>
    <w:rsid w:val="00EA163F"/>
    <w:rsid w:val="00EA1783"/>
    <w:rsid w:val="00EA19E5"/>
    <w:rsid w:val="00EA231B"/>
    <w:rsid w:val="00EA2485"/>
    <w:rsid w:val="00EB33F3"/>
    <w:rsid w:val="00EB490D"/>
    <w:rsid w:val="00EE32D8"/>
    <w:rsid w:val="00EE39CD"/>
    <w:rsid w:val="00EE4787"/>
    <w:rsid w:val="00EE7BA5"/>
    <w:rsid w:val="00EF0033"/>
    <w:rsid w:val="00F076D1"/>
    <w:rsid w:val="00F16982"/>
    <w:rsid w:val="00F204CE"/>
    <w:rsid w:val="00F21021"/>
    <w:rsid w:val="00F2188D"/>
    <w:rsid w:val="00F26104"/>
    <w:rsid w:val="00F44D25"/>
    <w:rsid w:val="00F4748A"/>
    <w:rsid w:val="00F479C7"/>
    <w:rsid w:val="00F563D4"/>
    <w:rsid w:val="00F638AF"/>
    <w:rsid w:val="00F65E2B"/>
    <w:rsid w:val="00F762A0"/>
    <w:rsid w:val="00F8120E"/>
    <w:rsid w:val="00F81B4D"/>
    <w:rsid w:val="00F849E5"/>
    <w:rsid w:val="00F94DAB"/>
    <w:rsid w:val="00F958EE"/>
    <w:rsid w:val="00F968FF"/>
    <w:rsid w:val="00FA790A"/>
    <w:rsid w:val="00FA79C3"/>
    <w:rsid w:val="00FB1B2A"/>
    <w:rsid w:val="00FC16BE"/>
    <w:rsid w:val="00FD3D67"/>
    <w:rsid w:val="00FE04DA"/>
    <w:rsid w:val="00FE722A"/>
    <w:rsid w:val="00FF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BF991"/>
  <w15:docId w15:val="{D28EB216-6AD9-4966-8533-8561C4FFE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46C3"/>
    <w:pPr>
      <w:keepNext/>
      <w:keepLines/>
      <w:spacing w:before="240" w:line="259" w:lineRule="auto"/>
      <w:outlineLvl w:val="0"/>
    </w:pPr>
    <w:rPr>
      <w:rFonts w:asciiTheme="majorHAnsi" w:eastAsiaTheme="majorEastAsia" w:hAnsiTheme="majorHAnsi" w:cstheme="majorBidi"/>
      <w:color w:val="0F4761" w:themeColor="accent1" w:themeShade="BF"/>
      <w:sz w:val="32"/>
      <w:szCs w:val="32"/>
      <w:lang w:val="fr-FR"/>
    </w:rPr>
  </w:style>
  <w:style w:type="paragraph" w:styleId="Heading2">
    <w:name w:val="heading 2"/>
    <w:basedOn w:val="Normal"/>
    <w:link w:val="Heading2Char"/>
    <w:uiPriority w:val="9"/>
    <w:qFormat/>
    <w:rsid w:val="00B046C3"/>
    <w:pPr>
      <w:spacing w:before="100" w:beforeAutospacing="1" w:after="100" w:afterAutospacing="1"/>
      <w:outlineLvl w:val="1"/>
    </w:pPr>
    <w:rPr>
      <w:rFonts w:ascii="Times New Roman" w:eastAsia="Times New Roman" w:hAnsi="Times New Roman" w:cs="Times New Roman"/>
      <w:b/>
      <w:bCs/>
      <w:sz w:val="36"/>
      <w:szCs w:val="36"/>
      <w:lang w:val="fr-FR" w:eastAsia="fr-FR"/>
    </w:rPr>
  </w:style>
  <w:style w:type="paragraph" w:styleId="Heading3">
    <w:name w:val="heading 3"/>
    <w:basedOn w:val="Normal"/>
    <w:next w:val="Normal"/>
    <w:link w:val="Heading3Char"/>
    <w:uiPriority w:val="9"/>
    <w:unhideWhenUsed/>
    <w:qFormat/>
    <w:rsid w:val="00B046C3"/>
    <w:pPr>
      <w:keepNext/>
      <w:keepLines/>
      <w:spacing w:before="40"/>
      <w:outlineLvl w:val="2"/>
    </w:pPr>
    <w:rPr>
      <w:rFonts w:ascii="Arial" w:eastAsia="MS Gothic" w:hAnsi="Arial" w:cs="Times New Roman"/>
      <w:color w:val="1F4D78"/>
      <w:sz w:val="24"/>
      <w:szCs w:val="24"/>
      <w:lang w:val="fr-FR" w:eastAsia="fr-FR" w:bidi="fr-FR"/>
    </w:rPr>
  </w:style>
  <w:style w:type="paragraph" w:styleId="Heading4">
    <w:name w:val="heading 4"/>
    <w:basedOn w:val="Normal"/>
    <w:next w:val="Normal"/>
    <w:link w:val="Heading4Char"/>
    <w:uiPriority w:val="9"/>
    <w:qFormat/>
    <w:rsid w:val="00DF358A"/>
    <w:pPr>
      <w:keepNext/>
      <w:spacing w:after="240"/>
      <w:jc w:val="both"/>
      <w:outlineLvl w:val="3"/>
    </w:pPr>
    <w:rPr>
      <w:rFonts w:ascii="Times New Roman" w:eastAsia="Times New Roman" w:hAnsi="Times New Roman" w:cs="Times New Roman"/>
      <w:sz w:val="24"/>
      <w:lang w:val="en-GB"/>
    </w:rPr>
  </w:style>
  <w:style w:type="paragraph" w:styleId="Heading5">
    <w:name w:val="heading 5"/>
    <w:basedOn w:val="Normal"/>
    <w:next w:val="Normal"/>
    <w:link w:val="Heading5Char"/>
    <w:uiPriority w:val="9"/>
    <w:unhideWhenUsed/>
    <w:qFormat/>
    <w:rsid w:val="00DF358A"/>
    <w:pPr>
      <w:keepNext/>
      <w:keepLines/>
      <w:spacing w:before="40" w:line="259" w:lineRule="auto"/>
      <w:outlineLvl w:val="4"/>
    </w:pPr>
    <w:rPr>
      <w:rFonts w:ascii="Arial" w:eastAsia="MS Gothic" w:hAnsi="Arial" w:cs="Times New Roman"/>
      <w:color w:val="2E74B5"/>
      <w:sz w:val="22"/>
      <w:szCs w:val="22"/>
    </w:rPr>
  </w:style>
  <w:style w:type="paragraph" w:styleId="Heading6">
    <w:name w:val="heading 6"/>
    <w:basedOn w:val="Normal"/>
    <w:next w:val="Normal"/>
    <w:link w:val="Heading6Char"/>
    <w:uiPriority w:val="9"/>
    <w:semiHidden/>
    <w:unhideWhenUsed/>
    <w:qFormat/>
    <w:rsid w:val="00DF358A"/>
    <w:pPr>
      <w:keepNext/>
      <w:keepLines/>
      <w:spacing w:before="40" w:line="259" w:lineRule="auto"/>
      <w:outlineLvl w:val="5"/>
    </w:pPr>
    <w:rPr>
      <w:rFonts w:ascii="Arial" w:eastAsia="MS Gothic" w:hAnsi="Arial" w:cs="Times New Roman"/>
      <w:color w:val="1F4D78"/>
      <w:sz w:val="22"/>
      <w:szCs w:val="22"/>
    </w:rPr>
  </w:style>
  <w:style w:type="paragraph" w:styleId="Heading7">
    <w:name w:val="heading 7"/>
    <w:basedOn w:val="Normal"/>
    <w:next w:val="Normal"/>
    <w:link w:val="Heading7Char"/>
    <w:uiPriority w:val="9"/>
    <w:semiHidden/>
    <w:unhideWhenUsed/>
    <w:qFormat/>
    <w:rsid w:val="00DF358A"/>
    <w:pPr>
      <w:keepNext/>
      <w:keepLines/>
      <w:spacing w:before="40" w:line="259" w:lineRule="auto"/>
      <w:outlineLvl w:val="6"/>
    </w:pPr>
    <w:rPr>
      <w:rFonts w:ascii="Arial" w:eastAsia="MS Gothic" w:hAnsi="Arial" w:cs="Times New Roman"/>
      <w:i/>
      <w:iCs/>
      <w:color w:val="1F4D78"/>
      <w:sz w:val="22"/>
      <w:szCs w:val="22"/>
    </w:rPr>
  </w:style>
  <w:style w:type="paragraph" w:styleId="Heading8">
    <w:name w:val="heading 8"/>
    <w:basedOn w:val="Normal"/>
    <w:next w:val="Normal"/>
    <w:link w:val="Heading8Char"/>
    <w:uiPriority w:val="9"/>
    <w:semiHidden/>
    <w:unhideWhenUsed/>
    <w:qFormat/>
    <w:rsid w:val="00DF358A"/>
    <w:pPr>
      <w:keepNext/>
      <w:keepLines/>
      <w:spacing w:before="40" w:line="259" w:lineRule="auto"/>
      <w:outlineLvl w:val="7"/>
    </w:pPr>
    <w:rPr>
      <w:rFonts w:ascii="Arial" w:eastAsia="MS Gothic" w:hAnsi="Arial" w:cs="Times New Roman"/>
      <w:color w:val="272727"/>
      <w:sz w:val="21"/>
      <w:szCs w:val="21"/>
    </w:rPr>
  </w:style>
  <w:style w:type="paragraph" w:styleId="Heading9">
    <w:name w:val="heading 9"/>
    <w:basedOn w:val="Normal"/>
    <w:next w:val="Normal"/>
    <w:link w:val="Heading9Char"/>
    <w:uiPriority w:val="9"/>
    <w:semiHidden/>
    <w:unhideWhenUsed/>
    <w:qFormat/>
    <w:rsid w:val="00DF358A"/>
    <w:pPr>
      <w:keepNext/>
      <w:keepLines/>
      <w:spacing w:before="40" w:line="259" w:lineRule="auto"/>
      <w:outlineLvl w:val="8"/>
    </w:pPr>
    <w:rPr>
      <w:rFonts w:ascii="Arial" w:eastAsia="MS Gothic" w:hAnsi="Arial"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7ED5"/>
    <w:rPr>
      <w:color w:val="467886" w:themeColor="hyperlink"/>
      <w:u w:val="single"/>
    </w:rPr>
  </w:style>
  <w:style w:type="character" w:styleId="UnresolvedMention">
    <w:name w:val="Unresolved Mention"/>
    <w:basedOn w:val="DefaultParagraphFont"/>
    <w:uiPriority w:val="99"/>
    <w:unhideWhenUsed/>
    <w:rsid w:val="00A37ED5"/>
    <w:rPr>
      <w:color w:val="605E5C"/>
      <w:shd w:val="clear" w:color="auto" w:fill="E1DFDD"/>
    </w:rPr>
  </w:style>
  <w:style w:type="paragraph" w:styleId="Header">
    <w:name w:val="header"/>
    <w:basedOn w:val="Normal"/>
    <w:link w:val="HeaderChar"/>
    <w:uiPriority w:val="99"/>
    <w:unhideWhenUsed/>
    <w:rsid w:val="002B2770"/>
    <w:pPr>
      <w:tabs>
        <w:tab w:val="center" w:pos="4680"/>
        <w:tab w:val="right" w:pos="9360"/>
      </w:tabs>
    </w:pPr>
  </w:style>
  <w:style w:type="character" w:customStyle="1" w:styleId="HeaderChar">
    <w:name w:val="Header Char"/>
    <w:basedOn w:val="DefaultParagraphFont"/>
    <w:link w:val="Header"/>
    <w:uiPriority w:val="99"/>
    <w:rsid w:val="002B2770"/>
  </w:style>
  <w:style w:type="paragraph" w:styleId="Footer">
    <w:name w:val="footer"/>
    <w:basedOn w:val="Normal"/>
    <w:link w:val="FooterChar"/>
    <w:uiPriority w:val="99"/>
    <w:unhideWhenUsed/>
    <w:rsid w:val="002B2770"/>
    <w:pPr>
      <w:tabs>
        <w:tab w:val="center" w:pos="4680"/>
        <w:tab w:val="right" w:pos="9360"/>
      </w:tabs>
    </w:pPr>
  </w:style>
  <w:style w:type="character" w:customStyle="1" w:styleId="FooterChar">
    <w:name w:val="Footer Char"/>
    <w:basedOn w:val="DefaultParagraphFont"/>
    <w:link w:val="Footer"/>
    <w:uiPriority w:val="99"/>
    <w:rsid w:val="002B2770"/>
  </w:style>
  <w:style w:type="paragraph" w:styleId="FootnoteText">
    <w:name w:val="footnote text"/>
    <w:basedOn w:val="Normal"/>
    <w:link w:val="FootnoteTextChar"/>
    <w:uiPriority w:val="99"/>
    <w:qFormat/>
    <w:rsid w:val="009476A8"/>
    <w:pPr>
      <w:spacing w:after="240"/>
      <w:ind w:left="357" w:hanging="357"/>
      <w:jc w:val="both"/>
    </w:pPr>
    <w:rPr>
      <w:rFonts w:ascii="Times New Roman" w:eastAsia="Times New Roman" w:hAnsi="Times New Roman" w:cs="Times New Roman"/>
      <w:lang w:val="fr-FR"/>
    </w:rPr>
  </w:style>
  <w:style w:type="character" w:customStyle="1" w:styleId="FootnoteTextChar">
    <w:name w:val="Footnote Text Char"/>
    <w:basedOn w:val="DefaultParagraphFont"/>
    <w:link w:val="FootnoteText"/>
    <w:uiPriority w:val="99"/>
    <w:rsid w:val="009476A8"/>
    <w:rPr>
      <w:rFonts w:ascii="Times New Roman" w:eastAsia="Times New Roman" w:hAnsi="Times New Roman" w:cs="Times New Roman"/>
      <w:lang w:val="fr-FR"/>
    </w:rPr>
  </w:style>
  <w:style w:type="character" w:styleId="FootnoteReference">
    <w:name w:val="footnote reference"/>
    <w:rsid w:val="009476A8"/>
    <w:rPr>
      <w:vertAlign w:val="superscript"/>
    </w:rPr>
  </w:style>
  <w:style w:type="character" w:customStyle="1" w:styleId="Heading1Char">
    <w:name w:val="Heading 1 Char"/>
    <w:basedOn w:val="DefaultParagraphFont"/>
    <w:link w:val="Heading1"/>
    <w:uiPriority w:val="9"/>
    <w:rsid w:val="00B046C3"/>
    <w:rPr>
      <w:rFonts w:asciiTheme="majorHAnsi" w:eastAsiaTheme="majorEastAsia" w:hAnsiTheme="majorHAnsi" w:cstheme="majorBidi"/>
      <w:color w:val="0F4761" w:themeColor="accent1" w:themeShade="BF"/>
      <w:sz w:val="32"/>
      <w:szCs w:val="32"/>
      <w:lang w:val="fr-FR"/>
    </w:rPr>
  </w:style>
  <w:style w:type="character" w:customStyle="1" w:styleId="Heading2Char">
    <w:name w:val="Heading 2 Char"/>
    <w:basedOn w:val="DefaultParagraphFont"/>
    <w:link w:val="Heading2"/>
    <w:uiPriority w:val="9"/>
    <w:rsid w:val="00B046C3"/>
    <w:rPr>
      <w:rFonts w:ascii="Times New Roman" w:eastAsia="Times New Roman" w:hAnsi="Times New Roman" w:cs="Times New Roman"/>
      <w:b/>
      <w:bCs/>
      <w:sz w:val="36"/>
      <w:szCs w:val="36"/>
      <w:lang w:val="fr-FR" w:eastAsia="fr-FR"/>
    </w:rPr>
  </w:style>
  <w:style w:type="character" w:customStyle="1" w:styleId="Heading3Char">
    <w:name w:val="Heading 3 Char"/>
    <w:basedOn w:val="DefaultParagraphFont"/>
    <w:link w:val="Heading3"/>
    <w:uiPriority w:val="9"/>
    <w:rsid w:val="00B046C3"/>
    <w:rPr>
      <w:rFonts w:ascii="Arial" w:eastAsia="MS Gothic" w:hAnsi="Arial" w:cs="Times New Roman"/>
      <w:color w:val="1F4D78"/>
      <w:sz w:val="24"/>
      <w:szCs w:val="24"/>
      <w:lang w:val="fr-FR" w:eastAsia="fr-FR" w:bidi="fr-FR"/>
    </w:rPr>
  </w:style>
  <w:style w:type="paragraph" w:styleId="ListParagraph">
    <w:name w:val="List Paragraph"/>
    <w:basedOn w:val="Normal"/>
    <w:uiPriority w:val="34"/>
    <w:qFormat/>
    <w:rsid w:val="00B046C3"/>
    <w:pPr>
      <w:spacing w:after="160" w:line="259" w:lineRule="auto"/>
      <w:ind w:left="720"/>
      <w:contextualSpacing/>
    </w:pPr>
    <w:rPr>
      <w:rFonts w:asciiTheme="minorHAnsi" w:eastAsiaTheme="minorEastAsia" w:hAnsiTheme="minorHAnsi" w:cstheme="minorBidi"/>
      <w:sz w:val="22"/>
      <w:szCs w:val="22"/>
      <w:lang w:val="fr-FR"/>
    </w:rPr>
  </w:style>
  <w:style w:type="paragraph" w:customStyle="1" w:styleId="Default">
    <w:name w:val="Default"/>
    <w:rsid w:val="00B046C3"/>
    <w:pPr>
      <w:autoSpaceDE w:val="0"/>
      <w:autoSpaceDN w:val="0"/>
      <w:adjustRightInd w:val="0"/>
    </w:pPr>
    <w:rPr>
      <w:rFonts w:eastAsiaTheme="minorEastAsia"/>
      <w:color w:val="000000"/>
      <w:sz w:val="24"/>
      <w:szCs w:val="24"/>
      <w:lang w:val="fr-FR"/>
    </w:rPr>
  </w:style>
  <w:style w:type="character" w:styleId="CommentReference">
    <w:name w:val="annotation reference"/>
    <w:basedOn w:val="DefaultParagraphFont"/>
    <w:uiPriority w:val="99"/>
    <w:unhideWhenUsed/>
    <w:qFormat/>
    <w:rsid w:val="00B046C3"/>
    <w:rPr>
      <w:sz w:val="16"/>
      <w:szCs w:val="16"/>
    </w:rPr>
  </w:style>
  <w:style w:type="paragraph" w:styleId="CommentText">
    <w:name w:val="annotation text"/>
    <w:basedOn w:val="Normal"/>
    <w:link w:val="CommentTextChar"/>
    <w:uiPriority w:val="99"/>
    <w:unhideWhenUsed/>
    <w:qFormat/>
    <w:rsid w:val="00B046C3"/>
    <w:pPr>
      <w:spacing w:after="160"/>
    </w:pPr>
    <w:rPr>
      <w:rFonts w:asciiTheme="minorHAnsi" w:eastAsiaTheme="minorEastAsia" w:hAnsiTheme="minorHAnsi" w:cstheme="minorBidi"/>
      <w:lang w:val="fr-FR"/>
    </w:rPr>
  </w:style>
  <w:style w:type="character" w:customStyle="1" w:styleId="CommentTextChar">
    <w:name w:val="Comment Text Char"/>
    <w:basedOn w:val="DefaultParagraphFont"/>
    <w:link w:val="CommentText"/>
    <w:uiPriority w:val="99"/>
    <w:qFormat/>
    <w:rsid w:val="00B046C3"/>
    <w:rPr>
      <w:rFonts w:asciiTheme="minorHAnsi" w:eastAsiaTheme="minorEastAsia" w:hAnsiTheme="minorHAnsi" w:cstheme="minorBidi"/>
      <w:lang w:val="fr-FR"/>
    </w:rPr>
  </w:style>
  <w:style w:type="paragraph" w:styleId="CommentSubject">
    <w:name w:val="annotation subject"/>
    <w:basedOn w:val="CommentText"/>
    <w:next w:val="CommentText"/>
    <w:link w:val="CommentSubjectChar"/>
    <w:uiPriority w:val="99"/>
    <w:semiHidden/>
    <w:unhideWhenUsed/>
    <w:rsid w:val="00B046C3"/>
    <w:rPr>
      <w:b/>
      <w:bCs/>
    </w:rPr>
  </w:style>
  <w:style w:type="character" w:customStyle="1" w:styleId="CommentSubjectChar">
    <w:name w:val="Comment Subject Char"/>
    <w:basedOn w:val="CommentTextChar"/>
    <w:link w:val="CommentSubject"/>
    <w:uiPriority w:val="99"/>
    <w:rsid w:val="00B046C3"/>
    <w:rPr>
      <w:rFonts w:asciiTheme="minorHAnsi" w:eastAsiaTheme="minorEastAsia" w:hAnsiTheme="minorHAnsi" w:cstheme="minorBidi"/>
      <w:b/>
      <w:bCs/>
      <w:lang w:val="fr-FR"/>
    </w:rPr>
  </w:style>
  <w:style w:type="paragraph" w:styleId="BalloonText">
    <w:name w:val="Balloon Text"/>
    <w:basedOn w:val="Normal"/>
    <w:link w:val="BalloonTextChar"/>
    <w:uiPriority w:val="99"/>
    <w:unhideWhenUsed/>
    <w:rsid w:val="00B046C3"/>
    <w:rPr>
      <w:rFonts w:ascii="Segoe UI" w:eastAsiaTheme="minorEastAsia" w:hAnsi="Segoe UI" w:cs="Segoe UI"/>
      <w:sz w:val="18"/>
      <w:szCs w:val="18"/>
      <w:lang w:val="fr-FR"/>
    </w:rPr>
  </w:style>
  <w:style w:type="character" w:customStyle="1" w:styleId="BalloonTextChar">
    <w:name w:val="Balloon Text Char"/>
    <w:basedOn w:val="DefaultParagraphFont"/>
    <w:link w:val="BalloonText"/>
    <w:uiPriority w:val="99"/>
    <w:rsid w:val="00B046C3"/>
    <w:rPr>
      <w:rFonts w:ascii="Segoe UI" w:eastAsiaTheme="minorEastAsia" w:hAnsi="Segoe UI" w:cs="Segoe UI"/>
      <w:sz w:val="18"/>
      <w:szCs w:val="18"/>
      <w:lang w:val="fr-FR"/>
    </w:rPr>
  </w:style>
  <w:style w:type="numbering" w:customStyle="1" w:styleId="NoList1">
    <w:name w:val="No List1"/>
    <w:next w:val="NoList"/>
    <w:uiPriority w:val="99"/>
    <w:semiHidden/>
    <w:unhideWhenUsed/>
    <w:rsid w:val="00B046C3"/>
  </w:style>
  <w:style w:type="table" w:styleId="TableGrid">
    <w:name w:val="Table Grid"/>
    <w:basedOn w:val="TableNormal"/>
    <w:uiPriority w:val="39"/>
    <w:rsid w:val="00B046C3"/>
    <w:rPr>
      <w:rFonts w:ascii="Times New Roman" w:eastAsia="MS Gothic" w:hAnsi="Times New Roman" w:cs="Times New Roman"/>
      <w:color w:val="000000"/>
      <w:sz w:val="24"/>
      <w:szCs w:val="24"/>
      <w:lang w:val="fr-FR"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link w:val="Bodytext21"/>
    <w:rsid w:val="00B046C3"/>
    <w:rPr>
      <w:shd w:val="clear" w:color="auto" w:fill="FFFFFF"/>
    </w:rPr>
  </w:style>
  <w:style w:type="paragraph" w:customStyle="1" w:styleId="Bodytext21">
    <w:name w:val="Body text (2)1"/>
    <w:basedOn w:val="Normal"/>
    <w:link w:val="Bodytext2"/>
    <w:rsid w:val="00B046C3"/>
    <w:pPr>
      <w:widowControl w:val="0"/>
      <w:shd w:val="clear" w:color="auto" w:fill="FFFFFF"/>
      <w:spacing w:before="480" w:line="456" w:lineRule="exact"/>
      <w:ind w:hanging="720"/>
      <w:jc w:val="center"/>
    </w:pPr>
  </w:style>
  <w:style w:type="character" w:customStyle="1" w:styleId="Hyperlink0">
    <w:name w:val="Hyperlink.0"/>
    <w:basedOn w:val="DefaultParagraphFont"/>
    <w:rsid w:val="00B046C3"/>
    <w:rPr>
      <w:color w:val="000000"/>
      <w:u w:color="000000"/>
      <w:lang w:val="fr-FR"/>
    </w:rPr>
  </w:style>
  <w:style w:type="character" w:customStyle="1" w:styleId="None">
    <w:name w:val="None"/>
    <w:rsid w:val="00B046C3"/>
  </w:style>
  <w:style w:type="numbering" w:customStyle="1" w:styleId="NoList2">
    <w:name w:val="No List2"/>
    <w:next w:val="NoList"/>
    <w:uiPriority w:val="99"/>
    <w:semiHidden/>
    <w:unhideWhenUsed/>
    <w:rsid w:val="00B046C3"/>
  </w:style>
  <w:style w:type="numbering" w:customStyle="1" w:styleId="NoList3">
    <w:name w:val="No List3"/>
    <w:next w:val="NoList"/>
    <w:uiPriority w:val="99"/>
    <w:semiHidden/>
    <w:unhideWhenUsed/>
    <w:rsid w:val="00B046C3"/>
  </w:style>
  <w:style w:type="table" w:customStyle="1" w:styleId="TableGrid1">
    <w:name w:val="Table Grid1"/>
    <w:basedOn w:val="TableNormal"/>
    <w:next w:val="TableGrid"/>
    <w:uiPriority w:val="39"/>
    <w:rsid w:val="00B046C3"/>
    <w:rPr>
      <w:rFonts w:asciiTheme="minorHAnsi" w:eastAsia="Calibri" w:hAnsiTheme="minorHAnsi" w:cstheme="minorBid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046C3"/>
  </w:style>
  <w:style w:type="table" w:customStyle="1" w:styleId="TableGrid2">
    <w:name w:val="Table Grid2"/>
    <w:basedOn w:val="TableNormal"/>
    <w:next w:val="TableGrid"/>
    <w:uiPriority w:val="39"/>
    <w:rsid w:val="00B046C3"/>
    <w:rPr>
      <w:rFonts w:ascii="Times New Roman" w:eastAsia="MS Gothic"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oduction">
    <w:name w:val="troduction"/>
    <w:basedOn w:val="Normal"/>
    <w:link w:val="troductionChar"/>
    <w:qFormat/>
    <w:rsid w:val="00B046C3"/>
    <w:rPr>
      <w:rFonts w:eastAsia="MS Gothic" w:cs="Times New Roman"/>
      <w:b/>
      <w:smallCaps/>
      <w:lang w:val="fr-FR" w:eastAsia="fr-FR" w:bidi="fr-FR"/>
    </w:rPr>
  </w:style>
  <w:style w:type="paragraph" w:customStyle="1" w:styleId="Heading1bis">
    <w:name w:val="Heading 1bis"/>
    <w:basedOn w:val="List"/>
    <w:link w:val="Heading1bisChar"/>
    <w:qFormat/>
    <w:rsid w:val="00B046C3"/>
    <w:pPr>
      <w:numPr>
        <w:numId w:val="1"/>
      </w:numPr>
    </w:pPr>
  </w:style>
  <w:style w:type="character" w:customStyle="1" w:styleId="troductionChar">
    <w:name w:val="troduction Char"/>
    <w:link w:val="troduction"/>
    <w:rsid w:val="00B046C3"/>
    <w:rPr>
      <w:rFonts w:eastAsia="MS Gothic" w:cs="Times New Roman"/>
      <w:b/>
      <w:smallCaps/>
      <w:lang w:val="fr-FR" w:eastAsia="fr-FR" w:bidi="fr-FR"/>
    </w:rPr>
  </w:style>
  <w:style w:type="paragraph" w:styleId="List">
    <w:name w:val="List"/>
    <w:basedOn w:val="Normal"/>
    <w:link w:val="ListChar"/>
    <w:uiPriority w:val="99"/>
    <w:unhideWhenUsed/>
    <w:rsid w:val="00B046C3"/>
    <w:pPr>
      <w:ind w:left="283" w:hanging="283"/>
      <w:contextualSpacing/>
    </w:pPr>
    <w:rPr>
      <w:rFonts w:ascii="Times New Roman" w:eastAsia="MS Gothic" w:hAnsi="Times New Roman" w:cs="Times New Roman"/>
      <w:color w:val="000000"/>
      <w:sz w:val="24"/>
      <w:szCs w:val="24"/>
      <w:lang w:val="fr-FR" w:eastAsia="fr-FR" w:bidi="fr-FR"/>
    </w:rPr>
  </w:style>
  <w:style w:type="character" w:customStyle="1" w:styleId="ListChar">
    <w:name w:val="List Char"/>
    <w:basedOn w:val="DefaultParagraphFont"/>
    <w:link w:val="List"/>
    <w:uiPriority w:val="99"/>
    <w:semiHidden/>
    <w:rsid w:val="00B046C3"/>
    <w:rPr>
      <w:rFonts w:ascii="Times New Roman" w:eastAsia="MS Gothic" w:hAnsi="Times New Roman" w:cs="Times New Roman"/>
      <w:color w:val="000000"/>
      <w:sz w:val="24"/>
      <w:szCs w:val="24"/>
      <w:lang w:val="fr-FR" w:eastAsia="fr-FR" w:bidi="fr-FR"/>
    </w:rPr>
  </w:style>
  <w:style w:type="character" w:customStyle="1" w:styleId="Heading1bisChar">
    <w:name w:val="Heading 1bis Char"/>
    <w:link w:val="Heading1bis"/>
    <w:rsid w:val="00B046C3"/>
    <w:rPr>
      <w:rFonts w:ascii="Times New Roman" w:eastAsia="MS Gothic" w:hAnsi="Times New Roman" w:cs="Times New Roman"/>
      <w:color w:val="000000"/>
      <w:sz w:val="24"/>
      <w:szCs w:val="24"/>
      <w:lang w:val="fr-FR" w:eastAsia="fr-FR" w:bidi="fr-FR"/>
    </w:rPr>
  </w:style>
  <w:style w:type="table" w:styleId="LightShading">
    <w:name w:val="Light Shading"/>
    <w:basedOn w:val="TableNormal"/>
    <w:uiPriority w:val="60"/>
    <w:rsid w:val="00B046C3"/>
    <w:rPr>
      <w:rFonts w:ascii="Times New Roman" w:eastAsia="MS Gothic"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EndnoteText">
    <w:name w:val="endnote text"/>
    <w:basedOn w:val="Normal"/>
    <w:link w:val="EndnoteTextChar"/>
    <w:uiPriority w:val="99"/>
    <w:semiHidden/>
    <w:unhideWhenUsed/>
    <w:rsid w:val="00B046C3"/>
    <w:rPr>
      <w:rFonts w:ascii="Times New Roman" w:eastAsia="MS Gothic" w:hAnsi="Times New Roman" w:cs="Times New Roman"/>
      <w:color w:val="000000"/>
      <w:lang w:val="fr-FR" w:eastAsia="fr-FR" w:bidi="fr-FR"/>
    </w:rPr>
  </w:style>
  <w:style w:type="character" w:customStyle="1" w:styleId="EndnoteTextChar">
    <w:name w:val="Endnote Text Char"/>
    <w:basedOn w:val="DefaultParagraphFont"/>
    <w:link w:val="EndnoteText"/>
    <w:uiPriority w:val="99"/>
    <w:semiHidden/>
    <w:rsid w:val="00B046C3"/>
    <w:rPr>
      <w:rFonts w:ascii="Times New Roman" w:eastAsia="MS Gothic" w:hAnsi="Times New Roman" w:cs="Times New Roman"/>
      <w:color w:val="000000"/>
      <w:lang w:val="fr-FR" w:eastAsia="fr-FR" w:bidi="fr-FR"/>
    </w:rPr>
  </w:style>
  <w:style w:type="character" w:styleId="EndnoteReference">
    <w:name w:val="endnote reference"/>
    <w:uiPriority w:val="99"/>
    <w:semiHidden/>
    <w:unhideWhenUsed/>
    <w:rsid w:val="00B046C3"/>
    <w:rPr>
      <w:vertAlign w:val="superscript"/>
    </w:rPr>
  </w:style>
  <w:style w:type="paragraph" w:customStyle="1" w:styleId="Style1">
    <w:name w:val="Style1"/>
    <w:basedOn w:val="Normal"/>
    <w:link w:val="Style1Char"/>
    <w:qFormat/>
    <w:rsid w:val="00B046C3"/>
    <w:rPr>
      <w:rFonts w:ascii="Times New Roman" w:eastAsia="MS Gothic" w:hAnsi="Times New Roman" w:cs="Times New Roman"/>
      <w:smallCaps/>
      <w:color w:val="000000"/>
      <w:sz w:val="24"/>
      <w:szCs w:val="24"/>
      <w:lang w:val="fr-FR" w:eastAsia="fr-FR" w:bidi="fr-FR"/>
    </w:rPr>
  </w:style>
  <w:style w:type="paragraph" w:customStyle="1" w:styleId="Heading2bis">
    <w:name w:val="Heading 2bis"/>
    <w:basedOn w:val="Heading1bis"/>
    <w:link w:val="Heading2bisChar"/>
    <w:qFormat/>
    <w:rsid w:val="00B046C3"/>
    <w:pPr>
      <w:numPr>
        <w:ilvl w:val="1"/>
        <w:numId w:val="2"/>
      </w:numPr>
    </w:pPr>
    <w:rPr>
      <w:b/>
      <w:color w:val="auto"/>
    </w:rPr>
  </w:style>
  <w:style w:type="character" w:customStyle="1" w:styleId="Style1Char">
    <w:name w:val="Style1 Char"/>
    <w:link w:val="Style1"/>
    <w:rsid w:val="00B046C3"/>
    <w:rPr>
      <w:rFonts w:ascii="Times New Roman" w:eastAsia="MS Gothic" w:hAnsi="Times New Roman" w:cs="Times New Roman"/>
      <w:smallCaps/>
      <w:color w:val="000000"/>
      <w:sz w:val="24"/>
      <w:szCs w:val="24"/>
      <w:lang w:val="fr-FR" w:eastAsia="fr-FR" w:bidi="fr-FR"/>
    </w:rPr>
  </w:style>
  <w:style w:type="paragraph" w:customStyle="1" w:styleId="Heading3bis">
    <w:name w:val="Heading 3bis"/>
    <w:basedOn w:val="Heading2bis"/>
    <w:link w:val="Heading3bisChar"/>
    <w:qFormat/>
    <w:rsid w:val="00B046C3"/>
    <w:pPr>
      <w:numPr>
        <w:ilvl w:val="2"/>
      </w:numPr>
    </w:pPr>
    <w:rPr>
      <w:b w:val="0"/>
      <w:i/>
    </w:rPr>
  </w:style>
  <w:style w:type="character" w:customStyle="1" w:styleId="Heading2bisChar">
    <w:name w:val="Heading 2bis Char"/>
    <w:link w:val="Heading2bis"/>
    <w:rsid w:val="00B046C3"/>
    <w:rPr>
      <w:rFonts w:ascii="Times New Roman" w:eastAsia="MS Gothic" w:hAnsi="Times New Roman" w:cs="Times New Roman"/>
      <w:b/>
      <w:sz w:val="24"/>
      <w:szCs w:val="24"/>
      <w:lang w:val="fr-FR" w:eastAsia="fr-FR" w:bidi="fr-FR"/>
    </w:rPr>
  </w:style>
  <w:style w:type="character" w:customStyle="1" w:styleId="Heading3bisChar">
    <w:name w:val="Heading 3bis Char"/>
    <w:link w:val="Heading3bis"/>
    <w:rsid w:val="00B046C3"/>
    <w:rPr>
      <w:rFonts w:ascii="Times New Roman" w:eastAsia="MS Gothic" w:hAnsi="Times New Roman" w:cs="Times New Roman"/>
      <w:i/>
      <w:sz w:val="24"/>
      <w:szCs w:val="24"/>
      <w:lang w:val="fr-FR" w:eastAsia="fr-FR" w:bidi="fr-FR"/>
    </w:rPr>
  </w:style>
  <w:style w:type="paragraph" w:styleId="Revision">
    <w:name w:val="Revision"/>
    <w:hidden/>
    <w:uiPriority w:val="99"/>
    <w:semiHidden/>
    <w:rsid w:val="00B046C3"/>
    <w:rPr>
      <w:rFonts w:ascii="Times New Roman" w:eastAsia="MS Gothic" w:hAnsi="Times New Roman" w:cs="Times New Roman"/>
      <w:color w:val="000000"/>
      <w:sz w:val="24"/>
      <w:szCs w:val="24"/>
      <w:lang w:val="fr-FR" w:eastAsia="fr-FR" w:bidi="fr-FR"/>
    </w:rPr>
  </w:style>
  <w:style w:type="table" w:customStyle="1" w:styleId="TabloKlavuzu1">
    <w:name w:val="Tablo Kılavuzu1"/>
    <w:basedOn w:val="TableNormal"/>
    <w:next w:val="TableGrid"/>
    <w:uiPriority w:val="39"/>
    <w:rsid w:val="00B046C3"/>
    <w:rPr>
      <w:rFonts w:ascii="Calibri" w:eastAsia="Calibri" w:hAnsi="Calibri" w:cs="Times New Roman"/>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046C3"/>
    <w:rPr>
      <w:rFonts w:asciiTheme="minorHAnsi" w:eastAsiaTheme="minorEastAsia" w:hAnsiTheme="minorHAnsi" w:cstheme="minorBidi"/>
      <w:sz w:val="22"/>
      <w:szCs w:val="22"/>
      <w:lang w:val="fr-FR"/>
    </w:rPr>
    <w:tblPr>
      <w:tblCellMar>
        <w:top w:w="0" w:type="dxa"/>
        <w:left w:w="0" w:type="dxa"/>
        <w:bottom w:w="0" w:type="dxa"/>
        <w:right w:w="0" w:type="dxa"/>
      </w:tblCellMar>
    </w:tblPr>
  </w:style>
  <w:style w:type="table" w:customStyle="1" w:styleId="TableGrid3">
    <w:name w:val="Table Grid3"/>
    <w:basedOn w:val="TableNormal"/>
    <w:next w:val="TableGrid"/>
    <w:uiPriority w:val="39"/>
    <w:rsid w:val="00B046C3"/>
    <w:rPr>
      <w:rFonts w:asciiTheme="minorHAnsi" w:eastAsia="Calibr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046C3"/>
    <w:rPr>
      <w:rFonts w:asciiTheme="minorHAnsi" w:eastAsiaTheme="minorEastAsia" w:hAnsiTheme="minorHAnsi" w:cstheme="minorBidi"/>
      <w:kern w:val="2"/>
      <w:sz w:val="21"/>
      <w:szCs w:val="22"/>
      <w:lang w:val="fr-F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046C3"/>
    <w:rPr>
      <w:rFonts w:asciiTheme="minorHAnsi" w:eastAsiaTheme="minorEastAsia" w:hAnsiTheme="minorHAnsi" w:cstheme="minorBidi"/>
      <w:kern w:val="2"/>
      <w:sz w:val="21"/>
      <w:szCs w:val="22"/>
      <w:lang w:val="fr-F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B046C3"/>
    <w:rPr>
      <w:rFonts w:asciiTheme="minorHAnsi" w:eastAsia="Calibri" w:hAnsiTheme="minorHAnsi" w:cstheme="minorBid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B046C3"/>
    <w:rPr>
      <w:rFonts w:asciiTheme="minorHAnsi" w:eastAsia="Calibri" w:hAnsiTheme="minorHAnsi" w:cstheme="minorBid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style11"/>
    <w:basedOn w:val="DefaultParagraphFont"/>
    <w:rsid w:val="00B046C3"/>
    <w:rPr>
      <w:rFonts w:ascii="Cambria" w:hAnsi="Cambria" w:hint="default"/>
      <w:b w:val="0"/>
      <w:bCs w:val="0"/>
      <w:i w:val="0"/>
      <w:iCs w:val="0"/>
      <w:color w:val="000000"/>
      <w:sz w:val="20"/>
      <w:szCs w:val="20"/>
    </w:rPr>
  </w:style>
  <w:style w:type="table" w:customStyle="1" w:styleId="TableGrid6">
    <w:name w:val="Table Grid6"/>
    <w:basedOn w:val="TableNormal"/>
    <w:next w:val="TableGrid"/>
    <w:uiPriority w:val="39"/>
    <w:rsid w:val="00B046C3"/>
    <w:rPr>
      <w:rFonts w:asciiTheme="minorHAnsi" w:eastAsiaTheme="minorEastAsia" w:hAnsiTheme="minorHAnsi" w:cstheme="minorBidi"/>
      <w:kern w:val="2"/>
      <w:sz w:val="21"/>
      <w:szCs w:val="22"/>
      <w:lang w:val="fr-F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046C3"/>
    <w:rPr>
      <w:rFonts w:ascii="Times New Roman" w:eastAsia="MS Gothic" w:hAnsi="Times New Roman" w:cs="Times New Roman"/>
      <w:color w:val="000000"/>
      <w:sz w:val="24"/>
      <w:szCs w:val="24"/>
      <w:lang w:val="fr-FR"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046C3"/>
  </w:style>
  <w:style w:type="table" w:customStyle="1" w:styleId="TableGrid8">
    <w:name w:val="Table Grid8"/>
    <w:basedOn w:val="TableNormal"/>
    <w:next w:val="TableGrid"/>
    <w:uiPriority w:val="39"/>
    <w:rsid w:val="00B046C3"/>
    <w:rPr>
      <w:rFonts w:ascii="Times New Roman" w:eastAsia="MS Gothic"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046C3"/>
    <w:rPr>
      <w:rFonts w:ascii="Times New Roman" w:eastAsia="MS Gothic" w:hAnsi="Times New Roman" w:cs="Times New Roman"/>
      <w:color w:val="000000"/>
      <w:sz w:val="24"/>
      <w:szCs w:val="24"/>
      <w:lang w:val="fr-FR"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B046C3"/>
    <w:rPr>
      <w:rFonts w:ascii="Times New Roman" w:eastAsia="MS Gothic" w:hAnsi="Times New Roman" w:cs="Times New Roman"/>
      <w:color w:val="000000"/>
      <w:sz w:val="24"/>
      <w:szCs w:val="24"/>
      <w:lang w:val="fr-FR"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B046C3"/>
    <w:rPr>
      <w:rFonts w:ascii="Times New Roman" w:eastAsia="MS Gothic" w:hAnsi="Times New Roman" w:cs="Times New Roman"/>
      <w:color w:val="000000"/>
      <w:sz w:val="24"/>
      <w:szCs w:val="24"/>
      <w:lang w:val="fr-FR"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B046C3"/>
    <w:rPr>
      <w:rFonts w:ascii="Times New Roman" w:eastAsia="MS Gothic" w:hAnsi="Times New Roman" w:cs="Times New Roman"/>
      <w:color w:val="000000"/>
      <w:sz w:val="24"/>
      <w:szCs w:val="24"/>
      <w:lang w:val="fr-FR"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B046C3"/>
    <w:rPr>
      <w:rFonts w:ascii="Times New Roman" w:eastAsia="MS Gothic" w:hAnsi="Times New Roman" w:cs="Times New Roman"/>
      <w:color w:val="000000"/>
      <w:sz w:val="24"/>
      <w:szCs w:val="24"/>
      <w:lang w:val="fr-FR"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B046C3"/>
    <w:rPr>
      <w:rFonts w:asciiTheme="minorHAnsi" w:eastAsia="Calibri" w:hAnsiTheme="minorHAnsi" w:cstheme="minorBidi"/>
      <w:sz w:val="22"/>
      <w:szCs w:val="22"/>
      <w:lang w:val="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
    <w:name w:val="Table Grid17"/>
    <w:basedOn w:val="TableNormal"/>
    <w:next w:val="TableGrid"/>
    <w:uiPriority w:val="39"/>
    <w:rsid w:val="00B046C3"/>
    <w:rPr>
      <w:rFonts w:asciiTheme="minorHAnsi" w:eastAsia="Calibri" w:hAnsiTheme="minorHAnsi" w:cstheme="minorBidi"/>
      <w:sz w:val="22"/>
      <w:szCs w:val="22"/>
      <w:lang w:val="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B046C3"/>
    <w:rPr>
      <w:rFonts w:asciiTheme="minorHAnsi" w:eastAsiaTheme="minorHAnsi" w:hAnsiTheme="minorHAnsi" w:cstheme="minorBidi"/>
      <w:sz w:val="22"/>
      <w:szCs w:val="22"/>
      <w:lang w:val="en-GB"/>
    </w:rPr>
  </w:style>
  <w:style w:type="character" w:styleId="FollowedHyperlink">
    <w:name w:val="FollowedHyperlink"/>
    <w:basedOn w:val="DefaultParagraphFont"/>
    <w:uiPriority w:val="99"/>
    <w:unhideWhenUsed/>
    <w:rsid w:val="00B046C3"/>
    <w:rPr>
      <w:color w:val="96607D" w:themeColor="followedHyperlink"/>
      <w:u w:val="single"/>
    </w:rPr>
  </w:style>
  <w:style w:type="character" w:customStyle="1" w:styleId="Mentionnonrsolue1">
    <w:name w:val="Mention non résolue1"/>
    <w:basedOn w:val="DefaultParagraphFont"/>
    <w:uiPriority w:val="99"/>
    <w:semiHidden/>
    <w:unhideWhenUsed/>
    <w:rsid w:val="00827114"/>
    <w:rPr>
      <w:color w:val="605E5C"/>
      <w:shd w:val="clear" w:color="auto" w:fill="E1DFDD"/>
    </w:rPr>
  </w:style>
  <w:style w:type="character" w:customStyle="1" w:styleId="Heading4Char">
    <w:name w:val="Heading 4 Char"/>
    <w:basedOn w:val="DefaultParagraphFont"/>
    <w:link w:val="Heading4"/>
    <w:uiPriority w:val="9"/>
    <w:rsid w:val="00DF358A"/>
    <w:rPr>
      <w:rFonts w:ascii="Times New Roman" w:eastAsia="Times New Roman" w:hAnsi="Times New Roman" w:cs="Times New Roman"/>
      <w:sz w:val="24"/>
      <w:lang w:val="en-GB"/>
    </w:rPr>
  </w:style>
  <w:style w:type="character" w:customStyle="1" w:styleId="Heading5Char">
    <w:name w:val="Heading 5 Char"/>
    <w:basedOn w:val="DefaultParagraphFont"/>
    <w:link w:val="Heading5"/>
    <w:uiPriority w:val="9"/>
    <w:rsid w:val="00DF358A"/>
    <w:rPr>
      <w:rFonts w:ascii="Arial" w:eastAsia="MS Gothic" w:hAnsi="Arial" w:cs="Times New Roman"/>
      <w:color w:val="2E74B5"/>
      <w:sz w:val="22"/>
      <w:szCs w:val="22"/>
    </w:rPr>
  </w:style>
  <w:style w:type="character" w:customStyle="1" w:styleId="Heading6Char">
    <w:name w:val="Heading 6 Char"/>
    <w:basedOn w:val="DefaultParagraphFont"/>
    <w:link w:val="Heading6"/>
    <w:uiPriority w:val="9"/>
    <w:semiHidden/>
    <w:rsid w:val="00DF358A"/>
    <w:rPr>
      <w:rFonts w:ascii="Arial" w:eastAsia="MS Gothic" w:hAnsi="Arial" w:cs="Times New Roman"/>
      <w:color w:val="1F4D78"/>
      <w:sz w:val="22"/>
      <w:szCs w:val="22"/>
    </w:rPr>
  </w:style>
  <w:style w:type="character" w:customStyle="1" w:styleId="Heading7Char">
    <w:name w:val="Heading 7 Char"/>
    <w:basedOn w:val="DefaultParagraphFont"/>
    <w:link w:val="Heading7"/>
    <w:uiPriority w:val="9"/>
    <w:semiHidden/>
    <w:rsid w:val="00DF358A"/>
    <w:rPr>
      <w:rFonts w:ascii="Arial" w:eastAsia="MS Gothic" w:hAnsi="Arial" w:cs="Times New Roman"/>
      <w:i/>
      <w:iCs/>
      <w:color w:val="1F4D78"/>
      <w:sz w:val="22"/>
      <w:szCs w:val="22"/>
    </w:rPr>
  </w:style>
  <w:style w:type="character" w:customStyle="1" w:styleId="Heading8Char">
    <w:name w:val="Heading 8 Char"/>
    <w:basedOn w:val="DefaultParagraphFont"/>
    <w:link w:val="Heading8"/>
    <w:uiPriority w:val="9"/>
    <w:semiHidden/>
    <w:rsid w:val="00DF358A"/>
    <w:rPr>
      <w:rFonts w:ascii="Arial" w:eastAsia="MS Gothic" w:hAnsi="Arial" w:cs="Times New Roman"/>
      <w:color w:val="272727"/>
      <w:sz w:val="21"/>
      <w:szCs w:val="21"/>
    </w:rPr>
  </w:style>
  <w:style w:type="character" w:customStyle="1" w:styleId="Heading9Char">
    <w:name w:val="Heading 9 Char"/>
    <w:basedOn w:val="DefaultParagraphFont"/>
    <w:link w:val="Heading9"/>
    <w:uiPriority w:val="9"/>
    <w:semiHidden/>
    <w:rsid w:val="00DF358A"/>
    <w:rPr>
      <w:rFonts w:ascii="Arial" w:eastAsia="MS Gothic" w:hAnsi="Arial" w:cs="Times New Roman"/>
      <w:i/>
      <w:iCs/>
      <w:color w:val="272727"/>
      <w:sz w:val="21"/>
      <w:szCs w:val="21"/>
    </w:rPr>
  </w:style>
  <w:style w:type="paragraph" w:customStyle="1" w:styleId="TableParagraph">
    <w:name w:val="Table Paragraph"/>
    <w:basedOn w:val="Normal"/>
    <w:uiPriority w:val="1"/>
    <w:qFormat/>
    <w:rsid w:val="00DF358A"/>
    <w:pPr>
      <w:widowControl w:val="0"/>
    </w:pPr>
    <w:rPr>
      <w:rFonts w:asciiTheme="minorHAnsi" w:eastAsiaTheme="minorHAnsi" w:hAnsiTheme="minorHAnsi" w:cstheme="minorBidi"/>
      <w:sz w:val="22"/>
      <w:szCs w:val="22"/>
    </w:rPr>
  </w:style>
  <w:style w:type="paragraph" w:styleId="NormalWeb">
    <w:name w:val="Normal (Web)"/>
    <w:basedOn w:val="Normal"/>
    <w:uiPriority w:val="99"/>
    <w:unhideWhenUsed/>
    <w:rsid w:val="00DF358A"/>
    <w:pPr>
      <w:spacing w:before="100" w:beforeAutospacing="1" w:after="142" w:line="276" w:lineRule="auto"/>
    </w:pPr>
    <w:rPr>
      <w:rFonts w:ascii="Times New Roman" w:eastAsia="Times New Roman" w:hAnsi="Times New Roman" w:cs="Times New Roman"/>
      <w:color w:val="000000"/>
      <w:sz w:val="24"/>
      <w:szCs w:val="24"/>
      <w:lang w:val="fr-FR" w:eastAsia="fr-FR"/>
    </w:rPr>
  </w:style>
  <w:style w:type="character" w:customStyle="1" w:styleId="WW8Num4z5">
    <w:name w:val="WW8Num4z5"/>
    <w:rsid w:val="00DF358A"/>
  </w:style>
  <w:style w:type="paragraph" w:customStyle="1" w:styleId="Text1">
    <w:name w:val="Text 1"/>
    <w:basedOn w:val="Normal"/>
    <w:uiPriority w:val="99"/>
    <w:rsid w:val="00DF358A"/>
    <w:pPr>
      <w:spacing w:after="240"/>
      <w:ind w:left="482"/>
      <w:jc w:val="both"/>
    </w:pPr>
    <w:rPr>
      <w:rFonts w:ascii="Times New Roman" w:eastAsia="Times New Roman" w:hAnsi="Times New Roman" w:cs="Times New Roman"/>
      <w:sz w:val="24"/>
      <w:lang w:val="en-GB"/>
    </w:rPr>
  </w:style>
  <w:style w:type="paragraph" w:customStyle="1" w:styleId="ListBullet1">
    <w:name w:val="List Bullet 1"/>
    <w:basedOn w:val="Text1"/>
    <w:uiPriority w:val="99"/>
    <w:rsid w:val="00DF358A"/>
    <w:pPr>
      <w:numPr>
        <w:numId w:val="15"/>
      </w:numPr>
      <w:tabs>
        <w:tab w:val="clear" w:pos="765"/>
        <w:tab w:val="num" w:pos="1209"/>
      </w:tabs>
      <w:ind w:left="0" w:firstLine="0"/>
    </w:pPr>
  </w:style>
  <w:style w:type="paragraph" w:styleId="BodyText">
    <w:name w:val="Body Text"/>
    <w:basedOn w:val="Normal"/>
    <w:link w:val="BodyTextChar"/>
    <w:uiPriority w:val="99"/>
    <w:qFormat/>
    <w:rsid w:val="00DF358A"/>
    <w:pPr>
      <w:jc w:val="both"/>
    </w:pPr>
    <w:rPr>
      <w:rFonts w:ascii="Times New Roman" w:eastAsia="Times New Roman" w:hAnsi="Times New Roman" w:cs="Times New Roman"/>
      <w:sz w:val="24"/>
    </w:rPr>
  </w:style>
  <w:style w:type="character" w:customStyle="1" w:styleId="BodyTextChar">
    <w:name w:val="Body Text Char"/>
    <w:basedOn w:val="DefaultParagraphFont"/>
    <w:link w:val="BodyText"/>
    <w:uiPriority w:val="99"/>
    <w:rsid w:val="00DF358A"/>
    <w:rPr>
      <w:rFonts w:ascii="Times New Roman" w:eastAsia="Times New Roman" w:hAnsi="Times New Roman" w:cs="Times New Roman"/>
      <w:sz w:val="24"/>
    </w:rPr>
  </w:style>
  <w:style w:type="character" w:customStyle="1" w:styleId="hps">
    <w:name w:val="hps"/>
    <w:basedOn w:val="DefaultParagraphFont"/>
    <w:rsid w:val="00DF358A"/>
  </w:style>
  <w:style w:type="character" w:customStyle="1" w:styleId="alt-edited">
    <w:name w:val="alt-edited"/>
    <w:basedOn w:val="DefaultParagraphFont"/>
    <w:rsid w:val="00DF358A"/>
  </w:style>
  <w:style w:type="paragraph" w:styleId="Subtitle">
    <w:name w:val="Subtitle"/>
    <w:basedOn w:val="Normal"/>
    <w:next w:val="Normal"/>
    <w:link w:val="SubtitleChar"/>
    <w:uiPriority w:val="11"/>
    <w:qFormat/>
    <w:rsid w:val="00DF358A"/>
    <w:pPr>
      <w:widowControl w:val="0"/>
      <w:numPr>
        <w:ilvl w:val="1"/>
      </w:numPr>
      <w:spacing w:after="160"/>
      <w:jc w:val="both"/>
    </w:pPr>
    <w:rPr>
      <w:rFonts w:asciiTheme="minorHAnsi" w:eastAsiaTheme="minorEastAsia" w:hAnsiTheme="minorHAnsi" w:cstheme="minorBidi"/>
      <w:color w:val="5A5A5A" w:themeColor="text1" w:themeTint="A5"/>
      <w:spacing w:val="15"/>
      <w:sz w:val="22"/>
      <w:szCs w:val="22"/>
      <w:lang w:val="en-GB" w:eastAsia="fr-FR" w:bidi="fr-FR"/>
    </w:rPr>
  </w:style>
  <w:style w:type="character" w:customStyle="1" w:styleId="SubtitleChar">
    <w:name w:val="Subtitle Char"/>
    <w:basedOn w:val="DefaultParagraphFont"/>
    <w:link w:val="Subtitle"/>
    <w:uiPriority w:val="11"/>
    <w:rsid w:val="00DF358A"/>
    <w:rPr>
      <w:rFonts w:asciiTheme="minorHAnsi" w:eastAsiaTheme="minorEastAsia" w:hAnsiTheme="minorHAnsi" w:cstheme="minorBidi"/>
      <w:color w:val="5A5A5A" w:themeColor="text1" w:themeTint="A5"/>
      <w:spacing w:val="15"/>
      <w:sz w:val="22"/>
      <w:szCs w:val="22"/>
      <w:lang w:val="en-GB" w:eastAsia="fr-FR" w:bidi="fr-FR"/>
    </w:rPr>
  </w:style>
  <w:style w:type="paragraph" w:customStyle="1" w:styleId="Heading51">
    <w:name w:val="Heading 51"/>
    <w:basedOn w:val="Normal"/>
    <w:next w:val="Normal"/>
    <w:uiPriority w:val="9"/>
    <w:semiHidden/>
    <w:unhideWhenUsed/>
    <w:qFormat/>
    <w:rsid w:val="00DF358A"/>
    <w:pPr>
      <w:keepNext/>
      <w:keepLines/>
      <w:widowControl w:val="0"/>
      <w:spacing w:before="40"/>
      <w:jc w:val="both"/>
      <w:outlineLvl w:val="4"/>
    </w:pPr>
    <w:rPr>
      <w:rFonts w:ascii="Arial" w:eastAsia="MS Gothic" w:hAnsi="Arial" w:cs="Times New Roman"/>
      <w:color w:val="2E74B5"/>
      <w:sz w:val="24"/>
      <w:szCs w:val="24"/>
      <w:lang w:val="en-GB" w:eastAsia="fr-FR" w:bidi="fr-FR"/>
    </w:rPr>
  </w:style>
  <w:style w:type="paragraph" w:customStyle="1" w:styleId="Heading61">
    <w:name w:val="Heading 61"/>
    <w:basedOn w:val="Normal"/>
    <w:next w:val="Normal"/>
    <w:uiPriority w:val="9"/>
    <w:semiHidden/>
    <w:unhideWhenUsed/>
    <w:qFormat/>
    <w:rsid w:val="00DF358A"/>
    <w:pPr>
      <w:keepNext/>
      <w:keepLines/>
      <w:widowControl w:val="0"/>
      <w:spacing w:before="40"/>
      <w:jc w:val="both"/>
      <w:outlineLvl w:val="5"/>
    </w:pPr>
    <w:rPr>
      <w:rFonts w:ascii="Arial" w:eastAsia="MS Gothic" w:hAnsi="Arial" w:cs="Times New Roman"/>
      <w:color w:val="1F4D78"/>
      <w:sz w:val="24"/>
      <w:szCs w:val="24"/>
      <w:lang w:val="en-GB" w:eastAsia="fr-FR" w:bidi="fr-FR"/>
    </w:rPr>
  </w:style>
  <w:style w:type="paragraph" w:customStyle="1" w:styleId="Heading71">
    <w:name w:val="Heading 71"/>
    <w:basedOn w:val="Normal"/>
    <w:next w:val="Normal"/>
    <w:uiPriority w:val="9"/>
    <w:semiHidden/>
    <w:unhideWhenUsed/>
    <w:qFormat/>
    <w:rsid w:val="00DF358A"/>
    <w:pPr>
      <w:keepNext/>
      <w:keepLines/>
      <w:widowControl w:val="0"/>
      <w:spacing w:before="40"/>
      <w:jc w:val="both"/>
      <w:outlineLvl w:val="6"/>
    </w:pPr>
    <w:rPr>
      <w:rFonts w:ascii="Arial" w:eastAsia="MS Gothic" w:hAnsi="Arial" w:cs="Times New Roman"/>
      <w:i/>
      <w:iCs/>
      <w:color w:val="1F4D78"/>
      <w:sz w:val="24"/>
      <w:szCs w:val="24"/>
      <w:lang w:val="en-GB" w:eastAsia="fr-FR" w:bidi="fr-FR"/>
    </w:rPr>
  </w:style>
  <w:style w:type="paragraph" w:customStyle="1" w:styleId="Heading81">
    <w:name w:val="Heading 81"/>
    <w:basedOn w:val="Normal"/>
    <w:next w:val="Normal"/>
    <w:uiPriority w:val="9"/>
    <w:semiHidden/>
    <w:unhideWhenUsed/>
    <w:qFormat/>
    <w:rsid w:val="00DF358A"/>
    <w:pPr>
      <w:keepNext/>
      <w:keepLines/>
      <w:widowControl w:val="0"/>
      <w:spacing w:before="40"/>
      <w:jc w:val="both"/>
      <w:outlineLvl w:val="7"/>
    </w:pPr>
    <w:rPr>
      <w:rFonts w:ascii="Arial" w:eastAsia="MS Gothic" w:hAnsi="Arial" w:cs="Times New Roman"/>
      <w:color w:val="272727"/>
      <w:sz w:val="21"/>
      <w:szCs w:val="21"/>
      <w:lang w:val="en-GB" w:eastAsia="fr-FR" w:bidi="fr-FR"/>
    </w:rPr>
  </w:style>
  <w:style w:type="paragraph" w:customStyle="1" w:styleId="Heading91">
    <w:name w:val="Heading 91"/>
    <w:basedOn w:val="Normal"/>
    <w:next w:val="Normal"/>
    <w:uiPriority w:val="9"/>
    <w:semiHidden/>
    <w:unhideWhenUsed/>
    <w:qFormat/>
    <w:rsid w:val="00DF358A"/>
    <w:pPr>
      <w:keepNext/>
      <w:keepLines/>
      <w:widowControl w:val="0"/>
      <w:spacing w:before="40"/>
      <w:jc w:val="both"/>
      <w:outlineLvl w:val="8"/>
    </w:pPr>
    <w:rPr>
      <w:rFonts w:ascii="Arial" w:eastAsia="MS Gothic" w:hAnsi="Arial" w:cs="Times New Roman"/>
      <w:i/>
      <w:iCs/>
      <w:color w:val="272727"/>
      <w:sz w:val="21"/>
      <w:szCs w:val="21"/>
      <w:lang w:val="en-GB" w:eastAsia="fr-FR" w:bidi="fr-FR"/>
    </w:rPr>
  </w:style>
  <w:style w:type="table" w:customStyle="1" w:styleId="LightShading1">
    <w:name w:val="Light Shading1"/>
    <w:basedOn w:val="TableNormal"/>
    <w:next w:val="LightShading"/>
    <w:uiPriority w:val="60"/>
    <w:rsid w:val="00DF358A"/>
    <w:rPr>
      <w:rFonts w:ascii="Times New Roman" w:eastAsia="MS Gothic" w:hAnsi="Times New Roman" w:cs="Times New Roman"/>
      <w:color w:val="000000"/>
      <w:sz w:val="24"/>
      <w:szCs w:val="24"/>
      <w:lang w:val="en-GB" w:eastAsia="fr-FR" w:bidi="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ibliography">
    <w:name w:val="Bibliography"/>
    <w:basedOn w:val="Normal"/>
    <w:next w:val="Normal"/>
    <w:uiPriority w:val="37"/>
    <w:semiHidden/>
    <w:unhideWhenUsed/>
    <w:rsid w:val="00DF358A"/>
    <w:pPr>
      <w:widowControl w:val="0"/>
      <w:jc w:val="both"/>
    </w:pPr>
    <w:rPr>
      <w:rFonts w:ascii="Times New Roman" w:eastAsia="MS Gothic" w:hAnsi="Times New Roman" w:cs="Times New Roman"/>
      <w:color w:val="000000"/>
      <w:sz w:val="24"/>
      <w:szCs w:val="24"/>
      <w:lang w:val="en-GB" w:eastAsia="fr-FR" w:bidi="fr-FR"/>
    </w:rPr>
  </w:style>
  <w:style w:type="paragraph" w:customStyle="1" w:styleId="BlockText1">
    <w:name w:val="Block Text1"/>
    <w:basedOn w:val="Normal"/>
    <w:next w:val="BlockText"/>
    <w:uiPriority w:val="99"/>
    <w:semiHidden/>
    <w:unhideWhenUsed/>
    <w:rsid w:val="00DF358A"/>
    <w:pPr>
      <w:widowControl w:val="0"/>
      <w:pBdr>
        <w:top w:val="single" w:sz="2" w:space="10" w:color="5B9BD5"/>
        <w:left w:val="single" w:sz="2" w:space="10" w:color="5B9BD5"/>
        <w:bottom w:val="single" w:sz="2" w:space="10" w:color="5B9BD5"/>
        <w:right w:val="single" w:sz="2" w:space="10" w:color="5B9BD5"/>
      </w:pBdr>
      <w:ind w:left="1152" w:right="1152"/>
      <w:jc w:val="both"/>
    </w:pPr>
    <w:rPr>
      <w:rFonts w:asciiTheme="minorHAnsi" w:eastAsia="MS Mincho" w:hAnsiTheme="minorHAnsi" w:cstheme="minorBidi"/>
      <w:i/>
      <w:iCs/>
      <w:color w:val="5B9BD5"/>
      <w:sz w:val="24"/>
      <w:szCs w:val="24"/>
      <w:lang w:val="en-GB" w:eastAsia="fr-FR" w:bidi="fr-FR"/>
    </w:rPr>
  </w:style>
  <w:style w:type="paragraph" w:styleId="BodyText20">
    <w:name w:val="Body Text 2"/>
    <w:basedOn w:val="Normal"/>
    <w:link w:val="BodyText2Char"/>
    <w:uiPriority w:val="99"/>
    <w:semiHidden/>
    <w:unhideWhenUsed/>
    <w:rsid w:val="00DF358A"/>
    <w:pPr>
      <w:widowControl w:val="0"/>
      <w:spacing w:after="120" w:line="480" w:lineRule="auto"/>
      <w:jc w:val="both"/>
    </w:pPr>
    <w:rPr>
      <w:rFonts w:ascii="Times New Roman" w:eastAsia="MS Gothic" w:hAnsi="Times New Roman" w:cs="Times New Roman"/>
      <w:color w:val="000000"/>
      <w:sz w:val="24"/>
      <w:szCs w:val="24"/>
      <w:lang w:val="en-GB" w:eastAsia="fr-FR" w:bidi="fr-FR"/>
    </w:rPr>
  </w:style>
  <w:style w:type="character" w:customStyle="1" w:styleId="BodyText2Char">
    <w:name w:val="Body Text 2 Char"/>
    <w:basedOn w:val="DefaultParagraphFont"/>
    <w:link w:val="BodyText20"/>
    <w:uiPriority w:val="99"/>
    <w:semiHidden/>
    <w:rsid w:val="00DF358A"/>
    <w:rPr>
      <w:rFonts w:ascii="Times New Roman" w:eastAsia="MS Gothic" w:hAnsi="Times New Roman" w:cs="Times New Roman"/>
      <w:color w:val="000000"/>
      <w:sz w:val="24"/>
      <w:szCs w:val="24"/>
      <w:lang w:val="en-GB" w:eastAsia="fr-FR" w:bidi="fr-FR"/>
    </w:rPr>
  </w:style>
  <w:style w:type="paragraph" w:styleId="BodyText3">
    <w:name w:val="Body Text 3"/>
    <w:basedOn w:val="Normal"/>
    <w:link w:val="BodyText3Char"/>
    <w:uiPriority w:val="99"/>
    <w:semiHidden/>
    <w:unhideWhenUsed/>
    <w:rsid w:val="00DF358A"/>
    <w:pPr>
      <w:widowControl w:val="0"/>
      <w:spacing w:after="120"/>
      <w:jc w:val="both"/>
    </w:pPr>
    <w:rPr>
      <w:rFonts w:ascii="Times New Roman" w:eastAsia="MS Gothic" w:hAnsi="Times New Roman" w:cs="Times New Roman"/>
      <w:color w:val="000000"/>
      <w:sz w:val="16"/>
      <w:szCs w:val="16"/>
      <w:lang w:val="en-GB" w:eastAsia="fr-FR" w:bidi="fr-FR"/>
    </w:rPr>
  </w:style>
  <w:style w:type="character" w:customStyle="1" w:styleId="BodyText3Char">
    <w:name w:val="Body Text 3 Char"/>
    <w:basedOn w:val="DefaultParagraphFont"/>
    <w:link w:val="BodyText3"/>
    <w:uiPriority w:val="99"/>
    <w:semiHidden/>
    <w:rsid w:val="00DF358A"/>
    <w:rPr>
      <w:rFonts w:ascii="Times New Roman" w:eastAsia="MS Gothic" w:hAnsi="Times New Roman" w:cs="Times New Roman"/>
      <w:color w:val="000000"/>
      <w:sz w:val="16"/>
      <w:szCs w:val="16"/>
      <w:lang w:val="en-GB" w:eastAsia="fr-FR" w:bidi="fr-FR"/>
    </w:rPr>
  </w:style>
  <w:style w:type="paragraph" w:styleId="BodyTextFirstIndent">
    <w:name w:val="Body Text First Indent"/>
    <w:basedOn w:val="BodyText"/>
    <w:link w:val="BodyTextFirstIndentChar"/>
    <w:uiPriority w:val="99"/>
    <w:semiHidden/>
    <w:unhideWhenUsed/>
    <w:rsid w:val="00DF358A"/>
    <w:pPr>
      <w:widowControl w:val="0"/>
      <w:ind w:firstLine="360"/>
    </w:pPr>
    <w:rPr>
      <w:rFonts w:eastAsia="MS Gothic"/>
      <w:color w:val="000000"/>
      <w:szCs w:val="24"/>
      <w:lang w:val="en-GB" w:eastAsia="fr-FR" w:bidi="fr-FR"/>
    </w:rPr>
  </w:style>
  <w:style w:type="character" w:customStyle="1" w:styleId="BodyTextFirstIndentChar">
    <w:name w:val="Body Text First Indent Char"/>
    <w:basedOn w:val="BodyTextChar"/>
    <w:link w:val="BodyTextFirstIndent"/>
    <w:uiPriority w:val="99"/>
    <w:semiHidden/>
    <w:rsid w:val="00DF358A"/>
    <w:rPr>
      <w:rFonts w:ascii="Times New Roman" w:eastAsia="MS Gothic" w:hAnsi="Times New Roman" w:cs="Times New Roman"/>
      <w:color w:val="000000"/>
      <w:sz w:val="24"/>
      <w:szCs w:val="24"/>
      <w:lang w:val="en-GB" w:eastAsia="fr-FR" w:bidi="fr-FR"/>
    </w:rPr>
  </w:style>
  <w:style w:type="paragraph" w:styleId="BodyTextIndent">
    <w:name w:val="Body Text Indent"/>
    <w:basedOn w:val="Normal"/>
    <w:link w:val="BodyTextIndentChar"/>
    <w:uiPriority w:val="99"/>
    <w:unhideWhenUsed/>
    <w:rsid w:val="00DF358A"/>
    <w:pPr>
      <w:widowControl w:val="0"/>
      <w:spacing w:after="120"/>
      <w:ind w:left="283"/>
      <w:jc w:val="both"/>
    </w:pPr>
    <w:rPr>
      <w:rFonts w:ascii="Times New Roman" w:eastAsia="MS Gothic" w:hAnsi="Times New Roman" w:cs="Times New Roman"/>
      <w:color w:val="000000"/>
      <w:sz w:val="24"/>
      <w:szCs w:val="24"/>
      <w:lang w:val="en-GB" w:eastAsia="fr-FR" w:bidi="fr-FR"/>
    </w:rPr>
  </w:style>
  <w:style w:type="character" w:customStyle="1" w:styleId="BodyTextIndentChar">
    <w:name w:val="Body Text Indent Char"/>
    <w:basedOn w:val="DefaultParagraphFont"/>
    <w:link w:val="BodyTextIndent"/>
    <w:uiPriority w:val="99"/>
    <w:rsid w:val="00DF358A"/>
    <w:rPr>
      <w:rFonts w:ascii="Times New Roman" w:eastAsia="MS Gothic" w:hAnsi="Times New Roman" w:cs="Times New Roman"/>
      <w:color w:val="000000"/>
      <w:sz w:val="24"/>
      <w:szCs w:val="24"/>
      <w:lang w:val="en-GB" w:eastAsia="fr-FR" w:bidi="fr-FR"/>
    </w:rPr>
  </w:style>
  <w:style w:type="paragraph" w:styleId="BodyTextFirstIndent2">
    <w:name w:val="Body Text First Indent 2"/>
    <w:basedOn w:val="BodyTextIndent"/>
    <w:link w:val="BodyTextFirstIndent2Char"/>
    <w:uiPriority w:val="99"/>
    <w:unhideWhenUsed/>
    <w:rsid w:val="00DF358A"/>
    <w:pPr>
      <w:spacing w:after="0"/>
      <w:ind w:left="360" w:firstLine="360"/>
    </w:pPr>
  </w:style>
  <w:style w:type="character" w:customStyle="1" w:styleId="BodyTextFirstIndent2Char">
    <w:name w:val="Body Text First Indent 2 Char"/>
    <w:basedOn w:val="BodyTextIndentChar"/>
    <w:link w:val="BodyTextFirstIndent2"/>
    <w:uiPriority w:val="99"/>
    <w:rsid w:val="00DF358A"/>
    <w:rPr>
      <w:rFonts w:ascii="Times New Roman" w:eastAsia="MS Gothic" w:hAnsi="Times New Roman" w:cs="Times New Roman"/>
      <w:color w:val="000000"/>
      <w:sz w:val="24"/>
      <w:szCs w:val="24"/>
      <w:lang w:val="en-GB" w:eastAsia="fr-FR" w:bidi="fr-FR"/>
    </w:rPr>
  </w:style>
  <w:style w:type="paragraph" w:styleId="BodyTextIndent2">
    <w:name w:val="Body Text Indent 2"/>
    <w:basedOn w:val="Normal"/>
    <w:link w:val="BodyTextIndent2Char"/>
    <w:uiPriority w:val="99"/>
    <w:semiHidden/>
    <w:unhideWhenUsed/>
    <w:rsid w:val="00DF358A"/>
    <w:pPr>
      <w:widowControl w:val="0"/>
      <w:spacing w:after="120" w:line="480" w:lineRule="auto"/>
      <w:ind w:left="283"/>
      <w:jc w:val="both"/>
    </w:pPr>
    <w:rPr>
      <w:rFonts w:ascii="Times New Roman" w:eastAsia="MS Gothic" w:hAnsi="Times New Roman" w:cs="Times New Roman"/>
      <w:color w:val="000000"/>
      <w:sz w:val="24"/>
      <w:szCs w:val="24"/>
      <w:lang w:val="en-GB" w:eastAsia="fr-FR" w:bidi="fr-FR"/>
    </w:rPr>
  </w:style>
  <w:style w:type="character" w:customStyle="1" w:styleId="BodyTextIndent2Char">
    <w:name w:val="Body Text Indent 2 Char"/>
    <w:basedOn w:val="DefaultParagraphFont"/>
    <w:link w:val="BodyTextIndent2"/>
    <w:uiPriority w:val="99"/>
    <w:semiHidden/>
    <w:rsid w:val="00DF358A"/>
    <w:rPr>
      <w:rFonts w:ascii="Times New Roman" w:eastAsia="MS Gothic" w:hAnsi="Times New Roman" w:cs="Times New Roman"/>
      <w:color w:val="000000"/>
      <w:sz w:val="24"/>
      <w:szCs w:val="24"/>
      <w:lang w:val="en-GB" w:eastAsia="fr-FR" w:bidi="fr-FR"/>
    </w:rPr>
  </w:style>
  <w:style w:type="paragraph" w:styleId="BodyTextIndent3">
    <w:name w:val="Body Text Indent 3"/>
    <w:basedOn w:val="Normal"/>
    <w:link w:val="BodyTextIndent3Char"/>
    <w:uiPriority w:val="99"/>
    <w:semiHidden/>
    <w:unhideWhenUsed/>
    <w:rsid w:val="00DF358A"/>
    <w:pPr>
      <w:widowControl w:val="0"/>
      <w:spacing w:after="120"/>
      <w:ind w:left="283"/>
      <w:jc w:val="both"/>
    </w:pPr>
    <w:rPr>
      <w:rFonts w:ascii="Times New Roman" w:eastAsia="MS Gothic" w:hAnsi="Times New Roman" w:cs="Times New Roman"/>
      <w:color w:val="000000"/>
      <w:sz w:val="16"/>
      <w:szCs w:val="16"/>
      <w:lang w:val="en-GB" w:eastAsia="fr-FR" w:bidi="fr-FR"/>
    </w:rPr>
  </w:style>
  <w:style w:type="character" w:customStyle="1" w:styleId="BodyTextIndent3Char">
    <w:name w:val="Body Text Indent 3 Char"/>
    <w:basedOn w:val="DefaultParagraphFont"/>
    <w:link w:val="BodyTextIndent3"/>
    <w:uiPriority w:val="99"/>
    <w:semiHidden/>
    <w:rsid w:val="00DF358A"/>
    <w:rPr>
      <w:rFonts w:ascii="Times New Roman" w:eastAsia="MS Gothic" w:hAnsi="Times New Roman" w:cs="Times New Roman"/>
      <w:color w:val="000000"/>
      <w:sz w:val="16"/>
      <w:szCs w:val="16"/>
      <w:lang w:val="en-GB" w:eastAsia="fr-FR" w:bidi="fr-FR"/>
    </w:rPr>
  </w:style>
  <w:style w:type="paragraph" w:customStyle="1" w:styleId="Caption1">
    <w:name w:val="Caption1"/>
    <w:basedOn w:val="Normal"/>
    <w:next w:val="Normal"/>
    <w:uiPriority w:val="35"/>
    <w:semiHidden/>
    <w:unhideWhenUsed/>
    <w:qFormat/>
    <w:rsid w:val="00DF358A"/>
    <w:pPr>
      <w:widowControl w:val="0"/>
      <w:spacing w:after="200"/>
      <w:jc w:val="both"/>
    </w:pPr>
    <w:rPr>
      <w:rFonts w:ascii="Times New Roman" w:eastAsia="MS Gothic" w:hAnsi="Times New Roman" w:cs="Times New Roman"/>
      <w:i/>
      <w:iCs/>
      <w:color w:val="44546A"/>
      <w:sz w:val="18"/>
      <w:szCs w:val="18"/>
      <w:lang w:val="en-GB" w:eastAsia="fr-FR" w:bidi="fr-FR"/>
    </w:rPr>
  </w:style>
  <w:style w:type="paragraph" w:styleId="Closing">
    <w:name w:val="Closing"/>
    <w:basedOn w:val="Normal"/>
    <w:link w:val="ClosingChar"/>
    <w:uiPriority w:val="99"/>
    <w:semiHidden/>
    <w:unhideWhenUsed/>
    <w:rsid w:val="00DF358A"/>
    <w:pPr>
      <w:widowControl w:val="0"/>
      <w:ind w:left="4252"/>
      <w:jc w:val="both"/>
    </w:pPr>
    <w:rPr>
      <w:rFonts w:ascii="Times New Roman" w:eastAsia="MS Gothic" w:hAnsi="Times New Roman" w:cs="Times New Roman"/>
      <w:color w:val="000000"/>
      <w:sz w:val="24"/>
      <w:szCs w:val="24"/>
      <w:lang w:val="en-GB" w:eastAsia="fr-FR" w:bidi="fr-FR"/>
    </w:rPr>
  </w:style>
  <w:style w:type="character" w:customStyle="1" w:styleId="ClosingChar">
    <w:name w:val="Closing Char"/>
    <w:basedOn w:val="DefaultParagraphFont"/>
    <w:link w:val="Closing"/>
    <w:uiPriority w:val="99"/>
    <w:semiHidden/>
    <w:rsid w:val="00DF358A"/>
    <w:rPr>
      <w:rFonts w:ascii="Times New Roman" w:eastAsia="MS Gothic" w:hAnsi="Times New Roman" w:cs="Times New Roman"/>
      <w:color w:val="000000"/>
      <w:sz w:val="24"/>
      <w:szCs w:val="24"/>
      <w:lang w:val="en-GB" w:eastAsia="fr-FR" w:bidi="fr-FR"/>
    </w:rPr>
  </w:style>
  <w:style w:type="paragraph" w:styleId="Date">
    <w:name w:val="Date"/>
    <w:basedOn w:val="Normal"/>
    <w:next w:val="Normal"/>
    <w:link w:val="DateChar"/>
    <w:uiPriority w:val="99"/>
    <w:semiHidden/>
    <w:unhideWhenUsed/>
    <w:rsid w:val="00DF358A"/>
    <w:pPr>
      <w:widowControl w:val="0"/>
      <w:jc w:val="both"/>
    </w:pPr>
    <w:rPr>
      <w:rFonts w:ascii="Times New Roman" w:eastAsia="MS Gothic" w:hAnsi="Times New Roman" w:cs="Times New Roman"/>
      <w:color w:val="000000"/>
      <w:sz w:val="24"/>
      <w:szCs w:val="24"/>
      <w:lang w:val="en-GB" w:eastAsia="fr-FR" w:bidi="fr-FR"/>
    </w:rPr>
  </w:style>
  <w:style w:type="character" w:customStyle="1" w:styleId="DateChar">
    <w:name w:val="Date Char"/>
    <w:basedOn w:val="DefaultParagraphFont"/>
    <w:link w:val="Date"/>
    <w:uiPriority w:val="99"/>
    <w:semiHidden/>
    <w:rsid w:val="00DF358A"/>
    <w:rPr>
      <w:rFonts w:ascii="Times New Roman" w:eastAsia="MS Gothic" w:hAnsi="Times New Roman" w:cs="Times New Roman"/>
      <w:color w:val="000000"/>
      <w:sz w:val="24"/>
      <w:szCs w:val="24"/>
      <w:lang w:val="en-GB" w:eastAsia="fr-FR" w:bidi="fr-FR"/>
    </w:rPr>
  </w:style>
  <w:style w:type="paragraph" w:styleId="DocumentMap">
    <w:name w:val="Document Map"/>
    <w:basedOn w:val="Normal"/>
    <w:link w:val="DocumentMapChar"/>
    <w:uiPriority w:val="99"/>
    <w:semiHidden/>
    <w:unhideWhenUsed/>
    <w:rsid w:val="00DF358A"/>
    <w:pPr>
      <w:widowControl w:val="0"/>
      <w:jc w:val="both"/>
    </w:pPr>
    <w:rPr>
      <w:rFonts w:ascii="Segoe UI" w:eastAsia="MS Gothic" w:hAnsi="Segoe UI" w:cs="Segoe UI"/>
      <w:color w:val="000000"/>
      <w:sz w:val="16"/>
      <w:szCs w:val="16"/>
      <w:lang w:val="en-GB" w:eastAsia="fr-FR" w:bidi="fr-FR"/>
    </w:rPr>
  </w:style>
  <w:style w:type="character" w:customStyle="1" w:styleId="DocumentMapChar">
    <w:name w:val="Document Map Char"/>
    <w:basedOn w:val="DefaultParagraphFont"/>
    <w:link w:val="DocumentMap"/>
    <w:uiPriority w:val="99"/>
    <w:semiHidden/>
    <w:rsid w:val="00DF358A"/>
    <w:rPr>
      <w:rFonts w:ascii="Segoe UI" w:eastAsia="MS Gothic" w:hAnsi="Segoe UI" w:cs="Segoe UI"/>
      <w:color w:val="000000"/>
      <w:sz w:val="16"/>
      <w:szCs w:val="16"/>
      <w:lang w:val="en-GB" w:eastAsia="fr-FR" w:bidi="fr-FR"/>
    </w:rPr>
  </w:style>
  <w:style w:type="paragraph" w:styleId="E-mailSignature">
    <w:name w:val="E-mail Signature"/>
    <w:basedOn w:val="Normal"/>
    <w:link w:val="E-mailSignatureChar"/>
    <w:uiPriority w:val="99"/>
    <w:semiHidden/>
    <w:unhideWhenUsed/>
    <w:rsid w:val="00DF358A"/>
    <w:pPr>
      <w:widowControl w:val="0"/>
      <w:jc w:val="both"/>
    </w:pPr>
    <w:rPr>
      <w:rFonts w:ascii="Times New Roman" w:eastAsia="MS Gothic" w:hAnsi="Times New Roman" w:cs="Times New Roman"/>
      <w:color w:val="000000"/>
      <w:sz w:val="24"/>
      <w:szCs w:val="24"/>
      <w:lang w:val="en-GB" w:eastAsia="fr-FR" w:bidi="fr-FR"/>
    </w:rPr>
  </w:style>
  <w:style w:type="character" w:customStyle="1" w:styleId="E-mailSignatureChar">
    <w:name w:val="E-mail Signature Char"/>
    <w:basedOn w:val="DefaultParagraphFont"/>
    <w:link w:val="E-mailSignature"/>
    <w:uiPriority w:val="99"/>
    <w:semiHidden/>
    <w:rsid w:val="00DF358A"/>
    <w:rPr>
      <w:rFonts w:ascii="Times New Roman" w:eastAsia="MS Gothic" w:hAnsi="Times New Roman" w:cs="Times New Roman"/>
      <w:color w:val="000000"/>
      <w:sz w:val="24"/>
      <w:szCs w:val="24"/>
      <w:lang w:val="en-GB" w:eastAsia="fr-FR" w:bidi="fr-FR"/>
    </w:rPr>
  </w:style>
  <w:style w:type="paragraph" w:customStyle="1" w:styleId="EnvelopeAddress1">
    <w:name w:val="Envelope Address1"/>
    <w:basedOn w:val="Normal"/>
    <w:next w:val="EnvelopeAddress"/>
    <w:uiPriority w:val="99"/>
    <w:semiHidden/>
    <w:unhideWhenUsed/>
    <w:rsid w:val="00DF358A"/>
    <w:pPr>
      <w:framePr w:w="7920" w:h="1980" w:hRule="exact" w:hSpace="180" w:wrap="auto" w:hAnchor="page" w:xAlign="center" w:yAlign="bottom"/>
      <w:widowControl w:val="0"/>
      <w:ind w:left="2880"/>
      <w:jc w:val="both"/>
    </w:pPr>
    <w:rPr>
      <w:rFonts w:ascii="Arial" w:eastAsia="MS Gothic" w:hAnsi="Arial" w:cs="Times New Roman"/>
      <w:color w:val="000000"/>
      <w:sz w:val="24"/>
      <w:szCs w:val="24"/>
      <w:lang w:val="en-GB" w:eastAsia="fr-FR" w:bidi="fr-FR"/>
    </w:rPr>
  </w:style>
  <w:style w:type="paragraph" w:customStyle="1" w:styleId="EnvelopeReturn1">
    <w:name w:val="Envelope Return1"/>
    <w:basedOn w:val="Normal"/>
    <w:next w:val="EnvelopeReturn"/>
    <w:uiPriority w:val="99"/>
    <w:semiHidden/>
    <w:unhideWhenUsed/>
    <w:rsid w:val="00DF358A"/>
    <w:pPr>
      <w:widowControl w:val="0"/>
      <w:jc w:val="both"/>
    </w:pPr>
    <w:rPr>
      <w:rFonts w:ascii="Arial" w:eastAsia="MS Gothic" w:hAnsi="Arial" w:cs="Times New Roman"/>
      <w:color w:val="000000"/>
      <w:lang w:val="en-GB" w:eastAsia="fr-FR" w:bidi="fr-FR"/>
    </w:rPr>
  </w:style>
  <w:style w:type="paragraph" w:styleId="HTMLAddress">
    <w:name w:val="HTML Address"/>
    <w:basedOn w:val="Normal"/>
    <w:link w:val="HTMLAddressChar"/>
    <w:uiPriority w:val="99"/>
    <w:semiHidden/>
    <w:unhideWhenUsed/>
    <w:rsid w:val="00DF358A"/>
    <w:pPr>
      <w:widowControl w:val="0"/>
      <w:jc w:val="both"/>
    </w:pPr>
    <w:rPr>
      <w:rFonts w:ascii="Times New Roman" w:eastAsia="MS Gothic" w:hAnsi="Times New Roman" w:cs="Times New Roman"/>
      <w:i/>
      <w:iCs/>
      <w:color w:val="000000"/>
      <w:sz w:val="24"/>
      <w:szCs w:val="24"/>
      <w:lang w:val="en-GB" w:eastAsia="fr-FR" w:bidi="fr-FR"/>
    </w:rPr>
  </w:style>
  <w:style w:type="character" w:customStyle="1" w:styleId="HTMLAddressChar">
    <w:name w:val="HTML Address Char"/>
    <w:basedOn w:val="DefaultParagraphFont"/>
    <w:link w:val="HTMLAddress"/>
    <w:uiPriority w:val="99"/>
    <w:semiHidden/>
    <w:rsid w:val="00DF358A"/>
    <w:rPr>
      <w:rFonts w:ascii="Times New Roman" w:eastAsia="MS Gothic" w:hAnsi="Times New Roman" w:cs="Times New Roman"/>
      <w:i/>
      <w:iCs/>
      <w:color w:val="000000"/>
      <w:sz w:val="24"/>
      <w:szCs w:val="24"/>
      <w:lang w:val="en-GB" w:eastAsia="fr-FR" w:bidi="fr-FR"/>
    </w:rPr>
  </w:style>
  <w:style w:type="paragraph" w:styleId="HTMLPreformatted">
    <w:name w:val="HTML Preformatted"/>
    <w:basedOn w:val="Normal"/>
    <w:link w:val="HTMLPreformattedChar"/>
    <w:uiPriority w:val="99"/>
    <w:semiHidden/>
    <w:unhideWhenUsed/>
    <w:rsid w:val="00DF358A"/>
    <w:pPr>
      <w:widowControl w:val="0"/>
      <w:jc w:val="both"/>
    </w:pPr>
    <w:rPr>
      <w:rFonts w:ascii="Consolas" w:eastAsia="MS Gothic" w:hAnsi="Consolas" w:cs="Times New Roman"/>
      <w:color w:val="000000"/>
      <w:lang w:val="en-GB" w:eastAsia="fr-FR" w:bidi="fr-FR"/>
    </w:rPr>
  </w:style>
  <w:style w:type="character" w:customStyle="1" w:styleId="HTMLPreformattedChar">
    <w:name w:val="HTML Preformatted Char"/>
    <w:basedOn w:val="DefaultParagraphFont"/>
    <w:link w:val="HTMLPreformatted"/>
    <w:uiPriority w:val="99"/>
    <w:semiHidden/>
    <w:rsid w:val="00DF358A"/>
    <w:rPr>
      <w:rFonts w:ascii="Consolas" w:eastAsia="MS Gothic" w:hAnsi="Consolas" w:cs="Times New Roman"/>
      <w:color w:val="000000"/>
      <w:lang w:val="en-GB" w:eastAsia="fr-FR" w:bidi="fr-FR"/>
    </w:rPr>
  </w:style>
  <w:style w:type="paragraph" w:styleId="Index1">
    <w:name w:val="index 1"/>
    <w:basedOn w:val="Normal"/>
    <w:next w:val="Normal"/>
    <w:autoRedefine/>
    <w:uiPriority w:val="99"/>
    <w:semiHidden/>
    <w:unhideWhenUsed/>
    <w:rsid w:val="00DF358A"/>
    <w:pPr>
      <w:widowControl w:val="0"/>
      <w:ind w:left="240" w:hanging="240"/>
      <w:jc w:val="both"/>
    </w:pPr>
    <w:rPr>
      <w:rFonts w:ascii="Times New Roman" w:eastAsia="MS Gothic" w:hAnsi="Times New Roman" w:cs="Times New Roman"/>
      <w:color w:val="000000"/>
      <w:sz w:val="24"/>
      <w:szCs w:val="24"/>
      <w:lang w:val="en-GB" w:eastAsia="fr-FR" w:bidi="fr-FR"/>
    </w:rPr>
  </w:style>
  <w:style w:type="paragraph" w:styleId="Index2">
    <w:name w:val="index 2"/>
    <w:basedOn w:val="Normal"/>
    <w:next w:val="Normal"/>
    <w:autoRedefine/>
    <w:uiPriority w:val="99"/>
    <w:semiHidden/>
    <w:unhideWhenUsed/>
    <w:rsid w:val="00DF358A"/>
    <w:pPr>
      <w:widowControl w:val="0"/>
      <w:ind w:left="480" w:hanging="240"/>
      <w:jc w:val="both"/>
    </w:pPr>
    <w:rPr>
      <w:rFonts w:ascii="Times New Roman" w:eastAsia="MS Gothic" w:hAnsi="Times New Roman" w:cs="Times New Roman"/>
      <w:color w:val="000000"/>
      <w:sz w:val="24"/>
      <w:szCs w:val="24"/>
      <w:lang w:val="en-GB" w:eastAsia="fr-FR" w:bidi="fr-FR"/>
    </w:rPr>
  </w:style>
  <w:style w:type="paragraph" w:styleId="Index3">
    <w:name w:val="index 3"/>
    <w:basedOn w:val="Normal"/>
    <w:next w:val="Normal"/>
    <w:autoRedefine/>
    <w:uiPriority w:val="99"/>
    <w:semiHidden/>
    <w:unhideWhenUsed/>
    <w:rsid w:val="00DF358A"/>
    <w:pPr>
      <w:widowControl w:val="0"/>
      <w:ind w:left="720" w:hanging="240"/>
      <w:jc w:val="both"/>
    </w:pPr>
    <w:rPr>
      <w:rFonts w:ascii="Times New Roman" w:eastAsia="MS Gothic" w:hAnsi="Times New Roman" w:cs="Times New Roman"/>
      <w:color w:val="000000"/>
      <w:sz w:val="24"/>
      <w:szCs w:val="24"/>
      <w:lang w:val="en-GB" w:eastAsia="fr-FR" w:bidi="fr-FR"/>
    </w:rPr>
  </w:style>
  <w:style w:type="paragraph" w:styleId="Index4">
    <w:name w:val="index 4"/>
    <w:basedOn w:val="Normal"/>
    <w:next w:val="Normal"/>
    <w:autoRedefine/>
    <w:uiPriority w:val="99"/>
    <w:semiHidden/>
    <w:unhideWhenUsed/>
    <w:rsid w:val="00DF358A"/>
    <w:pPr>
      <w:widowControl w:val="0"/>
      <w:ind w:left="960" w:hanging="240"/>
      <w:jc w:val="both"/>
    </w:pPr>
    <w:rPr>
      <w:rFonts w:ascii="Times New Roman" w:eastAsia="MS Gothic" w:hAnsi="Times New Roman" w:cs="Times New Roman"/>
      <w:color w:val="000000"/>
      <w:sz w:val="24"/>
      <w:szCs w:val="24"/>
      <w:lang w:val="en-GB" w:eastAsia="fr-FR" w:bidi="fr-FR"/>
    </w:rPr>
  </w:style>
  <w:style w:type="paragraph" w:styleId="Index5">
    <w:name w:val="index 5"/>
    <w:basedOn w:val="Normal"/>
    <w:next w:val="Normal"/>
    <w:autoRedefine/>
    <w:uiPriority w:val="99"/>
    <w:semiHidden/>
    <w:unhideWhenUsed/>
    <w:rsid w:val="00DF358A"/>
    <w:pPr>
      <w:widowControl w:val="0"/>
      <w:ind w:left="1200" w:hanging="240"/>
      <w:jc w:val="both"/>
    </w:pPr>
    <w:rPr>
      <w:rFonts w:ascii="Times New Roman" w:eastAsia="MS Gothic" w:hAnsi="Times New Roman" w:cs="Times New Roman"/>
      <w:color w:val="000000"/>
      <w:sz w:val="24"/>
      <w:szCs w:val="24"/>
      <w:lang w:val="en-GB" w:eastAsia="fr-FR" w:bidi="fr-FR"/>
    </w:rPr>
  </w:style>
  <w:style w:type="paragraph" w:styleId="Index6">
    <w:name w:val="index 6"/>
    <w:basedOn w:val="Normal"/>
    <w:next w:val="Normal"/>
    <w:autoRedefine/>
    <w:uiPriority w:val="99"/>
    <w:semiHidden/>
    <w:unhideWhenUsed/>
    <w:rsid w:val="00DF358A"/>
    <w:pPr>
      <w:widowControl w:val="0"/>
      <w:ind w:left="1440" w:hanging="240"/>
      <w:jc w:val="both"/>
    </w:pPr>
    <w:rPr>
      <w:rFonts w:ascii="Times New Roman" w:eastAsia="MS Gothic" w:hAnsi="Times New Roman" w:cs="Times New Roman"/>
      <w:color w:val="000000"/>
      <w:sz w:val="24"/>
      <w:szCs w:val="24"/>
      <w:lang w:val="en-GB" w:eastAsia="fr-FR" w:bidi="fr-FR"/>
    </w:rPr>
  </w:style>
  <w:style w:type="paragraph" w:styleId="Index7">
    <w:name w:val="index 7"/>
    <w:basedOn w:val="Normal"/>
    <w:next w:val="Normal"/>
    <w:autoRedefine/>
    <w:uiPriority w:val="99"/>
    <w:semiHidden/>
    <w:unhideWhenUsed/>
    <w:rsid w:val="00DF358A"/>
    <w:pPr>
      <w:widowControl w:val="0"/>
      <w:ind w:left="1680" w:hanging="240"/>
      <w:jc w:val="both"/>
    </w:pPr>
    <w:rPr>
      <w:rFonts w:ascii="Times New Roman" w:eastAsia="MS Gothic" w:hAnsi="Times New Roman" w:cs="Times New Roman"/>
      <w:color w:val="000000"/>
      <w:sz w:val="24"/>
      <w:szCs w:val="24"/>
      <w:lang w:val="en-GB" w:eastAsia="fr-FR" w:bidi="fr-FR"/>
    </w:rPr>
  </w:style>
  <w:style w:type="paragraph" w:styleId="Index8">
    <w:name w:val="index 8"/>
    <w:basedOn w:val="Normal"/>
    <w:next w:val="Normal"/>
    <w:autoRedefine/>
    <w:uiPriority w:val="99"/>
    <w:semiHidden/>
    <w:unhideWhenUsed/>
    <w:rsid w:val="00DF358A"/>
    <w:pPr>
      <w:widowControl w:val="0"/>
      <w:ind w:left="1920" w:hanging="240"/>
      <w:jc w:val="both"/>
    </w:pPr>
    <w:rPr>
      <w:rFonts w:ascii="Times New Roman" w:eastAsia="MS Gothic" w:hAnsi="Times New Roman" w:cs="Times New Roman"/>
      <w:color w:val="000000"/>
      <w:sz w:val="24"/>
      <w:szCs w:val="24"/>
      <w:lang w:val="en-GB" w:eastAsia="fr-FR" w:bidi="fr-FR"/>
    </w:rPr>
  </w:style>
  <w:style w:type="paragraph" w:styleId="Index9">
    <w:name w:val="index 9"/>
    <w:basedOn w:val="Normal"/>
    <w:next w:val="Normal"/>
    <w:autoRedefine/>
    <w:uiPriority w:val="99"/>
    <w:semiHidden/>
    <w:unhideWhenUsed/>
    <w:rsid w:val="00DF358A"/>
    <w:pPr>
      <w:widowControl w:val="0"/>
      <w:ind w:left="2160" w:hanging="240"/>
      <w:jc w:val="both"/>
    </w:pPr>
    <w:rPr>
      <w:rFonts w:ascii="Times New Roman" w:eastAsia="MS Gothic" w:hAnsi="Times New Roman" w:cs="Times New Roman"/>
      <w:color w:val="000000"/>
      <w:sz w:val="24"/>
      <w:szCs w:val="24"/>
      <w:lang w:val="en-GB" w:eastAsia="fr-FR" w:bidi="fr-FR"/>
    </w:rPr>
  </w:style>
  <w:style w:type="paragraph" w:customStyle="1" w:styleId="IndexHeading1">
    <w:name w:val="Index Heading1"/>
    <w:basedOn w:val="Normal"/>
    <w:next w:val="Index1"/>
    <w:uiPriority w:val="99"/>
    <w:semiHidden/>
    <w:unhideWhenUsed/>
    <w:rsid w:val="00DF358A"/>
    <w:pPr>
      <w:widowControl w:val="0"/>
      <w:jc w:val="both"/>
    </w:pPr>
    <w:rPr>
      <w:rFonts w:ascii="Arial" w:eastAsia="MS Gothic" w:hAnsi="Arial" w:cs="Times New Roman"/>
      <w:b/>
      <w:bCs/>
      <w:color w:val="000000"/>
      <w:sz w:val="24"/>
      <w:szCs w:val="24"/>
      <w:lang w:val="en-GB" w:eastAsia="fr-FR" w:bidi="fr-FR"/>
    </w:rPr>
  </w:style>
  <w:style w:type="paragraph" w:customStyle="1" w:styleId="IntenseQuote1">
    <w:name w:val="Intense Quote1"/>
    <w:basedOn w:val="Normal"/>
    <w:next w:val="Normal"/>
    <w:uiPriority w:val="30"/>
    <w:qFormat/>
    <w:rsid w:val="00DF358A"/>
    <w:pPr>
      <w:widowControl w:val="0"/>
      <w:pBdr>
        <w:top w:val="single" w:sz="4" w:space="10" w:color="5B9BD5"/>
        <w:bottom w:val="single" w:sz="4" w:space="10" w:color="5B9BD5"/>
      </w:pBdr>
      <w:spacing w:before="360" w:after="360"/>
      <w:ind w:left="864" w:right="864"/>
      <w:jc w:val="center"/>
    </w:pPr>
    <w:rPr>
      <w:rFonts w:ascii="Times New Roman" w:eastAsia="MS Gothic" w:hAnsi="Times New Roman" w:cs="Times New Roman"/>
      <w:i/>
      <w:iCs/>
      <w:color w:val="5B9BD5"/>
      <w:sz w:val="24"/>
      <w:szCs w:val="24"/>
      <w:lang w:val="en-GB" w:eastAsia="fr-FR" w:bidi="fr-FR"/>
    </w:rPr>
  </w:style>
  <w:style w:type="character" w:customStyle="1" w:styleId="IntenseQuoteChar">
    <w:name w:val="Intense Quote Char"/>
    <w:basedOn w:val="DefaultParagraphFont"/>
    <w:link w:val="IntenseQuote"/>
    <w:uiPriority w:val="30"/>
    <w:rsid w:val="00DF358A"/>
    <w:rPr>
      <w:i/>
      <w:iCs/>
      <w:color w:val="5B9BD5"/>
    </w:rPr>
  </w:style>
  <w:style w:type="paragraph" w:styleId="List2">
    <w:name w:val="List 2"/>
    <w:basedOn w:val="Normal"/>
    <w:uiPriority w:val="99"/>
    <w:semiHidden/>
    <w:unhideWhenUsed/>
    <w:rsid w:val="00DF358A"/>
    <w:pPr>
      <w:widowControl w:val="0"/>
      <w:ind w:left="566" w:hanging="283"/>
      <w:contextualSpacing/>
      <w:jc w:val="both"/>
    </w:pPr>
    <w:rPr>
      <w:rFonts w:ascii="Times New Roman" w:eastAsia="MS Gothic" w:hAnsi="Times New Roman" w:cs="Times New Roman"/>
      <w:color w:val="000000"/>
      <w:sz w:val="24"/>
      <w:szCs w:val="24"/>
      <w:lang w:val="en-GB" w:eastAsia="fr-FR" w:bidi="fr-FR"/>
    </w:rPr>
  </w:style>
  <w:style w:type="paragraph" w:styleId="List3">
    <w:name w:val="List 3"/>
    <w:basedOn w:val="Normal"/>
    <w:uiPriority w:val="99"/>
    <w:semiHidden/>
    <w:unhideWhenUsed/>
    <w:rsid w:val="00DF358A"/>
    <w:pPr>
      <w:widowControl w:val="0"/>
      <w:ind w:left="849" w:hanging="283"/>
      <w:contextualSpacing/>
      <w:jc w:val="both"/>
    </w:pPr>
    <w:rPr>
      <w:rFonts w:ascii="Times New Roman" w:eastAsia="MS Gothic" w:hAnsi="Times New Roman" w:cs="Times New Roman"/>
      <w:color w:val="000000"/>
      <w:sz w:val="24"/>
      <w:szCs w:val="24"/>
      <w:lang w:val="en-GB" w:eastAsia="fr-FR" w:bidi="fr-FR"/>
    </w:rPr>
  </w:style>
  <w:style w:type="paragraph" w:styleId="List4">
    <w:name w:val="List 4"/>
    <w:basedOn w:val="Normal"/>
    <w:uiPriority w:val="99"/>
    <w:semiHidden/>
    <w:unhideWhenUsed/>
    <w:rsid w:val="00DF358A"/>
    <w:pPr>
      <w:widowControl w:val="0"/>
      <w:ind w:left="1132" w:hanging="283"/>
      <w:contextualSpacing/>
      <w:jc w:val="both"/>
    </w:pPr>
    <w:rPr>
      <w:rFonts w:ascii="Times New Roman" w:eastAsia="MS Gothic" w:hAnsi="Times New Roman" w:cs="Times New Roman"/>
      <w:color w:val="000000"/>
      <w:sz w:val="24"/>
      <w:szCs w:val="24"/>
      <w:lang w:val="en-GB" w:eastAsia="fr-FR" w:bidi="fr-FR"/>
    </w:rPr>
  </w:style>
  <w:style w:type="paragraph" w:styleId="List5">
    <w:name w:val="List 5"/>
    <w:basedOn w:val="Normal"/>
    <w:uiPriority w:val="99"/>
    <w:semiHidden/>
    <w:unhideWhenUsed/>
    <w:rsid w:val="00DF358A"/>
    <w:pPr>
      <w:widowControl w:val="0"/>
      <w:ind w:left="1415" w:hanging="283"/>
      <w:contextualSpacing/>
      <w:jc w:val="both"/>
    </w:pPr>
    <w:rPr>
      <w:rFonts w:ascii="Times New Roman" w:eastAsia="MS Gothic" w:hAnsi="Times New Roman" w:cs="Times New Roman"/>
      <w:color w:val="000000"/>
      <w:sz w:val="24"/>
      <w:szCs w:val="24"/>
      <w:lang w:val="en-GB" w:eastAsia="fr-FR" w:bidi="fr-FR"/>
    </w:rPr>
  </w:style>
  <w:style w:type="paragraph" w:styleId="ListBullet">
    <w:name w:val="List Bullet"/>
    <w:basedOn w:val="Normal"/>
    <w:uiPriority w:val="99"/>
    <w:semiHidden/>
    <w:unhideWhenUsed/>
    <w:rsid w:val="00DF358A"/>
    <w:pPr>
      <w:widowControl w:val="0"/>
      <w:numPr>
        <w:numId w:val="16"/>
      </w:numPr>
      <w:tabs>
        <w:tab w:val="clear" w:pos="360"/>
      </w:tabs>
      <w:ind w:left="0" w:firstLine="0"/>
      <w:contextualSpacing/>
      <w:jc w:val="both"/>
    </w:pPr>
    <w:rPr>
      <w:rFonts w:ascii="Times New Roman" w:eastAsia="MS Gothic" w:hAnsi="Times New Roman" w:cs="Times New Roman"/>
      <w:color w:val="000000"/>
      <w:sz w:val="24"/>
      <w:szCs w:val="24"/>
      <w:lang w:val="en-GB" w:eastAsia="fr-FR" w:bidi="fr-FR"/>
    </w:rPr>
  </w:style>
  <w:style w:type="paragraph" w:styleId="ListBullet2">
    <w:name w:val="List Bullet 2"/>
    <w:basedOn w:val="Normal"/>
    <w:uiPriority w:val="99"/>
    <w:semiHidden/>
    <w:unhideWhenUsed/>
    <w:rsid w:val="00DF358A"/>
    <w:pPr>
      <w:widowControl w:val="0"/>
      <w:numPr>
        <w:numId w:val="17"/>
      </w:numPr>
      <w:tabs>
        <w:tab w:val="clear" w:pos="643"/>
      </w:tabs>
      <w:ind w:left="0" w:firstLine="0"/>
      <w:contextualSpacing/>
      <w:jc w:val="both"/>
    </w:pPr>
    <w:rPr>
      <w:rFonts w:ascii="Times New Roman" w:eastAsia="MS Gothic" w:hAnsi="Times New Roman" w:cs="Times New Roman"/>
      <w:color w:val="000000"/>
      <w:sz w:val="24"/>
      <w:szCs w:val="24"/>
      <w:lang w:val="en-GB" w:eastAsia="fr-FR" w:bidi="fr-FR"/>
    </w:rPr>
  </w:style>
  <w:style w:type="paragraph" w:styleId="ListBullet3">
    <w:name w:val="List Bullet 3"/>
    <w:basedOn w:val="Normal"/>
    <w:uiPriority w:val="99"/>
    <w:semiHidden/>
    <w:unhideWhenUsed/>
    <w:rsid w:val="00DF358A"/>
    <w:pPr>
      <w:widowControl w:val="0"/>
      <w:numPr>
        <w:numId w:val="18"/>
      </w:numPr>
      <w:tabs>
        <w:tab w:val="clear" w:pos="926"/>
      </w:tabs>
      <w:ind w:left="0" w:firstLine="0"/>
      <w:contextualSpacing/>
      <w:jc w:val="both"/>
    </w:pPr>
    <w:rPr>
      <w:rFonts w:ascii="Times New Roman" w:eastAsia="MS Gothic" w:hAnsi="Times New Roman" w:cs="Times New Roman"/>
      <w:color w:val="000000"/>
      <w:sz w:val="24"/>
      <w:szCs w:val="24"/>
      <w:lang w:val="en-GB" w:eastAsia="fr-FR" w:bidi="fr-FR"/>
    </w:rPr>
  </w:style>
  <w:style w:type="paragraph" w:styleId="ListBullet4">
    <w:name w:val="List Bullet 4"/>
    <w:basedOn w:val="Normal"/>
    <w:uiPriority w:val="99"/>
    <w:semiHidden/>
    <w:unhideWhenUsed/>
    <w:rsid w:val="00DF358A"/>
    <w:pPr>
      <w:widowControl w:val="0"/>
      <w:numPr>
        <w:numId w:val="19"/>
      </w:numPr>
      <w:tabs>
        <w:tab w:val="clear" w:pos="1209"/>
      </w:tabs>
      <w:ind w:left="0" w:firstLine="0"/>
      <w:contextualSpacing/>
      <w:jc w:val="both"/>
    </w:pPr>
    <w:rPr>
      <w:rFonts w:ascii="Times New Roman" w:eastAsia="MS Gothic" w:hAnsi="Times New Roman" w:cs="Times New Roman"/>
      <w:color w:val="000000"/>
      <w:sz w:val="24"/>
      <w:szCs w:val="24"/>
      <w:lang w:val="en-GB" w:eastAsia="fr-FR" w:bidi="fr-FR"/>
    </w:rPr>
  </w:style>
  <w:style w:type="paragraph" w:styleId="ListBullet5">
    <w:name w:val="List Bullet 5"/>
    <w:basedOn w:val="Normal"/>
    <w:uiPriority w:val="99"/>
    <w:semiHidden/>
    <w:unhideWhenUsed/>
    <w:rsid w:val="00DF358A"/>
    <w:pPr>
      <w:widowControl w:val="0"/>
      <w:numPr>
        <w:numId w:val="20"/>
      </w:numPr>
      <w:tabs>
        <w:tab w:val="clear" w:pos="1492"/>
      </w:tabs>
      <w:ind w:left="0" w:firstLine="0"/>
      <w:contextualSpacing/>
      <w:jc w:val="both"/>
    </w:pPr>
    <w:rPr>
      <w:rFonts w:ascii="Times New Roman" w:eastAsia="MS Gothic" w:hAnsi="Times New Roman" w:cs="Times New Roman"/>
      <w:color w:val="000000"/>
      <w:sz w:val="24"/>
      <w:szCs w:val="24"/>
      <w:lang w:val="en-GB" w:eastAsia="fr-FR" w:bidi="fr-FR"/>
    </w:rPr>
  </w:style>
  <w:style w:type="paragraph" w:styleId="ListContinue">
    <w:name w:val="List Continue"/>
    <w:basedOn w:val="Normal"/>
    <w:uiPriority w:val="99"/>
    <w:semiHidden/>
    <w:unhideWhenUsed/>
    <w:rsid w:val="00DF358A"/>
    <w:pPr>
      <w:widowControl w:val="0"/>
      <w:spacing w:after="120"/>
      <w:ind w:left="283"/>
      <w:contextualSpacing/>
      <w:jc w:val="both"/>
    </w:pPr>
    <w:rPr>
      <w:rFonts w:ascii="Times New Roman" w:eastAsia="MS Gothic" w:hAnsi="Times New Roman" w:cs="Times New Roman"/>
      <w:color w:val="000000"/>
      <w:sz w:val="24"/>
      <w:szCs w:val="24"/>
      <w:lang w:val="en-GB" w:eastAsia="fr-FR" w:bidi="fr-FR"/>
    </w:rPr>
  </w:style>
  <w:style w:type="paragraph" w:styleId="ListContinue2">
    <w:name w:val="List Continue 2"/>
    <w:basedOn w:val="Normal"/>
    <w:uiPriority w:val="99"/>
    <w:semiHidden/>
    <w:unhideWhenUsed/>
    <w:rsid w:val="00DF358A"/>
    <w:pPr>
      <w:widowControl w:val="0"/>
      <w:spacing w:after="120"/>
      <w:ind w:left="566"/>
      <w:contextualSpacing/>
      <w:jc w:val="both"/>
    </w:pPr>
    <w:rPr>
      <w:rFonts w:ascii="Times New Roman" w:eastAsia="MS Gothic" w:hAnsi="Times New Roman" w:cs="Times New Roman"/>
      <w:color w:val="000000"/>
      <w:sz w:val="24"/>
      <w:szCs w:val="24"/>
      <w:lang w:val="en-GB" w:eastAsia="fr-FR" w:bidi="fr-FR"/>
    </w:rPr>
  </w:style>
  <w:style w:type="paragraph" w:styleId="ListContinue3">
    <w:name w:val="List Continue 3"/>
    <w:basedOn w:val="Normal"/>
    <w:uiPriority w:val="99"/>
    <w:semiHidden/>
    <w:unhideWhenUsed/>
    <w:rsid w:val="00DF358A"/>
    <w:pPr>
      <w:widowControl w:val="0"/>
      <w:spacing w:after="120"/>
      <w:ind w:left="849"/>
      <w:contextualSpacing/>
      <w:jc w:val="both"/>
    </w:pPr>
    <w:rPr>
      <w:rFonts w:ascii="Times New Roman" w:eastAsia="MS Gothic" w:hAnsi="Times New Roman" w:cs="Times New Roman"/>
      <w:color w:val="000000"/>
      <w:sz w:val="24"/>
      <w:szCs w:val="24"/>
      <w:lang w:val="en-GB" w:eastAsia="fr-FR" w:bidi="fr-FR"/>
    </w:rPr>
  </w:style>
  <w:style w:type="paragraph" w:styleId="ListContinue4">
    <w:name w:val="List Continue 4"/>
    <w:basedOn w:val="Normal"/>
    <w:uiPriority w:val="99"/>
    <w:semiHidden/>
    <w:unhideWhenUsed/>
    <w:rsid w:val="00DF358A"/>
    <w:pPr>
      <w:widowControl w:val="0"/>
      <w:spacing w:after="120"/>
      <w:ind w:left="1132"/>
      <w:contextualSpacing/>
      <w:jc w:val="both"/>
    </w:pPr>
    <w:rPr>
      <w:rFonts w:ascii="Times New Roman" w:eastAsia="MS Gothic" w:hAnsi="Times New Roman" w:cs="Times New Roman"/>
      <w:color w:val="000000"/>
      <w:sz w:val="24"/>
      <w:szCs w:val="24"/>
      <w:lang w:val="en-GB" w:eastAsia="fr-FR" w:bidi="fr-FR"/>
    </w:rPr>
  </w:style>
  <w:style w:type="paragraph" w:styleId="ListContinue5">
    <w:name w:val="List Continue 5"/>
    <w:basedOn w:val="Normal"/>
    <w:uiPriority w:val="99"/>
    <w:semiHidden/>
    <w:unhideWhenUsed/>
    <w:rsid w:val="00DF358A"/>
    <w:pPr>
      <w:widowControl w:val="0"/>
      <w:spacing w:after="120"/>
      <w:ind w:left="1415"/>
      <w:contextualSpacing/>
      <w:jc w:val="both"/>
    </w:pPr>
    <w:rPr>
      <w:rFonts w:ascii="Times New Roman" w:eastAsia="MS Gothic" w:hAnsi="Times New Roman" w:cs="Times New Roman"/>
      <w:color w:val="000000"/>
      <w:sz w:val="24"/>
      <w:szCs w:val="24"/>
      <w:lang w:val="en-GB" w:eastAsia="fr-FR" w:bidi="fr-FR"/>
    </w:rPr>
  </w:style>
  <w:style w:type="paragraph" w:styleId="ListNumber">
    <w:name w:val="List Number"/>
    <w:basedOn w:val="Normal"/>
    <w:uiPriority w:val="99"/>
    <w:semiHidden/>
    <w:unhideWhenUsed/>
    <w:rsid w:val="00DF358A"/>
    <w:pPr>
      <w:widowControl w:val="0"/>
      <w:numPr>
        <w:numId w:val="21"/>
      </w:numPr>
      <w:tabs>
        <w:tab w:val="clear" w:pos="360"/>
      </w:tabs>
      <w:ind w:left="0" w:firstLine="0"/>
      <w:contextualSpacing/>
      <w:jc w:val="both"/>
    </w:pPr>
    <w:rPr>
      <w:rFonts w:ascii="Times New Roman" w:eastAsia="MS Gothic" w:hAnsi="Times New Roman" w:cs="Times New Roman"/>
      <w:color w:val="000000"/>
      <w:sz w:val="24"/>
      <w:szCs w:val="24"/>
      <w:lang w:val="en-GB" w:eastAsia="fr-FR" w:bidi="fr-FR"/>
    </w:rPr>
  </w:style>
  <w:style w:type="paragraph" w:styleId="ListNumber2">
    <w:name w:val="List Number 2"/>
    <w:basedOn w:val="Normal"/>
    <w:uiPriority w:val="99"/>
    <w:semiHidden/>
    <w:unhideWhenUsed/>
    <w:rsid w:val="00DF358A"/>
    <w:pPr>
      <w:widowControl w:val="0"/>
      <w:numPr>
        <w:numId w:val="22"/>
      </w:numPr>
      <w:tabs>
        <w:tab w:val="clear" w:pos="643"/>
      </w:tabs>
      <w:ind w:left="0" w:firstLine="0"/>
      <w:contextualSpacing/>
      <w:jc w:val="both"/>
    </w:pPr>
    <w:rPr>
      <w:rFonts w:ascii="Times New Roman" w:eastAsia="MS Gothic" w:hAnsi="Times New Roman" w:cs="Times New Roman"/>
      <w:color w:val="000000"/>
      <w:sz w:val="24"/>
      <w:szCs w:val="24"/>
      <w:lang w:val="en-GB" w:eastAsia="fr-FR" w:bidi="fr-FR"/>
    </w:rPr>
  </w:style>
  <w:style w:type="paragraph" w:styleId="ListNumber3">
    <w:name w:val="List Number 3"/>
    <w:basedOn w:val="Normal"/>
    <w:uiPriority w:val="99"/>
    <w:semiHidden/>
    <w:unhideWhenUsed/>
    <w:rsid w:val="00DF358A"/>
    <w:pPr>
      <w:widowControl w:val="0"/>
      <w:numPr>
        <w:numId w:val="23"/>
      </w:numPr>
      <w:tabs>
        <w:tab w:val="clear" w:pos="926"/>
      </w:tabs>
      <w:ind w:left="0" w:firstLine="0"/>
      <w:contextualSpacing/>
      <w:jc w:val="both"/>
    </w:pPr>
    <w:rPr>
      <w:rFonts w:ascii="Times New Roman" w:eastAsia="MS Gothic" w:hAnsi="Times New Roman" w:cs="Times New Roman"/>
      <w:color w:val="000000"/>
      <w:sz w:val="24"/>
      <w:szCs w:val="24"/>
      <w:lang w:val="en-GB" w:eastAsia="fr-FR" w:bidi="fr-FR"/>
    </w:rPr>
  </w:style>
  <w:style w:type="paragraph" w:styleId="ListNumber4">
    <w:name w:val="List Number 4"/>
    <w:basedOn w:val="Normal"/>
    <w:uiPriority w:val="99"/>
    <w:semiHidden/>
    <w:unhideWhenUsed/>
    <w:rsid w:val="00DF358A"/>
    <w:pPr>
      <w:widowControl w:val="0"/>
      <w:numPr>
        <w:numId w:val="24"/>
      </w:numPr>
      <w:tabs>
        <w:tab w:val="clear" w:pos="1209"/>
      </w:tabs>
      <w:ind w:left="0" w:firstLine="0"/>
      <w:contextualSpacing/>
      <w:jc w:val="both"/>
    </w:pPr>
    <w:rPr>
      <w:rFonts w:ascii="Times New Roman" w:eastAsia="MS Gothic" w:hAnsi="Times New Roman" w:cs="Times New Roman"/>
      <w:color w:val="000000"/>
      <w:sz w:val="24"/>
      <w:szCs w:val="24"/>
      <w:lang w:val="en-GB" w:eastAsia="fr-FR" w:bidi="fr-FR"/>
    </w:rPr>
  </w:style>
  <w:style w:type="paragraph" w:styleId="ListNumber5">
    <w:name w:val="List Number 5"/>
    <w:basedOn w:val="Normal"/>
    <w:uiPriority w:val="99"/>
    <w:semiHidden/>
    <w:unhideWhenUsed/>
    <w:rsid w:val="00DF358A"/>
    <w:pPr>
      <w:widowControl w:val="0"/>
      <w:numPr>
        <w:numId w:val="25"/>
      </w:numPr>
      <w:tabs>
        <w:tab w:val="clear" w:pos="1492"/>
      </w:tabs>
      <w:ind w:left="0" w:firstLine="0"/>
      <w:contextualSpacing/>
      <w:jc w:val="both"/>
    </w:pPr>
    <w:rPr>
      <w:rFonts w:ascii="Times New Roman" w:eastAsia="MS Gothic" w:hAnsi="Times New Roman" w:cs="Times New Roman"/>
      <w:color w:val="000000"/>
      <w:sz w:val="24"/>
      <w:szCs w:val="24"/>
      <w:lang w:val="en-GB" w:eastAsia="fr-FR" w:bidi="fr-FR"/>
    </w:rPr>
  </w:style>
  <w:style w:type="paragraph" w:styleId="MacroText">
    <w:name w:val="macro"/>
    <w:link w:val="MacroTextChar"/>
    <w:uiPriority w:val="99"/>
    <w:semiHidden/>
    <w:unhideWhenUsed/>
    <w:rsid w:val="00DF358A"/>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eastAsia="MS Gothic" w:hAnsi="Consolas" w:cs="Times New Roman"/>
      <w:color w:val="000000"/>
      <w:lang w:val="en-GB" w:eastAsia="fr-FR" w:bidi="fr-FR"/>
    </w:rPr>
  </w:style>
  <w:style w:type="character" w:customStyle="1" w:styleId="MacroTextChar">
    <w:name w:val="Macro Text Char"/>
    <w:basedOn w:val="DefaultParagraphFont"/>
    <w:link w:val="MacroText"/>
    <w:uiPriority w:val="99"/>
    <w:semiHidden/>
    <w:rsid w:val="00DF358A"/>
    <w:rPr>
      <w:rFonts w:ascii="Consolas" w:eastAsia="MS Gothic" w:hAnsi="Consolas" w:cs="Times New Roman"/>
      <w:color w:val="000000"/>
      <w:lang w:val="en-GB" w:eastAsia="fr-FR" w:bidi="fr-FR"/>
    </w:rPr>
  </w:style>
  <w:style w:type="paragraph" w:customStyle="1" w:styleId="MessageHeader1">
    <w:name w:val="Message Header1"/>
    <w:basedOn w:val="Normal"/>
    <w:next w:val="MessageHeader"/>
    <w:link w:val="MessageHeaderChar"/>
    <w:uiPriority w:val="99"/>
    <w:semiHidden/>
    <w:unhideWhenUsed/>
    <w:rsid w:val="00DF358A"/>
    <w:pPr>
      <w:widowControl w:val="0"/>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eastAsia="MS Gothic" w:hAnsi="Arial" w:cs="Times New Roman"/>
      <w:sz w:val="22"/>
      <w:szCs w:val="22"/>
    </w:rPr>
  </w:style>
  <w:style w:type="character" w:customStyle="1" w:styleId="MessageHeaderChar">
    <w:name w:val="Message Header Char"/>
    <w:basedOn w:val="DefaultParagraphFont"/>
    <w:link w:val="MessageHeader1"/>
    <w:uiPriority w:val="99"/>
    <w:semiHidden/>
    <w:rsid w:val="00DF358A"/>
    <w:rPr>
      <w:rFonts w:ascii="Arial" w:eastAsia="MS Gothic" w:hAnsi="Arial" w:cs="Times New Roman"/>
      <w:sz w:val="22"/>
      <w:szCs w:val="22"/>
      <w:shd w:val="pct20" w:color="auto" w:fill="auto"/>
    </w:rPr>
  </w:style>
  <w:style w:type="paragraph" w:styleId="NormalIndent">
    <w:name w:val="Normal Indent"/>
    <w:basedOn w:val="Normal"/>
    <w:uiPriority w:val="99"/>
    <w:semiHidden/>
    <w:unhideWhenUsed/>
    <w:rsid w:val="00DF358A"/>
    <w:pPr>
      <w:widowControl w:val="0"/>
      <w:ind w:left="720"/>
      <w:jc w:val="both"/>
    </w:pPr>
    <w:rPr>
      <w:rFonts w:ascii="Times New Roman" w:eastAsia="MS Gothic" w:hAnsi="Times New Roman" w:cs="Times New Roman"/>
      <w:color w:val="000000"/>
      <w:sz w:val="24"/>
      <w:szCs w:val="24"/>
      <w:lang w:val="en-GB" w:eastAsia="fr-FR" w:bidi="fr-FR"/>
    </w:rPr>
  </w:style>
  <w:style w:type="paragraph" w:styleId="NoteHeading">
    <w:name w:val="Note Heading"/>
    <w:basedOn w:val="Normal"/>
    <w:next w:val="Normal"/>
    <w:link w:val="NoteHeadingChar"/>
    <w:uiPriority w:val="99"/>
    <w:semiHidden/>
    <w:unhideWhenUsed/>
    <w:rsid w:val="00DF358A"/>
    <w:pPr>
      <w:widowControl w:val="0"/>
      <w:jc w:val="both"/>
    </w:pPr>
    <w:rPr>
      <w:rFonts w:ascii="Times New Roman" w:eastAsia="MS Gothic" w:hAnsi="Times New Roman" w:cs="Times New Roman"/>
      <w:color w:val="000000"/>
      <w:sz w:val="24"/>
      <w:szCs w:val="24"/>
      <w:lang w:val="en-GB" w:eastAsia="fr-FR" w:bidi="fr-FR"/>
    </w:rPr>
  </w:style>
  <w:style w:type="character" w:customStyle="1" w:styleId="NoteHeadingChar">
    <w:name w:val="Note Heading Char"/>
    <w:basedOn w:val="DefaultParagraphFont"/>
    <w:link w:val="NoteHeading"/>
    <w:uiPriority w:val="99"/>
    <w:semiHidden/>
    <w:rsid w:val="00DF358A"/>
    <w:rPr>
      <w:rFonts w:ascii="Times New Roman" w:eastAsia="MS Gothic" w:hAnsi="Times New Roman" w:cs="Times New Roman"/>
      <w:color w:val="000000"/>
      <w:sz w:val="24"/>
      <w:szCs w:val="24"/>
      <w:lang w:val="en-GB" w:eastAsia="fr-FR" w:bidi="fr-FR"/>
    </w:rPr>
  </w:style>
  <w:style w:type="paragraph" w:styleId="PlainText">
    <w:name w:val="Plain Text"/>
    <w:basedOn w:val="Normal"/>
    <w:link w:val="PlainTextChar"/>
    <w:uiPriority w:val="99"/>
    <w:unhideWhenUsed/>
    <w:rsid w:val="00DF358A"/>
    <w:pPr>
      <w:widowControl w:val="0"/>
      <w:jc w:val="both"/>
    </w:pPr>
    <w:rPr>
      <w:rFonts w:ascii="Consolas" w:eastAsia="MS Gothic" w:hAnsi="Consolas" w:cs="Times New Roman"/>
      <w:color w:val="000000"/>
      <w:sz w:val="21"/>
      <w:szCs w:val="21"/>
      <w:lang w:val="en-GB" w:eastAsia="fr-FR" w:bidi="fr-FR"/>
    </w:rPr>
  </w:style>
  <w:style w:type="character" w:customStyle="1" w:styleId="PlainTextChar">
    <w:name w:val="Plain Text Char"/>
    <w:basedOn w:val="DefaultParagraphFont"/>
    <w:link w:val="PlainText"/>
    <w:uiPriority w:val="99"/>
    <w:rsid w:val="00DF358A"/>
    <w:rPr>
      <w:rFonts w:ascii="Consolas" w:eastAsia="MS Gothic" w:hAnsi="Consolas" w:cs="Times New Roman"/>
      <w:color w:val="000000"/>
      <w:sz w:val="21"/>
      <w:szCs w:val="21"/>
      <w:lang w:val="en-GB" w:eastAsia="fr-FR" w:bidi="fr-FR"/>
    </w:rPr>
  </w:style>
  <w:style w:type="paragraph" w:customStyle="1" w:styleId="Quote1">
    <w:name w:val="Quote1"/>
    <w:basedOn w:val="Normal"/>
    <w:next w:val="Normal"/>
    <w:uiPriority w:val="29"/>
    <w:qFormat/>
    <w:rsid w:val="00DF358A"/>
    <w:pPr>
      <w:widowControl w:val="0"/>
      <w:spacing w:before="200" w:after="160"/>
      <w:ind w:left="864" w:right="864"/>
      <w:jc w:val="center"/>
    </w:pPr>
    <w:rPr>
      <w:rFonts w:ascii="Times New Roman" w:eastAsia="MS Gothic" w:hAnsi="Times New Roman" w:cs="Times New Roman"/>
      <w:i/>
      <w:iCs/>
      <w:color w:val="404040"/>
      <w:sz w:val="24"/>
      <w:szCs w:val="24"/>
      <w:lang w:val="en-GB" w:eastAsia="fr-FR" w:bidi="fr-FR"/>
    </w:rPr>
  </w:style>
  <w:style w:type="character" w:customStyle="1" w:styleId="QuoteChar">
    <w:name w:val="Quote Char"/>
    <w:basedOn w:val="DefaultParagraphFont"/>
    <w:link w:val="Quote"/>
    <w:uiPriority w:val="29"/>
    <w:rsid w:val="00DF358A"/>
    <w:rPr>
      <w:i/>
      <w:iCs/>
      <w:color w:val="404040"/>
    </w:rPr>
  </w:style>
  <w:style w:type="paragraph" w:styleId="Salutation">
    <w:name w:val="Salutation"/>
    <w:basedOn w:val="Normal"/>
    <w:next w:val="Normal"/>
    <w:link w:val="SalutationChar"/>
    <w:uiPriority w:val="99"/>
    <w:unhideWhenUsed/>
    <w:rsid w:val="00DF358A"/>
    <w:pPr>
      <w:widowControl w:val="0"/>
      <w:jc w:val="both"/>
    </w:pPr>
    <w:rPr>
      <w:rFonts w:ascii="Times New Roman" w:eastAsia="MS Gothic" w:hAnsi="Times New Roman" w:cs="Times New Roman"/>
      <w:color w:val="000000"/>
      <w:sz w:val="24"/>
      <w:szCs w:val="24"/>
      <w:lang w:val="en-GB" w:eastAsia="fr-FR" w:bidi="fr-FR"/>
    </w:rPr>
  </w:style>
  <w:style w:type="character" w:customStyle="1" w:styleId="SalutationChar">
    <w:name w:val="Salutation Char"/>
    <w:basedOn w:val="DefaultParagraphFont"/>
    <w:link w:val="Salutation"/>
    <w:uiPriority w:val="99"/>
    <w:rsid w:val="00DF358A"/>
    <w:rPr>
      <w:rFonts w:ascii="Times New Roman" w:eastAsia="MS Gothic" w:hAnsi="Times New Roman" w:cs="Times New Roman"/>
      <w:color w:val="000000"/>
      <w:sz w:val="24"/>
      <w:szCs w:val="24"/>
      <w:lang w:val="en-GB" w:eastAsia="fr-FR" w:bidi="fr-FR"/>
    </w:rPr>
  </w:style>
  <w:style w:type="paragraph" w:styleId="Signature">
    <w:name w:val="Signature"/>
    <w:basedOn w:val="Normal"/>
    <w:link w:val="SignatureChar"/>
    <w:uiPriority w:val="99"/>
    <w:semiHidden/>
    <w:unhideWhenUsed/>
    <w:rsid w:val="00DF358A"/>
    <w:pPr>
      <w:widowControl w:val="0"/>
      <w:ind w:left="4252"/>
      <w:jc w:val="both"/>
    </w:pPr>
    <w:rPr>
      <w:rFonts w:ascii="Times New Roman" w:eastAsia="MS Gothic" w:hAnsi="Times New Roman" w:cs="Times New Roman"/>
      <w:color w:val="000000"/>
      <w:sz w:val="24"/>
      <w:szCs w:val="24"/>
      <w:lang w:val="en-GB" w:eastAsia="fr-FR" w:bidi="fr-FR"/>
    </w:rPr>
  </w:style>
  <w:style w:type="character" w:customStyle="1" w:styleId="SignatureChar">
    <w:name w:val="Signature Char"/>
    <w:basedOn w:val="DefaultParagraphFont"/>
    <w:link w:val="Signature"/>
    <w:uiPriority w:val="99"/>
    <w:semiHidden/>
    <w:rsid w:val="00DF358A"/>
    <w:rPr>
      <w:rFonts w:ascii="Times New Roman" w:eastAsia="MS Gothic" w:hAnsi="Times New Roman" w:cs="Times New Roman"/>
      <w:color w:val="000000"/>
      <w:sz w:val="24"/>
      <w:szCs w:val="24"/>
      <w:lang w:val="en-GB" w:eastAsia="fr-FR" w:bidi="fr-FR"/>
    </w:rPr>
  </w:style>
  <w:style w:type="paragraph" w:styleId="TableofAuthorities">
    <w:name w:val="table of authorities"/>
    <w:basedOn w:val="Normal"/>
    <w:next w:val="Normal"/>
    <w:uiPriority w:val="99"/>
    <w:semiHidden/>
    <w:unhideWhenUsed/>
    <w:rsid w:val="00DF358A"/>
    <w:pPr>
      <w:widowControl w:val="0"/>
      <w:ind w:left="240" w:hanging="240"/>
      <w:jc w:val="both"/>
    </w:pPr>
    <w:rPr>
      <w:rFonts w:ascii="Times New Roman" w:eastAsia="MS Gothic" w:hAnsi="Times New Roman" w:cs="Times New Roman"/>
      <w:color w:val="000000"/>
      <w:sz w:val="24"/>
      <w:szCs w:val="24"/>
      <w:lang w:val="en-GB" w:eastAsia="fr-FR" w:bidi="fr-FR"/>
    </w:rPr>
  </w:style>
  <w:style w:type="paragraph" w:styleId="TableofFigures">
    <w:name w:val="table of figures"/>
    <w:basedOn w:val="Normal"/>
    <w:next w:val="Normal"/>
    <w:uiPriority w:val="99"/>
    <w:semiHidden/>
    <w:unhideWhenUsed/>
    <w:rsid w:val="00DF358A"/>
    <w:pPr>
      <w:widowControl w:val="0"/>
      <w:jc w:val="both"/>
    </w:pPr>
    <w:rPr>
      <w:rFonts w:ascii="Times New Roman" w:eastAsia="MS Gothic" w:hAnsi="Times New Roman" w:cs="Times New Roman"/>
      <w:color w:val="000000"/>
      <w:sz w:val="24"/>
      <w:szCs w:val="24"/>
      <w:lang w:val="en-GB" w:eastAsia="fr-FR" w:bidi="fr-FR"/>
    </w:rPr>
  </w:style>
  <w:style w:type="paragraph" w:customStyle="1" w:styleId="Title1">
    <w:name w:val="Title1"/>
    <w:basedOn w:val="Normal"/>
    <w:next w:val="Normal"/>
    <w:link w:val="titleChar"/>
    <w:qFormat/>
    <w:rsid w:val="00DF358A"/>
    <w:pPr>
      <w:widowControl w:val="0"/>
      <w:contextualSpacing/>
      <w:jc w:val="both"/>
    </w:pPr>
    <w:rPr>
      <w:rFonts w:ascii="Arial" w:eastAsia="MS Gothic" w:hAnsi="Arial" w:cs="Times New Roman"/>
      <w:spacing w:val="-10"/>
      <w:kern w:val="28"/>
      <w:sz w:val="56"/>
      <w:szCs w:val="56"/>
      <w:lang w:val="en-GB" w:eastAsia="fr-FR" w:bidi="fr-FR"/>
    </w:rPr>
  </w:style>
  <w:style w:type="character" w:customStyle="1" w:styleId="TitleChar0">
    <w:name w:val="Title Char"/>
    <w:basedOn w:val="DefaultParagraphFont"/>
    <w:link w:val="Title"/>
    <w:uiPriority w:val="10"/>
    <w:rsid w:val="00DF358A"/>
    <w:rPr>
      <w:rFonts w:ascii="Arial" w:hAnsi="Arial"/>
      <w:spacing w:val="-10"/>
      <w:kern w:val="28"/>
      <w:sz w:val="56"/>
      <w:szCs w:val="56"/>
    </w:rPr>
  </w:style>
  <w:style w:type="paragraph" w:customStyle="1" w:styleId="TOAHeading1">
    <w:name w:val="TOA Heading1"/>
    <w:basedOn w:val="Normal"/>
    <w:next w:val="Normal"/>
    <w:uiPriority w:val="99"/>
    <w:semiHidden/>
    <w:unhideWhenUsed/>
    <w:rsid w:val="00DF358A"/>
    <w:pPr>
      <w:widowControl w:val="0"/>
      <w:spacing w:before="120"/>
      <w:jc w:val="both"/>
    </w:pPr>
    <w:rPr>
      <w:rFonts w:ascii="Arial" w:eastAsia="MS Gothic" w:hAnsi="Arial" w:cs="Times New Roman"/>
      <w:b/>
      <w:bCs/>
      <w:color w:val="000000"/>
      <w:sz w:val="24"/>
      <w:szCs w:val="24"/>
      <w:lang w:val="en-GB" w:eastAsia="fr-FR" w:bidi="fr-FR"/>
    </w:rPr>
  </w:style>
  <w:style w:type="paragraph" w:styleId="TOC1">
    <w:name w:val="toc 1"/>
    <w:basedOn w:val="Normal"/>
    <w:next w:val="Normal"/>
    <w:autoRedefine/>
    <w:uiPriority w:val="39"/>
    <w:semiHidden/>
    <w:unhideWhenUsed/>
    <w:rsid w:val="00DF358A"/>
    <w:pPr>
      <w:widowControl w:val="0"/>
      <w:spacing w:after="100"/>
      <w:jc w:val="both"/>
    </w:pPr>
    <w:rPr>
      <w:rFonts w:ascii="Times New Roman" w:eastAsia="MS Gothic" w:hAnsi="Times New Roman" w:cs="Times New Roman"/>
      <w:color w:val="000000"/>
      <w:sz w:val="24"/>
      <w:szCs w:val="24"/>
      <w:lang w:val="en-GB" w:eastAsia="fr-FR" w:bidi="fr-FR"/>
    </w:rPr>
  </w:style>
  <w:style w:type="paragraph" w:styleId="TOC2">
    <w:name w:val="toc 2"/>
    <w:basedOn w:val="Normal"/>
    <w:next w:val="Normal"/>
    <w:autoRedefine/>
    <w:uiPriority w:val="39"/>
    <w:semiHidden/>
    <w:unhideWhenUsed/>
    <w:rsid w:val="00DF358A"/>
    <w:pPr>
      <w:widowControl w:val="0"/>
      <w:spacing w:after="100"/>
      <w:ind w:left="240"/>
      <w:jc w:val="both"/>
    </w:pPr>
    <w:rPr>
      <w:rFonts w:ascii="Times New Roman" w:eastAsia="MS Gothic" w:hAnsi="Times New Roman" w:cs="Times New Roman"/>
      <w:color w:val="000000"/>
      <w:sz w:val="24"/>
      <w:szCs w:val="24"/>
      <w:lang w:val="en-GB" w:eastAsia="fr-FR" w:bidi="fr-FR"/>
    </w:rPr>
  </w:style>
  <w:style w:type="paragraph" w:styleId="TOC3">
    <w:name w:val="toc 3"/>
    <w:basedOn w:val="Normal"/>
    <w:next w:val="Normal"/>
    <w:autoRedefine/>
    <w:uiPriority w:val="39"/>
    <w:semiHidden/>
    <w:unhideWhenUsed/>
    <w:rsid w:val="00DF358A"/>
    <w:pPr>
      <w:widowControl w:val="0"/>
      <w:spacing w:after="100"/>
      <w:ind w:left="480"/>
      <w:jc w:val="both"/>
    </w:pPr>
    <w:rPr>
      <w:rFonts w:ascii="Times New Roman" w:eastAsia="MS Gothic" w:hAnsi="Times New Roman" w:cs="Times New Roman"/>
      <w:color w:val="000000"/>
      <w:sz w:val="24"/>
      <w:szCs w:val="24"/>
      <w:lang w:val="en-GB" w:eastAsia="fr-FR" w:bidi="fr-FR"/>
    </w:rPr>
  </w:style>
  <w:style w:type="paragraph" w:styleId="TOC4">
    <w:name w:val="toc 4"/>
    <w:basedOn w:val="Normal"/>
    <w:next w:val="Normal"/>
    <w:autoRedefine/>
    <w:uiPriority w:val="39"/>
    <w:semiHidden/>
    <w:unhideWhenUsed/>
    <w:rsid w:val="00DF358A"/>
    <w:pPr>
      <w:widowControl w:val="0"/>
      <w:spacing w:after="100"/>
      <w:ind w:left="720"/>
      <w:jc w:val="both"/>
    </w:pPr>
    <w:rPr>
      <w:rFonts w:ascii="Times New Roman" w:eastAsia="MS Gothic" w:hAnsi="Times New Roman" w:cs="Times New Roman"/>
      <w:color w:val="000000"/>
      <w:sz w:val="24"/>
      <w:szCs w:val="24"/>
      <w:lang w:val="en-GB" w:eastAsia="fr-FR" w:bidi="fr-FR"/>
    </w:rPr>
  </w:style>
  <w:style w:type="paragraph" w:styleId="TOC5">
    <w:name w:val="toc 5"/>
    <w:basedOn w:val="Normal"/>
    <w:next w:val="Normal"/>
    <w:autoRedefine/>
    <w:uiPriority w:val="39"/>
    <w:semiHidden/>
    <w:unhideWhenUsed/>
    <w:rsid w:val="00DF358A"/>
    <w:pPr>
      <w:widowControl w:val="0"/>
      <w:spacing w:after="100"/>
      <w:ind w:left="960"/>
      <w:jc w:val="both"/>
    </w:pPr>
    <w:rPr>
      <w:rFonts w:ascii="Times New Roman" w:eastAsia="MS Gothic" w:hAnsi="Times New Roman" w:cs="Times New Roman"/>
      <w:color w:val="000000"/>
      <w:sz w:val="24"/>
      <w:szCs w:val="24"/>
      <w:lang w:val="en-GB" w:eastAsia="fr-FR" w:bidi="fr-FR"/>
    </w:rPr>
  </w:style>
  <w:style w:type="paragraph" w:styleId="TOC6">
    <w:name w:val="toc 6"/>
    <w:basedOn w:val="Normal"/>
    <w:next w:val="Normal"/>
    <w:autoRedefine/>
    <w:uiPriority w:val="39"/>
    <w:semiHidden/>
    <w:unhideWhenUsed/>
    <w:rsid w:val="00DF358A"/>
    <w:pPr>
      <w:widowControl w:val="0"/>
      <w:spacing w:after="100"/>
      <w:ind w:left="1200"/>
      <w:jc w:val="both"/>
    </w:pPr>
    <w:rPr>
      <w:rFonts w:ascii="Times New Roman" w:eastAsia="MS Gothic" w:hAnsi="Times New Roman" w:cs="Times New Roman"/>
      <w:color w:val="000000"/>
      <w:sz w:val="24"/>
      <w:szCs w:val="24"/>
      <w:lang w:val="en-GB" w:eastAsia="fr-FR" w:bidi="fr-FR"/>
    </w:rPr>
  </w:style>
  <w:style w:type="paragraph" w:styleId="TOC7">
    <w:name w:val="toc 7"/>
    <w:basedOn w:val="Normal"/>
    <w:next w:val="Normal"/>
    <w:autoRedefine/>
    <w:uiPriority w:val="39"/>
    <w:semiHidden/>
    <w:unhideWhenUsed/>
    <w:rsid w:val="00DF358A"/>
    <w:pPr>
      <w:widowControl w:val="0"/>
      <w:spacing w:after="100"/>
      <w:ind w:left="1440"/>
      <w:jc w:val="both"/>
    </w:pPr>
    <w:rPr>
      <w:rFonts w:ascii="Times New Roman" w:eastAsia="MS Gothic" w:hAnsi="Times New Roman" w:cs="Times New Roman"/>
      <w:color w:val="000000"/>
      <w:sz w:val="24"/>
      <w:szCs w:val="24"/>
      <w:lang w:val="en-GB" w:eastAsia="fr-FR" w:bidi="fr-FR"/>
    </w:rPr>
  </w:style>
  <w:style w:type="paragraph" w:styleId="TOC8">
    <w:name w:val="toc 8"/>
    <w:basedOn w:val="Normal"/>
    <w:next w:val="Normal"/>
    <w:autoRedefine/>
    <w:uiPriority w:val="39"/>
    <w:semiHidden/>
    <w:unhideWhenUsed/>
    <w:rsid w:val="00DF358A"/>
    <w:pPr>
      <w:widowControl w:val="0"/>
      <w:spacing w:after="100"/>
      <w:ind w:left="1680"/>
      <w:jc w:val="both"/>
    </w:pPr>
    <w:rPr>
      <w:rFonts w:ascii="Times New Roman" w:eastAsia="MS Gothic" w:hAnsi="Times New Roman" w:cs="Times New Roman"/>
      <w:color w:val="000000"/>
      <w:sz w:val="24"/>
      <w:szCs w:val="24"/>
      <w:lang w:val="en-GB" w:eastAsia="fr-FR" w:bidi="fr-FR"/>
    </w:rPr>
  </w:style>
  <w:style w:type="paragraph" w:styleId="TOC9">
    <w:name w:val="toc 9"/>
    <w:basedOn w:val="Normal"/>
    <w:next w:val="Normal"/>
    <w:autoRedefine/>
    <w:uiPriority w:val="39"/>
    <w:semiHidden/>
    <w:unhideWhenUsed/>
    <w:rsid w:val="00DF358A"/>
    <w:pPr>
      <w:widowControl w:val="0"/>
      <w:spacing w:after="100"/>
      <w:ind w:left="1920"/>
      <w:jc w:val="both"/>
    </w:pPr>
    <w:rPr>
      <w:rFonts w:ascii="Times New Roman" w:eastAsia="MS Gothic" w:hAnsi="Times New Roman" w:cs="Times New Roman"/>
      <w:color w:val="000000"/>
      <w:sz w:val="24"/>
      <w:szCs w:val="24"/>
      <w:lang w:val="en-GB" w:eastAsia="fr-FR" w:bidi="fr-FR"/>
    </w:rPr>
  </w:style>
  <w:style w:type="paragraph" w:styleId="TOCHeading">
    <w:name w:val="TOC Heading"/>
    <w:basedOn w:val="Heading1"/>
    <w:next w:val="Normal"/>
    <w:uiPriority w:val="39"/>
    <w:semiHidden/>
    <w:unhideWhenUsed/>
    <w:qFormat/>
    <w:rsid w:val="00DF358A"/>
    <w:pPr>
      <w:widowControl w:val="0"/>
      <w:spacing w:line="240" w:lineRule="auto"/>
      <w:jc w:val="both"/>
      <w:outlineLvl w:val="9"/>
    </w:pPr>
    <w:rPr>
      <w:rFonts w:ascii="Arial" w:eastAsia="MS Gothic" w:hAnsi="Arial" w:cs="Times New Roman"/>
      <w:color w:val="2E74B5"/>
      <w:lang w:val="en-GB" w:eastAsia="fr-FR" w:bidi="fr-FR"/>
    </w:rPr>
  </w:style>
  <w:style w:type="paragraph" w:styleId="BlockText">
    <w:name w:val="Block Text"/>
    <w:basedOn w:val="Normal"/>
    <w:uiPriority w:val="99"/>
    <w:semiHidden/>
    <w:unhideWhenUsed/>
    <w:rsid w:val="00DF358A"/>
    <w:pPr>
      <w:pBdr>
        <w:top w:val="single" w:sz="2" w:space="10" w:color="156082" w:themeColor="accent1"/>
        <w:left w:val="single" w:sz="2" w:space="10" w:color="156082" w:themeColor="accent1"/>
        <w:bottom w:val="single" w:sz="2" w:space="10" w:color="156082" w:themeColor="accent1"/>
        <w:right w:val="single" w:sz="2" w:space="10" w:color="156082" w:themeColor="accent1"/>
      </w:pBdr>
      <w:spacing w:after="160" w:line="259" w:lineRule="auto"/>
      <w:ind w:left="1152" w:right="1152"/>
    </w:pPr>
    <w:rPr>
      <w:rFonts w:asciiTheme="minorHAnsi" w:eastAsiaTheme="minorEastAsia" w:hAnsiTheme="minorHAnsi" w:cstheme="minorBidi"/>
      <w:i/>
      <w:iCs/>
      <w:color w:val="156082" w:themeColor="accent1"/>
      <w:sz w:val="22"/>
      <w:szCs w:val="22"/>
      <w:lang w:val="en-GB"/>
    </w:rPr>
  </w:style>
  <w:style w:type="paragraph" w:styleId="EnvelopeAddress">
    <w:name w:val="envelope address"/>
    <w:basedOn w:val="Normal"/>
    <w:uiPriority w:val="99"/>
    <w:semiHidden/>
    <w:unhideWhenUsed/>
    <w:rsid w:val="00DF358A"/>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DF358A"/>
    <w:rPr>
      <w:rFonts w:asciiTheme="majorHAnsi" w:eastAsiaTheme="majorEastAsia" w:hAnsiTheme="majorHAnsi" w:cstheme="majorBidi"/>
      <w:lang w:val="en-GB"/>
    </w:rPr>
  </w:style>
  <w:style w:type="character" w:customStyle="1" w:styleId="Heading5Char1">
    <w:name w:val="Heading 5 Char1"/>
    <w:basedOn w:val="DefaultParagraphFont"/>
    <w:uiPriority w:val="9"/>
    <w:semiHidden/>
    <w:rsid w:val="00DF358A"/>
    <w:rPr>
      <w:rFonts w:asciiTheme="majorHAnsi" w:eastAsiaTheme="majorEastAsia" w:hAnsiTheme="majorHAnsi" w:cstheme="majorBidi"/>
      <w:color w:val="0F4761" w:themeColor="accent1" w:themeShade="BF"/>
      <w:lang w:val="en-GB"/>
    </w:rPr>
  </w:style>
  <w:style w:type="character" w:customStyle="1" w:styleId="Heading6Char1">
    <w:name w:val="Heading 6 Char1"/>
    <w:basedOn w:val="DefaultParagraphFont"/>
    <w:uiPriority w:val="9"/>
    <w:semiHidden/>
    <w:rsid w:val="00DF358A"/>
    <w:rPr>
      <w:rFonts w:asciiTheme="majorHAnsi" w:eastAsiaTheme="majorEastAsia" w:hAnsiTheme="majorHAnsi" w:cstheme="majorBidi"/>
      <w:color w:val="0A2F40" w:themeColor="accent1" w:themeShade="7F"/>
      <w:lang w:val="en-GB"/>
    </w:rPr>
  </w:style>
  <w:style w:type="character" w:customStyle="1" w:styleId="Heading7Char1">
    <w:name w:val="Heading 7 Char1"/>
    <w:basedOn w:val="DefaultParagraphFont"/>
    <w:uiPriority w:val="9"/>
    <w:semiHidden/>
    <w:rsid w:val="00DF358A"/>
    <w:rPr>
      <w:rFonts w:asciiTheme="majorHAnsi" w:eastAsiaTheme="majorEastAsia" w:hAnsiTheme="majorHAnsi" w:cstheme="majorBidi"/>
      <w:i/>
      <w:iCs/>
      <w:color w:val="0A2F40" w:themeColor="accent1" w:themeShade="7F"/>
      <w:lang w:val="en-GB"/>
    </w:rPr>
  </w:style>
  <w:style w:type="character" w:customStyle="1" w:styleId="Heading8Char1">
    <w:name w:val="Heading 8 Char1"/>
    <w:basedOn w:val="DefaultParagraphFont"/>
    <w:uiPriority w:val="9"/>
    <w:semiHidden/>
    <w:rsid w:val="00DF358A"/>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DF358A"/>
    <w:rPr>
      <w:rFonts w:asciiTheme="majorHAnsi" w:eastAsiaTheme="majorEastAsia" w:hAnsiTheme="majorHAnsi" w:cstheme="majorBidi"/>
      <w:i/>
      <w:iCs/>
      <w:color w:val="272727" w:themeColor="text1" w:themeTint="D8"/>
      <w:sz w:val="21"/>
      <w:szCs w:val="21"/>
      <w:lang w:val="en-GB"/>
    </w:rPr>
  </w:style>
  <w:style w:type="paragraph" w:styleId="IntenseQuote">
    <w:name w:val="Intense Quote"/>
    <w:basedOn w:val="Normal"/>
    <w:next w:val="Normal"/>
    <w:link w:val="IntenseQuoteChar"/>
    <w:uiPriority w:val="30"/>
    <w:qFormat/>
    <w:rsid w:val="00DF358A"/>
    <w:pPr>
      <w:pBdr>
        <w:top w:val="single" w:sz="4" w:space="10" w:color="156082" w:themeColor="accent1"/>
        <w:bottom w:val="single" w:sz="4" w:space="10" w:color="156082" w:themeColor="accent1"/>
      </w:pBdr>
      <w:spacing w:before="360" w:after="360" w:line="259" w:lineRule="auto"/>
      <w:ind w:left="864" w:right="864"/>
      <w:jc w:val="center"/>
    </w:pPr>
    <w:rPr>
      <w:i/>
      <w:iCs/>
      <w:color w:val="5B9BD5"/>
    </w:rPr>
  </w:style>
  <w:style w:type="character" w:customStyle="1" w:styleId="IntenseQuoteChar1">
    <w:name w:val="Intense Quote Char1"/>
    <w:basedOn w:val="DefaultParagraphFont"/>
    <w:uiPriority w:val="30"/>
    <w:rsid w:val="00DF358A"/>
    <w:rPr>
      <w:i/>
      <w:iCs/>
      <w:color w:val="156082" w:themeColor="accent1"/>
    </w:rPr>
  </w:style>
  <w:style w:type="paragraph" w:styleId="MessageHeader">
    <w:name w:val="Message Header"/>
    <w:basedOn w:val="Normal"/>
    <w:link w:val="MessageHeaderChar1"/>
    <w:uiPriority w:val="99"/>
    <w:semiHidden/>
    <w:unhideWhenUsed/>
    <w:rsid w:val="00DF358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1">
    <w:name w:val="Message Header Char1"/>
    <w:basedOn w:val="DefaultParagraphFont"/>
    <w:link w:val="MessageHeader"/>
    <w:uiPriority w:val="99"/>
    <w:semiHidden/>
    <w:rsid w:val="00DF358A"/>
    <w:rPr>
      <w:rFonts w:asciiTheme="majorHAnsi" w:eastAsiaTheme="majorEastAsia" w:hAnsiTheme="majorHAnsi" w:cstheme="majorBidi"/>
      <w:sz w:val="24"/>
      <w:szCs w:val="24"/>
      <w:shd w:val="pct20" w:color="auto" w:fill="auto"/>
      <w:lang w:val="en-GB"/>
    </w:rPr>
  </w:style>
  <w:style w:type="paragraph" w:styleId="Quote">
    <w:name w:val="Quote"/>
    <w:basedOn w:val="Normal"/>
    <w:next w:val="Normal"/>
    <w:link w:val="QuoteChar"/>
    <w:uiPriority w:val="29"/>
    <w:qFormat/>
    <w:rsid w:val="00DF358A"/>
    <w:pPr>
      <w:spacing w:before="200" w:after="160" w:line="259" w:lineRule="auto"/>
      <w:ind w:left="864" w:right="864"/>
      <w:jc w:val="center"/>
    </w:pPr>
    <w:rPr>
      <w:i/>
      <w:iCs/>
      <w:color w:val="404040"/>
    </w:rPr>
  </w:style>
  <w:style w:type="character" w:customStyle="1" w:styleId="QuoteChar1">
    <w:name w:val="Quote Char1"/>
    <w:basedOn w:val="DefaultParagraphFont"/>
    <w:uiPriority w:val="29"/>
    <w:rsid w:val="00DF358A"/>
    <w:rPr>
      <w:i/>
      <w:iCs/>
      <w:color w:val="404040" w:themeColor="text1" w:themeTint="BF"/>
    </w:rPr>
  </w:style>
  <w:style w:type="paragraph" w:styleId="Title">
    <w:name w:val="Title"/>
    <w:basedOn w:val="Normal"/>
    <w:next w:val="Normal"/>
    <w:link w:val="TitleChar0"/>
    <w:uiPriority w:val="10"/>
    <w:qFormat/>
    <w:rsid w:val="00DF358A"/>
    <w:pPr>
      <w:contextualSpacing/>
    </w:pPr>
    <w:rPr>
      <w:rFonts w:ascii="Arial" w:hAnsi="Arial"/>
      <w:spacing w:val="-10"/>
      <w:kern w:val="28"/>
      <w:sz w:val="56"/>
      <w:szCs w:val="56"/>
    </w:rPr>
  </w:style>
  <w:style w:type="character" w:customStyle="1" w:styleId="TitleChar1">
    <w:name w:val="Title Char1"/>
    <w:basedOn w:val="DefaultParagraphFont"/>
    <w:uiPriority w:val="10"/>
    <w:rsid w:val="00DF358A"/>
    <w:rPr>
      <w:rFonts w:asciiTheme="majorHAnsi" w:eastAsiaTheme="majorEastAsia" w:hAnsiTheme="majorHAnsi" w:cstheme="majorBidi"/>
      <w:spacing w:val="-10"/>
      <w:kern w:val="28"/>
      <w:sz w:val="56"/>
      <w:szCs w:val="56"/>
    </w:rPr>
  </w:style>
  <w:style w:type="table" w:customStyle="1" w:styleId="LightShading2">
    <w:name w:val="Light Shading2"/>
    <w:basedOn w:val="TableNormal"/>
    <w:next w:val="LightShading"/>
    <w:uiPriority w:val="60"/>
    <w:rsid w:val="00DF358A"/>
    <w:rPr>
      <w:rFonts w:ascii="Times New Roman" w:eastAsia="MS Gothic" w:hAnsi="Times New Roman" w:cs="Times New Roman"/>
      <w:color w:val="000000"/>
      <w:sz w:val="24"/>
      <w:szCs w:val="24"/>
      <w:lang w:val="en-GB" w:eastAsia="fr-FR" w:bidi="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aption2">
    <w:name w:val="Caption2"/>
    <w:basedOn w:val="Normal"/>
    <w:next w:val="Normal"/>
    <w:uiPriority w:val="35"/>
    <w:semiHidden/>
    <w:unhideWhenUsed/>
    <w:qFormat/>
    <w:rsid w:val="00DF358A"/>
    <w:pPr>
      <w:widowControl w:val="0"/>
      <w:spacing w:after="200"/>
      <w:jc w:val="both"/>
    </w:pPr>
    <w:rPr>
      <w:rFonts w:ascii="Times New Roman" w:eastAsia="MS Gothic" w:hAnsi="Times New Roman" w:cs="Times New Roman"/>
      <w:i/>
      <w:iCs/>
      <w:color w:val="44546A"/>
      <w:sz w:val="18"/>
      <w:szCs w:val="18"/>
      <w:lang w:val="en-GB" w:eastAsia="fr-FR" w:bidi="fr-FR"/>
    </w:rPr>
  </w:style>
  <w:style w:type="paragraph" w:customStyle="1" w:styleId="IndexHeading2">
    <w:name w:val="Index Heading2"/>
    <w:basedOn w:val="Normal"/>
    <w:next w:val="Index1"/>
    <w:uiPriority w:val="99"/>
    <w:semiHidden/>
    <w:unhideWhenUsed/>
    <w:rsid w:val="00DF358A"/>
    <w:pPr>
      <w:widowControl w:val="0"/>
      <w:jc w:val="both"/>
    </w:pPr>
    <w:rPr>
      <w:rFonts w:ascii="Arial" w:eastAsia="MS Gothic" w:hAnsi="Arial" w:cs="Times New Roman"/>
      <w:b/>
      <w:bCs/>
      <w:color w:val="000000"/>
      <w:sz w:val="24"/>
      <w:szCs w:val="24"/>
      <w:lang w:val="en-GB" w:eastAsia="fr-FR" w:bidi="fr-FR"/>
    </w:rPr>
  </w:style>
  <w:style w:type="paragraph" w:customStyle="1" w:styleId="TOAHeading2">
    <w:name w:val="TOA Heading2"/>
    <w:basedOn w:val="Normal"/>
    <w:next w:val="Normal"/>
    <w:uiPriority w:val="99"/>
    <w:semiHidden/>
    <w:unhideWhenUsed/>
    <w:rsid w:val="00DF358A"/>
    <w:pPr>
      <w:widowControl w:val="0"/>
      <w:spacing w:before="120"/>
      <w:jc w:val="both"/>
    </w:pPr>
    <w:rPr>
      <w:rFonts w:ascii="Arial" w:eastAsia="MS Gothic" w:hAnsi="Arial" w:cs="Times New Roman"/>
      <w:b/>
      <w:bCs/>
      <w:color w:val="000000"/>
      <w:sz w:val="24"/>
      <w:szCs w:val="24"/>
      <w:lang w:val="en-GB" w:eastAsia="fr-FR" w:bidi="fr-FR"/>
    </w:rPr>
  </w:style>
  <w:style w:type="table" w:customStyle="1" w:styleId="LightShading3">
    <w:name w:val="Light Shading3"/>
    <w:basedOn w:val="TableNormal"/>
    <w:next w:val="LightShading"/>
    <w:uiPriority w:val="60"/>
    <w:rsid w:val="00DF358A"/>
    <w:rPr>
      <w:rFonts w:ascii="Times New Roman" w:eastAsia="MS Gothic" w:hAnsi="Times New Roman" w:cs="Times New Roman"/>
      <w:color w:val="000000"/>
      <w:sz w:val="24"/>
      <w:szCs w:val="24"/>
      <w:lang w:val="en-GB" w:eastAsia="fr-FR" w:bidi="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
    <w:name w:val="No List6"/>
    <w:next w:val="NoList"/>
    <w:uiPriority w:val="99"/>
    <w:semiHidden/>
    <w:unhideWhenUsed/>
    <w:rsid w:val="00DF358A"/>
  </w:style>
  <w:style w:type="paragraph" w:customStyle="1" w:styleId="Caption3">
    <w:name w:val="Caption3"/>
    <w:basedOn w:val="Normal"/>
    <w:next w:val="Normal"/>
    <w:uiPriority w:val="35"/>
    <w:semiHidden/>
    <w:unhideWhenUsed/>
    <w:qFormat/>
    <w:rsid w:val="00DF358A"/>
    <w:pPr>
      <w:widowControl w:val="0"/>
      <w:spacing w:after="200"/>
      <w:jc w:val="both"/>
    </w:pPr>
    <w:rPr>
      <w:rFonts w:ascii="Times New Roman" w:eastAsia="MS Gothic" w:hAnsi="Times New Roman" w:cs="Times New Roman"/>
      <w:i/>
      <w:iCs/>
      <w:color w:val="44546A"/>
      <w:sz w:val="18"/>
      <w:szCs w:val="18"/>
      <w:lang w:val="en-GB" w:eastAsia="fr-FR" w:bidi="fr-FR"/>
    </w:rPr>
  </w:style>
  <w:style w:type="paragraph" w:customStyle="1" w:styleId="IndexHeading3">
    <w:name w:val="Index Heading3"/>
    <w:basedOn w:val="Normal"/>
    <w:next w:val="Index1"/>
    <w:uiPriority w:val="99"/>
    <w:semiHidden/>
    <w:unhideWhenUsed/>
    <w:rsid w:val="00DF358A"/>
    <w:pPr>
      <w:widowControl w:val="0"/>
      <w:jc w:val="both"/>
    </w:pPr>
    <w:rPr>
      <w:rFonts w:ascii="Arial" w:eastAsia="MS Gothic" w:hAnsi="Arial" w:cs="Times New Roman"/>
      <w:b/>
      <w:bCs/>
      <w:color w:val="000000"/>
      <w:sz w:val="24"/>
      <w:szCs w:val="24"/>
      <w:lang w:val="en-GB" w:eastAsia="fr-FR" w:bidi="fr-FR"/>
    </w:rPr>
  </w:style>
  <w:style w:type="paragraph" w:customStyle="1" w:styleId="TOAHeading3">
    <w:name w:val="TOA Heading3"/>
    <w:basedOn w:val="Normal"/>
    <w:next w:val="Normal"/>
    <w:uiPriority w:val="99"/>
    <w:semiHidden/>
    <w:unhideWhenUsed/>
    <w:rsid w:val="00DF358A"/>
    <w:pPr>
      <w:widowControl w:val="0"/>
      <w:spacing w:before="120"/>
      <w:jc w:val="both"/>
    </w:pPr>
    <w:rPr>
      <w:rFonts w:ascii="Arial" w:eastAsia="MS Gothic" w:hAnsi="Arial" w:cs="Times New Roman"/>
      <w:b/>
      <w:bCs/>
      <w:color w:val="000000"/>
      <w:sz w:val="24"/>
      <w:szCs w:val="24"/>
      <w:lang w:val="en-GB" w:eastAsia="fr-FR" w:bidi="fr-FR"/>
    </w:rPr>
  </w:style>
  <w:style w:type="numbering" w:customStyle="1" w:styleId="NoList7">
    <w:name w:val="No List7"/>
    <w:next w:val="NoList"/>
    <w:uiPriority w:val="99"/>
    <w:semiHidden/>
    <w:unhideWhenUsed/>
    <w:rsid w:val="00DF358A"/>
  </w:style>
  <w:style w:type="numbering" w:customStyle="1" w:styleId="NoList8">
    <w:name w:val="No List8"/>
    <w:next w:val="NoList"/>
    <w:uiPriority w:val="99"/>
    <w:semiHidden/>
    <w:unhideWhenUsed/>
    <w:rsid w:val="00DF358A"/>
  </w:style>
  <w:style w:type="numbering" w:customStyle="1" w:styleId="NoList9">
    <w:name w:val="No List9"/>
    <w:next w:val="NoList"/>
    <w:uiPriority w:val="99"/>
    <w:semiHidden/>
    <w:unhideWhenUsed/>
    <w:rsid w:val="00DF358A"/>
  </w:style>
  <w:style w:type="numbering" w:customStyle="1" w:styleId="NoList10">
    <w:name w:val="No List10"/>
    <w:next w:val="NoList"/>
    <w:uiPriority w:val="99"/>
    <w:semiHidden/>
    <w:unhideWhenUsed/>
    <w:rsid w:val="00DF358A"/>
  </w:style>
  <w:style w:type="numbering" w:customStyle="1" w:styleId="NoList11">
    <w:name w:val="No List11"/>
    <w:next w:val="NoList"/>
    <w:uiPriority w:val="99"/>
    <w:semiHidden/>
    <w:unhideWhenUsed/>
    <w:rsid w:val="00DF358A"/>
  </w:style>
  <w:style w:type="paragraph" w:customStyle="1" w:styleId="Caption4">
    <w:name w:val="Caption4"/>
    <w:basedOn w:val="Normal"/>
    <w:next w:val="Normal"/>
    <w:uiPriority w:val="35"/>
    <w:semiHidden/>
    <w:unhideWhenUsed/>
    <w:qFormat/>
    <w:rsid w:val="00DF358A"/>
    <w:pPr>
      <w:widowControl w:val="0"/>
      <w:spacing w:after="200"/>
      <w:jc w:val="both"/>
    </w:pPr>
    <w:rPr>
      <w:rFonts w:ascii="Times New Roman" w:eastAsia="MS Gothic" w:hAnsi="Times New Roman" w:cs="Times New Roman"/>
      <w:i/>
      <w:iCs/>
      <w:color w:val="44546A"/>
      <w:sz w:val="18"/>
      <w:szCs w:val="18"/>
      <w:lang w:val="en-GB" w:eastAsia="fr-FR" w:bidi="fr-FR"/>
    </w:rPr>
  </w:style>
  <w:style w:type="paragraph" w:customStyle="1" w:styleId="IndexHeading4">
    <w:name w:val="Index Heading4"/>
    <w:basedOn w:val="Normal"/>
    <w:next w:val="Index1"/>
    <w:uiPriority w:val="99"/>
    <w:semiHidden/>
    <w:unhideWhenUsed/>
    <w:rsid w:val="00DF358A"/>
    <w:pPr>
      <w:widowControl w:val="0"/>
      <w:jc w:val="both"/>
    </w:pPr>
    <w:rPr>
      <w:rFonts w:ascii="Arial" w:eastAsia="MS Gothic" w:hAnsi="Arial" w:cs="Times New Roman"/>
      <w:b/>
      <w:bCs/>
      <w:color w:val="000000"/>
      <w:sz w:val="24"/>
      <w:szCs w:val="24"/>
      <w:lang w:val="en-GB" w:eastAsia="fr-FR" w:bidi="fr-FR"/>
    </w:rPr>
  </w:style>
  <w:style w:type="paragraph" w:customStyle="1" w:styleId="TOAHeading4">
    <w:name w:val="TOA Heading4"/>
    <w:basedOn w:val="Normal"/>
    <w:next w:val="Normal"/>
    <w:uiPriority w:val="99"/>
    <w:semiHidden/>
    <w:unhideWhenUsed/>
    <w:rsid w:val="00DF358A"/>
    <w:pPr>
      <w:widowControl w:val="0"/>
      <w:spacing w:before="120"/>
      <w:jc w:val="both"/>
    </w:pPr>
    <w:rPr>
      <w:rFonts w:ascii="Arial" w:eastAsia="MS Gothic" w:hAnsi="Arial" w:cs="Times New Roman"/>
      <w:b/>
      <w:bCs/>
      <w:color w:val="000000"/>
      <w:sz w:val="24"/>
      <w:szCs w:val="24"/>
      <w:lang w:val="en-GB" w:eastAsia="fr-FR" w:bidi="fr-FR"/>
    </w:rPr>
  </w:style>
  <w:style w:type="numbering" w:customStyle="1" w:styleId="NoList12">
    <w:name w:val="No List12"/>
    <w:next w:val="NoList"/>
    <w:uiPriority w:val="99"/>
    <w:semiHidden/>
    <w:unhideWhenUsed/>
    <w:rsid w:val="00DF358A"/>
  </w:style>
  <w:style w:type="character" w:customStyle="1" w:styleId="apple-converted-space">
    <w:name w:val="apple-converted-space"/>
    <w:basedOn w:val="DefaultParagraphFont"/>
    <w:rsid w:val="00DF358A"/>
  </w:style>
  <w:style w:type="paragraph" w:customStyle="1" w:styleId="Caption5">
    <w:name w:val="Caption5"/>
    <w:basedOn w:val="Normal"/>
    <w:next w:val="Normal"/>
    <w:uiPriority w:val="35"/>
    <w:semiHidden/>
    <w:unhideWhenUsed/>
    <w:qFormat/>
    <w:rsid w:val="00DF358A"/>
    <w:pPr>
      <w:widowControl w:val="0"/>
      <w:spacing w:after="200"/>
      <w:jc w:val="both"/>
    </w:pPr>
    <w:rPr>
      <w:rFonts w:ascii="Times New Roman" w:eastAsia="MS Gothic" w:hAnsi="Times New Roman" w:cs="Times New Roman"/>
      <w:i/>
      <w:iCs/>
      <w:color w:val="44546A"/>
      <w:sz w:val="18"/>
      <w:szCs w:val="18"/>
      <w:lang w:val="en-GB" w:eastAsia="fr-FR" w:bidi="fr-FR"/>
    </w:rPr>
  </w:style>
  <w:style w:type="paragraph" w:customStyle="1" w:styleId="IndexHeading5">
    <w:name w:val="Index Heading5"/>
    <w:basedOn w:val="Normal"/>
    <w:next w:val="Index1"/>
    <w:uiPriority w:val="99"/>
    <w:semiHidden/>
    <w:unhideWhenUsed/>
    <w:rsid w:val="00DF358A"/>
    <w:pPr>
      <w:widowControl w:val="0"/>
      <w:jc w:val="both"/>
    </w:pPr>
    <w:rPr>
      <w:rFonts w:ascii="Arial" w:eastAsia="Times New Roman" w:hAnsi="Arial" w:cs="Times New Roman"/>
      <w:b/>
      <w:bCs/>
      <w:color w:val="000000"/>
      <w:sz w:val="24"/>
      <w:szCs w:val="24"/>
      <w:lang w:val="en-GB" w:eastAsia="fr-FR" w:bidi="fr-FR"/>
    </w:rPr>
  </w:style>
  <w:style w:type="paragraph" w:customStyle="1" w:styleId="TOAHeading5">
    <w:name w:val="TOA Heading5"/>
    <w:basedOn w:val="Normal"/>
    <w:next w:val="Normal"/>
    <w:uiPriority w:val="99"/>
    <w:semiHidden/>
    <w:unhideWhenUsed/>
    <w:rsid w:val="00DF358A"/>
    <w:pPr>
      <w:widowControl w:val="0"/>
      <w:spacing w:before="120"/>
      <w:jc w:val="both"/>
    </w:pPr>
    <w:rPr>
      <w:rFonts w:ascii="Arial" w:eastAsia="Times New Roman" w:hAnsi="Arial" w:cs="Times New Roman"/>
      <w:b/>
      <w:bCs/>
      <w:color w:val="000000"/>
      <w:sz w:val="24"/>
      <w:szCs w:val="24"/>
      <w:lang w:val="en-GB" w:eastAsia="fr-FR" w:bidi="fr-FR"/>
    </w:rPr>
  </w:style>
  <w:style w:type="numbering" w:customStyle="1" w:styleId="NoList13">
    <w:name w:val="No List13"/>
    <w:next w:val="NoList"/>
    <w:uiPriority w:val="99"/>
    <w:semiHidden/>
    <w:unhideWhenUsed/>
    <w:rsid w:val="00DF358A"/>
  </w:style>
  <w:style w:type="numbering" w:customStyle="1" w:styleId="NoList14">
    <w:name w:val="No List14"/>
    <w:next w:val="NoList"/>
    <w:uiPriority w:val="99"/>
    <w:semiHidden/>
    <w:unhideWhenUsed/>
    <w:rsid w:val="00DF358A"/>
  </w:style>
  <w:style w:type="paragraph" w:customStyle="1" w:styleId="Caption6">
    <w:name w:val="Caption6"/>
    <w:basedOn w:val="Normal"/>
    <w:next w:val="Normal"/>
    <w:uiPriority w:val="35"/>
    <w:semiHidden/>
    <w:unhideWhenUsed/>
    <w:qFormat/>
    <w:rsid w:val="00DF358A"/>
    <w:pPr>
      <w:widowControl w:val="0"/>
      <w:spacing w:after="200"/>
      <w:jc w:val="both"/>
    </w:pPr>
    <w:rPr>
      <w:rFonts w:ascii="Times New Roman" w:eastAsia="MS Gothic" w:hAnsi="Times New Roman" w:cs="Times New Roman"/>
      <w:i/>
      <w:iCs/>
      <w:color w:val="44546A"/>
      <w:sz w:val="18"/>
      <w:szCs w:val="18"/>
      <w:lang w:val="en-GB" w:eastAsia="fr-FR" w:bidi="fr-FR"/>
    </w:rPr>
  </w:style>
  <w:style w:type="paragraph" w:customStyle="1" w:styleId="IndexHeading6">
    <w:name w:val="Index Heading6"/>
    <w:basedOn w:val="Normal"/>
    <w:next w:val="Index1"/>
    <w:uiPriority w:val="99"/>
    <w:semiHidden/>
    <w:unhideWhenUsed/>
    <w:rsid w:val="00DF358A"/>
    <w:pPr>
      <w:widowControl w:val="0"/>
      <w:jc w:val="both"/>
    </w:pPr>
    <w:rPr>
      <w:rFonts w:ascii="Arial" w:eastAsia="MS Gothic" w:hAnsi="Arial" w:cs="Times New Roman"/>
      <w:b/>
      <w:bCs/>
      <w:color w:val="000000"/>
      <w:sz w:val="24"/>
      <w:szCs w:val="24"/>
      <w:lang w:val="en-GB" w:eastAsia="fr-FR" w:bidi="fr-FR"/>
    </w:rPr>
  </w:style>
  <w:style w:type="paragraph" w:customStyle="1" w:styleId="TOAHeading6">
    <w:name w:val="TOA Heading6"/>
    <w:basedOn w:val="Normal"/>
    <w:next w:val="Normal"/>
    <w:uiPriority w:val="99"/>
    <w:semiHidden/>
    <w:unhideWhenUsed/>
    <w:rsid w:val="00DF358A"/>
    <w:pPr>
      <w:widowControl w:val="0"/>
      <w:spacing w:before="120"/>
      <w:jc w:val="both"/>
    </w:pPr>
    <w:rPr>
      <w:rFonts w:ascii="Arial" w:eastAsia="MS Gothic" w:hAnsi="Arial" w:cs="Times New Roman"/>
      <w:b/>
      <w:bCs/>
      <w:color w:val="000000"/>
      <w:sz w:val="24"/>
      <w:szCs w:val="24"/>
      <w:lang w:val="en-GB" w:eastAsia="fr-FR" w:bidi="fr-FR"/>
    </w:rPr>
  </w:style>
  <w:style w:type="numbering" w:customStyle="1" w:styleId="NoList15">
    <w:name w:val="No List15"/>
    <w:next w:val="NoList"/>
    <w:uiPriority w:val="99"/>
    <w:semiHidden/>
    <w:unhideWhenUsed/>
    <w:rsid w:val="00DF358A"/>
  </w:style>
  <w:style w:type="numbering" w:customStyle="1" w:styleId="NoList16">
    <w:name w:val="No List16"/>
    <w:next w:val="NoList"/>
    <w:uiPriority w:val="99"/>
    <w:semiHidden/>
    <w:unhideWhenUsed/>
    <w:rsid w:val="00DF358A"/>
  </w:style>
  <w:style w:type="numbering" w:customStyle="1" w:styleId="NoList21">
    <w:name w:val="No List21"/>
    <w:next w:val="NoList"/>
    <w:uiPriority w:val="99"/>
    <w:semiHidden/>
    <w:unhideWhenUsed/>
    <w:rsid w:val="00DF358A"/>
  </w:style>
  <w:style w:type="numbering" w:customStyle="1" w:styleId="NoList31">
    <w:name w:val="No List31"/>
    <w:next w:val="NoList"/>
    <w:uiPriority w:val="99"/>
    <w:semiHidden/>
    <w:unhideWhenUsed/>
    <w:rsid w:val="00DF358A"/>
  </w:style>
  <w:style w:type="numbering" w:customStyle="1" w:styleId="NoList41">
    <w:name w:val="No List41"/>
    <w:next w:val="NoList"/>
    <w:uiPriority w:val="99"/>
    <w:semiHidden/>
    <w:unhideWhenUsed/>
    <w:rsid w:val="00DF358A"/>
  </w:style>
  <w:style w:type="numbering" w:customStyle="1" w:styleId="NoList51">
    <w:name w:val="No List51"/>
    <w:next w:val="NoList"/>
    <w:uiPriority w:val="99"/>
    <w:semiHidden/>
    <w:unhideWhenUsed/>
    <w:rsid w:val="00DF358A"/>
  </w:style>
  <w:style w:type="table" w:customStyle="1" w:styleId="LightShading11">
    <w:name w:val="Light Shading11"/>
    <w:basedOn w:val="TableNormal"/>
    <w:next w:val="LightShading"/>
    <w:uiPriority w:val="60"/>
    <w:rsid w:val="00DF358A"/>
    <w:rPr>
      <w:rFonts w:ascii="Times New Roman" w:eastAsia="MS Gothic" w:hAnsi="Times New Roman" w:cs="Times New Roman"/>
      <w:color w:val="000000"/>
      <w:sz w:val="24"/>
      <w:szCs w:val="24"/>
      <w:lang w:val="en-GB" w:eastAsia="fr-FR" w:bidi="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ubtitle1">
    <w:name w:val="Subtitle1"/>
    <w:basedOn w:val="Normal"/>
    <w:next w:val="Normal"/>
    <w:uiPriority w:val="11"/>
    <w:qFormat/>
    <w:rsid w:val="00DF358A"/>
    <w:pPr>
      <w:widowControl w:val="0"/>
      <w:numPr>
        <w:ilvl w:val="1"/>
      </w:numPr>
      <w:spacing w:after="160"/>
      <w:jc w:val="both"/>
    </w:pPr>
    <w:rPr>
      <w:rFonts w:ascii="Calibri" w:eastAsia="Yu Mincho" w:hAnsi="Calibri" w:cs="Calibri"/>
      <w:color w:val="5A5A5A"/>
      <w:spacing w:val="15"/>
      <w:sz w:val="22"/>
      <w:szCs w:val="22"/>
      <w:lang w:val="en-GB" w:eastAsia="fr-FR" w:bidi="fr-FR"/>
    </w:rPr>
  </w:style>
  <w:style w:type="table" w:customStyle="1" w:styleId="LightShading4">
    <w:name w:val="Light Shading4"/>
    <w:basedOn w:val="TableNormal"/>
    <w:next w:val="LightShading"/>
    <w:uiPriority w:val="60"/>
    <w:semiHidden/>
    <w:unhideWhenUsed/>
    <w:rsid w:val="00DF358A"/>
    <w:rPr>
      <w:rFonts w:ascii="Calibri" w:eastAsia="Yu Mincho" w:hAnsi="Calibri" w:cs="Calibri"/>
      <w:color w:val="000000"/>
      <w:sz w:val="22"/>
      <w:szCs w:val="22"/>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ubtitleChar1">
    <w:name w:val="Subtitle Char1"/>
    <w:basedOn w:val="DefaultParagraphFont"/>
    <w:uiPriority w:val="11"/>
    <w:rsid w:val="00DF358A"/>
    <w:rPr>
      <w:color w:val="5A5A5A"/>
      <w:spacing w:val="15"/>
    </w:rPr>
  </w:style>
  <w:style w:type="numbering" w:customStyle="1" w:styleId="NoList61">
    <w:name w:val="No List61"/>
    <w:next w:val="NoList"/>
    <w:uiPriority w:val="99"/>
    <w:semiHidden/>
    <w:unhideWhenUsed/>
    <w:rsid w:val="00DF358A"/>
  </w:style>
  <w:style w:type="table" w:customStyle="1" w:styleId="TableGrid18">
    <w:name w:val="Table Grid18"/>
    <w:basedOn w:val="TableNormal"/>
    <w:next w:val="TableGrid"/>
    <w:uiPriority w:val="39"/>
    <w:rsid w:val="00DF358A"/>
    <w:rPr>
      <w:rFonts w:ascii="Times New Roman" w:eastAsia="MS Gothic"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DF358A"/>
  </w:style>
  <w:style w:type="numbering" w:customStyle="1" w:styleId="NoList81">
    <w:name w:val="No List81"/>
    <w:next w:val="NoList"/>
    <w:uiPriority w:val="99"/>
    <w:semiHidden/>
    <w:unhideWhenUsed/>
    <w:rsid w:val="00DF358A"/>
  </w:style>
  <w:style w:type="numbering" w:customStyle="1" w:styleId="NoList91">
    <w:name w:val="No List91"/>
    <w:next w:val="NoList"/>
    <w:uiPriority w:val="99"/>
    <w:semiHidden/>
    <w:unhideWhenUsed/>
    <w:rsid w:val="00DF358A"/>
  </w:style>
  <w:style w:type="numbering" w:customStyle="1" w:styleId="NoList101">
    <w:name w:val="No List101"/>
    <w:next w:val="NoList"/>
    <w:uiPriority w:val="99"/>
    <w:semiHidden/>
    <w:unhideWhenUsed/>
    <w:rsid w:val="00DF358A"/>
  </w:style>
  <w:style w:type="table" w:customStyle="1" w:styleId="TabloKlavuzu11">
    <w:name w:val="Tablo Kılavuzu11"/>
    <w:basedOn w:val="TableNormal"/>
    <w:next w:val="TableGrid"/>
    <w:uiPriority w:val="39"/>
    <w:rsid w:val="00DF358A"/>
    <w:rPr>
      <w:rFonts w:ascii="Calibri" w:eastAsia="Yu Mincho" w:hAnsi="Calibri" w:cs="Times New Roman"/>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DF358A"/>
  </w:style>
  <w:style w:type="table" w:customStyle="1" w:styleId="TableGrid21">
    <w:name w:val="Table Grid21"/>
    <w:basedOn w:val="TableNormal"/>
    <w:next w:val="TableGrid"/>
    <w:uiPriority w:val="59"/>
    <w:rsid w:val="00DF358A"/>
    <w:rPr>
      <w:rFonts w:ascii="Calibri" w:eastAsia="Yu Mincho" w:hAnsi="Calibri" w:cs="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s1">
    <w:name w:val="bullets1"/>
    <w:basedOn w:val="Heading4"/>
    <w:link w:val="bullets1Char"/>
    <w:uiPriority w:val="99"/>
    <w:qFormat/>
    <w:rsid w:val="00DF358A"/>
    <w:pPr>
      <w:keepLines/>
      <w:numPr>
        <w:numId w:val="26"/>
      </w:numPr>
      <w:spacing w:after="0"/>
      <w:ind w:left="0" w:firstLine="0"/>
    </w:pPr>
    <w:rPr>
      <w:b/>
      <w:bCs/>
      <w:iCs/>
      <w:szCs w:val="18"/>
    </w:rPr>
  </w:style>
  <w:style w:type="character" w:customStyle="1" w:styleId="bullets1Char">
    <w:name w:val="bullets1 Char"/>
    <w:basedOn w:val="Heading4Char"/>
    <w:link w:val="bullets1"/>
    <w:uiPriority w:val="99"/>
    <w:rsid w:val="00DF358A"/>
    <w:rPr>
      <w:rFonts w:ascii="Times New Roman" w:eastAsia="Times New Roman" w:hAnsi="Times New Roman" w:cs="Times New Roman"/>
      <w:b/>
      <w:bCs/>
      <w:iCs/>
      <w:sz w:val="24"/>
      <w:szCs w:val="18"/>
      <w:lang w:val="en-GB"/>
    </w:rPr>
  </w:style>
  <w:style w:type="character" w:customStyle="1" w:styleId="titleChar">
    <w:name w:val="title Char"/>
    <w:basedOn w:val="DefaultParagraphFont"/>
    <w:link w:val="Title1"/>
    <w:rsid w:val="00DF358A"/>
    <w:rPr>
      <w:rFonts w:ascii="Arial" w:eastAsia="MS Gothic" w:hAnsi="Arial" w:cs="Times New Roman"/>
      <w:spacing w:val="-10"/>
      <w:kern w:val="28"/>
      <w:sz w:val="56"/>
      <w:szCs w:val="56"/>
      <w:lang w:val="en-GB" w:eastAsia="fr-FR" w:bidi="fr-FR"/>
    </w:rPr>
  </w:style>
  <w:style w:type="character" w:customStyle="1" w:styleId="FollowedHyperlink1">
    <w:name w:val="FollowedHyperlink1"/>
    <w:basedOn w:val="DefaultParagraphFont"/>
    <w:semiHidden/>
    <w:unhideWhenUsed/>
    <w:rsid w:val="00DF358A"/>
    <w:rPr>
      <w:color w:val="800080"/>
      <w:u w:val="single"/>
    </w:rPr>
  </w:style>
  <w:style w:type="character" w:customStyle="1" w:styleId="UnresolvedMention1">
    <w:name w:val="Unresolved Mention1"/>
    <w:basedOn w:val="DefaultParagraphFont"/>
    <w:uiPriority w:val="99"/>
    <w:semiHidden/>
    <w:unhideWhenUsed/>
    <w:rsid w:val="00DF358A"/>
    <w:rPr>
      <w:color w:val="605E5C"/>
      <w:shd w:val="clear" w:color="auto" w:fill="E1DFDD"/>
    </w:rPr>
  </w:style>
  <w:style w:type="character" w:customStyle="1" w:styleId="FollowedHyperlink2">
    <w:name w:val="FollowedHyperlink2"/>
    <w:basedOn w:val="DefaultParagraphFont"/>
    <w:uiPriority w:val="99"/>
    <w:semiHidden/>
    <w:unhideWhenUsed/>
    <w:rsid w:val="00DF358A"/>
    <w:rPr>
      <w:color w:val="954F72"/>
      <w:u w:val="single"/>
    </w:rPr>
  </w:style>
  <w:style w:type="table" w:customStyle="1" w:styleId="TableGrid31">
    <w:name w:val="Table Grid31"/>
    <w:basedOn w:val="TableNormal"/>
    <w:next w:val="TableGrid"/>
    <w:uiPriority w:val="39"/>
    <w:rsid w:val="00DF358A"/>
    <w:rPr>
      <w:rFonts w:ascii="Calibri" w:eastAsia="Yu Mincho" w:hAnsi="Calibri" w:cs="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F358A"/>
    <w:rPr>
      <w:rFonts w:ascii="Yu Mincho" w:eastAsia="Yu Mincho" w:hAnsi="Yu Mincho" w:cs="Times New Roman"/>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DF358A"/>
    <w:rPr>
      <w:rFonts w:ascii="Calibri" w:eastAsia="Yu Mincho" w:hAnsi="Calibri" w:cs="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DF358A"/>
    <w:rPr>
      <w:rFonts w:ascii="Yu Mincho" w:eastAsia="Yu Mincho" w:hAnsi="Yu Mincho" w:cs="Times New Roman"/>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DF358A"/>
  </w:style>
  <w:style w:type="numbering" w:customStyle="1" w:styleId="NoList131">
    <w:name w:val="No List131"/>
    <w:next w:val="NoList"/>
    <w:uiPriority w:val="99"/>
    <w:semiHidden/>
    <w:unhideWhenUsed/>
    <w:rsid w:val="00DF358A"/>
  </w:style>
  <w:style w:type="numbering" w:customStyle="1" w:styleId="NoList141">
    <w:name w:val="No List141"/>
    <w:next w:val="NoList"/>
    <w:uiPriority w:val="99"/>
    <w:semiHidden/>
    <w:unhideWhenUsed/>
    <w:rsid w:val="00DF358A"/>
  </w:style>
  <w:style w:type="numbering" w:customStyle="1" w:styleId="NoList151">
    <w:name w:val="No List151"/>
    <w:next w:val="NoList"/>
    <w:uiPriority w:val="99"/>
    <w:semiHidden/>
    <w:unhideWhenUsed/>
    <w:rsid w:val="00DF358A"/>
  </w:style>
  <w:style w:type="table" w:customStyle="1" w:styleId="LightShading21">
    <w:name w:val="Light Shading21"/>
    <w:basedOn w:val="TableNormal"/>
    <w:next w:val="LightShading"/>
    <w:uiPriority w:val="60"/>
    <w:rsid w:val="00DF358A"/>
    <w:rPr>
      <w:rFonts w:ascii="Times New Roman" w:eastAsia="MS Gothic" w:hAnsi="Times New Roman" w:cs="Times New Roman"/>
      <w:color w:val="000000"/>
      <w:sz w:val="24"/>
      <w:szCs w:val="24"/>
      <w:lang w:val="en-GB" w:eastAsia="fr-FR" w:bidi="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61">
    <w:name w:val="No List161"/>
    <w:next w:val="NoList"/>
    <w:uiPriority w:val="99"/>
    <w:semiHidden/>
    <w:unhideWhenUsed/>
    <w:rsid w:val="00DF358A"/>
  </w:style>
  <w:style w:type="numbering" w:customStyle="1" w:styleId="NoList17">
    <w:name w:val="No List17"/>
    <w:next w:val="NoList"/>
    <w:uiPriority w:val="99"/>
    <w:semiHidden/>
    <w:unhideWhenUsed/>
    <w:rsid w:val="00DF358A"/>
  </w:style>
  <w:style w:type="table" w:customStyle="1" w:styleId="TableGrid61">
    <w:name w:val="Table Grid61"/>
    <w:basedOn w:val="TableNormal"/>
    <w:next w:val="TableGrid"/>
    <w:uiPriority w:val="39"/>
    <w:rsid w:val="00DF358A"/>
    <w:rPr>
      <w:rFonts w:ascii="Times New Roman" w:eastAsia="MS Gothic" w:hAnsi="Times New Roman" w:cs="Times New Roman"/>
      <w:color w:val="000000"/>
      <w:sz w:val="24"/>
      <w:szCs w:val="24"/>
      <w:lang w:val="en-GB"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DF358A"/>
  </w:style>
  <w:style w:type="numbering" w:customStyle="1" w:styleId="NoList19">
    <w:name w:val="No List19"/>
    <w:next w:val="NoList"/>
    <w:uiPriority w:val="99"/>
    <w:semiHidden/>
    <w:unhideWhenUsed/>
    <w:rsid w:val="00DF358A"/>
  </w:style>
  <w:style w:type="numbering" w:customStyle="1" w:styleId="NoList20">
    <w:name w:val="No List20"/>
    <w:next w:val="NoList"/>
    <w:uiPriority w:val="99"/>
    <w:semiHidden/>
    <w:unhideWhenUsed/>
    <w:rsid w:val="00DF358A"/>
  </w:style>
  <w:style w:type="numbering" w:customStyle="1" w:styleId="NoList211">
    <w:name w:val="No List211"/>
    <w:next w:val="NoList"/>
    <w:uiPriority w:val="99"/>
    <w:semiHidden/>
    <w:unhideWhenUsed/>
    <w:rsid w:val="00DF358A"/>
  </w:style>
  <w:style w:type="numbering" w:customStyle="1" w:styleId="NoList22">
    <w:name w:val="No List22"/>
    <w:next w:val="NoList"/>
    <w:uiPriority w:val="99"/>
    <w:semiHidden/>
    <w:unhideWhenUsed/>
    <w:rsid w:val="00DF358A"/>
  </w:style>
  <w:style w:type="numbering" w:customStyle="1" w:styleId="NoList23">
    <w:name w:val="No List23"/>
    <w:next w:val="NoList"/>
    <w:uiPriority w:val="99"/>
    <w:semiHidden/>
    <w:unhideWhenUsed/>
    <w:rsid w:val="00DF358A"/>
  </w:style>
  <w:style w:type="table" w:customStyle="1" w:styleId="TabloKlavuzu111">
    <w:name w:val="Tablo Kılavuzu111"/>
    <w:basedOn w:val="TableNormal"/>
    <w:next w:val="TableGrid"/>
    <w:uiPriority w:val="39"/>
    <w:rsid w:val="00DF358A"/>
    <w:rPr>
      <w:rFonts w:ascii="Calibri" w:eastAsia="Calibri" w:hAnsi="Calibri" w:cs="Times New Roman"/>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uiPriority w:val="99"/>
    <w:semiHidden/>
    <w:unhideWhenUsed/>
    <w:rsid w:val="00DF358A"/>
  </w:style>
  <w:style w:type="paragraph" w:customStyle="1" w:styleId="Caption7">
    <w:name w:val="Caption7"/>
    <w:basedOn w:val="Normal"/>
    <w:next w:val="Normal"/>
    <w:uiPriority w:val="35"/>
    <w:semiHidden/>
    <w:unhideWhenUsed/>
    <w:qFormat/>
    <w:rsid w:val="00DF358A"/>
    <w:pPr>
      <w:widowControl w:val="0"/>
      <w:spacing w:after="200"/>
      <w:jc w:val="both"/>
    </w:pPr>
    <w:rPr>
      <w:rFonts w:ascii="Times New Roman" w:eastAsia="MS Gothic" w:hAnsi="Times New Roman" w:cs="Times New Roman"/>
      <w:i/>
      <w:iCs/>
      <w:color w:val="44546A"/>
      <w:sz w:val="18"/>
      <w:szCs w:val="18"/>
      <w:lang w:val="en-GB" w:eastAsia="fr-FR" w:bidi="fr-FR"/>
    </w:rPr>
  </w:style>
  <w:style w:type="paragraph" w:customStyle="1" w:styleId="IndexHeading7">
    <w:name w:val="Index Heading7"/>
    <w:basedOn w:val="Normal"/>
    <w:next w:val="Index1"/>
    <w:uiPriority w:val="99"/>
    <w:semiHidden/>
    <w:unhideWhenUsed/>
    <w:rsid w:val="00DF358A"/>
    <w:pPr>
      <w:widowControl w:val="0"/>
      <w:jc w:val="both"/>
    </w:pPr>
    <w:rPr>
      <w:rFonts w:ascii="Arial" w:eastAsia="MS Gothic" w:hAnsi="Arial" w:cs="Times New Roman"/>
      <w:b/>
      <w:bCs/>
      <w:color w:val="000000"/>
      <w:sz w:val="24"/>
      <w:szCs w:val="24"/>
      <w:lang w:val="en-GB" w:eastAsia="fr-FR" w:bidi="fr-FR"/>
    </w:rPr>
  </w:style>
  <w:style w:type="paragraph" w:customStyle="1" w:styleId="TOAHeading7">
    <w:name w:val="TOA Heading7"/>
    <w:basedOn w:val="Normal"/>
    <w:next w:val="Normal"/>
    <w:uiPriority w:val="99"/>
    <w:semiHidden/>
    <w:unhideWhenUsed/>
    <w:rsid w:val="00DF358A"/>
    <w:pPr>
      <w:widowControl w:val="0"/>
      <w:spacing w:before="120"/>
      <w:jc w:val="both"/>
    </w:pPr>
    <w:rPr>
      <w:rFonts w:ascii="Arial" w:eastAsia="MS Gothic" w:hAnsi="Arial" w:cs="Times New Roman"/>
      <w:b/>
      <w:bCs/>
      <w:color w:val="000000"/>
      <w:sz w:val="24"/>
      <w:szCs w:val="24"/>
      <w:lang w:val="en-GB" w:eastAsia="fr-FR" w:bidi="fr-FR"/>
    </w:rPr>
  </w:style>
  <w:style w:type="table" w:customStyle="1" w:styleId="TableGrid71">
    <w:name w:val="Table Grid71"/>
    <w:basedOn w:val="TableNormal"/>
    <w:next w:val="TableGrid"/>
    <w:uiPriority w:val="39"/>
    <w:rsid w:val="00DF358A"/>
    <w:rPr>
      <w:rFonts w:ascii="Times New Roman" w:eastAsia="MS Gothic" w:hAnsi="Times New Roman" w:cs="Times New Roman"/>
      <w:color w:val="000000"/>
      <w:sz w:val="24"/>
      <w:szCs w:val="24"/>
      <w:lang w:val="en-GB"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DF358A"/>
    <w:rPr>
      <w:rFonts w:ascii="Times New Roman" w:eastAsia="MS Gothic" w:hAnsi="Times New Roman" w:cs="Times New Roman"/>
      <w:color w:val="000000"/>
      <w:sz w:val="24"/>
      <w:szCs w:val="24"/>
      <w:lang w:val="en-GB"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unhideWhenUsed/>
    <w:rsid w:val="00DF358A"/>
  </w:style>
  <w:style w:type="paragraph" w:customStyle="1" w:styleId="msonormal0">
    <w:name w:val="msonormal"/>
    <w:basedOn w:val="Normal"/>
    <w:rsid w:val="00DF358A"/>
    <w:pPr>
      <w:widowControl w:val="0"/>
      <w:jc w:val="both"/>
    </w:pPr>
    <w:rPr>
      <w:rFonts w:ascii="Times New Roman" w:eastAsia="MS Gothic" w:hAnsi="Times New Roman" w:cs="Times New Roman"/>
      <w:color w:val="000000"/>
      <w:sz w:val="24"/>
      <w:szCs w:val="24"/>
      <w:lang w:val="en-GB" w:eastAsia="fr-FR" w:bidi="fr-FR"/>
    </w:rPr>
  </w:style>
  <w:style w:type="paragraph" w:styleId="IndexHeading">
    <w:name w:val="index heading"/>
    <w:basedOn w:val="Normal"/>
    <w:next w:val="Index1"/>
    <w:uiPriority w:val="99"/>
    <w:semiHidden/>
    <w:unhideWhenUsed/>
    <w:rsid w:val="00DF358A"/>
    <w:pPr>
      <w:widowControl w:val="0"/>
      <w:jc w:val="both"/>
    </w:pPr>
    <w:rPr>
      <w:rFonts w:ascii="Arial" w:eastAsia="MS Gothic" w:hAnsi="Arial" w:cs="Times New Roman"/>
      <w:b/>
      <w:bCs/>
      <w:color w:val="000000"/>
      <w:sz w:val="24"/>
      <w:szCs w:val="24"/>
      <w:lang w:val="en-GB" w:eastAsia="fr-FR" w:bidi="fr-FR"/>
    </w:rPr>
  </w:style>
  <w:style w:type="paragraph" w:customStyle="1" w:styleId="Caption8">
    <w:name w:val="Caption8"/>
    <w:basedOn w:val="Normal"/>
    <w:next w:val="Normal"/>
    <w:uiPriority w:val="35"/>
    <w:semiHidden/>
    <w:unhideWhenUsed/>
    <w:qFormat/>
    <w:rsid w:val="00DF358A"/>
    <w:pPr>
      <w:widowControl w:val="0"/>
      <w:spacing w:after="200"/>
      <w:jc w:val="both"/>
    </w:pPr>
    <w:rPr>
      <w:rFonts w:ascii="Times New Roman" w:eastAsia="MS Gothic" w:hAnsi="Times New Roman" w:cs="Times New Roman"/>
      <w:i/>
      <w:iCs/>
      <w:color w:val="44546A"/>
      <w:sz w:val="18"/>
      <w:szCs w:val="18"/>
      <w:lang w:val="en-GB" w:eastAsia="fr-FR" w:bidi="fr-FR"/>
    </w:rPr>
  </w:style>
  <w:style w:type="paragraph" w:styleId="TOAHeading">
    <w:name w:val="toa heading"/>
    <w:basedOn w:val="Normal"/>
    <w:next w:val="Normal"/>
    <w:uiPriority w:val="99"/>
    <w:semiHidden/>
    <w:unhideWhenUsed/>
    <w:rsid w:val="00DF358A"/>
    <w:pPr>
      <w:widowControl w:val="0"/>
      <w:spacing w:before="120"/>
      <w:jc w:val="both"/>
    </w:pPr>
    <w:rPr>
      <w:rFonts w:ascii="Arial" w:eastAsia="MS Gothic" w:hAnsi="Arial" w:cs="Times New Roman"/>
      <w:b/>
      <w:bCs/>
      <w:color w:val="000000"/>
      <w:sz w:val="24"/>
      <w:szCs w:val="24"/>
      <w:lang w:val="en-GB" w:eastAsia="fr-FR" w:bidi="fr-FR"/>
    </w:rPr>
  </w:style>
  <w:style w:type="table" w:customStyle="1" w:styleId="TableGrid81">
    <w:name w:val="Table Grid81"/>
    <w:basedOn w:val="TableNormal"/>
    <w:next w:val="TableGrid"/>
    <w:uiPriority w:val="39"/>
    <w:rsid w:val="00DF358A"/>
    <w:rPr>
      <w:rFonts w:ascii="Times New Roman" w:eastAsia="MS Gothic" w:hAnsi="Times New Roman" w:cs="Times New Roman"/>
      <w:color w:val="000000"/>
      <w:sz w:val="24"/>
      <w:szCs w:val="24"/>
      <w:lang w:val="en-GB" w:eastAsia="fr-FR" w:bidi="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
    <w:name w:val="Light Shading31"/>
    <w:basedOn w:val="TableNormal"/>
    <w:next w:val="LightShading"/>
    <w:uiPriority w:val="60"/>
    <w:semiHidden/>
    <w:unhideWhenUsed/>
    <w:rsid w:val="00DF358A"/>
    <w:rPr>
      <w:rFonts w:ascii="Times New Roman" w:eastAsia="MS Gothic" w:hAnsi="Times New Roman" w:cs="Times New Roman"/>
      <w:color w:val="000000"/>
      <w:sz w:val="24"/>
      <w:szCs w:val="24"/>
      <w:lang w:val="en-GB" w:eastAsia="fr-FR" w:bidi="fr-FR"/>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91">
    <w:name w:val="Table Grid91"/>
    <w:basedOn w:val="TableNormal"/>
    <w:next w:val="TableGrid"/>
    <w:uiPriority w:val="39"/>
    <w:rsid w:val="00DF358A"/>
    <w:rPr>
      <w:rFonts w:ascii="Times New Roman" w:eastAsia="MS Gothic" w:hAnsi="Times New Roman" w:cs="Times New Roman"/>
      <w:color w:val="000000"/>
      <w:sz w:val="24"/>
      <w:szCs w:val="24"/>
      <w:lang w:val="en-GB" w:eastAsia="fr-FR" w:bidi="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DF358A"/>
    <w:pPr>
      <w:widowControl w:val="0"/>
      <w:spacing w:after="200"/>
      <w:jc w:val="both"/>
    </w:pPr>
    <w:rPr>
      <w:rFonts w:ascii="Times New Roman" w:eastAsia="MS Gothic" w:hAnsi="Times New Roman" w:cs="Times New Roman"/>
      <w:i/>
      <w:iCs/>
      <w:color w:val="0E2841" w:themeColor="text2"/>
      <w:sz w:val="18"/>
      <w:szCs w:val="18"/>
      <w:lang w:val="en-GB" w:eastAsia="fr-FR" w:bidi="fr-FR"/>
    </w:rPr>
  </w:style>
  <w:style w:type="table" w:customStyle="1" w:styleId="TableNormal1">
    <w:name w:val="Table Normal1"/>
    <w:uiPriority w:val="2"/>
    <w:semiHidden/>
    <w:qFormat/>
    <w:rsid w:val="00DF358A"/>
    <w:pPr>
      <w:widowControl w:val="0"/>
    </w:pPr>
    <w:rPr>
      <w:rFonts w:ascii="Calibri" w:eastAsia="Calibri" w:hAnsi="Calibri" w:cs="Arial"/>
      <w:sz w:val="22"/>
      <w:szCs w:val="22"/>
    </w:rPr>
    <w:tblPr>
      <w:tblCellMar>
        <w:top w:w="0" w:type="dxa"/>
        <w:left w:w="0" w:type="dxa"/>
        <w:bottom w:w="0" w:type="dxa"/>
        <w:right w:w="0" w:type="dxa"/>
      </w:tblCellMar>
    </w:tblPr>
  </w:style>
  <w:style w:type="character" w:customStyle="1" w:styleId="UnresolvedMention2">
    <w:name w:val="Unresolved Mention2"/>
    <w:basedOn w:val="DefaultParagraphFont"/>
    <w:uiPriority w:val="99"/>
    <w:semiHidden/>
    <w:unhideWhenUsed/>
    <w:rsid w:val="00DF358A"/>
    <w:rPr>
      <w:color w:val="605E5C"/>
      <w:shd w:val="clear" w:color="auto" w:fill="E1DFDD"/>
    </w:rPr>
  </w:style>
  <w:style w:type="paragraph" w:customStyle="1" w:styleId="xl65">
    <w:name w:val="xl65"/>
    <w:basedOn w:val="Normal"/>
    <w:rsid w:val="00DF358A"/>
    <w:pPr>
      <w:pBdr>
        <w:top w:val="single" w:sz="4" w:space="0" w:color="auto"/>
        <w:left w:val="single" w:sz="4" w:space="0" w:color="auto"/>
      </w:pBdr>
      <w:shd w:val="clear" w:color="000000" w:fill="E7E6E6"/>
      <w:spacing w:before="100" w:beforeAutospacing="1" w:after="100" w:afterAutospacing="1"/>
    </w:pPr>
    <w:rPr>
      <w:rFonts w:eastAsia="Times New Roman" w:cs="Times New Roman"/>
      <w:sz w:val="16"/>
      <w:szCs w:val="16"/>
      <w:lang w:val="en-GB" w:eastAsia="en-GB"/>
    </w:rPr>
  </w:style>
  <w:style w:type="paragraph" w:customStyle="1" w:styleId="xl66">
    <w:name w:val="xl66"/>
    <w:basedOn w:val="Normal"/>
    <w:rsid w:val="00DF358A"/>
    <w:pPr>
      <w:pBdr>
        <w:top w:val="single" w:sz="4" w:space="0" w:color="auto"/>
        <w:right w:val="single" w:sz="4" w:space="0" w:color="auto"/>
      </w:pBdr>
      <w:shd w:val="clear" w:color="000000" w:fill="E7E6E6"/>
      <w:spacing w:before="100" w:beforeAutospacing="1" w:after="100" w:afterAutospacing="1"/>
    </w:pPr>
    <w:rPr>
      <w:rFonts w:eastAsia="Times New Roman" w:cs="Times New Roman"/>
      <w:sz w:val="16"/>
      <w:szCs w:val="16"/>
      <w:lang w:val="en-GB" w:eastAsia="en-GB"/>
    </w:rPr>
  </w:style>
  <w:style w:type="paragraph" w:customStyle="1" w:styleId="xl67">
    <w:name w:val="xl67"/>
    <w:basedOn w:val="Normal"/>
    <w:rsid w:val="00DF358A"/>
    <w:pPr>
      <w:spacing w:before="100" w:beforeAutospacing="1" w:after="100" w:afterAutospacing="1"/>
    </w:pPr>
    <w:rPr>
      <w:rFonts w:eastAsia="Times New Roman" w:cs="Times New Roman"/>
      <w:sz w:val="16"/>
      <w:szCs w:val="16"/>
      <w:lang w:val="en-GB" w:eastAsia="en-GB"/>
    </w:rPr>
  </w:style>
  <w:style w:type="paragraph" w:customStyle="1" w:styleId="xl68">
    <w:name w:val="xl68"/>
    <w:basedOn w:val="Normal"/>
    <w:rsid w:val="00DF358A"/>
    <w:pPr>
      <w:pBdr>
        <w:left w:val="single" w:sz="4" w:space="0" w:color="auto"/>
      </w:pBdr>
      <w:spacing w:before="100" w:beforeAutospacing="1" w:after="100" w:afterAutospacing="1"/>
    </w:pPr>
    <w:rPr>
      <w:rFonts w:eastAsia="Times New Roman" w:cs="Times New Roman"/>
      <w:sz w:val="16"/>
      <w:szCs w:val="16"/>
      <w:lang w:val="en-GB" w:eastAsia="en-GB"/>
    </w:rPr>
  </w:style>
  <w:style w:type="paragraph" w:customStyle="1" w:styleId="xl69">
    <w:name w:val="xl69"/>
    <w:basedOn w:val="Normal"/>
    <w:uiPriority w:val="99"/>
    <w:rsid w:val="00DF358A"/>
    <w:pPr>
      <w:pBdr>
        <w:right w:val="single" w:sz="4" w:space="0" w:color="auto"/>
      </w:pBdr>
      <w:spacing w:before="100" w:beforeAutospacing="1" w:after="100" w:afterAutospacing="1"/>
    </w:pPr>
    <w:rPr>
      <w:rFonts w:eastAsia="Times New Roman" w:cs="Times New Roman"/>
      <w:sz w:val="16"/>
      <w:szCs w:val="16"/>
      <w:lang w:val="en-GB" w:eastAsia="en-GB"/>
    </w:rPr>
  </w:style>
  <w:style w:type="paragraph" w:customStyle="1" w:styleId="xl70">
    <w:name w:val="xl70"/>
    <w:basedOn w:val="Normal"/>
    <w:uiPriority w:val="99"/>
    <w:rsid w:val="00DF358A"/>
    <w:pPr>
      <w:pBdr>
        <w:left w:val="single" w:sz="4" w:space="0" w:color="auto"/>
      </w:pBdr>
      <w:spacing w:before="100" w:beforeAutospacing="1" w:after="100" w:afterAutospacing="1"/>
    </w:pPr>
    <w:rPr>
      <w:rFonts w:eastAsia="Times New Roman" w:cs="Times New Roman"/>
      <w:sz w:val="16"/>
      <w:szCs w:val="16"/>
      <w:lang w:val="en-GB" w:eastAsia="en-GB"/>
    </w:rPr>
  </w:style>
  <w:style w:type="paragraph" w:customStyle="1" w:styleId="xl71">
    <w:name w:val="xl71"/>
    <w:basedOn w:val="Normal"/>
    <w:uiPriority w:val="99"/>
    <w:rsid w:val="00DF358A"/>
    <w:pPr>
      <w:pBdr>
        <w:left w:val="single" w:sz="4" w:space="0" w:color="auto"/>
        <w:bottom w:val="single" w:sz="4" w:space="0" w:color="auto"/>
      </w:pBdr>
      <w:spacing w:before="100" w:beforeAutospacing="1" w:after="100" w:afterAutospacing="1"/>
    </w:pPr>
    <w:rPr>
      <w:rFonts w:eastAsia="Times New Roman" w:cs="Times New Roman"/>
      <w:sz w:val="16"/>
      <w:szCs w:val="16"/>
      <w:lang w:val="en-GB" w:eastAsia="en-GB"/>
    </w:rPr>
  </w:style>
  <w:style w:type="paragraph" w:customStyle="1" w:styleId="xl72">
    <w:name w:val="xl72"/>
    <w:basedOn w:val="Normal"/>
    <w:uiPriority w:val="99"/>
    <w:rsid w:val="00DF358A"/>
    <w:pPr>
      <w:pBdr>
        <w:bottom w:val="single" w:sz="4" w:space="0" w:color="auto"/>
        <w:right w:val="single" w:sz="4" w:space="0" w:color="auto"/>
      </w:pBdr>
      <w:spacing w:before="100" w:beforeAutospacing="1" w:after="100" w:afterAutospacing="1"/>
    </w:pPr>
    <w:rPr>
      <w:rFonts w:eastAsia="Times New Roman" w:cs="Times New Roman"/>
      <w:sz w:val="16"/>
      <w:szCs w:val="16"/>
      <w:lang w:val="en-GB" w:eastAsia="en-GB"/>
    </w:rPr>
  </w:style>
  <w:style w:type="character" w:customStyle="1" w:styleId="FootnoteTextChar1">
    <w:name w:val="Footnote Text Char1"/>
    <w:basedOn w:val="DefaultParagraphFont"/>
    <w:rsid w:val="00DF358A"/>
    <w:rPr>
      <w:rFonts w:ascii="Cambria" w:eastAsia="Times New Roman" w:hAnsi="Cambria" w:cs="Times New Roman"/>
      <w:sz w:val="20"/>
      <w:szCs w:val="20"/>
    </w:rPr>
  </w:style>
  <w:style w:type="paragraph" w:customStyle="1" w:styleId="LegalNumPar">
    <w:name w:val="LegalNumPar"/>
    <w:basedOn w:val="Normal"/>
    <w:rsid w:val="00DF358A"/>
    <w:pPr>
      <w:widowControl w:val="0"/>
      <w:numPr>
        <w:numId w:val="27"/>
      </w:numPr>
      <w:spacing w:line="360" w:lineRule="auto"/>
      <w:ind w:left="0" w:firstLine="0"/>
      <w:jc w:val="both"/>
    </w:pPr>
    <w:rPr>
      <w:rFonts w:ascii="Times New Roman" w:eastAsia="MS Gothic" w:hAnsi="Times New Roman" w:cs="Times New Roman"/>
      <w:color w:val="000000"/>
      <w:sz w:val="24"/>
      <w:szCs w:val="24"/>
      <w:lang w:val="en-GB" w:eastAsia="fr-FR" w:bidi="fr-FR"/>
    </w:rPr>
  </w:style>
  <w:style w:type="paragraph" w:customStyle="1" w:styleId="LegalNumPar2">
    <w:name w:val="LegalNumPar2"/>
    <w:basedOn w:val="Normal"/>
    <w:rsid w:val="00DF358A"/>
    <w:pPr>
      <w:widowControl w:val="0"/>
      <w:numPr>
        <w:ilvl w:val="1"/>
        <w:numId w:val="27"/>
      </w:numPr>
      <w:spacing w:line="360" w:lineRule="auto"/>
      <w:ind w:left="0" w:firstLine="0"/>
      <w:jc w:val="both"/>
    </w:pPr>
    <w:rPr>
      <w:rFonts w:ascii="Times New Roman" w:eastAsia="MS Gothic" w:hAnsi="Times New Roman" w:cs="Times New Roman"/>
      <w:color w:val="000000"/>
      <w:sz w:val="24"/>
      <w:szCs w:val="24"/>
      <w:lang w:val="en-GB" w:eastAsia="fr-FR" w:bidi="fr-FR"/>
    </w:rPr>
  </w:style>
  <w:style w:type="paragraph" w:customStyle="1" w:styleId="LegalNumPar3">
    <w:name w:val="LegalNumPar3"/>
    <w:basedOn w:val="Normal"/>
    <w:rsid w:val="00DF358A"/>
    <w:pPr>
      <w:widowControl w:val="0"/>
      <w:numPr>
        <w:ilvl w:val="2"/>
        <w:numId w:val="27"/>
      </w:numPr>
      <w:spacing w:line="360" w:lineRule="auto"/>
      <w:ind w:left="0" w:firstLine="0"/>
      <w:jc w:val="both"/>
    </w:pPr>
    <w:rPr>
      <w:rFonts w:ascii="Times New Roman" w:eastAsia="MS Gothic" w:hAnsi="Times New Roman" w:cs="Times New Roman"/>
      <w:color w:val="000000"/>
      <w:sz w:val="24"/>
      <w:szCs w:val="24"/>
      <w:lang w:val="en-GB" w:eastAsia="fr-FR" w:bidi="fr-FR"/>
    </w:rPr>
  </w:style>
  <w:style w:type="paragraph" w:customStyle="1" w:styleId="xl63">
    <w:name w:val="xl63"/>
    <w:basedOn w:val="Normal"/>
    <w:rsid w:val="00DF358A"/>
    <w:pPr>
      <w:pBdr>
        <w:top w:val="single" w:sz="4" w:space="0" w:color="auto"/>
        <w:lef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xl64">
    <w:name w:val="xl64"/>
    <w:basedOn w:val="Normal"/>
    <w:rsid w:val="00DF358A"/>
    <w:pPr>
      <w:pBdr>
        <w:top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lang w:val="en-GB" w:eastAsia="en-GB"/>
    </w:rPr>
  </w:style>
  <w:style w:type="table" w:styleId="ListTable7Colorful">
    <w:name w:val="List Table 7 Colorful"/>
    <w:basedOn w:val="TableNormal"/>
    <w:uiPriority w:val="52"/>
    <w:rsid w:val="00DF358A"/>
    <w:rPr>
      <w:rFonts w:ascii="Times New Roman" w:eastAsia="MS Gothic" w:hAnsi="Times New Roman" w:cs="Times New Roman"/>
      <w:color w:val="000000" w:themeColor="text1"/>
      <w:sz w:val="24"/>
      <w:szCs w:val="24"/>
      <w:lang w:val="en-GB" w:eastAsia="fr-FR" w:bidi="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DF358A"/>
    <w:rPr>
      <w:rFonts w:ascii="Times New Roman" w:eastAsia="MS Gothic" w:hAnsi="Times New Roman" w:cs="Times New Roman"/>
      <w:color w:val="000000"/>
      <w:sz w:val="24"/>
      <w:szCs w:val="24"/>
      <w:lang w:val="en-GB" w:eastAsia="fr-FR" w:bidi="fr-FR"/>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
    <w:name w:val="Grid Table 3"/>
    <w:basedOn w:val="TableNormal"/>
    <w:uiPriority w:val="48"/>
    <w:rsid w:val="00DF358A"/>
    <w:rPr>
      <w:rFonts w:ascii="Times New Roman" w:eastAsia="MS Gothic" w:hAnsi="Times New Roman" w:cs="Times New Roman"/>
      <w:color w:val="000000"/>
      <w:sz w:val="24"/>
      <w:szCs w:val="24"/>
      <w:lang w:val="en-GB" w:eastAsia="fr-FR" w:bidi="fr-F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numbering" w:customStyle="1" w:styleId="NoList26">
    <w:name w:val="No List26"/>
    <w:next w:val="NoList"/>
    <w:uiPriority w:val="99"/>
    <w:semiHidden/>
    <w:unhideWhenUsed/>
    <w:rsid w:val="006A3093"/>
  </w:style>
  <w:style w:type="numbering" w:customStyle="1" w:styleId="NoList110">
    <w:name w:val="No List110"/>
    <w:next w:val="NoList"/>
    <w:uiPriority w:val="99"/>
    <w:semiHidden/>
    <w:unhideWhenUsed/>
    <w:rsid w:val="006A3093"/>
  </w:style>
  <w:style w:type="numbering" w:customStyle="1" w:styleId="NoList27">
    <w:name w:val="No List27"/>
    <w:next w:val="NoList"/>
    <w:uiPriority w:val="99"/>
    <w:semiHidden/>
    <w:unhideWhenUsed/>
    <w:rsid w:val="006A3093"/>
  </w:style>
  <w:style w:type="numbering" w:customStyle="1" w:styleId="NoList32">
    <w:name w:val="No List32"/>
    <w:next w:val="NoList"/>
    <w:uiPriority w:val="99"/>
    <w:semiHidden/>
    <w:unhideWhenUsed/>
    <w:rsid w:val="006A3093"/>
  </w:style>
  <w:style w:type="numbering" w:customStyle="1" w:styleId="NoList42">
    <w:name w:val="No List42"/>
    <w:next w:val="NoList"/>
    <w:uiPriority w:val="99"/>
    <w:semiHidden/>
    <w:unhideWhenUsed/>
    <w:rsid w:val="006A3093"/>
  </w:style>
  <w:style w:type="numbering" w:customStyle="1" w:styleId="NoList52">
    <w:name w:val="No List52"/>
    <w:next w:val="NoList"/>
    <w:uiPriority w:val="99"/>
    <w:semiHidden/>
    <w:unhideWhenUsed/>
    <w:rsid w:val="006A3093"/>
  </w:style>
  <w:style w:type="table" w:customStyle="1" w:styleId="TableGrid181">
    <w:name w:val="Table Grid181"/>
    <w:basedOn w:val="TableNormal"/>
    <w:next w:val="TableGrid"/>
    <w:uiPriority w:val="39"/>
    <w:rsid w:val="006A3093"/>
    <w:rPr>
      <w:rFonts w:ascii="Times New Roman" w:eastAsia="MS Gothic" w:hAnsi="Times New Roman" w:cs="Times New Roman"/>
      <w:color w:val="000000"/>
      <w:sz w:val="24"/>
      <w:szCs w:val="24"/>
      <w:lang w:val="fr-FR"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section1">
    <w:name w:val="wordsection1"/>
    <w:basedOn w:val="Normal"/>
    <w:uiPriority w:val="99"/>
    <w:rsid w:val="006A3093"/>
    <w:pPr>
      <w:spacing w:before="100" w:beforeAutospacing="1" w:after="100" w:afterAutospacing="1"/>
    </w:pPr>
    <w:rPr>
      <w:rFonts w:ascii="Times New Roman" w:eastAsia="Calibri" w:hAnsi="Times New Roman" w:cs="Times New Roman"/>
      <w:sz w:val="24"/>
      <w:szCs w:val="24"/>
    </w:rPr>
  </w:style>
  <w:style w:type="character" w:customStyle="1" w:styleId="DefaultParagraphFont1">
    <w:name w:val="Default Paragraph Font1"/>
    <w:rsid w:val="00FE04DA"/>
  </w:style>
  <w:style w:type="character" w:customStyle="1" w:styleId="CommentReference1">
    <w:name w:val="Comment Reference1"/>
    <w:rsid w:val="00FE04DA"/>
    <w:rPr>
      <w:sz w:val="16"/>
      <w:szCs w:val="16"/>
    </w:rPr>
  </w:style>
  <w:style w:type="character" w:customStyle="1" w:styleId="Caractresdenotedebasdepage">
    <w:name w:val="Caractères de note de bas de page"/>
    <w:rsid w:val="00FE04DA"/>
    <w:rPr>
      <w:vertAlign w:val="superscript"/>
    </w:rPr>
  </w:style>
  <w:style w:type="character" w:customStyle="1" w:styleId="ListLabel1">
    <w:name w:val="ListLabel 1"/>
    <w:rsid w:val="00FE04DA"/>
  </w:style>
  <w:style w:type="character" w:customStyle="1" w:styleId="ListLabel2">
    <w:name w:val="ListLabel 2"/>
    <w:rsid w:val="00FE04DA"/>
  </w:style>
  <w:style w:type="character" w:customStyle="1" w:styleId="ListLabel3">
    <w:name w:val="ListLabel 3"/>
    <w:rsid w:val="00FE04DA"/>
  </w:style>
  <w:style w:type="character" w:customStyle="1" w:styleId="ListLabel4">
    <w:name w:val="ListLabel 4"/>
    <w:rsid w:val="00FE04DA"/>
  </w:style>
  <w:style w:type="character" w:customStyle="1" w:styleId="ListLabel5">
    <w:name w:val="ListLabel 5"/>
    <w:rsid w:val="00FE04DA"/>
  </w:style>
  <w:style w:type="character" w:customStyle="1" w:styleId="ListLabel6">
    <w:name w:val="ListLabel 6"/>
    <w:rsid w:val="00FE04DA"/>
  </w:style>
  <w:style w:type="character" w:customStyle="1" w:styleId="ListLabel7">
    <w:name w:val="ListLabel 7"/>
    <w:rsid w:val="00FE04DA"/>
  </w:style>
  <w:style w:type="character" w:customStyle="1" w:styleId="ListLabel8">
    <w:name w:val="ListLabel 8"/>
    <w:rsid w:val="00FE04DA"/>
  </w:style>
  <w:style w:type="character" w:customStyle="1" w:styleId="ListLabel9">
    <w:name w:val="ListLabel 9"/>
    <w:rsid w:val="00FE04DA"/>
  </w:style>
  <w:style w:type="character" w:customStyle="1" w:styleId="ListLabel10">
    <w:name w:val="ListLabel 10"/>
    <w:rsid w:val="00FE04DA"/>
    <w:rPr>
      <w:rFonts w:eastAsia="MS Gothic" w:cs="Times New Roman"/>
    </w:rPr>
  </w:style>
  <w:style w:type="character" w:customStyle="1" w:styleId="ListLabel11">
    <w:name w:val="ListLabel 11"/>
    <w:rsid w:val="00FE04DA"/>
    <w:rPr>
      <w:rFonts w:cs="Courier New"/>
    </w:rPr>
  </w:style>
  <w:style w:type="character" w:customStyle="1" w:styleId="ListLabel12">
    <w:name w:val="ListLabel 12"/>
    <w:rsid w:val="00FE04DA"/>
  </w:style>
  <w:style w:type="character" w:customStyle="1" w:styleId="ListLabel13">
    <w:name w:val="ListLabel 13"/>
    <w:rsid w:val="00FE04DA"/>
  </w:style>
  <w:style w:type="character" w:customStyle="1" w:styleId="ListLabel14">
    <w:name w:val="ListLabel 14"/>
    <w:rsid w:val="00FE04DA"/>
    <w:rPr>
      <w:rFonts w:cs="Courier New"/>
    </w:rPr>
  </w:style>
  <w:style w:type="character" w:customStyle="1" w:styleId="ListLabel15">
    <w:name w:val="ListLabel 15"/>
    <w:rsid w:val="00FE04DA"/>
  </w:style>
  <w:style w:type="character" w:customStyle="1" w:styleId="ListLabel16">
    <w:name w:val="ListLabel 16"/>
    <w:rsid w:val="00FE04DA"/>
  </w:style>
  <w:style w:type="character" w:customStyle="1" w:styleId="ListLabel17">
    <w:name w:val="ListLabel 17"/>
    <w:rsid w:val="00FE04DA"/>
    <w:rPr>
      <w:rFonts w:cs="Courier New"/>
    </w:rPr>
  </w:style>
  <w:style w:type="character" w:customStyle="1" w:styleId="ListLabel18">
    <w:name w:val="ListLabel 18"/>
    <w:rsid w:val="00FE04DA"/>
  </w:style>
  <w:style w:type="paragraph" w:customStyle="1" w:styleId="Titre1">
    <w:name w:val="Titre1"/>
    <w:basedOn w:val="Normal"/>
    <w:next w:val="BodyText"/>
    <w:rsid w:val="00FE04DA"/>
    <w:pPr>
      <w:keepNext/>
      <w:widowControl w:val="0"/>
      <w:suppressAutoHyphens/>
      <w:spacing w:before="240" w:after="120"/>
      <w:jc w:val="both"/>
    </w:pPr>
    <w:rPr>
      <w:rFonts w:ascii="Carlito" w:eastAsia="Noto Sans SC Regular" w:hAnsi="Carlito" w:cs="Noto Sans Devanagari"/>
      <w:color w:val="000000"/>
      <w:sz w:val="28"/>
      <w:szCs w:val="28"/>
      <w:lang w:val="fr-FR" w:eastAsia="fr-FR" w:bidi="fr-FR"/>
    </w:rPr>
  </w:style>
  <w:style w:type="paragraph" w:customStyle="1" w:styleId="Index">
    <w:name w:val="Index"/>
    <w:basedOn w:val="Normal"/>
    <w:rsid w:val="00FE04DA"/>
    <w:pPr>
      <w:widowControl w:val="0"/>
      <w:suppressLineNumbers/>
      <w:suppressAutoHyphens/>
      <w:jc w:val="both"/>
    </w:pPr>
    <w:rPr>
      <w:rFonts w:ascii="Times New Roman" w:eastAsia="MS Gothic" w:hAnsi="Times New Roman" w:cs="Noto Sans Devanagari"/>
      <w:color w:val="000000"/>
      <w:sz w:val="24"/>
      <w:szCs w:val="24"/>
      <w:lang w:val="fr-FR" w:eastAsia="fr-FR" w:bidi="fr-FR"/>
    </w:rPr>
  </w:style>
  <w:style w:type="paragraph" w:customStyle="1" w:styleId="En-tteetpieddepage">
    <w:name w:val="En-tête et pied de page"/>
    <w:basedOn w:val="Normal"/>
    <w:rsid w:val="00FE04DA"/>
    <w:pPr>
      <w:widowControl w:val="0"/>
      <w:suppressAutoHyphens/>
      <w:jc w:val="both"/>
    </w:pPr>
    <w:rPr>
      <w:rFonts w:ascii="Times New Roman" w:eastAsia="MS Gothic" w:hAnsi="Times New Roman" w:cs="Times New Roman"/>
      <w:color w:val="000000"/>
      <w:sz w:val="24"/>
      <w:szCs w:val="24"/>
      <w:lang w:val="fr-FR" w:eastAsia="fr-FR" w:bidi="fr-FR"/>
    </w:rPr>
  </w:style>
  <w:style w:type="paragraph" w:customStyle="1" w:styleId="BalloonText1">
    <w:name w:val="Balloon Text1"/>
    <w:basedOn w:val="Normal"/>
    <w:rsid w:val="00FE04DA"/>
    <w:pPr>
      <w:widowControl w:val="0"/>
      <w:suppressAutoHyphens/>
      <w:jc w:val="both"/>
    </w:pPr>
    <w:rPr>
      <w:rFonts w:ascii="Arial" w:eastAsia="MS Gothic" w:hAnsi="Arial" w:cs="font1308"/>
      <w:color w:val="000000"/>
      <w:sz w:val="18"/>
      <w:szCs w:val="18"/>
      <w:lang w:val="fr-FR" w:eastAsia="fr-FR" w:bidi="fr-FR"/>
    </w:rPr>
  </w:style>
  <w:style w:type="paragraph" w:customStyle="1" w:styleId="CommentText1">
    <w:name w:val="Comment Text1"/>
    <w:basedOn w:val="Normal"/>
    <w:rsid w:val="00FE04DA"/>
    <w:pPr>
      <w:widowControl w:val="0"/>
      <w:suppressAutoHyphens/>
      <w:jc w:val="both"/>
    </w:pPr>
    <w:rPr>
      <w:rFonts w:ascii="Times New Roman" w:eastAsia="MS Gothic" w:hAnsi="Times New Roman" w:cs="Times New Roman"/>
      <w:color w:val="000000"/>
      <w:lang w:val="fr-FR" w:eastAsia="fr-FR" w:bidi="fr-FR"/>
    </w:rPr>
  </w:style>
  <w:style w:type="paragraph" w:customStyle="1" w:styleId="CommentSubject1">
    <w:name w:val="Comment Subject1"/>
    <w:basedOn w:val="CommentText1"/>
    <w:next w:val="CommentText1"/>
    <w:rsid w:val="00FE04DA"/>
    <w:rPr>
      <w:b/>
      <w:bCs/>
    </w:rPr>
  </w:style>
  <w:style w:type="paragraph" w:customStyle="1" w:styleId="ListParagraph1">
    <w:name w:val="List Paragraph1"/>
    <w:basedOn w:val="Normal"/>
    <w:rsid w:val="00FE04DA"/>
    <w:pPr>
      <w:widowControl w:val="0"/>
      <w:suppressAutoHyphens/>
      <w:ind w:left="720"/>
      <w:contextualSpacing/>
      <w:jc w:val="both"/>
    </w:pPr>
    <w:rPr>
      <w:rFonts w:ascii="Times New Roman" w:eastAsia="MS Gothic" w:hAnsi="Times New Roman" w:cs="Times New Roman"/>
      <w:color w:val="000000"/>
      <w:sz w:val="24"/>
      <w:szCs w:val="24"/>
      <w:lang w:val="fr-FR" w:eastAsia="fr-FR" w:bidi="fr-FR"/>
    </w:rPr>
  </w:style>
  <w:style w:type="paragraph" w:customStyle="1" w:styleId="Revision1">
    <w:name w:val="Revision1"/>
    <w:rsid w:val="00FE04DA"/>
    <w:pPr>
      <w:suppressAutoHyphens/>
    </w:pPr>
    <w:rPr>
      <w:rFonts w:ascii="Times New Roman" w:eastAsia="MS Gothic" w:hAnsi="Times New Roman" w:cs="Times New Roman"/>
      <w:color w:val="000000"/>
      <w:sz w:val="24"/>
      <w:szCs w:val="24"/>
      <w:lang w:val="fr-FR" w:eastAsia="fr-FR" w:bidi="fr-FR"/>
    </w:rPr>
  </w:style>
  <w:style w:type="character" w:customStyle="1" w:styleId="BalloonTextChar1">
    <w:name w:val="Balloon Text Char1"/>
    <w:uiPriority w:val="99"/>
    <w:semiHidden/>
    <w:rsid w:val="00FE04DA"/>
    <w:rPr>
      <w:rFonts w:ascii="Segoe UI" w:eastAsia="MS Gothic" w:hAnsi="Segoe UI" w:cs="Segoe UI"/>
      <w:color w:val="000000"/>
      <w:sz w:val="18"/>
      <w:szCs w:val="18"/>
      <w:lang w:bidi="fr-FR"/>
    </w:rPr>
  </w:style>
  <w:style w:type="character" w:customStyle="1" w:styleId="ui-provider">
    <w:name w:val="ui-provider"/>
    <w:basedOn w:val="DefaultParagraphFont"/>
    <w:rsid w:val="002F5AFF"/>
  </w:style>
  <w:style w:type="table" w:customStyle="1" w:styleId="TableGrid22">
    <w:name w:val="Table Grid22"/>
    <w:basedOn w:val="TableNormal"/>
    <w:next w:val="TableGrid"/>
    <w:uiPriority w:val="39"/>
    <w:rsid w:val="00654430"/>
    <w:rPr>
      <w:rFonts w:ascii="Times New Roman" w:eastAsia="MS Gothic" w:hAnsi="Times New Roman" w:cs="Times New Roman"/>
      <w:color w:val="000000"/>
      <w:sz w:val="24"/>
      <w:szCs w:val="24"/>
      <w:lang w:val="fr-FR"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C1525"/>
    <w:rPr>
      <w:b/>
      <w:bCs/>
    </w:rPr>
  </w:style>
  <w:style w:type="numbering" w:customStyle="1" w:styleId="NoList28">
    <w:name w:val="No List28"/>
    <w:next w:val="NoList"/>
    <w:uiPriority w:val="99"/>
    <w:semiHidden/>
    <w:unhideWhenUsed/>
    <w:rsid w:val="00D70898"/>
  </w:style>
  <w:style w:type="numbering" w:customStyle="1" w:styleId="NoList112">
    <w:name w:val="No List112"/>
    <w:next w:val="NoList"/>
    <w:uiPriority w:val="99"/>
    <w:semiHidden/>
    <w:unhideWhenUsed/>
    <w:rsid w:val="00D70898"/>
  </w:style>
  <w:style w:type="numbering" w:customStyle="1" w:styleId="NoList29">
    <w:name w:val="No List29"/>
    <w:next w:val="NoList"/>
    <w:uiPriority w:val="99"/>
    <w:semiHidden/>
    <w:unhideWhenUsed/>
    <w:rsid w:val="00D70898"/>
  </w:style>
  <w:style w:type="numbering" w:customStyle="1" w:styleId="NoList33">
    <w:name w:val="No List33"/>
    <w:next w:val="NoList"/>
    <w:uiPriority w:val="99"/>
    <w:semiHidden/>
    <w:unhideWhenUsed/>
    <w:rsid w:val="00D70898"/>
  </w:style>
  <w:style w:type="numbering" w:customStyle="1" w:styleId="NoList43">
    <w:name w:val="No List43"/>
    <w:next w:val="NoList"/>
    <w:uiPriority w:val="99"/>
    <w:semiHidden/>
    <w:unhideWhenUsed/>
    <w:rsid w:val="00D70898"/>
  </w:style>
  <w:style w:type="numbering" w:customStyle="1" w:styleId="NoList53">
    <w:name w:val="No List53"/>
    <w:next w:val="NoList"/>
    <w:uiPriority w:val="99"/>
    <w:semiHidden/>
    <w:unhideWhenUsed/>
    <w:rsid w:val="00D70898"/>
  </w:style>
  <w:style w:type="paragraph" w:customStyle="1" w:styleId="paragraph">
    <w:name w:val="paragraph"/>
    <w:basedOn w:val="Normal"/>
    <w:rsid w:val="003928B6"/>
    <w:pPr>
      <w:spacing w:before="100" w:beforeAutospacing="1" w:after="100" w:afterAutospacing="1"/>
    </w:pPr>
    <w:rPr>
      <w:rFonts w:ascii="Times New Roman" w:eastAsia="Times New Roman" w:hAnsi="Times New Roman" w:cs="Times New Roman"/>
      <w:sz w:val="24"/>
      <w:szCs w:val="24"/>
      <w:lang w:val="fr-FR" w:eastAsia="en-GB"/>
    </w:rPr>
  </w:style>
  <w:style w:type="character" w:customStyle="1" w:styleId="normaltextrun">
    <w:name w:val="normaltextrun"/>
    <w:basedOn w:val="DefaultParagraphFont"/>
    <w:rsid w:val="003928B6"/>
  </w:style>
  <w:style w:type="character" w:customStyle="1" w:styleId="eop">
    <w:name w:val="eop"/>
    <w:basedOn w:val="DefaultParagraphFont"/>
    <w:rsid w:val="003928B6"/>
  </w:style>
  <w:style w:type="character" w:styleId="Mention">
    <w:name w:val="Mention"/>
    <w:basedOn w:val="DefaultParagraphFont"/>
    <w:uiPriority w:val="99"/>
    <w:unhideWhenUsed/>
    <w:rsid w:val="003928B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iccat.int/Documents/Recs/compendiopdf-f/2024-05-f.pdf" TargetMode="External"/><Relationship Id="rId21" Type="http://schemas.openxmlformats.org/officeDocument/2006/relationships/hyperlink" Target="https://www.iccat.int/Documents/Recs/compendiopdf-f/2025-04-f.pdf" TargetMode="External"/><Relationship Id="rId42" Type="http://schemas.openxmlformats.org/officeDocument/2006/relationships/hyperlink" Target="https://www.iccat.int/Documents/Recs/compendiopdf-f/2015-13-f.pdf" TargetMode="External"/><Relationship Id="rId63" Type="http://schemas.openxmlformats.org/officeDocument/2006/relationships/hyperlink" Target="https://www.iccat.int/Documents/Recs/compendiopdf-f/2025-04.f.pdf" TargetMode="External"/><Relationship Id="rId84" Type="http://schemas.openxmlformats.org/officeDocument/2006/relationships/hyperlink" Target="https://www.iccat.int/Documents/Recs/compendiopdf-f/2024-07-f.pdf" TargetMode="External"/><Relationship Id="rId138" Type="http://schemas.openxmlformats.org/officeDocument/2006/relationships/hyperlink" Target="https://www.iccat.int/Documents/Recs/compendiopdf-f/2025-04-f.pdf" TargetMode="External"/><Relationship Id="rId159" Type="http://schemas.openxmlformats.org/officeDocument/2006/relationships/footer" Target="footer12.xml"/><Relationship Id="rId170" Type="http://schemas.openxmlformats.org/officeDocument/2006/relationships/footer" Target="footer14.xml"/><Relationship Id="rId191" Type="http://schemas.openxmlformats.org/officeDocument/2006/relationships/hyperlink" Target="javascript:onclick=AfficheFiche(%2228887%22)" TargetMode="External"/><Relationship Id="rId205" Type="http://schemas.openxmlformats.org/officeDocument/2006/relationships/hyperlink" Target="mailto:semih.sayin@tarimorman.gov.tr" TargetMode="External"/><Relationship Id="rId226" Type="http://schemas.openxmlformats.org/officeDocument/2006/relationships/hyperlink" Target="https://www.iccat.int/Documents/Recs/compendiopdf-f/2025-04-f.pdf" TargetMode="External"/><Relationship Id="rId107" Type="http://schemas.openxmlformats.org/officeDocument/2006/relationships/hyperlink" Target="https://www.iccat.int/Documents/Recs/compendiopdf-f/2025-04-f.pdf" TargetMode="External"/><Relationship Id="rId11" Type="http://schemas.openxmlformats.org/officeDocument/2006/relationships/hyperlink" Target="https://www.iccat.int/Documents/Recs/compendiopdf-f/2024-05-f.pdf" TargetMode="External"/><Relationship Id="rId32" Type="http://schemas.openxmlformats.org/officeDocument/2006/relationships/hyperlink" Target="https://www.iccat.int/Documents/Recs/compendiopdf-f/2025-04-f.pdf" TargetMode="External"/><Relationship Id="rId53" Type="http://schemas.openxmlformats.org/officeDocument/2006/relationships/hyperlink" Target="https://www.iccat.int/Documents/Recs/compendiopdf-f/2025-04-f.pdf" TargetMode="External"/><Relationship Id="rId74" Type="http://schemas.openxmlformats.org/officeDocument/2006/relationships/footer" Target="footer1.xml"/><Relationship Id="rId128" Type="http://schemas.openxmlformats.org/officeDocument/2006/relationships/hyperlink" Target="mailto:kyung91206@korea.kr" TargetMode="External"/><Relationship Id="rId149" Type="http://schemas.openxmlformats.org/officeDocument/2006/relationships/hyperlink" Target="https://www.iccat.int/Documents/Recs/compendiopdf-f/2024-07-f.pdf" TargetMode="External"/><Relationship Id="rId5" Type="http://schemas.openxmlformats.org/officeDocument/2006/relationships/webSettings" Target="webSettings.xml"/><Relationship Id="rId95" Type="http://schemas.openxmlformats.org/officeDocument/2006/relationships/hyperlink" Target="https://www.iccat.int/Documents/Recs/compendiopdf-f/2025-04-f.pdf" TargetMode="External"/><Relationship Id="rId160" Type="http://schemas.openxmlformats.org/officeDocument/2006/relationships/header" Target="header22.xml"/><Relationship Id="rId181" Type="http://schemas.openxmlformats.org/officeDocument/2006/relationships/footer" Target="footer17.xml"/><Relationship Id="rId216" Type="http://schemas.openxmlformats.org/officeDocument/2006/relationships/hyperlink" Target="https://iccat.int/Documents/Recs/compendiopdf-f/2025-04-f.pdf" TargetMode="External"/><Relationship Id="rId237" Type="http://schemas.openxmlformats.org/officeDocument/2006/relationships/hyperlink" Target="https://www.iccat.int/Documents/Recs/compendiopdf-f/2024-08-f.pdf" TargetMode="External"/><Relationship Id="rId22" Type="http://schemas.openxmlformats.org/officeDocument/2006/relationships/hyperlink" Target="https://iccat.int/Documents/Recs/compendiopdf-f/2025-05-f.pdf" TargetMode="External"/><Relationship Id="rId43" Type="http://schemas.openxmlformats.org/officeDocument/2006/relationships/hyperlink" Target="https://www.iccat.int/Documents/Recs/compendiopdf-f/2015-13-f.pdf" TargetMode="External"/><Relationship Id="rId64" Type="http://schemas.openxmlformats.org/officeDocument/2006/relationships/hyperlink" Target="https://www.iccat.int/Documents/Recs/compendiopdf-f/2025-04-f.pdf" TargetMode="External"/><Relationship Id="rId118" Type="http://schemas.openxmlformats.org/officeDocument/2006/relationships/hyperlink" Target="https://www.iccat.int/Documents/Recs/compendiopdf-f/2024-07-f.pdf" TargetMode="External"/><Relationship Id="rId139" Type="http://schemas.openxmlformats.org/officeDocument/2006/relationships/hyperlink" Target="https://www.iccat.int/Documents/Recs/compendiopdf-f/2025-04-f.pdf" TargetMode="External"/><Relationship Id="rId85" Type="http://schemas.openxmlformats.org/officeDocument/2006/relationships/header" Target="header5.xml"/><Relationship Id="rId150" Type="http://schemas.openxmlformats.org/officeDocument/2006/relationships/hyperlink" Target="mailto:bouaamri@mpm.gov.ma" TargetMode="External"/><Relationship Id="rId171" Type="http://schemas.openxmlformats.org/officeDocument/2006/relationships/hyperlink" Target="https://www.iccat.int/Documents/Recs/compendiopdf-f/2025-04-f.pdf" TargetMode="External"/><Relationship Id="rId192" Type="http://schemas.openxmlformats.org/officeDocument/2006/relationships/header" Target="header25.xml"/><Relationship Id="rId206" Type="http://schemas.openxmlformats.org/officeDocument/2006/relationships/header" Target="header28.xml"/><Relationship Id="rId227" Type="http://schemas.openxmlformats.org/officeDocument/2006/relationships/hyperlink" Target="https://www.iccat.int/Documents/Recs/compendiopdf-f/2025-04-f.pdf" TargetMode="External"/><Relationship Id="rId12" Type="http://schemas.openxmlformats.org/officeDocument/2006/relationships/hyperlink" Target="https://www.iccat.int/Documents/Recs/compendiopdf-f/2025-04-f.pdf" TargetMode="External"/><Relationship Id="rId33" Type="http://schemas.openxmlformats.org/officeDocument/2006/relationships/hyperlink" Target="https://www.iccat.int/Documents/Recs/compendiopdf-f/2025-04-f.pdf" TargetMode="External"/><Relationship Id="rId108" Type="http://schemas.openxmlformats.org/officeDocument/2006/relationships/hyperlink" Target="https://www.iccat.int/Documents/Recs/compendiopdf-f/2024-07-f.pdf" TargetMode="External"/><Relationship Id="rId129" Type="http://schemas.openxmlformats.org/officeDocument/2006/relationships/hyperlink" Target="https://www.iccat.int/Documents/Recs/compendiopdf-f/2025-04-f.pdf" TargetMode="External"/><Relationship Id="rId54" Type="http://schemas.openxmlformats.org/officeDocument/2006/relationships/hyperlink" Target="https://www.iccat.int/Documents/Recs/compendiopdf-f/2025-04-f.pdf" TargetMode="External"/><Relationship Id="rId75" Type="http://schemas.openxmlformats.org/officeDocument/2006/relationships/header" Target="header2.xml"/><Relationship Id="rId96" Type="http://schemas.openxmlformats.org/officeDocument/2006/relationships/hyperlink" Target="file:///C:\Users\christine.peyre\AppData\Local\Microsoft\Windows\INetCache\Content.Outlook\060ISJWQ\irishstatutebook.ie" TargetMode="External"/><Relationship Id="rId140" Type="http://schemas.openxmlformats.org/officeDocument/2006/relationships/hyperlink" Target="https://www.iccat.int/Documents/Recs/compendiopdf-f/2025-04-f.pdf" TargetMode="External"/><Relationship Id="rId161" Type="http://schemas.openxmlformats.org/officeDocument/2006/relationships/footer" Target="footer13.xml"/><Relationship Id="rId182" Type="http://schemas.openxmlformats.org/officeDocument/2006/relationships/hyperlink" Target="https://www.iccat.int/Documents/Recs/compendiopdf-f/2025-04-f.pdf" TargetMode="External"/><Relationship Id="rId217" Type="http://schemas.openxmlformats.org/officeDocument/2006/relationships/hyperlink" Target="https://www.iccat.int/Documents/Recs/compendiopdf-f/2024-07-f.pdf" TargetMode="External"/><Relationship Id="rId6" Type="http://schemas.openxmlformats.org/officeDocument/2006/relationships/footnotes" Target="footnotes.xml"/><Relationship Id="rId238" Type="http://schemas.openxmlformats.org/officeDocument/2006/relationships/hyperlink" Target="https://www.iccat.int/Documents/Recs/compendiopdf-f/2023-07-f.pdf" TargetMode="External"/><Relationship Id="rId23" Type="http://schemas.openxmlformats.org/officeDocument/2006/relationships/hyperlink" Target="https://iccat.int/Documents/Recs/compendiopdf-f/2025-05-f.pdf" TargetMode="External"/><Relationship Id="rId119" Type="http://schemas.openxmlformats.org/officeDocument/2006/relationships/header" Target="header13.xml"/><Relationship Id="rId44" Type="http://schemas.openxmlformats.org/officeDocument/2006/relationships/hyperlink" Target="https://www.iccat.int/Documents/Recs/compendiopdf-f/2025-04-f.pdf" TargetMode="External"/><Relationship Id="rId65" Type="http://schemas.openxmlformats.org/officeDocument/2006/relationships/hyperlink" Target="https://www.iccat.int/Documents/Recs/compendiopdf-f/2024-07-f.pdf" TargetMode="External"/><Relationship Id="rId86" Type="http://schemas.openxmlformats.org/officeDocument/2006/relationships/header" Target="header6.xml"/><Relationship Id="rId130" Type="http://schemas.openxmlformats.org/officeDocument/2006/relationships/hyperlink" Target="https://www.iccat.int/Documents/Recs/compendiopdf-f/2025-04-f.pdf" TargetMode="External"/><Relationship Id="rId151" Type="http://schemas.openxmlformats.org/officeDocument/2006/relationships/header" Target="header20.xml"/><Relationship Id="rId172" Type="http://schemas.openxmlformats.org/officeDocument/2006/relationships/hyperlink" Target="https://www.iccat.int/Documents/Recs/compendiopdf-f/2025-04-f.pdf" TargetMode="External"/><Relationship Id="rId193" Type="http://schemas.openxmlformats.org/officeDocument/2006/relationships/header" Target="header26.xml"/><Relationship Id="rId207" Type="http://schemas.openxmlformats.org/officeDocument/2006/relationships/footer" Target="footer20.xml"/><Relationship Id="rId228" Type="http://schemas.openxmlformats.org/officeDocument/2006/relationships/hyperlink" Target="https://www.iccat.int/Documents/Recs/compendiopdf-f/2025-04-f.pdf" TargetMode="External"/><Relationship Id="rId13" Type="http://schemas.openxmlformats.org/officeDocument/2006/relationships/hyperlink" Target="https://www.iccat.int/Documents/Recs/compendiopdf-f/2025-04-f.pdf" TargetMode="External"/><Relationship Id="rId109" Type="http://schemas.openxmlformats.org/officeDocument/2006/relationships/hyperlink" Target="mailto:agnar.bragi.bragason@atrn.is" TargetMode="External"/><Relationship Id="rId34" Type="http://schemas.openxmlformats.org/officeDocument/2006/relationships/hyperlink" Target="https://www.iccat.int/Documents/Recs/compendiopdf-f/2025-04-f.pdf" TargetMode="External"/><Relationship Id="rId55" Type="http://schemas.openxmlformats.org/officeDocument/2006/relationships/hyperlink" Target="https://www.iccat.int/Documents/Recs/compendiopdf-f/2025-04-f.pdf" TargetMode="External"/><Relationship Id="rId76" Type="http://schemas.openxmlformats.org/officeDocument/2006/relationships/hyperlink" Target="https://www.iccat.int/Documents/Recs/compendiopdf-f/2025-04-f.pdf" TargetMode="External"/><Relationship Id="rId97" Type="http://schemas.openxmlformats.org/officeDocument/2006/relationships/hyperlink" Target="file:///C:\Users\christine.peyre\AppData\Local\Microsoft\Windows\INetCache\Content.Outlook\060ISJWQ\007db25e-64ad-4792-b25a-568987eea8be.pdf" TargetMode="External"/><Relationship Id="rId120" Type="http://schemas.openxmlformats.org/officeDocument/2006/relationships/hyperlink" Target="https://www.iccat.int/Documents/Recs/compendiopdf-f/2025-04-f.pdf" TargetMode="External"/><Relationship Id="rId141" Type="http://schemas.openxmlformats.org/officeDocument/2006/relationships/hyperlink" Target="https://www.iccat.int/Documents/Recs/compendiopdf-f/2024-07-f.pdf" TargetMode="External"/><Relationship Id="rId7" Type="http://schemas.openxmlformats.org/officeDocument/2006/relationships/endnotes" Target="endnotes.xml"/><Relationship Id="rId162" Type="http://schemas.openxmlformats.org/officeDocument/2006/relationships/hyperlink" Target="https://www.iccat.int/Documents/Recs/compendiopdf-f/2024-05-f.pdf" TargetMode="External"/><Relationship Id="rId183" Type="http://schemas.openxmlformats.org/officeDocument/2006/relationships/hyperlink" Target="javascript:onclick=AfficheFiche(%2228887%22)" TargetMode="External"/><Relationship Id="rId218" Type="http://schemas.openxmlformats.org/officeDocument/2006/relationships/hyperlink" Target="mailto:yenju@ms1.fa.gov.tw" TargetMode="External"/><Relationship Id="rId239" Type="http://schemas.openxmlformats.org/officeDocument/2006/relationships/hyperlink" Target="https://www.iccat.int/Documents/Recs/compendiopdf-f/2024-05-f.pdf" TargetMode="External"/><Relationship Id="rId24" Type="http://schemas.openxmlformats.org/officeDocument/2006/relationships/hyperlink" Target="https://iccat.int/Documents/Recs/compendiopdf-f/2025-05-f.pdf" TargetMode="External"/><Relationship Id="rId45" Type="http://schemas.openxmlformats.org/officeDocument/2006/relationships/hyperlink" Target="https://www.iccat.int/Documents/Recs/compendiopdf-f/2025-04-f.pdf" TargetMode="External"/><Relationship Id="rId66" Type="http://schemas.openxmlformats.org/officeDocument/2006/relationships/hyperlink" Target="https://www.iccat.int/Documents/Recs/compendiopdf-f/2025-04.f.pdf" TargetMode="External"/><Relationship Id="rId87" Type="http://schemas.openxmlformats.org/officeDocument/2006/relationships/footer" Target="footer3.xml"/><Relationship Id="rId110" Type="http://schemas.openxmlformats.org/officeDocument/2006/relationships/hyperlink" Target="mailto:skuli.kristinn.skulason@atrn.is" TargetMode="External"/><Relationship Id="rId131" Type="http://schemas.openxmlformats.org/officeDocument/2006/relationships/hyperlink" Target="https://www.iccat.int/Documents/Recs/compendiopdf-f/2024-07-f.pdf" TargetMode="External"/><Relationship Id="rId152" Type="http://schemas.openxmlformats.org/officeDocument/2006/relationships/hyperlink" Target="https://www.iccat.int/Documents/Recs/compendiopdf-f/2025-04-f.pdf" TargetMode="External"/><Relationship Id="rId173" Type="http://schemas.openxmlformats.org/officeDocument/2006/relationships/hyperlink" Target="https://www.iccat.int/Documents/Recs/compendiopdf-f/2024-07-f.pdf" TargetMode="External"/><Relationship Id="rId194" Type="http://schemas.openxmlformats.org/officeDocument/2006/relationships/footer" Target="footer18.xml"/><Relationship Id="rId208" Type="http://schemas.openxmlformats.org/officeDocument/2006/relationships/hyperlink" Target="https://www.iccat.int/Documents/Recs/compendiopdf-f/2025-04-f.pdf" TargetMode="External"/><Relationship Id="rId229" Type="http://schemas.openxmlformats.org/officeDocument/2006/relationships/hyperlink" Target="https://www.iccat.int/Documents/Recs/compendiopdf-f/2025-04-f.pdf" TargetMode="External"/><Relationship Id="rId240" Type="http://schemas.openxmlformats.org/officeDocument/2006/relationships/hyperlink" Target="https://www.iccat.int/Documents/Recs/compendiopdf-f/2024-05-f.pdf" TargetMode="External"/><Relationship Id="rId14" Type="http://schemas.openxmlformats.org/officeDocument/2006/relationships/hyperlink" Target="https://www.iccat.int/Documents/Recs/compendiopdf-f/2025-04-f.pdf" TargetMode="External"/><Relationship Id="rId35" Type="http://schemas.openxmlformats.org/officeDocument/2006/relationships/hyperlink" Target="https://www.iccat.int/Documents/Recs/compendiopdf-f/2024-05-f.pdf" TargetMode="External"/><Relationship Id="rId56" Type="http://schemas.openxmlformats.org/officeDocument/2006/relationships/hyperlink" Target="https://www.iccat.int/Documents/Recs/compendiopdf-f/2025-04-f.pdf" TargetMode="External"/><Relationship Id="rId77" Type="http://schemas.openxmlformats.org/officeDocument/2006/relationships/hyperlink" Target="https://www.iccat.int/Documents/Recs/compendiopdf-f/2025-04-f.pdf" TargetMode="External"/><Relationship Id="rId100" Type="http://schemas.openxmlformats.org/officeDocument/2006/relationships/image" Target="media/image1.png"/><Relationship Id="rId8" Type="http://schemas.openxmlformats.org/officeDocument/2006/relationships/hyperlink" Target="https://www.iccat.int/Documents/Recs/compendiopdf-f/2025-04-f.pdf" TargetMode="External"/><Relationship Id="rId98" Type="http://schemas.openxmlformats.org/officeDocument/2006/relationships/hyperlink" Target="https://www.iccat.int/Documents/Recs/compendiopdf-f/2025-04-f.pdf" TargetMode="External"/><Relationship Id="rId121" Type="http://schemas.openxmlformats.org/officeDocument/2006/relationships/header" Target="header14.xml"/><Relationship Id="rId142" Type="http://schemas.openxmlformats.org/officeDocument/2006/relationships/hyperlink" Target="mailto:Laminecam2000@yahoo.fr" TargetMode="External"/><Relationship Id="rId163" Type="http://schemas.openxmlformats.org/officeDocument/2006/relationships/hyperlink" Target="https://www.iccat.int/Documents/Recs/compendiopdf-f/2024-07-f.pdf" TargetMode="External"/><Relationship Id="rId184" Type="http://schemas.openxmlformats.org/officeDocument/2006/relationships/hyperlink" Target="javascript:onclick=AfficheFiche(%2228887%22)" TargetMode="External"/><Relationship Id="rId219" Type="http://schemas.openxmlformats.org/officeDocument/2006/relationships/hyperlink" Target="mailto:anchiang@ms1.fa.gov.tw" TargetMode="External"/><Relationship Id="rId230" Type="http://schemas.openxmlformats.org/officeDocument/2006/relationships/hyperlink" Target="https://www.iccat.int/Documents/Recs/compendiopdf-f/2025-04-f.pdf" TargetMode="External"/><Relationship Id="rId25" Type="http://schemas.openxmlformats.org/officeDocument/2006/relationships/hyperlink" Target="https://iccat.int/Documents/Recs/compendiopdf-f/2025-05-f.pdf" TargetMode="External"/><Relationship Id="rId46" Type="http://schemas.openxmlformats.org/officeDocument/2006/relationships/hyperlink" Target="https://www.iccat.int/Documents/Recs/compendiopdf-f/2025-04-f.pdf" TargetMode="External"/><Relationship Id="rId67" Type="http://schemas.openxmlformats.org/officeDocument/2006/relationships/hyperlink" Target="mailto:Aleksander.Luli@dshpa.gov.al" TargetMode="External"/><Relationship Id="rId88" Type="http://schemas.openxmlformats.org/officeDocument/2006/relationships/hyperlink" Target="https://www.iccat.int/Documents/Recs/compendiopdf-f/2025-04-f.pdf" TargetMode="External"/><Relationship Id="rId111" Type="http://schemas.openxmlformats.org/officeDocument/2006/relationships/hyperlink" Target="mailto:gudjon.r.steinsson@fiskistofa.is" TargetMode="External"/><Relationship Id="rId132" Type="http://schemas.openxmlformats.org/officeDocument/2006/relationships/hyperlink" Target="mailto:gafrihasan@gmail.com" TargetMode="External"/><Relationship Id="rId153" Type="http://schemas.openxmlformats.org/officeDocument/2006/relationships/hyperlink" Target="https://www.iccat.int/Documents/Recs/compendiopdf-f/2025-04-f.pdf" TargetMode="External"/><Relationship Id="rId174" Type="http://schemas.openxmlformats.org/officeDocument/2006/relationships/footer" Target="footer15.xml"/><Relationship Id="rId195" Type="http://schemas.openxmlformats.org/officeDocument/2006/relationships/header" Target="header27.xml"/><Relationship Id="rId209" Type="http://schemas.openxmlformats.org/officeDocument/2006/relationships/hyperlink" Target="https://www.legislation.gov.uk/uksi/2024/655/contents/made" TargetMode="External"/><Relationship Id="rId220" Type="http://schemas.openxmlformats.org/officeDocument/2006/relationships/hyperlink" Target="mailto:huangwei0510@ms1.fa.gov.tw" TargetMode="External"/><Relationship Id="rId241" Type="http://schemas.openxmlformats.org/officeDocument/2006/relationships/hyperlink" Target="https://www.iccat.int/Documents/Recs/compendiopdf-f/2024-05-f.pdf" TargetMode="External"/><Relationship Id="rId15" Type="http://schemas.openxmlformats.org/officeDocument/2006/relationships/hyperlink" Target="https://www.iccat.int/Documents/Recs/compendiopdf-f/2025-04-f.pdf" TargetMode="External"/><Relationship Id="rId36" Type="http://schemas.openxmlformats.org/officeDocument/2006/relationships/hyperlink" Target="https://www.iccat.int/Documents/Recs/compendiopdf-f/2025-04-f.pdf" TargetMode="External"/><Relationship Id="rId57" Type="http://schemas.openxmlformats.org/officeDocument/2006/relationships/hyperlink" Target="https://qbz.gov.al/eli/vendim/2022/12/01/756/46e86b9b-aa57-46ab-8930-a386a451056b" TargetMode="External"/><Relationship Id="rId10" Type="http://schemas.openxmlformats.org/officeDocument/2006/relationships/hyperlink" Target="https://www.iccat.int/Documents/Recs/compendiopdf-f/2024-05-f.pdf" TargetMode="External"/><Relationship Id="rId31" Type="http://schemas.openxmlformats.org/officeDocument/2006/relationships/hyperlink" Target="https://www.iccat.int/Documents/Recs/compendiopdf-f/2025-04-f.pdf" TargetMode="External"/><Relationship Id="rId52" Type="http://schemas.openxmlformats.org/officeDocument/2006/relationships/hyperlink" Target="https://www.iccat.int/Documents/Recs/compendiopdf-f/2025-04-f.pdf" TargetMode="External"/><Relationship Id="rId73" Type="http://schemas.openxmlformats.org/officeDocument/2006/relationships/header" Target="header1.xml"/><Relationship Id="rId78" Type="http://schemas.openxmlformats.org/officeDocument/2006/relationships/hyperlink" Target="https://www.iccat.int/Documents/Recs/compendiopdf-f/2024-07-f.pdf" TargetMode="External"/><Relationship Id="rId94" Type="http://schemas.openxmlformats.org/officeDocument/2006/relationships/header" Target="header7.xml"/><Relationship Id="rId99" Type="http://schemas.openxmlformats.org/officeDocument/2006/relationships/hyperlink" Target="https://www.iccat.int/Documents/Recs/compendiopdf-f/2024-07-f.pdf" TargetMode="External"/><Relationship Id="rId101" Type="http://schemas.openxmlformats.org/officeDocument/2006/relationships/header" Target="header8.xml"/><Relationship Id="rId122" Type="http://schemas.openxmlformats.org/officeDocument/2006/relationships/footer" Target="footer6.xml"/><Relationship Id="rId143" Type="http://schemas.openxmlformats.org/officeDocument/2006/relationships/header" Target="header18.xml"/><Relationship Id="rId148" Type="http://schemas.openxmlformats.org/officeDocument/2006/relationships/hyperlink" Target="https://www.iccat.int/Documents/Recs/compendiopdf-f/2025-04-f.pdf" TargetMode="External"/><Relationship Id="rId164" Type="http://schemas.openxmlformats.org/officeDocument/2006/relationships/hyperlink" Target="mailto:pamaris@arap.gob.pa" TargetMode="External"/><Relationship Id="rId169" Type="http://schemas.openxmlformats.org/officeDocument/2006/relationships/header" Target="header23.xml"/><Relationship Id="rId185" Type="http://schemas.openxmlformats.org/officeDocument/2006/relationships/hyperlink" Target="javascript:onclick=AfficheFiche(%2228887%22)" TargetMode="External"/><Relationship Id="rId4" Type="http://schemas.openxmlformats.org/officeDocument/2006/relationships/settings" Target="settings.xml"/><Relationship Id="rId9" Type="http://schemas.openxmlformats.org/officeDocument/2006/relationships/hyperlink" Target="https://www.iccat.int/Documents/Recs/compendiopdf-f/2025-04-f.pdf" TargetMode="External"/><Relationship Id="rId180" Type="http://schemas.openxmlformats.org/officeDocument/2006/relationships/hyperlink" Target="https://www.iccat.int/Documents/Recs/compendiopdf-f/2024-07-f.pdf" TargetMode="External"/><Relationship Id="rId210" Type="http://schemas.openxmlformats.org/officeDocument/2006/relationships/hyperlink" Target="https://iccat.int/Documents/Recs/compendiopdf-f/2025-04-f.pdf" TargetMode="External"/><Relationship Id="rId215" Type="http://schemas.openxmlformats.org/officeDocument/2006/relationships/hyperlink" Target="https://iccat.int/Documents/Recs/compendiopdf-f/2025-04-f.pdf" TargetMode="External"/><Relationship Id="rId236" Type="http://schemas.openxmlformats.org/officeDocument/2006/relationships/hyperlink" Target="https://www.iccat.int/Documents/Recs/compendiopdf-f/2021-04-f.pdf" TargetMode="External"/><Relationship Id="rId26" Type="http://schemas.openxmlformats.org/officeDocument/2006/relationships/hyperlink" Target="https://iccat.int/Documents/Recs/compendiopdf-f/2025-05-f.pdf" TargetMode="External"/><Relationship Id="rId231" Type="http://schemas.openxmlformats.org/officeDocument/2006/relationships/hyperlink" Target="https://www.iccat.int/Documents/Recs/compendiopdf-f/2025-04-f.pdf" TargetMode="External"/><Relationship Id="rId47" Type="http://schemas.openxmlformats.org/officeDocument/2006/relationships/hyperlink" Target="https://www.iccat.int/Documents/Recs/compendiopdf-f/2025-04-f.pdf" TargetMode="External"/><Relationship Id="rId68" Type="http://schemas.openxmlformats.org/officeDocument/2006/relationships/hyperlink" Target="mailto:Ilirjan.Cepe@dshpa.gov.al" TargetMode="External"/><Relationship Id="rId89" Type="http://schemas.openxmlformats.org/officeDocument/2006/relationships/hyperlink" Target="https://www.iccat.int/Documents/Recs/compendiopdf-f/2025-04-f.pdf" TargetMode="External"/><Relationship Id="rId112" Type="http://schemas.openxmlformats.org/officeDocument/2006/relationships/header" Target="header11.xml"/><Relationship Id="rId133" Type="http://schemas.openxmlformats.org/officeDocument/2006/relationships/hyperlink" Target="mailto:Elrabeie.Mohamed@gmail.com" TargetMode="External"/><Relationship Id="rId154" Type="http://schemas.openxmlformats.org/officeDocument/2006/relationships/hyperlink" Target="https://www.iccat.int/Documents/Recs/compendiopdf-f/2024-07-f.pdf" TargetMode="External"/><Relationship Id="rId175" Type="http://schemas.openxmlformats.org/officeDocument/2006/relationships/header" Target="header24.xml"/><Relationship Id="rId196" Type="http://schemas.openxmlformats.org/officeDocument/2006/relationships/footer" Target="footer19.xml"/><Relationship Id="rId200" Type="http://schemas.openxmlformats.org/officeDocument/2006/relationships/hyperlink" Target="mailto:semih.sayin@tarimorman.gov.tr" TargetMode="External"/><Relationship Id="rId16" Type="http://schemas.openxmlformats.org/officeDocument/2006/relationships/hyperlink" Target="https://www.iccat.int/Documents/Recs/compendiopdf-f/2025-04-f.pdf" TargetMode="External"/><Relationship Id="rId221" Type="http://schemas.openxmlformats.org/officeDocument/2006/relationships/footer" Target="footer22.xml"/><Relationship Id="rId242" Type="http://schemas.openxmlformats.org/officeDocument/2006/relationships/hyperlink" Target="https://www.iccat.int/Documents/Recs/compendiopdf-f/2024-05-f.pdf" TargetMode="External"/><Relationship Id="rId37" Type="http://schemas.openxmlformats.org/officeDocument/2006/relationships/hyperlink" Target="https://www.iccat.int/Documents/Recs/compendiopdf-f/2021-04-f.pdf" TargetMode="External"/><Relationship Id="rId58" Type="http://schemas.openxmlformats.org/officeDocument/2006/relationships/hyperlink" Target="https://qbz.gov.al/eli/urdher/2025/02/13/140/07a821b8-e905-40a7-a3e0-5b1235d5351e" TargetMode="External"/><Relationship Id="rId79" Type="http://schemas.openxmlformats.org/officeDocument/2006/relationships/header" Target="header3.xml"/><Relationship Id="rId102" Type="http://schemas.openxmlformats.org/officeDocument/2006/relationships/header" Target="header9.xml"/><Relationship Id="rId123" Type="http://schemas.openxmlformats.org/officeDocument/2006/relationships/header" Target="header15.xml"/><Relationship Id="rId144" Type="http://schemas.openxmlformats.org/officeDocument/2006/relationships/footer" Target="footer10.xml"/><Relationship Id="rId90" Type="http://schemas.openxmlformats.org/officeDocument/2006/relationships/hyperlink" Target="https://www.iccat.int/Documents/Recs/compendiopdf-f/2024-07-f.pdf" TargetMode="External"/><Relationship Id="rId165" Type="http://schemas.openxmlformats.org/officeDocument/2006/relationships/hyperlink" Target="mailto:clacasa@arap.gob.pa" TargetMode="External"/><Relationship Id="rId186" Type="http://schemas.openxmlformats.org/officeDocument/2006/relationships/hyperlink" Target="javascript:onclick=AfficheFiche(%2228887%22)" TargetMode="External"/><Relationship Id="rId211" Type="http://schemas.openxmlformats.org/officeDocument/2006/relationships/hyperlink" Target="https://www.iccat.int/Documents/Recs/compendiopdf-f/2024-07-f.pdf" TargetMode="External"/><Relationship Id="rId232" Type="http://schemas.openxmlformats.org/officeDocument/2006/relationships/hyperlink" Target="https://www.iccat.int/Documents/Recs/compendiopdf-f/2025-04-f.pdf" TargetMode="External"/><Relationship Id="rId27" Type="http://schemas.openxmlformats.org/officeDocument/2006/relationships/hyperlink" Target="https://iccat.int/Documents/Recs/compendiopdf-f/2025-05-f.pdf" TargetMode="External"/><Relationship Id="rId48" Type="http://schemas.openxmlformats.org/officeDocument/2006/relationships/hyperlink" Target="https://www.iccat.int/Documents/Recs/compendiopdf-f/2015-13-f.pdf" TargetMode="External"/><Relationship Id="rId69" Type="http://schemas.openxmlformats.org/officeDocument/2006/relationships/hyperlink" Target="mailto:Lefter.Kocillari@dshpa.gov.al" TargetMode="External"/><Relationship Id="rId113" Type="http://schemas.openxmlformats.org/officeDocument/2006/relationships/header" Target="header12.xml"/><Relationship Id="rId134" Type="http://schemas.openxmlformats.org/officeDocument/2006/relationships/header" Target="header16.xml"/><Relationship Id="rId80" Type="http://schemas.openxmlformats.org/officeDocument/2006/relationships/header" Target="header4.xml"/><Relationship Id="rId155" Type="http://schemas.openxmlformats.org/officeDocument/2006/relationships/hyperlink" Target="mailto:sofie.munch.ellingsen@nfd.dep.no" TargetMode="External"/><Relationship Id="rId176" Type="http://schemas.openxmlformats.org/officeDocument/2006/relationships/footer" Target="footer16.xml"/><Relationship Id="rId197" Type="http://schemas.openxmlformats.org/officeDocument/2006/relationships/hyperlink" Target="https://www.iccat.int/Documents/Recs/compendiopdf-f/2025-04-f.pdf" TargetMode="External"/><Relationship Id="rId201" Type="http://schemas.openxmlformats.org/officeDocument/2006/relationships/hyperlink" Target="https://www.iccat.int/Documents/Recs/compendiopdf-f/2025-04-f.pdf" TargetMode="External"/><Relationship Id="rId222" Type="http://schemas.openxmlformats.org/officeDocument/2006/relationships/hyperlink" Target="https://iccat.int/Documents/Recs/compendiopdf-f/2025-05-f.pdf" TargetMode="External"/><Relationship Id="rId243" Type="http://schemas.openxmlformats.org/officeDocument/2006/relationships/hyperlink" Target="https://www.iccat.int/Documents/Recs/compendiopdf-f/2025-04-f.pdf" TargetMode="External"/><Relationship Id="rId17" Type="http://schemas.openxmlformats.org/officeDocument/2006/relationships/hyperlink" Target="https://www.iccat.int/Documents/Recs/compendiopdf-f/2025-04-f.pdf" TargetMode="External"/><Relationship Id="rId38" Type="http://schemas.openxmlformats.org/officeDocument/2006/relationships/hyperlink" Target="https://www.iccat.int/Documents/Recs/compendiopdf-f/2021-04-f.pdf" TargetMode="External"/><Relationship Id="rId59" Type="http://schemas.openxmlformats.org/officeDocument/2006/relationships/hyperlink" Target="https://qbz.gov.al/eli/vendim/2022/12/01/756/46e86b9b-aa57-46ab-8930-a386a451056b" TargetMode="External"/><Relationship Id="rId103" Type="http://schemas.openxmlformats.org/officeDocument/2006/relationships/footer" Target="footer4.xml"/><Relationship Id="rId124" Type="http://schemas.openxmlformats.org/officeDocument/2006/relationships/footer" Target="footer7.xml"/><Relationship Id="rId70" Type="http://schemas.openxmlformats.org/officeDocument/2006/relationships/hyperlink" Target="https://www.iccat.int/Documents/Recs/compendiopdf-f/2025-04.f.pdf" TargetMode="External"/><Relationship Id="rId91" Type="http://schemas.openxmlformats.org/officeDocument/2006/relationships/hyperlink" Target="mailto:gafrd_eg@hotmail.com" TargetMode="External"/><Relationship Id="rId145" Type="http://schemas.openxmlformats.org/officeDocument/2006/relationships/header" Target="header19.xml"/><Relationship Id="rId166" Type="http://schemas.openxmlformats.org/officeDocument/2006/relationships/hyperlink" Target="mailto:iterrado@arap.gob.pa" TargetMode="External"/><Relationship Id="rId187" Type="http://schemas.openxmlformats.org/officeDocument/2006/relationships/hyperlink" Target="javascript:onclick=AfficheFiche(%2228887%22)" TargetMode="External"/><Relationship Id="rId1" Type="http://schemas.openxmlformats.org/officeDocument/2006/relationships/customXml" Target="../customXml/item1.xml"/><Relationship Id="rId212" Type="http://schemas.openxmlformats.org/officeDocument/2006/relationships/hyperlink" Target="mailto:MCS@defra.gov.uk" TargetMode="External"/><Relationship Id="rId233" Type="http://schemas.openxmlformats.org/officeDocument/2006/relationships/hyperlink" Target="https://www.iccat.int/DocsComm/uploads/2025/PA2_606_FRA_20251029181324.docx" TargetMode="External"/><Relationship Id="rId28" Type="http://schemas.openxmlformats.org/officeDocument/2006/relationships/hyperlink" Target="https://iccat.int/Documents/Recs/compendiopdf-f/2025-05-f.pdf" TargetMode="External"/><Relationship Id="rId49" Type="http://schemas.openxmlformats.org/officeDocument/2006/relationships/hyperlink" Target="https://www.iccat.int/Documents/Recs/compendiopdf-f/2013-14-f.pdf" TargetMode="External"/><Relationship Id="rId114" Type="http://schemas.openxmlformats.org/officeDocument/2006/relationships/footer" Target="footer5.xml"/><Relationship Id="rId60" Type="http://schemas.openxmlformats.org/officeDocument/2006/relationships/hyperlink" Target="https://qbz.gov.al/eli/urdher/2025/02/13/140/07a821b8-e905-40a7-a3e0-5b1235d5351e" TargetMode="External"/><Relationship Id="rId81" Type="http://schemas.openxmlformats.org/officeDocument/2006/relationships/footer" Target="footer2.xml"/><Relationship Id="rId135" Type="http://schemas.openxmlformats.org/officeDocument/2006/relationships/footer" Target="footer8.xml"/><Relationship Id="rId156" Type="http://schemas.openxmlformats.org/officeDocument/2006/relationships/hyperlink" Target="mailto:rune.mjorlund@fiskeridir.no" TargetMode="External"/><Relationship Id="rId177" Type="http://schemas.openxmlformats.org/officeDocument/2006/relationships/hyperlink" Target="https://www.iccat.int/Documents/Recs/compendiopdf-f/2025-04-f.pdf" TargetMode="External"/><Relationship Id="rId198" Type="http://schemas.openxmlformats.org/officeDocument/2006/relationships/hyperlink" Target="mailto:ilhan.uze@tarimorman.gov.tr" TargetMode="External"/><Relationship Id="rId202" Type="http://schemas.openxmlformats.org/officeDocument/2006/relationships/hyperlink" Target="https://www.iccat.int/Documents/Recs/compendiopdf-f/2024-07-f.pdf" TargetMode="External"/><Relationship Id="rId223" Type="http://schemas.openxmlformats.org/officeDocument/2006/relationships/hyperlink" Target="https://www.iccat.int/Documents/Recs/compendiopdf-f/2025-04-f.pdf" TargetMode="External"/><Relationship Id="rId244" Type="http://schemas.openxmlformats.org/officeDocument/2006/relationships/fontTable" Target="fontTable.xml"/><Relationship Id="rId18" Type="http://schemas.openxmlformats.org/officeDocument/2006/relationships/hyperlink" Target="https://www.iccat.int/Documents/Recs/compendiopdf-f/2025-04-f.pdf" TargetMode="External"/><Relationship Id="rId39" Type="http://schemas.openxmlformats.org/officeDocument/2006/relationships/hyperlink" Target="https://www.iccat.int/Documents/Recs/compendiopdf-f/2021-04-f.pdf" TargetMode="External"/><Relationship Id="rId50" Type="http://schemas.openxmlformats.org/officeDocument/2006/relationships/hyperlink" Target="https://www.iccat.int/Documents/Recs/compendiopdf-f/2025-04-f.pdf" TargetMode="External"/><Relationship Id="rId104" Type="http://schemas.openxmlformats.org/officeDocument/2006/relationships/header" Target="header10.xml"/><Relationship Id="rId125" Type="http://schemas.openxmlformats.org/officeDocument/2006/relationships/hyperlink" Target="https://www.iccat.int/Documents/Recs/compendiopdf-f/2025-04-f.pdf" TargetMode="External"/><Relationship Id="rId146" Type="http://schemas.openxmlformats.org/officeDocument/2006/relationships/footer" Target="footer11.xml"/><Relationship Id="rId167" Type="http://schemas.openxmlformats.org/officeDocument/2006/relationships/hyperlink" Target="mailto:ivc@arap.gob.pa" TargetMode="External"/><Relationship Id="rId188" Type="http://schemas.openxmlformats.org/officeDocument/2006/relationships/hyperlink" Target="javascript:onclick=AfficheFiche(%2228887%22)" TargetMode="External"/><Relationship Id="rId71" Type="http://schemas.openxmlformats.org/officeDocument/2006/relationships/hyperlink" Target="https://www.iccat.int/Documents/Recs/compendiopdf-f/2025-04.f.pdf" TargetMode="External"/><Relationship Id="rId92" Type="http://schemas.openxmlformats.org/officeDocument/2006/relationships/hyperlink" Target="mailto:doaahammam01@gmail.com" TargetMode="External"/><Relationship Id="rId213" Type="http://schemas.openxmlformats.org/officeDocument/2006/relationships/header" Target="header29.xml"/><Relationship Id="rId234" Type="http://schemas.openxmlformats.org/officeDocument/2006/relationships/hyperlink" Target="https://www.iccat.int/DocsComm/uploads/2025/PA2_606_FRA_20251029181324.docx" TargetMode="External"/><Relationship Id="rId2" Type="http://schemas.openxmlformats.org/officeDocument/2006/relationships/numbering" Target="numbering.xml"/><Relationship Id="rId29" Type="http://schemas.openxmlformats.org/officeDocument/2006/relationships/hyperlink" Target="https://www.iccat.int/Documents/Recs/compendiopdf-f/2025-04-f.pdf" TargetMode="External"/><Relationship Id="rId40" Type="http://schemas.openxmlformats.org/officeDocument/2006/relationships/hyperlink" Target="https://www.iccat.int/Documents/Recs/compendiopdf-f/2021-04-f.pdf" TargetMode="External"/><Relationship Id="rId115" Type="http://schemas.openxmlformats.org/officeDocument/2006/relationships/hyperlink" Target="https://www.iccat.int/Documents/Recs/compendiopdf-f/2022-08-f.pdf" TargetMode="External"/><Relationship Id="rId136" Type="http://schemas.openxmlformats.org/officeDocument/2006/relationships/header" Target="header17.xml"/><Relationship Id="rId157" Type="http://schemas.openxmlformats.org/officeDocument/2006/relationships/hyperlink" Target="mailto:gulys@fiskeridir.no" TargetMode="External"/><Relationship Id="rId178" Type="http://schemas.openxmlformats.org/officeDocument/2006/relationships/hyperlink" Target="https://www.iccat.int/Documents/Recs/compendiopdf-f/2025-04-f.pdf" TargetMode="External"/><Relationship Id="rId61" Type="http://schemas.openxmlformats.org/officeDocument/2006/relationships/hyperlink" Target="https://qbz.gov.al/eli/urdher/2026/02/09/131/2d0e5246-64b4-41cc-90ad-9a3062bd3fcd" TargetMode="External"/><Relationship Id="rId82" Type="http://schemas.openxmlformats.org/officeDocument/2006/relationships/hyperlink" Target="https://www.iccat.int/Documents/Recs/compendiopdf-f/2025-04-f.pdf" TargetMode="External"/><Relationship Id="rId199" Type="http://schemas.openxmlformats.org/officeDocument/2006/relationships/hyperlink" Target="mailto:huseyin.karci@tarimorman.gov.tr" TargetMode="External"/><Relationship Id="rId203" Type="http://schemas.openxmlformats.org/officeDocument/2006/relationships/hyperlink" Target="mailto:ilhan.uze@tarimorman.gov.tr" TargetMode="External"/><Relationship Id="rId19" Type="http://schemas.openxmlformats.org/officeDocument/2006/relationships/hyperlink" Target="https://www.iccat.int/Documents/Recs/compendiopdf-f/2025-04-f.pdf" TargetMode="External"/><Relationship Id="rId224" Type="http://schemas.openxmlformats.org/officeDocument/2006/relationships/hyperlink" Target="https://www.iccat.int/Documents/Recs/compendiopdf-f/2025-04-f.pdf" TargetMode="External"/><Relationship Id="rId245" Type="http://schemas.openxmlformats.org/officeDocument/2006/relationships/theme" Target="theme/theme1.xml"/><Relationship Id="rId30" Type="http://schemas.openxmlformats.org/officeDocument/2006/relationships/hyperlink" Target="https://www.iccat.int/Documents/Recs/compendiopdf-f/2025-04-f.pdf" TargetMode="External"/><Relationship Id="rId105" Type="http://schemas.openxmlformats.org/officeDocument/2006/relationships/hyperlink" Target="file:///\\tunadata\WorkingPublications\2026_Intersessionals\6_PA2_3-5_March_hybrid\2_Report\Final\FRA\www.island.is\fiskistofa" TargetMode="External"/><Relationship Id="rId126" Type="http://schemas.openxmlformats.org/officeDocument/2006/relationships/hyperlink" Target="https://www.iccat.int/Documents/Recs/compendiopdf-f/2024-07-f.pdf" TargetMode="External"/><Relationship Id="rId147" Type="http://schemas.openxmlformats.org/officeDocument/2006/relationships/hyperlink" Target="https://www.iccat.int/Documents/Recs/compendiopdf-f/2025-04-f.pdf" TargetMode="External"/><Relationship Id="rId168" Type="http://schemas.openxmlformats.org/officeDocument/2006/relationships/hyperlink" Target="mailto:monitoreo@arap.gob.pa" TargetMode="External"/><Relationship Id="rId51" Type="http://schemas.openxmlformats.org/officeDocument/2006/relationships/hyperlink" Target="https://www.iccat.int/Documents/Recs/compendiopdf-f/2025-04-f.pdf" TargetMode="External"/><Relationship Id="rId72" Type="http://schemas.openxmlformats.org/officeDocument/2006/relationships/hyperlink" Target="https://www.iccat.int/Documents/Recs/compendiopdf-f/2025-04.f.pdf" TargetMode="External"/><Relationship Id="rId93" Type="http://schemas.openxmlformats.org/officeDocument/2006/relationships/hyperlink" Target="mailto:abdelrazek.mohamed004@gmail.com" TargetMode="External"/><Relationship Id="rId189" Type="http://schemas.openxmlformats.org/officeDocument/2006/relationships/hyperlink" Target="https://www.iccat.int/Documents/Recs/compendiopdf-f/2025-04-f.pdf" TargetMode="External"/><Relationship Id="rId3" Type="http://schemas.openxmlformats.org/officeDocument/2006/relationships/styles" Target="styles.xml"/><Relationship Id="rId214" Type="http://schemas.openxmlformats.org/officeDocument/2006/relationships/footer" Target="footer21.xml"/><Relationship Id="rId235" Type="http://schemas.openxmlformats.org/officeDocument/2006/relationships/hyperlink" Target="https://www.iccat.int/Documents/Recs/compendiopdf-f/2025-04-f.pdf" TargetMode="External"/><Relationship Id="rId116" Type="http://schemas.openxmlformats.org/officeDocument/2006/relationships/hyperlink" Target="https://www.iccat.int/Documents/Recs/compendiopdf-f/2025-04-f.pdf" TargetMode="External"/><Relationship Id="rId137" Type="http://schemas.openxmlformats.org/officeDocument/2006/relationships/footer" Target="footer9.xml"/><Relationship Id="rId158" Type="http://schemas.openxmlformats.org/officeDocument/2006/relationships/header" Target="header21.xml"/><Relationship Id="rId20" Type="http://schemas.openxmlformats.org/officeDocument/2006/relationships/hyperlink" Target="https://www.iccat.int/Documents/Recs/compendiopdf-f/2024-05-f.pdf" TargetMode="External"/><Relationship Id="rId41" Type="http://schemas.openxmlformats.org/officeDocument/2006/relationships/hyperlink" Target="https://www.iccat.int/Documents/Recs/compendiopdf-f/2025-04-f.pdf" TargetMode="External"/><Relationship Id="rId62" Type="http://schemas.openxmlformats.org/officeDocument/2006/relationships/hyperlink" Target="https://www.iccat.int/Documents/Recs/compendiopdf-f/2025-04.f.pdf" TargetMode="External"/><Relationship Id="rId83" Type="http://schemas.openxmlformats.org/officeDocument/2006/relationships/hyperlink" Target="https://www.iccat.int/Documents/Recs/compendiopdf-f/2025-04-f.pdf" TargetMode="External"/><Relationship Id="rId179" Type="http://schemas.openxmlformats.org/officeDocument/2006/relationships/hyperlink" Target="https://www.iccat.int/Documents/Recs/compendiopdf-f/2025-04-f.pdf" TargetMode="External"/><Relationship Id="rId190" Type="http://schemas.openxmlformats.org/officeDocument/2006/relationships/hyperlink" Target="https://www.iccat.int/Documents/Recs/compendiopdf-f/2024-07-f.pdf" TargetMode="External"/><Relationship Id="rId204" Type="http://schemas.openxmlformats.org/officeDocument/2006/relationships/hyperlink" Target="mailto:huseyin.karci@tarimorman.gov.tr" TargetMode="External"/><Relationship Id="rId225" Type="http://schemas.openxmlformats.org/officeDocument/2006/relationships/hyperlink" Target="https://www.iccat.int/Documents/Recs/compendiopdf-f/2025-04-f.pdf" TargetMode="External"/><Relationship Id="rId106" Type="http://schemas.openxmlformats.org/officeDocument/2006/relationships/hyperlink" Target="https://www.iccat.int/Documents/Recs/compendiopdf-f/2025-04-f.pdf" TargetMode="External"/><Relationship Id="rId127" Type="http://schemas.openxmlformats.org/officeDocument/2006/relationships/hyperlink" Target="mailto:fmc2014@korea.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0B9F5-3BCF-4072-A5E9-615C066B9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86</Pages>
  <Words>97217</Words>
  <Characters>554139</Characters>
  <Application>Microsoft Office Word</Application>
  <DocSecurity>0</DocSecurity>
  <Lines>4617</Lines>
  <Paragraphs>1300</Paragraphs>
  <ScaleCrop>false</ScaleCrop>
  <Company/>
  <LinksUpToDate>false</LinksUpToDate>
  <CharactersWithSpaces>650056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Marisa de Andrés</cp:lastModifiedBy>
  <cp:revision>2</cp:revision>
  <dcterms:created xsi:type="dcterms:W3CDTF">2026-10-02T11:28:00Z</dcterms:created>
  <dcterms:modified xsi:type="dcterms:W3CDTF">2026-10-02T11:28:00Z</dcterms:modified>
</cp:coreProperties>
</file>